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79"/>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183515</wp:posOffset>
            </wp:positionH>
            <wp:positionV relativeFrom="page">
              <wp:posOffset>397510</wp:posOffset>
            </wp:positionV>
            <wp:extent cx="720344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03440" cy="26035"/>
                    </a:xfrm>
                    <a:prstGeom prst="rect">
                      <a:avLst/>
                    </a:prstGeom>
                    <a:noFill/>
                  </pic:spPr>
                </pic:pic>
              </a:graphicData>
            </a:graphic>
          </wp:anchor>
        </w:drawing>
        <w:t>UNITED STATES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31115</wp:posOffset>
            </wp:positionH>
            <wp:positionV relativeFrom="paragraph">
              <wp:posOffset>-175895</wp:posOffset>
            </wp:positionV>
            <wp:extent cx="720344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03440" cy="8890"/>
                    </a:xfrm>
                    <a:prstGeom prst="rect">
                      <a:avLst/>
                    </a:prstGeom>
                    <a:noFill/>
                  </pic:spPr>
                </pic:pic>
              </a:graphicData>
            </a:graphic>
          </wp:anchor>
        </w:drawing>
      </w:r>
    </w:p>
    <w:p>
      <w:pPr>
        <w:spacing w:after="0" w:line="18" w:lineRule="exact"/>
        <w:rPr>
          <w:sz w:val="24"/>
          <w:szCs w:val="24"/>
          <w:color w:val="auto"/>
        </w:rPr>
      </w:pPr>
    </w:p>
    <w:p>
      <w:pPr>
        <w:jc w:val="center"/>
        <w:ind w:right="-79"/>
        <w:spacing w:after="0"/>
        <w:rPr>
          <w:sz w:val="20"/>
          <w:szCs w:val="20"/>
          <w:color w:val="auto"/>
        </w:rPr>
      </w:pPr>
      <w:r>
        <w:rPr>
          <w:rFonts w:ascii="Arial" w:cs="Arial" w:eastAsia="Arial" w:hAnsi="Arial"/>
          <w:sz w:val="25"/>
          <w:szCs w:val="25"/>
          <w:b w:val="1"/>
          <w:bCs w:val="1"/>
          <w:color w:val="auto"/>
        </w:rPr>
        <w:t>SECURITIES AND EXCHANGE COMMISSION</w:t>
      </w:r>
    </w:p>
    <w:p>
      <w:pPr>
        <w:spacing w:after="0" w:line="13" w:lineRule="exact"/>
        <w:rPr>
          <w:sz w:val="24"/>
          <w:szCs w:val="24"/>
          <w:color w:val="auto"/>
        </w:rPr>
      </w:pPr>
    </w:p>
    <w:p>
      <w:pPr>
        <w:jc w:val="center"/>
        <w:ind w:right="-79"/>
        <w:spacing w:after="0"/>
        <w:rPr>
          <w:sz w:val="20"/>
          <w:szCs w:val="20"/>
          <w:color w:val="auto"/>
        </w:rPr>
      </w:pPr>
      <w:r>
        <w:rPr>
          <w:rFonts w:ascii="Arial" w:cs="Arial" w:eastAsia="Arial" w:hAnsi="Arial"/>
          <w:sz w:val="22"/>
          <w:szCs w:val="22"/>
          <w:b w:val="1"/>
          <w:bCs w:val="1"/>
          <w:color w:val="auto"/>
        </w:rPr>
        <w:t>WASHINGTON, D.C. 20549</w:t>
      </w:r>
    </w:p>
    <w:p>
      <w:pPr>
        <w:spacing w:after="0" w:line="184" w:lineRule="exact"/>
        <w:rPr>
          <w:sz w:val="24"/>
          <w:szCs w:val="24"/>
          <w:color w:val="auto"/>
        </w:rPr>
      </w:pPr>
    </w:p>
    <w:p>
      <w:pPr>
        <w:jc w:val="center"/>
        <w:ind w:right="-79"/>
        <w:spacing w:after="0"/>
        <w:rPr>
          <w:sz w:val="20"/>
          <w:szCs w:val="20"/>
          <w:color w:val="auto"/>
        </w:rPr>
      </w:pPr>
      <w:r>
        <w:rPr>
          <w:rFonts w:ascii="Arial" w:cs="Arial" w:eastAsia="Arial" w:hAnsi="Arial"/>
          <w:sz w:val="32"/>
          <w:szCs w:val="32"/>
          <w:b w:val="1"/>
          <w:bCs w:val="1"/>
          <w:color w:val="auto"/>
        </w:rPr>
        <w:t>FORM 10-Q</w:t>
      </w:r>
    </w:p>
    <w:p>
      <w:pPr>
        <w:spacing w:after="0" w:line="398" w:lineRule="exact"/>
        <w:rPr>
          <w:sz w:val="24"/>
          <w:szCs w:val="24"/>
          <w:color w:val="auto"/>
        </w:rPr>
      </w:pPr>
    </w:p>
    <w:p>
      <w:pPr>
        <w:ind w:left="860" w:hanging="521"/>
        <w:spacing w:after="0"/>
        <w:tabs>
          <w:tab w:leader="none" w:pos="860"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QUARTERLY REPORT PURSUANT TO SECTION 13 OR 15(d) OF THE SECURITIES EXCHANGE ACT OF 1934</w:t>
      </w:r>
    </w:p>
    <w:p>
      <w:pPr>
        <w:spacing w:after="0" w:line="252"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For the quarterly period ended March 31, 2014</w:t>
      </w:r>
    </w:p>
    <w:p>
      <w:pPr>
        <w:spacing w:after="0" w:line="117"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OR</w:t>
      </w:r>
    </w:p>
    <w:p>
      <w:pPr>
        <w:spacing w:after="0" w:line="171" w:lineRule="exact"/>
        <w:rPr>
          <w:sz w:val="24"/>
          <w:szCs w:val="24"/>
          <w:color w:val="auto"/>
        </w:rPr>
      </w:pPr>
    </w:p>
    <w:p>
      <w:pPr>
        <w:ind w:left="860" w:hanging="485"/>
        <w:spacing w:after="0"/>
        <w:tabs>
          <w:tab w:leader="none" w:pos="860" w:val="left"/>
        </w:tabs>
        <w:numPr>
          <w:ilvl w:val="0"/>
          <w:numId w:val="2"/>
        </w:numPr>
        <w:rPr>
          <w:rFonts w:ascii="Arial" w:cs="Arial" w:eastAsia="Arial" w:hAnsi="Arial"/>
          <w:sz w:val="18"/>
          <w:szCs w:val="18"/>
          <w:color w:val="auto"/>
        </w:rPr>
      </w:pPr>
      <w:r>
        <w:rPr>
          <w:rFonts w:ascii="Arial" w:cs="Arial" w:eastAsia="Arial" w:hAnsi="Arial"/>
          <w:sz w:val="18"/>
          <w:szCs w:val="18"/>
          <w:b w:val="1"/>
          <w:bCs w:val="1"/>
          <w:color w:val="auto"/>
        </w:rPr>
        <w:t>TRANSITION REPORT PURSUANT TO SECTION 13 OR 15(d) OF THE SECURITIES EXCHANGE ACT OF 1934</w:t>
      </w:r>
    </w:p>
    <w:p>
      <w:pPr>
        <w:spacing w:after="0" w:line="198" w:lineRule="exact"/>
        <w:rPr>
          <w:sz w:val="24"/>
          <w:szCs w:val="24"/>
          <w:color w:val="auto"/>
        </w:rPr>
      </w:pPr>
    </w:p>
    <w:p>
      <w:pPr>
        <w:ind w:left="3300"/>
        <w:spacing w:after="0"/>
        <w:tabs>
          <w:tab w:leader="none" w:pos="6600" w:val="left"/>
        </w:tabs>
        <w:rPr>
          <w:sz w:val="20"/>
          <w:szCs w:val="20"/>
          <w:color w:val="auto"/>
        </w:rPr>
      </w:pPr>
      <w:r>
        <w:rPr>
          <w:rFonts w:ascii="Arial" w:cs="Arial" w:eastAsia="Arial" w:hAnsi="Arial"/>
          <w:sz w:val="18"/>
          <w:szCs w:val="18"/>
          <w:b w:val="1"/>
          <w:bCs w:val="1"/>
          <w:color w:val="auto"/>
        </w:rPr>
        <w:t>For the transition period</w:t>
      </w:r>
      <w:r>
        <w:rPr>
          <w:sz w:val="20"/>
          <w:szCs w:val="20"/>
          <w:color w:val="auto"/>
        </w:rPr>
        <w:tab/>
      </w:r>
      <w:r>
        <w:rPr>
          <w:rFonts w:ascii="Arial" w:cs="Arial" w:eastAsia="Arial" w:hAnsi="Arial"/>
          <w:sz w:val="16"/>
          <w:szCs w:val="16"/>
          <w:b w:val="1"/>
          <w:bCs w:val="1"/>
          <w:color w:val="auto"/>
        </w:rPr>
        <w:t>to</w:t>
      </w:r>
    </w:p>
    <w:p>
      <w:pPr>
        <w:spacing w:after="0" w:line="200" w:lineRule="exact"/>
        <w:rPr>
          <w:sz w:val="24"/>
          <w:szCs w:val="24"/>
          <w:color w:val="auto"/>
        </w:rPr>
      </w:pPr>
    </w:p>
    <w:p>
      <w:pPr>
        <w:spacing w:after="0" w:line="268"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Commission File Number: 001-31648</w:t>
      </w:r>
    </w:p>
    <w:p>
      <w:pPr>
        <w:spacing w:after="0" w:line="214" w:lineRule="exact"/>
        <w:rPr>
          <w:sz w:val="24"/>
          <w:szCs w:val="24"/>
          <w:color w:val="auto"/>
        </w:rPr>
      </w:pPr>
    </w:p>
    <w:p>
      <w:pPr>
        <w:jc w:val="center"/>
        <w:ind w:right="-59"/>
        <w:spacing w:after="0"/>
        <w:rPr>
          <w:sz w:val="20"/>
          <w:szCs w:val="20"/>
          <w:color w:val="auto"/>
        </w:rPr>
      </w:pPr>
      <w:r>
        <w:rPr>
          <w:rFonts w:ascii="Arial" w:cs="Arial" w:eastAsia="Arial" w:hAnsi="Arial"/>
          <w:sz w:val="43"/>
          <w:szCs w:val="43"/>
          <w:b w:val="1"/>
          <w:bCs w:val="1"/>
          <w:color w:val="auto"/>
        </w:rPr>
        <w:t>EURONET WORLDWIDE, INC.</w:t>
      </w:r>
    </w:p>
    <w:p>
      <w:pPr>
        <w:spacing w:after="0" w:line="50"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367" w:lineRule="exact"/>
        <w:rPr>
          <w:sz w:val="24"/>
          <w:szCs w:val="24"/>
          <w:color w:val="auto"/>
        </w:rPr>
      </w:pPr>
    </w:p>
    <w:tbl>
      <w:tblPr>
        <w:tblLayout w:type="fixed"/>
        <w:tblInd w:w="1360" w:type="dxa"/>
        <w:tblCellMar>
          <w:top w:w="0" w:type="dxa"/>
          <w:left w:w="0" w:type="dxa"/>
          <w:bottom w:w="0" w:type="dxa"/>
          <w:right w:w="0" w:type="dxa"/>
        </w:tblCellMar>
      </w:tblPr>
      <w:tr>
        <w:trPr>
          <w:trHeight w:val="234"/>
        </w:trPr>
        <w:tc>
          <w:tcPr>
            <w:tcW w:w="4740" w:type="dxa"/>
            <w:vAlign w:val="bottom"/>
          </w:tcPr>
          <w:p>
            <w:pPr>
              <w:jc w:val="center"/>
              <w:ind w:right="1650"/>
              <w:spacing w:after="0"/>
              <w:rPr>
                <w:sz w:val="20"/>
                <w:szCs w:val="20"/>
                <w:color w:val="auto"/>
              </w:rPr>
            </w:pPr>
            <w:r>
              <w:rPr>
                <w:rFonts w:ascii="Arial" w:cs="Arial" w:eastAsia="Arial" w:hAnsi="Arial"/>
                <w:sz w:val="18"/>
                <w:szCs w:val="18"/>
                <w:b w:val="1"/>
                <w:bCs w:val="1"/>
                <w:color w:val="auto"/>
                <w:w w:val="91"/>
              </w:rPr>
              <w:t>Delaware</w:t>
            </w:r>
          </w:p>
        </w:tc>
        <w:tc>
          <w:tcPr>
            <w:tcW w:w="3160" w:type="dxa"/>
            <w:vAlign w:val="bottom"/>
          </w:tcPr>
          <w:p>
            <w:pPr>
              <w:jc w:val="right"/>
              <w:ind w:right="170"/>
              <w:spacing w:after="0"/>
              <w:rPr>
                <w:sz w:val="20"/>
                <w:szCs w:val="20"/>
                <w:color w:val="auto"/>
              </w:rPr>
            </w:pPr>
            <w:r>
              <w:rPr>
                <w:rFonts w:ascii="Arial" w:cs="Arial" w:eastAsia="Arial" w:hAnsi="Arial"/>
                <w:sz w:val="18"/>
                <w:szCs w:val="18"/>
                <w:b w:val="1"/>
                <w:bCs w:val="1"/>
                <w:color w:val="auto"/>
              </w:rPr>
              <w:t>74-2806888</w:t>
            </w:r>
          </w:p>
        </w:tc>
      </w:tr>
      <w:tr>
        <w:trPr>
          <w:trHeight w:val="270"/>
        </w:trPr>
        <w:tc>
          <w:tcPr>
            <w:tcW w:w="4740" w:type="dxa"/>
            <w:vAlign w:val="bottom"/>
          </w:tcPr>
          <w:p>
            <w:pPr>
              <w:jc w:val="center"/>
              <w:ind w:right="1650"/>
              <w:spacing w:after="0"/>
              <w:rPr>
                <w:sz w:val="20"/>
                <w:szCs w:val="20"/>
                <w:color w:val="auto"/>
              </w:rPr>
            </w:pPr>
            <w:r>
              <w:rPr>
                <w:rFonts w:ascii="Arial" w:cs="Arial" w:eastAsia="Arial" w:hAnsi="Arial"/>
                <w:sz w:val="18"/>
                <w:szCs w:val="18"/>
                <w:b w:val="1"/>
                <w:bCs w:val="1"/>
                <w:color w:val="auto"/>
                <w:w w:val="90"/>
              </w:rPr>
              <w:t>(State or other jurisdiction</w:t>
            </w:r>
          </w:p>
        </w:tc>
        <w:tc>
          <w:tcPr>
            <w:tcW w:w="3160" w:type="dxa"/>
            <w:vAlign w:val="bottom"/>
          </w:tcPr>
          <w:p>
            <w:pPr>
              <w:jc w:val="center"/>
              <w:ind w:left="1650"/>
              <w:spacing w:after="0"/>
              <w:rPr>
                <w:sz w:val="20"/>
                <w:szCs w:val="20"/>
                <w:color w:val="auto"/>
              </w:rPr>
            </w:pPr>
            <w:r>
              <w:rPr>
                <w:rFonts w:ascii="Arial" w:cs="Arial" w:eastAsia="Arial" w:hAnsi="Arial"/>
                <w:sz w:val="18"/>
                <w:szCs w:val="18"/>
                <w:b w:val="1"/>
                <w:bCs w:val="1"/>
                <w:color w:val="auto"/>
                <w:w w:val="94"/>
              </w:rPr>
              <w:t>(I.R.S. Employer</w:t>
            </w:r>
          </w:p>
        </w:tc>
      </w:tr>
      <w:tr>
        <w:trPr>
          <w:trHeight w:val="270"/>
        </w:trPr>
        <w:tc>
          <w:tcPr>
            <w:tcW w:w="4740" w:type="dxa"/>
            <w:vAlign w:val="bottom"/>
          </w:tcPr>
          <w:p>
            <w:pPr>
              <w:jc w:val="center"/>
              <w:ind w:right="1670"/>
              <w:spacing w:after="0"/>
              <w:rPr>
                <w:sz w:val="20"/>
                <w:szCs w:val="20"/>
                <w:color w:val="auto"/>
              </w:rPr>
            </w:pPr>
            <w:r>
              <w:rPr>
                <w:rFonts w:ascii="Arial" w:cs="Arial" w:eastAsia="Arial" w:hAnsi="Arial"/>
                <w:sz w:val="18"/>
                <w:szCs w:val="18"/>
                <w:b w:val="1"/>
                <w:bCs w:val="1"/>
                <w:color w:val="auto"/>
                <w:w w:val="91"/>
              </w:rPr>
              <w:t>of incorporation or organization)</w:t>
            </w:r>
          </w:p>
        </w:tc>
        <w:tc>
          <w:tcPr>
            <w:tcW w:w="3160" w:type="dxa"/>
            <w:vAlign w:val="bottom"/>
          </w:tcPr>
          <w:p>
            <w:pPr>
              <w:jc w:val="center"/>
              <w:ind w:left="1670"/>
              <w:spacing w:after="0"/>
              <w:rPr>
                <w:sz w:val="20"/>
                <w:szCs w:val="20"/>
                <w:color w:val="auto"/>
              </w:rPr>
            </w:pPr>
            <w:r>
              <w:rPr>
                <w:rFonts w:ascii="Arial" w:cs="Arial" w:eastAsia="Arial" w:hAnsi="Arial"/>
                <w:sz w:val="18"/>
                <w:szCs w:val="18"/>
                <w:b w:val="1"/>
                <w:bCs w:val="1"/>
                <w:color w:val="auto"/>
                <w:w w:val="92"/>
              </w:rPr>
              <w:t>Identification No.)</w:t>
            </w:r>
          </w:p>
        </w:tc>
      </w:tr>
      <w:tr>
        <w:trPr>
          <w:trHeight w:val="405"/>
        </w:trPr>
        <w:tc>
          <w:tcPr>
            <w:tcW w:w="4740" w:type="dxa"/>
            <w:vAlign w:val="bottom"/>
          </w:tcPr>
          <w:p>
            <w:pPr>
              <w:jc w:val="center"/>
              <w:ind w:right="1670"/>
              <w:spacing w:after="0"/>
              <w:rPr>
                <w:sz w:val="20"/>
                <w:szCs w:val="20"/>
                <w:color w:val="auto"/>
              </w:rPr>
            </w:pPr>
            <w:r>
              <w:rPr>
                <w:rFonts w:ascii="Arial" w:cs="Arial" w:eastAsia="Arial" w:hAnsi="Arial"/>
                <w:sz w:val="18"/>
                <w:szCs w:val="18"/>
                <w:b w:val="1"/>
                <w:bCs w:val="1"/>
                <w:color w:val="auto"/>
                <w:w w:val="89"/>
              </w:rPr>
              <w:t>3500 College Boulevard</w:t>
            </w:r>
          </w:p>
        </w:tc>
        <w:tc>
          <w:tcPr>
            <w:tcW w:w="3160" w:type="dxa"/>
            <w:vAlign w:val="bottom"/>
          </w:tcPr>
          <w:p>
            <w:pPr>
              <w:spacing w:after="0"/>
              <w:rPr>
                <w:sz w:val="24"/>
                <w:szCs w:val="24"/>
                <w:color w:val="auto"/>
              </w:rPr>
            </w:pPr>
          </w:p>
        </w:tc>
      </w:tr>
      <w:tr>
        <w:trPr>
          <w:trHeight w:val="270"/>
        </w:trPr>
        <w:tc>
          <w:tcPr>
            <w:tcW w:w="4740" w:type="dxa"/>
            <w:vAlign w:val="bottom"/>
          </w:tcPr>
          <w:p>
            <w:pPr>
              <w:jc w:val="center"/>
              <w:ind w:right="1650"/>
              <w:spacing w:after="0"/>
              <w:rPr>
                <w:sz w:val="20"/>
                <w:szCs w:val="20"/>
                <w:color w:val="auto"/>
              </w:rPr>
            </w:pPr>
            <w:r>
              <w:rPr>
                <w:rFonts w:ascii="Arial" w:cs="Arial" w:eastAsia="Arial" w:hAnsi="Arial"/>
                <w:sz w:val="18"/>
                <w:szCs w:val="18"/>
                <w:b w:val="1"/>
                <w:bCs w:val="1"/>
                <w:color w:val="auto"/>
                <w:w w:val="89"/>
              </w:rPr>
              <w:t>Leawood, Kansas</w:t>
            </w:r>
          </w:p>
        </w:tc>
        <w:tc>
          <w:tcPr>
            <w:tcW w:w="3160" w:type="dxa"/>
            <w:vAlign w:val="bottom"/>
          </w:tcPr>
          <w:p>
            <w:pPr>
              <w:jc w:val="right"/>
              <w:ind w:right="390"/>
              <w:spacing w:after="0"/>
              <w:rPr>
                <w:sz w:val="20"/>
                <w:szCs w:val="20"/>
                <w:color w:val="auto"/>
              </w:rPr>
            </w:pPr>
            <w:r>
              <w:rPr>
                <w:rFonts w:ascii="Arial" w:cs="Arial" w:eastAsia="Arial" w:hAnsi="Arial"/>
                <w:sz w:val="18"/>
                <w:szCs w:val="18"/>
                <w:b w:val="1"/>
                <w:bCs w:val="1"/>
                <w:color w:val="auto"/>
              </w:rPr>
              <w:t>66211</w:t>
            </w:r>
          </w:p>
        </w:tc>
      </w:tr>
      <w:tr>
        <w:trPr>
          <w:trHeight w:val="270"/>
        </w:trPr>
        <w:tc>
          <w:tcPr>
            <w:tcW w:w="4740" w:type="dxa"/>
            <w:vAlign w:val="bottom"/>
          </w:tcPr>
          <w:p>
            <w:pPr>
              <w:jc w:val="center"/>
              <w:ind w:right="1670"/>
              <w:spacing w:after="0"/>
              <w:rPr>
                <w:sz w:val="20"/>
                <w:szCs w:val="20"/>
                <w:color w:val="auto"/>
              </w:rPr>
            </w:pPr>
            <w:r>
              <w:rPr>
                <w:rFonts w:ascii="Arial" w:cs="Arial" w:eastAsia="Arial" w:hAnsi="Arial"/>
                <w:sz w:val="18"/>
                <w:szCs w:val="18"/>
                <w:b w:val="1"/>
                <w:bCs w:val="1"/>
                <w:color w:val="auto"/>
                <w:w w:val="88"/>
              </w:rPr>
              <w:t>(Address of principal executive offices)</w:t>
            </w:r>
          </w:p>
        </w:tc>
        <w:tc>
          <w:tcPr>
            <w:tcW w:w="3160" w:type="dxa"/>
            <w:vAlign w:val="bottom"/>
          </w:tcPr>
          <w:p>
            <w:pPr>
              <w:jc w:val="center"/>
              <w:ind w:left="1670"/>
              <w:spacing w:after="0"/>
              <w:rPr>
                <w:sz w:val="20"/>
                <w:szCs w:val="20"/>
                <w:color w:val="auto"/>
              </w:rPr>
            </w:pPr>
            <w:r>
              <w:rPr>
                <w:rFonts w:ascii="Arial" w:cs="Arial" w:eastAsia="Arial" w:hAnsi="Arial"/>
                <w:sz w:val="18"/>
                <w:szCs w:val="18"/>
                <w:b w:val="1"/>
                <w:bCs w:val="1"/>
                <w:color w:val="auto"/>
                <w:w w:val="94"/>
              </w:rPr>
              <w:t>(Zip Code)</w:t>
            </w:r>
          </w:p>
        </w:tc>
      </w:tr>
    </w:tbl>
    <w:p>
      <w:pPr>
        <w:spacing w:after="0" w:line="225"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(913) 327-4200</w:t>
      </w:r>
    </w:p>
    <w:p>
      <w:pPr>
        <w:spacing w:after="0" w:line="27"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(Registrant’s telephone number, including area code)</w:t>
      </w:r>
    </w:p>
    <w:p>
      <w:pPr>
        <w:spacing w:after="0" w:line="103" w:lineRule="exact"/>
        <w:rPr>
          <w:sz w:val="24"/>
          <w:szCs w:val="24"/>
          <w:color w:val="auto"/>
        </w:rPr>
      </w:pPr>
    </w:p>
    <w:p>
      <w:pPr>
        <w:ind w:right="420"/>
        <w:spacing w:after="0" w:line="232"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o</w:t>
      </w:r>
    </w:p>
    <w:p>
      <w:pPr>
        <w:spacing w:after="0" w:line="74" w:lineRule="exact"/>
        <w:rPr>
          <w:sz w:val="24"/>
          <w:szCs w:val="24"/>
          <w:color w:val="auto"/>
        </w:rPr>
      </w:pPr>
    </w:p>
    <w:p>
      <w:pPr>
        <w:spacing w:after="0" w:line="232"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 232.405 of this chapter)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o</w:t>
      </w:r>
    </w:p>
    <w:p>
      <w:pPr>
        <w:spacing w:after="0" w:line="74" w:lineRule="exact"/>
        <w:rPr>
          <w:sz w:val="24"/>
          <w:szCs w:val="24"/>
          <w:color w:val="auto"/>
        </w:rPr>
      </w:pPr>
    </w:p>
    <w:p>
      <w:pPr>
        <w:ind w:right="120"/>
        <w:spacing w:after="0" w:line="308" w:lineRule="auto"/>
        <w:rPr>
          <w:sz w:val="20"/>
          <w:szCs w:val="20"/>
          <w:color w:val="auto"/>
        </w:rPr>
      </w:pPr>
      <w:r>
        <w:rPr>
          <w:rFonts w:ascii="Arial" w:cs="Arial" w:eastAsia="Arial" w:hAnsi="Arial"/>
          <w:sz w:val="17"/>
          <w:szCs w:val="17"/>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w:t>
      </w:r>
    </w:p>
    <w:p>
      <w:pPr>
        <w:spacing w:after="0" w:line="60" w:lineRule="exact"/>
        <w:rPr>
          <w:sz w:val="24"/>
          <w:szCs w:val="24"/>
          <w:color w:val="auto"/>
        </w:rPr>
      </w:pPr>
    </w:p>
    <w:p>
      <w:pPr>
        <w:ind w:left="340"/>
        <w:spacing w:after="0" w:line="207" w:lineRule="exact"/>
        <w:tabs>
          <w:tab w:leader="none" w:pos="2720" w:val="left"/>
          <w:tab w:leader="none" w:pos="5300" w:val="left"/>
          <w:tab w:leader="none" w:pos="8620" w:val="left"/>
        </w:tabs>
        <w:rPr>
          <w:sz w:val="20"/>
          <w:szCs w:val="20"/>
          <w:color w:val="auto"/>
        </w:rPr>
      </w:pPr>
      <w:r>
        <w:rPr>
          <w:rFonts w:ascii="Arial" w:cs="Arial" w:eastAsia="Arial" w:hAnsi="Arial"/>
          <w:sz w:val="18"/>
          <w:szCs w:val="18"/>
          <w:color w:val="auto"/>
        </w:rPr>
        <w:t xml:space="preserve">Large accelerated filer </w:t>
      </w:r>
      <w:r>
        <w:rPr>
          <w:rFonts w:ascii="MS PGothic" w:cs="MS PGothic" w:eastAsia="MS PGothic" w:hAnsi="MS PGothic"/>
          <w:sz w:val="18"/>
          <w:szCs w:val="18"/>
          <w:color w:val="auto"/>
        </w:rPr>
        <w:t>☑</w:t>
      </w:r>
      <w:r>
        <w:rPr>
          <w:sz w:val="20"/>
          <w:szCs w:val="20"/>
          <w:color w:val="auto"/>
        </w:rPr>
        <w:tab/>
      </w:r>
      <w:r>
        <w:rPr>
          <w:rFonts w:ascii="Arial" w:cs="Arial" w:eastAsia="Arial" w:hAnsi="Arial"/>
          <w:sz w:val="18"/>
          <w:szCs w:val="18"/>
          <w:color w:val="auto"/>
        </w:rPr>
        <w:t xml:space="preserve">Accelerated filer </w:t>
      </w:r>
      <w:r>
        <w:rPr>
          <w:rFonts w:ascii="Arial" w:cs="Arial" w:eastAsia="Arial" w:hAnsi="Arial"/>
          <w:sz w:val="16"/>
          <w:szCs w:val="16"/>
          <w:color w:val="auto"/>
        </w:rPr>
        <w:t>o</w:t>
      </w:r>
      <w:r>
        <w:rPr>
          <w:sz w:val="20"/>
          <w:szCs w:val="20"/>
          <w:color w:val="auto"/>
        </w:rPr>
        <w:tab/>
      </w:r>
      <w:r>
        <w:rPr>
          <w:rFonts w:ascii="Arial" w:cs="Arial" w:eastAsia="Arial" w:hAnsi="Arial"/>
          <w:sz w:val="18"/>
          <w:szCs w:val="18"/>
          <w:color w:val="auto"/>
        </w:rPr>
        <w:t>Non-accelerated filer o</w:t>
      </w:r>
      <w:r>
        <w:rPr>
          <w:sz w:val="20"/>
          <w:szCs w:val="20"/>
          <w:color w:val="auto"/>
        </w:rPr>
        <w:tab/>
      </w:r>
      <w:r>
        <w:rPr>
          <w:rFonts w:ascii="Arial" w:cs="Arial" w:eastAsia="Arial" w:hAnsi="Arial"/>
          <w:sz w:val="16"/>
          <w:szCs w:val="16"/>
          <w:color w:val="auto"/>
        </w:rPr>
        <w:t xml:space="preserve">Smaller reporting company </w:t>
      </w:r>
      <w:r>
        <w:rPr>
          <w:rFonts w:ascii="Arial" w:cs="Arial" w:eastAsia="Arial" w:hAnsi="Arial"/>
          <w:sz w:val="14"/>
          <w:szCs w:val="14"/>
          <w:color w:val="auto"/>
        </w:rPr>
        <w:t>o</w:t>
      </w:r>
    </w:p>
    <w:p>
      <w:pPr>
        <w:spacing w:after="0" w:line="100" w:lineRule="exact"/>
        <w:rPr>
          <w:sz w:val="24"/>
          <w:szCs w:val="24"/>
          <w:color w:val="auto"/>
        </w:rPr>
      </w:pPr>
    </w:p>
    <w:p>
      <w:pPr>
        <w:jc w:val="center"/>
        <w:ind w:left="300"/>
        <w:spacing w:after="0"/>
        <w:rPr>
          <w:sz w:val="20"/>
          <w:szCs w:val="20"/>
          <w:color w:val="auto"/>
        </w:rPr>
      </w:pPr>
      <w:r>
        <w:rPr>
          <w:rFonts w:ascii="Arial" w:cs="Arial" w:eastAsia="Arial" w:hAnsi="Arial"/>
          <w:sz w:val="16"/>
          <w:szCs w:val="16"/>
          <w:color w:val="auto"/>
        </w:rPr>
        <w:t>(Do not check if a smaller reporting company)</w:t>
      </w:r>
    </w:p>
    <w:p>
      <w:pPr>
        <w:spacing w:after="0" w:line="200" w:lineRule="exact"/>
        <w:rPr>
          <w:sz w:val="24"/>
          <w:szCs w:val="24"/>
          <w:color w:val="auto"/>
        </w:rPr>
      </w:pPr>
    </w:p>
    <w:p>
      <w:pPr>
        <w:spacing w:after="0" w:line="268"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Indicate by check mark whether the registrant is a shell company (as defined in Rule 12b-2 of the Exchange Act). Yes o No </w:t>
      </w:r>
      <w:r>
        <w:rPr>
          <w:rFonts w:ascii="MS PGothic" w:cs="MS PGothic" w:eastAsia="MS PGothic" w:hAnsi="MS PGothic"/>
          <w:sz w:val="18"/>
          <w:szCs w:val="18"/>
          <w:color w:val="auto"/>
        </w:rPr>
        <w:t>☑</w:t>
      </w:r>
    </w:p>
    <w:p>
      <w:pPr>
        <w:spacing w:after="0" w:line="258" w:lineRule="exact"/>
        <w:rPr>
          <w:sz w:val="24"/>
          <w:szCs w:val="24"/>
          <w:color w:val="auto"/>
        </w:rPr>
      </w:pPr>
    </w:p>
    <w:p>
      <w:pPr>
        <w:spacing w:after="0"/>
        <w:rPr>
          <w:sz w:val="20"/>
          <w:szCs w:val="20"/>
          <w:color w:val="auto"/>
        </w:rPr>
      </w:pPr>
      <w:r>
        <w:rPr>
          <w:rFonts w:ascii="Arial" w:cs="Arial" w:eastAsia="Arial" w:hAnsi="Arial"/>
          <w:sz w:val="18"/>
          <w:szCs w:val="18"/>
          <w:color w:val="auto"/>
        </w:rPr>
        <w:t>On April 30, 2014, Euronet Worldwide, Inc. had 50,959,227 shares of Common Stock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31115</wp:posOffset>
            </wp:positionH>
            <wp:positionV relativeFrom="paragraph">
              <wp:posOffset>186690</wp:posOffset>
            </wp:positionV>
            <wp:extent cx="7203440" cy="260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03440" cy="26035"/>
                    </a:xfrm>
                    <a:prstGeom prst="rect">
                      <a:avLst/>
                    </a:prstGeom>
                    <a:noFill/>
                  </pic:spPr>
                </pic:pic>
              </a:graphicData>
            </a:graphic>
          </wp:anchor>
        </w:drawing>
        <w:drawing>
          <wp:anchor simplePos="0" relativeHeight="251657728" behindDoc="1" locked="0" layoutInCell="0" allowOverlap="1">
            <wp:simplePos x="0" y="0"/>
            <wp:positionH relativeFrom="column">
              <wp:posOffset>31115</wp:posOffset>
            </wp:positionH>
            <wp:positionV relativeFrom="paragraph">
              <wp:posOffset>100330</wp:posOffset>
            </wp:positionV>
            <wp:extent cx="720344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03440" cy="8890"/>
                    </a:xfrm>
                    <a:prstGeom prst="rect">
                      <a:avLst/>
                    </a:prstGeom>
                    <a:noFill/>
                  </pic:spPr>
                </pic:pic>
              </a:graphicData>
            </a:graphic>
          </wp:anchor>
        </w:drawing>
      </w:r>
    </w:p>
    <w:p>
      <w:pPr>
        <w:sectPr>
          <w:pgSz w:w="11900" w:h="16838" w:orient="portrait"/>
          <w:cols w:equalWidth="0" w:num="1">
            <w:col w:w="11360"/>
          </w:cols>
          <w:pgMar w:left="240" w:top="778" w:right="299" w:bottom="1440" w:gutter="0" w:footer="0" w:header="0"/>
        </w:sectPr>
      </w:pPr>
    </w:p>
    <w:bookmarkStart w:id="1" w:name="page2"/>
    <w:bookmarkEnd w:id="1"/>
    <w:p>
      <w:pPr>
        <w:jc w:val="center"/>
        <w:ind w:right="20"/>
        <w:spacing w:after="0"/>
        <w:rPr>
          <w:sz w:val="20"/>
          <w:szCs w:val="20"/>
          <w:color w:val="auto"/>
        </w:rPr>
      </w:pPr>
      <w:r>
        <w:rPr>
          <w:rFonts w:ascii="Arial" w:cs="Arial" w:eastAsia="Arial" w:hAnsi="Arial"/>
          <w:sz w:val="18"/>
          <w:szCs w:val="18"/>
          <w:b w:val="1"/>
          <w:bCs w:val="1"/>
          <w:color w:val="auto"/>
        </w:rPr>
        <w:t>EURONET WORLDWIDE, INC. AND SUBSIDIARIES</w:t>
      </w:r>
    </w:p>
    <w:p>
      <w:pPr>
        <w:spacing w:after="0" w:line="11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Table of Contents</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4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2660" w:type="dxa"/>
            <w:vAlign w:val="bottom"/>
            <w:gridSpan w:val="4"/>
          </w:tcPr>
          <w:p>
            <w:pPr>
              <w:jc w:val="right"/>
              <w:spacing w:after="0"/>
              <w:rPr>
                <w:sz w:val="20"/>
                <w:szCs w:val="20"/>
                <w:color w:val="auto"/>
              </w:rPr>
            </w:pPr>
            <w:r>
              <w:rPr>
                <w:rFonts w:ascii="Arial" w:cs="Arial" w:eastAsia="Arial" w:hAnsi="Arial"/>
                <w:sz w:val="17"/>
                <w:szCs w:val="17"/>
                <w:b w:val="1"/>
                <w:bCs w:val="1"/>
                <w:color w:val="auto"/>
              </w:rPr>
              <w:t>Page</w:t>
            </w:r>
          </w:p>
        </w:tc>
      </w:tr>
      <w:tr>
        <w:trPr>
          <w:trHeight w:val="237"/>
        </w:trPr>
        <w:tc>
          <w:tcPr>
            <w:tcW w:w="2920" w:type="dxa"/>
            <w:vAlign w:val="bottom"/>
            <w:tcBorders>
              <w:bottom w:val="single" w:sz="8" w:color="0000EE"/>
            </w:tcBorders>
            <w:gridSpan w:val="11"/>
          </w:tcPr>
          <w:p>
            <w:pPr>
              <w:spacing w:after="0"/>
              <w:rPr>
                <w:rFonts w:ascii="Arial" w:cs="Arial" w:eastAsia="Arial" w:hAnsi="Arial"/>
                <w:sz w:val="17"/>
                <w:szCs w:val="17"/>
                <w:b w:val="1"/>
                <w:bCs w:val="1"/>
                <w:color w:val="0000EE"/>
              </w:rPr>
            </w:pPr>
            <w:hyperlink w:anchor="page2">
              <w:r>
                <w:rPr>
                  <w:rFonts w:ascii="Arial" w:cs="Arial" w:eastAsia="Arial" w:hAnsi="Arial"/>
                  <w:sz w:val="17"/>
                  <w:szCs w:val="17"/>
                  <w:b w:val="1"/>
                  <w:bCs w:val="1"/>
                  <w:color w:val="0000EE"/>
                </w:rPr>
                <w:t>PART I—FINANCIAL INFORMATION</w:t>
              </w:r>
            </w:hyperlink>
          </w:p>
        </w:tc>
        <w:tc>
          <w:tcPr>
            <w:tcW w:w="5780" w:type="dxa"/>
            <w:vAlign w:val="bottom"/>
            <w:gridSpan w:val="9"/>
          </w:tcPr>
          <w:p>
            <w:pPr>
              <w:spacing w:after="0"/>
              <w:rPr>
                <w:sz w:val="20"/>
                <w:szCs w:val="20"/>
                <w:color w:val="auto"/>
              </w:rPr>
            </w:pPr>
          </w:p>
        </w:tc>
        <w:tc>
          <w:tcPr>
            <w:tcW w:w="23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8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r>
      <w:tr>
        <w:trPr>
          <w:trHeight w:val="250"/>
        </w:trPr>
        <w:tc>
          <w:tcPr>
            <w:tcW w:w="1080" w:type="dxa"/>
            <w:vAlign w:val="bottom"/>
            <w:gridSpan w:val="4"/>
          </w:tcPr>
          <w:p>
            <w:pPr>
              <w:spacing w:after="0"/>
              <w:rPr>
                <w:sz w:val="20"/>
                <w:szCs w:val="20"/>
                <w:color w:val="auto"/>
              </w:rPr>
            </w:pPr>
            <w:r>
              <w:rPr>
                <w:rFonts w:ascii="Arial" w:cs="Arial" w:eastAsia="Arial" w:hAnsi="Arial"/>
                <w:sz w:val="17"/>
                <w:szCs w:val="17"/>
                <w:color w:val="auto"/>
              </w:rPr>
              <w:t>Item 1.</w:t>
            </w:r>
          </w:p>
        </w:tc>
        <w:tc>
          <w:tcPr>
            <w:tcW w:w="7620" w:type="dxa"/>
            <w:vAlign w:val="bottom"/>
            <w:gridSpan w:val="16"/>
          </w:tcPr>
          <w:p>
            <w:pPr>
              <w:spacing w:after="0"/>
              <w:rPr>
                <w:rFonts w:ascii="Arial" w:cs="Arial" w:eastAsia="Arial" w:hAnsi="Arial"/>
                <w:sz w:val="17"/>
                <w:szCs w:val="17"/>
                <w:color w:val="0000EE"/>
              </w:rPr>
            </w:pPr>
            <w:hyperlink w:anchor="page3">
              <w:r>
                <w:rPr>
                  <w:rFonts w:ascii="Arial" w:cs="Arial" w:eastAsia="Arial" w:hAnsi="Arial"/>
                  <w:sz w:val="17"/>
                  <w:szCs w:val="17"/>
                  <w:color w:val="0000EE"/>
                </w:rPr>
                <w:t>Financial Statements (unaudited)</w:t>
              </w:r>
            </w:hyperlink>
          </w:p>
        </w:tc>
        <w:tc>
          <w:tcPr>
            <w:tcW w:w="2660" w:type="dxa"/>
            <w:vAlign w:val="bottom"/>
            <w:gridSpan w:val="4"/>
          </w:tcPr>
          <w:p>
            <w:pPr>
              <w:jc w:val="right"/>
              <w:spacing w:after="0"/>
              <w:rPr>
                <w:rFonts w:ascii="Arial" w:cs="Arial" w:eastAsia="Arial" w:hAnsi="Arial"/>
                <w:sz w:val="17"/>
                <w:szCs w:val="17"/>
                <w:color w:val="0000EE"/>
              </w:rPr>
            </w:pPr>
            <w:hyperlink w:anchor="page3">
              <w:r>
                <w:rPr>
                  <w:rFonts w:ascii="Arial" w:cs="Arial" w:eastAsia="Arial" w:hAnsi="Arial"/>
                  <w:sz w:val="17"/>
                  <w:szCs w:val="17"/>
                  <w:color w:val="0000EE"/>
                </w:rPr>
                <w:t>3</w:t>
              </w:r>
            </w:hyperlink>
          </w:p>
        </w:tc>
      </w:tr>
      <w:tr>
        <w:trPr>
          <w:trHeight w:val="20"/>
        </w:trPr>
        <w:tc>
          <w:tcPr>
            <w:tcW w:w="46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24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r>
      <w:tr>
        <w:trPr>
          <w:trHeight w:val="237"/>
        </w:trPr>
        <w:tc>
          <w:tcPr>
            <w:tcW w:w="4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5040" w:type="dxa"/>
            <w:vAlign w:val="bottom"/>
            <w:tcBorders>
              <w:bottom w:val="single" w:sz="8" w:color="0000EE"/>
            </w:tcBorders>
            <w:gridSpan w:val="12"/>
          </w:tcPr>
          <w:p>
            <w:pPr>
              <w:spacing w:after="0"/>
              <w:rPr>
                <w:rFonts w:ascii="Arial" w:cs="Arial" w:eastAsia="Arial" w:hAnsi="Arial"/>
                <w:sz w:val="17"/>
                <w:szCs w:val="17"/>
                <w:color w:val="0000EE"/>
                <w:w w:val="87"/>
              </w:rPr>
            </w:pPr>
            <w:hyperlink w:anchor="page3">
              <w:r>
                <w:rPr>
                  <w:rFonts w:ascii="Arial" w:cs="Arial" w:eastAsia="Arial" w:hAnsi="Arial"/>
                  <w:sz w:val="17"/>
                  <w:szCs w:val="17"/>
                  <w:color w:val="0000EE"/>
                  <w:w w:val="87"/>
                </w:rPr>
                <w:t>Consolidated Balance Sheets as of March 31, 2014 and December 31, 2013</w:t>
              </w:r>
            </w:hyperlink>
          </w:p>
        </w:tc>
        <w:tc>
          <w:tcPr>
            <w:tcW w:w="2580" w:type="dxa"/>
            <w:vAlign w:val="bottom"/>
            <w:gridSpan w:val="4"/>
          </w:tcPr>
          <w:p>
            <w:pPr>
              <w:spacing w:after="0"/>
              <w:rPr>
                <w:sz w:val="20"/>
                <w:szCs w:val="20"/>
                <w:color w:val="auto"/>
              </w:rPr>
            </w:pPr>
          </w:p>
        </w:tc>
        <w:tc>
          <w:tcPr>
            <w:tcW w:w="2560" w:type="dxa"/>
            <w:vAlign w:val="bottom"/>
            <w:gridSpan w:val="3"/>
          </w:tcPr>
          <w:p>
            <w:pPr>
              <w:spacing w:after="0"/>
              <w:rPr>
                <w:sz w:val="20"/>
                <w:szCs w:val="20"/>
                <w:color w:val="auto"/>
              </w:rPr>
            </w:pPr>
          </w:p>
        </w:tc>
        <w:tc>
          <w:tcPr>
            <w:tcW w:w="100" w:type="dxa"/>
            <w:vAlign w:val="bottom"/>
            <w:tcBorders>
              <w:bottom w:val="single" w:sz="8" w:color="0000EE"/>
            </w:tcBorders>
          </w:tcPr>
          <w:p>
            <w:pPr>
              <w:jc w:val="right"/>
              <w:spacing w:after="0"/>
              <w:rPr>
                <w:rFonts w:ascii="Arial" w:cs="Arial" w:eastAsia="Arial" w:hAnsi="Arial"/>
                <w:sz w:val="17"/>
                <w:szCs w:val="17"/>
                <w:color w:val="0000EE"/>
                <w:w w:val="84"/>
              </w:rPr>
            </w:pPr>
            <w:hyperlink w:anchor="page3">
              <w:r>
                <w:rPr>
                  <w:rFonts w:ascii="Arial" w:cs="Arial" w:eastAsia="Arial" w:hAnsi="Arial"/>
                  <w:sz w:val="17"/>
                  <w:szCs w:val="17"/>
                  <w:color w:val="0000EE"/>
                  <w:w w:val="84"/>
                </w:rPr>
                <w:t>3</w:t>
              </w:r>
            </w:hyperlink>
          </w:p>
        </w:tc>
      </w:tr>
      <w:tr>
        <w:trPr>
          <w:trHeight w:val="250"/>
        </w:trPr>
        <w:tc>
          <w:tcPr>
            <w:tcW w:w="4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7620" w:type="dxa"/>
            <w:vAlign w:val="bottom"/>
            <w:gridSpan w:val="16"/>
          </w:tcPr>
          <w:p>
            <w:pPr>
              <w:spacing w:after="0"/>
              <w:rPr>
                <w:rFonts w:ascii="Arial" w:cs="Arial" w:eastAsia="Arial" w:hAnsi="Arial"/>
                <w:sz w:val="17"/>
                <w:szCs w:val="17"/>
                <w:color w:val="0000EE"/>
              </w:rPr>
            </w:pPr>
            <w:hyperlink w:anchor="page3">
              <w:r>
                <w:rPr>
                  <w:rFonts w:ascii="Arial" w:cs="Arial" w:eastAsia="Arial" w:hAnsi="Arial"/>
                  <w:sz w:val="17"/>
                  <w:szCs w:val="17"/>
                  <w:color w:val="0000EE"/>
                </w:rPr>
                <w:t>Consolidated Statements of Income for the Three Months Ended March 31, 2014 and 2013</w:t>
              </w:r>
            </w:hyperlink>
          </w:p>
        </w:tc>
        <w:tc>
          <w:tcPr>
            <w:tcW w:w="2660" w:type="dxa"/>
            <w:vAlign w:val="bottom"/>
            <w:gridSpan w:val="4"/>
          </w:tcPr>
          <w:p>
            <w:pPr>
              <w:jc w:val="right"/>
              <w:spacing w:after="0"/>
              <w:rPr>
                <w:rFonts w:ascii="Arial" w:cs="Arial" w:eastAsia="Arial" w:hAnsi="Arial"/>
                <w:sz w:val="17"/>
                <w:szCs w:val="17"/>
                <w:color w:val="0000EE"/>
              </w:rPr>
            </w:pPr>
            <w:hyperlink w:anchor="page3">
              <w:r>
                <w:rPr>
                  <w:rFonts w:ascii="Arial" w:cs="Arial" w:eastAsia="Arial" w:hAnsi="Arial"/>
                  <w:sz w:val="17"/>
                  <w:szCs w:val="17"/>
                  <w:color w:val="0000EE"/>
                </w:rPr>
                <w:t>4</w:t>
              </w:r>
            </w:hyperlink>
          </w:p>
        </w:tc>
      </w:tr>
      <w:tr>
        <w:trPr>
          <w:trHeight w:val="20"/>
        </w:trPr>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7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980" w:type="dxa"/>
            <w:vAlign w:val="bottom"/>
            <w:shd w:val="clear" w:color="auto" w:fill="0000EE"/>
          </w:tcPr>
          <w:p>
            <w:pPr>
              <w:spacing w:after="0" w:line="20" w:lineRule="exact"/>
              <w:rPr>
                <w:sz w:val="1"/>
                <w:szCs w:val="1"/>
                <w:color w:val="auto"/>
              </w:rPr>
            </w:pPr>
          </w:p>
        </w:tc>
        <w:tc>
          <w:tcPr>
            <w:tcW w:w="9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r>
      <w:tr>
        <w:trPr>
          <w:trHeight w:val="250"/>
        </w:trPr>
        <w:tc>
          <w:tcPr>
            <w:tcW w:w="4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7620" w:type="dxa"/>
            <w:vAlign w:val="bottom"/>
            <w:tcBorders>
              <w:bottom w:val="single" w:sz="8" w:color="0000EE"/>
            </w:tcBorders>
            <w:gridSpan w:val="16"/>
          </w:tcPr>
          <w:p>
            <w:pPr>
              <w:spacing w:after="0"/>
              <w:rPr>
                <w:rFonts w:ascii="Arial" w:cs="Arial" w:eastAsia="Arial" w:hAnsi="Arial"/>
                <w:sz w:val="17"/>
                <w:szCs w:val="17"/>
                <w:color w:val="0000EE"/>
                <w:w w:val="88"/>
              </w:rPr>
            </w:pPr>
            <w:hyperlink w:anchor="page4">
              <w:r>
                <w:rPr>
                  <w:rFonts w:ascii="Arial" w:cs="Arial" w:eastAsia="Arial" w:hAnsi="Arial"/>
                  <w:sz w:val="17"/>
                  <w:szCs w:val="17"/>
                  <w:color w:val="0000EE"/>
                  <w:w w:val="88"/>
                </w:rPr>
                <w:t>Consolidated Statements of Comprehensive Income (Loss) for the Three Months Ended March 31, 2014 and 2013</w:t>
              </w:r>
            </w:hyperlink>
          </w:p>
        </w:tc>
        <w:tc>
          <w:tcPr>
            <w:tcW w:w="2560" w:type="dxa"/>
            <w:vAlign w:val="bottom"/>
            <w:gridSpan w:val="3"/>
          </w:tcPr>
          <w:p>
            <w:pPr>
              <w:spacing w:after="0"/>
              <w:rPr>
                <w:sz w:val="21"/>
                <w:szCs w:val="21"/>
                <w:color w:val="auto"/>
              </w:rPr>
            </w:pPr>
          </w:p>
        </w:tc>
        <w:tc>
          <w:tcPr>
            <w:tcW w:w="100" w:type="dxa"/>
            <w:vAlign w:val="bottom"/>
            <w:tcBorders>
              <w:bottom w:val="single" w:sz="8" w:color="0000EE"/>
            </w:tcBorders>
          </w:tcPr>
          <w:p>
            <w:pPr>
              <w:jc w:val="right"/>
              <w:spacing w:after="0"/>
              <w:rPr>
                <w:rFonts w:ascii="Arial" w:cs="Arial" w:eastAsia="Arial" w:hAnsi="Arial"/>
                <w:sz w:val="17"/>
                <w:szCs w:val="17"/>
                <w:color w:val="0000EE"/>
                <w:w w:val="84"/>
              </w:rPr>
            </w:pPr>
            <w:hyperlink w:anchor="page4">
              <w:r>
                <w:rPr>
                  <w:rFonts w:ascii="Arial" w:cs="Arial" w:eastAsia="Arial" w:hAnsi="Arial"/>
                  <w:sz w:val="17"/>
                  <w:szCs w:val="17"/>
                  <w:color w:val="0000EE"/>
                  <w:w w:val="84"/>
                </w:rPr>
                <w:t>5</w:t>
              </w:r>
            </w:hyperlink>
          </w:p>
        </w:tc>
      </w:tr>
      <w:tr>
        <w:trPr>
          <w:trHeight w:val="250"/>
        </w:trPr>
        <w:tc>
          <w:tcPr>
            <w:tcW w:w="4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7620" w:type="dxa"/>
            <w:vAlign w:val="bottom"/>
            <w:gridSpan w:val="16"/>
          </w:tcPr>
          <w:p>
            <w:pPr>
              <w:spacing w:after="0"/>
              <w:rPr>
                <w:rFonts w:ascii="Arial" w:cs="Arial" w:eastAsia="Arial" w:hAnsi="Arial"/>
                <w:sz w:val="17"/>
                <w:szCs w:val="17"/>
                <w:color w:val="0000EE"/>
              </w:rPr>
            </w:pPr>
            <w:hyperlink w:anchor="page5">
              <w:r>
                <w:rPr>
                  <w:rFonts w:ascii="Arial" w:cs="Arial" w:eastAsia="Arial" w:hAnsi="Arial"/>
                  <w:sz w:val="17"/>
                  <w:szCs w:val="17"/>
                  <w:color w:val="0000EE"/>
                </w:rPr>
                <w:t>Consolidated Statements of Cash Flows for the Three Months Ended March 31, 2014 and 2013</w:t>
              </w:r>
            </w:hyperlink>
          </w:p>
        </w:tc>
        <w:tc>
          <w:tcPr>
            <w:tcW w:w="2660" w:type="dxa"/>
            <w:vAlign w:val="bottom"/>
            <w:gridSpan w:val="4"/>
          </w:tcPr>
          <w:p>
            <w:pPr>
              <w:jc w:val="right"/>
              <w:spacing w:after="0"/>
              <w:rPr>
                <w:rFonts w:ascii="Arial" w:cs="Arial" w:eastAsia="Arial" w:hAnsi="Arial"/>
                <w:sz w:val="17"/>
                <w:szCs w:val="17"/>
                <w:color w:val="0000EE"/>
              </w:rPr>
            </w:pPr>
            <w:hyperlink w:anchor="page5">
              <w:r>
                <w:rPr>
                  <w:rFonts w:ascii="Arial" w:cs="Arial" w:eastAsia="Arial" w:hAnsi="Arial"/>
                  <w:sz w:val="17"/>
                  <w:szCs w:val="17"/>
                  <w:color w:val="0000EE"/>
                </w:rPr>
                <w:t>6</w:t>
              </w:r>
            </w:hyperlink>
          </w:p>
        </w:tc>
      </w:tr>
      <w:tr>
        <w:trPr>
          <w:trHeight w:val="250"/>
        </w:trPr>
        <w:tc>
          <w:tcPr>
            <w:tcW w:w="4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6340" w:type="dxa"/>
            <w:vAlign w:val="bottom"/>
            <w:tcBorders>
              <w:top w:val="single" w:sz="8" w:color="0000EE"/>
            </w:tcBorders>
            <w:gridSpan w:val="15"/>
          </w:tcPr>
          <w:p>
            <w:pPr>
              <w:spacing w:after="0"/>
              <w:rPr>
                <w:rFonts w:ascii="Arial" w:cs="Arial" w:eastAsia="Arial" w:hAnsi="Arial"/>
                <w:sz w:val="17"/>
                <w:szCs w:val="17"/>
                <w:color w:val="0000EE"/>
              </w:rPr>
            </w:pPr>
            <w:hyperlink w:anchor="page6">
              <w:r>
                <w:rPr>
                  <w:rFonts w:ascii="Arial" w:cs="Arial" w:eastAsia="Arial" w:hAnsi="Arial"/>
                  <w:sz w:val="17"/>
                  <w:szCs w:val="17"/>
                  <w:color w:val="0000EE"/>
                </w:rPr>
                <w:t>Notes to the Unaudited Consolidated Financial Statements</w:t>
              </w:r>
            </w:hyperlink>
          </w:p>
        </w:tc>
        <w:tc>
          <w:tcPr>
            <w:tcW w:w="1280" w:type="dxa"/>
            <w:vAlign w:val="bottom"/>
          </w:tcPr>
          <w:p>
            <w:pPr>
              <w:spacing w:after="0"/>
              <w:rPr>
                <w:sz w:val="21"/>
                <w:szCs w:val="21"/>
                <w:color w:val="auto"/>
              </w:rPr>
            </w:pPr>
          </w:p>
        </w:tc>
        <w:tc>
          <w:tcPr>
            <w:tcW w:w="2560" w:type="dxa"/>
            <w:vAlign w:val="bottom"/>
            <w:gridSpan w:val="3"/>
          </w:tcPr>
          <w:p>
            <w:pPr>
              <w:spacing w:after="0"/>
              <w:rPr>
                <w:sz w:val="21"/>
                <w:szCs w:val="21"/>
                <w:color w:val="auto"/>
              </w:rPr>
            </w:pPr>
          </w:p>
        </w:tc>
        <w:tc>
          <w:tcPr>
            <w:tcW w:w="100" w:type="dxa"/>
            <w:vAlign w:val="bottom"/>
            <w:tcBorders>
              <w:top w:val="single" w:sz="8" w:color="0000EE"/>
            </w:tcBorders>
          </w:tcPr>
          <w:p>
            <w:pPr>
              <w:jc w:val="right"/>
              <w:spacing w:after="0"/>
              <w:rPr>
                <w:rFonts w:ascii="Arial" w:cs="Arial" w:eastAsia="Arial" w:hAnsi="Arial"/>
                <w:sz w:val="17"/>
                <w:szCs w:val="17"/>
                <w:color w:val="0000EE"/>
                <w:w w:val="84"/>
              </w:rPr>
            </w:pPr>
            <w:hyperlink w:anchor="page6">
              <w:r>
                <w:rPr>
                  <w:rFonts w:ascii="Arial" w:cs="Arial" w:eastAsia="Arial" w:hAnsi="Arial"/>
                  <w:sz w:val="17"/>
                  <w:szCs w:val="17"/>
                  <w:color w:val="0000EE"/>
                  <w:w w:val="84"/>
                </w:rPr>
                <w:t>7</w:t>
              </w:r>
            </w:hyperlink>
          </w:p>
        </w:tc>
      </w:tr>
      <w:tr>
        <w:trPr>
          <w:trHeight w:val="20"/>
        </w:trPr>
        <w:tc>
          <w:tcPr>
            <w:tcW w:w="4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260" w:type="dxa"/>
            <w:vAlign w:val="bottom"/>
            <w:gridSpan w:val="3"/>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900" w:type="dxa"/>
            <w:vAlign w:val="bottom"/>
            <w:gridSpan w:val="2"/>
          </w:tcPr>
          <w:p>
            <w:pPr>
              <w:spacing w:after="0" w:line="20" w:lineRule="exact"/>
              <w:rPr>
                <w:sz w:val="1"/>
                <w:szCs w:val="1"/>
                <w:color w:val="auto"/>
              </w:rPr>
            </w:pPr>
          </w:p>
        </w:tc>
        <w:tc>
          <w:tcPr>
            <w:tcW w:w="1660" w:type="dxa"/>
            <w:vAlign w:val="bottom"/>
            <w:gridSpan w:val="3"/>
          </w:tcPr>
          <w:p>
            <w:pPr>
              <w:spacing w:after="0" w:line="20" w:lineRule="exact"/>
              <w:rPr>
                <w:sz w:val="1"/>
                <w:szCs w:val="1"/>
                <w:color w:val="auto"/>
              </w:rPr>
            </w:pPr>
          </w:p>
        </w:tc>
        <w:tc>
          <w:tcPr>
            <w:tcW w:w="24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r>
      <w:tr>
        <w:trPr>
          <w:trHeight w:val="250"/>
        </w:trPr>
        <w:tc>
          <w:tcPr>
            <w:tcW w:w="480" w:type="dxa"/>
            <w:vAlign w:val="bottom"/>
            <w:gridSpan w:val="2"/>
          </w:tcPr>
          <w:p>
            <w:pPr>
              <w:spacing w:after="0"/>
              <w:rPr>
                <w:sz w:val="20"/>
                <w:szCs w:val="20"/>
                <w:color w:val="auto"/>
              </w:rPr>
            </w:pPr>
            <w:r>
              <w:rPr>
                <w:rFonts w:ascii="Arial" w:cs="Arial" w:eastAsia="Arial" w:hAnsi="Arial"/>
                <w:sz w:val="17"/>
                <w:szCs w:val="17"/>
                <w:color w:val="auto"/>
                <w:w w:val="88"/>
              </w:rPr>
              <w:t>Item 2.</w:t>
            </w:r>
          </w:p>
        </w:tc>
        <w:tc>
          <w:tcPr>
            <w:tcW w:w="600" w:type="dxa"/>
            <w:vAlign w:val="bottom"/>
            <w:gridSpan w:val="2"/>
          </w:tcPr>
          <w:p>
            <w:pPr>
              <w:spacing w:after="0"/>
              <w:rPr>
                <w:sz w:val="21"/>
                <w:szCs w:val="21"/>
                <w:color w:val="auto"/>
              </w:rPr>
            </w:pPr>
          </w:p>
        </w:tc>
        <w:tc>
          <w:tcPr>
            <w:tcW w:w="7620" w:type="dxa"/>
            <w:vAlign w:val="bottom"/>
            <w:gridSpan w:val="16"/>
          </w:tcPr>
          <w:p>
            <w:pPr>
              <w:spacing w:after="0"/>
              <w:rPr>
                <w:rFonts w:ascii="Arial" w:cs="Arial" w:eastAsia="Arial" w:hAnsi="Arial"/>
                <w:sz w:val="17"/>
                <w:szCs w:val="17"/>
                <w:color w:val="0000EE"/>
              </w:rPr>
            </w:pPr>
            <w:hyperlink w:anchor="page14">
              <w:r>
                <w:rPr>
                  <w:rFonts w:ascii="Arial" w:cs="Arial" w:eastAsia="Arial" w:hAnsi="Arial"/>
                  <w:sz w:val="17"/>
                  <w:szCs w:val="17"/>
                  <w:color w:val="0000EE"/>
                </w:rPr>
                <w:t>Management's Discussion and Analysis of Financial Condition and Results of Operations</w:t>
              </w:r>
            </w:hyperlink>
          </w:p>
        </w:tc>
        <w:tc>
          <w:tcPr>
            <w:tcW w:w="2660" w:type="dxa"/>
            <w:vAlign w:val="bottom"/>
            <w:gridSpan w:val="4"/>
          </w:tcPr>
          <w:p>
            <w:pPr>
              <w:jc w:val="right"/>
              <w:spacing w:after="0"/>
              <w:rPr>
                <w:rFonts w:ascii="Arial" w:cs="Arial" w:eastAsia="Arial" w:hAnsi="Arial"/>
                <w:sz w:val="17"/>
                <w:szCs w:val="17"/>
                <w:color w:val="0000EE"/>
              </w:rPr>
            </w:pPr>
            <w:hyperlink w:anchor="page14">
              <w:r>
                <w:rPr>
                  <w:rFonts w:ascii="Arial" w:cs="Arial" w:eastAsia="Arial" w:hAnsi="Arial"/>
                  <w:sz w:val="17"/>
                  <w:szCs w:val="17"/>
                  <w:color w:val="0000EE"/>
                </w:rPr>
                <w:t>15</w:t>
              </w:r>
            </w:hyperlink>
          </w:p>
        </w:tc>
      </w:tr>
      <w:tr>
        <w:trPr>
          <w:trHeight w:val="237"/>
        </w:trPr>
        <w:tc>
          <w:tcPr>
            <w:tcW w:w="480" w:type="dxa"/>
            <w:vAlign w:val="bottom"/>
            <w:tcBorders>
              <w:top w:val="single" w:sz="8" w:color="auto"/>
              <w:bottom w:val="single" w:sz="8" w:color="auto"/>
            </w:tcBorders>
            <w:gridSpan w:val="2"/>
          </w:tcPr>
          <w:p>
            <w:pPr>
              <w:spacing w:after="0"/>
              <w:rPr>
                <w:sz w:val="20"/>
                <w:szCs w:val="20"/>
                <w:color w:val="auto"/>
              </w:rPr>
            </w:pPr>
            <w:r>
              <w:rPr>
                <w:rFonts w:ascii="Arial" w:cs="Arial" w:eastAsia="Arial" w:hAnsi="Arial"/>
                <w:sz w:val="17"/>
                <w:szCs w:val="17"/>
                <w:color w:val="auto"/>
                <w:w w:val="88"/>
              </w:rPr>
              <w:t>Item 3.</w:t>
            </w:r>
          </w:p>
        </w:tc>
        <w:tc>
          <w:tcPr>
            <w:tcW w:w="600" w:type="dxa"/>
            <w:vAlign w:val="bottom"/>
            <w:gridSpan w:val="2"/>
          </w:tcPr>
          <w:p>
            <w:pPr>
              <w:spacing w:after="0"/>
              <w:rPr>
                <w:sz w:val="20"/>
                <w:szCs w:val="20"/>
                <w:color w:val="auto"/>
              </w:rPr>
            </w:pPr>
          </w:p>
        </w:tc>
        <w:tc>
          <w:tcPr>
            <w:tcW w:w="4060" w:type="dxa"/>
            <w:vAlign w:val="bottom"/>
            <w:tcBorders>
              <w:top w:val="single" w:sz="8" w:color="0000EE"/>
              <w:bottom w:val="single" w:sz="8" w:color="0000EE"/>
            </w:tcBorders>
            <w:gridSpan w:val="11"/>
          </w:tcPr>
          <w:p>
            <w:pPr>
              <w:spacing w:after="0"/>
              <w:rPr>
                <w:rFonts w:ascii="Arial" w:cs="Arial" w:eastAsia="Arial" w:hAnsi="Arial"/>
                <w:sz w:val="17"/>
                <w:szCs w:val="17"/>
                <w:color w:val="0000EE"/>
                <w:w w:val="90"/>
              </w:rPr>
            </w:pPr>
            <w:hyperlink w:anchor="page30">
              <w:r>
                <w:rPr>
                  <w:rFonts w:ascii="Arial" w:cs="Arial" w:eastAsia="Arial" w:hAnsi="Arial"/>
                  <w:sz w:val="17"/>
                  <w:szCs w:val="17"/>
                  <w:color w:val="0000EE"/>
                  <w:w w:val="90"/>
                </w:rPr>
                <w:t>Quantitative and Qualitative Disclosures About Market Risk</w:t>
              </w:r>
            </w:hyperlink>
          </w:p>
        </w:tc>
        <w:tc>
          <w:tcPr>
            <w:tcW w:w="1900" w:type="dxa"/>
            <w:vAlign w:val="bottom"/>
            <w:tcBorders>
              <w:top w:val="single" w:sz="8" w:color="0000EE"/>
            </w:tcBorders>
            <w:gridSpan w:val="2"/>
          </w:tcPr>
          <w:p>
            <w:pPr>
              <w:spacing w:after="0"/>
              <w:rPr>
                <w:sz w:val="20"/>
                <w:szCs w:val="20"/>
                <w:color w:val="auto"/>
              </w:rPr>
            </w:pPr>
          </w:p>
        </w:tc>
        <w:tc>
          <w:tcPr>
            <w:tcW w:w="1660" w:type="dxa"/>
            <w:vAlign w:val="bottom"/>
            <w:gridSpan w:val="3"/>
          </w:tcPr>
          <w:p>
            <w:pPr>
              <w:spacing w:after="0"/>
              <w:rPr>
                <w:sz w:val="20"/>
                <w:szCs w:val="20"/>
                <w:color w:val="auto"/>
              </w:rPr>
            </w:pPr>
          </w:p>
        </w:tc>
        <w:tc>
          <w:tcPr>
            <w:tcW w:w="2480" w:type="dxa"/>
            <w:vAlign w:val="bottom"/>
            <w:gridSpan w:val="2"/>
          </w:tcPr>
          <w:p>
            <w:pPr>
              <w:spacing w:after="0"/>
              <w:rPr>
                <w:sz w:val="20"/>
                <w:szCs w:val="20"/>
                <w:color w:val="auto"/>
              </w:rPr>
            </w:pPr>
          </w:p>
        </w:tc>
        <w:tc>
          <w:tcPr>
            <w:tcW w:w="180" w:type="dxa"/>
            <w:vAlign w:val="bottom"/>
            <w:tcBorders>
              <w:top w:val="single" w:sz="8" w:color="0000EE"/>
              <w:bottom w:val="single" w:sz="8" w:color="0000EE"/>
            </w:tcBorders>
            <w:gridSpan w:val="2"/>
          </w:tcPr>
          <w:p>
            <w:pPr>
              <w:jc w:val="right"/>
              <w:spacing w:after="0"/>
              <w:rPr>
                <w:rFonts w:ascii="Arial" w:cs="Arial" w:eastAsia="Arial" w:hAnsi="Arial"/>
                <w:sz w:val="17"/>
                <w:szCs w:val="17"/>
                <w:color w:val="0000EE"/>
                <w:w w:val="84"/>
              </w:rPr>
            </w:pPr>
            <w:hyperlink w:anchor="page30">
              <w:r>
                <w:rPr>
                  <w:rFonts w:ascii="Arial" w:cs="Arial" w:eastAsia="Arial" w:hAnsi="Arial"/>
                  <w:sz w:val="17"/>
                  <w:szCs w:val="17"/>
                  <w:color w:val="0000EE"/>
                  <w:w w:val="84"/>
                </w:rPr>
                <w:t>30</w:t>
              </w:r>
            </w:hyperlink>
          </w:p>
        </w:tc>
      </w:tr>
      <w:tr>
        <w:trPr>
          <w:trHeight w:val="237"/>
        </w:trPr>
        <w:tc>
          <w:tcPr>
            <w:tcW w:w="1080" w:type="dxa"/>
            <w:vAlign w:val="bottom"/>
            <w:gridSpan w:val="4"/>
          </w:tcPr>
          <w:p>
            <w:pPr>
              <w:spacing w:after="0"/>
              <w:rPr>
                <w:sz w:val="20"/>
                <w:szCs w:val="20"/>
                <w:color w:val="auto"/>
              </w:rPr>
            </w:pPr>
            <w:r>
              <w:rPr>
                <w:rFonts w:ascii="Arial" w:cs="Arial" w:eastAsia="Arial" w:hAnsi="Arial"/>
                <w:sz w:val="17"/>
                <w:szCs w:val="17"/>
                <w:color w:val="auto"/>
              </w:rPr>
              <w:t>Item 4.</w:t>
            </w:r>
          </w:p>
        </w:tc>
        <w:tc>
          <w:tcPr>
            <w:tcW w:w="7620" w:type="dxa"/>
            <w:vAlign w:val="bottom"/>
            <w:gridSpan w:val="16"/>
          </w:tcPr>
          <w:p>
            <w:pPr>
              <w:spacing w:after="0"/>
              <w:rPr>
                <w:rFonts w:ascii="Arial" w:cs="Arial" w:eastAsia="Arial" w:hAnsi="Arial"/>
                <w:sz w:val="17"/>
                <w:szCs w:val="17"/>
                <w:color w:val="0000EE"/>
              </w:rPr>
            </w:pPr>
            <w:hyperlink w:anchor="page31">
              <w:r>
                <w:rPr>
                  <w:rFonts w:ascii="Arial" w:cs="Arial" w:eastAsia="Arial" w:hAnsi="Arial"/>
                  <w:sz w:val="17"/>
                  <w:szCs w:val="17"/>
                  <w:color w:val="0000EE"/>
                </w:rPr>
                <w:t>Controls and Procedures</w:t>
              </w:r>
            </w:hyperlink>
          </w:p>
        </w:tc>
        <w:tc>
          <w:tcPr>
            <w:tcW w:w="2660" w:type="dxa"/>
            <w:vAlign w:val="bottom"/>
            <w:gridSpan w:val="4"/>
          </w:tcPr>
          <w:p>
            <w:pPr>
              <w:jc w:val="right"/>
              <w:spacing w:after="0"/>
              <w:rPr>
                <w:rFonts w:ascii="Arial" w:cs="Arial" w:eastAsia="Arial" w:hAnsi="Arial"/>
                <w:sz w:val="17"/>
                <w:szCs w:val="17"/>
                <w:color w:val="0000EE"/>
              </w:rPr>
            </w:pPr>
            <w:hyperlink w:anchor="page31">
              <w:r>
                <w:rPr>
                  <w:rFonts w:ascii="Arial" w:cs="Arial" w:eastAsia="Arial" w:hAnsi="Arial"/>
                  <w:sz w:val="17"/>
                  <w:szCs w:val="17"/>
                  <w:color w:val="0000EE"/>
                </w:rPr>
                <w:t>31</w:t>
              </w:r>
            </w:hyperlink>
          </w:p>
        </w:tc>
      </w:tr>
      <w:tr>
        <w:trPr>
          <w:trHeight w:val="20"/>
        </w:trPr>
        <w:tc>
          <w:tcPr>
            <w:tcW w:w="460" w:type="dxa"/>
            <w:vAlign w:val="bottom"/>
            <w:shd w:val="clear" w:color="auto" w:fill="000000"/>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400" w:type="dxa"/>
            <w:vAlign w:val="bottom"/>
            <w:gridSpan w:val="4"/>
          </w:tcPr>
          <w:p>
            <w:pPr>
              <w:spacing w:after="0" w:line="20" w:lineRule="exact"/>
              <w:rPr>
                <w:sz w:val="1"/>
                <w:szCs w:val="1"/>
                <w:color w:val="auto"/>
              </w:rPr>
            </w:pPr>
          </w:p>
        </w:tc>
        <w:tc>
          <w:tcPr>
            <w:tcW w:w="3580" w:type="dxa"/>
            <w:vAlign w:val="bottom"/>
            <w:gridSpan w:val="6"/>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r>
      <w:tr>
        <w:trPr>
          <w:trHeight w:val="237"/>
        </w:trPr>
        <w:tc>
          <w:tcPr>
            <w:tcW w:w="2640" w:type="dxa"/>
            <w:vAlign w:val="bottom"/>
            <w:tcBorders>
              <w:bottom w:val="single" w:sz="8" w:color="0000EE"/>
            </w:tcBorders>
            <w:gridSpan w:val="9"/>
          </w:tcPr>
          <w:p>
            <w:pPr>
              <w:spacing w:after="0"/>
              <w:rPr>
                <w:rFonts w:ascii="Arial" w:cs="Arial" w:eastAsia="Arial" w:hAnsi="Arial"/>
                <w:sz w:val="17"/>
                <w:szCs w:val="17"/>
                <w:b w:val="1"/>
                <w:bCs w:val="1"/>
                <w:color w:val="0000EE"/>
              </w:rPr>
            </w:pPr>
            <w:hyperlink w:anchor="page31">
              <w:r>
                <w:rPr>
                  <w:rFonts w:ascii="Arial" w:cs="Arial" w:eastAsia="Arial" w:hAnsi="Arial"/>
                  <w:sz w:val="17"/>
                  <w:szCs w:val="17"/>
                  <w:b w:val="1"/>
                  <w:bCs w:val="1"/>
                  <w:color w:val="0000EE"/>
                </w:rPr>
                <w:t>PART II—OTHER INFORMATION</w:t>
              </w:r>
            </w:hyperlink>
          </w:p>
        </w:tc>
        <w:tc>
          <w:tcPr>
            <w:tcW w:w="6060" w:type="dxa"/>
            <w:vAlign w:val="bottom"/>
            <w:gridSpan w:val="11"/>
          </w:tcPr>
          <w:p>
            <w:pPr>
              <w:spacing w:after="0"/>
              <w:rPr>
                <w:sz w:val="20"/>
                <w:szCs w:val="20"/>
                <w:color w:val="auto"/>
              </w:rPr>
            </w:pPr>
          </w:p>
        </w:tc>
        <w:tc>
          <w:tcPr>
            <w:tcW w:w="23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50"/>
        </w:trPr>
        <w:tc>
          <w:tcPr>
            <w:tcW w:w="480" w:type="dxa"/>
            <w:vAlign w:val="bottom"/>
            <w:gridSpan w:val="2"/>
          </w:tcPr>
          <w:p>
            <w:pPr>
              <w:spacing w:after="0"/>
              <w:rPr>
                <w:sz w:val="20"/>
                <w:szCs w:val="20"/>
                <w:color w:val="auto"/>
              </w:rPr>
            </w:pPr>
            <w:r>
              <w:rPr>
                <w:rFonts w:ascii="Arial" w:cs="Arial" w:eastAsia="Arial" w:hAnsi="Arial"/>
                <w:sz w:val="17"/>
                <w:szCs w:val="17"/>
                <w:color w:val="auto"/>
                <w:w w:val="88"/>
              </w:rPr>
              <w:t>Item 1.</w:t>
            </w:r>
          </w:p>
        </w:tc>
        <w:tc>
          <w:tcPr>
            <w:tcW w:w="600" w:type="dxa"/>
            <w:vAlign w:val="bottom"/>
            <w:gridSpan w:val="2"/>
          </w:tcPr>
          <w:p>
            <w:pPr>
              <w:spacing w:after="0"/>
              <w:rPr>
                <w:sz w:val="21"/>
                <w:szCs w:val="21"/>
                <w:color w:val="auto"/>
              </w:rPr>
            </w:pPr>
          </w:p>
        </w:tc>
        <w:tc>
          <w:tcPr>
            <w:tcW w:w="7620" w:type="dxa"/>
            <w:vAlign w:val="bottom"/>
            <w:gridSpan w:val="16"/>
          </w:tcPr>
          <w:p>
            <w:pPr>
              <w:spacing w:after="0"/>
              <w:rPr>
                <w:rFonts w:ascii="Arial" w:cs="Arial" w:eastAsia="Arial" w:hAnsi="Arial"/>
                <w:sz w:val="17"/>
                <w:szCs w:val="17"/>
                <w:color w:val="0000EE"/>
              </w:rPr>
            </w:pPr>
            <w:hyperlink w:anchor="page31">
              <w:r>
                <w:rPr>
                  <w:rFonts w:ascii="Arial" w:cs="Arial" w:eastAsia="Arial" w:hAnsi="Arial"/>
                  <w:sz w:val="17"/>
                  <w:szCs w:val="17"/>
                  <w:color w:val="0000EE"/>
                </w:rPr>
                <w:t>Legal Proceedings</w:t>
              </w:r>
            </w:hyperlink>
          </w:p>
        </w:tc>
        <w:tc>
          <w:tcPr>
            <w:tcW w:w="2660" w:type="dxa"/>
            <w:vAlign w:val="bottom"/>
            <w:gridSpan w:val="4"/>
          </w:tcPr>
          <w:p>
            <w:pPr>
              <w:jc w:val="right"/>
              <w:spacing w:after="0"/>
              <w:rPr>
                <w:rFonts w:ascii="Arial" w:cs="Arial" w:eastAsia="Arial" w:hAnsi="Arial"/>
                <w:sz w:val="17"/>
                <w:szCs w:val="17"/>
                <w:color w:val="0000EE"/>
              </w:rPr>
            </w:pPr>
            <w:hyperlink w:anchor="page31">
              <w:r>
                <w:rPr>
                  <w:rFonts w:ascii="Arial" w:cs="Arial" w:eastAsia="Arial" w:hAnsi="Arial"/>
                  <w:sz w:val="17"/>
                  <w:szCs w:val="17"/>
                  <w:color w:val="0000EE"/>
                </w:rPr>
                <w:t>31</w:t>
              </w:r>
            </w:hyperlink>
          </w:p>
        </w:tc>
      </w:tr>
      <w:tr>
        <w:trPr>
          <w:trHeight w:val="20"/>
        </w:trPr>
        <w:tc>
          <w:tcPr>
            <w:tcW w:w="480" w:type="dxa"/>
            <w:vAlign w:val="bottom"/>
            <w:gridSpan w:val="2"/>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800" w:type="dxa"/>
            <w:vAlign w:val="bottom"/>
            <w:gridSpan w:val="6"/>
          </w:tcPr>
          <w:p>
            <w:pPr>
              <w:spacing w:after="0" w:line="20" w:lineRule="exact"/>
              <w:rPr>
                <w:sz w:val="1"/>
                <w:szCs w:val="1"/>
                <w:color w:val="auto"/>
              </w:rPr>
            </w:pPr>
          </w:p>
        </w:tc>
        <w:tc>
          <w:tcPr>
            <w:tcW w:w="3580" w:type="dxa"/>
            <w:vAlign w:val="bottom"/>
            <w:gridSpan w:val="6"/>
          </w:tcPr>
          <w:p>
            <w:pPr>
              <w:spacing w:after="0" w:line="20" w:lineRule="exact"/>
              <w:rPr>
                <w:sz w:val="1"/>
                <w:szCs w:val="1"/>
                <w:color w:val="auto"/>
              </w:rPr>
            </w:pPr>
          </w:p>
        </w:tc>
        <w:tc>
          <w:tcPr>
            <w:tcW w:w="2480" w:type="dxa"/>
            <w:vAlign w:val="bottom"/>
            <w:gridSpan w:val="2"/>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237"/>
        </w:trPr>
        <w:tc>
          <w:tcPr>
            <w:tcW w:w="1080" w:type="dxa"/>
            <w:vAlign w:val="bottom"/>
            <w:gridSpan w:val="4"/>
          </w:tcPr>
          <w:p>
            <w:pPr>
              <w:spacing w:after="0"/>
              <w:rPr>
                <w:sz w:val="20"/>
                <w:szCs w:val="20"/>
                <w:color w:val="auto"/>
              </w:rPr>
            </w:pPr>
            <w:r>
              <w:rPr>
                <w:rFonts w:ascii="Arial" w:cs="Arial" w:eastAsia="Arial" w:hAnsi="Arial"/>
                <w:sz w:val="17"/>
                <w:szCs w:val="17"/>
                <w:color w:val="auto"/>
              </w:rPr>
              <w:t>Item 1A.</w:t>
            </w:r>
          </w:p>
        </w:tc>
        <w:tc>
          <w:tcPr>
            <w:tcW w:w="7620" w:type="dxa"/>
            <w:vAlign w:val="bottom"/>
            <w:gridSpan w:val="16"/>
          </w:tcPr>
          <w:p>
            <w:pPr>
              <w:spacing w:after="0"/>
              <w:rPr>
                <w:rFonts w:ascii="Arial" w:cs="Arial" w:eastAsia="Arial" w:hAnsi="Arial"/>
                <w:sz w:val="17"/>
                <w:szCs w:val="17"/>
                <w:color w:val="0000EE"/>
              </w:rPr>
            </w:pPr>
            <w:hyperlink w:anchor="page31">
              <w:r>
                <w:rPr>
                  <w:rFonts w:ascii="Arial" w:cs="Arial" w:eastAsia="Arial" w:hAnsi="Arial"/>
                  <w:sz w:val="17"/>
                  <w:szCs w:val="17"/>
                  <w:color w:val="0000EE"/>
                </w:rPr>
                <w:t>Risk Factors</w:t>
              </w:r>
            </w:hyperlink>
          </w:p>
        </w:tc>
        <w:tc>
          <w:tcPr>
            <w:tcW w:w="2660" w:type="dxa"/>
            <w:vAlign w:val="bottom"/>
            <w:gridSpan w:val="4"/>
          </w:tcPr>
          <w:p>
            <w:pPr>
              <w:jc w:val="right"/>
              <w:spacing w:after="0"/>
              <w:rPr>
                <w:rFonts w:ascii="Arial" w:cs="Arial" w:eastAsia="Arial" w:hAnsi="Arial"/>
                <w:sz w:val="17"/>
                <w:szCs w:val="17"/>
                <w:color w:val="0000EE"/>
              </w:rPr>
            </w:pPr>
            <w:hyperlink w:anchor="page31">
              <w:r>
                <w:rPr>
                  <w:rFonts w:ascii="Arial" w:cs="Arial" w:eastAsia="Arial" w:hAnsi="Arial"/>
                  <w:sz w:val="17"/>
                  <w:szCs w:val="17"/>
                  <w:color w:val="0000EE"/>
                </w:rPr>
                <w:t>32</w:t>
              </w:r>
            </w:hyperlink>
          </w:p>
        </w:tc>
      </w:tr>
      <w:tr>
        <w:trPr>
          <w:trHeight w:val="20"/>
        </w:trPr>
        <w:tc>
          <w:tcPr>
            <w:tcW w:w="580" w:type="dxa"/>
            <w:vAlign w:val="bottom"/>
            <w:gridSpan w:val="3"/>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200" w:type="dxa"/>
            <w:vAlign w:val="bottom"/>
            <w:gridSpan w:val="7"/>
          </w:tcPr>
          <w:p>
            <w:pPr>
              <w:spacing w:after="0" w:line="20" w:lineRule="exact"/>
              <w:rPr>
                <w:sz w:val="1"/>
                <w:szCs w:val="1"/>
                <w:color w:val="auto"/>
              </w:rPr>
            </w:pPr>
          </w:p>
        </w:tc>
        <w:tc>
          <w:tcPr>
            <w:tcW w:w="3580" w:type="dxa"/>
            <w:vAlign w:val="bottom"/>
            <w:gridSpan w:val="6"/>
          </w:tcPr>
          <w:p>
            <w:pPr>
              <w:spacing w:after="0" w:line="20" w:lineRule="exact"/>
              <w:rPr>
                <w:sz w:val="1"/>
                <w:szCs w:val="1"/>
                <w:color w:val="auto"/>
              </w:rPr>
            </w:pPr>
          </w:p>
        </w:tc>
        <w:tc>
          <w:tcPr>
            <w:tcW w:w="2480" w:type="dxa"/>
            <w:vAlign w:val="bottom"/>
            <w:gridSpan w:val="2"/>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237"/>
        </w:trPr>
        <w:tc>
          <w:tcPr>
            <w:tcW w:w="48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auto"/>
                <w:w w:val="88"/>
              </w:rPr>
              <w:t>Item 2.</w:t>
            </w: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4040" w:type="dxa"/>
            <w:vAlign w:val="bottom"/>
            <w:tcBorders>
              <w:bottom w:val="single" w:sz="8" w:color="0000EE"/>
            </w:tcBorders>
            <w:gridSpan w:val="10"/>
          </w:tcPr>
          <w:p>
            <w:pPr>
              <w:spacing w:after="0"/>
              <w:rPr>
                <w:rFonts w:ascii="Arial" w:cs="Arial" w:eastAsia="Arial" w:hAnsi="Arial"/>
                <w:sz w:val="17"/>
                <w:szCs w:val="17"/>
                <w:color w:val="0000EE"/>
                <w:w w:val="87"/>
              </w:rPr>
            </w:pPr>
            <w:hyperlink w:anchor="page32">
              <w:r>
                <w:rPr>
                  <w:rFonts w:ascii="Arial" w:cs="Arial" w:eastAsia="Arial" w:hAnsi="Arial"/>
                  <w:sz w:val="17"/>
                  <w:szCs w:val="17"/>
                  <w:color w:val="0000EE"/>
                  <w:w w:val="87"/>
                </w:rPr>
                <w:t>Unregistered Sales of Equity Securities and Use of Proceeds</w:t>
              </w:r>
            </w:hyperlink>
          </w:p>
        </w:tc>
        <w:tc>
          <w:tcPr>
            <w:tcW w:w="3580" w:type="dxa"/>
            <w:vAlign w:val="bottom"/>
            <w:gridSpan w:val="6"/>
          </w:tcPr>
          <w:p>
            <w:pPr>
              <w:spacing w:after="0"/>
              <w:rPr>
                <w:sz w:val="20"/>
                <w:szCs w:val="20"/>
                <w:color w:val="auto"/>
              </w:rPr>
            </w:pPr>
          </w:p>
        </w:tc>
        <w:tc>
          <w:tcPr>
            <w:tcW w:w="2480" w:type="dxa"/>
            <w:vAlign w:val="bottom"/>
            <w:gridSpan w:val="2"/>
          </w:tcPr>
          <w:p>
            <w:pPr>
              <w:spacing w:after="0"/>
              <w:rPr>
                <w:sz w:val="20"/>
                <w:szCs w:val="20"/>
                <w:color w:val="auto"/>
              </w:rPr>
            </w:pPr>
          </w:p>
        </w:tc>
        <w:tc>
          <w:tcPr>
            <w:tcW w:w="180" w:type="dxa"/>
            <w:vAlign w:val="bottom"/>
            <w:tcBorders>
              <w:bottom w:val="single" w:sz="8" w:color="0000EE"/>
            </w:tcBorders>
            <w:gridSpan w:val="2"/>
          </w:tcPr>
          <w:p>
            <w:pPr>
              <w:jc w:val="right"/>
              <w:spacing w:after="0"/>
              <w:rPr>
                <w:rFonts w:ascii="Arial" w:cs="Arial" w:eastAsia="Arial" w:hAnsi="Arial"/>
                <w:sz w:val="17"/>
                <w:szCs w:val="17"/>
                <w:color w:val="0000EE"/>
                <w:w w:val="84"/>
              </w:rPr>
            </w:pPr>
            <w:hyperlink w:anchor="page32">
              <w:r>
                <w:rPr>
                  <w:rFonts w:ascii="Arial" w:cs="Arial" w:eastAsia="Arial" w:hAnsi="Arial"/>
                  <w:sz w:val="17"/>
                  <w:szCs w:val="17"/>
                  <w:color w:val="0000EE"/>
                  <w:w w:val="84"/>
                </w:rPr>
                <w:t>32</w:t>
              </w:r>
            </w:hyperlink>
          </w:p>
        </w:tc>
      </w:tr>
      <w:tr>
        <w:trPr>
          <w:trHeight w:val="237"/>
        </w:trPr>
        <w:tc>
          <w:tcPr>
            <w:tcW w:w="1080" w:type="dxa"/>
            <w:vAlign w:val="bottom"/>
            <w:gridSpan w:val="4"/>
          </w:tcPr>
          <w:p>
            <w:pPr>
              <w:spacing w:after="0"/>
              <w:rPr>
                <w:sz w:val="20"/>
                <w:szCs w:val="20"/>
                <w:color w:val="auto"/>
              </w:rPr>
            </w:pPr>
            <w:r>
              <w:rPr>
                <w:rFonts w:ascii="Arial" w:cs="Arial" w:eastAsia="Arial" w:hAnsi="Arial"/>
                <w:sz w:val="17"/>
                <w:szCs w:val="17"/>
                <w:color w:val="auto"/>
              </w:rPr>
              <w:t>Item 6.</w:t>
            </w:r>
          </w:p>
        </w:tc>
        <w:tc>
          <w:tcPr>
            <w:tcW w:w="7620" w:type="dxa"/>
            <w:vAlign w:val="bottom"/>
            <w:gridSpan w:val="16"/>
          </w:tcPr>
          <w:p>
            <w:pPr>
              <w:spacing w:after="0"/>
              <w:rPr>
                <w:rFonts w:ascii="Arial" w:cs="Arial" w:eastAsia="Arial" w:hAnsi="Arial"/>
                <w:sz w:val="17"/>
                <w:szCs w:val="17"/>
                <w:color w:val="0000EE"/>
              </w:rPr>
            </w:pPr>
            <w:hyperlink w:anchor="page32">
              <w:r>
                <w:rPr>
                  <w:rFonts w:ascii="Arial" w:cs="Arial" w:eastAsia="Arial" w:hAnsi="Arial"/>
                  <w:sz w:val="17"/>
                  <w:szCs w:val="17"/>
                  <w:color w:val="0000EE"/>
                </w:rPr>
                <w:t>Exhibits</w:t>
              </w:r>
            </w:hyperlink>
          </w:p>
        </w:tc>
        <w:tc>
          <w:tcPr>
            <w:tcW w:w="2660" w:type="dxa"/>
            <w:vAlign w:val="bottom"/>
            <w:gridSpan w:val="4"/>
          </w:tcPr>
          <w:p>
            <w:pPr>
              <w:jc w:val="right"/>
              <w:spacing w:after="0"/>
              <w:rPr>
                <w:rFonts w:ascii="Arial" w:cs="Arial" w:eastAsia="Arial" w:hAnsi="Arial"/>
                <w:sz w:val="17"/>
                <w:szCs w:val="17"/>
                <w:color w:val="0000EE"/>
              </w:rPr>
            </w:pPr>
            <w:hyperlink w:anchor="page32">
              <w:r>
                <w:rPr>
                  <w:rFonts w:ascii="Arial" w:cs="Arial" w:eastAsia="Arial" w:hAnsi="Arial"/>
                  <w:sz w:val="17"/>
                  <w:szCs w:val="17"/>
                  <w:color w:val="0000EE"/>
                </w:rPr>
                <w:t>33</w:t>
              </w:r>
            </w:hyperlink>
          </w:p>
        </w:tc>
      </w:tr>
      <w:tr>
        <w:trPr>
          <w:trHeight w:val="20"/>
        </w:trPr>
        <w:tc>
          <w:tcPr>
            <w:tcW w:w="46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900" w:type="dxa"/>
            <w:vAlign w:val="bottom"/>
            <w:gridSpan w:val="14"/>
          </w:tcPr>
          <w:p>
            <w:pPr>
              <w:spacing w:after="0" w:line="20" w:lineRule="exact"/>
              <w:rPr>
                <w:sz w:val="1"/>
                <w:szCs w:val="1"/>
                <w:color w:val="auto"/>
              </w:rPr>
            </w:pPr>
          </w:p>
        </w:tc>
        <w:tc>
          <w:tcPr>
            <w:tcW w:w="2480" w:type="dxa"/>
            <w:vAlign w:val="bottom"/>
            <w:gridSpan w:val="2"/>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358"/>
        </w:trPr>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720" w:type="dxa"/>
            <w:vAlign w:val="bottom"/>
            <w:tcBorders>
              <w:bottom w:val="single" w:sz="8" w:color="0000EE"/>
            </w:tcBorders>
            <w:gridSpan w:val="2"/>
          </w:tcPr>
          <w:p>
            <w:pPr>
              <w:spacing w:after="0"/>
              <w:rPr>
                <w:rFonts w:ascii="Arial" w:cs="Arial" w:eastAsia="Arial" w:hAnsi="Arial"/>
                <w:sz w:val="17"/>
                <w:szCs w:val="17"/>
                <w:color w:val="0000EE"/>
                <w:w w:val="86"/>
              </w:rPr>
            </w:pPr>
            <w:hyperlink w:anchor="page33">
              <w:r>
                <w:rPr>
                  <w:rFonts w:ascii="Arial" w:cs="Arial" w:eastAsia="Arial" w:hAnsi="Arial"/>
                  <w:sz w:val="17"/>
                  <w:szCs w:val="17"/>
                  <w:color w:val="0000EE"/>
                  <w:w w:val="86"/>
                </w:rPr>
                <w:t>Signatures</w:t>
              </w:r>
            </w:hyperlink>
          </w:p>
        </w:tc>
        <w:tc>
          <w:tcPr>
            <w:tcW w:w="6900" w:type="dxa"/>
            <w:vAlign w:val="bottom"/>
            <w:gridSpan w:val="14"/>
          </w:tcPr>
          <w:p>
            <w:pPr>
              <w:spacing w:after="0"/>
              <w:rPr>
                <w:sz w:val="24"/>
                <w:szCs w:val="24"/>
                <w:color w:val="auto"/>
              </w:rPr>
            </w:pPr>
          </w:p>
        </w:tc>
        <w:tc>
          <w:tcPr>
            <w:tcW w:w="2480" w:type="dxa"/>
            <w:vAlign w:val="bottom"/>
            <w:gridSpan w:val="2"/>
          </w:tcPr>
          <w:p>
            <w:pPr>
              <w:spacing w:after="0"/>
              <w:rPr>
                <w:sz w:val="24"/>
                <w:szCs w:val="24"/>
                <w:color w:val="auto"/>
              </w:rPr>
            </w:pPr>
          </w:p>
        </w:tc>
        <w:tc>
          <w:tcPr>
            <w:tcW w:w="180" w:type="dxa"/>
            <w:vAlign w:val="bottom"/>
            <w:tcBorders>
              <w:bottom w:val="single" w:sz="8" w:color="0000EE"/>
            </w:tcBorders>
            <w:gridSpan w:val="2"/>
          </w:tcPr>
          <w:p>
            <w:pPr>
              <w:jc w:val="right"/>
              <w:spacing w:after="0"/>
              <w:rPr>
                <w:rFonts w:ascii="Arial" w:cs="Arial" w:eastAsia="Arial" w:hAnsi="Arial"/>
                <w:sz w:val="17"/>
                <w:szCs w:val="17"/>
                <w:color w:val="0000EE"/>
                <w:w w:val="84"/>
              </w:rPr>
            </w:pPr>
            <w:hyperlink w:anchor="page33">
              <w:r>
                <w:rPr>
                  <w:rFonts w:ascii="Arial" w:cs="Arial" w:eastAsia="Arial" w:hAnsi="Arial"/>
                  <w:sz w:val="17"/>
                  <w:szCs w:val="17"/>
                  <w:color w:val="0000EE"/>
                  <w:w w:val="84"/>
                </w:rPr>
                <w:t>34</w:t>
              </w:r>
            </w:hyperlink>
          </w:p>
        </w:tc>
      </w:tr>
    </w:tbl>
    <w:p>
      <w:pPr>
        <w:sectPr>
          <w:pgSz w:w="11900" w:h="16838" w:orient="portrait"/>
          <w:cols w:equalWidth="0" w:num="1">
            <w:col w:w="11360"/>
          </w:cols>
          <w:pgMar w:left="280" w:top="364" w:right="259" w:bottom="1440" w:gutter="0" w:footer="0" w:header="0"/>
        </w:sectPr>
      </w:pPr>
    </w:p>
    <w:bookmarkStart w:id="2" w:name="page3"/>
    <w:bookmarkEnd w:id="2"/>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I—FINANCIAL INFORMATION</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 (UNAUDITED)</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EURONET WORLDWIDE,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8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As of</w:t>
            </w:r>
          </w:p>
        </w:tc>
        <w:tc>
          <w:tcPr>
            <w:tcW w:w="11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88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60" w:type="dxa"/>
            <w:vAlign w:val="bottom"/>
            <w:gridSpan w:val="2"/>
          </w:tcPr>
          <w:p>
            <w:pPr>
              <w:jc w:val="center"/>
              <w:ind w:right="340"/>
              <w:spacing w:after="0" w:line="153" w:lineRule="exact"/>
              <w:rPr>
                <w:sz w:val="20"/>
                <w:szCs w:val="20"/>
                <w:color w:val="auto"/>
              </w:rPr>
            </w:pPr>
            <w:r>
              <w:rPr>
                <w:rFonts w:ascii="Arial" w:cs="Arial" w:eastAsia="Arial" w:hAnsi="Arial"/>
                <w:sz w:val="14"/>
                <w:szCs w:val="14"/>
                <w:b w:val="1"/>
                <w:bCs w:val="1"/>
                <w:color w:val="auto"/>
                <w:w w:val="95"/>
              </w:rPr>
              <w:t>March 31,</w:t>
            </w:r>
          </w:p>
        </w:tc>
        <w:tc>
          <w:tcPr>
            <w:tcW w:w="160" w:type="dxa"/>
            <w:vAlign w:val="bottom"/>
          </w:tcPr>
          <w:p>
            <w:pPr>
              <w:spacing w:after="0"/>
              <w:rPr>
                <w:sz w:val="13"/>
                <w:szCs w:val="13"/>
                <w:color w:val="auto"/>
              </w:rPr>
            </w:pPr>
          </w:p>
        </w:tc>
        <w:tc>
          <w:tcPr>
            <w:tcW w:w="1100" w:type="dxa"/>
            <w:vAlign w:val="bottom"/>
          </w:tcPr>
          <w:p>
            <w:pPr>
              <w:jc w:val="right"/>
              <w:ind w:right="131"/>
              <w:spacing w:after="0" w:line="153" w:lineRule="exact"/>
              <w:rPr>
                <w:sz w:val="20"/>
                <w:szCs w:val="20"/>
                <w:color w:val="auto"/>
              </w:rPr>
            </w:pPr>
            <w:r>
              <w:rPr>
                <w:rFonts w:ascii="Arial" w:cs="Arial" w:eastAsia="Arial" w:hAnsi="Arial"/>
                <w:sz w:val="14"/>
                <w:szCs w:val="14"/>
                <w:b w:val="1"/>
                <w:bCs w:val="1"/>
                <w:color w:val="auto"/>
                <w:w w:val="94"/>
              </w:rPr>
              <w:t>December 31,</w:t>
            </w:r>
          </w:p>
        </w:tc>
        <w:tc>
          <w:tcPr>
            <w:tcW w:w="0" w:type="dxa"/>
            <w:vAlign w:val="bottom"/>
          </w:tcPr>
          <w:p>
            <w:pPr>
              <w:spacing w:after="0"/>
              <w:rPr>
                <w:sz w:val="1"/>
                <w:szCs w:val="1"/>
                <w:color w:val="auto"/>
              </w:rPr>
            </w:pPr>
          </w:p>
        </w:tc>
      </w:tr>
      <w:tr>
        <w:trPr>
          <w:trHeight w:val="192"/>
        </w:trPr>
        <w:tc>
          <w:tcPr>
            <w:tcW w:w="88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center"/>
              <w:ind w:right="112"/>
              <w:spacing w:after="0"/>
              <w:rPr>
                <w:sz w:val="20"/>
                <w:szCs w:val="20"/>
                <w:color w:val="auto"/>
              </w:rPr>
            </w:pPr>
            <w:r>
              <w:rPr>
                <w:rFonts w:ascii="Arial" w:cs="Arial" w:eastAsia="Arial" w:hAnsi="Arial"/>
                <w:sz w:val="14"/>
                <w:szCs w:val="14"/>
                <w:b w:val="1"/>
                <w:bCs w:val="1"/>
                <w:color w:val="auto"/>
                <w:w w:val="96"/>
              </w:rPr>
              <w:t>2014</w:t>
            </w:r>
          </w:p>
        </w:tc>
        <w:tc>
          <w:tcPr>
            <w:tcW w:w="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391"/>
              <w:spacing w:after="0"/>
              <w:rPr>
                <w:sz w:val="20"/>
                <w:szCs w:val="20"/>
                <w:color w:val="auto"/>
              </w:rPr>
            </w:pPr>
            <w:r>
              <w:rPr>
                <w:rFonts w:ascii="Arial" w:cs="Arial" w:eastAsia="Arial" w:hAnsi="Arial"/>
                <w:sz w:val="14"/>
                <w:szCs w:val="14"/>
                <w:b w:val="1"/>
                <w:bCs w:val="1"/>
                <w:color w:val="auto"/>
              </w:rPr>
              <w:t>2013</w:t>
            </w:r>
          </w:p>
        </w:tc>
        <w:tc>
          <w:tcPr>
            <w:tcW w:w="0" w:type="dxa"/>
            <w:vAlign w:val="bottom"/>
          </w:tcPr>
          <w:p>
            <w:pPr>
              <w:spacing w:after="0"/>
              <w:rPr>
                <w:sz w:val="1"/>
                <w:szCs w:val="1"/>
                <w:color w:val="auto"/>
              </w:rPr>
            </w:pPr>
          </w:p>
        </w:tc>
      </w:tr>
      <w:tr>
        <w:trPr>
          <w:trHeight w:val="250"/>
        </w:trPr>
        <w:tc>
          <w:tcPr>
            <w:tcW w:w="88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4"/>
              </w:rPr>
              <w:t>(unaudited)</w:t>
            </w:r>
          </w:p>
        </w:tc>
        <w:tc>
          <w:tcPr>
            <w:tcW w:w="1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ASSETS</w:t>
            </w:r>
          </w:p>
        </w:tc>
        <w:tc>
          <w:tcPr>
            <w:tcW w:w="20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8800" w:type="dxa"/>
            <w:vAlign w:val="bottom"/>
          </w:tcPr>
          <w:p>
            <w:pPr>
              <w:ind w:left="40"/>
              <w:spacing w:after="0"/>
              <w:rPr>
                <w:sz w:val="20"/>
                <w:szCs w:val="20"/>
                <w:color w:val="auto"/>
              </w:rPr>
            </w:pPr>
            <w:r>
              <w:rPr>
                <w:rFonts w:ascii="Arial" w:cs="Arial" w:eastAsia="Arial" w:hAnsi="Arial"/>
                <w:sz w:val="18"/>
                <w:szCs w:val="18"/>
                <w:color w:val="auto"/>
              </w:rPr>
              <w:t>Current assets:</w:t>
            </w:r>
          </w:p>
        </w:tc>
        <w:tc>
          <w:tcPr>
            <w:tcW w:w="2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8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8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Cash and cash equivalents</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292,300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209,826</w:t>
            </w:r>
          </w:p>
        </w:tc>
        <w:tc>
          <w:tcPr>
            <w:tcW w:w="0" w:type="dxa"/>
            <w:vAlign w:val="bottom"/>
          </w:tcPr>
          <w:p>
            <w:pPr>
              <w:spacing w:after="0"/>
              <w:rPr>
                <w:sz w:val="1"/>
                <w:szCs w:val="1"/>
                <w:color w:val="auto"/>
              </w:rPr>
            </w:pPr>
          </w:p>
        </w:tc>
      </w:tr>
      <w:tr>
        <w:trPr>
          <w:trHeight w:val="243"/>
        </w:trPr>
        <w:tc>
          <w:tcPr>
            <w:tcW w:w="8800" w:type="dxa"/>
            <w:vAlign w:val="bottom"/>
          </w:tcPr>
          <w:p>
            <w:pPr>
              <w:ind w:left="380"/>
              <w:spacing w:after="0"/>
              <w:rPr>
                <w:sz w:val="20"/>
                <w:szCs w:val="20"/>
                <w:color w:val="auto"/>
              </w:rPr>
            </w:pPr>
            <w:r>
              <w:rPr>
                <w:rFonts w:ascii="Arial" w:cs="Arial" w:eastAsia="Arial" w:hAnsi="Arial"/>
                <w:sz w:val="18"/>
                <w:szCs w:val="18"/>
                <w:color w:val="auto"/>
              </w:rPr>
              <w:t>Restricted cash</w:t>
            </w:r>
          </w:p>
        </w:tc>
        <w:tc>
          <w:tcPr>
            <w:tcW w:w="200" w:type="dxa"/>
            <w:vAlign w:val="bottom"/>
          </w:tcPr>
          <w:p>
            <w:pPr>
              <w:spacing w:after="0"/>
              <w:rPr>
                <w:sz w:val="21"/>
                <w:szCs w:val="21"/>
                <w:color w:val="auto"/>
              </w:rPr>
            </w:pPr>
          </w:p>
        </w:tc>
        <w:tc>
          <w:tcPr>
            <w:tcW w:w="1060" w:type="dxa"/>
            <w:vAlign w:val="bottom"/>
          </w:tcPr>
          <w:p>
            <w:pPr>
              <w:jc w:val="right"/>
              <w:ind w:right="32"/>
              <w:spacing w:after="0"/>
              <w:rPr>
                <w:sz w:val="20"/>
                <w:szCs w:val="20"/>
                <w:color w:val="auto"/>
              </w:rPr>
            </w:pPr>
            <w:r>
              <w:rPr>
                <w:rFonts w:ascii="Arial" w:cs="Arial" w:eastAsia="Arial" w:hAnsi="Arial"/>
                <w:sz w:val="18"/>
                <w:szCs w:val="18"/>
                <w:color w:val="auto"/>
              </w:rPr>
              <w:t>70,516</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77,987</w:t>
            </w:r>
          </w:p>
        </w:tc>
        <w:tc>
          <w:tcPr>
            <w:tcW w:w="0" w:type="dxa"/>
            <w:vAlign w:val="bottom"/>
          </w:tcPr>
          <w:p>
            <w:pPr>
              <w:spacing w:after="0"/>
              <w:rPr>
                <w:sz w:val="1"/>
                <w:szCs w:val="1"/>
                <w:color w:val="auto"/>
              </w:rPr>
            </w:pPr>
          </w:p>
        </w:tc>
      </w:tr>
      <w:tr>
        <w:trPr>
          <w:trHeight w:val="27"/>
        </w:trPr>
        <w:tc>
          <w:tcPr>
            <w:tcW w:w="88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8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Inventory — PINs and other</w:t>
            </w: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64,811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92,757</w:t>
            </w:r>
          </w:p>
        </w:tc>
        <w:tc>
          <w:tcPr>
            <w:tcW w:w="0" w:type="dxa"/>
            <w:vAlign w:val="bottom"/>
          </w:tcPr>
          <w:p>
            <w:pPr>
              <w:spacing w:after="0"/>
              <w:rPr>
                <w:sz w:val="1"/>
                <w:szCs w:val="1"/>
                <w:color w:val="auto"/>
              </w:rPr>
            </w:pPr>
          </w:p>
        </w:tc>
      </w:tr>
      <w:tr>
        <w:trPr>
          <w:trHeight w:val="229"/>
        </w:trPr>
        <w:tc>
          <w:tcPr>
            <w:tcW w:w="8800" w:type="dxa"/>
            <w:vAlign w:val="bottom"/>
          </w:tcPr>
          <w:p>
            <w:pPr>
              <w:ind w:left="380"/>
              <w:spacing w:after="0"/>
              <w:rPr>
                <w:sz w:val="20"/>
                <w:szCs w:val="20"/>
                <w:color w:val="auto"/>
              </w:rPr>
            </w:pPr>
            <w:r>
              <w:rPr>
                <w:rFonts w:ascii="Arial" w:cs="Arial" w:eastAsia="Arial" w:hAnsi="Arial"/>
                <w:sz w:val="18"/>
                <w:szCs w:val="18"/>
                <w:color w:val="auto"/>
                <w:w w:val="93"/>
              </w:rPr>
              <w:t>Trade accounts receivable, net of allowances for doubtful accounts of $22,760 at March 31, 2014 and $22,079 at</w:t>
            </w:r>
          </w:p>
        </w:tc>
        <w:tc>
          <w:tcPr>
            <w:tcW w:w="2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800" w:type="dxa"/>
            <w:vAlign w:val="bottom"/>
          </w:tcPr>
          <w:p>
            <w:pPr>
              <w:ind w:left="540"/>
              <w:spacing w:after="0"/>
              <w:rPr>
                <w:sz w:val="20"/>
                <w:szCs w:val="20"/>
                <w:color w:val="auto"/>
              </w:rPr>
            </w:pPr>
            <w:r>
              <w:rPr>
                <w:rFonts w:ascii="Arial" w:cs="Arial" w:eastAsia="Arial" w:hAnsi="Arial"/>
                <w:sz w:val="18"/>
                <w:szCs w:val="18"/>
                <w:color w:val="auto"/>
              </w:rPr>
              <w:t>December 31, 2013</w:t>
            </w:r>
          </w:p>
        </w:tc>
        <w:tc>
          <w:tcPr>
            <w:tcW w:w="200" w:type="dxa"/>
            <w:vAlign w:val="bottom"/>
          </w:tcPr>
          <w:p>
            <w:pPr>
              <w:spacing w:after="0"/>
              <w:rPr>
                <w:sz w:val="20"/>
                <w:szCs w:val="20"/>
                <w:color w:val="auto"/>
              </w:rPr>
            </w:pPr>
          </w:p>
        </w:tc>
        <w:tc>
          <w:tcPr>
            <w:tcW w:w="1060" w:type="dxa"/>
            <w:vAlign w:val="bottom"/>
          </w:tcPr>
          <w:p>
            <w:pPr>
              <w:jc w:val="right"/>
              <w:ind w:right="32"/>
              <w:spacing w:after="0"/>
              <w:rPr>
                <w:sz w:val="20"/>
                <w:szCs w:val="20"/>
                <w:color w:val="auto"/>
              </w:rPr>
            </w:pPr>
            <w:r>
              <w:rPr>
                <w:rFonts w:ascii="Arial" w:cs="Arial" w:eastAsia="Arial" w:hAnsi="Arial"/>
                <w:sz w:val="18"/>
                <w:szCs w:val="18"/>
                <w:color w:val="auto"/>
              </w:rPr>
              <w:t>315,652</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390,563</w:t>
            </w:r>
          </w:p>
        </w:tc>
        <w:tc>
          <w:tcPr>
            <w:tcW w:w="0" w:type="dxa"/>
            <w:vAlign w:val="bottom"/>
          </w:tcPr>
          <w:p>
            <w:pPr>
              <w:spacing w:after="0"/>
              <w:rPr>
                <w:sz w:val="1"/>
                <w:szCs w:val="1"/>
                <w:color w:val="auto"/>
              </w:rPr>
            </w:pPr>
          </w:p>
        </w:tc>
      </w:tr>
      <w:tr>
        <w:trPr>
          <w:trHeight w:val="27"/>
        </w:trPr>
        <w:tc>
          <w:tcPr>
            <w:tcW w:w="88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8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Prepaid expenses and other current assets</w:t>
            </w:r>
          </w:p>
        </w:tc>
        <w:tc>
          <w:tcPr>
            <w:tcW w:w="2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58,310</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69,242</w:t>
            </w:r>
          </w:p>
        </w:tc>
        <w:tc>
          <w:tcPr>
            <w:tcW w:w="0" w:type="dxa"/>
            <w:vAlign w:val="bottom"/>
          </w:tcPr>
          <w:p>
            <w:pPr>
              <w:spacing w:after="0"/>
              <w:rPr>
                <w:sz w:val="1"/>
                <w:szCs w:val="1"/>
                <w:color w:val="auto"/>
              </w:rPr>
            </w:pPr>
          </w:p>
        </w:tc>
      </w:tr>
      <w:tr>
        <w:trPr>
          <w:trHeight w:val="237"/>
        </w:trPr>
        <w:tc>
          <w:tcPr>
            <w:tcW w:w="8800" w:type="dxa"/>
            <w:vAlign w:val="bottom"/>
          </w:tcPr>
          <w:p>
            <w:pPr>
              <w:ind w:left="600"/>
              <w:spacing w:after="0"/>
              <w:rPr>
                <w:sz w:val="20"/>
                <w:szCs w:val="20"/>
                <w:color w:val="auto"/>
              </w:rPr>
            </w:pPr>
            <w:r>
              <w:rPr>
                <w:rFonts w:ascii="Arial" w:cs="Arial" w:eastAsia="Arial" w:hAnsi="Arial"/>
                <w:sz w:val="18"/>
                <w:szCs w:val="18"/>
                <w:color w:val="auto"/>
              </w:rPr>
              <w:t>Total current assets</w:t>
            </w:r>
          </w:p>
        </w:tc>
        <w:tc>
          <w:tcPr>
            <w:tcW w:w="2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801,589</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840,375</w:t>
            </w:r>
          </w:p>
        </w:tc>
        <w:tc>
          <w:tcPr>
            <w:tcW w:w="0" w:type="dxa"/>
            <w:vAlign w:val="bottom"/>
          </w:tcPr>
          <w:p>
            <w:pPr>
              <w:spacing w:after="0"/>
              <w:rPr>
                <w:sz w:val="1"/>
                <w:szCs w:val="1"/>
                <w:color w:val="auto"/>
              </w:rPr>
            </w:pPr>
          </w:p>
        </w:tc>
      </w:tr>
      <w:tr>
        <w:trPr>
          <w:trHeight w:val="27"/>
        </w:trPr>
        <w:tc>
          <w:tcPr>
            <w:tcW w:w="88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8800" w:type="dxa"/>
            <w:vAlign w:val="bottom"/>
            <w:shd w:val="clear" w:color="auto" w:fill="CCEEFF"/>
          </w:tcPr>
          <w:p>
            <w:pPr>
              <w:ind w:left="40"/>
              <w:spacing w:after="0"/>
              <w:rPr>
                <w:sz w:val="20"/>
                <w:szCs w:val="20"/>
                <w:color w:val="auto"/>
              </w:rPr>
            </w:pPr>
            <w:r>
              <w:rPr>
                <w:rFonts w:ascii="Arial" w:cs="Arial" w:eastAsia="Arial" w:hAnsi="Arial"/>
                <w:sz w:val="18"/>
                <w:szCs w:val="18"/>
                <w:color w:val="auto"/>
                <w:w w:val="90"/>
              </w:rPr>
              <w:t>Property and equipment, net of accumulated depreciation of $240,215 at March 31, 2014 and $231,327 at December 31,</w:t>
            </w:r>
          </w:p>
        </w:tc>
        <w:tc>
          <w:tcPr>
            <w:tcW w:w="2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880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2013</w:t>
            </w:r>
          </w:p>
        </w:tc>
        <w:tc>
          <w:tcPr>
            <w:tcW w:w="20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117,601</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116,230</w:t>
            </w:r>
          </w:p>
        </w:tc>
        <w:tc>
          <w:tcPr>
            <w:tcW w:w="0" w:type="dxa"/>
            <w:vAlign w:val="bottom"/>
          </w:tcPr>
          <w:p>
            <w:pPr>
              <w:spacing w:after="0"/>
              <w:rPr>
                <w:sz w:val="1"/>
                <w:szCs w:val="1"/>
                <w:color w:val="auto"/>
              </w:rPr>
            </w:pPr>
          </w:p>
        </w:tc>
      </w:tr>
      <w:tr>
        <w:trPr>
          <w:trHeight w:val="243"/>
        </w:trPr>
        <w:tc>
          <w:tcPr>
            <w:tcW w:w="8800" w:type="dxa"/>
            <w:vAlign w:val="bottom"/>
          </w:tcPr>
          <w:p>
            <w:pPr>
              <w:ind w:left="40"/>
              <w:spacing w:after="0"/>
              <w:rPr>
                <w:sz w:val="20"/>
                <w:szCs w:val="20"/>
                <w:color w:val="auto"/>
              </w:rPr>
            </w:pPr>
            <w:r>
              <w:rPr>
                <w:rFonts w:ascii="Arial" w:cs="Arial" w:eastAsia="Arial" w:hAnsi="Arial"/>
                <w:sz w:val="18"/>
                <w:szCs w:val="18"/>
                <w:color w:val="auto"/>
              </w:rPr>
              <w:t>Goodwill</w:t>
            </w:r>
          </w:p>
        </w:tc>
        <w:tc>
          <w:tcPr>
            <w:tcW w:w="200" w:type="dxa"/>
            <w:vAlign w:val="bottom"/>
          </w:tcPr>
          <w:p>
            <w:pPr>
              <w:spacing w:after="0"/>
              <w:rPr>
                <w:sz w:val="21"/>
                <w:szCs w:val="21"/>
                <w:color w:val="auto"/>
              </w:rPr>
            </w:pPr>
          </w:p>
        </w:tc>
        <w:tc>
          <w:tcPr>
            <w:tcW w:w="1060" w:type="dxa"/>
            <w:vAlign w:val="bottom"/>
          </w:tcPr>
          <w:p>
            <w:pPr>
              <w:jc w:val="right"/>
              <w:ind w:right="32"/>
              <w:spacing w:after="0"/>
              <w:rPr>
                <w:sz w:val="20"/>
                <w:szCs w:val="20"/>
                <w:color w:val="auto"/>
              </w:rPr>
            </w:pPr>
            <w:r>
              <w:rPr>
                <w:rFonts w:ascii="Arial" w:cs="Arial" w:eastAsia="Arial" w:hAnsi="Arial"/>
                <w:sz w:val="18"/>
                <w:szCs w:val="18"/>
                <w:color w:val="auto"/>
              </w:rPr>
              <w:t>499,680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498,435</w:t>
            </w:r>
          </w:p>
        </w:tc>
        <w:tc>
          <w:tcPr>
            <w:tcW w:w="0" w:type="dxa"/>
            <w:vAlign w:val="bottom"/>
          </w:tcPr>
          <w:p>
            <w:pPr>
              <w:spacing w:after="0"/>
              <w:rPr>
                <w:sz w:val="1"/>
                <w:szCs w:val="1"/>
                <w:color w:val="auto"/>
              </w:rPr>
            </w:pPr>
          </w:p>
        </w:tc>
      </w:tr>
      <w:tr>
        <w:trPr>
          <w:trHeight w:val="27"/>
        </w:trPr>
        <w:tc>
          <w:tcPr>
            <w:tcW w:w="88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8800" w:type="dxa"/>
            <w:vAlign w:val="bottom"/>
            <w:shd w:val="clear" w:color="auto" w:fill="CCEEFF"/>
          </w:tcPr>
          <w:p>
            <w:pPr>
              <w:ind w:left="40"/>
              <w:spacing w:after="0"/>
              <w:rPr>
                <w:sz w:val="20"/>
                <w:szCs w:val="20"/>
                <w:color w:val="auto"/>
              </w:rPr>
            </w:pPr>
            <w:r>
              <w:rPr>
                <w:rFonts w:ascii="Arial" w:cs="Arial" w:eastAsia="Arial" w:hAnsi="Arial"/>
                <w:sz w:val="18"/>
                <w:szCs w:val="18"/>
                <w:color w:val="auto"/>
                <w:w w:val="92"/>
              </w:rPr>
              <w:t>Acquired intangible assets, net of accumulated amortization of $137,917 at March 31, 2014 and $132,927 at December</w:t>
            </w:r>
          </w:p>
        </w:tc>
        <w:tc>
          <w:tcPr>
            <w:tcW w:w="2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880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31, 2013</w:t>
            </w:r>
          </w:p>
        </w:tc>
        <w:tc>
          <w:tcPr>
            <w:tcW w:w="20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88,943</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93,026</w:t>
            </w:r>
          </w:p>
        </w:tc>
        <w:tc>
          <w:tcPr>
            <w:tcW w:w="0" w:type="dxa"/>
            <w:vAlign w:val="bottom"/>
          </w:tcPr>
          <w:p>
            <w:pPr>
              <w:spacing w:after="0"/>
              <w:rPr>
                <w:sz w:val="1"/>
                <w:szCs w:val="1"/>
                <w:color w:val="auto"/>
              </w:rPr>
            </w:pPr>
          </w:p>
        </w:tc>
      </w:tr>
      <w:tr>
        <w:trPr>
          <w:trHeight w:val="243"/>
        </w:trPr>
        <w:tc>
          <w:tcPr>
            <w:tcW w:w="8800" w:type="dxa"/>
            <w:vAlign w:val="bottom"/>
          </w:tcPr>
          <w:p>
            <w:pPr>
              <w:ind w:left="40"/>
              <w:spacing w:after="0"/>
              <w:rPr>
                <w:sz w:val="20"/>
                <w:szCs w:val="20"/>
                <w:color w:val="auto"/>
              </w:rPr>
            </w:pPr>
            <w:r>
              <w:rPr>
                <w:rFonts w:ascii="Arial" w:cs="Arial" w:eastAsia="Arial" w:hAnsi="Arial"/>
                <w:sz w:val="18"/>
                <w:szCs w:val="18"/>
                <w:color w:val="auto"/>
                <w:w w:val="97"/>
              </w:rPr>
              <w:t>Other assets, net of accumulated amortization of $26,659 at March 31, 2014 and $25,363 at December 31, 2013</w:t>
            </w:r>
          </w:p>
        </w:tc>
        <w:tc>
          <w:tcPr>
            <w:tcW w:w="200" w:type="dxa"/>
            <w:vAlign w:val="bottom"/>
          </w:tcPr>
          <w:p>
            <w:pPr>
              <w:spacing w:after="0"/>
              <w:rPr>
                <w:sz w:val="21"/>
                <w:szCs w:val="21"/>
                <w:color w:val="auto"/>
              </w:rPr>
            </w:pPr>
          </w:p>
        </w:tc>
        <w:tc>
          <w:tcPr>
            <w:tcW w:w="1060" w:type="dxa"/>
            <w:vAlign w:val="bottom"/>
          </w:tcPr>
          <w:p>
            <w:pPr>
              <w:jc w:val="right"/>
              <w:ind w:right="32"/>
              <w:spacing w:after="0"/>
              <w:rPr>
                <w:sz w:val="20"/>
                <w:szCs w:val="20"/>
                <w:color w:val="auto"/>
              </w:rPr>
            </w:pPr>
            <w:r>
              <w:rPr>
                <w:rFonts w:ascii="Arial" w:cs="Arial" w:eastAsia="Arial" w:hAnsi="Arial"/>
                <w:sz w:val="18"/>
                <w:szCs w:val="18"/>
                <w:color w:val="auto"/>
              </w:rPr>
              <w:t>49,347</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50,049</w:t>
            </w:r>
          </w:p>
        </w:tc>
        <w:tc>
          <w:tcPr>
            <w:tcW w:w="0" w:type="dxa"/>
            <w:vAlign w:val="bottom"/>
          </w:tcPr>
          <w:p>
            <w:pPr>
              <w:spacing w:after="0"/>
              <w:rPr>
                <w:sz w:val="1"/>
                <w:szCs w:val="1"/>
                <w:color w:val="auto"/>
              </w:rPr>
            </w:pPr>
          </w:p>
        </w:tc>
      </w:tr>
      <w:tr>
        <w:trPr>
          <w:trHeight w:val="27"/>
        </w:trPr>
        <w:tc>
          <w:tcPr>
            <w:tcW w:w="88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8800" w:type="dxa"/>
            <w:vAlign w:val="bottom"/>
            <w:tcBorders>
              <w:bottom w:val="single" w:sz="8" w:color="CCEEFF"/>
            </w:tcBorders>
            <w:shd w:val="clear" w:color="auto" w:fill="CCEEFF"/>
          </w:tcPr>
          <w:p>
            <w:pPr>
              <w:ind w:left="820"/>
              <w:spacing w:after="0"/>
              <w:rPr>
                <w:sz w:val="20"/>
                <w:szCs w:val="20"/>
                <w:color w:val="auto"/>
              </w:rPr>
            </w:pPr>
            <w:r>
              <w:rPr>
                <w:rFonts w:ascii="Arial" w:cs="Arial" w:eastAsia="Arial" w:hAnsi="Arial"/>
                <w:sz w:val="18"/>
                <w:szCs w:val="18"/>
                <w:color w:val="auto"/>
              </w:rPr>
              <w:t>Total assets</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1,557,160</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1,598,115</w:t>
            </w:r>
          </w:p>
        </w:tc>
        <w:tc>
          <w:tcPr>
            <w:tcW w:w="0" w:type="dxa"/>
            <w:vAlign w:val="bottom"/>
          </w:tcPr>
          <w:p>
            <w:pPr>
              <w:spacing w:after="0"/>
              <w:rPr>
                <w:sz w:val="1"/>
                <w:szCs w:val="1"/>
                <w:color w:val="auto"/>
              </w:rPr>
            </w:pPr>
          </w:p>
        </w:tc>
      </w:tr>
      <w:tr>
        <w:trPr>
          <w:trHeight w:val="20"/>
        </w:trPr>
        <w:tc>
          <w:tcPr>
            <w:tcW w:w="8800" w:type="dxa"/>
            <w:vAlign w:val="bottom"/>
            <w:vMerge w:val="restart"/>
          </w:tcPr>
          <w:p>
            <w:pPr>
              <w:ind w:left="40"/>
              <w:spacing w:after="0"/>
              <w:rPr>
                <w:sz w:val="20"/>
                <w:szCs w:val="20"/>
                <w:color w:val="auto"/>
              </w:rPr>
            </w:pPr>
            <w:r>
              <w:rPr>
                <w:rFonts w:ascii="Arial" w:cs="Arial" w:eastAsia="Arial" w:hAnsi="Arial"/>
                <w:sz w:val="18"/>
                <w:szCs w:val="18"/>
                <w:color w:val="auto"/>
              </w:rPr>
              <w:t>LIABILITIES AND EQUITY</w:t>
            </w: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8800" w:type="dxa"/>
            <w:vAlign w:val="bottom"/>
            <w:vMerge w:val="continue"/>
          </w:tcPr>
          <w:p>
            <w:pPr>
              <w:spacing w:after="0"/>
              <w:rPr>
                <w:sz w:val="20"/>
                <w:szCs w:val="20"/>
                <w:color w:val="auto"/>
              </w:rPr>
            </w:pPr>
          </w:p>
        </w:tc>
        <w:tc>
          <w:tcPr>
            <w:tcW w:w="2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88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Current liabilities:</w:t>
            </w: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800" w:type="dxa"/>
            <w:vAlign w:val="bottom"/>
          </w:tcPr>
          <w:p>
            <w:pPr>
              <w:ind w:left="380"/>
              <w:spacing w:after="0"/>
              <w:rPr>
                <w:sz w:val="20"/>
                <w:szCs w:val="20"/>
                <w:color w:val="auto"/>
              </w:rPr>
            </w:pPr>
            <w:r>
              <w:rPr>
                <w:rFonts w:ascii="Arial" w:cs="Arial" w:eastAsia="Arial" w:hAnsi="Arial"/>
                <w:sz w:val="18"/>
                <w:szCs w:val="18"/>
                <w:color w:val="auto"/>
              </w:rPr>
              <w:t>Trade accounts payable</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32"/>
              <w:spacing w:after="0"/>
              <w:rPr>
                <w:sz w:val="20"/>
                <w:szCs w:val="20"/>
                <w:color w:val="auto"/>
              </w:rPr>
            </w:pPr>
            <w:r>
              <w:rPr>
                <w:rFonts w:ascii="Arial" w:cs="Arial" w:eastAsia="Arial" w:hAnsi="Arial"/>
                <w:sz w:val="18"/>
                <w:szCs w:val="18"/>
                <w:color w:val="auto"/>
              </w:rPr>
              <w:t>364,876</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457,274</w:t>
            </w:r>
          </w:p>
        </w:tc>
        <w:tc>
          <w:tcPr>
            <w:tcW w:w="0" w:type="dxa"/>
            <w:vAlign w:val="bottom"/>
          </w:tcPr>
          <w:p>
            <w:pPr>
              <w:spacing w:after="0"/>
              <w:rPr>
                <w:sz w:val="1"/>
                <w:szCs w:val="1"/>
                <w:color w:val="auto"/>
              </w:rPr>
            </w:pPr>
          </w:p>
        </w:tc>
      </w:tr>
      <w:tr>
        <w:trPr>
          <w:trHeight w:val="27"/>
        </w:trPr>
        <w:tc>
          <w:tcPr>
            <w:tcW w:w="88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8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Accrued expenses and other current liabilities</w:t>
            </w: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204,772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213,284</w:t>
            </w:r>
          </w:p>
        </w:tc>
        <w:tc>
          <w:tcPr>
            <w:tcW w:w="0" w:type="dxa"/>
            <w:vAlign w:val="bottom"/>
          </w:tcPr>
          <w:p>
            <w:pPr>
              <w:spacing w:after="0"/>
              <w:rPr>
                <w:sz w:val="1"/>
                <w:szCs w:val="1"/>
                <w:color w:val="auto"/>
              </w:rPr>
            </w:pPr>
          </w:p>
        </w:tc>
      </w:tr>
      <w:tr>
        <w:trPr>
          <w:trHeight w:val="243"/>
        </w:trPr>
        <w:tc>
          <w:tcPr>
            <w:tcW w:w="8800" w:type="dxa"/>
            <w:vAlign w:val="bottom"/>
          </w:tcPr>
          <w:p>
            <w:pPr>
              <w:ind w:left="380"/>
              <w:spacing w:after="0"/>
              <w:rPr>
                <w:sz w:val="20"/>
                <w:szCs w:val="20"/>
                <w:color w:val="auto"/>
              </w:rPr>
            </w:pPr>
            <w:r>
              <w:rPr>
                <w:rFonts w:ascii="Arial" w:cs="Arial" w:eastAsia="Arial" w:hAnsi="Arial"/>
                <w:sz w:val="18"/>
                <w:szCs w:val="18"/>
                <w:color w:val="auto"/>
              </w:rPr>
              <w:t>Current portion of capital lease obligations</w:t>
            </w:r>
          </w:p>
        </w:tc>
        <w:tc>
          <w:tcPr>
            <w:tcW w:w="200" w:type="dxa"/>
            <w:vAlign w:val="bottom"/>
          </w:tcPr>
          <w:p>
            <w:pPr>
              <w:spacing w:after="0"/>
              <w:rPr>
                <w:sz w:val="21"/>
                <w:szCs w:val="21"/>
                <w:color w:val="auto"/>
              </w:rPr>
            </w:pPr>
          </w:p>
        </w:tc>
        <w:tc>
          <w:tcPr>
            <w:tcW w:w="1060" w:type="dxa"/>
            <w:vAlign w:val="bottom"/>
          </w:tcPr>
          <w:p>
            <w:pPr>
              <w:jc w:val="right"/>
              <w:ind w:right="32"/>
              <w:spacing w:after="0"/>
              <w:rPr>
                <w:sz w:val="20"/>
                <w:szCs w:val="20"/>
                <w:color w:val="auto"/>
              </w:rPr>
            </w:pPr>
            <w:r>
              <w:rPr>
                <w:rFonts w:ascii="Arial" w:cs="Arial" w:eastAsia="Arial" w:hAnsi="Arial"/>
                <w:sz w:val="18"/>
                <w:szCs w:val="18"/>
                <w:color w:val="auto"/>
              </w:rPr>
              <w:t>2,309</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2,361</w:t>
            </w:r>
          </w:p>
        </w:tc>
        <w:tc>
          <w:tcPr>
            <w:tcW w:w="0" w:type="dxa"/>
            <w:vAlign w:val="bottom"/>
          </w:tcPr>
          <w:p>
            <w:pPr>
              <w:spacing w:after="0"/>
              <w:rPr>
                <w:sz w:val="1"/>
                <w:szCs w:val="1"/>
                <w:color w:val="auto"/>
              </w:rPr>
            </w:pPr>
          </w:p>
        </w:tc>
      </w:tr>
      <w:tr>
        <w:trPr>
          <w:trHeight w:val="27"/>
        </w:trPr>
        <w:tc>
          <w:tcPr>
            <w:tcW w:w="88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8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Short-term debt obligations and current maturities of long-term debt obligations</w:t>
            </w: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10,013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10,903</w:t>
            </w:r>
          </w:p>
        </w:tc>
        <w:tc>
          <w:tcPr>
            <w:tcW w:w="0" w:type="dxa"/>
            <w:vAlign w:val="bottom"/>
          </w:tcPr>
          <w:p>
            <w:pPr>
              <w:spacing w:after="0"/>
              <w:rPr>
                <w:sz w:val="1"/>
                <w:szCs w:val="1"/>
                <w:color w:val="auto"/>
              </w:rPr>
            </w:pPr>
          </w:p>
        </w:tc>
      </w:tr>
      <w:tr>
        <w:trPr>
          <w:trHeight w:val="243"/>
        </w:trPr>
        <w:tc>
          <w:tcPr>
            <w:tcW w:w="8800" w:type="dxa"/>
            <w:vAlign w:val="bottom"/>
          </w:tcPr>
          <w:p>
            <w:pPr>
              <w:ind w:left="380"/>
              <w:spacing w:after="0"/>
              <w:rPr>
                <w:sz w:val="20"/>
                <w:szCs w:val="20"/>
                <w:color w:val="auto"/>
              </w:rPr>
            </w:pPr>
            <w:r>
              <w:rPr>
                <w:rFonts w:ascii="Arial" w:cs="Arial" w:eastAsia="Arial" w:hAnsi="Arial"/>
                <w:sz w:val="18"/>
                <w:szCs w:val="18"/>
                <w:color w:val="auto"/>
              </w:rPr>
              <w:t>Income taxes payable</w:t>
            </w:r>
          </w:p>
        </w:tc>
        <w:tc>
          <w:tcPr>
            <w:tcW w:w="200" w:type="dxa"/>
            <w:vAlign w:val="bottom"/>
          </w:tcPr>
          <w:p>
            <w:pPr>
              <w:spacing w:after="0"/>
              <w:rPr>
                <w:sz w:val="21"/>
                <w:szCs w:val="21"/>
                <w:color w:val="auto"/>
              </w:rPr>
            </w:pPr>
          </w:p>
        </w:tc>
        <w:tc>
          <w:tcPr>
            <w:tcW w:w="1060" w:type="dxa"/>
            <w:vAlign w:val="bottom"/>
          </w:tcPr>
          <w:p>
            <w:pPr>
              <w:jc w:val="right"/>
              <w:ind w:right="32"/>
              <w:spacing w:after="0"/>
              <w:rPr>
                <w:sz w:val="20"/>
                <w:szCs w:val="20"/>
                <w:color w:val="auto"/>
              </w:rPr>
            </w:pPr>
            <w:r>
              <w:rPr>
                <w:rFonts w:ascii="Arial" w:cs="Arial" w:eastAsia="Arial" w:hAnsi="Arial"/>
                <w:sz w:val="18"/>
                <w:szCs w:val="18"/>
                <w:color w:val="auto"/>
              </w:rPr>
              <w:t>13,311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15,656</w:t>
            </w:r>
          </w:p>
        </w:tc>
        <w:tc>
          <w:tcPr>
            <w:tcW w:w="0" w:type="dxa"/>
            <w:vAlign w:val="bottom"/>
          </w:tcPr>
          <w:p>
            <w:pPr>
              <w:spacing w:after="0"/>
              <w:rPr>
                <w:sz w:val="1"/>
                <w:szCs w:val="1"/>
                <w:color w:val="auto"/>
              </w:rPr>
            </w:pPr>
          </w:p>
        </w:tc>
      </w:tr>
      <w:tr>
        <w:trPr>
          <w:trHeight w:val="27"/>
        </w:trPr>
        <w:tc>
          <w:tcPr>
            <w:tcW w:w="88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8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Deferred revenue</w:t>
            </w:r>
          </w:p>
        </w:tc>
        <w:tc>
          <w:tcPr>
            <w:tcW w:w="2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33,004</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32,533</w:t>
            </w:r>
          </w:p>
        </w:tc>
        <w:tc>
          <w:tcPr>
            <w:tcW w:w="0" w:type="dxa"/>
            <w:vAlign w:val="bottom"/>
          </w:tcPr>
          <w:p>
            <w:pPr>
              <w:spacing w:after="0"/>
              <w:rPr>
                <w:sz w:val="1"/>
                <w:szCs w:val="1"/>
                <w:color w:val="auto"/>
              </w:rPr>
            </w:pPr>
          </w:p>
        </w:tc>
      </w:tr>
      <w:tr>
        <w:trPr>
          <w:trHeight w:val="237"/>
        </w:trPr>
        <w:tc>
          <w:tcPr>
            <w:tcW w:w="8800" w:type="dxa"/>
            <w:vAlign w:val="bottom"/>
          </w:tcPr>
          <w:p>
            <w:pPr>
              <w:ind w:left="600"/>
              <w:spacing w:after="0"/>
              <w:rPr>
                <w:sz w:val="20"/>
                <w:szCs w:val="20"/>
                <w:color w:val="auto"/>
              </w:rPr>
            </w:pPr>
            <w:r>
              <w:rPr>
                <w:rFonts w:ascii="Arial" w:cs="Arial" w:eastAsia="Arial" w:hAnsi="Arial"/>
                <w:sz w:val="18"/>
                <w:szCs w:val="18"/>
                <w:color w:val="auto"/>
              </w:rPr>
              <w:t>Total current liabilities</w:t>
            </w:r>
          </w:p>
        </w:tc>
        <w:tc>
          <w:tcPr>
            <w:tcW w:w="2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628,285</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732,011</w:t>
            </w:r>
          </w:p>
        </w:tc>
        <w:tc>
          <w:tcPr>
            <w:tcW w:w="0" w:type="dxa"/>
            <w:vAlign w:val="bottom"/>
          </w:tcPr>
          <w:p>
            <w:pPr>
              <w:spacing w:after="0"/>
              <w:rPr>
                <w:sz w:val="1"/>
                <w:szCs w:val="1"/>
                <w:color w:val="auto"/>
              </w:rPr>
            </w:pPr>
          </w:p>
        </w:tc>
      </w:tr>
      <w:tr>
        <w:trPr>
          <w:trHeight w:val="27"/>
        </w:trPr>
        <w:tc>
          <w:tcPr>
            <w:tcW w:w="88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Debt obligations, net of current portion</w:t>
            </w: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228,384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188,510</w:t>
            </w:r>
          </w:p>
        </w:tc>
        <w:tc>
          <w:tcPr>
            <w:tcW w:w="0" w:type="dxa"/>
            <w:vAlign w:val="bottom"/>
          </w:tcPr>
          <w:p>
            <w:pPr>
              <w:spacing w:after="0"/>
              <w:rPr>
                <w:sz w:val="1"/>
                <w:szCs w:val="1"/>
                <w:color w:val="auto"/>
              </w:rPr>
            </w:pPr>
          </w:p>
        </w:tc>
      </w:tr>
      <w:tr>
        <w:trPr>
          <w:trHeight w:val="243"/>
        </w:trPr>
        <w:tc>
          <w:tcPr>
            <w:tcW w:w="8800" w:type="dxa"/>
            <w:vAlign w:val="bottom"/>
          </w:tcPr>
          <w:p>
            <w:pPr>
              <w:ind w:left="40"/>
              <w:spacing w:after="0"/>
              <w:rPr>
                <w:sz w:val="20"/>
                <w:szCs w:val="20"/>
                <w:color w:val="auto"/>
              </w:rPr>
            </w:pPr>
            <w:r>
              <w:rPr>
                <w:rFonts w:ascii="Arial" w:cs="Arial" w:eastAsia="Arial" w:hAnsi="Arial"/>
                <w:sz w:val="18"/>
                <w:szCs w:val="18"/>
                <w:color w:val="auto"/>
              </w:rPr>
              <w:t>Capital lease obligations, net of current portion</w:t>
            </w:r>
          </w:p>
        </w:tc>
        <w:tc>
          <w:tcPr>
            <w:tcW w:w="200" w:type="dxa"/>
            <w:vAlign w:val="bottom"/>
          </w:tcPr>
          <w:p>
            <w:pPr>
              <w:spacing w:after="0"/>
              <w:rPr>
                <w:sz w:val="21"/>
                <w:szCs w:val="21"/>
                <w:color w:val="auto"/>
              </w:rPr>
            </w:pPr>
          </w:p>
        </w:tc>
        <w:tc>
          <w:tcPr>
            <w:tcW w:w="1060" w:type="dxa"/>
            <w:vAlign w:val="bottom"/>
          </w:tcPr>
          <w:p>
            <w:pPr>
              <w:jc w:val="right"/>
              <w:ind w:right="32"/>
              <w:spacing w:after="0"/>
              <w:rPr>
                <w:sz w:val="20"/>
                <w:szCs w:val="20"/>
                <w:color w:val="auto"/>
              </w:rPr>
            </w:pPr>
            <w:r>
              <w:rPr>
                <w:rFonts w:ascii="Arial" w:cs="Arial" w:eastAsia="Arial" w:hAnsi="Arial"/>
                <w:sz w:val="18"/>
                <w:szCs w:val="18"/>
                <w:color w:val="auto"/>
              </w:rPr>
              <w:t>2,454</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2,872</w:t>
            </w:r>
          </w:p>
        </w:tc>
        <w:tc>
          <w:tcPr>
            <w:tcW w:w="0" w:type="dxa"/>
            <w:vAlign w:val="bottom"/>
          </w:tcPr>
          <w:p>
            <w:pPr>
              <w:spacing w:after="0"/>
              <w:rPr>
                <w:sz w:val="1"/>
                <w:szCs w:val="1"/>
                <w:color w:val="auto"/>
              </w:rPr>
            </w:pPr>
          </w:p>
        </w:tc>
      </w:tr>
      <w:tr>
        <w:trPr>
          <w:trHeight w:val="27"/>
        </w:trPr>
        <w:tc>
          <w:tcPr>
            <w:tcW w:w="88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Deferred income taxes</w:t>
            </w: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18,044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17,695</w:t>
            </w:r>
          </w:p>
        </w:tc>
        <w:tc>
          <w:tcPr>
            <w:tcW w:w="0" w:type="dxa"/>
            <w:vAlign w:val="bottom"/>
          </w:tcPr>
          <w:p>
            <w:pPr>
              <w:spacing w:after="0"/>
              <w:rPr>
                <w:sz w:val="1"/>
                <w:szCs w:val="1"/>
                <w:color w:val="auto"/>
              </w:rPr>
            </w:pPr>
          </w:p>
        </w:tc>
      </w:tr>
      <w:tr>
        <w:trPr>
          <w:trHeight w:val="243"/>
        </w:trPr>
        <w:tc>
          <w:tcPr>
            <w:tcW w:w="8800" w:type="dxa"/>
            <w:vAlign w:val="bottom"/>
          </w:tcPr>
          <w:p>
            <w:pPr>
              <w:ind w:left="40"/>
              <w:spacing w:after="0"/>
              <w:rPr>
                <w:sz w:val="20"/>
                <w:szCs w:val="20"/>
                <w:color w:val="auto"/>
              </w:rPr>
            </w:pPr>
            <w:r>
              <w:rPr>
                <w:rFonts w:ascii="Arial" w:cs="Arial" w:eastAsia="Arial" w:hAnsi="Arial"/>
                <w:sz w:val="18"/>
                <w:szCs w:val="18"/>
                <w:color w:val="auto"/>
              </w:rPr>
              <w:t>Other long-term liabilities</w:t>
            </w:r>
          </w:p>
        </w:tc>
        <w:tc>
          <w:tcPr>
            <w:tcW w:w="200" w:type="dxa"/>
            <w:vAlign w:val="bottom"/>
          </w:tcPr>
          <w:p>
            <w:pPr>
              <w:spacing w:after="0"/>
              <w:rPr>
                <w:sz w:val="21"/>
                <w:szCs w:val="21"/>
                <w:color w:val="auto"/>
              </w:rPr>
            </w:pPr>
          </w:p>
        </w:tc>
        <w:tc>
          <w:tcPr>
            <w:tcW w:w="1060" w:type="dxa"/>
            <w:vAlign w:val="bottom"/>
          </w:tcPr>
          <w:p>
            <w:pPr>
              <w:jc w:val="right"/>
              <w:ind w:right="32"/>
              <w:spacing w:after="0"/>
              <w:rPr>
                <w:sz w:val="20"/>
                <w:szCs w:val="20"/>
                <w:color w:val="auto"/>
              </w:rPr>
            </w:pPr>
            <w:r>
              <w:rPr>
                <w:rFonts w:ascii="Arial" w:cs="Arial" w:eastAsia="Arial" w:hAnsi="Arial"/>
                <w:sz w:val="18"/>
                <w:szCs w:val="18"/>
                <w:color w:val="auto"/>
              </w:rPr>
              <w:t>17,164</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18,572</w:t>
            </w:r>
          </w:p>
        </w:tc>
        <w:tc>
          <w:tcPr>
            <w:tcW w:w="0" w:type="dxa"/>
            <w:vAlign w:val="bottom"/>
          </w:tcPr>
          <w:p>
            <w:pPr>
              <w:spacing w:after="0"/>
              <w:rPr>
                <w:sz w:val="1"/>
                <w:szCs w:val="1"/>
                <w:color w:val="auto"/>
              </w:rPr>
            </w:pPr>
          </w:p>
        </w:tc>
      </w:tr>
      <w:tr>
        <w:trPr>
          <w:trHeight w:val="27"/>
        </w:trPr>
        <w:tc>
          <w:tcPr>
            <w:tcW w:w="88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8800" w:type="dxa"/>
            <w:vAlign w:val="bottom"/>
            <w:tcBorders>
              <w:bottom w:val="single" w:sz="8" w:color="CCEEFF"/>
            </w:tcBorders>
            <w:shd w:val="clear" w:color="auto" w:fill="CCEEFF"/>
          </w:tcPr>
          <w:p>
            <w:pPr>
              <w:ind w:left="820"/>
              <w:spacing w:after="0"/>
              <w:rPr>
                <w:sz w:val="20"/>
                <w:szCs w:val="20"/>
                <w:color w:val="auto"/>
              </w:rPr>
            </w:pPr>
            <w:r>
              <w:rPr>
                <w:rFonts w:ascii="Arial" w:cs="Arial" w:eastAsia="Arial" w:hAnsi="Arial"/>
                <w:sz w:val="18"/>
                <w:szCs w:val="18"/>
                <w:color w:val="auto"/>
              </w:rPr>
              <w:t>Total liabilities</w:t>
            </w:r>
          </w:p>
        </w:tc>
        <w:tc>
          <w:tcPr>
            <w:tcW w:w="20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894,331</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959,660</w:t>
            </w:r>
          </w:p>
        </w:tc>
        <w:tc>
          <w:tcPr>
            <w:tcW w:w="0" w:type="dxa"/>
            <w:vAlign w:val="bottom"/>
          </w:tcPr>
          <w:p>
            <w:pPr>
              <w:spacing w:after="0"/>
              <w:rPr>
                <w:sz w:val="1"/>
                <w:szCs w:val="1"/>
                <w:color w:val="auto"/>
              </w:rPr>
            </w:pPr>
          </w:p>
        </w:tc>
      </w:tr>
      <w:tr>
        <w:trPr>
          <w:trHeight w:val="237"/>
        </w:trPr>
        <w:tc>
          <w:tcPr>
            <w:tcW w:w="8800" w:type="dxa"/>
            <w:vAlign w:val="bottom"/>
          </w:tcPr>
          <w:p>
            <w:pPr>
              <w:ind w:left="40"/>
              <w:spacing w:after="0"/>
              <w:rPr>
                <w:sz w:val="20"/>
                <w:szCs w:val="20"/>
                <w:color w:val="auto"/>
              </w:rPr>
            </w:pPr>
            <w:r>
              <w:rPr>
                <w:rFonts w:ascii="Arial" w:cs="Arial" w:eastAsia="Arial" w:hAnsi="Arial"/>
                <w:sz w:val="18"/>
                <w:szCs w:val="18"/>
                <w:color w:val="auto"/>
              </w:rPr>
              <w:t>Equity:</w:t>
            </w:r>
          </w:p>
        </w:tc>
        <w:tc>
          <w:tcPr>
            <w:tcW w:w="2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88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8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Euronet Worldwide, Inc. stockholders’ equity:</w:t>
            </w: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800" w:type="dxa"/>
            <w:vAlign w:val="bottom"/>
          </w:tcPr>
          <w:p>
            <w:pPr>
              <w:ind w:left="380"/>
              <w:spacing w:after="0"/>
              <w:rPr>
                <w:sz w:val="20"/>
                <w:szCs w:val="20"/>
                <w:color w:val="auto"/>
              </w:rPr>
            </w:pPr>
            <w:r>
              <w:rPr>
                <w:rFonts w:ascii="Arial" w:cs="Arial" w:eastAsia="Arial" w:hAnsi="Arial"/>
                <w:sz w:val="18"/>
                <w:szCs w:val="18"/>
                <w:color w:val="auto"/>
              </w:rPr>
              <w:t>Preferred Stock, $0.02 par value. 10,000,000 shares authorized; none issued</w:t>
            </w:r>
          </w:p>
        </w:tc>
        <w:tc>
          <w:tcPr>
            <w:tcW w:w="200" w:type="dxa"/>
            <w:vAlign w:val="bottom"/>
          </w:tcPr>
          <w:p>
            <w:pPr>
              <w:spacing w:after="0"/>
              <w:rPr>
                <w:sz w:val="21"/>
                <w:szCs w:val="21"/>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88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8800" w:type="dxa"/>
            <w:vAlign w:val="bottom"/>
            <w:shd w:val="clear" w:color="auto" w:fill="CCEEFF"/>
          </w:tcPr>
          <w:p>
            <w:pPr>
              <w:ind w:left="380"/>
              <w:spacing w:after="0"/>
              <w:rPr>
                <w:sz w:val="20"/>
                <w:szCs w:val="20"/>
                <w:color w:val="auto"/>
              </w:rPr>
            </w:pPr>
            <w:r>
              <w:rPr>
                <w:rFonts w:ascii="Arial" w:cs="Arial" w:eastAsia="Arial" w:hAnsi="Arial"/>
                <w:sz w:val="18"/>
                <w:szCs w:val="18"/>
                <w:color w:val="auto"/>
                <w:w w:val="99"/>
              </w:rPr>
              <w:t>Common Stock, $0.02 par value. 90,000,000 shares authorized; 54,612,164 issued at March 31, 2014 and</w:t>
            </w:r>
          </w:p>
        </w:tc>
        <w:tc>
          <w:tcPr>
            <w:tcW w:w="2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8800" w:type="dxa"/>
            <w:vAlign w:val="bottom"/>
            <w:tcBorders>
              <w:bottom w:val="single" w:sz="8" w:color="CCEEFF"/>
            </w:tcBorders>
            <w:shd w:val="clear" w:color="auto" w:fill="CCEEFF"/>
          </w:tcPr>
          <w:p>
            <w:pPr>
              <w:ind w:left="540"/>
              <w:spacing w:after="0"/>
              <w:rPr>
                <w:sz w:val="20"/>
                <w:szCs w:val="20"/>
                <w:color w:val="auto"/>
              </w:rPr>
            </w:pPr>
            <w:r>
              <w:rPr>
                <w:rFonts w:ascii="Arial" w:cs="Arial" w:eastAsia="Arial" w:hAnsi="Arial"/>
                <w:sz w:val="18"/>
                <w:szCs w:val="18"/>
                <w:color w:val="auto"/>
              </w:rPr>
              <w:t>54,276,761 issued at December 31, 2013</w:t>
            </w:r>
          </w:p>
        </w:tc>
        <w:tc>
          <w:tcPr>
            <w:tcW w:w="20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1,092</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1,086</w:t>
            </w:r>
          </w:p>
        </w:tc>
        <w:tc>
          <w:tcPr>
            <w:tcW w:w="0" w:type="dxa"/>
            <w:vAlign w:val="bottom"/>
          </w:tcPr>
          <w:p>
            <w:pPr>
              <w:spacing w:after="0"/>
              <w:rPr>
                <w:sz w:val="1"/>
                <w:szCs w:val="1"/>
                <w:color w:val="auto"/>
              </w:rPr>
            </w:pPr>
          </w:p>
        </w:tc>
      </w:tr>
      <w:tr>
        <w:trPr>
          <w:trHeight w:val="243"/>
        </w:trPr>
        <w:tc>
          <w:tcPr>
            <w:tcW w:w="8800" w:type="dxa"/>
            <w:vAlign w:val="bottom"/>
          </w:tcPr>
          <w:p>
            <w:pPr>
              <w:ind w:left="380"/>
              <w:spacing w:after="0"/>
              <w:rPr>
                <w:sz w:val="20"/>
                <w:szCs w:val="20"/>
                <w:color w:val="auto"/>
              </w:rPr>
            </w:pPr>
            <w:r>
              <w:rPr>
                <w:rFonts w:ascii="Arial" w:cs="Arial" w:eastAsia="Arial" w:hAnsi="Arial"/>
                <w:sz w:val="18"/>
                <w:szCs w:val="18"/>
                <w:color w:val="auto"/>
              </w:rPr>
              <w:t>Additional paid-in-capital</w:t>
            </w:r>
          </w:p>
        </w:tc>
        <w:tc>
          <w:tcPr>
            <w:tcW w:w="200" w:type="dxa"/>
            <w:vAlign w:val="bottom"/>
          </w:tcPr>
          <w:p>
            <w:pPr>
              <w:spacing w:after="0"/>
              <w:rPr>
                <w:sz w:val="21"/>
                <w:szCs w:val="21"/>
                <w:color w:val="auto"/>
              </w:rPr>
            </w:pPr>
          </w:p>
        </w:tc>
        <w:tc>
          <w:tcPr>
            <w:tcW w:w="1060" w:type="dxa"/>
            <w:vAlign w:val="bottom"/>
          </w:tcPr>
          <w:p>
            <w:pPr>
              <w:jc w:val="right"/>
              <w:ind w:right="32"/>
              <w:spacing w:after="0"/>
              <w:rPr>
                <w:sz w:val="20"/>
                <w:szCs w:val="20"/>
                <w:color w:val="auto"/>
              </w:rPr>
            </w:pPr>
            <w:r>
              <w:rPr>
                <w:rFonts w:ascii="Arial" w:cs="Arial" w:eastAsia="Arial" w:hAnsi="Arial"/>
                <w:sz w:val="18"/>
                <w:szCs w:val="18"/>
                <w:color w:val="auto"/>
              </w:rPr>
              <w:t>815,430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809,640</w:t>
            </w:r>
          </w:p>
        </w:tc>
        <w:tc>
          <w:tcPr>
            <w:tcW w:w="0" w:type="dxa"/>
            <w:vAlign w:val="bottom"/>
          </w:tcPr>
          <w:p>
            <w:pPr>
              <w:spacing w:after="0"/>
              <w:rPr>
                <w:sz w:val="1"/>
                <w:szCs w:val="1"/>
                <w:color w:val="auto"/>
              </w:rPr>
            </w:pPr>
          </w:p>
        </w:tc>
      </w:tr>
      <w:tr>
        <w:trPr>
          <w:trHeight w:val="27"/>
        </w:trPr>
        <w:tc>
          <w:tcPr>
            <w:tcW w:w="88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8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w w:val="99"/>
              </w:rPr>
              <w:t>Treasury stock, at cost, 3,664,779 shares at March 31, 2014 and 3,650,519 shares at December 31, 2013</w:t>
            </w: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(68,676)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(68,122)</w:t>
            </w:r>
          </w:p>
        </w:tc>
        <w:tc>
          <w:tcPr>
            <w:tcW w:w="0" w:type="dxa"/>
            <w:vAlign w:val="bottom"/>
          </w:tcPr>
          <w:p>
            <w:pPr>
              <w:spacing w:after="0"/>
              <w:rPr>
                <w:sz w:val="1"/>
                <w:szCs w:val="1"/>
                <w:color w:val="auto"/>
              </w:rPr>
            </w:pPr>
          </w:p>
        </w:tc>
      </w:tr>
      <w:tr>
        <w:trPr>
          <w:trHeight w:val="243"/>
        </w:trPr>
        <w:tc>
          <w:tcPr>
            <w:tcW w:w="8800" w:type="dxa"/>
            <w:vAlign w:val="bottom"/>
          </w:tcPr>
          <w:p>
            <w:pPr>
              <w:ind w:left="380"/>
              <w:spacing w:after="0"/>
              <w:rPr>
                <w:sz w:val="20"/>
                <w:szCs w:val="20"/>
                <w:color w:val="auto"/>
              </w:rPr>
            </w:pPr>
            <w:r>
              <w:rPr>
                <w:rFonts w:ascii="Arial" w:cs="Arial" w:eastAsia="Arial" w:hAnsi="Arial"/>
                <w:sz w:val="18"/>
                <w:szCs w:val="18"/>
                <w:color w:val="auto"/>
              </w:rPr>
              <w:t>Accumulated deficit</w:t>
            </w:r>
          </w:p>
        </w:tc>
        <w:tc>
          <w:tcPr>
            <w:tcW w:w="2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(80,007)</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(96,029)</w:t>
            </w:r>
          </w:p>
        </w:tc>
        <w:tc>
          <w:tcPr>
            <w:tcW w:w="0" w:type="dxa"/>
            <w:vAlign w:val="bottom"/>
          </w:tcPr>
          <w:p>
            <w:pPr>
              <w:spacing w:after="0"/>
              <w:rPr>
                <w:sz w:val="1"/>
                <w:szCs w:val="1"/>
                <w:color w:val="auto"/>
              </w:rPr>
            </w:pPr>
          </w:p>
        </w:tc>
      </w:tr>
      <w:tr>
        <w:trPr>
          <w:trHeight w:val="27"/>
        </w:trPr>
        <w:tc>
          <w:tcPr>
            <w:tcW w:w="88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8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Accumulated other comprehensive loss</w:t>
            </w:r>
          </w:p>
        </w:tc>
        <w:tc>
          <w:tcPr>
            <w:tcW w:w="2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(7,255)</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(10,453)</w:t>
            </w:r>
          </w:p>
        </w:tc>
        <w:tc>
          <w:tcPr>
            <w:tcW w:w="0" w:type="dxa"/>
            <w:vAlign w:val="bottom"/>
          </w:tcPr>
          <w:p>
            <w:pPr>
              <w:spacing w:after="0"/>
              <w:rPr>
                <w:sz w:val="1"/>
                <w:szCs w:val="1"/>
                <w:color w:val="auto"/>
              </w:rPr>
            </w:pPr>
          </w:p>
        </w:tc>
      </w:tr>
      <w:tr>
        <w:trPr>
          <w:trHeight w:val="237"/>
        </w:trPr>
        <w:tc>
          <w:tcPr>
            <w:tcW w:w="8800" w:type="dxa"/>
            <w:vAlign w:val="bottom"/>
          </w:tcPr>
          <w:p>
            <w:pPr>
              <w:ind w:left="600"/>
              <w:spacing w:after="0"/>
              <w:rPr>
                <w:sz w:val="20"/>
                <w:szCs w:val="20"/>
                <w:color w:val="auto"/>
              </w:rPr>
            </w:pPr>
            <w:r>
              <w:rPr>
                <w:rFonts w:ascii="Arial" w:cs="Arial" w:eastAsia="Arial" w:hAnsi="Arial"/>
                <w:sz w:val="18"/>
                <w:szCs w:val="18"/>
                <w:color w:val="auto"/>
              </w:rPr>
              <w:t>Total Euronet Worldwide, Inc. stockholders’ equity</w:t>
            </w:r>
          </w:p>
        </w:tc>
        <w:tc>
          <w:tcPr>
            <w:tcW w:w="2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660,584</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636,122</w:t>
            </w:r>
          </w:p>
        </w:tc>
        <w:tc>
          <w:tcPr>
            <w:tcW w:w="0" w:type="dxa"/>
            <w:vAlign w:val="bottom"/>
          </w:tcPr>
          <w:p>
            <w:pPr>
              <w:spacing w:after="0"/>
              <w:rPr>
                <w:sz w:val="1"/>
                <w:szCs w:val="1"/>
                <w:color w:val="auto"/>
              </w:rPr>
            </w:pPr>
          </w:p>
        </w:tc>
      </w:tr>
      <w:tr>
        <w:trPr>
          <w:trHeight w:val="27"/>
        </w:trPr>
        <w:tc>
          <w:tcPr>
            <w:tcW w:w="88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8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Noncontrolling interests</w:t>
            </w:r>
          </w:p>
        </w:tc>
        <w:tc>
          <w:tcPr>
            <w:tcW w:w="2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2,245</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2,333</w:t>
            </w:r>
          </w:p>
        </w:tc>
        <w:tc>
          <w:tcPr>
            <w:tcW w:w="0" w:type="dxa"/>
            <w:vAlign w:val="bottom"/>
          </w:tcPr>
          <w:p>
            <w:pPr>
              <w:spacing w:after="0"/>
              <w:rPr>
                <w:sz w:val="1"/>
                <w:szCs w:val="1"/>
                <w:color w:val="auto"/>
              </w:rPr>
            </w:pPr>
          </w:p>
        </w:tc>
      </w:tr>
      <w:tr>
        <w:trPr>
          <w:trHeight w:val="237"/>
        </w:trPr>
        <w:tc>
          <w:tcPr>
            <w:tcW w:w="8800" w:type="dxa"/>
            <w:vAlign w:val="bottom"/>
          </w:tcPr>
          <w:p>
            <w:pPr>
              <w:ind w:left="820"/>
              <w:spacing w:after="0"/>
              <w:rPr>
                <w:sz w:val="20"/>
                <w:szCs w:val="20"/>
                <w:color w:val="auto"/>
              </w:rPr>
            </w:pPr>
            <w:r>
              <w:rPr>
                <w:rFonts w:ascii="Arial" w:cs="Arial" w:eastAsia="Arial" w:hAnsi="Arial"/>
                <w:sz w:val="18"/>
                <w:szCs w:val="18"/>
                <w:color w:val="auto"/>
              </w:rPr>
              <w:t>Total equity</w:t>
            </w:r>
          </w:p>
        </w:tc>
        <w:tc>
          <w:tcPr>
            <w:tcW w:w="2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662,829</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638,455</w:t>
            </w:r>
          </w:p>
        </w:tc>
        <w:tc>
          <w:tcPr>
            <w:tcW w:w="0" w:type="dxa"/>
            <w:vAlign w:val="bottom"/>
          </w:tcPr>
          <w:p>
            <w:pPr>
              <w:spacing w:after="0"/>
              <w:rPr>
                <w:sz w:val="1"/>
                <w:szCs w:val="1"/>
                <w:color w:val="auto"/>
              </w:rPr>
            </w:pPr>
          </w:p>
        </w:tc>
      </w:tr>
      <w:tr>
        <w:trPr>
          <w:trHeight w:val="27"/>
        </w:trPr>
        <w:tc>
          <w:tcPr>
            <w:tcW w:w="88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8800" w:type="dxa"/>
            <w:vAlign w:val="bottom"/>
            <w:tcBorders>
              <w:bottom w:val="single" w:sz="8" w:color="CCEEFF"/>
            </w:tcBorders>
            <w:shd w:val="clear" w:color="auto" w:fill="CCEEFF"/>
          </w:tcPr>
          <w:p>
            <w:pPr>
              <w:ind w:left="820"/>
              <w:spacing w:after="0"/>
              <w:rPr>
                <w:sz w:val="20"/>
                <w:szCs w:val="20"/>
                <w:color w:val="auto"/>
              </w:rPr>
            </w:pPr>
            <w:r>
              <w:rPr>
                <w:rFonts w:ascii="Arial" w:cs="Arial" w:eastAsia="Arial" w:hAnsi="Arial"/>
                <w:sz w:val="18"/>
                <w:szCs w:val="18"/>
                <w:color w:val="auto"/>
              </w:rPr>
              <w:t>Total liabilities and equity</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1,557,160</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1,598,115</w:t>
            </w:r>
          </w:p>
        </w:tc>
        <w:tc>
          <w:tcPr>
            <w:tcW w:w="0" w:type="dxa"/>
            <w:vAlign w:val="bottom"/>
          </w:tcPr>
          <w:p>
            <w:pPr>
              <w:spacing w:after="0"/>
              <w:rPr>
                <w:sz w:val="1"/>
                <w:szCs w:val="1"/>
                <w:color w:val="auto"/>
              </w:rPr>
            </w:pPr>
          </w:p>
        </w:tc>
      </w:tr>
      <w:tr>
        <w:trPr>
          <w:trHeight w:val="20"/>
        </w:trPr>
        <w:tc>
          <w:tcPr>
            <w:tcW w:w="88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the unaudited consolidated financial statements.</w:t>
      </w:r>
    </w:p>
    <w:p>
      <w:pPr>
        <w:sectPr>
          <w:pgSz w:w="11900" w:h="16838" w:orient="portrait"/>
          <w:cols w:equalWidth="0" w:num="1">
            <w:col w:w="11420"/>
          </w:cols>
          <w:pgMar w:left="240" w:top="125" w:right="239" w:bottom="314" w:gutter="0" w:footer="0" w:header="0"/>
        </w:sect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w:t>
      </w:r>
    </w:p>
    <w:p>
      <w:pPr>
        <w:sectPr>
          <w:pgSz w:w="11900" w:h="16838" w:orient="portrait"/>
          <w:cols w:equalWidth="0" w:num="1">
            <w:col w:w="11420"/>
          </w:cols>
          <w:pgMar w:left="240" w:top="125" w:right="239" w:bottom="314" w:gutter="0" w:footer="0" w:header="0"/>
          <w:type w:val="continuous"/>
        </w:sectPr>
      </w:pPr>
    </w:p>
    <w:bookmarkStart w:id="3" w:name="page4"/>
    <w:bookmarkEnd w:id="3"/>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EURONET WORLDWIDE,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in thousands, except share and per share data)</w:t>
      </w:r>
    </w:p>
    <w:p>
      <w:pPr>
        <w:spacing w:after="0" w:line="365" w:lineRule="exact"/>
        <w:rPr>
          <w:sz w:val="20"/>
          <w:szCs w:val="20"/>
          <w:color w:val="auto"/>
        </w:rPr>
      </w:pPr>
    </w:p>
    <w:p>
      <w:pPr>
        <w:jc w:val="center"/>
        <w:ind w:left="8820"/>
        <w:spacing w:after="0"/>
        <w:rPr>
          <w:sz w:val="20"/>
          <w:szCs w:val="20"/>
          <w:color w:val="auto"/>
        </w:rPr>
      </w:pPr>
      <w:r>
        <w:rPr>
          <w:rFonts w:ascii="Arial" w:cs="Arial" w:eastAsia="Arial" w:hAnsi="Arial"/>
          <w:sz w:val="14"/>
          <w:szCs w:val="14"/>
          <w:b w:val="1"/>
          <w:bCs w:val="1"/>
          <w:color w:val="auto"/>
        </w:rPr>
        <w:t>Three Months Ended</w:t>
      </w:r>
    </w:p>
    <w:p>
      <w:pPr>
        <w:spacing w:after="0" w:line="4" w:lineRule="exact"/>
        <w:rPr>
          <w:sz w:val="20"/>
          <w:szCs w:val="20"/>
          <w:color w:val="auto"/>
        </w:rPr>
      </w:pPr>
    </w:p>
    <w:p>
      <w:pPr>
        <w:jc w:val="center"/>
        <w:ind w:left="8820"/>
        <w:spacing w:after="0"/>
        <w:rPr>
          <w:sz w:val="20"/>
          <w:szCs w:val="20"/>
          <w:color w:val="auto"/>
        </w:rPr>
      </w:pPr>
      <w:r>
        <w:rPr>
          <w:rFonts w:ascii="Arial" w:cs="Arial" w:eastAsia="Arial" w:hAnsi="Arial"/>
          <w:sz w:val="14"/>
          <w:szCs w:val="14"/>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5588000</wp:posOffset>
            </wp:positionH>
            <wp:positionV relativeFrom="paragraph">
              <wp:posOffset>13335</wp:posOffset>
            </wp:positionV>
            <wp:extent cx="166370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663700" cy="8890"/>
                    </a:xfrm>
                    <a:prstGeom prst="rect">
                      <a:avLst/>
                    </a:prstGeom>
                    <a:noFill/>
                  </pic:spPr>
                </pic:pic>
              </a:graphicData>
            </a:graphic>
          </wp:anchor>
        </w:drawing>
      </w:r>
    </w:p>
    <w:p>
      <w:pPr>
        <w:spacing w:after="0" w:line="8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8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391"/>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391"/>
              <w:spacing w:after="0"/>
              <w:rPr>
                <w:sz w:val="20"/>
                <w:szCs w:val="20"/>
                <w:color w:val="auto"/>
              </w:rPr>
            </w:pPr>
            <w:r>
              <w:rPr>
                <w:rFonts w:ascii="Arial" w:cs="Arial" w:eastAsia="Arial" w:hAnsi="Arial"/>
                <w:sz w:val="14"/>
                <w:szCs w:val="14"/>
                <w:b w:val="1"/>
                <w:bCs w:val="1"/>
                <w:color w:val="auto"/>
              </w:rPr>
              <w:t>2013</w:t>
            </w:r>
          </w:p>
        </w:tc>
        <w:tc>
          <w:tcPr>
            <w:tcW w:w="0" w:type="dxa"/>
            <w:vAlign w:val="bottom"/>
          </w:tcPr>
          <w:p>
            <w:pPr>
              <w:spacing w:after="0"/>
              <w:rPr>
                <w:sz w:val="1"/>
                <w:szCs w:val="1"/>
                <w:color w:val="auto"/>
              </w:rPr>
            </w:pPr>
          </w:p>
        </w:tc>
      </w:tr>
      <w:tr>
        <w:trPr>
          <w:trHeight w:val="250"/>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Revenues</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353,315</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335,644</w:t>
            </w:r>
          </w:p>
        </w:tc>
        <w:tc>
          <w:tcPr>
            <w:tcW w:w="0" w:type="dxa"/>
            <w:vAlign w:val="bottom"/>
          </w:tcPr>
          <w:p>
            <w:pPr>
              <w:spacing w:after="0"/>
              <w:rPr>
                <w:sz w:val="1"/>
                <w:szCs w:val="1"/>
                <w:color w:val="auto"/>
              </w:rPr>
            </w:pPr>
          </w:p>
        </w:tc>
      </w:tr>
      <w:tr>
        <w:trPr>
          <w:trHeight w:val="243"/>
        </w:trPr>
        <w:tc>
          <w:tcPr>
            <w:tcW w:w="8800" w:type="dxa"/>
            <w:vAlign w:val="bottom"/>
          </w:tcPr>
          <w:p>
            <w:pPr>
              <w:ind w:left="40"/>
              <w:spacing w:after="0"/>
              <w:rPr>
                <w:sz w:val="20"/>
                <w:szCs w:val="20"/>
                <w:color w:val="auto"/>
              </w:rPr>
            </w:pPr>
            <w:r>
              <w:rPr>
                <w:rFonts w:ascii="Arial" w:cs="Arial" w:eastAsia="Arial" w:hAnsi="Arial"/>
                <w:sz w:val="18"/>
                <w:szCs w:val="18"/>
                <w:color w:val="auto"/>
              </w:rPr>
              <w:t>Operating expenses:</w:t>
            </w:r>
          </w:p>
        </w:tc>
        <w:tc>
          <w:tcPr>
            <w:tcW w:w="2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8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8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Direct operating costs</w:t>
            </w: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226,338</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219,087</w:t>
            </w:r>
          </w:p>
        </w:tc>
        <w:tc>
          <w:tcPr>
            <w:tcW w:w="0" w:type="dxa"/>
            <w:vAlign w:val="bottom"/>
          </w:tcPr>
          <w:p>
            <w:pPr>
              <w:spacing w:after="0"/>
              <w:rPr>
                <w:sz w:val="1"/>
                <w:szCs w:val="1"/>
                <w:color w:val="auto"/>
              </w:rPr>
            </w:pPr>
          </w:p>
        </w:tc>
      </w:tr>
      <w:tr>
        <w:trPr>
          <w:trHeight w:val="243"/>
        </w:trPr>
        <w:tc>
          <w:tcPr>
            <w:tcW w:w="8800" w:type="dxa"/>
            <w:vAlign w:val="bottom"/>
          </w:tcPr>
          <w:p>
            <w:pPr>
              <w:ind w:left="180"/>
              <w:spacing w:after="0"/>
              <w:rPr>
                <w:sz w:val="20"/>
                <w:szCs w:val="20"/>
                <w:color w:val="auto"/>
              </w:rPr>
            </w:pPr>
            <w:r>
              <w:rPr>
                <w:rFonts w:ascii="Arial" w:cs="Arial" w:eastAsia="Arial" w:hAnsi="Arial"/>
                <w:sz w:val="18"/>
                <w:szCs w:val="18"/>
                <w:color w:val="auto"/>
              </w:rPr>
              <w:t>Salaries and benefits</w:t>
            </w:r>
          </w:p>
        </w:tc>
        <w:tc>
          <w:tcPr>
            <w:tcW w:w="220" w:type="dxa"/>
            <w:vAlign w:val="bottom"/>
          </w:tcPr>
          <w:p>
            <w:pPr>
              <w:spacing w:after="0"/>
              <w:rPr>
                <w:sz w:val="21"/>
                <w:szCs w:val="21"/>
                <w:color w:val="auto"/>
              </w:rPr>
            </w:pPr>
          </w:p>
        </w:tc>
        <w:tc>
          <w:tcPr>
            <w:tcW w:w="1040" w:type="dxa"/>
            <w:vAlign w:val="bottom"/>
          </w:tcPr>
          <w:p>
            <w:pPr>
              <w:jc w:val="right"/>
              <w:ind w:right="31"/>
              <w:spacing w:after="0"/>
              <w:rPr>
                <w:sz w:val="20"/>
                <w:szCs w:val="20"/>
                <w:color w:val="auto"/>
              </w:rPr>
            </w:pPr>
            <w:r>
              <w:rPr>
                <w:rFonts w:ascii="Arial" w:cs="Arial" w:eastAsia="Arial" w:hAnsi="Arial"/>
                <w:sz w:val="18"/>
                <w:szCs w:val="18"/>
                <w:color w:val="auto"/>
              </w:rPr>
              <w:t>53,574</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48,727</w:t>
            </w:r>
          </w:p>
        </w:tc>
        <w:tc>
          <w:tcPr>
            <w:tcW w:w="0" w:type="dxa"/>
            <w:vAlign w:val="bottom"/>
          </w:tcPr>
          <w:p>
            <w:pPr>
              <w:spacing w:after="0"/>
              <w:rPr>
                <w:sz w:val="1"/>
                <w:szCs w:val="1"/>
                <w:color w:val="auto"/>
              </w:rPr>
            </w:pPr>
          </w:p>
        </w:tc>
      </w:tr>
      <w:tr>
        <w:trPr>
          <w:trHeight w:val="27"/>
        </w:trPr>
        <w:tc>
          <w:tcPr>
            <w:tcW w:w="88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8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Selling, general and administrative</w:t>
            </w: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32,871</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31,003</w:t>
            </w:r>
          </w:p>
        </w:tc>
        <w:tc>
          <w:tcPr>
            <w:tcW w:w="0" w:type="dxa"/>
            <w:vAlign w:val="bottom"/>
          </w:tcPr>
          <w:p>
            <w:pPr>
              <w:spacing w:after="0"/>
              <w:rPr>
                <w:sz w:val="1"/>
                <w:szCs w:val="1"/>
                <w:color w:val="auto"/>
              </w:rPr>
            </w:pPr>
          </w:p>
        </w:tc>
      </w:tr>
      <w:tr>
        <w:trPr>
          <w:trHeight w:val="243"/>
        </w:trPr>
        <w:tc>
          <w:tcPr>
            <w:tcW w:w="8800" w:type="dxa"/>
            <w:vAlign w:val="bottom"/>
          </w:tcPr>
          <w:p>
            <w:pPr>
              <w:ind w:left="180"/>
              <w:spacing w:after="0"/>
              <w:rPr>
                <w:sz w:val="20"/>
                <w:szCs w:val="20"/>
                <w:color w:val="auto"/>
              </w:rPr>
            </w:pPr>
            <w:r>
              <w:rPr>
                <w:rFonts w:ascii="Arial" w:cs="Arial" w:eastAsia="Arial" w:hAnsi="Arial"/>
                <w:sz w:val="18"/>
                <w:szCs w:val="18"/>
                <w:color w:val="auto"/>
              </w:rPr>
              <w:t>Depreciation and amortization</w:t>
            </w:r>
          </w:p>
        </w:tc>
        <w:tc>
          <w:tcPr>
            <w:tcW w:w="220" w:type="dxa"/>
            <w:vAlign w:val="bottom"/>
          </w:tcPr>
          <w:p>
            <w:pPr>
              <w:spacing w:after="0"/>
              <w:rPr>
                <w:sz w:val="21"/>
                <w:szCs w:val="21"/>
                <w:color w:val="auto"/>
              </w:rPr>
            </w:pPr>
          </w:p>
        </w:tc>
        <w:tc>
          <w:tcPr>
            <w:tcW w:w="1040" w:type="dxa"/>
            <w:vAlign w:val="bottom"/>
          </w:tcPr>
          <w:p>
            <w:pPr>
              <w:jc w:val="right"/>
              <w:ind w:right="31"/>
              <w:spacing w:after="0"/>
              <w:rPr>
                <w:sz w:val="20"/>
                <w:szCs w:val="20"/>
                <w:color w:val="auto"/>
              </w:rPr>
            </w:pPr>
            <w:r>
              <w:rPr>
                <w:rFonts w:ascii="Arial" w:cs="Arial" w:eastAsia="Arial" w:hAnsi="Arial"/>
                <w:sz w:val="18"/>
                <w:szCs w:val="18"/>
                <w:color w:val="auto"/>
              </w:rPr>
              <w:t>16,150</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17,669</w:t>
            </w:r>
          </w:p>
        </w:tc>
        <w:tc>
          <w:tcPr>
            <w:tcW w:w="0" w:type="dxa"/>
            <w:vAlign w:val="bottom"/>
          </w:tcPr>
          <w:p>
            <w:pPr>
              <w:spacing w:after="0"/>
              <w:rPr>
                <w:sz w:val="1"/>
                <w:szCs w:val="1"/>
                <w:color w:val="auto"/>
              </w:rPr>
            </w:pPr>
          </w:p>
        </w:tc>
      </w:tr>
      <w:tr>
        <w:trPr>
          <w:trHeight w:val="27"/>
        </w:trPr>
        <w:tc>
          <w:tcPr>
            <w:tcW w:w="88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880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8"/>
                <w:szCs w:val="18"/>
                <w:color w:val="auto"/>
              </w:rPr>
              <w:t>Total operating expenses</w:t>
            </w:r>
          </w:p>
        </w:tc>
        <w:tc>
          <w:tcPr>
            <w:tcW w:w="2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328,933</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316,486</w:t>
            </w:r>
          </w:p>
        </w:tc>
        <w:tc>
          <w:tcPr>
            <w:tcW w:w="0" w:type="dxa"/>
            <w:vAlign w:val="bottom"/>
          </w:tcPr>
          <w:p>
            <w:pPr>
              <w:spacing w:after="0"/>
              <w:rPr>
                <w:sz w:val="1"/>
                <w:szCs w:val="1"/>
                <w:color w:val="auto"/>
              </w:rPr>
            </w:pPr>
          </w:p>
        </w:tc>
      </w:tr>
      <w:tr>
        <w:trPr>
          <w:trHeight w:val="237"/>
        </w:trPr>
        <w:tc>
          <w:tcPr>
            <w:tcW w:w="8800" w:type="dxa"/>
            <w:vAlign w:val="bottom"/>
          </w:tcPr>
          <w:p>
            <w:pPr>
              <w:ind w:left="40"/>
              <w:spacing w:after="0"/>
              <w:rPr>
                <w:sz w:val="20"/>
                <w:szCs w:val="20"/>
                <w:color w:val="auto"/>
              </w:rPr>
            </w:pPr>
            <w:r>
              <w:rPr>
                <w:rFonts w:ascii="Arial" w:cs="Arial" w:eastAsia="Arial" w:hAnsi="Arial"/>
                <w:sz w:val="18"/>
                <w:szCs w:val="18"/>
                <w:color w:val="auto"/>
              </w:rPr>
              <w:t>Operating income</w:t>
            </w:r>
          </w:p>
        </w:tc>
        <w:tc>
          <w:tcPr>
            <w:tcW w:w="2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24,382</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19,158</w:t>
            </w:r>
          </w:p>
        </w:tc>
        <w:tc>
          <w:tcPr>
            <w:tcW w:w="0" w:type="dxa"/>
            <w:vAlign w:val="bottom"/>
          </w:tcPr>
          <w:p>
            <w:pPr>
              <w:spacing w:after="0"/>
              <w:rPr>
                <w:sz w:val="1"/>
                <w:szCs w:val="1"/>
                <w:color w:val="auto"/>
              </w:rPr>
            </w:pPr>
          </w:p>
        </w:tc>
      </w:tr>
      <w:tr>
        <w:trPr>
          <w:trHeight w:val="27"/>
        </w:trPr>
        <w:tc>
          <w:tcPr>
            <w:tcW w:w="88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income (expense):</w:t>
            </w: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800" w:type="dxa"/>
            <w:vAlign w:val="bottom"/>
          </w:tcPr>
          <w:p>
            <w:pPr>
              <w:ind w:left="180"/>
              <w:spacing w:after="0"/>
              <w:rPr>
                <w:sz w:val="20"/>
                <w:szCs w:val="20"/>
                <w:color w:val="auto"/>
              </w:rPr>
            </w:pPr>
            <w:r>
              <w:rPr>
                <w:rFonts w:ascii="Arial" w:cs="Arial" w:eastAsia="Arial" w:hAnsi="Arial"/>
                <w:sz w:val="18"/>
                <w:szCs w:val="18"/>
                <w:color w:val="auto"/>
              </w:rPr>
              <w:t>Interest income</w:t>
            </w:r>
          </w:p>
        </w:tc>
        <w:tc>
          <w:tcPr>
            <w:tcW w:w="220" w:type="dxa"/>
            <w:vAlign w:val="bottom"/>
          </w:tcPr>
          <w:p>
            <w:pPr>
              <w:spacing w:after="0"/>
              <w:rPr>
                <w:sz w:val="21"/>
                <w:szCs w:val="21"/>
                <w:color w:val="auto"/>
              </w:rPr>
            </w:pPr>
          </w:p>
        </w:tc>
        <w:tc>
          <w:tcPr>
            <w:tcW w:w="1040" w:type="dxa"/>
            <w:vAlign w:val="bottom"/>
          </w:tcPr>
          <w:p>
            <w:pPr>
              <w:jc w:val="right"/>
              <w:ind w:right="31"/>
              <w:spacing w:after="0"/>
              <w:rPr>
                <w:sz w:val="20"/>
                <w:szCs w:val="20"/>
                <w:color w:val="auto"/>
              </w:rPr>
            </w:pPr>
            <w:r>
              <w:rPr>
                <w:rFonts w:ascii="Arial" w:cs="Arial" w:eastAsia="Arial" w:hAnsi="Arial"/>
                <w:sz w:val="18"/>
                <w:szCs w:val="18"/>
                <w:color w:val="auto"/>
              </w:rPr>
              <w:t>532</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494</w:t>
            </w:r>
          </w:p>
        </w:tc>
        <w:tc>
          <w:tcPr>
            <w:tcW w:w="0" w:type="dxa"/>
            <w:vAlign w:val="bottom"/>
          </w:tcPr>
          <w:p>
            <w:pPr>
              <w:spacing w:after="0"/>
              <w:rPr>
                <w:sz w:val="1"/>
                <w:szCs w:val="1"/>
                <w:color w:val="auto"/>
              </w:rPr>
            </w:pPr>
          </w:p>
        </w:tc>
      </w:tr>
      <w:tr>
        <w:trPr>
          <w:trHeight w:val="27"/>
        </w:trPr>
        <w:tc>
          <w:tcPr>
            <w:tcW w:w="88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8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Interest expense</w:t>
            </w: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(1,988)</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(2,859)</w:t>
            </w:r>
          </w:p>
        </w:tc>
        <w:tc>
          <w:tcPr>
            <w:tcW w:w="0" w:type="dxa"/>
            <w:vAlign w:val="bottom"/>
          </w:tcPr>
          <w:p>
            <w:pPr>
              <w:spacing w:after="0"/>
              <w:rPr>
                <w:sz w:val="1"/>
                <w:szCs w:val="1"/>
                <w:color w:val="auto"/>
              </w:rPr>
            </w:pPr>
          </w:p>
        </w:tc>
      </w:tr>
      <w:tr>
        <w:trPr>
          <w:trHeight w:val="243"/>
        </w:trPr>
        <w:tc>
          <w:tcPr>
            <w:tcW w:w="8800" w:type="dxa"/>
            <w:vAlign w:val="bottom"/>
          </w:tcPr>
          <w:p>
            <w:pPr>
              <w:ind w:left="180"/>
              <w:spacing w:after="0"/>
              <w:rPr>
                <w:sz w:val="20"/>
                <w:szCs w:val="20"/>
                <w:color w:val="auto"/>
              </w:rPr>
            </w:pPr>
            <w:r>
              <w:rPr>
                <w:rFonts w:ascii="Arial" w:cs="Arial" w:eastAsia="Arial" w:hAnsi="Arial"/>
                <w:sz w:val="18"/>
                <w:szCs w:val="18"/>
                <w:color w:val="auto"/>
              </w:rPr>
              <w:t>Foreign currency exchange loss, net</w:t>
            </w:r>
          </w:p>
        </w:tc>
        <w:tc>
          <w:tcPr>
            <w:tcW w:w="2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(1,269)</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(1,701)</w:t>
            </w:r>
          </w:p>
        </w:tc>
        <w:tc>
          <w:tcPr>
            <w:tcW w:w="0" w:type="dxa"/>
            <w:vAlign w:val="bottom"/>
          </w:tcPr>
          <w:p>
            <w:pPr>
              <w:spacing w:after="0"/>
              <w:rPr>
                <w:sz w:val="1"/>
                <w:szCs w:val="1"/>
                <w:color w:val="auto"/>
              </w:rPr>
            </w:pPr>
          </w:p>
        </w:tc>
      </w:tr>
      <w:tr>
        <w:trPr>
          <w:trHeight w:val="27"/>
        </w:trPr>
        <w:tc>
          <w:tcPr>
            <w:tcW w:w="88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8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Income from unconsolidated affiliates</w:t>
            </w:r>
          </w:p>
        </w:tc>
        <w:tc>
          <w:tcPr>
            <w:tcW w:w="22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124</w:t>
            </w:r>
          </w:p>
        </w:tc>
        <w:tc>
          <w:tcPr>
            <w:tcW w:w="0" w:type="dxa"/>
            <w:vAlign w:val="bottom"/>
          </w:tcPr>
          <w:p>
            <w:pPr>
              <w:spacing w:after="0"/>
              <w:rPr>
                <w:sz w:val="1"/>
                <w:szCs w:val="1"/>
                <w:color w:val="auto"/>
              </w:rPr>
            </w:pPr>
          </w:p>
        </w:tc>
      </w:tr>
      <w:tr>
        <w:trPr>
          <w:trHeight w:val="237"/>
        </w:trPr>
        <w:tc>
          <w:tcPr>
            <w:tcW w:w="8800" w:type="dxa"/>
            <w:vAlign w:val="bottom"/>
          </w:tcPr>
          <w:p>
            <w:pPr>
              <w:ind w:left="600"/>
              <w:spacing w:after="0"/>
              <w:rPr>
                <w:sz w:val="20"/>
                <w:szCs w:val="20"/>
                <w:color w:val="auto"/>
              </w:rPr>
            </w:pPr>
            <w:r>
              <w:rPr>
                <w:rFonts w:ascii="Arial" w:cs="Arial" w:eastAsia="Arial" w:hAnsi="Arial"/>
                <w:sz w:val="18"/>
                <w:szCs w:val="18"/>
                <w:color w:val="auto"/>
              </w:rPr>
              <w:t>Other expense, net</w:t>
            </w:r>
          </w:p>
        </w:tc>
        <w:tc>
          <w:tcPr>
            <w:tcW w:w="2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(2,725)</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(3,942)</w:t>
            </w:r>
          </w:p>
        </w:tc>
        <w:tc>
          <w:tcPr>
            <w:tcW w:w="0" w:type="dxa"/>
            <w:vAlign w:val="bottom"/>
          </w:tcPr>
          <w:p>
            <w:pPr>
              <w:spacing w:after="0"/>
              <w:rPr>
                <w:sz w:val="1"/>
                <w:szCs w:val="1"/>
                <w:color w:val="auto"/>
              </w:rPr>
            </w:pPr>
          </w:p>
        </w:tc>
      </w:tr>
      <w:tr>
        <w:trPr>
          <w:trHeight w:val="27"/>
        </w:trPr>
        <w:tc>
          <w:tcPr>
            <w:tcW w:w="88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8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Income before income taxes</w:t>
            </w: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21,657</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15,216</w:t>
            </w:r>
          </w:p>
        </w:tc>
        <w:tc>
          <w:tcPr>
            <w:tcW w:w="0" w:type="dxa"/>
            <w:vAlign w:val="bottom"/>
          </w:tcPr>
          <w:p>
            <w:pPr>
              <w:spacing w:after="0"/>
              <w:rPr>
                <w:sz w:val="1"/>
                <w:szCs w:val="1"/>
                <w:color w:val="auto"/>
              </w:rPr>
            </w:pPr>
          </w:p>
        </w:tc>
      </w:tr>
      <w:tr>
        <w:trPr>
          <w:trHeight w:val="243"/>
        </w:trPr>
        <w:tc>
          <w:tcPr>
            <w:tcW w:w="8800" w:type="dxa"/>
            <w:vAlign w:val="bottom"/>
          </w:tcPr>
          <w:p>
            <w:pPr>
              <w:ind w:left="40"/>
              <w:spacing w:after="0"/>
              <w:rPr>
                <w:sz w:val="20"/>
                <w:szCs w:val="20"/>
                <w:color w:val="auto"/>
              </w:rPr>
            </w:pPr>
            <w:r>
              <w:rPr>
                <w:rFonts w:ascii="Arial" w:cs="Arial" w:eastAsia="Arial" w:hAnsi="Arial"/>
                <w:sz w:val="18"/>
                <w:szCs w:val="18"/>
                <w:color w:val="auto"/>
              </w:rPr>
              <w:t>Income tax expense</w:t>
            </w:r>
          </w:p>
        </w:tc>
        <w:tc>
          <w:tcPr>
            <w:tcW w:w="2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(5,724)</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(3,156)</w:t>
            </w:r>
          </w:p>
        </w:tc>
        <w:tc>
          <w:tcPr>
            <w:tcW w:w="0" w:type="dxa"/>
            <w:vAlign w:val="bottom"/>
          </w:tcPr>
          <w:p>
            <w:pPr>
              <w:spacing w:after="0"/>
              <w:rPr>
                <w:sz w:val="1"/>
                <w:szCs w:val="1"/>
                <w:color w:val="auto"/>
              </w:rPr>
            </w:pPr>
          </w:p>
        </w:tc>
      </w:tr>
      <w:tr>
        <w:trPr>
          <w:trHeight w:val="27"/>
        </w:trPr>
        <w:tc>
          <w:tcPr>
            <w:tcW w:w="88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8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Net income</w:t>
            </w: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15,933</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12,060</w:t>
            </w:r>
          </w:p>
        </w:tc>
        <w:tc>
          <w:tcPr>
            <w:tcW w:w="0" w:type="dxa"/>
            <w:vAlign w:val="bottom"/>
          </w:tcPr>
          <w:p>
            <w:pPr>
              <w:spacing w:after="0"/>
              <w:rPr>
                <w:sz w:val="1"/>
                <w:szCs w:val="1"/>
                <w:color w:val="auto"/>
              </w:rPr>
            </w:pPr>
          </w:p>
        </w:tc>
      </w:tr>
      <w:tr>
        <w:trPr>
          <w:trHeight w:val="243"/>
        </w:trPr>
        <w:tc>
          <w:tcPr>
            <w:tcW w:w="8800" w:type="dxa"/>
            <w:vAlign w:val="bottom"/>
          </w:tcPr>
          <w:p>
            <w:pPr>
              <w:ind w:left="380"/>
              <w:spacing w:after="0"/>
              <w:rPr>
                <w:sz w:val="20"/>
                <w:szCs w:val="20"/>
                <w:color w:val="auto"/>
              </w:rPr>
            </w:pPr>
            <w:r>
              <w:rPr>
                <w:rFonts w:ascii="Arial" w:cs="Arial" w:eastAsia="Arial" w:hAnsi="Arial"/>
                <w:sz w:val="18"/>
                <w:szCs w:val="18"/>
                <w:color w:val="auto"/>
              </w:rPr>
              <w:t>Less: Net loss (income) attributable to noncontrolling interests</w:t>
            </w:r>
          </w:p>
        </w:tc>
        <w:tc>
          <w:tcPr>
            <w:tcW w:w="220" w:type="dxa"/>
            <w:vAlign w:val="bottom"/>
          </w:tcPr>
          <w:p>
            <w:pPr>
              <w:spacing w:after="0"/>
              <w:rPr>
                <w:sz w:val="21"/>
                <w:szCs w:val="21"/>
                <w:color w:val="auto"/>
              </w:rPr>
            </w:pPr>
          </w:p>
        </w:tc>
        <w:tc>
          <w:tcPr>
            <w:tcW w:w="1040" w:type="dxa"/>
            <w:vAlign w:val="bottom"/>
          </w:tcPr>
          <w:p>
            <w:pPr>
              <w:jc w:val="right"/>
              <w:ind w:right="31"/>
              <w:spacing w:after="0"/>
              <w:rPr>
                <w:sz w:val="20"/>
                <w:szCs w:val="20"/>
                <w:color w:val="auto"/>
              </w:rPr>
            </w:pPr>
            <w:r>
              <w:rPr>
                <w:rFonts w:ascii="Arial" w:cs="Arial" w:eastAsia="Arial" w:hAnsi="Arial"/>
                <w:sz w:val="18"/>
                <w:szCs w:val="18"/>
                <w:color w:val="auto"/>
              </w:rPr>
              <w:t>89</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r>
        <w:trPr>
          <w:trHeight w:val="27"/>
        </w:trPr>
        <w:tc>
          <w:tcPr>
            <w:tcW w:w="88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88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Net income attributable to Euronet Worldwide, Inc.</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16,022</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12,006</w:t>
            </w:r>
          </w:p>
        </w:tc>
        <w:tc>
          <w:tcPr>
            <w:tcW w:w="0" w:type="dxa"/>
            <w:vAlign w:val="bottom"/>
          </w:tcPr>
          <w:p>
            <w:pPr>
              <w:spacing w:after="0"/>
              <w:rPr>
                <w:sz w:val="1"/>
                <w:szCs w:val="1"/>
                <w:color w:val="auto"/>
              </w:rPr>
            </w:pPr>
          </w:p>
        </w:tc>
      </w:tr>
      <w:tr>
        <w:trPr>
          <w:trHeight w:val="20"/>
        </w:trPr>
        <w:tc>
          <w:tcPr>
            <w:tcW w:w="88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7"/>
        </w:trPr>
        <w:tc>
          <w:tcPr>
            <w:tcW w:w="88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Earnings per share attributable to Euronet Worldwide, Inc. stockholders:</w:t>
            </w: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304"/>
        </w:trPr>
        <w:tc>
          <w:tcPr>
            <w:tcW w:w="880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Basic</w:t>
            </w: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0.32</w:t>
            </w:r>
          </w:p>
        </w:tc>
        <w:tc>
          <w:tcPr>
            <w:tcW w:w="100" w:type="dxa"/>
            <w:vAlign w:val="bottom"/>
            <w:tcBorders>
              <w:bottom w:val="single" w:sz="8" w:color="CCEEFF"/>
            </w:tcBorders>
          </w:tcPr>
          <w:p>
            <w:pPr>
              <w:spacing w:after="0"/>
              <w:rPr>
                <w:sz w:val="24"/>
                <w:szCs w:val="24"/>
                <w:color w:val="auto"/>
              </w:rPr>
            </w:pP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0.24</w:t>
            </w:r>
          </w:p>
        </w:tc>
        <w:tc>
          <w:tcPr>
            <w:tcW w:w="0" w:type="dxa"/>
            <w:vAlign w:val="bottom"/>
          </w:tcPr>
          <w:p>
            <w:pPr>
              <w:spacing w:after="0"/>
              <w:rPr>
                <w:sz w:val="1"/>
                <w:szCs w:val="1"/>
                <w:color w:val="auto"/>
              </w:rPr>
            </w:pPr>
          </w:p>
        </w:tc>
      </w:tr>
      <w:tr>
        <w:trPr>
          <w:trHeight w:val="251"/>
        </w:trPr>
        <w:tc>
          <w:tcPr>
            <w:tcW w:w="88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Diluted</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0.30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0.24</w:t>
            </w:r>
          </w:p>
        </w:tc>
        <w:tc>
          <w:tcPr>
            <w:tcW w:w="0" w:type="dxa"/>
            <w:vAlign w:val="bottom"/>
          </w:tcPr>
          <w:p>
            <w:pPr>
              <w:spacing w:after="0"/>
              <w:rPr>
                <w:sz w:val="1"/>
                <w:szCs w:val="1"/>
                <w:color w:val="auto"/>
              </w:rPr>
            </w:pPr>
          </w:p>
        </w:tc>
      </w:tr>
      <w:tr>
        <w:trPr>
          <w:trHeight w:val="20"/>
        </w:trPr>
        <w:tc>
          <w:tcPr>
            <w:tcW w:w="88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8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Weighted average shares outstanding:</w:t>
            </w: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304"/>
        </w:trPr>
        <w:tc>
          <w:tcPr>
            <w:tcW w:w="880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Basic</w:t>
            </w:r>
          </w:p>
        </w:tc>
        <w:tc>
          <w:tcPr>
            <w:tcW w:w="22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w w:val="99"/>
              </w:rPr>
              <w:t>50,788,219</w:t>
            </w:r>
          </w:p>
        </w:tc>
        <w:tc>
          <w:tcPr>
            <w:tcW w:w="100" w:type="dxa"/>
            <w:vAlign w:val="bottom"/>
            <w:tcBorders>
              <w:bottom w:val="single" w:sz="8" w:color="CCEEFF"/>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w w:val="99"/>
              </w:rPr>
              <w:t>49,504,712</w:t>
            </w:r>
          </w:p>
        </w:tc>
        <w:tc>
          <w:tcPr>
            <w:tcW w:w="0" w:type="dxa"/>
            <w:vAlign w:val="bottom"/>
          </w:tcPr>
          <w:p>
            <w:pPr>
              <w:spacing w:after="0"/>
              <w:rPr>
                <w:sz w:val="1"/>
                <w:szCs w:val="1"/>
                <w:color w:val="auto"/>
              </w:rPr>
            </w:pPr>
          </w:p>
        </w:tc>
      </w:tr>
      <w:tr>
        <w:trPr>
          <w:trHeight w:val="251"/>
        </w:trPr>
        <w:tc>
          <w:tcPr>
            <w:tcW w:w="88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Diluted</w:t>
            </w:r>
          </w:p>
        </w:tc>
        <w:tc>
          <w:tcPr>
            <w:tcW w:w="220" w:type="dxa"/>
            <w:vAlign w:val="bottom"/>
            <w:tcBorders>
              <w:bottom w:val="single" w:sz="8" w:color="auto"/>
            </w:tcBorders>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w w:val="99"/>
              </w:rPr>
              <w:t>52,763,650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10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w w:val="99"/>
              </w:rPr>
              <w:t>50,620,437</w:t>
            </w:r>
          </w:p>
        </w:tc>
        <w:tc>
          <w:tcPr>
            <w:tcW w:w="0" w:type="dxa"/>
            <w:vAlign w:val="bottom"/>
          </w:tcPr>
          <w:p>
            <w:pPr>
              <w:spacing w:after="0"/>
              <w:rPr>
                <w:sz w:val="1"/>
                <w:szCs w:val="1"/>
                <w:color w:val="auto"/>
              </w:rPr>
            </w:pPr>
          </w:p>
        </w:tc>
      </w:tr>
      <w:tr>
        <w:trPr>
          <w:trHeight w:val="20"/>
        </w:trPr>
        <w:tc>
          <w:tcPr>
            <w:tcW w:w="8800" w:type="dxa"/>
            <w:vAlign w:val="bottom"/>
            <w:vMerge w:val="restart"/>
          </w:tcPr>
          <w:p>
            <w:pPr>
              <w:ind w:left="2980"/>
              <w:spacing w:after="0"/>
              <w:rPr>
                <w:sz w:val="20"/>
                <w:szCs w:val="20"/>
                <w:color w:val="auto"/>
              </w:rPr>
            </w:pPr>
            <w:r>
              <w:rPr>
                <w:rFonts w:ascii="Arial" w:cs="Arial" w:eastAsia="Arial" w:hAnsi="Arial"/>
                <w:sz w:val="18"/>
                <w:szCs w:val="18"/>
                <w:color w:val="auto"/>
                <w:w w:val="94"/>
              </w:rPr>
              <w:t>See accompanying notes to the unaudited consolidated financial statements.</w:t>
            </w: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1"/>
        </w:trPr>
        <w:tc>
          <w:tcPr>
            <w:tcW w:w="880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8800" w:type="dxa"/>
            <w:vAlign w:val="bottom"/>
          </w:tcPr>
          <w:p>
            <w:pPr>
              <w:ind w:left="5660"/>
              <w:spacing w:after="0"/>
              <w:rPr>
                <w:sz w:val="20"/>
                <w:szCs w:val="20"/>
                <w:color w:val="auto"/>
              </w:rPr>
            </w:pPr>
            <w:r>
              <w:rPr>
                <w:rFonts w:ascii="Arial" w:cs="Arial" w:eastAsia="Arial" w:hAnsi="Arial"/>
                <w:sz w:val="18"/>
                <w:szCs w:val="18"/>
                <w:color w:val="auto"/>
              </w:rPr>
              <w:t>4</w:t>
            </w: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4" w:name="page5"/>
    <w:bookmarkEnd w:id="4"/>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ind w:left="260" w:right="2660"/>
        <w:spacing w:after="0" w:line="266" w:lineRule="auto"/>
        <w:rPr>
          <w:sz w:val="20"/>
          <w:szCs w:val="20"/>
          <w:color w:val="auto"/>
        </w:rPr>
      </w:pPr>
      <w:r>
        <w:rPr>
          <w:rFonts w:ascii="Arial" w:cs="Arial" w:eastAsia="Arial" w:hAnsi="Arial"/>
          <w:sz w:val="18"/>
          <w:szCs w:val="18"/>
          <w:b w:val="1"/>
          <w:bCs w:val="1"/>
          <w:color w:val="auto"/>
        </w:rPr>
        <w:t>EURONET WORLDWIDE, INC. AND SUBSIDIARIES CONSOLIDATED STATEMENTS OF COMPREHENSIVE INCOME (LOSS) (Unaudited, in thousands)</w:t>
      </w:r>
    </w:p>
    <w:p>
      <w:pPr>
        <w:spacing w:after="0" w:line="334" w:lineRule="exact"/>
        <w:rPr>
          <w:sz w:val="20"/>
          <w:szCs w:val="20"/>
          <w:color w:val="auto"/>
        </w:rPr>
      </w:pPr>
    </w:p>
    <w:p>
      <w:pPr>
        <w:ind w:left="9460"/>
        <w:spacing w:after="0"/>
        <w:rPr>
          <w:sz w:val="20"/>
          <w:szCs w:val="20"/>
          <w:color w:val="auto"/>
        </w:rPr>
      </w:pPr>
      <w:r>
        <w:rPr>
          <w:rFonts w:ascii="Arial" w:cs="Arial" w:eastAsia="Arial" w:hAnsi="Arial"/>
          <w:sz w:val="14"/>
          <w:szCs w:val="14"/>
          <w:b w:val="1"/>
          <w:bCs w:val="1"/>
          <w:color w:val="auto"/>
        </w:rPr>
        <w:t>Three Months Ended</w:t>
      </w:r>
    </w:p>
    <w:p>
      <w:pPr>
        <w:spacing w:after="0" w:line="4"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880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440" w:type="dxa"/>
            <w:vAlign w:val="bottom"/>
            <w:tcBorders>
              <w:bottom w:val="single" w:sz="8" w:color="auto"/>
            </w:tcBorders>
            <w:gridSpan w:val="3"/>
          </w:tcPr>
          <w:p>
            <w:pPr>
              <w:jc w:val="right"/>
              <w:ind w:right="10"/>
              <w:spacing w:after="0"/>
              <w:rPr>
                <w:sz w:val="20"/>
                <w:szCs w:val="20"/>
                <w:color w:val="auto"/>
              </w:rPr>
            </w:pPr>
            <w:r>
              <w:rPr>
                <w:rFonts w:ascii="Arial" w:cs="Arial" w:eastAsia="Arial" w:hAnsi="Arial"/>
                <w:sz w:val="14"/>
                <w:szCs w:val="14"/>
                <w:b w:val="1"/>
                <w:bCs w:val="1"/>
                <w:color w:val="auto"/>
              </w:rPr>
              <w:t>March 31,</w:t>
            </w:r>
          </w:p>
        </w:tc>
        <w:tc>
          <w:tcPr>
            <w:tcW w:w="880" w:type="dxa"/>
            <w:vAlign w:val="bottom"/>
            <w:tcBorders>
              <w:bottom w:val="single" w:sz="8" w:color="auto"/>
            </w:tcBorders>
          </w:tcPr>
          <w:p>
            <w:pPr>
              <w:spacing w:after="0"/>
              <w:rPr>
                <w:sz w:val="15"/>
                <w:szCs w:val="15"/>
                <w:color w:val="auto"/>
              </w:rPr>
            </w:pPr>
          </w:p>
        </w:tc>
      </w:tr>
      <w:tr>
        <w:trPr>
          <w:trHeight w:val="258"/>
        </w:trPr>
        <w:tc>
          <w:tcPr>
            <w:tcW w:w="880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395"/>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393"/>
              <w:spacing w:after="0"/>
              <w:rPr>
                <w:sz w:val="20"/>
                <w:szCs w:val="20"/>
                <w:color w:val="auto"/>
              </w:rPr>
            </w:pPr>
            <w:r>
              <w:rPr>
                <w:rFonts w:ascii="Arial" w:cs="Arial" w:eastAsia="Arial" w:hAnsi="Arial"/>
                <w:sz w:val="14"/>
                <w:szCs w:val="14"/>
                <w:b w:val="1"/>
                <w:bCs w:val="1"/>
                <w:color w:val="auto"/>
              </w:rPr>
              <w:t>2013</w:t>
            </w:r>
          </w:p>
        </w:tc>
      </w:tr>
      <w:tr>
        <w:trPr>
          <w:trHeight w:val="250"/>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15,933</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12,060</w:t>
            </w:r>
          </w:p>
        </w:tc>
      </w:tr>
      <w:tr>
        <w:trPr>
          <w:trHeight w:val="243"/>
        </w:trPr>
        <w:tc>
          <w:tcPr>
            <w:tcW w:w="8800" w:type="dxa"/>
            <w:vAlign w:val="bottom"/>
          </w:tcPr>
          <w:p>
            <w:pPr>
              <w:ind w:left="40"/>
              <w:spacing w:after="0"/>
              <w:rPr>
                <w:sz w:val="20"/>
                <w:szCs w:val="20"/>
                <w:color w:val="auto"/>
              </w:rPr>
            </w:pPr>
            <w:r>
              <w:rPr>
                <w:rFonts w:ascii="Arial" w:cs="Arial" w:eastAsia="Arial" w:hAnsi="Arial"/>
                <w:sz w:val="18"/>
                <w:szCs w:val="18"/>
                <w:color w:val="auto"/>
              </w:rPr>
              <w:t>Translation adjustment</w:t>
            </w:r>
          </w:p>
        </w:tc>
        <w:tc>
          <w:tcPr>
            <w:tcW w:w="300" w:type="dxa"/>
            <w:vAlign w:val="bottom"/>
          </w:tcPr>
          <w:p>
            <w:pPr>
              <w:spacing w:after="0"/>
              <w:rPr>
                <w:sz w:val="21"/>
                <w:szCs w:val="21"/>
                <w:color w:val="auto"/>
              </w:rPr>
            </w:pPr>
          </w:p>
        </w:tc>
        <w:tc>
          <w:tcPr>
            <w:tcW w:w="960" w:type="dxa"/>
            <w:vAlign w:val="bottom"/>
          </w:tcPr>
          <w:p>
            <w:pPr>
              <w:jc w:val="right"/>
              <w:ind w:right="35"/>
              <w:spacing w:after="0"/>
              <w:rPr>
                <w:sz w:val="20"/>
                <w:szCs w:val="20"/>
                <w:color w:val="auto"/>
              </w:rPr>
            </w:pPr>
            <w:r>
              <w:rPr>
                <w:rFonts w:ascii="Arial" w:cs="Arial" w:eastAsia="Arial" w:hAnsi="Arial"/>
                <w:sz w:val="18"/>
                <w:szCs w:val="18"/>
                <w:color w:val="auto"/>
              </w:rPr>
              <w:t>3,199</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(17,150)</w:t>
            </w:r>
          </w:p>
        </w:tc>
      </w:tr>
      <w:tr>
        <w:trPr>
          <w:trHeight w:val="27"/>
        </w:trPr>
        <w:tc>
          <w:tcPr>
            <w:tcW w:w="88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44"/>
        </w:trPr>
        <w:tc>
          <w:tcPr>
            <w:tcW w:w="88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Comprehensive income (loss)</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19,132</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(5,090)</w:t>
            </w:r>
          </w:p>
        </w:tc>
      </w:tr>
      <w:tr>
        <w:trPr>
          <w:trHeight w:val="243"/>
        </w:trPr>
        <w:tc>
          <w:tcPr>
            <w:tcW w:w="8800" w:type="dxa"/>
            <w:vAlign w:val="bottom"/>
          </w:tcPr>
          <w:p>
            <w:pPr>
              <w:ind w:left="380"/>
              <w:spacing w:after="0"/>
              <w:rPr>
                <w:sz w:val="20"/>
                <w:szCs w:val="20"/>
                <w:color w:val="auto"/>
              </w:rPr>
            </w:pPr>
            <w:r>
              <w:rPr>
                <w:rFonts w:ascii="Arial" w:cs="Arial" w:eastAsia="Arial" w:hAnsi="Arial"/>
                <w:sz w:val="18"/>
                <w:szCs w:val="18"/>
                <w:color w:val="auto"/>
              </w:rPr>
              <w:t>Comprehensive loss attributable to noncontrolling interests</w:t>
            </w:r>
          </w:p>
        </w:tc>
        <w:tc>
          <w:tcPr>
            <w:tcW w:w="300" w:type="dxa"/>
            <w:vAlign w:val="bottom"/>
          </w:tcPr>
          <w:p>
            <w:pPr>
              <w:spacing w:after="0"/>
              <w:rPr>
                <w:sz w:val="21"/>
                <w:szCs w:val="21"/>
                <w:color w:val="auto"/>
              </w:rPr>
            </w:pPr>
          </w:p>
        </w:tc>
        <w:tc>
          <w:tcPr>
            <w:tcW w:w="960" w:type="dxa"/>
            <w:vAlign w:val="bottom"/>
          </w:tcPr>
          <w:p>
            <w:pPr>
              <w:jc w:val="right"/>
              <w:ind w:right="35"/>
              <w:spacing w:after="0"/>
              <w:rPr>
                <w:sz w:val="20"/>
                <w:szCs w:val="20"/>
                <w:color w:val="auto"/>
              </w:rPr>
            </w:pPr>
            <w:r>
              <w:rPr>
                <w:rFonts w:ascii="Arial" w:cs="Arial" w:eastAsia="Arial" w:hAnsi="Arial"/>
                <w:sz w:val="18"/>
                <w:szCs w:val="18"/>
                <w:color w:val="auto"/>
              </w:rPr>
              <w:t>88</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80" w:type="dxa"/>
            <w:vAlign w:val="bottom"/>
          </w:tcPr>
          <w:p>
            <w:pPr>
              <w:jc w:val="right"/>
              <w:ind w:right="13"/>
              <w:spacing w:after="0"/>
              <w:rPr>
                <w:sz w:val="20"/>
                <w:szCs w:val="20"/>
                <w:color w:val="auto"/>
              </w:rPr>
            </w:pPr>
            <w:r>
              <w:rPr>
                <w:rFonts w:ascii="Arial" w:cs="Arial" w:eastAsia="Arial" w:hAnsi="Arial"/>
                <w:sz w:val="18"/>
                <w:szCs w:val="18"/>
                <w:color w:val="auto"/>
              </w:rPr>
              <w:t>9</w:t>
            </w:r>
          </w:p>
        </w:tc>
      </w:tr>
      <w:tr>
        <w:trPr>
          <w:trHeight w:val="27"/>
        </w:trPr>
        <w:tc>
          <w:tcPr>
            <w:tcW w:w="88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57"/>
        </w:trPr>
        <w:tc>
          <w:tcPr>
            <w:tcW w:w="88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Comprehensive income (loss) attributable to Euronet Worldwide, Inc.</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8"/>
                <w:szCs w:val="18"/>
                <w:color w:val="auto"/>
              </w:rPr>
              <w:t>19,220</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(5,081)</w:t>
            </w:r>
          </w:p>
        </w:tc>
      </w:tr>
      <w:tr>
        <w:trPr>
          <w:trHeight w:val="20"/>
        </w:trPr>
        <w:tc>
          <w:tcPr>
            <w:tcW w:w="88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the unaudited consolidated financial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125" w:right="239" w:bottom="1440" w:gutter="0" w:footer="0" w:header="0"/>
        </w:sectPr>
      </w:pPr>
    </w:p>
    <w:bookmarkStart w:id="5" w:name="page6"/>
    <w:bookmarkEnd w:id="5"/>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EURONET WORLDWIDE,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in thousands)</w:t>
      </w:r>
    </w:p>
    <w:p>
      <w:pPr>
        <w:spacing w:after="0" w:line="148" w:lineRule="exact"/>
        <w:rPr>
          <w:sz w:val="20"/>
          <w:szCs w:val="20"/>
          <w:color w:val="auto"/>
        </w:rPr>
      </w:pPr>
    </w:p>
    <w:p>
      <w:pPr>
        <w:ind w:left="9340"/>
        <w:spacing w:after="0"/>
        <w:rPr>
          <w:sz w:val="20"/>
          <w:szCs w:val="20"/>
          <w:color w:val="auto"/>
        </w:rPr>
      </w:pPr>
      <w:r>
        <w:rPr>
          <w:rFonts w:ascii="Arial" w:cs="Arial" w:eastAsia="Arial" w:hAnsi="Arial"/>
          <w:sz w:val="14"/>
          <w:szCs w:val="14"/>
          <w:b w:val="1"/>
          <w:bCs w:val="1"/>
          <w:color w:val="auto"/>
        </w:rPr>
        <w:t>Three Months Ended</w:t>
      </w:r>
    </w:p>
    <w:p>
      <w:pPr>
        <w:spacing w:after="0" w:line="4"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858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560" w:type="dxa"/>
            <w:vAlign w:val="bottom"/>
            <w:tcBorders>
              <w:bottom w:val="single" w:sz="8" w:color="auto"/>
            </w:tcBorders>
            <w:gridSpan w:val="3"/>
          </w:tcPr>
          <w:p>
            <w:pPr>
              <w:jc w:val="right"/>
              <w:ind w:right="50"/>
              <w:spacing w:after="0"/>
              <w:rPr>
                <w:sz w:val="20"/>
                <w:szCs w:val="20"/>
                <w:color w:val="auto"/>
              </w:rPr>
            </w:pPr>
            <w:r>
              <w:rPr>
                <w:rFonts w:ascii="Arial" w:cs="Arial" w:eastAsia="Arial" w:hAnsi="Arial"/>
                <w:sz w:val="14"/>
                <w:szCs w:val="14"/>
                <w:b w:val="1"/>
                <w:bCs w:val="1"/>
                <w:color w:val="auto"/>
              </w:rPr>
              <w:t>March 31,</w:t>
            </w:r>
          </w:p>
        </w:tc>
        <w:tc>
          <w:tcPr>
            <w:tcW w:w="960" w:type="dxa"/>
            <w:vAlign w:val="bottom"/>
            <w:tcBorders>
              <w:bottom w:val="single" w:sz="8" w:color="auto"/>
            </w:tcBorders>
          </w:tcPr>
          <w:p>
            <w:pPr>
              <w:spacing w:after="0"/>
              <w:rPr>
                <w:sz w:val="15"/>
                <w:szCs w:val="15"/>
                <w:color w:val="auto"/>
              </w:rPr>
            </w:pPr>
          </w:p>
        </w:tc>
      </w:tr>
      <w:tr>
        <w:trPr>
          <w:trHeight w:val="258"/>
        </w:trPr>
        <w:tc>
          <w:tcPr>
            <w:tcW w:w="858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2014</w:t>
            </w:r>
          </w:p>
        </w:tc>
        <w:tc>
          <w:tcPr>
            <w:tcW w:w="120" w:type="dxa"/>
            <w:vAlign w:val="bottom"/>
            <w:tcBorders>
              <w:bottom w:val="single" w:sz="8" w:color="CCEEFF"/>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450"/>
              <w:spacing w:after="0"/>
              <w:rPr>
                <w:sz w:val="20"/>
                <w:szCs w:val="20"/>
                <w:color w:val="auto"/>
              </w:rPr>
            </w:pPr>
            <w:r>
              <w:rPr>
                <w:rFonts w:ascii="Arial" w:cs="Arial" w:eastAsia="Arial" w:hAnsi="Arial"/>
                <w:sz w:val="14"/>
                <w:szCs w:val="14"/>
                <w:b w:val="1"/>
                <w:bCs w:val="1"/>
                <w:color w:val="auto"/>
              </w:rPr>
              <w:t>2013</w:t>
            </w: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15,933</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12,060</w:t>
            </w:r>
          </w:p>
        </w:tc>
      </w:tr>
      <w:tr>
        <w:trPr>
          <w:trHeight w:val="162"/>
        </w:trPr>
        <w:tc>
          <w:tcPr>
            <w:tcW w:w="85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r>
      <w:tr>
        <w:trPr>
          <w:trHeight w:val="243"/>
        </w:trPr>
        <w:tc>
          <w:tcPr>
            <w:tcW w:w="8580" w:type="dxa"/>
            <w:vAlign w:val="bottom"/>
          </w:tcPr>
          <w:p>
            <w:pPr>
              <w:ind w:left="180"/>
              <w:spacing w:after="0"/>
              <w:rPr>
                <w:sz w:val="20"/>
                <w:szCs w:val="20"/>
                <w:color w:val="auto"/>
              </w:rPr>
            </w:pPr>
            <w:r>
              <w:rPr>
                <w:rFonts w:ascii="Arial" w:cs="Arial" w:eastAsia="Arial" w:hAnsi="Arial"/>
                <w:sz w:val="18"/>
                <w:szCs w:val="18"/>
                <w:color w:val="auto"/>
              </w:rPr>
              <w:t>Depreciation and amortization</w:t>
            </w: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16,150</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17,669</w:t>
            </w:r>
          </w:p>
        </w:tc>
      </w:tr>
      <w:tr>
        <w:trPr>
          <w:trHeight w:val="27"/>
        </w:trPr>
        <w:tc>
          <w:tcPr>
            <w:tcW w:w="8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Share-based compensation</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3,137</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2,501</w:t>
            </w:r>
          </w:p>
        </w:tc>
      </w:tr>
      <w:tr>
        <w:trPr>
          <w:trHeight w:val="243"/>
        </w:trPr>
        <w:tc>
          <w:tcPr>
            <w:tcW w:w="8580" w:type="dxa"/>
            <w:vAlign w:val="bottom"/>
          </w:tcPr>
          <w:p>
            <w:pPr>
              <w:ind w:left="180"/>
              <w:spacing w:after="0"/>
              <w:rPr>
                <w:sz w:val="20"/>
                <w:szCs w:val="20"/>
                <w:color w:val="auto"/>
              </w:rPr>
            </w:pPr>
            <w:r>
              <w:rPr>
                <w:rFonts w:ascii="Arial" w:cs="Arial" w:eastAsia="Arial" w:hAnsi="Arial"/>
                <w:sz w:val="18"/>
                <w:szCs w:val="18"/>
                <w:color w:val="auto"/>
              </w:rPr>
              <w:t>Unrealized foreign exchange loss, net</w:t>
            </w: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(1,269)</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1,701</w:t>
            </w:r>
          </w:p>
        </w:tc>
      </w:tr>
      <w:tr>
        <w:trPr>
          <w:trHeight w:val="27"/>
        </w:trPr>
        <w:tc>
          <w:tcPr>
            <w:tcW w:w="8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Deferred income taxes</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(1,661)</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71</w:t>
            </w:r>
          </w:p>
        </w:tc>
      </w:tr>
      <w:tr>
        <w:trPr>
          <w:trHeight w:val="243"/>
        </w:trPr>
        <w:tc>
          <w:tcPr>
            <w:tcW w:w="8580" w:type="dxa"/>
            <w:vAlign w:val="bottom"/>
          </w:tcPr>
          <w:p>
            <w:pPr>
              <w:ind w:left="180"/>
              <w:spacing w:after="0"/>
              <w:rPr>
                <w:sz w:val="20"/>
                <w:szCs w:val="20"/>
                <w:color w:val="auto"/>
              </w:rPr>
            </w:pPr>
            <w:r>
              <w:rPr>
                <w:rFonts w:ascii="Arial" w:cs="Arial" w:eastAsia="Arial" w:hAnsi="Arial"/>
                <w:sz w:val="18"/>
                <w:szCs w:val="18"/>
                <w:color w:val="auto"/>
              </w:rPr>
              <w:t>Income from unconsolidated affiliates</w:t>
            </w:r>
          </w:p>
        </w:tc>
        <w:tc>
          <w:tcPr>
            <w:tcW w:w="320" w:type="dxa"/>
            <w:vAlign w:val="bottom"/>
          </w:tcPr>
          <w:p>
            <w:pPr>
              <w:spacing w:after="0"/>
              <w:rPr>
                <w:sz w:val="21"/>
                <w:szCs w:val="21"/>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(124)</w:t>
            </w:r>
          </w:p>
        </w:tc>
      </w:tr>
      <w:tr>
        <w:trPr>
          <w:trHeight w:val="27"/>
        </w:trPr>
        <w:tc>
          <w:tcPr>
            <w:tcW w:w="8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Amortization of debt issuance costs</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297</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208</w:t>
            </w:r>
          </w:p>
        </w:tc>
      </w:tr>
      <w:tr>
        <w:trPr>
          <w:trHeight w:val="243"/>
        </w:trPr>
        <w:tc>
          <w:tcPr>
            <w:tcW w:w="8580" w:type="dxa"/>
            <w:vAlign w:val="bottom"/>
          </w:tcPr>
          <w:p>
            <w:pPr>
              <w:ind w:left="180"/>
              <w:spacing w:after="0"/>
              <w:rPr>
                <w:sz w:val="20"/>
                <w:szCs w:val="20"/>
                <w:color w:val="auto"/>
              </w:rPr>
            </w:pPr>
            <w:r>
              <w:rPr>
                <w:rFonts w:ascii="Arial" w:cs="Arial" w:eastAsia="Arial" w:hAnsi="Arial"/>
                <w:sz w:val="18"/>
                <w:szCs w:val="18"/>
                <w:color w:val="auto"/>
              </w:rPr>
              <w:t>Changes in working capital, net of amounts acquired:</w:t>
            </w:r>
          </w:p>
        </w:tc>
        <w:tc>
          <w:tcPr>
            <w:tcW w:w="3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60" w:type="dxa"/>
            <w:vAlign w:val="bottom"/>
          </w:tcPr>
          <w:p>
            <w:pPr>
              <w:spacing w:after="0"/>
              <w:rPr>
                <w:sz w:val="21"/>
                <w:szCs w:val="21"/>
                <w:color w:val="auto"/>
              </w:rPr>
            </w:pPr>
          </w:p>
        </w:tc>
      </w:tr>
      <w:tr>
        <w:trPr>
          <w:trHeight w:val="27"/>
        </w:trPr>
        <w:tc>
          <w:tcPr>
            <w:tcW w:w="8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Income taxes payable, net</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(2,223)</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(766)</w:t>
            </w:r>
          </w:p>
        </w:tc>
      </w:tr>
      <w:tr>
        <w:trPr>
          <w:trHeight w:val="243"/>
        </w:trPr>
        <w:tc>
          <w:tcPr>
            <w:tcW w:w="8580" w:type="dxa"/>
            <w:vAlign w:val="bottom"/>
          </w:tcPr>
          <w:p>
            <w:pPr>
              <w:ind w:left="380"/>
              <w:spacing w:after="0"/>
              <w:rPr>
                <w:sz w:val="20"/>
                <w:szCs w:val="20"/>
                <w:color w:val="auto"/>
              </w:rPr>
            </w:pPr>
            <w:r>
              <w:rPr>
                <w:rFonts w:ascii="Arial" w:cs="Arial" w:eastAsia="Arial" w:hAnsi="Arial"/>
                <w:sz w:val="18"/>
                <w:szCs w:val="18"/>
                <w:color w:val="auto"/>
              </w:rPr>
              <w:t>Restricted cash</w:t>
            </w: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8,405</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30,547</w:t>
            </w:r>
          </w:p>
        </w:tc>
      </w:tr>
      <w:tr>
        <w:trPr>
          <w:trHeight w:val="27"/>
        </w:trPr>
        <w:tc>
          <w:tcPr>
            <w:tcW w:w="8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Inventory — PINs and other</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28,665</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16,978</w:t>
            </w:r>
          </w:p>
        </w:tc>
      </w:tr>
      <w:tr>
        <w:trPr>
          <w:trHeight w:val="243"/>
        </w:trPr>
        <w:tc>
          <w:tcPr>
            <w:tcW w:w="8580" w:type="dxa"/>
            <w:vAlign w:val="bottom"/>
          </w:tcPr>
          <w:p>
            <w:pPr>
              <w:ind w:left="380"/>
              <w:spacing w:after="0"/>
              <w:rPr>
                <w:sz w:val="20"/>
                <w:szCs w:val="20"/>
                <w:color w:val="auto"/>
              </w:rPr>
            </w:pPr>
            <w:r>
              <w:rPr>
                <w:rFonts w:ascii="Arial" w:cs="Arial" w:eastAsia="Arial" w:hAnsi="Arial"/>
                <w:sz w:val="18"/>
                <w:szCs w:val="18"/>
                <w:color w:val="auto"/>
              </w:rPr>
              <w:t>Trade accounts receivable</w:t>
            </w: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75,976</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9,924</w:t>
            </w:r>
          </w:p>
        </w:tc>
      </w:tr>
      <w:tr>
        <w:trPr>
          <w:trHeight w:val="27"/>
        </w:trPr>
        <w:tc>
          <w:tcPr>
            <w:tcW w:w="8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Prepaid expenses and other current assets</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10,552</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(13,665)</w:t>
            </w:r>
          </w:p>
        </w:tc>
      </w:tr>
      <w:tr>
        <w:trPr>
          <w:trHeight w:val="243"/>
        </w:trPr>
        <w:tc>
          <w:tcPr>
            <w:tcW w:w="8580" w:type="dxa"/>
            <w:vAlign w:val="bottom"/>
          </w:tcPr>
          <w:p>
            <w:pPr>
              <w:ind w:left="380"/>
              <w:spacing w:after="0"/>
              <w:rPr>
                <w:sz w:val="20"/>
                <w:szCs w:val="20"/>
                <w:color w:val="auto"/>
              </w:rPr>
            </w:pPr>
            <w:r>
              <w:rPr>
                <w:rFonts w:ascii="Arial" w:cs="Arial" w:eastAsia="Arial" w:hAnsi="Arial"/>
                <w:sz w:val="18"/>
                <w:szCs w:val="18"/>
                <w:color w:val="auto"/>
              </w:rPr>
              <w:t>Trade accounts payable</w:t>
            </w: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(94,149)</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(82,301)</w:t>
            </w:r>
          </w:p>
        </w:tc>
      </w:tr>
      <w:tr>
        <w:trPr>
          <w:trHeight w:val="27"/>
        </w:trPr>
        <w:tc>
          <w:tcPr>
            <w:tcW w:w="8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Deferred revenue</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449</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645</w:t>
            </w:r>
          </w:p>
        </w:tc>
      </w:tr>
      <w:tr>
        <w:trPr>
          <w:trHeight w:val="243"/>
        </w:trPr>
        <w:tc>
          <w:tcPr>
            <w:tcW w:w="8580" w:type="dxa"/>
            <w:vAlign w:val="bottom"/>
          </w:tcPr>
          <w:p>
            <w:pPr>
              <w:ind w:left="380"/>
              <w:spacing w:after="0"/>
              <w:rPr>
                <w:sz w:val="20"/>
                <w:szCs w:val="20"/>
                <w:color w:val="auto"/>
              </w:rPr>
            </w:pPr>
            <w:r>
              <w:rPr>
                <w:rFonts w:ascii="Arial" w:cs="Arial" w:eastAsia="Arial" w:hAnsi="Arial"/>
                <w:sz w:val="18"/>
                <w:szCs w:val="18"/>
                <w:color w:val="auto"/>
              </w:rPr>
              <w:t>Accrued expenses and other current liabilities</w:t>
            </w: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(8,435)</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21,872</w:t>
            </w:r>
          </w:p>
        </w:tc>
      </w:tr>
      <w:tr>
        <w:trPr>
          <w:trHeight w:val="27"/>
        </w:trPr>
        <w:tc>
          <w:tcPr>
            <w:tcW w:w="8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70"/>
        </w:trPr>
        <w:tc>
          <w:tcPr>
            <w:tcW w:w="8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Changes in noncurrent assets and liabilities</w:t>
            </w: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1,232</w:t>
            </w:r>
          </w:p>
        </w:tc>
        <w:tc>
          <w:tcPr>
            <w:tcW w:w="12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(1,578)</w:t>
            </w:r>
          </w:p>
        </w:tc>
      </w:tr>
      <w:tr>
        <w:trPr>
          <w:trHeight w:val="237"/>
        </w:trPr>
        <w:tc>
          <w:tcPr>
            <w:tcW w:w="8580" w:type="dxa"/>
            <w:vAlign w:val="bottom"/>
          </w:tcPr>
          <w:p>
            <w:pPr>
              <w:ind w:left="600"/>
              <w:spacing w:after="0"/>
              <w:rPr>
                <w:sz w:val="20"/>
                <w:szCs w:val="20"/>
                <w:color w:val="auto"/>
              </w:rPr>
            </w:pPr>
            <w:r>
              <w:rPr>
                <w:rFonts w:ascii="Arial" w:cs="Arial" w:eastAsia="Arial" w:hAnsi="Arial"/>
                <w:sz w:val="18"/>
                <w:szCs w:val="18"/>
                <w:color w:val="auto"/>
              </w:rPr>
              <w:t>Net cash provided by operating activities</w:t>
            </w: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53,059</w:t>
            </w:r>
          </w:p>
        </w:tc>
        <w:tc>
          <w:tcPr>
            <w:tcW w:w="12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15,742</w:t>
            </w:r>
          </w:p>
        </w:tc>
      </w:tr>
      <w:tr>
        <w:trPr>
          <w:trHeight w:val="27"/>
        </w:trPr>
        <w:tc>
          <w:tcPr>
            <w:tcW w:w="8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flows from investing activities:</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r>
      <w:tr>
        <w:trPr>
          <w:trHeight w:val="243"/>
        </w:trPr>
        <w:tc>
          <w:tcPr>
            <w:tcW w:w="8580" w:type="dxa"/>
            <w:vAlign w:val="bottom"/>
          </w:tcPr>
          <w:p>
            <w:pPr>
              <w:ind w:left="180"/>
              <w:spacing w:after="0"/>
              <w:rPr>
                <w:sz w:val="20"/>
                <w:szCs w:val="20"/>
                <w:color w:val="auto"/>
              </w:rPr>
            </w:pPr>
            <w:r>
              <w:rPr>
                <w:rFonts w:ascii="Arial" w:cs="Arial" w:eastAsia="Arial" w:hAnsi="Arial"/>
                <w:sz w:val="18"/>
                <w:szCs w:val="18"/>
                <w:color w:val="auto"/>
              </w:rPr>
              <w:t>Acquisitions, net of cash acquired</w:t>
            </w:r>
          </w:p>
        </w:tc>
        <w:tc>
          <w:tcPr>
            <w:tcW w:w="320" w:type="dxa"/>
            <w:vAlign w:val="bottom"/>
          </w:tcPr>
          <w:p>
            <w:pPr>
              <w:spacing w:after="0"/>
              <w:rPr>
                <w:sz w:val="21"/>
                <w:szCs w:val="21"/>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(30,847)</w:t>
            </w:r>
          </w:p>
        </w:tc>
      </w:tr>
      <w:tr>
        <w:trPr>
          <w:trHeight w:val="27"/>
        </w:trPr>
        <w:tc>
          <w:tcPr>
            <w:tcW w:w="8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Purchases of property and equipment</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(11,049)</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(6,083)</w:t>
            </w:r>
          </w:p>
        </w:tc>
      </w:tr>
      <w:tr>
        <w:trPr>
          <w:trHeight w:val="243"/>
        </w:trPr>
        <w:tc>
          <w:tcPr>
            <w:tcW w:w="8580" w:type="dxa"/>
            <w:vAlign w:val="bottom"/>
          </w:tcPr>
          <w:p>
            <w:pPr>
              <w:ind w:left="180"/>
              <w:spacing w:after="0"/>
              <w:rPr>
                <w:sz w:val="20"/>
                <w:szCs w:val="20"/>
                <w:color w:val="auto"/>
              </w:rPr>
            </w:pPr>
            <w:r>
              <w:rPr>
                <w:rFonts w:ascii="Arial" w:cs="Arial" w:eastAsia="Arial" w:hAnsi="Arial"/>
                <w:sz w:val="18"/>
                <w:szCs w:val="18"/>
                <w:color w:val="auto"/>
              </w:rPr>
              <w:t>Purchases of other long-term assets</w:t>
            </w: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(1,327)</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(1,114)</w:t>
            </w:r>
          </w:p>
        </w:tc>
      </w:tr>
      <w:tr>
        <w:trPr>
          <w:trHeight w:val="27"/>
        </w:trPr>
        <w:tc>
          <w:tcPr>
            <w:tcW w:w="8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70"/>
        </w:trPr>
        <w:tc>
          <w:tcPr>
            <w:tcW w:w="8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Other, net</w:t>
            </w: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131</w:t>
            </w:r>
          </w:p>
        </w:tc>
        <w:tc>
          <w:tcPr>
            <w:tcW w:w="12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462</w:t>
            </w:r>
          </w:p>
        </w:tc>
      </w:tr>
      <w:tr>
        <w:trPr>
          <w:trHeight w:val="237"/>
        </w:trPr>
        <w:tc>
          <w:tcPr>
            <w:tcW w:w="8580" w:type="dxa"/>
            <w:vAlign w:val="bottom"/>
          </w:tcPr>
          <w:p>
            <w:pPr>
              <w:ind w:left="600"/>
              <w:spacing w:after="0"/>
              <w:rPr>
                <w:sz w:val="20"/>
                <w:szCs w:val="20"/>
                <w:color w:val="auto"/>
              </w:rPr>
            </w:pPr>
            <w:r>
              <w:rPr>
                <w:rFonts w:ascii="Arial" w:cs="Arial" w:eastAsia="Arial" w:hAnsi="Arial"/>
                <w:sz w:val="18"/>
                <w:szCs w:val="18"/>
                <w:color w:val="auto"/>
              </w:rPr>
              <w:t>Net cash used in investing activities</w:t>
            </w: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(12,245)</w:t>
            </w:r>
          </w:p>
        </w:tc>
        <w:tc>
          <w:tcPr>
            <w:tcW w:w="12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(37,582)</w:t>
            </w:r>
          </w:p>
        </w:tc>
      </w:tr>
      <w:tr>
        <w:trPr>
          <w:trHeight w:val="27"/>
        </w:trPr>
        <w:tc>
          <w:tcPr>
            <w:tcW w:w="8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flows from financing activities:</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r>
      <w:tr>
        <w:trPr>
          <w:trHeight w:val="243"/>
        </w:trPr>
        <w:tc>
          <w:tcPr>
            <w:tcW w:w="8580" w:type="dxa"/>
            <w:vAlign w:val="bottom"/>
          </w:tcPr>
          <w:p>
            <w:pPr>
              <w:ind w:left="180"/>
              <w:spacing w:after="0"/>
              <w:rPr>
                <w:sz w:val="20"/>
                <w:szCs w:val="20"/>
                <w:color w:val="auto"/>
              </w:rPr>
            </w:pPr>
            <w:r>
              <w:rPr>
                <w:rFonts w:ascii="Arial" w:cs="Arial" w:eastAsia="Arial" w:hAnsi="Arial"/>
                <w:sz w:val="18"/>
                <w:szCs w:val="18"/>
                <w:color w:val="auto"/>
              </w:rPr>
              <w:t>Proceeds from issuance of shares</w:t>
            </w: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1,485</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2,157</w:t>
            </w:r>
          </w:p>
        </w:tc>
      </w:tr>
      <w:tr>
        <w:trPr>
          <w:trHeight w:val="27"/>
        </w:trPr>
        <w:tc>
          <w:tcPr>
            <w:tcW w:w="8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Borrowings from revolving credit agreements</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413,913</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538,129</w:t>
            </w:r>
          </w:p>
        </w:tc>
      </w:tr>
      <w:tr>
        <w:trPr>
          <w:trHeight w:val="243"/>
        </w:trPr>
        <w:tc>
          <w:tcPr>
            <w:tcW w:w="8580" w:type="dxa"/>
            <w:vAlign w:val="bottom"/>
          </w:tcPr>
          <w:p>
            <w:pPr>
              <w:ind w:left="180"/>
              <w:spacing w:after="0"/>
              <w:rPr>
                <w:sz w:val="20"/>
                <w:szCs w:val="20"/>
                <w:color w:val="auto"/>
              </w:rPr>
            </w:pPr>
            <w:r>
              <w:rPr>
                <w:rFonts w:ascii="Arial" w:cs="Arial" w:eastAsia="Arial" w:hAnsi="Arial"/>
                <w:sz w:val="18"/>
                <w:szCs w:val="18"/>
                <w:color w:val="auto"/>
              </w:rPr>
              <w:t>Repayments of revolving credit agreements</w:t>
            </w: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(371,600)</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(546,830)</w:t>
            </w:r>
          </w:p>
        </w:tc>
      </w:tr>
      <w:tr>
        <w:trPr>
          <w:trHeight w:val="27"/>
        </w:trPr>
        <w:tc>
          <w:tcPr>
            <w:tcW w:w="8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Repayments of long-term debt obligations</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(2,000)</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(1,500)</w:t>
            </w:r>
          </w:p>
        </w:tc>
      </w:tr>
      <w:tr>
        <w:trPr>
          <w:trHeight w:val="243"/>
        </w:trPr>
        <w:tc>
          <w:tcPr>
            <w:tcW w:w="8580" w:type="dxa"/>
            <w:vAlign w:val="bottom"/>
          </w:tcPr>
          <w:p>
            <w:pPr>
              <w:ind w:left="180"/>
              <w:spacing w:after="0"/>
              <w:rPr>
                <w:sz w:val="20"/>
                <w:szCs w:val="20"/>
                <w:color w:val="auto"/>
              </w:rPr>
            </w:pPr>
            <w:r>
              <w:rPr>
                <w:rFonts w:ascii="Arial" w:cs="Arial" w:eastAsia="Arial" w:hAnsi="Arial"/>
                <w:sz w:val="18"/>
                <w:szCs w:val="18"/>
                <w:color w:val="auto"/>
              </w:rPr>
              <w:t>Repayments of short-term debt obligations</w:t>
            </w: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(1,337)</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8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Repayments of capital lease obligations</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(629)</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(702)</w:t>
            </w:r>
          </w:p>
        </w:tc>
      </w:tr>
      <w:tr>
        <w:trPr>
          <w:trHeight w:val="243"/>
        </w:trPr>
        <w:tc>
          <w:tcPr>
            <w:tcW w:w="8580" w:type="dxa"/>
            <w:vAlign w:val="bottom"/>
          </w:tcPr>
          <w:p>
            <w:pPr>
              <w:ind w:left="180"/>
              <w:spacing w:after="0"/>
              <w:rPr>
                <w:sz w:val="20"/>
                <w:szCs w:val="20"/>
                <w:color w:val="auto"/>
              </w:rPr>
            </w:pPr>
            <w:r>
              <w:rPr>
                <w:rFonts w:ascii="Arial" w:cs="Arial" w:eastAsia="Arial" w:hAnsi="Arial"/>
                <w:sz w:val="18"/>
                <w:szCs w:val="18"/>
                <w:color w:val="auto"/>
              </w:rPr>
              <w:t>Purchase of subsidiary shares from noncontrolling interests</w:t>
            </w:r>
          </w:p>
        </w:tc>
        <w:tc>
          <w:tcPr>
            <w:tcW w:w="320" w:type="dxa"/>
            <w:vAlign w:val="bottom"/>
          </w:tcPr>
          <w:p>
            <w:pPr>
              <w:spacing w:after="0"/>
              <w:rPr>
                <w:sz w:val="21"/>
                <w:szCs w:val="21"/>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(7,878)</w:t>
            </w:r>
          </w:p>
        </w:tc>
      </w:tr>
      <w:tr>
        <w:trPr>
          <w:trHeight w:val="27"/>
        </w:trPr>
        <w:tc>
          <w:tcPr>
            <w:tcW w:w="8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70"/>
        </w:trPr>
        <w:tc>
          <w:tcPr>
            <w:tcW w:w="8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Other, net</w:t>
            </w: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12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(95)</w:t>
            </w:r>
          </w:p>
        </w:tc>
      </w:tr>
      <w:tr>
        <w:trPr>
          <w:trHeight w:val="237"/>
        </w:trPr>
        <w:tc>
          <w:tcPr>
            <w:tcW w:w="8580" w:type="dxa"/>
            <w:vAlign w:val="bottom"/>
          </w:tcPr>
          <w:p>
            <w:pPr>
              <w:ind w:left="600"/>
              <w:spacing w:after="0"/>
              <w:rPr>
                <w:sz w:val="20"/>
                <w:szCs w:val="20"/>
                <w:color w:val="auto"/>
              </w:rPr>
            </w:pPr>
            <w:r>
              <w:rPr>
                <w:rFonts w:ascii="Arial" w:cs="Arial" w:eastAsia="Arial" w:hAnsi="Arial"/>
                <w:sz w:val="18"/>
                <w:szCs w:val="18"/>
                <w:color w:val="auto"/>
              </w:rPr>
              <w:t>Net cash provided by (used in) financing activities</w:t>
            </w: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39,804</w:t>
            </w:r>
          </w:p>
        </w:tc>
        <w:tc>
          <w:tcPr>
            <w:tcW w:w="12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(16,719)</w:t>
            </w:r>
          </w:p>
        </w:tc>
      </w:tr>
      <w:tr>
        <w:trPr>
          <w:trHeight w:val="27"/>
        </w:trPr>
        <w:tc>
          <w:tcPr>
            <w:tcW w:w="8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Effect of exchange rate changes on cash and cash equivalents</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1,856</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(1,447)</w:t>
            </w:r>
          </w:p>
        </w:tc>
      </w:tr>
      <w:tr>
        <w:trPr>
          <w:trHeight w:val="243"/>
        </w:trPr>
        <w:tc>
          <w:tcPr>
            <w:tcW w:w="8580" w:type="dxa"/>
            <w:vAlign w:val="bottom"/>
          </w:tcPr>
          <w:p>
            <w:pPr>
              <w:ind w:left="600"/>
              <w:spacing w:after="0"/>
              <w:rPr>
                <w:sz w:val="20"/>
                <w:szCs w:val="20"/>
                <w:color w:val="auto"/>
              </w:rPr>
            </w:pPr>
            <w:r>
              <w:rPr>
                <w:rFonts w:ascii="Arial" w:cs="Arial" w:eastAsia="Arial" w:hAnsi="Arial"/>
                <w:sz w:val="18"/>
                <w:szCs w:val="18"/>
                <w:color w:val="auto"/>
              </w:rPr>
              <w:t>Increase (Decrease) in cash and cash equivalents</w:t>
            </w: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82,474</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(40,006)</w:t>
            </w:r>
          </w:p>
        </w:tc>
      </w:tr>
      <w:tr>
        <w:trPr>
          <w:trHeight w:val="27"/>
        </w:trPr>
        <w:tc>
          <w:tcPr>
            <w:tcW w:w="8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162"/>
        </w:trPr>
        <w:tc>
          <w:tcPr>
            <w:tcW w:w="85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Cash and cash equivalents at beginning of period</w:t>
            </w: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209,826</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201,435</w:t>
            </w:r>
          </w:p>
        </w:tc>
      </w:tr>
      <w:tr>
        <w:trPr>
          <w:trHeight w:val="27"/>
        </w:trPr>
        <w:tc>
          <w:tcPr>
            <w:tcW w:w="8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162"/>
        </w:trPr>
        <w:tc>
          <w:tcPr>
            <w:tcW w:w="8580" w:type="dxa"/>
            <w:vAlign w:val="bottom"/>
            <w:shd w:val="clear" w:color="auto" w:fill="CCEEFF"/>
          </w:tcPr>
          <w:p>
            <w:pPr>
              <w:spacing w:after="0"/>
              <w:rPr>
                <w:sz w:val="14"/>
                <w:szCs w:val="14"/>
                <w:color w:val="auto"/>
              </w:rPr>
            </w:pPr>
          </w:p>
        </w:tc>
        <w:tc>
          <w:tcPr>
            <w:tcW w:w="320" w:type="dxa"/>
            <w:vAlign w:val="bottom"/>
            <w:tcBorders>
              <w:bottom w:val="single" w:sz="8" w:color="auto"/>
            </w:tcBorders>
            <w:shd w:val="clear" w:color="auto" w:fill="CCEEFF"/>
          </w:tcPr>
          <w:p>
            <w:pPr>
              <w:spacing w:after="0"/>
              <w:rPr>
                <w:sz w:val="14"/>
                <w:szCs w:val="14"/>
                <w:color w:val="auto"/>
              </w:rPr>
            </w:pPr>
          </w:p>
        </w:tc>
        <w:tc>
          <w:tcPr>
            <w:tcW w:w="1040" w:type="dxa"/>
            <w:vAlign w:val="bottom"/>
            <w:tcBorders>
              <w:bottom w:val="single" w:sz="8" w:color="auto"/>
            </w:tcBorders>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00" w:type="dxa"/>
            <w:vAlign w:val="bottom"/>
            <w:tcBorders>
              <w:bottom w:val="single" w:sz="8" w:color="auto"/>
            </w:tcBorders>
            <w:shd w:val="clear" w:color="auto" w:fill="CCEEFF"/>
          </w:tcPr>
          <w:p>
            <w:pPr>
              <w:spacing w:after="0"/>
              <w:rPr>
                <w:sz w:val="14"/>
                <w:szCs w:val="14"/>
                <w:color w:val="auto"/>
              </w:rPr>
            </w:pPr>
          </w:p>
        </w:tc>
        <w:tc>
          <w:tcPr>
            <w:tcW w:w="960" w:type="dxa"/>
            <w:vAlign w:val="bottom"/>
            <w:tcBorders>
              <w:bottom w:val="single" w:sz="8" w:color="auto"/>
            </w:tcBorders>
            <w:shd w:val="clear" w:color="auto" w:fill="CCEEFF"/>
          </w:tcPr>
          <w:p>
            <w:pPr>
              <w:spacing w:after="0"/>
              <w:rPr>
                <w:sz w:val="14"/>
                <w:szCs w:val="14"/>
                <w:color w:val="auto"/>
              </w:rPr>
            </w:pPr>
          </w:p>
        </w:tc>
      </w:tr>
      <w:tr>
        <w:trPr>
          <w:trHeight w:val="297"/>
        </w:trPr>
        <w:tc>
          <w:tcPr>
            <w:tcW w:w="858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Cash and cash equivalents at end of period</w:t>
            </w: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292,300</w:t>
            </w:r>
          </w:p>
        </w:tc>
        <w:tc>
          <w:tcPr>
            <w:tcW w:w="120" w:type="dxa"/>
            <w:vAlign w:val="bottom"/>
            <w:tcBorders>
              <w:bottom w:val="single" w:sz="8" w:color="CCEEFF"/>
            </w:tcBorders>
          </w:tcPr>
          <w:p>
            <w:pPr>
              <w:spacing w:after="0"/>
              <w:rPr>
                <w:sz w:val="24"/>
                <w:szCs w:val="24"/>
                <w:color w:val="auto"/>
              </w:rPr>
            </w:pPr>
          </w:p>
        </w:tc>
        <w:tc>
          <w:tcPr>
            <w:tcW w:w="40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161,429</w:t>
            </w:r>
          </w:p>
        </w:tc>
      </w:tr>
      <w:tr>
        <w:trPr>
          <w:trHeight w:val="271"/>
        </w:trPr>
        <w:tc>
          <w:tcPr>
            <w:tcW w:w="858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0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960" w:type="dxa"/>
            <w:vAlign w:val="bottom"/>
            <w:shd w:val="clear" w:color="auto" w:fill="CCEEFF"/>
          </w:tcPr>
          <w:p>
            <w:pPr>
              <w:spacing w:after="0"/>
              <w:rPr>
                <w:sz w:val="23"/>
                <w:szCs w:val="23"/>
                <w:color w:val="auto"/>
              </w:rPr>
            </w:pP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Supplemental disclosure of cash flow information:</w:t>
            </w:r>
          </w:p>
        </w:tc>
        <w:tc>
          <w:tcPr>
            <w:tcW w:w="3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60" w:type="dxa"/>
            <w:vAlign w:val="bottom"/>
          </w:tcPr>
          <w:p>
            <w:pPr>
              <w:spacing w:after="0"/>
              <w:rPr>
                <w:sz w:val="21"/>
                <w:szCs w:val="21"/>
                <w:color w:val="auto"/>
              </w:rPr>
            </w:pPr>
          </w:p>
        </w:tc>
      </w:tr>
      <w:tr>
        <w:trPr>
          <w:trHeight w:val="27"/>
        </w:trPr>
        <w:tc>
          <w:tcPr>
            <w:tcW w:w="8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Interest paid during the period</w:t>
            </w: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803</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1,053</w:t>
            </w:r>
          </w:p>
        </w:tc>
      </w:tr>
      <w:tr>
        <w:trPr>
          <w:trHeight w:val="243"/>
        </w:trPr>
        <w:tc>
          <w:tcPr>
            <w:tcW w:w="8580" w:type="dxa"/>
            <w:vAlign w:val="bottom"/>
          </w:tcPr>
          <w:p>
            <w:pPr>
              <w:ind w:left="180"/>
              <w:spacing w:after="0"/>
              <w:rPr>
                <w:sz w:val="20"/>
                <w:szCs w:val="20"/>
                <w:color w:val="auto"/>
              </w:rPr>
            </w:pPr>
            <w:r>
              <w:rPr>
                <w:rFonts w:ascii="Arial" w:cs="Arial" w:eastAsia="Arial" w:hAnsi="Arial"/>
                <w:sz w:val="18"/>
                <w:szCs w:val="18"/>
                <w:color w:val="auto"/>
              </w:rPr>
              <w:t>Income taxes paid during the period</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8,207</w:t>
            </w:r>
          </w:p>
        </w:tc>
        <w:tc>
          <w:tcPr>
            <w:tcW w:w="120" w:type="dxa"/>
            <w:vAlign w:val="bottom"/>
          </w:tcPr>
          <w:p>
            <w:pPr>
              <w:spacing w:after="0"/>
              <w:rPr>
                <w:sz w:val="21"/>
                <w:szCs w:val="21"/>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7,230</w:t>
            </w:r>
          </w:p>
        </w:tc>
      </w:tr>
      <w:tr>
        <w:trPr>
          <w:trHeight w:val="27"/>
        </w:trPr>
        <w:tc>
          <w:tcPr>
            <w:tcW w:w="8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Supplemental disclosure of non-cash investing and financing activities:</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r>
      <w:tr>
        <w:trPr>
          <w:trHeight w:val="243"/>
        </w:trPr>
        <w:tc>
          <w:tcPr>
            <w:tcW w:w="8580" w:type="dxa"/>
            <w:vAlign w:val="bottom"/>
          </w:tcPr>
          <w:p>
            <w:pPr>
              <w:ind w:left="180"/>
              <w:spacing w:after="0"/>
              <w:rPr>
                <w:sz w:val="20"/>
                <w:szCs w:val="20"/>
                <w:color w:val="auto"/>
              </w:rPr>
            </w:pPr>
            <w:r>
              <w:rPr>
                <w:rFonts w:ascii="Arial" w:cs="Arial" w:eastAsia="Arial" w:hAnsi="Arial"/>
                <w:sz w:val="18"/>
                <w:szCs w:val="18"/>
                <w:color w:val="auto"/>
              </w:rPr>
              <w:t>Equity issued in connection with acquisition</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5,296</w:t>
            </w:r>
          </w:p>
        </w:tc>
      </w:tr>
      <w:tr>
        <w:trPr>
          <w:trHeight w:val="27"/>
        </w:trPr>
        <w:tc>
          <w:tcPr>
            <w:tcW w:w="8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Contingent consideration in connection with acquisition</w:t>
            </w: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21,725</w:t>
            </w:r>
          </w:p>
        </w:tc>
      </w:tr>
      <w:tr>
        <w:trPr>
          <w:trHeight w:val="230"/>
        </w:trPr>
        <w:tc>
          <w:tcPr>
            <w:tcW w:w="8580" w:type="dxa"/>
            <w:vAlign w:val="bottom"/>
          </w:tcPr>
          <w:p>
            <w:pPr>
              <w:ind w:left="2980"/>
              <w:spacing w:after="0"/>
              <w:rPr>
                <w:sz w:val="20"/>
                <w:szCs w:val="20"/>
                <w:color w:val="auto"/>
              </w:rPr>
            </w:pPr>
            <w:r>
              <w:rPr>
                <w:rFonts w:ascii="Arial" w:cs="Arial" w:eastAsia="Arial" w:hAnsi="Arial"/>
                <w:sz w:val="18"/>
                <w:szCs w:val="18"/>
                <w:color w:val="auto"/>
                <w:w w:val="91"/>
              </w:rPr>
              <w:t>See accompanying notes to the unaudited consolidated financial statements.</w:t>
            </w:r>
          </w:p>
        </w:tc>
        <w:tc>
          <w:tcPr>
            <w:tcW w:w="3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60" w:type="dxa"/>
            <w:vAlign w:val="bottom"/>
          </w:tcPr>
          <w:p>
            <w:pPr>
              <w:spacing w:after="0"/>
              <w:rPr>
                <w:sz w:val="20"/>
                <w:szCs w:val="20"/>
                <w:color w:val="auto"/>
              </w:rPr>
            </w:pPr>
          </w:p>
        </w:tc>
      </w:tr>
    </w:tbl>
    <w:p>
      <w:pPr>
        <w:spacing w:after="0" w:line="200" w:lineRule="exact"/>
        <w:rPr>
          <w:sz w:val="20"/>
          <w:szCs w:val="20"/>
          <w:color w:val="auto"/>
        </w:rPr>
      </w:pPr>
    </w:p>
    <w:p>
      <w:pPr>
        <w:sectPr>
          <w:pgSz w:w="11900" w:h="16838" w:orient="portrait"/>
          <w:cols w:equalWidth="0" w:num="1">
            <w:col w:w="11420"/>
          </w:cols>
          <w:pgMar w:left="240" w:top="125" w:right="239" w:bottom="368" w:gutter="0" w:footer="0" w:header="0"/>
        </w:sect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w:t>
      </w:r>
    </w:p>
    <w:p>
      <w:pPr>
        <w:sectPr>
          <w:pgSz w:w="11900" w:h="16838" w:orient="portrait"/>
          <w:cols w:equalWidth="0" w:num="1">
            <w:col w:w="11420"/>
          </w:cols>
          <w:pgMar w:left="240" w:top="125" w:right="239" w:bottom="368" w:gutter="0" w:footer="0" w:header="0"/>
          <w:type w:val="continuous"/>
        </w:sectPr>
      </w:pPr>
    </w:p>
    <w:bookmarkStart w:id="6" w:name="page7"/>
    <w:bookmarkEnd w:id="6"/>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EURONET WORLDWIDE, INC.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THE UNAUDITED CONSOLIDATED FINANCIAL STATEMENTS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GENERAL</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Organization</w:t>
      </w:r>
    </w:p>
    <w:p>
      <w:pPr>
        <w:spacing w:after="0" w:line="117"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Euronet Worldwide, Inc. (together with its subsidiaries, the “Company”or “Euronet”) was established as a Delaware corporation on December 13, 1997 and succeeded Euronet Holding N.V. as the group holding company, which was founded and established in 1994. Euronet is a leading electronic payments provider. Euronet offers payment and transaction processing and distribution solutions to financial institutions, retailers, service providers and individual consumers. Euronet's primary product offerings include comprehensive automated teller machine (“ATM”), point-of-sale (“POS”), card outsourcing, card issuing and merchant acquiring services; electronic distribution of prepaid mobile airtime and other electronic payment products; and global consumer money transfer services.</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Basis of Presentation</w:t>
      </w:r>
    </w:p>
    <w:p>
      <w:pPr>
        <w:spacing w:after="0" w:line="117"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The accompanying unaudited consolidated financial statements have been prepared from the records of the Company, in conformity with accounting principles generally accepted in the U.S. (“U.S. GAAP”) and pursuant to the rules and regulations of the Securities and Exchange Commission (“SEC”). In the opinion of management, such unaudited consolidated financial statements contain all adjustments (consisting of normal interim closing procedures) necessary to present fairly on a consolidated basis the financial position of the Company as of March 31, 2014, and the results of its operations and cash flows for the three months ended March 31, 2014 and 2013. The unaudited consolidated financial statements should be read in conjunction with the audited consolidated financial statements of the Company for the year ended December 31, 2013, including the notes thereto, set forth in the Company’s 2013 Annual Report on Form 10-K.</w:t>
      </w:r>
    </w:p>
    <w:p>
      <w:pPr>
        <w:spacing w:after="0" w:line="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Use of Estimates</w:t>
      </w:r>
    </w:p>
    <w:p>
      <w:pPr>
        <w:spacing w:after="0" w:line="117" w:lineRule="exact"/>
        <w:rPr>
          <w:sz w:val="20"/>
          <w:szCs w:val="20"/>
          <w:color w:val="auto"/>
        </w:rPr>
      </w:pPr>
    </w:p>
    <w:p>
      <w:pPr>
        <w:ind w:right="100"/>
        <w:spacing w:after="0" w:line="279" w:lineRule="auto"/>
        <w:rPr>
          <w:sz w:val="20"/>
          <w:szCs w:val="20"/>
          <w:color w:val="auto"/>
        </w:rPr>
      </w:pPr>
      <w:r>
        <w:rPr>
          <w:rFonts w:ascii="Arial" w:cs="Arial" w:eastAsia="Arial" w:hAnsi="Arial"/>
          <w:sz w:val="17"/>
          <w:szCs w:val="17"/>
          <w:color w:val="auto"/>
        </w:rPr>
        <w:t>The preparation of financial statements in conformity with U.S. GAAP requires management to make certain estimates and assumptions that affect the reported amounts of assets and liabilities and disclosures of contingent assets and liabilities at the date of the financial statements, as well as the reported amounts of revenues and expenses during the reported period. Actual results could differ from those estimates. The results of operations for the three months ended March 31, 2014 are not necessarily indicative of the results to be expected for the full year ending December 31, 2014.</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Seasonality</w:t>
      </w:r>
    </w:p>
    <w:p>
      <w:pPr>
        <w:spacing w:after="0" w:line="117" w:lineRule="exact"/>
        <w:rPr>
          <w:sz w:val="20"/>
          <w:szCs w:val="20"/>
          <w:color w:val="auto"/>
        </w:rPr>
      </w:pPr>
    </w:p>
    <w:p>
      <w:pPr>
        <w:ind w:right="80"/>
        <w:spacing w:after="0" w:line="273" w:lineRule="auto"/>
        <w:rPr>
          <w:sz w:val="20"/>
          <w:szCs w:val="20"/>
          <w:color w:val="auto"/>
        </w:rPr>
      </w:pPr>
      <w:r>
        <w:rPr>
          <w:rFonts w:ascii="Arial" w:cs="Arial" w:eastAsia="Arial" w:hAnsi="Arial"/>
          <w:sz w:val="17"/>
          <w:szCs w:val="17"/>
          <w:color w:val="auto"/>
        </w:rPr>
        <w:t>Euronet’s EFT Processing segment and epay segment are significantly impacted by seasonality during the fourth quarter and first quarter of each year due to higher transaction levels during the holiday season and lower levels following the holiday season. Additionally, mostly in Europe, the EFT Processing business experiences its heaviest demand for dynamic currency conversion services during the third quarter of the fiscal year, coinciding with the tourist season. Seasonality in the money transfer segment varies by regions of the world. In most markets, Euronet usually experiences increased demand for money transfer services from the month of May through the fourth quarter of each year, coinciding with the increase in worker migration patterns and various holidays, and Euronet usually experiences its lowest transaction levels during the first quarter of each year.</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RECENTLY ISSUED AND ADOPTED ACCOUNTING PRONOUNCEMENTS</w:t>
      </w:r>
    </w:p>
    <w:p>
      <w:pPr>
        <w:spacing w:after="0" w:line="121"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 xml:space="preserve">In July 2013, the Financial Accounting Standards Board (“FASB”) issued Accounting Standards Update (“ASU”) No. 2013-11, </w:t>
      </w:r>
      <w:r>
        <w:rPr>
          <w:rFonts w:ascii="Arial" w:cs="Arial" w:eastAsia="Arial" w:hAnsi="Arial"/>
          <w:sz w:val="18"/>
          <w:szCs w:val="18"/>
          <w:i w:val="1"/>
          <w:iCs w:val="1"/>
          <w:color w:val="auto"/>
        </w:rPr>
        <w:t>Presentation of an</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Unrecognized Tax Benefit When a Net Operating Loss Carryforward, a Similar Tax Loss, or a Tax Credit Carryforward Exists </w:t>
      </w:r>
      <w:r>
        <w:rPr>
          <w:rFonts w:ascii="Arial" w:cs="Arial" w:eastAsia="Arial" w:hAnsi="Arial"/>
          <w:sz w:val="18"/>
          <w:szCs w:val="18"/>
          <w:color w:val="auto"/>
        </w:rPr>
        <w:t>("ASU 2013-11"). The</w:t>
      </w:r>
      <w:r>
        <w:rPr>
          <w:rFonts w:ascii="Arial" w:cs="Arial" w:eastAsia="Arial" w:hAnsi="Arial"/>
          <w:sz w:val="18"/>
          <w:szCs w:val="18"/>
          <w:i w:val="1"/>
          <w:iCs w:val="1"/>
          <w:color w:val="auto"/>
        </w:rPr>
        <w:t xml:space="preserve"> </w:t>
      </w:r>
      <w:r>
        <w:rPr>
          <w:rFonts w:ascii="Arial" w:cs="Arial" w:eastAsia="Arial" w:hAnsi="Arial"/>
          <w:sz w:val="18"/>
          <w:szCs w:val="18"/>
          <w:color w:val="auto"/>
        </w:rPr>
        <w:t>amendments in ASU 2013-11 provide guidance on the financial statement presentation of an unrecognized tax benefit when a net operating loss carryforward, a similar tax loss, or a tax credit carryforward exists. The Company adopted ASU 2013-11 as of January 1, 2014, and its adoption did not have a material impact on the Company's results of operations, cash flows or financial position.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00"/>
          </w:cols>
          <w:pgMar w:left="240" w:top="125" w:right="259" w:bottom="1440" w:gutter="0" w:footer="0" w:header="0"/>
        </w:sectPr>
      </w:pPr>
    </w:p>
    <w:bookmarkStart w:id="7" w:name="page8"/>
    <w:bookmarkEnd w:id="7"/>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STOCKHOLDERS' EQUITY</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Earnings Per Share</w:t>
      </w:r>
    </w:p>
    <w:p>
      <w:pPr>
        <w:spacing w:after="0" w:line="117" w:lineRule="exact"/>
        <w:rPr>
          <w:sz w:val="20"/>
          <w:szCs w:val="20"/>
          <w:color w:val="auto"/>
        </w:rPr>
      </w:pPr>
    </w:p>
    <w:p>
      <w:pPr>
        <w:ind w:right="360"/>
        <w:spacing w:after="0" w:line="257" w:lineRule="auto"/>
        <w:rPr>
          <w:sz w:val="20"/>
          <w:szCs w:val="20"/>
          <w:color w:val="auto"/>
        </w:rPr>
      </w:pPr>
      <w:r>
        <w:rPr>
          <w:rFonts w:ascii="Arial" w:cs="Arial" w:eastAsia="Arial" w:hAnsi="Arial"/>
          <w:sz w:val="18"/>
          <w:szCs w:val="18"/>
          <w:color w:val="auto"/>
        </w:rPr>
        <w:t>Basic earnings per share has been computed by dividing earnings available to common stockholders by the weighted average number of common shares outstanding during the respective period. Diluted earnings per share has been computed by dividing earnings available to common stockholders by the weighted average shares outstanding during the respective period, after adjusting for the potential dilution of options to purchase the Company's common stock and assumed vesting of restricted stock. The following table provides the computation of diluted weighted average number of common shares outstanding:</w:t>
      </w:r>
    </w:p>
    <w:p>
      <w:pPr>
        <w:spacing w:after="0" w:line="342" w:lineRule="exact"/>
        <w:rPr>
          <w:sz w:val="20"/>
          <w:szCs w:val="20"/>
          <w:color w:val="auto"/>
        </w:rPr>
      </w:pPr>
    </w:p>
    <w:p>
      <w:pPr>
        <w:ind w:left="9400"/>
        <w:spacing w:after="0"/>
        <w:rPr>
          <w:sz w:val="20"/>
          <w:szCs w:val="20"/>
          <w:color w:val="auto"/>
        </w:rPr>
      </w:pPr>
      <w:r>
        <w:rPr>
          <w:rFonts w:ascii="Arial" w:cs="Arial" w:eastAsia="Arial" w:hAnsi="Arial"/>
          <w:sz w:val="14"/>
          <w:szCs w:val="14"/>
          <w:b w:val="1"/>
          <w:bCs w:val="1"/>
          <w:color w:val="auto"/>
        </w:rPr>
        <w:t>Three Months Ended</w:t>
      </w:r>
    </w:p>
    <w:p>
      <w:pPr>
        <w:spacing w:after="0" w:line="4"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8760" w:type="dxa"/>
            <w:vAlign w:val="bottom"/>
          </w:tcPr>
          <w:p>
            <w:pPr>
              <w:spacing w:after="0"/>
              <w:rPr>
                <w:sz w:val="15"/>
                <w:szCs w:val="15"/>
                <w:color w:val="auto"/>
              </w:rPr>
            </w:pPr>
          </w:p>
        </w:tc>
        <w:tc>
          <w:tcPr>
            <w:tcW w:w="1660" w:type="dxa"/>
            <w:vAlign w:val="bottom"/>
            <w:tcBorders>
              <w:bottom w:val="single" w:sz="8" w:color="auto"/>
            </w:tcBorders>
            <w:gridSpan w:val="3"/>
          </w:tcPr>
          <w:p>
            <w:pPr>
              <w:ind w:left="1000"/>
              <w:spacing w:after="0"/>
              <w:rPr>
                <w:sz w:val="20"/>
                <w:szCs w:val="20"/>
                <w:color w:val="auto"/>
              </w:rPr>
            </w:pPr>
            <w:r>
              <w:rPr>
                <w:rFonts w:ascii="Arial" w:cs="Arial" w:eastAsia="Arial" w:hAnsi="Arial"/>
                <w:sz w:val="14"/>
                <w:szCs w:val="14"/>
                <w:b w:val="1"/>
                <w:bCs w:val="1"/>
                <w:color w:val="auto"/>
                <w:w w:val="99"/>
              </w:rPr>
              <w:t>March 31,</w:t>
            </w:r>
          </w:p>
        </w:tc>
        <w:tc>
          <w:tcPr>
            <w:tcW w:w="940" w:type="dxa"/>
            <w:vAlign w:val="bottom"/>
            <w:tcBorders>
              <w:bottom w:val="single" w:sz="8" w:color="auto"/>
            </w:tcBorders>
          </w:tcPr>
          <w:p>
            <w:pPr>
              <w:spacing w:after="0"/>
              <w:rPr>
                <w:sz w:val="15"/>
                <w:szCs w:val="15"/>
                <w:color w:val="auto"/>
              </w:rPr>
            </w:pPr>
          </w:p>
        </w:tc>
      </w:tr>
      <w:tr>
        <w:trPr>
          <w:trHeight w:val="258"/>
        </w:trPr>
        <w:tc>
          <w:tcPr>
            <w:tcW w:w="8760" w:type="dxa"/>
            <w:vAlign w:val="bottom"/>
            <w:tcBorders>
              <w:bottom w:val="single" w:sz="8" w:color="CCEEFF"/>
            </w:tcBorders>
          </w:tcPr>
          <w:p>
            <w:pPr>
              <w:spacing w:after="0"/>
              <w:rPr>
                <w:sz w:val="22"/>
                <w:szCs w:val="22"/>
                <w:color w:val="auto"/>
              </w:rPr>
            </w:pPr>
          </w:p>
        </w:tc>
        <w:tc>
          <w:tcPr>
            <w:tcW w:w="1260" w:type="dxa"/>
            <w:vAlign w:val="bottom"/>
            <w:tcBorders>
              <w:bottom w:val="single" w:sz="8" w:color="auto"/>
            </w:tcBorders>
          </w:tcPr>
          <w:p>
            <w:pPr>
              <w:jc w:val="right"/>
              <w:ind w:right="397"/>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394"/>
              <w:spacing w:after="0"/>
              <w:rPr>
                <w:sz w:val="20"/>
                <w:szCs w:val="20"/>
                <w:color w:val="auto"/>
              </w:rPr>
            </w:pPr>
            <w:r>
              <w:rPr>
                <w:rFonts w:ascii="Arial" w:cs="Arial" w:eastAsia="Arial" w:hAnsi="Arial"/>
                <w:sz w:val="14"/>
                <w:szCs w:val="14"/>
                <w:b w:val="1"/>
                <w:bCs w:val="1"/>
                <w:color w:val="auto"/>
              </w:rPr>
              <w:t>2013</w:t>
            </w:r>
          </w:p>
        </w:tc>
      </w:tr>
      <w:tr>
        <w:trPr>
          <w:trHeight w:val="250"/>
        </w:trPr>
        <w:tc>
          <w:tcPr>
            <w:tcW w:w="8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Computation of diluted weighted average shares outstanding:</w:t>
            </w:r>
          </w:p>
        </w:tc>
        <w:tc>
          <w:tcPr>
            <w:tcW w:w="12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r>
      <w:tr>
        <w:trPr>
          <w:trHeight w:val="243"/>
        </w:trPr>
        <w:tc>
          <w:tcPr>
            <w:tcW w:w="8760" w:type="dxa"/>
            <w:vAlign w:val="bottom"/>
          </w:tcPr>
          <w:p>
            <w:pPr>
              <w:ind w:left="180"/>
              <w:spacing w:after="0"/>
              <w:rPr>
                <w:sz w:val="20"/>
                <w:szCs w:val="20"/>
                <w:color w:val="auto"/>
              </w:rPr>
            </w:pPr>
            <w:r>
              <w:rPr>
                <w:rFonts w:ascii="Arial" w:cs="Arial" w:eastAsia="Arial" w:hAnsi="Arial"/>
                <w:sz w:val="18"/>
                <w:szCs w:val="18"/>
                <w:color w:val="auto"/>
              </w:rPr>
              <w:t>Basic weighted average shares outstanding</w:t>
            </w:r>
          </w:p>
        </w:tc>
        <w:tc>
          <w:tcPr>
            <w:tcW w:w="1260" w:type="dxa"/>
            <w:vAlign w:val="bottom"/>
          </w:tcPr>
          <w:p>
            <w:pPr>
              <w:jc w:val="right"/>
              <w:ind w:right="37"/>
              <w:spacing w:after="0"/>
              <w:rPr>
                <w:sz w:val="20"/>
                <w:szCs w:val="20"/>
                <w:color w:val="auto"/>
              </w:rPr>
            </w:pPr>
            <w:r>
              <w:rPr>
                <w:rFonts w:ascii="Arial" w:cs="Arial" w:eastAsia="Arial" w:hAnsi="Arial"/>
                <w:sz w:val="18"/>
                <w:szCs w:val="18"/>
                <w:color w:val="auto"/>
              </w:rPr>
              <w:t>50,788,219</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jc w:val="right"/>
              <w:ind w:right="14"/>
              <w:spacing w:after="0"/>
              <w:rPr>
                <w:sz w:val="20"/>
                <w:szCs w:val="20"/>
                <w:color w:val="auto"/>
              </w:rPr>
            </w:pPr>
            <w:r>
              <w:rPr>
                <w:rFonts w:ascii="Arial" w:cs="Arial" w:eastAsia="Arial" w:hAnsi="Arial"/>
                <w:sz w:val="18"/>
                <w:szCs w:val="18"/>
                <w:color w:val="auto"/>
                <w:w w:val="90"/>
              </w:rPr>
              <w:t>49,504,712</w:t>
            </w:r>
          </w:p>
        </w:tc>
      </w:tr>
      <w:tr>
        <w:trPr>
          <w:trHeight w:val="27"/>
        </w:trPr>
        <w:tc>
          <w:tcPr>
            <w:tcW w:w="87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70"/>
        </w:trPr>
        <w:tc>
          <w:tcPr>
            <w:tcW w:w="87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Incremental shares from assumed exercise of stock options and vesting of restricted stock</w:t>
            </w:r>
          </w:p>
        </w:tc>
        <w:tc>
          <w:tcPr>
            <w:tcW w:w="126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1,975,431</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1,115,725</w:t>
            </w:r>
          </w:p>
        </w:tc>
      </w:tr>
      <w:tr>
        <w:trPr>
          <w:trHeight w:val="257"/>
        </w:trPr>
        <w:tc>
          <w:tcPr>
            <w:tcW w:w="8760" w:type="dxa"/>
            <w:vAlign w:val="bottom"/>
          </w:tcPr>
          <w:p>
            <w:pPr>
              <w:ind w:left="280"/>
              <w:spacing w:after="0"/>
              <w:rPr>
                <w:sz w:val="20"/>
                <w:szCs w:val="20"/>
                <w:color w:val="auto"/>
              </w:rPr>
            </w:pPr>
            <w:r>
              <w:rPr>
                <w:rFonts w:ascii="Arial" w:cs="Arial" w:eastAsia="Arial" w:hAnsi="Arial"/>
                <w:sz w:val="18"/>
                <w:szCs w:val="18"/>
                <w:color w:val="auto"/>
              </w:rPr>
              <w:t>Diluted weighted average shares outstanding</w:t>
            </w:r>
          </w:p>
        </w:tc>
        <w:tc>
          <w:tcPr>
            <w:tcW w:w="1260" w:type="dxa"/>
            <w:vAlign w:val="bottom"/>
            <w:tcBorders>
              <w:top w:val="single" w:sz="8" w:color="auto"/>
              <w:bottom w:val="single" w:sz="8" w:color="auto"/>
            </w:tcBorders>
          </w:tcPr>
          <w:p>
            <w:pPr>
              <w:jc w:val="right"/>
              <w:ind w:right="37"/>
              <w:spacing w:after="0"/>
              <w:rPr>
                <w:sz w:val="20"/>
                <w:szCs w:val="20"/>
                <w:color w:val="auto"/>
              </w:rPr>
            </w:pPr>
            <w:r>
              <w:rPr>
                <w:rFonts w:ascii="Arial" w:cs="Arial" w:eastAsia="Arial" w:hAnsi="Arial"/>
                <w:sz w:val="18"/>
                <w:szCs w:val="18"/>
                <w:color w:val="auto"/>
              </w:rPr>
              <w:t>52,763,650</w:t>
            </w:r>
          </w:p>
        </w:tc>
        <w:tc>
          <w:tcPr>
            <w:tcW w:w="100" w:type="dxa"/>
            <w:vAlign w:val="bottom"/>
          </w:tcPr>
          <w:p>
            <w:pPr>
              <w:spacing w:after="0"/>
              <w:rPr>
                <w:sz w:val="22"/>
                <w:szCs w:val="22"/>
                <w:color w:val="auto"/>
              </w:rPr>
            </w:pPr>
          </w:p>
        </w:tc>
        <w:tc>
          <w:tcPr>
            <w:tcW w:w="300" w:type="dxa"/>
            <w:vAlign w:val="bottom"/>
            <w:tcBorders>
              <w:top w:val="single" w:sz="8" w:color="auto"/>
              <w:bottom w:val="single" w:sz="8" w:color="auto"/>
            </w:tcBorders>
          </w:tcPr>
          <w:p>
            <w:pPr>
              <w:spacing w:after="0"/>
              <w:rPr>
                <w:sz w:val="22"/>
                <w:szCs w:val="22"/>
                <w:color w:val="auto"/>
              </w:rPr>
            </w:pPr>
          </w:p>
        </w:tc>
        <w:tc>
          <w:tcPr>
            <w:tcW w:w="94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w w:val="90"/>
              </w:rPr>
              <w:t>50,620,437</w:t>
            </w:r>
          </w:p>
        </w:tc>
      </w:tr>
      <w:tr>
        <w:trPr>
          <w:trHeight w:val="20"/>
        </w:trPr>
        <w:tc>
          <w:tcPr>
            <w:tcW w:w="876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The table includes the impact of all stock options and restricted stock that are dilutive to the Company’s weighted average common shares outstanding during the three months ended March 31, 2014 and 2013. The calculation of diluted earnings per share excludes stock options or shares of restricted stock that are anti-dilutive to the Company’s weighted average common shares outstanding of approximately 763,000 and 1,890,000 for the three months ended March 31, 2014 and 2013, respectively.</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Accumulated Other Comprehensive Loss</w:t>
      </w:r>
    </w:p>
    <w:p>
      <w:pPr>
        <w:spacing w:after="0" w:line="90" w:lineRule="exact"/>
        <w:rPr>
          <w:sz w:val="20"/>
          <w:szCs w:val="20"/>
          <w:color w:val="auto"/>
        </w:rPr>
      </w:pPr>
    </w:p>
    <w:p>
      <w:pPr>
        <w:jc w:val="both"/>
        <w:ind w:right="180"/>
        <w:spacing w:after="0" w:line="286" w:lineRule="auto"/>
        <w:rPr>
          <w:sz w:val="20"/>
          <w:szCs w:val="20"/>
          <w:color w:val="auto"/>
        </w:rPr>
      </w:pPr>
      <w:r>
        <w:rPr>
          <w:rFonts w:ascii="Arial" w:cs="Arial" w:eastAsia="Arial" w:hAnsi="Arial"/>
          <w:sz w:val="17"/>
          <w:szCs w:val="17"/>
          <w:color w:val="auto"/>
        </w:rPr>
        <w:t>Accumulated other comprehensive loss consists entirely of foreign currency translation adjustments. The Company recorded a foreign currency translation gain of $3.2 million and translation loss of $17.2 million for the three months ended March 31, 2014 and 2013, respectively. There were no reclassifications of foreign currency translation into the Consolidated Statements of Income for the three months ended March 31, 2014 and 2013.</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ACQUISITIONS</w:t>
      </w:r>
    </w:p>
    <w:p>
      <w:pPr>
        <w:spacing w:after="0" w:line="229"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On March 7, 2014, the Company entered into a Share Purchase Agreement (the "Purchase Agreement") with the selling shareholders of all of the capital stock of EIM (FX) Limited and TBK (FM) Limited, each United Kingdom limited companies, which primarily operate under the trading names HiFX or HiFM. Under the terms of the Purchase Agreement, the selling shareholders will receive at closing an aggregate amount of purchase consideration of £145 million in cash and Euronet common stock. The number of shares of Euronet common stock to be issued will be based on the average closing price of Euronet common stock over the twenty trading-day period before closing and the average U.S. dollar to pounds sterling exchange rate over the five trading-day period before closing. Based on the March 31, 2014 exchange rate, the purchase consideration would be comprised of $184.5 million in cash and $56.5 million of Euronet common stock. HiFX offers account-to-account international payment services to high-income individuals and small-to-medium sized businesses, complementing Euronet’s existing consumer-to-consumer money transfer business. HiFX has an innovative multi-channel platform which allows customers to make transfers, track payments and manage their international payment activity online or through a customer service representative.</w:t>
      </w:r>
    </w:p>
    <w:p>
      <w:pPr>
        <w:spacing w:after="0" w:line="59"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The Purchase Agreement contains customary closing conditions, including certain regulatory approvals, and is currently expected to close during the second quarter of 2014.</w:t>
      </w:r>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125" w:right="239" w:bottom="1440" w:gutter="0" w:footer="0" w:header="0"/>
        </w:sectPr>
      </w:pPr>
    </w:p>
    <w:bookmarkStart w:id="8" w:name="page9"/>
    <w:bookmarkEnd w:id="8"/>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GOODWILL AND ACQUIRED INTANGIBLE ASSETS, NET</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A summary of acquired intangible assets and goodwill activity for the three months ended March 31, 2014 is presented below:</w:t>
      </w:r>
    </w:p>
    <w:p>
      <w:pPr>
        <w:spacing w:after="0" w:line="36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2"/>
              </w:rPr>
              <w:t>Acquired</w:t>
            </w:r>
          </w:p>
        </w:tc>
        <w:tc>
          <w:tcPr>
            <w:tcW w:w="2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40" w:type="dxa"/>
            <w:vAlign w:val="bottom"/>
          </w:tcPr>
          <w:p>
            <w:pPr>
              <w:jc w:val="center"/>
              <w:ind w:right="138"/>
              <w:spacing w:after="0"/>
              <w:rPr>
                <w:sz w:val="20"/>
                <w:szCs w:val="20"/>
                <w:color w:val="auto"/>
              </w:rPr>
            </w:pPr>
            <w:r>
              <w:rPr>
                <w:rFonts w:ascii="Arial" w:cs="Arial" w:eastAsia="Arial" w:hAnsi="Arial"/>
                <w:sz w:val="14"/>
                <w:szCs w:val="14"/>
                <w:b w:val="1"/>
                <w:bCs w:val="1"/>
                <w:color w:val="auto"/>
                <w:w w:val="89"/>
              </w:rPr>
              <w:t>Total</w:t>
            </w:r>
          </w:p>
        </w:tc>
        <w:tc>
          <w:tcPr>
            <w:tcW w:w="0" w:type="dxa"/>
            <w:vAlign w:val="bottom"/>
          </w:tcPr>
          <w:p>
            <w:pPr>
              <w:spacing w:after="0"/>
              <w:rPr>
                <w:sz w:val="1"/>
                <w:szCs w:val="1"/>
                <w:color w:val="auto"/>
              </w:rPr>
            </w:pPr>
          </w:p>
        </w:tc>
      </w:tr>
      <w:tr>
        <w:trPr>
          <w:trHeight w:val="149"/>
        </w:trPr>
        <w:tc>
          <w:tcPr>
            <w:tcW w:w="7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6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6"/>
              </w:rPr>
              <w:t>Intangible</w:t>
            </w:r>
          </w:p>
        </w:tc>
        <w:tc>
          <w:tcPr>
            <w:tcW w:w="220" w:type="dxa"/>
            <w:vAlign w:val="bottom"/>
          </w:tcPr>
          <w:p>
            <w:pPr>
              <w:spacing w:after="0"/>
              <w:rPr>
                <w:sz w:val="12"/>
                <w:szCs w:val="12"/>
                <w:color w:val="auto"/>
              </w:rPr>
            </w:pPr>
          </w:p>
        </w:tc>
        <w:tc>
          <w:tcPr>
            <w:tcW w:w="1020" w:type="dxa"/>
            <w:vAlign w:val="bottom"/>
            <w:vMerge w:val="restart"/>
          </w:tcPr>
          <w:p>
            <w:pPr>
              <w:jc w:val="right"/>
              <w:ind w:right="254"/>
              <w:spacing w:after="0"/>
              <w:rPr>
                <w:sz w:val="20"/>
                <w:szCs w:val="20"/>
                <w:color w:val="auto"/>
              </w:rPr>
            </w:pPr>
            <w:r>
              <w:rPr>
                <w:rFonts w:ascii="Arial" w:cs="Arial" w:eastAsia="Arial" w:hAnsi="Arial"/>
                <w:sz w:val="14"/>
                <w:szCs w:val="14"/>
                <w:b w:val="1"/>
                <w:bCs w:val="1"/>
                <w:color w:val="auto"/>
              </w:rPr>
              <w:t>Goodwill</w:t>
            </w:r>
          </w:p>
        </w:tc>
        <w:tc>
          <w:tcPr>
            <w:tcW w:w="120" w:type="dxa"/>
            <w:vAlign w:val="bottom"/>
            <w:vMerge w:val="restart"/>
          </w:tcPr>
          <w:p>
            <w:pPr>
              <w:spacing w:after="0"/>
              <w:rPr>
                <w:sz w:val="12"/>
                <w:szCs w:val="12"/>
                <w:color w:val="auto"/>
              </w:rPr>
            </w:pPr>
          </w:p>
        </w:tc>
        <w:tc>
          <w:tcPr>
            <w:tcW w:w="200" w:type="dxa"/>
            <w:vAlign w:val="bottom"/>
          </w:tcPr>
          <w:p>
            <w:pPr>
              <w:spacing w:after="0"/>
              <w:rPr>
                <w:sz w:val="12"/>
                <w:szCs w:val="12"/>
                <w:color w:val="auto"/>
              </w:rPr>
            </w:pPr>
          </w:p>
        </w:tc>
        <w:tc>
          <w:tcPr>
            <w:tcW w:w="1040" w:type="dxa"/>
            <w:vAlign w:val="bottom"/>
          </w:tcPr>
          <w:p>
            <w:pPr>
              <w:jc w:val="center"/>
              <w:ind w:right="138"/>
              <w:spacing w:after="0" w:line="149" w:lineRule="exact"/>
              <w:rPr>
                <w:sz w:val="20"/>
                <w:szCs w:val="20"/>
                <w:color w:val="auto"/>
              </w:rPr>
            </w:pPr>
            <w:r>
              <w:rPr>
                <w:rFonts w:ascii="Arial" w:cs="Arial" w:eastAsia="Arial" w:hAnsi="Arial"/>
                <w:sz w:val="14"/>
                <w:szCs w:val="14"/>
                <w:b w:val="1"/>
                <w:bCs w:val="1"/>
                <w:color w:val="auto"/>
                <w:w w:val="93"/>
              </w:rPr>
              <w:t>Intangible</w:t>
            </w:r>
          </w:p>
        </w:tc>
        <w:tc>
          <w:tcPr>
            <w:tcW w:w="0" w:type="dxa"/>
            <w:vAlign w:val="bottom"/>
          </w:tcPr>
          <w:p>
            <w:pPr>
              <w:spacing w:after="0"/>
              <w:rPr>
                <w:sz w:val="1"/>
                <w:szCs w:val="1"/>
                <w:color w:val="auto"/>
              </w:rPr>
            </w:pPr>
          </w:p>
        </w:tc>
      </w:tr>
      <w:tr>
        <w:trPr>
          <w:trHeight w:val="192"/>
        </w:trPr>
        <w:tc>
          <w:tcPr>
            <w:tcW w:w="7300" w:type="dxa"/>
            <w:vAlign w:val="bottom"/>
            <w:tcBorders>
              <w:bottom w:val="single" w:sz="8" w:color="auto"/>
            </w:tcBorders>
          </w:tcPr>
          <w:p>
            <w:pPr>
              <w:ind w:left="80"/>
              <w:spacing w:after="0"/>
              <w:rPr>
                <w:sz w:val="20"/>
                <w:szCs w:val="20"/>
                <w:color w:val="auto"/>
              </w:rPr>
            </w:pPr>
            <w:r>
              <w:rPr>
                <w:rFonts w:ascii="Arial" w:cs="Arial" w:eastAsia="Arial" w:hAnsi="Arial"/>
                <w:sz w:val="14"/>
                <w:szCs w:val="14"/>
                <w:color w:val="auto"/>
              </w:rPr>
              <w:t>(in thousands)</w:t>
            </w:r>
          </w:p>
        </w:tc>
        <w:tc>
          <w:tcPr>
            <w:tcW w:w="1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center"/>
              <w:ind w:right="158"/>
              <w:spacing w:after="0"/>
              <w:rPr>
                <w:sz w:val="20"/>
                <w:szCs w:val="20"/>
                <w:color w:val="auto"/>
              </w:rPr>
            </w:pPr>
            <w:r>
              <w:rPr>
                <w:rFonts w:ascii="Arial" w:cs="Arial" w:eastAsia="Arial" w:hAnsi="Arial"/>
                <w:sz w:val="14"/>
                <w:szCs w:val="14"/>
                <w:b w:val="1"/>
                <w:bCs w:val="1"/>
                <w:color w:val="auto"/>
                <w:w w:val="82"/>
              </w:rPr>
              <w:t>Assets</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center"/>
              <w:ind w:right="138"/>
              <w:spacing w:after="0"/>
              <w:rPr>
                <w:sz w:val="20"/>
                <w:szCs w:val="20"/>
                <w:color w:val="auto"/>
              </w:rPr>
            </w:pPr>
            <w:r>
              <w:rPr>
                <w:rFonts w:ascii="Arial" w:cs="Arial" w:eastAsia="Arial" w:hAnsi="Arial"/>
                <w:sz w:val="14"/>
                <w:szCs w:val="14"/>
                <w:b w:val="1"/>
                <w:bCs w:val="1"/>
                <w:color w:val="auto"/>
                <w:w w:val="82"/>
              </w:rPr>
              <w:t>Assets</w:t>
            </w:r>
          </w:p>
        </w:tc>
        <w:tc>
          <w:tcPr>
            <w:tcW w:w="0" w:type="dxa"/>
            <w:vAlign w:val="bottom"/>
          </w:tcPr>
          <w:p>
            <w:pPr>
              <w:spacing w:after="0"/>
              <w:rPr>
                <w:sz w:val="1"/>
                <w:szCs w:val="1"/>
                <w:color w:val="auto"/>
              </w:rPr>
            </w:pPr>
          </w:p>
        </w:tc>
      </w:tr>
      <w:tr>
        <w:trPr>
          <w:trHeight w:val="250"/>
        </w:trPr>
        <w:tc>
          <w:tcPr>
            <w:tcW w:w="74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Balance as of December 31, 2013</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color w:val="auto"/>
              </w:rPr>
              <w:t>93,026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498,435</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color w:val="auto"/>
              </w:rPr>
              <w:t>591,461</w:t>
            </w:r>
          </w:p>
        </w:tc>
        <w:tc>
          <w:tcPr>
            <w:tcW w:w="0" w:type="dxa"/>
            <w:vAlign w:val="bottom"/>
          </w:tcPr>
          <w:p>
            <w:pPr>
              <w:spacing w:after="0"/>
              <w:rPr>
                <w:sz w:val="1"/>
                <w:szCs w:val="1"/>
                <w:color w:val="auto"/>
              </w:rPr>
            </w:pPr>
          </w:p>
        </w:tc>
      </w:tr>
      <w:tr>
        <w:trPr>
          <w:trHeight w:val="243"/>
        </w:trPr>
        <w:tc>
          <w:tcPr>
            <w:tcW w:w="7420" w:type="dxa"/>
            <w:vAlign w:val="bottom"/>
            <w:gridSpan w:val="2"/>
          </w:tcPr>
          <w:p>
            <w:pPr>
              <w:ind w:left="40"/>
              <w:spacing w:after="0"/>
              <w:rPr>
                <w:sz w:val="20"/>
                <w:szCs w:val="20"/>
                <w:color w:val="auto"/>
              </w:rPr>
            </w:pPr>
            <w:r>
              <w:rPr>
                <w:rFonts w:ascii="Arial" w:cs="Arial" w:eastAsia="Arial" w:hAnsi="Arial"/>
                <w:sz w:val="18"/>
                <w:szCs w:val="18"/>
                <w:color w:val="auto"/>
              </w:rPr>
              <w:t>Increases (decreases):</w:t>
            </w:r>
          </w:p>
        </w:tc>
        <w:tc>
          <w:tcPr>
            <w:tcW w:w="2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7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42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Amortization</w:t>
            </w:r>
          </w:p>
        </w:tc>
        <w:tc>
          <w:tcPr>
            <w:tcW w:w="2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(4,841)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(4,841)</w:t>
            </w:r>
          </w:p>
        </w:tc>
        <w:tc>
          <w:tcPr>
            <w:tcW w:w="0" w:type="dxa"/>
            <w:vAlign w:val="bottom"/>
          </w:tcPr>
          <w:p>
            <w:pPr>
              <w:spacing w:after="0"/>
              <w:rPr>
                <w:sz w:val="1"/>
                <w:szCs w:val="1"/>
                <w:color w:val="auto"/>
              </w:rPr>
            </w:pPr>
          </w:p>
        </w:tc>
      </w:tr>
      <w:tr>
        <w:trPr>
          <w:trHeight w:val="243"/>
        </w:trPr>
        <w:tc>
          <w:tcPr>
            <w:tcW w:w="7420" w:type="dxa"/>
            <w:vAlign w:val="bottom"/>
            <w:gridSpan w:val="2"/>
          </w:tcPr>
          <w:p>
            <w:pPr>
              <w:ind w:left="180"/>
              <w:spacing w:after="0"/>
              <w:rPr>
                <w:sz w:val="20"/>
                <w:szCs w:val="20"/>
                <w:color w:val="auto"/>
              </w:rPr>
            </w:pPr>
            <w:r>
              <w:rPr>
                <w:rFonts w:ascii="Arial" w:cs="Arial" w:eastAsia="Arial" w:hAnsi="Arial"/>
                <w:sz w:val="18"/>
                <w:szCs w:val="18"/>
                <w:color w:val="auto"/>
              </w:rPr>
              <w:t>Other (primarily changes in foreign currency exchange rates)</w:t>
            </w:r>
          </w:p>
        </w:tc>
        <w:tc>
          <w:tcPr>
            <w:tcW w:w="220" w:type="dxa"/>
            <w:vAlign w:val="bottom"/>
          </w:tcPr>
          <w:p>
            <w:pPr>
              <w:spacing w:after="0"/>
              <w:rPr>
                <w:sz w:val="21"/>
                <w:szCs w:val="21"/>
                <w:color w:val="auto"/>
              </w:rPr>
            </w:pPr>
          </w:p>
        </w:tc>
        <w:tc>
          <w:tcPr>
            <w:tcW w:w="1060" w:type="dxa"/>
            <w:vAlign w:val="bottom"/>
          </w:tcPr>
          <w:p>
            <w:pPr>
              <w:jc w:val="right"/>
              <w:ind w:right="38"/>
              <w:spacing w:after="0"/>
              <w:rPr>
                <w:sz w:val="20"/>
                <w:szCs w:val="20"/>
                <w:color w:val="auto"/>
              </w:rPr>
            </w:pPr>
            <w:r>
              <w:rPr>
                <w:rFonts w:ascii="Arial" w:cs="Arial" w:eastAsia="Arial" w:hAnsi="Arial"/>
                <w:sz w:val="18"/>
                <w:szCs w:val="18"/>
                <w:color w:val="auto"/>
              </w:rPr>
              <w:t>758</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tcPr>
          <w:p>
            <w:pPr>
              <w:jc w:val="right"/>
              <w:ind w:right="14"/>
              <w:spacing w:after="0"/>
              <w:rPr>
                <w:sz w:val="20"/>
                <w:szCs w:val="20"/>
                <w:color w:val="auto"/>
              </w:rPr>
            </w:pPr>
            <w:r>
              <w:rPr>
                <w:rFonts w:ascii="Arial" w:cs="Arial" w:eastAsia="Arial" w:hAnsi="Arial"/>
                <w:sz w:val="18"/>
                <w:szCs w:val="18"/>
                <w:color w:val="auto"/>
              </w:rPr>
              <w:t>1,245</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tcPr>
          <w:p>
            <w:pPr>
              <w:jc w:val="right"/>
              <w:ind w:right="38"/>
              <w:spacing w:after="0"/>
              <w:rPr>
                <w:sz w:val="20"/>
                <w:szCs w:val="20"/>
                <w:color w:val="auto"/>
              </w:rPr>
            </w:pPr>
            <w:r>
              <w:rPr>
                <w:rFonts w:ascii="Arial" w:cs="Arial" w:eastAsia="Arial" w:hAnsi="Arial"/>
                <w:sz w:val="18"/>
                <w:szCs w:val="18"/>
                <w:color w:val="auto"/>
              </w:rPr>
              <w:t>2,003</w:t>
            </w:r>
          </w:p>
        </w:tc>
        <w:tc>
          <w:tcPr>
            <w:tcW w:w="0" w:type="dxa"/>
            <w:vAlign w:val="bottom"/>
          </w:tcPr>
          <w:p>
            <w:pPr>
              <w:spacing w:after="0"/>
              <w:rPr>
                <w:sz w:val="1"/>
                <w:szCs w:val="1"/>
                <w:color w:val="auto"/>
              </w:rPr>
            </w:pPr>
          </w:p>
        </w:tc>
      </w:tr>
      <w:tr>
        <w:trPr>
          <w:trHeight w:val="27"/>
        </w:trPr>
        <w:tc>
          <w:tcPr>
            <w:tcW w:w="73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74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Balance as of March 31, 2014</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ind w:right="38"/>
              <w:spacing w:after="0"/>
              <w:rPr>
                <w:sz w:val="20"/>
                <w:szCs w:val="20"/>
                <w:color w:val="auto"/>
              </w:rPr>
            </w:pPr>
            <w:r>
              <w:rPr>
                <w:rFonts w:ascii="Arial" w:cs="Arial" w:eastAsia="Arial" w:hAnsi="Arial"/>
                <w:sz w:val="18"/>
                <w:szCs w:val="18"/>
                <w:color w:val="auto"/>
              </w:rPr>
              <w:t>88,943</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499,680</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CEEFF"/>
          </w:tcPr>
          <w:p>
            <w:pPr>
              <w:jc w:val="right"/>
              <w:ind w:right="38"/>
              <w:spacing w:after="0"/>
              <w:rPr>
                <w:sz w:val="20"/>
                <w:szCs w:val="20"/>
                <w:color w:val="auto"/>
              </w:rPr>
            </w:pPr>
            <w:r>
              <w:rPr>
                <w:rFonts w:ascii="Arial" w:cs="Arial" w:eastAsia="Arial" w:hAnsi="Arial"/>
                <w:sz w:val="18"/>
                <w:szCs w:val="18"/>
                <w:color w:val="auto"/>
              </w:rPr>
              <w:t>588,623</w:t>
            </w:r>
          </w:p>
        </w:tc>
        <w:tc>
          <w:tcPr>
            <w:tcW w:w="0" w:type="dxa"/>
            <w:vAlign w:val="bottom"/>
          </w:tcPr>
          <w:p>
            <w:pPr>
              <w:spacing w:after="0"/>
              <w:rPr>
                <w:sz w:val="1"/>
                <w:szCs w:val="1"/>
                <w:color w:val="auto"/>
              </w:rPr>
            </w:pPr>
          </w:p>
        </w:tc>
      </w:tr>
      <w:tr>
        <w:trPr>
          <w:trHeight w:val="20"/>
        </w:trPr>
        <w:tc>
          <w:tcPr>
            <w:tcW w:w="7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ind w:right="340"/>
        <w:spacing w:after="0" w:line="308" w:lineRule="auto"/>
        <w:rPr>
          <w:sz w:val="20"/>
          <w:szCs w:val="20"/>
          <w:color w:val="auto"/>
        </w:rPr>
      </w:pPr>
      <w:r>
        <w:rPr>
          <w:rFonts w:ascii="Arial" w:cs="Arial" w:eastAsia="Arial" w:hAnsi="Arial"/>
          <w:sz w:val="17"/>
          <w:szCs w:val="17"/>
          <w:color w:val="auto"/>
        </w:rPr>
        <w:t>Estimated amortization expense on intangible assets with finite lives, before income taxes, as of March 31, 2014, is expected to total $13.4 million for the remainder of 2014, $13.0 million for 2015, $11.4 million for 2016, $9.6 million for 2017, $7.2 million for 2018 and $6.3 million for 2019.</w:t>
      </w:r>
    </w:p>
    <w:p>
      <w:pPr>
        <w:spacing w:after="0" w:line="38"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The Company’s annual goodwill impairment test is performed during the fourth quarter of its fiscal year. The annual impairment test for the year ended December 31, 2013 resulted in the Company recording a non-cash goodwill impairment charge of $18.4 million during the fourth quarter of 2013 with respect to certain reporting units included in the Company's epay segment.</w:t>
      </w:r>
    </w:p>
    <w:p>
      <w:pPr>
        <w:spacing w:after="0" w:line="73"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Determining the fair value of reporting units requires significant management judgment in estimating future cash flows and assessing potential market and economic conditions. It is reasonably possible that the Company’s operations will not perform as expected, or that the estimates or assumptions included in the 2013 annual impairment test could change, which may result in the Company recording additional material non-cash impairment charges during the year in which these changes take place.</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ACCRUED EXPENSES AND OTHER CURRENT LIABILITIES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Accrued expenses and other current liabilities consist of the following:</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4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gridSpan w:val="5"/>
          </w:tcPr>
          <w:p>
            <w:pPr>
              <w:jc w:val="right"/>
              <w:ind w:right="130"/>
              <w:spacing w:after="0"/>
              <w:rPr>
                <w:sz w:val="20"/>
                <w:szCs w:val="20"/>
                <w:color w:val="auto"/>
              </w:rPr>
            </w:pPr>
            <w:r>
              <w:rPr>
                <w:rFonts w:ascii="Arial" w:cs="Arial" w:eastAsia="Arial" w:hAnsi="Arial"/>
                <w:sz w:val="14"/>
                <w:szCs w:val="14"/>
                <w:b w:val="1"/>
                <w:bCs w:val="1"/>
                <w:color w:val="auto"/>
              </w:rPr>
              <w:t>As of</w:t>
            </w:r>
          </w:p>
        </w:tc>
        <w:tc>
          <w:tcPr>
            <w:tcW w:w="8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556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color w:val="auto"/>
              </w:rPr>
              <w:t>(in thousands)</w:t>
            </w:r>
          </w:p>
        </w:tc>
        <w:tc>
          <w:tcPr>
            <w:tcW w:w="20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rPr>
              <w:t>March 31, 2014</w:t>
            </w:r>
          </w:p>
        </w:tc>
        <w:tc>
          <w:tcPr>
            <w:tcW w:w="100" w:type="dxa"/>
            <w:vAlign w:val="bottom"/>
            <w:tcBorders>
              <w:bottom w:val="single" w:sz="8" w:color="CCEEFF"/>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gridSpan w:val="4"/>
          </w:tcPr>
          <w:p>
            <w:pPr>
              <w:jc w:val="right"/>
              <w:ind w:right="40"/>
              <w:spacing w:after="0"/>
              <w:rPr>
                <w:sz w:val="20"/>
                <w:szCs w:val="20"/>
                <w:color w:val="auto"/>
              </w:rPr>
            </w:pPr>
            <w:r>
              <w:rPr>
                <w:rFonts w:ascii="Arial" w:cs="Arial" w:eastAsia="Arial" w:hAnsi="Arial"/>
                <w:sz w:val="14"/>
                <w:szCs w:val="14"/>
                <w:b w:val="1"/>
                <w:bCs w:val="1"/>
                <w:color w:val="auto"/>
                <w:w w:val="93"/>
              </w:rPr>
              <w:t>December 31, 2013</w:t>
            </w:r>
          </w:p>
        </w:tc>
        <w:tc>
          <w:tcPr>
            <w:tcW w:w="0" w:type="dxa"/>
            <w:vAlign w:val="bottom"/>
          </w:tcPr>
          <w:p>
            <w:pPr>
              <w:spacing w:after="0"/>
              <w:rPr>
                <w:sz w:val="1"/>
                <w:szCs w:val="1"/>
                <w:color w:val="auto"/>
              </w:rPr>
            </w:pPr>
          </w:p>
        </w:tc>
      </w:tr>
      <w:tr>
        <w:trPr>
          <w:trHeight w:val="250"/>
        </w:trPr>
        <w:tc>
          <w:tcPr>
            <w:tcW w:w="55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Accrued expenses</w:t>
            </w: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83,775</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84,511</w:t>
            </w:r>
          </w:p>
        </w:tc>
        <w:tc>
          <w:tcPr>
            <w:tcW w:w="0" w:type="dxa"/>
            <w:vAlign w:val="bottom"/>
          </w:tcPr>
          <w:p>
            <w:pPr>
              <w:spacing w:after="0"/>
              <w:rPr>
                <w:sz w:val="1"/>
                <w:szCs w:val="1"/>
                <w:color w:val="auto"/>
              </w:rPr>
            </w:pPr>
          </w:p>
        </w:tc>
      </w:tr>
      <w:tr>
        <w:trPr>
          <w:trHeight w:val="243"/>
        </w:trPr>
        <w:tc>
          <w:tcPr>
            <w:tcW w:w="5560" w:type="dxa"/>
            <w:vAlign w:val="bottom"/>
            <w:gridSpan w:val="2"/>
          </w:tcPr>
          <w:p>
            <w:pPr>
              <w:ind w:left="40"/>
              <w:spacing w:after="0"/>
              <w:rPr>
                <w:sz w:val="20"/>
                <w:szCs w:val="20"/>
                <w:color w:val="auto"/>
              </w:rPr>
            </w:pPr>
            <w:r>
              <w:rPr>
                <w:rFonts w:ascii="Arial" w:cs="Arial" w:eastAsia="Arial" w:hAnsi="Arial"/>
                <w:sz w:val="18"/>
                <w:szCs w:val="18"/>
                <w:color w:val="auto"/>
                <w:w w:val="98"/>
              </w:rPr>
              <w:t>Accrued amounts due to mobile operators and other content providers</w:t>
            </w:r>
          </w:p>
        </w:tc>
        <w:tc>
          <w:tcPr>
            <w:tcW w:w="2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60" w:type="dxa"/>
            <w:vAlign w:val="bottom"/>
          </w:tcPr>
          <w:p>
            <w:pPr>
              <w:jc w:val="right"/>
              <w:ind w:right="33"/>
              <w:spacing w:after="0"/>
              <w:rPr>
                <w:sz w:val="20"/>
                <w:szCs w:val="20"/>
                <w:color w:val="auto"/>
              </w:rPr>
            </w:pPr>
            <w:r>
              <w:rPr>
                <w:rFonts w:ascii="Arial" w:cs="Arial" w:eastAsia="Arial" w:hAnsi="Arial"/>
                <w:sz w:val="18"/>
                <w:szCs w:val="18"/>
                <w:color w:val="auto"/>
              </w:rPr>
              <w:t>57,487</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78,398</w:t>
            </w:r>
          </w:p>
        </w:tc>
        <w:tc>
          <w:tcPr>
            <w:tcW w:w="0" w:type="dxa"/>
            <w:vAlign w:val="bottom"/>
          </w:tcPr>
          <w:p>
            <w:pPr>
              <w:spacing w:after="0"/>
              <w:rPr>
                <w:sz w:val="1"/>
                <w:szCs w:val="1"/>
                <w:color w:val="auto"/>
              </w:rPr>
            </w:pPr>
          </w:p>
        </w:tc>
      </w:tr>
      <w:tr>
        <w:trPr>
          <w:trHeight w:val="27"/>
        </w:trPr>
        <w:tc>
          <w:tcPr>
            <w:tcW w:w="5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5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Money transfer settlement obligations</w:t>
            </w: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62,694</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49,757</w:t>
            </w:r>
          </w:p>
        </w:tc>
        <w:tc>
          <w:tcPr>
            <w:tcW w:w="0" w:type="dxa"/>
            <w:vAlign w:val="bottom"/>
          </w:tcPr>
          <w:p>
            <w:pPr>
              <w:spacing w:after="0"/>
              <w:rPr>
                <w:sz w:val="1"/>
                <w:szCs w:val="1"/>
                <w:color w:val="auto"/>
              </w:rPr>
            </w:pPr>
          </w:p>
        </w:tc>
      </w:tr>
      <w:tr>
        <w:trPr>
          <w:trHeight w:val="243"/>
        </w:trPr>
        <w:tc>
          <w:tcPr>
            <w:tcW w:w="5560" w:type="dxa"/>
            <w:vAlign w:val="bottom"/>
            <w:gridSpan w:val="2"/>
          </w:tcPr>
          <w:p>
            <w:pPr>
              <w:ind w:left="40"/>
              <w:spacing w:after="0"/>
              <w:rPr>
                <w:sz w:val="20"/>
                <w:szCs w:val="20"/>
                <w:color w:val="auto"/>
              </w:rPr>
            </w:pPr>
            <w:r>
              <w:rPr>
                <w:rFonts w:ascii="Arial" w:cs="Arial" w:eastAsia="Arial" w:hAnsi="Arial"/>
                <w:sz w:val="18"/>
                <w:szCs w:val="18"/>
                <w:color w:val="auto"/>
              </w:rPr>
              <w:t>Deferred income taxes</w:t>
            </w:r>
          </w:p>
        </w:tc>
        <w:tc>
          <w:tcPr>
            <w:tcW w:w="2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60" w:type="dxa"/>
            <w:vAlign w:val="bottom"/>
          </w:tcPr>
          <w:p>
            <w:pPr>
              <w:jc w:val="right"/>
              <w:ind w:right="33"/>
              <w:spacing w:after="0"/>
              <w:rPr>
                <w:sz w:val="20"/>
                <w:szCs w:val="20"/>
                <w:color w:val="auto"/>
              </w:rPr>
            </w:pPr>
            <w:r>
              <w:rPr>
                <w:rFonts w:ascii="Arial" w:cs="Arial" w:eastAsia="Arial" w:hAnsi="Arial"/>
                <w:sz w:val="18"/>
                <w:szCs w:val="18"/>
                <w:color w:val="auto"/>
              </w:rPr>
              <w:t>816</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618</w:t>
            </w:r>
          </w:p>
        </w:tc>
        <w:tc>
          <w:tcPr>
            <w:tcW w:w="0" w:type="dxa"/>
            <w:vAlign w:val="bottom"/>
          </w:tcPr>
          <w:p>
            <w:pPr>
              <w:spacing w:after="0"/>
              <w:rPr>
                <w:sz w:val="1"/>
                <w:szCs w:val="1"/>
                <w:color w:val="auto"/>
              </w:rPr>
            </w:pPr>
          </w:p>
        </w:tc>
      </w:tr>
      <w:tr>
        <w:trPr>
          <w:trHeight w:val="27"/>
        </w:trPr>
        <w:tc>
          <w:tcPr>
            <w:tcW w:w="54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8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6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55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Total</w:t>
            </w:r>
          </w:p>
        </w:tc>
        <w:tc>
          <w:tcPr>
            <w:tcW w:w="200" w:type="dxa"/>
            <w:vAlign w:val="bottom"/>
            <w:shd w:val="clear" w:color="auto" w:fill="CCEEFF"/>
          </w:tcPr>
          <w:p>
            <w:pPr>
              <w:spacing w:after="0"/>
              <w:rPr>
                <w:sz w:val="22"/>
                <w:szCs w:val="22"/>
                <w:color w:val="auto"/>
              </w:rPr>
            </w:pPr>
          </w:p>
        </w:tc>
        <w:tc>
          <w:tcPr>
            <w:tcW w:w="8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8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92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2"/>
                <w:szCs w:val="22"/>
                <w:color w:val="auto"/>
              </w:rPr>
            </w:pPr>
          </w:p>
        </w:tc>
        <w:tc>
          <w:tcPr>
            <w:tcW w:w="96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204,772</w:t>
            </w:r>
          </w:p>
        </w:tc>
        <w:tc>
          <w:tcPr>
            <w:tcW w:w="100" w:type="dxa"/>
            <w:vAlign w:val="bottom"/>
            <w:shd w:val="clear" w:color="auto" w:fill="CCEEFF"/>
          </w:tcPr>
          <w:p>
            <w:pPr>
              <w:spacing w:after="0"/>
              <w:rPr>
                <w:sz w:val="22"/>
                <w:szCs w:val="22"/>
                <w:color w:val="auto"/>
              </w:rPr>
            </w:pP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220" w:type="dxa"/>
            <w:vAlign w:val="bottom"/>
            <w:shd w:val="clear" w:color="auto" w:fill="CCEEFF"/>
          </w:tcPr>
          <w:p>
            <w:pPr>
              <w:spacing w:after="0"/>
              <w:rPr>
                <w:sz w:val="22"/>
                <w:szCs w:val="22"/>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213,284</w:t>
            </w:r>
          </w:p>
        </w:tc>
        <w:tc>
          <w:tcPr>
            <w:tcW w:w="0" w:type="dxa"/>
            <w:vAlign w:val="bottom"/>
          </w:tcPr>
          <w:p>
            <w:pPr>
              <w:spacing w:after="0"/>
              <w:rPr>
                <w:sz w:val="1"/>
                <w:szCs w:val="1"/>
                <w:color w:val="auto"/>
              </w:rPr>
            </w:pPr>
          </w:p>
        </w:tc>
      </w:tr>
      <w:tr>
        <w:trPr>
          <w:trHeight w:val="20"/>
        </w:trPr>
        <w:tc>
          <w:tcPr>
            <w:tcW w:w="5560" w:type="dxa"/>
            <w:vAlign w:val="bottom"/>
            <w:tcBorders>
              <w:top w:val="single" w:sz="8" w:color="CCEEFF"/>
              <w:bottom w:val="single" w:sz="8" w:color="CCEEFF"/>
            </w:tcBorders>
            <w:gridSpan w:val="2"/>
            <w:vMerge w:val="restart"/>
          </w:tcPr>
          <w:p>
            <w:pPr>
              <w:spacing w:after="0"/>
              <w:rPr>
                <w:sz w:val="20"/>
                <w:szCs w:val="20"/>
                <w:color w:val="auto"/>
              </w:rPr>
            </w:pPr>
            <w:r>
              <w:rPr>
                <w:rFonts w:ascii="Arial" w:cs="Arial" w:eastAsia="Arial" w:hAnsi="Arial"/>
                <w:sz w:val="18"/>
                <w:szCs w:val="18"/>
                <w:b w:val="1"/>
                <w:bCs w:val="1"/>
                <w:color w:val="auto"/>
              </w:rPr>
              <w:t>(7) DEBT OBLIGATIONS</w:t>
            </w:r>
          </w:p>
        </w:tc>
        <w:tc>
          <w:tcPr>
            <w:tcW w:w="20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9"/>
        </w:trPr>
        <w:tc>
          <w:tcPr>
            <w:tcW w:w="5560" w:type="dxa"/>
            <w:vAlign w:val="bottom"/>
            <w:gridSpan w:val="2"/>
            <w:vMerge w:val="continue"/>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7820" w:type="dxa"/>
            <w:vAlign w:val="bottom"/>
            <w:gridSpan w:val="8"/>
          </w:tcPr>
          <w:p>
            <w:pPr>
              <w:spacing w:after="0"/>
              <w:rPr>
                <w:sz w:val="20"/>
                <w:szCs w:val="20"/>
                <w:color w:val="auto"/>
              </w:rPr>
            </w:pPr>
            <w:r>
              <w:rPr>
                <w:rFonts w:ascii="Arial" w:cs="Arial" w:eastAsia="Arial" w:hAnsi="Arial"/>
                <w:sz w:val="18"/>
                <w:szCs w:val="18"/>
                <w:color w:val="auto"/>
                <w:w w:val="96"/>
              </w:rPr>
              <w:t>A summary of debt obligation activity for the three months ended March 31, 2014 is presented below:</w:t>
            </w:r>
          </w:p>
        </w:tc>
        <w:tc>
          <w:tcPr>
            <w:tcW w:w="2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4"/>
        </w:trPr>
        <w:tc>
          <w:tcPr>
            <w:tcW w:w="5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2"/>
              </w:rPr>
              <w:t>Revolving</w:t>
            </w:r>
          </w:p>
        </w:tc>
        <w:tc>
          <w:tcPr>
            <w:tcW w:w="120" w:type="dxa"/>
            <w:vAlign w:val="bottom"/>
          </w:tcPr>
          <w:p>
            <w:pPr>
              <w:spacing w:after="0"/>
              <w:rPr>
                <w:sz w:val="24"/>
                <w:szCs w:val="24"/>
                <w:color w:val="auto"/>
              </w:rPr>
            </w:pPr>
          </w:p>
        </w:tc>
        <w:tc>
          <w:tcPr>
            <w:tcW w:w="100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Other Debt</w:t>
            </w:r>
          </w:p>
        </w:tc>
        <w:tc>
          <w:tcPr>
            <w:tcW w:w="200" w:type="dxa"/>
            <w:vAlign w:val="bottom"/>
          </w:tcPr>
          <w:p>
            <w:pPr>
              <w:spacing w:after="0"/>
              <w:rPr>
                <w:sz w:val="24"/>
                <w:szCs w:val="24"/>
                <w:color w:val="auto"/>
              </w:rPr>
            </w:pPr>
          </w:p>
        </w:tc>
        <w:tc>
          <w:tcPr>
            <w:tcW w:w="920" w:type="dxa"/>
            <w:vAlign w:val="bottom"/>
            <w:gridSpan w:val="4"/>
            <w:vMerge w:val="restart"/>
          </w:tcPr>
          <w:p>
            <w:pPr>
              <w:jc w:val="center"/>
              <w:ind w:right="320"/>
              <w:spacing w:after="0"/>
              <w:rPr>
                <w:sz w:val="20"/>
                <w:szCs w:val="20"/>
                <w:color w:val="auto"/>
              </w:rPr>
            </w:pPr>
            <w:r>
              <w:rPr>
                <w:rFonts w:ascii="Arial" w:cs="Arial" w:eastAsia="Arial" w:hAnsi="Arial"/>
                <w:sz w:val="14"/>
                <w:szCs w:val="14"/>
                <w:b w:val="1"/>
                <w:bCs w:val="1"/>
                <w:color w:val="auto"/>
                <w:w w:val="94"/>
              </w:rPr>
              <w:t>Capital</w:t>
            </w: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54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4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8"/>
              </w:rPr>
              <w:t>Credit</w:t>
            </w:r>
          </w:p>
        </w:tc>
        <w:tc>
          <w:tcPr>
            <w:tcW w:w="120" w:type="dxa"/>
            <w:vAlign w:val="bottom"/>
          </w:tcPr>
          <w:p>
            <w:pPr>
              <w:spacing w:after="0"/>
              <w:rPr>
                <w:sz w:val="12"/>
                <w:szCs w:val="12"/>
                <w:color w:val="auto"/>
              </w:rPr>
            </w:pPr>
          </w:p>
        </w:tc>
        <w:tc>
          <w:tcPr>
            <w:tcW w:w="100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gridSpan w:val="4"/>
            <w:vMerge w:val="continue"/>
          </w:tcPr>
          <w:p>
            <w:pPr>
              <w:spacing w:after="0"/>
              <w:rPr>
                <w:sz w:val="12"/>
                <w:szCs w:val="12"/>
                <w:color w:val="auto"/>
              </w:rPr>
            </w:pPr>
          </w:p>
        </w:tc>
        <w:tc>
          <w:tcPr>
            <w:tcW w:w="160" w:type="dxa"/>
            <w:vAlign w:val="bottom"/>
          </w:tcPr>
          <w:p>
            <w:pPr>
              <w:spacing w:after="0"/>
              <w:rPr>
                <w:sz w:val="12"/>
                <w:szCs w:val="12"/>
                <w:color w:val="auto"/>
              </w:rPr>
            </w:pPr>
          </w:p>
        </w:tc>
        <w:tc>
          <w:tcPr>
            <w:tcW w:w="1060" w:type="dxa"/>
            <w:vAlign w:val="bottom"/>
            <w:gridSpan w:val="2"/>
            <w:vMerge w:val="restart"/>
          </w:tcPr>
          <w:p>
            <w:pPr>
              <w:jc w:val="right"/>
              <w:ind w:right="200"/>
              <w:spacing w:after="0"/>
              <w:rPr>
                <w:sz w:val="20"/>
                <w:szCs w:val="20"/>
                <w:color w:val="auto"/>
              </w:rPr>
            </w:pPr>
            <w:r>
              <w:rPr>
                <w:rFonts w:ascii="Arial" w:cs="Arial" w:eastAsia="Arial" w:hAnsi="Arial"/>
                <w:sz w:val="14"/>
                <w:szCs w:val="14"/>
                <w:b w:val="1"/>
                <w:bCs w:val="1"/>
                <w:color w:val="auto"/>
                <w:w w:val="98"/>
              </w:rPr>
              <w:t>Term Loan A</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vMerge w:val="restart"/>
          </w:tcPr>
          <w:p>
            <w:pPr>
              <w:jc w:val="right"/>
              <w:ind w:right="271"/>
              <w:spacing w:after="0"/>
              <w:rPr>
                <w:sz w:val="20"/>
                <w:szCs w:val="20"/>
                <w:color w:val="auto"/>
              </w:rPr>
            </w:pPr>
            <w:r>
              <w:rPr>
                <w:rFonts w:ascii="Arial" w:cs="Arial" w:eastAsia="Arial" w:hAnsi="Arial"/>
                <w:sz w:val="14"/>
                <w:szCs w:val="14"/>
                <w:b w:val="1"/>
                <w:bCs w:val="1"/>
                <w:color w:val="auto"/>
              </w:rPr>
              <w:t>Total</w:t>
            </w:r>
          </w:p>
        </w:tc>
        <w:tc>
          <w:tcPr>
            <w:tcW w:w="120" w:type="dxa"/>
            <w:vAlign w:val="bottom"/>
            <w:vMerge w:val="restart"/>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5440" w:type="dxa"/>
            <w:vAlign w:val="bottom"/>
            <w:tcBorders>
              <w:bottom w:val="single" w:sz="8" w:color="auto"/>
            </w:tcBorders>
          </w:tcPr>
          <w:p>
            <w:pPr>
              <w:ind w:left="80"/>
              <w:spacing w:after="0"/>
              <w:rPr>
                <w:sz w:val="20"/>
                <w:szCs w:val="20"/>
                <w:color w:val="auto"/>
              </w:rPr>
            </w:pPr>
            <w:r>
              <w:rPr>
                <w:rFonts w:ascii="Arial" w:cs="Arial" w:eastAsia="Arial" w:hAnsi="Arial"/>
                <w:sz w:val="14"/>
                <w:szCs w:val="14"/>
                <w:color w:val="auto"/>
              </w:rPr>
              <w:t>(in thousands)</w:t>
            </w:r>
          </w:p>
        </w:tc>
        <w:tc>
          <w:tcPr>
            <w:tcW w:w="1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center"/>
              <w:ind w:right="116"/>
              <w:spacing w:after="0"/>
              <w:rPr>
                <w:sz w:val="20"/>
                <w:szCs w:val="20"/>
                <w:color w:val="auto"/>
              </w:rPr>
            </w:pPr>
            <w:r>
              <w:rPr>
                <w:rFonts w:ascii="Arial" w:cs="Arial" w:eastAsia="Arial" w:hAnsi="Arial"/>
                <w:sz w:val="14"/>
                <w:szCs w:val="14"/>
                <w:b w:val="1"/>
                <w:bCs w:val="1"/>
                <w:color w:val="auto"/>
                <w:w w:val="90"/>
              </w:rPr>
              <w:t>Facilities</w:t>
            </w:r>
          </w:p>
        </w:tc>
        <w:tc>
          <w:tcPr>
            <w:tcW w:w="1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Obligations</w:t>
            </w:r>
          </w:p>
        </w:tc>
        <w:tc>
          <w:tcPr>
            <w:tcW w:w="1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gridSpan w:val="3"/>
          </w:tcPr>
          <w:p>
            <w:pPr>
              <w:jc w:val="center"/>
              <w:ind w:right="200"/>
              <w:spacing w:after="0"/>
              <w:rPr>
                <w:sz w:val="20"/>
                <w:szCs w:val="20"/>
                <w:color w:val="auto"/>
              </w:rPr>
            </w:pPr>
            <w:r>
              <w:rPr>
                <w:rFonts w:ascii="Arial" w:cs="Arial" w:eastAsia="Arial" w:hAnsi="Arial"/>
                <w:sz w:val="14"/>
                <w:szCs w:val="14"/>
                <w:b w:val="1"/>
                <w:bCs w:val="1"/>
                <w:color w:val="auto"/>
                <w:w w:val="84"/>
              </w:rPr>
              <w:t>Leases</w:t>
            </w:r>
          </w:p>
        </w:tc>
        <w:tc>
          <w:tcPr>
            <w:tcW w:w="1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gridSpan w:val="2"/>
            <w:vMerge w:val="continue"/>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55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Balance at December 31, 2013</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129,010</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2,403</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5,233</w:t>
            </w: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68,000</w:t>
            </w:r>
          </w:p>
        </w:tc>
        <w:tc>
          <w:tcPr>
            <w:tcW w:w="340" w:type="dxa"/>
            <w:vAlign w:val="bottom"/>
            <w:tcBorders>
              <w:bottom w:val="single" w:sz="8" w:color="CCEEFF"/>
            </w:tcBorders>
            <w:gridSpan w:val="3"/>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204,646</w:t>
            </w: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560" w:type="dxa"/>
            <w:vAlign w:val="bottom"/>
            <w:gridSpan w:val="2"/>
          </w:tcPr>
          <w:p>
            <w:pPr>
              <w:ind w:left="40"/>
              <w:spacing w:after="0"/>
              <w:rPr>
                <w:sz w:val="20"/>
                <w:szCs w:val="20"/>
                <w:color w:val="auto"/>
              </w:rPr>
            </w:pPr>
            <w:r>
              <w:rPr>
                <w:rFonts w:ascii="Arial" w:cs="Arial" w:eastAsia="Arial" w:hAnsi="Arial"/>
                <w:sz w:val="18"/>
                <w:szCs w:val="18"/>
                <w:color w:val="auto"/>
              </w:rPr>
              <w:t>Increases (decreases):</w:t>
            </w:r>
          </w:p>
        </w:tc>
        <w:tc>
          <w:tcPr>
            <w:tcW w:w="2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80" w:type="dxa"/>
            <w:vAlign w:val="bottom"/>
            <w:gridSpan w:val="2"/>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gridSpan w:val="2"/>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56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Net borrowings (repayments)</w:t>
            </w: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42,426</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(1,337)</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(599)</w:t>
            </w: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(2,000)</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38,490</w:t>
            </w: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560" w:type="dxa"/>
            <w:vAlign w:val="bottom"/>
            <w:gridSpan w:val="2"/>
          </w:tcPr>
          <w:p>
            <w:pPr>
              <w:ind w:left="180"/>
              <w:spacing w:after="0"/>
              <w:rPr>
                <w:sz w:val="20"/>
                <w:szCs w:val="20"/>
                <w:color w:val="auto"/>
              </w:rPr>
            </w:pPr>
            <w:r>
              <w:rPr>
                <w:rFonts w:ascii="Arial" w:cs="Arial" w:eastAsia="Arial" w:hAnsi="Arial"/>
                <w:sz w:val="18"/>
                <w:szCs w:val="18"/>
                <w:color w:val="auto"/>
              </w:rPr>
              <w:t>Capital lease interest</w:t>
            </w:r>
          </w:p>
        </w:tc>
        <w:tc>
          <w:tcPr>
            <w:tcW w:w="2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80" w:type="dxa"/>
            <w:vAlign w:val="bottom"/>
            <w:gridSpan w:val="2"/>
          </w:tcPr>
          <w:p>
            <w:pPr>
              <w:jc w:val="right"/>
              <w:ind w:right="80"/>
              <w:spacing w:after="0"/>
              <w:rPr>
                <w:sz w:val="20"/>
                <w:szCs w:val="20"/>
                <w:color w:val="auto"/>
              </w:rPr>
            </w:pPr>
            <w:r>
              <w:rPr>
                <w:rFonts w:ascii="Arial" w:cs="Arial" w:eastAsia="Arial" w:hAnsi="Arial"/>
                <w:sz w:val="18"/>
                <w:szCs w:val="18"/>
                <w:color w:val="auto"/>
              </w:rPr>
              <w:t>79</w:t>
            </w: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ind w:right="11"/>
              <w:spacing w:after="0"/>
              <w:rPr>
                <w:sz w:val="20"/>
                <w:szCs w:val="20"/>
                <w:color w:val="auto"/>
              </w:rPr>
            </w:pPr>
            <w:r>
              <w:rPr>
                <w:rFonts w:ascii="Arial" w:cs="Arial" w:eastAsia="Arial" w:hAnsi="Arial"/>
                <w:sz w:val="18"/>
                <w:szCs w:val="18"/>
                <w:color w:val="auto"/>
              </w:rPr>
              <w:t>79</w:t>
            </w: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80" w:type="dxa"/>
            <w:vAlign w:val="bottom"/>
            <w:gridSpan w:val="2"/>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56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Foreign currency exchange (gain) loss</w:t>
            </w:r>
          </w:p>
        </w:tc>
        <w:tc>
          <w:tcPr>
            <w:tcW w:w="20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50</w:t>
            </w:r>
          </w:p>
        </w:tc>
        <w:tc>
          <w:tcPr>
            <w:tcW w:w="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(55)</w:t>
            </w:r>
          </w:p>
        </w:tc>
        <w:tc>
          <w:tcPr>
            <w:tcW w:w="1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5560" w:type="dxa"/>
            <w:vAlign w:val="bottom"/>
            <w:gridSpan w:val="2"/>
          </w:tcPr>
          <w:p>
            <w:pPr>
              <w:ind w:left="40"/>
              <w:spacing w:after="0"/>
              <w:rPr>
                <w:sz w:val="20"/>
                <w:szCs w:val="20"/>
                <w:color w:val="auto"/>
              </w:rPr>
            </w:pPr>
            <w:r>
              <w:rPr>
                <w:rFonts w:ascii="Arial" w:cs="Arial" w:eastAsia="Arial" w:hAnsi="Arial"/>
                <w:sz w:val="18"/>
                <w:szCs w:val="18"/>
                <w:color w:val="auto"/>
              </w:rPr>
              <w:t>Balance at March 31, 2014</w:t>
            </w:r>
          </w:p>
        </w:tc>
        <w:tc>
          <w:tcPr>
            <w:tcW w:w="20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jc w:val="right"/>
              <w:ind w:right="16"/>
              <w:spacing w:after="0"/>
              <w:rPr>
                <w:sz w:val="20"/>
                <w:szCs w:val="20"/>
                <w:color w:val="auto"/>
              </w:rPr>
            </w:pPr>
            <w:r>
              <w:rPr>
                <w:rFonts w:ascii="Arial" w:cs="Arial" w:eastAsia="Arial" w:hAnsi="Arial"/>
                <w:sz w:val="18"/>
                <w:szCs w:val="18"/>
                <w:color w:val="auto"/>
              </w:rPr>
              <w:t>171,384</w:t>
            </w:r>
          </w:p>
        </w:tc>
        <w:tc>
          <w:tcPr>
            <w:tcW w:w="12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1,013</w:t>
            </w:r>
          </w:p>
        </w:tc>
        <w:tc>
          <w:tcPr>
            <w:tcW w:w="1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gridSpan w:val="2"/>
          </w:tcPr>
          <w:p>
            <w:pPr>
              <w:jc w:val="right"/>
              <w:ind w:right="80"/>
              <w:spacing w:after="0"/>
              <w:rPr>
                <w:sz w:val="20"/>
                <w:szCs w:val="20"/>
                <w:color w:val="auto"/>
              </w:rPr>
            </w:pPr>
            <w:r>
              <w:rPr>
                <w:rFonts w:ascii="Arial" w:cs="Arial" w:eastAsia="Arial" w:hAnsi="Arial"/>
                <w:sz w:val="18"/>
                <w:szCs w:val="18"/>
                <w:color w:val="auto"/>
              </w:rPr>
              <w:t>4,763</w:t>
            </w:r>
          </w:p>
        </w:tc>
        <w:tc>
          <w:tcPr>
            <w:tcW w:w="2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gridSpan w:val="2"/>
          </w:tcPr>
          <w:p>
            <w:pPr>
              <w:jc w:val="right"/>
              <w:ind w:right="100"/>
              <w:spacing w:after="0"/>
              <w:rPr>
                <w:sz w:val="20"/>
                <w:szCs w:val="20"/>
                <w:color w:val="auto"/>
              </w:rPr>
            </w:pPr>
            <w:r>
              <w:rPr>
                <w:rFonts w:ascii="Arial" w:cs="Arial" w:eastAsia="Arial" w:hAnsi="Arial"/>
                <w:sz w:val="18"/>
                <w:szCs w:val="18"/>
                <w:color w:val="auto"/>
              </w:rPr>
              <w:t>66,000</w:t>
            </w:r>
          </w:p>
        </w:tc>
        <w:tc>
          <w:tcPr>
            <w:tcW w:w="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243,160</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80" w:type="dxa"/>
            <w:vAlign w:val="bottom"/>
            <w:gridSpan w:val="2"/>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gridSpan w:val="2"/>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5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Less — current maturities</w:t>
            </w:r>
          </w:p>
        </w:tc>
        <w:tc>
          <w:tcPr>
            <w:tcW w:w="2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(1,013)</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(2,309)</w:t>
            </w:r>
          </w:p>
        </w:tc>
        <w:tc>
          <w:tcPr>
            <w:tcW w:w="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(9,000)</w:t>
            </w:r>
          </w:p>
        </w:tc>
        <w:tc>
          <w:tcPr>
            <w:tcW w:w="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(12,322)</w:t>
            </w:r>
          </w:p>
        </w:tc>
        <w:tc>
          <w:tcPr>
            <w:tcW w:w="1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7"/>
        </w:trPr>
        <w:tc>
          <w:tcPr>
            <w:tcW w:w="5560" w:type="dxa"/>
            <w:vAlign w:val="bottom"/>
            <w:gridSpan w:val="2"/>
          </w:tcPr>
          <w:p>
            <w:pPr>
              <w:ind w:left="40"/>
              <w:spacing w:after="0"/>
              <w:rPr>
                <w:sz w:val="20"/>
                <w:szCs w:val="20"/>
                <w:color w:val="auto"/>
              </w:rPr>
            </w:pPr>
            <w:r>
              <w:rPr>
                <w:rFonts w:ascii="Arial" w:cs="Arial" w:eastAsia="Arial" w:hAnsi="Arial"/>
                <w:sz w:val="18"/>
                <w:szCs w:val="18"/>
                <w:color w:val="auto"/>
              </w:rPr>
              <w:t>Long-term obligations at March 31, 2014</w:t>
            </w: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Borders>
              <w:top w:val="single" w:sz="8" w:color="auto"/>
              <w:bottom w:val="single" w:sz="8" w:color="auto"/>
            </w:tcBorders>
          </w:tcPr>
          <w:p>
            <w:pPr>
              <w:jc w:val="right"/>
              <w:ind w:right="16"/>
              <w:spacing w:after="0"/>
              <w:rPr>
                <w:sz w:val="20"/>
                <w:szCs w:val="20"/>
                <w:color w:val="auto"/>
              </w:rPr>
            </w:pPr>
            <w:r>
              <w:rPr>
                <w:rFonts w:ascii="Arial" w:cs="Arial" w:eastAsia="Arial" w:hAnsi="Arial"/>
                <w:sz w:val="18"/>
                <w:szCs w:val="18"/>
                <w:color w:val="auto"/>
              </w:rPr>
              <w:t>171,384</w:t>
            </w:r>
          </w:p>
        </w:tc>
        <w:tc>
          <w:tcPr>
            <w:tcW w:w="120" w:type="dxa"/>
            <w:vAlign w:val="bottom"/>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bottom w:val="single" w:sz="8" w:color="auto"/>
            </w:tcBorders>
            <w:gridSpan w:val="2"/>
          </w:tcPr>
          <w:p>
            <w:pPr>
              <w:jc w:val="right"/>
              <w:ind w:right="80"/>
              <w:spacing w:after="0"/>
              <w:rPr>
                <w:sz w:val="20"/>
                <w:szCs w:val="20"/>
                <w:color w:val="auto"/>
              </w:rPr>
            </w:pPr>
            <w:r>
              <w:rPr>
                <w:rFonts w:ascii="Arial" w:cs="Arial" w:eastAsia="Arial" w:hAnsi="Arial"/>
                <w:sz w:val="18"/>
                <w:szCs w:val="18"/>
                <w:color w:val="auto"/>
              </w:rPr>
              <w:t>2,454</w:t>
            </w:r>
          </w:p>
        </w:tc>
        <w:tc>
          <w:tcPr>
            <w:tcW w:w="20" w:type="dxa"/>
            <w:vAlign w:val="bottom"/>
            <w:tcBorders>
              <w:top w:val="single" w:sz="8" w:color="auto"/>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060" w:type="dxa"/>
            <w:vAlign w:val="bottom"/>
            <w:tcBorders>
              <w:top w:val="single" w:sz="8" w:color="auto"/>
              <w:bottom w:val="single" w:sz="8" w:color="auto"/>
            </w:tcBorders>
            <w:gridSpan w:val="2"/>
          </w:tcPr>
          <w:p>
            <w:pPr>
              <w:jc w:val="right"/>
              <w:ind w:right="100"/>
              <w:spacing w:after="0"/>
              <w:rPr>
                <w:sz w:val="20"/>
                <w:szCs w:val="20"/>
                <w:color w:val="auto"/>
              </w:rPr>
            </w:pPr>
            <w:r>
              <w:rPr>
                <w:rFonts w:ascii="Arial" w:cs="Arial" w:eastAsia="Arial" w:hAnsi="Arial"/>
                <w:sz w:val="18"/>
                <w:szCs w:val="18"/>
                <w:color w:val="auto"/>
              </w:rPr>
              <w:t>57,000</w:t>
            </w:r>
          </w:p>
        </w:tc>
        <w:tc>
          <w:tcPr>
            <w:tcW w:w="20" w:type="dxa"/>
            <w:vAlign w:val="bottom"/>
            <w:tcBorders>
              <w:top w:val="single" w:sz="8" w:color="auto"/>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230,838</w:t>
            </w:r>
          </w:p>
        </w:tc>
        <w:tc>
          <w:tcPr>
            <w:tcW w:w="1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5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62"/>
        </w:trPr>
        <w:tc>
          <w:tcPr>
            <w:tcW w:w="5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rPr>
              <w:t>9</w:t>
            </w: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9" w:name="page10"/>
    <w:bookmarkEnd w:id="9"/>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Credit Facility</w:t>
      </w:r>
    </w:p>
    <w:p>
      <w:pPr>
        <w:spacing w:after="0" w:line="117" w:lineRule="exact"/>
        <w:rPr>
          <w:sz w:val="20"/>
          <w:szCs w:val="20"/>
          <w:color w:val="auto"/>
        </w:rPr>
      </w:pPr>
    </w:p>
    <w:p>
      <w:pPr>
        <w:ind w:right="400"/>
        <w:spacing w:after="0" w:line="308" w:lineRule="auto"/>
        <w:rPr>
          <w:sz w:val="20"/>
          <w:szCs w:val="20"/>
          <w:color w:val="auto"/>
        </w:rPr>
      </w:pPr>
      <w:r>
        <w:rPr>
          <w:rFonts w:ascii="Arial" w:cs="Arial" w:eastAsia="Arial" w:hAnsi="Arial"/>
          <w:sz w:val="17"/>
          <w:szCs w:val="17"/>
          <w:color w:val="auto"/>
        </w:rPr>
        <w:t>As of March 31, 2014, the Company had a $480 million senior secured credit facility (the "Credit Facility") consisting of a $400 million revolving credit facility and an $80 million term loan (which has been reduced to $66 million through principal amortization payments) ("Term Loan A").</w:t>
      </w:r>
    </w:p>
    <w:p>
      <w:pPr>
        <w:spacing w:after="0" w:line="38" w:lineRule="exact"/>
        <w:rPr>
          <w:sz w:val="20"/>
          <w:szCs w:val="20"/>
          <w:color w:val="auto"/>
        </w:rPr>
      </w:pPr>
    </w:p>
    <w:p>
      <w:pPr>
        <w:ind w:right="40"/>
        <w:spacing w:after="0" w:line="276" w:lineRule="auto"/>
        <w:rPr>
          <w:sz w:val="20"/>
          <w:szCs w:val="20"/>
          <w:color w:val="auto"/>
        </w:rPr>
      </w:pPr>
      <w:r>
        <w:rPr>
          <w:rFonts w:ascii="Arial" w:cs="Arial" w:eastAsia="Arial" w:hAnsi="Arial"/>
          <w:sz w:val="17"/>
          <w:szCs w:val="17"/>
          <w:color w:val="auto"/>
        </w:rPr>
        <w:t>Interest on borrowings under the revolving credit facility and Term Loan A vary based upon the Company's consolidated total leverage ratio, as defined in the Company's Amended and Restated Credit Agreement ("Credit Agreement"), and during the first quarter of fiscal 2014 was based on a margin over London Inter-Bank Offered Rate (“LIBOR”) or a margin over a base rate, as selected by the Company, with the applicable margin ranging from 1.5% to 2.5% for LIBOR loans or 0.5% to 1.5% for base rate loans. Accordingly, the weighted average interest rate for borrowings outstanding under the Company's revolving credit facility and Term Loan A was 1.77% and 1.65%, respectively, as of March 31, 2014.</w:t>
      </w:r>
    </w:p>
    <w:p>
      <w:pPr>
        <w:spacing w:after="0" w:line="64" w:lineRule="exact"/>
        <w:rPr>
          <w:sz w:val="20"/>
          <w:szCs w:val="20"/>
          <w:color w:val="auto"/>
        </w:rPr>
      </w:pPr>
    </w:p>
    <w:p>
      <w:pPr>
        <w:ind w:right="20"/>
        <w:spacing w:after="0" w:line="312" w:lineRule="auto"/>
        <w:rPr>
          <w:sz w:val="20"/>
          <w:szCs w:val="20"/>
          <w:color w:val="auto"/>
        </w:rPr>
      </w:pPr>
      <w:r>
        <w:rPr>
          <w:rFonts w:ascii="Arial" w:cs="Arial" w:eastAsia="Arial" w:hAnsi="Arial"/>
          <w:sz w:val="16"/>
          <w:szCs w:val="16"/>
          <w:color w:val="252525"/>
        </w:rPr>
        <w:t xml:space="preserve">On April 9, 2014, the Company amended and restated the Credit Agreement to, among other things, </w:t>
      </w:r>
      <w:r>
        <w:rPr>
          <w:rFonts w:ascii="Arial" w:cs="Arial" w:eastAsia="Arial" w:hAnsi="Arial"/>
          <w:sz w:val="16"/>
          <w:szCs w:val="16"/>
          <w:color w:val="000000"/>
        </w:rPr>
        <w:t>(i) increase the amount of Term Loan A from $66 million</w:t>
      </w:r>
      <w:r>
        <w:rPr>
          <w:rFonts w:ascii="Arial" w:cs="Arial" w:eastAsia="Arial" w:hAnsi="Arial"/>
          <w:sz w:val="16"/>
          <w:szCs w:val="16"/>
          <w:color w:val="252525"/>
        </w:rPr>
        <w:t xml:space="preserve"> </w:t>
      </w:r>
      <w:r>
        <w:rPr>
          <w:rFonts w:ascii="Arial" w:cs="Arial" w:eastAsia="Arial" w:hAnsi="Arial"/>
          <w:sz w:val="16"/>
          <w:szCs w:val="16"/>
          <w:color w:val="000000"/>
        </w:rPr>
        <w:t>to $75 million, (ii) increase the aggregate credit commitments under the revolving credit facility from $400 million to $600 million, (iii) reduce the margin over the LIBOR rate and base rate by 12.5 basis points, and (iv) extend the expiration date of the Credit Agreement from August 18, 2016 to April 9, 2019.</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DERIVATIVE INSTRUMENTS AND HEDGING ACTIVITIES</w:t>
      </w:r>
    </w:p>
    <w:p>
      <w:pPr>
        <w:spacing w:after="0" w:line="229" w:lineRule="exact"/>
        <w:rPr>
          <w:sz w:val="20"/>
          <w:szCs w:val="20"/>
          <w:color w:val="auto"/>
        </w:rPr>
      </w:pPr>
    </w:p>
    <w:p>
      <w:pPr>
        <w:ind w:right="40"/>
        <w:spacing w:after="0" w:line="289" w:lineRule="auto"/>
        <w:rPr>
          <w:sz w:val="20"/>
          <w:szCs w:val="20"/>
          <w:color w:val="auto"/>
        </w:rPr>
      </w:pPr>
      <w:r>
        <w:rPr>
          <w:rFonts w:ascii="Arial" w:cs="Arial" w:eastAsia="Arial" w:hAnsi="Arial"/>
          <w:sz w:val="16"/>
          <w:szCs w:val="16"/>
          <w:color w:val="auto"/>
        </w:rPr>
        <w:t xml:space="preserve">As of March 31, 2014, the Company had foreign currency forward contracts outstanding with a notional value of $136 million, primarily in Australian dollars, British pounds, euros and Mexican pesos, which were not designated as hedges and had a weighted average remaining maturity of two days. Although the Company enters into foreign currency contracts to offset foreign currency exposure related to the notional value of money transfer transactions collected in currencies other than the U.S. dollar and, on occasion, short-term loans payable in currencies other than the U.S. dollar, they are not designated as hedges under ASC Topic 815, </w:t>
      </w:r>
      <w:r>
        <w:rPr>
          <w:rFonts w:ascii="Arial" w:cs="Arial" w:eastAsia="Arial" w:hAnsi="Arial"/>
          <w:sz w:val="16"/>
          <w:szCs w:val="16"/>
          <w:i w:val="1"/>
          <w:iCs w:val="1"/>
          <w:color w:val="auto"/>
        </w:rPr>
        <w:t>Derivatives and Hedging</w:t>
      </w:r>
      <w:r>
        <w:rPr>
          <w:rFonts w:ascii="Arial" w:cs="Arial" w:eastAsia="Arial" w:hAnsi="Arial"/>
          <w:sz w:val="16"/>
          <w:szCs w:val="16"/>
          <w:color w:val="auto"/>
        </w:rPr>
        <w:t>. This is mainly due to the relatively short duration of the contracts, typically one to 14 days, and the frequency with which the Company enters into them. Due to the short duration of the contracts and the Company’s credit profile, the Company is generally not required to post collateral with respect to its foreign currency forward contracts. The Company's derivative contracts are executed with counterparties governed by an International Swaps and Derivatives Association agreement that includes standard netting arrangements; therefore, asset and liability positions from forward contracts and all other foreign exchange transactions with the same counterparty are net settled upon maturity.</w:t>
      </w:r>
    </w:p>
    <w:p>
      <w:pPr>
        <w:spacing w:after="0" w:line="59" w:lineRule="exact"/>
        <w:rPr>
          <w:sz w:val="20"/>
          <w:szCs w:val="20"/>
          <w:color w:val="auto"/>
        </w:rPr>
      </w:pPr>
    </w:p>
    <w:p>
      <w:pPr>
        <w:spacing w:after="0"/>
        <w:rPr>
          <w:sz w:val="20"/>
          <w:szCs w:val="20"/>
          <w:color w:val="auto"/>
        </w:rPr>
      </w:pPr>
      <w:r>
        <w:rPr>
          <w:rFonts w:ascii="Arial" w:cs="Arial" w:eastAsia="Arial" w:hAnsi="Arial"/>
          <w:sz w:val="18"/>
          <w:szCs w:val="18"/>
          <w:color w:val="auto"/>
        </w:rPr>
        <w:t>The required tabular disclosures for derivative instruments are as follows:</w:t>
      </w:r>
    </w:p>
    <w:p>
      <w:pPr>
        <w:spacing w:after="0" w:line="150"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160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2520" w:type="dxa"/>
            <w:vAlign w:val="bottom"/>
            <w:gridSpan w:val="2"/>
            <w:vMerge w:val="restart"/>
          </w:tcPr>
          <w:p>
            <w:pPr>
              <w:jc w:val="right"/>
              <w:ind w:right="68"/>
              <w:spacing w:after="0"/>
              <w:rPr>
                <w:sz w:val="20"/>
                <w:szCs w:val="20"/>
                <w:color w:val="auto"/>
              </w:rPr>
            </w:pPr>
            <w:r>
              <w:rPr>
                <w:rFonts w:ascii="Arial" w:cs="Arial" w:eastAsia="Arial" w:hAnsi="Arial"/>
                <w:sz w:val="14"/>
                <w:szCs w:val="14"/>
                <w:b w:val="1"/>
                <w:bCs w:val="1"/>
                <w:color w:val="auto"/>
                <w:w w:val="95"/>
              </w:rPr>
              <w:t>Gross Amount of Recognized Assets</w:t>
            </w:r>
          </w:p>
        </w:tc>
        <w:tc>
          <w:tcPr>
            <w:tcW w:w="120" w:type="dxa"/>
            <w:vAlign w:val="bottom"/>
            <w:vMerge w:val="restart"/>
          </w:tcPr>
          <w:p>
            <w:pPr>
              <w:spacing w:after="0"/>
              <w:rPr>
                <w:sz w:val="14"/>
                <w:szCs w:val="14"/>
                <w:color w:val="auto"/>
              </w:rPr>
            </w:pPr>
          </w:p>
        </w:tc>
        <w:tc>
          <w:tcPr>
            <w:tcW w:w="2580" w:type="dxa"/>
            <w:vAlign w:val="bottom"/>
            <w:gridSpan w:val="3"/>
          </w:tcPr>
          <w:p>
            <w:pPr>
              <w:jc w:val="center"/>
              <w:ind w:right="80"/>
              <w:spacing w:after="0"/>
              <w:rPr>
                <w:sz w:val="20"/>
                <w:szCs w:val="20"/>
                <w:color w:val="auto"/>
              </w:rPr>
            </w:pPr>
            <w:r>
              <w:rPr>
                <w:rFonts w:ascii="Arial" w:cs="Arial" w:eastAsia="Arial" w:hAnsi="Arial"/>
                <w:sz w:val="14"/>
                <w:szCs w:val="14"/>
                <w:b w:val="1"/>
                <w:bCs w:val="1"/>
                <w:color w:val="auto"/>
                <w:w w:val="93"/>
              </w:rPr>
              <w:t>Gross Amount of Offset in the</w:t>
            </w:r>
          </w:p>
        </w:tc>
        <w:tc>
          <w:tcPr>
            <w:tcW w:w="2500" w:type="dxa"/>
            <w:vAlign w:val="bottom"/>
            <w:gridSpan w:val="2"/>
          </w:tcPr>
          <w:p>
            <w:pPr>
              <w:jc w:val="center"/>
              <w:spacing w:after="0"/>
              <w:rPr>
                <w:sz w:val="20"/>
                <w:szCs w:val="20"/>
                <w:color w:val="auto"/>
              </w:rPr>
            </w:pPr>
            <w:r>
              <w:rPr>
                <w:rFonts w:ascii="Arial" w:cs="Arial" w:eastAsia="Arial" w:hAnsi="Arial"/>
                <w:sz w:val="14"/>
                <w:szCs w:val="14"/>
                <w:b w:val="1"/>
                <w:bCs w:val="1"/>
                <w:color w:val="auto"/>
                <w:w w:val="91"/>
              </w:rPr>
              <w:t>Net Amount of Assets Presented in the</w:t>
            </w:r>
          </w:p>
        </w:tc>
        <w:tc>
          <w:tcPr>
            <w:tcW w:w="0" w:type="dxa"/>
            <w:vAlign w:val="bottom"/>
          </w:tcPr>
          <w:p>
            <w:pPr>
              <w:spacing w:after="0"/>
              <w:rPr>
                <w:sz w:val="1"/>
                <w:szCs w:val="1"/>
                <w:color w:val="auto"/>
              </w:rPr>
            </w:pPr>
          </w:p>
        </w:tc>
      </w:tr>
      <w:tr>
        <w:trPr>
          <w:trHeight w:val="192"/>
        </w:trPr>
        <w:tc>
          <w:tcPr>
            <w:tcW w:w="1600" w:type="dxa"/>
            <w:vAlign w:val="bottom"/>
          </w:tcPr>
          <w:p>
            <w:pPr>
              <w:spacing w:after="0"/>
              <w:rPr>
                <w:sz w:val="16"/>
                <w:szCs w:val="16"/>
                <w:color w:val="auto"/>
              </w:rPr>
            </w:pPr>
          </w:p>
        </w:tc>
        <w:tc>
          <w:tcPr>
            <w:tcW w:w="2040" w:type="dxa"/>
            <w:vAlign w:val="bottom"/>
          </w:tcPr>
          <w:p>
            <w:pPr>
              <w:spacing w:after="0"/>
              <w:rPr>
                <w:sz w:val="16"/>
                <w:szCs w:val="16"/>
                <w:color w:val="auto"/>
              </w:rPr>
            </w:pPr>
          </w:p>
        </w:tc>
        <w:tc>
          <w:tcPr>
            <w:tcW w:w="2520" w:type="dxa"/>
            <w:vAlign w:val="bottom"/>
            <w:tcBorders>
              <w:bottom w:val="single" w:sz="8" w:color="auto"/>
            </w:tcBorders>
            <w:gridSpan w:val="2"/>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248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89"/>
              </w:rPr>
              <w:t>Consolidated Balance Sheets</w:t>
            </w:r>
          </w:p>
        </w:tc>
        <w:tc>
          <w:tcPr>
            <w:tcW w:w="100" w:type="dxa"/>
            <w:vAlign w:val="bottom"/>
          </w:tcPr>
          <w:p>
            <w:pPr>
              <w:spacing w:after="0"/>
              <w:rPr>
                <w:sz w:val="16"/>
                <w:szCs w:val="16"/>
                <w:color w:val="auto"/>
              </w:rPr>
            </w:pPr>
          </w:p>
        </w:tc>
        <w:tc>
          <w:tcPr>
            <w:tcW w:w="250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89"/>
              </w:rPr>
              <w:t>Consolidated Balance Sheets</w:t>
            </w:r>
          </w:p>
        </w:tc>
        <w:tc>
          <w:tcPr>
            <w:tcW w:w="0" w:type="dxa"/>
            <w:vAlign w:val="bottom"/>
          </w:tcPr>
          <w:p>
            <w:pPr>
              <w:spacing w:after="0"/>
              <w:rPr>
                <w:sz w:val="1"/>
                <w:szCs w:val="1"/>
                <w:color w:val="auto"/>
              </w:rPr>
            </w:pPr>
          </w:p>
        </w:tc>
      </w:tr>
      <w:tr>
        <w:trPr>
          <w:trHeight w:val="139"/>
        </w:trPr>
        <w:tc>
          <w:tcPr>
            <w:tcW w:w="1600" w:type="dxa"/>
            <w:vAlign w:val="bottom"/>
          </w:tcPr>
          <w:p>
            <w:pPr>
              <w:spacing w:after="0"/>
              <w:rPr>
                <w:sz w:val="12"/>
                <w:szCs w:val="12"/>
                <w:color w:val="auto"/>
              </w:rPr>
            </w:pPr>
          </w:p>
        </w:tc>
        <w:tc>
          <w:tcPr>
            <w:tcW w:w="2040" w:type="dxa"/>
            <w:vAlign w:val="bottom"/>
          </w:tcPr>
          <w:p>
            <w:pPr>
              <w:jc w:val="center"/>
              <w:ind w:left="348"/>
              <w:spacing w:after="0" w:line="139" w:lineRule="exact"/>
              <w:rPr>
                <w:sz w:val="20"/>
                <w:szCs w:val="20"/>
                <w:color w:val="auto"/>
              </w:rPr>
            </w:pPr>
            <w:r>
              <w:rPr>
                <w:rFonts w:ascii="Arial" w:cs="Arial" w:eastAsia="Arial" w:hAnsi="Arial"/>
                <w:sz w:val="14"/>
                <w:szCs w:val="14"/>
                <w:b w:val="1"/>
                <w:bCs w:val="1"/>
                <w:color w:val="auto"/>
                <w:w w:val="92"/>
              </w:rPr>
              <w:t>Consolidated</w:t>
            </w:r>
          </w:p>
        </w:tc>
        <w:tc>
          <w:tcPr>
            <w:tcW w:w="12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9"/>
              </w:rPr>
              <w:t>March 31,</w:t>
            </w:r>
          </w:p>
        </w:tc>
        <w:tc>
          <w:tcPr>
            <w:tcW w:w="1400" w:type="dxa"/>
            <w:vAlign w:val="bottom"/>
            <w:gridSpan w:val="2"/>
            <w:vMerge w:val="restart"/>
          </w:tcPr>
          <w:p>
            <w:pPr>
              <w:jc w:val="right"/>
              <w:ind w:right="260"/>
              <w:spacing w:after="0"/>
              <w:rPr>
                <w:sz w:val="20"/>
                <w:szCs w:val="20"/>
                <w:color w:val="auto"/>
              </w:rPr>
            </w:pPr>
            <w:r>
              <w:rPr>
                <w:rFonts w:ascii="Arial" w:cs="Arial" w:eastAsia="Arial" w:hAnsi="Arial"/>
                <w:sz w:val="14"/>
                <w:szCs w:val="14"/>
                <w:b w:val="1"/>
                <w:bCs w:val="1"/>
                <w:color w:val="auto"/>
              </w:rPr>
              <w:t>December 31,</w:t>
            </w:r>
          </w:p>
        </w:tc>
        <w:tc>
          <w:tcPr>
            <w:tcW w:w="12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9"/>
              </w:rPr>
              <w:t>March 31,</w:t>
            </w:r>
          </w:p>
        </w:tc>
        <w:tc>
          <w:tcPr>
            <w:tcW w:w="1360" w:type="dxa"/>
            <w:vAlign w:val="bottom"/>
            <w:gridSpan w:val="2"/>
            <w:vMerge w:val="restart"/>
          </w:tcPr>
          <w:p>
            <w:pPr>
              <w:jc w:val="center"/>
              <w:spacing w:after="0"/>
              <w:rPr>
                <w:sz w:val="20"/>
                <w:szCs w:val="20"/>
                <w:color w:val="auto"/>
              </w:rPr>
            </w:pPr>
            <w:r>
              <w:rPr>
                <w:rFonts w:ascii="Arial" w:cs="Arial" w:eastAsia="Arial" w:hAnsi="Arial"/>
                <w:sz w:val="14"/>
                <w:szCs w:val="14"/>
                <w:b w:val="1"/>
                <w:bCs w:val="1"/>
                <w:color w:val="auto"/>
                <w:w w:val="92"/>
              </w:rPr>
              <w:t>December 31,</w:t>
            </w:r>
          </w:p>
        </w:tc>
        <w:tc>
          <w:tcPr>
            <w:tcW w:w="12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5"/>
              </w:rPr>
              <w:t>March 31,</w:t>
            </w:r>
          </w:p>
        </w:tc>
        <w:tc>
          <w:tcPr>
            <w:tcW w:w="1280" w:type="dxa"/>
            <w:vAlign w:val="bottom"/>
            <w:vMerge w:val="restart"/>
          </w:tcPr>
          <w:p>
            <w:pPr>
              <w:jc w:val="center"/>
              <w:ind w:left="48"/>
              <w:spacing w:after="0"/>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149"/>
        </w:trPr>
        <w:tc>
          <w:tcPr>
            <w:tcW w:w="1600" w:type="dxa"/>
            <w:vAlign w:val="bottom"/>
          </w:tcPr>
          <w:p>
            <w:pPr>
              <w:spacing w:after="0"/>
              <w:rPr>
                <w:sz w:val="12"/>
                <w:szCs w:val="12"/>
                <w:color w:val="auto"/>
              </w:rPr>
            </w:pPr>
          </w:p>
        </w:tc>
        <w:tc>
          <w:tcPr>
            <w:tcW w:w="2040" w:type="dxa"/>
            <w:vAlign w:val="bottom"/>
          </w:tcPr>
          <w:p>
            <w:pPr>
              <w:jc w:val="center"/>
              <w:ind w:left="348"/>
              <w:spacing w:after="0" w:line="149" w:lineRule="exact"/>
              <w:rPr>
                <w:sz w:val="20"/>
                <w:szCs w:val="20"/>
                <w:color w:val="auto"/>
              </w:rPr>
            </w:pPr>
            <w:r>
              <w:rPr>
                <w:rFonts w:ascii="Arial" w:cs="Arial" w:eastAsia="Arial" w:hAnsi="Arial"/>
                <w:sz w:val="14"/>
                <w:szCs w:val="14"/>
                <w:b w:val="1"/>
                <w:bCs w:val="1"/>
                <w:color w:val="auto"/>
                <w:w w:val="93"/>
              </w:rPr>
              <w:t>Balance</w:t>
            </w:r>
          </w:p>
        </w:tc>
        <w:tc>
          <w:tcPr>
            <w:tcW w:w="1240" w:type="dxa"/>
            <w:vAlign w:val="bottom"/>
            <w:vMerge w:val="continue"/>
          </w:tcPr>
          <w:p>
            <w:pPr>
              <w:spacing w:after="0"/>
              <w:rPr>
                <w:sz w:val="12"/>
                <w:szCs w:val="12"/>
                <w:color w:val="auto"/>
              </w:rPr>
            </w:pPr>
          </w:p>
        </w:tc>
        <w:tc>
          <w:tcPr>
            <w:tcW w:w="1400" w:type="dxa"/>
            <w:vAlign w:val="bottom"/>
            <w:gridSpan w:val="2"/>
            <w:vMerge w:val="continue"/>
          </w:tcPr>
          <w:p>
            <w:pPr>
              <w:spacing w:after="0"/>
              <w:rPr>
                <w:sz w:val="12"/>
                <w:szCs w:val="12"/>
                <w:color w:val="auto"/>
              </w:rPr>
            </w:pPr>
          </w:p>
        </w:tc>
        <w:tc>
          <w:tcPr>
            <w:tcW w:w="1220" w:type="dxa"/>
            <w:vAlign w:val="bottom"/>
            <w:vMerge w:val="continue"/>
          </w:tcPr>
          <w:p>
            <w:pPr>
              <w:spacing w:after="0"/>
              <w:rPr>
                <w:sz w:val="12"/>
                <w:szCs w:val="12"/>
                <w:color w:val="auto"/>
              </w:rPr>
            </w:pPr>
          </w:p>
        </w:tc>
        <w:tc>
          <w:tcPr>
            <w:tcW w:w="1360" w:type="dxa"/>
            <w:vAlign w:val="bottom"/>
            <w:gridSpan w:val="2"/>
            <w:vMerge w:val="continue"/>
          </w:tcPr>
          <w:p>
            <w:pPr>
              <w:spacing w:after="0"/>
              <w:rPr>
                <w:sz w:val="12"/>
                <w:szCs w:val="12"/>
                <w:color w:val="auto"/>
              </w:rPr>
            </w:pPr>
          </w:p>
        </w:tc>
        <w:tc>
          <w:tcPr>
            <w:tcW w:w="1220" w:type="dxa"/>
            <w:vAlign w:val="bottom"/>
            <w:vMerge w:val="continue"/>
          </w:tcPr>
          <w:p>
            <w:pPr>
              <w:spacing w:after="0"/>
              <w:rPr>
                <w:sz w:val="12"/>
                <w:szCs w:val="12"/>
                <w:color w:val="auto"/>
              </w:rPr>
            </w:pPr>
          </w:p>
        </w:tc>
        <w:tc>
          <w:tcPr>
            <w:tcW w:w="12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6"/>
        </w:trPr>
        <w:tc>
          <w:tcPr>
            <w:tcW w:w="1600" w:type="dxa"/>
            <w:vAlign w:val="bottom"/>
          </w:tcPr>
          <w:p>
            <w:pPr>
              <w:spacing w:after="0"/>
              <w:rPr>
                <w:sz w:val="20"/>
                <w:szCs w:val="20"/>
                <w:color w:val="auto"/>
              </w:rPr>
            </w:pPr>
            <w:r>
              <w:rPr>
                <w:rFonts w:ascii="Arial" w:cs="Arial" w:eastAsia="Arial" w:hAnsi="Arial"/>
                <w:sz w:val="14"/>
                <w:szCs w:val="14"/>
                <w:color w:val="auto"/>
              </w:rPr>
              <w:t>(in thousands)</w:t>
            </w:r>
          </w:p>
        </w:tc>
        <w:tc>
          <w:tcPr>
            <w:tcW w:w="2040" w:type="dxa"/>
            <w:vAlign w:val="bottom"/>
          </w:tcPr>
          <w:p>
            <w:pPr>
              <w:jc w:val="center"/>
              <w:ind w:left="348"/>
              <w:spacing w:after="0"/>
              <w:rPr>
                <w:sz w:val="20"/>
                <w:szCs w:val="20"/>
                <w:color w:val="auto"/>
              </w:rPr>
            </w:pPr>
            <w:r>
              <w:rPr>
                <w:rFonts w:ascii="Arial" w:cs="Arial" w:eastAsia="Arial" w:hAnsi="Arial"/>
                <w:sz w:val="14"/>
                <w:szCs w:val="14"/>
                <w:b w:val="1"/>
                <w:bCs w:val="1"/>
                <w:color w:val="auto"/>
                <w:w w:val="89"/>
              </w:rPr>
              <w:t>Sheet Location</w:t>
            </w:r>
          </w:p>
        </w:tc>
        <w:tc>
          <w:tcPr>
            <w:tcW w:w="1240" w:type="dxa"/>
            <w:vAlign w:val="bottom"/>
          </w:tcPr>
          <w:p>
            <w:pPr>
              <w:jc w:val="right"/>
              <w:ind w:right="388"/>
              <w:spacing w:after="0"/>
              <w:rPr>
                <w:sz w:val="20"/>
                <w:szCs w:val="20"/>
                <w:color w:val="auto"/>
              </w:rPr>
            </w:pPr>
            <w:r>
              <w:rPr>
                <w:rFonts w:ascii="Arial" w:cs="Arial" w:eastAsia="Arial" w:hAnsi="Arial"/>
                <w:sz w:val="14"/>
                <w:szCs w:val="14"/>
                <w:b w:val="1"/>
                <w:bCs w:val="1"/>
                <w:color w:val="auto"/>
              </w:rPr>
              <w:t>2014</w:t>
            </w:r>
          </w:p>
        </w:tc>
        <w:tc>
          <w:tcPr>
            <w:tcW w:w="1280" w:type="dxa"/>
            <w:vAlign w:val="bottom"/>
          </w:tcPr>
          <w:p>
            <w:pPr>
              <w:jc w:val="right"/>
              <w:ind w:right="348"/>
              <w:spacing w:after="0"/>
              <w:rPr>
                <w:sz w:val="20"/>
                <w:szCs w:val="20"/>
                <w:color w:val="auto"/>
              </w:rPr>
            </w:pPr>
            <w:r>
              <w:rPr>
                <w:rFonts w:ascii="Arial" w:cs="Arial" w:eastAsia="Arial" w:hAnsi="Arial"/>
                <w:sz w:val="14"/>
                <w:szCs w:val="14"/>
                <w:b w:val="1"/>
                <w:bCs w:val="1"/>
                <w:color w:val="auto"/>
              </w:rPr>
              <w:t>2013</w:t>
            </w:r>
          </w:p>
        </w:tc>
        <w:tc>
          <w:tcPr>
            <w:tcW w:w="120" w:type="dxa"/>
            <w:vAlign w:val="bottom"/>
          </w:tcPr>
          <w:p>
            <w:pPr>
              <w:spacing w:after="0"/>
              <w:rPr>
                <w:sz w:val="16"/>
                <w:szCs w:val="16"/>
                <w:color w:val="auto"/>
              </w:rPr>
            </w:pPr>
          </w:p>
        </w:tc>
        <w:tc>
          <w:tcPr>
            <w:tcW w:w="1220" w:type="dxa"/>
            <w:vAlign w:val="bottom"/>
          </w:tcPr>
          <w:p>
            <w:pPr>
              <w:jc w:val="right"/>
              <w:ind w:right="388"/>
              <w:spacing w:after="0"/>
              <w:rPr>
                <w:sz w:val="20"/>
                <w:szCs w:val="20"/>
                <w:color w:val="auto"/>
              </w:rPr>
            </w:pPr>
            <w:r>
              <w:rPr>
                <w:rFonts w:ascii="Arial" w:cs="Arial" w:eastAsia="Arial" w:hAnsi="Arial"/>
                <w:sz w:val="14"/>
                <w:szCs w:val="14"/>
                <w:b w:val="1"/>
                <w:bCs w:val="1"/>
                <w:color w:val="auto"/>
              </w:rPr>
              <w:t>2014</w:t>
            </w:r>
          </w:p>
        </w:tc>
        <w:tc>
          <w:tcPr>
            <w:tcW w:w="1260" w:type="dxa"/>
            <w:vAlign w:val="bottom"/>
          </w:tcPr>
          <w:p>
            <w:pPr>
              <w:jc w:val="right"/>
              <w:ind w:right="348"/>
              <w:spacing w:after="0"/>
              <w:rPr>
                <w:sz w:val="20"/>
                <w:szCs w:val="20"/>
                <w:color w:val="auto"/>
              </w:rPr>
            </w:pPr>
            <w:r>
              <w:rPr>
                <w:rFonts w:ascii="Arial" w:cs="Arial" w:eastAsia="Arial" w:hAnsi="Arial"/>
                <w:sz w:val="14"/>
                <w:szCs w:val="14"/>
                <w:b w:val="1"/>
                <w:bCs w:val="1"/>
                <w:color w:val="auto"/>
              </w:rPr>
              <w:t>2013</w:t>
            </w:r>
          </w:p>
        </w:tc>
        <w:tc>
          <w:tcPr>
            <w:tcW w:w="100" w:type="dxa"/>
            <w:vAlign w:val="bottom"/>
          </w:tcPr>
          <w:p>
            <w:pPr>
              <w:spacing w:after="0"/>
              <w:rPr>
                <w:sz w:val="16"/>
                <w:szCs w:val="16"/>
                <w:color w:val="auto"/>
              </w:rPr>
            </w:pPr>
          </w:p>
        </w:tc>
        <w:tc>
          <w:tcPr>
            <w:tcW w:w="1220" w:type="dxa"/>
            <w:vAlign w:val="bottom"/>
          </w:tcPr>
          <w:p>
            <w:pPr>
              <w:jc w:val="right"/>
              <w:ind w:right="368"/>
              <w:spacing w:after="0"/>
              <w:rPr>
                <w:sz w:val="20"/>
                <w:szCs w:val="20"/>
                <w:color w:val="auto"/>
              </w:rPr>
            </w:pPr>
            <w:r>
              <w:rPr>
                <w:rFonts w:ascii="Arial" w:cs="Arial" w:eastAsia="Arial" w:hAnsi="Arial"/>
                <w:sz w:val="14"/>
                <w:szCs w:val="14"/>
                <w:b w:val="1"/>
                <w:bCs w:val="1"/>
                <w:color w:val="auto"/>
              </w:rPr>
              <w:t>2014</w:t>
            </w:r>
          </w:p>
        </w:tc>
        <w:tc>
          <w:tcPr>
            <w:tcW w:w="1280" w:type="dxa"/>
            <w:vAlign w:val="bottom"/>
          </w:tcPr>
          <w:p>
            <w:pPr>
              <w:jc w:val="right"/>
              <w:ind w:right="368"/>
              <w:spacing w:after="0"/>
              <w:rPr>
                <w:sz w:val="20"/>
                <w:szCs w:val="20"/>
                <w:color w:val="auto"/>
              </w:rPr>
            </w:pPr>
            <w:r>
              <w:rPr>
                <w:rFonts w:ascii="Arial" w:cs="Arial" w:eastAsia="Arial" w:hAnsi="Arial"/>
                <w:sz w:val="14"/>
                <w:szCs w:val="14"/>
                <w:b w:val="1"/>
                <w:bCs w:val="1"/>
                <w:color w:val="auto"/>
              </w:rPr>
              <w:t>2013</w:t>
            </w:r>
          </w:p>
        </w:tc>
        <w:tc>
          <w:tcPr>
            <w:tcW w:w="0" w:type="dxa"/>
            <w:vAlign w:val="bottom"/>
          </w:tcPr>
          <w:p>
            <w:pPr>
              <w:spacing w:after="0"/>
              <w:rPr>
                <w:sz w:val="1"/>
                <w:szCs w:val="1"/>
                <w:color w:val="auto"/>
              </w:rPr>
            </w:pP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60" w:type="dxa"/>
            <w:vAlign w:val="bottom"/>
            <w:tcBorders>
              <w:top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w w:val="92"/>
              </w:rPr>
              <w:t>Foreign currency derivative</w:t>
            </w:r>
          </w:p>
        </w:tc>
        <w:tc>
          <w:tcPr>
            <w:tcW w:w="120" w:type="dxa"/>
            <w:vAlign w:val="bottom"/>
            <w:tcBorders>
              <w:top w:val="single" w:sz="8" w:color="CCEEFF"/>
            </w:tcBorders>
            <w:shd w:val="clear" w:color="auto" w:fill="CCEEFF"/>
          </w:tcPr>
          <w:p>
            <w:pPr>
              <w:spacing w:after="0"/>
              <w:rPr>
                <w:sz w:val="20"/>
                <w:szCs w:val="20"/>
                <w:color w:val="auto"/>
              </w:rPr>
            </w:pPr>
          </w:p>
        </w:tc>
        <w:tc>
          <w:tcPr>
            <w:tcW w:w="13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2"/>
              </w:rPr>
              <w:t>Other Current</w:t>
            </w:r>
          </w:p>
        </w:tc>
        <w:tc>
          <w:tcPr>
            <w:tcW w:w="120" w:type="dxa"/>
            <w:vAlign w:val="bottom"/>
            <w:tcBorders>
              <w:top w:val="single" w:sz="8" w:color="CCEEFF"/>
            </w:tcBorders>
            <w:shd w:val="clear" w:color="auto" w:fill="CCEEFF"/>
          </w:tcPr>
          <w:p>
            <w:pPr>
              <w:spacing w:after="0"/>
              <w:rPr>
                <w:sz w:val="20"/>
                <w:szCs w:val="20"/>
                <w:color w:val="auto"/>
              </w:rPr>
            </w:pPr>
          </w:p>
        </w:tc>
        <w:tc>
          <w:tcPr>
            <w:tcW w:w="220" w:type="dxa"/>
            <w:vAlign w:val="bottom"/>
            <w:tcBorders>
              <w:top w:val="single" w:sz="8" w:color="auto"/>
            </w:tcBorders>
            <w:vMerge w:val="restart"/>
            <w:shd w:val="clear" w:color="auto" w:fill="CCEEFF"/>
          </w:tcPr>
          <w:p>
            <w:pPr>
              <w:jc w:val="right"/>
              <w:ind w:right="16"/>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tcBorders>
            <w:vMerge w:val="restart"/>
            <w:shd w:val="clear" w:color="auto" w:fill="CCEEFF"/>
          </w:tcPr>
          <w:p>
            <w:pPr>
              <w:jc w:val="right"/>
              <w:ind w:right="39"/>
              <w:spacing w:after="0"/>
              <w:rPr>
                <w:sz w:val="20"/>
                <w:szCs w:val="20"/>
                <w:color w:val="auto"/>
              </w:rPr>
            </w:pPr>
            <w:r>
              <w:rPr>
                <w:rFonts w:ascii="Arial" w:cs="Arial" w:eastAsia="Arial" w:hAnsi="Arial"/>
                <w:sz w:val="18"/>
                <w:szCs w:val="18"/>
                <w:color w:val="auto"/>
              </w:rPr>
              <w:t>43</w:t>
            </w:r>
          </w:p>
        </w:tc>
        <w:tc>
          <w:tcPr>
            <w:tcW w:w="120" w:type="dxa"/>
            <w:vAlign w:val="bottom"/>
            <w:tcBorders>
              <w:top w:val="single" w:sz="8" w:color="CCEEFF"/>
            </w:tcBorders>
            <w:shd w:val="clear" w:color="auto" w:fill="CCEEFF"/>
          </w:tcPr>
          <w:p>
            <w:pPr>
              <w:spacing w:after="0"/>
              <w:rPr>
                <w:sz w:val="20"/>
                <w:szCs w:val="20"/>
                <w:color w:val="auto"/>
              </w:rPr>
            </w:pPr>
          </w:p>
        </w:tc>
        <w:tc>
          <w:tcPr>
            <w:tcW w:w="12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gridSpan w:val="2"/>
            <w:vMerge w:val="restart"/>
            <w:shd w:val="clear" w:color="auto" w:fill="CCEEFF"/>
          </w:tcPr>
          <w:p>
            <w:pPr>
              <w:jc w:val="right"/>
              <w:ind w:right="80"/>
              <w:spacing w:after="0"/>
              <w:rPr>
                <w:sz w:val="20"/>
                <w:szCs w:val="20"/>
                <w:color w:val="auto"/>
              </w:rPr>
            </w:pPr>
            <w:r>
              <w:rPr>
                <w:rFonts w:ascii="Arial" w:cs="Arial" w:eastAsia="Arial" w:hAnsi="Arial"/>
                <w:sz w:val="18"/>
                <w:szCs w:val="18"/>
                <w:color w:val="auto"/>
              </w:rPr>
              <w:t>96</w:t>
            </w:r>
          </w:p>
        </w:tc>
        <w:tc>
          <w:tcPr>
            <w:tcW w:w="20" w:type="dxa"/>
            <w:vAlign w:val="bottom"/>
            <w:tcBorders>
              <w:top w:val="single" w:sz="8" w:color="auto"/>
            </w:tcBorders>
            <w:shd w:val="clear" w:color="auto" w:fill="CCEEFF"/>
          </w:tcPr>
          <w:p>
            <w:pPr>
              <w:spacing w:after="0"/>
              <w:rPr>
                <w:sz w:val="20"/>
                <w:szCs w:val="20"/>
                <w:color w:val="auto"/>
              </w:rPr>
            </w:pPr>
          </w:p>
        </w:tc>
        <w:tc>
          <w:tcPr>
            <w:tcW w:w="120" w:type="dxa"/>
            <w:vAlign w:val="bottom"/>
            <w:tcBorders>
              <w:top w:val="single" w:sz="8" w:color="CCEEFF"/>
            </w:tcBorders>
            <w:vMerge w:val="restart"/>
            <w:shd w:val="clear" w:color="auto" w:fill="CCEEFF"/>
          </w:tcPr>
          <w:p>
            <w:pPr>
              <w:spacing w:after="0"/>
              <w:rPr>
                <w:sz w:val="20"/>
                <w:szCs w:val="20"/>
                <w:color w:val="auto"/>
              </w:rPr>
            </w:pPr>
          </w:p>
        </w:tc>
        <w:tc>
          <w:tcPr>
            <w:tcW w:w="14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100" w:type="dxa"/>
            <w:vAlign w:val="bottom"/>
            <w:tcBorders>
              <w:top w:val="single" w:sz="8" w:color="CCEEFF"/>
            </w:tcBorders>
            <w:shd w:val="clear" w:color="auto" w:fill="CCEEFF"/>
          </w:tcPr>
          <w:p>
            <w:pPr>
              <w:spacing w:after="0"/>
              <w:rPr>
                <w:sz w:val="20"/>
                <w:szCs w:val="20"/>
                <w:color w:val="auto"/>
              </w:rPr>
            </w:pPr>
          </w:p>
        </w:tc>
        <w:tc>
          <w:tcPr>
            <w:tcW w:w="14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tcBorders>
            <w:gridSpan w:val="3"/>
            <w:vMerge w:val="restart"/>
            <w:shd w:val="clear" w:color="auto" w:fill="CCEEFF"/>
          </w:tcPr>
          <w:p>
            <w:pPr>
              <w:jc w:val="right"/>
              <w:spacing w:after="0"/>
              <w:rPr>
                <w:sz w:val="20"/>
                <w:szCs w:val="20"/>
                <w:color w:val="auto"/>
              </w:rPr>
            </w:pPr>
            <w:r>
              <w:rPr>
                <w:rFonts w:ascii="Arial" w:cs="Arial" w:eastAsia="Arial" w:hAnsi="Arial"/>
                <w:sz w:val="18"/>
                <w:szCs w:val="18"/>
                <w:color w:val="auto"/>
              </w:rPr>
              <w:t>(96)</w:t>
            </w:r>
          </w:p>
        </w:tc>
        <w:tc>
          <w:tcPr>
            <w:tcW w:w="100" w:type="dxa"/>
            <w:vAlign w:val="bottom"/>
            <w:tcBorders>
              <w:top w:val="single" w:sz="8" w:color="CCEEFF"/>
            </w:tcBorders>
            <w:shd w:val="clear" w:color="auto" w:fill="CCEEFF"/>
          </w:tcPr>
          <w:p>
            <w:pPr>
              <w:spacing w:after="0"/>
              <w:rPr>
                <w:sz w:val="20"/>
                <w:szCs w:val="20"/>
                <w:color w:val="auto"/>
              </w:rPr>
            </w:pPr>
          </w:p>
        </w:tc>
        <w:tc>
          <w:tcPr>
            <w:tcW w:w="12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tcBorders>
            <w:gridSpan w:val="2"/>
            <w:vMerge w:val="restart"/>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auto"/>
            </w:tcBorders>
            <w:shd w:val="clear" w:color="auto" w:fill="CCEEFF"/>
          </w:tcPr>
          <w:p>
            <w:pPr>
              <w:spacing w:after="0"/>
              <w:rPr>
                <w:sz w:val="20"/>
                <w:szCs w:val="20"/>
                <w:color w:val="auto"/>
              </w:rPr>
            </w:pPr>
          </w:p>
        </w:tc>
        <w:tc>
          <w:tcPr>
            <w:tcW w:w="100" w:type="dxa"/>
            <w:vAlign w:val="bottom"/>
            <w:tcBorders>
              <w:top w:val="single" w:sz="8" w:color="CCEEFF"/>
            </w:tcBorders>
            <w:shd w:val="clear" w:color="auto" w:fill="CCEEFF"/>
          </w:tcPr>
          <w:p>
            <w:pPr>
              <w:spacing w:after="0"/>
              <w:rPr>
                <w:sz w:val="20"/>
                <w:szCs w:val="20"/>
                <w:color w:val="auto"/>
              </w:rPr>
            </w:pPr>
          </w:p>
        </w:tc>
        <w:tc>
          <w:tcPr>
            <w:tcW w:w="14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tcBorders>
            <w:vMerge w:val="restart"/>
            <w:shd w:val="clear" w:color="auto" w:fill="CCEEFF"/>
          </w:tcPr>
          <w:p>
            <w:pPr>
              <w:ind w:left="7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2180" w:type="dxa"/>
            <w:vAlign w:val="bottom"/>
            <w:tcBorders>
              <w:bottom w:val="single" w:sz="8" w:color="CCEEFF"/>
            </w:tcBorders>
            <w:gridSpan w:val="2"/>
            <w:shd w:val="clear" w:color="auto" w:fill="CCEEFF"/>
          </w:tcPr>
          <w:p>
            <w:pPr>
              <w:ind w:left="200"/>
              <w:spacing w:after="0"/>
              <w:rPr>
                <w:sz w:val="20"/>
                <w:szCs w:val="20"/>
                <w:color w:val="auto"/>
              </w:rPr>
            </w:pPr>
            <w:r>
              <w:rPr>
                <w:rFonts w:ascii="Arial" w:cs="Arial" w:eastAsia="Arial" w:hAnsi="Arial"/>
                <w:sz w:val="18"/>
                <w:szCs w:val="18"/>
                <w:color w:val="auto"/>
              </w:rPr>
              <w:t>contracts</w:t>
            </w:r>
          </w:p>
        </w:tc>
        <w:tc>
          <w:tcPr>
            <w:tcW w:w="150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9"/>
              </w:rPr>
              <w:t>Liabilities</w:t>
            </w:r>
          </w:p>
        </w:tc>
        <w:tc>
          <w:tcPr>
            <w:tcW w:w="220" w:type="dxa"/>
            <w:vAlign w:val="bottom"/>
            <w:tcBorders>
              <w:bottom w:val="single" w:sz="8" w:color="auto"/>
            </w:tcBorders>
            <w:vMerge w:val="continue"/>
            <w:shd w:val="clear" w:color="auto" w:fill="CCEEFF"/>
          </w:tcPr>
          <w:p>
            <w:pPr>
              <w:spacing w:after="0"/>
              <w:rPr>
                <w:sz w:val="20"/>
                <w:szCs w:val="20"/>
                <w:color w:val="auto"/>
              </w:rPr>
            </w:pPr>
          </w:p>
        </w:tc>
        <w:tc>
          <w:tcPr>
            <w:tcW w:w="1060" w:type="dxa"/>
            <w:vAlign w:val="bottom"/>
            <w:tcBorders>
              <w:bottom w:val="single" w:sz="8" w:color="auto"/>
            </w:tcBorders>
            <w:vMerge w:val="continue"/>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vMerge w:val="continue"/>
            <w:shd w:val="clear" w:color="auto" w:fill="CCEEFF"/>
          </w:tcPr>
          <w:p>
            <w:pPr>
              <w:spacing w:after="0"/>
              <w:rPr>
                <w:sz w:val="20"/>
                <w:szCs w:val="20"/>
                <w:color w:val="auto"/>
              </w:rPr>
            </w:pPr>
          </w:p>
        </w:tc>
        <w:tc>
          <w:tcPr>
            <w:tcW w:w="980" w:type="dxa"/>
            <w:vAlign w:val="bottom"/>
            <w:tcBorders>
              <w:bottom w:val="single" w:sz="8" w:color="auto"/>
            </w:tcBorders>
            <w:gridSpan w:val="2"/>
            <w:vMerge w:val="continue"/>
            <w:shd w:val="clear" w:color="auto" w:fill="CCEEFF"/>
          </w:tcPr>
          <w:p>
            <w:pPr>
              <w:spacing w:after="0"/>
              <w:rPr>
                <w:sz w:val="20"/>
                <w:szCs w:val="20"/>
                <w:color w:val="auto"/>
              </w:rPr>
            </w:pPr>
          </w:p>
        </w:tc>
        <w:tc>
          <w:tcPr>
            <w:tcW w:w="20" w:type="dxa"/>
            <w:vAlign w:val="bottom"/>
            <w:tcBorders>
              <w:bottom w:val="single" w:sz="8" w:color="auto"/>
            </w:tcBorders>
            <w:shd w:val="clear" w:color="auto" w:fill="CCEEFF"/>
          </w:tcPr>
          <w:p>
            <w:pPr>
              <w:spacing w:after="0"/>
              <w:rPr>
                <w:sz w:val="20"/>
                <w:szCs w:val="20"/>
                <w:color w:val="auto"/>
              </w:rPr>
            </w:pPr>
          </w:p>
        </w:tc>
        <w:tc>
          <w:tcPr>
            <w:tcW w:w="120" w:type="dxa"/>
            <w:vAlign w:val="bottom"/>
            <w:tcBorders>
              <w:bottom w:val="single" w:sz="8" w:color="CCEEFF"/>
            </w:tcBorders>
            <w:vMerge w:val="continue"/>
            <w:shd w:val="clear" w:color="auto" w:fill="CCEEFF"/>
          </w:tcPr>
          <w:p>
            <w:pPr>
              <w:spacing w:after="0"/>
              <w:rPr>
                <w:sz w:val="20"/>
                <w:szCs w:val="20"/>
                <w:color w:val="auto"/>
              </w:rPr>
            </w:pPr>
          </w:p>
        </w:tc>
        <w:tc>
          <w:tcPr>
            <w:tcW w:w="140" w:type="dxa"/>
            <w:vAlign w:val="bottom"/>
            <w:tcBorders>
              <w:bottom w:val="single" w:sz="8" w:color="auto"/>
            </w:tcBorders>
            <w:vMerge w:val="continue"/>
            <w:shd w:val="clear" w:color="auto" w:fill="CCEEFF"/>
          </w:tcPr>
          <w:p>
            <w:pPr>
              <w:spacing w:after="0"/>
              <w:rPr>
                <w:sz w:val="20"/>
                <w:szCs w:val="20"/>
                <w:color w:val="auto"/>
              </w:rPr>
            </w:pPr>
          </w:p>
        </w:tc>
        <w:tc>
          <w:tcPr>
            <w:tcW w:w="110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vMerge w:val="continue"/>
            <w:shd w:val="clear" w:color="auto" w:fill="CCEEFF"/>
          </w:tcPr>
          <w:p>
            <w:pPr>
              <w:spacing w:after="0"/>
              <w:rPr>
                <w:sz w:val="20"/>
                <w:szCs w:val="20"/>
                <w:color w:val="auto"/>
              </w:rPr>
            </w:pPr>
          </w:p>
        </w:tc>
        <w:tc>
          <w:tcPr>
            <w:tcW w:w="1000" w:type="dxa"/>
            <w:vAlign w:val="bottom"/>
            <w:tcBorders>
              <w:bottom w:val="single" w:sz="8" w:color="auto"/>
            </w:tcBorders>
            <w:gridSpan w:val="3"/>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vMerge w:val="continue"/>
            <w:shd w:val="clear" w:color="auto" w:fill="CCEEFF"/>
          </w:tcPr>
          <w:p>
            <w:pPr>
              <w:spacing w:after="0"/>
              <w:rPr>
                <w:sz w:val="20"/>
                <w:szCs w:val="20"/>
                <w:color w:val="auto"/>
              </w:rPr>
            </w:pPr>
          </w:p>
        </w:tc>
        <w:tc>
          <w:tcPr>
            <w:tcW w:w="1040" w:type="dxa"/>
            <w:vAlign w:val="bottom"/>
            <w:tcBorders>
              <w:bottom w:val="single" w:sz="8" w:color="auto"/>
            </w:tcBorders>
            <w:gridSpan w:val="2"/>
            <w:vMerge w:val="continue"/>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vMerge w:val="continue"/>
            <w:shd w:val="clear" w:color="auto" w:fill="CCEEFF"/>
          </w:tcPr>
          <w:p>
            <w:pPr>
              <w:spacing w:after="0"/>
              <w:rPr>
                <w:sz w:val="20"/>
                <w:szCs w:val="20"/>
                <w:color w:val="auto"/>
              </w:rPr>
            </w:pPr>
          </w:p>
        </w:tc>
        <w:tc>
          <w:tcPr>
            <w:tcW w:w="1000" w:type="dxa"/>
            <w:vAlign w:val="bottom"/>
            <w:tcBorders>
              <w:bottom w:val="single" w:sz="8" w:color="auto"/>
            </w:tcBorders>
            <w:vMerge w:val="continue"/>
            <w:shd w:val="clear" w:color="auto" w:fill="CCEEFF"/>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Borders>
              <w:bottom w:val="single" w:sz="8" w:color="auto"/>
            </w:tcBorders>
            <w:gridSpan w:val="2"/>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Borders>
              <w:bottom w:val="single" w:sz="8" w:color="auto"/>
            </w:tcBorders>
            <w:gridSpan w:val="2"/>
          </w:tcPr>
          <w:p>
            <w:pPr>
              <w:spacing w:after="0" w:line="20" w:lineRule="exact"/>
              <w:rPr>
                <w:sz w:val="1"/>
                <w:szCs w:val="1"/>
                <w:color w:val="auto"/>
              </w:rPr>
            </w:pPr>
          </w:p>
        </w:tc>
        <w:tc>
          <w:tcPr>
            <w:tcW w:w="22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Borders>
              <w:bottom w:val="single" w:sz="8" w:color="auto"/>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0"/>
        </w:trPr>
        <w:tc>
          <w:tcPr>
            <w:tcW w:w="2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520" w:type="dxa"/>
            <w:vAlign w:val="bottom"/>
            <w:gridSpan w:val="7"/>
            <w:vMerge w:val="restart"/>
          </w:tcPr>
          <w:p>
            <w:pPr>
              <w:ind w:left="60"/>
              <w:spacing w:after="0"/>
              <w:rPr>
                <w:sz w:val="20"/>
                <w:szCs w:val="20"/>
                <w:color w:val="auto"/>
              </w:rPr>
            </w:pPr>
            <w:r>
              <w:rPr>
                <w:rFonts w:ascii="Arial" w:cs="Arial" w:eastAsia="Arial" w:hAnsi="Arial"/>
                <w:sz w:val="14"/>
                <w:szCs w:val="14"/>
                <w:b w:val="1"/>
                <w:bCs w:val="1"/>
                <w:color w:val="auto"/>
                <w:w w:val="91"/>
              </w:rPr>
              <w:t>Gross Amount of Recognized Liabilities</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40" w:type="dxa"/>
            <w:vAlign w:val="bottom"/>
            <w:gridSpan w:val="7"/>
          </w:tcPr>
          <w:p>
            <w:pPr>
              <w:ind w:left="180"/>
              <w:spacing w:after="0"/>
              <w:rPr>
                <w:sz w:val="20"/>
                <w:szCs w:val="20"/>
                <w:color w:val="auto"/>
              </w:rPr>
            </w:pPr>
            <w:r>
              <w:rPr>
                <w:rFonts w:ascii="Arial" w:cs="Arial" w:eastAsia="Arial" w:hAnsi="Arial"/>
                <w:sz w:val="14"/>
                <w:szCs w:val="14"/>
                <w:b w:val="1"/>
                <w:bCs w:val="1"/>
                <w:color w:val="auto"/>
              </w:rPr>
              <w:t>Gross Amount of Offset in the</w:t>
            </w:r>
          </w:p>
        </w:tc>
        <w:tc>
          <w:tcPr>
            <w:tcW w:w="2520" w:type="dxa"/>
            <w:vAlign w:val="bottom"/>
            <w:gridSpan w:val="8"/>
          </w:tcPr>
          <w:p>
            <w:pPr>
              <w:jc w:val="center"/>
              <w:spacing w:after="0"/>
              <w:rPr>
                <w:sz w:val="20"/>
                <w:szCs w:val="20"/>
                <w:color w:val="auto"/>
              </w:rPr>
            </w:pPr>
            <w:r>
              <w:rPr>
                <w:rFonts w:ascii="Arial" w:cs="Arial" w:eastAsia="Arial" w:hAnsi="Arial"/>
                <w:sz w:val="14"/>
                <w:szCs w:val="14"/>
                <w:b w:val="1"/>
                <w:bCs w:val="1"/>
                <w:color w:val="auto"/>
                <w:w w:val="93"/>
              </w:rPr>
              <w:t>Net Amount of Liabilities Presented in</w:t>
            </w:r>
          </w:p>
        </w:tc>
        <w:tc>
          <w:tcPr>
            <w:tcW w:w="0" w:type="dxa"/>
            <w:vAlign w:val="bottom"/>
          </w:tcPr>
          <w:p>
            <w:pPr>
              <w:spacing w:after="0"/>
              <w:rPr>
                <w:sz w:val="1"/>
                <w:szCs w:val="1"/>
                <w:color w:val="auto"/>
              </w:rPr>
            </w:pPr>
          </w:p>
        </w:tc>
      </w:tr>
      <w:tr>
        <w:trPr>
          <w:trHeight w:val="192"/>
        </w:trPr>
        <w:tc>
          <w:tcPr>
            <w:tcW w:w="20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520" w:type="dxa"/>
            <w:vAlign w:val="bottom"/>
            <w:tcBorders>
              <w:bottom w:val="single" w:sz="8" w:color="auto"/>
            </w:tcBorders>
            <w:gridSpan w:val="7"/>
            <w:vMerge w:val="continue"/>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340" w:type="dxa"/>
            <w:vAlign w:val="bottom"/>
            <w:tcBorders>
              <w:bottom w:val="single" w:sz="8" w:color="auto"/>
            </w:tcBorders>
            <w:gridSpan w:val="6"/>
          </w:tcPr>
          <w:p>
            <w:pPr>
              <w:jc w:val="right"/>
              <w:ind w:right="268"/>
              <w:spacing w:after="0"/>
              <w:rPr>
                <w:sz w:val="20"/>
                <w:szCs w:val="20"/>
                <w:color w:val="auto"/>
              </w:rPr>
            </w:pPr>
            <w:r>
              <w:rPr>
                <w:rFonts w:ascii="Arial" w:cs="Arial" w:eastAsia="Arial" w:hAnsi="Arial"/>
                <w:sz w:val="14"/>
                <w:szCs w:val="14"/>
                <w:b w:val="1"/>
                <w:bCs w:val="1"/>
                <w:color w:val="auto"/>
              </w:rPr>
              <w:t>Consolidated Balance Sheets</w:t>
            </w:r>
          </w:p>
        </w:tc>
        <w:tc>
          <w:tcPr>
            <w:tcW w:w="1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380" w:type="dxa"/>
            <w:vAlign w:val="bottom"/>
            <w:tcBorders>
              <w:bottom w:val="single" w:sz="8" w:color="auto"/>
            </w:tcBorders>
            <w:gridSpan w:val="6"/>
          </w:tcPr>
          <w:p>
            <w:pPr>
              <w:jc w:val="center"/>
              <w:spacing w:after="0"/>
              <w:rPr>
                <w:sz w:val="20"/>
                <w:szCs w:val="20"/>
                <w:color w:val="auto"/>
              </w:rPr>
            </w:pPr>
            <w:r>
              <w:rPr>
                <w:rFonts w:ascii="Arial" w:cs="Arial" w:eastAsia="Arial" w:hAnsi="Arial"/>
                <w:sz w:val="14"/>
                <w:szCs w:val="14"/>
                <w:b w:val="1"/>
                <w:bCs w:val="1"/>
                <w:color w:val="auto"/>
                <w:w w:val="89"/>
              </w:rPr>
              <w:t>the Consolidated Balance Sheets</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9"/>
        </w:trPr>
        <w:tc>
          <w:tcPr>
            <w:tcW w:w="20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00" w:type="dxa"/>
            <w:vAlign w:val="bottom"/>
            <w:gridSpan w:val="2"/>
          </w:tcPr>
          <w:p>
            <w:pPr>
              <w:jc w:val="center"/>
              <w:ind w:right="120"/>
              <w:spacing w:after="0" w:line="139" w:lineRule="exact"/>
              <w:rPr>
                <w:sz w:val="20"/>
                <w:szCs w:val="20"/>
                <w:color w:val="auto"/>
              </w:rPr>
            </w:pPr>
            <w:r>
              <w:rPr>
                <w:rFonts w:ascii="Arial" w:cs="Arial" w:eastAsia="Arial" w:hAnsi="Arial"/>
                <w:sz w:val="14"/>
                <w:szCs w:val="14"/>
                <w:b w:val="1"/>
                <w:bCs w:val="1"/>
                <w:color w:val="auto"/>
                <w:w w:val="92"/>
              </w:rPr>
              <w:t>Consolidated</w:t>
            </w:r>
          </w:p>
        </w:tc>
        <w:tc>
          <w:tcPr>
            <w:tcW w:w="220" w:type="dxa"/>
            <w:vAlign w:val="bottom"/>
          </w:tcPr>
          <w:p>
            <w:pPr>
              <w:spacing w:after="0"/>
              <w:rPr>
                <w:sz w:val="12"/>
                <w:szCs w:val="12"/>
                <w:color w:val="auto"/>
              </w:rPr>
            </w:pPr>
          </w:p>
        </w:tc>
        <w:tc>
          <w:tcPr>
            <w:tcW w:w="118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March 31,</w:t>
            </w:r>
          </w:p>
        </w:tc>
        <w:tc>
          <w:tcPr>
            <w:tcW w:w="120" w:type="dxa"/>
            <w:vAlign w:val="bottom"/>
          </w:tcPr>
          <w:p>
            <w:pPr>
              <w:spacing w:after="0"/>
              <w:rPr>
                <w:sz w:val="12"/>
                <w:szCs w:val="12"/>
                <w:color w:val="auto"/>
              </w:rPr>
            </w:pPr>
          </w:p>
        </w:tc>
        <w:tc>
          <w:tcPr>
            <w:tcW w:w="1000" w:type="dxa"/>
            <w:vAlign w:val="bottom"/>
            <w:gridSpan w:val="3"/>
            <w:vMerge w:val="restart"/>
          </w:tcPr>
          <w:p>
            <w:pPr>
              <w:jc w:val="center"/>
              <w:ind w:right="120"/>
              <w:spacing w:after="0"/>
              <w:rPr>
                <w:sz w:val="20"/>
                <w:szCs w:val="20"/>
                <w:color w:val="auto"/>
              </w:rPr>
            </w:pPr>
            <w:r>
              <w:rPr>
                <w:rFonts w:ascii="Arial" w:cs="Arial" w:eastAsia="Arial" w:hAnsi="Arial"/>
                <w:sz w:val="14"/>
                <w:szCs w:val="14"/>
                <w:b w:val="1"/>
                <w:bCs w:val="1"/>
                <w:color w:val="auto"/>
                <w:w w:val="92"/>
              </w:rPr>
              <w:t>December 31,</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March 31,</w:t>
            </w:r>
          </w:p>
        </w:tc>
        <w:tc>
          <w:tcPr>
            <w:tcW w:w="140" w:type="dxa"/>
            <w:vAlign w:val="bottom"/>
          </w:tcPr>
          <w:p>
            <w:pPr>
              <w:spacing w:after="0"/>
              <w:rPr>
                <w:sz w:val="12"/>
                <w:szCs w:val="12"/>
                <w:color w:val="auto"/>
              </w:rPr>
            </w:pPr>
          </w:p>
        </w:tc>
        <w:tc>
          <w:tcPr>
            <w:tcW w:w="1100" w:type="dxa"/>
            <w:vAlign w:val="bottom"/>
            <w:gridSpan w:val="4"/>
            <w:vMerge w:val="restart"/>
          </w:tcPr>
          <w:p>
            <w:pPr>
              <w:ind w:left="20"/>
              <w:spacing w:after="0"/>
              <w:rPr>
                <w:sz w:val="20"/>
                <w:szCs w:val="20"/>
                <w:color w:val="auto"/>
              </w:rPr>
            </w:pPr>
            <w:r>
              <w:rPr>
                <w:rFonts w:ascii="Arial" w:cs="Arial" w:eastAsia="Arial" w:hAnsi="Arial"/>
                <w:sz w:val="14"/>
                <w:szCs w:val="14"/>
                <w:b w:val="1"/>
                <w:bCs w:val="1"/>
                <w:color w:val="auto"/>
              </w:rPr>
              <w:t>December 31,</w:t>
            </w:r>
          </w:p>
        </w:tc>
        <w:tc>
          <w:tcPr>
            <w:tcW w:w="120" w:type="dxa"/>
            <w:vAlign w:val="bottom"/>
          </w:tcPr>
          <w:p>
            <w:pPr>
              <w:spacing w:after="0"/>
              <w:rPr>
                <w:sz w:val="12"/>
                <w:szCs w:val="12"/>
                <w:color w:val="auto"/>
              </w:rPr>
            </w:pPr>
          </w:p>
        </w:tc>
        <w:tc>
          <w:tcPr>
            <w:tcW w:w="1040" w:type="dxa"/>
            <w:vAlign w:val="bottom"/>
            <w:gridSpan w:val="2"/>
            <w:vMerge w:val="restart"/>
          </w:tcPr>
          <w:p>
            <w:pPr>
              <w:jc w:val="center"/>
              <w:ind w:right="20"/>
              <w:spacing w:after="0"/>
              <w:rPr>
                <w:sz w:val="20"/>
                <w:szCs w:val="20"/>
                <w:color w:val="auto"/>
              </w:rPr>
            </w:pPr>
            <w:r>
              <w:rPr>
                <w:rFonts w:ascii="Arial" w:cs="Arial" w:eastAsia="Arial" w:hAnsi="Arial"/>
                <w:sz w:val="14"/>
                <w:szCs w:val="14"/>
                <w:b w:val="1"/>
                <w:bCs w:val="1"/>
                <w:color w:val="auto"/>
                <w:w w:val="95"/>
              </w:rPr>
              <w:t>March 31,</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20" w:type="dxa"/>
            <w:vAlign w:val="bottom"/>
            <w:gridSpan w:val="2"/>
            <w:vMerge w:val="restart"/>
          </w:tcPr>
          <w:p>
            <w:pPr>
              <w:jc w:val="center"/>
              <w:ind w:right="180"/>
              <w:spacing w:after="0"/>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149"/>
        </w:trPr>
        <w:tc>
          <w:tcPr>
            <w:tcW w:w="20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0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3"/>
              </w:rPr>
              <w:t>Balance</w:t>
            </w:r>
          </w:p>
        </w:tc>
        <w:tc>
          <w:tcPr>
            <w:tcW w:w="220" w:type="dxa"/>
            <w:vAlign w:val="bottom"/>
          </w:tcPr>
          <w:p>
            <w:pPr>
              <w:spacing w:after="0"/>
              <w:rPr>
                <w:sz w:val="12"/>
                <w:szCs w:val="12"/>
                <w:color w:val="auto"/>
              </w:rPr>
            </w:pPr>
          </w:p>
        </w:tc>
        <w:tc>
          <w:tcPr>
            <w:tcW w:w="118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gridSpan w:val="3"/>
            <w:vMerge w:val="continue"/>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gridSpan w:val="4"/>
            <w:vMerge w:val="continue"/>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206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thousands)</w:t>
            </w:r>
          </w:p>
        </w:tc>
        <w:tc>
          <w:tcPr>
            <w:tcW w:w="120" w:type="dxa"/>
            <w:vAlign w:val="bottom"/>
            <w:tcBorders>
              <w:bottom w:val="single" w:sz="8" w:color="CCEEFF"/>
            </w:tcBorders>
          </w:tcPr>
          <w:p>
            <w:pPr>
              <w:spacing w:after="0"/>
              <w:rPr>
                <w:sz w:val="16"/>
                <w:szCs w:val="16"/>
                <w:color w:val="auto"/>
              </w:rPr>
            </w:pPr>
          </w:p>
        </w:tc>
        <w:tc>
          <w:tcPr>
            <w:tcW w:w="13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Sheet Location</w:t>
            </w:r>
          </w:p>
        </w:tc>
        <w:tc>
          <w:tcPr>
            <w:tcW w:w="1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419"/>
              <w:spacing w:after="0"/>
              <w:rPr>
                <w:sz w:val="20"/>
                <w:szCs w:val="20"/>
                <w:color w:val="auto"/>
              </w:rPr>
            </w:pPr>
            <w:r>
              <w:rPr>
                <w:rFonts w:ascii="Arial" w:cs="Arial" w:eastAsia="Arial" w:hAnsi="Arial"/>
                <w:sz w:val="14"/>
                <w:szCs w:val="14"/>
                <w:b w:val="1"/>
                <w:bCs w:val="1"/>
                <w:color w:val="auto"/>
              </w:rPr>
              <w:t>2014</w:t>
            </w:r>
          </w:p>
        </w:tc>
        <w:tc>
          <w:tcPr>
            <w:tcW w:w="1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199"/>
              <w:spacing w:after="0"/>
              <w:rPr>
                <w:sz w:val="20"/>
                <w:szCs w:val="20"/>
                <w:color w:val="auto"/>
              </w:rPr>
            </w:pPr>
            <w:r>
              <w:rPr>
                <w:rFonts w:ascii="Arial" w:cs="Arial" w:eastAsia="Arial" w:hAnsi="Arial"/>
                <w:sz w:val="14"/>
                <w:szCs w:val="14"/>
                <w:b w:val="1"/>
                <w:bCs w:val="1"/>
                <w:color w:val="auto"/>
              </w:rPr>
              <w:t>2013</w:t>
            </w:r>
          </w:p>
        </w:tc>
        <w:tc>
          <w:tcPr>
            <w:tcW w:w="12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04"/>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gridSpan w:val="2"/>
          </w:tcPr>
          <w:p>
            <w:pPr>
              <w:jc w:val="right"/>
              <w:ind w:right="200"/>
              <w:spacing w:after="0"/>
              <w:rPr>
                <w:sz w:val="20"/>
                <w:szCs w:val="20"/>
                <w:color w:val="auto"/>
              </w:rPr>
            </w:pPr>
            <w:r>
              <w:rPr>
                <w:rFonts w:ascii="Arial" w:cs="Arial" w:eastAsia="Arial" w:hAnsi="Arial"/>
                <w:sz w:val="14"/>
                <w:szCs w:val="14"/>
                <w:b w:val="1"/>
                <w:bCs w:val="1"/>
                <w:color w:val="auto"/>
              </w:rPr>
              <w:t>2013</w:t>
            </w:r>
          </w:p>
        </w:tc>
        <w:tc>
          <w:tcPr>
            <w:tcW w:w="2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182"/>
              <w:spacing w:after="0"/>
              <w:rPr>
                <w:sz w:val="20"/>
                <w:szCs w:val="20"/>
                <w:color w:val="auto"/>
              </w:rPr>
            </w:pPr>
            <w:r>
              <w:rPr>
                <w:rFonts w:ascii="Arial" w:cs="Arial" w:eastAsia="Arial" w:hAnsi="Arial"/>
                <w:sz w:val="14"/>
                <w:szCs w:val="14"/>
                <w:b w:val="1"/>
                <w:bCs w:val="1"/>
                <w:color w:val="auto"/>
              </w:rPr>
              <w:t>2014</w:t>
            </w:r>
          </w:p>
        </w:tc>
        <w:tc>
          <w:tcPr>
            <w:tcW w:w="1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359"/>
              <w:spacing w:after="0"/>
              <w:rPr>
                <w:sz w:val="20"/>
                <w:szCs w:val="20"/>
                <w:color w:val="auto"/>
              </w:rPr>
            </w:pPr>
            <w:r>
              <w:rPr>
                <w:rFonts w:ascii="Arial" w:cs="Arial" w:eastAsia="Arial" w:hAnsi="Arial"/>
                <w:sz w:val="14"/>
                <w:szCs w:val="14"/>
                <w:b w:val="1"/>
                <w:bCs w:val="1"/>
                <w:color w:val="auto"/>
              </w:rPr>
              <w:t>2013</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218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w w:val="97"/>
              </w:rPr>
              <w:t>Foreign currency derivative</w:t>
            </w:r>
          </w:p>
        </w:tc>
        <w:tc>
          <w:tcPr>
            <w:tcW w:w="150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2"/>
              </w:rPr>
              <w:t>Other Current</w:t>
            </w:r>
          </w:p>
        </w:tc>
        <w:tc>
          <w:tcPr>
            <w:tcW w:w="220" w:type="dxa"/>
            <w:vAlign w:val="bottom"/>
            <w:vMerge w:val="restart"/>
            <w:shd w:val="clear" w:color="auto" w:fill="CCEEFF"/>
          </w:tcPr>
          <w:p>
            <w:pPr>
              <w:jc w:val="right"/>
              <w:ind w:right="16"/>
              <w:spacing w:after="0"/>
              <w:rPr>
                <w:sz w:val="20"/>
                <w:szCs w:val="20"/>
                <w:color w:val="auto"/>
              </w:rPr>
            </w:pPr>
            <w:r>
              <w:rPr>
                <w:rFonts w:ascii="Arial" w:cs="Arial" w:eastAsia="Arial" w:hAnsi="Arial"/>
                <w:sz w:val="18"/>
                <w:szCs w:val="18"/>
                <w:color w:val="auto"/>
                <w:w w:val="99"/>
              </w:rPr>
              <w:t>$</w:t>
            </w:r>
          </w:p>
        </w:tc>
        <w:tc>
          <w:tcPr>
            <w:tcW w:w="10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(124)</w:t>
            </w:r>
          </w:p>
        </w:tc>
        <w:tc>
          <w:tcPr>
            <w:tcW w:w="120" w:type="dxa"/>
            <w:vAlign w:val="bottom"/>
            <w:shd w:val="clear" w:color="auto" w:fill="CCEEFF"/>
          </w:tcPr>
          <w:p>
            <w:pPr>
              <w:spacing w:after="0"/>
              <w:rPr>
                <w:sz w:val="19"/>
                <w:szCs w:val="19"/>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gridSpan w:val="2"/>
            <w:vMerge w:val="restart"/>
            <w:shd w:val="clear" w:color="auto" w:fill="CCEEFF"/>
          </w:tcPr>
          <w:p>
            <w:pPr>
              <w:jc w:val="right"/>
              <w:ind w:right="20"/>
              <w:spacing w:after="0"/>
              <w:rPr>
                <w:sz w:val="20"/>
                <w:szCs w:val="20"/>
                <w:color w:val="auto"/>
              </w:rPr>
            </w:pPr>
            <w:r>
              <w:rPr>
                <w:rFonts w:ascii="Arial" w:cs="Arial" w:eastAsia="Arial" w:hAnsi="Arial"/>
                <w:sz w:val="18"/>
                <w:szCs w:val="18"/>
                <w:color w:val="auto"/>
              </w:rPr>
              <w:t>(178)</w:t>
            </w:r>
          </w:p>
        </w:tc>
        <w:tc>
          <w:tcPr>
            <w:tcW w:w="20" w:type="dxa"/>
            <w:vAlign w:val="bottom"/>
            <w:shd w:val="clear" w:color="auto" w:fill="CCEEFF"/>
          </w:tcPr>
          <w:p>
            <w:pPr>
              <w:spacing w:after="0"/>
              <w:rPr>
                <w:sz w:val="19"/>
                <w:szCs w:val="19"/>
                <w:color w:val="auto"/>
              </w:rPr>
            </w:pPr>
          </w:p>
        </w:tc>
        <w:tc>
          <w:tcPr>
            <w:tcW w:w="120" w:type="dxa"/>
            <w:vAlign w:val="bottom"/>
            <w:vMerge w:val="restart"/>
            <w:shd w:val="clear" w:color="auto" w:fill="CCEEFF"/>
          </w:tcPr>
          <w:p>
            <w:pPr>
              <w:spacing w:after="0"/>
              <w:rPr>
                <w:sz w:val="19"/>
                <w:szCs w:val="19"/>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vMerge w:val="restart"/>
            <w:shd w:val="clear" w:color="auto" w:fill="CCEEFF"/>
          </w:tcPr>
          <w:p>
            <w:pPr>
              <w:jc w:val="right"/>
              <w:ind w:right="44"/>
              <w:spacing w:after="0"/>
              <w:rPr>
                <w:sz w:val="20"/>
                <w:szCs w:val="20"/>
                <w:color w:val="auto"/>
              </w:rPr>
            </w:pPr>
            <w:r>
              <w:rPr>
                <w:rFonts w:ascii="Arial" w:cs="Arial" w:eastAsia="Arial" w:hAnsi="Arial"/>
                <w:sz w:val="18"/>
                <w:szCs w:val="18"/>
                <w:color w:val="auto"/>
              </w:rPr>
              <w:t>43</w:t>
            </w:r>
          </w:p>
        </w:tc>
        <w:tc>
          <w:tcPr>
            <w:tcW w:w="100" w:type="dxa"/>
            <w:vAlign w:val="bottom"/>
            <w:shd w:val="clear" w:color="auto" w:fill="CCEEFF"/>
          </w:tcPr>
          <w:p>
            <w:pPr>
              <w:spacing w:after="0"/>
              <w:rPr>
                <w:sz w:val="19"/>
                <w:szCs w:val="19"/>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gridSpan w:val="3"/>
            <w:vMerge w:val="restart"/>
            <w:shd w:val="clear" w:color="auto" w:fill="CCEEFF"/>
          </w:tcPr>
          <w:p>
            <w:pPr>
              <w:jc w:val="right"/>
              <w:ind w:right="28"/>
              <w:spacing w:after="0"/>
              <w:rPr>
                <w:sz w:val="20"/>
                <w:szCs w:val="20"/>
                <w:color w:val="auto"/>
              </w:rPr>
            </w:pPr>
            <w:r>
              <w:rPr>
                <w:rFonts w:ascii="Arial" w:cs="Arial" w:eastAsia="Arial" w:hAnsi="Arial"/>
                <w:sz w:val="18"/>
                <w:szCs w:val="18"/>
                <w:color w:val="auto"/>
              </w:rPr>
              <w:t>96</w:t>
            </w:r>
          </w:p>
        </w:tc>
        <w:tc>
          <w:tcPr>
            <w:tcW w:w="100" w:type="dxa"/>
            <w:vAlign w:val="bottom"/>
            <w:shd w:val="clear" w:color="auto" w:fill="CCEEFF"/>
          </w:tcPr>
          <w:p>
            <w:pPr>
              <w:spacing w:after="0"/>
              <w:rPr>
                <w:sz w:val="19"/>
                <w:szCs w:val="19"/>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gridSpan w:val="3"/>
            <w:vMerge w:val="restart"/>
            <w:shd w:val="clear" w:color="auto" w:fill="CCEEFF"/>
          </w:tcPr>
          <w:p>
            <w:pPr>
              <w:jc w:val="right"/>
              <w:spacing w:after="0"/>
              <w:rPr>
                <w:sz w:val="20"/>
                <w:szCs w:val="20"/>
                <w:color w:val="auto"/>
              </w:rPr>
            </w:pPr>
            <w:r>
              <w:rPr>
                <w:rFonts w:ascii="Arial" w:cs="Arial" w:eastAsia="Arial" w:hAnsi="Arial"/>
                <w:sz w:val="18"/>
                <w:szCs w:val="18"/>
                <w:color w:val="auto"/>
              </w:rPr>
              <w:t>(81)</w:t>
            </w:r>
          </w:p>
        </w:tc>
        <w:tc>
          <w:tcPr>
            <w:tcW w:w="100" w:type="dxa"/>
            <w:vAlign w:val="bottom"/>
            <w:shd w:val="clear" w:color="auto" w:fill="CCEEFF"/>
          </w:tcPr>
          <w:p>
            <w:pPr>
              <w:spacing w:after="0"/>
              <w:rPr>
                <w:sz w:val="19"/>
                <w:szCs w:val="19"/>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vMerge w:val="restart"/>
            <w:shd w:val="clear" w:color="auto" w:fill="CCEEFF"/>
          </w:tcPr>
          <w:p>
            <w:pPr>
              <w:ind w:left="640"/>
              <w:spacing w:after="0"/>
              <w:rPr>
                <w:sz w:val="20"/>
                <w:szCs w:val="20"/>
                <w:color w:val="auto"/>
              </w:rPr>
            </w:pPr>
            <w:r>
              <w:rPr>
                <w:rFonts w:ascii="Arial" w:cs="Arial" w:eastAsia="Arial" w:hAnsi="Arial"/>
                <w:sz w:val="18"/>
                <w:szCs w:val="18"/>
                <w:color w:val="auto"/>
              </w:rPr>
              <w:t>(82)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2180" w:type="dxa"/>
            <w:vAlign w:val="bottom"/>
            <w:tcBorders>
              <w:bottom w:val="single" w:sz="8" w:color="CCEEFF"/>
            </w:tcBorders>
            <w:gridSpan w:val="2"/>
            <w:shd w:val="clear" w:color="auto" w:fill="CCEEFF"/>
          </w:tcPr>
          <w:p>
            <w:pPr>
              <w:ind w:left="200"/>
              <w:spacing w:after="0"/>
              <w:rPr>
                <w:sz w:val="20"/>
                <w:szCs w:val="20"/>
                <w:color w:val="auto"/>
              </w:rPr>
            </w:pPr>
            <w:r>
              <w:rPr>
                <w:rFonts w:ascii="Arial" w:cs="Arial" w:eastAsia="Arial" w:hAnsi="Arial"/>
                <w:sz w:val="18"/>
                <w:szCs w:val="18"/>
                <w:color w:val="auto"/>
              </w:rPr>
              <w:t>contracts</w:t>
            </w:r>
          </w:p>
        </w:tc>
        <w:tc>
          <w:tcPr>
            <w:tcW w:w="150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9"/>
              </w:rPr>
              <w:t>Liabilities</w:t>
            </w:r>
          </w:p>
        </w:tc>
        <w:tc>
          <w:tcPr>
            <w:tcW w:w="220" w:type="dxa"/>
            <w:vAlign w:val="bottom"/>
            <w:tcBorders>
              <w:bottom w:val="single" w:sz="8" w:color="auto"/>
            </w:tcBorders>
            <w:vMerge w:val="continue"/>
            <w:shd w:val="clear" w:color="auto" w:fill="CCEEFF"/>
          </w:tcPr>
          <w:p>
            <w:pPr>
              <w:spacing w:after="0"/>
              <w:rPr>
                <w:sz w:val="20"/>
                <w:szCs w:val="20"/>
                <w:color w:val="auto"/>
              </w:rPr>
            </w:pPr>
          </w:p>
        </w:tc>
        <w:tc>
          <w:tcPr>
            <w:tcW w:w="1060" w:type="dxa"/>
            <w:vAlign w:val="bottom"/>
            <w:tcBorders>
              <w:bottom w:val="single" w:sz="8" w:color="auto"/>
            </w:tcBorders>
            <w:vMerge w:val="continue"/>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vMerge w:val="continue"/>
            <w:shd w:val="clear" w:color="auto" w:fill="CCEEFF"/>
          </w:tcPr>
          <w:p>
            <w:pPr>
              <w:spacing w:after="0"/>
              <w:rPr>
                <w:sz w:val="20"/>
                <w:szCs w:val="20"/>
                <w:color w:val="auto"/>
              </w:rPr>
            </w:pPr>
          </w:p>
        </w:tc>
        <w:tc>
          <w:tcPr>
            <w:tcW w:w="980" w:type="dxa"/>
            <w:vAlign w:val="bottom"/>
            <w:tcBorders>
              <w:bottom w:val="single" w:sz="8" w:color="auto"/>
            </w:tcBorders>
            <w:gridSpan w:val="2"/>
            <w:vMerge w:val="continue"/>
            <w:shd w:val="clear" w:color="auto" w:fill="CCEEFF"/>
          </w:tcPr>
          <w:p>
            <w:pPr>
              <w:spacing w:after="0"/>
              <w:rPr>
                <w:sz w:val="20"/>
                <w:szCs w:val="20"/>
                <w:color w:val="auto"/>
              </w:rPr>
            </w:pPr>
          </w:p>
        </w:tc>
        <w:tc>
          <w:tcPr>
            <w:tcW w:w="20" w:type="dxa"/>
            <w:vAlign w:val="bottom"/>
            <w:tcBorders>
              <w:bottom w:val="single" w:sz="8" w:color="auto"/>
            </w:tcBorders>
            <w:shd w:val="clear" w:color="auto" w:fill="CCEEFF"/>
          </w:tcPr>
          <w:p>
            <w:pPr>
              <w:spacing w:after="0"/>
              <w:rPr>
                <w:sz w:val="20"/>
                <w:szCs w:val="20"/>
                <w:color w:val="auto"/>
              </w:rPr>
            </w:pPr>
          </w:p>
        </w:tc>
        <w:tc>
          <w:tcPr>
            <w:tcW w:w="120" w:type="dxa"/>
            <w:vAlign w:val="bottom"/>
            <w:tcBorders>
              <w:bottom w:val="single" w:sz="8" w:color="CCEEFF"/>
            </w:tcBorders>
            <w:vMerge w:val="continue"/>
            <w:shd w:val="clear" w:color="auto" w:fill="CCEEFF"/>
          </w:tcPr>
          <w:p>
            <w:pPr>
              <w:spacing w:after="0"/>
              <w:rPr>
                <w:sz w:val="20"/>
                <w:szCs w:val="20"/>
                <w:color w:val="auto"/>
              </w:rPr>
            </w:pPr>
          </w:p>
        </w:tc>
        <w:tc>
          <w:tcPr>
            <w:tcW w:w="140" w:type="dxa"/>
            <w:vAlign w:val="bottom"/>
            <w:tcBorders>
              <w:bottom w:val="single" w:sz="8" w:color="auto"/>
            </w:tcBorders>
            <w:vMerge w:val="continue"/>
            <w:shd w:val="clear" w:color="auto" w:fill="CCEEFF"/>
          </w:tcPr>
          <w:p>
            <w:pPr>
              <w:spacing w:after="0"/>
              <w:rPr>
                <w:sz w:val="20"/>
                <w:szCs w:val="20"/>
                <w:color w:val="auto"/>
              </w:rPr>
            </w:pPr>
          </w:p>
        </w:tc>
        <w:tc>
          <w:tcPr>
            <w:tcW w:w="110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vMerge w:val="continue"/>
            <w:shd w:val="clear" w:color="auto" w:fill="CCEEFF"/>
          </w:tcPr>
          <w:p>
            <w:pPr>
              <w:spacing w:after="0"/>
              <w:rPr>
                <w:sz w:val="20"/>
                <w:szCs w:val="20"/>
                <w:color w:val="auto"/>
              </w:rPr>
            </w:pPr>
          </w:p>
        </w:tc>
        <w:tc>
          <w:tcPr>
            <w:tcW w:w="1000" w:type="dxa"/>
            <w:vAlign w:val="bottom"/>
            <w:tcBorders>
              <w:bottom w:val="single" w:sz="8" w:color="auto"/>
            </w:tcBorders>
            <w:gridSpan w:val="3"/>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vMerge w:val="continue"/>
            <w:shd w:val="clear" w:color="auto" w:fill="CCEEFF"/>
          </w:tcPr>
          <w:p>
            <w:pPr>
              <w:spacing w:after="0"/>
              <w:rPr>
                <w:sz w:val="20"/>
                <w:szCs w:val="20"/>
                <w:color w:val="auto"/>
              </w:rPr>
            </w:pPr>
          </w:p>
        </w:tc>
        <w:tc>
          <w:tcPr>
            <w:tcW w:w="1140" w:type="dxa"/>
            <w:vAlign w:val="bottom"/>
            <w:tcBorders>
              <w:bottom w:val="single" w:sz="8" w:color="auto"/>
            </w:tcBorders>
            <w:gridSpan w:val="3"/>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vMerge w:val="continue"/>
            <w:shd w:val="clear" w:color="auto" w:fill="CCEEFF"/>
          </w:tcPr>
          <w:p>
            <w:pPr>
              <w:spacing w:after="0"/>
              <w:rPr>
                <w:sz w:val="20"/>
                <w:szCs w:val="20"/>
                <w:color w:val="auto"/>
              </w:rPr>
            </w:pPr>
          </w:p>
        </w:tc>
        <w:tc>
          <w:tcPr>
            <w:tcW w:w="1000" w:type="dxa"/>
            <w:vAlign w:val="bottom"/>
            <w:tcBorders>
              <w:bottom w:val="single" w:sz="8" w:color="auto"/>
            </w:tcBorders>
            <w:vMerge w:val="continue"/>
            <w:shd w:val="clear" w:color="auto" w:fill="CCEEFF"/>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Borders>
              <w:bottom w:val="single" w:sz="8" w:color="auto"/>
            </w:tcBorders>
            <w:gridSpan w:val="2"/>
          </w:tcPr>
          <w:p>
            <w:pPr>
              <w:spacing w:after="0" w:line="20" w:lineRule="exact"/>
              <w:rPr>
                <w:sz w:val="1"/>
                <w:szCs w:val="1"/>
                <w:color w:val="auto"/>
              </w:rPr>
            </w:pPr>
          </w:p>
        </w:tc>
        <w:tc>
          <w:tcPr>
            <w:tcW w:w="22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Borders>
              <w:bottom w:val="single" w:sz="8" w:color="auto"/>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99"/>
        </w:trPr>
        <w:tc>
          <w:tcPr>
            <w:tcW w:w="2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40" w:type="dxa"/>
            <w:vAlign w:val="bottom"/>
            <w:gridSpan w:val="10"/>
          </w:tcPr>
          <w:p>
            <w:pPr>
              <w:jc w:val="center"/>
              <w:spacing w:after="0"/>
              <w:rPr>
                <w:sz w:val="20"/>
                <w:szCs w:val="20"/>
                <w:color w:val="auto"/>
              </w:rPr>
            </w:pPr>
            <w:r>
              <w:rPr>
                <w:rFonts w:ascii="Arial" w:cs="Arial" w:eastAsia="Arial" w:hAnsi="Arial"/>
                <w:sz w:val="14"/>
                <w:szCs w:val="14"/>
                <w:b w:val="1"/>
                <w:bCs w:val="1"/>
                <w:color w:val="auto"/>
                <w:w w:val="92"/>
              </w:rPr>
              <w:t>Amount of (Loss) Gain Recognized in Income</w:t>
            </w:r>
          </w:p>
        </w:tc>
        <w:tc>
          <w:tcPr>
            <w:tcW w:w="0" w:type="dxa"/>
            <w:vAlign w:val="bottom"/>
          </w:tcPr>
          <w:p>
            <w:pPr>
              <w:spacing w:after="0"/>
              <w:rPr>
                <w:sz w:val="1"/>
                <w:szCs w:val="1"/>
                <w:color w:val="auto"/>
              </w:rPr>
            </w:pPr>
          </w:p>
        </w:tc>
      </w:tr>
      <w:tr>
        <w:trPr>
          <w:trHeight w:val="192"/>
        </w:trPr>
        <w:tc>
          <w:tcPr>
            <w:tcW w:w="20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400" w:type="dxa"/>
            <w:vAlign w:val="bottom"/>
            <w:tcBorders>
              <w:bottom w:val="single" w:sz="8" w:color="auto"/>
            </w:tcBorders>
            <w:gridSpan w:val="7"/>
          </w:tcPr>
          <w:p>
            <w:pPr>
              <w:jc w:val="center"/>
              <w:ind w:right="400"/>
              <w:spacing w:after="0"/>
              <w:rPr>
                <w:sz w:val="20"/>
                <w:szCs w:val="20"/>
                <w:color w:val="auto"/>
              </w:rPr>
            </w:pPr>
            <w:r>
              <w:rPr>
                <w:rFonts w:ascii="Arial" w:cs="Arial" w:eastAsia="Arial" w:hAnsi="Arial"/>
                <w:sz w:val="14"/>
                <w:szCs w:val="14"/>
                <w:b w:val="1"/>
                <w:bCs w:val="1"/>
                <w:color w:val="auto"/>
                <w:w w:val="94"/>
              </w:rPr>
              <w:t>on Derivative Contracts</w:t>
            </w:r>
          </w:p>
        </w:tc>
        <w:tc>
          <w:tcPr>
            <w:tcW w:w="0" w:type="dxa"/>
            <w:vAlign w:val="bottom"/>
          </w:tcPr>
          <w:p>
            <w:pPr>
              <w:spacing w:after="0"/>
              <w:rPr>
                <w:sz w:val="1"/>
                <w:szCs w:val="1"/>
                <w:color w:val="auto"/>
              </w:rPr>
            </w:pPr>
          </w:p>
        </w:tc>
      </w:tr>
      <w:tr>
        <w:trPr>
          <w:trHeight w:val="202"/>
        </w:trPr>
        <w:tc>
          <w:tcPr>
            <w:tcW w:w="2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440" w:type="dxa"/>
            <w:vAlign w:val="bottom"/>
            <w:gridSpan w:val="7"/>
          </w:tcPr>
          <w:p>
            <w:pPr>
              <w:jc w:val="center"/>
              <w:ind w:right="820"/>
              <w:spacing w:after="0"/>
              <w:rPr>
                <w:sz w:val="20"/>
                <w:szCs w:val="20"/>
                <w:color w:val="auto"/>
              </w:rPr>
            </w:pPr>
            <w:r>
              <w:rPr>
                <w:rFonts w:ascii="Arial" w:cs="Arial" w:eastAsia="Arial" w:hAnsi="Arial"/>
                <w:sz w:val="14"/>
                <w:szCs w:val="14"/>
                <w:b w:val="1"/>
                <w:bCs w:val="1"/>
                <w:color w:val="auto"/>
                <w:w w:val="93"/>
              </w:rPr>
              <w:t>Location of (Loss) Gain</w:t>
            </w:r>
          </w:p>
        </w:tc>
        <w:tc>
          <w:tcPr>
            <w:tcW w:w="120" w:type="dxa"/>
            <w:vAlign w:val="bottom"/>
          </w:tcPr>
          <w:p>
            <w:pPr>
              <w:spacing w:after="0"/>
              <w:rPr>
                <w:sz w:val="17"/>
                <w:szCs w:val="17"/>
                <w:color w:val="auto"/>
              </w:rPr>
            </w:pPr>
          </w:p>
        </w:tc>
        <w:tc>
          <w:tcPr>
            <w:tcW w:w="2400" w:type="dxa"/>
            <w:vAlign w:val="bottom"/>
            <w:gridSpan w:val="7"/>
          </w:tcPr>
          <w:p>
            <w:pPr>
              <w:jc w:val="center"/>
              <w:ind w:right="420"/>
              <w:spacing w:after="0"/>
              <w:rPr>
                <w:sz w:val="20"/>
                <w:szCs w:val="20"/>
                <w:color w:val="auto"/>
              </w:rPr>
            </w:pPr>
            <w:r>
              <w:rPr>
                <w:rFonts w:ascii="Arial" w:cs="Arial" w:eastAsia="Arial" w:hAnsi="Arial"/>
                <w:sz w:val="14"/>
                <w:szCs w:val="14"/>
                <w:b w:val="1"/>
                <w:bCs w:val="1"/>
                <w:color w:val="auto"/>
                <w:w w:val="95"/>
              </w:rPr>
              <w:t>Three Months Ended March 31,</w:t>
            </w:r>
          </w:p>
        </w:tc>
        <w:tc>
          <w:tcPr>
            <w:tcW w:w="0" w:type="dxa"/>
            <w:vAlign w:val="bottom"/>
          </w:tcPr>
          <w:p>
            <w:pPr>
              <w:spacing w:after="0"/>
              <w:rPr>
                <w:sz w:val="1"/>
                <w:szCs w:val="1"/>
                <w:color w:val="auto"/>
              </w:rPr>
            </w:pPr>
          </w:p>
        </w:tc>
      </w:tr>
      <w:tr>
        <w:trPr>
          <w:trHeight w:val="54"/>
        </w:trPr>
        <w:tc>
          <w:tcPr>
            <w:tcW w:w="2060" w:type="dxa"/>
            <w:vAlign w:val="bottom"/>
          </w:tcPr>
          <w:p>
            <w:pPr>
              <w:spacing w:after="0"/>
              <w:rPr>
                <w:sz w:val="4"/>
                <w:szCs w:val="4"/>
                <w:color w:val="auto"/>
              </w:rPr>
            </w:pPr>
          </w:p>
        </w:tc>
        <w:tc>
          <w:tcPr>
            <w:tcW w:w="120" w:type="dxa"/>
            <w:vAlign w:val="bottom"/>
          </w:tcPr>
          <w:p>
            <w:pPr>
              <w:spacing w:after="0"/>
              <w:rPr>
                <w:sz w:val="4"/>
                <w:szCs w:val="4"/>
                <w:color w:val="auto"/>
              </w:rPr>
            </w:pPr>
          </w:p>
        </w:tc>
        <w:tc>
          <w:tcPr>
            <w:tcW w:w="1380" w:type="dxa"/>
            <w:vAlign w:val="bottom"/>
          </w:tcPr>
          <w:p>
            <w:pPr>
              <w:spacing w:after="0"/>
              <w:rPr>
                <w:sz w:val="4"/>
                <w:szCs w:val="4"/>
                <w:color w:val="auto"/>
              </w:rPr>
            </w:pPr>
          </w:p>
        </w:tc>
        <w:tc>
          <w:tcPr>
            <w:tcW w:w="120" w:type="dxa"/>
            <w:vAlign w:val="bottom"/>
          </w:tcPr>
          <w:p>
            <w:pPr>
              <w:spacing w:after="0"/>
              <w:rPr>
                <w:sz w:val="4"/>
                <w:szCs w:val="4"/>
                <w:color w:val="auto"/>
              </w:rPr>
            </w:pPr>
          </w:p>
        </w:tc>
        <w:tc>
          <w:tcPr>
            <w:tcW w:w="220" w:type="dxa"/>
            <w:vAlign w:val="bottom"/>
          </w:tcPr>
          <w:p>
            <w:pPr>
              <w:spacing w:after="0"/>
              <w:rPr>
                <w:sz w:val="4"/>
                <w:szCs w:val="4"/>
                <w:color w:val="auto"/>
              </w:rPr>
            </w:pPr>
          </w:p>
        </w:tc>
        <w:tc>
          <w:tcPr>
            <w:tcW w:w="1060" w:type="dxa"/>
            <w:vAlign w:val="bottom"/>
          </w:tcPr>
          <w:p>
            <w:pPr>
              <w:spacing w:after="0"/>
              <w:rPr>
                <w:sz w:val="4"/>
                <w:szCs w:val="4"/>
                <w:color w:val="auto"/>
              </w:rPr>
            </w:pPr>
          </w:p>
        </w:tc>
        <w:tc>
          <w:tcPr>
            <w:tcW w:w="120" w:type="dxa"/>
            <w:vAlign w:val="bottom"/>
          </w:tcPr>
          <w:p>
            <w:pPr>
              <w:spacing w:after="0"/>
              <w:rPr>
                <w:sz w:val="4"/>
                <w:szCs w:val="4"/>
                <w:color w:val="auto"/>
              </w:rPr>
            </w:pPr>
          </w:p>
        </w:tc>
        <w:tc>
          <w:tcPr>
            <w:tcW w:w="120" w:type="dxa"/>
            <w:vAlign w:val="bottom"/>
          </w:tcPr>
          <w:p>
            <w:pPr>
              <w:spacing w:after="0"/>
              <w:rPr>
                <w:sz w:val="4"/>
                <w:szCs w:val="4"/>
                <w:color w:val="auto"/>
              </w:rPr>
            </w:pPr>
          </w:p>
        </w:tc>
        <w:tc>
          <w:tcPr>
            <w:tcW w:w="860" w:type="dxa"/>
            <w:vAlign w:val="bottom"/>
          </w:tcPr>
          <w:p>
            <w:pPr>
              <w:spacing w:after="0"/>
              <w:rPr>
                <w:sz w:val="4"/>
                <w:szCs w:val="4"/>
                <w:color w:val="auto"/>
              </w:rPr>
            </w:pPr>
          </w:p>
        </w:tc>
        <w:tc>
          <w:tcPr>
            <w:tcW w:w="120" w:type="dxa"/>
            <w:vAlign w:val="bottom"/>
          </w:tcPr>
          <w:p>
            <w:pPr>
              <w:spacing w:after="0"/>
              <w:rPr>
                <w:sz w:val="4"/>
                <w:szCs w:val="4"/>
                <w:color w:val="auto"/>
              </w:rPr>
            </w:pPr>
          </w:p>
        </w:tc>
        <w:tc>
          <w:tcPr>
            <w:tcW w:w="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40" w:type="dxa"/>
            <w:vAlign w:val="bottom"/>
          </w:tcPr>
          <w:p>
            <w:pPr>
              <w:spacing w:after="0"/>
              <w:rPr>
                <w:sz w:val="4"/>
                <w:szCs w:val="4"/>
                <w:color w:val="auto"/>
              </w:rPr>
            </w:pPr>
          </w:p>
        </w:tc>
        <w:tc>
          <w:tcPr>
            <w:tcW w:w="2120" w:type="dxa"/>
            <w:vAlign w:val="bottom"/>
            <w:gridSpan w:val="5"/>
            <w:vMerge w:val="restart"/>
          </w:tcPr>
          <w:p>
            <w:pPr>
              <w:jc w:val="center"/>
              <w:ind w:right="500"/>
              <w:spacing w:after="0" w:line="139" w:lineRule="exact"/>
              <w:rPr>
                <w:sz w:val="20"/>
                <w:szCs w:val="20"/>
                <w:color w:val="auto"/>
              </w:rPr>
            </w:pPr>
            <w:r>
              <w:rPr>
                <w:rFonts w:ascii="Arial" w:cs="Arial" w:eastAsia="Arial" w:hAnsi="Arial"/>
                <w:sz w:val="14"/>
                <w:szCs w:val="14"/>
                <w:b w:val="1"/>
                <w:bCs w:val="1"/>
                <w:color w:val="auto"/>
                <w:w w:val="91"/>
              </w:rPr>
              <w:t>Recognized in Income on</w:t>
            </w:r>
          </w:p>
        </w:tc>
        <w:tc>
          <w:tcPr>
            <w:tcW w:w="320" w:type="dxa"/>
            <w:vAlign w:val="bottom"/>
            <w:tcBorders>
              <w:bottom w:val="single" w:sz="8" w:color="auto"/>
            </w:tcBorders>
            <w:gridSpan w:val="2"/>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65"/>
        </w:trPr>
        <w:tc>
          <w:tcPr>
            <w:tcW w:w="2060" w:type="dxa"/>
            <w:vAlign w:val="bottom"/>
          </w:tcPr>
          <w:p>
            <w:pPr>
              <w:spacing w:after="0"/>
              <w:rPr>
                <w:sz w:val="5"/>
                <w:szCs w:val="5"/>
                <w:color w:val="auto"/>
              </w:rPr>
            </w:pPr>
          </w:p>
        </w:tc>
        <w:tc>
          <w:tcPr>
            <w:tcW w:w="120" w:type="dxa"/>
            <w:vAlign w:val="bottom"/>
          </w:tcPr>
          <w:p>
            <w:pPr>
              <w:spacing w:after="0"/>
              <w:rPr>
                <w:sz w:val="5"/>
                <w:szCs w:val="5"/>
                <w:color w:val="auto"/>
              </w:rPr>
            </w:pPr>
          </w:p>
        </w:tc>
        <w:tc>
          <w:tcPr>
            <w:tcW w:w="1380" w:type="dxa"/>
            <w:vAlign w:val="bottom"/>
          </w:tcPr>
          <w:p>
            <w:pPr>
              <w:spacing w:after="0"/>
              <w:rPr>
                <w:sz w:val="5"/>
                <w:szCs w:val="5"/>
                <w:color w:val="auto"/>
              </w:rPr>
            </w:pPr>
          </w:p>
        </w:tc>
        <w:tc>
          <w:tcPr>
            <w:tcW w:w="120" w:type="dxa"/>
            <w:vAlign w:val="bottom"/>
          </w:tcPr>
          <w:p>
            <w:pPr>
              <w:spacing w:after="0"/>
              <w:rPr>
                <w:sz w:val="5"/>
                <w:szCs w:val="5"/>
                <w:color w:val="auto"/>
              </w:rPr>
            </w:pPr>
          </w:p>
        </w:tc>
        <w:tc>
          <w:tcPr>
            <w:tcW w:w="22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20" w:type="dxa"/>
            <w:vAlign w:val="bottom"/>
          </w:tcPr>
          <w:p>
            <w:pPr>
              <w:spacing w:after="0"/>
              <w:rPr>
                <w:sz w:val="5"/>
                <w:szCs w:val="5"/>
                <w:color w:val="auto"/>
              </w:rPr>
            </w:pPr>
          </w:p>
        </w:tc>
        <w:tc>
          <w:tcPr>
            <w:tcW w:w="120" w:type="dxa"/>
            <w:vAlign w:val="bottom"/>
          </w:tcPr>
          <w:p>
            <w:pPr>
              <w:spacing w:after="0"/>
              <w:rPr>
                <w:sz w:val="5"/>
                <w:szCs w:val="5"/>
                <w:color w:val="auto"/>
              </w:rPr>
            </w:pPr>
          </w:p>
        </w:tc>
        <w:tc>
          <w:tcPr>
            <w:tcW w:w="860" w:type="dxa"/>
            <w:vAlign w:val="bottom"/>
          </w:tcPr>
          <w:p>
            <w:pPr>
              <w:spacing w:after="0"/>
              <w:rPr>
                <w:sz w:val="5"/>
                <w:szCs w:val="5"/>
                <w:color w:val="auto"/>
              </w:rPr>
            </w:pPr>
          </w:p>
        </w:tc>
        <w:tc>
          <w:tcPr>
            <w:tcW w:w="120" w:type="dxa"/>
            <w:vAlign w:val="bottom"/>
          </w:tcPr>
          <w:p>
            <w:pPr>
              <w:spacing w:after="0"/>
              <w:rPr>
                <w:sz w:val="5"/>
                <w:szCs w:val="5"/>
                <w:color w:val="auto"/>
              </w:rPr>
            </w:pPr>
          </w:p>
        </w:tc>
        <w:tc>
          <w:tcPr>
            <w:tcW w:w="20" w:type="dxa"/>
            <w:vAlign w:val="bottom"/>
          </w:tcPr>
          <w:p>
            <w:pPr>
              <w:spacing w:after="0"/>
              <w:rPr>
                <w:sz w:val="5"/>
                <w:szCs w:val="5"/>
                <w:color w:val="auto"/>
              </w:rPr>
            </w:pPr>
          </w:p>
        </w:tc>
        <w:tc>
          <w:tcPr>
            <w:tcW w:w="120" w:type="dxa"/>
            <w:vAlign w:val="bottom"/>
          </w:tcPr>
          <w:p>
            <w:pPr>
              <w:spacing w:after="0"/>
              <w:rPr>
                <w:sz w:val="5"/>
                <w:szCs w:val="5"/>
                <w:color w:val="auto"/>
              </w:rPr>
            </w:pPr>
          </w:p>
        </w:tc>
        <w:tc>
          <w:tcPr>
            <w:tcW w:w="140" w:type="dxa"/>
            <w:vAlign w:val="bottom"/>
          </w:tcPr>
          <w:p>
            <w:pPr>
              <w:spacing w:after="0"/>
              <w:rPr>
                <w:sz w:val="5"/>
                <w:szCs w:val="5"/>
                <w:color w:val="auto"/>
              </w:rPr>
            </w:pPr>
          </w:p>
        </w:tc>
        <w:tc>
          <w:tcPr>
            <w:tcW w:w="2120" w:type="dxa"/>
            <w:vAlign w:val="bottom"/>
            <w:gridSpan w:val="5"/>
            <w:vMerge w:val="continue"/>
          </w:tcPr>
          <w:p>
            <w:pPr>
              <w:spacing w:after="0"/>
              <w:rPr>
                <w:sz w:val="5"/>
                <w:szCs w:val="5"/>
                <w:color w:val="auto"/>
              </w:rPr>
            </w:pPr>
          </w:p>
        </w:tc>
        <w:tc>
          <w:tcPr>
            <w:tcW w:w="320" w:type="dxa"/>
            <w:vAlign w:val="bottom"/>
            <w:gridSpan w:val="2"/>
          </w:tcPr>
          <w:p>
            <w:pPr>
              <w:spacing w:after="0"/>
              <w:rPr>
                <w:sz w:val="5"/>
                <w:szCs w:val="5"/>
                <w:color w:val="auto"/>
              </w:rPr>
            </w:pPr>
          </w:p>
        </w:tc>
        <w:tc>
          <w:tcPr>
            <w:tcW w:w="120" w:type="dxa"/>
            <w:vAlign w:val="bottom"/>
          </w:tcPr>
          <w:p>
            <w:pPr>
              <w:spacing w:after="0"/>
              <w:rPr>
                <w:sz w:val="5"/>
                <w:szCs w:val="5"/>
                <w:color w:val="auto"/>
              </w:rPr>
            </w:pPr>
          </w:p>
        </w:tc>
        <w:tc>
          <w:tcPr>
            <w:tcW w:w="920" w:type="dxa"/>
            <w:vAlign w:val="bottom"/>
            <w:vMerge w:val="restart"/>
          </w:tcPr>
          <w:p>
            <w:pPr>
              <w:jc w:val="right"/>
              <w:ind w:right="462"/>
              <w:spacing w:after="0"/>
              <w:rPr>
                <w:sz w:val="20"/>
                <w:szCs w:val="20"/>
                <w:color w:val="auto"/>
              </w:rPr>
            </w:pPr>
            <w:r>
              <w:rPr>
                <w:rFonts w:ascii="Arial" w:cs="Arial" w:eastAsia="Arial" w:hAnsi="Arial"/>
                <w:sz w:val="14"/>
                <w:szCs w:val="14"/>
                <w:b w:val="1"/>
                <w:bCs w:val="1"/>
                <w:color w:val="auto"/>
              </w:rPr>
              <w:t>2014</w:t>
            </w:r>
          </w:p>
        </w:tc>
        <w:tc>
          <w:tcPr>
            <w:tcW w:w="1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00" w:type="dxa"/>
            <w:vAlign w:val="bottom"/>
            <w:vMerge w:val="restart"/>
          </w:tcPr>
          <w:p>
            <w:pPr>
              <w:jc w:val="right"/>
              <w:ind w:right="439"/>
              <w:spacing w:after="0"/>
              <w:rPr>
                <w:sz w:val="20"/>
                <w:szCs w:val="20"/>
                <w:color w:val="auto"/>
              </w:rPr>
            </w:pPr>
            <w:r>
              <w:rPr>
                <w:rFonts w:ascii="Arial" w:cs="Arial" w:eastAsia="Arial" w:hAnsi="Arial"/>
                <w:sz w:val="14"/>
                <w:szCs w:val="14"/>
                <w:b w:val="1"/>
                <w:bCs w:val="1"/>
                <w:color w:val="auto"/>
              </w:rPr>
              <w:t>2013</w:t>
            </w: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92"/>
        </w:trPr>
        <w:tc>
          <w:tcPr>
            <w:tcW w:w="218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color w:val="auto"/>
              </w:rPr>
              <w:t>(in thousands)</w:t>
            </w:r>
          </w:p>
        </w:tc>
        <w:tc>
          <w:tcPr>
            <w:tcW w:w="13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900" w:type="dxa"/>
            <w:vAlign w:val="bottom"/>
            <w:tcBorders>
              <w:bottom w:val="single" w:sz="8" w:color="auto"/>
            </w:tcBorders>
            <w:gridSpan w:val="4"/>
          </w:tcPr>
          <w:p>
            <w:pPr>
              <w:jc w:val="center"/>
              <w:ind w:right="217"/>
              <w:spacing w:after="0"/>
              <w:rPr>
                <w:sz w:val="20"/>
                <w:szCs w:val="20"/>
                <w:color w:val="auto"/>
              </w:rPr>
            </w:pPr>
            <w:r>
              <w:rPr>
                <w:rFonts w:ascii="Arial" w:cs="Arial" w:eastAsia="Arial" w:hAnsi="Arial"/>
                <w:sz w:val="14"/>
                <w:szCs w:val="14"/>
                <w:b w:val="1"/>
                <w:bCs w:val="1"/>
                <w:color w:val="auto"/>
                <w:w w:val="93"/>
              </w:rPr>
              <w:t>Derivative Contracts</w:t>
            </w:r>
          </w:p>
        </w:tc>
        <w:tc>
          <w:tcPr>
            <w:tcW w:w="22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gridSpan w:val="2"/>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vMerge w:val="continue"/>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20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700" w:type="dxa"/>
            <w:vAlign w:val="bottom"/>
            <w:gridSpan w:val="9"/>
            <w:shd w:val="clear" w:color="auto" w:fill="CCEEFF"/>
          </w:tcPr>
          <w:p>
            <w:pPr>
              <w:spacing w:after="0"/>
              <w:rPr>
                <w:sz w:val="20"/>
                <w:szCs w:val="20"/>
                <w:color w:val="auto"/>
              </w:rPr>
            </w:pPr>
            <w:r>
              <w:rPr>
                <w:rFonts w:ascii="Arial" w:cs="Arial" w:eastAsia="Arial" w:hAnsi="Arial"/>
                <w:sz w:val="18"/>
                <w:szCs w:val="18"/>
                <w:color w:val="auto"/>
              </w:rPr>
              <w:t>Foreign currency exchange</w:t>
            </w: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680" w:type="dxa"/>
            <w:vAlign w:val="bottom"/>
            <w:gridSpan w:val="4"/>
            <w:shd w:val="clear" w:color="auto" w:fill="CCEEFF"/>
          </w:tcPr>
          <w:p>
            <w:pPr>
              <w:ind w:left="40"/>
              <w:spacing w:after="0"/>
              <w:rPr>
                <w:sz w:val="20"/>
                <w:szCs w:val="20"/>
                <w:color w:val="auto"/>
              </w:rPr>
            </w:pPr>
            <w:r>
              <w:rPr>
                <w:rFonts w:ascii="Arial" w:cs="Arial" w:eastAsia="Arial" w:hAnsi="Arial"/>
                <w:sz w:val="18"/>
                <w:szCs w:val="18"/>
                <w:color w:val="auto"/>
              </w:rPr>
              <w:t>Foreign currency derivative contracts</w:t>
            </w:r>
          </w:p>
        </w:tc>
        <w:tc>
          <w:tcPr>
            <w:tcW w:w="22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46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loss, net</w:t>
            </w:r>
          </w:p>
        </w:tc>
        <w:tc>
          <w:tcPr>
            <w:tcW w:w="140" w:type="dxa"/>
            <w:vAlign w:val="bottom"/>
            <w:shd w:val="clear" w:color="auto" w:fill="CCEEFF"/>
          </w:tcPr>
          <w:p>
            <w:pPr>
              <w:spacing w:after="0"/>
              <w:rPr>
                <w:sz w:val="20"/>
                <w:szCs w:val="20"/>
                <w:color w:val="auto"/>
              </w:rPr>
            </w:pPr>
          </w:p>
        </w:tc>
        <w:tc>
          <w:tcPr>
            <w:tcW w:w="1000" w:type="dxa"/>
            <w:vAlign w:val="bottom"/>
            <w:gridSpan w:val="3"/>
            <w:shd w:val="clear" w:color="auto" w:fill="CCEEFF"/>
          </w:tcPr>
          <w:p>
            <w:pPr>
              <w:jc w:val="right"/>
              <w:ind w:right="28"/>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(747)</w:t>
            </w:r>
          </w:p>
        </w:tc>
        <w:tc>
          <w:tcPr>
            <w:tcW w:w="120" w:type="dxa"/>
            <w:vAlign w:val="bottom"/>
            <w:shd w:val="clear" w:color="auto" w:fill="CCEEFF"/>
          </w:tcPr>
          <w:p>
            <w:pPr>
              <w:spacing w:after="0"/>
              <w:rPr>
                <w:sz w:val="20"/>
                <w:szCs w:val="20"/>
                <w:color w:val="auto"/>
              </w:rPr>
            </w:pPr>
          </w:p>
        </w:tc>
        <w:tc>
          <w:tcPr>
            <w:tcW w:w="2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9"/>
              </w:rPr>
              <w:t>$</w:t>
            </w:r>
          </w:p>
        </w:tc>
        <w:tc>
          <w:tcPr>
            <w:tcW w:w="140" w:type="dxa"/>
            <w:vAlign w:val="bottom"/>
            <w:shd w:val="clear" w:color="auto" w:fill="CCEEFF"/>
          </w:tcPr>
          <w:p>
            <w:pPr>
              <w:spacing w:after="0"/>
              <w:rPr>
                <w:sz w:val="20"/>
                <w:szCs w:val="20"/>
                <w:color w:val="auto"/>
              </w:rPr>
            </w:pPr>
          </w:p>
        </w:tc>
        <w:tc>
          <w:tcPr>
            <w:tcW w:w="1000" w:type="dxa"/>
            <w:vAlign w:val="bottom"/>
            <w:shd w:val="clear" w:color="auto" w:fill="CCEEFF"/>
          </w:tcPr>
          <w:p>
            <w:pPr>
              <w:ind w:left="640"/>
              <w:spacing w:after="0"/>
              <w:rPr>
                <w:sz w:val="20"/>
                <w:szCs w:val="20"/>
                <w:color w:val="auto"/>
              </w:rPr>
            </w:pPr>
            <w:r>
              <w:rPr>
                <w:rFonts w:ascii="Arial" w:cs="Arial" w:eastAsia="Arial" w:hAnsi="Arial"/>
                <w:sz w:val="18"/>
                <w:szCs w:val="18"/>
                <w:color w:val="auto"/>
              </w:rPr>
              <w:t>693</w:t>
            </w:r>
          </w:p>
        </w:tc>
        <w:tc>
          <w:tcPr>
            <w:tcW w:w="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20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3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0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8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56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9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00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See Note 9, Fair Value Measurements, for the determination of the fair values of derivatives.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125" w:right="239" w:bottom="1440" w:gutter="0" w:footer="0" w:header="0"/>
        </w:sectPr>
      </w:pPr>
    </w:p>
    <w:bookmarkStart w:id="10" w:name="page11"/>
    <w:bookmarkEnd w:id="10"/>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FAIR VALUE MEASUREMENTS</w:t>
      </w:r>
    </w:p>
    <w:p>
      <w:pPr>
        <w:spacing w:after="0" w:line="121" w:lineRule="exact"/>
        <w:rPr>
          <w:sz w:val="20"/>
          <w:szCs w:val="20"/>
          <w:color w:val="auto"/>
        </w:rPr>
      </w:pPr>
    </w:p>
    <w:p>
      <w:pPr>
        <w:ind w:right="120"/>
        <w:spacing w:after="0" w:line="273" w:lineRule="auto"/>
        <w:rPr>
          <w:sz w:val="20"/>
          <w:szCs w:val="20"/>
          <w:color w:val="auto"/>
        </w:rPr>
      </w:pPr>
      <w:r>
        <w:rPr>
          <w:rFonts w:ascii="Arial" w:cs="Arial" w:eastAsia="Arial" w:hAnsi="Arial"/>
          <w:sz w:val="17"/>
          <w:szCs w:val="17"/>
          <w:color w:val="auto"/>
        </w:rPr>
        <w:t>Fair value measurements used in the consolidated financial statements are based upon the price that would be received to sell an asset or paid to transfer a liability in an orderly transaction between market participants at the measurement date. The fair value hierarchy distinguishes between (1) market participant assumptions developed based on market data obtained from independent sources (observable inputs) and (2) an entity’s own assumptions about market participant assumptions developed based on the best information available in the circumstances (unobservable inputs). The fair value hierarchy consists of three broad levels, which gives the highest priority to unadjusted quoted prices in active markets for identical assets or liabilities (Level 1) and the lowest priority to unobservable inputs (Level 3). The three levels of the fair value hierarchy are described below:</w:t>
      </w:r>
    </w:p>
    <w:p>
      <w:pPr>
        <w:spacing w:after="0" w:line="287" w:lineRule="exact"/>
        <w:rPr>
          <w:sz w:val="20"/>
          <w:szCs w:val="20"/>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Level 1 – Unadjusted quoted prices in active markets for identical assets or liabilities.</w:t>
      </w:r>
    </w:p>
    <w:p>
      <w:pPr>
        <w:spacing w:after="0" w:line="117" w:lineRule="exact"/>
        <w:rPr>
          <w:rFonts w:ascii="Arial" w:cs="Arial" w:eastAsia="Arial" w:hAnsi="Arial"/>
          <w:sz w:val="18"/>
          <w:szCs w:val="18"/>
          <w:color w:val="auto"/>
        </w:rPr>
      </w:pPr>
    </w:p>
    <w:p>
      <w:pPr>
        <w:ind w:left="660" w:right="520" w:hanging="328"/>
        <w:spacing w:after="0" w:line="277"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Level 2 – Valuations based on quoted prices for similar assets or liabilities, quoted prices in markets that are not active, or other inputs that are observable or can be corroborated by observable data for substantially the full term of the assets or liabilities.</w:t>
      </w:r>
    </w:p>
    <w:p>
      <w:pPr>
        <w:spacing w:after="0" w:line="62" w:lineRule="exact"/>
        <w:rPr>
          <w:rFonts w:ascii="Arial" w:cs="Arial" w:eastAsia="Arial" w:hAnsi="Arial"/>
          <w:sz w:val="18"/>
          <w:szCs w:val="18"/>
          <w:color w:val="auto"/>
        </w:rPr>
      </w:pPr>
    </w:p>
    <w:p>
      <w:pPr>
        <w:ind w:left="660" w:right="380" w:hanging="328"/>
        <w:spacing w:after="0" w:line="277"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Level 3 – Unobservable inputs in which little or no market activity exists, therefore requiring an entity to develop its own assumptions about the inputs that market participants would use in pricing.</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details financial assets and liabilities measured and recorded at fair value on a recurring basis:</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780" w:type="dxa"/>
            <w:vAlign w:val="bottom"/>
          </w:tcPr>
          <w:p>
            <w:pPr>
              <w:spacing w:after="0"/>
              <w:rPr>
                <w:sz w:val="16"/>
                <w:szCs w:val="16"/>
                <w:color w:val="auto"/>
              </w:rPr>
            </w:pPr>
          </w:p>
        </w:tc>
        <w:tc>
          <w:tcPr>
            <w:tcW w:w="34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960" w:type="dxa"/>
            <w:vAlign w:val="bottom"/>
            <w:tcBorders>
              <w:bottom w:val="single" w:sz="8" w:color="auto"/>
            </w:tcBorders>
            <w:gridSpan w:val="5"/>
          </w:tcPr>
          <w:p>
            <w:pPr>
              <w:jc w:val="center"/>
              <w:ind w:right="300"/>
              <w:spacing w:after="0"/>
              <w:rPr>
                <w:sz w:val="20"/>
                <w:szCs w:val="20"/>
                <w:color w:val="auto"/>
              </w:rPr>
            </w:pPr>
            <w:r>
              <w:rPr>
                <w:rFonts w:ascii="Arial" w:cs="Arial" w:eastAsia="Arial" w:hAnsi="Arial"/>
                <w:sz w:val="14"/>
                <w:szCs w:val="14"/>
                <w:b w:val="1"/>
                <w:bCs w:val="1"/>
                <w:color w:val="auto"/>
                <w:w w:val="93"/>
              </w:rPr>
              <w:t>As of March 31, 2014</w:t>
            </w:r>
          </w:p>
        </w:tc>
        <w:tc>
          <w:tcPr>
            <w:tcW w:w="20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r>
      <w:tr>
        <w:trPr>
          <w:trHeight w:val="264"/>
        </w:trPr>
        <w:tc>
          <w:tcPr>
            <w:tcW w:w="3780" w:type="dxa"/>
            <w:vAlign w:val="bottom"/>
          </w:tcPr>
          <w:p>
            <w:pPr>
              <w:ind w:left="40"/>
              <w:spacing w:after="0"/>
              <w:rPr>
                <w:sz w:val="20"/>
                <w:szCs w:val="20"/>
                <w:color w:val="auto"/>
              </w:rPr>
            </w:pPr>
            <w:r>
              <w:rPr>
                <w:rFonts w:ascii="Arial" w:cs="Arial" w:eastAsia="Arial" w:hAnsi="Arial"/>
                <w:sz w:val="14"/>
                <w:szCs w:val="14"/>
                <w:color w:val="auto"/>
              </w:rPr>
              <w:t>(in thousands)</w:t>
            </w:r>
          </w:p>
        </w:tc>
        <w:tc>
          <w:tcPr>
            <w:tcW w:w="3540" w:type="dxa"/>
            <w:vAlign w:val="bottom"/>
            <w:gridSpan w:val="2"/>
          </w:tcPr>
          <w:p>
            <w:pPr>
              <w:ind w:left="1360"/>
              <w:spacing w:after="0"/>
              <w:rPr>
                <w:sz w:val="20"/>
                <w:szCs w:val="20"/>
                <w:color w:val="auto"/>
              </w:rPr>
            </w:pPr>
            <w:r>
              <w:rPr>
                <w:rFonts w:ascii="Arial" w:cs="Arial" w:eastAsia="Arial" w:hAnsi="Arial"/>
                <w:sz w:val="14"/>
                <w:szCs w:val="14"/>
                <w:b w:val="1"/>
                <w:bCs w:val="1"/>
                <w:color w:val="auto"/>
              </w:rPr>
              <w:t>Balance Sheet Classification</w:t>
            </w:r>
          </w:p>
        </w:tc>
        <w:tc>
          <w:tcPr>
            <w:tcW w:w="180" w:type="dxa"/>
            <w:vAlign w:val="bottom"/>
          </w:tcPr>
          <w:p>
            <w:pPr>
              <w:spacing w:after="0"/>
              <w:rPr>
                <w:sz w:val="22"/>
                <w:szCs w:val="22"/>
                <w:color w:val="auto"/>
              </w:rPr>
            </w:pPr>
          </w:p>
        </w:tc>
        <w:tc>
          <w:tcPr>
            <w:tcW w:w="860" w:type="dxa"/>
            <w:vAlign w:val="bottom"/>
            <w:gridSpan w:val="2"/>
          </w:tcPr>
          <w:p>
            <w:pPr>
              <w:ind w:left="80"/>
              <w:spacing w:after="0"/>
              <w:rPr>
                <w:sz w:val="20"/>
                <w:szCs w:val="20"/>
                <w:color w:val="auto"/>
              </w:rPr>
            </w:pPr>
            <w:r>
              <w:rPr>
                <w:rFonts w:ascii="Arial" w:cs="Arial" w:eastAsia="Arial" w:hAnsi="Arial"/>
                <w:sz w:val="14"/>
                <w:szCs w:val="14"/>
                <w:b w:val="1"/>
                <w:bCs w:val="1"/>
                <w:color w:val="auto"/>
              </w:rPr>
              <w:t>Level 1</w:t>
            </w:r>
          </w:p>
        </w:tc>
        <w:tc>
          <w:tcPr>
            <w:tcW w:w="200" w:type="dxa"/>
            <w:vAlign w:val="bottom"/>
          </w:tcPr>
          <w:p>
            <w:pPr>
              <w:spacing w:after="0"/>
              <w:rPr>
                <w:sz w:val="22"/>
                <w:szCs w:val="22"/>
                <w:color w:val="auto"/>
              </w:rPr>
            </w:pPr>
          </w:p>
        </w:tc>
        <w:tc>
          <w:tcPr>
            <w:tcW w:w="940" w:type="dxa"/>
            <w:vAlign w:val="bottom"/>
            <w:gridSpan w:val="2"/>
          </w:tcPr>
          <w:p>
            <w:pPr>
              <w:ind w:left="100"/>
              <w:spacing w:after="0"/>
              <w:rPr>
                <w:sz w:val="20"/>
                <w:szCs w:val="20"/>
                <w:color w:val="auto"/>
              </w:rPr>
            </w:pPr>
            <w:r>
              <w:rPr>
                <w:rFonts w:ascii="Arial" w:cs="Arial" w:eastAsia="Arial" w:hAnsi="Arial"/>
                <w:sz w:val="14"/>
                <w:szCs w:val="14"/>
                <w:b w:val="1"/>
                <w:bCs w:val="1"/>
                <w:color w:val="auto"/>
              </w:rPr>
              <w:t>Level 2</w:t>
            </w:r>
          </w:p>
        </w:tc>
        <w:tc>
          <w:tcPr>
            <w:tcW w:w="180" w:type="dxa"/>
            <w:vAlign w:val="bottom"/>
          </w:tcPr>
          <w:p>
            <w:pPr>
              <w:spacing w:after="0"/>
              <w:rPr>
                <w:sz w:val="22"/>
                <w:szCs w:val="22"/>
                <w:color w:val="auto"/>
              </w:rPr>
            </w:pPr>
          </w:p>
        </w:tc>
        <w:tc>
          <w:tcPr>
            <w:tcW w:w="840" w:type="dxa"/>
            <w:vAlign w:val="bottom"/>
            <w:gridSpan w:val="2"/>
          </w:tcPr>
          <w:p>
            <w:pPr>
              <w:ind w:left="60"/>
              <w:spacing w:after="0"/>
              <w:rPr>
                <w:sz w:val="20"/>
                <w:szCs w:val="20"/>
                <w:color w:val="auto"/>
              </w:rPr>
            </w:pPr>
            <w:r>
              <w:rPr>
                <w:rFonts w:ascii="Arial" w:cs="Arial" w:eastAsia="Arial" w:hAnsi="Arial"/>
                <w:sz w:val="14"/>
                <w:szCs w:val="14"/>
                <w:b w:val="1"/>
                <w:bCs w:val="1"/>
                <w:color w:val="auto"/>
              </w:rPr>
              <w:t>Level 3</w:t>
            </w:r>
          </w:p>
        </w:tc>
        <w:tc>
          <w:tcPr>
            <w:tcW w:w="200" w:type="dxa"/>
            <w:vAlign w:val="bottom"/>
          </w:tcPr>
          <w:p>
            <w:pPr>
              <w:spacing w:after="0"/>
              <w:rPr>
                <w:sz w:val="22"/>
                <w:szCs w:val="22"/>
                <w:color w:val="auto"/>
              </w:rPr>
            </w:pPr>
          </w:p>
        </w:tc>
        <w:tc>
          <w:tcPr>
            <w:tcW w:w="700" w:type="dxa"/>
            <w:vAlign w:val="bottom"/>
          </w:tcPr>
          <w:p>
            <w:pPr>
              <w:jc w:val="right"/>
              <w:ind w:right="219"/>
              <w:spacing w:after="0"/>
              <w:rPr>
                <w:sz w:val="20"/>
                <w:szCs w:val="20"/>
                <w:color w:val="auto"/>
              </w:rPr>
            </w:pPr>
            <w:r>
              <w:rPr>
                <w:rFonts w:ascii="Arial" w:cs="Arial" w:eastAsia="Arial" w:hAnsi="Arial"/>
                <w:sz w:val="14"/>
                <w:szCs w:val="14"/>
                <w:b w:val="1"/>
                <w:bCs w:val="1"/>
                <w:color w:val="auto"/>
              </w:rPr>
              <w:t>Total</w:t>
            </w:r>
          </w:p>
        </w:tc>
      </w:tr>
      <w:tr>
        <w:trPr>
          <w:trHeight w:val="243"/>
        </w:trPr>
        <w:tc>
          <w:tcPr>
            <w:tcW w:w="3780" w:type="dxa"/>
            <w:vAlign w:val="bottom"/>
            <w:tcBorders>
              <w:top w:val="single" w:sz="8" w:color="auto"/>
            </w:tcBorders>
          </w:tcPr>
          <w:p>
            <w:pPr>
              <w:ind w:left="40"/>
              <w:spacing w:after="0"/>
              <w:rPr>
                <w:sz w:val="20"/>
                <w:szCs w:val="20"/>
                <w:color w:val="auto"/>
              </w:rPr>
            </w:pPr>
            <w:r>
              <w:rPr>
                <w:rFonts w:ascii="Arial" w:cs="Arial" w:eastAsia="Arial" w:hAnsi="Arial"/>
                <w:sz w:val="18"/>
                <w:szCs w:val="18"/>
                <w:b w:val="1"/>
                <w:bCs w:val="1"/>
                <w:color w:val="auto"/>
              </w:rPr>
              <w:t>Liabilities</w:t>
            </w:r>
          </w:p>
        </w:tc>
        <w:tc>
          <w:tcPr>
            <w:tcW w:w="342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76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Borders>
              <w:top w:val="single" w:sz="8" w:color="auto"/>
            </w:tcBorders>
          </w:tcPr>
          <w:p>
            <w:pPr>
              <w:spacing w:after="0"/>
              <w:rPr>
                <w:sz w:val="21"/>
                <w:szCs w:val="21"/>
                <w:color w:val="auto"/>
              </w:rPr>
            </w:pPr>
          </w:p>
        </w:tc>
        <w:tc>
          <w:tcPr>
            <w:tcW w:w="84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72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Borders>
              <w:top w:val="single" w:sz="8" w:color="auto"/>
            </w:tcBorders>
          </w:tcPr>
          <w:p>
            <w:pPr>
              <w:spacing w:after="0"/>
              <w:rPr>
                <w:sz w:val="21"/>
                <w:szCs w:val="21"/>
                <w:color w:val="auto"/>
              </w:rPr>
            </w:pPr>
          </w:p>
        </w:tc>
        <w:tc>
          <w:tcPr>
            <w:tcW w:w="700" w:type="dxa"/>
            <w:vAlign w:val="bottom"/>
            <w:tcBorders>
              <w:top w:val="single" w:sz="8" w:color="auto"/>
            </w:tcBorders>
          </w:tcPr>
          <w:p>
            <w:pPr>
              <w:spacing w:after="0"/>
              <w:rPr>
                <w:sz w:val="21"/>
                <w:szCs w:val="21"/>
                <w:color w:val="auto"/>
              </w:rPr>
            </w:pPr>
          </w:p>
        </w:tc>
      </w:tr>
      <w:tr>
        <w:trPr>
          <w:trHeight w:val="27"/>
        </w:trPr>
        <w:tc>
          <w:tcPr>
            <w:tcW w:w="3780" w:type="dxa"/>
            <w:vAlign w:val="bottom"/>
          </w:tcPr>
          <w:p>
            <w:pPr>
              <w:spacing w:after="0"/>
              <w:rPr>
                <w:sz w:val="2"/>
                <w:szCs w:val="2"/>
                <w:color w:val="auto"/>
              </w:rPr>
            </w:pPr>
          </w:p>
        </w:tc>
        <w:tc>
          <w:tcPr>
            <w:tcW w:w="3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r>
      <w:tr>
        <w:trPr>
          <w:trHeight w:val="250"/>
        </w:trPr>
        <w:tc>
          <w:tcPr>
            <w:tcW w:w="3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Foreign currency derivative contracts</w:t>
            </w:r>
          </w:p>
        </w:tc>
        <w:tc>
          <w:tcPr>
            <w:tcW w:w="3540" w:type="dxa"/>
            <w:vAlign w:val="bottom"/>
            <w:tcBorders>
              <w:bottom w:val="single" w:sz="8" w:color="CCEEFF"/>
            </w:tcBorders>
            <w:gridSpan w:val="2"/>
            <w:shd w:val="clear" w:color="auto" w:fill="CCEEFF"/>
          </w:tcPr>
          <w:p>
            <w:pPr>
              <w:ind w:left="1040"/>
              <w:spacing w:after="0"/>
              <w:rPr>
                <w:sz w:val="20"/>
                <w:szCs w:val="20"/>
                <w:color w:val="auto"/>
              </w:rPr>
            </w:pPr>
            <w:r>
              <w:rPr>
                <w:rFonts w:ascii="Arial" w:cs="Arial" w:eastAsia="Arial" w:hAnsi="Arial"/>
                <w:sz w:val="18"/>
                <w:szCs w:val="18"/>
                <w:color w:val="auto"/>
              </w:rPr>
              <w:t>Other current liabilities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gridSpan w:val="2"/>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gridSpan w:val="2"/>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(81)</w:t>
            </w:r>
          </w:p>
        </w:tc>
      </w:tr>
      <w:tr>
        <w:trPr>
          <w:trHeight w:val="399"/>
        </w:trPr>
        <w:tc>
          <w:tcPr>
            <w:tcW w:w="3780" w:type="dxa"/>
            <w:vAlign w:val="bottom"/>
          </w:tcPr>
          <w:p>
            <w:pPr>
              <w:spacing w:after="0"/>
              <w:rPr>
                <w:sz w:val="24"/>
                <w:szCs w:val="24"/>
                <w:color w:val="auto"/>
              </w:rPr>
            </w:pPr>
          </w:p>
        </w:tc>
        <w:tc>
          <w:tcPr>
            <w:tcW w:w="3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960" w:type="dxa"/>
            <w:vAlign w:val="bottom"/>
            <w:tcBorders>
              <w:bottom w:val="single" w:sz="8" w:color="auto"/>
            </w:tcBorders>
            <w:gridSpan w:val="5"/>
          </w:tcPr>
          <w:p>
            <w:pPr>
              <w:jc w:val="center"/>
              <w:ind w:right="300"/>
              <w:spacing w:after="0"/>
              <w:rPr>
                <w:sz w:val="20"/>
                <w:szCs w:val="20"/>
                <w:color w:val="auto"/>
              </w:rPr>
            </w:pPr>
            <w:r>
              <w:rPr>
                <w:rFonts w:ascii="Arial" w:cs="Arial" w:eastAsia="Arial" w:hAnsi="Arial"/>
                <w:sz w:val="14"/>
                <w:szCs w:val="14"/>
                <w:b w:val="1"/>
                <w:bCs w:val="1"/>
                <w:color w:val="auto"/>
                <w:w w:val="90"/>
              </w:rPr>
              <w:t>As of December 31, 2013</w:t>
            </w:r>
          </w:p>
        </w:tc>
        <w:tc>
          <w:tcPr>
            <w:tcW w:w="20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r>
      <w:tr>
        <w:trPr>
          <w:trHeight w:val="264"/>
        </w:trPr>
        <w:tc>
          <w:tcPr>
            <w:tcW w:w="3780" w:type="dxa"/>
            <w:vAlign w:val="bottom"/>
          </w:tcPr>
          <w:p>
            <w:pPr>
              <w:ind w:left="40"/>
              <w:spacing w:after="0"/>
              <w:rPr>
                <w:sz w:val="20"/>
                <w:szCs w:val="20"/>
                <w:color w:val="auto"/>
              </w:rPr>
            </w:pPr>
            <w:r>
              <w:rPr>
                <w:rFonts w:ascii="Arial" w:cs="Arial" w:eastAsia="Arial" w:hAnsi="Arial"/>
                <w:sz w:val="14"/>
                <w:szCs w:val="14"/>
                <w:color w:val="auto"/>
              </w:rPr>
              <w:t>(in thousands)</w:t>
            </w:r>
          </w:p>
        </w:tc>
        <w:tc>
          <w:tcPr>
            <w:tcW w:w="3540" w:type="dxa"/>
            <w:vAlign w:val="bottom"/>
            <w:gridSpan w:val="2"/>
          </w:tcPr>
          <w:p>
            <w:pPr>
              <w:ind w:left="1360"/>
              <w:spacing w:after="0"/>
              <w:rPr>
                <w:sz w:val="20"/>
                <w:szCs w:val="20"/>
                <w:color w:val="auto"/>
              </w:rPr>
            </w:pPr>
            <w:r>
              <w:rPr>
                <w:rFonts w:ascii="Arial" w:cs="Arial" w:eastAsia="Arial" w:hAnsi="Arial"/>
                <w:sz w:val="14"/>
                <w:szCs w:val="14"/>
                <w:b w:val="1"/>
                <w:bCs w:val="1"/>
                <w:color w:val="auto"/>
              </w:rPr>
              <w:t>Balance Sheet Classification</w:t>
            </w:r>
          </w:p>
        </w:tc>
        <w:tc>
          <w:tcPr>
            <w:tcW w:w="180" w:type="dxa"/>
            <w:vAlign w:val="bottom"/>
          </w:tcPr>
          <w:p>
            <w:pPr>
              <w:spacing w:after="0"/>
              <w:rPr>
                <w:sz w:val="22"/>
                <w:szCs w:val="22"/>
                <w:color w:val="auto"/>
              </w:rPr>
            </w:pPr>
          </w:p>
        </w:tc>
        <w:tc>
          <w:tcPr>
            <w:tcW w:w="860" w:type="dxa"/>
            <w:vAlign w:val="bottom"/>
            <w:gridSpan w:val="2"/>
          </w:tcPr>
          <w:p>
            <w:pPr>
              <w:ind w:left="80"/>
              <w:spacing w:after="0"/>
              <w:rPr>
                <w:sz w:val="20"/>
                <w:szCs w:val="20"/>
                <w:color w:val="auto"/>
              </w:rPr>
            </w:pPr>
            <w:r>
              <w:rPr>
                <w:rFonts w:ascii="Arial" w:cs="Arial" w:eastAsia="Arial" w:hAnsi="Arial"/>
                <w:sz w:val="14"/>
                <w:szCs w:val="14"/>
                <w:b w:val="1"/>
                <w:bCs w:val="1"/>
                <w:color w:val="auto"/>
              </w:rPr>
              <w:t>Level 1</w:t>
            </w:r>
          </w:p>
        </w:tc>
        <w:tc>
          <w:tcPr>
            <w:tcW w:w="200" w:type="dxa"/>
            <w:vAlign w:val="bottom"/>
          </w:tcPr>
          <w:p>
            <w:pPr>
              <w:spacing w:after="0"/>
              <w:rPr>
                <w:sz w:val="22"/>
                <w:szCs w:val="22"/>
                <w:color w:val="auto"/>
              </w:rPr>
            </w:pPr>
          </w:p>
        </w:tc>
        <w:tc>
          <w:tcPr>
            <w:tcW w:w="940" w:type="dxa"/>
            <w:vAlign w:val="bottom"/>
            <w:gridSpan w:val="2"/>
          </w:tcPr>
          <w:p>
            <w:pPr>
              <w:ind w:left="100"/>
              <w:spacing w:after="0"/>
              <w:rPr>
                <w:sz w:val="20"/>
                <w:szCs w:val="20"/>
                <w:color w:val="auto"/>
              </w:rPr>
            </w:pPr>
            <w:r>
              <w:rPr>
                <w:rFonts w:ascii="Arial" w:cs="Arial" w:eastAsia="Arial" w:hAnsi="Arial"/>
                <w:sz w:val="14"/>
                <w:szCs w:val="14"/>
                <w:b w:val="1"/>
                <w:bCs w:val="1"/>
                <w:color w:val="auto"/>
              </w:rPr>
              <w:t>Level 2</w:t>
            </w:r>
          </w:p>
        </w:tc>
        <w:tc>
          <w:tcPr>
            <w:tcW w:w="180" w:type="dxa"/>
            <w:vAlign w:val="bottom"/>
          </w:tcPr>
          <w:p>
            <w:pPr>
              <w:spacing w:after="0"/>
              <w:rPr>
                <w:sz w:val="22"/>
                <w:szCs w:val="22"/>
                <w:color w:val="auto"/>
              </w:rPr>
            </w:pPr>
          </w:p>
        </w:tc>
        <w:tc>
          <w:tcPr>
            <w:tcW w:w="840" w:type="dxa"/>
            <w:vAlign w:val="bottom"/>
            <w:gridSpan w:val="2"/>
          </w:tcPr>
          <w:p>
            <w:pPr>
              <w:ind w:left="60"/>
              <w:spacing w:after="0"/>
              <w:rPr>
                <w:sz w:val="20"/>
                <w:szCs w:val="20"/>
                <w:color w:val="auto"/>
              </w:rPr>
            </w:pPr>
            <w:r>
              <w:rPr>
                <w:rFonts w:ascii="Arial" w:cs="Arial" w:eastAsia="Arial" w:hAnsi="Arial"/>
                <w:sz w:val="14"/>
                <w:szCs w:val="14"/>
                <w:b w:val="1"/>
                <w:bCs w:val="1"/>
                <w:color w:val="auto"/>
              </w:rPr>
              <w:t>Level 3</w:t>
            </w:r>
          </w:p>
        </w:tc>
        <w:tc>
          <w:tcPr>
            <w:tcW w:w="200" w:type="dxa"/>
            <w:vAlign w:val="bottom"/>
          </w:tcPr>
          <w:p>
            <w:pPr>
              <w:spacing w:after="0"/>
              <w:rPr>
                <w:sz w:val="22"/>
                <w:szCs w:val="22"/>
                <w:color w:val="auto"/>
              </w:rPr>
            </w:pPr>
          </w:p>
        </w:tc>
        <w:tc>
          <w:tcPr>
            <w:tcW w:w="700" w:type="dxa"/>
            <w:vAlign w:val="bottom"/>
          </w:tcPr>
          <w:p>
            <w:pPr>
              <w:jc w:val="right"/>
              <w:ind w:right="219"/>
              <w:spacing w:after="0"/>
              <w:rPr>
                <w:sz w:val="20"/>
                <w:szCs w:val="20"/>
                <w:color w:val="auto"/>
              </w:rPr>
            </w:pPr>
            <w:r>
              <w:rPr>
                <w:rFonts w:ascii="Arial" w:cs="Arial" w:eastAsia="Arial" w:hAnsi="Arial"/>
                <w:sz w:val="14"/>
                <w:szCs w:val="14"/>
                <w:b w:val="1"/>
                <w:bCs w:val="1"/>
                <w:color w:val="auto"/>
              </w:rPr>
              <w:t>Total</w:t>
            </w:r>
          </w:p>
        </w:tc>
      </w:tr>
      <w:tr>
        <w:trPr>
          <w:trHeight w:val="243"/>
        </w:trPr>
        <w:tc>
          <w:tcPr>
            <w:tcW w:w="3780" w:type="dxa"/>
            <w:vAlign w:val="bottom"/>
            <w:tcBorders>
              <w:top w:val="single" w:sz="8" w:color="auto"/>
            </w:tcBorders>
          </w:tcPr>
          <w:p>
            <w:pPr>
              <w:ind w:left="40"/>
              <w:spacing w:after="0"/>
              <w:rPr>
                <w:sz w:val="20"/>
                <w:szCs w:val="20"/>
                <w:color w:val="auto"/>
              </w:rPr>
            </w:pPr>
            <w:r>
              <w:rPr>
                <w:rFonts w:ascii="Arial" w:cs="Arial" w:eastAsia="Arial" w:hAnsi="Arial"/>
                <w:sz w:val="18"/>
                <w:szCs w:val="18"/>
                <w:b w:val="1"/>
                <w:bCs w:val="1"/>
                <w:color w:val="auto"/>
              </w:rPr>
              <w:t>Liabilities</w:t>
            </w:r>
          </w:p>
        </w:tc>
        <w:tc>
          <w:tcPr>
            <w:tcW w:w="342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76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Borders>
              <w:top w:val="single" w:sz="8" w:color="auto"/>
            </w:tcBorders>
          </w:tcPr>
          <w:p>
            <w:pPr>
              <w:spacing w:after="0"/>
              <w:rPr>
                <w:sz w:val="21"/>
                <w:szCs w:val="21"/>
                <w:color w:val="auto"/>
              </w:rPr>
            </w:pPr>
          </w:p>
        </w:tc>
        <w:tc>
          <w:tcPr>
            <w:tcW w:w="84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72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Borders>
              <w:top w:val="single" w:sz="8" w:color="auto"/>
            </w:tcBorders>
          </w:tcPr>
          <w:p>
            <w:pPr>
              <w:spacing w:after="0"/>
              <w:rPr>
                <w:sz w:val="21"/>
                <w:szCs w:val="21"/>
                <w:color w:val="auto"/>
              </w:rPr>
            </w:pPr>
          </w:p>
        </w:tc>
        <w:tc>
          <w:tcPr>
            <w:tcW w:w="700" w:type="dxa"/>
            <w:vAlign w:val="bottom"/>
            <w:tcBorders>
              <w:top w:val="single" w:sz="8" w:color="auto"/>
            </w:tcBorders>
          </w:tcPr>
          <w:p>
            <w:pPr>
              <w:spacing w:after="0"/>
              <w:rPr>
                <w:sz w:val="21"/>
                <w:szCs w:val="21"/>
                <w:color w:val="auto"/>
              </w:rPr>
            </w:pPr>
          </w:p>
        </w:tc>
      </w:tr>
      <w:tr>
        <w:trPr>
          <w:trHeight w:val="27"/>
        </w:trPr>
        <w:tc>
          <w:tcPr>
            <w:tcW w:w="3780" w:type="dxa"/>
            <w:vAlign w:val="bottom"/>
          </w:tcPr>
          <w:p>
            <w:pPr>
              <w:spacing w:after="0"/>
              <w:rPr>
                <w:sz w:val="2"/>
                <w:szCs w:val="2"/>
                <w:color w:val="auto"/>
              </w:rPr>
            </w:pPr>
          </w:p>
        </w:tc>
        <w:tc>
          <w:tcPr>
            <w:tcW w:w="354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r>
      <w:tr>
        <w:trPr>
          <w:trHeight w:val="243"/>
        </w:trPr>
        <w:tc>
          <w:tcPr>
            <w:tcW w:w="3780" w:type="dxa"/>
            <w:vAlign w:val="bottom"/>
            <w:shd w:val="clear" w:color="auto" w:fill="CCEEFF"/>
          </w:tcPr>
          <w:p>
            <w:pPr>
              <w:ind w:left="40"/>
              <w:spacing w:after="0"/>
              <w:rPr>
                <w:sz w:val="20"/>
                <w:szCs w:val="20"/>
                <w:color w:val="auto"/>
              </w:rPr>
            </w:pPr>
            <w:r>
              <w:rPr>
                <w:rFonts w:ascii="Arial" w:cs="Arial" w:eastAsia="Arial" w:hAnsi="Arial"/>
                <w:sz w:val="18"/>
                <w:szCs w:val="18"/>
                <w:color w:val="auto"/>
              </w:rPr>
              <w:t>Foreign currency derivative contracts</w:t>
            </w:r>
          </w:p>
        </w:tc>
        <w:tc>
          <w:tcPr>
            <w:tcW w:w="3540" w:type="dxa"/>
            <w:vAlign w:val="bottom"/>
            <w:gridSpan w:val="2"/>
            <w:shd w:val="clear" w:color="auto" w:fill="CCEEFF"/>
          </w:tcPr>
          <w:p>
            <w:pPr>
              <w:ind w:left="1040"/>
              <w:spacing w:after="0"/>
              <w:rPr>
                <w:sz w:val="20"/>
                <w:szCs w:val="20"/>
                <w:color w:val="auto"/>
              </w:rPr>
            </w:pPr>
            <w:r>
              <w:rPr>
                <w:rFonts w:ascii="Arial" w:cs="Arial" w:eastAsia="Arial" w:hAnsi="Arial"/>
                <w:sz w:val="18"/>
                <w:szCs w:val="18"/>
                <w:color w:val="auto"/>
              </w:rPr>
              <w:t>Other current liabilities</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w:t>
            </w:r>
          </w:p>
        </w:tc>
      </w:tr>
      <w:tr>
        <w:trPr>
          <w:trHeight w:val="27"/>
        </w:trPr>
        <w:tc>
          <w:tcPr>
            <w:tcW w:w="3780" w:type="dxa"/>
            <w:vAlign w:val="bottom"/>
            <w:shd w:val="clear" w:color="auto" w:fill="CCEEFF"/>
          </w:tcPr>
          <w:p>
            <w:pPr>
              <w:spacing w:after="0"/>
              <w:rPr>
                <w:sz w:val="2"/>
                <w:szCs w:val="2"/>
                <w:color w:val="auto"/>
              </w:rPr>
            </w:pPr>
          </w:p>
        </w:tc>
        <w:tc>
          <w:tcPr>
            <w:tcW w:w="34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7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8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7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70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252525"/>
        </w:rPr>
        <w:t>Other Fair Value Disclosures</w:t>
      </w:r>
    </w:p>
    <w:p>
      <w:pPr>
        <w:spacing w:after="0" w:line="117" w:lineRule="exact"/>
        <w:rPr>
          <w:sz w:val="20"/>
          <w:szCs w:val="20"/>
          <w:color w:val="auto"/>
        </w:rPr>
      </w:pPr>
    </w:p>
    <w:p>
      <w:pPr>
        <w:jc w:val="both"/>
        <w:ind w:right="40"/>
        <w:spacing w:after="0" w:line="312" w:lineRule="auto"/>
        <w:rPr>
          <w:sz w:val="20"/>
          <w:szCs w:val="20"/>
          <w:color w:val="auto"/>
        </w:rPr>
      </w:pPr>
      <w:r>
        <w:rPr>
          <w:rFonts w:ascii="Arial" w:cs="Arial" w:eastAsia="Arial" w:hAnsi="Arial"/>
          <w:sz w:val="16"/>
          <w:szCs w:val="16"/>
          <w:color w:val="252525"/>
        </w:rPr>
        <w:t>The carrying amounts of cash and cash equivalents, accounts receivable, trade accounts payable, accrued expenses and other current obligations approximate their fair values because of the relatively short-term maturities of these financial instruments. The carrying values of the Company’s long-term debt, including the current portion, approximate fair value because interest is primarily based on LIBOR, which reset at various intervals of less than one year.</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125" w:right="239" w:bottom="1440" w:gutter="0" w:footer="0" w:header="0"/>
        </w:sectPr>
      </w:pPr>
    </w:p>
    <w:bookmarkStart w:id="11" w:name="page12"/>
    <w:bookmarkEnd w:id="11"/>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SEGMENT INFORMATION</w:t>
      </w:r>
    </w:p>
    <w:p>
      <w:pPr>
        <w:spacing w:after="0" w:line="121" w:lineRule="exact"/>
        <w:rPr>
          <w:sz w:val="20"/>
          <w:szCs w:val="20"/>
          <w:color w:val="auto"/>
        </w:rPr>
      </w:pPr>
    </w:p>
    <w:p>
      <w:pPr>
        <w:ind w:right="580"/>
        <w:spacing w:after="0" w:line="277" w:lineRule="auto"/>
        <w:rPr>
          <w:sz w:val="20"/>
          <w:szCs w:val="20"/>
          <w:color w:val="auto"/>
        </w:rPr>
      </w:pPr>
      <w:r>
        <w:rPr>
          <w:rFonts w:ascii="Arial" w:cs="Arial" w:eastAsia="Arial" w:hAnsi="Arial"/>
          <w:sz w:val="18"/>
          <w:szCs w:val="18"/>
          <w:color w:val="auto"/>
        </w:rPr>
        <w:t xml:space="preserve">The Company’s reportable operating segments have been determined in accordance with ASC Topic 280, </w:t>
      </w:r>
      <w:r>
        <w:rPr>
          <w:rFonts w:ascii="Arial" w:cs="Arial" w:eastAsia="Arial" w:hAnsi="Arial"/>
          <w:sz w:val="18"/>
          <w:szCs w:val="18"/>
          <w:i w:val="1"/>
          <w:iCs w:val="1"/>
          <w:color w:val="auto"/>
        </w:rPr>
        <w:t>Segment Reporting.</w:t>
      </w:r>
      <w:r>
        <w:rPr>
          <w:rFonts w:ascii="Arial" w:cs="Arial" w:eastAsia="Arial" w:hAnsi="Arial"/>
          <w:sz w:val="18"/>
          <w:szCs w:val="18"/>
          <w:color w:val="auto"/>
        </w:rPr>
        <w:t xml:space="preserve"> The Company currently operates in the following three reportable operating segments:</w:t>
      </w:r>
    </w:p>
    <w:p>
      <w:pPr>
        <w:spacing w:after="0" w:line="62" w:lineRule="exact"/>
        <w:rPr>
          <w:sz w:val="20"/>
          <w:szCs w:val="20"/>
          <w:color w:val="auto"/>
        </w:rPr>
      </w:pPr>
    </w:p>
    <w:p>
      <w:pPr>
        <w:ind w:left="980" w:right="20" w:hanging="648"/>
        <w:spacing w:after="0" w:line="257" w:lineRule="auto"/>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Through the EFT Processing Segment, the Company processes transactions for a network of ATMs and POS terminals across Europe, the Middle East and Asia Pacific. The Company provides comprehensive electronic payment solutions consisting of ATM cash withdrawal services, ATM network participation, outsourced ATM and POS management solutions, credit and debit card outsourcing, dynamic currency conversion and other value added services. Through this segment, the Company also offers a suite of integrated electronic financial transaction software solutions for electronic payment and transaction delivery systems.</w:t>
      </w:r>
    </w:p>
    <w:p>
      <w:pPr>
        <w:spacing w:after="0" w:line="80" w:lineRule="exact"/>
        <w:rPr>
          <w:rFonts w:ascii="Arial" w:cs="Arial" w:eastAsia="Arial" w:hAnsi="Arial"/>
          <w:sz w:val="18"/>
          <w:szCs w:val="18"/>
          <w:color w:val="auto"/>
        </w:rPr>
      </w:pPr>
    </w:p>
    <w:p>
      <w:pPr>
        <w:ind w:left="980" w:right="700" w:hanging="648"/>
        <w:spacing w:after="0" w:line="308" w:lineRule="auto"/>
        <w:tabs>
          <w:tab w:leader="none" w:pos="980" w:val="left"/>
        </w:tabs>
        <w:numPr>
          <w:ilvl w:val="0"/>
          <w:numId w:val="4"/>
        </w:numPr>
        <w:rPr>
          <w:rFonts w:ascii="Arial" w:cs="Arial" w:eastAsia="Arial" w:hAnsi="Arial"/>
          <w:sz w:val="17"/>
          <w:szCs w:val="17"/>
          <w:color w:val="auto"/>
        </w:rPr>
      </w:pPr>
      <w:r>
        <w:rPr>
          <w:rFonts w:ascii="Arial" w:cs="Arial" w:eastAsia="Arial" w:hAnsi="Arial"/>
          <w:sz w:val="17"/>
          <w:szCs w:val="17"/>
          <w:color w:val="auto"/>
        </w:rPr>
        <w:t>Through the epay Segment, the Company provides distribution, processing and collection services for prepaid mobile airtime and other electronic payment products in Europe, the Middle East, Asia Pacific, the United States and South America.</w:t>
      </w:r>
    </w:p>
    <w:p>
      <w:pPr>
        <w:spacing w:after="0" w:line="38" w:lineRule="exact"/>
        <w:rPr>
          <w:rFonts w:ascii="Arial" w:cs="Arial" w:eastAsia="Arial" w:hAnsi="Arial"/>
          <w:sz w:val="17"/>
          <w:szCs w:val="17"/>
          <w:color w:val="auto"/>
        </w:rPr>
      </w:pPr>
    </w:p>
    <w:p>
      <w:pPr>
        <w:ind w:left="980" w:right="40" w:hanging="648"/>
        <w:spacing w:after="0" w:line="279" w:lineRule="auto"/>
        <w:tabs>
          <w:tab w:leader="none" w:pos="980" w:val="left"/>
        </w:tabs>
        <w:numPr>
          <w:ilvl w:val="0"/>
          <w:numId w:val="4"/>
        </w:numPr>
        <w:rPr>
          <w:rFonts w:ascii="Arial" w:cs="Arial" w:eastAsia="Arial" w:hAnsi="Arial"/>
          <w:sz w:val="17"/>
          <w:szCs w:val="17"/>
          <w:color w:val="auto"/>
        </w:rPr>
      </w:pPr>
      <w:r>
        <w:rPr>
          <w:rFonts w:ascii="Arial" w:cs="Arial" w:eastAsia="Arial" w:hAnsi="Arial"/>
          <w:sz w:val="17"/>
          <w:szCs w:val="17"/>
          <w:color w:val="auto"/>
        </w:rPr>
        <w:t>Through the Money Transfer Segment, the Company provides global consumer-to-consumer money transfer services through a network of sending agents and Company-owned stores (primarily in North America and Europe), disbursing money transfers through a worldwide correspondent network. The Company also offers customers bill payment services, payment alternatives such as money orders and prepaid debit cards, comprehensive check cashing services, foreign currency exchange services and mobile top-up.</w:t>
      </w:r>
    </w:p>
    <w:p>
      <w:pPr>
        <w:spacing w:after="0" w:line="63" w:lineRule="exact"/>
        <w:rPr>
          <w:sz w:val="20"/>
          <w:szCs w:val="20"/>
          <w:color w:val="auto"/>
        </w:rPr>
      </w:pPr>
    </w:p>
    <w:p>
      <w:pPr>
        <w:jc w:val="both"/>
        <w:ind w:right="360"/>
        <w:spacing w:after="0" w:line="264" w:lineRule="auto"/>
        <w:rPr>
          <w:sz w:val="20"/>
          <w:szCs w:val="20"/>
          <w:color w:val="auto"/>
        </w:rPr>
      </w:pPr>
      <w:r>
        <w:rPr>
          <w:rFonts w:ascii="Arial" w:cs="Arial" w:eastAsia="Arial" w:hAnsi="Arial"/>
          <w:sz w:val="18"/>
          <w:szCs w:val="18"/>
          <w:color w:val="auto"/>
        </w:rPr>
        <w:t>In addition, the Company accounts for non-operating activity, most share-based compensation expense, certain intersegment eliminations and the costs of providing corporate and other administrative services in its administrative division, “Corporate Services, Eliminations and Other.” These services are not directly identifiable with the Company’s reportable operating segments.</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tables present the Company’s reportable segment results for the three months ended March 31, 2014 and 2013:</w:t>
      </w:r>
    </w:p>
    <w:p>
      <w:pPr>
        <w:spacing w:after="0" w:line="200" w:lineRule="exact"/>
        <w:rPr>
          <w:sz w:val="20"/>
          <w:szCs w:val="20"/>
          <w:color w:val="auto"/>
        </w:rPr>
      </w:pP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5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3780" w:type="dxa"/>
            <w:vAlign w:val="bottom"/>
            <w:tcBorders>
              <w:bottom w:val="single" w:sz="8" w:color="auto"/>
            </w:tcBorders>
            <w:gridSpan w:val="8"/>
          </w:tcPr>
          <w:p>
            <w:pPr>
              <w:jc w:val="center"/>
              <w:ind w:right="380"/>
              <w:spacing w:after="0"/>
              <w:rPr>
                <w:sz w:val="20"/>
                <w:szCs w:val="20"/>
                <w:color w:val="auto"/>
              </w:rPr>
            </w:pPr>
            <w:r>
              <w:rPr>
                <w:rFonts w:ascii="Arial" w:cs="Arial" w:eastAsia="Arial" w:hAnsi="Arial"/>
                <w:sz w:val="14"/>
                <w:szCs w:val="14"/>
                <w:b w:val="1"/>
                <w:bCs w:val="1"/>
                <w:color w:val="auto"/>
                <w:w w:val="95"/>
              </w:rPr>
              <w:t>For the Three Months Ended March 31, 2014</w:t>
            </w:r>
          </w:p>
        </w:tc>
        <w:tc>
          <w:tcPr>
            <w:tcW w:w="1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45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80" w:type="dxa"/>
            <w:vAlign w:val="bottom"/>
            <w:gridSpan w:val="2"/>
          </w:tcPr>
          <w:p>
            <w:pPr>
              <w:jc w:val="center"/>
              <w:ind w:right="300"/>
              <w:spacing w:after="0" w:line="153" w:lineRule="exact"/>
              <w:rPr>
                <w:sz w:val="20"/>
                <w:szCs w:val="20"/>
                <w:color w:val="auto"/>
              </w:rPr>
            </w:pPr>
            <w:r>
              <w:rPr>
                <w:rFonts w:ascii="Arial" w:cs="Arial" w:eastAsia="Arial" w:hAnsi="Arial"/>
                <w:sz w:val="14"/>
                <w:szCs w:val="14"/>
                <w:b w:val="1"/>
                <w:bCs w:val="1"/>
                <w:color w:val="auto"/>
                <w:w w:val="95"/>
              </w:rPr>
              <w:t>Corporate</w:t>
            </w:r>
          </w:p>
        </w:tc>
        <w:tc>
          <w:tcPr>
            <w:tcW w:w="1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4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6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rPr>
              <w:t>EFT</w:t>
            </w:r>
          </w:p>
        </w:tc>
        <w:tc>
          <w:tcPr>
            <w:tcW w:w="3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20" w:type="dxa"/>
            <w:vAlign w:val="bottom"/>
            <w:gridSpan w:val="2"/>
            <w:vMerge w:val="restart"/>
          </w:tcPr>
          <w:p>
            <w:pPr>
              <w:jc w:val="center"/>
              <w:ind w:right="340"/>
              <w:spacing w:after="0"/>
              <w:rPr>
                <w:sz w:val="20"/>
                <w:szCs w:val="20"/>
                <w:color w:val="auto"/>
              </w:rPr>
            </w:pPr>
            <w:r>
              <w:rPr>
                <w:rFonts w:ascii="Arial" w:cs="Arial" w:eastAsia="Arial" w:hAnsi="Arial"/>
                <w:sz w:val="14"/>
                <w:szCs w:val="14"/>
                <w:b w:val="1"/>
                <w:bCs w:val="1"/>
                <w:color w:val="auto"/>
                <w:w w:val="94"/>
              </w:rPr>
              <w:t>Money</w:t>
            </w:r>
          </w:p>
        </w:tc>
        <w:tc>
          <w:tcPr>
            <w:tcW w:w="180" w:type="dxa"/>
            <w:vAlign w:val="bottom"/>
          </w:tcPr>
          <w:p>
            <w:pPr>
              <w:spacing w:after="0"/>
              <w:rPr>
                <w:sz w:val="12"/>
                <w:szCs w:val="12"/>
                <w:color w:val="auto"/>
              </w:rPr>
            </w:pPr>
          </w:p>
        </w:tc>
        <w:tc>
          <w:tcPr>
            <w:tcW w:w="118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87"/>
              </w:rPr>
              <w:t>Services,</w:t>
            </w:r>
          </w:p>
        </w:tc>
        <w:tc>
          <w:tcPr>
            <w:tcW w:w="1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60" w:type="dxa"/>
            <w:vAlign w:val="bottom"/>
            <w:gridSpan w:val="2"/>
            <w:vMerge w:val="continue"/>
          </w:tcPr>
          <w:p>
            <w:pPr>
              <w:spacing w:after="0"/>
              <w:rPr>
                <w:sz w:val="12"/>
                <w:szCs w:val="12"/>
                <w:color w:val="auto"/>
              </w:rPr>
            </w:pPr>
          </w:p>
        </w:tc>
        <w:tc>
          <w:tcPr>
            <w:tcW w:w="300" w:type="dxa"/>
            <w:vAlign w:val="bottom"/>
          </w:tcPr>
          <w:p>
            <w:pPr>
              <w:spacing w:after="0"/>
              <w:rPr>
                <w:sz w:val="12"/>
                <w:szCs w:val="12"/>
                <w:color w:val="auto"/>
              </w:rPr>
            </w:pPr>
          </w:p>
        </w:tc>
        <w:tc>
          <w:tcPr>
            <w:tcW w:w="940" w:type="dxa"/>
            <w:vAlign w:val="bottom"/>
            <w:vMerge w:val="restart"/>
          </w:tcPr>
          <w:p>
            <w:pPr>
              <w:jc w:val="right"/>
              <w:ind w:right="394"/>
              <w:spacing w:after="0"/>
              <w:rPr>
                <w:sz w:val="20"/>
                <w:szCs w:val="20"/>
                <w:color w:val="auto"/>
              </w:rPr>
            </w:pPr>
            <w:r>
              <w:rPr>
                <w:rFonts w:ascii="Arial" w:cs="Arial" w:eastAsia="Arial" w:hAnsi="Arial"/>
                <w:sz w:val="14"/>
                <w:szCs w:val="14"/>
                <w:b w:val="1"/>
                <w:bCs w:val="1"/>
                <w:color w:val="auto"/>
              </w:rPr>
              <w:t>epay</w:t>
            </w:r>
          </w:p>
        </w:tc>
        <w:tc>
          <w:tcPr>
            <w:tcW w:w="120" w:type="dxa"/>
            <w:vAlign w:val="bottom"/>
            <w:vMerge w:val="restart"/>
          </w:tcPr>
          <w:p>
            <w:pPr>
              <w:spacing w:after="0"/>
              <w:rPr>
                <w:sz w:val="12"/>
                <w:szCs w:val="12"/>
                <w:color w:val="auto"/>
              </w:rPr>
            </w:pPr>
          </w:p>
        </w:tc>
        <w:tc>
          <w:tcPr>
            <w:tcW w:w="240" w:type="dxa"/>
            <w:vAlign w:val="bottom"/>
          </w:tcPr>
          <w:p>
            <w:pPr>
              <w:spacing w:after="0"/>
              <w:rPr>
                <w:sz w:val="12"/>
                <w:szCs w:val="12"/>
                <w:color w:val="auto"/>
              </w:rPr>
            </w:pPr>
          </w:p>
        </w:tc>
        <w:tc>
          <w:tcPr>
            <w:tcW w:w="112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118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3"/>
              </w:rPr>
              <w:t>Eliminations</w:t>
            </w:r>
          </w:p>
        </w:tc>
        <w:tc>
          <w:tcPr>
            <w:tcW w:w="180" w:type="dxa"/>
            <w:vAlign w:val="bottom"/>
          </w:tcPr>
          <w:p>
            <w:pPr>
              <w:spacing w:after="0"/>
              <w:rPr>
                <w:sz w:val="12"/>
                <w:szCs w:val="12"/>
                <w:color w:val="auto"/>
              </w:rPr>
            </w:pPr>
          </w:p>
        </w:tc>
        <w:tc>
          <w:tcPr>
            <w:tcW w:w="1080" w:type="dxa"/>
            <w:vAlign w:val="bottom"/>
            <w:vMerge w:val="restart"/>
          </w:tcPr>
          <w:p>
            <w:pPr>
              <w:jc w:val="right"/>
              <w:ind w:right="132"/>
              <w:spacing w:after="0"/>
              <w:rPr>
                <w:sz w:val="20"/>
                <w:szCs w:val="20"/>
                <w:color w:val="auto"/>
              </w:rPr>
            </w:pPr>
            <w:r>
              <w:rPr>
                <w:rFonts w:ascii="Arial" w:cs="Arial" w:eastAsia="Arial" w:hAnsi="Arial"/>
                <w:sz w:val="14"/>
                <w:szCs w:val="14"/>
                <w:b w:val="1"/>
                <w:bCs w:val="1"/>
                <w:color w:val="auto"/>
                <w:w w:val="94"/>
              </w:rPr>
              <w:t>Consolidated</w:t>
            </w:r>
          </w:p>
        </w:tc>
        <w:tc>
          <w:tcPr>
            <w:tcW w:w="0" w:type="dxa"/>
            <w:vAlign w:val="bottom"/>
          </w:tcPr>
          <w:p>
            <w:pPr>
              <w:spacing w:after="0"/>
              <w:rPr>
                <w:sz w:val="1"/>
                <w:szCs w:val="1"/>
                <w:color w:val="auto"/>
              </w:rPr>
            </w:pPr>
          </w:p>
        </w:tc>
      </w:tr>
      <w:tr>
        <w:trPr>
          <w:trHeight w:val="192"/>
        </w:trPr>
        <w:tc>
          <w:tcPr>
            <w:tcW w:w="458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thousands)</w:t>
            </w:r>
          </w:p>
        </w:tc>
        <w:tc>
          <w:tcPr>
            <w:tcW w:w="1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center"/>
              <w:ind w:right="134"/>
              <w:spacing w:after="0"/>
              <w:rPr>
                <w:sz w:val="20"/>
                <w:szCs w:val="20"/>
                <w:color w:val="auto"/>
              </w:rPr>
            </w:pPr>
            <w:r>
              <w:rPr>
                <w:rFonts w:ascii="Arial" w:cs="Arial" w:eastAsia="Arial" w:hAnsi="Arial"/>
                <w:sz w:val="14"/>
                <w:szCs w:val="14"/>
                <w:b w:val="1"/>
                <w:bCs w:val="1"/>
                <w:color w:val="auto"/>
                <w:w w:val="87"/>
              </w:rPr>
              <w:t>Processing</w:t>
            </w:r>
          </w:p>
        </w:tc>
        <w:tc>
          <w:tcPr>
            <w:tcW w:w="12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center"/>
              <w:ind w:right="154"/>
              <w:spacing w:after="0"/>
              <w:rPr>
                <w:sz w:val="20"/>
                <w:szCs w:val="20"/>
                <w:color w:val="auto"/>
              </w:rPr>
            </w:pPr>
            <w:r>
              <w:rPr>
                <w:rFonts w:ascii="Arial" w:cs="Arial" w:eastAsia="Arial" w:hAnsi="Arial"/>
                <w:sz w:val="14"/>
                <w:szCs w:val="14"/>
                <w:b w:val="1"/>
                <w:bCs w:val="1"/>
                <w:color w:val="auto"/>
                <w:w w:val="96"/>
              </w:rPr>
              <w:t>Transfer</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center"/>
              <w:ind w:right="97"/>
              <w:spacing w:after="0"/>
              <w:rPr>
                <w:sz w:val="20"/>
                <w:szCs w:val="20"/>
                <w:color w:val="auto"/>
              </w:rPr>
            </w:pPr>
            <w:r>
              <w:rPr>
                <w:rFonts w:ascii="Arial" w:cs="Arial" w:eastAsia="Arial" w:hAnsi="Arial"/>
                <w:sz w:val="14"/>
                <w:szCs w:val="14"/>
                <w:b w:val="1"/>
                <w:bCs w:val="1"/>
                <w:color w:val="auto"/>
                <w:w w:val="93"/>
              </w:rPr>
              <w:t>and Other</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70"/>
        </w:trPr>
        <w:tc>
          <w:tcPr>
            <w:tcW w:w="47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Total revenues</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74,605</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185,064</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94,000</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(354)</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353,315</w:t>
            </w:r>
          </w:p>
        </w:tc>
        <w:tc>
          <w:tcPr>
            <w:tcW w:w="0" w:type="dxa"/>
            <w:vAlign w:val="bottom"/>
          </w:tcPr>
          <w:p>
            <w:pPr>
              <w:spacing w:after="0"/>
              <w:rPr>
                <w:sz w:val="1"/>
                <w:szCs w:val="1"/>
                <w:color w:val="auto"/>
              </w:rPr>
            </w:pPr>
          </w:p>
        </w:tc>
      </w:tr>
      <w:tr>
        <w:trPr>
          <w:trHeight w:val="237"/>
        </w:trPr>
        <w:tc>
          <w:tcPr>
            <w:tcW w:w="4700" w:type="dxa"/>
            <w:vAlign w:val="bottom"/>
            <w:gridSpan w:val="2"/>
          </w:tcPr>
          <w:p>
            <w:pPr>
              <w:ind w:left="40"/>
              <w:spacing w:after="0"/>
              <w:rPr>
                <w:sz w:val="20"/>
                <w:szCs w:val="20"/>
                <w:color w:val="auto"/>
              </w:rPr>
            </w:pPr>
            <w:r>
              <w:rPr>
                <w:rFonts w:ascii="Arial" w:cs="Arial" w:eastAsia="Arial" w:hAnsi="Arial"/>
                <w:sz w:val="18"/>
                <w:szCs w:val="18"/>
                <w:color w:val="auto"/>
              </w:rPr>
              <w:t>Operating expenses:</w:t>
            </w:r>
          </w:p>
        </w:tc>
        <w:tc>
          <w:tcPr>
            <w:tcW w:w="2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Direct operating costs</w:t>
            </w: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37,338</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143,341</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45,972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226,338</w:t>
            </w:r>
          </w:p>
        </w:tc>
        <w:tc>
          <w:tcPr>
            <w:tcW w:w="0" w:type="dxa"/>
            <w:vAlign w:val="bottom"/>
          </w:tcPr>
          <w:p>
            <w:pPr>
              <w:spacing w:after="0"/>
              <w:rPr>
                <w:sz w:val="1"/>
                <w:szCs w:val="1"/>
                <w:color w:val="auto"/>
              </w:rPr>
            </w:pPr>
          </w:p>
        </w:tc>
      </w:tr>
      <w:tr>
        <w:trPr>
          <w:trHeight w:val="243"/>
        </w:trPr>
        <w:tc>
          <w:tcPr>
            <w:tcW w:w="4700" w:type="dxa"/>
            <w:vAlign w:val="bottom"/>
            <w:gridSpan w:val="2"/>
          </w:tcPr>
          <w:p>
            <w:pPr>
              <w:ind w:left="180"/>
              <w:spacing w:after="0"/>
              <w:rPr>
                <w:sz w:val="20"/>
                <w:szCs w:val="20"/>
                <w:color w:val="auto"/>
              </w:rPr>
            </w:pPr>
            <w:r>
              <w:rPr>
                <w:rFonts w:ascii="Arial" w:cs="Arial" w:eastAsia="Arial" w:hAnsi="Arial"/>
                <w:sz w:val="18"/>
                <w:szCs w:val="18"/>
                <w:color w:val="auto"/>
              </w:rPr>
              <w:t>Salaries and benefits</w:t>
            </w:r>
          </w:p>
        </w:tc>
        <w:tc>
          <w:tcPr>
            <w:tcW w:w="220" w:type="dxa"/>
            <w:vAlign w:val="bottom"/>
          </w:tcPr>
          <w:p>
            <w:pPr>
              <w:spacing w:after="0"/>
              <w:rPr>
                <w:sz w:val="21"/>
                <w:szCs w:val="21"/>
                <w:color w:val="auto"/>
              </w:rPr>
            </w:pPr>
          </w:p>
        </w:tc>
        <w:tc>
          <w:tcPr>
            <w:tcW w:w="1040" w:type="dxa"/>
            <w:vAlign w:val="bottom"/>
          </w:tcPr>
          <w:p>
            <w:pPr>
              <w:jc w:val="right"/>
              <w:ind w:right="14"/>
              <w:spacing w:after="0"/>
              <w:rPr>
                <w:sz w:val="20"/>
                <w:szCs w:val="20"/>
                <w:color w:val="auto"/>
              </w:rPr>
            </w:pPr>
            <w:r>
              <w:rPr>
                <w:rFonts w:ascii="Arial" w:cs="Arial" w:eastAsia="Arial" w:hAnsi="Arial"/>
                <w:sz w:val="18"/>
                <w:szCs w:val="18"/>
                <w:color w:val="auto"/>
              </w:rPr>
              <w:t>11,095</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jc w:val="right"/>
              <w:ind w:right="14"/>
              <w:spacing w:after="0"/>
              <w:rPr>
                <w:sz w:val="20"/>
                <w:szCs w:val="20"/>
                <w:color w:val="auto"/>
              </w:rPr>
            </w:pPr>
            <w:r>
              <w:rPr>
                <w:rFonts w:ascii="Arial" w:cs="Arial" w:eastAsia="Arial" w:hAnsi="Arial"/>
                <w:sz w:val="18"/>
                <w:szCs w:val="18"/>
                <w:color w:val="auto"/>
              </w:rPr>
              <w:t>13,594</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ind w:right="34"/>
              <w:spacing w:after="0"/>
              <w:rPr>
                <w:sz w:val="20"/>
                <w:szCs w:val="20"/>
                <w:color w:val="auto"/>
              </w:rPr>
            </w:pPr>
            <w:r>
              <w:rPr>
                <w:rFonts w:ascii="Arial" w:cs="Arial" w:eastAsia="Arial" w:hAnsi="Arial"/>
                <w:sz w:val="18"/>
                <w:szCs w:val="18"/>
                <w:color w:val="auto"/>
              </w:rPr>
              <w:t>23,310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37"/>
              <w:spacing w:after="0"/>
              <w:rPr>
                <w:sz w:val="20"/>
                <w:szCs w:val="20"/>
                <w:color w:val="auto"/>
              </w:rPr>
            </w:pPr>
            <w:r>
              <w:rPr>
                <w:rFonts w:ascii="Arial" w:cs="Arial" w:eastAsia="Arial" w:hAnsi="Arial"/>
                <w:sz w:val="18"/>
                <w:szCs w:val="18"/>
                <w:color w:val="auto"/>
              </w:rPr>
              <w:t>5,575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53,574</w:t>
            </w:r>
          </w:p>
        </w:tc>
        <w:tc>
          <w:tcPr>
            <w:tcW w:w="0" w:type="dxa"/>
            <w:vAlign w:val="bottom"/>
          </w:tcPr>
          <w:p>
            <w:pPr>
              <w:spacing w:after="0"/>
              <w:rPr>
                <w:sz w:val="1"/>
                <w:szCs w:val="1"/>
                <w:color w:val="auto"/>
              </w:rPr>
            </w:pPr>
          </w:p>
        </w:tc>
      </w:tr>
      <w:tr>
        <w:trPr>
          <w:trHeight w:val="27"/>
        </w:trPr>
        <w:tc>
          <w:tcPr>
            <w:tcW w:w="4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Selling, general and administrative</w:t>
            </w: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6,102</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9,087</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16,145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1,537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32,871</w:t>
            </w:r>
          </w:p>
        </w:tc>
        <w:tc>
          <w:tcPr>
            <w:tcW w:w="0" w:type="dxa"/>
            <w:vAlign w:val="bottom"/>
          </w:tcPr>
          <w:p>
            <w:pPr>
              <w:spacing w:after="0"/>
              <w:rPr>
                <w:sz w:val="1"/>
                <w:szCs w:val="1"/>
                <w:color w:val="auto"/>
              </w:rPr>
            </w:pPr>
          </w:p>
        </w:tc>
      </w:tr>
      <w:tr>
        <w:trPr>
          <w:trHeight w:val="243"/>
        </w:trPr>
        <w:tc>
          <w:tcPr>
            <w:tcW w:w="4700" w:type="dxa"/>
            <w:vAlign w:val="bottom"/>
            <w:gridSpan w:val="2"/>
          </w:tcPr>
          <w:p>
            <w:pPr>
              <w:ind w:left="180"/>
              <w:spacing w:after="0"/>
              <w:rPr>
                <w:sz w:val="20"/>
                <w:szCs w:val="20"/>
                <w:color w:val="auto"/>
              </w:rPr>
            </w:pPr>
            <w:r>
              <w:rPr>
                <w:rFonts w:ascii="Arial" w:cs="Arial" w:eastAsia="Arial" w:hAnsi="Arial"/>
                <w:sz w:val="18"/>
                <w:szCs w:val="18"/>
                <w:color w:val="auto"/>
              </w:rPr>
              <w:t>Depreciation and amortization</w:t>
            </w:r>
          </w:p>
        </w:tc>
        <w:tc>
          <w:tcPr>
            <w:tcW w:w="220" w:type="dxa"/>
            <w:vAlign w:val="bottom"/>
          </w:tcPr>
          <w:p>
            <w:pPr>
              <w:spacing w:after="0"/>
              <w:rPr>
                <w:sz w:val="21"/>
                <w:szCs w:val="21"/>
                <w:color w:val="auto"/>
              </w:rPr>
            </w:pPr>
          </w:p>
        </w:tc>
        <w:tc>
          <w:tcPr>
            <w:tcW w:w="1040" w:type="dxa"/>
            <w:vAlign w:val="bottom"/>
          </w:tcPr>
          <w:p>
            <w:pPr>
              <w:jc w:val="right"/>
              <w:ind w:right="14"/>
              <w:spacing w:after="0"/>
              <w:rPr>
                <w:sz w:val="20"/>
                <w:szCs w:val="20"/>
                <w:color w:val="auto"/>
              </w:rPr>
            </w:pPr>
            <w:r>
              <w:rPr>
                <w:rFonts w:ascii="Arial" w:cs="Arial" w:eastAsia="Arial" w:hAnsi="Arial"/>
                <w:sz w:val="18"/>
                <w:szCs w:val="18"/>
                <w:color w:val="auto"/>
              </w:rPr>
              <w:t>7,296</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jc w:val="right"/>
              <w:ind w:right="14"/>
              <w:spacing w:after="0"/>
              <w:rPr>
                <w:sz w:val="20"/>
                <w:szCs w:val="20"/>
                <w:color w:val="auto"/>
              </w:rPr>
            </w:pPr>
            <w:r>
              <w:rPr>
                <w:rFonts w:ascii="Arial" w:cs="Arial" w:eastAsia="Arial" w:hAnsi="Arial"/>
                <w:sz w:val="18"/>
                <w:szCs w:val="18"/>
                <w:color w:val="auto"/>
              </w:rPr>
              <w:t>4,146</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ind w:right="34"/>
              <w:spacing w:after="0"/>
              <w:rPr>
                <w:sz w:val="20"/>
                <w:szCs w:val="20"/>
                <w:color w:val="auto"/>
              </w:rPr>
            </w:pPr>
            <w:r>
              <w:rPr>
                <w:rFonts w:ascii="Arial" w:cs="Arial" w:eastAsia="Arial" w:hAnsi="Arial"/>
                <w:sz w:val="18"/>
                <w:szCs w:val="18"/>
                <w:color w:val="auto"/>
              </w:rPr>
              <w:t>4,633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37"/>
              <w:spacing w:after="0"/>
              <w:rPr>
                <w:sz w:val="20"/>
                <w:szCs w:val="20"/>
                <w:color w:val="auto"/>
              </w:rPr>
            </w:pPr>
            <w:r>
              <w:rPr>
                <w:rFonts w:ascii="Arial" w:cs="Arial" w:eastAsia="Arial" w:hAnsi="Arial"/>
                <w:sz w:val="18"/>
                <w:szCs w:val="18"/>
                <w:color w:val="auto"/>
              </w:rPr>
              <w:t>75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16,150</w:t>
            </w:r>
          </w:p>
        </w:tc>
        <w:tc>
          <w:tcPr>
            <w:tcW w:w="0" w:type="dxa"/>
            <w:vAlign w:val="bottom"/>
          </w:tcPr>
          <w:p>
            <w:pPr>
              <w:spacing w:after="0"/>
              <w:rPr>
                <w:sz w:val="1"/>
                <w:szCs w:val="1"/>
                <w:color w:val="auto"/>
              </w:rPr>
            </w:pPr>
          </w:p>
        </w:tc>
      </w:tr>
      <w:tr>
        <w:trPr>
          <w:trHeight w:val="27"/>
        </w:trPr>
        <w:tc>
          <w:tcPr>
            <w:tcW w:w="45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470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Total operating expenses</w:t>
            </w:r>
          </w:p>
        </w:tc>
        <w:tc>
          <w:tcPr>
            <w:tcW w:w="2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61,831</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170,168</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90,060</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6,874</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328,933</w:t>
            </w:r>
          </w:p>
        </w:tc>
        <w:tc>
          <w:tcPr>
            <w:tcW w:w="0" w:type="dxa"/>
            <w:vAlign w:val="bottom"/>
          </w:tcPr>
          <w:p>
            <w:pPr>
              <w:spacing w:after="0"/>
              <w:rPr>
                <w:sz w:val="1"/>
                <w:szCs w:val="1"/>
                <w:color w:val="auto"/>
              </w:rPr>
            </w:pPr>
          </w:p>
        </w:tc>
      </w:tr>
      <w:tr>
        <w:trPr>
          <w:trHeight w:val="257"/>
        </w:trPr>
        <w:tc>
          <w:tcPr>
            <w:tcW w:w="4700" w:type="dxa"/>
            <w:vAlign w:val="bottom"/>
            <w:gridSpan w:val="2"/>
          </w:tcPr>
          <w:p>
            <w:pPr>
              <w:ind w:left="600"/>
              <w:spacing w:after="0"/>
              <w:rPr>
                <w:sz w:val="20"/>
                <w:szCs w:val="20"/>
                <w:color w:val="auto"/>
              </w:rPr>
            </w:pPr>
            <w:r>
              <w:rPr>
                <w:rFonts w:ascii="Arial" w:cs="Arial" w:eastAsia="Arial" w:hAnsi="Arial"/>
                <w:sz w:val="18"/>
                <w:szCs w:val="18"/>
                <w:color w:val="auto"/>
              </w:rPr>
              <w:t>Operating income (expense)</w:t>
            </w: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12,774</w:t>
            </w:r>
          </w:p>
        </w:tc>
        <w:tc>
          <w:tcPr>
            <w:tcW w:w="12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14,896</w:t>
            </w:r>
          </w:p>
        </w:tc>
        <w:tc>
          <w:tcPr>
            <w:tcW w:w="12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3,940</w:t>
            </w:r>
          </w:p>
        </w:tc>
        <w:tc>
          <w:tcPr>
            <w:tcW w:w="10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(7,228)</w:t>
            </w:r>
          </w:p>
        </w:tc>
        <w:tc>
          <w:tcPr>
            <w:tcW w:w="10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24,382</w:t>
            </w:r>
          </w:p>
        </w:tc>
        <w:tc>
          <w:tcPr>
            <w:tcW w:w="0" w:type="dxa"/>
            <w:vAlign w:val="bottom"/>
          </w:tcPr>
          <w:p>
            <w:pPr>
              <w:spacing w:after="0"/>
              <w:rPr>
                <w:sz w:val="1"/>
                <w:szCs w:val="1"/>
                <w:color w:val="auto"/>
              </w:rPr>
            </w:pPr>
          </w:p>
        </w:tc>
      </w:tr>
      <w:tr>
        <w:trPr>
          <w:trHeight w:val="20"/>
        </w:trPr>
        <w:tc>
          <w:tcPr>
            <w:tcW w:w="4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6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6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94"/>
        </w:trPr>
        <w:tc>
          <w:tcPr>
            <w:tcW w:w="4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3780" w:type="dxa"/>
            <w:vAlign w:val="bottom"/>
            <w:tcBorders>
              <w:bottom w:val="single" w:sz="8" w:color="auto"/>
            </w:tcBorders>
            <w:gridSpan w:val="8"/>
          </w:tcPr>
          <w:p>
            <w:pPr>
              <w:jc w:val="center"/>
              <w:ind w:right="380"/>
              <w:spacing w:after="0"/>
              <w:rPr>
                <w:sz w:val="20"/>
                <w:szCs w:val="20"/>
                <w:color w:val="auto"/>
              </w:rPr>
            </w:pPr>
            <w:r>
              <w:rPr>
                <w:rFonts w:ascii="Arial" w:cs="Arial" w:eastAsia="Arial" w:hAnsi="Arial"/>
                <w:sz w:val="14"/>
                <w:szCs w:val="14"/>
                <w:b w:val="1"/>
                <w:bCs w:val="1"/>
                <w:color w:val="auto"/>
                <w:w w:val="95"/>
              </w:rPr>
              <w:t>For the Three Months Ended March 31, 2013</w:t>
            </w:r>
          </w:p>
        </w:tc>
        <w:tc>
          <w:tcPr>
            <w:tcW w:w="18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2"/>
        </w:trPr>
        <w:tc>
          <w:tcPr>
            <w:tcW w:w="45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80" w:type="dxa"/>
            <w:vAlign w:val="bottom"/>
            <w:gridSpan w:val="2"/>
          </w:tcPr>
          <w:p>
            <w:pPr>
              <w:jc w:val="center"/>
              <w:ind w:right="300"/>
              <w:spacing w:after="0" w:line="153" w:lineRule="exact"/>
              <w:rPr>
                <w:sz w:val="20"/>
                <w:szCs w:val="20"/>
                <w:color w:val="auto"/>
              </w:rPr>
            </w:pPr>
            <w:r>
              <w:rPr>
                <w:rFonts w:ascii="Arial" w:cs="Arial" w:eastAsia="Arial" w:hAnsi="Arial"/>
                <w:sz w:val="14"/>
                <w:szCs w:val="14"/>
                <w:b w:val="1"/>
                <w:bCs w:val="1"/>
                <w:color w:val="auto"/>
                <w:w w:val="95"/>
              </w:rPr>
              <w:t>Corporate</w:t>
            </w:r>
          </w:p>
        </w:tc>
        <w:tc>
          <w:tcPr>
            <w:tcW w:w="1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4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6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rPr>
              <w:t>EFT</w:t>
            </w:r>
          </w:p>
        </w:tc>
        <w:tc>
          <w:tcPr>
            <w:tcW w:w="3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20" w:type="dxa"/>
            <w:vAlign w:val="bottom"/>
            <w:gridSpan w:val="2"/>
            <w:vMerge w:val="restart"/>
          </w:tcPr>
          <w:p>
            <w:pPr>
              <w:jc w:val="center"/>
              <w:ind w:right="340"/>
              <w:spacing w:after="0"/>
              <w:rPr>
                <w:sz w:val="20"/>
                <w:szCs w:val="20"/>
                <w:color w:val="auto"/>
              </w:rPr>
            </w:pPr>
            <w:r>
              <w:rPr>
                <w:rFonts w:ascii="Arial" w:cs="Arial" w:eastAsia="Arial" w:hAnsi="Arial"/>
                <w:sz w:val="14"/>
                <w:szCs w:val="14"/>
                <w:b w:val="1"/>
                <w:bCs w:val="1"/>
                <w:color w:val="auto"/>
                <w:w w:val="94"/>
              </w:rPr>
              <w:t>Money</w:t>
            </w:r>
          </w:p>
        </w:tc>
        <w:tc>
          <w:tcPr>
            <w:tcW w:w="180" w:type="dxa"/>
            <w:vAlign w:val="bottom"/>
          </w:tcPr>
          <w:p>
            <w:pPr>
              <w:spacing w:after="0"/>
              <w:rPr>
                <w:sz w:val="12"/>
                <w:szCs w:val="12"/>
                <w:color w:val="auto"/>
              </w:rPr>
            </w:pPr>
          </w:p>
        </w:tc>
        <w:tc>
          <w:tcPr>
            <w:tcW w:w="118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87"/>
              </w:rPr>
              <w:t>Services,</w:t>
            </w:r>
          </w:p>
        </w:tc>
        <w:tc>
          <w:tcPr>
            <w:tcW w:w="1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60" w:type="dxa"/>
            <w:vAlign w:val="bottom"/>
            <w:gridSpan w:val="2"/>
            <w:vMerge w:val="continue"/>
          </w:tcPr>
          <w:p>
            <w:pPr>
              <w:spacing w:after="0"/>
              <w:rPr>
                <w:sz w:val="12"/>
                <w:szCs w:val="12"/>
                <w:color w:val="auto"/>
              </w:rPr>
            </w:pPr>
          </w:p>
        </w:tc>
        <w:tc>
          <w:tcPr>
            <w:tcW w:w="300" w:type="dxa"/>
            <w:vAlign w:val="bottom"/>
          </w:tcPr>
          <w:p>
            <w:pPr>
              <w:spacing w:after="0"/>
              <w:rPr>
                <w:sz w:val="12"/>
                <w:szCs w:val="12"/>
                <w:color w:val="auto"/>
              </w:rPr>
            </w:pPr>
          </w:p>
        </w:tc>
        <w:tc>
          <w:tcPr>
            <w:tcW w:w="940" w:type="dxa"/>
            <w:vAlign w:val="bottom"/>
            <w:vMerge w:val="restart"/>
          </w:tcPr>
          <w:p>
            <w:pPr>
              <w:jc w:val="right"/>
              <w:ind w:right="394"/>
              <w:spacing w:after="0"/>
              <w:rPr>
                <w:sz w:val="20"/>
                <w:szCs w:val="20"/>
                <w:color w:val="auto"/>
              </w:rPr>
            </w:pPr>
            <w:r>
              <w:rPr>
                <w:rFonts w:ascii="Arial" w:cs="Arial" w:eastAsia="Arial" w:hAnsi="Arial"/>
                <w:sz w:val="14"/>
                <w:szCs w:val="14"/>
                <w:b w:val="1"/>
                <w:bCs w:val="1"/>
                <w:color w:val="auto"/>
              </w:rPr>
              <w:t>epay</w:t>
            </w:r>
          </w:p>
        </w:tc>
        <w:tc>
          <w:tcPr>
            <w:tcW w:w="120" w:type="dxa"/>
            <w:vAlign w:val="bottom"/>
            <w:vMerge w:val="restart"/>
          </w:tcPr>
          <w:p>
            <w:pPr>
              <w:spacing w:after="0"/>
              <w:rPr>
                <w:sz w:val="12"/>
                <w:szCs w:val="12"/>
                <w:color w:val="auto"/>
              </w:rPr>
            </w:pPr>
          </w:p>
        </w:tc>
        <w:tc>
          <w:tcPr>
            <w:tcW w:w="240" w:type="dxa"/>
            <w:vAlign w:val="bottom"/>
          </w:tcPr>
          <w:p>
            <w:pPr>
              <w:spacing w:after="0"/>
              <w:rPr>
                <w:sz w:val="12"/>
                <w:szCs w:val="12"/>
                <w:color w:val="auto"/>
              </w:rPr>
            </w:pPr>
          </w:p>
        </w:tc>
        <w:tc>
          <w:tcPr>
            <w:tcW w:w="112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118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3"/>
              </w:rPr>
              <w:t>Eliminations</w:t>
            </w:r>
          </w:p>
        </w:tc>
        <w:tc>
          <w:tcPr>
            <w:tcW w:w="180" w:type="dxa"/>
            <w:vAlign w:val="bottom"/>
          </w:tcPr>
          <w:p>
            <w:pPr>
              <w:spacing w:after="0"/>
              <w:rPr>
                <w:sz w:val="12"/>
                <w:szCs w:val="12"/>
                <w:color w:val="auto"/>
              </w:rPr>
            </w:pPr>
          </w:p>
        </w:tc>
        <w:tc>
          <w:tcPr>
            <w:tcW w:w="1080" w:type="dxa"/>
            <w:vAlign w:val="bottom"/>
            <w:vMerge w:val="restart"/>
          </w:tcPr>
          <w:p>
            <w:pPr>
              <w:jc w:val="right"/>
              <w:ind w:right="132"/>
              <w:spacing w:after="0"/>
              <w:rPr>
                <w:sz w:val="20"/>
                <w:szCs w:val="20"/>
                <w:color w:val="auto"/>
              </w:rPr>
            </w:pPr>
            <w:r>
              <w:rPr>
                <w:rFonts w:ascii="Arial" w:cs="Arial" w:eastAsia="Arial" w:hAnsi="Arial"/>
                <w:sz w:val="14"/>
                <w:szCs w:val="14"/>
                <w:b w:val="1"/>
                <w:bCs w:val="1"/>
                <w:color w:val="auto"/>
                <w:w w:val="94"/>
              </w:rPr>
              <w:t>Consolidated</w:t>
            </w:r>
          </w:p>
        </w:tc>
        <w:tc>
          <w:tcPr>
            <w:tcW w:w="0" w:type="dxa"/>
            <w:vAlign w:val="bottom"/>
          </w:tcPr>
          <w:p>
            <w:pPr>
              <w:spacing w:after="0"/>
              <w:rPr>
                <w:sz w:val="1"/>
                <w:szCs w:val="1"/>
                <w:color w:val="auto"/>
              </w:rPr>
            </w:pPr>
          </w:p>
        </w:tc>
      </w:tr>
      <w:tr>
        <w:trPr>
          <w:trHeight w:val="192"/>
        </w:trPr>
        <w:tc>
          <w:tcPr>
            <w:tcW w:w="458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thousands)</w:t>
            </w:r>
          </w:p>
        </w:tc>
        <w:tc>
          <w:tcPr>
            <w:tcW w:w="1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center"/>
              <w:ind w:right="134"/>
              <w:spacing w:after="0"/>
              <w:rPr>
                <w:sz w:val="20"/>
                <w:szCs w:val="20"/>
                <w:color w:val="auto"/>
              </w:rPr>
            </w:pPr>
            <w:r>
              <w:rPr>
                <w:rFonts w:ascii="Arial" w:cs="Arial" w:eastAsia="Arial" w:hAnsi="Arial"/>
                <w:sz w:val="14"/>
                <w:szCs w:val="14"/>
                <w:b w:val="1"/>
                <w:bCs w:val="1"/>
                <w:color w:val="auto"/>
                <w:w w:val="87"/>
              </w:rPr>
              <w:t>Processing</w:t>
            </w:r>
          </w:p>
        </w:tc>
        <w:tc>
          <w:tcPr>
            <w:tcW w:w="12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center"/>
              <w:ind w:right="154"/>
              <w:spacing w:after="0"/>
              <w:rPr>
                <w:sz w:val="20"/>
                <w:szCs w:val="20"/>
                <w:color w:val="auto"/>
              </w:rPr>
            </w:pPr>
            <w:r>
              <w:rPr>
                <w:rFonts w:ascii="Arial" w:cs="Arial" w:eastAsia="Arial" w:hAnsi="Arial"/>
                <w:sz w:val="14"/>
                <w:szCs w:val="14"/>
                <w:b w:val="1"/>
                <w:bCs w:val="1"/>
                <w:color w:val="auto"/>
                <w:w w:val="96"/>
              </w:rPr>
              <w:t>Transfer</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center"/>
              <w:ind w:right="97"/>
              <w:spacing w:after="0"/>
              <w:rPr>
                <w:sz w:val="20"/>
                <w:szCs w:val="20"/>
                <w:color w:val="auto"/>
              </w:rPr>
            </w:pPr>
            <w:r>
              <w:rPr>
                <w:rFonts w:ascii="Arial" w:cs="Arial" w:eastAsia="Arial" w:hAnsi="Arial"/>
                <w:sz w:val="14"/>
                <w:szCs w:val="14"/>
                <w:b w:val="1"/>
                <w:bCs w:val="1"/>
                <w:color w:val="auto"/>
                <w:w w:val="93"/>
              </w:rPr>
              <w:t>and Other</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70"/>
        </w:trPr>
        <w:tc>
          <w:tcPr>
            <w:tcW w:w="47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Total revenues</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63,334</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189,575</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82,903</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(168)</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335,644</w:t>
            </w:r>
          </w:p>
        </w:tc>
        <w:tc>
          <w:tcPr>
            <w:tcW w:w="0" w:type="dxa"/>
            <w:vAlign w:val="bottom"/>
          </w:tcPr>
          <w:p>
            <w:pPr>
              <w:spacing w:after="0"/>
              <w:rPr>
                <w:sz w:val="1"/>
                <w:szCs w:val="1"/>
                <w:color w:val="auto"/>
              </w:rPr>
            </w:pPr>
          </w:p>
        </w:tc>
      </w:tr>
      <w:tr>
        <w:trPr>
          <w:trHeight w:val="237"/>
        </w:trPr>
        <w:tc>
          <w:tcPr>
            <w:tcW w:w="4700" w:type="dxa"/>
            <w:vAlign w:val="bottom"/>
            <w:gridSpan w:val="2"/>
          </w:tcPr>
          <w:p>
            <w:pPr>
              <w:ind w:left="40"/>
              <w:spacing w:after="0"/>
              <w:rPr>
                <w:sz w:val="20"/>
                <w:szCs w:val="20"/>
                <w:color w:val="auto"/>
              </w:rPr>
            </w:pPr>
            <w:r>
              <w:rPr>
                <w:rFonts w:ascii="Arial" w:cs="Arial" w:eastAsia="Arial" w:hAnsi="Arial"/>
                <w:sz w:val="18"/>
                <w:szCs w:val="18"/>
                <w:color w:val="auto"/>
              </w:rPr>
              <w:t>Operating expenses:</w:t>
            </w:r>
          </w:p>
        </w:tc>
        <w:tc>
          <w:tcPr>
            <w:tcW w:w="2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70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Direct operating costs</w:t>
            </w: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32,912</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146,657</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39,672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219,087</w:t>
            </w:r>
          </w:p>
        </w:tc>
        <w:tc>
          <w:tcPr>
            <w:tcW w:w="0" w:type="dxa"/>
            <w:vAlign w:val="bottom"/>
          </w:tcPr>
          <w:p>
            <w:pPr>
              <w:spacing w:after="0"/>
              <w:rPr>
                <w:sz w:val="1"/>
                <w:szCs w:val="1"/>
                <w:color w:val="auto"/>
              </w:rPr>
            </w:pPr>
          </w:p>
        </w:tc>
      </w:tr>
      <w:tr>
        <w:trPr>
          <w:trHeight w:val="243"/>
        </w:trPr>
        <w:tc>
          <w:tcPr>
            <w:tcW w:w="4700" w:type="dxa"/>
            <w:vAlign w:val="bottom"/>
            <w:gridSpan w:val="2"/>
          </w:tcPr>
          <w:p>
            <w:pPr>
              <w:ind w:left="180"/>
              <w:spacing w:after="0"/>
              <w:rPr>
                <w:sz w:val="20"/>
                <w:szCs w:val="20"/>
                <w:color w:val="auto"/>
              </w:rPr>
            </w:pPr>
            <w:r>
              <w:rPr>
                <w:rFonts w:ascii="Arial" w:cs="Arial" w:eastAsia="Arial" w:hAnsi="Arial"/>
                <w:sz w:val="18"/>
                <w:szCs w:val="18"/>
                <w:color w:val="auto"/>
              </w:rPr>
              <w:t>Salaries and benefits</w:t>
            </w:r>
          </w:p>
        </w:tc>
        <w:tc>
          <w:tcPr>
            <w:tcW w:w="220" w:type="dxa"/>
            <w:vAlign w:val="bottom"/>
          </w:tcPr>
          <w:p>
            <w:pPr>
              <w:spacing w:after="0"/>
              <w:rPr>
                <w:sz w:val="21"/>
                <w:szCs w:val="21"/>
                <w:color w:val="auto"/>
              </w:rPr>
            </w:pPr>
          </w:p>
        </w:tc>
        <w:tc>
          <w:tcPr>
            <w:tcW w:w="1040" w:type="dxa"/>
            <w:vAlign w:val="bottom"/>
          </w:tcPr>
          <w:p>
            <w:pPr>
              <w:jc w:val="right"/>
              <w:ind w:right="14"/>
              <w:spacing w:after="0"/>
              <w:rPr>
                <w:sz w:val="20"/>
                <w:szCs w:val="20"/>
                <w:color w:val="auto"/>
              </w:rPr>
            </w:pPr>
            <w:r>
              <w:rPr>
                <w:rFonts w:ascii="Arial" w:cs="Arial" w:eastAsia="Arial" w:hAnsi="Arial"/>
                <w:sz w:val="18"/>
                <w:szCs w:val="18"/>
                <w:color w:val="auto"/>
              </w:rPr>
              <w:t>9,645</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jc w:val="right"/>
              <w:ind w:right="14"/>
              <w:spacing w:after="0"/>
              <w:rPr>
                <w:sz w:val="20"/>
                <w:szCs w:val="20"/>
                <w:color w:val="auto"/>
              </w:rPr>
            </w:pPr>
            <w:r>
              <w:rPr>
                <w:rFonts w:ascii="Arial" w:cs="Arial" w:eastAsia="Arial" w:hAnsi="Arial"/>
                <w:sz w:val="18"/>
                <w:szCs w:val="18"/>
                <w:color w:val="auto"/>
              </w:rPr>
              <w:t>14,095</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ind w:right="34"/>
              <w:spacing w:after="0"/>
              <w:rPr>
                <w:sz w:val="20"/>
                <w:szCs w:val="20"/>
                <w:color w:val="auto"/>
              </w:rPr>
            </w:pPr>
            <w:r>
              <w:rPr>
                <w:rFonts w:ascii="Arial" w:cs="Arial" w:eastAsia="Arial" w:hAnsi="Arial"/>
                <w:sz w:val="18"/>
                <w:szCs w:val="18"/>
                <w:color w:val="auto"/>
              </w:rPr>
              <w:t>20,084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37"/>
              <w:spacing w:after="0"/>
              <w:rPr>
                <w:sz w:val="20"/>
                <w:szCs w:val="20"/>
                <w:color w:val="auto"/>
              </w:rPr>
            </w:pPr>
            <w:r>
              <w:rPr>
                <w:rFonts w:ascii="Arial" w:cs="Arial" w:eastAsia="Arial" w:hAnsi="Arial"/>
                <w:sz w:val="18"/>
                <w:szCs w:val="18"/>
                <w:color w:val="auto"/>
              </w:rPr>
              <w:t>4,903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48,727</w:t>
            </w:r>
          </w:p>
        </w:tc>
        <w:tc>
          <w:tcPr>
            <w:tcW w:w="0" w:type="dxa"/>
            <w:vAlign w:val="bottom"/>
          </w:tcPr>
          <w:p>
            <w:pPr>
              <w:spacing w:after="0"/>
              <w:rPr>
                <w:sz w:val="1"/>
                <w:szCs w:val="1"/>
                <w:color w:val="auto"/>
              </w:rPr>
            </w:pPr>
          </w:p>
        </w:tc>
      </w:tr>
      <w:tr>
        <w:trPr>
          <w:trHeight w:val="27"/>
        </w:trPr>
        <w:tc>
          <w:tcPr>
            <w:tcW w:w="470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Selling, general and administrative</w:t>
            </w: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5,848</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9,667</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12,347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3,141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31,003</w:t>
            </w:r>
          </w:p>
        </w:tc>
        <w:tc>
          <w:tcPr>
            <w:tcW w:w="0" w:type="dxa"/>
            <w:vAlign w:val="bottom"/>
          </w:tcPr>
          <w:p>
            <w:pPr>
              <w:spacing w:after="0"/>
              <w:rPr>
                <w:sz w:val="1"/>
                <w:szCs w:val="1"/>
                <w:color w:val="auto"/>
              </w:rPr>
            </w:pPr>
          </w:p>
        </w:tc>
      </w:tr>
      <w:tr>
        <w:trPr>
          <w:trHeight w:val="243"/>
        </w:trPr>
        <w:tc>
          <w:tcPr>
            <w:tcW w:w="4700" w:type="dxa"/>
            <w:vAlign w:val="bottom"/>
            <w:gridSpan w:val="2"/>
          </w:tcPr>
          <w:p>
            <w:pPr>
              <w:ind w:left="180"/>
              <w:spacing w:after="0"/>
              <w:rPr>
                <w:sz w:val="20"/>
                <w:szCs w:val="20"/>
                <w:color w:val="auto"/>
              </w:rPr>
            </w:pPr>
            <w:r>
              <w:rPr>
                <w:rFonts w:ascii="Arial" w:cs="Arial" w:eastAsia="Arial" w:hAnsi="Arial"/>
                <w:sz w:val="18"/>
                <w:szCs w:val="18"/>
                <w:color w:val="auto"/>
              </w:rPr>
              <w:t>Depreciation and amortization</w:t>
            </w:r>
          </w:p>
        </w:tc>
        <w:tc>
          <w:tcPr>
            <w:tcW w:w="220" w:type="dxa"/>
            <w:vAlign w:val="bottom"/>
          </w:tcPr>
          <w:p>
            <w:pPr>
              <w:spacing w:after="0"/>
              <w:rPr>
                <w:sz w:val="21"/>
                <w:szCs w:val="21"/>
                <w:color w:val="auto"/>
              </w:rPr>
            </w:pPr>
          </w:p>
        </w:tc>
        <w:tc>
          <w:tcPr>
            <w:tcW w:w="1040" w:type="dxa"/>
            <w:vAlign w:val="bottom"/>
          </w:tcPr>
          <w:p>
            <w:pPr>
              <w:jc w:val="right"/>
              <w:ind w:right="14"/>
              <w:spacing w:after="0"/>
              <w:rPr>
                <w:sz w:val="20"/>
                <w:szCs w:val="20"/>
                <w:color w:val="auto"/>
              </w:rPr>
            </w:pPr>
            <w:r>
              <w:rPr>
                <w:rFonts w:ascii="Arial" w:cs="Arial" w:eastAsia="Arial" w:hAnsi="Arial"/>
                <w:sz w:val="18"/>
                <w:szCs w:val="18"/>
                <w:color w:val="auto"/>
              </w:rPr>
              <w:t>8,316</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jc w:val="right"/>
              <w:ind w:right="14"/>
              <w:spacing w:after="0"/>
              <w:rPr>
                <w:sz w:val="20"/>
                <w:szCs w:val="20"/>
                <w:color w:val="auto"/>
              </w:rPr>
            </w:pPr>
            <w:r>
              <w:rPr>
                <w:rFonts w:ascii="Arial" w:cs="Arial" w:eastAsia="Arial" w:hAnsi="Arial"/>
                <w:sz w:val="18"/>
                <w:szCs w:val="18"/>
                <w:color w:val="auto"/>
              </w:rPr>
              <w:t>4,503</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ind w:right="34"/>
              <w:spacing w:after="0"/>
              <w:rPr>
                <w:sz w:val="20"/>
                <w:szCs w:val="20"/>
                <w:color w:val="auto"/>
              </w:rPr>
            </w:pPr>
            <w:r>
              <w:rPr>
                <w:rFonts w:ascii="Arial" w:cs="Arial" w:eastAsia="Arial" w:hAnsi="Arial"/>
                <w:sz w:val="18"/>
                <w:szCs w:val="18"/>
                <w:color w:val="auto"/>
              </w:rPr>
              <w:t>4,758</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37"/>
              <w:spacing w:after="0"/>
              <w:rPr>
                <w:sz w:val="20"/>
                <w:szCs w:val="20"/>
                <w:color w:val="auto"/>
              </w:rPr>
            </w:pPr>
            <w:r>
              <w:rPr>
                <w:rFonts w:ascii="Arial" w:cs="Arial" w:eastAsia="Arial" w:hAnsi="Arial"/>
                <w:sz w:val="18"/>
                <w:szCs w:val="18"/>
                <w:color w:val="auto"/>
              </w:rPr>
              <w:t>92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17,669</w:t>
            </w:r>
          </w:p>
        </w:tc>
        <w:tc>
          <w:tcPr>
            <w:tcW w:w="0" w:type="dxa"/>
            <w:vAlign w:val="bottom"/>
          </w:tcPr>
          <w:p>
            <w:pPr>
              <w:spacing w:after="0"/>
              <w:rPr>
                <w:sz w:val="1"/>
                <w:szCs w:val="1"/>
                <w:color w:val="auto"/>
              </w:rPr>
            </w:pPr>
          </w:p>
        </w:tc>
      </w:tr>
      <w:tr>
        <w:trPr>
          <w:trHeight w:val="27"/>
        </w:trPr>
        <w:tc>
          <w:tcPr>
            <w:tcW w:w="4700" w:type="dxa"/>
            <w:vAlign w:val="bottom"/>
            <w:tcBorders>
              <w:bottom w:val="single" w:sz="8" w:color="CCEEFF"/>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470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Total operating expenses</w:t>
            </w:r>
          </w:p>
        </w:tc>
        <w:tc>
          <w:tcPr>
            <w:tcW w:w="2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56,721</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174,922</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76,861</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7,982</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316,486</w:t>
            </w:r>
          </w:p>
        </w:tc>
        <w:tc>
          <w:tcPr>
            <w:tcW w:w="0" w:type="dxa"/>
            <w:vAlign w:val="bottom"/>
          </w:tcPr>
          <w:p>
            <w:pPr>
              <w:spacing w:after="0"/>
              <w:rPr>
                <w:sz w:val="1"/>
                <w:szCs w:val="1"/>
                <w:color w:val="auto"/>
              </w:rPr>
            </w:pPr>
          </w:p>
        </w:tc>
      </w:tr>
      <w:tr>
        <w:trPr>
          <w:trHeight w:val="257"/>
        </w:trPr>
        <w:tc>
          <w:tcPr>
            <w:tcW w:w="4700" w:type="dxa"/>
            <w:vAlign w:val="bottom"/>
            <w:gridSpan w:val="2"/>
          </w:tcPr>
          <w:p>
            <w:pPr>
              <w:ind w:left="600"/>
              <w:spacing w:after="0"/>
              <w:rPr>
                <w:sz w:val="20"/>
                <w:szCs w:val="20"/>
                <w:color w:val="auto"/>
              </w:rPr>
            </w:pPr>
            <w:r>
              <w:rPr>
                <w:rFonts w:ascii="Arial" w:cs="Arial" w:eastAsia="Arial" w:hAnsi="Arial"/>
                <w:sz w:val="18"/>
                <w:szCs w:val="18"/>
                <w:color w:val="auto"/>
              </w:rPr>
              <w:t>Operating income (expense)</w:t>
            </w: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6,613</w:t>
            </w:r>
          </w:p>
        </w:tc>
        <w:tc>
          <w:tcPr>
            <w:tcW w:w="12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14,653</w:t>
            </w:r>
          </w:p>
        </w:tc>
        <w:tc>
          <w:tcPr>
            <w:tcW w:w="12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6,042</w:t>
            </w:r>
          </w:p>
        </w:tc>
        <w:tc>
          <w:tcPr>
            <w:tcW w:w="10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(8,150)</w:t>
            </w:r>
          </w:p>
        </w:tc>
        <w:tc>
          <w:tcPr>
            <w:tcW w:w="10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19,158</w:t>
            </w:r>
          </w:p>
        </w:tc>
        <w:tc>
          <w:tcPr>
            <w:tcW w:w="0" w:type="dxa"/>
            <w:vAlign w:val="bottom"/>
          </w:tcPr>
          <w:p>
            <w:pPr>
              <w:spacing w:after="0"/>
              <w:rPr>
                <w:sz w:val="1"/>
                <w:szCs w:val="1"/>
                <w:color w:val="auto"/>
              </w:rPr>
            </w:pPr>
          </w:p>
        </w:tc>
      </w:tr>
      <w:tr>
        <w:trPr>
          <w:trHeight w:val="20"/>
        </w:trPr>
        <w:tc>
          <w:tcPr>
            <w:tcW w:w="4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78"/>
        </w:trPr>
        <w:tc>
          <w:tcPr>
            <w:tcW w:w="4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jc w:val="right"/>
              <w:ind w:right="74"/>
              <w:spacing w:after="0"/>
              <w:rPr>
                <w:sz w:val="20"/>
                <w:szCs w:val="20"/>
                <w:color w:val="auto"/>
              </w:rPr>
            </w:pPr>
            <w:r>
              <w:rPr>
                <w:rFonts w:ascii="Arial" w:cs="Arial" w:eastAsia="Arial" w:hAnsi="Arial"/>
                <w:sz w:val="18"/>
                <w:szCs w:val="18"/>
                <w:color w:val="auto"/>
              </w:rPr>
              <w:t>12</w:t>
            </w: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12" w:name="page13"/>
    <w:bookmarkEnd w:id="12"/>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the Company’s property and equipment and total assets by reportable segment:</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460" w:type="dxa"/>
            <w:vAlign w:val="bottom"/>
            <w:tcBorders>
              <w:bottom w:val="single" w:sz="8" w:color="auto"/>
            </w:tcBorders>
            <w:gridSpan w:val="4"/>
          </w:tcPr>
          <w:p>
            <w:pPr>
              <w:jc w:val="right"/>
              <w:ind w:right="130"/>
              <w:spacing w:after="0"/>
              <w:rPr>
                <w:sz w:val="20"/>
                <w:szCs w:val="20"/>
                <w:color w:val="auto"/>
              </w:rPr>
            </w:pPr>
            <w:r>
              <w:rPr>
                <w:rFonts w:ascii="Arial" w:cs="Arial" w:eastAsia="Arial" w:hAnsi="Arial"/>
                <w:sz w:val="14"/>
                <w:szCs w:val="14"/>
                <w:b w:val="1"/>
                <w:bCs w:val="1"/>
                <w:color w:val="auto"/>
                <w:w w:val="97"/>
              </w:rPr>
              <w:t>Property and Equipment, net as of</w:t>
            </w:r>
          </w:p>
        </w:tc>
        <w:tc>
          <w:tcPr>
            <w:tcW w:w="1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460" w:type="dxa"/>
            <w:vAlign w:val="bottom"/>
            <w:tcBorders>
              <w:bottom w:val="single" w:sz="8" w:color="auto"/>
            </w:tcBorders>
            <w:gridSpan w:val="4"/>
          </w:tcPr>
          <w:p>
            <w:pPr>
              <w:jc w:val="right"/>
              <w:ind w:right="670"/>
              <w:spacing w:after="0"/>
              <w:rPr>
                <w:sz w:val="20"/>
                <w:szCs w:val="20"/>
                <w:color w:val="auto"/>
              </w:rPr>
            </w:pPr>
            <w:r>
              <w:rPr>
                <w:rFonts w:ascii="Arial" w:cs="Arial" w:eastAsia="Arial" w:hAnsi="Arial"/>
                <w:sz w:val="14"/>
                <w:szCs w:val="14"/>
                <w:b w:val="1"/>
                <w:bCs w:val="1"/>
                <w:color w:val="auto"/>
              </w:rPr>
              <w:t>Total Assets as of</w:t>
            </w:r>
          </w:p>
        </w:tc>
      </w:tr>
      <w:tr>
        <w:trPr>
          <w:trHeight w:val="250"/>
        </w:trPr>
        <w:tc>
          <w:tcPr>
            <w:tcW w:w="588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thousands)</w:t>
            </w:r>
          </w:p>
        </w:tc>
        <w:tc>
          <w:tcPr>
            <w:tcW w:w="12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ind w:right="75"/>
              <w:spacing w:after="0"/>
              <w:rPr>
                <w:sz w:val="20"/>
                <w:szCs w:val="20"/>
                <w:color w:val="auto"/>
              </w:rPr>
            </w:pPr>
            <w:r>
              <w:rPr>
                <w:rFonts w:ascii="Arial" w:cs="Arial" w:eastAsia="Arial" w:hAnsi="Arial"/>
                <w:sz w:val="14"/>
                <w:szCs w:val="14"/>
                <w:b w:val="1"/>
                <w:bCs w:val="1"/>
                <w:color w:val="auto"/>
                <w:w w:val="94"/>
              </w:rPr>
              <w:t>March 31, 2014</w:t>
            </w:r>
          </w:p>
        </w:tc>
        <w:tc>
          <w:tcPr>
            <w:tcW w:w="100" w:type="dxa"/>
            <w:vAlign w:val="bottom"/>
            <w:tcBorders>
              <w:bottom w:val="single" w:sz="8" w:color="CCEEFF"/>
            </w:tcBorders>
          </w:tcPr>
          <w:p>
            <w:pPr>
              <w:spacing w:after="0"/>
              <w:rPr>
                <w:sz w:val="21"/>
                <w:szCs w:val="21"/>
                <w:color w:val="auto"/>
              </w:rPr>
            </w:pPr>
          </w:p>
        </w:tc>
        <w:tc>
          <w:tcPr>
            <w:tcW w:w="124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w w:val="93"/>
              </w:rPr>
              <w:t>December 31, 2013</w:t>
            </w:r>
          </w:p>
        </w:tc>
        <w:tc>
          <w:tcPr>
            <w:tcW w:w="12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ind w:right="75"/>
              <w:spacing w:after="0"/>
              <w:rPr>
                <w:sz w:val="20"/>
                <w:szCs w:val="20"/>
                <w:color w:val="auto"/>
              </w:rPr>
            </w:pPr>
            <w:r>
              <w:rPr>
                <w:rFonts w:ascii="Arial" w:cs="Arial" w:eastAsia="Arial" w:hAnsi="Arial"/>
                <w:sz w:val="14"/>
                <w:szCs w:val="14"/>
                <w:b w:val="1"/>
                <w:bCs w:val="1"/>
                <w:color w:val="auto"/>
                <w:w w:val="94"/>
              </w:rPr>
              <w:t>March 31, 2014</w:t>
            </w:r>
          </w:p>
        </w:tc>
        <w:tc>
          <w:tcPr>
            <w:tcW w:w="100" w:type="dxa"/>
            <w:vAlign w:val="bottom"/>
            <w:tcBorders>
              <w:bottom w:val="single" w:sz="8" w:color="CCEEFF"/>
            </w:tcBorders>
          </w:tcPr>
          <w:p>
            <w:pPr>
              <w:spacing w:after="0"/>
              <w:rPr>
                <w:sz w:val="21"/>
                <w:szCs w:val="21"/>
                <w:color w:val="auto"/>
              </w:rPr>
            </w:pPr>
          </w:p>
        </w:tc>
        <w:tc>
          <w:tcPr>
            <w:tcW w:w="124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w w:val="93"/>
              </w:rPr>
              <w:t>December 31, 2013</w:t>
            </w:r>
          </w:p>
        </w:tc>
      </w:tr>
      <w:tr>
        <w:trPr>
          <w:trHeight w:val="250"/>
        </w:trPr>
        <w:tc>
          <w:tcPr>
            <w:tcW w:w="60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EFT Processing</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66,372</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64,972</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380,268</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347,073</w:t>
            </w:r>
          </w:p>
        </w:tc>
      </w:tr>
      <w:tr>
        <w:trPr>
          <w:trHeight w:val="243"/>
        </w:trPr>
        <w:tc>
          <w:tcPr>
            <w:tcW w:w="6000" w:type="dxa"/>
            <w:vAlign w:val="bottom"/>
            <w:gridSpan w:val="2"/>
          </w:tcPr>
          <w:p>
            <w:pPr>
              <w:ind w:left="40"/>
              <w:spacing w:after="0"/>
              <w:rPr>
                <w:sz w:val="20"/>
                <w:szCs w:val="20"/>
                <w:color w:val="auto"/>
              </w:rPr>
            </w:pPr>
            <w:r>
              <w:rPr>
                <w:rFonts w:ascii="Arial" w:cs="Arial" w:eastAsia="Arial" w:hAnsi="Arial"/>
                <w:sz w:val="18"/>
                <w:szCs w:val="18"/>
                <w:color w:val="auto"/>
              </w:rPr>
              <w:t>epay</w:t>
            </w:r>
          </w:p>
        </w:tc>
        <w:tc>
          <w:tcPr>
            <w:tcW w:w="120" w:type="dxa"/>
            <w:vAlign w:val="bottom"/>
          </w:tcPr>
          <w:p>
            <w:pPr>
              <w:spacing w:after="0"/>
              <w:rPr>
                <w:sz w:val="21"/>
                <w:szCs w:val="21"/>
                <w:color w:val="auto"/>
              </w:rPr>
            </w:pPr>
          </w:p>
        </w:tc>
        <w:tc>
          <w:tcPr>
            <w:tcW w:w="1120" w:type="dxa"/>
            <w:vAlign w:val="bottom"/>
          </w:tcPr>
          <w:p>
            <w:pPr>
              <w:jc w:val="right"/>
              <w:ind w:right="35"/>
              <w:spacing w:after="0"/>
              <w:rPr>
                <w:sz w:val="20"/>
                <w:szCs w:val="20"/>
                <w:color w:val="auto"/>
              </w:rPr>
            </w:pPr>
            <w:r>
              <w:rPr>
                <w:rFonts w:ascii="Arial" w:cs="Arial" w:eastAsia="Arial" w:hAnsi="Arial"/>
                <w:sz w:val="18"/>
                <w:szCs w:val="18"/>
                <w:color w:val="auto"/>
              </w:rPr>
              <w:t>26,787</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27,176</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tcPr>
          <w:p>
            <w:pPr>
              <w:jc w:val="right"/>
              <w:ind w:right="35"/>
              <w:spacing w:after="0"/>
              <w:rPr>
                <w:sz w:val="20"/>
                <w:szCs w:val="20"/>
                <w:color w:val="auto"/>
              </w:rPr>
            </w:pPr>
            <w:r>
              <w:rPr>
                <w:rFonts w:ascii="Arial" w:cs="Arial" w:eastAsia="Arial" w:hAnsi="Arial"/>
                <w:sz w:val="18"/>
                <w:szCs w:val="18"/>
                <w:color w:val="auto"/>
              </w:rPr>
              <w:t>670,763</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757,942</w:t>
            </w:r>
          </w:p>
        </w:tc>
      </w:tr>
      <w:tr>
        <w:trPr>
          <w:trHeight w:val="27"/>
        </w:trPr>
        <w:tc>
          <w:tcPr>
            <w:tcW w:w="5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60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Money Transfer</w:t>
            </w: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24,167</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23,768</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486,671</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472,390</w:t>
            </w:r>
          </w:p>
        </w:tc>
      </w:tr>
      <w:tr>
        <w:trPr>
          <w:trHeight w:val="304"/>
        </w:trPr>
        <w:tc>
          <w:tcPr>
            <w:tcW w:w="6000" w:type="dxa"/>
            <w:vAlign w:val="bottom"/>
            <w:tcBorders>
              <w:bottom w:val="single" w:sz="8" w:color="CCEEFF"/>
            </w:tcBorders>
            <w:gridSpan w:val="2"/>
          </w:tcPr>
          <w:p>
            <w:pPr>
              <w:ind w:left="40"/>
              <w:spacing w:after="0"/>
              <w:rPr>
                <w:sz w:val="20"/>
                <w:szCs w:val="20"/>
                <w:color w:val="auto"/>
              </w:rPr>
            </w:pPr>
            <w:r>
              <w:rPr>
                <w:rFonts w:ascii="Arial" w:cs="Arial" w:eastAsia="Arial" w:hAnsi="Arial"/>
                <w:sz w:val="18"/>
                <w:szCs w:val="18"/>
                <w:color w:val="auto"/>
              </w:rPr>
              <w:t>Corporate Services, Eliminations and Other</w:t>
            </w:r>
          </w:p>
        </w:tc>
        <w:tc>
          <w:tcPr>
            <w:tcW w:w="1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ind w:right="35"/>
              <w:spacing w:after="0"/>
              <w:rPr>
                <w:sz w:val="20"/>
                <w:szCs w:val="20"/>
                <w:color w:val="auto"/>
              </w:rPr>
            </w:pPr>
            <w:r>
              <w:rPr>
                <w:rFonts w:ascii="Arial" w:cs="Arial" w:eastAsia="Arial" w:hAnsi="Arial"/>
                <w:sz w:val="18"/>
                <w:szCs w:val="18"/>
                <w:color w:val="auto"/>
              </w:rPr>
              <w:t>275</w:t>
            </w:r>
          </w:p>
        </w:tc>
        <w:tc>
          <w:tcPr>
            <w:tcW w:w="100" w:type="dxa"/>
            <w:vAlign w:val="bottom"/>
            <w:tcBorders>
              <w:bottom w:val="single" w:sz="8" w:color="CCEEFF"/>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314</w:t>
            </w:r>
          </w:p>
        </w:tc>
        <w:tc>
          <w:tcPr>
            <w:tcW w:w="120" w:type="dxa"/>
            <w:vAlign w:val="bottom"/>
            <w:tcBorders>
              <w:bottom w:val="single" w:sz="8" w:color="CCEEFF"/>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ind w:right="35"/>
              <w:spacing w:after="0"/>
              <w:rPr>
                <w:sz w:val="20"/>
                <w:szCs w:val="20"/>
                <w:color w:val="auto"/>
              </w:rPr>
            </w:pPr>
            <w:r>
              <w:rPr>
                <w:rFonts w:ascii="Arial" w:cs="Arial" w:eastAsia="Arial" w:hAnsi="Arial"/>
                <w:sz w:val="18"/>
                <w:szCs w:val="18"/>
                <w:color w:val="auto"/>
              </w:rPr>
              <w:t>19,458</w:t>
            </w:r>
          </w:p>
        </w:tc>
        <w:tc>
          <w:tcPr>
            <w:tcW w:w="100" w:type="dxa"/>
            <w:vAlign w:val="bottom"/>
            <w:tcBorders>
              <w:bottom w:val="single" w:sz="8" w:color="CCEEFF"/>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20,710</w:t>
            </w:r>
          </w:p>
        </w:tc>
      </w:tr>
      <w:tr>
        <w:trPr>
          <w:trHeight w:val="251"/>
        </w:trPr>
        <w:tc>
          <w:tcPr>
            <w:tcW w:w="60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8"/>
                <w:szCs w:val="18"/>
                <w:color w:val="auto"/>
              </w:rPr>
              <w:t>117,601</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116,230</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8"/>
                <w:szCs w:val="18"/>
                <w:color w:val="auto"/>
              </w:rPr>
              <w:t>1,557,160</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1,598,115</w:t>
            </w:r>
          </w:p>
        </w:tc>
      </w:tr>
      <w:tr>
        <w:trPr>
          <w:trHeight w:val="20"/>
        </w:trPr>
        <w:tc>
          <w:tcPr>
            <w:tcW w:w="5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INCOME TAXES</w:t>
      </w:r>
    </w:p>
    <w:p>
      <w:pPr>
        <w:spacing w:after="0" w:line="121" w:lineRule="exact"/>
        <w:rPr>
          <w:sz w:val="20"/>
          <w:szCs w:val="20"/>
          <w:color w:val="auto"/>
        </w:rPr>
      </w:pPr>
    </w:p>
    <w:p>
      <w:pPr>
        <w:spacing w:after="0" w:line="297" w:lineRule="auto"/>
        <w:rPr>
          <w:sz w:val="20"/>
          <w:szCs w:val="20"/>
          <w:color w:val="auto"/>
        </w:rPr>
      </w:pPr>
      <w:r>
        <w:rPr>
          <w:rFonts w:ascii="Arial" w:cs="Arial" w:eastAsia="Arial" w:hAnsi="Arial"/>
          <w:sz w:val="16"/>
          <w:szCs w:val="16"/>
          <w:color w:val="auto"/>
        </w:rPr>
        <w:t>The Company's effective income tax rates were 26.4% and 20.7% for the three months ended March 31, 2014 and 2013, respectively. The Company's effective tax rate for the three months ended March 31, 2014 was lower than the applicable statutory tax rate of 35% primarily because of the Company's U.S. income tax positions. The Company does not have a history of significant taxable income in the U.S., therefore, the Company has recorded a valuation allowance against its U.S. federal tax net operating loss carryforwards. Accordingly, in instances when the Company's U.S. legal entities generate pre-tax book income, no income tax expense is recognized to the extent there are net operating loss carryforwards to offset pre-tax book income.</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COMMITMENTS</w:t>
      </w:r>
    </w:p>
    <w:p>
      <w:pPr>
        <w:spacing w:after="0" w:line="121" w:lineRule="exact"/>
        <w:rPr>
          <w:sz w:val="20"/>
          <w:szCs w:val="20"/>
          <w:color w:val="auto"/>
        </w:rPr>
      </w:pPr>
    </w:p>
    <w:p>
      <w:pPr>
        <w:ind w:right="300"/>
        <w:spacing w:after="0" w:line="264" w:lineRule="auto"/>
        <w:rPr>
          <w:sz w:val="20"/>
          <w:szCs w:val="20"/>
          <w:color w:val="auto"/>
        </w:rPr>
      </w:pPr>
      <w:r>
        <w:rPr>
          <w:rFonts w:ascii="Arial" w:cs="Arial" w:eastAsia="Arial" w:hAnsi="Arial"/>
          <w:sz w:val="18"/>
          <w:szCs w:val="18"/>
          <w:color w:val="auto"/>
        </w:rPr>
        <w:t>As of March 31, 2014, the Company had $95.4 million of stand-by letters of credit/bank guarantees issued on its behalf, of which $47.9 million are outstanding under the revolving credit facility. The remaining stand-by letters of credit/bank guarantees are collateralized by $5.2 million of cash deposits held by the respective issuing banks.</w:t>
      </w:r>
    </w:p>
    <w:p>
      <w:pPr>
        <w:spacing w:after="0" w:line="73"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Under certain circumstances, Euronet grants guarantees in support of obligations of subsidiaries. As of March 31, 2014, the Company had granted off balance sheet guarantees for cash in various ATM networks amounting to $16.3 million over the terms of the cash supply agreements and performance guarantees amounting to approximately $27.6 million over the terms of the agreements with the customers.</w:t>
      </w:r>
    </w:p>
    <w:p>
      <w:pPr>
        <w:spacing w:after="0" w:line="154" w:lineRule="exact"/>
        <w:rPr>
          <w:sz w:val="20"/>
          <w:szCs w:val="20"/>
          <w:color w:val="auto"/>
        </w:rPr>
      </w:pPr>
    </w:p>
    <w:p>
      <w:pPr>
        <w:ind w:right="680"/>
        <w:spacing w:after="0" w:line="308" w:lineRule="auto"/>
        <w:rPr>
          <w:sz w:val="20"/>
          <w:szCs w:val="20"/>
          <w:color w:val="auto"/>
        </w:rPr>
      </w:pPr>
      <w:r>
        <w:rPr>
          <w:rFonts w:ascii="Arial" w:cs="Arial" w:eastAsia="Arial" w:hAnsi="Arial"/>
          <w:sz w:val="17"/>
          <w:szCs w:val="17"/>
          <w:color w:val="auto"/>
        </w:rPr>
        <w:t>Each of Euronet's subsidiaries, once they reach a certain size, is required under the Credit Agreement to provide a guarantee of all or a portion of the outstanding obligations under the Credit Agreement depending upon whether the subsidiary is a domestic or foreign entity.</w:t>
      </w:r>
    </w:p>
    <w:p>
      <w:pPr>
        <w:spacing w:after="0" w:line="93"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From time to time, the Company enters into agreements with commercial counterparties that contain indemnification provisions, the terms of which may vary depending on the negotiated terms of each respective agreement. The amount of such potential obligations is generally not stated in the agreements. Euronet's liability under such indemnification provisions may be mitigated by relevant insurance coverage and may be subject to time and materiality limitations, monetary caps and other conditions and defenses. Such indemnification obligations include the following:</w:t>
      </w:r>
    </w:p>
    <w:p>
      <w:pPr>
        <w:spacing w:after="0" w:line="36" w:lineRule="exact"/>
        <w:rPr>
          <w:sz w:val="20"/>
          <w:szCs w:val="20"/>
          <w:color w:val="auto"/>
        </w:rPr>
      </w:pPr>
    </w:p>
    <w:p>
      <w:pPr>
        <w:ind w:left="580" w:right="60" w:hanging="329"/>
        <w:spacing w:after="0" w:line="259" w:lineRule="auto"/>
        <w:tabs>
          <w:tab w:leader="none" w:pos="580" w:val="left"/>
        </w:tabs>
        <w:numPr>
          <w:ilvl w:val="0"/>
          <w:numId w:val="5"/>
        </w:numPr>
        <w:rPr>
          <w:rFonts w:ascii="Arial" w:cs="Arial" w:eastAsia="Arial" w:hAnsi="Arial"/>
          <w:sz w:val="18"/>
          <w:szCs w:val="18"/>
          <w:color w:val="auto"/>
        </w:rPr>
      </w:pPr>
      <w:r>
        <w:rPr>
          <w:rFonts w:ascii="Arial" w:cs="Arial" w:eastAsia="Arial" w:hAnsi="Arial"/>
          <w:sz w:val="18"/>
          <w:szCs w:val="18"/>
          <w:color w:val="auto"/>
        </w:rPr>
        <w:t>In connection with contracts with financial institutions in the EFT Processing Segment, the Company is responsible for damage to ATMs and theft of ATM network cash that, generally, is not recorded on the Company’s Consolidated Balance Sheets. As of March 31, 2014, the balance of ATM network cash for which the Company was responsible was approximately $440 million. The Company maintains insurance policies to mitigate this exposure;</w:t>
      </w:r>
    </w:p>
    <w:p>
      <w:pPr>
        <w:spacing w:after="0" w:line="78" w:lineRule="exact"/>
        <w:rPr>
          <w:rFonts w:ascii="Arial" w:cs="Arial" w:eastAsia="Arial" w:hAnsi="Arial"/>
          <w:sz w:val="18"/>
          <w:szCs w:val="18"/>
          <w:color w:val="auto"/>
        </w:rPr>
      </w:pPr>
    </w:p>
    <w:p>
      <w:pPr>
        <w:ind w:left="580" w:right="80" w:hanging="329"/>
        <w:spacing w:after="0" w:line="312" w:lineRule="auto"/>
        <w:tabs>
          <w:tab w:leader="none" w:pos="580" w:val="left"/>
        </w:tabs>
        <w:numPr>
          <w:ilvl w:val="0"/>
          <w:numId w:val="5"/>
        </w:numPr>
        <w:rPr>
          <w:rFonts w:ascii="Arial" w:cs="Arial" w:eastAsia="Arial" w:hAnsi="Arial"/>
          <w:sz w:val="16"/>
          <w:szCs w:val="16"/>
          <w:color w:val="auto"/>
        </w:rPr>
      </w:pPr>
      <w:r>
        <w:rPr>
          <w:rFonts w:ascii="Arial" w:cs="Arial" w:eastAsia="Arial" w:hAnsi="Arial"/>
          <w:sz w:val="16"/>
          <w:szCs w:val="16"/>
          <w:color w:val="auto"/>
        </w:rPr>
        <w:t>In connection with contracts with financial institutions in the EFT Processing Segment, the Company is responsible for losses suffered by its customers and other parties as a result of the breach of its computer systems, including in particular, losses arising from fraudulent transactions made using information stolen through its processing systems. The Company maintains insurance policies to mitigate this exposure;</w:t>
      </w:r>
    </w:p>
    <w:p>
      <w:pPr>
        <w:spacing w:after="0" w:line="38" w:lineRule="exact"/>
        <w:rPr>
          <w:rFonts w:ascii="Arial" w:cs="Arial" w:eastAsia="Arial" w:hAnsi="Arial"/>
          <w:sz w:val="16"/>
          <w:szCs w:val="16"/>
          <w:color w:val="auto"/>
        </w:rPr>
      </w:pPr>
    </w:p>
    <w:p>
      <w:pPr>
        <w:ind w:left="580" w:right="140" w:hanging="329"/>
        <w:spacing w:after="0" w:line="264" w:lineRule="auto"/>
        <w:tabs>
          <w:tab w:leader="none" w:pos="580" w:val="left"/>
        </w:tabs>
        <w:numPr>
          <w:ilvl w:val="0"/>
          <w:numId w:val="5"/>
        </w:numPr>
        <w:rPr>
          <w:rFonts w:ascii="Arial" w:cs="Arial" w:eastAsia="Arial" w:hAnsi="Arial"/>
          <w:sz w:val="18"/>
          <w:szCs w:val="18"/>
          <w:color w:val="auto"/>
        </w:rPr>
      </w:pPr>
      <w:r>
        <w:rPr>
          <w:rFonts w:ascii="Arial" w:cs="Arial" w:eastAsia="Arial" w:hAnsi="Arial"/>
          <w:sz w:val="18"/>
          <w:szCs w:val="18"/>
          <w:color w:val="auto"/>
        </w:rPr>
        <w:t>In connection with the license of proprietary systems to customers, the Company provides certain warranties and infringement indemnities to the licensee, which generally warrant that such systems do not infringe on intellectual property owned by third parties and that the systems will perform in accordance with their specifications;</w:t>
      </w:r>
    </w:p>
    <w:p>
      <w:pPr>
        <w:spacing w:after="0" w:line="73" w:lineRule="exact"/>
        <w:rPr>
          <w:rFonts w:ascii="Arial" w:cs="Arial" w:eastAsia="Arial" w:hAnsi="Arial"/>
          <w:sz w:val="18"/>
          <w:szCs w:val="18"/>
          <w:color w:val="auto"/>
        </w:rPr>
      </w:pPr>
    </w:p>
    <w:p>
      <w:pPr>
        <w:ind w:left="580" w:right="100" w:hanging="329"/>
        <w:spacing w:after="0" w:line="264" w:lineRule="auto"/>
        <w:tabs>
          <w:tab w:leader="none" w:pos="580" w:val="left"/>
        </w:tabs>
        <w:numPr>
          <w:ilvl w:val="0"/>
          <w:numId w:val="5"/>
        </w:numPr>
        <w:rPr>
          <w:rFonts w:ascii="Arial" w:cs="Arial" w:eastAsia="Arial" w:hAnsi="Arial"/>
          <w:sz w:val="18"/>
          <w:szCs w:val="18"/>
          <w:color w:val="auto"/>
        </w:rPr>
      </w:pPr>
      <w:r>
        <w:rPr>
          <w:rFonts w:ascii="Arial" w:cs="Arial" w:eastAsia="Arial" w:hAnsi="Arial"/>
          <w:sz w:val="18"/>
          <w:szCs w:val="18"/>
          <w:color w:val="auto"/>
        </w:rPr>
        <w:t>Euronet has entered into purchase and service agreements with vendors and consulting agreements with providers of consulting services, pursuant to which the Company has agreed to indemnify certain of such vendors and consultants, respectively, against third-party claims arising from the Company’s use of the vendor’s product or the services of the vendor or consultant;</w:t>
      </w:r>
    </w:p>
    <w:p>
      <w:pPr>
        <w:spacing w:after="0" w:line="31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380"/>
          </w:cols>
          <w:pgMar w:left="240" w:top="125" w:right="279" w:bottom="1440" w:gutter="0" w:footer="0" w:header="0"/>
        </w:sectPr>
      </w:pPr>
    </w:p>
    <w:bookmarkStart w:id="13" w:name="page14"/>
    <w:bookmarkEnd w:id="13"/>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left="580" w:right="60" w:hanging="329"/>
        <w:spacing w:after="0" w:line="293" w:lineRule="auto"/>
        <w:tabs>
          <w:tab w:leader="none" w:pos="580" w:val="left"/>
        </w:tabs>
        <w:numPr>
          <w:ilvl w:val="0"/>
          <w:numId w:val="6"/>
        </w:numPr>
        <w:rPr>
          <w:rFonts w:ascii="Arial" w:cs="Arial" w:eastAsia="Arial" w:hAnsi="Arial"/>
          <w:sz w:val="16"/>
          <w:szCs w:val="16"/>
          <w:color w:val="auto"/>
        </w:rPr>
      </w:pPr>
      <w:r>
        <w:rPr>
          <w:rFonts w:ascii="Arial" w:cs="Arial" w:eastAsia="Arial" w:hAnsi="Arial"/>
          <w:sz w:val="16"/>
          <w:szCs w:val="16"/>
          <w:color w:val="auto"/>
        </w:rPr>
        <w:t>In connection with acquisitions and dispositions of subsidiaries, operating units and business assets, the Company has entered into agreements containing indemnification provisions, which can be generally described as follows: (i) in connection with acquisitions of operating units or assets made by Euronet, the Company has agreed to indemnify the seller against third-party claims made against the seller relating to the operating unit or asset and arising after the closing of the transaction, and (ii) in connection with dispositions made by Euronet, Euronet has agreed to indemnify the buyer against damages incurred by the buyer due to the buyer’s reliance on representations and warranties relating to the subject subsidiary, operating unit or business assets in the disposition agreement if such representations or warranties were untrue when made; and</w:t>
      </w:r>
    </w:p>
    <w:p>
      <w:pPr>
        <w:spacing w:after="0" w:line="56" w:lineRule="exact"/>
        <w:rPr>
          <w:rFonts w:ascii="Arial" w:cs="Arial" w:eastAsia="Arial" w:hAnsi="Arial"/>
          <w:sz w:val="16"/>
          <w:szCs w:val="16"/>
          <w:color w:val="auto"/>
        </w:rPr>
      </w:pPr>
    </w:p>
    <w:p>
      <w:pPr>
        <w:ind w:left="580" w:right="420" w:hanging="329"/>
        <w:spacing w:after="0" w:line="264" w:lineRule="auto"/>
        <w:tabs>
          <w:tab w:leader="none" w:pos="580" w:val="left"/>
        </w:tabs>
        <w:numPr>
          <w:ilvl w:val="0"/>
          <w:numId w:val="6"/>
        </w:numPr>
        <w:rPr>
          <w:rFonts w:ascii="Arial" w:cs="Arial" w:eastAsia="Arial" w:hAnsi="Arial"/>
          <w:sz w:val="18"/>
          <w:szCs w:val="18"/>
          <w:color w:val="auto"/>
        </w:rPr>
      </w:pPr>
      <w:r>
        <w:rPr>
          <w:rFonts w:ascii="Arial" w:cs="Arial" w:eastAsia="Arial" w:hAnsi="Arial"/>
          <w:sz w:val="18"/>
          <w:szCs w:val="18"/>
          <w:color w:val="auto"/>
        </w:rPr>
        <w:t>Euronet has entered into agreements with certain third parties, including banks that provide fiduciary and other services to Euronet or to the Company’s benefit plans. Under such agreements, the Company has agreed to indemnify such service providers for third-party claims relating to carrying out their respective duties under such agreements.</w:t>
      </w:r>
    </w:p>
    <w:p>
      <w:pPr>
        <w:spacing w:after="0" w:line="73"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The Company is also required to meet minimum capitalization and cash requirements of various regulatory authorities in the jurisdictions in which the Company has money transfer operations. The Company has obtained surety bonds in compliance with money transfer licensing requirements of the applicable governmental authorities.</w:t>
      </w:r>
    </w:p>
    <w:p>
      <w:pPr>
        <w:spacing w:after="0" w:line="73"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To date, the Company is not aware of any significant claims made by the indemnified parties or third parties to guarantee agreements with the Company and, accordingly, no liabilities were recorded as of March 31, 2014 or December 31, 2013.</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LITIGATION AND CONTINGENCIES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Contingencies</w:t>
      </w:r>
    </w:p>
    <w:p>
      <w:pPr>
        <w:spacing w:after="0" w:line="117" w:lineRule="exact"/>
        <w:rPr>
          <w:sz w:val="20"/>
          <w:szCs w:val="20"/>
          <w:color w:val="auto"/>
        </w:rPr>
      </w:pPr>
    </w:p>
    <w:p>
      <w:pPr>
        <w:ind w:right="160"/>
        <w:spacing w:after="0" w:line="276" w:lineRule="auto"/>
        <w:rPr>
          <w:sz w:val="20"/>
          <w:szCs w:val="20"/>
          <w:color w:val="auto"/>
        </w:rPr>
      </w:pPr>
      <w:r>
        <w:rPr>
          <w:rFonts w:ascii="Arial" w:cs="Arial" w:eastAsia="Arial" w:hAnsi="Arial"/>
          <w:sz w:val="17"/>
          <w:szCs w:val="17"/>
          <w:u w:val="single" w:color="auto"/>
          <w:color w:val="auto"/>
        </w:rPr>
        <w:t>Unclaimed property compliance</w:t>
      </w:r>
      <w:r>
        <w:rPr>
          <w:rFonts w:ascii="Arial" w:cs="Arial" w:eastAsia="Arial" w:hAnsi="Arial"/>
          <w:sz w:val="17"/>
          <w:szCs w:val="17"/>
          <w:color w:val="auto"/>
        </w:rPr>
        <w:t xml:space="preserve"> </w:t>
      </w:r>
      <w:r>
        <w:rPr>
          <w:rFonts w:ascii="Arial" w:cs="Arial" w:eastAsia="Arial" w:hAnsi="Arial"/>
          <w:sz w:val="17"/>
          <w:szCs w:val="17"/>
          <w:i w:val="1"/>
          <w:iCs w:val="1"/>
          <w:color w:val="auto"/>
        </w:rPr>
        <w:t>-</w:t>
      </w:r>
      <w:r>
        <w:rPr>
          <w:rFonts w:ascii="Arial" w:cs="Arial" w:eastAsia="Arial" w:hAnsi="Arial"/>
          <w:sz w:val="17"/>
          <w:szCs w:val="17"/>
          <w:color w:val="auto"/>
        </w:rPr>
        <w:t xml:space="preserve"> In September 2013, the Company entered into a voluntary disclosure agreement with the Secretary of State of the State of Delaware to determine compliance with Delaware unclaimed property laws. Types of property under examination include, but are not limited to, payroll checks, accounts payable checks and accounts receivable credits for the period 1996 through 2007. The total amount of exposure of this contingency is dependent upon the manner in which the State of Delaware applies its unclaimed property laws. The Company does not currently expect the outcome of this matter to have a material adverse effect on the Company's consolidated financial condition or results of operations.</w:t>
      </w:r>
    </w:p>
    <w:p>
      <w:pPr>
        <w:spacing w:after="0" w:line="6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Legal Proceedings</w:t>
      </w:r>
    </w:p>
    <w:p>
      <w:pPr>
        <w:spacing w:after="0" w:line="117" w:lineRule="exact"/>
        <w:rPr>
          <w:sz w:val="20"/>
          <w:szCs w:val="20"/>
          <w:color w:val="auto"/>
        </w:rPr>
      </w:pPr>
    </w:p>
    <w:p>
      <w:pPr>
        <w:ind w:right="400"/>
        <w:spacing w:after="0" w:line="342" w:lineRule="auto"/>
        <w:rPr>
          <w:sz w:val="20"/>
          <w:szCs w:val="20"/>
          <w:color w:val="auto"/>
        </w:rPr>
      </w:pPr>
      <w:r>
        <w:rPr>
          <w:rFonts w:ascii="Arial" w:cs="Arial" w:eastAsia="Arial" w:hAnsi="Arial"/>
          <w:sz w:val="16"/>
          <w:szCs w:val="16"/>
          <w:color w:val="auto"/>
        </w:rPr>
        <w:t>During 2012, the Company was served with a class action lawsuit filed by a former employee alleging wage and hour violations relating to meal and rest period requirements. The Company has reached an agreement to settle this lawsuit for an immaterial amount and completed the settlement in 2014.</w:t>
      </w:r>
    </w:p>
    <w:p>
      <w:pPr>
        <w:spacing w:after="0" w:line="16" w:lineRule="exact"/>
        <w:rPr>
          <w:sz w:val="20"/>
          <w:szCs w:val="20"/>
          <w:color w:val="auto"/>
        </w:rPr>
      </w:pPr>
    </w:p>
    <w:p>
      <w:pPr>
        <w:ind w:right="100"/>
        <w:spacing w:after="0" w:line="297" w:lineRule="auto"/>
        <w:rPr>
          <w:sz w:val="20"/>
          <w:szCs w:val="20"/>
          <w:color w:val="auto"/>
        </w:rPr>
      </w:pPr>
      <w:r>
        <w:rPr>
          <w:rFonts w:ascii="Arial" w:cs="Arial" w:eastAsia="Arial" w:hAnsi="Arial"/>
          <w:sz w:val="16"/>
          <w:szCs w:val="16"/>
          <w:color w:val="auto"/>
        </w:rPr>
        <w:t>From time to time, the Company is a party to legal or regulatory proceedings arising in the ordinary course of its business. Currently, there are no legal proceeding or regulatory findings that management believes, either individually or in the aggregate, would have a material adverse effect on the Company's consolidated financial condition or results of operations. In accordance with U.S. GAAP, the Company records a liability when it is both probable that a liability has been incurred and the amount of the loss can be reasonably estimated. These provisions are reviewed at least quarterly and adjusted to reflect the impacts of negotiations, settlements, rulings, advice of legal counsel, and other information and events pertaining to a particular case.</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125" w:right="239" w:bottom="1440" w:gutter="0" w:footer="0" w:header="0"/>
        </w:sectPr>
      </w:pPr>
    </w:p>
    <w:bookmarkStart w:id="14" w:name="page15"/>
    <w:bookmarkEnd w:id="14"/>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terms "Euronet," the "Company," "we" and "us" as used herein refer to Euronet Worldwide, Inc. and its subsidiaries.</w:t>
      </w:r>
    </w:p>
    <w:p>
      <w:pPr>
        <w:spacing w:after="0" w:line="2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CAUTIONARY STATEMENT REGARDING FORWARD-LOOKING STATEMENTS</w:t>
      </w:r>
    </w:p>
    <w:p>
      <w:pPr>
        <w:spacing w:after="0" w:line="121"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This report contains statements that constitute forward-looking statements within the meaning of section 27A of the Securities Act of 1933 and section 21E of the Securities Exchange Act of 1934 (“Exchange Act”). Generally, the words "believe," "expect," "anticipate," "intend," "estimate," "will" and similar expressions identify forward-looking statements. However, the absence of these words or similar expressions does not mean the statement is not forward-looking. All statements other than statements of historical facts included in this document are forward-looking statements, including, but not limited to, statements regarding the following:</w:t>
      </w:r>
    </w:p>
    <w:p>
      <w:pPr>
        <w:spacing w:after="0" w:line="80" w:lineRule="exact"/>
        <w:rPr>
          <w:sz w:val="20"/>
          <w:szCs w:val="20"/>
          <w:color w:val="auto"/>
        </w:rPr>
      </w:pPr>
    </w:p>
    <w:p>
      <w:pPr>
        <w:ind w:left="980" w:hanging="648"/>
        <w:spacing w:after="0"/>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business plans and financing plans and requirements;</w:t>
      </w:r>
    </w:p>
    <w:p>
      <w:pPr>
        <w:spacing w:after="0" w:line="23" w:lineRule="exact"/>
        <w:rPr>
          <w:rFonts w:ascii="Arial" w:cs="Arial" w:eastAsia="Arial" w:hAnsi="Arial"/>
          <w:sz w:val="18"/>
          <w:szCs w:val="18"/>
          <w:color w:val="auto"/>
        </w:rPr>
      </w:pPr>
    </w:p>
    <w:p>
      <w:pPr>
        <w:ind w:left="980" w:hanging="648"/>
        <w:spacing w:after="0"/>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trends affecting our business plans and financing plans and requirements;</w:t>
      </w:r>
    </w:p>
    <w:p>
      <w:pPr>
        <w:spacing w:after="0" w:line="9" w:lineRule="exact"/>
        <w:rPr>
          <w:rFonts w:ascii="Arial" w:cs="Arial" w:eastAsia="Arial" w:hAnsi="Arial"/>
          <w:sz w:val="18"/>
          <w:szCs w:val="18"/>
          <w:color w:val="auto"/>
        </w:rPr>
      </w:pPr>
    </w:p>
    <w:p>
      <w:pPr>
        <w:ind w:left="980" w:hanging="648"/>
        <w:spacing w:after="0"/>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trends affecting our business;</w:t>
      </w:r>
    </w:p>
    <w:p>
      <w:pPr>
        <w:spacing w:after="0" w:line="9" w:lineRule="exact"/>
        <w:rPr>
          <w:rFonts w:ascii="Arial" w:cs="Arial" w:eastAsia="Arial" w:hAnsi="Arial"/>
          <w:sz w:val="18"/>
          <w:szCs w:val="18"/>
          <w:color w:val="auto"/>
        </w:rPr>
      </w:pPr>
    </w:p>
    <w:p>
      <w:pPr>
        <w:ind w:left="980" w:hanging="648"/>
        <w:spacing w:after="0"/>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adequacy of capital to meet our capital requirements and expansion plans;</w:t>
      </w:r>
    </w:p>
    <w:p>
      <w:pPr>
        <w:spacing w:after="0" w:line="9" w:lineRule="exact"/>
        <w:rPr>
          <w:rFonts w:ascii="Arial" w:cs="Arial" w:eastAsia="Arial" w:hAnsi="Arial"/>
          <w:sz w:val="18"/>
          <w:szCs w:val="18"/>
          <w:color w:val="auto"/>
        </w:rPr>
      </w:pPr>
    </w:p>
    <w:p>
      <w:pPr>
        <w:ind w:left="980" w:hanging="648"/>
        <w:spacing w:after="0"/>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assumptions underlying our business plans;</w:t>
      </w:r>
    </w:p>
    <w:p>
      <w:pPr>
        <w:spacing w:after="0" w:line="9" w:lineRule="exact"/>
        <w:rPr>
          <w:rFonts w:ascii="Arial" w:cs="Arial" w:eastAsia="Arial" w:hAnsi="Arial"/>
          <w:sz w:val="18"/>
          <w:szCs w:val="18"/>
          <w:color w:val="auto"/>
        </w:rPr>
      </w:pPr>
    </w:p>
    <w:p>
      <w:pPr>
        <w:ind w:left="980" w:hanging="648"/>
        <w:spacing w:after="0"/>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ability to repay indebtedness;</w:t>
      </w:r>
    </w:p>
    <w:p>
      <w:pPr>
        <w:spacing w:after="0" w:line="9" w:lineRule="exact"/>
        <w:rPr>
          <w:rFonts w:ascii="Arial" w:cs="Arial" w:eastAsia="Arial" w:hAnsi="Arial"/>
          <w:sz w:val="18"/>
          <w:szCs w:val="18"/>
          <w:color w:val="auto"/>
        </w:rPr>
      </w:pPr>
    </w:p>
    <w:p>
      <w:pPr>
        <w:ind w:left="980" w:hanging="648"/>
        <w:spacing w:after="0"/>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estimated capital expenditures;</w:t>
      </w:r>
    </w:p>
    <w:p>
      <w:pPr>
        <w:spacing w:after="0" w:line="9" w:lineRule="exact"/>
        <w:rPr>
          <w:rFonts w:ascii="Arial" w:cs="Arial" w:eastAsia="Arial" w:hAnsi="Arial"/>
          <w:sz w:val="18"/>
          <w:szCs w:val="18"/>
          <w:color w:val="auto"/>
        </w:rPr>
      </w:pPr>
    </w:p>
    <w:p>
      <w:pPr>
        <w:ind w:left="980" w:hanging="648"/>
        <w:spacing w:after="0"/>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potential outcome of loss contingencies;</w:t>
      </w:r>
    </w:p>
    <w:p>
      <w:pPr>
        <w:spacing w:after="0" w:line="9" w:lineRule="exact"/>
        <w:rPr>
          <w:rFonts w:ascii="Arial" w:cs="Arial" w:eastAsia="Arial" w:hAnsi="Arial"/>
          <w:sz w:val="18"/>
          <w:szCs w:val="18"/>
          <w:color w:val="auto"/>
        </w:rPr>
      </w:pPr>
    </w:p>
    <w:p>
      <w:pPr>
        <w:ind w:left="980" w:hanging="648"/>
        <w:spacing w:after="0"/>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expectations regarding the closing of pending acquisitions;</w:t>
      </w:r>
    </w:p>
    <w:p>
      <w:pPr>
        <w:spacing w:after="0" w:line="9" w:lineRule="exact"/>
        <w:rPr>
          <w:rFonts w:ascii="Arial" w:cs="Arial" w:eastAsia="Arial" w:hAnsi="Arial"/>
          <w:sz w:val="18"/>
          <w:szCs w:val="18"/>
          <w:color w:val="auto"/>
        </w:rPr>
      </w:pPr>
    </w:p>
    <w:p>
      <w:pPr>
        <w:ind w:left="980" w:hanging="648"/>
        <w:spacing w:after="0"/>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business strategy;</w:t>
      </w:r>
    </w:p>
    <w:p>
      <w:pPr>
        <w:spacing w:after="0" w:line="9" w:lineRule="exact"/>
        <w:rPr>
          <w:rFonts w:ascii="Arial" w:cs="Arial" w:eastAsia="Arial" w:hAnsi="Arial"/>
          <w:sz w:val="18"/>
          <w:szCs w:val="18"/>
          <w:color w:val="auto"/>
        </w:rPr>
      </w:pPr>
    </w:p>
    <w:p>
      <w:pPr>
        <w:ind w:left="980" w:hanging="648"/>
        <w:spacing w:after="0"/>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government regulatory action;</w:t>
      </w:r>
    </w:p>
    <w:p>
      <w:pPr>
        <w:spacing w:after="0" w:line="9" w:lineRule="exact"/>
        <w:rPr>
          <w:rFonts w:ascii="Arial" w:cs="Arial" w:eastAsia="Arial" w:hAnsi="Arial"/>
          <w:sz w:val="18"/>
          <w:szCs w:val="18"/>
          <w:color w:val="auto"/>
        </w:rPr>
      </w:pPr>
    </w:p>
    <w:p>
      <w:pPr>
        <w:ind w:left="980" w:hanging="648"/>
        <w:spacing w:after="0"/>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technological advances; and</w:t>
      </w:r>
    </w:p>
    <w:p>
      <w:pPr>
        <w:spacing w:after="0" w:line="9" w:lineRule="exact"/>
        <w:rPr>
          <w:rFonts w:ascii="Arial" w:cs="Arial" w:eastAsia="Arial" w:hAnsi="Arial"/>
          <w:sz w:val="18"/>
          <w:szCs w:val="18"/>
          <w:color w:val="auto"/>
        </w:rPr>
      </w:pPr>
    </w:p>
    <w:p>
      <w:pPr>
        <w:ind w:left="980" w:hanging="648"/>
        <w:spacing w:after="0"/>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projected costs and revenues.</w:t>
      </w:r>
    </w:p>
    <w:p>
      <w:pPr>
        <w:spacing w:after="0" w:line="211"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Although we believe that the expectations reflected in these forward-looking statements are reasonable, we can give no assurance that these expectations will prove to be correct.</w:t>
      </w:r>
    </w:p>
    <w:p>
      <w:pPr>
        <w:spacing w:after="0" w:line="62" w:lineRule="exact"/>
        <w:rPr>
          <w:sz w:val="20"/>
          <w:szCs w:val="20"/>
          <w:color w:val="auto"/>
        </w:rPr>
      </w:pPr>
    </w:p>
    <w:p>
      <w:pPr>
        <w:ind w:right="80"/>
        <w:spacing w:after="0" w:line="287" w:lineRule="auto"/>
        <w:rPr>
          <w:sz w:val="20"/>
          <w:szCs w:val="20"/>
          <w:color w:val="auto"/>
        </w:rPr>
      </w:pPr>
      <w:r>
        <w:rPr>
          <w:rFonts w:ascii="Arial" w:cs="Arial" w:eastAsia="Arial" w:hAnsi="Arial"/>
          <w:sz w:val="16"/>
          <w:szCs w:val="16"/>
          <w:color w:val="auto"/>
        </w:rPr>
        <w:t>Investors are cautioned that any forward-looking statements are not guarantees of future performance and involve risks and uncertainties. Actual results may materially differ from those in the forward-looking statements as a result of various factors, including, but not limited to, conditions in world financial markets and general economic conditions, including economic conditions in specific countries and regions; technological developments affecting the market for our products and services; our ability to successfully introduce new products and services; foreign currency exchange rate fluctuations; the effects of any potential future security breaches; our ability to renew existing contracts at profitable rates; changes in fees payable for transactions performed for cards bearing international logos or over switching networks such as card transactions on ATMs; our ability to comply with increasingly stringent regulatory requirements, including anti-money laundering requirements; changes in laws and regulations affecting our business, including immigration laws; changes in our relationships with, or in fees charged by, our business partners; competition; the outcome of claims and other loss contingencies affecting Euronet; and those other factors referred to above and as set forth and more fully described in Part I, Item 1A — Risk Factors of our Annual Report on Form 10-K for the year ended December 31, 2013. Our Annual Report on Form 10-K is available on the SEC's EDGAR website at www.sec.gov, and a copy may also be obtained by contacting the Company. All forward-looking statements made in this Form 10-Q speak only as of the date of this report. We do not intend, and do not undertake any obligation, to update any forward-looking statements to reflect future events or circumstances after the date of such statements.</w:t>
      </w:r>
    </w:p>
    <w:p>
      <w:pPr>
        <w:spacing w:after="0" w:line="200" w:lineRule="exact"/>
        <w:rPr>
          <w:sz w:val="20"/>
          <w:szCs w:val="20"/>
          <w:color w:val="auto"/>
        </w:rPr>
      </w:pPr>
    </w:p>
    <w:p>
      <w:pPr>
        <w:spacing w:after="0" w:line="32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00"/>
          </w:cols>
          <w:pgMar w:left="240" w:top="125" w:right="259" w:bottom="1440" w:gutter="0" w:footer="0" w:header="0"/>
        </w:sectPr>
      </w:pPr>
    </w:p>
    <w:bookmarkStart w:id="15" w:name="page16"/>
    <w:bookmarkEnd w:id="15"/>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OVERVIEW</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COMPANY OVERVIEW, GEOGRAPHIC LOCATIONS AND PRINCIPAL PRODUCTS AND SERVICES</w:t>
      </w:r>
    </w:p>
    <w:p>
      <w:pPr>
        <w:spacing w:after="0" w:line="121"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We are a leading electronic payments provider. We offer payment and transaction processing and distribution solutions to financial institutions, retailers, service providers and individual consumers. Our primary product offerings include comprehensive automated teller machine (“ATM”), point-of-sale (“POS”) and card outsourcing services, card issuing and merchant acquiring services; electronic distribution of prepaid mobile airtime and other electronic payment products; and global consumer money transfer services. We operate in the following three segments:</w:t>
      </w:r>
    </w:p>
    <w:p>
      <w:pPr>
        <w:spacing w:after="0" w:line="79" w:lineRule="exact"/>
        <w:rPr>
          <w:sz w:val="20"/>
          <w:szCs w:val="20"/>
          <w:color w:val="auto"/>
        </w:rPr>
      </w:pPr>
    </w:p>
    <w:p>
      <w:pPr>
        <w:ind w:left="980" w:hanging="648"/>
        <w:spacing w:after="0" w:line="257" w:lineRule="auto"/>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EFT Processing Segment, which processes transactions for a network of 18,558 ATMs and approximately 67,000 POS terminals across Europe, the Middle East and Asia Pacific. We provide comprehensive electronic payment solutions consisting of ATM cash withdrawal services, ATM network participation, outsourced ATM and POS management solutions, credit and debit card outsourcing, dynamic currency conversion, and other value added services. Through this segment, we also offer a suite of integrated electronic financial transaction software solutions for electronic payment and transaction delivery systems.</w:t>
      </w:r>
    </w:p>
    <w:p>
      <w:pPr>
        <w:spacing w:after="0" w:line="80" w:lineRule="exact"/>
        <w:rPr>
          <w:rFonts w:ascii="Arial" w:cs="Arial" w:eastAsia="Arial" w:hAnsi="Arial"/>
          <w:sz w:val="18"/>
          <w:szCs w:val="18"/>
          <w:color w:val="auto"/>
        </w:rPr>
      </w:pPr>
    </w:p>
    <w:p>
      <w:pPr>
        <w:ind w:left="980" w:right="80" w:hanging="648"/>
        <w:spacing w:after="0" w:line="259" w:lineRule="auto"/>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epay Segment, which provides distribution, processing and collection services for prepaid mobile airtime and other electronic payment products. We operate a network of approximately 647,000 POS terminals providing electronic processing of prepaid mobile airtime top-up services and other electronic payment products in Europe, the Middle East, Asia Pacific, the United States and South America. We also provide vouchers and physical gift fulfillment services in Europe.</w:t>
      </w:r>
    </w:p>
    <w:p>
      <w:pPr>
        <w:spacing w:after="0" w:line="78" w:lineRule="exact"/>
        <w:rPr>
          <w:rFonts w:ascii="Arial" w:cs="Arial" w:eastAsia="Arial" w:hAnsi="Arial"/>
          <w:sz w:val="18"/>
          <w:szCs w:val="18"/>
          <w:color w:val="auto"/>
        </w:rPr>
      </w:pPr>
    </w:p>
    <w:p>
      <w:pPr>
        <w:ind w:left="980" w:hanging="648"/>
        <w:spacing w:after="0" w:line="255" w:lineRule="auto"/>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Money Transfer Segment, which provides global consumer-to-consumer money transfer services, primarily under the brand name Ria. We offer this service through a network of sending agents, Company-owned stores (primarily in North America and Europe) and via the Company's website (at riamoneytransfer.com), disbursing money transfers through a worldwide correspondent network that includes approximately 219,000 locations. In addition to money transfers, we also offer customers bill payment services (primarily in the U.S.), payment alternatives such as money orders and prepaid debit cards, comprehensive check cashing services for a wide variety of issued checks, along with competitive foreign currency exchange services and mobile top-up.</w:t>
      </w:r>
    </w:p>
    <w:p>
      <w:pPr>
        <w:spacing w:after="0" w:line="85" w:lineRule="exact"/>
        <w:rPr>
          <w:sz w:val="20"/>
          <w:szCs w:val="20"/>
          <w:color w:val="auto"/>
        </w:rPr>
      </w:pPr>
    </w:p>
    <w:p>
      <w:pPr>
        <w:ind w:left="60" w:right="140"/>
        <w:spacing w:after="0" w:line="259" w:lineRule="auto"/>
        <w:rPr>
          <w:sz w:val="20"/>
          <w:szCs w:val="20"/>
          <w:color w:val="auto"/>
        </w:rPr>
      </w:pPr>
      <w:r>
        <w:rPr>
          <w:rFonts w:ascii="Arial" w:cs="Arial" w:eastAsia="Arial" w:hAnsi="Arial"/>
          <w:sz w:val="18"/>
          <w:szCs w:val="18"/>
          <w:color w:val="auto"/>
        </w:rPr>
        <w:t>We have four processing centers in Europe, three in Asia Pacific and two in North America. We have 31 principal offices in Europe, ten in Asia Pacific, six in North America, three in the Middle East, two in South America and one in Africa. Our executive offices are located in Leawood, Kansas, USA. With approximately 75% of our revenues denominated in currencies other than the U.S. dollar, any significant changes in foreign currency exchange rates will likely have a significant impact on our results of operations.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SOURCES OF REVENUES AND CASH FLOW</w:t>
      </w:r>
    </w:p>
    <w:p>
      <w:pPr>
        <w:spacing w:after="0" w:line="121"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Euronet primarily earns revenues and income based on ATM management fees, transaction fees, commissions and foreign currency exchange margin. Each operating segment’s sources of revenues are described below.</w:t>
      </w:r>
    </w:p>
    <w:p>
      <w:pPr>
        <w:spacing w:after="0" w:line="62" w:lineRule="exact"/>
        <w:rPr>
          <w:sz w:val="20"/>
          <w:szCs w:val="20"/>
          <w:color w:val="auto"/>
        </w:rPr>
      </w:pPr>
    </w:p>
    <w:p>
      <w:pPr>
        <w:ind w:right="120"/>
        <w:spacing w:after="0" w:line="273" w:lineRule="auto"/>
        <w:rPr>
          <w:sz w:val="20"/>
          <w:szCs w:val="20"/>
          <w:color w:val="auto"/>
        </w:rPr>
      </w:pPr>
      <w:r>
        <w:rPr>
          <w:rFonts w:ascii="Arial" w:cs="Arial" w:eastAsia="Arial" w:hAnsi="Arial"/>
          <w:sz w:val="17"/>
          <w:szCs w:val="17"/>
          <w:i w:val="1"/>
          <w:iCs w:val="1"/>
          <w:color w:val="auto"/>
        </w:rPr>
        <w:t xml:space="preserve">EFT Processing Segment </w:t>
      </w:r>
      <w:r>
        <w:rPr>
          <w:rFonts w:ascii="Arial" w:cs="Arial" w:eastAsia="Arial" w:hAnsi="Arial"/>
          <w:sz w:val="17"/>
          <w:szCs w:val="17"/>
          <w:color w:val="auto"/>
        </w:rPr>
        <w:t>— Revenues in the EFT Processing Segment, which represented 21% of our total consolidated revenues for the first quarter of</w:t>
      </w:r>
      <w:r>
        <w:rPr>
          <w:rFonts w:ascii="Arial" w:cs="Arial" w:eastAsia="Arial" w:hAnsi="Arial"/>
          <w:sz w:val="17"/>
          <w:szCs w:val="17"/>
          <w:i w:val="1"/>
          <w:iCs w:val="1"/>
          <w:color w:val="auto"/>
        </w:rPr>
        <w:t xml:space="preserve"> </w:t>
      </w:r>
      <w:r>
        <w:rPr>
          <w:rFonts w:ascii="Arial" w:cs="Arial" w:eastAsia="Arial" w:hAnsi="Arial"/>
          <w:sz w:val="17"/>
          <w:szCs w:val="17"/>
          <w:color w:val="auto"/>
        </w:rPr>
        <w:t>2014, are primarily derived from fees charged for transactions made by cardholders on our proprietary network of ATMs, fixed management fees and transaction fees we charge to customers for operating ATMs and processing debit and credit cards under outsourcing and cross-border acquiring agreements, foreign currency exchange margin on dynamic currency conversion transactions, and other value added services such as advertising, prepaid telecommunication recharges, bill payment, and money transfers provided over ATMs. Revenues in this segment are also derived from license fees, professional services and maintenance fees for proprietary application software and sales of related hardware.</w:t>
      </w: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00"/>
          </w:cols>
          <w:pgMar w:left="240" w:top="125" w:right="259" w:bottom="1440" w:gutter="0" w:footer="0" w:header="0"/>
        </w:sectPr>
      </w:pPr>
    </w:p>
    <w:bookmarkStart w:id="16" w:name="page17"/>
    <w:bookmarkEnd w:id="16"/>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360" w:lineRule="exact"/>
        <w:rPr>
          <w:sz w:val="20"/>
          <w:szCs w:val="20"/>
          <w:color w:val="auto"/>
        </w:rPr>
      </w:pPr>
    </w:p>
    <w:p>
      <w:pPr>
        <w:ind w:right="20"/>
        <w:spacing w:after="0" w:line="286" w:lineRule="auto"/>
        <w:rPr>
          <w:sz w:val="20"/>
          <w:szCs w:val="20"/>
          <w:color w:val="auto"/>
        </w:rPr>
      </w:pPr>
      <w:r>
        <w:rPr>
          <w:rFonts w:ascii="Arial" w:cs="Arial" w:eastAsia="Arial" w:hAnsi="Arial"/>
          <w:sz w:val="16"/>
          <w:szCs w:val="16"/>
          <w:i w:val="1"/>
          <w:iCs w:val="1"/>
          <w:color w:val="auto"/>
        </w:rPr>
        <w:t xml:space="preserve">epay Segment </w:t>
      </w:r>
      <w:r>
        <w:rPr>
          <w:rFonts w:ascii="Arial" w:cs="Arial" w:eastAsia="Arial" w:hAnsi="Arial"/>
          <w:sz w:val="16"/>
          <w:szCs w:val="16"/>
          <w:color w:val="auto"/>
        </w:rPr>
        <w:t>— Revenues in the epay Segment, which represented 52% of our total consolidated revenues for the first quarter of 2014, are primarily derived</w:t>
      </w:r>
      <w:r>
        <w:rPr>
          <w:rFonts w:ascii="Arial" w:cs="Arial" w:eastAsia="Arial" w:hAnsi="Arial"/>
          <w:sz w:val="16"/>
          <w:szCs w:val="16"/>
          <w:i w:val="1"/>
          <w:iCs w:val="1"/>
          <w:color w:val="auto"/>
        </w:rPr>
        <w:t xml:space="preserve"> </w:t>
      </w:r>
      <w:r>
        <w:rPr>
          <w:rFonts w:ascii="Arial" w:cs="Arial" w:eastAsia="Arial" w:hAnsi="Arial"/>
          <w:sz w:val="16"/>
          <w:szCs w:val="16"/>
          <w:color w:val="auto"/>
        </w:rPr>
        <w:t>from commissions or processing fees received from mobile phone operators for the processing and distribution of prepaid mobile airtime and commissions earned from the distribution of other electronic payment products, vouchers, and physical gifts. Due to certain provisions in our mobile phone operator agreements, the operators have the ability to reduce the overall commission paid on top-up transactions. However, by virtue of our agreements with retailers (distributors where POS terminals are located) in certain markets, not all of these reductions are absorbed by us because we are able to pass a significant portion of the reductions to retailers. Accordingly, under certain retailer agreements, the effect is to reduce revenues and reduce our direct operating costs resulting in only a small impact on gross profit and operating income. In some markets, reductions in commissions can significantly impact our results as it may not be possible, either contractually or commercially in the concerned market, to pass a reduction in commissions to the retailers. In certain markets, retailers may negotiate directly with the mobile phone operators and prepaid content providers for their own commission rates, which also limits our ability to pass through reductions in commissions. Agreements with mobile operators and prepaid content providers are important to the success of our business. These agreements permit us to distribute prepaid mobile airtime and other electronic payment products to the end consumer. Other electronic payment products offered by this segment include prepaid long distance calling card plans, prepaid Internet plans, prepaid debit cards, gift cards, vouchers, transport payments, lottery payments, bill payment, money transfer and digital content such as music, games and software.</w:t>
      </w:r>
    </w:p>
    <w:p>
      <w:pPr>
        <w:spacing w:after="0" w:line="67" w:lineRule="exact"/>
        <w:rPr>
          <w:sz w:val="20"/>
          <w:szCs w:val="20"/>
          <w:color w:val="auto"/>
        </w:rPr>
      </w:pPr>
    </w:p>
    <w:p>
      <w:pPr>
        <w:spacing w:after="0" w:line="255" w:lineRule="auto"/>
        <w:rPr>
          <w:sz w:val="20"/>
          <w:szCs w:val="20"/>
          <w:color w:val="auto"/>
        </w:rPr>
      </w:pPr>
      <w:r>
        <w:rPr>
          <w:rFonts w:ascii="Arial" w:cs="Arial" w:eastAsia="Arial" w:hAnsi="Arial"/>
          <w:sz w:val="18"/>
          <w:szCs w:val="18"/>
          <w:i w:val="1"/>
          <w:iCs w:val="1"/>
          <w:color w:val="auto"/>
        </w:rPr>
        <w:t xml:space="preserve">Money Transfer Segment </w:t>
      </w:r>
      <w:r>
        <w:rPr>
          <w:rFonts w:ascii="Arial" w:cs="Arial" w:eastAsia="Arial" w:hAnsi="Arial"/>
          <w:sz w:val="18"/>
          <w:szCs w:val="18"/>
          <w:color w:val="auto"/>
        </w:rPr>
        <w:t>— Revenues in the Money Transfer Segment, which represented 27% of our total consolidated revenues for the first quarter of</w:t>
      </w:r>
      <w:r>
        <w:rPr>
          <w:rFonts w:ascii="Arial" w:cs="Arial" w:eastAsia="Arial" w:hAnsi="Arial"/>
          <w:sz w:val="18"/>
          <w:szCs w:val="18"/>
          <w:i w:val="1"/>
          <w:iCs w:val="1"/>
          <w:color w:val="auto"/>
        </w:rPr>
        <w:t xml:space="preserve"> </w:t>
      </w:r>
      <w:r>
        <w:rPr>
          <w:rFonts w:ascii="Arial" w:cs="Arial" w:eastAsia="Arial" w:hAnsi="Arial"/>
          <w:sz w:val="18"/>
          <w:szCs w:val="18"/>
          <w:color w:val="auto"/>
        </w:rPr>
        <w:t>2014, are primarily derived from transaction fees, as well as the margin earned from purchasing foreign currency at wholesale exchange rates and selling the foreign currency to consumers at retail exchange rates. We have a sending agent network in place comprised of agents, Company-owned stores, primarily in North America and Europe, and our riamoneytransfer.com website, along with a worldwide network of correspondent agents, consisting primarily of financial institutions in the transfer destination countries. Sending and correspondent agents each earn fees for cash collection and distribution services. These fees are recognized as direct operating costs at the time of sale.</w:t>
      </w:r>
    </w:p>
    <w:p>
      <w:pPr>
        <w:spacing w:after="0" w:line="85" w:lineRule="exact"/>
        <w:rPr>
          <w:sz w:val="20"/>
          <w:szCs w:val="20"/>
          <w:color w:val="auto"/>
        </w:rPr>
      </w:pPr>
    </w:p>
    <w:p>
      <w:pPr>
        <w:ind w:right="320"/>
        <w:spacing w:after="0" w:line="259" w:lineRule="auto"/>
        <w:rPr>
          <w:sz w:val="20"/>
          <w:szCs w:val="20"/>
          <w:color w:val="auto"/>
        </w:rPr>
      </w:pPr>
      <w:r>
        <w:rPr>
          <w:rFonts w:ascii="Arial" w:cs="Arial" w:eastAsia="Arial" w:hAnsi="Arial"/>
          <w:sz w:val="18"/>
          <w:szCs w:val="18"/>
          <w:i w:val="1"/>
          <w:iCs w:val="1"/>
          <w:color w:val="auto"/>
        </w:rPr>
        <w:t xml:space="preserve">Corporate Services, Eliminations and Other </w:t>
      </w:r>
      <w:r>
        <w:rPr>
          <w:rFonts w:ascii="Arial" w:cs="Arial" w:eastAsia="Arial" w:hAnsi="Arial"/>
          <w:sz w:val="18"/>
          <w:szCs w:val="18"/>
          <w:color w:val="auto"/>
        </w:rPr>
        <w:t>- In addition to operating in our principal operating segments described above, our “Corporate Services,</w:t>
      </w:r>
      <w:r>
        <w:rPr>
          <w:rFonts w:ascii="Arial" w:cs="Arial" w:eastAsia="Arial" w:hAnsi="Arial"/>
          <w:sz w:val="18"/>
          <w:szCs w:val="18"/>
          <w:i w:val="1"/>
          <w:iCs w:val="1"/>
          <w:color w:val="auto"/>
        </w:rPr>
        <w:t xml:space="preserve"> </w:t>
      </w:r>
      <w:r>
        <w:rPr>
          <w:rFonts w:ascii="Arial" w:cs="Arial" w:eastAsia="Arial" w:hAnsi="Arial"/>
          <w:sz w:val="18"/>
          <w:szCs w:val="18"/>
          <w:color w:val="auto"/>
        </w:rPr>
        <w:t>Eliminations and Other” category includes non-operating activity, certain inter-segment eliminations and the cost of providing corporate and other administrative services to the operating segments, including most share-based compensation expense. These services are not directly identifiable with our reportable operating segments.</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OPPORTUNITIES AND CHALLENGES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Our expansion plans and opportunities are currently focused on six primary areas:</w:t>
      </w:r>
    </w:p>
    <w:p>
      <w:pPr>
        <w:spacing w:after="0" w:line="117" w:lineRule="exact"/>
        <w:rPr>
          <w:sz w:val="20"/>
          <w:szCs w:val="20"/>
          <w:color w:val="auto"/>
        </w:rPr>
      </w:pPr>
    </w:p>
    <w:p>
      <w:pPr>
        <w:ind w:left="980" w:hanging="648"/>
        <w:spacing w:after="0"/>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signing new outsourced ATM and POS terminal management contracts and adding ATMs to our owned network;</w:t>
      </w:r>
    </w:p>
    <w:p>
      <w:pPr>
        <w:spacing w:after="0" w:line="117" w:lineRule="exact"/>
        <w:rPr>
          <w:rFonts w:ascii="Arial" w:cs="Arial" w:eastAsia="Arial" w:hAnsi="Arial"/>
          <w:sz w:val="18"/>
          <w:szCs w:val="18"/>
          <w:color w:val="auto"/>
        </w:rPr>
      </w:pPr>
    </w:p>
    <w:p>
      <w:pPr>
        <w:ind w:left="980" w:hanging="648"/>
        <w:spacing w:after="0"/>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increasing transactions processed on our network of owned and operated ATMs and POS devices;</w:t>
      </w:r>
    </w:p>
    <w:p>
      <w:pPr>
        <w:spacing w:after="0" w:line="117" w:lineRule="exact"/>
        <w:rPr>
          <w:rFonts w:ascii="Arial" w:cs="Arial" w:eastAsia="Arial" w:hAnsi="Arial"/>
          <w:sz w:val="18"/>
          <w:szCs w:val="18"/>
          <w:color w:val="auto"/>
        </w:rPr>
      </w:pPr>
    </w:p>
    <w:p>
      <w:pPr>
        <w:ind w:left="980" w:right="500" w:hanging="648"/>
        <w:spacing w:after="0" w:line="277" w:lineRule="auto"/>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expanding value added services in our EFT Processing Segment, including the sale of dynamic currency conversion services to banks and retailers;</w:t>
      </w:r>
    </w:p>
    <w:p>
      <w:pPr>
        <w:spacing w:after="0" w:line="62" w:lineRule="exact"/>
        <w:rPr>
          <w:rFonts w:ascii="Arial" w:cs="Arial" w:eastAsia="Arial" w:hAnsi="Arial"/>
          <w:sz w:val="18"/>
          <w:szCs w:val="18"/>
          <w:color w:val="auto"/>
        </w:rPr>
      </w:pPr>
    </w:p>
    <w:p>
      <w:pPr>
        <w:ind w:left="980" w:hanging="648"/>
        <w:spacing w:after="0"/>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expanding our epay processing network and portfolio of electronic payment products;</w:t>
      </w:r>
    </w:p>
    <w:p>
      <w:pPr>
        <w:spacing w:after="0" w:line="117" w:lineRule="exact"/>
        <w:rPr>
          <w:rFonts w:ascii="Arial" w:cs="Arial" w:eastAsia="Arial" w:hAnsi="Arial"/>
          <w:sz w:val="18"/>
          <w:szCs w:val="18"/>
          <w:color w:val="auto"/>
        </w:rPr>
      </w:pPr>
    </w:p>
    <w:p>
      <w:pPr>
        <w:ind w:left="980" w:hanging="648"/>
        <w:spacing w:after="0"/>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expanding our money transfer and bill payment network; and</w:t>
      </w:r>
    </w:p>
    <w:p>
      <w:pPr>
        <w:spacing w:after="0" w:line="117" w:lineRule="exact"/>
        <w:rPr>
          <w:rFonts w:ascii="Arial" w:cs="Arial" w:eastAsia="Arial" w:hAnsi="Arial"/>
          <w:sz w:val="18"/>
          <w:szCs w:val="18"/>
          <w:color w:val="auto"/>
        </w:rPr>
      </w:pPr>
    </w:p>
    <w:p>
      <w:pPr>
        <w:ind w:left="980" w:hanging="648"/>
        <w:spacing w:after="0"/>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developing our credit and debit card outsourcing business.</w:t>
      </w:r>
    </w:p>
    <w:p>
      <w:pPr>
        <w:spacing w:after="0" w:line="117"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i w:val="1"/>
          <w:iCs w:val="1"/>
          <w:color w:val="auto"/>
        </w:rPr>
        <w:t xml:space="preserve">EFT Processing Segment </w:t>
      </w:r>
      <w:r>
        <w:rPr>
          <w:rFonts w:ascii="Arial" w:cs="Arial" w:eastAsia="Arial" w:hAnsi="Arial"/>
          <w:sz w:val="18"/>
          <w:szCs w:val="18"/>
          <w:color w:val="auto"/>
        </w:rPr>
        <w:t>— The continued expansion and development of our EFT Processing Segment business will depend on various factors including,</w:t>
      </w:r>
      <w:r>
        <w:rPr>
          <w:rFonts w:ascii="Arial" w:cs="Arial" w:eastAsia="Arial" w:hAnsi="Arial"/>
          <w:sz w:val="18"/>
          <w:szCs w:val="18"/>
          <w:i w:val="1"/>
          <w:iCs w:val="1"/>
          <w:color w:val="auto"/>
        </w:rPr>
        <w:t xml:space="preserve"> </w:t>
      </w:r>
      <w:r>
        <w:rPr>
          <w:rFonts w:ascii="Arial" w:cs="Arial" w:eastAsia="Arial" w:hAnsi="Arial"/>
          <w:sz w:val="18"/>
          <w:szCs w:val="18"/>
          <w:color w:val="auto"/>
        </w:rPr>
        <w:t>but not necessarily limited to, the following:</w:t>
      </w:r>
    </w:p>
    <w:p>
      <w:pPr>
        <w:spacing w:after="0" w:line="62" w:lineRule="exact"/>
        <w:rPr>
          <w:sz w:val="20"/>
          <w:szCs w:val="20"/>
          <w:color w:val="auto"/>
        </w:rPr>
      </w:pPr>
    </w:p>
    <w:p>
      <w:pPr>
        <w:ind w:left="980" w:hanging="648"/>
        <w:spacing w:after="0"/>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impact of competition by banks and other ATM operators and service providers in our current target markets;</w:t>
      </w:r>
    </w:p>
    <w:p>
      <w:pPr>
        <w:spacing w:after="0" w:line="117" w:lineRule="exact"/>
        <w:rPr>
          <w:rFonts w:ascii="Arial" w:cs="Arial" w:eastAsia="Arial" w:hAnsi="Arial"/>
          <w:sz w:val="18"/>
          <w:szCs w:val="18"/>
          <w:color w:val="auto"/>
        </w:rPr>
      </w:pPr>
    </w:p>
    <w:p>
      <w:pPr>
        <w:ind w:left="980" w:hanging="648"/>
        <w:spacing w:after="0"/>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demand for our ATM outsourcing services in our current target markets;</w:t>
      </w:r>
    </w:p>
    <w:p>
      <w:pPr>
        <w:spacing w:after="0" w:line="117" w:lineRule="exact"/>
        <w:rPr>
          <w:rFonts w:ascii="Arial" w:cs="Arial" w:eastAsia="Arial" w:hAnsi="Arial"/>
          <w:sz w:val="18"/>
          <w:szCs w:val="18"/>
          <w:color w:val="auto"/>
        </w:rPr>
      </w:pPr>
    </w:p>
    <w:p>
      <w:pPr>
        <w:ind w:left="980" w:hanging="648"/>
        <w:spacing w:after="0"/>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ability to develop products or services, including value added services, to drive increases in transactions and revenues;</w:t>
      </w:r>
    </w:p>
    <w:p>
      <w:pPr>
        <w:spacing w:after="0" w:line="117" w:lineRule="exact"/>
        <w:rPr>
          <w:rFonts w:ascii="Arial" w:cs="Arial" w:eastAsia="Arial" w:hAnsi="Arial"/>
          <w:sz w:val="18"/>
          <w:szCs w:val="18"/>
          <w:color w:val="auto"/>
        </w:rPr>
      </w:pPr>
    </w:p>
    <w:p>
      <w:pPr>
        <w:ind w:left="980" w:hanging="648"/>
        <w:spacing w:after="0"/>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expansion of our various business lines in markets where we operate and in new markets;</w:t>
      </w:r>
    </w:p>
    <w:p>
      <w:pPr>
        <w:spacing w:after="0" w:line="117" w:lineRule="exact"/>
        <w:rPr>
          <w:rFonts w:ascii="Arial" w:cs="Arial" w:eastAsia="Arial" w:hAnsi="Arial"/>
          <w:sz w:val="18"/>
          <w:szCs w:val="18"/>
          <w:color w:val="auto"/>
        </w:rPr>
      </w:pPr>
    </w:p>
    <w:p>
      <w:pPr>
        <w:ind w:left="980" w:hanging="648"/>
        <w:spacing w:after="0"/>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entry into additional card acceptance and ATM management agreements with banks;</w:t>
      </w:r>
    </w:p>
    <w:p>
      <w:pPr>
        <w:spacing w:after="0" w:line="117" w:lineRule="exact"/>
        <w:rPr>
          <w:rFonts w:ascii="Arial" w:cs="Arial" w:eastAsia="Arial" w:hAnsi="Arial"/>
          <w:sz w:val="18"/>
          <w:szCs w:val="18"/>
          <w:color w:val="auto"/>
        </w:rPr>
      </w:pPr>
    </w:p>
    <w:p>
      <w:pPr>
        <w:ind w:left="980" w:hanging="648"/>
        <w:spacing w:after="0"/>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ability to obtain required licenses in markets we intend to enter or expand services;</w:t>
      </w:r>
    </w:p>
    <w:p>
      <w:pPr>
        <w:spacing w:after="0" w:line="117" w:lineRule="exact"/>
        <w:rPr>
          <w:rFonts w:ascii="Arial" w:cs="Arial" w:eastAsia="Arial" w:hAnsi="Arial"/>
          <w:sz w:val="18"/>
          <w:szCs w:val="18"/>
          <w:color w:val="auto"/>
        </w:rPr>
      </w:pPr>
    </w:p>
    <w:p>
      <w:pPr>
        <w:ind w:left="980" w:hanging="648"/>
        <w:spacing w:after="0"/>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availability of financing for expansion;</w:t>
      </w:r>
    </w:p>
    <w:p>
      <w:pPr>
        <w:spacing w:after="0" w:line="117" w:lineRule="exact"/>
        <w:rPr>
          <w:rFonts w:ascii="Arial" w:cs="Arial" w:eastAsia="Arial" w:hAnsi="Arial"/>
          <w:sz w:val="18"/>
          <w:szCs w:val="18"/>
          <w:color w:val="auto"/>
        </w:rPr>
      </w:pPr>
    </w:p>
    <w:p>
      <w:pPr>
        <w:ind w:left="980" w:hanging="648"/>
        <w:spacing w:after="0"/>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ability to efficiently install ATMs contracted under newly awarded outsourcing agreements;</w:t>
      </w:r>
    </w:p>
    <w:p>
      <w:pPr>
        <w:spacing w:after="0" w:line="117" w:lineRule="exact"/>
        <w:rPr>
          <w:rFonts w:ascii="Arial" w:cs="Arial" w:eastAsia="Arial" w:hAnsi="Arial"/>
          <w:sz w:val="18"/>
          <w:szCs w:val="18"/>
          <w:color w:val="auto"/>
        </w:rPr>
      </w:pPr>
    </w:p>
    <w:p>
      <w:pPr>
        <w:ind w:left="980" w:hanging="648"/>
        <w:spacing w:after="0"/>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ability to renew existing contracts at profitable rates;</w:t>
      </w: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00"/>
          </w:cols>
          <w:pgMar w:left="240" w:top="125" w:right="259" w:bottom="1440" w:gutter="0" w:footer="0" w:header="0"/>
        </w:sectPr>
      </w:pPr>
    </w:p>
    <w:bookmarkStart w:id="17" w:name="page18"/>
    <w:bookmarkEnd w:id="17"/>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360" w:lineRule="exact"/>
        <w:rPr>
          <w:sz w:val="20"/>
          <w:szCs w:val="20"/>
          <w:color w:val="auto"/>
        </w:rPr>
      </w:pPr>
    </w:p>
    <w:p>
      <w:pPr>
        <w:ind w:left="980" w:hanging="648"/>
        <w:spacing w:after="0"/>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our ability to maintain pricing at current levels or mitigate price reductions in certain markets;</w:t>
      </w:r>
    </w:p>
    <w:p>
      <w:pPr>
        <w:spacing w:after="0" w:line="117" w:lineRule="exact"/>
        <w:rPr>
          <w:rFonts w:ascii="Arial" w:cs="Arial" w:eastAsia="Arial" w:hAnsi="Arial"/>
          <w:sz w:val="18"/>
          <w:szCs w:val="18"/>
          <w:color w:val="auto"/>
        </w:rPr>
      </w:pPr>
    </w:p>
    <w:p>
      <w:pPr>
        <w:ind w:left="980" w:hanging="648"/>
        <w:spacing w:after="0"/>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impact of reductions in ATM interchange fees;</w:t>
      </w:r>
    </w:p>
    <w:p>
      <w:pPr>
        <w:spacing w:after="0" w:line="117" w:lineRule="exact"/>
        <w:rPr>
          <w:rFonts w:ascii="Arial" w:cs="Arial" w:eastAsia="Arial" w:hAnsi="Arial"/>
          <w:sz w:val="18"/>
          <w:szCs w:val="18"/>
          <w:color w:val="auto"/>
        </w:rPr>
      </w:pPr>
    </w:p>
    <w:p>
      <w:pPr>
        <w:ind w:left="980" w:hanging="648"/>
        <w:spacing w:after="0"/>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our ability to expand and sign additional customers for the cross-border merchant processing and acquiring business; and</w:t>
      </w:r>
    </w:p>
    <w:p>
      <w:pPr>
        <w:spacing w:after="0" w:line="117" w:lineRule="exact"/>
        <w:rPr>
          <w:rFonts w:ascii="Arial" w:cs="Arial" w:eastAsia="Arial" w:hAnsi="Arial"/>
          <w:sz w:val="18"/>
          <w:szCs w:val="18"/>
          <w:color w:val="auto"/>
        </w:rPr>
      </w:pPr>
    </w:p>
    <w:p>
      <w:pPr>
        <w:ind w:left="980" w:hanging="648"/>
        <w:spacing w:after="0"/>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continued development and implementation of our software products and their ability to interact with other leading products.</w:t>
      </w:r>
    </w:p>
    <w:p>
      <w:pPr>
        <w:spacing w:after="0" w:line="225"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We consistently evaluate and add prospects to our list of potential ATM outsourcing customers. However, we cannot predict any increase or decrease in the number of ATMs we manage under outsourcing agreements because this depends largely on the willingness of banks to enter into outsourcing contracts with us. Due to the thorough internal reviews and extensive negotiations conducted by existing and prospective banking customers in choosing outsource vendors, the process of entering into or renewing outsourcing agreements can take several months. The process is further complicated by the legal and regulatory considerations of local countries. These agreements tend to cover large numbers of ATMs, so significant increases and decreases in our pool of managed ATMs could result from the acquisition or termination of one or more of these management contracts. Therefore, the timing of both current and new contract revenues is uncertain and unpredictable.</w:t>
      </w:r>
    </w:p>
    <w:p>
      <w:pPr>
        <w:spacing w:after="0" w:line="189"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Software products are an integral part of our product lines, and our investment in research, development, delivery and customer support reflects our ongoing commitment to an expanded customer base. We have been able to enter into agreements under which we contribute the right to use our software in lieu of cash as our initial capital contributions to new transaction processing joint ventures. Such contributions sometimes permit us to enter new markets without significant capital investment.</w:t>
      </w:r>
    </w:p>
    <w:p>
      <w:pPr>
        <w:spacing w:after="0" w:line="79"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i w:val="1"/>
          <w:iCs w:val="1"/>
          <w:color w:val="auto"/>
        </w:rPr>
        <w:t xml:space="preserve">epay Segment </w:t>
      </w:r>
      <w:r>
        <w:rPr>
          <w:rFonts w:ascii="Arial" w:cs="Arial" w:eastAsia="Arial" w:hAnsi="Arial"/>
          <w:sz w:val="18"/>
          <w:szCs w:val="18"/>
          <w:color w:val="auto"/>
        </w:rPr>
        <w:t>— The continued expansion and development of our epay Segment business will depend on various factors, including, but not necessarily</w:t>
      </w:r>
      <w:r>
        <w:rPr>
          <w:rFonts w:ascii="Arial" w:cs="Arial" w:eastAsia="Arial" w:hAnsi="Arial"/>
          <w:sz w:val="18"/>
          <w:szCs w:val="18"/>
          <w:i w:val="1"/>
          <w:iCs w:val="1"/>
          <w:color w:val="auto"/>
        </w:rPr>
        <w:t xml:space="preserve"> </w:t>
      </w:r>
      <w:r>
        <w:rPr>
          <w:rFonts w:ascii="Arial" w:cs="Arial" w:eastAsia="Arial" w:hAnsi="Arial"/>
          <w:sz w:val="18"/>
          <w:szCs w:val="18"/>
          <w:color w:val="auto"/>
        </w:rPr>
        <w:t>limited to, the following:</w:t>
      </w:r>
    </w:p>
    <w:p>
      <w:pPr>
        <w:spacing w:after="0" w:line="62" w:lineRule="exact"/>
        <w:rPr>
          <w:sz w:val="20"/>
          <w:szCs w:val="20"/>
          <w:color w:val="auto"/>
        </w:rPr>
      </w:pPr>
    </w:p>
    <w:p>
      <w:pPr>
        <w:ind w:left="980" w:right="400" w:hanging="648"/>
        <w:spacing w:after="0" w:line="277" w:lineRule="auto"/>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our ability to maintain and renew existing agreements, and to negotiate new agreements in additional markets with mobile phone operators, content providers, agent financial institutions and retailers;</w:t>
      </w:r>
    </w:p>
    <w:p>
      <w:pPr>
        <w:spacing w:after="0" w:line="62" w:lineRule="exact"/>
        <w:rPr>
          <w:rFonts w:ascii="Arial" w:cs="Arial" w:eastAsia="Arial" w:hAnsi="Arial"/>
          <w:sz w:val="18"/>
          <w:szCs w:val="18"/>
          <w:color w:val="auto"/>
        </w:rPr>
      </w:pPr>
    </w:p>
    <w:p>
      <w:pPr>
        <w:ind w:left="980" w:hanging="648"/>
        <w:spacing w:after="0"/>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our ability to use existing expertise and relationships with mobile operators, content providers and retailers to our advantage;</w:t>
      </w:r>
    </w:p>
    <w:p>
      <w:pPr>
        <w:spacing w:after="0" w:line="117" w:lineRule="exact"/>
        <w:rPr>
          <w:rFonts w:ascii="Arial" w:cs="Arial" w:eastAsia="Arial" w:hAnsi="Arial"/>
          <w:sz w:val="18"/>
          <w:szCs w:val="18"/>
          <w:color w:val="auto"/>
        </w:rPr>
      </w:pPr>
    </w:p>
    <w:p>
      <w:pPr>
        <w:ind w:left="980" w:hanging="648"/>
        <w:spacing w:after="0"/>
        <w:tabs>
          <w:tab w:leader="none" w:pos="980" w:val="left"/>
        </w:tabs>
        <w:numPr>
          <w:ilvl w:val="0"/>
          <w:numId w:val="12"/>
        </w:numPr>
        <w:rPr>
          <w:rFonts w:ascii="Arial" w:cs="Arial" w:eastAsia="Arial" w:hAnsi="Arial"/>
          <w:sz w:val="17"/>
          <w:szCs w:val="17"/>
          <w:color w:val="auto"/>
        </w:rPr>
      </w:pPr>
      <w:r>
        <w:rPr>
          <w:rFonts w:ascii="Arial" w:cs="Arial" w:eastAsia="Arial" w:hAnsi="Arial"/>
          <w:sz w:val="17"/>
          <w:szCs w:val="17"/>
          <w:color w:val="auto"/>
        </w:rPr>
        <w:t>the continued use of third-party providers such as ourselves to supply electronic processing solutions for existing and additional content;</w:t>
      </w:r>
    </w:p>
    <w:p>
      <w:pPr>
        <w:spacing w:after="0" w:line="128" w:lineRule="exact"/>
        <w:rPr>
          <w:rFonts w:ascii="Arial" w:cs="Arial" w:eastAsia="Arial" w:hAnsi="Arial"/>
          <w:sz w:val="17"/>
          <w:szCs w:val="17"/>
          <w:color w:val="auto"/>
        </w:rPr>
      </w:pPr>
    </w:p>
    <w:p>
      <w:pPr>
        <w:ind w:left="980" w:hanging="648"/>
        <w:spacing w:after="0"/>
        <w:tabs>
          <w:tab w:leader="none" w:pos="980" w:val="left"/>
        </w:tabs>
        <w:numPr>
          <w:ilvl w:val="0"/>
          <w:numId w:val="12"/>
        </w:numPr>
        <w:rPr>
          <w:rFonts w:ascii="Arial" w:cs="Arial" w:eastAsia="Arial" w:hAnsi="Arial"/>
          <w:sz w:val="17"/>
          <w:szCs w:val="17"/>
          <w:color w:val="auto"/>
        </w:rPr>
      </w:pPr>
      <w:r>
        <w:rPr>
          <w:rFonts w:ascii="Arial" w:cs="Arial" w:eastAsia="Arial" w:hAnsi="Arial"/>
          <w:sz w:val="17"/>
          <w:szCs w:val="17"/>
          <w:color w:val="auto"/>
        </w:rPr>
        <w:t>the development of mobile phone networks in the markets in which we do business and the increase in the number of mobile phone users;</w:t>
      </w:r>
    </w:p>
    <w:p>
      <w:pPr>
        <w:spacing w:after="0" w:line="128" w:lineRule="exact"/>
        <w:rPr>
          <w:rFonts w:ascii="Arial" w:cs="Arial" w:eastAsia="Arial" w:hAnsi="Arial"/>
          <w:sz w:val="17"/>
          <w:szCs w:val="17"/>
          <w:color w:val="auto"/>
        </w:rPr>
      </w:pPr>
    </w:p>
    <w:p>
      <w:pPr>
        <w:ind w:left="980" w:hanging="648"/>
        <w:spacing w:after="0"/>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overall pace of growth in the prepaid mobile phone market, including consumer shifts between prepaid and postpaid services;</w:t>
      </w:r>
    </w:p>
    <w:p>
      <w:pPr>
        <w:spacing w:after="0" w:line="117" w:lineRule="exact"/>
        <w:rPr>
          <w:rFonts w:ascii="Arial" w:cs="Arial" w:eastAsia="Arial" w:hAnsi="Arial"/>
          <w:sz w:val="18"/>
          <w:szCs w:val="18"/>
          <w:color w:val="auto"/>
        </w:rPr>
      </w:pPr>
    </w:p>
    <w:p>
      <w:pPr>
        <w:ind w:left="980" w:hanging="648"/>
        <w:spacing w:after="0"/>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our market share of the retail distribution capacity;</w:t>
      </w:r>
    </w:p>
    <w:p>
      <w:pPr>
        <w:spacing w:after="0" w:line="117" w:lineRule="exact"/>
        <w:rPr>
          <w:rFonts w:ascii="Arial" w:cs="Arial" w:eastAsia="Arial" w:hAnsi="Arial"/>
          <w:sz w:val="18"/>
          <w:szCs w:val="18"/>
          <w:color w:val="auto"/>
        </w:rPr>
      </w:pPr>
    </w:p>
    <w:p>
      <w:pPr>
        <w:ind w:left="980" w:hanging="648"/>
        <w:spacing w:after="0"/>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development of new technologies that may compete with POS distribution of prepaid mobile airtime and other products;</w:t>
      </w:r>
    </w:p>
    <w:p>
      <w:pPr>
        <w:spacing w:after="0" w:line="117" w:lineRule="exact"/>
        <w:rPr>
          <w:rFonts w:ascii="Arial" w:cs="Arial" w:eastAsia="Arial" w:hAnsi="Arial"/>
          <w:sz w:val="18"/>
          <w:szCs w:val="18"/>
          <w:color w:val="auto"/>
        </w:rPr>
      </w:pPr>
    </w:p>
    <w:p>
      <w:pPr>
        <w:ind w:left="980" w:hanging="648"/>
        <w:spacing w:after="0"/>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level of commission that is paid to the various intermediaries in the electronic payment distribution chain;</w:t>
      </w:r>
    </w:p>
    <w:p>
      <w:pPr>
        <w:spacing w:after="0" w:line="117" w:lineRule="exact"/>
        <w:rPr>
          <w:rFonts w:ascii="Arial" w:cs="Arial" w:eastAsia="Arial" w:hAnsi="Arial"/>
          <w:sz w:val="18"/>
          <w:szCs w:val="18"/>
          <w:color w:val="auto"/>
        </w:rPr>
      </w:pPr>
    </w:p>
    <w:p>
      <w:pPr>
        <w:ind w:left="980" w:hanging="648"/>
        <w:spacing w:after="0"/>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our ability to fully recover monies collected by retailers;</w:t>
      </w:r>
    </w:p>
    <w:p>
      <w:pPr>
        <w:spacing w:after="0" w:line="117" w:lineRule="exact"/>
        <w:rPr>
          <w:rFonts w:ascii="Arial" w:cs="Arial" w:eastAsia="Arial" w:hAnsi="Arial"/>
          <w:sz w:val="18"/>
          <w:szCs w:val="18"/>
          <w:color w:val="auto"/>
        </w:rPr>
      </w:pPr>
    </w:p>
    <w:p>
      <w:pPr>
        <w:ind w:left="980" w:hanging="648"/>
        <w:spacing w:after="0"/>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our ability to add new and differentiated products in addition to those offered by mobile operators;</w:t>
      </w:r>
    </w:p>
    <w:p>
      <w:pPr>
        <w:spacing w:after="0" w:line="117" w:lineRule="exact"/>
        <w:rPr>
          <w:rFonts w:ascii="Arial" w:cs="Arial" w:eastAsia="Arial" w:hAnsi="Arial"/>
          <w:sz w:val="18"/>
          <w:szCs w:val="18"/>
          <w:color w:val="auto"/>
        </w:rPr>
      </w:pPr>
    </w:p>
    <w:p>
      <w:pPr>
        <w:ind w:left="980" w:hanging="648"/>
        <w:spacing w:after="0"/>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our ability to develop and effectively market additional value added services;</w:t>
      </w:r>
    </w:p>
    <w:p>
      <w:pPr>
        <w:spacing w:after="0" w:line="117" w:lineRule="exact"/>
        <w:rPr>
          <w:rFonts w:ascii="Arial" w:cs="Arial" w:eastAsia="Arial" w:hAnsi="Arial"/>
          <w:sz w:val="18"/>
          <w:szCs w:val="18"/>
          <w:color w:val="auto"/>
        </w:rPr>
      </w:pPr>
    </w:p>
    <w:p>
      <w:pPr>
        <w:ind w:left="980" w:right="440" w:hanging="648"/>
        <w:spacing w:after="0" w:line="277" w:lineRule="auto"/>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our ability to take advantage of cross-selling opportunities with our Money Transfer Segment, including providing money transfer services through our distribution network; and</w:t>
      </w:r>
    </w:p>
    <w:p>
      <w:pPr>
        <w:spacing w:after="0" w:line="62" w:lineRule="exact"/>
        <w:rPr>
          <w:rFonts w:ascii="Arial" w:cs="Arial" w:eastAsia="Arial" w:hAnsi="Arial"/>
          <w:sz w:val="18"/>
          <w:szCs w:val="18"/>
          <w:color w:val="auto"/>
        </w:rPr>
      </w:pPr>
    </w:p>
    <w:p>
      <w:pPr>
        <w:ind w:left="980" w:hanging="648"/>
        <w:spacing w:after="0"/>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availability of financing for further expansion.</w:t>
      </w:r>
    </w:p>
    <w:p>
      <w:pPr>
        <w:spacing w:after="0" w:line="333"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In all of the markets in which we operate, we are experiencing significant competition which will impact the rate at which we may be able to grow organically. Competition among prepaid mobile airtime distributors results in the increase of commissions paid to retailers and increases in retailer attrition rates. To grow, we must capture market share from other prepaid mobile airtime distributors, offer a superior product offering and demonstrate the value of a global network. In certain markets in which we operate, we believe that many of the factors that may contribute to rapid growth (growth in electronic payment products, expansion of our network of retailers and access to all mobile operators' products) remain present.</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125" w:right="239" w:bottom="1440" w:gutter="0" w:footer="0" w:header="0"/>
        </w:sectPr>
      </w:pPr>
    </w:p>
    <w:bookmarkStart w:id="18" w:name="page19"/>
    <w:bookmarkEnd w:id="18"/>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360"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i w:val="1"/>
          <w:iCs w:val="1"/>
          <w:color w:val="auto"/>
        </w:rPr>
        <w:t xml:space="preserve">Money Transfer Segment — </w:t>
      </w:r>
      <w:r>
        <w:rPr>
          <w:rFonts w:ascii="Arial" w:cs="Arial" w:eastAsia="Arial" w:hAnsi="Arial"/>
          <w:sz w:val="18"/>
          <w:szCs w:val="18"/>
          <w:color w:val="auto"/>
        </w:rPr>
        <w:t>The continued expansion and development of our Money Transfer Segment business will depend on various factors, including,</w:t>
      </w:r>
      <w:r>
        <w:rPr>
          <w:rFonts w:ascii="Arial" w:cs="Arial" w:eastAsia="Arial" w:hAnsi="Arial"/>
          <w:sz w:val="18"/>
          <w:szCs w:val="18"/>
          <w:i w:val="1"/>
          <w:iCs w:val="1"/>
          <w:color w:val="auto"/>
        </w:rPr>
        <w:t xml:space="preserve"> </w:t>
      </w:r>
      <w:r>
        <w:rPr>
          <w:rFonts w:ascii="Arial" w:cs="Arial" w:eastAsia="Arial" w:hAnsi="Arial"/>
          <w:sz w:val="18"/>
          <w:szCs w:val="18"/>
          <w:color w:val="auto"/>
        </w:rPr>
        <w:t>but not necessarily limited to, the following:</w:t>
      </w:r>
    </w:p>
    <w:p>
      <w:pPr>
        <w:spacing w:after="0" w:line="62" w:lineRule="exact"/>
        <w:rPr>
          <w:sz w:val="20"/>
          <w:szCs w:val="20"/>
          <w:color w:val="auto"/>
        </w:rPr>
      </w:pPr>
    </w:p>
    <w:p>
      <w:pPr>
        <w:ind w:left="980" w:hanging="648"/>
        <w:spacing w:after="0"/>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continued growth in worker migration and employment opportunities;</w:t>
      </w:r>
    </w:p>
    <w:p>
      <w:pPr>
        <w:spacing w:after="0" w:line="117" w:lineRule="exact"/>
        <w:rPr>
          <w:rFonts w:ascii="Arial" w:cs="Arial" w:eastAsia="Arial" w:hAnsi="Arial"/>
          <w:sz w:val="18"/>
          <w:szCs w:val="18"/>
          <w:color w:val="auto"/>
        </w:rPr>
      </w:pPr>
    </w:p>
    <w:p>
      <w:pPr>
        <w:ind w:left="980" w:right="220" w:hanging="648"/>
        <w:spacing w:after="0" w:line="277" w:lineRule="auto"/>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mitigation of economic and political factors that have had an adverse impact on money transfer volumes, such as changes in the economic sectors in which immigrants work and the developments in immigration policies in the U.S.;</w:t>
      </w:r>
    </w:p>
    <w:p>
      <w:pPr>
        <w:spacing w:after="0" w:line="62" w:lineRule="exact"/>
        <w:rPr>
          <w:rFonts w:ascii="Arial" w:cs="Arial" w:eastAsia="Arial" w:hAnsi="Arial"/>
          <w:sz w:val="18"/>
          <w:szCs w:val="18"/>
          <w:color w:val="auto"/>
        </w:rPr>
      </w:pPr>
    </w:p>
    <w:p>
      <w:pPr>
        <w:ind w:left="980" w:right="720" w:hanging="648"/>
        <w:spacing w:after="0" w:line="277" w:lineRule="auto"/>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continuation of the trend of increased use of electronic money transfer and bill payment services among immigrant workers and the unbanked population in our markets;</w:t>
      </w:r>
    </w:p>
    <w:p>
      <w:pPr>
        <w:spacing w:after="0" w:line="62" w:lineRule="exact"/>
        <w:rPr>
          <w:rFonts w:ascii="Arial" w:cs="Arial" w:eastAsia="Arial" w:hAnsi="Arial"/>
          <w:sz w:val="18"/>
          <w:szCs w:val="18"/>
          <w:color w:val="auto"/>
        </w:rPr>
      </w:pPr>
    </w:p>
    <w:p>
      <w:pPr>
        <w:ind w:left="980" w:hanging="648"/>
        <w:spacing w:after="0"/>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our ability to maintain our agent and correspondent networks;</w:t>
      </w:r>
    </w:p>
    <w:p>
      <w:pPr>
        <w:spacing w:after="0" w:line="117" w:lineRule="exact"/>
        <w:rPr>
          <w:rFonts w:ascii="Arial" w:cs="Arial" w:eastAsia="Arial" w:hAnsi="Arial"/>
          <w:sz w:val="18"/>
          <w:szCs w:val="18"/>
          <w:color w:val="auto"/>
        </w:rPr>
      </w:pPr>
    </w:p>
    <w:p>
      <w:pPr>
        <w:ind w:left="980" w:hanging="648"/>
        <w:spacing w:after="0"/>
        <w:tabs>
          <w:tab w:leader="none" w:pos="980" w:val="left"/>
        </w:tabs>
        <w:numPr>
          <w:ilvl w:val="0"/>
          <w:numId w:val="13"/>
        </w:numPr>
        <w:rPr>
          <w:rFonts w:ascii="Arial" w:cs="Arial" w:eastAsia="Arial" w:hAnsi="Arial"/>
          <w:sz w:val="17"/>
          <w:szCs w:val="17"/>
          <w:color w:val="auto"/>
        </w:rPr>
      </w:pPr>
      <w:r>
        <w:rPr>
          <w:rFonts w:ascii="Arial" w:cs="Arial" w:eastAsia="Arial" w:hAnsi="Arial"/>
          <w:sz w:val="17"/>
          <w:szCs w:val="17"/>
          <w:color w:val="auto"/>
        </w:rPr>
        <w:t>our ability to offer our products and services or develop new products and services at competitive prices to drive increases in transactions;</w:t>
      </w:r>
    </w:p>
    <w:p>
      <w:pPr>
        <w:spacing w:after="0" w:line="128" w:lineRule="exact"/>
        <w:rPr>
          <w:rFonts w:ascii="Arial" w:cs="Arial" w:eastAsia="Arial" w:hAnsi="Arial"/>
          <w:sz w:val="17"/>
          <w:szCs w:val="17"/>
          <w:color w:val="auto"/>
        </w:rPr>
      </w:pPr>
    </w:p>
    <w:p>
      <w:pPr>
        <w:ind w:left="980" w:hanging="648"/>
        <w:spacing w:after="0"/>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development of new technologies that may compete with our money transfer network;</w:t>
      </w:r>
    </w:p>
    <w:p>
      <w:pPr>
        <w:spacing w:after="0" w:line="117" w:lineRule="exact"/>
        <w:rPr>
          <w:rFonts w:ascii="Arial" w:cs="Arial" w:eastAsia="Arial" w:hAnsi="Arial"/>
          <w:sz w:val="18"/>
          <w:szCs w:val="18"/>
          <w:color w:val="auto"/>
        </w:rPr>
      </w:pPr>
    </w:p>
    <w:p>
      <w:pPr>
        <w:ind w:left="980" w:hanging="648"/>
        <w:spacing w:after="0"/>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expansion of our services in markets where we operate and in new markets;</w:t>
      </w:r>
    </w:p>
    <w:p>
      <w:pPr>
        <w:spacing w:after="0" w:line="117" w:lineRule="exact"/>
        <w:rPr>
          <w:rFonts w:ascii="Arial" w:cs="Arial" w:eastAsia="Arial" w:hAnsi="Arial"/>
          <w:sz w:val="18"/>
          <w:szCs w:val="18"/>
          <w:color w:val="auto"/>
        </w:rPr>
      </w:pPr>
    </w:p>
    <w:p>
      <w:pPr>
        <w:ind w:left="980" w:hanging="648"/>
        <w:spacing w:after="0"/>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our ability to strengthen our brands;</w:t>
      </w:r>
    </w:p>
    <w:p>
      <w:pPr>
        <w:spacing w:after="0" w:line="117" w:lineRule="exact"/>
        <w:rPr>
          <w:rFonts w:ascii="Arial" w:cs="Arial" w:eastAsia="Arial" w:hAnsi="Arial"/>
          <w:sz w:val="18"/>
          <w:szCs w:val="18"/>
          <w:color w:val="auto"/>
        </w:rPr>
      </w:pPr>
    </w:p>
    <w:p>
      <w:pPr>
        <w:ind w:left="980" w:hanging="648"/>
        <w:spacing w:after="0"/>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our ability to fund working capital requirements;</w:t>
      </w:r>
    </w:p>
    <w:p>
      <w:pPr>
        <w:spacing w:after="0" w:line="117" w:lineRule="exact"/>
        <w:rPr>
          <w:rFonts w:ascii="Arial" w:cs="Arial" w:eastAsia="Arial" w:hAnsi="Arial"/>
          <w:sz w:val="18"/>
          <w:szCs w:val="18"/>
          <w:color w:val="auto"/>
        </w:rPr>
      </w:pPr>
    </w:p>
    <w:p>
      <w:pPr>
        <w:ind w:left="980" w:hanging="648"/>
        <w:spacing w:after="0"/>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our ability to recover from agents funds collected from customers and our ability to recover advances made to correspondents;</w:t>
      </w:r>
    </w:p>
    <w:p>
      <w:pPr>
        <w:spacing w:after="0" w:line="117" w:lineRule="exact"/>
        <w:rPr>
          <w:rFonts w:ascii="Arial" w:cs="Arial" w:eastAsia="Arial" w:hAnsi="Arial"/>
          <w:sz w:val="18"/>
          <w:szCs w:val="18"/>
          <w:color w:val="auto"/>
        </w:rPr>
      </w:pPr>
    </w:p>
    <w:p>
      <w:pPr>
        <w:ind w:left="980" w:hanging="648"/>
        <w:spacing w:after="0"/>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our ability to maintain compliance with the regulatory requirements of the jurisdictions in which we operate or plan to operate;</w:t>
      </w:r>
    </w:p>
    <w:p>
      <w:pPr>
        <w:spacing w:after="0" w:line="117" w:lineRule="exact"/>
        <w:rPr>
          <w:rFonts w:ascii="Arial" w:cs="Arial" w:eastAsia="Arial" w:hAnsi="Arial"/>
          <w:sz w:val="18"/>
          <w:szCs w:val="18"/>
          <w:color w:val="auto"/>
        </w:rPr>
      </w:pPr>
    </w:p>
    <w:p>
      <w:pPr>
        <w:ind w:left="980" w:right="20" w:hanging="648"/>
        <w:spacing w:after="0" w:line="277" w:lineRule="auto"/>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our ability to take advantage of cross-selling opportunities with our epay Segment, including providing prepaid services through Ria’s stores and agents worldwide;</w:t>
      </w:r>
    </w:p>
    <w:p>
      <w:pPr>
        <w:spacing w:after="0" w:line="62" w:lineRule="exact"/>
        <w:rPr>
          <w:rFonts w:ascii="Arial" w:cs="Arial" w:eastAsia="Arial" w:hAnsi="Arial"/>
          <w:sz w:val="18"/>
          <w:szCs w:val="18"/>
          <w:color w:val="auto"/>
        </w:rPr>
      </w:pPr>
    </w:p>
    <w:p>
      <w:pPr>
        <w:ind w:left="980" w:right="80" w:hanging="648"/>
        <w:spacing w:after="0" w:line="277" w:lineRule="auto"/>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our ability to leverage our banking and merchant/retailer relationships to expand money transfer corridors to Europe, Asia and Africa, including high growth corridors to Central and Eastern European countries;</w:t>
      </w:r>
    </w:p>
    <w:p>
      <w:pPr>
        <w:spacing w:after="0" w:line="62" w:lineRule="exact"/>
        <w:rPr>
          <w:rFonts w:ascii="Arial" w:cs="Arial" w:eastAsia="Arial" w:hAnsi="Arial"/>
          <w:sz w:val="18"/>
          <w:szCs w:val="18"/>
          <w:color w:val="auto"/>
        </w:rPr>
      </w:pPr>
    </w:p>
    <w:p>
      <w:pPr>
        <w:ind w:left="980" w:hanging="648"/>
        <w:spacing w:after="0"/>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availability of financing for further expansion; and</w:t>
      </w:r>
    </w:p>
    <w:p>
      <w:pPr>
        <w:spacing w:after="0" w:line="117" w:lineRule="exact"/>
        <w:rPr>
          <w:rFonts w:ascii="Arial" w:cs="Arial" w:eastAsia="Arial" w:hAnsi="Arial"/>
          <w:sz w:val="18"/>
          <w:szCs w:val="18"/>
          <w:color w:val="auto"/>
        </w:rPr>
      </w:pPr>
    </w:p>
    <w:p>
      <w:pPr>
        <w:ind w:left="980" w:hanging="648"/>
        <w:spacing w:after="0"/>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our ability to successfully expand our agent network in Europe using our Payment Services Directive license.</w:t>
      </w:r>
    </w:p>
    <w:p>
      <w:pPr>
        <w:spacing w:after="0" w:line="333" w:lineRule="exact"/>
        <w:rPr>
          <w:sz w:val="20"/>
          <w:szCs w:val="20"/>
          <w:color w:val="auto"/>
        </w:rPr>
      </w:pPr>
    </w:p>
    <w:p>
      <w:pPr>
        <w:spacing w:after="0" w:line="297" w:lineRule="auto"/>
        <w:rPr>
          <w:sz w:val="20"/>
          <w:szCs w:val="20"/>
          <w:color w:val="auto"/>
        </w:rPr>
      </w:pPr>
      <w:r>
        <w:rPr>
          <w:rFonts w:ascii="Arial" w:cs="Arial" w:eastAsia="Arial" w:hAnsi="Arial"/>
          <w:sz w:val="16"/>
          <w:szCs w:val="16"/>
          <w:color w:val="auto"/>
        </w:rPr>
        <w:t>For all segments, our continued expansion may involve additional acquisitions that could divert our resources and management time and require integration of new assets with our existing networks and services. Our ability to effectively manage our growth has required us to expand our operating systems and employee base, particularly at the management level, which has added incremental operating costs. Any inability to continue to effectively manage expansion could have a material adverse effect on our business, growth, financial condition and results of operations. Inadequate technology and resources would impair our ability to maintain current processing technology and efficiencies, as well as deliver new and innovative services to compete in the marketplace.</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125" w:right="239" w:bottom="1440" w:gutter="0" w:footer="0" w:header="0"/>
        </w:sectPr>
      </w:pPr>
    </w:p>
    <w:bookmarkStart w:id="19" w:name="page20"/>
    <w:bookmarkEnd w:id="19"/>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SEGMENT SUMMARY RESULTS OF OPERATIONS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Revenues and operating income by segment for the three months ended March 31, 2014 and 2013 are summarized in the tables below:</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140" w:type="dxa"/>
            <w:vAlign w:val="bottom"/>
            <w:gridSpan w:val="8"/>
          </w:tcPr>
          <w:p>
            <w:pPr>
              <w:jc w:val="right"/>
              <w:ind w:right="200"/>
              <w:spacing w:after="0"/>
              <w:rPr>
                <w:sz w:val="20"/>
                <w:szCs w:val="20"/>
                <w:color w:val="auto"/>
              </w:rPr>
            </w:pPr>
            <w:r>
              <w:rPr>
                <w:rFonts w:ascii="Arial" w:cs="Arial" w:eastAsia="Arial" w:hAnsi="Arial"/>
                <w:sz w:val="14"/>
                <w:szCs w:val="14"/>
                <w:b w:val="1"/>
                <w:bCs w:val="1"/>
                <w:color w:val="auto"/>
                <w:w w:val="91"/>
              </w:rPr>
              <w:t>Revenues for the Three Months</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180" w:type="dxa"/>
            <w:vAlign w:val="bottom"/>
            <w:gridSpan w:val="4"/>
            <w:vMerge w:val="restart"/>
          </w:tcPr>
          <w:p>
            <w:pPr>
              <w:jc w:val="right"/>
              <w:ind w:right="425"/>
              <w:spacing w:after="0"/>
              <w:rPr>
                <w:sz w:val="20"/>
                <w:szCs w:val="20"/>
                <w:color w:val="auto"/>
              </w:rPr>
            </w:pPr>
            <w:r>
              <w:rPr>
                <w:rFonts w:ascii="Arial" w:cs="Arial" w:eastAsia="Arial" w:hAnsi="Arial"/>
                <w:sz w:val="14"/>
                <w:szCs w:val="14"/>
                <w:b w:val="1"/>
                <w:bCs w:val="1"/>
                <w:color w:val="auto"/>
              </w:rPr>
              <w:t>Year-over-Year Change</w:t>
            </w:r>
          </w:p>
        </w:tc>
        <w:tc>
          <w:tcPr>
            <w:tcW w:w="0" w:type="dxa"/>
            <w:vAlign w:val="bottom"/>
          </w:tcPr>
          <w:p>
            <w:pPr>
              <w:spacing w:after="0"/>
              <w:rPr>
                <w:sz w:val="1"/>
                <w:szCs w:val="1"/>
                <w:color w:val="auto"/>
              </w:rPr>
            </w:pPr>
          </w:p>
        </w:tc>
      </w:tr>
      <w:tr>
        <w:trPr>
          <w:trHeight w:val="192"/>
        </w:trPr>
        <w:tc>
          <w:tcPr>
            <w:tcW w:w="6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980" w:type="dxa"/>
            <w:vAlign w:val="bottom"/>
            <w:gridSpan w:val="7"/>
          </w:tcPr>
          <w:p>
            <w:pPr>
              <w:jc w:val="right"/>
              <w:ind w:right="640"/>
              <w:spacing w:after="0"/>
              <w:rPr>
                <w:sz w:val="20"/>
                <w:szCs w:val="20"/>
                <w:color w:val="auto"/>
              </w:rPr>
            </w:pPr>
            <w:r>
              <w:rPr>
                <w:rFonts w:ascii="Arial" w:cs="Arial" w:eastAsia="Arial" w:hAnsi="Arial"/>
                <w:sz w:val="14"/>
                <w:szCs w:val="14"/>
                <w:b w:val="1"/>
                <w:bCs w:val="1"/>
                <w:color w:val="auto"/>
              </w:rPr>
              <w:t>Ended March 31,</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180" w:type="dxa"/>
            <w:vAlign w:val="bottom"/>
            <w:gridSpan w:val="4"/>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65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74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4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74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1040" w:type="dxa"/>
            <w:vAlign w:val="bottom"/>
            <w:tcBorders>
              <w:top w:val="single" w:sz="8" w:color="auto"/>
            </w:tcBorders>
            <w:gridSpan w:val="2"/>
            <w:vMerge w:val="restart"/>
          </w:tcPr>
          <w:p>
            <w:pPr>
              <w:jc w:val="right"/>
              <w:ind w:right="460"/>
              <w:spacing w:after="0"/>
              <w:rPr>
                <w:sz w:val="20"/>
                <w:szCs w:val="20"/>
                <w:color w:val="auto"/>
              </w:rPr>
            </w:pPr>
            <w:r>
              <w:rPr>
                <w:rFonts w:ascii="Arial" w:cs="Arial" w:eastAsia="Arial" w:hAnsi="Arial"/>
                <w:sz w:val="14"/>
                <w:szCs w:val="14"/>
                <w:b w:val="1"/>
                <w:bCs w:val="1"/>
                <w:color w:val="auto"/>
                <w:w w:val="98"/>
              </w:rPr>
              <w:t>Increase</w:t>
            </w:r>
          </w:p>
        </w:tc>
        <w:tc>
          <w:tcPr>
            <w:tcW w:w="100" w:type="dxa"/>
            <w:vAlign w:val="bottom"/>
            <w:tcBorders>
              <w:top w:val="single" w:sz="8" w:color="auto"/>
            </w:tcBorders>
          </w:tcPr>
          <w:p>
            <w:pPr>
              <w:spacing w:after="0"/>
              <w:rPr>
                <w:sz w:val="13"/>
                <w:szCs w:val="13"/>
                <w:color w:val="auto"/>
              </w:rPr>
            </w:pPr>
          </w:p>
        </w:tc>
        <w:tc>
          <w:tcPr>
            <w:tcW w:w="1040" w:type="dxa"/>
            <w:vAlign w:val="bottom"/>
            <w:tcBorders>
              <w:top w:val="single" w:sz="8" w:color="auto"/>
            </w:tcBorders>
          </w:tcPr>
          <w:p>
            <w:pPr>
              <w:jc w:val="center"/>
              <w:ind w:right="45"/>
              <w:spacing w:after="0" w:line="153" w:lineRule="exact"/>
              <w:rPr>
                <w:sz w:val="20"/>
                <w:szCs w:val="20"/>
                <w:color w:val="auto"/>
              </w:rPr>
            </w:pPr>
            <w:r>
              <w:rPr>
                <w:rFonts w:ascii="Arial" w:cs="Arial" w:eastAsia="Arial" w:hAnsi="Arial"/>
                <w:sz w:val="14"/>
                <w:szCs w:val="14"/>
                <w:b w:val="1"/>
                <w:bCs w:val="1"/>
                <w:color w:val="auto"/>
                <w:w w:val="91"/>
              </w:rPr>
              <w:t>Increase</w:t>
            </w:r>
          </w:p>
        </w:tc>
        <w:tc>
          <w:tcPr>
            <w:tcW w:w="0" w:type="dxa"/>
            <w:vAlign w:val="bottom"/>
          </w:tcPr>
          <w:p>
            <w:pPr>
              <w:spacing w:after="0"/>
              <w:rPr>
                <w:sz w:val="1"/>
                <w:szCs w:val="1"/>
                <w:color w:val="auto"/>
              </w:rPr>
            </w:pPr>
          </w:p>
        </w:tc>
      </w:tr>
      <w:tr>
        <w:trPr>
          <w:trHeight w:val="149"/>
        </w:trPr>
        <w:tc>
          <w:tcPr>
            <w:tcW w:w="6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vMerge w:val="restart"/>
          </w:tcPr>
          <w:p>
            <w:pPr>
              <w:jc w:val="right"/>
              <w:ind w:right="274"/>
              <w:spacing w:after="0"/>
              <w:rPr>
                <w:sz w:val="20"/>
                <w:szCs w:val="20"/>
                <w:color w:val="auto"/>
              </w:rPr>
            </w:pPr>
            <w:r>
              <w:rPr>
                <w:rFonts w:ascii="Arial" w:cs="Arial" w:eastAsia="Arial" w:hAnsi="Arial"/>
                <w:sz w:val="14"/>
                <w:szCs w:val="14"/>
                <w:b w:val="1"/>
                <w:bCs w:val="1"/>
                <w:color w:val="auto"/>
              </w:rPr>
              <w:t>2014</w:t>
            </w: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vMerge w:val="restart"/>
          </w:tcPr>
          <w:p>
            <w:pPr>
              <w:jc w:val="right"/>
              <w:ind w:right="273"/>
              <w:spacing w:after="0"/>
              <w:rPr>
                <w:sz w:val="20"/>
                <w:szCs w:val="20"/>
                <w:color w:val="auto"/>
              </w:rPr>
            </w:pPr>
            <w:r>
              <w:rPr>
                <w:rFonts w:ascii="Arial" w:cs="Arial" w:eastAsia="Arial" w:hAnsi="Arial"/>
                <w:sz w:val="14"/>
                <w:szCs w:val="14"/>
                <w:b w:val="1"/>
                <w:bCs w:val="1"/>
                <w:color w:val="auto"/>
              </w:rPr>
              <w:t>2013</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4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tcPr>
          <w:p>
            <w:pPr>
              <w:jc w:val="center"/>
              <w:ind w:right="45"/>
              <w:spacing w:after="0" w:line="149" w:lineRule="exact"/>
              <w:rPr>
                <w:sz w:val="20"/>
                <w:szCs w:val="20"/>
                <w:color w:val="auto"/>
              </w:rPr>
            </w:pPr>
            <w:r>
              <w:rPr>
                <w:rFonts w:ascii="Arial" w:cs="Arial" w:eastAsia="Arial" w:hAnsi="Arial"/>
                <w:sz w:val="14"/>
                <w:szCs w:val="14"/>
                <w:b w:val="1"/>
                <w:bCs w:val="1"/>
                <w:color w:val="auto"/>
                <w:w w:val="89"/>
              </w:rPr>
              <w:t>(Decrease)</w:t>
            </w:r>
          </w:p>
        </w:tc>
        <w:tc>
          <w:tcPr>
            <w:tcW w:w="0" w:type="dxa"/>
            <w:vAlign w:val="bottom"/>
          </w:tcPr>
          <w:p>
            <w:pPr>
              <w:spacing w:after="0"/>
              <w:rPr>
                <w:sz w:val="1"/>
                <w:szCs w:val="1"/>
                <w:color w:val="auto"/>
              </w:rPr>
            </w:pPr>
          </w:p>
        </w:tc>
      </w:tr>
      <w:tr>
        <w:trPr>
          <w:trHeight w:val="192"/>
        </w:trPr>
        <w:tc>
          <w:tcPr>
            <w:tcW w:w="658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(dollar amounts in thousands)</w:t>
            </w:r>
          </w:p>
        </w:tc>
        <w:tc>
          <w:tcPr>
            <w:tcW w:w="100" w:type="dxa"/>
            <w:vAlign w:val="bottom"/>
            <w:tcBorders>
              <w:bottom w:val="single" w:sz="8" w:color="CCEEFF"/>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vMerge w:val="continue"/>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4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220" w:type="dxa"/>
            <w:vAlign w:val="bottom"/>
            <w:tcBorders>
              <w:bottom w:val="single" w:sz="8" w:color="auto"/>
            </w:tcBorders>
            <w:gridSpan w:val="3"/>
          </w:tcPr>
          <w:p>
            <w:pPr>
              <w:ind w:left="40"/>
              <w:spacing w:after="0"/>
              <w:rPr>
                <w:sz w:val="20"/>
                <w:szCs w:val="20"/>
                <w:color w:val="auto"/>
              </w:rPr>
            </w:pPr>
            <w:r>
              <w:rPr>
                <w:rFonts w:ascii="Arial" w:cs="Arial" w:eastAsia="Arial" w:hAnsi="Arial"/>
                <w:sz w:val="14"/>
                <w:szCs w:val="14"/>
                <w:b w:val="1"/>
                <w:bCs w:val="1"/>
                <w:color w:val="auto"/>
                <w:w w:val="93"/>
              </w:rPr>
              <w:t>(Decrease)Amount</w:t>
            </w:r>
          </w:p>
        </w:tc>
        <w:tc>
          <w:tcPr>
            <w:tcW w:w="12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center"/>
              <w:ind w:right="25"/>
              <w:spacing w:after="0"/>
              <w:rPr>
                <w:sz w:val="20"/>
                <w:szCs w:val="20"/>
                <w:color w:val="auto"/>
              </w:rPr>
            </w:pPr>
            <w:r>
              <w:rPr>
                <w:rFonts w:ascii="Arial" w:cs="Arial" w:eastAsia="Arial" w:hAnsi="Arial"/>
                <w:sz w:val="14"/>
                <w:szCs w:val="14"/>
                <w:b w:val="1"/>
                <w:bCs w:val="1"/>
                <w:color w:val="auto"/>
                <w:w w:val="89"/>
              </w:rPr>
              <w:t>Percent</w:t>
            </w:r>
          </w:p>
        </w:tc>
        <w:tc>
          <w:tcPr>
            <w:tcW w:w="0" w:type="dxa"/>
            <w:vAlign w:val="bottom"/>
          </w:tcPr>
          <w:p>
            <w:pPr>
              <w:spacing w:after="0"/>
              <w:rPr>
                <w:sz w:val="1"/>
                <w:szCs w:val="1"/>
                <w:color w:val="auto"/>
              </w:rPr>
            </w:pPr>
          </w:p>
        </w:tc>
      </w:tr>
      <w:tr>
        <w:trPr>
          <w:trHeight w:val="250"/>
        </w:trPr>
        <w:tc>
          <w:tcPr>
            <w:tcW w:w="66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EFT Processing</w:t>
            </w:r>
          </w:p>
        </w:tc>
        <w:tc>
          <w:tcPr>
            <w:tcW w:w="1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74,605</w:t>
            </w:r>
          </w:p>
        </w:tc>
        <w:tc>
          <w:tcPr>
            <w:tcW w:w="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gridSpan w:val="3"/>
            <w:shd w:val="clear" w:color="auto" w:fill="CCEEFF"/>
          </w:tcPr>
          <w:p>
            <w:pPr>
              <w:jc w:val="center"/>
              <w:ind w:right="10"/>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63,334</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color w:val="auto"/>
              </w:rPr>
              <w:t>11,271</w:t>
            </w: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18 %</w:t>
            </w:r>
          </w:p>
        </w:tc>
        <w:tc>
          <w:tcPr>
            <w:tcW w:w="0" w:type="dxa"/>
            <w:vAlign w:val="bottom"/>
          </w:tcPr>
          <w:p>
            <w:pPr>
              <w:spacing w:after="0"/>
              <w:rPr>
                <w:sz w:val="1"/>
                <w:szCs w:val="1"/>
                <w:color w:val="auto"/>
              </w:rPr>
            </w:pPr>
          </w:p>
        </w:tc>
      </w:tr>
      <w:tr>
        <w:trPr>
          <w:trHeight w:val="243"/>
        </w:trPr>
        <w:tc>
          <w:tcPr>
            <w:tcW w:w="6680" w:type="dxa"/>
            <w:vAlign w:val="bottom"/>
            <w:gridSpan w:val="2"/>
          </w:tcPr>
          <w:p>
            <w:pPr>
              <w:ind w:left="40"/>
              <w:spacing w:after="0"/>
              <w:rPr>
                <w:sz w:val="20"/>
                <w:szCs w:val="20"/>
                <w:color w:val="auto"/>
              </w:rPr>
            </w:pPr>
            <w:r>
              <w:rPr>
                <w:rFonts w:ascii="Arial" w:cs="Arial" w:eastAsia="Arial" w:hAnsi="Arial"/>
                <w:sz w:val="18"/>
                <w:szCs w:val="18"/>
                <w:color w:val="auto"/>
              </w:rPr>
              <w:t>epay</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40" w:type="dxa"/>
            <w:vAlign w:val="bottom"/>
          </w:tcPr>
          <w:p>
            <w:pPr>
              <w:jc w:val="right"/>
              <w:ind w:right="14"/>
              <w:spacing w:after="0"/>
              <w:rPr>
                <w:sz w:val="20"/>
                <w:szCs w:val="20"/>
                <w:color w:val="auto"/>
              </w:rPr>
            </w:pPr>
            <w:r>
              <w:rPr>
                <w:rFonts w:ascii="Arial" w:cs="Arial" w:eastAsia="Arial" w:hAnsi="Arial"/>
                <w:sz w:val="18"/>
                <w:szCs w:val="18"/>
                <w:color w:val="auto"/>
                <w:w w:val="95"/>
              </w:rPr>
              <w:t>185,064</w:t>
            </w: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40" w:type="dxa"/>
            <w:vAlign w:val="bottom"/>
          </w:tcPr>
          <w:p>
            <w:pPr>
              <w:jc w:val="right"/>
              <w:ind w:right="13"/>
              <w:spacing w:after="0"/>
              <w:rPr>
                <w:sz w:val="20"/>
                <w:szCs w:val="20"/>
                <w:color w:val="auto"/>
              </w:rPr>
            </w:pPr>
            <w:r>
              <w:rPr>
                <w:rFonts w:ascii="Arial" w:cs="Arial" w:eastAsia="Arial" w:hAnsi="Arial"/>
                <w:sz w:val="18"/>
                <w:szCs w:val="18"/>
                <w:color w:val="auto"/>
                <w:w w:val="95"/>
              </w:rPr>
              <w:t>189,575</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(4,511)</w:t>
            </w:r>
          </w:p>
        </w:tc>
        <w:tc>
          <w:tcPr>
            <w:tcW w:w="120" w:type="dxa"/>
            <w:vAlign w:val="bottom"/>
          </w:tcPr>
          <w:p>
            <w:pPr>
              <w:spacing w:after="0"/>
              <w:rPr>
                <w:sz w:val="21"/>
                <w:szCs w:val="21"/>
                <w:color w:val="auto"/>
              </w:rPr>
            </w:pP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7"/>
        </w:trPr>
        <w:tc>
          <w:tcPr>
            <w:tcW w:w="6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6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Money Transfer</w:t>
            </w:r>
          </w:p>
        </w:tc>
        <w:tc>
          <w:tcPr>
            <w:tcW w:w="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94,000</w:t>
            </w:r>
          </w:p>
        </w:tc>
        <w:tc>
          <w:tcPr>
            <w:tcW w:w="80" w:type="dxa"/>
            <w:vAlign w:val="bottom"/>
            <w:tcBorders>
              <w:bottom w:val="single" w:sz="8" w:color="CCEEFF"/>
            </w:tcBorders>
            <w:shd w:val="clear" w:color="auto" w:fill="CCEEFF"/>
          </w:tcPr>
          <w:p>
            <w:pPr>
              <w:spacing w:after="0"/>
              <w:rPr>
                <w:sz w:val="23"/>
                <w:szCs w:val="23"/>
                <w:color w:val="auto"/>
              </w:rPr>
            </w:pPr>
          </w:p>
        </w:tc>
        <w:tc>
          <w:tcPr>
            <w:tcW w:w="4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82,903</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color w:val="auto"/>
              </w:rPr>
              <w:t>11,097</w:t>
            </w:r>
          </w:p>
        </w:tc>
        <w:tc>
          <w:tcPr>
            <w:tcW w:w="12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13 %</w:t>
            </w:r>
          </w:p>
        </w:tc>
        <w:tc>
          <w:tcPr>
            <w:tcW w:w="0" w:type="dxa"/>
            <w:vAlign w:val="bottom"/>
          </w:tcPr>
          <w:p>
            <w:pPr>
              <w:spacing w:after="0"/>
              <w:rPr>
                <w:sz w:val="1"/>
                <w:szCs w:val="1"/>
                <w:color w:val="auto"/>
              </w:rPr>
            </w:pPr>
          </w:p>
        </w:tc>
      </w:tr>
      <w:tr>
        <w:trPr>
          <w:trHeight w:val="237"/>
        </w:trPr>
        <w:tc>
          <w:tcPr>
            <w:tcW w:w="6680" w:type="dxa"/>
            <w:vAlign w:val="bottom"/>
            <w:gridSpan w:val="2"/>
          </w:tcPr>
          <w:p>
            <w:pPr>
              <w:ind w:left="180"/>
              <w:spacing w:after="0"/>
              <w:rPr>
                <w:sz w:val="20"/>
                <w:szCs w:val="20"/>
                <w:color w:val="auto"/>
              </w:rPr>
            </w:pPr>
            <w:r>
              <w:rPr>
                <w:rFonts w:ascii="Arial" w:cs="Arial" w:eastAsia="Arial" w:hAnsi="Arial"/>
                <w:sz w:val="18"/>
                <w:szCs w:val="18"/>
                <w:color w:val="auto"/>
              </w:rPr>
              <w:t>Total</w:t>
            </w:r>
          </w:p>
        </w:tc>
        <w:tc>
          <w:tcPr>
            <w:tcW w:w="2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74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w w:val="95"/>
              </w:rPr>
              <w:t>353,669</w:t>
            </w: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74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w w:val="95"/>
              </w:rPr>
              <w:t>335,812</w:t>
            </w:r>
          </w:p>
        </w:tc>
        <w:tc>
          <w:tcPr>
            <w:tcW w:w="10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ind w:right="54"/>
              <w:spacing w:after="0"/>
              <w:rPr>
                <w:sz w:val="20"/>
                <w:szCs w:val="20"/>
                <w:color w:val="auto"/>
              </w:rPr>
            </w:pPr>
            <w:r>
              <w:rPr>
                <w:rFonts w:ascii="Arial" w:cs="Arial" w:eastAsia="Arial" w:hAnsi="Arial"/>
                <w:sz w:val="18"/>
                <w:szCs w:val="18"/>
                <w:color w:val="auto"/>
              </w:rPr>
              <w:t>17,857</w:t>
            </w:r>
          </w:p>
        </w:tc>
        <w:tc>
          <w:tcPr>
            <w:tcW w:w="120" w:type="dxa"/>
            <w:vAlign w:val="bottom"/>
          </w:tcPr>
          <w:p>
            <w:pPr>
              <w:spacing w:after="0"/>
              <w:rPr>
                <w:sz w:val="20"/>
                <w:szCs w:val="20"/>
                <w:color w:val="auto"/>
              </w:rPr>
            </w:pP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5 %</w:t>
            </w:r>
          </w:p>
        </w:tc>
        <w:tc>
          <w:tcPr>
            <w:tcW w:w="0" w:type="dxa"/>
            <w:vAlign w:val="bottom"/>
          </w:tcPr>
          <w:p>
            <w:pPr>
              <w:spacing w:after="0"/>
              <w:rPr>
                <w:sz w:val="1"/>
                <w:szCs w:val="1"/>
                <w:color w:val="auto"/>
              </w:rPr>
            </w:pPr>
          </w:p>
        </w:tc>
      </w:tr>
      <w:tr>
        <w:trPr>
          <w:trHeight w:val="27"/>
        </w:trPr>
        <w:tc>
          <w:tcPr>
            <w:tcW w:w="6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6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Eliminations</w:t>
            </w:r>
          </w:p>
        </w:tc>
        <w:tc>
          <w:tcPr>
            <w:tcW w:w="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(354)</w:t>
            </w:r>
          </w:p>
        </w:tc>
        <w:tc>
          <w:tcPr>
            <w:tcW w:w="80" w:type="dxa"/>
            <w:vAlign w:val="bottom"/>
            <w:tcBorders>
              <w:bottom w:val="single" w:sz="8" w:color="CCEEFF"/>
            </w:tcBorders>
            <w:shd w:val="clear" w:color="auto" w:fill="CCEEFF"/>
          </w:tcPr>
          <w:p>
            <w:pPr>
              <w:spacing w:after="0"/>
              <w:rPr>
                <w:sz w:val="23"/>
                <w:szCs w:val="23"/>
                <w:color w:val="auto"/>
              </w:rPr>
            </w:pPr>
          </w:p>
        </w:tc>
        <w:tc>
          <w:tcPr>
            <w:tcW w:w="4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(168)</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(186)</w:t>
            </w:r>
          </w:p>
        </w:tc>
        <w:tc>
          <w:tcPr>
            <w:tcW w:w="1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65"/>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57"/>
        </w:trPr>
        <w:tc>
          <w:tcPr>
            <w:tcW w:w="6680" w:type="dxa"/>
            <w:vAlign w:val="bottom"/>
            <w:gridSpan w:val="2"/>
          </w:tcPr>
          <w:p>
            <w:pPr>
              <w:ind w:left="280"/>
              <w:spacing w:after="0"/>
              <w:rPr>
                <w:sz w:val="20"/>
                <w:szCs w:val="20"/>
                <w:color w:val="auto"/>
              </w:rPr>
            </w:pPr>
            <w:r>
              <w:rPr>
                <w:rFonts w:ascii="Arial" w:cs="Arial" w:eastAsia="Arial" w:hAnsi="Arial"/>
                <w:sz w:val="18"/>
                <w:szCs w:val="18"/>
                <w:color w:val="auto"/>
              </w:rPr>
              <w:t>Total</w:t>
            </w:r>
          </w:p>
        </w:tc>
        <w:tc>
          <w:tcPr>
            <w:tcW w:w="12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w w:val="99"/>
              </w:rPr>
              <w:t>$</w:t>
            </w:r>
          </w:p>
        </w:tc>
        <w:tc>
          <w:tcPr>
            <w:tcW w:w="160" w:type="dxa"/>
            <w:vAlign w:val="bottom"/>
            <w:tcBorders>
              <w:top w:val="single" w:sz="8" w:color="auto"/>
              <w:bottom w:val="single" w:sz="8" w:color="auto"/>
            </w:tcBorders>
          </w:tcPr>
          <w:p>
            <w:pPr>
              <w:spacing w:after="0"/>
              <w:rPr>
                <w:sz w:val="22"/>
                <w:szCs w:val="22"/>
                <w:color w:val="auto"/>
              </w:rPr>
            </w:pPr>
          </w:p>
        </w:tc>
        <w:tc>
          <w:tcPr>
            <w:tcW w:w="74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w w:val="95"/>
              </w:rPr>
              <w:t>353,315</w:t>
            </w:r>
          </w:p>
        </w:tc>
        <w:tc>
          <w:tcPr>
            <w:tcW w:w="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80" w:type="dxa"/>
            <w:vAlign w:val="bottom"/>
            <w:tcBorders>
              <w:top w:val="single" w:sz="8" w:color="auto"/>
              <w:bottom w:val="single" w:sz="8" w:color="auto"/>
            </w:tcBorders>
            <w:gridSpan w:val="2"/>
          </w:tcPr>
          <w:p>
            <w:pPr>
              <w:jc w:val="center"/>
              <w:ind w:right="50"/>
              <w:spacing w:after="0"/>
              <w:rPr>
                <w:sz w:val="20"/>
                <w:szCs w:val="20"/>
                <w:color w:val="auto"/>
              </w:rPr>
            </w:pPr>
            <w:r>
              <w:rPr>
                <w:rFonts w:ascii="Arial" w:cs="Arial" w:eastAsia="Arial" w:hAnsi="Arial"/>
                <w:sz w:val="18"/>
                <w:szCs w:val="18"/>
                <w:color w:val="auto"/>
                <w:w w:val="99"/>
              </w:rPr>
              <w:t>$</w:t>
            </w:r>
          </w:p>
        </w:tc>
        <w:tc>
          <w:tcPr>
            <w:tcW w:w="74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w w:val="95"/>
              </w:rPr>
              <w:t>335,644</w:t>
            </w:r>
          </w:p>
        </w:tc>
        <w:tc>
          <w:tcPr>
            <w:tcW w:w="100" w:type="dxa"/>
            <w:vAlign w:val="bottom"/>
          </w:tcPr>
          <w:p>
            <w:pPr>
              <w:spacing w:after="0"/>
              <w:rPr>
                <w:sz w:val="22"/>
                <w:szCs w:val="22"/>
                <w:color w:val="auto"/>
              </w:rPr>
            </w:pPr>
          </w:p>
        </w:tc>
        <w:tc>
          <w:tcPr>
            <w:tcW w:w="300" w:type="dxa"/>
            <w:vAlign w:val="bottom"/>
            <w:tcBorders>
              <w:top w:val="single" w:sz="8" w:color="auto"/>
              <w:bottom w:val="single" w:sz="8" w:color="auto"/>
            </w:tcBorders>
            <w:gridSpan w:val="2"/>
          </w:tcPr>
          <w:p>
            <w:pPr>
              <w:ind w:left="40"/>
              <w:spacing w:after="0"/>
              <w:rPr>
                <w:sz w:val="20"/>
                <w:szCs w:val="20"/>
                <w:color w:val="auto"/>
              </w:rPr>
            </w:pPr>
            <w:r>
              <w:rPr>
                <w:rFonts w:ascii="Arial" w:cs="Arial" w:eastAsia="Arial" w:hAnsi="Arial"/>
                <w:sz w:val="18"/>
                <w:szCs w:val="18"/>
                <w:color w:val="auto"/>
              </w:rPr>
              <w:t>$</w:t>
            </w:r>
          </w:p>
        </w:tc>
        <w:tc>
          <w:tcPr>
            <w:tcW w:w="920" w:type="dxa"/>
            <w:vAlign w:val="bottom"/>
            <w:tcBorders>
              <w:top w:val="single" w:sz="8" w:color="auto"/>
              <w:bottom w:val="single" w:sz="8" w:color="auto"/>
            </w:tcBorders>
          </w:tcPr>
          <w:p>
            <w:pPr>
              <w:jc w:val="right"/>
              <w:ind w:right="54"/>
              <w:spacing w:after="0"/>
              <w:rPr>
                <w:sz w:val="20"/>
                <w:szCs w:val="20"/>
                <w:color w:val="auto"/>
              </w:rPr>
            </w:pPr>
            <w:r>
              <w:rPr>
                <w:rFonts w:ascii="Arial" w:cs="Arial" w:eastAsia="Arial" w:hAnsi="Arial"/>
                <w:sz w:val="18"/>
                <w:szCs w:val="18"/>
                <w:color w:val="auto"/>
              </w:rPr>
              <w:t>17,671</w:t>
            </w:r>
          </w:p>
        </w:tc>
        <w:tc>
          <w:tcPr>
            <w:tcW w:w="120" w:type="dxa"/>
            <w:vAlign w:val="bottom"/>
          </w:tcPr>
          <w:p>
            <w:pPr>
              <w:spacing w:after="0"/>
              <w:rPr>
                <w:sz w:val="22"/>
                <w:szCs w:val="22"/>
                <w:color w:val="auto"/>
              </w:rPr>
            </w:pP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5 %</w:t>
            </w:r>
          </w:p>
        </w:tc>
        <w:tc>
          <w:tcPr>
            <w:tcW w:w="0" w:type="dxa"/>
            <w:vAlign w:val="bottom"/>
          </w:tcPr>
          <w:p>
            <w:pPr>
              <w:spacing w:after="0"/>
              <w:rPr>
                <w:sz w:val="1"/>
                <w:szCs w:val="1"/>
                <w:color w:val="auto"/>
              </w:rPr>
            </w:pPr>
          </w:p>
        </w:tc>
      </w:tr>
      <w:tr>
        <w:trPr>
          <w:trHeight w:val="20"/>
        </w:trPr>
        <w:tc>
          <w:tcPr>
            <w:tcW w:w="6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5"/>
        </w:trPr>
        <w:tc>
          <w:tcPr>
            <w:tcW w:w="65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140" w:type="dxa"/>
            <w:vAlign w:val="bottom"/>
            <w:gridSpan w:val="8"/>
          </w:tcPr>
          <w:p>
            <w:pPr>
              <w:jc w:val="right"/>
              <w:ind w:right="60"/>
              <w:spacing w:after="0"/>
              <w:rPr>
                <w:sz w:val="20"/>
                <w:szCs w:val="20"/>
                <w:color w:val="auto"/>
              </w:rPr>
            </w:pPr>
            <w:r>
              <w:rPr>
                <w:rFonts w:ascii="Arial" w:cs="Arial" w:eastAsia="Arial" w:hAnsi="Arial"/>
                <w:sz w:val="14"/>
                <w:szCs w:val="14"/>
                <w:b w:val="1"/>
                <w:bCs w:val="1"/>
                <w:color w:val="auto"/>
                <w:w w:val="96"/>
              </w:rPr>
              <w:t>Operating Income (Expense) for</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49"/>
        </w:trPr>
        <w:tc>
          <w:tcPr>
            <w:tcW w:w="6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140" w:type="dxa"/>
            <w:vAlign w:val="bottom"/>
            <w:gridSpan w:val="8"/>
          </w:tcPr>
          <w:p>
            <w:pPr>
              <w:jc w:val="right"/>
              <w:ind w:right="60"/>
              <w:spacing w:after="0" w:line="149" w:lineRule="exact"/>
              <w:rPr>
                <w:sz w:val="20"/>
                <w:szCs w:val="20"/>
                <w:color w:val="auto"/>
              </w:rPr>
            </w:pPr>
            <w:r>
              <w:rPr>
                <w:rFonts w:ascii="Arial" w:cs="Arial" w:eastAsia="Arial" w:hAnsi="Arial"/>
                <w:sz w:val="14"/>
                <w:szCs w:val="14"/>
                <w:b w:val="1"/>
                <w:bCs w:val="1"/>
                <w:color w:val="auto"/>
                <w:w w:val="98"/>
              </w:rPr>
              <w:t>the Three Months Ended March</w:t>
            </w: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180" w:type="dxa"/>
            <w:vAlign w:val="bottom"/>
            <w:gridSpan w:val="4"/>
            <w:vMerge w:val="restart"/>
          </w:tcPr>
          <w:p>
            <w:pPr>
              <w:jc w:val="right"/>
              <w:ind w:right="365"/>
              <w:spacing w:after="0"/>
              <w:rPr>
                <w:sz w:val="20"/>
                <w:szCs w:val="20"/>
                <w:color w:val="auto"/>
              </w:rPr>
            </w:pPr>
            <w:r>
              <w:rPr>
                <w:rFonts w:ascii="Arial" w:cs="Arial" w:eastAsia="Arial" w:hAnsi="Arial"/>
                <w:sz w:val="14"/>
                <w:szCs w:val="14"/>
                <w:b w:val="1"/>
                <w:bCs w:val="1"/>
                <w:color w:val="auto"/>
              </w:rPr>
              <w:t>Year-over-Year Change</w:t>
            </w:r>
          </w:p>
        </w:tc>
        <w:tc>
          <w:tcPr>
            <w:tcW w:w="0" w:type="dxa"/>
            <w:vAlign w:val="bottom"/>
          </w:tcPr>
          <w:p>
            <w:pPr>
              <w:spacing w:after="0"/>
              <w:rPr>
                <w:sz w:val="1"/>
                <w:szCs w:val="1"/>
                <w:color w:val="auto"/>
              </w:rPr>
            </w:pPr>
          </w:p>
        </w:tc>
      </w:tr>
      <w:tr>
        <w:trPr>
          <w:trHeight w:val="192"/>
        </w:trPr>
        <w:tc>
          <w:tcPr>
            <w:tcW w:w="6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gridSpan w:val="3"/>
          </w:tcPr>
          <w:p>
            <w:pPr>
              <w:jc w:val="center"/>
              <w:ind w:right="10"/>
              <w:spacing w:after="0"/>
              <w:rPr>
                <w:sz w:val="20"/>
                <w:szCs w:val="20"/>
                <w:color w:val="auto"/>
              </w:rPr>
            </w:pPr>
            <w:r>
              <w:rPr>
                <w:rFonts w:ascii="Arial" w:cs="Arial" w:eastAsia="Arial" w:hAnsi="Arial"/>
                <w:sz w:val="14"/>
                <w:szCs w:val="14"/>
                <w:b w:val="1"/>
                <w:bCs w:val="1"/>
                <w:color w:val="auto"/>
                <w:w w:val="92"/>
              </w:rPr>
              <w:t>31,</w:t>
            </w:r>
          </w:p>
        </w:tc>
        <w:tc>
          <w:tcPr>
            <w:tcW w:w="7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180" w:type="dxa"/>
            <w:vAlign w:val="bottom"/>
            <w:tcBorders>
              <w:bottom w:val="single" w:sz="8" w:color="auto"/>
            </w:tcBorders>
            <w:gridSpan w:val="4"/>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65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40" w:type="dxa"/>
            <w:vAlign w:val="bottom"/>
            <w:gridSpan w:val="2"/>
            <w:vMerge w:val="restart"/>
          </w:tcPr>
          <w:p>
            <w:pPr>
              <w:jc w:val="right"/>
              <w:ind w:right="360"/>
              <w:spacing w:after="0"/>
              <w:rPr>
                <w:sz w:val="20"/>
                <w:szCs w:val="20"/>
                <w:color w:val="auto"/>
              </w:rPr>
            </w:pPr>
            <w:r>
              <w:rPr>
                <w:rFonts w:ascii="Arial" w:cs="Arial" w:eastAsia="Arial" w:hAnsi="Arial"/>
                <w:sz w:val="14"/>
                <w:szCs w:val="14"/>
                <w:b w:val="1"/>
                <w:bCs w:val="1"/>
                <w:color w:val="auto"/>
              </w:rPr>
              <w:t>Increase</w:t>
            </w:r>
          </w:p>
        </w:tc>
        <w:tc>
          <w:tcPr>
            <w:tcW w:w="100" w:type="dxa"/>
            <w:vAlign w:val="bottom"/>
          </w:tcPr>
          <w:p>
            <w:pPr>
              <w:spacing w:after="0"/>
              <w:rPr>
                <w:sz w:val="13"/>
                <w:szCs w:val="13"/>
                <w:color w:val="auto"/>
              </w:rPr>
            </w:pPr>
          </w:p>
        </w:tc>
        <w:tc>
          <w:tcPr>
            <w:tcW w:w="1040" w:type="dxa"/>
            <w:vAlign w:val="bottom"/>
          </w:tcPr>
          <w:p>
            <w:pPr>
              <w:jc w:val="center"/>
              <w:spacing w:after="0" w:line="153" w:lineRule="exact"/>
              <w:rPr>
                <w:sz w:val="20"/>
                <w:szCs w:val="20"/>
                <w:color w:val="auto"/>
              </w:rPr>
            </w:pPr>
            <w:r>
              <w:rPr>
                <w:rFonts w:ascii="Arial" w:cs="Arial" w:eastAsia="Arial" w:hAnsi="Arial"/>
                <w:sz w:val="14"/>
                <w:szCs w:val="14"/>
                <w:b w:val="1"/>
                <w:bCs w:val="1"/>
                <w:color w:val="auto"/>
                <w:w w:val="91"/>
              </w:rPr>
              <w:t>Increase</w:t>
            </w:r>
          </w:p>
        </w:tc>
        <w:tc>
          <w:tcPr>
            <w:tcW w:w="0" w:type="dxa"/>
            <w:vAlign w:val="bottom"/>
          </w:tcPr>
          <w:p>
            <w:pPr>
              <w:spacing w:after="0"/>
              <w:rPr>
                <w:sz w:val="1"/>
                <w:szCs w:val="1"/>
                <w:color w:val="auto"/>
              </w:rPr>
            </w:pPr>
          </w:p>
        </w:tc>
      </w:tr>
      <w:tr>
        <w:trPr>
          <w:trHeight w:val="149"/>
        </w:trPr>
        <w:tc>
          <w:tcPr>
            <w:tcW w:w="6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vMerge w:val="restart"/>
          </w:tcPr>
          <w:p>
            <w:pPr>
              <w:jc w:val="right"/>
              <w:ind w:right="154"/>
              <w:spacing w:after="0"/>
              <w:rPr>
                <w:sz w:val="20"/>
                <w:szCs w:val="20"/>
                <w:color w:val="auto"/>
              </w:rPr>
            </w:pPr>
            <w:r>
              <w:rPr>
                <w:rFonts w:ascii="Arial" w:cs="Arial" w:eastAsia="Arial" w:hAnsi="Arial"/>
                <w:sz w:val="14"/>
                <w:szCs w:val="14"/>
                <w:b w:val="1"/>
                <w:bCs w:val="1"/>
                <w:color w:val="auto"/>
              </w:rPr>
              <w:t>2014</w:t>
            </w: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vMerge w:val="restart"/>
          </w:tcPr>
          <w:p>
            <w:pPr>
              <w:jc w:val="right"/>
              <w:ind w:right="173"/>
              <w:spacing w:after="0"/>
              <w:rPr>
                <w:sz w:val="20"/>
                <w:szCs w:val="20"/>
                <w:color w:val="auto"/>
              </w:rPr>
            </w:pPr>
            <w:r>
              <w:rPr>
                <w:rFonts w:ascii="Arial" w:cs="Arial" w:eastAsia="Arial" w:hAnsi="Arial"/>
                <w:sz w:val="14"/>
                <w:szCs w:val="14"/>
                <w:b w:val="1"/>
                <w:bCs w:val="1"/>
                <w:color w:val="auto"/>
              </w:rPr>
              <w:t>2013</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4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(Decrease)</w:t>
            </w:r>
          </w:p>
        </w:tc>
        <w:tc>
          <w:tcPr>
            <w:tcW w:w="0" w:type="dxa"/>
            <w:vAlign w:val="bottom"/>
          </w:tcPr>
          <w:p>
            <w:pPr>
              <w:spacing w:after="0"/>
              <w:rPr>
                <w:sz w:val="1"/>
                <w:szCs w:val="1"/>
                <w:color w:val="auto"/>
              </w:rPr>
            </w:pPr>
          </w:p>
        </w:tc>
      </w:tr>
      <w:tr>
        <w:trPr>
          <w:trHeight w:val="192"/>
        </w:trPr>
        <w:tc>
          <w:tcPr>
            <w:tcW w:w="668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color w:val="auto"/>
              </w:rPr>
              <w:t>(dollar amounts in thousands)</w:t>
            </w:r>
          </w:p>
        </w:tc>
        <w:tc>
          <w:tcPr>
            <w:tcW w:w="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vMerge w:val="continue"/>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220" w:type="dxa"/>
            <w:vAlign w:val="bottom"/>
            <w:tcBorders>
              <w:bottom w:val="single" w:sz="8" w:color="auto"/>
            </w:tcBorders>
            <w:gridSpan w:val="3"/>
          </w:tcPr>
          <w:p>
            <w:pPr>
              <w:ind w:left="40"/>
              <w:spacing w:after="0"/>
              <w:rPr>
                <w:sz w:val="20"/>
                <w:szCs w:val="20"/>
                <w:color w:val="auto"/>
              </w:rPr>
            </w:pPr>
            <w:r>
              <w:rPr>
                <w:rFonts w:ascii="Arial" w:cs="Arial" w:eastAsia="Arial" w:hAnsi="Arial"/>
                <w:sz w:val="14"/>
                <w:szCs w:val="14"/>
                <w:b w:val="1"/>
                <w:bCs w:val="1"/>
                <w:color w:val="auto"/>
                <w:w w:val="93"/>
              </w:rPr>
              <w:t>(Decrease)Amount</w:t>
            </w:r>
          </w:p>
        </w:tc>
        <w:tc>
          <w:tcPr>
            <w:tcW w:w="100" w:type="dxa"/>
            <w:vAlign w:val="bottom"/>
            <w:tcBorders>
              <w:bottom w:val="single" w:sz="8" w:color="CCEEFF"/>
            </w:tcBorders>
          </w:tcPr>
          <w:p>
            <w:pPr>
              <w:spacing w:after="0"/>
              <w:rPr>
                <w:sz w:val="16"/>
                <w:szCs w:val="16"/>
                <w:color w:val="auto"/>
              </w:rPr>
            </w:pPr>
          </w:p>
        </w:tc>
        <w:tc>
          <w:tcPr>
            <w:tcW w:w="10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Percent</w:t>
            </w:r>
          </w:p>
        </w:tc>
        <w:tc>
          <w:tcPr>
            <w:tcW w:w="0" w:type="dxa"/>
            <w:vAlign w:val="bottom"/>
          </w:tcPr>
          <w:p>
            <w:pPr>
              <w:spacing w:after="0"/>
              <w:rPr>
                <w:sz w:val="1"/>
                <w:szCs w:val="1"/>
                <w:color w:val="auto"/>
              </w:rPr>
            </w:pPr>
          </w:p>
        </w:tc>
      </w:tr>
      <w:tr>
        <w:trPr>
          <w:trHeight w:val="250"/>
        </w:trPr>
        <w:tc>
          <w:tcPr>
            <w:tcW w:w="66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EFT Processing</w:t>
            </w:r>
          </w:p>
        </w:tc>
        <w:tc>
          <w:tcPr>
            <w:tcW w:w="28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12,774</w:t>
            </w:r>
          </w:p>
        </w:tc>
        <w:tc>
          <w:tcPr>
            <w:tcW w:w="32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6,613</w:t>
            </w:r>
          </w:p>
        </w:tc>
        <w:tc>
          <w:tcPr>
            <w:tcW w:w="30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6,161</w:t>
            </w: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93 %</w:t>
            </w:r>
          </w:p>
        </w:tc>
        <w:tc>
          <w:tcPr>
            <w:tcW w:w="0" w:type="dxa"/>
            <w:vAlign w:val="bottom"/>
          </w:tcPr>
          <w:p>
            <w:pPr>
              <w:spacing w:after="0"/>
              <w:rPr>
                <w:sz w:val="1"/>
                <w:szCs w:val="1"/>
                <w:color w:val="auto"/>
              </w:rPr>
            </w:pPr>
          </w:p>
        </w:tc>
      </w:tr>
      <w:tr>
        <w:trPr>
          <w:trHeight w:val="243"/>
        </w:trPr>
        <w:tc>
          <w:tcPr>
            <w:tcW w:w="6680" w:type="dxa"/>
            <w:vAlign w:val="bottom"/>
            <w:gridSpan w:val="2"/>
          </w:tcPr>
          <w:p>
            <w:pPr>
              <w:ind w:left="40"/>
              <w:spacing w:after="0"/>
              <w:rPr>
                <w:sz w:val="20"/>
                <w:szCs w:val="20"/>
                <w:color w:val="auto"/>
              </w:rPr>
            </w:pPr>
            <w:r>
              <w:rPr>
                <w:rFonts w:ascii="Arial" w:cs="Arial" w:eastAsia="Arial" w:hAnsi="Arial"/>
                <w:sz w:val="18"/>
                <w:szCs w:val="18"/>
                <w:color w:val="auto"/>
              </w:rPr>
              <w:t>epay</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14,896</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14,653</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243</w:t>
            </w:r>
          </w:p>
        </w:tc>
        <w:tc>
          <w:tcPr>
            <w:tcW w:w="120" w:type="dxa"/>
            <w:vAlign w:val="bottom"/>
          </w:tcPr>
          <w:p>
            <w:pPr>
              <w:spacing w:after="0"/>
              <w:rPr>
                <w:sz w:val="21"/>
                <w:szCs w:val="21"/>
                <w:color w:val="auto"/>
              </w:rPr>
            </w:pP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2 %</w:t>
            </w:r>
          </w:p>
        </w:tc>
        <w:tc>
          <w:tcPr>
            <w:tcW w:w="0" w:type="dxa"/>
            <w:vAlign w:val="bottom"/>
          </w:tcPr>
          <w:p>
            <w:pPr>
              <w:spacing w:after="0"/>
              <w:rPr>
                <w:sz w:val="1"/>
                <w:szCs w:val="1"/>
                <w:color w:val="auto"/>
              </w:rPr>
            </w:pPr>
          </w:p>
        </w:tc>
      </w:tr>
      <w:tr>
        <w:trPr>
          <w:trHeight w:val="27"/>
        </w:trPr>
        <w:tc>
          <w:tcPr>
            <w:tcW w:w="6680" w:type="dxa"/>
            <w:vAlign w:val="bottom"/>
            <w:gridSpan w:val="2"/>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4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6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Money Transfer</w:t>
            </w:r>
          </w:p>
        </w:tc>
        <w:tc>
          <w:tcPr>
            <w:tcW w:w="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3,940</w:t>
            </w:r>
          </w:p>
        </w:tc>
        <w:tc>
          <w:tcPr>
            <w:tcW w:w="80" w:type="dxa"/>
            <w:vAlign w:val="bottom"/>
            <w:tcBorders>
              <w:bottom w:val="single" w:sz="8" w:color="CCEEFF"/>
            </w:tcBorders>
            <w:shd w:val="clear" w:color="auto" w:fill="CCEEFF"/>
          </w:tcPr>
          <w:p>
            <w:pPr>
              <w:spacing w:after="0"/>
              <w:rPr>
                <w:sz w:val="23"/>
                <w:szCs w:val="23"/>
                <w:color w:val="auto"/>
              </w:rPr>
            </w:pPr>
          </w:p>
        </w:tc>
        <w:tc>
          <w:tcPr>
            <w:tcW w:w="4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6,042</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(2,102)</w:t>
            </w:r>
          </w:p>
        </w:tc>
        <w:tc>
          <w:tcPr>
            <w:tcW w:w="11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37"/>
        </w:trPr>
        <w:tc>
          <w:tcPr>
            <w:tcW w:w="6680" w:type="dxa"/>
            <w:vAlign w:val="bottom"/>
            <w:gridSpan w:val="2"/>
          </w:tcPr>
          <w:p>
            <w:pPr>
              <w:ind w:left="180"/>
              <w:spacing w:after="0"/>
              <w:rPr>
                <w:sz w:val="20"/>
                <w:szCs w:val="20"/>
                <w:color w:val="auto"/>
              </w:rPr>
            </w:pPr>
            <w:r>
              <w:rPr>
                <w:rFonts w:ascii="Arial" w:cs="Arial" w:eastAsia="Arial" w:hAnsi="Arial"/>
                <w:sz w:val="18"/>
                <w:szCs w:val="18"/>
                <w:color w:val="auto"/>
              </w:rPr>
              <w:t>Total</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gridSpan w:val="2"/>
          </w:tcPr>
          <w:p>
            <w:pPr>
              <w:jc w:val="right"/>
              <w:ind w:right="80"/>
              <w:spacing w:after="0"/>
              <w:rPr>
                <w:sz w:val="20"/>
                <w:szCs w:val="20"/>
                <w:color w:val="auto"/>
              </w:rPr>
            </w:pPr>
            <w:r>
              <w:rPr>
                <w:rFonts w:ascii="Arial" w:cs="Arial" w:eastAsia="Arial" w:hAnsi="Arial"/>
                <w:sz w:val="18"/>
                <w:szCs w:val="18"/>
                <w:color w:val="auto"/>
              </w:rPr>
              <w:t>31,610</w:t>
            </w:r>
          </w:p>
        </w:tc>
        <w:tc>
          <w:tcPr>
            <w:tcW w:w="4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gridSpan w:val="2"/>
          </w:tcPr>
          <w:p>
            <w:pPr>
              <w:jc w:val="right"/>
              <w:ind w:right="100"/>
              <w:spacing w:after="0"/>
              <w:rPr>
                <w:sz w:val="20"/>
                <w:szCs w:val="20"/>
                <w:color w:val="auto"/>
              </w:rPr>
            </w:pPr>
            <w:r>
              <w:rPr>
                <w:rFonts w:ascii="Arial" w:cs="Arial" w:eastAsia="Arial" w:hAnsi="Arial"/>
                <w:sz w:val="18"/>
                <w:szCs w:val="18"/>
                <w:color w:val="auto"/>
              </w:rPr>
              <w:t>27,308</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4,302</w:t>
            </w:r>
          </w:p>
        </w:tc>
        <w:tc>
          <w:tcPr>
            <w:tcW w:w="120" w:type="dxa"/>
            <w:vAlign w:val="bottom"/>
            <w:tcBorders>
              <w:top w:val="single" w:sz="8" w:color="auto"/>
            </w:tcBorders>
          </w:tcPr>
          <w:p>
            <w:pPr>
              <w:spacing w:after="0"/>
              <w:rPr>
                <w:sz w:val="20"/>
                <w:szCs w:val="20"/>
                <w:color w:val="auto"/>
              </w:rPr>
            </w:pP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16 %</w:t>
            </w:r>
          </w:p>
        </w:tc>
        <w:tc>
          <w:tcPr>
            <w:tcW w:w="0" w:type="dxa"/>
            <w:vAlign w:val="bottom"/>
          </w:tcPr>
          <w:p>
            <w:pPr>
              <w:spacing w:after="0"/>
              <w:rPr>
                <w:sz w:val="1"/>
                <w:szCs w:val="1"/>
                <w:color w:val="auto"/>
              </w:rPr>
            </w:pPr>
          </w:p>
        </w:tc>
      </w:tr>
      <w:tr>
        <w:trPr>
          <w:trHeight w:val="27"/>
        </w:trPr>
        <w:tc>
          <w:tcPr>
            <w:tcW w:w="6680" w:type="dxa"/>
            <w:vAlign w:val="bottom"/>
            <w:gridSpan w:val="2"/>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20" w:type="dxa"/>
            <w:vAlign w:val="bottom"/>
            <w:gridSpan w:val="2"/>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6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Corporate services, eliminations and other</w:t>
            </w:r>
          </w:p>
        </w:tc>
        <w:tc>
          <w:tcPr>
            <w:tcW w:w="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(7,228)</w:t>
            </w:r>
          </w:p>
        </w:tc>
        <w:tc>
          <w:tcPr>
            <w:tcW w:w="4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(8,150)</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922</w:t>
            </w:r>
          </w:p>
        </w:tc>
        <w:tc>
          <w:tcPr>
            <w:tcW w:w="12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57"/>
        </w:trPr>
        <w:tc>
          <w:tcPr>
            <w:tcW w:w="6680" w:type="dxa"/>
            <w:vAlign w:val="bottom"/>
            <w:gridSpan w:val="2"/>
          </w:tcPr>
          <w:p>
            <w:pPr>
              <w:ind w:left="380"/>
              <w:spacing w:after="0"/>
              <w:rPr>
                <w:sz w:val="20"/>
                <w:szCs w:val="20"/>
                <w:color w:val="auto"/>
              </w:rPr>
            </w:pPr>
            <w:r>
              <w:rPr>
                <w:rFonts w:ascii="Arial" w:cs="Arial" w:eastAsia="Arial" w:hAnsi="Arial"/>
                <w:sz w:val="18"/>
                <w:szCs w:val="18"/>
                <w:color w:val="auto"/>
              </w:rPr>
              <w:t>Total</w:t>
            </w:r>
          </w:p>
        </w:tc>
        <w:tc>
          <w:tcPr>
            <w:tcW w:w="120" w:type="dxa"/>
            <w:vAlign w:val="bottom"/>
            <w:gridSpan w:val="2"/>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Borders>
              <w:top w:val="single" w:sz="8" w:color="auto"/>
              <w:bottom w:val="single" w:sz="8" w:color="auto"/>
            </w:tcBorders>
            <w:gridSpan w:val="2"/>
          </w:tcPr>
          <w:p>
            <w:pPr>
              <w:jc w:val="right"/>
              <w:ind w:right="80"/>
              <w:spacing w:after="0"/>
              <w:rPr>
                <w:sz w:val="20"/>
                <w:szCs w:val="20"/>
                <w:color w:val="auto"/>
              </w:rPr>
            </w:pPr>
            <w:r>
              <w:rPr>
                <w:rFonts w:ascii="Arial" w:cs="Arial" w:eastAsia="Arial" w:hAnsi="Arial"/>
                <w:sz w:val="18"/>
                <w:szCs w:val="18"/>
                <w:color w:val="auto"/>
              </w:rPr>
              <w:t>24,382</w:t>
            </w:r>
          </w:p>
        </w:tc>
        <w:tc>
          <w:tcPr>
            <w:tcW w:w="40" w:type="dxa"/>
            <w:vAlign w:val="bottom"/>
            <w:tcBorders>
              <w:top w:val="single" w:sz="8" w:color="auto"/>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bottom w:val="single" w:sz="8" w:color="auto"/>
            </w:tcBorders>
            <w:gridSpan w:val="2"/>
          </w:tcPr>
          <w:p>
            <w:pPr>
              <w:jc w:val="right"/>
              <w:ind w:right="100"/>
              <w:spacing w:after="0"/>
              <w:rPr>
                <w:sz w:val="20"/>
                <w:szCs w:val="20"/>
                <w:color w:val="auto"/>
              </w:rPr>
            </w:pPr>
            <w:r>
              <w:rPr>
                <w:rFonts w:ascii="Arial" w:cs="Arial" w:eastAsia="Arial" w:hAnsi="Arial"/>
                <w:sz w:val="18"/>
                <w:szCs w:val="18"/>
                <w:color w:val="auto"/>
              </w:rPr>
              <w:t>19,158</w:t>
            </w:r>
          </w:p>
        </w:tc>
        <w:tc>
          <w:tcPr>
            <w:tcW w:w="120" w:type="dxa"/>
            <w:vAlign w:val="bottom"/>
          </w:tcPr>
          <w:p>
            <w:pPr>
              <w:spacing w:after="0"/>
              <w:rPr>
                <w:sz w:val="22"/>
                <w:szCs w:val="22"/>
                <w:color w:val="auto"/>
              </w:rPr>
            </w:pPr>
          </w:p>
        </w:tc>
        <w:tc>
          <w:tcPr>
            <w:tcW w:w="18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5,224</w:t>
            </w:r>
          </w:p>
        </w:tc>
        <w:tc>
          <w:tcPr>
            <w:tcW w:w="120" w:type="dxa"/>
            <w:vAlign w:val="bottom"/>
            <w:tcBorders>
              <w:top w:val="single" w:sz="8" w:color="auto"/>
              <w:bottom w:val="single" w:sz="8" w:color="auto"/>
            </w:tcBorders>
          </w:tcPr>
          <w:p>
            <w:pPr>
              <w:spacing w:after="0"/>
              <w:rPr>
                <w:sz w:val="22"/>
                <w:szCs w:val="22"/>
                <w:color w:val="auto"/>
              </w:rPr>
            </w:pP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27 %</w:t>
            </w:r>
          </w:p>
        </w:tc>
        <w:tc>
          <w:tcPr>
            <w:tcW w:w="0" w:type="dxa"/>
            <w:vAlign w:val="bottom"/>
          </w:tcPr>
          <w:p>
            <w:pPr>
              <w:spacing w:after="0"/>
              <w:rPr>
                <w:sz w:val="1"/>
                <w:szCs w:val="1"/>
                <w:color w:val="auto"/>
              </w:rPr>
            </w:pPr>
          </w:p>
        </w:tc>
      </w:tr>
      <w:tr>
        <w:trPr>
          <w:trHeight w:val="20"/>
        </w:trPr>
        <w:tc>
          <w:tcPr>
            <w:tcW w:w="6580" w:type="dxa"/>
            <w:vAlign w:val="bottom"/>
            <w:vMerge w:val="restart"/>
          </w:tcPr>
          <w:p>
            <w:pPr>
              <w:spacing w:after="0"/>
              <w:rPr>
                <w:sz w:val="20"/>
                <w:szCs w:val="20"/>
                <w:color w:val="auto"/>
              </w:rPr>
            </w:pPr>
            <w:r>
              <w:rPr>
                <w:rFonts w:ascii="Arial" w:cs="Arial" w:eastAsia="Arial" w:hAnsi="Arial"/>
                <w:sz w:val="18"/>
                <w:szCs w:val="18"/>
                <w:color w:val="auto"/>
              </w:rPr>
              <w:t>___________________</w:t>
            </w: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65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6680" w:type="dxa"/>
            <w:vAlign w:val="bottom"/>
            <w:gridSpan w:val="2"/>
          </w:tcPr>
          <w:p>
            <w:pPr>
              <w:spacing w:after="0"/>
              <w:rPr>
                <w:sz w:val="20"/>
                <w:szCs w:val="20"/>
                <w:color w:val="auto"/>
              </w:rPr>
            </w:pPr>
            <w:r>
              <w:rPr>
                <w:rFonts w:ascii="Arial" w:cs="Arial" w:eastAsia="Arial" w:hAnsi="Arial"/>
                <w:sz w:val="18"/>
                <w:szCs w:val="18"/>
                <w:color w:val="auto"/>
              </w:rPr>
              <w:t>n/m — Not meaningful</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Impact of changes in foreign currency exchange rates</w:t>
      </w:r>
    </w:p>
    <w:p>
      <w:pPr>
        <w:spacing w:after="0" w:line="117"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Our revenues and local expenses are recorded in the functional currencies of our operating entities; therefore, amounts we earn outside the U.S. are negatively impacted by the stronger U.S. dollar and positively impacted by the weaker U.S. dollar. Considering the results by country and the associated functional currency, our consolidated operating income for the first quarter of 2014 was not significantly influenced by the changes in foreign currency exchange rates when compared to the same period of 2013. To provide further perspective on the impact of foreign currency exchange rates, the following table shows the changes in values relative to the U.S. dollar for the first quarter of 2014 compared to the same period of 2013 of the currencies of the countries in which we have our most significant operations:</w:t>
      </w:r>
    </w:p>
    <w:p>
      <w:pPr>
        <w:spacing w:after="0" w:line="200" w:lineRule="exact"/>
        <w:rPr>
          <w:sz w:val="20"/>
          <w:szCs w:val="20"/>
          <w:color w:val="auto"/>
        </w:rPr>
      </w:pP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920" w:type="dxa"/>
            <w:vAlign w:val="bottom"/>
          </w:tcPr>
          <w:p>
            <w:pPr>
              <w:spacing w:after="0"/>
              <w:rPr>
                <w:sz w:val="14"/>
                <w:szCs w:val="14"/>
                <w:color w:val="auto"/>
              </w:rPr>
            </w:pPr>
          </w:p>
        </w:tc>
        <w:tc>
          <w:tcPr>
            <w:tcW w:w="29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680" w:type="dxa"/>
            <w:vAlign w:val="bottom"/>
            <w:gridSpan w:val="4"/>
          </w:tcPr>
          <w:p>
            <w:pPr>
              <w:jc w:val="right"/>
              <w:ind w:right="612"/>
              <w:spacing w:after="0"/>
              <w:rPr>
                <w:sz w:val="20"/>
                <w:szCs w:val="20"/>
                <w:color w:val="auto"/>
              </w:rPr>
            </w:pPr>
            <w:r>
              <w:rPr>
                <w:rFonts w:ascii="Arial" w:cs="Arial" w:eastAsia="Arial" w:hAnsi="Arial"/>
                <w:sz w:val="14"/>
                <w:szCs w:val="14"/>
                <w:b w:val="1"/>
                <w:bCs w:val="1"/>
                <w:color w:val="auto"/>
              </w:rPr>
              <w:t>Average Translation Rate</w:t>
            </w:r>
          </w:p>
        </w:tc>
        <w:tc>
          <w:tcPr>
            <w:tcW w:w="1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3920" w:type="dxa"/>
            <w:vAlign w:val="bottom"/>
          </w:tcPr>
          <w:p>
            <w:pPr>
              <w:spacing w:after="0"/>
              <w:rPr>
                <w:sz w:val="16"/>
                <w:szCs w:val="16"/>
                <w:color w:val="auto"/>
              </w:rPr>
            </w:pPr>
          </w:p>
        </w:tc>
        <w:tc>
          <w:tcPr>
            <w:tcW w:w="29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2680" w:type="dxa"/>
            <w:vAlign w:val="bottom"/>
            <w:tcBorders>
              <w:bottom w:val="single" w:sz="8" w:color="auto"/>
            </w:tcBorders>
            <w:gridSpan w:val="4"/>
          </w:tcPr>
          <w:p>
            <w:pPr>
              <w:jc w:val="right"/>
              <w:ind w:right="412"/>
              <w:spacing w:after="0"/>
              <w:rPr>
                <w:sz w:val="20"/>
                <w:szCs w:val="20"/>
                <w:color w:val="auto"/>
              </w:rPr>
            </w:pPr>
            <w:r>
              <w:rPr>
                <w:rFonts w:ascii="Arial" w:cs="Arial" w:eastAsia="Arial" w:hAnsi="Arial"/>
                <w:sz w:val="14"/>
                <w:szCs w:val="14"/>
                <w:b w:val="1"/>
                <w:bCs w:val="1"/>
                <w:color w:val="auto"/>
              </w:rPr>
              <w:t>Three Months Ended March 31,</w:t>
            </w:r>
          </w:p>
        </w:tc>
        <w:tc>
          <w:tcPr>
            <w:tcW w:w="100" w:type="dxa"/>
            <w:vAlign w:val="bottom"/>
          </w:tcPr>
          <w:p>
            <w:pPr>
              <w:spacing w:after="0"/>
              <w:rPr>
                <w:sz w:val="16"/>
                <w:szCs w:val="16"/>
                <w:color w:val="auto"/>
              </w:rPr>
            </w:pPr>
          </w:p>
        </w:tc>
        <w:tc>
          <w:tcPr>
            <w:tcW w:w="1280" w:type="dxa"/>
            <w:vAlign w:val="bottom"/>
            <w:vMerge w:val="restart"/>
          </w:tcPr>
          <w:p>
            <w:pPr>
              <w:jc w:val="right"/>
              <w:ind w:right="302"/>
              <w:spacing w:after="0"/>
              <w:rPr>
                <w:sz w:val="20"/>
                <w:szCs w:val="20"/>
                <w:color w:val="auto"/>
              </w:rPr>
            </w:pPr>
            <w:r>
              <w:rPr>
                <w:rFonts w:ascii="Arial" w:cs="Arial" w:eastAsia="Arial" w:hAnsi="Arial"/>
                <w:sz w:val="14"/>
                <w:szCs w:val="14"/>
                <w:b w:val="1"/>
                <w:bCs w:val="1"/>
                <w:color w:val="auto"/>
              </w:rPr>
              <w:t>Increase</w:t>
            </w:r>
          </w:p>
        </w:tc>
        <w:tc>
          <w:tcPr>
            <w:tcW w:w="0" w:type="dxa"/>
            <w:vAlign w:val="bottom"/>
          </w:tcPr>
          <w:p>
            <w:pPr>
              <w:spacing w:after="0"/>
              <w:rPr>
                <w:sz w:val="1"/>
                <w:szCs w:val="1"/>
                <w:color w:val="auto"/>
              </w:rPr>
            </w:pPr>
          </w:p>
        </w:tc>
      </w:tr>
      <w:tr>
        <w:trPr>
          <w:trHeight w:val="71"/>
        </w:trPr>
        <w:tc>
          <w:tcPr>
            <w:tcW w:w="3920" w:type="dxa"/>
            <w:vAlign w:val="bottom"/>
          </w:tcPr>
          <w:p>
            <w:pPr>
              <w:spacing w:after="0"/>
              <w:rPr>
                <w:sz w:val="6"/>
                <w:szCs w:val="6"/>
                <w:color w:val="auto"/>
              </w:rPr>
            </w:pPr>
          </w:p>
        </w:tc>
        <w:tc>
          <w:tcPr>
            <w:tcW w:w="2980" w:type="dxa"/>
            <w:vAlign w:val="bottom"/>
          </w:tcPr>
          <w:p>
            <w:pPr>
              <w:spacing w:after="0"/>
              <w:rPr>
                <w:sz w:val="6"/>
                <w:szCs w:val="6"/>
                <w:color w:val="auto"/>
              </w:rPr>
            </w:pPr>
          </w:p>
        </w:tc>
        <w:tc>
          <w:tcPr>
            <w:tcW w:w="120" w:type="dxa"/>
            <w:vAlign w:val="bottom"/>
          </w:tcPr>
          <w:p>
            <w:pPr>
              <w:spacing w:after="0"/>
              <w:rPr>
                <w:sz w:val="6"/>
                <w:szCs w:val="6"/>
                <w:color w:val="auto"/>
              </w:rPr>
            </w:pPr>
          </w:p>
        </w:tc>
        <w:tc>
          <w:tcPr>
            <w:tcW w:w="320" w:type="dxa"/>
            <w:vAlign w:val="bottom"/>
          </w:tcPr>
          <w:p>
            <w:pPr>
              <w:spacing w:after="0"/>
              <w:rPr>
                <w:sz w:val="6"/>
                <w:szCs w:val="6"/>
                <w:color w:val="auto"/>
              </w:rPr>
            </w:pPr>
          </w:p>
        </w:tc>
        <w:tc>
          <w:tcPr>
            <w:tcW w:w="1120" w:type="dxa"/>
            <w:vAlign w:val="bottom"/>
            <w:vMerge w:val="restart"/>
          </w:tcPr>
          <w:p>
            <w:pPr>
              <w:jc w:val="right"/>
              <w:ind w:right="495"/>
              <w:spacing w:after="0"/>
              <w:rPr>
                <w:sz w:val="20"/>
                <w:szCs w:val="20"/>
                <w:color w:val="auto"/>
              </w:rPr>
            </w:pPr>
            <w:r>
              <w:rPr>
                <w:rFonts w:ascii="Arial" w:cs="Arial" w:eastAsia="Arial" w:hAnsi="Arial"/>
                <w:sz w:val="14"/>
                <w:szCs w:val="14"/>
                <w:b w:val="1"/>
                <w:bCs w:val="1"/>
                <w:color w:val="auto"/>
              </w:rPr>
              <w:t>2014</w:t>
            </w:r>
          </w:p>
        </w:tc>
        <w:tc>
          <w:tcPr>
            <w:tcW w:w="120" w:type="dxa"/>
            <w:vAlign w:val="bottom"/>
          </w:tcPr>
          <w:p>
            <w:pPr>
              <w:spacing w:after="0"/>
              <w:rPr>
                <w:sz w:val="6"/>
                <w:szCs w:val="6"/>
                <w:color w:val="auto"/>
              </w:rPr>
            </w:pPr>
          </w:p>
        </w:tc>
        <w:tc>
          <w:tcPr>
            <w:tcW w:w="340" w:type="dxa"/>
            <w:vAlign w:val="bottom"/>
          </w:tcPr>
          <w:p>
            <w:pPr>
              <w:spacing w:after="0"/>
              <w:rPr>
                <w:sz w:val="6"/>
                <w:szCs w:val="6"/>
                <w:color w:val="auto"/>
              </w:rPr>
            </w:pPr>
          </w:p>
        </w:tc>
        <w:tc>
          <w:tcPr>
            <w:tcW w:w="1100" w:type="dxa"/>
            <w:vAlign w:val="bottom"/>
            <w:vMerge w:val="restart"/>
          </w:tcPr>
          <w:p>
            <w:pPr>
              <w:jc w:val="right"/>
              <w:ind w:right="492"/>
              <w:spacing w:after="0"/>
              <w:rPr>
                <w:sz w:val="20"/>
                <w:szCs w:val="20"/>
                <w:color w:val="auto"/>
              </w:rPr>
            </w:pPr>
            <w:r>
              <w:rPr>
                <w:rFonts w:ascii="Arial" w:cs="Arial" w:eastAsia="Arial" w:hAnsi="Arial"/>
                <w:sz w:val="14"/>
                <w:szCs w:val="14"/>
                <w:b w:val="1"/>
                <w:bCs w:val="1"/>
                <w:color w:val="auto"/>
              </w:rPr>
              <w:t>2013</w:t>
            </w:r>
          </w:p>
        </w:tc>
        <w:tc>
          <w:tcPr>
            <w:tcW w:w="100" w:type="dxa"/>
            <w:vAlign w:val="bottom"/>
          </w:tcPr>
          <w:p>
            <w:pPr>
              <w:spacing w:after="0"/>
              <w:rPr>
                <w:sz w:val="6"/>
                <w:szCs w:val="6"/>
                <w:color w:val="auto"/>
              </w:rPr>
            </w:pPr>
          </w:p>
        </w:tc>
        <w:tc>
          <w:tcPr>
            <w:tcW w:w="12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2"/>
        </w:trPr>
        <w:tc>
          <w:tcPr>
            <w:tcW w:w="392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Currency (dollars per foreign currency)</w:t>
            </w:r>
          </w:p>
        </w:tc>
        <w:tc>
          <w:tcPr>
            <w:tcW w:w="298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280" w:type="dxa"/>
            <w:vAlign w:val="bottom"/>
            <w:tcBorders>
              <w:bottom w:val="single" w:sz="8" w:color="auto"/>
            </w:tcBorders>
          </w:tcPr>
          <w:p>
            <w:pPr>
              <w:jc w:val="right"/>
              <w:ind w:right="2"/>
              <w:spacing w:after="0"/>
              <w:rPr>
                <w:sz w:val="20"/>
                <w:szCs w:val="20"/>
                <w:color w:val="auto"/>
              </w:rPr>
            </w:pPr>
            <w:r>
              <w:rPr>
                <w:rFonts w:ascii="Arial" w:cs="Arial" w:eastAsia="Arial" w:hAnsi="Arial"/>
                <w:sz w:val="14"/>
                <w:szCs w:val="14"/>
                <w:b w:val="1"/>
                <w:bCs w:val="1"/>
                <w:color w:val="auto"/>
                <w:w w:val="95"/>
              </w:rPr>
              <w:t>(Decrease)Percent</w:t>
            </w:r>
          </w:p>
        </w:tc>
        <w:tc>
          <w:tcPr>
            <w:tcW w:w="0" w:type="dxa"/>
            <w:vAlign w:val="bottom"/>
          </w:tcPr>
          <w:p>
            <w:pPr>
              <w:spacing w:after="0"/>
              <w:rPr>
                <w:sz w:val="1"/>
                <w:szCs w:val="1"/>
                <w:color w:val="auto"/>
              </w:rPr>
            </w:pPr>
          </w:p>
        </w:tc>
      </w:tr>
      <w:tr>
        <w:trPr>
          <w:trHeight w:val="250"/>
        </w:trPr>
        <w:tc>
          <w:tcPr>
            <w:tcW w:w="3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Australian dollar</w:t>
            </w:r>
          </w:p>
        </w:tc>
        <w:tc>
          <w:tcPr>
            <w:tcW w:w="3420" w:type="dxa"/>
            <w:vAlign w:val="bottom"/>
            <w:tcBorders>
              <w:bottom w:val="single" w:sz="8" w:color="CCEEFF"/>
            </w:tcBorders>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0.8961</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1.0385</w:t>
            </w:r>
          </w:p>
        </w:tc>
        <w:tc>
          <w:tcPr>
            <w:tcW w:w="13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43"/>
        </w:trPr>
        <w:tc>
          <w:tcPr>
            <w:tcW w:w="3920" w:type="dxa"/>
            <w:vAlign w:val="bottom"/>
          </w:tcPr>
          <w:p>
            <w:pPr>
              <w:ind w:left="40"/>
              <w:spacing w:after="0"/>
              <w:rPr>
                <w:sz w:val="20"/>
                <w:szCs w:val="20"/>
                <w:color w:val="auto"/>
              </w:rPr>
            </w:pPr>
            <w:r>
              <w:rPr>
                <w:rFonts w:ascii="Arial" w:cs="Arial" w:eastAsia="Arial" w:hAnsi="Arial"/>
                <w:sz w:val="18"/>
                <w:szCs w:val="18"/>
                <w:color w:val="auto"/>
              </w:rPr>
              <w:t>Brazilian real</w:t>
            </w:r>
          </w:p>
        </w:tc>
        <w:tc>
          <w:tcPr>
            <w:tcW w:w="3420" w:type="dxa"/>
            <w:vAlign w:val="bottom"/>
            <w:gridSpan w:val="3"/>
          </w:tcPr>
          <w:p>
            <w:pPr>
              <w:jc w:val="right"/>
              <w:ind w:right="20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5"/>
              <w:spacing w:after="0"/>
              <w:rPr>
                <w:sz w:val="20"/>
                <w:szCs w:val="20"/>
                <w:color w:val="auto"/>
              </w:rPr>
            </w:pPr>
            <w:r>
              <w:rPr>
                <w:rFonts w:ascii="Arial" w:cs="Arial" w:eastAsia="Arial" w:hAnsi="Arial"/>
                <w:sz w:val="18"/>
                <w:szCs w:val="18"/>
                <w:color w:val="auto"/>
              </w:rPr>
              <w:t>0.4236</w:t>
            </w:r>
          </w:p>
        </w:tc>
        <w:tc>
          <w:tcPr>
            <w:tcW w:w="120" w:type="dxa"/>
            <w:vAlign w:val="bottom"/>
          </w:tcPr>
          <w:p>
            <w:pPr>
              <w:spacing w:after="0"/>
              <w:rPr>
                <w:sz w:val="21"/>
                <w:szCs w:val="21"/>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ind w:right="32"/>
              <w:spacing w:after="0"/>
              <w:rPr>
                <w:sz w:val="20"/>
                <w:szCs w:val="20"/>
                <w:color w:val="auto"/>
              </w:rPr>
            </w:pPr>
            <w:r>
              <w:rPr>
                <w:rFonts w:ascii="Arial" w:cs="Arial" w:eastAsia="Arial" w:hAnsi="Arial"/>
                <w:sz w:val="18"/>
                <w:szCs w:val="18"/>
                <w:color w:val="auto"/>
              </w:rPr>
              <w:t>0.5010</w:t>
            </w: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7"/>
        </w:trPr>
        <w:tc>
          <w:tcPr>
            <w:tcW w:w="3920" w:type="dxa"/>
            <w:vAlign w:val="bottom"/>
          </w:tcPr>
          <w:p>
            <w:pPr>
              <w:spacing w:after="0"/>
              <w:rPr>
                <w:sz w:val="2"/>
                <w:szCs w:val="2"/>
                <w:color w:val="auto"/>
              </w:rPr>
            </w:pPr>
          </w:p>
        </w:tc>
        <w:tc>
          <w:tcPr>
            <w:tcW w:w="2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British pound</w:t>
            </w:r>
          </w:p>
        </w:tc>
        <w:tc>
          <w:tcPr>
            <w:tcW w:w="3420" w:type="dxa"/>
            <w:vAlign w:val="bottom"/>
            <w:tcBorders>
              <w:bottom w:val="single" w:sz="8" w:color="CCEEFF"/>
            </w:tcBorders>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1.6551</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1.5515</w:t>
            </w:r>
          </w:p>
        </w:tc>
        <w:tc>
          <w:tcPr>
            <w:tcW w:w="13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7 %</w:t>
            </w:r>
          </w:p>
        </w:tc>
        <w:tc>
          <w:tcPr>
            <w:tcW w:w="0" w:type="dxa"/>
            <w:vAlign w:val="bottom"/>
          </w:tcPr>
          <w:p>
            <w:pPr>
              <w:spacing w:after="0"/>
              <w:rPr>
                <w:sz w:val="1"/>
                <w:szCs w:val="1"/>
                <w:color w:val="auto"/>
              </w:rPr>
            </w:pPr>
          </w:p>
        </w:tc>
      </w:tr>
      <w:tr>
        <w:trPr>
          <w:trHeight w:val="243"/>
        </w:trPr>
        <w:tc>
          <w:tcPr>
            <w:tcW w:w="3920" w:type="dxa"/>
            <w:vAlign w:val="bottom"/>
          </w:tcPr>
          <w:p>
            <w:pPr>
              <w:ind w:left="40"/>
              <w:spacing w:after="0"/>
              <w:rPr>
                <w:sz w:val="20"/>
                <w:szCs w:val="20"/>
                <w:color w:val="auto"/>
              </w:rPr>
            </w:pPr>
            <w:r>
              <w:rPr>
                <w:rFonts w:ascii="Arial" w:cs="Arial" w:eastAsia="Arial" w:hAnsi="Arial"/>
                <w:sz w:val="18"/>
                <w:szCs w:val="18"/>
                <w:color w:val="auto"/>
              </w:rPr>
              <w:t>euro</w:t>
            </w:r>
          </w:p>
        </w:tc>
        <w:tc>
          <w:tcPr>
            <w:tcW w:w="3420" w:type="dxa"/>
            <w:vAlign w:val="bottom"/>
            <w:gridSpan w:val="3"/>
          </w:tcPr>
          <w:p>
            <w:pPr>
              <w:jc w:val="right"/>
              <w:ind w:right="20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5"/>
              <w:spacing w:after="0"/>
              <w:rPr>
                <w:sz w:val="20"/>
                <w:szCs w:val="20"/>
                <w:color w:val="auto"/>
              </w:rPr>
            </w:pPr>
            <w:r>
              <w:rPr>
                <w:rFonts w:ascii="Arial" w:cs="Arial" w:eastAsia="Arial" w:hAnsi="Arial"/>
                <w:sz w:val="18"/>
                <w:szCs w:val="18"/>
                <w:color w:val="auto"/>
              </w:rPr>
              <w:t>1.3703</w:t>
            </w:r>
          </w:p>
        </w:tc>
        <w:tc>
          <w:tcPr>
            <w:tcW w:w="120" w:type="dxa"/>
            <w:vAlign w:val="bottom"/>
          </w:tcPr>
          <w:p>
            <w:pPr>
              <w:spacing w:after="0"/>
              <w:rPr>
                <w:sz w:val="21"/>
                <w:szCs w:val="21"/>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ind w:right="32"/>
              <w:spacing w:after="0"/>
              <w:rPr>
                <w:sz w:val="20"/>
                <w:szCs w:val="20"/>
                <w:color w:val="auto"/>
              </w:rPr>
            </w:pPr>
            <w:r>
              <w:rPr>
                <w:rFonts w:ascii="Arial" w:cs="Arial" w:eastAsia="Arial" w:hAnsi="Arial"/>
                <w:sz w:val="18"/>
                <w:szCs w:val="18"/>
                <w:color w:val="auto"/>
              </w:rPr>
              <w:t>1.3205</w:t>
            </w: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4 %</w:t>
            </w:r>
          </w:p>
        </w:tc>
        <w:tc>
          <w:tcPr>
            <w:tcW w:w="0" w:type="dxa"/>
            <w:vAlign w:val="bottom"/>
          </w:tcPr>
          <w:p>
            <w:pPr>
              <w:spacing w:after="0"/>
              <w:rPr>
                <w:sz w:val="1"/>
                <w:szCs w:val="1"/>
                <w:color w:val="auto"/>
              </w:rPr>
            </w:pPr>
          </w:p>
        </w:tc>
      </w:tr>
      <w:tr>
        <w:trPr>
          <w:trHeight w:val="27"/>
        </w:trPr>
        <w:tc>
          <w:tcPr>
            <w:tcW w:w="3920" w:type="dxa"/>
            <w:vAlign w:val="bottom"/>
          </w:tcPr>
          <w:p>
            <w:pPr>
              <w:spacing w:after="0"/>
              <w:rPr>
                <w:sz w:val="2"/>
                <w:szCs w:val="2"/>
                <w:color w:val="auto"/>
              </w:rPr>
            </w:pPr>
          </w:p>
        </w:tc>
        <w:tc>
          <w:tcPr>
            <w:tcW w:w="2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Hungarian forint</w:t>
            </w:r>
          </w:p>
        </w:tc>
        <w:tc>
          <w:tcPr>
            <w:tcW w:w="3420" w:type="dxa"/>
            <w:vAlign w:val="bottom"/>
            <w:tcBorders>
              <w:bottom w:val="single" w:sz="8" w:color="CCEEFF"/>
            </w:tcBorders>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0.0045</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0.0045</w:t>
            </w:r>
          </w:p>
        </w:tc>
        <w:tc>
          <w:tcPr>
            <w:tcW w:w="1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r>
        <w:trPr>
          <w:trHeight w:val="243"/>
        </w:trPr>
        <w:tc>
          <w:tcPr>
            <w:tcW w:w="3920" w:type="dxa"/>
            <w:vAlign w:val="bottom"/>
          </w:tcPr>
          <w:p>
            <w:pPr>
              <w:ind w:left="40"/>
              <w:spacing w:after="0"/>
              <w:rPr>
                <w:sz w:val="20"/>
                <w:szCs w:val="20"/>
                <w:color w:val="auto"/>
              </w:rPr>
            </w:pPr>
            <w:r>
              <w:rPr>
                <w:rFonts w:ascii="Arial" w:cs="Arial" w:eastAsia="Arial" w:hAnsi="Arial"/>
                <w:sz w:val="18"/>
                <w:szCs w:val="18"/>
                <w:color w:val="auto"/>
              </w:rPr>
              <w:t>Indian rupee</w:t>
            </w:r>
          </w:p>
        </w:tc>
        <w:tc>
          <w:tcPr>
            <w:tcW w:w="3420" w:type="dxa"/>
            <w:vAlign w:val="bottom"/>
            <w:gridSpan w:val="3"/>
          </w:tcPr>
          <w:p>
            <w:pPr>
              <w:jc w:val="right"/>
              <w:ind w:right="20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5"/>
              <w:spacing w:after="0"/>
              <w:rPr>
                <w:sz w:val="20"/>
                <w:szCs w:val="20"/>
                <w:color w:val="auto"/>
              </w:rPr>
            </w:pPr>
            <w:r>
              <w:rPr>
                <w:rFonts w:ascii="Arial" w:cs="Arial" w:eastAsia="Arial" w:hAnsi="Arial"/>
                <w:sz w:val="18"/>
                <w:szCs w:val="18"/>
                <w:color w:val="auto"/>
              </w:rPr>
              <w:t>0.0162</w:t>
            </w:r>
          </w:p>
        </w:tc>
        <w:tc>
          <w:tcPr>
            <w:tcW w:w="120" w:type="dxa"/>
            <w:vAlign w:val="bottom"/>
          </w:tcPr>
          <w:p>
            <w:pPr>
              <w:spacing w:after="0"/>
              <w:rPr>
                <w:sz w:val="21"/>
                <w:szCs w:val="21"/>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ind w:right="32"/>
              <w:spacing w:after="0"/>
              <w:rPr>
                <w:sz w:val="20"/>
                <w:szCs w:val="20"/>
                <w:color w:val="auto"/>
              </w:rPr>
            </w:pPr>
            <w:r>
              <w:rPr>
                <w:rFonts w:ascii="Arial" w:cs="Arial" w:eastAsia="Arial" w:hAnsi="Arial"/>
                <w:sz w:val="18"/>
                <w:szCs w:val="18"/>
                <w:color w:val="auto"/>
              </w:rPr>
              <w:t>0.0185</w:t>
            </w: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7"/>
        </w:trPr>
        <w:tc>
          <w:tcPr>
            <w:tcW w:w="3920" w:type="dxa"/>
            <w:vAlign w:val="bottom"/>
          </w:tcPr>
          <w:p>
            <w:pPr>
              <w:spacing w:after="0"/>
              <w:rPr>
                <w:sz w:val="2"/>
                <w:szCs w:val="2"/>
                <w:color w:val="auto"/>
              </w:rPr>
            </w:pPr>
          </w:p>
        </w:tc>
        <w:tc>
          <w:tcPr>
            <w:tcW w:w="2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Polish zloty</w:t>
            </w:r>
          </w:p>
        </w:tc>
        <w:tc>
          <w:tcPr>
            <w:tcW w:w="3420" w:type="dxa"/>
            <w:vAlign w:val="bottom"/>
            <w:tcBorders>
              <w:bottom w:val="single" w:sz="8" w:color="CCEEFF"/>
            </w:tcBorders>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0.3278</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0.3183</w:t>
            </w:r>
          </w:p>
        </w:tc>
        <w:tc>
          <w:tcPr>
            <w:tcW w:w="13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3 %</w:t>
            </w:r>
          </w:p>
        </w:tc>
        <w:tc>
          <w:tcPr>
            <w:tcW w:w="0" w:type="dxa"/>
            <w:vAlign w:val="bottom"/>
          </w:tcPr>
          <w:p>
            <w:pPr>
              <w:spacing w:after="0"/>
              <w:rPr>
                <w:sz w:val="1"/>
                <w:szCs w:val="1"/>
                <w:color w:val="auto"/>
              </w:rPr>
            </w:pPr>
          </w:p>
        </w:tc>
      </w:tr>
      <w:tr>
        <w:trPr>
          <w:trHeight w:val="567"/>
        </w:trPr>
        <w:tc>
          <w:tcPr>
            <w:tcW w:w="3920" w:type="dxa"/>
            <w:vAlign w:val="bottom"/>
          </w:tcPr>
          <w:p>
            <w:pPr>
              <w:spacing w:after="0"/>
              <w:rPr>
                <w:sz w:val="24"/>
                <w:szCs w:val="24"/>
                <w:color w:val="auto"/>
              </w:rPr>
            </w:pPr>
          </w:p>
        </w:tc>
        <w:tc>
          <w:tcPr>
            <w:tcW w:w="2980" w:type="dxa"/>
            <w:vAlign w:val="bottom"/>
          </w:tcPr>
          <w:p>
            <w:pPr>
              <w:jc w:val="right"/>
              <w:ind w:right="1010"/>
              <w:spacing w:after="0"/>
              <w:rPr>
                <w:sz w:val="20"/>
                <w:szCs w:val="20"/>
                <w:color w:val="auto"/>
              </w:rPr>
            </w:pPr>
            <w:r>
              <w:rPr>
                <w:rFonts w:ascii="Arial" w:cs="Arial" w:eastAsia="Arial" w:hAnsi="Arial"/>
                <w:sz w:val="18"/>
                <w:szCs w:val="18"/>
                <w:color w:val="auto"/>
              </w:rPr>
              <w:t>20</w:t>
            </w: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20" w:name="page21"/>
    <w:bookmarkEnd w:id="20"/>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COMPARISON OF OPERATING RESULTS FOR THE THREE MONTHS ENDED MARCH 31, 2014 AND 2013</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EFT PROCESSING SEGMENT</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the results of operations for the three months ended March 31, 2014 and 2013 for our EFT Processing Segment:</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980" w:type="dxa"/>
            <w:vAlign w:val="bottom"/>
            <w:gridSpan w:val="5"/>
          </w:tcPr>
          <w:p>
            <w:pPr>
              <w:ind w:left="160"/>
              <w:spacing w:after="0"/>
              <w:rPr>
                <w:sz w:val="20"/>
                <w:szCs w:val="20"/>
                <w:color w:val="auto"/>
              </w:rPr>
            </w:pPr>
            <w:r>
              <w:rPr>
                <w:rFonts w:ascii="Arial" w:cs="Arial" w:eastAsia="Arial" w:hAnsi="Arial"/>
                <w:sz w:val="14"/>
                <w:szCs w:val="14"/>
                <w:b w:val="1"/>
                <w:bCs w:val="1"/>
                <w:color w:val="auto"/>
              </w:rPr>
              <w:t>Three Months Ended</w:t>
            </w:r>
          </w:p>
        </w:tc>
        <w:tc>
          <w:tcPr>
            <w:tcW w:w="240" w:type="dxa"/>
            <w:vAlign w:val="bottom"/>
          </w:tcPr>
          <w:p>
            <w:pPr>
              <w:spacing w:after="0"/>
              <w:rPr>
                <w:sz w:val="14"/>
                <w:szCs w:val="14"/>
                <w:color w:val="auto"/>
              </w:rPr>
            </w:pPr>
          </w:p>
        </w:tc>
        <w:tc>
          <w:tcPr>
            <w:tcW w:w="2340" w:type="dxa"/>
            <w:vAlign w:val="bottom"/>
            <w:gridSpan w:val="3"/>
            <w:vMerge w:val="restart"/>
          </w:tcPr>
          <w:p>
            <w:pPr>
              <w:jc w:val="right"/>
              <w:ind w:right="488"/>
              <w:spacing w:after="0"/>
              <w:rPr>
                <w:sz w:val="20"/>
                <w:szCs w:val="20"/>
                <w:color w:val="auto"/>
              </w:rPr>
            </w:pPr>
            <w:r>
              <w:rPr>
                <w:rFonts w:ascii="Arial" w:cs="Arial" w:eastAsia="Arial" w:hAnsi="Arial"/>
                <w:sz w:val="14"/>
                <w:szCs w:val="14"/>
                <w:b w:val="1"/>
                <w:bCs w:val="1"/>
                <w:color w:val="auto"/>
              </w:rPr>
              <w:t>Year-over-Year Change</w:t>
            </w:r>
          </w:p>
        </w:tc>
        <w:tc>
          <w:tcPr>
            <w:tcW w:w="0" w:type="dxa"/>
            <w:vAlign w:val="bottom"/>
          </w:tcPr>
          <w:p>
            <w:pPr>
              <w:spacing w:after="0"/>
              <w:rPr>
                <w:sz w:val="1"/>
                <w:szCs w:val="1"/>
                <w:color w:val="auto"/>
              </w:rPr>
            </w:pPr>
          </w:p>
        </w:tc>
      </w:tr>
      <w:tr>
        <w:trPr>
          <w:trHeight w:val="192"/>
        </w:trPr>
        <w:tc>
          <w:tcPr>
            <w:tcW w:w="6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March 31,</w:t>
            </w:r>
          </w:p>
        </w:tc>
        <w:tc>
          <w:tcPr>
            <w:tcW w:w="7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340" w:type="dxa"/>
            <w:vAlign w:val="bottom"/>
            <w:tcBorders>
              <w:bottom w:val="single" w:sz="8" w:color="auto"/>
            </w:tcBorders>
            <w:gridSpan w:val="3"/>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65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60" w:type="dxa"/>
            <w:vAlign w:val="bottom"/>
            <w:vMerge w:val="restart"/>
          </w:tcPr>
          <w:p>
            <w:pPr>
              <w:jc w:val="right"/>
              <w:ind w:right="274"/>
              <w:spacing w:after="0"/>
              <w:rPr>
                <w:sz w:val="20"/>
                <w:szCs w:val="20"/>
                <w:color w:val="auto"/>
              </w:rPr>
            </w:pPr>
            <w:r>
              <w:rPr>
                <w:rFonts w:ascii="Arial" w:cs="Arial" w:eastAsia="Arial" w:hAnsi="Arial"/>
                <w:sz w:val="14"/>
                <w:szCs w:val="14"/>
                <w:b w:val="1"/>
                <w:bCs w:val="1"/>
                <w:color w:val="auto"/>
              </w:rPr>
              <w:t>2014</w:t>
            </w:r>
          </w:p>
        </w:tc>
        <w:tc>
          <w:tcPr>
            <w:tcW w:w="1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00" w:type="dxa"/>
            <w:vAlign w:val="bottom"/>
            <w:vMerge w:val="restart"/>
          </w:tcPr>
          <w:p>
            <w:pPr>
              <w:jc w:val="right"/>
              <w:ind w:right="272"/>
              <w:spacing w:after="0"/>
              <w:rPr>
                <w:sz w:val="20"/>
                <w:szCs w:val="20"/>
                <w:color w:val="auto"/>
              </w:rPr>
            </w:pPr>
            <w:r>
              <w:rPr>
                <w:rFonts w:ascii="Arial" w:cs="Arial" w:eastAsia="Arial" w:hAnsi="Arial"/>
                <w:sz w:val="14"/>
                <w:szCs w:val="14"/>
                <w:b w:val="1"/>
                <w:bCs w:val="1"/>
                <w:color w:val="auto"/>
              </w:rPr>
              <w:t>2013</w:t>
            </w: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60" w:type="dxa"/>
            <w:vAlign w:val="bottom"/>
          </w:tcPr>
          <w:p>
            <w:pPr>
              <w:jc w:val="right"/>
              <w:ind w:right="253"/>
              <w:spacing w:after="0" w:line="153" w:lineRule="exact"/>
              <w:rPr>
                <w:sz w:val="20"/>
                <w:szCs w:val="20"/>
                <w:color w:val="auto"/>
              </w:rPr>
            </w:pPr>
            <w:r>
              <w:rPr>
                <w:rFonts w:ascii="Arial" w:cs="Arial" w:eastAsia="Arial" w:hAnsi="Arial"/>
                <w:sz w:val="14"/>
                <w:szCs w:val="14"/>
                <w:b w:val="1"/>
                <w:bCs w:val="1"/>
                <w:color w:val="auto"/>
              </w:rPr>
              <w:t>Increase</w:t>
            </w:r>
          </w:p>
        </w:tc>
        <w:tc>
          <w:tcPr>
            <w:tcW w:w="120" w:type="dxa"/>
            <w:vAlign w:val="bottom"/>
          </w:tcPr>
          <w:p>
            <w:pPr>
              <w:spacing w:after="0"/>
              <w:rPr>
                <w:sz w:val="13"/>
                <w:szCs w:val="13"/>
                <w:color w:val="auto"/>
              </w:rPr>
            </w:pPr>
          </w:p>
        </w:tc>
        <w:tc>
          <w:tcPr>
            <w:tcW w:w="1260" w:type="dxa"/>
            <w:vAlign w:val="bottom"/>
          </w:tcPr>
          <w:p>
            <w:pPr>
              <w:jc w:val="right"/>
              <w:ind w:right="308"/>
              <w:spacing w:after="0" w:line="153" w:lineRule="exact"/>
              <w:rPr>
                <w:sz w:val="20"/>
                <w:szCs w:val="20"/>
                <w:color w:val="auto"/>
              </w:rPr>
            </w:pPr>
            <w:r>
              <w:rPr>
                <w:rFonts w:ascii="Arial" w:cs="Arial" w:eastAsia="Arial" w:hAnsi="Arial"/>
                <w:sz w:val="14"/>
                <w:szCs w:val="14"/>
                <w:b w:val="1"/>
                <w:bCs w:val="1"/>
                <w:color w:val="auto"/>
              </w:rPr>
              <w:t>Increase</w:t>
            </w:r>
          </w:p>
        </w:tc>
        <w:tc>
          <w:tcPr>
            <w:tcW w:w="0" w:type="dxa"/>
            <w:vAlign w:val="bottom"/>
          </w:tcPr>
          <w:p>
            <w:pPr>
              <w:spacing w:after="0"/>
              <w:rPr>
                <w:sz w:val="1"/>
                <w:szCs w:val="1"/>
                <w:color w:val="auto"/>
              </w:rPr>
            </w:pPr>
          </w:p>
        </w:tc>
      </w:tr>
      <w:tr>
        <w:trPr>
          <w:trHeight w:val="192"/>
        </w:trPr>
        <w:tc>
          <w:tcPr>
            <w:tcW w:w="652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(dollar amounts in thousands)</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20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w w:val="93"/>
              </w:rPr>
              <w:t>(Decrease)Amount</w:t>
            </w:r>
          </w:p>
        </w:tc>
        <w:tc>
          <w:tcPr>
            <w:tcW w:w="120" w:type="dxa"/>
            <w:vAlign w:val="bottom"/>
            <w:tcBorders>
              <w:bottom w:val="single" w:sz="8" w:color="CCEEFF"/>
            </w:tcBorders>
          </w:tcPr>
          <w:p>
            <w:pPr>
              <w:spacing w:after="0"/>
              <w:rPr>
                <w:sz w:val="16"/>
                <w:szCs w:val="16"/>
                <w:color w:val="auto"/>
              </w:rPr>
            </w:pPr>
          </w:p>
        </w:tc>
        <w:tc>
          <w:tcPr>
            <w:tcW w:w="12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w w:val="94"/>
              </w:rPr>
              <w:t>(Decrease)Percent</w:t>
            </w:r>
          </w:p>
        </w:tc>
        <w:tc>
          <w:tcPr>
            <w:tcW w:w="0" w:type="dxa"/>
            <w:vAlign w:val="bottom"/>
          </w:tcPr>
          <w:p>
            <w:pPr>
              <w:spacing w:after="0"/>
              <w:rPr>
                <w:sz w:val="1"/>
                <w:szCs w:val="1"/>
                <w:color w:val="auto"/>
              </w:rPr>
            </w:pPr>
          </w:p>
        </w:tc>
      </w:tr>
      <w:tr>
        <w:trPr>
          <w:trHeight w:val="270"/>
        </w:trPr>
        <w:tc>
          <w:tcPr>
            <w:tcW w:w="66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Total revenues</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74,605</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63,334</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11,271</w:t>
            </w:r>
          </w:p>
        </w:tc>
        <w:tc>
          <w:tcPr>
            <w:tcW w:w="13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18 %</w:t>
            </w:r>
          </w:p>
        </w:tc>
        <w:tc>
          <w:tcPr>
            <w:tcW w:w="0" w:type="dxa"/>
            <w:vAlign w:val="bottom"/>
          </w:tcPr>
          <w:p>
            <w:pPr>
              <w:spacing w:after="0"/>
              <w:rPr>
                <w:sz w:val="1"/>
                <w:szCs w:val="1"/>
                <w:color w:val="auto"/>
              </w:rPr>
            </w:pPr>
          </w:p>
        </w:tc>
      </w:tr>
      <w:tr>
        <w:trPr>
          <w:trHeight w:val="237"/>
        </w:trPr>
        <w:tc>
          <w:tcPr>
            <w:tcW w:w="6620" w:type="dxa"/>
            <w:vAlign w:val="bottom"/>
            <w:gridSpan w:val="2"/>
          </w:tcPr>
          <w:p>
            <w:pPr>
              <w:ind w:left="40"/>
              <w:spacing w:after="0"/>
              <w:rPr>
                <w:sz w:val="20"/>
                <w:szCs w:val="20"/>
                <w:color w:val="auto"/>
              </w:rPr>
            </w:pPr>
            <w:r>
              <w:rPr>
                <w:rFonts w:ascii="Arial" w:cs="Arial" w:eastAsia="Arial" w:hAnsi="Arial"/>
                <w:sz w:val="18"/>
                <w:szCs w:val="18"/>
                <w:color w:val="auto"/>
              </w:rPr>
              <w:t>Operating expenses:</w:t>
            </w:r>
          </w:p>
        </w:tc>
        <w:tc>
          <w:tcPr>
            <w:tcW w:w="240" w:type="dxa"/>
            <w:vAlign w:val="bottom"/>
            <w:tcBorders>
              <w:top w:val="single" w:sz="8" w:color="auto"/>
            </w:tcBorders>
          </w:tcPr>
          <w:p>
            <w:pPr>
              <w:spacing w:after="0"/>
              <w:rPr>
                <w:sz w:val="20"/>
                <w:szCs w:val="20"/>
                <w:color w:val="auto"/>
              </w:rPr>
            </w:pPr>
          </w:p>
        </w:tc>
        <w:tc>
          <w:tcPr>
            <w:tcW w:w="76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70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6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62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Direct operating costs</w:t>
            </w:r>
          </w:p>
        </w:tc>
        <w:tc>
          <w:tcPr>
            <w:tcW w:w="2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37,338</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32,912</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4,426</w:t>
            </w:r>
          </w:p>
        </w:tc>
        <w:tc>
          <w:tcPr>
            <w:tcW w:w="13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13 %</w:t>
            </w:r>
          </w:p>
        </w:tc>
        <w:tc>
          <w:tcPr>
            <w:tcW w:w="0" w:type="dxa"/>
            <w:vAlign w:val="bottom"/>
          </w:tcPr>
          <w:p>
            <w:pPr>
              <w:spacing w:after="0"/>
              <w:rPr>
                <w:sz w:val="1"/>
                <w:szCs w:val="1"/>
                <w:color w:val="auto"/>
              </w:rPr>
            </w:pPr>
          </w:p>
        </w:tc>
      </w:tr>
      <w:tr>
        <w:trPr>
          <w:trHeight w:val="243"/>
        </w:trPr>
        <w:tc>
          <w:tcPr>
            <w:tcW w:w="6620" w:type="dxa"/>
            <w:vAlign w:val="bottom"/>
            <w:gridSpan w:val="2"/>
          </w:tcPr>
          <w:p>
            <w:pPr>
              <w:ind w:left="180"/>
              <w:spacing w:after="0"/>
              <w:rPr>
                <w:sz w:val="20"/>
                <w:szCs w:val="20"/>
                <w:color w:val="auto"/>
              </w:rPr>
            </w:pPr>
            <w:r>
              <w:rPr>
                <w:rFonts w:ascii="Arial" w:cs="Arial" w:eastAsia="Arial" w:hAnsi="Arial"/>
                <w:sz w:val="18"/>
                <w:szCs w:val="18"/>
                <w:color w:val="auto"/>
              </w:rPr>
              <w:t>Salaries and benefits</w:t>
            </w:r>
          </w:p>
        </w:tc>
        <w:tc>
          <w:tcPr>
            <w:tcW w:w="240" w:type="dxa"/>
            <w:vAlign w:val="bottom"/>
          </w:tcPr>
          <w:p>
            <w:pPr>
              <w:spacing w:after="0"/>
              <w:rPr>
                <w:sz w:val="21"/>
                <w:szCs w:val="21"/>
                <w:color w:val="auto"/>
              </w:rPr>
            </w:pPr>
          </w:p>
        </w:tc>
        <w:tc>
          <w:tcPr>
            <w:tcW w:w="760" w:type="dxa"/>
            <w:vAlign w:val="bottom"/>
          </w:tcPr>
          <w:p>
            <w:pPr>
              <w:jc w:val="right"/>
              <w:ind w:right="14"/>
              <w:spacing w:after="0"/>
              <w:rPr>
                <w:sz w:val="20"/>
                <w:szCs w:val="20"/>
                <w:color w:val="auto"/>
              </w:rPr>
            </w:pPr>
            <w:r>
              <w:rPr>
                <w:rFonts w:ascii="Arial" w:cs="Arial" w:eastAsia="Arial" w:hAnsi="Arial"/>
                <w:sz w:val="18"/>
                <w:szCs w:val="18"/>
                <w:color w:val="auto"/>
              </w:rPr>
              <w:t>11,095</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700" w:type="dxa"/>
            <w:vAlign w:val="bottom"/>
          </w:tcPr>
          <w:p>
            <w:pPr>
              <w:jc w:val="right"/>
              <w:ind w:right="32"/>
              <w:spacing w:after="0"/>
              <w:rPr>
                <w:sz w:val="20"/>
                <w:szCs w:val="20"/>
                <w:color w:val="auto"/>
              </w:rPr>
            </w:pPr>
            <w:r>
              <w:rPr>
                <w:rFonts w:ascii="Arial" w:cs="Arial" w:eastAsia="Arial" w:hAnsi="Arial"/>
                <w:sz w:val="18"/>
                <w:szCs w:val="18"/>
                <w:color w:val="auto"/>
              </w:rPr>
              <w:t>9,645</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60" w:type="dxa"/>
            <w:vAlign w:val="bottom"/>
          </w:tcPr>
          <w:p>
            <w:pPr>
              <w:jc w:val="right"/>
              <w:ind w:right="53"/>
              <w:spacing w:after="0"/>
              <w:rPr>
                <w:sz w:val="20"/>
                <w:szCs w:val="20"/>
                <w:color w:val="auto"/>
              </w:rPr>
            </w:pPr>
            <w:r>
              <w:rPr>
                <w:rFonts w:ascii="Arial" w:cs="Arial" w:eastAsia="Arial" w:hAnsi="Arial"/>
                <w:sz w:val="18"/>
                <w:szCs w:val="18"/>
                <w:color w:val="auto"/>
              </w:rPr>
              <w:t>1,450</w:t>
            </w: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15 %</w:t>
            </w:r>
          </w:p>
        </w:tc>
        <w:tc>
          <w:tcPr>
            <w:tcW w:w="0" w:type="dxa"/>
            <w:vAlign w:val="bottom"/>
          </w:tcPr>
          <w:p>
            <w:pPr>
              <w:spacing w:after="0"/>
              <w:rPr>
                <w:sz w:val="1"/>
                <w:szCs w:val="1"/>
                <w:color w:val="auto"/>
              </w:rPr>
            </w:pPr>
          </w:p>
        </w:tc>
      </w:tr>
      <w:tr>
        <w:trPr>
          <w:trHeight w:val="27"/>
        </w:trPr>
        <w:tc>
          <w:tcPr>
            <w:tcW w:w="6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62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Selling, general and administrative</w:t>
            </w:r>
          </w:p>
        </w:tc>
        <w:tc>
          <w:tcPr>
            <w:tcW w:w="2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6,102</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5,848</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254</w:t>
            </w:r>
          </w:p>
        </w:tc>
        <w:tc>
          <w:tcPr>
            <w:tcW w:w="13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4 %</w:t>
            </w:r>
          </w:p>
        </w:tc>
        <w:tc>
          <w:tcPr>
            <w:tcW w:w="0" w:type="dxa"/>
            <w:vAlign w:val="bottom"/>
          </w:tcPr>
          <w:p>
            <w:pPr>
              <w:spacing w:after="0"/>
              <w:rPr>
                <w:sz w:val="1"/>
                <w:szCs w:val="1"/>
                <w:color w:val="auto"/>
              </w:rPr>
            </w:pPr>
          </w:p>
        </w:tc>
      </w:tr>
      <w:tr>
        <w:trPr>
          <w:trHeight w:val="243"/>
        </w:trPr>
        <w:tc>
          <w:tcPr>
            <w:tcW w:w="6620" w:type="dxa"/>
            <w:vAlign w:val="bottom"/>
            <w:gridSpan w:val="2"/>
          </w:tcPr>
          <w:p>
            <w:pPr>
              <w:ind w:left="180"/>
              <w:spacing w:after="0"/>
              <w:rPr>
                <w:sz w:val="20"/>
                <w:szCs w:val="20"/>
                <w:color w:val="auto"/>
              </w:rPr>
            </w:pPr>
            <w:r>
              <w:rPr>
                <w:rFonts w:ascii="Arial" w:cs="Arial" w:eastAsia="Arial" w:hAnsi="Arial"/>
                <w:sz w:val="18"/>
                <w:szCs w:val="18"/>
                <w:color w:val="auto"/>
              </w:rPr>
              <w:t>Depreciation and amortization</w:t>
            </w:r>
          </w:p>
        </w:tc>
        <w:tc>
          <w:tcPr>
            <w:tcW w:w="240" w:type="dxa"/>
            <w:vAlign w:val="bottom"/>
          </w:tcPr>
          <w:p>
            <w:pPr>
              <w:spacing w:after="0"/>
              <w:rPr>
                <w:sz w:val="21"/>
                <w:szCs w:val="21"/>
                <w:color w:val="auto"/>
              </w:rPr>
            </w:pPr>
          </w:p>
        </w:tc>
        <w:tc>
          <w:tcPr>
            <w:tcW w:w="760" w:type="dxa"/>
            <w:vAlign w:val="bottom"/>
          </w:tcPr>
          <w:p>
            <w:pPr>
              <w:jc w:val="right"/>
              <w:ind w:right="14"/>
              <w:spacing w:after="0"/>
              <w:rPr>
                <w:sz w:val="20"/>
                <w:szCs w:val="20"/>
                <w:color w:val="auto"/>
              </w:rPr>
            </w:pPr>
            <w:r>
              <w:rPr>
                <w:rFonts w:ascii="Arial" w:cs="Arial" w:eastAsia="Arial" w:hAnsi="Arial"/>
                <w:sz w:val="18"/>
                <w:szCs w:val="18"/>
                <w:color w:val="auto"/>
              </w:rPr>
              <w:t>7,296</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700" w:type="dxa"/>
            <w:vAlign w:val="bottom"/>
          </w:tcPr>
          <w:p>
            <w:pPr>
              <w:jc w:val="right"/>
              <w:ind w:right="32"/>
              <w:spacing w:after="0"/>
              <w:rPr>
                <w:sz w:val="20"/>
                <w:szCs w:val="20"/>
                <w:color w:val="auto"/>
              </w:rPr>
            </w:pPr>
            <w:r>
              <w:rPr>
                <w:rFonts w:ascii="Arial" w:cs="Arial" w:eastAsia="Arial" w:hAnsi="Arial"/>
                <w:sz w:val="18"/>
                <w:szCs w:val="18"/>
                <w:color w:val="auto"/>
              </w:rPr>
              <w:t>8,316</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(1,020)</w:t>
            </w: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7"/>
        </w:trPr>
        <w:tc>
          <w:tcPr>
            <w:tcW w:w="65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662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Total operating expenses</w:t>
            </w:r>
          </w:p>
        </w:tc>
        <w:tc>
          <w:tcPr>
            <w:tcW w:w="24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61,831</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56,721</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5,110</w:t>
            </w:r>
          </w:p>
        </w:tc>
        <w:tc>
          <w:tcPr>
            <w:tcW w:w="13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9 %</w:t>
            </w:r>
          </w:p>
        </w:tc>
        <w:tc>
          <w:tcPr>
            <w:tcW w:w="0" w:type="dxa"/>
            <w:vAlign w:val="bottom"/>
          </w:tcPr>
          <w:p>
            <w:pPr>
              <w:spacing w:after="0"/>
              <w:rPr>
                <w:sz w:val="1"/>
                <w:szCs w:val="1"/>
                <w:color w:val="auto"/>
              </w:rPr>
            </w:pPr>
          </w:p>
        </w:tc>
      </w:tr>
      <w:tr>
        <w:trPr>
          <w:trHeight w:val="297"/>
        </w:trPr>
        <w:tc>
          <w:tcPr>
            <w:tcW w:w="6620" w:type="dxa"/>
            <w:vAlign w:val="bottom"/>
            <w:tcBorders>
              <w:bottom w:val="single" w:sz="8" w:color="CCEEFF"/>
            </w:tcBorders>
            <w:gridSpan w:val="2"/>
          </w:tcPr>
          <w:p>
            <w:pPr>
              <w:ind w:left="600"/>
              <w:spacing w:after="0"/>
              <w:rPr>
                <w:sz w:val="20"/>
                <w:szCs w:val="20"/>
                <w:color w:val="auto"/>
              </w:rPr>
            </w:pPr>
            <w:r>
              <w:rPr>
                <w:rFonts w:ascii="Arial" w:cs="Arial" w:eastAsia="Arial" w:hAnsi="Arial"/>
                <w:sz w:val="18"/>
                <w:szCs w:val="18"/>
                <w:color w:val="auto"/>
              </w:rPr>
              <w:t>Operating income</w:t>
            </w: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76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12,774</w:t>
            </w:r>
          </w:p>
        </w:tc>
        <w:tc>
          <w:tcPr>
            <w:tcW w:w="120" w:type="dxa"/>
            <w:vAlign w:val="bottom"/>
            <w:tcBorders>
              <w:bottom w:val="single" w:sz="8" w:color="CCEEFF"/>
            </w:tcBorders>
          </w:tcPr>
          <w:p>
            <w:pPr>
              <w:spacing w:after="0"/>
              <w:rPr>
                <w:sz w:val="24"/>
                <w:szCs w:val="24"/>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70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6,613</w:t>
            </w:r>
          </w:p>
        </w:tc>
        <w:tc>
          <w:tcPr>
            <w:tcW w:w="100" w:type="dxa"/>
            <w:vAlign w:val="bottom"/>
            <w:tcBorders>
              <w:bottom w:val="single" w:sz="8" w:color="CCEEFF"/>
            </w:tcBorders>
          </w:tcPr>
          <w:p>
            <w:pPr>
              <w:spacing w:after="0"/>
              <w:rPr>
                <w:sz w:val="24"/>
                <w:szCs w:val="24"/>
                <w:color w:val="auto"/>
              </w:rPr>
            </w:pPr>
          </w:p>
        </w:tc>
        <w:tc>
          <w:tcPr>
            <w:tcW w:w="24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960" w:type="dxa"/>
            <w:vAlign w:val="bottom"/>
            <w:tcBorders>
              <w:top w:val="single" w:sz="8" w:color="auto"/>
              <w:bottom w:val="single" w:sz="8" w:color="auto"/>
            </w:tcBorders>
          </w:tcPr>
          <w:p>
            <w:pPr>
              <w:jc w:val="right"/>
              <w:ind w:right="53"/>
              <w:spacing w:after="0"/>
              <w:rPr>
                <w:sz w:val="20"/>
                <w:szCs w:val="20"/>
                <w:color w:val="auto"/>
              </w:rPr>
            </w:pPr>
            <w:r>
              <w:rPr>
                <w:rFonts w:ascii="Arial" w:cs="Arial" w:eastAsia="Arial" w:hAnsi="Arial"/>
                <w:sz w:val="18"/>
                <w:szCs w:val="18"/>
                <w:color w:val="auto"/>
              </w:rPr>
              <w:t>6,161</w:t>
            </w:r>
          </w:p>
        </w:tc>
        <w:tc>
          <w:tcPr>
            <w:tcW w:w="138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93 %</w:t>
            </w:r>
          </w:p>
        </w:tc>
        <w:tc>
          <w:tcPr>
            <w:tcW w:w="0" w:type="dxa"/>
            <w:vAlign w:val="bottom"/>
          </w:tcPr>
          <w:p>
            <w:pPr>
              <w:spacing w:after="0"/>
              <w:rPr>
                <w:sz w:val="1"/>
                <w:szCs w:val="1"/>
                <w:color w:val="auto"/>
              </w:rPr>
            </w:pPr>
          </w:p>
        </w:tc>
      </w:tr>
      <w:tr>
        <w:trPr>
          <w:trHeight w:val="237"/>
        </w:trPr>
        <w:tc>
          <w:tcPr>
            <w:tcW w:w="662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Transactions processed (millions)</w:t>
            </w:r>
          </w:p>
        </w:tc>
        <w:tc>
          <w:tcPr>
            <w:tcW w:w="24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301</w:t>
            </w: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276</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25</w:t>
            </w:r>
          </w:p>
        </w:tc>
        <w:tc>
          <w:tcPr>
            <w:tcW w:w="13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9 %</w:t>
            </w:r>
          </w:p>
        </w:tc>
        <w:tc>
          <w:tcPr>
            <w:tcW w:w="0" w:type="dxa"/>
            <w:vAlign w:val="bottom"/>
          </w:tcPr>
          <w:p>
            <w:pPr>
              <w:spacing w:after="0"/>
              <w:rPr>
                <w:sz w:val="1"/>
                <w:szCs w:val="1"/>
                <w:color w:val="auto"/>
              </w:rPr>
            </w:pPr>
          </w:p>
        </w:tc>
      </w:tr>
      <w:tr>
        <w:trPr>
          <w:trHeight w:val="243"/>
        </w:trPr>
        <w:tc>
          <w:tcPr>
            <w:tcW w:w="6620" w:type="dxa"/>
            <w:vAlign w:val="bottom"/>
            <w:gridSpan w:val="2"/>
          </w:tcPr>
          <w:p>
            <w:pPr>
              <w:ind w:left="180"/>
              <w:spacing w:after="0"/>
              <w:rPr>
                <w:sz w:val="20"/>
                <w:szCs w:val="20"/>
                <w:color w:val="auto"/>
              </w:rPr>
            </w:pPr>
            <w:r>
              <w:rPr>
                <w:rFonts w:ascii="Arial" w:cs="Arial" w:eastAsia="Arial" w:hAnsi="Arial"/>
                <w:sz w:val="18"/>
                <w:szCs w:val="18"/>
                <w:color w:val="auto"/>
              </w:rPr>
              <w:t>ATMs as of March 31,</w:t>
            </w:r>
          </w:p>
        </w:tc>
        <w:tc>
          <w:tcPr>
            <w:tcW w:w="240" w:type="dxa"/>
            <w:vAlign w:val="bottom"/>
          </w:tcPr>
          <w:p>
            <w:pPr>
              <w:spacing w:after="0"/>
              <w:rPr>
                <w:sz w:val="21"/>
                <w:szCs w:val="21"/>
                <w:color w:val="auto"/>
              </w:rPr>
            </w:pPr>
          </w:p>
        </w:tc>
        <w:tc>
          <w:tcPr>
            <w:tcW w:w="760" w:type="dxa"/>
            <w:vAlign w:val="bottom"/>
          </w:tcPr>
          <w:p>
            <w:pPr>
              <w:jc w:val="right"/>
              <w:ind w:right="14"/>
              <w:spacing w:after="0"/>
              <w:rPr>
                <w:sz w:val="20"/>
                <w:szCs w:val="20"/>
                <w:color w:val="auto"/>
              </w:rPr>
            </w:pPr>
            <w:r>
              <w:rPr>
                <w:rFonts w:ascii="Arial" w:cs="Arial" w:eastAsia="Arial" w:hAnsi="Arial"/>
                <w:sz w:val="18"/>
                <w:szCs w:val="18"/>
                <w:color w:val="auto"/>
              </w:rPr>
              <w:t>18,558</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700" w:type="dxa"/>
            <w:vAlign w:val="bottom"/>
          </w:tcPr>
          <w:p>
            <w:pPr>
              <w:jc w:val="right"/>
              <w:ind w:right="32"/>
              <w:spacing w:after="0"/>
              <w:rPr>
                <w:sz w:val="20"/>
                <w:szCs w:val="20"/>
                <w:color w:val="auto"/>
              </w:rPr>
            </w:pPr>
            <w:r>
              <w:rPr>
                <w:rFonts w:ascii="Arial" w:cs="Arial" w:eastAsia="Arial" w:hAnsi="Arial"/>
                <w:sz w:val="18"/>
                <w:szCs w:val="18"/>
                <w:color w:val="auto"/>
              </w:rPr>
              <w:t>17,949</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60" w:type="dxa"/>
            <w:vAlign w:val="bottom"/>
          </w:tcPr>
          <w:p>
            <w:pPr>
              <w:jc w:val="right"/>
              <w:ind w:right="53"/>
              <w:spacing w:after="0"/>
              <w:rPr>
                <w:sz w:val="20"/>
                <w:szCs w:val="20"/>
                <w:color w:val="auto"/>
              </w:rPr>
            </w:pPr>
            <w:r>
              <w:rPr>
                <w:rFonts w:ascii="Arial" w:cs="Arial" w:eastAsia="Arial" w:hAnsi="Arial"/>
                <w:sz w:val="18"/>
                <w:szCs w:val="18"/>
                <w:color w:val="auto"/>
              </w:rPr>
              <w:t>609</w:t>
            </w: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3 %</w:t>
            </w:r>
          </w:p>
        </w:tc>
        <w:tc>
          <w:tcPr>
            <w:tcW w:w="0" w:type="dxa"/>
            <w:vAlign w:val="bottom"/>
          </w:tcPr>
          <w:p>
            <w:pPr>
              <w:spacing w:after="0"/>
              <w:rPr>
                <w:sz w:val="1"/>
                <w:szCs w:val="1"/>
                <w:color w:val="auto"/>
              </w:rPr>
            </w:pPr>
          </w:p>
        </w:tc>
      </w:tr>
      <w:tr>
        <w:trPr>
          <w:trHeight w:val="27"/>
        </w:trPr>
        <w:tc>
          <w:tcPr>
            <w:tcW w:w="6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66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Average ATMs</w:t>
            </w:r>
          </w:p>
        </w:tc>
        <w:tc>
          <w:tcPr>
            <w:tcW w:w="240" w:type="dxa"/>
            <w:vAlign w:val="bottom"/>
            <w:shd w:val="clear" w:color="auto" w:fill="CCEEFF"/>
          </w:tcPr>
          <w:p>
            <w:pPr>
              <w:spacing w:after="0"/>
              <w:rPr>
                <w:sz w:val="21"/>
                <w:szCs w:val="21"/>
                <w:color w:val="auto"/>
              </w:rPr>
            </w:pPr>
          </w:p>
        </w:tc>
        <w:tc>
          <w:tcPr>
            <w:tcW w:w="76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18,411</w:t>
            </w:r>
          </w:p>
        </w:tc>
        <w:tc>
          <w:tcPr>
            <w:tcW w:w="12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70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17,723</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96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688</w:t>
            </w:r>
          </w:p>
        </w:tc>
        <w:tc>
          <w:tcPr>
            <w:tcW w:w="1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4 %</w:t>
            </w:r>
          </w:p>
        </w:tc>
        <w:tc>
          <w:tcPr>
            <w:tcW w:w="0" w:type="dxa"/>
            <w:vAlign w:val="bottom"/>
          </w:tcPr>
          <w:p>
            <w:pPr>
              <w:spacing w:after="0"/>
              <w:rPr>
                <w:sz w:val="1"/>
                <w:szCs w:val="1"/>
                <w:color w:val="auto"/>
              </w:rPr>
            </w:pPr>
          </w:p>
        </w:tc>
      </w:tr>
      <w:tr>
        <w:trPr>
          <w:trHeight w:val="27"/>
        </w:trPr>
        <w:tc>
          <w:tcPr>
            <w:tcW w:w="65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7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7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6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Revenues</w:t>
      </w:r>
    </w:p>
    <w:p>
      <w:pPr>
        <w:spacing w:after="0" w:line="117"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Our revenues for the first quarter of 2014 increased when compared to the same period of 2013, primarily due to an increase in the number of transactions processed in Poland as a result of an increase in ATMs under management, an increase in the number of ATMs in India, an increase in demand for dynamic currency conversion ("DCC") on both our ATMs and POS devices under management and growth in revenues from debit and credit card outsourcing services in Greece.</w:t>
      </w:r>
    </w:p>
    <w:p>
      <w:pPr>
        <w:spacing w:after="0" w:line="79"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Average monthly revenues per ATM were $1,351 for the first quarter of 2014 compared to $1,191 for the same period of 2013. Revenues per transaction were $0.25 for the first quarter of 2014 compared to $0.23 for the same period of 2013. These increases were primarily the result of revenue growth from DCC on our ATMs under management, which earns higher revenues per transaction than other ATM services and the cancellation of an ATM driving and managed services contract in India during the second quarter of 2013. The revenues per ATM and per transaction earned under the canceled contract were significantly lower than other ATM services.</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Direct operating costs</w:t>
      </w:r>
    </w:p>
    <w:p>
      <w:pPr>
        <w:spacing w:after="0" w:line="117"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Direct operating costs consist primarily of site rental fees, cash delivery costs, cash supply costs, maintenance, insurance, telecommunications, the cost of data center operations-related personnel, as well as the processing centers’ facility-related costs and other processing center-related expenses and commissions paid to retail merchants, banks and card processors involved with POS DCC transactions. Direct operating costs increased for the first quarter of 2014 compared to the same period of 2013, primarily due to an increase in the number of ATMs under management in Poland and India, an increase in demand for DCC transactions on POS devices and growth in revenues from debit and credit card outsourcing services in Greece.</w:t>
      </w:r>
    </w:p>
    <w:p>
      <w:pPr>
        <w:spacing w:after="0" w:line="6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Gross profit</w:t>
      </w:r>
    </w:p>
    <w:p>
      <w:pPr>
        <w:spacing w:after="0" w:line="117" w:lineRule="exact"/>
        <w:rPr>
          <w:sz w:val="20"/>
          <w:szCs w:val="20"/>
          <w:color w:val="auto"/>
        </w:rPr>
      </w:pPr>
    </w:p>
    <w:p>
      <w:pPr>
        <w:ind w:right="20"/>
        <w:spacing w:after="0" w:line="276" w:lineRule="auto"/>
        <w:rPr>
          <w:sz w:val="20"/>
          <w:szCs w:val="20"/>
          <w:color w:val="auto"/>
        </w:rPr>
      </w:pPr>
      <w:r>
        <w:rPr>
          <w:rFonts w:ascii="Arial" w:cs="Arial" w:eastAsia="Arial" w:hAnsi="Arial"/>
          <w:sz w:val="17"/>
          <w:szCs w:val="17"/>
          <w:color w:val="auto"/>
        </w:rPr>
        <w:t>Gross profit, which is calculated as revenues less direct operating costs, was $37.3 million for the first quarter of 2014 compared to $30.4 million for the same period of 2013. This increase was primarily due to the growth in revenues from DCC transactions, an increase in ATMs under management in Poland and growth in revenues from debit and credit card outsourcing services in Greece. Gross profit as a percentage of revenues (“gross margin”) was 50.0% for the first quarter of 2014 compared to 48.0% for the same period of 2013. This increase was primarily due to the increase in revenues earned from DCC on our ATMs under management, which earns a higher gross profit than other services.</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125" w:right="239" w:bottom="1440" w:gutter="0" w:footer="0" w:header="0"/>
        </w:sectPr>
      </w:pPr>
    </w:p>
    <w:bookmarkStart w:id="21" w:name="page22"/>
    <w:bookmarkEnd w:id="21"/>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36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Salaries and benefits</w:t>
      </w:r>
    </w:p>
    <w:p>
      <w:pPr>
        <w:spacing w:after="0" w:line="117" w:lineRule="exact"/>
        <w:rPr>
          <w:sz w:val="20"/>
          <w:szCs w:val="20"/>
          <w:color w:val="auto"/>
        </w:rPr>
      </w:pPr>
    </w:p>
    <w:p>
      <w:pPr>
        <w:ind w:right="220"/>
        <w:spacing w:after="0" w:line="279" w:lineRule="auto"/>
        <w:rPr>
          <w:sz w:val="20"/>
          <w:szCs w:val="20"/>
          <w:color w:val="auto"/>
        </w:rPr>
      </w:pPr>
      <w:r>
        <w:rPr>
          <w:rFonts w:ascii="Arial" w:cs="Arial" w:eastAsia="Arial" w:hAnsi="Arial"/>
          <w:sz w:val="17"/>
          <w:szCs w:val="17"/>
          <w:color w:val="auto"/>
        </w:rPr>
        <w:t>The increase in salaries and benefits for the first quarter of 2014 compared to the same period of 2013 was primarily due to additional headcount to support the increase in the number of ATMs under management and the growth in DCC transactions on our POS devices. As a percentage of revenues, these costs decreased to 14.9% for the first quarter of 2014 from 15.2% for the same period of 2013. This decrease was primarily due to the growth in revenues earned from DCC transactions on our ATMs under management, which require minimal incremental support costs.</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Selling, general and administrative</w:t>
      </w:r>
    </w:p>
    <w:p>
      <w:pPr>
        <w:spacing w:after="0" w:line="117" w:lineRule="exact"/>
        <w:rPr>
          <w:sz w:val="20"/>
          <w:szCs w:val="20"/>
          <w:color w:val="auto"/>
        </w:rPr>
      </w:pPr>
    </w:p>
    <w:p>
      <w:pPr>
        <w:ind w:right="100"/>
        <w:spacing w:after="0" w:line="279" w:lineRule="auto"/>
        <w:rPr>
          <w:sz w:val="20"/>
          <w:szCs w:val="20"/>
          <w:color w:val="auto"/>
        </w:rPr>
      </w:pPr>
      <w:r>
        <w:rPr>
          <w:rFonts w:ascii="Arial" w:cs="Arial" w:eastAsia="Arial" w:hAnsi="Arial"/>
          <w:sz w:val="17"/>
          <w:szCs w:val="17"/>
          <w:color w:val="auto"/>
        </w:rPr>
        <w:t>The increase in selling, general and administrative expenses for the first quarter of 2014 compared to the same period of 2013 was primarily due to increased support costs as a result of the increase in the number of ATMs under management and growth in DCC transactions on POS devices. As a percentage of revenues, these expenses decreased to 8.2% for the first quarter of 2014 from 9.2% for the same period of 2013, primarily due to the growth in revenues earned from DCC transactions on our ATMs under management, which require minimal incremental support costs.</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Depreciation and amortization</w:t>
      </w:r>
    </w:p>
    <w:p>
      <w:pPr>
        <w:spacing w:after="0" w:line="117"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The decrease in depreciation and amortization expense for the first quarter of 2014 compared to the same period of 2013 was primarily due to certain software assets becoming fully amortized during 2013, partly offset by an increase in depreciation on our ATMs under management. As a percentage of revenues, depreciation and amortization expense decreased to 9.8% for the first quarter of 2014 from 13.1% for the same period of 2013, primarily due to the growth in revenues from DCC transactions on our ATMs under management and the purchase accounting true-up adjustments discussed above.</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income</w:t>
      </w:r>
    </w:p>
    <w:p>
      <w:pPr>
        <w:spacing w:after="0" w:line="117" w:lineRule="exact"/>
        <w:rPr>
          <w:sz w:val="20"/>
          <w:szCs w:val="20"/>
          <w:color w:val="auto"/>
        </w:rPr>
      </w:pPr>
    </w:p>
    <w:p>
      <w:pPr>
        <w:ind w:right="100"/>
        <w:spacing w:after="0" w:line="297" w:lineRule="auto"/>
        <w:rPr>
          <w:sz w:val="20"/>
          <w:szCs w:val="20"/>
          <w:color w:val="auto"/>
        </w:rPr>
      </w:pPr>
      <w:r>
        <w:rPr>
          <w:rFonts w:ascii="Arial" w:cs="Arial" w:eastAsia="Arial" w:hAnsi="Arial"/>
          <w:sz w:val="16"/>
          <w:szCs w:val="16"/>
          <w:color w:val="auto"/>
        </w:rPr>
        <w:t>The increase in operating income for the first quarter of 2014 compared to the same period of 2013 was primarily due to the increase in the number of ATMs discussed above, growth in revenues earned from DCC transactions, growth in revenues from debit and credit card management services in Greece and the decrease in amortization expense related to software assets. Operating income as a percentage of revenues (“operating margin”) increased to 17.1% for the first quarter of 2014 from 10.4% for the same period of 2013 and operating income per transaction increased to $0.04 for the first quarter of 2014 from $0.02 for the same period of 2013. These increases were primarily due to growth in revenues earned from DCC on our ATMs under management.</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EPAY SEGMENT</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the results of operations for the three months ended March 31, 2014 and 2013 for our epay Segment:</w:t>
      </w:r>
    </w:p>
    <w:p>
      <w:pPr>
        <w:spacing w:after="0" w:line="36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160" w:type="dxa"/>
            <w:vAlign w:val="bottom"/>
          </w:tcPr>
          <w:p>
            <w:pPr>
              <w:spacing w:after="0"/>
              <w:rPr>
                <w:sz w:val="14"/>
                <w:szCs w:val="14"/>
                <w:color w:val="auto"/>
              </w:rPr>
            </w:pPr>
          </w:p>
        </w:tc>
        <w:tc>
          <w:tcPr>
            <w:tcW w:w="2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40" w:type="dxa"/>
            <w:vAlign w:val="bottom"/>
            <w:gridSpan w:val="5"/>
          </w:tcPr>
          <w:p>
            <w:pPr>
              <w:ind w:left="200"/>
              <w:spacing w:after="0"/>
              <w:rPr>
                <w:sz w:val="20"/>
                <w:szCs w:val="20"/>
                <w:color w:val="auto"/>
              </w:rPr>
            </w:pPr>
            <w:r>
              <w:rPr>
                <w:rFonts w:ascii="Arial" w:cs="Arial" w:eastAsia="Arial" w:hAnsi="Arial"/>
                <w:sz w:val="14"/>
                <w:szCs w:val="14"/>
                <w:b w:val="1"/>
                <w:bCs w:val="1"/>
                <w:color w:val="auto"/>
              </w:rPr>
              <w:t>Three Months Ended</w:t>
            </w:r>
          </w:p>
        </w:tc>
        <w:tc>
          <w:tcPr>
            <w:tcW w:w="140" w:type="dxa"/>
            <w:vAlign w:val="bottom"/>
          </w:tcPr>
          <w:p>
            <w:pPr>
              <w:spacing w:after="0"/>
              <w:rPr>
                <w:sz w:val="14"/>
                <w:szCs w:val="14"/>
                <w:color w:val="auto"/>
              </w:rPr>
            </w:pPr>
          </w:p>
        </w:tc>
        <w:tc>
          <w:tcPr>
            <w:tcW w:w="1920" w:type="dxa"/>
            <w:vAlign w:val="bottom"/>
            <w:gridSpan w:val="3"/>
            <w:vMerge w:val="restart"/>
          </w:tcPr>
          <w:p>
            <w:pPr>
              <w:jc w:val="right"/>
              <w:ind w:right="228"/>
              <w:spacing w:after="0"/>
              <w:rPr>
                <w:sz w:val="20"/>
                <w:szCs w:val="20"/>
                <w:color w:val="auto"/>
              </w:rPr>
            </w:pPr>
            <w:r>
              <w:rPr>
                <w:rFonts w:ascii="Arial" w:cs="Arial" w:eastAsia="Arial" w:hAnsi="Arial"/>
                <w:sz w:val="14"/>
                <w:szCs w:val="14"/>
                <w:b w:val="1"/>
                <w:bCs w:val="1"/>
                <w:color w:val="auto"/>
              </w:rPr>
              <w:t>Year-over-Year Change</w:t>
            </w:r>
          </w:p>
        </w:tc>
        <w:tc>
          <w:tcPr>
            <w:tcW w:w="0" w:type="dxa"/>
            <w:vAlign w:val="bottom"/>
          </w:tcPr>
          <w:p>
            <w:pPr>
              <w:spacing w:after="0"/>
              <w:rPr>
                <w:sz w:val="1"/>
                <w:szCs w:val="1"/>
                <w:color w:val="auto"/>
              </w:rPr>
            </w:pPr>
          </w:p>
        </w:tc>
      </w:tr>
      <w:tr>
        <w:trPr>
          <w:trHeight w:val="192"/>
        </w:trPr>
        <w:tc>
          <w:tcPr>
            <w:tcW w:w="4160" w:type="dxa"/>
            <w:vAlign w:val="bottom"/>
          </w:tcPr>
          <w:p>
            <w:pPr>
              <w:spacing w:after="0"/>
              <w:rPr>
                <w:sz w:val="16"/>
                <w:szCs w:val="16"/>
                <w:color w:val="auto"/>
              </w:rPr>
            </w:pPr>
          </w:p>
        </w:tc>
        <w:tc>
          <w:tcPr>
            <w:tcW w:w="2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March 31,</w:t>
            </w:r>
          </w:p>
        </w:tc>
        <w:tc>
          <w:tcPr>
            <w:tcW w:w="7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920" w:type="dxa"/>
            <w:vAlign w:val="bottom"/>
            <w:tcBorders>
              <w:bottom w:val="single" w:sz="8" w:color="auto"/>
            </w:tcBorders>
            <w:gridSpan w:val="3"/>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4160" w:type="dxa"/>
            <w:vAlign w:val="bottom"/>
          </w:tcPr>
          <w:p>
            <w:pPr>
              <w:spacing w:after="0"/>
              <w:rPr>
                <w:sz w:val="13"/>
                <w:szCs w:val="13"/>
                <w:color w:val="auto"/>
              </w:rPr>
            </w:pPr>
          </w:p>
        </w:tc>
        <w:tc>
          <w:tcPr>
            <w:tcW w:w="28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tcPr>
          <w:p>
            <w:pPr>
              <w:jc w:val="center"/>
              <w:ind w:right="56"/>
              <w:spacing w:after="0" w:line="153" w:lineRule="exact"/>
              <w:rPr>
                <w:sz w:val="20"/>
                <w:szCs w:val="20"/>
                <w:color w:val="auto"/>
              </w:rPr>
            </w:pPr>
            <w:r>
              <w:rPr>
                <w:rFonts w:ascii="Arial" w:cs="Arial" w:eastAsia="Arial" w:hAnsi="Arial"/>
                <w:sz w:val="14"/>
                <w:szCs w:val="14"/>
                <w:b w:val="1"/>
                <w:bCs w:val="1"/>
                <w:color w:val="auto"/>
                <w:w w:val="91"/>
              </w:rPr>
              <w:t>Increase</w:t>
            </w:r>
          </w:p>
        </w:tc>
        <w:tc>
          <w:tcPr>
            <w:tcW w:w="100" w:type="dxa"/>
            <w:vAlign w:val="bottom"/>
          </w:tcPr>
          <w:p>
            <w:pPr>
              <w:spacing w:after="0"/>
              <w:rPr>
                <w:sz w:val="13"/>
                <w:szCs w:val="13"/>
                <w:color w:val="auto"/>
              </w:rPr>
            </w:pPr>
          </w:p>
        </w:tc>
        <w:tc>
          <w:tcPr>
            <w:tcW w:w="1040" w:type="dxa"/>
            <w:vAlign w:val="bottom"/>
          </w:tcPr>
          <w:p>
            <w:pPr>
              <w:jc w:val="center"/>
              <w:spacing w:after="0" w:line="153" w:lineRule="exact"/>
              <w:rPr>
                <w:sz w:val="20"/>
                <w:szCs w:val="20"/>
                <w:color w:val="auto"/>
              </w:rPr>
            </w:pPr>
            <w:r>
              <w:rPr>
                <w:rFonts w:ascii="Arial" w:cs="Arial" w:eastAsia="Arial" w:hAnsi="Arial"/>
                <w:sz w:val="14"/>
                <w:szCs w:val="14"/>
                <w:b w:val="1"/>
                <w:bCs w:val="1"/>
                <w:color w:val="auto"/>
                <w:w w:val="91"/>
              </w:rPr>
              <w:t>Increase</w:t>
            </w:r>
          </w:p>
        </w:tc>
        <w:tc>
          <w:tcPr>
            <w:tcW w:w="0" w:type="dxa"/>
            <w:vAlign w:val="bottom"/>
          </w:tcPr>
          <w:p>
            <w:pPr>
              <w:spacing w:after="0"/>
              <w:rPr>
                <w:sz w:val="1"/>
                <w:szCs w:val="1"/>
                <w:color w:val="auto"/>
              </w:rPr>
            </w:pPr>
          </w:p>
        </w:tc>
      </w:tr>
      <w:tr>
        <w:trPr>
          <w:trHeight w:val="149"/>
        </w:trPr>
        <w:tc>
          <w:tcPr>
            <w:tcW w:w="4160" w:type="dxa"/>
            <w:vAlign w:val="bottom"/>
          </w:tcPr>
          <w:p>
            <w:pPr>
              <w:spacing w:after="0"/>
              <w:rPr>
                <w:sz w:val="12"/>
                <w:szCs w:val="12"/>
                <w:color w:val="auto"/>
              </w:rPr>
            </w:pPr>
          </w:p>
        </w:tc>
        <w:tc>
          <w:tcPr>
            <w:tcW w:w="2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vMerge w:val="restart"/>
          </w:tcPr>
          <w:p>
            <w:pPr>
              <w:jc w:val="right"/>
              <w:ind w:right="275"/>
              <w:spacing w:after="0"/>
              <w:rPr>
                <w:sz w:val="20"/>
                <w:szCs w:val="20"/>
                <w:color w:val="auto"/>
              </w:rPr>
            </w:pPr>
            <w:r>
              <w:rPr>
                <w:rFonts w:ascii="Arial" w:cs="Arial" w:eastAsia="Arial" w:hAnsi="Arial"/>
                <w:sz w:val="14"/>
                <w:szCs w:val="14"/>
                <w:b w:val="1"/>
                <w:bCs w:val="1"/>
                <w:color w:val="auto"/>
              </w:rPr>
              <w:t>2014</w:t>
            </w:r>
          </w:p>
        </w:tc>
        <w:tc>
          <w:tcPr>
            <w:tcW w:w="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20" w:type="dxa"/>
            <w:vAlign w:val="bottom"/>
            <w:vMerge w:val="restart"/>
          </w:tcPr>
          <w:p>
            <w:pPr>
              <w:jc w:val="right"/>
              <w:ind w:right="292"/>
              <w:spacing w:after="0"/>
              <w:rPr>
                <w:sz w:val="20"/>
                <w:szCs w:val="20"/>
                <w:color w:val="auto"/>
              </w:rPr>
            </w:pPr>
            <w:r>
              <w:rPr>
                <w:rFonts w:ascii="Arial" w:cs="Arial" w:eastAsia="Arial" w:hAnsi="Arial"/>
                <w:sz w:val="14"/>
                <w:szCs w:val="14"/>
                <w:b w:val="1"/>
                <w:bCs w:val="1"/>
                <w:color w:val="auto"/>
              </w:rPr>
              <w:t>2013</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jc w:val="center"/>
              <w:ind w:right="56"/>
              <w:spacing w:after="0" w:line="149" w:lineRule="exact"/>
              <w:rPr>
                <w:sz w:val="20"/>
                <w:szCs w:val="20"/>
                <w:color w:val="auto"/>
              </w:rPr>
            </w:pPr>
            <w:r>
              <w:rPr>
                <w:rFonts w:ascii="Arial" w:cs="Arial" w:eastAsia="Arial" w:hAnsi="Arial"/>
                <w:sz w:val="14"/>
                <w:szCs w:val="14"/>
                <w:b w:val="1"/>
                <w:bCs w:val="1"/>
                <w:color w:val="auto"/>
                <w:w w:val="89"/>
              </w:rPr>
              <w:t>(Decrease)</w:t>
            </w:r>
          </w:p>
        </w:tc>
        <w:tc>
          <w:tcPr>
            <w:tcW w:w="100" w:type="dxa"/>
            <w:vAlign w:val="bottom"/>
          </w:tcPr>
          <w:p>
            <w:pPr>
              <w:spacing w:after="0"/>
              <w:rPr>
                <w:sz w:val="12"/>
                <w:szCs w:val="12"/>
                <w:color w:val="auto"/>
              </w:rPr>
            </w:pPr>
          </w:p>
        </w:tc>
        <w:tc>
          <w:tcPr>
            <w:tcW w:w="10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(Decrease)</w:t>
            </w:r>
          </w:p>
        </w:tc>
        <w:tc>
          <w:tcPr>
            <w:tcW w:w="0" w:type="dxa"/>
            <w:vAlign w:val="bottom"/>
          </w:tcPr>
          <w:p>
            <w:pPr>
              <w:spacing w:after="0"/>
              <w:rPr>
                <w:sz w:val="1"/>
                <w:szCs w:val="1"/>
                <w:color w:val="auto"/>
              </w:rPr>
            </w:pPr>
          </w:p>
        </w:tc>
      </w:tr>
      <w:tr>
        <w:trPr>
          <w:trHeight w:val="192"/>
        </w:trPr>
        <w:tc>
          <w:tcPr>
            <w:tcW w:w="416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(dollar amounts in thousands)</w:t>
            </w:r>
          </w:p>
        </w:tc>
        <w:tc>
          <w:tcPr>
            <w:tcW w:w="284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center"/>
              <w:ind w:right="56"/>
              <w:spacing w:after="0"/>
              <w:rPr>
                <w:sz w:val="20"/>
                <w:szCs w:val="20"/>
                <w:color w:val="auto"/>
              </w:rPr>
            </w:pPr>
            <w:r>
              <w:rPr>
                <w:rFonts w:ascii="Arial" w:cs="Arial" w:eastAsia="Arial" w:hAnsi="Arial"/>
                <w:sz w:val="14"/>
                <w:szCs w:val="14"/>
                <w:b w:val="1"/>
                <w:bCs w:val="1"/>
                <w:color w:val="auto"/>
                <w:w w:val="98"/>
              </w:rPr>
              <w:t>Amount</w:t>
            </w:r>
          </w:p>
        </w:tc>
        <w:tc>
          <w:tcPr>
            <w:tcW w:w="100" w:type="dxa"/>
            <w:vAlign w:val="bottom"/>
            <w:tcBorders>
              <w:bottom w:val="single" w:sz="8" w:color="CCEEFF"/>
            </w:tcBorders>
          </w:tcPr>
          <w:p>
            <w:pPr>
              <w:spacing w:after="0"/>
              <w:rPr>
                <w:sz w:val="16"/>
                <w:szCs w:val="16"/>
                <w:color w:val="auto"/>
              </w:rPr>
            </w:pPr>
          </w:p>
        </w:tc>
        <w:tc>
          <w:tcPr>
            <w:tcW w:w="10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Percent</w:t>
            </w:r>
          </w:p>
        </w:tc>
        <w:tc>
          <w:tcPr>
            <w:tcW w:w="0" w:type="dxa"/>
            <w:vAlign w:val="bottom"/>
          </w:tcPr>
          <w:p>
            <w:pPr>
              <w:spacing w:after="0"/>
              <w:rPr>
                <w:sz w:val="1"/>
                <w:szCs w:val="1"/>
                <w:color w:val="auto"/>
              </w:rPr>
            </w:pPr>
          </w:p>
        </w:tc>
      </w:tr>
      <w:tr>
        <w:trPr>
          <w:trHeight w:val="270"/>
        </w:trPr>
        <w:tc>
          <w:tcPr>
            <w:tcW w:w="4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revenues</w:t>
            </w:r>
          </w:p>
        </w:tc>
        <w:tc>
          <w:tcPr>
            <w:tcW w:w="3160" w:type="dxa"/>
            <w:vAlign w:val="bottom"/>
            <w:tcBorders>
              <w:bottom w:val="single" w:sz="8" w:color="CCEEFF"/>
            </w:tcBorders>
            <w:gridSpan w:val="3"/>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185,064</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w w:val="92"/>
              </w:rPr>
              <w:t>189,575</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(4,511)</w:t>
            </w:r>
          </w:p>
        </w:tc>
        <w:tc>
          <w:tcPr>
            <w:tcW w:w="11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37"/>
        </w:trPr>
        <w:tc>
          <w:tcPr>
            <w:tcW w:w="4160" w:type="dxa"/>
            <w:vAlign w:val="bottom"/>
          </w:tcPr>
          <w:p>
            <w:pPr>
              <w:ind w:left="40"/>
              <w:spacing w:after="0"/>
              <w:rPr>
                <w:sz w:val="20"/>
                <w:szCs w:val="20"/>
                <w:color w:val="auto"/>
              </w:rPr>
            </w:pPr>
            <w:r>
              <w:rPr>
                <w:rFonts w:ascii="Arial" w:cs="Arial" w:eastAsia="Arial" w:hAnsi="Arial"/>
                <w:sz w:val="18"/>
                <w:szCs w:val="18"/>
                <w:color w:val="auto"/>
              </w:rPr>
              <w:t>Operating expenses:</w:t>
            </w:r>
          </w:p>
        </w:tc>
        <w:tc>
          <w:tcPr>
            <w:tcW w:w="2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7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160" w:type="dxa"/>
            <w:vAlign w:val="bottom"/>
          </w:tcPr>
          <w:p>
            <w:pPr>
              <w:spacing w:after="0"/>
              <w:rPr>
                <w:sz w:val="2"/>
                <w:szCs w:val="2"/>
                <w:color w:val="auto"/>
              </w:rPr>
            </w:pPr>
          </w:p>
        </w:tc>
        <w:tc>
          <w:tcPr>
            <w:tcW w:w="2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Direct operating costs</w:t>
            </w:r>
          </w:p>
        </w:tc>
        <w:tc>
          <w:tcPr>
            <w:tcW w:w="28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143,341</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w w:val="92"/>
              </w:rPr>
              <w:t>146,657</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(3,316)</w:t>
            </w:r>
          </w:p>
        </w:tc>
        <w:tc>
          <w:tcPr>
            <w:tcW w:w="11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43"/>
        </w:trPr>
        <w:tc>
          <w:tcPr>
            <w:tcW w:w="4160" w:type="dxa"/>
            <w:vAlign w:val="bottom"/>
          </w:tcPr>
          <w:p>
            <w:pPr>
              <w:ind w:left="180"/>
              <w:spacing w:after="0"/>
              <w:rPr>
                <w:sz w:val="20"/>
                <w:szCs w:val="20"/>
                <w:color w:val="auto"/>
              </w:rPr>
            </w:pPr>
            <w:r>
              <w:rPr>
                <w:rFonts w:ascii="Arial" w:cs="Arial" w:eastAsia="Arial" w:hAnsi="Arial"/>
                <w:sz w:val="18"/>
                <w:szCs w:val="18"/>
                <w:color w:val="auto"/>
              </w:rPr>
              <w:t>Salaries and benefits</w:t>
            </w:r>
          </w:p>
        </w:tc>
        <w:tc>
          <w:tcPr>
            <w:tcW w:w="28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ind w:right="15"/>
              <w:spacing w:after="0"/>
              <w:rPr>
                <w:sz w:val="20"/>
                <w:szCs w:val="20"/>
                <w:color w:val="auto"/>
              </w:rPr>
            </w:pPr>
            <w:r>
              <w:rPr>
                <w:rFonts w:ascii="Arial" w:cs="Arial" w:eastAsia="Arial" w:hAnsi="Arial"/>
                <w:sz w:val="18"/>
                <w:szCs w:val="18"/>
                <w:color w:val="auto"/>
              </w:rPr>
              <w:t>13,594</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720" w:type="dxa"/>
            <w:vAlign w:val="bottom"/>
          </w:tcPr>
          <w:p>
            <w:pPr>
              <w:jc w:val="right"/>
              <w:ind w:right="12"/>
              <w:spacing w:after="0"/>
              <w:rPr>
                <w:sz w:val="20"/>
                <w:szCs w:val="20"/>
                <w:color w:val="auto"/>
              </w:rPr>
            </w:pPr>
            <w:r>
              <w:rPr>
                <w:rFonts w:ascii="Arial" w:cs="Arial" w:eastAsia="Arial" w:hAnsi="Arial"/>
                <w:sz w:val="18"/>
                <w:szCs w:val="18"/>
                <w:color w:val="auto"/>
              </w:rPr>
              <w:t>14,095</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(501)</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7"/>
        </w:trPr>
        <w:tc>
          <w:tcPr>
            <w:tcW w:w="4160" w:type="dxa"/>
            <w:vAlign w:val="bottom"/>
          </w:tcPr>
          <w:p>
            <w:pPr>
              <w:spacing w:after="0"/>
              <w:rPr>
                <w:sz w:val="2"/>
                <w:szCs w:val="2"/>
                <w:color w:val="auto"/>
              </w:rPr>
            </w:pPr>
          </w:p>
        </w:tc>
        <w:tc>
          <w:tcPr>
            <w:tcW w:w="2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Selling, general and administrative</w:t>
            </w:r>
          </w:p>
        </w:tc>
        <w:tc>
          <w:tcPr>
            <w:tcW w:w="28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9,087</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9,667</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(580)</w:t>
            </w:r>
          </w:p>
        </w:tc>
        <w:tc>
          <w:tcPr>
            <w:tcW w:w="11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43"/>
        </w:trPr>
        <w:tc>
          <w:tcPr>
            <w:tcW w:w="4160" w:type="dxa"/>
            <w:vAlign w:val="bottom"/>
          </w:tcPr>
          <w:p>
            <w:pPr>
              <w:ind w:left="180"/>
              <w:spacing w:after="0"/>
              <w:rPr>
                <w:sz w:val="20"/>
                <w:szCs w:val="20"/>
                <w:color w:val="auto"/>
              </w:rPr>
            </w:pPr>
            <w:r>
              <w:rPr>
                <w:rFonts w:ascii="Arial" w:cs="Arial" w:eastAsia="Arial" w:hAnsi="Arial"/>
                <w:sz w:val="18"/>
                <w:szCs w:val="18"/>
                <w:color w:val="auto"/>
              </w:rPr>
              <w:t>Depreciation and amortization</w:t>
            </w:r>
          </w:p>
        </w:tc>
        <w:tc>
          <w:tcPr>
            <w:tcW w:w="28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ind w:right="15"/>
              <w:spacing w:after="0"/>
              <w:rPr>
                <w:sz w:val="20"/>
                <w:szCs w:val="20"/>
                <w:color w:val="auto"/>
              </w:rPr>
            </w:pPr>
            <w:r>
              <w:rPr>
                <w:rFonts w:ascii="Arial" w:cs="Arial" w:eastAsia="Arial" w:hAnsi="Arial"/>
                <w:sz w:val="18"/>
                <w:szCs w:val="18"/>
                <w:color w:val="auto"/>
              </w:rPr>
              <w:t>4,146</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720" w:type="dxa"/>
            <w:vAlign w:val="bottom"/>
          </w:tcPr>
          <w:p>
            <w:pPr>
              <w:jc w:val="right"/>
              <w:ind w:right="12"/>
              <w:spacing w:after="0"/>
              <w:rPr>
                <w:sz w:val="20"/>
                <w:szCs w:val="20"/>
                <w:color w:val="auto"/>
              </w:rPr>
            </w:pPr>
            <w:r>
              <w:rPr>
                <w:rFonts w:ascii="Arial" w:cs="Arial" w:eastAsia="Arial" w:hAnsi="Arial"/>
                <w:sz w:val="18"/>
                <w:szCs w:val="18"/>
                <w:color w:val="auto"/>
              </w:rPr>
              <w:t>4,503</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(357)</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7"/>
        </w:trPr>
        <w:tc>
          <w:tcPr>
            <w:tcW w:w="4160" w:type="dxa"/>
            <w:vAlign w:val="bottom"/>
            <w:tcBorders>
              <w:bottom w:val="single" w:sz="8" w:color="CCEEFF"/>
            </w:tcBorders>
          </w:tcPr>
          <w:p>
            <w:pPr>
              <w:spacing w:after="0"/>
              <w:rPr>
                <w:sz w:val="2"/>
                <w:szCs w:val="2"/>
                <w:color w:val="auto"/>
              </w:rPr>
            </w:pPr>
          </w:p>
        </w:tc>
        <w:tc>
          <w:tcPr>
            <w:tcW w:w="28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41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operating expenses</w:t>
            </w:r>
          </w:p>
        </w:tc>
        <w:tc>
          <w:tcPr>
            <w:tcW w:w="28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170,168</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w w:val="92"/>
              </w:rPr>
              <w:t>174,922</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(4,754)</w:t>
            </w:r>
          </w:p>
        </w:tc>
        <w:tc>
          <w:tcPr>
            <w:tcW w:w="11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97"/>
        </w:trPr>
        <w:tc>
          <w:tcPr>
            <w:tcW w:w="4160" w:type="dxa"/>
            <w:vAlign w:val="bottom"/>
            <w:tcBorders>
              <w:bottom w:val="single" w:sz="8" w:color="CCEEFF"/>
            </w:tcBorders>
          </w:tcPr>
          <w:p>
            <w:pPr>
              <w:ind w:left="600"/>
              <w:spacing w:after="0"/>
              <w:rPr>
                <w:sz w:val="20"/>
                <w:szCs w:val="20"/>
                <w:color w:val="auto"/>
              </w:rPr>
            </w:pPr>
            <w:r>
              <w:rPr>
                <w:rFonts w:ascii="Arial" w:cs="Arial" w:eastAsia="Arial" w:hAnsi="Arial"/>
                <w:sz w:val="18"/>
                <w:szCs w:val="18"/>
                <w:color w:val="auto"/>
              </w:rPr>
              <w:t>Operating income</w:t>
            </w:r>
          </w:p>
        </w:tc>
        <w:tc>
          <w:tcPr>
            <w:tcW w:w="2940" w:type="dxa"/>
            <w:vAlign w:val="bottom"/>
            <w:tcBorders>
              <w:bottom w:val="single" w:sz="8" w:color="CCEEFF"/>
            </w:tcBorders>
            <w:gridSpan w:val="2"/>
          </w:tcPr>
          <w:p>
            <w:pPr>
              <w:spacing w:after="0"/>
              <w:rPr>
                <w:sz w:val="24"/>
                <w:szCs w:val="24"/>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bottom w:val="single" w:sz="8" w:color="auto"/>
            </w:tcBorders>
          </w:tcPr>
          <w:p>
            <w:pPr>
              <w:jc w:val="right"/>
              <w:ind w:right="15"/>
              <w:spacing w:after="0"/>
              <w:rPr>
                <w:sz w:val="20"/>
                <w:szCs w:val="20"/>
                <w:color w:val="auto"/>
              </w:rPr>
            </w:pPr>
            <w:r>
              <w:rPr>
                <w:rFonts w:ascii="Arial" w:cs="Arial" w:eastAsia="Arial" w:hAnsi="Arial"/>
                <w:sz w:val="18"/>
                <w:szCs w:val="18"/>
                <w:color w:val="auto"/>
              </w:rPr>
              <w:t>14,896</w:t>
            </w:r>
          </w:p>
        </w:tc>
        <w:tc>
          <w:tcPr>
            <w:tcW w:w="120" w:type="dxa"/>
            <w:vAlign w:val="bottom"/>
            <w:tcBorders>
              <w:bottom w:val="single" w:sz="8" w:color="CCEEFF"/>
            </w:tcBorders>
          </w:tcPr>
          <w:p>
            <w:pPr>
              <w:spacing w:after="0"/>
              <w:rPr>
                <w:sz w:val="24"/>
                <w:szCs w:val="24"/>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14,653</w:t>
            </w:r>
          </w:p>
        </w:tc>
        <w:tc>
          <w:tcPr>
            <w:tcW w:w="100" w:type="dxa"/>
            <w:vAlign w:val="bottom"/>
            <w:tcBorders>
              <w:bottom w:val="single" w:sz="8" w:color="CCEEFF"/>
            </w:tcBorders>
          </w:tcPr>
          <w:p>
            <w:pPr>
              <w:spacing w:after="0"/>
              <w:rPr>
                <w:sz w:val="24"/>
                <w:szCs w:val="2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bottom w:val="single" w:sz="8" w:color="auto"/>
            </w:tcBorders>
          </w:tcPr>
          <w:p>
            <w:pPr>
              <w:jc w:val="right"/>
              <w:ind w:right="36"/>
              <w:spacing w:after="0"/>
              <w:rPr>
                <w:sz w:val="20"/>
                <w:szCs w:val="20"/>
                <w:color w:val="auto"/>
              </w:rPr>
            </w:pPr>
            <w:r>
              <w:rPr>
                <w:rFonts w:ascii="Arial" w:cs="Arial" w:eastAsia="Arial" w:hAnsi="Arial"/>
                <w:sz w:val="18"/>
                <w:szCs w:val="18"/>
                <w:color w:val="auto"/>
              </w:rPr>
              <w:t>243</w:t>
            </w:r>
          </w:p>
        </w:tc>
        <w:tc>
          <w:tcPr>
            <w:tcW w:w="114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2 %</w:t>
            </w:r>
          </w:p>
        </w:tc>
        <w:tc>
          <w:tcPr>
            <w:tcW w:w="0" w:type="dxa"/>
            <w:vAlign w:val="bottom"/>
          </w:tcPr>
          <w:p>
            <w:pPr>
              <w:spacing w:after="0"/>
              <w:rPr>
                <w:sz w:val="1"/>
                <w:szCs w:val="1"/>
                <w:color w:val="auto"/>
              </w:rPr>
            </w:pPr>
          </w:p>
        </w:tc>
      </w:tr>
      <w:tr>
        <w:trPr>
          <w:trHeight w:val="237"/>
        </w:trPr>
        <w:tc>
          <w:tcPr>
            <w:tcW w:w="41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Transactions processed (millions)</w:t>
            </w:r>
          </w:p>
        </w:tc>
        <w:tc>
          <w:tcPr>
            <w:tcW w:w="28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280</w:t>
            </w: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278</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2</w:t>
            </w:r>
          </w:p>
        </w:tc>
        <w:tc>
          <w:tcPr>
            <w:tcW w:w="11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1 %</w:t>
            </w:r>
          </w:p>
        </w:tc>
        <w:tc>
          <w:tcPr>
            <w:tcW w:w="0" w:type="dxa"/>
            <w:vAlign w:val="bottom"/>
          </w:tcPr>
          <w:p>
            <w:pPr>
              <w:spacing w:after="0"/>
              <w:rPr>
                <w:sz w:val="1"/>
                <w:szCs w:val="1"/>
                <w:color w:val="auto"/>
              </w:rPr>
            </w:pPr>
          </w:p>
        </w:tc>
      </w:tr>
      <w:tr>
        <w:trPr>
          <w:trHeight w:val="459"/>
        </w:trPr>
        <w:tc>
          <w:tcPr>
            <w:tcW w:w="4160" w:type="dxa"/>
            <w:vAlign w:val="bottom"/>
          </w:tcPr>
          <w:p>
            <w:pPr>
              <w:spacing w:after="0"/>
              <w:rPr>
                <w:sz w:val="24"/>
                <w:szCs w:val="24"/>
                <w:color w:val="auto"/>
              </w:rPr>
            </w:pPr>
          </w:p>
        </w:tc>
        <w:tc>
          <w:tcPr>
            <w:tcW w:w="2840" w:type="dxa"/>
            <w:vAlign w:val="bottom"/>
          </w:tcPr>
          <w:p>
            <w:pPr>
              <w:jc w:val="right"/>
              <w:ind w:right="1110"/>
              <w:spacing w:after="0"/>
              <w:rPr>
                <w:sz w:val="20"/>
                <w:szCs w:val="20"/>
                <w:color w:val="auto"/>
              </w:rPr>
            </w:pPr>
            <w:r>
              <w:rPr>
                <w:rFonts w:ascii="Arial" w:cs="Arial" w:eastAsia="Arial" w:hAnsi="Arial"/>
                <w:sz w:val="18"/>
                <w:szCs w:val="18"/>
                <w:color w:val="auto"/>
              </w:rPr>
              <w:t>22</w:t>
            </w: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22" w:name="page23"/>
    <w:bookmarkEnd w:id="22"/>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Revenues</w:t>
      </w:r>
    </w:p>
    <w:p>
      <w:pPr>
        <w:spacing w:after="0" w:line="117"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Revenues decreased slightly for the first quarter of 2014 compared to the same period of 2013, primarily due to a decrease in the number of prepaid mobile transactions processed in Australia and Brazil and a decrease in the number of physical gift fulfillments at our cadooz subsidiary. These decreases were partially offset by increases in the number of non-mobile transactions processed in Germany and the U.K. The decrease in revenues for Australia was the result of increased competitive pressures and certain mobile operators modifying their distribution strategies to drive consumer demand for top-up services to on-line or mobile device channels. The decrease in revenues in Brazil was due to changes in certain mobile operators' distribution strategies, which limited our ability to distribute certain products within certain markets in Brazil. The decrease in physical gift fulfillments at our cadooz subsidiary was the result of fewer customer orders during the period.</w:t>
      </w:r>
    </w:p>
    <w:p>
      <w:pPr>
        <w:spacing w:after="0" w:line="81"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We currently expect most of our future revenue growth to be derived from, (i) additional electronic payment products sold over the base of POS terminals, (ii) valued added services, (iii) developing markets or markets in which there is organic growth in the electronic top-up sector overall, and (iv) acquisitions, if available and commercially appropriate.</w:t>
      </w:r>
    </w:p>
    <w:p>
      <w:pPr>
        <w:spacing w:after="0" w:line="73" w:lineRule="exact"/>
        <w:rPr>
          <w:sz w:val="20"/>
          <w:szCs w:val="20"/>
          <w:color w:val="auto"/>
        </w:rPr>
      </w:pPr>
    </w:p>
    <w:p>
      <w:pPr>
        <w:jc w:val="both"/>
        <w:ind w:right="260"/>
        <w:spacing w:after="0" w:line="279" w:lineRule="auto"/>
        <w:rPr>
          <w:sz w:val="20"/>
          <w:szCs w:val="20"/>
          <w:color w:val="auto"/>
        </w:rPr>
      </w:pPr>
      <w:r>
        <w:rPr>
          <w:rFonts w:ascii="Arial" w:cs="Arial" w:eastAsia="Arial" w:hAnsi="Arial"/>
          <w:sz w:val="17"/>
          <w:szCs w:val="17"/>
          <w:color w:val="auto"/>
        </w:rPr>
        <w:t>Revenues per transaction decreased to $0.66 for the first quarter of 2014 from $0.68 for the same period of 2013, primarily due to growth in the number of transactions processed in India, where revenues per transaction are considerably lower than average, and a decrease in the average commission earned per transaction in Australia and Brazil. The decrease in revenues per transaction was partially offset by the increase in the number of non-mobile transactions processed in Germany and the U.K., for which we generally earn higher revenues per transaction than mobile.</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Direct operating costs</w:t>
      </w:r>
    </w:p>
    <w:p>
      <w:pPr>
        <w:spacing w:after="0" w:line="117" w:lineRule="exact"/>
        <w:rPr>
          <w:sz w:val="20"/>
          <w:szCs w:val="20"/>
          <w:color w:val="auto"/>
        </w:rPr>
      </w:pPr>
    </w:p>
    <w:p>
      <w:pPr>
        <w:ind w:right="60"/>
        <w:spacing w:after="0" w:line="279" w:lineRule="auto"/>
        <w:rPr>
          <w:sz w:val="20"/>
          <w:szCs w:val="20"/>
          <w:color w:val="auto"/>
        </w:rPr>
      </w:pPr>
      <w:r>
        <w:rPr>
          <w:rFonts w:ascii="Arial" w:cs="Arial" w:eastAsia="Arial" w:hAnsi="Arial"/>
          <w:sz w:val="17"/>
          <w:szCs w:val="17"/>
          <w:color w:val="auto"/>
        </w:rPr>
        <w:t>Direct operating costs in our epay Segment include the commissions we pay to retail merchants for the distribution and sale of prepaid mobile airtime and other prepaid products, expenses required to operate POS terminals and the cost of vouchers sold and physical gifts fulfilled. The decrease in direct operating costs for the first quarter of 2014 compared to the same period of 2013 was the result of a decrease in transactions processed in Australia and Brazil and a decrease in physical gift fulfillments, partly offset by the growth in transactions processed in Germany and U.K.</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Gross profit</w:t>
      </w:r>
    </w:p>
    <w:p>
      <w:pPr>
        <w:spacing w:after="0" w:line="117" w:lineRule="exact"/>
        <w:rPr>
          <w:sz w:val="20"/>
          <w:szCs w:val="20"/>
          <w:color w:val="auto"/>
        </w:rPr>
      </w:pPr>
    </w:p>
    <w:p>
      <w:pPr>
        <w:jc w:val="both"/>
        <w:ind w:right="80"/>
        <w:spacing w:after="0" w:line="342" w:lineRule="auto"/>
        <w:rPr>
          <w:sz w:val="20"/>
          <w:szCs w:val="20"/>
          <w:color w:val="auto"/>
        </w:rPr>
      </w:pPr>
      <w:r>
        <w:rPr>
          <w:rFonts w:ascii="Arial" w:cs="Arial" w:eastAsia="Arial" w:hAnsi="Arial"/>
          <w:sz w:val="16"/>
          <w:szCs w:val="16"/>
          <w:color w:val="auto"/>
        </w:rPr>
        <w:t>Gross profit was $41.8 million for the first quarter of 2014 compared to $42.9 million for the same period of 2013. Gross margin decreased slightly to 22.5% for the first quarter of 2014 from 22.6% for the same period of 2013. The decrease in gross profit was the result of the decrease in revenues discussed above.</w:t>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Salaries and benefits</w:t>
      </w:r>
    </w:p>
    <w:p>
      <w:pPr>
        <w:spacing w:after="0" w:line="117" w:lineRule="exact"/>
        <w:rPr>
          <w:sz w:val="20"/>
          <w:szCs w:val="20"/>
          <w:color w:val="auto"/>
        </w:rPr>
      </w:pPr>
    </w:p>
    <w:p>
      <w:pPr>
        <w:ind w:right="340"/>
        <w:spacing w:after="0" w:line="286" w:lineRule="auto"/>
        <w:rPr>
          <w:sz w:val="20"/>
          <w:szCs w:val="20"/>
          <w:color w:val="auto"/>
        </w:rPr>
      </w:pPr>
      <w:r>
        <w:rPr>
          <w:rFonts w:ascii="Arial" w:cs="Arial" w:eastAsia="Arial" w:hAnsi="Arial"/>
          <w:sz w:val="17"/>
          <w:szCs w:val="17"/>
          <w:color w:val="auto"/>
        </w:rPr>
        <w:t>The decrease in salaries and benefits for the first quarter of 2014 compared to the same period of 2013 was primarily due to lower headcount in certain markets and a decrease in bonus expense as a result of the decrease in revenues discussed above. As a result, these expenses, as a percentage of revenues, decreased slightly to 7.3% for the first quarter of 2014 from 7.4% for the same period of 2013.</w:t>
      </w:r>
    </w:p>
    <w:p>
      <w:pPr>
        <w:spacing w:after="0" w:line="5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Selling, general and administrative</w:t>
      </w:r>
    </w:p>
    <w:p>
      <w:pPr>
        <w:spacing w:after="0" w:line="117"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The decrease in selling, general and administrative expenses for the first quarter of 2014 compared to the same period of 2013 was primarily due to a decrease in bad debt expense and risk management costs. As a result, these expenses, as a percentage of revenues, decreased slightly to 4.9% for the first quarter of 2014 from 5.1% for the same period of 2013.</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Depreciation and amortization</w:t>
      </w:r>
    </w:p>
    <w:p>
      <w:pPr>
        <w:spacing w:after="0" w:line="117"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Depreciation and amortization expense primarily represents depreciation of POS terminals we install in retail stores and the amortization of acquired intangible assets. Depreciation and amortization expense decreased for the first quarter of 2014 compared to the same period of 2013, primarily due to certain acquired intangible assets becoming fully amortized during the first quarter of 2013. As a result, these expenses, as a percentage of revenues, decreased slightly to 2.2% for the first quarter of 2014 from 2.4% for the same period of 2013.</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income</w:t>
      </w:r>
    </w:p>
    <w:p>
      <w:pPr>
        <w:spacing w:after="0" w:line="117"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Operating income increased slightly to $14.9 million for the first quarter of 2014 from $14.7 million for the same period of 2013, primarily due to the decreases in salaries and benefits, bad debt expense, risk management costs and amortization expense exceeding the decline in gross profit discussed above. As a result, operating margin increased slightly to 8.0% for the first quarter of 2014 from 7.7% for the same period of 2013. Operating income per transaction was unchanged at $0.05 for both the first quarter of 2014 and 2013.</w:t>
      </w:r>
    </w:p>
    <w:p>
      <w:pPr>
        <w:spacing w:after="0" w:line="200" w:lineRule="exact"/>
        <w:rPr>
          <w:sz w:val="20"/>
          <w:szCs w:val="20"/>
          <w:color w:val="auto"/>
        </w:rPr>
      </w:pPr>
    </w:p>
    <w:p>
      <w:pPr>
        <w:spacing w:after="0" w:line="33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00"/>
          </w:cols>
          <w:pgMar w:left="240" w:top="125" w:right="259" w:bottom="1440" w:gutter="0" w:footer="0" w:header="0"/>
        </w:sectPr>
      </w:pPr>
    </w:p>
    <w:bookmarkStart w:id="23" w:name="page24"/>
    <w:bookmarkEnd w:id="23"/>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3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MONEY TRANSFER SEGMENT</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the results of operations for the three months ended March 31, 2014 and 2013 for the Money Transfer Segment:</w:t>
      </w:r>
    </w:p>
    <w:p>
      <w:pPr>
        <w:spacing w:after="0" w:line="36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900" w:type="dxa"/>
            <w:vAlign w:val="bottom"/>
            <w:gridSpan w:val="5"/>
          </w:tcPr>
          <w:p>
            <w:pPr>
              <w:ind w:left="140"/>
              <w:spacing w:after="0"/>
              <w:rPr>
                <w:sz w:val="20"/>
                <w:szCs w:val="20"/>
                <w:color w:val="auto"/>
              </w:rPr>
            </w:pPr>
            <w:r>
              <w:rPr>
                <w:rFonts w:ascii="Arial" w:cs="Arial" w:eastAsia="Arial" w:hAnsi="Arial"/>
                <w:sz w:val="14"/>
                <w:szCs w:val="14"/>
                <w:b w:val="1"/>
                <w:bCs w:val="1"/>
                <w:color w:val="auto"/>
              </w:rPr>
              <w:t>Three Months Ended</w:t>
            </w:r>
          </w:p>
        </w:tc>
        <w:tc>
          <w:tcPr>
            <w:tcW w:w="240" w:type="dxa"/>
            <w:vAlign w:val="bottom"/>
          </w:tcPr>
          <w:p>
            <w:pPr>
              <w:spacing w:after="0"/>
              <w:rPr>
                <w:sz w:val="14"/>
                <w:szCs w:val="14"/>
                <w:color w:val="auto"/>
              </w:rPr>
            </w:pPr>
          </w:p>
        </w:tc>
        <w:tc>
          <w:tcPr>
            <w:tcW w:w="2360" w:type="dxa"/>
            <w:vAlign w:val="bottom"/>
            <w:gridSpan w:val="3"/>
            <w:vMerge w:val="restart"/>
          </w:tcPr>
          <w:p>
            <w:pPr>
              <w:jc w:val="right"/>
              <w:ind w:right="488"/>
              <w:spacing w:after="0"/>
              <w:rPr>
                <w:sz w:val="20"/>
                <w:szCs w:val="20"/>
                <w:color w:val="auto"/>
              </w:rPr>
            </w:pPr>
            <w:r>
              <w:rPr>
                <w:rFonts w:ascii="Arial" w:cs="Arial" w:eastAsia="Arial" w:hAnsi="Arial"/>
                <w:sz w:val="14"/>
                <w:szCs w:val="14"/>
                <w:b w:val="1"/>
                <w:bCs w:val="1"/>
                <w:color w:val="auto"/>
              </w:rPr>
              <w:t>Year-over-Year Change</w:t>
            </w:r>
          </w:p>
        </w:tc>
        <w:tc>
          <w:tcPr>
            <w:tcW w:w="0" w:type="dxa"/>
            <w:vAlign w:val="bottom"/>
          </w:tcPr>
          <w:p>
            <w:pPr>
              <w:spacing w:after="0"/>
              <w:rPr>
                <w:sz w:val="1"/>
                <w:szCs w:val="1"/>
                <w:color w:val="auto"/>
              </w:rPr>
            </w:pPr>
          </w:p>
        </w:tc>
      </w:tr>
      <w:tr>
        <w:trPr>
          <w:trHeight w:val="192"/>
        </w:trPr>
        <w:tc>
          <w:tcPr>
            <w:tcW w:w="64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March 31,</w:t>
            </w:r>
          </w:p>
        </w:tc>
        <w:tc>
          <w:tcPr>
            <w:tcW w:w="6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360" w:type="dxa"/>
            <w:vAlign w:val="bottom"/>
            <w:tcBorders>
              <w:bottom w:val="single" w:sz="8" w:color="auto"/>
            </w:tcBorders>
            <w:gridSpan w:val="3"/>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64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80" w:type="dxa"/>
            <w:vAlign w:val="bottom"/>
            <w:vMerge w:val="restart"/>
          </w:tcPr>
          <w:p>
            <w:pPr>
              <w:jc w:val="right"/>
              <w:ind w:right="195"/>
              <w:spacing w:after="0"/>
              <w:rPr>
                <w:sz w:val="20"/>
                <w:szCs w:val="20"/>
                <w:color w:val="auto"/>
              </w:rPr>
            </w:pPr>
            <w:r>
              <w:rPr>
                <w:rFonts w:ascii="Arial" w:cs="Arial" w:eastAsia="Arial" w:hAnsi="Arial"/>
                <w:sz w:val="14"/>
                <w:szCs w:val="14"/>
                <w:b w:val="1"/>
                <w:bCs w:val="1"/>
                <w:color w:val="auto"/>
              </w:rPr>
              <w:t>2014</w:t>
            </w:r>
          </w:p>
        </w:tc>
        <w:tc>
          <w:tcPr>
            <w:tcW w:w="1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60" w:type="dxa"/>
            <w:vAlign w:val="bottom"/>
            <w:vMerge w:val="restart"/>
          </w:tcPr>
          <w:p>
            <w:pPr>
              <w:jc w:val="right"/>
              <w:ind w:right="272"/>
              <w:spacing w:after="0"/>
              <w:rPr>
                <w:sz w:val="20"/>
                <w:szCs w:val="20"/>
                <w:color w:val="auto"/>
              </w:rPr>
            </w:pPr>
            <w:r>
              <w:rPr>
                <w:rFonts w:ascii="Arial" w:cs="Arial" w:eastAsia="Arial" w:hAnsi="Arial"/>
                <w:sz w:val="14"/>
                <w:szCs w:val="14"/>
                <w:b w:val="1"/>
                <w:bCs w:val="1"/>
                <w:color w:val="auto"/>
                <w:w w:val="89"/>
              </w:rPr>
              <w:t>2013</w:t>
            </w: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60" w:type="dxa"/>
            <w:vAlign w:val="bottom"/>
          </w:tcPr>
          <w:p>
            <w:pPr>
              <w:jc w:val="right"/>
              <w:ind w:right="254"/>
              <w:spacing w:after="0" w:line="153" w:lineRule="exact"/>
              <w:rPr>
                <w:sz w:val="20"/>
                <w:szCs w:val="20"/>
                <w:color w:val="auto"/>
              </w:rPr>
            </w:pPr>
            <w:r>
              <w:rPr>
                <w:rFonts w:ascii="Arial" w:cs="Arial" w:eastAsia="Arial" w:hAnsi="Arial"/>
                <w:sz w:val="14"/>
                <w:szCs w:val="14"/>
                <w:b w:val="1"/>
                <w:bCs w:val="1"/>
                <w:color w:val="auto"/>
              </w:rPr>
              <w:t>Increase</w:t>
            </w:r>
          </w:p>
        </w:tc>
        <w:tc>
          <w:tcPr>
            <w:tcW w:w="120" w:type="dxa"/>
            <w:vAlign w:val="bottom"/>
          </w:tcPr>
          <w:p>
            <w:pPr>
              <w:spacing w:after="0"/>
              <w:rPr>
                <w:sz w:val="13"/>
                <w:szCs w:val="13"/>
                <w:color w:val="auto"/>
              </w:rPr>
            </w:pPr>
          </w:p>
        </w:tc>
        <w:tc>
          <w:tcPr>
            <w:tcW w:w="1280" w:type="dxa"/>
            <w:vAlign w:val="bottom"/>
          </w:tcPr>
          <w:p>
            <w:pPr>
              <w:jc w:val="right"/>
              <w:ind w:right="308"/>
              <w:spacing w:after="0" w:line="153" w:lineRule="exact"/>
              <w:rPr>
                <w:sz w:val="20"/>
                <w:szCs w:val="20"/>
                <w:color w:val="auto"/>
              </w:rPr>
            </w:pPr>
            <w:r>
              <w:rPr>
                <w:rFonts w:ascii="Arial" w:cs="Arial" w:eastAsia="Arial" w:hAnsi="Arial"/>
                <w:sz w:val="14"/>
                <w:szCs w:val="14"/>
                <w:b w:val="1"/>
                <w:bCs w:val="1"/>
                <w:color w:val="auto"/>
              </w:rPr>
              <w:t>Increase</w:t>
            </w:r>
          </w:p>
        </w:tc>
        <w:tc>
          <w:tcPr>
            <w:tcW w:w="0" w:type="dxa"/>
            <w:vAlign w:val="bottom"/>
          </w:tcPr>
          <w:p>
            <w:pPr>
              <w:spacing w:after="0"/>
              <w:rPr>
                <w:sz w:val="1"/>
                <w:szCs w:val="1"/>
                <w:color w:val="auto"/>
              </w:rPr>
            </w:pPr>
          </w:p>
        </w:tc>
      </w:tr>
      <w:tr>
        <w:trPr>
          <w:trHeight w:val="192"/>
        </w:trPr>
        <w:tc>
          <w:tcPr>
            <w:tcW w:w="642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(dollar amounts in thousands)</w:t>
            </w:r>
          </w:p>
        </w:tc>
        <w:tc>
          <w:tcPr>
            <w:tcW w:w="1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20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w w:val="91"/>
              </w:rPr>
              <w:t>(Decrease)Amount</w:t>
            </w:r>
          </w:p>
        </w:tc>
        <w:tc>
          <w:tcPr>
            <w:tcW w:w="120" w:type="dxa"/>
            <w:vAlign w:val="bottom"/>
            <w:tcBorders>
              <w:bottom w:val="single" w:sz="8" w:color="CCEEFF"/>
            </w:tcBorders>
          </w:tcPr>
          <w:p>
            <w:pPr>
              <w:spacing w:after="0"/>
              <w:rPr>
                <w:sz w:val="16"/>
                <w:szCs w:val="16"/>
                <w:color w:val="auto"/>
              </w:rPr>
            </w:pPr>
          </w:p>
        </w:tc>
        <w:tc>
          <w:tcPr>
            <w:tcW w:w="12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w w:val="95"/>
              </w:rPr>
              <w:t>(Decrease)Percent</w:t>
            </w:r>
          </w:p>
        </w:tc>
        <w:tc>
          <w:tcPr>
            <w:tcW w:w="0" w:type="dxa"/>
            <w:vAlign w:val="bottom"/>
          </w:tcPr>
          <w:p>
            <w:pPr>
              <w:spacing w:after="0"/>
              <w:rPr>
                <w:sz w:val="1"/>
                <w:szCs w:val="1"/>
                <w:color w:val="auto"/>
              </w:rPr>
            </w:pPr>
          </w:p>
        </w:tc>
      </w:tr>
      <w:tr>
        <w:trPr>
          <w:trHeight w:val="270"/>
        </w:trPr>
        <w:tc>
          <w:tcPr>
            <w:tcW w:w="65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Total revenues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94,000</w:t>
            </w: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6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w w:val="94"/>
              </w:rPr>
              <w:t>82,903</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color w:val="auto"/>
              </w:rPr>
              <w:t>11,097</w:t>
            </w:r>
          </w:p>
        </w:tc>
        <w:tc>
          <w:tcPr>
            <w:tcW w:w="14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13 %</w:t>
            </w:r>
          </w:p>
        </w:tc>
        <w:tc>
          <w:tcPr>
            <w:tcW w:w="0" w:type="dxa"/>
            <w:vAlign w:val="bottom"/>
          </w:tcPr>
          <w:p>
            <w:pPr>
              <w:spacing w:after="0"/>
              <w:rPr>
                <w:sz w:val="1"/>
                <w:szCs w:val="1"/>
                <w:color w:val="auto"/>
              </w:rPr>
            </w:pPr>
          </w:p>
        </w:tc>
      </w:tr>
      <w:tr>
        <w:trPr>
          <w:trHeight w:val="237"/>
        </w:trPr>
        <w:tc>
          <w:tcPr>
            <w:tcW w:w="6540" w:type="dxa"/>
            <w:vAlign w:val="bottom"/>
            <w:gridSpan w:val="2"/>
          </w:tcPr>
          <w:p>
            <w:pPr>
              <w:ind w:left="40"/>
              <w:spacing w:after="0"/>
              <w:rPr>
                <w:sz w:val="20"/>
                <w:szCs w:val="20"/>
                <w:color w:val="auto"/>
              </w:rPr>
            </w:pPr>
            <w:r>
              <w:rPr>
                <w:rFonts w:ascii="Arial" w:cs="Arial" w:eastAsia="Arial" w:hAnsi="Arial"/>
                <w:sz w:val="18"/>
                <w:szCs w:val="18"/>
                <w:color w:val="auto"/>
              </w:rPr>
              <w:t>Operating expenses:</w:t>
            </w:r>
          </w:p>
        </w:tc>
        <w:tc>
          <w:tcPr>
            <w:tcW w:w="180" w:type="dxa"/>
            <w:vAlign w:val="bottom"/>
            <w:tcBorders>
              <w:top w:val="single" w:sz="8" w:color="auto"/>
            </w:tcBorders>
          </w:tcPr>
          <w:p>
            <w:pPr>
              <w:spacing w:after="0"/>
              <w:rPr>
                <w:sz w:val="20"/>
                <w:szCs w:val="20"/>
                <w:color w:val="auto"/>
              </w:rPr>
            </w:pPr>
          </w:p>
        </w:tc>
        <w:tc>
          <w:tcPr>
            <w:tcW w:w="68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66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6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54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Direct operating costs</w:t>
            </w:r>
          </w:p>
        </w:tc>
        <w:tc>
          <w:tcPr>
            <w:tcW w:w="18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45,972</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w w:val="94"/>
              </w:rPr>
              <w:t>39,672</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color w:val="auto"/>
              </w:rPr>
              <w:t>6,300</w:t>
            </w:r>
          </w:p>
        </w:tc>
        <w:tc>
          <w:tcPr>
            <w:tcW w:w="14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16 %</w:t>
            </w:r>
          </w:p>
        </w:tc>
        <w:tc>
          <w:tcPr>
            <w:tcW w:w="0" w:type="dxa"/>
            <w:vAlign w:val="bottom"/>
          </w:tcPr>
          <w:p>
            <w:pPr>
              <w:spacing w:after="0"/>
              <w:rPr>
                <w:sz w:val="1"/>
                <w:szCs w:val="1"/>
                <w:color w:val="auto"/>
              </w:rPr>
            </w:pPr>
          </w:p>
        </w:tc>
      </w:tr>
      <w:tr>
        <w:trPr>
          <w:trHeight w:val="243"/>
        </w:trPr>
        <w:tc>
          <w:tcPr>
            <w:tcW w:w="6540" w:type="dxa"/>
            <w:vAlign w:val="bottom"/>
            <w:gridSpan w:val="2"/>
          </w:tcPr>
          <w:p>
            <w:pPr>
              <w:ind w:left="180"/>
              <w:spacing w:after="0"/>
              <w:rPr>
                <w:sz w:val="20"/>
                <w:szCs w:val="20"/>
                <w:color w:val="auto"/>
              </w:rPr>
            </w:pPr>
            <w:r>
              <w:rPr>
                <w:rFonts w:ascii="Arial" w:cs="Arial" w:eastAsia="Arial" w:hAnsi="Arial"/>
                <w:sz w:val="18"/>
                <w:szCs w:val="18"/>
                <w:color w:val="auto"/>
              </w:rPr>
              <w:t>Salaries and benefits</w:t>
            </w:r>
          </w:p>
        </w:tc>
        <w:tc>
          <w:tcPr>
            <w:tcW w:w="180" w:type="dxa"/>
            <w:vAlign w:val="bottom"/>
          </w:tcPr>
          <w:p>
            <w:pPr>
              <w:spacing w:after="0"/>
              <w:rPr>
                <w:sz w:val="21"/>
                <w:szCs w:val="21"/>
                <w:color w:val="auto"/>
              </w:rPr>
            </w:pPr>
          </w:p>
        </w:tc>
        <w:tc>
          <w:tcPr>
            <w:tcW w:w="680" w:type="dxa"/>
            <w:vAlign w:val="bottom"/>
          </w:tcPr>
          <w:p>
            <w:pPr>
              <w:jc w:val="right"/>
              <w:ind w:right="15"/>
              <w:spacing w:after="0"/>
              <w:rPr>
                <w:sz w:val="20"/>
                <w:szCs w:val="20"/>
                <w:color w:val="auto"/>
              </w:rPr>
            </w:pPr>
            <w:r>
              <w:rPr>
                <w:rFonts w:ascii="Arial" w:cs="Arial" w:eastAsia="Arial" w:hAnsi="Arial"/>
                <w:sz w:val="18"/>
                <w:szCs w:val="18"/>
                <w:color w:val="auto"/>
              </w:rPr>
              <w:t>23,310</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660" w:type="dxa"/>
            <w:vAlign w:val="bottom"/>
          </w:tcPr>
          <w:p>
            <w:pPr>
              <w:jc w:val="right"/>
              <w:ind w:right="32"/>
              <w:spacing w:after="0"/>
              <w:rPr>
                <w:sz w:val="20"/>
                <w:szCs w:val="20"/>
                <w:color w:val="auto"/>
              </w:rPr>
            </w:pPr>
            <w:r>
              <w:rPr>
                <w:rFonts w:ascii="Arial" w:cs="Arial" w:eastAsia="Arial" w:hAnsi="Arial"/>
                <w:sz w:val="18"/>
                <w:szCs w:val="18"/>
                <w:color w:val="auto"/>
                <w:w w:val="94"/>
              </w:rPr>
              <w:t>20,084</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60" w:type="dxa"/>
            <w:vAlign w:val="bottom"/>
          </w:tcPr>
          <w:p>
            <w:pPr>
              <w:jc w:val="right"/>
              <w:ind w:right="54"/>
              <w:spacing w:after="0"/>
              <w:rPr>
                <w:sz w:val="20"/>
                <w:szCs w:val="20"/>
                <w:color w:val="auto"/>
              </w:rPr>
            </w:pPr>
            <w:r>
              <w:rPr>
                <w:rFonts w:ascii="Arial" w:cs="Arial" w:eastAsia="Arial" w:hAnsi="Arial"/>
                <w:sz w:val="18"/>
                <w:szCs w:val="18"/>
                <w:color w:val="auto"/>
              </w:rPr>
              <w:t>3,226</w:t>
            </w:r>
          </w:p>
        </w:tc>
        <w:tc>
          <w:tcPr>
            <w:tcW w:w="1400" w:type="dxa"/>
            <w:vAlign w:val="bottom"/>
            <w:gridSpan w:val="2"/>
          </w:tcPr>
          <w:p>
            <w:pPr>
              <w:jc w:val="right"/>
              <w:spacing w:after="0"/>
              <w:rPr>
                <w:sz w:val="20"/>
                <w:szCs w:val="20"/>
                <w:color w:val="auto"/>
              </w:rPr>
            </w:pPr>
            <w:r>
              <w:rPr>
                <w:rFonts w:ascii="Arial" w:cs="Arial" w:eastAsia="Arial" w:hAnsi="Arial"/>
                <w:sz w:val="18"/>
                <w:szCs w:val="18"/>
                <w:color w:val="auto"/>
              </w:rPr>
              <w:t>16 %</w:t>
            </w:r>
          </w:p>
        </w:tc>
        <w:tc>
          <w:tcPr>
            <w:tcW w:w="0" w:type="dxa"/>
            <w:vAlign w:val="bottom"/>
          </w:tcPr>
          <w:p>
            <w:pPr>
              <w:spacing w:after="0"/>
              <w:rPr>
                <w:sz w:val="1"/>
                <w:szCs w:val="1"/>
                <w:color w:val="auto"/>
              </w:rPr>
            </w:pPr>
          </w:p>
        </w:tc>
      </w:tr>
      <w:tr>
        <w:trPr>
          <w:trHeight w:val="27"/>
        </w:trPr>
        <w:tc>
          <w:tcPr>
            <w:tcW w:w="6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54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Selling, general and administrative</w:t>
            </w:r>
          </w:p>
        </w:tc>
        <w:tc>
          <w:tcPr>
            <w:tcW w:w="18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16,145</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w w:val="94"/>
              </w:rPr>
              <w:t>12,347</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color w:val="auto"/>
              </w:rPr>
              <w:t>3,798</w:t>
            </w:r>
          </w:p>
        </w:tc>
        <w:tc>
          <w:tcPr>
            <w:tcW w:w="14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31 %</w:t>
            </w:r>
          </w:p>
        </w:tc>
        <w:tc>
          <w:tcPr>
            <w:tcW w:w="0" w:type="dxa"/>
            <w:vAlign w:val="bottom"/>
          </w:tcPr>
          <w:p>
            <w:pPr>
              <w:spacing w:after="0"/>
              <w:rPr>
                <w:sz w:val="1"/>
                <w:szCs w:val="1"/>
                <w:color w:val="auto"/>
              </w:rPr>
            </w:pPr>
          </w:p>
        </w:tc>
      </w:tr>
      <w:tr>
        <w:trPr>
          <w:trHeight w:val="243"/>
        </w:trPr>
        <w:tc>
          <w:tcPr>
            <w:tcW w:w="6540" w:type="dxa"/>
            <w:vAlign w:val="bottom"/>
            <w:gridSpan w:val="2"/>
          </w:tcPr>
          <w:p>
            <w:pPr>
              <w:ind w:left="180"/>
              <w:spacing w:after="0"/>
              <w:rPr>
                <w:sz w:val="20"/>
                <w:szCs w:val="20"/>
                <w:color w:val="auto"/>
              </w:rPr>
            </w:pPr>
            <w:r>
              <w:rPr>
                <w:rFonts w:ascii="Arial" w:cs="Arial" w:eastAsia="Arial" w:hAnsi="Arial"/>
                <w:sz w:val="18"/>
                <w:szCs w:val="18"/>
                <w:color w:val="auto"/>
              </w:rPr>
              <w:t>Depreciation and amortization</w:t>
            </w:r>
          </w:p>
        </w:tc>
        <w:tc>
          <w:tcPr>
            <w:tcW w:w="180" w:type="dxa"/>
            <w:vAlign w:val="bottom"/>
          </w:tcPr>
          <w:p>
            <w:pPr>
              <w:spacing w:after="0"/>
              <w:rPr>
                <w:sz w:val="21"/>
                <w:szCs w:val="21"/>
                <w:color w:val="auto"/>
              </w:rPr>
            </w:pPr>
          </w:p>
        </w:tc>
        <w:tc>
          <w:tcPr>
            <w:tcW w:w="680" w:type="dxa"/>
            <w:vAlign w:val="bottom"/>
          </w:tcPr>
          <w:p>
            <w:pPr>
              <w:jc w:val="right"/>
              <w:ind w:right="15"/>
              <w:spacing w:after="0"/>
              <w:rPr>
                <w:sz w:val="20"/>
                <w:szCs w:val="20"/>
                <w:color w:val="auto"/>
              </w:rPr>
            </w:pPr>
            <w:r>
              <w:rPr>
                <w:rFonts w:ascii="Arial" w:cs="Arial" w:eastAsia="Arial" w:hAnsi="Arial"/>
                <w:sz w:val="18"/>
                <w:szCs w:val="18"/>
                <w:color w:val="auto"/>
              </w:rPr>
              <w:t>4,633</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660" w:type="dxa"/>
            <w:vAlign w:val="bottom"/>
          </w:tcPr>
          <w:p>
            <w:pPr>
              <w:jc w:val="right"/>
              <w:ind w:right="32"/>
              <w:spacing w:after="0"/>
              <w:rPr>
                <w:sz w:val="20"/>
                <w:szCs w:val="20"/>
                <w:color w:val="auto"/>
              </w:rPr>
            </w:pPr>
            <w:r>
              <w:rPr>
                <w:rFonts w:ascii="Arial" w:cs="Arial" w:eastAsia="Arial" w:hAnsi="Arial"/>
                <w:sz w:val="18"/>
                <w:szCs w:val="18"/>
                <w:color w:val="auto"/>
              </w:rPr>
              <w:t>4,758</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(125)</w:t>
            </w:r>
          </w:p>
        </w:tc>
        <w:tc>
          <w:tcPr>
            <w:tcW w:w="1400" w:type="dxa"/>
            <w:vAlign w:val="bottom"/>
            <w:gridSpan w:val="2"/>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7"/>
        </w:trPr>
        <w:tc>
          <w:tcPr>
            <w:tcW w:w="64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8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654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Total operating expenses</w:t>
            </w:r>
          </w:p>
        </w:tc>
        <w:tc>
          <w:tcPr>
            <w:tcW w:w="180" w:type="dxa"/>
            <w:vAlign w:val="bottom"/>
            <w:tcBorders>
              <w:bottom w:val="single" w:sz="8" w:color="CCEEFF"/>
            </w:tcBorders>
            <w:shd w:val="clear" w:color="auto" w:fill="CCEEFF"/>
          </w:tcPr>
          <w:p>
            <w:pPr>
              <w:spacing w:after="0"/>
              <w:rPr>
                <w:sz w:val="22"/>
                <w:szCs w:val="22"/>
                <w:color w:val="auto"/>
              </w:rPr>
            </w:pPr>
          </w:p>
        </w:tc>
        <w:tc>
          <w:tcPr>
            <w:tcW w:w="6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90,060</w:t>
            </w: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6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w w:val="94"/>
              </w:rPr>
              <w:t>76,861</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color w:val="auto"/>
              </w:rPr>
              <w:t>13,199</w:t>
            </w:r>
          </w:p>
        </w:tc>
        <w:tc>
          <w:tcPr>
            <w:tcW w:w="14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17 %</w:t>
            </w:r>
          </w:p>
        </w:tc>
        <w:tc>
          <w:tcPr>
            <w:tcW w:w="0" w:type="dxa"/>
            <w:vAlign w:val="bottom"/>
          </w:tcPr>
          <w:p>
            <w:pPr>
              <w:spacing w:after="0"/>
              <w:rPr>
                <w:sz w:val="1"/>
                <w:szCs w:val="1"/>
                <w:color w:val="auto"/>
              </w:rPr>
            </w:pPr>
          </w:p>
        </w:tc>
      </w:tr>
      <w:tr>
        <w:trPr>
          <w:trHeight w:val="297"/>
        </w:trPr>
        <w:tc>
          <w:tcPr>
            <w:tcW w:w="6540" w:type="dxa"/>
            <w:vAlign w:val="bottom"/>
            <w:tcBorders>
              <w:bottom w:val="single" w:sz="8" w:color="CCEEFF"/>
            </w:tcBorders>
            <w:gridSpan w:val="2"/>
          </w:tcPr>
          <w:p>
            <w:pPr>
              <w:ind w:left="600"/>
              <w:spacing w:after="0"/>
              <w:rPr>
                <w:sz w:val="20"/>
                <w:szCs w:val="20"/>
                <w:color w:val="auto"/>
              </w:rPr>
            </w:pPr>
            <w:r>
              <w:rPr>
                <w:rFonts w:ascii="Arial" w:cs="Arial" w:eastAsia="Arial" w:hAnsi="Arial"/>
                <w:sz w:val="18"/>
                <w:szCs w:val="18"/>
                <w:color w:val="auto"/>
              </w:rPr>
              <w:t>Operating income</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bottom w:val="single" w:sz="8" w:color="auto"/>
            </w:tcBorders>
          </w:tcPr>
          <w:p>
            <w:pPr>
              <w:jc w:val="right"/>
              <w:ind w:right="15"/>
              <w:spacing w:after="0"/>
              <w:rPr>
                <w:sz w:val="20"/>
                <w:szCs w:val="20"/>
                <w:color w:val="auto"/>
              </w:rPr>
            </w:pPr>
            <w:r>
              <w:rPr>
                <w:rFonts w:ascii="Arial" w:cs="Arial" w:eastAsia="Arial" w:hAnsi="Arial"/>
                <w:sz w:val="18"/>
                <w:szCs w:val="18"/>
                <w:color w:val="auto"/>
              </w:rPr>
              <w:t>3,940</w:t>
            </w:r>
          </w:p>
        </w:tc>
        <w:tc>
          <w:tcPr>
            <w:tcW w:w="120" w:type="dxa"/>
            <w:vAlign w:val="bottom"/>
            <w:tcBorders>
              <w:bottom w:val="single" w:sz="8" w:color="CCEEFF"/>
            </w:tcBorders>
          </w:tcPr>
          <w:p>
            <w:pPr>
              <w:spacing w:after="0"/>
              <w:rPr>
                <w:sz w:val="24"/>
                <w:szCs w:val="24"/>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66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6,042</w:t>
            </w:r>
          </w:p>
        </w:tc>
        <w:tc>
          <w:tcPr>
            <w:tcW w:w="100" w:type="dxa"/>
            <w:vAlign w:val="bottom"/>
            <w:tcBorders>
              <w:bottom w:val="single" w:sz="8" w:color="CCEEFF"/>
            </w:tcBorders>
          </w:tcPr>
          <w:p>
            <w:pPr>
              <w:spacing w:after="0"/>
              <w:rPr>
                <w:sz w:val="24"/>
                <w:szCs w:val="24"/>
                <w:color w:val="auto"/>
              </w:rPr>
            </w:pPr>
          </w:p>
        </w:tc>
        <w:tc>
          <w:tcPr>
            <w:tcW w:w="240" w:type="dxa"/>
            <w:vAlign w:val="bottom"/>
            <w:tcBorders>
              <w:top w:val="single" w:sz="8" w:color="auto"/>
              <w:bottom w:val="single" w:sz="8" w:color="auto"/>
            </w:tcBorders>
          </w:tcPr>
          <w:p>
            <w:pPr>
              <w:ind w:left="40"/>
              <w:spacing w:after="0"/>
              <w:rPr>
                <w:sz w:val="20"/>
                <w:szCs w:val="20"/>
                <w:color w:val="auto"/>
              </w:rPr>
            </w:pPr>
            <w:r>
              <w:rPr>
                <w:rFonts w:ascii="Arial" w:cs="Arial" w:eastAsia="Arial" w:hAnsi="Arial"/>
                <w:sz w:val="18"/>
                <w:szCs w:val="18"/>
                <w:color w:val="auto"/>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(2,102)</w:t>
            </w:r>
          </w:p>
        </w:tc>
        <w:tc>
          <w:tcPr>
            <w:tcW w:w="140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30"/>
        </w:trPr>
        <w:tc>
          <w:tcPr>
            <w:tcW w:w="65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Transactions processed (millions)</w:t>
            </w:r>
          </w:p>
        </w:tc>
        <w:tc>
          <w:tcPr>
            <w:tcW w:w="180" w:type="dxa"/>
            <w:vAlign w:val="bottom"/>
            <w:shd w:val="clear" w:color="auto" w:fill="CCEEFF"/>
          </w:tcPr>
          <w:p>
            <w:pPr>
              <w:spacing w:after="0"/>
              <w:rPr>
                <w:sz w:val="20"/>
                <w:szCs w:val="20"/>
                <w:color w:val="auto"/>
              </w:rPr>
            </w:pPr>
          </w:p>
        </w:tc>
        <w:tc>
          <w:tcPr>
            <w:tcW w:w="68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8.8</w:t>
            </w:r>
          </w:p>
        </w:tc>
        <w:tc>
          <w:tcPr>
            <w:tcW w:w="12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66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8.1</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960" w:type="dxa"/>
            <w:vAlign w:val="bottom"/>
            <w:shd w:val="clear" w:color="auto" w:fill="CCEEFF"/>
          </w:tcPr>
          <w:p>
            <w:pPr>
              <w:jc w:val="right"/>
              <w:ind w:right="54"/>
              <w:spacing w:after="0"/>
              <w:rPr>
                <w:sz w:val="20"/>
                <w:szCs w:val="20"/>
                <w:color w:val="auto"/>
              </w:rPr>
            </w:pPr>
            <w:r>
              <w:rPr>
                <w:rFonts w:ascii="Arial" w:cs="Arial" w:eastAsia="Arial" w:hAnsi="Arial"/>
                <w:sz w:val="18"/>
                <w:szCs w:val="18"/>
                <w:color w:val="auto"/>
              </w:rPr>
              <w:t>0.7</w:t>
            </w:r>
          </w:p>
        </w:tc>
        <w:tc>
          <w:tcPr>
            <w:tcW w:w="1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9 %</w:t>
            </w:r>
          </w:p>
        </w:tc>
        <w:tc>
          <w:tcPr>
            <w:tcW w:w="0" w:type="dxa"/>
            <w:vAlign w:val="bottom"/>
          </w:tcPr>
          <w:p>
            <w:pPr>
              <w:spacing w:after="0"/>
              <w:rPr>
                <w:sz w:val="1"/>
                <w:szCs w:val="1"/>
                <w:color w:val="auto"/>
              </w:rPr>
            </w:pPr>
          </w:p>
        </w:tc>
      </w:tr>
      <w:tr>
        <w:trPr>
          <w:trHeight w:val="27"/>
        </w:trPr>
        <w:tc>
          <w:tcPr>
            <w:tcW w:w="64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6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6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8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Revenues</w:t>
      </w:r>
    </w:p>
    <w:p>
      <w:pPr>
        <w:spacing w:after="0" w:line="117"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The increase in revenues for the first quarter of 2014 compared to the same period of 2013 was primarily due to a 12% increase in the number of money transfers processed, mostly driven by a 10% growth in our agent and correspondent payout networks in both the U.S. and non U.S. markets. Also contributing to the increase in revenues was an 18% increase in check cashing and bill payment transactions processed. Offsetting the growth in transactions processed was the discontinuation of a high volume, low revenue per transaction product in Spain.</w:t>
      </w:r>
    </w:p>
    <w:p>
      <w:pPr>
        <w:spacing w:after="0" w:line="79"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Revenues per transaction increased to $10.68 for the first quarter of 2014 from $10.22 for the same period of 2013, primarily due to the euro strengthening against the U.S. dollar.</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Direct operating costs</w:t>
      </w:r>
    </w:p>
    <w:p>
      <w:pPr>
        <w:spacing w:after="0" w:line="117" w:lineRule="exact"/>
        <w:rPr>
          <w:sz w:val="20"/>
          <w:szCs w:val="20"/>
          <w:color w:val="auto"/>
        </w:rPr>
      </w:pPr>
    </w:p>
    <w:p>
      <w:pPr>
        <w:ind w:right="260"/>
        <w:spacing w:after="0" w:line="259" w:lineRule="auto"/>
        <w:rPr>
          <w:sz w:val="20"/>
          <w:szCs w:val="20"/>
          <w:color w:val="auto"/>
        </w:rPr>
      </w:pPr>
      <w:r>
        <w:rPr>
          <w:rFonts w:ascii="Arial" w:cs="Arial" w:eastAsia="Arial" w:hAnsi="Arial"/>
          <w:sz w:val="18"/>
          <w:szCs w:val="18"/>
          <w:color w:val="auto"/>
        </w:rPr>
        <w:t>Direct operating costs in the Money Transfer Segment primarily represent commissions paid to agents who originate money transfers on our behalf and correspondent agents who disburse funds to the customers’ destination beneficiaries, together with less significant costs, such as bank depository fees. The increase in direct operating costs in the first quarter of 2014 compared to the same period of 2013 was primarily due to the growth in the number of money transfer transactions processed.</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Gross profit</w:t>
      </w:r>
    </w:p>
    <w:p>
      <w:pPr>
        <w:spacing w:after="0" w:line="117"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Gross profit, which represents revenues less direct costs, was $48.0 million for the first quarter of 2014 compared to $43.1 million for the first quarter of 2013. The increase in gross profit was primarily due to the growth in money transfer transactions and other services such as mobile top-up, check cashing, bill payment and money order transactions. Gross margin decreased to 51.1% for the first quarter of 2014 from 52.1% for the same period of 2013, primarily due to an increase in agent commission rates in certain corridors.</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Salaries and benefits</w:t>
      </w:r>
    </w:p>
    <w:p>
      <w:pPr>
        <w:spacing w:after="0" w:line="117" w:lineRule="exact"/>
        <w:rPr>
          <w:sz w:val="20"/>
          <w:szCs w:val="20"/>
          <w:color w:val="auto"/>
        </w:rPr>
      </w:pPr>
    </w:p>
    <w:p>
      <w:pPr>
        <w:ind w:right="300"/>
        <w:spacing w:after="0" w:line="259" w:lineRule="auto"/>
        <w:rPr>
          <w:sz w:val="20"/>
          <w:szCs w:val="20"/>
          <w:color w:val="auto"/>
        </w:rPr>
      </w:pPr>
      <w:r>
        <w:rPr>
          <w:rFonts w:ascii="Arial" w:cs="Arial" w:eastAsia="Arial" w:hAnsi="Arial"/>
          <w:sz w:val="18"/>
          <w:szCs w:val="18"/>
          <w:color w:val="auto"/>
        </w:rPr>
        <w:t>The increase in salaries and benefits for the first quarter of 2014 compared to the same period of 2013 was primarily due to an increase in headcount to support the expansion of our operations both in the U.S. and internationally and the development of our online money transfer service. As a percentage of revenues, salaries and benefits increased to 24.8% for the first quarter of 2014 from 24.3% for the first quarter of 2013. This increase was primarily due to costs incurred to support the development of our online money transfer service.</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Selling, general, and administrative</w:t>
      </w:r>
    </w:p>
    <w:p>
      <w:pPr>
        <w:spacing w:after="0" w:line="117"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increase in selling, general and administrative expenses for the first quarter of 2014 compared to the same period of 2013 was primarily due to the write-down of certain customer acquisition costs, an increase in professional fees, including acquisition-related costs, an increase in bad debt expense and additional expenditures incurred to support the expansion of our operations and products, both in the U.S. and internationally. As a result, these expenses as a percentage of revenues, increased to 17.2% for the first quarter of 2014 from 14.9% for the first quarter of 2013.</w:t>
      </w:r>
    </w:p>
    <w:p>
      <w:pPr>
        <w:spacing w:after="0" w:line="3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125" w:right="239" w:bottom="1440" w:gutter="0" w:footer="0" w:header="0"/>
        </w:sectPr>
      </w:pPr>
    </w:p>
    <w:bookmarkStart w:id="24" w:name="page25"/>
    <w:bookmarkEnd w:id="24"/>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36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Depreciation and amortization</w:t>
      </w:r>
    </w:p>
    <w:p>
      <w:pPr>
        <w:spacing w:after="0" w:line="117"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Depreciation and amortization primarily represents amortization of acquired intangible assets and depreciation of money transfer terminals, computers and software, leasehold improvements and office equipment. For the first quarter of 2014, depreciation and amortization decreased slightly compared to the same period of 2013, primarily due to certain acquired intangible assets becoming fully amortized during the first quarter of 2013. As a percentage of revenues, depreciation and amortization decreased to 4.9% for the first quarter of 2014 from 5.7% for the same period of 2013, primarily due to the increase in revenues discussed above, along with the decrease in amortization expense.</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income</w:t>
      </w:r>
    </w:p>
    <w:p>
      <w:pPr>
        <w:spacing w:after="0" w:line="117" w:lineRule="exact"/>
        <w:rPr>
          <w:sz w:val="20"/>
          <w:szCs w:val="20"/>
          <w:color w:val="auto"/>
        </w:rPr>
      </w:pPr>
    </w:p>
    <w:p>
      <w:pPr>
        <w:ind w:right="20"/>
        <w:spacing w:after="0" w:line="297" w:lineRule="auto"/>
        <w:rPr>
          <w:sz w:val="20"/>
          <w:szCs w:val="20"/>
          <w:color w:val="auto"/>
        </w:rPr>
      </w:pPr>
      <w:r>
        <w:rPr>
          <w:rFonts w:ascii="Arial" w:cs="Arial" w:eastAsia="Arial" w:hAnsi="Arial"/>
          <w:sz w:val="16"/>
          <w:szCs w:val="16"/>
          <w:color w:val="auto"/>
        </w:rPr>
        <w:t>The decrease in operating income for the first quarter of 2014 compared to the same period of 2013 was primarily due to the write-down of certain customer acquisition costs, an increase in professional fees, an increase in bad debt expense and an increase in salaries and benefits related to our online money transfer service, partly offset by revenues earned from the growth in the number of money transfer transactions processed. As a result, operating margin decreased to 4.2% for the first quarter of 2014 from 7.2% for the same period of 2013 and operating income per transaction decreased to $0.45 for the first quarter of 2014 from $0.73 for the same period of 2013. The decrease in operating income per transaction was partly offset by the euro strengthening against the U.S. dollar.</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SERVICES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the operating expenses for the three months ended March 31, 2014 and 2013 for Corporate Services:</w:t>
      </w:r>
    </w:p>
    <w:p>
      <w:pPr>
        <w:spacing w:after="0" w:line="200" w:lineRule="exact"/>
        <w:rPr>
          <w:sz w:val="20"/>
          <w:szCs w:val="20"/>
          <w:color w:val="auto"/>
        </w:rPr>
      </w:pPr>
    </w:p>
    <w:p>
      <w:pPr>
        <w:spacing w:after="0" w:line="27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920" w:type="dxa"/>
            <w:vAlign w:val="bottom"/>
            <w:gridSpan w:val="5"/>
          </w:tcPr>
          <w:p>
            <w:pPr>
              <w:jc w:val="right"/>
              <w:ind w:right="460"/>
              <w:spacing w:after="0"/>
              <w:rPr>
                <w:sz w:val="20"/>
                <w:szCs w:val="20"/>
                <w:color w:val="auto"/>
              </w:rPr>
            </w:pPr>
            <w:r>
              <w:rPr>
                <w:rFonts w:ascii="Arial" w:cs="Arial" w:eastAsia="Arial" w:hAnsi="Arial"/>
                <w:sz w:val="14"/>
                <w:szCs w:val="14"/>
                <w:b w:val="1"/>
                <w:bCs w:val="1"/>
                <w:color w:val="auto"/>
              </w:rPr>
              <w:t>Three Months Ended</w:t>
            </w:r>
          </w:p>
        </w:tc>
        <w:tc>
          <w:tcPr>
            <w:tcW w:w="120" w:type="dxa"/>
            <w:vAlign w:val="bottom"/>
          </w:tcPr>
          <w:p>
            <w:pPr>
              <w:spacing w:after="0"/>
              <w:rPr>
                <w:sz w:val="14"/>
                <w:szCs w:val="14"/>
                <w:color w:val="auto"/>
              </w:rPr>
            </w:pPr>
          </w:p>
        </w:tc>
        <w:tc>
          <w:tcPr>
            <w:tcW w:w="1920" w:type="dxa"/>
            <w:vAlign w:val="bottom"/>
            <w:gridSpan w:val="3"/>
            <w:vMerge w:val="restart"/>
          </w:tcPr>
          <w:p>
            <w:pPr>
              <w:jc w:val="right"/>
              <w:ind w:right="224"/>
              <w:spacing w:after="0"/>
              <w:rPr>
                <w:sz w:val="20"/>
                <w:szCs w:val="20"/>
                <w:color w:val="auto"/>
              </w:rPr>
            </w:pPr>
            <w:r>
              <w:rPr>
                <w:rFonts w:ascii="Arial" w:cs="Arial" w:eastAsia="Arial" w:hAnsi="Arial"/>
                <w:sz w:val="14"/>
                <w:szCs w:val="14"/>
                <w:b w:val="1"/>
                <w:bCs w:val="1"/>
                <w:color w:val="auto"/>
              </w:rPr>
              <w:t>Year-over-Year Change</w:t>
            </w:r>
          </w:p>
        </w:tc>
        <w:tc>
          <w:tcPr>
            <w:tcW w:w="0" w:type="dxa"/>
            <w:vAlign w:val="bottom"/>
          </w:tcPr>
          <w:p>
            <w:pPr>
              <w:spacing w:after="0"/>
              <w:rPr>
                <w:sz w:val="1"/>
                <w:szCs w:val="1"/>
                <w:color w:val="auto"/>
              </w:rPr>
            </w:pPr>
          </w:p>
        </w:tc>
      </w:tr>
      <w:tr>
        <w:trPr>
          <w:trHeight w:val="192"/>
        </w:trPr>
        <w:tc>
          <w:tcPr>
            <w:tcW w:w="7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March 31,</w:t>
            </w:r>
          </w:p>
        </w:tc>
        <w:tc>
          <w:tcPr>
            <w:tcW w:w="6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920" w:type="dxa"/>
            <w:vAlign w:val="bottom"/>
            <w:tcBorders>
              <w:bottom w:val="single" w:sz="8" w:color="auto"/>
            </w:tcBorders>
            <w:gridSpan w:val="3"/>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70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Pr>
          <w:p>
            <w:pPr>
              <w:jc w:val="center"/>
              <w:ind w:right="39"/>
              <w:spacing w:after="0" w:line="153" w:lineRule="exact"/>
              <w:rPr>
                <w:sz w:val="20"/>
                <w:szCs w:val="20"/>
                <w:color w:val="auto"/>
              </w:rPr>
            </w:pPr>
            <w:r>
              <w:rPr>
                <w:rFonts w:ascii="Arial" w:cs="Arial" w:eastAsia="Arial" w:hAnsi="Arial"/>
                <w:sz w:val="14"/>
                <w:szCs w:val="14"/>
                <w:b w:val="1"/>
                <w:bCs w:val="1"/>
                <w:color w:val="auto"/>
                <w:w w:val="91"/>
              </w:rPr>
              <w:t>Increase</w:t>
            </w:r>
          </w:p>
        </w:tc>
        <w:tc>
          <w:tcPr>
            <w:tcW w:w="100" w:type="dxa"/>
            <w:vAlign w:val="bottom"/>
          </w:tcPr>
          <w:p>
            <w:pPr>
              <w:spacing w:after="0"/>
              <w:rPr>
                <w:sz w:val="13"/>
                <w:szCs w:val="13"/>
                <w:color w:val="auto"/>
              </w:rPr>
            </w:pPr>
          </w:p>
        </w:tc>
        <w:tc>
          <w:tcPr>
            <w:tcW w:w="1020" w:type="dxa"/>
            <w:vAlign w:val="bottom"/>
          </w:tcPr>
          <w:p>
            <w:pPr>
              <w:jc w:val="center"/>
              <w:spacing w:after="0" w:line="153" w:lineRule="exact"/>
              <w:rPr>
                <w:sz w:val="20"/>
                <w:szCs w:val="20"/>
                <w:color w:val="auto"/>
              </w:rPr>
            </w:pPr>
            <w:r>
              <w:rPr>
                <w:rFonts w:ascii="Arial" w:cs="Arial" w:eastAsia="Arial" w:hAnsi="Arial"/>
                <w:sz w:val="14"/>
                <w:szCs w:val="14"/>
                <w:b w:val="1"/>
                <w:bCs w:val="1"/>
                <w:color w:val="auto"/>
                <w:w w:val="91"/>
              </w:rPr>
              <w:t>Increase</w:t>
            </w:r>
          </w:p>
        </w:tc>
        <w:tc>
          <w:tcPr>
            <w:tcW w:w="0" w:type="dxa"/>
            <w:vAlign w:val="bottom"/>
          </w:tcPr>
          <w:p>
            <w:pPr>
              <w:spacing w:after="0"/>
              <w:rPr>
                <w:sz w:val="1"/>
                <w:szCs w:val="1"/>
                <w:color w:val="auto"/>
              </w:rPr>
            </w:pPr>
          </w:p>
        </w:tc>
      </w:tr>
      <w:tr>
        <w:trPr>
          <w:trHeight w:val="149"/>
        </w:trPr>
        <w:tc>
          <w:tcPr>
            <w:tcW w:w="7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vMerge w:val="restart"/>
          </w:tcPr>
          <w:p>
            <w:pPr>
              <w:jc w:val="right"/>
              <w:ind w:right="238"/>
              <w:spacing w:after="0"/>
              <w:rPr>
                <w:sz w:val="20"/>
                <w:szCs w:val="20"/>
                <w:color w:val="auto"/>
              </w:rPr>
            </w:pPr>
            <w:r>
              <w:rPr>
                <w:rFonts w:ascii="Arial" w:cs="Arial" w:eastAsia="Arial" w:hAnsi="Arial"/>
                <w:sz w:val="14"/>
                <w:szCs w:val="14"/>
                <w:b w:val="1"/>
                <w:bCs w:val="1"/>
                <w:color w:val="auto"/>
              </w:rPr>
              <w:t>2014</w:t>
            </w:r>
          </w:p>
        </w:tc>
        <w:tc>
          <w:tcPr>
            <w:tcW w:w="1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60" w:type="dxa"/>
            <w:vAlign w:val="bottom"/>
            <w:vMerge w:val="restart"/>
          </w:tcPr>
          <w:p>
            <w:pPr>
              <w:jc w:val="right"/>
              <w:ind w:right="274"/>
              <w:spacing w:after="0"/>
              <w:rPr>
                <w:sz w:val="20"/>
                <w:szCs w:val="20"/>
                <w:color w:val="auto"/>
              </w:rPr>
            </w:pPr>
            <w:r>
              <w:rPr>
                <w:rFonts w:ascii="Arial" w:cs="Arial" w:eastAsia="Arial" w:hAnsi="Arial"/>
                <w:sz w:val="14"/>
                <w:szCs w:val="14"/>
                <w:b w:val="1"/>
                <w:bCs w:val="1"/>
                <w:color w:val="auto"/>
                <w:w w:val="89"/>
              </w:rPr>
              <w:t>2013</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jc w:val="center"/>
              <w:ind w:right="39"/>
              <w:spacing w:after="0" w:line="149" w:lineRule="exact"/>
              <w:rPr>
                <w:sz w:val="20"/>
                <w:szCs w:val="20"/>
                <w:color w:val="auto"/>
              </w:rPr>
            </w:pPr>
            <w:r>
              <w:rPr>
                <w:rFonts w:ascii="Arial" w:cs="Arial" w:eastAsia="Arial" w:hAnsi="Arial"/>
                <w:sz w:val="14"/>
                <w:szCs w:val="14"/>
                <w:b w:val="1"/>
                <w:bCs w:val="1"/>
                <w:color w:val="auto"/>
                <w:w w:val="89"/>
              </w:rPr>
              <w:t>(Decrease)</w:t>
            </w:r>
          </w:p>
        </w:tc>
        <w:tc>
          <w:tcPr>
            <w:tcW w:w="100" w:type="dxa"/>
            <w:vAlign w:val="bottom"/>
          </w:tcPr>
          <w:p>
            <w:pPr>
              <w:spacing w:after="0"/>
              <w:rPr>
                <w:sz w:val="12"/>
                <w:szCs w:val="12"/>
                <w:color w:val="auto"/>
              </w:rPr>
            </w:pPr>
          </w:p>
        </w:tc>
        <w:tc>
          <w:tcPr>
            <w:tcW w:w="10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(Decrease)</w:t>
            </w:r>
          </w:p>
        </w:tc>
        <w:tc>
          <w:tcPr>
            <w:tcW w:w="0" w:type="dxa"/>
            <w:vAlign w:val="bottom"/>
          </w:tcPr>
          <w:p>
            <w:pPr>
              <w:spacing w:after="0"/>
              <w:rPr>
                <w:sz w:val="1"/>
                <w:szCs w:val="1"/>
                <w:color w:val="auto"/>
              </w:rPr>
            </w:pPr>
          </w:p>
        </w:tc>
      </w:tr>
      <w:tr>
        <w:trPr>
          <w:trHeight w:val="192"/>
        </w:trPr>
        <w:tc>
          <w:tcPr>
            <w:tcW w:w="704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(dollar amounts in thousands)</w:t>
            </w:r>
          </w:p>
        </w:tc>
        <w:tc>
          <w:tcPr>
            <w:tcW w:w="1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center"/>
              <w:ind w:right="39"/>
              <w:spacing w:after="0"/>
              <w:rPr>
                <w:sz w:val="20"/>
                <w:szCs w:val="20"/>
                <w:color w:val="auto"/>
              </w:rPr>
            </w:pPr>
            <w:r>
              <w:rPr>
                <w:rFonts w:ascii="Arial" w:cs="Arial" w:eastAsia="Arial" w:hAnsi="Arial"/>
                <w:sz w:val="14"/>
                <w:szCs w:val="14"/>
                <w:b w:val="1"/>
                <w:bCs w:val="1"/>
                <w:color w:val="auto"/>
                <w:w w:val="98"/>
              </w:rPr>
              <w:t>Amount</w:t>
            </w:r>
          </w:p>
        </w:tc>
        <w:tc>
          <w:tcPr>
            <w:tcW w:w="100" w:type="dxa"/>
            <w:vAlign w:val="bottom"/>
            <w:tcBorders>
              <w:bottom w:val="single" w:sz="8" w:color="CCEEFF"/>
            </w:tcBorders>
          </w:tcPr>
          <w:p>
            <w:pPr>
              <w:spacing w:after="0"/>
              <w:rPr>
                <w:sz w:val="16"/>
                <w:szCs w:val="16"/>
                <w:color w:val="auto"/>
              </w:rPr>
            </w:pP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Percent</w:t>
            </w:r>
          </w:p>
        </w:tc>
        <w:tc>
          <w:tcPr>
            <w:tcW w:w="0" w:type="dxa"/>
            <w:vAlign w:val="bottom"/>
          </w:tcPr>
          <w:p>
            <w:pPr>
              <w:spacing w:after="0"/>
              <w:rPr>
                <w:sz w:val="1"/>
                <w:szCs w:val="1"/>
                <w:color w:val="auto"/>
              </w:rPr>
            </w:pPr>
          </w:p>
        </w:tc>
      </w:tr>
      <w:tr>
        <w:trPr>
          <w:trHeight w:val="250"/>
        </w:trPr>
        <w:tc>
          <w:tcPr>
            <w:tcW w:w="71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Salaries and benefits</w:t>
            </w: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70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color w:val="auto"/>
              </w:rPr>
              <w:t>5,575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6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4,903</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8"/>
                <w:szCs w:val="18"/>
                <w:color w:val="auto"/>
              </w:rPr>
              <w:t>672</w:t>
            </w:r>
          </w:p>
        </w:tc>
        <w:tc>
          <w:tcPr>
            <w:tcW w:w="11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14 %</w:t>
            </w:r>
          </w:p>
        </w:tc>
        <w:tc>
          <w:tcPr>
            <w:tcW w:w="0" w:type="dxa"/>
            <w:vAlign w:val="bottom"/>
          </w:tcPr>
          <w:p>
            <w:pPr>
              <w:spacing w:after="0"/>
              <w:rPr>
                <w:sz w:val="1"/>
                <w:szCs w:val="1"/>
                <w:color w:val="auto"/>
              </w:rPr>
            </w:pPr>
          </w:p>
        </w:tc>
      </w:tr>
      <w:tr>
        <w:trPr>
          <w:trHeight w:val="243"/>
        </w:trPr>
        <w:tc>
          <w:tcPr>
            <w:tcW w:w="7160" w:type="dxa"/>
            <w:vAlign w:val="bottom"/>
            <w:gridSpan w:val="2"/>
          </w:tcPr>
          <w:p>
            <w:pPr>
              <w:ind w:left="40"/>
              <w:spacing w:after="0"/>
              <w:rPr>
                <w:sz w:val="20"/>
                <w:szCs w:val="20"/>
                <w:color w:val="auto"/>
              </w:rPr>
            </w:pPr>
            <w:r>
              <w:rPr>
                <w:rFonts w:ascii="Arial" w:cs="Arial" w:eastAsia="Arial" w:hAnsi="Arial"/>
                <w:sz w:val="18"/>
                <w:szCs w:val="18"/>
                <w:color w:val="auto"/>
              </w:rPr>
              <w:t>Selling, general and administrative</w:t>
            </w:r>
          </w:p>
        </w:tc>
        <w:tc>
          <w:tcPr>
            <w:tcW w:w="200" w:type="dxa"/>
            <w:vAlign w:val="bottom"/>
          </w:tcPr>
          <w:p>
            <w:pPr>
              <w:spacing w:after="0"/>
              <w:rPr>
                <w:sz w:val="21"/>
                <w:szCs w:val="21"/>
                <w:color w:val="auto"/>
              </w:rPr>
            </w:pPr>
          </w:p>
        </w:tc>
        <w:tc>
          <w:tcPr>
            <w:tcW w:w="700" w:type="dxa"/>
            <w:vAlign w:val="bottom"/>
          </w:tcPr>
          <w:p>
            <w:pPr>
              <w:jc w:val="right"/>
              <w:ind w:right="38"/>
              <w:spacing w:after="0"/>
              <w:rPr>
                <w:sz w:val="20"/>
                <w:szCs w:val="20"/>
                <w:color w:val="auto"/>
              </w:rPr>
            </w:pPr>
            <w:r>
              <w:rPr>
                <w:rFonts w:ascii="Arial" w:cs="Arial" w:eastAsia="Arial" w:hAnsi="Arial"/>
                <w:sz w:val="18"/>
                <w:szCs w:val="18"/>
                <w:color w:val="auto"/>
              </w:rPr>
              <w:t>1,578</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660" w:type="dxa"/>
            <w:vAlign w:val="bottom"/>
          </w:tcPr>
          <w:p>
            <w:pPr>
              <w:jc w:val="right"/>
              <w:ind w:right="14"/>
              <w:spacing w:after="0"/>
              <w:rPr>
                <w:sz w:val="20"/>
                <w:szCs w:val="20"/>
                <w:color w:val="auto"/>
              </w:rPr>
            </w:pPr>
            <w:r>
              <w:rPr>
                <w:rFonts w:ascii="Arial" w:cs="Arial" w:eastAsia="Arial" w:hAnsi="Arial"/>
                <w:sz w:val="18"/>
                <w:szCs w:val="18"/>
                <w:color w:val="auto"/>
              </w:rPr>
              <w:t>3,155</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(1,577)</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7"/>
        </w:trPr>
        <w:tc>
          <w:tcPr>
            <w:tcW w:w="7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1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Depreciation and amortization</w:t>
            </w:r>
          </w:p>
        </w:tc>
        <w:tc>
          <w:tcPr>
            <w:tcW w:w="20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color w:val="auto"/>
              </w:rPr>
              <w:t>75</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92</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0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64"/>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57"/>
        </w:trPr>
        <w:tc>
          <w:tcPr>
            <w:tcW w:w="7160" w:type="dxa"/>
            <w:vAlign w:val="bottom"/>
            <w:gridSpan w:val="2"/>
          </w:tcPr>
          <w:p>
            <w:pPr>
              <w:ind w:left="180"/>
              <w:spacing w:after="0"/>
              <w:rPr>
                <w:sz w:val="20"/>
                <w:szCs w:val="20"/>
                <w:color w:val="auto"/>
              </w:rPr>
            </w:pPr>
            <w:r>
              <w:rPr>
                <w:rFonts w:ascii="Arial" w:cs="Arial" w:eastAsia="Arial" w:hAnsi="Arial"/>
                <w:sz w:val="18"/>
                <w:szCs w:val="18"/>
                <w:color w:val="auto"/>
              </w:rPr>
              <w:t>Total operating expenses</w:t>
            </w: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bottom w:val="single" w:sz="8" w:color="auto"/>
            </w:tcBorders>
          </w:tcPr>
          <w:p>
            <w:pPr>
              <w:jc w:val="right"/>
              <w:ind w:right="38"/>
              <w:spacing w:after="0"/>
              <w:rPr>
                <w:sz w:val="20"/>
                <w:szCs w:val="20"/>
                <w:color w:val="auto"/>
              </w:rPr>
            </w:pPr>
            <w:r>
              <w:rPr>
                <w:rFonts w:ascii="Arial" w:cs="Arial" w:eastAsia="Arial" w:hAnsi="Arial"/>
                <w:sz w:val="18"/>
                <w:szCs w:val="18"/>
                <w:color w:val="auto"/>
              </w:rPr>
              <w:t>7,228</w:t>
            </w:r>
          </w:p>
        </w:tc>
        <w:tc>
          <w:tcPr>
            <w:tcW w:w="100" w:type="dxa"/>
            <w:vAlign w:val="bottom"/>
          </w:tcPr>
          <w:p>
            <w:pPr>
              <w:spacing w:after="0"/>
              <w:rPr>
                <w:sz w:val="22"/>
                <w:szCs w:val="22"/>
                <w:color w:val="auto"/>
              </w:rPr>
            </w:pP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66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8,150</w:t>
            </w:r>
          </w:p>
        </w:tc>
        <w:tc>
          <w:tcPr>
            <w:tcW w:w="100" w:type="dxa"/>
            <w:vAlign w:val="bottom"/>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(922)</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0"/>
        </w:trPr>
        <w:tc>
          <w:tcPr>
            <w:tcW w:w="7040" w:type="dxa"/>
            <w:vAlign w:val="bottom"/>
            <w:vMerge w:val="restart"/>
          </w:tcPr>
          <w:p>
            <w:pPr>
              <w:spacing w:after="0"/>
              <w:rPr>
                <w:sz w:val="20"/>
                <w:szCs w:val="20"/>
                <w:color w:val="auto"/>
              </w:rPr>
            </w:pPr>
            <w:r>
              <w:rPr>
                <w:rFonts w:ascii="Arial" w:cs="Arial" w:eastAsia="Arial" w:hAnsi="Arial"/>
                <w:sz w:val="18"/>
                <w:szCs w:val="18"/>
                <w:color w:val="auto"/>
              </w:rPr>
              <w:t>________________</w:t>
            </w:r>
          </w:p>
        </w:tc>
        <w:tc>
          <w:tcPr>
            <w:tcW w:w="120" w:type="dxa"/>
            <w:vAlign w:val="bottom"/>
            <w:vMerge w:val="restart"/>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7040" w:type="dxa"/>
            <w:vAlign w:val="bottom"/>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7160" w:type="dxa"/>
            <w:vAlign w:val="bottom"/>
            <w:gridSpan w:val="2"/>
          </w:tcPr>
          <w:p>
            <w:pPr>
              <w:spacing w:after="0"/>
              <w:rPr>
                <w:sz w:val="20"/>
                <w:szCs w:val="20"/>
                <w:color w:val="auto"/>
              </w:rPr>
            </w:pPr>
            <w:r>
              <w:rPr>
                <w:rFonts w:ascii="Arial" w:cs="Arial" w:eastAsia="Arial" w:hAnsi="Arial"/>
                <w:sz w:val="18"/>
                <w:szCs w:val="18"/>
                <w:color w:val="auto"/>
              </w:rPr>
              <w:t>n/m — Not meaningful</w:t>
            </w:r>
          </w:p>
        </w:tc>
        <w:tc>
          <w:tcPr>
            <w:tcW w:w="2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Corporate operating expenses</w:t>
      </w:r>
    </w:p>
    <w:p>
      <w:pPr>
        <w:spacing w:after="0" w:line="11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Overall, operating expenses for Corporate Services decreased for the first quarter of 2014 compared to the same period of 2013, primarily due to a decrease in professional fees, partly offset by an increase in share-based compensation expense. The increase in share-based compensation expense was due to improved results relative to the respective incentive compensation performance target.</w:t>
      </w: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00"/>
          </w:cols>
          <w:pgMar w:left="240" w:top="125" w:right="259" w:bottom="1440" w:gutter="0" w:footer="0" w:header="0"/>
        </w:sectPr>
      </w:pPr>
    </w:p>
    <w:bookmarkStart w:id="25" w:name="page26"/>
    <w:bookmarkEnd w:id="25"/>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3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INCOME (EXPENSE), NET</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8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20" w:type="dxa"/>
            <w:vAlign w:val="bottom"/>
            <w:gridSpan w:val="5"/>
          </w:tcPr>
          <w:p>
            <w:pPr>
              <w:jc w:val="center"/>
              <w:ind w:right="360"/>
              <w:spacing w:after="0"/>
              <w:rPr>
                <w:sz w:val="20"/>
                <w:szCs w:val="20"/>
                <w:color w:val="auto"/>
              </w:rPr>
            </w:pPr>
            <w:r>
              <w:rPr>
                <w:rFonts w:ascii="Arial" w:cs="Arial" w:eastAsia="Arial" w:hAnsi="Arial"/>
                <w:sz w:val="14"/>
                <w:szCs w:val="14"/>
                <w:b w:val="1"/>
                <w:bCs w:val="1"/>
                <w:color w:val="auto"/>
                <w:w w:val="93"/>
              </w:rPr>
              <w:t>Three Months Ended</w:t>
            </w:r>
          </w:p>
        </w:tc>
        <w:tc>
          <w:tcPr>
            <w:tcW w:w="160" w:type="dxa"/>
            <w:vAlign w:val="bottom"/>
          </w:tcPr>
          <w:p>
            <w:pPr>
              <w:spacing w:after="0"/>
              <w:rPr>
                <w:sz w:val="14"/>
                <w:szCs w:val="14"/>
                <w:color w:val="auto"/>
              </w:rPr>
            </w:pPr>
          </w:p>
        </w:tc>
        <w:tc>
          <w:tcPr>
            <w:tcW w:w="2020" w:type="dxa"/>
            <w:vAlign w:val="bottom"/>
            <w:gridSpan w:val="3"/>
            <w:vMerge w:val="restart"/>
          </w:tcPr>
          <w:p>
            <w:pPr>
              <w:jc w:val="right"/>
              <w:ind w:right="277"/>
              <w:spacing w:after="0"/>
              <w:rPr>
                <w:sz w:val="20"/>
                <w:szCs w:val="20"/>
                <w:color w:val="auto"/>
              </w:rPr>
            </w:pPr>
            <w:r>
              <w:rPr>
                <w:rFonts w:ascii="Arial" w:cs="Arial" w:eastAsia="Arial" w:hAnsi="Arial"/>
                <w:sz w:val="14"/>
                <w:szCs w:val="14"/>
                <w:b w:val="1"/>
                <w:bCs w:val="1"/>
                <w:color w:val="auto"/>
              </w:rPr>
              <w:t>Year-over-Year Change</w:t>
            </w:r>
          </w:p>
        </w:tc>
        <w:tc>
          <w:tcPr>
            <w:tcW w:w="0" w:type="dxa"/>
            <w:vAlign w:val="bottom"/>
          </w:tcPr>
          <w:p>
            <w:pPr>
              <w:spacing w:after="0"/>
              <w:rPr>
                <w:sz w:val="1"/>
                <w:szCs w:val="1"/>
                <w:color w:val="auto"/>
              </w:rPr>
            </w:pPr>
          </w:p>
        </w:tc>
      </w:tr>
      <w:tr>
        <w:trPr>
          <w:trHeight w:val="192"/>
        </w:trPr>
        <w:tc>
          <w:tcPr>
            <w:tcW w:w="6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gridSpan w:val="3"/>
          </w:tcPr>
          <w:p>
            <w:pPr>
              <w:jc w:val="center"/>
              <w:ind w:left="397"/>
              <w:spacing w:after="0"/>
              <w:rPr>
                <w:sz w:val="20"/>
                <w:szCs w:val="20"/>
                <w:color w:val="auto"/>
              </w:rPr>
            </w:pPr>
            <w:r>
              <w:rPr>
                <w:rFonts w:ascii="Arial" w:cs="Arial" w:eastAsia="Arial" w:hAnsi="Arial"/>
                <w:sz w:val="14"/>
                <w:szCs w:val="14"/>
                <w:b w:val="1"/>
                <w:bCs w:val="1"/>
                <w:color w:val="auto"/>
                <w:w w:val="95"/>
              </w:rPr>
              <w:t>March 31,</w:t>
            </w:r>
          </w:p>
        </w:tc>
        <w:tc>
          <w:tcPr>
            <w:tcW w:w="7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020" w:type="dxa"/>
            <w:vAlign w:val="bottom"/>
            <w:tcBorders>
              <w:bottom w:val="single" w:sz="8" w:color="auto"/>
            </w:tcBorders>
            <w:gridSpan w:val="3"/>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68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80" w:type="dxa"/>
            <w:vAlign w:val="bottom"/>
          </w:tcPr>
          <w:p>
            <w:pPr>
              <w:jc w:val="center"/>
              <w:ind w:right="78"/>
              <w:spacing w:after="0" w:line="153" w:lineRule="exact"/>
              <w:rPr>
                <w:sz w:val="20"/>
                <w:szCs w:val="20"/>
                <w:color w:val="auto"/>
              </w:rPr>
            </w:pPr>
            <w:r>
              <w:rPr>
                <w:rFonts w:ascii="Arial" w:cs="Arial" w:eastAsia="Arial" w:hAnsi="Arial"/>
                <w:sz w:val="14"/>
                <w:szCs w:val="14"/>
                <w:b w:val="1"/>
                <w:bCs w:val="1"/>
                <w:color w:val="auto"/>
                <w:w w:val="91"/>
              </w:rPr>
              <w:t>Increase</w:t>
            </w:r>
          </w:p>
        </w:tc>
        <w:tc>
          <w:tcPr>
            <w:tcW w:w="100" w:type="dxa"/>
            <w:vAlign w:val="bottom"/>
          </w:tcPr>
          <w:p>
            <w:pPr>
              <w:spacing w:after="0"/>
              <w:rPr>
                <w:sz w:val="13"/>
                <w:szCs w:val="13"/>
                <w:color w:val="auto"/>
              </w:rPr>
            </w:pPr>
          </w:p>
        </w:tc>
        <w:tc>
          <w:tcPr>
            <w:tcW w:w="1040" w:type="dxa"/>
            <w:vAlign w:val="bottom"/>
            <w:vMerge w:val="restart"/>
          </w:tcPr>
          <w:p>
            <w:pPr>
              <w:ind w:left="260"/>
              <w:spacing w:after="0"/>
              <w:rPr>
                <w:sz w:val="20"/>
                <w:szCs w:val="20"/>
                <w:color w:val="auto"/>
              </w:rPr>
            </w:pPr>
            <w:r>
              <w:rPr>
                <w:rFonts w:ascii="Arial" w:cs="Arial" w:eastAsia="Arial" w:hAnsi="Arial"/>
                <w:sz w:val="14"/>
                <w:szCs w:val="14"/>
                <w:b w:val="1"/>
                <w:bCs w:val="1"/>
                <w:color w:val="auto"/>
              </w:rPr>
              <w:t>Decrease</w:t>
            </w:r>
          </w:p>
        </w:tc>
        <w:tc>
          <w:tcPr>
            <w:tcW w:w="0" w:type="dxa"/>
            <w:vAlign w:val="bottom"/>
          </w:tcPr>
          <w:p>
            <w:pPr>
              <w:spacing w:after="0"/>
              <w:rPr>
                <w:sz w:val="1"/>
                <w:szCs w:val="1"/>
                <w:color w:val="auto"/>
              </w:rPr>
            </w:pPr>
          </w:p>
        </w:tc>
      </w:tr>
      <w:tr>
        <w:trPr>
          <w:trHeight w:val="149"/>
        </w:trPr>
        <w:tc>
          <w:tcPr>
            <w:tcW w:w="68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80" w:type="dxa"/>
            <w:vAlign w:val="bottom"/>
            <w:vMerge w:val="restart"/>
          </w:tcPr>
          <w:p>
            <w:pPr>
              <w:jc w:val="right"/>
              <w:ind w:right="277"/>
              <w:spacing w:after="0"/>
              <w:rPr>
                <w:sz w:val="20"/>
                <w:szCs w:val="20"/>
                <w:color w:val="auto"/>
              </w:rPr>
            </w:pPr>
            <w:r>
              <w:rPr>
                <w:rFonts w:ascii="Arial" w:cs="Arial" w:eastAsia="Arial" w:hAnsi="Arial"/>
                <w:sz w:val="14"/>
                <w:szCs w:val="14"/>
                <w:b w:val="1"/>
                <w:bCs w:val="1"/>
                <w:color w:val="auto"/>
              </w:rPr>
              <w:t>2014</w:t>
            </w:r>
          </w:p>
        </w:tc>
        <w:tc>
          <w:tcPr>
            <w:tcW w:w="1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00" w:type="dxa"/>
            <w:vAlign w:val="bottom"/>
            <w:vMerge w:val="restart"/>
          </w:tcPr>
          <w:p>
            <w:pPr>
              <w:jc w:val="right"/>
              <w:ind w:right="293"/>
              <w:spacing w:after="0"/>
              <w:rPr>
                <w:sz w:val="20"/>
                <w:szCs w:val="20"/>
                <w:color w:val="auto"/>
              </w:rPr>
            </w:pPr>
            <w:r>
              <w:rPr>
                <w:rFonts w:ascii="Arial" w:cs="Arial" w:eastAsia="Arial" w:hAnsi="Arial"/>
                <w:sz w:val="14"/>
                <w:szCs w:val="14"/>
                <w:b w:val="1"/>
                <w:bCs w:val="1"/>
                <w:color w:val="auto"/>
                <w:w w:val="96"/>
              </w:rPr>
              <w:t>2013</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tcPr>
          <w:p>
            <w:pPr>
              <w:jc w:val="center"/>
              <w:ind w:right="78"/>
              <w:spacing w:after="0" w:line="149" w:lineRule="exact"/>
              <w:rPr>
                <w:sz w:val="20"/>
                <w:szCs w:val="20"/>
                <w:color w:val="auto"/>
              </w:rPr>
            </w:pPr>
            <w:r>
              <w:rPr>
                <w:rFonts w:ascii="Arial" w:cs="Arial" w:eastAsia="Arial" w:hAnsi="Arial"/>
                <w:sz w:val="14"/>
                <w:szCs w:val="14"/>
                <w:b w:val="1"/>
                <w:bCs w:val="1"/>
                <w:color w:val="auto"/>
                <w:w w:val="89"/>
              </w:rPr>
              <w:t>(Decrease)</w:t>
            </w:r>
          </w:p>
        </w:tc>
        <w:tc>
          <w:tcPr>
            <w:tcW w:w="100" w:type="dxa"/>
            <w:vAlign w:val="bottom"/>
          </w:tcPr>
          <w:p>
            <w:pPr>
              <w:spacing w:after="0"/>
              <w:rPr>
                <w:sz w:val="12"/>
                <w:szCs w:val="12"/>
                <w:color w:val="auto"/>
              </w:rPr>
            </w:pPr>
          </w:p>
        </w:tc>
        <w:tc>
          <w:tcPr>
            <w:tcW w:w="10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686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(dollar amounts in thousands)</w:t>
            </w:r>
          </w:p>
        </w:tc>
        <w:tc>
          <w:tcPr>
            <w:tcW w:w="12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center"/>
              <w:ind w:right="78"/>
              <w:spacing w:after="0"/>
              <w:rPr>
                <w:sz w:val="20"/>
                <w:szCs w:val="20"/>
                <w:color w:val="auto"/>
              </w:rPr>
            </w:pPr>
            <w:r>
              <w:rPr>
                <w:rFonts w:ascii="Arial" w:cs="Arial" w:eastAsia="Arial" w:hAnsi="Arial"/>
                <w:sz w:val="14"/>
                <w:szCs w:val="14"/>
                <w:b w:val="1"/>
                <w:bCs w:val="1"/>
                <w:color w:val="auto"/>
                <w:w w:val="98"/>
              </w:rPr>
              <w:t>Amount</w:t>
            </w:r>
          </w:p>
        </w:tc>
        <w:tc>
          <w:tcPr>
            <w:tcW w:w="100" w:type="dxa"/>
            <w:vAlign w:val="bottom"/>
            <w:tcBorders>
              <w:bottom w:val="single" w:sz="8" w:color="CCEEFF"/>
            </w:tcBorders>
          </w:tcPr>
          <w:p>
            <w:pPr>
              <w:spacing w:after="0"/>
              <w:rPr>
                <w:sz w:val="16"/>
                <w:szCs w:val="16"/>
                <w:color w:val="auto"/>
              </w:rPr>
            </w:pPr>
          </w:p>
        </w:tc>
        <w:tc>
          <w:tcPr>
            <w:tcW w:w="1040" w:type="dxa"/>
            <w:vAlign w:val="bottom"/>
            <w:tcBorders>
              <w:bottom w:val="single" w:sz="8" w:color="auto"/>
            </w:tcBorders>
          </w:tcPr>
          <w:p>
            <w:pPr>
              <w:ind w:left="280"/>
              <w:spacing w:after="0"/>
              <w:rPr>
                <w:sz w:val="20"/>
                <w:szCs w:val="20"/>
                <w:color w:val="auto"/>
              </w:rPr>
            </w:pPr>
            <w:r>
              <w:rPr>
                <w:rFonts w:ascii="Arial" w:cs="Arial" w:eastAsia="Arial" w:hAnsi="Arial"/>
                <w:sz w:val="14"/>
                <w:szCs w:val="14"/>
                <w:b w:val="1"/>
                <w:bCs w:val="1"/>
                <w:color w:val="auto"/>
              </w:rPr>
              <w:t>Percent</w:t>
            </w:r>
          </w:p>
        </w:tc>
        <w:tc>
          <w:tcPr>
            <w:tcW w:w="0" w:type="dxa"/>
            <w:vAlign w:val="bottom"/>
          </w:tcPr>
          <w:p>
            <w:pPr>
              <w:spacing w:after="0"/>
              <w:rPr>
                <w:sz w:val="1"/>
                <w:szCs w:val="1"/>
                <w:color w:val="auto"/>
              </w:rPr>
            </w:pPr>
          </w:p>
        </w:tc>
      </w:tr>
      <w:tr>
        <w:trPr>
          <w:trHeight w:val="250"/>
        </w:trPr>
        <w:tc>
          <w:tcPr>
            <w:tcW w:w="69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Interest income</w:t>
            </w: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532</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494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color w:val="auto"/>
              </w:rPr>
              <w:t>38</w:t>
            </w:r>
          </w:p>
        </w:tc>
        <w:tc>
          <w:tcPr>
            <w:tcW w:w="1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ind w:left="520"/>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43"/>
        </w:trPr>
        <w:tc>
          <w:tcPr>
            <w:tcW w:w="6980" w:type="dxa"/>
            <w:vAlign w:val="bottom"/>
            <w:gridSpan w:val="2"/>
          </w:tcPr>
          <w:p>
            <w:pPr>
              <w:ind w:left="40"/>
              <w:spacing w:after="0"/>
              <w:rPr>
                <w:sz w:val="20"/>
                <w:szCs w:val="20"/>
                <w:color w:val="auto"/>
              </w:rPr>
            </w:pPr>
            <w:r>
              <w:rPr>
                <w:rFonts w:ascii="Arial" w:cs="Arial" w:eastAsia="Arial" w:hAnsi="Arial"/>
                <w:sz w:val="18"/>
                <w:szCs w:val="18"/>
                <w:color w:val="auto"/>
              </w:rPr>
              <w:t>Interest expense</w:t>
            </w:r>
          </w:p>
        </w:tc>
        <w:tc>
          <w:tcPr>
            <w:tcW w:w="24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(1,988)</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(2,859)</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80" w:type="dxa"/>
            <w:vAlign w:val="bottom"/>
          </w:tcPr>
          <w:p>
            <w:pPr>
              <w:jc w:val="right"/>
              <w:ind w:right="38"/>
              <w:spacing w:after="0"/>
              <w:rPr>
                <w:sz w:val="20"/>
                <w:szCs w:val="20"/>
                <w:color w:val="auto"/>
              </w:rPr>
            </w:pPr>
            <w:r>
              <w:rPr>
                <w:rFonts w:ascii="Arial" w:cs="Arial" w:eastAsia="Arial" w:hAnsi="Arial"/>
                <w:sz w:val="18"/>
                <w:szCs w:val="18"/>
                <w:color w:val="auto"/>
              </w:rPr>
              <w:t>871</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7"/>
        </w:trPr>
        <w:tc>
          <w:tcPr>
            <w:tcW w:w="6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9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Foreign currency exchange loss, net</w:t>
            </w: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(1,269)</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(1,701)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color w:val="auto"/>
              </w:rPr>
              <w:t>432</w:t>
            </w:r>
          </w:p>
        </w:tc>
        <w:tc>
          <w:tcPr>
            <w:tcW w:w="11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43"/>
        </w:trPr>
        <w:tc>
          <w:tcPr>
            <w:tcW w:w="6980" w:type="dxa"/>
            <w:vAlign w:val="bottom"/>
            <w:gridSpan w:val="2"/>
          </w:tcPr>
          <w:p>
            <w:pPr>
              <w:ind w:left="40"/>
              <w:spacing w:after="0"/>
              <w:rPr>
                <w:sz w:val="20"/>
                <w:szCs w:val="20"/>
                <w:color w:val="auto"/>
              </w:rPr>
            </w:pPr>
            <w:r>
              <w:rPr>
                <w:rFonts w:ascii="Arial" w:cs="Arial" w:eastAsia="Arial" w:hAnsi="Arial"/>
                <w:sz w:val="18"/>
                <w:szCs w:val="18"/>
                <w:color w:val="auto"/>
              </w:rPr>
              <w:t>Income from unconsolidated affiliates</w:t>
            </w:r>
          </w:p>
        </w:tc>
        <w:tc>
          <w:tcPr>
            <w:tcW w:w="240" w:type="dxa"/>
            <w:vAlign w:val="bottom"/>
          </w:tcPr>
          <w:p>
            <w:pPr>
              <w:spacing w:after="0"/>
              <w:rPr>
                <w:sz w:val="21"/>
                <w:szCs w:val="21"/>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700" w:type="dxa"/>
            <w:vAlign w:val="bottom"/>
          </w:tcPr>
          <w:p>
            <w:pPr>
              <w:jc w:val="right"/>
              <w:ind w:right="33"/>
              <w:spacing w:after="0"/>
              <w:rPr>
                <w:sz w:val="20"/>
                <w:szCs w:val="20"/>
                <w:color w:val="auto"/>
              </w:rPr>
            </w:pPr>
            <w:r>
              <w:rPr>
                <w:rFonts w:ascii="Arial" w:cs="Arial" w:eastAsia="Arial" w:hAnsi="Arial"/>
                <w:sz w:val="18"/>
                <w:szCs w:val="18"/>
                <w:color w:val="auto"/>
              </w:rPr>
              <w:t>124</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(124)</w:t>
            </w:r>
          </w:p>
        </w:tc>
        <w:tc>
          <w:tcPr>
            <w:tcW w:w="100" w:type="dxa"/>
            <w:vAlign w:val="bottom"/>
          </w:tcPr>
          <w:p>
            <w:pPr>
              <w:spacing w:after="0"/>
              <w:rPr>
                <w:sz w:val="21"/>
                <w:szCs w:val="21"/>
                <w:color w:val="auto"/>
              </w:rPr>
            </w:pPr>
          </w:p>
        </w:tc>
        <w:tc>
          <w:tcPr>
            <w:tcW w:w="1040" w:type="dxa"/>
            <w:vAlign w:val="bottom"/>
          </w:tcPr>
          <w:p>
            <w:pPr>
              <w:ind w:left="520"/>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7"/>
        </w:trPr>
        <w:tc>
          <w:tcPr>
            <w:tcW w:w="68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698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Other expense, net</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(2,725)</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(3,942)</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right"/>
              <w:ind w:right="38"/>
              <w:spacing w:after="0"/>
              <w:rPr>
                <w:sz w:val="20"/>
                <w:szCs w:val="20"/>
                <w:color w:val="auto"/>
              </w:rPr>
            </w:pPr>
            <w:r>
              <w:rPr>
                <w:rFonts w:ascii="Arial" w:cs="Arial" w:eastAsia="Arial" w:hAnsi="Arial"/>
                <w:sz w:val="18"/>
                <w:szCs w:val="18"/>
                <w:color w:val="auto"/>
              </w:rPr>
              <w:t>1,217</w:t>
            </w:r>
          </w:p>
        </w:tc>
        <w:tc>
          <w:tcPr>
            <w:tcW w:w="10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ind w:left="520"/>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0"/>
        </w:trPr>
        <w:tc>
          <w:tcPr>
            <w:tcW w:w="6860" w:type="dxa"/>
            <w:vAlign w:val="bottom"/>
            <w:vMerge w:val="restart"/>
          </w:tcPr>
          <w:p>
            <w:pPr>
              <w:spacing w:after="0"/>
              <w:rPr>
                <w:sz w:val="20"/>
                <w:szCs w:val="20"/>
                <w:color w:val="auto"/>
              </w:rPr>
            </w:pPr>
            <w:r>
              <w:rPr>
                <w:rFonts w:ascii="Arial" w:cs="Arial" w:eastAsia="Arial" w:hAnsi="Arial"/>
                <w:sz w:val="18"/>
                <w:szCs w:val="18"/>
                <w:color w:val="auto"/>
              </w:rPr>
              <w:t>________________</w:t>
            </w:r>
          </w:p>
        </w:tc>
        <w:tc>
          <w:tcPr>
            <w:tcW w:w="120" w:type="dxa"/>
            <w:vAlign w:val="bottom"/>
            <w:vMerge w:val="restart"/>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6860" w:type="dxa"/>
            <w:vAlign w:val="bottom"/>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2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6980" w:type="dxa"/>
            <w:vAlign w:val="bottom"/>
            <w:gridSpan w:val="2"/>
          </w:tcPr>
          <w:p>
            <w:pPr>
              <w:spacing w:after="0"/>
              <w:rPr>
                <w:sz w:val="20"/>
                <w:szCs w:val="20"/>
                <w:color w:val="auto"/>
              </w:rPr>
            </w:pPr>
            <w:r>
              <w:rPr>
                <w:rFonts w:ascii="Arial" w:cs="Arial" w:eastAsia="Arial" w:hAnsi="Arial"/>
                <w:sz w:val="18"/>
                <w:szCs w:val="18"/>
                <w:color w:val="auto"/>
              </w:rPr>
              <w:t>n/m — Not meaningful</w:t>
            </w:r>
          </w:p>
        </w:tc>
        <w:tc>
          <w:tcPr>
            <w:tcW w:w="2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expense</w:t>
      </w:r>
    </w:p>
    <w:p>
      <w:pPr>
        <w:spacing w:after="0" w:line="117"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The decrease in interest expense for the first quarter of 2014 compared to the same period of 2013 was the result of lower borrowings outstanding under our revolving credit facility during the period.</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Foreign currency exchange loss, net</w:t>
      </w:r>
    </w:p>
    <w:p>
      <w:pPr>
        <w:spacing w:after="0" w:line="117"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Assets and liabilities denominated in currencies other than the local currency of each of our subsidiaries give rise to foreign currency exchange gains and losses. Exchange gains and losses that result from re-measurement of these assets and liabilities are recorded in determining net income. The majority of our foreign currency gains or losses are due to the re-measurement of intercompany loans, which are not considered a long-term investment in nature, that are in a currency other than the functional currency of one of the parties to the loan. For example, we make intercompany loans based in euros from our corporate division, which is comprised of U.S. dollar functional currency entities, to certain European entities that use the euro as the functional currency. As the U.S. dollar strengthens against the euro, foreign currency losses are recognized by our corporate entities because the number of euros to be received in settlement of the loans decreases in U.S. dollar terms. Conversely, in this example, in periods where the U.S. dollar weakens, our corporate entities will record foreign currency gains.</w:t>
      </w:r>
    </w:p>
    <w:p>
      <w:pPr>
        <w:spacing w:after="0" w:line="84" w:lineRule="exact"/>
        <w:rPr>
          <w:sz w:val="20"/>
          <w:szCs w:val="20"/>
          <w:color w:val="auto"/>
        </w:rPr>
      </w:pPr>
    </w:p>
    <w:p>
      <w:pPr>
        <w:ind w:right="200"/>
        <w:spacing w:after="0" w:line="264" w:lineRule="auto"/>
        <w:rPr>
          <w:sz w:val="20"/>
          <w:szCs w:val="20"/>
          <w:color w:val="auto"/>
        </w:rPr>
      </w:pPr>
      <w:r>
        <w:rPr>
          <w:rFonts w:ascii="Arial" w:cs="Arial" w:eastAsia="Arial" w:hAnsi="Arial"/>
          <w:sz w:val="18"/>
          <w:szCs w:val="18"/>
          <w:color w:val="auto"/>
        </w:rPr>
        <w:t>We recorded net foreign currency exchange losses of $1.3 million and $1.7 million for the first quarter of 2014 and 2013, respectively. These realized and unrealized net foreign currency exchange losses primarily reflect the net strengthening of the U.S. dollar against the currencies of the countries in which we operate during the respective periods.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 EXPENSE</w:t>
      </w:r>
    </w:p>
    <w:p>
      <w:pPr>
        <w:spacing w:after="0" w:line="121"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The Company's effective income tax rates were 26.4% and 20.7% for the first quarters of 2014 and 2013, respectively. Our effective tax rate for the first quarter of 2014 and 2013 was lower than the applicable statutory tax rate of 35% primarily because of the Company's U.S. income tax positions. The Company does not have a history of significant taxable income in the U.S., therefore, the Company has recorded a valuation allowance against its U.S. federal tax net operating loss carryforwards. Accordingly, in instances when the Company's U.S. legal entities generate pre-tax book income, no income tax expense is recognized to the extent there are net operating loss carryforwards to offset pre-tax book income.</w:t>
      </w:r>
    </w:p>
    <w:p>
      <w:pPr>
        <w:spacing w:after="0" w:line="64" w:lineRule="exact"/>
        <w:rPr>
          <w:sz w:val="20"/>
          <w:szCs w:val="20"/>
          <w:color w:val="auto"/>
        </w:rPr>
      </w:pPr>
    </w:p>
    <w:p>
      <w:pPr>
        <w:ind w:right="140"/>
        <w:spacing w:after="0" w:line="286" w:lineRule="auto"/>
        <w:rPr>
          <w:sz w:val="20"/>
          <w:szCs w:val="20"/>
          <w:color w:val="auto"/>
        </w:rPr>
      </w:pPr>
      <w:r>
        <w:rPr>
          <w:rFonts w:ascii="Arial" w:cs="Arial" w:eastAsia="Arial" w:hAnsi="Arial"/>
          <w:sz w:val="17"/>
          <w:szCs w:val="17"/>
          <w:color w:val="auto"/>
        </w:rPr>
        <w:t>The increase in the effective tax rate for the first quarter of 2014 compared to the same period of 2013 was primarily due to a $2.2 million decrease in the reserve for uncertain tax benefits related to the closure of an income tax audit in Germany, resulting in a decrease in income tax expense recorded in the first quarter of 2013. This decrease was partly offset by $0.9 million of changes in valuation allowances in the first quarter of 2014.</w:t>
      </w:r>
    </w:p>
    <w:p>
      <w:pPr>
        <w:spacing w:after="0" w:line="57" w:lineRule="exact"/>
        <w:rPr>
          <w:sz w:val="20"/>
          <w:szCs w:val="20"/>
          <w:color w:val="auto"/>
        </w:rPr>
      </w:pPr>
    </w:p>
    <w:p>
      <w:pPr>
        <w:ind w:right="240"/>
        <w:spacing w:after="0" w:line="308" w:lineRule="auto"/>
        <w:rPr>
          <w:sz w:val="20"/>
          <w:szCs w:val="20"/>
          <w:color w:val="auto"/>
        </w:rPr>
      </w:pPr>
      <w:r>
        <w:rPr>
          <w:rFonts w:ascii="Arial" w:cs="Arial" w:eastAsia="Arial" w:hAnsi="Arial"/>
          <w:sz w:val="17"/>
          <w:szCs w:val="17"/>
          <w:color w:val="auto"/>
        </w:rPr>
        <w:t>Income before income taxes, as adjusted, income tax expense, as adjusted and effective income tax rate, as adjusted are non-GAAP financial measures that management believes are useful for understanding why our effective tax rates are significantly different than would be expected.</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125" w:right="239" w:bottom="1440" w:gutter="0" w:footer="0" w:header="0"/>
        </w:sectPr>
      </w:pPr>
    </w:p>
    <w:bookmarkStart w:id="26" w:name="page27"/>
    <w:bookmarkEnd w:id="26"/>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INCOME OR LOSS ATTRIBUTABLE TO NONCONTROLLING INTERESTS</w:t>
      </w:r>
    </w:p>
    <w:p>
      <w:pPr>
        <w:spacing w:after="0" w:line="121"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color w:val="auto"/>
        </w:rPr>
        <w:t>Noncontrolling interests represents the elimination of net income or loss attributable to the minority shareholders’ portion of the following consolidated subsidiaries that are not wholly owned:</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90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Subsidiary</w:t>
            </w:r>
          </w:p>
        </w:tc>
        <w:tc>
          <w:tcPr>
            <w:tcW w:w="120" w:type="dxa"/>
            <w:vAlign w:val="bottom"/>
            <w:vMerge w:val="restart"/>
          </w:tcPr>
          <w:p>
            <w:pPr>
              <w:spacing w:after="0"/>
              <w:rPr>
                <w:sz w:val="14"/>
                <w:szCs w:val="14"/>
                <w:color w:val="auto"/>
              </w:rPr>
            </w:pPr>
          </w:p>
        </w:tc>
        <w:tc>
          <w:tcPr>
            <w:tcW w:w="12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3"/>
              </w:rPr>
              <w:t>Percent</w:t>
            </w:r>
          </w:p>
        </w:tc>
        <w:tc>
          <w:tcPr>
            <w:tcW w:w="21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2"/>
              </w:rPr>
              <w:t>Segment - Country</w:t>
            </w:r>
          </w:p>
        </w:tc>
        <w:tc>
          <w:tcPr>
            <w:tcW w:w="0" w:type="dxa"/>
            <w:vAlign w:val="bottom"/>
          </w:tcPr>
          <w:p>
            <w:pPr>
              <w:spacing w:after="0"/>
              <w:rPr>
                <w:sz w:val="1"/>
                <w:szCs w:val="1"/>
                <w:color w:val="auto"/>
              </w:rPr>
            </w:pPr>
          </w:p>
        </w:tc>
      </w:tr>
      <w:tr>
        <w:trPr>
          <w:trHeight w:val="192"/>
        </w:trPr>
        <w:tc>
          <w:tcPr>
            <w:tcW w:w="790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Owned</w:t>
            </w:r>
          </w:p>
        </w:tc>
        <w:tc>
          <w:tcPr>
            <w:tcW w:w="100" w:type="dxa"/>
            <w:vAlign w:val="bottom"/>
            <w:tcBorders>
              <w:bottom w:val="single" w:sz="8" w:color="CCEEFF"/>
            </w:tcBorders>
          </w:tcPr>
          <w:p>
            <w:pPr>
              <w:spacing w:after="0"/>
              <w:rPr>
                <w:sz w:val="16"/>
                <w:szCs w:val="16"/>
                <w:color w:val="auto"/>
              </w:rPr>
            </w:pPr>
          </w:p>
        </w:tc>
        <w:tc>
          <w:tcPr>
            <w:tcW w:w="21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80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Movilcarga</w:t>
            </w:r>
          </w:p>
        </w:tc>
        <w:tc>
          <w:tcPr>
            <w:tcW w:w="11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8"/>
              </w:rPr>
              <w:t>80%</w:t>
            </w:r>
          </w:p>
        </w:tc>
        <w:tc>
          <w:tcPr>
            <w:tcW w:w="100" w:type="dxa"/>
            <w:vAlign w:val="bottom"/>
            <w:tcBorders>
              <w:bottom w:val="single" w:sz="8" w:color="CCEEFF"/>
            </w:tcBorders>
            <w:shd w:val="clear" w:color="auto" w:fill="CCEEFF"/>
          </w:tcPr>
          <w:p>
            <w:pPr>
              <w:spacing w:after="0"/>
              <w:rPr>
                <w:sz w:val="21"/>
                <w:szCs w:val="21"/>
                <w:color w:val="auto"/>
              </w:rPr>
            </w:pPr>
          </w:p>
        </w:tc>
        <w:tc>
          <w:tcPr>
            <w:tcW w:w="21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epay - Spain</w:t>
            </w:r>
          </w:p>
        </w:tc>
        <w:tc>
          <w:tcPr>
            <w:tcW w:w="0" w:type="dxa"/>
            <w:vAlign w:val="bottom"/>
          </w:tcPr>
          <w:p>
            <w:pPr>
              <w:spacing w:after="0"/>
              <w:rPr>
                <w:sz w:val="1"/>
                <w:szCs w:val="1"/>
                <w:color w:val="auto"/>
              </w:rPr>
            </w:pPr>
          </w:p>
        </w:tc>
      </w:tr>
      <w:tr>
        <w:trPr>
          <w:trHeight w:val="243"/>
        </w:trPr>
        <w:tc>
          <w:tcPr>
            <w:tcW w:w="8020" w:type="dxa"/>
            <w:vAlign w:val="bottom"/>
            <w:gridSpan w:val="2"/>
          </w:tcPr>
          <w:p>
            <w:pPr>
              <w:ind w:left="40"/>
              <w:spacing w:after="0"/>
              <w:rPr>
                <w:sz w:val="20"/>
                <w:szCs w:val="20"/>
                <w:color w:val="auto"/>
              </w:rPr>
            </w:pPr>
            <w:r>
              <w:rPr>
                <w:rFonts w:ascii="Arial" w:cs="Arial" w:eastAsia="Arial" w:hAnsi="Arial"/>
                <w:sz w:val="18"/>
                <w:szCs w:val="18"/>
                <w:color w:val="auto"/>
              </w:rPr>
              <w:t>Euronet China</w:t>
            </w:r>
          </w:p>
        </w:tc>
        <w:tc>
          <w:tcPr>
            <w:tcW w:w="1140" w:type="dxa"/>
            <w:vAlign w:val="bottom"/>
          </w:tcPr>
          <w:p>
            <w:pPr>
              <w:jc w:val="center"/>
              <w:spacing w:after="0"/>
              <w:rPr>
                <w:sz w:val="20"/>
                <w:szCs w:val="20"/>
                <w:color w:val="auto"/>
              </w:rPr>
            </w:pPr>
            <w:r>
              <w:rPr>
                <w:rFonts w:ascii="Arial" w:cs="Arial" w:eastAsia="Arial" w:hAnsi="Arial"/>
                <w:sz w:val="18"/>
                <w:szCs w:val="18"/>
                <w:color w:val="auto"/>
                <w:w w:val="88"/>
              </w:rPr>
              <w:t>75%</w:t>
            </w:r>
          </w:p>
        </w:tc>
        <w:tc>
          <w:tcPr>
            <w:tcW w:w="100" w:type="dxa"/>
            <w:vAlign w:val="bottom"/>
          </w:tcPr>
          <w:p>
            <w:pPr>
              <w:spacing w:after="0"/>
              <w:rPr>
                <w:sz w:val="21"/>
                <w:szCs w:val="21"/>
                <w:color w:val="auto"/>
              </w:rPr>
            </w:pPr>
          </w:p>
        </w:tc>
        <w:tc>
          <w:tcPr>
            <w:tcW w:w="2160" w:type="dxa"/>
            <w:vAlign w:val="bottom"/>
          </w:tcPr>
          <w:p>
            <w:pPr>
              <w:jc w:val="center"/>
              <w:spacing w:after="0"/>
              <w:rPr>
                <w:sz w:val="20"/>
                <w:szCs w:val="20"/>
                <w:color w:val="auto"/>
              </w:rPr>
            </w:pPr>
            <w:r>
              <w:rPr>
                <w:rFonts w:ascii="Arial" w:cs="Arial" w:eastAsia="Arial" w:hAnsi="Arial"/>
                <w:sz w:val="18"/>
                <w:szCs w:val="18"/>
                <w:color w:val="auto"/>
                <w:w w:val="92"/>
              </w:rPr>
              <w:t>EFT - China</w:t>
            </w:r>
          </w:p>
        </w:tc>
        <w:tc>
          <w:tcPr>
            <w:tcW w:w="0" w:type="dxa"/>
            <w:vAlign w:val="bottom"/>
          </w:tcPr>
          <w:p>
            <w:pPr>
              <w:spacing w:after="0"/>
              <w:rPr>
                <w:sz w:val="1"/>
                <w:szCs w:val="1"/>
                <w:color w:val="auto"/>
              </w:rPr>
            </w:pPr>
          </w:p>
        </w:tc>
      </w:tr>
      <w:tr>
        <w:trPr>
          <w:trHeight w:val="27"/>
        </w:trPr>
        <w:tc>
          <w:tcPr>
            <w:tcW w:w="7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0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Euronet Pakistan</w:t>
            </w:r>
          </w:p>
        </w:tc>
        <w:tc>
          <w:tcPr>
            <w:tcW w:w="11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8"/>
              </w:rPr>
              <w:t>70%</w:t>
            </w:r>
          </w:p>
        </w:tc>
        <w:tc>
          <w:tcPr>
            <w:tcW w:w="100" w:type="dxa"/>
            <w:vAlign w:val="bottom"/>
            <w:tcBorders>
              <w:bottom w:val="single" w:sz="8" w:color="CCEEFF"/>
            </w:tcBorders>
            <w:shd w:val="clear" w:color="auto" w:fill="CCEEFF"/>
          </w:tcPr>
          <w:p>
            <w:pPr>
              <w:spacing w:after="0"/>
              <w:rPr>
                <w:sz w:val="21"/>
                <w:szCs w:val="21"/>
                <w:color w:val="auto"/>
              </w:rPr>
            </w:pPr>
          </w:p>
        </w:tc>
        <w:tc>
          <w:tcPr>
            <w:tcW w:w="21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0"/>
              </w:rPr>
              <w:t>EFT - Pakistan</w:t>
            </w:r>
          </w:p>
        </w:tc>
        <w:tc>
          <w:tcPr>
            <w:tcW w:w="0" w:type="dxa"/>
            <w:vAlign w:val="bottom"/>
          </w:tcPr>
          <w:p>
            <w:pPr>
              <w:spacing w:after="0"/>
              <w:rPr>
                <w:sz w:val="1"/>
                <w:szCs w:val="1"/>
                <w:color w:val="auto"/>
              </w:rPr>
            </w:pPr>
          </w:p>
        </w:tc>
      </w:tr>
      <w:tr>
        <w:trPr>
          <w:trHeight w:val="243"/>
        </w:trPr>
        <w:tc>
          <w:tcPr>
            <w:tcW w:w="8020" w:type="dxa"/>
            <w:vAlign w:val="bottom"/>
            <w:gridSpan w:val="2"/>
          </w:tcPr>
          <w:p>
            <w:pPr>
              <w:ind w:left="40"/>
              <w:spacing w:after="0"/>
              <w:rPr>
                <w:sz w:val="20"/>
                <w:szCs w:val="20"/>
                <w:color w:val="auto"/>
              </w:rPr>
            </w:pPr>
            <w:r>
              <w:rPr>
                <w:rFonts w:ascii="Arial" w:cs="Arial" w:eastAsia="Arial" w:hAnsi="Arial"/>
                <w:sz w:val="18"/>
                <w:szCs w:val="18"/>
                <w:color w:val="auto"/>
              </w:rPr>
              <w:t>Universal Solutions Partners</w:t>
            </w:r>
          </w:p>
        </w:tc>
        <w:tc>
          <w:tcPr>
            <w:tcW w:w="1140" w:type="dxa"/>
            <w:vAlign w:val="bottom"/>
          </w:tcPr>
          <w:p>
            <w:pPr>
              <w:jc w:val="center"/>
              <w:spacing w:after="0"/>
              <w:rPr>
                <w:sz w:val="20"/>
                <w:szCs w:val="20"/>
                <w:color w:val="auto"/>
              </w:rPr>
            </w:pPr>
            <w:r>
              <w:rPr>
                <w:rFonts w:ascii="Arial" w:cs="Arial" w:eastAsia="Arial" w:hAnsi="Arial"/>
                <w:sz w:val="18"/>
                <w:szCs w:val="18"/>
                <w:color w:val="auto"/>
                <w:w w:val="88"/>
              </w:rPr>
              <w:t>51%</w:t>
            </w:r>
          </w:p>
        </w:tc>
        <w:tc>
          <w:tcPr>
            <w:tcW w:w="100" w:type="dxa"/>
            <w:vAlign w:val="bottom"/>
          </w:tcPr>
          <w:p>
            <w:pPr>
              <w:spacing w:after="0"/>
              <w:rPr>
                <w:sz w:val="21"/>
                <w:szCs w:val="21"/>
                <w:color w:val="auto"/>
              </w:rPr>
            </w:pPr>
          </w:p>
        </w:tc>
        <w:tc>
          <w:tcPr>
            <w:tcW w:w="2160" w:type="dxa"/>
            <w:vAlign w:val="bottom"/>
          </w:tcPr>
          <w:p>
            <w:pPr>
              <w:jc w:val="center"/>
              <w:spacing w:after="0"/>
              <w:rPr>
                <w:sz w:val="20"/>
                <w:szCs w:val="20"/>
                <w:color w:val="auto"/>
              </w:rPr>
            </w:pPr>
            <w:r>
              <w:rPr>
                <w:rFonts w:ascii="Arial" w:cs="Arial" w:eastAsia="Arial" w:hAnsi="Arial"/>
                <w:sz w:val="18"/>
                <w:szCs w:val="18"/>
                <w:color w:val="auto"/>
                <w:w w:val="96"/>
              </w:rPr>
              <w:t>EFT - UAE</w:t>
            </w:r>
          </w:p>
        </w:tc>
        <w:tc>
          <w:tcPr>
            <w:tcW w:w="0" w:type="dxa"/>
            <w:vAlign w:val="bottom"/>
          </w:tcPr>
          <w:p>
            <w:pPr>
              <w:spacing w:after="0"/>
              <w:rPr>
                <w:sz w:val="1"/>
                <w:szCs w:val="1"/>
                <w:color w:val="auto"/>
              </w:rPr>
            </w:pPr>
          </w:p>
        </w:tc>
      </w:tr>
      <w:tr>
        <w:trPr>
          <w:trHeight w:val="27"/>
        </w:trPr>
        <w:tc>
          <w:tcPr>
            <w:tcW w:w="7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802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Euronet Services</w:t>
            </w:r>
          </w:p>
        </w:tc>
        <w:tc>
          <w:tcPr>
            <w:tcW w:w="11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95%</w:t>
            </w:r>
          </w:p>
        </w:tc>
        <w:tc>
          <w:tcPr>
            <w:tcW w:w="100" w:type="dxa"/>
            <w:vAlign w:val="bottom"/>
            <w:shd w:val="clear" w:color="auto" w:fill="CCEEFF"/>
          </w:tcPr>
          <w:p>
            <w:pPr>
              <w:spacing w:after="0"/>
              <w:rPr>
                <w:sz w:val="21"/>
                <w:szCs w:val="21"/>
                <w:color w:val="auto"/>
              </w:rPr>
            </w:pPr>
          </w:p>
        </w:tc>
        <w:tc>
          <w:tcPr>
            <w:tcW w:w="21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epay - Russia</w:t>
            </w:r>
          </w:p>
        </w:tc>
        <w:tc>
          <w:tcPr>
            <w:tcW w:w="0" w:type="dxa"/>
            <w:vAlign w:val="bottom"/>
          </w:tcPr>
          <w:p>
            <w:pPr>
              <w:spacing w:after="0"/>
              <w:rPr>
                <w:sz w:val="1"/>
                <w:szCs w:val="1"/>
                <w:color w:val="auto"/>
              </w:rPr>
            </w:pPr>
          </w:p>
        </w:tc>
      </w:tr>
      <w:tr>
        <w:trPr>
          <w:trHeight w:val="27"/>
        </w:trPr>
        <w:tc>
          <w:tcPr>
            <w:tcW w:w="79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16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INCOME ATTRIBUTABLE TO EURONET</w:t>
      </w:r>
    </w:p>
    <w:p>
      <w:pPr>
        <w:spacing w:after="0" w:line="121" w:lineRule="exact"/>
        <w:rPr>
          <w:sz w:val="20"/>
          <w:szCs w:val="20"/>
          <w:color w:val="auto"/>
        </w:rPr>
      </w:pPr>
    </w:p>
    <w:p>
      <w:pPr>
        <w:ind w:right="260"/>
        <w:spacing w:after="0" w:line="257" w:lineRule="auto"/>
        <w:rPr>
          <w:sz w:val="20"/>
          <w:szCs w:val="20"/>
          <w:color w:val="auto"/>
        </w:rPr>
      </w:pPr>
      <w:r>
        <w:rPr>
          <w:rFonts w:ascii="Arial" w:cs="Arial" w:eastAsia="Arial" w:hAnsi="Arial"/>
          <w:sz w:val="18"/>
          <w:szCs w:val="18"/>
          <w:color w:val="auto"/>
        </w:rPr>
        <w:t>Net income attributable to Euronet was $16.0 million for the first quarter of 2014 compared to $12.0 million for the same period of 2013. As more fully discussed above, the increase in net income of $4.0 million was primarily due to an increase in operating income of $5.2 million, a decrease in interest expense of $0.9 million, a decrease in foreign currency exchange loss of $0.4 million and an increase in other non-operating income of $0.2 million. These increases to net income were partly offset by an increase in income tax expense of $2.6 million and a decrease in income from unconsolidated affiliates of $0.1 million.</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Working capital</w:t>
      </w:r>
    </w:p>
    <w:p>
      <w:pPr>
        <w:spacing w:after="0" w:line="117" w:lineRule="exact"/>
        <w:rPr>
          <w:sz w:val="20"/>
          <w:szCs w:val="20"/>
          <w:color w:val="auto"/>
        </w:rPr>
      </w:pPr>
    </w:p>
    <w:p>
      <w:pPr>
        <w:ind w:right="180"/>
        <w:spacing w:after="0" w:line="264" w:lineRule="auto"/>
        <w:rPr>
          <w:sz w:val="20"/>
          <w:szCs w:val="20"/>
          <w:color w:val="auto"/>
        </w:rPr>
      </w:pPr>
      <w:r>
        <w:rPr>
          <w:rFonts w:ascii="Arial" w:cs="Arial" w:eastAsia="Arial" w:hAnsi="Arial"/>
          <w:sz w:val="18"/>
          <w:szCs w:val="18"/>
          <w:color w:val="auto"/>
        </w:rPr>
        <w:t>As of March 31, 2014 and December 31, 2013, we had working capital, which is calculated as the difference between total current assets and total current liabilities, of $173.3 million and $108.4 million, respectively. Our ratio of current assets to current liabilities at March 31, 2014 and December 31, 2013 was 1.28 and 1.15, respectively.</w:t>
      </w:r>
    </w:p>
    <w:p>
      <w:pPr>
        <w:spacing w:after="0" w:line="73" w:lineRule="exact"/>
        <w:rPr>
          <w:sz w:val="20"/>
          <w:szCs w:val="20"/>
          <w:color w:val="auto"/>
        </w:rPr>
      </w:pPr>
    </w:p>
    <w:p>
      <w:pPr>
        <w:ind w:right="60"/>
        <w:spacing w:after="0" w:line="293" w:lineRule="auto"/>
        <w:rPr>
          <w:sz w:val="20"/>
          <w:szCs w:val="20"/>
          <w:color w:val="auto"/>
        </w:rPr>
      </w:pPr>
      <w:r>
        <w:rPr>
          <w:rFonts w:ascii="Arial" w:cs="Arial" w:eastAsia="Arial" w:hAnsi="Arial"/>
          <w:sz w:val="16"/>
          <w:szCs w:val="16"/>
          <w:color w:val="auto"/>
        </w:rPr>
        <w:t>We require substantial working capital to finance operations. The Money Transfer Segment funds the correspondent distribution network before receiving the benefit of amounts collected from customers by agents. Working capital needs increase due to weekends and international banking holidays. As a result, we may report more or less working capital for the Money Transfer Segment based solely upon the day on which the reporting period ends. As of March 31, 2014, working capital in the Money Transfer Segment was $90.0 million. We expect that working capital needs will increase as we continue to expand this business. The epay Segment produces positive working capital, but much of it is restricted in connection with the administration of its customer collection and vendor remittance activities. The EFT Processing Segment does not require substantial working capital.</w:t>
      </w:r>
    </w:p>
    <w:p>
      <w:pPr>
        <w:spacing w:after="0" w:line="57" w:lineRule="exact"/>
        <w:rPr>
          <w:sz w:val="20"/>
          <w:szCs w:val="20"/>
          <w:color w:val="auto"/>
        </w:rPr>
      </w:pPr>
    </w:p>
    <w:p>
      <w:pPr>
        <w:ind w:right="200"/>
        <w:spacing w:after="0" w:line="342" w:lineRule="auto"/>
        <w:rPr>
          <w:sz w:val="20"/>
          <w:szCs w:val="20"/>
          <w:color w:val="auto"/>
        </w:rPr>
      </w:pPr>
      <w:r>
        <w:rPr>
          <w:rFonts w:ascii="Arial" w:cs="Arial" w:eastAsia="Arial" w:hAnsi="Arial"/>
          <w:sz w:val="16"/>
          <w:szCs w:val="16"/>
          <w:color w:val="auto"/>
        </w:rPr>
        <w:t>We had cash and cash equivalents of $292.3 million at March 31, 2014, of which $219.3 million was held outside of the United States and is expected to be indefinitely reinvested for continued use in foreign operations. Repatriation of these assets to the U.S. could have negative tax consequences.</w:t>
      </w:r>
    </w:p>
    <w:p>
      <w:pPr>
        <w:spacing w:after="0" w:line="124"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identifies cash and cash equivalents provided by/(used in) our operating, investing and financing activities for the three months ended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March 31, 2014 and 2013 (in thousands):</w:t>
      </w:r>
    </w:p>
    <w:p>
      <w:pPr>
        <w:spacing w:after="0" w:line="148" w:lineRule="exact"/>
        <w:rPr>
          <w:sz w:val="20"/>
          <w:szCs w:val="20"/>
          <w:color w:val="auto"/>
        </w:rPr>
      </w:pPr>
    </w:p>
    <w:p>
      <w:pPr>
        <w:jc w:val="center"/>
        <w:ind w:left="7140"/>
        <w:spacing w:after="0"/>
        <w:rPr>
          <w:sz w:val="20"/>
          <w:szCs w:val="20"/>
          <w:color w:val="auto"/>
        </w:rPr>
      </w:pPr>
      <w:r>
        <w:rPr>
          <w:rFonts w:ascii="Arial" w:cs="Arial" w:eastAsia="Arial" w:hAnsi="Arial"/>
          <w:sz w:val="14"/>
          <w:szCs w:val="14"/>
          <w:b w:val="1"/>
          <w:bCs w:val="1"/>
          <w:color w:val="auto"/>
        </w:rPr>
        <w:t>Three Months Ended</w:t>
      </w:r>
    </w:p>
    <w:p>
      <w:pPr>
        <w:spacing w:after="0" w:line="4" w:lineRule="exact"/>
        <w:rPr>
          <w:sz w:val="20"/>
          <w:szCs w:val="20"/>
          <w:color w:val="auto"/>
        </w:rPr>
      </w:pPr>
    </w:p>
    <w:p>
      <w:pPr>
        <w:jc w:val="center"/>
        <w:ind w:left="7180"/>
        <w:spacing w:after="0"/>
        <w:rPr>
          <w:sz w:val="20"/>
          <w:szCs w:val="20"/>
          <w:color w:val="auto"/>
        </w:rPr>
      </w:pPr>
      <w:r>
        <w:rPr>
          <w:rFonts w:ascii="Arial" w:cs="Arial" w:eastAsia="Arial" w:hAnsi="Arial"/>
          <w:sz w:val="14"/>
          <w:szCs w:val="14"/>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4961890</wp:posOffset>
            </wp:positionH>
            <wp:positionV relativeFrom="paragraph">
              <wp:posOffset>13335</wp:posOffset>
            </wp:positionV>
            <wp:extent cx="186944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869440" cy="8890"/>
                    </a:xfrm>
                    <a:prstGeom prst="rect">
                      <a:avLst/>
                    </a:prstGeom>
                    <a:noFill/>
                  </pic:spPr>
                </pic:pic>
              </a:graphicData>
            </a:graphic>
          </wp:anchor>
        </w:drawing>
      </w:r>
    </w:p>
    <w:p>
      <w:pPr>
        <w:spacing w:after="0" w:line="87" w:lineRule="exact"/>
        <w:rPr>
          <w:sz w:val="20"/>
          <w:szCs w:val="20"/>
          <w:color w:val="auto"/>
        </w:rPr>
      </w:pPr>
    </w:p>
    <w:tbl>
      <w:tblPr>
        <w:tblLayout w:type="fixed"/>
        <w:tblInd w:w="660" w:type="dxa"/>
        <w:tblCellMar>
          <w:top w:w="0" w:type="dxa"/>
          <w:left w:w="0" w:type="dxa"/>
          <w:bottom w:w="0" w:type="dxa"/>
          <w:right w:w="0" w:type="dxa"/>
        </w:tblCellMar>
      </w:tblPr>
      <w:tr>
        <w:trPr>
          <w:trHeight w:val="192"/>
        </w:trPr>
        <w:tc>
          <w:tcPr>
            <w:tcW w:w="704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Liquidity</w:t>
            </w:r>
          </w:p>
        </w:tc>
        <w:tc>
          <w:tcPr>
            <w:tcW w:w="12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93"/>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73"/>
              <w:spacing w:after="0"/>
              <w:rPr>
                <w:sz w:val="20"/>
                <w:szCs w:val="20"/>
                <w:color w:val="auto"/>
              </w:rPr>
            </w:pPr>
            <w:r>
              <w:rPr>
                <w:rFonts w:ascii="Arial" w:cs="Arial" w:eastAsia="Arial" w:hAnsi="Arial"/>
                <w:sz w:val="14"/>
                <w:szCs w:val="14"/>
                <w:b w:val="1"/>
                <w:bCs w:val="1"/>
                <w:color w:val="auto"/>
              </w:rPr>
              <w:t>2013</w:t>
            </w:r>
          </w:p>
        </w:tc>
      </w:tr>
      <w:tr>
        <w:trPr>
          <w:trHeight w:val="250"/>
        </w:trPr>
        <w:tc>
          <w:tcPr>
            <w:tcW w:w="71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Cash and cash equivalents provided by (used in):</w:t>
            </w:r>
          </w:p>
        </w:tc>
        <w:tc>
          <w:tcPr>
            <w:tcW w:w="3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r>
      <w:tr>
        <w:trPr>
          <w:trHeight w:val="243"/>
        </w:trPr>
        <w:tc>
          <w:tcPr>
            <w:tcW w:w="7160" w:type="dxa"/>
            <w:vAlign w:val="bottom"/>
            <w:gridSpan w:val="2"/>
          </w:tcPr>
          <w:p>
            <w:pPr>
              <w:ind w:left="180"/>
              <w:spacing w:after="0"/>
              <w:rPr>
                <w:sz w:val="20"/>
                <w:szCs w:val="20"/>
                <w:color w:val="auto"/>
              </w:rPr>
            </w:pPr>
            <w:r>
              <w:rPr>
                <w:rFonts w:ascii="Arial" w:cs="Arial" w:eastAsia="Arial" w:hAnsi="Arial"/>
                <w:sz w:val="18"/>
                <w:szCs w:val="18"/>
                <w:color w:val="auto"/>
              </w:rPr>
              <w:t>Operating activities</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13"/>
              <w:spacing w:after="0"/>
              <w:rPr>
                <w:sz w:val="20"/>
                <w:szCs w:val="20"/>
                <w:color w:val="auto"/>
              </w:rPr>
            </w:pPr>
            <w:r>
              <w:rPr>
                <w:rFonts w:ascii="Arial" w:cs="Arial" w:eastAsia="Arial" w:hAnsi="Arial"/>
                <w:sz w:val="18"/>
                <w:szCs w:val="18"/>
                <w:color w:val="auto"/>
              </w:rPr>
              <w:t>53,059</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13"/>
              <w:spacing w:after="0"/>
              <w:rPr>
                <w:sz w:val="20"/>
                <w:szCs w:val="20"/>
                <w:color w:val="auto"/>
              </w:rPr>
            </w:pPr>
            <w:r>
              <w:rPr>
                <w:rFonts w:ascii="Arial" w:cs="Arial" w:eastAsia="Arial" w:hAnsi="Arial"/>
                <w:sz w:val="18"/>
                <w:szCs w:val="18"/>
                <w:color w:val="auto"/>
              </w:rPr>
              <w:t>15,742</w:t>
            </w:r>
          </w:p>
        </w:tc>
      </w:tr>
      <w:tr>
        <w:trPr>
          <w:trHeight w:val="27"/>
        </w:trPr>
        <w:tc>
          <w:tcPr>
            <w:tcW w:w="7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716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Investing activities</w:t>
            </w:r>
          </w:p>
        </w:tc>
        <w:tc>
          <w:tcPr>
            <w:tcW w:w="3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(12,245)</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(37,582)</w:t>
            </w:r>
          </w:p>
        </w:tc>
      </w:tr>
      <w:tr>
        <w:trPr>
          <w:trHeight w:val="243"/>
        </w:trPr>
        <w:tc>
          <w:tcPr>
            <w:tcW w:w="7160" w:type="dxa"/>
            <w:vAlign w:val="bottom"/>
            <w:gridSpan w:val="2"/>
          </w:tcPr>
          <w:p>
            <w:pPr>
              <w:ind w:left="180"/>
              <w:spacing w:after="0"/>
              <w:rPr>
                <w:sz w:val="20"/>
                <w:szCs w:val="20"/>
                <w:color w:val="auto"/>
              </w:rPr>
            </w:pPr>
            <w:r>
              <w:rPr>
                <w:rFonts w:ascii="Arial" w:cs="Arial" w:eastAsia="Arial" w:hAnsi="Arial"/>
                <w:sz w:val="18"/>
                <w:szCs w:val="18"/>
                <w:color w:val="auto"/>
              </w:rPr>
              <w:t>Financing activities</w:t>
            </w:r>
          </w:p>
        </w:tc>
        <w:tc>
          <w:tcPr>
            <w:tcW w:w="340" w:type="dxa"/>
            <w:vAlign w:val="bottom"/>
          </w:tcPr>
          <w:p>
            <w:pPr>
              <w:spacing w:after="0"/>
              <w:rPr>
                <w:sz w:val="21"/>
                <w:szCs w:val="21"/>
                <w:color w:val="auto"/>
              </w:rPr>
            </w:pPr>
          </w:p>
        </w:tc>
        <w:tc>
          <w:tcPr>
            <w:tcW w:w="1080" w:type="dxa"/>
            <w:vAlign w:val="bottom"/>
          </w:tcPr>
          <w:p>
            <w:pPr>
              <w:jc w:val="right"/>
              <w:ind w:right="13"/>
              <w:spacing w:after="0"/>
              <w:rPr>
                <w:sz w:val="20"/>
                <w:szCs w:val="20"/>
                <w:color w:val="auto"/>
              </w:rPr>
            </w:pPr>
            <w:r>
              <w:rPr>
                <w:rFonts w:ascii="Arial" w:cs="Arial" w:eastAsia="Arial" w:hAnsi="Arial"/>
                <w:sz w:val="18"/>
                <w:szCs w:val="18"/>
                <w:color w:val="auto"/>
              </w:rPr>
              <w:t>39,804</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(16,719)</w:t>
            </w:r>
          </w:p>
        </w:tc>
      </w:tr>
      <w:tr>
        <w:trPr>
          <w:trHeight w:val="27"/>
        </w:trPr>
        <w:tc>
          <w:tcPr>
            <w:tcW w:w="7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70"/>
        </w:trPr>
        <w:tc>
          <w:tcPr>
            <w:tcW w:w="716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Effect of exchange rate changes on cash and cash equivalents</w:t>
            </w:r>
          </w:p>
        </w:tc>
        <w:tc>
          <w:tcPr>
            <w:tcW w:w="34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1,856</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(1,447)</w:t>
            </w:r>
          </w:p>
        </w:tc>
      </w:tr>
      <w:tr>
        <w:trPr>
          <w:trHeight w:val="237"/>
        </w:trPr>
        <w:tc>
          <w:tcPr>
            <w:tcW w:w="7160" w:type="dxa"/>
            <w:vAlign w:val="bottom"/>
            <w:gridSpan w:val="2"/>
          </w:tcPr>
          <w:p>
            <w:pPr>
              <w:ind w:left="40"/>
              <w:spacing w:after="0"/>
              <w:rPr>
                <w:sz w:val="20"/>
                <w:szCs w:val="20"/>
                <w:color w:val="auto"/>
              </w:rPr>
            </w:pPr>
            <w:r>
              <w:rPr>
                <w:rFonts w:ascii="Arial" w:cs="Arial" w:eastAsia="Arial" w:hAnsi="Arial"/>
                <w:sz w:val="18"/>
                <w:szCs w:val="18"/>
                <w:color w:val="auto"/>
              </w:rPr>
              <w:t>Increase (decrease) in cash and cash equivalents</w:t>
            </w: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82,474</w:t>
            </w:r>
          </w:p>
        </w:tc>
        <w:tc>
          <w:tcPr>
            <w:tcW w:w="100" w:type="dxa"/>
            <w:vAlign w:val="bottom"/>
          </w:tcPr>
          <w:p>
            <w:pPr>
              <w:spacing w:after="0"/>
              <w:rPr>
                <w:sz w:val="20"/>
                <w:szCs w:val="20"/>
                <w:color w:val="auto"/>
              </w:rPr>
            </w:pP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(40,006)</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125" w:right="239" w:bottom="1440" w:gutter="0" w:footer="0" w:header="0"/>
        </w:sectPr>
      </w:pPr>
    </w:p>
    <w:bookmarkStart w:id="27" w:name="page28"/>
    <w:bookmarkEnd w:id="27"/>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activity cash flow</w:t>
      </w:r>
    </w:p>
    <w:p>
      <w:pPr>
        <w:spacing w:after="0" w:line="117"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Cash flows provided by operating activities were $53.1 million for the first quarter of 2014 compared to $15.7 million for the first quarter of 2013. The increase is primarily due to improved operating results and fluctuations in working capital mainly associated with the timing of the settlement processes with mobile operators in the epay Segment and with correspondents in the Money Transfer Segment.</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Investing activity cash flow</w:t>
      </w:r>
    </w:p>
    <w:p>
      <w:pPr>
        <w:spacing w:after="0" w:line="117"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Cash flows used in investing activities were $12.2 million for the first quarter of 2014 compared to $37.6 million for the first quarter of 2013. During the first quarter of 2014, we used $11.0 million for purchases of property and equipment compared to $6.1 million for the first quarter of 2013. Cash used for software development and other investing activities totaled $1.2 million for the first quarter of 2014 compared to $0.7 million for the first quarter of 2013. Additionally, we used $30.8 million for acquisitions during the first quarter of 2013.</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Financing activity cash flow</w:t>
      </w:r>
    </w:p>
    <w:p>
      <w:pPr>
        <w:spacing w:after="0" w:line="117" w:lineRule="exact"/>
        <w:rPr>
          <w:sz w:val="20"/>
          <w:szCs w:val="20"/>
          <w:color w:val="auto"/>
        </w:rPr>
      </w:pPr>
    </w:p>
    <w:p>
      <w:pPr>
        <w:ind w:right="80"/>
        <w:spacing w:after="0" w:line="270" w:lineRule="auto"/>
        <w:rPr>
          <w:sz w:val="20"/>
          <w:szCs w:val="20"/>
          <w:color w:val="auto"/>
        </w:rPr>
      </w:pPr>
      <w:r>
        <w:rPr>
          <w:rFonts w:ascii="Arial" w:cs="Arial" w:eastAsia="Arial" w:hAnsi="Arial"/>
          <w:sz w:val="17"/>
          <w:szCs w:val="17"/>
          <w:color w:val="auto"/>
        </w:rPr>
        <w:t>Cash flows provided by financing activities were $39.8 million for the first quarter of 2014 compared to cash flows used in financing activities of $16.7 million for the first quarter of 2013. Our financing activities for the first quarter of 2014 consisted of net borrowings of $39.0 million compared to net repayments of debt obligations of $10.2 million for the first quarter of 2013. To support the short-term cash needs of our Money Transfer Segment, we generally borrow amounts under our revolving credit facility several times each month to fund the correspondent network in advance of collecting remittance amounts from the agent network. These borrowings are repaid over a very short period of time, generally within a few days. As a result, during the first quarter of 2014 we had a total of $413.9 million in borrowings and $371.6 million in repayments under the revolving credit facility. Additionally, we paid $0.6 million and $0.7 million during the first quarter of 2014 and 2013, respectively, for capital lease obligations. During the first quarter of 2014, we used $1.3 million for the repayment of other short-term debt obligations. We used $7.9 million during the first quarter of 2013 for the acquisition of subsidiary shares from a holder of noncontrolling interests. Further, we received proceeds of $1.5 million and $2.2 million during the first quarter of 2014 and 2013, respectively, for the issuance of common stock in connection with our Stock Incentive Plan.</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sources of capital</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Credit Facility</w:t>
      </w:r>
    </w:p>
    <w:p>
      <w:pPr>
        <w:spacing w:after="0" w:line="117"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As of March 31, 2014, we had a $480 million senior secured credit facility (the "Credit Facility") consisting of a $390 million revolving credit facility, a $10 million India revolving credit facility and an $80 million term loan (which had been reduced to $66 million through principal amortization payments) (Term Loan A"). The revolving credit facility allows for borrowings in U.S. dollars, euro, British pound sterling, Australian dollars and/or Indian rupees. See "Credit Facility Amendment" below.</w:t>
      </w:r>
    </w:p>
    <w:p>
      <w:pPr>
        <w:spacing w:after="0" w:line="79"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As of March 31, 2014, the $390 million revolving credit facility contained a $200 million sublimit for the issuance of letters of credit and a $25 million sublimit for swingline loans. We use the revolving credit facility primarily to fund working capital requirements which are expected to increase as we expand the Money Transfer business. Based on our current projected working capital requirements, we anticipate that our revolving credit facility will be sufficient to fund our working capital needs.</w:t>
      </w:r>
    </w:p>
    <w:p>
      <w:pPr>
        <w:spacing w:after="0" w:line="79"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As of March 31, 2014, fees and interest on borrowings varied based upon the Company's consolidated total leverage ratio (as defined in the Company's Amended and Restated Credit Agreement) (the "Credit Agreement") and are based, in the case of letter of credit fees, on a margin, and in the case of interest, on a margin over London Inter-Bank Offered Rate ("LIBOR") or a margin over the base rate, as selected by us, with the applicable margin ranging from 1.5% to 2.5% for LIBOR loans and 0.5% to 1.5% for base rate loans.</w:t>
      </w:r>
    </w:p>
    <w:p>
      <w:pPr>
        <w:spacing w:after="0" w:line="79"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As of March 31, 2014, we had borrowings of $66.0 million outstanding under Term Loan A. We had $171.4 million of borrowings and $47.9 million of stand-by letters of credit outstanding under the revolving credit facility as of March 31, 2014. The remaining $180.7 million under the revolving credit facility was available for borrowing. As of March 31, 2014, our weighted average interest rates under the revolving credit facility and Term Loan A were 1.77% and 1.65%, respectively, excluding amortization of deferred financing costs.</w:t>
      </w:r>
    </w:p>
    <w:p>
      <w:pPr>
        <w:spacing w:after="0" w:line="79" w:lineRule="exact"/>
        <w:rPr>
          <w:sz w:val="20"/>
          <w:szCs w:val="20"/>
          <w:color w:val="auto"/>
        </w:rPr>
      </w:pPr>
    </w:p>
    <w:p>
      <w:pPr>
        <w:ind w:right="340"/>
        <w:spacing w:after="0" w:line="286" w:lineRule="auto"/>
        <w:rPr>
          <w:sz w:val="20"/>
          <w:szCs w:val="20"/>
          <w:color w:val="auto"/>
        </w:rPr>
      </w:pPr>
      <w:r>
        <w:rPr>
          <w:rFonts w:ascii="Arial" w:cs="Arial" w:eastAsia="Arial" w:hAnsi="Arial"/>
          <w:sz w:val="17"/>
          <w:szCs w:val="17"/>
          <w:u w:val="single" w:color="auto"/>
          <w:color w:val="auto"/>
        </w:rPr>
        <w:t>Short-term debt obligations</w:t>
      </w:r>
      <w:r>
        <w:rPr>
          <w:rFonts w:ascii="Arial" w:cs="Arial" w:eastAsia="Arial" w:hAnsi="Arial"/>
          <w:sz w:val="17"/>
          <w:szCs w:val="17"/>
          <w:color w:val="auto"/>
        </w:rPr>
        <w:t xml:space="preserve"> - Short-term debt obligations at March 31, 2014 were primarily comprised of $9.0 million of payments due in the next twelve months under Term Loan A. Certain of our subsidiaries also have available credit lines and overdraft facilities to supplement short-term working capital requirements, when necessary, and there was $1.0 million outstanding under these facilities as of March 31, 2014.</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125" w:right="239" w:bottom="1440" w:gutter="0" w:footer="0" w:header="0"/>
        </w:sectPr>
      </w:pPr>
    </w:p>
    <w:bookmarkStart w:id="28" w:name="page29"/>
    <w:bookmarkEnd w:id="28"/>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360"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u w:val="single" w:color="auto"/>
          <w:color w:val="auto"/>
        </w:rPr>
        <w:t>Credit facility amendment</w:t>
      </w:r>
      <w:r>
        <w:rPr>
          <w:rFonts w:ascii="Arial" w:cs="Arial" w:eastAsia="Arial" w:hAnsi="Arial"/>
          <w:sz w:val="18"/>
          <w:szCs w:val="18"/>
          <w:color w:val="auto"/>
        </w:rPr>
        <w:t xml:space="preserve"> - </w:t>
      </w:r>
      <w:r>
        <w:rPr>
          <w:rFonts w:ascii="Arial" w:cs="Arial" w:eastAsia="Arial" w:hAnsi="Arial"/>
          <w:sz w:val="18"/>
          <w:szCs w:val="18"/>
          <w:color w:val="252525"/>
        </w:rPr>
        <w:t>On April 9, 2014, the Company amended the Credit Agreement to, among other things,</w:t>
      </w:r>
      <w:r>
        <w:rPr>
          <w:rFonts w:ascii="Arial" w:cs="Arial" w:eastAsia="Arial" w:hAnsi="Arial"/>
          <w:sz w:val="18"/>
          <w:szCs w:val="18"/>
          <w:color w:val="auto"/>
        </w:rPr>
        <w:t xml:space="preserve"> (i) increase Term Loan A from $66 million to $75 million, (ii) increase the aggregate credit commitments under the Company’s revolving credit facility from $400 million to $600 million, (iii) reduce the margin over the LIBOR Rate and base rate by 12.5 basis points and (iv) extend the expiration date of the Credit Agreement from August 18, 2016 to April 9, 2019.</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uses of capital</w:t>
      </w:r>
    </w:p>
    <w:p>
      <w:pPr>
        <w:spacing w:after="0" w:line="225" w:lineRule="exact"/>
        <w:rPr>
          <w:sz w:val="20"/>
          <w:szCs w:val="20"/>
          <w:color w:val="auto"/>
        </w:rPr>
      </w:pPr>
    </w:p>
    <w:p>
      <w:pPr>
        <w:jc w:val="both"/>
        <w:ind w:right="140"/>
        <w:spacing w:after="0" w:line="286" w:lineRule="auto"/>
        <w:rPr>
          <w:sz w:val="20"/>
          <w:szCs w:val="20"/>
          <w:color w:val="auto"/>
        </w:rPr>
      </w:pPr>
      <w:r>
        <w:rPr>
          <w:rFonts w:ascii="Arial" w:cs="Arial" w:eastAsia="Arial" w:hAnsi="Arial"/>
          <w:sz w:val="17"/>
          <w:szCs w:val="17"/>
          <w:u w:val="single" w:color="auto"/>
          <w:color w:val="auto"/>
        </w:rPr>
        <w:t>Capital expenditures and needs</w:t>
      </w:r>
      <w:r>
        <w:rPr>
          <w:rFonts w:ascii="Arial" w:cs="Arial" w:eastAsia="Arial" w:hAnsi="Arial"/>
          <w:sz w:val="17"/>
          <w:szCs w:val="17"/>
          <w:color w:val="auto"/>
        </w:rPr>
        <w:t xml:space="preserve"> - Total capital expenditures for the first quarter of 2014 were $11.0 million. These capital expenditures were made primarily for the purchase of ATMs in Poland and India, as well as for office, data center and company store computer equipment and software, and POS terminals for the epay Segment. Total capital expenditures for 2014 are currently estimated to be approximately $45.0 million to $50.0 million.</w:t>
      </w:r>
    </w:p>
    <w:p>
      <w:pPr>
        <w:spacing w:after="0" w:line="166" w:lineRule="exact"/>
        <w:rPr>
          <w:sz w:val="20"/>
          <w:szCs w:val="20"/>
          <w:color w:val="auto"/>
        </w:rPr>
      </w:pPr>
    </w:p>
    <w:p>
      <w:pPr>
        <w:ind w:right="40"/>
        <w:spacing w:after="0" w:line="271" w:lineRule="auto"/>
        <w:rPr>
          <w:sz w:val="20"/>
          <w:szCs w:val="20"/>
          <w:color w:val="auto"/>
        </w:rPr>
      </w:pPr>
      <w:r>
        <w:rPr>
          <w:rFonts w:ascii="Arial" w:cs="Arial" w:eastAsia="Arial" w:hAnsi="Arial"/>
          <w:sz w:val="17"/>
          <w:szCs w:val="17"/>
          <w:color w:val="auto"/>
        </w:rPr>
        <w:t>In the epay Segment, approximately 85,000 of the approximately 647,000 POS devices that we operate are Company-owned, with the remaining terminals being operated as integrated cash register devices of our major retail customers or owned by the retailers. As our epay Segment expands, we expect to continue to add terminals in certain independent retail locations at a price of approximately $300 per terminal. We expect the proportion of owned terminals to total terminals operated to remain relatively constant. At current and projected cash flow levels, we anticipate that cash generated from operations, together with cash on hand and amounts available under our revolving credit facility and other existing and potential future financing sources, will be sufficient to meet our debt, leasing and capital expenditure obligations. If our capital resources are not sufficient to meet these obligations, we will seek to issue additional debt and/or equity under terms acceptable to us. However, we can offer no assurances that we will be able to obtain favorable terms for the refinancing of any of our debt or other obligations or for the issuance of additional equity.</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Share repurchase plan</w:t>
      </w:r>
    </w:p>
    <w:p>
      <w:pPr>
        <w:spacing w:after="0" w:line="117"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In September 2013, the Board of Directors authorized a stock repurchase program ("2013 Program") allowing Euronet to repurchase up to $100 million in value or 5 million shares of its common stock through September 19, 2015. Repurchases under the 2013 Program may take place in the open market or in privately negotiated transactions, including derivative transactions, and may be made under a Rule 10b5-1 plan. There were no repurchases of common stock under the 2013 Program during the first quarter of 2014.</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Acquisitions</w:t>
      </w:r>
    </w:p>
    <w:p>
      <w:pPr>
        <w:spacing w:after="0" w:line="117"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On March 7, 2014, the Company entered into a Share Purchase Agreement (the "Purchase Agreement") with the selling shareholders of all of the capital stock of EIM (FX) Limited and TBK (FM) Limited, each United Kingdom limited companies, which primarily operate under the trading names HiFX or HiFM. Under the terms of the Purchase Agreement, the selling shareholders will receive at closing an aggregate amount of purchase consideration of £145 million in cash and Euronet Common Stock. The number of shares of Euronet common stock to be issued will be based on the average closing price of Euronet common stock over the twenty trading-day period before closing and the average U.S. dollar to pounds sterling exchange rate over the five trading-day period before closing. Based on the March 31, 2014 exchange rate, the purchase consideration would be comprised of $184.5 million in cash and $56.5 million of Euronet common stock. HiFX offers account-to-account international payment services to high-income individuals and small-to-medium sized businesses, complementing Euronet’s existing consumer-to-consumer money transfer business. HiFX has an innovative multi-channel platform which allows customers to make transfers, track payments and manage their international payment activity online or through a customer service representative.</w:t>
      </w:r>
    </w:p>
    <w:p>
      <w:pPr>
        <w:spacing w:after="0" w:line="59"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The acquisition is subject to customary closing conditions, including certain regulatory approvals, and is currently expected to close during the second quarter of 2014.</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trends and uncertainties</w:t>
      </w:r>
    </w:p>
    <w:p>
      <w:pPr>
        <w:spacing w:after="0" w:line="117" w:lineRule="exact"/>
        <w:rPr>
          <w:sz w:val="20"/>
          <w:szCs w:val="20"/>
          <w:color w:val="auto"/>
        </w:rPr>
      </w:pPr>
    </w:p>
    <w:p>
      <w:pPr>
        <w:ind w:right="100"/>
        <w:spacing w:after="0" w:line="302" w:lineRule="auto"/>
        <w:rPr>
          <w:sz w:val="20"/>
          <w:szCs w:val="20"/>
          <w:color w:val="auto"/>
        </w:rPr>
      </w:pPr>
      <w:r>
        <w:rPr>
          <w:rFonts w:ascii="Arial" w:cs="Arial" w:eastAsia="Arial" w:hAnsi="Arial"/>
          <w:sz w:val="16"/>
          <w:szCs w:val="16"/>
          <w:color w:val="auto"/>
        </w:rPr>
        <w:t>Although Euronet has no direct investments in European sovereign debt, we are indirectly exposed to its risks. Many of the customers of our EFT Processing Segment are banks who may hold investments in European sovereign debt. To the extent those customers are negatively impacted by those investments, they may be less able to pay amounts owed to us or renew service agreements with us. Further, to the extent that sovereign debt concerns depress economic activity, such concerns may negatively impact the number of transactions processed on our epay and money transfer networks, resulting in lower revenues.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Inflation and functional currencies</w:t>
      </w:r>
    </w:p>
    <w:p>
      <w:pPr>
        <w:spacing w:after="0" w:line="117"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Generally, the countries in which we operate have experienced low and stable inflation in recent years. Therefore, the local currency in each of these markets is the functional currency. Currently, we do not believe that inflation will have a significant effect on our results of operations or financial position. We continually review inflation and the functional currency in each of the countries where we operate.</w:t>
      </w: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125" w:right="239" w:bottom="1440" w:gutter="0" w:footer="0" w:header="0"/>
        </w:sectPr>
      </w:pPr>
    </w:p>
    <w:bookmarkStart w:id="29" w:name="page30"/>
    <w:bookmarkEnd w:id="29"/>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 BALANCE SHEET ARRANGEMENTS</w:t>
      </w:r>
    </w:p>
    <w:p>
      <w:pPr>
        <w:spacing w:after="0" w:line="121"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On occasion, we grant guarantees of the obligations of our subsidiaries and we sometimes enter into agreements with commercial counterparties that contain indemnification provisions, the terms of which may vary depending on the negotiated terms of each respective agreement. Our liability under such indemnification provisions may be subject to time and materiality limitations, monetary caps and other conditions and defenses. As of March 31, 2014, there were no material changes from the disclosure in our Annual Report on Form 10-K for the year ended December 31, 2013. To date, we are not aware of any significant claims made by the indemnified parties or parties to whom we have provided guarantees on behalf of our subsidiaries and, accordingly, no liabilities have been recorded as of March 31, 2014. See also Note 12, Commitments, to the unaudited consolidated financial statements included elsewhere in this report.</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w:t>
      </w:r>
    </w:p>
    <w:p>
      <w:pPr>
        <w:spacing w:after="0" w:line="121"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As of March 31, 2014, there were no material changes outside the ordinary course of the Company's business from the disclosures relating to contractual obligations contained in our Annual Report on Form 10-K for the year ended December 31, 2013.</w:t>
      </w:r>
    </w:p>
    <w:p>
      <w:pPr>
        <w:spacing w:after="0" w:line="62"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On April 9, 2014, we amended our Credit Agreement. See the discussion under "Liquidity and Capital Resources - Other Sources of Capital - Credit Facility" above for additional information.</w:t>
      </w:r>
    </w:p>
    <w:p>
      <w:pPr>
        <w:spacing w:after="0" w:line="166" w:lineRule="exact"/>
        <w:rPr>
          <w:sz w:val="20"/>
          <w:szCs w:val="20"/>
          <w:color w:val="auto"/>
        </w:rPr>
      </w:pPr>
    </w:p>
    <w:p>
      <w:pPr>
        <w:ind w:right="4240"/>
        <w:spacing w:after="0" w:line="378" w:lineRule="auto"/>
        <w:rPr>
          <w:sz w:val="20"/>
          <w:szCs w:val="20"/>
          <w:color w:val="auto"/>
        </w:rPr>
      </w:pPr>
      <w:r>
        <w:rPr>
          <w:rFonts w:ascii="Arial" w:cs="Arial" w:eastAsia="Arial" w:hAnsi="Arial"/>
          <w:sz w:val="18"/>
          <w:szCs w:val="18"/>
          <w:b w:val="1"/>
          <w:bCs w:val="1"/>
          <w:color w:val="auto"/>
        </w:rPr>
        <w:t xml:space="preserve">ITEM 3. QUANTITATIVE AND QUALITATIVE DISCLOSURES ABOUT MARKET RISK </w:t>
      </w:r>
      <w:r>
        <w:rPr>
          <w:rFonts w:ascii="Arial" w:cs="Arial" w:eastAsia="Arial" w:hAnsi="Arial"/>
          <w:sz w:val="18"/>
          <w:szCs w:val="18"/>
          <w:i w:val="1"/>
          <w:iCs w:val="1"/>
          <w:color w:val="auto"/>
        </w:rPr>
        <w:t>Interest rate risk</w:t>
      </w:r>
    </w:p>
    <w:p>
      <w:pPr>
        <w:ind w:right="60"/>
        <w:spacing w:after="0" w:line="259" w:lineRule="auto"/>
        <w:rPr>
          <w:sz w:val="20"/>
          <w:szCs w:val="20"/>
          <w:color w:val="auto"/>
        </w:rPr>
      </w:pPr>
      <w:r>
        <w:rPr>
          <w:rFonts w:ascii="Arial" w:cs="Arial" w:eastAsia="Arial" w:hAnsi="Arial"/>
          <w:sz w:val="18"/>
          <w:szCs w:val="18"/>
          <w:color w:val="auto"/>
        </w:rPr>
        <w:t>As of March 31, 2014, our total debt outstanding was $243.2 million. Of this amount, $238.4 million, or 98% of our total debt obligations, relates to debt that accrues interest at variable rates. If we were to maintain these borrowings for one year and maximize the potential borrowings available under the revolving credit facility for one year, a 1% (100 basis points) increase in the applicable interest rate would result in additional annual interest expense to the Company of approximately $4.2 million.</w:t>
      </w:r>
    </w:p>
    <w:p>
      <w:pPr>
        <w:spacing w:after="0" w:line="79"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The remaining $4.8 million, or 2% of our total debt obligations, relates to capitalized leases with fixed payment and interest terms that expire between 2014 and 2018.</w:t>
      </w:r>
    </w:p>
    <w:p>
      <w:pPr>
        <w:spacing w:after="0" w:line="62"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Our excess cash is invested in instruments with original maturities of three months or less or in certificates of deposit that may be withdrawn at any time without penalty; therefore, as investments mature and are reinvested, the amount we earn will increase or decrease with changes in the underlying short-term interest rates.</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Foreign currency exchange rate risk</w:t>
      </w:r>
    </w:p>
    <w:p>
      <w:pPr>
        <w:spacing w:after="0" w:line="117"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For the first quarter of 2014, 75% of our revenues were generated in non-U.S. dollar countries and we expect to continue generating a significant portion of our revenues in countries with currencies other than the U.S. dollar.</w:t>
      </w:r>
    </w:p>
    <w:p>
      <w:pPr>
        <w:spacing w:after="0" w:line="62" w:lineRule="exact"/>
        <w:rPr>
          <w:sz w:val="20"/>
          <w:szCs w:val="20"/>
          <w:color w:val="auto"/>
        </w:rPr>
      </w:pPr>
    </w:p>
    <w:p>
      <w:pPr>
        <w:ind w:right="80"/>
        <w:spacing w:after="0" w:line="268" w:lineRule="auto"/>
        <w:rPr>
          <w:sz w:val="20"/>
          <w:szCs w:val="20"/>
          <w:color w:val="auto"/>
        </w:rPr>
      </w:pPr>
      <w:r>
        <w:rPr>
          <w:rFonts w:ascii="Arial" w:cs="Arial" w:eastAsia="Arial" w:hAnsi="Arial"/>
          <w:sz w:val="17"/>
          <w:szCs w:val="17"/>
          <w:color w:val="auto"/>
        </w:rPr>
        <w:t>We are particularly vulnerable to fluctuations in exchange rates of the U.S. dollar to the currencies of countries in which we have significant operations, primarily the Australian dollar, Brazilian real, British pound, euro, Indian Rupee, Hungarian forint and Polish zloty. As of March 31, 2014, we estimate that a 10% fluctuation in these foreign currency exchange rates would have the combined annualized effect on reported net income and working capital of approximately $35 million to $40 million. This effect is estimated by applying a 10% adjustment factor to our non-U.S. dollar results from operations, intercompany loans that generate foreign currency gains or losses and working capital balances that require translation from the respective functional currency to the U.S. dollar reporting currency. Additionally, we have other non-current, non-U.S. dollar assets and liabilities on our balance sheet that are translated to the U.S. dollar during consolidation. These items primarily represent goodwill and intangible assets recorded in connection with acquisitions in countries other than the U.S. We estimate that a 10% fluctuation in foreign currency exchange rates would have a non-cash impact on total comprehensive income of approximately $50 million to $55 million as a result of the change in value of these items during translation to the U.S. dollar. For the fluctuations described above, a strengthening U.S. dollar produces a financial loss, while a weakening U.S. dollar produces a financial gain. We believe this quantitative measure has inherent limitations and does not take into account any governmental actions or changes in either customer purchasing patterns or our financing or operating strategies. Because a majority of our revenues and expenses are incurred in the functional currencies of our international operating entities, the profits we earn in foreign currencies are positively impacted by the weakening of the U.S. dollar and negatively impacted by the strengthening of the U.S. dollar. Additionally, our debt obligations are primarily in U.S. dollars; therefore, as foreign currency exchange rates fluctuate, the amount available for repayment of debt will also increase or decrease.</w:t>
      </w:r>
    </w:p>
    <w:p>
      <w:pPr>
        <w:spacing w:after="0" w:line="75" w:lineRule="exact"/>
        <w:rPr>
          <w:sz w:val="20"/>
          <w:szCs w:val="20"/>
          <w:color w:val="auto"/>
        </w:rPr>
      </w:pPr>
    </w:p>
    <w:p>
      <w:pPr>
        <w:jc w:val="both"/>
        <w:ind w:right="20"/>
        <w:spacing w:after="0" w:line="259" w:lineRule="auto"/>
        <w:rPr>
          <w:sz w:val="20"/>
          <w:szCs w:val="20"/>
          <w:color w:val="auto"/>
        </w:rPr>
      </w:pPr>
      <w:r>
        <w:rPr>
          <w:rFonts w:ascii="Arial" w:cs="Arial" w:eastAsia="Arial" w:hAnsi="Arial"/>
          <w:sz w:val="18"/>
          <w:szCs w:val="18"/>
          <w:color w:val="auto"/>
        </w:rPr>
        <w:t>We are also exposed to foreign currency exchange rate risk in our Money Transfer Segment. A majority of the money transfer business involves receiving and disbursing different currencies, in which we earn a foreign currency spread based on the difference between buying currency at wholesale exchange rates and selling the currency to consumers at retail exchange rates. This spread provides some protection against currency fluctuations that occur while we are holding the foreign currency. Our</w:t>
      </w: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125" w:right="239" w:bottom="1440" w:gutter="0" w:footer="0" w:header="0"/>
        </w:sectPr>
      </w:pPr>
    </w:p>
    <w:bookmarkStart w:id="30" w:name="page31"/>
    <w:bookmarkEnd w:id="30"/>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360" w:lineRule="exact"/>
        <w:rPr>
          <w:sz w:val="20"/>
          <w:szCs w:val="20"/>
          <w:color w:val="auto"/>
        </w:rPr>
      </w:pPr>
    </w:p>
    <w:p>
      <w:pPr>
        <w:ind w:right="180"/>
        <w:spacing w:after="0" w:line="297" w:lineRule="auto"/>
        <w:rPr>
          <w:sz w:val="20"/>
          <w:szCs w:val="20"/>
          <w:color w:val="auto"/>
        </w:rPr>
      </w:pPr>
      <w:r>
        <w:rPr>
          <w:rFonts w:ascii="Arial" w:cs="Arial" w:eastAsia="Arial" w:hAnsi="Arial"/>
          <w:sz w:val="16"/>
          <w:szCs w:val="16"/>
          <w:color w:val="auto"/>
        </w:rPr>
        <w:t>exposure to changes in foreign currency exchange rates is limited by the fact that disbursement occurs for the majority of transactions shortly after they are initiated. Additionally, we enter into foreign currency forward contracts primarily to help offset foreign currency exposure related to the notional value of money transfer transactions collected in currencies other than the U.S. dollar. As of March 31, 2014, we had foreign currency forward contracts outstanding with a notional value of $136.0 million, primarily in Australian dollars, British pounds, euros and Mexican pesos, that were not designated as hedges and mature in a weighted average of two days. The fair value of these forward contracts as of March 31, 2014 was a net unrealized loss of $81 thousand.</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121"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Our executive management, including our Chief Executive Officer and Chief Financial Officer, evaluated the effectiveness of the design and operation of our disclosure controls and procedures pursuant to Rule 13a-15(b) under the Exchange Act as of March 31, 2014. Based on this evaluation, our Chief Executive Officer and Chief Financial Officer have concluded that the design and operation of these disclosure controls and procedures were effective as of such date to provide reasonable assurance that information required to be disclosed in our reports under the Exchange Act is recorded, processed, summarized and reported within the time periods specified in the rules and forms of the SEC, and that such information is accumulated and communicated to our management, including our Chief Executive Officer and Chief Financial Officer, as appropriate, to allow timely decisions regarding required disclosures.</w:t>
      </w:r>
    </w:p>
    <w:p>
      <w:pPr>
        <w:spacing w:after="0" w:line="5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Change in Internal Controls</w:t>
      </w:r>
    </w:p>
    <w:p>
      <w:pPr>
        <w:spacing w:after="0" w:line="117"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There have not been any changes in internal control over financial reporting during the three months ended March 31, 2014 that have materially affected, or are reasonably likely to materially affect, our internal control over financial reporting.</w:t>
      </w:r>
    </w:p>
    <w:p>
      <w:pPr>
        <w:spacing w:after="0" w:line="200" w:lineRule="exact"/>
        <w:rPr>
          <w:sz w:val="20"/>
          <w:szCs w:val="20"/>
          <w:color w:val="auto"/>
        </w:rPr>
      </w:pPr>
    </w:p>
    <w:p>
      <w:pPr>
        <w:spacing w:after="0" w:line="29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II—OTHER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Company is, from time to time, a party to legal or regulatory proceedings arising in the ordinary course of its business.</w:t>
      </w:r>
    </w:p>
    <w:p>
      <w:pPr>
        <w:spacing w:after="0" w:line="225" w:lineRule="exact"/>
        <w:rPr>
          <w:sz w:val="20"/>
          <w:szCs w:val="20"/>
          <w:color w:val="auto"/>
        </w:rPr>
      </w:pPr>
    </w:p>
    <w:p>
      <w:pPr>
        <w:ind w:right="580"/>
        <w:spacing w:after="0" w:line="277" w:lineRule="auto"/>
        <w:rPr>
          <w:sz w:val="20"/>
          <w:szCs w:val="20"/>
          <w:color w:val="auto"/>
        </w:rPr>
      </w:pPr>
      <w:r>
        <w:rPr>
          <w:rFonts w:ascii="Arial" w:cs="Arial" w:eastAsia="Arial" w:hAnsi="Arial"/>
          <w:sz w:val="18"/>
          <w:szCs w:val="18"/>
          <w:color w:val="auto"/>
        </w:rPr>
        <w:t>The discussion regarding contingencies in Part I, Item 1 — Financial Statements (Unaudited), Note 13, Litigation and Contingencies, to the unaudited consolidated financial statements in this report is incorporated herein by reference.</w:t>
      </w:r>
    </w:p>
    <w:p>
      <w:pPr>
        <w:spacing w:after="0" w:line="62"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Currently, there are no other legal or regulatory proceedings that management believes, either individually or in the aggregate, would have a material adverse effect on the Company's consolidated financial condition or results of operations. In accordance with U.S. GAAP, we record a liability when it is both probable that a liability has been incurred and the amount of the loss can be reasonably estimated. These liabilities are reviewed at least quarterly and adjusted to reflect the impacts of negotiations, settlements, rulings, advice of legal counsel, and other information and events pertaining to a particular case or proceeding.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00"/>
          </w:cols>
          <w:pgMar w:left="240" w:top="125" w:right="259" w:bottom="1440" w:gutter="0" w:footer="0" w:header="0"/>
        </w:sectPr>
      </w:pPr>
    </w:p>
    <w:bookmarkStart w:id="31" w:name="page32"/>
    <w:bookmarkEnd w:id="31"/>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29" w:lineRule="exact"/>
        <w:rPr>
          <w:sz w:val="20"/>
          <w:szCs w:val="20"/>
          <w:color w:val="auto"/>
        </w:rPr>
      </w:pPr>
    </w:p>
    <w:p>
      <w:pPr>
        <w:ind w:right="60"/>
        <w:spacing w:after="0" w:line="271" w:lineRule="auto"/>
        <w:rPr>
          <w:sz w:val="20"/>
          <w:szCs w:val="20"/>
          <w:color w:val="auto"/>
        </w:rPr>
      </w:pPr>
      <w:r>
        <w:rPr>
          <w:rFonts w:ascii="Arial" w:cs="Arial" w:eastAsia="Arial" w:hAnsi="Arial"/>
          <w:sz w:val="17"/>
          <w:szCs w:val="17"/>
          <w:i w:val="1"/>
          <w:iCs w:val="1"/>
          <w:color w:val="auto"/>
        </w:rPr>
        <w:t>You should carefully consider the risks described in Part I, Item 1A. Risk Factors in our Annual Report on Form 10-K for the fiscal year ended December 31, 2013, as may be updated in our subsequent filings with the SEC, before making an investment decision. Our operations are subject to a number of risks and uncertainties, including the risks and uncertainties described in our Annual Report on Form 10-K, as may be updated by any subsequent Quarterly Reports on Form 10-Q. If any of the risks identified in our Annual Report on Form 10-K, as may be updated by any subsequent Quarterly Reports on Form 10-Q, actually occurs, our business, financial condition or results of operations could be materially adversely affected. In that case, the trading price of our common stock could decline substantially. This Quarterly Report also contains forward-looking statements that involve risks and uncertainties. Our actual results could differ materially from those anticipated in the forward-looking statements as a result of a number of factors, including the risks described in our Risk Factors and elsewhere in this Quarterly Report.</w:t>
      </w:r>
    </w:p>
    <w:p>
      <w:pPr>
        <w:spacing w:after="0" w:line="179"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i w:val="1"/>
          <w:iCs w:val="1"/>
          <w:color w:val="auto"/>
        </w:rPr>
        <w:t>There have been no material changes from the risk factors previously disclosed in the Company's Annual Report on Form 10-K for the year ended December 31, 2013 as filed with the Securities and Exchange Commission.</w:t>
      </w:r>
    </w:p>
    <w:p>
      <w:pPr>
        <w:spacing w:after="0" w:line="166"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color w:val="auto"/>
        </w:rPr>
        <w:t>UNREGISTERED SALES OF EQUITY SECURITIES AND USE OF PROCEEDS</w:t>
      </w:r>
    </w:p>
    <w:p>
      <w:pPr>
        <w:spacing w:after="0" w:line="229"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color w:val="auto"/>
        </w:rPr>
        <w:t>The following table provides information with respect to shares of restricted stock awards granted under our Stock Incentive Plan that we withheld upon vesting to satisfy our tax withholding obligations during the three months ended March 31, 2014.</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68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00" w:type="dxa"/>
            <w:vAlign w:val="bottom"/>
          </w:tcPr>
          <w:p>
            <w:pPr>
              <w:jc w:val="center"/>
              <w:spacing w:after="0"/>
              <w:rPr>
                <w:sz w:val="20"/>
                <w:szCs w:val="20"/>
                <w:color w:val="auto"/>
              </w:rPr>
            </w:pPr>
            <w:r>
              <w:rPr>
                <w:rFonts w:ascii="Arial" w:cs="Arial" w:eastAsia="Arial" w:hAnsi="Arial"/>
                <w:sz w:val="14"/>
                <w:szCs w:val="14"/>
                <w:b w:val="1"/>
                <w:bCs w:val="1"/>
                <w:color w:val="auto"/>
                <w:w w:val="93"/>
              </w:rPr>
              <w:t>Total Number of Shares</w:t>
            </w:r>
          </w:p>
        </w:tc>
        <w:tc>
          <w:tcPr>
            <w:tcW w:w="120" w:type="dxa"/>
            <w:vAlign w:val="bottom"/>
          </w:tcPr>
          <w:p>
            <w:pPr>
              <w:spacing w:after="0"/>
              <w:rPr>
                <w:sz w:val="14"/>
                <w:szCs w:val="14"/>
                <w:color w:val="auto"/>
              </w:rPr>
            </w:pPr>
          </w:p>
        </w:tc>
        <w:tc>
          <w:tcPr>
            <w:tcW w:w="1820" w:type="dxa"/>
            <w:vAlign w:val="bottom"/>
            <w:gridSpan w:val="2"/>
          </w:tcPr>
          <w:p>
            <w:pPr>
              <w:jc w:val="right"/>
              <w:ind w:right="19"/>
              <w:spacing w:after="0"/>
              <w:rPr>
                <w:sz w:val="20"/>
                <w:szCs w:val="20"/>
                <w:color w:val="auto"/>
              </w:rPr>
            </w:pPr>
            <w:r>
              <w:rPr>
                <w:rFonts w:ascii="Arial" w:cs="Arial" w:eastAsia="Arial" w:hAnsi="Arial"/>
                <w:sz w:val="14"/>
                <w:szCs w:val="14"/>
                <w:b w:val="1"/>
                <w:bCs w:val="1"/>
                <w:color w:val="auto"/>
              </w:rPr>
              <w:t>Maximum Dollar Value of</w:t>
            </w:r>
          </w:p>
        </w:tc>
        <w:tc>
          <w:tcPr>
            <w:tcW w:w="0" w:type="dxa"/>
            <w:vAlign w:val="bottom"/>
          </w:tcPr>
          <w:p>
            <w:pPr>
              <w:spacing w:after="0"/>
              <w:rPr>
                <w:sz w:val="1"/>
                <w:szCs w:val="1"/>
                <w:color w:val="auto"/>
              </w:rPr>
            </w:pPr>
          </w:p>
        </w:tc>
      </w:tr>
      <w:tr>
        <w:trPr>
          <w:trHeight w:val="149"/>
        </w:trPr>
        <w:tc>
          <w:tcPr>
            <w:tcW w:w="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680" w:type="dxa"/>
            <w:vAlign w:val="bottom"/>
          </w:tcPr>
          <w:p>
            <w:pPr>
              <w:spacing w:after="0"/>
              <w:rPr>
                <w:sz w:val="12"/>
                <w:szCs w:val="12"/>
                <w:color w:val="auto"/>
              </w:rPr>
            </w:pPr>
          </w:p>
        </w:tc>
        <w:tc>
          <w:tcPr>
            <w:tcW w:w="1740" w:type="dxa"/>
            <w:vAlign w:val="bottom"/>
            <w:vMerge w:val="restart"/>
          </w:tcPr>
          <w:p>
            <w:pPr>
              <w:jc w:val="right"/>
              <w:ind w:right="56"/>
              <w:spacing w:after="0"/>
              <w:rPr>
                <w:sz w:val="20"/>
                <w:szCs w:val="20"/>
                <w:color w:val="auto"/>
              </w:rPr>
            </w:pPr>
            <w:r>
              <w:rPr>
                <w:rFonts w:ascii="Arial" w:cs="Arial" w:eastAsia="Arial" w:hAnsi="Arial"/>
                <w:sz w:val="14"/>
                <w:szCs w:val="14"/>
                <w:b w:val="1"/>
                <w:bCs w:val="1"/>
                <w:color w:val="auto"/>
              </w:rPr>
              <w:t>Total Number of Shares</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8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3"/>
              </w:rPr>
              <w:t>Average Price Paid per</w:t>
            </w:r>
          </w:p>
        </w:tc>
        <w:tc>
          <w:tcPr>
            <w:tcW w:w="17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Purchased as Part of</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60" w:type="dxa"/>
            <w:vAlign w:val="bottom"/>
          </w:tcPr>
          <w:p>
            <w:pPr>
              <w:jc w:val="center"/>
              <w:ind w:right="79"/>
              <w:spacing w:after="0" w:line="149" w:lineRule="exact"/>
              <w:rPr>
                <w:sz w:val="20"/>
                <w:szCs w:val="20"/>
                <w:color w:val="auto"/>
              </w:rPr>
            </w:pPr>
            <w:r>
              <w:rPr>
                <w:rFonts w:ascii="Arial" w:cs="Arial" w:eastAsia="Arial" w:hAnsi="Arial"/>
                <w:sz w:val="14"/>
                <w:szCs w:val="14"/>
                <w:b w:val="1"/>
                <w:bCs w:val="1"/>
                <w:color w:val="auto"/>
                <w:w w:val="94"/>
              </w:rPr>
              <w:t>Shares that May Yet Be</w:t>
            </w:r>
          </w:p>
        </w:tc>
        <w:tc>
          <w:tcPr>
            <w:tcW w:w="0" w:type="dxa"/>
            <w:vAlign w:val="bottom"/>
          </w:tcPr>
          <w:p>
            <w:pPr>
              <w:spacing w:after="0"/>
              <w:rPr>
                <w:sz w:val="1"/>
                <w:szCs w:val="1"/>
                <w:color w:val="auto"/>
              </w:rPr>
            </w:pPr>
          </w:p>
        </w:tc>
      </w:tr>
      <w:tr>
        <w:trPr>
          <w:trHeight w:val="149"/>
        </w:trPr>
        <w:tc>
          <w:tcPr>
            <w:tcW w:w="412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Period</w:t>
            </w:r>
          </w:p>
        </w:tc>
        <w:tc>
          <w:tcPr>
            <w:tcW w:w="174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80" w:type="dxa"/>
            <w:vAlign w:val="bottom"/>
            <w:gridSpan w:val="2"/>
            <w:vMerge w:val="continue"/>
          </w:tcPr>
          <w:p>
            <w:pPr>
              <w:spacing w:after="0"/>
              <w:rPr>
                <w:sz w:val="12"/>
                <w:szCs w:val="12"/>
                <w:color w:val="auto"/>
              </w:rPr>
            </w:pPr>
          </w:p>
        </w:tc>
        <w:tc>
          <w:tcPr>
            <w:tcW w:w="17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Publicly Announced Plans</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60" w:type="dxa"/>
            <w:vAlign w:val="bottom"/>
          </w:tcPr>
          <w:p>
            <w:pPr>
              <w:jc w:val="center"/>
              <w:ind w:right="79"/>
              <w:spacing w:after="0" w:line="149" w:lineRule="exact"/>
              <w:rPr>
                <w:sz w:val="20"/>
                <w:szCs w:val="20"/>
                <w:color w:val="auto"/>
              </w:rPr>
            </w:pPr>
            <w:r>
              <w:rPr>
                <w:rFonts w:ascii="Arial" w:cs="Arial" w:eastAsia="Arial" w:hAnsi="Arial"/>
                <w:sz w:val="14"/>
                <w:szCs w:val="14"/>
                <w:b w:val="1"/>
                <w:bCs w:val="1"/>
                <w:color w:val="auto"/>
                <w:w w:val="92"/>
              </w:rPr>
              <w:t>Purchased Under the</w:t>
            </w:r>
          </w:p>
        </w:tc>
        <w:tc>
          <w:tcPr>
            <w:tcW w:w="0" w:type="dxa"/>
            <w:vAlign w:val="bottom"/>
          </w:tcPr>
          <w:p>
            <w:pPr>
              <w:spacing w:after="0"/>
              <w:rPr>
                <w:sz w:val="1"/>
                <w:szCs w:val="1"/>
                <w:color w:val="auto"/>
              </w:rPr>
            </w:pPr>
          </w:p>
        </w:tc>
      </w:tr>
      <w:tr>
        <w:trPr>
          <w:trHeight w:val="158"/>
        </w:trPr>
        <w:tc>
          <w:tcPr>
            <w:tcW w:w="4120" w:type="dxa"/>
            <w:vAlign w:val="bottom"/>
            <w:gridSpan w:val="3"/>
            <w:vMerge w:val="continue"/>
          </w:tcPr>
          <w:p>
            <w:pPr>
              <w:spacing w:after="0"/>
              <w:rPr>
                <w:sz w:val="13"/>
                <w:szCs w:val="13"/>
                <w:color w:val="auto"/>
              </w:rPr>
            </w:pPr>
          </w:p>
        </w:tc>
        <w:tc>
          <w:tcPr>
            <w:tcW w:w="1740" w:type="dxa"/>
            <w:vAlign w:val="bottom"/>
          </w:tcPr>
          <w:p>
            <w:pPr>
              <w:jc w:val="right"/>
              <w:ind w:right="456"/>
              <w:spacing w:after="0" w:line="158" w:lineRule="exact"/>
              <w:rPr>
                <w:sz w:val="20"/>
                <w:szCs w:val="20"/>
                <w:color w:val="auto"/>
              </w:rPr>
            </w:pPr>
            <w:r>
              <w:rPr>
                <w:rFonts w:ascii="Arial" w:cs="Arial" w:eastAsia="Arial" w:hAnsi="Arial"/>
                <w:sz w:val="14"/>
                <w:szCs w:val="14"/>
                <w:b w:val="1"/>
                <w:bCs w:val="1"/>
                <w:color w:val="auto"/>
              </w:rPr>
              <w:t>Purchased</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80" w:type="dxa"/>
            <w:vAlign w:val="bottom"/>
            <w:gridSpan w:val="2"/>
          </w:tcPr>
          <w:p>
            <w:pPr>
              <w:jc w:val="center"/>
              <w:ind w:right="240"/>
              <w:spacing w:after="0" w:line="158" w:lineRule="exact"/>
              <w:rPr>
                <w:sz w:val="20"/>
                <w:szCs w:val="20"/>
                <w:color w:val="auto"/>
              </w:rPr>
            </w:pPr>
            <w:r>
              <w:rPr>
                <w:rFonts w:ascii="Arial" w:cs="Arial" w:eastAsia="Arial" w:hAnsi="Arial"/>
                <w:sz w:val="14"/>
                <w:szCs w:val="14"/>
                <w:b w:val="1"/>
                <w:bCs w:val="1"/>
                <w:color w:val="auto"/>
                <w:w w:val="92"/>
              </w:rPr>
              <w:t>Share</w:t>
            </w:r>
          </w:p>
        </w:tc>
        <w:tc>
          <w:tcPr>
            <w:tcW w:w="170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93"/>
              </w:rPr>
              <w:t>or Programs</w:t>
            </w: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60" w:type="dxa"/>
            <w:vAlign w:val="bottom"/>
          </w:tcPr>
          <w:p>
            <w:pPr>
              <w:jc w:val="center"/>
              <w:ind w:right="79"/>
              <w:spacing w:after="0" w:line="158" w:lineRule="exact"/>
              <w:rPr>
                <w:sz w:val="20"/>
                <w:szCs w:val="20"/>
                <w:color w:val="auto"/>
              </w:rPr>
            </w:pPr>
            <w:r>
              <w:rPr>
                <w:rFonts w:ascii="Arial" w:cs="Arial" w:eastAsia="Arial" w:hAnsi="Arial"/>
                <w:sz w:val="14"/>
                <w:szCs w:val="14"/>
                <w:b w:val="1"/>
                <w:bCs w:val="1"/>
                <w:color w:val="auto"/>
                <w:w w:val="94"/>
              </w:rPr>
              <w:t>Programs (1)</w:t>
            </w:r>
          </w:p>
        </w:tc>
        <w:tc>
          <w:tcPr>
            <w:tcW w:w="0" w:type="dxa"/>
            <w:vAlign w:val="bottom"/>
          </w:tcPr>
          <w:p>
            <w:pPr>
              <w:spacing w:after="0"/>
              <w:rPr>
                <w:sz w:val="1"/>
                <w:szCs w:val="1"/>
                <w:color w:val="auto"/>
              </w:rPr>
            </w:pP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400" w:type="dxa"/>
            <w:vAlign w:val="bottom"/>
            <w:tcBorders>
              <w:top w:val="single" w:sz="8" w:color="auto"/>
              <w:bottom w:val="single" w:sz="8" w:color="CCEEFF"/>
            </w:tcBorders>
          </w:tcPr>
          <w:p>
            <w:pPr>
              <w:spacing w:after="0" w:line="20" w:lineRule="exact"/>
              <w:rPr>
                <w:sz w:val="1"/>
                <w:szCs w:val="1"/>
                <w:color w:val="auto"/>
              </w:rPr>
            </w:pPr>
          </w:p>
        </w:tc>
        <w:tc>
          <w:tcPr>
            <w:tcW w:w="3680" w:type="dxa"/>
            <w:vAlign w:val="bottom"/>
            <w:tcBorders>
              <w:bottom w:val="single" w:sz="8" w:color="CCEEFF"/>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4"/>
        </w:trPr>
        <w:tc>
          <w:tcPr>
            <w:tcW w:w="41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January 1 - January 31, 2014</w:t>
            </w:r>
          </w:p>
        </w:tc>
        <w:tc>
          <w:tcPr>
            <w:tcW w:w="174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273</w:t>
            </w:r>
          </w:p>
        </w:tc>
        <w:tc>
          <w:tcPr>
            <w:tcW w:w="2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47.85</w:t>
            </w:r>
          </w:p>
        </w:tc>
        <w:tc>
          <w:tcPr>
            <w:tcW w:w="10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ind w:left="14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100,000,000</w:t>
            </w:r>
          </w:p>
        </w:tc>
        <w:tc>
          <w:tcPr>
            <w:tcW w:w="0" w:type="dxa"/>
            <w:vAlign w:val="bottom"/>
          </w:tcPr>
          <w:p>
            <w:pPr>
              <w:spacing w:after="0"/>
              <w:rPr>
                <w:sz w:val="1"/>
                <w:szCs w:val="1"/>
                <w:color w:val="auto"/>
              </w:rPr>
            </w:pPr>
          </w:p>
        </w:tc>
      </w:tr>
      <w:tr>
        <w:trPr>
          <w:trHeight w:val="243"/>
        </w:trPr>
        <w:tc>
          <w:tcPr>
            <w:tcW w:w="4120" w:type="dxa"/>
            <w:vAlign w:val="bottom"/>
            <w:gridSpan w:val="3"/>
          </w:tcPr>
          <w:p>
            <w:pPr>
              <w:ind w:left="40"/>
              <w:spacing w:after="0"/>
              <w:rPr>
                <w:sz w:val="20"/>
                <w:szCs w:val="20"/>
                <w:color w:val="auto"/>
              </w:rPr>
            </w:pPr>
            <w:r>
              <w:rPr>
                <w:rFonts w:ascii="Arial" w:cs="Arial" w:eastAsia="Arial" w:hAnsi="Arial"/>
                <w:sz w:val="18"/>
                <w:szCs w:val="18"/>
                <w:color w:val="auto"/>
              </w:rPr>
              <w:t>February 1 - February 28, 2014</w:t>
            </w:r>
          </w:p>
        </w:tc>
        <w:tc>
          <w:tcPr>
            <w:tcW w:w="1740" w:type="dxa"/>
            <w:vAlign w:val="bottom"/>
          </w:tcPr>
          <w:p>
            <w:pPr>
              <w:jc w:val="right"/>
              <w:ind w:right="36"/>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700" w:type="dxa"/>
            <w:vAlign w:val="bottom"/>
          </w:tcPr>
          <w:p>
            <w:pPr>
              <w:ind w:left="14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660" w:type="dxa"/>
            <w:vAlign w:val="bottom"/>
          </w:tcPr>
          <w:p>
            <w:pPr>
              <w:jc w:val="right"/>
              <w:ind w:right="19"/>
              <w:spacing w:after="0"/>
              <w:rPr>
                <w:sz w:val="20"/>
                <w:szCs w:val="20"/>
                <w:color w:val="auto"/>
              </w:rPr>
            </w:pPr>
            <w:r>
              <w:rPr>
                <w:rFonts w:ascii="Arial" w:cs="Arial" w:eastAsia="Arial" w:hAnsi="Arial"/>
                <w:sz w:val="18"/>
                <w:szCs w:val="18"/>
                <w:color w:val="auto"/>
              </w:rPr>
              <w:t>100,000,000</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400" w:type="dxa"/>
            <w:vAlign w:val="bottom"/>
          </w:tcPr>
          <w:p>
            <w:pPr>
              <w:spacing w:after="0"/>
              <w:rPr>
                <w:sz w:val="2"/>
                <w:szCs w:val="2"/>
                <w:color w:val="auto"/>
              </w:rPr>
            </w:pPr>
          </w:p>
        </w:tc>
        <w:tc>
          <w:tcPr>
            <w:tcW w:w="368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1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March 1, 2014 - March 31, 2014</w:t>
            </w:r>
          </w:p>
        </w:tc>
        <w:tc>
          <w:tcPr>
            <w:tcW w:w="174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6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700" w:type="dxa"/>
            <w:vAlign w:val="bottom"/>
            <w:tcBorders>
              <w:bottom w:val="single" w:sz="8" w:color="CCEEFF"/>
            </w:tcBorders>
            <w:shd w:val="clear" w:color="auto" w:fill="CCEEFF"/>
          </w:tcPr>
          <w:p>
            <w:pPr>
              <w:ind w:left="14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6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100,000,000</w:t>
            </w:r>
          </w:p>
        </w:tc>
        <w:tc>
          <w:tcPr>
            <w:tcW w:w="0" w:type="dxa"/>
            <w:vAlign w:val="bottom"/>
          </w:tcPr>
          <w:p>
            <w:pPr>
              <w:spacing w:after="0"/>
              <w:rPr>
                <w:sz w:val="1"/>
                <w:szCs w:val="1"/>
                <w:color w:val="auto"/>
              </w:rPr>
            </w:pPr>
          </w:p>
        </w:tc>
      </w:tr>
      <w:tr>
        <w:trPr>
          <w:trHeight w:val="257"/>
        </w:trPr>
        <w:tc>
          <w:tcPr>
            <w:tcW w:w="40" w:type="dxa"/>
            <w:vAlign w:val="bottom"/>
          </w:tcPr>
          <w:p>
            <w:pPr>
              <w:spacing w:after="0"/>
              <w:rPr>
                <w:sz w:val="22"/>
                <w:szCs w:val="22"/>
                <w:color w:val="auto"/>
              </w:rPr>
            </w:pPr>
          </w:p>
        </w:tc>
        <w:tc>
          <w:tcPr>
            <w:tcW w:w="4080" w:type="dxa"/>
            <w:vAlign w:val="bottom"/>
            <w:gridSpan w:val="2"/>
          </w:tcPr>
          <w:p>
            <w:pPr>
              <w:ind w:left="140"/>
              <w:spacing w:after="0"/>
              <w:rPr>
                <w:sz w:val="20"/>
                <w:szCs w:val="20"/>
                <w:color w:val="auto"/>
              </w:rPr>
            </w:pPr>
            <w:r>
              <w:rPr>
                <w:rFonts w:ascii="Arial" w:cs="Arial" w:eastAsia="Arial" w:hAnsi="Arial"/>
                <w:sz w:val="18"/>
                <w:szCs w:val="18"/>
                <w:color w:val="auto"/>
              </w:rPr>
              <w:t>Total</w:t>
            </w:r>
          </w:p>
        </w:tc>
        <w:tc>
          <w:tcPr>
            <w:tcW w:w="1740" w:type="dxa"/>
            <w:vAlign w:val="bottom"/>
            <w:tcBorders>
              <w:top w:val="single" w:sz="8" w:color="auto"/>
              <w:bottom w:val="single" w:sz="8" w:color="auto"/>
            </w:tcBorders>
          </w:tcPr>
          <w:p>
            <w:pPr>
              <w:jc w:val="right"/>
              <w:ind w:right="36"/>
              <w:spacing w:after="0"/>
              <w:rPr>
                <w:sz w:val="20"/>
                <w:szCs w:val="20"/>
                <w:color w:val="auto"/>
              </w:rPr>
            </w:pPr>
            <w:r>
              <w:rPr>
                <w:rFonts w:ascii="Arial" w:cs="Arial" w:eastAsia="Arial" w:hAnsi="Arial"/>
                <w:sz w:val="18"/>
                <w:szCs w:val="18"/>
                <w:color w:val="auto"/>
              </w:rPr>
              <w:t>273</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580" w:type="dxa"/>
            <w:vAlign w:val="bottom"/>
          </w:tcPr>
          <w:p>
            <w:pPr>
              <w:jc w:val="right"/>
              <w:ind w:right="16"/>
              <w:spacing w:after="0"/>
              <w:rPr>
                <w:sz w:val="20"/>
                <w:szCs w:val="20"/>
                <w:color w:val="auto"/>
              </w:rPr>
            </w:pPr>
            <w:r>
              <w:rPr>
                <w:rFonts w:ascii="Arial" w:cs="Arial" w:eastAsia="Arial" w:hAnsi="Arial"/>
                <w:sz w:val="18"/>
                <w:szCs w:val="18"/>
                <w:color w:val="auto"/>
              </w:rPr>
              <w:t>47.85</w:t>
            </w:r>
          </w:p>
        </w:tc>
        <w:tc>
          <w:tcPr>
            <w:tcW w:w="100" w:type="dxa"/>
            <w:vAlign w:val="bottom"/>
          </w:tcPr>
          <w:p>
            <w:pPr>
              <w:spacing w:after="0"/>
              <w:rPr>
                <w:sz w:val="22"/>
                <w:szCs w:val="22"/>
                <w:color w:val="auto"/>
              </w:rPr>
            </w:pPr>
          </w:p>
        </w:tc>
        <w:tc>
          <w:tcPr>
            <w:tcW w:w="1700" w:type="dxa"/>
            <w:vAlign w:val="bottom"/>
            <w:tcBorders>
              <w:top w:val="single" w:sz="8" w:color="auto"/>
              <w:bottom w:val="single" w:sz="8" w:color="auto"/>
            </w:tcBorders>
          </w:tcPr>
          <w:p>
            <w:pPr>
              <w:ind w:left="14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6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680" w:type="dxa"/>
            <w:vAlign w:val="bottom"/>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40" w:lineRule="exact"/>
        <w:rPr>
          <w:sz w:val="20"/>
          <w:szCs w:val="20"/>
          <w:color w:val="auto"/>
        </w:rPr>
      </w:pPr>
    </w:p>
    <w:p>
      <w:pPr>
        <w:ind w:right="60" w:firstLine="8"/>
        <w:spacing w:after="0" w:line="259" w:lineRule="auto"/>
        <w:tabs>
          <w:tab w:leader="none" w:pos="255" w:val="left"/>
        </w:tabs>
        <w:numPr>
          <w:ilvl w:val="0"/>
          <w:numId w:val="14"/>
        </w:numPr>
        <w:rPr>
          <w:rFonts w:ascii="Arial" w:cs="Arial" w:eastAsia="Arial" w:hAnsi="Arial"/>
          <w:sz w:val="18"/>
          <w:szCs w:val="18"/>
          <w:color w:val="auto"/>
        </w:rPr>
      </w:pPr>
      <w:r>
        <w:rPr>
          <w:rFonts w:ascii="Arial" w:cs="Arial" w:eastAsia="Arial" w:hAnsi="Arial"/>
          <w:sz w:val="18"/>
          <w:szCs w:val="18"/>
          <w:color w:val="auto"/>
        </w:rPr>
        <w:t>In September 2013, the Board of Directors authorized a stock repurchase program allowing Euronet to repurchase up to $100 million in value or 5 million shares of its common stock through September 19, 2015. Repurchases may take place in the open market or in privately negotiated transactions, including derivative transactions, and may be made under a Rule 10b5-1 plan. There were no repurchases of common stock under this program during the first quarter of 2014.</w:t>
      </w: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125" w:right="239" w:bottom="1440" w:gutter="0" w:footer="0" w:header="0"/>
        </w:sectPr>
      </w:pPr>
    </w:p>
    <w:bookmarkStart w:id="32" w:name="page33"/>
    <w:bookmarkEnd w:id="32"/>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38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1040" w:type="dxa"/>
            <w:vAlign w:val="bottom"/>
            <w:tcBorders>
              <w:bottom w:val="single" w:sz="8" w:color="auto"/>
            </w:tcBorders>
          </w:tcPr>
          <w:p>
            <w:pPr>
              <w:ind w:left="300"/>
              <w:spacing w:after="0"/>
              <w:rPr>
                <w:sz w:val="20"/>
                <w:szCs w:val="20"/>
                <w:color w:val="auto"/>
              </w:rPr>
            </w:pPr>
            <w:r>
              <w:rPr>
                <w:rFonts w:ascii="Arial" w:cs="Arial" w:eastAsia="Arial" w:hAnsi="Arial"/>
                <w:sz w:val="14"/>
                <w:szCs w:val="14"/>
                <w:b w:val="1"/>
                <w:bCs w:val="1"/>
                <w:color w:val="auto"/>
              </w:rPr>
              <w:t>Exhibit</w:t>
            </w:r>
          </w:p>
        </w:tc>
        <w:tc>
          <w:tcPr>
            <w:tcW w:w="120" w:type="dxa"/>
            <w:vAlign w:val="bottom"/>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9360" w:type="dxa"/>
            <w:vAlign w:val="bottom"/>
            <w:tcBorders>
              <w:bottom w:val="single" w:sz="8" w:color="auto"/>
            </w:tcBorders>
          </w:tcPr>
          <w:p>
            <w:pPr>
              <w:ind w:left="3880"/>
              <w:spacing w:after="0"/>
              <w:rPr>
                <w:sz w:val="20"/>
                <w:szCs w:val="20"/>
                <w:color w:val="auto"/>
              </w:rPr>
            </w:pPr>
            <w:r>
              <w:rPr>
                <w:rFonts w:ascii="Arial" w:cs="Arial" w:eastAsia="Arial" w:hAnsi="Arial"/>
                <w:sz w:val="14"/>
                <w:szCs w:val="14"/>
                <w:b w:val="1"/>
                <w:bCs w:val="1"/>
                <w:color w:val="auto"/>
              </w:rPr>
              <w:t>Description</w:t>
            </w:r>
          </w:p>
        </w:tc>
      </w:tr>
      <w:tr>
        <w:trPr>
          <w:trHeight w:val="458"/>
        </w:trPr>
        <w:tc>
          <w:tcPr>
            <w:tcW w:w="1160" w:type="dxa"/>
            <w:vAlign w:val="bottom"/>
            <w:gridSpan w:val="2"/>
          </w:tcPr>
          <w:p>
            <w:pPr>
              <w:ind w:left="40"/>
              <w:spacing w:after="0"/>
              <w:rPr>
                <w:sz w:val="20"/>
                <w:szCs w:val="20"/>
                <w:color w:val="auto"/>
              </w:rPr>
            </w:pPr>
            <w:r>
              <w:rPr>
                <w:rFonts w:ascii="Arial" w:cs="Arial" w:eastAsia="Arial" w:hAnsi="Arial"/>
                <w:sz w:val="18"/>
                <w:szCs w:val="18"/>
                <w:color w:val="auto"/>
              </w:rPr>
              <w:t>2.1†</w:t>
            </w:r>
          </w:p>
        </w:tc>
        <w:tc>
          <w:tcPr>
            <w:tcW w:w="10260" w:type="dxa"/>
            <w:vAlign w:val="bottom"/>
            <w:gridSpan w:val="2"/>
          </w:tcPr>
          <w:p>
            <w:pPr>
              <w:ind w:left="20"/>
              <w:spacing w:after="0"/>
              <w:rPr>
                <w:sz w:val="20"/>
                <w:szCs w:val="20"/>
                <w:color w:val="auto"/>
              </w:rPr>
            </w:pPr>
            <w:r>
              <w:rPr>
                <w:rFonts w:ascii="Arial" w:cs="Arial" w:eastAsia="Arial" w:hAnsi="Arial"/>
                <w:sz w:val="18"/>
                <w:szCs w:val="18"/>
                <w:color w:val="auto"/>
                <w:w w:val="92"/>
              </w:rPr>
              <w:t>Share Purchase Agreement, dated as of March 7, 2014, among Euronet Worldwide, Inc. and the Sellers referenced therein. (filed as Exhibit</w:t>
            </w:r>
          </w:p>
        </w:tc>
      </w:tr>
      <w:tr>
        <w:trPr>
          <w:trHeight w:val="230"/>
        </w:trPr>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60" w:type="dxa"/>
            <w:vAlign w:val="bottom"/>
            <w:gridSpan w:val="2"/>
          </w:tcPr>
          <w:p>
            <w:pPr>
              <w:ind w:left="20"/>
              <w:spacing w:after="0"/>
              <w:rPr>
                <w:sz w:val="20"/>
                <w:szCs w:val="20"/>
                <w:color w:val="auto"/>
              </w:rPr>
            </w:pPr>
            <w:r>
              <w:rPr>
                <w:rFonts w:ascii="Arial" w:cs="Arial" w:eastAsia="Arial" w:hAnsi="Arial"/>
                <w:sz w:val="18"/>
                <w:szCs w:val="18"/>
                <w:color w:val="auto"/>
                <w:w w:val="94"/>
              </w:rPr>
              <w:t>2.1 to the Company's Current Report on Form 8-K filed on March 11, 2014 (File No. 001-31648 ) and incorporated herein by reference).</w:t>
            </w:r>
          </w:p>
        </w:tc>
      </w:tr>
      <w:tr>
        <w:trPr>
          <w:trHeight w:val="256"/>
        </w:trPr>
        <w:tc>
          <w:tcPr>
            <w:tcW w:w="1040" w:type="dxa"/>
            <w:vAlign w:val="bottom"/>
          </w:tcPr>
          <w:p>
            <w:pPr>
              <w:ind w:left="40"/>
              <w:spacing w:after="0"/>
              <w:rPr>
                <w:sz w:val="20"/>
                <w:szCs w:val="20"/>
                <w:color w:val="auto"/>
              </w:rPr>
            </w:pPr>
            <w:r>
              <w:rPr>
                <w:rFonts w:ascii="Arial" w:cs="Arial" w:eastAsia="Arial" w:hAnsi="Arial"/>
                <w:sz w:val="18"/>
                <w:szCs w:val="18"/>
                <w:color w:val="auto"/>
              </w:rPr>
              <w:t>10.1*</w:t>
            </w:r>
          </w:p>
        </w:tc>
        <w:tc>
          <w:tcPr>
            <w:tcW w:w="120" w:type="dxa"/>
            <w:vAlign w:val="bottom"/>
          </w:tcPr>
          <w:p>
            <w:pPr>
              <w:spacing w:after="0"/>
              <w:rPr>
                <w:sz w:val="22"/>
                <w:szCs w:val="22"/>
                <w:color w:val="auto"/>
              </w:rPr>
            </w:pPr>
          </w:p>
        </w:tc>
        <w:tc>
          <w:tcPr>
            <w:tcW w:w="10260" w:type="dxa"/>
            <w:vAlign w:val="bottom"/>
            <w:gridSpan w:val="2"/>
          </w:tcPr>
          <w:p>
            <w:pPr>
              <w:ind w:left="20"/>
              <w:spacing w:after="0"/>
              <w:rPr>
                <w:sz w:val="20"/>
                <w:szCs w:val="20"/>
                <w:color w:val="auto"/>
              </w:rPr>
            </w:pPr>
            <w:r>
              <w:rPr>
                <w:rFonts w:ascii="Arial" w:cs="Arial" w:eastAsia="Arial" w:hAnsi="Arial"/>
                <w:sz w:val="18"/>
                <w:szCs w:val="18"/>
                <w:color w:val="auto"/>
                <w:w w:val="96"/>
              </w:rPr>
              <w:t>Amendment No. 1 dated April 9, 2014, to the Amended and Restated Credit Agreement dated as of August 18, 2011 among Euronet</w:t>
            </w:r>
          </w:p>
        </w:tc>
      </w:tr>
      <w:tr>
        <w:trPr>
          <w:trHeight w:val="216"/>
        </w:trPr>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60" w:type="dxa"/>
            <w:vAlign w:val="bottom"/>
            <w:gridSpan w:val="2"/>
          </w:tcPr>
          <w:p>
            <w:pPr>
              <w:ind w:left="20"/>
              <w:spacing w:after="0"/>
              <w:rPr>
                <w:sz w:val="20"/>
                <w:szCs w:val="20"/>
                <w:color w:val="auto"/>
              </w:rPr>
            </w:pPr>
            <w:r>
              <w:rPr>
                <w:rFonts w:ascii="Arial" w:cs="Arial" w:eastAsia="Arial" w:hAnsi="Arial"/>
                <w:sz w:val="18"/>
                <w:szCs w:val="18"/>
                <w:color w:val="auto"/>
                <w:w w:val="92"/>
              </w:rPr>
              <w:t>Worldwide, Inc., and certain Subsidiaries and Affiliates, as Borrowers, certain Subsidiaries and Affiliates as Guarantors, the Lenders, Bank</w:t>
            </w:r>
          </w:p>
        </w:tc>
      </w:tr>
      <w:tr>
        <w:trPr>
          <w:trHeight w:val="216"/>
        </w:trPr>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60" w:type="dxa"/>
            <w:vAlign w:val="bottom"/>
            <w:gridSpan w:val="2"/>
          </w:tcPr>
          <w:p>
            <w:pPr>
              <w:ind w:left="20"/>
              <w:spacing w:after="0"/>
              <w:rPr>
                <w:sz w:val="20"/>
                <w:szCs w:val="20"/>
                <w:color w:val="auto"/>
              </w:rPr>
            </w:pPr>
            <w:r>
              <w:rPr>
                <w:rFonts w:ascii="Arial" w:cs="Arial" w:eastAsia="Arial" w:hAnsi="Arial"/>
                <w:sz w:val="18"/>
                <w:szCs w:val="18"/>
                <w:color w:val="auto"/>
                <w:w w:val="99"/>
              </w:rPr>
              <w:t>of America, N.A., as Administrative Agent and Collateral Agent, U.S. Bank National Association, BMO Capital Markets and BBVA</w:t>
            </w:r>
          </w:p>
        </w:tc>
      </w:tr>
      <w:tr>
        <w:trPr>
          <w:trHeight w:val="230"/>
        </w:trPr>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60" w:type="dxa"/>
            <w:vAlign w:val="bottom"/>
            <w:gridSpan w:val="2"/>
          </w:tcPr>
          <w:p>
            <w:pPr>
              <w:ind w:left="20"/>
              <w:spacing w:after="0"/>
              <w:rPr>
                <w:sz w:val="20"/>
                <w:szCs w:val="20"/>
                <w:color w:val="auto"/>
              </w:rPr>
            </w:pPr>
            <w:r>
              <w:rPr>
                <w:rFonts w:ascii="Arial" w:cs="Arial" w:eastAsia="Arial" w:hAnsi="Arial"/>
                <w:sz w:val="18"/>
                <w:szCs w:val="18"/>
                <w:color w:val="auto"/>
              </w:rPr>
              <w:t>Compass Bank, as Syndication Agent and Wells Fargo as Documentation Agent.</w:t>
            </w:r>
          </w:p>
        </w:tc>
      </w:tr>
      <w:tr>
        <w:trPr>
          <w:trHeight w:val="270"/>
        </w:trPr>
        <w:tc>
          <w:tcPr>
            <w:tcW w:w="1040" w:type="dxa"/>
            <w:vAlign w:val="bottom"/>
          </w:tcPr>
          <w:p>
            <w:pPr>
              <w:ind w:left="40"/>
              <w:spacing w:after="0"/>
              <w:rPr>
                <w:sz w:val="20"/>
                <w:szCs w:val="20"/>
                <w:color w:val="auto"/>
              </w:rPr>
            </w:pPr>
            <w:r>
              <w:rPr>
                <w:rFonts w:ascii="Arial" w:cs="Arial" w:eastAsia="Arial" w:hAnsi="Arial"/>
                <w:sz w:val="18"/>
                <w:szCs w:val="18"/>
                <w:color w:val="auto"/>
              </w:rPr>
              <w:t>12.1*</w:t>
            </w:r>
          </w:p>
        </w:tc>
        <w:tc>
          <w:tcPr>
            <w:tcW w:w="120" w:type="dxa"/>
            <w:vAlign w:val="bottom"/>
          </w:tcPr>
          <w:p>
            <w:pPr>
              <w:spacing w:after="0"/>
              <w:rPr>
                <w:sz w:val="23"/>
                <w:szCs w:val="23"/>
                <w:color w:val="auto"/>
              </w:rPr>
            </w:pPr>
          </w:p>
        </w:tc>
        <w:tc>
          <w:tcPr>
            <w:tcW w:w="10260" w:type="dxa"/>
            <w:vAlign w:val="bottom"/>
            <w:gridSpan w:val="2"/>
          </w:tcPr>
          <w:p>
            <w:pPr>
              <w:ind w:left="20"/>
              <w:spacing w:after="0"/>
              <w:rPr>
                <w:sz w:val="20"/>
                <w:szCs w:val="20"/>
                <w:color w:val="auto"/>
              </w:rPr>
            </w:pPr>
            <w:r>
              <w:rPr>
                <w:rFonts w:ascii="Arial" w:cs="Arial" w:eastAsia="Arial" w:hAnsi="Arial"/>
                <w:sz w:val="18"/>
                <w:szCs w:val="18"/>
                <w:color w:val="auto"/>
              </w:rPr>
              <w:t>Computation of Ratio of Earnings to Fixed Charges</w:t>
            </w:r>
          </w:p>
        </w:tc>
      </w:tr>
      <w:tr>
        <w:trPr>
          <w:trHeight w:val="270"/>
        </w:trPr>
        <w:tc>
          <w:tcPr>
            <w:tcW w:w="1040" w:type="dxa"/>
            <w:vAlign w:val="bottom"/>
          </w:tcPr>
          <w:p>
            <w:pPr>
              <w:ind w:left="40"/>
              <w:spacing w:after="0"/>
              <w:rPr>
                <w:sz w:val="20"/>
                <w:szCs w:val="20"/>
                <w:color w:val="auto"/>
              </w:rPr>
            </w:pPr>
            <w:r>
              <w:rPr>
                <w:rFonts w:ascii="Arial" w:cs="Arial" w:eastAsia="Arial" w:hAnsi="Arial"/>
                <w:sz w:val="18"/>
                <w:szCs w:val="18"/>
                <w:color w:val="auto"/>
              </w:rPr>
              <w:t>31.1*</w:t>
            </w:r>
          </w:p>
        </w:tc>
        <w:tc>
          <w:tcPr>
            <w:tcW w:w="120" w:type="dxa"/>
            <w:vAlign w:val="bottom"/>
          </w:tcPr>
          <w:p>
            <w:pPr>
              <w:spacing w:after="0"/>
              <w:rPr>
                <w:sz w:val="23"/>
                <w:szCs w:val="23"/>
                <w:color w:val="auto"/>
              </w:rPr>
            </w:pPr>
          </w:p>
        </w:tc>
        <w:tc>
          <w:tcPr>
            <w:tcW w:w="900" w:type="dxa"/>
            <w:vAlign w:val="bottom"/>
          </w:tcPr>
          <w:p>
            <w:pPr>
              <w:ind w:left="20"/>
              <w:spacing w:after="0"/>
              <w:rPr>
                <w:sz w:val="20"/>
                <w:szCs w:val="20"/>
                <w:color w:val="auto"/>
              </w:rPr>
            </w:pPr>
            <w:r>
              <w:rPr>
                <w:rFonts w:ascii="Arial" w:cs="Arial" w:eastAsia="Arial" w:hAnsi="Arial"/>
                <w:sz w:val="18"/>
                <w:szCs w:val="18"/>
                <w:color w:val="auto"/>
                <w:w w:val="90"/>
              </w:rPr>
              <w:t>Section 302</w:t>
            </w:r>
          </w:p>
        </w:tc>
        <w:tc>
          <w:tcPr>
            <w:tcW w:w="9360" w:type="dxa"/>
            <w:vAlign w:val="bottom"/>
          </w:tcPr>
          <w:p>
            <w:pPr>
              <w:ind w:left="20"/>
              <w:spacing w:after="0"/>
              <w:rPr>
                <w:sz w:val="20"/>
                <w:szCs w:val="20"/>
                <w:color w:val="auto"/>
              </w:rPr>
            </w:pPr>
            <w:r>
              <w:rPr>
                <w:rFonts w:ascii="Arial" w:cs="Arial" w:eastAsia="Arial" w:hAnsi="Arial"/>
                <w:sz w:val="18"/>
                <w:szCs w:val="18"/>
                <w:color w:val="auto"/>
              </w:rPr>
              <w:t>— Certification of Chief Executive Officer</w:t>
            </w:r>
          </w:p>
        </w:tc>
      </w:tr>
      <w:tr>
        <w:trPr>
          <w:trHeight w:val="270"/>
        </w:trPr>
        <w:tc>
          <w:tcPr>
            <w:tcW w:w="1040" w:type="dxa"/>
            <w:vAlign w:val="bottom"/>
          </w:tcPr>
          <w:p>
            <w:pPr>
              <w:ind w:left="40"/>
              <w:spacing w:after="0"/>
              <w:rPr>
                <w:sz w:val="20"/>
                <w:szCs w:val="20"/>
                <w:color w:val="auto"/>
              </w:rPr>
            </w:pPr>
            <w:r>
              <w:rPr>
                <w:rFonts w:ascii="Arial" w:cs="Arial" w:eastAsia="Arial" w:hAnsi="Arial"/>
                <w:sz w:val="18"/>
                <w:szCs w:val="18"/>
                <w:color w:val="auto"/>
              </w:rPr>
              <w:t>31.2*</w:t>
            </w:r>
          </w:p>
        </w:tc>
        <w:tc>
          <w:tcPr>
            <w:tcW w:w="120" w:type="dxa"/>
            <w:vAlign w:val="bottom"/>
          </w:tcPr>
          <w:p>
            <w:pPr>
              <w:spacing w:after="0"/>
              <w:rPr>
                <w:sz w:val="23"/>
                <w:szCs w:val="23"/>
                <w:color w:val="auto"/>
              </w:rPr>
            </w:pPr>
          </w:p>
        </w:tc>
        <w:tc>
          <w:tcPr>
            <w:tcW w:w="900" w:type="dxa"/>
            <w:vAlign w:val="bottom"/>
          </w:tcPr>
          <w:p>
            <w:pPr>
              <w:ind w:left="20"/>
              <w:spacing w:after="0"/>
              <w:rPr>
                <w:sz w:val="20"/>
                <w:szCs w:val="20"/>
                <w:color w:val="auto"/>
              </w:rPr>
            </w:pPr>
            <w:r>
              <w:rPr>
                <w:rFonts w:ascii="Arial" w:cs="Arial" w:eastAsia="Arial" w:hAnsi="Arial"/>
                <w:sz w:val="18"/>
                <w:szCs w:val="18"/>
                <w:color w:val="auto"/>
                <w:w w:val="90"/>
              </w:rPr>
              <w:t>Section 302</w:t>
            </w:r>
          </w:p>
        </w:tc>
        <w:tc>
          <w:tcPr>
            <w:tcW w:w="9360" w:type="dxa"/>
            <w:vAlign w:val="bottom"/>
          </w:tcPr>
          <w:p>
            <w:pPr>
              <w:ind w:left="20"/>
              <w:spacing w:after="0"/>
              <w:rPr>
                <w:sz w:val="20"/>
                <w:szCs w:val="20"/>
                <w:color w:val="auto"/>
              </w:rPr>
            </w:pPr>
            <w:r>
              <w:rPr>
                <w:rFonts w:ascii="Arial" w:cs="Arial" w:eastAsia="Arial" w:hAnsi="Arial"/>
                <w:sz w:val="18"/>
                <w:szCs w:val="18"/>
                <w:color w:val="auto"/>
              </w:rPr>
              <w:t>— Certification of Chief Financial Officer</w:t>
            </w:r>
          </w:p>
        </w:tc>
      </w:tr>
      <w:tr>
        <w:trPr>
          <w:trHeight w:val="270"/>
        </w:trPr>
        <w:tc>
          <w:tcPr>
            <w:tcW w:w="1040" w:type="dxa"/>
            <w:vAlign w:val="bottom"/>
          </w:tcPr>
          <w:p>
            <w:pPr>
              <w:ind w:left="40"/>
              <w:spacing w:after="0"/>
              <w:rPr>
                <w:sz w:val="20"/>
                <w:szCs w:val="20"/>
                <w:color w:val="auto"/>
              </w:rPr>
            </w:pPr>
            <w:r>
              <w:rPr>
                <w:rFonts w:ascii="Arial" w:cs="Arial" w:eastAsia="Arial" w:hAnsi="Arial"/>
                <w:sz w:val="18"/>
                <w:szCs w:val="18"/>
                <w:color w:val="auto"/>
              </w:rPr>
              <w:t>32.1**</w:t>
            </w:r>
          </w:p>
        </w:tc>
        <w:tc>
          <w:tcPr>
            <w:tcW w:w="120" w:type="dxa"/>
            <w:vAlign w:val="bottom"/>
          </w:tcPr>
          <w:p>
            <w:pPr>
              <w:spacing w:after="0"/>
              <w:rPr>
                <w:sz w:val="23"/>
                <w:szCs w:val="23"/>
                <w:color w:val="auto"/>
              </w:rPr>
            </w:pPr>
          </w:p>
        </w:tc>
        <w:tc>
          <w:tcPr>
            <w:tcW w:w="900" w:type="dxa"/>
            <w:vAlign w:val="bottom"/>
          </w:tcPr>
          <w:p>
            <w:pPr>
              <w:ind w:left="20"/>
              <w:spacing w:after="0"/>
              <w:rPr>
                <w:sz w:val="20"/>
                <w:szCs w:val="20"/>
                <w:color w:val="auto"/>
              </w:rPr>
            </w:pPr>
            <w:r>
              <w:rPr>
                <w:rFonts w:ascii="Arial" w:cs="Arial" w:eastAsia="Arial" w:hAnsi="Arial"/>
                <w:sz w:val="18"/>
                <w:szCs w:val="18"/>
                <w:color w:val="auto"/>
                <w:w w:val="90"/>
              </w:rPr>
              <w:t>Section 906</w:t>
            </w:r>
          </w:p>
        </w:tc>
        <w:tc>
          <w:tcPr>
            <w:tcW w:w="9360" w:type="dxa"/>
            <w:vAlign w:val="bottom"/>
          </w:tcPr>
          <w:p>
            <w:pPr>
              <w:ind w:left="20"/>
              <w:spacing w:after="0"/>
              <w:rPr>
                <w:sz w:val="20"/>
                <w:szCs w:val="20"/>
                <w:color w:val="auto"/>
              </w:rPr>
            </w:pPr>
            <w:r>
              <w:rPr>
                <w:rFonts w:ascii="Arial" w:cs="Arial" w:eastAsia="Arial" w:hAnsi="Arial"/>
                <w:sz w:val="18"/>
                <w:szCs w:val="18"/>
                <w:color w:val="auto"/>
              </w:rPr>
              <w:t>— Certification of Chief Executive Officer</w:t>
            </w:r>
          </w:p>
        </w:tc>
      </w:tr>
      <w:tr>
        <w:trPr>
          <w:trHeight w:val="270"/>
        </w:trPr>
        <w:tc>
          <w:tcPr>
            <w:tcW w:w="1040" w:type="dxa"/>
            <w:vAlign w:val="bottom"/>
          </w:tcPr>
          <w:p>
            <w:pPr>
              <w:ind w:left="40"/>
              <w:spacing w:after="0"/>
              <w:rPr>
                <w:sz w:val="20"/>
                <w:szCs w:val="20"/>
                <w:color w:val="auto"/>
              </w:rPr>
            </w:pPr>
            <w:r>
              <w:rPr>
                <w:rFonts w:ascii="Arial" w:cs="Arial" w:eastAsia="Arial" w:hAnsi="Arial"/>
                <w:sz w:val="18"/>
                <w:szCs w:val="18"/>
                <w:color w:val="auto"/>
              </w:rPr>
              <w:t>32.2**</w:t>
            </w:r>
          </w:p>
        </w:tc>
        <w:tc>
          <w:tcPr>
            <w:tcW w:w="120" w:type="dxa"/>
            <w:vAlign w:val="bottom"/>
          </w:tcPr>
          <w:p>
            <w:pPr>
              <w:spacing w:after="0"/>
              <w:rPr>
                <w:sz w:val="23"/>
                <w:szCs w:val="23"/>
                <w:color w:val="auto"/>
              </w:rPr>
            </w:pPr>
          </w:p>
        </w:tc>
        <w:tc>
          <w:tcPr>
            <w:tcW w:w="900" w:type="dxa"/>
            <w:vAlign w:val="bottom"/>
          </w:tcPr>
          <w:p>
            <w:pPr>
              <w:ind w:left="20"/>
              <w:spacing w:after="0"/>
              <w:rPr>
                <w:sz w:val="20"/>
                <w:szCs w:val="20"/>
                <w:color w:val="auto"/>
              </w:rPr>
            </w:pPr>
            <w:r>
              <w:rPr>
                <w:rFonts w:ascii="Arial" w:cs="Arial" w:eastAsia="Arial" w:hAnsi="Arial"/>
                <w:sz w:val="18"/>
                <w:szCs w:val="18"/>
                <w:color w:val="auto"/>
                <w:w w:val="90"/>
              </w:rPr>
              <w:t>Section 906</w:t>
            </w:r>
          </w:p>
        </w:tc>
        <w:tc>
          <w:tcPr>
            <w:tcW w:w="9360" w:type="dxa"/>
            <w:vAlign w:val="bottom"/>
          </w:tcPr>
          <w:p>
            <w:pPr>
              <w:ind w:left="20"/>
              <w:spacing w:after="0"/>
              <w:rPr>
                <w:sz w:val="20"/>
                <w:szCs w:val="20"/>
                <w:color w:val="auto"/>
              </w:rPr>
            </w:pPr>
            <w:r>
              <w:rPr>
                <w:rFonts w:ascii="Arial" w:cs="Arial" w:eastAsia="Arial" w:hAnsi="Arial"/>
                <w:sz w:val="18"/>
                <w:szCs w:val="18"/>
                <w:color w:val="auto"/>
              </w:rPr>
              <w:t>— Certification of Chief Financial Officer</w:t>
            </w:r>
          </w:p>
        </w:tc>
      </w:tr>
      <w:tr>
        <w:trPr>
          <w:trHeight w:val="256"/>
        </w:trPr>
        <w:tc>
          <w:tcPr>
            <w:tcW w:w="1040" w:type="dxa"/>
            <w:vAlign w:val="bottom"/>
          </w:tcPr>
          <w:p>
            <w:pPr>
              <w:ind w:left="40"/>
              <w:spacing w:after="0"/>
              <w:rPr>
                <w:sz w:val="20"/>
                <w:szCs w:val="20"/>
                <w:color w:val="auto"/>
              </w:rPr>
            </w:pPr>
            <w:r>
              <w:rPr>
                <w:rFonts w:ascii="Arial" w:cs="Arial" w:eastAsia="Arial" w:hAnsi="Arial"/>
                <w:sz w:val="18"/>
                <w:szCs w:val="18"/>
                <w:color w:val="auto"/>
              </w:rPr>
              <w:t>101*</w:t>
            </w:r>
          </w:p>
        </w:tc>
        <w:tc>
          <w:tcPr>
            <w:tcW w:w="120" w:type="dxa"/>
            <w:vAlign w:val="bottom"/>
          </w:tcPr>
          <w:p>
            <w:pPr>
              <w:spacing w:after="0"/>
              <w:rPr>
                <w:sz w:val="22"/>
                <w:szCs w:val="22"/>
                <w:color w:val="auto"/>
              </w:rPr>
            </w:pPr>
          </w:p>
        </w:tc>
        <w:tc>
          <w:tcPr>
            <w:tcW w:w="10260" w:type="dxa"/>
            <w:vAlign w:val="bottom"/>
            <w:gridSpan w:val="2"/>
          </w:tcPr>
          <w:p>
            <w:pPr>
              <w:ind w:left="20"/>
              <w:spacing w:after="0"/>
              <w:rPr>
                <w:sz w:val="20"/>
                <w:szCs w:val="20"/>
                <w:color w:val="auto"/>
              </w:rPr>
            </w:pPr>
            <w:r>
              <w:rPr>
                <w:rFonts w:ascii="Arial" w:cs="Arial" w:eastAsia="Arial" w:hAnsi="Arial"/>
                <w:sz w:val="18"/>
                <w:szCs w:val="18"/>
                <w:color w:val="auto"/>
                <w:w w:val="93"/>
              </w:rPr>
              <w:t>The following materials from Euronet Worldwide, Inc.’s Quarterly Report on Form 10-Q for the quarter ended March 31, 2014, formatted in</w:t>
            </w:r>
          </w:p>
        </w:tc>
      </w:tr>
      <w:tr>
        <w:trPr>
          <w:trHeight w:val="216"/>
        </w:trPr>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60" w:type="dxa"/>
            <w:vAlign w:val="bottom"/>
            <w:gridSpan w:val="2"/>
          </w:tcPr>
          <w:p>
            <w:pPr>
              <w:ind w:left="20"/>
              <w:spacing w:after="0"/>
              <w:rPr>
                <w:sz w:val="20"/>
                <w:szCs w:val="20"/>
                <w:color w:val="auto"/>
              </w:rPr>
            </w:pPr>
            <w:r>
              <w:rPr>
                <w:rFonts w:ascii="Arial" w:cs="Arial" w:eastAsia="Arial" w:hAnsi="Arial"/>
                <w:sz w:val="18"/>
                <w:szCs w:val="18"/>
                <w:color w:val="auto"/>
                <w:w w:val="92"/>
              </w:rPr>
              <w:t>XBRL (eXtensible Business Reporting Language): (i) Consolidated Balance Sheets at March 31, 2014 (unaudited) and December 31, 2013,</w:t>
            </w:r>
          </w:p>
        </w:tc>
      </w:tr>
      <w:tr>
        <w:trPr>
          <w:trHeight w:val="216"/>
        </w:trPr>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60" w:type="dxa"/>
            <w:vAlign w:val="bottom"/>
            <w:gridSpan w:val="2"/>
          </w:tcPr>
          <w:p>
            <w:pPr>
              <w:ind w:left="20"/>
              <w:spacing w:after="0"/>
              <w:rPr>
                <w:sz w:val="20"/>
                <w:szCs w:val="20"/>
                <w:color w:val="auto"/>
              </w:rPr>
            </w:pPr>
            <w:r>
              <w:rPr>
                <w:rFonts w:ascii="Arial" w:cs="Arial" w:eastAsia="Arial" w:hAnsi="Arial"/>
                <w:sz w:val="18"/>
                <w:szCs w:val="18"/>
                <w:color w:val="auto"/>
                <w:w w:val="93"/>
              </w:rPr>
              <w:t>(ii) Consolidated Statements of Income (unaudited) for the three months ended March 31, 2014 and 2013, (iii) Consolidated Statements of</w:t>
            </w:r>
          </w:p>
        </w:tc>
      </w:tr>
      <w:tr>
        <w:trPr>
          <w:trHeight w:val="216"/>
        </w:trPr>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60" w:type="dxa"/>
            <w:vAlign w:val="bottom"/>
            <w:gridSpan w:val="2"/>
          </w:tcPr>
          <w:p>
            <w:pPr>
              <w:ind w:left="20"/>
              <w:spacing w:after="0"/>
              <w:rPr>
                <w:sz w:val="20"/>
                <w:szCs w:val="20"/>
                <w:color w:val="auto"/>
              </w:rPr>
            </w:pPr>
            <w:r>
              <w:rPr>
                <w:rFonts w:ascii="Arial" w:cs="Arial" w:eastAsia="Arial" w:hAnsi="Arial"/>
                <w:sz w:val="18"/>
                <w:szCs w:val="18"/>
                <w:color w:val="auto"/>
                <w:w w:val="94"/>
              </w:rPr>
              <w:t>Comprehensive Income (Loss) (unaudited) for the three months ended March 31, 2014 and 2013, (iv) Consolidated Statements of Cash</w:t>
            </w:r>
          </w:p>
        </w:tc>
      </w:tr>
      <w:tr>
        <w:trPr>
          <w:trHeight w:val="230"/>
        </w:trPr>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60" w:type="dxa"/>
            <w:vAlign w:val="bottom"/>
            <w:gridSpan w:val="2"/>
          </w:tcPr>
          <w:p>
            <w:pPr>
              <w:ind w:left="20"/>
              <w:spacing w:after="0"/>
              <w:rPr>
                <w:sz w:val="20"/>
                <w:szCs w:val="20"/>
                <w:color w:val="auto"/>
              </w:rPr>
            </w:pPr>
            <w:r>
              <w:rPr>
                <w:rFonts w:ascii="Arial" w:cs="Arial" w:eastAsia="Arial" w:hAnsi="Arial"/>
                <w:sz w:val="18"/>
                <w:szCs w:val="18"/>
                <w:color w:val="auto"/>
                <w:w w:val="93"/>
              </w:rPr>
              <w:t>Flows (unaudited) for the three months ended March 31, 2014 and 2013, and (v) Notes Unaudited to Consolidated Financial Statements.</w:t>
            </w:r>
          </w:p>
        </w:tc>
      </w:tr>
    </w:tbl>
    <w:p>
      <w:pPr>
        <w:spacing w:after="0" w:line="13"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_________________________</w:t>
      </w:r>
    </w:p>
    <w:p>
      <w:pPr>
        <w:spacing w:after="0" w:line="2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 Filed herewith.</w:t>
      </w:r>
    </w:p>
    <w:p>
      <w:pPr>
        <w:spacing w:after="0" w:line="10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 Pursuant to Item 601(b)(32) of Regulation S-K, this Exhibit is furnished rather than filed with this Form 10-Q.</w:t>
      </w:r>
    </w:p>
    <w:p>
      <w:pPr>
        <w:spacing w:after="0" w:line="117" w:lineRule="exact"/>
        <w:rPr>
          <w:sz w:val="20"/>
          <w:szCs w:val="20"/>
          <w:color w:val="auto"/>
        </w:rPr>
      </w:pPr>
    </w:p>
    <w:p>
      <w:pPr>
        <w:ind w:left="340" w:right="240" w:hanging="170"/>
        <w:spacing w:after="0" w:line="277" w:lineRule="auto"/>
        <w:tabs>
          <w:tab w:leader="none" w:pos="313" w:val="left"/>
        </w:tabs>
        <w:numPr>
          <w:ilvl w:val="0"/>
          <w:numId w:val="15"/>
        </w:numPr>
        <w:rPr>
          <w:rFonts w:ascii="Arial" w:cs="Arial" w:eastAsia="Arial" w:hAnsi="Arial"/>
          <w:sz w:val="18"/>
          <w:szCs w:val="18"/>
          <w:color w:val="auto"/>
        </w:rPr>
      </w:pPr>
      <w:r>
        <w:rPr>
          <w:rFonts w:ascii="Arial" w:cs="Arial" w:eastAsia="Arial" w:hAnsi="Arial"/>
          <w:sz w:val="18"/>
          <w:szCs w:val="18"/>
          <w:color w:val="auto"/>
        </w:rPr>
        <w:t>Portions of this document have been redacted and are subject to an order granting confidential treatment under the Securities Exchange Act of 1934, as amended (File No. 1-31648 - CF#30821). Redacted portions are indicated with the notation [***].</w:t>
      </w:r>
    </w:p>
    <w:p>
      <w:pPr>
        <w:spacing w:after="0" w:line="170"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PLEASE NOTE: Pursuant to the rules and regulations of the Securities and Exchange Commission, we have filed or incorporated by reference the agreements referenced above as exhibits to this Quarterly Report on Form 10-Q. The agreements have been filed to provide investors with information regarding their respective terms. The agreements are not intended to provide any other factual information about the Company or its business or operations. In particular, the assertions embodied in any representations, warranties and covenants contained in the agreements may be subject to qualifications with respect to knowledge and materiality different from those applicable to investors and may be qualified by information in confidential disclosure schedules not included with the exhibits. These disclosure schedules may contain information that modifies, qualifies and creates exceptions to the representations, warranties and covenants set forth in the agreements. Moreover, certain representations, warranties and covenants in the agreements may have been used for the purpose of allocating risk between the parties, rather than establishing matters as facts. In addition, information concerning the subject matter of the representations, warranties and covenants may have changed after the date of the respective agreement, which subsequent information may or may not be fully reflected in the Company's public disclosures. Accordingly, investors should not rely on the representations, warranties and covenants in the agreements as characterizations of the actual state of facts about the Company or its business or operations on the date hereof.</w:t>
      </w: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125" w:right="239" w:bottom="1440" w:gutter="0" w:footer="0" w:header="0"/>
        </w:sectPr>
      </w:pPr>
    </w:p>
    <w:bookmarkStart w:id="33" w:name="page34"/>
    <w:bookmarkEnd w:id="33"/>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SIGNATURES</w:t>
      </w:r>
    </w:p>
    <w:p>
      <w:pPr>
        <w:spacing w:after="0" w:line="12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May 1, 2014</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Euronet Worldwide, Inc.</w:t>
      </w:r>
    </w:p>
    <w:p>
      <w:pPr>
        <w:spacing w:after="0" w:line="387"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540" w:type="dxa"/>
            <w:vAlign w:val="bottom"/>
          </w:tcPr>
          <w:p>
            <w:pPr>
              <w:spacing w:after="0"/>
              <w:rPr>
                <w:sz w:val="20"/>
                <w:szCs w:val="20"/>
                <w:color w:val="auto"/>
              </w:rPr>
            </w:pPr>
            <w:r>
              <w:rPr>
                <w:rFonts w:ascii="Arial" w:cs="Arial" w:eastAsia="Arial" w:hAnsi="Arial"/>
                <w:sz w:val="18"/>
                <w:szCs w:val="18"/>
                <w:color w:val="auto"/>
              </w:rPr>
              <w:t>By:</w:t>
            </w:r>
          </w:p>
        </w:tc>
        <w:tc>
          <w:tcPr>
            <w:tcW w:w="5480" w:type="dxa"/>
            <w:vAlign w:val="bottom"/>
          </w:tcPr>
          <w:p>
            <w:pPr>
              <w:jc w:val="center"/>
              <w:spacing w:after="0"/>
              <w:rPr>
                <w:sz w:val="20"/>
                <w:szCs w:val="20"/>
                <w:color w:val="auto"/>
              </w:rPr>
            </w:pPr>
            <w:r>
              <w:rPr>
                <w:rFonts w:ascii="Arial" w:cs="Arial" w:eastAsia="Arial" w:hAnsi="Arial"/>
                <w:sz w:val="18"/>
                <w:szCs w:val="18"/>
                <w:color w:val="auto"/>
                <w:w w:val="97"/>
              </w:rPr>
              <w:t>/s/ MICHAEL J. BROWN</w:t>
            </w:r>
          </w:p>
        </w:tc>
      </w:tr>
      <w:tr>
        <w:trPr>
          <w:trHeight w:val="27"/>
        </w:trPr>
        <w:tc>
          <w:tcPr>
            <w:tcW w:w="540" w:type="dxa"/>
            <w:vAlign w:val="bottom"/>
          </w:tcPr>
          <w:p>
            <w:pPr>
              <w:spacing w:after="0"/>
              <w:rPr>
                <w:sz w:val="2"/>
                <w:szCs w:val="2"/>
                <w:color w:val="auto"/>
              </w:rPr>
            </w:pPr>
          </w:p>
        </w:tc>
        <w:tc>
          <w:tcPr>
            <w:tcW w:w="5480" w:type="dxa"/>
            <w:vAlign w:val="bottom"/>
            <w:tcBorders>
              <w:bottom w:val="single" w:sz="8" w:color="auto"/>
            </w:tcBorders>
          </w:tcPr>
          <w:p>
            <w:pPr>
              <w:spacing w:after="0"/>
              <w:rPr>
                <w:sz w:val="2"/>
                <w:szCs w:val="2"/>
                <w:color w:val="auto"/>
              </w:rPr>
            </w:pPr>
          </w:p>
        </w:tc>
      </w:tr>
      <w:tr>
        <w:trPr>
          <w:trHeight w:val="237"/>
        </w:trPr>
        <w:tc>
          <w:tcPr>
            <w:tcW w:w="540" w:type="dxa"/>
            <w:vAlign w:val="bottom"/>
          </w:tcPr>
          <w:p>
            <w:pPr>
              <w:spacing w:after="0"/>
              <w:rPr>
                <w:sz w:val="20"/>
                <w:szCs w:val="20"/>
                <w:color w:val="auto"/>
              </w:rPr>
            </w:pPr>
          </w:p>
        </w:tc>
        <w:tc>
          <w:tcPr>
            <w:tcW w:w="5480" w:type="dxa"/>
            <w:vAlign w:val="bottom"/>
          </w:tcPr>
          <w:p>
            <w:pPr>
              <w:jc w:val="center"/>
              <w:spacing w:after="0"/>
              <w:rPr>
                <w:sz w:val="20"/>
                <w:szCs w:val="20"/>
                <w:color w:val="auto"/>
              </w:rPr>
            </w:pPr>
            <w:r>
              <w:rPr>
                <w:rFonts w:ascii="Arial" w:cs="Arial" w:eastAsia="Arial" w:hAnsi="Arial"/>
                <w:sz w:val="18"/>
                <w:szCs w:val="18"/>
                <w:color w:val="auto"/>
                <w:w w:val="93"/>
              </w:rPr>
              <w:t>Michael J. Brown</w:t>
            </w:r>
          </w:p>
        </w:tc>
      </w:tr>
      <w:tr>
        <w:trPr>
          <w:trHeight w:val="270"/>
        </w:trPr>
        <w:tc>
          <w:tcPr>
            <w:tcW w:w="540" w:type="dxa"/>
            <w:vAlign w:val="bottom"/>
          </w:tcPr>
          <w:p>
            <w:pPr>
              <w:spacing w:after="0"/>
              <w:rPr>
                <w:sz w:val="23"/>
                <w:szCs w:val="23"/>
                <w:color w:val="auto"/>
              </w:rPr>
            </w:pPr>
          </w:p>
        </w:tc>
        <w:tc>
          <w:tcPr>
            <w:tcW w:w="5480" w:type="dxa"/>
            <w:vAlign w:val="bottom"/>
          </w:tcPr>
          <w:p>
            <w:pPr>
              <w:jc w:val="center"/>
              <w:spacing w:after="0"/>
              <w:rPr>
                <w:sz w:val="20"/>
                <w:szCs w:val="20"/>
                <w:color w:val="auto"/>
              </w:rPr>
            </w:pPr>
            <w:r>
              <w:rPr>
                <w:rFonts w:ascii="Arial" w:cs="Arial" w:eastAsia="Arial" w:hAnsi="Arial"/>
                <w:sz w:val="18"/>
                <w:szCs w:val="18"/>
                <w:color w:val="auto"/>
                <w:w w:val="93"/>
              </w:rPr>
              <w:t>Chief Executive Officer</w:t>
            </w:r>
          </w:p>
        </w:tc>
      </w:tr>
      <w:tr>
        <w:trPr>
          <w:trHeight w:val="810"/>
        </w:trPr>
        <w:tc>
          <w:tcPr>
            <w:tcW w:w="540" w:type="dxa"/>
            <w:vAlign w:val="bottom"/>
          </w:tcPr>
          <w:p>
            <w:pPr>
              <w:spacing w:after="0"/>
              <w:rPr>
                <w:sz w:val="20"/>
                <w:szCs w:val="20"/>
                <w:color w:val="auto"/>
              </w:rPr>
            </w:pPr>
            <w:r>
              <w:rPr>
                <w:rFonts w:ascii="Arial" w:cs="Arial" w:eastAsia="Arial" w:hAnsi="Arial"/>
                <w:sz w:val="18"/>
                <w:szCs w:val="18"/>
                <w:color w:val="auto"/>
              </w:rPr>
              <w:t>By:</w:t>
            </w:r>
          </w:p>
        </w:tc>
        <w:tc>
          <w:tcPr>
            <w:tcW w:w="5480" w:type="dxa"/>
            <w:vAlign w:val="bottom"/>
          </w:tcPr>
          <w:p>
            <w:pPr>
              <w:jc w:val="center"/>
              <w:ind w:right="10"/>
              <w:spacing w:after="0"/>
              <w:rPr>
                <w:sz w:val="20"/>
                <w:szCs w:val="20"/>
                <w:color w:val="auto"/>
              </w:rPr>
            </w:pPr>
            <w:r>
              <w:rPr>
                <w:rFonts w:ascii="Arial" w:cs="Arial" w:eastAsia="Arial" w:hAnsi="Arial"/>
                <w:sz w:val="18"/>
                <w:szCs w:val="18"/>
                <w:color w:val="auto"/>
                <w:w w:val="97"/>
              </w:rPr>
              <w:t>/s/ RICK L. WELLER</w:t>
            </w:r>
          </w:p>
        </w:tc>
      </w:tr>
      <w:tr>
        <w:trPr>
          <w:trHeight w:val="27"/>
        </w:trPr>
        <w:tc>
          <w:tcPr>
            <w:tcW w:w="540" w:type="dxa"/>
            <w:vAlign w:val="bottom"/>
          </w:tcPr>
          <w:p>
            <w:pPr>
              <w:spacing w:after="0"/>
              <w:rPr>
                <w:sz w:val="2"/>
                <w:szCs w:val="2"/>
                <w:color w:val="auto"/>
              </w:rPr>
            </w:pPr>
          </w:p>
        </w:tc>
        <w:tc>
          <w:tcPr>
            <w:tcW w:w="5480" w:type="dxa"/>
            <w:vAlign w:val="bottom"/>
            <w:tcBorders>
              <w:bottom w:val="single" w:sz="8" w:color="auto"/>
            </w:tcBorders>
          </w:tcPr>
          <w:p>
            <w:pPr>
              <w:spacing w:after="0"/>
              <w:rPr>
                <w:sz w:val="2"/>
                <w:szCs w:val="2"/>
                <w:color w:val="auto"/>
              </w:rPr>
            </w:pPr>
          </w:p>
        </w:tc>
      </w:tr>
      <w:tr>
        <w:trPr>
          <w:trHeight w:val="237"/>
        </w:trPr>
        <w:tc>
          <w:tcPr>
            <w:tcW w:w="540" w:type="dxa"/>
            <w:vAlign w:val="bottom"/>
          </w:tcPr>
          <w:p>
            <w:pPr>
              <w:spacing w:after="0"/>
              <w:rPr>
                <w:sz w:val="20"/>
                <w:szCs w:val="20"/>
                <w:color w:val="auto"/>
              </w:rPr>
            </w:pPr>
          </w:p>
        </w:tc>
        <w:tc>
          <w:tcPr>
            <w:tcW w:w="5480" w:type="dxa"/>
            <w:vAlign w:val="bottom"/>
          </w:tcPr>
          <w:p>
            <w:pPr>
              <w:jc w:val="center"/>
              <w:spacing w:after="0"/>
              <w:rPr>
                <w:sz w:val="20"/>
                <w:szCs w:val="20"/>
                <w:color w:val="auto"/>
              </w:rPr>
            </w:pPr>
            <w:r>
              <w:rPr>
                <w:rFonts w:ascii="Arial" w:cs="Arial" w:eastAsia="Arial" w:hAnsi="Arial"/>
                <w:sz w:val="18"/>
                <w:szCs w:val="18"/>
                <w:color w:val="auto"/>
                <w:w w:val="95"/>
              </w:rPr>
              <w:t>Rick L. Weller</w:t>
            </w:r>
          </w:p>
        </w:tc>
      </w:tr>
      <w:tr>
        <w:trPr>
          <w:trHeight w:val="270"/>
        </w:trPr>
        <w:tc>
          <w:tcPr>
            <w:tcW w:w="540" w:type="dxa"/>
            <w:vAlign w:val="bottom"/>
          </w:tcPr>
          <w:p>
            <w:pPr>
              <w:spacing w:after="0"/>
              <w:rPr>
                <w:sz w:val="23"/>
                <w:szCs w:val="23"/>
                <w:color w:val="auto"/>
              </w:rPr>
            </w:pPr>
          </w:p>
        </w:tc>
        <w:tc>
          <w:tcPr>
            <w:tcW w:w="5480" w:type="dxa"/>
            <w:vAlign w:val="bottom"/>
          </w:tcPr>
          <w:p>
            <w:pPr>
              <w:jc w:val="center"/>
              <w:spacing w:after="0"/>
              <w:rPr>
                <w:sz w:val="20"/>
                <w:szCs w:val="20"/>
                <w:color w:val="auto"/>
              </w:rPr>
            </w:pPr>
            <w:r>
              <w:rPr>
                <w:rFonts w:ascii="Arial" w:cs="Arial" w:eastAsia="Arial" w:hAnsi="Arial"/>
                <w:sz w:val="18"/>
                <w:szCs w:val="18"/>
                <w:color w:val="auto"/>
                <w:w w:val="94"/>
              </w:rPr>
              <w:t>Chief Financial Officer</w:t>
            </w:r>
          </w:p>
        </w:tc>
      </w:tr>
    </w:tbl>
    <w:p>
      <w:pPr>
        <w:spacing w:after="0" w:line="200" w:lineRule="exact"/>
        <w:rPr>
          <w:sz w:val="20"/>
          <w:szCs w:val="20"/>
          <w:color w:val="auto"/>
        </w:rPr>
      </w:pPr>
    </w:p>
    <w:p>
      <w:pPr>
        <w:spacing w:after="0" w:line="272"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260"/>
          </w:cols>
          <w:pgMar w:left="240" w:top="125" w:right="399" w:bottom="1440" w:gutter="0" w:footer="0" w:header="0"/>
        </w:sectPr>
      </w:pPr>
    </w:p>
    <w:bookmarkStart w:id="34" w:name="page35"/>
    <w:bookmarkEnd w:id="34"/>
    <w:p>
      <w:pPr>
        <w:jc w:val="center"/>
        <w:spacing w:after="0"/>
        <w:rPr>
          <w:sz w:val="20"/>
          <w:szCs w:val="20"/>
          <w:color w:val="auto"/>
        </w:rPr>
      </w:pPr>
      <w:r>
        <w:rPr>
          <w:rFonts w:ascii="Arial" w:cs="Arial" w:eastAsia="Arial" w:hAnsi="Arial"/>
          <w:sz w:val="20"/>
          <w:szCs w:val="20"/>
          <w:color w:val="auto"/>
        </w:rPr>
        <w:t>AMENDMENT NO. 1</w:t>
      </w:r>
    </w:p>
    <w:p>
      <w:pPr>
        <w:spacing w:after="0" w:line="229" w:lineRule="exact"/>
        <w:rPr>
          <w:sz w:val="20"/>
          <w:szCs w:val="20"/>
          <w:color w:val="auto"/>
        </w:rPr>
      </w:pPr>
    </w:p>
    <w:p>
      <w:pPr>
        <w:ind w:right="60" w:firstLine="648"/>
        <w:spacing w:after="0" w:line="244" w:lineRule="auto"/>
        <w:rPr>
          <w:sz w:val="20"/>
          <w:szCs w:val="20"/>
          <w:color w:val="auto"/>
        </w:rPr>
      </w:pPr>
      <w:r>
        <w:rPr>
          <w:rFonts w:ascii="Arial" w:cs="Arial" w:eastAsia="Arial" w:hAnsi="Arial"/>
          <w:sz w:val="20"/>
          <w:szCs w:val="20"/>
          <w:color w:val="auto"/>
        </w:rPr>
        <w:t>THIS AMENDMENT NO. 1, dated as of April 9, 2014 (this “</w:t>
      </w:r>
      <w:r>
        <w:rPr>
          <w:rFonts w:ascii="Arial" w:cs="Arial" w:eastAsia="Arial" w:hAnsi="Arial"/>
          <w:sz w:val="20"/>
          <w:szCs w:val="20"/>
          <w:u w:val="single" w:color="auto"/>
          <w:color w:val="auto"/>
        </w:rPr>
        <w:t>Amendment</w:t>
      </w:r>
      <w:r>
        <w:rPr>
          <w:rFonts w:ascii="Arial" w:cs="Arial" w:eastAsia="Arial" w:hAnsi="Arial"/>
          <w:sz w:val="20"/>
          <w:szCs w:val="20"/>
          <w:color w:val="auto"/>
        </w:rPr>
        <w:t>”), of that certain Credit Agreement referenced below is by and among EURONET WORLDWIDE, INC., a Delaware corporation (“</w:t>
      </w:r>
      <w:r>
        <w:rPr>
          <w:rFonts w:ascii="Arial" w:cs="Arial" w:eastAsia="Arial" w:hAnsi="Arial"/>
          <w:sz w:val="20"/>
          <w:szCs w:val="20"/>
          <w:u w:val="single" w:color="auto"/>
          <w:color w:val="auto"/>
        </w:rPr>
        <w:t>EWI</w:t>
      </w:r>
      <w:r>
        <w:rPr>
          <w:rFonts w:ascii="Arial" w:cs="Arial" w:eastAsia="Arial" w:hAnsi="Arial"/>
          <w:sz w:val="20"/>
          <w:szCs w:val="20"/>
          <w:color w:val="auto"/>
        </w:rPr>
        <w:t>”), certain Subsidiaries and Affiliates of EWI identified herein, as Borrowers and Guarantors, the undersigned Lenders, Bank of America, N.A., as Administrative Agent (in such capacity, acting through its agency offices in the United States in respect of the Loan Obligations other than the India Revolving Loan Obligations where it is acting through its agency offices in Mumbai) and Collateral Agent.</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W I T N E S S E T H</w:t>
      </w:r>
    </w:p>
    <w:p>
      <w:pPr>
        <w:spacing w:after="0" w:line="229" w:lineRule="exact"/>
        <w:rPr>
          <w:sz w:val="20"/>
          <w:szCs w:val="20"/>
          <w:color w:val="auto"/>
        </w:rPr>
      </w:pPr>
    </w:p>
    <w:p>
      <w:pPr>
        <w:ind w:right="60" w:firstLine="648"/>
        <w:spacing w:after="0" w:line="246" w:lineRule="auto"/>
        <w:rPr>
          <w:sz w:val="20"/>
          <w:szCs w:val="20"/>
          <w:color w:val="auto"/>
        </w:rPr>
      </w:pPr>
      <w:r>
        <w:rPr>
          <w:rFonts w:ascii="Arial" w:cs="Arial" w:eastAsia="Arial" w:hAnsi="Arial"/>
          <w:sz w:val="20"/>
          <w:szCs w:val="20"/>
          <w:color w:val="auto"/>
        </w:rPr>
        <w:t>WHEREAS, a multicurrency revolving and term loan credit facility has been established pursuant to the terms of that certain Amended and Restated Credit Agreement dated as of August 18, 2011 (as amended and modified, the “</w:t>
      </w:r>
      <w:r>
        <w:rPr>
          <w:rFonts w:ascii="Arial" w:cs="Arial" w:eastAsia="Arial" w:hAnsi="Arial"/>
          <w:sz w:val="20"/>
          <w:szCs w:val="20"/>
          <w:u w:val="single" w:color="auto"/>
          <w:color w:val="auto"/>
        </w:rPr>
        <w:t>Credit Agreement</w:t>
      </w:r>
      <w:r>
        <w:rPr>
          <w:rFonts w:ascii="Arial" w:cs="Arial" w:eastAsia="Arial" w:hAnsi="Arial"/>
          <w:sz w:val="20"/>
          <w:szCs w:val="20"/>
          <w:color w:val="auto"/>
        </w:rPr>
        <w:t>”), among EWI and certain Subsidiaries, as Borrowers, the Subsidiaries and Affiliates identified therein, as Guarantors, the Lenders identified therein, and Bank of America, N.A., as Administrative Agent and Collateral Agent;</w:t>
      </w:r>
    </w:p>
    <w:p>
      <w:pPr>
        <w:spacing w:after="0" w:line="205" w:lineRule="exact"/>
        <w:rPr>
          <w:sz w:val="20"/>
          <w:szCs w:val="20"/>
          <w:color w:val="auto"/>
        </w:rPr>
      </w:pPr>
    </w:p>
    <w:p>
      <w:pPr>
        <w:ind w:right="720" w:firstLine="648"/>
        <w:spacing w:after="0" w:line="260" w:lineRule="auto"/>
        <w:rPr>
          <w:sz w:val="20"/>
          <w:szCs w:val="20"/>
          <w:color w:val="auto"/>
        </w:rPr>
      </w:pPr>
      <w:r>
        <w:rPr>
          <w:rFonts w:ascii="Arial" w:cs="Arial" w:eastAsia="Arial" w:hAnsi="Arial"/>
          <w:sz w:val="20"/>
          <w:szCs w:val="20"/>
          <w:color w:val="auto"/>
        </w:rPr>
        <w:t>WHEREAS, the revolving commitments under the Credit Agreement were increased as provided in that Commitment Increase Agreement dated as of October 11, 2012;</w:t>
      </w:r>
    </w:p>
    <w:p>
      <w:pPr>
        <w:spacing w:after="0" w:line="190" w:lineRule="exact"/>
        <w:rPr>
          <w:sz w:val="20"/>
          <w:szCs w:val="20"/>
          <w:color w:val="auto"/>
        </w:rPr>
      </w:pPr>
    </w:p>
    <w:p>
      <w:pPr>
        <w:ind w:right="460" w:firstLine="648"/>
        <w:spacing w:after="0" w:line="260" w:lineRule="auto"/>
        <w:rPr>
          <w:sz w:val="20"/>
          <w:szCs w:val="20"/>
          <w:color w:val="auto"/>
        </w:rPr>
      </w:pPr>
      <w:r>
        <w:rPr>
          <w:rFonts w:ascii="Arial" w:cs="Arial" w:eastAsia="Arial" w:hAnsi="Arial"/>
          <w:sz w:val="20"/>
          <w:szCs w:val="20"/>
          <w:color w:val="auto"/>
        </w:rPr>
        <w:t>WHEREAS, certain modifications to the Credit Agreement have been requested, including, among other things, an increase in the revolving loan commitments and the term loan commitments, and a reduction in pricing;</w:t>
      </w:r>
    </w:p>
    <w:p>
      <w:pPr>
        <w:spacing w:after="0" w:line="190" w:lineRule="exact"/>
        <w:rPr>
          <w:sz w:val="20"/>
          <w:szCs w:val="20"/>
          <w:color w:val="auto"/>
        </w:rPr>
      </w:pPr>
    </w:p>
    <w:p>
      <w:pPr>
        <w:ind w:left="660"/>
        <w:spacing w:after="0"/>
        <w:rPr>
          <w:sz w:val="20"/>
          <w:szCs w:val="20"/>
          <w:color w:val="auto"/>
        </w:rPr>
      </w:pPr>
      <w:r>
        <w:rPr>
          <w:rFonts w:ascii="Arial" w:cs="Arial" w:eastAsia="Arial" w:hAnsi="Arial"/>
          <w:sz w:val="19"/>
          <w:szCs w:val="19"/>
          <w:color w:val="auto"/>
        </w:rPr>
        <w:t>WHEREAS, EWI and the Lenders have agreed to the requested modifications on the terms and conditions set forth herein;</w:t>
      </w:r>
    </w:p>
    <w:p>
      <w:pPr>
        <w:spacing w:after="0" w:line="241" w:lineRule="exact"/>
        <w:rPr>
          <w:sz w:val="20"/>
          <w:szCs w:val="20"/>
          <w:color w:val="auto"/>
        </w:rPr>
      </w:pPr>
    </w:p>
    <w:p>
      <w:pPr>
        <w:ind w:right="460" w:firstLine="648"/>
        <w:spacing w:after="0" w:line="260" w:lineRule="auto"/>
        <w:rPr>
          <w:sz w:val="20"/>
          <w:szCs w:val="20"/>
          <w:color w:val="auto"/>
        </w:rPr>
      </w:pPr>
      <w:r>
        <w:rPr>
          <w:rFonts w:ascii="Arial" w:cs="Arial" w:eastAsia="Arial" w:hAnsi="Arial"/>
          <w:sz w:val="20"/>
          <w:szCs w:val="20"/>
          <w:color w:val="auto"/>
        </w:rPr>
        <w:t>NOW, THEREFORE, in consideration of these premises and other good and valuable consideration, the receipt and sufficiency of which are hereby acknowledged, the parties agree as follows:</w:t>
      </w:r>
    </w:p>
    <w:p>
      <w:pPr>
        <w:spacing w:after="0" w:line="204" w:lineRule="exact"/>
        <w:rPr>
          <w:sz w:val="20"/>
          <w:szCs w:val="20"/>
          <w:color w:val="auto"/>
        </w:rPr>
      </w:pPr>
    </w:p>
    <w:p>
      <w:pPr>
        <w:ind w:left="660"/>
        <w:spacing w:after="0"/>
        <w:tabs>
          <w:tab w:leader="none" w:pos="2080" w:val="left"/>
        </w:tabs>
        <w:rPr>
          <w:sz w:val="20"/>
          <w:szCs w:val="20"/>
          <w:color w:val="auto"/>
        </w:rPr>
      </w:pPr>
      <w:r>
        <w:rPr>
          <w:rFonts w:ascii="Arial" w:cs="Arial" w:eastAsia="Arial" w:hAnsi="Arial"/>
          <w:sz w:val="20"/>
          <w:szCs w:val="20"/>
          <w:color w:val="auto"/>
        </w:rPr>
        <w:t>Section 1.</w:t>
      </w:r>
      <w:r>
        <w:rPr>
          <w:sz w:val="20"/>
          <w:szCs w:val="20"/>
          <w:color w:val="auto"/>
        </w:rPr>
        <w:tab/>
      </w:r>
      <w:r>
        <w:rPr>
          <w:rFonts w:ascii="Arial" w:cs="Arial" w:eastAsia="Arial" w:hAnsi="Arial"/>
          <w:sz w:val="16"/>
          <w:szCs w:val="16"/>
          <w:u w:val="single" w:color="auto"/>
          <w:color w:val="auto"/>
        </w:rPr>
        <w:t>Defined Terms</w:t>
      </w:r>
      <w:r>
        <w:rPr>
          <w:rFonts w:ascii="Arial" w:cs="Arial" w:eastAsia="Arial" w:hAnsi="Arial"/>
          <w:sz w:val="16"/>
          <w:szCs w:val="16"/>
          <w:color w:val="auto"/>
        </w:rPr>
        <w:t>.</w:t>
      </w:r>
    </w:p>
    <w:p>
      <w:pPr>
        <w:spacing w:after="0" w:line="229" w:lineRule="exact"/>
        <w:rPr>
          <w:sz w:val="20"/>
          <w:szCs w:val="20"/>
          <w:color w:val="auto"/>
        </w:rPr>
      </w:pPr>
    </w:p>
    <w:p>
      <w:pPr>
        <w:jc w:val="both"/>
        <w:ind w:left="660" w:firstLine="1297"/>
        <w:spacing w:after="0" w:line="260" w:lineRule="auto"/>
        <w:rPr>
          <w:sz w:val="20"/>
          <w:szCs w:val="20"/>
          <w:color w:val="auto"/>
        </w:rPr>
      </w:pPr>
      <w:r>
        <w:rPr>
          <w:rFonts w:ascii="Arial" w:cs="Arial" w:eastAsia="Arial" w:hAnsi="Arial"/>
          <w:sz w:val="20"/>
          <w:szCs w:val="20"/>
          <w:color w:val="auto"/>
        </w:rPr>
        <w:t>1.1 Unless otherwise defined herein or the context otherwise requires, the following terms used in this Amendment, including its preamble and recitals, have the following meanings:</w:t>
      </w:r>
    </w:p>
    <w:p>
      <w:pPr>
        <w:spacing w:after="0" w:line="217" w:lineRule="exact"/>
        <w:rPr>
          <w:sz w:val="20"/>
          <w:szCs w:val="20"/>
          <w:color w:val="auto"/>
        </w:rPr>
      </w:pPr>
    </w:p>
    <w:p>
      <w:pPr>
        <w:jc w:val="both"/>
        <w:ind w:left="660" w:firstLine="648"/>
        <w:spacing w:after="0" w:line="306"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Parallel Debt Agreement</w:t>
      </w:r>
      <w:r>
        <w:rPr>
          <w:rFonts w:ascii="Arial" w:cs="Arial" w:eastAsia="Arial" w:hAnsi="Arial"/>
          <w:sz w:val="20"/>
          <w:szCs w:val="20"/>
          <w:color w:val="auto"/>
        </w:rPr>
        <w:t xml:space="preserve">” means the parallel debt agreement governed by German law dated 1 August 2007 as amended on 11 November 2011 and as further amended, modified or supplemented from time to time between, </w:t>
      </w:r>
      <w:r>
        <w:rPr>
          <w:rFonts w:ascii="Arial" w:cs="Arial" w:eastAsia="Arial" w:hAnsi="Arial"/>
          <w:sz w:val="20"/>
          <w:szCs w:val="20"/>
          <w:i w:val="1"/>
          <w:iCs w:val="1"/>
          <w:color w:val="auto"/>
        </w:rPr>
        <w:t>inter alia</w:t>
      </w:r>
      <w:r>
        <w:rPr>
          <w:rFonts w:ascii="Arial" w:cs="Arial" w:eastAsia="Arial" w:hAnsi="Arial"/>
          <w:sz w:val="20"/>
          <w:szCs w:val="20"/>
          <w:color w:val="auto"/>
        </w:rPr>
        <w:t>, the obligors listed therein and the Foreign Collateral Agent acting for itself and in the name of the Secured Lenders.</w:t>
      </w:r>
    </w:p>
    <w:p>
      <w:pPr>
        <w:spacing w:after="0" w:line="255" w:lineRule="exact"/>
        <w:rPr>
          <w:sz w:val="20"/>
          <w:szCs w:val="20"/>
          <w:color w:val="auto"/>
        </w:rPr>
      </w:pPr>
    </w:p>
    <w:p>
      <w:pPr>
        <w:jc w:val="both"/>
        <w:ind w:left="660" w:firstLine="648"/>
        <w:spacing w:after="0" w:line="317"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Secured Lenders</w:t>
      </w:r>
      <w:r>
        <w:rPr>
          <w:rFonts w:ascii="Arial" w:cs="Arial" w:eastAsia="Arial" w:hAnsi="Arial"/>
          <w:sz w:val="20"/>
          <w:szCs w:val="20"/>
          <w:color w:val="auto"/>
        </w:rPr>
        <w:t>” means the lenders listed in Schedule 1 (</w:t>
      </w:r>
      <w:r>
        <w:rPr>
          <w:rFonts w:ascii="Arial" w:cs="Arial" w:eastAsia="Arial" w:hAnsi="Arial"/>
          <w:sz w:val="20"/>
          <w:szCs w:val="20"/>
          <w:i w:val="1"/>
          <w:iCs w:val="1"/>
          <w:color w:val="auto"/>
        </w:rPr>
        <w:t>The Secured Lenders</w:t>
      </w:r>
      <w:r>
        <w:rPr>
          <w:rFonts w:ascii="Arial" w:cs="Arial" w:eastAsia="Arial" w:hAnsi="Arial"/>
          <w:sz w:val="20"/>
          <w:szCs w:val="20"/>
          <w:color w:val="auto"/>
        </w:rPr>
        <w:t>) of the Parallel Debt Agreement and each New Secured Lender (as defined in teh Parallel Debt Agreement).</w:t>
      </w:r>
    </w:p>
    <w:p>
      <w:pPr>
        <w:spacing w:after="0" w:line="162" w:lineRule="exact"/>
        <w:rPr>
          <w:sz w:val="20"/>
          <w:szCs w:val="20"/>
          <w:color w:val="auto"/>
        </w:rPr>
      </w:pPr>
    </w:p>
    <w:p>
      <w:pPr>
        <w:ind w:left="1300"/>
        <w:spacing w:after="0"/>
        <w:tabs>
          <w:tab w:leader="none" w:pos="1720" w:val="left"/>
        </w:tabs>
        <w:rPr>
          <w:sz w:val="20"/>
          <w:szCs w:val="20"/>
          <w:color w:val="auto"/>
        </w:rPr>
      </w:pPr>
      <w:r>
        <w:rPr>
          <w:rFonts w:ascii="Arial" w:cs="Arial" w:eastAsia="Arial" w:hAnsi="Arial"/>
          <w:sz w:val="20"/>
          <w:szCs w:val="20"/>
          <w:color w:val="auto"/>
        </w:rPr>
        <w:t>1.2</w:t>
      </w:r>
      <w:r>
        <w:rPr>
          <w:sz w:val="20"/>
          <w:szCs w:val="20"/>
          <w:color w:val="auto"/>
        </w:rPr>
        <w:tab/>
      </w:r>
      <w:r>
        <w:rPr>
          <w:rFonts w:ascii="Arial" w:cs="Arial" w:eastAsia="Arial" w:hAnsi="Arial"/>
          <w:sz w:val="16"/>
          <w:szCs w:val="16"/>
          <w:color w:val="auto"/>
        </w:rPr>
        <w:t>Capitalized terms used but not otherwise defined herein shall have the meanings provided in the Credit Agreement.</w:t>
      </w:r>
    </w:p>
    <w:p>
      <w:pPr>
        <w:spacing w:after="0" w:line="1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Section references are to sections and subsections in the Credit Agreement.</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Arial" w:cs="Arial" w:eastAsia="Arial" w:hAnsi="Arial"/>
          <w:sz w:val="14"/>
          <w:szCs w:val="14"/>
          <w:color w:val="auto"/>
        </w:rPr>
        <w:t>CHAR1\1315949v12</w:t>
      </w:r>
    </w:p>
    <w:p>
      <w:pPr>
        <w:sectPr>
          <w:pgSz w:w="11900" w:h="16838" w:orient="portrait"/>
          <w:cols w:equalWidth="0" w:num="1">
            <w:col w:w="11420"/>
          </w:cols>
          <w:pgMar w:left="240" w:top="366" w:right="239" w:bottom="1440" w:gutter="0" w:footer="0" w:header="0"/>
        </w:sectPr>
      </w:pPr>
    </w:p>
    <w:bookmarkStart w:id="35" w:name="page36"/>
    <w:bookmarkEnd w:id="35"/>
    <w:p>
      <w:pPr>
        <w:ind w:right="800" w:firstLine="648"/>
        <w:spacing w:after="0" w:line="287" w:lineRule="auto"/>
        <w:rPr>
          <w:sz w:val="20"/>
          <w:szCs w:val="20"/>
          <w:color w:val="auto"/>
        </w:rPr>
      </w:pPr>
      <w:r>
        <w:rPr>
          <w:rFonts w:ascii="Arial" w:cs="Arial" w:eastAsia="Arial" w:hAnsi="Arial"/>
          <w:sz w:val="19"/>
          <w:szCs w:val="19"/>
          <w:color w:val="auto"/>
        </w:rPr>
        <w:t xml:space="preserve">Section 2. </w:t>
      </w:r>
      <w:r>
        <w:rPr>
          <w:rFonts w:ascii="Arial" w:cs="Arial" w:eastAsia="Arial" w:hAnsi="Arial"/>
          <w:sz w:val="19"/>
          <w:szCs w:val="19"/>
          <w:u w:val="single" w:color="auto"/>
          <w:color w:val="auto"/>
        </w:rPr>
        <w:t>Establishment of Incremental Credit Facilities</w:t>
      </w:r>
      <w:r>
        <w:rPr>
          <w:rFonts w:ascii="Arial" w:cs="Arial" w:eastAsia="Arial" w:hAnsi="Arial"/>
          <w:sz w:val="19"/>
          <w:szCs w:val="19"/>
          <w:color w:val="auto"/>
        </w:rPr>
        <w:t>. Subject to the terms and conditions provided herein, the following Incremental Facilities are hereby established and the Credit Agreement shall be modified in the following respects.</w:t>
      </w:r>
    </w:p>
    <w:p>
      <w:pPr>
        <w:spacing w:after="0" w:line="153" w:lineRule="exact"/>
        <w:rPr>
          <w:sz w:val="20"/>
          <w:szCs w:val="20"/>
          <w:color w:val="auto"/>
        </w:rPr>
      </w:pPr>
    </w:p>
    <w:p>
      <w:pPr>
        <w:ind w:left="660" w:right="120" w:firstLine="648"/>
        <w:spacing w:after="0" w:line="250" w:lineRule="auto"/>
        <w:rPr>
          <w:sz w:val="20"/>
          <w:szCs w:val="20"/>
          <w:color w:val="auto"/>
        </w:rPr>
      </w:pPr>
      <w:r>
        <w:rPr>
          <w:rFonts w:ascii="Arial" w:cs="Arial" w:eastAsia="Arial" w:hAnsi="Arial"/>
          <w:sz w:val="20"/>
          <w:szCs w:val="20"/>
          <w:color w:val="auto"/>
        </w:rPr>
        <w:t xml:space="preserve">2.1 </w:t>
      </w:r>
      <w:r>
        <w:rPr>
          <w:rFonts w:ascii="Arial" w:cs="Arial" w:eastAsia="Arial" w:hAnsi="Arial"/>
          <w:sz w:val="20"/>
          <w:szCs w:val="20"/>
          <w:u w:val="single" w:color="auto"/>
          <w:color w:val="auto"/>
        </w:rPr>
        <w:t>Increase in Master Revolving Commitments and Revolving Commitments Thereunder</w:t>
      </w:r>
      <w:r>
        <w:rPr>
          <w:rFonts w:ascii="Arial" w:cs="Arial" w:eastAsia="Arial" w:hAnsi="Arial"/>
          <w:sz w:val="20"/>
          <w:szCs w:val="20"/>
          <w:color w:val="auto"/>
        </w:rPr>
        <w:t>. The Master Revolving Commitments which include the Australian Revolving Commitments, the USD Revolving Commitments and the European Revolving Commitments, shall be increased as shown below:</w:t>
      </w:r>
    </w:p>
    <w:p>
      <w:pPr>
        <w:spacing w:after="0" w:line="348"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4200" w:type="dxa"/>
            <w:vAlign w:val="bottom"/>
          </w:tcPr>
          <w:p>
            <w:pPr>
              <w:spacing w:after="0"/>
              <w:rPr>
                <w:sz w:val="19"/>
                <w:szCs w:val="19"/>
                <w:color w:val="auto"/>
              </w:rPr>
            </w:pPr>
          </w:p>
        </w:tc>
        <w:tc>
          <w:tcPr>
            <w:tcW w:w="2580" w:type="dxa"/>
            <w:vAlign w:val="bottom"/>
          </w:tcPr>
          <w:p>
            <w:pPr>
              <w:jc w:val="center"/>
              <w:spacing w:after="0"/>
              <w:rPr>
                <w:sz w:val="20"/>
                <w:szCs w:val="20"/>
                <w:color w:val="auto"/>
              </w:rPr>
            </w:pPr>
            <w:r>
              <w:rPr>
                <w:rFonts w:ascii="Arial" w:cs="Arial" w:eastAsia="Arial" w:hAnsi="Arial"/>
                <w:sz w:val="20"/>
                <w:szCs w:val="20"/>
                <w:color w:val="auto"/>
                <w:w w:val="93"/>
              </w:rPr>
              <w:t>Before Giving Effect to</w:t>
            </w:r>
          </w:p>
        </w:tc>
        <w:tc>
          <w:tcPr>
            <w:tcW w:w="2220" w:type="dxa"/>
            <w:vAlign w:val="bottom"/>
          </w:tcPr>
          <w:p>
            <w:pPr>
              <w:ind w:left="340"/>
              <w:spacing w:after="0"/>
              <w:rPr>
                <w:sz w:val="20"/>
                <w:szCs w:val="20"/>
                <w:color w:val="auto"/>
              </w:rPr>
            </w:pPr>
            <w:r>
              <w:rPr>
                <w:rFonts w:ascii="Arial" w:cs="Arial" w:eastAsia="Arial" w:hAnsi="Arial"/>
                <w:sz w:val="20"/>
                <w:szCs w:val="20"/>
                <w:color w:val="auto"/>
              </w:rPr>
              <w:t>Amount of Increase</w:t>
            </w:r>
          </w:p>
        </w:tc>
        <w:tc>
          <w:tcPr>
            <w:tcW w:w="2380" w:type="dxa"/>
            <w:vAlign w:val="bottom"/>
          </w:tcPr>
          <w:p>
            <w:pPr>
              <w:jc w:val="center"/>
              <w:spacing w:after="0"/>
              <w:rPr>
                <w:sz w:val="20"/>
                <w:szCs w:val="20"/>
                <w:color w:val="auto"/>
              </w:rPr>
            </w:pPr>
            <w:r>
              <w:rPr>
                <w:rFonts w:ascii="Arial" w:cs="Arial" w:eastAsia="Arial" w:hAnsi="Arial"/>
                <w:sz w:val="20"/>
                <w:szCs w:val="20"/>
                <w:color w:val="auto"/>
                <w:w w:val="95"/>
              </w:rPr>
              <w:t>After Giving Effect to</w:t>
            </w:r>
          </w:p>
        </w:tc>
        <w:tc>
          <w:tcPr>
            <w:tcW w:w="0" w:type="dxa"/>
            <w:vAlign w:val="bottom"/>
          </w:tcPr>
          <w:p>
            <w:pPr>
              <w:spacing w:after="0"/>
              <w:rPr>
                <w:sz w:val="1"/>
                <w:szCs w:val="1"/>
                <w:color w:val="auto"/>
              </w:rPr>
            </w:pPr>
          </w:p>
        </w:tc>
      </w:tr>
      <w:tr>
        <w:trPr>
          <w:trHeight w:val="250"/>
        </w:trPr>
        <w:tc>
          <w:tcPr>
            <w:tcW w:w="4200" w:type="dxa"/>
            <w:vAlign w:val="bottom"/>
          </w:tcPr>
          <w:p>
            <w:pPr>
              <w:spacing w:after="0"/>
              <w:rPr>
                <w:sz w:val="21"/>
                <w:szCs w:val="21"/>
                <w:color w:val="auto"/>
              </w:rPr>
            </w:pPr>
          </w:p>
        </w:tc>
        <w:tc>
          <w:tcPr>
            <w:tcW w:w="2580" w:type="dxa"/>
            <w:vAlign w:val="bottom"/>
          </w:tcPr>
          <w:p>
            <w:pPr>
              <w:jc w:val="center"/>
              <w:spacing w:after="0"/>
              <w:rPr>
                <w:sz w:val="20"/>
                <w:szCs w:val="20"/>
                <w:color w:val="auto"/>
              </w:rPr>
            </w:pPr>
            <w:r>
              <w:rPr>
                <w:rFonts w:ascii="Arial" w:cs="Arial" w:eastAsia="Arial" w:hAnsi="Arial"/>
                <w:sz w:val="20"/>
                <w:szCs w:val="20"/>
                <w:color w:val="auto"/>
                <w:w w:val="85"/>
              </w:rPr>
              <w:t>Increase</w:t>
            </w:r>
          </w:p>
        </w:tc>
        <w:tc>
          <w:tcPr>
            <w:tcW w:w="2220" w:type="dxa"/>
            <w:vAlign w:val="bottom"/>
          </w:tcPr>
          <w:p>
            <w:pPr>
              <w:spacing w:after="0"/>
              <w:rPr>
                <w:sz w:val="21"/>
                <w:szCs w:val="21"/>
                <w:color w:val="auto"/>
              </w:rPr>
            </w:pPr>
          </w:p>
        </w:tc>
        <w:tc>
          <w:tcPr>
            <w:tcW w:w="2380" w:type="dxa"/>
            <w:vAlign w:val="bottom"/>
          </w:tcPr>
          <w:p>
            <w:pPr>
              <w:jc w:val="center"/>
              <w:spacing w:after="0"/>
              <w:rPr>
                <w:sz w:val="20"/>
                <w:szCs w:val="20"/>
                <w:color w:val="auto"/>
              </w:rPr>
            </w:pPr>
            <w:r>
              <w:rPr>
                <w:rFonts w:ascii="Arial" w:cs="Arial" w:eastAsia="Arial" w:hAnsi="Arial"/>
                <w:sz w:val="20"/>
                <w:szCs w:val="20"/>
                <w:color w:val="auto"/>
                <w:w w:val="85"/>
              </w:rPr>
              <w:t>Increase</w:t>
            </w:r>
          </w:p>
        </w:tc>
        <w:tc>
          <w:tcPr>
            <w:tcW w:w="0" w:type="dxa"/>
            <w:vAlign w:val="bottom"/>
          </w:tcPr>
          <w:p>
            <w:pPr>
              <w:spacing w:after="0"/>
              <w:rPr>
                <w:sz w:val="1"/>
                <w:szCs w:val="1"/>
                <w:color w:val="auto"/>
              </w:rPr>
            </w:pPr>
          </w:p>
        </w:tc>
      </w:tr>
      <w:tr>
        <w:trPr>
          <w:trHeight w:val="23"/>
        </w:trPr>
        <w:tc>
          <w:tcPr>
            <w:tcW w:w="4200" w:type="dxa"/>
            <w:vAlign w:val="bottom"/>
            <w:vMerge w:val="restart"/>
          </w:tcPr>
          <w:p>
            <w:pPr>
              <w:spacing w:after="0"/>
              <w:rPr>
                <w:sz w:val="20"/>
                <w:szCs w:val="20"/>
                <w:color w:val="auto"/>
              </w:rPr>
            </w:pPr>
            <w:r>
              <w:rPr>
                <w:rFonts w:ascii="Arial" w:cs="Arial" w:eastAsia="Arial" w:hAnsi="Arial"/>
                <w:sz w:val="20"/>
                <w:szCs w:val="20"/>
                <w:color w:val="auto"/>
              </w:rPr>
              <w:t>Master Revolving Commitments</w:t>
            </w:r>
          </w:p>
        </w:tc>
        <w:tc>
          <w:tcPr>
            <w:tcW w:w="2580" w:type="dxa"/>
            <w:vAlign w:val="bottom"/>
            <w:tcBorders>
              <w:bottom w:val="single" w:sz="8" w:color="auto"/>
            </w:tcBorders>
          </w:tcPr>
          <w:p>
            <w:pPr>
              <w:spacing w:after="0"/>
              <w:rPr>
                <w:sz w:val="2"/>
                <w:szCs w:val="2"/>
                <w:color w:val="auto"/>
              </w:rPr>
            </w:pPr>
          </w:p>
        </w:tc>
        <w:tc>
          <w:tcPr>
            <w:tcW w:w="2220" w:type="dxa"/>
            <w:vAlign w:val="bottom"/>
            <w:tcBorders>
              <w:bottom w:val="single" w:sz="8" w:color="auto"/>
            </w:tcBorders>
          </w:tcPr>
          <w:p>
            <w:pPr>
              <w:spacing w:after="0"/>
              <w:rPr>
                <w:sz w:val="2"/>
                <w:szCs w:val="2"/>
                <w:color w:val="auto"/>
              </w:rPr>
            </w:pPr>
          </w:p>
        </w:tc>
        <w:tc>
          <w:tcPr>
            <w:tcW w:w="23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4"/>
        </w:trPr>
        <w:tc>
          <w:tcPr>
            <w:tcW w:w="4200" w:type="dxa"/>
            <w:vAlign w:val="bottom"/>
            <w:vMerge w:val="continue"/>
          </w:tcPr>
          <w:p>
            <w:pPr>
              <w:spacing w:after="0"/>
              <w:rPr>
                <w:sz w:val="22"/>
                <w:szCs w:val="22"/>
                <w:color w:val="auto"/>
              </w:rPr>
            </w:pPr>
          </w:p>
        </w:tc>
        <w:tc>
          <w:tcPr>
            <w:tcW w:w="2580" w:type="dxa"/>
            <w:vAlign w:val="bottom"/>
          </w:tcPr>
          <w:p>
            <w:pPr>
              <w:jc w:val="center"/>
              <w:spacing w:after="0"/>
              <w:rPr>
                <w:sz w:val="20"/>
                <w:szCs w:val="20"/>
                <w:color w:val="auto"/>
              </w:rPr>
            </w:pPr>
            <w:r>
              <w:rPr>
                <w:rFonts w:ascii="Arial" w:cs="Arial" w:eastAsia="Arial" w:hAnsi="Arial"/>
                <w:sz w:val="20"/>
                <w:szCs w:val="20"/>
                <w:color w:val="auto"/>
                <w:w w:val="88"/>
              </w:rPr>
              <w:t>$390,000,000</w:t>
            </w:r>
          </w:p>
        </w:tc>
        <w:tc>
          <w:tcPr>
            <w:tcW w:w="2220" w:type="dxa"/>
            <w:vAlign w:val="bottom"/>
          </w:tcPr>
          <w:p>
            <w:pPr>
              <w:jc w:val="center"/>
              <w:spacing w:after="0"/>
              <w:rPr>
                <w:sz w:val="20"/>
                <w:szCs w:val="20"/>
                <w:color w:val="auto"/>
              </w:rPr>
            </w:pPr>
            <w:r>
              <w:rPr>
                <w:rFonts w:ascii="Arial" w:cs="Arial" w:eastAsia="Arial" w:hAnsi="Arial"/>
                <w:sz w:val="20"/>
                <w:szCs w:val="20"/>
                <w:color w:val="auto"/>
                <w:w w:val="89"/>
              </w:rPr>
              <w:t>$200,000,000</w:t>
            </w:r>
          </w:p>
        </w:tc>
        <w:tc>
          <w:tcPr>
            <w:tcW w:w="2380" w:type="dxa"/>
            <w:vAlign w:val="bottom"/>
          </w:tcPr>
          <w:p>
            <w:pPr>
              <w:jc w:val="center"/>
              <w:spacing w:after="0"/>
              <w:rPr>
                <w:sz w:val="20"/>
                <w:szCs w:val="20"/>
                <w:color w:val="auto"/>
              </w:rPr>
            </w:pPr>
            <w:r>
              <w:rPr>
                <w:rFonts w:ascii="Arial" w:cs="Arial" w:eastAsia="Arial" w:hAnsi="Arial"/>
                <w:sz w:val="20"/>
                <w:szCs w:val="20"/>
                <w:color w:val="auto"/>
                <w:w w:val="88"/>
              </w:rPr>
              <w:t>$590,000,000</w:t>
            </w:r>
          </w:p>
        </w:tc>
        <w:tc>
          <w:tcPr>
            <w:tcW w:w="0" w:type="dxa"/>
            <w:vAlign w:val="bottom"/>
          </w:tcPr>
          <w:p>
            <w:pPr>
              <w:spacing w:after="0"/>
              <w:rPr>
                <w:sz w:val="1"/>
                <w:szCs w:val="1"/>
                <w:color w:val="auto"/>
              </w:rPr>
            </w:pPr>
          </w:p>
        </w:tc>
      </w:tr>
      <w:tr>
        <w:trPr>
          <w:trHeight w:val="284"/>
        </w:trPr>
        <w:tc>
          <w:tcPr>
            <w:tcW w:w="4200" w:type="dxa"/>
            <w:vAlign w:val="bottom"/>
          </w:tcPr>
          <w:p>
            <w:pPr>
              <w:spacing w:after="0"/>
              <w:rPr>
                <w:sz w:val="20"/>
                <w:szCs w:val="20"/>
                <w:color w:val="auto"/>
              </w:rPr>
            </w:pPr>
            <w:r>
              <w:rPr>
                <w:rFonts w:ascii="Arial" w:cs="Arial" w:eastAsia="Arial" w:hAnsi="Arial"/>
                <w:sz w:val="20"/>
                <w:szCs w:val="20"/>
                <w:color w:val="auto"/>
              </w:rPr>
              <w:t>USD Revolving Commitments</w:t>
            </w:r>
          </w:p>
        </w:tc>
        <w:tc>
          <w:tcPr>
            <w:tcW w:w="2580" w:type="dxa"/>
            <w:vAlign w:val="bottom"/>
          </w:tcPr>
          <w:p>
            <w:pPr>
              <w:jc w:val="center"/>
              <w:spacing w:after="0"/>
              <w:rPr>
                <w:sz w:val="20"/>
                <w:szCs w:val="20"/>
                <w:color w:val="auto"/>
              </w:rPr>
            </w:pPr>
            <w:r>
              <w:rPr>
                <w:rFonts w:ascii="Arial" w:cs="Arial" w:eastAsia="Arial" w:hAnsi="Arial"/>
                <w:sz w:val="20"/>
                <w:szCs w:val="20"/>
                <w:color w:val="auto"/>
                <w:w w:val="88"/>
              </w:rPr>
              <w:t>$390,000,000</w:t>
            </w:r>
          </w:p>
        </w:tc>
        <w:tc>
          <w:tcPr>
            <w:tcW w:w="2220" w:type="dxa"/>
            <w:vAlign w:val="bottom"/>
          </w:tcPr>
          <w:p>
            <w:pPr>
              <w:jc w:val="center"/>
              <w:spacing w:after="0"/>
              <w:rPr>
                <w:sz w:val="20"/>
                <w:szCs w:val="20"/>
                <w:color w:val="auto"/>
              </w:rPr>
            </w:pPr>
            <w:r>
              <w:rPr>
                <w:rFonts w:ascii="Arial" w:cs="Arial" w:eastAsia="Arial" w:hAnsi="Arial"/>
                <w:sz w:val="20"/>
                <w:szCs w:val="20"/>
                <w:color w:val="auto"/>
                <w:w w:val="89"/>
              </w:rPr>
              <w:t>$200,000,000</w:t>
            </w:r>
          </w:p>
        </w:tc>
        <w:tc>
          <w:tcPr>
            <w:tcW w:w="2380" w:type="dxa"/>
            <w:vAlign w:val="bottom"/>
          </w:tcPr>
          <w:p>
            <w:pPr>
              <w:jc w:val="center"/>
              <w:spacing w:after="0"/>
              <w:rPr>
                <w:sz w:val="20"/>
                <w:szCs w:val="20"/>
                <w:color w:val="auto"/>
              </w:rPr>
            </w:pPr>
            <w:r>
              <w:rPr>
                <w:rFonts w:ascii="Arial" w:cs="Arial" w:eastAsia="Arial" w:hAnsi="Arial"/>
                <w:sz w:val="20"/>
                <w:szCs w:val="20"/>
                <w:color w:val="auto"/>
                <w:w w:val="88"/>
              </w:rPr>
              <w:t>$590,000,000</w:t>
            </w:r>
          </w:p>
        </w:tc>
        <w:tc>
          <w:tcPr>
            <w:tcW w:w="0" w:type="dxa"/>
            <w:vAlign w:val="bottom"/>
          </w:tcPr>
          <w:p>
            <w:pPr>
              <w:spacing w:after="0"/>
              <w:rPr>
                <w:sz w:val="1"/>
                <w:szCs w:val="1"/>
                <w:color w:val="auto"/>
              </w:rPr>
            </w:pPr>
          </w:p>
        </w:tc>
      </w:tr>
      <w:tr>
        <w:trPr>
          <w:trHeight w:val="284"/>
        </w:trPr>
        <w:tc>
          <w:tcPr>
            <w:tcW w:w="4200" w:type="dxa"/>
            <w:vAlign w:val="bottom"/>
          </w:tcPr>
          <w:p>
            <w:pPr>
              <w:spacing w:after="0"/>
              <w:rPr>
                <w:sz w:val="20"/>
                <w:szCs w:val="20"/>
                <w:color w:val="auto"/>
              </w:rPr>
            </w:pPr>
            <w:r>
              <w:rPr>
                <w:rFonts w:ascii="Arial" w:cs="Arial" w:eastAsia="Arial" w:hAnsi="Arial"/>
                <w:sz w:val="20"/>
                <w:szCs w:val="20"/>
                <w:color w:val="auto"/>
              </w:rPr>
              <w:t>European Revolving Commitments</w:t>
            </w:r>
          </w:p>
        </w:tc>
        <w:tc>
          <w:tcPr>
            <w:tcW w:w="2580" w:type="dxa"/>
            <w:vAlign w:val="bottom"/>
          </w:tcPr>
          <w:p>
            <w:pPr>
              <w:jc w:val="center"/>
              <w:spacing w:after="0"/>
              <w:rPr>
                <w:sz w:val="20"/>
                <w:szCs w:val="20"/>
                <w:color w:val="auto"/>
              </w:rPr>
            </w:pPr>
            <w:r>
              <w:rPr>
                <w:rFonts w:ascii="Arial" w:cs="Arial" w:eastAsia="Arial" w:hAnsi="Arial"/>
                <w:sz w:val="20"/>
                <w:szCs w:val="20"/>
                <w:color w:val="auto"/>
                <w:w w:val="88"/>
              </w:rPr>
              <w:t>$382,500,000</w:t>
            </w:r>
          </w:p>
        </w:tc>
        <w:tc>
          <w:tcPr>
            <w:tcW w:w="2220" w:type="dxa"/>
            <w:vAlign w:val="bottom"/>
          </w:tcPr>
          <w:p>
            <w:pPr>
              <w:jc w:val="center"/>
              <w:spacing w:after="0"/>
              <w:rPr>
                <w:sz w:val="20"/>
                <w:szCs w:val="20"/>
                <w:color w:val="auto"/>
              </w:rPr>
            </w:pPr>
            <w:r>
              <w:rPr>
                <w:rFonts w:ascii="Arial" w:cs="Arial" w:eastAsia="Arial" w:hAnsi="Arial"/>
                <w:sz w:val="20"/>
                <w:szCs w:val="20"/>
                <w:color w:val="auto"/>
                <w:w w:val="88"/>
              </w:rPr>
              <w:t>$78,000,000</w:t>
            </w:r>
          </w:p>
        </w:tc>
        <w:tc>
          <w:tcPr>
            <w:tcW w:w="2380" w:type="dxa"/>
            <w:vAlign w:val="bottom"/>
          </w:tcPr>
          <w:p>
            <w:pPr>
              <w:jc w:val="center"/>
              <w:spacing w:after="0"/>
              <w:rPr>
                <w:sz w:val="20"/>
                <w:szCs w:val="20"/>
                <w:color w:val="auto"/>
              </w:rPr>
            </w:pPr>
            <w:r>
              <w:rPr>
                <w:rFonts w:ascii="Arial" w:cs="Arial" w:eastAsia="Arial" w:hAnsi="Arial"/>
                <w:sz w:val="20"/>
                <w:szCs w:val="20"/>
                <w:color w:val="auto"/>
                <w:w w:val="88"/>
              </w:rPr>
              <w:t>$460,500,000</w:t>
            </w:r>
          </w:p>
        </w:tc>
        <w:tc>
          <w:tcPr>
            <w:tcW w:w="0" w:type="dxa"/>
            <w:vAlign w:val="bottom"/>
          </w:tcPr>
          <w:p>
            <w:pPr>
              <w:spacing w:after="0"/>
              <w:rPr>
                <w:sz w:val="1"/>
                <w:szCs w:val="1"/>
                <w:color w:val="auto"/>
              </w:rPr>
            </w:pPr>
          </w:p>
        </w:tc>
      </w:tr>
      <w:tr>
        <w:trPr>
          <w:trHeight w:val="284"/>
        </w:trPr>
        <w:tc>
          <w:tcPr>
            <w:tcW w:w="4200" w:type="dxa"/>
            <w:vAlign w:val="bottom"/>
          </w:tcPr>
          <w:p>
            <w:pPr>
              <w:spacing w:after="0"/>
              <w:rPr>
                <w:sz w:val="20"/>
                <w:szCs w:val="20"/>
                <w:color w:val="auto"/>
              </w:rPr>
            </w:pPr>
            <w:r>
              <w:rPr>
                <w:rFonts w:ascii="Arial" w:cs="Arial" w:eastAsia="Arial" w:hAnsi="Arial"/>
                <w:sz w:val="20"/>
                <w:szCs w:val="20"/>
                <w:color w:val="auto"/>
              </w:rPr>
              <w:t>Australian Revolving Commitments</w:t>
            </w:r>
          </w:p>
        </w:tc>
        <w:tc>
          <w:tcPr>
            <w:tcW w:w="2580" w:type="dxa"/>
            <w:vAlign w:val="bottom"/>
          </w:tcPr>
          <w:p>
            <w:pPr>
              <w:jc w:val="center"/>
              <w:spacing w:after="0"/>
              <w:rPr>
                <w:sz w:val="20"/>
                <w:szCs w:val="20"/>
                <w:color w:val="auto"/>
              </w:rPr>
            </w:pPr>
            <w:r>
              <w:rPr>
                <w:rFonts w:ascii="Arial" w:cs="Arial" w:eastAsia="Arial" w:hAnsi="Arial"/>
                <w:sz w:val="20"/>
                <w:szCs w:val="20"/>
                <w:color w:val="auto"/>
                <w:w w:val="88"/>
              </w:rPr>
              <w:t>$365,000,000</w:t>
            </w:r>
          </w:p>
        </w:tc>
        <w:tc>
          <w:tcPr>
            <w:tcW w:w="2220" w:type="dxa"/>
            <w:vAlign w:val="bottom"/>
          </w:tcPr>
          <w:p>
            <w:pPr>
              <w:jc w:val="center"/>
              <w:spacing w:after="0"/>
              <w:rPr>
                <w:sz w:val="20"/>
                <w:szCs w:val="20"/>
                <w:color w:val="auto"/>
              </w:rPr>
            </w:pPr>
            <w:r>
              <w:rPr>
                <w:rFonts w:ascii="Arial" w:cs="Arial" w:eastAsia="Arial" w:hAnsi="Arial"/>
                <w:sz w:val="20"/>
                <w:szCs w:val="20"/>
                <w:color w:val="auto"/>
                <w:w w:val="88"/>
              </w:rPr>
              <w:t>$75,000,000</w:t>
            </w:r>
          </w:p>
        </w:tc>
        <w:tc>
          <w:tcPr>
            <w:tcW w:w="2380" w:type="dxa"/>
            <w:vAlign w:val="bottom"/>
          </w:tcPr>
          <w:p>
            <w:pPr>
              <w:jc w:val="center"/>
              <w:spacing w:after="0"/>
              <w:rPr>
                <w:sz w:val="20"/>
                <w:szCs w:val="20"/>
                <w:color w:val="auto"/>
              </w:rPr>
            </w:pPr>
            <w:r>
              <w:rPr>
                <w:rFonts w:ascii="Arial" w:cs="Arial" w:eastAsia="Arial" w:hAnsi="Arial"/>
                <w:sz w:val="20"/>
                <w:szCs w:val="20"/>
                <w:color w:val="auto"/>
                <w:w w:val="88"/>
              </w:rPr>
              <w:t>$440,000,000</w:t>
            </w:r>
          </w:p>
        </w:tc>
        <w:tc>
          <w:tcPr>
            <w:tcW w:w="0" w:type="dxa"/>
            <w:vAlign w:val="bottom"/>
          </w:tcPr>
          <w:p>
            <w:pPr>
              <w:spacing w:after="0"/>
              <w:rPr>
                <w:sz w:val="1"/>
                <w:szCs w:val="1"/>
                <w:color w:val="auto"/>
              </w:rPr>
            </w:pPr>
          </w:p>
        </w:tc>
      </w:tr>
    </w:tbl>
    <w:p>
      <w:pPr>
        <w:spacing w:after="0" w:line="23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India Revolving Commitments which are not part of the Master Revolving Commitments are not affected by this Amendment.</w:t>
      </w:r>
    </w:p>
    <w:p>
      <w:pPr>
        <w:spacing w:after="0" w:line="252" w:lineRule="exact"/>
        <w:rPr>
          <w:sz w:val="20"/>
          <w:szCs w:val="20"/>
          <w:color w:val="auto"/>
        </w:rPr>
      </w:pPr>
    </w:p>
    <w:p>
      <w:pPr>
        <w:ind w:left="1300"/>
        <w:spacing w:after="0"/>
        <w:tabs>
          <w:tab w:leader="none" w:pos="1720" w:val="left"/>
        </w:tabs>
        <w:rPr>
          <w:sz w:val="20"/>
          <w:szCs w:val="20"/>
          <w:color w:val="auto"/>
        </w:rPr>
      </w:pPr>
      <w:r>
        <w:rPr>
          <w:rFonts w:ascii="Arial" w:cs="Arial" w:eastAsia="Arial" w:hAnsi="Arial"/>
          <w:sz w:val="20"/>
          <w:szCs w:val="20"/>
          <w:color w:val="auto"/>
        </w:rPr>
        <w:t>2.2</w:t>
      </w:r>
      <w:r>
        <w:rPr>
          <w:sz w:val="20"/>
          <w:szCs w:val="20"/>
          <w:color w:val="auto"/>
        </w:rPr>
        <w:tab/>
      </w:r>
      <w:r>
        <w:rPr>
          <w:rFonts w:ascii="Arial" w:cs="Arial" w:eastAsia="Arial" w:hAnsi="Arial"/>
          <w:sz w:val="18"/>
          <w:szCs w:val="18"/>
          <w:u w:val="single" w:color="auto"/>
          <w:color w:val="auto"/>
        </w:rPr>
        <w:t>Increase in Term Loan A</w:t>
      </w:r>
      <w:r>
        <w:rPr>
          <w:rFonts w:ascii="Arial" w:cs="Arial" w:eastAsia="Arial" w:hAnsi="Arial"/>
          <w:sz w:val="18"/>
          <w:szCs w:val="18"/>
          <w:color w:val="auto"/>
        </w:rPr>
        <w:t>. On the Closing Date, the aggregate amount of the Term Loan A was Eighty Million Dollars</w:t>
      </w:r>
    </w:p>
    <w:p>
      <w:pPr>
        <w:spacing w:after="0" w:line="1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($80,000,000). Principal amortization payments of Fourteen Million Dollars ($14,000,000) have been made and on the date hereof the</w:t>
      </w:r>
    </w:p>
    <w:p>
      <w:pPr>
        <w:spacing w:after="0" w:line="2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Outstanding Amount of the Term Loan A is Sixty-Six Million ($66,000,000). The next principal amortization payment date is May 31,</w:t>
      </w:r>
    </w:p>
    <w:p>
      <w:pPr>
        <w:spacing w:after="0" w:line="23" w:lineRule="exact"/>
        <w:rPr>
          <w:sz w:val="20"/>
          <w:szCs w:val="20"/>
          <w:color w:val="auto"/>
        </w:rPr>
      </w:pPr>
    </w:p>
    <w:p>
      <w:pPr>
        <w:ind w:left="660"/>
        <w:spacing w:after="0"/>
        <w:rPr>
          <w:sz w:val="20"/>
          <w:szCs w:val="20"/>
          <w:color w:val="auto"/>
        </w:rPr>
      </w:pPr>
      <w:r>
        <w:rPr>
          <w:rFonts w:ascii="Arial" w:cs="Arial" w:eastAsia="Arial" w:hAnsi="Arial"/>
          <w:sz w:val="19"/>
          <w:szCs w:val="19"/>
          <w:color w:val="auto"/>
        </w:rPr>
        <w:t>2014. The aggregate amount of the Term Loan A shall be increased by Nine Million Dollars ($9,000,000) to SEVENTY-FIVE</w:t>
      </w:r>
    </w:p>
    <w:p>
      <w:pPr>
        <w:spacing w:after="0" w:line="11" w:lineRule="exact"/>
        <w:rPr>
          <w:sz w:val="20"/>
          <w:szCs w:val="20"/>
          <w:color w:val="auto"/>
        </w:rPr>
      </w:pPr>
    </w:p>
    <w:p>
      <w:pPr>
        <w:ind w:left="660"/>
        <w:spacing w:after="0"/>
        <w:rPr>
          <w:sz w:val="20"/>
          <w:szCs w:val="20"/>
          <w:color w:val="auto"/>
        </w:rPr>
      </w:pPr>
      <w:r>
        <w:rPr>
          <w:rFonts w:ascii="Arial" w:cs="Arial" w:eastAsia="Arial" w:hAnsi="Arial"/>
          <w:sz w:val="20"/>
          <w:szCs w:val="20"/>
          <w:color w:val="auto"/>
        </w:rPr>
        <w:t>MILLION DOLLARS ($75,000,000), and the principal amortization schedule shall be amended as hereafter provided.</w:t>
      </w:r>
    </w:p>
    <w:p>
      <w:pPr>
        <w:spacing w:after="0" w:line="213" w:lineRule="exact"/>
        <w:rPr>
          <w:sz w:val="20"/>
          <w:szCs w:val="20"/>
          <w:color w:val="auto"/>
        </w:rPr>
      </w:pPr>
    </w:p>
    <w:p>
      <w:pPr>
        <w:ind w:left="660" w:right="540" w:firstLine="648"/>
        <w:spacing w:after="0" w:line="316" w:lineRule="auto"/>
        <w:rPr>
          <w:sz w:val="20"/>
          <w:szCs w:val="20"/>
          <w:color w:val="auto"/>
        </w:rPr>
      </w:pPr>
      <w:r>
        <w:rPr>
          <w:rFonts w:ascii="Arial" w:cs="Arial" w:eastAsia="Arial" w:hAnsi="Arial"/>
          <w:sz w:val="18"/>
          <w:szCs w:val="18"/>
          <w:color w:val="auto"/>
        </w:rPr>
        <w:t xml:space="preserve">2.2 </w:t>
      </w:r>
      <w:r>
        <w:rPr>
          <w:rFonts w:ascii="Arial" w:cs="Arial" w:eastAsia="Arial" w:hAnsi="Arial"/>
          <w:sz w:val="18"/>
          <w:szCs w:val="18"/>
          <w:u w:val="single" w:color="auto"/>
          <w:color w:val="auto"/>
        </w:rPr>
        <w:t>Update of Schedule of Lenders and Commitments</w:t>
      </w:r>
      <w:r>
        <w:rPr>
          <w:rFonts w:ascii="Arial" w:cs="Arial" w:eastAsia="Arial" w:hAnsi="Arial"/>
          <w:sz w:val="18"/>
          <w:szCs w:val="18"/>
          <w:color w:val="auto"/>
        </w:rPr>
        <w:t xml:space="preserve">. </w:t>
      </w:r>
      <w:r>
        <w:rPr>
          <w:rFonts w:ascii="Arial" w:cs="Arial" w:eastAsia="Arial" w:hAnsi="Arial"/>
          <w:sz w:val="18"/>
          <w:szCs w:val="18"/>
          <w:u w:val="single" w:color="auto"/>
          <w:color w:val="auto"/>
        </w:rPr>
        <w:t>Schedule 2.01</w:t>
      </w:r>
      <w:r>
        <w:rPr>
          <w:rFonts w:ascii="Arial" w:cs="Arial" w:eastAsia="Arial" w:hAnsi="Arial"/>
          <w:sz w:val="18"/>
          <w:szCs w:val="18"/>
          <w:color w:val="auto"/>
        </w:rPr>
        <w:t xml:space="preserve"> (Lenders and Commitments) shall be amended to reflect establishment of the incremental revolving and term loan commitments, and reallocation thereof, as attached.</w:t>
      </w:r>
    </w:p>
    <w:p>
      <w:pPr>
        <w:spacing w:after="0" w:line="130" w:lineRule="exact"/>
        <w:rPr>
          <w:sz w:val="20"/>
          <w:szCs w:val="20"/>
          <w:color w:val="auto"/>
        </w:rPr>
      </w:pPr>
    </w:p>
    <w:p>
      <w:pPr>
        <w:ind w:left="660" w:right="20" w:firstLine="648"/>
        <w:spacing w:after="0" w:line="250" w:lineRule="auto"/>
        <w:rPr>
          <w:sz w:val="20"/>
          <w:szCs w:val="20"/>
          <w:color w:val="auto"/>
        </w:rPr>
      </w:pPr>
      <w:r>
        <w:rPr>
          <w:rFonts w:ascii="Arial" w:cs="Arial" w:eastAsia="Arial" w:hAnsi="Arial"/>
          <w:sz w:val="20"/>
          <w:szCs w:val="20"/>
          <w:color w:val="auto"/>
        </w:rPr>
        <w:t xml:space="preserve">2.3 </w:t>
      </w:r>
      <w:r>
        <w:rPr>
          <w:rFonts w:ascii="Arial" w:cs="Arial" w:eastAsia="Arial" w:hAnsi="Arial"/>
          <w:sz w:val="20"/>
          <w:szCs w:val="20"/>
          <w:u w:val="single" w:color="auto"/>
          <w:color w:val="auto"/>
        </w:rPr>
        <w:t>Assignment of Interests</w:t>
      </w:r>
      <w:r>
        <w:rPr>
          <w:rFonts w:ascii="Arial" w:cs="Arial" w:eastAsia="Arial" w:hAnsi="Arial"/>
          <w:sz w:val="20"/>
          <w:szCs w:val="20"/>
          <w:color w:val="auto"/>
        </w:rPr>
        <w:t xml:space="preserve">. The Lenders shall purchase and sell assignment interests in the loans and commitments under the Credit Agreement to give effect to the foregoing increases and reallocations as provided herein and as reflected on </w:t>
      </w:r>
      <w:r>
        <w:rPr>
          <w:rFonts w:ascii="Arial" w:cs="Arial" w:eastAsia="Arial" w:hAnsi="Arial"/>
          <w:sz w:val="20"/>
          <w:szCs w:val="20"/>
          <w:u w:val="single" w:color="auto"/>
          <w:color w:val="auto"/>
        </w:rPr>
        <w:t>Schedule 2.01</w:t>
      </w:r>
      <w:r>
        <w:rPr>
          <w:rFonts w:ascii="Arial" w:cs="Arial" w:eastAsia="Arial" w:hAnsi="Arial"/>
          <w:sz w:val="20"/>
          <w:szCs w:val="20"/>
          <w:color w:val="auto"/>
        </w:rPr>
        <w:t>, as revised, attached hereto.</w:t>
      </w:r>
    </w:p>
    <w:p>
      <w:pPr>
        <w:spacing w:after="0" w:line="186" w:lineRule="exact"/>
        <w:rPr>
          <w:sz w:val="20"/>
          <w:szCs w:val="20"/>
          <w:color w:val="auto"/>
        </w:rPr>
      </w:pPr>
    </w:p>
    <w:p>
      <w:pPr>
        <w:ind w:left="660"/>
        <w:spacing w:after="0"/>
        <w:tabs>
          <w:tab w:leader="none" w:pos="1600" w:val="left"/>
        </w:tabs>
        <w:rPr>
          <w:sz w:val="20"/>
          <w:szCs w:val="20"/>
          <w:color w:val="auto"/>
        </w:rPr>
      </w:pPr>
      <w:r>
        <w:rPr>
          <w:rFonts w:ascii="Arial" w:cs="Arial" w:eastAsia="Arial" w:hAnsi="Arial"/>
          <w:sz w:val="20"/>
          <w:szCs w:val="20"/>
          <w:color w:val="auto"/>
        </w:rPr>
        <w:t>Section 3.</w:t>
      </w:r>
      <w:r>
        <w:rPr>
          <w:sz w:val="20"/>
          <w:szCs w:val="20"/>
          <w:color w:val="auto"/>
        </w:rPr>
        <w:tab/>
      </w:r>
      <w:r>
        <w:rPr>
          <w:rFonts w:ascii="Arial" w:cs="Arial" w:eastAsia="Arial" w:hAnsi="Arial"/>
          <w:sz w:val="18"/>
          <w:szCs w:val="18"/>
          <w:u w:val="single" w:color="auto"/>
          <w:color w:val="auto"/>
        </w:rPr>
        <w:t>Amendments to the Credit Agreement</w:t>
      </w:r>
      <w:r>
        <w:rPr>
          <w:rFonts w:ascii="Arial" w:cs="Arial" w:eastAsia="Arial" w:hAnsi="Arial"/>
          <w:sz w:val="18"/>
          <w:szCs w:val="18"/>
          <w:color w:val="auto"/>
        </w:rPr>
        <w:t>. The Credit Agreement is amended in the following respects:</w:t>
      </w:r>
    </w:p>
    <w:p>
      <w:pPr>
        <w:spacing w:after="0" w:line="229" w:lineRule="exact"/>
        <w:rPr>
          <w:sz w:val="20"/>
          <w:szCs w:val="20"/>
          <w:color w:val="auto"/>
        </w:rPr>
      </w:pPr>
    </w:p>
    <w:p>
      <w:pPr>
        <w:ind w:left="660" w:right="200" w:firstLine="648"/>
        <w:spacing w:after="0" w:line="298" w:lineRule="auto"/>
        <w:rPr>
          <w:sz w:val="20"/>
          <w:szCs w:val="20"/>
          <w:color w:val="auto"/>
        </w:rPr>
      </w:pPr>
      <w:r>
        <w:rPr>
          <w:rFonts w:ascii="Arial" w:cs="Arial" w:eastAsia="Arial" w:hAnsi="Arial"/>
          <w:sz w:val="19"/>
          <w:szCs w:val="19"/>
          <w:color w:val="auto"/>
        </w:rPr>
        <w:t xml:space="preserve">3.1 As of the Amendment No. 1 Effective Date (as referenced and defined herein and in the Credit Agreement), the Credit Agreement is hereby amended to delete the stricken text (indicated textually in the same manner as the following example: </w:t>
      </w:r>
      <w:r>
        <w:rPr>
          <w:rFonts w:ascii="Arial" w:cs="Arial" w:eastAsia="Arial" w:hAnsi="Arial"/>
          <w:sz w:val="19"/>
          <w:szCs w:val="19"/>
          <w:color w:val="FF0000"/>
          <w:strike w:val="1"/>
        </w:rPr>
        <w:t>stricken</w:t>
      </w:r>
      <w:r>
        <w:rPr>
          <w:rFonts w:ascii="Arial" w:cs="Arial" w:eastAsia="Arial" w:hAnsi="Arial"/>
          <w:sz w:val="19"/>
          <w:szCs w:val="19"/>
          <w:color w:val="auto"/>
        </w:rPr>
        <w:t xml:space="preserve"> </w:t>
      </w:r>
      <w:r>
        <w:rPr>
          <w:rFonts w:ascii="Arial" w:cs="Arial" w:eastAsia="Arial" w:hAnsi="Arial"/>
          <w:sz w:val="19"/>
          <w:szCs w:val="19"/>
          <w:color w:val="FF0000"/>
          <w:strike w:val="1"/>
        </w:rPr>
        <w:t>text</w:t>
      </w:r>
      <w:r>
        <w:rPr>
          <w:rFonts w:ascii="Arial" w:cs="Arial" w:eastAsia="Arial" w:hAnsi="Arial"/>
          <w:sz w:val="19"/>
          <w:szCs w:val="19"/>
          <w:color w:val="000000"/>
        </w:rPr>
        <w:t>) and to add the double-underlined text (indicated textually in the same manner as the following example:</w:t>
      </w:r>
      <w:r>
        <w:rPr>
          <w:rFonts w:ascii="Arial" w:cs="Arial" w:eastAsia="Arial" w:hAnsi="Arial"/>
          <w:sz w:val="19"/>
          <w:szCs w:val="19"/>
          <w:color w:val="FF0000"/>
        </w:rPr>
        <w:t xml:space="preserve"> </w:t>
      </w:r>
      <w:r>
        <w:rPr>
          <w:rFonts w:ascii="Arial" w:cs="Arial" w:eastAsia="Arial" w:hAnsi="Arial"/>
          <w:sz w:val="19"/>
          <w:szCs w:val="19"/>
          <w:u w:val="single" w:color="auto"/>
          <w:color w:val="0000FF"/>
        </w:rPr>
        <w:t>double-underlined text</w:t>
      </w:r>
      <w:r>
        <w:rPr>
          <w:rFonts w:ascii="Arial" w:cs="Arial" w:eastAsia="Arial" w:hAnsi="Arial"/>
          <w:sz w:val="19"/>
          <w:szCs w:val="19"/>
          <w:color w:val="000000"/>
        </w:rPr>
        <w:t>)</w:t>
      </w:r>
      <w:r>
        <w:rPr>
          <w:rFonts w:ascii="Arial" w:cs="Arial" w:eastAsia="Arial" w:hAnsi="Arial"/>
          <w:sz w:val="19"/>
          <w:szCs w:val="19"/>
          <w:color w:val="FF0000"/>
        </w:rPr>
        <w:t xml:space="preserve"> </w:t>
      </w:r>
      <w:r>
        <w:rPr>
          <w:rFonts w:ascii="Arial" w:cs="Arial" w:eastAsia="Arial" w:hAnsi="Arial"/>
          <w:sz w:val="19"/>
          <w:szCs w:val="19"/>
          <w:color w:val="000000"/>
        </w:rPr>
        <w:t xml:space="preserve">as set forth in the pages of the Credit Agreement attached as </w:t>
      </w:r>
      <w:r>
        <w:rPr>
          <w:rFonts w:ascii="Arial" w:cs="Arial" w:eastAsia="Arial" w:hAnsi="Arial"/>
          <w:sz w:val="19"/>
          <w:szCs w:val="19"/>
          <w:u w:val="single" w:color="auto"/>
          <w:color w:val="000000"/>
        </w:rPr>
        <w:t>Exhibit A</w:t>
      </w:r>
      <w:r>
        <w:rPr>
          <w:rFonts w:ascii="Arial" w:cs="Arial" w:eastAsia="Arial" w:hAnsi="Arial"/>
          <w:sz w:val="19"/>
          <w:szCs w:val="19"/>
          <w:color w:val="000000"/>
        </w:rPr>
        <w:t xml:space="preserve"> hereto.</w:t>
      </w:r>
    </w:p>
    <w:p>
      <w:pPr>
        <w:spacing w:after="0" w:line="157" w:lineRule="exact"/>
        <w:rPr>
          <w:sz w:val="20"/>
          <w:szCs w:val="20"/>
          <w:color w:val="auto"/>
        </w:rPr>
      </w:pPr>
    </w:p>
    <w:p>
      <w:pPr>
        <w:ind w:left="1300"/>
        <w:spacing w:after="0"/>
        <w:tabs>
          <w:tab w:leader="none" w:pos="1720" w:val="left"/>
        </w:tabs>
        <w:rPr>
          <w:sz w:val="20"/>
          <w:szCs w:val="20"/>
          <w:color w:val="auto"/>
        </w:rPr>
      </w:pPr>
      <w:r>
        <w:rPr>
          <w:rFonts w:ascii="Arial" w:cs="Arial" w:eastAsia="Arial" w:hAnsi="Arial"/>
          <w:sz w:val="20"/>
          <w:szCs w:val="20"/>
          <w:color w:val="auto"/>
        </w:rPr>
        <w:t>3.2</w:t>
      </w:r>
      <w:r>
        <w:rPr>
          <w:sz w:val="20"/>
          <w:szCs w:val="20"/>
          <w:color w:val="auto"/>
        </w:rPr>
        <w:tab/>
      </w:r>
      <w:r>
        <w:rPr>
          <w:rFonts w:ascii="Arial" w:cs="Arial" w:eastAsia="Arial" w:hAnsi="Arial"/>
          <w:sz w:val="16"/>
          <w:szCs w:val="16"/>
          <w:u w:val="single" w:color="auto"/>
          <w:color w:val="auto"/>
        </w:rPr>
        <w:t xml:space="preserve">Schedule 1.01 </w:t>
      </w:r>
      <w:r>
        <w:rPr>
          <w:rFonts w:ascii="Arial" w:cs="Arial" w:eastAsia="Arial" w:hAnsi="Arial"/>
          <w:sz w:val="16"/>
          <w:szCs w:val="16"/>
          <w:color w:val="auto"/>
        </w:rPr>
        <w:t>is deleted in its entirety.</w:t>
      </w:r>
    </w:p>
    <w:p>
      <w:pPr>
        <w:spacing w:after="0" w:line="216" w:lineRule="exact"/>
        <w:rPr>
          <w:sz w:val="20"/>
          <w:szCs w:val="20"/>
          <w:color w:val="auto"/>
        </w:rPr>
      </w:pPr>
    </w:p>
    <w:p>
      <w:pPr>
        <w:ind w:left="1300"/>
        <w:spacing w:after="0"/>
        <w:tabs>
          <w:tab w:leader="none" w:pos="1720" w:val="left"/>
        </w:tabs>
        <w:rPr>
          <w:sz w:val="20"/>
          <w:szCs w:val="20"/>
          <w:color w:val="auto"/>
        </w:rPr>
      </w:pPr>
      <w:r>
        <w:rPr>
          <w:rFonts w:ascii="Arial" w:cs="Arial" w:eastAsia="Arial" w:hAnsi="Arial"/>
          <w:sz w:val="20"/>
          <w:szCs w:val="20"/>
          <w:color w:val="auto"/>
        </w:rPr>
        <w:t>3.3</w:t>
      </w:r>
      <w:r>
        <w:rPr>
          <w:sz w:val="20"/>
          <w:szCs w:val="20"/>
          <w:color w:val="auto"/>
        </w:rPr>
        <w:tab/>
      </w:r>
      <w:r>
        <w:rPr>
          <w:rFonts w:ascii="Arial" w:cs="Arial" w:eastAsia="Arial" w:hAnsi="Arial"/>
          <w:sz w:val="16"/>
          <w:szCs w:val="16"/>
          <w:u w:val="single" w:color="auto"/>
          <w:color w:val="auto"/>
        </w:rPr>
        <w:t xml:space="preserve">Schedule 2.01 </w:t>
      </w:r>
      <w:r>
        <w:rPr>
          <w:rFonts w:ascii="Arial" w:cs="Arial" w:eastAsia="Arial" w:hAnsi="Arial"/>
          <w:sz w:val="16"/>
          <w:szCs w:val="16"/>
          <w:color w:val="auto"/>
        </w:rPr>
        <w:t>(Lenders and Commitments) is amended to read as attached.</w:t>
      </w: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w:t>
      </w:r>
    </w:p>
    <w:p>
      <w:pPr>
        <w:sectPr>
          <w:pgSz w:w="11900" w:h="16838" w:orient="portrait"/>
          <w:cols w:equalWidth="0" w:num="1">
            <w:col w:w="11420"/>
          </w:cols>
          <w:pgMar w:left="240" w:top="366" w:right="239" w:bottom="1440" w:gutter="0" w:footer="0" w:header="0"/>
        </w:sectPr>
      </w:pPr>
    </w:p>
    <w:bookmarkStart w:id="36" w:name="page37"/>
    <w:bookmarkEnd w:id="36"/>
    <w:p>
      <w:pPr>
        <w:ind w:right="500" w:firstLine="648"/>
        <w:spacing w:after="0" w:line="250" w:lineRule="auto"/>
        <w:rPr>
          <w:sz w:val="20"/>
          <w:szCs w:val="20"/>
          <w:color w:val="auto"/>
        </w:rPr>
      </w:pPr>
      <w:r>
        <w:rPr>
          <w:rFonts w:ascii="Arial" w:cs="Arial" w:eastAsia="Arial" w:hAnsi="Arial"/>
          <w:sz w:val="20"/>
          <w:szCs w:val="20"/>
          <w:color w:val="auto"/>
        </w:rPr>
        <w:t xml:space="preserve">Section 4. </w:t>
      </w:r>
      <w:r>
        <w:rPr>
          <w:rFonts w:ascii="Arial" w:cs="Arial" w:eastAsia="Arial" w:hAnsi="Arial"/>
          <w:sz w:val="20"/>
          <w:szCs w:val="20"/>
          <w:u w:val="single" w:color="auto"/>
          <w:color w:val="auto"/>
        </w:rPr>
        <w:t>Release</w:t>
      </w:r>
      <w:r>
        <w:rPr>
          <w:rFonts w:ascii="Arial" w:cs="Arial" w:eastAsia="Arial" w:hAnsi="Arial"/>
          <w:sz w:val="20"/>
          <w:szCs w:val="20"/>
          <w:color w:val="auto"/>
        </w:rPr>
        <w:t>. The thresholds for the joinder of Subsidiaries as Guarantors under the Credit Agreement, Grantors under the Security Agreements and Pledgors under the Pledge Agreements and the interests pledged thereunder, have been raised pursuant to this Amendment.</w:t>
      </w:r>
    </w:p>
    <w:p>
      <w:pPr>
        <w:spacing w:after="0" w:line="186" w:lineRule="exact"/>
        <w:rPr>
          <w:sz w:val="20"/>
          <w:szCs w:val="20"/>
          <w:color w:val="auto"/>
        </w:rPr>
      </w:pPr>
    </w:p>
    <w:p>
      <w:pPr>
        <w:ind w:left="1300"/>
        <w:spacing w:after="0"/>
        <w:tabs>
          <w:tab w:leader="none" w:pos="1720" w:val="left"/>
        </w:tabs>
        <w:rPr>
          <w:sz w:val="20"/>
          <w:szCs w:val="20"/>
          <w:color w:val="auto"/>
        </w:rPr>
      </w:pPr>
      <w:r>
        <w:rPr>
          <w:rFonts w:ascii="Arial" w:cs="Arial" w:eastAsia="Arial" w:hAnsi="Arial"/>
          <w:sz w:val="20"/>
          <w:szCs w:val="20"/>
          <w:color w:val="auto"/>
        </w:rPr>
        <w:t>4.1</w:t>
      </w:r>
      <w:r>
        <w:rPr>
          <w:sz w:val="20"/>
          <w:szCs w:val="20"/>
          <w:color w:val="auto"/>
        </w:rPr>
        <w:tab/>
      </w:r>
      <w:r>
        <w:rPr>
          <w:rFonts w:ascii="Arial" w:cs="Arial" w:eastAsia="Arial" w:hAnsi="Arial"/>
          <w:sz w:val="16"/>
          <w:szCs w:val="16"/>
          <w:u w:val="single" w:color="auto"/>
          <w:color w:val="auto"/>
        </w:rPr>
        <w:t>Release of Various Subsidiaries</w:t>
      </w:r>
      <w:r>
        <w:rPr>
          <w:rFonts w:ascii="Arial" w:cs="Arial" w:eastAsia="Arial" w:hAnsi="Arial"/>
          <w:sz w:val="16"/>
          <w:szCs w:val="16"/>
          <w:color w:val="auto"/>
        </w:rPr>
        <w:t>. Consent is given to the release of the following Subsidiaries as Guarantors under the</w:t>
      </w:r>
    </w:p>
    <w:p>
      <w:pPr>
        <w:spacing w:after="0" w:line="1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Credit Agreement, Grantors under the Security Agreements and Pledgors under the Pledge Agreements:</w:t>
      </w:r>
    </w:p>
    <w:p>
      <w:pPr>
        <w:spacing w:after="0" w:line="200" w:lineRule="exact"/>
        <w:rPr>
          <w:sz w:val="20"/>
          <w:szCs w:val="20"/>
          <w:color w:val="auto"/>
        </w:rPr>
      </w:pPr>
    </w:p>
    <w:p>
      <w:pPr>
        <w:ind w:left="2380" w:hanging="427"/>
        <w:spacing w:after="0"/>
        <w:tabs>
          <w:tab w:leader="none" w:pos="2380" w:val="left"/>
        </w:tabs>
        <w:numPr>
          <w:ilvl w:val="0"/>
          <w:numId w:val="16"/>
        </w:numPr>
        <w:rPr>
          <w:rFonts w:ascii="Arial" w:cs="Arial" w:eastAsia="Arial" w:hAnsi="Arial"/>
          <w:sz w:val="20"/>
          <w:szCs w:val="20"/>
          <w:color w:val="auto"/>
        </w:rPr>
      </w:pPr>
      <w:r>
        <w:rPr>
          <w:rFonts w:ascii="Arial" w:cs="Arial" w:eastAsia="Arial" w:hAnsi="Arial"/>
          <w:sz w:val="20"/>
          <w:szCs w:val="20"/>
          <w:color w:val="auto"/>
        </w:rPr>
        <w:t>Euronet USA, Inc.;</w:t>
      </w:r>
    </w:p>
    <w:p>
      <w:pPr>
        <w:spacing w:after="0" w:line="15" w:lineRule="exact"/>
        <w:rPr>
          <w:rFonts w:ascii="Arial" w:cs="Arial" w:eastAsia="Arial" w:hAnsi="Arial"/>
          <w:sz w:val="20"/>
          <w:szCs w:val="20"/>
          <w:color w:val="auto"/>
        </w:rPr>
      </w:pPr>
    </w:p>
    <w:p>
      <w:pPr>
        <w:ind w:left="2380" w:hanging="427"/>
        <w:spacing w:after="0"/>
        <w:tabs>
          <w:tab w:leader="none" w:pos="2380" w:val="left"/>
        </w:tabs>
        <w:numPr>
          <w:ilvl w:val="0"/>
          <w:numId w:val="16"/>
        </w:numPr>
        <w:rPr>
          <w:rFonts w:ascii="Arial" w:cs="Arial" w:eastAsia="Arial" w:hAnsi="Arial"/>
          <w:sz w:val="20"/>
          <w:szCs w:val="20"/>
          <w:color w:val="auto"/>
        </w:rPr>
      </w:pPr>
      <w:r>
        <w:rPr>
          <w:rFonts w:ascii="Arial" w:cs="Arial" w:eastAsia="Arial" w:hAnsi="Arial"/>
          <w:sz w:val="20"/>
          <w:szCs w:val="20"/>
          <w:color w:val="auto"/>
        </w:rPr>
        <w:t>RIA Envia Financial Services, GmbH;</w:t>
      </w:r>
    </w:p>
    <w:p>
      <w:pPr>
        <w:ind w:left="2380" w:hanging="427"/>
        <w:spacing w:after="0"/>
        <w:tabs>
          <w:tab w:leader="none" w:pos="2380" w:val="left"/>
        </w:tabs>
        <w:numPr>
          <w:ilvl w:val="0"/>
          <w:numId w:val="16"/>
        </w:numPr>
        <w:rPr>
          <w:rFonts w:ascii="Arial" w:cs="Arial" w:eastAsia="Arial" w:hAnsi="Arial"/>
          <w:sz w:val="20"/>
          <w:szCs w:val="20"/>
          <w:color w:val="auto"/>
        </w:rPr>
      </w:pPr>
      <w:r>
        <w:rPr>
          <w:rFonts w:ascii="Arial" w:cs="Arial" w:eastAsia="Arial" w:hAnsi="Arial"/>
          <w:sz w:val="20"/>
          <w:szCs w:val="20"/>
          <w:color w:val="auto"/>
        </w:rPr>
        <w:t>Euronet Banktechnikai Szolgaltato Korlatolt Felelossegu Tarsasag;</w:t>
      </w:r>
    </w:p>
    <w:p>
      <w:pPr>
        <w:ind w:left="2380" w:hanging="427"/>
        <w:spacing w:after="0"/>
        <w:tabs>
          <w:tab w:leader="none" w:pos="2380" w:val="left"/>
        </w:tabs>
        <w:numPr>
          <w:ilvl w:val="0"/>
          <w:numId w:val="16"/>
        </w:numPr>
        <w:rPr>
          <w:rFonts w:ascii="Arial" w:cs="Arial" w:eastAsia="Arial" w:hAnsi="Arial"/>
          <w:sz w:val="20"/>
          <w:szCs w:val="20"/>
          <w:color w:val="auto"/>
        </w:rPr>
      </w:pPr>
      <w:r>
        <w:rPr>
          <w:rFonts w:ascii="Arial" w:cs="Arial" w:eastAsia="Arial" w:hAnsi="Arial"/>
          <w:sz w:val="20"/>
          <w:szCs w:val="20"/>
          <w:color w:val="auto"/>
        </w:rPr>
        <w:t>Euronet Services Korlatolt Felelossegu Tarsasag;</w:t>
      </w:r>
    </w:p>
    <w:p>
      <w:pPr>
        <w:ind w:left="2380" w:hanging="427"/>
        <w:spacing w:after="0"/>
        <w:tabs>
          <w:tab w:leader="none" w:pos="2380" w:val="left"/>
        </w:tabs>
        <w:numPr>
          <w:ilvl w:val="0"/>
          <w:numId w:val="16"/>
        </w:numPr>
        <w:rPr>
          <w:rFonts w:ascii="Arial" w:cs="Arial" w:eastAsia="Arial" w:hAnsi="Arial"/>
          <w:sz w:val="20"/>
          <w:szCs w:val="20"/>
          <w:color w:val="auto"/>
        </w:rPr>
      </w:pPr>
      <w:r>
        <w:rPr>
          <w:rFonts w:ascii="Arial" w:cs="Arial" w:eastAsia="Arial" w:hAnsi="Arial"/>
          <w:sz w:val="20"/>
          <w:szCs w:val="20"/>
          <w:color w:val="auto"/>
        </w:rPr>
        <w:t>Euronet Pay &amp; Transaction Services S.R.L.;</w:t>
      </w:r>
    </w:p>
    <w:p>
      <w:pPr>
        <w:ind w:left="2340" w:hanging="387"/>
        <w:spacing w:after="0"/>
        <w:tabs>
          <w:tab w:leader="none" w:pos="2340" w:val="left"/>
        </w:tabs>
        <w:numPr>
          <w:ilvl w:val="0"/>
          <w:numId w:val="16"/>
        </w:numPr>
        <w:rPr>
          <w:rFonts w:ascii="Arial" w:cs="Arial" w:eastAsia="Arial" w:hAnsi="Arial"/>
          <w:sz w:val="20"/>
          <w:szCs w:val="20"/>
          <w:color w:val="auto"/>
        </w:rPr>
      </w:pPr>
      <w:r>
        <w:rPr>
          <w:rFonts w:ascii="Arial" w:cs="Arial" w:eastAsia="Arial" w:hAnsi="Arial"/>
          <w:sz w:val="20"/>
          <w:szCs w:val="20"/>
          <w:color w:val="auto"/>
        </w:rPr>
        <w:t>RIA Italia SRL;</w:t>
      </w:r>
    </w:p>
    <w:p>
      <w:pPr>
        <w:ind w:left="2380" w:hanging="427"/>
        <w:spacing w:after="0"/>
        <w:tabs>
          <w:tab w:leader="none" w:pos="2380" w:val="left"/>
        </w:tabs>
        <w:numPr>
          <w:ilvl w:val="0"/>
          <w:numId w:val="16"/>
        </w:numPr>
        <w:rPr>
          <w:rFonts w:ascii="Arial" w:cs="Arial" w:eastAsia="Arial" w:hAnsi="Arial"/>
          <w:sz w:val="20"/>
          <w:szCs w:val="20"/>
          <w:color w:val="auto"/>
        </w:rPr>
      </w:pPr>
      <w:r>
        <w:rPr>
          <w:rFonts w:ascii="Arial" w:cs="Arial" w:eastAsia="Arial" w:hAnsi="Arial"/>
          <w:sz w:val="20"/>
          <w:szCs w:val="20"/>
          <w:color w:val="auto"/>
        </w:rPr>
        <w:t>RIA Financial Services Limited;</w:t>
      </w:r>
    </w:p>
    <w:p>
      <w:pPr>
        <w:ind w:left="2380" w:hanging="427"/>
        <w:spacing w:after="0"/>
        <w:tabs>
          <w:tab w:leader="none" w:pos="2380" w:val="left"/>
        </w:tabs>
        <w:numPr>
          <w:ilvl w:val="0"/>
          <w:numId w:val="16"/>
        </w:numPr>
        <w:rPr>
          <w:rFonts w:ascii="Arial" w:cs="Arial" w:eastAsia="Arial" w:hAnsi="Arial"/>
          <w:sz w:val="20"/>
          <w:szCs w:val="20"/>
          <w:color w:val="auto"/>
        </w:rPr>
      </w:pPr>
      <w:r>
        <w:rPr>
          <w:rFonts w:ascii="Arial" w:cs="Arial" w:eastAsia="Arial" w:hAnsi="Arial"/>
          <w:sz w:val="20"/>
          <w:szCs w:val="20"/>
          <w:color w:val="auto"/>
        </w:rPr>
        <w:t>Telecomnet, Inc.;</w:t>
      </w:r>
    </w:p>
    <w:p>
      <w:pPr>
        <w:ind w:left="2340" w:hanging="387"/>
        <w:spacing w:after="0"/>
        <w:tabs>
          <w:tab w:leader="none" w:pos="2340" w:val="left"/>
        </w:tabs>
        <w:numPr>
          <w:ilvl w:val="0"/>
          <w:numId w:val="16"/>
        </w:numPr>
        <w:rPr>
          <w:rFonts w:ascii="Arial" w:cs="Arial" w:eastAsia="Arial" w:hAnsi="Arial"/>
          <w:sz w:val="20"/>
          <w:szCs w:val="20"/>
          <w:color w:val="auto"/>
        </w:rPr>
      </w:pPr>
      <w:r>
        <w:rPr>
          <w:rFonts w:ascii="Arial" w:cs="Arial" w:eastAsia="Arial" w:hAnsi="Arial"/>
          <w:sz w:val="20"/>
          <w:szCs w:val="20"/>
          <w:color w:val="auto"/>
        </w:rPr>
        <w:t>Pure Commerce Pty Limited; and</w:t>
      </w:r>
    </w:p>
    <w:p>
      <w:pPr>
        <w:ind w:left="2340" w:hanging="387"/>
        <w:spacing w:after="0"/>
        <w:tabs>
          <w:tab w:leader="none" w:pos="2340" w:val="left"/>
        </w:tabs>
        <w:numPr>
          <w:ilvl w:val="0"/>
          <w:numId w:val="16"/>
        </w:numPr>
        <w:rPr>
          <w:rFonts w:ascii="Arial" w:cs="Arial" w:eastAsia="Arial" w:hAnsi="Arial"/>
          <w:sz w:val="20"/>
          <w:szCs w:val="20"/>
          <w:color w:val="auto"/>
        </w:rPr>
      </w:pPr>
      <w:r>
        <w:rPr>
          <w:rFonts w:ascii="Arial" w:cs="Arial" w:eastAsia="Arial" w:hAnsi="Arial"/>
          <w:sz w:val="20"/>
          <w:szCs w:val="20"/>
          <w:color w:val="auto"/>
        </w:rPr>
        <w:t>RIA Financial Services Australia Pty Ltd.</w:t>
      </w:r>
    </w:p>
    <w:p>
      <w:pPr>
        <w:spacing w:after="0" w:line="213" w:lineRule="exact"/>
        <w:rPr>
          <w:sz w:val="20"/>
          <w:szCs w:val="20"/>
          <w:color w:val="auto"/>
        </w:rPr>
      </w:pPr>
    </w:p>
    <w:p>
      <w:pPr>
        <w:ind w:left="1300"/>
        <w:spacing w:after="0"/>
        <w:tabs>
          <w:tab w:leader="none" w:pos="1720" w:val="left"/>
        </w:tabs>
        <w:rPr>
          <w:sz w:val="20"/>
          <w:szCs w:val="20"/>
          <w:color w:val="auto"/>
        </w:rPr>
      </w:pPr>
      <w:r>
        <w:rPr>
          <w:rFonts w:ascii="Arial" w:cs="Arial" w:eastAsia="Arial" w:hAnsi="Arial"/>
          <w:sz w:val="20"/>
          <w:szCs w:val="20"/>
          <w:color w:val="auto"/>
        </w:rPr>
        <w:t>4.2</w:t>
      </w:r>
      <w:r>
        <w:rPr>
          <w:sz w:val="20"/>
          <w:szCs w:val="20"/>
          <w:color w:val="auto"/>
        </w:rPr>
        <w:tab/>
      </w:r>
      <w:r>
        <w:rPr>
          <w:rFonts w:ascii="Arial" w:cs="Arial" w:eastAsia="Arial" w:hAnsi="Arial"/>
          <w:sz w:val="16"/>
          <w:szCs w:val="16"/>
          <w:u w:val="single" w:color="auto"/>
          <w:color w:val="auto"/>
        </w:rPr>
        <w:t>Release of Certain Pledged Interests</w:t>
      </w:r>
      <w:r>
        <w:rPr>
          <w:rFonts w:ascii="Arial" w:cs="Arial" w:eastAsia="Arial" w:hAnsi="Arial"/>
          <w:sz w:val="16"/>
          <w:szCs w:val="16"/>
          <w:color w:val="auto"/>
        </w:rPr>
        <w:t>. The following pledged interests under the Pledge Agreements are released:</w:t>
      </w:r>
    </w:p>
    <w:p>
      <w:pPr>
        <w:spacing w:after="0" w:line="216" w:lineRule="exact"/>
        <w:rPr>
          <w:sz w:val="20"/>
          <w:szCs w:val="20"/>
          <w:color w:val="auto"/>
        </w:rPr>
      </w:pPr>
    </w:p>
    <w:p>
      <w:pPr>
        <w:ind w:left="2380" w:hanging="427"/>
        <w:spacing w:after="0"/>
        <w:tabs>
          <w:tab w:leader="none" w:pos="2380" w:val="left"/>
        </w:tabs>
        <w:numPr>
          <w:ilvl w:val="0"/>
          <w:numId w:val="17"/>
        </w:numPr>
        <w:rPr>
          <w:rFonts w:ascii="Arial" w:cs="Arial" w:eastAsia="Arial" w:hAnsi="Arial"/>
          <w:sz w:val="20"/>
          <w:szCs w:val="20"/>
          <w:color w:val="auto"/>
        </w:rPr>
      </w:pPr>
      <w:r>
        <w:rPr>
          <w:rFonts w:ascii="Arial" w:cs="Arial" w:eastAsia="Arial" w:hAnsi="Arial"/>
          <w:sz w:val="20"/>
          <w:szCs w:val="20"/>
          <w:color w:val="auto"/>
        </w:rPr>
        <w:t>Euronet USA, Inc.;</w:t>
      </w:r>
    </w:p>
    <w:p>
      <w:pPr>
        <w:spacing w:after="0" w:line="15" w:lineRule="exact"/>
        <w:rPr>
          <w:rFonts w:ascii="Arial" w:cs="Arial" w:eastAsia="Arial" w:hAnsi="Arial"/>
          <w:sz w:val="20"/>
          <w:szCs w:val="20"/>
          <w:color w:val="auto"/>
        </w:rPr>
      </w:pPr>
    </w:p>
    <w:p>
      <w:pPr>
        <w:ind w:left="2380" w:hanging="427"/>
        <w:spacing w:after="0"/>
        <w:tabs>
          <w:tab w:leader="none" w:pos="2380" w:val="left"/>
        </w:tabs>
        <w:numPr>
          <w:ilvl w:val="0"/>
          <w:numId w:val="17"/>
        </w:numPr>
        <w:rPr>
          <w:rFonts w:ascii="Arial" w:cs="Arial" w:eastAsia="Arial" w:hAnsi="Arial"/>
          <w:sz w:val="20"/>
          <w:szCs w:val="20"/>
          <w:color w:val="auto"/>
        </w:rPr>
      </w:pPr>
      <w:r>
        <w:rPr>
          <w:rFonts w:ascii="Arial" w:cs="Arial" w:eastAsia="Arial" w:hAnsi="Arial"/>
          <w:sz w:val="20"/>
          <w:szCs w:val="20"/>
          <w:color w:val="auto"/>
        </w:rPr>
        <w:t>RIA Italia SrL;</w:t>
      </w:r>
    </w:p>
    <w:p>
      <w:pPr>
        <w:ind w:left="2360" w:hanging="407"/>
        <w:spacing w:after="0"/>
        <w:tabs>
          <w:tab w:leader="none" w:pos="2360" w:val="left"/>
        </w:tabs>
        <w:numPr>
          <w:ilvl w:val="0"/>
          <w:numId w:val="17"/>
        </w:numPr>
        <w:rPr>
          <w:rFonts w:ascii="Arial" w:cs="Arial" w:eastAsia="Arial" w:hAnsi="Arial"/>
          <w:sz w:val="20"/>
          <w:szCs w:val="20"/>
          <w:color w:val="auto"/>
        </w:rPr>
      </w:pPr>
      <w:r>
        <w:rPr>
          <w:rFonts w:ascii="Arial" w:cs="Arial" w:eastAsia="Arial" w:hAnsi="Arial"/>
          <w:sz w:val="20"/>
          <w:szCs w:val="20"/>
          <w:color w:val="auto"/>
        </w:rPr>
        <w:t>Telecomnet, Inc.; and</w:t>
      </w:r>
    </w:p>
    <w:p>
      <w:pPr>
        <w:ind w:left="2380" w:hanging="427"/>
        <w:spacing w:after="0"/>
        <w:tabs>
          <w:tab w:leader="none" w:pos="2380" w:val="left"/>
        </w:tabs>
        <w:numPr>
          <w:ilvl w:val="0"/>
          <w:numId w:val="17"/>
        </w:numPr>
        <w:rPr>
          <w:rFonts w:ascii="Arial" w:cs="Arial" w:eastAsia="Arial" w:hAnsi="Arial"/>
          <w:sz w:val="20"/>
          <w:szCs w:val="20"/>
          <w:color w:val="auto"/>
        </w:rPr>
      </w:pPr>
      <w:r>
        <w:rPr>
          <w:rFonts w:ascii="Arial" w:cs="Arial" w:eastAsia="Arial" w:hAnsi="Arial"/>
          <w:sz w:val="20"/>
          <w:szCs w:val="20"/>
          <w:color w:val="auto"/>
        </w:rPr>
        <w:t>Pure Commerce Pty Ltd.</w:t>
      </w:r>
    </w:p>
    <w:p>
      <w:pPr>
        <w:spacing w:after="0" w:line="213" w:lineRule="exact"/>
        <w:rPr>
          <w:sz w:val="20"/>
          <w:szCs w:val="20"/>
          <w:color w:val="auto"/>
        </w:rPr>
      </w:pPr>
    </w:p>
    <w:p>
      <w:pPr>
        <w:ind w:left="660" w:right="260" w:firstLine="648"/>
        <w:spacing w:after="0" w:line="260" w:lineRule="auto"/>
        <w:rPr>
          <w:sz w:val="20"/>
          <w:szCs w:val="20"/>
          <w:color w:val="auto"/>
        </w:rPr>
      </w:pPr>
      <w:r>
        <w:rPr>
          <w:rFonts w:ascii="Arial" w:cs="Arial" w:eastAsia="Arial" w:hAnsi="Arial"/>
          <w:sz w:val="20"/>
          <w:szCs w:val="20"/>
          <w:color w:val="auto"/>
        </w:rPr>
        <w:t xml:space="preserve">4.3 </w:t>
      </w:r>
      <w:r>
        <w:rPr>
          <w:rFonts w:ascii="Arial" w:cs="Arial" w:eastAsia="Arial" w:hAnsi="Arial"/>
          <w:sz w:val="20"/>
          <w:szCs w:val="20"/>
          <w:u w:val="single" w:color="auto"/>
          <w:color w:val="auto"/>
        </w:rPr>
        <w:t>Release of Personal Property Collateral</w:t>
      </w:r>
      <w:r>
        <w:rPr>
          <w:rFonts w:ascii="Arial" w:cs="Arial" w:eastAsia="Arial" w:hAnsi="Arial"/>
          <w:sz w:val="20"/>
          <w:szCs w:val="20"/>
          <w:color w:val="auto"/>
        </w:rPr>
        <w:t>. Consent is given to the release of the liens granted by the following Persons in the personal property of such Persons:</w:t>
      </w:r>
    </w:p>
    <w:p>
      <w:pPr>
        <w:spacing w:after="0" w:line="177" w:lineRule="exact"/>
        <w:rPr>
          <w:sz w:val="20"/>
          <w:szCs w:val="20"/>
          <w:color w:val="auto"/>
        </w:rPr>
      </w:pPr>
    </w:p>
    <w:p>
      <w:pPr>
        <w:ind w:left="2380" w:hanging="427"/>
        <w:spacing w:after="0"/>
        <w:tabs>
          <w:tab w:leader="none" w:pos="2380" w:val="left"/>
        </w:tabs>
        <w:numPr>
          <w:ilvl w:val="0"/>
          <w:numId w:val="18"/>
        </w:numPr>
        <w:rPr>
          <w:rFonts w:ascii="Arial" w:cs="Arial" w:eastAsia="Arial" w:hAnsi="Arial"/>
          <w:sz w:val="20"/>
          <w:szCs w:val="20"/>
          <w:color w:val="auto"/>
        </w:rPr>
      </w:pPr>
      <w:r>
        <w:rPr>
          <w:rFonts w:ascii="Arial" w:cs="Arial" w:eastAsia="Arial" w:hAnsi="Arial"/>
          <w:sz w:val="20"/>
          <w:szCs w:val="20"/>
          <w:color w:val="auto"/>
        </w:rPr>
        <w:t>Euronet USA, Inc.;</w:t>
      </w:r>
    </w:p>
    <w:p>
      <w:pPr>
        <w:spacing w:after="0" w:line="15" w:lineRule="exact"/>
        <w:rPr>
          <w:rFonts w:ascii="Arial" w:cs="Arial" w:eastAsia="Arial" w:hAnsi="Arial"/>
          <w:sz w:val="20"/>
          <w:szCs w:val="20"/>
          <w:color w:val="auto"/>
        </w:rPr>
      </w:pPr>
    </w:p>
    <w:p>
      <w:pPr>
        <w:ind w:left="2380" w:hanging="427"/>
        <w:spacing w:after="0"/>
        <w:tabs>
          <w:tab w:leader="none" w:pos="2380" w:val="left"/>
        </w:tabs>
        <w:numPr>
          <w:ilvl w:val="0"/>
          <w:numId w:val="18"/>
        </w:numPr>
        <w:rPr>
          <w:rFonts w:ascii="Arial" w:cs="Arial" w:eastAsia="Arial" w:hAnsi="Arial"/>
          <w:sz w:val="20"/>
          <w:szCs w:val="20"/>
          <w:color w:val="auto"/>
        </w:rPr>
      </w:pPr>
      <w:r>
        <w:rPr>
          <w:rFonts w:ascii="Arial" w:cs="Arial" w:eastAsia="Arial" w:hAnsi="Arial"/>
          <w:sz w:val="20"/>
          <w:szCs w:val="20"/>
          <w:color w:val="auto"/>
        </w:rPr>
        <w:t>RIA Financial Services Limited;</w:t>
      </w:r>
    </w:p>
    <w:p>
      <w:pPr>
        <w:ind w:left="2380" w:hanging="427"/>
        <w:spacing w:after="0"/>
        <w:tabs>
          <w:tab w:leader="none" w:pos="2380" w:val="left"/>
        </w:tabs>
        <w:numPr>
          <w:ilvl w:val="0"/>
          <w:numId w:val="18"/>
        </w:numPr>
        <w:rPr>
          <w:rFonts w:ascii="Arial" w:cs="Arial" w:eastAsia="Arial" w:hAnsi="Arial"/>
          <w:sz w:val="20"/>
          <w:szCs w:val="20"/>
          <w:color w:val="auto"/>
        </w:rPr>
      </w:pPr>
      <w:r>
        <w:rPr>
          <w:rFonts w:ascii="Arial" w:cs="Arial" w:eastAsia="Arial" w:hAnsi="Arial"/>
          <w:sz w:val="20"/>
          <w:szCs w:val="20"/>
          <w:color w:val="auto"/>
        </w:rPr>
        <w:t>Pure Commerce Pty Limited;</w:t>
      </w:r>
    </w:p>
    <w:p>
      <w:pPr>
        <w:ind w:left="2380" w:hanging="427"/>
        <w:spacing w:after="0"/>
        <w:tabs>
          <w:tab w:leader="none" w:pos="2380" w:val="left"/>
        </w:tabs>
        <w:numPr>
          <w:ilvl w:val="0"/>
          <w:numId w:val="18"/>
        </w:numPr>
        <w:rPr>
          <w:rFonts w:ascii="Arial" w:cs="Arial" w:eastAsia="Arial" w:hAnsi="Arial"/>
          <w:sz w:val="20"/>
          <w:szCs w:val="20"/>
          <w:color w:val="auto"/>
        </w:rPr>
      </w:pPr>
      <w:r>
        <w:rPr>
          <w:rFonts w:ascii="Arial" w:cs="Arial" w:eastAsia="Arial" w:hAnsi="Arial"/>
          <w:sz w:val="20"/>
          <w:szCs w:val="20"/>
          <w:color w:val="auto"/>
        </w:rPr>
        <w:t>E-Pay Limited; and</w:t>
      </w:r>
    </w:p>
    <w:p>
      <w:pPr>
        <w:ind w:left="2380" w:hanging="427"/>
        <w:spacing w:after="0"/>
        <w:tabs>
          <w:tab w:leader="none" w:pos="2380" w:val="left"/>
        </w:tabs>
        <w:numPr>
          <w:ilvl w:val="0"/>
          <w:numId w:val="18"/>
        </w:numPr>
        <w:rPr>
          <w:rFonts w:ascii="Arial" w:cs="Arial" w:eastAsia="Arial" w:hAnsi="Arial"/>
          <w:sz w:val="20"/>
          <w:szCs w:val="20"/>
          <w:color w:val="auto"/>
        </w:rPr>
      </w:pPr>
      <w:r>
        <w:rPr>
          <w:rFonts w:ascii="Arial" w:cs="Arial" w:eastAsia="Arial" w:hAnsi="Arial"/>
          <w:sz w:val="20"/>
          <w:szCs w:val="20"/>
          <w:color w:val="auto"/>
        </w:rPr>
        <w:t>E-Pay Limited.</w:t>
      </w:r>
    </w:p>
    <w:p>
      <w:pPr>
        <w:spacing w:after="0" w:line="213" w:lineRule="exact"/>
        <w:rPr>
          <w:sz w:val="20"/>
          <w:szCs w:val="20"/>
          <w:color w:val="auto"/>
        </w:rPr>
      </w:pPr>
    </w:p>
    <w:p>
      <w:pPr>
        <w:ind w:left="1300"/>
        <w:spacing w:after="0"/>
        <w:tabs>
          <w:tab w:leader="none" w:pos="1720" w:val="left"/>
        </w:tabs>
        <w:rPr>
          <w:sz w:val="20"/>
          <w:szCs w:val="20"/>
          <w:color w:val="auto"/>
        </w:rPr>
      </w:pPr>
      <w:r>
        <w:rPr>
          <w:rFonts w:ascii="Arial" w:cs="Arial" w:eastAsia="Arial" w:hAnsi="Arial"/>
          <w:sz w:val="20"/>
          <w:szCs w:val="20"/>
          <w:color w:val="auto"/>
        </w:rPr>
        <w:t>4.4</w:t>
      </w:r>
      <w:r>
        <w:rPr>
          <w:sz w:val="20"/>
          <w:szCs w:val="20"/>
          <w:color w:val="auto"/>
        </w:rPr>
        <w:tab/>
      </w:r>
      <w:r>
        <w:rPr>
          <w:rFonts w:ascii="Arial" w:cs="Arial" w:eastAsia="Arial" w:hAnsi="Arial"/>
          <w:sz w:val="16"/>
          <w:szCs w:val="16"/>
          <w:u w:val="single" w:color="auto"/>
          <w:color w:val="auto"/>
        </w:rPr>
        <w:t>Release of Certain Borrowers</w:t>
      </w:r>
      <w:r>
        <w:rPr>
          <w:rFonts w:ascii="Arial" w:cs="Arial" w:eastAsia="Arial" w:hAnsi="Arial"/>
          <w:sz w:val="16"/>
          <w:szCs w:val="16"/>
          <w:color w:val="auto"/>
        </w:rPr>
        <w:t>. Consent is hereby given to the release of the following Subsidiaries as Borrowers under the</w:t>
      </w:r>
    </w:p>
    <w:p>
      <w:pPr>
        <w:spacing w:after="0" w:line="1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Credit Agreement (it being understood that each shall continue as a Foreign Guarantor):</w:t>
      </w:r>
    </w:p>
    <w:p>
      <w:pPr>
        <w:spacing w:after="0" w:line="200" w:lineRule="exact"/>
        <w:rPr>
          <w:sz w:val="20"/>
          <w:szCs w:val="20"/>
          <w:color w:val="auto"/>
        </w:rPr>
      </w:pPr>
    </w:p>
    <w:p>
      <w:pPr>
        <w:ind w:left="2380" w:hanging="427"/>
        <w:spacing w:after="0"/>
        <w:tabs>
          <w:tab w:leader="none" w:pos="2380" w:val="left"/>
        </w:tabs>
        <w:numPr>
          <w:ilvl w:val="0"/>
          <w:numId w:val="19"/>
        </w:numPr>
        <w:rPr>
          <w:rFonts w:ascii="Arial" w:cs="Arial" w:eastAsia="Arial" w:hAnsi="Arial"/>
          <w:sz w:val="20"/>
          <w:szCs w:val="20"/>
          <w:color w:val="auto"/>
        </w:rPr>
      </w:pPr>
      <w:r>
        <w:rPr>
          <w:rFonts w:ascii="Arial" w:cs="Arial" w:eastAsia="Arial" w:hAnsi="Arial"/>
          <w:sz w:val="20"/>
          <w:szCs w:val="20"/>
          <w:color w:val="auto"/>
        </w:rPr>
        <w:t>Delta Euronet GmbH; and</w:t>
      </w:r>
    </w:p>
    <w:p>
      <w:pPr>
        <w:spacing w:after="0" w:line="15" w:lineRule="exact"/>
        <w:rPr>
          <w:rFonts w:ascii="Arial" w:cs="Arial" w:eastAsia="Arial" w:hAnsi="Arial"/>
          <w:sz w:val="20"/>
          <w:szCs w:val="20"/>
          <w:color w:val="auto"/>
        </w:rPr>
      </w:pPr>
    </w:p>
    <w:p>
      <w:pPr>
        <w:ind w:left="2380" w:hanging="427"/>
        <w:spacing w:after="0"/>
        <w:tabs>
          <w:tab w:leader="none" w:pos="2380" w:val="left"/>
        </w:tabs>
        <w:numPr>
          <w:ilvl w:val="0"/>
          <w:numId w:val="19"/>
        </w:numPr>
        <w:rPr>
          <w:rFonts w:ascii="Arial" w:cs="Arial" w:eastAsia="Arial" w:hAnsi="Arial"/>
          <w:sz w:val="20"/>
          <w:szCs w:val="20"/>
          <w:color w:val="auto"/>
        </w:rPr>
      </w:pPr>
      <w:r>
        <w:rPr>
          <w:rFonts w:ascii="Arial" w:cs="Arial" w:eastAsia="Arial" w:hAnsi="Arial"/>
          <w:sz w:val="20"/>
          <w:szCs w:val="20"/>
          <w:color w:val="auto"/>
        </w:rPr>
        <w:t>E-Pay Holdings Ltd.</w:t>
      </w:r>
    </w:p>
    <w:p>
      <w:pPr>
        <w:spacing w:after="0" w:line="200" w:lineRule="exact"/>
        <w:rPr>
          <w:sz w:val="20"/>
          <w:szCs w:val="20"/>
          <w:color w:val="auto"/>
        </w:rPr>
      </w:pPr>
    </w:p>
    <w:p>
      <w:pPr>
        <w:ind w:left="660" w:right="40" w:firstLine="648"/>
        <w:spacing w:after="0" w:line="244" w:lineRule="auto"/>
        <w:rPr>
          <w:sz w:val="20"/>
          <w:szCs w:val="20"/>
          <w:color w:val="auto"/>
        </w:rPr>
      </w:pPr>
      <w:r>
        <w:rPr>
          <w:rFonts w:ascii="Arial" w:cs="Arial" w:eastAsia="Arial" w:hAnsi="Arial"/>
          <w:sz w:val="20"/>
          <w:szCs w:val="20"/>
          <w:color w:val="auto"/>
        </w:rPr>
        <w:t xml:space="preserve">4.5 </w:t>
      </w:r>
      <w:r>
        <w:rPr>
          <w:rFonts w:ascii="Arial" w:cs="Arial" w:eastAsia="Arial" w:hAnsi="Arial"/>
          <w:sz w:val="20"/>
          <w:szCs w:val="20"/>
          <w:u w:val="single" w:color="auto"/>
          <w:color w:val="auto"/>
        </w:rPr>
        <w:t>Effectiveness of Release</w:t>
      </w:r>
      <w:r>
        <w:rPr>
          <w:rFonts w:ascii="Arial" w:cs="Arial" w:eastAsia="Arial" w:hAnsi="Arial"/>
          <w:sz w:val="20"/>
          <w:szCs w:val="20"/>
          <w:color w:val="auto"/>
        </w:rPr>
        <w:t>. The releases in this Section 4 will become effective when this Amendment becomes effective whereupon the foregoing releases shall be effective and the collateral interests pledged shall be terminated and released and EWI and its representatives are authorized to file terminations, releases and partial releases, as appropriate, under the Uniform Commercial Code to give effect thereto. In the event that the foregoing release is not effective under the laws of any jurisdiction outside the United States, the release will become effective upon</w:t>
      </w:r>
    </w:p>
    <w:p>
      <w:pPr>
        <w:spacing w:after="0" w:line="200" w:lineRule="exact"/>
        <w:rPr>
          <w:sz w:val="20"/>
          <w:szCs w:val="20"/>
          <w:color w:val="auto"/>
        </w:rPr>
      </w:pPr>
    </w:p>
    <w:p>
      <w:pPr>
        <w:spacing w:after="0" w:line="238"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3</w:t>
      </w:r>
    </w:p>
    <w:p>
      <w:pPr>
        <w:sectPr>
          <w:pgSz w:w="11900" w:h="16838" w:orient="portrait"/>
          <w:cols w:equalWidth="0" w:num="1">
            <w:col w:w="11420"/>
          </w:cols>
          <w:pgMar w:left="240" w:top="366" w:right="239" w:bottom="1440" w:gutter="0" w:footer="0" w:header="0"/>
        </w:sectPr>
      </w:pPr>
    </w:p>
    <w:bookmarkStart w:id="37" w:name="page38"/>
    <w:bookmarkEnd w:id="37"/>
    <w:p>
      <w:pPr>
        <w:ind w:right="100"/>
        <w:spacing w:after="0" w:line="260" w:lineRule="auto"/>
        <w:rPr>
          <w:sz w:val="20"/>
          <w:szCs w:val="20"/>
          <w:color w:val="auto"/>
        </w:rPr>
      </w:pPr>
      <w:r>
        <w:rPr>
          <w:rFonts w:ascii="Arial" w:cs="Arial" w:eastAsia="Arial" w:hAnsi="Arial"/>
          <w:sz w:val="20"/>
          <w:szCs w:val="20"/>
          <w:color w:val="auto"/>
        </w:rPr>
        <w:t>the execution of such documents as may be reasonably required under applicable law, which the Credit Parties and the Administrative Agent agree to execute with reasonable promptness following the effective date of this Amendment.</w:t>
      </w:r>
    </w:p>
    <w:p>
      <w:pPr>
        <w:spacing w:after="0" w:line="177" w:lineRule="exact"/>
        <w:rPr>
          <w:sz w:val="20"/>
          <w:szCs w:val="20"/>
          <w:color w:val="auto"/>
        </w:rPr>
      </w:pPr>
    </w:p>
    <w:p>
      <w:pPr>
        <w:ind w:firstLine="648"/>
        <w:spacing w:after="0" w:line="260" w:lineRule="auto"/>
        <w:rPr>
          <w:sz w:val="20"/>
          <w:szCs w:val="20"/>
          <w:color w:val="auto"/>
        </w:rPr>
      </w:pPr>
      <w:r>
        <w:rPr>
          <w:rFonts w:ascii="Arial" w:cs="Arial" w:eastAsia="Arial" w:hAnsi="Arial"/>
          <w:sz w:val="20"/>
          <w:szCs w:val="20"/>
          <w:color w:val="auto"/>
        </w:rPr>
        <w:t xml:space="preserve">4.6 </w:t>
      </w:r>
      <w:r>
        <w:rPr>
          <w:rFonts w:ascii="Arial" w:cs="Arial" w:eastAsia="Arial" w:hAnsi="Arial"/>
          <w:sz w:val="20"/>
          <w:szCs w:val="20"/>
          <w:u w:val="single" w:color="auto"/>
          <w:color w:val="auto"/>
        </w:rPr>
        <w:t>Other Credit Documents Not Affected</w:t>
      </w:r>
      <w:r>
        <w:rPr>
          <w:rFonts w:ascii="Arial" w:cs="Arial" w:eastAsia="Arial" w:hAnsi="Arial"/>
          <w:sz w:val="20"/>
          <w:szCs w:val="20"/>
          <w:color w:val="auto"/>
        </w:rPr>
        <w:t>. Except as expressly provided above, the consents and releases provided hereby do not affect any other Credit Parties or any other Credit Documents.</w:t>
      </w:r>
    </w:p>
    <w:p>
      <w:pPr>
        <w:spacing w:after="0" w:line="177" w:lineRule="exact"/>
        <w:rPr>
          <w:sz w:val="20"/>
          <w:szCs w:val="20"/>
          <w:color w:val="auto"/>
        </w:rPr>
      </w:pPr>
    </w:p>
    <w:p>
      <w:pPr>
        <w:spacing w:after="0"/>
        <w:tabs>
          <w:tab w:leader="none" w:pos="940" w:val="left"/>
        </w:tabs>
        <w:rPr>
          <w:sz w:val="20"/>
          <w:szCs w:val="20"/>
          <w:color w:val="auto"/>
        </w:rPr>
      </w:pPr>
      <w:r>
        <w:rPr>
          <w:rFonts w:ascii="Arial" w:cs="Arial" w:eastAsia="Arial" w:hAnsi="Arial"/>
          <w:sz w:val="20"/>
          <w:szCs w:val="20"/>
          <w:color w:val="auto"/>
        </w:rPr>
        <w:t>Section 5.</w:t>
      </w:r>
      <w:r>
        <w:rPr>
          <w:sz w:val="20"/>
          <w:szCs w:val="20"/>
          <w:color w:val="auto"/>
        </w:rPr>
        <w:tab/>
      </w:r>
      <w:r>
        <w:rPr>
          <w:rFonts w:ascii="Arial" w:cs="Arial" w:eastAsia="Arial" w:hAnsi="Arial"/>
          <w:sz w:val="16"/>
          <w:szCs w:val="16"/>
          <w:u w:val="single" w:color="auto"/>
          <w:color w:val="auto"/>
        </w:rPr>
        <w:t>Representations and Warranties</w:t>
      </w:r>
      <w:r>
        <w:rPr>
          <w:rFonts w:ascii="Arial" w:cs="Arial" w:eastAsia="Arial" w:hAnsi="Arial"/>
          <w:sz w:val="16"/>
          <w:szCs w:val="16"/>
          <w:color w:val="auto"/>
        </w:rPr>
        <w:t>. Each of EWI and the other Credit Parties hereby represents and warrants that:</w:t>
      </w:r>
    </w:p>
    <w:p>
      <w:pPr>
        <w:spacing w:after="0" w:line="216" w:lineRule="exact"/>
        <w:rPr>
          <w:sz w:val="20"/>
          <w:szCs w:val="20"/>
          <w:color w:val="auto"/>
        </w:rPr>
      </w:pPr>
    </w:p>
    <w:p>
      <w:pPr>
        <w:ind w:right="720" w:firstLine="648"/>
        <w:spacing w:after="0" w:line="260" w:lineRule="auto"/>
        <w:rPr>
          <w:sz w:val="20"/>
          <w:szCs w:val="20"/>
          <w:color w:val="auto"/>
        </w:rPr>
      </w:pPr>
      <w:r>
        <w:rPr>
          <w:rFonts w:ascii="Arial" w:cs="Arial" w:eastAsia="Arial" w:hAnsi="Arial"/>
          <w:sz w:val="20"/>
          <w:szCs w:val="20"/>
          <w:color w:val="auto"/>
        </w:rPr>
        <w:t>5.1 It has full power and authority, and has taken all action necessary, to execute and deliver this Amendment and to consummate the transactions contemplated hereby;</w:t>
      </w:r>
    </w:p>
    <w:p>
      <w:pPr>
        <w:spacing w:after="0" w:line="190" w:lineRule="exact"/>
        <w:rPr>
          <w:sz w:val="20"/>
          <w:szCs w:val="20"/>
          <w:color w:val="auto"/>
        </w:rPr>
      </w:pPr>
    </w:p>
    <w:p>
      <w:pPr>
        <w:ind w:right="180" w:firstLine="648"/>
        <w:spacing w:after="0" w:line="250" w:lineRule="auto"/>
        <w:rPr>
          <w:sz w:val="20"/>
          <w:szCs w:val="20"/>
          <w:color w:val="auto"/>
        </w:rPr>
      </w:pPr>
      <w:r>
        <w:rPr>
          <w:rFonts w:ascii="Arial" w:cs="Arial" w:eastAsia="Arial" w:hAnsi="Arial"/>
          <w:sz w:val="20"/>
          <w:szCs w:val="20"/>
          <w:color w:val="auto"/>
        </w:rPr>
        <w:t>5.2 It has executed and delivered this Amendment and this Amendment constitutes a legal, valid and binding obligation enforceable against it in accordance with its terms, except to the extent that enforceability may be limited by Debtor Relief Laws and subject to equitable principles.</w:t>
      </w:r>
    </w:p>
    <w:p>
      <w:pPr>
        <w:spacing w:after="0" w:line="200" w:lineRule="exact"/>
        <w:rPr>
          <w:sz w:val="20"/>
          <w:szCs w:val="20"/>
          <w:color w:val="auto"/>
        </w:rPr>
      </w:pPr>
    </w:p>
    <w:p>
      <w:pPr>
        <w:ind w:right="20" w:firstLine="648"/>
        <w:spacing w:after="0" w:line="260" w:lineRule="auto"/>
        <w:rPr>
          <w:sz w:val="20"/>
          <w:szCs w:val="20"/>
          <w:color w:val="auto"/>
        </w:rPr>
      </w:pPr>
      <w:r>
        <w:rPr>
          <w:rFonts w:ascii="Arial" w:cs="Arial" w:eastAsia="Arial" w:hAnsi="Arial"/>
          <w:sz w:val="19"/>
          <w:szCs w:val="19"/>
          <w:color w:val="auto"/>
        </w:rPr>
        <w:t>5.3 As of the date hereof, (i) the representations and warranties in Article VI of the Credit Agreement are true and correct in all material respects, except (i) to the extent that such representations and warranties specifically relate to an earlier date, in which case they are true and correct in all material respects as of such earlier date, and (ii) that for purposes hereof, the representations and warranties in subsections (</w:t>
      </w:r>
      <w:r>
        <w:rPr>
          <w:rFonts w:ascii="Arial" w:cs="Arial" w:eastAsia="Arial" w:hAnsi="Arial"/>
          <w:sz w:val="19"/>
          <w:szCs w:val="19"/>
          <w:u w:val="single" w:color="auto"/>
          <w:color w:val="auto"/>
        </w:rPr>
        <w:t>a</w:t>
      </w:r>
      <w:r>
        <w:rPr>
          <w:rFonts w:ascii="Arial" w:cs="Arial" w:eastAsia="Arial" w:hAnsi="Arial"/>
          <w:sz w:val="19"/>
          <w:szCs w:val="19"/>
          <w:color w:val="auto"/>
        </w:rPr>
        <w:t>) and (</w:t>
      </w:r>
      <w:r>
        <w:rPr>
          <w:rFonts w:ascii="Arial" w:cs="Arial" w:eastAsia="Arial" w:hAnsi="Arial"/>
          <w:sz w:val="19"/>
          <w:szCs w:val="19"/>
          <w:u w:val="single" w:color="auto"/>
          <w:color w:val="auto"/>
        </w:rPr>
        <w:t>b</w:t>
      </w:r>
      <w:r>
        <w:rPr>
          <w:rFonts w:ascii="Arial" w:cs="Arial" w:eastAsia="Arial" w:hAnsi="Arial"/>
          <w:sz w:val="19"/>
          <w:szCs w:val="19"/>
          <w:color w:val="auto"/>
        </w:rPr>
        <w:t xml:space="preserve">) of </w:t>
      </w:r>
      <w:r>
        <w:rPr>
          <w:rFonts w:ascii="Arial" w:cs="Arial" w:eastAsia="Arial" w:hAnsi="Arial"/>
          <w:sz w:val="19"/>
          <w:szCs w:val="19"/>
          <w:u w:val="single" w:color="auto"/>
          <w:color w:val="auto"/>
        </w:rPr>
        <w:t>Section 6.05</w:t>
      </w:r>
      <w:r>
        <w:rPr>
          <w:rFonts w:ascii="Arial" w:cs="Arial" w:eastAsia="Arial" w:hAnsi="Arial"/>
          <w:sz w:val="19"/>
          <w:szCs w:val="19"/>
          <w:color w:val="auto"/>
        </w:rPr>
        <w:t xml:space="preserve"> shall be deemed to refer to the most recent annual audited and company-prepared quarterly financial statements furnished pursuant to Sections </w:t>
      </w:r>
      <w:r>
        <w:rPr>
          <w:rFonts w:ascii="Arial" w:cs="Arial" w:eastAsia="Arial" w:hAnsi="Arial"/>
          <w:sz w:val="19"/>
          <w:szCs w:val="19"/>
          <w:u w:val="single" w:color="auto"/>
          <w:color w:val="auto"/>
        </w:rPr>
        <w:t>7.01(a</w:t>
      </w:r>
      <w:r>
        <w:rPr>
          <w:rFonts w:ascii="Arial" w:cs="Arial" w:eastAsia="Arial" w:hAnsi="Arial"/>
          <w:sz w:val="19"/>
          <w:szCs w:val="19"/>
          <w:color w:val="auto"/>
        </w:rPr>
        <w:t>) and (</w:t>
      </w:r>
      <w:r>
        <w:rPr>
          <w:rFonts w:ascii="Arial" w:cs="Arial" w:eastAsia="Arial" w:hAnsi="Arial"/>
          <w:sz w:val="19"/>
          <w:szCs w:val="19"/>
          <w:u w:val="single" w:color="auto"/>
          <w:color w:val="auto"/>
        </w:rPr>
        <w:t>b</w:t>
      </w:r>
      <w:r>
        <w:rPr>
          <w:rFonts w:ascii="Arial" w:cs="Arial" w:eastAsia="Arial" w:hAnsi="Arial"/>
          <w:sz w:val="19"/>
          <w:szCs w:val="19"/>
          <w:color w:val="auto"/>
        </w:rPr>
        <w:t>); and</w:t>
      </w:r>
    </w:p>
    <w:p>
      <w:pPr>
        <w:spacing w:after="0" w:line="194" w:lineRule="exact"/>
        <w:rPr>
          <w:sz w:val="20"/>
          <w:szCs w:val="20"/>
          <w:color w:val="auto"/>
        </w:rPr>
      </w:pPr>
    </w:p>
    <w:p>
      <w:pPr>
        <w:ind w:right="80" w:firstLine="648"/>
        <w:spacing w:after="0" w:line="246" w:lineRule="auto"/>
        <w:rPr>
          <w:sz w:val="20"/>
          <w:szCs w:val="20"/>
          <w:color w:val="auto"/>
        </w:rPr>
      </w:pPr>
      <w:r>
        <w:rPr>
          <w:rFonts w:ascii="Arial" w:cs="Arial" w:eastAsia="Arial" w:hAnsi="Arial"/>
          <w:sz w:val="20"/>
          <w:szCs w:val="20"/>
          <w:color w:val="auto"/>
        </w:rPr>
        <w:t>5.4 No Default or Event of Default exists immediately before, or will exist immediately after, giving effect to this Amendment and the establishment of the incremental commitments hereunder pursuant to Sections 2.1 and 2.2 on a Pro Forma Basis (assuming for purposes hereof that the entire amount of the Commitments, including the incremental commitments established hereby pursuant to Sections 2.1 and 2.2, are fully drawn and funded).</w:t>
      </w:r>
    </w:p>
    <w:p>
      <w:pPr>
        <w:spacing w:after="0" w:line="205" w:lineRule="exact"/>
        <w:rPr>
          <w:sz w:val="20"/>
          <w:szCs w:val="20"/>
          <w:color w:val="auto"/>
        </w:rPr>
      </w:pPr>
    </w:p>
    <w:p>
      <w:pPr>
        <w:spacing w:after="0"/>
        <w:tabs>
          <w:tab w:leader="none" w:pos="940" w:val="left"/>
        </w:tabs>
        <w:rPr>
          <w:sz w:val="20"/>
          <w:szCs w:val="20"/>
          <w:color w:val="auto"/>
        </w:rPr>
      </w:pPr>
      <w:r>
        <w:rPr>
          <w:rFonts w:ascii="Arial" w:cs="Arial" w:eastAsia="Arial" w:hAnsi="Arial"/>
          <w:sz w:val="20"/>
          <w:szCs w:val="20"/>
          <w:color w:val="auto"/>
        </w:rPr>
        <w:t>Section 6.</w:t>
      </w:r>
      <w:r>
        <w:rPr>
          <w:sz w:val="20"/>
          <w:szCs w:val="20"/>
          <w:color w:val="auto"/>
        </w:rPr>
        <w:tab/>
      </w:r>
      <w:r>
        <w:rPr>
          <w:rFonts w:ascii="Arial" w:cs="Arial" w:eastAsia="Arial" w:hAnsi="Arial"/>
          <w:sz w:val="18"/>
          <w:szCs w:val="18"/>
          <w:u w:val="single" w:color="auto"/>
          <w:color w:val="auto"/>
        </w:rPr>
        <w:t>Acknowledgment, Reaffirmation and Confirmation</w:t>
      </w:r>
      <w:r>
        <w:rPr>
          <w:rFonts w:ascii="Arial" w:cs="Arial" w:eastAsia="Arial" w:hAnsi="Arial"/>
          <w:sz w:val="18"/>
          <w:szCs w:val="18"/>
          <w:color w:val="auto"/>
        </w:rPr>
        <w:t>.</w:t>
      </w:r>
    </w:p>
    <w:p>
      <w:pPr>
        <w:spacing w:after="0" w:line="216" w:lineRule="exact"/>
        <w:rPr>
          <w:sz w:val="20"/>
          <w:szCs w:val="20"/>
          <w:color w:val="auto"/>
        </w:rPr>
      </w:pPr>
    </w:p>
    <w:p>
      <w:pPr>
        <w:ind w:right="20" w:firstLine="648"/>
        <w:spacing w:after="0" w:line="278" w:lineRule="auto"/>
        <w:rPr>
          <w:sz w:val="20"/>
          <w:szCs w:val="20"/>
          <w:color w:val="auto"/>
        </w:rPr>
      </w:pPr>
      <w:r>
        <w:rPr>
          <w:rFonts w:ascii="Arial" w:cs="Arial" w:eastAsia="Arial" w:hAnsi="Arial"/>
          <w:sz w:val="18"/>
          <w:szCs w:val="18"/>
          <w:color w:val="auto"/>
        </w:rPr>
        <w:t>6.1 Each of the Guarantors acknowledges and consents to the terms and conditions of this Amendment, affirms its guaranty obligations under the Credit Agreement and other Credit Documents (including separate guaranty and indemnity agreements given), as amended and modified hereby, including the incremental loans and commitments established hereby. Nothing contained herein or in any related documents will operate to reduce or discharge any of the obligations of the Guarantors under the Credit Agreement and other Credit Documents (including separate guaranty and indemnity agreements given).</w:t>
      </w:r>
    </w:p>
    <w:p>
      <w:pPr>
        <w:spacing w:after="0" w:line="179" w:lineRule="exact"/>
        <w:rPr>
          <w:sz w:val="20"/>
          <w:szCs w:val="20"/>
          <w:color w:val="auto"/>
        </w:rPr>
      </w:pPr>
    </w:p>
    <w:p>
      <w:pPr>
        <w:ind w:right="160" w:firstLine="648"/>
        <w:spacing w:after="0" w:line="278" w:lineRule="auto"/>
        <w:rPr>
          <w:sz w:val="20"/>
          <w:szCs w:val="20"/>
          <w:color w:val="auto"/>
        </w:rPr>
      </w:pPr>
      <w:r>
        <w:rPr>
          <w:rFonts w:ascii="Arial" w:cs="Arial" w:eastAsia="Arial" w:hAnsi="Arial"/>
          <w:sz w:val="18"/>
          <w:szCs w:val="18"/>
          <w:color w:val="auto"/>
        </w:rPr>
        <w:t>6.2 Each of the Credit Parties (i) reaffirms the Liens and security interests under the Collateral Documents and other Credit Documents, including, but not limited to, in particular the registered pledges established under Polish law; (ii) agrees that nothing contained herein or in any related documents will operate to impair or adversely affect the Liens and security interests thereunder as security for the Obligations under the Credit Agreement and the other Credit Documents (including separate guaranty and indemnity agreements given), as amended and modified hereby; and (iii) confirms that the establishment and provision of the Incremental</w:t>
      </w:r>
    </w:p>
    <w:p>
      <w:pPr>
        <w:spacing w:after="0" w:line="192" w:lineRule="exact"/>
        <w:rPr>
          <w:sz w:val="20"/>
          <w:szCs w:val="20"/>
          <w:color w:val="auto"/>
        </w:rPr>
      </w:pPr>
    </w:p>
    <w:p>
      <w:pPr>
        <w:ind w:left="5000"/>
        <w:spacing w:after="0"/>
        <w:rPr>
          <w:sz w:val="20"/>
          <w:szCs w:val="20"/>
          <w:color w:val="auto"/>
        </w:rPr>
      </w:pPr>
      <w:r>
        <w:rPr>
          <w:rFonts w:ascii="Arial" w:cs="Arial" w:eastAsia="Arial" w:hAnsi="Arial"/>
          <w:sz w:val="20"/>
          <w:szCs w:val="20"/>
          <w:color w:val="auto"/>
        </w:rPr>
        <w:t>4</w:t>
      </w:r>
    </w:p>
    <w:p>
      <w:pPr>
        <w:sectPr>
          <w:pgSz w:w="11900" w:h="16838" w:orient="portrait"/>
          <w:cols w:equalWidth="0" w:num="1">
            <w:col w:w="10700"/>
          </w:cols>
          <w:pgMar w:left="900" w:top="366" w:right="299" w:bottom="1440" w:gutter="0" w:footer="0" w:header="0"/>
        </w:sectPr>
      </w:pPr>
    </w:p>
    <w:bookmarkStart w:id="38" w:name="page39"/>
    <w:bookmarkEnd w:id="38"/>
    <w:p>
      <w:pPr>
        <w:spacing w:after="0"/>
        <w:rPr>
          <w:sz w:val="20"/>
          <w:szCs w:val="20"/>
          <w:color w:val="auto"/>
        </w:rPr>
      </w:pPr>
      <w:r>
        <w:rPr>
          <w:rFonts w:ascii="Arial" w:cs="Arial" w:eastAsia="Arial" w:hAnsi="Arial"/>
          <w:sz w:val="18"/>
          <w:szCs w:val="18"/>
          <w:color w:val="auto"/>
        </w:rPr>
        <w:t>Facilities was expressly contemplated by and within the general purview of the Credit Agreement and the other Credit Documents.</w:t>
      </w:r>
    </w:p>
    <w:p>
      <w:pPr>
        <w:spacing w:after="0" w:line="252" w:lineRule="exact"/>
        <w:rPr>
          <w:sz w:val="20"/>
          <w:szCs w:val="20"/>
          <w:color w:val="auto"/>
        </w:rPr>
      </w:pPr>
    </w:p>
    <w:p>
      <w:pPr>
        <w:ind w:left="640"/>
        <w:spacing w:after="0"/>
        <w:tabs>
          <w:tab w:leader="none" w:pos="1060" w:val="left"/>
        </w:tabs>
        <w:rPr>
          <w:sz w:val="20"/>
          <w:szCs w:val="20"/>
          <w:color w:val="auto"/>
        </w:rPr>
      </w:pPr>
      <w:r>
        <w:rPr>
          <w:rFonts w:ascii="Arial" w:cs="Arial" w:eastAsia="Arial" w:hAnsi="Arial"/>
          <w:sz w:val="20"/>
          <w:szCs w:val="20"/>
          <w:color w:val="auto"/>
        </w:rPr>
        <w:t>6.3</w:t>
      </w:r>
      <w:r>
        <w:rPr>
          <w:sz w:val="20"/>
          <w:szCs w:val="20"/>
          <w:color w:val="auto"/>
        </w:rPr>
        <w:tab/>
      </w:r>
      <w:r>
        <w:rPr>
          <w:rFonts w:ascii="Arial" w:cs="Arial" w:eastAsia="Arial" w:hAnsi="Arial"/>
          <w:sz w:val="18"/>
          <w:szCs w:val="18"/>
          <w:color w:val="auto"/>
        </w:rPr>
        <w:t>EFT Services Holding B.V. affirms all of its obligations under the parallel debt agreement dated 15 November, 2011.</w:t>
      </w:r>
    </w:p>
    <w:p>
      <w:pPr>
        <w:spacing w:after="0" w:line="229" w:lineRule="exact"/>
        <w:rPr>
          <w:sz w:val="20"/>
          <w:szCs w:val="20"/>
          <w:color w:val="auto"/>
        </w:rPr>
      </w:pPr>
    </w:p>
    <w:p>
      <w:pPr>
        <w:spacing w:after="0"/>
        <w:tabs>
          <w:tab w:leader="none" w:pos="940" w:val="left"/>
        </w:tabs>
        <w:rPr>
          <w:sz w:val="20"/>
          <w:szCs w:val="20"/>
          <w:color w:val="auto"/>
        </w:rPr>
      </w:pPr>
      <w:r>
        <w:rPr>
          <w:rFonts w:ascii="Arial" w:cs="Arial" w:eastAsia="Arial" w:hAnsi="Arial"/>
          <w:sz w:val="20"/>
          <w:szCs w:val="20"/>
          <w:color w:val="auto"/>
        </w:rPr>
        <w:t>Section 7.</w:t>
      </w:r>
      <w:r>
        <w:rPr>
          <w:sz w:val="20"/>
          <w:szCs w:val="20"/>
          <w:color w:val="auto"/>
        </w:rPr>
        <w:tab/>
      </w:r>
      <w:r>
        <w:rPr>
          <w:rFonts w:ascii="Arial" w:cs="Arial" w:eastAsia="Arial" w:hAnsi="Arial"/>
          <w:sz w:val="18"/>
          <w:szCs w:val="18"/>
          <w:u w:val="single" w:color="auto"/>
          <w:color w:val="auto"/>
        </w:rPr>
        <w:t>Establishment of Incremental Commitments by the Lenders</w:t>
      </w:r>
      <w:r>
        <w:rPr>
          <w:rFonts w:ascii="Arial" w:cs="Arial" w:eastAsia="Arial" w:hAnsi="Arial"/>
          <w:sz w:val="18"/>
          <w:szCs w:val="18"/>
          <w:color w:val="auto"/>
        </w:rPr>
        <w:t>.</w:t>
      </w:r>
    </w:p>
    <w:p>
      <w:pPr>
        <w:spacing w:after="0" w:line="216" w:lineRule="exact"/>
        <w:rPr>
          <w:sz w:val="20"/>
          <w:szCs w:val="20"/>
          <w:color w:val="auto"/>
        </w:rPr>
      </w:pPr>
    </w:p>
    <w:p>
      <w:pPr>
        <w:ind w:right="120" w:firstLine="648"/>
        <w:spacing w:after="0" w:line="287" w:lineRule="auto"/>
        <w:rPr>
          <w:sz w:val="20"/>
          <w:szCs w:val="20"/>
          <w:color w:val="auto"/>
        </w:rPr>
      </w:pPr>
      <w:r>
        <w:rPr>
          <w:rFonts w:ascii="Arial" w:cs="Arial" w:eastAsia="Arial" w:hAnsi="Arial"/>
          <w:sz w:val="19"/>
          <w:szCs w:val="19"/>
          <w:color w:val="auto"/>
        </w:rPr>
        <w:t>7.1 The Lenders providing incremental commitments hereunder (the “</w:t>
      </w:r>
      <w:r>
        <w:rPr>
          <w:rFonts w:ascii="Arial" w:cs="Arial" w:eastAsia="Arial" w:hAnsi="Arial"/>
          <w:sz w:val="19"/>
          <w:szCs w:val="19"/>
          <w:u w:val="single" w:color="auto"/>
          <w:color w:val="auto"/>
        </w:rPr>
        <w:t>Incremental Commitment Lenders</w:t>
      </w:r>
      <w:r>
        <w:rPr>
          <w:rFonts w:ascii="Arial" w:cs="Arial" w:eastAsia="Arial" w:hAnsi="Arial"/>
          <w:sz w:val="19"/>
          <w:szCs w:val="19"/>
          <w:color w:val="auto"/>
        </w:rPr>
        <w:t xml:space="preserve">”) acknowledge and agree to an increase in their respective commitments as shown on </w:t>
      </w:r>
      <w:r>
        <w:rPr>
          <w:rFonts w:ascii="Arial" w:cs="Arial" w:eastAsia="Arial" w:hAnsi="Arial"/>
          <w:sz w:val="19"/>
          <w:szCs w:val="19"/>
          <w:u w:val="single" w:color="auto"/>
          <w:color w:val="auto"/>
        </w:rPr>
        <w:t>Schedule 2.01</w:t>
      </w:r>
      <w:r>
        <w:rPr>
          <w:rFonts w:ascii="Arial" w:cs="Arial" w:eastAsia="Arial" w:hAnsi="Arial"/>
          <w:sz w:val="19"/>
          <w:szCs w:val="19"/>
          <w:color w:val="auto"/>
        </w:rPr>
        <w:t>, as revised and attached hereto.</w:t>
      </w:r>
    </w:p>
    <w:p>
      <w:pPr>
        <w:spacing w:after="0" w:line="153" w:lineRule="exact"/>
        <w:rPr>
          <w:sz w:val="20"/>
          <w:szCs w:val="20"/>
          <w:color w:val="auto"/>
        </w:rPr>
      </w:pPr>
    </w:p>
    <w:p>
      <w:pPr>
        <w:ind w:right="20" w:firstLine="648"/>
        <w:spacing w:after="0" w:line="270" w:lineRule="auto"/>
        <w:rPr>
          <w:sz w:val="20"/>
          <w:szCs w:val="20"/>
          <w:color w:val="auto"/>
        </w:rPr>
      </w:pPr>
      <w:r>
        <w:rPr>
          <w:rFonts w:ascii="Arial" w:cs="Arial" w:eastAsia="Arial" w:hAnsi="Arial"/>
          <w:sz w:val="18"/>
          <w:szCs w:val="18"/>
          <w:color w:val="auto"/>
        </w:rPr>
        <w:t xml:space="preserve">7.2 Each of the Incremental Commitment Lenders that were not already Lenders under the Credit Agreement prior to giving effect to this Amendment hereby represents and warrants, and acknowledges and agrees that (i) it has full power and authority, and has taken all action necessary, to execute and deliver this Amendment and to consummate the transactions contemplated hereby to become a Lender under the Credit Agreement and that the Credit Agreement constitutes a legal, valid and binding obligation enforceable against it in accordance with its terms, except to the extent that enforceability may be limited by Debtor Relief Laws and subject to equitable principles , (ii) it meets all of the requirements of an Eligible Assignee under the Credit Agreement, (iii) from and after the Amendment No. 1 Effective Date, it shall be bound by the terms of the Credit Agreement as a Lender with all of the rights and benefits and all of the obligations of a Lender thereunder with the loans and commitments shown, (iv) it has received a copy of the Credit Agreement, as modified and amended, together with copies of the most recent financial statements available under </w:t>
      </w:r>
      <w:r>
        <w:rPr>
          <w:rFonts w:ascii="Arial" w:cs="Arial" w:eastAsia="Arial" w:hAnsi="Arial"/>
          <w:sz w:val="18"/>
          <w:szCs w:val="18"/>
          <w:u w:val="single" w:color="auto"/>
          <w:color w:val="auto"/>
        </w:rPr>
        <w:t>Sections 7.01(a</w:t>
      </w:r>
      <w:r>
        <w:rPr>
          <w:rFonts w:ascii="Arial" w:cs="Arial" w:eastAsia="Arial" w:hAnsi="Arial"/>
          <w:sz w:val="18"/>
          <w:szCs w:val="18"/>
          <w:color w:val="auto"/>
        </w:rPr>
        <w:t>) and (</w:t>
      </w:r>
      <w:r>
        <w:rPr>
          <w:rFonts w:ascii="Arial" w:cs="Arial" w:eastAsia="Arial" w:hAnsi="Arial"/>
          <w:sz w:val="18"/>
          <w:szCs w:val="18"/>
          <w:u w:val="single" w:color="auto"/>
          <w:color w:val="auto"/>
        </w:rPr>
        <w:t>b</w:t>
      </w:r>
      <w:r>
        <w:rPr>
          <w:rFonts w:ascii="Arial" w:cs="Arial" w:eastAsia="Arial" w:hAnsi="Arial"/>
          <w:sz w:val="18"/>
          <w:szCs w:val="18"/>
          <w:color w:val="auto"/>
        </w:rPr>
        <w:t>) thereunder and such other documents and such other information as it has deemed appropriate to make its own credit decision to enter into this Amendment, and based on such information, has made such analysis and decision independently and without reliance on the Administrative Agent or any other Lender, and (v) if it is a Foreign Lender, it has duly completed and delivered to the Administrative Agent and the Borrowers all forms and documentation required.</w:t>
      </w:r>
    </w:p>
    <w:p>
      <w:pPr>
        <w:spacing w:after="0" w:line="174" w:lineRule="exact"/>
        <w:rPr>
          <w:sz w:val="20"/>
          <w:szCs w:val="20"/>
          <w:color w:val="auto"/>
        </w:rPr>
      </w:pPr>
    </w:p>
    <w:p>
      <w:pPr>
        <w:spacing w:after="0"/>
        <w:tabs>
          <w:tab w:leader="none" w:pos="940" w:val="left"/>
        </w:tabs>
        <w:rPr>
          <w:sz w:val="20"/>
          <w:szCs w:val="20"/>
          <w:color w:val="auto"/>
        </w:rPr>
      </w:pPr>
      <w:r>
        <w:rPr>
          <w:rFonts w:ascii="Arial" w:cs="Arial" w:eastAsia="Arial" w:hAnsi="Arial"/>
          <w:sz w:val="20"/>
          <w:szCs w:val="20"/>
          <w:color w:val="auto"/>
        </w:rPr>
        <w:t>Section 8.</w:t>
      </w:r>
      <w:r>
        <w:rPr>
          <w:sz w:val="20"/>
          <w:szCs w:val="20"/>
          <w:color w:val="auto"/>
        </w:rPr>
        <w:tab/>
      </w:r>
      <w:r>
        <w:rPr>
          <w:rFonts w:ascii="Arial" w:cs="Arial" w:eastAsia="Arial" w:hAnsi="Arial"/>
          <w:sz w:val="18"/>
          <w:szCs w:val="18"/>
          <w:u w:val="single" w:color="auto"/>
          <w:color w:val="auto"/>
        </w:rPr>
        <w:t>Accession of Incremental Commitment Lenders to Parallel Debt Agreement</w:t>
      </w:r>
      <w:r>
        <w:rPr>
          <w:rFonts w:ascii="Arial" w:cs="Arial" w:eastAsia="Arial" w:hAnsi="Arial"/>
          <w:sz w:val="18"/>
          <w:szCs w:val="18"/>
          <w:color w:val="auto"/>
        </w:rPr>
        <w:t>.</w:t>
      </w:r>
    </w:p>
    <w:p>
      <w:pPr>
        <w:spacing w:after="0" w:line="216" w:lineRule="exact"/>
        <w:rPr>
          <w:sz w:val="20"/>
          <w:szCs w:val="20"/>
          <w:color w:val="auto"/>
        </w:rPr>
      </w:pPr>
    </w:p>
    <w:p>
      <w:pPr>
        <w:jc w:val="both"/>
        <w:ind w:right="180" w:firstLine="648"/>
        <w:spacing w:after="0" w:line="328" w:lineRule="auto"/>
        <w:rPr>
          <w:sz w:val="20"/>
          <w:szCs w:val="20"/>
          <w:color w:val="auto"/>
        </w:rPr>
      </w:pPr>
      <w:r>
        <w:rPr>
          <w:rFonts w:ascii="Arial" w:cs="Arial" w:eastAsia="Arial" w:hAnsi="Arial"/>
          <w:sz w:val="16"/>
          <w:szCs w:val="16"/>
          <w:color w:val="auto"/>
        </w:rPr>
        <w:t>8.1 Each Incremental Commitment Lender that is not already a party to the Parallel Debt Agreement hereby agrees with the Foreign Collateral Agent (acting for itself and for and on behalf of the Secured Lenders) that with effect on and from the Amendment No. 1 Effective Date (defined below) each such Incremental Commitment Lender will be bound by the Parallel Debt Agreement as a Secured Lender as if such Incremental Commitment Lender had been party originally to the Parallel Debt Agreement in that capacity.</w:t>
      </w:r>
    </w:p>
    <w:p>
      <w:pPr>
        <w:spacing w:after="0" w:line="142" w:lineRule="exact"/>
        <w:rPr>
          <w:sz w:val="20"/>
          <w:szCs w:val="20"/>
          <w:color w:val="auto"/>
        </w:rPr>
      </w:pPr>
    </w:p>
    <w:p>
      <w:pPr>
        <w:ind w:firstLine="648"/>
        <w:spacing w:after="0" w:line="260" w:lineRule="auto"/>
        <w:rPr>
          <w:sz w:val="20"/>
          <w:szCs w:val="20"/>
          <w:color w:val="auto"/>
        </w:rPr>
      </w:pPr>
      <w:r>
        <w:rPr>
          <w:rFonts w:ascii="Arial" w:cs="Arial" w:eastAsia="Arial" w:hAnsi="Arial"/>
          <w:sz w:val="20"/>
          <w:szCs w:val="20"/>
          <w:color w:val="auto"/>
        </w:rPr>
        <w:t>8.2 The Foreign Collateral Agent hereby acknowledges the accession of each Incremental Commitment Lender to the Parallel Debt Agreement (acting for itself and on behalf of the other Secured Lenders).</w:t>
      </w:r>
    </w:p>
    <w:p>
      <w:pPr>
        <w:spacing w:after="0" w:line="190" w:lineRule="exact"/>
        <w:rPr>
          <w:sz w:val="20"/>
          <w:szCs w:val="20"/>
          <w:color w:val="auto"/>
        </w:rPr>
      </w:pPr>
    </w:p>
    <w:p>
      <w:pPr>
        <w:ind w:right="480" w:firstLine="648"/>
        <w:spacing w:after="0" w:line="260" w:lineRule="auto"/>
        <w:rPr>
          <w:sz w:val="20"/>
          <w:szCs w:val="20"/>
          <w:color w:val="auto"/>
        </w:rPr>
      </w:pPr>
      <w:r>
        <w:rPr>
          <w:rFonts w:ascii="Arial" w:cs="Arial" w:eastAsia="Arial" w:hAnsi="Arial"/>
          <w:sz w:val="20"/>
          <w:szCs w:val="20"/>
          <w:color w:val="auto"/>
        </w:rPr>
        <w:t>8.3 Each Incremental Commitment Lender that is not already a party to the Parallel Debt Agreement hereby ratifies and approves any acts done by the Foreign Collateral Agent on its behalf before execution hereof.</w:t>
      </w:r>
    </w:p>
    <w:p>
      <w:pPr>
        <w:spacing w:after="0" w:line="200" w:lineRule="exact"/>
        <w:rPr>
          <w:sz w:val="20"/>
          <w:szCs w:val="20"/>
          <w:color w:val="auto"/>
        </w:rPr>
      </w:pPr>
    </w:p>
    <w:p>
      <w:pPr>
        <w:spacing w:after="0" w:line="234" w:lineRule="exact"/>
        <w:rPr>
          <w:sz w:val="20"/>
          <w:szCs w:val="20"/>
          <w:color w:val="auto"/>
        </w:rPr>
      </w:pPr>
    </w:p>
    <w:p>
      <w:pPr>
        <w:ind w:left="5000"/>
        <w:spacing w:after="0"/>
        <w:rPr>
          <w:sz w:val="20"/>
          <w:szCs w:val="20"/>
          <w:color w:val="auto"/>
        </w:rPr>
      </w:pPr>
      <w:r>
        <w:rPr>
          <w:rFonts w:ascii="Arial" w:cs="Arial" w:eastAsia="Arial" w:hAnsi="Arial"/>
          <w:sz w:val="20"/>
          <w:szCs w:val="20"/>
          <w:color w:val="auto"/>
        </w:rPr>
        <w:t>5</w:t>
      </w:r>
    </w:p>
    <w:p>
      <w:pPr>
        <w:sectPr>
          <w:pgSz w:w="11900" w:h="16838" w:orient="portrait"/>
          <w:cols w:equalWidth="0" w:num="1">
            <w:col w:w="10760"/>
          </w:cols>
          <w:pgMar w:left="900" w:top="366" w:right="239" w:bottom="1440" w:gutter="0" w:footer="0" w:header="0"/>
        </w:sectPr>
      </w:pPr>
    </w:p>
    <w:bookmarkStart w:id="39" w:name="page40"/>
    <w:bookmarkEnd w:id="39"/>
    <w:p>
      <w:pPr>
        <w:ind w:left="660"/>
        <w:spacing w:after="0"/>
        <w:tabs>
          <w:tab w:leader="none" w:pos="1600" w:val="left"/>
        </w:tabs>
        <w:rPr>
          <w:sz w:val="20"/>
          <w:szCs w:val="20"/>
          <w:color w:val="auto"/>
        </w:rPr>
      </w:pPr>
      <w:r>
        <w:rPr>
          <w:rFonts w:ascii="Arial" w:cs="Arial" w:eastAsia="Arial" w:hAnsi="Arial"/>
          <w:sz w:val="20"/>
          <w:szCs w:val="20"/>
          <w:color w:val="auto"/>
        </w:rPr>
        <w:t>Section 9.</w:t>
      </w:r>
      <w:r>
        <w:rPr>
          <w:sz w:val="20"/>
          <w:szCs w:val="20"/>
          <w:color w:val="auto"/>
        </w:rPr>
        <w:tab/>
      </w:r>
      <w:r>
        <w:rPr>
          <w:rFonts w:ascii="Arial" w:cs="Arial" w:eastAsia="Arial" w:hAnsi="Arial"/>
          <w:sz w:val="18"/>
          <w:szCs w:val="18"/>
          <w:u w:val="single" w:color="auto"/>
          <w:color w:val="auto"/>
        </w:rPr>
        <w:t>Conditions Precedent</w:t>
      </w:r>
      <w:r>
        <w:rPr>
          <w:rFonts w:ascii="Arial" w:cs="Arial" w:eastAsia="Arial" w:hAnsi="Arial"/>
          <w:sz w:val="18"/>
          <w:szCs w:val="18"/>
          <w:color w:val="auto"/>
        </w:rPr>
        <w:t>. This Amendment shall become effective upon satisfaction of the following conditions:</w:t>
      </w:r>
    </w:p>
    <w:p>
      <w:pPr>
        <w:spacing w:after="0" w:line="216" w:lineRule="exact"/>
        <w:rPr>
          <w:sz w:val="20"/>
          <w:szCs w:val="20"/>
          <w:color w:val="auto"/>
        </w:rPr>
      </w:pPr>
    </w:p>
    <w:p>
      <w:pPr>
        <w:ind w:left="660" w:right="560" w:firstLine="648"/>
        <w:spacing w:after="0" w:line="260" w:lineRule="auto"/>
        <w:rPr>
          <w:sz w:val="20"/>
          <w:szCs w:val="20"/>
          <w:color w:val="auto"/>
        </w:rPr>
      </w:pPr>
      <w:r>
        <w:rPr>
          <w:rFonts w:ascii="Arial" w:cs="Arial" w:eastAsia="Arial" w:hAnsi="Arial"/>
          <w:sz w:val="20"/>
          <w:szCs w:val="20"/>
          <w:color w:val="auto"/>
        </w:rPr>
        <w:t>9.1 Receipt by the Administrative Agent of signature pages from EWI and the other Credit Parties, the Lenders and the Administrative Agent.</w:t>
      </w:r>
    </w:p>
    <w:p>
      <w:pPr>
        <w:spacing w:after="0" w:line="177" w:lineRule="exact"/>
        <w:rPr>
          <w:sz w:val="20"/>
          <w:szCs w:val="20"/>
          <w:color w:val="auto"/>
        </w:rPr>
      </w:pPr>
    </w:p>
    <w:p>
      <w:pPr>
        <w:jc w:val="both"/>
        <w:ind w:left="660" w:right="100" w:firstLine="648"/>
        <w:spacing w:after="0" w:line="250" w:lineRule="auto"/>
        <w:rPr>
          <w:sz w:val="20"/>
          <w:szCs w:val="20"/>
          <w:color w:val="auto"/>
        </w:rPr>
      </w:pPr>
      <w:r>
        <w:rPr>
          <w:rFonts w:ascii="Arial" w:cs="Arial" w:eastAsia="Arial" w:hAnsi="Arial"/>
          <w:sz w:val="20"/>
          <w:szCs w:val="20"/>
          <w:color w:val="auto"/>
        </w:rPr>
        <w:t>9.2 Receipt by the Administrative Agent of executed promissory notes and amendments to the Collateral Documents or such amendments, additional documents and reaffirmations, as may be required under applicable law, as appropriate, evidencing and giving effect to this Amendment.</w:t>
      </w:r>
    </w:p>
    <w:p>
      <w:pPr>
        <w:spacing w:after="0" w:line="186" w:lineRule="exact"/>
        <w:rPr>
          <w:sz w:val="20"/>
          <w:szCs w:val="20"/>
          <w:color w:val="auto"/>
        </w:rPr>
      </w:pPr>
    </w:p>
    <w:p>
      <w:pPr>
        <w:ind w:left="660" w:right="180" w:firstLine="648"/>
        <w:spacing w:after="0" w:line="263" w:lineRule="auto"/>
        <w:rPr>
          <w:sz w:val="20"/>
          <w:szCs w:val="20"/>
          <w:color w:val="auto"/>
        </w:rPr>
      </w:pPr>
      <w:r>
        <w:rPr>
          <w:rFonts w:ascii="Arial" w:cs="Arial" w:eastAsia="Arial" w:hAnsi="Arial"/>
          <w:sz w:val="19"/>
          <w:szCs w:val="19"/>
          <w:color w:val="auto"/>
        </w:rPr>
        <w:t>9.3 Receipt by the Administrative Agent of legal opinions regarding, among other things, existence, corporate power and authority, due authorization, execution, delivery and enforceability of the Credit Documents, no conflicts with organizational documents, material debt agreements or applicable law, compliance with Federal Reserve margin regulations, the non-applicability of the Investment Company Act, and attachment and perfection of security interests, if appropriate.</w:t>
      </w:r>
    </w:p>
    <w:p>
      <w:pPr>
        <w:spacing w:after="0" w:line="177" w:lineRule="exact"/>
        <w:rPr>
          <w:sz w:val="20"/>
          <w:szCs w:val="20"/>
          <w:color w:val="auto"/>
        </w:rPr>
      </w:pPr>
    </w:p>
    <w:p>
      <w:pPr>
        <w:ind w:left="660" w:right="160" w:firstLine="648"/>
        <w:spacing w:after="0" w:line="250" w:lineRule="auto"/>
        <w:rPr>
          <w:sz w:val="20"/>
          <w:szCs w:val="20"/>
          <w:color w:val="auto"/>
        </w:rPr>
      </w:pPr>
      <w:r>
        <w:rPr>
          <w:rFonts w:ascii="Arial" w:cs="Arial" w:eastAsia="Arial" w:hAnsi="Arial"/>
          <w:sz w:val="20"/>
          <w:szCs w:val="20"/>
          <w:color w:val="auto"/>
        </w:rPr>
        <w:t>9.4 Receipt by the Administrative Agent for EWI and each of the other Credit Parties of supporting resolutions and certified copies, or “no change” certifications in respect, of articles of incorporation or organization, bylaws or operating agreement, and certificates of good standing or existence and an officer’s certificate including incumbency.</w:t>
      </w:r>
    </w:p>
    <w:p>
      <w:pPr>
        <w:spacing w:after="0" w:line="186" w:lineRule="exact"/>
        <w:rPr>
          <w:sz w:val="20"/>
          <w:szCs w:val="20"/>
          <w:color w:val="auto"/>
        </w:rPr>
      </w:pPr>
    </w:p>
    <w:p>
      <w:pPr>
        <w:ind w:left="660" w:right="520" w:firstLine="648"/>
        <w:spacing w:after="0" w:line="260" w:lineRule="auto"/>
        <w:rPr>
          <w:sz w:val="20"/>
          <w:szCs w:val="20"/>
          <w:color w:val="auto"/>
        </w:rPr>
      </w:pPr>
      <w:r>
        <w:rPr>
          <w:rFonts w:ascii="Arial" w:cs="Arial" w:eastAsia="Arial" w:hAnsi="Arial"/>
          <w:sz w:val="20"/>
          <w:szCs w:val="20"/>
          <w:color w:val="auto"/>
        </w:rPr>
        <w:t>9.5 Confirmation of payment of all fees and expenses owing in connection herewith, including the fees and expenses of counsel for the Administrative Agent.</w:t>
      </w:r>
    </w:p>
    <w:p>
      <w:pPr>
        <w:spacing w:after="0" w:line="177" w:lineRule="exact"/>
        <w:rPr>
          <w:sz w:val="20"/>
          <w:szCs w:val="20"/>
          <w:color w:val="auto"/>
        </w:rPr>
      </w:pPr>
    </w:p>
    <w:p>
      <w:pPr>
        <w:jc w:val="both"/>
        <w:ind w:right="120"/>
        <w:spacing w:after="0" w:line="250" w:lineRule="auto"/>
        <w:rPr>
          <w:sz w:val="20"/>
          <w:szCs w:val="20"/>
          <w:color w:val="auto"/>
        </w:rPr>
      </w:pPr>
      <w:r>
        <w:rPr>
          <w:rFonts w:ascii="Arial" w:cs="Arial" w:eastAsia="Arial" w:hAnsi="Arial"/>
          <w:sz w:val="20"/>
          <w:szCs w:val="20"/>
          <w:color w:val="auto"/>
        </w:rPr>
        <w:t>Subject to Section 10, this Amendment will not become effective until the Administrative Agent shall have confirmed satisfaction of all of the foregoing conditions. The “</w:t>
      </w:r>
      <w:r>
        <w:rPr>
          <w:rFonts w:ascii="Arial" w:cs="Arial" w:eastAsia="Arial" w:hAnsi="Arial"/>
          <w:sz w:val="20"/>
          <w:szCs w:val="20"/>
          <w:u w:val="single" w:color="auto"/>
          <w:color w:val="auto"/>
        </w:rPr>
        <w:t>Amendment No. 1 Effective Date</w:t>
      </w:r>
      <w:r>
        <w:rPr>
          <w:rFonts w:ascii="Arial" w:cs="Arial" w:eastAsia="Arial" w:hAnsi="Arial"/>
          <w:sz w:val="20"/>
          <w:szCs w:val="20"/>
          <w:color w:val="auto"/>
        </w:rPr>
        <w:t>”, as referenced and defined herein and in the Credit Agreement, shall be the date when this Amendment shall become effective.</w:t>
      </w:r>
    </w:p>
    <w:p>
      <w:pPr>
        <w:spacing w:after="0" w:line="200" w:lineRule="exact"/>
        <w:rPr>
          <w:sz w:val="20"/>
          <w:szCs w:val="20"/>
          <w:color w:val="auto"/>
        </w:rPr>
      </w:pPr>
    </w:p>
    <w:p>
      <w:pPr>
        <w:ind w:right="320" w:firstLine="648"/>
        <w:spacing w:after="0" w:line="260" w:lineRule="auto"/>
        <w:rPr>
          <w:sz w:val="20"/>
          <w:szCs w:val="20"/>
          <w:color w:val="auto"/>
        </w:rPr>
      </w:pPr>
      <w:r>
        <w:rPr>
          <w:rFonts w:ascii="Arial" w:cs="Arial" w:eastAsia="Arial" w:hAnsi="Arial"/>
          <w:sz w:val="20"/>
          <w:szCs w:val="20"/>
          <w:color w:val="auto"/>
        </w:rPr>
        <w:t xml:space="preserve">Section 10. </w:t>
      </w:r>
      <w:r>
        <w:rPr>
          <w:rFonts w:ascii="Arial" w:cs="Arial" w:eastAsia="Arial" w:hAnsi="Arial"/>
          <w:sz w:val="20"/>
          <w:szCs w:val="20"/>
          <w:u w:val="single" w:color="auto"/>
          <w:color w:val="auto"/>
        </w:rPr>
        <w:t>Post-Closing Covenants</w:t>
      </w:r>
      <w:r>
        <w:rPr>
          <w:rFonts w:ascii="Arial" w:cs="Arial" w:eastAsia="Arial" w:hAnsi="Arial"/>
          <w:sz w:val="20"/>
          <w:szCs w:val="20"/>
          <w:color w:val="auto"/>
        </w:rPr>
        <w:t>. The Borrowers agree to deliver, or cause to be delivered, the following documents within the number of days indicated below following the Amendment No. 1 Effective Date:</w:t>
      </w:r>
    </w:p>
    <w:p>
      <w:pPr>
        <w:spacing w:after="0" w:line="177" w:lineRule="exact"/>
        <w:rPr>
          <w:sz w:val="20"/>
          <w:szCs w:val="20"/>
          <w:color w:val="auto"/>
        </w:rPr>
      </w:pPr>
    </w:p>
    <w:p>
      <w:pPr>
        <w:ind w:left="660" w:firstLine="648"/>
        <w:spacing w:after="0" w:line="280" w:lineRule="auto"/>
        <w:rPr>
          <w:sz w:val="20"/>
          <w:szCs w:val="20"/>
          <w:color w:val="auto"/>
        </w:rPr>
      </w:pPr>
      <w:r>
        <w:rPr>
          <w:rFonts w:ascii="Arial" w:cs="Arial" w:eastAsia="Arial" w:hAnsi="Arial"/>
          <w:sz w:val="19"/>
          <w:szCs w:val="19"/>
          <w:color w:val="auto"/>
        </w:rPr>
        <w:t>10</w:t>
      </w:r>
      <w:r>
        <w:rPr>
          <w:rFonts w:ascii="Arial" w:cs="Arial" w:eastAsia="Arial" w:hAnsi="Arial"/>
          <w:sz w:val="17"/>
          <w:szCs w:val="17"/>
          <w:color w:val="auto"/>
        </w:rPr>
        <w:t>.1</w:t>
      </w:r>
      <w:r>
        <w:rPr>
          <w:rFonts w:ascii="Arial" w:cs="Arial" w:eastAsia="Arial" w:hAnsi="Arial"/>
          <w:sz w:val="19"/>
          <w:szCs w:val="19"/>
          <w:color w:val="auto"/>
        </w:rPr>
        <w:t xml:space="preserve"> </w:t>
      </w:r>
      <w:r>
        <w:rPr>
          <w:rFonts w:ascii="Arial" w:cs="Arial" w:eastAsia="Arial" w:hAnsi="Arial"/>
          <w:sz w:val="17"/>
          <w:szCs w:val="17"/>
          <w:u w:val="single" w:color="auto"/>
          <w:color w:val="auto"/>
        </w:rPr>
        <w:t>Spanish Deliverables</w:t>
      </w:r>
      <w:r>
        <w:rPr>
          <w:rFonts w:ascii="Arial" w:cs="Arial" w:eastAsia="Arial" w:hAnsi="Arial"/>
          <w:sz w:val="17"/>
          <w:szCs w:val="17"/>
          <w:color w:val="auto"/>
        </w:rPr>
        <w:t>. Within thirty days following the Amendment No. 1 Effective Date (a) such amendments, additional documents</w:t>
      </w:r>
      <w:r>
        <w:rPr>
          <w:rFonts w:ascii="Arial" w:cs="Arial" w:eastAsia="Arial" w:hAnsi="Arial"/>
          <w:sz w:val="19"/>
          <w:szCs w:val="19"/>
          <w:color w:val="auto"/>
        </w:rPr>
        <w:t xml:space="preserve"> </w:t>
      </w:r>
      <w:r>
        <w:rPr>
          <w:rFonts w:ascii="Arial" w:cs="Arial" w:eastAsia="Arial" w:hAnsi="Arial"/>
          <w:sz w:val="17"/>
          <w:szCs w:val="17"/>
          <w:color w:val="auto"/>
        </w:rPr>
        <w:t>and reaffirmations, as may be required under Spanish law, as appropriate, evidencing and giving effect to this Amendment, (b) such legal opinions as are appropriate and as are reasonably requested by the Administrative Agent and (c) supporting resolutions and certified copies, or “no change” certifications in respect, of articles of incorporation or organization, bylaws or operating agreement, and certificates of good standing or existence and an officer’s certificate including incumbency, with respect to each Spanish Credit Party.</w:t>
      </w:r>
    </w:p>
    <w:p>
      <w:pPr>
        <w:spacing w:after="0" w:line="173" w:lineRule="exact"/>
        <w:rPr>
          <w:sz w:val="20"/>
          <w:szCs w:val="20"/>
          <w:color w:val="auto"/>
        </w:rPr>
      </w:pPr>
    </w:p>
    <w:p>
      <w:pPr>
        <w:ind w:right="680" w:firstLine="648"/>
        <w:spacing w:after="0" w:line="277" w:lineRule="auto"/>
        <w:rPr>
          <w:sz w:val="20"/>
          <w:szCs w:val="20"/>
          <w:color w:val="auto"/>
        </w:rPr>
      </w:pPr>
      <w:r>
        <w:rPr>
          <w:rFonts w:ascii="Arial" w:cs="Arial" w:eastAsia="Arial" w:hAnsi="Arial"/>
          <w:sz w:val="18"/>
          <w:szCs w:val="18"/>
          <w:color w:val="auto"/>
        </w:rPr>
        <w:t>It is understood and agreed that failure to comply with the provisions of this Section 10 shall constitute an Event of Default under the Credit Agreement.</w:t>
      </w:r>
    </w:p>
    <w:p>
      <w:pPr>
        <w:spacing w:after="0" w:line="168" w:lineRule="exact"/>
        <w:rPr>
          <w:sz w:val="20"/>
          <w:szCs w:val="20"/>
          <w:color w:val="auto"/>
        </w:rPr>
      </w:pPr>
    </w:p>
    <w:p>
      <w:pPr>
        <w:ind w:right="60" w:firstLine="648"/>
        <w:spacing w:after="0" w:line="269" w:lineRule="auto"/>
        <w:rPr>
          <w:sz w:val="20"/>
          <w:szCs w:val="20"/>
          <w:color w:val="auto"/>
        </w:rPr>
      </w:pPr>
      <w:r>
        <w:rPr>
          <w:rFonts w:ascii="Arial" w:cs="Arial" w:eastAsia="Arial" w:hAnsi="Arial"/>
          <w:sz w:val="19"/>
          <w:szCs w:val="19"/>
          <w:color w:val="auto"/>
        </w:rPr>
        <w:t xml:space="preserve">Section 11. </w:t>
      </w:r>
      <w:r>
        <w:rPr>
          <w:rFonts w:ascii="Arial" w:cs="Arial" w:eastAsia="Arial" w:hAnsi="Arial"/>
          <w:sz w:val="19"/>
          <w:szCs w:val="19"/>
          <w:u w:val="single" w:color="auto"/>
          <w:color w:val="auto"/>
        </w:rPr>
        <w:t>Break-Funding Indemnity</w:t>
      </w:r>
      <w:r>
        <w:rPr>
          <w:rFonts w:ascii="Arial" w:cs="Arial" w:eastAsia="Arial" w:hAnsi="Arial"/>
          <w:sz w:val="19"/>
          <w:szCs w:val="19"/>
          <w:color w:val="auto"/>
        </w:rPr>
        <w:t>. The Borrowers acknowledge that upon the effectiveness of this Amendment and the establishment of incremental commitments hereunder, the commitment percentages of the Lenders in the respective credit facilities will change and a break-funding event may occur as to existing Fixed Rate LIBOR Rate Loans thereunder entitling the Lenders to</w:t>
      </w: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6</w:t>
      </w:r>
    </w:p>
    <w:p>
      <w:pPr>
        <w:sectPr>
          <w:pgSz w:w="11900" w:h="16838" w:orient="portrait"/>
          <w:cols w:equalWidth="0" w:num="1">
            <w:col w:w="11420"/>
          </w:cols>
          <w:pgMar w:left="240" w:top="366" w:right="239" w:bottom="1440" w:gutter="0" w:footer="0" w:header="0"/>
        </w:sectPr>
      </w:pPr>
    </w:p>
    <w:bookmarkStart w:id="40" w:name="page41"/>
    <w:bookmarkEnd w:id="40"/>
    <w:p>
      <w:pPr>
        <w:ind w:right="40"/>
        <w:spacing w:after="0" w:line="258" w:lineRule="auto"/>
        <w:rPr>
          <w:sz w:val="20"/>
          <w:szCs w:val="20"/>
          <w:color w:val="auto"/>
        </w:rPr>
      </w:pPr>
      <w:r>
        <w:rPr>
          <w:rFonts w:ascii="Arial" w:cs="Arial" w:eastAsia="Arial" w:hAnsi="Arial"/>
          <w:sz w:val="19"/>
          <w:szCs w:val="19"/>
          <w:color w:val="auto"/>
        </w:rPr>
        <w:t xml:space="preserve">compensation under </w:t>
      </w:r>
      <w:r>
        <w:rPr>
          <w:rFonts w:ascii="Arial" w:cs="Arial" w:eastAsia="Arial" w:hAnsi="Arial"/>
          <w:sz w:val="19"/>
          <w:szCs w:val="19"/>
          <w:u w:val="single" w:color="auto"/>
          <w:color w:val="auto"/>
        </w:rPr>
        <w:t>Section 3.05</w:t>
      </w:r>
      <w:r>
        <w:rPr>
          <w:rFonts w:ascii="Arial" w:cs="Arial" w:eastAsia="Arial" w:hAnsi="Arial"/>
          <w:sz w:val="19"/>
          <w:szCs w:val="19"/>
          <w:color w:val="auto"/>
        </w:rPr>
        <w:t xml:space="preserve"> of the Credit Agreement depending on circumstances. Further, in the event the Borrowers should submit a Borrowing notice for Fixed LIBOR Rate Loans in the credit facilities as to which the incremental commitments established hereby shall relate prior to the effective date of this Amendment and in anticipation of closing and funding on or after the effective date of this Amendment, the Borrowers acknowledge and agree that in the event this Amendment shall not have become effective by the date for the Borrowing in the notice, then the Lenders (including the Incremental Commitment Lenders) may be entitled to compensation under </w:t>
      </w:r>
      <w:r>
        <w:rPr>
          <w:rFonts w:ascii="Arial" w:cs="Arial" w:eastAsia="Arial" w:hAnsi="Arial"/>
          <w:sz w:val="19"/>
          <w:szCs w:val="19"/>
          <w:u w:val="single" w:color="auto"/>
          <w:color w:val="auto"/>
        </w:rPr>
        <w:t>Section 3.05</w:t>
      </w:r>
      <w:r>
        <w:rPr>
          <w:rFonts w:ascii="Arial" w:cs="Arial" w:eastAsia="Arial" w:hAnsi="Arial"/>
          <w:sz w:val="19"/>
          <w:szCs w:val="19"/>
          <w:color w:val="auto"/>
        </w:rPr>
        <w:t xml:space="preserve"> of the Credit Agreement depending on circumstances for the entire amount of the requested Fixed LIBOR Rate Loans (including the portion, if any, that was to be made under the incremental commitments established hereby).</w:t>
      </w:r>
    </w:p>
    <w:p>
      <w:pPr>
        <w:spacing w:after="0" w:line="179" w:lineRule="exact"/>
        <w:rPr>
          <w:sz w:val="20"/>
          <w:szCs w:val="20"/>
          <w:color w:val="auto"/>
        </w:rPr>
      </w:pPr>
    </w:p>
    <w:p>
      <w:pPr>
        <w:ind w:right="80" w:firstLine="648"/>
        <w:spacing w:after="0" w:line="244" w:lineRule="auto"/>
        <w:rPr>
          <w:sz w:val="20"/>
          <w:szCs w:val="20"/>
          <w:color w:val="auto"/>
        </w:rPr>
      </w:pPr>
      <w:r>
        <w:rPr>
          <w:rFonts w:ascii="Arial" w:cs="Arial" w:eastAsia="Arial" w:hAnsi="Arial"/>
          <w:sz w:val="20"/>
          <w:szCs w:val="20"/>
          <w:color w:val="auto"/>
        </w:rPr>
        <w:t xml:space="preserve">Section 12. </w:t>
      </w:r>
      <w:r>
        <w:rPr>
          <w:rFonts w:ascii="Arial" w:cs="Arial" w:eastAsia="Arial" w:hAnsi="Arial"/>
          <w:sz w:val="20"/>
          <w:szCs w:val="20"/>
          <w:u w:val="single" w:color="auto"/>
          <w:color w:val="auto"/>
        </w:rPr>
        <w:t>Effectiveness of Amendment</w:t>
      </w:r>
      <w:r>
        <w:rPr>
          <w:rFonts w:ascii="Arial" w:cs="Arial" w:eastAsia="Arial" w:hAnsi="Arial"/>
          <w:sz w:val="20"/>
          <w:szCs w:val="20"/>
          <w:color w:val="auto"/>
        </w:rPr>
        <w:t>. On and after the date hereof, all references to the Credit Agreement in each of the Credit Documents shall hereafter mean the Credit Agreement as amended by this Amendment. For purposes of clarification, all financial covenant calculations with respect to periods prior to the Amendment No. 1 Effective Date will be made using the financial definitions and covenants as amended by this Amendment. Except as specifically amended hereby or otherwise agreed, the Credit Agreement is hereby ratified and confirmed and shall remain in full force and effect according to its terms.</w:t>
      </w:r>
    </w:p>
    <w:p>
      <w:pPr>
        <w:spacing w:after="0" w:line="195" w:lineRule="exact"/>
        <w:rPr>
          <w:sz w:val="20"/>
          <w:szCs w:val="20"/>
          <w:color w:val="auto"/>
        </w:rPr>
      </w:pPr>
    </w:p>
    <w:p>
      <w:pPr>
        <w:ind w:right="220" w:firstLine="648"/>
        <w:spacing w:after="0" w:line="260" w:lineRule="auto"/>
        <w:rPr>
          <w:sz w:val="20"/>
          <w:szCs w:val="20"/>
          <w:color w:val="auto"/>
        </w:rPr>
      </w:pPr>
      <w:r>
        <w:rPr>
          <w:rFonts w:ascii="Arial" w:cs="Arial" w:eastAsia="Arial" w:hAnsi="Arial"/>
          <w:sz w:val="20"/>
          <w:szCs w:val="20"/>
          <w:color w:val="auto"/>
        </w:rPr>
        <w:t xml:space="preserve">Section 13. </w:t>
      </w:r>
      <w:r>
        <w:rPr>
          <w:rFonts w:ascii="Arial" w:cs="Arial" w:eastAsia="Arial" w:hAnsi="Arial"/>
          <w:sz w:val="20"/>
          <w:szCs w:val="20"/>
          <w:u w:val="single" w:color="auto"/>
          <w:color w:val="auto"/>
        </w:rPr>
        <w:t>Full Force and Effect</w:t>
      </w:r>
      <w:r>
        <w:rPr>
          <w:rFonts w:ascii="Arial" w:cs="Arial" w:eastAsia="Arial" w:hAnsi="Arial"/>
          <w:sz w:val="20"/>
          <w:szCs w:val="20"/>
          <w:color w:val="auto"/>
        </w:rPr>
        <w:t>. Except as modified hereby, all of the terms and provisions of the Credit Agreement and the other Credit Documents (including schedules and exhibits thereto) shall remain in full force and effect.</w:t>
      </w:r>
    </w:p>
    <w:p>
      <w:pPr>
        <w:spacing w:after="0" w:line="177" w:lineRule="exact"/>
        <w:rPr>
          <w:sz w:val="20"/>
          <w:szCs w:val="20"/>
          <w:color w:val="auto"/>
        </w:rPr>
      </w:pPr>
    </w:p>
    <w:p>
      <w:pPr>
        <w:ind w:right="160" w:firstLine="648"/>
        <w:spacing w:after="0" w:line="244" w:lineRule="auto"/>
        <w:rPr>
          <w:sz w:val="20"/>
          <w:szCs w:val="20"/>
          <w:color w:val="auto"/>
        </w:rPr>
      </w:pPr>
      <w:r>
        <w:rPr>
          <w:rFonts w:ascii="Arial" w:cs="Arial" w:eastAsia="Arial" w:hAnsi="Arial"/>
          <w:sz w:val="20"/>
          <w:szCs w:val="20"/>
          <w:color w:val="auto"/>
        </w:rPr>
        <w:t xml:space="preserve">Section 14. </w:t>
      </w:r>
      <w:r>
        <w:rPr>
          <w:rFonts w:ascii="Arial" w:cs="Arial" w:eastAsia="Arial" w:hAnsi="Arial"/>
          <w:sz w:val="20"/>
          <w:szCs w:val="20"/>
          <w:u w:val="single" w:color="auto"/>
          <w:color w:val="auto"/>
        </w:rPr>
        <w:t>Counterparts</w:t>
      </w:r>
      <w:r>
        <w:rPr>
          <w:rFonts w:ascii="Arial" w:cs="Arial" w:eastAsia="Arial" w:hAnsi="Arial"/>
          <w:sz w:val="20"/>
          <w:szCs w:val="20"/>
          <w:color w:val="auto"/>
        </w:rPr>
        <w:t>. This Amendment may be executed in any number of counterparts, each of which when so executed and delivered shall be deemed an original, and it shall not be necessary in making proof of this Amendment to produce or account for more than one such counterpart. Delivery by any party hereto of an executed counterpart of this Amendment by facsimile or electronic mail shall be effective as such party’s original executed counterpart and shall constitute a representation that such party’s original executed counterpart will be delivered.</w:t>
      </w:r>
    </w:p>
    <w:p>
      <w:pPr>
        <w:spacing w:after="0" w:line="195" w:lineRule="exact"/>
        <w:rPr>
          <w:sz w:val="20"/>
          <w:szCs w:val="20"/>
          <w:color w:val="auto"/>
        </w:rPr>
      </w:pPr>
    </w:p>
    <w:p>
      <w:pPr>
        <w:ind w:firstLine="648"/>
        <w:spacing w:after="0" w:line="250" w:lineRule="auto"/>
        <w:rPr>
          <w:sz w:val="20"/>
          <w:szCs w:val="20"/>
          <w:color w:val="auto"/>
        </w:rPr>
      </w:pPr>
      <w:r>
        <w:rPr>
          <w:rFonts w:ascii="Arial" w:cs="Arial" w:eastAsia="Arial" w:hAnsi="Arial"/>
          <w:sz w:val="20"/>
          <w:szCs w:val="20"/>
          <w:color w:val="auto"/>
        </w:rPr>
        <w:t xml:space="preserve">Section 15. </w:t>
      </w:r>
      <w:r>
        <w:rPr>
          <w:rFonts w:ascii="Arial" w:cs="Arial" w:eastAsia="Arial" w:hAnsi="Arial"/>
          <w:sz w:val="20"/>
          <w:szCs w:val="20"/>
          <w:u w:val="single" w:color="auto"/>
          <w:color w:val="auto"/>
        </w:rPr>
        <w:t>Fees and Expenses</w:t>
      </w:r>
      <w:r>
        <w:rPr>
          <w:rFonts w:ascii="Arial" w:cs="Arial" w:eastAsia="Arial" w:hAnsi="Arial"/>
          <w:sz w:val="20"/>
          <w:szCs w:val="20"/>
          <w:color w:val="auto"/>
        </w:rPr>
        <w:t>. The Credit Parties agree to pay all reasonable costs and expenses of the Administrative Agent in connection with the preparation, execution and delivery of this Amendment, including the reasonable fees and expenses of Moore &amp; Van Allen, PLLC.</w:t>
      </w:r>
    </w:p>
    <w:p>
      <w:pPr>
        <w:spacing w:after="0" w:line="186" w:lineRule="exact"/>
        <w:rPr>
          <w:sz w:val="20"/>
          <w:szCs w:val="20"/>
          <w:color w:val="auto"/>
        </w:rPr>
      </w:pPr>
    </w:p>
    <w:p>
      <w:pPr>
        <w:ind w:right="260" w:firstLine="648"/>
        <w:spacing w:after="0" w:line="250" w:lineRule="auto"/>
        <w:rPr>
          <w:sz w:val="20"/>
          <w:szCs w:val="20"/>
          <w:color w:val="auto"/>
        </w:rPr>
      </w:pPr>
      <w:r>
        <w:rPr>
          <w:rFonts w:ascii="Arial" w:cs="Arial" w:eastAsia="Arial" w:hAnsi="Arial"/>
          <w:sz w:val="20"/>
          <w:szCs w:val="20"/>
          <w:color w:val="auto"/>
        </w:rPr>
        <w:t xml:space="preserve">Section 16. </w:t>
      </w:r>
      <w:r>
        <w:rPr>
          <w:rFonts w:ascii="Arial" w:cs="Arial" w:eastAsia="Arial" w:hAnsi="Arial"/>
          <w:sz w:val="20"/>
          <w:szCs w:val="20"/>
          <w:u w:val="single" w:color="auto"/>
          <w:color w:val="auto"/>
        </w:rPr>
        <w:t>Governing Law</w:t>
      </w:r>
      <w:r>
        <w:rPr>
          <w:rFonts w:ascii="Arial" w:cs="Arial" w:eastAsia="Arial" w:hAnsi="Arial"/>
          <w:sz w:val="20"/>
          <w:szCs w:val="20"/>
          <w:color w:val="auto"/>
        </w:rPr>
        <w:t>. This Amendment shall be governed by, and construed in accordance with, the law of the State of New York; provided, that Section 8 (Accession of Incremental Commitment Lenders to Parallel Debt Agreement) of this Amendment shall be governed by, and construed in accordance with, the law of the Federal Republic of Germany.</w:t>
      </w:r>
    </w:p>
    <w:p>
      <w:pPr>
        <w:spacing w:after="0" w:line="200" w:lineRule="exact"/>
        <w:rPr>
          <w:sz w:val="20"/>
          <w:szCs w:val="20"/>
          <w:color w:val="auto"/>
        </w:rPr>
      </w:pPr>
    </w:p>
    <w:p>
      <w:pPr>
        <w:spacing w:after="0" w:line="216" w:lineRule="exact"/>
        <w:rPr>
          <w:sz w:val="20"/>
          <w:szCs w:val="20"/>
          <w:color w:val="auto"/>
        </w:rPr>
      </w:pPr>
    </w:p>
    <w:p>
      <w:pPr>
        <w:jc w:val="center"/>
        <w:ind w:right="-39"/>
        <w:spacing w:after="0"/>
        <w:rPr>
          <w:sz w:val="20"/>
          <w:szCs w:val="20"/>
          <w:color w:val="auto"/>
        </w:rPr>
      </w:pPr>
      <w:r>
        <w:rPr>
          <w:rFonts w:ascii="Arial" w:cs="Arial" w:eastAsia="Arial" w:hAnsi="Arial"/>
          <w:sz w:val="20"/>
          <w:szCs w:val="20"/>
          <w:color w:val="auto"/>
        </w:rPr>
        <w:t>[SIGNATURES ON FOLLOWING PAGES]</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ind w:right="-39"/>
        <w:spacing w:after="0"/>
        <w:rPr>
          <w:sz w:val="20"/>
          <w:szCs w:val="20"/>
          <w:color w:val="auto"/>
        </w:rPr>
      </w:pPr>
      <w:r>
        <w:rPr>
          <w:rFonts w:ascii="Arial" w:cs="Arial" w:eastAsia="Arial" w:hAnsi="Arial"/>
          <w:sz w:val="20"/>
          <w:szCs w:val="20"/>
          <w:color w:val="auto"/>
        </w:rPr>
        <w:t>7</w:t>
      </w:r>
    </w:p>
    <w:p>
      <w:pPr>
        <w:sectPr>
          <w:pgSz w:w="11900" w:h="16838" w:orient="portrait"/>
          <w:cols w:equalWidth="0" w:num="1">
            <w:col w:w="11400"/>
          </w:cols>
          <w:pgMar w:left="240" w:top="366" w:right="259" w:bottom="1440" w:gutter="0" w:footer="0" w:header="0"/>
        </w:sectPr>
      </w:pPr>
    </w:p>
    <w:bookmarkStart w:id="41" w:name="page42"/>
    <w:bookmarkEnd w:id="41"/>
    <w:p>
      <w:pPr>
        <w:ind w:right="80" w:firstLine="648"/>
        <w:spacing w:after="0" w:line="260" w:lineRule="auto"/>
        <w:rPr>
          <w:sz w:val="20"/>
          <w:szCs w:val="20"/>
          <w:color w:val="auto"/>
        </w:rPr>
      </w:pPr>
      <w:r>
        <w:rPr>
          <w:rFonts w:ascii="Arial" w:cs="Arial" w:eastAsia="Arial" w:hAnsi="Arial"/>
          <w:sz w:val="20"/>
          <w:szCs w:val="20"/>
          <w:color w:val="auto"/>
        </w:rPr>
        <w:t>IN WITNESS WHEREOF, each of the parties hereto has caused a counterpart of this Amendment to be duly executed and delivered as of the date first above written.</w:t>
      </w:r>
    </w:p>
    <w:p>
      <w:pPr>
        <w:spacing w:after="0" w:line="200" w:lineRule="exact"/>
        <w:rPr>
          <w:sz w:val="20"/>
          <w:szCs w:val="20"/>
          <w:color w:val="auto"/>
        </w:rPr>
      </w:pPr>
    </w:p>
    <w:p>
      <w:pPr>
        <w:spacing w:after="0" w:line="201" w:lineRule="exact"/>
        <w:rPr>
          <w:sz w:val="20"/>
          <w:szCs w:val="20"/>
          <w:color w:val="auto"/>
        </w:rPr>
      </w:pPr>
    </w:p>
    <w:p>
      <w:pPr>
        <w:spacing w:after="0"/>
        <w:tabs>
          <w:tab w:leader="none" w:pos="3080" w:val="left"/>
        </w:tabs>
        <w:rPr>
          <w:sz w:val="20"/>
          <w:szCs w:val="20"/>
          <w:color w:val="auto"/>
        </w:rPr>
      </w:pPr>
      <w:r>
        <w:rPr>
          <w:rFonts w:ascii="Arial" w:cs="Arial" w:eastAsia="Arial" w:hAnsi="Arial"/>
          <w:sz w:val="20"/>
          <w:szCs w:val="20"/>
          <w:b w:val="1"/>
          <w:bCs w:val="1"/>
          <w:u w:val="single" w:color="auto"/>
          <w:color w:val="auto"/>
        </w:rPr>
        <w:t>DOMESTIC BORROWERS</w:t>
      </w:r>
      <w:r>
        <w:rPr>
          <w:rFonts w:ascii="Arial" w:cs="Arial" w:eastAsia="Arial" w:hAnsi="Arial"/>
          <w:sz w:val="20"/>
          <w:szCs w:val="20"/>
          <w:b w:val="1"/>
          <w:bCs w:val="1"/>
          <w:color w:val="auto"/>
        </w:rPr>
        <w:t>:</w:t>
      </w:r>
      <w:r>
        <w:rPr>
          <w:sz w:val="20"/>
          <w:szCs w:val="20"/>
          <w:color w:val="auto"/>
        </w:rPr>
        <w:tab/>
      </w:r>
      <w:r>
        <w:rPr>
          <w:rFonts w:ascii="Arial" w:cs="Arial" w:eastAsia="Arial" w:hAnsi="Arial"/>
          <w:sz w:val="20"/>
          <w:szCs w:val="20"/>
          <w:b w:val="1"/>
          <w:bCs w:val="1"/>
          <w:color w:val="auto"/>
        </w:rPr>
        <w:t>EURONET WORLDWIDE, INC.</w:t>
      </w:r>
    </w:p>
    <w:p>
      <w:pPr>
        <w:spacing w:after="0" w:line="200" w:lineRule="exact"/>
        <w:rPr>
          <w:sz w:val="20"/>
          <w:szCs w:val="20"/>
          <w:color w:val="auto"/>
        </w:rPr>
      </w:pPr>
    </w:p>
    <w:p>
      <w:pPr>
        <w:spacing w:after="0" w:line="251" w:lineRule="exact"/>
        <w:rPr>
          <w:sz w:val="20"/>
          <w:szCs w:val="20"/>
          <w:color w:val="auto"/>
        </w:rPr>
      </w:pPr>
    </w:p>
    <w:p>
      <w:pPr>
        <w:ind w:left="3900"/>
        <w:spacing w:after="0"/>
        <w:tabs>
          <w:tab w:leader="none" w:pos="4360" w:val="left"/>
        </w:tabs>
        <w:rPr>
          <w:sz w:val="20"/>
          <w:szCs w:val="20"/>
          <w:color w:val="auto"/>
        </w:rPr>
      </w:pPr>
      <w:r>
        <w:rPr>
          <w:rFonts w:ascii="Arial" w:cs="Arial" w:eastAsia="Arial" w:hAnsi="Arial"/>
          <w:sz w:val="20"/>
          <w:szCs w:val="20"/>
          <w:color w:val="auto"/>
        </w:rPr>
        <w:t>By:</w:t>
      </w:r>
      <w:r>
        <w:rPr>
          <w:sz w:val="20"/>
          <w:szCs w:val="20"/>
          <w:color w:val="auto"/>
        </w:rPr>
        <w:tab/>
      </w:r>
      <w:r>
        <w:rPr>
          <w:rFonts w:ascii="Arial" w:cs="Arial" w:eastAsia="Arial" w:hAnsi="Arial"/>
          <w:sz w:val="18"/>
          <w:szCs w:val="18"/>
          <w:color w:val="auto"/>
        </w:rPr>
        <w:t>/s/ Michael J. Brown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2656205</wp:posOffset>
            </wp:positionH>
            <wp:positionV relativeFrom="paragraph">
              <wp:posOffset>-14605</wp:posOffset>
            </wp:positionV>
            <wp:extent cx="155003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50035" cy="8890"/>
                    </a:xfrm>
                    <a:prstGeom prst="rect">
                      <a:avLst/>
                    </a:prstGeom>
                    <a:noFill/>
                  </pic:spPr>
                </pic:pic>
              </a:graphicData>
            </a:graphic>
          </wp:anchor>
        </w:drawing>
      </w:r>
    </w:p>
    <w:p>
      <w:pPr>
        <w:ind w:left="3900"/>
        <w:spacing w:after="0"/>
        <w:tabs>
          <w:tab w:leader="none" w:pos="4600" w:val="left"/>
        </w:tabs>
        <w:rPr>
          <w:sz w:val="20"/>
          <w:szCs w:val="20"/>
          <w:color w:val="auto"/>
        </w:rPr>
      </w:pPr>
      <w:r>
        <w:rPr>
          <w:rFonts w:ascii="Arial" w:cs="Arial" w:eastAsia="Arial" w:hAnsi="Arial"/>
          <w:sz w:val="20"/>
          <w:szCs w:val="20"/>
          <w:color w:val="auto"/>
        </w:rPr>
        <w:t>Name:</w:t>
      </w:r>
      <w:r>
        <w:rPr>
          <w:sz w:val="20"/>
          <w:szCs w:val="20"/>
          <w:color w:val="auto"/>
        </w:rPr>
        <w:tab/>
      </w:r>
      <w:r>
        <w:rPr>
          <w:rFonts w:ascii="Arial" w:cs="Arial" w:eastAsia="Arial" w:hAnsi="Arial"/>
          <w:sz w:val="18"/>
          <w:szCs w:val="18"/>
          <w:color w:val="auto"/>
        </w:rPr>
        <w:t>Michael J. Brown</w:t>
      </w:r>
    </w:p>
    <w:p>
      <w:pPr>
        <w:ind w:left="3900"/>
        <w:spacing w:after="0"/>
        <w:tabs>
          <w:tab w:leader="none" w:pos="4500" w:val="left"/>
        </w:tabs>
        <w:rPr>
          <w:sz w:val="20"/>
          <w:szCs w:val="20"/>
          <w:color w:val="auto"/>
        </w:rPr>
      </w:pPr>
      <w:r>
        <w:rPr>
          <w:rFonts w:ascii="Arial" w:cs="Arial" w:eastAsia="Arial" w:hAnsi="Arial"/>
          <w:sz w:val="20"/>
          <w:szCs w:val="20"/>
          <w:color w:val="auto"/>
        </w:rPr>
        <w:t>Title:</w:t>
      </w:r>
      <w:r>
        <w:rPr>
          <w:sz w:val="20"/>
          <w:szCs w:val="20"/>
          <w:color w:val="auto"/>
        </w:rPr>
        <w:tab/>
      </w:r>
      <w:r>
        <w:rPr>
          <w:rFonts w:ascii="Arial" w:cs="Arial" w:eastAsia="Arial" w:hAnsi="Arial"/>
          <w:sz w:val="18"/>
          <w:szCs w:val="18"/>
          <w:color w:val="auto"/>
        </w:rPr>
        <w:t>Chairman and Chief Executive Officer</w:t>
      </w:r>
    </w:p>
    <w:p>
      <w:pPr>
        <w:spacing w:after="0" w:line="207" w:lineRule="exact"/>
        <w:rPr>
          <w:sz w:val="20"/>
          <w:szCs w:val="20"/>
          <w:color w:val="auto"/>
        </w:rPr>
      </w:pPr>
    </w:p>
    <w:p>
      <w:pPr>
        <w:ind w:left="3900"/>
        <w:spacing w:after="0"/>
        <w:rPr>
          <w:sz w:val="20"/>
          <w:szCs w:val="20"/>
          <w:color w:val="auto"/>
        </w:rPr>
      </w:pPr>
      <w:r>
        <w:rPr>
          <w:rFonts w:ascii="Arial" w:cs="Arial" w:eastAsia="Arial" w:hAnsi="Arial"/>
          <w:sz w:val="20"/>
          <w:szCs w:val="20"/>
          <w:b w:val="1"/>
          <w:bCs w:val="1"/>
          <w:color w:val="auto"/>
        </w:rPr>
        <w:t>CONTINENTAL EXCHANGE SOLUTIONS, INC.</w:t>
      </w:r>
    </w:p>
    <w:p>
      <w:pPr>
        <w:spacing w:after="0" w:line="200" w:lineRule="exact"/>
        <w:rPr>
          <w:sz w:val="20"/>
          <w:szCs w:val="20"/>
          <w:color w:val="auto"/>
        </w:rPr>
      </w:pPr>
    </w:p>
    <w:p>
      <w:pPr>
        <w:spacing w:after="0" w:line="251" w:lineRule="exact"/>
        <w:rPr>
          <w:sz w:val="20"/>
          <w:szCs w:val="20"/>
          <w:color w:val="auto"/>
        </w:rPr>
      </w:pPr>
    </w:p>
    <w:p>
      <w:pPr>
        <w:ind w:left="3900"/>
        <w:spacing w:after="0"/>
        <w:tabs>
          <w:tab w:leader="none" w:pos="4360" w:val="left"/>
        </w:tabs>
        <w:rPr>
          <w:sz w:val="20"/>
          <w:szCs w:val="20"/>
          <w:color w:val="auto"/>
        </w:rPr>
      </w:pPr>
      <w:r>
        <w:rPr>
          <w:rFonts w:ascii="Arial" w:cs="Arial" w:eastAsia="Arial" w:hAnsi="Arial"/>
          <w:sz w:val="20"/>
          <w:szCs w:val="20"/>
          <w:color w:val="auto"/>
        </w:rPr>
        <w:t>By:</w:t>
      </w:r>
      <w:r>
        <w:rPr>
          <w:sz w:val="20"/>
          <w:szCs w:val="20"/>
          <w:color w:val="auto"/>
        </w:rPr>
        <w:tab/>
      </w:r>
      <w:r>
        <w:rPr>
          <w:rFonts w:ascii="Arial" w:cs="Arial" w:eastAsia="Arial" w:hAnsi="Arial"/>
          <w:sz w:val="16"/>
          <w:szCs w:val="16"/>
          <w:color w:val="auto"/>
        </w:rPr>
        <w:t>/s/ Juan Bianchi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2656205</wp:posOffset>
            </wp:positionH>
            <wp:positionV relativeFrom="paragraph">
              <wp:posOffset>-14605</wp:posOffset>
            </wp:positionV>
            <wp:extent cx="143129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431290" cy="8890"/>
                    </a:xfrm>
                    <a:prstGeom prst="rect">
                      <a:avLst/>
                    </a:prstGeom>
                    <a:noFill/>
                  </pic:spPr>
                </pic:pic>
              </a:graphicData>
            </a:graphic>
          </wp:anchor>
        </w:drawing>
      </w:r>
    </w:p>
    <w:p>
      <w:pPr>
        <w:ind w:left="3900"/>
        <w:spacing w:after="0"/>
        <w:tabs>
          <w:tab w:leader="none" w:pos="4600" w:val="left"/>
        </w:tabs>
        <w:rPr>
          <w:sz w:val="20"/>
          <w:szCs w:val="20"/>
          <w:color w:val="auto"/>
        </w:rPr>
      </w:pPr>
      <w:r>
        <w:rPr>
          <w:rFonts w:ascii="Arial" w:cs="Arial" w:eastAsia="Arial" w:hAnsi="Arial"/>
          <w:sz w:val="20"/>
          <w:szCs w:val="20"/>
          <w:color w:val="auto"/>
        </w:rPr>
        <w:t>Name:</w:t>
      </w:r>
      <w:r>
        <w:rPr>
          <w:sz w:val="20"/>
          <w:szCs w:val="20"/>
          <w:color w:val="auto"/>
        </w:rPr>
        <w:tab/>
      </w:r>
      <w:r>
        <w:rPr>
          <w:rFonts w:ascii="Arial" w:cs="Arial" w:eastAsia="Arial" w:hAnsi="Arial"/>
          <w:sz w:val="18"/>
          <w:szCs w:val="18"/>
          <w:color w:val="auto"/>
        </w:rPr>
        <w:t>Juan Bianchi</w:t>
      </w:r>
    </w:p>
    <w:p>
      <w:pPr>
        <w:ind w:left="3900"/>
        <w:spacing w:after="0"/>
        <w:tabs>
          <w:tab w:leader="none" w:pos="4500" w:val="left"/>
        </w:tabs>
        <w:rPr>
          <w:sz w:val="20"/>
          <w:szCs w:val="20"/>
          <w:color w:val="auto"/>
        </w:rPr>
      </w:pPr>
      <w:r>
        <w:rPr>
          <w:rFonts w:ascii="Arial" w:cs="Arial" w:eastAsia="Arial" w:hAnsi="Arial"/>
          <w:sz w:val="20"/>
          <w:szCs w:val="20"/>
          <w:color w:val="auto"/>
        </w:rPr>
        <w:t>Title:</w:t>
      </w:r>
      <w:r>
        <w:rPr>
          <w:sz w:val="20"/>
          <w:szCs w:val="20"/>
          <w:color w:val="auto"/>
        </w:rPr>
        <w:tab/>
      </w:r>
      <w:r>
        <w:rPr>
          <w:rFonts w:ascii="Arial" w:cs="Arial" w:eastAsia="Arial" w:hAnsi="Arial"/>
          <w:sz w:val="18"/>
          <w:szCs w:val="18"/>
          <w:color w:val="auto"/>
        </w:rPr>
        <w:t>President and Chief Executive Officer</w:t>
      </w:r>
    </w:p>
    <w:p>
      <w:pPr>
        <w:spacing w:after="0" w:line="207" w:lineRule="exact"/>
        <w:rPr>
          <w:sz w:val="20"/>
          <w:szCs w:val="20"/>
          <w:color w:val="auto"/>
        </w:rPr>
      </w:pPr>
    </w:p>
    <w:p>
      <w:pPr>
        <w:ind w:left="3900"/>
        <w:spacing w:after="0"/>
        <w:rPr>
          <w:sz w:val="20"/>
          <w:szCs w:val="20"/>
          <w:color w:val="auto"/>
        </w:rPr>
      </w:pPr>
      <w:r>
        <w:rPr>
          <w:rFonts w:ascii="Arial" w:cs="Arial" w:eastAsia="Arial" w:hAnsi="Arial"/>
          <w:sz w:val="20"/>
          <w:szCs w:val="20"/>
          <w:b w:val="1"/>
          <w:bCs w:val="1"/>
          <w:color w:val="auto"/>
        </w:rPr>
        <w:t>RIA ENVIA, INC.</w:t>
      </w:r>
    </w:p>
    <w:p>
      <w:pPr>
        <w:spacing w:after="0" w:line="200" w:lineRule="exact"/>
        <w:rPr>
          <w:sz w:val="20"/>
          <w:szCs w:val="20"/>
          <w:color w:val="auto"/>
        </w:rPr>
      </w:pPr>
    </w:p>
    <w:p>
      <w:pPr>
        <w:spacing w:after="0" w:line="251" w:lineRule="exact"/>
        <w:rPr>
          <w:sz w:val="20"/>
          <w:szCs w:val="20"/>
          <w:color w:val="auto"/>
        </w:rPr>
      </w:pPr>
    </w:p>
    <w:p>
      <w:pPr>
        <w:ind w:left="3900"/>
        <w:spacing w:after="0"/>
        <w:tabs>
          <w:tab w:leader="none" w:pos="4360" w:val="left"/>
        </w:tabs>
        <w:rPr>
          <w:sz w:val="20"/>
          <w:szCs w:val="20"/>
          <w:color w:val="auto"/>
        </w:rPr>
      </w:pPr>
      <w:r>
        <w:rPr>
          <w:rFonts w:ascii="Arial" w:cs="Arial" w:eastAsia="Arial" w:hAnsi="Arial"/>
          <w:sz w:val="20"/>
          <w:szCs w:val="20"/>
          <w:color w:val="auto"/>
        </w:rPr>
        <w:t>By:</w:t>
      </w:r>
      <w:r>
        <w:rPr>
          <w:sz w:val="20"/>
          <w:szCs w:val="20"/>
          <w:color w:val="auto"/>
        </w:rPr>
        <w:tab/>
      </w:r>
      <w:r>
        <w:rPr>
          <w:rFonts w:ascii="Arial" w:cs="Arial" w:eastAsia="Arial" w:hAnsi="Arial"/>
          <w:sz w:val="16"/>
          <w:szCs w:val="16"/>
          <w:color w:val="auto"/>
        </w:rPr>
        <w:t>/s/ Juan Bianchi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2656205</wp:posOffset>
            </wp:positionH>
            <wp:positionV relativeFrom="paragraph">
              <wp:posOffset>-14605</wp:posOffset>
            </wp:positionV>
            <wp:extent cx="143129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431290" cy="8890"/>
                    </a:xfrm>
                    <a:prstGeom prst="rect">
                      <a:avLst/>
                    </a:prstGeom>
                    <a:noFill/>
                  </pic:spPr>
                </pic:pic>
              </a:graphicData>
            </a:graphic>
          </wp:anchor>
        </w:drawing>
      </w:r>
    </w:p>
    <w:p>
      <w:pPr>
        <w:ind w:left="3900"/>
        <w:spacing w:after="0"/>
        <w:tabs>
          <w:tab w:leader="none" w:pos="4600" w:val="left"/>
        </w:tabs>
        <w:rPr>
          <w:sz w:val="20"/>
          <w:szCs w:val="20"/>
          <w:color w:val="auto"/>
        </w:rPr>
      </w:pPr>
      <w:r>
        <w:rPr>
          <w:rFonts w:ascii="Arial" w:cs="Arial" w:eastAsia="Arial" w:hAnsi="Arial"/>
          <w:sz w:val="20"/>
          <w:szCs w:val="20"/>
          <w:color w:val="auto"/>
        </w:rPr>
        <w:t>Name:</w:t>
      </w:r>
      <w:r>
        <w:rPr>
          <w:sz w:val="20"/>
          <w:szCs w:val="20"/>
          <w:color w:val="auto"/>
        </w:rPr>
        <w:tab/>
      </w:r>
      <w:r>
        <w:rPr>
          <w:rFonts w:ascii="Arial" w:cs="Arial" w:eastAsia="Arial" w:hAnsi="Arial"/>
          <w:sz w:val="18"/>
          <w:szCs w:val="18"/>
          <w:color w:val="auto"/>
        </w:rPr>
        <w:t>Juan Bianchi</w:t>
      </w:r>
    </w:p>
    <w:p>
      <w:pPr>
        <w:ind w:left="3900"/>
        <w:spacing w:after="0"/>
        <w:tabs>
          <w:tab w:leader="none" w:pos="4500" w:val="left"/>
        </w:tabs>
        <w:rPr>
          <w:sz w:val="20"/>
          <w:szCs w:val="20"/>
          <w:color w:val="auto"/>
        </w:rPr>
      </w:pPr>
      <w:r>
        <w:rPr>
          <w:rFonts w:ascii="Arial" w:cs="Arial" w:eastAsia="Arial" w:hAnsi="Arial"/>
          <w:sz w:val="20"/>
          <w:szCs w:val="20"/>
          <w:color w:val="auto"/>
        </w:rPr>
        <w:t>Title:</w:t>
      </w:r>
      <w:r>
        <w:rPr>
          <w:sz w:val="20"/>
          <w:szCs w:val="20"/>
          <w:color w:val="auto"/>
        </w:rPr>
        <w:tab/>
      </w:r>
      <w:r>
        <w:rPr>
          <w:rFonts w:ascii="Arial" w:cs="Arial" w:eastAsia="Arial" w:hAnsi="Arial"/>
          <w:sz w:val="18"/>
          <w:szCs w:val="18"/>
          <w:color w:val="auto"/>
        </w:rPr>
        <w:t>President and Chief Executive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right"/>
        <w:spacing w:after="0"/>
        <w:rPr>
          <w:sz w:val="20"/>
          <w:szCs w:val="20"/>
          <w:color w:val="auto"/>
        </w:rPr>
      </w:pPr>
      <w:r>
        <w:rPr>
          <w:rFonts w:ascii="Arial" w:cs="Arial" w:eastAsia="Arial" w:hAnsi="Arial"/>
          <w:sz w:val="16"/>
          <w:szCs w:val="16"/>
          <w:color w:val="auto"/>
        </w:rPr>
        <w:t>AMENDMENT NO. 1</w:t>
      </w:r>
    </w:p>
    <w:p>
      <w:pPr>
        <w:spacing w:after="0" w:line="19" w:lineRule="exact"/>
        <w:rPr>
          <w:sz w:val="20"/>
          <w:szCs w:val="20"/>
          <w:color w:val="auto"/>
        </w:rPr>
      </w:pPr>
    </w:p>
    <w:p>
      <w:pPr>
        <w:jc w:val="right"/>
        <w:spacing w:after="0"/>
        <w:rPr>
          <w:sz w:val="20"/>
          <w:szCs w:val="20"/>
          <w:color w:val="auto"/>
        </w:rPr>
      </w:pPr>
      <w:r>
        <w:rPr>
          <w:rFonts w:ascii="Arial" w:cs="Arial" w:eastAsia="Arial" w:hAnsi="Arial"/>
          <w:sz w:val="16"/>
          <w:szCs w:val="16"/>
          <w:color w:val="auto"/>
        </w:rPr>
        <w:t>EURONET WORLDWIDE, INC.</w:t>
      </w:r>
    </w:p>
    <w:p>
      <w:pPr>
        <w:sectPr>
          <w:pgSz w:w="11900" w:h="16838" w:orient="portrait"/>
          <w:cols w:equalWidth="0" w:num="1">
            <w:col w:w="11420"/>
          </w:cols>
          <w:pgMar w:left="240" w:top="582" w:right="239" w:bottom="1440" w:gutter="0" w:footer="0" w:header="0"/>
        </w:sectPr>
      </w:pPr>
    </w:p>
    <w:bookmarkStart w:id="42" w:name="page43"/>
    <w:bookmarkEnd w:id="42"/>
    <w:p>
      <w:pPr>
        <w:spacing w:after="0"/>
        <w:tabs>
          <w:tab w:leader="none" w:pos="2980" w:val="left"/>
        </w:tabs>
        <w:rPr>
          <w:sz w:val="20"/>
          <w:szCs w:val="20"/>
          <w:color w:val="auto"/>
        </w:rPr>
      </w:pPr>
      <w:r>
        <w:rPr>
          <w:rFonts w:ascii="Arial" w:cs="Arial" w:eastAsia="Arial" w:hAnsi="Arial"/>
          <w:sz w:val="20"/>
          <w:szCs w:val="20"/>
          <w:b w:val="1"/>
          <w:bCs w:val="1"/>
          <w:u w:val="single" w:color="auto"/>
          <w:color w:val="auto"/>
        </w:rPr>
        <w:t>DOMESTIC GUARANTORS</w:t>
      </w:r>
      <w:r>
        <w:rPr>
          <w:rFonts w:ascii="Arial" w:cs="Arial" w:eastAsia="Arial" w:hAnsi="Arial"/>
          <w:sz w:val="20"/>
          <w:szCs w:val="20"/>
          <w:b w:val="1"/>
          <w:bCs w:val="1"/>
          <w:color w:val="auto"/>
        </w:rPr>
        <w:t>:</w:t>
      </w:r>
      <w:r>
        <w:rPr>
          <w:sz w:val="20"/>
          <w:szCs w:val="20"/>
          <w:color w:val="auto"/>
        </w:rPr>
        <w:tab/>
      </w:r>
      <w:r>
        <w:rPr>
          <w:rFonts w:ascii="Arial" w:cs="Arial" w:eastAsia="Arial" w:hAnsi="Arial"/>
          <w:sz w:val="20"/>
          <w:szCs w:val="20"/>
          <w:b w:val="1"/>
          <w:bCs w:val="1"/>
          <w:color w:val="auto"/>
        </w:rPr>
        <w:t>EURONET WORLDWIDE, INC.</w:t>
      </w:r>
    </w:p>
    <w:p>
      <w:pPr>
        <w:spacing w:after="0" w:line="200" w:lineRule="exact"/>
        <w:rPr>
          <w:sz w:val="20"/>
          <w:szCs w:val="20"/>
          <w:color w:val="auto"/>
        </w:rPr>
      </w:pPr>
    </w:p>
    <w:p>
      <w:pPr>
        <w:spacing w:after="0" w:line="251" w:lineRule="exact"/>
        <w:rPr>
          <w:sz w:val="20"/>
          <w:szCs w:val="20"/>
          <w:color w:val="auto"/>
        </w:rPr>
      </w:pPr>
    </w:p>
    <w:p>
      <w:pPr>
        <w:ind w:left="3900"/>
        <w:spacing w:after="0"/>
        <w:tabs>
          <w:tab w:leader="none" w:pos="4360" w:val="left"/>
        </w:tabs>
        <w:rPr>
          <w:sz w:val="20"/>
          <w:szCs w:val="20"/>
          <w:color w:val="auto"/>
        </w:rPr>
      </w:pPr>
      <w:r>
        <w:rPr>
          <w:rFonts w:ascii="Arial" w:cs="Arial" w:eastAsia="Arial" w:hAnsi="Arial"/>
          <w:sz w:val="20"/>
          <w:szCs w:val="20"/>
          <w:color w:val="auto"/>
        </w:rPr>
        <w:t>By:</w:t>
      </w:r>
      <w:r>
        <w:rPr>
          <w:sz w:val="20"/>
          <w:szCs w:val="20"/>
          <w:color w:val="auto"/>
        </w:rPr>
        <w:tab/>
      </w:r>
      <w:r>
        <w:rPr>
          <w:rFonts w:ascii="Arial" w:cs="Arial" w:eastAsia="Arial" w:hAnsi="Arial"/>
          <w:sz w:val="18"/>
          <w:szCs w:val="18"/>
          <w:color w:val="auto"/>
        </w:rPr>
        <w:t>/s/ Michael J. Brown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2656205</wp:posOffset>
            </wp:positionH>
            <wp:positionV relativeFrom="paragraph">
              <wp:posOffset>-14605</wp:posOffset>
            </wp:positionV>
            <wp:extent cx="155003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550035" cy="8890"/>
                    </a:xfrm>
                    <a:prstGeom prst="rect">
                      <a:avLst/>
                    </a:prstGeom>
                    <a:noFill/>
                  </pic:spPr>
                </pic:pic>
              </a:graphicData>
            </a:graphic>
          </wp:anchor>
        </w:drawing>
      </w:r>
    </w:p>
    <w:p>
      <w:pPr>
        <w:ind w:left="3900"/>
        <w:spacing w:after="0"/>
        <w:tabs>
          <w:tab w:leader="none" w:pos="4600" w:val="left"/>
        </w:tabs>
        <w:rPr>
          <w:sz w:val="20"/>
          <w:szCs w:val="20"/>
          <w:color w:val="auto"/>
        </w:rPr>
      </w:pPr>
      <w:r>
        <w:rPr>
          <w:rFonts w:ascii="Arial" w:cs="Arial" w:eastAsia="Arial" w:hAnsi="Arial"/>
          <w:sz w:val="20"/>
          <w:szCs w:val="20"/>
          <w:color w:val="auto"/>
        </w:rPr>
        <w:t>Name:</w:t>
      </w:r>
      <w:r>
        <w:rPr>
          <w:sz w:val="20"/>
          <w:szCs w:val="20"/>
          <w:color w:val="auto"/>
        </w:rPr>
        <w:tab/>
      </w:r>
      <w:r>
        <w:rPr>
          <w:rFonts w:ascii="Arial" w:cs="Arial" w:eastAsia="Arial" w:hAnsi="Arial"/>
          <w:sz w:val="18"/>
          <w:szCs w:val="18"/>
          <w:color w:val="auto"/>
        </w:rPr>
        <w:t>Michael J. Brown</w:t>
      </w:r>
    </w:p>
    <w:p>
      <w:pPr>
        <w:ind w:left="3900"/>
        <w:spacing w:after="0"/>
        <w:tabs>
          <w:tab w:leader="none" w:pos="4500" w:val="left"/>
        </w:tabs>
        <w:rPr>
          <w:sz w:val="20"/>
          <w:szCs w:val="20"/>
          <w:color w:val="auto"/>
        </w:rPr>
      </w:pPr>
      <w:r>
        <w:rPr>
          <w:rFonts w:ascii="Arial" w:cs="Arial" w:eastAsia="Arial" w:hAnsi="Arial"/>
          <w:sz w:val="20"/>
          <w:szCs w:val="20"/>
          <w:color w:val="auto"/>
        </w:rPr>
        <w:t>Title:</w:t>
      </w:r>
      <w:r>
        <w:rPr>
          <w:sz w:val="20"/>
          <w:szCs w:val="20"/>
          <w:color w:val="auto"/>
        </w:rPr>
        <w:tab/>
      </w:r>
      <w:r>
        <w:rPr>
          <w:rFonts w:ascii="Arial" w:cs="Arial" w:eastAsia="Arial" w:hAnsi="Arial"/>
          <w:sz w:val="18"/>
          <w:szCs w:val="18"/>
          <w:color w:val="auto"/>
        </w:rPr>
        <w:t>Chairman and Chief Executive Officer</w:t>
      </w:r>
    </w:p>
    <w:p>
      <w:pPr>
        <w:spacing w:after="0" w:line="207" w:lineRule="exact"/>
        <w:rPr>
          <w:sz w:val="20"/>
          <w:szCs w:val="20"/>
          <w:color w:val="auto"/>
        </w:rPr>
      </w:pPr>
    </w:p>
    <w:p>
      <w:pPr>
        <w:ind w:left="3900"/>
        <w:spacing w:after="0"/>
        <w:rPr>
          <w:sz w:val="20"/>
          <w:szCs w:val="20"/>
          <w:color w:val="auto"/>
        </w:rPr>
      </w:pPr>
      <w:r>
        <w:rPr>
          <w:rFonts w:ascii="Arial" w:cs="Arial" w:eastAsia="Arial" w:hAnsi="Arial"/>
          <w:sz w:val="20"/>
          <w:szCs w:val="20"/>
          <w:b w:val="1"/>
          <w:bCs w:val="1"/>
          <w:color w:val="auto"/>
        </w:rPr>
        <w:t>CONTINENTAL EXCHANGE SOLUTIONS, INC.</w:t>
      </w:r>
    </w:p>
    <w:p>
      <w:pPr>
        <w:spacing w:after="0" w:line="200" w:lineRule="exact"/>
        <w:rPr>
          <w:sz w:val="20"/>
          <w:szCs w:val="20"/>
          <w:color w:val="auto"/>
        </w:rPr>
      </w:pPr>
    </w:p>
    <w:p>
      <w:pPr>
        <w:spacing w:after="0" w:line="251" w:lineRule="exact"/>
        <w:rPr>
          <w:sz w:val="20"/>
          <w:szCs w:val="20"/>
          <w:color w:val="auto"/>
        </w:rPr>
      </w:pPr>
    </w:p>
    <w:p>
      <w:pPr>
        <w:ind w:left="3900"/>
        <w:spacing w:after="0"/>
        <w:tabs>
          <w:tab w:leader="none" w:pos="4360" w:val="left"/>
        </w:tabs>
        <w:rPr>
          <w:sz w:val="20"/>
          <w:szCs w:val="20"/>
          <w:color w:val="auto"/>
        </w:rPr>
      </w:pPr>
      <w:r>
        <w:rPr>
          <w:rFonts w:ascii="Arial" w:cs="Arial" w:eastAsia="Arial" w:hAnsi="Arial"/>
          <w:sz w:val="20"/>
          <w:szCs w:val="20"/>
          <w:color w:val="auto"/>
        </w:rPr>
        <w:t>By:</w:t>
      </w:r>
      <w:r>
        <w:rPr>
          <w:sz w:val="20"/>
          <w:szCs w:val="20"/>
          <w:color w:val="auto"/>
        </w:rPr>
        <w:tab/>
      </w:r>
      <w:r>
        <w:rPr>
          <w:rFonts w:ascii="Arial" w:cs="Arial" w:eastAsia="Arial" w:hAnsi="Arial"/>
          <w:sz w:val="16"/>
          <w:szCs w:val="16"/>
          <w:color w:val="auto"/>
        </w:rPr>
        <w:t>/s/ Juan Bianchi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2656205</wp:posOffset>
            </wp:positionH>
            <wp:positionV relativeFrom="paragraph">
              <wp:posOffset>-14605</wp:posOffset>
            </wp:positionV>
            <wp:extent cx="143129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431290" cy="8890"/>
                    </a:xfrm>
                    <a:prstGeom prst="rect">
                      <a:avLst/>
                    </a:prstGeom>
                    <a:noFill/>
                  </pic:spPr>
                </pic:pic>
              </a:graphicData>
            </a:graphic>
          </wp:anchor>
        </w:drawing>
      </w:r>
    </w:p>
    <w:p>
      <w:pPr>
        <w:ind w:left="3900"/>
        <w:spacing w:after="0"/>
        <w:tabs>
          <w:tab w:leader="none" w:pos="4600" w:val="left"/>
        </w:tabs>
        <w:rPr>
          <w:sz w:val="20"/>
          <w:szCs w:val="20"/>
          <w:color w:val="auto"/>
        </w:rPr>
      </w:pPr>
      <w:r>
        <w:rPr>
          <w:rFonts w:ascii="Arial" w:cs="Arial" w:eastAsia="Arial" w:hAnsi="Arial"/>
          <w:sz w:val="20"/>
          <w:szCs w:val="20"/>
          <w:color w:val="auto"/>
        </w:rPr>
        <w:t>Name:</w:t>
      </w:r>
      <w:r>
        <w:rPr>
          <w:sz w:val="20"/>
          <w:szCs w:val="20"/>
          <w:color w:val="auto"/>
        </w:rPr>
        <w:tab/>
      </w:r>
      <w:r>
        <w:rPr>
          <w:rFonts w:ascii="Arial" w:cs="Arial" w:eastAsia="Arial" w:hAnsi="Arial"/>
          <w:sz w:val="18"/>
          <w:szCs w:val="18"/>
          <w:color w:val="auto"/>
        </w:rPr>
        <w:t>Juan Bianchi</w:t>
      </w:r>
    </w:p>
    <w:p>
      <w:pPr>
        <w:ind w:left="3900"/>
        <w:spacing w:after="0"/>
        <w:tabs>
          <w:tab w:leader="none" w:pos="4500" w:val="left"/>
        </w:tabs>
        <w:rPr>
          <w:sz w:val="20"/>
          <w:szCs w:val="20"/>
          <w:color w:val="auto"/>
        </w:rPr>
      </w:pPr>
      <w:r>
        <w:rPr>
          <w:rFonts w:ascii="Arial" w:cs="Arial" w:eastAsia="Arial" w:hAnsi="Arial"/>
          <w:sz w:val="20"/>
          <w:szCs w:val="20"/>
          <w:color w:val="auto"/>
        </w:rPr>
        <w:t>Title:</w:t>
      </w:r>
      <w:r>
        <w:rPr>
          <w:sz w:val="20"/>
          <w:szCs w:val="20"/>
          <w:color w:val="auto"/>
        </w:rPr>
        <w:tab/>
      </w:r>
      <w:r>
        <w:rPr>
          <w:rFonts w:ascii="Arial" w:cs="Arial" w:eastAsia="Arial" w:hAnsi="Arial"/>
          <w:sz w:val="18"/>
          <w:szCs w:val="18"/>
          <w:color w:val="auto"/>
        </w:rPr>
        <w:t>President and Chief Executive Officer</w:t>
      </w:r>
    </w:p>
    <w:p>
      <w:pPr>
        <w:spacing w:after="0" w:line="207" w:lineRule="exact"/>
        <w:rPr>
          <w:sz w:val="20"/>
          <w:szCs w:val="20"/>
          <w:color w:val="auto"/>
        </w:rPr>
      </w:pPr>
    </w:p>
    <w:p>
      <w:pPr>
        <w:ind w:left="3900"/>
        <w:spacing w:after="0"/>
        <w:rPr>
          <w:sz w:val="20"/>
          <w:szCs w:val="20"/>
          <w:color w:val="auto"/>
        </w:rPr>
      </w:pPr>
      <w:r>
        <w:rPr>
          <w:rFonts w:ascii="Arial" w:cs="Arial" w:eastAsia="Arial" w:hAnsi="Arial"/>
          <w:sz w:val="20"/>
          <w:szCs w:val="20"/>
          <w:b w:val="1"/>
          <w:bCs w:val="1"/>
          <w:color w:val="auto"/>
        </w:rPr>
        <w:t>PAYSPOT, INC.</w:t>
      </w:r>
    </w:p>
    <w:p>
      <w:pPr>
        <w:spacing w:after="0" w:line="200" w:lineRule="exact"/>
        <w:rPr>
          <w:sz w:val="20"/>
          <w:szCs w:val="20"/>
          <w:color w:val="auto"/>
        </w:rPr>
      </w:pPr>
    </w:p>
    <w:p>
      <w:pPr>
        <w:spacing w:after="0" w:line="251" w:lineRule="exact"/>
        <w:rPr>
          <w:sz w:val="20"/>
          <w:szCs w:val="20"/>
          <w:color w:val="auto"/>
        </w:rPr>
      </w:pPr>
    </w:p>
    <w:p>
      <w:pPr>
        <w:ind w:left="3900"/>
        <w:spacing w:after="0"/>
        <w:tabs>
          <w:tab w:leader="none" w:pos="4360" w:val="left"/>
        </w:tabs>
        <w:rPr>
          <w:sz w:val="20"/>
          <w:szCs w:val="20"/>
          <w:color w:val="auto"/>
        </w:rPr>
      </w:pPr>
      <w:r>
        <w:rPr>
          <w:rFonts w:ascii="Arial" w:cs="Arial" w:eastAsia="Arial" w:hAnsi="Arial"/>
          <w:sz w:val="20"/>
          <w:szCs w:val="20"/>
          <w:color w:val="auto"/>
        </w:rPr>
        <w:t>By:</w:t>
      </w:r>
      <w:r>
        <w:rPr>
          <w:sz w:val="20"/>
          <w:szCs w:val="20"/>
          <w:color w:val="auto"/>
        </w:rPr>
        <w:tab/>
      </w:r>
      <w:r>
        <w:rPr>
          <w:rFonts w:ascii="Arial" w:cs="Arial" w:eastAsia="Arial" w:hAnsi="Arial"/>
          <w:sz w:val="18"/>
          <w:szCs w:val="18"/>
          <w:color w:val="auto"/>
        </w:rPr>
        <w:t>/s/ Eric T. Mettemeyer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2656205</wp:posOffset>
            </wp:positionH>
            <wp:positionV relativeFrom="paragraph">
              <wp:posOffset>-14605</wp:posOffset>
            </wp:positionV>
            <wp:extent cx="163131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631315" cy="8890"/>
                    </a:xfrm>
                    <a:prstGeom prst="rect">
                      <a:avLst/>
                    </a:prstGeom>
                    <a:noFill/>
                  </pic:spPr>
                </pic:pic>
              </a:graphicData>
            </a:graphic>
          </wp:anchor>
        </w:drawing>
      </w:r>
    </w:p>
    <w:p>
      <w:pPr>
        <w:ind w:left="3900"/>
        <w:spacing w:after="0"/>
        <w:tabs>
          <w:tab w:leader="none" w:pos="4600" w:val="left"/>
        </w:tabs>
        <w:rPr>
          <w:sz w:val="20"/>
          <w:szCs w:val="20"/>
          <w:color w:val="auto"/>
        </w:rPr>
      </w:pPr>
      <w:r>
        <w:rPr>
          <w:rFonts w:ascii="Arial" w:cs="Arial" w:eastAsia="Arial" w:hAnsi="Arial"/>
          <w:sz w:val="20"/>
          <w:szCs w:val="20"/>
          <w:color w:val="auto"/>
        </w:rPr>
        <w:t>Name:</w:t>
      </w:r>
      <w:r>
        <w:rPr>
          <w:sz w:val="20"/>
          <w:szCs w:val="20"/>
          <w:color w:val="auto"/>
        </w:rPr>
        <w:tab/>
      </w:r>
      <w:r>
        <w:rPr>
          <w:rFonts w:ascii="Arial" w:cs="Arial" w:eastAsia="Arial" w:hAnsi="Arial"/>
          <w:sz w:val="18"/>
          <w:szCs w:val="18"/>
          <w:color w:val="auto"/>
        </w:rPr>
        <w:t>Eric T. Mettemeyer</w:t>
      </w:r>
    </w:p>
    <w:p>
      <w:pPr>
        <w:ind w:left="3900"/>
        <w:spacing w:after="0"/>
        <w:tabs>
          <w:tab w:leader="none" w:pos="4500" w:val="left"/>
        </w:tabs>
        <w:rPr>
          <w:sz w:val="20"/>
          <w:szCs w:val="20"/>
          <w:color w:val="auto"/>
        </w:rPr>
      </w:pPr>
      <w:r>
        <w:rPr>
          <w:rFonts w:ascii="Arial" w:cs="Arial" w:eastAsia="Arial" w:hAnsi="Arial"/>
          <w:sz w:val="20"/>
          <w:szCs w:val="20"/>
          <w:color w:val="auto"/>
        </w:rPr>
        <w:t>Title:</w:t>
      </w:r>
      <w:r>
        <w:rPr>
          <w:sz w:val="20"/>
          <w:szCs w:val="20"/>
          <w:color w:val="auto"/>
        </w:rPr>
        <w:tab/>
      </w:r>
      <w:r>
        <w:rPr>
          <w:rFonts w:ascii="Arial" w:cs="Arial" w:eastAsia="Arial" w:hAnsi="Arial"/>
          <w:sz w:val="16"/>
          <w:szCs w:val="16"/>
          <w:color w:val="auto"/>
        </w:rPr>
        <w:t>President</w:t>
      </w:r>
    </w:p>
    <w:p>
      <w:pPr>
        <w:spacing w:after="0" w:line="200" w:lineRule="exact"/>
        <w:rPr>
          <w:sz w:val="20"/>
          <w:szCs w:val="20"/>
          <w:color w:val="auto"/>
        </w:rPr>
      </w:pPr>
    </w:p>
    <w:p>
      <w:pPr>
        <w:spacing w:after="0" w:line="237" w:lineRule="exact"/>
        <w:rPr>
          <w:sz w:val="20"/>
          <w:szCs w:val="20"/>
          <w:color w:val="auto"/>
        </w:rPr>
      </w:pPr>
    </w:p>
    <w:p>
      <w:pPr>
        <w:ind w:left="3900"/>
        <w:spacing w:after="0"/>
        <w:rPr>
          <w:sz w:val="20"/>
          <w:szCs w:val="20"/>
          <w:color w:val="auto"/>
        </w:rPr>
      </w:pPr>
      <w:r>
        <w:rPr>
          <w:rFonts w:ascii="Arial" w:cs="Arial" w:eastAsia="Arial" w:hAnsi="Arial"/>
          <w:sz w:val="20"/>
          <w:szCs w:val="20"/>
          <w:b w:val="1"/>
          <w:bCs w:val="1"/>
          <w:color w:val="auto"/>
        </w:rPr>
        <w:t>RIA ENVIA, INC.</w:t>
      </w:r>
    </w:p>
    <w:p>
      <w:pPr>
        <w:spacing w:after="0" w:line="200" w:lineRule="exact"/>
        <w:rPr>
          <w:sz w:val="20"/>
          <w:szCs w:val="20"/>
          <w:color w:val="auto"/>
        </w:rPr>
      </w:pPr>
    </w:p>
    <w:p>
      <w:pPr>
        <w:spacing w:after="0" w:line="251" w:lineRule="exact"/>
        <w:rPr>
          <w:sz w:val="20"/>
          <w:szCs w:val="20"/>
          <w:color w:val="auto"/>
        </w:rPr>
      </w:pPr>
    </w:p>
    <w:p>
      <w:pPr>
        <w:ind w:left="3900"/>
        <w:spacing w:after="0"/>
        <w:tabs>
          <w:tab w:leader="none" w:pos="4360" w:val="left"/>
        </w:tabs>
        <w:rPr>
          <w:sz w:val="20"/>
          <w:szCs w:val="20"/>
          <w:color w:val="auto"/>
        </w:rPr>
      </w:pPr>
      <w:r>
        <w:rPr>
          <w:rFonts w:ascii="Arial" w:cs="Arial" w:eastAsia="Arial" w:hAnsi="Arial"/>
          <w:sz w:val="20"/>
          <w:szCs w:val="20"/>
          <w:color w:val="auto"/>
        </w:rPr>
        <w:t>By:</w:t>
      </w:r>
      <w:r>
        <w:rPr>
          <w:sz w:val="20"/>
          <w:szCs w:val="20"/>
          <w:color w:val="auto"/>
        </w:rPr>
        <w:tab/>
      </w:r>
      <w:r>
        <w:rPr>
          <w:rFonts w:ascii="Arial" w:cs="Arial" w:eastAsia="Arial" w:hAnsi="Arial"/>
          <w:sz w:val="16"/>
          <w:szCs w:val="16"/>
          <w:color w:val="auto"/>
        </w:rPr>
        <w:t>/s/ Juan Bianchi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2656205</wp:posOffset>
            </wp:positionH>
            <wp:positionV relativeFrom="paragraph">
              <wp:posOffset>-14605</wp:posOffset>
            </wp:positionV>
            <wp:extent cx="143129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431290" cy="8890"/>
                    </a:xfrm>
                    <a:prstGeom prst="rect">
                      <a:avLst/>
                    </a:prstGeom>
                    <a:noFill/>
                  </pic:spPr>
                </pic:pic>
              </a:graphicData>
            </a:graphic>
          </wp:anchor>
        </w:drawing>
      </w:r>
    </w:p>
    <w:p>
      <w:pPr>
        <w:ind w:left="3900"/>
        <w:spacing w:after="0"/>
        <w:tabs>
          <w:tab w:leader="none" w:pos="4600" w:val="left"/>
        </w:tabs>
        <w:rPr>
          <w:sz w:val="20"/>
          <w:szCs w:val="20"/>
          <w:color w:val="auto"/>
        </w:rPr>
      </w:pPr>
      <w:r>
        <w:rPr>
          <w:rFonts w:ascii="Arial" w:cs="Arial" w:eastAsia="Arial" w:hAnsi="Arial"/>
          <w:sz w:val="20"/>
          <w:szCs w:val="20"/>
          <w:color w:val="auto"/>
        </w:rPr>
        <w:t>Name:</w:t>
      </w:r>
      <w:r>
        <w:rPr>
          <w:sz w:val="20"/>
          <w:szCs w:val="20"/>
          <w:color w:val="auto"/>
        </w:rPr>
        <w:tab/>
      </w:r>
      <w:r>
        <w:rPr>
          <w:rFonts w:ascii="Arial" w:cs="Arial" w:eastAsia="Arial" w:hAnsi="Arial"/>
          <w:sz w:val="18"/>
          <w:szCs w:val="18"/>
          <w:color w:val="auto"/>
        </w:rPr>
        <w:t>Juan Bianchi</w:t>
      </w:r>
    </w:p>
    <w:p>
      <w:pPr>
        <w:ind w:left="3900"/>
        <w:spacing w:after="0"/>
        <w:tabs>
          <w:tab w:leader="none" w:pos="4500" w:val="left"/>
        </w:tabs>
        <w:rPr>
          <w:sz w:val="20"/>
          <w:szCs w:val="20"/>
          <w:color w:val="auto"/>
        </w:rPr>
      </w:pPr>
      <w:r>
        <w:rPr>
          <w:rFonts w:ascii="Arial" w:cs="Arial" w:eastAsia="Arial" w:hAnsi="Arial"/>
          <w:sz w:val="20"/>
          <w:szCs w:val="20"/>
          <w:color w:val="auto"/>
        </w:rPr>
        <w:t>Title:</w:t>
      </w:r>
      <w:r>
        <w:rPr>
          <w:sz w:val="20"/>
          <w:szCs w:val="20"/>
          <w:color w:val="auto"/>
        </w:rPr>
        <w:tab/>
      </w:r>
      <w:r>
        <w:rPr>
          <w:rFonts w:ascii="Arial" w:cs="Arial" w:eastAsia="Arial" w:hAnsi="Arial"/>
          <w:sz w:val="18"/>
          <w:szCs w:val="18"/>
          <w:color w:val="auto"/>
        </w:rPr>
        <w:t>President and Chief Executive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right"/>
        <w:spacing w:after="0"/>
        <w:rPr>
          <w:sz w:val="20"/>
          <w:szCs w:val="20"/>
          <w:color w:val="auto"/>
        </w:rPr>
      </w:pPr>
      <w:r>
        <w:rPr>
          <w:rFonts w:ascii="Arial" w:cs="Arial" w:eastAsia="Arial" w:hAnsi="Arial"/>
          <w:sz w:val="16"/>
          <w:szCs w:val="16"/>
          <w:color w:val="auto"/>
        </w:rPr>
        <w:t>AMENDMENT NO. 1</w:t>
      </w:r>
    </w:p>
    <w:p>
      <w:pPr>
        <w:spacing w:after="0" w:line="19" w:lineRule="exact"/>
        <w:rPr>
          <w:sz w:val="20"/>
          <w:szCs w:val="20"/>
          <w:color w:val="auto"/>
        </w:rPr>
      </w:pPr>
    </w:p>
    <w:p>
      <w:pPr>
        <w:jc w:val="right"/>
        <w:spacing w:after="0"/>
        <w:rPr>
          <w:sz w:val="20"/>
          <w:szCs w:val="20"/>
          <w:color w:val="auto"/>
        </w:rPr>
      </w:pPr>
      <w:r>
        <w:rPr>
          <w:rFonts w:ascii="Arial" w:cs="Arial" w:eastAsia="Arial" w:hAnsi="Arial"/>
          <w:sz w:val="16"/>
          <w:szCs w:val="16"/>
          <w:color w:val="auto"/>
        </w:rPr>
        <w:t>EURONET WORLDWIDE, INC.</w:t>
      </w:r>
    </w:p>
    <w:p>
      <w:pPr>
        <w:sectPr>
          <w:pgSz w:w="11900" w:h="16838" w:orient="portrait"/>
          <w:cols w:equalWidth="0" w:num="1">
            <w:col w:w="11420"/>
          </w:cols>
          <w:pgMar w:left="240" w:top="576" w:right="239" w:bottom="1440" w:gutter="0" w:footer="0" w:header="0"/>
        </w:sectPr>
      </w:pPr>
    </w:p>
    <w:bookmarkStart w:id="43" w:name="page44"/>
    <w:bookmarkEnd w:id="43"/>
    <w:p>
      <w:pPr>
        <w:spacing w:after="0"/>
        <w:tabs>
          <w:tab w:leader="none" w:pos="2920" w:val="left"/>
        </w:tabs>
        <w:rPr>
          <w:sz w:val="20"/>
          <w:szCs w:val="20"/>
          <w:color w:val="auto"/>
        </w:rPr>
      </w:pPr>
      <w:r>
        <w:rPr>
          <w:rFonts w:ascii="Arial" w:cs="Arial" w:eastAsia="Arial" w:hAnsi="Arial"/>
          <w:sz w:val="20"/>
          <w:szCs w:val="20"/>
          <w:b w:val="1"/>
          <w:bCs w:val="1"/>
          <w:u w:val="single" w:color="auto"/>
          <w:color w:val="auto"/>
        </w:rPr>
        <w:t>FOREIGN BORROWERS</w:t>
      </w:r>
      <w:r>
        <w:rPr>
          <w:rFonts w:ascii="Arial" w:cs="Arial" w:eastAsia="Arial" w:hAnsi="Arial"/>
          <w:sz w:val="20"/>
          <w:szCs w:val="20"/>
          <w:b w:val="1"/>
          <w:bCs w:val="1"/>
          <w:color w:val="auto"/>
        </w:rPr>
        <w:t>:</w:t>
      </w:r>
      <w:r>
        <w:rPr>
          <w:sz w:val="20"/>
          <w:szCs w:val="20"/>
          <w:color w:val="auto"/>
        </w:rPr>
        <w:tab/>
      </w:r>
      <w:r>
        <w:rPr>
          <w:rFonts w:ascii="Arial" w:cs="Arial" w:eastAsia="Arial" w:hAnsi="Arial"/>
          <w:sz w:val="19"/>
          <w:szCs w:val="19"/>
          <w:b w:val="1"/>
          <w:bCs w:val="1"/>
          <w:color w:val="auto"/>
        </w:rPr>
        <w:t>EFT SERVICES HOLDING B.V.</w:t>
      </w:r>
    </w:p>
    <w:p>
      <w:pPr>
        <w:spacing w:after="0" w:line="200" w:lineRule="exact"/>
        <w:rPr>
          <w:sz w:val="20"/>
          <w:szCs w:val="20"/>
          <w:color w:val="auto"/>
        </w:rPr>
      </w:pPr>
    </w:p>
    <w:p>
      <w:pPr>
        <w:spacing w:after="0" w:line="265" w:lineRule="exact"/>
        <w:rPr>
          <w:sz w:val="20"/>
          <w:szCs w:val="20"/>
          <w:color w:val="auto"/>
        </w:rPr>
      </w:pPr>
    </w:p>
    <w:p>
      <w:pPr>
        <w:ind w:left="3900"/>
        <w:spacing w:after="0"/>
        <w:tabs>
          <w:tab w:leader="none" w:pos="4360" w:val="left"/>
        </w:tabs>
        <w:rPr>
          <w:sz w:val="20"/>
          <w:szCs w:val="20"/>
          <w:color w:val="auto"/>
        </w:rPr>
      </w:pPr>
      <w:r>
        <w:rPr>
          <w:rFonts w:ascii="Arial" w:cs="Arial" w:eastAsia="Arial" w:hAnsi="Arial"/>
          <w:sz w:val="20"/>
          <w:szCs w:val="20"/>
          <w:color w:val="auto"/>
        </w:rPr>
        <w:t>By:</w:t>
      </w:r>
      <w:r>
        <w:rPr>
          <w:sz w:val="20"/>
          <w:szCs w:val="20"/>
          <w:color w:val="auto"/>
        </w:rPr>
        <w:tab/>
      </w:r>
      <w:r>
        <w:rPr>
          <w:rFonts w:ascii="Arial" w:cs="Arial" w:eastAsia="Arial" w:hAnsi="Arial"/>
          <w:sz w:val="16"/>
          <w:szCs w:val="16"/>
          <w:color w:val="auto"/>
        </w:rPr>
        <w:t>/s/ Andre Van Daatselaar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2656205</wp:posOffset>
            </wp:positionH>
            <wp:positionV relativeFrom="paragraph">
              <wp:posOffset>-14605</wp:posOffset>
            </wp:positionV>
            <wp:extent cx="1630045"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630045" cy="8890"/>
                    </a:xfrm>
                    <a:prstGeom prst="rect">
                      <a:avLst/>
                    </a:prstGeom>
                    <a:noFill/>
                  </pic:spPr>
                </pic:pic>
              </a:graphicData>
            </a:graphic>
          </wp:anchor>
        </w:drawing>
      </w:r>
    </w:p>
    <w:p>
      <w:pPr>
        <w:ind w:left="3900"/>
        <w:spacing w:after="0"/>
        <w:tabs>
          <w:tab w:leader="none" w:pos="4640" w:val="left"/>
        </w:tabs>
        <w:rPr>
          <w:sz w:val="20"/>
          <w:szCs w:val="20"/>
          <w:color w:val="auto"/>
        </w:rPr>
      </w:pPr>
      <w:r>
        <w:rPr>
          <w:rFonts w:ascii="Arial" w:cs="Arial" w:eastAsia="Arial" w:hAnsi="Arial"/>
          <w:sz w:val="20"/>
          <w:szCs w:val="20"/>
          <w:color w:val="auto"/>
        </w:rPr>
        <w:t>Name:</w:t>
        <w:tab/>
        <w:t>Andre Van Daatselaar</w:t>
      </w:r>
    </w:p>
    <w:p>
      <w:pPr>
        <w:ind w:left="3900"/>
        <w:spacing w:after="0"/>
        <w:tabs>
          <w:tab w:leader="none" w:pos="4540" w:val="left"/>
        </w:tabs>
        <w:rPr>
          <w:sz w:val="20"/>
          <w:szCs w:val="20"/>
          <w:color w:val="auto"/>
        </w:rPr>
      </w:pPr>
      <w:r>
        <w:rPr>
          <w:rFonts w:ascii="Arial" w:cs="Arial" w:eastAsia="Arial" w:hAnsi="Arial"/>
          <w:sz w:val="20"/>
          <w:szCs w:val="20"/>
          <w:color w:val="auto"/>
        </w:rPr>
        <w:t>Title:</w:t>
        <w:tab/>
        <w:t>Director A</w:t>
      </w:r>
    </w:p>
    <w:p>
      <w:pPr>
        <w:spacing w:after="0" w:line="213" w:lineRule="exact"/>
        <w:rPr>
          <w:sz w:val="20"/>
          <w:szCs w:val="20"/>
          <w:color w:val="auto"/>
        </w:rPr>
      </w:pPr>
    </w:p>
    <w:p>
      <w:pPr>
        <w:ind w:left="3900"/>
        <w:spacing w:after="0"/>
        <w:tabs>
          <w:tab w:leader="none" w:pos="4360" w:val="left"/>
        </w:tabs>
        <w:rPr>
          <w:sz w:val="20"/>
          <w:szCs w:val="20"/>
          <w:color w:val="auto"/>
        </w:rPr>
      </w:pPr>
      <w:r>
        <w:rPr>
          <w:rFonts w:ascii="Arial" w:cs="Arial" w:eastAsia="Arial" w:hAnsi="Arial"/>
          <w:sz w:val="20"/>
          <w:szCs w:val="20"/>
          <w:color w:val="auto"/>
        </w:rPr>
        <w:t>By:</w:t>
      </w:r>
      <w:r>
        <w:rPr>
          <w:sz w:val="20"/>
          <w:szCs w:val="20"/>
          <w:color w:val="auto"/>
        </w:rPr>
        <w:tab/>
      </w:r>
      <w:r>
        <w:rPr>
          <w:rFonts w:ascii="Arial" w:cs="Arial" w:eastAsia="Arial" w:hAnsi="Arial"/>
          <w:sz w:val="16"/>
          <w:szCs w:val="16"/>
          <w:color w:val="auto"/>
        </w:rPr>
        <w:t>/s/ Desmond Acosta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2656205</wp:posOffset>
            </wp:positionH>
            <wp:positionV relativeFrom="paragraph">
              <wp:posOffset>-14605</wp:posOffset>
            </wp:positionV>
            <wp:extent cx="151511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515110" cy="8890"/>
                    </a:xfrm>
                    <a:prstGeom prst="rect">
                      <a:avLst/>
                    </a:prstGeom>
                    <a:noFill/>
                  </pic:spPr>
                </pic:pic>
              </a:graphicData>
            </a:graphic>
          </wp:anchor>
        </w:drawing>
      </w:r>
    </w:p>
    <w:p>
      <w:pPr>
        <w:ind w:left="3900"/>
        <w:spacing w:after="0"/>
        <w:tabs>
          <w:tab w:leader="none" w:pos="4660" w:val="left"/>
        </w:tabs>
        <w:rPr>
          <w:sz w:val="20"/>
          <w:szCs w:val="20"/>
          <w:color w:val="auto"/>
        </w:rPr>
      </w:pPr>
      <w:r>
        <w:rPr>
          <w:rFonts w:ascii="Arial" w:cs="Arial" w:eastAsia="Arial" w:hAnsi="Arial"/>
          <w:sz w:val="20"/>
          <w:szCs w:val="20"/>
          <w:color w:val="auto"/>
        </w:rPr>
        <w:t>Name:</w:t>
        <w:tab/>
        <w:t>Desmond Acosta</w:t>
      </w:r>
    </w:p>
    <w:p>
      <w:pPr>
        <w:ind w:left="3900"/>
        <w:spacing w:after="0"/>
        <w:tabs>
          <w:tab w:leader="none" w:pos="4540" w:val="left"/>
        </w:tabs>
        <w:rPr>
          <w:sz w:val="20"/>
          <w:szCs w:val="20"/>
          <w:color w:val="auto"/>
        </w:rPr>
      </w:pPr>
      <w:r>
        <w:rPr>
          <w:rFonts w:ascii="Arial" w:cs="Arial" w:eastAsia="Arial" w:hAnsi="Arial"/>
          <w:sz w:val="20"/>
          <w:szCs w:val="20"/>
          <w:color w:val="auto"/>
        </w:rPr>
        <w:t>Title:</w:t>
        <w:tab/>
        <w:t>Director B</w:t>
      </w:r>
    </w:p>
    <w:p>
      <w:pPr>
        <w:spacing w:after="0" w:line="207" w:lineRule="exact"/>
        <w:rPr>
          <w:sz w:val="20"/>
          <w:szCs w:val="20"/>
          <w:color w:val="auto"/>
        </w:rPr>
      </w:pPr>
    </w:p>
    <w:p>
      <w:pPr>
        <w:ind w:left="3900"/>
        <w:spacing w:after="0"/>
        <w:rPr>
          <w:sz w:val="20"/>
          <w:szCs w:val="20"/>
          <w:color w:val="auto"/>
        </w:rPr>
      </w:pPr>
      <w:r>
        <w:rPr>
          <w:rFonts w:ascii="Arial" w:cs="Arial" w:eastAsia="Arial" w:hAnsi="Arial"/>
          <w:sz w:val="20"/>
          <w:szCs w:val="20"/>
          <w:b w:val="1"/>
          <w:bCs w:val="1"/>
          <w:color w:val="auto"/>
        </w:rPr>
        <w:t>E-PAY AUSTRALIA HOLDINGS PTY. LTD.</w:t>
      </w:r>
    </w:p>
    <w:p>
      <w:pPr>
        <w:spacing w:after="0" w:line="22" w:lineRule="exact"/>
        <w:rPr>
          <w:sz w:val="20"/>
          <w:szCs w:val="20"/>
          <w:color w:val="auto"/>
        </w:rPr>
      </w:pPr>
    </w:p>
    <w:p>
      <w:pPr>
        <w:ind w:left="3900"/>
        <w:spacing w:after="0"/>
        <w:rPr>
          <w:sz w:val="20"/>
          <w:szCs w:val="20"/>
          <w:color w:val="auto"/>
        </w:rPr>
      </w:pPr>
      <w:r>
        <w:rPr>
          <w:rFonts w:ascii="Arial" w:cs="Arial" w:eastAsia="Arial" w:hAnsi="Arial"/>
          <w:sz w:val="20"/>
          <w:szCs w:val="20"/>
          <w:b w:val="1"/>
          <w:bCs w:val="1"/>
          <w:color w:val="auto"/>
        </w:rPr>
        <w:t>ABN 74 104 012 900</w:t>
      </w:r>
    </w:p>
    <w:p>
      <w:pPr>
        <w:spacing w:after="0" w:line="200" w:lineRule="exact"/>
        <w:rPr>
          <w:sz w:val="20"/>
          <w:szCs w:val="20"/>
          <w:color w:val="auto"/>
        </w:rPr>
      </w:pPr>
    </w:p>
    <w:p>
      <w:pPr>
        <w:spacing w:after="0" w:line="229" w:lineRule="exact"/>
        <w:rPr>
          <w:sz w:val="20"/>
          <w:szCs w:val="20"/>
          <w:color w:val="auto"/>
        </w:rPr>
      </w:pPr>
    </w:p>
    <w:p>
      <w:pPr>
        <w:ind w:left="3900"/>
        <w:spacing w:after="0"/>
        <w:tabs>
          <w:tab w:leader="none" w:pos="4360" w:val="left"/>
        </w:tabs>
        <w:rPr>
          <w:sz w:val="20"/>
          <w:szCs w:val="20"/>
          <w:color w:val="auto"/>
        </w:rPr>
      </w:pPr>
      <w:r>
        <w:rPr>
          <w:rFonts w:ascii="Arial" w:cs="Arial" w:eastAsia="Arial" w:hAnsi="Arial"/>
          <w:sz w:val="20"/>
          <w:szCs w:val="20"/>
          <w:color w:val="auto"/>
        </w:rPr>
        <w:t>By:</w:t>
      </w:r>
      <w:r>
        <w:rPr>
          <w:sz w:val="20"/>
          <w:szCs w:val="20"/>
          <w:color w:val="auto"/>
        </w:rPr>
        <w:tab/>
      </w:r>
      <w:r>
        <w:rPr>
          <w:rFonts w:ascii="Arial" w:cs="Arial" w:eastAsia="Arial" w:hAnsi="Arial"/>
          <w:sz w:val="18"/>
          <w:szCs w:val="18"/>
          <w:color w:val="auto"/>
        </w:rPr>
        <w:t>/s/ Matthew Blayney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2656205</wp:posOffset>
            </wp:positionH>
            <wp:positionV relativeFrom="paragraph">
              <wp:posOffset>-14605</wp:posOffset>
            </wp:positionV>
            <wp:extent cx="1550035"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550035" cy="8890"/>
                    </a:xfrm>
                    <a:prstGeom prst="rect">
                      <a:avLst/>
                    </a:prstGeom>
                    <a:noFill/>
                  </pic:spPr>
                </pic:pic>
              </a:graphicData>
            </a:graphic>
          </wp:anchor>
        </w:drawing>
      </w:r>
    </w:p>
    <w:p>
      <w:pPr>
        <w:ind w:left="3900"/>
        <w:spacing w:after="0"/>
        <w:tabs>
          <w:tab w:leader="none" w:pos="4600" w:val="left"/>
        </w:tabs>
        <w:rPr>
          <w:sz w:val="20"/>
          <w:szCs w:val="20"/>
          <w:color w:val="auto"/>
        </w:rPr>
      </w:pPr>
      <w:r>
        <w:rPr>
          <w:rFonts w:ascii="Arial" w:cs="Arial" w:eastAsia="Arial" w:hAnsi="Arial"/>
          <w:sz w:val="20"/>
          <w:szCs w:val="20"/>
          <w:color w:val="auto"/>
        </w:rPr>
        <w:t>Name:</w:t>
      </w:r>
      <w:r>
        <w:rPr>
          <w:sz w:val="20"/>
          <w:szCs w:val="20"/>
          <w:color w:val="auto"/>
        </w:rPr>
        <w:tab/>
      </w:r>
      <w:r>
        <w:rPr>
          <w:rFonts w:ascii="Arial" w:cs="Arial" w:eastAsia="Arial" w:hAnsi="Arial"/>
          <w:sz w:val="18"/>
          <w:szCs w:val="18"/>
          <w:color w:val="auto"/>
        </w:rPr>
        <w:t>Matthew Blayney</w:t>
      </w:r>
    </w:p>
    <w:p>
      <w:pPr>
        <w:ind w:left="3900"/>
        <w:spacing w:after="0"/>
        <w:tabs>
          <w:tab w:leader="none" w:pos="4480" w:val="left"/>
        </w:tabs>
        <w:rPr>
          <w:sz w:val="20"/>
          <w:szCs w:val="20"/>
          <w:color w:val="auto"/>
        </w:rPr>
      </w:pPr>
      <w:r>
        <w:rPr>
          <w:rFonts w:ascii="Arial" w:cs="Arial" w:eastAsia="Arial" w:hAnsi="Arial"/>
          <w:sz w:val="20"/>
          <w:szCs w:val="20"/>
          <w:color w:val="auto"/>
        </w:rPr>
        <w:t>Title:</w:t>
      </w:r>
      <w:r>
        <w:rPr>
          <w:sz w:val="20"/>
          <w:szCs w:val="20"/>
          <w:color w:val="auto"/>
        </w:rPr>
        <w:tab/>
      </w:r>
      <w:r>
        <w:rPr>
          <w:rFonts w:ascii="Arial" w:cs="Arial" w:eastAsia="Arial" w:hAnsi="Arial"/>
          <w:sz w:val="18"/>
          <w:szCs w:val="18"/>
          <w:color w:val="auto"/>
        </w:rPr>
        <w:t>Attorney authorized under Power of Attorney dated April 7, 2014</w:t>
      </w:r>
    </w:p>
    <w:p>
      <w:pPr>
        <w:spacing w:after="0" w:line="207" w:lineRule="exact"/>
        <w:rPr>
          <w:sz w:val="20"/>
          <w:szCs w:val="20"/>
          <w:color w:val="auto"/>
        </w:rPr>
      </w:pPr>
    </w:p>
    <w:p>
      <w:pPr>
        <w:ind w:left="3900"/>
        <w:spacing w:after="0"/>
        <w:rPr>
          <w:sz w:val="20"/>
          <w:szCs w:val="20"/>
          <w:color w:val="auto"/>
        </w:rPr>
      </w:pPr>
      <w:r>
        <w:rPr>
          <w:rFonts w:ascii="Arial" w:cs="Arial" w:eastAsia="Arial" w:hAnsi="Arial"/>
          <w:sz w:val="20"/>
          <w:szCs w:val="20"/>
          <w:b w:val="1"/>
          <w:bCs w:val="1"/>
          <w:color w:val="auto"/>
        </w:rPr>
        <w:t>RIA NETHERLANDS HOLDING B.V.</w:t>
      </w:r>
    </w:p>
    <w:p>
      <w:pPr>
        <w:spacing w:after="0" w:line="235" w:lineRule="exact"/>
        <w:rPr>
          <w:sz w:val="20"/>
          <w:szCs w:val="20"/>
          <w:color w:val="auto"/>
        </w:rPr>
      </w:pPr>
    </w:p>
    <w:p>
      <w:pPr>
        <w:ind w:left="3900"/>
        <w:spacing w:after="0"/>
        <w:tabs>
          <w:tab w:leader="none" w:pos="4360" w:val="left"/>
        </w:tabs>
        <w:rPr>
          <w:sz w:val="20"/>
          <w:szCs w:val="20"/>
          <w:color w:val="auto"/>
        </w:rPr>
      </w:pPr>
      <w:r>
        <w:rPr>
          <w:rFonts w:ascii="Arial" w:cs="Arial" w:eastAsia="Arial" w:hAnsi="Arial"/>
          <w:sz w:val="20"/>
          <w:szCs w:val="20"/>
          <w:color w:val="auto"/>
        </w:rPr>
        <w:t>By:</w:t>
      </w:r>
      <w:r>
        <w:rPr>
          <w:sz w:val="20"/>
          <w:szCs w:val="20"/>
          <w:color w:val="auto"/>
        </w:rPr>
        <w:tab/>
      </w:r>
      <w:r>
        <w:rPr>
          <w:rFonts w:ascii="Arial" w:cs="Arial" w:eastAsia="Arial" w:hAnsi="Arial"/>
          <w:sz w:val="16"/>
          <w:szCs w:val="16"/>
          <w:color w:val="auto"/>
        </w:rPr>
        <w:t>/s/ Andre Van Daatselaar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2656205</wp:posOffset>
            </wp:positionH>
            <wp:positionV relativeFrom="paragraph">
              <wp:posOffset>-14605</wp:posOffset>
            </wp:positionV>
            <wp:extent cx="1630045"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630045" cy="8890"/>
                    </a:xfrm>
                    <a:prstGeom prst="rect">
                      <a:avLst/>
                    </a:prstGeom>
                    <a:noFill/>
                  </pic:spPr>
                </pic:pic>
              </a:graphicData>
            </a:graphic>
          </wp:anchor>
        </w:drawing>
      </w:r>
    </w:p>
    <w:p>
      <w:pPr>
        <w:ind w:left="3900"/>
        <w:spacing w:after="0"/>
        <w:tabs>
          <w:tab w:leader="none" w:pos="4640" w:val="left"/>
        </w:tabs>
        <w:rPr>
          <w:sz w:val="20"/>
          <w:szCs w:val="20"/>
          <w:color w:val="auto"/>
        </w:rPr>
      </w:pPr>
      <w:r>
        <w:rPr>
          <w:rFonts w:ascii="Arial" w:cs="Arial" w:eastAsia="Arial" w:hAnsi="Arial"/>
          <w:sz w:val="20"/>
          <w:szCs w:val="20"/>
          <w:color w:val="auto"/>
        </w:rPr>
        <w:t>Name:</w:t>
        <w:tab/>
        <w:t>Andre Van Daatselaar</w:t>
      </w:r>
    </w:p>
    <w:p>
      <w:pPr>
        <w:ind w:left="3900"/>
        <w:spacing w:after="0"/>
        <w:tabs>
          <w:tab w:leader="none" w:pos="4540" w:val="left"/>
        </w:tabs>
        <w:rPr>
          <w:sz w:val="20"/>
          <w:szCs w:val="20"/>
          <w:color w:val="auto"/>
        </w:rPr>
      </w:pPr>
      <w:r>
        <w:rPr>
          <w:rFonts w:ascii="Arial" w:cs="Arial" w:eastAsia="Arial" w:hAnsi="Arial"/>
          <w:sz w:val="20"/>
          <w:szCs w:val="20"/>
          <w:color w:val="auto"/>
        </w:rPr>
        <w:t>Title:</w:t>
        <w:tab/>
        <w:t>Director A</w:t>
      </w:r>
    </w:p>
    <w:p>
      <w:pPr>
        <w:spacing w:after="0" w:line="213" w:lineRule="exact"/>
        <w:rPr>
          <w:sz w:val="20"/>
          <w:szCs w:val="20"/>
          <w:color w:val="auto"/>
        </w:rPr>
      </w:pPr>
    </w:p>
    <w:p>
      <w:pPr>
        <w:ind w:left="3900"/>
        <w:spacing w:after="0"/>
        <w:tabs>
          <w:tab w:leader="none" w:pos="4360" w:val="left"/>
        </w:tabs>
        <w:rPr>
          <w:sz w:val="20"/>
          <w:szCs w:val="20"/>
          <w:color w:val="auto"/>
        </w:rPr>
      </w:pPr>
      <w:r>
        <w:rPr>
          <w:rFonts w:ascii="Arial" w:cs="Arial" w:eastAsia="Arial" w:hAnsi="Arial"/>
          <w:sz w:val="20"/>
          <w:szCs w:val="20"/>
          <w:color w:val="auto"/>
        </w:rPr>
        <w:t>By:</w:t>
      </w:r>
      <w:r>
        <w:rPr>
          <w:sz w:val="20"/>
          <w:szCs w:val="20"/>
          <w:color w:val="auto"/>
        </w:rPr>
        <w:tab/>
      </w:r>
      <w:r>
        <w:rPr>
          <w:rFonts w:ascii="Arial" w:cs="Arial" w:eastAsia="Arial" w:hAnsi="Arial"/>
          <w:sz w:val="16"/>
          <w:szCs w:val="16"/>
          <w:color w:val="auto"/>
        </w:rPr>
        <w:t>/s/ Desmond Acosta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2656205</wp:posOffset>
            </wp:positionH>
            <wp:positionV relativeFrom="paragraph">
              <wp:posOffset>-14605</wp:posOffset>
            </wp:positionV>
            <wp:extent cx="151511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515110" cy="8890"/>
                    </a:xfrm>
                    <a:prstGeom prst="rect">
                      <a:avLst/>
                    </a:prstGeom>
                    <a:noFill/>
                  </pic:spPr>
                </pic:pic>
              </a:graphicData>
            </a:graphic>
          </wp:anchor>
        </w:drawing>
      </w:r>
    </w:p>
    <w:p>
      <w:pPr>
        <w:ind w:left="3900"/>
        <w:spacing w:after="0"/>
        <w:tabs>
          <w:tab w:leader="none" w:pos="4660" w:val="left"/>
        </w:tabs>
        <w:rPr>
          <w:sz w:val="20"/>
          <w:szCs w:val="20"/>
          <w:color w:val="auto"/>
        </w:rPr>
      </w:pPr>
      <w:r>
        <w:rPr>
          <w:rFonts w:ascii="Arial" w:cs="Arial" w:eastAsia="Arial" w:hAnsi="Arial"/>
          <w:sz w:val="20"/>
          <w:szCs w:val="20"/>
          <w:color w:val="auto"/>
        </w:rPr>
        <w:t>Name:</w:t>
        <w:tab/>
        <w:t>Desmond Acosta</w:t>
      </w:r>
    </w:p>
    <w:p>
      <w:pPr>
        <w:ind w:left="3900"/>
        <w:spacing w:after="0"/>
        <w:tabs>
          <w:tab w:leader="none" w:pos="4540" w:val="left"/>
        </w:tabs>
        <w:rPr>
          <w:sz w:val="20"/>
          <w:szCs w:val="20"/>
          <w:color w:val="auto"/>
        </w:rPr>
      </w:pPr>
      <w:r>
        <w:rPr>
          <w:rFonts w:ascii="Arial" w:cs="Arial" w:eastAsia="Arial" w:hAnsi="Arial"/>
          <w:sz w:val="20"/>
          <w:szCs w:val="20"/>
          <w:color w:val="auto"/>
        </w:rPr>
        <w:t>Title:</w:t>
        <w:tab/>
        <w:t>Director B</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right"/>
        <w:spacing w:after="0"/>
        <w:rPr>
          <w:sz w:val="20"/>
          <w:szCs w:val="20"/>
          <w:color w:val="auto"/>
        </w:rPr>
      </w:pPr>
      <w:r>
        <w:rPr>
          <w:rFonts w:ascii="Arial" w:cs="Arial" w:eastAsia="Arial" w:hAnsi="Arial"/>
          <w:sz w:val="16"/>
          <w:szCs w:val="16"/>
          <w:color w:val="auto"/>
        </w:rPr>
        <w:t>AMENDMENT NO. 1</w:t>
      </w:r>
    </w:p>
    <w:p>
      <w:pPr>
        <w:spacing w:after="0" w:line="19" w:lineRule="exact"/>
        <w:rPr>
          <w:sz w:val="20"/>
          <w:szCs w:val="20"/>
          <w:color w:val="auto"/>
        </w:rPr>
      </w:pPr>
    </w:p>
    <w:p>
      <w:pPr>
        <w:jc w:val="right"/>
        <w:spacing w:after="0"/>
        <w:rPr>
          <w:sz w:val="20"/>
          <w:szCs w:val="20"/>
          <w:color w:val="auto"/>
        </w:rPr>
      </w:pPr>
      <w:r>
        <w:rPr>
          <w:rFonts w:ascii="Arial" w:cs="Arial" w:eastAsia="Arial" w:hAnsi="Arial"/>
          <w:sz w:val="16"/>
          <w:szCs w:val="16"/>
          <w:color w:val="auto"/>
        </w:rPr>
        <w:t>EURONET WORLDWIDE, INC.</w:t>
      </w:r>
    </w:p>
    <w:p>
      <w:pPr>
        <w:sectPr>
          <w:pgSz w:w="11900" w:h="16838" w:orient="portrait"/>
          <w:cols w:equalWidth="0" w:num="1">
            <w:col w:w="11420"/>
          </w:cols>
          <w:pgMar w:left="240" w:top="576" w:right="239" w:bottom="1440" w:gutter="0" w:footer="0" w:header="0"/>
        </w:sectPr>
      </w:pPr>
    </w:p>
    <w:bookmarkStart w:id="44" w:name="page45"/>
    <w:bookmarkEnd w:id="44"/>
    <w:tbl>
      <w:tblPr>
        <w:tblLayout w:type="fixed"/>
        <w:tblInd w:w="0" w:type="dxa"/>
        <w:tblCellMar>
          <w:top w:w="0" w:type="dxa"/>
          <w:left w:w="0" w:type="dxa"/>
          <w:bottom w:w="0" w:type="dxa"/>
          <w:right w:w="0" w:type="dxa"/>
        </w:tblCellMar>
      </w:tblPr>
      <w:tr>
        <w:trPr>
          <w:trHeight w:val="230"/>
        </w:trPr>
        <w:tc>
          <w:tcPr>
            <w:tcW w:w="3180" w:type="dxa"/>
            <w:vAlign w:val="bottom"/>
            <w:gridSpan w:val="2"/>
          </w:tcPr>
          <w:p>
            <w:pPr>
              <w:spacing w:after="0"/>
              <w:rPr>
                <w:sz w:val="20"/>
                <w:szCs w:val="20"/>
                <w:color w:val="auto"/>
              </w:rPr>
            </w:pPr>
            <w:r>
              <w:rPr>
                <w:rFonts w:ascii="Arial" w:cs="Arial" w:eastAsia="Arial" w:hAnsi="Arial"/>
                <w:sz w:val="20"/>
                <w:szCs w:val="20"/>
                <w:b w:val="1"/>
                <w:bCs w:val="1"/>
                <w:color w:val="auto"/>
              </w:rPr>
              <w:t>FOREIGN GUARANTORS:</w:t>
            </w:r>
          </w:p>
        </w:tc>
        <w:tc>
          <w:tcPr>
            <w:tcW w:w="6520" w:type="dxa"/>
            <w:vAlign w:val="bottom"/>
            <w:gridSpan w:val="6"/>
          </w:tcPr>
          <w:p>
            <w:pPr>
              <w:ind w:left="720"/>
              <w:spacing w:after="0"/>
              <w:rPr>
                <w:sz w:val="20"/>
                <w:szCs w:val="20"/>
                <w:color w:val="auto"/>
              </w:rPr>
            </w:pPr>
            <w:r>
              <w:rPr>
                <w:rFonts w:ascii="Arial" w:cs="Arial" w:eastAsia="Arial" w:hAnsi="Arial"/>
                <w:sz w:val="18"/>
                <w:szCs w:val="18"/>
                <w:b w:val="1"/>
                <w:bCs w:val="1"/>
                <w:color w:val="auto"/>
              </w:rPr>
              <w:t>E-PAY AUSTRALIA HOLDINGS PTY LTD ABN 74 104 012 900</w:t>
            </w:r>
          </w:p>
        </w:tc>
      </w:tr>
      <w:tr>
        <w:trPr>
          <w:trHeight w:val="642"/>
        </w:trPr>
        <w:tc>
          <w:tcPr>
            <w:tcW w:w="2380" w:type="dxa"/>
            <w:vAlign w:val="bottom"/>
            <w:tcBorders>
              <w:top w:val="single" w:sz="8" w:color="auto"/>
            </w:tcBorders>
          </w:tcPr>
          <w:p>
            <w:pPr>
              <w:spacing w:after="0"/>
              <w:rPr>
                <w:sz w:val="24"/>
                <w:szCs w:val="24"/>
                <w:color w:val="auto"/>
              </w:rPr>
            </w:pPr>
          </w:p>
        </w:tc>
        <w:tc>
          <w:tcPr>
            <w:tcW w:w="800" w:type="dxa"/>
            <w:vAlign w:val="bottom"/>
          </w:tcPr>
          <w:p>
            <w:pPr>
              <w:spacing w:after="0"/>
              <w:rPr>
                <w:sz w:val="24"/>
                <w:szCs w:val="24"/>
                <w:color w:val="auto"/>
              </w:rPr>
            </w:pPr>
          </w:p>
        </w:tc>
        <w:tc>
          <w:tcPr>
            <w:tcW w:w="1180" w:type="dxa"/>
            <w:vAlign w:val="bottom"/>
            <w:gridSpan w:val="2"/>
          </w:tcPr>
          <w:p>
            <w:pPr>
              <w:ind w:left="720"/>
              <w:spacing w:after="0"/>
              <w:rPr>
                <w:sz w:val="20"/>
                <w:szCs w:val="20"/>
                <w:color w:val="auto"/>
              </w:rPr>
            </w:pPr>
            <w:r>
              <w:rPr>
                <w:rFonts w:ascii="Arial" w:cs="Arial" w:eastAsia="Arial" w:hAnsi="Arial"/>
                <w:sz w:val="20"/>
                <w:szCs w:val="20"/>
                <w:color w:val="auto"/>
              </w:rPr>
              <w:t>By:</w:t>
            </w:r>
          </w:p>
        </w:tc>
        <w:tc>
          <w:tcPr>
            <w:tcW w:w="5340" w:type="dxa"/>
            <w:vAlign w:val="bottom"/>
            <w:gridSpan w:val="4"/>
          </w:tcPr>
          <w:p>
            <w:pPr>
              <w:jc w:val="right"/>
              <w:ind w:right="3660"/>
              <w:spacing w:after="0"/>
              <w:rPr>
                <w:sz w:val="20"/>
                <w:szCs w:val="20"/>
                <w:color w:val="auto"/>
              </w:rPr>
            </w:pPr>
            <w:r>
              <w:rPr>
                <w:rFonts w:ascii="Arial" w:cs="Arial" w:eastAsia="Arial" w:hAnsi="Arial"/>
                <w:sz w:val="20"/>
                <w:szCs w:val="20"/>
                <w:color w:val="auto"/>
                <w:w w:val="92"/>
              </w:rPr>
              <w:t>/s/ Matthew Blayney</w:t>
            </w:r>
          </w:p>
        </w:tc>
      </w:tr>
      <w:tr>
        <w:trPr>
          <w:trHeight w:val="20"/>
        </w:trPr>
        <w:tc>
          <w:tcPr>
            <w:tcW w:w="23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300" w:type="dxa"/>
            <w:vAlign w:val="bottom"/>
            <w:gridSpan w:val="2"/>
            <w:shd w:val="clear" w:color="auto" w:fill="000000"/>
          </w:tcPr>
          <w:p>
            <w:pPr>
              <w:spacing w:after="0" w:line="20" w:lineRule="exact"/>
              <w:rPr>
                <w:sz w:val="1"/>
                <w:szCs w:val="1"/>
                <w:color w:val="auto"/>
              </w:rPr>
            </w:pPr>
          </w:p>
        </w:tc>
        <w:tc>
          <w:tcPr>
            <w:tcW w:w="196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3080" w:type="dxa"/>
            <w:vAlign w:val="bottom"/>
          </w:tcPr>
          <w:p>
            <w:pPr>
              <w:spacing w:after="0" w:line="20" w:lineRule="exact"/>
              <w:rPr>
                <w:sz w:val="1"/>
                <w:szCs w:val="1"/>
                <w:color w:val="auto"/>
              </w:rPr>
            </w:pPr>
          </w:p>
        </w:tc>
      </w:tr>
      <w:tr>
        <w:trPr>
          <w:trHeight w:val="233"/>
        </w:trPr>
        <w:tc>
          <w:tcPr>
            <w:tcW w:w="23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300" w:type="dxa"/>
            <w:vAlign w:val="bottom"/>
            <w:gridSpan w:val="3"/>
          </w:tcPr>
          <w:p>
            <w:pPr>
              <w:ind w:left="720"/>
              <w:spacing w:after="0"/>
              <w:rPr>
                <w:sz w:val="20"/>
                <w:szCs w:val="20"/>
                <w:color w:val="auto"/>
              </w:rPr>
            </w:pPr>
            <w:r>
              <w:rPr>
                <w:rFonts w:ascii="Arial" w:cs="Arial" w:eastAsia="Arial" w:hAnsi="Arial"/>
                <w:sz w:val="20"/>
                <w:szCs w:val="20"/>
                <w:color w:val="auto"/>
                <w:w w:val="94"/>
              </w:rPr>
              <w:t>Name:</w:t>
            </w:r>
          </w:p>
        </w:tc>
        <w:tc>
          <w:tcPr>
            <w:tcW w:w="5220" w:type="dxa"/>
            <w:vAlign w:val="bottom"/>
            <w:gridSpan w:val="3"/>
          </w:tcPr>
          <w:p>
            <w:pPr>
              <w:jc w:val="right"/>
              <w:ind w:right="3660"/>
              <w:spacing w:after="0"/>
              <w:rPr>
                <w:sz w:val="20"/>
                <w:szCs w:val="20"/>
                <w:color w:val="auto"/>
              </w:rPr>
            </w:pPr>
            <w:r>
              <w:rPr>
                <w:rFonts w:ascii="Arial" w:cs="Arial" w:eastAsia="Arial" w:hAnsi="Arial"/>
                <w:sz w:val="20"/>
                <w:szCs w:val="20"/>
                <w:color w:val="auto"/>
              </w:rPr>
              <w:t>Matthew Blayney</w:t>
            </w:r>
          </w:p>
        </w:tc>
      </w:tr>
      <w:tr>
        <w:trPr>
          <w:trHeight w:val="250"/>
        </w:trPr>
        <w:tc>
          <w:tcPr>
            <w:tcW w:w="238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6520" w:type="dxa"/>
            <w:vAlign w:val="bottom"/>
            <w:gridSpan w:val="6"/>
          </w:tcPr>
          <w:p>
            <w:pPr>
              <w:ind w:left="720"/>
              <w:spacing w:after="0"/>
              <w:rPr>
                <w:sz w:val="20"/>
                <w:szCs w:val="20"/>
                <w:color w:val="auto"/>
              </w:rPr>
            </w:pPr>
            <w:r>
              <w:rPr>
                <w:rFonts w:ascii="Arial" w:cs="Arial" w:eastAsia="Arial" w:hAnsi="Arial"/>
                <w:sz w:val="20"/>
                <w:szCs w:val="20"/>
                <w:color w:val="auto"/>
                <w:w w:val="92"/>
              </w:rPr>
              <w:t>Title:  Attorney authorized under Power of Attorney dated April 7, 2014</w:t>
            </w:r>
          </w:p>
        </w:tc>
      </w:tr>
      <w:tr>
        <w:trPr>
          <w:trHeight w:val="639"/>
        </w:trPr>
        <w:tc>
          <w:tcPr>
            <w:tcW w:w="23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520" w:type="dxa"/>
            <w:vAlign w:val="bottom"/>
            <w:gridSpan w:val="6"/>
          </w:tcPr>
          <w:p>
            <w:pPr>
              <w:ind w:left="720"/>
              <w:spacing w:after="0"/>
              <w:rPr>
                <w:sz w:val="20"/>
                <w:szCs w:val="20"/>
                <w:color w:val="auto"/>
              </w:rPr>
            </w:pPr>
            <w:r>
              <w:rPr>
                <w:rFonts w:ascii="Arial" w:cs="Arial" w:eastAsia="Arial" w:hAnsi="Arial"/>
                <w:sz w:val="18"/>
                <w:szCs w:val="18"/>
                <w:b w:val="1"/>
                <w:bCs w:val="1"/>
                <w:color w:val="auto"/>
              </w:rPr>
              <w:t>E-PAY AUSTRALIA PTY LTD.</w:t>
            </w:r>
          </w:p>
        </w:tc>
      </w:tr>
      <w:tr>
        <w:trPr>
          <w:trHeight w:val="234"/>
        </w:trPr>
        <w:tc>
          <w:tcPr>
            <w:tcW w:w="23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6520" w:type="dxa"/>
            <w:vAlign w:val="bottom"/>
            <w:gridSpan w:val="6"/>
          </w:tcPr>
          <w:p>
            <w:pPr>
              <w:ind w:left="720"/>
              <w:spacing w:after="0"/>
              <w:rPr>
                <w:sz w:val="20"/>
                <w:szCs w:val="20"/>
                <w:color w:val="auto"/>
              </w:rPr>
            </w:pPr>
            <w:r>
              <w:rPr>
                <w:rFonts w:ascii="Arial" w:cs="Arial" w:eastAsia="Arial" w:hAnsi="Arial"/>
                <w:sz w:val="18"/>
                <w:szCs w:val="18"/>
                <w:b w:val="1"/>
                <w:bCs w:val="1"/>
                <w:color w:val="auto"/>
              </w:rPr>
              <w:t>ABN 71 093 566 057</w:t>
            </w:r>
          </w:p>
        </w:tc>
      </w:tr>
      <w:tr>
        <w:trPr>
          <w:trHeight w:val="621"/>
        </w:trPr>
        <w:tc>
          <w:tcPr>
            <w:tcW w:w="23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180" w:type="dxa"/>
            <w:vAlign w:val="bottom"/>
            <w:gridSpan w:val="2"/>
          </w:tcPr>
          <w:p>
            <w:pPr>
              <w:ind w:left="720"/>
              <w:spacing w:after="0"/>
              <w:rPr>
                <w:sz w:val="20"/>
                <w:szCs w:val="20"/>
                <w:color w:val="auto"/>
              </w:rPr>
            </w:pPr>
            <w:r>
              <w:rPr>
                <w:rFonts w:ascii="Arial" w:cs="Arial" w:eastAsia="Arial" w:hAnsi="Arial"/>
                <w:sz w:val="20"/>
                <w:szCs w:val="20"/>
                <w:color w:val="auto"/>
              </w:rPr>
              <w:t>By:</w:t>
            </w:r>
          </w:p>
        </w:tc>
        <w:tc>
          <w:tcPr>
            <w:tcW w:w="5340" w:type="dxa"/>
            <w:vAlign w:val="bottom"/>
            <w:gridSpan w:val="4"/>
          </w:tcPr>
          <w:p>
            <w:pPr>
              <w:jc w:val="right"/>
              <w:ind w:right="3660"/>
              <w:spacing w:after="0"/>
              <w:rPr>
                <w:sz w:val="20"/>
                <w:szCs w:val="20"/>
                <w:color w:val="auto"/>
              </w:rPr>
            </w:pPr>
            <w:r>
              <w:rPr>
                <w:rFonts w:ascii="Arial" w:cs="Arial" w:eastAsia="Arial" w:hAnsi="Arial"/>
                <w:sz w:val="20"/>
                <w:szCs w:val="20"/>
                <w:color w:val="auto"/>
                <w:w w:val="92"/>
              </w:rPr>
              <w:t>/s/ Matthew Blayney</w:t>
            </w:r>
          </w:p>
        </w:tc>
      </w:tr>
      <w:tr>
        <w:trPr>
          <w:trHeight w:val="20"/>
        </w:trPr>
        <w:tc>
          <w:tcPr>
            <w:tcW w:w="23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300" w:type="dxa"/>
            <w:vAlign w:val="bottom"/>
            <w:gridSpan w:val="2"/>
            <w:shd w:val="clear" w:color="auto" w:fill="000000"/>
          </w:tcPr>
          <w:p>
            <w:pPr>
              <w:spacing w:after="0" w:line="20" w:lineRule="exact"/>
              <w:rPr>
                <w:sz w:val="1"/>
                <w:szCs w:val="1"/>
                <w:color w:val="auto"/>
              </w:rPr>
            </w:pPr>
          </w:p>
        </w:tc>
        <w:tc>
          <w:tcPr>
            <w:tcW w:w="196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3080" w:type="dxa"/>
            <w:vAlign w:val="bottom"/>
          </w:tcPr>
          <w:p>
            <w:pPr>
              <w:spacing w:after="0" w:line="20" w:lineRule="exact"/>
              <w:rPr>
                <w:sz w:val="1"/>
                <w:szCs w:val="1"/>
                <w:color w:val="auto"/>
              </w:rPr>
            </w:pPr>
          </w:p>
        </w:tc>
      </w:tr>
      <w:tr>
        <w:trPr>
          <w:trHeight w:val="233"/>
        </w:trPr>
        <w:tc>
          <w:tcPr>
            <w:tcW w:w="23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300" w:type="dxa"/>
            <w:vAlign w:val="bottom"/>
            <w:gridSpan w:val="3"/>
          </w:tcPr>
          <w:p>
            <w:pPr>
              <w:ind w:left="720"/>
              <w:spacing w:after="0"/>
              <w:rPr>
                <w:sz w:val="20"/>
                <w:szCs w:val="20"/>
                <w:color w:val="auto"/>
              </w:rPr>
            </w:pPr>
            <w:r>
              <w:rPr>
                <w:rFonts w:ascii="Arial" w:cs="Arial" w:eastAsia="Arial" w:hAnsi="Arial"/>
                <w:sz w:val="20"/>
                <w:szCs w:val="20"/>
                <w:color w:val="auto"/>
                <w:w w:val="94"/>
              </w:rPr>
              <w:t>Name:</w:t>
            </w:r>
          </w:p>
        </w:tc>
        <w:tc>
          <w:tcPr>
            <w:tcW w:w="5220" w:type="dxa"/>
            <w:vAlign w:val="bottom"/>
            <w:gridSpan w:val="3"/>
          </w:tcPr>
          <w:p>
            <w:pPr>
              <w:jc w:val="right"/>
              <w:ind w:right="3660"/>
              <w:spacing w:after="0"/>
              <w:rPr>
                <w:sz w:val="20"/>
                <w:szCs w:val="20"/>
                <w:color w:val="auto"/>
              </w:rPr>
            </w:pPr>
            <w:r>
              <w:rPr>
                <w:rFonts w:ascii="Arial" w:cs="Arial" w:eastAsia="Arial" w:hAnsi="Arial"/>
                <w:sz w:val="20"/>
                <w:szCs w:val="20"/>
                <w:color w:val="auto"/>
              </w:rPr>
              <w:t>Matthew Blayney</w:t>
            </w:r>
          </w:p>
        </w:tc>
      </w:tr>
      <w:tr>
        <w:trPr>
          <w:trHeight w:val="250"/>
        </w:trPr>
        <w:tc>
          <w:tcPr>
            <w:tcW w:w="238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6520" w:type="dxa"/>
            <w:vAlign w:val="bottom"/>
            <w:gridSpan w:val="6"/>
          </w:tcPr>
          <w:p>
            <w:pPr>
              <w:ind w:left="720"/>
              <w:spacing w:after="0"/>
              <w:rPr>
                <w:sz w:val="20"/>
                <w:szCs w:val="20"/>
                <w:color w:val="auto"/>
              </w:rPr>
            </w:pPr>
            <w:r>
              <w:rPr>
                <w:rFonts w:ascii="Arial" w:cs="Arial" w:eastAsia="Arial" w:hAnsi="Arial"/>
                <w:sz w:val="20"/>
                <w:szCs w:val="20"/>
                <w:color w:val="auto"/>
                <w:w w:val="92"/>
              </w:rPr>
              <w:t>Title:  Attorney authorized under Power of Attorney dated April 7, 2014</w:t>
            </w:r>
          </w:p>
        </w:tc>
      </w:tr>
      <w:tr>
        <w:trPr>
          <w:trHeight w:val="644"/>
        </w:trPr>
        <w:tc>
          <w:tcPr>
            <w:tcW w:w="23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520" w:type="dxa"/>
            <w:vAlign w:val="bottom"/>
            <w:gridSpan w:val="6"/>
          </w:tcPr>
          <w:p>
            <w:pPr>
              <w:ind w:left="720"/>
              <w:spacing w:after="0"/>
              <w:rPr>
                <w:sz w:val="20"/>
                <w:szCs w:val="20"/>
                <w:color w:val="auto"/>
              </w:rPr>
            </w:pPr>
            <w:r>
              <w:rPr>
                <w:rFonts w:ascii="Arial" w:cs="Arial" w:eastAsia="Arial" w:hAnsi="Arial"/>
                <w:sz w:val="18"/>
                <w:szCs w:val="18"/>
                <w:b w:val="1"/>
                <w:bCs w:val="1"/>
                <w:color w:val="auto"/>
              </w:rPr>
              <w:t>RIA TELECOMMUNICATIONS OF CANADA INC.</w:t>
            </w:r>
          </w:p>
        </w:tc>
      </w:tr>
      <w:tr>
        <w:trPr>
          <w:trHeight w:val="405"/>
        </w:trPr>
        <w:tc>
          <w:tcPr>
            <w:tcW w:w="23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180" w:type="dxa"/>
            <w:vAlign w:val="bottom"/>
            <w:gridSpan w:val="2"/>
          </w:tcPr>
          <w:p>
            <w:pPr>
              <w:ind w:left="720"/>
              <w:spacing w:after="0"/>
              <w:rPr>
                <w:sz w:val="20"/>
                <w:szCs w:val="20"/>
                <w:color w:val="auto"/>
              </w:rPr>
            </w:pPr>
            <w:r>
              <w:rPr>
                <w:rFonts w:ascii="Arial" w:cs="Arial" w:eastAsia="Arial" w:hAnsi="Arial"/>
                <w:sz w:val="20"/>
                <w:szCs w:val="20"/>
                <w:color w:val="auto"/>
              </w:rPr>
              <w:t>By:</w:t>
            </w:r>
          </w:p>
        </w:tc>
        <w:tc>
          <w:tcPr>
            <w:tcW w:w="5340" w:type="dxa"/>
            <w:vAlign w:val="bottom"/>
            <w:gridSpan w:val="4"/>
          </w:tcPr>
          <w:p>
            <w:pPr>
              <w:jc w:val="right"/>
              <w:ind w:right="4060"/>
              <w:spacing w:after="0"/>
              <w:rPr>
                <w:sz w:val="20"/>
                <w:szCs w:val="20"/>
                <w:color w:val="auto"/>
              </w:rPr>
            </w:pPr>
            <w:r>
              <w:rPr>
                <w:rFonts w:ascii="Arial" w:cs="Arial" w:eastAsia="Arial" w:hAnsi="Arial"/>
                <w:sz w:val="20"/>
                <w:szCs w:val="20"/>
                <w:color w:val="auto"/>
                <w:w w:val="89"/>
              </w:rPr>
              <w:t>/s/ Juan Bianchi</w:t>
            </w:r>
          </w:p>
        </w:tc>
      </w:tr>
      <w:tr>
        <w:trPr>
          <w:trHeight w:val="20"/>
        </w:trPr>
        <w:tc>
          <w:tcPr>
            <w:tcW w:w="23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300" w:type="dxa"/>
            <w:vAlign w:val="bottom"/>
            <w:gridSpan w:val="2"/>
            <w:shd w:val="clear" w:color="auto" w:fill="000000"/>
          </w:tcPr>
          <w:p>
            <w:pPr>
              <w:spacing w:after="0" w:line="20" w:lineRule="exact"/>
              <w:rPr>
                <w:sz w:val="1"/>
                <w:szCs w:val="1"/>
                <w:color w:val="auto"/>
              </w:rPr>
            </w:pPr>
          </w:p>
        </w:tc>
        <w:tc>
          <w:tcPr>
            <w:tcW w:w="1960" w:type="dxa"/>
            <w:vAlign w:val="bottom"/>
            <w:shd w:val="clear" w:color="auto" w:fill="000000"/>
          </w:tcPr>
          <w:p>
            <w:pPr>
              <w:spacing w:after="0" w:line="20" w:lineRule="exact"/>
              <w:rPr>
                <w:sz w:val="1"/>
                <w:szCs w:val="1"/>
                <w:color w:val="auto"/>
              </w:rPr>
            </w:pPr>
          </w:p>
        </w:tc>
        <w:tc>
          <w:tcPr>
            <w:tcW w:w="3260" w:type="dxa"/>
            <w:vAlign w:val="bottom"/>
            <w:gridSpan w:val="2"/>
          </w:tcPr>
          <w:p>
            <w:pPr>
              <w:spacing w:after="0" w:line="20" w:lineRule="exact"/>
              <w:rPr>
                <w:sz w:val="1"/>
                <w:szCs w:val="1"/>
                <w:color w:val="auto"/>
              </w:rPr>
            </w:pPr>
          </w:p>
        </w:tc>
      </w:tr>
      <w:tr>
        <w:trPr>
          <w:trHeight w:val="233"/>
        </w:trPr>
        <w:tc>
          <w:tcPr>
            <w:tcW w:w="23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300" w:type="dxa"/>
            <w:vAlign w:val="bottom"/>
            <w:gridSpan w:val="3"/>
          </w:tcPr>
          <w:p>
            <w:pPr>
              <w:ind w:left="720"/>
              <w:spacing w:after="0"/>
              <w:rPr>
                <w:sz w:val="20"/>
                <w:szCs w:val="20"/>
                <w:color w:val="auto"/>
              </w:rPr>
            </w:pPr>
            <w:r>
              <w:rPr>
                <w:rFonts w:ascii="Arial" w:cs="Arial" w:eastAsia="Arial" w:hAnsi="Arial"/>
                <w:sz w:val="20"/>
                <w:szCs w:val="20"/>
                <w:color w:val="auto"/>
                <w:w w:val="94"/>
              </w:rPr>
              <w:t>Name:</w:t>
            </w:r>
          </w:p>
        </w:tc>
        <w:tc>
          <w:tcPr>
            <w:tcW w:w="5220" w:type="dxa"/>
            <w:vAlign w:val="bottom"/>
            <w:gridSpan w:val="3"/>
          </w:tcPr>
          <w:p>
            <w:pPr>
              <w:jc w:val="right"/>
              <w:ind w:right="4040"/>
              <w:spacing w:after="0"/>
              <w:rPr>
                <w:sz w:val="20"/>
                <w:szCs w:val="20"/>
                <w:color w:val="auto"/>
              </w:rPr>
            </w:pPr>
            <w:r>
              <w:rPr>
                <w:rFonts w:ascii="Arial" w:cs="Arial" w:eastAsia="Arial" w:hAnsi="Arial"/>
                <w:sz w:val="20"/>
                <w:szCs w:val="20"/>
                <w:color w:val="auto"/>
              </w:rPr>
              <w:t>Juan Bianchi</w:t>
            </w:r>
          </w:p>
        </w:tc>
      </w:tr>
      <w:tr>
        <w:trPr>
          <w:trHeight w:val="250"/>
        </w:trPr>
        <w:tc>
          <w:tcPr>
            <w:tcW w:w="238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180" w:type="dxa"/>
            <w:vAlign w:val="bottom"/>
            <w:gridSpan w:val="2"/>
          </w:tcPr>
          <w:p>
            <w:pPr>
              <w:ind w:left="720"/>
              <w:spacing w:after="0"/>
              <w:rPr>
                <w:sz w:val="20"/>
                <w:szCs w:val="20"/>
                <w:color w:val="auto"/>
              </w:rPr>
            </w:pPr>
            <w:r>
              <w:rPr>
                <w:rFonts w:ascii="Arial" w:cs="Arial" w:eastAsia="Arial" w:hAnsi="Arial"/>
                <w:sz w:val="20"/>
                <w:szCs w:val="20"/>
                <w:color w:val="auto"/>
              </w:rPr>
              <w:t>Title:</w:t>
            </w:r>
          </w:p>
        </w:tc>
        <w:tc>
          <w:tcPr>
            <w:tcW w:w="120" w:type="dxa"/>
            <w:vAlign w:val="bottom"/>
          </w:tcPr>
          <w:p>
            <w:pPr>
              <w:spacing w:after="0"/>
              <w:rPr>
                <w:sz w:val="21"/>
                <w:szCs w:val="21"/>
                <w:color w:val="auto"/>
              </w:rPr>
            </w:pPr>
          </w:p>
        </w:tc>
        <w:tc>
          <w:tcPr>
            <w:tcW w:w="5220" w:type="dxa"/>
            <w:vAlign w:val="bottom"/>
            <w:gridSpan w:val="3"/>
          </w:tcPr>
          <w:p>
            <w:pPr>
              <w:ind w:left="40"/>
              <w:spacing w:after="0"/>
              <w:rPr>
                <w:sz w:val="20"/>
                <w:szCs w:val="20"/>
                <w:color w:val="auto"/>
              </w:rPr>
            </w:pPr>
            <w:r>
              <w:rPr>
                <w:rFonts w:ascii="Arial" w:cs="Arial" w:eastAsia="Arial" w:hAnsi="Arial"/>
                <w:sz w:val="20"/>
                <w:szCs w:val="20"/>
                <w:color w:val="auto"/>
              </w:rPr>
              <w:t>President and Chief Executive Officer</w:t>
            </w:r>
          </w:p>
        </w:tc>
      </w:tr>
    </w:tbl>
    <w:p>
      <w:pPr>
        <w:spacing w:after="0" w:line="200" w:lineRule="exact"/>
        <w:rPr>
          <w:sz w:val="20"/>
          <w:szCs w:val="20"/>
          <w:color w:val="auto"/>
        </w:rPr>
      </w:pPr>
    </w:p>
    <w:p>
      <w:pPr>
        <w:spacing w:after="0" w:line="223" w:lineRule="exact"/>
        <w:rPr>
          <w:sz w:val="20"/>
          <w:szCs w:val="20"/>
          <w:color w:val="auto"/>
        </w:rPr>
      </w:pPr>
    </w:p>
    <w:p>
      <w:pPr>
        <w:ind w:left="3900"/>
        <w:spacing w:after="0"/>
        <w:rPr>
          <w:sz w:val="20"/>
          <w:szCs w:val="20"/>
          <w:color w:val="auto"/>
        </w:rPr>
      </w:pPr>
      <w:r>
        <w:rPr>
          <w:rFonts w:ascii="Arial" w:cs="Arial" w:eastAsia="Arial" w:hAnsi="Arial"/>
          <w:sz w:val="18"/>
          <w:szCs w:val="18"/>
          <w:b w:val="1"/>
          <w:bCs w:val="1"/>
          <w:color w:val="auto"/>
        </w:rPr>
        <w:t>TRANSACT ELEKTRONISCHE ZAHLUNGSSYTEME GMBH</w:t>
      </w:r>
    </w:p>
    <w:p>
      <w:pPr>
        <w:spacing w:after="0" w:line="200" w:lineRule="exact"/>
        <w:rPr>
          <w:sz w:val="20"/>
          <w:szCs w:val="20"/>
          <w:color w:val="auto"/>
        </w:rPr>
      </w:pPr>
    </w:p>
    <w:p>
      <w:pPr>
        <w:spacing w:after="0" w:line="243" w:lineRule="exact"/>
        <w:rPr>
          <w:sz w:val="20"/>
          <w:szCs w:val="20"/>
          <w:color w:val="auto"/>
        </w:rPr>
      </w:pPr>
    </w:p>
    <w:p>
      <w:pPr>
        <w:ind w:left="3900"/>
        <w:spacing w:after="0"/>
        <w:tabs>
          <w:tab w:leader="none" w:pos="4360" w:val="left"/>
        </w:tabs>
        <w:rPr>
          <w:sz w:val="20"/>
          <w:szCs w:val="20"/>
          <w:color w:val="auto"/>
        </w:rPr>
      </w:pPr>
      <w:r>
        <w:rPr>
          <w:rFonts w:ascii="Arial" w:cs="Arial" w:eastAsia="Arial" w:hAnsi="Arial"/>
          <w:sz w:val="20"/>
          <w:szCs w:val="20"/>
          <w:color w:val="auto"/>
        </w:rPr>
        <w:t>By:</w:t>
      </w:r>
      <w:r>
        <w:rPr>
          <w:sz w:val="20"/>
          <w:szCs w:val="20"/>
          <w:color w:val="auto"/>
        </w:rPr>
        <w:tab/>
      </w:r>
      <w:r>
        <w:rPr>
          <w:rFonts w:ascii="Arial" w:cs="Arial" w:eastAsia="Arial" w:hAnsi="Arial"/>
          <w:sz w:val="18"/>
          <w:szCs w:val="18"/>
          <w:color w:val="auto"/>
        </w:rPr>
        <w:t>/s/ Marc Ehler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2656205</wp:posOffset>
            </wp:positionH>
            <wp:positionV relativeFrom="paragraph">
              <wp:posOffset>-14605</wp:posOffset>
            </wp:positionV>
            <wp:extent cx="134747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347470" cy="8890"/>
                    </a:xfrm>
                    <a:prstGeom prst="rect">
                      <a:avLst/>
                    </a:prstGeom>
                    <a:noFill/>
                  </pic:spPr>
                </pic:pic>
              </a:graphicData>
            </a:graphic>
          </wp:anchor>
        </w:drawing>
      </w:r>
    </w:p>
    <w:p>
      <w:pPr>
        <w:ind w:left="3900"/>
        <w:spacing w:after="0"/>
        <w:rPr>
          <w:sz w:val="20"/>
          <w:szCs w:val="20"/>
          <w:color w:val="auto"/>
        </w:rPr>
      </w:pPr>
      <w:r>
        <w:rPr>
          <w:rFonts w:ascii="Arial" w:cs="Arial" w:eastAsia="Arial" w:hAnsi="Arial"/>
          <w:sz w:val="20"/>
          <w:szCs w:val="20"/>
          <w:color w:val="auto"/>
        </w:rPr>
        <w:t>Name: Marc Ehler</w:t>
      </w:r>
    </w:p>
    <w:p>
      <w:pPr>
        <w:ind w:left="3900"/>
        <w:spacing w:after="0"/>
        <w:tabs>
          <w:tab w:leader="none" w:pos="4500" w:val="left"/>
        </w:tabs>
        <w:rPr>
          <w:sz w:val="20"/>
          <w:szCs w:val="20"/>
          <w:color w:val="auto"/>
        </w:rPr>
      </w:pPr>
      <w:r>
        <w:rPr>
          <w:rFonts w:ascii="Arial" w:cs="Arial" w:eastAsia="Arial" w:hAnsi="Arial"/>
          <w:sz w:val="20"/>
          <w:szCs w:val="20"/>
          <w:color w:val="auto"/>
        </w:rPr>
        <w:t>Title:</w:t>
      </w:r>
      <w:r>
        <w:rPr>
          <w:sz w:val="20"/>
          <w:szCs w:val="20"/>
          <w:color w:val="auto"/>
        </w:rPr>
        <w:tab/>
      </w:r>
      <w:r>
        <w:rPr>
          <w:rFonts w:ascii="Arial" w:cs="Arial" w:eastAsia="Arial" w:hAnsi="Arial"/>
          <w:sz w:val="18"/>
          <w:szCs w:val="18"/>
          <w:color w:val="auto"/>
        </w:rPr>
        <w:t>Managing Director</w:t>
      </w:r>
    </w:p>
    <w:p>
      <w:pPr>
        <w:spacing w:after="0" w:line="198" w:lineRule="exact"/>
        <w:rPr>
          <w:sz w:val="20"/>
          <w:szCs w:val="20"/>
          <w:color w:val="auto"/>
        </w:rPr>
      </w:pPr>
    </w:p>
    <w:p>
      <w:pPr>
        <w:ind w:left="3900"/>
        <w:spacing w:after="0"/>
        <w:rPr>
          <w:sz w:val="20"/>
          <w:szCs w:val="20"/>
          <w:color w:val="auto"/>
        </w:rPr>
      </w:pPr>
      <w:r>
        <w:rPr>
          <w:rFonts w:ascii="Arial" w:cs="Arial" w:eastAsia="Arial" w:hAnsi="Arial"/>
          <w:sz w:val="18"/>
          <w:szCs w:val="18"/>
          <w:b w:val="1"/>
          <w:bCs w:val="1"/>
          <w:color w:val="auto"/>
        </w:rPr>
        <w:t>CADOOZ GMBH</w:t>
      </w: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3900"/>
        <w:spacing w:after="0"/>
        <w:tabs>
          <w:tab w:leader="none" w:pos="4360" w:val="left"/>
        </w:tabs>
        <w:rPr>
          <w:sz w:val="20"/>
          <w:szCs w:val="20"/>
          <w:color w:val="auto"/>
        </w:rPr>
      </w:pPr>
      <w:r>
        <w:rPr>
          <w:rFonts w:ascii="Arial" w:cs="Arial" w:eastAsia="Arial" w:hAnsi="Arial"/>
          <w:sz w:val="20"/>
          <w:szCs w:val="20"/>
          <w:color w:val="auto"/>
        </w:rPr>
        <w:t>By:</w:t>
      </w:r>
      <w:r>
        <w:rPr>
          <w:sz w:val="20"/>
          <w:szCs w:val="20"/>
          <w:color w:val="auto"/>
        </w:rPr>
        <w:tab/>
      </w:r>
      <w:r>
        <w:rPr>
          <w:rFonts w:ascii="Arial" w:cs="Arial" w:eastAsia="Arial" w:hAnsi="Arial"/>
          <w:sz w:val="18"/>
          <w:szCs w:val="18"/>
          <w:color w:val="auto"/>
        </w:rPr>
        <w:t>/s/ Marc Ehler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2656205</wp:posOffset>
            </wp:positionH>
            <wp:positionV relativeFrom="paragraph">
              <wp:posOffset>-14605</wp:posOffset>
            </wp:positionV>
            <wp:extent cx="134747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347470" cy="8890"/>
                    </a:xfrm>
                    <a:prstGeom prst="rect">
                      <a:avLst/>
                    </a:prstGeom>
                    <a:noFill/>
                  </pic:spPr>
                </pic:pic>
              </a:graphicData>
            </a:graphic>
          </wp:anchor>
        </w:drawing>
      </w:r>
    </w:p>
    <w:p>
      <w:pPr>
        <w:ind w:left="3900"/>
        <w:spacing w:after="0"/>
        <w:tabs>
          <w:tab w:leader="none" w:pos="4600" w:val="left"/>
        </w:tabs>
        <w:rPr>
          <w:sz w:val="20"/>
          <w:szCs w:val="20"/>
          <w:color w:val="auto"/>
        </w:rPr>
      </w:pPr>
      <w:r>
        <w:rPr>
          <w:rFonts w:ascii="Arial" w:cs="Arial" w:eastAsia="Arial" w:hAnsi="Arial"/>
          <w:sz w:val="20"/>
          <w:szCs w:val="20"/>
          <w:color w:val="auto"/>
        </w:rPr>
        <w:t>Name:</w:t>
      </w:r>
      <w:r>
        <w:rPr>
          <w:sz w:val="20"/>
          <w:szCs w:val="20"/>
          <w:color w:val="auto"/>
        </w:rPr>
        <w:tab/>
      </w:r>
      <w:r>
        <w:rPr>
          <w:rFonts w:ascii="Arial" w:cs="Arial" w:eastAsia="Arial" w:hAnsi="Arial"/>
          <w:sz w:val="18"/>
          <w:szCs w:val="18"/>
          <w:color w:val="auto"/>
        </w:rPr>
        <w:t>Marc Ehler</w:t>
      </w:r>
    </w:p>
    <w:p>
      <w:pPr>
        <w:ind w:left="3900"/>
        <w:spacing w:after="0"/>
        <w:tabs>
          <w:tab w:leader="none" w:pos="4500" w:val="left"/>
        </w:tabs>
        <w:rPr>
          <w:sz w:val="20"/>
          <w:szCs w:val="20"/>
          <w:color w:val="auto"/>
        </w:rPr>
      </w:pPr>
      <w:r>
        <w:rPr>
          <w:rFonts w:ascii="Arial" w:cs="Arial" w:eastAsia="Arial" w:hAnsi="Arial"/>
          <w:sz w:val="20"/>
          <w:szCs w:val="20"/>
          <w:color w:val="auto"/>
        </w:rPr>
        <w:t>Title:</w:t>
      </w:r>
      <w:r>
        <w:rPr>
          <w:sz w:val="20"/>
          <w:szCs w:val="20"/>
          <w:color w:val="auto"/>
        </w:rPr>
        <w:tab/>
      </w:r>
      <w:r>
        <w:rPr>
          <w:rFonts w:ascii="Arial" w:cs="Arial" w:eastAsia="Arial" w:hAnsi="Arial"/>
          <w:sz w:val="18"/>
          <w:szCs w:val="18"/>
          <w:color w:val="auto"/>
        </w:rPr>
        <w:t>Managing Director</w:t>
      </w:r>
    </w:p>
    <w:p>
      <w:pPr>
        <w:spacing w:after="0" w:line="198" w:lineRule="exact"/>
        <w:rPr>
          <w:sz w:val="20"/>
          <w:szCs w:val="20"/>
          <w:color w:val="auto"/>
        </w:rPr>
      </w:pPr>
    </w:p>
    <w:p>
      <w:pPr>
        <w:ind w:left="3900"/>
        <w:spacing w:after="0"/>
        <w:rPr>
          <w:sz w:val="20"/>
          <w:szCs w:val="20"/>
          <w:color w:val="auto"/>
        </w:rPr>
      </w:pPr>
      <w:r>
        <w:rPr>
          <w:rFonts w:ascii="Arial" w:cs="Arial" w:eastAsia="Arial" w:hAnsi="Arial"/>
          <w:sz w:val="18"/>
          <w:szCs w:val="18"/>
          <w:b w:val="1"/>
          <w:bCs w:val="1"/>
          <w:color w:val="auto"/>
        </w:rPr>
        <w:t>CADOOZ REWARDS GMBH</w:t>
      </w: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3900"/>
        <w:spacing w:after="0"/>
        <w:tabs>
          <w:tab w:leader="none" w:pos="4360" w:val="left"/>
        </w:tabs>
        <w:rPr>
          <w:sz w:val="20"/>
          <w:szCs w:val="20"/>
          <w:color w:val="auto"/>
        </w:rPr>
      </w:pPr>
      <w:r>
        <w:rPr>
          <w:rFonts w:ascii="Arial" w:cs="Arial" w:eastAsia="Arial" w:hAnsi="Arial"/>
          <w:sz w:val="20"/>
          <w:szCs w:val="20"/>
          <w:color w:val="auto"/>
        </w:rPr>
        <w:t>By:</w:t>
      </w:r>
      <w:r>
        <w:rPr>
          <w:sz w:val="20"/>
          <w:szCs w:val="20"/>
          <w:color w:val="auto"/>
        </w:rPr>
        <w:tab/>
      </w:r>
      <w:r>
        <w:rPr>
          <w:rFonts w:ascii="Arial" w:cs="Arial" w:eastAsia="Arial" w:hAnsi="Arial"/>
          <w:sz w:val="18"/>
          <w:szCs w:val="18"/>
          <w:color w:val="auto"/>
        </w:rPr>
        <w:t>/s/ Benjamin Stoffels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2656205</wp:posOffset>
            </wp:positionH>
            <wp:positionV relativeFrom="paragraph">
              <wp:posOffset>-14605</wp:posOffset>
            </wp:positionV>
            <wp:extent cx="1561465"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561465" cy="8890"/>
                    </a:xfrm>
                    <a:prstGeom prst="rect">
                      <a:avLst/>
                    </a:prstGeom>
                    <a:noFill/>
                  </pic:spPr>
                </pic:pic>
              </a:graphicData>
            </a:graphic>
          </wp:anchor>
        </w:drawing>
      </w:r>
    </w:p>
    <w:p>
      <w:pPr>
        <w:ind w:left="3900"/>
        <w:spacing w:after="0"/>
        <w:tabs>
          <w:tab w:leader="none" w:pos="4600" w:val="left"/>
        </w:tabs>
        <w:rPr>
          <w:sz w:val="20"/>
          <w:szCs w:val="20"/>
          <w:color w:val="auto"/>
        </w:rPr>
      </w:pPr>
      <w:r>
        <w:rPr>
          <w:rFonts w:ascii="Arial" w:cs="Arial" w:eastAsia="Arial" w:hAnsi="Arial"/>
          <w:sz w:val="20"/>
          <w:szCs w:val="20"/>
          <w:color w:val="auto"/>
        </w:rPr>
        <w:t>Name:</w:t>
      </w:r>
      <w:r>
        <w:rPr>
          <w:sz w:val="20"/>
          <w:szCs w:val="20"/>
          <w:color w:val="auto"/>
        </w:rPr>
        <w:tab/>
      </w:r>
      <w:r>
        <w:rPr>
          <w:rFonts w:ascii="Arial" w:cs="Arial" w:eastAsia="Arial" w:hAnsi="Arial"/>
          <w:sz w:val="18"/>
          <w:szCs w:val="18"/>
          <w:color w:val="auto"/>
        </w:rPr>
        <w:t>Benjamin Stoffels</w:t>
      </w:r>
    </w:p>
    <w:p>
      <w:pPr>
        <w:ind w:left="3900"/>
        <w:spacing w:after="0"/>
        <w:tabs>
          <w:tab w:leader="none" w:pos="4500" w:val="left"/>
        </w:tabs>
        <w:rPr>
          <w:sz w:val="20"/>
          <w:szCs w:val="20"/>
          <w:color w:val="auto"/>
        </w:rPr>
      </w:pPr>
      <w:r>
        <w:rPr>
          <w:rFonts w:ascii="Arial" w:cs="Arial" w:eastAsia="Arial" w:hAnsi="Arial"/>
          <w:sz w:val="20"/>
          <w:szCs w:val="20"/>
          <w:color w:val="auto"/>
        </w:rPr>
        <w:t>Title:</w:t>
      </w:r>
      <w:r>
        <w:rPr>
          <w:sz w:val="20"/>
          <w:szCs w:val="20"/>
          <w:color w:val="auto"/>
        </w:rPr>
        <w:tab/>
      </w:r>
      <w:r>
        <w:rPr>
          <w:rFonts w:ascii="Arial" w:cs="Arial" w:eastAsia="Arial" w:hAnsi="Arial"/>
          <w:sz w:val="18"/>
          <w:szCs w:val="18"/>
          <w:color w:val="auto"/>
        </w:rPr>
        <w:t>Managing Director</w:t>
      </w:r>
    </w:p>
    <w:p>
      <w:pPr>
        <w:spacing w:after="0" w:line="382" w:lineRule="exact"/>
        <w:rPr>
          <w:sz w:val="20"/>
          <w:szCs w:val="20"/>
          <w:color w:val="auto"/>
        </w:rPr>
      </w:pPr>
    </w:p>
    <w:p>
      <w:pPr>
        <w:jc w:val="right"/>
        <w:spacing w:after="0"/>
        <w:rPr>
          <w:sz w:val="20"/>
          <w:szCs w:val="20"/>
          <w:color w:val="auto"/>
        </w:rPr>
      </w:pPr>
      <w:r>
        <w:rPr>
          <w:rFonts w:ascii="Arial" w:cs="Arial" w:eastAsia="Arial" w:hAnsi="Arial"/>
          <w:sz w:val="16"/>
          <w:szCs w:val="16"/>
          <w:color w:val="auto"/>
        </w:rPr>
        <w:t>AMENDMENT NO. 1</w:t>
      </w:r>
    </w:p>
    <w:p>
      <w:pPr>
        <w:spacing w:after="0" w:line="19" w:lineRule="exact"/>
        <w:rPr>
          <w:sz w:val="20"/>
          <w:szCs w:val="20"/>
          <w:color w:val="auto"/>
        </w:rPr>
      </w:pPr>
    </w:p>
    <w:p>
      <w:pPr>
        <w:jc w:val="right"/>
        <w:spacing w:after="0"/>
        <w:rPr>
          <w:sz w:val="20"/>
          <w:szCs w:val="20"/>
          <w:color w:val="auto"/>
        </w:rPr>
      </w:pPr>
      <w:r>
        <w:rPr>
          <w:rFonts w:ascii="Arial" w:cs="Arial" w:eastAsia="Arial" w:hAnsi="Arial"/>
          <w:sz w:val="16"/>
          <w:szCs w:val="16"/>
          <w:color w:val="auto"/>
        </w:rPr>
        <w:t>EURONET WORLDWIDE, INC.</w:t>
      </w:r>
    </w:p>
    <w:p>
      <w:pPr>
        <w:sectPr>
          <w:pgSz w:w="11900" w:h="16838" w:orient="portrait"/>
          <w:cols w:equalWidth="0" w:num="1">
            <w:col w:w="11420"/>
          </w:cols>
          <w:pgMar w:left="240" w:top="787" w:right="239" w:bottom="1440" w:gutter="0" w:footer="0" w:header="0"/>
        </w:sectPr>
      </w:pPr>
    </w:p>
    <w:bookmarkStart w:id="45" w:name="page46"/>
    <w:bookmarkEnd w:id="45"/>
    <w:p>
      <w:pPr>
        <w:ind w:left="2700"/>
        <w:spacing w:after="0"/>
        <w:rPr>
          <w:sz w:val="20"/>
          <w:szCs w:val="20"/>
          <w:color w:val="auto"/>
        </w:rPr>
      </w:pPr>
      <w:r>
        <w:rPr>
          <w:rFonts w:ascii="Arial" w:cs="Arial" w:eastAsia="Arial" w:hAnsi="Arial"/>
          <w:sz w:val="18"/>
          <w:szCs w:val="18"/>
          <w:b w:val="1"/>
          <w:bCs w:val="1"/>
          <w:color w:val="auto"/>
        </w:rPr>
        <w:t>RIA NETHERLANDS HOLDING B.V.</w:t>
      </w:r>
    </w:p>
    <w:p>
      <w:pPr>
        <w:spacing w:after="0" w:line="227" w:lineRule="exact"/>
        <w:rPr>
          <w:sz w:val="20"/>
          <w:szCs w:val="20"/>
          <w:color w:val="auto"/>
        </w:rPr>
      </w:pPr>
    </w:p>
    <w:p>
      <w:pPr>
        <w:ind w:left="2700"/>
        <w:spacing w:after="0"/>
        <w:tabs>
          <w:tab w:leader="none" w:pos="3160" w:val="left"/>
        </w:tabs>
        <w:rPr>
          <w:sz w:val="20"/>
          <w:szCs w:val="20"/>
          <w:color w:val="auto"/>
        </w:rPr>
      </w:pPr>
      <w:r>
        <w:rPr>
          <w:rFonts w:ascii="Arial" w:cs="Arial" w:eastAsia="Arial" w:hAnsi="Arial"/>
          <w:sz w:val="20"/>
          <w:szCs w:val="20"/>
          <w:color w:val="auto"/>
        </w:rPr>
        <w:t>By:</w:t>
      </w:r>
      <w:r>
        <w:rPr>
          <w:sz w:val="20"/>
          <w:szCs w:val="20"/>
          <w:color w:val="auto"/>
        </w:rPr>
        <w:tab/>
      </w:r>
      <w:r>
        <w:rPr>
          <w:rFonts w:ascii="Arial" w:cs="Arial" w:eastAsia="Arial" w:hAnsi="Arial"/>
          <w:sz w:val="16"/>
          <w:szCs w:val="16"/>
          <w:color w:val="auto"/>
        </w:rPr>
        <w:t>/s/ Andre Van Daatselaar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1894205</wp:posOffset>
            </wp:positionH>
            <wp:positionV relativeFrom="paragraph">
              <wp:posOffset>-14605</wp:posOffset>
            </wp:positionV>
            <wp:extent cx="1630045"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630045" cy="8890"/>
                    </a:xfrm>
                    <a:prstGeom prst="rect">
                      <a:avLst/>
                    </a:prstGeom>
                    <a:noFill/>
                  </pic:spPr>
                </pic:pic>
              </a:graphicData>
            </a:graphic>
          </wp:anchor>
        </w:drawing>
      </w:r>
    </w:p>
    <w:p>
      <w:pPr>
        <w:ind w:left="2700"/>
        <w:spacing w:after="0"/>
        <w:tabs>
          <w:tab w:leader="none" w:pos="3440" w:val="left"/>
        </w:tabs>
        <w:rPr>
          <w:sz w:val="20"/>
          <w:szCs w:val="20"/>
          <w:color w:val="auto"/>
        </w:rPr>
      </w:pPr>
      <w:r>
        <w:rPr>
          <w:rFonts w:ascii="Arial" w:cs="Arial" w:eastAsia="Arial" w:hAnsi="Arial"/>
          <w:sz w:val="20"/>
          <w:szCs w:val="20"/>
          <w:color w:val="auto"/>
        </w:rPr>
        <w:t>Name:</w:t>
        <w:tab/>
        <w:t>Andre Van Daatselaar</w:t>
      </w:r>
    </w:p>
    <w:p>
      <w:pPr>
        <w:ind w:left="2700"/>
        <w:spacing w:after="0"/>
        <w:tabs>
          <w:tab w:leader="none" w:pos="3340" w:val="left"/>
        </w:tabs>
        <w:rPr>
          <w:sz w:val="20"/>
          <w:szCs w:val="20"/>
          <w:color w:val="auto"/>
        </w:rPr>
      </w:pPr>
      <w:r>
        <w:rPr>
          <w:rFonts w:ascii="Arial" w:cs="Arial" w:eastAsia="Arial" w:hAnsi="Arial"/>
          <w:sz w:val="20"/>
          <w:szCs w:val="20"/>
          <w:color w:val="auto"/>
        </w:rPr>
        <w:t>Title:</w:t>
        <w:tab/>
        <w:t>Director A</w:t>
      </w:r>
    </w:p>
    <w:p>
      <w:pPr>
        <w:spacing w:after="0" w:line="213" w:lineRule="exact"/>
        <w:rPr>
          <w:sz w:val="20"/>
          <w:szCs w:val="20"/>
          <w:color w:val="auto"/>
        </w:rPr>
      </w:pPr>
    </w:p>
    <w:p>
      <w:pPr>
        <w:ind w:left="2700"/>
        <w:spacing w:after="0"/>
        <w:tabs>
          <w:tab w:leader="none" w:pos="3160" w:val="left"/>
        </w:tabs>
        <w:rPr>
          <w:sz w:val="20"/>
          <w:szCs w:val="20"/>
          <w:color w:val="auto"/>
        </w:rPr>
      </w:pPr>
      <w:r>
        <w:rPr>
          <w:rFonts w:ascii="Arial" w:cs="Arial" w:eastAsia="Arial" w:hAnsi="Arial"/>
          <w:sz w:val="20"/>
          <w:szCs w:val="20"/>
          <w:color w:val="auto"/>
        </w:rPr>
        <w:t>By:</w:t>
      </w:r>
      <w:r>
        <w:rPr>
          <w:sz w:val="20"/>
          <w:szCs w:val="20"/>
          <w:color w:val="auto"/>
        </w:rPr>
        <w:tab/>
      </w:r>
      <w:r>
        <w:rPr>
          <w:rFonts w:ascii="Arial" w:cs="Arial" w:eastAsia="Arial" w:hAnsi="Arial"/>
          <w:sz w:val="16"/>
          <w:szCs w:val="16"/>
          <w:color w:val="auto"/>
        </w:rPr>
        <w:t>/s/ Desmond Acosta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1894205</wp:posOffset>
            </wp:positionH>
            <wp:positionV relativeFrom="paragraph">
              <wp:posOffset>-14605</wp:posOffset>
            </wp:positionV>
            <wp:extent cx="151511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515110" cy="8890"/>
                    </a:xfrm>
                    <a:prstGeom prst="rect">
                      <a:avLst/>
                    </a:prstGeom>
                    <a:noFill/>
                  </pic:spPr>
                </pic:pic>
              </a:graphicData>
            </a:graphic>
          </wp:anchor>
        </w:drawing>
      </w:r>
    </w:p>
    <w:p>
      <w:pPr>
        <w:ind w:left="2700"/>
        <w:spacing w:after="0"/>
        <w:tabs>
          <w:tab w:leader="none" w:pos="3460" w:val="left"/>
        </w:tabs>
        <w:rPr>
          <w:sz w:val="20"/>
          <w:szCs w:val="20"/>
          <w:color w:val="auto"/>
        </w:rPr>
      </w:pPr>
      <w:r>
        <w:rPr>
          <w:rFonts w:ascii="Arial" w:cs="Arial" w:eastAsia="Arial" w:hAnsi="Arial"/>
          <w:sz w:val="20"/>
          <w:szCs w:val="20"/>
          <w:color w:val="auto"/>
        </w:rPr>
        <w:t>Name:</w:t>
        <w:tab/>
        <w:t>Desmond Acosta</w:t>
      </w:r>
    </w:p>
    <w:p>
      <w:pPr>
        <w:ind w:left="2700"/>
        <w:spacing w:after="0"/>
        <w:tabs>
          <w:tab w:leader="none" w:pos="3340" w:val="left"/>
        </w:tabs>
        <w:rPr>
          <w:sz w:val="20"/>
          <w:szCs w:val="20"/>
          <w:color w:val="auto"/>
        </w:rPr>
      </w:pPr>
      <w:r>
        <w:rPr>
          <w:rFonts w:ascii="Arial" w:cs="Arial" w:eastAsia="Arial" w:hAnsi="Arial"/>
          <w:sz w:val="20"/>
          <w:szCs w:val="20"/>
          <w:color w:val="auto"/>
        </w:rPr>
        <w:t>Title:</w:t>
        <w:tab/>
        <w:t>Director B</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2700"/>
        <w:spacing w:after="0"/>
        <w:rPr>
          <w:sz w:val="20"/>
          <w:szCs w:val="20"/>
          <w:color w:val="auto"/>
        </w:rPr>
      </w:pPr>
      <w:r>
        <w:rPr>
          <w:rFonts w:ascii="Arial" w:cs="Arial" w:eastAsia="Arial" w:hAnsi="Arial"/>
          <w:sz w:val="18"/>
          <w:szCs w:val="18"/>
          <w:b w:val="1"/>
          <w:bCs w:val="1"/>
          <w:color w:val="auto"/>
        </w:rPr>
        <w:t>EFT SERVICES HOLDINGS B.V.</w:t>
      </w:r>
    </w:p>
    <w:p>
      <w:pPr>
        <w:spacing w:after="0" w:line="227" w:lineRule="exact"/>
        <w:rPr>
          <w:sz w:val="20"/>
          <w:szCs w:val="20"/>
          <w:color w:val="auto"/>
        </w:rPr>
      </w:pPr>
    </w:p>
    <w:p>
      <w:pPr>
        <w:ind w:left="2700"/>
        <w:spacing w:after="0"/>
        <w:tabs>
          <w:tab w:leader="none" w:pos="3160" w:val="left"/>
        </w:tabs>
        <w:rPr>
          <w:sz w:val="20"/>
          <w:szCs w:val="20"/>
          <w:color w:val="auto"/>
        </w:rPr>
      </w:pPr>
      <w:r>
        <w:rPr>
          <w:rFonts w:ascii="Arial" w:cs="Arial" w:eastAsia="Arial" w:hAnsi="Arial"/>
          <w:sz w:val="20"/>
          <w:szCs w:val="20"/>
          <w:color w:val="auto"/>
        </w:rPr>
        <w:t>By:</w:t>
      </w:r>
      <w:r>
        <w:rPr>
          <w:sz w:val="20"/>
          <w:szCs w:val="20"/>
          <w:color w:val="auto"/>
        </w:rPr>
        <w:tab/>
      </w:r>
      <w:r>
        <w:rPr>
          <w:rFonts w:ascii="Arial" w:cs="Arial" w:eastAsia="Arial" w:hAnsi="Arial"/>
          <w:sz w:val="16"/>
          <w:szCs w:val="16"/>
          <w:color w:val="auto"/>
        </w:rPr>
        <w:t>/s/ Andre Van Daatselaar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1894205</wp:posOffset>
            </wp:positionH>
            <wp:positionV relativeFrom="paragraph">
              <wp:posOffset>-14605</wp:posOffset>
            </wp:positionV>
            <wp:extent cx="1630045"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630045" cy="8890"/>
                    </a:xfrm>
                    <a:prstGeom prst="rect">
                      <a:avLst/>
                    </a:prstGeom>
                    <a:noFill/>
                  </pic:spPr>
                </pic:pic>
              </a:graphicData>
            </a:graphic>
          </wp:anchor>
        </w:drawing>
      </w:r>
    </w:p>
    <w:p>
      <w:pPr>
        <w:ind w:left="2700"/>
        <w:spacing w:after="0"/>
        <w:tabs>
          <w:tab w:leader="none" w:pos="3440" w:val="left"/>
        </w:tabs>
        <w:rPr>
          <w:sz w:val="20"/>
          <w:szCs w:val="20"/>
          <w:color w:val="auto"/>
        </w:rPr>
      </w:pPr>
      <w:r>
        <w:rPr>
          <w:rFonts w:ascii="Arial" w:cs="Arial" w:eastAsia="Arial" w:hAnsi="Arial"/>
          <w:sz w:val="20"/>
          <w:szCs w:val="20"/>
          <w:color w:val="auto"/>
        </w:rPr>
        <w:t>Name:</w:t>
        <w:tab/>
        <w:t>Andre Van Daatselaar</w:t>
      </w:r>
    </w:p>
    <w:p>
      <w:pPr>
        <w:ind w:left="2700"/>
        <w:spacing w:after="0"/>
        <w:tabs>
          <w:tab w:leader="none" w:pos="3340" w:val="left"/>
        </w:tabs>
        <w:rPr>
          <w:sz w:val="20"/>
          <w:szCs w:val="20"/>
          <w:color w:val="auto"/>
        </w:rPr>
      </w:pPr>
      <w:r>
        <w:rPr>
          <w:rFonts w:ascii="Arial" w:cs="Arial" w:eastAsia="Arial" w:hAnsi="Arial"/>
          <w:sz w:val="20"/>
          <w:szCs w:val="20"/>
          <w:color w:val="auto"/>
        </w:rPr>
        <w:t>Title:</w:t>
        <w:tab/>
        <w:t>Director A</w:t>
      </w:r>
    </w:p>
    <w:p>
      <w:pPr>
        <w:spacing w:after="0" w:line="213" w:lineRule="exact"/>
        <w:rPr>
          <w:sz w:val="20"/>
          <w:szCs w:val="20"/>
          <w:color w:val="auto"/>
        </w:rPr>
      </w:pPr>
    </w:p>
    <w:p>
      <w:pPr>
        <w:ind w:left="2700"/>
        <w:spacing w:after="0"/>
        <w:tabs>
          <w:tab w:leader="none" w:pos="3160" w:val="left"/>
        </w:tabs>
        <w:rPr>
          <w:sz w:val="20"/>
          <w:szCs w:val="20"/>
          <w:color w:val="auto"/>
        </w:rPr>
      </w:pPr>
      <w:r>
        <w:rPr>
          <w:rFonts w:ascii="Arial" w:cs="Arial" w:eastAsia="Arial" w:hAnsi="Arial"/>
          <w:sz w:val="20"/>
          <w:szCs w:val="20"/>
          <w:color w:val="auto"/>
        </w:rPr>
        <w:t>By:</w:t>
      </w:r>
      <w:r>
        <w:rPr>
          <w:sz w:val="20"/>
          <w:szCs w:val="20"/>
          <w:color w:val="auto"/>
        </w:rPr>
        <w:tab/>
      </w:r>
      <w:r>
        <w:rPr>
          <w:rFonts w:ascii="Arial" w:cs="Arial" w:eastAsia="Arial" w:hAnsi="Arial"/>
          <w:sz w:val="16"/>
          <w:szCs w:val="16"/>
          <w:color w:val="auto"/>
        </w:rPr>
        <w:t>/s/ Desmond Acosta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1894205</wp:posOffset>
            </wp:positionH>
            <wp:positionV relativeFrom="paragraph">
              <wp:posOffset>-14605</wp:posOffset>
            </wp:positionV>
            <wp:extent cx="151511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515110" cy="8890"/>
                    </a:xfrm>
                    <a:prstGeom prst="rect">
                      <a:avLst/>
                    </a:prstGeom>
                    <a:noFill/>
                  </pic:spPr>
                </pic:pic>
              </a:graphicData>
            </a:graphic>
          </wp:anchor>
        </w:drawing>
      </w:r>
    </w:p>
    <w:p>
      <w:pPr>
        <w:ind w:left="2700"/>
        <w:spacing w:after="0"/>
        <w:tabs>
          <w:tab w:leader="none" w:pos="3460" w:val="left"/>
        </w:tabs>
        <w:rPr>
          <w:sz w:val="20"/>
          <w:szCs w:val="20"/>
          <w:color w:val="auto"/>
        </w:rPr>
      </w:pPr>
      <w:r>
        <w:rPr>
          <w:rFonts w:ascii="Arial" w:cs="Arial" w:eastAsia="Arial" w:hAnsi="Arial"/>
          <w:sz w:val="20"/>
          <w:szCs w:val="20"/>
          <w:color w:val="auto"/>
        </w:rPr>
        <w:t>Name:</w:t>
        <w:tab/>
        <w:t>Desmond Acosta</w:t>
      </w:r>
    </w:p>
    <w:p>
      <w:pPr>
        <w:ind w:left="2700"/>
        <w:spacing w:after="0"/>
        <w:tabs>
          <w:tab w:leader="none" w:pos="3340" w:val="left"/>
        </w:tabs>
        <w:rPr>
          <w:sz w:val="20"/>
          <w:szCs w:val="20"/>
          <w:color w:val="auto"/>
        </w:rPr>
      </w:pPr>
      <w:r>
        <w:rPr>
          <w:rFonts w:ascii="Arial" w:cs="Arial" w:eastAsia="Arial" w:hAnsi="Arial"/>
          <w:sz w:val="20"/>
          <w:szCs w:val="20"/>
          <w:color w:val="auto"/>
        </w:rPr>
        <w:t>Title:</w:t>
        <w:tab/>
        <w:t>Director B</w:t>
      </w:r>
    </w:p>
    <w:p>
      <w:pPr>
        <w:spacing w:after="0" w:line="198" w:lineRule="exact"/>
        <w:rPr>
          <w:sz w:val="20"/>
          <w:szCs w:val="20"/>
          <w:color w:val="auto"/>
        </w:rPr>
      </w:pPr>
    </w:p>
    <w:p>
      <w:pPr>
        <w:ind w:left="2700"/>
        <w:spacing w:after="0"/>
        <w:rPr>
          <w:sz w:val="20"/>
          <w:szCs w:val="20"/>
          <w:color w:val="auto"/>
        </w:rPr>
      </w:pPr>
      <w:r>
        <w:rPr>
          <w:rFonts w:ascii="Arial" w:cs="Arial" w:eastAsia="Arial" w:hAnsi="Arial"/>
          <w:sz w:val="18"/>
          <w:szCs w:val="18"/>
          <w:b w:val="1"/>
          <w:bCs w:val="1"/>
          <w:color w:val="auto"/>
        </w:rPr>
        <w:t>E-PAY NEW ZEALAND LIMITED</w:t>
      </w: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2700"/>
        <w:spacing w:after="0"/>
        <w:tabs>
          <w:tab w:leader="none" w:pos="3160" w:val="left"/>
        </w:tabs>
        <w:rPr>
          <w:sz w:val="20"/>
          <w:szCs w:val="20"/>
          <w:color w:val="auto"/>
        </w:rPr>
      </w:pPr>
      <w:r>
        <w:rPr>
          <w:rFonts w:ascii="Arial" w:cs="Arial" w:eastAsia="Arial" w:hAnsi="Arial"/>
          <w:sz w:val="20"/>
          <w:szCs w:val="20"/>
          <w:color w:val="auto"/>
        </w:rPr>
        <w:t>By:</w:t>
      </w:r>
      <w:r>
        <w:rPr>
          <w:sz w:val="20"/>
          <w:szCs w:val="20"/>
          <w:color w:val="auto"/>
        </w:rPr>
        <w:tab/>
      </w:r>
      <w:r>
        <w:rPr>
          <w:rFonts w:ascii="Arial" w:cs="Arial" w:eastAsia="Arial" w:hAnsi="Arial"/>
          <w:sz w:val="16"/>
          <w:szCs w:val="16"/>
          <w:color w:val="auto"/>
        </w:rPr>
        <w:t>/s/ Roger Smith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1894205</wp:posOffset>
            </wp:positionH>
            <wp:positionV relativeFrom="paragraph">
              <wp:posOffset>-14605</wp:posOffset>
            </wp:positionV>
            <wp:extent cx="141732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417320" cy="8890"/>
                    </a:xfrm>
                    <a:prstGeom prst="rect">
                      <a:avLst/>
                    </a:prstGeom>
                    <a:noFill/>
                  </pic:spPr>
                </pic:pic>
              </a:graphicData>
            </a:graphic>
          </wp:anchor>
        </w:drawing>
      </w:r>
    </w:p>
    <w:p>
      <w:pPr>
        <w:ind w:left="2700"/>
        <w:spacing w:after="0"/>
        <w:tabs>
          <w:tab w:leader="none" w:pos="3400" w:val="left"/>
        </w:tabs>
        <w:rPr>
          <w:sz w:val="20"/>
          <w:szCs w:val="20"/>
          <w:color w:val="auto"/>
        </w:rPr>
      </w:pPr>
      <w:r>
        <w:rPr>
          <w:rFonts w:ascii="Arial" w:cs="Arial" w:eastAsia="Arial" w:hAnsi="Arial"/>
          <w:sz w:val="20"/>
          <w:szCs w:val="20"/>
          <w:color w:val="auto"/>
        </w:rPr>
        <w:t>Name:</w:t>
      </w:r>
      <w:r>
        <w:rPr>
          <w:sz w:val="20"/>
          <w:szCs w:val="20"/>
          <w:color w:val="auto"/>
        </w:rPr>
        <w:tab/>
      </w:r>
      <w:r>
        <w:rPr>
          <w:rFonts w:ascii="Arial" w:cs="Arial" w:eastAsia="Arial" w:hAnsi="Arial"/>
          <w:sz w:val="16"/>
          <w:szCs w:val="16"/>
          <w:color w:val="auto"/>
        </w:rPr>
        <w:t>Roger Smith</w:t>
      </w:r>
    </w:p>
    <w:p>
      <w:pPr>
        <w:ind w:left="2700"/>
        <w:spacing w:after="0"/>
        <w:tabs>
          <w:tab w:leader="none" w:pos="3300" w:val="left"/>
        </w:tabs>
        <w:rPr>
          <w:sz w:val="20"/>
          <w:szCs w:val="20"/>
          <w:color w:val="auto"/>
        </w:rPr>
      </w:pPr>
      <w:r>
        <w:rPr>
          <w:rFonts w:ascii="Arial" w:cs="Arial" w:eastAsia="Arial" w:hAnsi="Arial"/>
          <w:sz w:val="20"/>
          <w:szCs w:val="20"/>
          <w:color w:val="auto"/>
        </w:rPr>
        <w:t>Title:</w:t>
      </w:r>
      <w:r>
        <w:rPr>
          <w:sz w:val="20"/>
          <w:szCs w:val="20"/>
          <w:color w:val="auto"/>
        </w:rPr>
        <w:tab/>
      </w:r>
      <w:r>
        <w:rPr>
          <w:rFonts w:ascii="Arial" w:cs="Arial" w:eastAsia="Arial" w:hAnsi="Arial"/>
          <w:sz w:val="18"/>
          <w:szCs w:val="18"/>
          <w:color w:val="auto"/>
        </w:rPr>
        <w:t>Managing Director</w:t>
      </w:r>
    </w:p>
    <w:p>
      <w:pPr>
        <w:spacing w:after="0" w:line="200" w:lineRule="exact"/>
        <w:rPr>
          <w:sz w:val="20"/>
          <w:szCs w:val="20"/>
          <w:color w:val="auto"/>
        </w:rPr>
      </w:pPr>
    </w:p>
    <w:p>
      <w:pPr>
        <w:ind w:left="2700"/>
        <w:spacing w:after="0"/>
        <w:tabs>
          <w:tab w:leader="none" w:pos="3160" w:val="left"/>
        </w:tabs>
        <w:rPr>
          <w:sz w:val="20"/>
          <w:szCs w:val="20"/>
          <w:color w:val="auto"/>
        </w:rPr>
      </w:pPr>
      <w:r>
        <w:rPr>
          <w:rFonts w:ascii="Arial" w:cs="Arial" w:eastAsia="Arial" w:hAnsi="Arial"/>
          <w:sz w:val="20"/>
          <w:szCs w:val="20"/>
          <w:color w:val="auto"/>
        </w:rPr>
        <w:t>By:</w:t>
      </w:r>
      <w:r>
        <w:rPr>
          <w:sz w:val="20"/>
          <w:szCs w:val="20"/>
          <w:color w:val="auto"/>
        </w:rPr>
        <w:tab/>
      </w:r>
      <w:r>
        <w:rPr>
          <w:rFonts w:ascii="Arial" w:cs="Arial" w:eastAsia="Arial" w:hAnsi="Arial"/>
          <w:sz w:val="16"/>
          <w:szCs w:val="16"/>
          <w:color w:val="auto"/>
        </w:rPr>
        <w:t>/s/ Desmond Acosta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1894205</wp:posOffset>
            </wp:positionH>
            <wp:positionV relativeFrom="paragraph">
              <wp:posOffset>-14605</wp:posOffset>
            </wp:positionV>
            <wp:extent cx="151511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515110" cy="8890"/>
                    </a:xfrm>
                    <a:prstGeom prst="rect">
                      <a:avLst/>
                    </a:prstGeom>
                    <a:noFill/>
                  </pic:spPr>
                </pic:pic>
              </a:graphicData>
            </a:graphic>
          </wp:anchor>
        </w:drawing>
      </w:r>
    </w:p>
    <w:p>
      <w:pPr>
        <w:ind w:left="2700"/>
        <w:spacing w:after="0"/>
        <w:tabs>
          <w:tab w:leader="none" w:pos="3400" w:val="left"/>
        </w:tabs>
        <w:rPr>
          <w:sz w:val="20"/>
          <w:szCs w:val="20"/>
          <w:color w:val="auto"/>
        </w:rPr>
      </w:pPr>
      <w:r>
        <w:rPr>
          <w:rFonts w:ascii="Arial" w:cs="Arial" w:eastAsia="Arial" w:hAnsi="Arial"/>
          <w:sz w:val="20"/>
          <w:szCs w:val="20"/>
          <w:color w:val="auto"/>
        </w:rPr>
        <w:t>Name:</w:t>
      </w:r>
      <w:r>
        <w:rPr>
          <w:sz w:val="20"/>
          <w:szCs w:val="20"/>
          <w:color w:val="auto"/>
        </w:rPr>
        <w:tab/>
      </w:r>
      <w:r>
        <w:rPr>
          <w:rFonts w:ascii="Arial" w:cs="Arial" w:eastAsia="Arial" w:hAnsi="Arial"/>
          <w:sz w:val="16"/>
          <w:szCs w:val="16"/>
          <w:color w:val="auto"/>
        </w:rPr>
        <w:t>Desmond Acosta</w:t>
      </w:r>
    </w:p>
    <w:p>
      <w:pPr>
        <w:ind w:left="2700"/>
        <w:spacing w:after="0"/>
        <w:tabs>
          <w:tab w:leader="none" w:pos="3300" w:val="left"/>
        </w:tabs>
        <w:rPr>
          <w:sz w:val="20"/>
          <w:szCs w:val="20"/>
          <w:color w:val="auto"/>
        </w:rPr>
      </w:pPr>
      <w:r>
        <w:rPr>
          <w:rFonts w:ascii="Arial" w:cs="Arial" w:eastAsia="Arial" w:hAnsi="Arial"/>
          <w:sz w:val="20"/>
          <w:szCs w:val="20"/>
          <w:color w:val="auto"/>
        </w:rPr>
        <w:t>Title:</w:t>
      </w:r>
      <w:r>
        <w:rPr>
          <w:sz w:val="20"/>
          <w:szCs w:val="20"/>
          <w:color w:val="auto"/>
        </w:rPr>
        <w:tab/>
      </w:r>
      <w:r>
        <w:rPr>
          <w:rFonts w:ascii="Arial" w:cs="Arial" w:eastAsia="Arial" w:hAnsi="Arial"/>
          <w:sz w:val="18"/>
          <w:szCs w:val="18"/>
          <w:color w:val="auto"/>
        </w:rPr>
        <w:t>Director</w:t>
      </w:r>
    </w:p>
    <w:p>
      <w:pPr>
        <w:spacing w:after="0" w:line="198" w:lineRule="exact"/>
        <w:rPr>
          <w:sz w:val="20"/>
          <w:szCs w:val="20"/>
          <w:color w:val="auto"/>
        </w:rPr>
      </w:pPr>
    </w:p>
    <w:p>
      <w:pPr>
        <w:ind w:left="2700"/>
        <w:spacing w:after="0"/>
        <w:rPr>
          <w:sz w:val="20"/>
          <w:szCs w:val="20"/>
          <w:color w:val="auto"/>
        </w:rPr>
      </w:pPr>
      <w:r>
        <w:rPr>
          <w:rFonts w:ascii="Arial" w:cs="Arial" w:eastAsia="Arial" w:hAnsi="Arial"/>
          <w:sz w:val="18"/>
          <w:szCs w:val="18"/>
          <w:b w:val="1"/>
          <w:bCs w:val="1"/>
          <w:color w:val="auto"/>
        </w:rPr>
        <w:t xml:space="preserve">EURONET POLSKA SP. Z.O.O. </w:t>
      </w:r>
      <w:r>
        <w:rPr>
          <w:rFonts w:ascii="Arial" w:cs="Arial" w:eastAsia="Arial" w:hAnsi="Arial"/>
          <w:sz w:val="18"/>
          <w:szCs w:val="18"/>
          <w:color w:val="auto"/>
        </w:rPr>
        <w:t>(formerly known as BANKOMAT 24/EURONET SP. Z.O.O.)</w:t>
      </w:r>
    </w:p>
    <w:p>
      <w:pPr>
        <w:spacing w:after="0" w:line="200" w:lineRule="exact"/>
        <w:rPr>
          <w:sz w:val="20"/>
          <w:szCs w:val="20"/>
          <w:color w:val="auto"/>
        </w:rPr>
      </w:pPr>
    </w:p>
    <w:p>
      <w:pPr>
        <w:spacing w:after="0" w:line="243" w:lineRule="exact"/>
        <w:rPr>
          <w:sz w:val="20"/>
          <w:szCs w:val="20"/>
          <w:color w:val="auto"/>
        </w:rPr>
      </w:pPr>
    </w:p>
    <w:p>
      <w:pPr>
        <w:ind w:left="2700"/>
        <w:spacing w:after="0"/>
        <w:tabs>
          <w:tab w:leader="none" w:pos="3160" w:val="left"/>
        </w:tabs>
        <w:rPr>
          <w:sz w:val="20"/>
          <w:szCs w:val="20"/>
          <w:color w:val="auto"/>
        </w:rPr>
      </w:pPr>
      <w:r>
        <w:rPr>
          <w:rFonts w:ascii="Arial" w:cs="Arial" w:eastAsia="Arial" w:hAnsi="Arial"/>
          <w:sz w:val="20"/>
          <w:szCs w:val="20"/>
          <w:color w:val="auto"/>
        </w:rPr>
        <w:t>By:</w:t>
      </w:r>
      <w:r>
        <w:rPr>
          <w:sz w:val="20"/>
          <w:szCs w:val="20"/>
          <w:color w:val="auto"/>
        </w:rPr>
        <w:tab/>
      </w:r>
      <w:r>
        <w:rPr>
          <w:rFonts w:ascii="Arial" w:cs="Arial" w:eastAsia="Arial" w:hAnsi="Arial"/>
          <w:sz w:val="18"/>
          <w:szCs w:val="18"/>
          <w:color w:val="auto"/>
        </w:rPr>
        <w:t>/s/ Marek Szafirski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1894205</wp:posOffset>
            </wp:positionH>
            <wp:positionV relativeFrom="paragraph">
              <wp:posOffset>-14605</wp:posOffset>
            </wp:positionV>
            <wp:extent cx="145923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459230" cy="8890"/>
                    </a:xfrm>
                    <a:prstGeom prst="rect">
                      <a:avLst/>
                    </a:prstGeom>
                    <a:noFill/>
                  </pic:spPr>
                </pic:pic>
              </a:graphicData>
            </a:graphic>
          </wp:anchor>
        </w:drawing>
      </w:r>
    </w:p>
    <w:p>
      <w:pPr>
        <w:ind w:left="2700"/>
        <w:spacing w:after="0"/>
        <w:tabs>
          <w:tab w:leader="none" w:pos="3400" w:val="left"/>
        </w:tabs>
        <w:rPr>
          <w:sz w:val="20"/>
          <w:szCs w:val="20"/>
          <w:color w:val="auto"/>
        </w:rPr>
      </w:pPr>
      <w:r>
        <w:rPr>
          <w:rFonts w:ascii="Arial" w:cs="Arial" w:eastAsia="Arial" w:hAnsi="Arial"/>
          <w:sz w:val="20"/>
          <w:szCs w:val="20"/>
          <w:color w:val="auto"/>
        </w:rPr>
        <w:t>Name:</w:t>
      </w:r>
      <w:r>
        <w:rPr>
          <w:sz w:val="20"/>
          <w:szCs w:val="20"/>
          <w:color w:val="auto"/>
        </w:rPr>
        <w:tab/>
      </w:r>
      <w:r>
        <w:rPr>
          <w:rFonts w:ascii="Arial" w:cs="Arial" w:eastAsia="Arial" w:hAnsi="Arial"/>
          <w:sz w:val="18"/>
          <w:szCs w:val="18"/>
          <w:color w:val="auto"/>
        </w:rPr>
        <w:t>Marek Szafirski</w:t>
      </w:r>
    </w:p>
    <w:p>
      <w:pPr>
        <w:ind w:left="2700"/>
        <w:spacing w:after="0"/>
        <w:tabs>
          <w:tab w:leader="none" w:pos="3300" w:val="left"/>
        </w:tabs>
        <w:rPr>
          <w:sz w:val="20"/>
          <w:szCs w:val="20"/>
          <w:color w:val="auto"/>
        </w:rPr>
      </w:pPr>
      <w:r>
        <w:rPr>
          <w:rFonts w:ascii="Arial" w:cs="Arial" w:eastAsia="Arial" w:hAnsi="Arial"/>
          <w:sz w:val="20"/>
          <w:szCs w:val="20"/>
          <w:color w:val="auto"/>
        </w:rPr>
        <w:t>Title:</w:t>
      </w:r>
      <w:r>
        <w:rPr>
          <w:sz w:val="20"/>
          <w:szCs w:val="20"/>
          <w:color w:val="auto"/>
        </w:rPr>
        <w:tab/>
      </w:r>
      <w:r>
        <w:rPr>
          <w:rFonts w:ascii="Arial" w:cs="Arial" w:eastAsia="Arial" w:hAnsi="Arial"/>
          <w:sz w:val="16"/>
          <w:szCs w:val="16"/>
          <w:color w:val="auto"/>
        </w:rPr>
        <w:t>President of the Management Board</w:t>
      </w:r>
    </w:p>
    <w:p>
      <w:pPr>
        <w:spacing w:after="0" w:line="198" w:lineRule="exact"/>
        <w:rPr>
          <w:sz w:val="20"/>
          <w:szCs w:val="20"/>
          <w:color w:val="auto"/>
        </w:rPr>
      </w:pPr>
    </w:p>
    <w:p>
      <w:pPr>
        <w:ind w:left="2700"/>
        <w:spacing w:after="0"/>
        <w:rPr>
          <w:sz w:val="20"/>
          <w:szCs w:val="20"/>
          <w:color w:val="auto"/>
        </w:rPr>
      </w:pPr>
      <w:r>
        <w:rPr>
          <w:rFonts w:ascii="Arial" w:cs="Arial" w:eastAsia="Arial" w:hAnsi="Arial"/>
          <w:sz w:val="18"/>
          <w:szCs w:val="18"/>
          <w:b w:val="1"/>
          <w:bCs w:val="1"/>
          <w:color w:val="auto"/>
        </w:rPr>
        <w:t>EURONET TELERECARGA, S.L., SOCIEDAD UNIPERSONAL</w:t>
      </w:r>
    </w:p>
    <w:p>
      <w:pPr>
        <w:spacing w:after="0" w:line="227" w:lineRule="exact"/>
        <w:rPr>
          <w:sz w:val="20"/>
          <w:szCs w:val="20"/>
          <w:color w:val="auto"/>
        </w:rPr>
      </w:pPr>
    </w:p>
    <w:p>
      <w:pPr>
        <w:ind w:left="2700"/>
        <w:spacing w:after="0"/>
        <w:tabs>
          <w:tab w:leader="none" w:pos="3160" w:val="left"/>
        </w:tabs>
        <w:rPr>
          <w:sz w:val="20"/>
          <w:szCs w:val="20"/>
          <w:color w:val="auto"/>
        </w:rPr>
      </w:pPr>
      <w:r>
        <w:rPr>
          <w:rFonts w:ascii="Arial" w:cs="Arial" w:eastAsia="Arial" w:hAnsi="Arial"/>
          <w:sz w:val="20"/>
          <w:szCs w:val="20"/>
          <w:color w:val="auto"/>
        </w:rPr>
        <w:t>By:</w:t>
      </w:r>
      <w:r>
        <w:rPr>
          <w:sz w:val="20"/>
          <w:szCs w:val="20"/>
          <w:color w:val="auto"/>
        </w:rPr>
        <w:tab/>
      </w:r>
      <w:r>
        <w:rPr>
          <w:rFonts w:ascii="Arial" w:cs="Arial" w:eastAsia="Arial" w:hAnsi="Arial"/>
          <w:sz w:val="16"/>
          <w:szCs w:val="16"/>
          <w:color w:val="auto"/>
        </w:rPr>
        <w:t>/s/ Eduardo Gonzales Cristos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1894205</wp:posOffset>
            </wp:positionH>
            <wp:positionV relativeFrom="paragraph">
              <wp:posOffset>-14605</wp:posOffset>
            </wp:positionV>
            <wp:extent cx="1839595"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839595" cy="8890"/>
                    </a:xfrm>
                    <a:prstGeom prst="rect">
                      <a:avLst/>
                    </a:prstGeom>
                    <a:noFill/>
                  </pic:spPr>
                </pic:pic>
              </a:graphicData>
            </a:graphic>
          </wp:anchor>
        </w:drawing>
      </w:r>
    </w:p>
    <w:p>
      <w:pPr>
        <w:ind w:left="2700"/>
        <w:spacing w:after="0"/>
        <w:tabs>
          <w:tab w:leader="none" w:pos="3400" w:val="left"/>
        </w:tabs>
        <w:rPr>
          <w:sz w:val="20"/>
          <w:szCs w:val="20"/>
          <w:color w:val="auto"/>
        </w:rPr>
      </w:pPr>
      <w:r>
        <w:rPr>
          <w:rFonts w:ascii="Arial" w:cs="Arial" w:eastAsia="Arial" w:hAnsi="Arial"/>
          <w:sz w:val="20"/>
          <w:szCs w:val="20"/>
          <w:color w:val="auto"/>
        </w:rPr>
        <w:t>Name:</w:t>
      </w:r>
      <w:r>
        <w:rPr>
          <w:sz w:val="20"/>
          <w:szCs w:val="20"/>
          <w:color w:val="auto"/>
        </w:rPr>
        <w:tab/>
      </w:r>
      <w:r>
        <w:rPr>
          <w:rFonts w:ascii="Arial" w:cs="Arial" w:eastAsia="Arial" w:hAnsi="Arial"/>
          <w:sz w:val="16"/>
          <w:szCs w:val="16"/>
          <w:color w:val="auto"/>
        </w:rPr>
        <w:t>Eduardo Gonzalez Cristos</w:t>
      </w:r>
    </w:p>
    <w:p>
      <w:pPr>
        <w:ind w:left="2700"/>
        <w:spacing w:after="0"/>
        <w:tabs>
          <w:tab w:leader="none" w:pos="3300" w:val="left"/>
        </w:tabs>
        <w:rPr>
          <w:sz w:val="20"/>
          <w:szCs w:val="20"/>
          <w:color w:val="auto"/>
        </w:rPr>
      </w:pPr>
      <w:r>
        <w:rPr>
          <w:rFonts w:ascii="Arial" w:cs="Arial" w:eastAsia="Arial" w:hAnsi="Arial"/>
          <w:sz w:val="20"/>
          <w:szCs w:val="20"/>
          <w:color w:val="auto"/>
        </w:rPr>
        <w:t>Title:</w:t>
      </w:r>
      <w:r>
        <w:rPr>
          <w:sz w:val="20"/>
          <w:szCs w:val="20"/>
          <w:color w:val="auto"/>
        </w:rPr>
        <w:tab/>
      </w:r>
      <w:r>
        <w:rPr>
          <w:rFonts w:ascii="Arial" w:cs="Arial" w:eastAsia="Arial" w:hAnsi="Arial"/>
          <w:sz w:val="18"/>
          <w:szCs w:val="18"/>
          <w:color w:val="auto"/>
        </w:rPr>
        <w:t>Sole Director</w:t>
      </w:r>
    </w:p>
    <w:p>
      <w:pPr>
        <w:spacing w:after="0" w:line="200" w:lineRule="exact"/>
        <w:rPr>
          <w:sz w:val="20"/>
          <w:szCs w:val="20"/>
          <w:color w:val="auto"/>
        </w:rPr>
      </w:pPr>
    </w:p>
    <w:p>
      <w:pPr>
        <w:spacing w:after="0" w:line="398" w:lineRule="exact"/>
        <w:rPr>
          <w:sz w:val="20"/>
          <w:szCs w:val="20"/>
          <w:color w:val="auto"/>
        </w:rPr>
      </w:pPr>
    </w:p>
    <w:p>
      <w:pPr>
        <w:jc w:val="right"/>
        <w:spacing w:after="0"/>
        <w:rPr>
          <w:sz w:val="20"/>
          <w:szCs w:val="20"/>
          <w:color w:val="auto"/>
        </w:rPr>
      </w:pPr>
      <w:r>
        <w:rPr>
          <w:rFonts w:ascii="Arial" w:cs="Arial" w:eastAsia="Arial" w:hAnsi="Arial"/>
          <w:sz w:val="16"/>
          <w:szCs w:val="16"/>
          <w:color w:val="auto"/>
        </w:rPr>
        <w:t>AMENDMENT NO. 1</w:t>
      </w:r>
    </w:p>
    <w:p>
      <w:pPr>
        <w:spacing w:after="0" w:line="19" w:lineRule="exact"/>
        <w:rPr>
          <w:sz w:val="20"/>
          <w:szCs w:val="20"/>
          <w:color w:val="auto"/>
        </w:rPr>
      </w:pPr>
    </w:p>
    <w:p>
      <w:pPr>
        <w:jc w:val="right"/>
        <w:spacing w:after="0"/>
        <w:rPr>
          <w:sz w:val="20"/>
          <w:szCs w:val="20"/>
          <w:color w:val="auto"/>
        </w:rPr>
      </w:pPr>
      <w:r>
        <w:rPr>
          <w:rFonts w:ascii="Arial" w:cs="Arial" w:eastAsia="Arial" w:hAnsi="Arial"/>
          <w:sz w:val="16"/>
          <w:szCs w:val="16"/>
          <w:color w:val="auto"/>
        </w:rPr>
        <w:t>EURONET WORLDWIDE, INC.</w:t>
      </w:r>
    </w:p>
    <w:p>
      <w:pPr>
        <w:sectPr>
          <w:pgSz w:w="11900" w:h="16838" w:orient="portrait"/>
          <w:cols w:equalWidth="0" w:num="1">
            <w:col w:w="10220"/>
          </w:cols>
          <w:pgMar w:left="1440" w:top="796" w:right="239" w:bottom="1440" w:gutter="0" w:footer="0" w:header="0"/>
        </w:sectPr>
      </w:pPr>
    </w:p>
    <w:bookmarkStart w:id="46" w:name="page47"/>
    <w:bookmarkEnd w:id="46"/>
    <w:p>
      <w:pPr>
        <w:ind w:left="2700"/>
        <w:spacing w:after="0"/>
        <w:rPr>
          <w:sz w:val="20"/>
          <w:szCs w:val="20"/>
          <w:color w:val="auto"/>
        </w:rPr>
      </w:pPr>
      <w:r>
        <w:rPr>
          <w:rFonts w:ascii="Arial" w:cs="Arial" w:eastAsia="Arial" w:hAnsi="Arial"/>
          <w:sz w:val="18"/>
          <w:szCs w:val="18"/>
          <w:b w:val="1"/>
          <w:bCs w:val="1"/>
          <w:color w:val="auto"/>
        </w:rPr>
        <w:t>EURONET BUSINESS HOLDINGS S.L.</w:t>
      </w:r>
    </w:p>
    <w:p>
      <w:pPr>
        <w:spacing w:after="0" w:line="227" w:lineRule="exact"/>
        <w:rPr>
          <w:sz w:val="20"/>
          <w:szCs w:val="20"/>
          <w:color w:val="auto"/>
        </w:rPr>
      </w:pPr>
    </w:p>
    <w:p>
      <w:pPr>
        <w:ind w:left="2700"/>
        <w:spacing w:after="0"/>
        <w:tabs>
          <w:tab w:leader="none" w:pos="3160" w:val="left"/>
        </w:tabs>
        <w:rPr>
          <w:sz w:val="20"/>
          <w:szCs w:val="20"/>
          <w:color w:val="auto"/>
        </w:rPr>
      </w:pPr>
      <w:r>
        <w:rPr>
          <w:rFonts w:ascii="Arial" w:cs="Arial" w:eastAsia="Arial" w:hAnsi="Arial"/>
          <w:sz w:val="20"/>
          <w:szCs w:val="20"/>
          <w:color w:val="auto"/>
        </w:rPr>
        <w:t>By:</w:t>
      </w:r>
      <w:r>
        <w:rPr>
          <w:sz w:val="20"/>
          <w:szCs w:val="20"/>
          <w:color w:val="auto"/>
        </w:rPr>
        <w:tab/>
      </w:r>
      <w:r>
        <w:rPr>
          <w:rFonts w:ascii="Arial" w:cs="Arial" w:eastAsia="Arial" w:hAnsi="Arial"/>
          <w:sz w:val="16"/>
          <w:szCs w:val="16"/>
          <w:color w:val="auto"/>
        </w:rPr>
        <w:t>/s/ Eduardo Gonzales Cristos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1894205</wp:posOffset>
            </wp:positionH>
            <wp:positionV relativeFrom="paragraph">
              <wp:posOffset>-14605</wp:posOffset>
            </wp:positionV>
            <wp:extent cx="1839595"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839595" cy="8890"/>
                    </a:xfrm>
                    <a:prstGeom prst="rect">
                      <a:avLst/>
                    </a:prstGeom>
                    <a:noFill/>
                  </pic:spPr>
                </pic:pic>
              </a:graphicData>
            </a:graphic>
          </wp:anchor>
        </w:drawing>
      </w:r>
    </w:p>
    <w:p>
      <w:pPr>
        <w:ind w:left="2700"/>
        <w:spacing w:after="0"/>
        <w:tabs>
          <w:tab w:leader="none" w:pos="3400" w:val="left"/>
        </w:tabs>
        <w:rPr>
          <w:sz w:val="20"/>
          <w:szCs w:val="20"/>
          <w:color w:val="auto"/>
        </w:rPr>
      </w:pPr>
      <w:r>
        <w:rPr>
          <w:rFonts w:ascii="Arial" w:cs="Arial" w:eastAsia="Arial" w:hAnsi="Arial"/>
          <w:sz w:val="20"/>
          <w:szCs w:val="20"/>
          <w:color w:val="auto"/>
        </w:rPr>
        <w:t>Name:</w:t>
      </w:r>
      <w:r>
        <w:rPr>
          <w:sz w:val="20"/>
          <w:szCs w:val="20"/>
          <w:color w:val="auto"/>
        </w:rPr>
        <w:tab/>
      </w:r>
      <w:r>
        <w:rPr>
          <w:rFonts w:ascii="Arial" w:cs="Arial" w:eastAsia="Arial" w:hAnsi="Arial"/>
          <w:sz w:val="16"/>
          <w:szCs w:val="16"/>
          <w:color w:val="auto"/>
        </w:rPr>
        <w:t>Eduardo Gonzalez Cristos</w:t>
      </w:r>
    </w:p>
    <w:p>
      <w:pPr>
        <w:ind w:left="2700"/>
        <w:spacing w:after="0"/>
        <w:tabs>
          <w:tab w:leader="none" w:pos="3300" w:val="left"/>
        </w:tabs>
        <w:rPr>
          <w:sz w:val="20"/>
          <w:szCs w:val="20"/>
          <w:color w:val="auto"/>
        </w:rPr>
      </w:pPr>
      <w:r>
        <w:rPr>
          <w:rFonts w:ascii="Arial" w:cs="Arial" w:eastAsia="Arial" w:hAnsi="Arial"/>
          <w:sz w:val="20"/>
          <w:szCs w:val="20"/>
          <w:color w:val="auto"/>
        </w:rPr>
        <w:t>Title:</w:t>
      </w:r>
      <w:r>
        <w:rPr>
          <w:sz w:val="20"/>
          <w:szCs w:val="20"/>
          <w:color w:val="auto"/>
        </w:rPr>
        <w:tab/>
      </w:r>
      <w:r>
        <w:rPr>
          <w:rFonts w:ascii="Arial" w:cs="Arial" w:eastAsia="Arial" w:hAnsi="Arial"/>
          <w:sz w:val="18"/>
          <w:szCs w:val="18"/>
          <w:color w:val="auto"/>
        </w:rPr>
        <w:t>Sole Director</w:t>
      </w:r>
    </w:p>
    <w:p>
      <w:pPr>
        <w:spacing w:after="0" w:line="200" w:lineRule="exact"/>
        <w:rPr>
          <w:sz w:val="20"/>
          <w:szCs w:val="20"/>
          <w:color w:val="auto"/>
        </w:rPr>
      </w:pPr>
    </w:p>
    <w:p>
      <w:pPr>
        <w:spacing w:after="0" w:line="228" w:lineRule="exact"/>
        <w:rPr>
          <w:sz w:val="20"/>
          <w:szCs w:val="20"/>
          <w:color w:val="auto"/>
        </w:rPr>
      </w:pPr>
    </w:p>
    <w:p>
      <w:pPr>
        <w:ind w:left="2700"/>
        <w:spacing w:after="0"/>
        <w:rPr>
          <w:sz w:val="20"/>
          <w:szCs w:val="20"/>
          <w:color w:val="auto"/>
        </w:rPr>
      </w:pPr>
      <w:r>
        <w:rPr>
          <w:rFonts w:ascii="Arial" w:cs="Arial" w:eastAsia="Arial" w:hAnsi="Arial"/>
          <w:sz w:val="18"/>
          <w:szCs w:val="18"/>
          <w:b w:val="1"/>
          <w:bCs w:val="1"/>
          <w:color w:val="auto"/>
        </w:rPr>
        <w:t>DELTA EURONET GmbH</w:t>
      </w:r>
    </w:p>
    <w:p>
      <w:pPr>
        <w:spacing w:after="0" w:line="227" w:lineRule="exact"/>
        <w:rPr>
          <w:sz w:val="20"/>
          <w:szCs w:val="20"/>
          <w:color w:val="auto"/>
        </w:rPr>
      </w:pPr>
    </w:p>
    <w:p>
      <w:pPr>
        <w:ind w:left="2700"/>
        <w:spacing w:after="0"/>
        <w:tabs>
          <w:tab w:leader="none" w:pos="3160" w:val="left"/>
        </w:tabs>
        <w:rPr>
          <w:sz w:val="20"/>
          <w:szCs w:val="20"/>
          <w:color w:val="auto"/>
        </w:rPr>
      </w:pPr>
      <w:r>
        <w:rPr>
          <w:rFonts w:ascii="Arial" w:cs="Arial" w:eastAsia="Arial" w:hAnsi="Arial"/>
          <w:sz w:val="20"/>
          <w:szCs w:val="20"/>
          <w:color w:val="auto"/>
        </w:rPr>
        <w:t>By:</w:t>
      </w:r>
      <w:r>
        <w:rPr>
          <w:sz w:val="20"/>
          <w:szCs w:val="20"/>
          <w:color w:val="auto"/>
        </w:rPr>
        <w:tab/>
      </w:r>
      <w:r>
        <w:rPr>
          <w:rFonts w:ascii="Arial" w:cs="Arial" w:eastAsia="Arial" w:hAnsi="Arial"/>
          <w:sz w:val="18"/>
          <w:szCs w:val="18"/>
          <w:color w:val="auto"/>
        </w:rPr>
        <w:t>/s/ Marc Ehler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1894205</wp:posOffset>
            </wp:positionH>
            <wp:positionV relativeFrom="paragraph">
              <wp:posOffset>-14605</wp:posOffset>
            </wp:positionV>
            <wp:extent cx="134747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347470" cy="8890"/>
                    </a:xfrm>
                    <a:prstGeom prst="rect">
                      <a:avLst/>
                    </a:prstGeom>
                    <a:noFill/>
                  </pic:spPr>
                </pic:pic>
              </a:graphicData>
            </a:graphic>
          </wp:anchor>
        </w:drawing>
      </w:r>
    </w:p>
    <w:p>
      <w:pPr>
        <w:ind w:left="2700"/>
        <w:spacing w:after="0"/>
        <w:tabs>
          <w:tab w:leader="none" w:pos="3400" w:val="left"/>
        </w:tabs>
        <w:rPr>
          <w:sz w:val="20"/>
          <w:szCs w:val="20"/>
          <w:color w:val="auto"/>
        </w:rPr>
      </w:pPr>
      <w:r>
        <w:rPr>
          <w:rFonts w:ascii="Arial" w:cs="Arial" w:eastAsia="Arial" w:hAnsi="Arial"/>
          <w:sz w:val="20"/>
          <w:szCs w:val="20"/>
          <w:color w:val="auto"/>
        </w:rPr>
        <w:t>Name:</w:t>
      </w:r>
      <w:r>
        <w:rPr>
          <w:sz w:val="20"/>
          <w:szCs w:val="20"/>
          <w:color w:val="auto"/>
        </w:rPr>
        <w:tab/>
      </w:r>
      <w:r>
        <w:rPr>
          <w:rFonts w:ascii="Arial" w:cs="Arial" w:eastAsia="Arial" w:hAnsi="Arial"/>
          <w:sz w:val="18"/>
          <w:szCs w:val="18"/>
          <w:color w:val="auto"/>
        </w:rPr>
        <w:t>Marc Ehler</w:t>
      </w:r>
    </w:p>
    <w:p>
      <w:pPr>
        <w:ind w:left="2700"/>
        <w:spacing w:after="0"/>
        <w:tabs>
          <w:tab w:leader="none" w:pos="3300" w:val="left"/>
        </w:tabs>
        <w:rPr>
          <w:sz w:val="20"/>
          <w:szCs w:val="20"/>
          <w:color w:val="auto"/>
        </w:rPr>
      </w:pPr>
      <w:r>
        <w:rPr>
          <w:rFonts w:ascii="Arial" w:cs="Arial" w:eastAsia="Arial" w:hAnsi="Arial"/>
          <w:sz w:val="20"/>
          <w:szCs w:val="20"/>
          <w:color w:val="auto"/>
        </w:rPr>
        <w:t>Title:</w:t>
      </w:r>
      <w:r>
        <w:rPr>
          <w:sz w:val="20"/>
          <w:szCs w:val="20"/>
          <w:color w:val="auto"/>
        </w:rPr>
        <w:tab/>
      </w:r>
      <w:r>
        <w:rPr>
          <w:rFonts w:ascii="Arial" w:cs="Arial" w:eastAsia="Arial" w:hAnsi="Arial"/>
          <w:sz w:val="18"/>
          <w:szCs w:val="18"/>
          <w:color w:val="auto"/>
        </w:rPr>
        <w:t>Managing Director</w:t>
      </w:r>
    </w:p>
    <w:p>
      <w:pPr>
        <w:spacing w:after="0" w:line="198" w:lineRule="exact"/>
        <w:rPr>
          <w:sz w:val="20"/>
          <w:szCs w:val="20"/>
          <w:color w:val="auto"/>
        </w:rPr>
      </w:pPr>
    </w:p>
    <w:p>
      <w:pPr>
        <w:ind w:left="2700"/>
        <w:spacing w:after="0"/>
        <w:rPr>
          <w:sz w:val="20"/>
          <w:szCs w:val="20"/>
          <w:color w:val="auto"/>
        </w:rPr>
      </w:pPr>
      <w:r>
        <w:rPr>
          <w:rFonts w:ascii="Arial" w:cs="Arial" w:eastAsia="Arial" w:hAnsi="Arial"/>
          <w:sz w:val="18"/>
          <w:szCs w:val="18"/>
          <w:b w:val="1"/>
          <w:bCs w:val="1"/>
          <w:color w:val="auto"/>
        </w:rPr>
        <w:t>RIA SPAIN HOLDINGS, S.L.</w:t>
      </w:r>
    </w:p>
    <w:p>
      <w:pPr>
        <w:spacing w:after="0" w:line="227" w:lineRule="exact"/>
        <w:rPr>
          <w:sz w:val="20"/>
          <w:szCs w:val="20"/>
          <w:color w:val="auto"/>
        </w:rPr>
      </w:pPr>
    </w:p>
    <w:p>
      <w:pPr>
        <w:ind w:left="2700"/>
        <w:spacing w:after="0"/>
        <w:tabs>
          <w:tab w:leader="none" w:pos="3160" w:val="left"/>
        </w:tabs>
        <w:rPr>
          <w:sz w:val="20"/>
          <w:szCs w:val="20"/>
          <w:color w:val="auto"/>
        </w:rPr>
      </w:pPr>
      <w:r>
        <w:rPr>
          <w:rFonts w:ascii="Arial" w:cs="Arial" w:eastAsia="Arial" w:hAnsi="Arial"/>
          <w:sz w:val="20"/>
          <w:szCs w:val="20"/>
          <w:color w:val="auto"/>
        </w:rPr>
        <w:t>By:</w:t>
      </w:r>
      <w:r>
        <w:rPr>
          <w:sz w:val="20"/>
          <w:szCs w:val="20"/>
          <w:color w:val="auto"/>
        </w:rPr>
        <w:tab/>
      </w:r>
      <w:r>
        <w:rPr>
          <w:rFonts w:ascii="Arial" w:cs="Arial" w:eastAsia="Arial" w:hAnsi="Arial"/>
          <w:sz w:val="18"/>
          <w:szCs w:val="18"/>
          <w:color w:val="auto"/>
        </w:rPr>
        <w:t>/s/ Sebastian Plubins Malfanti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1894205</wp:posOffset>
            </wp:positionH>
            <wp:positionV relativeFrom="paragraph">
              <wp:posOffset>-14605</wp:posOffset>
            </wp:positionV>
            <wp:extent cx="1881505"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881505" cy="8890"/>
                    </a:xfrm>
                    <a:prstGeom prst="rect">
                      <a:avLst/>
                    </a:prstGeom>
                    <a:noFill/>
                  </pic:spPr>
                </pic:pic>
              </a:graphicData>
            </a:graphic>
          </wp:anchor>
        </w:drawing>
      </w:r>
    </w:p>
    <w:p>
      <w:pPr>
        <w:ind w:left="2700"/>
        <w:spacing w:after="0"/>
        <w:tabs>
          <w:tab w:leader="none" w:pos="3400" w:val="left"/>
        </w:tabs>
        <w:rPr>
          <w:sz w:val="20"/>
          <w:szCs w:val="20"/>
          <w:color w:val="auto"/>
        </w:rPr>
      </w:pPr>
      <w:r>
        <w:rPr>
          <w:rFonts w:ascii="Arial" w:cs="Arial" w:eastAsia="Arial" w:hAnsi="Arial"/>
          <w:sz w:val="20"/>
          <w:szCs w:val="20"/>
          <w:color w:val="auto"/>
        </w:rPr>
        <w:t>Name:</w:t>
      </w:r>
      <w:r>
        <w:rPr>
          <w:sz w:val="20"/>
          <w:szCs w:val="20"/>
          <w:color w:val="auto"/>
        </w:rPr>
        <w:tab/>
      </w:r>
      <w:r>
        <w:rPr>
          <w:rFonts w:ascii="Arial" w:cs="Arial" w:eastAsia="Arial" w:hAnsi="Arial"/>
          <w:sz w:val="18"/>
          <w:szCs w:val="18"/>
          <w:color w:val="auto"/>
        </w:rPr>
        <w:t>Sebastian Plubins Malfanti</w:t>
      </w:r>
    </w:p>
    <w:p>
      <w:pPr>
        <w:ind w:left="2700"/>
        <w:spacing w:after="0"/>
        <w:tabs>
          <w:tab w:leader="none" w:pos="3300" w:val="left"/>
        </w:tabs>
        <w:rPr>
          <w:sz w:val="20"/>
          <w:szCs w:val="20"/>
          <w:color w:val="auto"/>
        </w:rPr>
      </w:pPr>
      <w:r>
        <w:rPr>
          <w:rFonts w:ascii="Arial" w:cs="Arial" w:eastAsia="Arial" w:hAnsi="Arial"/>
          <w:sz w:val="20"/>
          <w:szCs w:val="20"/>
          <w:color w:val="auto"/>
        </w:rPr>
        <w:t>Title:</w:t>
      </w:r>
      <w:r>
        <w:rPr>
          <w:sz w:val="20"/>
          <w:szCs w:val="20"/>
          <w:color w:val="auto"/>
        </w:rPr>
        <w:tab/>
      </w:r>
      <w:r>
        <w:rPr>
          <w:rFonts w:ascii="Arial" w:cs="Arial" w:eastAsia="Arial" w:hAnsi="Arial"/>
          <w:sz w:val="18"/>
          <w:szCs w:val="18"/>
          <w:color w:val="auto"/>
        </w:rPr>
        <w:t>Sole Director</w:t>
      </w:r>
    </w:p>
    <w:p>
      <w:pPr>
        <w:spacing w:after="0" w:line="198" w:lineRule="exact"/>
        <w:rPr>
          <w:sz w:val="20"/>
          <w:szCs w:val="20"/>
          <w:color w:val="auto"/>
        </w:rPr>
      </w:pPr>
    </w:p>
    <w:p>
      <w:pPr>
        <w:ind w:left="2700"/>
        <w:spacing w:after="0"/>
        <w:rPr>
          <w:sz w:val="20"/>
          <w:szCs w:val="20"/>
          <w:color w:val="auto"/>
        </w:rPr>
      </w:pPr>
      <w:r>
        <w:rPr>
          <w:rFonts w:ascii="Arial" w:cs="Arial" w:eastAsia="Arial" w:hAnsi="Arial"/>
          <w:sz w:val="18"/>
          <w:szCs w:val="18"/>
          <w:b w:val="1"/>
          <w:bCs w:val="1"/>
          <w:color w:val="auto"/>
        </w:rPr>
        <w:t>RIA PAYMENT INSTITUTION EP, S.A.</w:t>
      </w:r>
    </w:p>
    <w:p>
      <w:pPr>
        <w:spacing w:after="0" w:line="227" w:lineRule="exact"/>
        <w:rPr>
          <w:sz w:val="20"/>
          <w:szCs w:val="20"/>
          <w:color w:val="auto"/>
        </w:rPr>
      </w:pPr>
    </w:p>
    <w:p>
      <w:pPr>
        <w:ind w:left="2700"/>
        <w:spacing w:after="0"/>
        <w:tabs>
          <w:tab w:leader="none" w:pos="3160" w:val="left"/>
        </w:tabs>
        <w:rPr>
          <w:sz w:val="20"/>
          <w:szCs w:val="20"/>
          <w:color w:val="auto"/>
        </w:rPr>
      </w:pPr>
      <w:r>
        <w:rPr>
          <w:rFonts w:ascii="Arial" w:cs="Arial" w:eastAsia="Arial" w:hAnsi="Arial"/>
          <w:sz w:val="20"/>
          <w:szCs w:val="20"/>
          <w:color w:val="auto"/>
        </w:rPr>
        <w:t>By:</w:t>
      </w:r>
      <w:r>
        <w:rPr>
          <w:sz w:val="20"/>
          <w:szCs w:val="20"/>
          <w:color w:val="auto"/>
        </w:rPr>
        <w:tab/>
      </w:r>
      <w:r>
        <w:rPr>
          <w:rFonts w:ascii="Arial" w:cs="Arial" w:eastAsia="Arial" w:hAnsi="Arial"/>
          <w:sz w:val="16"/>
          <w:szCs w:val="16"/>
          <w:color w:val="auto"/>
        </w:rPr>
        <w:t>/s/ Eduardo Gonzales Cristos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1894205</wp:posOffset>
            </wp:positionH>
            <wp:positionV relativeFrom="paragraph">
              <wp:posOffset>-14605</wp:posOffset>
            </wp:positionV>
            <wp:extent cx="1839595"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839595" cy="8890"/>
                    </a:xfrm>
                    <a:prstGeom prst="rect">
                      <a:avLst/>
                    </a:prstGeom>
                    <a:noFill/>
                  </pic:spPr>
                </pic:pic>
              </a:graphicData>
            </a:graphic>
          </wp:anchor>
        </w:drawing>
      </w:r>
    </w:p>
    <w:p>
      <w:pPr>
        <w:ind w:left="2700"/>
        <w:spacing w:after="0"/>
        <w:tabs>
          <w:tab w:leader="none" w:pos="3400" w:val="left"/>
        </w:tabs>
        <w:rPr>
          <w:sz w:val="20"/>
          <w:szCs w:val="20"/>
          <w:color w:val="auto"/>
        </w:rPr>
      </w:pPr>
      <w:r>
        <w:rPr>
          <w:rFonts w:ascii="Arial" w:cs="Arial" w:eastAsia="Arial" w:hAnsi="Arial"/>
          <w:sz w:val="20"/>
          <w:szCs w:val="20"/>
          <w:color w:val="auto"/>
        </w:rPr>
        <w:t>Name:</w:t>
      </w:r>
      <w:r>
        <w:rPr>
          <w:sz w:val="20"/>
          <w:szCs w:val="20"/>
          <w:color w:val="auto"/>
        </w:rPr>
        <w:tab/>
      </w:r>
      <w:r>
        <w:rPr>
          <w:rFonts w:ascii="Arial" w:cs="Arial" w:eastAsia="Arial" w:hAnsi="Arial"/>
          <w:sz w:val="16"/>
          <w:szCs w:val="16"/>
          <w:color w:val="auto"/>
        </w:rPr>
        <w:t>Eduardo Gonzalez Cristos</w:t>
      </w:r>
    </w:p>
    <w:p>
      <w:pPr>
        <w:ind w:left="2700"/>
        <w:spacing w:after="0"/>
        <w:tabs>
          <w:tab w:leader="none" w:pos="3300" w:val="left"/>
        </w:tabs>
        <w:rPr>
          <w:sz w:val="20"/>
          <w:szCs w:val="20"/>
          <w:color w:val="auto"/>
        </w:rPr>
      </w:pPr>
      <w:r>
        <w:rPr>
          <w:rFonts w:ascii="Arial" w:cs="Arial" w:eastAsia="Arial" w:hAnsi="Arial"/>
          <w:sz w:val="20"/>
          <w:szCs w:val="20"/>
          <w:color w:val="auto"/>
        </w:rPr>
        <w:t>Title:</w:t>
      </w:r>
      <w:r>
        <w:rPr>
          <w:sz w:val="20"/>
          <w:szCs w:val="20"/>
          <w:color w:val="auto"/>
        </w:rPr>
        <w:tab/>
      </w:r>
      <w:r>
        <w:rPr>
          <w:rFonts w:ascii="Arial" w:cs="Arial" w:eastAsia="Arial" w:hAnsi="Arial"/>
          <w:sz w:val="16"/>
          <w:szCs w:val="16"/>
          <w:color w:val="auto"/>
        </w:rPr>
        <w:t>Representative</w:t>
      </w:r>
    </w:p>
    <w:p>
      <w:pPr>
        <w:spacing w:after="0" w:line="198" w:lineRule="exact"/>
        <w:rPr>
          <w:sz w:val="20"/>
          <w:szCs w:val="20"/>
          <w:color w:val="auto"/>
        </w:rPr>
      </w:pPr>
    </w:p>
    <w:p>
      <w:pPr>
        <w:ind w:left="2700"/>
        <w:spacing w:after="0"/>
        <w:rPr>
          <w:sz w:val="20"/>
          <w:szCs w:val="20"/>
          <w:color w:val="auto"/>
        </w:rPr>
      </w:pPr>
      <w:r>
        <w:rPr>
          <w:rFonts w:ascii="Arial" w:cs="Arial" w:eastAsia="Arial" w:hAnsi="Arial"/>
          <w:sz w:val="18"/>
          <w:szCs w:val="18"/>
          <w:b w:val="1"/>
          <w:bCs w:val="1"/>
          <w:color w:val="auto"/>
        </w:rPr>
        <w:t>E-PAY LIMITED</w:t>
      </w:r>
    </w:p>
    <w:p>
      <w:pPr>
        <w:spacing w:after="0" w:line="227" w:lineRule="exact"/>
        <w:rPr>
          <w:sz w:val="20"/>
          <w:szCs w:val="20"/>
          <w:color w:val="auto"/>
        </w:rPr>
      </w:pPr>
    </w:p>
    <w:p>
      <w:pPr>
        <w:ind w:left="2700"/>
        <w:spacing w:after="0"/>
        <w:tabs>
          <w:tab w:leader="none" w:pos="3160" w:val="left"/>
        </w:tabs>
        <w:rPr>
          <w:sz w:val="20"/>
          <w:szCs w:val="20"/>
          <w:color w:val="auto"/>
        </w:rPr>
      </w:pPr>
      <w:r>
        <w:rPr>
          <w:rFonts w:ascii="Arial" w:cs="Arial" w:eastAsia="Arial" w:hAnsi="Arial"/>
          <w:sz w:val="20"/>
          <w:szCs w:val="20"/>
          <w:color w:val="auto"/>
        </w:rPr>
        <w:t>By:</w:t>
      </w:r>
      <w:r>
        <w:rPr>
          <w:sz w:val="20"/>
          <w:szCs w:val="20"/>
          <w:color w:val="auto"/>
        </w:rPr>
        <w:tab/>
      </w:r>
      <w:r>
        <w:rPr>
          <w:rFonts w:ascii="Arial" w:cs="Arial" w:eastAsia="Arial" w:hAnsi="Arial"/>
          <w:sz w:val="18"/>
          <w:szCs w:val="18"/>
          <w:color w:val="auto"/>
        </w:rPr>
        <w:t>/s/ David Hammond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1894205</wp:posOffset>
            </wp:positionH>
            <wp:positionV relativeFrom="paragraph">
              <wp:posOffset>-14605</wp:posOffset>
            </wp:positionV>
            <wp:extent cx="1522095"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522095" cy="8890"/>
                    </a:xfrm>
                    <a:prstGeom prst="rect">
                      <a:avLst/>
                    </a:prstGeom>
                    <a:noFill/>
                  </pic:spPr>
                </pic:pic>
              </a:graphicData>
            </a:graphic>
          </wp:anchor>
        </w:drawing>
      </w:r>
    </w:p>
    <w:p>
      <w:pPr>
        <w:ind w:left="2700"/>
        <w:spacing w:after="0"/>
        <w:tabs>
          <w:tab w:leader="none" w:pos="3400" w:val="left"/>
        </w:tabs>
        <w:rPr>
          <w:sz w:val="20"/>
          <w:szCs w:val="20"/>
          <w:color w:val="auto"/>
        </w:rPr>
      </w:pPr>
      <w:r>
        <w:rPr>
          <w:rFonts w:ascii="Arial" w:cs="Arial" w:eastAsia="Arial" w:hAnsi="Arial"/>
          <w:sz w:val="20"/>
          <w:szCs w:val="20"/>
          <w:color w:val="auto"/>
        </w:rPr>
        <w:t>Name:</w:t>
      </w:r>
      <w:r>
        <w:rPr>
          <w:sz w:val="20"/>
          <w:szCs w:val="20"/>
          <w:color w:val="auto"/>
        </w:rPr>
        <w:tab/>
      </w:r>
      <w:r>
        <w:rPr>
          <w:rFonts w:ascii="Arial" w:cs="Arial" w:eastAsia="Arial" w:hAnsi="Arial"/>
          <w:sz w:val="18"/>
          <w:szCs w:val="18"/>
          <w:color w:val="auto"/>
        </w:rPr>
        <w:t>David Hammond</w:t>
      </w:r>
    </w:p>
    <w:p>
      <w:pPr>
        <w:ind w:left="2700"/>
        <w:spacing w:after="0"/>
        <w:tabs>
          <w:tab w:leader="none" w:pos="3300" w:val="left"/>
        </w:tabs>
        <w:rPr>
          <w:sz w:val="20"/>
          <w:szCs w:val="20"/>
          <w:color w:val="auto"/>
        </w:rPr>
      </w:pPr>
      <w:r>
        <w:rPr>
          <w:rFonts w:ascii="Arial" w:cs="Arial" w:eastAsia="Arial" w:hAnsi="Arial"/>
          <w:sz w:val="20"/>
          <w:szCs w:val="20"/>
          <w:color w:val="auto"/>
        </w:rPr>
        <w:t>Title:</w:t>
      </w:r>
      <w:r>
        <w:rPr>
          <w:sz w:val="20"/>
          <w:szCs w:val="20"/>
          <w:color w:val="auto"/>
        </w:rPr>
        <w:tab/>
      </w:r>
      <w:r>
        <w:rPr>
          <w:rFonts w:ascii="Arial" w:cs="Arial" w:eastAsia="Arial" w:hAnsi="Arial"/>
          <w:sz w:val="18"/>
          <w:szCs w:val="18"/>
          <w:color w:val="auto"/>
        </w:rPr>
        <w:t>Director</w:t>
      </w:r>
    </w:p>
    <w:p>
      <w:pPr>
        <w:spacing w:after="0" w:line="200" w:lineRule="exact"/>
        <w:rPr>
          <w:sz w:val="20"/>
          <w:szCs w:val="20"/>
          <w:color w:val="auto"/>
        </w:rPr>
      </w:pPr>
    </w:p>
    <w:p>
      <w:pPr>
        <w:spacing w:after="0" w:line="223" w:lineRule="exact"/>
        <w:rPr>
          <w:sz w:val="20"/>
          <w:szCs w:val="20"/>
          <w:color w:val="auto"/>
        </w:rPr>
      </w:pPr>
    </w:p>
    <w:p>
      <w:pPr>
        <w:ind w:left="2700"/>
        <w:spacing w:after="0"/>
        <w:rPr>
          <w:sz w:val="20"/>
          <w:szCs w:val="20"/>
          <w:color w:val="auto"/>
        </w:rPr>
      </w:pPr>
      <w:r>
        <w:rPr>
          <w:rFonts w:ascii="Arial" w:cs="Arial" w:eastAsia="Arial" w:hAnsi="Arial"/>
          <w:sz w:val="20"/>
          <w:szCs w:val="20"/>
          <w:b w:val="1"/>
          <w:bCs w:val="1"/>
          <w:color w:val="auto"/>
        </w:rPr>
        <w:t>E-PAY HOLDINGS LIMITED</w:t>
      </w:r>
    </w:p>
    <w:p>
      <w:pPr>
        <w:spacing w:after="0" w:line="222" w:lineRule="exact"/>
        <w:rPr>
          <w:sz w:val="20"/>
          <w:szCs w:val="20"/>
          <w:color w:val="auto"/>
        </w:rPr>
      </w:pPr>
    </w:p>
    <w:p>
      <w:pPr>
        <w:ind w:left="2700"/>
        <w:spacing w:after="0"/>
        <w:tabs>
          <w:tab w:leader="none" w:pos="3160" w:val="left"/>
        </w:tabs>
        <w:rPr>
          <w:sz w:val="20"/>
          <w:szCs w:val="20"/>
          <w:color w:val="auto"/>
        </w:rPr>
      </w:pPr>
      <w:r>
        <w:rPr>
          <w:rFonts w:ascii="Arial" w:cs="Arial" w:eastAsia="Arial" w:hAnsi="Arial"/>
          <w:sz w:val="20"/>
          <w:szCs w:val="20"/>
          <w:color w:val="auto"/>
        </w:rPr>
        <w:t>By:</w:t>
      </w:r>
      <w:r>
        <w:rPr>
          <w:sz w:val="20"/>
          <w:szCs w:val="20"/>
          <w:color w:val="auto"/>
        </w:rPr>
        <w:tab/>
      </w:r>
      <w:r>
        <w:rPr>
          <w:rFonts w:ascii="Arial" w:cs="Arial" w:eastAsia="Arial" w:hAnsi="Arial"/>
          <w:sz w:val="18"/>
          <w:szCs w:val="18"/>
          <w:color w:val="auto"/>
        </w:rPr>
        <w:t>/s/ David Hammond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1894205</wp:posOffset>
            </wp:positionH>
            <wp:positionV relativeFrom="paragraph">
              <wp:posOffset>-14605</wp:posOffset>
            </wp:positionV>
            <wp:extent cx="1522095"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522095" cy="8890"/>
                    </a:xfrm>
                    <a:prstGeom prst="rect">
                      <a:avLst/>
                    </a:prstGeom>
                    <a:noFill/>
                  </pic:spPr>
                </pic:pic>
              </a:graphicData>
            </a:graphic>
          </wp:anchor>
        </w:drawing>
      </w:r>
    </w:p>
    <w:p>
      <w:pPr>
        <w:ind w:left="2700"/>
        <w:spacing w:after="0"/>
        <w:tabs>
          <w:tab w:leader="none" w:pos="3400" w:val="left"/>
        </w:tabs>
        <w:rPr>
          <w:sz w:val="20"/>
          <w:szCs w:val="20"/>
          <w:color w:val="auto"/>
        </w:rPr>
      </w:pPr>
      <w:r>
        <w:rPr>
          <w:rFonts w:ascii="Arial" w:cs="Arial" w:eastAsia="Arial" w:hAnsi="Arial"/>
          <w:sz w:val="20"/>
          <w:szCs w:val="20"/>
          <w:color w:val="auto"/>
        </w:rPr>
        <w:t>Name:</w:t>
      </w:r>
      <w:r>
        <w:rPr>
          <w:sz w:val="20"/>
          <w:szCs w:val="20"/>
          <w:color w:val="auto"/>
        </w:rPr>
        <w:tab/>
      </w:r>
      <w:r>
        <w:rPr>
          <w:rFonts w:ascii="Arial" w:cs="Arial" w:eastAsia="Arial" w:hAnsi="Arial"/>
          <w:sz w:val="18"/>
          <w:szCs w:val="18"/>
          <w:color w:val="auto"/>
        </w:rPr>
        <w:t>David Hammond</w:t>
      </w:r>
    </w:p>
    <w:p>
      <w:pPr>
        <w:ind w:left="2700"/>
        <w:spacing w:after="0"/>
        <w:tabs>
          <w:tab w:leader="none" w:pos="3300" w:val="left"/>
        </w:tabs>
        <w:rPr>
          <w:sz w:val="20"/>
          <w:szCs w:val="20"/>
          <w:color w:val="auto"/>
        </w:rPr>
      </w:pPr>
      <w:r>
        <w:rPr>
          <w:rFonts w:ascii="Arial" w:cs="Arial" w:eastAsia="Arial" w:hAnsi="Arial"/>
          <w:sz w:val="20"/>
          <w:szCs w:val="20"/>
          <w:color w:val="auto"/>
        </w:rPr>
        <w:t>Title:</w:t>
      </w:r>
      <w:r>
        <w:rPr>
          <w:sz w:val="20"/>
          <w:szCs w:val="20"/>
          <w:color w:val="auto"/>
        </w:rPr>
        <w:tab/>
      </w:r>
      <w:r>
        <w:rPr>
          <w:rFonts w:ascii="Arial" w:cs="Arial" w:eastAsia="Arial" w:hAnsi="Arial"/>
          <w:sz w:val="18"/>
          <w:szCs w:val="18"/>
          <w:color w:val="auto"/>
        </w:rPr>
        <w:t>Director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right"/>
        <w:spacing w:after="0"/>
        <w:rPr>
          <w:sz w:val="20"/>
          <w:szCs w:val="20"/>
          <w:color w:val="auto"/>
        </w:rPr>
      </w:pPr>
      <w:r>
        <w:rPr>
          <w:rFonts w:ascii="Arial" w:cs="Arial" w:eastAsia="Arial" w:hAnsi="Arial"/>
          <w:sz w:val="16"/>
          <w:szCs w:val="16"/>
          <w:color w:val="auto"/>
        </w:rPr>
        <w:t>AMENDMENT NO. 1</w:t>
      </w:r>
    </w:p>
    <w:p>
      <w:pPr>
        <w:spacing w:after="0" w:line="19" w:lineRule="exact"/>
        <w:rPr>
          <w:sz w:val="20"/>
          <w:szCs w:val="20"/>
          <w:color w:val="auto"/>
        </w:rPr>
      </w:pPr>
    </w:p>
    <w:p>
      <w:pPr>
        <w:jc w:val="right"/>
        <w:spacing w:after="0"/>
        <w:rPr>
          <w:sz w:val="20"/>
          <w:szCs w:val="20"/>
          <w:color w:val="auto"/>
        </w:rPr>
      </w:pPr>
      <w:r>
        <w:rPr>
          <w:rFonts w:ascii="Arial" w:cs="Arial" w:eastAsia="Arial" w:hAnsi="Arial"/>
          <w:sz w:val="16"/>
          <w:szCs w:val="16"/>
          <w:color w:val="auto"/>
        </w:rPr>
        <w:t>EURONET WORLDWIDE, INC.</w:t>
      </w:r>
    </w:p>
    <w:p>
      <w:pPr>
        <w:sectPr>
          <w:pgSz w:w="11900" w:h="16838" w:orient="portrait"/>
          <w:cols w:equalWidth="0" w:num="1">
            <w:col w:w="10220"/>
          </w:cols>
          <w:pgMar w:left="1440" w:top="580" w:right="239" w:bottom="1440" w:gutter="0" w:footer="0" w:header="0"/>
        </w:sectPr>
      </w:pPr>
    </w:p>
    <w:bookmarkStart w:id="47" w:name="page48"/>
    <w:bookmarkEnd w:id="47"/>
    <w:p>
      <w:pPr>
        <w:spacing w:after="0"/>
        <w:tabs>
          <w:tab w:leader="none" w:pos="2260" w:val="left"/>
        </w:tabs>
        <w:rPr>
          <w:sz w:val="20"/>
          <w:szCs w:val="20"/>
          <w:color w:val="auto"/>
        </w:rPr>
      </w:pPr>
      <w:r>
        <w:rPr>
          <w:rFonts w:ascii="Arial" w:cs="Arial" w:eastAsia="Arial" w:hAnsi="Arial"/>
          <w:sz w:val="18"/>
          <w:szCs w:val="18"/>
          <w:b w:val="1"/>
          <w:bCs w:val="1"/>
          <w:u w:val="single" w:color="auto"/>
          <w:color w:val="auto"/>
        </w:rPr>
        <w:t>INDIA BORROWER</w:t>
      </w:r>
      <w:r>
        <w:rPr>
          <w:rFonts w:ascii="Arial" w:cs="Arial" w:eastAsia="Arial" w:hAnsi="Arial"/>
          <w:sz w:val="18"/>
          <w:szCs w:val="18"/>
          <w:b w:val="1"/>
          <w:bCs w:val="1"/>
          <w:color w:val="auto"/>
        </w:rPr>
        <w:t>:</w:t>
      </w:r>
      <w:r>
        <w:rPr>
          <w:sz w:val="20"/>
          <w:szCs w:val="20"/>
          <w:color w:val="auto"/>
        </w:rPr>
        <w:tab/>
      </w:r>
      <w:r>
        <w:rPr>
          <w:rFonts w:ascii="Arial" w:cs="Arial" w:eastAsia="Arial" w:hAnsi="Arial"/>
          <w:sz w:val="18"/>
          <w:szCs w:val="18"/>
          <w:b w:val="1"/>
          <w:bCs w:val="1"/>
          <w:color w:val="auto"/>
        </w:rPr>
        <w:t>EURONET SERVICES INDIA PVT LTD.</w:t>
      </w:r>
    </w:p>
    <w:p>
      <w:pPr>
        <w:spacing w:after="0" w:line="200" w:lineRule="exact"/>
        <w:rPr>
          <w:sz w:val="20"/>
          <w:szCs w:val="20"/>
          <w:color w:val="auto"/>
        </w:rPr>
      </w:pPr>
    </w:p>
    <w:p>
      <w:pPr>
        <w:spacing w:after="0" w:line="245" w:lineRule="exact"/>
        <w:rPr>
          <w:sz w:val="20"/>
          <w:szCs w:val="20"/>
          <w:color w:val="auto"/>
        </w:rPr>
      </w:pPr>
    </w:p>
    <w:p>
      <w:pPr>
        <w:ind w:left="3240"/>
        <w:spacing w:after="0"/>
        <w:tabs>
          <w:tab w:leader="none" w:pos="36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Jeffrey B. Newman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2228215</wp:posOffset>
            </wp:positionH>
            <wp:positionV relativeFrom="paragraph">
              <wp:posOffset>-10160</wp:posOffset>
            </wp:positionV>
            <wp:extent cx="148336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483360" cy="8890"/>
                    </a:xfrm>
                    <a:prstGeom prst="rect">
                      <a:avLst/>
                    </a:prstGeom>
                    <a:noFill/>
                  </pic:spPr>
                </pic:pic>
              </a:graphicData>
            </a:graphic>
          </wp:anchor>
        </w:drawing>
      </w:r>
    </w:p>
    <w:p>
      <w:pPr>
        <w:spacing w:after="0" w:line="3" w:lineRule="exact"/>
        <w:rPr>
          <w:sz w:val="20"/>
          <w:szCs w:val="20"/>
          <w:color w:val="auto"/>
        </w:rPr>
      </w:pPr>
    </w:p>
    <w:p>
      <w:pPr>
        <w:ind w:left="3240"/>
        <w:spacing w:after="0"/>
        <w:tabs>
          <w:tab w:leader="none" w:pos="388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6"/>
          <w:szCs w:val="16"/>
          <w:color w:val="auto"/>
        </w:rPr>
        <w:t>Jeffrey B. Newman</w:t>
      </w:r>
    </w:p>
    <w:p>
      <w:pPr>
        <w:spacing w:after="0" w:line="9" w:lineRule="exact"/>
        <w:rPr>
          <w:sz w:val="20"/>
          <w:szCs w:val="20"/>
          <w:color w:val="auto"/>
        </w:rPr>
      </w:pPr>
    </w:p>
    <w:p>
      <w:pPr>
        <w:ind w:left="3240"/>
        <w:spacing w:after="0"/>
        <w:tabs>
          <w:tab w:leader="none" w:pos="380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7"/>
          <w:szCs w:val="17"/>
          <w:color w:val="auto"/>
        </w:rPr>
        <w:t>Director</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right"/>
        <w:spacing w:after="0"/>
        <w:rPr>
          <w:sz w:val="20"/>
          <w:szCs w:val="20"/>
          <w:color w:val="auto"/>
        </w:rPr>
      </w:pPr>
      <w:r>
        <w:rPr>
          <w:rFonts w:ascii="Arial" w:cs="Arial" w:eastAsia="Arial" w:hAnsi="Arial"/>
          <w:sz w:val="16"/>
          <w:szCs w:val="16"/>
          <w:color w:val="auto"/>
        </w:rPr>
        <w:t>AMENDMENT NO. 1</w:t>
      </w:r>
    </w:p>
    <w:p>
      <w:pPr>
        <w:spacing w:after="0" w:line="19" w:lineRule="exact"/>
        <w:rPr>
          <w:sz w:val="20"/>
          <w:szCs w:val="20"/>
          <w:color w:val="auto"/>
        </w:rPr>
      </w:pPr>
    </w:p>
    <w:p>
      <w:pPr>
        <w:jc w:val="right"/>
        <w:spacing w:after="0"/>
        <w:rPr>
          <w:sz w:val="20"/>
          <w:szCs w:val="20"/>
          <w:color w:val="auto"/>
        </w:rPr>
      </w:pPr>
      <w:r>
        <w:rPr>
          <w:rFonts w:ascii="Arial" w:cs="Arial" w:eastAsia="Arial" w:hAnsi="Arial"/>
          <w:sz w:val="16"/>
          <w:szCs w:val="16"/>
          <w:color w:val="auto"/>
        </w:rPr>
        <w:t>EURONET WORLDWIDE, INC.</w:t>
      </w:r>
    </w:p>
    <w:p>
      <w:pPr>
        <w:sectPr>
          <w:pgSz w:w="11900" w:h="16838" w:orient="portrait"/>
          <w:cols w:equalWidth="0" w:num="1">
            <w:col w:w="11420"/>
          </w:cols>
          <w:pgMar w:left="240" w:top="580" w:right="239" w:bottom="1440" w:gutter="0" w:footer="0" w:header="0"/>
        </w:sectPr>
      </w:pPr>
    </w:p>
    <w:bookmarkStart w:id="48" w:name="page49"/>
    <w:bookmarkEnd w:id="48"/>
    <w:p>
      <w:pPr>
        <w:spacing w:after="0"/>
        <w:rPr>
          <w:sz w:val="20"/>
          <w:szCs w:val="20"/>
          <w:color w:val="auto"/>
        </w:rPr>
      </w:pPr>
      <w:r>
        <w:rPr>
          <w:rFonts w:ascii="Arial" w:cs="Arial" w:eastAsia="Arial" w:hAnsi="Arial"/>
          <w:sz w:val="20"/>
          <w:szCs w:val="20"/>
          <w:b w:val="1"/>
          <w:bCs w:val="1"/>
          <w:u w:val="single" w:color="auto"/>
          <w:color w:val="auto"/>
        </w:rPr>
        <w:t>ADMINISTRATIVE AGENT</w:t>
      </w:r>
    </w:p>
    <w:p>
      <w:pPr>
        <w:spacing w:after="0" w:line="2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(FOR MASTER REVOLVING</w:t>
      </w:r>
    </w:p>
    <w:p>
      <w:pPr>
        <w:spacing w:after="0"/>
        <w:rPr>
          <w:sz w:val="20"/>
          <w:szCs w:val="20"/>
          <w:color w:val="auto"/>
        </w:rPr>
      </w:pPr>
      <w:r>
        <w:rPr>
          <w:rFonts w:ascii="Arial" w:cs="Arial" w:eastAsia="Arial" w:hAnsi="Arial"/>
          <w:sz w:val="20"/>
          <w:szCs w:val="20"/>
          <w:b w:val="1"/>
          <w:bCs w:val="1"/>
          <w:color w:val="auto"/>
        </w:rPr>
        <w:t>LOAN OBLIGATIONS AND</w:t>
      </w:r>
    </w:p>
    <w:p>
      <w:pPr>
        <w:spacing w:after="0"/>
        <w:tabs>
          <w:tab w:leader="none" w:pos="2320" w:val="left"/>
        </w:tabs>
        <w:rPr>
          <w:sz w:val="20"/>
          <w:szCs w:val="20"/>
          <w:color w:val="auto"/>
        </w:rPr>
      </w:pPr>
      <w:r>
        <w:rPr>
          <w:rFonts w:ascii="Arial" w:cs="Arial" w:eastAsia="Arial" w:hAnsi="Arial"/>
          <w:sz w:val="20"/>
          <w:szCs w:val="20"/>
          <w:b w:val="1"/>
          <w:bCs w:val="1"/>
          <w:color w:val="auto"/>
        </w:rPr>
        <w:t>TERM LOAN A):</w:t>
      </w:r>
      <w:r>
        <w:rPr>
          <w:sz w:val="20"/>
          <w:szCs w:val="20"/>
          <w:color w:val="auto"/>
        </w:rPr>
        <w:tab/>
      </w:r>
      <w:r>
        <w:rPr>
          <w:rFonts w:ascii="Arial" w:cs="Arial" w:eastAsia="Arial" w:hAnsi="Arial"/>
          <w:sz w:val="19"/>
          <w:szCs w:val="19"/>
          <w:b w:val="1"/>
          <w:bCs w:val="1"/>
          <w:color w:val="auto"/>
        </w:rPr>
        <w:t>BANK OF AMERICA, N.A.</w:t>
      </w:r>
      <w:r>
        <w:rPr>
          <w:rFonts w:ascii="Arial" w:cs="Arial" w:eastAsia="Arial" w:hAnsi="Arial"/>
          <w:sz w:val="19"/>
          <w:szCs w:val="19"/>
          <w:color w:val="auto"/>
        </w:rPr>
        <w:t>,</w:t>
      </w:r>
    </w:p>
    <w:p>
      <w:pPr>
        <w:jc w:val="center"/>
        <w:ind w:right="-279"/>
        <w:spacing w:after="0"/>
        <w:rPr>
          <w:sz w:val="20"/>
          <w:szCs w:val="20"/>
          <w:color w:val="auto"/>
        </w:rPr>
      </w:pPr>
      <w:r>
        <w:rPr>
          <w:rFonts w:ascii="Arial" w:cs="Arial" w:eastAsia="Arial" w:hAnsi="Arial"/>
          <w:sz w:val="20"/>
          <w:szCs w:val="20"/>
          <w:color w:val="auto"/>
        </w:rPr>
        <w:t>as Administrative Agent and Collateral Agent</w:t>
      </w:r>
    </w:p>
    <w:p>
      <w:pPr>
        <w:spacing w:after="0" w:line="200" w:lineRule="exact"/>
        <w:rPr>
          <w:sz w:val="20"/>
          <w:szCs w:val="20"/>
          <w:color w:val="auto"/>
        </w:rPr>
      </w:pPr>
    </w:p>
    <w:p>
      <w:pPr>
        <w:spacing w:after="0" w:line="229" w:lineRule="exact"/>
        <w:rPr>
          <w:sz w:val="20"/>
          <w:szCs w:val="20"/>
          <w:color w:val="auto"/>
        </w:rPr>
      </w:pPr>
    </w:p>
    <w:p>
      <w:pPr>
        <w:ind w:left="3900"/>
        <w:spacing w:after="0"/>
        <w:tabs>
          <w:tab w:leader="none" w:pos="4360" w:val="left"/>
        </w:tabs>
        <w:rPr>
          <w:sz w:val="20"/>
          <w:szCs w:val="20"/>
          <w:color w:val="auto"/>
        </w:rPr>
      </w:pPr>
      <w:r>
        <w:rPr>
          <w:rFonts w:ascii="Arial" w:cs="Arial" w:eastAsia="Arial" w:hAnsi="Arial"/>
          <w:sz w:val="20"/>
          <w:szCs w:val="20"/>
          <w:color w:val="auto"/>
        </w:rPr>
        <w:t>By:</w:t>
      </w:r>
      <w:r>
        <w:rPr>
          <w:sz w:val="20"/>
          <w:szCs w:val="20"/>
          <w:color w:val="auto"/>
        </w:rPr>
        <w:tab/>
      </w:r>
      <w:r>
        <w:rPr>
          <w:rFonts w:ascii="Arial" w:cs="Arial" w:eastAsia="Arial" w:hAnsi="Arial"/>
          <w:sz w:val="18"/>
          <w:szCs w:val="18"/>
          <w:color w:val="auto"/>
        </w:rPr>
        <w:t>/s/ Liliana Claar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2656205</wp:posOffset>
            </wp:positionH>
            <wp:positionV relativeFrom="paragraph">
              <wp:posOffset>-14605</wp:posOffset>
            </wp:positionV>
            <wp:extent cx="1438275"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438275" cy="8890"/>
                    </a:xfrm>
                    <a:prstGeom prst="rect">
                      <a:avLst/>
                    </a:prstGeom>
                    <a:noFill/>
                  </pic:spPr>
                </pic:pic>
              </a:graphicData>
            </a:graphic>
          </wp:anchor>
        </w:drawing>
      </w:r>
    </w:p>
    <w:p>
      <w:pPr>
        <w:ind w:left="3900"/>
        <w:spacing w:after="0"/>
        <w:tabs>
          <w:tab w:leader="none" w:pos="4600" w:val="left"/>
        </w:tabs>
        <w:rPr>
          <w:sz w:val="20"/>
          <w:szCs w:val="20"/>
          <w:color w:val="auto"/>
        </w:rPr>
      </w:pPr>
      <w:r>
        <w:rPr>
          <w:rFonts w:ascii="Arial" w:cs="Arial" w:eastAsia="Arial" w:hAnsi="Arial"/>
          <w:sz w:val="20"/>
          <w:szCs w:val="20"/>
          <w:color w:val="auto"/>
        </w:rPr>
        <w:t>Name:</w:t>
      </w:r>
      <w:r>
        <w:rPr>
          <w:sz w:val="20"/>
          <w:szCs w:val="20"/>
          <w:color w:val="auto"/>
        </w:rPr>
        <w:tab/>
      </w:r>
      <w:r>
        <w:rPr>
          <w:rFonts w:ascii="Arial" w:cs="Arial" w:eastAsia="Arial" w:hAnsi="Arial"/>
          <w:sz w:val="18"/>
          <w:szCs w:val="18"/>
          <w:color w:val="auto"/>
        </w:rPr>
        <w:t>Liliana Claar</w:t>
      </w:r>
    </w:p>
    <w:p>
      <w:pPr>
        <w:ind w:left="3900"/>
        <w:spacing w:after="0"/>
        <w:tabs>
          <w:tab w:leader="none" w:pos="4500" w:val="left"/>
        </w:tabs>
        <w:rPr>
          <w:sz w:val="20"/>
          <w:szCs w:val="20"/>
          <w:color w:val="auto"/>
        </w:rPr>
      </w:pPr>
      <w:r>
        <w:rPr>
          <w:rFonts w:ascii="Arial" w:cs="Arial" w:eastAsia="Arial" w:hAnsi="Arial"/>
          <w:sz w:val="20"/>
          <w:szCs w:val="20"/>
          <w:color w:val="auto"/>
        </w:rPr>
        <w:t>Title:</w:t>
      </w:r>
      <w:r>
        <w:rPr>
          <w:sz w:val="20"/>
          <w:szCs w:val="20"/>
          <w:color w:val="auto"/>
        </w:rPr>
        <w:tab/>
      </w:r>
      <w:r>
        <w:rPr>
          <w:rFonts w:ascii="Arial" w:cs="Arial" w:eastAsia="Arial" w:hAnsi="Arial"/>
          <w:sz w:val="16"/>
          <w:szCs w:val="16"/>
          <w:color w:val="auto"/>
        </w:rPr>
        <w:t>Vice President</w:t>
      </w:r>
    </w:p>
    <w:p>
      <w:pPr>
        <w:spacing w:after="0" w:line="207"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ADMINISTRATIVE AGENT</w:t>
      </w:r>
    </w:p>
    <w:p>
      <w:pPr>
        <w:spacing w:after="0" w:line="22" w:lineRule="exact"/>
        <w:rPr>
          <w:sz w:val="20"/>
          <w:szCs w:val="20"/>
          <w:color w:val="auto"/>
        </w:rPr>
      </w:pPr>
    </w:p>
    <w:p>
      <w:pPr>
        <w:ind w:left="3900" w:hanging="3889"/>
        <w:spacing w:after="0" w:line="244" w:lineRule="auto"/>
        <w:tabs>
          <w:tab w:leader="none" w:pos="3880" w:val="left"/>
        </w:tabs>
        <w:rPr>
          <w:sz w:val="20"/>
          <w:szCs w:val="20"/>
          <w:color w:val="auto"/>
        </w:rPr>
      </w:pPr>
      <w:r>
        <w:rPr>
          <w:rFonts w:ascii="Arial" w:cs="Arial" w:eastAsia="Arial" w:hAnsi="Arial"/>
          <w:sz w:val="20"/>
          <w:szCs w:val="20"/>
          <w:b w:val="1"/>
          <w:bCs w:val="1"/>
          <w:color w:val="auto"/>
        </w:rPr>
        <w:t>(FOR INDIA OBLIGATIONS):</w:t>
      </w:r>
      <w:r>
        <w:rPr>
          <w:sz w:val="20"/>
          <w:szCs w:val="20"/>
          <w:color w:val="auto"/>
        </w:rPr>
        <w:tab/>
      </w:r>
      <w:r>
        <w:rPr>
          <w:rFonts w:ascii="Arial" w:cs="Arial" w:eastAsia="Arial" w:hAnsi="Arial"/>
          <w:sz w:val="20"/>
          <w:szCs w:val="20"/>
          <w:b w:val="1"/>
          <w:bCs w:val="1"/>
          <w:color w:val="auto"/>
        </w:rPr>
        <w:t>BANK OF AMERICA, N.A.</w:t>
      </w:r>
      <w:r>
        <w:rPr>
          <w:rFonts w:ascii="Arial" w:cs="Arial" w:eastAsia="Arial" w:hAnsi="Arial"/>
          <w:sz w:val="20"/>
          <w:szCs w:val="20"/>
          <w:color w:val="auto"/>
        </w:rPr>
        <w:t>, acting through its Mumbai Branch, as Administrative Agent</w:t>
      </w:r>
      <w:r>
        <w:rPr>
          <w:rFonts w:ascii="Arial" w:cs="Arial" w:eastAsia="Arial" w:hAnsi="Arial"/>
          <w:sz w:val="20"/>
          <w:szCs w:val="20"/>
          <w:b w:val="1"/>
          <w:bCs w:val="1"/>
          <w:color w:val="auto"/>
        </w:rPr>
        <w:t xml:space="preserve"> </w:t>
      </w:r>
      <w:r>
        <w:rPr>
          <w:rFonts w:ascii="Arial" w:cs="Arial" w:eastAsia="Arial" w:hAnsi="Arial"/>
          <w:sz w:val="20"/>
          <w:szCs w:val="20"/>
          <w:color w:val="auto"/>
        </w:rPr>
        <w:t>for all India related credit facilities</w:t>
      </w:r>
    </w:p>
    <w:p>
      <w:pPr>
        <w:spacing w:after="0" w:line="200" w:lineRule="exact"/>
        <w:rPr>
          <w:sz w:val="20"/>
          <w:szCs w:val="20"/>
          <w:color w:val="auto"/>
        </w:rPr>
      </w:pPr>
    </w:p>
    <w:p>
      <w:pPr>
        <w:spacing w:after="0" w:line="208" w:lineRule="exact"/>
        <w:rPr>
          <w:sz w:val="20"/>
          <w:szCs w:val="20"/>
          <w:color w:val="auto"/>
        </w:rPr>
      </w:pPr>
    </w:p>
    <w:p>
      <w:pPr>
        <w:ind w:left="3900"/>
        <w:spacing w:after="0"/>
        <w:tabs>
          <w:tab w:leader="none" w:pos="4360" w:val="left"/>
        </w:tabs>
        <w:rPr>
          <w:sz w:val="20"/>
          <w:szCs w:val="20"/>
          <w:color w:val="auto"/>
        </w:rPr>
      </w:pPr>
      <w:r>
        <w:rPr>
          <w:rFonts w:ascii="Arial" w:cs="Arial" w:eastAsia="Arial" w:hAnsi="Arial"/>
          <w:sz w:val="20"/>
          <w:szCs w:val="20"/>
          <w:color w:val="auto"/>
        </w:rPr>
        <w:t>By:</w:t>
      </w:r>
      <w:r>
        <w:rPr>
          <w:sz w:val="20"/>
          <w:szCs w:val="20"/>
          <w:color w:val="auto"/>
        </w:rPr>
        <w:tab/>
      </w:r>
      <w:r>
        <w:rPr>
          <w:rFonts w:ascii="Arial" w:cs="Arial" w:eastAsia="Arial" w:hAnsi="Arial"/>
          <w:sz w:val="16"/>
          <w:szCs w:val="16"/>
          <w:color w:val="auto"/>
        </w:rPr>
        <w:t>/s/ Namita Chhabra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2656205</wp:posOffset>
            </wp:positionH>
            <wp:positionV relativeFrom="paragraph">
              <wp:posOffset>-14605</wp:posOffset>
            </wp:positionV>
            <wp:extent cx="1605915"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605915" cy="8890"/>
                    </a:xfrm>
                    <a:prstGeom prst="rect">
                      <a:avLst/>
                    </a:prstGeom>
                    <a:noFill/>
                  </pic:spPr>
                </pic:pic>
              </a:graphicData>
            </a:graphic>
          </wp:anchor>
        </w:drawing>
      </w:r>
    </w:p>
    <w:p>
      <w:pPr>
        <w:ind w:left="3900"/>
        <w:spacing w:after="0"/>
        <w:tabs>
          <w:tab w:leader="none" w:pos="4600" w:val="left"/>
        </w:tabs>
        <w:rPr>
          <w:sz w:val="20"/>
          <w:szCs w:val="20"/>
          <w:color w:val="auto"/>
        </w:rPr>
      </w:pPr>
      <w:r>
        <w:rPr>
          <w:rFonts w:ascii="Arial" w:cs="Arial" w:eastAsia="Arial" w:hAnsi="Arial"/>
          <w:sz w:val="20"/>
          <w:szCs w:val="20"/>
          <w:color w:val="auto"/>
        </w:rPr>
        <w:t>Name:</w:t>
      </w:r>
      <w:r>
        <w:rPr>
          <w:sz w:val="20"/>
          <w:szCs w:val="20"/>
          <w:color w:val="auto"/>
        </w:rPr>
        <w:tab/>
      </w:r>
      <w:r>
        <w:rPr>
          <w:rFonts w:ascii="Arial" w:cs="Arial" w:eastAsia="Arial" w:hAnsi="Arial"/>
          <w:sz w:val="16"/>
          <w:szCs w:val="16"/>
          <w:color w:val="auto"/>
        </w:rPr>
        <w:t>Namita Chhabra</w:t>
      </w:r>
    </w:p>
    <w:p>
      <w:pPr>
        <w:ind w:left="3900"/>
        <w:spacing w:after="0"/>
        <w:tabs>
          <w:tab w:leader="none" w:pos="4500" w:val="left"/>
        </w:tabs>
        <w:rPr>
          <w:sz w:val="20"/>
          <w:szCs w:val="20"/>
          <w:color w:val="auto"/>
        </w:rPr>
      </w:pPr>
      <w:r>
        <w:rPr>
          <w:rFonts w:ascii="Arial" w:cs="Arial" w:eastAsia="Arial" w:hAnsi="Arial"/>
          <w:sz w:val="20"/>
          <w:szCs w:val="20"/>
          <w:color w:val="auto"/>
        </w:rPr>
        <w:t>Title:</w:t>
      </w:r>
      <w:r>
        <w:rPr>
          <w:sz w:val="20"/>
          <w:szCs w:val="20"/>
          <w:color w:val="auto"/>
        </w:rPr>
        <w:tab/>
      </w:r>
      <w:r>
        <w:rPr>
          <w:rFonts w:ascii="Arial" w:cs="Arial" w:eastAsia="Arial" w:hAnsi="Arial"/>
          <w:sz w:val="18"/>
          <w:szCs w:val="18"/>
          <w:color w:val="auto"/>
        </w:rPr>
        <w:t>VP, Corporate Credit Risk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spacing w:after="0"/>
        <w:rPr>
          <w:sz w:val="20"/>
          <w:szCs w:val="20"/>
          <w:color w:val="auto"/>
        </w:rPr>
      </w:pPr>
      <w:r>
        <w:rPr>
          <w:rFonts w:ascii="Arial" w:cs="Arial" w:eastAsia="Arial" w:hAnsi="Arial"/>
          <w:sz w:val="14"/>
          <w:szCs w:val="14"/>
          <w:color w:val="auto"/>
        </w:rPr>
        <w:t>CHAR1\1315949v12</w:t>
      </w:r>
    </w:p>
    <w:p>
      <w:pPr>
        <w:sectPr>
          <w:pgSz w:w="11900" w:h="16838" w:orient="portrait"/>
          <w:cols w:equalWidth="0" w:num="1">
            <w:col w:w="11160"/>
          </w:cols>
          <w:pgMar w:left="240" w:top="1035" w:right="499" w:bottom="1440" w:gutter="0" w:footer="0" w:header="0"/>
        </w:sectPr>
      </w:pPr>
    </w:p>
    <w:bookmarkStart w:id="49" w:name="page50"/>
    <w:bookmarkEnd w:id="49"/>
    <w:p>
      <w:pPr>
        <w:spacing w:after="0"/>
        <w:tabs>
          <w:tab w:leader="none" w:pos="1980" w:val="left"/>
        </w:tabs>
        <w:rPr>
          <w:sz w:val="20"/>
          <w:szCs w:val="20"/>
          <w:color w:val="auto"/>
        </w:rPr>
      </w:pPr>
      <w:r>
        <w:rPr>
          <w:rFonts w:ascii="Arial" w:cs="Arial" w:eastAsia="Arial" w:hAnsi="Arial"/>
          <w:sz w:val="20"/>
          <w:szCs w:val="20"/>
          <w:b w:val="1"/>
          <w:bCs w:val="1"/>
          <w:u w:val="single" w:color="auto"/>
          <w:color w:val="auto"/>
        </w:rPr>
        <w:t>LENDERS</w:t>
      </w:r>
      <w:r>
        <w:rPr>
          <w:rFonts w:ascii="Arial" w:cs="Arial" w:eastAsia="Arial" w:hAnsi="Arial"/>
          <w:sz w:val="20"/>
          <w:szCs w:val="20"/>
          <w:b w:val="1"/>
          <w:bCs w:val="1"/>
          <w:color w:val="auto"/>
        </w:rPr>
        <w:t>:</w:t>
      </w:r>
      <w:r>
        <w:rPr>
          <w:sz w:val="20"/>
          <w:szCs w:val="20"/>
          <w:color w:val="auto"/>
        </w:rPr>
        <w:tab/>
      </w:r>
      <w:r>
        <w:rPr>
          <w:rFonts w:ascii="Arial" w:cs="Arial" w:eastAsia="Arial" w:hAnsi="Arial"/>
          <w:sz w:val="19"/>
          <w:szCs w:val="19"/>
          <w:b w:val="1"/>
          <w:bCs w:val="1"/>
          <w:color w:val="auto"/>
        </w:rPr>
        <w:t>BANK OF AMERICA, N.A.</w:t>
      </w:r>
      <w:r>
        <w:rPr>
          <w:rFonts w:ascii="Arial" w:cs="Arial" w:eastAsia="Arial" w:hAnsi="Arial"/>
          <w:sz w:val="19"/>
          <w:szCs w:val="19"/>
          <w:color w:val="auto"/>
        </w:rPr>
        <w:t>,</w:t>
      </w:r>
    </w:p>
    <w:p>
      <w:pPr>
        <w:spacing w:after="0" w:line="22" w:lineRule="exact"/>
        <w:rPr>
          <w:sz w:val="20"/>
          <w:szCs w:val="20"/>
          <w:color w:val="auto"/>
        </w:rPr>
      </w:pPr>
    </w:p>
    <w:p>
      <w:pPr>
        <w:jc w:val="right"/>
        <w:spacing w:after="0"/>
        <w:rPr>
          <w:sz w:val="20"/>
          <w:szCs w:val="20"/>
          <w:color w:val="auto"/>
        </w:rPr>
      </w:pPr>
      <w:r>
        <w:rPr>
          <w:rFonts w:ascii="Arial" w:cs="Arial" w:eastAsia="Arial" w:hAnsi="Arial"/>
          <w:sz w:val="20"/>
          <w:szCs w:val="20"/>
          <w:color w:val="auto"/>
        </w:rPr>
        <w:t>as USD L/C Issuer, USD Swingline Lender, European Swingline Lender and as a Lender</w:t>
      </w:r>
    </w:p>
    <w:p>
      <w:pPr>
        <w:spacing w:after="0" w:line="200" w:lineRule="exact"/>
        <w:rPr>
          <w:sz w:val="20"/>
          <w:szCs w:val="20"/>
          <w:color w:val="auto"/>
        </w:rPr>
      </w:pPr>
    </w:p>
    <w:p>
      <w:pPr>
        <w:spacing w:after="0" w:line="216" w:lineRule="exact"/>
        <w:rPr>
          <w:sz w:val="20"/>
          <w:szCs w:val="20"/>
          <w:color w:val="auto"/>
        </w:rPr>
      </w:pPr>
    </w:p>
    <w:p>
      <w:pPr>
        <w:ind w:left="3900"/>
        <w:spacing w:after="0"/>
        <w:tabs>
          <w:tab w:leader="none" w:pos="4360" w:val="left"/>
        </w:tabs>
        <w:rPr>
          <w:sz w:val="20"/>
          <w:szCs w:val="20"/>
          <w:color w:val="auto"/>
        </w:rPr>
      </w:pPr>
      <w:r>
        <w:rPr>
          <w:rFonts w:ascii="Arial" w:cs="Arial" w:eastAsia="Arial" w:hAnsi="Arial"/>
          <w:sz w:val="20"/>
          <w:szCs w:val="20"/>
          <w:color w:val="auto"/>
        </w:rPr>
        <w:t>By:</w:t>
      </w:r>
      <w:r>
        <w:rPr>
          <w:sz w:val="20"/>
          <w:szCs w:val="20"/>
          <w:color w:val="auto"/>
        </w:rPr>
        <w:tab/>
      </w:r>
      <w:r>
        <w:rPr>
          <w:rFonts w:ascii="Arial" w:cs="Arial" w:eastAsia="Arial" w:hAnsi="Arial"/>
          <w:sz w:val="16"/>
          <w:szCs w:val="16"/>
          <w:color w:val="auto"/>
        </w:rPr>
        <w:t>/s/ Jeffrey P. Yoakum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2656205</wp:posOffset>
            </wp:positionH>
            <wp:positionV relativeFrom="paragraph">
              <wp:posOffset>-14605</wp:posOffset>
            </wp:positionV>
            <wp:extent cx="1570355"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570355" cy="8890"/>
                    </a:xfrm>
                    <a:prstGeom prst="rect">
                      <a:avLst/>
                    </a:prstGeom>
                    <a:noFill/>
                  </pic:spPr>
                </pic:pic>
              </a:graphicData>
            </a:graphic>
          </wp:anchor>
        </w:drawing>
      </w:r>
    </w:p>
    <w:p>
      <w:pPr>
        <w:ind w:left="3900"/>
        <w:spacing w:after="0"/>
        <w:tabs>
          <w:tab w:leader="none" w:pos="4600" w:val="left"/>
        </w:tabs>
        <w:rPr>
          <w:sz w:val="20"/>
          <w:szCs w:val="20"/>
          <w:color w:val="auto"/>
        </w:rPr>
      </w:pPr>
      <w:r>
        <w:rPr>
          <w:rFonts w:ascii="Arial" w:cs="Arial" w:eastAsia="Arial" w:hAnsi="Arial"/>
          <w:sz w:val="20"/>
          <w:szCs w:val="20"/>
          <w:color w:val="auto"/>
        </w:rPr>
        <w:t>Name:</w:t>
      </w:r>
      <w:r>
        <w:rPr>
          <w:sz w:val="20"/>
          <w:szCs w:val="20"/>
          <w:color w:val="auto"/>
        </w:rPr>
        <w:tab/>
      </w:r>
      <w:r>
        <w:rPr>
          <w:rFonts w:ascii="Arial" w:cs="Arial" w:eastAsia="Arial" w:hAnsi="Arial"/>
          <w:sz w:val="16"/>
          <w:szCs w:val="16"/>
          <w:color w:val="auto"/>
        </w:rPr>
        <w:t>Jeffrey P. Yoakum</w:t>
      </w:r>
    </w:p>
    <w:p>
      <w:pPr>
        <w:ind w:left="3900"/>
        <w:spacing w:after="0"/>
        <w:tabs>
          <w:tab w:leader="none" w:pos="4500" w:val="left"/>
        </w:tabs>
        <w:rPr>
          <w:sz w:val="20"/>
          <w:szCs w:val="20"/>
          <w:color w:val="auto"/>
        </w:rPr>
      </w:pPr>
      <w:r>
        <w:rPr>
          <w:rFonts w:ascii="Arial" w:cs="Arial" w:eastAsia="Arial" w:hAnsi="Arial"/>
          <w:sz w:val="20"/>
          <w:szCs w:val="20"/>
          <w:color w:val="auto"/>
        </w:rPr>
        <w:t>Title:</w:t>
      </w:r>
      <w:r>
        <w:rPr>
          <w:sz w:val="20"/>
          <w:szCs w:val="20"/>
          <w:color w:val="auto"/>
        </w:rPr>
        <w:tab/>
      </w:r>
      <w:r>
        <w:rPr>
          <w:rFonts w:ascii="Arial" w:cs="Arial" w:eastAsia="Arial" w:hAnsi="Arial"/>
          <w:sz w:val="16"/>
          <w:szCs w:val="16"/>
          <w:color w:val="auto"/>
        </w:rPr>
        <w:t>Senior Vice President</w:t>
      </w:r>
    </w:p>
    <w:p>
      <w:pPr>
        <w:spacing w:after="0" w:line="200" w:lineRule="exact"/>
        <w:rPr>
          <w:sz w:val="20"/>
          <w:szCs w:val="20"/>
          <w:color w:val="auto"/>
        </w:rPr>
      </w:pPr>
    </w:p>
    <w:p>
      <w:pPr>
        <w:spacing w:after="0" w:line="210" w:lineRule="exact"/>
        <w:rPr>
          <w:sz w:val="20"/>
          <w:szCs w:val="20"/>
          <w:color w:val="auto"/>
        </w:rPr>
      </w:pPr>
    </w:p>
    <w:p>
      <w:pPr>
        <w:ind w:left="3900"/>
        <w:spacing w:after="0"/>
        <w:rPr>
          <w:sz w:val="20"/>
          <w:szCs w:val="20"/>
          <w:color w:val="auto"/>
        </w:rPr>
      </w:pPr>
      <w:r>
        <w:rPr>
          <w:rFonts w:ascii="Arial" w:cs="Arial" w:eastAsia="Arial" w:hAnsi="Arial"/>
          <w:sz w:val="20"/>
          <w:szCs w:val="20"/>
          <w:b w:val="1"/>
          <w:bCs w:val="1"/>
          <w:color w:val="auto"/>
        </w:rPr>
        <w:t>U.S. Bank National Association as a Lender</w:t>
      </w: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ind w:left="3900"/>
        <w:spacing w:after="0"/>
        <w:tabs>
          <w:tab w:leader="none" w:pos="4360" w:val="left"/>
        </w:tabs>
        <w:rPr>
          <w:sz w:val="20"/>
          <w:szCs w:val="20"/>
          <w:color w:val="auto"/>
        </w:rPr>
      </w:pPr>
      <w:r>
        <w:rPr>
          <w:rFonts w:ascii="Arial" w:cs="Arial" w:eastAsia="Arial" w:hAnsi="Arial"/>
          <w:sz w:val="20"/>
          <w:szCs w:val="20"/>
          <w:color w:val="auto"/>
        </w:rPr>
        <w:t>By:</w:t>
      </w:r>
      <w:r>
        <w:rPr>
          <w:sz w:val="20"/>
          <w:szCs w:val="20"/>
          <w:color w:val="auto"/>
        </w:rPr>
        <w:tab/>
      </w:r>
      <w:r>
        <w:rPr>
          <w:rFonts w:ascii="Arial" w:cs="Arial" w:eastAsia="Arial" w:hAnsi="Arial"/>
          <w:sz w:val="18"/>
          <w:szCs w:val="18"/>
          <w:color w:val="auto"/>
        </w:rPr>
        <w:t>/s/ Timothy Landro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2656205</wp:posOffset>
            </wp:positionH>
            <wp:positionV relativeFrom="paragraph">
              <wp:posOffset>-14605</wp:posOffset>
            </wp:positionV>
            <wp:extent cx="147574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475740" cy="8890"/>
                    </a:xfrm>
                    <a:prstGeom prst="rect">
                      <a:avLst/>
                    </a:prstGeom>
                    <a:noFill/>
                  </pic:spPr>
                </pic:pic>
              </a:graphicData>
            </a:graphic>
          </wp:anchor>
        </w:drawing>
      </w:r>
    </w:p>
    <w:p>
      <w:pPr>
        <w:ind w:left="3900"/>
        <w:spacing w:after="0"/>
        <w:tabs>
          <w:tab w:leader="none" w:pos="4600" w:val="left"/>
        </w:tabs>
        <w:rPr>
          <w:sz w:val="20"/>
          <w:szCs w:val="20"/>
          <w:color w:val="auto"/>
        </w:rPr>
      </w:pPr>
      <w:r>
        <w:rPr>
          <w:rFonts w:ascii="Arial" w:cs="Arial" w:eastAsia="Arial" w:hAnsi="Arial"/>
          <w:sz w:val="20"/>
          <w:szCs w:val="20"/>
          <w:color w:val="auto"/>
        </w:rPr>
        <w:t>Name:</w:t>
      </w:r>
      <w:r>
        <w:rPr>
          <w:sz w:val="20"/>
          <w:szCs w:val="20"/>
          <w:color w:val="auto"/>
        </w:rPr>
        <w:tab/>
      </w:r>
      <w:r>
        <w:rPr>
          <w:rFonts w:ascii="Arial" w:cs="Arial" w:eastAsia="Arial" w:hAnsi="Arial"/>
          <w:sz w:val="18"/>
          <w:szCs w:val="18"/>
          <w:color w:val="auto"/>
        </w:rPr>
        <w:t>Timothy Landro</w:t>
      </w:r>
    </w:p>
    <w:p>
      <w:pPr>
        <w:ind w:left="3900"/>
        <w:spacing w:after="0"/>
        <w:tabs>
          <w:tab w:leader="none" w:pos="4500" w:val="left"/>
        </w:tabs>
        <w:rPr>
          <w:sz w:val="20"/>
          <w:szCs w:val="20"/>
          <w:color w:val="auto"/>
        </w:rPr>
      </w:pPr>
      <w:r>
        <w:rPr>
          <w:rFonts w:ascii="Arial" w:cs="Arial" w:eastAsia="Arial" w:hAnsi="Arial"/>
          <w:sz w:val="20"/>
          <w:szCs w:val="20"/>
          <w:color w:val="auto"/>
        </w:rPr>
        <w:t>Title:</w:t>
      </w:r>
      <w:r>
        <w:rPr>
          <w:sz w:val="20"/>
          <w:szCs w:val="20"/>
          <w:color w:val="auto"/>
        </w:rPr>
        <w:tab/>
      </w:r>
      <w:r>
        <w:rPr>
          <w:rFonts w:ascii="Arial" w:cs="Arial" w:eastAsia="Arial" w:hAnsi="Arial"/>
          <w:sz w:val="16"/>
          <w:szCs w:val="16"/>
          <w:color w:val="auto"/>
        </w:rPr>
        <w:t>Vice President</w:t>
      </w:r>
    </w:p>
    <w:p>
      <w:pPr>
        <w:spacing w:after="0" w:line="200" w:lineRule="exact"/>
        <w:rPr>
          <w:sz w:val="20"/>
          <w:szCs w:val="20"/>
          <w:color w:val="auto"/>
        </w:rPr>
      </w:pPr>
    </w:p>
    <w:p>
      <w:pPr>
        <w:spacing w:after="0" w:line="210" w:lineRule="exact"/>
        <w:rPr>
          <w:sz w:val="20"/>
          <w:szCs w:val="20"/>
          <w:color w:val="auto"/>
        </w:rPr>
      </w:pPr>
    </w:p>
    <w:p>
      <w:pPr>
        <w:ind w:left="3900"/>
        <w:spacing w:after="0"/>
        <w:rPr>
          <w:sz w:val="20"/>
          <w:szCs w:val="20"/>
          <w:color w:val="auto"/>
        </w:rPr>
      </w:pPr>
      <w:r>
        <w:rPr>
          <w:rFonts w:ascii="Arial" w:cs="Arial" w:eastAsia="Arial" w:hAnsi="Arial"/>
          <w:sz w:val="20"/>
          <w:szCs w:val="20"/>
          <w:b w:val="1"/>
          <w:bCs w:val="1"/>
          <w:color w:val="auto"/>
        </w:rPr>
        <w:t>BMO Harris Bank N.A.</w:t>
      </w: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ind w:left="3900"/>
        <w:spacing w:after="0"/>
        <w:tabs>
          <w:tab w:leader="none" w:pos="4360" w:val="left"/>
        </w:tabs>
        <w:rPr>
          <w:sz w:val="20"/>
          <w:szCs w:val="20"/>
          <w:color w:val="auto"/>
        </w:rPr>
      </w:pPr>
      <w:r>
        <w:rPr>
          <w:rFonts w:ascii="Arial" w:cs="Arial" w:eastAsia="Arial" w:hAnsi="Arial"/>
          <w:sz w:val="20"/>
          <w:szCs w:val="20"/>
          <w:color w:val="auto"/>
        </w:rPr>
        <w:t>By:</w:t>
      </w:r>
      <w:r>
        <w:rPr>
          <w:sz w:val="20"/>
          <w:szCs w:val="20"/>
          <w:color w:val="auto"/>
        </w:rPr>
        <w:tab/>
      </w:r>
      <w:r>
        <w:rPr>
          <w:rFonts w:ascii="Arial" w:cs="Arial" w:eastAsia="Arial" w:hAnsi="Arial"/>
          <w:sz w:val="16"/>
          <w:szCs w:val="16"/>
          <w:color w:val="auto"/>
        </w:rPr>
        <w:t>/s/ Catherine Blaesing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2656205</wp:posOffset>
            </wp:positionH>
            <wp:positionV relativeFrom="paragraph">
              <wp:posOffset>-14605</wp:posOffset>
            </wp:positionV>
            <wp:extent cx="161290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1612900" cy="8890"/>
                    </a:xfrm>
                    <a:prstGeom prst="rect">
                      <a:avLst/>
                    </a:prstGeom>
                    <a:noFill/>
                  </pic:spPr>
                </pic:pic>
              </a:graphicData>
            </a:graphic>
          </wp:anchor>
        </w:drawing>
      </w:r>
    </w:p>
    <w:p>
      <w:pPr>
        <w:ind w:left="3900"/>
        <w:spacing w:after="0"/>
        <w:tabs>
          <w:tab w:leader="none" w:pos="4600" w:val="left"/>
        </w:tabs>
        <w:rPr>
          <w:sz w:val="20"/>
          <w:szCs w:val="20"/>
          <w:color w:val="auto"/>
        </w:rPr>
      </w:pPr>
      <w:r>
        <w:rPr>
          <w:rFonts w:ascii="Arial" w:cs="Arial" w:eastAsia="Arial" w:hAnsi="Arial"/>
          <w:sz w:val="20"/>
          <w:szCs w:val="20"/>
          <w:color w:val="auto"/>
        </w:rPr>
        <w:t>Name:</w:t>
      </w:r>
      <w:r>
        <w:rPr>
          <w:sz w:val="20"/>
          <w:szCs w:val="20"/>
          <w:color w:val="auto"/>
        </w:rPr>
        <w:tab/>
      </w:r>
      <w:r>
        <w:rPr>
          <w:rFonts w:ascii="Arial" w:cs="Arial" w:eastAsia="Arial" w:hAnsi="Arial"/>
          <w:sz w:val="16"/>
          <w:szCs w:val="16"/>
          <w:color w:val="auto"/>
        </w:rPr>
        <w:t>Catherine Blaesing</w:t>
      </w:r>
    </w:p>
    <w:p>
      <w:pPr>
        <w:ind w:left="3900"/>
        <w:spacing w:after="0"/>
        <w:tabs>
          <w:tab w:leader="none" w:pos="4500" w:val="left"/>
        </w:tabs>
        <w:rPr>
          <w:sz w:val="20"/>
          <w:szCs w:val="20"/>
          <w:color w:val="auto"/>
        </w:rPr>
      </w:pPr>
      <w:r>
        <w:rPr>
          <w:rFonts w:ascii="Arial" w:cs="Arial" w:eastAsia="Arial" w:hAnsi="Arial"/>
          <w:sz w:val="20"/>
          <w:szCs w:val="20"/>
          <w:color w:val="auto"/>
        </w:rPr>
        <w:t>Title:</w:t>
      </w:r>
      <w:r>
        <w:rPr>
          <w:sz w:val="20"/>
          <w:szCs w:val="20"/>
          <w:color w:val="auto"/>
        </w:rPr>
        <w:tab/>
      </w:r>
      <w:r>
        <w:rPr>
          <w:rFonts w:ascii="Arial" w:cs="Arial" w:eastAsia="Arial" w:hAnsi="Arial"/>
          <w:sz w:val="18"/>
          <w:szCs w:val="18"/>
          <w:color w:val="auto"/>
        </w:rPr>
        <w:t>Director</w:t>
      </w:r>
    </w:p>
    <w:p>
      <w:pPr>
        <w:spacing w:after="0" w:line="200" w:lineRule="exact"/>
        <w:rPr>
          <w:sz w:val="20"/>
          <w:szCs w:val="20"/>
          <w:color w:val="auto"/>
        </w:rPr>
      </w:pPr>
    </w:p>
    <w:p>
      <w:pPr>
        <w:spacing w:after="0" w:line="210" w:lineRule="exact"/>
        <w:rPr>
          <w:sz w:val="20"/>
          <w:szCs w:val="20"/>
          <w:color w:val="auto"/>
        </w:rPr>
      </w:pPr>
    </w:p>
    <w:p>
      <w:pPr>
        <w:jc w:val="center"/>
        <w:ind w:right="220"/>
        <w:spacing w:after="0"/>
        <w:rPr>
          <w:sz w:val="20"/>
          <w:szCs w:val="20"/>
          <w:color w:val="auto"/>
        </w:rPr>
      </w:pPr>
      <w:r>
        <w:rPr>
          <w:rFonts w:ascii="Arial" w:cs="Arial" w:eastAsia="Arial" w:hAnsi="Arial"/>
          <w:sz w:val="20"/>
          <w:szCs w:val="20"/>
          <w:b w:val="1"/>
          <w:bCs w:val="1"/>
          <w:color w:val="auto"/>
        </w:rPr>
        <w:t>Bank of Montreal, London Branch</w:t>
      </w: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ind w:left="3900"/>
        <w:spacing w:after="0"/>
        <w:tabs>
          <w:tab w:leader="none" w:pos="4360" w:val="left"/>
        </w:tabs>
        <w:rPr>
          <w:sz w:val="20"/>
          <w:szCs w:val="20"/>
          <w:color w:val="auto"/>
        </w:rPr>
      </w:pPr>
      <w:r>
        <w:rPr>
          <w:rFonts w:ascii="Arial" w:cs="Arial" w:eastAsia="Arial" w:hAnsi="Arial"/>
          <w:sz w:val="20"/>
          <w:szCs w:val="20"/>
          <w:color w:val="auto"/>
        </w:rPr>
        <w:t>By:</w:t>
      </w:r>
      <w:r>
        <w:rPr>
          <w:sz w:val="20"/>
          <w:szCs w:val="20"/>
          <w:color w:val="auto"/>
        </w:rPr>
        <w:tab/>
      </w:r>
      <w:r>
        <w:rPr>
          <w:rFonts w:ascii="Arial" w:cs="Arial" w:eastAsia="Arial" w:hAnsi="Arial"/>
          <w:sz w:val="18"/>
          <w:szCs w:val="18"/>
          <w:color w:val="auto"/>
        </w:rPr>
        <w:t>/s/ A.L. Eboon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2656205</wp:posOffset>
            </wp:positionH>
            <wp:positionV relativeFrom="paragraph">
              <wp:posOffset>-14605</wp:posOffset>
            </wp:positionV>
            <wp:extent cx="1242695"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1242695" cy="8890"/>
                    </a:xfrm>
                    <a:prstGeom prst="rect">
                      <a:avLst/>
                    </a:prstGeom>
                    <a:noFill/>
                  </pic:spPr>
                </pic:pic>
              </a:graphicData>
            </a:graphic>
          </wp:anchor>
        </w:drawing>
      </w:r>
    </w:p>
    <w:p>
      <w:pPr>
        <w:ind w:left="3900"/>
        <w:spacing w:after="0"/>
        <w:tabs>
          <w:tab w:leader="none" w:pos="4600" w:val="left"/>
        </w:tabs>
        <w:rPr>
          <w:sz w:val="20"/>
          <w:szCs w:val="20"/>
          <w:color w:val="auto"/>
        </w:rPr>
      </w:pPr>
      <w:r>
        <w:rPr>
          <w:rFonts w:ascii="Arial" w:cs="Arial" w:eastAsia="Arial" w:hAnsi="Arial"/>
          <w:sz w:val="20"/>
          <w:szCs w:val="20"/>
          <w:color w:val="auto"/>
        </w:rPr>
        <w:t>Name:</w:t>
      </w:r>
      <w:r>
        <w:rPr>
          <w:sz w:val="20"/>
          <w:szCs w:val="20"/>
          <w:color w:val="auto"/>
        </w:rPr>
        <w:tab/>
      </w:r>
      <w:r>
        <w:rPr>
          <w:rFonts w:ascii="Arial" w:cs="Arial" w:eastAsia="Arial" w:hAnsi="Arial"/>
          <w:sz w:val="18"/>
          <w:szCs w:val="18"/>
          <w:color w:val="auto"/>
        </w:rPr>
        <w:t>A.L. Eboon</w:t>
      </w:r>
    </w:p>
    <w:p>
      <w:pPr>
        <w:ind w:left="3900"/>
        <w:spacing w:after="0"/>
        <w:tabs>
          <w:tab w:leader="none" w:pos="4500" w:val="left"/>
        </w:tabs>
        <w:rPr>
          <w:sz w:val="20"/>
          <w:szCs w:val="20"/>
          <w:color w:val="auto"/>
        </w:rPr>
      </w:pPr>
      <w:r>
        <w:rPr>
          <w:rFonts w:ascii="Arial" w:cs="Arial" w:eastAsia="Arial" w:hAnsi="Arial"/>
          <w:sz w:val="20"/>
          <w:szCs w:val="20"/>
          <w:color w:val="auto"/>
        </w:rPr>
        <w:t>Title:</w:t>
      </w:r>
      <w:r>
        <w:rPr>
          <w:sz w:val="20"/>
          <w:szCs w:val="20"/>
          <w:color w:val="auto"/>
        </w:rPr>
        <w:tab/>
      </w:r>
      <w:r>
        <w:rPr>
          <w:rFonts w:ascii="Arial" w:cs="Arial" w:eastAsia="Arial" w:hAnsi="Arial"/>
          <w:sz w:val="18"/>
          <w:szCs w:val="18"/>
          <w:color w:val="auto"/>
        </w:rPr>
        <w:t>Managing Director</w:t>
      </w: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3900"/>
        <w:spacing w:after="0"/>
        <w:tabs>
          <w:tab w:leader="none" w:pos="4360" w:val="left"/>
        </w:tabs>
        <w:rPr>
          <w:sz w:val="20"/>
          <w:szCs w:val="20"/>
          <w:color w:val="auto"/>
        </w:rPr>
      </w:pPr>
      <w:r>
        <w:rPr>
          <w:rFonts w:ascii="Arial" w:cs="Arial" w:eastAsia="Arial" w:hAnsi="Arial"/>
          <w:sz w:val="20"/>
          <w:szCs w:val="20"/>
          <w:color w:val="auto"/>
        </w:rPr>
        <w:t>By:</w:t>
      </w:r>
      <w:r>
        <w:rPr>
          <w:sz w:val="20"/>
          <w:szCs w:val="20"/>
          <w:color w:val="auto"/>
        </w:rPr>
        <w:tab/>
      </w:r>
      <w:r>
        <w:rPr>
          <w:rFonts w:ascii="Arial" w:cs="Arial" w:eastAsia="Arial" w:hAnsi="Arial"/>
          <w:sz w:val="18"/>
          <w:szCs w:val="18"/>
          <w:color w:val="auto"/>
        </w:rPr>
        <w:t>/s/ L. Rodriguez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2656205</wp:posOffset>
            </wp:positionH>
            <wp:positionV relativeFrom="paragraph">
              <wp:posOffset>-14605</wp:posOffset>
            </wp:positionV>
            <wp:extent cx="131572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1315720" cy="8890"/>
                    </a:xfrm>
                    <a:prstGeom prst="rect">
                      <a:avLst/>
                    </a:prstGeom>
                    <a:noFill/>
                  </pic:spPr>
                </pic:pic>
              </a:graphicData>
            </a:graphic>
          </wp:anchor>
        </w:drawing>
      </w:r>
    </w:p>
    <w:p>
      <w:pPr>
        <w:ind w:left="3900"/>
        <w:spacing w:after="0"/>
        <w:tabs>
          <w:tab w:leader="none" w:pos="4600" w:val="left"/>
        </w:tabs>
        <w:rPr>
          <w:sz w:val="20"/>
          <w:szCs w:val="20"/>
          <w:color w:val="auto"/>
        </w:rPr>
      </w:pPr>
      <w:r>
        <w:rPr>
          <w:rFonts w:ascii="Arial" w:cs="Arial" w:eastAsia="Arial" w:hAnsi="Arial"/>
          <w:sz w:val="20"/>
          <w:szCs w:val="20"/>
          <w:color w:val="auto"/>
        </w:rPr>
        <w:t>Name:</w:t>
      </w:r>
      <w:r>
        <w:rPr>
          <w:sz w:val="20"/>
          <w:szCs w:val="20"/>
          <w:color w:val="auto"/>
        </w:rPr>
        <w:tab/>
      </w:r>
      <w:r>
        <w:rPr>
          <w:rFonts w:ascii="Arial" w:cs="Arial" w:eastAsia="Arial" w:hAnsi="Arial"/>
          <w:sz w:val="18"/>
          <w:szCs w:val="18"/>
          <w:color w:val="auto"/>
        </w:rPr>
        <w:t>L. Rodriguez</w:t>
      </w:r>
    </w:p>
    <w:p>
      <w:pPr>
        <w:ind w:left="3900"/>
        <w:spacing w:after="0"/>
        <w:tabs>
          <w:tab w:leader="none" w:pos="4500" w:val="left"/>
        </w:tabs>
        <w:rPr>
          <w:sz w:val="20"/>
          <w:szCs w:val="20"/>
          <w:color w:val="auto"/>
        </w:rPr>
      </w:pPr>
      <w:r>
        <w:rPr>
          <w:rFonts w:ascii="Arial" w:cs="Arial" w:eastAsia="Arial" w:hAnsi="Arial"/>
          <w:sz w:val="20"/>
          <w:szCs w:val="20"/>
          <w:color w:val="auto"/>
        </w:rPr>
        <w:t>Title:</w:t>
      </w:r>
      <w:r>
        <w:rPr>
          <w:sz w:val="20"/>
          <w:szCs w:val="20"/>
          <w:color w:val="auto"/>
        </w:rPr>
        <w:tab/>
      </w:r>
      <w:r>
        <w:rPr>
          <w:rFonts w:ascii="Arial" w:cs="Arial" w:eastAsia="Arial" w:hAnsi="Arial"/>
          <w:sz w:val="18"/>
          <w:szCs w:val="18"/>
          <w:color w:val="auto"/>
        </w:rPr>
        <w:t>Managing Director</w:t>
      </w:r>
    </w:p>
    <w:p>
      <w:pPr>
        <w:spacing w:after="0" w:line="200" w:lineRule="exact"/>
        <w:rPr>
          <w:sz w:val="20"/>
          <w:szCs w:val="20"/>
          <w:color w:val="auto"/>
        </w:rPr>
      </w:pPr>
    </w:p>
    <w:p>
      <w:pPr>
        <w:spacing w:after="0" w:line="210" w:lineRule="exact"/>
        <w:rPr>
          <w:sz w:val="20"/>
          <w:szCs w:val="20"/>
          <w:color w:val="auto"/>
        </w:rPr>
      </w:pPr>
    </w:p>
    <w:p>
      <w:pPr>
        <w:ind w:left="3900"/>
        <w:spacing w:after="0"/>
        <w:rPr>
          <w:sz w:val="20"/>
          <w:szCs w:val="20"/>
          <w:color w:val="auto"/>
        </w:rPr>
      </w:pPr>
      <w:r>
        <w:rPr>
          <w:rFonts w:ascii="Arial" w:cs="Arial" w:eastAsia="Arial" w:hAnsi="Arial"/>
          <w:sz w:val="20"/>
          <w:szCs w:val="20"/>
          <w:b w:val="1"/>
          <w:bCs w:val="1"/>
          <w:color w:val="auto"/>
        </w:rPr>
        <w:t>Wells Fargo Bank N.A.</w:t>
      </w: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ind w:left="3900"/>
        <w:spacing w:after="0"/>
        <w:tabs>
          <w:tab w:leader="none" w:pos="4360" w:val="left"/>
        </w:tabs>
        <w:rPr>
          <w:sz w:val="20"/>
          <w:szCs w:val="20"/>
          <w:color w:val="auto"/>
        </w:rPr>
      </w:pPr>
      <w:r>
        <w:rPr>
          <w:rFonts w:ascii="Arial" w:cs="Arial" w:eastAsia="Arial" w:hAnsi="Arial"/>
          <w:sz w:val="20"/>
          <w:szCs w:val="20"/>
          <w:color w:val="auto"/>
        </w:rPr>
        <w:t>By:</w:t>
      </w:r>
      <w:r>
        <w:rPr>
          <w:sz w:val="20"/>
          <w:szCs w:val="20"/>
          <w:color w:val="auto"/>
        </w:rPr>
        <w:tab/>
      </w:r>
      <w:r>
        <w:rPr>
          <w:rFonts w:ascii="Arial" w:cs="Arial" w:eastAsia="Arial" w:hAnsi="Arial"/>
          <w:sz w:val="18"/>
          <w:szCs w:val="18"/>
          <w:color w:val="auto"/>
        </w:rPr>
        <w:t>/s/ Ariana Fahrney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2656205</wp:posOffset>
            </wp:positionH>
            <wp:positionV relativeFrom="paragraph">
              <wp:posOffset>-14605</wp:posOffset>
            </wp:positionV>
            <wp:extent cx="1312545"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1312545" cy="8890"/>
                    </a:xfrm>
                    <a:prstGeom prst="rect">
                      <a:avLst/>
                    </a:prstGeom>
                    <a:noFill/>
                  </pic:spPr>
                </pic:pic>
              </a:graphicData>
            </a:graphic>
          </wp:anchor>
        </w:drawing>
      </w:r>
    </w:p>
    <w:p>
      <w:pPr>
        <w:ind w:left="3900"/>
        <w:spacing w:after="0"/>
        <w:tabs>
          <w:tab w:leader="none" w:pos="4600" w:val="left"/>
        </w:tabs>
        <w:rPr>
          <w:sz w:val="20"/>
          <w:szCs w:val="20"/>
          <w:color w:val="auto"/>
        </w:rPr>
      </w:pPr>
      <w:r>
        <w:rPr>
          <w:rFonts w:ascii="Arial" w:cs="Arial" w:eastAsia="Arial" w:hAnsi="Arial"/>
          <w:sz w:val="20"/>
          <w:szCs w:val="20"/>
          <w:color w:val="auto"/>
        </w:rPr>
        <w:t>Name:</w:t>
      </w:r>
      <w:r>
        <w:rPr>
          <w:sz w:val="20"/>
          <w:szCs w:val="20"/>
          <w:color w:val="auto"/>
        </w:rPr>
        <w:tab/>
      </w:r>
      <w:r>
        <w:rPr>
          <w:rFonts w:ascii="Arial" w:cs="Arial" w:eastAsia="Arial" w:hAnsi="Arial"/>
          <w:sz w:val="16"/>
          <w:szCs w:val="16"/>
          <w:color w:val="auto"/>
        </w:rPr>
        <w:t>Ariana Fahrney</w:t>
      </w:r>
    </w:p>
    <w:p>
      <w:pPr>
        <w:ind w:left="3900"/>
        <w:spacing w:after="0"/>
        <w:tabs>
          <w:tab w:leader="none" w:pos="4500" w:val="left"/>
        </w:tabs>
        <w:rPr>
          <w:sz w:val="20"/>
          <w:szCs w:val="20"/>
          <w:color w:val="auto"/>
        </w:rPr>
      </w:pPr>
      <w:r>
        <w:rPr>
          <w:rFonts w:ascii="Arial" w:cs="Arial" w:eastAsia="Arial" w:hAnsi="Arial"/>
          <w:sz w:val="20"/>
          <w:szCs w:val="20"/>
          <w:color w:val="auto"/>
        </w:rPr>
        <w:t>Title:</w:t>
      </w:r>
      <w:r>
        <w:rPr>
          <w:sz w:val="20"/>
          <w:szCs w:val="20"/>
          <w:color w:val="auto"/>
        </w:rPr>
        <w:tab/>
      </w:r>
      <w:r>
        <w:rPr>
          <w:rFonts w:ascii="Arial" w:cs="Arial" w:eastAsia="Arial" w:hAnsi="Arial"/>
          <w:sz w:val="16"/>
          <w:szCs w:val="16"/>
          <w:color w:val="auto"/>
        </w:rPr>
        <w:t>Vice President</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ind w:right="-479"/>
        <w:spacing w:after="0"/>
        <w:rPr>
          <w:sz w:val="20"/>
          <w:szCs w:val="20"/>
          <w:color w:val="auto"/>
        </w:rPr>
      </w:pPr>
      <w:r>
        <w:rPr>
          <w:rFonts w:ascii="Arial" w:cs="Arial" w:eastAsia="Arial" w:hAnsi="Arial"/>
          <w:sz w:val="13"/>
          <w:szCs w:val="13"/>
          <w:color w:val="auto"/>
        </w:rPr>
        <w:t>iii</w:t>
      </w:r>
    </w:p>
    <w:p>
      <w:pPr>
        <w:spacing w:after="0" w:line="7" w:lineRule="exact"/>
        <w:rPr>
          <w:sz w:val="20"/>
          <w:szCs w:val="20"/>
          <w:color w:val="auto"/>
        </w:rPr>
      </w:pPr>
    </w:p>
    <w:p>
      <w:pPr>
        <w:spacing w:after="0"/>
        <w:rPr>
          <w:sz w:val="20"/>
          <w:szCs w:val="20"/>
          <w:color w:val="auto"/>
        </w:rPr>
      </w:pPr>
      <w:r>
        <w:rPr>
          <w:rFonts w:ascii="Arial" w:cs="Arial" w:eastAsia="Arial" w:hAnsi="Arial"/>
          <w:sz w:val="14"/>
          <w:szCs w:val="14"/>
          <w:color w:val="auto"/>
        </w:rPr>
        <w:t>CHAR1\1346423v</w:t>
      </w:r>
      <w:r>
        <w:rPr>
          <w:rFonts w:ascii="Arial" w:cs="Arial" w:eastAsia="Arial" w:hAnsi="Arial"/>
          <w:sz w:val="14"/>
          <w:szCs w:val="14"/>
          <w:color w:val="FF0000"/>
          <w:strike w:val="1"/>
        </w:rPr>
        <w:t>1</w:t>
      </w:r>
      <w:r>
        <w:rPr>
          <w:rFonts w:ascii="Arial" w:cs="Arial" w:eastAsia="Arial" w:hAnsi="Arial"/>
          <w:sz w:val="14"/>
          <w:szCs w:val="14"/>
          <w:u w:val="single" w:color="auto"/>
          <w:color w:val="0000FF"/>
        </w:rPr>
        <w:t>12</w:t>
      </w:r>
    </w:p>
    <w:p>
      <w:pPr>
        <w:sectPr>
          <w:pgSz w:w="11900" w:h="16838" w:orient="portrait"/>
          <w:cols w:equalWidth="0" w:num="1">
            <w:col w:w="10940"/>
          </w:cols>
          <w:pgMar w:left="240" w:top="360" w:right="719" w:bottom="1440" w:gutter="0" w:footer="0" w:header="0"/>
        </w:sectPr>
      </w:pPr>
    </w:p>
    <w:bookmarkStart w:id="50" w:name="page51"/>
    <w:bookmarkEnd w:id="50"/>
    <w:p>
      <w:pPr>
        <w:ind w:left="3900"/>
        <w:spacing w:after="0"/>
        <w:rPr>
          <w:sz w:val="20"/>
          <w:szCs w:val="20"/>
          <w:color w:val="auto"/>
        </w:rPr>
      </w:pPr>
      <w:r>
        <w:rPr>
          <w:rFonts w:ascii="Arial" w:cs="Arial" w:eastAsia="Arial" w:hAnsi="Arial"/>
          <w:sz w:val="20"/>
          <w:szCs w:val="20"/>
          <w:b w:val="1"/>
          <w:bCs w:val="1"/>
          <w:color w:val="auto"/>
        </w:rPr>
        <w:t>Compass Bank</w:t>
      </w: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ind w:left="3900"/>
        <w:spacing w:after="0"/>
        <w:tabs>
          <w:tab w:leader="none" w:pos="4360" w:val="left"/>
        </w:tabs>
        <w:rPr>
          <w:sz w:val="20"/>
          <w:szCs w:val="20"/>
          <w:color w:val="auto"/>
        </w:rPr>
      </w:pPr>
      <w:r>
        <w:rPr>
          <w:rFonts w:ascii="Arial" w:cs="Arial" w:eastAsia="Arial" w:hAnsi="Arial"/>
          <w:sz w:val="20"/>
          <w:szCs w:val="20"/>
          <w:color w:val="auto"/>
        </w:rPr>
        <w:t>By:</w:t>
      </w:r>
      <w:r>
        <w:rPr>
          <w:sz w:val="20"/>
          <w:szCs w:val="20"/>
          <w:color w:val="auto"/>
        </w:rPr>
        <w:tab/>
      </w:r>
      <w:r>
        <w:rPr>
          <w:rFonts w:ascii="Arial" w:cs="Arial" w:eastAsia="Arial" w:hAnsi="Arial"/>
          <w:sz w:val="16"/>
          <w:szCs w:val="16"/>
          <w:color w:val="auto"/>
        </w:rPr>
        <w:t>/s/ Jay S. Tweed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2656205</wp:posOffset>
            </wp:positionH>
            <wp:positionV relativeFrom="paragraph">
              <wp:posOffset>-14605</wp:posOffset>
            </wp:positionV>
            <wp:extent cx="1191895"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1191895" cy="8890"/>
                    </a:xfrm>
                    <a:prstGeom prst="rect">
                      <a:avLst/>
                    </a:prstGeom>
                    <a:noFill/>
                  </pic:spPr>
                </pic:pic>
              </a:graphicData>
            </a:graphic>
          </wp:anchor>
        </w:drawing>
      </w:r>
    </w:p>
    <w:p>
      <w:pPr>
        <w:ind w:left="3900"/>
        <w:spacing w:after="0"/>
        <w:tabs>
          <w:tab w:leader="none" w:pos="4600" w:val="left"/>
        </w:tabs>
        <w:rPr>
          <w:sz w:val="20"/>
          <w:szCs w:val="20"/>
          <w:color w:val="auto"/>
        </w:rPr>
      </w:pPr>
      <w:r>
        <w:rPr>
          <w:rFonts w:ascii="Arial" w:cs="Arial" w:eastAsia="Arial" w:hAnsi="Arial"/>
          <w:sz w:val="20"/>
          <w:szCs w:val="20"/>
          <w:color w:val="auto"/>
        </w:rPr>
        <w:t>Name:</w:t>
      </w:r>
      <w:r>
        <w:rPr>
          <w:sz w:val="20"/>
          <w:szCs w:val="20"/>
          <w:color w:val="auto"/>
        </w:rPr>
        <w:tab/>
      </w:r>
      <w:r>
        <w:rPr>
          <w:rFonts w:ascii="Arial" w:cs="Arial" w:eastAsia="Arial" w:hAnsi="Arial"/>
          <w:sz w:val="16"/>
          <w:szCs w:val="16"/>
          <w:color w:val="auto"/>
        </w:rPr>
        <w:t>Jay S. Tweed</w:t>
      </w:r>
    </w:p>
    <w:p>
      <w:pPr>
        <w:ind w:left="3900"/>
        <w:spacing w:after="0"/>
        <w:tabs>
          <w:tab w:leader="none" w:pos="4500" w:val="left"/>
        </w:tabs>
        <w:rPr>
          <w:sz w:val="20"/>
          <w:szCs w:val="20"/>
          <w:color w:val="auto"/>
        </w:rPr>
      </w:pPr>
      <w:r>
        <w:rPr>
          <w:rFonts w:ascii="Arial" w:cs="Arial" w:eastAsia="Arial" w:hAnsi="Arial"/>
          <w:sz w:val="20"/>
          <w:szCs w:val="20"/>
          <w:color w:val="auto"/>
        </w:rPr>
        <w:t>Title:</w:t>
      </w:r>
      <w:r>
        <w:rPr>
          <w:sz w:val="20"/>
          <w:szCs w:val="20"/>
          <w:color w:val="auto"/>
        </w:rPr>
        <w:tab/>
      </w:r>
      <w:r>
        <w:rPr>
          <w:rFonts w:ascii="Arial" w:cs="Arial" w:eastAsia="Arial" w:hAnsi="Arial"/>
          <w:sz w:val="16"/>
          <w:szCs w:val="16"/>
          <w:color w:val="auto"/>
        </w:rPr>
        <w:t>Senior Vice President</w:t>
      </w:r>
    </w:p>
    <w:p>
      <w:pPr>
        <w:spacing w:after="0" w:line="200" w:lineRule="exact"/>
        <w:rPr>
          <w:sz w:val="20"/>
          <w:szCs w:val="20"/>
          <w:color w:val="auto"/>
        </w:rPr>
      </w:pPr>
    </w:p>
    <w:p>
      <w:pPr>
        <w:spacing w:after="0" w:line="210" w:lineRule="exact"/>
        <w:rPr>
          <w:sz w:val="20"/>
          <w:szCs w:val="20"/>
          <w:color w:val="auto"/>
        </w:rPr>
      </w:pPr>
    </w:p>
    <w:p>
      <w:pPr>
        <w:jc w:val="center"/>
        <w:ind w:right="-140"/>
        <w:spacing w:after="0"/>
        <w:rPr>
          <w:sz w:val="20"/>
          <w:szCs w:val="20"/>
          <w:color w:val="auto"/>
        </w:rPr>
      </w:pPr>
      <w:r>
        <w:rPr>
          <w:rFonts w:ascii="Arial" w:cs="Arial" w:eastAsia="Arial" w:hAnsi="Arial"/>
          <w:sz w:val="16"/>
          <w:szCs w:val="16"/>
          <w:b w:val="1"/>
          <w:bCs w:val="1"/>
          <w:color w:val="auto"/>
        </w:rPr>
        <w:t>Keybank National Association</w:t>
      </w: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left="3900"/>
        <w:spacing w:after="0"/>
        <w:tabs>
          <w:tab w:leader="none" w:pos="4360" w:val="left"/>
        </w:tabs>
        <w:rPr>
          <w:sz w:val="20"/>
          <w:szCs w:val="20"/>
          <w:color w:val="auto"/>
        </w:rPr>
      </w:pPr>
      <w:r>
        <w:rPr>
          <w:rFonts w:ascii="Arial" w:cs="Arial" w:eastAsia="Arial" w:hAnsi="Arial"/>
          <w:sz w:val="20"/>
          <w:szCs w:val="20"/>
          <w:color w:val="auto"/>
        </w:rPr>
        <w:t>By:</w:t>
      </w:r>
      <w:r>
        <w:rPr>
          <w:sz w:val="20"/>
          <w:szCs w:val="20"/>
          <w:color w:val="auto"/>
        </w:rPr>
        <w:tab/>
      </w:r>
      <w:r>
        <w:rPr>
          <w:rFonts w:ascii="Arial" w:cs="Arial" w:eastAsia="Arial" w:hAnsi="Arial"/>
          <w:sz w:val="19"/>
          <w:szCs w:val="19"/>
          <w:color w:val="auto"/>
        </w:rPr>
        <w:t>/s/ David A. Wild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2656205</wp:posOffset>
            </wp:positionH>
            <wp:positionV relativeFrom="paragraph">
              <wp:posOffset>-14605</wp:posOffset>
            </wp:positionV>
            <wp:extent cx="1265555"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1265555" cy="8890"/>
                    </a:xfrm>
                    <a:prstGeom prst="rect">
                      <a:avLst/>
                    </a:prstGeom>
                    <a:noFill/>
                  </pic:spPr>
                </pic:pic>
              </a:graphicData>
            </a:graphic>
          </wp:anchor>
        </w:drawing>
      </w:r>
    </w:p>
    <w:p>
      <w:pPr>
        <w:ind w:left="3900"/>
        <w:spacing w:after="0"/>
        <w:tabs>
          <w:tab w:leader="none" w:pos="4600" w:val="left"/>
        </w:tabs>
        <w:rPr>
          <w:sz w:val="20"/>
          <w:szCs w:val="20"/>
          <w:color w:val="auto"/>
        </w:rPr>
      </w:pPr>
      <w:r>
        <w:rPr>
          <w:rFonts w:ascii="Arial" w:cs="Arial" w:eastAsia="Arial" w:hAnsi="Arial"/>
          <w:sz w:val="20"/>
          <w:szCs w:val="20"/>
          <w:color w:val="auto"/>
        </w:rPr>
        <w:t>Name:</w:t>
      </w:r>
      <w:r>
        <w:rPr>
          <w:sz w:val="20"/>
          <w:szCs w:val="20"/>
          <w:color w:val="auto"/>
        </w:rPr>
        <w:tab/>
      </w:r>
      <w:r>
        <w:rPr>
          <w:rFonts w:ascii="Arial" w:cs="Arial" w:eastAsia="Arial" w:hAnsi="Arial"/>
          <w:sz w:val="19"/>
          <w:szCs w:val="19"/>
          <w:color w:val="auto"/>
        </w:rPr>
        <w:t>David A. Wild</w:t>
      </w:r>
    </w:p>
    <w:p>
      <w:pPr>
        <w:ind w:left="3900"/>
        <w:spacing w:after="0"/>
        <w:tabs>
          <w:tab w:leader="none" w:pos="4500" w:val="left"/>
        </w:tabs>
        <w:rPr>
          <w:sz w:val="20"/>
          <w:szCs w:val="20"/>
          <w:color w:val="auto"/>
        </w:rPr>
      </w:pPr>
      <w:r>
        <w:rPr>
          <w:rFonts w:ascii="Arial" w:cs="Arial" w:eastAsia="Arial" w:hAnsi="Arial"/>
          <w:sz w:val="20"/>
          <w:szCs w:val="20"/>
          <w:color w:val="auto"/>
        </w:rPr>
        <w:t>Title:</w:t>
      </w:r>
      <w:r>
        <w:rPr>
          <w:sz w:val="20"/>
          <w:szCs w:val="20"/>
          <w:color w:val="auto"/>
        </w:rPr>
        <w:tab/>
      </w:r>
      <w:r>
        <w:rPr>
          <w:rFonts w:ascii="Arial" w:cs="Arial" w:eastAsia="Arial" w:hAnsi="Arial"/>
          <w:sz w:val="16"/>
          <w:szCs w:val="16"/>
          <w:color w:val="auto"/>
        </w:rPr>
        <w:t>Senior Vice President</w:t>
      </w:r>
    </w:p>
    <w:p>
      <w:pPr>
        <w:spacing w:after="0" w:line="200" w:lineRule="exact"/>
        <w:rPr>
          <w:sz w:val="20"/>
          <w:szCs w:val="20"/>
          <w:color w:val="auto"/>
        </w:rPr>
      </w:pPr>
    </w:p>
    <w:p>
      <w:pPr>
        <w:spacing w:after="0" w:line="210" w:lineRule="exact"/>
        <w:rPr>
          <w:sz w:val="20"/>
          <w:szCs w:val="20"/>
          <w:color w:val="auto"/>
        </w:rPr>
      </w:pPr>
    </w:p>
    <w:p>
      <w:pPr>
        <w:ind w:left="3900"/>
        <w:spacing w:after="0"/>
        <w:rPr>
          <w:sz w:val="20"/>
          <w:szCs w:val="20"/>
          <w:color w:val="auto"/>
        </w:rPr>
      </w:pPr>
      <w:r>
        <w:rPr>
          <w:rFonts w:ascii="Arial" w:cs="Arial" w:eastAsia="Arial" w:hAnsi="Arial"/>
          <w:sz w:val="20"/>
          <w:szCs w:val="20"/>
          <w:b w:val="1"/>
          <w:bCs w:val="1"/>
          <w:color w:val="auto"/>
        </w:rPr>
        <w:t>Regions Bank</w:t>
      </w: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ind w:left="3900"/>
        <w:spacing w:after="0"/>
        <w:tabs>
          <w:tab w:leader="none" w:pos="4360" w:val="left"/>
        </w:tabs>
        <w:rPr>
          <w:sz w:val="20"/>
          <w:szCs w:val="20"/>
          <w:color w:val="auto"/>
        </w:rPr>
      </w:pPr>
      <w:r>
        <w:rPr>
          <w:rFonts w:ascii="Arial" w:cs="Arial" w:eastAsia="Arial" w:hAnsi="Arial"/>
          <w:sz w:val="20"/>
          <w:szCs w:val="20"/>
          <w:color w:val="auto"/>
        </w:rPr>
        <w:t>By:</w:t>
      </w:r>
      <w:r>
        <w:rPr>
          <w:sz w:val="20"/>
          <w:szCs w:val="20"/>
          <w:color w:val="auto"/>
        </w:rPr>
        <w:tab/>
      </w:r>
      <w:r>
        <w:rPr>
          <w:rFonts w:ascii="Arial" w:cs="Arial" w:eastAsia="Arial" w:hAnsi="Arial"/>
          <w:sz w:val="19"/>
          <w:szCs w:val="19"/>
          <w:color w:val="auto"/>
        </w:rPr>
        <w:t>/s/ Knight Kieffer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2656205</wp:posOffset>
            </wp:positionH>
            <wp:positionV relativeFrom="paragraph">
              <wp:posOffset>-14605</wp:posOffset>
            </wp:positionV>
            <wp:extent cx="1268095"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1268095" cy="8890"/>
                    </a:xfrm>
                    <a:prstGeom prst="rect">
                      <a:avLst/>
                    </a:prstGeom>
                    <a:noFill/>
                  </pic:spPr>
                </pic:pic>
              </a:graphicData>
            </a:graphic>
          </wp:anchor>
        </w:drawing>
      </w:r>
    </w:p>
    <w:p>
      <w:pPr>
        <w:ind w:left="3900"/>
        <w:spacing w:after="0"/>
        <w:tabs>
          <w:tab w:leader="none" w:pos="4600" w:val="left"/>
        </w:tabs>
        <w:rPr>
          <w:sz w:val="20"/>
          <w:szCs w:val="20"/>
          <w:color w:val="auto"/>
        </w:rPr>
      </w:pPr>
      <w:r>
        <w:rPr>
          <w:rFonts w:ascii="Arial" w:cs="Arial" w:eastAsia="Arial" w:hAnsi="Arial"/>
          <w:sz w:val="20"/>
          <w:szCs w:val="20"/>
          <w:color w:val="auto"/>
        </w:rPr>
        <w:t>Name:</w:t>
      </w:r>
      <w:r>
        <w:rPr>
          <w:sz w:val="20"/>
          <w:szCs w:val="20"/>
          <w:color w:val="auto"/>
        </w:rPr>
        <w:tab/>
      </w:r>
      <w:r>
        <w:rPr>
          <w:rFonts w:ascii="Arial" w:cs="Arial" w:eastAsia="Arial" w:hAnsi="Arial"/>
          <w:sz w:val="19"/>
          <w:szCs w:val="19"/>
          <w:color w:val="auto"/>
        </w:rPr>
        <w:t>Knight Kieffer</w:t>
      </w:r>
    </w:p>
    <w:p>
      <w:pPr>
        <w:ind w:left="3900"/>
        <w:spacing w:after="0"/>
        <w:tabs>
          <w:tab w:leader="none" w:pos="4500" w:val="left"/>
        </w:tabs>
        <w:rPr>
          <w:sz w:val="20"/>
          <w:szCs w:val="20"/>
          <w:color w:val="auto"/>
        </w:rPr>
      </w:pPr>
      <w:r>
        <w:rPr>
          <w:rFonts w:ascii="Arial" w:cs="Arial" w:eastAsia="Arial" w:hAnsi="Arial"/>
          <w:sz w:val="20"/>
          <w:szCs w:val="20"/>
          <w:color w:val="auto"/>
        </w:rPr>
        <w:t>Title:</w:t>
      </w:r>
      <w:r>
        <w:rPr>
          <w:sz w:val="20"/>
          <w:szCs w:val="20"/>
          <w:color w:val="auto"/>
        </w:rPr>
        <w:tab/>
      </w:r>
      <w:r>
        <w:rPr>
          <w:rFonts w:ascii="Arial" w:cs="Arial" w:eastAsia="Arial" w:hAnsi="Arial"/>
          <w:sz w:val="16"/>
          <w:szCs w:val="16"/>
          <w:color w:val="auto"/>
        </w:rPr>
        <w:t>Vice President</w:t>
      </w:r>
    </w:p>
    <w:p>
      <w:pPr>
        <w:spacing w:after="0" w:line="200" w:lineRule="exact"/>
        <w:rPr>
          <w:sz w:val="20"/>
          <w:szCs w:val="20"/>
          <w:color w:val="auto"/>
        </w:rPr>
      </w:pPr>
    </w:p>
    <w:p>
      <w:pPr>
        <w:spacing w:after="0" w:line="210" w:lineRule="exact"/>
        <w:rPr>
          <w:sz w:val="20"/>
          <w:szCs w:val="20"/>
          <w:color w:val="auto"/>
        </w:rPr>
      </w:pPr>
    </w:p>
    <w:p>
      <w:pPr>
        <w:ind w:left="3900"/>
        <w:spacing w:after="0"/>
        <w:rPr>
          <w:sz w:val="20"/>
          <w:szCs w:val="20"/>
          <w:color w:val="auto"/>
        </w:rPr>
      </w:pPr>
      <w:r>
        <w:rPr>
          <w:rFonts w:ascii="Arial" w:cs="Arial" w:eastAsia="Arial" w:hAnsi="Arial"/>
          <w:sz w:val="20"/>
          <w:szCs w:val="20"/>
          <w:b w:val="1"/>
          <w:bCs w:val="1"/>
          <w:color w:val="auto"/>
        </w:rPr>
        <w:t>Barclays Bank PLC</w:t>
      </w: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ind w:left="3900"/>
        <w:spacing w:after="0"/>
        <w:tabs>
          <w:tab w:leader="none" w:pos="4360" w:val="left"/>
        </w:tabs>
        <w:rPr>
          <w:sz w:val="20"/>
          <w:szCs w:val="20"/>
          <w:color w:val="auto"/>
        </w:rPr>
      </w:pPr>
      <w:r>
        <w:rPr>
          <w:rFonts w:ascii="Arial" w:cs="Arial" w:eastAsia="Arial" w:hAnsi="Arial"/>
          <w:sz w:val="20"/>
          <w:szCs w:val="20"/>
          <w:color w:val="auto"/>
        </w:rPr>
        <w:t>By:</w:t>
      </w:r>
      <w:r>
        <w:rPr>
          <w:sz w:val="20"/>
          <w:szCs w:val="20"/>
          <w:color w:val="auto"/>
        </w:rPr>
        <w:tab/>
      </w:r>
      <w:r>
        <w:rPr>
          <w:rFonts w:ascii="Arial" w:cs="Arial" w:eastAsia="Arial" w:hAnsi="Arial"/>
          <w:sz w:val="18"/>
          <w:szCs w:val="18"/>
          <w:color w:val="auto"/>
        </w:rPr>
        <w:t>/s/ Tom Burton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2656205</wp:posOffset>
            </wp:positionH>
            <wp:positionV relativeFrom="paragraph">
              <wp:posOffset>-14605</wp:posOffset>
            </wp:positionV>
            <wp:extent cx="1136015"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1136015" cy="8890"/>
                    </a:xfrm>
                    <a:prstGeom prst="rect">
                      <a:avLst/>
                    </a:prstGeom>
                    <a:noFill/>
                  </pic:spPr>
                </pic:pic>
              </a:graphicData>
            </a:graphic>
          </wp:anchor>
        </w:drawing>
      </w:r>
    </w:p>
    <w:p>
      <w:pPr>
        <w:ind w:left="3900"/>
        <w:spacing w:after="0"/>
        <w:tabs>
          <w:tab w:leader="none" w:pos="4600" w:val="left"/>
        </w:tabs>
        <w:rPr>
          <w:sz w:val="20"/>
          <w:szCs w:val="20"/>
          <w:color w:val="auto"/>
        </w:rPr>
      </w:pPr>
      <w:r>
        <w:rPr>
          <w:rFonts w:ascii="Arial" w:cs="Arial" w:eastAsia="Arial" w:hAnsi="Arial"/>
          <w:sz w:val="20"/>
          <w:szCs w:val="20"/>
          <w:color w:val="auto"/>
        </w:rPr>
        <w:t>Name:</w:t>
      </w:r>
      <w:r>
        <w:rPr>
          <w:sz w:val="20"/>
          <w:szCs w:val="20"/>
          <w:color w:val="auto"/>
        </w:rPr>
        <w:tab/>
      </w:r>
      <w:r>
        <w:rPr>
          <w:rFonts w:ascii="Arial" w:cs="Arial" w:eastAsia="Arial" w:hAnsi="Arial"/>
          <w:sz w:val="18"/>
          <w:szCs w:val="18"/>
          <w:color w:val="auto"/>
        </w:rPr>
        <w:t>Tom Burton</w:t>
      </w:r>
    </w:p>
    <w:p>
      <w:pPr>
        <w:ind w:left="3900"/>
        <w:spacing w:after="0"/>
        <w:tabs>
          <w:tab w:leader="none" w:pos="4480" w:val="left"/>
        </w:tabs>
        <w:rPr>
          <w:sz w:val="20"/>
          <w:szCs w:val="20"/>
          <w:color w:val="auto"/>
        </w:rPr>
      </w:pPr>
      <w:r>
        <w:rPr>
          <w:rFonts w:ascii="Arial" w:cs="Arial" w:eastAsia="Arial" w:hAnsi="Arial"/>
          <w:sz w:val="20"/>
          <w:szCs w:val="20"/>
          <w:color w:val="auto"/>
        </w:rPr>
        <w:t>Title:</w:t>
      </w:r>
      <w:r>
        <w:rPr>
          <w:sz w:val="20"/>
          <w:szCs w:val="20"/>
          <w:color w:val="auto"/>
        </w:rPr>
        <w:tab/>
      </w:r>
      <w:r>
        <w:rPr>
          <w:rFonts w:ascii="Arial" w:cs="Arial" w:eastAsia="Arial" w:hAnsi="Arial"/>
          <w:sz w:val="18"/>
          <w:szCs w:val="18"/>
          <w:color w:val="auto"/>
        </w:rPr>
        <w:t>Authorised Signatory</w:t>
      </w:r>
    </w:p>
    <w:p>
      <w:pPr>
        <w:spacing w:after="0" w:line="200" w:lineRule="exact"/>
        <w:rPr>
          <w:sz w:val="20"/>
          <w:szCs w:val="20"/>
          <w:color w:val="auto"/>
        </w:rPr>
      </w:pPr>
    </w:p>
    <w:p>
      <w:pPr>
        <w:spacing w:after="0" w:line="210" w:lineRule="exact"/>
        <w:rPr>
          <w:sz w:val="20"/>
          <w:szCs w:val="20"/>
          <w:color w:val="auto"/>
        </w:rPr>
      </w:pPr>
    </w:p>
    <w:p>
      <w:pPr>
        <w:ind w:left="3900"/>
        <w:spacing w:after="0"/>
        <w:rPr>
          <w:sz w:val="20"/>
          <w:szCs w:val="20"/>
          <w:color w:val="auto"/>
        </w:rPr>
      </w:pPr>
      <w:r>
        <w:rPr>
          <w:rFonts w:ascii="Arial" w:cs="Arial" w:eastAsia="Arial" w:hAnsi="Arial"/>
          <w:sz w:val="20"/>
          <w:szCs w:val="20"/>
          <w:b w:val="1"/>
          <w:bCs w:val="1"/>
          <w:color w:val="auto"/>
        </w:rPr>
        <w:t>Fifth Third Bank</w:t>
      </w: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ind w:left="3900"/>
        <w:spacing w:after="0"/>
        <w:tabs>
          <w:tab w:leader="none" w:pos="4360" w:val="left"/>
        </w:tabs>
        <w:rPr>
          <w:sz w:val="20"/>
          <w:szCs w:val="20"/>
          <w:color w:val="auto"/>
        </w:rPr>
      </w:pPr>
      <w:r>
        <w:rPr>
          <w:rFonts w:ascii="Arial" w:cs="Arial" w:eastAsia="Arial" w:hAnsi="Arial"/>
          <w:sz w:val="20"/>
          <w:szCs w:val="20"/>
          <w:color w:val="auto"/>
        </w:rPr>
        <w:t>By:</w:t>
      </w:r>
      <w:r>
        <w:rPr>
          <w:sz w:val="20"/>
          <w:szCs w:val="20"/>
          <w:color w:val="auto"/>
        </w:rPr>
        <w:tab/>
      </w:r>
      <w:r>
        <w:rPr>
          <w:rFonts w:ascii="Arial" w:cs="Arial" w:eastAsia="Arial" w:hAnsi="Arial"/>
          <w:sz w:val="16"/>
          <w:szCs w:val="16"/>
          <w:color w:val="auto"/>
        </w:rPr>
        <w:t>/s/ Stephen C. Watts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2656205</wp:posOffset>
            </wp:positionH>
            <wp:positionV relativeFrom="paragraph">
              <wp:posOffset>-14605</wp:posOffset>
            </wp:positionV>
            <wp:extent cx="139319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1393190" cy="8890"/>
                    </a:xfrm>
                    <a:prstGeom prst="rect">
                      <a:avLst/>
                    </a:prstGeom>
                    <a:noFill/>
                  </pic:spPr>
                </pic:pic>
              </a:graphicData>
            </a:graphic>
          </wp:anchor>
        </w:drawing>
      </w:r>
    </w:p>
    <w:p>
      <w:pPr>
        <w:ind w:left="3900"/>
        <w:spacing w:after="0"/>
        <w:tabs>
          <w:tab w:leader="none" w:pos="4600" w:val="left"/>
        </w:tabs>
        <w:rPr>
          <w:sz w:val="20"/>
          <w:szCs w:val="20"/>
          <w:color w:val="auto"/>
        </w:rPr>
      </w:pPr>
      <w:r>
        <w:rPr>
          <w:rFonts w:ascii="Arial" w:cs="Arial" w:eastAsia="Arial" w:hAnsi="Arial"/>
          <w:sz w:val="20"/>
          <w:szCs w:val="20"/>
          <w:color w:val="auto"/>
        </w:rPr>
        <w:t>Name:</w:t>
      </w:r>
      <w:r>
        <w:rPr>
          <w:sz w:val="20"/>
          <w:szCs w:val="20"/>
          <w:color w:val="auto"/>
        </w:rPr>
        <w:tab/>
      </w:r>
      <w:r>
        <w:rPr>
          <w:rFonts w:ascii="Arial" w:cs="Arial" w:eastAsia="Arial" w:hAnsi="Arial"/>
          <w:sz w:val="16"/>
          <w:szCs w:val="16"/>
          <w:color w:val="auto"/>
        </w:rPr>
        <w:t>Stephen C. Watts</w:t>
      </w:r>
    </w:p>
    <w:p>
      <w:pPr>
        <w:ind w:left="3900"/>
        <w:spacing w:after="0"/>
        <w:tabs>
          <w:tab w:leader="none" w:pos="4500" w:val="left"/>
        </w:tabs>
        <w:rPr>
          <w:sz w:val="20"/>
          <w:szCs w:val="20"/>
          <w:color w:val="auto"/>
        </w:rPr>
      </w:pPr>
      <w:r>
        <w:rPr>
          <w:rFonts w:ascii="Arial" w:cs="Arial" w:eastAsia="Arial" w:hAnsi="Arial"/>
          <w:sz w:val="20"/>
          <w:szCs w:val="20"/>
          <w:color w:val="auto"/>
        </w:rPr>
        <w:t>Title:</w:t>
      </w:r>
      <w:r>
        <w:rPr>
          <w:sz w:val="20"/>
          <w:szCs w:val="20"/>
          <w:color w:val="auto"/>
        </w:rPr>
        <w:tab/>
      </w:r>
      <w:r>
        <w:rPr>
          <w:rFonts w:ascii="Arial" w:cs="Arial" w:eastAsia="Arial" w:hAnsi="Arial"/>
          <w:sz w:val="16"/>
          <w:szCs w:val="16"/>
          <w:color w:val="auto"/>
        </w:rPr>
        <w:t>Vice President</w:t>
      </w:r>
    </w:p>
    <w:p>
      <w:pPr>
        <w:spacing w:after="0" w:line="200" w:lineRule="exact"/>
        <w:rPr>
          <w:sz w:val="20"/>
          <w:szCs w:val="20"/>
          <w:color w:val="auto"/>
        </w:rPr>
      </w:pPr>
    </w:p>
    <w:p>
      <w:pPr>
        <w:spacing w:after="0" w:line="210" w:lineRule="exact"/>
        <w:rPr>
          <w:sz w:val="20"/>
          <w:szCs w:val="20"/>
          <w:color w:val="auto"/>
        </w:rPr>
      </w:pPr>
    </w:p>
    <w:p>
      <w:pPr>
        <w:ind w:left="3900"/>
        <w:spacing w:after="0"/>
        <w:rPr>
          <w:sz w:val="20"/>
          <w:szCs w:val="20"/>
          <w:color w:val="auto"/>
        </w:rPr>
      </w:pPr>
      <w:r>
        <w:rPr>
          <w:rFonts w:ascii="Arial" w:cs="Arial" w:eastAsia="Arial" w:hAnsi="Arial"/>
          <w:sz w:val="20"/>
          <w:szCs w:val="20"/>
          <w:b w:val="1"/>
          <w:bCs w:val="1"/>
          <w:color w:val="auto"/>
        </w:rPr>
        <w:t>Lloyds Bank PLC</w:t>
      </w: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ind w:left="3900"/>
        <w:spacing w:after="0"/>
        <w:tabs>
          <w:tab w:leader="none" w:pos="4360" w:val="left"/>
        </w:tabs>
        <w:rPr>
          <w:sz w:val="20"/>
          <w:szCs w:val="20"/>
          <w:color w:val="auto"/>
        </w:rPr>
      </w:pPr>
      <w:r>
        <w:rPr>
          <w:rFonts w:ascii="Arial" w:cs="Arial" w:eastAsia="Arial" w:hAnsi="Arial"/>
          <w:sz w:val="20"/>
          <w:szCs w:val="20"/>
          <w:color w:val="auto"/>
        </w:rPr>
        <w:t>By:</w:t>
      </w:r>
      <w:r>
        <w:rPr>
          <w:sz w:val="20"/>
          <w:szCs w:val="20"/>
          <w:color w:val="auto"/>
        </w:rPr>
        <w:tab/>
      </w:r>
      <w:r>
        <w:rPr>
          <w:rFonts w:ascii="Arial" w:cs="Arial" w:eastAsia="Arial" w:hAnsi="Arial"/>
          <w:sz w:val="16"/>
          <w:szCs w:val="16"/>
          <w:color w:val="auto"/>
        </w:rPr>
        <w:t>/s/ Stephen Giacolone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2656205</wp:posOffset>
            </wp:positionH>
            <wp:positionV relativeFrom="paragraph">
              <wp:posOffset>-14605</wp:posOffset>
            </wp:positionV>
            <wp:extent cx="1480185"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1480185" cy="8890"/>
                    </a:xfrm>
                    <a:prstGeom prst="rect">
                      <a:avLst/>
                    </a:prstGeom>
                    <a:noFill/>
                  </pic:spPr>
                </pic:pic>
              </a:graphicData>
            </a:graphic>
          </wp:anchor>
        </w:drawing>
      </w:r>
    </w:p>
    <w:p>
      <w:pPr>
        <w:ind w:left="3900"/>
        <w:spacing w:after="0"/>
        <w:tabs>
          <w:tab w:leader="none" w:pos="4600" w:val="left"/>
        </w:tabs>
        <w:rPr>
          <w:sz w:val="20"/>
          <w:szCs w:val="20"/>
          <w:color w:val="auto"/>
        </w:rPr>
      </w:pPr>
      <w:r>
        <w:rPr>
          <w:rFonts w:ascii="Arial" w:cs="Arial" w:eastAsia="Arial" w:hAnsi="Arial"/>
          <w:sz w:val="20"/>
          <w:szCs w:val="20"/>
          <w:color w:val="auto"/>
        </w:rPr>
        <w:t>Name:</w:t>
      </w:r>
      <w:r>
        <w:rPr>
          <w:sz w:val="20"/>
          <w:szCs w:val="20"/>
          <w:color w:val="auto"/>
        </w:rPr>
        <w:tab/>
      </w:r>
      <w:r>
        <w:rPr>
          <w:rFonts w:ascii="Arial" w:cs="Arial" w:eastAsia="Arial" w:hAnsi="Arial"/>
          <w:sz w:val="16"/>
          <w:szCs w:val="16"/>
          <w:color w:val="auto"/>
        </w:rPr>
        <w:t>Stephen Giacolone</w:t>
      </w:r>
    </w:p>
    <w:p>
      <w:pPr>
        <w:ind w:left="3900"/>
        <w:spacing w:after="0"/>
        <w:tabs>
          <w:tab w:leader="none" w:pos="4480" w:val="left"/>
        </w:tabs>
        <w:rPr>
          <w:sz w:val="20"/>
          <w:szCs w:val="20"/>
          <w:color w:val="auto"/>
        </w:rPr>
      </w:pPr>
      <w:r>
        <w:rPr>
          <w:rFonts w:ascii="Arial" w:cs="Arial" w:eastAsia="Arial" w:hAnsi="Arial"/>
          <w:sz w:val="20"/>
          <w:szCs w:val="20"/>
          <w:color w:val="auto"/>
        </w:rPr>
        <w:t>Title:</w:t>
      </w:r>
      <w:r>
        <w:rPr>
          <w:sz w:val="20"/>
          <w:szCs w:val="20"/>
          <w:color w:val="auto"/>
        </w:rPr>
        <w:tab/>
      </w:r>
      <w:r>
        <w:rPr>
          <w:rFonts w:ascii="Arial" w:cs="Arial" w:eastAsia="Arial" w:hAnsi="Arial"/>
          <w:sz w:val="16"/>
          <w:szCs w:val="16"/>
          <w:color w:val="auto"/>
        </w:rPr>
        <w:t>Assistant Vice President - G011</w:t>
      </w: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3900"/>
        <w:spacing w:after="0"/>
        <w:tabs>
          <w:tab w:leader="none" w:pos="4360" w:val="left"/>
        </w:tabs>
        <w:rPr>
          <w:sz w:val="20"/>
          <w:szCs w:val="20"/>
          <w:color w:val="auto"/>
        </w:rPr>
      </w:pPr>
      <w:r>
        <w:rPr>
          <w:rFonts w:ascii="Arial" w:cs="Arial" w:eastAsia="Arial" w:hAnsi="Arial"/>
          <w:sz w:val="20"/>
          <w:szCs w:val="20"/>
          <w:color w:val="auto"/>
        </w:rPr>
        <w:t>By:</w:t>
      </w:r>
      <w:r>
        <w:rPr>
          <w:sz w:val="20"/>
          <w:szCs w:val="20"/>
          <w:color w:val="auto"/>
        </w:rPr>
        <w:tab/>
      </w:r>
      <w:r>
        <w:rPr>
          <w:rFonts w:ascii="Arial" w:cs="Arial" w:eastAsia="Arial" w:hAnsi="Arial"/>
          <w:sz w:val="18"/>
          <w:szCs w:val="18"/>
          <w:color w:val="auto"/>
        </w:rPr>
        <w:t>/s/ Julia R. Franklin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2656205</wp:posOffset>
            </wp:positionH>
            <wp:positionV relativeFrom="paragraph">
              <wp:posOffset>-14605</wp:posOffset>
            </wp:positionV>
            <wp:extent cx="1368425"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1368425" cy="8890"/>
                    </a:xfrm>
                    <a:prstGeom prst="rect">
                      <a:avLst/>
                    </a:prstGeom>
                    <a:noFill/>
                  </pic:spPr>
                </pic:pic>
              </a:graphicData>
            </a:graphic>
          </wp:anchor>
        </w:drawing>
      </w:r>
    </w:p>
    <w:p>
      <w:pPr>
        <w:ind w:left="3900"/>
        <w:spacing w:after="0"/>
        <w:tabs>
          <w:tab w:leader="none" w:pos="4600" w:val="left"/>
        </w:tabs>
        <w:rPr>
          <w:sz w:val="20"/>
          <w:szCs w:val="20"/>
          <w:color w:val="auto"/>
        </w:rPr>
      </w:pPr>
      <w:r>
        <w:rPr>
          <w:rFonts w:ascii="Arial" w:cs="Arial" w:eastAsia="Arial" w:hAnsi="Arial"/>
          <w:sz w:val="20"/>
          <w:szCs w:val="20"/>
          <w:color w:val="auto"/>
        </w:rPr>
        <w:t>Name:</w:t>
      </w:r>
      <w:r>
        <w:rPr>
          <w:sz w:val="20"/>
          <w:szCs w:val="20"/>
          <w:color w:val="auto"/>
        </w:rPr>
        <w:tab/>
      </w:r>
      <w:r>
        <w:rPr>
          <w:rFonts w:ascii="Arial" w:cs="Arial" w:eastAsia="Arial" w:hAnsi="Arial"/>
          <w:sz w:val="18"/>
          <w:szCs w:val="18"/>
          <w:color w:val="auto"/>
        </w:rPr>
        <w:t>Julia R. Franklin</w:t>
      </w:r>
    </w:p>
    <w:p>
      <w:pPr>
        <w:ind w:left="3900"/>
        <w:spacing w:after="0"/>
        <w:tabs>
          <w:tab w:leader="none" w:pos="4500" w:val="left"/>
        </w:tabs>
        <w:rPr>
          <w:sz w:val="20"/>
          <w:szCs w:val="20"/>
          <w:color w:val="auto"/>
        </w:rPr>
      </w:pPr>
      <w:r>
        <w:rPr>
          <w:rFonts w:ascii="Arial" w:cs="Arial" w:eastAsia="Arial" w:hAnsi="Arial"/>
          <w:sz w:val="20"/>
          <w:szCs w:val="20"/>
          <w:color w:val="auto"/>
        </w:rPr>
        <w:t>Title:</w:t>
      </w:r>
      <w:r>
        <w:rPr>
          <w:sz w:val="20"/>
          <w:szCs w:val="20"/>
          <w:color w:val="auto"/>
        </w:rPr>
        <w:tab/>
      </w:r>
      <w:r>
        <w:rPr>
          <w:rFonts w:ascii="Arial" w:cs="Arial" w:eastAsia="Arial" w:hAnsi="Arial"/>
          <w:sz w:val="16"/>
          <w:szCs w:val="16"/>
          <w:color w:val="auto"/>
        </w:rPr>
        <w:t>Vice President -F014</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5660"/>
        <w:spacing w:after="0"/>
        <w:rPr>
          <w:sz w:val="20"/>
          <w:szCs w:val="20"/>
          <w:color w:val="auto"/>
        </w:rPr>
      </w:pPr>
      <w:r>
        <w:rPr>
          <w:rFonts w:ascii="Arial" w:cs="Arial" w:eastAsia="Arial" w:hAnsi="Arial"/>
          <w:sz w:val="13"/>
          <w:szCs w:val="13"/>
          <w:color w:val="auto"/>
        </w:rPr>
        <w:t>iv</w:t>
      </w:r>
    </w:p>
    <w:p>
      <w:pPr>
        <w:sectPr>
          <w:pgSz w:w="11900" w:h="16838" w:orient="portrait"/>
          <w:cols w:equalWidth="0" w:num="1">
            <w:col w:w="10219"/>
          </w:cols>
          <w:pgMar w:left="240" w:top="360" w:right="1440" w:bottom="1440" w:gutter="0" w:footer="0" w:header="0"/>
        </w:sectPr>
      </w:pPr>
    </w:p>
    <w:p>
      <w:pPr>
        <w:spacing w:after="0" w:line="7" w:lineRule="exact"/>
        <w:rPr>
          <w:sz w:val="20"/>
          <w:szCs w:val="20"/>
          <w:color w:val="auto"/>
        </w:rPr>
      </w:pPr>
    </w:p>
    <w:p>
      <w:pPr>
        <w:spacing w:after="0"/>
        <w:rPr>
          <w:sz w:val="20"/>
          <w:szCs w:val="20"/>
          <w:color w:val="auto"/>
        </w:rPr>
      </w:pPr>
      <w:r>
        <w:rPr>
          <w:rFonts w:ascii="Arial" w:cs="Arial" w:eastAsia="Arial" w:hAnsi="Arial"/>
          <w:sz w:val="13"/>
          <w:szCs w:val="13"/>
          <w:color w:val="auto"/>
        </w:rPr>
        <w:t>CHAR1\1346423v</w:t>
      </w:r>
      <w:r>
        <w:rPr>
          <w:rFonts w:ascii="Arial" w:cs="Arial" w:eastAsia="Arial" w:hAnsi="Arial"/>
          <w:sz w:val="13"/>
          <w:szCs w:val="13"/>
          <w:color w:val="FF0000"/>
          <w:strike w:val="1"/>
        </w:rPr>
        <w:t>1</w:t>
      </w:r>
      <w:r>
        <w:rPr>
          <w:rFonts w:ascii="Arial" w:cs="Arial" w:eastAsia="Arial" w:hAnsi="Arial"/>
          <w:sz w:val="13"/>
          <w:szCs w:val="13"/>
          <w:u w:val="single" w:color="auto"/>
          <w:color w:val="0000FF"/>
        </w:rPr>
        <w:t>12</w:t>
      </w:r>
    </w:p>
    <w:p>
      <w:pPr>
        <w:sectPr>
          <w:pgSz w:w="11900" w:h="16838" w:orient="portrait"/>
          <w:cols w:equalWidth="0" w:num="1">
            <w:col w:w="10219"/>
          </w:cols>
          <w:pgMar w:left="240" w:top="360" w:right="1440" w:bottom="1440" w:gutter="0" w:footer="0" w:header="0"/>
          <w:type w:val="continuous"/>
        </w:sectPr>
      </w:pPr>
    </w:p>
    <w:bookmarkStart w:id="51" w:name="page52"/>
    <w:bookmarkEnd w:id="51"/>
    <w:p>
      <w:pPr>
        <w:ind w:left="3900"/>
        <w:spacing w:after="0"/>
        <w:rPr>
          <w:sz w:val="20"/>
          <w:szCs w:val="20"/>
          <w:color w:val="auto"/>
        </w:rPr>
      </w:pPr>
      <w:r>
        <w:rPr>
          <w:rFonts w:ascii="Arial" w:cs="Arial" w:eastAsia="Arial" w:hAnsi="Arial"/>
          <w:sz w:val="20"/>
          <w:szCs w:val="20"/>
          <w:b w:val="1"/>
          <w:bCs w:val="1"/>
          <w:color w:val="auto"/>
        </w:rPr>
        <w:t>BOKF, NA dba Bank of Kansas City</w:t>
      </w: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ind w:left="3900"/>
        <w:spacing w:after="0"/>
        <w:tabs>
          <w:tab w:leader="none" w:pos="4360" w:val="left"/>
        </w:tabs>
        <w:rPr>
          <w:sz w:val="20"/>
          <w:szCs w:val="20"/>
          <w:color w:val="auto"/>
        </w:rPr>
      </w:pPr>
      <w:r>
        <w:rPr>
          <w:rFonts w:ascii="Arial" w:cs="Arial" w:eastAsia="Arial" w:hAnsi="Arial"/>
          <w:sz w:val="20"/>
          <w:szCs w:val="20"/>
          <w:color w:val="auto"/>
        </w:rPr>
        <w:t>By:</w:t>
      </w:r>
      <w:r>
        <w:rPr>
          <w:sz w:val="20"/>
          <w:szCs w:val="20"/>
          <w:color w:val="auto"/>
        </w:rPr>
        <w:tab/>
      </w:r>
      <w:r>
        <w:rPr>
          <w:rFonts w:ascii="Arial" w:cs="Arial" w:eastAsia="Arial" w:hAnsi="Arial"/>
          <w:sz w:val="19"/>
          <w:szCs w:val="19"/>
          <w:color w:val="auto"/>
        </w:rPr>
        <w:t>/s/ William Fox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2656205</wp:posOffset>
            </wp:positionH>
            <wp:positionV relativeFrom="paragraph">
              <wp:posOffset>-14605</wp:posOffset>
            </wp:positionV>
            <wp:extent cx="116078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1160780" cy="8890"/>
                    </a:xfrm>
                    <a:prstGeom prst="rect">
                      <a:avLst/>
                    </a:prstGeom>
                    <a:noFill/>
                  </pic:spPr>
                </pic:pic>
              </a:graphicData>
            </a:graphic>
          </wp:anchor>
        </w:drawing>
      </w:r>
    </w:p>
    <w:p>
      <w:pPr>
        <w:ind w:left="3900"/>
        <w:spacing w:after="0"/>
        <w:tabs>
          <w:tab w:leader="none" w:pos="4600" w:val="left"/>
        </w:tabs>
        <w:rPr>
          <w:sz w:val="20"/>
          <w:szCs w:val="20"/>
          <w:color w:val="auto"/>
        </w:rPr>
      </w:pPr>
      <w:r>
        <w:rPr>
          <w:rFonts w:ascii="Arial" w:cs="Arial" w:eastAsia="Arial" w:hAnsi="Arial"/>
          <w:sz w:val="20"/>
          <w:szCs w:val="20"/>
          <w:color w:val="auto"/>
        </w:rPr>
        <w:t>Name:</w:t>
      </w:r>
      <w:r>
        <w:rPr>
          <w:sz w:val="20"/>
          <w:szCs w:val="20"/>
          <w:color w:val="auto"/>
        </w:rPr>
        <w:tab/>
      </w:r>
      <w:r>
        <w:rPr>
          <w:rFonts w:ascii="Arial" w:cs="Arial" w:eastAsia="Arial" w:hAnsi="Arial"/>
          <w:sz w:val="19"/>
          <w:szCs w:val="19"/>
          <w:color w:val="auto"/>
        </w:rPr>
        <w:t>William Fox</w:t>
      </w:r>
    </w:p>
    <w:p>
      <w:pPr>
        <w:ind w:left="3900"/>
        <w:spacing w:after="0"/>
        <w:tabs>
          <w:tab w:leader="none" w:pos="4500" w:val="left"/>
        </w:tabs>
        <w:rPr>
          <w:sz w:val="20"/>
          <w:szCs w:val="20"/>
          <w:color w:val="auto"/>
        </w:rPr>
      </w:pPr>
      <w:r>
        <w:rPr>
          <w:rFonts w:ascii="Arial" w:cs="Arial" w:eastAsia="Arial" w:hAnsi="Arial"/>
          <w:sz w:val="20"/>
          <w:szCs w:val="20"/>
          <w:color w:val="auto"/>
        </w:rPr>
        <w:t>Title:</w:t>
      </w:r>
      <w:r>
        <w:rPr>
          <w:sz w:val="20"/>
          <w:szCs w:val="20"/>
          <w:color w:val="auto"/>
        </w:rPr>
        <w:tab/>
      </w:r>
      <w:r>
        <w:rPr>
          <w:rFonts w:ascii="Arial" w:cs="Arial" w:eastAsia="Arial" w:hAnsi="Arial"/>
          <w:sz w:val="16"/>
          <w:szCs w:val="16"/>
          <w:color w:val="auto"/>
        </w:rPr>
        <w:t>Senior Vice President</w:t>
      </w:r>
    </w:p>
    <w:p>
      <w:pPr>
        <w:spacing w:after="0" w:line="200" w:lineRule="exact"/>
        <w:rPr>
          <w:sz w:val="20"/>
          <w:szCs w:val="20"/>
          <w:color w:val="auto"/>
        </w:rPr>
      </w:pPr>
    </w:p>
    <w:p>
      <w:pPr>
        <w:spacing w:after="0" w:line="210" w:lineRule="exact"/>
        <w:rPr>
          <w:sz w:val="20"/>
          <w:szCs w:val="20"/>
          <w:color w:val="auto"/>
        </w:rPr>
      </w:pPr>
    </w:p>
    <w:p>
      <w:pPr>
        <w:ind w:left="3900"/>
        <w:spacing w:after="0"/>
        <w:rPr>
          <w:sz w:val="20"/>
          <w:szCs w:val="20"/>
          <w:color w:val="auto"/>
        </w:rPr>
      </w:pPr>
      <w:r>
        <w:rPr>
          <w:rFonts w:ascii="Arial" w:cs="Arial" w:eastAsia="Arial" w:hAnsi="Arial"/>
          <w:sz w:val="20"/>
          <w:szCs w:val="20"/>
          <w:b w:val="1"/>
          <w:bCs w:val="1"/>
          <w:color w:val="auto"/>
        </w:rPr>
        <w:t>The Bank of Nova Scotia</w:t>
      </w: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ind w:left="3900"/>
        <w:spacing w:after="0"/>
        <w:tabs>
          <w:tab w:leader="none" w:pos="4360" w:val="left"/>
        </w:tabs>
        <w:rPr>
          <w:sz w:val="20"/>
          <w:szCs w:val="20"/>
          <w:color w:val="auto"/>
        </w:rPr>
      </w:pPr>
      <w:r>
        <w:rPr>
          <w:rFonts w:ascii="Arial" w:cs="Arial" w:eastAsia="Arial" w:hAnsi="Arial"/>
          <w:sz w:val="20"/>
          <w:szCs w:val="20"/>
          <w:color w:val="auto"/>
        </w:rPr>
        <w:t>By:</w:t>
      </w:r>
      <w:r>
        <w:rPr>
          <w:sz w:val="20"/>
          <w:szCs w:val="20"/>
          <w:color w:val="auto"/>
        </w:rPr>
        <w:tab/>
      </w:r>
      <w:r>
        <w:rPr>
          <w:rFonts w:ascii="Arial" w:cs="Arial" w:eastAsia="Arial" w:hAnsi="Arial"/>
          <w:sz w:val="16"/>
          <w:szCs w:val="16"/>
          <w:color w:val="auto"/>
        </w:rPr>
        <w:t>/s/ Thane Rattew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2656205</wp:posOffset>
            </wp:positionH>
            <wp:positionV relativeFrom="paragraph">
              <wp:posOffset>-14605</wp:posOffset>
            </wp:positionV>
            <wp:extent cx="1102995"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1102995" cy="8890"/>
                    </a:xfrm>
                    <a:prstGeom prst="rect">
                      <a:avLst/>
                    </a:prstGeom>
                    <a:noFill/>
                  </pic:spPr>
                </pic:pic>
              </a:graphicData>
            </a:graphic>
          </wp:anchor>
        </w:drawing>
      </w:r>
    </w:p>
    <w:p>
      <w:pPr>
        <w:ind w:left="3900"/>
        <w:spacing w:after="0"/>
        <w:tabs>
          <w:tab w:leader="none" w:pos="4600" w:val="left"/>
        </w:tabs>
        <w:rPr>
          <w:sz w:val="20"/>
          <w:szCs w:val="20"/>
          <w:color w:val="auto"/>
        </w:rPr>
      </w:pPr>
      <w:r>
        <w:rPr>
          <w:rFonts w:ascii="Arial" w:cs="Arial" w:eastAsia="Arial" w:hAnsi="Arial"/>
          <w:sz w:val="20"/>
          <w:szCs w:val="20"/>
          <w:color w:val="auto"/>
        </w:rPr>
        <w:t>Name:</w:t>
      </w:r>
      <w:r>
        <w:rPr>
          <w:sz w:val="20"/>
          <w:szCs w:val="20"/>
          <w:color w:val="auto"/>
        </w:rPr>
        <w:tab/>
      </w:r>
      <w:r>
        <w:rPr>
          <w:rFonts w:ascii="Arial" w:cs="Arial" w:eastAsia="Arial" w:hAnsi="Arial"/>
          <w:sz w:val="16"/>
          <w:szCs w:val="16"/>
          <w:color w:val="auto"/>
        </w:rPr>
        <w:t>Thane Rattew</w:t>
      </w:r>
    </w:p>
    <w:p>
      <w:pPr>
        <w:ind w:left="3900"/>
        <w:spacing w:after="0"/>
        <w:tabs>
          <w:tab w:leader="none" w:pos="4500" w:val="left"/>
        </w:tabs>
        <w:rPr>
          <w:sz w:val="20"/>
          <w:szCs w:val="20"/>
          <w:color w:val="auto"/>
        </w:rPr>
      </w:pPr>
      <w:r>
        <w:rPr>
          <w:rFonts w:ascii="Arial" w:cs="Arial" w:eastAsia="Arial" w:hAnsi="Arial"/>
          <w:sz w:val="20"/>
          <w:szCs w:val="20"/>
          <w:color w:val="auto"/>
        </w:rPr>
        <w:t>Title:</w:t>
      </w:r>
      <w:r>
        <w:rPr>
          <w:sz w:val="20"/>
          <w:szCs w:val="20"/>
          <w:color w:val="auto"/>
        </w:rPr>
        <w:tab/>
      </w:r>
      <w:r>
        <w:rPr>
          <w:rFonts w:ascii="Arial" w:cs="Arial" w:eastAsia="Arial" w:hAnsi="Arial"/>
          <w:sz w:val="18"/>
          <w:szCs w:val="18"/>
          <w:color w:val="auto"/>
        </w:rPr>
        <w:t>Managing Director</w:t>
      </w:r>
    </w:p>
    <w:p>
      <w:pPr>
        <w:spacing w:after="0" w:line="200" w:lineRule="exact"/>
        <w:rPr>
          <w:sz w:val="20"/>
          <w:szCs w:val="20"/>
          <w:color w:val="auto"/>
        </w:rPr>
      </w:pPr>
    </w:p>
    <w:p>
      <w:pPr>
        <w:spacing w:after="0" w:line="210" w:lineRule="exact"/>
        <w:rPr>
          <w:sz w:val="20"/>
          <w:szCs w:val="20"/>
          <w:color w:val="auto"/>
        </w:rPr>
      </w:pPr>
    </w:p>
    <w:p>
      <w:pPr>
        <w:ind w:left="3900"/>
        <w:spacing w:after="0"/>
        <w:rPr>
          <w:sz w:val="20"/>
          <w:szCs w:val="20"/>
          <w:color w:val="auto"/>
        </w:rPr>
      </w:pPr>
      <w:r>
        <w:rPr>
          <w:rFonts w:ascii="Arial" w:cs="Arial" w:eastAsia="Arial" w:hAnsi="Arial"/>
          <w:sz w:val="20"/>
          <w:szCs w:val="20"/>
          <w:b w:val="1"/>
          <w:bCs w:val="1"/>
          <w:color w:val="auto"/>
        </w:rPr>
        <w:t>Citizens Bank &amp; Trust Company</w:t>
      </w: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ind w:left="3900"/>
        <w:spacing w:after="0"/>
        <w:tabs>
          <w:tab w:leader="none" w:pos="4360" w:val="left"/>
        </w:tabs>
        <w:rPr>
          <w:sz w:val="20"/>
          <w:szCs w:val="20"/>
          <w:color w:val="auto"/>
        </w:rPr>
      </w:pPr>
      <w:r>
        <w:rPr>
          <w:rFonts w:ascii="Arial" w:cs="Arial" w:eastAsia="Arial" w:hAnsi="Arial"/>
          <w:sz w:val="20"/>
          <w:szCs w:val="20"/>
          <w:color w:val="auto"/>
        </w:rPr>
        <w:t>By:</w:t>
      </w:r>
      <w:r>
        <w:rPr>
          <w:sz w:val="20"/>
          <w:szCs w:val="20"/>
          <w:color w:val="auto"/>
        </w:rPr>
        <w:tab/>
      </w:r>
      <w:r>
        <w:rPr>
          <w:rFonts w:ascii="Arial" w:cs="Arial" w:eastAsia="Arial" w:hAnsi="Arial"/>
          <w:sz w:val="16"/>
          <w:szCs w:val="16"/>
          <w:color w:val="auto"/>
        </w:rPr>
        <w:t>/s/ Janelle Hersperger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2656205</wp:posOffset>
            </wp:positionH>
            <wp:positionV relativeFrom="paragraph">
              <wp:posOffset>-14605</wp:posOffset>
            </wp:positionV>
            <wp:extent cx="1337945"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1337945" cy="8890"/>
                    </a:xfrm>
                    <a:prstGeom prst="rect">
                      <a:avLst/>
                    </a:prstGeom>
                    <a:noFill/>
                  </pic:spPr>
                </pic:pic>
              </a:graphicData>
            </a:graphic>
          </wp:anchor>
        </w:drawing>
      </w:r>
    </w:p>
    <w:p>
      <w:pPr>
        <w:ind w:left="3900"/>
        <w:spacing w:after="0"/>
        <w:tabs>
          <w:tab w:leader="none" w:pos="4600" w:val="left"/>
        </w:tabs>
        <w:rPr>
          <w:sz w:val="20"/>
          <w:szCs w:val="20"/>
          <w:color w:val="auto"/>
        </w:rPr>
      </w:pPr>
      <w:r>
        <w:rPr>
          <w:rFonts w:ascii="Arial" w:cs="Arial" w:eastAsia="Arial" w:hAnsi="Arial"/>
          <w:sz w:val="20"/>
          <w:szCs w:val="20"/>
          <w:color w:val="auto"/>
        </w:rPr>
        <w:t>Name:</w:t>
      </w:r>
      <w:r>
        <w:rPr>
          <w:sz w:val="20"/>
          <w:szCs w:val="20"/>
          <w:color w:val="auto"/>
        </w:rPr>
        <w:tab/>
      </w:r>
      <w:r>
        <w:rPr>
          <w:rFonts w:ascii="Arial" w:cs="Arial" w:eastAsia="Arial" w:hAnsi="Arial"/>
          <w:sz w:val="16"/>
          <w:szCs w:val="16"/>
          <w:color w:val="auto"/>
        </w:rPr>
        <w:t>Janelle Hersperger</w:t>
      </w:r>
    </w:p>
    <w:p>
      <w:pPr>
        <w:ind w:left="3900"/>
        <w:spacing w:after="0"/>
        <w:tabs>
          <w:tab w:leader="none" w:pos="4500" w:val="left"/>
        </w:tabs>
        <w:rPr>
          <w:sz w:val="20"/>
          <w:szCs w:val="20"/>
          <w:color w:val="auto"/>
        </w:rPr>
      </w:pPr>
      <w:r>
        <w:rPr>
          <w:rFonts w:ascii="Arial" w:cs="Arial" w:eastAsia="Arial" w:hAnsi="Arial"/>
          <w:sz w:val="20"/>
          <w:szCs w:val="20"/>
          <w:color w:val="auto"/>
        </w:rPr>
        <w:t>Title:</w:t>
      </w:r>
      <w:r>
        <w:rPr>
          <w:sz w:val="20"/>
          <w:szCs w:val="20"/>
          <w:color w:val="auto"/>
        </w:rPr>
        <w:tab/>
      </w:r>
      <w:r>
        <w:rPr>
          <w:rFonts w:ascii="Arial" w:cs="Arial" w:eastAsia="Arial" w:hAnsi="Arial"/>
          <w:sz w:val="16"/>
          <w:szCs w:val="16"/>
          <w:color w:val="auto"/>
        </w:rPr>
        <w:t>Vice President</w:t>
      </w:r>
    </w:p>
    <w:p>
      <w:pPr>
        <w:spacing w:after="0" w:line="200" w:lineRule="exact"/>
        <w:rPr>
          <w:sz w:val="20"/>
          <w:szCs w:val="20"/>
          <w:color w:val="auto"/>
        </w:rPr>
      </w:pPr>
    </w:p>
    <w:p>
      <w:pPr>
        <w:spacing w:after="0" w:line="210" w:lineRule="exact"/>
        <w:rPr>
          <w:sz w:val="20"/>
          <w:szCs w:val="20"/>
          <w:color w:val="auto"/>
        </w:rPr>
      </w:pPr>
    </w:p>
    <w:p>
      <w:pPr>
        <w:ind w:left="3900" w:firstLine="648"/>
        <w:spacing w:after="0" w:line="267" w:lineRule="auto"/>
        <w:rPr>
          <w:sz w:val="20"/>
          <w:szCs w:val="20"/>
          <w:color w:val="auto"/>
        </w:rPr>
      </w:pPr>
      <w:r>
        <w:rPr>
          <w:rFonts w:ascii="Arial" w:cs="Arial" w:eastAsia="Arial" w:hAnsi="Arial"/>
          <w:sz w:val="20"/>
          <w:szCs w:val="20"/>
          <w:b w:val="1"/>
          <w:bCs w:val="1"/>
          <w:color w:val="auto"/>
        </w:rPr>
        <w:t>BANK OF AMERICA, N.A.</w:t>
      </w:r>
      <w:r>
        <w:rPr>
          <w:rFonts w:ascii="Arial" w:cs="Arial" w:eastAsia="Arial" w:hAnsi="Arial"/>
          <w:sz w:val="20"/>
          <w:szCs w:val="20"/>
          <w:color w:val="auto"/>
        </w:rPr>
        <w:t>, acting through its Mumbai Branch, as India Revolving</w:t>
      </w:r>
      <w:r>
        <w:rPr>
          <w:rFonts w:ascii="Arial" w:cs="Arial" w:eastAsia="Arial" w:hAnsi="Arial"/>
          <w:sz w:val="20"/>
          <w:szCs w:val="20"/>
          <w:b w:val="1"/>
          <w:bCs w:val="1"/>
          <w:color w:val="auto"/>
        </w:rPr>
        <w:t xml:space="preserve"> </w:t>
      </w:r>
      <w:r>
        <w:rPr>
          <w:rFonts w:ascii="Arial" w:cs="Arial" w:eastAsia="Arial" w:hAnsi="Arial"/>
          <w:sz w:val="20"/>
          <w:szCs w:val="20"/>
          <w:color w:val="auto"/>
        </w:rPr>
        <w:t>Lender for all India L/C Issuer</w:t>
      </w:r>
    </w:p>
    <w:p>
      <w:pPr>
        <w:spacing w:after="0" w:line="386" w:lineRule="exact"/>
        <w:rPr>
          <w:sz w:val="20"/>
          <w:szCs w:val="20"/>
          <w:color w:val="auto"/>
        </w:rPr>
      </w:pPr>
    </w:p>
    <w:p>
      <w:pPr>
        <w:ind w:left="3900"/>
        <w:spacing w:after="0"/>
        <w:tabs>
          <w:tab w:leader="none" w:pos="4360" w:val="left"/>
        </w:tabs>
        <w:rPr>
          <w:sz w:val="20"/>
          <w:szCs w:val="20"/>
          <w:color w:val="auto"/>
        </w:rPr>
      </w:pPr>
      <w:r>
        <w:rPr>
          <w:rFonts w:ascii="Arial" w:cs="Arial" w:eastAsia="Arial" w:hAnsi="Arial"/>
          <w:sz w:val="20"/>
          <w:szCs w:val="20"/>
          <w:color w:val="auto"/>
        </w:rPr>
        <w:t>By:</w:t>
      </w:r>
      <w:r>
        <w:rPr>
          <w:sz w:val="20"/>
          <w:szCs w:val="20"/>
          <w:color w:val="auto"/>
        </w:rPr>
        <w:tab/>
      </w:r>
      <w:r>
        <w:rPr>
          <w:rFonts w:ascii="Arial" w:cs="Arial" w:eastAsia="Arial" w:hAnsi="Arial"/>
          <w:sz w:val="16"/>
          <w:szCs w:val="16"/>
          <w:color w:val="auto"/>
        </w:rPr>
        <w:t>/s/ Namita Chhabra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2656205</wp:posOffset>
            </wp:positionH>
            <wp:positionV relativeFrom="paragraph">
              <wp:posOffset>-14605</wp:posOffset>
            </wp:positionV>
            <wp:extent cx="1605915"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1605915" cy="8890"/>
                    </a:xfrm>
                    <a:prstGeom prst="rect">
                      <a:avLst/>
                    </a:prstGeom>
                    <a:noFill/>
                  </pic:spPr>
                </pic:pic>
              </a:graphicData>
            </a:graphic>
          </wp:anchor>
        </w:drawing>
      </w:r>
    </w:p>
    <w:p>
      <w:pPr>
        <w:ind w:left="3900"/>
        <w:spacing w:after="0"/>
        <w:tabs>
          <w:tab w:leader="none" w:pos="4600" w:val="left"/>
        </w:tabs>
        <w:rPr>
          <w:sz w:val="20"/>
          <w:szCs w:val="20"/>
          <w:color w:val="auto"/>
        </w:rPr>
      </w:pPr>
      <w:r>
        <w:rPr>
          <w:rFonts w:ascii="Arial" w:cs="Arial" w:eastAsia="Arial" w:hAnsi="Arial"/>
          <w:sz w:val="20"/>
          <w:szCs w:val="20"/>
          <w:color w:val="auto"/>
        </w:rPr>
        <w:t>Name:</w:t>
      </w:r>
      <w:r>
        <w:rPr>
          <w:sz w:val="20"/>
          <w:szCs w:val="20"/>
          <w:color w:val="auto"/>
        </w:rPr>
        <w:tab/>
      </w:r>
      <w:r>
        <w:rPr>
          <w:rFonts w:ascii="Arial" w:cs="Arial" w:eastAsia="Arial" w:hAnsi="Arial"/>
          <w:sz w:val="16"/>
          <w:szCs w:val="16"/>
          <w:color w:val="auto"/>
        </w:rPr>
        <w:t>Namita Chhabra</w:t>
      </w:r>
    </w:p>
    <w:p>
      <w:pPr>
        <w:ind w:left="3900"/>
        <w:spacing w:after="0"/>
        <w:tabs>
          <w:tab w:leader="none" w:pos="4500" w:val="left"/>
        </w:tabs>
        <w:rPr>
          <w:sz w:val="20"/>
          <w:szCs w:val="20"/>
          <w:color w:val="auto"/>
        </w:rPr>
      </w:pPr>
      <w:r>
        <w:rPr>
          <w:rFonts w:ascii="Arial" w:cs="Arial" w:eastAsia="Arial" w:hAnsi="Arial"/>
          <w:sz w:val="20"/>
          <w:szCs w:val="20"/>
          <w:color w:val="auto"/>
        </w:rPr>
        <w:t>Title:</w:t>
      </w:r>
      <w:r>
        <w:rPr>
          <w:sz w:val="20"/>
          <w:szCs w:val="20"/>
          <w:color w:val="auto"/>
        </w:rPr>
        <w:tab/>
      </w:r>
      <w:r>
        <w:rPr>
          <w:rFonts w:ascii="Arial" w:cs="Arial" w:eastAsia="Arial" w:hAnsi="Arial"/>
          <w:sz w:val="18"/>
          <w:szCs w:val="18"/>
          <w:color w:val="auto"/>
        </w:rPr>
        <w:t>VP, Corporate Credit Risk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905510</wp:posOffset>
            </wp:positionV>
            <wp:extent cx="72720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59"/>
        <w:spacing w:after="0"/>
        <w:rPr>
          <w:sz w:val="20"/>
          <w:szCs w:val="20"/>
          <w:color w:val="auto"/>
        </w:rPr>
      </w:pPr>
      <w:r>
        <w:rPr>
          <w:rFonts w:ascii="Arial" w:cs="Arial" w:eastAsia="Arial" w:hAnsi="Arial"/>
          <w:sz w:val="13"/>
          <w:szCs w:val="13"/>
          <w:color w:val="auto"/>
        </w:rPr>
        <w:t>v</w:t>
      </w:r>
    </w:p>
    <w:p>
      <w:pPr>
        <w:spacing w:after="0" w:line="7" w:lineRule="exact"/>
        <w:rPr>
          <w:sz w:val="20"/>
          <w:szCs w:val="20"/>
          <w:color w:val="auto"/>
        </w:rPr>
      </w:pPr>
    </w:p>
    <w:p>
      <w:pPr>
        <w:spacing w:after="0"/>
        <w:rPr>
          <w:sz w:val="20"/>
          <w:szCs w:val="20"/>
          <w:color w:val="auto"/>
        </w:rPr>
      </w:pPr>
      <w:r>
        <w:rPr>
          <w:rFonts w:ascii="Arial" w:cs="Arial" w:eastAsia="Arial" w:hAnsi="Arial"/>
          <w:sz w:val="14"/>
          <w:szCs w:val="14"/>
          <w:color w:val="auto"/>
        </w:rPr>
        <w:t>CHAR1\1346423v</w:t>
      </w:r>
      <w:r>
        <w:rPr>
          <w:rFonts w:ascii="Arial" w:cs="Arial" w:eastAsia="Arial" w:hAnsi="Arial"/>
          <w:sz w:val="14"/>
          <w:szCs w:val="14"/>
          <w:color w:val="FF0000"/>
          <w:strike w:val="1"/>
        </w:rPr>
        <w:t>1</w:t>
      </w:r>
      <w:r>
        <w:rPr>
          <w:rFonts w:ascii="Arial" w:cs="Arial" w:eastAsia="Arial" w:hAnsi="Arial"/>
          <w:sz w:val="14"/>
          <w:szCs w:val="14"/>
          <w:u w:val="single" w:color="auto"/>
          <w:color w:val="0000FF"/>
        </w:rPr>
        <w:t>12</w:t>
      </w:r>
    </w:p>
    <w:p>
      <w:pPr>
        <w:sectPr>
          <w:pgSz w:w="11900" w:h="16838" w:orient="portrait"/>
          <w:cols w:equalWidth="0" w:num="1">
            <w:col w:w="11360"/>
          </w:cols>
          <w:pgMar w:left="240" w:top="360" w:right="299" w:bottom="1440" w:gutter="0" w:footer="0" w:header="0"/>
        </w:sectPr>
      </w:pPr>
    </w:p>
    <w:bookmarkStart w:id="52" w:name="page53"/>
    <w:bookmarkEnd w:id="52"/>
    <w:p>
      <w:pPr>
        <w:jc w:val="center"/>
        <w:ind w:right="-1220"/>
        <w:spacing w:after="0"/>
        <w:rPr>
          <w:sz w:val="20"/>
          <w:szCs w:val="20"/>
          <w:color w:val="auto"/>
        </w:rPr>
      </w:pPr>
      <w:r>
        <w:rPr>
          <w:rFonts w:ascii="Arial" w:cs="Arial" w:eastAsia="Arial" w:hAnsi="Arial"/>
          <w:sz w:val="22"/>
          <w:szCs w:val="22"/>
          <w:b w:val="1"/>
          <w:bCs w:val="1"/>
          <w:color w:val="auto"/>
        </w:rPr>
        <w:t>Exhibit A</w:t>
      </w:r>
    </w:p>
    <w:p>
      <w:pPr>
        <w:spacing w:after="0" w:line="266" w:lineRule="exact"/>
        <w:rPr>
          <w:sz w:val="20"/>
          <w:szCs w:val="20"/>
          <w:color w:val="auto"/>
        </w:rPr>
      </w:pPr>
    </w:p>
    <w:p>
      <w:pPr>
        <w:jc w:val="right"/>
        <w:ind w:right="3719"/>
        <w:spacing w:after="0"/>
        <w:rPr>
          <w:sz w:val="20"/>
          <w:szCs w:val="20"/>
          <w:color w:val="auto"/>
        </w:rPr>
      </w:pPr>
      <w:r>
        <w:rPr>
          <w:rFonts w:ascii="Arial" w:cs="Arial" w:eastAsia="Arial" w:hAnsi="Arial"/>
          <w:sz w:val="22"/>
          <w:szCs w:val="22"/>
          <w:u w:val="single" w:color="auto"/>
          <w:color w:val="auto"/>
        </w:rPr>
        <w:t>Credit Agreement</w:t>
      </w:r>
    </w:p>
    <w:p>
      <w:pPr>
        <w:spacing w:after="0" w:line="236" w:lineRule="exact"/>
        <w:rPr>
          <w:sz w:val="20"/>
          <w:szCs w:val="20"/>
          <w:color w:val="auto"/>
        </w:rPr>
      </w:pPr>
    </w:p>
    <w:p>
      <w:pPr>
        <w:spacing w:after="0"/>
        <w:rPr>
          <w:sz w:val="20"/>
          <w:szCs w:val="20"/>
          <w:color w:val="auto"/>
        </w:rPr>
      </w:pPr>
      <w:r>
        <w:rPr>
          <w:rFonts w:ascii="Arial" w:cs="Arial" w:eastAsia="Arial" w:hAnsi="Arial"/>
          <w:sz w:val="14"/>
          <w:szCs w:val="14"/>
          <w:color w:val="auto"/>
        </w:rPr>
        <w:t>CHAR1\1346423v</w:t>
      </w:r>
      <w:r>
        <w:rPr>
          <w:rFonts w:ascii="Arial" w:cs="Arial" w:eastAsia="Arial" w:hAnsi="Arial"/>
          <w:sz w:val="14"/>
          <w:szCs w:val="14"/>
          <w:color w:val="FF0000"/>
          <w:strike w:val="1"/>
        </w:rPr>
        <w:t>1</w:t>
      </w:r>
      <w:r>
        <w:rPr>
          <w:rFonts w:ascii="Arial" w:cs="Arial" w:eastAsia="Arial" w:hAnsi="Arial"/>
          <w:sz w:val="14"/>
          <w:szCs w:val="14"/>
          <w:u w:val="single" w:color="auto"/>
          <w:color w:val="0000FF"/>
        </w:rPr>
        <w:t>12</w:t>
      </w:r>
    </w:p>
    <w:p>
      <w:pPr>
        <w:sectPr>
          <w:pgSz w:w="11900" w:h="16838" w:orient="portrait"/>
          <w:cols w:equalWidth="0" w:num="1">
            <w:col w:w="10219"/>
          </w:cols>
          <w:pgMar w:left="240" w:top="801" w:right="1440" w:bottom="1440" w:gutter="0" w:footer="0" w:header="0"/>
        </w:sectPr>
      </w:pPr>
    </w:p>
    <w:bookmarkStart w:id="53" w:name="page54"/>
    <w:bookmarkEnd w:id="53"/>
    <w:p>
      <w:pPr>
        <w:ind w:left="8040"/>
        <w:spacing w:after="0"/>
        <w:rPr>
          <w:sz w:val="20"/>
          <w:szCs w:val="20"/>
          <w:color w:val="auto"/>
        </w:rPr>
      </w:pPr>
      <w:r>
        <w:rPr>
          <w:rFonts w:ascii="Arial" w:cs="Arial" w:eastAsia="Arial" w:hAnsi="Arial"/>
          <w:sz w:val="18"/>
          <w:szCs w:val="18"/>
          <w:b w:val="1"/>
          <w:bCs w:val="1"/>
          <w:color w:val="auto"/>
        </w:rPr>
        <w:t>Published CUSIP Number: 29873RAA1</w:t>
      </w:r>
    </w:p>
    <w:p>
      <w:pPr>
        <w:spacing w:after="0" w:line="137" w:lineRule="exact"/>
        <w:rPr>
          <w:sz w:val="20"/>
          <w:szCs w:val="20"/>
          <w:color w:val="auto"/>
        </w:rPr>
      </w:pPr>
    </w:p>
    <w:p>
      <w:pPr>
        <w:ind w:left="580"/>
        <w:spacing w:after="0"/>
        <w:rPr>
          <w:sz w:val="20"/>
          <w:szCs w:val="20"/>
          <w:color w:val="auto"/>
        </w:rPr>
      </w:pPr>
      <w:r>
        <w:rPr>
          <w:rFonts w:ascii="Arial" w:cs="Arial" w:eastAsia="Arial" w:hAnsi="Arial"/>
          <w:sz w:val="19"/>
          <w:szCs w:val="19"/>
          <w:color w:val="auto"/>
        </w:rPr>
        <w:t xml:space="preserve">REFLECTING CHANGES IN COMMITMENT INCREASE AGREEMENT DATED OCTOBER 11, 2012 </w:t>
      </w:r>
      <w:r>
        <w:rPr>
          <w:rFonts w:ascii="Arial" w:cs="Arial" w:eastAsia="Arial" w:hAnsi="Arial"/>
          <w:sz w:val="19"/>
          <w:szCs w:val="19"/>
          <w:u w:val="single" w:color="auto"/>
          <w:color w:val="0000FF"/>
        </w:rPr>
        <w:t>and PROSPECTIVE</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20"/>
          <w:szCs w:val="20"/>
          <w:u w:val="single" w:color="auto"/>
          <w:color w:val="0000FF"/>
        </w:rPr>
        <w:t>AMENDMENT NO. 1 DATED APRIL 9, 2014</w:t>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AMENDED AND RESTATED CREDIT AGREEMENT</w:t>
      </w:r>
    </w:p>
    <w:p>
      <w:pPr>
        <w:spacing w:after="0" w:line="24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dated as of August 18, 2011</w:t>
      </w:r>
    </w:p>
    <w:p>
      <w:pPr>
        <w:spacing w:after="0" w:line="243" w:lineRule="exact"/>
        <w:rPr>
          <w:sz w:val="20"/>
          <w:szCs w:val="20"/>
          <w:color w:val="auto"/>
        </w:rPr>
      </w:pPr>
    </w:p>
    <w:p>
      <w:pPr>
        <w:ind w:left="5440"/>
        <w:spacing w:after="0"/>
        <w:rPr>
          <w:sz w:val="20"/>
          <w:szCs w:val="20"/>
          <w:color w:val="auto"/>
        </w:rPr>
      </w:pPr>
      <w:r>
        <w:rPr>
          <w:rFonts w:ascii="Arial" w:cs="Arial" w:eastAsia="Arial" w:hAnsi="Arial"/>
          <w:sz w:val="20"/>
          <w:szCs w:val="20"/>
          <w:color w:val="auto"/>
        </w:rPr>
        <w:t>among</w:t>
      </w:r>
    </w:p>
    <w:p>
      <w:pPr>
        <w:spacing w:after="0" w:line="115" w:lineRule="exact"/>
        <w:rPr>
          <w:sz w:val="20"/>
          <w:szCs w:val="20"/>
          <w:color w:val="auto"/>
        </w:rPr>
      </w:pPr>
    </w:p>
    <w:p>
      <w:pPr>
        <w:ind w:left="4260"/>
        <w:spacing w:after="0"/>
        <w:rPr>
          <w:sz w:val="20"/>
          <w:szCs w:val="20"/>
          <w:color w:val="auto"/>
        </w:rPr>
      </w:pPr>
      <w:r>
        <w:rPr>
          <w:rFonts w:ascii="Arial" w:cs="Arial" w:eastAsia="Arial" w:hAnsi="Arial"/>
          <w:sz w:val="20"/>
          <w:szCs w:val="20"/>
          <w:b w:val="1"/>
          <w:bCs w:val="1"/>
          <w:color w:val="auto"/>
        </w:rPr>
        <w:t>EURONET WORLDWIDE, INC.</w:t>
      </w:r>
      <w:r>
        <w:rPr>
          <w:rFonts w:ascii="Arial" w:cs="Arial" w:eastAsia="Arial" w:hAnsi="Arial"/>
          <w:sz w:val="20"/>
          <w:szCs w:val="20"/>
          <w:color w:val="auto"/>
        </w:rPr>
        <w:t>,</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and</w:t>
      </w:r>
    </w:p>
    <w:p>
      <w:pPr>
        <w:jc w:val="center"/>
        <w:spacing w:after="0"/>
        <w:rPr>
          <w:sz w:val="20"/>
          <w:szCs w:val="20"/>
          <w:color w:val="auto"/>
        </w:rPr>
      </w:pPr>
      <w:r>
        <w:rPr>
          <w:rFonts w:ascii="Arial" w:cs="Arial" w:eastAsia="Arial" w:hAnsi="Arial"/>
          <w:sz w:val="20"/>
          <w:szCs w:val="20"/>
          <w:b w:val="1"/>
          <w:bCs w:val="1"/>
          <w:color w:val="auto"/>
        </w:rPr>
        <w:t>CERTAIN SUBSIDIARIES AND AFFILIATES</w:t>
      </w:r>
      <w:r>
        <w:rPr>
          <w:rFonts w:ascii="Arial" w:cs="Arial" w:eastAsia="Arial" w:hAnsi="Arial"/>
          <w:sz w:val="20"/>
          <w:szCs w:val="20"/>
          <w:color w:val="auto"/>
        </w:rPr>
        <w:t>,</w:t>
      </w:r>
    </w:p>
    <w:p>
      <w:pPr>
        <w:jc w:val="center"/>
        <w:spacing w:after="0"/>
        <w:rPr>
          <w:sz w:val="20"/>
          <w:szCs w:val="20"/>
          <w:color w:val="auto"/>
        </w:rPr>
      </w:pPr>
      <w:r>
        <w:rPr>
          <w:rFonts w:ascii="Arial" w:cs="Arial" w:eastAsia="Arial" w:hAnsi="Arial"/>
          <w:sz w:val="20"/>
          <w:szCs w:val="20"/>
          <w:color w:val="auto"/>
        </w:rPr>
        <w:t>as Borrowers,</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CERTAIN SUBSIDIARIES AND AFFILIATES</w:t>
      </w:r>
      <w:r>
        <w:rPr>
          <w:rFonts w:ascii="Arial" w:cs="Arial" w:eastAsia="Arial" w:hAnsi="Arial"/>
          <w:sz w:val="20"/>
          <w:szCs w:val="20"/>
          <w:color w:val="auto"/>
        </w:rPr>
        <w:t>,</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as Guarantors,</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THE LENDERS PARTY HERETO,</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BANK OF AMERICA, N.A.</w:t>
      </w:r>
      <w:r>
        <w:rPr>
          <w:rFonts w:ascii="Arial" w:cs="Arial" w:eastAsia="Arial" w:hAnsi="Arial"/>
          <w:sz w:val="20"/>
          <w:szCs w:val="20"/>
          <w:color w:val="auto"/>
        </w:rPr>
        <w:t>,</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as Administrative Agent and Collateral Agent</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U.S. BANK NATIONAL ASSOCIATION</w:t>
      </w:r>
      <w:r>
        <w:rPr>
          <w:rFonts w:ascii="Arial" w:cs="Arial" w:eastAsia="Arial" w:hAnsi="Arial"/>
          <w:sz w:val="20"/>
          <w:szCs w:val="20"/>
          <w:color w:val="auto"/>
        </w:rPr>
        <w:t>,</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20"/>
          <w:szCs w:val="20"/>
          <w:b w:val="1"/>
          <w:bCs w:val="1"/>
          <w:u w:val="single" w:color="auto"/>
          <w:color w:val="0000FF"/>
        </w:rPr>
        <w:t>BMO CAPITAL MARKETS</w:t>
      </w:r>
    </w:p>
    <w:p>
      <w:pPr>
        <w:jc w:val="center"/>
        <w:spacing w:after="0"/>
        <w:rPr>
          <w:sz w:val="20"/>
          <w:szCs w:val="20"/>
          <w:color w:val="auto"/>
        </w:rPr>
      </w:pPr>
      <w:r>
        <w:rPr>
          <w:rFonts w:ascii="Arial" w:cs="Arial" w:eastAsia="Arial" w:hAnsi="Arial"/>
          <w:sz w:val="20"/>
          <w:szCs w:val="20"/>
          <w:u w:val="single" w:color="auto"/>
          <w:color w:val="0000FF"/>
        </w:rPr>
        <w:t>and</w:t>
      </w:r>
    </w:p>
    <w:p>
      <w:pPr>
        <w:jc w:val="center"/>
        <w:spacing w:after="0"/>
        <w:rPr>
          <w:sz w:val="20"/>
          <w:szCs w:val="20"/>
          <w:color w:val="auto"/>
        </w:rPr>
      </w:pPr>
      <w:r>
        <w:rPr>
          <w:rFonts w:ascii="Arial" w:cs="Arial" w:eastAsia="Arial" w:hAnsi="Arial"/>
          <w:sz w:val="20"/>
          <w:szCs w:val="20"/>
          <w:b w:val="1"/>
          <w:bCs w:val="1"/>
          <w:u w:val="single" w:color="auto"/>
          <w:color w:val="0000FF"/>
        </w:rPr>
        <w:t>BBVA COMPASS BANK,</w:t>
      </w:r>
    </w:p>
    <w:p>
      <w:pPr>
        <w:jc w:val="center"/>
        <w:spacing w:after="0"/>
        <w:rPr>
          <w:sz w:val="20"/>
          <w:szCs w:val="20"/>
          <w:color w:val="auto"/>
        </w:rPr>
      </w:pPr>
      <w:r>
        <w:rPr>
          <w:rFonts w:ascii="Arial" w:cs="Arial" w:eastAsia="Arial" w:hAnsi="Arial"/>
          <w:sz w:val="20"/>
          <w:szCs w:val="20"/>
          <w:color w:val="auto"/>
        </w:rPr>
        <w:t xml:space="preserve">as </w:t>
      </w:r>
      <w:r>
        <w:rPr>
          <w:rFonts w:ascii="Arial" w:cs="Arial" w:eastAsia="Arial" w:hAnsi="Arial"/>
          <w:sz w:val="20"/>
          <w:szCs w:val="20"/>
          <w:u w:val="single" w:color="auto"/>
          <w:color w:val="0000FF"/>
        </w:rPr>
        <w:t>Co-</w:t>
      </w:r>
      <w:r>
        <w:rPr>
          <w:rFonts w:ascii="Arial" w:cs="Arial" w:eastAsia="Arial" w:hAnsi="Arial"/>
          <w:sz w:val="20"/>
          <w:szCs w:val="20"/>
          <w:color w:val="auto"/>
        </w:rPr>
        <w:t xml:space="preserve">Syndication </w:t>
      </w:r>
      <w:r>
        <w:rPr>
          <w:rFonts w:ascii="Arial" w:cs="Arial" w:eastAsia="Arial" w:hAnsi="Arial"/>
          <w:sz w:val="20"/>
          <w:szCs w:val="20"/>
          <w:color w:val="FF0000"/>
          <w:strike w:val="1"/>
        </w:rPr>
        <w:t>Agent</w:t>
      </w:r>
      <w:r>
        <w:rPr>
          <w:rFonts w:ascii="Arial" w:cs="Arial" w:eastAsia="Arial" w:hAnsi="Arial"/>
          <w:sz w:val="20"/>
          <w:szCs w:val="20"/>
          <w:u w:val="single" w:color="auto"/>
          <w:color w:val="0000FF"/>
        </w:rPr>
        <w:t>Agents</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and</w:t>
      </w:r>
    </w:p>
    <w:p>
      <w:pPr>
        <w:spacing w:after="0" w:line="210" w:lineRule="exact"/>
        <w:rPr>
          <w:sz w:val="20"/>
          <w:szCs w:val="20"/>
          <w:color w:val="auto"/>
        </w:rPr>
      </w:pPr>
    </w:p>
    <w:p>
      <w:pPr>
        <w:jc w:val="center"/>
        <w:spacing w:after="0"/>
        <w:rPr>
          <w:sz w:val="20"/>
          <w:szCs w:val="20"/>
          <w:color w:val="auto"/>
        </w:rPr>
      </w:pPr>
      <w:r>
        <w:rPr>
          <w:rFonts w:ascii="Arial" w:cs="Arial" w:eastAsia="Arial" w:hAnsi="Arial"/>
          <w:sz w:val="20"/>
          <w:szCs w:val="20"/>
          <w:b w:val="1"/>
          <w:bCs w:val="1"/>
          <w:u w:val="single" w:color="auto"/>
          <w:color w:val="0000FF"/>
        </w:rPr>
        <w:t>WELLS FARGO</w:t>
      </w:r>
      <w:r>
        <w:rPr>
          <w:rFonts w:ascii="Arial" w:cs="Arial" w:eastAsia="Arial" w:hAnsi="Arial"/>
          <w:sz w:val="20"/>
          <w:szCs w:val="20"/>
          <w:b w:val="1"/>
          <w:bCs w:val="1"/>
          <w:color w:val="0000FF"/>
        </w:rPr>
        <w:t xml:space="preserve"> </w:t>
      </w:r>
      <w:r>
        <w:rPr>
          <w:rFonts w:ascii="Arial" w:cs="Arial" w:eastAsia="Arial" w:hAnsi="Arial"/>
          <w:sz w:val="20"/>
          <w:szCs w:val="20"/>
          <w:b w:val="1"/>
          <w:bCs w:val="1"/>
          <w:color w:val="000000"/>
        </w:rPr>
        <w:t>BANK</w:t>
      </w:r>
      <w:r>
        <w:rPr>
          <w:rFonts w:ascii="Arial" w:cs="Arial" w:eastAsia="Arial" w:hAnsi="Arial"/>
          <w:sz w:val="20"/>
          <w:szCs w:val="20"/>
          <w:b w:val="1"/>
          <w:bCs w:val="1"/>
          <w:color w:val="0000FF"/>
        </w:rPr>
        <w:t xml:space="preserve"> </w:t>
      </w:r>
      <w:r>
        <w:rPr>
          <w:rFonts w:ascii="Arial" w:cs="Arial" w:eastAsia="Arial" w:hAnsi="Arial"/>
          <w:sz w:val="20"/>
          <w:szCs w:val="20"/>
          <w:b w:val="1"/>
          <w:bCs w:val="1"/>
          <w:color w:val="FF0000"/>
          <w:strike w:val="1"/>
        </w:rPr>
        <w:t>OF MONTREAL</w:t>
      </w:r>
      <w:r>
        <w:rPr>
          <w:rFonts w:ascii="Arial" w:cs="Arial" w:eastAsia="Arial" w:hAnsi="Arial"/>
          <w:sz w:val="20"/>
          <w:szCs w:val="20"/>
          <w:b w:val="1"/>
          <w:bCs w:val="1"/>
          <w:color w:val="000000"/>
        </w:rPr>
        <w:t>,</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FF0000"/>
          <w:strike w:val="1"/>
        </w:rPr>
        <w:t>BBVA COMPASS BANK</w:t>
      </w:r>
      <w:r>
        <w:rPr>
          <w:rFonts w:ascii="Arial" w:cs="Arial" w:eastAsia="Arial" w:hAnsi="Arial"/>
          <w:sz w:val="20"/>
          <w:szCs w:val="20"/>
          <w:color w:val="FF0000"/>
          <w:strike w:val="1"/>
        </w:rPr>
        <w:t>,</w:t>
      </w:r>
      <w:r>
        <w:rPr>
          <w:rFonts w:ascii="Arial" w:cs="Arial" w:eastAsia="Arial" w:hAnsi="Arial"/>
          <w:sz w:val="20"/>
          <w:szCs w:val="20"/>
          <w:b w:val="1"/>
          <w:bCs w:val="1"/>
          <w:color w:val="FF0000"/>
          <w:strike w:val="1"/>
        </w:rPr>
        <w:t>KEYBANK</w:t>
      </w:r>
      <w:r>
        <w:rPr>
          <w:rFonts w:ascii="Arial" w:cs="Arial" w:eastAsia="Arial" w:hAnsi="Arial"/>
          <w:sz w:val="20"/>
          <w:szCs w:val="20"/>
          <w:b w:val="1"/>
          <w:bCs w:val="1"/>
          <w:color w:val="FF0000"/>
        </w:rPr>
        <w:t xml:space="preserve"> </w:t>
      </w:r>
      <w:r>
        <w:rPr>
          <w:rFonts w:ascii="Arial" w:cs="Arial" w:eastAsia="Arial" w:hAnsi="Arial"/>
          <w:sz w:val="20"/>
          <w:szCs w:val="20"/>
          <w:b w:val="1"/>
          <w:bCs w:val="1"/>
          <w:color w:val="000000"/>
        </w:rPr>
        <w:t>NATIONAL ASSOCIATION,</w:t>
      </w:r>
    </w:p>
    <w:p>
      <w:pPr>
        <w:jc w:val="center"/>
        <w:spacing w:after="0"/>
        <w:rPr>
          <w:sz w:val="20"/>
          <w:szCs w:val="20"/>
          <w:color w:val="auto"/>
        </w:rPr>
      </w:pPr>
      <w:r>
        <w:rPr>
          <w:rFonts w:ascii="Arial" w:cs="Arial" w:eastAsia="Arial" w:hAnsi="Arial"/>
          <w:sz w:val="20"/>
          <w:szCs w:val="20"/>
          <w:color w:val="auto"/>
        </w:rPr>
        <w:t xml:space="preserve">as </w:t>
      </w:r>
      <w:r>
        <w:rPr>
          <w:rFonts w:ascii="Arial" w:cs="Arial" w:eastAsia="Arial" w:hAnsi="Arial"/>
          <w:sz w:val="20"/>
          <w:szCs w:val="20"/>
          <w:color w:val="FF0000"/>
          <w:strike w:val="1"/>
        </w:rPr>
        <w:t>Co-</w:t>
      </w:r>
      <w:r>
        <w:rPr>
          <w:rFonts w:ascii="Arial" w:cs="Arial" w:eastAsia="Arial" w:hAnsi="Arial"/>
          <w:sz w:val="20"/>
          <w:szCs w:val="20"/>
          <w:color w:val="auto"/>
        </w:rPr>
        <w:t xml:space="preserve">Documentation </w:t>
      </w:r>
      <w:r>
        <w:rPr>
          <w:rFonts w:ascii="Arial" w:cs="Arial" w:eastAsia="Arial" w:hAnsi="Arial"/>
          <w:sz w:val="20"/>
          <w:szCs w:val="20"/>
          <w:color w:val="FF0000"/>
          <w:strike w:val="1"/>
        </w:rPr>
        <w:t>Agents</w:t>
      </w:r>
      <w:r>
        <w:rPr>
          <w:rFonts w:ascii="Arial" w:cs="Arial" w:eastAsia="Arial" w:hAnsi="Arial"/>
          <w:sz w:val="20"/>
          <w:szCs w:val="20"/>
          <w:u w:val="single" w:color="auto"/>
          <w:color w:val="0000FF"/>
        </w:rPr>
        <w:t>Agent</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MERRILL LYNCH, PIERCE, FENNER &amp; SMITH INCORPORATED</w:t>
      </w:r>
      <w:r>
        <w:rPr>
          <w:rFonts w:ascii="Arial" w:cs="Arial" w:eastAsia="Arial" w:hAnsi="Arial"/>
          <w:sz w:val="20"/>
          <w:szCs w:val="20"/>
          <w:color w:val="auto"/>
        </w:rPr>
        <w:t>,</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20"/>
          <w:szCs w:val="20"/>
          <w:color w:val="FF0000"/>
          <w:strike w:val="1"/>
        </w:rPr>
        <w:t>and</w:t>
      </w:r>
    </w:p>
    <w:p>
      <w:pPr>
        <w:jc w:val="center"/>
        <w:spacing w:after="0"/>
        <w:rPr>
          <w:sz w:val="20"/>
          <w:szCs w:val="20"/>
          <w:color w:val="auto"/>
        </w:rPr>
      </w:pPr>
      <w:r>
        <w:rPr>
          <w:rFonts w:ascii="Arial" w:cs="Arial" w:eastAsia="Arial" w:hAnsi="Arial"/>
          <w:sz w:val="20"/>
          <w:szCs w:val="20"/>
          <w:b w:val="1"/>
          <w:bCs w:val="1"/>
          <w:color w:val="auto"/>
        </w:rPr>
        <w:t>U.S. BANK NATIONAL ASSOCIATION</w:t>
      </w:r>
    </w:p>
    <w:p>
      <w:pPr>
        <w:jc w:val="center"/>
        <w:spacing w:after="0"/>
        <w:rPr>
          <w:sz w:val="20"/>
          <w:szCs w:val="20"/>
          <w:color w:val="auto"/>
        </w:rPr>
      </w:pPr>
      <w:r>
        <w:rPr>
          <w:rFonts w:ascii="Arial" w:cs="Arial" w:eastAsia="Arial" w:hAnsi="Arial"/>
          <w:sz w:val="20"/>
          <w:szCs w:val="20"/>
          <w:u w:val="single" w:color="auto"/>
          <w:color w:val="0000FF"/>
        </w:rPr>
        <w:t>and</w:t>
      </w:r>
    </w:p>
    <w:p>
      <w:pPr>
        <w:jc w:val="center"/>
        <w:spacing w:after="0"/>
        <w:rPr>
          <w:sz w:val="20"/>
          <w:szCs w:val="20"/>
          <w:color w:val="auto"/>
        </w:rPr>
      </w:pPr>
      <w:r>
        <w:rPr>
          <w:rFonts w:ascii="Arial" w:cs="Arial" w:eastAsia="Arial" w:hAnsi="Arial"/>
          <w:sz w:val="20"/>
          <w:szCs w:val="20"/>
          <w:b w:val="1"/>
          <w:bCs w:val="1"/>
          <w:u w:val="single" w:color="auto"/>
          <w:color w:val="0000FF"/>
        </w:rPr>
        <w:t>BMO CAPITAL MARKETS</w:t>
      </w:r>
    </w:p>
    <w:p>
      <w:pPr>
        <w:jc w:val="center"/>
        <w:spacing w:after="0"/>
        <w:rPr>
          <w:sz w:val="20"/>
          <w:szCs w:val="20"/>
          <w:color w:val="auto"/>
        </w:rPr>
      </w:pPr>
      <w:r>
        <w:rPr>
          <w:rFonts w:ascii="Arial" w:cs="Arial" w:eastAsia="Arial" w:hAnsi="Arial"/>
          <w:sz w:val="20"/>
          <w:szCs w:val="20"/>
          <w:color w:val="auto"/>
        </w:rPr>
        <w:t>as</w:t>
      </w:r>
    </w:p>
    <w:p>
      <w:pPr>
        <w:jc w:val="center"/>
        <w:spacing w:after="0"/>
        <w:rPr>
          <w:sz w:val="20"/>
          <w:szCs w:val="20"/>
          <w:color w:val="auto"/>
        </w:rPr>
      </w:pPr>
      <w:r>
        <w:rPr>
          <w:rFonts w:ascii="Arial" w:cs="Arial" w:eastAsia="Arial" w:hAnsi="Arial"/>
          <w:sz w:val="20"/>
          <w:szCs w:val="20"/>
          <w:color w:val="auto"/>
        </w:rPr>
        <w:t>Joint Lead Arranger and Joint Book Manager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467995</wp:posOffset>
            </wp:positionV>
            <wp:extent cx="72720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w:t>
      </w:r>
    </w:p>
    <w:p>
      <w:pPr>
        <w:spacing w:after="0" w:line="10" w:lineRule="exact"/>
        <w:rPr>
          <w:sz w:val="20"/>
          <w:szCs w:val="20"/>
          <w:color w:val="auto"/>
        </w:rPr>
      </w:pPr>
    </w:p>
    <w:p>
      <w:pPr>
        <w:spacing w:after="0"/>
        <w:rPr>
          <w:sz w:val="20"/>
          <w:szCs w:val="20"/>
          <w:color w:val="auto"/>
        </w:rPr>
      </w:pPr>
      <w:r>
        <w:rPr>
          <w:rFonts w:ascii="Arial" w:cs="Arial" w:eastAsia="Arial" w:hAnsi="Arial"/>
          <w:sz w:val="14"/>
          <w:szCs w:val="14"/>
          <w:color w:val="auto"/>
        </w:rPr>
        <w:t>CHAR1\1346423v</w:t>
      </w:r>
      <w:r>
        <w:rPr>
          <w:rFonts w:ascii="Arial" w:cs="Arial" w:eastAsia="Arial" w:hAnsi="Arial"/>
          <w:sz w:val="14"/>
          <w:szCs w:val="14"/>
          <w:color w:val="FF0000"/>
          <w:strike w:val="1"/>
        </w:rPr>
        <w:t>1</w:t>
      </w:r>
      <w:r>
        <w:rPr>
          <w:rFonts w:ascii="Arial" w:cs="Arial" w:eastAsia="Arial" w:hAnsi="Arial"/>
          <w:sz w:val="14"/>
          <w:szCs w:val="14"/>
          <w:u w:val="single" w:color="auto"/>
          <w:color w:val="0000FF"/>
        </w:rPr>
        <w:t>12</w:t>
      </w:r>
    </w:p>
    <w:p>
      <w:pPr>
        <w:sectPr>
          <w:pgSz w:w="11900" w:h="16838" w:orient="portrait"/>
          <w:cols w:equalWidth="0" w:num="1">
            <w:col w:w="11420"/>
          </w:cols>
          <w:pgMar w:left="240" w:top="576" w:right="239" w:bottom="1440" w:gutter="0" w:footer="0" w:header="0"/>
        </w:sectPr>
      </w:pPr>
    </w:p>
    <w:bookmarkStart w:id="54" w:name="page55"/>
    <w:bookmarkEnd w:id="54"/>
    <w:p>
      <w:pPr>
        <w:jc w:val="center"/>
        <w:spacing w:after="0"/>
        <w:rPr>
          <w:sz w:val="20"/>
          <w:szCs w:val="20"/>
          <w:color w:val="auto"/>
        </w:rPr>
      </w:pPr>
      <w:r>
        <w:rPr>
          <w:rFonts w:ascii="Arial" w:cs="Arial" w:eastAsia="Arial" w:hAnsi="Arial"/>
          <w:sz w:val="20"/>
          <w:szCs w:val="20"/>
          <w:b w:val="1"/>
          <w:bCs w:val="1"/>
          <w:u w:val="single" w:color="auto"/>
          <w:color w:val="auto"/>
        </w:rPr>
        <w:t>TABLE OF CONTENTS</w:t>
      </w:r>
    </w:p>
    <w:p>
      <w:pPr>
        <w:spacing w:after="0" w:line="21"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Article and Section</w:t>
      </w:r>
    </w:p>
    <w:p>
      <w:pPr>
        <w:jc w:val="right"/>
        <w:spacing w:after="0"/>
        <w:rPr>
          <w:sz w:val="20"/>
          <w:szCs w:val="20"/>
          <w:color w:val="auto"/>
        </w:rPr>
      </w:pPr>
      <w:r>
        <w:rPr>
          <w:rFonts w:ascii="Arial" w:cs="Arial" w:eastAsia="Arial" w:hAnsi="Arial"/>
          <w:sz w:val="20"/>
          <w:szCs w:val="20"/>
          <w:u w:val="single" w:color="auto"/>
          <w:color w:val="auto"/>
        </w:rPr>
        <w:t>Page</w:t>
      </w:r>
    </w:p>
    <w:p>
      <w:pPr>
        <w:spacing w:after="0" w:line="200" w:lineRule="exact"/>
        <w:rPr>
          <w:sz w:val="20"/>
          <w:szCs w:val="20"/>
          <w:color w:val="auto"/>
        </w:rPr>
      </w:pPr>
    </w:p>
    <w:p>
      <w:pPr>
        <w:spacing w:after="0"/>
        <w:rPr>
          <w:sz w:val="20"/>
          <w:szCs w:val="20"/>
          <w:color w:val="auto"/>
        </w:rPr>
      </w:pPr>
      <w:r>
        <w:rPr>
          <w:rFonts w:ascii="Arial" w:cs="Arial" w:eastAsia="Arial" w:hAnsi="Arial"/>
          <w:sz w:val="20"/>
          <w:szCs w:val="20"/>
          <w:color w:val="auto"/>
        </w:rPr>
        <w:t>ARTICLE I DEFINITIONS AND ACCOUNTING TERMS1</w:t>
      </w:r>
    </w:p>
    <w:p>
      <w:pPr>
        <w:spacing w:after="0" w:line="108" w:lineRule="exact"/>
        <w:rPr>
          <w:sz w:val="20"/>
          <w:szCs w:val="20"/>
          <w:color w:val="auto"/>
        </w:rPr>
      </w:pPr>
    </w:p>
    <w:p>
      <w:pPr>
        <w:ind w:left="660"/>
        <w:spacing w:after="0"/>
        <w:tabs>
          <w:tab w:leader="none" w:pos="1280" w:val="left"/>
          <w:tab w:leader="none" w:pos="2700" w:val="left"/>
        </w:tabs>
        <w:rPr>
          <w:sz w:val="20"/>
          <w:szCs w:val="20"/>
          <w:color w:val="auto"/>
        </w:rPr>
      </w:pPr>
      <w:r>
        <w:rPr>
          <w:rFonts w:ascii="Arial" w:cs="Arial" w:eastAsia="Arial" w:hAnsi="Arial"/>
          <w:sz w:val="20"/>
          <w:szCs w:val="20"/>
          <w:color w:val="auto"/>
        </w:rPr>
        <w:t>1.01</w:t>
      </w:r>
      <w:r>
        <w:rPr>
          <w:sz w:val="20"/>
          <w:szCs w:val="20"/>
          <w:color w:val="auto"/>
        </w:rPr>
        <w:tab/>
      </w:r>
      <w:r>
        <w:rPr>
          <w:rFonts w:ascii="Arial" w:cs="Arial" w:eastAsia="Arial" w:hAnsi="Arial"/>
          <w:sz w:val="20"/>
          <w:szCs w:val="20"/>
          <w:color w:val="auto"/>
        </w:rPr>
        <w:t>Defined Terms.</w:t>
      </w:r>
      <w:r>
        <w:rPr>
          <w:sz w:val="20"/>
          <w:szCs w:val="20"/>
          <w:color w:val="auto"/>
        </w:rPr>
        <w:tab/>
      </w:r>
      <w:r>
        <w:rPr>
          <w:rFonts w:ascii="Arial" w:cs="Arial" w:eastAsia="Arial" w:hAnsi="Arial"/>
          <w:sz w:val="16"/>
          <w:szCs w:val="16"/>
          <w:color w:val="auto"/>
        </w:rPr>
        <w:t>1</w:t>
      </w:r>
    </w:p>
    <w:p>
      <w:pPr>
        <w:spacing w:after="0" w:line="108" w:lineRule="exact"/>
        <w:rPr>
          <w:sz w:val="20"/>
          <w:szCs w:val="20"/>
          <w:color w:val="auto"/>
        </w:rPr>
      </w:pPr>
    </w:p>
    <w:p>
      <w:pPr>
        <w:ind w:left="660"/>
        <w:spacing w:after="0"/>
        <w:tabs>
          <w:tab w:leader="none" w:pos="1280" w:val="left"/>
          <w:tab w:leader="none" w:pos="3320" w:val="left"/>
        </w:tabs>
        <w:rPr>
          <w:sz w:val="20"/>
          <w:szCs w:val="20"/>
          <w:color w:val="auto"/>
        </w:rPr>
      </w:pPr>
      <w:r>
        <w:rPr>
          <w:rFonts w:ascii="Arial" w:cs="Arial" w:eastAsia="Arial" w:hAnsi="Arial"/>
          <w:sz w:val="20"/>
          <w:szCs w:val="20"/>
          <w:color w:val="auto"/>
        </w:rPr>
        <w:t>1.02</w:t>
      </w:r>
      <w:r>
        <w:rPr>
          <w:sz w:val="20"/>
          <w:szCs w:val="20"/>
          <w:color w:val="auto"/>
        </w:rPr>
        <w:tab/>
      </w:r>
      <w:r>
        <w:rPr>
          <w:rFonts w:ascii="Arial" w:cs="Arial" w:eastAsia="Arial" w:hAnsi="Arial"/>
          <w:sz w:val="20"/>
          <w:szCs w:val="20"/>
          <w:color w:val="auto"/>
        </w:rPr>
        <w:t>Interpretive Provisions.</w:t>
      </w:r>
      <w:r>
        <w:rPr>
          <w:sz w:val="20"/>
          <w:szCs w:val="20"/>
          <w:color w:val="auto"/>
        </w:rPr>
        <w:tab/>
      </w:r>
      <w:r>
        <w:rPr>
          <w:rFonts w:ascii="Arial" w:cs="Arial" w:eastAsia="Arial" w:hAnsi="Arial"/>
          <w:sz w:val="16"/>
          <w:szCs w:val="16"/>
          <w:color w:val="FF0000"/>
          <w:strike w:val="1"/>
        </w:rPr>
        <w:t>44</w:t>
      </w:r>
      <w:r>
        <w:rPr>
          <w:rFonts w:ascii="Arial" w:cs="Arial" w:eastAsia="Arial" w:hAnsi="Arial"/>
          <w:sz w:val="16"/>
          <w:szCs w:val="16"/>
          <w:color w:val="0000FF"/>
          <w:strike w:val="1"/>
        </w:rPr>
        <w:t>46</w:t>
      </w:r>
    </w:p>
    <w:p>
      <w:pPr>
        <w:spacing w:after="0" w:line="108" w:lineRule="exact"/>
        <w:rPr>
          <w:sz w:val="20"/>
          <w:szCs w:val="20"/>
          <w:color w:val="auto"/>
        </w:rPr>
      </w:pPr>
    </w:p>
    <w:p>
      <w:pPr>
        <w:ind w:left="660"/>
        <w:spacing w:after="0"/>
        <w:tabs>
          <w:tab w:leader="none" w:pos="1280" w:val="left"/>
          <w:tab w:leader="none" w:pos="4200" w:val="left"/>
        </w:tabs>
        <w:rPr>
          <w:sz w:val="20"/>
          <w:szCs w:val="20"/>
          <w:color w:val="auto"/>
        </w:rPr>
      </w:pPr>
      <w:r>
        <w:rPr>
          <w:rFonts w:ascii="Arial" w:cs="Arial" w:eastAsia="Arial" w:hAnsi="Arial"/>
          <w:sz w:val="20"/>
          <w:szCs w:val="20"/>
          <w:color w:val="auto"/>
        </w:rPr>
        <w:t>1.03</w:t>
      </w:r>
      <w:r>
        <w:rPr>
          <w:sz w:val="20"/>
          <w:szCs w:val="20"/>
          <w:color w:val="auto"/>
        </w:rPr>
        <w:tab/>
      </w:r>
      <w:r>
        <w:rPr>
          <w:rFonts w:ascii="Arial" w:cs="Arial" w:eastAsia="Arial" w:hAnsi="Arial"/>
          <w:sz w:val="20"/>
          <w:szCs w:val="20"/>
          <w:color w:val="auto"/>
        </w:rPr>
        <w:t>Accounting Terms and Provisions.</w:t>
      </w:r>
      <w:r>
        <w:rPr>
          <w:sz w:val="20"/>
          <w:szCs w:val="20"/>
          <w:color w:val="auto"/>
        </w:rPr>
        <w:tab/>
      </w:r>
      <w:r>
        <w:rPr>
          <w:rFonts w:ascii="Arial" w:cs="Arial" w:eastAsia="Arial" w:hAnsi="Arial"/>
          <w:sz w:val="16"/>
          <w:szCs w:val="16"/>
          <w:color w:val="FF0000"/>
          <w:strike w:val="1"/>
        </w:rPr>
        <w:t>45</w:t>
      </w:r>
      <w:r>
        <w:rPr>
          <w:rFonts w:ascii="Arial" w:cs="Arial" w:eastAsia="Arial" w:hAnsi="Arial"/>
          <w:sz w:val="16"/>
          <w:szCs w:val="16"/>
          <w:color w:val="0000FF"/>
          <w:strike w:val="1"/>
        </w:rPr>
        <w:t>47</w:t>
      </w:r>
    </w:p>
    <w:p>
      <w:pPr>
        <w:spacing w:after="0" w:line="108" w:lineRule="exact"/>
        <w:rPr>
          <w:sz w:val="20"/>
          <w:szCs w:val="20"/>
          <w:color w:val="auto"/>
        </w:rPr>
      </w:pPr>
    </w:p>
    <w:p>
      <w:pPr>
        <w:ind w:left="660"/>
        <w:spacing w:after="0"/>
        <w:tabs>
          <w:tab w:leader="none" w:pos="1280" w:val="left"/>
          <w:tab w:leader="none" w:pos="2300" w:val="left"/>
        </w:tabs>
        <w:rPr>
          <w:sz w:val="20"/>
          <w:szCs w:val="20"/>
          <w:color w:val="auto"/>
        </w:rPr>
      </w:pPr>
      <w:r>
        <w:rPr>
          <w:rFonts w:ascii="Arial" w:cs="Arial" w:eastAsia="Arial" w:hAnsi="Arial"/>
          <w:sz w:val="20"/>
          <w:szCs w:val="20"/>
          <w:color w:val="auto"/>
        </w:rPr>
        <w:t>1.04</w:t>
      </w:r>
      <w:r>
        <w:rPr>
          <w:sz w:val="20"/>
          <w:szCs w:val="20"/>
          <w:color w:val="auto"/>
        </w:rPr>
        <w:tab/>
      </w:r>
      <w:r>
        <w:rPr>
          <w:rFonts w:ascii="Arial" w:cs="Arial" w:eastAsia="Arial" w:hAnsi="Arial"/>
          <w:sz w:val="20"/>
          <w:szCs w:val="20"/>
          <w:color w:val="auto"/>
        </w:rPr>
        <w:t>Rounding.</w:t>
      </w:r>
      <w:r>
        <w:rPr>
          <w:sz w:val="20"/>
          <w:szCs w:val="20"/>
          <w:color w:val="auto"/>
        </w:rPr>
        <w:tab/>
      </w:r>
      <w:r>
        <w:rPr>
          <w:rFonts w:ascii="Arial" w:cs="Arial" w:eastAsia="Arial" w:hAnsi="Arial"/>
          <w:sz w:val="16"/>
          <w:szCs w:val="16"/>
          <w:color w:val="FF0000"/>
          <w:strike w:val="1"/>
        </w:rPr>
        <w:t>46</w:t>
      </w:r>
      <w:r>
        <w:rPr>
          <w:rFonts w:ascii="Arial" w:cs="Arial" w:eastAsia="Arial" w:hAnsi="Arial"/>
          <w:sz w:val="16"/>
          <w:szCs w:val="16"/>
          <w:color w:val="0000FF"/>
          <w:strike w:val="1"/>
        </w:rPr>
        <w:t>48</w:t>
      </w:r>
    </w:p>
    <w:p>
      <w:pPr>
        <w:spacing w:after="0" w:line="108" w:lineRule="exact"/>
        <w:rPr>
          <w:sz w:val="20"/>
          <w:szCs w:val="20"/>
          <w:color w:val="auto"/>
        </w:rPr>
      </w:pPr>
    </w:p>
    <w:p>
      <w:pPr>
        <w:ind w:left="660"/>
        <w:spacing w:after="0"/>
        <w:tabs>
          <w:tab w:leader="none" w:pos="1280" w:val="left"/>
          <w:tab w:leader="none" w:pos="4600" w:val="left"/>
        </w:tabs>
        <w:rPr>
          <w:sz w:val="20"/>
          <w:szCs w:val="20"/>
          <w:color w:val="auto"/>
        </w:rPr>
      </w:pPr>
      <w:r>
        <w:rPr>
          <w:rFonts w:ascii="Arial" w:cs="Arial" w:eastAsia="Arial" w:hAnsi="Arial"/>
          <w:sz w:val="20"/>
          <w:szCs w:val="20"/>
          <w:color w:val="auto"/>
        </w:rPr>
        <w:t>1.05</w:t>
      </w:r>
      <w:r>
        <w:rPr>
          <w:sz w:val="20"/>
          <w:szCs w:val="20"/>
          <w:color w:val="auto"/>
        </w:rPr>
        <w:tab/>
      </w:r>
      <w:r>
        <w:rPr>
          <w:rFonts w:ascii="Arial" w:cs="Arial" w:eastAsia="Arial" w:hAnsi="Arial"/>
          <w:sz w:val="20"/>
          <w:szCs w:val="20"/>
          <w:color w:val="auto"/>
        </w:rPr>
        <w:t>Exchange Rates; Currency Equivalents.</w:t>
      </w:r>
      <w:r>
        <w:rPr>
          <w:sz w:val="20"/>
          <w:szCs w:val="20"/>
          <w:color w:val="auto"/>
        </w:rPr>
        <w:tab/>
      </w:r>
      <w:r>
        <w:rPr>
          <w:rFonts w:ascii="Arial" w:cs="Arial" w:eastAsia="Arial" w:hAnsi="Arial"/>
          <w:sz w:val="16"/>
          <w:szCs w:val="16"/>
          <w:color w:val="FF0000"/>
          <w:strike w:val="1"/>
        </w:rPr>
        <w:t>46</w:t>
      </w:r>
      <w:r>
        <w:rPr>
          <w:rFonts w:ascii="Arial" w:cs="Arial" w:eastAsia="Arial" w:hAnsi="Arial"/>
          <w:sz w:val="16"/>
          <w:szCs w:val="16"/>
          <w:color w:val="0000FF"/>
          <w:strike w:val="1"/>
        </w:rPr>
        <w:t>48</w:t>
      </w:r>
    </w:p>
    <w:p>
      <w:pPr>
        <w:spacing w:after="0" w:line="108" w:lineRule="exact"/>
        <w:rPr>
          <w:sz w:val="20"/>
          <w:szCs w:val="20"/>
          <w:color w:val="auto"/>
        </w:rPr>
      </w:pPr>
    </w:p>
    <w:p>
      <w:pPr>
        <w:ind w:left="660"/>
        <w:spacing w:after="0"/>
        <w:tabs>
          <w:tab w:leader="none" w:pos="1280" w:val="left"/>
          <w:tab w:leader="none" w:pos="4200" w:val="left"/>
        </w:tabs>
        <w:rPr>
          <w:sz w:val="20"/>
          <w:szCs w:val="20"/>
          <w:color w:val="auto"/>
        </w:rPr>
      </w:pPr>
      <w:r>
        <w:rPr>
          <w:rFonts w:ascii="Arial" w:cs="Arial" w:eastAsia="Arial" w:hAnsi="Arial"/>
          <w:sz w:val="20"/>
          <w:szCs w:val="20"/>
          <w:color w:val="auto"/>
        </w:rPr>
        <w:t>1.06</w:t>
      </w:r>
      <w:r>
        <w:rPr>
          <w:sz w:val="20"/>
          <w:szCs w:val="20"/>
          <w:color w:val="auto"/>
        </w:rPr>
        <w:tab/>
      </w:r>
      <w:r>
        <w:rPr>
          <w:rFonts w:ascii="Arial" w:cs="Arial" w:eastAsia="Arial" w:hAnsi="Arial"/>
          <w:sz w:val="20"/>
          <w:szCs w:val="20"/>
          <w:color w:val="auto"/>
        </w:rPr>
        <w:t>Additional Alternative Currencies.</w:t>
      </w:r>
      <w:r>
        <w:rPr>
          <w:sz w:val="20"/>
          <w:szCs w:val="20"/>
          <w:color w:val="auto"/>
        </w:rPr>
        <w:tab/>
      </w:r>
      <w:r>
        <w:rPr>
          <w:rFonts w:ascii="Arial" w:cs="Arial" w:eastAsia="Arial" w:hAnsi="Arial"/>
          <w:sz w:val="16"/>
          <w:szCs w:val="16"/>
          <w:color w:val="FF0000"/>
          <w:strike w:val="1"/>
        </w:rPr>
        <w:t>47</w:t>
      </w:r>
      <w:r>
        <w:rPr>
          <w:rFonts w:ascii="Arial" w:cs="Arial" w:eastAsia="Arial" w:hAnsi="Arial"/>
          <w:sz w:val="16"/>
          <w:szCs w:val="16"/>
          <w:color w:val="0000FF"/>
          <w:strike w:val="1"/>
        </w:rPr>
        <w:t>49</w:t>
      </w:r>
    </w:p>
    <w:p>
      <w:pPr>
        <w:spacing w:after="0" w:line="108" w:lineRule="exact"/>
        <w:rPr>
          <w:sz w:val="20"/>
          <w:szCs w:val="20"/>
          <w:color w:val="auto"/>
        </w:rPr>
      </w:pPr>
    </w:p>
    <w:p>
      <w:pPr>
        <w:ind w:left="660"/>
        <w:spacing w:after="0"/>
        <w:tabs>
          <w:tab w:leader="none" w:pos="1280" w:val="left"/>
          <w:tab w:leader="none" w:pos="3100" w:val="left"/>
        </w:tabs>
        <w:rPr>
          <w:sz w:val="20"/>
          <w:szCs w:val="20"/>
          <w:color w:val="auto"/>
        </w:rPr>
      </w:pPr>
      <w:r>
        <w:rPr>
          <w:rFonts w:ascii="Arial" w:cs="Arial" w:eastAsia="Arial" w:hAnsi="Arial"/>
          <w:sz w:val="20"/>
          <w:szCs w:val="20"/>
          <w:color w:val="auto"/>
        </w:rPr>
        <w:t>1.07</w:t>
      </w:r>
      <w:r>
        <w:rPr>
          <w:sz w:val="20"/>
          <w:szCs w:val="20"/>
          <w:color w:val="auto"/>
        </w:rPr>
        <w:tab/>
      </w:r>
      <w:r>
        <w:rPr>
          <w:rFonts w:ascii="Arial" w:cs="Arial" w:eastAsia="Arial" w:hAnsi="Arial"/>
          <w:sz w:val="20"/>
          <w:szCs w:val="20"/>
          <w:color w:val="auto"/>
        </w:rPr>
        <w:t>Change of Currency.</w:t>
      </w:r>
      <w:r>
        <w:rPr>
          <w:sz w:val="20"/>
          <w:szCs w:val="20"/>
          <w:color w:val="auto"/>
        </w:rPr>
        <w:tab/>
      </w:r>
      <w:r>
        <w:rPr>
          <w:rFonts w:ascii="Arial" w:cs="Arial" w:eastAsia="Arial" w:hAnsi="Arial"/>
          <w:sz w:val="16"/>
          <w:szCs w:val="16"/>
          <w:color w:val="FF0000"/>
          <w:strike w:val="1"/>
        </w:rPr>
        <w:t>47</w:t>
      </w:r>
      <w:r>
        <w:rPr>
          <w:rFonts w:ascii="Arial" w:cs="Arial" w:eastAsia="Arial" w:hAnsi="Arial"/>
          <w:sz w:val="16"/>
          <w:szCs w:val="16"/>
          <w:color w:val="0000FF"/>
          <w:strike w:val="1"/>
        </w:rPr>
        <w:t>50</w:t>
      </w:r>
    </w:p>
    <w:p>
      <w:pPr>
        <w:spacing w:after="0" w:line="108" w:lineRule="exact"/>
        <w:rPr>
          <w:sz w:val="20"/>
          <w:szCs w:val="20"/>
          <w:color w:val="auto"/>
        </w:rPr>
      </w:pPr>
    </w:p>
    <w:p>
      <w:pPr>
        <w:ind w:left="660"/>
        <w:spacing w:after="0"/>
        <w:tabs>
          <w:tab w:leader="none" w:pos="1280" w:val="left"/>
          <w:tab w:leader="none" w:pos="2580" w:val="left"/>
        </w:tabs>
        <w:rPr>
          <w:sz w:val="20"/>
          <w:szCs w:val="20"/>
          <w:color w:val="auto"/>
        </w:rPr>
      </w:pPr>
      <w:r>
        <w:rPr>
          <w:rFonts w:ascii="Arial" w:cs="Arial" w:eastAsia="Arial" w:hAnsi="Arial"/>
          <w:sz w:val="20"/>
          <w:szCs w:val="20"/>
          <w:color w:val="auto"/>
        </w:rPr>
        <w:t>1.08</w:t>
      </w:r>
      <w:r>
        <w:rPr>
          <w:sz w:val="20"/>
          <w:szCs w:val="20"/>
          <w:color w:val="auto"/>
        </w:rPr>
        <w:tab/>
      </w:r>
      <w:r>
        <w:rPr>
          <w:rFonts w:ascii="Arial" w:cs="Arial" w:eastAsia="Arial" w:hAnsi="Arial"/>
          <w:sz w:val="20"/>
          <w:szCs w:val="20"/>
          <w:color w:val="auto"/>
        </w:rPr>
        <w:t>Times of Day.</w:t>
      </w:r>
      <w:r>
        <w:rPr>
          <w:sz w:val="20"/>
          <w:szCs w:val="20"/>
          <w:color w:val="auto"/>
        </w:rPr>
        <w:tab/>
      </w:r>
      <w:r>
        <w:rPr>
          <w:rFonts w:ascii="Arial" w:cs="Arial" w:eastAsia="Arial" w:hAnsi="Arial"/>
          <w:sz w:val="16"/>
          <w:szCs w:val="16"/>
          <w:color w:val="FF0000"/>
          <w:strike w:val="1"/>
        </w:rPr>
        <w:t>48</w:t>
      </w:r>
      <w:r>
        <w:rPr>
          <w:rFonts w:ascii="Arial" w:cs="Arial" w:eastAsia="Arial" w:hAnsi="Arial"/>
          <w:sz w:val="16"/>
          <w:szCs w:val="16"/>
          <w:color w:val="0000FF"/>
          <w:strike w:val="1"/>
        </w:rPr>
        <w:t>50</w:t>
      </w:r>
    </w:p>
    <w:p>
      <w:pPr>
        <w:spacing w:after="0" w:line="108" w:lineRule="exact"/>
        <w:rPr>
          <w:sz w:val="20"/>
          <w:szCs w:val="20"/>
          <w:color w:val="auto"/>
        </w:rPr>
      </w:pPr>
    </w:p>
    <w:p>
      <w:pPr>
        <w:ind w:left="660"/>
        <w:spacing w:after="0"/>
        <w:tabs>
          <w:tab w:leader="none" w:pos="1280" w:val="left"/>
          <w:tab w:leader="none" w:pos="3520" w:val="left"/>
        </w:tabs>
        <w:rPr>
          <w:sz w:val="20"/>
          <w:szCs w:val="20"/>
          <w:color w:val="auto"/>
        </w:rPr>
      </w:pPr>
      <w:r>
        <w:rPr>
          <w:rFonts w:ascii="Arial" w:cs="Arial" w:eastAsia="Arial" w:hAnsi="Arial"/>
          <w:sz w:val="20"/>
          <w:szCs w:val="20"/>
          <w:color w:val="auto"/>
        </w:rPr>
        <w:t>1.09</w:t>
      </w:r>
      <w:r>
        <w:rPr>
          <w:sz w:val="20"/>
          <w:szCs w:val="20"/>
          <w:color w:val="auto"/>
        </w:rPr>
        <w:tab/>
      </w:r>
      <w:r>
        <w:rPr>
          <w:rFonts w:ascii="Arial" w:cs="Arial" w:eastAsia="Arial" w:hAnsi="Arial"/>
          <w:sz w:val="20"/>
          <w:szCs w:val="20"/>
          <w:color w:val="auto"/>
        </w:rPr>
        <w:t>Letter of Credit Amounts.</w:t>
      </w:r>
      <w:r>
        <w:rPr>
          <w:sz w:val="20"/>
          <w:szCs w:val="20"/>
          <w:color w:val="auto"/>
        </w:rPr>
        <w:tab/>
      </w:r>
      <w:r>
        <w:rPr>
          <w:rFonts w:ascii="Arial" w:cs="Arial" w:eastAsia="Arial" w:hAnsi="Arial"/>
          <w:sz w:val="16"/>
          <w:szCs w:val="16"/>
          <w:color w:val="FF0000"/>
          <w:strike w:val="1"/>
        </w:rPr>
        <w:t>48</w:t>
      </w:r>
      <w:r>
        <w:rPr>
          <w:rFonts w:ascii="Arial" w:cs="Arial" w:eastAsia="Arial" w:hAnsi="Arial"/>
          <w:sz w:val="16"/>
          <w:szCs w:val="16"/>
          <w:color w:val="0000FF"/>
          <w:strike w:val="1"/>
        </w:rPr>
        <w:t>50</w:t>
      </w:r>
    </w:p>
    <w:p>
      <w:pPr>
        <w:spacing w:after="0" w:line="108" w:lineRule="exact"/>
        <w:rPr>
          <w:sz w:val="20"/>
          <w:szCs w:val="20"/>
          <w:color w:val="auto"/>
        </w:rPr>
      </w:pPr>
    </w:p>
    <w:p>
      <w:pPr>
        <w:ind w:left="660"/>
        <w:spacing w:after="0"/>
        <w:tabs>
          <w:tab w:leader="none" w:pos="1280" w:val="left"/>
          <w:tab w:leader="none" w:pos="5580" w:val="left"/>
        </w:tabs>
        <w:rPr>
          <w:sz w:val="20"/>
          <w:szCs w:val="20"/>
          <w:color w:val="auto"/>
        </w:rPr>
      </w:pPr>
      <w:r>
        <w:rPr>
          <w:rFonts w:ascii="Arial" w:cs="Arial" w:eastAsia="Arial" w:hAnsi="Arial"/>
          <w:sz w:val="20"/>
          <w:szCs w:val="20"/>
          <w:color w:val="auto"/>
        </w:rPr>
        <w:t>1.10</w:t>
      </w:r>
      <w:r>
        <w:rPr>
          <w:sz w:val="20"/>
          <w:szCs w:val="20"/>
          <w:color w:val="auto"/>
        </w:rPr>
        <w:tab/>
      </w:r>
      <w:r>
        <w:rPr>
          <w:rFonts w:ascii="Arial" w:cs="Arial" w:eastAsia="Arial" w:hAnsi="Arial"/>
          <w:sz w:val="20"/>
          <w:szCs w:val="20"/>
          <w:color w:val="auto"/>
        </w:rPr>
        <w:t>Limitation on Obligations of Foreign Credit Parties.</w:t>
      </w:r>
      <w:r>
        <w:rPr>
          <w:sz w:val="20"/>
          <w:szCs w:val="20"/>
          <w:color w:val="auto"/>
        </w:rPr>
        <w:tab/>
      </w:r>
      <w:r>
        <w:rPr>
          <w:rFonts w:ascii="Arial" w:cs="Arial" w:eastAsia="Arial" w:hAnsi="Arial"/>
          <w:sz w:val="16"/>
          <w:szCs w:val="16"/>
          <w:color w:val="FF0000"/>
          <w:strike w:val="1"/>
        </w:rPr>
        <w:t>48</w:t>
      </w:r>
      <w:r>
        <w:rPr>
          <w:rFonts w:ascii="Arial" w:cs="Arial" w:eastAsia="Arial" w:hAnsi="Arial"/>
          <w:sz w:val="16"/>
          <w:szCs w:val="16"/>
          <w:color w:val="0000FF"/>
          <w:strike w:val="1"/>
        </w:rPr>
        <w:t>51</w:t>
      </w:r>
    </w:p>
    <w:p>
      <w:pPr>
        <w:spacing w:after="0" w:line="108" w:lineRule="exact"/>
        <w:rPr>
          <w:sz w:val="20"/>
          <w:szCs w:val="20"/>
          <w:color w:val="auto"/>
        </w:rPr>
      </w:pPr>
    </w:p>
    <w:p>
      <w:pPr>
        <w:ind w:left="660"/>
        <w:spacing w:after="0"/>
        <w:tabs>
          <w:tab w:leader="none" w:pos="1280" w:val="left"/>
          <w:tab w:leader="none" w:pos="3860" w:val="left"/>
        </w:tabs>
        <w:rPr>
          <w:sz w:val="20"/>
          <w:szCs w:val="20"/>
          <w:color w:val="auto"/>
        </w:rPr>
      </w:pPr>
      <w:r>
        <w:rPr>
          <w:rFonts w:ascii="Arial" w:cs="Arial" w:eastAsia="Arial" w:hAnsi="Arial"/>
          <w:sz w:val="20"/>
          <w:szCs w:val="20"/>
          <w:color w:val="auto"/>
        </w:rPr>
        <w:t>1.11</w:t>
      </w:r>
      <w:r>
        <w:rPr>
          <w:sz w:val="20"/>
          <w:szCs w:val="20"/>
          <w:color w:val="auto"/>
        </w:rPr>
        <w:tab/>
      </w:r>
      <w:r>
        <w:rPr>
          <w:rFonts w:ascii="Arial" w:cs="Arial" w:eastAsia="Arial" w:hAnsi="Arial"/>
          <w:sz w:val="20"/>
          <w:szCs w:val="20"/>
          <w:color w:val="auto"/>
        </w:rPr>
        <w:t>Amendment and Restatement.</w:t>
      </w:r>
      <w:r>
        <w:rPr>
          <w:sz w:val="20"/>
          <w:szCs w:val="20"/>
          <w:color w:val="auto"/>
        </w:rPr>
        <w:tab/>
      </w:r>
      <w:r>
        <w:rPr>
          <w:rFonts w:ascii="Arial" w:cs="Arial" w:eastAsia="Arial" w:hAnsi="Arial"/>
          <w:sz w:val="16"/>
          <w:szCs w:val="16"/>
          <w:color w:val="FF0000"/>
          <w:strike w:val="1"/>
        </w:rPr>
        <w:t>48</w:t>
      </w:r>
      <w:r>
        <w:rPr>
          <w:rFonts w:ascii="Arial" w:cs="Arial" w:eastAsia="Arial" w:hAnsi="Arial"/>
          <w:sz w:val="16"/>
          <w:szCs w:val="16"/>
          <w:color w:val="0000FF"/>
          <w:strike w:val="1"/>
        </w:rPr>
        <w:t>51</w:t>
      </w:r>
    </w:p>
    <w:p>
      <w:pPr>
        <w:spacing w:after="0" w:line="108" w:lineRule="exact"/>
        <w:rPr>
          <w:sz w:val="20"/>
          <w:szCs w:val="20"/>
          <w:color w:val="auto"/>
        </w:rPr>
      </w:pPr>
    </w:p>
    <w:p>
      <w:pPr>
        <w:spacing w:after="0"/>
        <w:rPr>
          <w:sz w:val="20"/>
          <w:szCs w:val="20"/>
          <w:color w:val="auto"/>
        </w:rPr>
      </w:pPr>
      <w:r>
        <w:rPr>
          <w:rFonts w:ascii="Arial" w:cs="Arial" w:eastAsia="Arial" w:hAnsi="Arial"/>
          <w:sz w:val="20"/>
          <w:szCs w:val="20"/>
          <w:color w:val="auto"/>
        </w:rPr>
        <w:t>ARTICLE II COMMITMENTS AND CREDIT EXTENSIONS</w:t>
      </w:r>
      <w:r>
        <w:rPr>
          <w:rFonts w:ascii="Arial" w:cs="Arial" w:eastAsia="Arial" w:hAnsi="Arial"/>
          <w:sz w:val="20"/>
          <w:szCs w:val="20"/>
          <w:color w:val="FF0000"/>
          <w:strike w:val="1"/>
        </w:rPr>
        <w:t>51</w:t>
      </w:r>
      <w:r>
        <w:rPr>
          <w:rFonts w:ascii="Arial" w:cs="Arial" w:eastAsia="Arial" w:hAnsi="Arial"/>
          <w:sz w:val="20"/>
          <w:szCs w:val="20"/>
          <w:color w:val="0000FF"/>
        </w:rPr>
        <w:t>53</w:t>
      </w:r>
    </w:p>
    <w:p>
      <w:pPr>
        <w:spacing w:after="0" w:line="108" w:lineRule="exact"/>
        <w:rPr>
          <w:sz w:val="20"/>
          <w:szCs w:val="20"/>
          <w:color w:val="auto"/>
        </w:rPr>
      </w:pPr>
    </w:p>
    <w:p>
      <w:pPr>
        <w:ind w:left="660"/>
        <w:spacing w:after="0"/>
        <w:tabs>
          <w:tab w:leader="none" w:pos="1280" w:val="left"/>
          <w:tab w:leader="none" w:pos="2640" w:val="left"/>
        </w:tabs>
        <w:rPr>
          <w:sz w:val="20"/>
          <w:szCs w:val="20"/>
          <w:color w:val="auto"/>
        </w:rPr>
      </w:pPr>
      <w:r>
        <w:rPr>
          <w:rFonts w:ascii="Arial" w:cs="Arial" w:eastAsia="Arial" w:hAnsi="Arial"/>
          <w:sz w:val="20"/>
          <w:szCs w:val="20"/>
          <w:color w:val="auto"/>
        </w:rPr>
        <w:t>2.01</w:t>
      </w:r>
      <w:r>
        <w:rPr>
          <w:sz w:val="20"/>
          <w:szCs w:val="20"/>
          <w:color w:val="auto"/>
        </w:rPr>
        <w:tab/>
      </w:r>
      <w:r>
        <w:rPr>
          <w:rFonts w:ascii="Arial" w:cs="Arial" w:eastAsia="Arial" w:hAnsi="Arial"/>
          <w:sz w:val="20"/>
          <w:szCs w:val="20"/>
          <w:color w:val="auto"/>
        </w:rPr>
        <w:t>Commitments.</w:t>
      </w:r>
      <w:r>
        <w:rPr>
          <w:sz w:val="20"/>
          <w:szCs w:val="20"/>
          <w:color w:val="auto"/>
        </w:rPr>
        <w:tab/>
      </w:r>
      <w:r>
        <w:rPr>
          <w:rFonts w:ascii="Arial" w:cs="Arial" w:eastAsia="Arial" w:hAnsi="Arial"/>
          <w:sz w:val="16"/>
          <w:szCs w:val="16"/>
          <w:color w:val="FF0000"/>
          <w:strike w:val="1"/>
        </w:rPr>
        <w:t>51</w:t>
      </w:r>
      <w:r>
        <w:rPr>
          <w:rFonts w:ascii="Arial" w:cs="Arial" w:eastAsia="Arial" w:hAnsi="Arial"/>
          <w:sz w:val="16"/>
          <w:szCs w:val="16"/>
          <w:color w:val="0000FF"/>
          <w:strike w:val="1"/>
        </w:rPr>
        <w:t>53</w:t>
      </w:r>
    </w:p>
    <w:p>
      <w:pPr>
        <w:spacing w:after="0" w:line="108" w:lineRule="exact"/>
        <w:rPr>
          <w:sz w:val="20"/>
          <w:szCs w:val="20"/>
          <w:color w:val="auto"/>
        </w:rPr>
      </w:pPr>
    </w:p>
    <w:p>
      <w:pPr>
        <w:ind w:left="660"/>
        <w:spacing w:after="0"/>
        <w:tabs>
          <w:tab w:leader="none" w:pos="1280" w:val="left"/>
          <w:tab w:leader="none" w:pos="5040" w:val="left"/>
        </w:tabs>
        <w:rPr>
          <w:sz w:val="20"/>
          <w:szCs w:val="20"/>
          <w:color w:val="auto"/>
        </w:rPr>
      </w:pPr>
      <w:r>
        <w:rPr>
          <w:rFonts w:ascii="Arial" w:cs="Arial" w:eastAsia="Arial" w:hAnsi="Arial"/>
          <w:sz w:val="20"/>
          <w:szCs w:val="20"/>
          <w:color w:val="auto"/>
        </w:rPr>
        <w:t>2.02</w:t>
      </w:r>
      <w:r>
        <w:rPr>
          <w:sz w:val="20"/>
          <w:szCs w:val="20"/>
          <w:color w:val="auto"/>
        </w:rPr>
        <w:tab/>
      </w:r>
      <w:r>
        <w:rPr>
          <w:rFonts w:ascii="Arial" w:cs="Arial" w:eastAsia="Arial" w:hAnsi="Arial"/>
          <w:sz w:val="20"/>
          <w:szCs w:val="20"/>
          <w:color w:val="auto"/>
        </w:rPr>
        <w:t>Borrowings, Conversions and Continuations.</w:t>
      </w:r>
      <w:r>
        <w:rPr>
          <w:sz w:val="20"/>
          <w:szCs w:val="20"/>
          <w:color w:val="auto"/>
        </w:rPr>
        <w:tab/>
      </w:r>
      <w:r>
        <w:rPr>
          <w:rFonts w:ascii="Arial" w:cs="Arial" w:eastAsia="Arial" w:hAnsi="Arial"/>
          <w:sz w:val="16"/>
          <w:szCs w:val="16"/>
          <w:color w:val="FF0000"/>
          <w:strike w:val="1"/>
        </w:rPr>
        <w:t>56</w:t>
      </w:r>
      <w:r>
        <w:rPr>
          <w:rFonts w:ascii="Arial" w:cs="Arial" w:eastAsia="Arial" w:hAnsi="Arial"/>
          <w:sz w:val="16"/>
          <w:szCs w:val="16"/>
          <w:color w:val="0000FF"/>
          <w:strike w:val="1"/>
        </w:rPr>
        <w:t>58</w:t>
      </w:r>
    </w:p>
    <w:p>
      <w:pPr>
        <w:spacing w:after="0" w:line="108" w:lineRule="exact"/>
        <w:rPr>
          <w:sz w:val="20"/>
          <w:szCs w:val="20"/>
          <w:color w:val="auto"/>
        </w:rPr>
      </w:pPr>
    </w:p>
    <w:p>
      <w:pPr>
        <w:ind w:left="660"/>
        <w:spacing w:after="0"/>
        <w:tabs>
          <w:tab w:leader="none" w:pos="1280" w:val="left"/>
          <w:tab w:leader="none" w:pos="5820" w:val="left"/>
        </w:tabs>
        <w:rPr>
          <w:sz w:val="20"/>
          <w:szCs w:val="20"/>
          <w:color w:val="auto"/>
        </w:rPr>
      </w:pPr>
      <w:r>
        <w:rPr>
          <w:rFonts w:ascii="Arial" w:cs="Arial" w:eastAsia="Arial" w:hAnsi="Arial"/>
          <w:sz w:val="20"/>
          <w:szCs w:val="20"/>
          <w:color w:val="auto"/>
        </w:rPr>
        <w:t>2.03</w:t>
      </w:r>
      <w:r>
        <w:rPr>
          <w:sz w:val="20"/>
          <w:szCs w:val="20"/>
          <w:color w:val="auto"/>
        </w:rPr>
        <w:tab/>
      </w:r>
      <w:r>
        <w:rPr>
          <w:rFonts w:ascii="Arial" w:cs="Arial" w:eastAsia="Arial" w:hAnsi="Arial"/>
          <w:sz w:val="20"/>
          <w:szCs w:val="20"/>
          <w:color w:val="auto"/>
        </w:rPr>
        <w:t>Additional Provisions with respect to Letters of Credit.</w:t>
      </w:r>
      <w:r>
        <w:rPr>
          <w:sz w:val="20"/>
          <w:szCs w:val="20"/>
          <w:color w:val="auto"/>
        </w:rPr>
        <w:tab/>
      </w:r>
      <w:r>
        <w:rPr>
          <w:rFonts w:ascii="Arial" w:cs="Arial" w:eastAsia="Arial" w:hAnsi="Arial"/>
          <w:sz w:val="16"/>
          <w:szCs w:val="16"/>
          <w:color w:val="FF0000"/>
          <w:strike w:val="1"/>
        </w:rPr>
        <w:t>59</w:t>
      </w:r>
      <w:r>
        <w:rPr>
          <w:rFonts w:ascii="Arial" w:cs="Arial" w:eastAsia="Arial" w:hAnsi="Arial"/>
          <w:sz w:val="16"/>
          <w:szCs w:val="16"/>
          <w:color w:val="0000FF"/>
          <w:strike w:val="1"/>
        </w:rPr>
        <w:t>61</w:t>
      </w:r>
    </w:p>
    <w:p>
      <w:pPr>
        <w:spacing w:after="0" w:line="108" w:lineRule="exact"/>
        <w:rPr>
          <w:sz w:val="20"/>
          <w:szCs w:val="20"/>
          <w:color w:val="auto"/>
        </w:rPr>
      </w:pPr>
    </w:p>
    <w:p>
      <w:pPr>
        <w:ind w:left="660"/>
        <w:spacing w:after="0"/>
        <w:tabs>
          <w:tab w:leader="none" w:pos="1280" w:val="left"/>
          <w:tab w:leader="none" w:pos="5840" w:val="left"/>
        </w:tabs>
        <w:rPr>
          <w:sz w:val="20"/>
          <w:szCs w:val="20"/>
          <w:color w:val="auto"/>
        </w:rPr>
      </w:pPr>
      <w:r>
        <w:rPr>
          <w:rFonts w:ascii="Arial" w:cs="Arial" w:eastAsia="Arial" w:hAnsi="Arial"/>
          <w:sz w:val="20"/>
          <w:szCs w:val="20"/>
          <w:color w:val="auto"/>
        </w:rPr>
        <w:t>2.04</w:t>
      </w:r>
      <w:r>
        <w:rPr>
          <w:sz w:val="20"/>
          <w:szCs w:val="20"/>
          <w:color w:val="auto"/>
        </w:rPr>
        <w:tab/>
      </w:r>
      <w:r>
        <w:rPr>
          <w:rFonts w:ascii="Arial" w:cs="Arial" w:eastAsia="Arial" w:hAnsi="Arial"/>
          <w:sz w:val="20"/>
          <w:szCs w:val="20"/>
          <w:color w:val="auto"/>
        </w:rPr>
        <w:t>Additional Provisions with respect to Swingline Loans.</w:t>
      </w:r>
      <w:r>
        <w:rPr>
          <w:sz w:val="20"/>
          <w:szCs w:val="20"/>
          <w:color w:val="auto"/>
        </w:rPr>
        <w:tab/>
      </w:r>
      <w:r>
        <w:rPr>
          <w:rFonts w:ascii="Arial" w:cs="Arial" w:eastAsia="Arial" w:hAnsi="Arial"/>
          <w:sz w:val="16"/>
          <w:szCs w:val="16"/>
          <w:color w:val="FF0000"/>
          <w:strike w:val="1"/>
        </w:rPr>
        <w:t>66</w:t>
      </w:r>
      <w:r>
        <w:rPr>
          <w:rFonts w:ascii="Arial" w:cs="Arial" w:eastAsia="Arial" w:hAnsi="Arial"/>
          <w:sz w:val="16"/>
          <w:szCs w:val="16"/>
          <w:color w:val="0000FF"/>
          <w:strike w:val="1"/>
        </w:rPr>
        <w:t>69</w:t>
      </w:r>
    </w:p>
    <w:p>
      <w:pPr>
        <w:spacing w:after="0" w:line="108" w:lineRule="exact"/>
        <w:rPr>
          <w:sz w:val="20"/>
          <w:szCs w:val="20"/>
          <w:color w:val="auto"/>
        </w:rPr>
      </w:pPr>
    </w:p>
    <w:p>
      <w:pPr>
        <w:ind w:left="660"/>
        <w:spacing w:after="0"/>
        <w:tabs>
          <w:tab w:leader="none" w:pos="1280" w:val="left"/>
          <w:tab w:leader="none" w:pos="3160" w:val="left"/>
        </w:tabs>
        <w:rPr>
          <w:sz w:val="20"/>
          <w:szCs w:val="20"/>
          <w:color w:val="auto"/>
        </w:rPr>
      </w:pPr>
      <w:r>
        <w:rPr>
          <w:rFonts w:ascii="Arial" w:cs="Arial" w:eastAsia="Arial" w:hAnsi="Arial"/>
          <w:sz w:val="20"/>
          <w:szCs w:val="20"/>
          <w:color w:val="auto"/>
        </w:rPr>
        <w:t>2.05</w:t>
      </w:r>
      <w:r>
        <w:rPr>
          <w:sz w:val="20"/>
          <w:szCs w:val="20"/>
          <w:color w:val="auto"/>
        </w:rPr>
        <w:tab/>
      </w:r>
      <w:r>
        <w:rPr>
          <w:rFonts w:ascii="Arial" w:cs="Arial" w:eastAsia="Arial" w:hAnsi="Arial"/>
          <w:sz w:val="20"/>
          <w:szCs w:val="20"/>
          <w:color w:val="auto"/>
        </w:rPr>
        <w:t>Repayment of Loans.</w:t>
      </w:r>
      <w:r>
        <w:rPr>
          <w:sz w:val="20"/>
          <w:szCs w:val="20"/>
          <w:color w:val="auto"/>
        </w:rPr>
        <w:tab/>
      </w:r>
      <w:r>
        <w:rPr>
          <w:rFonts w:ascii="Arial" w:cs="Arial" w:eastAsia="Arial" w:hAnsi="Arial"/>
          <w:sz w:val="16"/>
          <w:szCs w:val="16"/>
          <w:color w:val="FF0000"/>
          <w:strike w:val="1"/>
        </w:rPr>
        <w:t>71</w:t>
      </w:r>
      <w:r>
        <w:rPr>
          <w:rFonts w:ascii="Arial" w:cs="Arial" w:eastAsia="Arial" w:hAnsi="Arial"/>
          <w:sz w:val="16"/>
          <w:szCs w:val="16"/>
          <w:color w:val="0000FF"/>
          <w:strike w:val="1"/>
        </w:rPr>
        <w:t>74</w:t>
      </w:r>
    </w:p>
    <w:p>
      <w:pPr>
        <w:spacing w:after="0" w:line="108" w:lineRule="exact"/>
        <w:rPr>
          <w:sz w:val="20"/>
          <w:szCs w:val="20"/>
          <w:color w:val="auto"/>
        </w:rPr>
      </w:pPr>
    </w:p>
    <w:p>
      <w:pPr>
        <w:ind w:left="660"/>
        <w:spacing w:after="0"/>
        <w:tabs>
          <w:tab w:leader="none" w:pos="1280" w:val="left"/>
          <w:tab w:leader="none" w:pos="2540" w:val="left"/>
        </w:tabs>
        <w:rPr>
          <w:sz w:val="20"/>
          <w:szCs w:val="20"/>
          <w:color w:val="auto"/>
        </w:rPr>
      </w:pPr>
      <w:r>
        <w:rPr>
          <w:rFonts w:ascii="Arial" w:cs="Arial" w:eastAsia="Arial" w:hAnsi="Arial"/>
          <w:sz w:val="20"/>
          <w:szCs w:val="20"/>
          <w:color w:val="auto"/>
        </w:rPr>
        <w:t>2.06</w:t>
      </w:r>
      <w:r>
        <w:rPr>
          <w:sz w:val="20"/>
          <w:szCs w:val="20"/>
          <w:color w:val="auto"/>
        </w:rPr>
        <w:tab/>
      </w:r>
      <w:r>
        <w:rPr>
          <w:rFonts w:ascii="Arial" w:cs="Arial" w:eastAsia="Arial" w:hAnsi="Arial"/>
          <w:sz w:val="20"/>
          <w:szCs w:val="20"/>
          <w:color w:val="auto"/>
        </w:rPr>
        <w:t>Prepayments.</w:t>
      </w:r>
      <w:r>
        <w:rPr>
          <w:sz w:val="20"/>
          <w:szCs w:val="20"/>
          <w:color w:val="auto"/>
        </w:rPr>
        <w:tab/>
      </w:r>
      <w:r>
        <w:rPr>
          <w:rFonts w:ascii="Arial" w:cs="Arial" w:eastAsia="Arial" w:hAnsi="Arial"/>
          <w:sz w:val="16"/>
          <w:szCs w:val="16"/>
          <w:color w:val="FF0000"/>
          <w:strike w:val="1"/>
        </w:rPr>
        <w:t>72</w:t>
      </w:r>
      <w:r>
        <w:rPr>
          <w:rFonts w:ascii="Arial" w:cs="Arial" w:eastAsia="Arial" w:hAnsi="Arial"/>
          <w:sz w:val="16"/>
          <w:szCs w:val="16"/>
          <w:color w:val="0000FF"/>
          <w:strike w:val="1"/>
        </w:rPr>
        <w:t>75</w:t>
      </w:r>
    </w:p>
    <w:p>
      <w:pPr>
        <w:spacing w:after="0" w:line="108" w:lineRule="exact"/>
        <w:rPr>
          <w:sz w:val="20"/>
          <w:szCs w:val="20"/>
          <w:color w:val="auto"/>
        </w:rPr>
      </w:pPr>
    </w:p>
    <w:p>
      <w:pPr>
        <w:ind w:left="660"/>
        <w:spacing w:after="0"/>
        <w:tabs>
          <w:tab w:leader="none" w:pos="1280" w:val="left"/>
          <w:tab w:leader="none" w:pos="4940" w:val="left"/>
        </w:tabs>
        <w:rPr>
          <w:sz w:val="20"/>
          <w:szCs w:val="20"/>
          <w:color w:val="auto"/>
        </w:rPr>
      </w:pPr>
      <w:r>
        <w:rPr>
          <w:rFonts w:ascii="Arial" w:cs="Arial" w:eastAsia="Arial" w:hAnsi="Arial"/>
          <w:sz w:val="20"/>
          <w:szCs w:val="20"/>
          <w:color w:val="auto"/>
        </w:rPr>
        <w:t>2.07</w:t>
      </w:r>
      <w:r>
        <w:rPr>
          <w:sz w:val="20"/>
          <w:szCs w:val="20"/>
          <w:color w:val="auto"/>
        </w:rPr>
        <w:tab/>
      </w:r>
      <w:r>
        <w:rPr>
          <w:rFonts w:ascii="Arial" w:cs="Arial" w:eastAsia="Arial" w:hAnsi="Arial"/>
          <w:sz w:val="20"/>
          <w:szCs w:val="20"/>
          <w:color w:val="auto"/>
        </w:rPr>
        <w:t>Termination or Reduction of Commitments.</w:t>
      </w:r>
      <w:r>
        <w:rPr>
          <w:sz w:val="20"/>
          <w:szCs w:val="20"/>
          <w:color w:val="auto"/>
        </w:rPr>
        <w:tab/>
      </w:r>
      <w:r>
        <w:rPr>
          <w:rFonts w:ascii="Arial" w:cs="Arial" w:eastAsia="Arial" w:hAnsi="Arial"/>
          <w:sz w:val="16"/>
          <w:szCs w:val="16"/>
          <w:color w:val="FF0000"/>
          <w:strike w:val="1"/>
        </w:rPr>
        <w:t>74</w:t>
      </w:r>
      <w:r>
        <w:rPr>
          <w:rFonts w:ascii="Arial" w:cs="Arial" w:eastAsia="Arial" w:hAnsi="Arial"/>
          <w:sz w:val="16"/>
          <w:szCs w:val="16"/>
          <w:color w:val="0000FF"/>
          <w:strike w:val="1"/>
        </w:rPr>
        <w:t>77</w:t>
      </w:r>
    </w:p>
    <w:p>
      <w:pPr>
        <w:spacing w:after="0" w:line="108" w:lineRule="exact"/>
        <w:rPr>
          <w:sz w:val="20"/>
          <w:szCs w:val="20"/>
          <w:color w:val="auto"/>
        </w:rPr>
      </w:pPr>
    </w:p>
    <w:p>
      <w:pPr>
        <w:ind w:left="660"/>
        <w:spacing w:after="0"/>
        <w:tabs>
          <w:tab w:leader="none" w:pos="1280" w:val="left"/>
          <w:tab w:leader="none" w:pos="2100" w:val="left"/>
        </w:tabs>
        <w:rPr>
          <w:sz w:val="20"/>
          <w:szCs w:val="20"/>
          <w:color w:val="auto"/>
        </w:rPr>
      </w:pPr>
      <w:r>
        <w:rPr>
          <w:rFonts w:ascii="Arial" w:cs="Arial" w:eastAsia="Arial" w:hAnsi="Arial"/>
          <w:sz w:val="20"/>
          <w:szCs w:val="20"/>
          <w:color w:val="auto"/>
        </w:rPr>
        <w:t>2.08</w:t>
      </w:r>
      <w:r>
        <w:rPr>
          <w:sz w:val="20"/>
          <w:szCs w:val="20"/>
          <w:color w:val="auto"/>
        </w:rPr>
        <w:tab/>
      </w:r>
      <w:r>
        <w:rPr>
          <w:rFonts w:ascii="Arial" w:cs="Arial" w:eastAsia="Arial" w:hAnsi="Arial"/>
          <w:sz w:val="20"/>
          <w:szCs w:val="20"/>
          <w:color w:val="auto"/>
        </w:rPr>
        <w:t>Interest.</w:t>
      </w:r>
      <w:r>
        <w:rPr>
          <w:sz w:val="20"/>
          <w:szCs w:val="20"/>
          <w:color w:val="auto"/>
        </w:rPr>
        <w:tab/>
      </w:r>
      <w:r>
        <w:rPr>
          <w:rFonts w:ascii="Arial" w:cs="Arial" w:eastAsia="Arial" w:hAnsi="Arial"/>
          <w:sz w:val="16"/>
          <w:szCs w:val="16"/>
          <w:color w:val="FF0000"/>
          <w:strike w:val="1"/>
        </w:rPr>
        <w:t>75</w:t>
      </w:r>
      <w:r>
        <w:rPr>
          <w:rFonts w:ascii="Arial" w:cs="Arial" w:eastAsia="Arial" w:hAnsi="Arial"/>
          <w:sz w:val="16"/>
          <w:szCs w:val="16"/>
          <w:color w:val="0000FF"/>
          <w:strike w:val="1"/>
        </w:rPr>
        <w:t>77</w:t>
      </w:r>
    </w:p>
    <w:p>
      <w:pPr>
        <w:spacing w:after="0" w:line="108" w:lineRule="exact"/>
        <w:rPr>
          <w:sz w:val="20"/>
          <w:szCs w:val="20"/>
          <w:color w:val="auto"/>
        </w:rPr>
      </w:pPr>
    </w:p>
    <w:p>
      <w:pPr>
        <w:ind w:left="660"/>
        <w:spacing w:after="0"/>
        <w:tabs>
          <w:tab w:leader="none" w:pos="1280" w:val="left"/>
          <w:tab w:leader="none" w:pos="1880" w:val="left"/>
        </w:tabs>
        <w:rPr>
          <w:sz w:val="20"/>
          <w:szCs w:val="20"/>
          <w:color w:val="auto"/>
        </w:rPr>
      </w:pPr>
      <w:r>
        <w:rPr>
          <w:rFonts w:ascii="Arial" w:cs="Arial" w:eastAsia="Arial" w:hAnsi="Arial"/>
          <w:sz w:val="20"/>
          <w:szCs w:val="20"/>
          <w:color w:val="auto"/>
        </w:rPr>
        <w:t>2.09</w:t>
      </w:r>
      <w:r>
        <w:rPr>
          <w:sz w:val="20"/>
          <w:szCs w:val="20"/>
          <w:color w:val="auto"/>
        </w:rPr>
        <w:tab/>
      </w:r>
      <w:r>
        <w:rPr>
          <w:rFonts w:ascii="Arial" w:cs="Arial" w:eastAsia="Arial" w:hAnsi="Arial"/>
          <w:sz w:val="20"/>
          <w:szCs w:val="20"/>
          <w:color w:val="auto"/>
        </w:rPr>
        <w:t>Fees.</w:t>
      </w:r>
      <w:r>
        <w:rPr>
          <w:sz w:val="20"/>
          <w:szCs w:val="20"/>
          <w:color w:val="auto"/>
        </w:rPr>
        <w:tab/>
      </w:r>
      <w:r>
        <w:rPr>
          <w:rFonts w:ascii="Arial" w:cs="Arial" w:eastAsia="Arial" w:hAnsi="Arial"/>
          <w:sz w:val="16"/>
          <w:szCs w:val="16"/>
          <w:color w:val="FF0000"/>
          <w:strike w:val="1"/>
        </w:rPr>
        <w:t>75</w:t>
      </w:r>
      <w:r>
        <w:rPr>
          <w:rFonts w:ascii="Arial" w:cs="Arial" w:eastAsia="Arial" w:hAnsi="Arial"/>
          <w:sz w:val="16"/>
          <w:szCs w:val="16"/>
          <w:color w:val="0000FF"/>
          <w:strike w:val="1"/>
        </w:rPr>
        <w:t>78</w:t>
      </w:r>
    </w:p>
    <w:p>
      <w:pPr>
        <w:spacing w:after="0" w:line="108" w:lineRule="exact"/>
        <w:rPr>
          <w:sz w:val="20"/>
          <w:szCs w:val="20"/>
          <w:color w:val="auto"/>
        </w:rPr>
      </w:pPr>
    </w:p>
    <w:p>
      <w:pPr>
        <w:ind w:left="660"/>
        <w:spacing w:after="0"/>
        <w:tabs>
          <w:tab w:leader="none" w:pos="1280" w:val="left"/>
          <w:tab w:leader="none" w:pos="7760" w:val="left"/>
        </w:tabs>
        <w:rPr>
          <w:sz w:val="20"/>
          <w:szCs w:val="20"/>
          <w:color w:val="auto"/>
        </w:rPr>
      </w:pPr>
      <w:r>
        <w:rPr>
          <w:rFonts w:ascii="Arial" w:cs="Arial" w:eastAsia="Arial" w:hAnsi="Arial"/>
          <w:sz w:val="20"/>
          <w:szCs w:val="20"/>
          <w:color w:val="auto"/>
        </w:rPr>
        <w:t>2.10</w:t>
      </w:r>
      <w:r>
        <w:rPr>
          <w:sz w:val="20"/>
          <w:szCs w:val="20"/>
          <w:color w:val="auto"/>
        </w:rPr>
        <w:tab/>
      </w:r>
      <w:r>
        <w:rPr>
          <w:rFonts w:ascii="Arial" w:cs="Arial" w:eastAsia="Arial" w:hAnsi="Arial"/>
          <w:sz w:val="19"/>
          <w:szCs w:val="19"/>
          <w:color w:val="auto"/>
        </w:rPr>
        <w:t>Computation of Interest and Fees; Retroactive Adjustments of Applicable Rate.</w:t>
      </w:r>
      <w:r>
        <w:rPr>
          <w:sz w:val="20"/>
          <w:szCs w:val="20"/>
          <w:color w:val="auto"/>
        </w:rPr>
        <w:tab/>
      </w:r>
      <w:r>
        <w:rPr>
          <w:rFonts w:ascii="Arial" w:cs="Arial" w:eastAsia="Arial" w:hAnsi="Arial"/>
          <w:sz w:val="16"/>
          <w:szCs w:val="16"/>
          <w:color w:val="FF0000"/>
          <w:strike w:val="1"/>
        </w:rPr>
        <w:t>77</w:t>
      </w:r>
      <w:r>
        <w:rPr>
          <w:rFonts w:ascii="Arial" w:cs="Arial" w:eastAsia="Arial" w:hAnsi="Arial"/>
          <w:sz w:val="16"/>
          <w:szCs w:val="16"/>
          <w:color w:val="0000FF"/>
          <w:strike w:val="1"/>
        </w:rPr>
        <w:t>80</w:t>
      </w:r>
    </w:p>
    <w:p>
      <w:pPr>
        <w:spacing w:after="0" w:line="108" w:lineRule="exact"/>
        <w:rPr>
          <w:sz w:val="20"/>
          <w:szCs w:val="20"/>
          <w:color w:val="auto"/>
        </w:rPr>
      </w:pPr>
    </w:p>
    <w:p>
      <w:pPr>
        <w:ind w:left="660"/>
        <w:spacing w:after="0"/>
        <w:tabs>
          <w:tab w:leader="none" w:pos="1280" w:val="left"/>
          <w:tab w:leader="none" w:pos="5920" w:val="left"/>
        </w:tabs>
        <w:rPr>
          <w:sz w:val="20"/>
          <w:szCs w:val="20"/>
          <w:color w:val="auto"/>
        </w:rPr>
      </w:pPr>
      <w:r>
        <w:rPr>
          <w:rFonts w:ascii="Arial" w:cs="Arial" w:eastAsia="Arial" w:hAnsi="Arial"/>
          <w:sz w:val="20"/>
          <w:szCs w:val="20"/>
          <w:color w:val="auto"/>
        </w:rPr>
        <w:t>2.11</w:t>
      </w:r>
      <w:r>
        <w:rPr>
          <w:sz w:val="20"/>
          <w:szCs w:val="20"/>
          <w:color w:val="auto"/>
        </w:rPr>
        <w:tab/>
      </w:r>
      <w:r>
        <w:rPr>
          <w:rFonts w:ascii="Arial" w:cs="Arial" w:eastAsia="Arial" w:hAnsi="Arial"/>
          <w:sz w:val="20"/>
          <w:szCs w:val="20"/>
          <w:color w:val="auto"/>
        </w:rPr>
        <w:t>Payments Generally; Administrative Agent’s Clawback.</w:t>
      </w:r>
      <w:r>
        <w:rPr>
          <w:sz w:val="20"/>
          <w:szCs w:val="20"/>
          <w:color w:val="auto"/>
        </w:rPr>
        <w:tab/>
      </w:r>
      <w:r>
        <w:rPr>
          <w:rFonts w:ascii="Arial" w:cs="Arial" w:eastAsia="Arial" w:hAnsi="Arial"/>
          <w:sz w:val="16"/>
          <w:szCs w:val="16"/>
          <w:color w:val="FF0000"/>
          <w:strike w:val="1"/>
        </w:rPr>
        <w:t>78</w:t>
      </w:r>
      <w:r>
        <w:rPr>
          <w:rFonts w:ascii="Arial" w:cs="Arial" w:eastAsia="Arial" w:hAnsi="Arial"/>
          <w:sz w:val="16"/>
          <w:szCs w:val="16"/>
          <w:color w:val="0000FF"/>
          <w:strike w:val="1"/>
        </w:rPr>
        <w:t>80</w:t>
      </w:r>
    </w:p>
    <w:p>
      <w:pPr>
        <w:spacing w:after="0" w:line="108" w:lineRule="exact"/>
        <w:rPr>
          <w:sz w:val="20"/>
          <w:szCs w:val="20"/>
          <w:color w:val="auto"/>
        </w:rPr>
      </w:pPr>
    </w:p>
    <w:p>
      <w:pPr>
        <w:ind w:left="660"/>
        <w:spacing w:after="0"/>
        <w:tabs>
          <w:tab w:leader="none" w:pos="1280" w:val="left"/>
          <w:tab w:leader="none" w:pos="4140" w:val="left"/>
        </w:tabs>
        <w:rPr>
          <w:sz w:val="20"/>
          <w:szCs w:val="20"/>
          <w:color w:val="auto"/>
        </w:rPr>
      </w:pPr>
      <w:r>
        <w:rPr>
          <w:rFonts w:ascii="Arial" w:cs="Arial" w:eastAsia="Arial" w:hAnsi="Arial"/>
          <w:sz w:val="20"/>
          <w:szCs w:val="20"/>
          <w:color w:val="auto"/>
        </w:rPr>
        <w:t>2.12</w:t>
      </w:r>
      <w:r>
        <w:rPr>
          <w:sz w:val="20"/>
          <w:szCs w:val="20"/>
          <w:color w:val="auto"/>
        </w:rPr>
        <w:tab/>
      </w:r>
      <w:r>
        <w:rPr>
          <w:rFonts w:ascii="Arial" w:cs="Arial" w:eastAsia="Arial" w:hAnsi="Arial"/>
          <w:sz w:val="20"/>
          <w:szCs w:val="20"/>
          <w:color w:val="auto"/>
        </w:rPr>
        <w:t>Sharing of Payments By Lenders.</w:t>
      </w:r>
      <w:r>
        <w:rPr>
          <w:sz w:val="20"/>
          <w:szCs w:val="20"/>
          <w:color w:val="auto"/>
        </w:rPr>
        <w:tab/>
      </w:r>
      <w:r>
        <w:rPr>
          <w:rFonts w:ascii="Arial" w:cs="Arial" w:eastAsia="Arial" w:hAnsi="Arial"/>
          <w:sz w:val="16"/>
          <w:szCs w:val="16"/>
          <w:color w:val="FF0000"/>
          <w:strike w:val="1"/>
        </w:rPr>
        <w:t>80</w:t>
      </w:r>
      <w:r>
        <w:rPr>
          <w:rFonts w:ascii="Arial" w:cs="Arial" w:eastAsia="Arial" w:hAnsi="Arial"/>
          <w:sz w:val="16"/>
          <w:szCs w:val="16"/>
          <w:color w:val="0000FF"/>
          <w:strike w:val="1"/>
        </w:rPr>
        <w:t>82</w:t>
      </w:r>
    </w:p>
    <w:p>
      <w:pPr>
        <w:spacing w:after="0" w:line="108" w:lineRule="exact"/>
        <w:rPr>
          <w:sz w:val="20"/>
          <w:szCs w:val="20"/>
          <w:color w:val="auto"/>
        </w:rPr>
      </w:pPr>
    </w:p>
    <w:p>
      <w:pPr>
        <w:ind w:left="660"/>
        <w:spacing w:after="0"/>
        <w:tabs>
          <w:tab w:leader="none" w:pos="1280" w:val="left"/>
          <w:tab w:leader="none" w:pos="2900" w:val="left"/>
        </w:tabs>
        <w:rPr>
          <w:sz w:val="20"/>
          <w:szCs w:val="20"/>
          <w:color w:val="auto"/>
        </w:rPr>
      </w:pPr>
      <w:r>
        <w:rPr>
          <w:rFonts w:ascii="Arial" w:cs="Arial" w:eastAsia="Arial" w:hAnsi="Arial"/>
          <w:sz w:val="20"/>
          <w:szCs w:val="20"/>
          <w:color w:val="auto"/>
        </w:rPr>
        <w:t>2.13</w:t>
      </w:r>
      <w:r>
        <w:rPr>
          <w:sz w:val="20"/>
          <w:szCs w:val="20"/>
          <w:color w:val="auto"/>
        </w:rPr>
        <w:tab/>
      </w:r>
      <w:r>
        <w:rPr>
          <w:rFonts w:ascii="Arial" w:cs="Arial" w:eastAsia="Arial" w:hAnsi="Arial"/>
          <w:sz w:val="20"/>
          <w:szCs w:val="20"/>
          <w:color w:val="auto"/>
        </w:rPr>
        <w:t>Evidence of Debt.</w:t>
      </w:r>
      <w:r>
        <w:rPr>
          <w:sz w:val="20"/>
          <w:szCs w:val="20"/>
          <w:color w:val="auto"/>
        </w:rPr>
        <w:tab/>
      </w:r>
      <w:r>
        <w:rPr>
          <w:rFonts w:ascii="Arial" w:cs="Arial" w:eastAsia="Arial" w:hAnsi="Arial"/>
          <w:sz w:val="16"/>
          <w:szCs w:val="16"/>
          <w:color w:val="FF0000"/>
          <w:strike w:val="1"/>
        </w:rPr>
        <w:t>80</w:t>
      </w:r>
      <w:r>
        <w:rPr>
          <w:rFonts w:ascii="Arial" w:cs="Arial" w:eastAsia="Arial" w:hAnsi="Arial"/>
          <w:sz w:val="16"/>
          <w:szCs w:val="16"/>
          <w:color w:val="0000FF"/>
          <w:strike w:val="1"/>
        </w:rPr>
        <w:t>83</w:t>
      </w:r>
    </w:p>
    <w:p>
      <w:pPr>
        <w:spacing w:after="0" w:line="108" w:lineRule="exact"/>
        <w:rPr>
          <w:sz w:val="20"/>
          <w:szCs w:val="20"/>
          <w:color w:val="auto"/>
        </w:rPr>
      </w:pPr>
    </w:p>
    <w:p>
      <w:pPr>
        <w:ind w:left="660"/>
        <w:spacing w:after="0"/>
        <w:tabs>
          <w:tab w:leader="none" w:pos="1280" w:val="left"/>
          <w:tab w:leader="none" w:pos="3280" w:val="left"/>
        </w:tabs>
        <w:rPr>
          <w:sz w:val="20"/>
          <w:szCs w:val="20"/>
          <w:color w:val="auto"/>
        </w:rPr>
      </w:pPr>
      <w:r>
        <w:rPr>
          <w:rFonts w:ascii="Arial" w:cs="Arial" w:eastAsia="Arial" w:hAnsi="Arial"/>
          <w:sz w:val="20"/>
          <w:szCs w:val="20"/>
          <w:color w:val="auto"/>
        </w:rPr>
        <w:t>2.14</w:t>
      </w:r>
      <w:r>
        <w:rPr>
          <w:sz w:val="20"/>
          <w:szCs w:val="20"/>
          <w:color w:val="auto"/>
        </w:rPr>
        <w:tab/>
      </w:r>
      <w:r>
        <w:rPr>
          <w:rFonts w:ascii="Arial" w:cs="Arial" w:eastAsia="Arial" w:hAnsi="Arial"/>
          <w:sz w:val="20"/>
          <w:szCs w:val="20"/>
          <w:color w:val="auto"/>
        </w:rPr>
        <w:t>Designated Borrowers.</w:t>
      </w:r>
      <w:r>
        <w:rPr>
          <w:sz w:val="20"/>
          <w:szCs w:val="20"/>
          <w:color w:val="auto"/>
        </w:rPr>
        <w:tab/>
      </w:r>
      <w:r>
        <w:rPr>
          <w:rFonts w:ascii="Arial" w:cs="Arial" w:eastAsia="Arial" w:hAnsi="Arial"/>
          <w:sz w:val="16"/>
          <w:szCs w:val="16"/>
          <w:color w:val="FF0000"/>
          <w:strike w:val="1"/>
        </w:rPr>
        <w:t>81</w:t>
      </w:r>
      <w:r>
        <w:rPr>
          <w:rFonts w:ascii="Arial" w:cs="Arial" w:eastAsia="Arial" w:hAnsi="Arial"/>
          <w:sz w:val="16"/>
          <w:szCs w:val="16"/>
          <w:color w:val="0000FF"/>
          <w:strike w:val="1"/>
        </w:rPr>
        <w:t>83</w:t>
      </w:r>
    </w:p>
    <w:p>
      <w:pPr>
        <w:spacing w:after="0" w:line="108" w:lineRule="exact"/>
        <w:rPr>
          <w:sz w:val="20"/>
          <w:szCs w:val="20"/>
          <w:color w:val="auto"/>
        </w:rPr>
      </w:pPr>
    </w:p>
    <w:p>
      <w:pPr>
        <w:ind w:left="660"/>
        <w:spacing w:after="0"/>
        <w:tabs>
          <w:tab w:leader="none" w:pos="1280" w:val="left"/>
          <w:tab w:leader="none" w:pos="9540" w:val="left"/>
        </w:tabs>
        <w:rPr>
          <w:sz w:val="20"/>
          <w:szCs w:val="20"/>
          <w:color w:val="auto"/>
        </w:rPr>
      </w:pPr>
      <w:r>
        <w:rPr>
          <w:rFonts w:ascii="Arial" w:cs="Arial" w:eastAsia="Arial" w:hAnsi="Arial"/>
          <w:sz w:val="20"/>
          <w:szCs w:val="20"/>
          <w:color w:val="auto"/>
        </w:rPr>
        <w:t>2.15</w:t>
      </w:r>
      <w:r>
        <w:rPr>
          <w:sz w:val="20"/>
          <w:szCs w:val="20"/>
          <w:color w:val="auto"/>
        </w:rPr>
        <w:tab/>
      </w:r>
      <w:r>
        <w:rPr>
          <w:rFonts w:ascii="Arial" w:cs="Arial" w:eastAsia="Arial" w:hAnsi="Arial"/>
          <w:sz w:val="19"/>
          <w:szCs w:val="19"/>
          <w:color w:val="auto"/>
        </w:rPr>
        <w:t>Joint and Several Liability of the Domestic Borrowers; Several Obligations of the Foreign Borrowers.</w:t>
      </w:r>
      <w:r>
        <w:rPr>
          <w:sz w:val="20"/>
          <w:szCs w:val="20"/>
          <w:color w:val="auto"/>
        </w:rPr>
        <w:tab/>
      </w:r>
      <w:r>
        <w:rPr>
          <w:rFonts w:ascii="Arial" w:cs="Arial" w:eastAsia="Arial" w:hAnsi="Arial"/>
          <w:sz w:val="16"/>
          <w:szCs w:val="16"/>
          <w:color w:val="FF0000"/>
          <w:strike w:val="1"/>
        </w:rPr>
        <w:t>82</w:t>
      </w:r>
      <w:r>
        <w:rPr>
          <w:rFonts w:ascii="Arial" w:cs="Arial" w:eastAsia="Arial" w:hAnsi="Arial"/>
          <w:sz w:val="16"/>
          <w:szCs w:val="16"/>
          <w:color w:val="0000FF"/>
          <w:strike w:val="1"/>
        </w:rPr>
        <w:t>85</w:t>
      </w:r>
    </w:p>
    <w:p>
      <w:pPr>
        <w:spacing w:after="0" w:line="108" w:lineRule="exact"/>
        <w:rPr>
          <w:sz w:val="20"/>
          <w:szCs w:val="20"/>
          <w:color w:val="auto"/>
        </w:rPr>
      </w:pPr>
    </w:p>
    <w:p>
      <w:pPr>
        <w:ind w:left="660"/>
        <w:spacing w:after="0"/>
        <w:tabs>
          <w:tab w:leader="none" w:pos="1280" w:val="left"/>
          <w:tab w:leader="none" w:pos="2740" w:val="left"/>
        </w:tabs>
        <w:rPr>
          <w:sz w:val="20"/>
          <w:szCs w:val="20"/>
          <w:color w:val="auto"/>
        </w:rPr>
      </w:pPr>
      <w:r>
        <w:rPr>
          <w:rFonts w:ascii="Arial" w:cs="Arial" w:eastAsia="Arial" w:hAnsi="Arial"/>
          <w:sz w:val="20"/>
          <w:szCs w:val="20"/>
          <w:color w:val="auto"/>
        </w:rPr>
        <w:t>2.16</w:t>
      </w:r>
      <w:r>
        <w:rPr>
          <w:sz w:val="20"/>
          <w:szCs w:val="20"/>
          <w:color w:val="auto"/>
        </w:rPr>
        <w:tab/>
      </w:r>
      <w:r>
        <w:rPr>
          <w:rFonts w:ascii="Arial" w:cs="Arial" w:eastAsia="Arial" w:hAnsi="Arial"/>
          <w:sz w:val="20"/>
          <w:szCs w:val="20"/>
          <w:color w:val="auto"/>
        </w:rPr>
        <w:t>Cash Collateral.</w:t>
      </w:r>
      <w:r>
        <w:rPr>
          <w:sz w:val="20"/>
          <w:szCs w:val="20"/>
          <w:color w:val="auto"/>
        </w:rPr>
        <w:tab/>
      </w:r>
      <w:r>
        <w:rPr>
          <w:rFonts w:ascii="Arial" w:cs="Arial" w:eastAsia="Arial" w:hAnsi="Arial"/>
          <w:sz w:val="16"/>
          <w:szCs w:val="16"/>
          <w:color w:val="FF0000"/>
          <w:strike w:val="1"/>
        </w:rPr>
        <w:t>84</w:t>
      </w:r>
      <w:r>
        <w:rPr>
          <w:rFonts w:ascii="Arial" w:cs="Arial" w:eastAsia="Arial" w:hAnsi="Arial"/>
          <w:sz w:val="16"/>
          <w:szCs w:val="16"/>
          <w:color w:val="0000FF"/>
          <w:strike w:val="1"/>
        </w:rPr>
        <w:t>86</w:t>
      </w:r>
    </w:p>
    <w:p>
      <w:pPr>
        <w:spacing w:after="0" w:line="108" w:lineRule="exact"/>
        <w:rPr>
          <w:sz w:val="20"/>
          <w:szCs w:val="20"/>
          <w:color w:val="auto"/>
        </w:rPr>
      </w:pPr>
    </w:p>
    <w:p>
      <w:pPr>
        <w:ind w:left="660"/>
        <w:spacing w:after="0"/>
        <w:tabs>
          <w:tab w:leader="none" w:pos="1280" w:val="left"/>
          <w:tab w:leader="none" w:pos="3040" w:val="left"/>
        </w:tabs>
        <w:rPr>
          <w:sz w:val="20"/>
          <w:szCs w:val="20"/>
          <w:color w:val="auto"/>
        </w:rPr>
      </w:pPr>
      <w:r>
        <w:rPr>
          <w:rFonts w:ascii="Arial" w:cs="Arial" w:eastAsia="Arial" w:hAnsi="Arial"/>
          <w:sz w:val="20"/>
          <w:szCs w:val="20"/>
          <w:color w:val="auto"/>
        </w:rPr>
        <w:t>2.17</w:t>
      </w:r>
      <w:r>
        <w:rPr>
          <w:sz w:val="20"/>
          <w:szCs w:val="20"/>
          <w:color w:val="auto"/>
        </w:rPr>
        <w:tab/>
      </w:r>
      <w:r>
        <w:rPr>
          <w:rFonts w:ascii="Arial" w:cs="Arial" w:eastAsia="Arial" w:hAnsi="Arial"/>
          <w:sz w:val="20"/>
          <w:szCs w:val="20"/>
          <w:color w:val="auto"/>
        </w:rPr>
        <w:t>Defaulting Lenders.</w:t>
      </w:r>
      <w:r>
        <w:rPr>
          <w:sz w:val="20"/>
          <w:szCs w:val="20"/>
          <w:color w:val="auto"/>
        </w:rPr>
        <w:tab/>
      </w:r>
      <w:r>
        <w:rPr>
          <w:rFonts w:ascii="Arial" w:cs="Arial" w:eastAsia="Arial" w:hAnsi="Arial"/>
          <w:sz w:val="16"/>
          <w:szCs w:val="16"/>
          <w:color w:val="FF0000"/>
          <w:strike w:val="1"/>
        </w:rPr>
        <w:t>85</w:t>
      </w:r>
      <w:r>
        <w:rPr>
          <w:rFonts w:ascii="Arial" w:cs="Arial" w:eastAsia="Arial" w:hAnsi="Arial"/>
          <w:sz w:val="16"/>
          <w:szCs w:val="16"/>
          <w:color w:val="0000FF"/>
          <w:strike w:val="1"/>
        </w:rPr>
        <w:t>87</w:t>
      </w:r>
    </w:p>
    <w:p>
      <w:pPr>
        <w:spacing w:after="0" w:line="35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3</w:t>
      </w:r>
    </w:p>
    <w:p>
      <w:pPr>
        <w:spacing w:after="0" w:line="10" w:lineRule="exact"/>
        <w:rPr>
          <w:sz w:val="20"/>
          <w:szCs w:val="20"/>
          <w:color w:val="auto"/>
        </w:rPr>
      </w:pPr>
    </w:p>
    <w:p>
      <w:pPr>
        <w:spacing w:after="0"/>
        <w:rPr>
          <w:sz w:val="20"/>
          <w:szCs w:val="20"/>
          <w:color w:val="auto"/>
        </w:rPr>
      </w:pPr>
      <w:r>
        <w:rPr>
          <w:rFonts w:ascii="Arial" w:cs="Arial" w:eastAsia="Arial" w:hAnsi="Arial"/>
          <w:sz w:val="14"/>
          <w:szCs w:val="14"/>
          <w:color w:val="auto"/>
        </w:rPr>
        <w:t>CHAR1\1346423v</w:t>
      </w:r>
      <w:r>
        <w:rPr>
          <w:rFonts w:ascii="Arial" w:cs="Arial" w:eastAsia="Arial" w:hAnsi="Arial"/>
          <w:sz w:val="14"/>
          <w:szCs w:val="14"/>
          <w:color w:val="FF0000"/>
          <w:strike w:val="1"/>
        </w:rPr>
        <w:t>1</w:t>
      </w:r>
      <w:r>
        <w:rPr>
          <w:rFonts w:ascii="Arial" w:cs="Arial" w:eastAsia="Arial" w:hAnsi="Arial"/>
          <w:sz w:val="14"/>
          <w:szCs w:val="14"/>
          <w:u w:val="single" w:color="auto"/>
          <w:color w:val="0000FF"/>
        </w:rPr>
        <w:t>12</w:t>
      </w:r>
    </w:p>
    <w:p>
      <w:pPr>
        <w:sectPr>
          <w:pgSz w:w="11900" w:h="16838" w:orient="portrait"/>
          <w:cols w:equalWidth="0" w:num="1">
            <w:col w:w="11420"/>
          </w:cols>
          <w:pgMar w:left="240" w:top="576" w:right="239" w:bottom="1440" w:gutter="0" w:footer="0" w:header="0"/>
        </w:sectPr>
      </w:pPr>
    </w:p>
    <w:bookmarkStart w:id="55" w:name="page56"/>
    <w:bookmarkEnd w:id="55"/>
    <w:p>
      <w:pPr>
        <w:spacing w:after="0"/>
        <w:rPr>
          <w:sz w:val="20"/>
          <w:szCs w:val="20"/>
          <w:color w:val="auto"/>
        </w:rPr>
      </w:pPr>
      <w:r>
        <w:rPr>
          <w:rFonts w:ascii="Arial" w:cs="Arial" w:eastAsia="Arial" w:hAnsi="Arial"/>
          <w:sz w:val="20"/>
          <w:szCs w:val="20"/>
          <w:color w:val="auto"/>
        </w:rPr>
        <w:t>ARTICLE III TAXES, YIELD PROTECTION AND ILLEGALITY</w:t>
      </w:r>
      <w:r>
        <w:rPr>
          <w:rFonts w:ascii="Arial" w:cs="Arial" w:eastAsia="Arial" w:hAnsi="Arial"/>
          <w:sz w:val="20"/>
          <w:szCs w:val="20"/>
          <w:color w:val="FF0000"/>
          <w:strike w:val="1"/>
        </w:rPr>
        <w:t>87</w:t>
      </w:r>
      <w:r>
        <w:rPr>
          <w:rFonts w:ascii="Arial" w:cs="Arial" w:eastAsia="Arial" w:hAnsi="Arial"/>
          <w:sz w:val="20"/>
          <w:szCs w:val="20"/>
          <w:color w:val="0000FF"/>
        </w:rPr>
        <w:t>90</w:t>
      </w:r>
    </w:p>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250"/>
        </w:trPr>
        <w:tc>
          <w:tcPr>
            <w:tcW w:w="1100" w:type="dxa"/>
            <w:vAlign w:val="bottom"/>
          </w:tcPr>
          <w:p>
            <w:pPr>
              <w:ind w:left="660"/>
              <w:spacing w:after="0"/>
              <w:rPr>
                <w:sz w:val="20"/>
                <w:szCs w:val="20"/>
                <w:color w:val="auto"/>
              </w:rPr>
            </w:pPr>
            <w:r>
              <w:rPr>
                <w:rFonts w:ascii="Arial" w:cs="Arial" w:eastAsia="Arial" w:hAnsi="Arial"/>
                <w:sz w:val="20"/>
                <w:szCs w:val="20"/>
                <w:color w:val="auto"/>
              </w:rPr>
              <w:t>3.01</w:t>
            </w:r>
          </w:p>
        </w:tc>
        <w:tc>
          <w:tcPr>
            <w:tcW w:w="60" w:type="dxa"/>
            <w:vAlign w:val="bottom"/>
          </w:tcPr>
          <w:p>
            <w:pPr>
              <w:spacing w:after="0"/>
              <w:rPr>
                <w:sz w:val="21"/>
                <w:szCs w:val="21"/>
                <w:color w:val="auto"/>
              </w:rPr>
            </w:pPr>
          </w:p>
        </w:tc>
        <w:tc>
          <w:tcPr>
            <w:tcW w:w="840" w:type="dxa"/>
            <w:vAlign w:val="bottom"/>
            <w:gridSpan w:val="2"/>
          </w:tcPr>
          <w:p>
            <w:pPr>
              <w:ind w:left="140"/>
              <w:spacing w:after="0"/>
              <w:rPr>
                <w:sz w:val="20"/>
                <w:szCs w:val="20"/>
                <w:color w:val="auto"/>
              </w:rPr>
            </w:pPr>
            <w:r>
              <w:rPr>
                <w:rFonts w:ascii="Arial" w:cs="Arial" w:eastAsia="Arial" w:hAnsi="Arial"/>
                <w:sz w:val="20"/>
                <w:szCs w:val="20"/>
                <w:color w:val="auto"/>
              </w:rPr>
              <w:t>Taxes.</w:t>
            </w:r>
          </w:p>
        </w:tc>
        <w:tc>
          <w:tcPr>
            <w:tcW w:w="200" w:type="dxa"/>
            <w:vAlign w:val="bottom"/>
          </w:tcPr>
          <w:p>
            <w:pPr>
              <w:spacing w:after="0"/>
              <w:rPr>
                <w:sz w:val="20"/>
                <w:szCs w:val="20"/>
                <w:color w:val="auto"/>
              </w:rPr>
            </w:pPr>
            <w:r>
              <w:rPr>
                <w:rFonts w:ascii="Arial" w:cs="Arial" w:eastAsia="Arial" w:hAnsi="Arial"/>
                <w:sz w:val="20"/>
                <w:szCs w:val="20"/>
                <w:color w:val="FF0000"/>
                <w:strike w:val="1"/>
                <w:w w:val="80"/>
              </w:rPr>
              <w:t>87</w:t>
            </w:r>
          </w:p>
        </w:tc>
        <w:tc>
          <w:tcPr>
            <w:tcW w:w="220" w:type="dxa"/>
            <w:vAlign w:val="bottom"/>
            <w:gridSpan w:val="4"/>
          </w:tcPr>
          <w:p>
            <w:pPr>
              <w:jc w:val="right"/>
              <w:spacing w:after="0"/>
              <w:rPr>
                <w:sz w:val="20"/>
                <w:szCs w:val="20"/>
                <w:color w:val="auto"/>
              </w:rPr>
            </w:pPr>
            <w:r>
              <w:rPr>
                <w:rFonts w:ascii="Arial" w:cs="Arial" w:eastAsia="Arial" w:hAnsi="Arial"/>
                <w:sz w:val="20"/>
                <w:szCs w:val="20"/>
                <w:color w:val="0000FF"/>
                <w:w w:val="71"/>
              </w:rPr>
              <w:t>90</w:t>
            </w: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0" w:type="dxa"/>
            <w:vAlign w:val="bottom"/>
          </w:tcPr>
          <w:p>
            <w:pPr>
              <w:spacing w:after="0"/>
              <w:rPr>
                <w:sz w:val="21"/>
                <w:szCs w:val="21"/>
                <w:color w:val="auto"/>
              </w:rPr>
            </w:pPr>
          </w:p>
        </w:tc>
        <w:tc>
          <w:tcPr>
            <w:tcW w:w="7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38"/>
        </w:trPr>
        <w:tc>
          <w:tcPr>
            <w:tcW w:w="1100" w:type="dxa"/>
            <w:vAlign w:val="bottom"/>
          </w:tcPr>
          <w:p>
            <w:pPr>
              <w:ind w:left="660"/>
              <w:spacing w:after="0"/>
              <w:rPr>
                <w:sz w:val="20"/>
                <w:szCs w:val="20"/>
                <w:color w:val="auto"/>
              </w:rPr>
            </w:pPr>
            <w:r>
              <w:rPr>
                <w:rFonts w:ascii="Arial" w:cs="Arial" w:eastAsia="Arial" w:hAnsi="Arial"/>
                <w:sz w:val="20"/>
                <w:szCs w:val="20"/>
                <w:color w:val="auto"/>
              </w:rPr>
              <w:t>3.02</w:t>
            </w:r>
          </w:p>
        </w:tc>
        <w:tc>
          <w:tcPr>
            <w:tcW w:w="60" w:type="dxa"/>
            <w:vAlign w:val="bottom"/>
          </w:tcPr>
          <w:p>
            <w:pPr>
              <w:spacing w:after="0"/>
              <w:rPr>
                <w:sz w:val="24"/>
                <w:szCs w:val="24"/>
                <w:color w:val="auto"/>
              </w:rPr>
            </w:pPr>
          </w:p>
        </w:tc>
        <w:tc>
          <w:tcPr>
            <w:tcW w:w="1080" w:type="dxa"/>
            <w:vAlign w:val="bottom"/>
            <w:gridSpan w:val="4"/>
          </w:tcPr>
          <w:p>
            <w:pPr>
              <w:ind w:left="140"/>
              <w:spacing w:after="0"/>
              <w:rPr>
                <w:sz w:val="20"/>
                <w:szCs w:val="20"/>
                <w:color w:val="auto"/>
              </w:rPr>
            </w:pPr>
            <w:r>
              <w:rPr>
                <w:rFonts w:ascii="Arial" w:cs="Arial" w:eastAsia="Arial" w:hAnsi="Arial"/>
                <w:sz w:val="20"/>
                <w:szCs w:val="20"/>
                <w:color w:val="auto"/>
              </w:rPr>
              <w:t>Illegality</w:t>
            </w:r>
            <w:r>
              <w:rPr>
                <w:rFonts w:ascii="Arial" w:cs="Arial" w:eastAsia="Arial" w:hAnsi="Arial"/>
                <w:sz w:val="20"/>
                <w:szCs w:val="20"/>
                <w:color w:val="FF0000"/>
                <w:strike w:val="1"/>
              </w:rPr>
              <w:t>.</w:t>
            </w:r>
          </w:p>
        </w:tc>
        <w:tc>
          <w:tcPr>
            <w:tcW w:w="220" w:type="dxa"/>
            <w:vAlign w:val="bottom"/>
            <w:gridSpan w:val="4"/>
          </w:tcPr>
          <w:p>
            <w:pPr>
              <w:jc w:val="right"/>
              <w:spacing w:after="0"/>
              <w:rPr>
                <w:sz w:val="20"/>
                <w:szCs w:val="20"/>
                <w:color w:val="auto"/>
              </w:rPr>
            </w:pPr>
            <w:r>
              <w:rPr>
                <w:rFonts w:ascii="Arial" w:cs="Arial" w:eastAsia="Arial" w:hAnsi="Arial"/>
                <w:sz w:val="20"/>
                <w:szCs w:val="20"/>
                <w:color w:val="FF0000"/>
                <w:strike w:val="1"/>
                <w:w w:val="80"/>
              </w:rPr>
              <w:t>92</w:t>
            </w:r>
          </w:p>
        </w:tc>
        <w:tc>
          <w:tcPr>
            <w:tcW w:w="2520" w:type="dxa"/>
            <w:vAlign w:val="bottom"/>
            <w:gridSpan w:val="31"/>
          </w:tcPr>
          <w:p>
            <w:pPr>
              <w:jc w:val="center"/>
              <w:ind w:right="1"/>
              <w:spacing w:after="0"/>
              <w:rPr>
                <w:sz w:val="20"/>
                <w:szCs w:val="20"/>
                <w:color w:val="auto"/>
              </w:rPr>
            </w:pPr>
            <w:r>
              <w:rPr>
                <w:rFonts w:ascii="Arial" w:cs="Arial" w:eastAsia="Arial" w:hAnsi="Arial"/>
                <w:sz w:val="20"/>
                <w:szCs w:val="20"/>
                <w:color w:val="0000FF"/>
                <w:w w:val="91"/>
              </w:rPr>
              <w:t>and Designated Lenders.  95</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1100" w:type="dxa"/>
            <w:vAlign w:val="bottom"/>
          </w:tcPr>
          <w:p>
            <w:pPr>
              <w:ind w:left="660"/>
              <w:spacing w:after="0"/>
              <w:rPr>
                <w:sz w:val="20"/>
                <w:szCs w:val="20"/>
                <w:color w:val="auto"/>
              </w:rPr>
            </w:pPr>
            <w:r>
              <w:rPr>
                <w:rFonts w:ascii="Arial" w:cs="Arial" w:eastAsia="Arial" w:hAnsi="Arial"/>
                <w:sz w:val="20"/>
                <w:szCs w:val="20"/>
                <w:color w:val="auto"/>
              </w:rPr>
              <w:t>3.03</w:t>
            </w:r>
          </w:p>
        </w:tc>
        <w:tc>
          <w:tcPr>
            <w:tcW w:w="60" w:type="dxa"/>
            <w:vAlign w:val="bottom"/>
          </w:tcPr>
          <w:p>
            <w:pPr>
              <w:spacing w:after="0"/>
              <w:rPr>
                <w:sz w:val="24"/>
                <w:szCs w:val="24"/>
                <w:color w:val="auto"/>
              </w:rPr>
            </w:pPr>
          </w:p>
        </w:tc>
        <w:tc>
          <w:tcPr>
            <w:tcW w:w="2560" w:type="dxa"/>
            <w:vAlign w:val="bottom"/>
            <w:gridSpan w:val="25"/>
          </w:tcPr>
          <w:p>
            <w:pPr>
              <w:ind w:left="140"/>
              <w:spacing w:after="0"/>
              <w:rPr>
                <w:sz w:val="20"/>
                <w:szCs w:val="20"/>
                <w:color w:val="auto"/>
              </w:rPr>
            </w:pPr>
            <w:r>
              <w:rPr>
                <w:rFonts w:ascii="Arial" w:cs="Arial" w:eastAsia="Arial" w:hAnsi="Arial"/>
                <w:sz w:val="20"/>
                <w:szCs w:val="20"/>
                <w:color w:val="auto"/>
                <w:w w:val="95"/>
              </w:rPr>
              <w:t>Inability to Determine Rates.</w:t>
            </w:r>
          </w:p>
        </w:tc>
        <w:tc>
          <w:tcPr>
            <w:tcW w:w="20" w:type="dxa"/>
            <w:vAlign w:val="bottom"/>
          </w:tcPr>
          <w:p>
            <w:pPr>
              <w:spacing w:after="0"/>
              <w:rPr>
                <w:sz w:val="24"/>
                <w:szCs w:val="24"/>
                <w:color w:val="auto"/>
              </w:rPr>
            </w:pPr>
          </w:p>
        </w:tc>
        <w:tc>
          <w:tcPr>
            <w:tcW w:w="240" w:type="dxa"/>
            <w:vAlign w:val="bottom"/>
            <w:gridSpan w:val="3"/>
          </w:tcPr>
          <w:p>
            <w:pPr>
              <w:jc w:val="right"/>
              <w:spacing w:after="0"/>
              <w:rPr>
                <w:sz w:val="20"/>
                <w:szCs w:val="20"/>
                <w:color w:val="auto"/>
              </w:rPr>
            </w:pPr>
            <w:r>
              <w:rPr>
                <w:rFonts w:ascii="Arial" w:cs="Arial" w:eastAsia="Arial" w:hAnsi="Arial"/>
                <w:sz w:val="20"/>
                <w:szCs w:val="20"/>
                <w:color w:val="FF0000"/>
                <w:strike w:val="1"/>
                <w:w w:val="98"/>
              </w:rPr>
              <w:t>93</w:t>
            </w:r>
          </w:p>
        </w:tc>
        <w:tc>
          <w:tcPr>
            <w:tcW w:w="200" w:type="dxa"/>
            <w:vAlign w:val="bottom"/>
            <w:gridSpan w:val="4"/>
          </w:tcPr>
          <w:p>
            <w:pPr>
              <w:jc w:val="right"/>
              <w:spacing w:after="0"/>
              <w:rPr>
                <w:sz w:val="20"/>
                <w:szCs w:val="20"/>
                <w:color w:val="auto"/>
              </w:rPr>
            </w:pPr>
            <w:r>
              <w:rPr>
                <w:rFonts w:ascii="Arial" w:cs="Arial" w:eastAsia="Arial" w:hAnsi="Arial"/>
                <w:sz w:val="20"/>
                <w:szCs w:val="20"/>
                <w:color w:val="0000FF"/>
                <w:w w:val="80"/>
              </w:rPr>
              <w:t>96</w:t>
            </w: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1100" w:type="dxa"/>
            <w:vAlign w:val="bottom"/>
          </w:tcPr>
          <w:p>
            <w:pPr>
              <w:ind w:left="660"/>
              <w:spacing w:after="0"/>
              <w:rPr>
                <w:sz w:val="20"/>
                <w:szCs w:val="20"/>
                <w:color w:val="auto"/>
              </w:rPr>
            </w:pPr>
            <w:r>
              <w:rPr>
                <w:rFonts w:ascii="Arial" w:cs="Arial" w:eastAsia="Arial" w:hAnsi="Arial"/>
                <w:sz w:val="20"/>
                <w:szCs w:val="20"/>
                <w:color w:val="auto"/>
              </w:rPr>
              <w:t>3.04</w:t>
            </w:r>
          </w:p>
        </w:tc>
        <w:tc>
          <w:tcPr>
            <w:tcW w:w="60" w:type="dxa"/>
            <w:vAlign w:val="bottom"/>
          </w:tcPr>
          <w:p>
            <w:pPr>
              <w:spacing w:after="0"/>
              <w:rPr>
                <w:sz w:val="24"/>
                <w:szCs w:val="24"/>
                <w:color w:val="auto"/>
              </w:rPr>
            </w:pPr>
          </w:p>
        </w:tc>
        <w:tc>
          <w:tcPr>
            <w:tcW w:w="3000" w:type="dxa"/>
            <w:vAlign w:val="bottom"/>
            <w:gridSpan w:val="32"/>
          </w:tcPr>
          <w:p>
            <w:pPr>
              <w:ind w:left="140"/>
              <w:spacing w:after="0"/>
              <w:rPr>
                <w:sz w:val="20"/>
                <w:szCs w:val="20"/>
                <w:color w:val="auto"/>
              </w:rPr>
            </w:pPr>
            <w:r>
              <w:rPr>
                <w:rFonts w:ascii="Arial" w:cs="Arial" w:eastAsia="Arial" w:hAnsi="Arial"/>
                <w:sz w:val="20"/>
                <w:szCs w:val="20"/>
                <w:color w:val="auto"/>
                <w:w w:val="92"/>
              </w:rPr>
              <w:t>Increased Cost; Capital Adequacy.</w:t>
            </w:r>
          </w:p>
        </w:tc>
        <w:tc>
          <w:tcPr>
            <w:tcW w:w="20" w:type="dxa"/>
            <w:vAlign w:val="bottom"/>
          </w:tcPr>
          <w:p>
            <w:pPr>
              <w:spacing w:after="0"/>
              <w:rPr>
                <w:sz w:val="24"/>
                <w:szCs w:val="24"/>
                <w:color w:val="auto"/>
              </w:rPr>
            </w:pPr>
          </w:p>
        </w:tc>
        <w:tc>
          <w:tcPr>
            <w:tcW w:w="240" w:type="dxa"/>
            <w:vAlign w:val="bottom"/>
            <w:gridSpan w:val="2"/>
          </w:tcPr>
          <w:p>
            <w:pPr>
              <w:jc w:val="center"/>
              <w:spacing w:after="0"/>
              <w:rPr>
                <w:sz w:val="20"/>
                <w:szCs w:val="20"/>
                <w:color w:val="auto"/>
              </w:rPr>
            </w:pPr>
            <w:r>
              <w:rPr>
                <w:rFonts w:ascii="Arial" w:cs="Arial" w:eastAsia="Arial" w:hAnsi="Arial"/>
                <w:sz w:val="20"/>
                <w:szCs w:val="20"/>
                <w:color w:val="FF0000"/>
                <w:strike w:val="1"/>
                <w:w w:val="89"/>
              </w:rPr>
              <w:t>93</w:t>
            </w:r>
          </w:p>
        </w:tc>
        <w:tc>
          <w:tcPr>
            <w:tcW w:w="200" w:type="dxa"/>
            <w:vAlign w:val="bottom"/>
            <w:gridSpan w:val="2"/>
          </w:tcPr>
          <w:p>
            <w:pPr>
              <w:jc w:val="right"/>
              <w:spacing w:after="0"/>
              <w:rPr>
                <w:sz w:val="20"/>
                <w:szCs w:val="20"/>
                <w:color w:val="auto"/>
              </w:rPr>
            </w:pPr>
            <w:r>
              <w:rPr>
                <w:rFonts w:ascii="Arial" w:cs="Arial" w:eastAsia="Arial" w:hAnsi="Arial"/>
                <w:sz w:val="20"/>
                <w:szCs w:val="20"/>
                <w:color w:val="0000FF"/>
                <w:w w:val="80"/>
              </w:rPr>
              <w:t>97</w:t>
            </w: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1100" w:type="dxa"/>
            <w:vAlign w:val="bottom"/>
          </w:tcPr>
          <w:p>
            <w:pPr>
              <w:ind w:left="660"/>
              <w:spacing w:after="0"/>
              <w:rPr>
                <w:sz w:val="20"/>
                <w:szCs w:val="20"/>
                <w:color w:val="auto"/>
              </w:rPr>
            </w:pPr>
            <w:r>
              <w:rPr>
                <w:rFonts w:ascii="Arial" w:cs="Arial" w:eastAsia="Arial" w:hAnsi="Arial"/>
                <w:sz w:val="20"/>
                <w:szCs w:val="20"/>
                <w:color w:val="auto"/>
              </w:rPr>
              <w:t>3.05</w:t>
            </w:r>
          </w:p>
        </w:tc>
        <w:tc>
          <w:tcPr>
            <w:tcW w:w="60" w:type="dxa"/>
            <w:vAlign w:val="bottom"/>
          </w:tcPr>
          <w:p>
            <w:pPr>
              <w:spacing w:after="0"/>
              <w:rPr>
                <w:sz w:val="24"/>
                <w:szCs w:val="24"/>
                <w:color w:val="auto"/>
              </w:rPr>
            </w:pPr>
          </w:p>
        </w:tc>
        <w:tc>
          <w:tcPr>
            <w:tcW w:w="2380" w:type="dxa"/>
            <w:vAlign w:val="bottom"/>
            <w:gridSpan w:val="24"/>
          </w:tcPr>
          <w:p>
            <w:pPr>
              <w:ind w:left="140"/>
              <w:spacing w:after="0"/>
              <w:rPr>
                <w:sz w:val="20"/>
                <w:szCs w:val="20"/>
                <w:color w:val="auto"/>
              </w:rPr>
            </w:pPr>
            <w:r>
              <w:rPr>
                <w:rFonts w:ascii="Arial" w:cs="Arial" w:eastAsia="Arial" w:hAnsi="Arial"/>
                <w:sz w:val="20"/>
                <w:szCs w:val="20"/>
                <w:color w:val="auto"/>
                <w:w w:val="95"/>
              </w:rPr>
              <w:t>Compensation for Losses.</w:t>
            </w:r>
          </w:p>
        </w:tc>
        <w:tc>
          <w:tcPr>
            <w:tcW w:w="200" w:type="dxa"/>
            <w:vAlign w:val="bottom"/>
            <w:gridSpan w:val="2"/>
          </w:tcPr>
          <w:p>
            <w:pPr>
              <w:jc w:val="center"/>
              <w:spacing w:after="0"/>
              <w:rPr>
                <w:sz w:val="20"/>
                <w:szCs w:val="20"/>
                <w:color w:val="auto"/>
              </w:rPr>
            </w:pPr>
            <w:r>
              <w:rPr>
                <w:rFonts w:ascii="Arial" w:cs="Arial" w:eastAsia="Arial" w:hAnsi="Arial"/>
                <w:sz w:val="20"/>
                <w:szCs w:val="20"/>
                <w:color w:val="FF0000"/>
                <w:strike w:val="1"/>
                <w:w w:val="89"/>
              </w:rPr>
              <w:t>95</w:t>
            </w:r>
          </w:p>
        </w:tc>
        <w:tc>
          <w:tcPr>
            <w:tcW w:w="240" w:type="dxa"/>
            <w:vAlign w:val="bottom"/>
            <w:gridSpan w:val="3"/>
          </w:tcPr>
          <w:p>
            <w:pPr>
              <w:spacing w:after="0"/>
              <w:rPr>
                <w:sz w:val="20"/>
                <w:szCs w:val="20"/>
                <w:color w:val="auto"/>
              </w:rPr>
            </w:pPr>
            <w:r>
              <w:rPr>
                <w:rFonts w:ascii="Arial" w:cs="Arial" w:eastAsia="Arial" w:hAnsi="Arial"/>
                <w:sz w:val="20"/>
                <w:szCs w:val="20"/>
                <w:color w:val="0000FF"/>
                <w:w w:val="98"/>
              </w:rPr>
              <w:t>99</w:t>
            </w: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1100" w:type="dxa"/>
            <w:vAlign w:val="bottom"/>
          </w:tcPr>
          <w:p>
            <w:pPr>
              <w:ind w:left="660"/>
              <w:spacing w:after="0"/>
              <w:rPr>
                <w:sz w:val="20"/>
                <w:szCs w:val="20"/>
                <w:color w:val="auto"/>
              </w:rPr>
            </w:pPr>
            <w:r>
              <w:rPr>
                <w:rFonts w:ascii="Arial" w:cs="Arial" w:eastAsia="Arial" w:hAnsi="Arial"/>
                <w:sz w:val="20"/>
                <w:szCs w:val="20"/>
                <w:color w:val="auto"/>
              </w:rPr>
              <w:t>3.06</w:t>
            </w:r>
          </w:p>
        </w:tc>
        <w:tc>
          <w:tcPr>
            <w:tcW w:w="60" w:type="dxa"/>
            <w:vAlign w:val="bottom"/>
          </w:tcPr>
          <w:p>
            <w:pPr>
              <w:spacing w:after="0"/>
              <w:rPr>
                <w:sz w:val="24"/>
                <w:szCs w:val="24"/>
                <w:color w:val="auto"/>
              </w:rPr>
            </w:pPr>
          </w:p>
        </w:tc>
        <w:tc>
          <w:tcPr>
            <w:tcW w:w="4220" w:type="dxa"/>
            <w:vAlign w:val="bottom"/>
            <w:gridSpan w:val="42"/>
          </w:tcPr>
          <w:p>
            <w:pPr>
              <w:ind w:left="140"/>
              <w:spacing w:after="0"/>
              <w:rPr>
                <w:sz w:val="20"/>
                <w:szCs w:val="20"/>
                <w:color w:val="auto"/>
              </w:rPr>
            </w:pPr>
            <w:r>
              <w:rPr>
                <w:rFonts w:ascii="Arial" w:cs="Arial" w:eastAsia="Arial" w:hAnsi="Arial"/>
                <w:sz w:val="20"/>
                <w:szCs w:val="20"/>
                <w:color w:val="auto"/>
                <w:w w:val="95"/>
              </w:rPr>
              <w:t>Mitigation Obligations; Replacement of Lenders.</w:t>
            </w:r>
          </w:p>
        </w:tc>
        <w:tc>
          <w:tcPr>
            <w:tcW w:w="200" w:type="dxa"/>
            <w:vAlign w:val="bottom"/>
            <w:gridSpan w:val="2"/>
          </w:tcPr>
          <w:p>
            <w:pPr>
              <w:jc w:val="right"/>
              <w:spacing w:after="0"/>
              <w:rPr>
                <w:sz w:val="20"/>
                <w:szCs w:val="20"/>
                <w:color w:val="auto"/>
              </w:rPr>
            </w:pPr>
            <w:r>
              <w:rPr>
                <w:rFonts w:ascii="Arial" w:cs="Arial" w:eastAsia="Arial" w:hAnsi="Arial"/>
                <w:sz w:val="20"/>
                <w:szCs w:val="20"/>
                <w:color w:val="FF0000"/>
                <w:strike w:val="1"/>
                <w:w w:val="80"/>
              </w:rPr>
              <w:t>95</w:t>
            </w:r>
          </w:p>
        </w:tc>
        <w:tc>
          <w:tcPr>
            <w:tcW w:w="240" w:type="dxa"/>
            <w:vAlign w:val="bottom"/>
          </w:tcPr>
          <w:p>
            <w:pPr>
              <w:jc w:val="right"/>
              <w:spacing w:after="0"/>
              <w:rPr>
                <w:sz w:val="20"/>
                <w:szCs w:val="20"/>
                <w:color w:val="auto"/>
              </w:rPr>
            </w:pPr>
            <w:r>
              <w:rPr>
                <w:rFonts w:ascii="Arial" w:cs="Arial" w:eastAsia="Arial" w:hAnsi="Arial"/>
                <w:sz w:val="20"/>
                <w:szCs w:val="20"/>
                <w:color w:val="0000FF"/>
                <w:w w:val="80"/>
              </w:rPr>
              <w:t>99</w:t>
            </w:r>
          </w:p>
        </w:tc>
        <w:tc>
          <w:tcPr>
            <w:tcW w:w="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1100" w:type="dxa"/>
            <w:vAlign w:val="bottom"/>
          </w:tcPr>
          <w:p>
            <w:pPr>
              <w:ind w:left="660"/>
              <w:spacing w:after="0"/>
              <w:rPr>
                <w:sz w:val="20"/>
                <w:szCs w:val="20"/>
                <w:color w:val="auto"/>
              </w:rPr>
            </w:pPr>
            <w:r>
              <w:rPr>
                <w:rFonts w:ascii="Arial" w:cs="Arial" w:eastAsia="Arial" w:hAnsi="Arial"/>
                <w:sz w:val="20"/>
                <w:szCs w:val="20"/>
                <w:color w:val="auto"/>
              </w:rPr>
              <w:t>3.07</w:t>
            </w:r>
          </w:p>
        </w:tc>
        <w:tc>
          <w:tcPr>
            <w:tcW w:w="60" w:type="dxa"/>
            <w:vAlign w:val="bottom"/>
          </w:tcPr>
          <w:p>
            <w:pPr>
              <w:spacing w:after="0"/>
              <w:rPr>
                <w:sz w:val="24"/>
                <w:szCs w:val="24"/>
                <w:color w:val="auto"/>
              </w:rPr>
            </w:pPr>
          </w:p>
        </w:tc>
        <w:tc>
          <w:tcPr>
            <w:tcW w:w="1490" w:type="dxa"/>
            <w:vAlign w:val="bottom"/>
            <w:gridSpan w:val="12"/>
          </w:tcPr>
          <w:p>
            <w:pPr>
              <w:ind w:left="140"/>
              <w:spacing w:after="0"/>
              <w:rPr>
                <w:sz w:val="20"/>
                <w:szCs w:val="20"/>
                <w:color w:val="auto"/>
              </w:rPr>
            </w:pPr>
            <w:r>
              <w:rPr>
                <w:rFonts w:ascii="Arial" w:cs="Arial" w:eastAsia="Arial" w:hAnsi="Arial"/>
                <w:sz w:val="20"/>
                <w:szCs w:val="20"/>
                <w:color w:val="auto"/>
                <w:w w:val="92"/>
              </w:rPr>
              <w:t>Survival Losses.</w:t>
            </w:r>
          </w:p>
        </w:tc>
        <w:tc>
          <w:tcPr>
            <w:tcW w:w="70" w:type="dxa"/>
            <w:vAlign w:val="bottom"/>
          </w:tcPr>
          <w:p>
            <w:pPr>
              <w:spacing w:after="0"/>
              <w:rPr>
                <w:sz w:val="24"/>
                <w:szCs w:val="24"/>
                <w:color w:val="auto"/>
              </w:rPr>
            </w:pPr>
          </w:p>
        </w:tc>
        <w:tc>
          <w:tcPr>
            <w:tcW w:w="280" w:type="dxa"/>
            <w:vAlign w:val="bottom"/>
            <w:gridSpan w:val="4"/>
          </w:tcPr>
          <w:p>
            <w:pPr>
              <w:jc w:val="right"/>
              <w:spacing w:after="0"/>
              <w:rPr>
                <w:sz w:val="20"/>
                <w:szCs w:val="20"/>
                <w:color w:val="auto"/>
              </w:rPr>
            </w:pPr>
            <w:r>
              <w:rPr>
                <w:rFonts w:ascii="Arial" w:cs="Arial" w:eastAsia="Arial" w:hAnsi="Arial"/>
                <w:sz w:val="20"/>
                <w:szCs w:val="20"/>
                <w:color w:val="FF0000"/>
                <w:strike w:val="1"/>
              </w:rPr>
              <w:t>96</w:t>
            </w:r>
          </w:p>
        </w:tc>
        <w:tc>
          <w:tcPr>
            <w:tcW w:w="320" w:type="dxa"/>
            <w:vAlign w:val="bottom"/>
            <w:gridSpan w:val="3"/>
          </w:tcPr>
          <w:p>
            <w:pPr>
              <w:spacing w:after="0"/>
              <w:rPr>
                <w:sz w:val="20"/>
                <w:szCs w:val="20"/>
                <w:color w:val="auto"/>
              </w:rPr>
            </w:pPr>
            <w:r>
              <w:rPr>
                <w:rFonts w:ascii="Arial" w:cs="Arial" w:eastAsia="Arial" w:hAnsi="Arial"/>
                <w:sz w:val="20"/>
                <w:szCs w:val="20"/>
                <w:color w:val="0000FF"/>
                <w:w w:val="89"/>
              </w:rPr>
              <w:t>100</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2260" w:type="dxa"/>
            <w:vAlign w:val="bottom"/>
            <w:gridSpan w:val="7"/>
          </w:tcPr>
          <w:p>
            <w:pPr>
              <w:spacing w:after="0"/>
              <w:rPr>
                <w:sz w:val="20"/>
                <w:szCs w:val="20"/>
                <w:color w:val="auto"/>
              </w:rPr>
            </w:pPr>
            <w:r>
              <w:rPr>
                <w:rFonts w:ascii="Arial" w:cs="Arial" w:eastAsia="Arial" w:hAnsi="Arial"/>
                <w:sz w:val="20"/>
                <w:szCs w:val="20"/>
                <w:color w:val="auto"/>
                <w:w w:val="99"/>
              </w:rPr>
              <w:t>ARTICLE IV GUARANTY</w:t>
            </w:r>
          </w:p>
        </w:tc>
        <w:tc>
          <w:tcPr>
            <w:tcW w:w="200" w:type="dxa"/>
            <w:vAlign w:val="bottom"/>
            <w:gridSpan w:val="3"/>
          </w:tcPr>
          <w:p>
            <w:pPr>
              <w:jc w:val="right"/>
              <w:spacing w:after="0"/>
              <w:rPr>
                <w:sz w:val="20"/>
                <w:szCs w:val="20"/>
                <w:color w:val="auto"/>
              </w:rPr>
            </w:pPr>
            <w:r>
              <w:rPr>
                <w:rFonts w:ascii="Arial" w:cs="Arial" w:eastAsia="Arial" w:hAnsi="Arial"/>
                <w:sz w:val="20"/>
                <w:szCs w:val="20"/>
                <w:color w:val="FF0000"/>
                <w:strike w:val="1"/>
                <w:w w:val="80"/>
              </w:rPr>
              <w:t>96</w:t>
            </w:r>
          </w:p>
        </w:tc>
        <w:tc>
          <w:tcPr>
            <w:tcW w:w="340" w:type="dxa"/>
            <w:vAlign w:val="bottom"/>
            <w:gridSpan w:val="6"/>
          </w:tcPr>
          <w:p>
            <w:pPr>
              <w:jc w:val="right"/>
              <w:spacing w:after="0"/>
              <w:rPr>
                <w:sz w:val="20"/>
                <w:szCs w:val="20"/>
                <w:color w:val="auto"/>
              </w:rPr>
            </w:pPr>
            <w:r>
              <w:rPr>
                <w:rFonts w:ascii="Arial" w:cs="Arial" w:eastAsia="Arial" w:hAnsi="Arial"/>
                <w:sz w:val="20"/>
                <w:szCs w:val="20"/>
                <w:color w:val="0000FF"/>
                <w:w w:val="83"/>
              </w:rPr>
              <w:t>100</w:t>
            </w: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1100" w:type="dxa"/>
            <w:vAlign w:val="bottom"/>
          </w:tcPr>
          <w:p>
            <w:pPr>
              <w:ind w:left="660"/>
              <w:spacing w:after="0"/>
              <w:rPr>
                <w:sz w:val="20"/>
                <w:szCs w:val="20"/>
                <w:color w:val="auto"/>
              </w:rPr>
            </w:pPr>
            <w:r>
              <w:rPr>
                <w:rFonts w:ascii="Arial" w:cs="Arial" w:eastAsia="Arial" w:hAnsi="Arial"/>
                <w:sz w:val="20"/>
                <w:szCs w:val="20"/>
                <w:color w:val="auto"/>
              </w:rPr>
              <w:t>4.01</w:t>
            </w:r>
          </w:p>
        </w:tc>
        <w:tc>
          <w:tcPr>
            <w:tcW w:w="60" w:type="dxa"/>
            <w:vAlign w:val="bottom"/>
          </w:tcPr>
          <w:p>
            <w:pPr>
              <w:spacing w:after="0"/>
              <w:rPr>
                <w:sz w:val="24"/>
                <w:szCs w:val="24"/>
                <w:color w:val="auto"/>
              </w:rPr>
            </w:pPr>
          </w:p>
        </w:tc>
        <w:tc>
          <w:tcPr>
            <w:tcW w:w="1460" w:type="dxa"/>
            <w:vAlign w:val="bottom"/>
            <w:gridSpan w:val="11"/>
          </w:tcPr>
          <w:p>
            <w:pPr>
              <w:ind w:left="140"/>
              <w:spacing w:after="0"/>
              <w:rPr>
                <w:sz w:val="20"/>
                <w:szCs w:val="20"/>
                <w:color w:val="auto"/>
              </w:rPr>
            </w:pPr>
            <w:r>
              <w:rPr>
                <w:rFonts w:ascii="Arial" w:cs="Arial" w:eastAsia="Arial" w:hAnsi="Arial"/>
                <w:sz w:val="20"/>
                <w:szCs w:val="20"/>
                <w:color w:val="auto"/>
              </w:rPr>
              <w:t>The Guaranty.</w:t>
            </w:r>
          </w:p>
        </w:tc>
        <w:tc>
          <w:tcPr>
            <w:tcW w:w="200" w:type="dxa"/>
            <w:vAlign w:val="bottom"/>
            <w:gridSpan w:val="4"/>
          </w:tcPr>
          <w:p>
            <w:pPr>
              <w:spacing w:after="0"/>
              <w:rPr>
                <w:sz w:val="20"/>
                <w:szCs w:val="20"/>
                <w:color w:val="auto"/>
              </w:rPr>
            </w:pPr>
            <w:r>
              <w:rPr>
                <w:rFonts w:ascii="Arial" w:cs="Arial" w:eastAsia="Arial" w:hAnsi="Arial"/>
                <w:sz w:val="20"/>
                <w:szCs w:val="20"/>
                <w:color w:val="FF0000"/>
                <w:strike w:val="1"/>
                <w:w w:val="80"/>
              </w:rPr>
              <w:t>96</w:t>
            </w:r>
          </w:p>
        </w:tc>
        <w:tc>
          <w:tcPr>
            <w:tcW w:w="300" w:type="dxa"/>
            <w:vAlign w:val="bottom"/>
            <w:gridSpan w:val="3"/>
          </w:tcPr>
          <w:p>
            <w:pPr>
              <w:jc w:val="right"/>
              <w:spacing w:after="0"/>
              <w:rPr>
                <w:sz w:val="20"/>
                <w:szCs w:val="20"/>
                <w:color w:val="auto"/>
              </w:rPr>
            </w:pPr>
            <w:r>
              <w:rPr>
                <w:rFonts w:ascii="Arial" w:cs="Arial" w:eastAsia="Arial" w:hAnsi="Arial"/>
                <w:sz w:val="20"/>
                <w:szCs w:val="20"/>
                <w:color w:val="0000FF"/>
                <w:w w:val="77"/>
              </w:rPr>
              <w:t>100</w:t>
            </w: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1100" w:type="dxa"/>
            <w:vAlign w:val="bottom"/>
          </w:tcPr>
          <w:p>
            <w:pPr>
              <w:ind w:left="660"/>
              <w:spacing w:after="0"/>
              <w:rPr>
                <w:sz w:val="20"/>
                <w:szCs w:val="20"/>
                <w:color w:val="auto"/>
              </w:rPr>
            </w:pPr>
            <w:r>
              <w:rPr>
                <w:rFonts w:ascii="Arial" w:cs="Arial" w:eastAsia="Arial" w:hAnsi="Arial"/>
                <w:sz w:val="20"/>
                <w:szCs w:val="20"/>
                <w:color w:val="auto"/>
              </w:rPr>
              <w:t>4.02</w:t>
            </w:r>
          </w:p>
        </w:tc>
        <w:tc>
          <w:tcPr>
            <w:tcW w:w="60" w:type="dxa"/>
            <w:vAlign w:val="bottom"/>
          </w:tcPr>
          <w:p>
            <w:pPr>
              <w:spacing w:after="0"/>
              <w:rPr>
                <w:sz w:val="24"/>
                <w:szCs w:val="24"/>
                <w:color w:val="auto"/>
              </w:rPr>
            </w:pPr>
          </w:p>
        </w:tc>
        <w:tc>
          <w:tcPr>
            <w:tcW w:w="2380" w:type="dxa"/>
            <w:vAlign w:val="bottom"/>
            <w:gridSpan w:val="24"/>
          </w:tcPr>
          <w:p>
            <w:pPr>
              <w:ind w:left="140"/>
              <w:spacing w:after="0"/>
              <w:rPr>
                <w:sz w:val="20"/>
                <w:szCs w:val="20"/>
                <w:color w:val="auto"/>
              </w:rPr>
            </w:pPr>
            <w:r>
              <w:rPr>
                <w:rFonts w:ascii="Arial" w:cs="Arial" w:eastAsia="Arial" w:hAnsi="Arial"/>
                <w:sz w:val="20"/>
                <w:szCs w:val="20"/>
                <w:color w:val="auto"/>
                <w:w w:val="95"/>
              </w:rPr>
              <w:t>Obligations Unconditional.</w:t>
            </w:r>
          </w:p>
        </w:tc>
        <w:tc>
          <w:tcPr>
            <w:tcW w:w="300" w:type="dxa"/>
            <w:vAlign w:val="bottom"/>
            <w:gridSpan w:val="3"/>
          </w:tcPr>
          <w:p>
            <w:pPr>
              <w:jc w:val="right"/>
              <w:spacing w:after="0"/>
              <w:rPr>
                <w:sz w:val="20"/>
                <w:szCs w:val="20"/>
                <w:color w:val="auto"/>
              </w:rPr>
            </w:pPr>
            <w:r>
              <w:rPr>
                <w:rFonts w:ascii="Arial" w:cs="Arial" w:eastAsia="Arial" w:hAnsi="Arial"/>
                <w:sz w:val="20"/>
                <w:szCs w:val="20"/>
                <w:color w:val="FF0000"/>
                <w:strike w:val="1"/>
              </w:rPr>
              <w:t>96</w:t>
            </w:r>
          </w:p>
        </w:tc>
        <w:tc>
          <w:tcPr>
            <w:tcW w:w="320" w:type="dxa"/>
            <w:vAlign w:val="bottom"/>
            <w:gridSpan w:val="5"/>
          </w:tcPr>
          <w:p>
            <w:pPr>
              <w:jc w:val="right"/>
              <w:spacing w:after="0"/>
              <w:rPr>
                <w:sz w:val="20"/>
                <w:szCs w:val="20"/>
                <w:color w:val="auto"/>
              </w:rPr>
            </w:pPr>
            <w:r>
              <w:rPr>
                <w:rFonts w:ascii="Arial" w:cs="Arial" w:eastAsia="Arial" w:hAnsi="Arial"/>
                <w:sz w:val="20"/>
                <w:szCs w:val="20"/>
                <w:color w:val="0000FF"/>
                <w:w w:val="83"/>
              </w:rPr>
              <w:t>100</w:t>
            </w: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1100" w:type="dxa"/>
            <w:vAlign w:val="bottom"/>
          </w:tcPr>
          <w:p>
            <w:pPr>
              <w:ind w:left="660"/>
              <w:spacing w:after="0"/>
              <w:rPr>
                <w:sz w:val="20"/>
                <w:szCs w:val="20"/>
                <w:color w:val="auto"/>
              </w:rPr>
            </w:pPr>
            <w:r>
              <w:rPr>
                <w:rFonts w:ascii="Arial" w:cs="Arial" w:eastAsia="Arial" w:hAnsi="Arial"/>
                <w:sz w:val="20"/>
                <w:szCs w:val="20"/>
                <w:color w:val="auto"/>
              </w:rPr>
              <w:t>4.03</w:t>
            </w:r>
          </w:p>
        </w:tc>
        <w:tc>
          <w:tcPr>
            <w:tcW w:w="60" w:type="dxa"/>
            <w:vAlign w:val="bottom"/>
          </w:tcPr>
          <w:p>
            <w:pPr>
              <w:spacing w:after="0"/>
              <w:rPr>
                <w:sz w:val="24"/>
                <w:szCs w:val="24"/>
                <w:color w:val="auto"/>
              </w:rPr>
            </w:pPr>
          </w:p>
        </w:tc>
        <w:tc>
          <w:tcPr>
            <w:tcW w:w="1490" w:type="dxa"/>
            <w:vAlign w:val="bottom"/>
            <w:gridSpan w:val="12"/>
          </w:tcPr>
          <w:p>
            <w:pPr>
              <w:ind w:left="140"/>
              <w:spacing w:after="0"/>
              <w:rPr>
                <w:sz w:val="20"/>
                <w:szCs w:val="20"/>
                <w:color w:val="auto"/>
              </w:rPr>
            </w:pPr>
            <w:r>
              <w:rPr>
                <w:rFonts w:ascii="Arial" w:cs="Arial" w:eastAsia="Arial" w:hAnsi="Arial"/>
                <w:sz w:val="20"/>
                <w:szCs w:val="20"/>
                <w:color w:val="auto"/>
                <w:w w:val="99"/>
              </w:rPr>
              <w:t>Reinstatement.</w:t>
            </w:r>
          </w:p>
        </w:tc>
        <w:tc>
          <w:tcPr>
            <w:tcW w:w="210" w:type="dxa"/>
            <w:vAlign w:val="bottom"/>
            <w:gridSpan w:val="4"/>
          </w:tcPr>
          <w:p>
            <w:pPr>
              <w:jc w:val="right"/>
              <w:spacing w:after="0"/>
              <w:rPr>
                <w:sz w:val="20"/>
                <w:szCs w:val="20"/>
                <w:color w:val="auto"/>
              </w:rPr>
            </w:pPr>
            <w:r>
              <w:rPr>
                <w:rFonts w:ascii="Arial" w:cs="Arial" w:eastAsia="Arial" w:hAnsi="Arial"/>
                <w:sz w:val="20"/>
                <w:szCs w:val="20"/>
                <w:color w:val="FF0000"/>
                <w:strike w:val="1"/>
                <w:w w:val="80"/>
              </w:rPr>
              <w:t>97</w:t>
            </w:r>
          </w:p>
        </w:tc>
        <w:tc>
          <w:tcPr>
            <w:tcW w:w="320" w:type="dxa"/>
            <w:vAlign w:val="bottom"/>
            <w:gridSpan w:val="3"/>
          </w:tcPr>
          <w:p>
            <w:pPr>
              <w:jc w:val="right"/>
              <w:spacing w:after="0"/>
              <w:rPr>
                <w:sz w:val="20"/>
                <w:szCs w:val="20"/>
                <w:color w:val="auto"/>
              </w:rPr>
            </w:pPr>
            <w:r>
              <w:rPr>
                <w:rFonts w:ascii="Arial" w:cs="Arial" w:eastAsia="Arial" w:hAnsi="Arial"/>
                <w:sz w:val="20"/>
                <w:szCs w:val="20"/>
                <w:color w:val="0000FF"/>
                <w:w w:val="83"/>
              </w:rPr>
              <w:t>101</w:t>
            </w: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1100" w:type="dxa"/>
            <w:vAlign w:val="bottom"/>
          </w:tcPr>
          <w:p>
            <w:pPr>
              <w:ind w:left="660"/>
              <w:spacing w:after="0"/>
              <w:rPr>
                <w:sz w:val="20"/>
                <w:szCs w:val="20"/>
                <w:color w:val="auto"/>
              </w:rPr>
            </w:pPr>
            <w:r>
              <w:rPr>
                <w:rFonts w:ascii="Arial" w:cs="Arial" w:eastAsia="Arial" w:hAnsi="Arial"/>
                <w:sz w:val="20"/>
                <w:szCs w:val="20"/>
                <w:color w:val="auto"/>
              </w:rPr>
              <w:t>4.04</w:t>
            </w:r>
          </w:p>
        </w:tc>
        <w:tc>
          <w:tcPr>
            <w:tcW w:w="60" w:type="dxa"/>
            <w:vAlign w:val="bottom"/>
          </w:tcPr>
          <w:p>
            <w:pPr>
              <w:spacing w:after="0"/>
              <w:rPr>
                <w:sz w:val="24"/>
                <w:szCs w:val="24"/>
                <w:color w:val="auto"/>
              </w:rPr>
            </w:pPr>
          </w:p>
        </w:tc>
        <w:tc>
          <w:tcPr>
            <w:tcW w:w="1490" w:type="dxa"/>
            <w:vAlign w:val="bottom"/>
            <w:gridSpan w:val="12"/>
          </w:tcPr>
          <w:p>
            <w:pPr>
              <w:ind w:left="140"/>
              <w:spacing w:after="0"/>
              <w:rPr>
                <w:sz w:val="20"/>
                <w:szCs w:val="20"/>
                <w:color w:val="auto"/>
              </w:rPr>
            </w:pPr>
            <w:r>
              <w:rPr>
                <w:rFonts w:ascii="Arial" w:cs="Arial" w:eastAsia="Arial" w:hAnsi="Arial"/>
                <w:sz w:val="20"/>
                <w:szCs w:val="20"/>
                <w:color w:val="auto"/>
                <w:w w:val="90"/>
              </w:rPr>
              <w:t>Certain Waivers.</w:t>
            </w:r>
          </w:p>
        </w:tc>
        <w:tc>
          <w:tcPr>
            <w:tcW w:w="7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gridSpan w:val="3"/>
          </w:tcPr>
          <w:p>
            <w:pPr>
              <w:jc w:val="right"/>
              <w:spacing w:after="0"/>
              <w:rPr>
                <w:sz w:val="20"/>
                <w:szCs w:val="20"/>
                <w:color w:val="auto"/>
              </w:rPr>
            </w:pPr>
            <w:r>
              <w:rPr>
                <w:rFonts w:ascii="Arial" w:cs="Arial" w:eastAsia="Arial" w:hAnsi="Arial"/>
                <w:sz w:val="20"/>
                <w:szCs w:val="20"/>
                <w:color w:val="FF0000"/>
                <w:strike w:val="1"/>
                <w:w w:val="80"/>
              </w:rPr>
              <w:t>98</w:t>
            </w:r>
          </w:p>
        </w:tc>
        <w:tc>
          <w:tcPr>
            <w:tcW w:w="320" w:type="dxa"/>
            <w:vAlign w:val="bottom"/>
            <w:gridSpan w:val="3"/>
          </w:tcPr>
          <w:p>
            <w:pPr>
              <w:jc w:val="right"/>
              <w:spacing w:after="0"/>
              <w:rPr>
                <w:sz w:val="20"/>
                <w:szCs w:val="20"/>
                <w:color w:val="auto"/>
              </w:rPr>
            </w:pPr>
            <w:r>
              <w:rPr>
                <w:rFonts w:ascii="Arial" w:cs="Arial" w:eastAsia="Arial" w:hAnsi="Arial"/>
                <w:sz w:val="20"/>
                <w:szCs w:val="20"/>
                <w:color w:val="0000FF"/>
                <w:w w:val="83"/>
              </w:rPr>
              <w:t>102</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1100" w:type="dxa"/>
            <w:vAlign w:val="bottom"/>
          </w:tcPr>
          <w:p>
            <w:pPr>
              <w:ind w:left="660"/>
              <w:spacing w:after="0"/>
              <w:rPr>
                <w:sz w:val="20"/>
                <w:szCs w:val="20"/>
                <w:color w:val="auto"/>
              </w:rPr>
            </w:pPr>
            <w:r>
              <w:rPr>
                <w:rFonts w:ascii="Arial" w:cs="Arial" w:eastAsia="Arial" w:hAnsi="Arial"/>
                <w:sz w:val="20"/>
                <w:szCs w:val="20"/>
                <w:color w:val="auto"/>
              </w:rPr>
              <w:t>4.05</w:t>
            </w:r>
          </w:p>
        </w:tc>
        <w:tc>
          <w:tcPr>
            <w:tcW w:w="60" w:type="dxa"/>
            <w:vAlign w:val="bottom"/>
          </w:tcPr>
          <w:p>
            <w:pPr>
              <w:spacing w:after="0"/>
              <w:rPr>
                <w:sz w:val="24"/>
                <w:szCs w:val="24"/>
                <w:color w:val="auto"/>
              </w:rPr>
            </w:pPr>
          </w:p>
        </w:tc>
        <w:tc>
          <w:tcPr>
            <w:tcW w:w="1080" w:type="dxa"/>
            <w:vAlign w:val="bottom"/>
            <w:gridSpan w:val="4"/>
          </w:tcPr>
          <w:p>
            <w:pPr>
              <w:ind w:left="140"/>
              <w:spacing w:after="0"/>
              <w:rPr>
                <w:sz w:val="20"/>
                <w:szCs w:val="20"/>
                <w:color w:val="auto"/>
              </w:rPr>
            </w:pPr>
            <w:r>
              <w:rPr>
                <w:rFonts w:ascii="Arial" w:cs="Arial" w:eastAsia="Arial" w:hAnsi="Arial"/>
                <w:sz w:val="20"/>
                <w:szCs w:val="20"/>
                <w:color w:val="auto"/>
                <w:w w:val="96"/>
              </w:rPr>
              <w:t>Remedies.</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gridSpan w:val="3"/>
          </w:tcPr>
          <w:p>
            <w:pPr>
              <w:ind w:left="40"/>
              <w:spacing w:after="0"/>
              <w:rPr>
                <w:sz w:val="20"/>
                <w:szCs w:val="20"/>
                <w:color w:val="auto"/>
              </w:rPr>
            </w:pPr>
            <w:r>
              <w:rPr>
                <w:rFonts w:ascii="Arial" w:cs="Arial" w:eastAsia="Arial" w:hAnsi="Arial"/>
                <w:sz w:val="20"/>
                <w:szCs w:val="20"/>
                <w:color w:val="FF0000"/>
                <w:strike w:val="1"/>
                <w:w w:val="80"/>
              </w:rPr>
              <w:t>98</w:t>
            </w:r>
          </w:p>
        </w:tc>
        <w:tc>
          <w:tcPr>
            <w:tcW w:w="280" w:type="dxa"/>
            <w:vAlign w:val="bottom"/>
            <w:gridSpan w:val="5"/>
          </w:tcPr>
          <w:p>
            <w:pPr>
              <w:jc w:val="right"/>
              <w:spacing w:after="0"/>
              <w:rPr>
                <w:sz w:val="20"/>
                <w:szCs w:val="20"/>
                <w:color w:val="auto"/>
              </w:rPr>
            </w:pPr>
            <w:r>
              <w:rPr>
                <w:rFonts w:ascii="Arial" w:cs="Arial" w:eastAsia="Arial" w:hAnsi="Arial"/>
                <w:sz w:val="20"/>
                <w:szCs w:val="20"/>
                <w:color w:val="0000FF"/>
                <w:w w:val="77"/>
              </w:rPr>
              <w:t>102</w:t>
            </w: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1100" w:type="dxa"/>
            <w:vAlign w:val="bottom"/>
          </w:tcPr>
          <w:p>
            <w:pPr>
              <w:ind w:left="660"/>
              <w:spacing w:after="0"/>
              <w:rPr>
                <w:sz w:val="20"/>
                <w:szCs w:val="20"/>
                <w:color w:val="auto"/>
              </w:rPr>
            </w:pPr>
            <w:r>
              <w:rPr>
                <w:rFonts w:ascii="Arial" w:cs="Arial" w:eastAsia="Arial" w:hAnsi="Arial"/>
                <w:sz w:val="20"/>
                <w:szCs w:val="20"/>
                <w:color w:val="auto"/>
              </w:rPr>
              <w:t>4.06</w:t>
            </w:r>
          </w:p>
        </w:tc>
        <w:tc>
          <w:tcPr>
            <w:tcW w:w="60" w:type="dxa"/>
            <w:vAlign w:val="bottom"/>
          </w:tcPr>
          <w:p>
            <w:pPr>
              <w:spacing w:after="0"/>
              <w:rPr>
                <w:sz w:val="24"/>
                <w:szCs w:val="24"/>
                <w:color w:val="auto"/>
              </w:rPr>
            </w:pPr>
          </w:p>
        </w:tc>
        <w:tc>
          <w:tcPr>
            <w:tcW w:w="2020" w:type="dxa"/>
            <w:vAlign w:val="bottom"/>
            <w:gridSpan w:val="19"/>
          </w:tcPr>
          <w:p>
            <w:pPr>
              <w:ind w:left="140"/>
              <w:spacing w:after="0"/>
              <w:rPr>
                <w:sz w:val="20"/>
                <w:szCs w:val="20"/>
                <w:color w:val="auto"/>
              </w:rPr>
            </w:pPr>
            <w:r>
              <w:rPr>
                <w:rFonts w:ascii="Arial" w:cs="Arial" w:eastAsia="Arial" w:hAnsi="Arial"/>
                <w:sz w:val="20"/>
                <w:szCs w:val="20"/>
                <w:color w:val="auto"/>
                <w:w w:val="93"/>
              </w:rPr>
              <w:t>Rights of Contribution.</w:t>
            </w:r>
          </w:p>
        </w:tc>
        <w:tc>
          <w:tcPr>
            <w:tcW w:w="140" w:type="dxa"/>
            <w:vAlign w:val="bottom"/>
          </w:tcPr>
          <w:p>
            <w:pPr>
              <w:spacing w:after="0"/>
              <w:rPr>
                <w:sz w:val="24"/>
                <w:szCs w:val="24"/>
                <w:color w:val="auto"/>
              </w:rPr>
            </w:pPr>
          </w:p>
        </w:tc>
        <w:tc>
          <w:tcPr>
            <w:tcW w:w="200" w:type="dxa"/>
            <w:vAlign w:val="bottom"/>
            <w:gridSpan w:val="3"/>
          </w:tcPr>
          <w:p>
            <w:pPr>
              <w:jc w:val="right"/>
              <w:spacing w:after="0"/>
              <w:rPr>
                <w:sz w:val="20"/>
                <w:szCs w:val="20"/>
                <w:color w:val="auto"/>
              </w:rPr>
            </w:pPr>
            <w:r>
              <w:rPr>
                <w:rFonts w:ascii="Arial" w:cs="Arial" w:eastAsia="Arial" w:hAnsi="Arial"/>
                <w:sz w:val="20"/>
                <w:szCs w:val="20"/>
                <w:color w:val="FF0000"/>
                <w:strike w:val="1"/>
                <w:w w:val="80"/>
              </w:rPr>
              <w:t>98</w:t>
            </w:r>
          </w:p>
        </w:tc>
        <w:tc>
          <w:tcPr>
            <w:tcW w:w="320" w:type="dxa"/>
            <w:vAlign w:val="bottom"/>
            <w:gridSpan w:val="4"/>
          </w:tcPr>
          <w:p>
            <w:pPr>
              <w:jc w:val="center"/>
              <w:spacing w:after="0"/>
              <w:rPr>
                <w:sz w:val="20"/>
                <w:szCs w:val="20"/>
                <w:color w:val="auto"/>
              </w:rPr>
            </w:pPr>
            <w:r>
              <w:rPr>
                <w:rFonts w:ascii="Arial" w:cs="Arial" w:eastAsia="Arial" w:hAnsi="Arial"/>
                <w:sz w:val="20"/>
                <w:szCs w:val="20"/>
                <w:color w:val="0000FF"/>
                <w:w w:val="89"/>
              </w:rPr>
              <w:t>102</w:t>
            </w: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1100" w:type="dxa"/>
            <w:vAlign w:val="bottom"/>
          </w:tcPr>
          <w:p>
            <w:pPr>
              <w:ind w:left="660"/>
              <w:spacing w:after="0"/>
              <w:rPr>
                <w:sz w:val="20"/>
                <w:szCs w:val="20"/>
                <w:color w:val="auto"/>
              </w:rPr>
            </w:pPr>
            <w:r>
              <w:rPr>
                <w:rFonts w:ascii="Arial" w:cs="Arial" w:eastAsia="Arial" w:hAnsi="Arial"/>
                <w:sz w:val="20"/>
                <w:szCs w:val="20"/>
                <w:color w:val="auto"/>
              </w:rPr>
              <w:t>4.07</w:t>
            </w:r>
          </w:p>
        </w:tc>
        <w:tc>
          <w:tcPr>
            <w:tcW w:w="60" w:type="dxa"/>
            <w:vAlign w:val="bottom"/>
          </w:tcPr>
          <w:p>
            <w:pPr>
              <w:spacing w:after="0"/>
              <w:rPr>
                <w:sz w:val="24"/>
                <w:szCs w:val="24"/>
                <w:color w:val="auto"/>
              </w:rPr>
            </w:pPr>
          </w:p>
        </w:tc>
        <w:tc>
          <w:tcPr>
            <w:tcW w:w="3820" w:type="dxa"/>
            <w:vAlign w:val="bottom"/>
            <w:gridSpan w:val="39"/>
          </w:tcPr>
          <w:p>
            <w:pPr>
              <w:ind w:left="140"/>
              <w:spacing w:after="0"/>
              <w:rPr>
                <w:sz w:val="20"/>
                <w:szCs w:val="20"/>
                <w:color w:val="auto"/>
              </w:rPr>
            </w:pPr>
            <w:r>
              <w:rPr>
                <w:rFonts w:ascii="Arial" w:cs="Arial" w:eastAsia="Arial" w:hAnsi="Arial"/>
                <w:sz w:val="20"/>
                <w:szCs w:val="20"/>
                <w:color w:val="auto"/>
                <w:w w:val="94"/>
              </w:rPr>
              <w:t>Guaranty of Payment; Continuing Guaranty.</w:t>
            </w:r>
          </w:p>
        </w:tc>
        <w:tc>
          <w:tcPr>
            <w:tcW w:w="220" w:type="dxa"/>
            <w:vAlign w:val="bottom"/>
            <w:gridSpan w:val="2"/>
          </w:tcPr>
          <w:p>
            <w:pPr>
              <w:jc w:val="right"/>
              <w:spacing w:after="0"/>
              <w:rPr>
                <w:sz w:val="20"/>
                <w:szCs w:val="20"/>
                <w:color w:val="auto"/>
              </w:rPr>
            </w:pPr>
            <w:r>
              <w:rPr>
                <w:rFonts w:ascii="Arial" w:cs="Arial" w:eastAsia="Arial" w:hAnsi="Arial"/>
                <w:sz w:val="20"/>
                <w:szCs w:val="20"/>
                <w:color w:val="FF0000"/>
                <w:strike w:val="1"/>
                <w:w w:val="89"/>
              </w:rPr>
              <w:t>99</w:t>
            </w:r>
          </w:p>
        </w:tc>
        <w:tc>
          <w:tcPr>
            <w:tcW w:w="380" w:type="dxa"/>
            <w:vAlign w:val="bottom"/>
            <w:gridSpan w:val="3"/>
          </w:tcPr>
          <w:p>
            <w:pPr>
              <w:jc w:val="right"/>
              <w:spacing w:after="0"/>
              <w:rPr>
                <w:sz w:val="20"/>
                <w:szCs w:val="20"/>
                <w:color w:val="auto"/>
              </w:rPr>
            </w:pPr>
            <w:r>
              <w:rPr>
                <w:rFonts w:ascii="Arial" w:cs="Arial" w:eastAsia="Arial" w:hAnsi="Arial"/>
                <w:sz w:val="20"/>
                <w:szCs w:val="20"/>
                <w:color w:val="0000FF"/>
                <w:w w:val="83"/>
              </w:rPr>
              <w:t>102</w:t>
            </w: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1100" w:type="dxa"/>
            <w:vAlign w:val="bottom"/>
          </w:tcPr>
          <w:p>
            <w:pPr>
              <w:ind w:left="660"/>
              <w:spacing w:after="0"/>
              <w:rPr>
                <w:sz w:val="20"/>
                <w:szCs w:val="20"/>
                <w:color w:val="auto"/>
              </w:rPr>
            </w:pPr>
            <w:r>
              <w:rPr>
                <w:rFonts w:ascii="Arial" w:cs="Arial" w:eastAsia="Arial" w:hAnsi="Arial"/>
                <w:sz w:val="20"/>
                <w:szCs w:val="20"/>
                <w:color w:val="0000FF"/>
              </w:rPr>
              <w:t>4.08</w:t>
            </w:r>
          </w:p>
        </w:tc>
        <w:tc>
          <w:tcPr>
            <w:tcW w:w="60" w:type="dxa"/>
            <w:vAlign w:val="bottom"/>
          </w:tcPr>
          <w:p>
            <w:pPr>
              <w:spacing w:after="0"/>
              <w:rPr>
                <w:sz w:val="24"/>
                <w:szCs w:val="24"/>
                <w:color w:val="auto"/>
              </w:rPr>
            </w:pPr>
          </w:p>
        </w:tc>
        <w:tc>
          <w:tcPr>
            <w:tcW w:w="1080" w:type="dxa"/>
            <w:vAlign w:val="bottom"/>
            <w:gridSpan w:val="4"/>
          </w:tcPr>
          <w:p>
            <w:pPr>
              <w:ind w:left="140"/>
              <w:spacing w:after="0"/>
              <w:rPr>
                <w:sz w:val="20"/>
                <w:szCs w:val="20"/>
                <w:color w:val="auto"/>
              </w:rPr>
            </w:pPr>
            <w:r>
              <w:rPr>
                <w:rFonts w:ascii="Arial" w:cs="Arial" w:eastAsia="Arial" w:hAnsi="Arial"/>
                <w:sz w:val="20"/>
                <w:szCs w:val="20"/>
                <w:color w:val="0000FF"/>
              </w:rPr>
              <w:t>Keepwell.</w:t>
            </w:r>
          </w:p>
        </w:tc>
        <w:tc>
          <w:tcPr>
            <w:tcW w:w="360" w:type="dxa"/>
            <w:vAlign w:val="bottom"/>
            <w:gridSpan w:val="6"/>
          </w:tcPr>
          <w:p>
            <w:pPr>
              <w:jc w:val="right"/>
              <w:spacing w:after="0"/>
              <w:rPr>
                <w:sz w:val="20"/>
                <w:szCs w:val="20"/>
                <w:color w:val="auto"/>
              </w:rPr>
            </w:pPr>
            <w:r>
              <w:rPr>
                <w:rFonts w:ascii="Arial" w:cs="Arial" w:eastAsia="Arial" w:hAnsi="Arial"/>
                <w:sz w:val="20"/>
                <w:szCs w:val="20"/>
                <w:color w:val="0000FF"/>
                <w:w w:val="95"/>
              </w:rPr>
              <w:t>103</w:t>
            </w:r>
          </w:p>
        </w:tc>
        <w:tc>
          <w:tcPr>
            <w:tcW w:w="20" w:type="dxa"/>
            <w:vAlign w:val="bottom"/>
          </w:tcPr>
          <w:p>
            <w:pPr>
              <w:spacing w:after="0"/>
              <w:rPr>
                <w:sz w:val="24"/>
                <w:szCs w:val="24"/>
                <w:color w:val="auto"/>
              </w:rPr>
            </w:pPr>
          </w:p>
        </w:tc>
        <w:tc>
          <w:tcPr>
            <w:tcW w:w="30" w:type="dxa"/>
            <w:vAlign w:val="bottom"/>
          </w:tcPr>
          <w:p>
            <w:pPr>
              <w:spacing w:after="0"/>
              <w:rPr>
                <w:sz w:val="24"/>
                <w:szCs w:val="24"/>
                <w:color w:val="auto"/>
              </w:rPr>
            </w:pPr>
          </w:p>
        </w:tc>
        <w:tc>
          <w:tcPr>
            <w:tcW w:w="7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5820" w:type="dxa"/>
            <w:vAlign w:val="bottom"/>
            <w:gridSpan w:val="47"/>
          </w:tcPr>
          <w:p>
            <w:pPr>
              <w:spacing w:after="0"/>
              <w:rPr>
                <w:sz w:val="20"/>
                <w:szCs w:val="20"/>
                <w:color w:val="auto"/>
              </w:rPr>
            </w:pPr>
            <w:r>
              <w:rPr>
                <w:rFonts w:ascii="Arial" w:cs="Arial" w:eastAsia="Arial" w:hAnsi="Arial"/>
                <w:sz w:val="20"/>
                <w:szCs w:val="20"/>
                <w:color w:val="auto"/>
                <w:w w:val="94"/>
              </w:rPr>
              <w:t>ARTICLE V CONDITIONS PRECEDENT TO CREDIT EXTENSIONS</w:t>
            </w:r>
          </w:p>
        </w:tc>
        <w:tc>
          <w:tcPr>
            <w:tcW w:w="200" w:type="dxa"/>
            <w:vAlign w:val="bottom"/>
          </w:tcPr>
          <w:p>
            <w:pPr>
              <w:jc w:val="right"/>
              <w:spacing w:after="0"/>
              <w:rPr>
                <w:sz w:val="20"/>
                <w:szCs w:val="20"/>
                <w:color w:val="auto"/>
              </w:rPr>
            </w:pPr>
            <w:r>
              <w:rPr>
                <w:rFonts w:ascii="Arial" w:cs="Arial" w:eastAsia="Arial" w:hAnsi="Arial"/>
                <w:sz w:val="20"/>
                <w:szCs w:val="20"/>
                <w:color w:val="FF0000"/>
                <w:strike w:val="1"/>
                <w:w w:val="80"/>
              </w:rPr>
              <w:t>99</w:t>
            </w:r>
          </w:p>
        </w:tc>
        <w:tc>
          <w:tcPr>
            <w:tcW w:w="300" w:type="dxa"/>
            <w:vAlign w:val="bottom"/>
          </w:tcPr>
          <w:p>
            <w:pPr>
              <w:jc w:val="right"/>
              <w:spacing w:after="0"/>
              <w:rPr>
                <w:sz w:val="20"/>
                <w:szCs w:val="20"/>
                <w:color w:val="auto"/>
              </w:rPr>
            </w:pPr>
            <w:r>
              <w:rPr>
                <w:rFonts w:ascii="Arial" w:cs="Arial" w:eastAsia="Arial" w:hAnsi="Arial"/>
                <w:sz w:val="20"/>
                <w:szCs w:val="20"/>
                <w:color w:val="0000FF"/>
                <w:w w:val="83"/>
              </w:rPr>
              <w:t>103</w:t>
            </w:r>
          </w:p>
        </w:tc>
        <w:tc>
          <w:tcPr>
            <w:tcW w:w="0" w:type="dxa"/>
            <w:vAlign w:val="bottom"/>
          </w:tcPr>
          <w:p>
            <w:pPr>
              <w:spacing w:after="0"/>
              <w:rPr>
                <w:sz w:val="1"/>
                <w:szCs w:val="1"/>
                <w:color w:val="auto"/>
              </w:rPr>
            </w:pPr>
          </w:p>
        </w:tc>
      </w:tr>
      <w:tr>
        <w:trPr>
          <w:trHeight w:val="338"/>
        </w:trPr>
        <w:tc>
          <w:tcPr>
            <w:tcW w:w="1100" w:type="dxa"/>
            <w:vAlign w:val="bottom"/>
          </w:tcPr>
          <w:p>
            <w:pPr>
              <w:ind w:left="660"/>
              <w:spacing w:after="0"/>
              <w:rPr>
                <w:sz w:val="20"/>
                <w:szCs w:val="20"/>
                <w:color w:val="auto"/>
              </w:rPr>
            </w:pPr>
            <w:r>
              <w:rPr>
                <w:rFonts w:ascii="Arial" w:cs="Arial" w:eastAsia="Arial" w:hAnsi="Arial"/>
                <w:sz w:val="20"/>
                <w:szCs w:val="20"/>
                <w:color w:val="auto"/>
              </w:rPr>
              <w:t>5.01</w:t>
            </w:r>
          </w:p>
        </w:tc>
        <w:tc>
          <w:tcPr>
            <w:tcW w:w="60" w:type="dxa"/>
            <w:vAlign w:val="bottom"/>
          </w:tcPr>
          <w:p>
            <w:pPr>
              <w:spacing w:after="0"/>
              <w:rPr>
                <w:sz w:val="24"/>
                <w:szCs w:val="24"/>
                <w:color w:val="auto"/>
              </w:rPr>
            </w:pPr>
          </w:p>
        </w:tc>
        <w:tc>
          <w:tcPr>
            <w:tcW w:w="2560" w:type="dxa"/>
            <w:vAlign w:val="bottom"/>
            <w:gridSpan w:val="25"/>
          </w:tcPr>
          <w:p>
            <w:pPr>
              <w:ind w:left="140"/>
              <w:spacing w:after="0"/>
              <w:rPr>
                <w:sz w:val="20"/>
                <w:szCs w:val="20"/>
                <w:color w:val="auto"/>
              </w:rPr>
            </w:pPr>
            <w:r>
              <w:rPr>
                <w:rFonts w:ascii="Arial" w:cs="Arial" w:eastAsia="Arial" w:hAnsi="Arial"/>
                <w:sz w:val="20"/>
                <w:szCs w:val="20"/>
                <w:color w:val="auto"/>
                <w:w w:val="97"/>
              </w:rPr>
              <w:t>Conditions of Effectiveness.</w:t>
            </w:r>
          </w:p>
        </w:tc>
        <w:tc>
          <w:tcPr>
            <w:tcW w:w="200" w:type="dxa"/>
            <w:vAlign w:val="bottom"/>
            <w:gridSpan w:val="3"/>
          </w:tcPr>
          <w:p>
            <w:pPr>
              <w:spacing w:after="0"/>
              <w:rPr>
                <w:sz w:val="20"/>
                <w:szCs w:val="20"/>
                <w:color w:val="auto"/>
              </w:rPr>
            </w:pPr>
            <w:r>
              <w:rPr>
                <w:rFonts w:ascii="Arial" w:cs="Arial" w:eastAsia="Arial" w:hAnsi="Arial"/>
                <w:sz w:val="20"/>
                <w:szCs w:val="20"/>
                <w:color w:val="FF0000"/>
                <w:strike w:val="1"/>
                <w:w w:val="80"/>
              </w:rPr>
              <w:t>99</w:t>
            </w:r>
          </w:p>
        </w:tc>
        <w:tc>
          <w:tcPr>
            <w:tcW w:w="400" w:type="dxa"/>
            <w:vAlign w:val="bottom"/>
            <w:gridSpan w:val="6"/>
          </w:tcPr>
          <w:p>
            <w:pPr>
              <w:jc w:val="right"/>
              <w:ind w:right="1"/>
              <w:spacing w:after="0"/>
              <w:rPr>
                <w:sz w:val="20"/>
                <w:szCs w:val="20"/>
                <w:color w:val="auto"/>
              </w:rPr>
            </w:pPr>
            <w:r>
              <w:rPr>
                <w:rFonts w:ascii="Arial" w:cs="Arial" w:eastAsia="Arial" w:hAnsi="Arial"/>
                <w:sz w:val="20"/>
                <w:szCs w:val="20"/>
                <w:color w:val="0000FF"/>
                <w:w w:val="83"/>
              </w:rPr>
              <w:t>103</w:t>
            </w: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1100" w:type="dxa"/>
            <w:vAlign w:val="bottom"/>
          </w:tcPr>
          <w:p>
            <w:pPr>
              <w:ind w:left="660"/>
              <w:spacing w:after="0"/>
              <w:rPr>
                <w:sz w:val="20"/>
                <w:szCs w:val="20"/>
                <w:color w:val="auto"/>
              </w:rPr>
            </w:pPr>
            <w:r>
              <w:rPr>
                <w:rFonts w:ascii="Arial" w:cs="Arial" w:eastAsia="Arial" w:hAnsi="Arial"/>
                <w:sz w:val="20"/>
                <w:szCs w:val="20"/>
                <w:color w:val="auto"/>
              </w:rPr>
              <w:t>5.02</w:t>
            </w:r>
          </w:p>
        </w:tc>
        <w:tc>
          <w:tcPr>
            <w:tcW w:w="60" w:type="dxa"/>
            <w:vAlign w:val="bottom"/>
          </w:tcPr>
          <w:p>
            <w:pPr>
              <w:spacing w:after="0"/>
              <w:rPr>
                <w:sz w:val="24"/>
                <w:szCs w:val="24"/>
                <w:color w:val="auto"/>
              </w:rPr>
            </w:pPr>
          </w:p>
        </w:tc>
        <w:tc>
          <w:tcPr>
            <w:tcW w:w="3000" w:type="dxa"/>
            <w:vAlign w:val="bottom"/>
            <w:gridSpan w:val="32"/>
          </w:tcPr>
          <w:p>
            <w:pPr>
              <w:ind w:left="140"/>
              <w:spacing w:after="0"/>
              <w:rPr>
                <w:sz w:val="20"/>
                <w:szCs w:val="20"/>
                <w:color w:val="auto"/>
              </w:rPr>
            </w:pPr>
            <w:r>
              <w:rPr>
                <w:rFonts w:ascii="Arial" w:cs="Arial" w:eastAsia="Arial" w:hAnsi="Arial"/>
                <w:sz w:val="20"/>
                <w:szCs w:val="20"/>
                <w:color w:val="auto"/>
                <w:w w:val="91"/>
              </w:rPr>
              <w:t>Conditions to all Credit Extensions.</w:t>
            </w: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00" w:type="dxa"/>
            <w:vAlign w:val="bottom"/>
            <w:gridSpan w:val="3"/>
          </w:tcPr>
          <w:p>
            <w:pPr>
              <w:jc w:val="right"/>
              <w:spacing w:after="0"/>
              <w:rPr>
                <w:sz w:val="20"/>
                <w:szCs w:val="20"/>
                <w:color w:val="auto"/>
              </w:rPr>
            </w:pPr>
            <w:r>
              <w:rPr>
                <w:rFonts w:ascii="Arial" w:cs="Arial" w:eastAsia="Arial" w:hAnsi="Arial"/>
                <w:sz w:val="20"/>
                <w:szCs w:val="20"/>
                <w:color w:val="FF0000"/>
                <w:strike w:val="1"/>
                <w:w w:val="83"/>
              </w:rPr>
              <w:t>100</w:t>
            </w:r>
          </w:p>
        </w:tc>
        <w:tc>
          <w:tcPr>
            <w:tcW w:w="360" w:type="dxa"/>
            <w:vAlign w:val="bottom"/>
            <w:gridSpan w:val="2"/>
          </w:tcPr>
          <w:p>
            <w:pPr>
              <w:spacing w:after="0"/>
              <w:rPr>
                <w:sz w:val="20"/>
                <w:szCs w:val="20"/>
                <w:color w:val="auto"/>
              </w:rPr>
            </w:pPr>
            <w:r>
              <w:rPr>
                <w:rFonts w:ascii="Arial" w:cs="Arial" w:eastAsia="Arial" w:hAnsi="Arial"/>
                <w:sz w:val="20"/>
                <w:szCs w:val="20"/>
                <w:color w:val="0000FF"/>
              </w:rPr>
              <w:t>105</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4740" w:type="dxa"/>
            <w:vAlign w:val="bottom"/>
            <w:gridSpan w:val="40"/>
          </w:tcPr>
          <w:p>
            <w:pPr>
              <w:spacing w:after="0"/>
              <w:rPr>
                <w:sz w:val="20"/>
                <w:szCs w:val="20"/>
                <w:color w:val="auto"/>
              </w:rPr>
            </w:pPr>
            <w:r>
              <w:rPr>
                <w:rFonts w:ascii="Arial" w:cs="Arial" w:eastAsia="Arial" w:hAnsi="Arial"/>
                <w:sz w:val="20"/>
                <w:szCs w:val="20"/>
                <w:color w:val="auto"/>
                <w:w w:val="94"/>
              </w:rPr>
              <w:t>ARTICLE VI REPRESENTATIONS AND WARRANTIES</w:t>
            </w:r>
          </w:p>
        </w:tc>
        <w:tc>
          <w:tcPr>
            <w:tcW w:w="300" w:type="dxa"/>
            <w:vAlign w:val="bottom"/>
            <w:gridSpan w:val="2"/>
          </w:tcPr>
          <w:p>
            <w:pPr>
              <w:jc w:val="right"/>
              <w:spacing w:after="0"/>
              <w:rPr>
                <w:sz w:val="20"/>
                <w:szCs w:val="20"/>
                <w:color w:val="auto"/>
              </w:rPr>
            </w:pPr>
            <w:r>
              <w:rPr>
                <w:rFonts w:ascii="Arial" w:cs="Arial" w:eastAsia="Arial" w:hAnsi="Arial"/>
                <w:sz w:val="20"/>
                <w:szCs w:val="20"/>
                <w:color w:val="FF0000"/>
                <w:strike w:val="1"/>
                <w:w w:val="83"/>
              </w:rPr>
              <w:t>101</w:t>
            </w:r>
          </w:p>
        </w:tc>
        <w:tc>
          <w:tcPr>
            <w:tcW w:w="400" w:type="dxa"/>
            <w:vAlign w:val="bottom"/>
            <w:gridSpan w:val="3"/>
          </w:tcPr>
          <w:p>
            <w:pPr>
              <w:jc w:val="right"/>
              <w:ind w:right="1"/>
              <w:spacing w:after="0"/>
              <w:rPr>
                <w:sz w:val="20"/>
                <w:szCs w:val="20"/>
                <w:color w:val="auto"/>
              </w:rPr>
            </w:pPr>
            <w:r>
              <w:rPr>
                <w:rFonts w:ascii="Arial" w:cs="Arial" w:eastAsia="Arial" w:hAnsi="Arial"/>
                <w:sz w:val="20"/>
                <w:szCs w:val="20"/>
                <w:color w:val="0000FF"/>
                <w:w w:val="83"/>
              </w:rPr>
              <w:t>105</w:t>
            </w:r>
          </w:p>
        </w:tc>
        <w:tc>
          <w:tcPr>
            <w:tcW w:w="880" w:type="dxa"/>
            <w:vAlign w:val="bottom"/>
            <w:gridSpan w:val="4"/>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1100" w:type="dxa"/>
            <w:vAlign w:val="bottom"/>
          </w:tcPr>
          <w:p>
            <w:pPr>
              <w:ind w:left="660"/>
              <w:spacing w:after="0"/>
              <w:rPr>
                <w:sz w:val="20"/>
                <w:szCs w:val="20"/>
                <w:color w:val="auto"/>
              </w:rPr>
            </w:pPr>
            <w:r>
              <w:rPr>
                <w:rFonts w:ascii="Arial" w:cs="Arial" w:eastAsia="Arial" w:hAnsi="Arial"/>
                <w:sz w:val="20"/>
                <w:szCs w:val="20"/>
                <w:color w:val="auto"/>
              </w:rPr>
              <w:t>6.01</w:t>
            </w:r>
          </w:p>
        </w:tc>
        <w:tc>
          <w:tcPr>
            <w:tcW w:w="60" w:type="dxa"/>
            <w:vAlign w:val="bottom"/>
          </w:tcPr>
          <w:p>
            <w:pPr>
              <w:spacing w:after="0"/>
              <w:rPr>
                <w:sz w:val="24"/>
                <w:szCs w:val="24"/>
                <w:color w:val="auto"/>
              </w:rPr>
            </w:pPr>
          </w:p>
        </w:tc>
        <w:tc>
          <w:tcPr>
            <w:tcW w:w="3000" w:type="dxa"/>
            <w:vAlign w:val="bottom"/>
            <w:gridSpan w:val="32"/>
          </w:tcPr>
          <w:p>
            <w:pPr>
              <w:ind w:left="140"/>
              <w:spacing w:after="0"/>
              <w:rPr>
                <w:sz w:val="20"/>
                <w:szCs w:val="20"/>
                <w:color w:val="auto"/>
              </w:rPr>
            </w:pPr>
            <w:r>
              <w:rPr>
                <w:rFonts w:ascii="Arial" w:cs="Arial" w:eastAsia="Arial" w:hAnsi="Arial"/>
                <w:sz w:val="20"/>
                <w:szCs w:val="20"/>
                <w:color w:val="auto"/>
                <w:w w:val="90"/>
              </w:rPr>
              <w:t>Existence, Qualification and Power.</w:t>
            </w: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00" w:type="dxa"/>
            <w:vAlign w:val="bottom"/>
            <w:gridSpan w:val="3"/>
          </w:tcPr>
          <w:p>
            <w:pPr>
              <w:jc w:val="right"/>
              <w:spacing w:after="0"/>
              <w:rPr>
                <w:sz w:val="20"/>
                <w:szCs w:val="20"/>
                <w:color w:val="auto"/>
              </w:rPr>
            </w:pPr>
            <w:r>
              <w:rPr>
                <w:rFonts w:ascii="Arial" w:cs="Arial" w:eastAsia="Arial" w:hAnsi="Arial"/>
                <w:sz w:val="20"/>
                <w:szCs w:val="20"/>
                <w:color w:val="FF0000"/>
                <w:strike w:val="1"/>
                <w:w w:val="83"/>
              </w:rPr>
              <w:t>101</w:t>
            </w:r>
          </w:p>
        </w:tc>
        <w:tc>
          <w:tcPr>
            <w:tcW w:w="360" w:type="dxa"/>
            <w:vAlign w:val="bottom"/>
            <w:gridSpan w:val="2"/>
          </w:tcPr>
          <w:p>
            <w:pPr>
              <w:spacing w:after="0"/>
              <w:rPr>
                <w:sz w:val="20"/>
                <w:szCs w:val="20"/>
                <w:color w:val="auto"/>
              </w:rPr>
            </w:pPr>
            <w:r>
              <w:rPr>
                <w:rFonts w:ascii="Arial" w:cs="Arial" w:eastAsia="Arial" w:hAnsi="Arial"/>
                <w:sz w:val="20"/>
                <w:szCs w:val="20"/>
                <w:color w:val="0000FF"/>
              </w:rPr>
              <w:t>105</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1100" w:type="dxa"/>
            <w:vAlign w:val="bottom"/>
          </w:tcPr>
          <w:p>
            <w:pPr>
              <w:ind w:left="660"/>
              <w:spacing w:after="0"/>
              <w:rPr>
                <w:sz w:val="20"/>
                <w:szCs w:val="20"/>
                <w:color w:val="auto"/>
              </w:rPr>
            </w:pPr>
            <w:r>
              <w:rPr>
                <w:rFonts w:ascii="Arial" w:cs="Arial" w:eastAsia="Arial" w:hAnsi="Arial"/>
                <w:sz w:val="20"/>
                <w:szCs w:val="20"/>
                <w:color w:val="auto"/>
              </w:rPr>
              <w:t>6.02</w:t>
            </w:r>
          </w:p>
        </w:tc>
        <w:tc>
          <w:tcPr>
            <w:tcW w:w="60" w:type="dxa"/>
            <w:vAlign w:val="bottom"/>
          </w:tcPr>
          <w:p>
            <w:pPr>
              <w:spacing w:after="0"/>
              <w:rPr>
                <w:sz w:val="24"/>
                <w:szCs w:val="24"/>
                <w:color w:val="auto"/>
              </w:rPr>
            </w:pPr>
          </w:p>
        </w:tc>
        <w:tc>
          <w:tcPr>
            <w:tcW w:w="3000" w:type="dxa"/>
            <w:vAlign w:val="bottom"/>
            <w:gridSpan w:val="32"/>
          </w:tcPr>
          <w:p>
            <w:pPr>
              <w:ind w:left="140"/>
              <w:spacing w:after="0"/>
              <w:rPr>
                <w:sz w:val="20"/>
                <w:szCs w:val="20"/>
                <w:color w:val="auto"/>
              </w:rPr>
            </w:pPr>
            <w:r>
              <w:rPr>
                <w:rFonts w:ascii="Arial" w:cs="Arial" w:eastAsia="Arial" w:hAnsi="Arial"/>
                <w:sz w:val="20"/>
                <w:szCs w:val="20"/>
                <w:color w:val="auto"/>
                <w:w w:val="98"/>
              </w:rPr>
              <w:t>Authorization; No Contravention.</w:t>
            </w:r>
          </w:p>
        </w:tc>
        <w:tc>
          <w:tcPr>
            <w:tcW w:w="300" w:type="dxa"/>
            <w:vAlign w:val="bottom"/>
            <w:gridSpan w:val="4"/>
          </w:tcPr>
          <w:p>
            <w:pPr>
              <w:jc w:val="center"/>
              <w:spacing w:after="0"/>
              <w:rPr>
                <w:sz w:val="20"/>
                <w:szCs w:val="20"/>
                <w:color w:val="auto"/>
              </w:rPr>
            </w:pPr>
            <w:r>
              <w:rPr>
                <w:rFonts w:ascii="Arial" w:cs="Arial" w:eastAsia="Arial" w:hAnsi="Arial"/>
                <w:sz w:val="20"/>
                <w:szCs w:val="20"/>
                <w:color w:val="FF0000"/>
                <w:strike w:val="1"/>
                <w:w w:val="89"/>
              </w:rPr>
              <w:t>101</w:t>
            </w:r>
          </w:p>
        </w:tc>
        <w:tc>
          <w:tcPr>
            <w:tcW w:w="520" w:type="dxa"/>
            <w:vAlign w:val="bottom"/>
            <w:gridSpan w:val="3"/>
          </w:tcPr>
          <w:p>
            <w:pPr>
              <w:jc w:val="right"/>
              <w:ind w:right="121"/>
              <w:spacing w:after="0"/>
              <w:rPr>
                <w:sz w:val="20"/>
                <w:szCs w:val="20"/>
                <w:color w:val="auto"/>
              </w:rPr>
            </w:pPr>
            <w:r>
              <w:rPr>
                <w:rFonts w:ascii="Arial" w:cs="Arial" w:eastAsia="Arial" w:hAnsi="Arial"/>
                <w:sz w:val="20"/>
                <w:szCs w:val="20"/>
                <w:color w:val="0000FF"/>
                <w:w w:val="83"/>
              </w:rPr>
              <w:t>106</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1100" w:type="dxa"/>
            <w:vAlign w:val="bottom"/>
          </w:tcPr>
          <w:p>
            <w:pPr>
              <w:ind w:left="660"/>
              <w:spacing w:after="0"/>
              <w:rPr>
                <w:sz w:val="20"/>
                <w:szCs w:val="20"/>
                <w:color w:val="auto"/>
              </w:rPr>
            </w:pPr>
            <w:r>
              <w:rPr>
                <w:rFonts w:ascii="Arial" w:cs="Arial" w:eastAsia="Arial" w:hAnsi="Arial"/>
                <w:sz w:val="20"/>
                <w:szCs w:val="20"/>
                <w:color w:val="auto"/>
              </w:rPr>
              <w:t>6.03</w:t>
            </w:r>
          </w:p>
        </w:tc>
        <w:tc>
          <w:tcPr>
            <w:tcW w:w="60" w:type="dxa"/>
            <w:vAlign w:val="bottom"/>
          </w:tcPr>
          <w:p>
            <w:pPr>
              <w:spacing w:after="0"/>
              <w:rPr>
                <w:sz w:val="24"/>
                <w:szCs w:val="24"/>
                <w:color w:val="auto"/>
              </w:rPr>
            </w:pPr>
          </w:p>
        </w:tc>
        <w:tc>
          <w:tcPr>
            <w:tcW w:w="3820" w:type="dxa"/>
            <w:vAlign w:val="bottom"/>
            <w:gridSpan w:val="39"/>
          </w:tcPr>
          <w:p>
            <w:pPr>
              <w:ind w:left="140"/>
              <w:spacing w:after="0"/>
              <w:rPr>
                <w:sz w:val="20"/>
                <w:szCs w:val="20"/>
                <w:color w:val="auto"/>
              </w:rPr>
            </w:pPr>
            <w:r>
              <w:rPr>
                <w:rFonts w:ascii="Arial" w:cs="Arial" w:eastAsia="Arial" w:hAnsi="Arial"/>
                <w:sz w:val="20"/>
                <w:szCs w:val="20"/>
                <w:color w:val="auto"/>
                <w:w w:val="90"/>
              </w:rPr>
              <w:t>Governmental Authorization; Other Consents.</w:t>
            </w:r>
          </w:p>
        </w:tc>
        <w:tc>
          <w:tcPr>
            <w:tcW w:w="60" w:type="dxa"/>
            <w:vAlign w:val="bottom"/>
          </w:tcPr>
          <w:p>
            <w:pPr>
              <w:spacing w:after="0"/>
              <w:rPr>
                <w:sz w:val="24"/>
                <w:szCs w:val="24"/>
                <w:color w:val="auto"/>
              </w:rPr>
            </w:pPr>
          </w:p>
        </w:tc>
        <w:tc>
          <w:tcPr>
            <w:tcW w:w="400" w:type="dxa"/>
            <w:vAlign w:val="bottom"/>
            <w:gridSpan w:val="3"/>
          </w:tcPr>
          <w:p>
            <w:pPr>
              <w:jc w:val="right"/>
              <w:spacing w:after="0"/>
              <w:rPr>
                <w:sz w:val="20"/>
                <w:szCs w:val="20"/>
                <w:color w:val="auto"/>
              </w:rPr>
            </w:pPr>
            <w:r>
              <w:rPr>
                <w:rFonts w:ascii="Arial" w:cs="Arial" w:eastAsia="Arial" w:hAnsi="Arial"/>
                <w:sz w:val="20"/>
                <w:szCs w:val="20"/>
                <w:color w:val="FF0000"/>
                <w:strike w:val="1"/>
              </w:rPr>
              <w:t>102</w:t>
            </w:r>
          </w:p>
        </w:tc>
        <w:tc>
          <w:tcPr>
            <w:tcW w:w="380" w:type="dxa"/>
            <w:vAlign w:val="bottom"/>
            <w:gridSpan w:val="2"/>
          </w:tcPr>
          <w:p>
            <w:pPr>
              <w:jc w:val="right"/>
              <w:spacing w:after="0"/>
              <w:rPr>
                <w:sz w:val="20"/>
                <w:szCs w:val="20"/>
                <w:color w:val="auto"/>
              </w:rPr>
            </w:pPr>
            <w:r>
              <w:rPr>
                <w:rFonts w:ascii="Arial" w:cs="Arial" w:eastAsia="Arial" w:hAnsi="Arial"/>
                <w:sz w:val="20"/>
                <w:szCs w:val="20"/>
                <w:color w:val="0000FF"/>
                <w:w w:val="83"/>
              </w:rPr>
              <w:t>106</w:t>
            </w:r>
          </w:p>
        </w:tc>
        <w:tc>
          <w:tcPr>
            <w:tcW w:w="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1100" w:type="dxa"/>
            <w:vAlign w:val="bottom"/>
          </w:tcPr>
          <w:p>
            <w:pPr>
              <w:ind w:left="660"/>
              <w:spacing w:after="0"/>
              <w:rPr>
                <w:sz w:val="20"/>
                <w:szCs w:val="20"/>
                <w:color w:val="auto"/>
              </w:rPr>
            </w:pPr>
            <w:r>
              <w:rPr>
                <w:rFonts w:ascii="Arial" w:cs="Arial" w:eastAsia="Arial" w:hAnsi="Arial"/>
                <w:sz w:val="20"/>
                <w:szCs w:val="20"/>
                <w:color w:val="auto"/>
              </w:rPr>
              <w:t>6.04</w:t>
            </w:r>
          </w:p>
        </w:tc>
        <w:tc>
          <w:tcPr>
            <w:tcW w:w="60" w:type="dxa"/>
            <w:vAlign w:val="bottom"/>
          </w:tcPr>
          <w:p>
            <w:pPr>
              <w:spacing w:after="0"/>
              <w:rPr>
                <w:sz w:val="24"/>
                <w:szCs w:val="24"/>
                <w:color w:val="auto"/>
              </w:rPr>
            </w:pPr>
          </w:p>
        </w:tc>
        <w:tc>
          <w:tcPr>
            <w:tcW w:w="1490" w:type="dxa"/>
            <w:vAlign w:val="bottom"/>
            <w:gridSpan w:val="12"/>
          </w:tcPr>
          <w:p>
            <w:pPr>
              <w:ind w:left="140"/>
              <w:spacing w:after="0"/>
              <w:rPr>
                <w:sz w:val="20"/>
                <w:szCs w:val="20"/>
                <w:color w:val="auto"/>
              </w:rPr>
            </w:pPr>
            <w:r>
              <w:rPr>
                <w:rFonts w:ascii="Arial" w:cs="Arial" w:eastAsia="Arial" w:hAnsi="Arial"/>
                <w:sz w:val="20"/>
                <w:szCs w:val="20"/>
                <w:color w:val="auto"/>
              </w:rPr>
              <w:t>Binding Effect.</w:t>
            </w:r>
          </w:p>
        </w:tc>
        <w:tc>
          <w:tcPr>
            <w:tcW w:w="350" w:type="dxa"/>
            <w:vAlign w:val="bottom"/>
            <w:gridSpan w:val="5"/>
          </w:tcPr>
          <w:p>
            <w:pPr>
              <w:jc w:val="right"/>
              <w:spacing w:after="0"/>
              <w:rPr>
                <w:sz w:val="20"/>
                <w:szCs w:val="20"/>
                <w:color w:val="auto"/>
              </w:rPr>
            </w:pPr>
            <w:r>
              <w:rPr>
                <w:rFonts w:ascii="Arial" w:cs="Arial" w:eastAsia="Arial" w:hAnsi="Arial"/>
                <w:sz w:val="20"/>
                <w:szCs w:val="20"/>
                <w:color w:val="FF0000"/>
                <w:strike w:val="1"/>
                <w:w w:val="95"/>
              </w:rPr>
              <w:t>102</w:t>
            </w:r>
          </w:p>
        </w:tc>
        <w:tc>
          <w:tcPr>
            <w:tcW w:w="320" w:type="dxa"/>
            <w:vAlign w:val="bottom"/>
            <w:gridSpan w:val="3"/>
          </w:tcPr>
          <w:p>
            <w:pPr>
              <w:spacing w:after="0"/>
              <w:rPr>
                <w:sz w:val="20"/>
                <w:szCs w:val="20"/>
                <w:color w:val="auto"/>
              </w:rPr>
            </w:pPr>
            <w:r>
              <w:rPr>
                <w:rFonts w:ascii="Arial" w:cs="Arial" w:eastAsia="Arial" w:hAnsi="Arial"/>
                <w:sz w:val="20"/>
                <w:szCs w:val="20"/>
                <w:color w:val="0000FF"/>
                <w:w w:val="89"/>
              </w:rPr>
              <w:t>106</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1100" w:type="dxa"/>
            <w:vAlign w:val="bottom"/>
          </w:tcPr>
          <w:p>
            <w:pPr>
              <w:ind w:left="660"/>
              <w:spacing w:after="0"/>
              <w:rPr>
                <w:sz w:val="20"/>
                <w:szCs w:val="20"/>
                <w:color w:val="auto"/>
              </w:rPr>
            </w:pPr>
            <w:r>
              <w:rPr>
                <w:rFonts w:ascii="Arial" w:cs="Arial" w:eastAsia="Arial" w:hAnsi="Arial"/>
                <w:sz w:val="20"/>
                <w:szCs w:val="20"/>
                <w:color w:val="auto"/>
              </w:rPr>
              <w:t>6.05</w:t>
            </w:r>
          </w:p>
        </w:tc>
        <w:tc>
          <w:tcPr>
            <w:tcW w:w="60" w:type="dxa"/>
            <w:vAlign w:val="bottom"/>
          </w:tcPr>
          <w:p>
            <w:pPr>
              <w:spacing w:after="0"/>
              <w:rPr>
                <w:sz w:val="24"/>
                <w:szCs w:val="24"/>
                <w:color w:val="auto"/>
              </w:rPr>
            </w:pPr>
          </w:p>
        </w:tc>
        <w:tc>
          <w:tcPr>
            <w:tcW w:w="2020" w:type="dxa"/>
            <w:vAlign w:val="bottom"/>
            <w:gridSpan w:val="19"/>
          </w:tcPr>
          <w:p>
            <w:pPr>
              <w:ind w:left="140"/>
              <w:spacing w:after="0"/>
              <w:rPr>
                <w:sz w:val="20"/>
                <w:szCs w:val="20"/>
                <w:color w:val="auto"/>
              </w:rPr>
            </w:pPr>
            <w:r>
              <w:rPr>
                <w:rFonts w:ascii="Arial" w:cs="Arial" w:eastAsia="Arial" w:hAnsi="Arial"/>
                <w:sz w:val="20"/>
                <w:szCs w:val="20"/>
                <w:color w:val="auto"/>
                <w:w w:val="96"/>
              </w:rPr>
              <w:t>Financial Statements.</w:t>
            </w:r>
          </w:p>
        </w:tc>
        <w:tc>
          <w:tcPr>
            <w:tcW w:w="300" w:type="dxa"/>
            <w:vAlign w:val="bottom"/>
            <w:gridSpan w:val="3"/>
          </w:tcPr>
          <w:p>
            <w:pPr>
              <w:jc w:val="right"/>
              <w:spacing w:after="0"/>
              <w:rPr>
                <w:sz w:val="20"/>
                <w:szCs w:val="20"/>
                <w:color w:val="auto"/>
              </w:rPr>
            </w:pPr>
            <w:r>
              <w:rPr>
                <w:rFonts w:ascii="Arial" w:cs="Arial" w:eastAsia="Arial" w:hAnsi="Arial"/>
                <w:sz w:val="20"/>
                <w:szCs w:val="20"/>
                <w:color w:val="FF0000"/>
                <w:strike w:val="1"/>
                <w:w w:val="83"/>
              </w:rPr>
              <w:t>102</w:t>
            </w:r>
          </w:p>
        </w:tc>
        <w:tc>
          <w:tcPr>
            <w:tcW w:w="360" w:type="dxa"/>
            <w:vAlign w:val="bottom"/>
            <w:gridSpan w:val="5"/>
          </w:tcPr>
          <w:p>
            <w:pPr>
              <w:jc w:val="right"/>
              <w:spacing w:after="0"/>
              <w:rPr>
                <w:sz w:val="20"/>
                <w:szCs w:val="20"/>
                <w:color w:val="auto"/>
              </w:rPr>
            </w:pPr>
            <w:r>
              <w:rPr>
                <w:rFonts w:ascii="Arial" w:cs="Arial" w:eastAsia="Arial" w:hAnsi="Arial"/>
                <w:sz w:val="20"/>
                <w:szCs w:val="20"/>
                <w:color w:val="0000FF"/>
                <w:w w:val="83"/>
              </w:rPr>
              <w:t>106</w:t>
            </w: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1100" w:type="dxa"/>
            <w:vAlign w:val="bottom"/>
          </w:tcPr>
          <w:p>
            <w:pPr>
              <w:ind w:left="660"/>
              <w:spacing w:after="0"/>
              <w:rPr>
                <w:sz w:val="20"/>
                <w:szCs w:val="20"/>
                <w:color w:val="auto"/>
              </w:rPr>
            </w:pPr>
            <w:r>
              <w:rPr>
                <w:rFonts w:ascii="Arial" w:cs="Arial" w:eastAsia="Arial" w:hAnsi="Arial"/>
                <w:sz w:val="20"/>
                <w:szCs w:val="20"/>
                <w:color w:val="auto"/>
              </w:rPr>
              <w:t>6.06</w:t>
            </w:r>
          </w:p>
        </w:tc>
        <w:tc>
          <w:tcPr>
            <w:tcW w:w="60" w:type="dxa"/>
            <w:vAlign w:val="bottom"/>
          </w:tcPr>
          <w:p>
            <w:pPr>
              <w:spacing w:after="0"/>
              <w:rPr>
                <w:sz w:val="24"/>
                <w:szCs w:val="24"/>
                <w:color w:val="auto"/>
              </w:rPr>
            </w:pPr>
          </w:p>
        </w:tc>
        <w:tc>
          <w:tcPr>
            <w:tcW w:w="2560" w:type="dxa"/>
            <w:vAlign w:val="bottom"/>
            <w:gridSpan w:val="25"/>
          </w:tcPr>
          <w:p>
            <w:pPr>
              <w:ind w:left="140"/>
              <w:spacing w:after="0"/>
              <w:rPr>
                <w:sz w:val="20"/>
                <w:szCs w:val="20"/>
                <w:color w:val="auto"/>
              </w:rPr>
            </w:pPr>
            <w:r>
              <w:rPr>
                <w:rFonts w:ascii="Arial" w:cs="Arial" w:eastAsia="Arial" w:hAnsi="Arial"/>
                <w:sz w:val="20"/>
                <w:szCs w:val="20"/>
                <w:color w:val="auto"/>
                <w:w w:val="98"/>
              </w:rPr>
              <w:t>No Material Adverse Effect.</w:t>
            </w:r>
          </w:p>
        </w:tc>
        <w:tc>
          <w:tcPr>
            <w:tcW w:w="320" w:type="dxa"/>
            <w:vAlign w:val="bottom"/>
            <w:gridSpan w:val="6"/>
          </w:tcPr>
          <w:p>
            <w:pPr>
              <w:ind w:left="20"/>
              <w:spacing w:after="0"/>
              <w:rPr>
                <w:sz w:val="20"/>
                <w:szCs w:val="20"/>
                <w:color w:val="auto"/>
              </w:rPr>
            </w:pPr>
            <w:r>
              <w:rPr>
                <w:rFonts w:ascii="Arial" w:cs="Arial" w:eastAsia="Arial" w:hAnsi="Arial"/>
                <w:sz w:val="20"/>
                <w:szCs w:val="20"/>
                <w:color w:val="FF0000"/>
                <w:strike w:val="1"/>
                <w:w w:val="83"/>
              </w:rPr>
              <w:t>102</w:t>
            </w:r>
          </w:p>
        </w:tc>
        <w:tc>
          <w:tcPr>
            <w:tcW w:w="380" w:type="dxa"/>
            <w:vAlign w:val="bottom"/>
            <w:gridSpan w:val="4"/>
          </w:tcPr>
          <w:p>
            <w:pPr>
              <w:jc w:val="right"/>
              <w:ind w:right="1"/>
              <w:spacing w:after="0"/>
              <w:rPr>
                <w:sz w:val="20"/>
                <w:szCs w:val="20"/>
                <w:color w:val="auto"/>
              </w:rPr>
            </w:pPr>
            <w:r>
              <w:rPr>
                <w:rFonts w:ascii="Arial" w:cs="Arial" w:eastAsia="Arial" w:hAnsi="Arial"/>
                <w:sz w:val="20"/>
                <w:szCs w:val="20"/>
                <w:color w:val="0000FF"/>
                <w:w w:val="77"/>
              </w:rPr>
              <w:t>107</w:t>
            </w: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1100" w:type="dxa"/>
            <w:vAlign w:val="bottom"/>
          </w:tcPr>
          <w:p>
            <w:pPr>
              <w:ind w:left="660"/>
              <w:spacing w:after="0"/>
              <w:rPr>
                <w:sz w:val="20"/>
                <w:szCs w:val="20"/>
                <w:color w:val="auto"/>
              </w:rPr>
            </w:pPr>
            <w:r>
              <w:rPr>
                <w:rFonts w:ascii="Arial" w:cs="Arial" w:eastAsia="Arial" w:hAnsi="Arial"/>
                <w:sz w:val="20"/>
                <w:szCs w:val="20"/>
                <w:color w:val="auto"/>
              </w:rPr>
              <w:t>6.07</w:t>
            </w:r>
          </w:p>
        </w:tc>
        <w:tc>
          <w:tcPr>
            <w:tcW w:w="60" w:type="dxa"/>
            <w:vAlign w:val="bottom"/>
          </w:tcPr>
          <w:p>
            <w:pPr>
              <w:spacing w:after="0"/>
              <w:rPr>
                <w:sz w:val="24"/>
                <w:szCs w:val="24"/>
                <w:color w:val="auto"/>
              </w:rPr>
            </w:pPr>
          </w:p>
        </w:tc>
        <w:tc>
          <w:tcPr>
            <w:tcW w:w="1080" w:type="dxa"/>
            <w:vAlign w:val="bottom"/>
            <w:gridSpan w:val="4"/>
          </w:tcPr>
          <w:p>
            <w:pPr>
              <w:ind w:left="140"/>
              <w:spacing w:after="0"/>
              <w:rPr>
                <w:sz w:val="20"/>
                <w:szCs w:val="20"/>
                <w:color w:val="auto"/>
              </w:rPr>
            </w:pPr>
            <w:r>
              <w:rPr>
                <w:rFonts w:ascii="Arial" w:cs="Arial" w:eastAsia="Arial" w:hAnsi="Arial"/>
                <w:sz w:val="20"/>
                <w:szCs w:val="20"/>
                <w:color w:val="auto"/>
              </w:rPr>
              <w:t>Litigation.</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gridSpan w:val="5"/>
          </w:tcPr>
          <w:p>
            <w:pPr>
              <w:ind w:left="40"/>
              <w:spacing w:after="0"/>
              <w:rPr>
                <w:sz w:val="20"/>
                <w:szCs w:val="20"/>
                <w:color w:val="auto"/>
              </w:rPr>
            </w:pPr>
            <w:r>
              <w:rPr>
                <w:rFonts w:ascii="Arial" w:cs="Arial" w:eastAsia="Arial" w:hAnsi="Arial"/>
                <w:sz w:val="20"/>
                <w:szCs w:val="20"/>
                <w:color w:val="FF0000"/>
                <w:strike w:val="1"/>
                <w:w w:val="83"/>
              </w:rPr>
              <w:t>102</w:t>
            </w:r>
          </w:p>
        </w:tc>
        <w:tc>
          <w:tcPr>
            <w:tcW w:w="380" w:type="dxa"/>
            <w:vAlign w:val="bottom"/>
            <w:gridSpan w:val="6"/>
          </w:tcPr>
          <w:p>
            <w:pPr>
              <w:spacing w:after="0"/>
              <w:rPr>
                <w:sz w:val="20"/>
                <w:szCs w:val="20"/>
                <w:color w:val="auto"/>
              </w:rPr>
            </w:pPr>
            <w:r>
              <w:rPr>
                <w:rFonts w:ascii="Arial" w:cs="Arial" w:eastAsia="Arial" w:hAnsi="Arial"/>
                <w:sz w:val="20"/>
                <w:szCs w:val="20"/>
                <w:color w:val="0000FF"/>
              </w:rPr>
              <w:t>107</w:t>
            </w: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1100" w:type="dxa"/>
            <w:vAlign w:val="bottom"/>
          </w:tcPr>
          <w:p>
            <w:pPr>
              <w:ind w:left="660"/>
              <w:spacing w:after="0"/>
              <w:rPr>
                <w:sz w:val="20"/>
                <w:szCs w:val="20"/>
                <w:color w:val="auto"/>
              </w:rPr>
            </w:pPr>
            <w:r>
              <w:rPr>
                <w:rFonts w:ascii="Arial" w:cs="Arial" w:eastAsia="Arial" w:hAnsi="Arial"/>
                <w:sz w:val="20"/>
                <w:szCs w:val="20"/>
                <w:color w:val="auto"/>
              </w:rPr>
              <w:t>6.08</w:t>
            </w:r>
          </w:p>
        </w:tc>
        <w:tc>
          <w:tcPr>
            <w:tcW w:w="60" w:type="dxa"/>
            <w:vAlign w:val="bottom"/>
          </w:tcPr>
          <w:p>
            <w:pPr>
              <w:spacing w:after="0"/>
              <w:rPr>
                <w:sz w:val="24"/>
                <w:szCs w:val="24"/>
                <w:color w:val="auto"/>
              </w:rPr>
            </w:pPr>
          </w:p>
        </w:tc>
        <w:tc>
          <w:tcPr>
            <w:tcW w:w="1080" w:type="dxa"/>
            <w:vAlign w:val="bottom"/>
            <w:gridSpan w:val="4"/>
          </w:tcPr>
          <w:p>
            <w:pPr>
              <w:ind w:left="140"/>
              <w:spacing w:after="0"/>
              <w:rPr>
                <w:sz w:val="20"/>
                <w:szCs w:val="20"/>
                <w:color w:val="auto"/>
              </w:rPr>
            </w:pPr>
            <w:r>
              <w:rPr>
                <w:rFonts w:ascii="Arial" w:cs="Arial" w:eastAsia="Arial" w:hAnsi="Arial"/>
                <w:sz w:val="20"/>
                <w:szCs w:val="20"/>
                <w:color w:val="auto"/>
                <w:w w:val="91"/>
              </w:rPr>
              <w:t>No Default.</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00" w:type="dxa"/>
            <w:vAlign w:val="bottom"/>
            <w:gridSpan w:val="6"/>
          </w:tcPr>
          <w:p>
            <w:pPr>
              <w:jc w:val="right"/>
              <w:spacing w:after="0"/>
              <w:rPr>
                <w:sz w:val="20"/>
                <w:szCs w:val="20"/>
                <w:color w:val="auto"/>
              </w:rPr>
            </w:pPr>
            <w:r>
              <w:rPr>
                <w:rFonts w:ascii="Arial" w:cs="Arial" w:eastAsia="Arial" w:hAnsi="Arial"/>
                <w:sz w:val="20"/>
                <w:szCs w:val="20"/>
                <w:color w:val="FF0000"/>
                <w:strike w:val="1"/>
                <w:w w:val="83"/>
              </w:rPr>
              <w:t>103</w:t>
            </w:r>
          </w:p>
        </w:tc>
        <w:tc>
          <w:tcPr>
            <w:tcW w:w="400" w:type="dxa"/>
            <w:vAlign w:val="bottom"/>
            <w:gridSpan w:val="5"/>
          </w:tcPr>
          <w:p>
            <w:pPr>
              <w:jc w:val="right"/>
              <w:ind w:right="1"/>
              <w:spacing w:after="0"/>
              <w:rPr>
                <w:sz w:val="20"/>
                <w:szCs w:val="20"/>
                <w:color w:val="auto"/>
              </w:rPr>
            </w:pPr>
            <w:r>
              <w:rPr>
                <w:rFonts w:ascii="Arial" w:cs="Arial" w:eastAsia="Arial" w:hAnsi="Arial"/>
                <w:sz w:val="20"/>
                <w:szCs w:val="20"/>
                <w:color w:val="0000FF"/>
                <w:w w:val="83"/>
              </w:rPr>
              <w:t>107</w:t>
            </w: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1100" w:type="dxa"/>
            <w:vAlign w:val="bottom"/>
          </w:tcPr>
          <w:p>
            <w:pPr>
              <w:ind w:left="660"/>
              <w:spacing w:after="0"/>
              <w:rPr>
                <w:sz w:val="20"/>
                <w:szCs w:val="20"/>
                <w:color w:val="auto"/>
              </w:rPr>
            </w:pPr>
            <w:r>
              <w:rPr>
                <w:rFonts w:ascii="Arial" w:cs="Arial" w:eastAsia="Arial" w:hAnsi="Arial"/>
                <w:sz w:val="20"/>
                <w:szCs w:val="20"/>
                <w:color w:val="auto"/>
              </w:rPr>
              <w:t>6.09</w:t>
            </w:r>
          </w:p>
        </w:tc>
        <w:tc>
          <w:tcPr>
            <w:tcW w:w="60" w:type="dxa"/>
            <w:vAlign w:val="bottom"/>
          </w:tcPr>
          <w:p>
            <w:pPr>
              <w:spacing w:after="0"/>
              <w:rPr>
                <w:sz w:val="24"/>
                <w:szCs w:val="24"/>
                <w:color w:val="auto"/>
              </w:rPr>
            </w:pPr>
          </w:p>
        </w:tc>
        <w:tc>
          <w:tcPr>
            <w:tcW w:w="2560" w:type="dxa"/>
            <w:vAlign w:val="bottom"/>
            <w:gridSpan w:val="25"/>
          </w:tcPr>
          <w:p>
            <w:pPr>
              <w:ind w:left="140"/>
              <w:spacing w:after="0"/>
              <w:rPr>
                <w:sz w:val="20"/>
                <w:szCs w:val="20"/>
                <w:color w:val="auto"/>
              </w:rPr>
            </w:pPr>
            <w:r>
              <w:rPr>
                <w:rFonts w:ascii="Arial" w:cs="Arial" w:eastAsia="Arial" w:hAnsi="Arial"/>
                <w:sz w:val="20"/>
                <w:szCs w:val="20"/>
                <w:color w:val="auto"/>
                <w:w w:val="91"/>
              </w:rPr>
              <w:t>Ownership of Property; Liens.</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gridSpan w:val="6"/>
          </w:tcPr>
          <w:p>
            <w:pPr>
              <w:jc w:val="right"/>
              <w:spacing w:after="0"/>
              <w:rPr>
                <w:sz w:val="20"/>
                <w:szCs w:val="20"/>
                <w:color w:val="auto"/>
              </w:rPr>
            </w:pPr>
            <w:r>
              <w:rPr>
                <w:rFonts w:ascii="Arial" w:cs="Arial" w:eastAsia="Arial" w:hAnsi="Arial"/>
                <w:sz w:val="20"/>
                <w:szCs w:val="20"/>
                <w:color w:val="FF0000"/>
                <w:strike w:val="1"/>
                <w:w w:val="95"/>
              </w:rPr>
              <w:t>103</w:t>
            </w:r>
          </w:p>
        </w:tc>
        <w:tc>
          <w:tcPr>
            <w:tcW w:w="440" w:type="dxa"/>
            <w:vAlign w:val="bottom"/>
            <w:gridSpan w:val="4"/>
          </w:tcPr>
          <w:p>
            <w:pPr>
              <w:jc w:val="center"/>
              <w:ind w:right="41"/>
              <w:spacing w:after="0"/>
              <w:rPr>
                <w:sz w:val="20"/>
                <w:szCs w:val="20"/>
                <w:color w:val="auto"/>
              </w:rPr>
            </w:pPr>
            <w:r>
              <w:rPr>
                <w:rFonts w:ascii="Arial" w:cs="Arial" w:eastAsia="Arial" w:hAnsi="Arial"/>
                <w:sz w:val="20"/>
                <w:szCs w:val="20"/>
                <w:color w:val="0000FF"/>
                <w:w w:val="89"/>
              </w:rPr>
              <w:t>107</w:t>
            </w: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1100" w:type="dxa"/>
            <w:vAlign w:val="bottom"/>
          </w:tcPr>
          <w:p>
            <w:pPr>
              <w:ind w:left="660"/>
              <w:spacing w:after="0"/>
              <w:rPr>
                <w:sz w:val="20"/>
                <w:szCs w:val="20"/>
                <w:color w:val="auto"/>
              </w:rPr>
            </w:pPr>
            <w:r>
              <w:rPr>
                <w:rFonts w:ascii="Arial" w:cs="Arial" w:eastAsia="Arial" w:hAnsi="Arial"/>
                <w:sz w:val="20"/>
                <w:szCs w:val="20"/>
                <w:color w:val="auto"/>
              </w:rPr>
              <w:t>6.10</w:t>
            </w:r>
          </w:p>
        </w:tc>
        <w:tc>
          <w:tcPr>
            <w:tcW w:w="60" w:type="dxa"/>
            <w:vAlign w:val="bottom"/>
          </w:tcPr>
          <w:p>
            <w:pPr>
              <w:spacing w:after="0"/>
              <w:rPr>
                <w:sz w:val="24"/>
                <w:szCs w:val="24"/>
                <w:color w:val="auto"/>
              </w:rPr>
            </w:pPr>
          </w:p>
        </w:tc>
        <w:tc>
          <w:tcPr>
            <w:tcW w:w="2380" w:type="dxa"/>
            <w:vAlign w:val="bottom"/>
            <w:gridSpan w:val="24"/>
          </w:tcPr>
          <w:p>
            <w:pPr>
              <w:ind w:left="140"/>
              <w:spacing w:after="0"/>
              <w:rPr>
                <w:sz w:val="20"/>
                <w:szCs w:val="20"/>
                <w:color w:val="auto"/>
              </w:rPr>
            </w:pPr>
            <w:r>
              <w:rPr>
                <w:rFonts w:ascii="Arial" w:cs="Arial" w:eastAsia="Arial" w:hAnsi="Arial"/>
                <w:sz w:val="20"/>
                <w:szCs w:val="20"/>
                <w:color w:val="auto"/>
                <w:w w:val="90"/>
              </w:rPr>
              <w:t>Environmental Compliance.</w:t>
            </w:r>
          </w:p>
        </w:tc>
        <w:tc>
          <w:tcPr>
            <w:tcW w:w="180" w:type="dxa"/>
            <w:vAlign w:val="bottom"/>
          </w:tcPr>
          <w:p>
            <w:pPr>
              <w:spacing w:after="0"/>
              <w:rPr>
                <w:sz w:val="24"/>
                <w:szCs w:val="24"/>
                <w:color w:val="auto"/>
              </w:rPr>
            </w:pPr>
          </w:p>
        </w:tc>
        <w:tc>
          <w:tcPr>
            <w:tcW w:w="300" w:type="dxa"/>
            <w:vAlign w:val="bottom"/>
            <w:gridSpan w:val="5"/>
          </w:tcPr>
          <w:p>
            <w:pPr>
              <w:spacing w:after="0"/>
              <w:rPr>
                <w:sz w:val="20"/>
                <w:szCs w:val="20"/>
                <w:color w:val="auto"/>
              </w:rPr>
            </w:pPr>
            <w:r>
              <w:rPr>
                <w:rFonts w:ascii="Arial" w:cs="Arial" w:eastAsia="Arial" w:hAnsi="Arial"/>
                <w:sz w:val="20"/>
                <w:szCs w:val="20"/>
                <w:color w:val="FF0000"/>
                <w:strike w:val="1"/>
                <w:w w:val="83"/>
              </w:rPr>
              <w:t>103</w:t>
            </w:r>
          </w:p>
        </w:tc>
        <w:tc>
          <w:tcPr>
            <w:tcW w:w="300" w:type="dxa"/>
            <w:vAlign w:val="bottom"/>
            <w:gridSpan w:val="4"/>
          </w:tcPr>
          <w:p>
            <w:pPr>
              <w:jc w:val="right"/>
              <w:spacing w:after="0"/>
              <w:rPr>
                <w:sz w:val="20"/>
                <w:szCs w:val="20"/>
                <w:color w:val="auto"/>
              </w:rPr>
            </w:pPr>
            <w:r>
              <w:rPr>
                <w:rFonts w:ascii="Arial" w:cs="Arial" w:eastAsia="Arial" w:hAnsi="Arial"/>
                <w:sz w:val="20"/>
                <w:szCs w:val="20"/>
                <w:color w:val="0000FF"/>
                <w:w w:val="83"/>
              </w:rPr>
              <w:t>107</w:t>
            </w: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1100" w:type="dxa"/>
            <w:vAlign w:val="bottom"/>
          </w:tcPr>
          <w:p>
            <w:pPr>
              <w:ind w:left="660"/>
              <w:spacing w:after="0"/>
              <w:rPr>
                <w:sz w:val="20"/>
                <w:szCs w:val="20"/>
                <w:color w:val="auto"/>
              </w:rPr>
            </w:pPr>
            <w:r>
              <w:rPr>
                <w:rFonts w:ascii="Arial" w:cs="Arial" w:eastAsia="Arial" w:hAnsi="Arial"/>
                <w:sz w:val="20"/>
                <w:szCs w:val="20"/>
                <w:color w:val="auto"/>
              </w:rPr>
              <w:t>6.11</w:t>
            </w:r>
          </w:p>
        </w:tc>
        <w:tc>
          <w:tcPr>
            <w:tcW w:w="60" w:type="dxa"/>
            <w:vAlign w:val="bottom"/>
          </w:tcPr>
          <w:p>
            <w:pPr>
              <w:spacing w:after="0"/>
              <w:rPr>
                <w:sz w:val="24"/>
                <w:szCs w:val="24"/>
                <w:color w:val="auto"/>
              </w:rPr>
            </w:pPr>
          </w:p>
        </w:tc>
        <w:tc>
          <w:tcPr>
            <w:tcW w:w="1080" w:type="dxa"/>
            <w:vAlign w:val="bottom"/>
            <w:gridSpan w:val="4"/>
          </w:tcPr>
          <w:p>
            <w:pPr>
              <w:ind w:left="140"/>
              <w:spacing w:after="0"/>
              <w:rPr>
                <w:sz w:val="20"/>
                <w:szCs w:val="20"/>
                <w:color w:val="auto"/>
              </w:rPr>
            </w:pPr>
            <w:r>
              <w:rPr>
                <w:rFonts w:ascii="Arial" w:cs="Arial" w:eastAsia="Arial" w:hAnsi="Arial"/>
                <w:sz w:val="20"/>
                <w:szCs w:val="20"/>
                <w:color w:val="auto"/>
                <w:w w:val="98"/>
              </w:rPr>
              <w:t>Insurance.</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gridSpan w:val="4"/>
          </w:tcPr>
          <w:p>
            <w:pPr>
              <w:jc w:val="right"/>
              <w:spacing w:after="0"/>
              <w:rPr>
                <w:sz w:val="20"/>
                <w:szCs w:val="20"/>
                <w:color w:val="auto"/>
              </w:rPr>
            </w:pPr>
            <w:r>
              <w:rPr>
                <w:rFonts w:ascii="Arial" w:cs="Arial" w:eastAsia="Arial" w:hAnsi="Arial"/>
                <w:sz w:val="20"/>
                <w:szCs w:val="20"/>
                <w:color w:val="FF0000"/>
                <w:strike w:val="1"/>
                <w:w w:val="89"/>
              </w:rPr>
              <w:t>103</w:t>
            </w:r>
          </w:p>
        </w:tc>
        <w:tc>
          <w:tcPr>
            <w:tcW w:w="400" w:type="dxa"/>
            <w:vAlign w:val="bottom"/>
            <w:gridSpan w:val="7"/>
          </w:tcPr>
          <w:p>
            <w:pPr>
              <w:jc w:val="right"/>
              <w:ind w:right="1"/>
              <w:spacing w:after="0"/>
              <w:rPr>
                <w:sz w:val="20"/>
                <w:szCs w:val="20"/>
                <w:color w:val="auto"/>
              </w:rPr>
            </w:pPr>
            <w:r>
              <w:rPr>
                <w:rFonts w:ascii="Arial" w:cs="Arial" w:eastAsia="Arial" w:hAnsi="Arial"/>
                <w:sz w:val="20"/>
                <w:szCs w:val="20"/>
                <w:color w:val="0000FF"/>
                <w:w w:val="83"/>
              </w:rPr>
              <w:t>107</w:t>
            </w: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1100" w:type="dxa"/>
            <w:vAlign w:val="bottom"/>
          </w:tcPr>
          <w:p>
            <w:pPr>
              <w:ind w:left="660"/>
              <w:spacing w:after="0"/>
              <w:rPr>
                <w:sz w:val="20"/>
                <w:szCs w:val="20"/>
                <w:color w:val="auto"/>
              </w:rPr>
            </w:pPr>
            <w:r>
              <w:rPr>
                <w:rFonts w:ascii="Arial" w:cs="Arial" w:eastAsia="Arial" w:hAnsi="Arial"/>
                <w:sz w:val="20"/>
                <w:szCs w:val="20"/>
                <w:color w:val="auto"/>
              </w:rPr>
              <w:t>6.12</w:t>
            </w:r>
          </w:p>
        </w:tc>
        <w:tc>
          <w:tcPr>
            <w:tcW w:w="60" w:type="dxa"/>
            <w:vAlign w:val="bottom"/>
          </w:tcPr>
          <w:p>
            <w:pPr>
              <w:spacing w:after="0"/>
              <w:rPr>
                <w:sz w:val="24"/>
                <w:szCs w:val="24"/>
                <w:color w:val="auto"/>
              </w:rPr>
            </w:pPr>
          </w:p>
        </w:tc>
        <w:tc>
          <w:tcPr>
            <w:tcW w:w="840" w:type="dxa"/>
            <w:vAlign w:val="bottom"/>
            <w:gridSpan w:val="2"/>
          </w:tcPr>
          <w:p>
            <w:pPr>
              <w:ind w:left="140"/>
              <w:spacing w:after="0"/>
              <w:rPr>
                <w:sz w:val="20"/>
                <w:szCs w:val="20"/>
                <w:color w:val="auto"/>
              </w:rPr>
            </w:pPr>
            <w:r>
              <w:rPr>
                <w:rFonts w:ascii="Arial" w:cs="Arial" w:eastAsia="Arial" w:hAnsi="Arial"/>
                <w:sz w:val="20"/>
                <w:szCs w:val="20"/>
                <w:color w:val="auto"/>
              </w:rPr>
              <w:t>Taxes.</w:t>
            </w:r>
          </w:p>
        </w:tc>
        <w:tc>
          <w:tcPr>
            <w:tcW w:w="280" w:type="dxa"/>
            <w:vAlign w:val="bottom"/>
            <w:gridSpan w:val="4"/>
          </w:tcPr>
          <w:p>
            <w:pPr>
              <w:spacing w:after="0"/>
              <w:rPr>
                <w:sz w:val="20"/>
                <w:szCs w:val="20"/>
                <w:color w:val="auto"/>
              </w:rPr>
            </w:pPr>
            <w:r>
              <w:rPr>
                <w:rFonts w:ascii="Arial" w:cs="Arial" w:eastAsia="Arial" w:hAnsi="Arial"/>
                <w:sz w:val="20"/>
                <w:szCs w:val="20"/>
                <w:color w:val="FF0000"/>
                <w:strike w:val="1"/>
                <w:w w:val="77"/>
              </w:rPr>
              <w:t>103</w:t>
            </w:r>
          </w:p>
        </w:tc>
        <w:tc>
          <w:tcPr>
            <w:tcW w:w="320" w:type="dxa"/>
            <w:vAlign w:val="bottom"/>
            <w:gridSpan w:val="4"/>
          </w:tcPr>
          <w:p>
            <w:pPr>
              <w:jc w:val="right"/>
              <w:spacing w:after="0"/>
              <w:rPr>
                <w:sz w:val="20"/>
                <w:szCs w:val="20"/>
                <w:color w:val="auto"/>
              </w:rPr>
            </w:pPr>
            <w:r>
              <w:rPr>
                <w:rFonts w:ascii="Arial" w:cs="Arial" w:eastAsia="Arial" w:hAnsi="Arial"/>
                <w:sz w:val="20"/>
                <w:szCs w:val="20"/>
                <w:color w:val="0000FF"/>
                <w:w w:val="83"/>
              </w:rPr>
              <w:t>107</w:t>
            </w:r>
          </w:p>
        </w:tc>
        <w:tc>
          <w:tcPr>
            <w:tcW w:w="20" w:type="dxa"/>
            <w:vAlign w:val="bottom"/>
          </w:tcPr>
          <w:p>
            <w:pPr>
              <w:spacing w:after="0"/>
              <w:rPr>
                <w:sz w:val="24"/>
                <w:szCs w:val="24"/>
                <w:color w:val="auto"/>
              </w:rPr>
            </w:pPr>
          </w:p>
        </w:tc>
        <w:tc>
          <w:tcPr>
            <w:tcW w:w="30" w:type="dxa"/>
            <w:vAlign w:val="bottom"/>
          </w:tcPr>
          <w:p>
            <w:pPr>
              <w:spacing w:after="0"/>
              <w:rPr>
                <w:sz w:val="24"/>
                <w:szCs w:val="24"/>
                <w:color w:val="auto"/>
              </w:rPr>
            </w:pPr>
          </w:p>
        </w:tc>
        <w:tc>
          <w:tcPr>
            <w:tcW w:w="7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1100" w:type="dxa"/>
            <w:vAlign w:val="bottom"/>
          </w:tcPr>
          <w:p>
            <w:pPr>
              <w:ind w:left="660"/>
              <w:spacing w:after="0"/>
              <w:rPr>
                <w:sz w:val="20"/>
                <w:szCs w:val="20"/>
                <w:color w:val="auto"/>
              </w:rPr>
            </w:pPr>
            <w:r>
              <w:rPr>
                <w:rFonts w:ascii="Arial" w:cs="Arial" w:eastAsia="Arial" w:hAnsi="Arial"/>
                <w:sz w:val="20"/>
                <w:szCs w:val="20"/>
                <w:color w:val="auto"/>
              </w:rPr>
              <w:t>6.13</w:t>
            </w:r>
          </w:p>
        </w:tc>
        <w:tc>
          <w:tcPr>
            <w:tcW w:w="60" w:type="dxa"/>
            <w:vAlign w:val="bottom"/>
          </w:tcPr>
          <w:p>
            <w:pPr>
              <w:spacing w:after="0"/>
              <w:rPr>
                <w:sz w:val="24"/>
                <w:szCs w:val="24"/>
                <w:color w:val="auto"/>
              </w:rPr>
            </w:pPr>
          </w:p>
        </w:tc>
        <w:tc>
          <w:tcPr>
            <w:tcW w:w="1960" w:type="dxa"/>
            <w:vAlign w:val="bottom"/>
            <w:gridSpan w:val="18"/>
          </w:tcPr>
          <w:p>
            <w:pPr>
              <w:ind w:left="140"/>
              <w:spacing w:after="0"/>
              <w:rPr>
                <w:sz w:val="20"/>
                <w:szCs w:val="20"/>
                <w:color w:val="auto"/>
              </w:rPr>
            </w:pPr>
            <w:r>
              <w:rPr>
                <w:rFonts w:ascii="Arial" w:cs="Arial" w:eastAsia="Arial" w:hAnsi="Arial"/>
                <w:sz w:val="20"/>
                <w:szCs w:val="20"/>
                <w:color w:val="auto"/>
              </w:rPr>
              <w:t>ERISA Compliance.</w:t>
            </w:r>
          </w:p>
        </w:tc>
        <w:tc>
          <w:tcPr>
            <w:tcW w:w="280" w:type="dxa"/>
            <w:vAlign w:val="bottom"/>
            <w:gridSpan w:val="3"/>
          </w:tcPr>
          <w:p>
            <w:pPr>
              <w:jc w:val="right"/>
              <w:spacing w:after="0"/>
              <w:rPr>
                <w:sz w:val="20"/>
                <w:szCs w:val="20"/>
                <w:color w:val="auto"/>
              </w:rPr>
            </w:pPr>
            <w:r>
              <w:rPr>
                <w:rFonts w:ascii="Arial" w:cs="Arial" w:eastAsia="Arial" w:hAnsi="Arial"/>
                <w:sz w:val="20"/>
                <w:szCs w:val="20"/>
                <w:color w:val="FF0000"/>
                <w:strike w:val="1"/>
                <w:w w:val="77"/>
              </w:rPr>
              <w:t>103</w:t>
            </w:r>
          </w:p>
        </w:tc>
        <w:tc>
          <w:tcPr>
            <w:tcW w:w="320" w:type="dxa"/>
            <w:vAlign w:val="bottom"/>
            <w:gridSpan w:val="4"/>
          </w:tcPr>
          <w:p>
            <w:pPr>
              <w:jc w:val="right"/>
              <w:spacing w:after="0"/>
              <w:rPr>
                <w:sz w:val="20"/>
                <w:szCs w:val="20"/>
                <w:color w:val="auto"/>
              </w:rPr>
            </w:pPr>
            <w:r>
              <w:rPr>
                <w:rFonts w:ascii="Arial" w:cs="Arial" w:eastAsia="Arial" w:hAnsi="Arial"/>
                <w:sz w:val="20"/>
                <w:szCs w:val="20"/>
                <w:color w:val="0000FF"/>
                <w:w w:val="83"/>
              </w:rPr>
              <w:t>108</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40" w:type="dxa"/>
            <w:vAlign w:val="bottom"/>
            <w:gridSpan w:val="6"/>
            <w:vMerge w:val="restart"/>
          </w:tcPr>
          <w:p>
            <w:pPr>
              <w:jc w:val="right"/>
              <w:spacing w:after="0"/>
              <w:rPr>
                <w:sz w:val="20"/>
                <w:szCs w:val="20"/>
                <w:color w:val="auto"/>
              </w:rPr>
            </w:pPr>
            <w:r>
              <w:rPr>
                <w:rFonts w:ascii="Arial" w:cs="Arial" w:eastAsia="Arial" w:hAnsi="Arial"/>
                <w:sz w:val="20"/>
                <w:szCs w:val="20"/>
                <w:color w:val="auto"/>
              </w:rPr>
              <w:t>4</w:t>
            </w:r>
          </w:p>
        </w:tc>
        <w:tc>
          <w:tcPr>
            <w:tcW w:w="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81"/>
        </w:trPr>
        <w:tc>
          <w:tcPr>
            <w:tcW w:w="1100" w:type="dxa"/>
            <w:vAlign w:val="bottom"/>
            <w:vMerge w:val="restart"/>
          </w:tcPr>
          <w:p>
            <w:pPr>
              <w:spacing w:after="0"/>
              <w:rPr>
                <w:sz w:val="20"/>
                <w:szCs w:val="20"/>
                <w:color w:val="auto"/>
              </w:rPr>
            </w:pPr>
            <w:r>
              <w:rPr>
                <w:rFonts w:ascii="Arial" w:cs="Arial" w:eastAsia="Arial" w:hAnsi="Arial"/>
                <w:sz w:val="14"/>
                <w:szCs w:val="14"/>
                <w:color w:val="auto"/>
                <w:w w:val="95"/>
              </w:rPr>
              <w:t>CHAR1\1346423v</w:t>
            </w:r>
          </w:p>
        </w:tc>
        <w:tc>
          <w:tcPr>
            <w:tcW w:w="60" w:type="dxa"/>
            <w:vAlign w:val="bottom"/>
            <w:vMerge w:val="restart"/>
          </w:tcPr>
          <w:p>
            <w:pPr>
              <w:jc w:val="right"/>
              <w:spacing w:after="0"/>
              <w:rPr>
                <w:sz w:val="20"/>
                <w:szCs w:val="20"/>
                <w:color w:val="auto"/>
              </w:rPr>
            </w:pPr>
            <w:r>
              <w:rPr>
                <w:rFonts w:ascii="Arial" w:cs="Arial" w:eastAsia="Arial" w:hAnsi="Arial"/>
                <w:sz w:val="10"/>
                <w:szCs w:val="10"/>
                <w:color w:val="FF0000"/>
                <w:strike w:val="1"/>
                <w:w w:val="71"/>
              </w:rPr>
              <w:t>1</w:t>
            </w:r>
          </w:p>
        </w:tc>
        <w:tc>
          <w:tcPr>
            <w:tcW w:w="160" w:type="dxa"/>
            <w:vAlign w:val="bottom"/>
            <w:vMerge w:val="restart"/>
          </w:tcPr>
          <w:p>
            <w:pPr>
              <w:spacing w:after="0"/>
              <w:rPr>
                <w:sz w:val="20"/>
                <w:szCs w:val="20"/>
                <w:color w:val="auto"/>
              </w:rPr>
            </w:pPr>
            <w:r>
              <w:rPr>
                <w:rFonts w:ascii="Arial" w:cs="Arial" w:eastAsia="Arial" w:hAnsi="Arial"/>
                <w:sz w:val="14"/>
                <w:szCs w:val="14"/>
                <w:color w:val="0000FF"/>
                <w:w w:val="89"/>
              </w:rPr>
              <w:t>12</w:t>
            </w:r>
          </w:p>
        </w:tc>
        <w:tc>
          <w:tcPr>
            <w:tcW w:w="680" w:type="dxa"/>
            <w:vAlign w:val="bottom"/>
            <w:vMerge w:val="restart"/>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 w:type="dxa"/>
            <w:vAlign w:val="bottom"/>
          </w:tcPr>
          <w:p>
            <w:pPr>
              <w:spacing w:after="0"/>
              <w:rPr>
                <w:sz w:val="24"/>
                <w:szCs w:val="24"/>
                <w:color w:val="auto"/>
              </w:rPr>
            </w:pPr>
          </w:p>
        </w:tc>
        <w:tc>
          <w:tcPr>
            <w:tcW w:w="7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40" w:type="dxa"/>
            <w:vAlign w:val="bottom"/>
            <w:gridSpan w:val="6"/>
            <w:vMerge w:val="continue"/>
          </w:tcPr>
          <w:p>
            <w:pPr>
              <w:spacing w:after="0"/>
              <w:rPr>
                <w:sz w:val="24"/>
                <w:szCs w:val="24"/>
                <w:color w:val="auto"/>
              </w:rPr>
            </w:pPr>
          </w:p>
        </w:tc>
        <w:tc>
          <w:tcPr>
            <w:tcW w:w="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6"/>
        </w:trPr>
        <w:tc>
          <w:tcPr>
            <w:tcW w:w="1100" w:type="dxa"/>
            <w:vAlign w:val="bottom"/>
            <w:vMerge w:val="continue"/>
          </w:tcPr>
          <w:p>
            <w:pPr>
              <w:spacing w:after="0"/>
              <w:rPr>
                <w:sz w:val="11"/>
                <w:szCs w:val="11"/>
                <w:color w:val="auto"/>
              </w:rPr>
            </w:pPr>
          </w:p>
        </w:tc>
        <w:tc>
          <w:tcPr>
            <w:tcW w:w="60" w:type="dxa"/>
            <w:vAlign w:val="bottom"/>
            <w:vMerge w:val="continue"/>
          </w:tcPr>
          <w:p>
            <w:pPr>
              <w:spacing w:after="0"/>
              <w:rPr>
                <w:sz w:val="11"/>
                <w:szCs w:val="11"/>
                <w:color w:val="auto"/>
              </w:rPr>
            </w:pPr>
          </w:p>
        </w:tc>
        <w:tc>
          <w:tcPr>
            <w:tcW w:w="160" w:type="dxa"/>
            <w:vAlign w:val="bottom"/>
            <w:tcBorders>
              <w:bottom w:val="single" w:sz="8" w:color="0000FF"/>
            </w:tcBorders>
            <w:vMerge w:val="continue"/>
          </w:tcPr>
          <w:p>
            <w:pPr>
              <w:spacing w:after="0"/>
              <w:rPr>
                <w:sz w:val="11"/>
                <w:szCs w:val="11"/>
                <w:color w:val="auto"/>
              </w:rPr>
            </w:pPr>
          </w:p>
        </w:tc>
        <w:tc>
          <w:tcPr>
            <w:tcW w:w="680" w:type="dxa"/>
            <w:vAlign w:val="bottom"/>
            <w:vMerge w:val="continue"/>
          </w:tcPr>
          <w:p>
            <w:pPr>
              <w:spacing w:after="0"/>
              <w:rPr>
                <w:sz w:val="11"/>
                <w:szCs w:val="11"/>
                <w:color w:val="auto"/>
              </w:rPr>
            </w:pPr>
          </w:p>
        </w:tc>
        <w:tc>
          <w:tcPr>
            <w:tcW w:w="2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0" w:type="dxa"/>
            <w:vAlign w:val="bottom"/>
          </w:tcPr>
          <w:p>
            <w:pPr>
              <w:spacing w:after="0"/>
              <w:rPr>
                <w:sz w:val="11"/>
                <w:szCs w:val="11"/>
                <w:color w:val="auto"/>
              </w:rPr>
            </w:pPr>
          </w:p>
        </w:tc>
        <w:tc>
          <w:tcPr>
            <w:tcW w:w="7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ectPr>
          <w:pgSz w:w="11900" w:h="16838" w:orient="portrait"/>
          <w:cols w:equalWidth="0" w:num="1">
            <w:col w:w="10219"/>
          </w:cols>
          <w:pgMar w:left="240" w:top="582" w:right="1440" w:bottom="1440" w:gutter="0" w:footer="0" w:header="0"/>
        </w:sectPr>
      </w:pPr>
    </w:p>
    <w:bookmarkStart w:id="56" w:name="page57"/>
    <w:bookmarkEnd w:id="56"/>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50"/>
        </w:trPr>
        <w:tc>
          <w:tcPr>
            <w:tcW w:w="1100" w:type="dxa"/>
            <w:vAlign w:val="bottom"/>
          </w:tcPr>
          <w:p>
            <w:pPr>
              <w:ind w:left="660"/>
              <w:spacing w:after="0"/>
              <w:rPr>
                <w:sz w:val="20"/>
                <w:szCs w:val="20"/>
                <w:color w:val="auto"/>
              </w:rPr>
            </w:pPr>
            <w:r>
              <w:rPr>
                <w:rFonts w:ascii="Arial" w:cs="Arial" w:eastAsia="Arial" w:hAnsi="Arial"/>
                <w:sz w:val="20"/>
                <w:szCs w:val="20"/>
                <w:color w:val="auto"/>
              </w:rPr>
              <w:t>6.14</w:t>
            </w:r>
          </w:p>
        </w:tc>
        <w:tc>
          <w:tcPr>
            <w:tcW w:w="60" w:type="dxa"/>
            <w:vAlign w:val="bottom"/>
          </w:tcPr>
          <w:p>
            <w:pPr>
              <w:spacing w:after="0"/>
              <w:rPr>
                <w:sz w:val="21"/>
                <w:szCs w:val="21"/>
                <w:color w:val="auto"/>
              </w:rPr>
            </w:pPr>
          </w:p>
        </w:tc>
        <w:tc>
          <w:tcPr>
            <w:tcW w:w="1340" w:type="dxa"/>
            <w:vAlign w:val="bottom"/>
            <w:gridSpan w:val="4"/>
          </w:tcPr>
          <w:p>
            <w:pPr>
              <w:ind w:left="140"/>
              <w:spacing w:after="0"/>
              <w:rPr>
                <w:sz w:val="20"/>
                <w:szCs w:val="20"/>
                <w:color w:val="auto"/>
              </w:rPr>
            </w:pPr>
            <w:r>
              <w:rPr>
                <w:rFonts w:ascii="Arial" w:cs="Arial" w:eastAsia="Arial" w:hAnsi="Arial"/>
                <w:sz w:val="20"/>
                <w:szCs w:val="20"/>
                <w:color w:val="auto"/>
              </w:rPr>
              <w:t>Subsidiaries.</w:t>
            </w:r>
          </w:p>
        </w:tc>
        <w:tc>
          <w:tcPr>
            <w:tcW w:w="300" w:type="dxa"/>
            <w:vAlign w:val="bottom"/>
            <w:gridSpan w:val="4"/>
          </w:tcPr>
          <w:p>
            <w:pPr>
              <w:spacing w:after="0"/>
              <w:rPr>
                <w:sz w:val="20"/>
                <w:szCs w:val="20"/>
                <w:color w:val="auto"/>
              </w:rPr>
            </w:pPr>
            <w:r>
              <w:rPr>
                <w:rFonts w:ascii="Arial" w:cs="Arial" w:eastAsia="Arial" w:hAnsi="Arial"/>
                <w:sz w:val="20"/>
                <w:szCs w:val="20"/>
                <w:color w:val="FF0000"/>
                <w:strike w:val="1"/>
                <w:w w:val="83"/>
              </w:rPr>
              <w:t>104</w:t>
            </w:r>
          </w:p>
        </w:tc>
        <w:tc>
          <w:tcPr>
            <w:tcW w:w="300" w:type="dxa"/>
            <w:vAlign w:val="bottom"/>
            <w:gridSpan w:val="5"/>
          </w:tcPr>
          <w:p>
            <w:pPr>
              <w:jc w:val="right"/>
              <w:spacing w:after="0"/>
              <w:rPr>
                <w:sz w:val="20"/>
                <w:szCs w:val="20"/>
                <w:color w:val="auto"/>
              </w:rPr>
            </w:pPr>
            <w:r>
              <w:rPr>
                <w:rFonts w:ascii="Arial" w:cs="Arial" w:eastAsia="Arial" w:hAnsi="Arial"/>
                <w:sz w:val="20"/>
                <w:szCs w:val="20"/>
                <w:color w:val="0000FF"/>
                <w:w w:val="83"/>
              </w:rPr>
              <w:t>108</w:t>
            </w: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38"/>
        </w:trPr>
        <w:tc>
          <w:tcPr>
            <w:tcW w:w="1100" w:type="dxa"/>
            <w:vAlign w:val="bottom"/>
          </w:tcPr>
          <w:p>
            <w:pPr>
              <w:ind w:left="660"/>
              <w:spacing w:after="0"/>
              <w:rPr>
                <w:sz w:val="20"/>
                <w:szCs w:val="20"/>
                <w:color w:val="auto"/>
              </w:rPr>
            </w:pPr>
            <w:r>
              <w:rPr>
                <w:rFonts w:ascii="Arial" w:cs="Arial" w:eastAsia="Arial" w:hAnsi="Arial"/>
                <w:sz w:val="20"/>
                <w:szCs w:val="20"/>
                <w:color w:val="auto"/>
              </w:rPr>
              <w:t>6.15</w:t>
            </w:r>
          </w:p>
        </w:tc>
        <w:tc>
          <w:tcPr>
            <w:tcW w:w="60" w:type="dxa"/>
            <w:vAlign w:val="bottom"/>
          </w:tcPr>
          <w:p>
            <w:pPr>
              <w:spacing w:after="0"/>
              <w:rPr>
                <w:sz w:val="24"/>
                <w:szCs w:val="24"/>
                <w:color w:val="auto"/>
              </w:rPr>
            </w:pPr>
          </w:p>
        </w:tc>
        <w:tc>
          <w:tcPr>
            <w:tcW w:w="4080" w:type="dxa"/>
            <w:vAlign w:val="bottom"/>
            <w:gridSpan w:val="40"/>
          </w:tcPr>
          <w:p>
            <w:pPr>
              <w:ind w:left="140"/>
              <w:spacing w:after="0"/>
              <w:rPr>
                <w:sz w:val="20"/>
                <w:szCs w:val="20"/>
                <w:color w:val="auto"/>
              </w:rPr>
            </w:pPr>
            <w:r>
              <w:rPr>
                <w:rFonts w:ascii="Arial" w:cs="Arial" w:eastAsia="Arial" w:hAnsi="Arial"/>
                <w:sz w:val="20"/>
                <w:szCs w:val="20"/>
                <w:color w:val="auto"/>
                <w:w w:val="95"/>
              </w:rPr>
              <w:t>Margin Regulations; Investment Company Act.</w:t>
            </w:r>
          </w:p>
        </w:tc>
        <w:tc>
          <w:tcPr>
            <w:tcW w:w="300" w:type="dxa"/>
            <w:vAlign w:val="bottom"/>
          </w:tcPr>
          <w:p>
            <w:pPr>
              <w:jc w:val="right"/>
              <w:spacing w:after="0"/>
              <w:rPr>
                <w:sz w:val="20"/>
                <w:szCs w:val="20"/>
                <w:color w:val="auto"/>
              </w:rPr>
            </w:pPr>
            <w:r>
              <w:rPr>
                <w:rFonts w:ascii="Arial" w:cs="Arial" w:eastAsia="Arial" w:hAnsi="Arial"/>
                <w:sz w:val="20"/>
                <w:szCs w:val="20"/>
                <w:color w:val="FF0000"/>
                <w:strike w:val="1"/>
                <w:w w:val="83"/>
              </w:rPr>
              <w:t>104</w:t>
            </w:r>
          </w:p>
        </w:tc>
        <w:tc>
          <w:tcPr>
            <w:tcW w:w="1020" w:type="dxa"/>
            <w:vAlign w:val="bottom"/>
          </w:tcPr>
          <w:p>
            <w:pPr>
              <w:jc w:val="right"/>
              <w:ind w:right="621"/>
              <w:spacing w:after="0"/>
              <w:rPr>
                <w:sz w:val="20"/>
                <w:szCs w:val="20"/>
                <w:color w:val="auto"/>
              </w:rPr>
            </w:pPr>
            <w:r>
              <w:rPr>
                <w:rFonts w:ascii="Arial" w:cs="Arial" w:eastAsia="Arial" w:hAnsi="Arial"/>
                <w:sz w:val="20"/>
                <w:szCs w:val="20"/>
                <w:color w:val="0000FF"/>
                <w:w w:val="83"/>
              </w:rPr>
              <w:t>109</w:t>
            </w:r>
          </w:p>
        </w:tc>
        <w:tc>
          <w:tcPr>
            <w:tcW w:w="3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1100" w:type="dxa"/>
            <w:vAlign w:val="bottom"/>
          </w:tcPr>
          <w:p>
            <w:pPr>
              <w:ind w:left="660"/>
              <w:spacing w:after="0"/>
              <w:rPr>
                <w:sz w:val="20"/>
                <w:szCs w:val="20"/>
                <w:color w:val="auto"/>
              </w:rPr>
            </w:pPr>
            <w:r>
              <w:rPr>
                <w:rFonts w:ascii="Arial" w:cs="Arial" w:eastAsia="Arial" w:hAnsi="Arial"/>
                <w:sz w:val="20"/>
                <w:szCs w:val="20"/>
                <w:color w:val="auto"/>
              </w:rPr>
              <w:t>6.16</w:t>
            </w:r>
          </w:p>
        </w:tc>
        <w:tc>
          <w:tcPr>
            <w:tcW w:w="60" w:type="dxa"/>
            <w:vAlign w:val="bottom"/>
          </w:tcPr>
          <w:p>
            <w:pPr>
              <w:spacing w:after="0"/>
              <w:rPr>
                <w:sz w:val="24"/>
                <w:szCs w:val="24"/>
                <w:color w:val="auto"/>
              </w:rPr>
            </w:pPr>
          </w:p>
        </w:tc>
        <w:tc>
          <w:tcPr>
            <w:tcW w:w="1100" w:type="dxa"/>
            <w:vAlign w:val="bottom"/>
            <w:gridSpan w:val="3"/>
          </w:tcPr>
          <w:p>
            <w:pPr>
              <w:ind w:left="140"/>
              <w:spacing w:after="0"/>
              <w:rPr>
                <w:sz w:val="20"/>
                <w:szCs w:val="20"/>
                <w:color w:val="auto"/>
              </w:rPr>
            </w:pPr>
            <w:r>
              <w:rPr>
                <w:rFonts w:ascii="Arial" w:cs="Arial" w:eastAsia="Arial" w:hAnsi="Arial"/>
                <w:sz w:val="20"/>
                <w:szCs w:val="20"/>
                <w:color w:val="auto"/>
                <w:w w:val="94"/>
              </w:rPr>
              <w:t>Disclosure.</w:t>
            </w:r>
          </w:p>
        </w:tc>
        <w:tc>
          <w:tcPr>
            <w:tcW w:w="420" w:type="dxa"/>
            <w:vAlign w:val="bottom"/>
            <w:gridSpan w:val="3"/>
          </w:tcPr>
          <w:p>
            <w:pPr>
              <w:jc w:val="right"/>
              <w:spacing w:after="0"/>
              <w:rPr>
                <w:sz w:val="20"/>
                <w:szCs w:val="20"/>
                <w:color w:val="auto"/>
              </w:rPr>
            </w:pPr>
            <w:r>
              <w:rPr>
                <w:rFonts w:ascii="Arial" w:cs="Arial" w:eastAsia="Arial" w:hAnsi="Arial"/>
                <w:sz w:val="20"/>
                <w:szCs w:val="20"/>
                <w:color w:val="FF0000"/>
                <w:strike w:val="1"/>
              </w:rPr>
              <w:t>104</w:t>
            </w:r>
          </w:p>
        </w:tc>
        <w:tc>
          <w:tcPr>
            <w:tcW w:w="320" w:type="dxa"/>
            <w:vAlign w:val="bottom"/>
            <w:gridSpan w:val="5"/>
          </w:tcPr>
          <w:p>
            <w:pPr>
              <w:jc w:val="right"/>
              <w:spacing w:after="0"/>
              <w:rPr>
                <w:sz w:val="20"/>
                <w:szCs w:val="20"/>
                <w:color w:val="auto"/>
              </w:rPr>
            </w:pPr>
            <w:r>
              <w:rPr>
                <w:rFonts w:ascii="Arial" w:cs="Arial" w:eastAsia="Arial" w:hAnsi="Arial"/>
                <w:sz w:val="20"/>
                <w:szCs w:val="20"/>
                <w:color w:val="0000FF"/>
                <w:w w:val="83"/>
              </w:rPr>
              <w:t>109</w:t>
            </w: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1100" w:type="dxa"/>
            <w:vAlign w:val="bottom"/>
          </w:tcPr>
          <w:p>
            <w:pPr>
              <w:ind w:left="660"/>
              <w:spacing w:after="0"/>
              <w:rPr>
                <w:sz w:val="20"/>
                <w:szCs w:val="20"/>
                <w:color w:val="auto"/>
              </w:rPr>
            </w:pPr>
            <w:r>
              <w:rPr>
                <w:rFonts w:ascii="Arial" w:cs="Arial" w:eastAsia="Arial" w:hAnsi="Arial"/>
                <w:sz w:val="20"/>
                <w:szCs w:val="20"/>
                <w:color w:val="auto"/>
              </w:rPr>
              <w:t>6.17</w:t>
            </w:r>
          </w:p>
        </w:tc>
        <w:tc>
          <w:tcPr>
            <w:tcW w:w="60" w:type="dxa"/>
            <w:vAlign w:val="bottom"/>
          </w:tcPr>
          <w:p>
            <w:pPr>
              <w:spacing w:after="0"/>
              <w:rPr>
                <w:sz w:val="24"/>
                <w:szCs w:val="24"/>
                <w:color w:val="auto"/>
              </w:rPr>
            </w:pPr>
          </w:p>
        </w:tc>
        <w:tc>
          <w:tcPr>
            <w:tcW w:w="2200" w:type="dxa"/>
            <w:vAlign w:val="bottom"/>
            <w:gridSpan w:val="17"/>
          </w:tcPr>
          <w:p>
            <w:pPr>
              <w:ind w:left="140"/>
              <w:spacing w:after="0"/>
              <w:rPr>
                <w:sz w:val="20"/>
                <w:szCs w:val="20"/>
                <w:color w:val="auto"/>
              </w:rPr>
            </w:pPr>
            <w:r>
              <w:rPr>
                <w:rFonts w:ascii="Arial" w:cs="Arial" w:eastAsia="Arial" w:hAnsi="Arial"/>
                <w:sz w:val="20"/>
                <w:szCs w:val="20"/>
                <w:color w:val="auto"/>
                <w:w w:val="99"/>
              </w:rPr>
              <w:t>Compliance with Laws.</w:t>
            </w:r>
          </w:p>
        </w:tc>
        <w:tc>
          <w:tcPr>
            <w:tcW w:w="300" w:type="dxa"/>
            <w:vAlign w:val="bottom"/>
            <w:gridSpan w:val="7"/>
          </w:tcPr>
          <w:p>
            <w:pPr>
              <w:jc w:val="right"/>
              <w:spacing w:after="0"/>
              <w:rPr>
                <w:sz w:val="20"/>
                <w:szCs w:val="20"/>
                <w:color w:val="auto"/>
              </w:rPr>
            </w:pPr>
            <w:r>
              <w:rPr>
                <w:rFonts w:ascii="Arial" w:cs="Arial" w:eastAsia="Arial" w:hAnsi="Arial"/>
                <w:sz w:val="20"/>
                <w:szCs w:val="20"/>
                <w:color w:val="FF0000"/>
                <w:strike w:val="1"/>
                <w:w w:val="83"/>
              </w:rPr>
              <w:t>105</w:t>
            </w:r>
          </w:p>
        </w:tc>
        <w:tc>
          <w:tcPr>
            <w:tcW w:w="340" w:type="dxa"/>
            <w:vAlign w:val="bottom"/>
            <w:gridSpan w:val="7"/>
          </w:tcPr>
          <w:p>
            <w:pPr>
              <w:jc w:val="right"/>
              <w:spacing w:after="0"/>
              <w:rPr>
                <w:sz w:val="20"/>
                <w:szCs w:val="20"/>
                <w:color w:val="auto"/>
              </w:rPr>
            </w:pPr>
            <w:r>
              <w:rPr>
                <w:rFonts w:ascii="Arial" w:cs="Arial" w:eastAsia="Arial" w:hAnsi="Arial"/>
                <w:sz w:val="20"/>
                <w:szCs w:val="20"/>
                <w:color w:val="0000FF"/>
                <w:w w:val="83"/>
              </w:rPr>
              <w:t>109</w:t>
            </w: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1100" w:type="dxa"/>
            <w:vAlign w:val="bottom"/>
          </w:tcPr>
          <w:p>
            <w:pPr>
              <w:ind w:left="660"/>
              <w:spacing w:after="0"/>
              <w:rPr>
                <w:sz w:val="20"/>
                <w:szCs w:val="20"/>
                <w:color w:val="auto"/>
              </w:rPr>
            </w:pPr>
            <w:r>
              <w:rPr>
                <w:rFonts w:ascii="Arial" w:cs="Arial" w:eastAsia="Arial" w:hAnsi="Arial"/>
                <w:sz w:val="20"/>
                <w:szCs w:val="20"/>
                <w:color w:val="auto"/>
              </w:rPr>
              <w:t>6.18</w:t>
            </w:r>
          </w:p>
        </w:tc>
        <w:tc>
          <w:tcPr>
            <w:tcW w:w="60" w:type="dxa"/>
            <w:vAlign w:val="bottom"/>
          </w:tcPr>
          <w:p>
            <w:pPr>
              <w:spacing w:after="0"/>
              <w:rPr>
                <w:sz w:val="24"/>
                <w:szCs w:val="24"/>
                <w:color w:val="auto"/>
              </w:rPr>
            </w:pPr>
          </w:p>
        </w:tc>
        <w:tc>
          <w:tcPr>
            <w:tcW w:w="5400" w:type="dxa"/>
            <w:vAlign w:val="bottom"/>
            <w:gridSpan w:val="42"/>
          </w:tcPr>
          <w:p>
            <w:pPr>
              <w:ind w:left="140"/>
              <w:spacing w:after="0"/>
              <w:rPr>
                <w:sz w:val="20"/>
                <w:szCs w:val="20"/>
                <w:color w:val="auto"/>
              </w:rPr>
            </w:pPr>
            <w:r>
              <w:rPr>
                <w:rFonts w:ascii="Arial" w:cs="Arial" w:eastAsia="Arial" w:hAnsi="Arial"/>
                <w:sz w:val="20"/>
                <w:szCs w:val="20"/>
                <w:color w:val="auto"/>
                <w:w w:val="95"/>
              </w:rPr>
              <w:t>Taxpayer Identification Number; Other Identifying Information.</w:t>
            </w:r>
          </w:p>
        </w:tc>
        <w:tc>
          <w:tcPr>
            <w:tcW w:w="300" w:type="dxa"/>
            <w:vAlign w:val="bottom"/>
          </w:tcPr>
          <w:p>
            <w:pPr>
              <w:jc w:val="right"/>
              <w:spacing w:after="0"/>
              <w:rPr>
                <w:sz w:val="20"/>
                <w:szCs w:val="20"/>
                <w:color w:val="auto"/>
              </w:rPr>
            </w:pPr>
            <w:r>
              <w:rPr>
                <w:rFonts w:ascii="Arial" w:cs="Arial" w:eastAsia="Arial" w:hAnsi="Arial"/>
                <w:sz w:val="20"/>
                <w:szCs w:val="20"/>
                <w:color w:val="FF0000"/>
                <w:strike w:val="1"/>
                <w:w w:val="83"/>
              </w:rPr>
              <w:t>105</w:t>
            </w:r>
          </w:p>
        </w:tc>
        <w:tc>
          <w:tcPr>
            <w:tcW w:w="340" w:type="dxa"/>
            <w:vAlign w:val="bottom"/>
            <w:gridSpan w:val="2"/>
          </w:tcPr>
          <w:p>
            <w:pPr>
              <w:jc w:val="right"/>
              <w:spacing w:after="0"/>
              <w:rPr>
                <w:sz w:val="20"/>
                <w:szCs w:val="20"/>
                <w:color w:val="auto"/>
              </w:rPr>
            </w:pPr>
            <w:r>
              <w:rPr>
                <w:rFonts w:ascii="Arial" w:cs="Arial" w:eastAsia="Arial" w:hAnsi="Arial"/>
                <w:sz w:val="20"/>
                <w:szCs w:val="20"/>
                <w:color w:val="0000FF"/>
                <w:w w:val="83"/>
              </w:rPr>
              <w:t>109</w:t>
            </w:r>
          </w:p>
        </w:tc>
        <w:tc>
          <w:tcPr>
            <w:tcW w:w="0" w:type="dxa"/>
            <w:vAlign w:val="bottom"/>
          </w:tcPr>
          <w:p>
            <w:pPr>
              <w:spacing w:after="0"/>
              <w:rPr>
                <w:sz w:val="1"/>
                <w:szCs w:val="1"/>
                <w:color w:val="auto"/>
              </w:rPr>
            </w:pPr>
          </w:p>
        </w:tc>
      </w:tr>
      <w:tr>
        <w:trPr>
          <w:trHeight w:val="338"/>
        </w:trPr>
        <w:tc>
          <w:tcPr>
            <w:tcW w:w="1100" w:type="dxa"/>
            <w:vAlign w:val="bottom"/>
          </w:tcPr>
          <w:p>
            <w:pPr>
              <w:ind w:left="660"/>
              <w:spacing w:after="0"/>
              <w:rPr>
                <w:sz w:val="20"/>
                <w:szCs w:val="20"/>
                <w:color w:val="auto"/>
              </w:rPr>
            </w:pPr>
            <w:r>
              <w:rPr>
                <w:rFonts w:ascii="Arial" w:cs="Arial" w:eastAsia="Arial" w:hAnsi="Arial"/>
                <w:sz w:val="20"/>
                <w:szCs w:val="20"/>
                <w:color w:val="auto"/>
              </w:rPr>
              <w:t>6.19</w:t>
            </w:r>
          </w:p>
        </w:tc>
        <w:tc>
          <w:tcPr>
            <w:tcW w:w="60" w:type="dxa"/>
            <w:vAlign w:val="bottom"/>
          </w:tcPr>
          <w:p>
            <w:pPr>
              <w:spacing w:after="0"/>
              <w:rPr>
                <w:sz w:val="24"/>
                <w:szCs w:val="24"/>
                <w:color w:val="auto"/>
              </w:rPr>
            </w:pPr>
          </w:p>
        </w:tc>
        <w:tc>
          <w:tcPr>
            <w:tcW w:w="1100" w:type="dxa"/>
            <w:vAlign w:val="bottom"/>
            <w:gridSpan w:val="3"/>
          </w:tcPr>
          <w:p>
            <w:pPr>
              <w:ind w:left="140"/>
              <w:spacing w:after="0"/>
              <w:rPr>
                <w:sz w:val="20"/>
                <w:szCs w:val="20"/>
                <w:color w:val="auto"/>
              </w:rPr>
            </w:pPr>
            <w:r>
              <w:rPr>
                <w:rFonts w:ascii="Arial" w:cs="Arial" w:eastAsia="Arial" w:hAnsi="Arial"/>
                <w:sz w:val="20"/>
                <w:szCs w:val="20"/>
                <w:color w:val="auto"/>
              </w:rPr>
              <w:t>Solvency.</w:t>
            </w:r>
          </w:p>
        </w:tc>
        <w:tc>
          <w:tcPr>
            <w:tcW w:w="300" w:type="dxa"/>
            <w:vAlign w:val="bottom"/>
            <w:gridSpan w:val="2"/>
          </w:tcPr>
          <w:p>
            <w:pPr>
              <w:jc w:val="right"/>
              <w:spacing w:after="0"/>
              <w:rPr>
                <w:sz w:val="20"/>
                <w:szCs w:val="20"/>
                <w:color w:val="auto"/>
              </w:rPr>
            </w:pPr>
            <w:r>
              <w:rPr>
                <w:rFonts w:ascii="Arial" w:cs="Arial" w:eastAsia="Arial" w:hAnsi="Arial"/>
                <w:sz w:val="20"/>
                <w:szCs w:val="20"/>
                <w:color w:val="FF0000"/>
                <w:strike w:val="1"/>
                <w:w w:val="83"/>
              </w:rPr>
              <w:t>105</w:t>
            </w:r>
          </w:p>
        </w:tc>
        <w:tc>
          <w:tcPr>
            <w:tcW w:w="300" w:type="dxa"/>
            <w:vAlign w:val="bottom"/>
            <w:gridSpan w:val="5"/>
          </w:tcPr>
          <w:p>
            <w:pPr>
              <w:jc w:val="right"/>
              <w:spacing w:after="0"/>
              <w:rPr>
                <w:sz w:val="20"/>
                <w:szCs w:val="20"/>
                <w:color w:val="auto"/>
              </w:rPr>
            </w:pPr>
            <w:r>
              <w:rPr>
                <w:rFonts w:ascii="Arial" w:cs="Arial" w:eastAsia="Arial" w:hAnsi="Arial"/>
                <w:sz w:val="20"/>
                <w:szCs w:val="20"/>
                <w:color w:val="0000FF"/>
                <w:w w:val="83"/>
              </w:rPr>
              <w:t>109</w:t>
            </w: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1100" w:type="dxa"/>
            <w:vAlign w:val="bottom"/>
          </w:tcPr>
          <w:p>
            <w:pPr>
              <w:ind w:left="660"/>
              <w:spacing w:after="0"/>
              <w:rPr>
                <w:sz w:val="20"/>
                <w:szCs w:val="20"/>
                <w:color w:val="auto"/>
              </w:rPr>
            </w:pPr>
            <w:r>
              <w:rPr>
                <w:rFonts w:ascii="Arial" w:cs="Arial" w:eastAsia="Arial" w:hAnsi="Arial"/>
                <w:sz w:val="20"/>
                <w:szCs w:val="20"/>
                <w:color w:val="auto"/>
              </w:rPr>
              <w:t>6.20</w:t>
            </w:r>
          </w:p>
        </w:tc>
        <w:tc>
          <w:tcPr>
            <w:tcW w:w="60" w:type="dxa"/>
            <w:vAlign w:val="bottom"/>
          </w:tcPr>
          <w:p>
            <w:pPr>
              <w:spacing w:after="0"/>
              <w:rPr>
                <w:sz w:val="24"/>
                <w:szCs w:val="24"/>
                <w:color w:val="auto"/>
              </w:rPr>
            </w:pPr>
          </w:p>
        </w:tc>
        <w:tc>
          <w:tcPr>
            <w:tcW w:w="3160" w:type="dxa"/>
            <w:vAlign w:val="bottom"/>
            <w:gridSpan w:val="35"/>
          </w:tcPr>
          <w:p>
            <w:pPr>
              <w:ind w:left="140"/>
              <w:spacing w:after="0"/>
              <w:rPr>
                <w:sz w:val="20"/>
                <w:szCs w:val="20"/>
                <w:color w:val="auto"/>
              </w:rPr>
            </w:pPr>
            <w:r>
              <w:rPr>
                <w:rFonts w:ascii="Arial" w:cs="Arial" w:eastAsia="Arial" w:hAnsi="Arial"/>
                <w:sz w:val="20"/>
                <w:szCs w:val="20"/>
                <w:color w:val="auto"/>
                <w:w w:val="96"/>
              </w:rPr>
              <w:t>Intellectual Property; Licenses, Etc.</w:t>
            </w:r>
          </w:p>
        </w:tc>
        <w:tc>
          <w:tcPr>
            <w:tcW w:w="300" w:type="dxa"/>
            <w:vAlign w:val="bottom"/>
            <w:gridSpan w:val="2"/>
          </w:tcPr>
          <w:p>
            <w:pPr>
              <w:spacing w:after="0"/>
              <w:rPr>
                <w:sz w:val="20"/>
                <w:szCs w:val="20"/>
                <w:color w:val="auto"/>
              </w:rPr>
            </w:pPr>
            <w:r>
              <w:rPr>
                <w:rFonts w:ascii="Arial" w:cs="Arial" w:eastAsia="Arial" w:hAnsi="Arial"/>
                <w:sz w:val="20"/>
                <w:szCs w:val="20"/>
                <w:color w:val="FF0000"/>
                <w:strike w:val="1"/>
                <w:w w:val="83"/>
              </w:rPr>
              <w:t>105</w:t>
            </w:r>
          </w:p>
        </w:tc>
        <w:tc>
          <w:tcPr>
            <w:tcW w:w="300" w:type="dxa"/>
            <w:vAlign w:val="bottom"/>
            <w:gridSpan w:val="2"/>
          </w:tcPr>
          <w:p>
            <w:pPr>
              <w:spacing w:after="0"/>
              <w:rPr>
                <w:sz w:val="20"/>
                <w:szCs w:val="20"/>
                <w:color w:val="auto"/>
              </w:rPr>
            </w:pPr>
            <w:r>
              <w:rPr>
                <w:rFonts w:ascii="Arial" w:cs="Arial" w:eastAsia="Arial" w:hAnsi="Arial"/>
                <w:sz w:val="20"/>
                <w:szCs w:val="20"/>
                <w:color w:val="0000FF"/>
                <w:w w:val="83"/>
              </w:rPr>
              <w:t>110</w:t>
            </w:r>
          </w:p>
        </w:tc>
        <w:tc>
          <w:tcPr>
            <w:tcW w:w="1640" w:type="dxa"/>
            <w:vAlign w:val="bottom"/>
            <w:gridSpan w:val="3"/>
          </w:tcPr>
          <w:p>
            <w:pPr>
              <w:spacing w:after="0"/>
              <w:rPr>
                <w:sz w:val="24"/>
                <w:szCs w:val="24"/>
                <w:color w:val="auto"/>
              </w:rPr>
            </w:pPr>
          </w:p>
        </w:tc>
        <w:tc>
          <w:tcPr>
            <w:tcW w:w="3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1100" w:type="dxa"/>
            <w:vAlign w:val="bottom"/>
          </w:tcPr>
          <w:p>
            <w:pPr>
              <w:ind w:left="660"/>
              <w:spacing w:after="0"/>
              <w:rPr>
                <w:sz w:val="20"/>
                <w:szCs w:val="20"/>
                <w:color w:val="auto"/>
              </w:rPr>
            </w:pPr>
            <w:r>
              <w:rPr>
                <w:rFonts w:ascii="Arial" w:cs="Arial" w:eastAsia="Arial" w:hAnsi="Arial"/>
                <w:sz w:val="20"/>
                <w:szCs w:val="20"/>
                <w:color w:val="auto"/>
              </w:rPr>
              <w:t>6.21</w:t>
            </w:r>
          </w:p>
        </w:tc>
        <w:tc>
          <w:tcPr>
            <w:tcW w:w="60" w:type="dxa"/>
            <w:vAlign w:val="bottom"/>
          </w:tcPr>
          <w:p>
            <w:pPr>
              <w:spacing w:after="0"/>
              <w:rPr>
                <w:sz w:val="24"/>
                <w:szCs w:val="24"/>
                <w:color w:val="auto"/>
              </w:rPr>
            </w:pPr>
          </w:p>
        </w:tc>
        <w:tc>
          <w:tcPr>
            <w:tcW w:w="3340" w:type="dxa"/>
            <w:vAlign w:val="bottom"/>
            <w:gridSpan w:val="36"/>
          </w:tcPr>
          <w:p>
            <w:pPr>
              <w:ind w:left="140"/>
              <w:spacing w:after="0"/>
              <w:rPr>
                <w:sz w:val="20"/>
                <w:szCs w:val="20"/>
                <w:color w:val="auto"/>
              </w:rPr>
            </w:pPr>
            <w:r>
              <w:rPr>
                <w:rFonts w:ascii="Arial" w:cs="Arial" w:eastAsia="Arial" w:hAnsi="Arial"/>
                <w:sz w:val="20"/>
                <w:szCs w:val="20"/>
                <w:color w:val="auto"/>
                <w:w w:val="89"/>
              </w:rPr>
              <w:t>Representations as to Foreign Obligors.</w:t>
            </w:r>
          </w:p>
        </w:tc>
        <w:tc>
          <w:tcPr>
            <w:tcW w:w="120" w:type="dxa"/>
            <w:vAlign w:val="bottom"/>
          </w:tcPr>
          <w:p>
            <w:pPr>
              <w:spacing w:after="0"/>
              <w:rPr>
                <w:sz w:val="24"/>
                <w:szCs w:val="24"/>
                <w:color w:val="auto"/>
              </w:rPr>
            </w:pPr>
          </w:p>
        </w:tc>
        <w:tc>
          <w:tcPr>
            <w:tcW w:w="300" w:type="dxa"/>
            <w:vAlign w:val="bottom"/>
            <w:gridSpan w:val="2"/>
          </w:tcPr>
          <w:p>
            <w:pPr>
              <w:spacing w:after="0"/>
              <w:rPr>
                <w:sz w:val="20"/>
                <w:szCs w:val="20"/>
                <w:color w:val="auto"/>
              </w:rPr>
            </w:pPr>
            <w:r>
              <w:rPr>
                <w:rFonts w:ascii="Arial" w:cs="Arial" w:eastAsia="Arial" w:hAnsi="Arial"/>
                <w:sz w:val="20"/>
                <w:szCs w:val="20"/>
                <w:color w:val="FF0000"/>
                <w:strike w:val="1"/>
                <w:w w:val="83"/>
              </w:rPr>
              <w:t>105</w:t>
            </w:r>
          </w:p>
        </w:tc>
        <w:tc>
          <w:tcPr>
            <w:tcW w:w="320" w:type="dxa"/>
            <w:vAlign w:val="bottom"/>
          </w:tcPr>
          <w:p>
            <w:pPr>
              <w:jc w:val="right"/>
              <w:spacing w:after="0"/>
              <w:rPr>
                <w:sz w:val="20"/>
                <w:szCs w:val="20"/>
                <w:color w:val="auto"/>
              </w:rPr>
            </w:pPr>
            <w:r>
              <w:rPr>
                <w:rFonts w:ascii="Arial" w:cs="Arial" w:eastAsia="Arial" w:hAnsi="Arial"/>
                <w:sz w:val="20"/>
                <w:szCs w:val="20"/>
                <w:color w:val="0000FF"/>
                <w:w w:val="83"/>
              </w:rPr>
              <w:t>110</w:t>
            </w: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1100" w:type="dxa"/>
            <w:vAlign w:val="bottom"/>
          </w:tcPr>
          <w:p>
            <w:pPr>
              <w:ind w:left="660"/>
              <w:spacing w:after="0"/>
              <w:rPr>
                <w:sz w:val="20"/>
                <w:szCs w:val="20"/>
                <w:color w:val="auto"/>
              </w:rPr>
            </w:pPr>
            <w:r>
              <w:rPr>
                <w:rFonts w:ascii="Arial" w:cs="Arial" w:eastAsia="Arial" w:hAnsi="Arial"/>
                <w:sz w:val="20"/>
                <w:szCs w:val="20"/>
                <w:color w:val="auto"/>
              </w:rPr>
              <w:t>6.22</w:t>
            </w:r>
          </w:p>
        </w:tc>
        <w:tc>
          <w:tcPr>
            <w:tcW w:w="60" w:type="dxa"/>
            <w:vAlign w:val="bottom"/>
          </w:tcPr>
          <w:p>
            <w:pPr>
              <w:spacing w:after="0"/>
              <w:rPr>
                <w:sz w:val="24"/>
                <w:szCs w:val="24"/>
                <w:color w:val="auto"/>
              </w:rPr>
            </w:pPr>
          </w:p>
        </w:tc>
        <w:tc>
          <w:tcPr>
            <w:tcW w:w="1900" w:type="dxa"/>
            <w:vAlign w:val="bottom"/>
            <w:gridSpan w:val="12"/>
          </w:tcPr>
          <w:p>
            <w:pPr>
              <w:ind w:left="140"/>
              <w:spacing w:after="0"/>
              <w:rPr>
                <w:sz w:val="20"/>
                <w:szCs w:val="20"/>
                <w:color w:val="auto"/>
              </w:rPr>
            </w:pPr>
            <w:r>
              <w:rPr>
                <w:rFonts w:ascii="Arial" w:cs="Arial" w:eastAsia="Arial" w:hAnsi="Arial"/>
                <w:sz w:val="20"/>
                <w:szCs w:val="20"/>
                <w:color w:val="auto"/>
                <w:w w:val="96"/>
              </w:rPr>
              <w:t>Security Agreement.</w:t>
            </w:r>
          </w:p>
        </w:tc>
        <w:tc>
          <w:tcPr>
            <w:tcW w:w="40" w:type="dxa"/>
            <w:vAlign w:val="bottom"/>
          </w:tcPr>
          <w:p>
            <w:pPr>
              <w:spacing w:after="0"/>
              <w:rPr>
                <w:sz w:val="24"/>
                <w:szCs w:val="24"/>
                <w:color w:val="auto"/>
              </w:rPr>
            </w:pPr>
          </w:p>
        </w:tc>
        <w:tc>
          <w:tcPr>
            <w:tcW w:w="320" w:type="dxa"/>
            <w:vAlign w:val="bottom"/>
            <w:gridSpan w:val="6"/>
          </w:tcPr>
          <w:p>
            <w:pPr>
              <w:jc w:val="right"/>
              <w:spacing w:after="0"/>
              <w:rPr>
                <w:sz w:val="20"/>
                <w:szCs w:val="20"/>
                <w:color w:val="auto"/>
              </w:rPr>
            </w:pPr>
            <w:r>
              <w:rPr>
                <w:rFonts w:ascii="Arial" w:cs="Arial" w:eastAsia="Arial" w:hAnsi="Arial"/>
                <w:sz w:val="20"/>
                <w:szCs w:val="20"/>
                <w:color w:val="FF0000"/>
                <w:strike w:val="1"/>
                <w:w w:val="89"/>
              </w:rPr>
              <w:t>106</w:t>
            </w:r>
          </w:p>
        </w:tc>
        <w:tc>
          <w:tcPr>
            <w:tcW w:w="340" w:type="dxa"/>
            <w:vAlign w:val="bottom"/>
            <w:gridSpan w:val="7"/>
          </w:tcPr>
          <w:p>
            <w:pPr>
              <w:jc w:val="right"/>
              <w:spacing w:after="0"/>
              <w:rPr>
                <w:sz w:val="20"/>
                <w:szCs w:val="20"/>
                <w:color w:val="auto"/>
              </w:rPr>
            </w:pPr>
            <w:r>
              <w:rPr>
                <w:rFonts w:ascii="Arial" w:cs="Arial" w:eastAsia="Arial" w:hAnsi="Arial"/>
                <w:sz w:val="20"/>
                <w:szCs w:val="20"/>
                <w:color w:val="0000FF"/>
                <w:w w:val="77"/>
              </w:rPr>
              <w:t>111</w:t>
            </w: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1100" w:type="dxa"/>
            <w:vAlign w:val="bottom"/>
          </w:tcPr>
          <w:p>
            <w:pPr>
              <w:ind w:left="660"/>
              <w:spacing w:after="0"/>
              <w:rPr>
                <w:sz w:val="20"/>
                <w:szCs w:val="20"/>
                <w:color w:val="auto"/>
              </w:rPr>
            </w:pPr>
            <w:r>
              <w:rPr>
                <w:rFonts w:ascii="Arial" w:cs="Arial" w:eastAsia="Arial" w:hAnsi="Arial"/>
                <w:sz w:val="20"/>
                <w:szCs w:val="20"/>
                <w:color w:val="auto"/>
              </w:rPr>
              <w:t>6.23</w:t>
            </w:r>
          </w:p>
        </w:tc>
        <w:tc>
          <w:tcPr>
            <w:tcW w:w="60" w:type="dxa"/>
            <w:vAlign w:val="bottom"/>
          </w:tcPr>
          <w:p>
            <w:pPr>
              <w:spacing w:after="0"/>
              <w:rPr>
                <w:sz w:val="24"/>
                <w:szCs w:val="24"/>
                <w:color w:val="auto"/>
              </w:rPr>
            </w:pPr>
          </w:p>
        </w:tc>
        <w:tc>
          <w:tcPr>
            <w:tcW w:w="1660" w:type="dxa"/>
            <w:vAlign w:val="bottom"/>
            <w:gridSpan w:val="9"/>
          </w:tcPr>
          <w:p>
            <w:pPr>
              <w:ind w:left="140"/>
              <w:spacing w:after="0"/>
              <w:rPr>
                <w:sz w:val="20"/>
                <w:szCs w:val="20"/>
                <w:color w:val="auto"/>
              </w:rPr>
            </w:pPr>
            <w:r>
              <w:rPr>
                <w:rFonts w:ascii="Arial" w:cs="Arial" w:eastAsia="Arial" w:hAnsi="Arial"/>
                <w:sz w:val="20"/>
                <w:szCs w:val="20"/>
                <w:color w:val="auto"/>
                <w:w w:val="87"/>
              </w:rPr>
              <w:t>Pledge Agreement.</w:t>
            </w: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00" w:type="dxa"/>
            <w:vAlign w:val="bottom"/>
            <w:gridSpan w:val="5"/>
          </w:tcPr>
          <w:p>
            <w:pPr>
              <w:jc w:val="right"/>
              <w:spacing w:after="0"/>
              <w:rPr>
                <w:sz w:val="20"/>
                <w:szCs w:val="20"/>
                <w:color w:val="auto"/>
              </w:rPr>
            </w:pPr>
            <w:r>
              <w:rPr>
                <w:rFonts w:ascii="Arial" w:cs="Arial" w:eastAsia="Arial" w:hAnsi="Arial"/>
                <w:sz w:val="20"/>
                <w:szCs w:val="20"/>
                <w:color w:val="FF0000"/>
                <w:strike w:val="1"/>
                <w:w w:val="83"/>
              </w:rPr>
              <w:t>107</w:t>
            </w:r>
          </w:p>
        </w:tc>
        <w:tc>
          <w:tcPr>
            <w:tcW w:w="280" w:type="dxa"/>
            <w:vAlign w:val="bottom"/>
            <w:gridSpan w:val="6"/>
          </w:tcPr>
          <w:p>
            <w:pPr>
              <w:jc w:val="right"/>
              <w:spacing w:after="0"/>
              <w:rPr>
                <w:sz w:val="20"/>
                <w:szCs w:val="20"/>
                <w:color w:val="auto"/>
              </w:rPr>
            </w:pPr>
            <w:r>
              <w:rPr>
                <w:rFonts w:ascii="Arial" w:cs="Arial" w:eastAsia="Arial" w:hAnsi="Arial"/>
                <w:sz w:val="20"/>
                <w:szCs w:val="20"/>
                <w:color w:val="0000FF"/>
                <w:w w:val="77"/>
              </w:rPr>
              <w:t>111</w:t>
            </w: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1100" w:type="dxa"/>
            <w:vAlign w:val="bottom"/>
          </w:tcPr>
          <w:p>
            <w:pPr>
              <w:ind w:left="660"/>
              <w:spacing w:after="0"/>
              <w:rPr>
                <w:sz w:val="20"/>
                <w:szCs w:val="20"/>
                <w:color w:val="auto"/>
              </w:rPr>
            </w:pPr>
            <w:r>
              <w:rPr>
                <w:rFonts w:ascii="Arial" w:cs="Arial" w:eastAsia="Arial" w:hAnsi="Arial"/>
                <w:sz w:val="20"/>
                <w:szCs w:val="20"/>
                <w:color w:val="0000FF"/>
              </w:rPr>
              <w:t>6.24</w:t>
            </w:r>
          </w:p>
        </w:tc>
        <w:tc>
          <w:tcPr>
            <w:tcW w:w="60" w:type="dxa"/>
            <w:vAlign w:val="bottom"/>
          </w:tcPr>
          <w:p>
            <w:pPr>
              <w:spacing w:after="0"/>
              <w:rPr>
                <w:sz w:val="24"/>
                <w:szCs w:val="24"/>
                <w:color w:val="auto"/>
              </w:rPr>
            </w:pPr>
          </w:p>
        </w:tc>
        <w:tc>
          <w:tcPr>
            <w:tcW w:w="1100" w:type="dxa"/>
            <w:vAlign w:val="bottom"/>
            <w:gridSpan w:val="3"/>
          </w:tcPr>
          <w:p>
            <w:pPr>
              <w:ind w:left="140"/>
              <w:spacing w:after="0"/>
              <w:rPr>
                <w:sz w:val="20"/>
                <w:szCs w:val="20"/>
                <w:color w:val="auto"/>
              </w:rPr>
            </w:pPr>
            <w:r>
              <w:rPr>
                <w:rFonts w:ascii="Arial" w:cs="Arial" w:eastAsia="Arial" w:hAnsi="Arial"/>
                <w:sz w:val="20"/>
                <w:szCs w:val="20"/>
                <w:color w:val="0000FF"/>
              </w:rPr>
              <w:t>Sanctions.</w:t>
            </w:r>
          </w:p>
        </w:tc>
        <w:tc>
          <w:tcPr>
            <w:tcW w:w="420" w:type="dxa"/>
            <w:vAlign w:val="bottom"/>
            <w:gridSpan w:val="3"/>
          </w:tcPr>
          <w:p>
            <w:pPr>
              <w:jc w:val="right"/>
              <w:spacing w:after="0"/>
              <w:rPr>
                <w:sz w:val="20"/>
                <w:szCs w:val="20"/>
                <w:color w:val="auto"/>
              </w:rPr>
            </w:pPr>
            <w:r>
              <w:rPr>
                <w:rFonts w:ascii="Arial" w:cs="Arial" w:eastAsia="Arial" w:hAnsi="Arial"/>
                <w:sz w:val="20"/>
                <w:szCs w:val="20"/>
                <w:color w:val="0000FF"/>
                <w:w w:val="95"/>
              </w:rPr>
              <w:t>112</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3760" w:type="dxa"/>
            <w:vAlign w:val="bottom"/>
            <w:gridSpan w:val="28"/>
          </w:tcPr>
          <w:p>
            <w:pPr>
              <w:spacing w:after="0"/>
              <w:rPr>
                <w:sz w:val="20"/>
                <w:szCs w:val="20"/>
                <w:color w:val="auto"/>
              </w:rPr>
            </w:pPr>
            <w:r>
              <w:rPr>
                <w:rFonts w:ascii="Arial" w:cs="Arial" w:eastAsia="Arial" w:hAnsi="Arial"/>
                <w:sz w:val="20"/>
                <w:szCs w:val="20"/>
                <w:color w:val="auto"/>
                <w:w w:val="97"/>
              </w:rPr>
              <w:t>ARTICLE VII AFFIRMATIVE COVENANTS</w:t>
            </w:r>
          </w:p>
        </w:tc>
        <w:tc>
          <w:tcPr>
            <w:tcW w:w="300" w:type="dxa"/>
            <w:vAlign w:val="bottom"/>
            <w:gridSpan w:val="6"/>
          </w:tcPr>
          <w:p>
            <w:pPr>
              <w:jc w:val="right"/>
              <w:spacing w:after="0"/>
              <w:rPr>
                <w:sz w:val="20"/>
                <w:szCs w:val="20"/>
                <w:color w:val="auto"/>
              </w:rPr>
            </w:pPr>
            <w:r>
              <w:rPr>
                <w:rFonts w:ascii="Arial" w:cs="Arial" w:eastAsia="Arial" w:hAnsi="Arial"/>
                <w:sz w:val="20"/>
                <w:szCs w:val="20"/>
                <w:color w:val="FF0000"/>
                <w:strike w:val="1"/>
                <w:w w:val="83"/>
              </w:rPr>
              <w:t>108</w:t>
            </w:r>
          </w:p>
        </w:tc>
        <w:tc>
          <w:tcPr>
            <w:tcW w:w="440" w:type="dxa"/>
            <w:vAlign w:val="bottom"/>
            <w:gridSpan w:val="4"/>
          </w:tcPr>
          <w:p>
            <w:pPr>
              <w:jc w:val="right"/>
              <w:ind w:right="61"/>
              <w:spacing w:after="0"/>
              <w:rPr>
                <w:sz w:val="20"/>
                <w:szCs w:val="20"/>
                <w:color w:val="auto"/>
              </w:rPr>
            </w:pPr>
            <w:r>
              <w:rPr>
                <w:rFonts w:ascii="Arial" w:cs="Arial" w:eastAsia="Arial" w:hAnsi="Arial"/>
                <w:sz w:val="20"/>
                <w:szCs w:val="20"/>
                <w:color w:val="0000FF"/>
                <w:w w:val="77"/>
              </w:rPr>
              <w:t>112</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1100" w:type="dxa"/>
            <w:vAlign w:val="bottom"/>
          </w:tcPr>
          <w:p>
            <w:pPr>
              <w:ind w:left="660"/>
              <w:spacing w:after="0"/>
              <w:rPr>
                <w:sz w:val="20"/>
                <w:szCs w:val="20"/>
                <w:color w:val="auto"/>
              </w:rPr>
            </w:pPr>
            <w:r>
              <w:rPr>
                <w:rFonts w:ascii="Arial" w:cs="Arial" w:eastAsia="Arial" w:hAnsi="Arial"/>
                <w:sz w:val="20"/>
                <w:szCs w:val="20"/>
                <w:color w:val="auto"/>
              </w:rPr>
              <w:t>7.01</w:t>
            </w:r>
          </w:p>
        </w:tc>
        <w:tc>
          <w:tcPr>
            <w:tcW w:w="60" w:type="dxa"/>
            <w:vAlign w:val="bottom"/>
          </w:tcPr>
          <w:p>
            <w:pPr>
              <w:spacing w:after="0"/>
              <w:rPr>
                <w:sz w:val="24"/>
                <w:szCs w:val="24"/>
                <w:color w:val="auto"/>
              </w:rPr>
            </w:pPr>
          </w:p>
        </w:tc>
        <w:tc>
          <w:tcPr>
            <w:tcW w:w="1900" w:type="dxa"/>
            <w:vAlign w:val="bottom"/>
            <w:gridSpan w:val="12"/>
          </w:tcPr>
          <w:p>
            <w:pPr>
              <w:ind w:left="140"/>
              <w:spacing w:after="0"/>
              <w:rPr>
                <w:sz w:val="20"/>
                <w:szCs w:val="20"/>
                <w:color w:val="auto"/>
              </w:rPr>
            </w:pPr>
            <w:r>
              <w:rPr>
                <w:rFonts w:ascii="Arial" w:cs="Arial" w:eastAsia="Arial" w:hAnsi="Arial"/>
                <w:sz w:val="20"/>
                <w:szCs w:val="20"/>
                <w:color w:val="auto"/>
                <w:w w:val="90"/>
              </w:rPr>
              <w:t>Financial Statements.</w:t>
            </w: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gridSpan w:val="6"/>
          </w:tcPr>
          <w:p>
            <w:pPr>
              <w:jc w:val="right"/>
              <w:spacing w:after="0"/>
              <w:rPr>
                <w:sz w:val="20"/>
                <w:szCs w:val="20"/>
                <w:color w:val="auto"/>
              </w:rPr>
            </w:pPr>
            <w:r>
              <w:rPr>
                <w:rFonts w:ascii="Arial" w:cs="Arial" w:eastAsia="Arial" w:hAnsi="Arial"/>
                <w:sz w:val="20"/>
                <w:szCs w:val="20"/>
                <w:color w:val="FF0000"/>
                <w:strike w:val="1"/>
                <w:w w:val="83"/>
              </w:rPr>
              <w:t>108</w:t>
            </w:r>
          </w:p>
        </w:tc>
        <w:tc>
          <w:tcPr>
            <w:tcW w:w="320" w:type="dxa"/>
            <w:vAlign w:val="bottom"/>
            <w:gridSpan w:val="7"/>
          </w:tcPr>
          <w:p>
            <w:pPr>
              <w:jc w:val="right"/>
              <w:spacing w:after="0"/>
              <w:rPr>
                <w:sz w:val="20"/>
                <w:szCs w:val="20"/>
                <w:color w:val="auto"/>
              </w:rPr>
            </w:pPr>
            <w:r>
              <w:rPr>
                <w:rFonts w:ascii="Arial" w:cs="Arial" w:eastAsia="Arial" w:hAnsi="Arial"/>
                <w:sz w:val="20"/>
                <w:szCs w:val="20"/>
                <w:color w:val="0000FF"/>
                <w:w w:val="83"/>
              </w:rPr>
              <w:t>112</w:t>
            </w: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1100" w:type="dxa"/>
            <w:vAlign w:val="bottom"/>
          </w:tcPr>
          <w:p>
            <w:pPr>
              <w:ind w:left="660"/>
              <w:spacing w:after="0"/>
              <w:rPr>
                <w:sz w:val="20"/>
                <w:szCs w:val="20"/>
                <w:color w:val="auto"/>
              </w:rPr>
            </w:pPr>
            <w:r>
              <w:rPr>
                <w:rFonts w:ascii="Arial" w:cs="Arial" w:eastAsia="Arial" w:hAnsi="Arial"/>
                <w:sz w:val="20"/>
                <w:szCs w:val="20"/>
                <w:color w:val="auto"/>
              </w:rPr>
              <w:t>7.02</w:t>
            </w:r>
          </w:p>
        </w:tc>
        <w:tc>
          <w:tcPr>
            <w:tcW w:w="60" w:type="dxa"/>
            <w:vAlign w:val="bottom"/>
          </w:tcPr>
          <w:p>
            <w:pPr>
              <w:spacing w:after="0"/>
              <w:rPr>
                <w:sz w:val="24"/>
                <w:szCs w:val="24"/>
                <w:color w:val="auto"/>
              </w:rPr>
            </w:pPr>
          </w:p>
        </w:tc>
        <w:tc>
          <w:tcPr>
            <w:tcW w:w="2760" w:type="dxa"/>
            <w:vAlign w:val="bottom"/>
            <w:gridSpan w:val="30"/>
          </w:tcPr>
          <w:p>
            <w:pPr>
              <w:ind w:left="140"/>
              <w:spacing w:after="0"/>
              <w:rPr>
                <w:sz w:val="20"/>
                <w:szCs w:val="20"/>
                <w:color w:val="auto"/>
              </w:rPr>
            </w:pPr>
            <w:r>
              <w:rPr>
                <w:rFonts w:ascii="Arial" w:cs="Arial" w:eastAsia="Arial" w:hAnsi="Arial"/>
                <w:sz w:val="20"/>
                <w:szCs w:val="20"/>
                <w:color w:val="auto"/>
                <w:w w:val="95"/>
              </w:rPr>
              <w:t>Certificates; Other Information.</w:t>
            </w:r>
          </w:p>
        </w:tc>
        <w:tc>
          <w:tcPr>
            <w:tcW w:w="80" w:type="dxa"/>
            <w:vAlign w:val="bottom"/>
          </w:tcPr>
          <w:p>
            <w:pPr>
              <w:spacing w:after="0"/>
              <w:rPr>
                <w:sz w:val="24"/>
                <w:szCs w:val="24"/>
                <w:color w:val="auto"/>
              </w:rPr>
            </w:pPr>
          </w:p>
        </w:tc>
        <w:tc>
          <w:tcPr>
            <w:tcW w:w="300" w:type="dxa"/>
            <w:vAlign w:val="bottom"/>
            <w:gridSpan w:val="3"/>
          </w:tcPr>
          <w:p>
            <w:pPr>
              <w:jc w:val="right"/>
              <w:spacing w:after="0"/>
              <w:rPr>
                <w:sz w:val="20"/>
                <w:szCs w:val="20"/>
                <w:color w:val="auto"/>
              </w:rPr>
            </w:pPr>
            <w:r>
              <w:rPr>
                <w:rFonts w:ascii="Arial" w:cs="Arial" w:eastAsia="Arial" w:hAnsi="Arial"/>
                <w:sz w:val="20"/>
                <w:szCs w:val="20"/>
                <w:color w:val="FF0000"/>
                <w:strike w:val="1"/>
                <w:w w:val="83"/>
              </w:rPr>
              <w:t>109</w:t>
            </w:r>
          </w:p>
        </w:tc>
        <w:tc>
          <w:tcPr>
            <w:tcW w:w="320" w:type="dxa"/>
            <w:vAlign w:val="bottom"/>
            <w:gridSpan w:val="3"/>
          </w:tcPr>
          <w:p>
            <w:pPr>
              <w:spacing w:after="0"/>
              <w:rPr>
                <w:sz w:val="20"/>
                <w:szCs w:val="20"/>
                <w:color w:val="auto"/>
              </w:rPr>
            </w:pPr>
            <w:r>
              <w:rPr>
                <w:rFonts w:ascii="Arial" w:cs="Arial" w:eastAsia="Arial" w:hAnsi="Arial"/>
                <w:sz w:val="20"/>
                <w:szCs w:val="20"/>
                <w:color w:val="0000FF"/>
                <w:w w:val="89"/>
              </w:rPr>
              <w:t>113</w:t>
            </w: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1100" w:type="dxa"/>
            <w:vAlign w:val="bottom"/>
          </w:tcPr>
          <w:p>
            <w:pPr>
              <w:ind w:left="660"/>
              <w:spacing w:after="0"/>
              <w:rPr>
                <w:sz w:val="20"/>
                <w:szCs w:val="20"/>
                <w:color w:val="auto"/>
              </w:rPr>
            </w:pPr>
            <w:r>
              <w:rPr>
                <w:rFonts w:ascii="Arial" w:cs="Arial" w:eastAsia="Arial" w:hAnsi="Arial"/>
                <w:sz w:val="20"/>
                <w:szCs w:val="20"/>
                <w:color w:val="auto"/>
              </w:rPr>
              <w:t>7.03</w:t>
            </w:r>
          </w:p>
        </w:tc>
        <w:tc>
          <w:tcPr>
            <w:tcW w:w="60" w:type="dxa"/>
            <w:vAlign w:val="bottom"/>
          </w:tcPr>
          <w:p>
            <w:pPr>
              <w:spacing w:after="0"/>
              <w:rPr>
                <w:sz w:val="24"/>
                <w:szCs w:val="24"/>
                <w:color w:val="auto"/>
              </w:rPr>
            </w:pPr>
          </w:p>
        </w:tc>
        <w:tc>
          <w:tcPr>
            <w:tcW w:w="1340" w:type="dxa"/>
            <w:vAlign w:val="bottom"/>
            <w:gridSpan w:val="4"/>
          </w:tcPr>
          <w:p>
            <w:pPr>
              <w:ind w:left="140"/>
              <w:spacing w:after="0"/>
              <w:rPr>
                <w:sz w:val="20"/>
                <w:szCs w:val="20"/>
                <w:color w:val="auto"/>
              </w:rPr>
            </w:pPr>
            <w:r>
              <w:rPr>
                <w:rFonts w:ascii="Arial" w:cs="Arial" w:eastAsia="Arial" w:hAnsi="Arial"/>
                <w:sz w:val="20"/>
                <w:szCs w:val="20"/>
                <w:color w:val="auto"/>
              </w:rPr>
              <w:t>Notification.</w:t>
            </w:r>
          </w:p>
        </w:tc>
        <w:tc>
          <w:tcPr>
            <w:tcW w:w="280" w:type="dxa"/>
            <w:vAlign w:val="bottom"/>
            <w:gridSpan w:val="3"/>
          </w:tcPr>
          <w:p>
            <w:pPr>
              <w:spacing w:after="0"/>
              <w:rPr>
                <w:sz w:val="20"/>
                <w:szCs w:val="20"/>
                <w:color w:val="auto"/>
              </w:rPr>
            </w:pPr>
            <w:r>
              <w:rPr>
                <w:rFonts w:ascii="Arial" w:cs="Arial" w:eastAsia="Arial" w:hAnsi="Arial"/>
                <w:sz w:val="20"/>
                <w:szCs w:val="20"/>
                <w:color w:val="FF0000"/>
                <w:strike w:val="1"/>
                <w:w w:val="77"/>
              </w:rPr>
              <w:t>111</w:t>
            </w:r>
          </w:p>
        </w:tc>
        <w:tc>
          <w:tcPr>
            <w:tcW w:w="280" w:type="dxa"/>
            <w:vAlign w:val="bottom"/>
            <w:gridSpan w:val="5"/>
          </w:tcPr>
          <w:p>
            <w:pPr>
              <w:jc w:val="right"/>
              <w:spacing w:after="0"/>
              <w:rPr>
                <w:sz w:val="20"/>
                <w:szCs w:val="20"/>
                <w:color w:val="auto"/>
              </w:rPr>
            </w:pPr>
            <w:r>
              <w:rPr>
                <w:rFonts w:ascii="Arial" w:cs="Arial" w:eastAsia="Arial" w:hAnsi="Arial"/>
                <w:sz w:val="20"/>
                <w:szCs w:val="20"/>
                <w:color w:val="0000FF"/>
                <w:w w:val="77"/>
              </w:rPr>
              <w:t>115</w:t>
            </w: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1100" w:type="dxa"/>
            <w:vAlign w:val="bottom"/>
          </w:tcPr>
          <w:p>
            <w:pPr>
              <w:ind w:left="660"/>
              <w:spacing w:after="0"/>
              <w:rPr>
                <w:sz w:val="20"/>
                <w:szCs w:val="20"/>
                <w:color w:val="auto"/>
              </w:rPr>
            </w:pPr>
            <w:r>
              <w:rPr>
                <w:rFonts w:ascii="Arial" w:cs="Arial" w:eastAsia="Arial" w:hAnsi="Arial"/>
                <w:sz w:val="20"/>
                <w:szCs w:val="20"/>
                <w:color w:val="auto"/>
              </w:rPr>
              <w:t>7.04</w:t>
            </w:r>
          </w:p>
        </w:tc>
        <w:tc>
          <w:tcPr>
            <w:tcW w:w="60" w:type="dxa"/>
            <w:vAlign w:val="bottom"/>
          </w:tcPr>
          <w:p>
            <w:pPr>
              <w:spacing w:after="0"/>
              <w:rPr>
                <w:sz w:val="24"/>
                <w:szCs w:val="24"/>
                <w:color w:val="auto"/>
              </w:rPr>
            </w:pPr>
          </w:p>
        </w:tc>
        <w:tc>
          <w:tcPr>
            <w:tcW w:w="2200" w:type="dxa"/>
            <w:vAlign w:val="bottom"/>
            <w:gridSpan w:val="17"/>
          </w:tcPr>
          <w:p>
            <w:pPr>
              <w:ind w:left="140"/>
              <w:spacing w:after="0"/>
              <w:rPr>
                <w:sz w:val="20"/>
                <w:szCs w:val="20"/>
                <w:color w:val="auto"/>
              </w:rPr>
            </w:pPr>
            <w:r>
              <w:rPr>
                <w:rFonts w:ascii="Arial" w:cs="Arial" w:eastAsia="Arial" w:hAnsi="Arial"/>
                <w:sz w:val="20"/>
                <w:szCs w:val="20"/>
                <w:color w:val="auto"/>
                <w:w w:val="96"/>
              </w:rPr>
              <w:t>Payment of Obligations.</w:t>
            </w:r>
          </w:p>
        </w:tc>
        <w:tc>
          <w:tcPr>
            <w:tcW w:w="40" w:type="dxa"/>
            <w:vAlign w:val="bottom"/>
          </w:tcPr>
          <w:p>
            <w:pPr>
              <w:spacing w:after="0"/>
              <w:rPr>
                <w:sz w:val="24"/>
                <w:szCs w:val="24"/>
                <w:color w:val="auto"/>
              </w:rPr>
            </w:pPr>
          </w:p>
        </w:tc>
        <w:tc>
          <w:tcPr>
            <w:tcW w:w="300" w:type="dxa"/>
            <w:vAlign w:val="bottom"/>
            <w:gridSpan w:val="7"/>
          </w:tcPr>
          <w:p>
            <w:pPr>
              <w:jc w:val="right"/>
              <w:spacing w:after="0"/>
              <w:rPr>
                <w:sz w:val="20"/>
                <w:szCs w:val="20"/>
                <w:color w:val="auto"/>
              </w:rPr>
            </w:pPr>
            <w:r>
              <w:rPr>
                <w:rFonts w:ascii="Arial" w:cs="Arial" w:eastAsia="Arial" w:hAnsi="Arial"/>
                <w:sz w:val="20"/>
                <w:szCs w:val="20"/>
                <w:color w:val="FF0000"/>
                <w:strike w:val="1"/>
                <w:w w:val="83"/>
              </w:rPr>
              <w:t>111</w:t>
            </w:r>
          </w:p>
        </w:tc>
        <w:tc>
          <w:tcPr>
            <w:tcW w:w="300" w:type="dxa"/>
            <w:vAlign w:val="bottom"/>
            <w:gridSpan w:val="6"/>
          </w:tcPr>
          <w:p>
            <w:pPr>
              <w:jc w:val="right"/>
              <w:spacing w:after="0"/>
              <w:rPr>
                <w:sz w:val="20"/>
                <w:szCs w:val="20"/>
                <w:color w:val="auto"/>
              </w:rPr>
            </w:pPr>
            <w:r>
              <w:rPr>
                <w:rFonts w:ascii="Arial" w:cs="Arial" w:eastAsia="Arial" w:hAnsi="Arial"/>
                <w:sz w:val="20"/>
                <w:szCs w:val="20"/>
                <w:color w:val="0000FF"/>
                <w:w w:val="77"/>
              </w:rPr>
              <w:t>115</w:t>
            </w: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1100" w:type="dxa"/>
            <w:vAlign w:val="bottom"/>
          </w:tcPr>
          <w:p>
            <w:pPr>
              <w:ind w:left="660"/>
              <w:spacing w:after="0"/>
              <w:rPr>
                <w:sz w:val="20"/>
                <w:szCs w:val="20"/>
                <w:color w:val="auto"/>
              </w:rPr>
            </w:pPr>
            <w:r>
              <w:rPr>
                <w:rFonts w:ascii="Arial" w:cs="Arial" w:eastAsia="Arial" w:hAnsi="Arial"/>
                <w:sz w:val="20"/>
                <w:szCs w:val="20"/>
                <w:color w:val="auto"/>
              </w:rPr>
              <w:t>7.05</w:t>
            </w:r>
          </w:p>
        </w:tc>
        <w:tc>
          <w:tcPr>
            <w:tcW w:w="60" w:type="dxa"/>
            <w:vAlign w:val="bottom"/>
          </w:tcPr>
          <w:p>
            <w:pPr>
              <w:spacing w:after="0"/>
              <w:rPr>
                <w:sz w:val="24"/>
                <w:szCs w:val="24"/>
                <w:color w:val="auto"/>
              </w:rPr>
            </w:pPr>
          </w:p>
        </w:tc>
        <w:tc>
          <w:tcPr>
            <w:tcW w:w="2760" w:type="dxa"/>
            <w:vAlign w:val="bottom"/>
            <w:gridSpan w:val="30"/>
          </w:tcPr>
          <w:p>
            <w:pPr>
              <w:ind w:left="140"/>
              <w:spacing w:after="0"/>
              <w:rPr>
                <w:sz w:val="20"/>
                <w:szCs w:val="20"/>
                <w:color w:val="auto"/>
              </w:rPr>
            </w:pPr>
            <w:r>
              <w:rPr>
                <w:rFonts w:ascii="Arial" w:cs="Arial" w:eastAsia="Arial" w:hAnsi="Arial"/>
                <w:sz w:val="20"/>
                <w:szCs w:val="20"/>
                <w:color w:val="auto"/>
                <w:w w:val="95"/>
              </w:rPr>
              <w:t>Preservation of Existence, Etc.</w:t>
            </w:r>
          </w:p>
        </w:tc>
        <w:tc>
          <w:tcPr>
            <w:tcW w:w="280" w:type="dxa"/>
            <w:vAlign w:val="bottom"/>
            <w:gridSpan w:val="3"/>
          </w:tcPr>
          <w:p>
            <w:pPr>
              <w:jc w:val="right"/>
              <w:spacing w:after="0"/>
              <w:rPr>
                <w:sz w:val="20"/>
                <w:szCs w:val="20"/>
                <w:color w:val="auto"/>
              </w:rPr>
            </w:pPr>
            <w:r>
              <w:rPr>
                <w:rFonts w:ascii="Arial" w:cs="Arial" w:eastAsia="Arial" w:hAnsi="Arial"/>
                <w:sz w:val="20"/>
                <w:szCs w:val="20"/>
                <w:color w:val="FF0000"/>
                <w:strike w:val="1"/>
                <w:w w:val="77"/>
              </w:rPr>
              <w:t>112</w:t>
            </w:r>
          </w:p>
        </w:tc>
        <w:tc>
          <w:tcPr>
            <w:tcW w:w="420" w:type="dxa"/>
            <w:vAlign w:val="bottom"/>
            <w:gridSpan w:val="4"/>
          </w:tcPr>
          <w:p>
            <w:pPr>
              <w:jc w:val="right"/>
              <w:ind w:right="21"/>
              <w:spacing w:after="0"/>
              <w:rPr>
                <w:sz w:val="20"/>
                <w:szCs w:val="20"/>
                <w:color w:val="auto"/>
              </w:rPr>
            </w:pPr>
            <w:r>
              <w:rPr>
                <w:rFonts w:ascii="Arial" w:cs="Arial" w:eastAsia="Arial" w:hAnsi="Arial"/>
                <w:sz w:val="20"/>
                <w:szCs w:val="20"/>
                <w:color w:val="0000FF"/>
                <w:w w:val="83"/>
              </w:rPr>
              <w:t>116</w:t>
            </w: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1100" w:type="dxa"/>
            <w:vAlign w:val="bottom"/>
          </w:tcPr>
          <w:p>
            <w:pPr>
              <w:ind w:left="660"/>
              <w:spacing w:after="0"/>
              <w:rPr>
                <w:sz w:val="20"/>
                <w:szCs w:val="20"/>
                <w:color w:val="auto"/>
              </w:rPr>
            </w:pPr>
            <w:r>
              <w:rPr>
                <w:rFonts w:ascii="Arial" w:cs="Arial" w:eastAsia="Arial" w:hAnsi="Arial"/>
                <w:sz w:val="20"/>
                <w:szCs w:val="20"/>
                <w:color w:val="auto"/>
              </w:rPr>
              <w:t>7.06</w:t>
            </w:r>
          </w:p>
        </w:tc>
        <w:tc>
          <w:tcPr>
            <w:tcW w:w="60" w:type="dxa"/>
            <w:vAlign w:val="bottom"/>
          </w:tcPr>
          <w:p>
            <w:pPr>
              <w:spacing w:after="0"/>
              <w:rPr>
                <w:sz w:val="24"/>
                <w:szCs w:val="24"/>
                <w:color w:val="auto"/>
              </w:rPr>
            </w:pPr>
          </w:p>
        </w:tc>
        <w:tc>
          <w:tcPr>
            <w:tcW w:w="2460" w:type="dxa"/>
            <w:vAlign w:val="bottom"/>
            <w:gridSpan w:val="23"/>
          </w:tcPr>
          <w:p>
            <w:pPr>
              <w:ind w:left="140"/>
              <w:spacing w:after="0"/>
              <w:rPr>
                <w:sz w:val="20"/>
                <w:szCs w:val="20"/>
                <w:color w:val="auto"/>
              </w:rPr>
            </w:pPr>
            <w:r>
              <w:rPr>
                <w:rFonts w:ascii="Arial" w:cs="Arial" w:eastAsia="Arial" w:hAnsi="Arial"/>
                <w:sz w:val="20"/>
                <w:szCs w:val="20"/>
                <w:color w:val="auto"/>
                <w:w w:val="96"/>
              </w:rPr>
              <w:t>Maintenance of Properties.</w:t>
            </w:r>
          </w:p>
        </w:tc>
        <w:tc>
          <w:tcPr>
            <w:tcW w:w="300" w:type="dxa"/>
            <w:vAlign w:val="bottom"/>
            <w:gridSpan w:val="7"/>
          </w:tcPr>
          <w:p>
            <w:pPr>
              <w:jc w:val="right"/>
              <w:spacing w:after="0"/>
              <w:rPr>
                <w:sz w:val="20"/>
                <w:szCs w:val="20"/>
                <w:color w:val="auto"/>
              </w:rPr>
            </w:pPr>
            <w:r>
              <w:rPr>
                <w:rFonts w:ascii="Arial" w:cs="Arial" w:eastAsia="Arial" w:hAnsi="Arial"/>
                <w:sz w:val="20"/>
                <w:szCs w:val="20"/>
                <w:color w:val="FF0000"/>
                <w:strike w:val="1"/>
                <w:w w:val="83"/>
              </w:rPr>
              <w:t>112</w:t>
            </w:r>
          </w:p>
        </w:tc>
        <w:tc>
          <w:tcPr>
            <w:tcW w:w="280" w:type="dxa"/>
            <w:vAlign w:val="bottom"/>
            <w:gridSpan w:val="3"/>
          </w:tcPr>
          <w:p>
            <w:pPr>
              <w:jc w:val="right"/>
              <w:spacing w:after="0"/>
              <w:rPr>
                <w:sz w:val="20"/>
                <w:szCs w:val="20"/>
                <w:color w:val="auto"/>
              </w:rPr>
            </w:pPr>
            <w:r>
              <w:rPr>
                <w:rFonts w:ascii="Arial" w:cs="Arial" w:eastAsia="Arial" w:hAnsi="Arial"/>
                <w:sz w:val="20"/>
                <w:szCs w:val="20"/>
                <w:color w:val="0000FF"/>
                <w:w w:val="77"/>
              </w:rPr>
              <w:t>116</w:t>
            </w:r>
          </w:p>
        </w:tc>
        <w:tc>
          <w:tcPr>
            <w:tcW w:w="300" w:type="dxa"/>
            <w:vAlign w:val="bottom"/>
            <w:gridSpan w:val="3"/>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1100" w:type="dxa"/>
            <w:vAlign w:val="bottom"/>
          </w:tcPr>
          <w:p>
            <w:pPr>
              <w:ind w:left="660"/>
              <w:spacing w:after="0"/>
              <w:rPr>
                <w:sz w:val="20"/>
                <w:szCs w:val="20"/>
                <w:color w:val="auto"/>
              </w:rPr>
            </w:pPr>
            <w:r>
              <w:rPr>
                <w:rFonts w:ascii="Arial" w:cs="Arial" w:eastAsia="Arial" w:hAnsi="Arial"/>
                <w:sz w:val="20"/>
                <w:szCs w:val="20"/>
                <w:color w:val="auto"/>
              </w:rPr>
              <w:t>7.07</w:t>
            </w:r>
          </w:p>
        </w:tc>
        <w:tc>
          <w:tcPr>
            <w:tcW w:w="60" w:type="dxa"/>
            <w:vAlign w:val="bottom"/>
          </w:tcPr>
          <w:p>
            <w:pPr>
              <w:spacing w:after="0"/>
              <w:rPr>
                <w:sz w:val="24"/>
                <w:szCs w:val="24"/>
                <w:color w:val="auto"/>
              </w:rPr>
            </w:pPr>
          </w:p>
        </w:tc>
        <w:tc>
          <w:tcPr>
            <w:tcW w:w="2240" w:type="dxa"/>
            <w:vAlign w:val="bottom"/>
            <w:gridSpan w:val="18"/>
          </w:tcPr>
          <w:p>
            <w:pPr>
              <w:ind w:left="140"/>
              <w:spacing w:after="0"/>
              <w:rPr>
                <w:sz w:val="20"/>
                <w:szCs w:val="20"/>
                <w:color w:val="auto"/>
              </w:rPr>
            </w:pPr>
            <w:r>
              <w:rPr>
                <w:rFonts w:ascii="Arial" w:cs="Arial" w:eastAsia="Arial" w:hAnsi="Arial"/>
                <w:sz w:val="20"/>
                <w:szCs w:val="20"/>
                <w:color w:val="auto"/>
                <w:w w:val="88"/>
              </w:rPr>
              <w:t>Maintenance of Insurance.</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gridSpan w:val="7"/>
          </w:tcPr>
          <w:p>
            <w:pPr>
              <w:jc w:val="right"/>
              <w:spacing w:after="0"/>
              <w:rPr>
                <w:sz w:val="20"/>
                <w:szCs w:val="20"/>
                <w:color w:val="auto"/>
              </w:rPr>
            </w:pPr>
            <w:r>
              <w:rPr>
                <w:rFonts w:ascii="Arial" w:cs="Arial" w:eastAsia="Arial" w:hAnsi="Arial"/>
                <w:sz w:val="20"/>
                <w:szCs w:val="20"/>
                <w:color w:val="FF0000"/>
                <w:strike w:val="1"/>
                <w:w w:val="83"/>
              </w:rPr>
              <w:t>112</w:t>
            </w:r>
          </w:p>
        </w:tc>
        <w:tc>
          <w:tcPr>
            <w:tcW w:w="320" w:type="dxa"/>
            <w:vAlign w:val="bottom"/>
            <w:gridSpan w:val="4"/>
          </w:tcPr>
          <w:p>
            <w:pPr>
              <w:jc w:val="right"/>
              <w:spacing w:after="0"/>
              <w:rPr>
                <w:sz w:val="20"/>
                <w:szCs w:val="20"/>
                <w:color w:val="auto"/>
              </w:rPr>
            </w:pPr>
            <w:r>
              <w:rPr>
                <w:rFonts w:ascii="Arial" w:cs="Arial" w:eastAsia="Arial" w:hAnsi="Arial"/>
                <w:sz w:val="20"/>
                <w:szCs w:val="20"/>
                <w:color w:val="0000FF"/>
                <w:w w:val="77"/>
              </w:rPr>
              <w:t>116</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1100" w:type="dxa"/>
            <w:vAlign w:val="bottom"/>
          </w:tcPr>
          <w:p>
            <w:pPr>
              <w:ind w:left="660"/>
              <w:spacing w:after="0"/>
              <w:rPr>
                <w:sz w:val="20"/>
                <w:szCs w:val="20"/>
                <w:color w:val="auto"/>
              </w:rPr>
            </w:pPr>
            <w:r>
              <w:rPr>
                <w:rFonts w:ascii="Arial" w:cs="Arial" w:eastAsia="Arial" w:hAnsi="Arial"/>
                <w:sz w:val="20"/>
                <w:szCs w:val="20"/>
                <w:color w:val="auto"/>
              </w:rPr>
              <w:t>7.08</w:t>
            </w:r>
          </w:p>
        </w:tc>
        <w:tc>
          <w:tcPr>
            <w:tcW w:w="60" w:type="dxa"/>
            <w:vAlign w:val="bottom"/>
          </w:tcPr>
          <w:p>
            <w:pPr>
              <w:spacing w:after="0"/>
              <w:rPr>
                <w:sz w:val="24"/>
                <w:szCs w:val="24"/>
                <w:color w:val="auto"/>
              </w:rPr>
            </w:pPr>
          </w:p>
        </w:tc>
        <w:tc>
          <w:tcPr>
            <w:tcW w:w="2200" w:type="dxa"/>
            <w:vAlign w:val="bottom"/>
            <w:gridSpan w:val="17"/>
          </w:tcPr>
          <w:p>
            <w:pPr>
              <w:ind w:left="140"/>
              <w:spacing w:after="0"/>
              <w:rPr>
                <w:sz w:val="20"/>
                <w:szCs w:val="20"/>
                <w:color w:val="auto"/>
              </w:rPr>
            </w:pPr>
            <w:r>
              <w:rPr>
                <w:rFonts w:ascii="Arial" w:cs="Arial" w:eastAsia="Arial" w:hAnsi="Arial"/>
                <w:sz w:val="20"/>
                <w:szCs w:val="20"/>
                <w:color w:val="auto"/>
                <w:w w:val="99"/>
              </w:rPr>
              <w:t>Compliance with Laws.</w:t>
            </w:r>
          </w:p>
        </w:tc>
        <w:tc>
          <w:tcPr>
            <w:tcW w:w="300" w:type="dxa"/>
            <w:vAlign w:val="bottom"/>
            <w:gridSpan w:val="7"/>
          </w:tcPr>
          <w:p>
            <w:pPr>
              <w:jc w:val="right"/>
              <w:spacing w:after="0"/>
              <w:rPr>
                <w:sz w:val="20"/>
                <w:szCs w:val="20"/>
                <w:color w:val="auto"/>
              </w:rPr>
            </w:pPr>
            <w:r>
              <w:rPr>
                <w:rFonts w:ascii="Arial" w:cs="Arial" w:eastAsia="Arial" w:hAnsi="Arial"/>
                <w:sz w:val="20"/>
                <w:szCs w:val="20"/>
                <w:color w:val="FF0000"/>
                <w:strike w:val="1"/>
                <w:w w:val="83"/>
              </w:rPr>
              <w:t>112</w:t>
            </w:r>
          </w:p>
        </w:tc>
        <w:tc>
          <w:tcPr>
            <w:tcW w:w="340" w:type="dxa"/>
            <w:vAlign w:val="bottom"/>
            <w:gridSpan w:val="7"/>
          </w:tcPr>
          <w:p>
            <w:pPr>
              <w:jc w:val="right"/>
              <w:spacing w:after="0"/>
              <w:rPr>
                <w:sz w:val="20"/>
                <w:szCs w:val="20"/>
                <w:color w:val="auto"/>
              </w:rPr>
            </w:pPr>
            <w:r>
              <w:rPr>
                <w:rFonts w:ascii="Arial" w:cs="Arial" w:eastAsia="Arial" w:hAnsi="Arial"/>
                <w:sz w:val="20"/>
                <w:szCs w:val="20"/>
                <w:color w:val="0000FF"/>
                <w:w w:val="77"/>
              </w:rPr>
              <w:t>116</w:t>
            </w: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1100" w:type="dxa"/>
            <w:vAlign w:val="bottom"/>
          </w:tcPr>
          <w:p>
            <w:pPr>
              <w:ind w:left="660"/>
              <w:spacing w:after="0"/>
              <w:rPr>
                <w:sz w:val="20"/>
                <w:szCs w:val="20"/>
                <w:color w:val="auto"/>
              </w:rPr>
            </w:pPr>
            <w:r>
              <w:rPr>
                <w:rFonts w:ascii="Arial" w:cs="Arial" w:eastAsia="Arial" w:hAnsi="Arial"/>
                <w:sz w:val="20"/>
                <w:szCs w:val="20"/>
                <w:color w:val="auto"/>
              </w:rPr>
              <w:t>7.09</w:t>
            </w:r>
          </w:p>
        </w:tc>
        <w:tc>
          <w:tcPr>
            <w:tcW w:w="60" w:type="dxa"/>
            <w:vAlign w:val="bottom"/>
          </w:tcPr>
          <w:p>
            <w:pPr>
              <w:spacing w:after="0"/>
              <w:rPr>
                <w:sz w:val="24"/>
                <w:szCs w:val="24"/>
                <w:color w:val="auto"/>
              </w:rPr>
            </w:pPr>
          </w:p>
        </w:tc>
        <w:tc>
          <w:tcPr>
            <w:tcW w:w="1900" w:type="dxa"/>
            <w:vAlign w:val="bottom"/>
            <w:gridSpan w:val="12"/>
          </w:tcPr>
          <w:p>
            <w:pPr>
              <w:ind w:left="140"/>
              <w:spacing w:after="0"/>
              <w:rPr>
                <w:sz w:val="20"/>
                <w:szCs w:val="20"/>
                <w:color w:val="auto"/>
              </w:rPr>
            </w:pPr>
            <w:r>
              <w:rPr>
                <w:rFonts w:ascii="Arial" w:cs="Arial" w:eastAsia="Arial" w:hAnsi="Arial"/>
                <w:sz w:val="20"/>
                <w:szCs w:val="20"/>
                <w:color w:val="auto"/>
                <w:w w:val="96"/>
              </w:rPr>
              <w:t>Books and Records.</w:t>
            </w:r>
          </w:p>
        </w:tc>
        <w:tc>
          <w:tcPr>
            <w:tcW w:w="300" w:type="dxa"/>
            <w:vAlign w:val="bottom"/>
            <w:gridSpan w:val="5"/>
          </w:tcPr>
          <w:p>
            <w:pPr>
              <w:jc w:val="right"/>
              <w:spacing w:after="0"/>
              <w:rPr>
                <w:sz w:val="20"/>
                <w:szCs w:val="20"/>
                <w:color w:val="auto"/>
              </w:rPr>
            </w:pPr>
            <w:r>
              <w:rPr>
                <w:rFonts w:ascii="Arial" w:cs="Arial" w:eastAsia="Arial" w:hAnsi="Arial"/>
                <w:sz w:val="20"/>
                <w:szCs w:val="20"/>
                <w:color w:val="FF0000"/>
                <w:strike w:val="1"/>
                <w:w w:val="83"/>
              </w:rPr>
              <w:t>112</w:t>
            </w:r>
          </w:p>
        </w:tc>
        <w:tc>
          <w:tcPr>
            <w:tcW w:w="300" w:type="dxa"/>
            <w:vAlign w:val="bottom"/>
            <w:gridSpan w:val="7"/>
          </w:tcPr>
          <w:p>
            <w:pPr>
              <w:jc w:val="right"/>
              <w:spacing w:after="0"/>
              <w:rPr>
                <w:sz w:val="20"/>
                <w:szCs w:val="20"/>
                <w:color w:val="auto"/>
              </w:rPr>
            </w:pPr>
            <w:r>
              <w:rPr>
                <w:rFonts w:ascii="Arial" w:cs="Arial" w:eastAsia="Arial" w:hAnsi="Arial"/>
                <w:sz w:val="20"/>
                <w:szCs w:val="20"/>
                <w:color w:val="0000FF"/>
                <w:w w:val="83"/>
              </w:rPr>
              <w:t>117</w:t>
            </w: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1100" w:type="dxa"/>
            <w:vAlign w:val="bottom"/>
          </w:tcPr>
          <w:p>
            <w:pPr>
              <w:ind w:left="660"/>
              <w:spacing w:after="0"/>
              <w:rPr>
                <w:sz w:val="20"/>
                <w:szCs w:val="20"/>
                <w:color w:val="auto"/>
              </w:rPr>
            </w:pPr>
            <w:r>
              <w:rPr>
                <w:rFonts w:ascii="Arial" w:cs="Arial" w:eastAsia="Arial" w:hAnsi="Arial"/>
                <w:sz w:val="20"/>
                <w:szCs w:val="20"/>
                <w:color w:val="auto"/>
              </w:rPr>
              <w:t>7.10</w:t>
            </w:r>
          </w:p>
        </w:tc>
        <w:tc>
          <w:tcPr>
            <w:tcW w:w="60" w:type="dxa"/>
            <w:vAlign w:val="bottom"/>
          </w:tcPr>
          <w:p>
            <w:pPr>
              <w:spacing w:after="0"/>
              <w:rPr>
                <w:sz w:val="24"/>
                <w:szCs w:val="24"/>
                <w:color w:val="auto"/>
              </w:rPr>
            </w:pPr>
          </w:p>
        </w:tc>
        <w:tc>
          <w:tcPr>
            <w:tcW w:w="1660" w:type="dxa"/>
            <w:vAlign w:val="bottom"/>
            <w:gridSpan w:val="9"/>
          </w:tcPr>
          <w:p>
            <w:pPr>
              <w:ind w:left="140"/>
              <w:spacing w:after="0"/>
              <w:rPr>
                <w:sz w:val="20"/>
                <w:szCs w:val="20"/>
                <w:color w:val="auto"/>
              </w:rPr>
            </w:pPr>
            <w:r>
              <w:rPr>
                <w:rFonts w:ascii="Arial" w:cs="Arial" w:eastAsia="Arial" w:hAnsi="Arial"/>
                <w:sz w:val="20"/>
                <w:szCs w:val="20"/>
                <w:color w:val="auto"/>
                <w:w w:val="94"/>
              </w:rPr>
              <w:t>Inspection Rights.</w:t>
            </w:r>
          </w:p>
        </w:tc>
        <w:tc>
          <w:tcPr>
            <w:tcW w:w="40" w:type="dxa"/>
            <w:vAlign w:val="bottom"/>
          </w:tcPr>
          <w:p>
            <w:pPr>
              <w:spacing w:after="0"/>
              <w:rPr>
                <w:sz w:val="24"/>
                <w:szCs w:val="24"/>
                <w:color w:val="auto"/>
              </w:rPr>
            </w:pPr>
          </w:p>
        </w:tc>
        <w:tc>
          <w:tcPr>
            <w:tcW w:w="360" w:type="dxa"/>
            <w:vAlign w:val="bottom"/>
            <w:gridSpan w:val="5"/>
          </w:tcPr>
          <w:p>
            <w:pPr>
              <w:jc w:val="right"/>
              <w:spacing w:after="0"/>
              <w:rPr>
                <w:sz w:val="20"/>
                <w:szCs w:val="20"/>
                <w:color w:val="auto"/>
              </w:rPr>
            </w:pPr>
            <w:r>
              <w:rPr>
                <w:rFonts w:ascii="Arial" w:cs="Arial" w:eastAsia="Arial" w:hAnsi="Arial"/>
                <w:sz w:val="20"/>
                <w:szCs w:val="20"/>
                <w:color w:val="FF0000"/>
                <w:strike w:val="1"/>
              </w:rPr>
              <w:t>113</w:t>
            </w:r>
          </w:p>
        </w:tc>
        <w:tc>
          <w:tcPr>
            <w:tcW w:w="280" w:type="dxa"/>
            <w:vAlign w:val="bottom"/>
            <w:gridSpan w:val="6"/>
          </w:tcPr>
          <w:p>
            <w:pPr>
              <w:jc w:val="right"/>
              <w:spacing w:after="0"/>
              <w:rPr>
                <w:sz w:val="20"/>
                <w:szCs w:val="20"/>
                <w:color w:val="auto"/>
              </w:rPr>
            </w:pPr>
            <w:r>
              <w:rPr>
                <w:rFonts w:ascii="Arial" w:cs="Arial" w:eastAsia="Arial" w:hAnsi="Arial"/>
                <w:sz w:val="20"/>
                <w:szCs w:val="20"/>
                <w:color w:val="0000FF"/>
                <w:w w:val="77"/>
              </w:rPr>
              <w:t>117</w:t>
            </w: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1100" w:type="dxa"/>
            <w:vAlign w:val="bottom"/>
          </w:tcPr>
          <w:p>
            <w:pPr>
              <w:ind w:left="660"/>
              <w:spacing w:after="0"/>
              <w:rPr>
                <w:sz w:val="20"/>
                <w:szCs w:val="20"/>
                <w:color w:val="auto"/>
              </w:rPr>
            </w:pPr>
            <w:r>
              <w:rPr>
                <w:rFonts w:ascii="Arial" w:cs="Arial" w:eastAsia="Arial" w:hAnsi="Arial"/>
                <w:sz w:val="20"/>
                <w:szCs w:val="20"/>
                <w:color w:val="auto"/>
              </w:rPr>
              <w:t>7.11</w:t>
            </w:r>
          </w:p>
        </w:tc>
        <w:tc>
          <w:tcPr>
            <w:tcW w:w="60" w:type="dxa"/>
            <w:vAlign w:val="bottom"/>
          </w:tcPr>
          <w:p>
            <w:pPr>
              <w:spacing w:after="0"/>
              <w:rPr>
                <w:sz w:val="24"/>
                <w:szCs w:val="24"/>
                <w:color w:val="auto"/>
              </w:rPr>
            </w:pPr>
          </w:p>
        </w:tc>
        <w:tc>
          <w:tcPr>
            <w:tcW w:w="1660" w:type="dxa"/>
            <w:vAlign w:val="bottom"/>
            <w:gridSpan w:val="9"/>
          </w:tcPr>
          <w:p>
            <w:pPr>
              <w:ind w:left="140"/>
              <w:spacing w:after="0"/>
              <w:rPr>
                <w:sz w:val="20"/>
                <w:szCs w:val="20"/>
                <w:color w:val="auto"/>
              </w:rPr>
            </w:pPr>
            <w:r>
              <w:rPr>
                <w:rFonts w:ascii="Arial" w:cs="Arial" w:eastAsia="Arial" w:hAnsi="Arial"/>
                <w:sz w:val="20"/>
                <w:szCs w:val="20"/>
                <w:color w:val="auto"/>
                <w:w w:val="97"/>
              </w:rPr>
              <w:t>Use of Proceeds.</w:t>
            </w:r>
          </w:p>
        </w:tc>
        <w:tc>
          <w:tcPr>
            <w:tcW w:w="280" w:type="dxa"/>
            <w:vAlign w:val="bottom"/>
            <w:gridSpan w:val="4"/>
          </w:tcPr>
          <w:p>
            <w:pPr>
              <w:jc w:val="right"/>
              <w:spacing w:after="0"/>
              <w:rPr>
                <w:sz w:val="20"/>
                <w:szCs w:val="20"/>
                <w:color w:val="auto"/>
              </w:rPr>
            </w:pPr>
            <w:r>
              <w:rPr>
                <w:rFonts w:ascii="Arial" w:cs="Arial" w:eastAsia="Arial" w:hAnsi="Arial"/>
                <w:sz w:val="20"/>
                <w:szCs w:val="20"/>
                <w:color w:val="FF0000"/>
                <w:strike w:val="1"/>
                <w:w w:val="77"/>
              </w:rPr>
              <w:t>113</w:t>
            </w:r>
          </w:p>
        </w:tc>
        <w:tc>
          <w:tcPr>
            <w:tcW w:w="300" w:type="dxa"/>
            <w:vAlign w:val="bottom"/>
            <w:gridSpan w:val="5"/>
          </w:tcPr>
          <w:p>
            <w:pPr>
              <w:jc w:val="right"/>
              <w:spacing w:after="0"/>
              <w:rPr>
                <w:sz w:val="20"/>
                <w:szCs w:val="20"/>
                <w:color w:val="auto"/>
              </w:rPr>
            </w:pPr>
            <w:r>
              <w:rPr>
                <w:rFonts w:ascii="Arial" w:cs="Arial" w:eastAsia="Arial" w:hAnsi="Arial"/>
                <w:sz w:val="20"/>
                <w:szCs w:val="20"/>
                <w:color w:val="0000FF"/>
                <w:w w:val="83"/>
              </w:rPr>
              <w:t>117</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1100" w:type="dxa"/>
            <w:vAlign w:val="bottom"/>
          </w:tcPr>
          <w:p>
            <w:pPr>
              <w:ind w:left="660"/>
              <w:spacing w:after="0"/>
              <w:rPr>
                <w:sz w:val="20"/>
                <w:szCs w:val="20"/>
                <w:color w:val="auto"/>
              </w:rPr>
            </w:pPr>
            <w:r>
              <w:rPr>
                <w:rFonts w:ascii="Arial" w:cs="Arial" w:eastAsia="Arial" w:hAnsi="Arial"/>
                <w:sz w:val="20"/>
                <w:szCs w:val="20"/>
                <w:color w:val="auto"/>
              </w:rPr>
              <w:t>7.12</w:t>
            </w:r>
          </w:p>
        </w:tc>
        <w:tc>
          <w:tcPr>
            <w:tcW w:w="60" w:type="dxa"/>
            <w:vAlign w:val="bottom"/>
          </w:tcPr>
          <w:p>
            <w:pPr>
              <w:spacing w:after="0"/>
              <w:rPr>
                <w:sz w:val="24"/>
                <w:szCs w:val="24"/>
                <w:color w:val="auto"/>
              </w:rPr>
            </w:pPr>
          </w:p>
        </w:tc>
        <w:tc>
          <w:tcPr>
            <w:tcW w:w="2760" w:type="dxa"/>
            <w:vAlign w:val="bottom"/>
            <w:gridSpan w:val="30"/>
          </w:tcPr>
          <w:p>
            <w:pPr>
              <w:ind w:left="140"/>
              <w:spacing w:after="0"/>
              <w:rPr>
                <w:sz w:val="20"/>
                <w:szCs w:val="20"/>
                <w:color w:val="auto"/>
              </w:rPr>
            </w:pPr>
            <w:r>
              <w:rPr>
                <w:rFonts w:ascii="Arial" w:cs="Arial" w:eastAsia="Arial" w:hAnsi="Arial"/>
                <w:sz w:val="20"/>
                <w:szCs w:val="20"/>
                <w:color w:val="auto"/>
                <w:w w:val="97"/>
              </w:rPr>
              <w:t>Approvals and Authorizations.</w:t>
            </w:r>
          </w:p>
        </w:tc>
        <w:tc>
          <w:tcPr>
            <w:tcW w:w="280" w:type="dxa"/>
            <w:vAlign w:val="bottom"/>
            <w:gridSpan w:val="3"/>
          </w:tcPr>
          <w:p>
            <w:pPr>
              <w:jc w:val="right"/>
              <w:spacing w:after="0"/>
              <w:rPr>
                <w:sz w:val="20"/>
                <w:szCs w:val="20"/>
                <w:color w:val="auto"/>
              </w:rPr>
            </w:pPr>
            <w:r>
              <w:rPr>
                <w:rFonts w:ascii="Arial" w:cs="Arial" w:eastAsia="Arial" w:hAnsi="Arial"/>
                <w:sz w:val="20"/>
                <w:szCs w:val="20"/>
                <w:color w:val="FF0000"/>
                <w:strike w:val="1"/>
                <w:w w:val="77"/>
              </w:rPr>
              <w:t>113</w:t>
            </w:r>
          </w:p>
        </w:tc>
        <w:tc>
          <w:tcPr>
            <w:tcW w:w="420" w:type="dxa"/>
            <w:vAlign w:val="bottom"/>
            <w:gridSpan w:val="4"/>
          </w:tcPr>
          <w:p>
            <w:pPr>
              <w:jc w:val="right"/>
              <w:ind w:right="21"/>
              <w:spacing w:after="0"/>
              <w:rPr>
                <w:sz w:val="20"/>
                <w:szCs w:val="20"/>
                <w:color w:val="auto"/>
              </w:rPr>
            </w:pPr>
            <w:r>
              <w:rPr>
                <w:rFonts w:ascii="Arial" w:cs="Arial" w:eastAsia="Arial" w:hAnsi="Arial"/>
                <w:sz w:val="20"/>
                <w:szCs w:val="20"/>
                <w:color w:val="0000FF"/>
                <w:w w:val="83"/>
              </w:rPr>
              <w:t>117</w:t>
            </w: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1100" w:type="dxa"/>
            <w:vAlign w:val="bottom"/>
          </w:tcPr>
          <w:p>
            <w:pPr>
              <w:ind w:left="660"/>
              <w:spacing w:after="0"/>
              <w:rPr>
                <w:sz w:val="20"/>
                <w:szCs w:val="20"/>
                <w:color w:val="auto"/>
              </w:rPr>
            </w:pPr>
            <w:r>
              <w:rPr>
                <w:rFonts w:ascii="Arial" w:cs="Arial" w:eastAsia="Arial" w:hAnsi="Arial"/>
                <w:sz w:val="20"/>
                <w:szCs w:val="20"/>
                <w:color w:val="auto"/>
              </w:rPr>
              <w:t>7.13</w:t>
            </w:r>
          </w:p>
        </w:tc>
        <w:tc>
          <w:tcPr>
            <w:tcW w:w="60" w:type="dxa"/>
            <w:vAlign w:val="bottom"/>
          </w:tcPr>
          <w:p>
            <w:pPr>
              <w:spacing w:after="0"/>
              <w:rPr>
                <w:sz w:val="24"/>
                <w:szCs w:val="24"/>
                <w:color w:val="auto"/>
              </w:rPr>
            </w:pPr>
          </w:p>
        </w:tc>
        <w:tc>
          <w:tcPr>
            <w:tcW w:w="3340" w:type="dxa"/>
            <w:vAlign w:val="bottom"/>
            <w:gridSpan w:val="36"/>
          </w:tcPr>
          <w:p>
            <w:pPr>
              <w:ind w:left="140"/>
              <w:spacing w:after="0"/>
              <w:rPr>
                <w:sz w:val="20"/>
                <w:szCs w:val="20"/>
                <w:color w:val="auto"/>
              </w:rPr>
            </w:pPr>
            <w:r>
              <w:rPr>
                <w:rFonts w:ascii="Arial" w:cs="Arial" w:eastAsia="Arial" w:hAnsi="Arial"/>
                <w:sz w:val="20"/>
                <w:szCs w:val="20"/>
                <w:color w:val="auto"/>
                <w:w w:val="93"/>
              </w:rPr>
              <w:t>Joinder of Subsidiaries as Guarantors.</w:t>
            </w:r>
          </w:p>
        </w:tc>
        <w:tc>
          <w:tcPr>
            <w:tcW w:w="280" w:type="dxa"/>
            <w:vAlign w:val="bottom"/>
            <w:gridSpan w:val="2"/>
          </w:tcPr>
          <w:p>
            <w:pPr>
              <w:jc w:val="right"/>
              <w:spacing w:after="0"/>
              <w:rPr>
                <w:sz w:val="20"/>
                <w:szCs w:val="20"/>
                <w:color w:val="auto"/>
              </w:rPr>
            </w:pPr>
            <w:r>
              <w:rPr>
                <w:rFonts w:ascii="Arial" w:cs="Arial" w:eastAsia="Arial" w:hAnsi="Arial"/>
                <w:sz w:val="20"/>
                <w:szCs w:val="20"/>
                <w:color w:val="FF0000"/>
                <w:strike w:val="1"/>
                <w:w w:val="77"/>
              </w:rPr>
              <w:t>113</w:t>
            </w:r>
          </w:p>
        </w:tc>
        <w:tc>
          <w:tcPr>
            <w:tcW w:w="460" w:type="dxa"/>
            <w:vAlign w:val="bottom"/>
            <w:gridSpan w:val="2"/>
          </w:tcPr>
          <w:p>
            <w:pPr>
              <w:jc w:val="right"/>
              <w:ind w:right="61"/>
              <w:spacing w:after="0"/>
              <w:rPr>
                <w:sz w:val="20"/>
                <w:szCs w:val="20"/>
                <w:color w:val="auto"/>
              </w:rPr>
            </w:pPr>
            <w:r>
              <w:rPr>
                <w:rFonts w:ascii="Arial" w:cs="Arial" w:eastAsia="Arial" w:hAnsi="Arial"/>
                <w:sz w:val="20"/>
                <w:szCs w:val="20"/>
                <w:color w:val="0000FF"/>
                <w:w w:val="83"/>
              </w:rPr>
              <w:t>117</w:t>
            </w: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1100" w:type="dxa"/>
            <w:vAlign w:val="bottom"/>
          </w:tcPr>
          <w:p>
            <w:pPr>
              <w:ind w:left="660"/>
              <w:spacing w:after="0"/>
              <w:rPr>
                <w:sz w:val="20"/>
                <w:szCs w:val="20"/>
                <w:color w:val="auto"/>
              </w:rPr>
            </w:pPr>
            <w:r>
              <w:rPr>
                <w:rFonts w:ascii="Arial" w:cs="Arial" w:eastAsia="Arial" w:hAnsi="Arial"/>
                <w:sz w:val="20"/>
                <w:szCs w:val="20"/>
                <w:color w:val="auto"/>
              </w:rPr>
              <w:t>7.14</w:t>
            </w:r>
          </w:p>
        </w:tc>
        <w:tc>
          <w:tcPr>
            <w:tcW w:w="60" w:type="dxa"/>
            <w:vAlign w:val="bottom"/>
          </w:tcPr>
          <w:p>
            <w:pPr>
              <w:spacing w:after="0"/>
              <w:rPr>
                <w:sz w:val="24"/>
                <w:szCs w:val="24"/>
                <w:color w:val="auto"/>
              </w:rPr>
            </w:pPr>
          </w:p>
        </w:tc>
        <w:tc>
          <w:tcPr>
            <w:tcW w:w="2200" w:type="dxa"/>
            <w:vAlign w:val="bottom"/>
            <w:gridSpan w:val="17"/>
          </w:tcPr>
          <w:p>
            <w:pPr>
              <w:ind w:left="140"/>
              <w:spacing w:after="0"/>
              <w:rPr>
                <w:sz w:val="20"/>
                <w:szCs w:val="20"/>
                <w:color w:val="auto"/>
              </w:rPr>
            </w:pPr>
            <w:r>
              <w:rPr>
                <w:rFonts w:ascii="Arial" w:cs="Arial" w:eastAsia="Arial" w:hAnsi="Arial"/>
                <w:sz w:val="20"/>
                <w:szCs w:val="20"/>
                <w:color w:val="auto"/>
                <w:w w:val="95"/>
              </w:rPr>
              <w:t>Pledge of Capital Stock.</w:t>
            </w:r>
          </w:p>
        </w:tc>
        <w:tc>
          <w:tcPr>
            <w:tcW w:w="40" w:type="dxa"/>
            <w:vAlign w:val="bottom"/>
          </w:tcPr>
          <w:p>
            <w:pPr>
              <w:spacing w:after="0"/>
              <w:rPr>
                <w:sz w:val="24"/>
                <w:szCs w:val="24"/>
                <w:color w:val="auto"/>
              </w:rPr>
            </w:pPr>
          </w:p>
        </w:tc>
        <w:tc>
          <w:tcPr>
            <w:tcW w:w="300" w:type="dxa"/>
            <w:vAlign w:val="bottom"/>
            <w:gridSpan w:val="7"/>
          </w:tcPr>
          <w:p>
            <w:pPr>
              <w:jc w:val="right"/>
              <w:spacing w:after="0"/>
              <w:rPr>
                <w:sz w:val="20"/>
                <w:szCs w:val="20"/>
                <w:color w:val="auto"/>
              </w:rPr>
            </w:pPr>
            <w:r>
              <w:rPr>
                <w:rFonts w:ascii="Arial" w:cs="Arial" w:eastAsia="Arial" w:hAnsi="Arial"/>
                <w:sz w:val="20"/>
                <w:szCs w:val="20"/>
                <w:color w:val="FF0000"/>
                <w:strike w:val="1"/>
                <w:w w:val="83"/>
              </w:rPr>
              <w:t>115</w:t>
            </w:r>
          </w:p>
        </w:tc>
        <w:tc>
          <w:tcPr>
            <w:tcW w:w="300" w:type="dxa"/>
            <w:vAlign w:val="bottom"/>
            <w:gridSpan w:val="6"/>
          </w:tcPr>
          <w:p>
            <w:pPr>
              <w:jc w:val="right"/>
              <w:spacing w:after="0"/>
              <w:rPr>
                <w:sz w:val="20"/>
                <w:szCs w:val="20"/>
                <w:color w:val="auto"/>
              </w:rPr>
            </w:pPr>
            <w:r>
              <w:rPr>
                <w:rFonts w:ascii="Arial" w:cs="Arial" w:eastAsia="Arial" w:hAnsi="Arial"/>
                <w:sz w:val="20"/>
                <w:szCs w:val="20"/>
                <w:color w:val="0000FF"/>
                <w:w w:val="77"/>
              </w:rPr>
              <w:t>119</w:t>
            </w: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1100" w:type="dxa"/>
            <w:vAlign w:val="bottom"/>
          </w:tcPr>
          <w:p>
            <w:pPr>
              <w:ind w:left="660"/>
              <w:spacing w:after="0"/>
              <w:rPr>
                <w:sz w:val="20"/>
                <w:szCs w:val="20"/>
                <w:color w:val="auto"/>
              </w:rPr>
            </w:pPr>
            <w:r>
              <w:rPr>
                <w:rFonts w:ascii="Arial" w:cs="Arial" w:eastAsia="Arial" w:hAnsi="Arial"/>
                <w:sz w:val="20"/>
                <w:szCs w:val="20"/>
                <w:color w:val="auto"/>
              </w:rPr>
              <w:t>7.15</w:t>
            </w:r>
          </w:p>
        </w:tc>
        <w:tc>
          <w:tcPr>
            <w:tcW w:w="60" w:type="dxa"/>
            <w:vAlign w:val="bottom"/>
          </w:tcPr>
          <w:p>
            <w:pPr>
              <w:spacing w:after="0"/>
              <w:rPr>
                <w:sz w:val="24"/>
                <w:szCs w:val="24"/>
                <w:color w:val="auto"/>
              </w:rPr>
            </w:pPr>
          </w:p>
        </w:tc>
        <w:tc>
          <w:tcPr>
            <w:tcW w:w="2200" w:type="dxa"/>
            <w:vAlign w:val="bottom"/>
            <w:gridSpan w:val="17"/>
          </w:tcPr>
          <w:p>
            <w:pPr>
              <w:ind w:left="140"/>
              <w:spacing w:after="0"/>
              <w:rPr>
                <w:sz w:val="20"/>
                <w:szCs w:val="20"/>
                <w:color w:val="auto"/>
              </w:rPr>
            </w:pPr>
            <w:r>
              <w:rPr>
                <w:rFonts w:ascii="Arial" w:cs="Arial" w:eastAsia="Arial" w:hAnsi="Arial"/>
                <w:sz w:val="20"/>
                <w:szCs w:val="20"/>
                <w:color w:val="auto"/>
                <w:w w:val="89"/>
              </w:rPr>
              <w:t>Pledge of Other Property.</w:t>
            </w: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gridSpan w:val="6"/>
          </w:tcPr>
          <w:p>
            <w:pPr>
              <w:jc w:val="right"/>
              <w:spacing w:after="0"/>
              <w:rPr>
                <w:sz w:val="20"/>
                <w:szCs w:val="20"/>
                <w:color w:val="auto"/>
              </w:rPr>
            </w:pPr>
            <w:r>
              <w:rPr>
                <w:rFonts w:ascii="Arial" w:cs="Arial" w:eastAsia="Arial" w:hAnsi="Arial"/>
                <w:sz w:val="20"/>
                <w:szCs w:val="20"/>
                <w:color w:val="FF0000"/>
                <w:strike w:val="1"/>
                <w:w w:val="83"/>
              </w:rPr>
              <w:t>116</w:t>
            </w:r>
          </w:p>
        </w:tc>
        <w:tc>
          <w:tcPr>
            <w:tcW w:w="400" w:type="dxa"/>
            <w:vAlign w:val="bottom"/>
            <w:gridSpan w:val="6"/>
          </w:tcPr>
          <w:p>
            <w:pPr>
              <w:jc w:val="right"/>
              <w:ind w:right="1"/>
              <w:spacing w:after="0"/>
              <w:rPr>
                <w:sz w:val="20"/>
                <w:szCs w:val="20"/>
                <w:color w:val="auto"/>
              </w:rPr>
            </w:pPr>
            <w:r>
              <w:rPr>
                <w:rFonts w:ascii="Arial" w:cs="Arial" w:eastAsia="Arial" w:hAnsi="Arial"/>
                <w:sz w:val="20"/>
                <w:szCs w:val="20"/>
                <w:color w:val="0000FF"/>
                <w:w w:val="83"/>
              </w:rPr>
              <w:t>120</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1100" w:type="dxa"/>
            <w:vAlign w:val="bottom"/>
          </w:tcPr>
          <w:p>
            <w:pPr>
              <w:ind w:left="660"/>
              <w:spacing w:after="0"/>
              <w:rPr>
                <w:sz w:val="20"/>
                <w:szCs w:val="20"/>
                <w:color w:val="auto"/>
              </w:rPr>
            </w:pPr>
            <w:r>
              <w:rPr>
                <w:rFonts w:ascii="Arial" w:cs="Arial" w:eastAsia="Arial" w:hAnsi="Arial"/>
                <w:sz w:val="20"/>
                <w:szCs w:val="20"/>
                <w:color w:val="auto"/>
              </w:rPr>
              <w:t>7.16</w:t>
            </w:r>
          </w:p>
        </w:tc>
        <w:tc>
          <w:tcPr>
            <w:tcW w:w="60" w:type="dxa"/>
            <w:vAlign w:val="bottom"/>
          </w:tcPr>
          <w:p>
            <w:pPr>
              <w:spacing w:after="0"/>
              <w:rPr>
                <w:sz w:val="24"/>
                <w:szCs w:val="24"/>
                <w:color w:val="auto"/>
              </w:rPr>
            </w:pPr>
          </w:p>
        </w:tc>
        <w:tc>
          <w:tcPr>
            <w:tcW w:w="1900" w:type="dxa"/>
            <w:vAlign w:val="bottom"/>
            <w:gridSpan w:val="12"/>
          </w:tcPr>
          <w:p>
            <w:pPr>
              <w:ind w:left="140"/>
              <w:spacing w:after="0"/>
              <w:rPr>
                <w:sz w:val="20"/>
                <w:szCs w:val="20"/>
                <w:color w:val="auto"/>
              </w:rPr>
            </w:pPr>
            <w:r>
              <w:rPr>
                <w:rFonts w:ascii="Arial" w:cs="Arial" w:eastAsia="Arial" w:hAnsi="Arial"/>
                <w:sz w:val="20"/>
                <w:szCs w:val="20"/>
                <w:color w:val="auto"/>
                <w:w w:val="96"/>
              </w:rPr>
              <w:t>Further Assurances.</w:t>
            </w:r>
          </w:p>
        </w:tc>
        <w:tc>
          <w:tcPr>
            <w:tcW w:w="300" w:type="dxa"/>
            <w:vAlign w:val="bottom"/>
            <w:gridSpan w:val="5"/>
          </w:tcPr>
          <w:p>
            <w:pPr>
              <w:jc w:val="right"/>
              <w:spacing w:after="0"/>
              <w:rPr>
                <w:sz w:val="20"/>
                <w:szCs w:val="20"/>
                <w:color w:val="auto"/>
              </w:rPr>
            </w:pPr>
            <w:r>
              <w:rPr>
                <w:rFonts w:ascii="Arial" w:cs="Arial" w:eastAsia="Arial" w:hAnsi="Arial"/>
                <w:sz w:val="20"/>
                <w:szCs w:val="20"/>
                <w:color w:val="FF0000"/>
                <w:strike w:val="1"/>
                <w:w w:val="83"/>
              </w:rPr>
              <w:t>117</w:t>
            </w:r>
          </w:p>
        </w:tc>
        <w:tc>
          <w:tcPr>
            <w:tcW w:w="300" w:type="dxa"/>
            <w:vAlign w:val="bottom"/>
            <w:gridSpan w:val="7"/>
          </w:tcPr>
          <w:p>
            <w:pPr>
              <w:jc w:val="right"/>
              <w:spacing w:after="0"/>
              <w:rPr>
                <w:sz w:val="20"/>
                <w:szCs w:val="20"/>
                <w:color w:val="auto"/>
              </w:rPr>
            </w:pPr>
            <w:r>
              <w:rPr>
                <w:rFonts w:ascii="Arial" w:cs="Arial" w:eastAsia="Arial" w:hAnsi="Arial"/>
                <w:sz w:val="20"/>
                <w:szCs w:val="20"/>
                <w:color w:val="0000FF"/>
                <w:w w:val="83"/>
              </w:rPr>
              <w:t>121</w:t>
            </w: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1100" w:type="dxa"/>
            <w:vAlign w:val="bottom"/>
          </w:tcPr>
          <w:p>
            <w:pPr>
              <w:ind w:left="660"/>
              <w:spacing w:after="0"/>
              <w:rPr>
                <w:sz w:val="20"/>
                <w:szCs w:val="20"/>
                <w:color w:val="auto"/>
              </w:rPr>
            </w:pPr>
            <w:r>
              <w:rPr>
                <w:rFonts w:ascii="Arial" w:cs="Arial" w:eastAsia="Arial" w:hAnsi="Arial"/>
                <w:sz w:val="20"/>
                <w:szCs w:val="20"/>
                <w:color w:val="auto"/>
              </w:rPr>
              <w:t>7.17</w:t>
            </w:r>
          </w:p>
        </w:tc>
        <w:tc>
          <w:tcPr>
            <w:tcW w:w="60" w:type="dxa"/>
            <w:vAlign w:val="bottom"/>
          </w:tcPr>
          <w:p>
            <w:pPr>
              <w:spacing w:after="0"/>
              <w:rPr>
                <w:sz w:val="24"/>
                <w:szCs w:val="24"/>
                <w:color w:val="auto"/>
              </w:rPr>
            </w:pPr>
          </w:p>
        </w:tc>
        <w:tc>
          <w:tcPr>
            <w:tcW w:w="5400" w:type="dxa"/>
            <w:vAlign w:val="bottom"/>
            <w:gridSpan w:val="42"/>
          </w:tcPr>
          <w:p>
            <w:pPr>
              <w:ind w:left="140"/>
              <w:spacing w:after="0"/>
              <w:rPr>
                <w:sz w:val="20"/>
                <w:szCs w:val="20"/>
                <w:color w:val="auto"/>
              </w:rPr>
            </w:pPr>
            <w:r>
              <w:rPr>
                <w:rFonts w:ascii="Arial" w:cs="Arial" w:eastAsia="Arial" w:hAnsi="Arial"/>
                <w:sz w:val="20"/>
                <w:szCs w:val="20"/>
                <w:color w:val="auto"/>
                <w:w w:val="92"/>
              </w:rPr>
              <w:t>Limitation on Guaranties, Liens and the Pledge of Capital Stock.</w:t>
            </w:r>
          </w:p>
        </w:tc>
        <w:tc>
          <w:tcPr>
            <w:tcW w:w="340" w:type="dxa"/>
            <w:vAlign w:val="bottom"/>
            <w:gridSpan w:val="2"/>
          </w:tcPr>
          <w:p>
            <w:pPr>
              <w:jc w:val="right"/>
              <w:spacing w:after="0"/>
              <w:rPr>
                <w:sz w:val="20"/>
                <w:szCs w:val="20"/>
                <w:color w:val="auto"/>
              </w:rPr>
            </w:pPr>
            <w:r>
              <w:rPr>
                <w:rFonts w:ascii="Arial" w:cs="Arial" w:eastAsia="Arial" w:hAnsi="Arial"/>
                <w:sz w:val="20"/>
                <w:szCs w:val="20"/>
                <w:color w:val="FF0000"/>
                <w:strike w:val="1"/>
                <w:w w:val="95"/>
              </w:rPr>
              <w:t>118</w:t>
            </w:r>
          </w:p>
        </w:tc>
        <w:tc>
          <w:tcPr>
            <w:tcW w:w="300" w:type="dxa"/>
            <w:vAlign w:val="bottom"/>
          </w:tcPr>
          <w:p>
            <w:pPr>
              <w:jc w:val="right"/>
              <w:spacing w:after="0"/>
              <w:rPr>
                <w:sz w:val="20"/>
                <w:szCs w:val="20"/>
                <w:color w:val="auto"/>
              </w:rPr>
            </w:pPr>
            <w:r>
              <w:rPr>
                <w:rFonts w:ascii="Arial" w:cs="Arial" w:eastAsia="Arial" w:hAnsi="Arial"/>
                <w:sz w:val="20"/>
                <w:szCs w:val="20"/>
                <w:color w:val="0000FF"/>
                <w:w w:val="83"/>
              </w:rPr>
              <w:t>122</w:t>
            </w:r>
          </w:p>
        </w:tc>
        <w:tc>
          <w:tcPr>
            <w:tcW w:w="0" w:type="dxa"/>
            <w:vAlign w:val="bottom"/>
          </w:tcPr>
          <w:p>
            <w:pPr>
              <w:spacing w:after="0"/>
              <w:rPr>
                <w:sz w:val="1"/>
                <w:szCs w:val="1"/>
                <w:color w:val="auto"/>
              </w:rPr>
            </w:pPr>
          </w:p>
        </w:tc>
      </w:tr>
      <w:tr>
        <w:trPr>
          <w:trHeight w:val="338"/>
        </w:trPr>
        <w:tc>
          <w:tcPr>
            <w:tcW w:w="3500" w:type="dxa"/>
            <w:vAlign w:val="bottom"/>
            <w:gridSpan w:val="23"/>
          </w:tcPr>
          <w:p>
            <w:pPr>
              <w:spacing w:after="0"/>
              <w:rPr>
                <w:sz w:val="20"/>
                <w:szCs w:val="20"/>
                <w:color w:val="auto"/>
              </w:rPr>
            </w:pPr>
            <w:r>
              <w:rPr>
                <w:rFonts w:ascii="Arial" w:cs="Arial" w:eastAsia="Arial" w:hAnsi="Arial"/>
                <w:sz w:val="20"/>
                <w:szCs w:val="20"/>
                <w:color w:val="auto"/>
                <w:w w:val="97"/>
              </w:rPr>
              <w:t>ARTICLE VIII NEGATIVE COVENANTS</w:t>
            </w:r>
          </w:p>
        </w:tc>
        <w:tc>
          <w:tcPr>
            <w:tcW w:w="300" w:type="dxa"/>
            <w:vAlign w:val="bottom"/>
            <w:gridSpan w:val="6"/>
          </w:tcPr>
          <w:p>
            <w:pPr>
              <w:jc w:val="right"/>
              <w:spacing w:after="0"/>
              <w:rPr>
                <w:sz w:val="20"/>
                <w:szCs w:val="20"/>
                <w:color w:val="auto"/>
              </w:rPr>
            </w:pPr>
            <w:r>
              <w:rPr>
                <w:rFonts w:ascii="Arial" w:cs="Arial" w:eastAsia="Arial" w:hAnsi="Arial"/>
                <w:sz w:val="20"/>
                <w:szCs w:val="20"/>
                <w:color w:val="FF0000"/>
                <w:strike w:val="1"/>
                <w:w w:val="83"/>
              </w:rPr>
              <w:t>118</w:t>
            </w:r>
          </w:p>
        </w:tc>
        <w:tc>
          <w:tcPr>
            <w:tcW w:w="400" w:type="dxa"/>
            <w:vAlign w:val="bottom"/>
            <w:gridSpan w:val="6"/>
          </w:tcPr>
          <w:p>
            <w:pPr>
              <w:jc w:val="right"/>
              <w:ind w:right="1"/>
              <w:spacing w:after="0"/>
              <w:rPr>
                <w:sz w:val="20"/>
                <w:szCs w:val="20"/>
                <w:color w:val="auto"/>
              </w:rPr>
            </w:pPr>
            <w:r>
              <w:rPr>
                <w:rFonts w:ascii="Arial" w:cs="Arial" w:eastAsia="Arial" w:hAnsi="Arial"/>
                <w:sz w:val="20"/>
                <w:szCs w:val="20"/>
                <w:color w:val="0000FF"/>
                <w:w w:val="83"/>
              </w:rPr>
              <w:t>122</w:t>
            </w:r>
          </w:p>
        </w:tc>
        <w:tc>
          <w:tcPr>
            <w:tcW w:w="300" w:type="dxa"/>
            <w:vAlign w:val="bottom"/>
            <w:gridSpan w:val="3"/>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1100" w:type="dxa"/>
            <w:vAlign w:val="bottom"/>
          </w:tcPr>
          <w:p>
            <w:pPr>
              <w:ind w:left="660"/>
              <w:spacing w:after="0"/>
              <w:rPr>
                <w:sz w:val="20"/>
                <w:szCs w:val="20"/>
                <w:color w:val="auto"/>
              </w:rPr>
            </w:pPr>
            <w:r>
              <w:rPr>
                <w:rFonts w:ascii="Arial" w:cs="Arial" w:eastAsia="Arial" w:hAnsi="Arial"/>
                <w:sz w:val="20"/>
                <w:szCs w:val="20"/>
                <w:color w:val="auto"/>
              </w:rPr>
              <w:t>8.01</w:t>
            </w:r>
          </w:p>
        </w:tc>
        <w:tc>
          <w:tcPr>
            <w:tcW w:w="60" w:type="dxa"/>
            <w:vAlign w:val="bottom"/>
          </w:tcPr>
          <w:p>
            <w:pPr>
              <w:spacing w:after="0"/>
              <w:rPr>
                <w:sz w:val="24"/>
                <w:szCs w:val="24"/>
                <w:color w:val="auto"/>
              </w:rPr>
            </w:pPr>
          </w:p>
        </w:tc>
        <w:tc>
          <w:tcPr>
            <w:tcW w:w="820" w:type="dxa"/>
            <w:vAlign w:val="bottom"/>
            <w:gridSpan w:val="2"/>
          </w:tcPr>
          <w:p>
            <w:pPr>
              <w:ind w:left="140"/>
              <w:spacing w:after="0"/>
              <w:rPr>
                <w:sz w:val="20"/>
                <w:szCs w:val="20"/>
                <w:color w:val="auto"/>
              </w:rPr>
            </w:pPr>
            <w:r>
              <w:rPr>
                <w:rFonts w:ascii="Arial" w:cs="Arial" w:eastAsia="Arial" w:hAnsi="Arial"/>
                <w:sz w:val="20"/>
                <w:szCs w:val="20"/>
                <w:color w:val="auto"/>
              </w:rPr>
              <w:t>Liens.</w:t>
            </w:r>
          </w:p>
        </w:tc>
        <w:tc>
          <w:tcPr>
            <w:tcW w:w="280" w:type="dxa"/>
            <w:vAlign w:val="bottom"/>
          </w:tcPr>
          <w:p>
            <w:pPr>
              <w:jc w:val="right"/>
              <w:spacing w:after="0"/>
              <w:rPr>
                <w:sz w:val="20"/>
                <w:szCs w:val="20"/>
                <w:color w:val="auto"/>
              </w:rPr>
            </w:pPr>
            <w:r>
              <w:rPr>
                <w:rFonts w:ascii="Arial" w:cs="Arial" w:eastAsia="Arial" w:hAnsi="Arial"/>
                <w:sz w:val="20"/>
                <w:szCs w:val="20"/>
                <w:color w:val="FF0000"/>
                <w:strike w:val="1"/>
                <w:w w:val="77"/>
              </w:rPr>
              <w:t>119</w:t>
            </w:r>
          </w:p>
        </w:tc>
        <w:tc>
          <w:tcPr>
            <w:tcW w:w="300" w:type="dxa"/>
            <w:vAlign w:val="bottom"/>
            <w:gridSpan w:val="2"/>
          </w:tcPr>
          <w:p>
            <w:pPr>
              <w:jc w:val="right"/>
              <w:spacing w:after="0"/>
              <w:rPr>
                <w:sz w:val="20"/>
                <w:szCs w:val="20"/>
                <w:color w:val="auto"/>
              </w:rPr>
            </w:pPr>
            <w:r>
              <w:rPr>
                <w:rFonts w:ascii="Arial" w:cs="Arial" w:eastAsia="Arial" w:hAnsi="Arial"/>
                <w:sz w:val="20"/>
                <w:szCs w:val="20"/>
                <w:color w:val="0000FF"/>
                <w:w w:val="83"/>
              </w:rPr>
              <w:t>122</w:t>
            </w:r>
          </w:p>
        </w:tc>
        <w:tc>
          <w:tcPr>
            <w:tcW w:w="220" w:type="dxa"/>
            <w:vAlign w:val="bottom"/>
            <w:gridSpan w:val="2"/>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1100" w:type="dxa"/>
            <w:vAlign w:val="bottom"/>
          </w:tcPr>
          <w:p>
            <w:pPr>
              <w:ind w:left="660"/>
              <w:spacing w:after="0"/>
              <w:rPr>
                <w:sz w:val="20"/>
                <w:szCs w:val="20"/>
                <w:color w:val="auto"/>
              </w:rPr>
            </w:pPr>
            <w:r>
              <w:rPr>
                <w:rFonts w:ascii="Arial" w:cs="Arial" w:eastAsia="Arial" w:hAnsi="Arial"/>
                <w:sz w:val="20"/>
                <w:szCs w:val="20"/>
                <w:color w:val="auto"/>
              </w:rPr>
              <w:t>8.02</w:t>
            </w:r>
          </w:p>
        </w:tc>
        <w:tc>
          <w:tcPr>
            <w:tcW w:w="60" w:type="dxa"/>
            <w:vAlign w:val="bottom"/>
          </w:tcPr>
          <w:p>
            <w:pPr>
              <w:spacing w:after="0"/>
              <w:rPr>
                <w:sz w:val="24"/>
                <w:szCs w:val="24"/>
                <w:color w:val="auto"/>
              </w:rPr>
            </w:pPr>
          </w:p>
        </w:tc>
        <w:tc>
          <w:tcPr>
            <w:tcW w:w="1340" w:type="dxa"/>
            <w:vAlign w:val="bottom"/>
            <w:gridSpan w:val="4"/>
          </w:tcPr>
          <w:p>
            <w:pPr>
              <w:ind w:left="140"/>
              <w:spacing w:after="0"/>
              <w:rPr>
                <w:sz w:val="20"/>
                <w:szCs w:val="20"/>
                <w:color w:val="auto"/>
              </w:rPr>
            </w:pPr>
            <w:r>
              <w:rPr>
                <w:rFonts w:ascii="Arial" w:cs="Arial" w:eastAsia="Arial" w:hAnsi="Arial"/>
                <w:sz w:val="20"/>
                <w:szCs w:val="20"/>
                <w:color w:val="auto"/>
              </w:rPr>
              <w:t>Investments.</w:t>
            </w:r>
          </w:p>
        </w:tc>
        <w:tc>
          <w:tcPr>
            <w:tcW w:w="280" w:type="dxa"/>
            <w:vAlign w:val="bottom"/>
            <w:gridSpan w:val="3"/>
          </w:tcPr>
          <w:p>
            <w:pPr>
              <w:spacing w:after="0"/>
              <w:rPr>
                <w:sz w:val="20"/>
                <w:szCs w:val="20"/>
                <w:color w:val="auto"/>
              </w:rPr>
            </w:pPr>
            <w:r>
              <w:rPr>
                <w:rFonts w:ascii="Arial" w:cs="Arial" w:eastAsia="Arial" w:hAnsi="Arial"/>
                <w:sz w:val="20"/>
                <w:szCs w:val="20"/>
                <w:color w:val="FF0000"/>
                <w:strike w:val="1"/>
                <w:w w:val="77"/>
              </w:rPr>
              <w:t>121</w:t>
            </w:r>
          </w:p>
        </w:tc>
        <w:tc>
          <w:tcPr>
            <w:tcW w:w="320" w:type="dxa"/>
            <w:vAlign w:val="bottom"/>
            <w:gridSpan w:val="6"/>
          </w:tcPr>
          <w:p>
            <w:pPr>
              <w:jc w:val="right"/>
              <w:spacing w:after="0"/>
              <w:rPr>
                <w:sz w:val="20"/>
                <w:szCs w:val="20"/>
                <w:color w:val="auto"/>
              </w:rPr>
            </w:pPr>
            <w:r>
              <w:rPr>
                <w:rFonts w:ascii="Arial" w:cs="Arial" w:eastAsia="Arial" w:hAnsi="Arial"/>
                <w:sz w:val="20"/>
                <w:szCs w:val="20"/>
                <w:color w:val="0000FF"/>
                <w:w w:val="83"/>
              </w:rPr>
              <w:t>124</w:t>
            </w: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1100" w:type="dxa"/>
            <w:vAlign w:val="bottom"/>
          </w:tcPr>
          <w:p>
            <w:pPr>
              <w:ind w:left="660"/>
              <w:spacing w:after="0"/>
              <w:rPr>
                <w:sz w:val="20"/>
                <w:szCs w:val="20"/>
                <w:color w:val="auto"/>
              </w:rPr>
            </w:pPr>
            <w:r>
              <w:rPr>
                <w:rFonts w:ascii="Arial" w:cs="Arial" w:eastAsia="Arial" w:hAnsi="Arial"/>
                <w:sz w:val="20"/>
                <w:szCs w:val="20"/>
                <w:color w:val="auto"/>
              </w:rPr>
              <w:t>8.03</w:t>
            </w:r>
          </w:p>
        </w:tc>
        <w:tc>
          <w:tcPr>
            <w:tcW w:w="60" w:type="dxa"/>
            <w:vAlign w:val="bottom"/>
          </w:tcPr>
          <w:p>
            <w:pPr>
              <w:spacing w:after="0"/>
              <w:rPr>
                <w:sz w:val="24"/>
                <w:szCs w:val="24"/>
                <w:color w:val="auto"/>
              </w:rPr>
            </w:pPr>
          </w:p>
        </w:tc>
        <w:tc>
          <w:tcPr>
            <w:tcW w:w="1340" w:type="dxa"/>
            <w:vAlign w:val="bottom"/>
            <w:gridSpan w:val="4"/>
          </w:tcPr>
          <w:p>
            <w:pPr>
              <w:ind w:left="140"/>
              <w:spacing w:after="0"/>
              <w:rPr>
                <w:sz w:val="20"/>
                <w:szCs w:val="20"/>
                <w:color w:val="auto"/>
              </w:rPr>
            </w:pPr>
            <w:r>
              <w:rPr>
                <w:rFonts w:ascii="Arial" w:cs="Arial" w:eastAsia="Arial" w:hAnsi="Arial"/>
                <w:sz w:val="20"/>
                <w:szCs w:val="20"/>
                <w:color w:val="auto"/>
                <w:w w:val="93"/>
              </w:rPr>
              <w:t>Indebtedness.</w:t>
            </w:r>
          </w:p>
        </w:tc>
        <w:tc>
          <w:tcPr>
            <w:tcW w:w="60" w:type="dxa"/>
            <w:vAlign w:val="bottom"/>
          </w:tcPr>
          <w:p>
            <w:pPr>
              <w:spacing w:after="0"/>
              <w:rPr>
                <w:sz w:val="24"/>
                <w:szCs w:val="24"/>
                <w:color w:val="auto"/>
              </w:rPr>
            </w:pPr>
          </w:p>
        </w:tc>
        <w:tc>
          <w:tcPr>
            <w:tcW w:w="300" w:type="dxa"/>
            <w:vAlign w:val="bottom"/>
            <w:gridSpan w:val="5"/>
          </w:tcPr>
          <w:p>
            <w:pPr>
              <w:jc w:val="right"/>
              <w:spacing w:after="0"/>
              <w:rPr>
                <w:sz w:val="20"/>
                <w:szCs w:val="20"/>
                <w:color w:val="auto"/>
              </w:rPr>
            </w:pPr>
            <w:r>
              <w:rPr>
                <w:rFonts w:ascii="Arial" w:cs="Arial" w:eastAsia="Arial" w:hAnsi="Arial"/>
                <w:sz w:val="20"/>
                <w:szCs w:val="20"/>
                <w:color w:val="FF0000"/>
                <w:strike w:val="1"/>
                <w:w w:val="83"/>
              </w:rPr>
              <w:t>123</w:t>
            </w:r>
          </w:p>
        </w:tc>
        <w:tc>
          <w:tcPr>
            <w:tcW w:w="320" w:type="dxa"/>
            <w:vAlign w:val="bottom"/>
            <w:gridSpan w:val="4"/>
          </w:tcPr>
          <w:p>
            <w:pPr>
              <w:jc w:val="right"/>
              <w:spacing w:after="0"/>
              <w:rPr>
                <w:sz w:val="20"/>
                <w:szCs w:val="20"/>
                <w:color w:val="auto"/>
              </w:rPr>
            </w:pPr>
            <w:r>
              <w:rPr>
                <w:rFonts w:ascii="Arial" w:cs="Arial" w:eastAsia="Arial" w:hAnsi="Arial"/>
                <w:sz w:val="20"/>
                <w:szCs w:val="20"/>
                <w:color w:val="0000FF"/>
                <w:w w:val="83"/>
              </w:rPr>
              <w:t>126</w:t>
            </w: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1100" w:type="dxa"/>
            <w:vAlign w:val="bottom"/>
          </w:tcPr>
          <w:p>
            <w:pPr>
              <w:ind w:left="660"/>
              <w:spacing w:after="0"/>
              <w:rPr>
                <w:sz w:val="20"/>
                <w:szCs w:val="20"/>
                <w:color w:val="auto"/>
              </w:rPr>
            </w:pPr>
            <w:r>
              <w:rPr>
                <w:rFonts w:ascii="Arial" w:cs="Arial" w:eastAsia="Arial" w:hAnsi="Arial"/>
                <w:sz w:val="20"/>
                <w:szCs w:val="20"/>
                <w:color w:val="auto"/>
              </w:rPr>
              <w:t>8.04</w:t>
            </w:r>
          </w:p>
        </w:tc>
        <w:tc>
          <w:tcPr>
            <w:tcW w:w="60" w:type="dxa"/>
            <w:vAlign w:val="bottom"/>
          </w:tcPr>
          <w:p>
            <w:pPr>
              <w:spacing w:after="0"/>
              <w:rPr>
                <w:sz w:val="24"/>
                <w:szCs w:val="24"/>
                <w:color w:val="auto"/>
              </w:rPr>
            </w:pPr>
          </w:p>
        </w:tc>
        <w:tc>
          <w:tcPr>
            <w:tcW w:w="2240" w:type="dxa"/>
            <w:vAlign w:val="bottom"/>
            <w:gridSpan w:val="18"/>
          </w:tcPr>
          <w:p>
            <w:pPr>
              <w:ind w:left="140"/>
              <w:spacing w:after="0"/>
              <w:rPr>
                <w:sz w:val="20"/>
                <w:szCs w:val="20"/>
                <w:color w:val="auto"/>
              </w:rPr>
            </w:pPr>
            <w:r>
              <w:rPr>
                <w:rFonts w:ascii="Arial" w:cs="Arial" w:eastAsia="Arial" w:hAnsi="Arial"/>
                <w:sz w:val="20"/>
                <w:szCs w:val="20"/>
                <w:color w:val="auto"/>
                <w:w w:val="89"/>
              </w:rPr>
              <w:t>Mergers and Dissolutions.</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gridSpan w:val="7"/>
          </w:tcPr>
          <w:p>
            <w:pPr>
              <w:jc w:val="right"/>
              <w:spacing w:after="0"/>
              <w:rPr>
                <w:sz w:val="20"/>
                <w:szCs w:val="20"/>
                <w:color w:val="auto"/>
              </w:rPr>
            </w:pPr>
            <w:r>
              <w:rPr>
                <w:rFonts w:ascii="Arial" w:cs="Arial" w:eastAsia="Arial" w:hAnsi="Arial"/>
                <w:sz w:val="20"/>
                <w:szCs w:val="20"/>
                <w:color w:val="FF0000"/>
                <w:strike w:val="1"/>
              </w:rPr>
              <w:t>125</w:t>
            </w:r>
          </w:p>
        </w:tc>
        <w:tc>
          <w:tcPr>
            <w:tcW w:w="340" w:type="dxa"/>
            <w:vAlign w:val="bottom"/>
            <w:gridSpan w:val="5"/>
          </w:tcPr>
          <w:p>
            <w:pPr>
              <w:jc w:val="right"/>
              <w:spacing w:after="0"/>
              <w:rPr>
                <w:sz w:val="20"/>
                <w:szCs w:val="20"/>
                <w:color w:val="auto"/>
              </w:rPr>
            </w:pPr>
            <w:r>
              <w:rPr>
                <w:rFonts w:ascii="Arial" w:cs="Arial" w:eastAsia="Arial" w:hAnsi="Arial"/>
                <w:sz w:val="20"/>
                <w:szCs w:val="20"/>
                <w:color w:val="0000FF"/>
                <w:w w:val="83"/>
              </w:rPr>
              <w:t>128</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60" w:type="dxa"/>
            <w:vAlign w:val="bottom"/>
            <w:gridSpan w:val="6"/>
            <w:vMerge w:val="restart"/>
          </w:tcPr>
          <w:p>
            <w:pPr>
              <w:jc w:val="right"/>
              <w:ind w:right="701"/>
              <w:spacing w:after="0"/>
              <w:rPr>
                <w:sz w:val="20"/>
                <w:szCs w:val="20"/>
                <w:color w:val="auto"/>
              </w:rPr>
            </w:pPr>
            <w:r>
              <w:rPr>
                <w:rFonts w:ascii="Arial" w:cs="Arial" w:eastAsia="Arial" w:hAnsi="Arial"/>
                <w:sz w:val="20"/>
                <w:szCs w:val="20"/>
                <w:color w:val="auto"/>
              </w:rPr>
              <w:t>5</w:t>
            </w:r>
          </w:p>
        </w:tc>
        <w:tc>
          <w:tcPr>
            <w:tcW w:w="3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81"/>
        </w:trPr>
        <w:tc>
          <w:tcPr>
            <w:tcW w:w="1100" w:type="dxa"/>
            <w:vAlign w:val="bottom"/>
            <w:vMerge w:val="restart"/>
          </w:tcPr>
          <w:p>
            <w:pPr>
              <w:spacing w:after="0"/>
              <w:rPr>
                <w:sz w:val="20"/>
                <w:szCs w:val="20"/>
                <w:color w:val="auto"/>
              </w:rPr>
            </w:pPr>
            <w:r>
              <w:rPr>
                <w:rFonts w:ascii="Arial" w:cs="Arial" w:eastAsia="Arial" w:hAnsi="Arial"/>
                <w:sz w:val="14"/>
                <w:szCs w:val="14"/>
                <w:color w:val="auto"/>
                <w:w w:val="95"/>
              </w:rPr>
              <w:t>CHAR1\1346423v</w:t>
            </w:r>
          </w:p>
        </w:tc>
        <w:tc>
          <w:tcPr>
            <w:tcW w:w="60" w:type="dxa"/>
            <w:vAlign w:val="bottom"/>
            <w:vMerge w:val="restart"/>
          </w:tcPr>
          <w:p>
            <w:pPr>
              <w:jc w:val="right"/>
              <w:spacing w:after="0"/>
              <w:rPr>
                <w:sz w:val="20"/>
                <w:szCs w:val="20"/>
                <w:color w:val="auto"/>
              </w:rPr>
            </w:pPr>
            <w:r>
              <w:rPr>
                <w:rFonts w:ascii="Arial" w:cs="Arial" w:eastAsia="Arial" w:hAnsi="Arial"/>
                <w:sz w:val="10"/>
                <w:szCs w:val="10"/>
                <w:color w:val="FF0000"/>
                <w:strike w:val="1"/>
                <w:w w:val="71"/>
              </w:rPr>
              <w:t>1</w:t>
            </w:r>
          </w:p>
        </w:tc>
        <w:tc>
          <w:tcPr>
            <w:tcW w:w="160" w:type="dxa"/>
            <w:vAlign w:val="bottom"/>
            <w:vMerge w:val="restart"/>
          </w:tcPr>
          <w:p>
            <w:pPr>
              <w:spacing w:after="0"/>
              <w:rPr>
                <w:sz w:val="20"/>
                <w:szCs w:val="20"/>
                <w:color w:val="auto"/>
              </w:rPr>
            </w:pPr>
            <w:r>
              <w:rPr>
                <w:rFonts w:ascii="Arial" w:cs="Arial" w:eastAsia="Arial" w:hAnsi="Arial"/>
                <w:sz w:val="14"/>
                <w:szCs w:val="14"/>
                <w:color w:val="0000FF"/>
                <w:w w:val="89"/>
              </w:rPr>
              <w:t>12</w:t>
            </w:r>
          </w:p>
        </w:tc>
        <w:tc>
          <w:tcPr>
            <w:tcW w:w="660" w:type="dxa"/>
            <w:vAlign w:val="bottom"/>
            <w:vMerge w:val="restart"/>
          </w:tcPr>
          <w:p>
            <w:pPr>
              <w:spacing w:after="0"/>
              <w:rPr>
                <w:sz w:val="24"/>
                <w:szCs w:val="24"/>
                <w:color w:val="auto"/>
              </w:rPr>
            </w:pP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60" w:type="dxa"/>
            <w:vAlign w:val="bottom"/>
            <w:gridSpan w:val="6"/>
            <w:vMerge w:val="continue"/>
          </w:tcPr>
          <w:p>
            <w:pPr>
              <w:spacing w:after="0"/>
              <w:rPr>
                <w:sz w:val="24"/>
                <w:szCs w:val="24"/>
                <w:color w:val="auto"/>
              </w:rPr>
            </w:pPr>
          </w:p>
        </w:tc>
        <w:tc>
          <w:tcPr>
            <w:tcW w:w="3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6"/>
        </w:trPr>
        <w:tc>
          <w:tcPr>
            <w:tcW w:w="1100" w:type="dxa"/>
            <w:vAlign w:val="bottom"/>
            <w:vMerge w:val="continue"/>
          </w:tcPr>
          <w:p>
            <w:pPr>
              <w:spacing w:after="0"/>
              <w:rPr>
                <w:sz w:val="11"/>
                <w:szCs w:val="11"/>
                <w:color w:val="auto"/>
              </w:rPr>
            </w:pPr>
          </w:p>
        </w:tc>
        <w:tc>
          <w:tcPr>
            <w:tcW w:w="60" w:type="dxa"/>
            <w:vAlign w:val="bottom"/>
            <w:vMerge w:val="continue"/>
          </w:tcPr>
          <w:p>
            <w:pPr>
              <w:spacing w:after="0"/>
              <w:rPr>
                <w:sz w:val="11"/>
                <w:szCs w:val="11"/>
                <w:color w:val="auto"/>
              </w:rPr>
            </w:pPr>
          </w:p>
        </w:tc>
        <w:tc>
          <w:tcPr>
            <w:tcW w:w="160" w:type="dxa"/>
            <w:vAlign w:val="bottom"/>
            <w:tcBorders>
              <w:bottom w:val="single" w:sz="8" w:color="0000FF"/>
            </w:tcBorders>
            <w:vMerge w:val="continue"/>
          </w:tcPr>
          <w:p>
            <w:pPr>
              <w:spacing w:after="0"/>
              <w:rPr>
                <w:sz w:val="11"/>
                <w:szCs w:val="11"/>
                <w:color w:val="auto"/>
              </w:rPr>
            </w:pPr>
          </w:p>
        </w:tc>
        <w:tc>
          <w:tcPr>
            <w:tcW w:w="660" w:type="dxa"/>
            <w:vAlign w:val="bottom"/>
            <w:vMerge w:val="continue"/>
          </w:tcPr>
          <w:p>
            <w:pPr>
              <w:spacing w:after="0"/>
              <w:rPr>
                <w:sz w:val="11"/>
                <w:szCs w:val="11"/>
                <w:color w:val="auto"/>
              </w:rPr>
            </w:pPr>
          </w:p>
        </w:tc>
        <w:tc>
          <w:tcPr>
            <w:tcW w:w="2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ectPr>
          <w:pgSz w:w="11900" w:h="16838" w:orient="portrait"/>
          <w:cols w:equalWidth="0" w:num="1">
            <w:col w:w="10219"/>
          </w:cols>
          <w:pgMar w:left="240" w:top="582" w:right="1440" w:bottom="1440" w:gutter="0" w:footer="0" w:header="0"/>
        </w:sectPr>
      </w:pPr>
    </w:p>
    <w:bookmarkStart w:id="57" w:name="page58"/>
    <w:bookmarkEnd w:id="57"/>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50"/>
        </w:trPr>
        <w:tc>
          <w:tcPr>
            <w:tcW w:w="1100" w:type="dxa"/>
            <w:vAlign w:val="bottom"/>
          </w:tcPr>
          <w:p>
            <w:pPr>
              <w:ind w:left="660"/>
              <w:spacing w:after="0"/>
              <w:rPr>
                <w:sz w:val="20"/>
                <w:szCs w:val="20"/>
                <w:color w:val="auto"/>
              </w:rPr>
            </w:pPr>
            <w:r>
              <w:rPr>
                <w:rFonts w:ascii="Arial" w:cs="Arial" w:eastAsia="Arial" w:hAnsi="Arial"/>
                <w:sz w:val="20"/>
                <w:szCs w:val="20"/>
                <w:color w:val="auto"/>
              </w:rPr>
              <w:t>8.05</w:t>
            </w:r>
          </w:p>
        </w:tc>
        <w:tc>
          <w:tcPr>
            <w:tcW w:w="60" w:type="dxa"/>
            <w:vAlign w:val="bottom"/>
          </w:tcPr>
          <w:p>
            <w:pPr>
              <w:spacing w:after="0"/>
              <w:rPr>
                <w:sz w:val="21"/>
                <w:szCs w:val="21"/>
                <w:color w:val="auto"/>
              </w:rPr>
            </w:pPr>
          </w:p>
        </w:tc>
        <w:tc>
          <w:tcPr>
            <w:tcW w:w="1360" w:type="dxa"/>
            <w:vAlign w:val="bottom"/>
            <w:gridSpan w:val="2"/>
          </w:tcPr>
          <w:p>
            <w:pPr>
              <w:ind w:left="140"/>
              <w:spacing w:after="0"/>
              <w:rPr>
                <w:sz w:val="20"/>
                <w:szCs w:val="20"/>
                <w:color w:val="auto"/>
              </w:rPr>
            </w:pPr>
            <w:r>
              <w:rPr>
                <w:rFonts w:ascii="Arial" w:cs="Arial" w:eastAsia="Arial" w:hAnsi="Arial"/>
                <w:sz w:val="20"/>
                <w:szCs w:val="20"/>
                <w:color w:val="auto"/>
              </w:rPr>
              <w:t>Dispositions.</w:t>
            </w:r>
          </w:p>
        </w:tc>
        <w:tc>
          <w:tcPr>
            <w:tcW w:w="300" w:type="dxa"/>
            <w:vAlign w:val="bottom"/>
            <w:gridSpan w:val="2"/>
          </w:tcPr>
          <w:p>
            <w:pPr>
              <w:jc w:val="right"/>
              <w:spacing w:after="0"/>
              <w:rPr>
                <w:sz w:val="20"/>
                <w:szCs w:val="20"/>
                <w:color w:val="auto"/>
              </w:rPr>
            </w:pPr>
            <w:r>
              <w:rPr>
                <w:rFonts w:ascii="Arial" w:cs="Arial" w:eastAsia="Arial" w:hAnsi="Arial"/>
                <w:sz w:val="20"/>
                <w:szCs w:val="20"/>
                <w:color w:val="FF0000"/>
                <w:strike w:val="1"/>
                <w:w w:val="83"/>
              </w:rPr>
              <w:t>126</w:t>
            </w:r>
          </w:p>
        </w:tc>
        <w:tc>
          <w:tcPr>
            <w:tcW w:w="300" w:type="dxa"/>
            <w:vAlign w:val="bottom"/>
            <w:gridSpan w:val="2"/>
          </w:tcPr>
          <w:p>
            <w:pPr>
              <w:jc w:val="right"/>
              <w:spacing w:after="0"/>
              <w:rPr>
                <w:sz w:val="20"/>
                <w:szCs w:val="20"/>
                <w:color w:val="auto"/>
              </w:rPr>
            </w:pPr>
            <w:r>
              <w:rPr>
                <w:rFonts w:ascii="Arial" w:cs="Arial" w:eastAsia="Arial" w:hAnsi="Arial"/>
                <w:sz w:val="20"/>
                <w:szCs w:val="20"/>
                <w:color w:val="0000FF"/>
                <w:w w:val="83"/>
              </w:rPr>
              <w:t>129</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38"/>
        </w:trPr>
        <w:tc>
          <w:tcPr>
            <w:tcW w:w="1100" w:type="dxa"/>
            <w:vAlign w:val="bottom"/>
          </w:tcPr>
          <w:p>
            <w:pPr>
              <w:ind w:left="660"/>
              <w:spacing w:after="0"/>
              <w:rPr>
                <w:sz w:val="20"/>
                <w:szCs w:val="20"/>
                <w:color w:val="auto"/>
              </w:rPr>
            </w:pPr>
            <w:r>
              <w:rPr>
                <w:rFonts w:ascii="Arial" w:cs="Arial" w:eastAsia="Arial" w:hAnsi="Arial"/>
                <w:sz w:val="20"/>
                <w:szCs w:val="20"/>
                <w:color w:val="auto"/>
              </w:rPr>
              <w:t>8.06</w:t>
            </w:r>
          </w:p>
        </w:tc>
        <w:tc>
          <w:tcPr>
            <w:tcW w:w="60" w:type="dxa"/>
            <w:vAlign w:val="bottom"/>
          </w:tcPr>
          <w:p>
            <w:pPr>
              <w:spacing w:after="0"/>
              <w:rPr>
                <w:sz w:val="24"/>
                <w:szCs w:val="24"/>
                <w:color w:val="auto"/>
              </w:rPr>
            </w:pPr>
          </w:p>
        </w:tc>
        <w:tc>
          <w:tcPr>
            <w:tcW w:w="1960" w:type="dxa"/>
            <w:vAlign w:val="bottom"/>
            <w:gridSpan w:val="6"/>
          </w:tcPr>
          <w:p>
            <w:pPr>
              <w:ind w:left="140"/>
              <w:spacing w:after="0"/>
              <w:rPr>
                <w:sz w:val="20"/>
                <w:szCs w:val="20"/>
                <w:color w:val="auto"/>
              </w:rPr>
            </w:pPr>
            <w:r>
              <w:rPr>
                <w:rFonts w:ascii="Arial" w:cs="Arial" w:eastAsia="Arial" w:hAnsi="Arial"/>
                <w:sz w:val="20"/>
                <w:szCs w:val="20"/>
                <w:color w:val="auto"/>
                <w:w w:val="94"/>
              </w:rPr>
              <w:t>Restricted Payments.</w:t>
            </w:r>
          </w:p>
        </w:tc>
        <w:tc>
          <w:tcPr>
            <w:tcW w:w="20" w:type="dxa"/>
            <w:vAlign w:val="bottom"/>
          </w:tcPr>
          <w:p>
            <w:pPr>
              <w:spacing w:after="0"/>
              <w:rPr>
                <w:sz w:val="24"/>
                <w:szCs w:val="24"/>
                <w:color w:val="auto"/>
              </w:rPr>
            </w:pPr>
          </w:p>
        </w:tc>
        <w:tc>
          <w:tcPr>
            <w:tcW w:w="320" w:type="dxa"/>
            <w:vAlign w:val="bottom"/>
            <w:gridSpan w:val="6"/>
          </w:tcPr>
          <w:p>
            <w:pPr>
              <w:ind w:left="20"/>
              <w:spacing w:after="0"/>
              <w:rPr>
                <w:sz w:val="20"/>
                <w:szCs w:val="20"/>
                <w:color w:val="auto"/>
              </w:rPr>
            </w:pPr>
            <w:r>
              <w:rPr>
                <w:rFonts w:ascii="Arial" w:cs="Arial" w:eastAsia="Arial" w:hAnsi="Arial"/>
                <w:sz w:val="20"/>
                <w:szCs w:val="20"/>
                <w:color w:val="FF0000"/>
                <w:strike w:val="1"/>
                <w:w w:val="83"/>
              </w:rPr>
              <w:t>126</w:t>
            </w:r>
          </w:p>
        </w:tc>
        <w:tc>
          <w:tcPr>
            <w:tcW w:w="440" w:type="dxa"/>
            <w:vAlign w:val="bottom"/>
            <w:gridSpan w:val="6"/>
          </w:tcPr>
          <w:p>
            <w:pPr>
              <w:spacing w:after="0"/>
              <w:rPr>
                <w:sz w:val="20"/>
                <w:szCs w:val="20"/>
                <w:color w:val="auto"/>
              </w:rPr>
            </w:pPr>
            <w:r>
              <w:rPr>
                <w:rFonts w:ascii="Arial" w:cs="Arial" w:eastAsia="Arial" w:hAnsi="Arial"/>
                <w:sz w:val="20"/>
                <w:szCs w:val="20"/>
                <w:color w:val="0000FF"/>
              </w:rPr>
              <w:t>129</w:t>
            </w: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1100" w:type="dxa"/>
            <w:vAlign w:val="bottom"/>
          </w:tcPr>
          <w:p>
            <w:pPr>
              <w:ind w:left="660"/>
              <w:spacing w:after="0"/>
              <w:rPr>
                <w:sz w:val="20"/>
                <w:szCs w:val="20"/>
                <w:color w:val="auto"/>
              </w:rPr>
            </w:pPr>
            <w:r>
              <w:rPr>
                <w:rFonts w:ascii="Arial" w:cs="Arial" w:eastAsia="Arial" w:hAnsi="Arial"/>
                <w:sz w:val="20"/>
                <w:szCs w:val="20"/>
                <w:color w:val="auto"/>
              </w:rPr>
              <w:t>8.07</w:t>
            </w:r>
          </w:p>
        </w:tc>
        <w:tc>
          <w:tcPr>
            <w:tcW w:w="60" w:type="dxa"/>
            <w:vAlign w:val="bottom"/>
          </w:tcPr>
          <w:p>
            <w:pPr>
              <w:spacing w:after="0"/>
              <w:rPr>
                <w:sz w:val="24"/>
                <w:szCs w:val="24"/>
                <w:color w:val="auto"/>
              </w:rPr>
            </w:pPr>
          </w:p>
        </w:tc>
        <w:tc>
          <w:tcPr>
            <w:tcW w:w="2580" w:type="dxa"/>
            <w:vAlign w:val="bottom"/>
            <w:gridSpan w:val="18"/>
          </w:tcPr>
          <w:p>
            <w:pPr>
              <w:ind w:left="140"/>
              <w:spacing w:after="0"/>
              <w:rPr>
                <w:sz w:val="20"/>
                <w:szCs w:val="20"/>
                <w:color w:val="auto"/>
              </w:rPr>
            </w:pPr>
            <w:r>
              <w:rPr>
                <w:rFonts w:ascii="Arial" w:cs="Arial" w:eastAsia="Arial" w:hAnsi="Arial"/>
                <w:sz w:val="20"/>
                <w:szCs w:val="20"/>
                <w:color w:val="auto"/>
                <w:w w:val="89"/>
              </w:rPr>
              <w:t>Change in Nature of Business.</w:t>
            </w:r>
          </w:p>
        </w:tc>
        <w:tc>
          <w:tcPr>
            <w:tcW w:w="160" w:type="dxa"/>
            <w:vAlign w:val="bottom"/>
          </w:tcPr>
          <w:p>
            <w:pPr>
              <w:spacing w:after="0"/>
              <w:rPr>
                <w:sz w:val="24"/>
                <w:szCs w:val="24"/>
                <w:color w:val="auto"/>
              </w:rPr>
            </w:pPr>
          </w:p>
        </w:tc>
        <w:tc>
          <w:tcPr>
            <w:tcW w:w="300" w:type="dxa"/>
            <w:vAlign w:val="bottom"/>
            <w:gridSpan w:val="3"/>
          </w:tcPr>
          <w:p>
            <w:pPr>
              <w:jc w:val="right"/>
              <w:spacing w:after="0"/>
              <w:rPr>
                <w:sz w:val="20"/>
                <w:szCs w:val="20"/>
                <w:color w:val="auto"/>
              </w:rPr>
            </w:pPr>
            <w:r>
              <w:rPr>
                <w:rFonts w:ascii="Arial" w:cs="Arial" w:eastAsia="Arial" w:hAnsi="Arial"/>
                <w:sz w:val="20"/>
                <w:szCs w:val="20"/>
                <w:color w:val="FF0000"/>
                <w:strike w:val="1"/>
                <w:w w:val="83"/>
              </w:rPr>
              <w:t>127</w:t>
            </w:r>
          </w:p>
        </w:tc>
        <w:tc>
          <w:tcPr>
            <w:tcW w:w="320" w:type="dxa"/>
            <w:vAlign w:val="bottom"/>
            <w:gridSpan w:val="3"/>
          </w:tcPr>
          <w:p>
            <w:pPr>
              <w:jc w:val="right"/>
              <w:spacing w:after="0"/>
              <w:rPr>
                <w:sz w:val="20"/>
                <w:szCs w:val="20"/>
                <w:color w:val="auto"/>
              </w:rPr>
            </w:pPr>
            <w:r>
              <w:rPr>
                <w:rFonts w:ascii="Arial" w:cs="Arial" w:eastAsia="Arial" w:hAnsi="Arial"/>
                <w:sz w:val="20"/>
                <w:szCs w:val="20"/>
                <w:color w:val="0000FF"/>
                <w:w w:val="83"/>
              </w:rPr>
              <w:t>129</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1100" w:type="dxa"/>
            <w:vAlign w:val="bottom"/>
          </w:tcPr>
          <w:p>
            <w:pPr>
              <w:ind w:left="660"/>
              <w:spacing w:after="0"/>
              <w:rPr>
                <w:sz w:val="20"/>
                <w:szCs w:val="20"/>
                <w:color w:val="auto"/>
              </w:rPr>
            </w:pPr>
            <w:r>
              <w:rPr>
                <w:rFonts w:ascii="Arial" w:cs="Arial" w:eastAsia="Arial" w:hAnsi="Arial"/>
                <w:sz w:val="20"/>
                <w:szCs w:val="20"/>
                <w:color w:val="auto"/>
              </w:rPr>
              <w:t>8.08</w:t>
            </w:r>
          </w:p>
        </w:tc>
        <w:tc>
          <w:tcPr>
            <w:tcW w:w="60" w:type="dxa"/>
            <w:vAlign w:val="bottom"/>
          </w:tcPr>
          <w:p>
            <w:pPr>
              <w:spacing w:after="0"/>
              <w:rPr>
                <w:sz w:val="24"/>
                <w:szCs w:val="24"/>
                <w:color w:val="auto"/>
              </w:rPr>
            </w:pPr>
          </w:p>
        </w:tc>
        <w:tc>
          <w:tcPr>
            <w:tcW w:w="2580" w:type="dxa"/>
            <w:vAlign w:val="bottom"/>
            <w:gridSpan w:val="18"/>
          </w:tcPr>
          <w:p>
            <w:pPr>
              <w:ind w:left="140"/>
              <w:spacing w:after="0"/>
              <w:rPr>
                <w:sz w:val="20"/>
                <w:szCs w:val="20"/>
                <w:color w:val="auto"/>
              </w:rPr>
            </w:pPr>
            <w:r>
              <w:rPr>
                <w:rFonts w:ascii="Arial" w:cs="Arial" w:eastAsia="Arial" w:hAnsi="Arial"/>
                <w:sz w:val="20"/>
                <w:szCs w:val="20"/>
                <w:color w:val="auto"/>
                <w:w w:val="99"/>
              </w:rPr>
              <w:t>Transactions with Affiliates.</w:t>
            </w:r>
          </w:p>
        </w:tc>
        <w:tc>
          <w:tcPr>
            <w:tcW w:w="280" w:type="dxa"/>
            <w:vAlign w:val="bottom"/>
            <w:gridSpan w:val="2"/>
          </w:tcPr>
          <w:p>
            <w:pPr>
              <w:jc w:val="right"/>
              <w:spacing w:after="0"/>
              <w:rPr>
                <w:sz w:val="20"/>
                <w:szCs w:val="20"/>
                <w:color w:val="auto"/>
              </w:rPr>
            </w:pPr>
            <w:r>
              <w:rPr>
                <w:rFonts w:ascii="Arial" w:cs="Arial" w:eastAsia="Arial" w:hAnsi="Arial"/>
                <w:sz w:val="20"/>
                <w:szCs w:val="20"/>
                <w:color w:val="FF0000"/>
                <w:strike w:val="1"/>
                <w:w w:val="77"/>
              </w:rPr>
              <w:t>127</w:t>
            </w:r>
          </w:p>
        </w:tc>
        <w:tc>
          <w:tcPr>
            <w:tcW w:w="360" w:type="dxa"/>
            <w:vAlign w:val="bottom"/>
            <w:gridSpan w:val="3"/>
          </w:tcPr>
          <w:p>
            <w:pPr>
              <w:jc w:val="right"/>
              <w:spacing w:after="0"/>
              <w:rPr>
                <w:sz w:val="20"/>
                <w:szCs w:val="20"/>
                <w:color w:val="auto"/>
              </w:rPr>
            </w:pPr>
            <w:r>
              <w:rPr>
                <w:rFonts w:ascii="Arial" w:cs="Arial" w:eastAsia="Arial" w:hAnsi="Arial"/>
                <w:sz w:val="20"/>
                <w:szCs w:val="20"/>
                <w:color w:val="0000FF"/>
                <w:w w:val="83"/>
              </w:rPr>
              <w:t>130</w:t>
            </w: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1100" w:type="dxa"/>
            <w:vAlign w:val="bottom"/>
          </w:tcPr>
          <w:p>
            <w:pPr>
              <w:ind w:left="660"/>
              <w:spacing w:after="0"/>
              <w:rPr>
                <w:sz w:val="20"/>
                <w:szCs w:val="20"/>
                <w:color w:val="auto"/>
              </w:rPr>
            </w:pPr>
            <w:r>
              <w:rPr>
                <w:rFonts w:ascii="Arial" w:cs="Arial" w:eastAsia="Arial" w:hAnsi="Arial"/>
                <w:sz w:val="20"/>
                <w:szCs w:val="20"/>
                <w:color w:val="auto"/>
              </w:rPr>
              <w:t>8.09</w:t>
            </w:r>
          </w:p>
        </w:tc>
        <w:tc>
          <w:tcPr>
            <w:tcW w:w="60" w:type="dxa"/>
            <w:vAlign w:val="bottom"/>
          </w:tcPr>
          <w:p>
            <w:pPr>
              <w:spacing w:after="0"/>
              <w:rPr>
                <w:sz w:val="24"/>
                <w:szCs w:val="24"/>
                <w:color w:val="auto"/>
              </w:rPr>
            </w:pPr>
          </w:p>
        </w:tc>
        <w:tc>
          <w:tcPr>
            <w:tcW w:w="3600" w:type="dxa"/>
            <w:vAlign w:val="bottom"/>
            <w:gridSpan w:val="29"/>
          </w:tcPr>
          <w:p>
            <w:pPr>
              <w:ind w:left="140"/>
              <w:spacing w:after="0"/>
              <w:rPr>
                <w:sz w:val="20"/>
                <w:szCs w:val="20"/>
                <w:color w:val="auto"/>
              </w:rPr>
            </w:pPr>
            <w:r>
              <w:rPr>
                <w:rFonts w:ascii="Arial" w:cs="Arial" w:eastAsia="Arial" w:hAnsi="Arial"/>
                <w:sz w:val="20"/>
                <w:szCs w:val="20"/>
                <w:color w:val="auto"/>
                <w:w w:val="92"/>
              </w:rPr>
              <w:t>Covenants Regarding Subordinated Debt.</w:t>
            </w:r>
          </w:p>
        </w:tc>
        <w:tc>
          <w:tcPr>
            <w:tcW w:w="20" w:type="dxa"/>
            <w:vAlign w:val="bottom"/>
          </w:tcPr>
          <w:p>
            <w:pPr>
              <w:spacing w:after="0"/>
              <w:rPr>
                <w:sz w:val="24"/>
                <w:szCs w:val="24"/>
                <w:color w:val="auto"/>
              </w:rPr>
            </w:pPr>
          </w:p>
        </w:tc>
        <w:tc>
          <w:tcPr>
            <w:tcW w:w="300" w:type="dxa"/>
            <w:vAlign w:val="bottom"/>
            <w:gridSpan w:val="4"/>
          </w:tcPr>
          <w:p>
            <w:pPr>
              <w:spacing w:after="0"/>
              <w:rPr>
                <w:sz w:val="20"/>
                <w:szCs w:val="20"/>
                <w:color w:val="auto"/>
              </w:rPr>
            </w:pPr>
            <w:r>
              <w:rPr>
                <w:rFonts w:ascii="Arial" w:cs="Arial" w:eastAsia="Arial" w:hAnsi="Arial"/>
                <w:sz w:val="20"/>
                <w:szCs w:val="20"/>
                <w:color w:val="FF0000"/>
                <w:strike w:val="1"/>
                <w:w w:val="83"/>
              </w:rPr>
              <w:t>128</w:t>
            </w:r>
          </w:p>
        </w:tc>
        <w:tc>
          <w:tcPr>
            <w:tcW w:w="300" w:type="dxa"/>
            <w:vAlign w:val="bottom"/>
            <w:gridSpan w:val="2"/>
          </w:tcPr>
          <w:p>
            <w:pPr>
              <w:spacing w:after="0"/>
              <w:rPr>
                <w:sz w:val="20"/>
                <w:szCs w:val="20"/>
                <w:color w:val="auto"/>
              </w:rPr>
            </w:pPr>
            <w:r>
              <w:rPr>
                <w:rFonts w:ascii="Arial" w:cs="Arial" w:eastAsia="Arial" w:hAnsi="Arial"/>
                <w:sz w:val="20"/>
                <w:szCs w:val="20"/>
                <w:color w:val="0000FF"/>
                <w:w w:val="83"/>
              </w:rPr>
              <w:t>130</w:t>
            </w: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1100" w:type="dxa"/>
            <w:vAlign w:val="bottom"/>
          </w:tcPr>
          <w:p>
            <w:pPr>
              <w:ind w:left="660"/>
              <w:spacing w:after="0"/>
              <w:rPr>
                <w:sz w:val="20"/>
                <w:szCs w:val="20"/>
                <w:color w:val="auto"/>
              </w:rPr>
            </w:pPr>
            <w:r>
              <w:rPr>
                <w:rFonts w:ascii="Arial" w:cs="Arial" w:eastAsia="Arial" w:hAnsi="Arial"/>
                <w:sz w:val="20"/>
                <w:szCs w:val="20"/>
                <w:color w:val="auto"/>
              </w:rPr>
              <w:t>8.10</w:t>
            </w:r>
          </w:p>
        </w:tc>
        <w:tc>
          <w:tcPr>
            <w:tcW w:w="60" w:type="dxa"/>
            <w:vAlign w:val="bottom"/>
          </w:tcPr>
          <w:p>
            <w:pPr>
              <w:spacing w:after="0"/>
              <w:rPr>
                <w:sz w:val="24"/>
                <w:szCs w:val="24"/>
                <w:color w:val="auto"/>
              </w:rPr>
            </w:pPr>
          </w:p>
        </w:tc>
        <w:tc>
          <w:tcPr>
            <w:tcW w:w="2920" w:type="dxa"/>
            <w:vAlign w:val="bottom"/>
            <w:gridSpan w:val="21"/>
          </w:tcPr>
          <w:p>
            <w:pPr>
              <w:ind w:left="140"/>
              <w:spacing w:after="0"/>
              <w:rPr>
                <w:sz w:val="20"/>
                <w:szCs w:val="20"/>
                <w:color w:val="auto"/>
              </w:rPr>
            </w:pPr>
            <w:r>
              <w:rPr>
                <w:rFonts w:ascii="Arial" w:cs="Arial" w:eastAsia="Arial" w:hAnsi="Arial"/>
                <w:sz w:val="20"/>
                <w:szCs w:val="20"/>
                <w:color w:val="auto"/>
                <w:w w:val="94"/>
              </w:rPr>
              <w:t>Subsidiary Dividend Restrictions.</w:t>
            </w:r>
          </w:p>
        </w:tc>
        <w:tc>
          <w:tcPr>
            <w:tcW w:w="380" w:type="dxa"/>
            <w:vAlign w:val="bottom"/>
            <w:gridSpan w:val="3"/>
          </w:tcPr>
          <w:p>
            <w:pPr>
              <w:jc w:val="right"/>
              <w:spacing w:after="0"/>
              <w:rPr>
                <w:sz w:val="20"/>
                <w:szCs w:val="20"/>
                <w:color w:val="auto"/>
              </w:rPr>
            </w:pPr>
            <w:r>
              <w:rPr>
                <w:rFonts w:ascii="Arial" w:cs="Arial" w:eastAsia="Arial" w:hAnsi="Arial"/>
                <w:sz w:val="20"/>
                <w:szCs w:val="20"/>
                <w:color w:val="FF0000"/>
                <w:strike w:val="1"/>
              </w:rPr>
              <w:t>128</w:t>
            </w:r>
          </w:p>
        </w:tc>
        <w:tc>
          <w:tcPr>
            <w:tcW w:w="300" w:type="dxa"/>
            <w:vAlign w:val="bottom"/>
            <w:gridSpan w:val="5"/>
          </w:tcPr>
          <w:p>
            <w:pPr>
              <w:jc w:val="right"/>
              <w:spacing w:after="0"/>
              <w:rPr>
                <w:sz w:val="20"/>
                <w:szCs w:val="20"/>
                <w:color w:val="auto"/>
              </w:rPr>
            </w:pPr>
            <w:r>
              <w:rPr>
                <w:rFonts w:ascii="Arial" w:cs="Arial" w:eastAsia="Arial" w:hAnsi="Arial"/>
                <w:sz w:val="20"/>
                <w:szCs w:val="20"/>
                <w:color w:val="0000FF"/>
                <w:w w:val="83"/>
              </w:rPr>
              <w:t>131</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1100" w:type="dxa"/>
            <w:vAlign w:val="bottom"/>
          </w:tcPr>
          <w:p>
            <w:pPr>
              <w:ind w:left="660"/>
              <w:spacing w:after="0"/>
              <w:rPr>
                <w:sz w:val="20"/>
                <w:szCs w:val="20"/>
                <w:color w:val="auto"/>
              </w:rPr>
            </w:pPr>
            <w:r>
              <w:rPr>
                <w:rFonts w:ascii="Arial" w:cs="Arial" w:eastAsia="Arial" w:hAnsi="Arial"/>
                <w:sz w:val="20"/>
                <w:szCs w:val="20"/>
                <w:color w:val="auto"/>
              </w:rPr>
              <w:t>8.11</w:t>
            </w:r>
          </w:p>
        </w:tc>
        <w:tc>
          <w:tcPr>
            <w:tcW w:w="60" w:type="dxa"/>
            <w:vAlign w:val="bottom"/>
          </w:tcPr>
          <w:p>
            <w:pPr>
              <w:spacing w:after="0"/>
              <w:rPr>
                <w:sz w:val="24"/>
                <w:szCs w:val="24"/>
                <w:color w:val="auto"/>
              </w:rPr>
            </w:pPr>
          </w:p>
        </w:tc>
        <w:tc>
          <w:tcPr>
            <w:tcW w:w="1660" w:type="dxa"/>
            <w:vAlign w:val="bottom"/>
            <w:gridSpan w:val="4"/>
          </w:tcPr>
          <w:p>
            <w:pPr>
              <w:ind w:left="140"/>
              <w:spacing w:after="0"/>
              <w:rPr>
                <w:sz w:val="20"/>
                <w:szCs w:val="20"/>
                <w:color w:val="auto"/>
              </w:rPr>
            </w:pPr>
            <w:r>
              <w:rPr>
                <w:rFonts w:ascii="Arial" w:cs="Arial" w:eastAsia="Arial" w:hAnsi="Arial"/>
                <w:sz w:val="20"/>
                <w:szCs w:val="20"/>
                <w:color w:val="auto"/>
                <w:w w:val="97"/>
              </w:rPr>
              <w:t>Use of Proceeds.</w:t>
            </w:r>
          </w:p>
        </w:tc>
        <w:tc>
          <w:tcPr>
            <w:tcW w:w="300" w:type="dxa"/>
            <w:vAlign w:val="bottom"/>
            <w:gridSpan w:val="2"/>
          </w:tcPr>
          <w:p>
            <w:pPr>
              <w:jc w:val="right"/>
              <w:spacing w:after="0"/>
              <w:rPr>
                <w:sz w:val="20"/>
                <w:szCs w:val="20"/>
                <w:color w:val="auto"/>
              </w:rPr>
            </w:pPr>
            <w:r>
              <w:rPr>
                <w:rFonts w:ascii="Arial" w:cs="Arial" w:eastAsia="Arial" w:hAnsi="Arial"/>
                <w:sz w:val="20"/>
                <w:szCs w:val="20"/>
                <w:color w:val="FF0000"/>
                <w:strike w:val="1"/>
                <w:w w:val="83"/>
              </w:rPr>
              <w:t>129</w:t>
            </w:r>
          </w:p>
        </w:tc>
        <w:tc>
          <w:tcPr>
            <w:tcW w:w="300" w:type="dxa"/>
            <w:vAlign w:val="bottom"/>
            <w:gridSpan w:val="6"/>
          </w:tcPr>
          <w:p>
            <w:pPr>
              <w:jc w:val="right"/>
              <w:spacing w:after="0"/>
              <w:rPr>
                <w:sz w:val="20"/>
                <w:szCs w:val="20"/>
                <w:color w:val="auto"/>
              </w:rPr>
            </w:pPr>
            <w:r>
              <w:rPr>
                <w:rFonts w:ascii="Arial" w:cs="Arial" w:eastAsia="Arial" w:hAnsi="Arial"/>
                <w:sz w:val="20"/>
                <w:szCs w:val="20"/>
                <w:color w:val="0000FF"/>
                <w:w w:val="83"/>
              </w:rPr>
              <w:t>131</w:t>
            </w: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1100" w:type="dxa"/>
            <w:vAlign w:val="bottom"/>
          </w:tcPr>
          <w:p>
            <w:pPr>
              <w:ind w:left="660"/>
              <w:spacing w:after="0"/>
              <w:rPr>
                <w:sz w:val="20"/>
                <w:szCs w:val="20"/>
                <w:color w:val="auto"/>
              </w:rPr>
            </w:pPr>
            <w:r>
              <w:rPr>
                <w:rFonts w:ascii="Arial" w:cs="Arial" w:eastAsia="Arial" w:hAnsi="Arial"/>
                <w:sz w:val="20"/>
                <w:szCs w:val="20"/>
                <w:color w:val="auto"/>
              </w:rPr>
              <w:t>8.12</w:t>
            </w:r>
          </w:p>
        </w:tc>
        <w:tc>
          <w:tcPr>
            <w:tcW w:w="60" w:type="dxa"/>
            <w:vAlign w:val="bottom"/>
          </w:tcPr>
          <w:p>
            <w:pPr>
              <w:spacing w:after="0"/>
              <w:rPr>
                <w:sz w:val="24"/>
                <w:szCs w:val="24"/>
                <w:color w:val="auto"/>
              </w:rPr>
            </w:pPr>
          </w:p>
        </w:tc>
        <w:tc>
          <w:tcPr>
            <w:tcW w:w="1960" w:type="dxa"/>
            <w:vAlign w:val="bottom"/>
            <w:gridSpan w:val="6"/>
          </w:tcPr>
          <w:p>
            <w:pPr>
              <w:ind w:left="140"/>
              <w:spacing w:after="0"/>
              <w:rPr>
                <w:sz w:val="20"/>
                <w:szCs w:val="20"/>
                <w:color w:val="auto"/>
              </w:rPr>
            </w:pPr>
            <w:r>
              <w:rPr>
                <w:rFonts w:ascii="Arial" w:cs="Arial" w:eastAsia="Arial" w:hAnsi="Arial"/>
                <w:sz w:val="20"/>
                <w:szCs w:val="20"/>
                <w:color w:val="auto"/>
                <w:w w:val="96"/>
              </w:rPr>
              <w:t>Financial Covenants.</w:t>
            </w:r>
          </w:p>
        </w:tc>
        <w:tc>
          <w:tcPr>
            <w:tcW w:w="20" w:type="dxa"/>
            <w:vAlign w:val="bottom"/>
          </w:tcPr>
          <w:p>
            <w:pPr>
              <w:spacing w:after="0"/>
              <w:rPr>
                <w:sz w:val="24"/>
                <w:szCs w:val="24"/>
                <w:color w:val="auto"/>
              </w:rPr>
            </w:pPr>
          </w:p>
        </w:tc>
        <w:tc>
          <w:tcPr>
            <w:tcW w:w="320" w:type="dxa"/>
            <w:vAlign w:val="bottom"/>
            <w:gridSpan w:val="6"/>
          </w:tcPr>
          <w:p>
            <w:pPr>
              <w:ind w:left="20"/>
              <w:spacing w:after="0"/>
              <w:rPr>
                <w:sz w:val="20"/>
                <w:szCs w:val="20"/>
                <w:color w:val="auto"/>
              </w:rPr>
            </w:pPr>
            <w:r>
              <w:rPr>
                <w:rFonts w:ascii="Arial" w:cs="Arial" w:eastAsia="Arial" w:hAnsi="Arial"/>
                <w:sz w:val="20"/>
                <w:szCs w:val="20"/>
                <w:color w:val="FF0000"/>
                <w:strike w:val="1"/>
                <w:w w:val="83"/>
              </w:rPr>
              <w:t>129</w:t>
            </w:r>
          </w:p>
        </w:tc>
        <w:tc>
          <w:tcPr>
            <w:tcW w:w="440" w:type="dxa"/>
            <w:vAlign w:val="bottom"/>
            <w:gridSpan w:val="6"/>
          </w:tcPr>
          <w:p>
            <w:pPr>
              <w:spacing w:after="0"/>
              <w:rPr>
                <w:sz w:val="20"/>
                <w:szCs w:val="20"/>
                <w:color w:val="auto"/>
              </w:rPr>
            </w:pPr>
            <w:r>
              <w:rPr>
                <w:rFonts w:ascii="Arial" w:cs="Arial" w:eastAsia="Arial" w:hAnsi="Arial"/>
                <w:sz w:val="20"/>
                <w:szCs w:val="20"/>
                <w:color w:val="0000FF"/>
              </w:rPr>
              <w:t>131</w:t>
            </w: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1100" w:type="dxa"/>
            <w:vAlign w:val="bottom"/>
          </w:tcPr>
          <w:p>
            <w:pPr>
              <w:ind w:left="660"/>
              <w:spacing w:after="0"/>
              <w:rPr>
                <w:sz w:val="20"/>
                <w:szCs w:val="20"/>
                <w:color w:val="auto"/>
              </w:rPr>
            </w:pPr>
            <w:r>
              <w:rPr>
                <w:rFonts w:ascii="Arial" w:cs="Arial" w:eastAsia="Arial" w:hAnsi="Arial"/>
                <w:sz w:val="20"/>
                <w:szCs w:val="20"/>
                <w:color w:val="0000FF"/>
              </w:rPr>
              <w:t>8.13</w:t>
            </w:r>
          </w:p>
        </w:tc>
        <w:tc>
          <w:tcPr>
            <w:tcW w:w="60" w:type="dxa"/>
            <w:vAlign w:val="bottom"/>
          </w:tcPr>
          <w:p>
            <w:pPr>
              <w:spacing w:after="0"/>
              <w:rPr>
                <w:sz w:val="24"/>
                <w:szCs w:val="24"/>
                <w:color w:val="auto"/>
              </w:rPr>
            </w:pPr>
          </w:p>
        </w:tc>
        <w:tc>
          <w:tcPr>
            <w:tcW w:w="1660" w:type="dxa"/>
            <w:vAlign w:val="bottom"/>
            <w:gridSpan w:val="4"/>
          </w:tcPr>
          <w:p>
            <w:pPr>
              <w:ind w:left="140"/>
              <w:spacing w:after="0"/>
              <w:rPr>
                <w:sz w:val="20"/>
                <w:szCs w:val="20"/>
                <w:color w:val="auto"/>
              </w:rPr>
            </w:pPr>
            <w:r>
              <w:rPr>
                <w:rFonts w:ascii="Arial" w:cs="Arial" w:eastAsia="Arial" w:hAnsi="Arial"/>
                <w:sz w:val="20"/>
                <w:szCs w:val="20"/>
                <w:color w:val="0000FF"/>
              </w:rPr>
              <w:t>Sanctions.  132</w:t>
            </w: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4640" w:type="dxa"/>
            <w:vAlign w:val="bottom"/>
            <w:gridSpan w:val="30"/>
          </w:tcPr>
          <w:p>
            <w:pPr>
              <w:spacing w:after="0"/>
              <w:rPr>
                <w:sz w:val="20"/>
                <w:szCs w:val="20"/>
                <w:color w:val="auto"/>
              </w:rPr>
            </w:pPr>
            <w:r>
              <w:rPr>
                <w:rFonts w:ascii="Arial" w:cs="Arial" w:eastAsia="Arial" w:hAnsi="Arial"/>
                <w:sz w:val="20"/>
                <w:szCs w:val="20"/>
                <w:color w:val="auto"/>
                <w:w w:val="95"/>
              </w:rPr>
              <w:t>ARTICLE IX EVENTS OF DEFAULT AND REMEDIES</w:t>
            </w:r>
          </w:p>
        </w:tc>
        <w:tc>
          <w:tcPr>
            <w:tcW w:w="300" w:type="dxa"/>
            <w:vAlign w:val="bottom"/>
            <w:gridSpan w:val="4"/>
          </w:tcPr>
          <w:p>
            <w:pPr>
              <w:jc w:val="right"/>
              <w:spacing w:after="0"/>
              <w:rPr>
                <w:sz w:val="20"/>
                <w:szCs w:val="20"/>
                <w:color w:val="auto"/>
              </w:rPr>
            </w:pPr>
            <w:r>
              <w:rPr>
                <w:rFonts w:ascii="Arial" w:cs="Arial" w:eastAsia="Arial" w:hAnsi="Arial"/>
                <w:sz w:val="20"/>
                <w:szCs w:val="20"/>
                <w:color w:val="FF0000"/>
                <w:strike w:val="1"/>
                <w:w w:val="83"/>
              </w:rPr>
              <w:t>129</w:t>
            </w:r>
          </w:p>
        </w:tc>
        <w:tc>
          <w:tcPr>
            <w:tcW w:w="400" w:type="dxa"/>
            <w:vAlign w:val="bottom"/>
            <w:gridSpan w:val="3"/>
          </w:tcPr>
          <w:p>
            <w:pPr>
              <w:jc w:val="right"/>
              <w:ind w:right="1"/>
              <w:spacing w:after="0"/>
              <w:rPr>
                <w:sz w:val="20"/>
                <w:szCs w:val="20"/>
                <w:color w:val="auto"/>
              </w:rPr>
            </w:pPr>
            <w:r>
              <w:rPr>
                <w:rFonts w:ascii="Arial" w:cs="Arial" w:eastAsia="Arial" w:hAnsi="Arial"/>
                <w:sz w:val="20"/>
                <w:szCs w:val="20"/>
                <w:color w:val="0000FF"/>
                <w:w w:val="83"/>
              </w:rPr>
              <w:t>132</w:t>
            </w: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1100" w:type="dxa"/>
            <w:vAlign w:val="bottom"/>
          </w:tcPr>
          <w:p>
            <w:pPr>
              <w:ind w:left="660"/>
              <w:spacing w:after="0"/>
              <w:rPr>
                <w:sz w:val="20"/>
                <w:szCs w:val="20"/>
                <w:color w:val="auto"/>
              </w:rPr>
            </w:pPr>
            <w:r>
              <w:rPr>
                <w:rFonts w:ascii="Arial" w:cs="Arial" w:eastAsia="Arial" w:hAnsi="Arial"/>
                <w:sz w:val="20"/>
                <w:szCs w:val="20"/>
                <w:color w:val="auto"/>
              </w:rPr>
              <w:t>9.01</w:t>
            </w:r>
          </w:p>
        </w:tc>
        <w:tc>
          <w:tcPr>
            <w:tcW w:w="60" w:type="dxa"/>
            <w:vAlign w:val="bottom"/>
          </w:tcPr>
          <w:p>
            <w:pPr>
              <w:spacing w:after="0"/>
              <w:rPr>
                <w:sz w:val="24"/>
                <w:szCs w:val="24"/>
                <w:color w:val="auto"/>
              </w:rPr>
            </w:pPr>
          </w:p>
        </w:tc>
        <w:tc>
          <w:tcPr>
            <w:tcW w:w="1660" w:type="dxa"/>
            <w:vAlign w:val="bottom"/>
            <w:gridSpan w:val="4"/>
          </w:tcPr>
          <w:p>
            <w:pPr>
              <w:ind w:left="140"/>
              <w:spacing w:after="0"/>
              <w:rPr>
                <w:sz w:val="20"/>
                <w:szCs w:val="20"/>
                <w:color w:val="auto"/>
              </w:rPr>
            </w:pPr>
            <w:r>
              <w:rPr>
                <w:rFonts w:ascii="Arial" w:cs="Arial" w:eastAsia="Arial" w:hAnsi="Arial"/>
                <w:sz w:val="20"/>
                <w:szCs w:val="20"/>
                <w:color w:val="auto"/>
                <w:w w:val="94"/>
              </w:rPr>
              <w:t>Events of Default.</w:t>
            </w:r>
          </w:p>
        </w:tc>
        <w:tc>
          <w:tcPr>
            <w:tcW w:w="400" w:type="dxa"/>
            <w:vAlign w:val="bottom"/>
            <w:gridSpan w:val="4"/>
          </w:tcPr>
          <w:p>
            <w:pPr>
              <w:jc w:val="right"/>
              <w:spacing w:after="0"/>
              <w:rPr>
                <w:sz w:val="20"/>
                <w:szCs w:val="20"/>
                <w:color w:val="auto"/>
              </w:rPr>
            </w:pPr>
            <w:r>
              <w:rPr>
                <w:rFonts w:ascii="Arial" w:cs="Arial" w:eastAsia="Arial" w:hAnsi="Arial"/>
                <w:sz w:val="20"/>
                <w:szCs w:val="20"/>
                <w:color w:val="FF0000"/>
                <w:strike w:val="1"/>
              </w:rPr>
              <w:t>129</w:t>
            </w:r>
          </w:p>
        </w:tc>
        <w:tc>
          <w:tcPr>
            <w:tcW w:w="460" w:type="dxa"/>
            <w:vAlign w:val="bottom"/>
            <w:gridSpan w:val="8"/>
          </w:tcPr>
          <w:p>
            <w:pPr>
              <w:spacing w:after="0"/>
              <w:rPr>
                <w:sz w:val="20"/>
                <w:szCs w:val="20"/>
                <w:color w:val="auto"/>
              </w:rPr>
            </w:pPr>
            <w:r>
              <w:rPr>
                <w:rFonts w:ascii="Arial" w:cs="Arial" w:eastAsia="Arial" w:hAnsi="Arial"/>
                <w:sz w:val="20"/>
                <w:szCs w:val="20"/>
                <w:color w:val="0000FF"/>
              </w:rPr>
              <w:t>132</w:t>
            </w: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1100" w:type="dxa"/>
            <w:vAlign w:val="bottom"/>
          </w:tcPr>
          <w:p>
            <w:pPr>
              <w:ind w:left="660"/>
              <w:spacing w:after="0"/>
              <w:rPr>
                <w:sz w:val="20"/>
                <w:szCs w:val="20"/>
                <w:color w:val="auto"/>
              </w:rPr>
            </w:pPr>
            <w:r>
              <w:rPr>
                <w:rFonts w:ascii="Arial" w:cs="Arial" w:eastAsia="Arial" w:hAnsi="Arial"/>
                <w:sz w:val="20"/>
                <w:szCs w:val="20"/>
                <w:color w:val="auto"/>
              </w:rPr>
              <w:t>9.02</w:t>
            </w:r>
          </w:p>
        </w:tc>
        <w:tc>
          <w:tcPr>
            <w:tcW w:w="60" w:type="dxa"/>
            <w:vAlign w:val="bottom"/>
          </w:tcPr>
          <w:p>
            <w:pPr>
              <w:spacing w:after="0"/>
              <w:rPr>
                <w:sz w:val="24"/>
                <w:szCs w:val="24"/>
                <w:color w:val="auto"/>
              </w:rPr>
            </w:pPr>
          </w:p>
        </w:tc>
        <w:tc>
          <w:tcPr>
            <w:tcW w:w="2920" w:type="dxa"/>
            <w:vAlign w:val="bottom"/>
            <w:gridSpan w:val="21"/>
          </w:tcPr>
          <w:p>
            <w:pPr>
              <w:ind w:left="140"/>
              <w:spacing w:after="0"/>
              <w:rPr>
                <w:sz w:val="20"/>
                <w:szCs w:val="20"/>
                <w:color w:val="auto"/>
              </w:rPr>
            </w:pPr>
            <w:r>
              <w:rPr>
                <w:rFonts w:ascii="Arial" w:cs="Arial" w:eastAsia="Arial" w:hAnsi="Arial"/>
                <w:sz w:val="20"/>
                <w:szCs w:val="20"/>
                <w:color w:val="auto"/>
                <w:w w:val="92"/>
              </w:rPr>
              <w:t>Remedies Upon Event of Default.</w:t>
            </w:r>
          </w:p>
        </w:tc>
        <w:tc>
          <w:tcPr>
            <w:tcW w:w="380" w:type="dxa"/>
            <w:vAlign w:val="bottom"/>
            <w:gridSpan w:val="3"/>
          </w:tcPr>
          <w:p>
            <w:pPr>
              <w:jc w:val="right"/>
              <w:spacing w:after="0"/>
              <w:rPr>
                <w:sz w:val="20"/>
                <w:szCs w:val="20"/>
                <w:color w:val="auto"/>
              </w:rPr>
            </w:pPr>
            <w:r>
              <w:rPr>
                <w:rFonts w:ascii="Arial" w:cs="Arial" w:eastAsia="Arial" w:hAnsi="Arial"/>
                <w:sz w:val="20"/>
                <w:szCs w:val="20"/>
                <w:color w:val="FF0000"/>
                <w:strike w:val="1"/>
              </w:rPr>
              <w:t>131</w:t>
            </w:r>
          </w:p>
        </w:tc>
        <w:tc>
          <w:tcPr>
            <w:tcW w:w="320" w:type="dxa"/>
            <w:vAlign w:val="bottom"/>
            <w:gridSpan w:val="6"/>
          </w:tcPr>
          <w:p>
            <w:pPr>
              <w:jc w:val="right"/>
              <w:spacing w:after="0"/>
              <w:rPr>
                <w:sz w:val="20"/>
                <w:szCs w:val="20"/>
                <w:color w:val="auto"/>
              </w:rPr>
            </w:pPr>
            <w:r>
              <w:rPr>
                <w:rFonts w:ascii="Arial" w:cs="Arial" w:eastAsia="Arial" w:hAnsi="Arial"/>
                <w:sz w:val="20"/>
                <w:szCs w:val="20"/>
                <w:color w:val="0000FF"/>
                <w:w w:val="83"/>
              </w:rPr>
              <w:t>134</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1100" w:type="dxa"/>
            <w:vAlign w:val="bottom"/>
          </w:tcPr>
          <w:p>
            <w:pPr>
              <w:ind w:left="660"/>
              <w:spacing w:after="0"/>
              <w:rPr>
                <w:sz w:val="20"/>
                <w:szCs w:val="20"/>
                <w:color w:val="auto"/>
              </w:rPr>
            </w:pPr>
            <w:r>
              <w:rPr>
                <w:rFonts w:ascii="Arial" w:cs="Arial" w:eastAsia="Arial" w:hAnsi="Arial"/>
                <w:sz w:val="20"/>
                <w:szCs w:val="20"/>
                <w:color w:val="auto"/>
              </w:rPr>
              <w:t>9.03</w:t>
            </w:r>
          </w:p>
        </w:tc>
        <w:tc>
          <w:tcPr>
            <w:tcW w:w="60" w:type="dxa"/>
            <w:vAlign w:val="bottom"/>
          </w:tcPr>
          <w:p>
            <w:pPr>
              <w:spacing w:after="0"/>
              <w:rPr>
                <w:sz w:val="24"/>
                <w:szCs w:val="24"/>
                <w:color w:val="auto"/>
              </w:rPr>
            </w:pPr>
          </w:p>
        </w:tc>
        <w:tc>
          <w:tcPr>
            <w:tcW w:w="1960" w:type="dxa"/>
            <w:vAlign w:val="bottom"/>
            <w:gridSpan w:val="6"/>
          </w:tcPr>
          <w:p>
            <w:pPr>
              <w:ind w:left="140"/>
              <w:spacing w:after="0"/>
              <w:rPr>
                <w:sz w:val="20"/>
                <w:szCs w:val="20"/>
                <w:color w:val="auto"/>
              </w:rPr>
            </w:pPr>
            <w:r>
              <w:rPr>
                <w:rFonts w:ascii="Arial" w:cs="Arial" w:eastAsia="Arial" w:hAnsi="Arial"/>
                <w:sz w:val="20"/>
                <w:szCs w:val="20"/>
                <w:color w:val="auto"/>
                <w:w w:val="96"/>
              </w:rPr>
              <w:t>Application of Funds.</w:t>
            </w:r>
          </w:p>
        </w:tc>
        <w:tc>
          <w:tcPr>
            <w:tcW w:w="20" w:type="dxa"/>
            <w:vAlign w:val="bottom"/>
          </w:tcPr>
          <w:p>
            <w:pPr>
              <w:spacing w:after="0"/>
              <w:rPr>
                <w:sz w:val="24"/>
                <w:szCs w:val="24"/>
                <w:color w:val="auto"/>
              </w:rPr>
            </w:pPr>
          </w:p>
        </w:tc>
        <w:tc>
          <w:tcPr>
            <w:tcW w:w="380" w:type="dxa"/>
            <w:vAlign w:val="bottom"/>
            <w:gridSpan w:val="8"/>
          </w:tcPr>
          <w:p>
            <w:pPr>
              <w:ind w:left="80"/>
              <w:spacing w:after="0"/>
              <w:rPr>
                <w:sz w:val="20"/>
                <w:szCs w:val="20"/>
                <w:color w:val="auto"/>
              </w:rPr>
            </w:pPr>
            <w:r>
              <w:rPr>
                <w:rFonts w:ascii="Arial" w:cs="Arial" w:eastAsia="Arial" w:hAnsi="Arial"/>
                <w:sz w:val="20"/>
                <w:szCs w:val="20"/>
                <w:color w:val="FF0000"/>
                <w:strike w:val="1"/>
                <w:w w:val="83"/>
              </w:rPr>
              <w:t>131</w:t>
            </w:r>
          </w:p>
        </w:tc>
        <w:tc>
          <w:tcPr>
            <w:tcW w:w="380" w:type="dxa"/>
            <w:vAlign w:val="bottom"/>
            <w:gridSpan w:val="4"/>
          </w:tcPr>
          <w:p>
            <w:pPr>
              <w:jc w:val="right"/>
              <w:spacing w:after="0"/>
              <w:rPr>
                <w:sz w:val="20"/>
                <w:szCs w:val="20"/>
                <w:color w:val="auto"/>
              </w:rPr>
            </w:pPr>
            <w:r>
              <w:rPr>
                <w:rFonts w:ascii="Arial" w:cs="Arial" w:eastAsia="Arial" w:hAnsi="Arial"/>
                <w:sz w:val="20"/>
                <w:szCs w:val="20"/>
                <w:color w:val="0000FF"/>
                <w:w w:val="83"/>
              </w:rPr>
              <w:t>134</w:t>
            </w: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1100" w:type="dxa"/>
            <w:vAlign w:val="bottom"/>
          </w:tcPr>
          <w:p>
            <w:pPr>
              <w:ind w:left="660"/>
              <w:spacing w:after="0"/>
              <w:rPr>
                <w:sz w:val="20"/>
                <w:szCs w:val="20"/>
                <w:color w:val="auto"/>
              </w:rPr>
            </w:pPr>
            <w:r>
              <w:rPr>
                <w:rFonts w:ascii="Arial" w:cs="Arial" w:eastAsia="Arial" w:hAnsi="Arial"/>
                <w:sz w:val="20"/>
                <w:szCs w:val="20"/>
                <w:color w:val="auto"/>
              </w:rPr>
              <w:t>9.04</w:t>
            </w:r>
          </w:p>
        </w:tc>
        <w:tc>
          <w:tcPr>
            <w:tcW w:w="60" w:type="dxa"/>
            <w:vAlign w:val="bottom"/>
          </w:tcPr>
          <w:p>
            <w:pPr>
              <w:spacing w:after="0"/>
              <w:rPr>
                <w:sz w:val="24"/>
                <w:szCs w:val="24"/>
                <w:color w:val="auto"/>
              </w:rPr>
            </w:pPr>
          </w:p>
        </w:tc>
        <w:tc>
          <w:tcPr>
            <w:tcW w:w="2920" w:type="dxa"/>
            <w:vAlign w:val="bottom"/>
            <w:gridSpan w:val="21"/>
          </w:tcPr>
          <w:p>
            <w:pPr>
              <w:ind w:left="140"/>
              <w:spacing w:after="0"/>
              <w:rPr>
                <w:sz w:val="20"/>
                <w:szCs w:val="20"/>
                <w:color w:val="auto"/>
              </w:rPr>
            </w:pPr>
            <w:r>
              <w:rPr>
                <w:rFonts w:ascii="Arial" w:cs="Arial" w:eastAsia="Arial" w:hAnsi="Arial"/>
                <w:sz w:val="20"/>
                <w:szCs w:val="20"/>
                <w:color w:val="auto"/>
                <w:w w:val="94"/>
              </w:rPr>
              <w:t>Collection Allocation Mechanism.</w:t>
            </w:r>
          </w:p>
        </w:tc>
        <w:tc>
          <w:tcPr>
            <w:tcW w:w="120" w:type="dxa"/>
            <w:vAlign w:val="bottom"/>
          </w:tcPr>
          <w:p>
            <w:pPr>
              <w:spacing w:after="0"/>
              <w:rPr>
                <w:sz w:val="24"/>
                <w:szCs w:val="24"/>
                <w:color w:val="auto"/>
              </w:rPr>
            </w:pPr>
          </w:p>
        </w:tc>
        <w:tc>
          <w:tcPr>
            <w:tcW w:w="320" w:type="dxa"/>
            <w:vAlign w:val="bottom"/>
            <w:gridSpan w:val="3"/>
          </w:tcPr>
          <w:p>
            <w:pPr>
              <w:jc w:val="right"/>
              <w:spacing w:after="0"/>
              <w:rPr>
                <w:sz w:val="20"/>
                <w:szCs w:val="20"/>
                <w:color w:val="auto"/>
              </w:rPr>
            </w:pPr>
            <w:r>
              <w:rPr>
                <w:rFonts w:ascii="Arial" w:cs="Arial" w:eastAsia="Arial" w:hAnsi="Arial"/>
                <w:sz w:val="20"/>
                <w:szCs w:val="20"/>
                <w:color w:val="FF0000"/>
                <w:strike w:val="1"/>
                <w:w w:val="89"/>
              </w:rPr>
              <w:t>132</w:t>
            </w:r>
          </w:p>
        </w:tc>
        <w:tc>
          <w:tcPr>
            <w:tcW w:w="340" w:type="dxa"/>
            <w:vAlign w:val="bottom"/>
            <w:gridSpan w:val="6"/>
          </w:tcPr>
          <w:p>
            <w:pPr>
              <w:jc w:val="right"/>
              <w:spacing w:after="0"/>
              <w:rPr>
                <w:sz w:val="20"/>
                <w:szCs w:val="20"/>
                <w:color w:val="auto"/>
              </w:rPr>
            </w:pPr>
            <w:r>
              <w:rPr>
                <w:rFonts w:ascii="Arial" w:cs="Arial" w:eastAsia="Arial" w:hAnsi="Arial"/>
                <w:sz w:val="20"/>
                <w:szCs w:val="20"/>
                <w:color w:val="0000FF"/>
                <w:w w:val="83"/>
              </w:rPr>
              <w:t>135</w:t>
            </w: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6000" w:type="dxa"/>
            <w:vAlign w:val="bottom"/>
            <w:gridSpan w:val="44"/>
          </w:tcPr>
          <w:p>
            <w:pPr>
              <w:spacing w:after="0"/>
              <w:rPr>
                <w:sz w:val="20"/>
                <w:szCs w:val="20"/>
                <w:color w:val="auto"/>
              </w:rPr>
            </w:pPr>
            <w:r>
              <w:rPr>
                <w:rFonts w:ascii="Arial" w:cs="Arial" w:eastAsia="Arial" w:hAnsi="Arial"/>
                <w:sz w:val="20"/>
                <w:szCs w:val="20"/>
                <w:color w:val="auto"/>
                <w:w w:val="98"/>
              </w:rPr>
              <w:t>ARTICLE X ADMINISTRATIVE AGENT AND COLLATERAL AGENT</w:t>
            </w:r>
          </w:p>
        </w:tc>
        <w:tc>
          <w:tcPr>
            <w:tcW w:w="280" w:type="dxa"/>
            <w:vAlign w:val="bottom"/>
            <w:gridSpan w:val="4"/>
          </w:tcPr>
          <w:p>
            <w:pPr>
              <w:jc w:val="right"/>
              <w:spacing w:after="0"/>
              <w:rPr>
                <w:sz w:val="20"/>
                <w:szCs w:val="20"/>
                <w:color w:val="auto"/>
              </w:rPr>
            </w:pPr>
            <w:r>
              <w:rPr>
                <w:rFonts w:ascii="Arial" w:cs="Arial" w:eastAsia="Arial" w:hAnsi="Arial"/>
                <w:sz w:val="20"/>
                <w:szCs w:val="20"/>
                <w:color w:val="FF0000"/>
                <w:strike w:val="1"/>
                <w:w w:val="77"/>
              </w:rPr>
              <w:t>133</w:t>
            </w:r>
          </w:p>
        </w:tc>
        <w:tc>
          <w:tcPr>
            <w:tcW w:w="480" w:type="dxa"/>
            <w:vAlign w:val="bottom"/>
            <w:gridSpan w:val="3"/>
          </w:tcPr>
          <w:p>
            <w:pPr>
              <w:jc w:val="right"/>
              <w:ind w:right="81"/>
              <w:spacing w:after="0"/>
              <w:rPr>
                <w:sz w:val="20"/>
                <w:szCs w:val="20"/>
                <w:color w:val="auto"/>
              </w:rPr>
            </w:pPr>
            <w:r>
              <w:rPr>
                <w:rFonts w:ascii="Arial" w:cs="Arial" w:eastAsia="Arial" w:hAnsi="Arial"/>
                <w:sz w:val="20"/>
                <w:szCs w:val="20"/>
                <w:color w:val="0000FF"/>
                <w:w w:val="83"/>
              </w:rPr>
              <w:t>136</w:t>
            </w:r>
          </w:p>
        </w:tc>
        <w:tc>
          <w:tcPr>
            <w:tcW w:w="0" w:type="dxa"/>
            <w:vAlign w:val="bottom"/>
          </w:tcPr>
          <w:p>
            <w:pPr>
              <w:spacing w:after="0"/>
              <w:rPr>
                <w:sz w:val="1"/>
                <w:szCs w:val="1"/>
                <w:color w:val="auto"/>
              </w:rPr>
            </w:pPr>
          </w:p>
        </w:tc>
      </w:tr>
      <w:tr>
        <w:trPr>
          <w:trHeight w:val="338"/>
        </w:trPr>
        <w:tc>
          <w:tcPr>
            <w:tcW w:w="1160" w:type="dxa"/>
            <w:vAlign w:val="bottom"/>
            <w:gridSpan w:val="2"/>
          </w:tcPr>
          <w:p>
            <w:pPr>
              <w:ind w:left="660"/>
              <w:spacing w:after="0"/>
              <w:rPr>
                <w:sz w:val="20"/>
                <w:szCs w:val="20"/>
                <w:color w:val="auto"/>
              </w:rPr>
            </w:pPr>
            <w:r>
              <w:rPr>
                <w:rFonts w:ascii="Arial" w:cs="Arial" w:eastAsia="Arial" w:hAnsi="Arial"/>
                <w:sz w:val="20"/>
                <w:szCs w:val="20"/>
                <w:color w:val="auto"/>
                <w:w w:val="95"/>
              </w:rPr>
              <w:t>10.01</w:t>
            </w:r>
          </w:p>
        </w:tc>
        <w:tc>
          <w:tcPr>
            <w:tcW w:w="4880" w:type="dxa"/>
            <w:vAlign w:val="bottom"/>
            <w:gridSpan w:val="43"/>
          </w:tcPr>
          <w:p>
            <w:pPr>
              <w:ind w:left="140"/>
              <w:spacing w:after="0"/>
              <w:rPr>
                <w:sz w:val="20"/>
                <w:szCs w:val="20"/>
                <w:color w:val="auto"/>
              </w:rPr>
            </w:pPr>
            <w:r>
              <w:rPr>
                <w:rFonts w:ascii="Arial" w:cs="Arial" w:eastAsia="Arial" w:hAnsi="Arial"/>
                <w:sz w:val="20"/>
                <w:szCs w:val="20"/>
                <w:color w:val="auto"/>
                <w:w w:val="96"/>
              </w:rPr>
              <w:t>Appointment and Authorization of Administrative Agent.</w:t>
            </w:r>
          </w:p>
        </w:tc>
        <w:tc>
          <w:tcPr>
            <w:tcW w:w="300" w:type="dxa"/>
            <w:vAlign w:val="bottom"/>
            <w:gridSpan w:val="4"/>
          </w:tcPr>
          <w:p>
            <w:pPr>
              <w:jc w:val="right"/>
              <w:spacing w:after="0"/>
              <w:rPr>
                <w:sz w:val="20"/>
                <w:szCs w:val="20"/>
                <w:color w:val="auto"/>
              </w:rPr>
            </w:pPr>
            <w:r>
              <w:rPr>
                <w:rFonts w:ascii="Arial" w:cs="Arial" w:eastAsia="Arial" w:hAnsi="Arial"/>
                <w:sz w:val="20"/>
                <w:szCs w:val="20"/>
                <w:color w:val="FF0000"/>
                <w:strike w:val="1"/>
                <w:w w:val="83"/>
              </w:rPr>
              <w:t>133</w:t>
            </w:r>
          </w:p>
        </w:tc>
        <w:tc>
          <w:tcPr>
            <w:tcW w:w="420" w:type="dxa"/>
            <w:vAlign w:val="bottom"/>
            <w:gridSpan w:val="2"/>
          </w:tcPr>
          <w:p>
            <w:pPr>
              <w:jc w:val="right"/>
              <w:ind w:right="21"/>
              <w:spacing w:after="0"/>
              <w:rPr>
                <w:sz w:val="20"/>
                <w:szCs w:val="20"/>
                <w:color w:val="auto"/>
              </w:rPr>
            </w:pPr>
            <w:r>
              <w:rPr>
                <w:rFonts w:ascii="Arial" w:cs="Arial" w:eastAsia="Arial" w:hAnsi="Arial"/>
                <w:sz w:val="20"/>
                <w:szCs w:val="20"/>
                <w:color w:val="0000FF"/>
                <w:w w:val="83"/>
              </w:rPr>
              <w:t>136</w:t>
            </w:r>
          </w:p>
        </w:tc>
        <w:tc>
          <w:tcPr>
            <w:tcW w:w="0" w:type="dxa"/>
            <w:vAlign w:val="bottom"/>
          </w:tcPr>
          <w:p>
            <w:pPr>
              <w:spacing w:after="0"/>
              <w:rPr>
                <w:sz w:val="1"/>
                <w:szCs w:val="1"/>
                <w:color w:val="auto"/>
              </w:rPr>
            </w:pPr>
          </w:p>
        </w:tc>
      </w:tr>
      <w:tr>
        <w:trPr>
          <w:trHeight w:val="338"/>
        </w:trPr>
        <w:tc>
          <w:tcPr>
            <w:tcW w:w="1160" w:type="dxa"/>
            <w:vAlign w:val="bottom"/>
            <w:gridSpan w:val="2"/>
          </w:tcPr>
          <w:p>
            <w:pPr>
              <w:ind w:left="660"/>
              <w:spacing w:after="0"/>
              <w:rPr>
                <w:sz w:val="20"/>
                <w:szCs w:val="20"/>
                <w:color w:val="auto"/>
              </w:rPr>
            </w:pPr>
            <w:r>
              <w:rPr>
                <w:rFonts w:ascii="Arial" w:cs="Arial" w:eastAsia="Arial" w:hAnsi="Arial"/>
                <w:sz w:val="20"/>
                <w:szCs w:val="20"/>
                <w:color w:val="auto"/>
                <w:w w:val="95"/>
              </w:rPr>
              <w:t>10.02</w:t>
            </w:r>
          </w:p>
        </w:tc>
        <w:tc>
          <w:tcPr>
            <w:tcW w:w="1660" w:type="dxa"/>
            <w:vAlign w:val="bottom"/>
            <w:gridSpan w:val="4"/>
          </w:tcPr>
          <w:p>
            <w:pPr>
              <w:ind w:left="140"/>
              <w:spacing w:after="0"/>
              <w:rPr>
                <w:sz w:val="20"/>
                <w:szCs w:val="20"/>
                <w:color w:val="auto"/>
              </w:rPr>
            </w:pPr>
            <w:r>
              <w:rPr>
                <w:rFonts w:ascii="Arial" w:cs="Arial" w:eastAsia="Arial" w:hAnsi="Arial"/>
                <w:sz w:val="20"/>
                <w:szCs w:val="20"/>
                <w:color w:val="auto"/>
                <w:w w:val="86"/>
              </w:rPr>
              <w:t>Rights as a Lender.</w:t>
            </w:r>
          </w:p>
        </w:tc>
        <w:tc>
          <w:tcPr>
            <w:tcW w:w="480" w:type="dxa"/>
            <w:vAlign w:val="bottom"/>
            <w:gridSpan w:val="6"/>
          </w:tcPr>
          <w:p>
            <w:pPr>
              <w:jc w:val="right"/>
              <w:spacing w:after="0"/>
              <w:rPr>
                <w:sz w:val="20"/>
                <w:szCs w:val="20"/>
                <w:color w:val="auto"/>
              </w:rPr>
            </w:pPr>
            <w:r>
              <w:rPr>
                <w:rFonts w:ascii="Arial" w:cs="Arial" w:eastAsia="Arial" w:hAnsi="Arial"/>
                <w:sz w:val="20"/>
                <w:szCs w:val="20"/>
                <w:color w:val="FF0000"/>
                <w:strike w:val="1"/>
              </w:rPr>
              <w:t>134</w:t>
            </w:r>
          </w:p>
        </w:tc>
        <w:tc>
          <w:tcPr>
            <w:tcW w:w="380" w:type="dxa"/>
            <w:vAlign w:val="bottom"/>
            <w:gridSpan w:val="6"/>
          </w:tcPr>
          <w:p>
            <w:pPr>
              <w:jc w:val="right"/>
              <w:spacing w:after="0"/>
              <w:rPr>
                <w:sz w:val="20"/>
                <w:szCs w:val="20"/>
                <w:color w:val="auto"/>
              </w:rPr>
            </w:pPr>
            <w:r>
              <w:rPr>
                <w:rFonts w:ascii="Arial" w:cs="Arial" w:eastAsia="Arial" w:hAnsi="Arial"/>
                <w:sz w:val="20"/>
                <w:szCs w:val="20"/>
                <w:color w:val="0000FF"/>
                <w:w w:val="83"/>
              </w:rPr>
              <w:t>137</w:t>
            </w: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1160" w:type="dxa"/>
            <w:vAlign w:val="bottom"/>
            <w:gridSpan w:val="2"/>
          </w:tcPr>
          <w:p>
            <w:pPr>
              <w:ind w:left="660"/>
              <w:spacing w:after="0"/>
              <w:rPr>
                <w:sz w:val="20"/>
                <w:szCs w:val="20"/>
                <w:color w:val="auto"/>
              </w:rPr>
            </w:pPr>
            <w:r>
              <w:rPr>
                <w:rFonts w:ascii="Arial" w:cs="Arial" w:eastAsia="Arial" w:hAnsi="Arial"/>
                <w:sz w:val="20"/>
                <w:szCs w:val="20"/>
                <w:color w:val="auto"/>
                <w:w w:val="95"/>
              </w:rPr>
              <w:t>10.03</w:t>
            </w:r>
          </w:p>
        </w:tc>
        <w:tc>
          <w:tcPr>
            <w:tcW w:w="2220" w:type="dxa"/>
            <w:vAlign w:val="bottom"/>
            <w:gridSpan w:val="11"/>
          </w:tcPr>
          <w:p>
            <w:pPr>
              <w:ind w:left="140"/>
              <w:spacing w:after="0"/>
              <w:rPr>
                <w:sz w:val="20"/>
                <w:szCs w:val="20"/>
                <w:color w:val="auto"/>
              </w:rPr>
            </w:pPr>
            <w:r>
              <w:rPr>
                <w:rFonts w:ascii="Arial" w:cs="Arial" w:eastAsia="Arial" w:hAnsi="Arial"/>
                <w:sz w:val="20"/>
                <w:szCs w:val="20"/>
                <w:color w:val="auto"/>
                <w:w w:val="99"/>
              </w:rPr>
              <w:t>Exculpatory Provisions.</w:t>
            </w:r>
          </w:p>
        </w:tc>
        <w:tc>
          <w:tcPr>
            <w:tcW w:w="300" w:type="dxa"/>
            <w:vAlign w:val="bottom"/>
            <w:gridSpan w:val="5"/>
          </w:tcPr>
          <w:p>
            <w:pPr>
              <w:jc w:val="right"/>
              <w:spacing w:after="0"/>
              <w:rPr>
                <w:sz w:val="20"/>
                <w:szCs w:val="20"/>
                <w:color w:val="auto"/>
              </w:rPr>
            </w:pPr>
            <w:r>
              <w:rPr>
                <w:rFonts w:ascii="Arial" w:cs="Arial" w:eastAsia="Arial" w:hAnsi="Arial"/>
                <w:sz w:val="20"/>
                <w:szCs w:val="20"/>
                <w:color w:val="FF0000"/>
                <w:strike w:val="1"/>
                <w:w w:val="83"/>
              </w:rPr>
              <w:t>134</w:t>
            </w:r>
          </w:p>
        </w:tc>
        <w:tc>
          <w:tcPr>
            <w:tcW w:w="340" w:type="dxa"/>
            <w:vAlign w:val="bottom"/>
            <w:gridSpan w:val="4"/>
          </w:tcPr>
          <w:p>
            <w:pPr>
              <w:jc w:val="right"/>
              <w:spacing w:after="0"/>
              <w:rPr>
                <w:sz w:val="20"/>
                <w:szCs w:val="20"/>
                <w:color w:val="auto"/>
              </w:rPr>
            </w:pPr>
            <w:r>
              <w:rPr>
                <w:rFonts w:ascii="Arial" w:cs="Arial" w:eastAsia="Arial" w:hAnsi="Arial"/>
                <w:sz w:val="20"/>
                <w:szCs w:val="20"/>
                <w:color w:val="0000FF"/>
                <w:w w:val="83"/>
              </w:rPr>
              <w:t>137</w:t>
            </w: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1160" w:type="dxa"/>
            <w:vAlign w:val="bottom"/>
            <w:gridSpan w:val="2"/>
          </w:tcPr>
          <w:p>
            <w:pPr>
              <w:ind w:left="660"/>
              <w:spacing w:after="0"/>
              <w:rPr>
                <w:sz w:val="20"/>
                <w:szCs w:val="20"/>
                <w:color w:val="auto"/>
              </w:rPr>
            </w:pPr>
            <w:r>
              <w:rPr>
                <w:rFonts w:ascii="Arial" w:cs="Arial" w:eastAsia="Arial" w:hAnsi="Arial"/>
                <w:sz w:val="20"/>
                <w:szCs w:val="20"/>
                <w:color w:val="auto"/>
                <w:w w:val="95"/>
              </w:rPr>
              <w:t>10.04</w:t>
            </w:r>
          </w:p>
        </w:tc>
        <w:tc>
          <w:tcPr>
            <w:tcW w:w="2920" w:type="dxa"/>
            <w:vAlign w:val="bottom"/>
            <w:gridSpan w:val="21"/>
          </w:tcPr>
          <w:p>
            <w:pPr>
              <w:ind w:left="140"/>
              <w:spacing w:after="0"/>
              <w:rPr>
                <w:sz w:val="20"/>
                <w:szCs w:val="20"/>
                <w:color w:val="auto"/>
              </w:rPr>
            </w:pPr>
            <w:r>
              <w:rPr>
                <w:rFonts w:ascii="Arial" w:cs="Arial" w:eastAsia="Arial" w:hAnsi="Arial"/>
                <w:sz w:val="20"/>
                <w:szCs w:val="20"/>
                <w:color w:val="auto"/>
                <w:w w:val="92"/>
              </w:rPr>
              <w:t>Reliance by Administrative Agent.</w:t>
            </w:r>
          </w:p>
        </w:tc>
        <w:tc>
          <w:tcPr>
            <w:tcW w:w="120" w:type="dxa"/>
            <w:vAlign w:val="bottom"/>
          </w:tcPr>
          <w:p>
            <w:pPr>
              <w:spacing w:after="0"/>
              <w:rPr>
                <w:sz w:val="24"/>
                <w:szCs w:val="24"/>
                <w:color w:val="auto"/>
              </w:rPr>
            </w:pPr>
          </w:p>
        </w:tc>
        <w:tc>
          <w:tcPr>
            <w:tcW w:w="340" w:type="dxa"/>
            <w:vAlign w:val="bottom"/>
            <w:gridSpan w:val="4"/>
          </w:tcPr>
          <w:p>
            <w:pPr>
              <w:jc w:val="right"/>
              <w:spacing w:after="0"/>
              <w:rPr>
                <w:sz w:val="20"/>
                <w:szCs w:val="20"/>
                <w:color w:val="auto"/>
              </w:rPr>
            </w:pPr>
            <w:r>
              <w:rPr>
                <w:rFonts w:ascii="Arial" w:cs="Arial" w:eastAsia="Arial" w:hAnsi="Arial"/>
                <w:sz w:val="20"/>
                <w:szCs w:val="20"/>
                <w:color w:val="FF0000"/>
                <w:strike w:val="1"/>
                <w:w w:val="95"/>
              </w:rPr>
              <w:t>135</w:t>
            </w:r>
          </w:p>
        </w:tc>
        <w:tc>
          <w:tcPr>
            <w:tcW w:w="320" w:type="dxa"/>
            <w:vAlign w:val="bottom"/>
            <w:gridSpan w:val="5"/>
          </w:tcPr>
          <w:p>
            <w:pPr>
              <w:jc w:val="right"/>
              <w:spacing w:after="0"/>
              <w:rPr>
                <w:sz w:val="20"/>
                <w:szCs w:val="20"/>
                <w:color w:val="auto"/>
              </w:rPr>
            </w:pPr>
            <w:r>
              <w:rPr>
                <w:rFonts w:ascii="Arial" w:cs="Arial" w:eastAsia="Arial" w:hAnsi="Arial"/>
                <w:sz w:val="20"/>
                <w:szCs w:val="20"/>
                <w:color w:val="0000FF"/>
                <w:w w:val="83"/>
              </w:rPr>
              <w:t>138</w:t>
            </w: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1160" w:type="dxa"/>
            <w:vAlign w:val="bottom"/>
            <w:gridSpan w:val="2"/>
          </w:tcPr>
          <w:p>
            <w:pPr>
              <w:ind w:left="660"/>
              <w:spacing w:after="0"/>
              <w:rPr>
                <w:sz w:val="20"/>
                <w:szCs w:val="20"/>
                <w:color w:val="auto"/>
              </w:rPr>
            </w:pPr>
            <w:r>
              <w:rPr>
                <w:rFonts w:ascii="Arial" w:cs="Arial" w:eastAsia="Arial" w:hAnsi="Arial"/>
                <w:sz w:val="20"/>
                <w:szCs w:val="20"/>
                <w:color w:val="auto"/>
                <w:w w:val="95"/>
              </w:rPr>
              <w:t>10.05</w:t>
            </w:r>
          </w:p>
        </w:tc>
        <w:tc>
          <w:tcPr>
            <w:tcW w:w="1960" w:type="dxa"/>
            <w:vAlign w:val="bottom"/>
            <w:gridSpan w:val="6"/>
          </w:tcPr>
          <w:p>
            <w:pPr>
              <w:ind w:left="140"/>
              <w:spacing w:after="0"/>
              <w:rPr>
                <w:sz w:val="20"/>
                <w:szCs w:val="20"/>
                <w:color w:val="auto"/>
              </w:rPr>
            </w:pPr>
            <w:r>
              <w:rPr>
                <w:rFonts w:ascii="Arial" w:cs="Arial" w:eastAsia="Arial" w:hAnsi="Arial"/>
                <w:sz w:val="20"/>
                <w:szCs w:val="20"/>
                <w:color w:val="auto"/>
                <w:w w:val="96"/>
              </w:rPr>
              <w:t>Delegation of Duties.</w:t>
            </w:r>
          </w:p>
        </w:tc>
        <w:tc>
          <w:tcPr>
            <w:tcW w:w="20" w:type="dxa"/>
            <w:vAlign w:val="bottom"/>
          </w:tcPr>
          <w:p>
            <w:pPr>
              <w:spacing w:after="0"/>
              <w:rPr>
                <w:sz w:val="24"/>
                <w:szCs w:val="24"/>
                <w:color w:val="auto"/>
              </w:rPr>
            </w:pPr>
          </w:p>
        </w:tc>
        <w:tc>
          <w:tcPr>
            <w:tcW w:w="340" w:type="dxa"/>
            <w:vAlign w:val="bottom"/>
            <w:gridSpan w:val="7"/>
          </w:tcPr>
          <w:p>
            <w:pPr>
              <w:ind w:left="40"/>
              <w:spacing w:after="0"/>
              <w:rPr>
                <w:sz w:val="20"/>
                <w:szCs w:val="20"/>
                <w:color w:val="auto"/>
              </w:rPr>
            </w:pPr>
            <w:r>
              <w:rPr>
                <w:rFonts w:ascii="Arial" w:cs="Arial" w:eastAsia="Arial" w:hAnsi="Arial"/>
                <w:sz w:val="20"/>
                <w:szCs w:val="20"/>
                <w:color w:val="FF0000"/>
                <w:strike w:val="1"/>
                <w:w w:val="83"/>
              </w:rPr>
              <w:t>135</w:t>
            </w:r>
          </w:p>
        </w:tc>
        <w:tc>
          <w:tcPr>
            <w:tcW w:w="420" w:type="dxa"/>
            <w:vAlign w:val="bottom"/>
            <w:gridSpan w:val="5"/>
          </w:tcPr>
          <w:p>
            <w:pPr>
              <w:spacing w:after="0"/>
              <w:rPr>
                <w:sz w:val="20"/>
                <w:szCs w:val="20"/>
                <w:color w:val="auto"/>
              </w:rPr>
            </w:pPr>
            <w:r>
              <w:rPr>
                <w:rFonts w:ascii="Arial" w:cs="Arial" w:eastAsia="Arial" w:hAnsi="Arial"/>
                <w:sz w:val="20"/>
                <w:szCs w:val="20"/>
                <w:color w:val="0000FF"/>
              </w:rPr>
              <w:t>138</w:t>
            </w: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1160" w:type="dxa"/>
            <w:vAlign w:val="bottom"/>
            <w:gridSpan w:val="2"/>
          </w:tcPr>
          <w:p>
            <w:pPr>
              <w:ind w:left="660"/>
              <w:spacing w:after="0"/>
              <w:rPr>
                <w:sz w:val="20"/>
                <w:szCs w:val="20"/>
                <w:color w:val="auto"/>
              </w:rPr>
            </w:pPr>
            <w:r>
              <w:rPr>
                <w:rFonts w:ascii="Arial" w:cs="Arial" w:eastAsia="Arial" w:hAnsi="Arial"/>
                <w:sz w:val="20"/>
                <w:szCs w:val="20"/>
                <w:color w:val="auto"/>
                <w:w w:val="95"/>
              </w:rPr>
              <w:t>10.06</w:t>
            </w:r>
          </w:p>
        </w:tc>
        <w:tc>
          <w:tcPr>
            <w:tcW w:w="3600" w:type="dxa"/>
            <w:vAlign w:val="bottom"/>
            <w:gridSpan w:val="29"/>
          </w:tcPr>
          <w:p>
            <w:pPr>
              <w:ind w:left="140"/>
              <w:spacing w:after="0"/>
              <w:rPr>
                <w:sz w:val="20"/>
                <w:szCs w:val="20"/>
                <w:color w:val="auto"/>
              </w:rPr>
            </w:pPr>
            <w:r>
              <w:rPr>
                <w:rFonts w:ascii="Arial" w:cs="Arial" w:eastAsia="Arial" w:hAnsi="Arial"/>
                <w:sz w:val="20"/>
                <w:szCs w:val="20"/>
                <w:color w:val="auto"/>
                <w:w w:val="96"/>
              </w:rPr>
              <w:t>Resignation of the Administrative Agent.</w:t>
            </w:r>
          </w:p>
        </w:tc>
        <w:tc>
          <w:tcPr>
            <w:tcW w:w="300" w:type="dxa"/>
            <w:vAlign w:val="bottom"/>
            <w:gridSpan w:val="4"/>
          </w:tcPr>
          <w:p>
            <w:pPr>
              <w:spacing w:after="0"/>
              <w:rPr>
                <w:sz w:val="20"/>
                <w:szCs w:val="20"/>
                <w:color w:val="auto"/>
              </w:rPr>
            </w:pPr>
            <w:r>
              <w:rPr>
                <w:rFonts w:ascii="Arial" w:cs="Arial" w:eastAsia="Arial" w:hAnsi="Arial"/>
                <w:sz w:val="20"/>
                <w:szCs w:val="20"/>
                <w:color w:val="FF0000"/>
                <w:strike w:val="1"/>
                <w:w w:val="83"/>
              </w:rPr>
              <w:t>135</w:t>
            </w:r>
          </w:p>
        </w:tc>
        <w:tc>
          <w:tcPr>
            <w:tcW w:w="320" w:type="dxa"/>
            <w:vAlign w:val="bottom"/>
            <w:gridSpan w:val="3"/>
          </w:tcPr>
          <w:p>
            <w:pPr>
              <w:spacing w:after="0"/>
              <w:rPr>
                <w:sz w:val="20"/>
                <w:szCs w:val="20"/>
                <w:color w:val="auto"/>
              </w:rPr>
            </w:pPr>
            <w:r>
              <w:rPr>
                <w:rFonts w:ascii="Arial" w:cs="Arial" w:eastAsia="Arial" w:hAnsi="Arial"/>
                <w:sz w:val="20"/>
                <w:szCs w:val="20"/>
                <w:color w:val="0000FF"/>
                <w:w w:val="89"/>
              </w:rPr>
              <w:t>138</w:t>
            </w: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1160" w:type="dxa"/>
            <w:vAlign w:val="bottom"/>
            <w:gridSpan w:val="2"/>
          </w:tcPr>
          <w:p>
            <w:pPr>
              <w:ind w:left="660"/>
              <w:spacing w:after="0"/>
              <w:rPr>
                <w:sz w:val="20"/>
                <w:szCs w:val="20"/>
                <w:color w:val="auto"/>
              </w:rPr>
            </w:pPr>
            <w:r>
              <w:rPr>
                <w:rFonts w:ascii="Arial" w:cs="Arial" w:eastAsia="Arial" w:hAnsi="Arial"/>
                <w:sz w:val="20"/>
                <w:szCs w:val="20"/>
                <w:color w:val="auto"/>
                <w:w w:val="95"/>
              </w:rPr>
              <w:t>10.07</w:t>
            </w:r>
          </w:p>
        </w:tc>
        <w:tc>
          <w:tcPr>
            <w:tcW w:w="4880" w:type="dxa"/>
            <w:vAlign w:val="bottom"/>
            <w:gridSpan w:val="43"/>
          </w:tcPr>
          <w:p>
            <w:pPr>
              <w:ind w:left="140"/>
              <w:spacing w:after="0"/>
              <w:rPr>
                <w:sz w:val="20"/>
                <w:szCs w:val="20"/>
                <w:color w:val="auto"/>
              </w:rPr>
            </w:pPr>
            <w:r>
              <w:rPr>
                <w:rFonts w:ascii="Arial" w:cs="Arial" w:eastAsia="Arial" w:hAnsi="Arial"/>
                <w:sz w:val="20"/>
                <w:szCs w:val="20"/>
                <w:color w:val="auto"/>
                <w:w w:val="91"/>
              </w:rPr>
              <w:t>Non-Reliance on Administrative Agent and Other Lenders.</w:t>
            </w:r>
          </w:p>
        </w:tc>
        <w:tc>
          <w:tcPr>
            <w:tcW w:w="140" w:type="dxa"/>
            <w:vAlign w:val="bottom"/>
          </w:tcPr>
          <w:p>
            <w:pPr>
              <w:spacing w:after="0"/>
              <w:rPr>
                <w:sz w:val="24"/>
                <w:szCs w:val="24"/>
                <w:color w:val="auto"/>
              </w:rPr>
            </w:pPr>
          </w:p>
        </w:tc>
        <w:tc>
          <w:tcPr>
            <w:tcW w:w="280" w:type="dxa"/>
            <w:vAlign w:val="bottom"/>
            <w:gridSpan w:val="4"/>
          </w:tcPr>
          <w:p>
            <w:pPr>
              <w:jc w:val="right"/>
              <w:spacing w:after="0"/>
              <w:rPr>
                <w:sz w:val="20"/>
                <w:szCs w:val="20"/>
                <w:color w:val="auto"/>
              </w:rPr>
            </w:pPr>
            <w:r>
              <w:rPr>
                <w:rFonts w:ascii="Arial" w:cs="Arial" w:eastAsia="Arial" w:hAnsi="Arial"/>
                <w:sz w:val="20"/>
                <w:szCs w:val="20"/>
                <w:color w:val="FF0000"/>
                <w:strike w:val="1"/>
                <w:w w:val="77"/>
              </w:rPr>
              <w:t>136</w:t>
            </w:r>
          </w:p>
        </w:tc>
        <w:tc>
          <w:tcPr>
            <w:tcW w:w="300" w:type="dxa"/>
            <w:vAlign w:val="bottom"/>
          </w:tcPr>
          <w:p>
            <w:pPr>
              <w:jc w:val="right"/>
              <w:spacing w:after="0"/>
              <w:rPr>
                <w:sz w:val="20"/>
                <w:szCs w:val="20"/>
                <w:color w:val="auto"/>
              </w:rPr>
            </w:pPr>
            <w:r>
              <w:rPr>
                <w:rFonts w:ascii="Arial" w:cs="Arial" w:eastAsia="Arial" w:hAnsi="Arial"/>
                <w:sz w:val="20"/>
                <w:szCs w:val="20"/>
                <w:color w:val="0000FF"/>
                <w:w w:val="83"/>
              </w:rPr>
              <w:t>139</w:t>
            </w:r>
          </w:p>
        </w:tc>
        <w:tc>
          <w:tcPr>
            <w:tcW w:w="0" w:type="dxa"/>
            <w:vAlign w:val="bottom"/>
          </w:tcPr>
          <w:p>
            <w:pPr>
              <w:spacing w:after="0"/>
              <w:rPr>
                <w:sz w:val="1"/>
                <w:szCs w:val="1"/>
                <w:color w:val="auto"/>
              </w:rPr>
            </w:pPr>
          </w:p>
        </w:tc>
      </w:tr>
      <w:tr>
        <w:trPr>
          <w:trHeight w:val="338"/>
        </w:trPr>
        <w:tc>
          <w:tcPr>
            <w:tcW w:w="1160" w:type="dxa"/>
            <w:vAlign w:val="bottom"/>
            <w:gridSpan w:val="2"/>
          </w:tcPr>
          <w:p>
            <w:pPr>
              <w:ind w:left="660"/>
              <w:spacing w:after="0"/>
              <w:rPr>
                <w:sz w:val="20"/>
                <w:szCs w:val="20"/>
                <w:color w:val="auto"/>
              </w:rPr>
            </w:pPr>
            <w:r>
              <w:rPr>
                <w:rFonts w:ascii="Arial" w:cs="Arial" w:eastAsia="Arial" w:hAnsi="Arial"/>
                <w:sz w:val="20"/>
                <w:szCs w:val="20"/>
                <w:color w:val="auto"/>
                <w:w w:val="95"/>
              </w:rPr>
              <w:t>10.08</w:t>
            </w:r>
          </w:p>
        </w:tc>
        <w:tc>
          <w:tcPr>
            <w:tcW w:w="1660" w:type="dxa"/>
            <w:vAlign w:val="bottom"/>
            <w:gridSpan w:val="4"/>
          </w:tcPr>
          <w:p>
            <w:pPr>
              <w:ind w:left="140"/>
              <w:spacing w:after="0"/>
              <w:rPr>
                <w:sz w:val="20"/>
                <w:szCs w:val="20"/>
                <w:color w:val="auto"/>
              </w:rPr>
            </w:pPr>
            <w:r>
              <w:rPr>
                <w:rFonts w:ascii="Arial" w:cs="Arial" w:eastAsia="Arial" w:hAnsi="Arial"/>
                <w:sz w:val="20"/>
                <w:szCs w:val="20"/>
                <w:color w:val="auto"/>
              </w:rPr>
              <w:t>No Other Duties.</w:t>
            </w:r>
          </w:p>
        </w:tc>
        <w:tc>
          <w:tcPr>
            <w:tcW w:w="320" w:type="dxa"/>
            <w:vAlign w:val="bottom"/>
            <w:gridSpan w:val="3"/>
          </w:tcPr>
          <w:p>
            <w:pPr>
              <w:jc w:val="right"/>
              <w:spacing w:after="0"/>
              <w:rPr>
                <w:sz w:val="20"/>
                <w:szCs w:val="20"/>
                <w:color w:val="auto"/>
              </w:rPr>
            </w:pPr>
            <w:r>
              <w:rPr>
                <w:rFonts w:ascii="Arial" w:cs="Arial" w:eastAsia="Arial" w:hAnsi="Arial"/>
                <w:sz w:val="20"/>
                <w:szCs w:val="20"/>
                <w:color w:val="FF0000"/>
                <w:strike w:val="1"/>
                <w:w w:val="89"/>
              </w:rPr>
              <w:t>136</w:t>
            </w:r>
          </w:p>
        </w:tc>
        <w:tc>
          <w:tcPr>
            <w:tcW w:w="320" w:type="dxa"/>
            <w:vAlign w:val="bottom"/>
            <w:gridSpan w:val="6"/>
          </w:tcPr>
          <w:p>
            <w:pPr>
              <w:spacing w:after="0"/>
              <w:rPr>
                <w:sz w:val="20"/>
                <w:szCs w:val="20"/>
                <w:color w:val="auto"/>
              </w:rPr>
            </w:pPr>
            <w:r>
              <w:rPr>
                <w:rFonts w:ascii="Arial" w:cs="Arial" w:eastAsia="Arial" w:hAnsi="Arial"/>
                <w:sz w:val="20"/>
                <w:szCs w:val="20"/>
                <w:color w:val="0000FF"/>
                <w:w w:val="89"/>
              </w:rPr>
              <w:t>139</w:t>
            </w: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1160" w:type="dxa"/>
            <w:vAlign w:val="bottom"/>
            <w:gridSpan w:val="2"/>
          </w:tcPr>
          <w:p>
            <w:pPr>
              <w:ind w:left="660"/>
              <w:spacing w:after="0"/>
              <w:rPr>
                <w:sz w:val="20"/>
                <w:szCs w:val="20"/>
                <w:color w:val="auto"/>
              </w:rPr>
            </w:pPr>
            <w:r>
              <w:rPr>
                <w:rFonts w:ascii="Arial" w:cs="Arial" w:eastAsia="Arial" w:hAnsi="Arial"/>
                <w:sz w:val="20"/>
                <w:szCs w:val="20"/>
                <w:color w:val="auto"/>
                <w:w w:val="95"/>
              </w:rPr>
              <w:t>10.09</w:t>
            </w:r>
          </w:p>
        </w:tc>
        <w:tc>
          <w:tcPr>
            <w:tcW w:w="4180" w:type="dxa"/>
            <w:vAlign w:val="bottom"/>
            <w:gridSpan w:val="35"/>
          </w:tcPr>
          <w:p>
            <w:pPr>
              <w:ind w:left="140"/>
              <w:spacing w:after="0"/>
              <w:rPr>
                <w:sz w:val="20"/>
                <w:szCs w:val="20"/>
                <w:color w:val="auto"/>
              </w:rPr>
            </w:pPr>
            <w:r>
              <w:rPr>
                <w:rFonts w:ascii="Arial" w:cs="Arial" w:eastAsia="Arial" w:hAnsi="Arial"/>
                <w:sz w:val="20"/>
                <w:szCs w:val="20"/>
                <w:color w:val="auto"/>
                <w:w w:val="97"/>
              </w:rPr>
              <w:t>Administrative Agent May File Proofs of Claim.</w:t>
            </w:r>
          </w:p>
        </w:tc>
        <w:tc>
          <w:tcPr>
            <w:tcW w:w="300" w:type="dxa"/>
            <w:vAlign w:val="bottom"/>
            <w:gridSpan w:val="2"/>
          </w:tcPr>
          <w:p>
            <w:pPr>
              <w:jc w:val="right"/>
              <w:spacing w:after="0"/>
              <w:rPr>
                <w:sz w:val="20"/>
                <w:szCs w:val="20"/>
                <w:color w:val="auto"/>
              </w:rPr>
            </w:pPr>
            <w:r>
              <w:rPr>
                <w:rFonts w:ascii="Arial" w:cs="Arial" w:eastAsia="Arial" w:hAnsi="Arial"/>
                <w:sz w:val="20"/>
                <w:szCs w:val="20"/>
                <w:color w:val="FF0000"/>
                <w:strike w:val="1"/>
                <w:w w:val="83"/>
              </w:rPr>
              <w:t>136</w:t>
            </w:r>
          </w:p>
        </w:tc>
        <w:tc>
          <w:tcPr>
            <w:tcW w:w="320" w:type="dxa"/>
            <w:vAlign w:val="bottom"/>
            <w:gridSpan w:val="4"/>
          </w:tcPr>
          <w:p>
            <w:pPr>
              <w:jc w:val="right"/>
              <w:spacing w:after="0"/>
              <w:rPr>
                <w:sz w:val="20"/>
                <w:szCs w:val="20"/>
                <w:color w:val="auto"/>
              </w:rPr>
            </w:pPr>
            <w:r>
              <w:rPr>
                <w:rFonts w:ascii="Arial" w:cs="Arial" w:eastAsia="Arial" w:hAnsi="Arial"/>
                <w:sz w:val="20"/>
                <w:szCs w:val="20"/>
                <w:color w:val="0000FF"/>
                <w:w w:val="83"/>
              </w:rPr>
              <w:t>140</w:t>
            </w:r>
          </w:p>
        </w:tc>
        <w:tc>
          <w:tcPr>
            <w:tcW w:w="80" w:type="dxa"/>
            <w:vAlign w:val="bottom"/>
            <w:gridSpan w:val="2"/>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1160" w:type="dxa"/>
            <w:vAlign w:val="bottom"/>
            <w:gridSpan w:val="2"/>
          </w:tcPr>
          <w:p>
            <w:pPr>
              <w:ind w:left="660"/>
              <w:spacing w:after="0"/>
              <w:rPr>
                <w:sz w:val="20"/>
                <w:szCs w:val="20"/>
                <w:color w:val="auto"/>
              </w:rPr>
            </w:pPr>
            <w:r>
              <w:rPr>
                <w:rFonts w:ascii="Arial" w:cs="Arial" w:eastAsia="Arial" w:hAnsi="Arial"/>
                <w:sz w:val="20"/>
                <w:szCs w:val="20"/>
                <w:color w:val="auto"/>
                <w:w w:val="95"/>
              </w:rPr>
              <w:t>10.10</w:t>
            </w:r>
          </w:p>
        </w:tc>
        <w:tc>
          <w:tcPr>
            <w:tcW w:w="2920" w:type="dxa"/>
            <w:vAlign w:val="bottom"/>
            <w:gridSpan w:val="21"/>
          </w:tcPr>
          <w:p>
            <w:pPr>
              <w:ind w:left="140"/>
              <w:spacing w:after="0"/>
              <w:rPr>
                <w:sz w:val="20"/>
                <w:szCs w:val="20"/>
                <w:color w:val="auto"/>
              </w:rPr>
            </w:pPr>
            <w:r>
              <w:rPr>
                <w:rFonts w:ascii="Arial" w:cs="Arial" w:eastAsia="Arial" w:hAnsi="Arial"/>
                <w:sz w:val="20"/>
                <w:szCs w:val="20"/>
                <w:color w:val="auto"/>
                <w:w w:val="95"/>
              </w:rPr>
              <w:t>Collateral and Guaranty Matters.</w:t>
            </w:r>
          </w:p>
        </w:tc>
        <w:tc>
          <w:tcPr>
            <w:tcW w:w="300" w:type="dxa"/>
            <w:vAlign w:val="bottom"/>
            <w:gridSpan w:val="2"/>
          </w:tcPr>
          <w:p>
            <w:pPr>
              <w:jc w:val="right"/>
              <w:spacing w:after="0"/>
              <w:rPr>
                <w:sz w:val="20"/>
                <w:szCs w:val="20"/>
                <w:color w:val="auto"/>
              </w:rPr>
            </w:pPr>
            <w:r>
              <w:rPr>
                <w:rFonts w:ascii="Arial" w:cs="Arial" w:eastAsia="Arial" w:hAnsi="Arial"/>
                <w:sz w:val="20"/>
                <w:szCs w:val="20"/>
                <w:color w:val="FF0000"/>
                <w:strike w:val="1"/>
                <w:w w:val="83"/>
              </w:rPr>
              <w:t>137</w:t>
            </w:r>
          </w:p>
        </w:tc>
        <w:tc>
          <w:tcPr>
            <w:tcW w:w="380" w:type="dxa"/>
            <w:vAlign w:val="bottom"/>
            <w:gridSpan w:val="6"/>
          </w:tcPr>
          <w:p>
            <w:pPr>
              <w:jc w:val="right"/>
              <w:spacing w:after="0"/>
              <w:rPr>
                <w:sz w:val="20"/>
                <w:szCs w:val="20"/>
                <w:color w:val="auto"/>
              </w:rPr>
            </w:pPr>
            <w:r>
              <w:rPr>
                <w:rFonts w:ascii="Arial" w:cs="Arial" w:eastAsia="Arial" w:hAnsi="Arial"/>
                <w:sz w:val="20"/>
                <w:szCs w:val="20"/>
                <w:color w:val="0000FF"/>
                <w:w w:val="83"/>
              </w:rPr>
              <w:t>140</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1100" w:type="dxa"/>
            <w:vAlign w:val="bottom"/>
          </w:tcPr>
          <w:p>
            <w:pPr>
              <w:ind w:left="660"/>
              <w:spacing w:after="0"/>
              <w:rPr>
                <w:sz w:val="20"/>
                <w:szCs w:val="20"/>
                <w:color w:val="auto"/>
              </w:rPr>
            </w:pPr>
            <w:r>
              <w:rPr>
                <w:rFonts w:ascii="Arial" w:cs="Arial" w:eastAsia="Arial" w:hAnsi="Arial"/>
                <w:sz w:val="20"/>
                <w:szCs w:val="20"/>
                <w:color w:val="auto"/>
                <w:w w:val="83"/>
              </w:rPr>
              <w:t>10.11</w:t>
            </w:r>
          </w:p>
        </w:tc>
        <w:tc>
          <w:tcPr>
            <w:tcW w:w="60" w:type="dxa"/>
            <w:vAlign w:val="bottom"/>
          </w:tcPr>
          <w:p>
            <w:pPr>
              <w:spacing w:after="0"/>
              <w:rPr>
                <w:sz w:val="24"/>
                <w:szCs w:val="24"/>
                <w:color w:val="auto"/>
              </w:rPr>
            </w:pPr>
          </w:p>
        </w:tc>
        <w:tc>
          <w:tcPr>
            <w:tcW w:w="4800" w:type="dxa"/>
            <w:vAlign w:val="bottom"/>
            <w:gridSpan w:val="41"/>
          </w:tcPr>
          <w:p>
            <w:pPr>
              <w:ind w:left="140"/>
              <w:spacing w:after="0"/>
              <w:rPr>
                <w:sz w:val="20"/>
                <w:szCs w:val="20"/>
                <w:color w:val="auto"/>
              </w:rPr>
            </w:pPr>
            <w:r>
              <w:rPr>
                <w:rFonts w:ascii="Arial" w:cs="Arial" w:eastAsia="Arial" w:hAnsi="Arial"/>
                <w:sz w:val="20"/>
                <w:szCs w:val="20"/>
                <w:color w:val="auto"/>
                <w:w w:val="91"/>
              </w:rPr>
              <w:t>Swap Contracts and Treasury Management Agreements.</w:t>
            </w:r>
          </w:p>
        </w:tc>
        <w:tc>
          <w:tcPr>
            <w:tcW w:w="280" w:type="dxa"/>
            <w:vAlign w:val="bottom"/>
            <w:gridSpan w:val="4"/>
          </w:tcPr>
          <w:p>
            <w:pPr>
              <w:jc w:val="right"/>
              <w:spacing w:after="0"/>
              <w:rPr>
                <w:sz w:val="20"/>
                <w:szCs w:val="20"/>
                <w:color w:val="auto"/>
              </w:rPr>
            </w:pPr>
            <w:r>
              <w:rPr>
                <w:rFonts w:ascii="Arial" w:cs="Arial" w:eastAsia="Arial" w:hAnsi="Arial"/>
                <w:sz w:val="20"/>
                <w:szCs w:val="20"/>
                <w:color w:val="FF0000"/>
                <w:strike w:val="1"/>
                <w:w w:val="77"/>
              </w:rPr>
              <w:t>137</w:t>
            </w:r>
          </w:p>
        </w:tc>
        <w:tc>
          <w:tcPr>
            <w:tcW w:w="520" w:type="dxa"/>
            <w:vAlign w:val="bottom"/>
            <w:gridSpan w:val="4"/>
          </w:tcPr>
          <w:p>
            <w:pPr>
              <w:jc w:val="right"/>
              <w:ind w:right="121"/>
              <w:spacing w:after="0"/>
              <w:rPr>
                <w:sz w:val="20"/>
                <w:szCs w:val="20"/>
                <w:color w:val="auto"/>
              </w:rPr>
            </w:pPr>
            <w:r>
              <w:rPr>
                <w:rFonts w:ascii="Arial" w:cs="Arial" w:eastAsia="Arial" w:hAnsi="Arial"/>
                <w:sz w:val="20"/>
                <w:szCs w:val="20"/>
                <w:color w:val="0000FF"/>
                <w:w w:val="83"/>
              </w:rPr>
              <w:t>141</w:t>
            </w:r>
          </w:p>
        </w:tc>
        <w:tc>
          <w:tcPr>
            <w:tcW w:w="0" w:type="dxa"/>
            <w:vAlign w:val="bottom"/>
          </w:tcPr>
          <w:p>
            <w:pPr>
              <w:spacing w:after="0"/>
              <w:rPr>
                <w:sz w:val="1"/>
                <w:szCs w:val="1"/>
                <w:color w:val="auto"/>
              </w:rPr>
            </w:pPr>
          </w:p>
        </w:tc>
      </w:tr>
      <w:tr>
        <w:trPr>
          <w:trHeight w:val="338"/>
        </w:trPr>
        <w:tc>
          <w:tcPr>
            <w:tcW w:w="2800" w:type="dxa"/>
            <w:vAlign w:val="bottom"/>
            <w:gridSpan w:val="5"/>
          </w:tcPr>
          <w:p>
            <w:pPr>
              <w:spacing w:after="0"/>
              <w:rPr>
                <w:sz w:val="20"/>
                <w:szCs w:val="20"/>
                <w:color w:val="auto"/>
              </w:rPr>
            </w:pPr>
            <w:r>
              <w:rPr>
                <w:rFonts w:ascii="Arial" w:cs="Arial" w:eastAsia="Arial" w:hAnsi="Arial"/>
                <w:sz w:val="20"/>
                <w:szCs w:val="20"/>
                <w:color w:val="auto"/>
                <w:w w:val="97"/>
              </w:rPr>
              <w:t>ARTICLE XI MISCELLANEOUS</w:t>
            </w:r>
          </w:p>
        </w:tc>
        <w:tc>
          <w:tcPr>
            <w:tcW w:w="280" w:type="dxa"/>
            <w:vAlign w:val="bottom"/>
            <w:gridSpan w:val="2"/>
          </w:tcPr>
          <w:p>
            <w:pPr>
              <w:jc w:val="right"/>
              <w:spacing w:after="0"/>
              <w:rPr>
                <w:sz w:val="20"/>
                <w:szCs w:val="20"/>
                <w:color w:val="auto"/>
              </w:rPr>
            </w:pPr>
            <w:r>
              <w:rPr>
                <w:rFonts w:ascii="Arial" w:cs="Arial" w:eastAsia="Arial" w:hAnsi="Arial"/>
                <w:sz w:val="20"/>
                <w:szCs w:val="20"/>
                <w:color w:val="FF0000"/>
                <w:strike w:val="1"/>
                <w:w w:val="77"/>
              </w:rPr>
              <w:t>138</w:t>
            </w:r>
          </w:p>
        </w:tc>
        <w:tc>
          <w:tcPr>
            <w:tcW w:w="300" w:type="dxa"/>
            <w:vAlign w:val="bottom"/>
            <w:gridSpan w:val="6"/>
          </w:tcPr>
          <w:p>
            <w:pPr>
              <w:jc w:val="right"/>
              <w:spacing w:after="0"/>
              <w:rPr>
                <w:sz w:val="20"/>
                <w:szCs w:val="20"/>
                <w:color w:val="auto"/>
              </w:rPr>
            </w:pPr>
            <w:r>
              <w:rPr>
                <w:rFonts w:ascii="Arial" w:cs="Arial" w:eastAsia="Arial" w:hAnsi="Arial"/>
                <w:sz w:val="20"/>
                <w:szCs w:val="20"/>
                <w:color w:val="0000FF"/>
                <w:w w:val="83"/>
              </w:rPr>
              <w:t>141</w:t>
            </w: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1100" w:type="dxa"/>
            <w:vAlign w:val="bottom"/>
          </w:tcPr>
          <w:p>
            <w:pPr>
              <w:ind w:left="660"/>
              <w:spacing w:after="0"/>
              <w:rPr>
                <w:sz w:val="20"/>
                <w:szCs w:val="20"/>
                <w:color w:val="auto"/>
              </w:rPr>
            </w:pPr>
            <w:r>
              <w:rPr>
                <w:rFonts w:ascii="Arial" w:cs="Arial" w:eastAsia="Arial" w:hAnsi="Arial"/>
                <w:sz w:val="20"/>
                <w:szCs w:val="20"/>
                <w:color w:val="auto"/>
                <w:w w:val="83"/>
              </w:rPr>
              <w:t>11.01</w:t>
            </w:r>
          </w:p>
        </w:tc>
        <w:tc>
          <w:tcPr>
            <w:tcW w:w="60" w:type="dxa"/>
            <w:vAlign w:val="bottom"/>
          </w:tcPr>
          <w:p>
            <w:pPr>
              <w:spacing w:after="0"/>
              <w:rPr>
                <w:sz w:val="24"/>
                <w:szCs w:val="24"/>
                <w:color w:val="auto"/>
              </w:rPr>
            </w:pPr>
          </w:p>
        </w:tc>
        <w:tc>
          <w:tcPr>
            <w:tcW w:w="1660" w:type="dxa"/>
            <w:vAlign w:val="bottom"/>
            <w:gridSpan w:val="4"/>
          </w:tcPr>
          <w:p>
            <w:pPr>
              <w:ind w:left="140"/>
              <w:spacing w:after="0"/>
              <w:rPr>
                <w:sz w:val="20"/>
                <w:szCs w:val="20"/>
                <w:color w:val="auto"/>
              </w:rPr>
            </w:pPr>
            <w:r>
              <w:rPr>
                <w:rFonts w:ascii="Arial" w:cs="Arial" w:eastAsia="Arial" w:hAnsi="Arial"/>
                <w:sz w:val="20"/>
                <w:szCs w:val="20"/>
                <w:color w:val="auto"/>
                <w:w w:val="91"/>
              </w:rPr>
              <w:t>Amendments, Etc.</w:t>
            </w:r>
          </w:p>
        </w:tc>
        <w:tc>
          <w:tcPr>
            <w:tcW w:w="420" w:type="dxa"/>
            <w:vAlign w:val="bottom"/>
            <w:gridSpan w:val="5"/>
          </w:tcPr>
          <w:p>
            <w:pPr>
              <w:jc w:val="right"/>
              <w:spacing w:after="0"/>
              <w:rPr>
                <w:sz w:val="20"/>
                <w:szCs w:val="20"/>
                <w:color w:val="auto"/>
              </w:rPr>
            </w:pPr>
            <w:r>
              <w:rPr>
                <w:rFonts w:ascii="Arial" w:cs="Arial" w:eastAsia="Arial" w:hAnsi="Arial"/>
                <w:sz w:val="20"/>
                <w:szCs w:val="20"/>
                <w:color w:val="FF0000"/>
                <w:strike w:val="1"/>
              </w:rPr>
              <w:t>138</w:t>
            </w:r>
          </w:p>
        </w:tc>
        <w:tc>
          <w:tcPr>
            <w:tcW w:w="440" w:type="dxa"/>
            <w:vAlign w:val="bottom"/>
            <w:gridSpan w:val="7"/>
          </w:tcPr>
          <w:p>
            <w:pPr>
              <w:jc w:val="right"/>
              <w:ind w:right="41"/>
              <w:spacing w:after="0"/>
              <w:rPr>
                <w:sz w:val="20"/>
                <w:szCs w:val="20"/>
                <w:color w:val="auto"/>
              </w:rPr>
            </w:pPr>
            <w:r>
              <w:rPr>
                <w:rFonts w:ascii="Arial" w:cs="Arial" w:eastAsia="Arial" w:hAnsi="Arial"/>
                <w:sz w:val="20"/>
                <w:szCs w:val="20"/>
                <w:color w:val="0000FF"/>
                <w:w w:val="83"/>
              </w:rPr>
              <w:t>141</w:t>
            </w: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1100" w:type="dxa"/>
            <w:vAlign w:val="bottom"/>
          </w:tcPr>
          <w:p>
            <w:pPr>
              <w:ind w:left="660"/>
              <w:spacing w:after="0"/>
              <w:rPr>
                <w:sz w:val="20"/>
                <w:szCs w:val="20"/>
                <w:color w:val="auto"/>
              </w:rPr>
            </w:pPr>
            <w:r>
              <w:rPr>
                <w:rFonts w:ascii="Arial" w:cs="Arial" w:eastAsia="Arial" w:hAnsi="Arial"/>
                <w:sz w:val="20"/>
                <w:szCs w:val="20"/>
                <w:color w:val="auto"/>
                <w:w w:val="83"/>
              </w:rPr>
              <w:t>11.02</w:t>
            </w:r>
          </w:p>
        </w:tc>
        <w:tc>
          <w:tcPr>
            <w:tcW w:w="60" w:type="dxa"/>
            <w:vAlign w:val="bottom"/>
          </w:tcPr>
          <w:p>
            <w:pPr>
              <w:spacing w:after="0"/>
              <w:rPr>
                <w:sz w:val="24"/>
                <w:szCs w:val="24"/>
                <w:color w:val="auto"/>
              </w:rPr>
            </w:pPr>
          </w:p>
        </w:tc>
        <w:tc>
          <w:tcPr>
            <w:tcW w:w="4220" w:type="dxa"/>
            <w:vAlign w:val="bottom"/>
            <w:gridSpan w:val="36"/>
          </w:tcPr>
          <w:p>
            <w:pPr>
              <w:ind w:left="140"/>
              <w:spacing w:after="0"/>
              <w:rPr>
                <w:sz w:val="20"/>
                <w:szCs w:val="20"/>
                <w:color w:val="auto"/>
              </w:rPr>
            </w:pPr>
            <w:r>
              <w:rPr>
                <w:rFonts w:ascii="Arial" w:cs="Arial" w:eastAsia="Arial" w:hAnsi="Arial"/>
                <w:sz w:val="20"/>
                <w:szCs w:val="20"/>
                <w:color w:val="auto"/>
                <w:w w:val="91"/>
              </w:rPr>
              <w:t>Notices; Effectiveness; Electronic Communication.</w:t>
            </w:r>
          </w:p>
        </w:tc>
        <w:tc>
          <w:tcPr>
            <w:tcW w:w="460" w:type="dxa"/>
            <w:vAlign w:val="bottom"/>
            <w:gridSpan w:val="4"/>
          </w:tcPr>
          <w:p>
            <w:pPr>
              <w:jc w:val="right"/>
              <w:spacing w:after="0"/>
              <w:rPr>
                <w:sz w:val="20"/>
                <w:szCs w:val="20"/>
                <w:color w:val="auto"/>
              </w:rPr>
            </w:pPr>
            <w:r>
              <w:rPr>
                <w:rFonts w:ascii="Arial" w:cs="Arial" w:eastAsia="Arial" w:hAnsi="Arial"/>
                <w:sz w:val="20"/>
                <w:szCs w:val="20"/>
                <w:color w:val="FF0000"/>
                <w:strike w:val="1"/>
              </w:rPr>
              <w:t>140</w:t>
            </w:r>
          </w:p>
        </w:tc>
        <w:tc>
          <w:tcPr>
            <w:tcW w:w="340" w:type="dxa"/>
            <w:vAlign w:val="bottom"/>
            <w:gridSpan w:val="4"/>
          </w:tcPr>
          <w:p>
            <w:pPr>
              <w:jc w:val="right"/>
              <w:spacing w:after="0"/>
              <w:rPr>
                <w:sz w:val="20"/>
                <w:szCs w:val="20"/>
                <w:color w:val="auto"/>
              </w:rPr>
            </w:pPr>
            <w:r>
              <w:rPr>
                <w:rFonts w:ascii="Arial" w:cs="Arial" w:eastAsia="Arial" w:hAnsi="Arial"/>
                <w:sz w:val="20"/>
                <w:szCs w:val="20"/>
                <w:color w:val="0000FF"/>
                <w:w w:val="83"/>
              </w:rPr>
              <w:t>143</w:t>
            </w: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1100" w:type="dxa"/>
            <w:vAlign w:val="bottom"/>
          </w:tcPr>
          <w:p>
            <w:pPr>
              <w:ind w:left="660"/>
              <w:spacing w:after="0"/>
              <w:rPr>
                <w:sz w:val="20"/>
                <w:szCs w:val="20"/>
                <w:color w:val="auto"/>
              </w:rPr>
            </w:pPr>
            <w:r>
              <w:rPr>
                <w:rFonts w:ascii="Arial" w:cs="Arial" w:eastAsia="Arial" w:hAnsi="Arial"/>
                <w:sz w:val="20"/>
                <w:szCs w:val="20"/>
                <w:color w:val="auto"/>
                <w:w w:val="83"/>
              </w:rPr>
              <w:t>11.03</w:t>
            </w:r>
          </w:p>
        </w:tc>
        <w:tc>
          <w:tcPr>
            <w:tcW w:w="60" w:type="dxa"/>
            <w:vAlign w:val="bottom"/>
          </w:tcPr>
          <w:p>
            <w:pPr>
              <w:spacing w:after="0"/>
              <w:rPr>
                <w:sz w:val="24"/>
                <w:szCs w:val="24"/>
                <w:color w:val="auto"/>
              </w:rPr>
            </w:pPr>
          </w:p>
        </w:tc>
        <w:tc>
          <w:tcPr>
            <w:tcW w:w="4220" w:type="dxa"/>
            <w:vAlign w:val="bottom"/>
            <w:gridSpan w:val="36"/>
          </w:tcPr>
          <w:p>
            <w:pPr>
              <w:ind w:left="140"/>
              <w:spacing w:after="0"/>
              <w:rPr>
                <w:sz w:val="20"/>
                <w:szCs w:val="20"/>
                <w:color w:val="auto"/>
              </w:rPr>
            </w:pPr>
            <w:r>
              <w:rPr>
                <w:rFonts w:ascii="Arial" w:cs="Arial" w:eastAsia="Arial" w:hAnsi="Arial"/>
                <w:sz w:val="20"/>
                <w:szCs w:val="20"/>
                <w:color w:val="auto"/>
                <w:w w:val="94"/>
              </w:rPr>
              <w:t>No Waiver; Cumulative Remedies; Enforcement.</w:t>
            </w:r>
          </w:p>
        </w:tc>
        <w:tc>
          <w:tcPr>
            <w:tcW w:w="300" w:type="dxa"/>
            <w:vAlign w:val="bottom"/>
            <w:gridSpan w:val="2"/>
          </w:tcPr>
          <w:p>
            <w:pPr>
              <w:jc w:val="right"/>
              <w:spacing w:after="0"/>
              <w:rPr>
                <w:sz w:val="20"/>
                <w:szCs w:val="20"/>
                <w:color w:val="auto"/>
              </w:rPr>
            </w:pPr>
            <w:r>
              <w:rPr>
                <w:rFonts w:ascii="Arial" w:cs="Arial" w:eastAsia="Arial" w:hAnsi="Arial"/>
                <w:sz w:val="20"/>
                <w:szCs w:val="20"/>
                <w:color w:val="FF0000"/>
                <w:strike w:val="1"/>
                <w:w w:val="83"/>
              </w:rPr>
              <w:t>142</w:t>
            </w:r>
          </w:p>
        </w:tc>
        <w:tc>
          <w:tcPr>
            <w:tcW w:w="320" w:type="dxa"/>
            <w:vAlign w:val="bottom"/>
            <w:gridSpan w:val="4"/>
          </w:tcPr>
          <w:p>
            <w:pPr>
              <w:jc w:val="right"/>
              <w:spacing w:after="0"/>
              <w:rPr>
                <w:sz w:val="20"/>
                <w:szCs w:val="20"/>
                <w:color w:val="auto"/>
              </w:rPr>
            </w:pPr>
            <w:r>
              <w:rPr>
                <w:rFonts w:ascii="Arial" w:cs="Arial" w:eastAsia="Arial" w:hAnsi="Arial"/>
                <w:sz w:val="20"/>
                <w:szCs w:val="20"/>
                <w:color w:val="0000FF"/>
                <w:w w:val="83"/>
              </w:rPr>
              <w:t>145</w:t>
            </w: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1100" w:type="dxa"/>
            <w:vAlign w:val="bottom"/>
          </w:tcPr>
          <w:p>
            <w:pPr>
              <w:ind w:left="660"/>
              <w:spacing w:after="0"/>
              <w:rPr>
                <w:sz w:val="20"/>
                <w:szCs w:val="20"/>
                <w:color w:val="auto"/>
              </w:rPr>
            </w:pPr>
            <w:r>
              <w:rPr>
                <w:rFonts w:ascii="Arial" w:cs="Arial" w:eastAsia="Arial" w:hAnsi="Arial"/>
                <w:sz w:val="20"/>
                <w:szCs w:val="20"/>
                <w:color w:val="auto"/>
                <w:w w:val="83"/>
              </w:rPr>
              <w:t>11.04</w:t>
            </w:r>
          </w:p>
        </w:tc>
        <w:tc>
          <w:tcPr>
            <w:tcW w:w="60" w:type="dxa"/>
            <w:vAlign w:val="bottom"/>
          </w:tcPr>
          <w:p>
            <w:pPr>
              <w:spacing w:after="0"/>
              <w:rPr>
                <w:sz w:val="24"/>
                <w:szCs w:val="24"/>
                <w:color w:val="auto"/>
              </w:rPr>
            </w:pPr>
          </w:p>
        </w:tc>
        <w:tc>
          <w:tcPr>
            <w:tcW w:w="3400" w:type="dxa"/>
            <w:vAlign w:val="bottom"/>
            <w:gridSpan w:val="27"/>
          </w:tcPr>
          <w:p>
            <w:pPr>
              <w:ind w:left="140"/>
              <w:spacing w:after="0"/>
              <w:rPr>
                <w:sz w:val="20"/>
                <w:szCs w:val="20"/>
                <w:color w:val="auto"/>
              </w:rPr>
            </w:pPr>
            <w:r>
              <w:rPr>
                <w:rFonts w:ascii="Arial" w:cs="Arial" w:eastAsia="Arial" w:hAnsi="Arial"/>
                <w:sz w:val="20"/>
                <w:szCs w:val="20"/>
                <w:color w:val="auto"/>
                <w:w w:val="93"/>
              </w:rPr>
              <w:t>Expenses; Indemnity; Damage Waiver.</w:t>
            </w:r>
          </w:p>
        </w:tc>
        <w:tc>
          <w:tcPr>
            <w:tcW w:w="300" w:type="dxa"/>
            <w:vAlign w:val="bottom"/>
            <w:gridSpan w:val="4"/>
          </w:tcPr>
          <w:p>
            <w:pPr>
              <w:jc w:val="right"/>
              <w:spacing w:after="0"/>
              <w:rPr>
                <w:sz w:val="20"/>
                <w:szCs w:val="20"/>
                <w:color w:val="auto"/>
              </w:rPr>
            </w:pPr>
            <w:r>
              <w:rPr>
                <w:rFonts w:ascii="Arial" w:cs="Arial" w:eastAsia="Arial" w:hAnsi="Arial"/>
                <w:sz w:val="20"/>
                <w:szCs w:val="20"/>
                <w:color w:val="FF0000"/>
                <w:strike w:val="1"/>
                <w:w w:val="83"/>
              </w:rPr>
              <w:t>143</w:t>
            </w:r>
          </w:p>
        </w:tc>
        <w:tc>
          <w:tcPr>
            <w:tcW w:w="520" w:type="dxa"/>
            <w:vAlign w:val="bottom"/>
            <w:gridSpan w:val="5"/>
          </w:tcPr>
          <w:p>
            <w:pPr>
              <w:jc w:val="right"/>
              <w:ind w:right="121"/>
              <w:spacing w:after="0"/>
              <w:rPr>
                <w:sz w:val="20"/>
                <w:szCs w:val="20"/>
                <w:color w:val="auto"/>
              </w:rPr>
            </w:pPr>
            <w:r>
              <w:rPr>
                <w:rFonts w:ascii="Arial" w:cs="Arial" w:eastAsia="Arial" w:hAnsi="Arial"/>
                <w:sz w:val="20"/>
                <w:szCs w:val="20"/>
                <w:color w:val="0000FF"/>
                <w:w w:val="83"/>
              </w:rPr>
              <w:t>146</w:t>
            </w: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1100" w:type="dxa"/>
            <w:vAlign w:val="bottom"/>
          </w:tcPr>
          <w:p>
            <w:pPr>
              <w:ind w:left="660"/>
              <w:spacing w:after="0"/>
              <w:rPr>
                <w:sz w:val="20"/>
                <w:szCs w:val="20"/>
                <w:color w:val="auto"/>
              </w:rPr>
            </w:pPr>
            <w:r>
              <w:rPr>
                <w:rFonts w:ascii="Arial" w:cs="Arial" w:eastAsia="Arial" w:hAnsi="Arial"/>
                <w:sz w:val="20"/>
                <w:szCs w:val="20"/>
                <w:color w:val="auto"/>
                <w:w w:val="83"/>
              </w:rPr>
              <w:t>11.05</w:t>
            </w:r>
          </w:p>
        </w:tc>
        <w:tc>
          <w:tcPr>
            <w:tcW w:w="60" w:type="dxa"/>
            <w:vAlign w:val="bottom"/>
          </w:tcPr>
          <w:p>
            <w:pPr>
              <w:spacing w:after="0"/>
              <w:rPr>
                <w:sz w:val="24"/>
                <w:szCs w:val="24"/>
                <w:color w:val="auto"/>
              </w:rPr>
            </w:pPr>
          </w:p>
        </w:tc>
        <w:tc>
          <w:tcPr>
            <w:tcW w:w="1960" w:type="dxa"/>
            <w:vAlign w:val="bottom"/>
            <w:gridSpan w:val="6"/>
          </w:tcPr>
          <w:p>
            <w:pPr>
              <w:ind w:left="140"/>
              <w:spacing w:after="0"/>
              <w:rPr>
                <w:sz w:val="20"/>
                <w:szCs w:val="20"/>
                <w:color w:val="auto"/>
              </w:rPr>
            </w:pPr>
            <w:r>
              <w:rPr>
                <w:rFonts w:ascii="Arial" w:cs="Arial" w:eastAsia="Arial" w:hAnsi="Arial"/>
                <w:sz w:val="20"/>
                <w:szCs w:val="20"/>
                <w:color w:val="auto"/>
                <w:w w:val="96"/>
              </w:rPr>
              <w:t>Payments Set Aside.</w:t>
            </w:r>
          </w:p>
        </w:tc>
        <w:tc>
          <w:tcPr>
            <w:tcW w:w="300" w:type="dxa"/>
            <w:vAlign w:val="bottom"/>
            <w:gridSpan w:val="6"/>
          </w:tcPr>
          <w:p>
            <w:pPr>
              <w:jc w:val="right"/>
              <w:spacing w:after="0"/>
              <w:rPr>
                <w:sz w:val="20"/>
                <w:szCs w:val="20"/>
                <w:color w:val="auto"/>
              </w:rPr>
            </w:pPr>
            <w:r>
              <w:rPr>
                <w:rFonts w:ascii="Arial" w:cs="Arial" w:eastAsia="Arial" w:hAnsi="Arial"/>
                <w:sz w:val="20"/>
                <w:szCs w:val="20"/>
                <w:color w:val="FF0000"/>
                <w:strike w:val="1"/>
                <w:w w:val="83"/>
              </w:rPr>
              <w:t>145</w:t>
            </w:r>
          </w:p>
        </w:tc>
        <w:tc>
          <w:tcPr>
            <w:tcW w:w="300" w:type="dxa"/>
            <w:vAlign w:val="bottom"/>
            <w:gridSpan w:val="5"/>
          </w:tcPr>
          <w:p>
            <w:pPr>
              <w:jc w:val="right"/>
              <w:spacing w:after="0"/>
              <w:rPr>
                <w:sz w:val="20"/>
                <w:szCs w:val="20"/>
                <w:color w:val="auto"/>
              </w:rPr>
            </w:pPr>
            <w:r>
              <w:rPr>
                <w:rFonts w:ascii="Arial" w:cs="Arial" w:eastAsia="Arial" w:hAnsi="Arial"/>
                <w:sz w:val="20"/>
                <w:szCs w:val="20"/>
                <w:color w:val="0000FF"/>
                <w:w w:val="83"/>
              </w:rPr>
              <w:t>148</w:t>
            </w: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1100" w:type="dxa"/>
            <w:vAlign w:val="bottom"/>
          </w:tcPr>
          <w:p>
            <w:pPr>
              <w:ind w:left="660"/>
              <w:spacing w:after="0"/>
              <w:rPr>
                <w:sz w:val="20"/>
                <w:szCs w:val="20"/>
                <w:color w:val="auto"/>
              </w:rPr>
            </w:pPr>
            <w:r>
              <w:rPr>
                <w:rFonts w:ascii="Arial" w:cs="Arial" w:eastAsia="Arial" w:hAnsi="Arial"/>
                <w:sz w:val="20"/>
                <w:szCs w:val="20"/>
                <w:color w:val="auto"/>
                <w:w w:val="83"/>
              </w:rPr>
              <w:t>11.06</w:t>
            </w:r>
          </w:p>
        </w:tc>
        <w:tc>
          <w:tcPr>
            <w:tcW w:w="60" w:type="dxa"/>
            <w:vAlign w:val="bottom"/>
          </w:tcPr>
          <w:p>
            <w:pPr>
              <w:spacing w:after="0"/>
              <w:rPr>
                <w:sz w:val="24"/>
                <w:szCs w:val="24"/>
                <w:color w:val="auto"/>
              </w:rPr>
            </w:pPr>
          </w:p>
        </w:tc>
        <w:tc>
          <w:tcPr>
            <w:tcW w:w="2220" w:type="dxa"/>
            <w:vAlign w:val="bottom"/>
            <w:gridSpan w:val="11"/>
          </w:tcPr>
          <w:p>
            <w:pPr>
              <w:ind w:left="140"/>
              <w:spacing w:after="0"/>
              <w:rPr>
                <w:sz w:val="20"/>
                <w:szCs w:val="20"/>
                <w:color w:val="auto"/>
              </w:rPr>
            </w:pPr>
            <w:r>
              <w:rPr>
                <w:rFonts w:ascii="Arial" w:cs="Arial" w:eastAsia="Arial" w:hAnsi="Arial"/>
                <w:sz w:val="20"/>
                <w:szCs w:val="20"/>
                <w:color w:val="auto"/>
                <w:w w:val="92"/>
              </w:rPr>
              <w:t>Successors and Assigns.</w:t>
            </w:r>
          </w:p>
        </w:tc>
        <w:tc>
          <w:tcPr>
            <w:tcW w:w="40" w:type="dxa"/>
            <w:vAlign w:val="bottom"/>
          </w:tcPr>
          <w:p>
            <w:pPr>
              <w:spacing w:after="0"/>
              <w:rPr>
                <w:sz w:val="24"/>
                <w:szCs w:val="24"/>
                <w:color w:val="auto"/>
              </w:rPr>
            </w:pPr>
          </w:p>
        </w:tc>
        <w:tc>
          <w:tcPr>
            <w:tcW w:w="300" w:type="dxa"/>
            <w:vAlign w:val="bottom"/>
            <w:gridSpan w:val="5"/>
          </w:tcPr>
          <w:p>
            <w:pPr>
              <w:jc w:val="right"/>
              <w:spacing w:after="0"/>
              <w:rPr>
                <w:sz w:val="20"/>
                <w:szCs w:val="20"/>
                <w:color w:val="auto"/>
              </w:rPr>
            </w:pPr>
            <w:r>
              <w:rPr>
                <w:rFonts w:ascii="Arial" w:cs="Arial" w:eastAsia="Arial" w:hAnsi="Arial"/>
                <w:sz w:val="20"/>
                <w:szCs w:val="20"/>
                <w:color w:val="FF0000"/>
                <w:strike w:val="1"/>
                <w:w w:val="83"/>
              </w:rPr>
              <w:t>145</w:t>
            </w:r>
          </w:p>
        </w:tc>
        <w:tc>
          <w:tcPr>
            <w:tcW w:w="300" w:type="dxa"/>
            <w:vAlign w:val="bottom"/>
            <w:gridSpan w:val="3"/>
          </w:tcPr>
          <w:p>
            <w:pPr>
              <w:jc w:val="right"/>
              <w:spacing w:after="0"/>
              <w:rPr>
                <w:sz w:val="20"/>
                <w:szCs w:val="20"/>
                <w:color w:val="auto"/>
              </w:rPr>
            </w:pPr>
            <w:r>
              <w:rPr>
                <w:rFonts w:ascii="Arial" w:cs="Arial" w:eastAsia="Arial" w:hAnsi="Arial"/>
                <w:sz w:val="20"/>
                <w:szCs w:val="20"/>
                <w:color w:val="0000FF"/>
                <w:w w:val="77"/>
              </w:rPr>
              <w:t>148</w:t>
            </w: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1100" w:type="dxa"/>
            <w:vAlign w:val="bottom"/>
          </w:tcPr>
          <w:p>
            <w:pPr>
              <w:ind w:left="660"/>
              <w:spacing w:after="0"/>
              <w:rPr>
                <w:sz w:val="20"/>
                <w:szCs w:val="20"/>
                <w:color w:val="auto"/>
              </w:rPr>
            </w:pPr>
            <w:r>
              <w:rPr>
                <w:rFonts w:ascii="Arial" w:cs="Arial" w:eastAsia="Arial" w:hAnsi="Arial"/>
                <w:sz w:val="20"/>
                <w:szCs w:val="20"/>
                <w:color w:val="auto"/>
                <w:w w:val="83"/>
              </w:rPr>
              <w:t>11.07</w:t>
            </w:r>
          </w:p>
        </w:tc>
        <w:tc>
          <w:tcPr>
            <w:tcW w:w="60" w:type="dxa"/>
            <w:vAlign w:val="bottom"/>
          </w:tcPr>
          <w:p>
            <w:pPr>
              <w:spacing w:after="0"/>
              <w:rPr>
                <w:sz w:val="24"/>
                <w:szCs w:val="24"/>
                <w:color w:val="auto"/>
              </w:rPr>
            </w:pPr>
          </w:p>
        </w:tc>
        <w:tc>
          <w:tcPr>
            <w:tcW w:w="4220" w:type="dxa"/>
            <w:vAlign w:val="bottom"/>
            <w:gridSpan w:val="36"/>
          </w:tcPr>
          <w:p>
            <w:pPr>
              <w:ind w:left="140"/>
              <w:spacing w:after="0"/>
              <w:rPr>
                <w:sz w:val="20"/>
                <w:szCs w:val="20"/>
                <w:color w:val="auto"/>
              </w:rPr>
            </w:pPr>
            <w:r>
              <w:rPr>
                <w:rFonts w:ascii="Arial" w:cs="Arial" w:eastAsia="Arial" w:hAnsi="Arial"/>
                <w:sz w:val="20"/>
                <w:szCs w:val="20"/>
                <w:color w:val="auto"/>
                <w:w w:val="94"/>
              </w:rPr>
              <w:t>Treatment of Certain Information; Confidentiality.</w:t>
            </w:r>
          </w:p>
        </w:tc>
        <w:tc>
          <w:tcPr>
            <w:tcW w:w="380" w:type="dxa"/>
            <w:vAlign w:val="bottom"/>
            <w:gridSpan w:val="3"/>
          </w:tcPr>
          <w:p>
            <w:pPr>
              <w:jc w:val="right"/>
              <w:spacing w:after="0"/>
              <w:rPr>
                <w:sz w:val="20"/>
                <w:szCs w:val="20"/>
                <w:color w:val="auto"/>
              </w:rPr>
            </w:pPr>
            <w:r>
              <w:rPr>
                <w:rFonts w:ascii="Arial" w:cs="Arial" w:eastAsia="Arial" w:hAnsi="Arial"/>
                <w:sz w:val="20"/>
                <w:szCs w:val="20"/>
                <w:color w:val="FF0000"/>
                <w:strike w:val="1"/>
              </w:rPr>
              <w:t>150</w:t>
            </w:r>
          </w:p>
        </w:tc>
        <w:tc>
          <w:tcPr>
            <w:tcW w:w="420" w:type="dxa"/>
            <w:vAlign w:val="bottom"/>
            <w:gridSpan w:val="5"/>
          </w:tcPr>
          <w:p>
            <w:pPr>
              <w:jc w:val="right"/>
              <w:ind w:right="21"/>
              <w:spacing w:after="0"/>
              <w:rPr>
                <w:sz w:val="20"/>
                <w:szCs w:val="20"/>
                <w:color w:val="auto"/>
              </w:rPr>
            </w:pPr>
            <w:r>
              <w:rPr>
                <w:rFonts w:ascii="Arial" w:cs="Arial" w:eastAsia="Arial" w:hAnsi="Arial"/>
                <w:sz w:val="20"/>
                <w:szCs w:val="20"/>
                <w:color w:val="0000FF"/>
                <w:w w:val="83"/>
              </w:rPr>
              <w:t>153</w:t>
            </w: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81"/>
        </w:trPr>
        <w:tc>
          <w:tcPr>
            <w:tcW w:w="1100" w:type="dxa"/>
            <w:vAlign w:val="bottom"/>
            <w:vMerge w:val="restart"/>
          </w:tcPr>
          <w:p>
            <w:pPr>
              <w:spacing w:after="0"/>
              <w:rPr>
                <w:sz w:val="20"/>
                <w:szCs w:val="20"/>
                <w:color w:val="auto"/>
              </w:rPr>
            </w:pPr>
            <w:r>
              <w:rPr>
                <w:rFonts w:ascii="Arial" w:cs="Arial" w:eastAsia="Arial" w:hAnsi="Arial"/>
                <w:sz w:val="14"/>
                <w:szCs w:val="14"/>
                <w:color w:val="auto"/>
                <w:w w:val="95"/>
              </w:rPr>
              <w:t>CHAR1\1346423v</w:t>
            </w:r>
          </w:p>
        </w:tc>
        <w:tc>
          <w:tcPr>
            <w:tcW w:w="60" w:type="dxa"/>
            <w:vAlign w:val="bottom"/>
            <w:vMerge w:val="restart"/>
          </w:tcPr>
          <w:p>
            <w:pPr>
              <w:jc w:val="right"/>
              <w:spacing w:after="0"/>
              <w:rPr>
                <w:sz w:val="20"/>
                <w:szCs w:val="20"/>
                <w:color w:val="auto"/>
              </w:rPr>
            </w:pPr>
            <w:r>
              <w:rPr>
                <w:rFonts w:ascii="Arial" w:cs="Arial" w:eastAsia="Arial" w:hAnsi="Arial"/>
                <w:sz w:val="10"/>
                <w:szCs w:val="10"/>
                <w:color w:val="FF0000"/>
                <w:strike w:val="1"/>
                <w:w w:val="71"/>
              </w:rPr>
              <w:t>1</w:t>
            </w:r>
          </w:p>
        </w:tc>
        <w:tc>
          <w:tcPr>
            <w:tcW w:w="160" w:type="dxa"/>
            <w:vAlign w:val="bottom"/>
            <w:vMerge w:val="restart"/>
          </w:tcPr>
          <w:p>
            <w:pPr>
              <w:spacing w:after="0"/>
              <w:rPr>
                <w:sz w:val="20"/>
                <w:szCs w:val="20"/>
                <w:color w:val="auto"/>
              </w:rPr>
            </w:pPr>
            <w:r>
              <w:rPr>
                <w:rFonts w:ascii="Arial" w:cs="Arial" w:eastAsia="Arial" w:hAnsi="Arial"/>
                <w:sz w:val="14"/>
                <w:szCs w:val="14"/>
                <w:color w:val="0000FF"/>
                <w:w w:val="89"/>
              </w:rPr>
              <w:t>12</w:t>
            </w:r>
          </w:p>
        </w:tc>
        <w:tc>
          <w:tcPr>
            <w:tcW w:w="1200" w:type="dxa"/>
            <w:vAlign w:val="bottom"/>
            <w:vMerge w:val="restart"/>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80" w:type="dxa"/>
            <w:vAlign w:val="bottom"/>
            <w:gridSpan w:val="3"/>
          </w:tcPr>
          <w:p>
            <w:pPr>
              <w:jc w:val="right"/>
              <w:spacing w:after="0"/>
              <w:rPr>
                <w:sz w:val="20"/>
                <w:szCs w:val="20"/>
                <w:color w:val="auto"/>
              </w:rPr>
            </w:pPr>
            <w:r>
              <w:rPr>
                <w:rFonts w:ascii="Arial" w:cs="Arial" w:eastAsia="Arial" w:hAnsi="Arial"/>
                <w:sz w:val="20"/>
                <w:szCs w:val="20"/>
                <w:color w:val="auto"/>
              </w:rPr>
              <w:t>6</w:t>
            </w: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6"/>
        </w:trPr>
        <w:tc>
          <w:tcPr>
            <w:tcW w:w="1100" w:type="dxa"/>
            <w:vAlign w:val="bottom"/>
            <w:vMerge w:val="continue"/>
          </w:tcPr>
          <w:p>
            <w:pPr>
              <w:spacing w:after="0"/>
              <w:rPr>
                <w:sz w:val="11"/>
                <w:szCs w:val="11"/>
                <w:color w:val="auto"/>
              </w:rPr>
            </w:pPr>
          </w:p>
        </w:tc>
        <w:tc>
          <w:tcPr>
            <w:tcW w:w="60" w:type="dxa"/>
            <w:vAlign w:val="bottom"/>
            <w:vMerge w:val="continue"/>
          </w:tcPr>
          <w:p>
            <w:pPr>
              <w:spacing w:after="0"/>
              <w:rPr>
                <w:sz w:val="11"/>
                <w:szCs w:val="11"/>
                <w:color w:val="auto"/>
              </w:rPr>
            </w:pPr>
          </w:p>
        </w:tc>
        <w:tc>
          <w:tcPr>
            <w:tcW w:w="160" w:type="dxa"/>
            <w:vAlign w:val="bottom"/>
            <w:tcBorders>
              <w:bottom w:val="single" w:sz="8" w:color="0000FF"/>
            </w:tcBorders>
            <w:vMerge w:val="continue"/>
          </w:tcPr>
          <w:p>
            <w:pPr>
              <w:spacing w:after="0"/>
              <w:rPr>
                <w:sz w:val="11"/>
                <w:szCs w:val="11"/>
                <w:color w:val="auto"/>
              </w:rPr>
            </w:pPr>
          </w:p>
        </w:tc>
        <w:tc>
          <w:tcPr>
            <w:tcW w:w="1200" w:type="dxa"/>
            <w:vAlign w:val="bottom"/>
            <w:vMerge w:val="continue"/>
          </w:tcPr>
          <w:p>
            <w:pPr>
              <w:spacing w:after="0"/>
              <w:rPr>
                <w:sz w:val="11"/>
                <w:szCs w:val="11"/>
                <w:color w:val="auto"/>
              </w:rPr>
            </w:pPr>
          </w:p>
        </w:tc>
        <w:tc>
          <w:tcPr>
            <w:tcW w:w="300" w:type="dxa"/>
            <w:vAlign w:val="bottom"/>
            <w:gridSpan w:val="2"/>
          </w:tcPr>
          <w:p>
            <w:pPr>
              <w:spacing w:after="0"/>
              <w:rPr>
                <w:sz w:val="11"/>
                <w:szCs w:val="11"/>
                <w:color w:val="auto"/>
              </w:rPr>
            </w:pPr>
          </w:p>
        </w:tc>
        <w:tc>
          <w:tcPr>
            <w:tcW w:w="2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ectPr>
          <w:pgSz w:w="11900" w:h="16838" w:orient="portrait"/>
          <w:cols w:equalWidth="0" w:num="1">
            <w:col w:w="10219"/>
          </w:cols>
          <w:pgMar w:left="240" w:top="582" w:right="1440" w:bottom="1440" w:gutter="0" w:footer="0" w:header="0"/>
        </w:sectPr>
      </w:pPr>
    </w:p>
    <w:bookmarkStart w:id="58" w:name="page59"/>
    <w:bookmarkEnd w:id="58"/>
    <w:p>
      <w:pPr>
        <w:ind w:left="660"/>
        <w:spacing w:after="0"/>
        <w:tabs>
          <w:tab w:leader="none" w:pos="1280" w:val="left"/>
          <w:tab w:leader="none" w:pos="2700" w:val="left"/>
        </w:tabs>
        <w:rPr>
          <w:sz w:val="20"/>
          <w:szCs w:val="20"/>
          <w:color w:val="auto"/>
        </w:rPr>
      </w:pPr>
      <w:r>
        <w:rPr>
          <w:rFonts w:ascii="Arial" w:cs="Arial" w:eastAsia="Arial" w:hAnsi="Arial"/>
          <w:sz w:val="20"/>
          <w:szCs w:val="20"/>
          <w:color w:val="auto"/>
        </w:rPr>
        <w:t>11.08</w:t>
        <w:tab/>
        <w:t>Right of Setoff.</w:t>
      </w:r>
      <w:r>
        <w:rPr>
          <w:sz w:val="20"/>
          <w:szCs w:val="20"/>
          <w:color w:val="auto"/>
        </w:rPr>
        <w:tab/>
      </w:r>
      <w:r>
        <w:rPr>
          <w:rFonts w:ascii="Arial" w:cs="Arial" w:eastAsia="Arial" w:hAnsi="Arial"/>
          <w:sz w:val="16"/>
          <w:szCs w:val="16"/>
          <w:color w:val="FF0000"/>
          <w:strike w:val="1"/>
        </w:rPr>
        <w:t>150</w:t>
      </w:r>
      <w:r>
        <w:rPr>
          <w:rFonts w:ascii="Arial" w:cs="Arial" w:eastAsia="Arial" w:hAnsi="Arial"/>
          <w:sz w:val="16"/>
          <w:szCs w:val="16"/>
          <w:color w:val="0000FF"/>
          <w:strike w:val="1"/>
        </w:rPr>
        <w:t>154</w:t>
      </w:r>
    </w:p>
    <w:p>
      <w:pPr>
        <w:spacing w:after="0" w:line="108" w:lineRule="exact"/>
        <w:rPr>
          <w:sz w:val="20"/>
          <w:szCs w:val="20"/>
          <w:color w:val="auto"/>
        </w:rPr>
      </w:pPr>
    </w:p>
    <w:p>
      <w:pPr>
        <w:ind w:left="660"/>
        <w:spacing w:after="0"/>
        <w:tabs>
          <w:tab w:leader="none" w:pos="1280" w:val="left"/>
          <w:tab w:leader="none" w:pos="3400" w:val="left"/>
        </w:tabs>
        <w:rPr>
          <w:sz w:val="20"/>
          <w:szCs w:val="20"/>
          <w:color w:val="auto"/>
        </w:rPr>
      </w:pPr>
      <w:r>
        <w:rPr>
          <w:rFonts w:ascii="Arial" w:cs="Arial" w:eastAsia="Arial" w:hAnsi="Arial"/>
          <w:sz w:val="20"/>
          <w:szCs w:val="20"/>
          <w:color w:val="auto"/>
        </w:rPr>
        <w:t>11.09</w:t>
        <w:tab/>
        <w:t>Interest Rate Limitation.</w:t>
      </w:r>
      <w:r>
        <w:rPr>
          <w:sz w:val="20"/>
          <w:szCs w:val="20"/>
          <w:color w:val="auto"/>
        </w:rPr>
        <w:tab/>
      </w:r>
      <w:r>
        <w:rPr>
          <w:rFonts w:ascii="Arial" w:cs="Arial" w:eastAsia="Arial" w:hAnsi="Arial"/>
          <w:sz w:val="16"/>
          <w:szCs w:val="16"/>
          <w:color w:val="FF0000"/>
          <w:strike w:val="1"/>
        </w:rPr>
        <w:t>151</w:t>
      </w:r>
      <w:r>
        <w:rPr>
          <w:rFonts w:ascii="Arial" w:cs="Arial" w:eastAsia="Arial" w:hAnsi="Arial"/>
          <w:sz w:val="16"/>
          <w:szCs w:val="16"/>
          <w:color w:val="0000FF"/>
          <w:strike w:val="1"/>
        </w:rPr>
        <w:t>154</w:t>
      </w:r>
    </w:p>
    <w:p>
      <w:pPr>
        <w:spacing w:after="0" w:line="108" w:lineRule="exact"/>
        <w:rPr>
          <w:sz w:val="20"/>
          <w:szCs w:val="20"/>
          <w:color w:val="auto"/>
        </w:rPr>
      </w:pPr>
    </w:p>
    <w:p>
      <w:pPr>
        <w:ind w:left="660"/>
        <w:spacing w:after="0"/>
        <w:tabs>
          <w:tab w:leader="none" w:pos="1280" w:val="left"/>
          <w:tab w:leader="none" w:pos="4680" w:val="left"/>
        </w:tabs>
        <w:rPr>
          <w:sz w:val="20"/>
          <w:szCs w:val="20"/>
          <w:color w:val="auto"/>
        </w:rPr>
      </w:pPr>
      <w:r>
        <w:rPr>
          <w:rFonts w:ascii="Arial" w:cs="Arial" w:eastAsia="Arial" w:hAnsi="Arial"/>
          <w:sz w:val="20"/>
          <w:szCs w:val="20"/>
          <w:color w:val="auto"/>
        </w:rPr>
        <w:t>11.10</w:t>
        <w:tab/>
        <w:t>Counterparts; Integration; Effectiveness.</w:t>
      </w:r>
      <w:r>
        <w:rPr>
          <w:sz w:val="20"/>
          <w:szCs w:val="20"/>
          <w:color w:val="auto"/>
        </w:rPr>
        <w:tab/>
      </w:r>
      <w:r>
        <w:rPr>
          <w:rFonts w:ascii="Arial" w:cs="Arial" w:eastAsia="Arial" w:hAnsi="Arial"/>
          <w:sz w:val="16"/>
          <w:szCs w:val="16"/>
          <w:color w:val="FF0000"/>
          <w:strike w:val="1"/>
        </w:rPr>
        <w:t>151</w:t>
      </w:r>
      <w:r>
        <w:rPr>
          <w:rFonts w:ascii="Arial" w:cs="Arial" w:eastAsia="Arial" w:hAnsi="Arial"/>
          <w:sz w:val="16"/>
          <w:szCs w:val="16"/>
          <w:color w:val="0000FF"/>
          <w:strike w:val="1"/>
        </w:rPr>
        <w:t>154</w:t>
      </w:r>
    </w:p>
    <w:p>
      <w:pPr>
        <w:spacing w:after="0" w:line="108" w:lineRule="exact"/>
        <w:rPr>
          <w:sz w:val="20"/>
          <w:szCs w:val="20"/>
          <w:color w:val="auto"/>
        </w:rPr>
      </w:pPr>
    </w:p>
    <w:p>
      <w:pPr>
        <w:ind w:left="660"/>
        <w:spacing w:after="0"/>
        <w:tabs>
          <w:tab w:leader="none" w:pos="1280" w:val="left"/>
          <w:tab w:leader="none" w:pos="4960" w:val="left"/>
        </w:tabs>
        <w:rPr>
          <w:sz w:val="20"/>
          <w:szCs w:val="20"/>
          <w:color w:val="auto"/>
        </w:rPr>
      </w:pPr>
      <w:r>
        <w:rPr>
          <w:rFonts w:ascii="Arial" w:cs="Arial" w:eastAsia="Arial" w:hAnsi="Arial"/>
          <w:sz w:val="20"/>
          <w:szCs w:val="20"/>
          <w:color w:val="auto"/>
        </w:rPr>
        <w:t>11.11</w:t>
        <w:tab/>
        <w:t>Survival of Representations and Warranties.</w:t>
      </w:r>
      <w:r>
        <w:rPr>
          <w:sz w:val="20"/>
          <w:szCs w:val="20"/>
          <w:color w:val="auto"/>
        </w:rPr>
        <w:tab/>
      </w:r>
      <w:r>
        <w:rPr>
          <w:rFonts w:ascii="Arial" w:cs="Arial" w:eastAsia="Arial" w:hAnsi="Arial"/>
          <w:sz w:val="16"/>
          <w:szCs w:val="16"/>
          <w:color w:val="FF0000"/>
          <w:strike w:val="1"/>
        </w:rPr>
        <w:t>151</w:t>
      </w:r>
      <w:r>
        <w:rPr>
          <w:rFonts w:ascii="Arial" w:cs="Arial" w:eastAsia="Arial" w:hAnsi="Arial"/>
          <w:sz w:val="16"/>
          <w:szCs w:val="16"/>
          <w:color w:val="0000FF"/>
          <w:strike w:val="1"/>
        </w:rPr>
        <w:t>154</w:t>
      </w:r>
    </w:p>
    <w:p>
      <w:pPr>
        <w:spacing w:after="0" w:line="108" w:lineRule="exact"/>
        <w:rPr>
          <w:sz w:val="20"/>
          <w:szCs w:val="20"/>
          <w:color w:val="auto"/>
        </w:rPr>
      </w:pPr>
    </w:p>
    <w:p>
      <w:pPr>
        <w:ind w:left="660"/>
        <w:spacing w:after="0"/>
        <w:tabs>
          <w:tab w:leader="none" w:pos="1280" w:val="left"/>
          <w:tab w:leader="none" w:pos="2460" w:val="left"/>
        </w:tabs>
        <w:rPr>
          <w:sz w:val="20"/>
          <w:szCs w:val="20"/>
          <w:color w:val="auto"/>
        </w:rPr>
      </w:pPr>
      <w:r>
        <w:rPr>
          <w:rFonts w:ascii="Arial" w:cs="Arial" w:eastAsia="Arial" w:hAnsi="Arial"/>
          <w:sz w:val="20"/>
          <w:szCs w:val="20"/>
          <w:color w:val="auto"/>
        </w:rPr>
        <w:t>11.12</w:t>
        <w:tab/>
        <w:t>Severability.</w:t>
      </w:r>
      <w:r>
        <w:rPr>
          <w:sz w:val="20"/>
          <w:szCs w:val="20"/>
          <w:color w:val="auto"/>
        </w:rPr>
        <w:tab/>
      </w:r>
      <w:r>
        <w:rPr>
          <w:rFonts w:ascii="Arial" w:cs="Arial" w:eastAsia="Arial" w:hAnsi="Arial"/>
          <w:sz w:val="16"/>
          <w:szCs w:val="16"/>
          <w:color w:val="FF0000"/>
          <w:strike w:val="1"/>
        </w:rPr>
        <w:t>151</w:t>
      </w:r>
      <w:r>
        <w:rPr>
          <w:rFonts w:ascii="Arial" w:cs="Arial" w:eastAsia="Arial" w:hAnsi="Arial"/>
          <w:sz w:val="16"/>
          <w:szCs w:val="16"/>
          <w:color w:val="0000FF"/>
          <w:strike w:val="1"/>
        </w:rPr>
        <w:t>155</w:t>
      </w:r>
    </w:p>
    <w:p>
      <w:pPr>
        <w:spacing w:after="0" w:line="108" w:lineRule="exact"/>
        <w:rPr>
          <w:sz w:val="20"/>
          <w:szCs w:val="20"/>
          <w:color w:val="auto"/>
        </w:rPr>
      </w:pPr>
    </w:p>
    <w:p>
      <w:pPr>
        <w:ind w:left="660"/>
        <w:spacing w:after="0"/>
        <w:tabs>
          <w:tab w:leader="none" w:pos="1280" w:val="left"/>
          <w:tab w:leader="none" w:pos="3440" w:val="left"/>
        </w:tabs>
        <w:rPr>
          <w:sz w:val="20"/>
          <w:szCs w:val="20"/>
          <w:color w:val="auto"/>
        </w:rPr>
      </w:pPr>
      <w:r>
        <w:rPr>
          <w:rFonts w:ascii="Arial" w:cs="Arial" w:eastAsia="Arial" w:hAnsi="Arial"/>
          <w:sz w:val="20"/>
          <w:szCs w:val="20"/>
          <w:color w:val="auto"/>
        </w:rPr>
        <w:t>11.13</w:t>
        <w:tab/>
        <w:t>Replacement of Lenders.</w:t>
      </w:r>
      <w:r>
        <w:rPr>
          <w:sz w:val="20"/>
          <w:szCs w:val="20"/>
          <w:color w:val="auto"/>
        </w:rPr>
        <w:tab/>
      </w:r>
      <w:r>
        <w:rPr>
          <w:rFonts w:ascii="Arial" w:cs="Arial" w:eastAsia="Arial" w:hAnsi="Arial"/>
          <w:sz w:val="16"/>
          <w:szCs w:val="16"/>
          <w:color w:val="FF0000"/>
          <w:strike w:val="1"/>
        </w:rPr>
        <w:t>152</w:t>
      </w:r>
      <w:r>
        <w:rPr>
          <w:rFonts w:ascii="Arial" w:cs="Arial" w:eastAsia="Arial" w:hAnsi="Arial"/>
          <w:sz w:val="16"/>
          <w:szCs w:val="16"/>
          <w:color w:val="0000FF"/>
          <w:strike w:val="1"/>
        </w:rPr>
        <w:t>155</w:t>
      </w:r>
    </w:p>
    <w:p>
      <w:pPr>
        <w:spacing w:after="0" w:line="108" w:lineRule="exact"/>
        <w:rPr>
          <w:sz w:val="20"/>
          <w:szCs w:val="20"/>
          <w:color w:val="auto"/>
        </w:rPr>
      </w:pPr>
    </w:p>
    <w:p>
      <w:pPr>
        <w:ind w:left="660"/>
        <w:spacing w:after="0"/>
        <w:tabs>
          <w:tab w:leader="none" w:pos="1280" w:val="left"/>
          <w:tab w:leader="none" w:pos="4160" w:val="left"/>
        </w:tabs>
        <w:rPr>
          <w:sz w:val="20"/>
          <w:szCs w:val="20"/>
          <w:color w:val="auto"/>
        </w:rPr>
      </w:pPr>
      <w:r>
        <w:rPr>
          <w:rFonts w:ascii="Arial" w:cs="Arial" w:eastAsia="Arial" w:hAnsi="Arial"/>
          <w:sz w:val="20"/>
          <w:szCs w:val="20"/>
          <w:color w:val="auto"/>
        </w:rPr>
        <w:t>11.14</w:t>
        <w:tab/>
        <w:t>Governing Law; Jurisdiction; Etc.</w:t>
      </w:r>
      <w:r>
        <w:rPr>
          <w:sz w:val="20"/>
          <w:szCs w:val="20"/>
          <w:color w:val="auto"/>
        </w:rPr>
        <w:tab/>
      </w:r>
      <w:r>
        <w:rPr>
          <w:rFonts w:ascii="Arial" w:cs="Arial" w:eastAsia="Arial" w:hAnsi="Arial"/>
          <w:sz w:val="16"/>
          <w:szCs w:val="16"/>
          <w:color w:val="FF0000"/>
          <w:strike w:val="1"/>
        </w:rPr>
        <w:t>153</w:t>
      </w:r>
      <w:r>
        <w:rPr>
          <w:rFonts w:ascii="Arial" w:cs="Arial" w:eastAsia="Arial" w:hAnsi="Arial"/>
          <w:sz w:val="16"/>
          <w:szCs w:val="16"/>
          <w:color w:val="0000FF"/>
          <w:strike w:val="1"/>
        </w:rPr>
        <w:t>156</w:t>
      </w:r>
    </w:p>
    <w:p>
      <w:pPr>
        <w:spacing w:after="0" w:line="108" w:lineRule="exact"/>
        <w:rPr>
          <w:sz w:val="20"/>
          <w:szCs w:val="20"/>
          <w:color w:val="auto"/>
        </w:rPr>
      </w:pPr>
    </w:p>
    <w:p>
      <w:pPr>
        <w:ind w:left="660"/>
        <w:spacing w:after="0"/>
        <w:tabs>
          <w:tab w:leader="none" w:pos="1280" w:val="left"/>
          <w:tab w:leader="none" w:pos="3120" w:val="left"/>
        </w:tabs>
        <w:rPr>
          <w:sz w:val="20"/>
          <w:szCs w:val="20"/>
          <w:color w:val="auto"/>
        </w:rPr>
      </w:pPr>
      <w:r>
        <w:rPr>
          <w:rFonts w:ascii="Arial" w:cs="Arial" w:eastAsia="Arial" w:hAnsi="Arial"/>
          <w:sz w:val="20"/>
          <w:szCs w:val="20"/>
          <w:color w:val="auto"/>
        </w:rPr>
        <w:t>11.15</w:t>
        <w:tab/>
        <w:t>Waiver of Jury Trial.</w:t>
      </w:r>
      <w:r>
        <w:rPr>
          <w:sz w:val="20"/>
          <w:szCs w:val="20"/>
          <w:color w:val="auto"/>
        </w:rPr>
        <w:tab/>
      </w:r>
      <w:r>
        <w:rPr>
          <w:rFonts w:ascii="Arial" w:cs="Arial" w:eastAsia="Arial" w:hAnsi="Arial"/>
          <w:sz w:val="16"/>
          <w:szCs w:val="16"/>
          <w:color w:val="FF0000"/>
          <w:strike w:val="1"/>
        </w:rPr>
        <w:t>154</w:t>
      </w:r>
      <w:r>
        <w:rPr>
          <w:rFonts w:ascii="Arial" w:cs="Arial" w:eastAsia="Arial" w:hAnsi="Arial"/>
          <w:sz w:val="16"/>
          <w:szCs w:val="16"/>
          <w:color w:val="0000FF"/>
          <w:strike w:val="1"/>
        </w:rPr>
        <w:t>157</w:t>
      </w:r>
    </w:p>
    <w:p>
      <w:pPr>
        <w:spacing w:after="0" w:line="108" w:lineRule="exact"/>
        <w:rPr>
          <w:sz w:val="20"/>
          <w:szCs w:val="20"/>
          <w:color w:val="auto"/>
        </w:rPr>
      </w:pPr>
    </w:p>
    <w:p>
      <w:pPr>
        <w:ind w:left="660"/>
        <w:spacing w:after="0"/>
        <w:tabs>
          <w:tab w:leader="none" w:pos="1280" w:val="left"/>
          <w:tab w:leader="none" w:pos="4740" w:val="left"/>
        </w:tabs>
        <w:rPr>
          <w:sz w:val="20"/>
          <w:szCs w:val="20"/>
          <w:color w:val="auto"/>
        </w:rPr>
      </w:pPr>
      <w:r>
        <w:rPr>
          <w:rFonts w:ascii="Arial" w:cs="Arial" w:eastAsia="Arial" w:hAnsi="Arial"/>
          <w:sz w:val="20"/>
          <w:szCs w:val="20"/>
          <w:color w:val="auto"/>
        </w:rPr>
        <w:t>11.16</w:t>
        <w:tab/>
        <w:t>No Advisory or Fiduciary Responsibility.</w:t>
      </w:r>
      <w:r>
        <w:rPr>
          <w:sz w:val="20"/>
          <w:szCs w:val="20"/>
          <w:color w:val="auto"/>
        </w:rPr>
        <w:tab/>
      </w:r>
      <w:r>
        <w:rPr>
          <w:rFonts w:ascii="Arial" w:cs="Arial" w:eastAsia="Arial" w:hAnsi="Arial"/>
          <w:sz w:val="16"/>
          <w:szCs w:val="16"/>
          <w:color w:val="FF0000"/>
          <w:strike w:val="1"/>
        </w:rPr>
        <w:t>154</w:t>
      </w:r>
      <w:r>
        <w:rPr>
          <w:rFonts w:ascii="Arial" w:cs="Arial" w:eastAsia="Arial" w:hAnsi="Arial"/>
          <w:sz w:val="16"/>
          <w:szCs w:val="16"/>
          <w:color w:val="0000FF"/>
          <w:strike w:val="1"/>
        </w:rPr>
        <w:t>157</w:t>
      </w:r>
    </w:p>
    <w:p>
      <w:pPr>
        <w:spacing w:after="0" w:line="108" w:lineRule="exact"/>
        <w:rPr>
          <w:sz w:val="20"/>
          <w:szCs w:val="20"/>
          <w:color w:val="auto"/>
        </w:rPr>
      </w:pPr>
    </w:p>
    <w:p>
      <w:pPr>
        <w:ind w:left="660"/>
        <w:spacing w:after="0"/>
        <w:tabs>
          <w:tab w:leader="none" w:pos="1280" w:val="left"/>
          <w:tab w:leader="none" w:pos="3660" w:val="left"/>
        </w:tabs>
        <w:rPr>
          <w:sz w:val="20"/>
          <w:szCs w:val="20"/>
          <w:color w:val="auto"/>
        </w:rPr>
      </w:pPr>
      <w:r>
        <w:rPr>
          <w:rFonts w:ascii="Arial" w:cs="Arial" w:eastAsia="Arial" w:hAnsi="Arial"/>
          <w:sz w:val="20"/>
          <w:szCs w:val="20"/>
          <w:color w:val="auto"/>
        </w:rPr>
        <w:t>11.17</w:t>
        <w:tab/>
        <w:t>USA PATRIOT Act Notice.</w:t>
      </w:r>
      <w:r>
        <w:rPr>
          <w:sz w:val="20"/>
          <w:szCs w:val="20"/>
          <w:color w:val="auto"/>
        </w:rPr>
        <w:tab/>
      </w:r>
      <w:r>
        <w:rPr>
          <w:rFonts w:ascii="Arial" w:cs="Arial" w:eastAsia="Arial" w:hAnsi="Arial"/>
          <w:sz w:val="16"/>
          <w:szCs w:val="16"/>
          <w:color w:val="FF0000"/>
          <w:strike w:val="1"/>
        </w:rPr>
        <w:t>154</w:t>
      </w:r>
      <w:r>
        <w:rPr>
          <w:rFonts w:ascii="Arial" w:cs="Arial" w:eastAsia="Arial" w:hAnsi="Arial"/>
          <w:sz w:val="16"/>
          <w:szCs w:val="16"/>
          <w:color w:val="0000FF"/>
          <w:strike w:val="1"/>
        </w:rPr>
        <w:t>157</w:t>
      </w:r>
    </w:p>
    <w:p>
      <w:pPr>
        <w:spacing w:after="0" w:line="108" w:lineRule="exact"/>
        <w:rPr>
          <w:sz w:val="20"/>
          <w:szCs w:val="20"/>
          <w:color w:val="auto"/>
        </w:rPr>
      </w:pPr>
    </w:p>
    <w:p>
      <w:pPr>
        <w:ind w:left="660"/>
        <w:spacing w:after="0"/>
        <w:tabs>
          <w:tab w:leader="none" w:pos="1280" w:val="left"/>
          <w:tab w:leader="none" w:pos="3060" w:val="left"/>
        </w:tabs>
        <w:rPr>
          <w:sz w:val="20"/>
          <w:szCs w:val="20"/>
          <w:color w:val="auto"/>
        </w:rPr>
      </w:pPr>
      <w:r>
        <w:rPr>
          <w:rFonts w:ascii="Arial" w:cs="Arial" w:eastAsia="Arial" w:hAnsi="Arial"/>
          <w:sz w:val="20"/>
          <w:szCs w:val="20"/>
          <w:color w:val="auto"/>
        </w:rPr>
        <w:t>11.18</w:t>
        <w:tab/>
        <w:t>Judgment Currency.</w:t>
      </w:r>
      <w:r>
        <w:rPr>
          <w:sz w:val="20"/>
          <w:szCs w:val="20"/>
          <w:color w:val="auto"/>
        </w:rPr>
        <w:tab/>
      </w:r>
      <w:r>
        <w:rPr>
          <w:rFonts w:ascii="Arial" w:cs="Arial" w:eastAsia="Arial" w:hAnsi="Arial"/>
          <w:sz w:val="16"/>
          <w:szCs w:val="16"/>
          <w:color w:val="FF0000"/>
          <w:strike w:val="1"/>
        </w:rPr>
        <w:t>155</w:t>
      </w:r>
      <w:r>
        <w:rPr>
          <w:rFonts w:ascii="Arial" w:cs="Arial" w:eastAsia="Arial" w:hAnsi="Arial"/>
          <w:sz w:val="16"/>
          <w:szCs w:val="16"/>
          <w:color w:val="0000FF"/>
          <w:strike w:val="1"/>
        </w:rPr>
        <w:t>158</w:t>
      </w:r>
    </w:p>
    <w:p>
      <w:pPr>
        <w:spacing w:after="0" w:line="108" w:lineRule="exact"/>
        <w:rPr>
          <w:sz w:val="20"/>
          <w:szCs w:val="20"/>
          <w:color w:val="auto"/>
        </w:rPr>
      </w:pPr>
    </w:p>
    <w:p>
      <w:pPr>
        <w:ind w:left="660"/>
        <w:spacing w:after="0"/>
        <w:tabs>
          <w:tab w:leader="none" w:pos="1280" w:val="left"/>
          <w:tab w:leader="none" w:pos="6880" w:val="left"/>
        </w:tabs>
        <w:rPr>
          <w:sz w:val="20"/>
          <w:szCs w:val="20"/>
          <w:color w:val="auto"/>
        </w:rPr>
      </w:pPr>
      <w:r>
        <w:rPr>
          <w:rFonts w:ascii="Arial" w:cs="Arial" w:eastAsia="Arial" w:hAnsi="Arial"/>
          <w:sz w:val="20"/>
          <w:szCs w:val="20"/>
          <w:color w:val="auto"/>
        </w:rPr>
        <w:t>11.19</w:t>
        <w:tab/>
        <w:t>Electronic Execution of Assignments and Certain Other Documents.</w:t>
      </w:r>
      <w:r>
        <w:rPr>
          <w:sz w:val="20"/>
          <w:szCs w:val="20"/>
          <w:color w:val="auto"/>
        </w:rPr>
        <w:tab/>
      </w:r>
      <w:r>
        <w:rPr>
          <w:rFonts w:ascii="Arial" w:cs="Arial" w:eastAsia="Arial" w:hAnsi="Arial"/>
          <w:sz w:val="16"/>
          <w:szCs w:val="16"/>
          <w:color w:val="FF0000"/>
          <w:strike w:val="1"/>
        </w:rPr>
        <w:t>155</w:t>
      </w:r>
      <w:r>
        <w:rPr>
          <w:rFonts w:ascii="Arial" w:cs="Arial" w:eastAsia="Arial" w:hAnsi="Arial"/>
          <w:sz w:val="16"/>
          <w:szCs w:val="16"/>
          <w:color w:val="0000FF"/>
          <w:strike w:val="1"/>
        </w:rPr>
        <w:t>158</w:t>
      </w:r>
    </w:p>
    <w:p>
      <w:pPr>
        <w:spacing w:after="0" w:line="108" w:lineRule="exact"/>
        <w:rPr>
          <w:sz w:val="20"/>
          <w:szCs w:val="20"/>
          <w:color w:val="auto"/>
        </w:rPr>
      </w:pPr>
    </w:p>
    <w:p>
      <w:pPr>
        <w:ind w:left="660"/>
        <w:spacing w:after="0"/>
        <w:tabs>
          <w:tab w:leader="none" w:pos="1280" w:val="left"/>
          <w:tab w:leader="none" w:pos="3680" w:val="left"/>
        </w:tabs>
        <w:rPr>
          <w:sz w:val="20"/>
          <w:szCs w:val="20"/>
          <w:color w:val="auto"/>
        </w:rPr>
      </w:pPr>
      <w:r>
        <w:rPr>
          <w:rFonts w:ascii="Arial" w:cs="Arial" w:eastAsia="Arial" w:hAnsi="Arial"/>
          <w:sz w:val="20"/>
          <w:szCs w:val="20"/>
          <w:color w:val="auto"/>
        </w:rPr>
        <w:t>11.20</w:t>
        <w:tab/>
        <w:t>Designation as Senior Debt.</w:t>
      </w:r>
      <w:r>
        <w:rPr>
          <w:sz w:val="20"/>
          <w:szCs w:val="20"/>
          <w:color w:val="auto"/>
        </w:rPr>
        <w:tab/>
      </w:r>
      <w:r>
        <w:rPr>
          <w:rFonts w:ascii="Arial" w:cs="Arial" w:eastAsia="Arial" w:hAnsi="Arial"/>
          <w:sz w:val="16"/>
          <w:szCs w:val="16"/>
          <w:color w:val="FF0000"/>
          <w:strike w:val="1"/>
        </w:rPr>
        <w:t>155</w:t>
      </w:r>
      <w:r>
        <w:rPr>
          <w:rFonts w:ascii="Arial" w:cs="Arial" w:eastAsia="Arial" w:hAnsi="Arial"/>
          <w:sz w:val="16"/>
          <w:szCs w:val="16"/>
          <w:color w:val="0000FF"/>
          <w:strike w:val="1"/>
        </w:rPr>
        <w:t>158</w:t>
      </w:r>
    </w:p>
    <w:p>
      <w:pPr>
        <w:spacing w:after="0" w:line="108" w:lineRule="exact"/>
        <w:rPr>
          <w:sz w:val="20"/>
          <w:szCs w:val="20"/>
          <w:color w:val="auto"/>
        </w:rPr>
      </w:pPr>
    </w:p>
    <w:p>
      <w:pPr>
        <w:ind w:left="660"/>
        <w:spacing w:after="0"/>
        <w:tabs>
          <w:tab w:leader="none" w:pos="1280" w:val="left"/>
          <w:tab w:leader="none" w:pos="10340" w:val="left"/>
        </w:tabs>
        <w:rPr>
          <w:sz w:val="20"/>
          <w:szCs w:val="20"/>
          <w:color w:val="auto"/>
        </w:rPr>
      </w:pPr>
      <w:r>
        <w:rPr>
          <w:rFonts w:ascii="Arial" w:cs="Arial" w:eastAsia="Arial" w:hAnsi="Arial"/>
          <w:sz w:val="20"/>
          <w:szCs w:val="20"/>
          <w:color w:val="auto"/>
        </w:rPr>
        <w:t>11.21</w:t>
        <w:tab/>
        <w:t>Limitations of the German Obligors’ Liability (Preservation of German Obligors’ share capital - Stammkapital).</w:t>
      </w:r>
      <w:r>
        <w:rPr>
          <w:sz w:val="20"/>
          <w:szCs w:val="20"/>
          <w:color w:val="auto"/>
        </w:rPr>
        <w:tab/>
      </w:r>
      <w:r>
        <w:rPr>
          <w:rFonts w:ascii="Arial" w:cs="Arial" w:eastAsia="Arial" w:hAnsi="Arial"/>
          <w:sz w:val="16"/>
          <w:szCs w:val="16"/>
          <w:color w:val="FF0000"/>
          <w:strike w:val="1"/>
        </w:rPr>
        <w:t>155</w:t>
      </w:r>
      <w:r>
        <w:rPr>
          <w:rFonts w:ascii="Arial" w:cs="Arial" w:eastAsia="Arial" w:hAnsi="Arial"/>
          <w:sz w:val="16"/>
          <w:szCs w:val="16"/>
          <w:color w:val="0000FF"/>
          <w:strike w:val="1"/>
        </w:rPr>
        <w:t>158</w:t>
      </w:r>
    </w:p>
    <w:p>
      <w:pPr>
        <w:spacing w:after="0" w:line="108" w:lineRule="exact"/>
        <w:rPr>
          <w:sz w:val="20"/>
          <w:szCs w:val="20"/>
          <w:color w:val="auto"/>
        </w:rPr>
      </w:pPr>
    </w:p>
    <w:p>
      <w:pPr>
        <w:ind w:left="660"/>
        <w:spacing w:after="0"/>
        <w:tabs>
          <w:tab w:leader="none" w:pos="1280" w:val="left"/>
          <w:tab w:leader="none" w:pos="8780" w:val="left"/>
        </w:tabs>
        <w:rPr>
          <w:sz w:val="20"/>
          <w:szCs w:val="20"/>
          <w:color w:val="auto"/>
        </w:rPr>
      </w:pPr>
      <w:r>
        <w:rPr>
          <w:rFonts w:ascii="Arial" w:cs="Arial" w:eastAsia="Arial" w:hAnsi="Arial"/>
          <w:sz w:val="20"/>
          <w:szCs w:val="20"/>
          <w:color w:val="auto"/>
        </w:rPr>
        <w:t>11.22</w:t>
        <w:tab/>
        <w:t>Limitations of the German Obligors’ Liability (Compliance with Regulatory Requirements).</w:t>
      </w:r>
      <w:r>
        <w:rPr>
          <w:sz w:val="20"/>
          <w:szCs w:val="20"/>
          <w:color w:val="auto"/>
        </w:rPr>
        <w:tab/>
      </w:r>
      <w:r>
        <w:rPr>
          <w:rFonts w:ascii="Arial" w:cs="Arial" w:eastAsia="Arial" w:hAnsi="Arial"/>
          <w:sz w:val="16"/>
          <w:szCs w:val="16"/>
          <w:color w:val="FF0000"/>
          <w:strike w:val="1"/>
        </w:rPr>
        <w:t>157</w:t>
      </w:r>
      <w:r>
        <w:rPr>
          <w:rFonts w:ascii="Arial" w:cs="Arial" w:eastAsia="Arial" w:hAnsi="Arial"/>
          <w:sz w:val="16"/>
          <w:szCs w:val="16"/>
          <w:color w:val="0000FF"/>
          <w:strike w:val="1"/>
        </w:rPr>
        <w:t>160</w:t>
      </w:r>
    </w:p>
    <w:p>
      <w:pPr>
        <w:spacing w:after="0" w:line="318" w:lineRule="exact"/>
        <w:rPr>
          <w:sz w:val="20"/>
          <w:szCs w:val="20"/>
          <w:color w:val="auto"/>
        </w:rPr>
      </w:pPr>
    </w:p>
    <w:p>
      <w:pPr>
        <w:jc w:val="center"/>
        <w:ind w:right="-459"/>
        <w:spacing w:after="0"/>
        <w:rPr>
          <w:sz w:val="20"/>
          <w:szCs w:val="20"/>
          <w:color w:val="auto"/>
        </w:rPr>
      </w:pPr>
      <w:r>
        <w:rPr>
          <w:rFonts w:ascii="Arial" w:cs="Arial" w:eastAsia="Arial" w:hAnsi="Arial"/>
          <w:sz w:val="20"/>
          <w:szCs w:val="20"/>
          <w:b w:val="1"/>
          <w:bCs w:val="1"/>
          <w:u w:val="single" w:color="auto"/>
          <w:color w:val="auto"/>
        </w:rPr>
        <w:t>SCHEDULES</w:t>
      </w:r>
    </w:p>
    <w:p>
      <w:pPr>
        <w:spacing w:after="0" w:line="221" w:lineRule="exact"/>
        <w:rPr>
          <w:sz w:val="20"/>
          <w:szCs w:val="20"/>
          <w:color w:val="auto"/>
        </w:rPr>
      </w:pPr>
    </w:p>
    <w:tbl>
      <w:tblPr>
        <w:tblLayout w:type="fixed"/>
        <w:tblInd w:w="660" w:type="dxa"/>
        <w:tblCellMar>
          <w:top w:w="0" w:type="dxa"/>
          <w:left w:w="0" w:type="dxa"/>
          <w:bottom w:w="0" w:type="dxa"/>
          <w:right w:w="0" w:type="dxa"/>
        </w:tblCellMar>
      </w:tblPr>
      <w:tr>
        <w:trPr>
          <w:trHeight w:val="230"/>
        </w:trPr>
        <w:tc>
          <w:tcPr>
            <w:tcW w:w="1340" w:type="dxa"/>
            <w:vAlign w:val="bottom"/>
          </w:tcPr>
          <w:p>
            <w:pPr>
              <w:spacing w:after="0"/>
              <w:rPr>
                <w:sz w:val="20"/>
                <w:szCs w:val="20"/>
                <w:color w:val="auto"/>
              </w:rPr>
            </w:pPr>
            <w:r>
              <w:rPr>
                <w:rFonts w:ascii="Arial" w:cs="Arial" w:eastAsia="Arial" w:hAnsi="Arial"/>
                <w:sz w:val="20"/>
                <w:szCs w:val="20"/>
                <w:color w:val="FF0000"/>
                <w:strike w:val="1"/>
              </w:rPr>
              <w:t>Schedule 1.01</w:t>
            </w:r>
          </w:p>
        </w:tc>
        <w:tc>
          <w:tcPr>
            <w:tcW w:w="2800" w:type="dxa"/>
            <w:vAlign w:val="bottom"/>
          </w:tcPr>
          <w:p>
            <w:pPr>
              <w:ind w:left="140"/>
              <w:spacing w:after="0"/>
              <w:rPr>
                <w:sz w:val="20"/>
                <w:szCs w:val="20"/>
                <w:color w:val="auto"/>
              </w:rPr>
            </w:pPr>
            <w:r>
              <w:rPr>
                <w:rFonts w:ascii="Arial" w:cs="Arial" w:eastAsia="Arial" w:hAnsi="Arial"/>
                <w:sz w:val="20"/>
                <w:szCs w:val="20"/>
                <w:color w:val="FF0000"/>
                <w:strike w:val="1"/>
              </w:rPr>
              <w:t>Mandatory Cost Formulae</w:t>
            </w:r>
          </w:p>
        </w:tc>
      </w:tr>
      <w:tr>
        <w:trPr>
          <w:trHeight w:val="230"/>
        </w:trPr>
        <w:tc>
          <w:tcPr>
            <w:tcW w:w="1340" w:type="dxa"/>
            <w:vAlign w:val="bottom"/>
          </w:tcPr>
          <w:p>
            <w:pPr>
              <w:spacing w:after="0"/>
              <w:rPr>
                <w:sz w:val="20"/>
                <w:szCs w:val="20"/>
                <w:color w:val="auto"/>
              </w:rPr>
            </w:pPr>
            <w:r>
              <w:rPr>
                <w:rFonts w:ascii="Arial" w:cs="Arial" w:eastAsia="Arial" w:hAnsi="Arial"/>
                <w:sz w:val="20"/>
                <w:szCs w:val="20"/>
                <w:color w:val="auto"/>
              </w:rPr>
              <w:t>Schedule 2.01</w:t>
            </w:r>
          </w:p>
        </w:tc>
        <w:tc>
          <w:tcPr>
            <w:tcW w:w="2800" w:type="dxa"/>
            <w:vAlign w:val="bottom"/>
          </w:tcPr>
          <w:p>
            <w:pPr>
              <w:ind w:left="140"/>
              <w:spacing w:after="0"/>
              <w:rPr>
                <w:sz w:val="20"/>
                <w:szCs w:val="20"/>
                <w:color w:val="auto"/>
              </w:rPr>
            </w:pPr>
            <w:r>
              <w:rPr>
                <w:rFonts w:ascii="Arial" w:cs="Arial" w:eastAsia="Arial" w:hAnsi="Arial"/>
                <w:sz w:val="20"/>
                <w:szCs w:val="20"/>
                <w:color w:val="auto"/>
              </w:rPr>
              <w:t>Lenders and Commitments</w:t>
            </w:r>
          </w:p>
        </w:tc>
      </w:tr>
      <w:tr>
        <w:trPr>
          <w:trHeight w:val="230"/>
        </w:trPr>
        <w:tc>
          <w:tcPr>
            <w:tcW w:w="1340" w:type="dxa"/>
            <w:vAlign w:val="bottom"/>
          </w:tcPr>
          <w:p>
            <w:pPr>
              <w:spacing w:after="0"/>
              <w:rPr>
                <w:sz w:val="20"/>
                <w:szCs w:val="20"/>
                <w:color w:val="auto"/>
              </w:rPr>
            </w:pPr>
            <w:r>
              <w:rPr>
                <w:rFonts w:ascii="Arial" w:cs="Arial" w:eastAsia="Arial" w:hAnsi="Arial"/>
                <w:sz w:val="20"/>
                <w:szCs w:val="20"/>
                <w:color w:val="auto"/>
              </w:rPr>
              <w:t>Schedule 2.03</w:t>
            </w:r>
          </w:p>
        </w:tc>
        <w:tc>
          <w:tcPr>
            <w:tcW w:w="2800" w:type="dxa"/>
            <w:vAlign w:val="bottom"/>
          </w:tcPr>
          <w:p>
            <w:pPr>
              <w:ind w:left="140"/>
              <w:spacing w:after="0"/>
              <w:rPr>
                <w:sz w:val="20"/>
                <w:szCs w:val="20"/>
                <w:color w:val="auto"/>
              </w:rPr>
            </w:pPr>
            <w:r>
              <w:rPr>
                <w:rFonts w:ascii="Arial" w:cs="Arial" w:eastAsia="Arial" w:hAnsi="Arial"/>
                <w:sz w:val="20"/>
                <w:szCs w:val="20"/>
                <w:color w:val="auto"/>
              </w:rPr>
              <w:t>Existing Letters of Credit</w:t>
            </w:r>
          </w:p>
        </w:tc>
      </w:tr>
      <w:tr>
        <w:trPr>
          <w:trHeight w:val="230"/>
        </w:trPr>
        <w:tc>
          <w:tcPr>
            <w:tcW w:w="1340" w:type="dxa"/>
            <w:vAlign w:val="bottom"/>
          </w:tcPr>
          <w:p>
            <w:pPr>
              <w:spacing w:after="0"/>
              <w:rPr>
                <w:sz w:val="20"/>
                <w:szCs w:val="20"/>
                <w:color w:val="auto"/>
              </w:rPr>
            </w:pPr>
            <w:r>
              <w:rPr>
                <w:rFonts w:ascii="Arial" w:cs="Arial" w:eastAsia="Arial" w:hAnsi="Arial"/>
                <w:sz w:val="20"/>
                <w:szCs w:val="20"/>
                <w:color w:val="auto"/>
              </w:rPr>
              <w:t>Schedule 2.14</w:t>
            </w:r>
          </w:p>
        </w:tc>
        <w:tc>
          <w:tcPr>
            <w:tcW w:w="2800" w:type="dxa"/>
            <w:vAlign w:val="bottom"/>
          </w:tcPr>
          <w:p>
            <w:pPr>
              <w:ind w:left="140"/>
              <w:spacing w:after="0"/>
              <w:rPr>
                <w:sz w:val="20"/>
                <w:szCs w:val="20"/>
                <w:color w:val="auto"/>
              </w:rPr>
            </w:pPr>
            <w:r>
              <w:rPr>
                <w:rFonts w:ascii="Arial" w:cs="Arial" w:eastAsia="Arial" w:hAnsi="Arial"/>
                <w:sz w:val="20"/>
                <w:szCs w:val="20"/>
                <w:color w:val="auto"/>
              </w:rPr>
              <w:t>Designated Borrowers</w:t>
            </w:r>
          </w:p>
        </w:tc>
      </w:tr>
      <w:tr>
        <w:trPr>
          <w:trHeight w:val="230"/>
        </w:trPr>
        <w:tc>
          <w:tcPr>
            <w:tcW w:w="1340" w:type="dxa"/>
            <w:vAlign w:val="bottom"/>
          </w:tcPr>
          <w:p>
            <w:pPr>
              <w:spacing w:after="0"/>
              <w:rPr>
                <w:sz w:val="20"/>
                <w:szCs w:val="20"/>
                <w:color w:val="auto"/>
              </w:rPr>
            </w:pPr>
            <w:r>
              <w:rPr>
                <w:rFonts w:ascii="Arial" w:cs="Arial" w:eastAsia="Arial" w:hAnsi="Arial"/>
                <w:sz w:val="20"/>
                <w:szCs w:val="20"/>
                <w:color w:val="auto"/>
              </w:rPr>
              <w:t>Schedule 5.01</w:t>
            </w:r>
          </w:p>
        </w:tc>
        <w:tc>
          <w:tcPr>
            <w:tcW w:w="2800" w:type="dxa"/>
            <w:vAlign w:val="bottom"/>
          </w:tcPr>
          <w:p>
            <w:pPr>
              <w:ind w:left="140"/>
              <w:spacing w:after="0"/>
              <w:rPr>
                <w:sz w:val="20"/>
                <w:szCs w:val="20"/>
                <w:color w:val="auto"/>
              </w:rPr>
            </w:pPr>
            <w:r>
              <w:rPr>
                <w:rFonts w:ascii="Arial" w:cs="Arial" w:eastAsia="Arial" w:hAnsi="Arial"/>
                <w:sz w:val="20"/>
                <w:szCs w:val="20"/>
                <w:color w:val="auto"/>
                <w:w w:val="89"/>
              </w:rPr>
              <w:t>Schedule of Closing Deliverables</w:t>
            </w:r>
          </w:p>
        </w:tc>
      </w:tr>
      <w:tr>
        <w:trPr>
          <w:trHeight w:val="230"/>
        </w:trPr>
        <w:tc>
          <w:tcPr>
            <w:tcW w:w="1340" w:type="dxa"/>
            <w:vAlign w:val="bottom"/>
          </w:tcPr>
          <w:p>
            <w:pPr>
              <w:spacing w:after="0"/>
              <w:rPr>
                <w:sz w:val="20"/>
                <w:szCs w:val="20"/>
                <w:color w:val="auto"/>
              </w:rPr>
            </w:pPr>
            <w:r>
              <w:rPr>
                <w:rFonts w:ascii="Arial" w:cs="Arial" w:eastAsia="Arial" w:hAnsi="Arial"/>
                <w:sz w:val="20"/>
                <w:szCs w:val="20"/>
                <w:color w:val="auto"/>
              </w:rPr>
              <w:t>Schedule 6.14</w:t>
            </w:r>
          </w:p>
        </w:tc>
        <w:tc>
          <w:tcPr>
            <w:tcW w:w="2800" w:type="dxa"/>
            <w:vAlign w:val="bottom"/>
          </w:tcPr>
          <w:p>
            <w:pPr>
              <w:ind w:left="140"/>
              <w:spacing w:after="0"/>
              <w:rPr>
                <w:sz w:val="20"/>
                <w:szCs w:val="20"/>
                <w:color w:val="auto"/>
              </w:rPr>
            </w:pPr>
            <w:r>
              <w:rPr>
                <w:rFonts w:ascii="Arial" w:cs="Arial" w:eastAsia="Arial" w:hAnsi="Arial"/>
                <w:sz w:val="20"/>
                <w:szCs w:val="20"/>
                <w:color w:val="auto"/>
              </w:rPr>
              <w:t>Subsidiaries</w:t>
            </w:r>
          </w:p>
        </w:tc>
      </w:tr>
      <w:tr>
        <w:trPr>
          <w:trHeight w:val="230"/>
        </w:trPr>
        <w:tc>
          <w:tcPr>
            <w:tcW w:w="1340" w:type="dxa"/>
            <w:vAlign w:val="bottom"/>
          </w:tcPr>
          <w:p>
            <w:pPr>
              <w:spacing w:after="0"/>
              <w:rPr>
                <w:sz w:val="20"/>
                <w:szCs w:val="20"/>
                <w:color w:val="auto"/>
              </w:rPr>
            </w:pPr>
            <w:r>
              <w:rPr>
                <w:rFonts w:ascii="Arial" w:cs="Arial" w:eastAsia="Arial" w:hAnsi="Arial"/>
                <w:sz w:val="20"/>
                <w:szCs w:val="20"/>
                <w:color w:val="auto"/>
              </w:rPr>
              <w:t>Schedule 6.18</w:t>
            </w:r>
          </w:p>
        </w:tc>
        <w:tc>
          <w:tcPr>
            <w:tcW w:w="2800" w:type="dxa"/>
            <w:vAlign w:val="bottom"/>
          </w:tcPr>
          <w:p>
            <w:pPr>
              <w:ind w:left="140"/>
              <w:spacing w:after="0"/>
              <w:rPr>
                <w:sz w:val="20"/>
                <w:szCs w:val="20"/>
                <w:color w:val="auto"/>
              </w:rPr>
            </w:pPr>
            <w:r>
              <w:rPr>
                <w:rFonts w:ascii="Arial" w:cs="Arial" w:eastAsia="Arial" w:hAnsi="Arial"/>
                <w:sz w:val="20"/>
                <w:szCs w:val="20"/>
                <w:color w:val="auto"/>
                <w:w w:val="91"/>
              </w:rPr>
              <w:t>Taxpayer Identification Numbers</w:t>
            </w:r>
          </w:p>
        </w:tc>
      </w:tr>
      <w:tr>
        <w:trPr>
          <w:trHeight w:val="230"/>
        </w:trPr>
        <w:tc>
          <w:tcPr>
            <w:tcW w:w="1340" w:type="dxa"/>
            <w:vAlign w:val="bottom"/>
          </w:tcPr>
          <w:p>
            <w:pPr>
              <w:spacing w:after="0"/>
              <w:rPr>
                <w:sz w:val="20"/>
                <w:szCs w:val="20"/>
                <w:color w:val="auto"/>
              </w:rPr>
            </w:pPr>
            <w:r>
              <w:rPr>
                <w:rFonts w:ascii="Arial" w:cs="Arial" w:eastAsia="Arial" w:hAnsi="Arial"/>
                <w:sz w:val="20"/>
                <w:szCs w:val="20"/>
                <w:color w:val="auto"/>
              </w:rPr>
              <w:t>Schedule 8.01</w:t>
            </w:r>
          </w:p>
        </w:tc>
        <w:tc>
          <w:tcPr>
            <w:tcW w:w="2800" w:type="dxa"/>
            <w:vAlign w:val="bottom"/>
          </w:tcPr>
          <w:p>
            <w:pPr>
              <w:ind w:left="140"/>
              <w:spacing w:after="0"/>
              <w:rPr>
                <w:sz w:val="20"/>
                <w:szCs w:val="20"/>
                <w:color w:val="auto"/>
              </w:rPr>
            </w:pPr>
            <w:r>
              <w:rPr>
                <w:rFonts w:ascii="Arial" w:cs="Arial" w:eastAsia="Arial" w:hAnsi="Arial"/>
                <w:sz w:val="20"/>
                <w:szCs w:val="20"/>
                <w:color w:val="auto"/>
              </w:rPr>
              <w:t>Existing Liens</w:t>
            </w:r>
          </w:p>
        </w:tc>
      </w:tr>
      <w:tr>
        <w:trPr>
          <w:trHeight w:val="230"/>
        </w:trPr>
        <w:tc>
          <w:tcPr>
            <w:tcW w:w="1340" w:type="dxa"/>
            <w:vAlign w:val="bottom"/>
          </w:tcPr>
          <w:p>
            <w:pPr>
              <w:spacing w:after="0"/>
              <w:rPr>
                <w:sz w:val="20"/>
                <w:szCs w:val="20"/>
                <w:color w:val="auto"/>
              </w:rPr>
            </w:pPr>
            <w:r>
              <w:rPr>
                <w:rFonts w:ascii="Arial" w:cs="Arial" w:eastAsia="Arial" w:hAnsi="Arial"/>
                <w:sz w:val="20"/>
                <w:szCs w:val="20"/>
                <w:color w:val="auto"/>
              </w:rPr>
              <w:t>Schedule 8.02</w:t>
            </w:r>
          </w:p>
        </w:tc>
        <w:tc>
          <w:tcPr>
            <w:tcW w:w="2800" w:type="dxa"/>
            <w:vAlign w:val="bottom"/>
          </w:tcPr>
          <w:p>
            <w:pPr>
              <w:ind w:left="140"/>
              <w:spacing w:after="0"/>
              <w:rPr>
                <w:sz w:val="20"/>
                <w:szCs w:val="20"/>
                <w:color w:val="auto"/>
              </w:rPr>
            </w:pPr>
            <w:r>
              <w:rPr>
                <w:rFonts w:ascii="Arial" w:cs="Arial" w:eastAsia="Arial" w:hAnsi="Arial"/>
                <w:sz w:val="20"/>
                <w:szCs w:val="20"/>
                <w:color w:val="auto"/>
              </w:rPr>
              <w:t>Existing Investments</w:t>
            </w:r>
          </w:p>
        </w:tc>
      </w:tr>
      <w:tr>
        <w:trPr>
          <w:trHeight w:val="230"/>
        </w:trPr>
        <w:tc>
          <w:tcPr>
            <w:tcW w:w="1340" w:type="dxa"/>
            <w:vAlign w:val="bottom"/>
          </w:tcPr>
          <w:p>
            <w:pPr>
              <w:spacing w:after="0"/>
              <w:rPr>
                <w:sz w:val="20"/>
                <w:szCs w:val="20"/>
                <w:color w:val="auto"/>
              </w:rPr>
            </w:pPr>
            <w:r>
              <w:rPr>
                <w:rFonts w:ascii="Arial" w:cs="Arial" w:eastAsia="Arial" w:hAnsi="Arial"/>
                <w:sz w:val="20"/>
                <w:szCs w:val="20"/>
                <w:color w:val="auto"/>
              </w:rPr>
              <w:t>Schedule 8.03</w:t>
            </w:r>
          </w:p>
        </w:tc>
        <w:tc>
          <w:tcPr>
            <w:tcW w:w="2800" w:type="dxa"/>
            <w:vAlign w:val="bottom"/>
          </w:tcPr>
          <w:p>
            <w:pPr>
              <w:ind w:left="140"/>
              <w:spacing w:after="0"/>
              <w:rPr>
                <w:sz w:val="20"/>
                <w:szCs w:val="20"/>
                <w:color w:val="auto"/>
              </w:rPr>
            </w:pPr>
            <w:r>
              <w:rPr>
                <w:rFonts w:ascii="Arial" w:cs="Arial" w:eastAsia="Arial" w:hAnsi="Arial"/>
                <w:sz w:val="20"/>
                <w:szCs w:val="20"/>
                <w:color w:val="auto"/>
              </w:rPr>
              <w:t>Existing Indebtedness</w:t>
            </w:r>
          </w:p>
        </w:tc>
      </w:tr>
      <w:tr>
        <w:trPr>
          <w:trHeight w:val="230"/>
        </w:trPr>
        <w:tc>
          <w:tcPr>
            <w:tcW w:w="1340" w:type="dxa"/>
            <w:vAlign w:val="bottom"/>
          </w:tcPr>
          <w:p>
            <w:pPr>
              <w:spacing w:after="0"/>
              <w:rPr>
                <w:sz w:val="20"/>
                <w:szCs w:val="20"/>
                <w:color w:val="auto"/>
              </w:rPr>
            </w:pPr>
            <w:r>
              <w:rPr>
                <w:rFonts w:ascii="Arial" w:cs="Arial" w:eastAsia="Arial" w:hAnsi="Arial"/>
                <w:sz w:val="20"/>
                <w:szCs w:val="20"/>
                <w:color w:val="auto"/>
              </w:rPr>
              <w:t>Schedule 8.08</w:t>
            </w:r>
          </w:p>
        </w:tc>
        <w:tc>
          <w:tcPr>
            <w:tcW w:w="2800" w:type="dxa"/>
            <w:vAlign w:val="bottom"/>
          </w:tcPr>
          <w:p>
            <w:pPr>
              <w:ind w:left="140"/>
              <w:spacing w:after="0"/>
              <w:rPr>
                <w:sz w:val="20"/>
                <w:szCs w:val="20"/>
                <w:color w:val="auto"/>
              </w:rPr>
            </w:pPr>
            <w:r>
              <w:rPr>
                <w:rFonts w:ascii="Arial" w:cs="Arial" w:eastAsia="Arial" w:hAnsi="Arial"/>
                <w:sz w:val="20"/>
                <w:szCs w:val="20"/>
                <w:color w:val="auto"/>
              </w:rPr>
              <w:t>Transactions with Affiliates</w:t>
            </w:r>
          </w:p>
        </w:tc>
      </w:tr>
      <w:tr>
        <w:trPr>
          <w:trHeight w:val="250"/>
        </w:trPr>
        <w:tc>
          <w:tcPr>
            <w:tcW w:w="1340" w:type="dxa"/>
            <w:vAlign w:val="bottom"/>
          </w:tcPr>
          <w:p>
            <w:pPr>
              <w:spacing w:after="0"/>
              <w:rPr>
                <w:sz w:val="20"/>
                <w:szCs w:val="20"/>
                <w:color w:val="auto"/>
              </w:rPr>
            </w:pPr>
            <w:r>
              <w:rPr>
                <w:rFonts w:ascii="Arial" w:cs="Arial" w:eastAsia="Arial" w:hAnsi="Arial"/>
                <w:sz w:val="20"/>
                <w:szCs w:val="20"/>
                <w:color w:val="auto"/>
                <w:w w:val="94"/>
              </w:rPr>
              <w:t>Schedule 11.02</w:t>
            </w:r>
          </w:p>
        </w:tc>
        <w:tc>
          <w:tcPr>
            <w:tcW w:w="2800" w:type="dxa"/>
            <w:vAlign w:val="bottom"/>
          </w:tcPr>
          <w:p>
            <w:pPr>
              <w:ind w:left="220"/>
              <w:spacing w:after="0"/>
              <w:rPr>
                <w:sz w:val="20"/>
                <w:szCs w:val="20"/>
                <w:color w:val="auto"/>
              </w:rPr>
            </w:pPr>
            <w:r>
              <w:rPr>
                <w:rFonts w:ascii="Arial" w:cs="Arial" w:eastAsia="Arial" w:hAnsi="Arial"/>
                <w:sz w:val="20"/>
                <w:szCs w:val="20"/>
                <w:color w:val="auto"/>
              </w:rPr>
              <w:t>Notice Addresses</w:t>
            </w:r>
          </w:p>
        </w:tc>
      </w:tr>
    </w:tbl>
    <w:p>
      <w:pPr>
        <w:spacing w:after="0" w:line="200" w:lineRule="exact"/>
        <w:rPr>
          <w:sz w:val="20"/>
          <w:szCs w:val="20"/>
          <w:color w:val="auto"/>
        </w:rPr>
      </w:pPr>
    </w:p>
    <w:p>
      <w:pPr>
        <w:spacing w:after="0" w:line="205" w:lineRule="exact"/>
        <w:rPr>
          <w:sz w:val="20"/>
          <w:szCs w:val="20"/>
          <w:color w:val="auto"/>
        </w:rPr>
      </w:pPr>
    </w:p>
    <w:p>
      <w:pPr>
        <w:jc w:val="center"/>
        <w:ind w:right="-459"/>
        <w:spacing w:after="0"/>
        <w:rPr>
          <w:sz w:val="20"/>
          <w:szCs w:val="20"/>
          <w:color w:val="auto"/>
        </w:rPr>
      </w:pPr>
      <w:r>
        <w:rPr>
          <w:rFonts w:ascii="Arial" w:cs="Arial" w:eastAsia="Arial" w:hAnsi="Arial"/>
          <w:sz w:val="20"/>
          <w:szCs w:val="20"/>
          <w:b w:val="1"/>
          <w:bCs w:val="1"/>
          <w:u w:val="single" w:color="auto"/>
          <w:color w:val="auto"/>
        </w:rPr>
        <w:t>EXHIBITS</w:t>
      </w:r>
    </w:p>
    <w:p>
      <w:pPr>
        <w:spacing w:after="0" w:line="222" w:lineRule="exact"/>
        <w:rPr>
          <w:sz w:val="20"/>
          <w:szCs w:val="20"/>
          <w:color w:val="auto"/>
        </w:rPr>
      </w:pPr>
    </w:p>
    <w:p>
      <w:pPr>
        <w:ind w:left="660"/>
        <w:spacing w:after="0"/>
        <w:tabs>
          <w:tab w:leader="none" w:pos="1980" w:val="left"/>
        </w:tabs>
        <w:rPr>
          <w:sz w:val="20"/>
          <w:szCs w:val="20"/>
          <w:color w:val="auto"/>
        </w:rPr>
      </w:pPr>
      <w:r>
        <w:rPr>
          <w:rFonts w:ascii="Arial" w:cs="Arial" w:eastAsia="Arial" w:hAnsi="Arial"/>
          <w:sz w:val="20"/>
          <w:szCs w:val="20"/>
          <w:color w:val="auto"/>
        </w:rPr>
        <w:t>Exhibit 2.01</w:t>
      </w:r>
      <w:r>
        <w:rPr>
          <w:sz w:val="20"/>
          <w:szCs w:val="20"/>
          <w:color w:val="auto"/>
        </w:rPr>
        <w:tab/>
      </w:r>
      <w:r>
        <w:rPr>
          <w:rFonts w:ascii="Arial" w:cs="Arial" w:eastAsia="Arial" w:hAnsi="Arial"/>
          <w:sz w:val="16"/>
          <w:szCs w:val="16"/>
          <w:color w:val="auto"/>
        </w:rPr>
        <w:t>Form of Lender Joinder Agreement</w:t>
      </w:r>
    </w:p>
    <w:p>
      <w:pPr>
        <w:spacing w:after="0" w:line="15" w:lineRule="exact"/>
        <w:rPr>
          <w:sz w:val="20"/>
          <w:szCs w:val="20"/>
          <w:color w:val="auto"/>
        </w:rPr>
      </w:pPr>
    </w:p>
    <w:p>
      <w:pPr>
        <w:ind w:left="660"/>
        <w:spacing w:after="0"/>
        <w:tabs>
          <w:tab w:leader="none" w:pos="1980" w:val="left"/>
        </w:tabs>
        <w:rPr>
          <w:sz w:val="20"/>
          <w:szCs w:val="20"/>
          <w:color w:val="auto"/>
        </w:rPr>
      </w:pPr>
      <w:r>
        <w:rPr>
          <w:rFonts w:ascii="Arial" w:cs="Arial" w:eastAsia="Arial" w:hAnsi="Arial"/>
          <w:sz w:val="20"/>
          <w:szCs w:val="20"/>
          <w:color w:val="auto"/>
        </w:rPr>
        <w:t>Exhibit 2.02</w:t>
      </w:r>
      <w:r>
        <w:rPr>
          <w:sz w:val="20"/>
          <w:szCs w:val="20"/>
          <w:color w:val="auto"/>
        </w:rPr>
        <w:tab/>
      </w:r>
      <w:r>
        <w:rPr>
          <w:rFonts w:ascii="Arial" w:cs="Arial" w:eastAsia="Arial" w:hAnsi="Arial"/>
          <w:sz w:val="18"/>
          <w:szCs w:val="18"/>
          <w:color w:val="auto"/>
        </w:rPr>
        <w:t>Form of Loan Notice</w:t>
      </w:r>
    </w:p>
    <w:p>
      <w:pPr>
        <w:ind w:left="660"/>
        <w:spacing w:after="0"/>
        <w:tabs>
          <w:tab w:leader="none" w:pos="2140" w:val="left"/>
        </w:tabs>
        <w:rPr>
          <w:sz w:val="20"/>
          <w:szCs w:val="20"/>
          <w:color w:val="auto"/>
        </w:rPr>
      </w:pPr>
      <w:r>
        <w:rPr>
          <w:rFonts w:ascii="Arial" w:cs="Arial" w:eastAsia="Arial" w:hAnsi="Arial"/>
          <w:sz w:val="20"/>
          <w:szCs w:val="20"/>
          <w:color w:val="auto"/>
        </w:rPr>
        <w:t>Exhibit 2.13-1</w:t>
      </w:r>
      <w:r>
        <w:rPr>
          <w:sz w:val="20"/>
          <w:szCs w:val="20"/>
          <w:color w:val="auto"/>
        </w:rPr>
        <w:tab/>
      </w:r>
      <w:r>
        <w:rPr>
          <w:rFonts w:ascii="Arial" w:cs="Arial" w:eastAsia="Arial" w:hAnsi="Arial"/>
          <w:sz w:val="18"/>
          <w:szCs w:val="18"/>
          <w:color w:val="auto"/>
        </w:rPr>
        <w:t>Form of USD Revolving Note</w:t>
      </w:r>
    </w:p>
    <w:p>
      <w:pPr>
        <w:ind w:left="660"/>
        <w:spacing w:after="0"/>
        <w:tabs>
          <w:tab w:leader="none" w:pos="2140" w:val="left"/>
        </w:tabs>
        <w:rPr>
          <w:sz w:val="20"/>
          <w:szCs w:val="20"/>
          <w:color w:val="auto"/>
        </w:rPr>
      </w:pPr>
      <w:r>
        <w:rPr>
          <w:rFonts w:ascii="Arial" w:cs="Arial" w:eastAsia="Arial" w:hAnsi="Arial"/>
          <w:sz w:val="20"/>
          <w:szCs w:val="20"/>
          <w:color w:val="auto"/>
        </w:rPr>
        <w:t>Exhibit 2.13-2</w:t>
      </w:r>
      <w:r>
        <w:rPr>
          <w:sz w:val="20"/>
          <w:szCs w:val="20"/>
          <w:color w:val="auto"/>
        </w:rPr>
        <w:tab/>
      </w:r>
      <w:r>
        <w:rPr>
          <w:rFonts w:ascii="Arial" w:cs="Arial" w:eastAsia="Arial" w:hAnsi="Arial"/>
          <w:sz w:val="18"/>
          <w:szCs w:val="18"/>
          <w:color w:val="auto"/>
        </w:rPr>
        <w:t>Form of USD Swingline Note</w:t>
      </w:r>
    </w:p>
    <w:p>
      <w:pPr>
        <w:ind w:left="660"/>
        <w:spacing w:after="0"/>
        <w:tabs>
          <w:tab w:leader="none" w:pos="2140" w:val="left"/>
        </w:tabs>
        <w:rPr>
          <w:sz w:val="20"/>
          <w:szCs w:val="20"/>
          <w:color w:val="auto"/>
        </w:rPr>
      </w:pPr>
      <w:r>
        <w:rPr>
          <w:rFonts w:ascii="Arial" w:cs="Arial" w:eastAsia="Arial" w:hAnsi="Arial"/>
          <w:sz w:val="20"/>
          <w:szCs w:val="20"/>
          <w:color w:val="auto"/>
        </w:rPr>
        <w:t>Exhibit 2.13-3</w:t>
      </w:r>
      <w:r>
        <w:rPr>
          <w:sz w:val="20"/>
          <w:szCs w:val="20"/>
          <w:color w:val="auto"/>
        </w:rPr>
        <w:tab/>
      </w:r>
      <w:r>
        <w:rPr>
          <w:rFonts w:ascii="Arial" w:cs="Arial" w:eastAsia="Arial" w:hAnsi="Arial"/>
          <w:sz w:val="18"/>
          <w:szCs w:val="18"/>
          <w:color w:val="auto"/>
        </w:rPr>
        <w:t>Form of European Revolving Note</w:t>
      </w:r>
    </w:p>
    <w:p>
      <w:pPr>
        <w:ind w:left="660"/>
        <w:spacing w:after="0"/>
        <w:tabs>
          <w:tab w:leader="none" w:pos="2780" w:val="left"/>
        </w:tabs>
        <w:rPr>
          <w:sz w:val="20"/>
          <w:szCs w:val="20"/>
          <w:color w:val="auto"/>
        </w:rPr>
      </w:pPr>
      <w:r>
        <w:rPr>
          <w:rFonts w:ascii="Arial" w:cs="Arial" w:eastAsia="Arial" w:hAnsi="Arial"/>
          <w:sz w:val="20"/>
          <w:szCs w:val="20"/>
          <w:color w:val="FF0000"/>
          <w:strike w:val="1"/>
        </w:rPr>
        <w:t>Exihibit</w:t>
      </w:r>
      <w:r>
        <w:rPr>
          <w:rFonts w:ascii="Arial" w:cs="Arial" w:eastAsia="Arial" w:hAnsi="Arial"/>
          <w:sz w:val="20"/>
          <w:szCs w:val="20"/>
          <w:color w:val="0000FF"/>
        </w:rPr>
        <w:t>Exhibit</w:t>
      </w:r>
      <w:r>
        <w:rPr>
          <w:rFonts w:ascii="Arial" w:cs="Arial" w:eastAsia="Arial" w:hAnsi="Arial"/>
          <w:sz w:val="20"/>
          <w:szCs w:val="20"/>
          <w:color w:val="FF0000"/>
        </w:rPr>
        <w:t xml:space="preserve"> </w:t>
      </w:r>
      <w:r>
        <w:rPr>
          <w:rFonts w:ascii="Arial" w:cs="Arial" w:eastAsia="Arial" w:hAnsi="Arial"/>
          <w:sz w:val="20"/>
          <w:szCs w:val="20"/>
          <w:color w:val="000000"/>
        </w:rPr>
        <w:t>2.13-4</w:t>
      </w:r>
      <w:r>
        <w:rPr>
          <w:sz w:val="20"/>
          <w:szCs w:val="20"/>
          <w:color w:val="auto"/>
        </w:rPr>
        <w:tab/>
      </w:r>
      <w:r>
        <w:rPr>
          <w:rFonts w:ascii="Arial" w:cs="Arial" w:eastAsia="Arial" w:hAnsi="Arial"/>
          <w:sz w:val="18"/>
          <w:szCs w:val="18"/>
          <w:color w:val="auto"/>
        </w:rPr>
        <w:t>Form of European Swingline Note</w:t>
      </w:r>
    </w:p>
    <w:p>
      <w:pPr>
        <w:spacing w:after="0" w:line="227" w:lineRule="exact"/>
        <w:rPr>
          <w:sz w:val="20"/>
          <w:szCs w:val="20"/>
          <w:color w:val="auto"/>
        </w:rPr>
      </w:pPr>
    </w:p>
    <w:p>
      <w:pPr>
        <w:jc w:val="center"/>
        <w:ind w:right="-459"/>
        <w:spacing w:after="0"/>
        <w:rPr>
          <w:sz w:val="20"/>
          <w:szCs w:val="20"/>
          <w:color w:val="auto"/>
        </w:rPr>
      </w:pPr>
      <w:r>
        <w:rPr>
          <w:rFonts w:ascii="Arial" w:cs="Arial" w:eastAsia="Arial" w:hAnsi="Arial"/>
          <w:sz w:val="20"/>
          <w:szCs w:val="20"/>
          <w:color w:val="auto"/>
        </w:rPr>
        <w:t>7</w:t>
      </w:r>
    </w:p>
    <w:p>
      <w:pPr>
        <w:spacing w:after="0" w:line="10" w:lineRule="exact"/>
        <w:rPr>
          <w:sz w:val="20"/>
          <w:szCs w:val="20"/>
          <w:color w:val="auto"/>
        </w:rPr>
      </w:pPr>
    </w:p>
    <w:p>
      <w:pPr>
        <w:spacing w:after="0"/>
        <w:rPr>
          <w:sz w:val="20"/>
          <w:szCs w:val="20"/>
          <w:color w:val="auto"/>
        </w:rPr>
      </w:pPr>
      <w:r>
        <w:rPr>
          <w:rFonts w:ascii="Arial" w:cs="Arial" w:eastAsia="Arial" w:hAnsi="Arial"/>
          <w:sz w:val="14"/>
          <w:szCs w:val="14"/>
          <w:color w:val="auto"/>
        </w:rPr>
        <w:t>CHAR1\1346423v</w:t>
      </w:r>
      <w:r>
        <w:rPr>
          <w:rFonts w:ascii="Arial" w:cs="Arial" w:eastAsia="Arial" w:hAnsi="Arial"/>
          <w:sz w:val="14"/>
          <w:szCs w:val="14"/>
          <w:color w:val="FF0000"/>
          <w:strike w:val="1"/>
        </w:rPr>
        <w:t>1</w:t>
      </w:r>
      <w:r>
        <w:rPr>
          <w:rFonts w:ascii="Arial" w:cs="Arial" w:eastAsia="Arial" w:hAnsi="Arial"/>
          <w:sz w:val="14"/>
          <w:szCs w:val="14"/>
          <w:u w:val="single" w:color="auto"/>
          <w:color w:val="0000FF"/>
        </w:rPr>
        <w:t>12</w:t>
      </w:r>
    </w:p>
    <w:p>
      <w:pPr>
        <w:sectPr>
          <w:pgSz w:w="11900" w:h="16838" w:orient="portrait"/>
          <w:cols w:equalWidth="0" w:num="1">
            <w:col w:w="10960"/>
          </w:cols>
          <w:pgMar w:left="240" w:top="582" w:right="699" w:bottom="1440" w:gutter="0" w:footer="0" w:header="0"/>
        </w:sectPr>
      </w:pPr>
    </w:p>
    <w:bookmarkStart w:id="59" w:name="page60"/>
    <w:bookmarkEnd w:id="59"/>
    <w:p>
      <w:pPr>
        <w:ind w:left="660"/>
        <w:spacing w:after="0"/>
        <w:tabs>
          <w:tab w:leader="none" w:pos="2780" w:val="left"/>
        </w:tabs>
        <w:rPr>
          <w:sz w:val="20"/>
          <w:szCs w:val="20"/>
          <w:color w:val="auto"/>
        </w:rPr>
      </w:pPr>
      <w:r>
        <w:rPr>
          <w:rFonts w:ascii="Arial" w:cs="Arial" w:eastAsia="Arial" w:hAnsi="Arial"/>
          <w:sz w:val="20"/>
          <w:szCs w:val="20"/>
          <w:color w:val="FF0000"/>
          <w:strike w:val="1"/>
        </w:rPr>
        <w:t>Exihibit</w:t>
      </w:r>
      <w:r>
        <w:rPr>
          <w:rFonts w:ascii="Arial" w:cs="Arial" w:eastAsia="Arial" w:hAnsi="Arial"/>
          <w:sz w:val="20"/>
          <w:szCs w:val="20"/>
          <w:color w:val="0000FF"/>
        </w:rPr>
        <w:t>Exhibit</w:t>
      </w:r>
      <w:r>
        <w:rPr>
          <w:rFonts w:ascii="Arial" w:cs="Arial" w:eastAsia="Arial" w:hAnsi="Arial"/>
          <w:sz w:val="20"/>
          <w:szCs w:val="20"/>
          <w:color w:val="FF0000"/>
        </w:rPr>
        <w:t xml:space="preserve"> </w:t>
      </w:r>
      <w:r>
        <w:rPr>
          <w:rFonts w:ascii="Arial" w:cs="Arial" w:eastAsia="Arial" w:hAnsi="Arial"/>
          <w:sz w:val="20"/>
          <w:szCs w:val="20"/>
          <w:color w:val="000000"/>
        </w:rPr>
        <w:t>2.13-5</w:t>
      </w:r>
      <w:r>
        <w:rPr>
          <w:sz w:val="20"/>
          <w:szCs w:val="20"/>
          <w:color w:val="auto"/>
        </w:rPr>
        <w:tab/>
      </w:r>
      <w:r>
        <w:rPr>
          <w:rFonts w:ascii="Arial" w:cs="Arial" w:eastAsia="Arial" w:hAnsi="Arial"/>
          <w:sz w:val="18"/>
          <w:szCs w:val="18"/>
          <w:color w:val="auto"/>
        </w:rPr>
        <w:t>Form of Australian Revolving Note</w:t>
      </w:r>
    </w:p>
    <w:p>
      <w:pPr>
        <w:spacing w:after="0" w:line="15" w:lineRule="exact"/>
        <w:rPr>
          <w:sz w:val="20"/>
          <w:szCs w:val="20"/>
          <w:color w:val="auto"/>
        </w:rPr>
      </w:pPr>
    </w:p>
    <w:p>
      <w:pPr>
        <w:ind w:left="660"/>
        <w:spacing w:after="0"/>
        <w:tabs>
          <w:tab w:leader="none" w:pos="2140" w:val="left"/>
        </w:tabs>
        <w:rPr>
          <w:sz w:val="20"/>
          <w:szCs w:val="20"/>
          <w:color w:val="auto"/>
        </w:rPr>
      </w:pPr>
      <w:r>
        <w:rPr>
          <w:rFonts w:ascii="Arial" w:cs="Arial" w:eastAsia="Arial" w:hAnsi="Arial"/>
          <w:sz w:val="20"/>
          <w:szCs w:val="20"/>
          <w:color w:val="auto"/>
        </w:rPr>
        <w:t>Exhibit 2.13-6</w:t>
      </w:r>
      <w:r>
        <w:rPr>
          <w:sz w:val="20"/>
          <w:szCs w:val="20"/>
          <w:color w:val="auto"/>
        </w:rPr>
        <w:tab/>
      </w:r>
      <w:r>
        <w:rPr>
          <w:rFonts w:ascii="Arial" w:cs="Arial" w:eastAsia="Arial" w:hAnsi="Arial"/>
          <w:sz w:val="18"/>
          <w:szCs w:val="18"/>
          <w:color w:val="auto"/>
        </w:rPr>
        <w:t>Form of India Revolving Note</w:t>
      </w:r>
    </w:p>
    <w:p>
      <w:pPr>
        <w:ind w:left="660"/>
        <w:spacing w:after="0"/>
        <w:tabs>
          <w:tab w:leader="none" w:pos="2140" w:val="left"/>
        </w:tabs>
        <w:rPr>
          <w:sz w:val="20"/>
          <w:szCs w:val="20"/>
          <w:color w:val="auto"/>
        </w:rPr>
      </w:pPr>
      <w:r>
        <w:rPr>
          <w:rFonts w:ascii="Arial" w:cs="Arial" w:eastAsia="Arial" w:hAnsi="Arial"/>
          <w:sz w:val="20"/>
          <w:szCs w:val="20"/>
          <w:color w:val="auto"/>
        </w:rPr>
        <w:t>Exhibit 2.13-7</w:t>
      </w:r>
      <w:r>
        <w:rPr>
          <w:sz w:val="20"/>
          <w:szCs w:val="20"/>
          <w:color w:val="auto"/>
        </w:rPr>
        <w:tab/>
      </w:r>
      <w:r>
        <w:rPr>
          <w:rFonts w:ascii="Arial" w:cs="Arial" w:eastAsia="Arial" w:hAnsi="Arial"/>
          <w:sz w:val="18"/>
          <w:szCs w:val="18"/>
          <w:color w:val="auto"/>
        </w:rPr>
        <w:t>Form of Term Loan A Note</w:t>
      </w:r>
    </w:p>
    <w:p>
      <w:pPr>
        <w:ind w:left="660" w:right="2719"/>
        <w:spacing w:after="0" w:line="239" w:lineRule="auto"/>
        <w:rPr>
          <w:sz w:val="20"/>
          <w:szCs w:val="20"/>
          <w:color w:val="auto"/>
        </w:rPr>
      </w:pPr>
      <w:r>
        <w:rPr>
          <w:rFonts w:ascii="Arial" w:cs="Arial" w:eastAsia="Arial" w:hAnsi="Arial"/>
          <w:sz w:val="20"/>
          <w:szCs w:val="20"/>
          <w:color w:val="auto"/>
        </w:rPr>
        <w:t>Exhibit 2.14-1 Form of Designated Borrower Request and Assumption Agreement Exhibit 2.14-2 Form of Designated Borrower Notice Exhibit 7.02(b) Form of Compliance Certificate</w:t>
      </w:r>
    </w:p>
    <w:p>
      <w:pPr>
        <w:spacing w:after="0" w:line="1" w:lineRule="exact"/>
        <w:rPr>
          <w:sz w:val="20"/>
          <w:szCs w:val="20"/>
          <w:color w:val="auto"/>
        </w:rPr>
      </w:pPr>
    </w:p>
    <w:p>
      <w:pPr>
        <w:ind w:left="660"/>
        <w:spacing w:after="0"/>
        <w:tabs>
          <w:tab w:leader="none" w:pos="1980" w:val="left"/>
        </w:tabs>
        <w:rPr>
          <w:sz w:val="20"/>
          <w:szCs w:val="20"/>
          <w:color w:val="auto"/>
        </w:rPr>
      </w:pPr>
      <w:r>
        <w:rPr>
          <w:rFonts w:ascii="Arial" w:cs="Arial" w:eastAsia="Arial" w:hAnsi="Arial"/>
          <w:sz w:val="20"/>
          <w:szCs w:val="20"/>
          <w:color w:val="auto"/>
        </w:rPr>
        <w:t>Exhibit 7.13</w:t>
      </w:r>
      <w:r>
        <w:rPr>
          <w:sz w:val="20"/>
          <w:szCs w:val="20"/>
          <w:color w:val="auto"/>
        </w:rPr>
        <w:tab/>
      </w:r>
      <w:r>
        <w:rPr>
          <w:rFonts w:ascii="Arial" w:cs="Arial" w:eastAsia="Arial" w:hAnsi="Arial"/>
          <w:sz w:val="18"/>
          <w:szCs w:val="18"/>
          <w:color w:val="auto"/>
        </w:rPr>
        <w:t>Form of Joinder Agreement</w:t>
      </w:r>
    </w:p>
    <w:p>
      <w:pPr>
        <w:ind w:left="660"/>
        <w:spacing w:after="0"/>
        <w:tabs>
          <w:tab w:leader="none" w:pos="2060" w:val="left"/>
        </w:tabs>
        <w:rPr>
          <w:sz w:val="20"/>
          <w:szCs w:val="20"/>
          <w:color w:val="auto"/>
        </w:rPr>
      </w:pPr>
      <w:r>
        <w:rPr>
          <w:rFonts w:ascii="Arial" w:cs="Arial" w:eastAsia="Arial" w:hAnsi="Arial"/>
          <w:sz w:val="20"/>
          <w:szCs w:val="20"/>
          <w:color w:val="auto"/>
        </w:rPr>
        <w:t>Exhibit 11.06</w:t>
      </w:r>
      <w:r>
        <w:rPr>
          <w:sz w:val="20"/>
          <w:szCs w:val="20"/>
          <w:color w:val="auto"/>
        </w:rPr>
        <w:tab/>
      </w:r>
      <w:r>
        <w:rPr>
          <w:rFonts w:ascii="Arial" w:cs="Arial" w:eastAsia="Arial" w:hAnsi="Arial"/>
          <w:sz w:val="18"/>
          <w:szCs w:val="18"/>
          <w:color w:val="auto"/>
        </w:rPr>
        <w:t>Form of Assignment and Assumption</w:t>
      </w:r>
    </w:p>
    <w:p>
      <w:pPr>
        <w:spacing w:after="0" w:line="227" w:lineRule="exact"/>
        <w:rPr>
          <w:sz w:val="20"/>
          <w:szCs w:val="20"/>
          <w:color w:val="auto"/>
        </w:rPr>
      </w:pPr>
    </w:p>
    <w:p>
      <w:pPr>
        <w:ind w:left="5660"/>
        <w:spacing w:after="0"/>
        <w:rPr>
          <w:sz w:val="20"/>
          <w:szCs w:val="20"/>
          <w:color w:val="auto"/>
        </w:rPr>
      </w:pPr>
      <w:r>
        <w:rPr>
          <w:rFonts w:ascii="Arial" w:cs="Arial" w:eastAsia="Arial" w:hAnsi="Arial"/>
          <w:sz w:val="20"/>
          <w:szCs w:val="20"/>
          <w:color w:val="auto"/>
        </w:rPr>
        <w:t>8</w:t>
      </w:r>
    </w:p>
    <w:p>
      <w:pPr>
        <w:spacing w:after="0" w:line="10" w:lineRule="exact"/>
        <w:rPr>
          <w:sz w:val="20"/>
          <w:szCs w:val="20"/>
          <w:color w:val="auto"/>
        </w:rPr>
      </w:pPr>
    </w:p>
    <w:p>
      <w:pPr>
        <w:spacing w:after="0"/>
        <w:rPr>
          <w:sz w:val="20"/>
          <w:szCs w:val="20"/>
          <w:color w:val="auto"/>
        </w:rPr>
      </w:pPr>
      <w:r>
        <w:rPr>
          <w:rFonts w:ascii="Arial" w:cs="Arial" w:eastAsia="Arial" w:hAnsi="Arial"/>
          <w:sz w:val="14"/>
          <w:szCs w:val="14"/>
          <w:color w:val="auto"/>
        </w:rPr>
        <w:t>CHAR1\1346423v</w:t>
      </w:r>
      <w:r>
        <w:rPr>
          <w:rFonts w:ascii="Arial" w:cs="Arial" w:eastAsia="Arial" w:hAnsi="Arial"/>
          <w:sz w:val="14"/>
          <w:szCs w:val="14"/>
          <w:color w:val="FF0000"/>
          <w:strike w:val="1"/>
        </w:rPr>
        <w:t>1</w:t>
      </w:r>
      <w:r>
        <w:rPr>
          <w:rFonts w:ascii="Arial" w:cs="Arial" w:eastAsia="Arial" w:hAnsi="Arial"/>
          <w:sz w:val="14"/>
          <w:szCs w:val="14"/>
          <w:u w:val="single" w:color="auto"/>
          <w:color w:val="0000FF"/>
        </w:rPr>
        <w:t>12</w:t>
      </w:r>
    </w:p>
    <w:p>
      <w:pPr>
        <w:sectPr>
          <w:pgSz w:w="11900" w:h="16838" w:orient="portrait"/>
          <w:cols w:equalWidth="0" w:num="1">
            <w:col w:w="10219"/>
          </w:cols>
          <w:pgMar w:left="240" w:top="582" w:right="1440" w:bottom="1440" w:gutter="0" w:footer="0" w:header="0"/>
        </w:sectPr>
      </w:pPr>
    </w:p>
    <w:bookmarkStart w:id="60" w:name="page61"/>
    <w:bookmarkEnd w:id="60"/>
    <w:p>
      <w:pPr>
        <w:jc w:val="center"/>
        <w:ind w:right="-119"/>
        <w:spacing w:after="0"/>
        <w:rPr>
          <w:sz w:val="20"/>
          <w:szCs w:val="20"/>
          <w:color w:val="auto"/>
        </w:rPr>
      </w:pPr>
      <w:r>
        <w:rPr>
          <w:rFonts w:ascii="Arial" w:cs="Arial" w:eastAsia="Arial" w:hAnsi="Arial"/>
          <w:sz w:val="20"/>
          <w:szCs w:val="20"/>
          <w:b w:val="1"/>
          <w:bCs w:val="1"/>
          <w:color w:val="auto"/>
        </w:rPr>
        <w:t>AMENDED AND RESTATED CREDIT AGREEMENT</w:t>
      </w:r>
    </w:p>
    <w:p>
      <w:pPr>
        <w:spacing w:after="0" w:line="200" w:lineRule="exact"/>
        <w:rPr>
          <w:sz w:val="20"/>
          <w:szCs w:val="20"/>
          <w:color w:val="auto"/>
        </w:rPr>
      </w:pPr>
    </w:p>
    <w:p>
      <w:pPr>
        <w:spacing w:after="0" w:line="238" w:lineRule="exact"/>
        <w:rPr>
          <w:sz w:val="20"/>
          <w:szCs w:val="20"/>
          <w:color w:val="auto"/>
        </w:rPr>
      </w:pPr>
    </w:p>
    <w:p>
      <w:pPr>
        <w:ind w:firstLine="648"/>
        <w:spacing w:after="0" w:line="269" w:lineRule="auto"/>
        <w:rPr>
          <w:sz w:val="20"/>
          <w:szCs w:val="20"/>
          <w:color w:val="auto"/>
        </w:rPr>
      </w:pPr>
      <w:r>
        <w:rPr>
          <w:rFonts w:ascii="Arial" w:cs="Arial" w:eastAsia="Arial" w:hAnsi="Arial"/>
          <w:sz w:val="19"/>
          <w:szCs w:val="19"/>
          <w:color w:val="auto"/>
        </w:rPr>
        <w:t>This AMENDED AND RESTATED CREDIT AGREEMENT (this “</w:t>
      </w:r>
      <w:r>
        <w:rPr>
          <w:rFonts w:ascii="Arial" w:cs="Arial" w:eastAsia="Arial" w:hAnsi="Arial"/>
          <w:sz w:val="19"/>
          <w:szCs w:val="19"/>
          <w:u w:val="single" w:color="auto"/>
          <w:color w:val="auto"/>
        </w:rPr>
        <w:t>Credit Agreement</w:t>
      </w:r>
      <w:r>
        <w:rPr>
          <w:rFonts w:ascii="Arial" w:cs="Arial" w:eastAsia="Arial" w:hAnsi="Arial"/>
          <w:sz w:val="19"/>
          <w:szCs w:val="19"/>
          <w:color w:val="auto"/>
        </w:rPr>
        <w:t>”) is entered into as of August 18, 2011, among EURONET WORLDWIDE, INC., a Delaware corporation, certain subsidiaries and affiliates identified herein, as Borrowers and Guarantors, the Lenders and L/C Issuers identified herein, and BANK OF AMERICA, N.A., as Administrative Agent.</w:t>
      </w:r>
    </w:p>
    <w:p>
      <w:pPr>
        <w:spacing w:after="0" w:line="170" w:lineRule="exact"/>
        <w:rPr>
          <w:sz w:val="20"/>
          <w:szCs w:val="20"/>
          <w:color w:val="auto"/>
        </w:rPr>
      </w:pPr>
    </w:p>
    <w:p>
      <w:pPr>
        <w:jc w:val="both"/>
        <w:ind w:right="80" w:firstLine="648"/>
        <w:spacing w:after="0" w:line="269" w:lineRule="auto"/>
        <w:rPr>
          <w:sz w:val="20"/>
          <w:szCs w:val="20"/>
          <w:color w:val="auto"/>
        </w:rPr>
      </w:pPr>
      <w:r>
        <w:rPr>
          <w:rFonts w:ascii="Arial" w:cs="Arial" w:eastAsia="Arial" w:hAnsi="Arial"/>
          <w:sz w:val="19"/>
          <w:szCs w:val="19"/>
          <w:color w:val="auto"/>
        </w:rPr>
        <w:t>WHEREAS, revolving credit and term loan facilities were established pursuant to the terms of that credit agreement dated as of April 4, 2007 (as amended and modified, the “</w:t>
      </w:r>
      <w:r>
        <w:rPr>
          <w:rFonts w:ascii="Arial" w:cs="Arial" w:eastAsia="Arial" w:hAnsi="Arial"/>
          <w:sz w:val="19"/>
          <w:szCs w:val="19"/>
          <w:u w:val="single" w:color="auto"/>
          <w:color w:val="auto"/>
        </w:rPr>
        <w:t>Existing Credit Agreement</w:t>
      </w:r>
      <w:r>
        <w:rPr>
          <w:rFonts w:ascii="Arial" w:cs="Arial" w:eastAsia="Arial" w:hAnsi="Arial"/>
          <w:sz w:val="19"/>
          <w:szCs w:val="19"/>
          <w:color w:val="auto"/>
        </w:rPr>
        <w:t>”) among EWI and the other Borrowers and Guarantors identified therein, the Lenders identified therein (the “</w:t>
      </w:r>
      <w:r>
        <w:rPr>
          <w:rFonts w:ascii="Arial" w:cs="Arial" w:eastAsia="Arial" w:hAnsi="Arial"/>
          <w:sz w:val="19"/>
          <w:szCs w:val="19"/>
          <w:u w:val="single" w:color="auto"/>
          <w:color w:val="auto"/>
        </w:rPr>
        <w:t>Existing Lenders</w:t>
      </w:r>
      <w:r>
        <w:rPr>
          <w:rFonts w:ascii="Arial" w:cs="Arial" w:eastAsia="Arial" w:hAnsi="Arial"/>
          <w:sz w:val="19"/>
          <w:szCs w:val="19"/>
          <w:color w:val="auto"/>
        </w:rPr>
        <w:t>”) and Bank of America, N.A., as Administrative Agent; and</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WHEREAS, this Credit Agreement is given in amendment to, restatement of and replacement for the Existing Credit Agreement;</w:t>
      </w:r>
    </w:p>
    <w:p>
      <w:pPr>
        <w:spacing w:after="0" w:line="239" w:lineRule="exact"/>
        <w:rPr>
          <w:sz w:val="20"/>
          <w:szCs w:val="20"/>
          <w:color w:val="auto"/>
        </w:rPr>
      </w:pPr>
    </w:p>
    <w:p>
      <w:pPr>
        <w:ind w:right="180" w:firstLine="648"/>
        <w:spacing w:after="0" w:line="260" w:lineRule="auto"/>
        <w:rPr>
          <w:sz w:val="20"/>
          <w:szCs w:val="20"/>
          <w:color w:val="auto"/>
        </w:rPr>
      </w:pPr>
      <w:r>
        <w:rPr>
          <w:rFonts w:ascii="Arial" w:cs="Arial" w:eastAsia="Arial" w:hAnsi="Arial"/>
          <w:sz w:val="20"/>
          <w:szCs w:val="20"/>
          <w:color w:val="auto"/>
        </w:rPr>
        <w:t>NOW, THEREFORE, in consideration of these premises and the mutual covenants and agreements contained herein, the receipt and sufficiency of which are hereby acknowledged, the parties hereto covenant and agree as follows:</w:t>
      </w:r>
    </w:p>
    <w:p>
      <w:pPr>
        <w:spacing w:after="0" w:line="211" w:lineRule="exact"/>
        <w:rPr>
          <w:sz w:val="20"/>
          <w:szCs w:val="20"/>
          <w:color w:val="auto"/>
        </w:rPr>
      </w:pPr>
    </w:p>
    <w:p>
      <w:pPr>
        <w:ind w:left="4680"/>
        <w:spacing w:after="0"/>
        <w:rPr>
          <w:sz w:val="20"/>
          <w:szCs w:val="20"/>
          <w:color w:val="auto"/>
        </w:rPr>
      </w:pPr>
      <w:r>
        <w:rPr>
          <w:rFonts w:ascii="Arial" w:cs="Arial" w:eastAsia="Arial" w:hAnsi="Arial"/>
          <w:sz w:val="20"/>
          <w:szCs w:val="20"/>
          <w:b w:val="1"/>
          <w:bCs w:val="1"/>
          <w:color w:val="auto"/>
        </w:rPr>
        <w:t>Article I</w:t>
      </w:r>
    </w:p>
    <w:p>
      <w:pPr>
        <w:spacing w:after="0" w:line="378" w:lineRule="exact"/>
        <w:rPr>
          <w:sz w:val="20"/>
          <w:szCs w:val="20"/>
          <w:color w:val="auto"/>
        </w:rPr>
      </w:pPr>
    </w:p>
    <w:p>
      <w:pPr>
        <w:jc w:val="center"/>
        <w:ind w:right="-119"/>
        <w:spacing w:after="0"/>
        <w:rPr>
          <w:sz w:val="20"/>
          <w:szCs w:val="20"/>
          <w:color w:val="auto"/>
        </w:rPr>
      </w:pPr>
      <w:r>
        <w:rPr>
          <w:rFonts w:ascii="Arial" w:cs="Arial" w:eastAsia="Arial" w:hAnsi="Arial"/>
          <w:sz w:val="20"/>
          <w:szCs w:val="20"/>
          <w:b w:val="1"/>
          <w:bCs w:val="1"/>
          <w:color w:val="auto"/>
        </w:rPr>
        <w:t>DEFINITIONS AND ACCOUNTING TERMS</w:t>
      </w:r>
    </w:p>
    <w:p>
      <w:pPr>
        <w:spacing w:after="0" w:line="276" w:lineRule="exact"/>
        <w:rPr>
          <w:sz w:val="20"/>
          <w:szCs w:val="20"/>
          <w:color w:val="auto"/>
        </w:rPr>
      </w:pPr>
    </w:p>
    <w:p>
      <w:pPr>
        <w:ind w:left="660"/>
        <w:spacing w:after="0"/>
        <w:tabs>
          <w:tab w:leader="none" w:pos="1160" w:val="left"/>
        </w:tabs>
        <w:rPr>
          <w:sz w:val="20"/>
          <w:szCs w:val="20"/>
          <w:color w:val="auto"/>
        </w:rPr>
      </w:pPr>
      <w:r>
        <w:rPr>
          <w:rFonts w:ascii="Arial" w:cs="Arial" w:eastAsia="Arial" w:hAnsi="Arial"/>
          <w:sz w:val="20"/>
          <w:szCs w:val="20"/>
          <w:color w:val="auto"/>
        </w:rPr>
        <w:t>1.01</w:t>
      </w:r>
      <w:r>
        <w:rPr>
          <w:sz w:val="20"/>
          <w:szCs w:val="20"/>
          <w:color w:val="auto"/>
        </w:rPr>
        <w:tab/>
      </w:r>
      <w:r>
        <w:rPr>
          <w:rFonts w:ascii="Arial" w:cs="Arial" w:eastAsia="Arial" w:hAnsi="Arial"/>
          <w:sz w:val="18"/>
          <w:szCs w:val="18"/>
          <w:u w:val="single" w:color="auto"/>
          <w:color w:val="auto"/>
        </w:rPr>
        <w:t>Defined Terms</w:t>
      </w:r>
      <w:r>
        <w:rPr>
          <w:rFonts w:ascii="Arial" w:cs="Arial" w:eastAsia="Arial" w:hAnsi="Arial"/>
          <w:sz w:val="18"/>
          <w:szCs w:val="18"/>
          <w:color w:val="auto"/>
        </w:rPr>
        <w:t>. As used in this Credit Agreement, the following terms have the meanings provided below:</w:t>
      </w:r>
    </w:p>
    <w:p>
      <w:pPr>
        <w:spacing w:after="0" w:line="270" w:lineRule="exact"/>
        <w:rPr>
          <w:sz w:val="20"/>
          <w:szCs w:val="20"/>
          <w:color w:val="auto"/>
        </w:rPr>
      </w:pPr>
    </w:p>
    <w:p>
      <w:pPr>
        <w:ind w:right="20" w:firstLine="648"/>
        <w:spacing w:after="0" w:line="31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Acquisition</w:t>
      </w:r>
      <w:r>
        <w:rPr>
          <w:rFonts w:ascii="Arial" w:cs="Arial" w:eastAsia="Arial" w:hAnsi="Arial"/>
          <w:sz w:val="18"/>
          <w:szCs w:val="18"/>
          <w:color w:val="auto"/>
        </w:rPr>
        <w:t>” means a purchase or acquisition by any Person (a) that after giving effect thereto first results in such Person owning more than 50% of the Capital Stock with ordinary voting power of another Person or (b) of all or any substantial portion of the property (other</w:t>
      </w:r>
    </w:p>
    <w:p>
      <w:pPr>
        <w:spacing w:after="0" w:line="381" w:lineRule="auto"/>
        <w:rPr>
          <w:sz w:val="20"/>
          <w:szCs w:val="20"/>
          <w:color w:val="auto"/>
        </w:rPr>
      </w:pPr>
      <w:r>
        <w:rPr>
          <w:rFonts w:ascii="Arial" w:cs="Arial" w:eastAsia="Arial" w:hAnsi="Arial"/>
          <w:sz w:val="16"/>
          <w:szCs w:val="16"/>
          <w:color w:val="auto"/>
        </w:rPr>
        <w:t xml:space="preserve">than Capital Stock) </w:t>
      </w:r>
      <w:r>
        <w:rPr>
          <w:rFonts w:ascii="Arial" w:cs="Arial" w:eastAsia="Arial" w:hAnsi="Arial"/>
          <w:sz w:val="16"/>
          <w:szCs w:val="16"/>
          <w:u w:val="single" w:color="auto"/>
          <w:color w:val="0000FF"/>
        </w:rPr>
        <w:t>of another Person, or all or any substantial portion of the property (other than Capital Stock) of any business or geographic</w:t>
      </w:r>
      <w:r>
        <w:rPr>
          <w:rFonts w:ascii="Arial" w:cs="Arial" w:eastAsia="Arial" w:hAnsi="Arial"/>
          <w:sz w:val="16"/>
          <w:szCs w:val="16"/>
          <w:color w:val="auto"/>
        </w:rPr>
        <w:t xml:space="preserve"> </w:t>
      </w:r>
      <w:r>
        <w:rPr>
          <w:rFonts w:ascii="Arial" w:cs="Arial" w:eastAsia="Arial" w:hAnsi="Arial"/>
          <w:sz w:val="16"/>
          <w:szCs w:val="16"/>
          <w:u w:val="single" w:color="auto"/>
          <w:color w:val="0000FF"/>
        </w:rPr>
        <w:t>unit or division</w:t>
      </w:r>
      <w:r>
        <w:rPr>
          <w:rFonts w:ascii="Arial" w:cs="Arial" w:eastAsia="Arial" w:hAnsi="Arial"/>
          <w:sz w:val="16"/>
          <w:szCs w:val="16"/>
          <w:color w:val="0000FF"/>
        </w:rPr>
        <w:t xml:space="preserve"> </w:t>
      </w:r>
      <w:r>
        <w:rPr>
          <w:rFonts w:ascii="Arial" w:cs="Arial" w:eastAsia="Arial" w:hAnsi="Arial"/>
          <w:sz w:val="16"/>
          <w:szCs w:val="16"/>
          <w:color w:val="000000"/>
        </w:rPr>
        <w:t>of another Person, whether or not involving a merger or consolidation with such Person. “Acquire” shall have a correlative</w:t>
      </w:r>
      <w:r>
        <w:rPr>
          <w:rFonts w:ascii="Arial" w:cs="Arial" w:eastAsia="Arial" w:hAnsi="Arial"/>
          <w:sz w:val="16"/>
          <w:szCs w:val="16"/>
          <w:color w:val="0000FF"/>
        </w:rPr>
        <w:t xml:space="preserve"> </w:t>
      </w:r>
      <w:r>
        <w:rPr>
          <w:rFonts w:ascii="Arial" w:cs="Arial" w:eastAsia="Arial" w:hAnsi="Arial"/>
          <w:sz w:val="16"/>
          <w:szCs w:val="16"/>
          <w:color w:val="000000"/>
        </w:rPr>
        <w:t>meaning. For the avoidance of doubt, once a Person owns more than 50% of the Capital Stock with ordinary voting power of another Person, additional purchases or acquisitions of additional Capital Stock of such other Person will be considered Investments and not Acquisitions.</w:t>
      </w:r>
    </w:p>
    <w:p>
      <w:pPr>
        <w:spacing w:after="0" w:line="128" w:lineRule="exact"/>
        <w:rPr>
          <w:sz w:val="20"/>
          <w:szCs w:val="20"/>
          <w:color w:val="auto"/>
        </w:rPr>
      </w:pPr>
    </w:p>
    <w:p>
      <w:pPr>
        <w:ind w:right="80" w:firstLine="648"/>
        <w:spacing w:after="0" w:line="288"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Acquisition Consideration</w:t>
      </w:r>
      <w:r>
        <w:rPr>
          <w:rFonts w:ascii="Arial" w:cs="Arial" w:eastAsia="Arial" w:hAnsi="Arial"/>
          <w:sz w:val="20"/>
          <w:szCs w:val="20"/>
          <w:color w:val="auto"/>
        </w:rPr>
        <w:t>” means, with respect to any Acquisition, the aggregate cash and non-cash consideration for such Acquisition. The “Acquisition Consideration” for any Acquisition expressly includes Indebtedness assumed in such Acquisition and the good faith estimate by the Borrower of the maximum amount of any deferred purchase price obligations (including contingent consideration payments) incurred in connection with such Acquisition.</w:t>
      </w:r>
    </w:p>
    <w:p>
      <w:pPr>
        <w:spacing w:after="0" w:line="193" w:lineRule="exact"/>
        <w:rPr>
          <w:sz w:val="20"/>
          <w:szCs w:val="20"/>
          <w:color w:val="auto"/>
        </w:rPr>
      </w:pPr>
    </w:p>
    <w:p>
      <w:pPr>
        <w:ind w:right="180" w:firstLine="648"/>
        <w:spacing w:after="0" w:line="292"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Adequate Assurance</w:t>
      </w:r>
      <w:r>
        <w:rPr>
          <w:rFonts w:ascii="Arial" w:cs="Arial" w:eastAsia="Arial" w:hAnsi="Arial"/>
          <w:sz w:val="20"/>
          <w:szCs w:val="20"/>
          <w:color w:val="auto"/>
        </w:rPr>
        <w:t>” means (i) with respect to L/C Obligations, such assurance as the applicable L/C Issuer may require in its discretion, and (ii) with respect to Swingline Loans, such assurance as the applicable Swingline Lender may require in its discretion, in each case, that any</w:t>
      </w:r>
    </w:p>
    <w:p>
      <w:pPr>
        <w:spacing w:after="0" w:line="200" w:lineRule="exact"/>
        <w:rPr>
          <w:sz w:val="20"/>
          <w:szCs w:val="20"/>
          <w:color w:val="auto"/>
        </w:rPr>
      </w:pPr>
    </w:p>
    <w:p>
      <w:pPr>
        <w:spacing w:after="0" w:line="203" w:lineRule="exact"/>
        <w:rPr>
          <w:sz w:val="20"/>
          <w:szCs w:val="20"/>
          <w:color w:val="auto"/>
        </w:rPr>
      </w:pPr>
    </w:p>
    <w:p>
      <w:pPr>
        <w:jc w:val="center"/>
        <w:ind w:right="-119"/>
        <w:spacing w:after="0"/>
        <w:rPr>
          <w:sz w:val="20"/>
          <w:szCs w:val="20"/>
          <w:color w:val="auto"/>
        </w:rPr>
      </w:pPr>
      <w:r>
        <w:rPr>
          <w:rFonts w:ascii="Arial" w:cs="Arial" w:eastAsia="Arial" w:hAnsi="Arial"/>
          <w:sz w:val="20"/>
          <w:szCs w:val="20"/>
          <w:color w:val="auto"/>
        </w:rPr>
        <w:t>9</w:t>
      </w:r>
    </w:p>
    <w:p>
      <w:pPr>
        <w:spacing w:after="0" w:line="10" w:lineRule="exact"/>
        <w:rPr>
          <w:sz w:val="20"/>
          <w:szCs w:val="20"/>
          <w:color w:val="auto"/>
        </w:rPr>
      </w:pPr>
    </w:p>
    <w:p>
      <w:pPr>
        <w:spacing w:after="0"/>
        <w:rPr>
          <w:sz w:val="20"/>
          <w:szCs w:val="20"/>
          <w:color w:val="auto"/>
        </w:rPr>
      </w:pPr>
      <w:r>
        <w:rPr>
          <w:rFonts w:ascii="Arial" w:cs="Arial" w:eastAsia="Arial" w:hAnsi="Arial"/>
          <w:sz w:val="14"/>
          <w:szCs w:val="14"/>
          <w:color w:val="auto"/>
        </w:rPr>
        <w:t>CHAR1\1346423v</w:t>
      </w:r>
      <w:r>
        <w:rPr>
          <w:rFonts w:ascii="Arial" w:cs="Arial" w:eastAsia="Arial" w:hAnsi="Arial"/>
          <w:sz w:val="14"/>
          <w:szCs w:val="14"/>
          <w:color w:val="FF0000"/>
          <w:strike w:val="1"/>
        </w:rPr>
        <w:t>1</w:t>
      </w:r>
      <w:r>
        <w:rPr>
          <w:rFonts w:ascii="Arial" w:cs="Arial" w:eastAsia="Arial" w:hAnsi="Arial"/>
          <w:sz w:val="14"/>
          <w:szCs w:val="14"/>
          <w:u w:val="single" w:color="auto"/>
          <w:color w:val="0000FF"/>
        </w:rPr>
        <w:t>12</w:t>
      </w:r>
    </w:p>
    <w:p>
      <w:pPr>
        <w:sectPr>
          <w:pgSz w:w="11900" w:h="16838" w:orient="portrait"/>
          <w:cols w:equalWidth="0" w:num="1">
            <w:col w:w="11300"/>
          </w:cols>
          <w:pgMar w:left="240" w:top="576" w:right="359" w:bottom="1440" w:gutter="0" w:footer="0" w:header="0"/>
        </w:sectPr>
      </w:pPr>
    </w:p>
    <w:bookmarkStart w:id="61" w:name="page62"/>
    <w:bookmarkEnd w:id="61"/>
    <w:p>
      <w:pPr>
        <w:ind w:right="140"/>
        <w:spacing w:after="0" w:line="308" w:lineRule="auto"/>
        <w:rPr>
          <w:sz w:val="20"/>
          <w:szCs w:val="20"/>
          <w:color w:val="auto"/>
        </w:rPr>
      </w:pPr>
      <w:r>
        <w:rPr>
          <w:rFonts w:ascii="Arial" w:cs="Arial" w:eastAsia="Arial" w:hAnsi="Arial"/>
          <w:sz w:val="19"/>
          <w:szCs w:val="19"/>
          <w:color w:val="auto"/>
        </w:rPr>
        <w:t>Defaulting Lender will be capable of honoring its obligations to fund its portion of L/C Obligations and Swingline Loans, as appropriate, and participation interests therein, including existing and future obligations hereunder and under the other Credit Documents. Adequate Assurance may be in the form of cash collateral, posting of letters of credit or other arrangement, in each case in form, amount and other respects satisfactory to the applicable L/C Issuer or applicable Swingline Lender, as applicable, in their discretion.</w:t>
      </w:r>
    </w:p>
    <w:p>
      <w:pPr>
        <w:spacing w:after="0" w:line="175" w:lineRule="exact"/>
        <w:rPr>
          <w:sz w:val="20"/>
          <w:szCs w:val="20"/>
          <w:color w:val="auto"/>
        </w:rPr>
      </w:pPr>
    </w:p>
    <w:p>
      <w:pPr>
        <w:ind w:right="740" w:firstLine="648"/>
        <w:spacing w:after="0" w:line="303"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Administrative Agent</w:t>
      </w:r>
      <w:r>
        <w:rPr>
          <w:rFonts w:ascii="Arial" w:cs="Arial" w:eastAsia="Arial" w:hAnsi="Arial"/>
          <w:sz w:val="20"/>
          <w:szCs w:val="20"/>
          <w:color w:val="auto"/>
        </w:rPr>
        <w:t>” means Bank of America in its capacity as administrative agent for the Lenders under any of the Credit Documents, or any successor administrative agent.</w:t>
      </w:r>
    </w:p>
    <w:p>
      <w:pPr>
        <w:spacing w:after="0" w:line="176" w:lineRule="exact"/>
        <w:rPr>
          <w:sz w:val="20"/>
          <w:szCs w:val="20"/>
          <w:color w:val="auto"/>
        </w:rPr>
      </w:pPr>
    </w:p>
    <w:p>
      <w:pPr>
        <w:ind w:right="160" w:firstLine="648"/>
        <w:spacing w:after="0" w:line="314"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Administrative Agent’s Office</w:t>
      </w:r>
      <w:r>
        <w:rPr>
          <w:rFonts w:ascii="Arial" w:cs="Arial" w:eastAsia="Arial" w:hAnsi="Arial"/>
          <w:sz w:val="19"/>
          <w:szCs w:val="19"/>
          <w:color w:val="auto"/>
        </w:rPr>
        <w:t xml:space="preserve">” means, with respect to any currency, the Administrative Agent’s address and, as appropriate, account as set forth on </w:t>
      </w:r>
      <w:r>
        <w:rPr>
          <w:rFonts w:ascii="Arial" w:cs="Arial" w:eastAsia="Arial" w:hAnsi="Arial"/>
          <w:sz w:val="19"/>
          <w:szCs w:val="19"/>
          <w:u w:val="single" w:color="auto"/>
          <w:color w:val="auto"/>
        </w:rPr>
        <w:t>Schedule 11.02</w:t>
      </w:r>
      <w:r>
        <w:rPr>
          <w:rFonts w:ascii="Arial" w:cs="Arial" w:eastAsia="Arial" w:hAnsi="Arial"/>
          <w:sz w:val="19"/>
          <w:szCs w:val="19"/>
          <w:color w:val="auto"/>
        </w:rPr>
        <w:t xml:space="preserve"> (as may be updated from time to time) with respect to such currency, or such other address or account with respect to such currency as the Administrative Agent may from time to time notify the Borrowers and the Lenders.</w:t>
      </w:r>
    </w:p>
    <w:p>
      <w:pPr>
        <w:spacing w:after="0" w:line="16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Administrative Questionnaire</w:t>
      </w:r>
      <w:r>
        <w:rPr>
          <w:rFonts w:ascii="Arial" w:cs="Arial" w:eastAsia="Arial" w:hAnsi="Arial"/>
          <w:sz w:val="18"/>
          <w:szCs w:val="18"/>
          <w:color w:val="auto"/>
        </w:rPr>
        <w:t>” means an administrative questionnaire for the Lenders in a form supplied by the Administrative Agent.</w:t>
      </w:r>
    </w:p>
    <w:p>
      <w:pPr>
        <w:spacing w:after="0" w:line="279" w:lineRule="exact"/>
        <w:rPr>
          <w:sz w:val="20"/>
          <w:szCs w:val="20"/>
          <w:color w:val="auto"/>
        </w:rPr>
      </w:pPr>
    </w:p>
    <w:p>
      <w:pPr>
        <w:ind w:right="140" w:firstLine="648"/>
        <w:spacing w:after="0" w:line="303"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ADT</w:t>
      </w:r>
      <w:r>
        <w:rPr>
          <w:rFonts w:ascii="Arial" w:cs="Arial" w:eastAsia="Arial" w:hAnsi="Arial"/>
          <w:sz w:val="20"/>
          <w:szCs w:val="20"/>
          <w:color w:val="auto"/>
        </w:rPr>
        <w:t>” means automated deposit teller machines or other similar devices capable of accepting deposits, but that cannot dispense cash, that are owned, leased, operated or serviced by members of the Consolidated Group.</w:t>
      </w:r>
    </w:p>
    <w:p>
      <w:pPr>
        <w:spacing w:after="0" w:line="176" w:lineRule="exact"/>
        <w:rPr>
          <w:sz w:val="20"/>
          <w:szCs w:val="20"/>
          <w:color w:val="auto"/>
        </w:rPr>
      </w:pPr>
    </w:p>
    <w:p>
      <w:pPr>
        <w:ind w:right="200" w:firstLine="648"/>
        <w:spacing w:after="0" w:line="303"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Affiliate</w:t>
      </w:r>
      <w:r>
        <w:rPr>
          <w:rFonts w:ascii="Arial" w:cs="Arial" w:eastAsia="Arial" w:hAnsi="Arial"/>
          <w:sz w:val="20"/>
          <w:szCs w:val="20"/>
          <w:color w:val="auto"/>
        </w:rPr>
        <w:t>” means, with respect to any Person, another Person that directly or indirectly, through one or more intermediaries, Controls or is Controlled by or is under common Control with the Person specified.</w:t>
      </w:r>
    </w:p>
    <w:p>
      <w:pPr>
        <w:spacing w:after="0" w:line="17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Aggregate Commitments</w:t>
      </w:r>
      <w:r>
        <w:rPr>
          <w:rFonts w:ascii="Arial" w:cs="Arial" w:eastAsia="Arial" w:hAnsi="Arial"/>
          <w:sz w:val="20"/>
          <w:szCs w:val="20"/>
          <w:color w:val="auto"/>
        </w:rPr>
        <w:t>” means the aggregate principal amount of the Commitments.</w:t>
      </w:r>
    </w:p>
    <w:p>
      <w:pPr>
        <w:spacing w:after="0" w:line="25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Aggregate Australian Revolving Committed Amount</w:t>
      </w:r>
      <w:r>
        <w:rPr>
          <w:rFonts w:ascii="Arial" w:cs="Arial" w:eastAsia="Arial" w:hAnsi="Arial"/>
          <w:sz w:val="20"/>
          <w:szCs w:val="20"/>
          <w:color w:val="auto"/>
        </w:rPr>
        <w:t>” has the meaning provided in Section 2.01(c)(i).</w:t>
      </w:r>
    </w:p>
    <w:p>
      <w:pPr>
        <w:spacing w:after="0" w:line="25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Aggregate European Revolving Committed Amount</w:t>
      </w:r>
      <w:r>
        <w:rPr>
          <w:rFonts w:ascii="Arial" w:cs="Arial" w:eastAsia="Arial" w:hAnsi="Arial"/>
          <w:sz w:val="20"/>
          <w:szCs w:val="20"/>
          <w:color w:val="auto"/>
        </w:rPr>
        <w:t>” has the meaning provided in Section 2.01(b)(i).</w:t>
      </w:r>
    </w:p>
    <w:p>
      <w:pPr>
        <w:spacing w:after="0" w:line="25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Aggregate India Revolving Commitment</w:t>
      </w:r>
      <w:r>
        <w:rPr>
          <w:rFonts w:ascii="Arial" w:cs="Arial" w:eastAsia="Arial" w:hAnsi="Arial"/>
          <w:sz w:val="20"/>
          <w:szCs w:val="20"/>
          <w:color w:val="auto"/>
        </w:rPr>
        <w:t>” means the India Revolving Commitments of all the Lenders.</w:t>
      </w:r>
    </w:p>
    <w:p>
      <w:pPr>
        <w:spacing w:after="0" w:line="25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Aggregate India Revolving Committed Amount</w:t>
      </w:r>
      <w:r>
        <w:rPr>
          <w:rFonts w:ascii="Arial" w:cs="Arial" w:eastAsia="Arial" w:hAnsi="Arial"/>
          <w:sz w:val="20"/>
          <w:szCs w:val="20"/>
          <w:color w:val="auto"/>
        </w:rPr>
        <w:t>” has the meaning provided in Section 2.01(d)(i).</w:t>
      </w:r>
    </w:p>
    <w:p>
      <w:pPr>
        <w:spacing w:after="0" w:line="25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Aggregate Master Revolving Commitments</w:t>
      </w:r>
      <w:r>
        <w:rPr>
          <w:rFonts w:ascii="Arial" w:cs="Arial" w:eastAsia="Arial" w:hAnsi="Arial"/>
          <w:sz w:val="20"/>
          <w:szCs w:val="20"/>
          <w:color w:val="auto"/>
        </w:rPr>
        <w:t>” means the Master Revolving Commitments of all the Lenders.</w:t>
      </w:r>
    </w:p>
    <w:p>
      <w:pPr>
        <w:spacing w:after="0" w:line="256" w:lineRule="exact"/>
        <w:rPr>
          <w:sz w:val="20"/>
          <w:szCs w:val="20"/>
          <w:color w:val="auto"/>
        </w:rPr>
      </w:pPr>
    </w:p>
    <w:p>
      <w:pPr>
        <w:ind w:firstLine="648"/>
        <w:spacing w:after="0" w:line="303"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Aggregate Master Revolving Committed Amount</w:t>
      </w:r>
      <w:r>
        <w:rPr>
          <w:rFonts w:ascii="Arial" w:cs="Arial" w:eastAsia="Arial" w:hAnsi="Arial"/>
          <w:sz w:val="20"/>
          <w:szCs w:val="20"/>
          <w:color w:val="auto"/>
        </w:rPr>
        <w:t>” means an amount equal to the Aggregate USD Revolving Committed Amount. The Aggregate Master Revolving Committed Amount on the</w:t>
      </w:r>
    </w:p>
    <w:p>
      <w:pPr>
        <w:spacing w:after="0" w:line="392"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10</w:t>
      </w:r>
    </w:p>
    <w:p>
      <w:pPr>
        <w:spacing w:after="0" w:line="10" w:lineRule="exact"/>
        <w:rPr>
          <w:sz w:val="20"/>
          <w:szCs w:val="20"/>
          <w:color w:val="auto"/>
        </w:rPr>
      </w:pPr>
    </w:p>
    <w:p>
      <w:pPr>
        <w:spacing w:after="0"/>
        <w:rPr>
          <w:sz w:val="20"/>
          <w:szCs w:val="20"/>
          <w:color w:val="auto"/>
        </w:rPr>
      </w:pPr>
      <w:r>
        <w:rPr>
          <w:rFonts w:ascii="Arial" w:cs="Arial" w:eastAsia="Arial" w:hAnsi="Arial"/>
          <w:sz w:val="14"/>
          <w:szCs w:val="14"/>
          <w:color w:val="auto"/>
        </w:rPr>
        <w:t>CHAR1\1346423v</w:t>
      </w:r>
      <w:r>
        <w:rPr>
          <w:rFonts w:ascii="Arial" w:cs="Arial" w:eastAsia="Arial" w:hAnsi="Arial"/>
          <w:sz w:val="14"/>
          <w:szCs w:val="14"/>
          <w:color w:val="FF0000"/>
          <w:strike w:val="1"/>
        </w:rPr>
        <w:t>1</w:t>
      </w:r>
      <w:r>
        <w:rPr>
          <w:rFonts w:ascii="Arial" w:cs="Arial" w:eastAsia="Arial" w:hAnsi="Arial"/>
          <w:sz w:val="14"/>
          <w:szCs w:val="14"/>
          <w:u w:val="single" w:color="auto"/>
          <w:color w:val="0000FF"/>
        </w:rPr>
        <w:t>12</w:t>
      </w:r>
    </w:p>
    <w:p>
      <w:pPr>
        <w:sectPr>
          <w:pgSz w:w="11900" w:h="16838" w:orient="portrait"/>
          <w:cols w:equalWidth="0" w:num="1">
            <w:col w:w="11420"/>
          </w:cols>
          <w:pgMar w:left="240" w:top="609" w:right="239" w:bottom="1440" w:gutter="0" w:footer="0" w:header="0"/>
        </w:sectPr>
      </w:pPr>
    </w:p>
    <w:bookmarkStart w:id="62" w:name="page63"/>
    <w:bookmarkEnd w:id="62"/>
    <w:p>
      <w:pPr>
        <w:spacing w:after="0"/>
        <w:rPr>
          <w:sz w:val="20"/>
          <w:szCs w:val="20"/>
          <w:color w:val="auto"/>
        </w:rPr>
      </w:pPr>
      <w:r>
        <w:rPr>
          <w:rFonts w:ascii="Arial" w:cs="Arial" w:eastAsia="Arial" w:hAnsi="Arial"/>
          <w:sz w:val="20"/>
          <w:szCs w:val="20"/>
          <w:color w:val="FF0000"/>
          <w:strike w:val="1"/>
        </w:rPr>
        <w:t>Closing</w:t>
      </w:r>
      <w:r>
        <w:rPr>
          <w:rFonts w:ascii="Arial" w:cs="Arial" w:eastAsia="Arial" w:hAnsi="Arial"/>
          <w:sz w:val="20"/>
          <w:szCs w:val="20"/>
          <w:u w:val="single" w:color="auto"/>
          <w:color w:val="0000FF"/>
        </w:rPr>
        <w:t>Amendment No. 1 Effective</w:t>
      </w:r>
      <w:r>
        <w:rPr>
          <w:rFonts w:ascii="Arial" w:cs="Arial" w:eastAsia="Arial" w:hAnsi="Arial"/>
          <w:sz w:val="20"/>
          <w:szCs w:val="20"/>
          <w:color w:val="FF0000"/>
        </w:rPr>
        <w:t xml:space="preserve"> </w:t>
      </w:r>
      <w:r>
        <w:rPr>
          <w:rFonts w:ascii="Arial" w:cs="Arial" w:eastAsia="Arial" w:hAnsi="Arial"/>
          <w:sz w:val="20"/>
          <w:szCs w:val="20"/>
          <w:color w:val="000000"/>
        </w:rPr>
        <w:t>Date is</w:t>
      </w:r>
      <w:r>
        <w:rPr>
          <w:rFonts w:ascii="Arial" w:cs="Arial" w:eastAsia="Arial" w:hAnsi="Arial"/>
          <w:sz w:val="20"/>
          <w:szCs w:val="20"/>
          <w:color w:val="FF0000"/>
        </w:rPr>
        <w:t xml:space="preserve"> </w:t>
      </w:r>
      <w:r>
        <w:rPr>
          <w:rFonts w:ascii="Arial" w:cs="Arial" w:eastAsia="Arial" w:hAnsi="Arial"/>
          <w:sz w:val="20"/>
          <w:szCs w:val="20"/>
          <w:color w:val="FF0000"/>
          <w:strike w:val="1"/>
        </w:rPr>
        <w:t>Two</w:t>
      </w:r>
      <w:r>
        <w:rPr>
          <w:rFonts w:ascii="Arial" w:cs="Arial" w:eastAsia="Arial" w:hAnsi="Arial"/>
          <w:sz w:val="20"/>
          <w:szCs w:val="20"/>
          <w:u w:val="single" w:color="auto"/>
          <w:color w:val="0000FF"/>
        </w:rPr>
        <w:t>Five</w:t>
      </w:r>
      <w:r>
        <w:rPr>
          <w:rFonts w:ascii="Arial" w:cs="Arial" w:eastAsia="Arial" w:hAnsi="Arial"/>
          <w:sz w:val="20"/>
          <w:szCs w:val="20"/>
          <w:color w:val="FF0000"/>
        </w:rPr>
        <w:t xml:space="preserve"> </w:t>
      </w:r>
      <w:r>
        <w:rPr>
          <w:rFonts w:ascii="Arial" w:cs="Arial" w:eastAsia="Arial" w:hAnsi="Arial"/>
          <w:sz w:val="20"/>
          <w:szCs w:val="20"/>
          <w:color w:val="000000"/>
        </w:rPr>
        <w:t>Hundred</w:t>
      </w:r>
      <w:r>
        <w:rPr>
          <w:rFonts w:ascii="Arial" w:cs="Arial" w:eastAsia="Arial" w:hAnsi="Arial"/>
          <w:sz w:val="20"/>
          <w:szCs w:val="20"/>
          <w:color w:val="FF0000"/>
        </w:rPr>
        <w:t xml:space="preserve"> </w:t>
      </w:r>
      <w:r>
        <w:rPr>
          <w:rFonts w:ascii="Arial" w:cs="Arial" w:eastAsia="Arial" w:hAnsi="Arial"/>
          <w:sz w:val="20"/>
          <w:szCs w:val="20"/>
          <w:color w:val="FF0000"/>
          <w:strike w:val="1"/>
        </w:rPr>
        <w:t>Sixty-Five</w:t>
      </w:r>
      <w:r>
        <w:rPr>
          <w:rFonts w:ascii="Arial" w:cs="Arial" w:eastAsia="Arial" w:hAnsi="Arial"/>
          <w:sz w:val="20"/>
          <w:szCs w:val="20"/>
          <w:u w:val="single" w:color="auto"/>
          <w:color w:val="0000FF"/>
        </w:rPr>
        <w:t>Ninety</w:t>
      </w:r>
      <w:r>
        <w:rPr>
          <w:rFonts w:ascii="Arial" w:cs="Arial" w:eastAsia="Arial" w:hAnsi="Arial"/>
          <w:sz w:val="20"/>
          <w:szCs w:val="20"/>
          <w:color w:val="FF0000"/>
        </w:rPr>
        <w:t xml:space="preserve"> </w:t>
      </w:r>
      <w:r>
        <w:rPr>
          <w:rFonts w:ascii="Arial" w:cs="Arial" w:eastAsia="Arial" w:hAnsi="Arial"/>
          <w:sz w:val="20"/>
          <w:szCs w:val="20"/>
          <w:color w:val="000000"/>
        </w:rPr>
        <w:t>Million Dollars ($</w:t>
      </w:r>
      <w:r>
        <w:rPr>
          <w:rFonts w:ascii="Arial" w:cs="Arial" w:eastAsia="Arial" w:hAnsi="Arial"/>
          <w:sz w:val="20"/>
          <w:szCs w:val="20"/>
          <w:color w:val="FF0000"/>
          <w:strike w:val="1"/>
        </w:rPr>
        <w:t>265,000,000</w:t>
      </w:r>
      <w:r>
        <w:rPr>
          <w:rFonts w:ascii="Arial" w:cs="Arial" w:eastAsia="Arial" w:hAnsi="Arial"/>
          <w:sz w:val="20"/>
          <w:szCs w:val="20"/>
          <w:u w:val="single" w:color="auto"/>
          <w:color w:val="0000FF"/>
        </w:rPr>
        <w:t>590,000,000</w:t>
      </w:r>
      <w:r>
        <w:rPr>
          <w:rFonts w:ascii="Arial" w:cs="Arial" w:eastAsia="Arial" w:hAnsi="Arial"/>
          <w:sz w:val="20"/>
          <w:szCs w:val="20"/>
          <w:color w:val="000000"/>
        </w:rPr>
        <w:t>).</w:t>
      </w:r>
    </w:p>
    <w:p>
      <w:pPr>
        <w:spacing w:after="0" w:line="256" w:lineRule="exact"/>
        <w:rPr>
          <w:sz w:val="20"/>
          <w:szCs w:val="20"/>
          <w:color w:val="auto"/>
        </w:rPr>
      </w:pPr>
    </w:p>
    <w:p>
      <w:pPr>
        <w:ind w:right="480" w:firstLine="648"/>
        <w:spacing w:after="0" w:line="303"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Aggregate Revolving Commitments</w:t>
      </w:r>
      <w:r>
        <w:rPr>
          <w:rFonts w:ascii="Arial" w:cs="Arial" w:eastAsia="Arial" w:hAnsi="Arial"/>
          <w:sz w:val="20"/>
          <w:szCs w:val="20"/>
          <w:color w:val="auto"/>
        </w:rPr>
        <w:t>” means the Aggregate Master Revolving Commitments and the Aggregate India Revolving Commitment.</w:t>
      </w:r>
    </w:p>
    <w:p>
      <w:pPr>
        <w:spacing w:after="0" w:line="17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Aggregate USD Revolving Committed Amount</w:t>
      </w:r>
      <w:r>
        <w:rPr>
          <w:rFonts w:ascii="Arial" w:cs="Arial" w:eastAsia="Arial" w:hAnsi="Arial"/>
          <w:sz w:val="20"/>
          <w:szCs w:val="20"/>
          <w:color w:val="auto"/>
        </w:rPr>
        <w:t>” has the meaning provided in Section 2.01(a)(i).</w:t>
      </w:r>
    </w:p>
    <w:p>
      <w:pPr>
        <w:spacing w:after="0" w:line="25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Agreement Currency</w:t>
      </w:r>
      <w:r>
        <w:rPr>
          <w:rFonts w:ascii="Arial" w:cs="Arial" w:eastAsia="Arial" w:hAnsi="Arial"/>
          <w:sz w:val="20"/>
          <w:szCs w:val="20"/>
          <w:color w:val="auto"/>
        </w:rPr>
        <w:t xml:space="preserve">” has the meaning provided in </w:t>
      </w:r>
      <w:r>
        <w:rPr>
          <w:rFonts w:ascii="Arial" w:cs="Arial" w:eastAsia="Arial" w:hAnsi="Arial"/>
          <w:sz w:val="20"/>
          <w:szCs w:val="20"/>
          <w:u w:val="single" w:color="auto"/>
          <w:color w:val="auto"/>
        </w:rPr>
        <w:t>Section 11.18</w:t>
      </w:r>
      <w:r>
        <w:rPr>
          <w:rFonts w:ascii="Arial" w:cs="Arial" w:eastAsia="Arial" w:hAnsi="Arial"/>
          <w:sz w:val="20"/>
          <w:szCs w:val="20"/>
          <w:color w:val="auto"/>
        </w:rPr>
        <w:t>.</w:t>
      </w:r>
    </w:p>
    <w:p>
      <w:pPr>
        <w:spacing w:after="0" w:line="25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Alternative Currency</w:t>
      </w:r>
      <w:r>
        <w:rPr>
          <w:rFonts w:ascii="Arial" w:cs="Arial" w:eastAsia="Arial" w:hAnsi="Arial"/>
          <w:sz w:val="20"/>
          <w:szCs w:val="20"/>
          <w:color w:val="auto"/>
        </w:rPr>
        <w:t>” means</w:t>
      </w:r>
    </w:p>
    <w:p>
      <w:pPr>
        <w:spacing w:after="0" w:line="270" w:lineRule="exact"/>
        <w:rPr>
          <w:sz w:val="20"/>
          <w:szCs w:val="20"/>
          <w:color w:val="auto"/>
        </w:rPr>
      </w:pPr>
    </w:p>
    <w:p>
      <w:pPr>
        <w:jc w:val="both"/>
        <w:ind w:left="1300" w:right="100" w:firstLine="653"/>
        <w:spacing w:after="0" w:line="312" w:lineRule="auto"/>
        <w:tabs>
          <w:tab w:leader="none" w:pos="2332" w:val="left"/>
        </w:tabs>
        <w:numPr>
          <w:ilvl w:val="0"/>
          <w:numId w:val="20"/>
        </w:numPr>
        <w:rPr>
          <w:rFonts w:ascii="Arial" w:cs="Arial" w:eastAsia="Arial" w:hAnsi="Arial"/>
          <w:sz w:val="22"/>
          <w:szCs w:val="22"/>
          <w:color w:val="auto"/>
        </w:rPr>
      </w:pPr>
      <w:r>
        <w:rPr>
          <w:rFonts w:ascii="Arial" w:cs="Arial" w:eastAsia="Arial" w:hAnsi="Arial"/>
          <w:sz w:val="20"/>
          <w:szCs w:val="20"/>
          <w:color w:val="auto"/>
        </w:rPr>
        <w:t xml:space="preserve">for USD Letters of Credit, Australian Dollars, Brazilian Reals, British Pounds Sterling, Canadian Dollars, Euros, Hungarian Forints, Indian Rupees, New Zealand Dollars, Polish New Zlotys and each other currency (other than Dollars) that is approved in accordance with </w:t>
      </w:r>
      <w:r>
        <w:rPr>
          <w:rFonts w:ascii="Arial" w:cs="Arial" w:eastAsia="Arial" w:hAnsi="Arial"/>
          <w:sz w:val="20"/>
          <w:szCs w:val="20"/>
          <w:u w:val="single" w:color="auto"/>
          <w:color w:val="auto"/>
        </w:rPr>
        <w:t>Section 1.06</w:t>
      </w:r>
      <w:r>
        <w:rPr>
          <w:rFonts w:ascii="Arial" w:cs="Arial" w:eastAsia="Arial" w:hAnsi="Arial"/>
          <w:sz w:val="20"/>
          <w:szCs w:val="20"/>
          <w:color w:val="auto"/>
        </w:rPr>
        <w:t>;</w:t>
      </w:r>
    </w:p>
    <w:p>
      <w:pPr>
        <w:spacing w:after="0" w:line="194" w:lineRule="exact"/>
        <w:rPr>
          <w:rFonts w:ascii="Arial" w:cs="Arial" w:eastAsia="Arial" w:hAnsi="Arial"/>
          <w:sz w:val="22"/>
          <w:szCs w:val="22"/>
          <w:color w:val="auto"/>
        </w:rPr>
      </w:pPr>
    </w:p>
    <w:p>
      <w:pPr>
        <w:ind w:left="1300" w:right="120" w:firstLine="653"/>
        <w:spacing w:after="0" w:line="321" w:lineRule="auto"/>
        <w:tabs>
          <w:tab w:leader="none" w:pos="2392" w:val="left"/>
        </w:tabs>
        <w:numPr>
          <w:ilvl w:val="0"/>
          <w:numId w:val="20"/>
        </w:numPr>
        <w:rPr>
          <w:rFonts w:ascii="Arial" w:cs="Arial" w:eastAsia="Arial" w:hAnsi="Arial"/>
          <w:sz w:val="22"/>
          <w:szCs w:val="22"/>
          <w:color w:val="auto"/>
        </w:rPr>
      </w:pPr>
      <w:r>
        <w:rPr>
          <w:rFonts w:ascii="Arial" w:cs="Arial" w:eastAsia="Arial" w:hAnsi="Arial"/>
          <w:sz w:val="20"/>
          <w:szCs w:val="20"/>
          <w:color w:val="auto"/>
        </w:rPr>
        <w:t xml:space="preserve">for European Revolving Loans, British Pounds Sterling, Euros and each other currency (other than Dollars) that is approved in accordance with </w:t>
      </w:r>
      <w:r>
        <w:rPr>
          <w:rFonts w:ascii="Arial" w:cs="Arial" w:eastAsia="Arial" w:hAnsi="Arial"/>
          <w:sz w:val="20"/>
          <w:szCs w:val="20"/>
          <w:u w:val="single" w:color="auto"/>
          <w:color w:val="auto"/>
        </w:rPr>
        <w:t>Section 1.06</w:t>
      </w:r>
      <w:r>
        <w:rPr>
          <w:rFonts w:ascii="Arial" w:cs="Arial" w:eastAsia="Arial" w:hAnsi="Arial"/>
          <w:sz w:val="20"/>
          <w:szCs w:val="20"/>
          <w:color w:val="auto"/>
        </w:rPr>
        <w:t>;</w:t>
      </w:r>
    </w:p>
    <w:p>
      <w:pPr>
        <w:spacing w:after="0" w:line="177" w:lineRule="exact"/>
        <w:rPr>
          <w:rFonts w:ascii="Arial" w:cs="Arial" w:eastAsia="Arial" w:hAnsi="Arial"/>
          <w:sz w:val="22"/>
          <w:szCs w:val="22"/>
          <w:color w:val="auto"/>
        </w:rPr>
      </w:pPr>
    </w:p>
    <w:p>
      <w:pPr>
        <w:ind w:left="1300" w:right="80" w:firstLine="653"/>
        <w:spacing w:after="0" w:line="321" w:lineRule="auto"/>
        <w:tabs>
          <w:tab w:leader="none" w:pos="2452" w:val="left"/>
        </w:tabs>
        <w:numPr>
          <w:ilvl w:val="0"/>
          <w:numId w:val="20"/>
        </w:numPr>
        <w:rPr>
          <w:rFonts w:ascii="Arial" w:cs="Arial" w:eastAsia="Arial" w:hAnsi="Arial"/>
          <w:sz w:val="22"/>
          <w:szCs w:val="22"/>
          <w:color w:val="auto"/>
        </w:rPr>
      </w:pPr>
      <w:r>
        <w:rPr>
          <w:rFonts w:ascii="Arial" w:cs="Arial" w:eastAsia="Arial" w:hAnsi="Arial"/>
          <w:sz w:val="20"/>
          <w:szCs w:val="20"/>
          <w:color w:val="auto"/>
        </w:rPr>
        <w:t xml:space="preserve">for European Swingline Loans, British Pounds Sterling, Euros and each other currency (other than Dollars) that is approved in accordance with </w:t>
      </w:r>
      <w:r>
        <w:rPr>
          <w:rFonts w:ascii="Arial" w:cs="Arial" w:eastAsia="Arial" w:hAnsi="Arial"/>
          <w:sz w:val="20"/>
          <w:szCs w:val="20"/>
          <w:u w:val="single" w:color="auto"/>
          <w:color w:val="auto"/>
        </w:rPr>
        <w:t>Section 1.06</w:t>
      </w:r>
      <w:r>
        <w:rPr>
          <w:rFonts w:ascii="Arial" w:cs="Arial" w:eastAsia="Arial" w:hAnsi="Arial"/>
          <w:sz w:val="20"/>
          <w:szCs w:val="20"/>
          <w:color w:val="auto"/>
        </w:rPr>
        <w:t>; and</w:t>
      </w:r>
    </w:p>
    <w:p>
      <w:pPr>
        <w:spacing w:after="0" w:line="177" w:lineRule="exact"/>
        <w:rPr>
          <w:rFonts w:ascii="Arial" w:cs="Arial" w:eastAsia="Arial" w:hAnsi="Arial"/>
          <w:sz w:val="22"/>
          <w:szCs w:val="22"/>
          <w:color w:val="auto"/>
        </w:rPr>
      </w:pPr>
    </w:p>
    <w:p>
      <w:pPr>
        <w:ind w:left="1300" w:firstLine="653"/>
        <w:spacing w:after="0" w:line="321" w:lineRule="auto"/>
        <w:tabs>
          <w:tab w:leader="none" w:pos="2440" w:val="left"/>
        </w:tabs>
        <w:numPr>
          <w:ilvl w:val="0"/>
          <w:numId w:val="20"/>
        </w:numPr>
        <w:rPr>
          <w:rFonts w:ascii="Arial" w:cs="Arial" w:eastAsia="Arial" w:hAnsi="Arial"/>
          <w:sz w:val="22"/>
          <w:szCs w:val="22"/>
          <w:color w:val="auto"/>
        </w:rPr>
      </w:pPr>
      <w:r>
        <w:rPr>
          <w:rFonts w:ascii="Arial" w:cs="Arial" w:eastAsia="Arial" w:hAnsi="Arial"/>
          <w:sz w:val="20"/>
          <w:szCs w:val="20"/>
          <w:color w:val="auto"/>
        </w:rPr>
        <w:t xml:space="preserve">for Australian Revolving Loans, Australian Dollars and each other currency (other than Dollars) that is approved in accordance with </w:t>
      </w:r>
      <w:r>
        <w:rPr>
          <w:rFonts w:ascii="Arial" w:cs="Arial" w:eastAsia="Arial" w:hAnsi="Arial"/>
          <w:sz w:val="20"/>
          <w:szCs w:val="20"/>
          <w:u w:val="single" w:color="auto"/>
          <w:color w:val="auto"/>
        </w:rPr>
        <w:t>Section 1.06</w:t>
      </w:r>
      <w:r>
        <w:rPr>
          <w:rFonts w:ascii="Arial" w:cs="Arial" w:eastAsia="Arial" w:hAnsi="Arial"/>
          <w:sz w:val="20"/>
          <w:szCs w:val="20"/>
          <w:color w:val="auto"/>
        </w:rPr>
        <w:t>.</w:t>
      </w:r>
    </w:p>
    <w:p>
      <w:pPr>
        <w:spacing w:after="0" w:line="164" w:lineRule="exact"/>
        <w:rPr>
          <w:sz w:val="20"/>
          <w:szCs w:val="20"/>
          <w:color w:val="auto"/>
        </w:rPr>
      </w:pPr>
    </w:p>
    <w:p>
      <w:pPr>
        <w:ind w:right="80" w:firstLine="648"/>
        <w:spacing w:after="0" w:line="33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Alternative Currency Equivalent</w:t>
      </w:r>
      <w:r>
        <w:rPr>
          <w:rFonts w:ascii="Arial" w:cs="Arial" w:eastAsia="Arial" w:hAnsi="Arial"/>
          <w:sz w:val="18"/>
          <w:szCs w:val="18"/>
          <w:color w:val="auto"/>
        </w:rPr>
        <w:t>” means, at any time, with respect to any amount denominated in Dollars, the equivalent amount thereof in the applicable foreign currency as determined by the Administrative Agent or the L/C Issuer, as the case may be, at such time on the basis of the Spot Rate (determined in respect of the most recent Revaluation Date) for the purchase of such foreign currency with Dollars.</w:t>
      </w:r>
    </w:p>
    <w:p>
      <w:pPr>
        <w:spacing w:after="0" w:line="152" w:lineRule="exact"/>
        <w:rPr>
          <w:sz w:val="20"/>
          <w:szCs w:val="20"/>
          <w:color w:val="auto"/>
        </w:rPr>
      </w:pPr>
    </w:p>
    <w:p>
      <w:pPr>
        <w:ind w:left="660"/>
        <w:spacing w:after="0"/>
        <w:rPr>
          <w:sz w:val="20"/>
          <w:szCs w:val="20"/>
          <w:color w:val="auto"/>
        </w:rPr>
      </w:pPr>
      <w:r>
        <w:rPr>
          <w:rFonts w:ascii="Arial" w:cs="Arial" w:eastAsia="Arial" w:hAnsi="Arial"/>
          <w:sz w:val="20"/>
          <w:szCs w:val="20"/>
          <w:u w:val="single" w:color="auto"/>
          <w:color w:val="0000FF"/>
        </w:rPr>
        <w:t>“Amendment No. 1 Effective Date” means the date of Amendment No. 1 dated as of April 9, 2014.</w:t>
      </w:r>
    </w:p>
    <w:p>
      <w:pPr>
        <w:spacing w:after="0" w:line="25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Applicable Foreign Obligor Documents</w:t>
      </w:r>
      <w:r>
        <w:rPr>
          <w:rFonts w:ascii="Arial" w:cs="Arial" w:eastAsia="Arial" w:hAnsi="Arial"/>
          <w:sz w:val="20"/>
          <w:szCs w:val="20"/>
          <w:color w:val="auto"/>
        </w:rPr>
        <w:t>” has the meaning provided in Section 6.21(a).</w:t>
      </w:r>
    </w:p>
    <w:p>
      <w:pPr>
        <w:spacing w:after="0" w:line="256" w:lineRule="exact"/>
        <w:rPr>
          <w:sz w:val="20"/>
          <w:szCs w:val="20"/>
          <w:color w:val="auto"/>
        </w:rPr>
      </w:pPr>
    </w:p>
    <w:p>
      <w:pPr>
        <w:ind w:right="260" w:firstLine="648"/>
        <w:spacing w:after="0" w:line="3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Applicable Percentage</w:t>
      </w:r>
      <w:r>
        <w:rPr>
          <w:rFonts w:ascii="Arial" w:cs="Arial" w:eastAsia="Arial" w:hAnsi="Arial"/>
          <w:sz w:val="18"/>
          <w:szCs w:val="18"/>
          <w:color w:val="auto"/>
        </w:rPr>
        <w:t xml:space="preserve">” means the following percentages per annum based on the Consolidated Total Leverage Ratio as set forth in the most recent Compliance Certificate received by the Administrative Agent in accordance with the provisions of </w:t>
      </w:r>
      <w:r>
        <w:rPr>
          <w:rFonts w:ascii="Arial" w:cs="Arial" w:eastAsia="Arial" w:hAnsi="Arial"/>
          <w:sz w:val="18"/>
          <w:szCs w:val="18"/>
          <w:u w:val="single" w:color="auto"/>
          <w:color w:val="auto"/>
        </w:rPr>
        <w:t>Section 7.02(b</w:t>
      </w:r>
      <w:r>
        <w:rPr>
          <w:rFonts w:ascii="Arial" w:cs="Arial" w:eastAsia="Arial" w:hAnsi="Arial"/>
          <w:sz w:val="18"/>
          <w:szCs w:val="18"/>
          <w:color w:val="auto"/>
        </w:rPr>
        <w:t>):</w:t>
      </w:r>
    </w:p>
    <w:p>
      <w:pPr>
        <w:spacing w:after="0" w:line="141" w:lineRule="exact"/>
        <w:rPr>
          <w:sz w:val="20"/>
          <w:szCs w:val="20"/>
          <w:color w:val="auto"/>
        </w:rPr>
      </w:pPr>
    </w:p>
    <w:p>
      <w:pPr>
        <w:ind w:left="2380" w:hanging="427"/>
        <w:spacing w:after="0"/>
        <w:tabs>
          <w:tab w:leader="none" w:pos="2380" w:val="left"/>
        </w:tabs>
        <w:numPr>
          <w:ilvl w:val="0"/>
          <w:numId w:val="21"/>
        </w:numPr>
        <w:rPr>
          <w:rFonts w:ascii="Arial" w:cs="Arial" w:eastAsia="Arial" w:hAnsi="Arial"/>
          <w:sz w:val="22"/>
          <w:szCs w:val="22"/>
          <w:color w:val="auto"/>
        </w:rPr>
      </w:pPr>
      <w:r>
        <w:rPr>
          <w:rFonts w:ascii="Arial" w:cs="Arial" w:eastAsia="Arial" w:hAnsi="Arial"/>
          <w:sz w:val="20"/>
          <w:szCs w:val="20"/>
          <w:u w:val="single" w:color="auto"/>
          <w:color w:val="auto"/>
        </w:rPr>
        <w:t>USD Revolving Loan Obligations</w:t>
      </w:r>
      <w:r>
        <w:rPr>
          <w:rFonts w:ascii="Arial" w:cs="Arial" w:eastAsia="Arial" w:hAnsi="Arial"/>
          <w:sz w:val="20"/>
          <w:szCs w:val="20"/>
          <w:color w:val="auto"/>
        </w:rPr>
        <w:t>. For USD Revolving Loan Obligations:</w:t>
      </w:r>
    </w:p>
    <w:p>
      <w:pPr>
        <w:spacing w:after="0" w:line="200" w:lineRule="exact"/>
        <w:rPr>
          <w:rFonts w:ascii="Arial" w:cs="Arial" w:eastAsia="Arial" w:hAnsi="Arial"/>
          <w:sz w:val="22"/>
          <w:szCs w:val="22"/>
          <w:color w:val="auto"/>
        </w:rPr>
      </w:pPr>
    </w:p>
    <w:p>
      <w:pPr>
        <w:spacing w:after="0" w:line="200" w:lineRule="exact"/>
        <w:rPr>
          <w:rFonts w:ascii="Arial" w:cs="Arial" w:eastAsia="Arial" w:hAnsi="Arial"/>
          <w:sz w:val="22"/>
          <w:szCs w:val="22"/>
          <w:color w:val="auto"/>
        </w:rPr>
      </w:pPr>
    </w:p>
    <w:p>
      <w:pPr>
        <w:spacing w:after="0" w:line="308" w:lineRule="exact"/>
        <w:rPr>
          <w:rFonts w:ascii="Arial" w:cs="Arial" w:eastAsia="Arial" w:hAnsi="Arial"/>
          <w:sz w:val="22"/>
          <w:szCs w:val="22"/>
          <w:color w:val="auto"/>
        </w:rPr>
      </w:pPr>
    </w:p>
    <w:p>
      <w:pPr>
        <w:ind w:left="5620"/>
        <w:spacing w:after="0"/>
        <w:rPr>
          <w:rFonts w:ascii="Arial" w:cs="Arial" w:eastAsia="Arial" w:hAnsi="Arial"/>
          <w:sz w:val="22"/>
          <w:szCs w:val="22"/>
          <w:color w:val="auto"/>
        </w:rPr>
      </w:pPr>
      <w:r>
        <w:rPr>
          <w:rFonts w:ascii="Arial" w:cs="Arial" w:eastAsia="Arial" w:hAnsi="Arial"/>
          <w:sz w:val="20"/>
          <w:szCs w:val="20"/>
          <w:color w:val="auto"/>
        </w:rPr>
        <w:t>11</w:t>
      </w:r>
    </w:p>
    <w:p>
      <w:pPr>
        <w:spacing w:after="0" w:line="10" w:lineRule="exact"/>
        <w:rPr>
          <w:sz w:val="20"/>
          <w:szCs w:val="20"/>
          <w:color w:val="auto"/>
        </w:rPr>
      </w:pPr>
    </w:p>
    <w:p>
      <w:pPr>
        <w:spacing w:after="0"/>
        <w:rPr>
          <w:sz w:val="20"/>
          <w:szCs w:val="20"/>
          <w:color w:val="auto"/>
        </w:rPr>
      </w:pPr>
      <w:r>
        <w:rPr>
          <w:rFonts w:ascii="Arial" w:cs="Arial" w:eastAsia="Arial" w:hAnsi="Arial"/>
          <w:sz w:val="14"/>
          <w:szCs w:val="14"/>
          <w:color w:val="auto"/>
        </w:rPr>
        <w:t>CHAR1\1346423v</w:t>
      </w:r>
      <w:r>
        <w:rPr>
          <w:rFonts w:ascii="Arial" w:cs="Arial" w:eastAsia="Arial" w:hAnsi="Arial"/>
          <w:sz w:val="14"/>
          <w:szCs w:val="14"/>
          <w:color w:val="FF0000"/>
          <w:strike w:val="1"/>
        </w:rPr>
        <w:t>1</w:t>
      </w:r>
      <w:r>
        <w:rPr>
          <w:rFonts w:ascii="Arial" w:cs="Arial" w:eastAsia="Arial" w:hAnsi="Arial"/>
          <w:sz w:val="14"/>
          <w:szCs w:val="14"/>
          <w:u w:val="single" w:color="auto"/>
          <w:color w:val="0000FF"/>
        </w:rPr>
        <w:t>12</w:t>
      </w:r>
    </w:p>
    <w:p>
      <w:pPr>
        <w:sectPr>
          <w:pgSz w:w="11900" w:h="16838" w:orient="portrait"/>
          <w:cols w:equalWidth="0" w:num="1">
            <w:col w:w="11380"/>
          </w:cols>
          <w:pgMar w:left="240" w:top="609" w:right="279" w:bottom="1440" w:gutter="0" w:footer="0" w:header="0"/>
        </w:sectPr>
      </w:pPr>
    </w:p>
    <w:bookmarkStart w:id="63" w:name="page64"/>
    <w:bookmarkEnd w:id="63"/>
    <w:tbl>
      <w:tblPr>
        <w:tblLayout w:type="fixed"/>
        <w:tblInd w:w="0" w:type="dxa"/>
        <w:tblCellMar>
          <w:top w:w="0" w:type="dxa"/>
          <w:left w:w="0" w:type="dxa"/>
          <w:bottom w:w="0" w:type="dxa"/>
          <w:right w:w="0" w:type="dxa"/>
        </w:tblCellMar>
      </w:tblPr>
      <w:tr>
        <w:trPr>
          <w:trHeight w:val="250"/>
        </w:trPr>
        <w:tc>
          <w:tcPr>
            <w:tcW w:w="1040" w:type="dxa"/>
            <w:vAlign w:val="bottom"/>
          </w:tcPr>
          <w:p>
            <w:pPr>
              <w:spacing w:after="0"/>
              <w:rPr>
                <w:sz w:val="21"/>
                <w:szCs w:val="21"/>
                <w:color w:val="auto"/>
              </w:rPr>
            </w:pPr>
          </w:p>
        </w:tc>
        <w:tc>
          <w:tcPr>
            <w:tcW w:w="32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3800" w:type="dxa"/>
            <w:vAlign w:val="bottom"/>
            <w:gridSpan w:val="8"/>
          </w:tcPr>
          <w:p>
            <w:pPr>
              <w:jc w:val="center"/>
              <w:ind w:right="620"/>
              <w:spacing w:after="0"/>
              <w:rPr>
                <w:sz w:val="20"/>
                <w:szCs w:val="20"/>
                <w:color w:val="auto"/>
              </w:rPr>
            </w:pPr>
            <w:r>
              <w:rPr>
                <w:rFonts w:ascii="Arial" w:cs="Arial" w:eastAsia="Arial" w:hAnsi="Arial"/>
                <w:sz w:val="20"/>
                <w:szCs w:val="20"/>
                <w:color w:val="auto"/>
                <w:w w:val="92"/>
              </w:rPr>
              <w:t>USD Revolving Loan Obligations</w:t>
            </w:r>
          </w:p>
        </w:tc>
        <w:tc>
          <w:tcPr>
            <w:tcW w:w="1380" w:type="dxa"/>
            <w:vAlign w:val="bottom"/>
          </w:tcPr>
          <w:p>
            <w:pPr>
              <w:spacing w:after="0"/>
              <w:rPr>
                <w:sz w:val="21"/>
                <w:szCs w:val="21"/>
                <w:color w:val="auto"/>
              </w:rPr>
            </w:pPr>
          </w:p>
        </w:tc>
      </w:tr>
      <w:tr>
        <w:trPr>
          <w:trHeight w:val="23"/>
        </w:trPr>
        <w:tc>
          <w:tcPr>
            <w:tcW w:w="1040" w:type="dxa"/>
            <w:vAlign w:val="bottom"/>
            <w:tcBorders>
              <w:bottom w:val="single" w:sz="8" w:color="auto"/>
            </w:tcBorders>
          </w:tcPr>
          <w:p>
            <w:pPr>
              <w:spacing w:after="0"/>
              <w:rPr>
                <w:sz w:val="2"/>
                <w:szCs w:val="2"/>
                <w:color w:val="auto"/>
              </w:rPr>
            </w:pPr>
          </w:p>
        </w:tc>
        <w:tc>
          <w:tcPr>
            <w:tcW w:w="32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430" w:type="dxa"/>
            <w:vAlign w:val="bottom"/>
            <w:tcBorders>
              <w:bottom w:val="single" w:sz="8" w:color="auto"/>
            </w:tcBorders>
          </w:tcPr>
          <w:p>
            <w:pPr>
              <w:spacing w:after="0"/>
              <w:rPr>
                <w:sz w:val="2"/>
                <w:szCs w:val="2"/>
                <w:color w:val="auto"/>
              </w:rPr>
            </w:pPr>
          </w:p>
        </w:tc>
        <w:tc>
          <w:tcPr>
            <w:tcW w:w="43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33"/>
        </w:trPr>
        <w:tc>
          <w:tcPr>
            <w:tcW w:w="1040" w:type="dxa"/>
            <w:vAlign w:val="bottom"/>
          </w:tcPr>
          <w:p>
            <w:pPr>
              <w:jc w:val="center"/>
              <w:spacing w:after="0"/>
              <w:rPr>
                <w:sz w:val="20"/>
                <w:szCs w:val="20"/>
                <w:color w:val="auto"/>
              </w:rPr>
            </w:pPr>
            <w:r>
              <w:rPr>
                <w:rFonts w:ascii="Arial" w:cs="Arial" w:eastAsia="Arial" w:hAnsi="Arial"/>
                <w:sz w:val="20"/>
                <w:szCs w:val="20"/>
                <w:color w:val="auto"/>
                <w:w w:val="94"/>
              </w:rPr>
              <w:t>Pricing</w:t>
            </w:r>
          </w:p>
        </w:tc>
        <w:tc>
          <w:tcPr>
            <w:tcW w:w="3200" w:type="dxa"/>
            <w:vAlign w:val="bottom"/>
          </w:tcPr>
          <w:p>
            <w:pPr>
              <w:jc w:val="center"/>
              <w:spacing w:after="0"/>
              <w:rPr>
                <w:sz w:val="20"/>
                <w:szCs w:val="20"/>
                <w:color w:val="auto"/>
              </w:rPr>
            </w:pPr>
            <w:r>
              <w:rPr>
                <w:rFonts w:ascii="Arial" w:cs="Arial" w:eastAsia="Arial" w:hAnsi="Arial"/>
                <w:sz w:val="20"/>
                <w:szCs w:val="20"/>
                <w:color w:val="auto"/>
                <w:w w:val="89"/>
              </w:rPr>
              <w:t>Consolidated Total Leverage Ratio</w:t>
            </w:r>
          </w:p>
        </w:tc>
        <w:tc>
          <w:tcPr>
            <w:tcW w:w="1560" w:type="dxa"/>
            <w:vAlign w:val="bottom"/>
            <w:gridSpan w:val="3"/>
          </w:tcPr>
          <w:p>
            <w:pPr>
              <w:ind w:left="200"/>
              <w:spacing w:after="0"/>
              <w:rPr>
                <w:sz w:val="20"/>
                <w:szCs w:val="20"/>
                <w:color w:val="auto"/>
              </w:rPr>
            </w:pPr>
            <w:r>
              <w:rPr>
                <w:rFonts w:ascii="Arial" w:cs="Arial" w:eastAsia="Arial" w:hAnsi="Arial"/>
                <w:sz w:val="20"/>
                <w:szCs w:val="20"/>
                <w:color w:val="auto"/>
              </w:rPr>
              <w:t>Fixed LIBOR</w:t>
            </w:r>
          </w:p>
        </w:tc>
        <w:tc>
          <w:tcPr>
            <w:tcW w:w="1310" w:type="dxa"/>
            <w:vAlign w:val="bottom"/>
            <w:gridSpan w:val="3"/>
          </w:tcPr>
          <w:p>
            <w:pPr>
              <w:jc w:val="right"/>
              <w:ind w:right="410"/>
              <w:spacing w:after="0"/>
              <w:rPr>
                <w:sz w:val="20"/>
                <w:szCs w:val="20"/>
                <w:color w:val="auto"/>
              </w:rPr>
            </w:pPr>
            <w:r>
              <w:rPr>
                <w:rFonts w:ascii="Arial" w:cs="Arial" w:eastAsia="Arial" w:hAnsi="Arial"/>
                <w:sz w:val="20"/>
                <w:szCs w:val="20"/>
                <w:color w:val="auto"/>
              </w:rPr>
              <w:t>Letter of</w:t>
            </w:r>
          </w:p>
        </w:tc>
        <w:tc>
          <w:tcPr>
            <w:tcW w:w="1250" w:type="dxa"/>
            <w:vAlign w:val="bottom"/>
            <w:gridSpan w:val="3"/>
          </w:tcPr>
          <w:p>
            <w:pPr>
              <w:jc w:val="center"/>
              <w:ind w:right="110"/>
              <w:spacing w:after="0"/>
              <w:rPr>
                <w:sz w:val="20"/>
                <w:szCs w:val="20"/>
                <w:color w:val="auto"/>
              </w:rPr>
            </w:pPr>
            <w:r>
              <w:rPr>
                <w:rFonts w:ascii="Arial" w:cs="Arial" w:eastAsia="Arial" w:hAnsi="Arial"/>
                <w:sz w:val="20"/>
                <w:szCs w:val="20"/>
                <w:color w:val="auto"/>
                <w:w w:val="85"/>
              </w:rPr>
              <w:t>Base Rate</w:t>
            </w:r>
          </w:p>
        </w:tc>
        <w:tc>
          <w:tcPr>
            <w:tcW w:w="1680" w:type="dxa"/>
            <w:vAlign w:val="bottom"/>
            <w:gridSpan w:val="3"/>
          </w:tcPr>
          <w:p>
            <w:pPr>
              <w:jc w:val="right"/>
              <w:ind w:right="180"/>
              <w:spacing w:after="0"/>
              <w:rPr>
                <w:sz w:val="20"/>
                <w:szCs w:val="20"/>
                <w:color w:val="auto"/>
              </w:rPr>
            </w:pPr>
            <w:r>
              <w:rPr>
                <w:rFonts w:ascii="Arial" w:cs="Arial" w:eastAsia="Arial" w:hAnsi="Arial"/>
                <w:sz w:val="20"/>
                <w:szCs w:val="20"/>
                <w:color w:val="auto"/>
              </w:rPr>
              <w:t>Floating LIBOR</w:t>
            </w:r>
          </w:p>
        </w:tc>
        <w:tc>
          <w:tcPr>
            <w:tcW w:w="1380" w:type="dxa"/>
            <w:vAlign w:val="bottom"/>
          </w:tcPr>
          <w:p>
            <w:pPr>
              <w:jc w:val="center"/>
              <w:spacing w:after="0"/>
              <w:rPr>
                <w:sz w:val="20"/>
                <w:szCs w:val="20"/>
                <w:color w:val="auto"/>
              </w:rPr>
            </w:pPr>
            <w:r>
              <w:rPr>
                <w:rFonts w:ascii="Arial" w:cs="Arial" w:eastAsia="Arial" w:hAnsi="Arial"/>
                <w:sz w:val="20"/>
                <w:szCs w:val="20"/>
                <w:color w:val="auto"/>
                <w:w w:val="91"/>
              </w:rPr>
              <w:t>Commitment</w:t>
            </w:r>
          </w:p>
        </w:tc>
      </w:tr>
      <w:tr>
        <w:trPr>
          <w:trHeight w:val="250"/>
        </w:trPr>
        <w:tc>
          <w:tcPr>
            <w:tcW w:w="1040" w:type="dxa"/>
            <w:vAlign w:val="bottom"/>
          </w:tcPr>
          <w:p>
            <w:pPr>
              <w:jc w:val="center"/>
              <w:spacing w:after="0"/>
              <w:rPr>
                <w:sz w:val="20"/>
                <w:szCs w:val="20"/>
                <w:color w:val="auto"/>
              </w:rPr>
            </w:pPr>
            <w:r>
              <w:rPr>
                <w:rFonts w:ascii="Arial" w:cs="Arial" w:eastAsia="Arial" w:hAnsi="Arial"/>
                <w:sz w:val="20"/>
                <w:szCs w:val="20"/>
                <w:color w:val="auto"/>
                <w:w w:val="96"/>
              </w:rPr>
              <w:t>Level</w:t>
            </w:r>
          </w:p>
        </w:tc>
        <w:tc>
          <w:tcPr>
            <w:tcW w:w="3200" w:type="dxa"/>
            <w:vAlign w:val="bottom"/>
          </w:tcPr>
          <w:p>
            <w:pPr>
              <w:spacing w:after="0"/>
              <w:rPr>
                <w:sz w:val="21"/>
                <w:szCs w:val="21"/>
                <w:color w:val="auto"/>
              </w:rPr>
            </w:pPr>
          </w:p>
        </w:tc>
        <w:tc>
          <w:tcPr>
            <w:tcW w:w="1560" w:type="dxa"/>
            <w:vAlign w:val="bottom"/>
            <w:gridSpan w:val="3"/>
          </w:tcPr>
          <w:p>
            <w:pPr>
              <w:ind w:left="300"/>
              <w:spacing w:after="0"/>
              <w:rPr>
                <w:sz w:val="20"/>
                <w:szCs w:val="20"/>
                <w:color w:val="auto"/>
              </w:rPr>
            </w:pPr>
            <w:r>
              <w:rPr>
                <w:rFonts w:ascii="Arial" w:cs="Arial" w:eastAsia="Arial" w:hAnsi="Arial"/>
                <w:sz w:val="20"/>
                <w:szCs w:val="20"/>
                <w:color w:val="auto"/>
              </w:rPr>
              <w:t>Rate Loans</w:t>
            </w:r>
          </w:p>
        </w:tc>
        <w:tc>
          <w:tcPr>
            <w:tcW w:w="1310" w:type="dxa"/>
            <w:vAlign w:val="bottom"/>
            <w:gridSpan w:val="3"/>
          </w:tcPr>
          <w:p>
            <w:pPr>
              <w:jc w:val="right"/>
              <w:ind w:right="330"/>
              <w:spacing w:after="0"/>
              <w:rPr>
                <w:sz w:val="20"/>
                <w:szCs w:val="20"/>
                <w:color w:val="auto"/>
              </w:rPr>
            </w:pPr>
            <w:r>
              <w:rPr>
                <w:rFonts w:ascii="Arial" w:cs="Arial" w:eastAsia="Arial" w:hAnsi="Arial"/>
                <w:sz w:val="20"/>
                <w:szCs w:val="20"/>
                <w:color w:val="auto"/>
              </w:rPr>
              <w:t>Credit Fee</w:t>
            </w:r>
          </w:p>
        </w:tc>
        <w:tc>
          <w:tcPr>
            <w:tcW w:w="1250" w:type="dxa"/>
            <w:vAlign w:val="bottom"/>
            <w:gridSpan w:val="3"/>
          </w:tcPr>
          <w:p>
            <w:pPr>
              <w:jc w:val="center"/>
              <w:ind w:right="110"/>
              <w:spacing w:after="0"/>
              <w:rPr>
                <w:sz w:val="20"/>
                <w:szCs w:val="20"/>
                <w:color w:val="auto"/>
              </w:rPr>
            </w:pPr>
            <w:r>
              <w:rPr>
                <w:rFonts w:ascii="Arial" w:cs="Arial" w:eastAsia="Arial" w:hAnsi="Arial"/>
                <w:sz w:val="20"/>
                <w:szCs w:val="20"/>
                <w:color w:val="auto"/>
                <w:w w:val="88"/>
              </w:rPr>
              <w:t>Loans</w:t>
            </w:r>
          </w:p>
        </w:tc>
        <w:tc>
          <w:tcPr>
            <w:tcW w:w="1680" w:type="dxa"/>
            <w:vAlign w:val="bottom"/>
            <w:gridSpan w:val="3"/>
          </w:tcPr>
          <w:p>
            <w:pPr>
              <w:jc w:val="right"/>
              <w:ind w:right="380"/>
              <w:spacing w:after="0"/>
              <w:rPr>
                <w:sz w:val="20"/>
                <w:szCs w:val="20"/>
                <w:color w:val="auto"/>
              </w:rPr>
            </w:pPr>
            <w:r>
              <w:rPr>
                <w:rFonts w:ascii="Arial" w:cs="Arial" w:eastAsia="Arial" w:hAnsi="Arial"/>
                <w:sz w:val="20"/>
                <w:szCs w:val="20"/>
                <w:color w:val="auto"/>
              </w:rPr>
              <w:t>Rate Loans</w:t>
            </w:r>
          </w:p>
        </w:tc>
        <w:tc>
          <w:tcPr>
            <w:tcW w:w="1380" w:type="dxa"/>
            <w:vAlign w:val="bottom"/>
          </w:tcPr>
          <w:p>
            <w:pPr>
              <w:jc w:val="center"/>
              <w:spacing w:after="0"/>
              <w:rPr>
                <w:sz w:val="20"/>
                <w:szCs w:val="20"/>
                <w:color w:val="auto"/>
              </w:rPr>
            </w:pPr>
            <w:r>
              <w:rPr>
                <w:rFonts w:ascii="Arial" w:cs="Arial" w:eastAsia="Arial" w:hAnsi="Arial"/>
                <w:sz w:val="20"/>
                <w:szCs w:val="20"/>
                <w:color w:val="auto"/>
                <w:w w:val="81"/>
              </w:rPr>
              <w:t>Fee</w:t>
            </w:r>
          </w:p>
        </w:tc>
      </w:tr>
      <w:tr>
        <w:trPr>
          <w:trHeight w:val="23"/>
        </w:trPr>
        <w:tc>
          <w:tcPr>
            <w:tcW w:w="1040" w:type="dxa"/>
            <w:vAlign w:val="bottom"/>
            <w:tcBorders>
              <w:bottom w:val="single" w:sz="8" w:color="auto"/>
            </w:tcBorders>
          </w:tcPr>
          <w:p>
            <w:pPr>
              <w:spacing w:after="0"/>
              <w:rPr>
                <w:sz w:val="2"/>
                <w:szCs w:val="2"/>
                <w:color w:val="auto"/>
              </w:rPr>
            </w:pPr>
          </w:p>
        </w:tc>
        <w:tc>
          <w:tcPr>
            <w:tcW w:w="32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430" w:type="dxa"/>
            <w:vAlign w:val="bottom"/>
            <w:tcBorders>
              <w:bottom w:val="single" w:sz="8" w:color="auto"/>
            </w:tcBorders>
          </w:tcPr>
          <w:p>
            <w:pPr>
              <w:spacing w:after="0"/>
              <w:rPr>
                <w:sz w:val="2"/>
                <w:szCs w:val="2"/>
                <w:color w:val="auto"/>
              </w:rPr>
            </w:pPr>
          </w:p>
        </w:tc>
        <w:tc>
          <w:tcPr>
            <w:tcW w:w="43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10"/>
        </w:trPr>
        <w:tc>
          <w:tcPr>
            <w:tcW w:w="1040" w:type="dxa"/>
            <w:vAlign w:val="bottom"/>
          </w:tcPr>
          <w:p>
            <w:pPr>
              <w:jc w:val="center"/>
              <w:spacing w:after="0" w:line="209" w:lineRule="exact"/>
              <w:rPr>
                <w:sz w:val="20"/>
                <w:szCs w:val="20"/>
                <w:color w:val="auto"/>
              </w:rPr>
            </w:pPr>
            <w:r>
              <w:rPr>
                <w:rFonts w:ascii="Arial" w:cs="Arial" w:eastAsia="Arial" w:hAnsi="Arial"/>
                <w:sz w:val="20"/>
                <w:szCs w:val="20"/>
                <w:color w:val="auto"/>
              </w:rPr>
              <w:t>I</w:t>
            </w:r>
          </w:p>
        </w:tc>
        <w:tc>
          <w:tcPr>
            <w:tcW w:w="3200" w:type="dxa"/>
            <w:vAlign w:val="bottom"/>
          </w:tcPr>
          <w:p>
            <w:pPr>
              <w:jc w:val="center"/>
              <w:spacing w:after="0" w:line="209" w:lineRule="exact"/>
              <w:rPr>
                <w:sz w:val="20"/>
                <w:szCs w:val="20"/>
                <w:color w:val="auto"/>
              </w:rPr>
            </w:pPr>
            <w:r>
              <w:rPr>
                <w:rFonts w:ascii="Arial" w:cs="Arial" w:eastAsia="Arial" w:hAnsi="Arial"/>
                <w:sz w:val="20"/>
                <w:szCs w:val="20"/>
                <w:color w:val="auto"/>
                <w:w w:val="89"/>
              </w:rPr>
              <w:t>&lt; 2.00:1.00</w:t>
            </w:r>
          </w:p>
        </w:tc>
        <w:tc>
          <w:tcPr>
            <w:tcW w:w="620" w:type="dxa"/>
            <w:vAlign w:val="bottom"/>
          </w:tcPr>
          <w:p>
            <w:pPr>
              <w:ind w:left="280"/>
              <w:spacing w:after="0" w:line="209" w:lineRule="exact"/>
              <w:rPr>
                <w:sz w:val="20"/>
                <w:szCs w:val="20"/>
                <w:color w:val="auto"/>
              </w:rPr>
            </w:pPr>
            <w:r>
              <w:rPr>
                <w:rFonts w:ascii="Arial" w:cs="Arial" w:eastAsia="Arial" w:hAnsi="Arial"/>
                <w:sz w:val="20"/>
                <w:szCs w:val="20"/>
                <w:color w:val="FF0000"/>
                <w:strike w:val="1"/>
                <w:w w:val="82"/>
              </w:rPr>
              <w:t>1.50</w:t>
            </w:r>
          </w:p>
        </w:tc>
        <w:tc>
          <w:tcPr>
            <w:tcW w:w="940" w:type="dxa"/>
            <w:vAlign w:val="bottom"/>
            <w:gridSpan w:val="2"/>
          </w:tcPr>
          <w:p>
            <w:pPr>
              <w:jc w:val="right"/>
              <w:ind w:right="340"/>
              <w:spacing w:after="0" w:line="209" w:lineRule="exact"/>
              <w:rPr>
                <w:sz w:val="20"/>
                <w:szCs w:val="20"/>
                <w:color w:val="auto"/>
              </w:rPr>
            </w:pPr>
            <w:r>
              <w:rPr>
                <w:rFonts w:ascii="Arial" w:cs="Arial" w:eastAsia="Arial" w:hAnsi="Arial"/>
                <w:sz w:val="20"/>
                <w:szCs w:val="20"/>
                <w:color w:val="0000FF"/>
                <w:w w:val="85"/>
              </w:rPr>
              <w:t>1.375</w:t>
            </w:r>
            <w:r>
              <w:rPr>
                <w:rFonts w:ascii="Arial" w:cs="Arial" w:eastAsia="Arial" w:hAnsi="Arial"/>
                <w:sz w:val="20"/>
                <w:szCs w:val="20"/>
                <w:color w:val="000000"/>
                <w:w w:val="85"/>
              </w:rPr>
              <w:t>%</w:t>
            </w:r>
          </w:p>
        </w:tc>
        <w:tc>
          <w:tcPr>
            <w:tcW w:w="440" w:type="dxa"/>
            <w:vAlign w:val="bottom"/>
          </w:tcPr>
          <w:p>
            <w:pPr>
              <w:jc w:val="right"/>
              <w:spacing w:after="0" w:line="209" w:lineRule="exact"/>
              <w:rPr>
                <w:sz w:val="20"/>
                <w:szCs w:val="20"/>
                <w:color w:val="auto"/>
              </w:rPr>
            </w:pPr>
            <w:r>
              <w:rPr>
                <w:rFonts w:ascii="Arial" w:cs="Arial" w:eastAsia="Arial" w:hAnsi="Arial"/>
                <w:sz w:val="20"/>
                <w:szCs w:val="20"/>
                <w:color w:val="FF0000"/>
                <w:strike w:val="1"/>
              </w:rPr>
              <w:t>1.50</w:t>
            </w:r>
          </w:p>
        </w:tc>
        <w:tc>
          <w:tcPr>
            <w:tcW w:w="870" w:type="dxa"/>
            <w:vAlign w:val="bottom"/>
            <w:gridSpan w:val="2"/>
          </w:tcPr>
          <w:p>
            <w:pPr>
              <w:jc w:val="right"/>
              <w:ind w:right="270"/>
              <w:spacing w:after="0" w:line="209" w:lineRule="exact"/>
              <w:rPr>
                <w:sz w:val="20"/>
                <w:szCs w:val="20"/>
                <w:color w:val="auto"/>
              </w:rPr>
            </w:pPr>
            <w:r>
              <w:rPr>
                <w:rFonts w:ascii="Arial" w:cs="Arial" w:eastAsia="Arial" w:hAnsi="Arial"/>
                <w:sz w:val="20"/>
                <w:szCs w:val="20"/>
                <w:color w:val="0000FF"/>
                <w:w w:val="85"/>
              </w:rPr>
              <w:t>1.375</w:t>
            </w:r>
            <w:r>
              <w:rPr>
                <w:rFonts w:ascii="Arial" w:cs="Arial" w:eastAsia="Arial" w:hAnsi="Arial"/>
                <w:sz w:val="20"/>
                <w:szCs w:val="20"/>
                <w:color w:val="000000"/>
                <w:w w:val="85"/>
              </w:rPr>
              <w:t>%</w:t>
            </w:r>
          </w:p>
        </w:tc>
        <w:tc>
          <w:tcPr>
            <w:tcW w:w="430" w:type="dxa"/>
            <w:vAlign w:val="bottom"/>
          </w:tcPr>
          <w:p>
            <w:pPr>
              <w:jc w:val="right"/>
              <w:spacing w:after="0" w:line="209" w:lineRule="exact"/>
              <w:rPr>
                <w:sz w:val="20"/>
                <w:szCs w:val="20"/>
                <w:color w:val="auto"/>
              </w:rPr>
            </w:pPr>
            <w:r>
              <w:rPr>
                <w:rFonts w:ascii="Arial" w:cs="Arial" w:eastAsia="Arial" w:hAnsi="Arial"/>
                <w:sz w:val="20"/>
                <w:szCs w:val="20"/>
                <w:color w:val="FF0000"/>
                <w:strike w:val="1"/>
              </w:rPr>
              <w:t>0.50</w:t>
            </w:r>
          </w:p>
        </w:tc>
        <w:tc>
          <w:tcPr>
            <w:tcW w:w="820" w:type="dxa"/>
            <w:vAlign w:val="bottom"/>
            <w:gridSpan w:val="2"/>
          </w:tcPr>
          <w:p>
            <w:pPr>
              <w:jc w:val="center"/>
              <w:ind w:right="200"/>
              <w:spacing w:after="0" w:line="209" w:lineRule="exact"/>
              <w:rPr>
                <w:sz w:val="20"/>
                <w:szCs w:val="20"/>
                <w:color w:val="auto"/>
              </w:rPr>
            </w:pPr>
            <w:r>
              <w:rPr>
                <w:rFonts w:ascii="Arial" w:cs="Arial" w:eastAsia="Arial" w:hAnsi="Arial"/>
                <w:sz w:val="20"/>
                <w:szCs w:val="20"/>
                <w:color w:val="0000FF"/>
                <w:w w:val="91"/>
              </w:rPr>
              <w:t>0.375</w:t>
            </w:r>
            <w:r>
              <w:rPr>
                <w:rFonts w:ascii="Arial" w:cs="Arial" w:eastAsia="Arial" w:hAnsi="Arial"/>
                <w:sz w:val="20"/>
                <w:szCs w:val="20"/>
                <w:color w:val="000000"/>
                <w:w w:val="91"/>
              </w:rPr>
              <w:t>%</w:t>
            </w:r>
          </w:p>
        </w:tc>
        <w:tc>
          <w:tcPr>
            <w:tcW w:w="720" w:type="dxa"/>
            <w:vAlign w:val="bottom"/>
          </w:tcPr>
          <w:p>
            <w:pPr>
              <w:jc w:val="right"/>
              <w:spacing w:after="0" w:line="209" w:lineRule="exact"/>
              <w:rPr>
                <w:sz w:val="20"/>
                <w:szCs w:val="20"/>
                <w:color w:val="auto"/>
              </w:rPr>
            </w:pPr>
            <w:r>
              <w:rPr>
                <w:rFonts w:ascii="Arial" w:cs="Arial" w:eastAsia="Arial" w:hAnsi="Arial"/>
                <w:sz w:val="20"/>
                <w:szCs w:val="20"/>
                <w:color w:val="FF0000"/>
                <w:strike w:val="1"/>
              </w:rPr>
              <w:t>1.50</w:t>
            </w:r>
          </w:p>
        </w:tc>
        <w:tc>
          <w:tcPr>
            <w:tcW w:w="960" w:type="dxa"/>
            <w:vAlign w:val="bottom"/>
            <w:gridSpan w:val="2"/>
          </w:tcPr>
          <w:p>
            <w:pPr>
              <w:jc w:val="right"/>
              <w:ind w:right="360"/>
              <w:spacing w:after="0" w:line="209" w:lineRule="exact"/>
              <w:rPr>
                <w:sz w:val="20"/>
                <w:szCs w:val="20"/>
                <w:color w:val="auto"/>
              </w:rPr>
            </w:pPr>
            <w:r>
              <w:rPr>
                <w:rFonts w:ascii="Arial" w:cs="Arial" w:eastAsia="Arial" w:hAnsi="Arial"/>
                <w:sz w:val="20"/>
                <w:szCs w:val="20"/>
                <w:color w:val="0000FF"/>
                <w:w w:val="85"/>
              </w:rPr>
              <w:t>1.375</w:t>
            </w:r>
            <w:r>
              <w:rPr>
                <w:rFonts w:ascii="Arial" w:cs="Arial" w:eastAsia="Arial" w:hAnsi="Arial"/>
                <w:sz w:val="20"/>
                <w:szCs w:val="20"/>
                <w:color w:val="000000"/>
                <w:w w:val="85"/>
              </w:rPr>
              <w:t>%</w:t>
            </w:r>
          </w:p>
        </w:tc>
        <w:tc>
          <w:tcPr>
            <w:tcW w:w="1380" w:type="dxa"/>
            <w:vAlign w:val="bottom"/>
          </w:tcPr>
          <w:p>
            <w:pPr>
              <w:jc w:val="center"/>
              <w:spacing w:after="0" w:line="209" w:lineRule="exact"/>
              <w:rPr>
                <w:sz w:val="20"/>
                <w:szCs w:val="20"/>
                <w:color w:val="auto"/>
              </w:rPr>
            </w:pPr>
            <w:r>
              <w:rPr>
                <w:rFonts w:ascii="Arial" w:cs="Arial" w:eastAsia="Arial" w:hAnsi="Arial"/>
                <w:sz w:val="20"/>
                <w:szCs w:val="20"/>
                <w:color w:val="auto"/>
                <w:w w:val="91"/>
              </w:rPr>
              <w:t>0.25%</w:t>
            </w:r>
          </w:p>
        </w:tc>
      </w:tr>
      <w:tr>
        <w:trPr>
          <w:trHeight w:val="20"/>
        </w:trPr>
        <w:tc>
          <w:tcPr>
            <w:tcW w:w="1040" w:type="dxa"/>
            <w:vAlign w:val="bottom"/>
          </w:tcPr>
          <w:p>
            <w:pPr>
              <w:spacing w:after="0" w:line="20" w:lineRule="exact"/>
              <w:rPr>
                <w:sz w:val="1"/>
                <w:szCs w:val="1"/>
                <w:color w:val="auto"/>
              </w:rPr>
            </w:pPr>
          </w:p>
        </w:tc>
        <w:tc>
          <w:tcPr>
            <w:tcW w:w="32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430" w:type="dxa"/>
            <w:vAlign w:val="bottom"/>
          </w:tcPr>
          <w:p>
            <w:pPr>
              <w:spacing w:after="0" w:line="20" w:lineRule="exact"/>
              <w:rPr>
                <w:sz w:val="1"/>
                <w:szCs w:val="1"/>
                <w:color w:val="auto"/>
              </w:rPr>
            </w:pPr>
          </w:p>
        </w:tc>
        <w:tc>
          <w:tcPr>
            <w:tcW w:w="430" w:type="dxa"/>
            <w:vAlign w:val="bottom"/>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r>
      <w:tr>
        <w:trPr>
          <w:trHeight w:val="264"/>
        </w:trPr>
        <w:tc>
          <w:tcPr>
            <w:tcW w:w="1040" w:type="dxa"/>
            <w:vAlign w:val="bottom"/>
          </w:tcPr>
          <w:p>
            <w:pPr>
              <w:jc w:val="center"/>
              <w:spacing w:after="0"/>
              <w:rPr>
                <w:sz w:val="20"/>
                <w:szCs w:val="20"/>
                <w:color w:val="auto"/>
              </w:rPr>
            </w:pPr>
            <w:r>
              <w:rPr>
                <w:rFonts w:ascii="Arial" w:cs="Arial" w:eastAsia="Arial" w:hAnsi="Arial"/>
                <w:sz w:val="20"/>
                <w:szCs w:val="20"/>
                <w:color w:val="auto"/>
              </w:rPr>
              <w:t>II</w:t>
            </w:r>
          </w:p>
        </w:tc>
        <w:tc>
          <w:tcPr>
            <w:tcW w:w="3200" w:type="dxa"/>
            <w:vAlign w:val="bottom"/>
          </w:tcPr>
          <w:p>
            <w:pPr>
              <w:jc w:val="center"/>
              <w:spacing w:after="0"/>
              <w:rPr>
                <w:sz w:val="20"/>
                <w:szCs w:val="20"/>
                <w:color w:val="auto"/>
              </w:rPr>
            </w:pPr>
            <w:r>
              <w:rPr>
                <w:rFonts w:ascii="Arial" w:cs="Arial" w:eastAsia="Arial" w:hAnsi="Arial"/>
                <w:sz w:val="20"/>
                <w:szCs w:val="20"/>
                <w:color w:val="auto"/>
                <w:w w:val="91"/>
              </w:rPr>
              <w:t>≥ 2.00:1.00 but &lt; 2.50:1.00</w:t>
            </w:r>
          </w:p>
        </w:tc>
        <w:tc>
          <w:tcPr>
            <w:tcW w:w="620" w:type="dxa"/>
            <w:vAlign w:val="bottom"/>
          </w:tcPr>
          <w:p>
            <w:pPr>
              <w:ind w:left="280"/>
              <w:spacing w:after="0"/>
              <w:rPr>
                <w:sz w:val="20"/>
                <w:szCs w:val="20"/>
                <w:color w:val="auto"/>
              </w:rPr>
            </w:pPr>
            <w:r>
              <w:rPr>
                <w:rFonts w:ascii="Arial" w:cs="Arial" w:eastAsia="Arial" w:hAnsi="Arial"/>
                <w:sz w:val="20"/>
                <w:szCs w:val="20"/>
                <w:color w:val="FF0000"/>
                <w:strike w:val="1"/>
                <w:w w:val="82"/>
              </w:rPr>
              <w:t>1.75</w:t>
            </w:r>
          </w:p>
        </w:tc>
        <w:tc>
          <w:tcPr>
            <w:tcW w:w="940" w:type="dxa"/>
            <w:vAlign w:val="bottom"/>
            <w:gridSpan w:val="2"/>
          </w:tcPr>
          <w:p>
            <w:pPr>
              <w:jc w:val="right"/>
              <w:ind w:right="340"/>
              <w:spacing w:after="0"/>
              <w:rPr>
                <w:sz w:val="20"/>
                <w:szCs w:val="20"/>
                <w:color w:val="auto"/>
              </w:rPr>
            </w:pPr>
            <w:r>
              <w:rPr>
                <w:rFonts w:ascii="Arial" w:cs="Arial" w:eastAsia="Arial" w:hAnsi="Arial"/>
                <w:sz w:val="20"/>
                <w:szCs w:val="20"/>
                <w:color w:val="0000FF"/>
                <w:w w:val="85"/>
              </w:rPr>
              <w:t>1.625</w:t>
            </w:r>
            <w:r>
              <w:rPr>
                <w:rFonts w:ascii="Arial" w:cs="Arial" w:eastAsia="Arial" w:hAnsi="Arial"/>
                <w:sz w:val="20"/>
                <w:szCs w:val="20"/>
                <w:color w:val="000000"/>
                <w:w w:val="85"/>
              </w:rPr>
              <w:t>%</w:t>
            </w:r>
          </w:p>
        </w:tc>
        <w:tc>
          <w:tcPr>
            <w:tcW w:w="440" w:type="dxa"/>
            <w:vAlign w:val="bottom"/>
          </w:tcPr>
          <w:p>
            <w:pPr>
              <w:jc w:val="right"/>
              <w:spacing w:after="0"/>
              <w:rPr>
                <w:sz w:val="20"/>
                <w:szCs w:val="20"/>
                <w:color w:val="auto"/>
              </w:rPr>
            </w:pPr>
            <w:r>
              <w:rPr>
                <w:rFonts w:ascii="Arial" w:cs="Arial" w:eastAsia="Arial" w:hAnsi="Arial"/>
                <w:sz w:val="20"/>
                <w:szCs w:val="20"/>
                <w:color w:val="FF0000"/>
                <w:strike w:val="1"/>
              </w:rPr>
              <w:t>1.75</w:t>
            </w:r>
          </w:p>
        </w:tc>
        <w:tc>
          <w:tcPr>
            <w:tcW w:w="870" w:type="dxa"/>
            <w:vAlign w:val="bottom"/>
            <w:gridSpan w:val="2"/>
          </w:tcPr>
          <w:p>
            <w:pPr>
              <w:jc w:val="right"/>
              <w:ind w:right="270"/>
              <w:spacing w:after="0"/>
              <w:rPr>
                <w:sz w:val="20"/>
                <w:szCs w:val="20"/>
                <w:color w:val="auto"/>
              </w:rPr>
            </w:pPr>
            <w:r>
              <w:rPr>
                <w:rFonts w:ascii="Arial" w:cs="Arial" w:eastAsia="Arial" w:hAnsi="Arial"/>
                <w:sz w:val="20"/>
                <w:szCs w:val="20"/>
                <w:color w:val="0000FF"/>
                <w:w w:val="85"/>
              </w:rPr>
              <w:t>1.625</w:t>
            </w:r>
            <w:r>
              <w:rPr>
                <w:rFonts w:ascii="Arial" w:cs="Arial" w:eastAsia="Arial" w:hAnsi="Arial"/>
                <w:sz w:val="20"/>
                <w:szCs w:val="20"/>
                <w:color w:val="000000"/>
                <w:w w:val="85"/>
              </w:rPr>
              <w:t>%</w:t>
            </w:r>
          </w:p>
        </w:tc>
        <w:tc>
          <w:tcPr>
            <w:tcW w:w="430" w:type="dxa"/>
            <w:vAlign w:val="bottom"/>
          </w:tcPr>
          <w:p>
            <w:pPr>
              <w:jc w:val="right"/>
              <w:spacing w:after="0"/>
              <w:rPr>
                <w:sz w:val="20"/>
                <w:szCs w:val="20"/>
                <w:color w:val="auto"/>
              </w:rPr>
            </w:pPr>
            <w:r>
              <w:rPr>
                <w:rFonts w:ascii="Arial" w:cs="Arial" w:eastAsia="Arial" w:hAnsi="Arial"/>
                <w:sz w:val="20"/>
                <w:szCs w:val="20"/>
                <w:color w:val="FF0000"/>
                <w:strike w:val="1"/>
              </w:rPr>
              <w:t>0.75</w:t>
            </w:r>
          </w:p>
        </w:tc>
        <w:tc>
          <w:tcPr>
            <w:tcW w:w="820" w:type="dxa"/>
            <w:vAlign w:val="bottom"/>
            <w:gridSpan w:val="2"/>
          </w:tcPr>
          <w:p>
            <w:pPr>
              <w:jc w:val="center"/>
              <w:ind w:right="200"/>
              <w:spacing w:after="0"/>
              <w:rPr>
                <w:sz w:val="20"/>
                <w:szCs w:val="20"/>
                <w:color w:val="auto"/>
              </w:rPr>
            </w:pPr>
            <w:r>
              <w:rPr>
                <w:rFonts w:ascii="Arial" w:cs="Arial" w:eastAsia="Arial" w:hAnsi="Arial"/>
                <w:sz w:val="20"/>
                <w:szCs w:val="20"/>
                <w:color w:val="0000FF"/>
                <w:w w:val="91"/>
              </w:rPr>
              <w:t>0.625</w:t>
            </w:r>
            <w:r>
              <w:rPr>
                <w:rFonts w:ascii="Arial" w:cs="Arial" w:eastAsia="Arial" w:hAnsi="Arial"/>
                <w:sz w:val="20"/>
                <w:szCs w:val="20"/>
                <w:color w:val="000000"/>
                <w:w w:val="91"/>
              </w:rPr>
              <w:t>%</w:t>
            </w:r>
          </w:p>
        </w:tc>
        <w:tc>
          <w:tcPr>
            <w:tcW w:w="720" w:type="dxa"/>
            <w:vAlign w:val="bottom"/>
          </w:tcPr>
          <w:p>
            <w:pPr>
              <w:jc w:val="right"/>
              <w:spacing w:after="0"/>
              <w:rPr>
                <w:sz w:val="20"/>
                <w:szCs w:val="20"/>
                <w:color w:val="auto"/>
              </w:rPr>
            </w:pPr>
            <w:r>
              <w:rPr>
                <w:rFonts w:ascii="Arial" w:cs="Arial" w:eastAsia="Arial" w:hAnsi="Arial"/>
                <w:sz w:val="20"/>
                <w:szCs w:val="20"/>
                <w:color w:val="FF0000"/>
                <w:strike w:val="1"/>
              </w:rPr>
              <w:t>1.75</w:t>
            </w:r>
          </w:p>
        </w:tc>
        <w:tc>
          <w:tcPr>
            <w:tcW w:w="960" w:type="dxa"/>
            <w:vAlign w:val="bottom"/>
            <w:gridSpan w:val="2"/>
          </w:tcPr>
          <w:p>
            <w:pPr>
              <w:jc w:val="right"/>
              <w:ind w:right="360"/>
              <w:spacing w:after="0"/>
              <w:rPr>
                <w:sz w:val="20"/>
                <w:szCs w:val="20"/>
                <w:color w:val="auto"/>
              </w:rPr>
            </w:pPr>
            <w:r>
              <w:rPr>
                <w:rFonts w:ascii="Arial" w:cs="Arial" w:eastAsia="Arial" w:hAnsi="Arial"/>
                <w:sz w:val="20"/>
                <w:szCs w:val="20"/>
                <w:color w:val="0000FF"/>
                <w:w w:val="85"/>
              </w:rPr>
              <w:t>1.625</w:t>
            </w:r>
            <w:r>
              <w:rPr>
                <w:rFonts w:ascii="Arial" w:cs="Arial" w:eastAsia="Arial" w:hAnsi="Arial"/>
                <w:sz w:val="20"/>
                <w:szCs w:val="20"/>
                <w:color w:val="000000"/>
                <w:w w:val="85"/>
              </w:rPr>
              <w:t>%</w:t>
            </w:r>
          </w:p>
        </w:tc>
        <w:tc>
          <w:tcPr>
            <w:tcW w:w="1380" w:type="dxa"/>
            <w:vAlign w:val="bottom"/>
          </w:tcPr>
          <w:p>
            <w:pPr>
              <w:jc w:val="center"/>
              <w:spacing w:after="0"/>
              <w:rPr>
                <w:sz w:val="20"/>
                <w:szCs w:val="20"/>
                <w:color w:val="auto"/>
              </w:rPr>
            </w:pPr>
            <w:r>
              <w:rPr>
                <w:rFonts w:ascii="Arial" w:cs="Arial" w:eastAsia="Arial" w:hAnsi="Arial"/>
                <w:sz w:val="20"/>
                <w:szCs w:val="20"/>
                <w:color w:val="auto"/>
                <w:w w:val="91"/>
              </w:rPr>
              <w:t>0.30%</w:t>
            </w:r>
          </w:p>
        </w:tc>
      </w:tr>
      <w:tr>
        <w:trPr>
          <w:trHeight w:val="20"/>
        </w:trPr>
        <w:tc>
          <w:tcPr>
            <w:tcW w:w="1040" w:type="dxa"/>
            <w:vAlign w:val="bottom"/>
          </w:tcPr>
          <w:p>
            <w:pPr>
              <w:spacing w:after="0" w:line="20" w:lineRule="exact"/>
              <w:rPr>
                <w:sz w:val="1"/>
                <w:szCs w:val="1"/>
                <w:color w:val="auto"/>
              </w:rPr>
            </w:pPr>
          </w:p>
        </w:tc>
        <w:tc>
          <w:tcPr>
            <w:tcW w:w="32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430" w:type="dxa"/>
            <w:vAlign w:val="bottom"/>
          </w:tcPr>
          <w:p>
            <w:pPr>
              <w:spacing w:after="0" w:line="20" w:lineRule="exact"/>
              <w:rPr>
                <w:sz w:val="1"/>
                <w:szCs w:val="1"/>
                <w:color w:val="auto"/>
              </w:rPr>
            </w:pPr>
          </w:p>
        </w:tc>
        <w:tc>
          <w:tcPr>
            <w:tcW w:w="430" w:type="dxa"/>
            <w:vAlign w:val="bottom"/>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r>
      <w:tr>
        <w:trPr>
          <w:trHeight w:val="264"/>
        </w:trPr>
        <w:tc>
          <w:tcPr>
            <w:tcW w:w="1040" w:type="dxa"/>
            <w:vAlign w:val="bottom"/>
          </w:tcPr>
          <w:p>
            <w:pPr>
              <w:jc w:val="center"/>
              <w:spacing w:after="0"/>
              <w:rPr>
                <w:sz w:val="20"/>
                <w:szCs w:val="20"/>
                <w:color w:val="auto"/>
              </w:rPr>
            </w:pPr>
            <w:r>
              <w:rPr>
                <w:rFonts w:ascii="Arial" w:cs="Arial" w:eastAsia="Arial" w:hAnsi="Arial"/>
                <w:sz w:val="20"/>
                <w:szCs w:val="20"/>
                <w:color w:val="auto"/>
              </w:rPr>
              <w:t>III</w:t>
            </w:r>
          </w:p>
        </w:tc>
        <w:tc>
          <w:tcPr>
            <w:tcW w:w="3200" w:type="dxa"/>
            <w:vAlign w:val="bottom"/>
          </w:tcPr>
          <w:p>
            <w:pPr>
              <w:jc w:val="center"/>
              <w:spacing w:after="0"/>
              <w:rPr>
                <w:sz w:val="20"/>
                <w:szCs w:val="20"/>
                <w:color w:val="auto"/>
              </w:rPr>
            </w:pPr>
            <w:r>
              <w:rPr>
                <w:rFonts w:ascii="Arial" w:cs="Arial" w:eastAsia="Arial" w:hAnsi="Arial"/>
                <w:sz w:val="20"/>
                <w:szCs w:val="20"/>
                <w:color w:val="auto"/>
                <w:w w:val="91"/>
              </w:rPr>
              <w:t>≥ 2.50:1.00 but &lt; 3.00:1.00</w:t>
            </w:r>
          </w:p>
        </w:tc>
        <w:tc>
          <w:tcPr>
            <w:tcW w:w="620" w:type="dxa"/>
            <w:vAlign w:val="bottom"/>
          </w:tcPr>
          <w:p>
            <w:pPr>
              <w:ind w:left="280"/>
              <w:spacing w:after="0"/>
              <w:rPr>
                <w:sz w:val="20"/>
                <w:szCs w:val="20"/>
                <w:color w:val="auto"/>
              </w:rPr>
            </w:pPr>
            <w:r>
              <w:rPr>
                <w:rFonts w:ascii="Arial" w:cs="Arial" w:eastAsia="Arial" w:hAnsi="Arial"/>
                <w:sz w:val="20"/>
                <w:szCs w:val="20"/>
                <w:color w:val="FF0000"/>
                <w:strike w:val="1"/>
                <w:w w:val="82"/>
              </w:rPr>
              <w:t>2.00</w:t>
            </w:r>
          </w:p>
        </w:tc>
        <w:tc>
          <w:tcPr>
            <w:tcW w:w="940" w:type="dxa"/>
            <w:vAlign w:val="bottom"/>
            <w:gridSpan w:val="2"/>
          </w:tcPr>
          <w:p>
            <w:pPr>
              <w:jc w:val="right"/>
              <w:ind w:right="340"/>
              <w:spacing w:after="0"/>
              <w:rPr>
                <w:sz w:val="20"/>
                <w:szCs w:val="20"/>
                <w:color w:val="auto"/>
              </w:rPr>
            </w:pPr>
            <w:r>
              <w:rPr>
                <w:rFonts w:ascii="Arial" w:cs="Arial" w:eastAsia="Arial" w:hAnsi="Arial"/>
                <w:sz w:val="20"/>
                <w:szCs w:val="20"/>
                <w:color w:val="0000FF"/>
                <w:w w:val="85"/>
              </w:rPr>
              <w:t>1.875</w:t>
            </w:r>
            <w:r>
              <w:rPr>
                <w:rFonts w:ascii="Arial" w:cs="Arial" w:eastAsia="Arial" w:hAnsi="Arial"/>
                <w:sz w:val="20"/>
                <w:szCs w:val="20"/>
                <w:color w:val="000000"/>
                <w:w w:val="85"/>
              </w:rPr>
              <w:t>%</w:t>
            </w:r>
          </w:p>
        </w:tc>
        <w:tc>
          <w:tcPr>
            <w:tcW w:w="440" w:type="dxa"/>
            <w:vAlign w:val="bottom"/>
          </w:tcPr>
          <w:p>
            <w:pPr>
              <w:jc w:val="right"/>
              <w:spacing w:after="0"/>
              <w:rPr>
                <w:sz w:val="20"/>
                <w:szCs w:val="20"/>
                <w:color w:val="auto"/>
              </w:rPr>
            </w:pPr>
            <w:r>
              <w:rPr>
                <w:rFonts w:ascii="Arial" w:cs="Arial" w:eastAsia="Arial" w:hAnsi="Arial"/>
                <w:sz w:val="20"/>
                <w:szCs w:val="20"/>
                <w:color w:val="FF0000"/>
                <w:strike w:val="1"/>
              </w:rPr>
              <w:t>2.00</w:t>
            </w:r>
          </w:p>
        </w:tc>
        <w:tc>
          <w:tcPr>
            <w:tcW w:w="870" w:type="dxa"/>
            <w:vAlign w:val="bottom"/>
            <w:gridSpan w:val="2"/>
          </w:tcPr>
          <w:p>
            <w:pPr>
              <w:jc w:val="right"/>
              <w:ind w:right="270"/>
              <w:spacing w:after="0"/>
              <w:rPr>
                <w:sz w:val="20"/>
                <w:szCs w:val="20"/>
                <w:color w:val="auto"/>
              </w:rPr>
            </w:pPr>
            <w:r>
              <w:rPr>
                <w:rFonts w:ascii="Arial" w:cs="Arial" w:eastAsia="Arial" w:hAnsi="Arial"/>
                <w:sz w:val="20"/>
                <w:szCs w:val="20"/>
                <w:color w:val="0000FF"/>
                <w:w w:val="85"/>
              </w:rPr>
              <w:t>1.875</w:t>
            </w:r>
            <w:r>
              <w:rPr>
                <w:rFonts w:ascii="Arial" w:cs="Arial" w:eastAsia="Arial" w:hAnsi="Arial"/>
                <w:sz w:val="20"/>
                <w:szCs w:val="20"/>
                <w:color w:val="000000"/>
                <w:w w:val="85"/>
              </w:rPr>
              <w:t>%</w:t>
            </w:r>
          </w:p>
        </w:tc>
        <w:tc>
          <w:tcPr>
            <w:tcW w:w="430" w:type="dxa"/>
            <w:vAlign w:val="bottom"/>
          </w:tcPr>
          <w:p>
            <w:pPr>
              <w:jc w:val="right"/>
              <w:spacing w:after="0"/>
              <w:rPr>
                <w:sz w:val="20"/>
                <w:szCs w:val="20"/>
                <w:color w:val="auto"/>
              </w:rPr>
            </w:pPr>
            <w:r>
              <w:rPr>
                <w:rFonts w:ascii="Arial" w:cs="Arial" w:eastAsia="Arial" w:hAnsi="Arial"/>
                <w:sz w:val="20"/>
                <w:szCs w:val="20"/>
                <w:color w:val="FF0000"/>
                <w:strike w:val="1"/>
              </w:rPr>
              <w:t>1.00</w:t>
            </w:r>
          </w:p>
        </w:tc>
        <w:tc>
          <w:tcPr>
            <w:tcW w:w="820" w:type="dxa"/>
            <w:vAlign w:val="bottom"/>
            <w:gridSpan w:val="2"/>
          </w:tcPr>
          <w:p>
            <w:pPr>
              <w:jc w:val="center"/>
              <w:ind w:right="200"/>
              <w:spacing w:after="0"/>
              <w:rPr>
                <w:sz w:val="20"/>
                <w:szCs w:val="20"/>
                <w:color w:val="auto"/>
              </w:rPr>
            </w:pPr>
            <w:r>
              <w:rPr>
                <w:rFonts w:ascii="Arial" w:cs="Arial" w:eastAsia="Arial" w:hAnsi="Arial"/>
                <w:sz w:val="20"/>
                <w:szCs w:val="20"/>
                <w:color w:val="0000FF"/>
                <w:w w:val="91"/>
              </w:rPr>
              <w:t>0.875</w:t>
            </w:r>
            <w:r>
              <w:rPr>
                <w:rFonts w:ascii="Arial" w:cs="Arial" w:eastAsia="Arial" w:hAnsi="Arial"/>
                <w:sz w:val="20"/>
                <w:szCs w:val="20"/>
                <w:color w:val="000000"/>
                <w:w w:val="91"/>
              </w:rPr>
              <w:t>%</w:t>
            </w:r>
          </w:p>
        </w:tc>
        <w:tc>
          <w:tcPr>
            <w:tcW w:w="720" w:type="dxa"/>
            <w:vAlign w:val="bottom"/>
          </w:tcPr>
          <w:p>
            <w:pPr>
              <w:jc w:val="right"/>
              <w:spacing w:after="0"/>
              <w:rPr>
                <w:sz w:val="20"/>
                <w:szCs w:val="20"/>
                <w:color w:val="auto"/>
              </w:rPr>
            </w:pPr>
            <w:r>
              <w:rPr>
                <w:rFonts w:ascii="Arial" w:cs="Arial" w:eastAsia="Arial" w:hAnsi="Arial"/>
                <w:sz w:val="20"/>
                <w:szCs w:val="20"/>
                <w:color w:val="FF0000"/>
                <w:strike w:val="1"/>
              </w:rPr>
              <w:t>2.00</w:t>
            </w:r>
          </w:p>
        </w:tc>
        <w:tc>
          <w:tcPr>
            <w:tcW w:w="960" w:type="dxa"/>
            <w:vAlign w:val="bottom"/>
            <w:gridSpan w:val="2"/>
          </w:tcPr>
          <w:p>
            <w:pPr>
              <w:jc w:val="right"/>
              <w:ind w:right="360"/>
              <w:spacing w:after="0"/>
              <w:rPr>
                <w:sz w:val="20"/>
                <w:szCs w:val="20"/>
                <w:color w:val="auto"/>
              </w:rPr>
            </w:pPr>
            <w:r>
              <w:rPr>
                <w:rFonts w:ascii="Arial" w:cs="Arial" w:eastAsia="Arial" w:hAnsi="Arial"/>
                <w:sz w:val="20"/>
                <w:szCs w:val="20"/>
                <w:color w:val="0000FF"/>
                <w:w w:val="85"/>
              </w:rPr>
              <w:t>1.875</w:t>
            </w:r>
            <w:r>
              <w:rPr>
                <w:rFonts w:ascii="Arial" w:cs="Arial" w:eastAsia="Arial" w:hAnsi="Arial"/>
                <w:sz w:val="20"/>
                <w:szCs w:val="20"/>
                <w:color w:val="000000"/>
                <w:w w:val="85"/>
              </w:rPr>
              <w:t>%</w:t>
            </w:r>
          </w:p>
        </w:tc>
        <w:tc>
          <w:tcPr>
            <w:tcW w:w="1380" w:type="dxa"/>
            <w:vAlign w:val="bottom"/>
          </w:tcPr>
          <w:p>
            <w:pPr>
              <w:jc w:val="center"/>
              <w:spacing w:after="0"/>
              <w:rPr>
                <w:sz w:val="20"/>
                <w:szCs w:val="20"/>
                <w:color w:val="auto"/>
              </w:rPr>
            </w:pPr>
            <w:r>
              <w:rPr>
                <w:rFonts w:ascii="Arial" w:cs="Arial" w:eastAsia="Arial" w:hAnsi="Arial"/>
                <w:sz w:val="20"/>
                <w:szCs w:val="20"/>
                <w:color w:val="auto"/>
                <w:w w:val="91"/>
              </w:rPr>
              <w:t>0.35%</w:t>
            </w:r>
          </w:p>
        </w:tc>
      </w:tr>
      <w:tr>
        <w:trPr>
          <w:trHeight w:val="20"/>
        </w:trPr>
        <w:tc>
          <w:tcPr>
            <w:tcW w:w="1040" w:type="dxa"/>
            <w:vAlign w:val="bottom"/>
          </w:tcPr>
          <w:p>
            <w:pPr>
              <w:spacing w:after="0" w:line="20" w:lineRule="exact"/>
              <w:rPr>
                <w:sz w:val="1"/>
                <w:szCs w:val="1"/>
                <w:color w:val="auto"/>
              </w:rPr>
            </w:pPr>
          </w:p>
        </w:tc>
        <w:tc>
          <w:tcPr>
            <w:tcW w:w="32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430" w:type="dxa"/>
            <w:vAlign w:val="bottom"/>
          </w:tcPr>
          <w:p>
            <w:pPr>
              <w:spacing w:after="0" w:line="20" w:lineRule="exact"/>
              <w:rPr>
                <w:sz w:val="1"/>
                <w:szCs w:val="1"/>
                <w:color w:val="auto"/>
              </w:rPr>
            </w:pPr>
          </w:p>
        </w:tc>
        <w:tc>
          <w:tcPr>
            <w:tcW w:w="430" w:type="dxa"/>
            <w:vAlign w:val="bottom"/>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r>
      <w:tr>
        <w:trPr>
          <w:trHeight w:val="264"/>
        </w:trPr>
        <w:tc>
          <w:tcPr>
            <w:tcW w:w="1040" w:type="dxa"/>
            <w:vAlign w:val="bottom"/>
          </w:tcPr>
          <w:p>
            <w:pPr>
              <w:jc w:val="center"/>
              <w:spacing w:after="0"/>
              <w:rPr>
                <w:sz w:val="20"/>
                <w:szCs w:val="20"/>
                <w:color w:val="auto"/>
              </w:rPr>
            </w:pPr>
            <w:r>
              <w:rPr>
                <w:rFonts w:ascii="Arial" w:cs="Arial" w:eastAsia="Arial" w:hAnsi="Arial"/>
                <w:sz w:val="20"/>
                <w:szCs w:val="20"/>
                <w:color w:val="auto"/>
              </w:rPr>
              <w:t>IV</w:t>
            </w:r>
          </w:p>
        </w:tc>
        <w:tc>
          <w:tcPr>
            <w:tcW w:w="3200" w:type="dxa"/>
            <w:vAlign w:val="bottom"/>
          </w:tcPr>
          <w:p>
            <w:pPr>
              <w:jc w:val="center"/>
              <w:spacing w:after="0"/>
              <w:rPr>
                <w:sz w:val="20"/>
                <w:szCs w:val="20"/>
                <w:color w:val="auto"/>
              </w:rPr>
            </w:pPr>
            <w:r>
              <w:rPr>
                <w:rFonts w:ascii="Arial" w:cs="Arial" w:eastAsia="Arial" w:hAnsi="Arial"/>
                <w:sz w:val="20"/>
                <w:szCs w:val="20"/>
                <w:color w:val="auto"/>
                <w:w w:val="91"/>
              </w:rPr>
              <w:t>≥ 3.00:1.00 but &lt; 3.50:1.00</w:t>
            </w:r>
          </w:p>
        </w:tc>
        <w:tc>
          <w:tcPr>
            <w:tcW w:w="620" w:type="dxa"/>
            <w:vAlign w:val="bottom"/>
          </w:tcPr>
          <w:p>
            <w:pPr>
              <w:ind w:left="280"/>
              <w:spacing w:after="0"/>
              <w:rPr>
                <w:sz w:val="20"/>
                <w:szCs w:val="20"/>
                <w:color w:val="auto"/>
              </w:rPr>
            </w:pPr>
            <w:r>
              <w:rPr>
                <w:rFonts w:ascii="Arial" w:cs="Arial" w:eastAsia="Arial" w:hAnsi="Arial"/>
                <w:sz w:val="20"/>
                <w:szCs w:val="20"/>
                <w:color w:val="FF0000"/>
                <w:strike w:val="1"/>
                <w:w w:val="82"/>
              </w:rPr>
              <w:t>2.25</w:t>
            </w:r>
          </w:p>
        </w:tc>
        <w:tc>
          <w:tcPr>
            <w:tcW w:w="940" w:type="dxa"/>
            <w:vAlign w:val="bottom"/>
            <w:gridSpan w:val="2"/>
          </w:tcPr>
          <w:p>
            <w:pPr>
              <w:jc w:val="right"/>
              <w:ind w:right="340"/>
              <w:spacing w:after="0"/>
              <w:rPr>
                <w:sz w:val="20"/>
                <w:szCs w:val="20"/>
                <w:color w:val="auto"/>
              </w:rPr>
            </w:pPr>
            <w:r>
              <w:rPr>
                <w:rFonts w:ascii="Arial" w:cs="Arial" w:eastAsia="Arial" w:hAnsi="Arial"/>
                <w:sz w:val="20"/>
                <w:szCs w:val="20"/>
                <w:color w:val="0000FF"/>
                <w:w w:val="85"/>
              </w:rPr>
              <w:t>2.125</w:t>
            </w:r>
            <w:r>
              <w:rPr>
                <w:rFonts w:ascii="Arial" w:cs="Arial" w:eastAsia="Arial" w:hAnsi="Arial"/>
                <w:sz w:val="20"/>
                <w:szCs w:val="20"/>
                <w:color w:val="000000"/>
                <w:w w:val="85"/>
              </w:rPr>
              <w:t>%</w:t>
            </w:r>
          </w:p>
        </w:tc>
        <w:tc>
          <w:tcPr>
            <w:tcW w:w="440" w:type="dxa"/>
            <w:vAlign w:val="bottom"/>
          </w:tcPr>
          <w:p>
            <w:pPr>
              <w:jc w:val="right"/>
              <w:spacing w:after="0"/>
              <w:rPr>
                <w:sz w:val="20"/>
                <w:szCs w:val="20"/>
                <w:color w:val="auto"/>
              </w:rPr>
            </w:pPr>
            <w:r>
              <w:rPr>
                <w:rFonts w:ascii="Arial" w:cs="Arial" w:eastAsia="Arial" w:hAnsi="Arial"/>
                <w:sz w:val="20"/>
                <w:szCs w:val="20"/>
                <w:color w:val="FF0000"/>
                <w:strike w:val="1"/>
              </w:rPr>
              <w:t>2.25</w:t>
            </w:r>
          </w:p>
        </w:tc>
        <w:tc>
          <w:tcPr>
            <w:tcW w:w="870" w:type="dxa"/>
            <w:vAlign w:val="bottom"/>
            <w:gridSpan w:val="2"/>
          </w:tcPr>
          <w:p>
            <w:pPr>
              <w:jc w:val="right"/>
              <w:ind w:right="270"/>
              <w:spacing w:after="0"/>
              <w:rPr>
                <w:sz w:val="20"/>
                <w:szCs w:val="20"/>
                <w:color w:val="auto"/>
              </w:rPr>
            </w:pPr>
            <w:r>
              <w:rPr>
                <w:rFonts w:ascii="Arial" w:cs="Arial" w:eastAsia="Arial" w:hAnsi="Arial"/>
                <w:sz w:val="20"/>
                <w:szCs w:val="20"/>
                <w:color w:val="0000FF"/>
                <w:w w:val="85"/>
              </w:rPr>
              <w:t>2.125</w:t>
            </w:r>
            <w:r>
              <w:rPr>
                <w:rFonts w:ascii="Arial" w:cs="Arial" w:eastAsia="Arial" w:hAnsi="Arial"/>
                <w:sz w:val="20"/>
                <w:szCs w:val="20"/>
                <w:color w:val="000000"/>
                <w:w w:val="85"/>
              </w:rPr>
              <w:t>%</w:t>
            </w:r>
          </w:p>
        </w:tc>
        <w:tc>
          <w:tcPr>
            <w:tcW w:w="430" w:type="dxa"/>
            <w:vAlign w:val="bottom"/>
          </w:tcPr>
          <w:p>
            <w:pPr>
              <w:jc w:val="right"/>
              <w:spacing w:after="0"/>
              <w:rPr>
                <w:sz w:val="20"/>
                <w:szCs w:val="20"/>
                <w:color w:val="auto"/>
              </w:rPr>
            </w:pPr>
            <w:r>
              <w:rPr>
                <w:rFonts w:ascii="Arial" w:cs="Arial" w:eastAsia="Arial" w:hAnsi="Arial"/>
                <w:sz w:val="20"/>
                <w:szCs w:val="20"/>
                <w:color w:val="FF0000"/>
                <w:strike w:val="1"/>
              </w:rPr>
              <w:t>1.25</w:t>
            </w:r>
          </w:p>
        </w:tc>
        <w:tc>
          <w:tcPr>
            <w:tcW w:w="820" w:type="dxa"/>
            <w:vAlign w:val="bottom"/>
            <w:gridSpan w:val="2"/>
          </w:tcPr>
          <w:p>
            <w:pPr>
              <w:jc w:val="center"/>
              <w:ind w:right="200"/>
              <w:spacing w:after="0"/>
              <w:rPr>
                <w:sz w:val="20"/>
                <w:szCs w:val="20"/>
                <w:color w:val="auto"/>
              </w:rPr>
            </w:pPr>
            <w:r>
              <w:rPr>
                <w:rFonts w:ascii="Arial" w:cs="Arial" w:eastAsia="Arial" w:hAnsi="Arial"/>
                <w:sz w:val="20"/>
                <w:szCs w:val="20"/>
                <w:color w:val="0000FF"/>
                <w:w w:val="91"/>
              </w:rPr>
              <w:t>1.125</w:t>
            </w:r>
            <w:r>
              <w:rPr>
                <w:rFonts w:ascii="Arial" w:cs="Arial" w:eastAsia="Arial" w:hAnsi="Arial"/>
                <w:sz w:val="20"/>
                <w:szCs w:val="20"/>
                <w:color w:val="000000"/>
                <w:w w:val="91"/>
              </w:rPr>
              <w:t>%</w:t>
            </w:r>
          </w:p>
        </w:tc>
        <w:tc>
          <w:tcPr>
            <w:tcW w:w="720" w:type="dxa"/>
            <w:vAlign w:val="bottom"/>
          </w:tcPr>
          <w:p>
            <w:pPr>
              <w:jc w:val="right"/>
              <w:spacing w:after="0"/>
              <w:rPr>
                <w:sz w:val="20"/>
                <w:szCs w:val="20"/>
                <w:color w:val="auto"/>
              </w:rPr>
            </w:pPr>
            <w:r>
              <w:rPr>
                <w:rFonts w:ascii="Arial" w:cs="Arial" w:eastAsia="Arial" w:hAnsi="Arial"/>
                <w:sz w:val="20"/>
                <w:szCs w:val="20"/>
                <w:color w:val="FF0000"/>
                <w:strike w:val="1"/>
              </w:rPr>
              <w:t>2.25</w:t>
            </w:r>
          </w:p>
        </w:tc>
        <w:tc>
          <w:tcPr>
            <w:tcW w:w="960" w:type="dxa"/>
            <w:vAlign w:val="bottom"/>
            <w:gridSpan w:val="2"/>
          </w:tcPr>
          <w:p>
            <w:pPr>
              <w:jc w:val="right"/>
              <w:ind w:right="360"/>
              <w:spacing w:after="0"/>
              <w:rPr>
                <w:sz w:val="20"/>
                <w:szCs w:val="20"/>
                <w:color w:val="auto"/>
              </w:rPr>
            </w:pPr>
            <w:r>
              <w:rPr>
                <w:rFonts w:ascii="Arial" w:cs="Arial" w:eastAsia="Arial" w:hAnsi="Arial"/>
                <w:sz w:val="20"/>
                <w:szCs w:val="20"/>
                <w:color w:val="0000FF"/>
                <w:w w:val="85"/>
              </w:rPr>
              <w:t>2.125</w:t>
            </w:r>
            <w:r>
              <w:rPr>
                <w:rFonts w:ascii="Arial" w:cs="Arial" w:eastAsia="Arial" w:hAnsi="Arial"/>
                <w:sz w:val="20"/>
                <w:szCs w:val="20"/>
                <w:color w:val="000000"/>
                <w:w w:val="85"/>
              </w:rPr>
              <w:t>%</w:t>
            </w:r>
          </w:p>
        </w:tc>
        <w:tc>
          <w:tcPr>
            <w:tcW w:w="1380" w:type="dxa"/>
            <w:vAlign w:val="bottom"/>
          </w:tcPr>
          <w:p>
            <w:pPr>
              <w:jc w:val="center"/>
              <w:spacing w:after="0"/>
              <w:rPr>
                <w:sz w:val="20"/>
                <w:szCs w:val="20"/>
                <w:color w:val="auto"/>
              </w:rPr>
            </w:pPr>
            <w:r>
              <w:rPr>
                <w:rFonts w:ascii="Arial" w:cs="Arial" w:eastAsia="Arial" w:hAnsi="Arial"/>
                <w:sz w:val="20"/>
                <w:szCs w:val="20"/>
                <w:color w:val="auto"/>
                <w:w w:val="91"/>
              </w:rPr>
              <w:t>0.40%</w:t>
            </w:r>
          </w:p>
        </w:tc>
      </w:tr>
      <w:tr>
        <w:trPr>
          <w:trHeight w:val="20"/>
        </w:trPr>
        <w:tc>
          <w:tcPr>
            <w:tcW w:w="1040" w:type="dxa"/>
            <w:vAlign w:val="bottom"/>
          </w:tcPr>
          <w:p>
            <w:pPr>
              <w:spacing w:after="0" w:line="20" w:lineRule="exact"/>
              <w:rPr>
                <w:sz w:val="1"/>
                <w:szCs w:val="1"/>
                <w:color w:val="auto"/>
              </w:rPr>
            </w:pPr>
          </w:p>
        </w:tc>
        <w:tc>
          <w:tcPr>
            <w:tcW w:w="32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430" w:type="dxa"/>
            <w:vAlign w:val="bottom"/>
          </w:tcPr>
          <w:p>
            <w:pPr>
              <w:spacing w:after="0" w:line="20" w:lineRule="exact"/>
              <w:rPr>
                <w:sz w:val="1"/>
                <w:szCs w:val="1"/>
                <w:color w:val="auto"/>
              </w:rPr>
            </w:pPr>
          </w:p>
        </w:tc>
        <w:tc>
          <w:tcPr>
            <w:tcW w:w="430" w:type="dxa"/>
            <w:vAlign w:val="bottom"/>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r>
      <w:tr>
        <w:trPr>
          <w:trHeight w:val="264"/>
        </w:trPr>
        <w:tc>
          <w:tcPr>
            <w:tcW w:w="1040" w:type="dxa"/>
            <w:vAlign w:val="bottom"/>
          </w:tcPr>
          <w:p>
            <w:pPr>
              <w:jc w:val="center"/>
              <w:spacing w:after="0"/>
              <w:rPr>
                <w:sz w:val="20"/>
                <w:szCs w:val="20"/>
                <w:color w:val="auto"/>
              </w:rPr>
            </w:pPr>
            <w:r>
              <w:rPr>
                <w:rFonts w:ascii="Arial" w:cs="Arial" w:eastAsia="Arial" w:hAnsi="Arial"/>
                <w:sz w:val="20"/>
                <w:szCs w:val="20"/>
                <w:color w:val="auto"/>
              </w:rPr>
              <w:t>V</w:t>
            </w:r>
          </w:p>
        </w:tc>
        <w:tc>
          <w:tcPr>
            <w:tcW w:w="3200" w:type="dxa"/>
            <w:vAlign w:val="bottom"/>
          </w:tcPr>
          <w:p>
            <w:pPr>
              <w:jc w:val="center"/>
              <w:spacing w:after="0"/>
              <w:rPr>
                <w:sz w:val="20"/>
                <w:szCs w:val="20"/>
                <w:color w:val="auto"/>
              </w:rPr>
            </w:pPr>
            <w:r>
              <w:rPr>
                <w:rFonts w:ascii="Arial" w:cs="Arial" w:eastAsia="Arial" w:hAnsi="Arial"/>
                <w:sz w:val="20"/>
                <w:szCs w:val="20"/>
                <w:color w:val="auto"/>
                <w:w w:val="90"/>
              </w:rPr>
              <w:t>≥ 3.50:1.00</w:t>
            </w:r>
          </w:p>
        </w:tc>
        <w:tc>
          <w:tcPr>
            <w:tcW w:w="620" w:type="dxa"/>
            <w:vAlign w:val="bottom"/>
          </w:tcPr>
          <w:p>
            <w:pPr>
              <w:ind w:left="280"/>
              <w:spacing w:after="0"/>
              <w:rPr>
                <w:sz w:val="20"/>
                <w:szCs w:val="20"/>
                <w:color w:val="auto"/>
              </w:rPr>
            </w:pPr>
            <w:r>
              <w:rPr>
                <w:rFonts w:ascii="Arial" w:cs="Arial" w:eastAsia="Arial" w:hAnsi="Arial"/>
                <w:sz w:val="20"/>
                <w:szCs w:val="20"/>
                <w:color w:val="FF0000"/>
                <w:strike w:val="1"/>
                <w:w w:val="82"/>
              </w:rPr>
              <w:t>2.50</w:t>
            </w:r>
          </w:p>
        </w:tc>
        <w:tc>
          <w:tcPr>
            <w:tcW w:w="940" w:type="dxa"/>
            <w:vAlign w:val="bottom"/>
            <w:gridSpan w:val="2"/>
          </w:tcPr>
          <w:p>
            <w:pPr>
              <w:jc w:val="right"/>
              <w:ind w:right="340"/>
              <w:spacing w:after="0"/>
              <w:rPr>
                <w:sz w:val="20"/>
                <w:szCs w:val="20"/>
                <w:color w:val="auto"/>
              </w:rPr>
            </w:pPr>
            <w:r>
              <w:rPr>
                <w:rFonts w:ascii="Arial" w:cs="Arial" w:eastAsia="Arial" w:hAnsi="Arial"/>
                <w:sz w:val="20"/>
                <w:szCs w:val="20"/>
                <w:color w:val="0000FF"/>
                <w:w w:val="85"/>
              </w:rPr>
              <w:t>2.375</w:t>
            </w:r>
            <w:r>
              <w:rPr>
                <w:rFonts w:ascii="Arial" w:cs="Arial" w:eastAsia="Arial" w:hAnsi="Arial"/>
                <w:sz w:val="20"/>
                <w:szCs w:val="20"/>
                <w:color w:val="000000"/>
                <w:w w:val="85"/>
              </w:rPr>
              <w:t>%</w:t>
            </w:r>
          </w:p>
        </w:tc>
        <w:tc>
          <w:tcPr>
            <w:tcW w:w="440" w:type="dxa"/>
            <w:vAlign w:val="bottom"/>
          </w:tcPr>
          <w:p>
            <w:pPr>
              <w:jc w:val="right"/>
              <w:spacing w:after="0"/>
              <w:rPr>
                <w:sz w:val="20"/>
                <w:szCs w:val="20"/>
                <w:color w:val="auto"/>
              </w:rPr>
            </w:pPr>
            <w:r>
              <w:rPr>
                <w:rFonts w:ascii="Arial" w:cs="Arial" w:eastAsia="Arial" w:hAnsi="Arial"/>
                <w:sz w:val="20"/>
                <w:szCs w:val="20"/>
                <w:color w:val="FF0000"/>
                <w:strike w:val="1"/>
              </w:rPr>
              <w:t>2.50</w:t>
            </w:r>
          </w:p>
        </w:tc>
        <w:tc>
          <w:tcPr>
            <w:tcW w:w="870" w:type="dxa"/>
            <w:vAlign w:val="bottom"/>
            <w:gridSpan w:val="2"/>
          </w:tcPr>
          <w:p>
            <w:pPr>
              <w:jc w:val="right"/>
              <w:ind w:right="270"/>
              <w:spacing w:after="0"/>
              <w:rPr>
                <w:sz w:val="20"/>
                <w:szCs w:val="20"/>
                <w:color w:val="auto"/>
              </w:rPr>
            </w:pPr>
            <w:r>
              <w:rPr>
                <w:rFonts w:ascii="Arial" w:cs="Arial" w:eastAsia="Arial" w:hAnsi="Arial"/>
                <w:sz w:val="20"/>
                <w:szCs w:val="20"/>
                <w:color w:val="0000FF"/>
                <w:w w:val="85"/>
              </w:rPr>
              <w:t>2.375</w:t>
            </w:r>
            <w:r>
              <w:rPr>
                <w:rFonts w:ascii="Arial" w:cs="Arial" w:eastAsia="Arial" w:hAnsi="Arial"/>
                <w:sz w:val="20"/>
                <w:szCs w:val="20"/>
                <w:color w:val="000000"/>
                <w:w w:val="85"/>
              </w:rPr>
              <w:t>%</w:t>
            </w:r>
          </w:p>
        </w:tc>
        <w:tc>
          <w:tcPr>
            <w:tcW w:w="430" w:type="dxa"/>
            <w:vAlign w:val="bottom"/>
          </w:tcPr>
          <w:p>
            <w:pPr>
              <w:jc w:val="right"/>
              <w:spacing w:after="0"/>
              <w:rPr>
                <w:sz w:val="20"/>
                <w:szCs w:val="20"/>
                <w:color w:val="auto"/>
              </w:rPr>
            </w:pPr>
            <w:r>
              <w:rPr>
                <w:rFonts w:ascii="Arial" w:cs="Arial" w:eastAsia="Arial" w:hAnsi="Arial"/>
                <w:sz w:val="20"/>
                <w:szCs w:val="20"/>
                <w:color w:val="FF0000"/>
                <w:strike w:val="1"/>
              </w:rPr>
              <w:t>1.50</w:t>
            </w:r>
          </w:p>
        </w:tc>
        <w:tc>
          <w:tcPr>
            <w:tcW w:w="820" w:type="dxa"/>
            <w:vAlign w:val="bottom"/>
            <w:gridSpan w:val="2"/>
          </w:tcPr>
          <w:p>
            <w:pPr>
              <w:jc w:val="center"/>
              <w:ind w:right="200"/>
              <w:spacing w:after="0"/>
              <w:rPr>
                <w:sz w:val="20"/>
                <w:szCs w:val="20"/>
                <w:color w:val="auto"/>
              </w:rPr>
            </w:pPr>
            <w:r>
              <w:rPr>
                <w:rFonts w:ascii="Arial" w:cs="Arial" w:eastAsia="Arial" w:hAnsi="Arial"/>
                <w:sz w:val="20"/>
                <w:szCs w:val="20"/>
                <w:color w:val="0000FF"/>
                <w:w w:val="91"/>
              </w:rPr>
              <w:t>1.375</w:t>
            </w:r>
            <w:r>
              <w:rPr>
                <w:rFonts w:ascii="Arial" w:cs="Arial" w:eastAsia="Arial" w:hAnsi="Arial"/>
                <w:sz w:val="20"/>
                <w:szCs w:val="20"/>
                <w:color w:val="000000"/>
                <w:w w:val="91"/>
              </w:rPr>
              <w:t>%</w:t>
            </w:r>
          </w:p>
        </w:tc>
        <w:tc>
          <w:tcPr>
            <w:tcW w:w="720" w:type="dxa"/>
            <w:vAlign w:val="bottom"/>
          </w:tcPr>
          <w:p>
            <w:pPr>
              <w:jc w:val="right"/>
              <w:spacing w:after="0"/>
              <w:rPr>
                <w:sz w:val="20"/>
                <w:szCs w:val="20"/>
                <w:color w:val="auto"/>
              </w:rPr>
            </w:pPr>
            <w:r>
              <w:rPr>
                <w:rFonts w:ascii="Arial" w:cs="Arial" w:eastAsia="Arial" w:hAnsi="Arial"/>
                <w:sz w:val="20"/>
                <w:szCs w:val="20"/>
                <w:color w:val="FF0000"/>
                <w:strike w:val="1"/>
              </w:rPr>
              <w:t>2.50</w:t>
            </w:r>
          </w:p>
        </w:tc>
        <w:tc>
          <w:tcPr>
            <w:tcW w:w="960" w:type="dxa"/>
            <w:vAlign w:val="bottom"/>
            <w:gridSpan w:val="2"/>
          </w:tcPr>
          <w:p>
            <w:pPr>
              <w:jc w:val="right"/>
              <w:ind w:right="360"/>
              <w:spacing w:after="0"/>
              <w:rPr>
                <w:sz w:val="20"/>
                <w:szCs w:val="20"/>
                <w:color w:val="auto"/>
              </w:rPr>
            </w:pPr>
            <w:r>
              <w:rPr>
                <w:rFonts w:ascii="Arial" w:cs="Arial" w:eastAsia="Arial" w:hAnsi="Arial"/>
                <w:sz w:val="20"/>
                <w:szCs w:val="20"/>
                <w:color w:val="0000FF"/>
                <w:w w:val="85"/>
              </w:rPr>
              <w:t>2.375</w:t>
            </w:r>
            <w:r>
              <w:rPr>
                <w:rFonts w:ascii="Arial" w:cs="Arial" w:eastAsia="Arial" w:hAnsi="Arial"/>
                <w:sz w:val="20"/>
                <w:szCs w:val="20"/>
                <w:color w:val="000000"/>
                <w:w w:val="85"/>
              </w:rPr>
              <w:t>%</w:t>
            </w:r>
          </w:p>
        </w:tc>
        <w:tc>
          <w:tcPr>
            <w:tcW w:w="1380" w:type="dxa"/>
            <w:vAlign w:val="bottom"/>
          </w:tcPr>
          <w:p>
            <w:pPr>
              <w:jc w:val="center"/>
              <w:spacing w:after="0"/>
              <w:rPr>
                <w:sz w:val="20"/>
                <w:szCs w:val="20"/>
                <w:color w:val="auto"/>
              </w:rPr>
            </w:pPr>
            <w:r>
              <w:rPr>
                <w:rFonts w:ascii="Arial" w:cs="Arial" w:eastAsia="Arial" w:hAnsi="Arial"/>
                <w:sz w:val="20"/>
                <w:szCs w:val="20"/>
                <w:color w:val="auto"/>
                <w:w w:val="91"/>
              </w:rPr>
              <w:t>0.45%</w:t>
            </w:r>
          </w:p>
        </w:tc>
      </w:tr>
      <w:tr>
        <w:trPr>
          <w:trHeight w:val="48"/>
        </w:trPr>
        <w:tc>
          <w:tcPr>
            <w:tcW w:w="1040" w:type="dxa"/>
            <w:vAlign w:val="bottom"/>
            <w:tcBorders>
              <w:bottom w:val="single" w:sz="8" w:color="auto"/>
            </w:tcBorders>
          </w:tcPr>
          <w:p>
            <w:pPr>
              <w:spacing w:after="0"/>
              <w:rPr>
                <w:sz w:val="4"/>
                <w:szCs w:val="4"/>
                <w:color w:val="auto"/>
              </w:rPr>
            </w:pPr>
          </w:p>
        </w:tc>
        <w:tc>
          <w:tcPr>
            <w:tcW w:w="3200" w:type="dxa"/>
            <w:vAlign w:val="bottom"/>
            <w:tcBorders>
              <w:bottom w:val="single" w:sz="8" w:color="auto"/>
            </w:tcBorders>
          </w:tcPr>
          <w:p>
            <w:pPr>
              <w:spacing w:after="0"/>
              <w:rPr>
                <w:sz w:val="4"/>
                <w:szCs w:val="4"/>
                <w:color w:val="auto"/>
              </w:rPr>
            </w:pPr>
          </w:p>
        </w:tc>
        <w:tc>
          <w:tcPr>
            <w:tcW w:w="620" w:type="dxa"/>
            <w:vAlign w:val="bottom"/>
            <w:tcBorders>
              <w:bottom w:val="single" w:sz="8" w:color="auto"/>
            </w:tcBorders>
          </w:tcPr>
          <w:p>
            <w:pPr>
              <w:spacing w:after="0"/>
              <w:rPr>
                <w:sz w:val="4"/>
                <w:szCs w:val="4"/>
                <w:color w:val="auto"/>
              </w:rPr>
            </w:pPr>
          </w:p>
        </w:tc>
        <w:tc>
          <w:tcPr>
            <w:tcW w:w="440" w:type="dxa"/>
            <w:vAlign w:val="bottom"/>
            <w:tcBorders>
              <w:top w:val="single" w:sz="8" w:color="0000FF"/>
              <w:bottom w:val="single" w:sz="8" w:color="auto"/>
            </w:tcBorders>
          </w:tcPr>
          <w:p>
            <w:pPr>
              <w:spacing w:after="0"/>
              <w:rPr>
                <w:sz w:val="4"/>
                <w:szCs w:val="4"/>
                <w:color w:val="auto"/>
              </w:rPr>
            </w:pPr>
          </w:p>
        </w:tc>
        <w:tc>
          <w:tcPr>
            <w:tcW w:w="500" w:type="dxa"/>
            <w:vAlign w:val="bottom"/>
            <w:tcBorders>
              <w:bottom w:val="single" w:sz="8" w:color="auto"/>
            </w:tcBorders>
          </w:tcPr>
          <w:p>
            <w:pPr>
              <w:spacing w:after="0"/>
              <w:rPr>
                <w:sz w:val="4"/>
                <w:szCs w:val="4"/>
                <w:color w:val="auto"/>
              </w:rPr>
            </w:pPr>
          </w:p>
        </w:tc>
        <w:tc>
          <w:tcPr>
            <w:tcW w:w="440" w:type="dxa"/>
            <w:vAlign w:val="bottom"/>
            <w:tcBorders>
              <w:bottom w:val="single" w:sz="8" w:color="auto"/>
            </w:tcBorders>
          </w:tcPr>
          <w:p>
            <w:pPr>
              <w:spacing w:after="0"/>
              <w:rPr>
                <w:sz w:val="4"/>
                <w:szCs w:val="4"/>
                <w:color w:val="auto"/>
              </w:rPr>
            </w:pPr>
          </w:p>
        </w:tc>
        <w:tc>
          <w:tcPr>
            <w:tcW w:w="440" w:type="dxa"/>
            <w:vAlign w:val="bottom"/>
            <w:tcBorders>
              <w:top w:val="single" w:sz="8" w:color="0000FF"/>
              <w:bottom w:val="single" w:sz="8" w:color="auto"/>
            </w:tcBorders>
          </w:tcPr>
          <w:p>
            <w:pPr>
              <w:spacing w:after="0"/>
              <w:rPr>
                <w:sz w:val="4"/>
                <w:szCs w:val="4"/>
                <w:color w:val="auto"/>
              </w:rPr>
            </w:pPr>
          </w:p>
        </w:tc>
        <w:tc>
          <w:tcPr>
            <w:tcW w:w="430" w:type="dxa"/>
            <w:vAlign w:val="bottom"/>
            <w:tcBorders>
              <w:bottom w:val="single" w:sz="8" w:color="auto"/>
            </w:tcBorders>
          </w:tcPr>
          <w:p>
            <w:pPr>
              <w:spacing w:after="0"/>
              <w:rPr>
                <w:sz w:val="4"/>
                <w:szCs w:val="4"/>
                <w:color w:val="auto"/>
              </w:rPr>
            </w:pPr>
          </w:p>
        </w:tc>
        <w:tc>
          <w:tcPr>
            <w:tcW w:w="430" w:type="dxa"/>
            <w:vAlign w:val="bottom"/>
            <w:tcBorders>
              <w:bottom w:val="single" w:sz="8" w:color="auto"/>
            </w:tcBorders>
          </w:tcPr>
          <w:p>
            <w:pPr>
              <w:spacing w:after="0"/>
              <w:rPr>
                <w:sz w:val="4"/>
                <w:szCs w:val="4"/>
                <w:color w:val="auto"/>
              </w:rPr>
            </w:pPr>
          </w:p>
        </w:tc>
        <w:tc>
          <w:tcPr>
            <w:tcW w:w="440" w:type="dxa"/>
            <w:vAlign w:val="bottom"/>
            <w:tcBorders>
              <w:top w:val="single" w:sz="8" w:color="0000FF"/>
              <w:bottom w:val="single" w:sz="8" w:color="auto"/>
            </w:tcBorders>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c>
          <w:tcPr>
            <w:tcW w:w="440" w:type="dxa"/>
            <w:vAlign w:val="bottom"/>
            <w:tcBorders>
              <w:top w:val="single" w:sz="8" w:color="0000FF"/>
              <w:bottom w:val="single" w:sz="8" w:color="auto"/>
            </w:tcBorders>
          </w:tcPr>
          <w:p>
            <w:pPr>
              <w:spacing w:after="0"/>
              <w:rPr>
                <w:sz w:val="4"/>
                <w:szCs w:val="4"/>
                <w:color w:val="auto"/>
              </w:rPr>
            </w:pPr>
          </w:p>
        </w:tc>
        <w:tc>
          <w:tcPr>
            <w:tcW w:w="520" w:type="dxa"/>
            <w:vAlign w:val="bottom"/>
            <w:tcBorders>
              <w:bottom w:val="single" w:sz="8" w:color="auto"/>
            </w:tcBorders>
          </w:tcPr>
          <w:p>
            <w:pPr>
              <w:spacing w:after="0"/>
              <w:rPr>
                <w:sz w:val="4"/>
                <w:szCs w:val="4"/>
                <w:color w:val="auto"/>
              </w:rPr>
            </w:pPr>
          </w:p>
        </w:tc>
        <w:tc>
          <w:tcPr>
            <w:tcW w:w="1380" w:type="dxa"/>
            <w:vAlign w:val="bottom"/>
            <w:tcBorders>
              <w:bottom w:val="single" w:sz="8" w:color="auto"/>
            </w:tcBorders>
          </w:tcPr>
          <w:p>
            <w:pPr>
              <w:spacing w:after="0"/>
              <w:rPr>
                <w:sz w:val="4"/>
                <w:szCs w:val="4"/>
                <w:color w:val="auto"/>
              </w:rPr>
            </w:pPr>
          </w:p>
        </w:tc>
      </w:tr>
    </w:tbl>
    <w:p>
      <w:pPr>
        <w:spacing w:after="0" w:line="25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466090</wp:posOffset>
            </wp:positionV>
            <wp:extent cx="724662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ind w:left="2440" w:hanging="487"/>
        <w:spacing w:after="0"/>
        <w:tabs>
          <w:tab w:leader="none" w:pos="2440" w:val="left"/>
        </w:tabs>
        <w:numPr>
          <w:ilvl w:val="0"/>
          <w:numId w:val="22"/>
        </w:numPr>
        <w:rPr>
          <w:rFonts w:ascii="Arial" w:cs="Arial" w:eastAsia="Arial" w:hAnsi="Arial"/>
          <w:sz w:val="22"/>
          <w:szCs w:val="22"/>
          <w:color w:val="auto"/>
        </w:rPr>
      </w:pPr>
      <w:r>
        <w:rPr>
          <w:rFonts w:ascii="Arial" w:cs="Arial" w:eastAsia="Arial" w:hAnsi="Arial"/>
          <w:sz w:val="20"/>
          <w:szCs w:val="20"/>
          <w:u w:val="single" w:color="auto"/>
          <w:color w:val="auto"/>
        </w:rPr>
        <w:t>European Revolving Loan Obligations</w:t>
      </w:r>
      <w:r>
        <w:rPr>
          <w:rFonts w:ascii="Arial" w:cs="Arial" w:eastAsia="Arial" w:hAnsi="Arial"/>
          <w:sz w:val="20"/>
          <w:szCs w:val="20"/>
          <w:color w:val="auto"/>
        </w:rPr>
        <w:t>. For European Revolving Loan Obligations: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391795</wp:posOffset>
            </wp:positionV>
            <wp:extent cx="7246620"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50"/>
        </w:trPr>
        <w:tc>
          <w:tcPr>
            <w:tcW w:w="1760" w:type="dxa"/>
            <w:vAlign w:val="bottom"/>
          </w:tcPr>
          <w:p>
            <w:pPr>
              <w:spacing w:after="0"/>
              <w:rPr>
                <w:sz w:val="21"/>
                <w:szCs w:val="21"/>
                <w:color w:val="auto"/>
              </w:rPr>
            </w:pPr>
          </w:p>
        </w:tc>
        <w:tc>
          <w:tcPr>
            <w:tcW w:w="318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3220" w:type="dxa"/>
            <w:vAlign w:val="bottom"/>
            <w:gridSpan w:val="6"/>
          </w:tcPr>
          <w:p>
            <w:pPr>
              <w:ind w:left="60"/>
              <w:spacing w:after="0"/>
              <w:rPr>
                <w:sz w:val="20"/>
                <w:szCs w:val="20"/>
                <w:color w:val="auto"/>
              </w:rPr>
            </w:pPr>
            <w:r>
              <w:rPr>
                <w:rFonts w:ascii="Arial" w:cs="Arial" w:eastAsia="Arial" w:hAnsi="Arial"/>
                <w:sz w:val="20"/>
                <w:szCs w:val="20"/>
                <w:color w:val="auto"/>
                <w:w w:val="93"/>
              </w:rPr>
              <w:t>European Revolving Loan Obligations</w:t>
            </w:r>
          </w:p>
        </w:tc>
        <w:tc>
          <w:tcPr>
            <w:tcW w:w="1560" w:type="dxa"/>
            <w:vAlign w:val="bottom"/>
          </w:tcPr>
          <w:p>
            <w:pPr>
              <w:spacing w:after="0"/>
              <w:rPr>
                <w:sz w:val="21"/>
                <w:szCs w:val="21"/>
                <w:color w:val="auto"/>
              </w:rPr>
            </w:pPr>
          </w:p>
        </w:tc>
      </w:tr>
      <w:tr>
        <w:trPr>
          <w:trHeight w:val="23"/>
        </w:trPr>
        <w:tc>
          <w:tcPr>
            <w:tcW w:w="1760" w:type="dxa"/>
            <w:vAlign w:val="bottom"/>
            <w:tcBorders>
              <w:bottom w:val="single" w:sz="8" w:color="auto"/>
            </w:tcBorders>
          </w:tcPr>
          <w:p>
            <w:pPr>
              <w:spacing w:after="0"/>
              <w:rPr>
                <w:sz w:val="2"/>
                <w:szCs w:val="2"/>
                <w:color w:val="auto"/>
              </w:rPr>
            </w:pPr>
          </w:p>
        </w:tc>
        <w:tc>
          <w:tcPr>
            <w:tcW w:w="31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233"/>
        </w:trPr>
        <w:tc>
          <w:tcPr>
            <w:tcW w:w="1760" w:type="dxa"/>
            <w:vAlign w:val="bottom"/>
          </w:tcPr>
          <w:p>
            <w:pPr>
              <w:jc w:val="center"/>
              <w:ind w:left="581"/>
              <w:spacing w:after="0"/>
              <w:rPr>
                <w:sz w:val="20"/>
                <w:szCs w:val="20"/>
                <w:color w:val="auto"/>
              </w:rPr>
            </w:pPr>
            <w:r>
              <w:rPr>
                <w:rFonts w:ascii="Arial" w:cs="Arial" w:eastAsia="Arial" w:hAnsi="Arial"/>
                <w:sz w:val="20"/>
                <w:szCs w:val="20"/>
                <w:color w:val="auto"/>
                <w:w w:val="91"/>
              </w:rPr>
              <w:t>Pricing</w:t>
            </w:r>
          </w:p>
        </w:tc>
        <w:tc>
          <w:tcPr>
            <w:tcW w:w="3180" w:type="dxa"/>
            <w:vAlign w:val="bottom"/>
          </w:tcPr>
          <w:p>
            <w:pPr>
              <w:jc w:val="center"/>
              <w:ind w:left="1"/>
              <w:spacing w:after="0"/>
              <w:rPr>
                <w:sz w:val="20"/>
                <w:szCs w:val="20"/>
                <w:color w:val="auto"/>
              </w:rPr>
            </w:pPr>
            <w:r>
              <w:rPr>
                <w:rFonts w:ascii="Arial" w:cs="Arial" w:eastAsia="Arial" w:hAnsi="Arial"/>
                <w:sz w:val="20"/>
                <w:szCs w:val="20"/>
                <w:color w:val="auto"/>
                <w:w w:val="89"/>
              </w:rPr>
              <w:t>Consolidated Total Leverage Ratio</w:t>
            </w:r>
          </w:p>
        </w:tc>
        <w:tc>
          <w:tcPr>
            <w:tcW w:w="1700" w:type="dxa"/>
            <w:vAlign w:val="bottom"/>
            <w:gridSpan w:val="3"/>
          </w:tcPr>
          <w:p>
            <w:pPr>
              <w:jc w:val="right"/>
              <w:ind w:right="40"/>
              <w:spacing w:after="0"/>
              <w:rPr>
                <w:sz w:val="20"/>
                <w:szCs w:val="20"/>
                <w:color w:val="auto"/>
              </w:rPr>
            </w:pPr>
            <w:r>
              <w:rPr>
                <w:rFonts w:ascii="Arial" w:cs="Arial" w:eastAsia="Arial" w:hAnsi="Arial"/>
                <w:sz w:val="20"/>
                <w:szCs w:val="20"/>
                <w:color w:val="auto"/>
              </w:rPr>
              <w:t>Fixed LIBOR Rate</w:t>
            </w:r>
          </w:p>
        </w:tc>
        <w:tc>
          <w:tcPr>
            <w:tcW w:w="1340" w:type="dxa"/>
            <w:vAlign w:val="bottom"/>
            <w:gridSpan w:val="3"/>
          </w:tcPr>
          <w:p>
            <w:pPr>
              <w:ind w:left="60"/>
              <w:spacing w:after="0"/>
              <w:rPr>
                <w:sz w:val="20"/>
                <w:szCs w:val="20"/>
                <w:color w:val="auto"/>
              </w:rPr>
            </w:pPr>
            <w:r>
              <w:rPr>
                <w:rFonts w:ascii="Arial" w:cs="Arial" w:eastAsia="Arial" w:hAnsi="Arial"/>
                <w:sz w:val="20"/>
                <w:szCs w:val="20"/>
                <w:color w:val="auto"/>
                <w:w w:val="95"/>
              </w:rPr>
              <w:t>Letter of Credit</w:t>
            </w:r>
          </w:p>
        </w:tc>
        <w:tc>
          <w:tcPr>
            <w:tcW w:w="1880" w:type="dxa"/>
            <w:vAlign w:val="bottom"/>
            <w:gridSpan w:val="3"/>
          </w:tcPr>
          <w:p>
            <w:pPr>
              <w:jc w:val="right"/>
              <w:ind w:right="80"/>
              <w:spacing w:after="0"/>
              <w:rPr>
                <w:sz w:val="20"/>
                <w:szCs w:val="20"/>
                <w:color w:val="auto"/>
              </w:rPr>
            </w:pPr>
            <w:r>
              <w:rPr>
                <w:rFonts w:ascii="Arial" w:cs="Arial" w:eastAsia="Arial" w:hAnsi="Arial"/>
                <w:sz w:val="20"/>
                <w:szCs w:val="20"/>
                <w:color w:val="auto"/>
                <w:w w:val="91"/>
              </w:rPr>
              <w:t>Overnight Rate Loans</w:t>
            </w:r>
          </w:p>
        </w:tc>
        <w:tc>
          <w:tcPr>
            <w:tcW w:w="1560" w:type="dxa"/>
            <w:vAlign w:val="bottom"/>
          </w:tcPr>
          <w:p>
            <w:pPr>
              <w:jc w:val="center"/>
              <w:spacing w:after="0"/>
              <w:rPr>
                <w:sz w:val="20"/>
                <w:szCs w:val="20"/>
                <w:color w:val="auto"/>
              </w:rPr>
            </w:pPr>
            <w:r>
              <w:rPr>
                <w:rFonts w:ascii="Arial" w:cs="Arial" w:eastAsia="Arial" w:hAnsi="Arial"/>
                <w:sz w:val="20"/>
                <w:szCs w:val="20"/>
                <w:color w:val="auto"/>
                <w:w w:val="89"/>
              </w:rPr>
              <w:t>Commitment Fee</w:t>
            </w:r>
          </w:p>
        </w:tc>
      </w:tr>
      <w:tr>
        <w:trPr>
          <w:trHeight w:val="250"/>
        </w:trPr>
        <w:tc>
          <w:tcPr>
            <w:tcW w:w="1760" w:type="dxa"/>
            <w:vAlign w:val="bottom"/>
          </w:tcPr>
          <w:p>
            <w:pPr>
              <w:jc w:val="center"/>
              <w:ind w:left="581"/>
              <w:spacing w:after="0"/>
              <w:rPr>
                <w:sz w:val="20"/>
                <w:szCs w:val="20"/>
                <w:color w:val="auto"/>
              </w:rPr>
            </w:pPr>
            <w:r>
              <w:rPr>
                <w:rFonts w:ascii="Arial" w:cs="Arial" w:eastAsia="Arial" w:hAnsi="Arial"/>
                <w:sz w:val="20"/>
                <w:szCs w:val="20"/>
                <w:color w:val="auto"/>
                <w:w w:val="91"/>
              </w:rPr>
              <w:t>Level</w:t>
            </w:r>
          </w:p>
        </w:tc>
        <w:tc>
          <w:tcPr>
            <w:tcW w:w="3180" w:type="dxa"/>
            <w:vAlign w:val="bottom"/>
          </w:tcPr>
          <w:p>
            <w:pPr>
              <w:spacing w:after="0"/>
              <w:rPr>
                <w:sz w:val="21"/>
                <w:szCs w:val="21"/>
                <w:color w:val="auto"/>
              </w:rPr>
            </w:pPr>
          </w:p>
        </w:tc>
        <w:tc>
          <w:tcPr>
            <w:tcW w:w="1700" w:type="dxa"/>
            <w:vAlign w:val="bottom"/>
            <w:gridSpan w:val="3"/>
          </w:tcPr>
          <w:p>
            <w:pPr>
              <w:jc w:val="right"/>
              <w:ind w:right="560"/>
              <w:spacing w:after="0"/>
              <w:rPr>
                <w:sz w:val="20"/>
                <w:szCs w:val="20"/>
                <w:color w:val="auto"/>
              </w:rPr>
            </w:pPr>
            <w:r>
              <w:rPr>
                <w:rFonts w:ascii="Arial" w:cs="Arial" w:eastAsia="Arial" w:hAnsi="Arial"/>
                <w:sz w:val="20"/>
                <w:szCs w:val="20"/>
                <w:color w:val="auto"/>
              </w:rPr>
              <w:t>Loans</w:t>
            </w:r>
          </w:p>
        </w:tc>
        <w:tc>
          <w:tcPr>
            <w:tcW w:w="1340" w:type="dxa"/>
            <w:vAlign w:val="bottom"/>
            <w:gridSpan w:val="3"/>
          </w:tcPr>
          <w:p>
            <w:pPr>
              <w:ind w:left="540"/>
              <w:spacing w:after="0"/>
              <w:rPr>
                <w:sz w:val="20"/>
                <w:szCs w:val="20"/>
                <w:color w:val="auto"/>
              </w:rPr>
            </w:pPr>
            <w:r>
              <w:rPr>
                <w:rFonts w:ascii="Arial" w:cs="Arial" w:eastAsia="Arial" w:hAnsi="Arial"/>
                <w:sz w:val="20"/>
                <w:szCs w:val="20"/>
                <w:color w:val="auto"/>
              </w:rPr>
              <w:t>Fee</w:t>
            </w:r>
          </w:p>
        </w:tc>
        <w:tc>
          <w:tcPr>
            <w:tcW w:w="8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560" w:type="dxa"/>
            <w:vAlign w:val="bottom"/>
          </w:tcPr>
          <w:p>
            <w:pPr>
              <w:spacing w:after="0"/>
              <w:rPr>
                <w:sz w:val="21"/>
                <w:szCs w:val="21"/>
                <w:color w:val="auto"/>
              </w:rPr>
            </w:pPr>
          </w:p>
        </w:tc>
      </w:tr>
      <w:tr>
        <w:trPr>
          <w:trHeight w:val="23"/>
        </w:trPr>
        <w:tc>
          <w:tcPr>
            <w:tcW w:w="1760" w:type="dxa"/>
            <w:vAlign w:val="bottom"/>
            <w:tcBorders>
              <w:bottom w:val="single" w:sz="8" w:color="auto"/>
            </w:tcBorders>
          </w:tcPr>
          <w:p>
            <w:pPr>
              <w:spacing w:after="0"/>
              <w:rPr>
                <w:sz w:val="2"/>
                <w:szCs w:val="2"/>
                <w:color w:val="auto"/>
              </w:rPr>
            </w:pPr>
          </w:p>
        </w:tc>
        <w:tc>
          <w:tcPr>
            <w:tcW w:w="31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210"/>
        </w:trPr>
        <w:tc>
          <w:tcPr>
            <w:tcW w:w="1760" w:type="dxa"/>
            <w:vAlign w:val="bottom"/>
          </w:tcPr>
          <w:p>
            <w:pPr>
              <w:jc w:val="center"/>
              <w:ind w:left="561"/>
              <w:spacing w:after="0" w:line="209" w:lineRule="exact"/>
              <w:rPr>
                <w:sz w:val="20"/>
                <w:szCs w:val="20"/>
                <w:color w:val="auto"/>
              </w:rPr>
            </w:pPr>
            <w:r>
              <w:rPr>
                <w:rFonts w:ascii="Arial" w:cs="Arial" w:eastAsia="Arial" w:hAnsi="Arial"/>
                <w:sz w:val="20"/>
                <w:szCs w:val="20"/>
                <w:color w:val="auto"/>
              </w:rPr>
              <w:t>I</w:t>
            </w:r>
          </w:p>
        </w:tc>
        <w:tc>
          <w:tcPr>
            <w:tcW w:w="3180" w:type="dxa"/>
            <w:vAlign w:val="bottom"/>
          </w:tcPr>
          <w:p>
            <w:pPr>
              <w:jc w:val="center"/>
              <w:spacing w:after="0" w:line="209" w:lineRule="exact"/>
              <w:rPr>
                <w:sz w:val="20"/>
                <w:szCs w:val="20"/>
                <w:color w:val="auto"/>
              </w:rPr>
            </w:pPr>
            <w:r>
              <w:rPr>
                <w:rFonts w:ascii="Arial" w:cs="Arial" w:eastAsia="Arial" w:hAnsi="Arial"/>
                <w:sz w:val="20"/>
                <w:szCs w:val="20"/>
                <w:color w:val="auto"/>
                <w:w w:val="89"/>
              </w:rPr>
              <w:t>&lt; 2.00:1.00</w:t>
            </w:r>
          </w:p>
        </w:tc>
        <w:tc>
          <w:tcPr>
            <w:tcW w:w="780" w:type="dxa"/>
            <w:vAlign w:val="bottom"/>
          </w:tcPr>
          <w:p>
            <w:pPr>
              <w:jc w:val="right"/>
              <w:spacing w:after="0" w:line="209" w:lineRule="exact"/>
              <w:rPr>
                <w:sz w:val="20"/>
                <w:szCs w:val="20"/>
                <w:color w:val="auto"/>
              </w:rPr>
            </w:pPr>
            <w:r>
              <w:rPr>
                <w:rFonts w:ascii="Arial" w:cs="Arial" w:eastAsia="Arial" w:hAnsi="Arial"/>
                <w:sz w:val="20"/>
                <w:szCs w:val="20"/>
                <w:color w:val="FF0000"/>
                <w:strike w:val="1"/>
              </w:rPr>
              <w:t>1.50</w:t>
            </w:r>
          </w:p>
        </w:tc>
        <w:tc>
          <w:tcPr>
            <w:tcW w:w="920" w:type="dxa"/>
            <w:vAlign w:val="bottom"/>
            <w:gridSpan w:val="2"/>
          </w:tcPr>
          <w:p>
            <w:pPr>
              <w:jc w:val="right"/>
              <w:ind w:right="320"/>
              <w:spacing w:after="0" w:line="209" w:lineRule="exact"/>
              <w:rPr>
                <w:sz w:val="20"/>
                <w:szCs w:val="20"/>
                <w:color w:val="auto"/>
              </w:rPr>
            </w:pPr>
            <w:r>
              <w:rPr>
                <w:rFonts w:ascii="Arial" w:cs="Arial" w:eastAsia="Arial" w:hAnsi="Arial"/>
                <w:sz w:val="20"/>
                <w:szCs w:val="20"/>
                <w:color w:val="0000FF"/>
                <w:w w:val="85"/>
              </w:rPr>
              <w:t>1.375</w:t>
            </w:r>
            <w:r>
              <w:rPr>
                <w:rFonts w:ascii="Arial" w:cs="Arial" w:eastAsia="Arial" w:hAnsi="Arial"/>
                <w:sz w:val="20"/>
                <w:szCs w:val="20"/>
                <w:color w:val="000000"/>
                <w:w w:val="85"/>
              </w:rPr>
              <w:t>%</w:t>
            </w:r>
          </w:p>
        </w:tc>
        <w:tc>
          <w:tcPr>
            <w:tcW w:w="540" w:type="dxa"/>
            <w:vAlign w:val="bottom"/>
          </w:tcPr>
          <w:p>
            <w:pPr>
              <w:jc w:val="right"/>
              <w:spacing w:after="0" w:line="209" w:lineRule="exact"/>
              <w:rPr>
                <w:sz w:val="20"/>
                <w:szCs w:val="20"/>
                <w:color w:val="auto"/>
              </w:rPr>
            </w:pPr>
            <w:r>
              <w:rPr>
                <w:rFonts w:ascii="Arial" w:cs="Arial" w:eastAsia="Arial" w:hAnsi="Arial"/>
                <w:sz w:val="20"/>
                <w:szCs w:val="20"/>
                <w:color w:val="FF0000"/>
                <w:strike w:val="1"/>
              </w:rPr>
              <w:t>1.50</w:t>
            </w:r>
          </w:p>
        </w:tc>
        <w:tc>
          <w:tcPr>
            <w:tcW w:w="800" w:type="dxa"/>
            <w:vAlign w:val="bottom"/>
            <w:gridSpan w:val="2"/>
          </w:tcPr>
          <w:p>
            <w:pPr>
              <w:spacing w:after="0" w:line="209" w:lineRule="exact"/>
              <w:rPr>
                <w:sz w:val="20"/>
                <w:szCs w:val="20"/>
                <w:color w:val="auto"/>
              </w:rPr>
            </w:pPr>
            <w:r>
              <w:rPr>
                <w:rFonts w:ascii="Arial" w:cs="Arial" w:eastAsia="Arial" w:hAnsi="Arial"/>
                <w:sz w:val="20"/>
                <w:szCs w:val="20"/>
                <w:color w:val="0000FF"/>
              </w:rPr>
              <w:t>1.375</w:t>
            </w:r>
            <w:r>
              <w:rPr>
                <w:rFonts w:ascii="Arial" w:cs="Arial" w:eastAsia="Arial" w:hAnsi="Arial"/>
                <w:sz w:val="20"/>
                <w:szCs w:val="20"/>
                <w:color w:val="000000"/>
              </w:rPr>
              <w:t>%</w:t>
            </w:r>
          </w:p>
        </w:tc>
        <w:tc>
          <w:tcPr>
            <w:tcW w:w="800" w:type="dxa"/>
            <w:vAlign w:val="bottom"/>
          </w:tcPr>
          <w:p>
            <w:pPr>
              <w:jc w:val="right"/>
              <w:spacing w:after="0" w:line="209" w:lineRule="exact"/>
              <w:rPr>
                <w:sz w:val="20"/>
                <w:szCs w:val="20"/>
                <w:color w:val="auto"/>
              </w:rPr>
            </w:pPr>
            <w:r>
              <w:rPr>
                <w:rFonts w:ascii="Arial" w:cs="Arial" w:eastAsia="Arial" w:hAnsi="Arial"/>
                <w:sz w:val="20"/>
                <w:szCs w:val="20"/>
                <w:color w:val="FF0000"/>
                <w:strike w:val="1"/>
              </w:rPr>
              <w:t>1.50</w:t>
            </w:r>
          </w:p>
        </w:tc>
        <w:tc>
          <w:tcPr>
            <w:tcW w:w="1080" w:type="dxa"/>
            <w:vAlign w:val="bottom"/>
            <w:gridSpan w:val="2"/>
          </w:tcPr>
          <w:p>
            <w:pPr>
              <w:jc w:val="right"/>
              <w:ind w:right="460"/>
              <w:spacing w:after="0" w:line="209" w:lineRule="exact"/>
              <w:rPr>
                <w:sz w:val="20"/>
                <w:szCs w:val="20"/>
                <w:color w:val="auto"/>
              </w:rPr>
            </w:pPr>
            <w:r>
              <w:rPr>
                <w:rFonts w:ascii="Arial" w:cs="Arial" w:eastAsia="Arial" w:hAnsi="Arial"/>
                <w:sz w:val="20"/>
                <w:szCs w:val="20"/>
                <w:color w:val="0000FF"/>
                <w:w w:val="88"/>
              </w:rPr>
              <w:t>1.375</w:t>
            </w:r>
            <w:r>
              <w:rPr>
                <w:rFonts w:ascii="Arial" w:cs="Arial" w:eastAsia="Arial" w:hAnsi="Arial"/>
                <w:sz w:val="20"/>
                <w:szCs w:val="20"/>
                <w:color w:val="000000"/>
                <w:w w:val="88"/>
              </w:rPr>
              <w:t>%</w:t>
            </w:r>
          </w:p>
        </w:tc>
        <w:tc>
          <w:tcPr>
            <w:tcW w:w="1560" w:type="dxa"/>
            <w:vAlign w:val="bottom"/>
          </w:tcPr>
          <w:p>
            <w:pPr>
              <w:jc w:val="center"/>
              <w:spacing w:after="0" w:line="209" w:lineRule="exact"/>
              <w:rPr>
                <w:sz w:val="20"/>
                <w:szCs w:val="20"/>
                <w:color w:val="auto"/>
              </w:rPr>
            </w:pPr>
            <w:r>
              <w:rPr>
                <w:rFonts w:ascii="Arial" w:cs="Arial" w:eastAsia="Arial" w:hAnsi="Arial"/>
                <w:sz w:val="20"/>
                <w:szCs w:val="20"/>
                <w:color w:val="auto"/>
                <w:w w:val="91"/>
              </w:rPr>
              <w:t>0.25%</w:t>
            </w:r>
          </w:p>
        </w:tc>
      </w:tr>
      <w:tr>
        <w:trPr>
          <w:trHeight w:val="20"/>
        </w:trPr>
        <w:tc>
          <w:tcPr>
            <w:tcW w:w="1760" w:type="dxa"/>
            <w:vAlign w:val="bottom"/>
          </w:tcPr>
          <w:p>
            <w:pPr>
              <w:spacing w:after="0" w:line="20" w:lineRule="exact"/>
              <w:rPr>
                <w:sz w:val="1"/>
                <w:szCs w:val="1"/>
                <w:color w:val="auto"/>
              </w:rPr>
            </w:pPr>
          </w:p>
        </w:tc>
        <w:tc>
          <w:tcPr>
            <w:tcW w:w="31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r>
      <w:tr>
        <w:trPr>
          <w:trHeight w:val="264"/>
        </w:trPr>
        <w:tc>
          <w:tcPr>
            <w:tcW w:w="1760" w:type="dxa"/>
            <w:vAlign w:val="bottom"/>
          </w:tcPr>
          <w:p>
            <w:pPr>
              <w:jc w:val="center"/>
              <w:ind w:left="581"/>
              <w:spacing w:after="0"/>
              <w:rPr>
                <w:sz w:val="20"/>
                <w:szCs w:val="20"/>
                <w:color w:val="auto"/>
              </w:rPr>
            </w:pPr>
            <w:r>
              <w:rPr>
                <w:rFonts w:ascii="Arial" w:cs="Arial" w:eastAsia="Arial" w:hAnsi="Arial"/>
                <w:sz w:val="20"/>
                <w:szCs w:val="20"/>
                <w:color w:val="auto"/>
              </w:rPr>
              <w:t>II</w:t>
            </w:r>
          </w:p>
        </w:tc>
        <w:tc>
          <w:tcPr>
            <w:tcW w:w="3180" w:type="dxa"/>
            <w:vAlign w:val="bottom"/>
          </w:tcPr>
          <w:p>
            <w:pPr>
              <w:jc w:val="center"/>
              <w:spacing w:after="0"/>
              <w:rPr>
                <w:sz w:val="20"/>
                <w:szCs w:val="20"/>
                <w:color w:val="auto"/>
              </w:rPr>
            </w:pPr>
            <w:r>
              <w:rPr>
                <w:rFonts w:ascii="Arial" w:cs="Arial" w:eastAsia="Arial" w:hAnsi="Arial"/>
                <w:sz w:val="20"/>
                <w:szCs w:val="20"/>
                <w:color w:val="auto"/>
                <w:w w:val="91"/>
              </w:rPr>
              <w:t>≥ 2.00:1.00 but &lt; 2.50:1.00</w:t>
            </w:r>
          </w:p>
        </w:tc>
        <w:tc>
          <w:tcPr>
            <w:tcW w:w="780" w:type="dxa"/>
            <w:vAlign w:val="bottom"/>
          </w:tcPr>
          <w:p>
            <w:pPr>
              <w:jc w:val="right"/>
              <w:spacing w:after="0"/>
              <w:rPr>
                <w:sz w:val="20"/>
                <w:szCs w:val="20"/>
                <w:color w:val="auto"/>
              </w:rPr>
            </w:pPr>
            <w:r>
              <w:rPr>
                <w:rFonts w:ascii="Arial" w:cs="Arial" w:eastAsia="Arial" w:hAnsi="Arial"/>
                <w:sz w:val="20"/>
                <w:szCs w:val="20"/>
                <w:color w:val="FF0000"/>
                <w:strike w:val="1"/>
              </w:rPr>
              <w:t>1.75</w:t>
            </w:r>
          </w:p>
        </w:tc>
        <w:tc>
          <w:tcPr>
            <w:tcW w:w="920" w:type="dxa"/>
            <w:vAlign w:val="bottom"/>
            <w:gridSpan w:val="2"/>
          </w:tcPr>
          <w:p>
            <w:pPr>
              <w:jc w:val="right"/>
              <w:ind w:right="320"/>
              <w:spacing w:after="0"/>
              <w:rPr>
                <w:sz w:val="20"/>
                <w:szCs w:val="20"/>
                <w:color w:val="auto"/>
              </w:rPr>
            </w:pPr>
            <w:r>
              <w:rPr>
                <w:rFonts w:ascii="Arial" w:cs="Arial" w:eastAsia="Arial" w:hAnsi="Arial"/>
                <w:sz w:val="20"/>
                <w:szCs w:val="20"/>
                <w:color w:val="0000FF"/>
                <w:w w:val="85"/>
              </w:rPr>
              <w:t>1.625</w:t>
            </w:r>
            <w:r>
              <w:rPr>
                <w:rFonts w:ascii="Arial" w:cs="Arial" w:eastAsia="Arial" w:hAnsi="Arial"/>
                <w:sz w:val="20"/>
                <w:szCs w:val="20"/>
                <w:color w:val="000000"/>
                <w:w w:val="85"/>
              </w:rPr>
              <w:t>%</w:t>
            </w:r>
          </w:p>
        </w:tc>
        <w:tc>
          <w:tcPr>
            <w:tcW w:w="540" w:type="dxa"/>
            <w:vAlign w:val="bottom"/>
          </w:tcPr>
          <w:p>
            <w:pPr>
              <w:jc w:val="right"/>
              <w:spacing w:after="0"/>
              <w:rPr>
                <w:sz w:val="20"/>
                <w:szCs w:val="20"/>
                <w:color w:val="auto"/>
              </w:rPr>
            </w:pPr>
            <w:r>
              <w:rPr>
                <w:rFonts w:ascii="Arial" w:cs="Arial" w:eastAsia="Arial" w:hAnsi="Arial"/>
                <w:sz w:val="20"/>
                <w:szCs w:val="20"/>
                <w:color w:val="FF0000"/>
                <w:strike w:val="1"/>
              </w:rPr>
              <w:t>1.75</w:t>
            </w:r>
          </w:p>
        </w:tc>
        <w:tc>
          <w:tcPr>
            <w:tcW w:w="800" w:type="dxa"/>
            <w:vAlign w:val="bottom"/>
            <w:gridSpan w:val="2"/>
          </w:tcPr>
          <w:p>
            <w:pPr>
              <w:spacing w:after="0"/>
              <w:rPr>
                <w:sz w:val="20"/>
                <w:szCs w:val="20"/>
                <w:color w:val="auto"/>
              </w:rPr>
            </w:pPr>
            <w:r>
              <w:rPr>
                <w:rFonts w:ascii="Arial" w:cs="Arial" w:eastAsia="Arial" w:hAnsi="Arial"/>
                <w:sz w:val="20"/>
                <w:szCs w:val="20"/>
                <w:color w:val="0000FF"/>
              </w:rPr>
              <w:t>1.625</w:t>
            </w:r>
            <w:r>
              <w:rPr>
                <w:rFonts w:ascii="Arial" w:cs="Arial" w:eastAsia="Arial" w:hAnsi="Arial"/>
                <w:sz w:val="20"/>
                <w:szCs w:val="20"/>
                <w:color w:val="000000"/>
              </w:rPr>
              <w:t>%</w:t>
            </w:r>
          </w:p>
        </w:tc>
        <w:tc>
          <w:tcPr>
            <w:tcW w:w="800" w:type="dxa"/>
            <w:vAlign w:val="bottom"/>
          </w:tcPr>
          <w:p>
            <w:pPr>
              <w:jc w:val="right"/>
              <w:spacing w:after="0"/>
              <w:rPr>
                <w:sz w:val="20"/>
                <w:szCs w:val="20"/>
                <w:color w:val="auto"/>
              </w:rPr>
            </w:pPr>
            <w:r>
              <w:rPr>
                <w:rFonts w:ascii="Arial" w:cs="Arial" w:eastAsia="Arial" w:hAnsi="Arial"/>
                <w:sz w:val="20"/>
                <w:szCs w:val="20"/>
                <w:color w:val="FF0000"/>
                <w:strike w:val="1"/>
              </w:rPr>
              <w:t>1.75</w:t>
            </w:r>
          </w:p>
        </w:tc>
        <w:tc>
          <w:tcPr>
            <w:tcW w:w="1080" w:type="dxa"/>
            <w:vAlign w:val="bottom"/>
            <w:gridSpan w:val="2"/>
          </w:tcPr>
          <w:p>
            <w:pPr>
              <w:jc w:val="right"/>
              <w:ind w:right="460"/>
              <w:spacing w:after="0"/>
              <w:rPr>
                <w:sz w:val="20"/>
                <w:szCs w:val="20"/>
                <w:color w:val="auto"/>
              </w:rPr>
            </w:pPr>
            <w:r>
              <w:rPr>
                <w:rFonts w:ascii="Arial" w:cs="Arial" w:eastAsia="Arial" w:hAnsi="Arial"/>
                <w:sz w:val="20"/>
                <w:szCs w:val="20"/>
                <w:color w:val="0000FF"/>
                <w:w w:val="88"/>
              </w:rPr>
              <w:t>1.625</w:t>
            </w:r>
            <w:r>
              <w:rPr>
                <w:rFonts w:ascii="Arial" w:cs="Arial" w:eastAsia="Arial" w:hAnsi="Arial"/>
                <w:sz w:val="20"/>
                <w:szCs w:val="20"/>
                <w:color w:val="000000"/>
                <w:w w:val="88"/>
              </w:rPr>
              <w:t>%</w:t>
            </w:r>
          </w:p>
        </w:tc>
        <w:tc>
          <w:tcPr>
            <w:tcW w:w="1560" w:type="dxa"/>
            <w:vAlign w:val="bottom"/>
          </w:tcPr>
          <w:p>
            <w:pPr>
              <w:jc w:val="center"/>
              <w:spacing w:after="0"/>
              <w:rPr>
                <w:sz w:val="20"/>
                <w:szCs w:val="20"/>
                <w:color w:val="auto"/>
              </w:rPr>
            </w:pPr>
            <w:r>
              <w:rPr>
                <w:rFonts w:ascii="Arial" w:cs="Arial" w:eastAsia="Arial" w:hAnsi="Arial"/>
                <w:sz w:val="20"/>
                <w:szCs w:val="20"/>
                <w:color w:val="auto"/>
                <w:w w:val="91"/>
              </w:rPr>
              <w:t>0.30%</w:t>
            </w:r>
          </w:p>
        </w:tc>
      </w:tr>
      <w:tr>
        <w:trPr>
          <w:trHeight w:val="20"/>
        </w:trPr>
        <w:tc>
          <w:tcPr>
            <w:tcW w:w="1760" w:type="dxa"/>
            <w:vAlign w:val="bottom"/>
          </w:tcPr>
          <w:p>
            <w:pPr>
              <w:spacing w:after="0" w:line="20" w:lineRule="exact"/>
              <w:rPr>
                <w:sz w:val="1"/>
                <w:szCs w:val="1"/>
                <w:color w:val="auto"/>
              </w:rPr>
            </w:pPr>
          </w:p>
        </w:tc>
        <w:tc>
          <w:tcPr>
            <w:tcW w:w="31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r>
      <w:tr>
        <w:trPr>
          <w:trHeight w:val="264"/>
        </w:trPr>
        <w:tc>
          <w:tcPr>
            <w:tcW w:w="1760" w:type="dxa"/>
            <w:vAlign w:val="bottom"/>
          </w:tcPr>
          <w:p>
            <w:pPr>
              <w:jc w:val="center"/>
              <w:ind w:left="581"/>
              <w:spacing w:after="0"/>
              <w:rPr>
                <w:sz w:val="20"/>
                <w:szCs w:val="20"/>
                <w:color w:val="auto"/>
              </w:rPr>
            </w:pPr>
            <w:r>
              <w:rPr>
                <w:rFonts w:ascii="Arial" w:cs="Arial" w:eastAsia="Arial" w:hAnsi="Arial"/>
                <w:sz w:val="20"/>
                <w:szCs w:val="20"/>
                <w:color w:val="auto"/>
              </w:rPr>
              <w:t>III</w:t>
            </w:r>
          </w:p>
        </w:tc>
        <w:tc>
          <w:tcPr>
            <w:tcW w:w="3180" w:type="dxa"/>
            <w:vAlign w:val="bottom"/>
          </w:tcPr>
          <w:p>
            <w:pPr>
              <w:jc w:val="center"/>
              <w:spacing w:after="0"/>
              <w:rPr>
                <w:sz w:val="20"/>
                <w:szCs w:val="20"/>
                <w:color w:val="auto"/>
              </w:rPr>
            </w:pPr>
            <w:r>
              <w:rPr>
                <w:rFonts w:ascii="Arial" w:cs="Arial" w:eastAsia="Arial" w:hAnsi="Arial"/>
                <w:sz w:val="20"/>
                <w:szCs w:val="20"/>
                <w:color w:val="auto"/>
                <w:w w:val="91"/>
              </w:rPr>
              <w:t>≥ 2.50:1.00 but &lt; 3.00:1.00</w:t>
            </w:r>
          </w:p>
        </w:tc>
        <w:tc>
          <w:tcPr>
            <w:tcW w:w="780" w:type="dxa"/>
            <w:vAlign w:val="bottom"/>
          </w:tcPr>
          <w:p>
            <w:pPr>
              <w:jc w:val="right"/>
              <w:spacing w:after="0"/>
              <w:rPr>
                <w:sz w:val="20"/>
                <w:szCs w:val="20"/>
                <w:color w:val="auto"/>
              </w:rPr>
            </w:pPr>
            <w:r>
              <w:rPr>
                <w:rFonts w:ascii="Arial" w:cs="Arial" w:eastAsia="Arial" w:hAnsi="Arial"/>
                <w:sz w:val="20"/>
                <w:szCs w:val="20"/>
                <w:color w:val="FF0000"/>
                <w:strike w:val="1"/>
              </w:rPr>
              <w:t>2.00</w:t>
            </w:r>
          </w:p>
        </w:tc>
        <w:tc>
          <w:tcPr>
            <w:tcW w:w="920" w:type="dxa"/>
            <w:vAlign w:val="bottom"/>
            <w:gridSpan w:val="2"/>
          </w:tcPr>
          <w:p>
            <w:pPr>
              <w:jc w:val="right"/>
              <w:ind w:right="320"/>
              <w:spacing w:after="0"/>
              <w:rPr>
                <w:sz w:val="20"/>
                <w:szCs w:val="20"/>
                <w:color w:val="auto"/>
              </w:rPr>
            </w:pPr>
            <w:r>
              <w:rPr>
                <w:rFonts w:ascii="Arial" w:cs="Arial" w:eastAsia="Arial" w:hAnsi="Arial"/>
                <w:sz w:val="20"/>
                <w:szCs w:val="20"/>
                <w:color w:val="0000FF"/>
                <w:w w:val="85"/>
              </w:rPr>
              <w:t>1.875</w:t>
            </w:r>
            <w:r>
              <w:rPr>
                <w:rFonts w:ascii="Arial" w:cs="Arial" w:eastAsia="Arial" w:hAnsi="Arial"/>
                <w:sz w:val="20"/>
                <w:szCs w:val="20"/>
                <w:color w:val="000000"/>
                <w:w w:val="85"/>
              </w:rPr>
              <w:t>%</w:t>
            </w:r>
          </w:p>
        </w:tc>
        <w:tc>
          <w:tcPr>
            <w:tcW w:w="540" w:type="dxa"/>
            <w:vAlign w:val="bottom"/>
          </w:tcPr>
          <w:p>
            <w:pPr>
              <w:jc w:val="right"/>
              <w:spacing w:after="0"/>
              <w:rPr>
                <w:sz w:val="20"/>
                <w:szCs w:val="20"/>
                <w:color w:val="auto"/>
              </w:rPr>
            </w:pPr>
            <w:r>
              <w:rPr>
                <w:rFonts w:ascii="Arial" w:cs="Arial" w:eastAsia="Arial" w:hAnsi="Arial"/>
                <w:sz w:val="20"/>
                <w:szCs w:val="20"/>
                <w:color w:val="FF0000"/>
                <w:strike w:val="1"/>
              </w:rPr>
              <w:t>2.00</w:t>
            </w:r>
          </w:p>
        </w:tc>
        <w:tc>
          <w:tcPr>
            <w:tcW w:w="800" w:type="dxa"/>
            <w:vAlign w:val="bottom"/>
            <w:gridSpan w:val="2"/>
          </w:tcPr>
          <w:p>
            <w:pPr>
              <w:spacing w:after="0"/>
              <w:rPr>
                <w:sz w:val="20"/>
                <w:szCs w:val="20"/>
                <w:color w:val="auto"/>
              </w:rPr>
            </w:pPr>
            <w:r>
              <w:rPr>
                <w:rFonts w:ascii="Arial" w:cs="Arial" w:eastAsia="Arial" w:hAnsi="Arial"/>
                <w:sz w:val="20"/>
                <w:szCs w:val="20"/>
                <w:color w:val="0000FF"/>
              </w:rPr>
              <w:t>1.875</w:t>
            </w:r>
            <w:r>
              <w:rPr>
                <w:rFonts w:ascii="Arial" w:cs="Arial" w:eastAsia="Arial" w:hAnsi="Arial"/>
                <w:sz w:val="20"/>
                <w:szCs w:val="20"/>
                <w:color w:val="000000"/>
              </w:rPr>
              <w:t>%</w:t>
            </w:r>
          </w:p>
        </w:tc>
        <w:tc>
          <w:tcPr>
            <w:tcW w:w="800" w:type="dxa"/>
            <w:vAlign w:val="bottom"/>
          </w:tcPr>
          <w:p>
            <w:pPr>
              <w:jc w:val="right"/>
              <w:spacing w:after="0"/>
              <w:rPr>
                <w:sz w:val="20"/>
                <w:szCs w:val="20"/>
                <w:color w:val="auto"/>
              </w:rPr>
            </w:pPr>
            <w:r>
              <w:rPr>
                <w:rFonts w:ascii="Arial" w:cs="Arial" w:eastAsia="Arial" w:hAnsi="Arial"/>
                <w:sz w:val="20"/>
                <w:szCs w:val="20"/>
                <w:color w:val="FF0000"/>
                <w:strike w:val="1"/>
              </w:rPr>
              <w:t>2.00</w:t>
            </w:r>
          </w:p>
        </w:tc>
        <w:tc>
          <w:tcPr>
            <w:tcW w:w="1080" w:type="dxa"/>
            <w:vAlign w:val="bottom"/>
            <w:gridSpan w:val="2"/>
          </w:tcPr>
          <w:p>
            <w:pPr>
              <w:jc w:val="right"/>
              <w:ind w:right="460"/>
              <w:spacing w:after="0"/>
              <w:rPr>
                <w:sz w:val="20"/>
                <w:szCs w:val="20"/>
                <w:color w:val="auto"/>
              </w:rPr>
            </w:pPr>
            <w:r>
              <w:rPr>
                <w:rFonts w:ascii="Arial" w:cs="Arial" w:eastAsia="Arial" w:hAnsi="Arial"/>
                <w:sz w:val="20"/>
                <w:szCs w:val="20"/>
                <w:color w:val="0000FF"/>
                <w:w w:val="88"/>
              </w:rPr>
              <w:t>1.875</w:t>
            </w:r>
            <w:r>
              <w:rPr>
                <w:rFonts w:ascii="Arial" w:cs="Arial" w:eastAsia="Arial" w:hAnsi="Arial"/>
                <w:sz w:val="20"/>
                <w:szCs w:val="20"/>
                <w:color w:val="000000"/>
                <w:w w:val="88"/>
              </w:rPr>
              <w:t>%</w:t>
            </w:r>
          </w:p>
        </w:tc>
        <w:tc>
          <w:tcPr>
            <w:tcW w:w="1560" w:type="dxa"/>
            <w:vAlign w:val="bottom"/>
          </w:tcPr>
          <w:p>
            <w:pPr>
              <w:jc w:val="center"/>
              <w:spacing w:after="0"/>
              <w:rPr>
                <w:sz w:val="20"/>
                <w:szCs w:val="20"/>
                <w:color w:val="auto"/>
              </w:rPr>
            </w:pPr>
            <w:r>
              <w:rPr>
                <w:rFonts w:ascii="Arial" w:cs="Arial" w:eastAsia="Arial" w:hAnsi="Arial"/>
                <w:sz w:val="20"/>
                <w:szCs w:val="20"/>
                <w:color w:val="auto"/>
                <w:w w:val="91"/>
              </w:rPr>
              <w:t>0.35%</w:t>
            </w:r>
          </w:p>
        </w:tc>
      </w:tr>
      <w:tr>
        <w:trPr>
          <w:trHeight w:val="20"/>
        </w:trPr>
        <w:tc>
          <w:tcPr>
            <w:tcW w:w="1760" w:type="dxa"/>
            <w:vAlign w:val="bottom"/>
          </w:tcPr>
          <w:p>
            <w:pPr>
              <w:spacing w:after="0" w:line="20" w:lineRule="exact"/>
              <w:rPr>
                <w:sz w:val="1"/>
                <w:szCs w:val="1"/>
                <w:color w:val="auto"/>
              </w:rPr>
            </w:pPr>
          </w:p>
        </w:tc>
        <w:tc>
          <w:tcPr>
            <w:tcW w:w="31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r>
      <w:tr>
        <w:trPr>
          <w:trHeight w:val="264"/>
        </w:trPr>
        <w:tc>
          <w:tcPr>
            <w:tcW w:w="1760" w:type="dxa"/>
            <w:vAlign w:val="bottom"/>
          </w:tcPr>
          <w:p>
            <w:pPr>
              <w:jc w:val="center"/>
              <w:ind w:left="581"/>
              <w:spacing w:after="0"/>
              <w:rPr>
                <w:sz w:val="20"/>
                <w:szCs w:val="20"/>
                <w:color w:val="auto"/>
              </w:rPr>
            </w:pPr>
            <w:r>
              <w:rPr>
                <w:rFonts w:ascii="Arial" w:cs="Arial" w:eastAsia="Arial" w:hAnsi="Arial"/>
                <w:sz w:val="20"/>
                <w:szCs w:val="20"/>
                <w:color w:val="auto"/>
              </w:rPr>
              <w:t>IV</w:t>
            </w:r>
          </w:p>
        </w:tc>
        <w:tc>
          <w:tcPr>
            <w:tcW w:w="3180" w:type="dxa"/>
            <w:vAlign w:val="bottom"/>
          </w:tcPr>
          <w:p>
            <w:pPr>
              <w:jc w:val="center"/>
              <w:spacing w:after="0"/>
              <w:rPr>
                <w:sz w:val="20"/>
                <w:szCs w:val="20"/>
                <w:color w:val="auto"/>
              </w:rPr>
            </w:pPr>
            <w:r>
              <w:rPr>
                <w:rFonts w:ascii="Arial" w:cs="Arial" w:eastAsia="Arial" w:hAnsi="Arial"/>
                <w:sz w:val="20"/>
                <w:szCs w:val="20"/>
                <w:color w:val="auto"/>
                <w:w w:val="91"/>
              </w:rPr>
              <w:t>≥ 3.00:1.00 but &lt; 3.50:1.00</w:t>
            </w:r>
          </w:p>
        </w:tc>
        <w:tc>
          <w:tcPr>
            <w:tcW w:w="780" w:type="dxa"/>
            <w:vAlign w:val="bottom"/>
          </w:tcPr>
          <w:p>
            <w:pPr>
              <w:jc w:val="right"/>
              <w:spacing w:after="0"/>
              <w:rPr>
                <w:sz w:val="20"/>
                <w:szCs w:val="20"/>
                <w:color w:val="auto"/>
              </w:rPr>
            </w:pPr>
            <w:r>
              <w:rPr>
                <w:rFonts w:ascii="Arial" w:cs="Arial" w:eastAsia="Arial" w:hAnsi="Arial"/>
                <w:sz w:val="20"/>
                <w:szCs w:val="20"/>
                <w:color w:val="FF0000"/>
                <w:strike w:val="1"/>
              </w:rPr>
              <w:t>2.25</w:t>
            </w:r>
          </w:p>
        </w:tc>
        <w:tc>
          <w:tcPr>
            <w:tcW w:w="920" w:type="dxa"/>
            <w:vAlign w:val="bottom"/>
            <w:gridSpan w:val="2"/>
          </w:tcPr>
          <w:p>
            <w:pPr>
              <w:jc w:val="right"/>
              <w:ind w:right="320"/>
              <w:spacing w:after="0"/>
              <w:rPr>
                <w:sz w:val="20"/>
                <w:szCs w:val="20"/>
                <w:color w:val="auto"/>
              </w:rPr>
            </w:pPr>
            <w:r>
              <w:rPr>
                <w:rFonts w:ascii="Arial" w:cs="Arial" w:eastAsia="Arial" w:hAnsi="Arial"/>
                <w:sz w:val="20"/>
                <w:szCs w:val="20"/>
                <w:color w:val="0000FF"/>
                <w:w w:val="85"/>
              </w:rPr>
              <w:t>2.125</w:t>
            </w:r>
            <w:r>
              <w:rPr>
                <w:rFonts w:ascii="Arial" w:cs="Arial" w:eastAsia="Arial" w:hAnsi="Arial"/>
                <w:sz w:val="20"/>
                <w:szCs w:val="20"/>
                <w:color w:val="000000"/>
                <w:w w:val="85"/>
              </w:rPr>
              <w:t>%</w:t>
            </w:r>
          </w:p>
        </w:tc>
        <w:tc>
          <w:tcPr>
            <w:tcW w:w="540" w:type="dxa"/>
            <w:vAlign w:val="bottom"/>
          </w:tcPr>
          <w:p>
            <w:pPr>
              <w:jc w:val="right"/>
              <w:spacing w:after="0"/>
              <w:rPr>
                <w:sz w:val="20"/>
                <w:szCs w:val="20"/>
                <w:color w:val="auto"/>
              </w:rPr>
            </w:pPr>
            <w:r>
              <w:rPr>
                <w:rFonts w:ascii="Arial" w:cs="Arial" w:eastAsia="Arial" w:hAnsi="Arial"/>
                <w:sz w:val="20"/>
                <w:szCs w:val="20"/>
                <w:color w:val="FF0000"/>
                <w:strike w:val="1"/>
              </w:rPr>
              <w:t>2.25</w:t>
            </w:r>
          </w:p>
        </w:tc>
        <w:tc>
          <w:tcPr>
            <w:tcW w:w="800" w:type="dxa"/>
            <w:vAlign w:val="bottom"/>
            <w:gridSpan w:val="2"/>
          </w:tcPr>
          <w:p>
            <w:pPr>
              <w:spacing w:after="0"/>
              <w:rPr>
                <w:sz w:val="20"/>
                <w:szCs w:val="20"/>
                <w:color w:val="auto"/>
              </w:rPr>
            </w:pPr>
            <w:r>
              <w:rPr>
                <w:rFonts w:ascii="Arial" w:cs="Arial" w:eastAsia="Arial" w:hAnsi="Arial"/>
                <w:sz w:val="20"/>
                <w:szCs w:val="20"/>
                <w:color w:val="0000FF"/>
              </w:rPr>
              <w:t>2.125</w:t>
            </w:r>
            <w:r>
              <w:rPr>
                <w:rFonts w:ascii="Arial" w:cs="Arial" w:eastAsia="Arial" w:hAnsi="Arial"/>
                <w:sz w:val="20"/>
                <w:szCs w:val="20"/>
                <w:color w:val="000000"/>
              </w:rPr>
              <w:t>%</w:t>
            </w:r>
          </w:p>
        </w:tc>
        <w:tc>
          <w:tcPr>
            <w:tcW w:w="800" w:type="dxa"/>
            <w:vAlign w:val="bottom"/>
          </w:tcPr>
          <w:p>
            <w:pPr>
              <w:jc w:val="right"/>
              <w:spacing w:after="0"/>
              <w:rPr>
                <w:sz w:val="20"/>
                <w:szCs w:val="20"/>
                <w:color w:val="auto"/>
              </w:rPr>
            </w:pPr>
            <w:r>
              <w:rPr>
                <w:rFonts w:ascii="Arial" w:cs="Arial" w:eastAsia="Arial" w:hAnsi="Arial"/>
                <w:sz w:val="20"/>
                <w:szCs w:val="20"/>
                <w:color w:val="FF0000"/>
                <w:strike w:val="1"/>
              </w:rPr>
              <w:t>2.25</w:t>
            </w:r>
          </w:p>
        </w:tc>
        <w:tc>
          <w:tcPr>
            <w:tcW w:w="1080" w:type="dxa"/>
            <w:vAlign w:val="bottom"/>
            <w:gridSpan w:val="2"/>
          </w:tcPr>
          <w:p>
            <w:pPr>
              <w:jc w:val="right"/>
              <w:ind w:right="460"/>
              <w:spacing w:after="0"/>
              <w:rPr>
                <w:sz w:val="20"/>
                <w:szCs w:val="20"/>
                <w:color w:val="auto"/>
              </w:rPr>
            </w:pPr>
            <w:r>
              <w:rPr>
                <w:rFonts w:ascii="Arial" w:cs="Arial" w:eastAsia="Arial" w:hAnsi="Arial"/>
                <w:sz w:val="20"/>
                <w:szCs w:val="20"/>
                <w:color w:val="0000FF"/>
                <w:w w:val="88"/>
              </w:rPr>
              <w:t>2.125</w:t>
            </w:r>
            <w:r>
              <w:rPr>
                <w:rFonts w:ascii="Arial" w:cs="Arial" w:eastAsia="Arial" w:hAnsi="Arial"/>
                <w:sz w:val="20"/>
                <w:szCs w:val="20"/>
                <w:color w:val="000000"/>
                <w:w w:val="88"/>
              </w:rPr>
              <w:t>%</w:t>
            </w:r>
          </w:p>
        </w:tc>
        <w:tc>
          <w:tcPr>
            <w:tcW w:w="1560" w:type="dxa"/>
            <w:vAlign w:val="bottom"/>
          </w:tcPr>
          <w:p>
            <w:pPr>
              <w:jc w:val="center"/>
              <w:spacing w:after="0"/>
              <w:rPr>
                <w:sz w:val="20"/>
                <w:szCs w:val="20"/>
                <w:color w:val="auto"/>
              </w:rPr>
            </w:pPr>
            <w:r>
              <w:rPr>
                <w:rFonts w:ascii="Arial" w:cs="Arial" w:eastAsia="Arial" w:hAnsi="Arial"/>
                <w:sz w:val="20"/>
                <w:szCs w:val="20"/>
                <w:color w:val="auto"/>
                <w:w w:val="91"/>
              </w:rPr>
              <w:t>0.40%</w:t>
            </w:r>
          </w:p>
        </w:tc>
      </w:tr>
      <w:tr>
        <w:trPr>
          <w:trHeight w:val="20"/>
        </w:trPr>
        <w:tc>
          <w:tcPr>
            <w:tcW w:w="1760" w:type="dxa"/>
            <w:vAlign w:val="bottom"/>
          </w:tcPr>
          <w:p>
            <w:pPr>
              <w:spacing w:after="0" w:line="20" w:lineRule="exact"/>
              <w:rPr>
                <w:sz w:val="1"/>
                <w:szCs w:val="1"/>
                <w:color w:val="auto"/>
              </w:rPr>
            </w:pPr>
          </w:p>
        </w:tc>
        <w:tc>
          <w:tcPr>
            <w:tcW w:w="31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r>
      <w:tr>
        <w:trPr>
          <w:trHeight w:val="264"/>
        </w:trPr>
        <w:tc>
          <w:tcPr>
            <w:tcW w:w="1760" w:type="dxa"/>
            <w:vAlign w:val="bottom"/>
          </w:tcPr>
          <w:p>
            <w:pPr>
              <w:jc w:val="center"/>
              <w:ind w:left="561"/>
              <w:spacing w:after="0"/>
              <w:rPr>
                <w:sz w:val="20"/>
                <w:szCs w:val="20"/>
                <w:color w:val="auto"/>
              </w:rPr>
            </w:pPr>
            <w:r>
              <w:rPr>
                <w:rFonts w:ascii="Arial" w:cs="Arial" w:eastAsia="Arial" w:hAnsi="Arial"/>
                <w:sz w:val="20"/>
                <w:szCs w:val="20"/>
                <w:color w:val="auto"/>
              </w:rPr>
              <w:t>V</w:t>
            </w:r>
          </w:p>
        </w:tc>
        <w:tc>
          <w:tcPr>
            <w:tcW w:w="3180" w:type="dxa"/>
            <w:vAlign w:val="bottom"/>
          </w:tcPr>
          <w:p>
            <w:pPr>
              <w:jc w:val="center"/>
              <w:spacing w:after="0"/>
              <w:rPr>
                <w:sz w:val="20"/>
                <w:szCs w:val="20"/>
                <w:color w:val="auto"/>
              </w:rPr>
            </w:pPr>
            <w:r>
              <w:rPr>
                <w:rFonts w:ascii="Arial" w:cs="Arial" w:eastAsia="Arial" w:hAnsi="Arial"/>
                <w:sz w:val="20"/>
                <w:szCs w:val="20"/>
                <w:color w:val="auto"/>
                <w:w w:val="90"/>
              </w:rPr>
              <w:t>≥ 3.50:1.00</w:t>
            </w:r>
          </w:p>
        </w:tc>
        <w:tc>
          <w:tcPr>
            <w:tcW w:w="780" w:type="dxa"/>
            <w:vAlign w:val="bottom"/>
          </w:tcPr>
          <w:p>
            <w:pPr>
              <w:jc w:val="right"/>
              <w:spacing w:after="0"/>
              <w:rPr>
                <w:sz w:val="20"/>
                <w:szCs w:val="20"/>
                <w:color w:val="auto"/>
              </w:rPr>
            </w:pPr>
            <w:r>
              <w:rPr>
                <w:rFonts w:ascii="Arial" w:cs="Arial" w:eastAsia="Arial" w:hAnsi="Arial"/>
                <w:sz w:val="20"/>
                <w:szCs w:val="20"/>
                <w:color w:val="FF0000"/>
                <w:strike w:val="1"/>
              </w:rPr>
              <w:t>2.50</w:t>
            </w:r>
          </w:p>
        </w:tc>
        <w:tc>
          <w:tcPr>
            <w:tcW w:w="920" w:type="dxa"/>
            <w:vAlign w:val="bottom"/>
            <w:gridSpan w:val="2"/>
          </w:tcPr>
          <w:p>
            <w:pPr>
              <w:jc w:val="right"/>
              <w:ind w:right="320"/>
              <w:spacing w:after="0"/>
              <w:rPr>
                <w:sz w:val="20"/>
                <w:szCs w:val="20"/>
                <w:color w:val="auto"/>
              </w:rPr>
            </w:pPr>
            <w:r>
              <w:rPr>
                <w:rFonts w:ascii="Arial" w:cs="Arial" w:eastAsia="Arial" w:hAnsi="Arial"/>
                <w:sz w:val="20"/>
                <w:szCs w:val="20"/>
                <w:color w:val="0000FF"/>
                <w:w w:val="85"/>
              </w:rPr>
              <w:t>2.375</w:t>
            </w:r>
            <w:r>
              <w:rPr>
                <w:rFonts w:ascii="Arial" w:cs="Arial" w:eastAsia="Arial" w:hAnsi="Arial"/>
                <w:sz w:val="20"/>
                <w:szCs w:val="20"/>
                <w:color w:val="000000"/>
                <w:w w:val="85"/>
              </w:rPr>
              <w:t>%</w:t>
            </w:r>
          </w:p>
        </w:tc>
        <w:tc>
          <w:tcPr>
            <w:tcW w:w="540" w:type="dxa"/>
            <w:vAlign w:val="bottom"/>
          </w:tcPr>
          <w:p>
            <w:pPr>
              <w:jc w:val="right"/>
              <w:spacing w:after="0"/>
              <w:rPr>
                <w:sz w:val="20"/>
                <w:szCs w:val="20"/>
                <w:color w:val="auto"/>
              </w:rPr>
            </w:pPr>
            <w:r>
              <w:rPr>
                <w:rFonts w:ascii="Arial" w:cs="Arial" w:eastAsia="Arial" w:hAnsi="Arial"/>
                <w:sz w:val="20"/>
                <w:szCs w:val="20"/>
                <w:color w:val="FF0000"/>
                <w:strike w:val="1"/>
              </w:rPr>
              <w:t>2.50</w:t>
            </w:r>
          </w:p>
        </w:tc>
        <w:tc>
          <w:tcPr>
            <w:tcW w:w="800" w:type="dxa"/>
            <w:vAlign w:val="bottom"/>
            <w:gridSpan w:val="2"/>
          </w:tcPr>
          <w:p>
            <w:pPr>
              <w:spacing w:after="0"/>
              <w:rPr>
                <w:sz w:val="20"/>
                <w:szCs w:val="20"/>
                <w:color w:val="auto"/>
              </w:rPr>
            </w:pPr>
            <w:r>
              <w:rPr>
                <w:rFonts w:ascii="Arial" w:cs="Arial" w:eastAsia="Arial" w:hAnsi="Arial"/>
                <w:sz w:val="20"/>
                <w:szCs w:val="20"/>
                <w:color w:val="0000FF"/>
              </w:rPr>
              <w:t>2.375</w:t>
            </w:r>
            <w:r>
              <w:rPr>
                <w:rFonts w:ascii="Arial" w:cs="Arial" w:eastAsia="Arial" w:hAnsi="Arial"/>
                <w:sz w:val="20"/>
                <w:szCs w:val="20"/>
                <w:color w:val="000000"/>
              </w:rPr>
              <w:t>%</w:t>
            </w:r>
          </w:p>
        </w:tc>
        <w:tc>
          <w:tcPr>
            <w:tcW w:w="800" w:type="dxa"/>
            <w:vAlign w:val="bottom"/>
          </w:tcPr>
          <w:p>
            <w:pPr>
              <w:jc w:val="right"/>
              <w:spacing w:after="0"/>
              <w:rPr>
                <w:sz w:val="20"/>
                <w:szCs w:val="20"/>
                <w:color w:val="auto"/>
              </w:rPr>
            </w:pPr>
            <w:r>
              <w:rPr>
                <w:rFonts w:ascii="Arial" w:cs="Arial" w:eastAsia="Arial" w:hAnsi="Arial"/>
                <w:sz w:val="20"/>
                <w:szCs w:val="20"/>
                <w:color w:val="FF0000"/>
                <w:strike w:val="1"/>
              </w:rPr>
              <w:t>2.50</w:t>
            </w:r>
          </w:p>
        </w:tc>
        <w:tc>
          <w:tcPr>
            <w:tcW w:w="1080" w:type="dxa"/>
            <w:vAlign w:val="bottom"/>
            <w:gridSpan w:val="2"/>
          </w:tcPr>
          <w:p>
            <w:pPr>
              <w:jc w:val="right"/>
              <w:ind w:right="460"/>
              <w:spacing w:after="0"/>
              <w:rPr>
                <w:sz w:val="20"/>
                <w:szCs w:val="20"/>
                <w:color w:val="auto"/>
              </w:rPr>
            </w:pPr>
            <w:r>
              <w:rPr>
                <w:rFonts w:ascii="Arial" w:cs="Arial" w:eastAsia="Arial" w:hAnsi="Arial"/>
                <w:sz w:val="20"/>
                <w:szCs w:val="20"/>
                <w:color w:val="0000FF"/>
                <w:w w:val="88"/>
              </w:rPr>
              <w:t>2.375</w:t>
            </w:r>
            <w:r>
              <w:rPr>
                <w:rFonts w:ascii="Arial" w:cs="Arial" w:eastAsia="Arial" w:hAnsi="Arial"/>
                <w:sz w:val="20"/>
                <w:szCs w:val="20"/>
                <w:color w:val="000000"/>
                <w:w w:val="88"/>
              </w:rPr>
              <w:t>%</w:t>
            </w:r>
          </w:p>
        </w:tc>
        <w:tc>
          <w:tcPr>
            <w:tcW w:w="1560" w:type="dxa"/>
            <w:vAlign w:val="bottom"/>
          </w:tcPr>
          <w:p>
            <w:pPr>
              <w:jc w:val="center"/>
              <w:spacing w:after="0"/>
              <w:rPr>
                <w:sz w:val="20"/>
                <w:szCs w:val="20"/>
                <w:color w:val="auto"/>
              </w:rPr>
            </w:pPr>
            <w:r>
              <w:rPr>
                <w:rFonts w:ascii="Arial" w:cs="Arial" w:eastAsia="Arial" w:hAnsi="Arial"/>
                <w:sz w:val="20"/>
                <w:szCs w:val="20"/>
                <w:color w:val="auto"/>
                <w:w w:val="91"/>
              </w:rPr>
              <w:t>0.45%</w:t>
            </w:r>
          </w:p>
        </w:tc>
      </w:tr>
      <w:tr>
        <w:trPr>
          <w:trHeight w:val="48"/>
        </w:trPr>
        <w:tc>
          <w:tcPr>
            <w:tcW w:w="1760" w:type="dxa"/>
            <w:vAlign w:val="bottom"/>
            <w:tcBorders>
              <w:bottom w:val="single" w:sz="8" w:color="auto"/>
            </w:tcBorders>
          </w:tcPr>
          <w:p>
            <w:pPr>
              <w:spacing w:after="0"/>
              <w:rPr>
                <w:sz w:val="4"/>
                <w:szCs w:val="4"/>
                <w:color w:val="auto"/>
              </w:rPr>
            </w:pPr>
          </w:p>
        </w:tc>
        <w:tc>
          <w:tcPr>
            <w:tcW w:w="3180" w:type="dxa"/>
            <w:vAlign w:val="bottom"/>
            <w:tcBorders>
              <w:bottom w:val="single" w:sz="8" w:color="auto"/>
            </w:tcBorders>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440" w:type="dxa"/>
            <w:vAlign w:val="bottom"/>
            <w:tcBorders>
              <w:top w:val="single" w:sz="8" w:color="0000FF"/>
              <w:bottom w:val="single" w:sz="8" w:color="auto"/>
            </w:tcBorders>
          </w:tcPr>
          <w:p>
            <w:pPr>
              <w:spacing w:after="0"/>
              <w:rPr>
                <w:sz w:val="4"/>
                <w:szCs w:val="4"/>
                <w:color w:val="auto"/>
              </w:rPr>
            </w:pPr>
          </w:p>
        </w:tc>
        <w:tc>
          <w:tcPr>
            <w:tcW w:w="480" w:type="dxa"/>
            <w:vAlign w:val="bottom"/>
            <w:tcBorders>
              <w:bottom w:val="single" w:sz="8" w:color="auto"/>
            </w:tcBorders>
          </w:tcPr>
          <w:p>
            <w:pPr>
              <w:spacing w:after="0"/>
              <w:rPr>
                <w:sz w:val="4"/>
                <w:szCs w:val="4"/>
                <w:color w:val="auto"/>
              </w:rPr>
            </w:pPr>
          </w:p>
        </w:tc>
        <w:tc>
          <w:tcPr>
            <w:tcW w:w="540" w:type="dxa"/>
            <w:vAlign w:val="bottom"/>
            <w:tcBorders>
              <w:bottom w:val="single" w:sz="8" w:color="auto"/>
            </w:tcBorders>
          </w:tcPr>
          <w:p>
            <w:pPr>
              <w:spacing w:after="0"/>
              <w:rPr>
                <w:sz w:val="4"/>
                <w:szCs w:val="4"/>
                <w:color w:val="auto"/>
              </w:rPr>
            </w:pPr>
          </w:p>
        </w:tc>
        <w:tc>
          <w:tcPr>
            <w:tcW w:w="460" w:type="dxa"/>
            <w:vAlign w:val="bottom"/>
            <w:tcBorders>
              <w:top w:val="single" w:sz="8" w:color="0000FF"/>
              <w:bottom w:val="single" w:sz="8" w:color="auto"/>
            </w:tcBorders>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440" w:type="dxa"/>
            <w:vAlign w:val="bottom"/>
            <w:tcBorders>
              <w:top w:val="single" w:sz="8" w:color="0000FF"/>
              <w:bottom w:val="single" w:sz="8" w:color="auto"/>
            </w:tcBorders>
          </w:tcPr>
          <w:p>
            <w:pPr>
              <w:spacing w:after="0"/>
              <w:rPr>
                <w:sz w:val="4"/>
                <w:szCs w:val="4"/>
                <w:color w:val="auto"/>
              </w:rPr>
            </w:pPr>
          </w:p>
        </w:tc>
        <w:tc>
          <w:tcPr>
            <w:tcW w:w="640" w:type="dxa"/>
            <w:vAlign w:val="bottom"/>
            <w:tcBorders>
              <w:bottom w:val="single" w:sz="8" w:color="auto"/>
            </w:tcBorders>
          </w:tcPr>
          <w:p>
            <w:pPr>
              <w:spacing w:after="0"/>
              <w:rPr>
                <w:sz w:val="4"/>
                <w:szCs w:val="4"/>
                <w:color w:val="auto"/>
              </w:rPr>
            </w:pPr>
          </w:p>
        </w:tc>
        <w:tc>
          <w:tcPr>
            <w:tcW w:w="1560" w:type="dxa"/>
            <w:vAlign w:val="bottom"/>
            <w:tcBorders>
              <w:bottom w:val="single" w:sz="8" w:color="auto"/>
            </w:tcBorders>
          </w:tcPr>
          <w:p>
            <w:pPr>
              <w:spacing w:after="0"/>
              <w:rPr>
                <w:sz w:val="4"/>
                <w:szCs w:val="4"/>
                <w:color w:val="auto"/>
              </w:rPr>
            </w:pPr>
          </w:p>
        </w:tc>
      </w:tr>
    </w:tbl>
    <w:p>
      <w:pPr>
        <w:spacing w:after="0" w:line="251" w:lineRule="exact"/>
        <w:rPr>
          <w:sz w:val="20"/>
          <w:szCs w:val="20"/>
          <w:color w:val="auto"/>
        </w:rPr>
      </w:pPr>
    </w:p>
    <w:p>
      <w:pPr>
        <w:ind w:left="2500" w:hanging="547"/>
        <w:spacing w:after="0"/>
        <w:tabs>
          <w:tab w:leader="none" w:pos="2500" w:val="left"/>
        </w:tabs>
        <w:numPr>
          <w:ilvl w:val="0"/>
          <w:numId w:val="23"/>
        </w:numPr>
        <w:rPr>
          <w:rFonts w:ascii="Arial" w:cs="Arial" w:eastAsia="Arial" w:hAnsi="Arial"/>
          <w:sz w:val="22"/>
          <w:szCs w:val="22"/>
          <w:color w:val="auto"/>
        </w:rPr>
      </w:pPr>
      <w:r>
        <w:rPr>
          <w:rFonts w:ascii="Arial" w:cs="Arial" w:eastAsia="Arial" w:hAnsi="Arial"/>
          <w:sz w:val="20"/>
          <w:szCs w:val="20"/>
          <w:u w:val="single" w:color="auto"/>
          <w:color w:val="auto"/>
        </w:rPr>
        <w:t>Australian Revolving Loan Obligations</w:t>
      </w:r>
      <w:r>
        <w:rPr>
          <w:rFonts w:ascii="Arial" w:cs="Arial" w:eastAsia="Arial" w:hAnsi="Arial"/>
          <w:sz w:val="20"/>
          <w:szCs w:val="20"/>
          <w:color w:val="auto"/>
        </w:rPr>
        <w:t>. For Australian Revolving Loan Obligations:</w:t>
      </w:r>
    </w:p>
    <w:p>
      <w:pPr>
        <w:spacing w:after="0" w:line="200" w:lineRule="exact"/>
        <w:rPr>
          <w:rFonts w:ascii="Arial" w:cs="Arial" w:eastAsia="Arial" w:hAnsi="Arial"/>
          <w:sz w:val="22"/>
          <w:szCs w:val="22"/>
          <w:color w:val="auto"/>
        </w:rPr>
      </w:pPr>
    </w:p>
    <w:p>
      <w:pPr>
        <w:spacing w:after="0" w:line="200" w:lineRule="exact"/>
        <w:rPr>
          <w:rFonts w:ascii="Arial" w:cs="Arial" w:eastAsia="Arial" w:hAnsi="Arial"/>
          <w:sz w:val="22"/>
          <w:szCs w:val="22"/>
          <w:color w:val="auto"/>
        </w:rPr>
      </w:pPr>
    </w:p>
    <w:p>
      <w:pPr>
        <w:spacing w:after="0" w:line="308" w:lineRule="exact"/>
        <w:rPr>
          <w:rFonts w:ascii="Arial" w:cs="Arial" w:eastAsia="Arial" w:hAnsi="Arial"/>
          <w:sz w:val="22"/>
          <w:szCs w:val="22"/>
          <w:color w:val="auto"/>
        </w:rPr>
      </w:pPr>
    </w:p>
    <w:p>
      <w:pPr>
        <w:ind w:left="5620"/>
        <w:spacing w:after="0"/>
        <w:rPr>
          <w:rFonts w:ascii="Arial" w:cs="Arial" w:eastAsia="Arial" w:hAnsi="Arial"/>
          <w:sz w:val="22"/>
          <w:szCs w:val="22"/>
          <w:color w:val="auto"/>
        </w:rPr>
      </w:pPr>
      <w:r>
        <w:rPr>
          <w:rFonts w:ascii="Arial" w:cs="Arial" w:eastAsia="Arial" w:hAnsi="Arial"/>
          <w:sz w:val="20"/>
          <w:szCs w:val="20"/>
          <w:color w:val="auto"/>
        </w:rPr>
        <w:t>12</w:t>
      </w:r>
    </w:p>
    <w:p>
      <w:pPr>
        <w:spacing w:after="0" w:line="10" w:lineRule="exact"/>
        <w:rPr>
          <w:sz w:val="20"/>
          <w:szCs w:val="20"/>
          <w:color w:val="auto"/>
        </w:rPr>
      </w:pPr>
    </w:p>
    <w:p>
      <w:pPr>
        <w:spacing w:after="0"/>
        <w:rPr>
          <w:sz w:val="20"/>
          <w:szCs w:val="20"/>
          <w:color w:val="auto"/>
        </w:rPr>
      </w:pPr>
      <w:r>
        <w:rPr>
          <w:rFonts w:ascii="Arial" w:cs="Arial" w:eastAsia="Arial" w:hAnsi="Arial"/>
          <w:sz w:val="14"/>
          <w:szCs w:val="14"/>
          <w:color w:val="auto"/>
        </w:rPr>
        <w:t>CHAR1\1346423v</w:t>
      </w:r>
      <w:r>
        <w:rPr>
          <w:rFonts w:ascii="Arial" w:cs="Arial" w:eastAsia="Arial" w:hAnsi="Arial"/>
          <w:sz w:val="14"/>
          <w:szCs w:val="14"/>
          <w:color w:val="FF0000"/>
          <w:strike w:val="1"/>
        </w:rPr>
        <w:t>1</w:t>
      </w:r>
      <w:r>
        <w:rPr>
          <w:rFonts w:ascii="Arial" w:cs="Arial" w:eastAsia="Arial" w:hAnsi="Arial"/>
          <w:sz w:val="14"/>
          <w:szCs w:val="14"/>
          <w:u w:val="single" w:color="auto"/>
          <w:color w:val="0000FF"/>
        </w:rPr>
        <w:t>12</w:t>
      </w:r>
    </w:p>
    <w:p>
      <w:pPr>
        <w:sectPr>
          <w:pgSz w:w="11900" w:h="16838" w:orient="portrait"/>
          <w:cols w:equalWidth="0" w:num="1">
            <w:col w:w="11420"/>
          </w:cols>
          <w:pgMar w:left="240" w:top="757" w:right="239" w:bottom="1440" w:gutter="0" w:footer="0" w:header="0"/>
        </w:sectPr>
      </w:pPr>
    </w:p>
    <w:bookmarkStart w:id="64" w:name="page65"/>
    <w:bookmarkEnd w:id="64"/>
    <w:p>
      <w:pPr>
        <w:ind w:left="6620"/>
        <w:spacing w:after="0"/>
        <w:rPr>
          <w:sz w:val="20"/>
          <w:szCs w:val="20"/>
          <w:color w:val="auto"/>
        </w:rPr>
      </w:pPr>
      <w:r>
        <w:rPr>
          <w:rFonts w:ascii="Arial" w:cs="Arial" w:eastAsia="Arial" w:hAnsi="Arial"/>
          <w:sz w:val="20"/>
          <w:szCs w:val="20"/>
          <w:color w:val="auto"/>
        </w:rPr>
        <w:drawing>
          <wp:anchor simplePos="0" relativeHeight="251657728" behindDoc="1" locked="0" layoutInCell="0" allowOverlap="1">
            <wp:simplePos x="0" y="0"/>
            <wp:positionH relativeFrom="page">
              <wp:posOffset>157480</wp:posOffset>
            </wp:positionH>
            <wp:positionV relativeFrom="page">
              <wp:posOffset>466090</wp:posOffset>
            </wp:positionV>
            <wp:extent cx="7246620"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46620" cy="8890"/>
                    </a:xfrm>
                    <a:prstGeom prst="rect">
                      <a:avLst/>
                    </a:prstGeom>
                    <a:noFill/>
                  </pic:spPr>
                </pic:pic>
              </a:graphicData>
            </a:graphic>
          </wp:anchor>
        </w:drawing>
        <w:t>Australian Revolving Loan Obligations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27305</wp:posOffset>
            </wp:positionV>
            <wp:extent cx="7246620"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4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940" w:type="dxa"/>
            <w:vAlign w:val="bottom"/>
          </w:tcPr>
          <w:p>
            <w:pPr>
              <w:jc w:val="center"/>
              <w:ind w:left="1221"/>
              <w:spacing w:after="0"/>
              <w:rPr>
                <w:sz w:val="20"/>
                <w:szCs w:val="20"/>
                <w:color w:val="auto"/>
              </w:rPr>
            </w:pPr>
            <w:r>
              <w:rPr>
                <w:rFonts w:ascii="Arial" w:cs="Arial" w:eastAsia="Arial" w:hAnsi="Arial"/>
                <w:sz w:val="20"/>
                <w:szCs w:val="20"/>
                <w:color w:val="auto"/>
                <w:w w:val="92"/>
              </w:rPr>
              <w:t>Pricing Level</w:t>
            </w:r>
          </w:p>
        </w:tc>
        <w:tc>
          <w:tcPr>
            <w:tcW w:w="3300" w:type="dxa"/>
            <w:vAlign w:val="bottom"/>
          </w:tcPr>
          <w:p>
            <w:pPr>
              <w:jc w:val="center"/>
              <w:spacing w:after="0"/>
              <w:rPr>
                <w:sz w:val="20"/>
                <w:szCs w:val="20"/>
                <w:color w:val="auto"/>
              </w:rPr>
            </w:pPr>
            <w:r>
              <w:rPr>
                <w:rFonts w:ascii="Arial" w:cs="Arial" w:eastAsia="Arial" w:hAnsi="Arial"/>
                <w:sz w:val="20"/>
                <w:szCs w:val="20"/>
                <w:color w:val="auto"/>
                <w:w w:val="89"/>
              </w:rPr>
              <w:t>Consolidated Total Leverage Ratio</w:t>
            </w:r>
          </w:p>
        </w:tc>
        <w:tc>
          <w:tcPr>
            <w:tcW w:w="2000" w:type="dxa"/>
            <w:vAlign w:val="bottom"/>
            <w:gridSpan w:val="3"/>
          </w:tcPr>
          <w:p>
            <w:pPr>
              <w:jc w:val="right"/>
              <w:ind w:right="220"/>
              <w:spacing w:after="0"/>
              <w:rPr>
                <w:sz w:val="20"/>
                <w:szCs w:val="20"/>
                <w:color w:val="auto"/>
              </w:rPr>
            </w:pPr>
            <w:r>
              <w:rPr>
                <w:rFonts w:ascii="Arial" w:cs="Arial" w:eastAsia="Arial" w:hAnsi="Arial"/>
                <w:sz w:val="20"/>
                <w:szCs w:val="20"/>
                <w:color w:val="auto"/>
              </w:rPr>
              <w:t>Fixed LIBOR Rate</w:t>
            </w:r>
          </w:p>
        </w:tc>
        <w:tc>
          <w:tcPr>
            <w:tcW w:w="3180" w:type="dxa"/>
            <w:vAlign w:val="bottom"/>
          </w:tcPr>
          <w:p>
            <w:pPr>
              <w:jc w:val="center"/>
              <w:ind w:right="1261"/>
              <w:spacing w:after="0"/>
              <w:rPr>
                <w:sz w:val="20"/>
                <w:szCs w:val="20"/>
                <w:color w:val="auto"/>
              </w:rPr>
            </w:pPr>
            <w:r>
              <w:rPr>
                <w:rFonts w:ascii="Arial" w:cs="Arial" w:eastAsia="Arial" w:hAnsi="Arial"/>
                <w:sz w:val="20"/>
                <w:szCs w:val="20"/>
                <w:color w:val="auto"/>
                <w:w w:val="89"/>
              </w:rPr>
              <w:t>Commitment Fee</w:t>
            </w:r>
          </w:p>
        </w:tc>
      </w:tr>
      <w:tr>
        <w:trPr>
          <w:trHeight w:val="250"/>
        </w:trPr>
        <w:tc>
          <w:tcPr>
            <w:tcW w:w="2940" w:type="dxa"/>
            <w:vAlign w:val="bottom"/>
          </w:tcPr>
          <w:p>
            <w:pPr>
              <w:spacing w:after="0"/>
              <w:rPr>
                <w:sz w:val="21"/>
                <w:szCs w:val="21"/>
                <w:color w:val="auto"/>
              </w:rPr>
            </w:pPr>
          </w:p>
        </w:tc>
        <w:tc>
          <w:tcPr>
            <w:tcW w:w="3300" w:type="dxa"/>
            <w:vAlign w:val="bottom"/>
          </w:tcPr>
          <w:p>
            <w:pPr>
              <w:spacing w:after="0"/>
              <w:rPr>
                <w:sz w:val="21"/>
                <w:szCs w:val="21"/>
                <w:color w:val="auto"/>
              </w:rPr>
            </w:pPr>
          </w:p>
        </w:tc>
        <w:tc>
          <w:tcPr>
            <w:tcW w:w="2000" w:type="dxa"/>
            <w:vAlign w:val="bottom"/>
            <w:gridSpan w:val="3"/>
          </w:tcPr>
          <w:p>
            <w:pPr>
              <w:jc w:val="right"/>
              <w:ind w:right="740"/>
              <w:spacing w:after="0"/>
              <w:rPr>
                <w:sz w:val="20"/>
                <w:szCs w:val="20"/>
                <w:color w:val="auto"/>
              </w:rPr>
            </w:pPr>
            <w:r>
              <w:rPr>
                <w:rFonts w:ascii="Arial" w:cs="Arial" w:eastAsia="Arial" w:hAnsi="Arial"/>
                <w:sz w:val="20"/>
                <w:szCs w:val="20"/>
                <w:color w:val="auto"/>
              </w:rPr>
              <w:t>Loans</w:t>
            </w:r>
          </w:p>
        </w:tc>
        <w:tc>
          <w:tcPr>
            <w:tcW w:w="3180" w:type="dxa"/>
            <w:vAlign w:val="bottom"/>
          </w:tcPr>
          <w:p>
            <w:pPr>
              <w:spacing w:after="0"/>
              <w:rPr>
                <w:sz w:val="21"/>
                <w:szCs w:val="21"/>
                <w:color w:val="auto"/>
              </w:rPr>
            </w:pPr>
          </w:p>
        </w:tc>
      </w:tr>
      <w:tr>
        <w:trPr>
          <w:trHeight w:val="23"/>
        </w:trPr>
        <w:tc>
          <w:tcPr>
            <w:tcW w:w="2940" w:type="dxa"/>
            <w:vAlign w:val="bottom"/>
            <w:tcBorders>
              <w:bottom w:val="single" w:sz="8" w:color="auto"/>
            </w:tcBorders>
          </w:tcPr>
          <w:p>
            <w:pPr>
              <w:spacing w:after="0"/>
              <w:rPr>
                <w:sz w:val="2"/>
                <w:szCs w:val="2"/>
                <w:color w:val="auto"/>
              </w:rPr>
            </w:pPr>
          </w:p>
        </w:tc>
        <w:tc>
          <w:tcPr>
            <w:tcW w:w="33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3180" w:type="dxa"/>
            <w:vAlign w:val="bottom"/>
            <w:tcBorders>
              <w:bottom w:val="single" w:sz="8" w:color="auto"/>
            </w:tcBorders>
          </w:tcPr>
          <w:p>
            <w:pPr>
              <w:spacing w:after="0"/>
              <w:rPr>
                <w:sz w:val="2"/>
                <w:szCs w:val="2"/>
                <w:color w:val="auto"/>
              </w:rPr>
            </w:pPr>
          </w:p>
        </w:tc>
      </w:tr>
      <w:tr>
        <w:trPr>
          <w:trHeight w:val="210"/>
        </w:trPr>
        <w:tc>
          <w:tcPr>
            <w:tcW w:w="2940" w:type="dxa"/>
            <w:vAlign w:val="bottom"/>
          </w:tcPr>
          <w:p>
            <w:pPr>
              <w:jc w:val="center"/>
              <w:ind w:left="1221"/>
              <w:spacing w:after="0" w:line="209" w:lineRule="exact"/>
              <w:rPr>
                <w:sz w:val="20"/>
                <w:szCs w:val="20"/>
                <w:color w:val="auto"/>
              </w:rPr>
            </w:pPr>
            <w:r>
              <w:rPr>
                <w:rFonts w:ascii="Arial" w:cs="Arial" w:eastAsia="Arial" w:hAnsi="Arial"/>
                <w:sz w:val="20"/>
                <w:szCs w:val="20"/>
                <w:color w:val="auto"/>
              </w:rPr>
              <w:t>I</w:t>
            </w:r>
          </w:p>
        </w:tc>
        <w:tc>
          <w:tcPr>
            <w:tcW w:w="3300" w:type="dxa"/>
            <w:vAlign w:val="bottom"/>
          </w:tcPr>
          <w:p>
            <w:pPr>
              <w:jc w:val="center"/>
              <w:spacing w:after="0" w:line="209" w:lineRule="exact"/>
              <w:rPr>
                <w:sz w:val="20"/>
                <w:szCs w:val="20"/>
                <w:color w:val="auto"/>
              </w:rPr>
            </w:pPr>
            <w:r>
              <w:rPr>
                <w:rFonts w:ascii="Arial" w:cs="Arial" w:eastAsia="Arial" w:hAnsi="Arial"/>
                <w:sz w:val="20"/>
                <w:szCs w:val="20"/>
                <w:color w:val="auto"/>
                <w:w w:val="89"/>
              </w:rPr>
              <w:t>&lt; 2.00:1.00</w:t>
            </w:r>
          </w:p>
        </w:tc>
        <w:tc>
          <w:tcPr>
            <w:tcW w:w="900" w:type="dxa"/>
            <w:vAlign w:val="bottom"/>
          </w:tcPr>
          <w:p>
            <w:pPr>
              <w:jc w:val="right"/>
              <w:spacing w:after="0" w:line="209" w:lineRule="exact"/>
              <w:rPr>
                <w:sz w:val="20"/>
                <w:szCs w:val="20"/>
                <w:color w:val="auto"/>
              </w:rPr>
            </w:pPr>
            <w:r>
              <w:rPr>
                <w:rFonts w:ascii="Arial" w:cs="Arial" w:eastAsia="Arial" w:hAnsi="Arial"/>
                <w:sz w:val="20"/>
                <w:szCs w:val="20"/>
                <w:color w:val="FF0000"/>
                <w:strike w:val="1"/>
              </w:rPr>
              <w:t>1.50</w:t>
            </w:r>
          </w:p>
        </w:tc>
        <w:tc>
          <w:tcPr>
            <w:tcW w:w="1100" w:type="dxa"/>
            <w:vAlign w:val="bottom"/>
            <w:gridSpan w:val="2"/>
          </w:tcPr>
          <w:p>
            <w:pPr>
              <w:jc w:val="right"/>
              <w:ind w:right="500"/>
              <w:spacing w:after="0" w:line="209" w:lineRule="exact"/>
              <w:rPr>
                <w:sz w:val="20"/>
                <w:szCs w:val="20"/>
                <w:color w:val="auto"/>
              </w:rPr>
            </w:pPr>
            <w:r>
              <w:rPr>
                <w:rFonts w:ascii="Arial" w:cs="Arial" w:eastAsia="Arial" w:hAnsi="Arial"/>
                <w:sz w:val="20"/>
                <w:szCs w:val="20"/>
                <w:color w:val="0000FF"/>
                <w:w w:val="85"/>
              </w:rPr>
              <w:t>1.375</w:t>
            </w:r>
            <w:r>
              <w:rPr>
                <w:rFonts w:ascii="Arial" w:cs="Arial" w:eastAsia="Arial" w:hAnsi="Arial"/>
                <w:sz w:val="20"/>
                <w:szCs w:val="20"/>
                <w:color w:val="000000"/>
                <w:w w:val="85"/>
              </w:rPr>
              <w:t>%</w:t>
            </w:r>
          </w:p>
        </w:tc>
        <w:tc>
          <w:tcPr>
            <w:tcW w:w="3180" w:type="dxa"/>
            <w:vAlign w:val="bottom"/>
          </w:tcPr>
          <w:p>
            <w:pPr>
              <w:jc w:val="center"/>
              <w:ind w:right="1281"/>
              <w:spacing w:after="0" w:line="209" w:lineRule="exact"/>
              <w:rPr>
                <w:sz w:val="20"/>
                <w:szCs w:val="20"/>
                <w:color w:val="auto"/>
              </w:rPr>
            </w:pPr>
            <w:r>
              <w:rPr>
                <w:rFonts w:ascii="Arial" w:cs="Arial" w:eastAsia="Arial" w:hAnsi="Arial"/>
                <w:sz w:val="20"/>
                <w:szCs w:val="20"/>
                <w:color w:val="auto"/>
                <w:w w:val="91"/>
              </w:rPr>
              <w:t>0.25%</w:t>
            </w:r>
          </w:p>
        </w:tc>
      </w:tr>
      <w:tr>
        <w:trPr>
          <w:trHeight w:val="20"/>
        </w:trPr>
        <w:tc>
          <w:tcPr>
            <w:tcW w:w="2940" w:type="dxa"/>
            <w:vAlign w:val="bottom"/>
          </w:tcPr>
          <w:p>
            <w:pPr>
              <w:spacing w:after="0" w:line="20" w:lineRule="exact"/>
              <w:rPr>
                <w:sz w:val="1"/>
                <w:szCs w:val="1"/>
                <w:color w:val="auto"/>
              </w:rPr>
            </w:pPr>
          </w:p>
        </w:tc>
        <w:tc>
          <w:tcPr>
            <w:tcW w:w="33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180" w:type="dxa"/>
            <w:vAlign w:val="bottom"/>
          </w:tcPr>
          <w:p>
            <w:pPr>
              <w:spacing w:after="0" w:line="20" w:lineRule="exact"/>
              <w:rPr>
                <w:sz w:val="1"/>
                <w:szCs w:val="1"/>
                <w:color w:val="auto"/>
              </w:rPr>
            </w:pPr>
          </w:p>
        </w:tc>
      </w:tr>
      <w:tr>
        <w:trPr>
          <w:trHeight w:val="264"/>
        </w:trPr>
        <w:tc>
          <w:tcPr>
            <w:tcW w:w="2940" w:type="dxa"/>
            <w:vAlign w:val="bottom"/>
          </w:tcPr>
          <w:p>
            <w:pPr>
              <w:jc w:val="center"/>
              <w:ind w:left="1221"/>
              <w:spacing w:after="0"/>
              <w:rPr>
                <w:sz w:val="20"/>
                <w:szCs w:val="20"/>
                <w:color w:val="auto"/>
              </w:rPr>
            </w:pPr>
            <w:r>
              <w:rPr>
                <w:rFonts w:ascii="Arial" w:cs="Arial" w:eastAsia="Arial" w:hAnsi="Arial"/>
                <w:sz w:val="20"/>
                <w:szCs w:val="20"/>
                <w:color w:val="auto"/>
              </w:rPr>
              <w:t>II</w:t>
            </w:r>
          </w:p>
        </w:tc>
        <w:tc>
          <w:tcPr>
            <w:tcW w:w="3300" w:type="dxa"/>
            <w:vAlign w:val="bottom"/>
          </w:tcPr>
          <w:p>
            <w:pPr>
              <w:jc w:val="center"/>
              <w:spacing w:after="0"/>
              <w:rPr>
                <w:sz w:val="20"/>
                <w:szCs w:val="20"/>
                <w:color w:val="auto"/>
              </w:rPr>
            </w:pPr>
            <w:r>
              <w:rPr>
                <w:rFonts w:ascii="Arial" w:cs="Arial" w:eastAsia="Arial" w:hAnsi="Arial"/>
                <w:sz w:val="20"/>
                <w:szCs w:val="20"/>
                <w:color w:val="auto"/>
                <w:w w:val="90"/>
              </w:rPr>
              <w:t>≥ 2.00:1.00 but &lt; 2.50:1.00</w:t>
            </w:r>
          </w:p>
        </w:tc>
        <w:tc>
          <w:tcPr>
            <w:tcW w:w="900" w:type="dxa"/>
            <w:vAlign w:val="bottom"/>
          </w:tcPr>
          <w:p>
            <w:pPr>
              <w:jc w:val="right"/>
              <w:spacing w:after="0"/>
              <w:rPr>
                <w:sz w:val="20"/>
                <w:szCs w:val="20"/>
                <w:color w:val="auto"/>
              </w:rPr>
            </w:pPr>
            <w:r>
              <w:rPr>
                <w:rFonts w:ascii="Arial" w:cs="Arial" w:eastAsia="Arial" w:hAnsi="Arial"/>
                <w:sz w:val="20"/>
                <w:szCs w:val="20"/>
                <w:color w:val="FF0000"/>
                <w:strike w:val="1"/>
              </w:rPr>
              <w:t>1.75</w:t>
            </w:r>
          </w:p>
        </w:tc>
        <w:tc>
          <w:tcPr>
            <w:tcW w:w="1100" w:type="dxa"/>
            <w:vAlign w:val="bottom"/>
            <w:gridSpan w:val="2"/>
          </w:tcPr>
          <w:p>
            <w:pPr>
              <w:jc w:val="right"/>
              <w:ind w:right="500"/>
              <w:spacing w:after="0"/>
              <w:rPr>
                <w:sz w:val="20"/>
                <w:szCs w:val="20"/>
                <w:color w:val="auto"/>
              </w:rPr>
            </w:pPr>
            <w:r>
              <w:rPr>
                <w:rFonts w:ascii="Arial" w:cs="Arial" w:eastAsia="Arial" w:hAnsi="Arial"/>
                <w:sz w:val="20"/>
                <w:szCs w:val="20"/>
                <w:color w:val="0000FF"/>
                <w:w w:val="85"/>
              </w:rPr>
              <w:t>1.625</w:t>
            </w:r>
            <w:r>
              <w:rPr>
                <w:rFonts w:ascii="Arial" w:cs="Arial" w:eastAsia="Arial" w:hAnsi="Arial"/>
                <w:sz w:val="20"/>
                <w:szCs w:val="20"/>
                <w:color w:val="000000"/>
                <w:w w:val="85"/>
              </w:rPr>
              <w:t>%</w:t>
            </w:r>
          </w:p>
        </w:tc>
        <w:tc>
          <w:tcPr>
            <w:tcW w:w="3180" w:type="dxa"/>
            <w:vAlign w:val="bottom"/>
          </w:tcPr>
          <w:p>
            <w:pPr>
              <w:jc w:val="center"/>
              <w:ind w:right="1281"/>
              <w:spacing w:after="0"/>
              <w:rPr>
                <w:sz w:val="20"/>
                <w:szCs w:val="20"/>
                <w:color w:val="auto"/>
              </w:rPr>
            </w:pPr>
            <w:r>
              <w:rPr>
                <w:rFonts w:ascii="Arial" w:cs="Arial" w:eastAsia="Arial" w:hAnsi="Arial"/>
                <w:sz w:val="20"/>
                <w:szCs w:val="20"/>
                <w:color w:val="auto"/>
                <w:w w:val="91"/>
              </w:rPr>
              <w:t>0.30%</w:t>
            </w:r>
          </w:p>
        </w:tc>
      </w:tr>
      <w:tr>
        <w:trPr>
          <w:trHeight w:val="20"/>
        </w:trPr>
        <w:tc>
          <w:tcPr>
            <w:tcW w:w="2940" w:type="dxa"/>
            <w:vAlign w:val="bottom"/>
          </w:tcPr>
          <w:p>
            <w:pPr>
              <w:spacing w:after="0" w:line="20" w:lineRule="exact"/>
              <w:rPr>
                <w:sz w:val="1"/>
                <w:szCs w:val="1"/>
                <w:color w:val="auto"/>
              </w:rPr>
            </w:pPr>
          </w:p>
        </w:tc>
        <w:tc>
          <w:tcPr>
            <w:tcW w:w="33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180" w:type="dxa"/>
            <w:vAlign w:val="bottom"/>
          </w:tcPr>
          <w:p>
            <w:pPr>
              <w:spacing w:after="0" w:line="20" w:lineRule="exact"/>
              <w:rPr>
                <w:sz w:val="1"/>
                <w:szCs w:val="1"/>
                <w:color w:val="auto"/>
              </w:rPr>
            </w:pPr>
          </w:p>
        </w:tc>
      </w:tr>
      <w:tr>
        <w:trPr>
          <w:trHeight w:val="264"/>
        </w:trPr>
        <w:tc>
          <w:tcPr>
            <w:tcW w:w="2940" w:type="dxa"/>
            <w:vAlign w:val="bottom"/>
          </w:tcPr>
          <w:p>
            <w:pPr>
              <w:jc w:val="center"/>
              <w:ind w:left="1201"/>
              <w:spacing w:after="0"/>
              <w:rPr>
                <w:sz w:val="20"/>
                <w:szCs w:val="20"/>
                <w:color w:val="auto"/>
              </w:rPr>
            </w:pPr>
            <w:r>
              <w:rPr>
                <w:rFonts w:ascii="Arial" w:cs="Arial" w:eastAsia="Arial" w:hAnsi="Arial"/>
                <w:sz w:val="20"/>
                <w:szCs w:val="20"/>
                <w:color w:val="auto"/>
              </w:rPr>
              <w:t>III</w:t>
            </w:r>
          </w:p>
        </w:tc>
        <w:tc>
          <w:tcPr>
            <w:tcW w:w="3300" w:type="dxa"/>
            <w:vAlign w:val="bottom"/>
          </w:tcPr>
          <w:p>
            <w:pPr>
              <w:jc w:val="center"/>
              <w:spacing w:after="0"/>
              <w:rPr>
                <w:sz w:val="20"/>
                <w:szCs w:val="20"/>
                <w:color w:val="auto"/>
              </w:rPr>
            </w:pPr>
            <w:r>
              <w:rPr>
                <w:rFonts w:ascii="Arial" w:cs="Arial" w:eastAsia="Arial" w:hAnsi="Arial"/>
                <w:sz w:val="20"/>
                <w:szCs w:val="20"/>
                <w:color w:val="auto"/>
                <w:w w:val="90"/>
              </w:rPr>
              <w:t>≥ 2.50:1.00 but &lt; 3.00:1.00</w:t>
            </w:r>
          </w:p>
        </w:tc>
        <w:tc>
          <w:tcPr>
            <w:tcW w:w="900" w:type="dxa"/>
            <w:vAlign w:val="bottom"/>
          </w:tcPr>
          <w:p>
            <w:pPr>
              <w:jc w:val="right"/>
              <w:spacing w:after="0"/>
              <w:rPr>
                <w:sz w:val="20"/>
                <w:szCs w:val="20"/>
                <w:color w:val="auto"/>
              </w:rPr>
            </w:pPr>
            <w:r>
              <w:rPr>
                <w:rFonts w:ascii="Arial" w:cs="Arial" w:eastAsia="Arial" w:hAnsi="Arial"/>
                <w:sz w:val="20"/>
                <w:szCs w:val="20"/>
                <w:color w:val="FF0000"/>
                <w:strike w:val="1"/>
              </w:rPr>
              <w:t>2.00</w:t>
            </w:r>
          </w:p>
        </w:tc>
        <w:tc>
          <w:tcPr>
            <w:tcW w:w="1100" w:type="dxa"/>
            <w:vAlign w:val="bottom"/>
            <w:gridSpan w:val="2"/>
          </w:tcPr>
          <w:p>
            <w:pPr>
              <w:jc w:val="right"/>
              <w:ind w:right="500"/>
              <w:spacing w:after="0"/>
              <w:rPr>
                <w:sz w:val="20"/>
                <w:szCs w:val="20"/>
                <w:color w:val="auto"/>
              </w:rPr>
            </w:pPr>
            <w:r>
              <w:rPr>
                <w:rFonts w:ascii="Arial" w:cs="Arial" w:eastAsia="Arial" w:hAnsi="Arial"/>
                <w:sz w:val="20"/>
                <w:szCs w:val="20"/>
                <w:color w:val="0000FF"/>
                <w:w w:val="85"/>
              </w:rPr>
              <w:t>1.875</w:t>
            </w:r>
            <w:r>
              <w:rPr>
                <w:rFonts w:ascii="Arial" w:cs="Arial" w:eastAsia="Arial" w:hAnsi="Arial"/>
                <w:sz w:val="20"/>
                <w:szCs w:val="20"/>
                <w:color w:val="000000"/>
                <w:w w:val="85"/>
              </w:rPr>
              <w:t>%</w:t>
            </w:r>
          </w:p>
        </w:tc>
        <w:tc>
          <w:tcPr>
            <w:tcW w:w="3180" w:type="dxa"/>
            <w:vAlign w:val="bottom"/>
          </w:tcPr>
          <w:p>
            <w:pPr>
              <w:jc w:val="center"/>
              <w:ind w:right="1281"/>
              <w:spacing w:after="0"/>
              <w:rPr>
                <w:sz w:val="20"/>
                <w:szCs w:val="20"/>
                <w:color w:val="auto"/>
              </w:rPr>
            </w:pPr>
            <w:r>
              <w:rPr>
                <w:rFonts w:ascii="Arial" w:cs="Arial" w:eastAsia="Arial" w:hAnsi="Arial"/>
                <w:sz w:val="20"/>
                <w:szCs w:val="20"/>
                <w:color w:val="auto"/>
                <w:w w:val="91"/>
              </w:rPr>
              <w:t>0.35%</w:t>
            </w:r>
          </w:p>
        </w:tc>
      </w:tr>
      <w:tr>
        <w:trPr>
          <w:trHeight w:val="20"/>
        </w:trPr>
        <w:tc>
          <w:tcPr>
            <w:tcW w:w="2940" w:type="dxa"/>
            <w:vAlign w:val="bottom"/>
          </w:tcPr>
          <w:p>
            <w:pPr>
              <w:spacing w:after="0" w:line="20" w:lineRule="exact"/>
              <w:rPr>
                <w:sz w:val="1"/>
                <w:szCs w:val="1"/>
                <w:color w:val="auto"/>
              </w:rPr>
            </w:pPr>
          </w:p>
        </w:tc>
        <w:tc>
          <w:tcPr>
            <w:tcW w:w="33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180" w:type="dxa"/>
            <w:vAlign w:val="bottom"/>
          </w:tcPr>
          <w:p>
            <w:pPr>
              <w:spacing w:after="0" w:line="20" w:lineRule="exact"/>
              <w:rPr>
                <w:sz w:val="1"/>
                <w:szCs w:val="1"/>
                <w:color w:val="auto"/>
              </w:rPr>
            </w:pPr>
          </w:p>
        </w:tc>
      </w:tr>
      <w:tr>
        <w:trPr>
          <w:trHeight w:val="264"/>
        </w:trPr>
        <w:tc>
          <w:tcPr>
            <w:tcW w:w="2940" w:type="dxa"/>
            <w:vAlign w:val="bottom"/>
          </w:tcPr>
          <w:p>
            <w:pPr>
              <w:jc w:val="center"/>
              <w:ind w:left="1221"/>
              <w:spacing w:after="0"/>
              <w:rPr>
                <w:sz w:val="20"/>
                <w:szCs w:val="20"/>
                <w:color w:val="auto"/>
              </w:rPr>
            </w:pPr>
            <w:r>
              <w:rPr>
                <w:rFonts w:ascii="Arial" w:cs="Arial" w:eastAsia="Arial" w:hAnsi="Arial"/>
                <w:sz w:val="20"/>
                <w:szCs w:val="20"/>
                <w:color w:val="auto"/>
              </w:rPr>
              <w:t>IV</w:t>
            </w:r>
          </w:p>
        </w:tc>
        <w:tc>
          <w:tcPr>
            <w:tcW w:w="3300" w:type="dxa"/>
            <w:vAlign w:val="bottom"/>
          </w:tcPr>
          <w:p>
            <w:pPr>
              <w:jc w:val="center"/>
              <w:spacing w:after="0"/>
              <w:rPr>
                <w:sz w:val="20"/>
                <w:szCs w:val="20"/>
                <w:color w:val="auto"/>
              </w:rPr>
            </w:pPr>
            <w:r>
              <w:rPr>
                <w:rFonts w:ascii="Arial" w:cs="Arial" w:eastAsia="Arial" w:hAnsi="Arial"/>
                <w:sz w:val="20"/>
                <w:szCs w:val="20"/>
                <w:color w:val="auto"/>
                <w:w w:val="90"/>
              </w:rPr>
              <w:t>≥ 3.00:1.00 but &lt; 3.50:1.00</w:t>
            </w:r>
          </w:p>
        </w:tc>
        <w:tc>
          <w:tcPr>
            <w:tcW w:w="900" w:type="dxa"/>
            <w:vAlign w:val="bottom"/>
          </w:tcPr>
          <w:p>
            <w:pPr>
              <w:jc w:val="right"/>
              <w:spacing w:after="0"/>
              <w:rPr>
                <w:sz w:val="20"/>
                <w:szCs w:val="20"/>
                <w:color w:val="auto"/>
              </w:rPr>
            </w:pPr>
            <w:r>
              <w:rPr>
                <w:rFonts w:ascii="Arial" w:cs="Arial" w:eastAsia="Arial" w:hAnsi="Arial"/>
                <w:sz w:val="20"/>
                <w:szCs w:val="20"/>
                <w:color w:val="FF0000"/>
                <w:strike w:val="1"/>
              </w:rPr>
              <w:t>2.25</w:t>
            </w:r>
          </w:p>
        </w:tc>
        <w:tc>
          <w:tcPr>
            <w:tcW w:w="1100" w:type="dxa"/>
            <w:vAlign w:val="bottom"/>
            <w:gridSpan w:val="2"/>
          </w:tcPr>
          <w:p>
            <w:pPr>
              <w:jc w:val="right"/>
              <w:ind w:right="500"/>
              <w:spacing w:after="0"/>
              <w:rPr>
                <w:sz w:val="20"/>
                <w:szCs w:val="20"/>
                <w:color w:val="auto"/>
              </w:rPr>
            </w:pPr>
            <w:r>
              <w:rPr>
                <w:rFonts w:ascii="Arial" w:cs="Arial" w:eastAsia="Arial" w:hAnsi="Arial"/>
                <w:sz w:val="20"/>
                <w:szCs w:val="20"/>
                <w:color w:val="0000FF"/>
                <w:w w:val="85"/>
              </w:rPr>
              <w:t>2.125</w:t>
            </w:r>
            <w:r>
              <w:rPr>
                <w:rFonts w:ascii="Arial" w:cs="Arial" w:eastAsia="Arial" w:hAnsi="Arial"/>
                <w:sz w:val="20"/>
                <w:szCs w:val="20"/>
                <w:color w:val="000000"/>
                <w:w w:val="85"/>
              </w:rPr>
              <w:t>%</w:t>
            </w:r>
          </w:p>
        </w:tc>
        <w:tc>
          <w:tcPr>
            <w:tcW w:w="3180" w:type="dxa"/>
            <w:vAlign w:val="bottom"/>
          </w:tcPr>
          <w:p>
            <w:pPr>
              <w:jc w:val="center"/>
              <w:ind w:right="1281"/>
              <w:spacing w:after="0"/>
              <w:rPr>
                <w:sz w:val="20"/>
                <w:szCs w:val="20"/>
                <w:color w:val="auto"/>
              </w:rPr>
            </w:pPr>
            <w:r>
              <w:rPr>
                <w:rFonts w:ascii="Arial" w:cs="Arial" w:eastAsia="Arial" w:hAnsi="Arial"/>
                <w:sz w:val="20"/>
                <w:szCs w:val="20"/>
                <w:color w:val="auto"/>
                <w:w w:val="91"/>
              </w:rPr>
              <w:t>0.40%</w:t>
            </w:r>
          </w:p>
        </w:tc>
      </w:tr>
      <w:tr>
        <w:trPr>
          <w:trHeight w:val="20"/>
        </w:trPr>
        <w:tc>
          <w:tcPr>
            <w:tcW w:w="2940" w:type="dxa"/>
            <w:vAlign w:val="bottom"/>
          </w:tcPr>
          <w:p>
            <w:pPr>
              <w:spacing w:after="0" w:line="20" w:lineRule="exact"/>
              <w:rPr>
                <w:sz w:val="1"/>
                <w:szCs w:val="1"/>
                <w:color w:val="auto"/>
              </w:rPr>
            </w:pPr>
          </w:p>
        </w:tc>
        <w:tc>
          <w:tcPr>
            <w:tcW w:w="33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180" w:type="dxa"/>
            <w:vAlign w:val="bottom"/>
          </w:tcPr>
          <w:p>
            <w:pPr>
              <w:spacing w:after="0" w:line="20" w:lineRule="exact"/>
              <w:rPr>
                <w:sz w:val="1"/>
                <w:szCs w:val="1"/>
                <w:color w:val="auto"/>
              </w:rPr>
            </w:pPr>
          </w:p>
        </w:tc>
      </w:tr>
      <w:tr>
        <w:trPr>
          <w:trHeight w:val="264"/>
        </w:trPr>
        <w:tc>
          <w:tcPr>
            <w:tcW w:w="2940" w:type="dxa"/>
            <w:vAlign w:val="bottom"/>
          </w:tcPr>
          <w:p>
            <w:pPr>
              <w:jc w:val="center"/>
              <w:ind w:left="1221"/>
              <w:spacing w:after="0"/>
              <w:rPr>
                <w:sz w:val="20"/>
                <w:szCs w:val="20"/>
                <w:color w:val="auto"/>
              </w:rPr>
            </w:pPr>
            <w:r>
              <w:rPr>
                <w:rFonts w:ascii="Arial" w:cs="Arial" w:eastAsia="Arial" w:hAnsi="Arial"/>
                <w:sz w:val="20"/>
                <w:szCs w:val="20"/>
                <w:color w:val="auto"/>
              </w:rPr>
              <w:t>V</w:t>
            </w:r>
          </w:p>
        </w:tc>
        <w:tc>
          <w:tcPr>
            <w:tcW w:w="3300" w:type="dxa"/>
            <w:vAlign w:val="bottom"/>
          </w:tcPr>
          <w:p>
            <w:pPr>
              <w:jc w:val="center"/>
              <w:spacing w:after="0"/>
              <w:rPr>
                <w:sz w:val="20"/>
                <w:szCs w:val="20"/>
                <w:color w:val="auto"/>
              </w:rPr>
            </w:pPr>
            <w:r>
              <w:rPr>
                <w:rFonts w:ascii="Arial" w:cs="Arial" w:eastAsia="Arial" w:hAnsi="Arial"/>
                <w:sz w:val="20"/>
                <w:szCs w:val="20"/>
                <w:color w:val="auto"/>
                <w:w w:val="90"/>
              </w:rPr>
              <w:t>≥ 3.50:1.00</w:t>
            </w:r>
          </w:p>
        </w:tc>
        <w:tc>
          <w:tcPr>
            <w:tcW w:w="900" w:type="dxa"/>
            <w:vAlign w:val="bottom"/>
          </w:tcPr>
          <w:p>
            <w:pPr>
              <w:jc w:val="right"/>
              <w:spacing w:after="0"/>
              <w:rPr>
                <w:sz w:val="20"/>
                <w:szCs w:val="20"/>
                <w:color w:val="auto"/>
              </w:rPr>
            </w:pPr>
            <w:r>
              <w:rPr>
                <w:rFonts w:ascii="Arial" w:cs="Arial" w:eastAsia="Arial" w:hAnsi="Arial"/>
                <w:sz w:val="20"/>
                <w:szCs w:val="20"/>
                <w:color w:val="FF0000"/>
                <w:strike w:val="1"/>
              </w:rPr>
              <w:t>2.50</w:t>
            </w:r>
          </w:p>
        </w:tc>
        <w:tc>
          <w:tcPr>
            <w:tcW w:w="1100" w:type="dxa"/>
            <w:vAlign w:val="bottom"/>
            <w:gridSpan w:val="2"/>
          </w:tcPr>
          <w:p>
            <w:pPr>
              <w:jc w:val="right"/>
              <w:ind w:right="500"/>
              <w:spacing w:after="0"/>
              <w:rPr>
                <w:sz w:val="20"/>
                <w:szCs w:val="20"/>
                <w:color w:val="auto"/>
              </w:rPr>
            </w:pPr>
            <w:r>
              <w:rPr>
                <w:rFonts w:ascii="Arial" w:cs="Arial" w:eastAsia="Arial" w:hAnsi="Arial"/>
                <w:sz w:val="20"/>
                <w:szCs w:val="20"/>
                <w:color w:val="0000FF"/>
                <w:w w:val="85"/>
              </w:rPr>
              <w:t>2.375</w:t>
            </w:r>
            <w:r>
              <w:rPr>
                <w:rFonts w:ascii="Arial" w:cs="Arial" w:eastAsia="Arial" w:hAnsi="Arial"/>
                <w:sz w:val="20"/>
                <w:szCs w:val="20"/>
                <w:color w:val="000000"/>
                <w:w w:val="85"/>
              </w:rPr>
              <w:t>%</w:t>
            </w:r>
          </w:p>
        </w:tc>
        <w:tc>
          <w:tcPr>
            <w:tcW w:w="3180" w:type="dxa"/>
            <w:vAlign w:val="bottom"/>
          </w:tcPr>
          <w:p>
            <w:pPr>
              <w:jc w:val="center"/>
              <w:ind w:right="1281"/>
              <w:spacing w:after="0"/>
              <w:rPr>
                <w:sz w:val="20"/>
                <w:szCs w:val="20"/>
                <w:color w:val="auto"/>
              </w:rPr>
            </w:pPr>
            <w:r>
              <w:rPr>
                <w:rFonts w:ascii="Arial" w:cs="Arial" w:eastAsia="Arial" w:hAnsi="Arial"/>
                <w:sz w:val="20"/>
                <w:szCs w:val="20"/>
                <w:color w:val="auto"/>
                <w:w w:val="91"/>
              </w:rPr>
              <w:t>0.45%</w:t>
            </w:r>
          </w:p>
        </w:tc>
      </w:tr>
      <w:tr>
        <w:trPr>
          <w:trHeight w:val="48"/>
        </w:trPr>
        <w:tc>
          <w:tcPr>
            <w:tcW w:w="2940" w:type="dxa"/>
            <w:vAlign w:val="bottom"/>
            <w:tcBorders>
              <w:bottom w:val="single" w:sz="8" w:color="auto"/>
            </w:tcBorders>
          </w:tcPr>
          <w:p>
            <w:pPr>
              <w:spacing w:after="0"/>
              <w:rPr>
                <w:sz w:val="4"/>
                <w:szCs w:val="4"/>
                <w:color w:val="auto"/>
              </w:rPr>
            </w:pPr>
          </w:p>
        </w:tc>
        <w:tc>
          <w:tcPr>
            <w:tcW w:w="330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440" w:type="dxa"/>
            <w:vAlign w:val="bottom"/>
            <w:tcBorders>
              <w:top w:val="single" w:sz="8" w:color="0000FF"/>
              <w:bottom w:val="single" w:sz="8" w:color="auto"/>
            </w:tcBorders>
          </w:tcPr>
          <w:p>
            <w:pPr>
              <w:spacing w:after="0"/>
              <w:rPr>
                <w:sz w:val="4"/>
                <w:szCs w:val="4"/>
                <w:color w:val="auto"/>
              </w:rPr>
            </w:pPr>
          </w:p>
        </w:tc>
        <w:tc>
          <w:tcPr>
            <w:tcW w:w="660" w:type="dxa"/>
            <w:vAlign w:val="bottom"/>
            <w:tcBorders>
              <w:bottom w:val="single" w:sz="8" w:color="auto"/>
            </w:tcBorders>
          </w:tcPr>
          <w:p>
            <w:pPr>
              <w:spacing w:after="0"/>
              <w:rPr>
                <w:sz w:val="4"/>
                <w:szCs w:val="4"/>
                <w:color w:val="auto"/>
              </w:rPr>
            </w:pPr>
          </w:p>
        </w:tc>
        <w:tc>
          <w:tcPr>
            <w:tcW w:w="3180" w:type="dxa"/>
            <w:vAlign w:val="bottom"/>
            <w:tcBorders>
              <w:bottom w:val="single" w:sz="8" w:color="auto"/>
            </w:tcBorders>
          </w:tcPr>
          <w:p>
            <w:pPr>
              <w:spacing w:after="0"/>
              <w:rPr>
                <w:sz w:val="4"/>
                <w:szCs w:val="4"/>
                <w:color w:val="auto"/>
              </w:rPr>
            </w:pPr>
          </w:p>
        </w:tc>
      </w:tr>
    </w:tbl>
    <w:p>
      <w:pPr>
        <w:spacing w:after="0" w:line="251" w:lineRule="exact"/>
        <w:rPr>
          <w:sz w:val="20"/>
          <w:szCs w:val="20"/>
          <w:color w:val="auto"/>
        </w:rPr>
      </w:pPr>
    </w:p>
    <w:p>
      <w:pPr>
        <w:ind w:left="2560" w:hanging="607"/>
        <w:spacing w:after="0"/>
        <w:tabs>
          <w:tab w:leader="none" w:pos="2560" w:val="left"/>
        </w:tabs>
        <w:numPr>
          <w:ilvl w:val="0"/>
          <w:numId w:val="24"/>
        </w:numPr>
        <w:rPr>
          <w:rFonts w:ascii="Arial" w:cs="Arial" w:eastAsia="Arial" w:hAnsi="Arial"/>
          <w:sz w:val="22"/>
          <w:szCs w:val="22"/>
          <w:color w:val="auto"/>
        </w:rPr>
      </w:pPr>
      <w:r>
        <w:rPr>
          <w:rFonts w:ascii="Arial" w:cs="Arial" w:eastAsia="Arial" w:hAnsi="Arial"/>
          <w:sz w:val="20"/>
          <w:szCs w:val="20"/>
          <w:u w:val="single" w:color="auto"/>
          <w:color w:val="auto"/>
        </w:rPr>
        <w:t>India Revolving Loan Obligations</w:t>
      </w:r>
      <w:r>
        <w:rPr>
          <w:rFonts w:ascii="Arial" w:cs="Arial" w:eastAsia="Arial" w:hAnsi="Arial"/>
          <w:sz w:val="20"/>
          <w:szCs w:val="20"/>
          <w:color w:val="auto"/>
        </w:rPr>
        <w:t>. For India Revolving Loan Obligations: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391795</wp:posOffset>
            </wp:positionV>
            <wp:extent cx="7246620"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left="6540"/>
        <w:spacing w:after="0"/>
        <w:rPr>
          <w:sz w:val="20"/>
          <w:szCs w:val="20"/>
          <w:color w:val="auto"/>
        </w:rPr>
      </w:pPr>
      <w:r>
        <w:rPr>
          <w:rFonts w:ascii="Arial" w:cs="Arial" w:eastAsia="Arial" w:hAnsi="Arial"/>
          <w:sz w:val="20"/>
          <w:szCs w:val="20"/>
          <w:color w:val="auto"/>
        </w:rPr>
        <w:t>India Revolving Loan Obligations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27305</wp:posOffset>
            </wp:positionV>
            <wp:extent cx="7246620"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4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600" w:type="dxa"/>
            <w:vAlign w:val="bottom"/>
          </w:tcPr>
          <w:p>
            <w:pPr>
              <w:jc w:val="center"/>
              <w:ind w:left="1001"/>
              <w:spacing w:after="0"/>
              <w:rPr>
                <w:sz w:val="20"/>
                <w:szCs w:val="20"/>
                <w:color w:val="auto"/>
              </w:rPr>
            </w:pPr>
            <w:r>
              <w:rPr>
                <w:rFonts w:ascii="Arial" w:cs="Arial" w:eastAsia="Arial" w:hAnsi="Arial"/>
                <w:sz w:val="20"/>
                <w:szCs w:val="20"/>
                <w:color w:val="auto"/>
                <w:w w:val="92"/>
              </w:rPr>
              <w:t>Pricing Level</w:t>
            </w:r>
          </w:p>
        </w:tc>
        <w:tc>
          <w:tcPr>
            <w:tcW w:w="3080" w:type="dxa"/>
            <w:vAlign w:val="bottom"/>
          </w:tcPr>
          <w:p>
            <w:pPr>
              <w:jc w:val="center"/>
              <w:ind w:left="21"/>
              <w:spacing w:after="0"/>
              <w:rPr>
                <w:sz w:val="20"/>
                <w:szCs w:val="20"/>
                <w:color w:val="auto"/>
              </w:rPr>
            </w:pPr>
            <w:r>
              <w:rPr>
                <w:rFonts w:ascii="Arial" w:cs="Arial" w:eastAsia="Arial" w:hAnsi="Arial"/>
                <w:sz w:val="20"/>
                <w:szCs w:val="20"/>
                <w:color w:val="auto"/>
                <w:w w:val="89"/>
              </w:rPr>
              <w:t>Consolidated Total Leverage Ratio</w:t>
            </w:r>
          </w:p>
        </w:tc>
        <w:tc>
          <w:tcPr>
            <w:tcW w:w="1760" w:type="dxa"/>
            <w:vAlign w:val="bottom"/>
            <w:gridSpan w:val="3"/>
          </w:tcPr>
          <w:p>
            <w:pPr>
              <w:jc w:val="right"/>
              <w:ind w:right="140"/>
              <w:spacing w:after="0"/>
              <w:rPr>
                <w:sz w:val="20"/>
                <w:szCs w:val="20"/>
                <w:color w:val="auto"/>
              </w:rPr>
            </w:pPr>
            <w:r>
              <w:rPr>
                <w:rFonts w:ascii="Arial" w:cs="Arial" w:eastAsia="Arial" w:hAnsi="Arial"/>
                <w:sz w:val="20"/>
                <w:szCs w:val="20"/>
                <w:color w:val="auto"/>
                <w:w w:val="98"/>
              </w:rPr>
              <w:t>Fixed LIBOR Rate</w:t>
            </w:r>
          </w:p>
        </w:tc>
        <w:tc>
          <w:tcPr>
            <w:tcW w:w="1100" w:type="dxa"/>
            <w:vAlign w:val="bottom"/>
            <w:gridSpan w:val="3"/>
          </w:tcPr>
          <w:p>
            <w:pPr>
              <w:jc w:val="right"/>
              <w:ind w:right="240"/>
              <w:spacing w:after="0"/>
              <w:rPr>
                <w:sz w:val="20"/>
                <w:szCs w:val="20"/>
                <w:color w:val="auto"/>
              </w:rPr>
            </w:pPr>
            <w:r>
              <w:rPr>
                <w:rFonts w:ascii="Arial" w:cs="Arial" w:eastAsia="Arial" w:hAnsi="Arial"/>
                <w:sz w:val="20"/>
                <w:szCs w:val="20"/>
                <w:color w:val="auto"/>
              </w:rPr>
              <w:t>Letter of</w:t>
            </w:r>
          </w:p>
        </w:tc>
        <w:tc>
          <w:tcPr>
            <w:tcW w:w="2880" w:type="dxa"/>
            <w:vAlign w:val="bottom"/>
          </w:tcPr>
          <w:p>
            <w:pPr>
              <w:jc w:val="center"/>
              <w:ind w:right="1241"/>
              <w:spacing w:after="0"/>
              <w:rPr>
                <w:sz w:val="20"/>
                <w:szCs w:val="20"/>
                <w:color w:val="auto"/>
              </w:rPr>
            </w:pPr>
            <w:r>
              <w:rPr>
                <w:rFonts w:ascii="Arial" w:cs="Arial" w:eastAsia="Arial" w:hAnsi="Arial"/>
                <w:sz w:val="20"/>
                <w:szCs w:val="20"/>
                <w:color w:val="auto"/>
                <w:w w:val="89"/>
              </w:rPr>
              <w:t>Commitment Fee</w:t>
            </w:r>
          </w:p>
        </w:tc>
      </w:tr>
      <w:tr>
        <w:trPr>
          <w:trHeight w:val="250"/>
        </w:trPr>
        <w:tc>
          <w:tcPr>
            <w:tcW w:w="2600" w:type="dxa"/>
            <w:vAlign w:val="bottom"/>
          </w:tcPr>
          <w:p>
            <w:pPr>
              <w:spacing w:after="0"/>
              <w:rPr>
                <w:sz w:val="21"/>
                <w:szCs w:val="21"/>
                <w:color w:val="auto"/>
              </w:rPr>
            </w:pPr>
          </w:p>
        </w:tc>
        <w:tc>
          <w:tcPr>
            <w:tcW w:w="3080" w:type="dxa"/>
            <w:vAlign w:val="bottom"/>
          </w:tcPr>
          <w:p>
            <w:pPr>
              <w:spacing w:after="0"/>
              <w:rPr>
                <w:sz w:val="21"/>
                <w:szCs w:val="21"/>
                <w:color w:val="auto"/>
              </w:rPr>
            </w:pPr>
          </w:p>
        </w:tc>
        <w:tc>
          <w:tcPr>
            <w:tcW w:w="1760" w:type="dxa"/>
            <w:vAlign w:val="bottom"/>
            <w:gridSpan w:val="3"/>
          </w:tcPr>
          <w:p>
            <w:pPr>
              <w:jc w:val="right"/>
              <w:ind w:right="660"/>
              <w:spacing w:after="0"/>
              <w:rPr>
                <w:sz w:val="20"/>
                <w:szCs w:val="20"/>
                <w:color w:val="auto"/>
              </w:rPr>
            </w:pPr>
            <w:r>
              <w:rPr>
                <w:rFonts w:ascii="Arial" w:cs="Arial" w:eastAsia="Arial" w:hAnsi="Arial"/>
                <w:sz w:val="20"/>
                <w:szCs w:val="20"/>
                <w:color w:val="auto"/>
              </w:rPr>
              <w:t>Loans</w:t>
            </w:r>
          </w:p>
        </w:tc>
        <w:tc>
          <w:tcPr>
            <w:tcW w:w="1100" w:type="dxa"/>
            <w:vAlign w:val="bottom"/>
            <w:gridSpan w:val="3"/>
          </w:tcPr>
          <w:p>
            <w:pPr>
              <w:jc w:val="right"/>
              <w:ind w:right="160"/>
              <w:spacing w:after="0"/>
              <w:rPr>
                <w:sz w:val="20"/>
                <w:szCs w:val="20"/>
                <w:color w:val="auto"/>
              </w:rPr>
            </w:pPr>
            <w:r>
              <w:rPr>
                <w:rFonts w:ascii="Arial" w:cs="Arial" w:eastAsia="Arial" w:hAnsi="Arial"/>
                <w:sz w:val="20"/>
                <w:szCs w:val="20"/>
                <w:color w:val="auto"/>
                <w:w w:val="98"/>
              </w:rPr>
              <w:t>Credit Fee</w:t>
            </w:r>
          </w:p>
        </w:tc>
        <w:tc>
          <w:tcPr>
            <w:tcW w:w="2880" w:type="dxa"/>
            <w:vAlign w:val="bottom"/>
          </w:tcPr>
          <w:p>
            <w:pPr>
              <w:spacing w:after="0"/>
              <w:rPr>
                <w:sz w:val="21"/>
                <w:szCs w:val="21"/>
                <w:color w:val="auto"/>
              </w:rPr>
            </w:pPr>
          </w:p>
        </w:tc>
      </w:tr>
      <w:tr>
        <w:trPr>
          <w:trHeight w:val="23"/>
        </w:trPr>
        <w:tc>
          <w:tcPr>
            <w:tcW w:w="2600" w:type="dxa"/>
            <w:vAlign w:val="bottom"/>
            <w:tcBorders>
              <w:bottom w:val="single" w:sz="8" w:color="auto"/>
            </w:tcBorders>
          </w:tcPr>
          <w:p>
            <w:pPr>
              <w:spacing w:after="0"/>
              <w:rPr>
                <w:sz w:val="2"/>
                <w:szCs w:val="2"/>
                <w:color w:val="auto"/>
              </w:rPr>
            </w:pPr>
          </w:p>
        </w:tc>
        <w:tc>
          <w:tcPr>
            <w:tcW w:w="30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2880" w:type="dxa"/>
            <w:vAlign w:val="bottom"/>
            <w:tcBorders>
              <w:bottom w:val="single" w:sz="8" w:color="auto"/>
            </w:tcBorders>
          </w:tcPr>
          <w:p>
            <w:pPr>
              <w:spacing w:after="0"/>
              <w:rPr>
                <w:sz w:val="2"/>
                <w:szCs w:val="2"/>
                <w:color w:val="auto"/>
              </w:rPr>
            </w:pPr>
          </w:p>
        </w:tc>
      </w:tr>
      <w:tr>
        <w:trPr>
          <w:trHeight w:val="210"/>
        </w:trPr>
        <w:tc>
          <w:tcPr>
            <w:tcW w:w="2600" w:type="dxa"/>
            <w:vAlign w:val="bottom"/>
          </w:tcPr>
          <w:p>
            <w:pPr>
              <w:jc w:val="center"/>
              <w:ind w:left="1001"/>
              <w:spacing w:after="0" w:line="209" w:lineRule="exact"/>
              <w:rPr>
                <w:sz w:val="20"/>
                <w:szCs w:val="20"/>
                <w:color w:val="auto"/>
              </w:rPr>
            </w:pPr>
            <w:r>
              <w:rPr>
                <w:rFonts w:ascii="Arial" w:cs="Arial" w:eastAsia="Arial" w:hAnsi="Arial"/>
                <w:sz w:val="20"/>
                <w:szCs w:val="20"/>
                <w:color w:val="auto"/>
              </w:rPr>
              <w:t>I</w:t>
            </w:r>
          </w:p>
        </w:tc>
        <w:tc>
          <w:tcPr>
            <w:tcW w:w="3080" w:type="dxa"/>
            <w:vAlign w:val="bottom"/>
          </w:tcPr>
          <w:p>
            <w:pPr>
              <w:jc w:val="center"/>
              <w:ind w:left="21"/>
              <w:spacing w:after="0" w:line="209" w:lineRule="exact"/>
              <w:rPr>
                <w:sz w:val="20"/>
                <w:szCs w:val="20"/>
                <w:color w:val="auto"/>
              </w:rPr>
            </w:pPr>
            <w:r>
              <w:rPr>
                <w:rFonts w:ascii="Arial" w:cs="Arial" w:eastAsia="Arial" w:hAnsi="Arial"/>
                <w:sz w:val="20"/>
                <w:szCs w:val="20"/>
                <w:color w:val="auto"/>
                <w:w w:val="91"/>
              </w:rPr>
              <w:t>&lt; 2.00:1.00</w:t>
            </w:r>
          </w:p>
        </w:tc>
        <w:tc>
          <w:tcPr>
            <w:tcW w:w="740" w:type="dxa"/>
            <w:vAlign w:val="bottom"/>
          </w:tcPr>
          <w:p>
            <w:pPr>
              <w:jc w:val="right"/>
              <w:spacing w:after="0" w:line="209" w:lineRule="exact"/>
              <w:rPr>
                <w:sz w:val="20"/>
                <w:szCs w:val="20"/>
                <w:color w:val="auto"/>
              </w:rPr>
            </w:pPr>
            <w:r>
              <w:rPr>
                <w:rFonts w:ascii="Arial" w:cs="Arial" w:eastAsia="Arial" w:hAnsi="Arial"/>
                <w:sz w:val="20"/>
                <w:szCs w:val="20"/>
                <w:color w:val="FF0000"/>
                <w:strike w:val="1"/>
              </w:rPr>
              <w:t>1.50</w:t>
            </w:r>
          </w:p>
        </w:tc>
        <w:tc>
          <w:tcPr>
            <w:tcW w:w="1020" w:type="dxa"/>
            <w:vAlign w:val="bottom"/>
            <w:gridSpan w:val="2"/>
          </w:tcPr>
          <w:p>
            <w:pPr>
              <w:jc w:val="right"/>
              <w:ind w:right="420"/>
              <w:spacing w:after="0" w:line="209" w:lineRule="exact"/>
              <w:rPr>
                <w:sz w:val="20"/>
                <w:szCs w:val="20"/>
                <w:color w:val="auto"/>
              </w:rPr>
            </w:pPr>
            <w:r>
              <w:rPr>
                <w:rFonts w:ascii="Arial" w:cs="Arial" w:eastAsia="Arial" w:hAnsi="Arial"/>
                <w:sz w:val="20"/>
                <w:szCs w:val="20"/>
                <w:color w:val="0000FF"/>
                <w:w w:val="85"/>
              </w:rPr>
              <w:t>1.375</w:t>
            </w:r>
            <w:r>
              <w:rPr>
                <w:rFonts w:ascii="Arial" w:cs="Arial" w:eastAsia="Arial" w:hAnsi="Arial"/>
                <w:sz w:val="20"/>
                <w:szCs w:val="20"/>
                <w:color w:val="000000"/>
                <w:w w:val="85"/>
              </w:rPr>
              <w:t>%</w:t>
            </w:r>
          </w:p>
        </w:tc>
        <w:tc>
          <w:tcPr>
            <w:tcW w:w="400" w:type="dxa"/>
            <w:vAlign w:val="bottom"/>
          </w:tcPr>
          <w:p>
            <w:pPr>
              <w:jc w:val="right"/>
              <w:spacing w:after="0" w:line="209" w:lineRule="exact"/>
              <w:rPr>
                <w:sz w:val="20"/>
                <w:szCs w:val="20"/>
                <w:color w:val="auto"/>
              </w:rPr>
            </w:pPr>
            <w:r>
              <w:rPr>
                <w:rFonts w:ascii="Arial" w:cs="Arial" w:eastAsia="Arial" w:hAnsi="Arial"/>
                <w:sz w:val="20"/>
                <w:szCs w:val="20"/>
                <w:color w:val="FF0000"/>
                <w:strike w:val="1"/>
                <w:w w:val="97"/>
              </w:rPr>
              <w:t>1.50</w:t>
            </w:r>
          </w:p>
        </w:tc>
        <w:tc>
          <w:tcPr>
            <w:tcW w:w="700" w:type="dxa"/>
            <w:vAlign w:val="bottom"/>
            <w:gridSpan w:val="2"/>
          </w:tcPr>
          <w:p>
            <w:pPr>
              <w:jc w:val="right"/>
              <w:ind w:right="100"/>
              <w:spacing w:after="0" w:line="209" w:lineRule="exact"/>
              <w:rPr>
                <w:sz w:val="20"/>
                <w:szCs w:val="20"/>
                <w:color w:val="auto"/>
              </w:rPr>
            </w:pPr>
            <w:r>
              <w:rPr>
                <w:rFonts w:ascii="Arial" w:cs="Arial" w:eastAsia="Arial" w:hAnsi="Arial"/>
                <w:sz w:val="20"/>
                <w:szCs w:val="20"/>
                <w:color w:val="0000FF"/>
                <w:w w:val="85"/>
              </w:rPr>
              <w:t>1.375</w:t>
            </w:r>
            <w:r>
              <w:rPr>
                <w:rFonts w:ascii="Arial" w:cs="Arial" w:eastAsia="Arial" w:hAnsi="Arial"/>
                <w:sz w:val="20"/>
                <w:szCs w:val="20"/>
                <w:color w:val="000000"/>
                <w:w w:val="85"/>
              </w:rPr>
              <w:t>%</w:t>
            </w:r>
          </w:p>
        </w:tc>
        <w:tc>
          <w:tcPr>
            <w:tcW w:w="2880" w:type="dxa"/>
            <w:vAlign w:val="bottom"/>
          </w:tcPr>
          <w:p>
            <w:pPr>
              <w:jc w:val="center"/>
              <w:ind w:right="1221"/>
              <w:spacing w:after="0" w:line="209" w:lineRule="exact"/>
              <w:rPr>
                <w:sz w:val="20"/>
                <w:szCs w:val="20"/>
                <w:color w:val="auto"/>
              </w:rPr>
            </w:pPr>
            <w:r>
              <w:rPr>
                <w:rFonts w:ascii="Arial" w:cs="Arial" w:eastAsia="Arial" w:hAnsi="Arial"/>
                <w:sz w:val="20"/>
                <w:szCs w:val="20"/>
                <w:color w:val="auto"/>
                <w:w w:val="91"/>
              </w:rPr>
              <w:t>0.25%</w:t>
            </w:r>
          </w:p>
        </w:tc>
      </w:tr>
      <w:tr>
        <w:trPr>
          <w:trHeight w:val="20"/>
        </w:trPr>
        <w:tc>
          <w:tcPr>
            <w:tcW w:w="2600" w:type="dxa"/>
            <w:vAlign w:val="bottom"/>
          </w:tcPr>
          <w:p>
            <w:pPr>
              <w:spacing w:after="0" w:line="20" w:lineRule="exact"/>
              <w:rPr>
                <w:sz w:val="1"/>
                <w:szCs w:val="1"/>
                <w:color w:val="auto"/>
              </w:rPr>
            </w:pPr>
          </w:p>
        </w:tc>
        <w:tc>
          <w:tcPr>
            <w:tcW w:w="30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r>
      <w:tr>
        <w:trPr>
          <w:trHeight w:val="264"/>
        </w:trPr>
        <w:tc>
          <w:tcPr>
            <w:tcW w:w="2600" w:type="dxa"/>
            <w:vAlign w:val="bottom"/>
          </w:tcPr>
          <w:p>
            <w:pPr>
              <w:jc w:val="center"/>
              <w:ind w:left="1001"/>
              <w:spacing w:after="0"/>
              <w:rPr>
                <w:sz w:val="20"/>
                <w:szCs w:val="20"/>
                <w:color w:val="auto"/>
              </w:rPr>
            </w:pPr>
            <w:r>
              <w:rPr>
                <w:rFonts w:ascii="Arial" w:cs="Arial" w:eastAsia="Arial" w:hAnsi="Arial"/>
                <w:sz w:val="20"/>
                <w:szCs w:val="20"/>
                <w:color w:val="auto"/>
              </w:rPr>
              <w:t>II</w:t>
            </w:r>
          </w:p>
        </w:tc>
        <w:tc>
          <w:tcPr>
            <w:tcW w:w="3080" w:type="dxa"/>
            <w:vAlign w:val="bottom"/>
          </w:tcPr>
          <w:p>
            <w:pPr>
              <w:jc w:val="center"/>
              <w:ind w:left="21"/>
              <w:spacing w:after="0"/>
              <w:rPr>
                <w:sz w:val="20"/>
                <w:szCs w:val="20"/>
                <w:color w:val="auto"/>
              </w:rPr>
            </w:pPr>
            <w:r>
              <w:rPr>
                <w:rFonts w:ascii="Arial" w:cs="Arial" w:eastAsia="Arial" w:hAnsi="Arial"/>
                <w:sz w:val="20"/>
                <w:szCs w:val="20"/>
                <w:color w:val="auto"/>
                <w:w w:val="90"/>
              </w:rPr>
              <w:t>≥ 2.00:1.00 but &lt; 2.50:1.00</w:t>
            </w:r>
          </w:p>
        </w:tc>
        <w:tc>
          <w:tcPr>
            <w:tcW w:w="740" w:type="dxa"/>
            <w:vAlign w:val="bottom"/>
          </w:tcPr>
          <w:p>
            <w:pPr>
              <w:jc w:val="right"/>
              <w:spacing w:after="0"/>
              <w:rPr>
                <w:sz w:val="20"/>
                <w:szCs w:val="20"/>
                <w:color w:val="auto"/>
              </w:rPr>
            </w:pPr>
            <w:r>
              <w:rPr>
                <w:rFonts w:ascii="Arial" w:cs="Arial" w:eastAsia="Arial" w:hAnsi="Arial"/>
                <w:sz w:val="20"/>
                <w:szCs w:val="20"/>
                <w:color w:val="FF0000"/>
                <w:strike w:val="1"/>
              </w:rPr>
              <w:t>1.75</w:t>
            </w:r>
          </w:p>
        </w:tc>
        <w:tc>
          <w:tcPr>
            <w:tcW w:w="1020" w:type="dxa"/>
            <w:vAlign w:val="bottom"/>
            <w:gridSpan w:val="2"/>
          </w:tcPr>
          <w:p>
            <w:pPr>
              <w:jc w:val="right"/>
              <w:ind w:right="420"/>
              <w:spacing w:after="0"/>
              <w:rPr>
                <w:sz w:val="20"/>
                <w:szCs w:val="20"/>
                <w:color w:val="auto"/>
              </w:rPr>
            </w:pPr>
            <w:r>
              <w:rPr>
                <w:rFonts w:ascii="Arial" w:cs="Arial" w:eastAsia="Arial" w:hAnsi="Arial"/>
                <w:sz w:val="20"/>
                <w:szCs w:val="20"/>
                <w:color w:val="0000FF"/>
                <w:w w:val="85"/>
              </w:rPr>
              <w:t>1.625</w:t>
            </w:r>
            <w:r>
              <w:rPr>
                <w:rFonts w:ascii="Arial" w:cs="Arial" w:eastAsia="Arial" w:hAnsi="Arial"/>
                <w:sz w:val="20"/>
                <w:szCs w:val="20"/>
                <w:color w:val="000000"/>
                <w:w w:val="85"/>
              </w:rPr>
              <w:t>%</w:t>
            </w:r>
          </w:p>
        </w:tc>
        <w:tc>
          <w:tcPr>
            <w:tcW w:w="400" w:type="dxa"/>
            <w:vAlign w:val="bottom"/>
          </w:tcPr>
          <w:p>
            <w:pPr>
              <w:jc w:val="right"/>
              <w:spacing w:after="0"/>
              <w:rPr>
                <w:sz w:val="20"/>
                <w:szCs w:val="20"/>
                <w:color w:val="auto"/>
              </w:rPr>
            </w:pPr>
            <w:r>
              <w:rPr>
                <w:rFonts w:ascii="Arial" w:cs="Arial" w:eastAsia="Arial" w:hAnsi="Arial"/>
                <w:sz w:val="20"/>
                <w:szCs w:val="20"/>
                <w:color w:val="FF0000"/>
                <w:strike w:val="1"/>
                <w:w w:val="97"/>
              </w:rPr>
              <w:t>1.75</w:t>
            </w:r>
          </w:p>
        </w:tc>
        <w:tc>
          <w:tcPr>
            <w:tcW w:w="700" w:type="dxa"/>
            <w:vAlign w:val="bottom"/>
            <w:gridSpan w:val="2"/>
          </w:tcPr>
          <w:p>
            <w:pPr>
              <w:jc w:val="right"/>
              <w:ind w:right="100"/>
              <w:spacing w:after="0"/>
              <w:rPr>
                <w:sz w:val="20"/>
                <w:szCs w:val="20"/>
                <w:color w:val="auto"/>
              </w:rPr>
            </w:pPr>
            <w:r>
              <w:rPr>
                <w:rFonts w:ascii="Arial" w:cs="Arial" w:eastAsia="Arial" w:hAnsi="Arial"/>
                <w:sz w:val="20"/>
                <w:szCs w:val="20"/>
                <w:color w:val="0000FF"/>
                <w:w w:val="85"/>
              </w:rPr>
              <w:t>1.625</w:t>
            </w:r>
            <w:r>
              <w:rPr>
                <w:rFonts w:ascii="Arial" w:cs="Arial" w:eastAsia="Arial" w:hAnsi="Arial"/>
                <w:sz w:val="20"/>
                <w:szCs w:val="20"/>
                <w:color w:val="000000"/>
                <w:w w:val="85"/>
              </w:rPr>
              <w:t>%</w:t>
            </w:r>
          </w:p>
        </w:tc>
        <w:tc>
          <w:tcPr>
            <w:tcW w:w="2880" w:type="dxa"/>
            <w:vAlign w:val="bottom"/>
          </w:tcPr>
          <w:p>
            <w:pPr>
              <w:jc w:val="center"/>
              <w:ind w:right="1221"/>
              <w:spacing w:after="0"/>
              <w:rPr>
                <w:sz w:val="20"/>
                <w:szCs w:val="20"/>
                <w:color w:val="auto"/>
              </w:rPr>
            </w:pPr>
            <w:r>
              <w:rPr>
                <w:rFonts w:ascii="Arial" w:cs="Arial" w:eastAsia="Arial" w:hAnsi="Arial"/>
                <w:sz w:val="20"/>
                <w:szCs w:val="20"/>
                <w:color w:val="auto"/>
                <w:w w:val="91"/>
              </w:rPr>
              <w:t>0.30%</w:t>
            </w:r>
          </w:p>
        </w:tc>
      </w:tr>
      <w:tr>
        <w:trPr>
          <w:trHeight w:val="20"/>
        </w:trPr>
        <w:tc>
          <w:tcPr>
            <w:tcW w:w="2600" w:type="dxa"/>
            <w:vAlign w:val="bottom"/>
          </w:tcPr>
          <w:p>
            <w:pPr>
              <w:spacing w:after="0" w:line="20" w:lineRule="exact"/>
              <w:rPr>
                <w:sz w:val="1"/>
                <w:szCs w:val="1"/>
                <w:color w:val="auto"/>
              </w:rPr>
            </w:pPr>
          </w:p>
        </w:tc>
        <w:tc>
          <w:tcPr>
            <w:tcW w:w="30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r>
      <w:tr>
        <w:trPr>
          <w:trHeight w:val="264"/>
        </w:trPr>
        <w:tc>
          <w:tcPr>
            <w:tcW w:w="2600" w:type="dxa"/>
            <w:vAlign w:val="bottom"/>
          </w:tcPr>
          <w:p>
            <w:pPr>
              <w:jc w:val="center"/>
              <w:ind w:left="1021"/>
              <w:spacing w:after="0"/>
              <w:rPr>
                <w:sz w:val="20"/>
                <w:szCs w:val="20"/>
                <w:color w:val="auto"/>
              </w:rPr>
            </w:pPr>
            <w:r>
              <w:rPr>
                <w:rFonts w:ascii="Arial" w:cs="Arial" w:eastAsia="Arial" w:hAnsi="Arial"/>
                <w:sz w:val="20"/>
                <w:szCs w:val="20"/>
                <w:color w:val="auto"/>
              </w:rPr>
              <w:t>III</w:t>
            </w:r>
          </w:p>
        </w:tc>
        <w:tc>
          <w:tcPr>
            <w:tcW w:w="3080" w:type="dxa"/>
            <w:vAlign w:val="bottom"/>
          </w:tcPr>
          <w:p>
            <w:pPr>
              <w:jc w:val="center"/>
              <w:ind w:left="21"/>
              <w:spacing w:after="0"/>
              <w:rPr>
                <w:sz w:val="20"/>
                <w:szCs w:val="20"/>
                <w:color w:val="auto"/>
              </w:rPr>
            </w:pPr>
            <w:r>
              <w:rPr>
                <w:rFonts w:ascii="Arial" w:cs="Arial" w:eastAsia="Arial" w:hAnsi="Arial"/>
                <w:sz w:val="20"/>
                <w:szCs w:val="20"/>
                <w:color w:val="auto"/>
                <w:w w:val="90"/>
              </w:rPr>
              <w:t>≥ 2.50:1.00 but &lt; 3.00:1.00</w:t>
            </w:r>
          </w:p>
        </w:tc>
        <w:tc>
          <w:tcPr>
            <w:tcW w:w="740" w:type="dxa"/>
            <w:vAlign w:val="bottom"/>
          </w:tcPr>
          <w:p>
            <w:pPr>
              <w:jc w:val="right"/>
              <w:spacing w:after="0"/>
              <w:rPr>
                <w:sz w:val="20"/>
                <w:szCs w:val="20"/>
                <w:color w:val="auto"/>
              </w:rPr>
            </w:pPr>
            <w:r>
              <w:rPr>
                <w:rFonts w:ascii="Arial" w:cs="Arial" w:eastAsia="Arial" w:hAnsi="Arial"/>
                <w:sz w:val="20"/>
                <w:szCs w:val="20"/>
                <w:color w:val="FF0000"/>
                <w:strike w:val="1"/>
              </w:rPr>
              <w:t>2.00</w:t>
            </w:r>
          </w:p>
        </w:tc>
        <w:tc>
          <w:tcPr>
            <w:tcW w:w="1020" w:type="dxa"/>
            <w:vAlign w:val="bottom"/>
            <w:gridSpan w:val="2"/>
          </w:tcPr>
          <w:p>
            <w:pPr>
              <w:jc w:val="right"/>
              <w:ind w:right="420"/>
              <w:spacing w:after="0"/>
              <w:rPr>
                <w:sz w:val="20"/>
                <w:szCs w:val="20"/>
                <w:color w:val="auto"/>
              </w:rPr>
            </w:pPr>
            <w:r>
              <w:rPr>
                <w:rFonts w:ascii="Arial" w:cs="Arial" w:eastAsia="Arial" w:hAnsi="Arial"/>
                <w:sz w:val="20"/>
                <w:szCs w:val="20"/>
                <w:color w:val="0000FF"/>
                <w:w w:val="85"/>
              </w:rPr>
              <w:t>1.875</w:t>
            </w:r>
            <w:r>
              <w:rPr>
                <w:rFonts w:ascii="Arial" w:cs="Arial" w:eastAsia="Arial" w:hAnsi="Arial"/>
                <w:sz w:val="20"/>
                <w:szCs w:val="20"/>
                <w:color w:val="000000"/>
                <w:w w:val="85"/>
              </w:rPr>
              <w:t>%</w:t>
            </w:r>
          </w:p>
        </w:tc>
        <w:tc>
          <w:tcPr>
            <w:tcW w:w="400" w:type="dxa"/>
            <w:vAlign w:val="bottom"/>
          </w:tcPr>
          <w:p>
            <w:pPr>
              <w:jc w:val="right"/>
              <w:spacing w:after="0"/>
              <w:rPr>
                <w:sz w:val="20"/>
                <w:szCs w:val="20"/>
                <w:color w:val="auto"/>
              </w:rPr>
            </w:pPr>
            <w:r>
              <w:rPr>
                <w:rFonts w:ascii="Arial" w:cs="Arial" w:eastAsia="Arial" w:hAnsi="Arial"/>
                <w:sz w:val="20"/>
                <w:szCs w:val="20"/>
                <w:color w:val="FF0000"/>
                <w:strike w:val="1"/>
                <w:w w:val="97"/>
              </w:rPr>
              <w:t>2.00</w:t>
            </w:r>
          </w:p>
        </w:tc>
        <w:tc>
          <w:tcPr>
            <w:tcW w:w="700" w:type="dxa"/>
            <w:vAlign w:val="bottom"/>
            <w:gridSpan w:val="2"/>
          </w:tcPr>
          <w:p>
            <w:pPr>
              <w:jc w:val="right"/>
              <w:ind w:right="100"/>
              <w:spacing w:after="0"/>
              <w:rPr>
                <w:sz w:val="20"/>
                <w:szCs w:val="20"/>
                <w:color w:val="auto"/>
              </w:rPr>
            </w:pPr>
            <w:r>
              <w:rPr>
                <w:rFonts w:ascii="Arial" w:cs="Arial" w:eastAsia="Arial" w:hAnsi="Arial"/>
                <w:sz w:val="20"/>
                <w:szCs w:val="20"/>
                <w:color w:val="0000FF"/>
                <w:w w:val="85"/>
              </w:rPr>
              <w:t>1.875</w:t>
            </w:r>
            <w:r>
              <w:rPr>
                <w:rFonts w:ascii="Arial" w:cs="Arial" w:eastAsia="Arial" w:hAnsi="Arial"/>
                <w:sz w:val="20"/>
                <w:szCs w:val="20"/>
                <w:color w:val="000000"/>
                <w:w w:val="85"/>
              </w:rPr>
              <w:t>%</w:t>
            </w:r>
          </w:p>
        </w:tc>
        <w:tc>
          <w:tcPr>
            <w:tcW w:w="2880" w:type="dxa"/>
            <w:vAlign w:val="bottom"/>
          </w:tcPr>
          <w:p>
            <w:pPr>
              <w:jc w:val="center"/>
              <w:ind w:right="1221"/>
              <w:spacing w:after="0"/>
              <w:rPr>
                <w:sz w:val="20"/>
                <w:szCs w:val="20"/>
                <w:color w:val="auto"/>
              </w:rPr>
            </w:pPr>
            <w:r>
              <w:rPr>
                <w:rFonts w:ascii="Arial" w:cs="Arial" w:eastAsia="Arial" w:hAnsi="Arial"/>
                <w:sz w:val="20"/>
                <w:szCs w:val="20"/>
                <w:color w:val="auto"/>
                <w:w w:val="91"/>
              </w:rPr>
              <w:t>0.35%</w:t>
            </w:r>
          </w:p>
        </w:tc>
      </w:tr>
      <w:tr>
        <w:trPr>
          <w:trHeight w:val="20"/>
        </w:trPr>
        <w:tc>
          <w:tcPr>
            <w:tcW w:w="2600" w:type="dxa"/>
            <w:vAlign w:val="bottom"/>
          </w:tcPr>
          <w:p>
            <w:pPr>
              <w:spacing w:after="0" w:line="20" w:lineRule="exact"/>
              <w:rPr>
                <w:sz w:val="1"/>
                <w:szCs w:val="1"/>
                <w:color w:val="auto"/>
              </w:rPr>
            </w:pPr>
          </w:p>
        </w:tc>
        <w:tc>
          <w:tcPr>
            <w:tcW w:w="30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r>
      <w:tr>
        <w:trPr>
          <w:trHeight w:val="264"/>
        </w:trPr>
        <w:tc>
          <w:tcPr>
            <w:tcW w:w="2600" w:type="dxa"/>
            <w:vAlign w:val="bottom"/>
          </w:tcPr>
          <w:p>
            <w:pPr>
              <w:jc w:val="center"/>
              <w:ind w:left="1001"/>
              <w:spacing w:after="0"/>
              <w:rPr>
                <w:sz w:val="20"/>
                <w:szCs w:val="20"/>
                <w:color w:val="auto"/>
              </w:rPr>
            </w:pPr>
            <w:r>
              <w:rPr>
                <w:rFonts w:ascii="Arial" w:cs="Arial" w:eastAsia="Arial" w:hAnsi="Arial"/>
                <w:sz w:val="20"/>
                <w:szCs w:val="20"/>
                <w:color w:val="auto"/>
              </w:rPr>
              <w:t>IV</w:t>
            </w:r>
          </w:p>
        </w:tc>
        <w:tc>
          <w:tcPr>
            <w:tcW w:w="3080" w:type="dxa"/>
            <w:vAlign w:val="bottom"/>
          </w:tcPr>
          <w:p>
            <w:pPr>
              <w:jc w:val="center"/>
              <w:ind w:left="21"/>
              <w:spacing w:after="0"/>
              <w:rPr>
                <w:sz w:val="20"/>
                <w:szCs w:val="20"/>
                <w:color w:val="auto"/>
              </w:rPr>
            </w:pPr>
            <w:r>
              <w:rPr>
                <w:rFonts w:ascii="Arial" w:cs="Arial" w:eastAsia="Arial" w:hAnsi="Arial"/>
                <w:sz w:val="20"/>
                <w:szCs w:val="20"/>
                <w:color w:val="auto"/>
                <w:w w:val="90"/>
              </w:rPr>
              <w:t>≥ 3.00:1.00 but &lt; 3.50:1.00</w:t>
            </w:r>
          </w:p>
        </w:tc>
        <w:tc>
          <w:tcPr>
            <w:tcW w:w="740" w:type="dxa"/>
            <w:vAlign w:val="bottom"/>
          </w:tcPr>
          <w:p>
            <w:pPr>
              <w:jc w:val="right"/>
              <w:spacing w:after="0"/>
              <w:rPr>
                <w:sz w:val="20"/>
                <w:szCs w:val="20"/>
                <w:color w:val="auto"/>
              </w:rPr>
            </w:pPr>
            <w:r>
              <w:rPr>
                <w:rFonts w:ascii="Arial" w:cs="Arial" w:eastAsia="Arial" w:hAnsi="Arial"/>
                <w:sz w:val="20"/>
                <w:szCs w:val="20"/>
                <w:color w:val="FF0000"/>
                <w:strike w:val="1"/>
              </w:rPr>
              <w:t>2.25</w:t>
            </w:r>
          </w:p>
        </w:tc>
        <w:tc>
          <w:tcPr>
            <w:tcW w:w="1020" w:type="dxa"/>
            <w:vAlign w:val="bottom"/>
            <w:gridSpan w:val="2"/>
          </w:tcPr>
          <w:p>
            <w:pPr>
              <w:jc w:val="right"/>
              <w:ind w:right="420"/>
              <w:spacing w:after="0"/>
              <w:rPr>
                <w:sz w:val="20"/>
                <w:szCs w:val="20"/>
                <w:color w:val="auto"/>
              </w:rPr>
            </w:pPr>
            <w:r>
              <w:rPr>
                <w:rFonts w:ascii="Arial" w:cs="Arial" w:eastAsia="Arial" w:hAnsi="Arial"/>
                <w:sz w:val="20"/>
                <w:szCs w:val="20"/>
                <w:color w:val="0000FF"/>
                <w:w w:val="85"/>
              </w:rPr>
              <w:t>2.125</w:t>
            </w:r>
            <w:r>
              <w:rPr>
                <w:rFonts w:ascii="Arial" w:cs="Arial" w:eastAsia="Arial" w:hAnsi="Arial"/>
                <w:sz w:val="20"/>
                <w:szCs w:val="20"/>
                <w:color w:val="000000"/>
                <w:w w:val="85"/>
              </w:rPr>
              <w:t>%</w:t>
            </w:r>
          </w:p>
        </w:tc>
        <w:tc>
          <w:tcPr>
            <w:tcW w:w="400" w:type="dxa"/>
            <w:vAlign w:val="bottom"/>
          </w:tcPr>
          <w:p>
            <w:pPr>
              <w:jc w:val="right"/>
              <w:spacing w:after="0"/>
              <w:rPr>
                <w:sz w:val="20"/>
                <w:szCs w:val="20"/>
                <w:color w:val="auto"/>
              </w:rPr>
            </w:pPr>
            <w:r>
              <w:rPr>
                <w:rFonts w:ascii="Arial" w:cs="Arial" w:eastAsia="Arial" w:hAnsi="Arial"/>
                <w:sz w:val="20"/>
                <w:szCs w:val="20"/>
                <w:color w:val="FF0000"/>
                <w:strike w:val="1"/>
                <w:w w:val="97"/>
              </w:rPr>
              <w:t>2.25</w:t>
            </w:r>
          </w:p>
        </w:tc>
        <w:tc>
          <w:tcPr>
            <w:tcW w:w="700" w:type="dxa"/>
            <w:vAlign w:val="bottom"/>
            <w:gridSpan w:val="2"/>
          </w:tcPr>
          <w:p>
            <w:pPr>
              <w:jc w:val="right"/>
              <w:ind w:right="100"/>
              <w:spacing w:after="0"/>
              <w:rPr>
                <w:sz w:val="20"/>
                <w:szCs w:val="20"/>
                <w:color w:val="auto"/>
              </w:rPr>
            </w:pPr>
            <w:r>
              <w:rPr>
                <w:rFonts w:ascii="Arial" w:cs="Arial" w:eastAsia="Arial" w:hAnsi="Arial"/>
                <w:sz w:val="20"/>
                <w:szCs w:val="20"/>
                <w:color w:val="0000FF"/>
                <w:w w:val="85"/>
              </w:rPr>
              <w:t>2.125</w:t>
            </w:r>
            <w:r>
              <w:rPr>
                <w:rFonts w:ascii="Arial" w:cs="Arial" w:eastAsia="Arial" w:hAnsi="Arial"/>
                <w:sz w:val="20"/>
                <w:szCs w:val="20"/>
                <w:color w:val="000000"/>
                <w:w w:val="85"/>
              </w:rPr>
              <w:t>%</w:t>
            </w:r>
          </w:p>
        </w:tc>
        <w:tc>
          <w:tcPr>
            <w:tcW w:w="2880" w:type="dxa"/>
            <w:vAlign w:val="bottom"/>
          </w:tcPr>
          <w:p>
            <w:pPr>
              <w:jc w:val="center"/>
              <w:ind w:right="1221"/>
              <w:spacing w:after="0"/>
              <w:rPr>
                <w:sz w:val="20"/>
                <w:szCs w:val="20"/>
                <w:color w:val="auto"/>
              </w:rPr>
            </w:pPr>
            <w:r>
              <w:rPr>
                <w:rFonts w:ascii="Arial" w:cs="Arial" w:eastAsia="Arial" w:hAnsi="Arial"/>
                <w:sz w:val="20"/>
                <w:szCs w:val="20"/>
                <w:color w:val="auto"/>
                <w:w w:val="91"/>
              </w:rPr>
              <w:t>0.40%</w:t>
            </w:r>
          </w:p>
        </w:tc>
      </w:tr>
      <w:tr>
        <w:trPr>
          <w:trHeight w:val="20"/>
        </w:trPr>
        <w:tc>
          <w:tcPr>
            <w:tcW w:w="2600" w:type="dxa"/>
            <w:vAlign w:val="bottom"/>
          </w:tcPr>
          <w:p>
            <w:pPr>
              <w:spacing w:after="0" w:line="20" w:lineRule="exact"/>
              <w:rPr>
                <w:sz w:val="1"/>
                <w:szCs w:val="1"/>
                <w:color w:val="auto"/>
              </w:rPr>
            </w:pPr>
          </w:p>
        </w:tc>
        <w:tc>
          <w:tcPr>
            <w:tcW w:w="30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r>
      <w:tr>
        <w:trPr>
          <w:trHeight w:val="264"/>
        </w:trPr>
        <w:tc>
          <w:tcPr>
            <w:tcW w:w="2600" w:type="dxa"/>
            <w:vAlign w:val="bottom"/>
          </w:tcPr>
          <w:p>
            <w:pPr>
              <w:jc w:val="center"/>
              <w:ind w:left="1001"/>
              <w:spacing w:after="0"/>
              <w:rPr>
                <w:sz w:val="20"/>
                <w:szCs w:val="20"/>
                <w:color w:val="auto"/>
              </w:rPr>
            </w:pPr>
            <w:r>
              <w:rPr>
                <w:rFonts w:ascii="Arial" w:cs="Arial" w:eastAsia="Arial" w:hAnsi="Arial"/>
                <w:sz w:val="20"/>
                <w:szCs w:val="20"/>
                <w:color w:val="auto"/>
              </w:rPr>
              <w:t>V</w:t>
            </w:r>
          </w:p>
        </w:tc>
        <w:tc>
          <w:tcPr>
            <w:tcW w:w="3080" w:type="dxa"/>
            <w:vAlign w:val="bottom"/>
          </w:tcPr>
          <w:p>
            <w:pPr>
              <w:jc w:val="center"/>
              <w:ind w:left="21"/>
              <w:spacing w:after="0"/>
              <w:rPr>
                <w:sz w:val="20"/>
                <w:szCs w:val="20"/>
                <w:color w:val="auto"/>
              </w:rPr>
            </w:pPr>
            <w:r>
              <w:rPr>
                <w:rFonts w:ascii="Arial" w:cs="Arial" w:eastAsia="Arial" w:hAnsi="Arial"/>
                <w:sz w:val="20"/>
                <w:szCs w:val="20"/>
                <w:color w:val="auto"/>
                <w:w w:val="92"/>
              </w:rPr>
              <w:t>≥ 3.50:1.00</w:t>
            </w:r>
          </w:p>
        </w:tc>
        <w:tc>
          <w:tcPr>
            <w:tcW w:w="740" w:type="dxa"/>
            <w:vAlign w:val="bottom"/>
          </w:tcPr>
          <w:p>
            <w:pPr>
              <w:jc w:val="right"/>
              <w:spacing w:after="0"/>
              <w:rPr>
                <w:sz w:val="20"/>
                <w:szCs w:val="20"/>
                <w:color w:val="auto"/>
              </w:rPr>
            </w:pPr>
            <w:r>
              <w:rPr>
                <w:rFonts w:ascii="Arial" w:cs="Arial" w:eastAsia="Arial" w:hAnsi="Arial"/>
                <w:sz w:val="20"/>
                <w:szCs w:val="20"/>
                <w:color w:val="FF0000"/>
                <w:strike w:val="1"/>
              </w:rPr>
              <w:t>2.50</w:t>
            </w:r>
          </w:p>
        </w:tc>
        <w:tc>
          <w:tcPr>
            <w:tcW w:w="1020" w:type="dxa"/>
            <w:vAlign w:val="bottom"/>
            <w:gridSpan w:val="2"/>
          </w:tcPr>
          <w:p>
            <w:pPr>
              <w:jc w:val="right"/>
              <w:ind w:right="420"/>
              <w:spacing w:after="0"/>
              <w:rPr>
                <w:sz w:val="20"/>
                <w:szCs w:val="20"/>
                <w:color w:val="auto"/>
              </w:rPr>
            </w:pPr>
            <w:r>
              <w:rPr>
                <w:rFonts w:ascii="Arial" w:cs="Arial" w:eastAsia="Arial" w:hAnsi="Arial"/>
                <w:sz w:val="20"/>
                <w:szCs w:val="20"/>
                <w:color w:val="0000FF"/>
                <w:w w:val="85"/>
              </w:rPr>
              <w:t>2.375</w:t>
            </w:r>
            <w:r>
              <w:rPr>
                <w:rFonts w:ascii="Arial" w:cs="Arial" w:eastAsia="Arial" w:hAnsi="Arial"/>
                <w:sz w:val="20"/>
                <w:szCs w:val="20"/>
                <w:color w:val="000000"/>
                <w:w w:val="85"/>
              </w:rPr>
              <w:t>%</w:t>
            </w:r>
          </w:p>
        </w:tc>
        <w:tc>
          <w:tcPr>
            <w:tcW w:w="400" w:type="dxa"/>
            <w:vAlign w:val="bottom"/>
          </w:tcPr>
          <w:p>
            <w:pPr>
              <w:jc w:val="right"/>
              <w:spacing w:after="0"/>
              <w:rPr>
                <w:sz w:val="20"/>
                <w:szCs w:val="20"/>
                <w:color w:val="auto"/>
              </w:rPr>
            </w:pPr>
            <w:r>
              <w:rPr>
                <w:rFonts w:ascii="Arial" w:cs="Arial" w:eastAsia="Arial" w:hAnsi="Arial"/>
                <w:sz w:val="20"/>
                <w:szCs w:val="20"/>
                <w:color w:val="FF0000"/>
                <w:strike w:val="1"/>
                <w:w w:val="97"/>
              </w:rPr>
              <w:t>2.50</w:t>
            </w:r>
          </w:p>
        </w:tc>
        <w:tc>
          <w:tcPr>
            <w:tcW w:w="700" w:type="dxa"/>
            <w:vAlign w:val="bottom"/>
            <w:gridSpan w:val="2"/>
          </w:tcPr>
          <w:p>
            <w:pPr>
              <w:jc w:val="right"/>
              <w:ind w:right="100"/>
              <w:spacing w:after="0"/>
              <w:rPr>
                <w:sz w:val="20"/>
                <w:szCs w:val="20"/>
                <w:color w:val="auto"/>
              </w:rPr>
            </w:pPr>
            <w:r>
              <w:rPr>
                <w:rFonts w:ascii="Arial" w:cs="Arial" w:eastAsia="Arial" w:hAnsi="Arial"/>
                <w:sz w:val="20"/>
                <w:szCs w:val="20"/>
                <w:color w:val="0000FF"/>
                <w:w w:val="85"/>
              </w:rPr>
              <w:t>2.375</w:t>
            </w:r>
            <w:r>
              <w:rPr>
                <w:rFonts w:ascii="Arial" w:cs="Arial" w:eastAsia="Arial" w:hAnsi="Arial"/>
                <w:sz w:val="20"/>
                <w:szCs w:val="20"/>
                <w:color w:val="000000"/>
                <w:w w:val="85"/>
              </w:rPr>
              <w:t>%</w:t>
            </w:r>
          </w:p>
        </w:tc>
        <w:tc>
          <w:tcPr>
            <w:tcW w:w="2880" w:type="dxa"/>
            <w:vAlign w:val="bottom"/>
          </w:tcPr>
          <w:p>
            <w:pPr>
              <w:jc w:val="center"/>
              <w:ind w:right="1221"/>
              <w:spacing w:after="0"/>
              <w:rPr>
                <w:sz w:val="20"/>
                <w:szCs w:val="20"/>
                <w:color w:val="auto"/>
              </w:rPr>
            </w:pPr>
            <w:r>
              <w:rPr>
                <w:rFonts w:ascii="Arial" w:cs="Arial" w:eastAsia="Arial" w:hAnsi="Arial"/>
                <w:sz w:val="20"/>
                <w:szCs w:val="20"/>
                <w:color w:val="auto"/>
                <w:w w:val="91"/>
              </w:rPr>
              <w:t>0.45%</w:t>
            </w:r>
          </w:p>
        </w:tc>
      </w:tr>
      <w:tr>
        <w:trPr>
          <w:trHeight w:val="48"/>
        </w:trPr>
        <w:tc>
          <w:tcPr>
            <w:tcW w:w="2600" w:type="dxa"/>
            <w:vAlign w:val="bottom"/>
            <w:tcBorders>
              <w:bottom w:val="single" w:sz="8" w:color="auto"/>
            </w:tcBorders>
          </w:tcPr>
          <w:p>
            <w:pPr>
              <w:spacing w:after="0"/>
              <w:rPr>
                <w:sz w:val="4"/>
                <w:szCs w:val="4"/>
                <w:color w:val="auto"/>
              </w:rPr>
            </w:pPr>
          </w:p>
        </w:tc>
        <w:tc>
          <w:tcPr>
            <w:tcW w:w="3080" w:type="dxa"/>
            <w:vAlign w:val="bottom"/>
            <w:tcBorders>
              <w:bottom w:val="single" w:sz="8" w:color="auto"/>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440" w:type="dxa"/>
            <w:vAlign w:val="bottom"/>
            <w:tcBorders>
              <w:top w:val="single" w:sz="8" w:color="0000FF"/>
              <w:bottom w:val="single" w:sz="8" w:color="auto"/>
            </w:tcBorders>
          </w:tcPr>
          <w:p>
            <w:pPr>
              <w:spacing w:after="0"/>
              <w:rPr>
                <w:sz w:val="4"/>
                <w:szCs w:val="4"/>
                <w:color w:val="auto"/>
              </w:rPr>
            </w:pPr>
          </w:p>
        </w:tc>
        <w:tc>
          <w:tcPr>
            <w:tcW w:w="580" w:type="dxa"/>
            <w:vAlign w:val="bottom"/>
            <w:tcBorders>
              <w:bottom w:val="single" w:sz="8" w:color="auto"/>
            </w:tcBorders>
          </w:tcPr>
          <w:p>
            <w:pPr>
              <w:spacing w:after="0"/>
              <w:rPr>
                <w:sz w:val="4"/>
                <w:szCs w:val="4"/>
                <w:color w:val="auto"/>
              </w:rPr>
            </w:pPr>
          </w:p>
        </w:tc>
        <w:tc>
          <w:tcPr>
            <w:tcW w:w="400" w:type="dxa"/>
            <w:vAlign w:val="bottom"/>
            <w:tcBorders>
              <w:bottom w:val="single" w:sz="8" w:color="auto"/>
            </w:tcBorders>
          </w:tcPr>
          <w:p>
            <w:pPr>
              <w:spacing w:after="0"/>
              <w:rPr>
                <w:sz w:val="4"/>
                <w:szCs w:val="4"/>
                <w:color w:val="auto"/>
              </w:rPr>
            </w:pPr>
          </w:p>
        </w:tc>
        <w:tc>
          <w:tcPr>
            <w:tcW w:w="440" w:type="dxa"/>
            <w:vAlign w:val="bottom"/>
            <w:tcBorders>
              <w:top w:val="single" w:sz="8" w:color="0000FF"/>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2880" w:type="dxa"/>
            <w:vAlign w:val="bottom"/>
            <w:tcBorders>
              <w:bottom w:val="single" w:sz="8" w:color="auto"/>
            </w:tcBorders>
          </w:tcPr>
          <w:p>
            <w:pPr>
              <w:spacing w:after="0"/>
              <w:rPr>
                <w:sz w:val="4"/>
                <w:szCs w:val="4"/>
                <w:color w:val="auto"/>
              </w:rPr>
            </w:pPr>
          </w:p>
        </w:tc>
      </w:tr>
    </w:tbl>
    <w:p>
      <w:pPr>
        <w:spacing w:after="0" w:line="253" w:lineRule="exact"/>
        <w:rPr>
          <w:sz w:val="20"/>
          <w:szCs w:val="20"/>
          <w:color w:val="auto"/>
        </w:rPr>
      </w:pPr>
    </w:p>
    <w:p>
      <w:pPr>
        <w:ind w:left="1300" w:right="60" w:firstLine="653"/>
        <w:spacing w:after="0" w:line="312" w:lineRule="auto"/>
        <w:tabs>
          <w:tab w:leader="none" w:pos="2440" w:val="left"/>
        </w:tabs>
        <w:numPr>
          <w:ilvl w:val="0"/>
          <w:numId w:val="25"/>
        </w:numPr>
        <w:rPr>
          <w:rFonts w:ascii="Arial" w:cs="Arial" w:eastAsia="Arial" w:hAnsi="Arial"/>
          <w:sz w:val="22"/>
          <w:szCs w:val="22"/>
          <w:color w:val="auto"/>
        </w:rPr>
      </w:pPr>
      <w:r>
        <w:rPr>
          <w:rFonts w:ascii="Arial" w:cs="Arial" w:eastAsia="Arial" w:hAnsi="Arial"/>
          <w:sz w:val="20"/>
          <w:szCs w:val="20"/>
          <w:u w:val="single" w:color="auto"/>
          <w:color w:val="auto"/>
        </w:rPr>
        <w:t>Term Loan A</w:t>
      </w:r>
      <w:r>
        <w:rPr>
          <w:rFonts w:ascii="Arial" w:cs="Arial" w:eastAsia="Arial" w:hAnsi="Arial"/>
          <w:sz w:val="20"/>
          <w:szCs w:val="20"/>
          <w:color w:val="auto"/>
        </w:rPr>
        <w:t xml:space="preserve">. For the Term Loan A, the following percentages per annum based on the Consolidated Total Leverage Ratio as set forth in the most recent Compliance Certificate received by the Administrative Agent in accordance with the provisions of </w:t>
      </w:r>
      <w:r>
        <w:rPr>
          <w:rFonts w:ascii="Arial" w:cs="Arial" w:eastAsia="Arial" w:hAnsi="Arial"/>
          <w:sz w:val="20"/>
          <w:szCs w:val="20"/>
          <w:u w:val="single" w:color="auto"/>
          <w:color w:val="auto"/>
        </w:rPr>
        <w:t>Section 7.02(b</w:t>
      </w:r>
      <w:r>
        <w:rPr>
          <w:rFonts w:ascii="Arial" w:cs="Arial" w:eastAsia="Arial" w:hAnsi="Arial"/>
          <w:sz w:val="20"/>
          <w:szCs w:val="20"/>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339725</wp:posOffset>
            </wp:positionV>
            <wp:extent cx="7246620"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339" w:lineRule="exact"/>
        <w:rPr>
          <w:sz w:val="20"/>
          <w:szCs w:val="20"/>
          <w:color w:val="auto"/>
        </w:rPr>
      </w:pPr>
    </w:p>
    <w:tbl>
      <w:tblPr>
        <w:tblLayout w:type="fixed"/>
        <w:tblInd w:w="0" w:type="dxa"/>
        <w:tblCellMar>
          <w:top w:w="0" w:type="dxa"/>
          <w:left w:w="0" w:type="dxa"/>
          <w:bottom w:w="0" w:type="dxa"/>
          <w:right w:w="0" w:type="dxa"/>
        </w:tblCellMar>
      </w:tblPr>
      <w:tr>
        <w:trPr>
          <w:trHeight w:val="250"/>
        </w:trPr>
        <w:tc>
          <w:tcPr>
            <w:tcW w:w="3220" w:type="dxa"/>
            <w:vAlign w:val="bottom"/>
          </w:tcPr>
          <w:p>
            <w:pPr>
              <w:spacing w:after="0"/>
              <w:rPr>
                <w:sz w:val="21"/>
                <w:szCs w:val="21"/>
                <w:color w:val="auto"/>
              </w:rPr>
            </w:pPr>
          </w:p>
        </w:tc>
        <w:tc>
          <w:tcPr>
            <w:tcW w:w="31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4280" w:type="dxa"/>
            <w:vAlign w:val="bottom"/>
            <w:gridSpan w:val="5"/>
          </w:tcPr>
          <w:p>
            <w:pPr>
              <w:jc w:val="right"/>
              <w:ind w:right="2880"/>
              <w:spacing w:after="0"/>
              <w:rPr>
                <w:sz w:val="20"/>
                <w:szCs w:val="20"/>
                <w:color w:val="auto"/>
              </w:rPr>
            </w:pPr>
            <w:r>
              <w:rPr>
                <w:rFonts w:ascii="Arial" w:cs="Arial" w:eastAsia="Arial" w:hAnsi="Arial"/>
                <w:sz w:val="20"/>
                <w:szCs w:val="20"/>
                <w:color w:val="auto"/>
              </w:rPr>
              <w:t>Term Loan A</w:t>
            </w:r>
          </w:p>
        </w:tc>
      </w:tr>
      <w:tr>
        <w:trPr>
          <w:trHeight w:val="23"/>
        </w:trPr>
        <w:tc>
          <w:tcPr>
            <w:tcW w:w="3220" w:type="dxa"/>
            <w:vAlign w:val="bottom"/>
            <w:tcBorders>
              <w:bottom w:val="single" w:sz="8" w:color="auto"/>
            </w:tcBorders>
          </w:tcPr>
          <w:p>
            <w:pPr>
              <w:spacing w:after="0"/>
              <w:rPr>
                <w:sz w:val="2"/>
                <w:szCs w:val="2"/>
                <w:color w:val="auto"/>
              </w:rPr>
            </w:pPr>
          </w:p>
        </w:tc>
        <w:tc>
          <w:tcPr>
            <w:tcW w:w="31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2240" w:type="dxa"/>
            <w:vAlign w:val="bottom"/>
            <w:tcBorders>
              <w:bottom w:val="single" w:sz="8" w:color="auto"/>
            </w:tcBorders>
          </w:tcPr>
          <w:p>
            <w:pPr>
              <w:spacing w:after="0"/>
              <w:rPr>
                <w:sz w:val="2"/>
                <w:szCs w:val="2"/>
                <w:color w:val="auto"/>
              </w:rPr>
            </w:pPr>
          </w:p>
        </w:tc>
      </w:tr>
      <w:tr>
        <w:trPr>
          <w:trHeight w:val="233"/>
        </w:trPr>
        <w:tc>
          <w:tcPr>
            <w:tcW w:w="3220" w:type="dxa"/>
            <w:vAlign w:val="bottom"/>
          </w:tcPr>
          <w:p>
            <w:pPr>
              <w:jc w:val="center"/>
              <w:ind w:left="1621"/>
              <w:spacing w:after="0"/>
              <w:rPr>
                <w:sz w:val="20"/>
                <w:szCs w:val="20"/>
                <w:color w:val="auto"/>
              </w:rPr>
            </w:pPr>
            <w:r>
              <w:rPr>
                <w:rFonts w:ascii="Arial" w:cs="Arial" w:eastAsia="Arial" w:hAnsi="Arial"/>
                <w:sz w:val="20"/>
                <w:szCs w:val="20"/>
                <w:color w:val="auto"/>
                <w:w w:val="92"/>
              </w:rPr>
              <w:t>Pricing Level</w:t>
            </w:r>
          </w:p>
        </w:tc>
        <w:tc>
          <w:tcPr>
            <w:tcW w:w="3140" w:type="dxa"/>
            <w:vAlign w:val="bottom"/>
          </w:tcPr>
          <w:p>
            <w:pPr>
              <w:jc w:val="center"/>
              <w:spacing w:after="0"/>
              <w:rPr>
                <w:sz w:val="20"/>
                <w:szCs w:val="20"/>
                <w:color w:val="auto"/>
              </w:rPr>
            </w:pPr>
            <w:r>
              <w:rPr>
                <w:rFonts w:ascii="Arial" w:cs="Arial" w:eastAsia="Arial" w:hAnsi="Arial"/>
                <w:sz w:val="20"/>
                <w:szCs w:val="20"/>
                <w:color w:val="auto"/>
                <w:w w:val="90"/>
              </w:rPr>
              <w:t>Consolidated Total Leverage Ratio</w:t>
            </w:r>
          </w:p>
        </w:tc>
        <w:tc>
          <w:tcPr>
            <w:tcW w:w="1740" w:type="dxa"/>
            <w:vAlign w:val="bottom"/>
            <w:gridSpan w:val="3"/>
          </w:tcPr>
          <w:p>
            <w:pPr>
              <w:jc w:val="right"/>
              <w:ind w:right="80"/>
              <w:spacing w:after="0"/>
              <w:rPr>
                <w:sz w:val="20"/>
                <w:szCs w:val="20"/>
                <w:color w:val="auto"/>
              </w:rPr>
            </w:pPr>
            <w:r>
              <w:rPr>
                <w:rFonts w:ascii="Arial" w:cs="Arial" w:eastAsia="Arial" w:hAnsi="Arial"/>
                <w:sz w:val="20"/>
                <w:szCs w:val="20"/>
                <w:color w:val="auto"/>
              </w:rPr>
              <w:t>Fixed LIBOR Rate</w:t>
            </w:r>
          </w:p>
        </w:tc>
        <w:tc>
          <w:tcPr>
            <w:tcW w:w="3320" w:type="dxa"/>
            <w:vAlign w:val="bottom"/>
            <w:gridSpan w:val="3"/>
          </w:tcPr>
          <w:p>
            <w:pPr>
              <w:jc w:val="right"/>
              <w:ind w:right="1900"/>
              <w:spacing w:after="0"/>
              <w:rPr>
                <w:sz w:val="20"/>
                <w:szCs w:val="20"/>
                <w:color w:val="auto"/>
              </w:rPr>
            </w:pPr>
            <w:r>
              <w:rPr>
                <w:rFonts w:ascii="Arial" w:cs="Arial" w:eastAsia="Arial" w:hAnsi="Arial"/>
                <w:sz w:val="20"/>
                <w:szCs w:val="20"/>
                <w:color w:val="auto"/>
                <w:w w:val="91"/>
              </w:rPr>
              <w:t>Base Rate Loans</w:t>
            </w:r>
          </w:p>
        </w:tc>
      </w:tr>
      <w:tr>
        <w:trPr>
          <w:trHeight w:val="250"/>
        </w:trPr>
        <w:tc>
          <w:tcPr>
            <w:tcW w:w="3220" w:type="dxa"/>
            <w:vAlign w:val="bottom"/>
          </w:tcPr>
          <w:p>
            <w:pPr>
              <w:spacing w:after="0"/>
              <w:rPr>
                <w:sz w:val="21"/>
                <w:szCs w:val="21"/>
                <w:color w:val="auto"/>
              </w:rPr>
            </w:pPr>
          </w:p>
        </w:tc>
        <w:tc>
          <w:tcPr>
            <w:tcW w:w="3140" w:type="dxa"/>
            <w:vAlign w:val="bottom"/>
          </w:tcPr>
          <w:p>
            <w:pPr>
              <w:spacing w:after="0"/>
              <w:rPr>
                <w:sz w:val="21"/>
                <w:szCs w:val="21"/>
                <w:color w:val="auto"/>
              </w:rPr>
            </w:pPr>
          </w:p>
        </w:tc>
        <w:tc>
          <w:tcPr>
            <w:tcW w:w="1740" w:type="dxa"/>
            <w:vAlign w:val="bottom"/>
            <w:gridSpan w:val="3"/>
          </w:tcPr>
          <w:p>
            <w:pPr>
              <w:jc w:val="right"/>
              <w:ind w:right="600"/>
              <w:spacing w:after="0"/>
              <w:rPr>
                <w:sz w:val="20"/>
                <w:szCs w:val="20"/>
                <w:color w:val="auto"/>
              </w:rPr>
            </w:pPr>
            <w:r>
              <w:rPr>
                <w:rFonts w:ascii="Arial" w:cs="Arial" w:eastAsia="Arial" w:hAnsi="Arial"/>
                <w:sz w:val="20"/>
                <w:szCs w:val="20"/>
                <w:color w:val="auto"/>
              </w:rPr>
              <w:t>Loans</w:t>
            </w:r>
          </w:p>
        </w:tc>
        <w:tc>
          <w:tcPr>
            <w:tcW w:w="6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2240" w:type="dxa"/>
            <w:vAlign w:val="bottom"/>
          </w:tcPr>
          <w:p>
            <w:pPr>
              <w:spacing w:after="0"/>
              <w:rPr>
                <w:sz w:val="21"/>
                <w:szCs w:val="21"/>
                <w:color w:val="auto"/>
              </w:rPr>
            </w:pPr>
          </w:p>
        </w:tc>
      </w:tr>
      <w:tr>
        <w:trPr>
          <w:trHeight w:val="23"/>
        </w:trPr>
        <w:tc>
          <w:tcPr>
            <w:tcW w:w="3220" w:type="dxa"/>
            <w:vAlign w:val="bottom"/>
            <w:tcBorders>
              <w:bottom w:val="single" w:sz="8" w:color="auto"/>
            </w:tcBorders>
          </w:tcPr>
          <w:p>
            <w:pPr>
              <w:spacing w:after="0"/>
              <w:rPr>
                <w:sz w:val="2"/>
                <w:szCs w:val="2"/>
                <w:color w:val="auto"/>
              </w:rPr>
            </w:pPr>
          </w:p>
        </w:tc>
        <w:tc>
          <w:tcPr>
            <w:tcW w:w="31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2240" w:type="dxa"/>
            <w:vAlign w:val="bottom"/>
            <w:tcBorders>
              <w:bottom w:val="single" w:sz="8" w:color="auto"/>
            </w:tcBorders>
          </w:tcPr>
          <w:p>
            <w:pPr>
              <w:spacing w:after="0"/>
              <w:rPr>
                <w:sz w:val="2"/>
                <w:szCs w:val="2"/>
                <w:color w:val="auto"/>
              </w:rPr>
            </w:pPr>
          </w:p>
        </w:tc>
      </w:tr>
      <w:tr>
        <w:trPr>
          <w:trHeight w:val="210"/>
        </w:trPr>
        <w:tc>
          <w:tcPr>
            <w:tcW w:w="3220" w:type="dxa"/>
            <w:vAlign w:val="bottom"/>
          </w:tcPr>
          <w:p>
            <w:pPr>
              <w:jc w:val="center"/>
              <w:ind w:left="1621"/>
              <w:spacing w:after="0" w:line="209" w:lineRule="exact"/>
              <w:rPr>
                <w:sz w:val="20"/>
                <w:szCs w:val="20"/>
                <w:color w:val="auto"/>
              </w:rPr>
            </w:pPr>
            <w:r>
              <w:rPr>
                <w:rFonts w:ascii="Arial" w:cs="Arial" w:eastAsia="Arial" w:hAnsi="Arial"/>
                <w:sz w:val="20"/>
                <w:szCs w:val="20"/>
                <w:color w:val="auto"/>
              </w:rPr>
              <w:t>I</w:t>
            </w:r>
          </w:p>
        </w:tc>
        <w:tc>
          <w:tcPr>
            <w:tcW w:w="3140" w:type="dxa"/>
            <w:vAlign w:val="bottom"/>
          </w:tcPr>
          <w:p>
            <w:pPr>
              <w:jc w:val="center"/>
              <w:spacing w:after="0" w:line="209" w:lineRule="exact"/>
              <w:rPr>
                <w:sz w:val="20"/>
                <w:szCs w:val="20"/>
                <w:color w:val="auto"/>
              </w:rPr>
            </w:pPr>
            <w:r>
              <w:rPr>
                <w:rFonts w:ascii="Arial" w:cs="Arial" w:eastAsia="Arial" w:hAnsi="Arial"/>
                <w:sz w:val="20"/>
                <w:szCs w:val="20"/>
                <w:color w:val="auto"/>
                <w:w w:val="89"/>
              </w:rPr>
              <w:t>&lt; 2.00:1.00</w:t>
            </w:r>
          </w:p>
        </w:tc>
        <w:tc>
          <w:tcPr>
            <w:tcW w:w="780" w:type="dxa"/>
            <w:vAlign w:val="bottom"/>
          </w:tcPr>
          <w:p>
            <w:pPr>
              <w:jc w:val="right"/>
              <w:spacing w:after="0" w:line="209" w:lineRule="exact"/>
              <w:rPr>
                <w:sz w:val="20"/>
                <w:szCs w:val="20"/>
                <w:color w:val="auto"/>
              </w:rPr>
            </w:pPr>
            <w:r>
              <w:rPr>
                <w:rFonts w:ascii="Arial" w:cs="Arial" w:eastAsia="Arial" w:hAnsi="Arial"/>
                <w:sz w:val="20"/>
                <w:szCs w:val="20"/>
                <w:color w:val="FF0000"/>
                <w:strike w:val="1"/>
              </w:rPr>
              <w:t>1.50</w:t>
            </w:r>
          </w:p>
        </w:tc>
        <w:tc>
          <w:tcPr>
            <w:tcW w:w="960" w:type="dxa"/>
            <w:vAlign w:val="bottom"/>
            <w:gridSpan w:val="2"/>
          </w:tcPr>
          <w:p>
            <w:pPr>
              <w:jc w:val="right"/>
              <w:ind w:right="360"/>
              <w:spacing w:after="0" w:line="209" w:lineRule="exact"/>
              <w:rPr>
                <w:sz w:val="20"/>
                <w:szCs w:val="20"/>
                <w:color w:val="auto"/>
              </w:rPr>
            </w:pPr>
            <w:r>
              <w:rPr>
                <w:rFonts w:ascii="Arial" w:cs="Arial" w:eastAsia="Arial" w:hAnsi="Arial"/>
                <w:sz w:val="20"/>
                <w:szCs w:val="20"/>
                <w:color w:val="0000FF"/>
                <w:w w:val="85"/>
              </w:rPr>
              <w:t>1.375</w:t>
            </w:r>
            <w:r>
              <w:rPr>
                <w:rFonts w:ascii="Arial" w:cs="Arial" w:eastAsia="Arial" w:hAnsi="Arial"/>
                <w:sz w:val="20"/>
                <w:szCs w:val="20"/>
                <w:color w:val="000000"/>
                <w:w w:val="85"/>
              </w:rPr>
              <w:t>%</w:t>
            </w:r>
          </w:p>
        </w:tc>
        <w:tc>
          <w:tcPr>
            <w:tcW w:w="620" w:type="dxa"/>
            <w:vAlign w:val="bottom"/>
          </w:tcPr>
          <w:p>
            <w:pPr>
              <w:jc w:val="right"/>
              <w:spacing w:after="0" w:line="209" w:lineRule="exact"/>
              <w:rPr>
                <w:sz w:val="20"/>
                <w:szCs w:val="20"/>
                <w:color w:val="auto"/>
              </w:rPr>
            </w:pPr>
            <w:r>
              <w:rPr>
                <w:rFonts w:ascii="Arial" w:cs="Arial" w:eastAsia="Arial" w:hAnsi="Arial"/>
                <w:sz w:val="20"/>
                <w:szCs w:val="20"/>
                <w:color w:val="FF0000"/>
                <w:strike w:val="1"/>
              </w:rPr>
              <w:t>0.50</w:t>
            </w:r>
          </w:p>
        </w:tc>
        <w:tc>
          <w:tcPr>
            <w:tcW w:w="2700" w:type="dxa"/>
            <w:vAlign w:val="bottom"/>
            <w:gridSpan w:val="2"/>
          </w:tcPr>
          <w:p>
            <w:pPr>
              <w:jc w:val="right"/>
              <w:ind w:right="2080"/>
              <w:spacing w:after="0" w:line="209" w:lineRule="exact"/>
              <w:rPr>
                <w:sz w:val="20"/>
                <w:szCs w:val="20"/>
                <w:color w:val="auto"/>
              </w:rPr>
            </w:pPr>
            <w:r>
              <w:rPr>
                <w:rFonts w:ascii="Arial" w:cs="Arial" w:eastAsia="Arial" w:hAnsi="Arial"/>
                <w:sz w:val="20"/>
                <w:szCs w:val="20"/>
                <w:color w:val="0000FF"/>
                <w:w w:val="88"/>
              </w:rPr>
              <w:t>0.375</w:t>
            </w:r>
            <w:r>
              <w:rPr>
                <w:rFonts w:ascii="Arial" w:cs="Arial" w:eastAsia="Arial" w:hAnsi="Arial"/>
                <w:sz w:val="20"/>
                <w:szCs w:val="20"/>
                <w:color w:val="000000"/>
                <w:w w:val="88"/>
              </w:rPr>
              <w:t>%</w:t>
            </w:r>
          </w:p>
        </w:tc>
      </w:tr>
      <w:tr>
        <w:trPr>
          <w:trHeight w:val="20"/>
        </w:trPr>
        <w:tc>
          <w:tcPr>
            <w:tcW w:w="3220" w:type="dxa"/>
            <w:vAlign w:val="bottom"/>
          </w:tcPr>
          <w:p>
            <w:pPr>
              <w:spacing w:after="0" w:line="20" w:lineRule="exact"/>
              <w:rPr>
                <w:sz w:val="1"/>
                <w:szCs w:val="1"/>
                <w:color w:val="auto"/>
              </w:rPr>
            </w:pPr>
          </w:p>
        </w:tc>
        <w:tc>
          <w:tcPr>
            <w:tcW w:w="31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r>
      <w:tr>
        <w:trPr>
          <w:trHeight w:val="264"/>
        </w:trPr>
        <w:tc>
          <w:tcPr>
            <w:tcW w:w="3220" w:type="dxa"/>
            <w:vAlign w:val="bottom"/>
          </w:tcPr>
          <w:p>
            <w:pPr>
              <w:jc w:val="center"/>
              <w:ind w:left="1621"/>
              <w:spacing w:after="0"/>
              <w:rPr>
                <w:sz w:val="20"/>
                <w:szCs w:val="20"/>
                <w:color w:val="auto"/>
              </w:rPr>
            </w:pPr>
            <w:r>
              <w:rPr>
                <w:rFonts w:ascii="Arial" w:cs="Arial" w:eastAsia="Arial" w:hAnsi="Arial"/>
                <w:sz w:val="20"/>
                <w:szCs w:val="20"/>
                <w:color w:val="auto"/>
              </w:rPr>
              <w:t>II</w:t>
            </w:r>
          </w:p>
        </w:tc>
        <w:tc>
          <w:tcPr>
            <w:tcW w:w="3140" w:type="dxa"/>
            <w:vAlign w:val="bottom"/>
          </w:tcPr>
          <w:p>
            <w:pPr>
              <w:jc w:val="center"/>
              <w:spacing w:after="0"/>
              <w:rPr>
                <w:sz w:val="20"/>
                <w:szCs w:val="20"/>
                <w:color w:val="auto"/>
              </w:rPr>
            </w:pPr>
            <w:r>
              <w:rPr>
                <w:rFonts w:ascii="Arial" w:cs="Arial" w:eastAsia="Arial" w:hAnsi="Arial"/>
                <w:sz w:val="20"/>
                <w:szCs w:val="20"/>
                <w:color w:val="auto"/>
                <w:w w:val="91"/>
              </w:rPr>
              <w:t>≥ 2.00:1.00 but &lt; 2.50:1.00</w:t>
            </w:r>
          </w:p>
        </w:tc>
        <w:tc>
          <w:tcPr>
            <w:tcW w:w="780" w:type="dxa"/>
            <w:vAlign w:val="bottom"/>
          </w:tcPr>
          <w:p>
            <w:pPr>
              <w:jc w:val="right"/>
              <w:spacing w:after="0"/>
              <w:rPr>
                <w:sz w:val="20"/>
                <w:szCs w:val="20"/>
                <w:color w:val="auto"/>
              </w:rPr>
            </w:pPr>
            <w:r>
              <w:rPr>
                <w:rFonts w:ascii="Arial" w:cs="Arial" w:eastAsia="Arial" w:hAnsi="Arial"/>
                <w:sz w:val="20"/>
                <w:szCs w:val="20"/>
                <w:color w:val="FF0000"/>
                <w:strike w:val="1"/>
              </w:rPr>
              <w:t>1.75</w:t>
            </w:r>
          </w:p>
        </w:tc>
        <w:tc>
          <w:tcPr>
            <w:tcW w:w="960" w:type="dxa"/>
            <w:vAlign w:val="bottom"/>
            <w:gridSpan w:val="2"/>
          </w:tcPr>
          <w:p>
            <w:pPr>
              <w:jc w:val="right"/>
              <w:ind w:right="360"/>
              <w:spacing w:after="0"/>
              <w:rPr>
                <w:sz w:val="20"/>
                <w:szCs w:val="20"/>
                <w:color w:val="auto"/>
              </w:rPr>
            </w:pPr>
            <w:r>
              <w:rPr>
                <w:rFonts w:ascii="Arial" w:cs="Arial" w:eastAsia="Arial" w:hAnsi="Arial"/>
                <w:sz w:val="20"/>
                <w:szCs w:val="20"/>
                <w:color w:val="0000FF"/>
                <w:w w:val="85"/>
              </w:rPr>
              <w:t>1.625</w:t>
            </w:r>
            <w:r>
              <w:rPr>
                <w:rFonts w:ascii="Arial" w:cs="Arial" w:eastAsia="Arial" w:hAnsi="Arial"/>
                <w:sz w:val="20"/>
                <w:szCs w:val="20"/>
                <w:color w:val="000000"/>
                <w:w w:val="85"/>
              </w:rPr>
              <w:t>%</w:t>
            </w:r>
          </w:p>
        </w:tc>
        <w:tc>
          <w:tcPr>
            <w:tcW w:w="620" w:type="dxa"/>
            <w:vAlign w:val="bottom"/>
          </w:tcPr>
          <w:p>
            <w:pPr>
              <w:jc w:val="right"/>
              <w:spacing w:after="0"/>
              <w:rPr>
                <w:sz w:val="20"/>
                <w:szCs w:val="20"/>
                <w:color w:val="auto"/>
              </w:rPr>
            </w:pPr>
            <w:r>
              <w:rPr>
                <w:rFonts w:ascii="Arial" w:cs="Arial" w:eastAsia="Arial" w:hAnsi="Arial"/>
                <w:sz w:val="20"/>
                <w:szCs w:val="20"/>
                <w:color w:val="FF0000"/>
                <w:strike w:val="1"/>
              </w:rPr>
              <w:t>0.75</w:t>
            </w:r>
          </w:p>
        </w:tc>
        <w:tc>
          <w:tcPr>
            <w:tcW w:w="2700" w:type="dxa"/>
            <w:vAlign w:val="bottom"/>
            <w:gridSpan w:val="2"/>
          </w:tcPr>
          <w:p>
            <w:pPr>
              <w:jc w:val="right"/>
              <w:ind w:right="2080"/>
              <w:spacing w:after="0"/>
              <w:rPr>
                <w:sz w:val="20"/>
                <w:szCs w:val="20"/>
                <w:color w:val="auto"/>
              </w:rPr>
            </w:pPr>
            <w:r>
              <w:rPr>
                <w:rFonts w:ascii="Arial" w:cs="Arial" w:eastAsia="Arial" w:hAnsi="Arial"/>
                <w:sz w:val="20"/>
                <w:szCs w:val="20"/>
                <w:color w:val="0000FF"/>
                <w:w w:val="88"/>
              </w:rPr>
              <w:t>0.625</w:t>
            </w:r>
            <w:r>
              <w:rPr>
                <w:rFonts w:ascii="Arial" w:cs="Arial" w:eastAsia="Arial" w:hAnsi="Arial"/>
                <w:sz w:val="20"/>
                <w:szCs w:val="20"/>
                <w:color w:val="000000"/>
                <w:w w:val="88"/>
              </w:rPr>
              <w:t>%</w:t>
            </w:r>
          </w:p>
        </w:tc>
      </w:tr>
      <w:tr>
        <w:trPr>
          <w:trHeight w:val="20"/>
        </w:trPr>
        <w:tc>
          <w:tcPr>
            <w:tcW w:w="3220" w:type="dxa"/>
            <w:vAlign w:val="bottom"/>
          </w:tcPr>
          <w:p>
            <w:pPr>
              <w:spacing w:after="0" w:line="20" w:lineRule="exact"/>
              <w:rPr>
                <w:sz w:val="1"/>
                <w:szCs w:val="1"/>
                <w:color w:val="auto"/>
              </w:rPr>
            </w:pPr>
          </w:p>
        </w:tc>
        <w:tc>
          <w:tcPr>
            <w:tcW w:w="31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r>
      <w:tr>
        <w:trPr>
          <w:trHeight w:val="264"/>
        </w:trPr>
        <w:tc>
          <w:tcPr>
            <w:tcW w:w="3220" w:type="dxa"/>
            <w:vAlign w:val="bottom"/>
          </w:tcPr>
          <w:p>
            <w:pPr>
              <w:jc w:val="center"/>
              <w:ind w:left="1601"/>
              <w:spacing w:after="0"/>
              <w:rPr>
                <w:sz w:val="20"/>
                <w:szCs w:val="20"/>
                <w:color w:val="auto"/>
              </w:rPr>
            </w:pPr>
            <w:r>
              <w:rPr>
                <w:rFonts w:ascii="Arial" w:cs="Arial" w:eastAsia="Arial" w:hAnsi="Arial"/>
                <w:sz w:val="20"/>
                <w:szCs w:val="20"/>
                <w:color w:val="auto"/>
              </w:rPr>
              <w:t>III</w:t>
            </w:r>
          </w:p>
        </w:tc>
        <w:tc>
          <w:tcPr>
            <w:tcW w:w="3140" w:type="dxa"/>
            <w:vAlign w:val="bottom"/>
          </w:tcPr>
          <w:p>
            <w:pPr>
              <w:jc w:val="center"/>
              <w:spacing w:after="0"/>
              <w:rPr>
                <w:sz w:val="20"/>
                <w:szCs w:val="20"/>
                <w:color w:val="auto"/>
              </w:rPr>
            </w:pPr>
            <w:r>
              <w:rPr>
                <w:rFonts w:ascii="Arial" w:cs="Arial" w:eastAsia="Arial" w:hAnsi="Arial"/>
                <w:sz w:val="20"/>
                <w:szCs w:val="20"/>
                <w:color w:val="auto"/>
                <w:w w:val="91"/>
              </w:rPr>
              <w:t>≥ 2.50:1.00 but &lt; 3.00:1.00</w:t>
            </w:r>
          </w:p>
        </w:tc>
        <w:tc>
          <w:tcPr>
            <w:tcW w:w="780" w:type="dxa"/>
            <w:vAlign w:val="bottom"/>
          </w:tcPr>
          <w:p>
            <w:pPr>
              <w:jc w:val="right"/>
              <w:spacing w:after="0"/>
              <w:rPr>
                <w:sz w:val="20"/>
                <w:szCs w:val="20"/>
                <w:color w:val="auto"/>
              </w:rPr>
            </w:pPr>
            <w:r>
              <w:rPr>
                <w:rFonts w:ascii="Arial" w:cs="Arial" w:eastAsia="Arial" w:hAnsi="Arial"/>
                <w:sz w:val="20"/>
                <w:szCs w:val="20"/>
                <w:color w:val="FF0000"/>
                <w:strike w:val="1"/>
              </w:rPr>
              <w:t>2.00</w:t>
            </w:r>
          </w:p>
        </w:tc>
        <w:tc>
          <w:tcPr>
            <w:tcW w:w="960" w:type="dxa"/>
            <w:vAlign w:val="bottom"/>
            <w:gridSpan w:val="2"/>
          </w:tcPr>
          <w:p>
            <w:pPr>
              <w:jc w:val="right"/>
              <w:ind w:right="360"/>
              <w:spacing w:after="0"/>
              <w:rPr>
                <w:sz w:val="20"/>
                <w:szCs w:val="20"/>
                <w:color w:val="auto"/>
              </w:rPr>
            </w:pPr>
            <w:r>
              <w:rPr>
                <w:rFonts w:ascii="Arial" w:cs="Arial" w:eastAsia="Arial" w:hAnsi="Arial"/>
                <w:sz w:val="20"/>
                <w:szCs w:val="20"/>
                <w:color w:val="0000FF"/>
                <w:w w:val="85"/>
              </w:rPr>
              <w:t>1.875</w:t>
            </w:r>
            <w:r>
              <w:rPr>
                <w:rFonts w:ascii="Arial" w:cs="Arial" w:eastAsia="Arial" w:hAnsi="Arial"/>
                <w:sz w:val="20"/>
                <w:szCs w:val="20"/>
                <w:color w:val="000000"/>
                <w:w w:val="85"/>
              </w:rPr>
              <w:t>%</w:t>
            </w:r>
          </w:p>
        </w:tc>
        <w:tc>
          <w:tcPr>
            <w:tcW w:w="620" w:type="dxa"/>
            <w:vAlign w:val="bottom"/>
          </w:tcPr>
          <w:p>
            <w:pPr>
              <w:jc w:val="right"/>
              <w:spacing w:after="0"/>
              <w:rPr>
                <w:sz w:val="20"/>
                <w:szCs w:val="20"/>
                <w:color w:val="auto"/>
              </w:rPr>
            </w:pPr>
            <w:r>
              <w:rPr>
                <w:rFonts w:ascii="Arial" w:cs="Arial" w:eastAsia="Arial" w:hAnsi="Arial"/>
                <w:sz w:val="20"/>
                <w:szCs w:val="20"/>
                <w:color w:val="FF0000"/>
                <w:strike w:val="1"/>
              </w:rPr>
              <w:t>1.00</w:t>
            </w:r>
          </w:p>
        </w:tc>
        <w:tc>
          <w:tcPr>
            <w:tcW w:w="2700" w:type="dxa"/>
            <w:vAlign w:val="bottom"/>
            <w:gridSpan w:val="2"/>
          </w:tcPr>
          <w:p>
            <w:pPr>
              <w:jc w:val="right"/>
              <w:ind w:right="2080"/>
              <w:spacing w:after="0"/>
              <w:rPr>
                <w:sz w:val="20"/>
                <w:szCs w:val="20"/>
                <w:color w:val="auto"/>
              </w:rPr>
            </w:pPr>
            <w:r>
              <w:rPr>
                <w:rFonts w:ascii="Arial" w:cs="Arial" w:eastAsia="Arial" w:hAnsi="Arial"/>
                <w:sz w:val="20"/>
                <w:szCs w:val="20"/>
                <w:color w:val="0000FF"/>
                <w:w w:val="88"/>
              </w:rPr>
              <w:t>0.875</w:t>
            </w:r>
            <w:r>
              <w:rPr>
                <w:rFonts w:ascii="Arial" w:cs="Arial" w:eastAsia="Arial" w:hAnsi="Arial"/>
                <w:sz w:val="20"/>
                <w:szCs w:val="20"/>
                <w:color w:val="000000"/>
                <w:w w:val="88"/>
              </w:rPr>
              <w:t>%</w:t>
            </w:r>
          </w:p>
        </w:tc>
      </w:tr>
      <w:tr>
        <w:trPr>
          <w:trHeight w:val="20"/>
        </w:trPr>
        <w:tc>
          <w:tcPr>
            <w:tcW w:w="3220" w:type="dxa"/>
            <w:vAlign w:val="bottom"/>
          </w:tcPr>
          <w:p>
            <w:pPr>
              <w:spacing w:after="0" w:line="20" w:lineRule="exact"/>
              <w:rPr>
                <w:sz w:val="1"/>
                <w:szCs w:val="1"/>
                <w:color w:val="auto"/>
              </w:rPr>
            </w:pPr>
          </w:p>
        </w:tc>
        <w:tc>
          <w:tcPr>
            <w:tcW w:w="31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r>
      <w:tr>
        <w:trPr>
          <w:trHeight w:val="264"/>
        </w:trPr>
        <w:tc>
          <w:tcPr>
            <w:tcW w:w="3220" w:type="dxa"/>
            <w:vAlign w:val="bottom"/>
          </w:tcPr>
          <w:p>
            <w:pPr>
              <w:jc w:val="center"/>
              <w:ind w:left="1621"/>
              <w:spacing w:after="0"/>
              <w:rPr>
                <w:sz w:val="20"/>
                <w:szCs w:val="20"/>
                <w:color w:val="auto"/>
              </w:rPr>
            </w:pPr>
            <w:r>
              <w:rPr>
                <w:rFonts w:ascii="Arial" w:cs="Arial" w:eastAsia="Arial" w:hAnsi="Arial"/>
                <w:sz w:val="20"/>
                <w:szCs w:val="20"/>
                <w:color w:val="auto"/>
              </w:rPr>
              <w:t>IV</w:t>
            </w:r>
          </w:p>
        </w:tc>
        <w:tc>
          <w:tcPr>
            <w:tcW w:w="3140" w:type="dxa"/>
            <w:vAlign w:val="bottom"/>
          </w:tcPr>
          <w:p>
            <w:pPr>
              <w:jc w:val="center"/>
              <w:spacing w:after="0"/>
              <w:rPr>
                <w:sz w:val="20"/>
                <w:szCs w:val="20"/>
                <w:color w:val="auto"/>
              </w:rPr>
            </w:pPr>
            <w:r>
              <w:rPr>
                <w:rFonts w:ascii="Arial" w:cs="Arial" w:eastAsia="Arial" w:hAnsi="Arial"/>
                <w:sz w:val="20"/>
                <w:szCs w:val="20"/>
                <w:color w:val="auto"/>
                <w:w w:val="91"/>
              </w:rPr>
              <w:t>≥ 3.00:1.00 but &lt; 3.50:1.00</w:t>
            </w:r>
          </w:p>
        </w:tc>
        <w:tc>
          <w:tcPr>
            <w:tcW w:w="780" w:type="dxa"/>
            <w:vAlign w:val="bottom"/>
          </w:tcPr>
          <w:p>
            <w:pPr>
              <w:jc w:val="right"/>
              <w:spacing w:after="0"/>
              <w:rPr>
                <w:sz w:val="20"/>
                <w:szCs w:val="20"/>
                <w:color w:val="auto"/>
              </w:rPr>
            </w:pPr>
            <w:r>
              <w:rPr>
                <w:rFonts w:ascii="Arial" w:cs="Arial" w:eastAsia="Arial" w:hAnsi="Arial"/>
                <w:sz w:val="20"/>
                <w:szCs w:val="20"/>
                <w:color w:val="FF0000"/>
                <w:strike w:val="1"/>
              </w:rPr>
              <w:t>2.25</w:t>
            </w:r>
          </w:p>
        </w:tc>
        <w:tc>
          <w:tcPr>
            <w:tcW w:w="960" w:type="dxa"/>
            <w:vAlign w:val="bottom"/>
            <w:gridSpan w:val="2"/>
          </w:tcPr>
          <w:p>
            <w:pPr>
              <w:jc w:val="right"/>
              <w:ind w:right="360"/>
              <w:spacing w:after="0"/>
              <w:rPr>
                <w:sz w:val="20"/>
                <w:szCs w:val="20"/>
                <w:color w:val="auto"/>
              </w:rPr>
            </w:pPr>
            <w:r>
              <w:rPr>
                <w:rFonts w:ascii="Arial" w:cs="Arial" w:eastAsia="Arial" w:hAnsi="Arial"/>
                <w:sz w:val="20"/>
                <w:szCs w:val="20"/>
                <w:color w:val="0000FF"/>
                <w:w w:val="85"/>
              </w:rPr>
              <w:t>2.125</w:t>
            </w:r>
            <w:r>
              <w:rPr>
                <w:rFonts w:ascii="Arial" w:cs="Arial" w:eastAsia="Arial" w:hAnsi="Arial"/>
                <w:sz w:val="20"/>
                <w:szCs w:val="20"/>
                <w:color w:val="000000"/>
                <w:w w:val="85"/>
              </w:rPr>
              <w:t>%</w:t>
            </w:r>
          </w:p>
        </w:tc>
        <w:tc>
          <w:tcPr>
            <w:tcW w:w="620" w:type="dxa"/>
            <w:vAlign w:val="bottom"/>
          </w:tcPr>
          <w:p>
            <w:pPr>
              <w:jc w:val="right"/>
              <w:spacing w:after="0"/>
              <w:rPr>
                <w:sz w:val="20"/>
                <w:szCs w:val="20"/>
                <w:color w:val="auto"/>
              </w:rPr>
            </w:pPr>
            <w:r>
              <w:rPr>
                <w:rFonts w:ascii="Arial" w:cs="Arial" w:eastAsia="Arial" w:hAnsi="Arial"/>
                <w:sz w:val="20"/>
                <w:szCs w:val="20"/>
                <w:color w:val="FF0000"/>
                <w:strike w:val="1"/>
              </w:rPr>
              <w:t>1.25</w:t>
            </w:r>
          </w:p>
        </w:tc>
        <w:tc>
          <w:tcPr>
            <w:tcW w:w="2700" w:type="dxa"/>
            <w:vAlign w:val="bottom"/>
            <w:gridSpan w:val="2"/>
          </w:tcPr>
          <w:p>
            <w:pPr>
              <w:jc w:val="right"/>
              <w:ind w:right="2080"/>
              <w:spacing w:after="0"/>
              <w:rPr>
                <w:sz w:val="20"/>
                <w:szCs w:val="20"/>
                <w:color w:val="auto"/>
              </w:rPr>
            </w:pPr>
            <w:r>
              <w:rPr>
                <w:rFonts w:ascii="Arial" w:cs="Arial" w:eastAsia="Arial" w:hAnsi="Arial"/>
                <w:sz w:val="20"/>
                <w:szCs w:val="20"/>
                <w:color w:val="0000FF"/>
                <w:w w:val="88"/>
              </w:rPr>
              <w:t>1.125</w:t>
            </w:r>
            <w:r>
              <w:rPr>
                <w:rFonts w:ascii="Arial" w:cs="Arial" w:eastAsia="Arial" w:hAnsi="Arial"/>
                <w:sz w:val="20"/>
                <w:szCs w:val="20"/>
                <w:color w:val="000000"/>
                <w:w w:val="88"/>
              </w:rPr>
              <w:t>%</w:t>
            </w:r>
          </w:p>
        </w:tc>
      </w:tr>
      <w:tr>
        <w:trPr>
          <w:trHeight w:val="20"/>
        </w:trPr>
        <w:tc>
          <w:tcPr>
            <w:tcW w:w="3220" w:type="dxa"/>
            <w:vAlign w:val="bottom"/>
          </w:tcPr>
          <w:p>
            <w:pPr>
              <w:spacing w:after="0" w:line="20" w:lineRule="exact"/>
              <w:rPr>
                <w:sz w:val="1"/>
                <w:szCs w:val="1"/>
                <w:color w:val="auto"/>
              </w:rPr>
            </w:pPr>
          </w:p>
        </w:tc>
        <w:tc>
          <w:tcPr>
            <w:tcW w:w="31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r>
      <w:tr>
        <w:trPr>
          <w:trHeight w:val="264"/>
        </w:trPr>
        <w:tc>
          <w:tcPr>
            <w:tcW w:w="3220" w:type="dxa"/>
            <w:vAlign w:val="bottom"/>
          </w:tcPr>
          <w:p>
            <w:pPr>
              <w:jc w:val="center"/>
              <w:ind w:left="1621"/>
              <w:spacing w:after="0"/>
              <w:rPr>
                <w:sz w:val="20"/>
                <w:szCs w:val="20"/>
                <w:color w:val="auto"/>
              </w:rPr>
            </w:pPr>
            <w:r>
              <w:rPr>
                <w:rFonts w:ascii="Arial" w:cs="Arial" w:eastAsia="Arial" w:hAnsi="Arial"/>
                <w:sz w:val="20"/>
                <w:szCs w:val="20"/>
                <w:color w:val="auto"/>
              </w:rPr>
              <w:t>V</w:t>
            </w:r>
          </w:p>
        </w:tc>
        <w:tc>
          <w:tcPr>
            <w:tcW w:w="3140" w:type="dxa"/>
            <w:vAlign w:val="bottom"/>
          </w:tcPr>
          <w:p>
            <w:pPr>
              <w:jc w:val="center"/>
              <w:spacing w:after="0"/>
              <w:rPr>
                <w:sz w:val="20"/>
                <w:szCs w:val="20"/>
                <w:color w:val="auto"/>
              </w:rPr>
            </w:pPr>
            <w:r>
              <w:rPr>
                <w:rFonts w:ascii="Arial" w:cs="Arial" w:eastAsia="Arial" w:hAnsi="Arial"/>
                <w:sz w:val="20"/>
                <w:szCs w:val="20"/>
                <w:color w:val="auto"/>
                <w:w w:val="90"/>
              </w:rPr>
              <w:t>≥ 3.50:1.00</w:t>
            </w:r>
          </w:p>
        </w:tc>
        <w:tc>
          <w:tcPr>
            <w:tcW w:w="780" w:type="dxa"/>
            <w:vAlign w:val="bottom"/>
          </w:tcPr>
          <w:p>
            <w:pPr>
              <w:jc w:val="right"/>
              <w:spacing w:after="0"/>
              <w:rPr>
                <w:sz w:val="20"/>
                <w:szCs w:val="20"/>
                <w:color w:val="auto"/>
              </w:rPr>
            </w:pPr>
            <w:r>
              <w:rPr>
                <w:rFonts w:ascii="Arial" w:cs="Arial" w:eastAsia="Arial" w:hAnsi="Arial"/>
                <w:sz w:val="20"/>
                <w:szCs w:val="20"/>
                <w:color w:val="FF0000"/>
                <w:strike w:val="1"/>
              </w:rPr>
              <w:t>2.50</w:t>
            </w:r>
          </w:p>
        </w:tc>
        <w:tc>
          <w:tcPr>
            <w:tcW w:w="960" w:type="dxa"/>
            <w:vAlign w:val="bottom"/>
            <w:gridSpan w:val="2"/>
          </w:tcPr>
          <w:p>
            <w:pPr>
              <w:jc w:val="right"/>
              <w:ind w:right="360"/>
              <w:spacing w:after="0"/>
              <w:rPr>
                <w:sz w:val="20"/>
                <w:szCs w:val="20"/>
                <w:color w:val="auto"/>
              </w:rPr>
            </w:pPr>
            <w:r>
              <w:rPr>
                <w:rFonts w:ascii="Arial" w:cs="Arial" w:eastAsia="Arial" w:hAnsi="Arial"/>
                <w:sz w:val="20"/>
                <w:szCs w:val="20"/>
                <w:color w:val="0000FF"/>
                <w:w w:val="85"/>
              </w:rPr>
              <w:t>2.375</w:t>
            </w:r>
            <w:r>
              <w:rPr>
                <w:rFonts w:ascii="Arial" w:cs="Arial" w:eastAsia="Arial" w:hAnsi="Arial"/>
                <w:sz w:val="20"/>
                <w:szCs w:val="20"/>
                <w:color w:val="000000"/>
                <w:w w:val="85"/>
              </w:rPr>
              <w:t>%</w:t>
            </w:r>
          </w:p>
        </w:tc>
        <w:tc>
          <w:tcPr>
            <w:tcW w:w="620" w:type="dxa"/>
            <w:vAlign w:val="bottom"/>
          </w:tcPr>
          <w:p>
            <w:pPr>
              <w:jc w:val="right"/>
              <w:spacing w:after="0"/>
              <w:rPr>
                <w:sz w:val="20"/>
                <w:szCs w:val="20"/>
                <w:color w:val="auto"/>
              </w:rPr>
            </w:pPr>
            <w:r>
              <w:rPr>
                <w:rFonts w:ascii="Arial" w:cs="Arial" w:eastAsia="Arial" w:hAnsi="Arial"/>
                <w:sz w:val="20"/>
                <w:szCs w:val="20"/>
                <w:color w:val="FF0000"/>
                <w:strike w:val="1"/>
              </w:rPr>
              <w:t>1.50</w:t>
            </w:r>
          </w:p>
        </w:tc>
        <w:tc>
          <w:tcPr>
            <w:tcW w:w="2700" w:type="dxa"/>
            <w:vAlign w:val="bottom"/>
            <w:gridSpan w:val="2"/>
          </w:tcPr>
          <w:p>
            <w:pPr>
              <w:jc w:val="right"/>
              <w:ind w:right="2080"/>
              <w:spacing w:after="0"/>
              <w:rPr>
                <w:sz w:val="20"/>
                <w:szCs w:val="20"/>
                <w:color w:val="auto"/>
              </w:rPr>
            </w:pPr>
            <w:r>
              <w:rPr>
                <w:rFonts w:ascii="Arial" w:cs="Arial" w:eastAsia="Arial" w:hAnsi="Arial"/>
                <w:sz w:val="20"/>
                <w:szCs w:val="20"/>
                <w:color w:val="0000FF"/>
                <w:w w:val="88"/>
              </w:rPr>
              <w:t>1.375</w:t>
            </w:r>
            <w:r>
              <w:rPr>
                <w:rFonts w:ascii="Arial" w:cs="Arial" w:eastAsia="Arial" w:hAnsi="Arial"/>
                <w:sz w:val="20"/>
                <w:szCs w:val="20"/>
                <w:color w:val="000000"/>
                <w:w w:val="88"/>
              </w:rPr>
              <w:t>%</w:t>
            </w:r>
          </w:p>
        </w:tc>
      </w:tr>
      <w:tr>
        <w:trPr>
          <w:trHeight w:val="48"/>
        </w:trPr>
        <w:tc>
          <w:tcPr>
            <w:tcW w:w="3220" w:type="dxa"/>
            <w:vAlign w:val="bottom"/>
            <w:tcBorders>
              <w:bottom w:val="single" w:sz="8" w:color="auto"/>
            </w:tcBorders>
          </w:tcPr>
          <w:p>
            <w:pPr>
              <w:spacing w:after="0"/>
              <w:rPr>
                <w:sz w:val="4"/>
                <w:szCs w:val="4"/>
                <w:color w:val="auto"/>
              </w:rPr>
            </w:pPr>
          </w:p>
        </w:tc>
        <w:tc>
          <w:tcPr>
            <w:tcW w:w="3140" w:type="dxa"/>
            <w:vAlign w:val="bottom"/>
            <w:tcBorders>
              <w:bottom w:val="single" w:sz="8" w:color="auto"/>
            </w:tcBorders>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440" w:type="dxa"/>
            <w:vAlign w:val="bottom"/>
            <w:tcBorders>
              <w:top w:val="single" w:sz="8" w:color="0000FF"/>
              <w:bottom w:val="single" w:sz="8" w:color="auto"/>
            </w:tcBorders>
          </w:tcPr>
          <w:p>
            <w:pPr>
              <w:spacing w:after="0"/>
              <w:rPr>
                <w:sz w:val="4"/>
                <w:szCs w:val="4"/>
                <w:color w:val="auto"/>
              </w:rPr>
            </w:pPr>
          </w:p>
        </w:tc>
        <w:tc>
          <w:tcPr>
            <w:tcW w:w="520" w:type="dxa"/>
            <w:vAlign w:val="bottom"/>
            <w:tcBorders>
              <w:bottom w:val="single" w:sz="8" w:color="auto"/>
            </w:tcBorders>
          </w:tcPr>
          <w:p>
            <w:pPr>
              <w:spacing w:after="0"/>
              <w:rPr>
                <w:sz w:val="4"/>
                <w:szCs w:val="4"/>
                <w:color w:val="auto"/>
              </w:rPr>
            </w:pPr>
          </w:p>
        </w:tc>
        <w:tc>
          <w:tcPr>
            <w:tcW w:w="620" w:type="dxa"/>
            <w:vAlign w:val="bottom"/>
            <w:tcBorders>
              <w:bottom w:val="single" w:sz="8" w:color="auto"/>
            </w:tcBorders>
          </w:tcPr>
          <w:p>
            <w:pPr>
              <w:spacing w:after="0"/>
              <w:rPr>
                <w:sz w:val="4"/>
                <w:szCs w:val="4"/>
                <w:color w:val="auto"/>
              </w:rPr>
            </w:pPr>
          </w:p>
        </w:tc>
        <w:tc>
          <w:tcPr>
            <w:tcW w:w="460" w:type="dxa"/>
            <w:vAlign w:val="bottom"/>
            <w:tcBorders>
              <w:top w:val="single" w:sz="8" w:color="0000FF"/>
              <w:bottom w:val="single" w:sz="8" w:color="auto"/>
            </w:tcBorders>
          </w:tcPr>
          <w:p>
            <w:pPr>
              <w:spacing w:after="0"/>
              <w:rPr>
                <w:sz w:val="4"/>
                <w:szCs w:val="4"/>
                <w:color w:val="auto"/>
              </w:rPr>
            </w:pPr>
          </w:p>
        </w:tc>
        <w:tc>
          <w:tcPr>
            <w:tcW w:w="2240" w:type="dxa"/>
            <w:vAlign w:val="bottom"/>
            <w:tcBorders>
              <w:bottom w:val="single" w:sz="8" w:color="auto"/>
            </w:tcBorders>
          </w:tcPr>
          <w:p>
            <w:pPr>
              <w:spacing w:after="0"/>
              <w:rPr>
                <w:sz w:val="4"/>
                <w:szCs w:val="4"/>
                <w:color w:val="auto"/>
              </w:rPr>
            </w:pPr>
          </w:p>
        </w:tc>
      </w:tr>
      <w:tr>
        <w:trPr>
          <w:trHeight w:val="689"/>
        </w:trPr>
        <w:tc>
          <w:tcPr>
            <w:tcW w:w="3220" w:type="dxa"/>
            <w:vAlign w:val="bottom"/>
          </w:tcPr>
          <w:p>
            <w:pPr>
              <w:spacing w:after="0"/>
              <w:rPr>
                <w:sz w:val="24"/>
                <w:szCs w:val="24"/>
                <w:color w:val="auto"/>
              </w:rPr>
            </w:pPr>
          </w:p>
        </w:tc>
        <w:tc>
          <w:tcPr>
            <w:tcW w:w="3140" w:type="dxa"/>
            <w:vAlign w:val="bottom"/>
          </w:tcPr>
          <w:p>
            <w:pPr>
              <w:jc w:val="right"/>
              <w:ind w:right="441"/>
              <w:spacing w:after="0"/>
              <w:rPr>
                <w:sz w:val="20"/>
                <w:szCs w:val="20"/>
                <w:color w:val="auto"/>
              </w:rPr>
            </w:pPr>
            <w:r>
              <w:rPr>
                <w:rFonts w:ascii="Arial" w:cs="Arial" w:eastAsia="Arial" w:hAnsi="Arial"/>
                <w:sz w:val="20"/>
                <w:szCs w:val="20"/>
                <w:color w:val="auto"/>
              </w:rPr>
              <w:t>13</w:t>
            </w:r>
          </w:p>
        </w:tc>
        <w:tc>
          <w:tcPr>
            <w:tcW w:w="7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240" w:type="dxa"/>
            <w:vAlign w:val="bottom"/>
          </w:tcPr>
          <w:p>
            <w:pPr>
              <w:spacing w:after="0"/>
              <w:rPr>
                <w:sz w:val="24"/>
                <w:szCs w:val="24"/>
                <w:color w:val="auto"/>
              </w:rPr>
            </w:pPr>
          </w:p>
        </w:tc>
      </w:tr>
    </w:tbl>
    <w:p>
      <w:pPr>
        <w:spacing w:after="0"/>
        <w:rPr>
          <w:sz w:val="20"/>
          <w:szCs w:val="20"/>
          <w:color w:val="auto"/>
        </w:rPr>
      </w:pPr>
      <w:r>
        <w:rPr>
          <w:rFonts w:ascii="Arial" w:cs="Arial" w:eastAsia="Arial" w:hAnsi="Arial"/>
          <w:sz w:val="14"/>
          <w:szCs w:val="14"/>
          <w:color w:val="auto"/>
        </w:rPr>
        <w:t>CHAR1\1346423v</w:t>
      </w:r>
      <w:r>
        <w:rPr>
          <w:rFonts w:ascii="Arial" w:cs="Arial" w:eastAsia="Arial" w:hAnsi="Arial"/>
          <w:sz w:val="14"/>
          <w:szCs w:val="14"/>
          <w:color w:val="FF0000"/>
          <w:strike w:val="1"/>
        </w:rPr>
        <w:t>1</w:t>
      </w:r>
      <w:r>
        <w:rPr>
          <w:rFonts w:ascii="Arial" w:cs="Arial" w:eastAsia="Arial" w:hAnsi="Arial"/>
          <w:sz w:val="14"/>
          <w:szCs w:val="14"/>
          <w:u w:val="single" w:color="auto"/>
          <w:color w:val="0000FF"/>
        </w:rPr>
        <w:t>12</w:t>
      </w:r>
    </w:p>
    <w:p>
      <w:pPr>
        <w:sectPr>
          <w:pgSz w:w="11900" w:h="16838" w:orient="portrait"/>
          <w:cols w:equalWidth="0" w:num="1">
            <w:col w:w="11420"/>
          </w:cols>
          <w:pgMar w:left="240" w:top="757" w:right="239" w:bottom="1440" w:gutter="0" w:footer="0" w:header="0"/>
        </w:sectPr>
      </w:pPr>
    </w:p>
    <w:bookmarkStart w:id="65" w:name="page66"/>
    <w:bookmarkEnd w:id="65"/>
    <w:p>
      <w:pPr>
        <w:ind w:left="1300" w:right="300" w:firstLine="653"/>
        <w:spacing w:after="0" w:line="312" w:lineRule="auto"/>
        <w:tabs>
          <w:tab w:leader="none" w:pos="2380" w:val="left"/>
        </w:tabs>
        <w:numPr>
          <w:ilvl w:val="0"/>
          <w:numId w:val="26"/>
        </w:numPr>
        <w:rPr>
          <w:rFonts w:ascii="Arial" w:cs="Arial" w:eastAsia="Arial" w:hAnsi="Arial"/>
          <w:sz w:val="22"/>
          <w:szCs w:val="22"/>
          <w:color w:val="auto"/>
        </w:rPr>
      </w:pPr>
      <w:r>
        <w:rPr>
          <w:rFonts w:ascii="Arial" w:cs="Arial" w:eastAsia="Arial" w:hAnsi="Arial"/>
          <w:sz w:val="20"/>
          <w:szCs w:val="20"/>
          <w:u w:val="single" w:color="auto"/>
          <w:color w:val="auto"/>
        </w:rPr>
        <w:t>Incremental Credit Facilities</w:t>
      </w:r>
      <w:r>
        <w:rPr>
          <w:rFonts w:ascii="Arial" w:cs="Arial" w:eastAsia="Arial" w:hAnsi="Arial"/>
          <w:sz w:val="20"/>
          <w:szCs w:val="20"/>
          <w:color w:val="auto"/>
        </w:rPr>
        <w:t xml:space="preserve">. For Incremental Credit Facilities established after the </w:t>
      </w:r>
      <w:r>
        <w:rPr>
          <w:rFonts w:ascii="Arial" w:cs="Arial" w:eastAsia="Arial" w:hAnsi="Arial"/>
          <w:sz w:val="20"/>
          <w:szCs w:val="20"/>
          <w:color w:val="FF0000"/>
          <w:strike w:val="1"/>
        </w:rPr>
        <w:t>Closing</w:t>
      </w:r>
      <w:r>
        <w:rPr>
          <w:rFonts w:ascii="Arial" w:cs="Arial" w:eastAsia="Arial" w:hAnsi="Arial"/>
          <w:sz w:val="20"/>
          <w:szCs w:val="20"/>
          <w:u w:val="single" w:color="auto"/>
          <w:color w:val="0000FF"/>
        </w:rPr>
        <w:t>Amendment No. 1</w:t>
      </w:r>
      <w:r>
        <w:rPr>
          <w:rFonts w:ascii="Arial" w:cs="Arial" w:eastAsia="Arial" w:hAnsi="Arial"/>
          <w:sz w:val="20"/>
          <w:szCs w:val="20"/>
          <w:color w:val="auto"/>
        </w:rPr>
        <w:t xml:space="preserve"> </w:t>
      </w:r>
      <w:r>
        <w:rPr>
          <w:rFonts w:ascii="Arial" w:cs="Arial" w:eastAsia="Arial" w:hAnsi="Arial"/>
          <w:sz w:val="20"/>
          <w:szCs w:val="20"/>
          <w:u w:val="single" w:color="auto"/>
          <w:color w:val="0000FF"/>
        </w:rPr>
        <w:t>Effective</w:t>
      </w:r>
      <w:r>
        <w:rPr>
          <w:rFonts w:ascii="Arial" w:cs="Arial" w:eastAsia="Arial" w:hAnsi="Arial"/>
          <w:sz w:val="20"/>
          <w:szCs w:val="20"/>
          <w:color w:val="0000FF"/>
        </w:rPr>
        <w:t xml:space="preserve"> </w:t>
      </w:r>
      <w:r>
        <w:rPr>
          <w:rFonts w:ascii="Arial" w:cs="Arial" w:eastAsia="Arial" w:hAnsi="Arial"/>
          <w:sz w:val="20"/>
          <w:szCs w:val="20"/>
          <w:color w:val="000000"/>
        </w:rPr>
        <w:t>Date, the percentages specified in the applicable joinder agreement or other loan documentation whereby the</w:t>
      </w:r>
      <w:r>
        <w:rPr>
          <w:rFonts w:ascii="Arial" w:cs="Arial" w:eastAsia="Arial" w:hAnsi="Arial"/>
          <w:sz w:val="20"/>
          <w:szCs w:val="20"/>
          <w:color w:val="0000FF"/>
        </w:rPr>
        <w:t xml:space="preserve"> </w:t>
      </w:r>
      <w:r>
        <w:rPr>
          <w:rFonts w:ascii="Arial" w:cs="Arial" w:eastAsia="Arial" w:hAnsi="Arial"/>
          <w:sz w:val="20"/>
          <w:szCs w:val="20"/>
          <w:color w:val="000000"/>
        </w:rPr>
        <w:t>Incremental Credit Facilities are established.</w:t>
      </w:r>
    </w:p>
    <w:p>
      <w:pPr>
        <w:spacing w:after="0" w:line="194" w:lineRule="exact"/>
        <w:rPr>
          <w:rFonts w:ascii="Arial" w:cs="Arial" w:eastAsia="Arial" w:hAnsi="Arial"/>
          <w:sz w:val="22"/>
          <w:szCs w:val="22"/>
          <w:color w:val="auto"/>
        </w:rPr>
      </w:pPr>
    </w:p>
    <w:p>
      <w:pPr>
        <w:ind w:left="1300" w:right="20" w:firstLine="653"/>
        <w:spacing w:after="0" w:line="310" w:lineRule="auto"/>
        <w:tabs>
          <w:tab w:leader="none" w:pos="2440" w:val="left"/>
        </w:tabs>
        <w:numPr>
          <w:ilvl w:val="0"/>
          <w:numId w:val="26"/>
        </w:numPr>
        <w:rPr>
          <w:rFonts w:ascii="Arial" w:cs="Arial" w:eastAsia="Arial" w:hAnsi="Arial"/>
          <w:sz w:val="22"/>
          <w:szCs w:val="22"/>
          <w:color w:val="auto"/>
        </w:rPr>
      </w:pPr>
      <w:r>
        <w:rPr>
          <w:rFonts w:ascii="Arial" w:cs="Arial" w:eastAsia="Arial" w:hAnsi="Arial"/>
          <w:sz w:val="20"/>
          <w:szCs w:val="20"/>
          <w:u w:val="single" w:color="auto"/>
          <w:color w:val="auto"/>
        </w:rPr>
        <w:t>Changes in Pricing Levels</w:t>
      </w:r>
      <w:r>
        <w:rPr>
          <w:rFonts w:ascii="Arial" w:cs="Arial" w:eastAsia="Arial" w:hAnsi="Arial"/>
          <w:sz w:val="20"/>
          <w:szCs w:val="20"/>
          <w:color w:val="auto"/>
        </w:rPr>
        <w:t xml:space="preserve">. Any increase or decrease in the Applicable Percentage resulting from a change in the Consolidated Total Leverage Ratio shall become effective not later than the date five Business Days immediately following the date a Compliance Certificate is delivered pursuant to </w:t>
      </w:r>
      <w:r>
        <w:rPr>
          <w:rFonts w:ascii="Arial" w:cs="Arial" w:eastAsia="Arial" w:hAnsi="Arial"/>
          <w:sz w:val="20"/>
          <w:szCs w:val="20"/>
          <w:u w:val="single" w:color="auto"/>
          <w:color w:val="auto"/>
        </w:rPr>
        <w:t>Section 7.02(b</w:t>
      </w:r>
      <w:r>
        <w:rPr>
          <w:rFonts w:ascii="Arial" w:cs="Arial" w:eastAsia="Arial" w:hAnsi="Arial"/>
          <w:sz w:val="20"/>
          <w:szCs w:val="20"/>
          <w:color w:val="auto"/>
        </w:rPr>
        <w:t xml:space="preserve">);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w:t>
      </w:r>
      <w:r>
        <w:rPr>
          <w:rFonts w:ascii="Arial" w:cs="Arial" w:eastAsia="Arial" w:hAnsi="Arial"/>
          <w:sz w:val="20"/>
          <w:szCs w:val="20"/>
          <w:u w:val="single" w:color="auto"/>
          <w:color w:val="auto"/>
        </w:rPr>
        <w:t>however</w:t>
      </w:r>
      <w:r>
        <w:rPr>
          <w:rFonts w:ascii="Arial" w:cs="Arial" w:eastAsia="Arial" w:hAnsi="Arial"/>
          <w:sz w:val="20"/>
          <w:szCs w:val="20"/>
          <w:color w:val="auto"/>
        </w:rPr>
        <w:t xml:space="preserve"> that if a Compliance Certificate is not delivered when due in accordance therewith, then Pricing Level V shall apply as of the first Business Day after the date on which such Compliance Certificate was required to have been delivered until the date not later than five Business Days immediately following delivery thereof. </w:t>
      </w:r>
      <w:r>
        <w:rPr>
          <w:rFonts w:ascii="Arial" w:cs="Arial" w:eastAsia="Arial" w:hAnsi="Arial"/>
          <w:sz w:val="20"/>
          <w:szCs w:val="20"/>
          <w:color w:val="FF0000"/>
          <w:strike w:val="1"/>
        </w:rPr>
        <w:t>The Applicable Percentage in effect from the Closing Date through the date of</w:t>
      </w:r>
      <w:r>
        <w:rPr>
          <w:rFonts w:ascii="Arial" w:cs="Arial" w:eastAsia="Arial" w:hAnsi="Arial"/>
          <w:sz w:val="20"/>
          <w:szCs w:val="20"/>
          <w:color w:val="auto"/>
        </w:rPr>
        <w:t xml:space="preserve"> </w:t>
      </w:r>
      <w:r>
        <w:rPr>
          <w:rFonts w:ascii="Arial" w:cs="Arial" w:eastAsia="Arial" w:hAnsi="Arial"/>
          <w:sz w:val="20"/>
          <w:szCs w:val="20"/>
          <w:color w:val="FF0000"/>
          <w:strike w:val="1"/>
        </w:rPr>
        <w:t xml:space="preserve">delivery of the Compliance Certificate for the fiscal quarter ending December 31, 2011 shall be determined based on Pricing Level III. </w:t>
      </w:r>
      <w:r>
        <w:rPr>
          <w:rFonts w:ascii="Arial" w:cs="Arial" w:eastAsia="Arial" w:hAnsi="Arial"/>
          <w:sz w:val="20"/>
          <w:szCs w:val="20"/>
          <w:color w:val="000000"/>
          <w:strike w:val="1"/>
        </w:rPr>
        <w:t>Determinations by the Administrative Agent of the appropriate Pricing Level shall be conclusive absent manifest</w:t>
      </w:r>
      <w:r>
        <w:rPr>
          <w:rFonts w:ascii="Arial" w:cs="Arial" w:eastAsia="Arial" w:hAnsi="Arial"/>
          <w:sz w:val="20"/>
          <w:szCs w:val="20"/>
          <w:color w:val="FF0000"/>
          <w:strike w:val="1"/>
        </w:rPr>
        <w:t xml:space="preserve"> </w:t>
      </w:r>
      <w:r>
        <w:rPr>
          <w:rFonts w:ascii="Arial" w:cs="Arial" w:eastAsia="Arial" w:hAnsi="Arial"/>
          <w:sz w:val="20"/>
          <w:szCs w:val="20"/>
          <w:color w:val="000000"/>
          <w:strike w:val="1"/>
        </w:rPr>
        <w:t>error.</w:t>
      </w:r>
    </w:p>
    <w:p>
      <w:pPr>
        <w:spacing w:after="0" w:line="187" w:lineRule="exact"/>
        <w:rPr>
          <w:sz w:val="20"/>
          <w:szCs w:val="20"/>
          <w:color w:val="auto"/>
        </w:rPr>
      </w:pPr>
    </w:p>
    <w:p>
      <w:pPr>
        <w:ind w:left="660" w:right="200" w:firstLine="648"/>
        <w:spacing w:after="0" w:line="303" w:lineRule="auto"/>
        <w:rPr>
          <w:sz w:val="20"/>
          <w:szCs w:val="20"/>
          <w:color w:val="auto"/>
        </w:rPr>
      </w:pPr>
      <w:r>
        <w:rPr>
          <w:rFonts w:ascii="Arial" w:cs="Arial" w:eastAsia="Arial" w:hAnsi="Arial"/>
          <w:sz w:val="20"/>
          <w:szCs w:val="20"/>
          <w:color w:val="auto"/>
        </w:rPr>
        <w:t xml:space="preserve">Notwithstanding anything to the contrary contained in this definition, the determination of the Applicable Percentage for any period shall be subject to the provisions of </w:t>
      </w:r>
      <w:r>
        <w:rPr>
          <w:rFonts w:ascii="Arial" w:cs="Arial" w:eastAsia="Arial" w:hAnsi="Arial"/>
          <w:sz w:val="20"/>
          <w:szCs w:val="20"/>
          <w:u w:val="single" w:color="auto"/>
          <w:color w:val="auto"/>
        </w:rPr>
        <w:t>Section 2.10(b)</w:t>
      </w:r>
      <w:r>
        <w:rPr>
          <w:rFonts w:ascii="Arial" w:cs="Arial" w:eastAsia="Arial" w:hAnsi="Arial"/>
          <w:sz w:val="20"/>
          <w:szCs w:val="20"/>
          <w:color w:val="auto"/>
        </w:rPr>
        <w:t>.</w:t>
      </w:r>
    </w:p>
    <w:p>
      <w:pPr>
        <w:spacing w:after="0" w:line="176" w:lineRule="exact"/>
        <w:rPr>
          <w:sz w:val="20"/>
          <w:szCs w:val="20"/>
          <w:color w:val="auto"/>
        </w:rPr>
      </w:pPr>
    </w:p>
    <w:p>
      <w:pPr>
        <w:ind w:firstLine="648"/>
        <w:spacing w:after="0" w:line="33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Applicable Time</w:t>
      </w:r>
      <w:r>
        <w:rPr>
          <w:rFonts w:ascii="Arial" w:cs="Arial" w:eastAsia="Arial" w:hAnsi="Arial"/>
          <w:sz w:val="18"/>
          <w:szCs w:val="18"/>
          <w:color w:val="auto"/>
        </w:rPr>
        <w:t>” means, with respect to any borrowings and payments in any Alternative Currency, the local time in the place of settlement for such Alternative Currency as may be determined by the Administrative Agent or the applicable L/C Issuer, as the case may be, to be necessary for timely settlement on the relevant date in accordance with normal banking procedures in the place of payment.</w:t>
      </w:r>
    </w:p>
    <w:p>
      <w:pPr>
        <w:spacing w:after="0" w:line="152"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Applicant Borrower</w:t>
      </w:r>
      <w:r>
        <w:rPr>
          <w:rFonts w:ascii="Arial" w:cs="Arial" w:eastAsia="Arial" w:hAnsi="Arial"/>
          <w:sz w:val="20"/>
          <w:szCs w:val="20"/>
          <w:color w:val="auto"/>
        </w:rPr>
        <w:t xml:space="preserve">” has the meaning provided in </w:t>
      </w:r>
      <w:r>
        <w:rPr>
          <w:rFonts w:ascii="Arial" w:cs="Arial" w:eastAsia="Arial" w:hAnsi="Arial"/>
          <w:sz w:val="20"/>
          <w:szCs w:val="20"/>
          <w:u w:val="single" w:color="auto"/>
          <w:color w:val="auto"/>
        </w:rPr>
        <w:t>Section 2.14(b)</w:t>
      </w:r>
      <w:r>
        <w:rPr>
          <w:rFonts w:ascii="Arial" w:cs="Arial" w:eastAsia="Arial" w:hAnsi="Arial"/>
          <w:sz w:val="20"/>
          <w:szCs w:val="20"/>
          <w:color w:val="auto"/>
        </w:rPr>
        <w:t>.</w:t>
      </w:r>
    </w:p>
    <w:p>
      <w:pPr>
        <w:spacing w:after="0" w:line="256" w:lineRule="exact"/>
        <w:rPr>
          <w:sz w:val="20"/>
          <w:szCs w:val="20"/>
          <w:color w:val="auto"/>
        </w:rPr>
      </w:pPr>
    </w:p>
    <w:p>
      <w:pPr>
        <w:ind w:right="60" w:firstLine="648"/>
        <w:spacing w:after="0" w:line="265" w:lineRule="exact"/>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Approved Bank</w:t>
      </w:r>
      <w:r>
        <w:rPr>
          <w:rFonts w:ascii="Arial" w:cs="Arial" w:eastAsia="Arial" w:hAnsi="Arial"/>
          <w:sz w:val="20"/>
          <w:szCs w:val="20"/>
          <w:color w:val="auto"/>
        </w:rPr>
        <w:t>” means (a) any Lender, (b) any commercial bank of recognized standing having capital and surplus in excess of $500 million in the case of a domestic commercial bank and $250 million (or the U.S. Dollar equivalent as of the date of determination) in the case of a foreign bank, or (c) any bank whose short</w:t>
      </w:r>
      <w:r>
        <w:rPr>
          <w:rFonts w:ascii="MS PGothic" w:cs="MS PGothic" w:eastAsia="MS PGothic" w:hAnsi="MS PGothic"/>
          <w:sz w:val="20"/>
          <w:szCs w:val="20"/>
          <w:color w:val="auto"/>
        </w:rPr>
        <w:t>‑</w:t>
      </w:r>
      <w:r>
        <w:rPr>
          <w:rFonts w:ascii="Arial" w:cs="Arial" w:eastAsia="Arial" w:hAnsi="Arial"/>
          <w:sz w:val="20"/>
          <w:szCs w:val="20"/>
          <w:color w:val="auto"/>
        </w:rPr>
        <w:t>term commercial paper rating from S&amp;P is at least A-2 or the equivalent thereof or from Moody’s is at least P-2 or the equivalent thereof.</w:t>
      </w:r>
    </w:p>
    <w:p>
      <w:pPr>
        <w:spacing w:after="0" w:line="239" w:lineRule="exact"/>
        <w:rPr>
          <w:sz w:val="20"/>
          <w:szCs w:val="20"/>
          <w:color w:val="auto"/>
        </w:rPr>
      </w:pPr>
    </w:p>
    <w:p>
      <w:pPr>
        <w:ind w:right="220" w:firstLine="648"/>
        <w:spacing w:after="0" w:line="303"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Approved Fund</w:t>
      </w:r>
      <w:r>
        <w:rPr>
          <w:rFonts w:ascii="Arial" w:cs="Arial" w:eastAsia="Arial" w:hAnsi="Arial"/>
          <w:sz w:val="20"/>
          <w:szCs w:val="20"/>
          <w:color w:val="auto"/>
        </w:rPr>
        <w:t>” means any Fund that is administered or managed by (a) a Lender, (b) an Affiliate of a Lender or (c) an entity or an Affiliate of an entity that administers or manages a Lender.</w:t>
      </w:r>
    </w:p>
    <w:p>
      <w:pPr>
        <w:spacing w:after="0" w:line="176" w:lineRule="exact"/>
        <w:rPr>
          <w:sz w:val="20"/>
          <w:szCs w:val="20"/>
          <w:color w:val="auto"/>
        </w:rPr>
      </w:pPr>
    </w:p>
    <w:p>
      <w:pPr>
        <w:ind w:firstLine="648"/>
        <w:spacing w:after="0" w:line="288"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Approved Jurisdictions</w:t>
      </w:r>
      <w:r>
        <w:rPr>
          <w:rFonts w:ascii="Arial" w:cs="Arial" w:eastAsia="Arial" w:hAnsi="Arial"/>
          <w:sz w:val="20"/>
          <w:szCs w:val="20"/>
          <w:color w:val="auto"/>
        </w:rPr>
        <w:t>” means (a) the United States and any state or commonwealth thereof, and (b) any jurisdiction other than a jurisdiction set forth on a listing of sanctioned jurisdictions by the United States Office of Foreign Assets Control Restrictions, as set forth at http://www.treas.gov/offices/enforcement/ofac/programs/ or any successor webpage, where the sanctions are directed at the government of such jurisdiction or all nationals of such jurisdiction.</w:t>
      </w:r>
    </w:p>
    <w:p>
      <w:pPr>
        <w:spacing w:after="0" w:line="200" w:lineRule="exact"/>
        <w:rPr>
          <w:sz w:val="20"/>
          <w:szCs w:val="20"/>
          <w:color w:val="auto"/>
        </w:rPr>
      </w:pP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14</w:t>
      </w:r>
    </w:p>
    <w:p>
      <w:pPr>
        <w:spacing w:after="0" w:line="10" w:lineRule="exact"/>
        <w:rPr>
          <w:sz w:val="20"/>
          <w:szCs w:val="20"/>
          <w:color w:val="auto"/>
        </w:rPr>
      </w:pPr>
    </w:p>
    <w:p>
      <w:pPr>
        <w:spacing w:after="0"/>
        <w:rPr>
          <w:sz w:val="20"/>
          <w:szCs w:val="20"/>
          <w:color w:val="auto"/>
        </w:rPr>
      </w:pPr>
      <w:r>
        <w:rPr>
          <w:rFonts w:ascii="Arial" w:cs="Arial" w:eastAsia="Arial" w:hAnsi="Arial"/>
          <w:sz w:val="14"/>
          <w:szCs w:val="14"/>
          <w:color w:val="auto"/>
        </w:rPr>
        <w:t>CHAR1\1346423v</w:t>
      </w:r>
      <w:r>
        <w:rPr>
          <w:rFonts w:ascii="Arial" w:cs="Arial" w:eastAsia="Arial" w:hAnsi="Arial"/>
          <w:sz w:val="14"/>
          <w:szCs w:val="14"/>
          <w:color w:val="FF0000"/>
          <w:strike w:val="1"/>
        </w:rPr>
        <w:t>1</w:t>
      </w:r>
      <w:r>
        <w:rPr>
          <w:rFonts w:ascii="Arial" w:cs="Arial" w:eastAsia="Arial" w:hAnsi="Arial"/>
          <w:sz w:val="14"/>
          <w:szCs w:val="14"/>
          <w:u w:val="single" w:color="auto"/>
          <w:color w:val="0000FF"/>
        </w:rPr>
        <w:t>12</w:t>
      </w:r>
    </w:p>
    <w:p>
      <w:pPr>
        <w:sectPr>
          <w:pgSz w:w="11900" w:h="16838" w:orient="portrait"/>
          <w:cols w:equalWidth="0" w:num="1">
            <w:col w:w="11400"/>
          </w:cols>
          <w:pgMar w:left="240" w:top="622" w:right="259" w:bottom="1440" w:gutter="0" w:footer="0" w:header="0"/>
        </w:sectPr>
      </w:pPr>
    </w:p>
    <w:bookmarkStart w:id="66" w:name="page67"/>
    <w:bookmarkEnd w:id="66"/>
    <w:p>
      <w:pPr>
        <w:ind w:right="120" w:firstLine="648"/>
        <w:spacing w:after="0" w:line="303"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Arrangers</w:t>
      </w:r>
      <w:r>
        <w:rPr>
          <w:rFonts w:ascii="Arial" w:cs="Arial" w:eastAsia="Arial" w:hAnsi="Arial"/>
          <w:sz w:val="20"/>
          <w:szCs w:val="20"/>
          <w:color w:val="auto"/>
        </w:rPr>
        <w:t xml:space="preserve">” means MLPF&amp;S </w:t>
      </w:r>
      <w:r>
        <w:rPr>
          <w:rFonts w:ascii="Arial" w:cs="Arial" w:eastAsia="Arial" w:hAnsi="Arial"/>
          <w:sz w:val="20"/>
          <w:szCs w:val="20"/>
          <w:color w:val="FF0000"/>
          <w:strike w:val="1"/>
        </w:rPr>
        <w:t>and</w:t>
      </w:r>
      <w:r>
        <w:rPr>
          <w:rFonts w:ascii="Arial" w:cs="Arial" w:eastAsia="Arial" w:hAnsi="Arial"/>
          <w:sz w:val="20"/>
          <w:szCs w:val="20"/>
          <w:u w:val="single" w:color="auto"/>
          <w:color w:val="0000FF"/>
        </w:rPr>
        <w:t>,</w:t>
      </w:r>
      <w:r>
        <w:rPr>
          <w:rFonts w:ascii="Arial" w:cs="Arial" w:eastAsia="Arial" w:hAnsi="Arial"/>
          <w:sz w:val="20"/>
          <w:szCs w:val="20"/>
          <w:color w:val="auto"/>
        </w:rPr>
        <w:t xml:space="preserve"> U.S. Bank National Association </w:t>
      </w:r>
      <w:r>
        <w:rPr>
          <w:rFonts w:ascii="Arial" w:cs="Arial" w:eastAsia="Arial" w:hAnsi="Arial"/>
          <w:sz w:val="20"/>
          <w:szCs w:val="20"/>
          <w:u w:val="single" w:color="auto"/>
          <w:color w:val="0000FF"/>
        </w:rPr>
        <w:t>and BMO Capital Markets</w:t>
      </w:r>
      <w:r>
        <w:rPr>
          <w:rFonts w:ascii="Arial" w:cs="Arial" w:eastAsia="Arial" w:hAnsi="Arial"/>
          <w:sz w:val="20"/>
          <w:szCs w:val="20"/>
          <w:color w:val="auto"/>
        </w:rPr>
        <w:t>, in their capacity as joint lead arrangers and joint book managers.</w:t>
      </w:r>
    </w:p>
    <w:p>
      <w:pPr>
        <w:spacing w:after="0" w:line="176" w:lineRule="exact"/>
        <w:rPr>
          <w:sz w:val="20"/>
          <w:szCs w:val="20"/>
          <w:color w:val="auto"/>
        </w:rPr>
      </w:pPr>
    </w:p>
    <w:p>
      <w:pPr>
        <w:ind w:right="220" w:firstLine="648"/>
        <w:spacing w:after="0" w:line="303"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Assignee Group</w:t>
      </w:r>
      <w:r>
        <w:rPr>
          <w:rFonts w:ascii="Arial" w:cs="Arial" w:eastAsia="Arial" w:hAnsi="Arial"/>
          <w:sz w:val="20"/>
          <w:szCs w:val="20"/>
          <w:color w:val="auto"/>
        </w:rPr>
        <w:t>” means two or more Eligible Assignees that are Affiliates of one another or two or more Approved Funds managed by the same investment advisor.</w:t>
      </w:r>
    </w:p>
    <w:p>
      <w:pPr>
        <w:spacing w:after="0" w:line="176" w:lineRule="exact"/>
        <w:rPr>
          <w:sz w:val="20"/>
          <w:szCs w:val="20"/>
          <w:color w:val="auto"/>
        </w:rPr>
      </w:pPr>
    </w:p>
    <w:p>
      <w:pPr>
        <w:ind w:right="280" w:firstLine="648"/>
        <w:spacing w:after="0" w:line="288"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Assignment and Assumption</w:t>
      </w:r>
      <w:r>
        <w:rPr>
          <w:rFonts w:ascii="Arial" w:cs="Arial" w:eastAsia="Arial" w:hAnsi="Arial"/>
          <w:sz w:val="20"/>
          <w:szCs w:val="20"/>
          <w:color w:val="auto"/>
        </w:rPr>
        <w:t xml:space="preserve">” means an assignment and assumption entered into by a Lender and an Eligible Assignee (with the consent of any party whose consent is required by </w:t>
      </w:r>
      <w:r>
        <w:rPr>
          <w:rFonts w:ascii="Arial" w:cs="Arial" w:eastAsia="Arial" w:hAnsi="Arial"/>
          <w:sz w:val="20"/>
          <w:szCs w:val="20"/>
          <w:u w:val="single" w:color="auto"/>
          <w:color w:val="auto"/>
        </w:rPr>
        <w:t>Section 11.06)</w:t>
      </w:r>
      <w:r>
        <w:rPr>
          <w:rFonts w:ascii="Arial" w:cs="Arial" w:eastAsia="Arial" w:hAnsi="Arial"/>
          <w:sz w:val="20"/>
          <w:szCs w:val="20"/>
          <w:color w:val="auto"/>
        </w:rPr>
        <w:t xml:space="preserve"> and accepted by the Administrative Agent, in substantially the form of </w:t>
      </w:r>
      <w:r>
        <w:rPr>
          <w:rFonts w:ascii="Arial" w:cs="Arial" w:eastAsia="Arial" w:hAnsi="Arial"/>
          <w:sz w:val="20"/>
          <w:szCs w:val="20"/>
          <w:u w:val="single" w:color="auto"/>
          <w:color w:val="auto"/>
        </w:rPr>
        <w:t>Exhibit 11.06</w:t>
      </w:r>
      <w:r>
        <w:rPr>
          <w:rFonts w:ascii="Arial" w:cs="Arial" w:eastAsia="Arial" w:hAnsi="Arial"/>
          <w:sz w:val="20"/>
          <w:szCs w:val="20"/>
          <w:color w:val="auto"/>
        </w:rPr>
        <w:t xml:space="preserve"> or any other form </w:t>
      </w:r>
      <w:r>
        <w:rPr>
          <w:rFonts w:ascii="Arial" w:cs="Arial" w:eastAsia="Arial" w:hAnsi="Arial"/>
          <w:sz w:val="20"/>
          <w:szCs w:val="20"/>
          <w:u w:val="single" w:color="auto"/>
          <w:color w:val="0000FF"/>
        </w:rPr>
        <w:t>(including electronic documentation generated by MarkitClear or other electronic platform)</w:t>
      </w:r>
      <w:r>
        <w:rPr>
          <w:rFonts w:ascii="Arial" w:cs="Arial" w:eastAsia="Arial" w:hAnsi="Arial"/>
          <w:sz w:val="20"/>
          <w:szCs w:val="20"/>
          <w:color w:val="auto"/>
        </w:rPr>
        <w:t xml:space="preserve"> approved by the Administrative Agent.</w:t>
      </w:r>
    </w:p>
    <w:p>
      <w:pPr>
        <w:spacing w:after="0" w:line="193" w:lineRule="exact"/>
        <w:rPr>
          <w:sz w:val="20"/>
          <w:szCs w:val="20"/>
          <w:color w:val="auto"/>
        </w:rPr>
      </w:pPr>
    </w:p>
    <w:p>
      <w:pPr>
        <w:ind w:right="600" w:firstLine="648"/>
        <w:spacing w:after="0" w:line="303"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ATM</w:t>
      </w:r>
      <w:r>
        <w:rPr>
          <w:rFonts w:ascii="Arial" w:cs="Arial" w:eastAsia="Arial" w:hAnsi="Arial"/>
          <w:sz w:val="20"/>
          <w:szCs w:val="20"/>
          <w:color w:val="auto"/>
        </w:rPr>
        <w:t>” means automated teller machines or other similar devices capable of dispensing cash that are owned, leased, operated or serviced by members of the Consolidated Group.</w:t>
      </w:r>
    </w:p>
    <w:p>
      <w:pPr>
        <w:spacing w:after="0" w:line="176" w:lineRule="exact"/>
        <w:rPr>
          <w:sz w:val="20"/>
          <w:szCs w:val="20"/>
          <w:color w:val="auto"/>
        </w:rPr>
      </w:pPr>
    </w:p>
    <w:p>
      <w:pPr>
        <w:ind w:right="40" w:firstLine="648"/>
        <w:spacing w:after="0" w:line="288"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ATM Cash Supply Arrangements</w:t>
      </w:r>
      <w:r>
        <w:rPr>
          <w:rFonts w:ascii="Arial" w:cs="Arial" w:eastAsia="Arial" w:hAnsi="Arial"/>
          <w:sz w:val="20"/>
          <w:szCs w:val="20"/>
          <w:color w:val="auto"/>
        </w:rPr>
        <w:t>” means “vault cash” supply arrangements, banknote leasing arrangements, ATM sponsorship arrangements and other similar arrangements pursuant to which banks or other financial institutions provide members of the Consolidated Group with electronic or physical currency to fill ATMs and such electronic or physical currency is segregated from any other cash of members of the Consolidated Group.</w:t>
      </w:r>
    </w:p>
    <w:p>
      <w:pPr>
        <w:spacing w:after="0" w:line="193" w:lineRule="exact"/>
        <w:rPr>
          <w:sz w:val="20"/>
          <w:szCs w:val="20"/>
          <w:color w:val="auto"/>
        </w:rPr>
      </w:pPr>
    </w:p>
    <w:p>
      <w:pPr>
        <w:ind w:firstLine="648"/>
        <w:spacing w:after="0" w:line="301"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Attributable Principal Amount</w:t>
      </w:r>
      <w:r>
        <w:rPr>
          <w:rFonts w:ascii="Arial" w:cs="Arial" w:eastAsia="Arial" w:hAnsi="Arial"/>
          <w:sz w:val="19"/>
          <w:szCs w:val="19"/>
          <w:color w:val="auto"/>
        </w:rPr>
        <w:t>” means (a) in the case of Capital Leases, the amount of capital lease obligations determined in accordance with GAAP, (b) in the case of Synthetic Leases, an amount determined by capitalization of the remaining lease payments thereunder as if it were a Capital Lease determined in accordance with GAAP, (c) in the case of a Securitization Transaction, at any time, an amount equal to the outstanding principal amount of the financing, including commitments relating thereto, provided pursuant to a Securitization Transaction (including, in the case of a Securitization Transaction established to facilitate the issuance of letters of credit and bank guarantees, the maximum amount available to be drawn under all such letters of credit and bank guarantees outstanding thereunder, and the commitments relating thereto) determined by the Administrative Agent in its reasonable discretion, and (d) in the case of sale and leaseback transaction, the present value (discounted in accordance with GAAP at the debt rate implied in the applicable lease) of the obligations of the lessee for rental payments during the term of such lease).</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Australian Dollars</w:t>
      </w:r>
      <w:r>
        <w:rPr>
          <w:rFonts w:ascii="Arial" w:cs="Arial" w:eastAsia="Arial" w:hAnsi="Arial"/>
          <w:sz w:val="20"/>
          <w:szCs w:val="20"/>
          <w:color w:val="auto"/>
        </w:rPr>
        <w:t>” and “</w:t>
      </w:r>
      <w:r>
        <w:rPr>
          <w:rFonts w:ascii="Arial" w:cs="Arial" w:eastAsia="Arial" w:hAnsi="Arial"/>
          <w:sz w:val="20"/>
          <w:szCs w:val="20"/>
          <w:u w:val="single" w:color="auto"/>
          <w:color w:val="auto"/>
        </w:rPr>
        <w:t>AUS$</w:t>
      </w:r>
      <w:r>
        <w:rPr>
          <w:rFonts w:ascii="Arial" w:cs="Arial" w:eastAsia="Arial" w:hAnsi="Arial"/>
          <w:sz w:val="20"/>
          <w:szCs w:val="20"/>
          <w:color w:val="auto"/>
        </w:rPr>
        <w:t>” means the lawful currency of Australia.</w:t>
      </w:r>
    </w:p>
    <w:p>
      <w:pPr>
        <w:spacing w:after="0" w:line="256" w:lineRule="exact"/>
        <w:rPr>
          <w:sz w:val="20"/>
          <w:szCs w:val="20"/>
          <w:color w:val="auto"/>
        </w:rPr>
      </w:pPr>
    </w:p>
    <w:p>
      <w:pPr>
        <w:ind w:right="400" w:firstLine="648"/>
        <w:spacing w:after="0" w:line="303"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Australian Loan Obligations</w:t>
      </w:r>
      <w:r>
        <w:rPr>
          <w:rFonts w:ascii="Arial" w:cs="Arial" w:eastAsia="Arial" w:hAnsi="Arial"/>
          <w:sz w:val="20"/>
          <w:szCs w:val="20"/>
          <w:color w:val="auto"/>
        </w:rPr>
        <w:t>” means the Australian Revolving Loan Obligations and any Incremental Credit Facilities established hereunder that are denominated in Alternative Currencies therefor.</w:t>
      </w:r>
    </w:p>
    <w:p>
      <w:pPr>
        <w:spacing w:after="0" w:line="176" w:lineRule="exact"/>
        <w:rPr>
          <w:sz w:val="20"/>
          <w:szCs w:val="20"/>
          <w:color w:val="auto"/>
        </w:rPr>
      </w:pPr>
    </w:p>
    <w:p>
      <w:pPr>
        <w:ind w:right="840" w:firstLine="648"/>
        <w:spacing w:after="0" w:line="303"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Australian Revolving Commitment</w:t>
      </w:r>
      <w:r>
        <w:rPr>
          <w:rFonts w:ascii="Arial" w:cs="Arial" w:eastAsia="Arial" w:hAnsi="Arial"/>
          <w:sz w:val="20"/>
          <w:szCs w:val="20"/>
          <w:color w:val="auto"/>
        </w:rPr>
        <w:t>” means, for each Australian Revolving Lender, the commitment of such Lender to make Australian Revolving Loans (and to share in Australian Revolving Loan Obligations) hereunder.</w:t>
      </w:r>
    </w:p>
    <w:p>
      <w:pPr>
        <w:spacing w:after="0" w:line="39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15</w:t>
      </w:r>
    </w:p>
    <w:p>
      <w:pPr>
        <w:spacing w:after="0" w:line="10" w:lineRule="exact"/>
        <w:rPr>
          <w:sz w:val="20"/>
          <w:szCs w:val="20"/>
          <w:color w:val="auto"/>
        </w:rPr>
      </w:pPr>
    </w:p>
    <w:p>
      <w:pPr>
        <w:spacing w:after="0"/>
        <w:rPr>
          <w:sz w:val="20"/>
          <w:szCs w:val="20"/>
          <w:color w:val="auto"/>
        </w:rPr>
      </w:pPr>
      <w:r>
        <w:rPr>
          <w:rFonts w:ascii="Arial" w:cs="Arial" w:eastAsia="Arial" w:hAnsi="Arial"/>
          <w:sz w:val="14"/>
          <w:szCs w:val="14"/>
          <w:color w:val="auto"/>
        </w:rPr>
        <w:t>CHAR1\1346423v</w:t>
      </w:r>
      <w:r>
        <w:rPr>
          <w:rFonts w:ascii="Arial" w:cs="Arial" w:eastAsia="Arial" w:hAnsi="Arial"/>
          <w:sz w:val="14"/>
          <w:szCs w:val="14"/>
          <w:color w:val="FF0000"/>
          <w:strike w:val="1"/>
        </w:rPr>
        <w:t>1</w:t>
      </w:r>
      <w:r>
        <w:rPr>
          <w:rFonts w:ascii="Arial" w:cs="Arial" w:eastAsia="Arial" w:hAnsi="Arial"/>
          <w:sz w:val="14"/>
          <w:szCs w:val="14"/>
          <w:u w:val="single" w:color="auto"/>
          <w:color w:val="0000FF"/>
        </w:rPr>
        <w:t>12</w:t>
      </w:r>
    </w:p>
    <w:p>
      <w:pPr>
        <w:sectPr>
          <w:pgSz w:w="11900" w:h="16838" w:orient="portrait"/>
          <w:cols w:equalWidth="0" w:num="1">
            <w:col w:w="11420"/>
          </w:cols>
          <w:pgMar w:left="240" w:top="609" w:right="239" w:bottom="1440" w:gutter="0" w:footer="0" w:header="0"/>
        </w:sectPr>
      </w:pPr>
    </w:p>
    <w:bookmarkStart w:id="67" w:name="page68"/>
    <w:bookmarkEnd w:id="67"/>
    <w:p>
      <w:pPr>
        <w:ind w:right="20" w:firstLine="648"/>
        <w:spacing w:after="0" w:line="288"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Australian Revolving Commitment Percentage</w:t>
      </w:r>
      <w:r>
        <w:rPr>
          <w:rFonts w:ascii="Arial" w:cs="Arial" w:eastAsia="Arial" w:hAnsi="Arial"/>
          <w:sz w:val="20"/>
          <w:szCs w:val="20"/>
          <w:color w:val="auto"/>
        </w:rPr>
        <w:t xml:space="preserve">” means, for each Australian Revolving Lender, a fraction (expressed as a percentage carried to the ninth decimal place), the numerator of which is such Lender’s Australian Revolving Committed Amount and the denominator of which is the Aggregate Australian Revolving Committed Amount. The initial Australian Revolving Commitment Percentages are set out in </w:t>
      </w:r>
      <w:r>
        <w:rPr>
          <w:rFonts w:ascii="Arial" w:cs="Arial" w:eastAsia="Arial" w:hAnsi="Arial"/>
          <w:sz w:val="20"/>
          <w:szCs w:val="20"/>
          <w:u w:val="single" w:color="auto"/>
          <w:color w:val="auto"/>
        </w:rPr>
        <w:t>Schedule 2.01</w:t>
      </w:r>
      <w:r>
        <w:rPr>
          <w:rFonts w:ascii="Arial" w:cs="Arial" w:eastAsia="Arial" w:hAnsi="Arial"/>
          <w:sz w:val="20"/>
          <w:szCs w:val="20"/>
          <w:color w:val="auto"/>
        </w:rPr>
        <w:t>.</w:t>
      </w:r>
    </w:p>
    <w:p>
      <w:pPr>
        <w:spacing w:after="0" w:line="193" w:lineRule="exact"/>
        <w:rPr>
          <w:sz w:val="20"/>
          <w:szCs w:val="20"/>
          <w:color w:val="auto"/>
        </w:rPr>
      </w:pPr>
    </w:p>
    <w:p>
      <w:pPr>
        <w:ind w:right="240" w:firstLine="648"/>
        <w:spacing w:after="0" w:line="303"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Australian Revolving Committed Amount</w:t>
      </w:r>
      <w:r>
        <w:rPr>
          <w:rFonts w:ascii="Arial" w:cs="Arial" w:eastAsia="Arial" w:hAnsi="Arial"/>
          <w:sz w:val="20"/>
          <w:szCs w:val="20"/>
          <w:color w:val="auto"/>
        </w:rPr>
        <w:t xml:space="preserve">” means, for each Australian Revolving Lender, the amount of such Lender’s Australian Revolving Commitment. The initial Australian Revolving Committed Amounts are set out in </w:t>
      </w:r>
      <w:r>
        <w:rPr>
          <w:rFonts w:ascii="Arial" w:cs="Arial" w:eastAsia="Arial" w:hAnsi="Arial"/>
          <w:sz w:val="20"/>
          <w:szCs w:val="20"/>
          <w:u w:val="single" w:color="auto"/>
          <w:color w:val="auto"/>
        </w:rPr>
        <w:t>Schedule 2.01</w:t>
      </w:r>
      <w:r>
        <w:rPr>
          <w:rFonts w:ascii="Arial" w:cs="Arial" w:eastAsia="Arial" w:hAnsi="Arial"/>
          <w:sz w:val="20"/>
          <w:szCs w:val="20"/>
          <w:color w:val="auto"/>
        </w:rPr>
        <w:t>.</w:t>
      </w:r>
    </w:p>
    <w:p>
      <w:pPr>
        <w:spacing w:after="0" w:line="176" w:lineRule="exact"/>
        <w:rPr>
          <w:sz w:val="20"/>
          <w:szCs w:val="20"/>
          <w:color w:val="auto"/>
        </w:rPr>
      </w:pPr>
    </w:p>
    <w:p>
      <w:pPr>
        <w:ind w:right="280" w:firstLine="648"/>
        <w:spacing w:after="0" w:line="3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Australian Revolving Lenders</w:t>
      </w:r>
      <w:r>
        <w:rPr>
          <w:rFonts w:ascii="Arial" w:cs="Arial" w:eastAsia="Arial" w:hAnsi="Arial"/>
          <w:sz w:val="18"/>
          <w:szCs w:val="18"/>
          <w:color w:val="auto"/>
        </w:rPr>
        <w:t xml:space="preserve">” means those Lenders with Australian Revolving Commitments, together with their successors and permitted assigns. The initial Australian Revolving Lenders are identified on the signature pages hereto and are set out in </w:t>
      </w:r>
      <w:r>
        <w:rPr>
          <w:rFonts w:ascii="Arial" w:cs="Arial" w:eastAsia="Arial" w:hAnsi="Arial"/>
          <w:sz w:val="18"/>
          <w:szCs w:val="18"/>
          <w:u w:val="single" w:color="auto"/>
          <w:color w:val="auto"/>
        </w:rPr>
        <w:t>Schedule 2.01</w:t>
      </w:r>
      <w:r>
        <w:rPr>
          <w:rFonts w:ascii="Arial" w:cs="Arial" w:eastAsia="Arial" w:hAnsi="Arial"/>
          <w:sz w:val="18"/>
          <w:szCs w:val="18"/>
          <w:color w:val="auto"/>
        </w:rPr>
        <w:t>.</w:t>
      </w:r>
    </w:p>
    <w:p>
      <w:pPr>
        <w:spacing w:after="0" w:line="130"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Australian Revolving Loan</w:t>
      </w:r>
      <w:r>
        <w:rPr>
          <w:rFonts w:ascii="Arial" w:cs="Arial" w:eastAsia="Arial" w:hAnsi="Arial"/>
          <w:sz w:val="20"/>
          <w:szCs w:val="20"/>
          <w:color w:val="auto"/>
        </w:rPr>
        <w:t>” has the meaning provided in Section 2.01(c)(i).</w:t>
      </w:r>
    </w:p>
    <w:p>
      <w:pPr>
        <w:spacing w:after="0" w:line="25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Australian Revolving Loan Obligations</w:t>
      </w:r>
      <w:r>
        <w:rPr>
          <w:rFonts w:ascii="Arial" w:cs="Arial" w:eastAsia="Arial" w:hAnsi="Arial"/>
          <w:sz w:val="20"/>
          <w:szCs w:val="20"/>
          <w:color w:val="auto"/>
        </w:rPr>
        <w:t>” means the Australian Revolving Loans.</w:t>
      </w:r>
    </w:p>
    <w:p>
      <w:pPr>
        <w:spacing w:after="0" w:line="256" w:lineRule="exact"/>
        <w:rPr>
          <w:sz w:val="20"/>
          <w:szCs w:val="20"/>
          <w:color w:val="auto"/>
        </w:rPr>
      </w:pPr>
    </w:p>
    <w:p>
      <w:pPr>
        <w:ind w:right="320" w:firstLine="648"/>
        <w:spacing w:after="0" w:line="3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Australian Revolving Notes</w:t>
      </w:r>
      <w:r>
        <w:rPr>
          <w:rFonts w:ascii="Arial" w:cs="Arial" w:eastAsia="Arial" w:hAnsi="Arial"/>
          <w:sz w:val="18"/>
          <w:szCs w:val="18"/>
          <w:color w:val="auto"/>
        </w:rPr>
        <w:t xml:space="preserve">” means the promissory notes, if any, given to evidence the Australian Revolving Loans, as amended, restated, modified, supplemented, extended, renewed or replaced. A form of Australian Revolving Note is attached as </w:t>
      </w:r>
      <w:r>
        <w:rPr>
          <w:rFonts w:ascii="Arial" w:cs="Arial" w:eastAsia="Arial" w:hAnsi="Arial"/>
          <w:sz w:val="18"/>
          <w:szCs w:val="18"/>
          <w:u w:val="single" w:color="auto"/>
          <w:color w:val="auto"/>
        </w:rPr>
        <w:t>Exhibit 2.13-3</w:t>
      </w:r>
      <w:r>
        <w:rPr>
          <w:rFonts w:ascii="Arial" w:cs="Arial" w:eastAsia="Arial" w:hAnsi="Arial"/>
          <w:sz w:val="18"/>
          <w:szCs w:val="18"/>
          <w:color w:val="auto"/>
        </w:rPr>
        <w:t>.</w:t>
      </w:r>
    </w:p>
    <w:p>
      <w:pPr>
        <w:spacing w:after="0" w:line="130" w:lineRule="exact"/>
        <w:rPr>
          <w:sz w:val="20"/>
          <w:szCs w:val="20"/>
          <w:color w:val="auto"/>
        </w:rPr>
      </w:pPr>
    </w:p>
    <w:p>
      <w:pPr>
        <w:ind w:left="660"/>
        <w:spacing w:after="0" w:line="230" w:lineRule="exact"/>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Auto</w:t>
      </w:r>
      <w:r>
        <w:rPr>
          <w:rFonts w:ascii="MS PGothic" w:cs="MS PGothic" w:eastAsia="MS PGothic" w:hAnsi="MS PGothic"/>
          <w:sz w:val="20"/>
          <w:szCs w:val="20"/>
          <w:u w:val="single" w:color="auto"/>
          <w:color w:val="auto"/>
        </w:rPr>
        <w:t>‑</w:t>
      </w:r>
      <w:r>
        <w:rPr>
          <w:rFonts w:ascii="Arial" w:cs="Arial" w:eastAsia="Arial" w:hAnsi="Arial"/>
          <w:sz w:val="20"/>
          <w:szCs w:val="20"/>
          <w:u w:val="single" w:color="auto"/>
          <w:color w:val="auto"/>
        </w:rPr>
        <w:t>Extension Letter of Credit</w:t>
      </w:r>
      <w:r>
        <w:rPr>
          <w:rFonts w:ascii="Arial" w:cs="Arial" w:eastAsia="Arial" w:hAnsi="Arial"/>
          <w:sz w:val="20"/>
          <w:szCs w:val="20"/>
          <w:color w:val="auto"/>
        </w:rPr>
        <w:t>” has the meaning provided in Section 2.03(b)(iii).</w:t>
      </w:r>
    </w:p>
    <w:p>
      <w:pPr>
        <w:spacing w:after="0" w:line="25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Auto-Reinstatement Letter of Credit</w:t>
      </w:r>
      <w:r>
        <w:rPr>
          <w:rFonts w:ascii="Arial" w:cs="Arial" w:eastAsia="Arial" w:hAnsi="Arial"/>
          <w:sz w:val="20"/>
          <w:szCs w:val="20"/>
          <w:color w:val="auto"/>
        </w:rPr>
        <w:t>” has the meaning provided in Section 2.03(b)(iv).</w:t>
      </w:r>
    </w:p>
    <w:p>
      <w:pPr>
        <w:spacing w:after="0" w:line="25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Bank of America</w:t>
      </w:r>
      <w:r>
        <w:rPr>
          <w:rFonts w:ascii="Arial" w:cs="Arial" w:eastAsia="Arial" w:hAnsi="Arial"/>
          <w:sz w:val="20"/>
          <w:szCs w:val="20"/>
          <w:color w:val="auto"/>
        </w:rPr>
        <w:t>” means Bank of America, N.A., together with its successors.</w:t>
      </w:r>
    </w:p>
    <w:p>
      <w:pPr>
        <w:spacing w:after="0" w:line="25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Base Rate</w:t>
      </w:r>
      <w:r>
        <w:rPr>
          <w:rFonts w:ascii="Arial" w:cs="Arial" w:eastAsia="Arial" w:hAnsi="Arial"/>
          <w:sz w:val="20"/>
          <w:szCs w:val="20"/>
          <w:color w:val="auto"/>
        </w:rPr>
        <w:t>” means for any day a fluctuating rate per annum equal to:</w:t>
      </w:r>
    </w:p>
    <w:p>
      <w:pPr>
        <w:spacing w:after="0" w:line="270" w:lineRule="exact"/>
        <w:rPr>
          <w:sz w:val="20"/>
          <w:szCs w:val="20"/>
          <w:color w:val="auto"/>
        </w:rPr>
      </w:pPr>
    </w:p>
    <w:p>
      <w:pPr>
        <w:jc w:val="both"/>
        <w:ind w:left="1300" w:firstLine="653"/>
        <w:spacing w:after="0" w:line="312" w:lineRule="auto"/>
        <w:tabs>
          <w:tab w:leader="none" w:pos="2500" w:val="left"/>
        </w:tabs>
        <w:numPr>
          <w:ilvl w:val="0"/>
          <w:numId w:val="27"/>
        </w:numPr>
        <w:rPr>
          <w:rFonts w:ascii="Arial" w:cs="Arial" w:eastAsia="Arial" w:hAnsi="Arial"/>
          <w:sz w:val="22"/>
          <w:szCs w:val="22"/>
          <w:color w:val="auto"/>
        </w:rPr>
      </w:pPr>
      <w:r>
        <w:rPr>
          <w:rFonts w:ascii="Arial" w:cs="Arial" w:eastAsia="Arial" w:hAnsi="Arial"/>
          <w:sz w:val="20"/>
          <w:szCs w:val="20"/>
          <w:color w:val="auto"/>
        </w:rPr>
        <w:t xml:space="preserve">in the case of Loan Obligations denominated in Dollars, the highest of (a) the Federal Funds Rate </w:t>
      </w:r>
      <w:r>
        <w:rPr>
          <w:rFonts w:ascii="Arial" w:cs="Arial" w:eastAsia="Arial" w:hAnsi="Arial"/>
          <w:sz w:val="20"/>
          <w:szCs w:val="20"/>
          <w:u w:val="single" w:color="auto"/>
          <w:color w:val="auto"/>
        </w:rPr>
        <w:t>plus</w:t>
      </w:r>
      <w:r>
        <w:rPr>
          <w:rFonts w:ascii="Arial" w:cs="Arial" w:eastAsia="Arial" w:hAnsi="Arial"/>
          <w:sz w:val="20"/>
          <w:szCs w:val="20"/>
          <w:color w:val="auto"/>
        </w:rPr>
        <w:t xml:space="preserve"> one-half of one percent (0.5%), (b) the Prime Rate and (c) except during a Fixed LIBOR Rate Unavailability Period, the Fixed LIBOR Rate for Dollars </w:t>
      </w:r>
      <w:r>
        <w:rPr>
          <w:rFonts w:ascii="Arial" w:cs="Arial" w:eastAsia="Arial" w:hAnsi="Arial"/>
          <w:sz w:val="20"/>
          <w:szCs w:val="20"/>
          <w:u w:val="single" w:color="auto"/>
          <w:color w:val="auto"/>
        </w:rPr>
        <w:t>plus</w:t>
      </w:r>
      <w:r>
        <w:rPr>
          <w:rFonts w:ascii="Arial" w:cs="Arial" w:eastAsia="Arial" w:hAnsi="Arial"/>
          <w:sz w:val="20"/>
          <w:szCs w:val="20"/>
          <w:color w:val="auto"/>
        </w:rPr>
        <w:t xml:space="preserve"> one percent (1.0%); and</w:t>
      </w:r>
    </w:p>
    <w:p>
      <w:pPr>
        <w:spacing w:after="0" w:line="194" w:lineRule="exact"/>
        <w:rPr>
          <w:rFonts w:ascii="Arial" w:cs="Arial" w:eastAsia="Arial" w:hAnsi="Arial"/>
          <w:sz w:val="22"/>
          <w:szCs w:val="22"/>
          <w:color w:val="auto"/>
        </w:rPr>
      </w:pPr>
    </w:p>
    <w:p>
      <w:pPr>
        <w:ind w:left="1300" w:right="60" w:firstLine="653"/>
        <w:spacing w:after="0" w:line="321" w:lineRule="auto"/>
        <w:tabs>
          <w:tab w:leader="none" w:pos="2560" w:val="left"/>
        </w:tabs>
        <w:numPr>
          <w:ilvl w:val="0"/>
          <w:numId w:val="27"/>
        </w:numPr>
        <w:rPr>
          <w:rFonts w:ascii="Arial" w:cs="Arial" w:eastAsia="Arial" w:hAnsi="Arial"/>
          <w:sz w:val="22"/>
          <w:szCs w:val="22"/>
          <w:color w:val="auto"/>
        </w:rPr>
      </w:pPr>
      <w:r>
        <w:rPr>
          <w:rFonts w:ascii="Arial" w:cs="Arial" w:eastAsia="Arial" w:hAnsi="Arial"/>
          <w:sz w:val="20"/>
          <w:szCs w:val="20"/>
          <w:color w:val="auto"/>
        </w:rPr>
        <w:t>in the case of Loan Obligations denominated in Indian Rupees, the rate publicly announced from time to time by the India Revolving Lender as its base rate in effect in India.</w:t>
      </w:r>
    </w:p>
    <w:p>
      <w:pPr>
        <w:spacing w:after="0" w:line="16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Base Rate Loan</w:t>
      </w:r>
      <w:r>
        <w:rPr>
          <w:rFonts w:ascii="Arial" w:cs="Arial" w:eastAsia="Arial" w:hAnsi="Arial"/>
          <w:sz w:val="18"/>
          <w:szCs w:val="18"/>
          <w:color w:val="auto"/>
        </w:rPr>
        <w:t>” means a Loan that bears interest based on the Base Rate. All Base Rate Loans shall be denominated in Dollars.</w:t>
      </w:r>
    </w:p>
    <w:p>
      <w:pPr>
        <w:spacing w:after="0" w:line="279"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Borrowers</w:t>
      </w:r>
      <w:r>
        <w:rPr>
          <w:rFonts w:ascii="Arial" w:cs="Arial" w:eastAsia="Arial" w:hAnsi="Arial"/>
          <w:sz w:val="20"/>
          <w:szCs w:val="20"/>
          <w:color w:val="auto"/>
        </w:rPr>
        <w:t>” means:</w:t>
      </w:r>
    </w:p>
    <w:p>
      <w:pPr>
        <w:spacing w:after="0" w:line="200" w:lineRule="exact"/>
        <w:rPr>
          <w:sz w:val="20"/>
          <w:szCs w:val="20"/>
          <w:color w:val="auto"/>
        </w:rPr>
      </w:pPr>
    </w:p>
    <w:p>
      <w:pPr>
        <w:spacing w:after="0" w:line="272" w:lineRule="exact"/>
        <w:rPr>
          <w:sz w:val="20"/>
          <w:szCs w:val="20"/>
          <w:color w:val="auto"/>
        </w:rPr>
      </w:pPr>
    </w:p>
    <w:p>
      <w:pPr>
        <w:jc w:val="center"/>
        <w:ind w:right="-119"/>
        <w:spacing w:after="0"/>
        <w:rPr>
          <w:sz w:val="20"/>
          <w:szCs w:val="20"/>
          <w:color w:val="auto"/>
        </w:rPr>
      </w:pPr>
      <w:r>
        <w:rPr>
          <w:rFonts w:ascii="Arial" w:cs="Arial" w:eastAsia="Arial" w:hAnsi="Arial"/>
          <w:sz w:val="20"/>
          <w:szCs w:val="20"/>
          <w:color w:val="auto"/>
        </w:rPr>
        <w:t>16</w:t>
      </w:r>
    </w:p>
    <w:p>
      <w:pPr>
        <w:spacing w:after="0" w:line="10" w:lineRule="exact"/>
        <w:rPr>
          <w:sz w:val="20"/>
          <w:szCs w:val="20"/>
          <w:color w:val="auto"/>
        </w:rPr>
      </w:pPr>
    </w:p>
    <w:p>
      <w:pPr>
        <w:spacing w:after="0"/>
        <w:rPr>
          <w:sz w:val="20"/>
          <w:szCs w:val="20"/>
          <w:color w:val="auto"/>
        </w:rPr>
      </w:pPr>
      <w:r>
        <w:rPr>
          <w:rFonts w:ascii="Arial" w:cs="Arial" w:eastAsia="Arial" w:hAnsi="Arial"/>
          <w:sz w:val="14"/>
          <w:szCs w:val="14"/>
          <w:color w:val="auto"/>
        </w:rPr>
        <w:t>CHAR1\1346423v</w:t>
      </w:r>
      <w:r>
        <w:rPr>
          <w:rFonts w:ascii="Arial" w:cs="Arial" w:eastAsia="Arial" w:hAnsi="Arial"/>
          <w:sz w:val="14"/>
          <w:szCs w:val="14"/>
          <w:color w:val="FF0000"/>
          <w:strike w:val="1"/>
        </w:rPr>
        <w:t>1</w:t>
      </w:r>
      <w:r>
        <w:rPr>
          <w:rFonts w:ascii="Arial" w:cs="Arial" w:eastAsia="Arial" w:hAnsi="Arial"/>
          <w:sz w:val="14"/>
          <w:szCs w:val="14"/>
          <w:u w:val="single" w:color="auto"/>
          <w:color w:val="0000FF"/>
        </w:rPr>
        <w:t>12</w:t>
      </w:r>
    </w:p>
    <w:p>
      <w:pPr>
        <w:sectPr>
          <w:pgSz w:w="11900" w:h="16838" w:orient="portrait"/>
          <w:cols w:equalWidth="0" w:num="1">
            <w:col w:w="11300"/>
          </w:cols>
          <w:pgMar w:left="240" w:top="609" w:right="359" w:bottom="1440" w:gutter="0" w:footer="0" w:header="0"/>
        </w:sectPr>
      </w:pPr>
    </w:p>
    <w:bookmarkStart w:id="68" w:name="page69"/>
    <w:bookmarkEnd w:id="68"/>
    <w:p>
      <w:pPr>
        <w:ind w:left="2560" w:hanging="607"/>
        <w:spacing w:after="0"/>
        <w:tabs>
          <w:tab w:leader="none" w:pos="2560" w:val="left"/>
        </w:tabs>
        <w:numPr>
          <w:ilvl w:val="0"/>
          <w:numId w:val="28"/>
        </w:numPr>
        <w:rPr>
          <w:rFonts w:ascii="Arial" w:cs="Arial" w:eastAsia="Arial" w:hAnsi="Arial"/>
          <w:sz w:val="19"/>
          <w:szCs w:val="19"/>
          <w:color w:val="auto"/>
        </w:rPr>
      </w:pPr>
      <w:r>
        <w:rPr>
          <w:rFonts w:ascii="Arial" w:cs="Arial" w:eastAsia="Arial" w:hAnsi="Arial"/>
          <w:sz w:val="18"/>
          <w:szCs w:val="18"/>
          <w:color w:val="auto"/>
        </w:rPr>
        <w:t xml:space="preserve">for Australian Revolving Loans, EWI and those Designated Borrowers identified as such on </w:t>
      </w:r>
      <w:r>
        <w:rPr>
          <w:rFonts w:ascii="Arial" w:cs="Arial" w:eastAsia="Arial" w:hAnsi="Arial"/>
          <w:sz w:val="18"/>
          <w:szCs w:val="18"/>
          <w:u w:val="single" w:color="auto"/>
          <w:color w:val="auto"/>
        </w:rPr>
        <w:t>Schedule 2.14</w:t>
      </w:r>
      <w:r>
        <w:rPr>
          <w:rFonts w:ascii="Arial" w:cs="Arial" w:eastAsia="Arial" w:hAnsi="Arial"/>
          <w:sz w:val="18"/>
          <w:szCs w:val="18"/>
          <w:color w:val="auto"/>
        </w:rPr>
        <w:t>;</w:t>
      </w:r>
    </w:p>
    <w:p>
      <w:pPr>
        <w:spacing w:after="0" w:line="308" w:lineRule="exact"/>
        <w:rPr>
          <w:rFonts w:ascii="Arial" w:cs="Arial" w:eastAsia="Arial" w:hAnsi="Arial"/>
          <w:sz w:val="19"/>
          <w:szCs w:val="19"/>
          <w:color w:val="auto"/>
        </w:rPr>
      </w:pPr>
    </w:p>
    <w:p>
      <w:pPr>
        <w:ind w:left="2500" w:hanging="547"/>
        <w:spacing w:after="0"/>
        <w:tabs>
          <w:tab w:leader="none" w:pos="2500" w:val="left"/>
        </w:tabs>
        <w:numPr>
          <w:ilvl w:val="0"/>
          <w:numId w:val="28"/>
        </w:numPr>
        <w:rPr>
          <w:rFonts w:ascii="Arial" w:cs="Arial" w:eastAsia="Arial" w:hAnsi="Arial"/>
          <w:sz w:val="21"/>
          <w:szCs w:val="21"/>
          <w:color w:val="auto"/>
        </w:rPr>
      </w:pPr>
      <w:r>
        <w:rPr>
          <w:rFonts w:ascii="Arial" w:cs="Arial" w:eastAsia="Arial" w:hAnsi="Arial"/>
          <w:sz w:val="19"/>
          <w:szCs w:val="19"/>
          <w:color w:val="auto"/>
        </w:rPr>
        <w:t xml:space="preserve">for USD Revolving Loans, EWI and those Designated Borrowers identified as such on </w:t>
      </w:r>
      <w:r>
        <w:rPr>
          <w:rFonts w:ascii="Arial" w:cs="Arial" w:eastAsia="Arial" w:hAnsi="Arial"/>
          <w:sz w:val="19"/>
          <w:szCs w:val="19"/>
          <w:u w:val="single" w:color="auto"/>
          <w:color w:val="auto"/>
        </w:rPr>
        <w:t>Schedule 2.14</w:t>
      </w:r>
      <w:r>
        <w:rPr>
          <w:rFonts w:ascii="Arial" w:cs="Arial" w:eastAsia="Arial" w:hAnsi="Arial"/>
          <w:sz w:val="19"/>
          <w:szCs w:val="19"/>
          <w:color w:val="auto"/>
        </w:rPr>
        <w:t>;</w:t>
      </w:r>
    </w:p>
    <w:p>
      <w:pPr>
        <w:spacing w:after="0" w:line="285" w:lineRule="exact"/>
        <w:rPr>
          <w:rFonts w:ascii="Arial" w:cs="Arial" w:eastAsia="Arial" w:hAnsi="Arial"/>
          <w:sz w:val="21"/>
          <w:szCs w:val="21"/>
          <w:color w:val="auto"/>
        </w:rPr>
      </w:pPr>
    </w:p>
    <w:p>
      <w:pPr>
        <w:ind w:left="2560" w:hanging="607"/>
        <w:spacing w:after="0"/>
        <w:tabs>
          <w:tab w:leader="none" w:pos="2560" w:val="left"/>
        </w:tabs>
        <w:numPr>
          <w:ilvl w:val="0"/>
          <w:numId w:val="28"/>
        </w:numPr>
        <w:rPr>
          <w:rFonts w:ascii="Arial" w:cs="Arial" w:eastAsia="Arial" w:hAnsi="Arial"/>
          <w:sz w:val="21"/>
          <w:szCs w:val="21"/>
          <w:color w:val="auto"/>
        </w:rPr>
      </w:pPr>
      <w:r>
        <w:rPr>
          <w:rFonts w:ascii="Arial" w:cs="Arial" w:eastAsia="Arial" w:hAnsi="Arial"/>
          <w:sz w:val="19"/>
          <w:szCs w:val="19"/>
          <w:color w:val="auto"/>
        </w:rPr>
        <w:t xml:space="preserve">for USD Letters of Credit, EWI and those Designated Borrowers identified as such on </w:t>
      </w:r>
      <w:r>
        <w:rPr>
          <w:rFonts w:ascii="Arial" w:cs="Arial" w:eastAsia="Arial" w:hAnsi="Arial"/>
          <w:sz w:val="19"/>
          <w:szCs w:val="19"/>
          <w:u w:val="single" w:color="auto"/>
          <w:color w:val="auto"/>
        </w:rPr>
        <w:t>Schedule 2.14</w:t>
      </w:r>
      <w:r>
        <w:rPr>
          <w:rFonts w:ascii="Arial" w:cs="Arial" w:eastAsia="Arial" w:hAnsi="Arial"/>
          <w:sz w:val="19"/>
          <w:szCs w:val="19"/>
          <w:color w:val="auto"/>
        </w:rPr>
        <w:t>;</w:t>
      </w:r>
    </w:p>
    <w:p>
      <w:pPr>
        <w:spacing w:after="0" w:line="285" w:lineRule="exact"/>
        <w:rPr>
          <w:rFonts w:ascii="Arial" w:cs="Arial" w:eastAsia="Arial" w:hAnsi="Arial"/>
          <w:sz w:val="21"/>
          <w:szCs w:val="21"/>
          <w:color w:val="auto"/>
        </w:rPr>
      </w:pPr>
    </w:p>
    <w:p>
      <w:pPr>
        <w:ind w:left="2620" w:hanging="667"/>
        <w:spacing w:after="0"/>
        <w:tabs>
          <w:tab w:leader="none" w:pos="2620" w:val="left"/>
        </w:tabs>
        <w:numPr>
          <w:ilvl w:val="0"/>
          <w:numId w:val="28"/>
        </w:numPr>
        <w:rPr>
          <w:rFonts w:ascii="Arial" w:cs="Arial" w:eastAsia="Arial" w:hAnsi="Arial"/>
          <w:sz w:val="21"/>
          <w:szCs w:val="21"/>
          <w:color w:val="auto"/>
        </w:rPr>
      </w:pPr>
      <w:r>
        <w:rPr>
          <w:rFonts w:ascii="Arial" w:cs="Arial" w:eastAsia="Arial" w:hAnsi="Arial"/>
          <w:sz w:val="19"/>
          <w:szCs w:val="19"/>
          <w:color w:val="auto"/>
        </w:rPr>
        <w:t xml:space="preserve">for USD Swingline Loans, EWI and those Designated Borrowers identified as such on </w:t>
      </w:r>
      <w:r>
        <w:rPr>
          <w:rFonts w:ascii="Arial" w:cs="Arial" w:eastAsia="Arial" w:hAnsi="Arial"/>
          <w:sz w:val="19"/>
          <w:szCs w:val="19"/>
          <w:u w:val="single" w:color="auto"/>
          <w:color w:val="auto"/>
        </w:rPr>
        <w:t>Schedule 2.14</w:t>
      </w:r>
      <w:r>
        <w:rPr>
          <w:rFonts w:ascii="Arial" w:cs="Arial" w:eastAsia="Arial" w:hAnsi="Arial"/>
          <w:sz w:val="19"/>
          <w:szCs w:val="19"/>
          <w:color w:val="auto"/>
        </w:rPr>
        <w:t>;</w:t>
      </w:r>
    </w:p>
    <w:p>
      <w:pPr>
        <w:spacing w:after="0" w:line="285" w:lineRule="exact"/>
        <w:rPr>
          <w:rFonts w:ascii="Arial" w:cs="Arial" w:eastAsia="Arial" w:hAnsi="Arial"/>
          <w:sz w:val="21"/>
          <w:szCs w:val="21"/>
          <w:color w:val="auto"/>
        </w:rPr>
      </w:pPr>
    </w:p>
    <w:p>
      <w:pPr>
        <w:ind w:left="2680" w:hanging="727"/>
        <w:spacing w:after="0"/>
        <w:tabs>
          <w:tab w:leader="none" w:pos="2680" w:val="left"/>
        </w:tabs>
        <w:numPr>
          <w:ilvl w:val="0"/>
          <w:numId w:val="28"/>
        </w:numPr>
        <w:rPr>
          <w:rFonts w:ascii="Arial" w:cs="Arial" w:eastAsia="Arial" w:hAnsi="Arial"/>
          <w:sz w:val="19"/>
          <w:szCs w:val="19"/>
          <w:color w:val="auto"/>
        </w:rPr>
      </w:pPr>
      <w:r>
        <w:rPr>
          <w:rFonts w:ascii="Arial" w:cs="Arial" w:eastAsia="Arial" w:hAnsi="Arial"/>
          <w:sz w:val="18"/>
          <w:szCs w:val="18"/>
          <w:color w:val="auto"/>
        </w:rPr>
        <w:t xml:space="preserve">for European Revolving Loans, EWI and those Designated Borrowers identified as such on </w:t>
      </w:r>
      <w:r>
        <w:rPr>
          <w:rFonts w:ascii="Arial" w:cs="Arial" w:eastAsia="Arial" w:hAnsi="Arial"/>
          <w:sz w:val="18"/>
          <w:szCs w:val="18"/>
          <w:u w:val="single" w:color="auto"/>
          <w:color w:val="auto"/>
        </w:rPr>
        <w:t>Schedule 2.14</w:t>
      </w:r>
      <w:r>
        <w:rPr>
          <w:rFonts w:ascii="Arial" w:cs="Arial" w:eastAsia="Arial" w:hAnsi="Arial"/>
          <w:sz w:val="18"/>
          <w:szCs w:val="18"/>
          <w:color w:val="auto"/>
        </w:rPr>
        <w:t>;</w:t>
      </w:r>
    </w:p>
    <w:p>
      <w:pPr>
        <w:spacing w:after="0" w:line="308" w:lineRule="exact"/>
        <w:rPr>
          <w:rFonts w:ascii="Arial" w:cs="Arial" w:eastAsia="Arial" w:hAnsi="Arial"/>
          <w:sz w:val="19"/>
          <w:szCs w:val="19"/>
          <w:color w:val="auto"/>
        </w:rPr>
      </w:pPr>
    </w:p>
    <w:p>
      <w:pPr>
        <w:ind w:left="2560" w:hanging="607"/>
        <w:spacing w:after="0"/>
        <w:tabs>
          <w:tab w:leader="none" w:pos="2560" w:val="left"/>
        </w:tabs>
        <w:numPr>
          <w:ilvl w:val="0"/>
          <w:numId w:val="28"/>
        </w:numPr>
        <w:rPr>
          <w:rFonts w:ascii="Arial" w:cs="Arial" w:eastAsia="Arial" w:hAnsi="Arial"/>
          <w:sz w:val="19"/>
          <w:szCs w:val="19"/>
          <w:color w:val="auto"/>
        </w:rPr>
      </w:pPr>
      <w:r>
        <w:rPr>
          <w:rFonts w:ascii="Arial" w:cs="Arial" w:eastAsia="Arial" w:hAnsi="Arial"/>
          <w:sz w:val="18"/>
          <w:szCs w:val="18"/>
          <w:color w:val="auto"/>
        </w:rPr>
        <w:t xml:space="preserve">for European Swingline Loans, EWI and those Designated Borrowers identified as such on </w:t>
      </w:r>
      <w:r>
        <w:rPr>
          <w:rFonts w:ascii="Arial" w:cs="Arial" w:eastAsia="Arial" w:hAnsi="Arial"/>
          <w:sz w:val="18"/>
          <w:szCs w:val="18"/>
          <w:u w:val="single" w:color="auto"/>
          <w:color w:val="auto"/>
        </w:rPr>
        <w:t>Schedule 2.14</w:t>
      </w:r>
      <w:r>
        <w:rPr>
          <w:rFonts w:ascii="Arial" w:cs="Arial" w:eastAsia="Arial" w:hAnsi="Arial"/>
          <w:sz w:val="18"/>
          <w:szCs w:val="18"/>
          <w:color w:val="auto"/>
        </w:rPr>
        <w:t>;</w:t>
      </w:r>
    </w:p>
    <w:p>
      <w:pPr>
        <w:spacing w:after="0" w:line="308" w:lineRule="exact"/>
        <w:rPr>
          <w:rFonts w:ascii="Arial" w:cs="Arial" w:eastAsia="Arial" w:hAnsi="Arial"/>
          <w:sz w:val="19"/>
          <w:szCs w:val="19"/>
          <w:color w:val="auto"/>
        </w:rPr>
      </w:pPr>
    </w:p>
    <w:p>
      <w:pPr>
        <w:ind w:left="1300" w:firstLine="653"/>
        <w:spacing w:after="0" w:line="321" w:lineRule="auto"/>
        <w:tabs>
          <w:tab w:leader="none" w:pos="2488" w:val="left"/>
        </w:tabs>
        <w:numPr>
          <w:ilvl w:val="0"/>
          <w:numId w:val="28"/>
        </w:numPr>
        <w:rPr>
          <w:rFonts w:ascii="Arial" w:cs="Arial" w:eastAsia="Arial" w:hAnsi="Arial"/>
          <w:sz w:val="22"/>
          <w:szCs w:val="22"/>
          <w:color w:val="auto"/>
        </w:rPr>
      </w:pPr>
      <w:r>
        <w:rPr>
          <w:rFonts w:ascii="Arial" w:cs="Arial" w:eastAsia="Arial" w:hAnsi="Arial"/>
          <w:sz w:val="20"/>
          <w:szCs w:val="20"/>
          <w:color w:val="auto"/>
        </w:rPr>
        <w:t>for India Revolving Loans and India Letters of Credit, Euronet Services India PVT Ltd., a corporation organized and existing under the laws of India; and</w:t>
      </w:r>
    </w:p>
    <w:p>
      <w:pPr>
        <w:spacing w:after="0" w:line="175" w:lineRule="exact"/>
        <w:rPr>
          <w:rFonts w:ascii="Arial" w:cs="Arial" w:eastAsia="Arial" w:hAnsi="Arial"/>
          <w:sz w:val="22"/>
          <w:szCs w:val="22"/>
          <w:color w:val="auto"/>
        </w:rPr>
      </w:pPr>
    </w:p>
    <w:p>
      <w:pPr>
        <w:ind w:left="2560" w:hanging="607"/>
        <w:spacing w:after="0"/>
        <w:tabs>
          <w:tab w:leader="none" w:pos="2560" w:val="left"/>
        </w:tabs>
        <w:numPr>
          <w:ilvl w:val="0"/>
          <w:numId w:val="28"/>
        </w:numPr>
        <w:rPr>
          <w:rFonts w:ascii="Arial" w:cs="Arial" w:eastAsia="Arial" w:hAnsi="Arial"/>
          <w:sz w:val="22"/>
          <w:szCs w:val="22"/>
          <w:color w:val="auto"/>
        </w:rPr>
      </w:pPr>
      <w:r>
        <w:rPr>
          <w:rFonts w:ascii="Arial" w:cs="Arial" w:eastAsia="Arial" w:hAnsi="Arial"/>
          <w:sz w:val="20"/>
          <w:szCs w:val="20"/>
          <w:color w:val="auto"/>
        </w:rPr>
        <w:t>for the Term Loan A, the Term Loan A Borrower.</w:t>
      </w:r>
    </w:p>
    <w:p>
      <w:pPr>
        <w:spacing w:after="0" w:line="263" w:lineRule="exact"/>
        <w:rPr>
          <w:sz w:val="20"/>
          <w:szCs w:val="20"/>
          <w:color w:val="auto"/>
        </w:rPr>
      </w:pPr>
    </w:p>
    <w:p>
      <w:pPr>
        <w:ind w:right="80" w:firstLine="648"/>
        <w:spacing w:after="0" w:line="303"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Borrowing</w:t>
      </w:r>
      <w:r>
        <w:rPr>
          <w:rFonts w:ascii="Arial" w:cs="Arial" w:eastAsia="Arial" w:hAnsi="Arial"/>
          <w:sz w:val="20"/>
          <w:szCs w:val="20"/>
          <w:color w:val="auto"/>
        </w:rPr>
        <w:t>” means (a) a borrowing consisting of simultaneous Loans of the same Type, in the same currency and, in the case of Fixed LIBOR Rate Loans, having the same Interest Period, or (b) a borrowing of Swingline Loans, as appropriate.</w:t>
      </w:r>
    </w:p>
    <w:p>
      <w:pPr>
        <w:spacing w:after="0" w:line="17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Brazilian Reals</w:t>
      </w:r>
      <w:r>
        <w:rPr>
          <w:rFonts w:ascii="Arial" w:cs="Arial" w:eastAsia="Arial" w:hAnsi="Arial"/>
          <w:sz w:val="20"/>
          <w:szCs w:val="20"/>
          <w:color w:val="auto"/>
        </w:rPr>
        <w:t>” means the lawful currency of Brazil.</w:t>
      </w:r>
    </w:p>
    <w:p>
      <w:pPr>
        <w:spacing w:after="0" w:line="25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British Pounds Sterling</w:t>
      </w:r>
      <w:r>
        <w:rPr>
          <w:rFonts w:ascii="Arial" w:cs="Arial" w:eastAsia="Arial" w:hAnsi="Arial"/>
          <w:sz w:val="20"/>
          <w:szCs w:val="20"/>
          <w:color w:val="auto"/>
        </w:rPr>
        <w:t>”, “</w:t>
      </w:r>
      <w:r>
        <w:rPr>
          <w:rFonts w:ascii="Arial" w:cs="Arial" w:eastAsia="Arial" w:hAnsi="Arial"/>
          <w:sz w:val="20"/>
          <w:szCs w:val="20"/>
          <w:u w:val="single" w:color="auto"/>
          <w:color w:val="auto"/>
        </w:rPr>
        <w:t>Sterling</w:t>
      </w:r>
      <w:r>
        <w:rPr>
          <w:rFonts w:ascii="Arial" w:cs="Arial" w:eastAsia="Arial" w:hAnsi="Arial"/>
          <w:sz w:val="20"/>
          <w:szCs w:val="20"/>
          <w:color w:val="auto"/>
        </w:rPr>
        <w:t>” and “</w:t>
      </w:r>
      <w:r>
        <w:rPr>
          <w:rFonts w:ascii="Arial" w:cs="Arial" w:eastAsia="Arial" w:hAnsi="Arial"/>
          <w:sz w:val="20"/>
          <w:szCs w:val="20"/>
          <w:u w:val="single" w:color="auto"/>
          <w:color w:val="auto"/>
        </w:rPr>
        <w:t>£</w:t>
      </w:r>
      <w:r>
        <w:rPr>
          <w:rFonts w:ascii="Arial" w:cs="Arial" w:eastAsia="Arial" w:hAnsi="Arial"/>
          <w:sz w:val="20"/>
          <w:szCs w:val="20"/>
          <w:color w:val="auto"/>
        </w:rPr>
        <w:t>” means the lawful currency of the United Kingdom.</w:t>
      </w:r>
    </w:p>
    <w:p>
      <w:pPr>
        <w:spacing w:after="0" w:line="256" w:lineRule="exact"/>
        <w:rPr>
          <w:sz w:val="20"/>
          <w:szCs w:val="20"/>
          <w:color w:val="auto"/>
        </w:rPr>
      </w:pPr>
    </w:p>
    <w:p>
      <w:pPr>
        <w:ind w:right="40" w:firstLine="648"/>
        <w:spacing w:after="0" w:line="292"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Business Day</w:t>
      </w:r>
      <w:r>
        <w:rPr>
          <w:rFonts w:ascii="Arial" w:cs="Arial" w:eastAsia="Arial" w:hAnsi="Arial"/>
          <w:sz w:val="20"/>
          <w:szCs w:val="20"/>
          <w:color w:val="auto"/>
        </w:rPr>
        <w:t xml:space="preserve">” means any day other than a Saturday, Sunday or other day on which commercial banks are authorized to close under the Laws of, or are in fact closed in, the state where the Administrative Agent’s Office with respect to </w:t>
      </w:r>
      <w:r>
        <w:rPr>
          <w:rFonts w:ascii="Arial" w:cs="Arial" w:eastAsia="Arial" w:hAnsi="Arial"/>
          <w:sz w:val="20"/>
          <w:szCs w:val="20"/>
          <w:u w:val="single" w:color="auto"/>
          <w:color w:val="0000FF"/>
        </w:rPr>
        <w:t>Loan</w:t>
      </w:r>
      <w:r>
        <w:rPr>
          <w:rFonts w:ascii="Arial" w:cs="Arial" w:eastAsia="Arial" w:hAnsi="Arial"/>
          <w:sz w:val="20"/>
          <w:szCs w:val="20"/>
          <w:color w:val="auto"/>
        </w:rPr>
        <w:t xml:space="preserve"> Obligations denominated in Dollars is located or in the State of New York, and:</w:t>
      </w:r>
    </w:p>
    <w:p>
      <w:pPr>
        <w:spacing w:after="0" w:line="187" w:lineRule="exact"/>
        <w:rPr>
          <w:sz w:val="20"/>
          <w:szCs w:val="20"/>
          <w:color w:val="auto"/>
        </w:rPr>
      </w:pPr>
    </w:p>
    <w:p>
      <w:pPr>
        <w:ind w:left="1700" w:hanging="395"/>
        <w:spacing w:after="0"/>
        <w:tabs>
          <w:tab w:leader="none" w:pos="17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if such day relates to any interest rate settings as to a Fixed LIBOR Rate Loan denominated in Dollars, any fundings,</w:t>
      </w:r>
    </w:p>
    <w:p>
      <w:pPr>
        <w:spacing w:after="0" w:line="76" w:lineRule="exact"/>
        <w:rPr>
          <w:rFonts w:ascii="Arial" w:cs="Arial" w:eastAsia="Arial" w:hAnsi="Arial"/>
          <w:sz w:val="18"/>
          <w:szCs w:val="18"/>
          <w:color w:val="auto"/>
        </w:rPr>
      </w:pPr>
    </w:p>
    <w:p>
      <w:pPr>
        <w:ind w:left="660" w:right="80"/>
        <w:spacing w:after="0" w:line="288" w:lineRule="auto"/>
        <w:rPr>
          <w:rFonts w:ascii="Arial" w:cs="Arial" w:eastAsia="Arial" w:hAnsi="Arial"/>
          <w:sz w:val="18"/>
          <w:szCs w:val="18"/>
          <w:color w:val="auto"/>
        </w:rPr>
      </w:pPr>
      <w:r>
        <w:rPr>
          <w:rFonts w:ascii="Arial" w:cs="Arial" w:eastAsia="Arial" w:hAnsi="Arial"/>
          <w:sz w:val="20"/>
          <w:szCs w:val="20"/>
          <w:color w:val="auto"/>
        </w:rPr>
        <w:t xml:space="preserve">disbursements, settlements and payments in Dollars in respect of any such Fixed LIBOR Rate Loan, or any other dealings in Dollars to be carried out pursuant to this Credit Agreement in respect of any such Fixed LIBOR Rate Loan, means any such day </w:t>
      </w:r>
      <w:r>
        <w:rPr>
          <w:rFonts w:ascii="Arial" w:cs="Arial" w:eastAsia="Arial" w:hAnsi="Arial"/>
          <w:sz w:val="20"/>
          <w:szCs w:val="20"/>
          <w:color w:val="FF0000"/>
          <w:strike w:val="1"/>
        </w:rPr>
        <w:t>on which</w:t>
      </w:r>
      <w:r>
        <w:rPr>
          <w:rFonts w:ascii="Arial" w:cs="Arial" w:eastAsia="Arial" w:hAnsi="Arial"/>
          <w:sz w:val="20"/>
          <w:szCs w:val="20"/>
          <w:color w:val="auto"/>
        </w:rPr>
        <w:t xml:space="preserve"> </w:t>
      </w:r>
      <w:r>
        <w:rPr>
          <w:rFonts w:ascii="Arial" w:cs="Arial" w:eastAsia="Arial" w:hAnsi="Arial"/>
          <w:sz w:val="20"/>
          <w:szCs w:val="20"/>
          <w:color w:val="FF0000"/>
          <w:strike w:val="1"/>
        </w:rPr>
        <w:t>dealings in deposits in Dollars are conducted by and between banks in the London interbank eurodollar market</w:t>
      </w:r>
      <w:r>
        <w:rPr>
          <w:rFonts w:ascii="Arial" w:cs="Arial" w:eastAsia="Arial" w:hAnsi="Arial"/>
          <w:sz w:val="20"/>
          <w:szCs w:val="20"/>
          <w:u w:val="single" w:color="auto"/>
          <w:color w:val="0000FF"/>
          <w:strike w:val="1"/>
        </w:rPr>
        <w:t>that is also a London</w:t>
      </w:r>
      <w:r>
        <w:rPr>
          <w:rFonts w:ascii="Arial" w:cs="Arial" w:eastAsia="Arial" w:hAnsi="Arial"/>
          <w:sz w:val="20"/>
          <w:szCs w:val="20"/>
          <w:color w:val="FF0000"/>
          <w:strike w:val="1"/>
        </w:rPr>
        <w:t xml:space="preserve"> </w:t>
      </w:r>
      <w:r>
        <w:rPr>
          <w:rFonts w:ascii="Arial" w:cs="Arial" w:eastAsia="Arial" w:hAnsi="Arial"/>
          <w:sz w:val="20"/>
          <w:szCs w:val="20"/>
          <w:u w:val="single" w:color="auto"/>
          <w:color w:val="0000FF"/>
          <w:strike w:val="1"/>
        </w:rPr>
        <w:t>Banking Day</w:t>
      </w:r>
      <w:r>
        <w:rPr>
          <w:rFonts w:ascii="Arial" w:cs="Arial" w:eastAsia="Arial" w:hAnsi="Arial"/>
          <w:sz w:val="20"/>
          <w:szCs w:val="20"/>
          <w:color w:val="000000"/>
          <w:strike w:val="1"/>
        </w:rPr>
        <w:t>;</w:t>
      </w:r>
    </w:p>
    <w:p>
      <w:pPr>
        <w:spacing w:after="0" w:line="192" w:lineRule="exact"/>
        <w:rPr>
          <w:rFonts w:ascii="Arial" w:cs="Arial" w:eastAsia="Arial" w:hAnsi="Arial"/>
          <w:sz w:val="18"/>
          <w:szCs w:val="18"/>
          <w:color w:val="auto"/>
        </w:rPr>
      </w:pPr>
    </w:p>
    <w:p>
      <w:pPr>
        <w:ind w:left="660" w:right="640" w:firstLine="645"/>
        <w:spacing w:after="0" w:line="317" w:lineRule="auto"/>
        <w:tabs>
          <w:tab w:leader="none" w:pos="1719" w:val="left"/>
        </w:tabs>
        <w:numPr>
          <w:ilvl w:val="0"/>
          <w:numId w:val="29"/>
        </w:numPr>
        <w:rPr>
          <w:rFonts w:ascii="Arial" w:cs="Arial" w:eastAsia="Arial" w:hAnsi="Arial"/>
          <w:sz w:val="20"/>
          <w:szCs w:val="20"/>
          <w:color w:val="auto"/>
        </w:rPr>
      </w:pPr>
      <w:r>
        <w:rPr>
          <w:rFonts w:ascii="Arial" w:cs="Arial" w:eastAsia="Arial" w:hAnsi="Arial"/>
          <w:sz w:val="20"/>
          <w:szCs w:val="20"/>
          <w:color w:val="auto"/>
        </w:rPr>
        <w:t>if such day relates to any interest rate settings as to a Fixed LIBOR Rate Loan denominated in Euro, any fundings, disbursements, settlements and payments in Euro in respect</w:t>
      </w:r>
    </w:p>
    <w:p>
      <w:pPr>
        <w:spacing w:after="0" w:line="378"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17</w:t>
      </w:r>
    </w:p>
    <w:p>
      <w:pPr>
        <w:spacing w:after="0" w:line="10" w:lineRule="exact"/>
        <w:rPr>
          <w:sz w:val="20"/>
          <w:szCs w:val="20"/>
          <w:color w:val="auto"/>
        </w:rPr>
      </w:pPr>
    </w:p>
    <w:p>
      <w:pPr>
        <w:spacing w:after="0"/>
        <w:rPr>
          <w:sz w:val="20"/>
          <w:szCs w:val="20"/>
          <w:color w:val="auto"/>
        </w:rPr>
      </w:pPr>
      <w:r>
        <w:rPr>
          <w:rFonts w:ascii="Arial" w:cs="Arial" w:eastAsia="Arial" w:hAnsi="Arial"/>
          <w:sz w:val="14"/>
          <w:szCs w:val="14"/>
          <w:color w:val="auto"/>
        </w:rPr>
        <w:t>CHAR1\1346423v</w:t>
      </w:r>
      <w:r>
        <w:rPr>
          <w:rFonts w:ascii="Arial" w:cs="Arial" w:eastAsia="Arial" w:hAnsi="Arial"/>
          <w:sz w:val="14"/>
          <w:szCs w:val="14"/>
          <w:color w:val="FF0000"/>
          <w:strike w:val="1"/>
        </w:rPr>
        <w:t>1</w:t>
      </w:r>
      <w:r>
        <w:rPr>
          <w:rFonts w:ascii="Arial" w:cs="Arial" w:eastAsia="Arial" w:hAnsi="Arial"/>
          <w:sz w:val="14"/>
          <w:szCs w:val="14"/>
          <w:u w:val="single" w:color="auto"/>
          <w:color w:val="0000FF"/>
        </w:rPr>
        <w:t>12</w:t>
      </w:r>
    </w:p>
    <w:p>
      <w:pPr>
        <w:sectPr>
          <w:pgSz w:w="11900" w:h="16838" w:orient="portrait"/>
          <w:cols w:equalWidth="0" w:num="1">
            <w:col w:w="11420"/>
          </w:cols>
          <w:pgMar w:left="240" w:top="622" w:right="239" w:bottom="1440" w:gutter="0" w:footer="0" w:header="0"/>
        </w:sectPr>
      </w:pPr>
    </w:p>
    <w:bookmarkStart w:id="69" w:name="page70"/>
    <w:bookmarkEnd w:id="69"/>
    <w:p>
      <w:pPr>
        <w:ind w:left="660" w:right="300"/>
        <w:spacing w:after="0" w:line="303" w:lineRule="auto"/>
        <w:rPr>
          <w:sz w:val="20"/>
          <w:szCs w:val="20"/>
          <w:color w:val="auto"/>
        </w:rPr>
      </w:pPr>
      <w:r>
        <w:rPr>
          <w:rFonts w:ascii="Arial" w:cs="Arial" w:eastAsia="Arial" w:hAnsi="Arial"/>
          <w:sz w:val="20"/>
          <w:szCs w:val="20"/>
          <w:color w:val="auto"/>
        </w:rPr>
        <w:t>of any such Fixed LIBOR Rate Loan, or any other dealings in Euro to be carried out pursuant to this Credit Agreement in respect of any such Fixed LIBOR Rate Loan, means a TARGET Day;</w:t>
      </w:r>
    </w:p>
    <w:p>
      <w:pPr>
        <w:spacing w:after="0" w:line="176" w:lineRule="exact"/>
        <w:rPr>
          <w:sz w:val="20"/>
          <w:szCs w:val="20"/>
          <w:color w:val="auto"/>
        </w:rPr>
      </w:pPr>
    </w:p>
    <w:p>
      <w:pPr>
        <w:ind w:left="1700" w:hanging="395"/>
        <w:spacing w:after="0"/>
        <w:tabs>
          <w:tab w:leader="none" w:pos="17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if such day relates to any interest rate settings as to a Fixed LIBOR Rate Loan denominated in a currency other than</w:t>
      </w:r>
    </w:p>
    <w:p>
      <w:pPr>
        <w:spacing w:after="0" w:line="76" w:lineRule="exact"/>
        <w:rPr>
          <w:rFonts w:ascii="Arial" w:cs="Arial" w:eastAsia="Arial" w:hAnsi="Arial"/>
          <w:sz w:val="18"/>
          <w:szCs w:val="18"/>
          <w:color w:val="auto"/>
        </w:rPr>
      </w:pPr>
    </w:p>
    <w:p>
      <w:pPr>
        <w:ind w:left="660" w:right="60"/>
        <w:spacing w:after="0" w:line="303" w:lineRule="auto"/>
        <w:rPr>
          <w:rFonts w:ascii="Arial" w:cs="Arial" w:eastAsia="Arial" w:hAnsi="Arial"/>
          <w:sz w:val="18"/>
          <w:szCs w:val="18"/>
          <w:color w:val="auto"/>
        </w:rPr>
      </w:pPr>
      <w:r>
        <w:rPr>
          <w:rFonts w:ascii="Arial" w:cs="Arial" w:eastAsia="Arial" w:hAnsi="Arial"/>
          <w:sz w:val="20"/>
          <w:szCs w:val="20"/>
          <w:color w:val="auto"/>
        </w:rPr>
        <w:t>Dollars or Euro, means any such day on which dealings in deposits in the relevant currency are conducted by and between banks in the London or other applicable offshore interbank market for such currency; and</w:t>
      </w:r>
    </w:p>
    <w:p>
      <w:pPr>
        <w:spacing w:after="0" w:line="175" w:lineRule="exact"/>
        <w:rPr>
          <w:rFonts w:ascii="Arial" w:cs="Arial" w:eastAsia="Arial" w:hAnsi="Arial"/>
          <w:sz w:val="18"/>
          <w:szCs w:val="18"/>
          <w:color w:val="auto"/>
        </w:rPr>
      </w:pPr>
    </w:p>
    <w:p>
      <w:pPr>
        <w:ind w:left="1720" w:hanging="415"/>
        <w:spacing w:after="0"/>
        <w:tabs>
          <w:tab w:leader="none" w:pos="17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if such day relates to any fundings, disbursements, settlements and payments in a currency other than Dollars or Euro in</w:t>
      </w:r>
    </w:p>
    <w:p>
      <w:pPr>
        <w:spacing w:after="0" w:line="76" w:lineRule="exact"/>
        <w:rPr>
          <w:rFonts w:ascii="Arial" w:cs="Arial" w:eastAsia="Arial" w:hAnsi="Arial"/>
          <w:sz w:val="18"/>
          <w:szCs w:val="18"/>
          <w:color w:val="auto"/>
        </w:rPr>
      </w:pPr>
    </w:p>
    <w:p>
      <w:pPr>
        <w:ind w:left="660"/>
        <w:spacing w:after="0" w:line="288" w:lineRule="auto"/>
        <w:rPr>
          <w:rFonts w:ascii="Arial" w:cs="Arial" w:eastAsia="Arial" w:hAnsi="Arial"/>
          <w:sz w:val="18"/>
          <w:szCs w:val="18"/>
          <w:color w:val="auto"/>
        </w:rPr>
      </w:pPr>
      <w:r>
        <w:rPr>
          <w:rFonts w:ascii="Arial" w:cs="Arial" w:eastAsia="Arial" w:hAnsi="Arial"/>
          <w:sz w:val="20"/>
          <w:szCs w:val="20"/>
          <w:color w:val="auto"/>
        </w:rPr>
        <w:t>respect of a Fixed LIBOR Rate Loan denominated in a currency other than Dollars or Euro, or any other dealings in any currency other than Dollars or Euro to be carried out pursuant to this Credit Agreement in respect of any such Fixed LIBOR Rate Loan (other than any interest rate settings), means any such day on which banks are open for foreign exchange business in the principal financial center of the country of such currency.</w:t>
      </w:r>
    </w:p>
    <w:p>
      <w:pPr>
        <w:spacing w:after="0" w:line="193"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CAM Exchange</w:t>
      </w:r>
      <w:r>
        <w:rPr>
          <w:rFonts w:ascii="Arial" w:cs="Arial" w:eastAsia="Arial" w:hAnsi="Arial"/>
          <w:sz w:val="20"/>
          <w:szCs w:val="20"/>
          <w:color w:val="auto"/>
        </w:rPr>
        <w:t xml:space="preserve">” means the exchange of the Lenders’ interests as provided in </w:t>
      </w:r>
      <w:r>
        <w:rPr>
          <w:rFonts w:ascii="Arial" w:cs="Arial" w:eastAsia="Arial" w:hAnsi="Arial"/>
          <w:sz w:val="20"/>
          <w:szCs w:val="20"/>
          <w:u w:val="single" w:color="auto"/>
          <w:color w:val="auto"/>
        </w:rPr>
        <w:t>Section 9.04</w:t>
      </w:r>
      <w:r>
        <w:rPr>
          <w:rFonts w:ascii="Arial" w:cs="Arial" w:eastAsia="Arial" w:hAnsi="Arial"/>
          <w:sz w:val="20"/>
          <w:szCs w:val="20"/>
          <w:color w:val="auto"/>
        </w:rPr>
        <w:t>.</w:t>
      </w:r>
    </w:p>
    <w:p>
      <w:pPr>
        <w:spacing w:after="0" w:line="25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CAM Exchange Date</w:t>
      </w:r>
      <w:r>
        <w:rPr>
          <w:rFonts w:ascii="Arial" w:cs="Arial" w:eastAsia="Arial" w:hAnsi="Arial"/>
          <w:sz w:val="20"/>
          <w:szCs w:val="20"/>
          <w:color w:val="auto"/>
        </w:rPr>
        <w:t xml:space="preserve">” means the date on which an Event of Default under </w:t>
      </w:r>
      <w:r>
        <w:rPr>
          <w:rFonts w:ascii="Arial" w:cs="Arial" w:eastAsia="Arial" w:hAnsi="Arial"/>
          <w:sz w:val="20"/>
          <w:szCs w:val="20"/>
          <w:u w:val="single" w:color="auto"/>
          <w:color w:val="auto"/>
        </w:rPr>
        <w:t>Section 9.01(f)</w:t>
      </w:r>
      <w:r>
        <w:rPr>
          <w:rFonts w:ascii="Arial" w:cs="Arial" w:eastAsia="Arial" w:hAnsi="Arial"/>
          <w:sz w:val="20"/>
          <w:szCs w:val="20"/>
          <w:color w:val="auto"/>
        </w:rPr>
        <w:t xml:space="preserve"> or </w:t>
      </w:r>
      <w:r>
        <w:rPr>
          <w:rFonts w:ascii="Arial" w:cs="Arial" w:eastAsia="Arial" w:hAnsi="Arial"/>
          <w:sz w:val="20"/>
          <w:szCs w:val="20"/>
          <w:u w:val="single" w:color="auto"/>
          <w:color w:val="auto"/>
        </w:rPr>
        <w:t>(g)</w:t>
      </w:r>
      <w:r>
        <w:rPr>
          <w:rFonts w:ascii="Arial" w:cs="Arial" w:eastAsia="Arial" w:hAnsi="Arial"/>
          <w:sz w:val="20"/>
          <w:szCs w:val="20"/>
          <w:color w:val="auto"/>
        </w:rPr>
        <w:t xml:space="preserve"> shall occur.</w:t>
      </w:r>
    </w:p>
    <w:p>
      <w:pPr>
        <w:spacing w:after="0" w:line="256" w:lineRule="exact"/>
        <w:rPr>
          <w:sz w:val="20"/>
          <w:szCs w:val="20"/>
          <w:color w:val="auto"/>
        </w:rPr>
      </w:pPr>
    </w:p>
    <w:p>
      <w:pPr>
        <w:ind w:right="80" w:firstLine="648"/>
        <w:spacing w:after="0" w:line="287"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CAM Percentage</w:t>
      </w:r>
      <w:r>
        <w:rPr>
          <w:rFonts w:ascii="Arial" w:cs="Arial" w:eastAsia="Arial" w:hAnsi="Arial"/>
          <w:sz w:val="20"/>
          <w:szCs w:val="20"/>
          <w:color w:val="auto"/>
        </w:rPr>
        <w:t>” means, as to each Lender, a fraction, expressed as a decimal, of which (a) the numerator shall be the aggregate Dollar Equivalent of the sum of (i) the Specified Obligations owed to such Lender and (ii) such Lender’s participations in undrawn amounts of Letters of Credit, in each case immediately prior to the CAM Exchange Date and (b) the denominator shall be the aggregate Dollar Equivalent of the sum of (i) the Specified Obligations owed to all the Lenders and (ii) the aggregate undrawn amount of all outstanding Letters of Credit, in each case immediately prior to the CAM Exchange Date.</w:t>
      </w:r>
    </w:p>
    <w:p>
      <w:pPr>
        <w:spacing w:after="0" w:line="192"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Canadian Dollars</w:t>
      </w:r>
      <w:r>
        <w:rPr>
          <w:rFonts w:ascii="Arial" w:cs="Arial" w:eastAsia="Arial" w:hAnsi="Arial"/>
          <w:sz w:val="20"/>
          <w:szCs w:val="20"/>
          <w:color w:val="auto"/>
        </w:rPr>
        <w:t>” and “</w:t>
      </w:r>
      <w:r>
        <w:rPr>
          <w:rFonts w:ascii="Arial" w:cs="Arial" w:eastAsia="Arial" w:hAnsi="Arial"/>
          <w:sz w:val="20"/>
          <w:szCs w:val="20"/>
          <w:u w:val="single" w:color="auto"/>
          <w:color w:val="auto"/>
        </w:rPr>
        <w:t>CDN$</w:t>
      </w:r>
      <w:r>
        <w:rPr>
          <w:rFonts w:ascii="Arial" w:cs="Arial" w:eastAsia="Arial" w:hAnsi="Arial"/>
          <w:sz w:val="20"/>
          <w:szCs w:val="20"/>
          <w:color w:val="auto"/>
        </w:rPr>
        <w:t>” means the lawful currency of Canada.</w:t>
      </w:r>
    </w:p>
    <w:p>
      <w:pPr>
        <w:spacing w:after="0" w:line="256" w:lineRule="exact"/>
        <w:rPr>
          <w:sz w:val="20"/>
          <w:szCs w:val="20"/>
          <w:color w:val="auto"/>
        </w:rPr>
      </w:pPr>
    </w:p>
    <w:p>
      <w:pPr>
        <w:jc w:val="both"/>
        <w:ind w:right="80" w:firstLine="648"/>
        <w:spacing w:after="0" w:line="292"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Capital Lease</w:t>
      </w:r>
      <w:r>
        <w:rPr>
          <w:rFonts w:ascii="Arial" w:cs="Arial" w:eastAsia="Arial" w:hAnsi="Arial"/>
          <w:sz w:val="20"/>
          <w:szCs w:val="20"/>
          <w:color w:val="auto"/>
        </w:rPr>
        <w:t>” means, as applied to any Person, any lease of any property by that Person as lessee that is required to be accounted for as a capital lease on the balance sheet of that Person in accordance with GAAP as in effect on the date hereof (without regard to any change in GAAP after the date hereof).</w:t>
      </w:r>
    </w:p>
    <w:p>
      <w:pPr>
        <w:spacing w:after="0" w:line="187" w:lineRule="exact"/>
        <w:rPr>
          <w:sz w:val="20"/>
          <w:szCs w:val="20"/>
          <w:color w:val="auto"/>
        </w:rPr>
      </w:pPr>
    </w:p>
    <w:p>
      <w:pPr>
        <w:ind w:right="280" w:firstLine="648"/>
        <w:spacing w:after="0" w:line="381"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Capital Stock</w:t>
      </w:r>
      <w:r>
        <w:rPr>
          <w:rFonts w:ascii="Arial" w:cs="Arial" w:eastAsia="Arial" w:hAnsi="Arial"/>
          <w:sz w:val="16"/>
          <w:szCs w:val="16"/>
          <w:color w:val="auto"/>
        </w:rPr>
        <w:t>” means (a) in the case of a corporation, capital stock, (b) in the case of an association or business entity, any and all shares, interests, participations, rights or other equivalents (however designated) of capital stock, (c) in the case of a partnership, partnership interests (whether general or limited), (d) in the case of a limited liability company, membership interests and (e) any other interest or participation that confers on a Person the right to receive a share of the profits and losses of, or distributions of assets of, the issuing Person.</w:t>
      </w:r>
    </w:p>
    <w:p>
      <w:pPr>
        <w:spacing w:after="0" w:line="128" w:lineRule="exact"/>
        <w:rPr>
          <w:sz w:val="20"/>
          <w:szCs w:val="20"/>
          <w:color w:val="auto"/>
        </w:rPr>
      </w:pPr>
    </w:p>
    <w:p>
      <w:pPr>
        <w:ind w:right="400" w:firstLine="648"/>
        <w:spacing w:after="0" w:line="303"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Cash Collateralize</w:t>
      </w:r>
      <w:r>
        <w:rPr>
          <w:rFonts w:ascii="Arial" w:cs="Arial" w:eastAsia="Arial" w:hAnsi="Arial"/>
          <w:sz w:val="20"/>
          <w:szCs w:val="20"/>
          <w:color w:val="auto"/>
        </w:rPr>
        <w:t xml:space="preserve">” means to pledge and deposit with or deliver to the Administrative Agent, for the benefit </w:t>
      </w:r>
      <w:r>
        <w:rPr>
          <w:rFonts w:ascii="Arial" w:cs="Arial" w:eastAsia="Arial" w:hAnsi="Arial"/>
          <w:sz w:val="20"/>
          <w:szCs w:val="20"/>
          <w:u w:val="single" w:color="auto"/>
          <w:color w:val="0000FF"/>
        </w:rPr>
        <w:t>of one or more</w:t>
      </w:r>
      <w:r>
        <w:rPr>
          <w:rFonts w:ascii="Arial" w:cs="Arial" w:eastAsia="Arial" w:hAnsi="Arial"/>
          <w:sz w:val="20"/>
          <w:szCs w:val="20"/>
          <w:color w:val="auto"/>
        </w:rPr>
        <w:t xml:space="preserve"> of the Administrative Agent, L/C Issuers or Swingline Lenders (as applicable)</w:t>
      </w:r>
    </w:p>
    <w:p>
      <w:pPr>
        <w:spacing w:after="0" w:line="392" w:lineRule="exact"/>
        <w:rPr>
          <w:sz w:val="20"/>
          <w:szCs w:val="20"/>
          <w:color w:val="auto"/>
        </w:rPr>
      </w:pPr>
    </w:p>
    <w:p>
      <w:pPr>
        <w:jc w:val="center"/>
        <w:ind w:right="-39"/>
        <w:spacing w:after="0"/>
        <w:rPr>
          <w:sz w:val="20"/>
          <w:szCs w:val="20"/>
          <w:color w:val="auto"/>
        </w:rPr>
      </w:pPr>
      <w:r>
        <w:rPr>
          <w:rFonts w:ascii="Arial" w:cs="Arial" w:eastAsia="Arial" w:hAnsi="Arial"/>
          <w:sz w:val="20"/>
          <w:szCs w:val="20"/>
          <w:color w:val="auto"/>
        </w:rPr>
        <w:t>18</w:t>
      </w:r>
    </w:p>
    <w:p>
      <w:pPr>
        <w:spacing w:after="0" w:line="10" w:lineRule="exact"/>
        <w:rPr>
          <w:sz w:val="20"/>
          <w:szCs w:val="20"/>
          <w:color w:val="auto"/>
        </w:rPr>
      </w:pPr>
    </w:p>
    <w:p>
      <w:pPr>
        <w:spacing w:after="0"/>
        <w:rPr>
          <w:sz w:val="20"/>
          <w:szCs w:val="20"/>
          <w:color w:val="auto"/>
        </w:rPr>
      </w:pPr>
      <w:r>
        <w:rPr>
          <w:rFonts w:ascii="Arial" w:cs="Arial" w:eastAsia="Arial" w:hAnsi="Arial"/>
          <w:sz w:val="14"/>
          <w:szCs w:val="14"/>
          <w:color w:val="auto"/>
        </w:rPr>
        <w:t>CHAR1\1346423v</w:t>
      </w:r>
      <w:r>
        <w:rPr>
          <w:rFonts w:ascii="Arial" w:cs="Arial" w:eastAsia="Arial" w:hAnsi="Arial"/>
          <w:sz w:val="14"/>
          <w:szCs w:val="14"/>
          <w:color w:val="FF0000"/>
          <w:strike w:val="1"/>
        </w:rPr>
        <w:t>1</w:t>
      </w:r>
      <w:r>
        <w:rPr>
          <w:rFonts w:ascii="Arial" w:cs="Arial" w:eastAsia="Arial" w:hAnsi="Arial"/>
          <w:sz w:val="14"/>
          <w:szCs w:val="14"/>
          <w:u w:val="single" w:color="auto"/>
          <w:color w:val="0000FF"/>
        </w:rPr>
        <w:t>12</w:t>
      </w:r>
    </w:p>
    <w:p>
      <w:pPr>
        <w:sectPr>
          <w:pgSz w:w="11900" w:h="16838" w:orient="portrait"/>
          <w:cols w:equalWidth="0" w:num="1">
            <w:col w:w="11400"/>
          </w:cols>
          <w:pgMar w:left="240" w:top="609" w:right="259" w:bottom="1440" w:gutter="0" w:footer="0" w:header="0"/>
        </w:sectPr>
      </w:pPr>
    </w:p>
    <w:bookmarkStart w:id="70" w:name="page71"/>
    <w:bookmarkEnd w:id="70"/>
    <w:p>
      <w:pPr>
        <w:spacing w:after="0" w:line="302" w:lineRule="auto"/>
        <w:rPr>
          <w:sz w:val="20"/>
          <w:szCs w:val="20"/>
          <w:color w:val="auto"/>
        </w:rPr>
      </w:pPr>
      <w:r>
        <w:rPr>
          <w:rFonts w:ascii="Arial" w:cs="Arial" w:eastAsia="Arial" w:hAnsi="Arial"/>
          <w:sz w:val="19"/>
          <w:szCs w:val="19"/>
          <w:color w:val="auto"/>
        </w:rPr>
        <w:t xml:space="preserve">and the Lenders, as collateral for L/C Obligations, Obligations in respect of Swingline Loans, or obligations of Lenders to fund participations in respect of either thereof (as the context may require), </w:t>
      </w:r>
      <w:r>
        <w:rPr>
          <w:rFonts w:ascii="Arial" w:cs="Arial" w:eastAsia="Arial" w:hAnsi="Arial"/>
          <w:sz w:val="19"/>
          <w:szCs w:val="19"/>
          <w:u w:val="single" w:color="auto"/>
          <w:color w:val="0000FF"/>
        </w:rPr>
        <w:t>(a)</w:t>
      </w:r>
      <w:r>
        <w:rPr>
          <w:rFonts w:ascii="Arial" w:cs="Arial" w:eastAsia="Arial" w:hAnsi="Arial"/>
          <w:sz w:val="19"/>
          <w:szCs w:val="19"/>
          <w:color w:val="auto"/>
        </w:rPr>
        <w:t xml:space="preserve"> cash or deposit account balances </w:t>
      </w:r>
      <w:r>
        <w:rPr>
          <w:rFonts w:ascii="Arial" w:cs="Arial" w:eastAsia="Arial" w:hAnsi="Arial"/>
          <w:sz w:val="19"/>
          <w:szCs w:val="19"/>
          <w:color w:val="FF0000"/>
          <w:strike w:val="1"/>
        </w:rPr>
        <w:t>or,</w:t>
      </w:r>
      <w:r>
        <w:rPr>
          <w:rFonts w:ascii="Arial" w:cs="Arial" w:eastAsia="Arial" w:hAnsi="Arial"/>
          <w:sz w:val="19"/>
          <w:szCs w:val="19"/>
          <w:u w:val="single" w:color="auto"/>
          <w:color w:val="0000FF"/>
        </w:rPr>
        <w:t>, (b) backstop letters of credit entered into on</w:t>
      </w:r>
      <w:r>
        <w:rPr>
          <w:rFonts w:ascii="Arial" w:cs="Arial" w:eastAsia="Arial" w:hAnsi="Arial"/>
          <w:sz w:val="19"/>
          <w:szCs w:val="19"/>
          <w:color w:val="auto"/>
        </w:rPr>
        <w:t xml:space="preserve"> </w:t>
      </w:r>
      <w:r>
        <w:rPr>
          <w:rFonts w:ascii="Arial" w:cs="Arial" w:eastAsia="Arial" w:hAnsi="Arial"/>
          <w:sz w:val="19"/>
          <w:szCs w:val="19"/>
          <w:u w:val="single" w:color="auto"/>
          <w:color w:val="0000FF"/>
        </w:rPr>
        <w:t>terms, from issuers and in amounts satisfactory to the Administrative Agent and the L/C Issuer, and/or (c)</w:t>
      </w:r>
      <w:r>
        <w:rPr>
          <w:rFonts w:ascii="Arial" w:cs="Arial" w:eastAsia="Arial" w:hAnsi="Arial"/>
          <w:sz w:val="19"/>
          <w:szCs w:val="19"/>
          <w:color w:val="0000FF"/>
        </w:rPr>
        <w:t xml:space="preserve"> </w:t>
      </w:r>
      <w:r>
        <w:rPr>
          <w:rFonts w:ascii="Arial" w:cs="Arial" w:eastAsia="Arial" w:hAnsi="Arial"/>
          <w:sz w:val="19"/>
          <w:szCs w:val="19"/>
          <w:color w:val="000000"/>
        </w:rPr>
        <w:t>if the applicable L/C Issuer or</w:t>
      </w:r>
      <w:r>
        <w:rPr>
          <w:rFonts w:ascii="Arial" w:cs="Arial" w:eastAsia="Arial" w:hAnsi="Arial"/>
          <w:sz w:val="19"/>
          <w:szCs w:val="19"/>
          <w:color w:val="0000FF"/>
        </w:rPr>
        <w:t xml:space="preserve"> </w:t>
      </w:r>
      <w:r>
        <w:rPr>
          <w:rFonts w:ascii="Arial" w:cs="Arial" w:eastAsia="Arial" w:hAnsi="Arial"/>
          <w:sz w:val="19"/>
          <w:szCs w:val="19"/>
          <w:color w:val="000000"/>
        </w:rPr>
        <w:t xml:space="preserve">Swingline Lender benefitting from such collateral shall agree in its sole discretion, other credit support, in each case pursuant to documentation in form and substance reasonably satisfactory to </w:t>
      </w:r>
      <w:r>
        <w:rPr>
          <w:rFonts w:ascii="Arial" w:cs="Arial" w:eastAsia="Arial" w:hAnsi="Arial"/>
          <w:sz w:val="19"/>
          <w:szCs w:val="19"/>
          <w:color w:val="FF0000"/>
          <w:strike w:val="1"/>
        </w:rPr>
        <w:t>(a)</w:t>
      </w:r>
      <w:r>
        <w:rPr>
          <w:rFonts w:ascii="Arial" w:cs="Arial" w:eastAsia="Arial" w:hAnsi="Arial"/>
          <w:sz w:val="19"/>
          <w:szCs w:val="19"/>
          <w:color w:val="000000"/>
        </w:rPr>
        <w:t xml:space="preserve"> the Administrative Agent and </w:t>
      </w:r>
      <w:r>
        <w:rPr>
          <w:rFonts w:ascii="Arial" w:cs="Arial" w:eastAsia="Arial" w:hAnsi="Arial"/>
          <w:sz w:val="19"/>
          <w:szCs w:val="19"/>
          <w:color w:val="FF0000"/>
          <w:strike w:val="1"/>
        </w:rPr>
        <w:t>(b)</w:t>
      </w:r>
      <w:r>
        <w:rPr>
          <w:rFonts w:ascii="Arial" w:cs="Arial" w:eastAsia="Arial" w:hAnsi="Arial"/>
          <w:sz w:val="19"/>
          <w:szCs w:val="19"/>
          <w:color w:val="000000"/>
        </w:rPr>
        <w:t xml:space="preserve"> the applicable L/C Issuer or the applicable Swingline Lender (as applicable). </w:t>
      </w:r>
      <w:r>
        <w:rPr>
          <w:rFonts w:ascii="Arial" w:cs="Arial" w:eastAsia="Arial" w:hAnsi="Arial"/>
          <w:sz w:val="19"/>
          <w:szCs w:val="19"/>
          <w:color w:val="FF0000"/>
          <w:strike w:val="1"/>
        </w:rPr>
        <w:t>Derivatives of such term have corresponding meanings</w:t>
      </w:r>
      <w:r>
        <w:rPr>
          <w:rFonts w:ascii="Arial" w:cs="Arial" w:eastAsia="Arial" w:hAnsi="Arial"/>
          <w:sz w:val="19"/>
          <w:szCs w:val="19"/>
          <w:color w:val="000000"/>
        </w:rPr>
        <w:t xml:space="preserve"> </w:t>
      </w:r>
      <w:r>
        <w:rPr>
          <w:rFonts w:ascii="Arial" w:cs="Arial" w:eastAsia="Arial" w:hAnsi="Arial"/>
          <w:sz w:val="19"/>
          <w:szCs w:val="19"/>
          <w:u w:val="single" w:color="auto"/>
          <w:color w:val="0000FF"/>
        </w:rPr>
        <w:t>“Cash Collateral” shall have a meaning correlative to the</w:t>
      </w:r>
      <w:r>
        <w:rPr>
          <w:rFonts w:ascii="Arial" w:cs="Arial" w:eastAsia="Arial" w:hAnsi="Arial"/>
          <w:sz w:val="19"/>
          <w:szCs w:val="19"/>
          <w:color w:val="000000"/>
        </w:rPr>
        <w:t xml:space="preserve"> </w:t>
      </w:r>
      <w:r>
        <w:rPr>
          <w:rFonts w:ascii="Arial" w:cs="Arial" w:eastAsia="Arial" w:hAnsi="Arial"/>
          <w:sz w:val="19"/>
          <w:szCs w:val="19"/>
          <w:u w:val="single" w:color="auto"/>
          <w:color w:val="0000FF"/>
        </w:rPr>
        <w:t>foregoing and shall include the proceeds of such Cash Collateral and other credit support</w:t>
      </w:r>
      <w:r>
        <w:rPr>
          <w:rFonts w:ascii="Arial" w:cs="Arial" w:eastAsia="Arial" w:hAnsi="Arial"/>
          <w:sz w:val="19"/>
          <w:szCs w:val="19"/>
          <w:color w:val="000000"/>
        </w:rPr>
        <w:t>.</w:t>
      </w:r>
    </w:p>
    <w:p>
      <w:pPr>
        <w:spacing w:after="0" w:line="182" w:lineRule="exact"/>
        <w:rPr>
          <w:sz w:val="20"/>
          <w:szCs w:val="20"/>
          <w:color w:val="auto"/>
        </w:rPr>
      </w:pPr>
    </w:p>
    <w:p>
      <w:pPr>
        <w:ind w:right="160" w:firstLine="648"/>
        <w:spacing w:after="0" w:line="31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Cash Equivalents</w:t>
      </w:r>
      <w:r>
        <w:rPr>
          <w:rFonts w:ascii="Arial" w:cs="Arial" w:eastAsia="Arial" w:hAnsi="Arial"/>
          <w:sz w:val="18"/>
          <w:szCs w:val="18"/>
          <w:color w:val="auto"/>
        </w:rPr>
        <w:t>” means (a) securities issued or directly and fully guaranteed or insured by the United States or any agency or instrumentality thereof (provided that the full faith and credit of the United States is pledged in support thereof) having maturities of not more than twelve months from the date of acquisition, (b) time deposits and certificates of deposit of any Approved Bank, in each case with maturities of (i) if such deposits may be withdrawn at any time without penalty, any duration and (ii) in all other cases, not more than thirteen</w:t>
      </w:r>
    </w:p>
    <w:p>
      <w:pPr>
        <w:spacing w:after="0" w:line="1" w:lineRule="exact"/>
        <w:rPr>
          <w:sz w:val="20"/>
          <w:szCs w:val="20"/>
          <w:color w:val="auto"/>
        </w:rPr>
      </w:pPr>
    </w:p>
    <w:p>
      <w:pPr>
        <w:ind w:firstLine="8"/>
        <w:spacing w:after="0" w:line="268" w:lineRule="exact"/>
        <w:tabs>
          <w:tab w:leader="none" w:pos="379" w:val="left"/>
        </w:tabs>
        <w:numPr>
          <w:ilvl w:val="0"/>
          <w:numId w:val="31"/>
        </w:numPr>
        <w:rPr>
          <w:rFonts w:ascii="Arial" w:cs="Arial" w:eastAsia="Arial" w:hAnsi="Arial"/>
          <w:sz w:val="18"/>
          <w:szCs w:val="18"/>
          <w:color w:val="auto"/>
        </w:rPr>
      </w:pPr>
      <w:r>
        <w:rPr>
          <w:rFonts w:ascii="Arial" w:cs="Arial" w:eastAsia="Arial" w:hAnsi="Arial"/>
          <w:sz w:val="18"/>
          <w:szCs w:val="18"/>
          <w:color w:val="auto"/>
        </w:rPr>
        <w:t>months from the date of acquisition, (c) commercial paper and variable or fixed rate notes issued by any Approved Bank (or by the parent company thereof) or any variable rate notes issued by, or guaranteed by, any domestic corporation rated A</w:t>
      </w:r>
      <w:r>
        <w:rPr>
          <w:rFonts w:ascii="MS PGothic" w:cs="MS PGothic" w:eastAsia="MS PGothic" w:hAnsi="MS PGothic"/>
          <w:sz w:val="18"/>
          <w:szCs w:val="18"/>
          <w:color w:val="auto"/>
        </w:rPr>
        <w:t>‑</w:t>
      </w:r>
      <w:r>
        <w:rPr>
          <w:rFonts w:ascii="Arial" w:cs="Arial" w:eastAsia="Arial" w:hAnsi="Arial"/>
          <w:sz w:val="18"/>
          <w:szCs w:val="18"/>
          <w:color w:val="auto"/>
        </w:rPr>
        <w:t>2 (or the equivalent thereof) or better by S&amp;P or P</w:t>
      </w:r>
      <w:r>
        <w:rPr>
          <w:rFonts w:ascii="MS PGothic" w:cs="MS PGothic" w:eastAsia="MS PGothic" w:hAnsi="MS PGothic"/>
          <w:sz w:val="18"/>
          <w:szCs w:val="18"/>
          <w:color w:val="auto"/>
        </w:rPr>
        <w:t>‑</w:t>
      </w:r>
      <w:r>
        <w:rPr>
          <w:rFonts w:ascii="Arial" w:cs="Arial" w:eastAsia="Arial" w:hAnsi="Arial"/>
          <w:sz w:val="18"/>
          <w:szCs w:val="18"/>
          <w:color w:val="auto"/>
        </w:rPr>
        <w:t xml:space="preserve">2 (or the equivalent thereof) or better by Moody’s and maturing within thirteen (13) months of the date of acquisition, (d) repurchase agreements entered into by any Person with a bank or trust company (including any of the Lenders) or recognized securities dealer having capital and surplus in excess of $500 million for direct obligations issued by or fully guaranteed by the United States in which such Person shall have a perfected first priority security interest (subject to no other Liens) and having, on the date of purchase thereof, a fair market value of at least 100% of the amount of the repurchase obligations, (e) Investments (classified in accordance with GAAP as current assets) in money market investment programs registered under the Investment Company Act of 1940, as amended, that are administered by reputable financial institutions having capital of at least $500 million and the portfolios of which are limited to Investments of the character described in the foregoing subclauses hereof and (f) any cash collateral permitted under </w:t>
      </w:r>
      <w:r>
        <w:rPr>
          <w:rFonts w:ascii="Arial" w:cs="Arial" w:eastAsia="Arial" w:hAnsi="Arial"/>
          <w:sz w:val="18"/>
          <w:szCs w:val="18"/>
          <w:u w:val="single" w:color="auto"/>
          <w:color w:val="auto"/>
        </w:rPr>
        <w:t>Section 8.01(o)</w:t>
      </w:r>
      <w:r>
        <w:rPr>
          <w:rFonts w:ascii="Arial" w:cs="Arial" w:eastAsia="Arial" w:hAnsi="Arial"/>
          <w:sz w:val="18"/>
          <w:szCs w:val="18"/>
          <w:color w:val="auto"/>
        </w:rPr>
        <w:t>.</w:t>
      </w:r>
    </w:p>
    <w:p>
      <w:pPr>
        <w:spacing w:after="0" w:line="244" w:lineRule="exact"/>
        <w:rPr>
          <w:sz w:val="20"/>
          <w:szCs w:val="20"/>
          <w:color w:val="auto"/>
        </w:rPr>
      </w:pPr>
    </w:p>
    <w:p>
      <w:pPr>
        <w:ind w:right="80" w:firstLine="648"/>
        <w:spacing w:after="0" w:line="284"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Change in Law</w:t>
      </w:r>
      <w:r>
        <w:rPr>
          <w:rFonts w:ascii="Arial" w:cs="Arial" w:eastAsia="Arial" w:hAnsi="Arial"/>
          <w:sz w:val="20"/>
          <w:szCs w:val="20"/>
          <w:color w:val="auto"/>
        </w:rPr>
        <w:t xml:space="preserve">” means the occurrence, after the </w:t>
      </w:r>
      <w:r>
        <w:rPr>
          <w:rFonts w:ascii="Arial" w:cs="Arial" w:eastAsia="Arial" w:hAnsi="Arial"/>
          <w:sz w:val="20"/>
          <w:szCs w:val="20"/>
          <w:color w:val="FF0000"/>
          <w:strike w:val="1"/>
        </w:rPr>
        <w:t>date of this Credit Agreement</w:t>
      </w:r>
      <w:r>
        <w:rPr>
          <w:rFonts w:ascii="Arial" w:cs="Arial" w:eastAsia="Arial" w:hAnsi="Arial"/>
          <w:sz w:val="20"/>
          <w:szCs w:val="20"/>
          <w:u w:val="single" w:color="auto"/>
          <w:color w:val="0000FF"/>
        </w:rPr>
        <w:t>Amendment No. 1 Effective Date</w:t>
      </w:r>
      <w:r>
        <w:rPr>
          <w:rFonts w:ascii="Arial" w:cs="Arial" w:eastAsia="Arial" w:hAnsi="Arial"/>
          <w:sz w:val="20"/>
          <w:szCs w:val="20"/>
          <w:color w:val="auto"/>
        </w:rPr>
        <w:t xml:space="preserve">, of any of the following: (a) the adoption or taking effect of any law, rule, regulation or treaty, (b) any change in any law, rule, regulation or treaty or in the administration, interpretation, implementation or application thereof by any Governmental Authority or (c) the making or issuance of any request, rule, guideline or directive (whether or not having the force of law) by any Governmental Authority; provided that notwithstanding anything herein to the contrary, (x) the Dodd-Frank Wall Street Reform and Consumer Protection Act and all requests, rules, guidelines or directives thereunder or issued in connection therewith and (y) all requests, rules, guidelines or directives promulgated by the Bank for International Settlements, the Basel Committee on Banking Supervision (or any successor or similar authority) or the United States </w:t>
      </w:r>
      <w:r>
        <w:rPr>
          <w:rFonts w:ascii="Arial" w:cs="Arial" w:eastAsia="Arial" w:hAnsi="Arial"/>
          <w:sz w:val="20"/>
          <w:szCs w:val="20"/>
          <w:u w:val="single" w:color="auto"/>
          <w:color w:val="0000FF"/>
        </w:rPr>
        <w:t>or foreign</w:t>
      </w:r>
      <w:r>
        <w:rPr>
          <w:rFonts w:ascii="Arial" w:cs="Arial" w:eastAsia="Arial" w:hAnsi="Arial"/>
          <w:sz w:val="20"/>
          <w:szCs w:val="20"/>
          <w:color w:val="auto"/>
        </w:rPr>
        <w:t xml:space="preserve"> regulatory authorities, in each case pursuant to Basel III, shall in each case be deemed to be a “Change in Law”, regardless of the date enacted, adopted or issued.</w:t>
      </w: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19</w:t>
      </w:r>
    </w:p>
    <w:p>
      <w:pPr>
        <w:spacing w:after="0" w:line="10" w:lineRule="exact"/>
        <w:rPr>
          <w:sz w:val="20"/>
          <w:szCs w:val="20"/>
          <w:color w:val="auto"/>
        </w:rPr>
      </w:pPr>
    </w:p>
    <w:p>
      <w:pPr>
        <w:spacing w:after="0"/>
        <w:rPr>
          <w:sz w:val="20"/>
          <w:szCs w:val="20"/>
          <w:color w:val="auto"/>
        </w:rPr>
      </w:pPr>
      <w:r>
        <w:rPr>
          <w:rFonts w:ascii="Arial" w:cs="Arial" w:eastAsia="Arial" w:hAnsi="Arial"/>
          <w:sz w:val="14"/>
          <w:szCs w:val="14"/>
          <w:color w:val="auto"/>
        </w:rPr>
        <w:t>CHAR1\1346423v</w:t>
      </w:r>
      <w:r>
        <w:rPr>
          <w:rFonts w:ascii="Arial" w:cs="Arial" w:eastAsia="Arial" w:hAnsi="Arial"/>
          <w:sz w:val="14"/>
          <w:szCs w:val="14"/>
          <w:color w:val="FF0000"/>
          <w:strike w:val="1"/>
        </w:rPr>
        <w:t>1</w:t>
      </w:r>
      <w:r>
        <w:rPr>
          <w:rFonts w:ascii="Arial" w:cs="Arial" w:eastAsia="Arial" w:hAnsi="Arial"/>
          <w:sz w:val="14"/>
          <w:szCs w:val="14"/>
          <w:u w:val="single" w:color="auto"/>
          <w:color w:val="0000FF"/>
        </w:rPr>
        <w:t>12</w:t>
      </w:r>
    </w:p>
    <w:p>
      <w:pPr>
        <w:sectPr>
          <w:pgSz w:w="11900" w:h="16838" w:orient="portrait"/>
          <w:cols w:equalWidth="0" w:num="1">
            <w:col w:w="11400"/>
          </w:cols>
          <w:pgMar w:left="240" w:top="609" w:right="259" w:bottom="1440" w:gutter="0" w:footer="0" w:header="0"/>
        </w:sectPr>
      </w:pPr>
    </w:p>
    <w:bookmarkStart w:id="71" w:name="page72"/>
    <w:bookmarkEnd w:id="71"/>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Change of Control</w:t>
      </w:r>
      <w:r>
        <w:rPr>
          <w:rFonts w:ascii="Arial" w:cs="Arial" w:eastAsia="Arial" w:hAnsi="Arial"/>
          <w:sz w:val="20"/>
          <w:szCs w:val="20"/>
          <w:color w:val="auto"/>
        </w:rPr>
        <w:t>” means, with respect to EWI, an event or series of events by which:</w:t>
      </w:r>
    </w:p>
    <w:p>
      <w:pPr>
        <w:spacing w:after="0" w:line="256" w:lineRule="exact"/>
        <w:rPr>
          <w:sz w:val="20"/>
          <w:szCs w:val="20"/>
          <w:color w:val="auto"/>
        </w:rPr>
      </w:pPr>
    </w:p>
    <w:p>
      <w:pPr>
        <w:ind w:left="1700" w:hanging="395"/>
        <w:spacing w:after="0"/>
        <w:tabs>
          <w:tab w:leader="none" w:pos="17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any “person” or “group” (as such terms are used in Sections 13(d) and 14(d) of the Securities Exchange Act of 1934, but</w:t>
      </w:r>
    </w:p>
    <w:p>
      <w:pPr>
        <w:spacing w:after="0" w:line="76" w:lineRule="exact"/>
        <w:rPr>
          <w:rFonts w:ascii="Arial" w:cs="Arial" w:eastAsia="Arial" w:hAnsi="Arial"/>
          <w:sz w:val="18"/>
          <w:szCs w:val="18"/>
          <w:color w:val="auto"/>
        </w:rPr>
      </w:pPr>
    </w:p>
    <w:p>
      <w:pPr>
        <w:ind w:left="660"/>
        <w:spacing w:after="0" w:line="267" w:lineRule="exact"/>
        <w:rPr>
          <w:rFonts w:ascii="Arial" w:cs="Arial" w:eastAsia="Arial" w:hAnsi="Arial"/>
          <w:sz w:val="18"/>
          <w:szCs w:val="18"/>
          <w:color w:val="auto"/>
        </w:rPr>
      </w:pPr>
      <w:r>
        <w:rPr>
          <w:rFonts w:ascii="Arial" w:cs="Arial" w:eastAsia="Arial" w:hAnsi="Arial"/>
          <w:sz w:val="18"/>
          <w:szCs w:val="18"/>
          <w:color w:val="auto"/>
        </w:rPr>
        <w:t>excluding any employee benefit plan of such person or its subsidiaries, and any person or entity acting in its capacity as trustee, agent or other fiduciary or administrator of any such plan) becomes the “beneficial owner” (as defined in Rules 13d</w:t>
      </w:r>
      <w:r>
        <w:rPr>
          <w:rFonts w:ascii="MS PGothic" w:cs="MS PGothic" w:eastAsia="MS PGothic" w:hAnsi="MS PGothic"/>
          <w:sz w:val="18"/>
          <w:szCs w:val="18"/>
          <w:color w:val="auto"/>
        </w:rPr>
        <w:t>‑</w:t>
      </w:r>
      <w:r>
        <w:rPr>
          <w:rFonts w:ascii="Arial" w:cs="Arial" w:eastAsia="Arial" w:hAnsi="Arial"/>
          <w:sz w:val="18"/>
          <w:szCs w:val="18"/>
          <w:color w:val="auto"/>
        </w:rPr>
        <w:t>3 and 13d</w:t>
      </w:r>
      <w:r>
        <w:rPr>
          <w:rFonts w:ascii="MS PGothic" w:cs="MS PGothic" w:eastAsia="MS PGothic" w:hAnsi="MS PGothic"/>
          <w:sz w:val="18"/>
          <w:szCs w:val="18"/>
          <w:color w:val="auto"/>
        </w:rPr>
        <w:t>‑</w:t>
      </w:r>
      <w:r>
        <w:rPr>
          <w:rFonts w:ascii="Arial" w:cs="Arial" w:eastAsia="Arial" w:hAnsi="Arial"/>
          <w:sz w:val="18"/>
          <w:szCs w:val="18"/>
          <w:color w:val="auto"/>
        </w:rPr>
        <w:t>5 under the Securities Exchange Act of 1934, except that a person or group shall be deemed to have “beneficial ownership” of all securities that such person or group has the right to acquire (such right, an “</w:t>
      </w:r>
      <w:r>
        <w:rPr>
          <w:rFonts w:ascii="Arial" w:cs="Arial" w:eastAsia="Arial" w:hAnsi="Arial"/>
          <w:sz w:val="18"/>
          <w:szCs w:val="18"/>
          <w:u w:val="single" w:color="auto"/>
          <w:color w:val="auto"/>
        </w:rPr>
        <w:t>option right</w:t>
      </w:r>
      <w:r>
        <w:rPr>
          <w:rFonts w:ascii="Arial" w:cs="Arial" w:eastAsia="Arial" w:hAnsi="Arial"/>
          <w:sz w:val="18"/>
          <w:szCs w:val="18"/>
          <w:color w:val="auto"/>
        </w:rPr>
        <w:t xml:space="preserve">”), whether such right is exercisable immediately or only after the passage of time), directly or indirectly, of 50% or more of the equity securities of such Person entitled to vote for members of the board of directors or equivalent governing body of such Person on a fully diluted basis (and taking into account all such securities that such person or group has the right to acquire pursuant to any option right); </w:t>
      </w:r>
      <w:r>
        <w:rPr>
          <w:rFonts w:ascii="Arial" w:cs="Arial" w:eastAsia="Arial" w:hAnsi="Arial"/>
          <w:sz w:val="18"/>
          <w:szCs w:val="18"/>
          <w:u w:val="single" w:color="auto"/>
          <w:color w:val="0000FF"/>
        </w:rPr>
        <w:t>or</w:t>
      </w:r>
    </w:p>
    <w:p>
      <w:pPr>
        <w:spacing w:after="0" w:line="241" w:lineRule="exact"/>
        <w:rPr>
          <w:rFonts w:ascii="Arial" w:cs="Arial" w:eastAsia="Arial" w:hAnsi="Arial"/>
          <w:sz w:val="18"/>
          <w:szCs w:val="18"/>
          <w:color w:val="auto"/>
        </w:rPr>
      </w:pPr>
    </w:p>
    <w:p>
      <w:pPr>
        <w:ind w:left="1720" w:hanging="415"/>
        <w:spacing w:after="0"/>
        <w:tabs>
          <w:tab w:leader="none" w:pos="1720" w:val="left"/>
        </w:tabs>
        <w:numPr>
          <w:ilvl w:val="0"/>
          <w:numId w:val="32"/>
        </w:numPr>
        <w:rPr>
          <w:rFonts w:ascii="Arial" w:cs="Arial" w:eastAsia="Arial" w:hAnsi="Arial"/>
          <w:sz w:val="19"/>
          <w:szCs w:val="19"/>
          <w:color w:val="auto"/>
        </w:rPr>
      </w:pPr>
      <w:r>
        <w:rPr>
          <w:rFonts w:ascii="Arial" w:cs="Arial" w:eastAsia="Arial" w:hAnsi="Arial"/>
          <w:sz w:val="19"/>
          <w:szCs w:val="19"/>
          <w:color w:val="auto"/>
        </w:rPr>
        <w:t>during any period of twelve (12) consecutive months, a majority of the members of the board of directors or other</w:t>
      </w:r>
    </w:p>
    <w:p>
      <w:pPr>
        <w:spacing w:after="0" w:line="65" w:lineRule="exact"/>
        <w:rPr>
          <w:rFonts w:ascii="Arial" w:cs="Arial" w:eastAsia="Arial" w:hAnsi="Arial"/>
          <w:sz w:val="19"/>
          <w:szCs w:val="19"/>
          <w:color w:val="auto"/>
        </w:rPr>
      </w:pPr>
    </w:p>
    <w:p>
      <w:pPr>
        <w:ind w:left="660" w:right="40"/>
        <w:spacing w:after="0" w:line="319" w:lineRule="auto"/>
        <w:rPr>
          <w:rFonts w:ascii="Arial" w:cs="Arial" w:eastAsia="Arial" w:hAnsi="Arial"/>
          <w:sz w:val="19"/>
          <w:szCs w:val="19"/>
          <w:color w:val="auto"/>
        </w:rPr>
      </w:pPr>
      <w:r>
        <w:rPr>
          <w:rFonts w:ascii="Arial" w:cs="Arial" w:eastAsia="Arial" w:hAnsi="Arial"/>
          <w:sz w:val="18"/>
          <w:szCs w:val="18"/>
          <w:color w:val="auto"/>
        </w:rPr>
        <w:t xml:space="preserve">equivalent governing body of such Person cease to be composed of individuals (i) who were members of that board or equivalent governing body on the first day of such period, (ii) whose election or nomination to that board or equivalent governing body was approved by individuals referred to in </w:t>
      </w:r>
      <w:r>
        <w:rPr>
          <w:rFonts w:ascii="Arial" w:cs="Arial" w:eastAsia="Arial" w:hAnsi="Arial"/>
          <w:sz w:val="18"/>
          <w:szCs w:val="18"/>
          <w:u w:val="single" w:color="auto"/>
          <w:color w:val="auto"/>
        </w:rPr>
        <w:t>clause (i)</w:t>
      </w:r>
      <w:r>
        <w:rPr>
          <w:rFonts w:ascii="Arial" w:cs="Arial" w:eastAsia="Arial" w:hAnsi="Arial"/>
          <w:sz w:val="18"/>
          <w:szCs w:val="18"/>
          <w:color w:val="auto"/>
        </w:rPr>
        <w:t xml:space="preserve"> above constituting at the time of such election or nomination at least a majority of that board or equivalent governing body or (iii) whose election or nomination to that board or other equivalent governing body was approved by individuals referred to in </w:t>
      </w:r>
      <w:r>
        <w:rPr>
          <w:rFonts w:ascii="Arial" w:cs="Arial" w:eastAsia="Arial" w:hAnsi="Arial"/>
          <w:sz w:val="18"/>
          <w:szCs w:val="18"/>
          <w:u w:val="single" w:color="auto"/>
          <w:color w:val="auto"/>
        </w:rPr>
        <w:t>clauses (i)</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(ii)</w:t>
      </w:r>
      <w:r>
        <w:rPr>
          <w:rFonts w:ascii="Arial" w:cs="Arial" w:eastAsia="Arial" w:hAnsi="Arial"/>
          <w:sz w:val="18"/>
          <w:szCs w:val="18"/>
          <w:color w:val="auto"/>
        </w:rPr>
        <w:t xml:space="preserve"> above constituting at the time of such election or nomination at least a majority of that board or equivalent governing body (excluding, in the case of both </w:t>
      </w:r>
      <w:r>
        <w:rPr>
          <w:rFonts w:ascii="Arial" w:cs="Arial" w:eastAsia="Arial" w:hAnsi="Arial"/>
          <w:sz w:val="18"/>
          <w:szCs w:val="18"/>
          <w:u w:val="single" w:color="auto"/>
          <w:color w:val="auto"/>
        </w:rPr>
        <w:t>clauses (ii)</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(iii)</w:t>
      </w:r>
      <w:r>
        <w:rPr>
          <w:rFonts w:ascii="Arial" w:cs="Arial" w:eastAsia="Arial" w:hAnsi="Arial"/>
          <w:sz w:val="18"/>
          <w:szCs w:val="18"/>
          <w:color w:val="auto"/>
        </w:rPr>
        <w:t>, any individual whose initial nomination for, or assumption of office as, a member of that board or equivalent governing body occurs as a result of an actual or threatened solicitation of proxies or consents for the election or removal of one or more directors by any person or group other than a solicitation for the election of one or more directors by or on behalf of the board of directors)</w:t>
      </w:r>
      <w:r>
        <w:rPr>
          <w:rFonts w:ascii="Arial" w:cs="Arial" w:eastAsia="Arial" w:hAnsi="Arial"/>
          <w:sz w:val="18"/>
          <w:szCs w:val="18"/>
          <w:color w:val="FF0000"/>
          <w:strike w:val="1"/>
        </w:rPr>
        <w:t>; or</w:t>
      </w:r>
    </w:p>
    <w:p>
      <w:pPr>
        <w:spacing w:after="0" w:line="170" w:lineRule="exact"/>
        <w:rPr>
          <w:rFonts w:ascii="Arial" w:cs="Arial" w:eastAsia="Arial" w:hAnsi="Arial"/>
          <w:sz w:val="19"/>
          <w:szCs w:val="19"/>
          <w:color w:val="auto"/>
        </w:rPr>
      </w:pPr>
    </w:p>
    <w:p>
      <w:pPr>
        <w:ind w:left="1720" w:hanging="415"/>
        <w:spacing w:after="0"/>
        <w:tabs>
          <w:tab w:leader="none" w:pos="1720" w:val="left"/>
        </w:tabs>
        <w:numPr>
          <w:ilvl w:val="0"/>
          <w:numId w:val="32"/>
        </w:numPr>
        <w:rPr>
          <w:rFonts w:ascii="Arial" w:cs="Arial" w:eastAsia="Arial" w:hAnsi="Arial"/>
          <w:sz w:val="20"/>
          <w:szCs w:val="20"/>
          <w:color w:val="FF0000"/>
          <w:strike w:val="1"/>
        </w:rPr>
      </w:pPr>
      <w:r>
        <w:rPr>
          <w:rFonts w:ascii="Arial" w:cs="Arial" w:eastAsia="Arial" w:hAnsi="Arial"/>
          <w:sz w:val="20"/>
          <w:szCs w:val="20"/>
          <w:color w:val="FF0000"/>
          <w:strike w:val="1"/>
        </w:rPr>
        <w:t>the occurrence of a “Change of Control” under any of the Convertible Debentures</w:t>
      </w:r>
      <w:r>
        <w:rPr>
          <w:rFonts w:ascii="Arial" w:cs="Arial" w:eastAsia="Arial" w:hAnsi="Arial"/>
          <w:sz w:val="20"/>
          <w:szCs w:val="20"/>
          <w:color w:val="000000"/>
        </w:rPr>
        <w:t>.</w:t>
      </w:r>
    </w:p>
    <w:p>
      <w:pPr>
        <w:spacing w:after="0" w:line="25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Closing Date</w:t>
      </w:r>
      <w:r>
        <w:rPr>
          <w:rFonts w:ascii="Arial" w:cs="Arial" w:eastAsia="Arial" w:hAnsi="Arial"/>
          <w:sz w:val="18"/>
          <w:szCs w:val="18"/>
          <w:color w:val="auto"/>
        </w:rPr>
        <w:t xml:space="preserve">” means the first date all conditions precedent in </w:t>
      </w:r>
      <w:r>
        <w:rPr>
          <w:rFonts w:ascii="Arial" w:cs="Arial" w:eastAsia="Arial" w:hAnsi="Arial"/>
          <w:sz w:val="18"/>
          <w:szCs w:val="18"/>
          <w:u w:val="single" w:color="auto"/>
          <w:color w:val="auto"/>
        </w:rPr>
        <w:t>Section 5.01</w:t>
      </w:r>
      <w:r>
        <w:rPr>
          <w:rFonts w:ascii="Arial" w:cs="Arial" w:eastAsia="Arial" w:hAnsi="Arial"/>
          <w:sz w:val="18"/>
          <w:szCs w:val="18"/>
          <w:color w:val="auto"/>
        </w:rPr>
        <w:t xml:space="preserve"> are satisfied or waived in accordance with </w:t>
      </w:r>
      <w:r>
        <w:rPr>
          <w:rFonts w:ascii="Arial" w:cs="Arial" w:eastAsia="Arial" w:hAnsi="Arial"/>
          <w:sz w:val="18"/>
          <w:szCs w:val="18"/>
          <w:u w:val="single" w:color="auto"/>
          <w:color w:val="auto"/>
        </w:rPr>
        <w:t>Section 11.01</w:t>
      </w:r>
      <w:r>
        <w:rPr>
          <w:rFonts w:ascii="Arial" w:cs="Arial" w:eastAsia="Arial" w:hAnsi="Arial"/>
          <w:sz w:val="18"/>
          <w:szCs w:val="18"/>
          <w:color w:val="auto"/>
        </w:rPr>
        <w:t>.</w:t>
      </w:r>
    </w:p>
    <w:p>
      <w:pPr>
        <w:spacing w:after="0" w:line="279"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Collateral</w:t>
      </w:r>
      <w:r>
        <w:rPr>
          <w:rFonts w:ascii="Arial" w:cs="Arial" w:eastAsia="Arial" w:hAnsi="Arial"/>
          <w:sz w:val="20"/>
          <w:szCs w:val="20"/>
          <w:color w:val="auto"/>
        </w:rPr>
        <w:t>” means the collateral identified in, and at any time covered by, the Collateral Documents.</w:t>
      </w:r>
    </w:p>
    <w:p>
      <w:pPr>
        <w:spacing w:after="0" w:line="256" w:lineRule="exact"/>
        <w:rPr>
          <w:sz w:val="20"/>
          <w:szCs w:val="20"/>
          <w:color w:val="auto"/>
        </w:rPr>
      </w:pPr>
    </w:p>
    <w:p>
      <w:pPr>
        <w:ind w:right="900" w:firstLine="648"/>
        <w:spacing w:after="0" w:line="303"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Collateral Agent</w:t>
      </w:r>
      <w:r>
        <w:rPr>
          <w:rFonts w:ascii="Arial" w:cs="Arial" w:eastAsia="Arial" w:hAnsi="Arial"/>
          <w:sz w:val="20"/>
          <w:szCs w:val="20"/>
          <w:color w:val="auto"/>
        </w:rPr>
        <w:t>” means the Domestic Collateral Agent, the Foreign Collateral Agent and/or the India Collateral Agent, as appropriate.</w:t>
      </w:r>
    </w:p>
    <w:p>
      <w:pPr>
        <w:spacing w:after="0" w:line="176" w:lineRule="exact"/>
        <w:rPr>
          <w:sz w:val="20"/>
          <w:szCs w:val="20"/>
          <w:color w:val="auto"/>
        </w:rPr>
      </w:pPr>
    </w:p>
    <w:p>
      <w:pPr>
        <w:ind w:right="440" w:firstLine="648"/>
        <w:spacing w:after="0" w:line="303"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Collateral Documents</w:t>
      </w:r>
      <w:r>
        <w:rPr>
          <w:rFonts w:ascii="Arial" w:cs="Arial" w:eastAsia="Arial" w:hAnsi="Arial"/>
          <w:sz w:val="20"/>
          <w:szCs w:val="20"/>
          <w:color w:val="auto"/>
        </w:rPr>
        <w:t>” means the Domestic Collateral Documents, the Foreign Collateral Documents and/or the India Collateral Documents, as appropriate.</w:t>
      </w:r>
    </w:p>
    <w:p>
      <w:pPr>
        <w:spacing w:after="0" w:line="392" w:lineRule="exact"/>
        <w:rPr>
          <w:sz w:val="20"/>
          <w:szCs w:val="20"/>
          <w:color w:val="auto"/>
        </w:rPr>
      </w:pPr>
    </w:p>
    <w:p>
      <w:pPr>
        <w:jc w:val="center"/>
        <w:ind w:right="-79"/>
        <w:spacing w:after="0"/>
        <w:rPr>
          <w:sz w:val="20"/>
          <w:szCs w:val="20"/>
          <w:color w:val="auto"/>
        </w:rPr>
      </w:pPr>
      <w:r>
        <w:rPr>
          <w:rFonts w:ascii="Arial" w:cs="Arial" w:eastAsia="Arial" w:hAnsi="Arial"/>
          <w:sz w:val="20"/>
          <w:szCs w:val="20"/>
          <w:color w:val="auto"/>
        </w:rPr>
        <w:t>20</w:t>
      </w:r>
    </w:p>
    <w:p>
      <w:pPr>
        <w:spacing w:after="0" w:line="10" w:lineRule="exact"/>
        <w:rPr>
          <w:sz w:val="20"/>
          <w:szCs w:val="20"/>
          <w:color w:val="auto"/>
        </w:rPr>
      </w:pPr>
    </w:p>
    <w:p>
      <w:pPr>
        <w:spacing w:after="0"/>
        <w:rPr>
          <w:sz w:val="20"/>
          <w:szCs w:val="20"/>
          <w:color w:val="auto"/>
        </w:rPr>
      </w:pPr>
      <w:r>
        <w:rPr>
          <w:rFonts w:ascii="Arial" w:cs="Arial" w:eastAsia="Arial" w:hAnsi="Arial"/>
          <w:sz w:val="14"/>
          <w:szCs w:val="14"/>
          <w:color w:val="auto"/>
        </w:rPr>
        <w:t>CHAR1\1346423v</w:t>
      </w:r>
      <w:r>
        <w:rPr>
          <w:rFonts w:ascii="Arial" w:cs="Arial" w:eastAsia="Arial" w:hAnsi="Arial"/>
          <w:sz w:val="14"/>
          <w:szCs w:val="14"/>
          <w:color w:val="FF0000"/>
          <w:strike w:val="1"/>
        </w:rPr>
        <w:t>1</w:t>
      </w:r>
      <w:r>
        <w:rPr>
          <w:rFonts w:ascii="Arial" w:cs="Arial" w:eastAsia="Arial" w:hAnsi="Arial"/>
          <w:sz w:val="14"/>
          <w:szCs w:val="14"/>
          <w:u w:val="single" w:color="auto"/>
          <w:color w:val="0000FF"/>
        </w:rPr>
        <w:t>12</w:t>
      </w:r>
    </w:p>
    <w:p>
      <w:pPr>
        <w:sectPr>
          <w:pgSz w:w="11900" w:h="16838" w:orient="portrait"/>
          <w:cols w:equalWidth="0" w:num="1">
            <w:col w:w="11360"/>
          </w:cols>
          <w:pgMar w:left="240" w:top="609" w:right="299" w:bottom="1440" w:gutter="0" w:footer="0" w:header="0"/>
        </w:sectPr>
      </w:pPr>
    </w:p>
    <w:bookmarkStart w:id="72" w:name="page73"/>
    <w:bookmarkEnd w:id="72"/>
    <w:p>
      <w:pPr>
        <w:jc w:val="both"/>
        <w:ind w:right="160" w:firstLine="648"/>
        <w:spacing w:after="0" w:line="33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Commitment Period</w:t>
      </w:r>
      <w:r>
        <w:rPr>
          <w:rFonts w:ascii="Arial" w:cs="Arial" w:eastAsia="Arial" w:hAnsi="Arial"/>
          <w:sz w:val="18"/>
          <w:szCs w:val="18"/>
          <w:color w:val="auto"/>
        </w:rPr>
        <w:t xml:space="preserve">” means the period from and including the </w:t>
      </w:r>
      <w:r>
        <w:rPr>
          <w:rFonts w:ascii="Arial" w:cs="Arial" w:eastAsia="Arial" w:hAnsi="Arial"/>
          <w:sz w:val="18"/>
          <w:szCs w:val="18"/>
          <w:color w:val="FF0000"/>
          <w:strike w:val="1"/>
        </w:rPr>
        <w:t>Closing</w:t>
      </w:r>
      <w:r>
        <w:rPr>
          <w:rFonts w:ascii="Arial" w:cs="Arial" w:eastAsia="Arial" w:hAnsi="Arial"/>
          <w:sz w:val="18"/>
          <w:szCs w:val="18"/>
          <w:u w:val="single" w:color="auto"/>
          <w:color w:val="0000FF"/>
        </w:rPr>
        <w:t>Amendment No. 1 Effective</w:t>
      </w:r>
      <w:r>
        <w:rPr>
          <w:rFonts w:ascii="Arial" w:cs="Arial" w:eastAsia="Arial" w:hAnsi="Arial"/>
          <w:sz w:val="18"/>
          <w:szCs w:val="18"/>
          <w:color w:val="auto"/>
        </w:rPr>
        <w:t xml:space="preserve"> Date to the earlier of (a)(i) in the case of Revolving Loans and Swingline Loans, the Revolving Termination Date or (ii) in the case of the Letters of Credit, the L/C Expiration Date, or (b) in each case, the date on which the Revolving Commitments shall have been terminated as provided herein.</w:t>
      </w:r>
    </w:p>
    <w:p>
      <w:pPr>
        <w:spacing w:after="0" w:line="152"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Commitments</w:t>
      </w:r>
      <w:r>
        <w:rPr>
          <w:rFonts w:ascii="Arial" w:cs="Arial" w:eastAsia="Arial" w:hAnsi="Arial"/>
          <w:sz w:val="20"/>
          <w:szCs w:val="20"/>
          <w:color w:val="auto"/>
        </w:rPr>
        <w:t>” means the Revolving Commitments and the Term Loan Commitments.</w:t>
      </w:r>
    </w:p>
    <w:p>
      <w:pPr>
        <w:spacing w:after="0" w:line="256" w:lineRule="exact"/>
        <w:rPr>
          <w:sz w:val="20"/>
          <w:szCs w:val="20"/>
          <w:color w:val="auto"/>
        </w:rPr>
      </w:pPr>
    </w:p>
    <w:p>
      <w:pPr>
        <w:ind w:left="660"/>
        <w:spacing w:after="0"/>
        <w:rPr>
          <w:sz w:val="20"/>
          <w:szCs w:val="20"/>
          <w:color w:val="auto"/>
        </w:rPr>
      </w:pPr>
      <w:r>
        <w:rPr>
          <w:rFonts w:ascii="Arial" w:cs="Arial" w:eastAsia="Arial" w:hAnsi="Arial"/>
          <w:sz w:val="20"/>
          <w:szCs w:val="20"/>
          <w:u w:val="single" w:color="auto"/>
          <w:color w:val="0000FF"/>
        </w:rPr>
        <w:t>“Commodity Exchange Act” means the Commodity Exchange Act (7 U.S.C. § 1 et seq.).</w:t>
      </w:r>
    </w:p>
    <w:p>
      <w:pPr>
        <w:spacing w:after="0" w:line="25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Compliance Certificate</w:t>
      </w:r>
      <w:r>
        <w:rPr>
          <w:rFonts w:ascii="Arial" w:cs="Arial" w:eastAsia="Arial" w:hAnsi="Arial"/>
          <w:sz w:val="20"/>
          <w:szCs w:val="20"/>
          <w:color w:val="auto"/>
        </w:rPr>
        <w:t xml:space="preserve">” means a certificate substantially in the form of </w:t>
      </w:r>
      <w:r>
        <w:rPr>
          <w:rFonts w:ascii="Arial" w:cs="Arial" w:eastAsia="Arial" w:hAnsi="Arial"/>
          <w:sz w:val="20"/>
          <w:szCs w:val="20"/>
          <w:u w:val="single" w:color="auto"/>
          <w:color w:val="auto"/>
        </w:rPr>
        <w:t>Exhibit 7.02(b)</w:t>
      </w:r>
      <w:r>
        <w:rPr>
          <w:rFonts w:ascii="Arial" w:cs="Arial" w:eastAsia="Arial" w:hAnsi="Arial"/>
          <w:sz w:val="20"/>
          <w:szCs w:val="20"/>
          <w:color w:val="auto"/>
        </w:rPr>
        <w:t>.</w:t>
      </w:r>
    </w:p>
    <w:p>
      <w:pPr>
        <w:spacing w:after="0" w:line="256" w:lineRule="exact"/>
        <w:rPr>
          <w:sz w:val="20"/>
          <w:szCs w:val="20"/>
          <w:color w:val="auto"/>
        </w:rPr>
      </w:pPr>
    </w:p>
    <w:p>
      <w:pPr>
        <w:ind w:right="40" w:firstLine="648"/>
        <w:spacing w:after="0" w:line="303" w:lineRule="auto"/>
        <w:rPr>
          <w:sz w:val="20"/>
          <w:szCs w:val="20"/>
          <w:color w:val="auto"/>
        </w:rPr>
      </w:pPr>
      <w:r>
        <w:rPr>
          <w:rFonts w:ascii="Arial" w:cs="Arial" w:eastAsia="Arial" w:hAnsi="Arial"/>
          <w:sz w:val="20"/>
          <w:szCs w:val="20"/>
          <w:u w:val="single" w:color="auto"/>
          <w:color w:val="0000FF"/>
        </w:rPr>
        <w:t>“Connection Income Taxes” means Other Connection Taxes that are imposed on or measured by net income (however denominated) or that are franchise Taxes or branch profits Taxes.</w:t>
      </w:r>
    </w:p>
    <w:p>
      <w:pPr>
        <w:spacing w:after="0" w:line="176" w:lineRule="exact"/>
        <w:rPr>
          <w:sz w:val="20"/>
          <w:szCs w:val="20"/>
          <w:color w:val="auto"/>
        </w:rPr>
      </w:pPr>
    </w:p>
    <w:p>
      <w:pPr>
        <w:ind w:right="100" w:firstLine="648"/>
        <w:spacing w:after="0" w:line="286"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Consolidated Capital Expenditures</w:t>
      </w:r>
      <w:r>
        <w:rPr>
          <w:rFonts w:ascii="Arial" w:cs="Arial" w:eastAsia="Arial" w:hAnsi="Arial"/>
          <w:sz w:val="20"/>
          <w:szCs w:val="20"/>
          <w:color w:val="auto"/>
        </w:rPr>
        <w:t>” means, for any period for the Consolidated Group, all additions to plant, property and equipment as determined in accordance with GAAP, but excluding, in any event, (i) expenditures made in connection with Permitted Acquisitions, (ii) expenditure of insurance proceeds or condemnation awards made in repair or replacement of plant, property and equipment that has been lost, damaged, destroyed or condemned, and (iii) reinvestment of net cash proceeds from plant, property and equipment that has been sold or otherwise disposed of. Except as otherwise expressly provided, the applicable period shall be the four consecutive fiscal quarters ending as of the date of determination.</w:t>
      </w:r>
    </w:p>
    <w:p>
      <w:pPr>
        <w:spacing w:after="0" w:line="19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Consolidated EBITDA</w:t>
      </w:r>
      <w:r>
        <w:rPr>
          <w:rFonts w:ascii="Arial" w:cs="Arial" w:eastAsia="Arial" w:hAnsi="Arial"/>
          <w:sz w:val="18"/>
          <w:szCs w:val="18"/>
          <w:color w:val="auto"/>
        </w:rPr>
        <w:t xml:space="preserve">” means, for any period for the Consolidated Group, without duplication, the sum of (i) operating income, </w:t>
      </w:r>
      <w:r>
        <w:rPr>
          <w:rFonts w:ascii="Arial" w:cs="Arial" w:eastAsia="Arial" w:hAnsi="Arial"/>
          <w:sz w:val="18"/>
          <w:szCs w:val="18"/>
          <w:u w:val="single" w:color="auto"/>
          <w:color w:val="auto"/>
        </w:rPr>
        <w:t>plus</w:t>
      </w:r>
    </w:p>
    <w:p>
      <w:pPr>
        <w:spacing w:after="0" w:line="63" w:lineRule="exact"/>
        <w:rPr>
          <w:sz w:val="20"/>
          <w:szCs w:val="20"/>
          <w:color w:val="auto"/>
        </w:rPr>
      </w:pPr>
    </w:p>
    <w:p>
      <w:pPr>
        <w:ind w:firstLine="8"/>
        <w:spacing w:after="0" w:line="320" w:lineRule="auto"/>
        <w:tabs>
          <w:tab w:leader="none" w:pos="291" w:val="left"/>
        </w:tabs>
        <w:numPr>
          <w:ilvl w:val="0"/>
          <w:numId w:val="33"/>
        </w:numPr>
        <w:rPr>
          <w:rFonts w:ascii="Arial" w:cs="Arial" w:eastAsia="Arial" w:hAnsi="Arial"/>
          <w:sz w:val="18"/>
          <w:szCs w:val="18"/>
          <w:color w:val="auto"/>
        </w:rPr>
      </w:pPr>
      <w:r>
        <w:rPr>
          <w:rFonts w:ascii="Arial" w:cs="Arial" w:eastAsia="Arial" w:hAnsi="Arial"/>
          <w:sz w:val="18"/>
          <w:szCs w:val="18"/>
          <w:color w:val="auto"/>
        </w:rPr>
        <w:t xml:space="preserve">depreciation, </w:t>
      </w:r>
      <w:r>
        <w:rPr>
          <w:rFonts w:ascii="Arial" w:cs="Arial" w:eastAsia="Arial" w:hAnsi="Arial"/>
          <w:sz w:val="18"/>
          <w:szCs w:val="18"/>
          <w:u w:val="single" w:color="auto"/>
          <w:color w:val="auto"/>
        </w:rPr>
        <w:t>plus</w:t>
      </w:r>
      <w:r>
        <w:rPr>
          <w:rFonts w:ascii="Arial" w:cs="Arial" w:eastAsia="Arial" w:hAnsi="Arial"/>
          <w:sz w:val="18"/>
          <w:szCs w:val="18"/>
          <w:color w:val="auto"/>
        </w:rPr>
        <w:t xml:space="preserve"> (iii) amortization, </w:t>
      </w:r>
      <w:r>
        <w:rPr>
          <w:rFonts w:ascii="Arial" w:cs="Arial" w:eastAsia="Arial" w:hAnsi="Arial"/>
          <w:sz w:val="18"/>
          <w:szCs w:val="18"/>
          <w:u w:val="single" w:color="auto"/>
          <w:color w:val="auto"/>
        </w:rPr>
        <w:t>plus</w:t>
      </w:r>
      <w:r>
        <w:rPr>
          <w:rFonts w:ascii="Arial" w:cs="Arial" w:eastAsia="Arial" w:hAnsi="Arial"/>
          <w:sz w:val="18"/>
          <w:szCs w:val="18"/>
          <w:color w:val="auto"/>
        </w:rPr>
        <w:t xml:space="preserve"> (iv) interest income from the operations of the epay Segment, </w:t>
      </w:r>
      <w:r>
        <w:rPr>
          <w:rFonts w:ascii="Arial" w:cs="Arial" w:eastAsia="Arial" w:hAnsi="Arial"/>
          <w:sz w:val="18"/>
          <w:szCs w:val="18"/>
          <w:u w:val="single" w:color="auto"/>
          <w:color w:val="auto"/>
        </w:rPr>
        <w:t>plus</w:t>
      </w:r>
      <w:r>
        <w:rPr>
          <w:rFonts w:ascii="Arial" w:cs="Arial" w:eastAsia="Arial" w:hAnsi="Arial"/>
          <w:sz w:val="18"/>
          <w:szCs w:val="18"/>
          <w:color w:val="auto"/>
        </w:rPr>
        <w:t xml:space="preserve"> (v) to the extent deducted in the calculation of operating income, one-time non-cash charges </w:t>
      </w:r>
      <w:r>
        <w:rPr>
          <w:rFonts w:ascii="Arial" w:cs="Arial" w:eastAsia="Arial" w:hAnsi="Arial"/>
          <w:sz w:val="18"/>
          <w:szCs w:val="18"/>
          <w:color w:val="FF0000"/>
          <w:strike w:val="1"/>
        </w:rPr>
        <w:t>with the consent of the Administrative Agent</w:t>
      </w:r>
      <w:r>
        <w:rPr>
          <w:rFonts w:ascii="Arial" w:cs="Arial" w:eastAsia="Arial" w:hAnsi="Arial"/>
          <w:sz w:val="18"/>
          <w:szCs w:val="18"/>
          <w:color w:val="auto"/>
        </w:rPr>
        <w:t xml:space="preserve">, </w:t>
      </w:r>
      <w:r>
        <w:rPr>
          <w:rFonts w:ascii="Arial" w:cs="Arial" w:eastAsia="Arial" w:hAnsi="Arial"/>
          <w:sz w:val="18"/>
          <w:szCs w:val="18"/>
          <w:u w:val="single" w:color="auto"/>
          <w:color w:val="auto"/>
        </w:rPr>
        <w:t>plus</w:t>
      </w:r>
      <w:r>
        <w:rPr>
          <w:rFonts w:ascii="Arial" w:cs="Arial" w:eastAsia="Arial" w:hAnsi="Arial"/>
          <w:sz w:val="18"/>
          <w:szCs w:val="18"/>
          <w:color w:val="auto"/>
        </w:rPr>
        <w:t xml:space="preserve"> (vi) non-cash expenses recognized pursuant to FASB ASC </w:t>
      </w:r>
      <w:r>
        <w:rPr>
          <w:rFonts w:ascii="Arial" w:cs="Arial" w:eastAsia="Arial" w:hAnsi="Arial"/>
          <w:sz w:val="18"/>
          <w:szCs w:val="18"/>
          <w:u w:val="single" w:color="auto"/>
          <w:color w:val="0000FF"/>
        </w:rPr>
        <w:t>Topic</w:t>
      </w:r>
      <w:r>
        <w:rPr>
          <w:rFonts w:ascii="Arial" w:cs="Arial" w:eastAsia="Arial" w:hAnsi="Arial"/>
          <w:sz w:val="18"/>
          <w:szCs w:val="18"/>
          <w:color w:val="auto"/>
        </w:rPr>
        <w:t xml:space="preserve"> 718 (Compensation – Stock Compensation) </w:t>
      </w:r>
      <w:r>
        <w:rPr>
          <w:rFonts w:ascii="Arial" w:cs="Arial" w:eastAsia="Arial" w:hAnsi="Arial"/>
          <w:sz w:val="18"/>
          <w:szCs w:val="18"/>
          <w:u w:val="single" w:color="auto"/>
          <w:color w:val="auto"/>
        </w:rPr>
        <w:t>plus</w:t>
      </w:r>
      <w:r>
        <w:rPr>
          <w:rFonts w:ascii="Arial" w:cs="Arial" w:eastAsia="Arial" w:hAnsi="Arial"/>
          <w:sz w:val="18"/>
          <w:szCs w:val="18"/>
          <w:color w:val="auto"/>
        </w:rPr>
        <w:t xml:space="preserve"> (vii) net income from joint ventures and other minority interests owned by members of the Consolidated Group when and as earned and received </w:t>
      </w:r>
      <w:r>
        <w:rPr>
          <w:rFonts w:ascii="Arial" w:cs="Arial" w:eastAsia="Arial" w:hAnsi="Arial"/>
          <w:sz w:val="18"/>
          <w:szCs w:val="18"/>
          <w:u w:val="single" w:color="auto"/>
          <w:color w:val="auto"/>
        </w:rPr>
        <w:t>plus</w:t>
      </w:r>
      <w:r>
        <w:rPr>
          <w:rFonts w:ascii="Arial" w:cs="Arial" w:eastAsia="Arial" w:hAnsi="Arial"/>
          <w:sz w:val="18"/>
          <w:szCs w:val="18"/>
          <w:color w:val="auto"/>
        </w:rPr>
        <w:t xml:space="preserve"> (viii) charges (gains) resulting from adjustments to acquisition-related contingent consideration and adjustments to other acquisition-related contingent assets and liabilities pursuant to FASB ASC </w:t>
      </w:r>
      <w:r>
        <w:rPr>
          <w:rFonts w:ascii="Arial" w:cs="Arial" w:eastAsia="Arial" w:hAnsi="Arial"/>
          <w:sz w:val="18"/>
          <w:szCs w:val="18"/>
          <w:u w:val="single" w:color="auto"/>
          <w:color w:val="0000FF"/>
        </w:rPr>
        <w:t>Topic</w:t>
      </w:r>
      <w:r>
        <w:rPr>
          <w:rFonts w:ascii="Arial" w:cs="Arial" w:eastAsia="Arial" w:hAnsi="Arial"/>
          <w:sz w:val="18"/>
          <w:szCs w:val="18"/>
          <w:color w:val="auto"/>
        </w:rPr>
        <w:t xml:space="preserve"> 805 (Business Combinations);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appropriate adjustments will be made in subsequent periods where cash payments are subsequently made in respect of non-cash charges previously excluded under </w:t>
      </w:r>
      <w:r>
        <w:rPr>
          <w:rFonts w:ascii="Arial" w:cs="Arial" w:eastAsia="Arial" w:hAnsi="Arial"/>
          <w:sz w:val="18"/>
          <w:szCs w:val="18"/>
          <w:u w:val="single" w:color="auto"/>
          <w:color w:val="auto"/>
        </w:rPr>
        <w:t>clauses (v)</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(vi)</w:t>
      </w:r>
      <w:r>
        <w:rPr>
          <w:rFonts w:ascii="Arial" w:cs="Arial" w:eastAsia="Arial" w:hAnsi="Arial"/>
          <w:sz w:val="18"/>
          <w:szCs w:val="18"/>
          <w:color w:val="auto"/>
        </w:rPr>
        <w:t>. Except as otherwise expressly provided, the applicable period shall be the four consecutive fiscal quarters ending as of the date of determination.</w:t>
      </w:r>
    </w:p>
    <w:p>
      <w:pPr>
        <w:spacing w:after="0" w:line="169" w:lineRule="exact"/>
        <w:rPr>
          <w:sz w:val="20"/>
          <w:szCs w:val="20"/>
          <w:color w:val="auto"/>
        </w:rPr>
      </w:pPr>
    </w:p>
    <w:p>
      <w:pPr>
        <w:ind w:right="40" w:firstLine="648"/>
        <w:spacing w:after="0" w:line="288"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Consolidated Fixed Charge Coverage Ratio</w:t>
      </w:r>
      <w:r>
        <w:rPr>
          <w:rFonts w:ascii="Arial" w:cs="Arial" w:eastAsia="Arial" w:hAnsi="Arial"/>
          <w:sz w:val="20"/>
          <w:szCs w:val="20"/>
          <w:color w:val="auto"/>
        </w:rPr>
        <w:t xml:space="preserve">” means, for the Consolidated Group for the period of four consecutive fiscal quarters then ending, the ratio of (i) the sum of Consolidated EBITDA </w:t>
      </w:r>
      <w:r>
        <w:rPr>
          <w:rFonts w:ascii="Arial" w:cs="Arial" w:eastAsia="Arial" w:hAnsi="Arial"/>
          <w:sz w:val="20"/>
          <w:szCs w:val="20"/>
          <w:u w:val="single" w:color="auto"/>
          <w:color w:val="auto"/>
        </w:rPr>
        <w:t>minus</w:t>
      </w:r>
      <w:r>
        <w:rPr>
          <w:rFonts w:ascii="Arial" w:cs="Arial" w:eastAsia="Arial" w:hAnsi="Arial"/>
          <w:sz w:val="20"/>
          <w:szCs w:val="20"/>
          <w:color w:val="auto"/>
        </w:rPr>
        <w:t xml:space="preserve"> Consolidated Capital Expenditures (other than those financed with Indebtedness permitted under </w:t>
      </w:r>
      <w:r>
        <w:rPr>
          <w:rFonts w:ascii="Arial" w:cs="Arial" w:eastAsia="Arial" w:hAnsi="Arial"/>
          <w:sz w:val="20"/>
          <w:szCs w:val="20"/>
          <w:u w:val="single" w:color="auto"/>
          <w:color w:val="auto"/>
        </w:rPr>
        <w:t>Section 8.03(d)</w:t>
      </w:r>
      <w:r>
        <w:rPr>
          <w:rFonts w:ascii="Arial" w:cs="Arial" w:eastAsia="Arial" w:hAnsi="Arial"/>
          <w:sz w:val="20"/>
          <w:szCs w:val="20"/>
          <w:color w:val="auto"/>
        </w:rPr>
        <w:t xml:space="preserve"> hereof) </w:t>
      </w:r>
      <w:r>
        <w:rPr>
          <w:rFonts w:ascii="Arial" w:cs="Arial" w:eastAsia="Arial" w:hAnsi="Arial"/>
          <w:sz w:val="20"/>
          <w:szCs w:val="20"/>
          <w:u w:val="single" w:color="auto"/>
          <w:color w:val="auto"/>
        </w:rPr>
        <w:t>minus</w:t>
      </w:r>
      <w:r>
        <w:rPr>
          <w:rFonts w:ascii="Arial" w:cs="Arial" w:eastAsia="Arial" w:hAnsi="Arial"/>
          <w:sz w:val="20"/>
          <w:szCs w:val="20"/>
          <w:color w:val="auto"/>
        </w:rPr>
        <w:t xml:space="preserve"> cash taxes paid in the period </w:t>
      </w:r>
      <w:r>
        <w:rPr>
          <w:rFonts w:ascii="Arial" w:cs="Arial" w:eastAsia="Arial" w:hAnsi="Arial"/>
          <w:sz w:val="20"/>
          <w:szCs w:val="20"/>
          <w:u w:val="single" w:color="auto"/>
          <w:color w:val="auto"/>
        </w:rPr>
        <w:t>minus</w:t>
      </w:r>
      <w:r>
        <w:rPr>
          <w:rFonts w:ascii="Arial" w:cs="Arial" w:eastAsia="Arial" w:hAnsi="Arial"/>
          <w:sz w:val="20"/>
          <w:szCs w:val="20"/>
          <w:color w:val="auto"/>
        </w:rPr>
        <w:t xml:space="preserve"> Restricted Payments paid in cash in the period to (ii) Consolidated Fixed Charges.</w:t>
      </w:r>
    </w:p>
    <w:p>
      <w:pPr>
        <w:spacing w:after="0" w:line="193" w:lineRule="exact"/>
        <w:rPr>
          <w:sz w:val="20"/>
          <w:szCs w:val="20"/>
          <w:color w:val="auto"/>
        </w:rPr>
      </w:pPr>
    </w:p>
    <w:p>
      <w:pPr>
        <w:ind w:right="400" w:firstLine="648"/>
        <w:spacing w:after="0" w:line="303"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Consolidated Fixed Charges</w:t>
      </w:r>
      <w:r>
        <w:rPr>
          <w:rFonts w:ascii="Arial" w:cs="Arial" w:eastAsia="Arial" w:hAnsi="Arial"/>
          <w:sz w:val="20"/>
          <w:szCs w:val="20"/>
          <w:color w:val="auto"/>
        </w:rPr>
        <w:t>” means, for any period for the Consolidated Group, without duplication, the sum of (i) the portion of interest expense paid in cash in the period (provided that, for</w:t>
      </w:r>
    </w:p>
    <w:p>
      <w:pPr>
        <w:spacing w:after="0" w:line="392" w:lineRule="exact"/>
        <w:rPr>
          <w:sz w:val="20"/>
          <w:szCs w:val="20"/>
          <w:color w:val="auto"/>
        </w:rPr>
      </w:pPr>
    </w:p>
    <w:p>
      <w:pPr>
        <w:jc w:val="center"/>
        <w:ind w:right="-39"/>
        <w:spacing w:after="0"/>
        <w:rPr>
          <w:sz w:val="20"/>
          <w:szCs w:val="20"/>
          <w:color w:val="auto"/>
        </w:rPr>
      </w:pPr>
      <w:r>
        <w:rPr>
          <w:rFonts w:ascii="Arial" w:cs="Arial" w:eastAsia="Arial" w:hAnsi="Arial"/>
          <w:sz w:val="20"/>
          <w:szCs w:val="20"/>
          <w:color w:val="auto"/>
        </w:rPr>
        <w:t>21</w:t>
      </w:r>
    </w:p>
    <w:p>
      <w:pPr>
        <w:spacing w:after="0" w:line="10" w:lineRule="exact"/>
        <w:rPr>
          <w:sz w:val="20"/>
          <w:szCs w:val="20"/>
          <w:color w:val="auto"/>
        </w:rPr>
      </w:pPr>
    </w:p>
    <w:p>
      <w:pPr>
        <w:spacing w:after="0"/>
        <w:rPr>
          <w:sz w:val="20"/>
          <w:szCs w:val="20"/>
          <w:color w:val="auto"/>
        </w:rPr>
      </w:pPr>
      <w:r>
        <w:rPr>
          <w:rFonts w:ascii="Arial" w:cs="Arial" w:eastAsia="Arial" w:hAnsi="Arial"/>
          <w:sz w:val="14"/>
          <w:szCs w:val="14"/>
          <w:color w:val="auto"/>
        </w:rPr>
        <w:t>CHAR1\1346423v</w:t>
      </w:r>
      <w:r>
        <w:rPr>
          <w:rFonts w:ascii="Arial" w:cs="Arial" w:eastAsia="Arial" w:hAnsi="Arial"/>
          <w:sz w:val="14"/>
          <w:szCs w:val="14"/>
          <w:color w:val="FF0000"/>
          <w:strike w:val="1"/>
        </w:rPr>
        <w:t>1</w:t>
      </w:r>
      <w:r>
        <w:rPr>
          <w:rFonts w:ascii="Arial" w:cs="Arial" w:eastAsia="Arial" w:hAnsi="Arial"/>
          <w:sz w:val="14"/>
          <w:szCs w:val="14"/>
          <w:u w:val="single" w:color="auto"/>
          <w:color w:val="0000FF"/>
        </w:rPr>
        <w:t>12</w:t>
      </w:r>
    </w:p>
    <w:p>
      <w:pPr>
        <w:sectPr>
          <w:pgSz w:w="11900" w:h="16838" w:orient="portrait"/>
          <w:cols w:equalWidth="0" w:num="1">
            <w:col w:w="11400"/>
          </w:cols>
          <w:pgMar w:left="240" w:top="609" w:right="259" w:bottom="1440" w:gutter="0" w:footer="0" w:header="0"/>
        </w:sectPr>
      </w:pPr>
    </w:p>
    <w:bookmarkStart w:id="73" w:name="page74"/>
    <w:bookmarkEnd w:id="73"/>
    <w:p>
      <w:pPr>
        <w:ind w:right="120"/>
        <w:spacing w:after="0" w:line="313" w:lineRule="auto"/>
        <w:rPr>
          <w:sz w:val="20"/>
          <w:szCs w:val="20"/>
          <w:color w:val="auto"/>
        </w:rPr>
      </w:pPr>
      <w:r>
        <w:rPr>
          <w:rFonts w:ascii="Arial" w:cs="Arial" w:eastAsia="Arial" w:hAnsi="Arial"/>
          <w:sz w:val="18"/>
          <w:szCs w:val="18"/>
          <w:color w:val="auto"/>
        </w:rPr>
        <w:t xml:space="preserve">purposes of this calculation, payments required under ATM Cash Supply Arrangements that constitute interest expense for purposes of GAAP shall not constitute interest expense), </w:t>
      </w:r>
      <w:r>
        <w:rPr>
          <w:rFonts w:ascii="Arial" w:cs="Arial" w:eastAsia="Arial" w:hAnsi="Arial"/>
          <w:sz w:val="18"/>
          <w:szCs w:val="18"/>
          <w:u w:val="single" w:color="auto"/>
          <w:color w:val="auto"/>
        </w:rPr>
        <w:t>plus</w:t>
      </w:r>
      <w:r>
        <w:rPr>
          <w:rFonts w:ascii="Arial" w:cs="Arial" w:eastAsia="Arial" w:hAnsi="Arial"/>
          <w:sz w:val="18"/>
          <w:szCs w:val="18"/>
          <w:color w:val="auto"/>
        </w:rPr>
        <w:t xml:space="preserve"> (ii) scheduled payments of principal on Funded Debt (other than loans and obligations owing hereunder) made in the period of determination (provided that, for purposes of this calculation, obligations under letters of credit, bank guaranties and surety bonds shall not constitute Funded Debt), </w:t>
      </w:r>
      <w:r>
        <w:rPr>
          <w:rFonts w:ascii="Arial" w:cs="Arial" w:eastAsia="Arial" w:hAnsi="Arial"/>
          <w:sz w:val="18"/>
          <w:szCs w:val="18"/>
          <w:u w:val="single" w:color="auto"/>
          <w:color w:val="auto"/>
        </w:rPr>
        <w:t>plus</w:t>
      </w:r>
      <w:r>
        <w:rPr>
          <w:rFonts w:ascii="Arial" w:cs="Arial" w:eastAsia="Arial" w:hAnsi="Arial"/>
          <w:sz w:val="18"/>
          <w:szCs w:val="18"/>
          <w:color w:val="auto"/>
        </w:rPr>
        <w:t xml:space="preserve"> (iii) scheduled payments of principal on the Term Loan A made in the period of determination (but not, in any event, less than an amount equal to 5% of the original principal amount of the Term Loan A), </w:t>
      </w:r>
      <w:r>
        <w:rPr>
          <w:rFonts w:ascii="Arial" w:cs="Arial" w:eastAsia="Arial" w:hAnsi="Arial"/>
          <w:sz w:val="18"/>
          <w:szCs w:val="18"/>
          <w:u w:val="single" w:color="auto"/>
          <w:color w:val="auto"/>
        </w:rPr>
        <w:t>minus</w:t>
      </w:r>
    </w:p>
    <w:p>
      <w:pPr>
        <w:spacing w:after="0" w:line="1" w:lineRule="exact"/>
        <w:rPr>
          <w:sz w:val="20"/>
          <w:szCs w:val="20"/>
          <w:color w:val="auto"/>
        </w:rPr>
      </w:pPr>
    </w:p>
    <w:p>
      <w:pPr>
        <w:ind w:right="160" w:firstLine="8"/>
        <w:spacing w:after="0" w:line="303" w:lineRule="auto"/>
        <w:tabs>
          <w:tab w:leader="none" w:pos="335" w:val="left"/>
        </w:tabs>
        <w:numPr>
          <w:ilvl w:val="0"/>
          <w:numId w:val="34"/>
        </w:numPr>
        <w:rPr>
          <w:rFonts w:ascii="Arial" w:cs="Arial" w:eastAsia="Arial" w:hAnsi="Arial"/>
          <w:sz w:val="20"/>
          <w:szCs w:val="20"/>
          <w:color w:val="auto"/>
        </w:rPr>
      </w:pPr>
      <w:r>
        <w:rPr>
          <w:rFonts w:ascii="Arial" w:cs="Arial" w:eastAsia="Arial" w:hAnsi="Arial"/>
          <w:sz w:val="20"/>
          <w:szCs w:val="20"/>
          <w:color w:val="auto"/>
        </w:rPr>
        <w:t>interest income received in cash from any Designated Deposit during such period. Except as otherwise expressly provided, the applicable period shall be the four consecutive fiscal quarters ending as of the date of determination.</w:t>
      </w:r>
    </w:p>
    <w:p>
      <w:pPr>
        <w:spacing w:after="0" w:line="176" w:lineRule="exact"/>
        <w:rPr>
          <w:sz w:val="20"/>
          <w:szCs w:val="20"/>
          <w:color w:val="auto"/>
        </w:rPr>
      </w:pPr>
    </w:p>
    <w:p>
      <w:pPr>
        <w:ind w:firstLine="648"/>
        <w:spacing w:after="0" w:line="314"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Consolidated Funded Debt</w:t>
      </w:r>
      <w:r>
        <w:rPr>
          <w:rFonts w:ascii="Arial" w:cs="Arial" w:eastAsia="Arial" w:hAnsi="Arial"/>
          <w:sz w:val="19"/>
          <w:szCs w:val="19"/>
          <w:color w:val="auto"/>
        </w:rPr>
        <w:t xml:space="preserve">” means Funded Debt of the Consolidated Group determined on a consolidated basis in accordance with GAAP,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for purposes hereof (i) obligations in respect of letters of credit and bank guaranties will be net of cash collateral provided therefore and (ii) obligations in respect of Loans will be net of the amount of any Designated Deposit.</w:t>
      </w:r>
    </w:p>
    <w:p>
      <w:pPr>
        <w:spacing w:after="0" w:line="169"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Consolidated Group</w:t>
      </w:r>
      <w:r>
        <w:rPr>
          <w:rFonts w:ascii="Arial" w:cs="Arial" w:eastAsia="Arial" w:hAnsi="Arial"/>
          <w:sz w:val="20"/>
          <w:szCs w:val="20"/>
          <w:color w:val="auto"/>
        </w:rPr>
        <w:t>” means EWI and its subsidiaries determined on a consolidated basis in accordance with GAAP.</w:t>
      </w:r>
    </w:p>
    <w:p>
      <w:pPr>
        <w:spacing w:after="0" w:line="256" w:lineRule="exact"/>
        <w:rPr>
          <w:sz w:val="20"/>
          <w:szCs w:val="20"/>
          <w:color w:val="auto"/>
        </w:rPr>
      </w:pPr>
    </w:p>
    <w:p>
      <w:pPr>
        <w:ind w:left="660"/>
        <w:spacing w:after="0"/>
        <w:rPr>
          <w:sz w:val="20"/>
          <w:szCs w:val="20"/>
          <w:color w:val="auto"/>
        </w:rPr>
      </w:pPr>
      <w:r>
        <w:rPr>
          <w:rFonts w:ascii="Arial" w:cs="Arial" w:eastAsia="Arial" w:hAnsi="Arial"/>
          <w:sz w:val="20"/>
          <w:szCs w:val="20"/>
          <w:color w:val="FF0000"/>
          <w:strike w:val="1"/>
        </w:rPr>
        <w:t>“</w:t>
      </w:r>
      <w:r>
        <w:rPr>
          <w:rFonts w:ascii="Arial" w:cs="Arial" w:eastAsia="Arial" w:hAnsi="Arial"/>
          <w:sz w:val="20"/>
          <w:szCs w:val="20"/>
          <w:u w:val="single" w:color="auto"/>
          <w:color w:val="FF0000"/>
          <w:strike w:val="1"/>
        </w:rPr>
        <w:t>Consolidated Senior Funded Debt</w:t>
      </w:r>
      <w:r>
        <w:rPr>
          <w:rFonts w:ascii="Arial" w:cs="Arial" w:eastAsia="Arial" w:hAnsi="Arial"/>
          <w:sz w:val="20"/>
          <w:szCs w:val="20"/>
          <w:color w:val="FF0000"/>
          <w:strike w:val="1"/>
        </w:rPr>
        <w:t>” means Consolidated Funded Debt less and except Consolidated Subordinated Debt.</w:t>
      </w:r>
    </w:p>
    <w:p>
      <w:pPr>
        <w:spacing w:after="0" w:line="256" w:lineRule="exact"/>
        <w:rPr>
          <w:sz w:val="20"/>
          <w:szCs w:val="20"/>
          <w:color w:val="auto"/>
        </w:rPr>
      </w:pPr>
    </w:p>
    <w:p>
      <w:pPr>
        <w:ind w:right="100" w:firstLine="648"/>
        <w:spacing w:after="0" w:line="303" w:lineRule="auto"/>
        <w:rPr>
          <w:sz w:val="20"/>
          <w:szCs w:val="20"/>
          <w:color w:val="auto"/>
        </w:rPr>
      </w:pPr>
      <w:r>
        <w:rPr>
          <w:rFonts w:ascii="Arial" w:cs="Arial" w:eastAsia="Arial" w:hAnsi="Arial"/>
          <w:sz w:val="20"/>
          <w:szCs w:val="20"/>
          <w:color w:val="FF0000"/>
          <w:strike w:val="1"/>
        </w:rPr>
        <w:t>“</w:t>
      </w:r>
      <w:r>
        <w:rPr>
          <w:rFonts w:ascii="Arial" w:cs="Arial" w:eastAsia="Arial" w:hAnsi="Arial"/>
          <w:sz w:val="20"/>
          <w:szCs w:val="20"/>
          <w:u w:val="single" w:color="auto"/>
          <w:color w:val="FF0000"/>
          <w:strike w:val="1"/>
        </w:rPr>
        <w:t>Consolidated Senior Secured Funded Debt</w:t>
      </w:r>
      <w:r>
        <w:rPr>
          <w:rFonts w:ascii="Arial" w:cs="Arial" w:eastAsia="Arial" w:hAnsi="Arial"/>
          <w:sz w:val="20"/>
          <w:szCs w:val="20"/>
          <w:color w:val="FF0000"/>
          <w:strike w:val="1"/>
        </w:rPr>
        <w:t>” means Consolidated Senior Funded Debt that is secured by a pledge of collateral interest (including the Loans and Obligations under this Credit Agreement).</w:t>
      </w:r>
    </w:p>
    <w:p>
      <w:pPr>
        <w:spacing w:after="0" w:line="176" w:lineRule="exact"/>
        <w:rPr>
          <w:sz w:val="20"/>
          <w:szCs w:val="20"/>
          <w:color w:val="auto"/>
        </w:rPr>
      </w:pPr>
    </w:p>
    <w:p>
      <w:pPr>
        <w:jc w:val="both"/>
        <w:ind w:right="400" w:firstLine="648"/>
        <w:spacing w:after="0" w:line="438" w:lineRule="auto"/>
        <w:rPr>
          <w:sz w:val="20"/>
          <w:szCs w:val="20"/>
          <w:color w:val="auto"/>
        </w:rPr>
      </w:pPr>
      <w:r>
        <w:rPr>
          <w:rFonts w:ascii="Arial" w:cs="Arial" w:eastAsia="Arial" w:hAnsi="Arial"/>
          <w:sz w:val="16"/>
          <w:szCs w:val="16"/>
          <w:color w:val="FF0000"/>
          <w:strike w:val="1"/>
        </w:rPr>
        <w:t>“</w:t>
      </w:r>
      <w:r>
        <w:rPr>
          <w:rFonts w:ascii="Arial" w:cs="Arial" w:eastAsia="Arial" w:hAnsi="Arial"/>
          <w:sz w:val="16"/>
          <w:szCs w:val="16"/>
          <w:u w:val="single" w:color="auto"/>
          <w:color w:val="FF0000"/>
          <w:strike w:val="1"/>
        </w:rPr>
        <w:t>Consolidated Senior Secured Leverage Ratio</w:t>
      </w:r>
      <w:r>
        <w:rPr>
          <w:rFonts w:ascii="Arial" w:cs="Arial" w:eastAsia="Arial" w:hAnsi="Arial"/>
          <w:sz w:val="16"/>
          <w:szCs w:val="16"/>
          <w:color w:val="FF0000"/>
          <w:strike w:val="1"/>
        </w:rPr>
        <w:t>” means, as of the last day of each fiscal quarter, the ratio of (i) Consolidated Senior Secured Funded Debt as of such day, to (ii) Consolidated EBITDA for the period of four consecutive fiscal quarters ending as of such day.</w:t>
      </w:r>
    </w:p>
    <w:p>
      <w:pPr>
        <w:spacing w:after="0" w:line="85" w:lineRule="exact"/>
        <w:rPr>
          <w:sz w:val="20"/>
          <w:szCs w:val="20"/>
          <w:color w:val="auto"/>
        </w:rPr>
      </w:pPr>
    </w:p>
    <w:p>
      <w:pPr>
        <w:ind w:right="700" w:firstLine="648"/>
        <w:spacing w:after="0" w:line="303" w:lineRule="auto"/>
        <w:rPr>
          <w:sz w:val="20"/>
          <w:szCs w:val="20"/>
          <w:color w:val="auto"/>
        </w:rPr>
      </w:pPr>
      <w:r>
        <w:rPr>
          <w:rFonts w:ascii="Arial" w:cs="Arial" w:eastAsia="Arial" w:hAnsi="Arial"/>
          <w:sz w:val="20"/>
          <w:szCs w:val="20"/>
          <w:color w:val="FF0000"/>
          <w:strike w:val="1"/>
        </w:rPr>
        <w:t>“</w:t>
      </w:r>
      <w:r>
        <w:rPr>
          <w:rFonts w:ascii="Arial" w:cs="Arial" w:eastAsia="Arial" w:hAnsi="Arial"/>
          <w:sz w:val="20"/>
          <w:szCs w:val="20"/>
          <w:u w:val="single" w:color="auto"/>
          <w:color w:val="FF0000"/>
          <w:strike w:val="1"/>
        </w:rPr>
        <w:t>Consolidated Subordinated Debt</w:t>
      </w:r>
      <w:r>
        <w:rPr>
          <w:rFonts w:ascii="Arial" w:cs="Arial" w:eastAsia="Arial" w:hAnsi="Arial"/>
          <w:sz w:val="20"/>
          <w:szCs w:val="20"/>
          <w:color w:val="FF0000"/>
          <w:strike w:val="1"/>
        </w:rPr>
        <w:t>” means Subordinated Debt of the Consolidated Group determined on a consolidated basis in accordance with GAAP.</w:t>
      </w:r>
    </w:p>
    <w:p>
      <w:pPr>
        <w:spacing w:after="0" w:line="176" w:lineRule="exact"/>
        <w:rPr>
          <w:sz w:val="20"/>
          <w:szCs w:val="20"/>
          <w:color w:val="auto"/>
        </w:rPr>
      </w:pPr>
    </w:p>
    <w:p>
      <w:pPr>
        <w:ind w:right="300" w:firstLine="648"/>
        <w:spacing w:after="0" w:line="331"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Consolidated Total Leverage Ratio</w:t>
      </w:r>
      <w:r>
        <w:rPr>
          <w:rFonts w:ascii="Arial" w:cs="Arial" w:eastAsia="Arial" w:hAnsi="Arial"/>
          <w:sz w:val="19"/>
          <w:szCs w:val="19"/>
          <w:color w:val="auto"/>
        </w:rPr>
        <w:t>” means, as of the last day of each fiscal quarter, the ratio of (i) Consolidated Funded Debt as of such day, to (ii) Consolidated EBITDA for the period of four consecutive fiscal quarters ending as of such day.</w:t>
      </w:r>
    </w:p>
    <w:p>
      <w:pPr>
        <w:spacing w:after="0" w:line="154" w:lineRule="exact"/>
        <w:rPr>
          <w:sz w:val="20"/>
          <w:szCs w:val="20"/>
          <w:color w:val="auto"/>
        </w:rPr>
      </w:pPr>
    </w:p>
    <w:p>
      <w:pPr>
        <w:ind w:firstLine="648"/>
        <w:spacing w:after="0" w:line="303"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Contractual Obligation</w:t>
      </w:r>
      <w:r>
        <w:rPr>
          <w:rFonts w:ascii="Arial" w:cs="Arial" w:eastAsia="Arial" w:hAnsi="Arial"/>
          <w:sz w:val="20"/>
          <w:szCs w:val="20"/>
          <w:color w:val="auto"/>
        </w:rPr>
        <w:t>” means, as to any Person, any provision of any security issued by such Person or of any agreement, instrument or other undertaking to which such Person is a party or by which it or any of its property is bound.</w:t>
      </w:r>
    </w:p>
    <w:p>
      <w:pPr>
        <w:spacing w:after="0" w:line="176" w:lineRule="exact"/>
        <w:rPr>
          <w:sz w:val="20"/>
          <w:szCs w:val="20"/>
          <w:color w:val="auto"/>
        </w:rPr>
      </w:pPr>
    </w:p>
    <w:p>
      <w:pPr>
        <w:ind w:right="140" w:firstLine="648"/>
        <w:spacing w:after="0" w:line="303"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Control</w:t>
      </w:r>
      <w:r>
        <w:rPr>
          <w:rFonts w:ascii="Arial" w:cs="Arial" w:eastAsia="Arial" w:hAnsi="Arial"/>
          <w:sz w:val="20"/>
          <w:szCs w:val="20"/>
          <w:color w:val="auto"/>
        </w:rPr>
        <w:t>” means the possession, directly or indirectly, of the power to direct or cause the direction of the management or policies of a Person, whether through the ability to exercise voting power, by contract or otherwise.</w:t>
      </w:r>
    </w:p>
    <w:p>
      <w:pPr>
        <w:spacing w:after="0" w:line="392" w:lineRule="exact"/>
        <w:rPr>
          <w:sz w:val="20"/>
          <w:szCs w:val="20"/>
          <w:color w:val="auto"/>
        </w:rPr>
      </w:pPr>
    </w:p>
    <w:p>
      <w:pPr>
        <w:jc w:val="center"/>
        <w:ind w:right="-39"/>
        <w:spacing w:after="0"/>
        <w:rPr>
          <w:sz w:val="20"/>
          <w:szCs w:val="20"/>
          <w:color w:val="auto"/>
        </w:rPr>
      </w:pPr>
      <w:r>
        <w:rPr>
          <w:rFonts w:ascii="Arial" w:cs="Arial" w:eastAsia="Arial" w:hAnsi="Arial"/>
          <w:sz w:val="20"/>
          <w:szCs w:val="20"/>
          <w:color w:val="auto"/>
        </w:rPr>
        <w:t>22</w:t>
      </w:r>
    </w:p>
    <w:p>
      <w:pPr>
        <w:spacing w:after="0" w:line="10" w:lineRule="exact"/>
        <w:rPr>
          <w:sz w:val="20"/>
          <w:szCs w:val="20"/>
          <w:color w:val="auto"/>
        </w:rPr>
      </w:pPr>
    </w:p>
    <w:p>
      <w:pPr>
        <w:spacing w:after="0"/>
        <w:rPr>
          <w:sz w:val="20"/>
          <w:szCs w:val="20"/>
          <w:color w:val="auto"/>
        </w:rPr>
      </w:pPr>
      <w:r>
        <w:rPr>
          <w:rFonts w:ascii="Arial" w:cs="Arial" w:eastAsia="Arial" w:hAnsi="Arial"/>
          <w:sz w:val="14"/>
          <w:szCs w:val="14"/>
          <w:color w:val="auto"/>
        </w:rPr>
        <w:t>CHAR1\1346423v</w:t>
      </w:r>
      <w:r>
        <w:rPr>
          <w:rFonts w:ascii="Arial" w:cs="Arial" w:eastAsia="Arial" w:hAnsi="Arial"/>
          <w:sz w:val="14"/>
          <w:szCs w:val="14"/>
          <w:color w:val="FF0000"/>
          <w:strike w:val="1"/>
        </w:rPr>
        <w:t>1</w:t>
      </w:r>
      <w:r>
        <w:rPr>
          <w:rFonts w:ascii="Arial" w:cs="Arial" w:eastAsia="Arial" w:hAnsi="Arial"/>
          <w:sz w:val="14"/>
          <w:szCs w:val="14"/>
          <w:u w:val="single" w:color="auto"/>
          <w:color w:val="0000FF"/>
        </w:rPr>
        <w:t>12</w:t>
      </w:r>
    </w:p>
    <w:p>
      <w:pPr>
        <w:sectPr>
          <w:pgSz w:w="11900" w:h="16838" w:orient="portrait"/>
          <w:cols w:equalWidth="0" w:num="1">
            <w:col w:w="11380"/>
          </w:cols>
          <w:pgMar w:left="240" w:top="609" w:right="279" w:bottom="1440" w:gutter="0" w:footer="0" w:header="0"/>
        </w:sectPr>
      </w:pPr>
    </w:p>
    <w:bookmarkStart w:id="74" w:name="page75"/>
    <w:bookmarkEnd w:id="74"/>
    <w:p>
      <w:pPr>
        <w:ind w:right="240" w:firstLine="648"/>
        <w:spacing w:after="0" w:line="331" w:lineRule="auto"/>
        <w:rPr>
          <w:sz w:val="20"/>
          <w:szCs w:val="20"/>
          <w:color w:val="auto"/>
        </w:rPr>
      </w:pPr>
      <w:r>
        <w:rPr>
          <w:rFonts w:ascii="Arial" w:cs="Arial" w:eastAsia="Arial" w:hAnsi="Arial"/>
          <w:sz w:val="19"/>
          <w:szCs w:val="19"/>
          <w:color w:val="FF0000"/>
          <w:strike w:val="1"/>
        </w:rPr>
        <w:t>“</w:t>
      </w:r>
      <w:r>
        <w:rPr>
          <w:rFonts w:ascii="Arial" w:cs="Arial" w:eastAsia="Arial" w:hAnsi="Arial"/>
          <w:sz w:val="19"/>
          <w:szCs w:val="19"/>
          <w:u w:val="single" w:color="auto"/>
          <w:color w:val="FF0000"/>
          <w:strike w:val="1"/>
        </w:rPr>
        <w:t>Convertible Debentures</w:t>
      </w:r>
      <w:r>
        <w:rPr>
          <w:rFonts w:ascii="Arial" w:cs="Arial" w:eastAsia="Arial" w:hAnsi="Arial"/>
          <w:sz w:val="19"/>
          <w:szCs w:val="19"/>
          <w:color w:val="FF0000"/>
          <w:strike w:val="1"/>
        </w:rPr>
        <w:t>” means those 3.50% Convertible Subordinated Debentures due 2025 of EWI issued under and governed by that Indenture dated as of October 4, 2005 between EWI, as issuer, and U.S. Bank National Association, as trustee.</w:t>
      </w:r>
    </w:p>
    <w:p>
      <w:pPr>
        <w:spacing w:after="0" w:line="15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Credit Agreement</w:t>
      </w:r>
      <w:r>
        <w:rPr>
          <w:rFonts w:ascii="Arial" w:cs="Arial" w:eastAsia="Arial" w:hAnsi="Arial"/>
          <w:sz w:val="18"/>
          <w:szCs w:val="18"/>
          <w:color w:val="auto"/>
        </w:rPr>
        <w:t>” has the meaning provided in the recitals hereto, as the same may be amended and modified from time to time.</w:t>
      </w:r>
    </w:p>
    <w:p>
      <w:pPr>
        <w:spacing w:after="0" w:line="279" w:lineRule="exact"/>
        <w:rPr>
          <w:sz w:val="20"/>
          <w:szCs w:val="20"/>
          <w:color w:val="auto"/>
        </w:rPr>
      </w:pPr>
    </w:p>
    <w:p>
      <w:pPr>
        <w:ind w:right="120" w:firstLine="648"/>
        <w:spacing w:after="0" w:line="288"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Credit Documents</w:t>
      </w:r>
      <w:r>
        <w:rPr>
          <w:rFonts w:ascii="Arial" w:cs="Arial" w:eastAsia="Arial" w:hAnsi="Arial"/>
          <w:sz w:val="20"/>
          <w:szCs w:val="20"/>
          <w:color w:val="auto"/>
        </w:rPr>
        <w:t xml:space="preserve">” means this Credit Agreement, the Notes, the Collateral Documents, the Fee Letter, the Guaranties, each Designated Borrower Request and Assumption Agreement, the Issuer Documents, each Designated Borrower Notice, the Joinder Agreements, any agreement creating or perfecting rights in Cash Collateral pursuant to the provisions of </w:t>
      </w:r>
      <w:r>
        <w:rPr>
          <w:rFonts w:ascii="Arial" w:cs="Arial" w:eastAsia="Arial" w:hAnsi="Arial"/>
          <w:sz w:val="20"/>
          <w:szCs w:val="20"/>
          <w:u w:val="single" w:color="auto"/>
          <w:color w:val="auto"/>
        </w:rPr>
        <w:t>Section 2.16</w:t>
      </w:r>
      <w:r>
        <w:rPr>
          <w:rFonts w:ascii="Arial" w:cs="Arial" w:eastAsia="Arial" w:hAnsi="Arial"/>
          <w:sz w:val="20"/>
          <w:szCs w:val="20"/>
          <w:color w:val="auto"/>
        </w:rPr>
        <w:t xml:space="preserve"> of this Credit Agreement and the Lender Joinder Agreements.</w:t>
      </w:r>
    </w:p>
    <w:p>
      <w:pPr>
        <w:spacing w:after="0" w:line="193" w:lineRule="exact"/>
        <w:rPr>
          <w:sz w:val="20"/>
          <w:szCs w:val="20"/>
          <w:color w:val="auto"/>
        </w:rPr>
      </w:pPr>
    </w:p>
    <w:p>
      <w:pPr>
        <w:ind w:right="300" w:firstLine="648"/>
        <w:spacing w:after="0" w:line="303"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Credit Extension</w:t>
      </w:r>
      <w:r>
        <w:rPr>
          <w:rFonts w:ascii="Arial" w:cs="Arial" w:eastAsia="Arial" w:hAnsi="Arial"/>
          <w:sz w:val="20"/>
          <w:szCs w:val="20"/>
          <w:color w:val="auto"/>
        </w:rPr>
        <w:t>” means each of the following: (a) a Borrowing, (b) the conversion or continuation of a Borrowing, and (c) an L/C Credit Extension.</w:t>
      </w:r>
    </w:p>
    <w:p>
      <w:pPr>
        <w:spacing w:after="0" w:line="17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Credit Parties</w:t>
      </w:r>
      <w:r>
        <w:rPr>
          <w:rFonts w:ascii="Arial" w:cs="Arial" w:eastAsia="Arial" w:hAnsi="Arial"/>
          <w:sz w:val="20"/>
          <w:szCs w:val="20"/>
          <w:color w:val="auto"/>
        </w:rPr>
        <w:t>” means, collectively, the Borrowers and the Guarantors.</w:t>
      </w:r>
    </w:p>
    <w:p>
      <w:pPr>
        <w:spacing w:after="0" w:line="25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Credit Party Materials</w:t>
      </w:r>
      <w:r>
        <w:rPr>
          <w:rFonts w:ascii="Arial" w:cs="Arial" w:eastAsia="Arial" w:hAnsi="Arial"/>
          <w:sz w:val="20"/>
          <w:szCs w:val="20"/>
          <w:color w:val="auto"/>
        </w:rPr>
        <w:t>” has the meaning provided in Section 7.02.</w:t>
      </w:r>
    </w:p>
    <w:p>
      <w:pPr>
        <w:spacing w:after="0" w:line="25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CTA</w:t>
      </w:r>
      <w:r>
        <w:rPr>
          <w:rFonts w:ascii="Arial" w:cs="Arial" w:eastAsia="Arial" w:hAnsi="Arial"/>
          <w:sz w:val="20"/>
          <w:szCs w:val="20"/>
          <w:color w:val="auto"/>
        </w:rPr>
        <w:t>” means the Corporation Tax Act 2009.</w:t>
      </w:r>
    </w:p>
    <w:p>
      <w:pPr>
        <w:spacing w:after="0" w:line="256" w:lineRule="exact"/>
        <w:rPr>
          <w:sz w:val="20"/>
          <w:szCs w:val="20"/>
          <w:color w:val="auto"/>
        </w:rPr>
      </w:pPr>
    </w:p>
    <w:p>
      <w:pPr>
        <w:ind w:firstLine="648"/>
        <w:spacing w:after="0" w:line="288"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Debtor Relief Laws</w:t>
      </w:r>
      <w:r>
        <w:rPr>
          <w:rFonts w:ascii="Arial" w:cs="Arial" w:eastAsia="Arial" w:hAnsi="Arial"/>
          <w:sz w:val="20"/>
          <w:szCs w:val="20"/>
          <w:color w:val="auto"/>
        </w:rPr>
        <w:t>” means the Bankruptcy Code of the United States, and all other liquidation, conservatorship, bankruptcy, assignment for the benefit of creditors, moratorium, rearrangement, receivership, insolvency, reorganization, or similar debtor relief Laws of the United States or other applicable jurisdictions (including the Indian Recovery of Debt due to Banks and Financial Institutions Act, 1993) from time to time in effect and affecting the rights of creditors generally.</w:t>
      </w:r>
    </w:p>
    <w:p>
      <w:pPr>
        <w:spacing w:after="0" w:line="193"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Delta Euronet</w:t>
      </w:r>
      <w:r>
        <w:rPr>
          <w:rFonts w:ascii="Arial" w:cs="Arial" w:eastAsia="Arial" w:hAnsi="Arial"/>
          <w:sz w:val="20"/>
          <w:szCs w:val="20"/>
          <w:color w:val="auto"/>
        </w:rPr>
        <w:t>” means Delta Euronet GmbH, limited liability company organized and existing under the laws of Germany.</w:t>
      </w:r>
    </w:p>
    <w:p>
      <w:pPr>
        <w:spacing w:after="0" w:line="256" w:lineRule="exact"/>
        <w:rPr>
          <w:sz w:val="20"/>
          <w:szCs w:val="20"/>
          <w:color w:val="auto"/>
        </w:rPr>
      </w:pPr>
    </w:p>
    <w:p>
      <w:pPr>
        <w:ind w:right="160" w:firstLine="648"/>
        <w:spacing w:after="0" w:line="303"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Default</w:t>
      </w:r>
      <w:r>
        <w:rPr>
          <w:rFonts w:ascii="Arial" w:cs="Arial" w:eastAsia="Arial" w:hAnsi="Arial"/>
          <w:sz w:val="20"/>
          <w:szCs w:val="20"/>
          <w:color w:val="auto"/>
        </w:rPr>
        <w:t>” means any event, act or condition that constitutes an Event of Default or that, with the giving of notice, the passage of time, or both, would constitute an Event of Default.</w:t>
      </w:r>
    </w:p>
    <w:p>
      <w:pPr>
        <w:spacing w:after="0" w:line="17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Default Rate</w:t>
      </w:r>
      <w:r>
        <w:rPr>
          <w:rFonts w:ascii="Arial" w:cs="Arial" w:eastAsia="Arial" w:hAnsi="Arial"/>
          <w:sz w:val="20"/>
          <w:szCs w:val="20"/>
          <w:color w:val="auto"/>
        </w:rPr>
        <w:t>” means</w:t>
      </w:r>
    </w:p>
    <w:p>
      <w:pPr>
        <w:spacing w:after="0" w:line="256" w:lineRule="exact"/>
        <w:rPr>
          <w:sz w:val="20"/>
          <w:szCs w:val="20"/>
          <w:color w:val="auto"/>
        </w:rPr>
      </w:pPr>
    </w:p>
    <w:p>
      <w:pPr>
        <w:ind w:left="660" w:right="500" w:firstLine="645"/>
        <w:spacing w:after="0" w:line="317" w:lineRule="auto"/>
        <w:tabs>
          <w:tab w:leader="none" w:pos="1708" w:val="left"/>
        </w:tabs>
        <w:numPr>
          <w:ilvl w:val="0"/>
          <w:numId w:val="35"/>
        </w:numPr>
        <w:rPr>
          <w:rFonts w:ascii="Arial" w:cs="Arial" w:eastAsia="Arial" w:hAnsi="Arial"/>
          <w:sz w:val="20"/>
          <w:szCs w:val="20"/>
          <w:color w:val="auto"/>
        </w:rPr>
      </w:pPr>
      <w:r>
        <w:rPr>
          <w:rFonts w:ascii="Arial" w:cs="Arial" w:eastAsia="Arial" w:hAnsi="Arial"/>
          <w:sz w:val="20"/>
          <w:szCs w:val="20"/>
          <w:color w:val="auto"/>
        </w:rPr>
        <w:t>in the case of the Letter of Credit Fee, an interest rate equal to the sum of (i) the Applicable Percentage, plus (ii) two percent (2.0%) per annum;</w:t>
      </w:r>
    </w:p>
    <w:p>
      <w:pPr>
        <w:spacing w:after="0" w:line="162" w:lineRule="exact"/>
        <w:rPr>
          <w:rFonts w:ascii="Arial" w:cs="Arial" w:eastAsia="Arial" w:hAnsi="Arial"/>
          <w:sz w:val="20"/>
          <w:szCs w:val="20"/>
          <w:color w:val="auto"/>
        </w:rPr>
      </w:pPr>
    </w:p>
    <w:p>
      <w:pPr>
        <w:ind w:left="660" w:right="260" w:firstLine="645"/>
        <w:spacing w:after="0" w:line="317" w:lineRule="auto"/>
        <w:tabs>
          <w:tab w:leader="none" w:pos="1719" w:val="left"/>
        </w:tabs>
        <w:numPr>
          <w:ilvl w:val="0"/>
          <w:numId w:val="35"/>
        </w:numPr>
        <w:rPr>
          <w:rFonts w:ascii="Arial" w:cs="Arial" w:eastAsia="Arial" w:hAnsi="Arial"/>
          <w:sz w:val="20"/>
          <w:szCs w:val="20"/>
          <w:color w:val="auto"/>
        </w:rPr>
      </w:pPr>
      <w:r>
        <w:rPr>
          <w:rFonts w:ascii="Arial" w:cs="Arial" w:eastAsia="Arial" w:hAnsi="Arial"/>
          <w:sz w:val="20"/>
          <w:szCs w:val="20"/>
          <w:color w:val="auto"/>
        </w:rPr>
        <w:t>in the case of Fixed LIBOR Rate Loans, an interest rate equal to the sum of (i) the Fixed LIBOR Rate therefor, plus (ii) the Applicable Percentage, plus (iii</w:t>
      </w:r>
      <w:r>
        <w:rPr>
          <w:rFonts w:ascii="Arial" w:cs="Arial" w:eastAsia="Arial" w:hAnsi="Arial"/>
          <w:sz w:val="20"/>
          <w:szCs w:val="20"/>
          <w:color w:val="FF0000"/>
          <w:strike w:val="1"/>
        </w:rPr>
        <w:t>) Mandatory Cost, if any, plus (iv</w:t>
      </w:r>
      <w:r>
        <w:rPr>
          <w:rFonts w:ascii="Arial" w:cs="Arial" w:eastAsia="Arial" w:hAnsi="Arial"/>
          <w:sz w:val="20"/>
          <w:szCs w:val="20"/>
          <w:color w:val="auto"/>
        </w:rPr>
        <w:t>) two percent (2.0%) per annum;</w:t>
      </w:r>
    </w:p>
    <w:p>
      <w:pPr>
        <w:spacing w:after="0" w:line="37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23</w:t>
      </w:r>
    </w:p>
    <w:p>
      <w:pPr>
        <w:spacing w:after="0" w:line="10" w:lineRule="exact"/>
        <w:rPr>
          <w:sz w:val="20"/>
          <w:szCs w:val="20"/>
          <w:color w:val="auto"/>
        </w:rPr>
      </w:pPr>
    </w:p>
    <w:p>
      <w:pPr>
        <w:spacing w:after="0"/>
        <w:rPr>
          <w:sz w:val="20"/>
          <w:szCs w:val="20"/>
          <w:color w:val="auto"/>
        </w:rPr>
      </w:pPr>
      <w:r>
        <w:rPr>
          <w:rFonts w:ascii="Arial" w:cs="Arial" w:eastAsia="Arial" w:hAnsi="Arial"/>
          <w:sz w:val="14"/>
          <w:szCs w:val="14"/>
          <w:color w:val="auto"/>
        </w:rPr>
        <w:t>CHAR1\1346423v</w:t>
      </w:r>
      <w:r>
        <w:rPr>
          <w:rFonts w:ascii="Arial" w:cs="Arial" w:eastAsia="Arial" w:hAnsi="Arial"/>
          <w:sz w:val="14"/>
          <w:szCs w:val="14"/>
          <w:color w:val="FF0000"/>
          <w:strike w:val="1"/>
        </w:rPr>
        <w:t>1</w:t>
      </w:r>
      <w:r>
        <w:rPr>
          <w:rFonts w:ascii="Arial" w:cs="Arial" w:eastAsia="Arial" w:hAnsi="Arial"/>
          <w:sz w:val="14"/>
          <w:szCs w:val="14"/>
          <w:u w:val="single" w:color="auto"/>
          <w:color w:val="0000FF"/>
        </w:rPr>
        <w:t>12</w:t>
      </w:r>
    </w:p>
    <w:p>
      <w:pPr>
        <w:sectPr>
          <w:pgSz w:w="11900" w:h="16838" w:orient="portrait"/>
          <w:cols w:equalWidth="0" w:num="1">
            <w:col w:w="11420"/>
          </w:cols>
          <w:pgMar w:left="240" w:top="609" w:right="239" w:bottom="1440" w:gutter="0" w:footer="0" w:header="0"/>
        </w:sectPr>
      </w:pPr>
    </w:p>
    <w:bookmarkStart w:id="75" w:name="page76"/>
    <w:bookmarkEnd w:id="75"/>
    <w:p>
      <w:pPr>
        <w:ind w:left="1700" w:hanging="395"/>
        <w:spacing w:after="0"/>
        <w:tabs>
          <w:tab w:leader="none" w:pos="1700" w:val="left"/>
        </w:tabs>
        <w:numPr>
          <w:ilvl w:val="1"/>
          <w:numId w:val="36"/>
        </w:numPr>
        <w:rPr>
          <w:rFonts w:ascii="Arial" w:cs="Arial" w:eastAsia="Arial" w:hAnsi="Arial"/>
          <w:sz w:val="18"/>
          <w:szCs w:val="18"/>
          <w:color w:val="auto"/>
        </w:rPr>
      </w:pPr>
      <w:r>
        <w:rPr>
          <w:rFonts w:ascii="Arial" w:cs="Arial" w:eastAsia="Arial" w:hAnsi="Arial"/>
          <w:sz w:val="18"/>
          <w:szCs w:val="18"/>
          <w:color w:val="auto"/>
        </w:rPr>
        <w:t>in the case of Floating LIBOR Rate Loans, an interest rate equal to the sum of (i) the Floating LIBOR Rate therefor, plus</w:t>
      </w:r>
    </w:p>
    <w:p>
      <w:pPr>
        <w:spacing w:after="0" w:line="76" w:lineRule="exact"/>
        <w:rPr>
          <w:rFonts w:ascii="Arial" w:cs="Arial" w:eastAsia="Arial" w:hAnsi="Arial"/>
          <w:sz w:val="18"/>
          <w:szCs w:val="18"/>
          <w:color w:val="auto"/>
        </w:rPr>
      </w:pPr>
    </w:p>
    <w:p>
      <w:pPr>
        <w:ind w:left="940" w:hanging="284"/>
        <w:spacing w:after="0"/>
        <w:tabs>
          <w:tab w:leader="none" w:pos="940" w:val="left"/>
        </w:tabs>
        <w:numPr>
          <w:ilvl w:val="0"/>
          <w:numId w:val="37"/>
        </w:numPr>
        <w:rPr>
          <w:rFonts w:ascii="Arial" w:cs="Arial" w:eastAsia="Arial" w:hAnsi="Arial"/>
          <w:sz w:val="20"/>
          <w:szCs w:val="20"/>
          <w:color w:val="auto"/>
        </w:rPr>
      </w:pPr>
      <w:r>
        <w:rPr>
          <w:rFonts w:ascii="Arial" w:cs="Arial" w:eastAsia="Arial" w:hAnsi="Arial"/>
          <w:sz w:val="20"/>
          <w:szCs w:val="20"/>
          <w:color w:val="auto"/>
        </w:rPr>
        <w:t>the Applicable Percentage, plus (iii</w:t>
      </w:r>
      <w:r>
        <w:rPr>
          <w:rFonts w:ascii="Arial" w:cs="Arial" w:eastAsia="Arial" w:hAnsi="Arial"/>
          <w:sz w:val="20"/>
          <w:szCs w:val="20"/>
          <w:color w:val="FF0000"/>
          <w:strike w:val="1"/>
        </w:rPr>
        <w:t>) Mandatory Cost, if any, plus (iv</w:t>
      </w:r>
      <w:r>
        <w:rPr>
          <w:rFonts w:ascii="Arial" w:cs="Arial" w:eastAsia="Arial" w:hAnsi="Arial"/>
          <w:sz w:val="20"/>
          <w:szCs w:val="20"/>
          <w:color w:val="auto"/>
        </w:rPr>
        <w:t>) two percent (2.0%) per annum;</w:t>
      </w:r>
    </w:p>
    <w:p>
      <w:pPr>
        <w:spacing w:after="0" w:line="256" w:lineRule="exact"/>
        <w:rPr>
          <w:rFonts w:ascii="Arial" w:cs="Arial" w:eastAsia="Arial" w:hAnsi="Arial"/>
          <w:sz w:val="20"/>
          <w:szCs w:val="20"/>
          <w:color w:val="auto"/>
        </w:rPr>
      </w:pPr>
    </w:p>
    <w:p>
      <w:pPr>
        <w:ind w:left="660" w:right="560" w:firstLine="645"/>
        <w:spacing w:after="0" w:line="346" w:lineRule="auto"/>
        <w:tabs>
          <w:tab w:leader="none" w:pos="1719" w:val="left"/>
        </w:tabs>
        <w:numPr>
          <w:ilvl w:val="1"/>
          <w:numId w:val="37"/>
        </w:numPr>
        <w:rPr>
          <w:rFonts w:ascii="Arial" w:cs="Arial" w:eastAsia="Arial" w:hAnsi="Arial"/>
          <w:sz w:val="19"/>
          <w:szCs w:val="19"/>
          <w:color w:val="auto"/>
        </w:rPr>
      </w:pPr>
      <w:r>
        <w:rPr>
          <w:rFonts w:ascii="Arial" w:cs="Arial" w:eastAsia="Arial" w:hAnsi="Arial"/>
          <w:sz w:val="19"/>
          <w:szCs w:val="19"/>
          <w:color w:val="auto"/>
        </w:rPr>
        <w:t>in the case of Overnight Rate Loans, an interest rate equal to the sum of (i) the Overnight Rate therefor, plus (ii) the Applicable Percentage, plus (iii</w:t>
      </w:r>
      <w:r>
        <w:rPr>
          <w:rFonts w:ascii="Arial" w:cs="Arial" w:eastAsia="Arial" w:hAnsi="Arial"/>
          <w:sz w:val="19"/>
          <w:szCs w:val="19"/>
          <w:color w:val="FF0000"/>
          <w:strike w:val="1"/>
        </w:rPr>
        <w:t>) Mandatory Cost, if any, plus (iv</w:t>
      </w:r>
      <w:r>
        <w:rPr>
          <w:rFonts w:ascii="Arial" w:cs="Arial" w:eastAsia="Arial" w:hAnsi="Arial"/>
          <w:sz w:val="19"/>
          <w:szCs w:val="19"/>
          <w:color w:val="auto"/>
        </w:rPr>
        <w:t>) two percent (2.0%) per annum; and</w:t>
      </w:r>
    </w:p>
    <w:p>
      <w:pPr>
        <w:spacing w:after="0" w:line="139" w:lineRule="exact"/>
        <w:rPr>
          <w:rFonts w:ascii="Arial" w:cs="Arial" w:eastAsia="Arial" w:hAnsi="Arial"/>
          <w:sz w:val="19"/>
          <w:szCs w:val="19"/>
          <w:color w:val="auto"/>
        </w:rPr>
      </w:pPr>
    </w:p>
    <w:p>
      <w:pPr>
        <w:ind w:left="660" w:right="40" w:firstLine="645"/>
        <w:spacing w:after="0" w:line="317" w:lineRule="auto"/>
        <w:tabs>
          <w:tab w:leader="none" w:pos="1708" w:val="left"/>
        </w:tabs>
        <w:numPr>
          <w:ilvl w:val="1"/>
          <w:numId w:val="37"/>
        </w:numPr>
        <w:rPr>
          <w:rFonts w:ascii="Arial" w:cs="Arial" w:eastAsia="Arial" w:hAnsi="Arial"/>
          <w:sz w:val="20"/>
          <w:szCs w:val="20"/>
          <w:color w:val="auto"/>
        </w:rPr>
      </w:pPr>
      <w:r>
        <w:rPr>
          <w:rFonts w:ascii="Arial" w:cs="Arial" w:eastAsia="Arial" w:hAnsi="Arial"/>
          <w:sz w:val="20"/>
          <w:szCs w:val="20"/>
          <w:color w:val="auto"/>
        </w:rPr>
        <w:t>in all other cases, including Base Rate Loans, an interest rate equal to the sum of (i) the Base Rate, plus (ii) the Applicable Percentage, plus (iii) two percent (2.0%) per annum.</w:t>
      </w:r>
    </w:p>
    <w:p>
      <w:pPr>
        <w:spacing w:after="0" w:line="162" w:lineRule="exact"/>
        <w:rPr>
          <w:sz w:val="20"/>
          <w:szCs w:val="20"/>
          <w:color w:val="auto"/>
        </w:rPr>
      </w:pPr>
    </w:p>
    <w:p>
      <w:pPr>
        <w:ind w:firstLine="648"/>
        <w:spacing w:after="0" w:line="31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Defaulting Lender</w:t>
      </w:r>
      <w:r>
        <w:rPr>
          <w:rFonts w:ascii="Arial" w:cs="Arial" w:eastAsia="Arial" w:hAnsi="Arial"/>
          <w:sz w:val="18"/>
          <w:szCs w:val="18"/>
          <w:color w:val="auto"/>
        </w:rPr>
        <w:t xml:space="preserve">” means any Lender that (a) has failed to (i) fund all or any portion of its Loans within two Business Days of the date such Loans were required to be funded hereunder, or (ii) pay to the Administrative Agent, an L/C Issuer, a Swingline Lender or any other Lender any other amount required to be paid by it hereunder (including in respect of its participation in Letters of Credit or Swingline Loans) within two Business Days of the date when due, (b) has notified the Borrowers, the Administrative Agent, an L/C Issuer or a Swingline Lender in writing that it does not intend to comply with its funding obligations hereunder, or has made a public statement to that effect, (c) has failed, within three Business Days after written request by the Administrative Agent or the Borrowers, to confirm in writing to the Administrative Agent and the Borrowers that it will comply with its prospective funding obligations hereunder (provided that such Lender shall cease to be a Defaulting Lender pursuant to this </w:t>
      </w:r>
      <w:r>
        <w:rPr>
          <w:rFonts w:ascii="Arial" w:cs="Arial" w:eastAsia="Arial" w:hAnsi="Arial"/>
          <w:sz w:val="18"/>
          <w:szCs w:val="18"/>
          <w:u w:val="single" w:color="auto"/>
          <w:color w:val="auto"/>
        </w:rPr>
        <w:t>clause (c)</w:t>
      </w:r>
      <w:r>
        <w:rPr>
          <w:rFonts w:ascii="Arial" w:cs="Arial" w:eastAsia="Arial" w:hAnsi="Arial"/>
          <w:sz w:val="18"/>
          <w:szCs w:val="18"/>
          <w:color w:val="auto"/>
        </w:rPr>
        <w:t xml:space="preserve"> upon receipt of such written confirmation by the Administrative Agent and the Borrowers), or (d) has, or has a direct or indirect parent company that has, (i) become the subject of a proceeding under any Debtor Relief Law, or (ii) had appointed for it a receiver, custodian, conservator, trustee, administrator, assignee for the benefit of creditors or similar Person charged with reorganization or liquidation of its business or assets, including the Federal Deposit Insurance Corporation or any other state or federal regulatory authority acting in such a capacity;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a Lender shall not be a Defaulting Lender solely by virtue of the ownership or acquisition of any equity interest in that Lender or any direct or indirect parent company thereof by a Governmental Authority so long as such ownership interest does not result in or provide such Lender with immunity from the jurisdiction of courts within the United States or from the enforcement of judgments or writs of attachment on its assets or permit such Lender (or such Governmental Authority or instrumentality) to reject, repudiate, disavow or disaffirm any contracts or agreements made with such Lender. Any determination by the Administrative Agent that a Lender is a Defaulting Lender under </w:t>
      </w:r>
      <w:r>
        <w:rPr>
          <w:rFonts w:ascii="Arial" w:cs="Arial" w:eastAsia="Arial" w:hAnsi="Arial"/>
          <w:sz w:val="18"/>
          <w:szCs w:val="18"/>
          <w:u w:val="single" w:color="auto"/>
          <w:color w:val="0000FF"/>
        </w:rPr>
        <w:t>any one or more of</w:t>
      </w:r>
      <w:r>
        <w:rPr>
          <w:rFonts w:ascii="Arial" w:cs="Arial" w:eastAsia="Arial" w:hAnsi="Arial"/>
          <w:sz w:val="18"/>
          <w:szCs w:val="18"/>
          <w:color w:val="auto"/>
        </w:rPr>
        <w:t xml:space="preserve"> </w:t>
      </w:r>
      <w:r>
        <w:rPr>
          <w:rFonts w:ascii="Arial" w:cs="Arial" w:eastAsia="Arial" w:hAnsi="Arial"/>
          <w:sz w:val="18"/>
          <w:szCs w:val="18"/>
          <w:u w:val="single" w:color="auto"/>
          <w:color w:val="auto"/>
        </w:rPr>
        <w:t>clauses (a)</w:t>
      </w:r>
      <w:r>
        <w:rPr>
          <w:rFonts w:ascii="Arial" w:cs="Arial" w:eastAsia="Arial" w:hAnsi="Arial"/>
          <w:sz w:val="18"/>
          <w:szCs w:val="18"/>
          <w:color w:val="auto"/>
        </w:rPr>
        <w:t xml:space="preserve"> through </w:t>
      </w:r>
      <w:r>
        <w:rPr>
          <w:rFonts w:ascii="Arial" w:cs="Arial" w:eastAsia="Arial" w:hAnsi="Arial"/>
          <w:sz w:val="18"/>
          <w:szCs w:val="18"/>
          <w:u w:val="single" w:color="auto"/>
          <w:color w:val="auto"/>
        </w:rPr>
        <w:t>(d)</w:t>
      </w:r>
      <w:r>
        <w:rPr>
          <w:rFonts w:ascii="Arial" w:cs="Arial" w:eastAsia="Arial" w:hAnsi="Arial"/>
          <w:sz w:val="18"/>
          <w:szCs w:val="18"/>
          <w:color w:val="auto"/>
        </w:rPr>
        <w:t xml:space="preserve"> above</w:t>
      </w:r>
      <w:r>
        <w:rPr>
          <w:rFonts w:ascii="Arial" w:cs="Arial" w:eastAsia="Arial" w:hAnsi="Arial"/>
          <w:sz w:val="18"/>
          <w:szCs w:val="18"/>
          <w:u w:val="single" w:color="auto"/>
          <w:color w:val="0000FF"/>
        </w:rPr>
        <w:t>, and the effective date of such status,</w:t>
      </w:r>
      <w:r>
        <w:rPr>
          <w:rFonts w:ascii="Arial" w:cs="Arial" w:eastAsia="Arial" w:hAnsi="Arial"/>
          <w:sz w:val="18"/>
          <w:szCs w:val="18"/>
          <w:color w:val="auto"/>
        </w:rPr>
        <w:t xml:space="preserve"> shall be conclusive and binding absent manifest error, and such Lender shall be deemed to be a Defaulting Lender </w:t>
      </w:r>
      <w:r>
        <w:rPr>
          <w:rFonts w:ascii="Arial" w:cs="Arial" w:eastAsia="Arial" w:hAnsi="Arial"/>
          <w:sz w:val="18"/>
          <w:szCs w:val="18"/>
          <w:color w:val="FF0000"/>
          <w:strike w:val="1"/>
        </w:rPr>
        <w:t>upon delivery of</w:t>
      </w:r>
      <w:r>
        <w:rPr>
          <w:rFonts w:ascii="Arial" w:cs="Arial" w:eastAsia="Arial" w:hAnsi="Arial"/>
          <w:sz w:val="18"/>
          <w:szCs w:val="18"/>
          <w:u w:val="single" w:color="auto"/>
          <w:color w:val="0000FF"/>
        </w:rPr>
        <w:t>as of the date</w:t>
      </w:r>
      <w:r>
        <w:rPr>
          <w:rFonts w:ascii="Arial" w:cs="Arial" w:eastAsia="Arial" w:hAnsi="Arial"/>
          <w:sz w:val="18"/>
          <w:szCs w:val="18"/>
          <w:color w:val="auto"/>
        </w:rPr>
        <w:t xml:space="preserve"> </w:t>
      </w:r>
      <w:r>
        <w:rPr>
          <w:rFonts w:ascii="Arial" w:cs="Arial" w:eastAsia="Arial" w:hAnsi="Arial"/>
          <w:sz w:val="18"/>
          <w:szCs w:val="18"/>
          <w:u w:val="single" w:color="auto"/>
          <w:color w:val="0000FF"/>
        </w:rPr>
        <w:t>established therefor by the Administrative Agent in a</w:t>
      </w:r>
      <w:r>
        <w:rPr>
          <w:rFonts w:ascii="Arial" w:cs="Arial" w:eastAsia="Arial" w:hAnsi="Arial"/>
          <w:sz w:val="18"/>
          <w:szCs w:val="18"/>
          <w:color w:val="0000FF"/>
        </w:rPr>
        <w:t xml:space="preserve"> </w:t>
      </w:r>
      <w:r>
        <w:rPr>
          <w:rFonts w:ascii="Arial" w:cs="Arial" w:eastAsia="Arial" w:hAnsi="Arial"/>
          <w:sz w:val="18"/>
          <w:szCs w:val="18"/>
          <w:color w:val="000000"/>
        </w:rPr>
        <w:t>written notice of such determination</w:t>
      </w:r>
      <w:r>
        <w:rPr>
          <w:rFonts w:ascii="Arial" w:cs="Arial" w:eastAsia="Arial" w:hAnsi="Arial"/>
          <w:sz w:val="18"/>
          <w:szCs w:val="18"/>
          <w:color w:val="0000FF"/>
        </w:rPr>
        <w:t xml:space="preserve"> </w:t>
      </w:r>
      <w:r>
        <w:rPr>
          <w:rFonts w:ascii="Arial" w:cs="Arial" w:eastAsia="Arial" w:hAnsi="Arial"/>
          <w:sz w:val="18"/>
          <w:szCs w:val="18"/>
          <w:u w:val="single" w:color="auto"/>
          <w:color w:val="0000FF"/>
        </w:rPr>
        <w:t>which shall be delivered by the Administrative Agent</w:t>
      </w:r>
      <w:r>
        <w:rPr>
          <w:rFonts w:ascii="Arial" w:cs="Arial" w:eastAsia="Arial" w:hAnsi="Arial"/>
          <w:sz w:val="18"/>
          <w:szCs w:val="18"/>
          <w:color w:val="0000FF"/>
        </w:rPr>
        <w:t xml:space="preserve"> </w:t>
      </w:r>
      <w:r>
        <w:rPr>
          <w:rFonts w:ascii="Arial" w:cs="Arial" w:eastAsia="Arial" w:hAnsi="Arial"/>
          <w:sz w:val="18"/>
          <w:szCs w:val="18"/>
          <w:color w:val="000000"/>
        </w:rPr>
        <w:t xml:space="preserve">to the Borrowers, the L/C Issuers, the Swingline Lenders and the Lenders </w:t>
      </w:r>
      <w:r>
        <w:rPr>
          <w:rFonts w:ascii="Arial" w:cs="Arial" w:eastAsia="Arial" w:hAnsi="Arial"/>
          <w:sz w:val="18"/>
          <w:szCs w:val="18"/>
          <w:u w:val="single" w:color="auto"/>
          <w:color w:val="0000FF"/>
        </w:rPr>
        <w:t>promptly following such determination</w:t>
      </w:r>
      <w:r>
        <w:rPr>
          <w:rFonts w:ascii="Arial" w:cs="Arial" w:eastAsia="Arial" w:hAnsi="Arial"/>
          <w:sz w:val="18"/>
          <w:szCs w:val="18"/>
          <w:color w:val="000000"/>
        </w:rPr>
        <w:t>.</w:t>
      </w:r>
    </w:p>
    <w:p>
      <w:pPr>
        <w:spacing w:after="0" w:line="185"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Defaulting Lender Account</w:t>
      </w:r>
      <w:r>
        <w:rPr>
          <w:rFonts w:ascii="Arial" w:cs="Arial" w:eastAsia="Arial" w:hAnsi="Arial"/>
          <w:sz w:val="20"/>
          <w:szCs w:val="20"/>
          <w:color w:val="auto"/>
        </w:rPr>
        <w:t>” has the meaning provided in Section 2.17(a)(v).</w:t>
      </w:r>
    </w:p>
    <w:p>
      <w:pPr>
        <w:spacing w:after="0" w:line="256" w:lineRule="exact"/>
        <w:rPr>
          <w:sz w:val="20"/>
          <w:szCs w:val="20"/>
          <w:color w:val="auto"/>
        </w:rPr>
      </w:pPr>
    </w:p>
    <w:p>
      <w:pPr>
        <w:ind w:right="160" w:firstLine="648"/>
        <w:spacing w:after="0" w:line="303"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Designated Borrower Limit</w:t>
      </w:r>
      <w:r>
        <w:rPr>
          <w:rFonts w:ascii="Arial" w:cs="Arial" w:eastAsia="Arial" w:hAnsi="Arial"/>
          <w:sz w:val="20"/>
          <w:szCs w:val="20"/>
          <w:color w:val="auto"/>
        </w:rPr>
        <w:t xml:space="preserve">” means, for any Borrower, the amount shown on </w:t>
      </w:r>
      <w:r>
        <w:rPr>
          <w:rFonts w:ascii="Arial" w:cs="Arial" w:eastAsia="Arial" w:hAnsi="Arial"/>
          <w:sz w:val="20"/>
          <w:szCs w:val="20"/>
          <w:u w:val="single" w:color="auto"/>
          <w:color w:val="auto"/>
        </w:rPr>
        <w:t>Schedule 2.14</w:t>
      </w:r>
      <w:r>
        <w:rPr>
          <w:rFonts w:ascii="Arial" w:cs="Arial" w:eastAsia="Arial" w:hAnsi="Arial"/>
          <w:sz w:val="20"/>
          <w:szCs w:val="20"/>
          <w:color w:val="auto"/>
        </w:rPr>
        <w:t xml:space="preserve"> as its “Designated Borrower Limit”, and for any Applicant Borrower that becomes a Borrower hereunder in</w:t>
      </w:r>
    </w:p>
    <w:p>
      <w:pPr>
        <w:spacing w:after="0" w:line="39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24</w:t>
      </w:r>
    </w:p>
    <w:p>
      <w:pPr>
        <w:spacing w:after="0" w:line="10" w:lineRule="exact"/>
        <w:rPr>
          <w:sz w:val="20"/>
          <w:szCs w:val="20"/>
          <w:color w:val="auto"/>
        </w:rPr>
      </w:pPr>
    </w:p>
    <w:p>
      <w:pPr>
        <w:spacing w:after="0"/>
        <w:rPr>
          <w:sz w:val="20"/>
          <w:szCs w:val="20"/>
          <w:color w:val="auto"/>
        </w:rPr>
      </w:pPr>
      <w:r>
        <w:rPr>
          <w:rFonts w:ascii="Arial" w:cs="Arial" w:eastAsia="Arial" w:hAnsi="Arial"/>
          <w:sz w:val="14"/>
          <w:szCs w:val="14"/>
          <w:color w:val="auto"/>
        </w:rPr>
        <w:t>CHAR1\1346423v</w:t>
      </w:r>
      <w:r>
        <w:rPr>
          <w:rFonts w:ascii="Arial" w:cs="Arial" w:eastAsia="Arial" w:hAnsi="Arial"/>
          <w:sz w:val="14"/>
          <w:szCs w:val="14"/>
          <w:color w:val="FF0000"/>
          <w:strike w:val="1"/>
        </w:rPr>
        <w:t>1</w:t>
      </w:r>
      <w:r>
        <w:rPr>
          <w:rFonts w:ascii="Arial" w:cs="Arial" w:eastAsia="Arial" w:hAnsi="Arial"/>
          <w:sz w:val="14"/>
          <w:szCs w:val="14"/>
          <w:u w:val="single" w:color="auto"/>
          <w:color w:val="0000FF"/>
        </w:rPr>
        <w:t>12</w:t>
      </w:r>
    </w:p>
    <w:p>
      <w:pPr>
        <w:sectPr>
          <w:pgSz w:w="11900" w:h="16838" w:orient="portrait"/>
          <w:cols w:equalWidth="0" w:num="1">
            <w:col w:w="11420"/>
          </w:cols>
          <w:pgMar w:left="240" w:top="609" w:right="239" w:bottom="1440" w:gutter="0" w:footer="0" w:header="0"/>
        </w:sectPr>
      </w:pPr>
    </w:p>
    <w:bookmarkStart w:id="76" w:name="page77"/>
    <w:bookmarkEnd w:id="76"/>
    <w:p>
      <w:pPr>
        <w:ind w:right="40"/>
        <w:spacing w:after="0" w:line="303" w:lineRule="auto"/>
        <w:rPr>
          <w:sz w:val="20"/>
          <w:szCs w:val="20"/>
          <w:color w:val="auto"/>
        </w:rPr>
      </w:pPr>
      <w:r>
        <w:rPr>
          <w:rFonts w:ascii="Arial" w:cs="Arial" w:eastAsia="Arial" w:hAnsi="Arial"/>
          <w:sz w:val="20"/>
          <w:szCs w:val="20"/>
          <w:color w:val="auto"/>
        </w:rPr>
        <w:t xml:space="preserve">accordance with the provisions of </w:t>
      </w:r>
      <w:r>
        <w:rPr>
          <w:rFonts w:ascii="Arial" w:cs="Arial" w:eastAsia="Arial" w:hAnsi="Arial"/>
          <w:sz w:val="20"/>
          <w:szCs w:val="20"/>
          <w:u w:val="single" w:color="auto"/>
          <w:color w:val="auto"/>
        </w:rPr>
        <w:t>Section 2.14(b</w:t>
      </w:r>
      <w:r>
        <w:rPr>
          <w:rFonts w:ascii="Arial" w:cs="Arial" w:eastAsia="Arial" w:hAnsi="Arial"/>
          <w:sz w:val="20"/>
          <w:szCs w:val="20"/>
          <w:color w:val="auto"/>
        </w:rPr>
        <w:t>), the amount identified in the Designated Borrower Request and Assumption Agreement. The Designated Borrower Limit is part of, and not in addition to, the Aggregate Commitments.</w:t>
      </w:r>
    </w:p>
    <w:p>
      <w:pPr>
        <w:spacing w:after="0" w:line="17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Designated Borrower Notice</w:t>
      </w:r>
      <w:r>
        <w:rPr>
          <w:rFonts w:ascii="Arial" w:cs="Arial" w:eastAsia="Arial" w:hAnsi="Arial"/>
          <w:sz w:val="20"/>
          <w:szCs w:val="20"/>
          <w:color w:val="auto"/>
        </w:rPr>
        <w:t>” has the meaning provided in Section 2.14(b).</w:t>
      </w:r>
    </w:p>
    <w:p>
      <w:pPr>
        <w:spacing w:after="0" w:line="25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Designated Borrower Request and Assumption Agreement</w:t>
      </w:r>
      <w:r>
        <w:rPr>
          <w:rFonts w:ascii="Arial" w:cs="Arial" w:eastAsia="Arial" w:hAnsi="Arial"/>
          <w:sz w:val="20"/>
          <w:szCs w:val="20"/>
          <w:color w:val="auto"/>
        </w:rPr>
        <w:t>” has the meaning provided in Section 2.14(b).</w:t>
      </w:r>
    </w:p>
    <w:p>
      <w:pPr>
        <w:spacing w:after="0" w:line="256" w:lineRule="exact"/>
        <w:rPr>
          <w:sz w:val="20"/>
          <w:szCs w:val="20"/>
          <w:color w:val="auto"/>
        </w:rPr>
      </w:pPr>
    </w:p>
    <w:p>
      <w:pPr>
        <w:ind w:right="480" w:firstLine="648"/>
        <w:spacing w:after="0" w:line="303"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Designated Borrowers</w:t>
      </w:r>
      <w:r>
        <w:rPr>
          <w:rFonts w:ascii="Arial" w:cs="Arial" w:eastAsia="Arial" w:hAnsi="Arial"/>
          <w:sz w:val="20"/>
          <w:szCs w:val="20"/>
          <w:color w:val="auto"/>
        </w:rPr>
        <w:t xml:space="preserve">” means the Borrowers identified on </w:t>
      </w:r>
      <w:r>
        <w:rPr>
          <w:rFonts w:ascii="Arial" w:cs="Arial" w:eastAsia="Arial" w:hAnsi="Arial"/>
          <w:sz w:val="20"/>
          <w:szCs w:val="20"/>
          <w:u w:val="single" w:color="auto"/>
          <w:color w:val="auto"/>
        </w:rPr>
        <w:t>Schedule 2.14</w:t>
      </w:r>
      <w:r>
        <w:rPr>
          <w:rFonts w:ascii="Arial" w:cs="Arial" w:eastAsia="Arial" w:hAnsi="Arial"/>
          <w:sz w:val="20"/>
          <w:szCs w:val="20"/>
          <w:color w:val="auto"/>
        </w:rPr>
        <w:t xml:space="preserve"> and any Applicant Borrower that becomes a Borrower hereunder in accordance with the provisions of </w:t>
      </w:r>
      <w:r>
        <w:rPr>
          <w:rFonts w:ascii="Arial" w:cs="Arial" w:eastAsia="Arial" w:hAnsi="Arial"/>
          <w:sz w:val="20"/>
          <w:szCs w:val="20"/>
          <w:u w:val="single" w:color="auto"/>
          <w:color w:val="auto"/>
        </w:rPr>
        <w:t>Section 2.14(b)</w:t>
      </w:r>
      <w:r>
        <w:rPr>
          <w:rFonts w:ascii="Arial" w:cs="Arial" w:eastAsia="Arial" w:hAnsi="Arial"/>
          <w:sz w:val="20"/>
          <w:szCs w:val="20"/>
          <w:color w:val="auto"/>
        </w:rPr>
        <w:t>.</w:t>
      </w:r>
    </w:p>
    <w:p>
      <w:pPr>
        <w:spacing w:after="0" w:line="176" w:lineRule="exact"/>
        <w:rPr>
          <w:sz w:val="20"/>
          <w:szCs w:val="20"/>
          <w:color w:val="auto"/>
        </w:rPr>
      </w:pPr>
    </w:p>
    <w:p>
      <w:pPr>
        <w:ind w:right="360" w:firstLine="648"/>
        <w:spacing w:after="0" w:line="303"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Designated Deposit</w:t>
      </w:r>
      <w:r>
        <w:rPr>
          <w:rFonts w:ascii="Arial" w:cs="Arial" w:eastAsia="Arial" w:hAnsi="Arial"/>
          <w:sz w:val="20"/>
          <w:szCs w:val="20"/>
          <w:color w:val="auto"/>
        </w:rPr>
        <w:t>” means amounts on deposit in one or more designated blocked accounts maintained by EWI or any Domestic Subsidiary with the Administrative Agent containing cash or Cash Equivalents.</w:t>
      </w:r>
    </w:p>
    <w:p>
      <w:pPr>
        <w:spacing w:after="0" w:line="176" w:lineRule="exact"/>
        <w:rPr>
          <w:sz w:val="20"/>
          <w:szCs w:val="20"/>
          <w:color w:val="auto"/>
        </w:rPr>
      </w:pPr>
    </w:p>
    <w:p>
      <w:pPr>
        <w:ind w:left="660"/>
        <w:spacing w:after="0"/>
        <w:rPr>
          <w:sz w:val="20"/>
          <w:szCs w:val="20"/>
          <w:color w:val="auto"/>
        </w:rPr>
      </w:pPr>
      <w:r>
        <w:rPr>
          <w:rFonts w:ascii="Arial" w:cs="Arial" w:eastAsia="Arial" w:hAnsi="Arial"/>
          <w:sz w:val="18"/>
          <w:szCs w:val="18"/>
          <w:u w:val="single" w:color="auto"/>
          <w:color w:val="0000FF"/>
        </w:rPr>
        <w:t>“Designated Jurisdiction” means any country or territory to the extent that such country or territory is the subject of any Sanction.</w:t>
      </w:r>
    </w:p>
    <w:p>
      <w:pPr>
        <w:spacing w:after="0" w:line="279"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Direction</w:t>
      </w:r>
      <w:r>
        <w:rPr>
          <w:rFonts w:ascii="Arial" w:cs="Arial" w:eastAsia="Arial" w:hAnsi="Arial"/>
          <w:sz w:val="20"/>
          <w:szCs w:val="20"/>
          <w:color w:val="auto"/>
        </w:rPr>
        <w:t xml:space="preserve">” has the meaning provided in </w:t>
      </w:r>
      <w:r>
        <w:rPr>
          <w:rFonts w:ascii="Arial" w:cs="Arial" w:eastAsia="Arial" w:hAnsi="Arial"/>
          <w:sz w:val="20"/>
          <w:szCs w:val="20"/>
          <w:u w:val="single" w:color="auto"/>
          <w:color w:val="auto"/>
        </w:rPr>
        <w:t>Section 3.01(a)</w:t>
      </w:r>
      <w:r>
        <w:rPr>
          <w:rFonts w:ascii="Arial" w:cs="Arial" w:eastAsia="Arial" w:hAnsi="Arial"/>
          <w:sz w:val="20"/>
          <w:szCs w:val="20"/>
          <w:color w:val="auto"/>
        </w:rPr>
        <w:t>.</w:t>
      </w:r>
    </w:p>
    <w:p>
      <w:pPr>
        <w:spacing w:after="0" w:line="256" w:lineRule="exact"/>
        <w:rPr>
          <w:sz w:val="20"/>
          <w:szCs w:val="20"/>
          <w:color w:val="auto"/>
        </w:rPr>
      </w:pPr>
    </w:p>
    <w:p>
      <w:pPr>
        <w:ind w:right="20" w:firstLine="648"/>
        <w:spacing w:after="0" w:line="292"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Disposition</w:t>
      </w:r>
      <w:r>
        <w:rPr>
          <w:rFonts w:ascii="Arial" w:cs="Arial" w:eastAsia="Arial" w:hAnsi="Arial"/>
          <w:sz w:val="20"/>
          <w:szCs w:val="20"/>
          <w:color w:val="auto"/>
        </w:rPr>
        <w:t>” or “</w:t>
      </w:r>
      <w:r>
        <w:rPr>
          <w:rFonts w:ascii="Arial" w:cs="Arial" w:eastAsia="Arial" w:hAnsi="Arial"/>
          <w:sz w:val="20"/>
          <w:szCs w:val="20"/>
          <w:u w:val="single" w:color="auto"/>
          <w:color w:val="auto"/>
        </w:rPr>
        <w:t>Dispose</w:t>
      </w:r>
      <w:r>
        <w:rPr>
          <w:rFonts w:ascii="Arial" w:cs="Arial" w:eastAsia="Arial" w:hAnsi="Arial"/>
          <w:sz w:val="20"/>
          <w:szCs w:val="20"/>
          <w:color w:val="auto"/>
        </w:rPr>
        <w:t>” means the sale, transfer, license, lease or other disposition (including any sale and leaseback transaction) of any Property by any Person, including any sale, assignment, transfer or other disposal, with or without recourse, of any notes or accounts receivable or any rights and claims associated therewith.</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Dollar</w:t>
      </w:r>
      <w:r>
        <w:rPr>
          <w:rFonts w:ascii="Arial" w:cs="Arial" w:eastAsia="Arial" w:hAnsi="Arial"/>
          <w:sz w:val="20"/>
          <w:szCs w:val="20"/>
          <w:color w:val="auto"/>
        </w:rPr>
        <w:t>”, “</w:t>
      </w:r>
      <w:r>
        <w:rPr>
          <w:rFonts w:ascii="Arial" w:cs="Arial" w:eastAsia="Arial" w:hAnsi="Arial"/>
          <w:sz w:val="20"/>
          <w:szCs w:val="20"/>
          <w:u w:val="single" w:color="auto"/>
          <w:color w:val="auto"/>
        </w:rPr>
        <w:t>U.S. Dollar</w:t>
      </w:r>
      <w:r>
        <w:rPr>
          <w:rFonts w:ascii="Arial" w:cs="Arial" w:eastAsia="Arial" w:hAnsi="Arial"/>
          <w:sz w:val="20"/>
          <w:szCs w:val="20"/>
          <w:color w:val="auto"/>
        </w:rPr>
        <w:t>”, “</w:t>
      </w:r>
      <w:r>
        <w:rPr>
          <w:rFonts w:ascii="Arial" w:cs="Arial" w:eastAsia="Arial" w:hAnsi="Arial"/>
          <w:sz w:val="20"/>
          <w:szCs w:val="20"/>
          <w:u w:val="single" w:color="auto"/>
          <w:color w:val="auto"/>
        </w:rPr>
        <w:t>$</w:t>
      </w:r>
      <w:r>
        <w:rPr>
          <w:rFonts w:ascii="Arial" w:cs="Arial" w:eastAsia="Arial" w:hAnsi="Arial"/>
          <w:sz w:val="20"/>
          <w:szCs w:val="20"/>
          <w:color w:val="auto"/>
        </w:rPr>
        <w:t>” and “</w:t>
      </w:r>
      <w:r>
        <w:rPr>
          <w:rFonts w:ascii="Arial" w:cs="Arial" w:eastAsia="Arial" w:hAnsi="Arial"/>
          <w:sz w:val="20"/>
          <w:szCs w:val="20"/>
          <w:u w:val="single" w:color="auto"/>
          <w:color w:val="auto"/>
        </w:rPr>
        <w:t>USD$</w:t>
      </w:r>
      <w:r>
        <w:rPr>
          <w:rFonts w:ascii="Arial" w:cs="Arial" w:eastAsia="Arial" w:hAnsi="Arial"/>
          <w:sz w:val="20"/>
          <w:szCs w:val="20"/>
          <w:color w:val="auto"/>
        </w:rPr>
        <w:t>” means the lawful currency of the United States.</w:t>
      </w:r>
    </w:p>
    <w:p>
      <w:pPr>
        <w:spacing w:after="0" w:line="256" w:lineRule="exact"/>
        <w:rPr>
          <w:sz w:val="20"/>
          <w:szCs w:val="20"/>
          <w:color w:val="auto"/>
        </w:rPr>
      </w:pPr>
    </w:p>
    <w:p>
      <w:pPr>
        <w:ind w:right="200" w:firstLine="648"/>
        <w:spacing w:after="0" w:line="288"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Dollar Equivalent</w:t>
      </w:r>
      <w:r>
        <w:rPr>
          <w:rFonts w:ascii="Arial" w:cs="Arial" w:eastAsia="Arial" w:hAnsi="Arial"/>
          <w:sz w:val="20"/>
          <w:szCs w:val="20"/>
          <w:color w:val="auto"/>
        </w:rPr>
        <w:t>” means, at any time, (a) with respect to any amount denominated in Dollars, such amount, and (b) with respect to any amount denominated in any other currency, the equivalent amount thereof in Dollars as determined by the Administrative Agent or the applicable L/C Issuer, as the case may be, at such time on the basis of the Spot Rate (determined in respect of the most recent Revaluation Date) for the purchase of Dollars with such other currency.</w:t>
      </w:r>
    </w:p>
    <w:p>
      <w:pPr>
        <w:spacing w:after="0" w:line="19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Domestic Borrower</w:t>
      </w:r>
      <w:r>
        <w:rPr>
          <w:rFonts w:ascii="Arial" w:cs="Arial" w:eastAsia="Arial" w:hAnsi="Arial"/>
          <w:sz w:val="18"/>
          <w:szCs w:val="18"/>
          <w:color w:val="auto"/>
        </w:rPr>
        <w:t>” means a Borrower that is organized under the laws of any State of the United States or the District of Columbia.</w:t>
      </w:r>
    </w:p>
    <w:p>
      <w:pPr>
        <w:spacing w:after="0" w:line="279" w:lineRule="exact"/>
        <w:rPr>
          <w:sz w:val="20"/>
          <w:szCs w:val="20"/>
          <w:color w:val="auto"/>
        </w:rPr>
      </w:pPr>
    </w:p>
    <w:p>
      <w:pPr>
        <w:ind w:firstLine="648"/>
        <w:spacing w:after="0" w:line="3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Domestic Collateral Agent</w:t>
      </w:r>
      <w:r>
        <w:rPr>
          <w:rFonts w:ascii="Arial" w:cs="Arial" w:eastAsia="Arial" w:hAnsi="Arial"/>
          <w:sz w:val="18"/>
          <w:szCs w:val="18"/>
          <w:color w:val="auto"/>
        </w:rPr>
        <w:t>” means Bank of America in its capacity as collateral agent for the holders of the Domestic Obligations, the guaranties relating thereto and the other secured obligations identified in the collateral documents, and any successor in such capacity.</w:t>
      </w:r>
    </w:p>
    <w:p>
      <w:pPr>
        <w:spacing w:after="0" w:line="130" w:lineRule="exact"/>
        <w:rPr>
          <w:sz w:val="20"/>
          <w:szCs w:val="20"/>
          <w:color w:val="auto"/>
        </w:rPr>
      </w:pPr>
    </w:p>
    <w:p>
      <w:pPr>
        <w:ind w:right="20" w:firstLine="648"/>
        <w:spacing w:after="0" w:line="438"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Domestic Collateral Documents</w:t>
      </w:r>
      <w:r>
        <w:rPr>
          <w:rFonts w:ascii="Arial" w:cs="Arial" w:eastAsia="Arial" w:hAnsi="Arial"/>
          <w:sz w:val="16"/>
          <w:szCs w:val="16"/>
          <w:color w:val="auto"/>
        </w:rPr>
        <w:t>” means the Domestic Security Agreement, the Domestic Pledge Agreement and any other documents executed and delivered in connection with the attachment and perfection of security interests granted to secure the Domestic Obligations.</w:t>
      </w:r>
    </w:p>
    <w:p>
      <w:pPr>
        <w:spacing w:after="0" w:line="301" w:lineRule="exact"/>
        <w:rPr>
          <w:sz w:val="20"/>
          <w:szCs w:val="20"/>
          <w:color w:val="auto"/>
        </w:rPr>
      </w:pPr>
    </w:p>
    <w:p>
      <w:pPr>
        <w:jc w:val="center"/>
        <w:ind w:right="-39"/>
        <w:spacing w:after="0"/>
        <w:rPr>
          <w:sz w:val="20"/>
          <w:szCs w:val="20"/>
          <w:color w:val="auto"/>
        </w:rPr>
      </w:pPr>
      <w:r>
        <w:rPr>
          <w:rFonts w:ascii="Arial" w:cs="Arial" w:eastAsia="Arial" w:hAnsi="Arial"/>
          <w:sz w:val="20"/>
          <w:szCs w:val="20"/>
          <w:color w:val="auto"/>
        </w:rPr>
        <w:t>25</w:t>
      </w:r>
    </w:p>
    <w:p>
      <w:pPr>
        <w:spacing w:after="0" w:line="10" w:lineRule="exact"/>
        <w:rPr>
          <w:sz w:val="20"/>
          <w:szCs w:val="20"/>
          <w:color w:val="auto"/>
        </w:rPr>
      </w:pPr>
    </w:p>
    <w:p>
      <w:pPr>
        <w:spacing w:after="0"/>
        <w:rPr>
          <w:sz w:val="20"/>
          <w:szCs w:val="20"/>
          <w:color w:val="auto"/>
        </w:rPr>
      </w:pPr>
      <w:r>
        <w:rPr>
          <w:rFonts w:ascii="Arial" w:cs="Arial" w:eastAsia="Arial" w:hAnsi="Arial"/>
          <w:sz w:val="14"/>
          <w:szCs w:val="14"/>
          <w:color w:val="auto"/>
        </w:rPr>
        <w:t>CHAR1\1346423v</w:t>
      </w:r>
      <w:r>
        <w:rPr>
          <w:rFonts w:ascii="Arial" w:cs="Arial" w:eastAsia="Arial" w:hAnsi="Arial"/>
          <w:sz w:val="14"/>
          <w:szCs w:val="14"/>
          <w:color w:val="FF0000"/>
          <w:strike w:val="1"/>
        </w:rPr>
        <w:t>1</w:t>
      </w:r>
      <w:r>
        <w:rPr>
          <w:rFonts w:ascii="Arial" w:cs="Arial" w:eastAsia="Arial" w:hAnsi="Arial"/>
          <w:sz w:val="14"/>
          <w:szCs w:val="14"/>
          <w:u w:val="single" w:color="auto"/>
          <w:color w:val="0000FF"/>
        </w:rPr>
        <w:t>12</w:t>
      </w:r>
    </w:p>
    <w:p>
      <w:pPr>
        <w:sectPr>
          <w:pgSz w:w="11900" w:h="16838" w:orient="portrait"/>
          <w:cols w:equalWidth="0" w:num="1">
            <w:col w:w="11380"/>
          </w:cols>
          <w:pgMar w:left="240" w:top="609" w:right="279" w:bottom="1440" w:gutter="0" w:footer="0" w:header="0"/>
        </w:sectPr>
      </w:pPr>
    </w:p>
    <w:bookmarkStart w:id="77" w:name="page78"/>
    <w:bookmarkEnd w:id="77"/>
    <w:p>
      <w:pPr>
        <w:ind w:right="580" w:firstLine="648"/>
        <w:spacing w:after="0" w:line="303"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Domestic Credit Party</w:t>
      </w:r>
      <w:r>
        <w:rPr>
          <w:rFonts w:ascii="Arial" w:cs="Arial" w:eastAsia="Arial" w:hAnsi="Arial"/>
          <w:sz w:val="20"/>
          <w:szCs w:val="20"/>
          <w:color w:val="auto"/>
        </w:rPr>
        <w:t>” means a Credit Party that is organized under the laws of any State of the United States or the District of Columbia.</w:t>
      </w:r>
    </w:p>
    <w:p>
      <w:pPr>
        <w:spacing w:after="0" w:line="176" w:lineRule="exact"/>
        <w:rPr>
          <w:sz w:val="20"/>
          <w:szCs w:val="20"/>
          <w:color w:val="auto"/>
        </w:rPr>
      </w:pPr>
    </w:p>
    <w:p>
      <w:pPr>
        <w:ind w:right="60" w:firstLine="648"/>
        <w:spacing w:after="0" w:line="286"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Domestic Guarantors</w:t>
      </w:r>
      <w:r>
        <w:rPr>
          <w:rFonts w:ascii="Arial" w:cs="Arial" w:eastAsia="Arial" w:hAnsi="Arial"/>
          <w:sz w:val="20"/>
          <w:szCs w:val="20"/>
          <w:color w:val="auto"/>
        </w:rPr>
        <w:t xml:space="preserve">” means (i) EWI, (ii) the Domestic Borrowers </w:t>
      </w:r>
      <w:r>
        <w:rPr>
          <w:rFonts w:ascii="Arial" w:cs="Arial" w:eastAsia="Arial" w:hAnsi="Arial"/>
          <w:sz w:val="20"/>
          <w:szCs w:val="20"/>
          <w:u w:val="single" w:color="auto"/>
          <w:color w:val="0000FF"/>
        </w:rPr>
        <w:t>(for purposes of the obligations of subsidiaries and affiliates under</w:t>
      </w:r>
      <w:r>
        <w:rPr>
          <w:rFonts w:ascii="Arial" w:cs="Arial" w:eastAsia="Arial" w:hAnsi="Arial"/>
          <w:sz w:val="20"/>
          <w:szCs w:val="20"/>
          <w:color w:val="auto"/>
        </w:rPr>
        <w:t xml:space="preserve"> </w:t>
      </w:r>
      <w:r>
        <w:rPr>
          <w:rFonts w:ascii="Arial" w:cs="Arial" w:eastAsia="Arial" w:hAnsi="Arial"/>
          <w:sz w:val="20"/>
          <w:szCs w:val="20"/>
          <w:u w:val="single" w:color="auto"/>
          <w:color w:val="0000FF"/>
        </w:rPr>
        <w:t>Swap Contracts and Treasury Management Agreements and any Swap Obligations of a Specified Credit Party, determined before giving effect to Sections 4.01 and 4.08 under the Guaranty)</w:t>
      </w:r>
      <w:r>
        <w:rPr>
          <w:rFonts w:ascii="Arial" w:cs="Arial" w:eastAsia="Arial" w:hAnsi="Arial"/>
          <w:sz w:val="20"/>
          <w:szCs w:val="20"/>
          <w:color w:val="000000"/>
        </w:rPr>
        <w:t>, (iii) the Domestic Subsidiaries identified on the signature pages hereto as “Domestic</w:t>
      </w:r>
      <w:r>
        <w:rPr>
          <w:rFonts w:ascii="Arial" w:cs="Arial" w:eastAsia="Arial" w:hAnsi="Arial"/>
          <w:sz w:val="20"/>
          <w:szCs w:val="20"/>
          <w:color w:val="0000FF"/>
        </w:rPr>
        <w:t xml:space="preserve"> </w:t>
      </w:r>
      <w:r>
        <w:rPr>
          <w:rFonts w:ascii="Arial" w:cs="Arial" w:eastAsia="Arial" w:hAnsi="Arial"/>
          <w:sz w:val="20"/>
          <w:szCs w:val="20"/>
          <w:color w:val="000000"/>
        </w:rPr>
        <w:t>Guarantors”, and (iv) each other Domestic Subsidiary which after the Closing Date becomes a Domestic Guarantor pursuant to a Joinder Agreement or other documentation in form and substance reasonably acceptable to the Administrative Agent, in each case together with their respective successors and permitted assigns.</w:t>
      </w:r>
    </w:p>
    <w:p>
      <w:pPr>
        <w:spacing w:after="0" w:line="192"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Domestic Obligations</w:t>
      </w:r>
      <w:r>
        <w:rPr>
          <w:rFonts w:ascii="Arial" w:cs="Arial" w:eastAsia="Arial" w:hAnsi="Arial"/>
          <w:sz w:val="20"/>
          <w:szCs w:val="20"/>
          <w:color w:val="auto"/>
        </w:rPr>
        <w:t>” means Obligations of the Domestic Credit Parties.</w:t>
      </w:r>
    </w:p>
    <w:p>
      <w:pPr>
        <w:spacing w:after="0" w:line="256" w:lineRule="exact"/>
        <w:rPr>
          <w:sz w:val="20"/>
          <w:szCs w:val="20"/>
          <w:color w:val="auto"/>
        </w:rPr>
      </w:pPr>
    </w:p>
    <w:p>
      <w:pPr>
        <w:jc w:val="both"/>
        <w:ind w:right="20" w:firstLine="648"/>
        <w:spacing w:after="0" w:line="292"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Domestic Pledge Agreement</w:t>
      </w:r>
      <w:r>
        <w:rPr>
          <w:rFonts w:ascii="Arial" w:cs="Arial" w:eastAsia="Arial" w:hAnsi="Arial"/>
          <w:sz w:val="20"/>
          <w:szCs w:val="20"/>
          <w:color w:val="auto"/>
        </w:rPr>
        <w:t>” means the pledge agreement dated as of the Closing Date, and any other pledge agreement, given by the Domestic Credit Parties, as pledgors, to the Domestic Collateral Agent to secure the obligations identified therein, in each case as the same may be amended, modified, extended, renewed or replaced from time to time.</w:t>
      </w:r>
    </w:p>
    <w:p>
      <w:pPr>
        <w:spacing w:after="0" w:line="187" w:lineRule="exact"/>
        <w:rPr>
          <w:sz w:val="20"/>
          <w:szCs w:val="20"/>
          <w:color w:val="auto"/>
        </w:rPr>
      </w:pPr>
    </w:p>
    <w:p>
      <w:pPr>
        <w:ind w:right="240" w:firstLine="648"/>
        <w:spacing w:after="0" w:line="292"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Domestic Security Agreement</w:t>
      </w:r>
      <w:r>
        <w:rPr>
          <w:rFonts w:ascii="Arial" w:cs="Arial" w:eastAsia="Arial" w:hAnsi="Arial"/>
          <w:sz w:val="20"/>
          <w:szCs w:val="20"/>
          <w:color w:val="auto"/>
        </w:rPr>
        <w:t>” means the security agreement dated as of the Closing Date, and any other security agreement, given by the Domestic Credit Parties, as grantors, to the Domestic Collateral Agent to secure the obligations identified therein, in each case as the same may be amended, modified, extended, renewed or replaced from time to time.</w:t>
      </w:r>
    </w:p>
    <w:p>
      <w:pPr>
        <w:spacing w:after="0" w:line="187" w:lineRule="exact"/>
        <w:rPr>
          <w:sz w:val="20"/>
          <w:szCs w:val="20"/>
          <w:color w:val="auto"/>
        </w:rPr>
      </w:pPr>
    </w:p>
    <w:p>
      <w:pPr>
        <w:ind w:right="140" w:firstLine="648"/>
        <w:spacing w:after="0" w:line="287"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Domestic Subsidiary</w:t>
      </w:r>
      <w:r>
        <w:rPr>
          <w:rFonts w:ascii="Arial" w:cs="Arial" w:eastAsia="Arial" w:hAnsi="Arial"/>
          <w:sz w:val="20"/>
          <w:szCs w:val="20"/>
          <w:color w:val="auto"/>
        </w:rPr>
        <w:t xml:space="preserve">” means any Subsidiary that is organized under the laws of any State of the United States or the District of Columbia,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w:t>
      </w:r>
      <w:r>
        <w:rPr>
          <w:rFonts w:ascii="Arial" w:cs="Arial" w:eastAsia="Arial" w:hAnsi="Arial"/>
          <w:sz w:val="20"/>
          <w:szCs w:val="20"/>
          <w:color w:val="FF0000"/>
          <w:strike w:val="1"/>
        </w:rPr>
        <w:t>Telecomnet, Inc., a Delaware corporation that is expected to be converted into a Delaware</w:t>
      </w:r>
      <w:r>
        <w:rPr>
          <w:rFonts w:ascii="Arial" w:cs="Arial" w:eastAsia="Arial" w:hAnsi="Arial"/>
          <w:sz w:val="20"/>
          <w:szCs w:val="20"/>
          <w:u w:val="single" w:color="auto"/>
          <w:color w:val="0000FF"/>
        </w:rPr>
        <w:t>any</w:t>
      </w:r>
      <w:r>
        <w:rPr>
          <w:rFonts w:ascii="Arial" w:cs="Arial" w:eastAsia="Arial" w:hAnsi="Arial"/>
          <w:sz w:val="20"/>
          <w:szCs w:val="20"/>
          <w:color w:val="auto"/>
        </w:rPr>
        <w:t xml:space="preserve"> limited liability company</w:t>
      </w:r>
      <w:r>
        <w:rPr>
          <w:rFonts w:ascii="Arial" w:cs="Arial" w:eastAsia="Arial" w:hAnsi="Arial"/>
          <w:sz w:val="20"/>
          <w:szCs w:val="20"/>
          <w:color w:val="FF0000"/>
          <w:strike w:val="1"/>
        </w:rPr>
        <w:t>,</w:t>
      </w:r>
      <w:r>
        <w:rPr>
          <w:rFonts w:ascii="Arial" w:cs="Arial" w:eastAsia="Arial" w:hAnsi="Arial"/>
          <w:sz w:val="20"/>
          <w:szCs w:val="20"/>
          <w:color w:val="auto"/>
        </w:rPr>
        <w:t xml:space="preserve"> </w:t>
      </w:r>
      <w:r>
        <w:rPr>
          <w:rFonts w:ascii="Arial" w:cs="Arial" w:eastAsia="Arial" w:hAnsi="Arial"/>
          <w:sz w:val="20"/>
          <w:szCs w:val="20"/>
          <w:u w:val="single" w:color="auto"/>
          <w:color w:val="0000FF"/>
        </w:rPr>
        <w:t>organized under the laws of any State of the United States or the District of Columbia and that is a Wholly Owned Subsidiary of a</w:t>
      </w:r>
      <w:r>
        <w:rPr>
          <w:rFonts w:ascii="Arial" w:cs="Arial" w:eastAsia="Arial" w:hAnsi="Arial"/>
          <w:sz w:val="20"/>
          <w:szCs w:val="20"/>
          <w:color w:val="auto"/>
        </w:rPr>
        <w:t xml:space="preserve"> </w:t>
      </w:r>
      <w:r>
        <w:rPr>
          <w:rFonts w:ascii="Arial" w:cs="Arial" w:eastAsia="Arial" w:hAnsi="Arial"/>
          <w:sz w:val="20"/>
          <w:szCs w:val="20"/>
          <w:u w:val="single" w:color="auto"/>
          <w:color w:val="0000FF"/>
        </w:rPr>
        <w:t>Foreign Subsidiary</w:t>
      </w:r>
      <w:r>
        <w:rPr>
          <w:rFonts w:ascii="Arial" w:cs="Arial" w:eastAsia="Arial" w:hAnsi="Arial"/>
          <w:sz w:val="20"/>
          <w:szCs w:val="20"/>
          <w:color w:val="0000FF"/>
        </w:rPr>
        <w:t xml:space="preserve"> </w:t>
      </w:r>
      <w:r>
        <w:rPr>
          <w:rFonts w:ascii="Arial" w:cs="Arial" w:eastAsia="Arial" w:hAnsi="Arial"/>
          <w:sz w:val="20"/>
          <w:szCs w:val="20"/>
          <w:color w:val="000000"/>
        </w:rPr>
        <w:t>shall be considered to be a Foreign Subsidiary rather than a Domestic Subsidiary for all purposes of this Credit Agreement</w:t>
      </w:r>
      <w:r>
        <w:rPr>
          <w:rFonts w:ascii="Arial" w:cs="Arial" w:eastAsia="Arial" w:hAnsi="Arial"/>
          <w:sz w:val="20"/>
          <w:szCs w:val="20"/>
          <w:color w:val="0000FF"/>
        </w:rPr>
        <w:t xml:space="preserve"> </w:t>
      </w:r>
      <w:r>
        <w:rPr>
          <w:rFonts w:ascii="Arial" w:cs="Arial" w:eastAsia="Arial" w:hAnsi="Arial"/>
          <w:sz w:val="20"/>
          <w:szCs w:val="20"/>
          <w:color w:val="000000"/>
        </w:rPr>
        <w:t>and the other Credit Documents.</w:t>
      </w:r>
    </w:p>
    <w:p>
      <w:pPr>
        <w:spacing w:after="0" w:line="192"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Dutch Obligor</w:t>
      </w:r>
      <w:r>
        <w:rPr>
          <w:rFonts w:ascii="Arial" w:cs="Arial" w:eastAsia="Arial" w:hAnsi="Arial"/>
          <w:sz w:val="20"/>
          <w:szCs w:val="20"/>
          <w:color w:val="auto"/>
        </w:rPr>
        <w:t>” means any Borrower or any Guarantor incorporated in the Netherlands.</w:t>
      </w:r>
    </w:p>
    <w:p>
      <w:pPr>
        <w:spacing w:after="0" w:line="256" w:lineRule="exact"/>
        <w:rPr>
          <w:sz w:val="20"/>
          <w:szCs w:val="20"/>
          <w:color w:val="auto"/>
        </w:rPr>
      </w:pPr>
    </w:p>
    <w:p>
      <w:pPr>
        <w:ind w:right="100" w:firstLine="648"/>
        <w:spacing w:after="0" w:line="305"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Eligible Assignee</w:t>
      </w:r>
      <w:r>
        <w:rPr>
          <w:rFonts w:ascii="Arial" w:cs="Arial" w:eastAsia="Arial" w:hAnsi="Arial"/>
          <w:sz w:val="19"/>
          <w:szCs w:val="19"/>
          <w:color w:val="auto"/>
        </w:rPr>
        <w:t xml:space="preserve">” means any Person that meets the requirements to be an assignee under </w:t>
      </w:r>
      <w:r>
        <w:rPr>
          <w:rFonts w:ascii="Arial" w:cs="Arial" w:eastAsia="Arial" w:hAnsi="Arial"/>
          <w:sz w:val="19"/>
          <w:szCs w:val="19"/>
          <w:u w:val="single" w:color="auto"/>
          <w:color w:val="auto"/>
        </w:rPr>
        <w:t>Section 11.06(b)</w:t>
      </w:r>
      <w:r>
        <w:rPr>
          <w:rFonts w:ascii="Arial" w:cs="Arial" w:eastAsia="Arial" w:hAnsi="Arial"/>
          <w:sz w:val="19"/>
          <w:szCs w:val="19"/>
          <w:color w:val="auto"/>
        </w:rPr>
        <w:t xml:space="preserve"> (subject to such consents, if any, as may be required under </w:t>
      </w:r>
      <w:r>
        <w:rPr>
          <w:rFonts w:ascii="Arial" w:cs="Arial" w:eastAsia="Arial" w:hAnsi="Arial"/>
          <w:sz w:val="19"/>
          <w:szCs w:val="19"/>
          <w:u w:val="single" w:color="auto"/>
          <w:color w:val="auto"/>
        </w:rPr>
        <w:t>Section 11.06(b)(iii)</w:t>
      </w:r>
      <w:r>
        <w:rPr>
          <w:rFonts w:ascii="Arial" w:cs="Arial" w:eastAsia="Arial" w:hAnsi="Arial"/>
          <w:sz w:val="19"/>
          <w:szCs w:val="19"/>
          <w:color w:val="auto"/>
        </w:rPr>
        <w:t>); provided, however, that for loans and commitments in respect of the European Revolving Loan Obligations, the Australian Revolving Loan Obligations and the India Revolving Loan Obligations, an Eligible Assignee shall include only a Lender, an Affiliate of a Lender or another Person, which, through its Lending Offices, is capable of lending the applicable Alternative Currencies without the imposition of any additional Indemnified Taxes, as the case may be.</w:t>
      </w:r>
    </w:p>
    <w:p>
      <w:pPr>
        <w:spacing w:after="0" w:line="178" w:lineRule="exact"/>
        <w:rPr>
          <w:sz w:val="20"/>
          <w:szCs w:val="20"/>
          <w:color w:val="auto"/>
        </w:rPr>
      </w:pPr>
    </w:p>
    <w:p>
      <w:pPr>
        <w:ind w:firstLine="648"/>
        <w:spacing w:after="0" w:line="303"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EMU</w:t>
      </w:r>
      <w:r>
        <w:rPr>
          <w:rFonts w:ascii="Arial" w:cs="Arial" w:eastAsia="Arial" w:hAnsi="Arial"/>
          <w:sz w:val="20"/>
          <w:szCs w:val="20"/>
          <w:color w:val="auto"/>
        </w:rPr>
        <w:t>” means the economic and monetary union in accordance with the Treaty of Rome 1957, as amended by the Single European Act 1986, the Maastricht Treaty of 1992 and the Amsterdam Treaty of 1998.</w:t>
      </w:r>
    </w:p>
    <w:p>
      <w:pPr>
        <w:spacing w:after="0" w:line="392"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26</w:t>
      </w:r>
    </w:p>
    <w:p>
      <w:pPr>
        <w:spacing w:after="0" w:line="10" w:lineRule="exact"/>
        <w:rPr>
          <w:sz w:val="20"/>
          <w:szCs w:val="20"/>
          <w:color w:val="auto"/>
        </w:rPr>
      </w:pPr>
    </w:p>
    <w:p>
      <w:pPr>
        <w:spacing w:after="0"/>
        <w:rPr>
          <w:sz w:val="20"/>
          <w:szCs w:val="20"/>
          <w:color w:val="auto"/>
        </w:rPr>
      </w:pPr>
      <w:r>
        <w:rPr>
          <w:rFonts w:ascii="Arial" w:cs="Arial" w:eastAsia="Arial" w:hAnsi="Arial"/>
          <w:sz w:val="14"/>
          <w:szCs w:val="14"/>
          <w:color w:val="auto"/>
        </w:rPr>
        <w:t>CHAR1\1346423v</w:t>
      </w:r>
      <w:r>
        <w:rPr>
          <w:rFonts w:ascii="Arial" w:cs="Arial" w:eastAsia="Arial" w:hAnsi="Arial"/>
          <w:sz w:val="14"/>
          <w:szCs w:val="14"/>
          <w:color w:val="FF0000"/>
          <w:strike w:val="1"/>
        </w:rPr>
        <w:t>1</w:t>
      </w:r>
      <w:r>
        <w:rPr>
          <w:rFonts w:ascii="Arial" w:cs="Arial" w:eastAsia="Arial" w:hAnsi="Arial"/>
          <w:sz w:val="14"/>
          <w:szCs w:val="14"/>
          <w:u w:val="single" w:color="auto"/>
          <w:color w:val="0000FF"/>
        </w:rPr>
        <w:t>12</w:t>
      </w:r>
    </w:p>
    <w:p>
      <w:pPr>
        <w:sectPr>
          <w:pgSz w:w="11900" w:h="16838" w:orient="portrait"/>
          <w:cols w:equalWidth="0" w:num="1">
            <w:col w:w="11420"/>
          </w:cols>
          <w:pgMar w:left="240" w:top="609" w:right="239" w:bottom="1440" w:gutter="0" w:footer="0" w:header="0"/>
        </w:sectPr>
      </w:pPr>
    </w:p>
    <w:bookmarkStart w:id="78" w:name="page79"/>
    <w:bookmarkEnd w:id="78"/>
    <w:p>
      <w:pPr>
        <w:ind w:right="300" w:firstLine="648"/>
        <w:spacing w:after="0" w:line="303"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EMU Legislation</w:t>
      </w:r>
      <w:r>
        <w:rPr>
          <w:rFonts w:ascii="Arial" w:cs="Arial" w:eastAsia="Arial" w:hAnsi="Arial"/>
          <w:sz w:val="20"/>
          <w:szCs w:val="20"/>
          <w:color w:val="auto"/>
        </w:rPr>
        <w:t>” means the legislative measures of the European Council for the introduction of, changeover to or operation of a single or unified European currency.</w:t>
      </w:r>
    </w:p>
    <w:p>
      <w:pPr>
        <w:spacing w:after="0" w:line="17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English Obligor</w:t>
      </w:r>
      <w:r>
        <w:rPr>
          <w:rFonts w:ascii="Arial" w:cs="Arial" w:eastAsia="Arial" w:hAnsi="Arial"/>
          <w:sz w:val="20"/>
          <w:szCs w:val="20"/>
          <w:color w:val="auto"/>
        </w:rPr>
        <w:t>” means any Borrower or any Guarantor organized and existing under the laws of England and Wales.</w:t>
      </w:r>
    </w:p>
    <w:p>
      <w:pPr>
        <w:spacing w:after="0" w:line="256" w:lineRule="exact"/>
        <w:rPr>
          <w:sz w:val="20"/>
          <w:szCs w:val="20"/>
          <w:color w:val="auto"/>
        </w:rPr>
      </w:pPr>
    </w:p>
    <w:p>
      <w:pPr>
        <w:ind w:right="200" w:firstLine="648"/>
        <w:spacing w:after="0" w:line="288"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Environmental Laws</w:t>
      </w:r>
      <w:r>
        <w:rPr>
          <w:rFonts w:ascii="Arial" w:cs="Arial" w:eastAsia="Arial" w:hAnsi="Arial"/>
          <w:sz w:val="20"/>
          <w:szCs w:val="20"/>
          <w:color w:val="auto"/>
        </w:rPr>
        <w:t>” means any and all federal, state, local, and foreign statutes, laws, regulations, ordinances, rules, judgments, orders, decrees, permits, concessions, grants, franchises, licenses, agreements or governmental restrictions relating to pollution and the protection of the environment or the release of any materials into the environment, including those related to hazardous substances or wastes, air emissions and discharges to waste or public systems.</w:t>
      </w:r>
    </w:p>
    <w:p>
      <w:pPr>
        <w:spacing w:after="0" w:line="193" w:lineRule="exact"/>
        <w:rPr>
          <w:sz w:val="20"/>
          <w:szCs w:val="20"/>
          <w:color w:val="auto"/>
        </w:rPr>
      </w:pPr>
    </w:p>
    <w:p>
      <w:pPr>
        <w:ind w:right="340" w:firstLine="648"/>
        <w:spacing w:after="0" w:line="303"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Environmental Liability</w:t>
      </w:r>
      <w:r>
        <w:rPr>
          <w:rFonts w:ascii="Arial" w:cs="Arial" w:eastAsia="Arial" w:hAnsi="Arial"/>
          <w:sz w:val="19"/>
          <w:szCs w:val="19"/>
          <w:color w:val="auto"/>
        </w:rPr>
        <w:t>” means any liability, contingent or otherwise (including any liability for damages, costs of environmental remediation, fines, penalties or indemnities), of the Borrowers, any other Credit Party or any of their respective Subsidiaries directly or indirectly resulting from or based upon (a) violation of any Environmental Law, (b) the generation, use, handling, transportation, storage, treatment or disposal of any Hazardous Materials, (c) exposure to any Hazardous Materials, (d) the release or threatened release of any Hazardous Materials into the environment or (e) any contract, agreement or other consensual arrangement pursuant to which liability is assumed or imposed with respect to any of the foregoing.</w:t>
      </w:r>
    </w:p>
    <w:p>
      <w:pPr>
        <w:spacing w:after="0" w:line="18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epay Segment</w:t>
      </w:r>
      <w:r>
        <w:rPr>
          <w:rFonts w:ascii="Arial" w:cs="Arial" w:eastAsia="Arial" w:hAnsi="Arial"/>
          <w:sz w:val="18"/>
          <w:szCs w:val="18"/>
          <w:color w:val="auto"/>
        </w:rPr>
        <w:t>” means the reportable “epay” segment as referenced and reported in Form 10-K and Form 10-Q filed by EWI with the</w:t>
      </w:r>
    </w:p>
    <w:p>
      <w:pPr>
        <w:spacing w:after="0" w:line="63" w:lineRule="exact"/>
        <w:rPr>
          <w:sz w:val="20"/>
          <w:szCs w:val="20"/>
          <w:color w:val="auto"/>
        </w:rPr>
      </w:pPr>
    </w:p>
    <w:p>
      <w:pPr>
        <w:spacing w:after="0"/>
        <w:rPr>
          <w:sz w:val="20"/>
          <w:szCs w:val="20"/>
          <w:color w:val="auto"/>
        </w:rPr>
      </w:pPr>
      <w:r>
        <w:rPr>
          <w:rFonts w:ascii="Arial" w:cs="Arial" w:eastAsia="Arial" w:hAnsi="Arial"/>
          <w:sz w:val="20"/>
          <w:szCs w:val="20"/>
          <w:color w:val="auto"/>
        </w:rPr>
        <w:t>SEC.</w:t>
      </w:r>
    </w:p>
    <w:p>
      <w:pPr>
        <w:spacing w:after="0" w:line="25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ERISA</w:t>
      </w:r>
      <w:r>
        <w:rPr>
          <w:rFonts w:ascii="Arial" w:cs="Arial" w:eastAsia="Arial" w:hAnsi="Arial"/>
          <w:sz w:val="20"/>
          <w:szCs w:val="20"/>
          <w:color w:val="auto"/>
        </w:rPr>
        <w:t>” means the Employee Retirement Income Security Act of 1974.</w:t>
      </w:r>
    </w:p>
    <w:p>
      <w:pPr>
        <w:spacing w:after="0" w:line="256" w:lineRule="exact"/>
        <w:rPr>
          <w:sz w:val="20"/>
          <w:szCs w:val="20"/>
          <w:color w:val="auto"/>
        </w:rPr>
      </w:pPr>
    </w:p>
    <w:p>
      <w:pPr>
        <w:ind w:right="140" w:firstLine="648"/>
        <w:spacing w:after="0" w:line="292"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ERISA Affiliate</w:t>
      </w:r>
      <w:r>
        <w:rPr>
          <w:rFonts w:ascii="Arial" w:cs="Arial" w:eastAsia="Arial" w:hAnsi="Arial"/>
          <w:sz w:val="20"/>
          <w:szCs w:val="20"/>
          <w:color w:val="auto"/>
        </w:rPr>
        <w:t>” means any trade or business (whether or not incorporated) under common control with EWI within the meaning of Section 414(b) or (c) of the Internal Revenue Code (and Sections 414(m) and (o) of the Internal Revenue Code for purposes of provisions relating to Section 412 of the Internal Revenue Code).</w:t>
      </w:r>
    </w:p>
    <w:p>
      <w:pPr>
        <w:spacing w:after="0" w:line="187" w:lineRule="exact"/>
        <w:rPr>
          <w:sz w:val="20"/>
          <w:szCs w:val="20"/>
          <w:color w:val="auto"/>
        </w:rPr>
      </w:pPr>
    </w:p>
    <w:p>
      <w:pPr>
        <w:ind w:firstLine="648"/>
        <w:spacing w:after="0" w:line="301"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ERISA Event</w:t>
      </w:r>
      <w:r>
        <w:rPr>
          <w:rFonts w:ascii="Arial" w:cs="Arial" w:eastAsia="Arial" w:hAnsi="Arial"/>
          <w:sz w:val="19"/>
          <w:szCs w:val="19"/>
          <w:color w:val="auto"/>
        </w:rPr>
        <w:t>” means (a) a Reportable Event with respect to a Pension Plan; (b) a withdrawal by EWI or any ERISA Affiliate from a Pension Plan subject to Section 4063 of ERISA during a plan year in which it was a substantial employer (as defined in Section 4001(a)(2) of ERISA) or a cessation of operations that is treated as such a withdrawal under Section 4062(e) of ERISA; (c) a complete or partial withdrawal by EWI or any ERISA Affiliate from a Multiemployer Plan or notification that a Multiemployer Plan is in reorganization; (d) the filing of a notice of intent to terminate, the treatment of a Plan amendment as a termination under Sections 4041 or 4041A of ERISA, or the commencement of proceedings by the PBGC to terminate a Pension Plan or Multiemployer Plan; (e) an event or condition that would reasonably be expected to constitute grounds under Section 4042 of ERISA for the termination of, or the appointment of a trustee to administer, any Pension Plan or Multiemployer Plan; or (f) the imposition of any liability under Title IV of ERISA, other than for PBGC premiums due but not delinquent under Section 4007 of ERISA, upon EWI or any ERISA Affiliate.</w:t>
      </w:r>
    </w:p>
    <w:p>
      <w:pPr>
        <w:spacing w:after="0" w:line="397" w:lineRule="exact"/>
        <w:rPr>
          <w:sz w:val="20"/>
          <w:szCs w:val="20"/>
          <w:color w:val="auto"/>
        </w:rPr>
      </w:pPr>
    </w:p>
    <w:p>
      <w:pPr>
        <w:jc w:val="center"/>
        <w:ind w:right="-39"/>
        <w:spacing w:after="0"/>
        <w:rPr>
          <w:sz w:val="20"/>
          <w:szCs w:val="20"/>
          <w:color w:val="auto"/>
        </w:rPr>
      </w:pPr>
      <w:r>
        <w:rPr>
          <w:rFonts w:ascii="Arial" w:cs="Arial" w:eastAsia="Arial" w:hAnsi="Arial"/>
          <w:sz w:val="20"/>
          <w:szCs w:val="20"/>
          <w:color w:val="auto"/>
        </w:rPr>
        <w:t>27</w:t>
      </w:r>
    </w:p>
    <w:p>
      <w:pPr>
        <w:spacing w:after="0" w:line="10" w:lineRule="exact"/>
        <w:rPr>
          <w:sz w:val="20"/>
          <w:szCs w:val="20"/>
          <w:color w:val="auto"/>
        </w:rPr>
      </w:pPr>
    </w:p>
    <w:p>
      <w:pPr>
        <w:spacing w:after="0"/>
        <w:rPr>
          <w:sz w:val="20"/>
          <w:szCs w:val="20"/>
          <w:color w:val="auto"/>
        </w:rPr>
      </w:pPr>
      <w:r>
        <w:rPr>
          <w:rFonts w:ascii="Arial" w:cs="Arial" w:eastAsia="Arial" w:hAnsi="Arial"/>
          <w:sz w:val="14"/>
          <w:szCs w:val="14"/>
          <w:color w:val="auto"/>
        </w:rPr>
        <w:t>CHAR1\1346423v</w:t>
      </w:r>
      <w:r>
        <w:rPr>
          <w:rFonts w:ascii="Arial" w:cs="Arial" w:eastAsia="Arial" w:hAnsi="Arial"/>
          <w:sz w:val="14"/>
          <w:szCs w:val="14"/>
          <w:color w:val="FF0000"/>
          <w:strike w:val="1"/>
        </w:rPr>
        <w:t>1</w:t>
      </w:r>
      <w:r>
        <w:rPr>
          <w:rFonts w:ascii="Arial" w:cs="Arial" w:eastAsia="Arial" w:hAnsi="Arial"/>
          <w:sz w:val="14"/>
          <w:szCs w:val="14"/>
          <w:u w:val="single" w:color="auto"/>
          <w:color w:val="0000FF"/>
        </w:rPr>
        <w:t>12</w:t>
      </w:r>
    </w:p>
    <w:p>
      <w:pPr>
        <w:sectPr>
          <w:pgSz w:w="11900" w:h="16838" w:orient="portrait"/>
          <w:cols w:equalWidth="0" w:num="1">
            <w:col w:w="11380"/>
          </w:cols>
          <w:pgMar w:left="240" w:top="609" w:right="279" w:bottom="1440" w:gutter="0" w:footer="0" w:header="0"/>
        </w:sectPr>
      </w:pPr>
    </w:p>
    <w:bookmarkStart w:id="79" w:name="page80"/>
    <w:bookmarkEnd w:id="79"/>
    <w:p>
      <w:pPr>
        <w:ind w:right="220" w:firstLine="648"/>
        <w:spacing w:after="0" w:line="303"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Euro</w:t>
      </w:r>
      <w:r>
        <w:rPr>
          <w:rFonts w:ascii="Arial" w:cs="Arial" w:eastAsia="Arial" w:hAnsi="Arial"/>
          <w:sz w:val="20"/>
          <w:szCs w:val="20"/>
          <w:color w:val="auto"/>
        </w:rPr>
        <w:t>”, “</w:t>
      </w:r>
      <w:r>
        <w:rPr>
          <w:rFonts w:ascii="Arial" w:cs="Arial" w:eastAsia="Arial" w:hAnsi="Arial"/>
          <w:sz w:val="20"/>
          <w:szCs w:val="20"/>
          <w:u w:val="single" w:color="auto"/>
          <w:color w:val="auto"/>
        </w:rPr>
        <w:t>EUR</w:t>
      </w:r>
      <w:r>
        <w:rPr>
          <w:rFonts w:ascii="Arial" w:cs="Arial" w:eastAsia="Arial" w:hAnsi="Arial"/>
          <w:sz w:val="20"/>
          <w:szCs w:val="20"/>
          <w:color w:val="auto"/>
        </w:rPr>
        <w:t>” or “</w:t>
      </w:r>
      <w:r>
        <w:rPr>
          <w:rFonts w:ascii="Arial" w:cs="Arial" w:eastAsia="Arial" w:hAnsi="Arial"/>
          <w:sz w:val="20"/>
          <w:szCs w:val="20"/>
          <w:u w:val="single" w:color="auto"/>
          <w:color w:val="auto"/>
        </w:rPr>
        <w:t>€</w:t>
      </w:r>
      <w:r>
        <w:rPr>
          <w:rFonts w:ascii="Arial" w:cs="Arial" w:eastAsia="Arial" w:hAnsi="Arial"/>
          <w:sz w:val="20"/>
          <w:szCs w:val="20"/>
          <w:color w:val="auto"/>
        </w:rPr>
        <w:t xml:space="preserve">” mean the </w:t>
      </w:r>
      <w:r>
        <w:rPr>
          <w:rFonts w:ascii="Arial" w:cs="Arial" w:eastAsia="Arial" w:hAnsi="Arial"/>
          <w:sz w:val="20"/>
          <w:szCs w:val="20"/>
          <w:u w:val="single" w:color="auto"/>
          <w:color w:val="0000FF"/>
        </w:rPr>
        <w:t>single</w:t>
      </w:r>
      <w:r>
        <w:rPr>
          <w:rFonts w:ascii="Arial" w:cs="Arial" w:eastAsia="Arial" w:hAnsi="Arial"/>
          <w:sz w:val="20"/>
          <w:szCs w:val="20"/>
          <w:color w:val="auto"/>
        </w:rPr>
        <w:t xml:space="preserve"> lawful currency of the Participating Member States </w:t>
      </w:r>
      <w:r>
        <w:rPr>
          <w:rFonts w:ascii="Arial" w:cs="Arial" w:eastAsia="Arial" w:hAnsi="Arial"/>
          <w:sz w:val="20"/>
          <w:szCs w:val="20"/>
          <w:color w:val="FF0000"/>
          <w:strike w:val="1"/>
        </w:rPr>
        <w:t>introduced in accordance with the EMU</w:t>
      </w:r>
      <w:r>
        <w:rPr>
          <w:rFonts w:ascii="Arial" w:cs="Arial" w:eastAsia="Arial" w:hAnsi="Arial"/>
          <w:sz w:val="20"/>
          <w:szCs w:val="20"/>
          <w:color w:val="auto"/>
        </w:rPr>
        <w:t xml:space="preserve"> </w:t>
      </w:r>
      <w:r>
        <w:rPr>
          <w:rFonts w:ascii="Arial" w:cs="Arial" w:eastAsia="Arial" w:hAnsi="Arial"/>
          <w:sz w:val="20"/>
          <w:szCs w:val="20"/>
          <w:color w:val="FF0000"/>
          <w:strike w:val="1"/>
        </w:rPr>
        <w:t>Legislation</w:t>
      </w:r>
      <w:r>
        <w:rPr>
          <w:rFonts w:ascii="Arial" w:cs="Arial" w:eastAsia="Arial" w:hAnsi="Arial"/>
          <w:sz w:val="20"/>
          <w:szCs w:val="20"/>
          <w:color w:val="000000"/>
        </w:rPr>
        <w:t>.</w:t>
      </w:r>
    </w:p>
    <w:p>
      <w:pPr>
        <w:spacing w:after="0" w:line="176" w:lineRule="exact"/>
        <w:rPr>
          <w:sz w:val="20"/>
          <w:szCs w:val="20"/>
          <w:color w:val="auto"/>
        </w:rPr>
      </w:pPr>
    </w:p>
    <w:p>
      <w:pPr>
        <w:ind w:right="360" w:firstLine="648"/>
        <w:spacing w:after="0" w:line="303"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European Loan Obligations</w:t>
      </w:r>
      <w:r>
        <w:rPr>
          <w:rFonts w:ascii="Arial" w:cs="Arial" w:eastAsia="Arial" w:hAnsi="Arial"/>
          <w:sz w:val="20"/>
          <w:szCs w:val="20"/>
          <w:color w:val="auto"/>
        </w:rPr>
        <w:t>” means the European Revolving Loan Obligations and any Incremental Credit Facilities established hereunder that are denominated in Alternative Currencies.</w:t>
      </w:r>
    </w:p>
    <w:p>
      <w:pPr>
        <w:spacing w:after="0" w:line="176" w:lineRule="exact"/>
        <w:rPr>
          <w:sz w:val="20"/>
          <w:szCs w:val="20"/>
          <w:color w:val="auto"/>
        </w:rPr>
      </w:pPr>
    </w:p>
    <w:p>
      <w:pPr>
        <w:ind w:firstLine="648"/>
        <w:spacing w:after="0" w:line="303"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European Revolving Commitment</w:t>
      </w:r>
      <w:r>
        <w:rPr>
          <w:rFonts w:ascii="Arial" w:cs="Arial" w:eastAsia="Arial" w:hAnsi="Arial"/>
          <w:sz w:val="20"/>
          <w:szCs w:val="20"/>
          <w:color w:val="auto"/>
        </w:rPr>
        <w:t>” means, for each European Revolving Lender, the commitment of such Lender to make European Revolving Loans (and to share in European Revolving Loan Obligations) hereunder.</w:t>
      </w:r>
    </w:p>
    <w:p>
      <w:pPr>
        <w:spacing w:after="0" w:line="176" w:lineRule="exact"/>
        <w:rPr>
          <w:sz w:val="20"/>
          <w:szCs w:val="20"/>
          <w:color w:val="auto"/>
        </w:rPr>
      </w:pPr>
    </w:p>
    <w:p>
      <w:pPr>
        <w:ind w:right="40" w:firstLine="648"/>
        <w:spacing w:after="0" w:line="288"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European Revolving Commitment Percentage</w:t>
      </w:r>
      <w:r>
        <w:rPr>
          <w:rFonts w:ascii="Arial" w:cs="Arial" w:eastAsia="Arial" w:hAnsi="Arial"/>
          <w:sz w:val="20"/>
          <w:szCs w:val="20"/>
          <w:color w:val="auto"/>
        </w:rPr>
        <w:t xml:space="preserve">” means, for each European Revolving Lender, a fraction (expressed as a percentage carried to the ninth decimal place), the numerator of which is such Lender’s European Revolving Committed Amount and the denominator of which is the Aggregate European Revolving Committed Amount. The initial European Revolving Commitment Percentages are set out in </w:t>
      </w:r>
      <w:r>
        <w:rPr>
          <w:rFonts w:ascii="Arial" w:cs="Arial" w:eastAsia="Arial" w:hAnsi="Arial"/>
          <w:sz w:val="20"/>
          <w:szCs w:val="20"/>
          <w:u w:val="single" w:color="auto"/>
          <w:color w:val="auto"/>
        </w:rPr>
        <w:t>Schedule 2.01</w:t>
      </w:r>
      <w:r>
        <w:rPr>
          <w:rFonts w:ascii="Arial" w:cs="Arial" w:eastAsia="Arial" w:hAnsi="Arial"/>
          <w:sz w:val="20"/>
          <w:szCs w:val="20"/>
          <w:color w:val="auto"/>
        </w:rPr>
        <w:t>.</w:t>
      </w:r>
    </w:p>
    <w:p>
      <w:pPr>
        <w:spacing w:after="0" w:line="193" w:lineRule="exact"/>
        <w:rPr>
          <w:sz w:val="20"/>
          <w:szCs w:val="20"/>
          <w:color w:val="auto"/>
        </w:rPr>
      </w:pPr>
    </w:p>
    <w:p>
      <w:pPr>
        <w:ind w:right="400" w:firstLine="648"/>
        <w:spacing w:after="0" w:line="331"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European Revolving Committed Amount</w:t>
      </w:r>
      <w:r>
        <w:rPr>
          <w:rFonts w:ascii="Arial" w:cs="Arial" w:eastAsia="Arial" w:hAnsi="Arial"/>
          <w:sz w:val="19"/>
          <w:szCs w:val="19"/>
          <w:color w:val="auto"/>
        </w:rPr>
        <w:t xml:space="preserve">” means, for each European Revolving Lender, the amount of such Lender’s European Revolving Commitment. The initial European Revolving Committed Amounts are set out in </w:t>
      </w:r>
      <w:r>
        <w:rPr>
          <w:rFonts w:ascii="Arial" w:cs="Arial" w:eastAsia="Arial" w:hAnsi="Arial"/>
          <w:sz w:val="19"/>
          <w:szCs w:val="19"/>
          <w:u w:val="single" w:color="auto"/>
          <w:color w:val="auto"/>
        </w:rPr>
        <w:t>Schedule 2.01</w:t>
      </w:r>
      <w:r>
        <w:rPr>
          <w:rFonts w:ascii="Arial" w:cs="Arial" w:eastAsia="Arial" w:hAnsi="Arial"/>
          <w:sz w:val="19"/>
          <w:szCs w:val="19"/>
          <w:color w:val="auto"/>
        </w:rPr>
        <w:t>.</w:t>
      </w:r>
    </w:p>
    <w:p>
      <w:pPr>
        <w:spacing w:after="0" w:line="154" w:lineRule="exact"/>
        <w:rPr>
          <w:sz w:val="20"/>
          <w:szCs w:val="20"/>
          <w:color w:val="auto"/>
        </w:rPr>
      </w:pPr>
    </w:p>
    <w:p>
      <w:pPr>
        <w:ind w:right="360" w:firstLine="648"/>
        <w:spacing w:after="0" w:line="438"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European Revolving Lenders</w:t>
      </w:r>
      <w:r>
        <w:rPr>
          <w:rFonts w:ascii="Arial" w:cs="Arial" w:eastAsia="Arial" w:hAnsi="Arial"/>
          <w:sz w:val="16"/>
          <w:szCs w:val="16"/>
          <w:color w:val="auto"/>
        </w:rPr>
        <w:t xml:space="preserve">” means those Lenders with European Revolving Commitments, together with their successors and permitted assigns. The initial European Revolving Lenders are identified on the signature pages hereto and are set out in </w:t>
      </w:r>
      <w:r>
        <w:rPr>
          <w:rFonts w:ascii="Arial" w:cs="Arial" w:eastAsia="Arial" w:hAnsi="Arial"/>
          <w:sz w:val="16"/>
          <w:szCs w:val="16"/>
          <w:u w:val="single" w:color="auto"/>
          <w:color w:val="auto"/>
        </w:rPr>
        <w:t>Schedule 2.01</w:t>
      </w:r>
      <w:r>
        <w:rPr>
          <w:rFonts w:ascii="Arial" w:cs="Arial" w:eastAsia="Arial" w:hAnsi="Arial"/>
          <w:sz w:val="16"/>
          <w:szCs w:val="16"/>
          <w:color w:val="auto"/>
        </w:rPr>
        <w:t>.</w:t>
      </w:r>
    </w:p>
    <w:p>
      <w:pPr>
        <w:spacing w:after="0" w:line="85"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European Revolving Loan</w:t>
      </w:r>
      <w:r>
        <w:rPr>
          <w:rFonts w:ascii="Arial" w:cs="Arial" w:eastAsia="Arial" w:hAnsi="Arial"/>
          <w:sz w:val="20"/>
          <w:szCs w:val="20"/>
          <w:color w:val="auto"/>
        </w:rPr>
        <w:t>” has the meaning provided in Section 2.01(b)(i).</w:t>
      </w:r>
    </w:p>
    <w:p>
      <w:pPr>
        <w:spacing w:after="0" w:line="25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European Revolving Loan Obligations</w:t>
      </w:r>
      <w:r>
        <w:rPr>
          <w:rFonts w:ascii="Arial" w:cs="Arial" w:eastAsia="Arial" w:hAnsi="Arial"/>
          <w:sz w:val="20"/>
          <w:szCs w:val="20"/>
          <w:color w:val="auto"/>
        </w:rPr>
        <w:t>” means the European Revolving Loans and the European Swingline Loans.</w:t>
      </w:r>
    </w:p>
    <w:p>
      <w:pPr>
        <w:spacing w:after="0" w:line="256" w:lineRule="exact"/>
        <w:rPr>
          <w:sz w:val="20"/>
          <w:szCs w:val="20"/>
          <w:color w:val="auto"/>
        </w:rPr>
      </w:pPr>
    </w:p>
    <w:p>
      <w:pPr>
        <w:ind w:right="400" w:firstLine="648"/>
        <w:spacing w:after="0" w:line="438"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European Revolving Notes</w:t>
      </w:r>
      <w:r>
        <w:rPr>
          <w:rFonts w:ascii="Arial" w:cs="Arial" w:eastAsia="Arial" w:hAnsi="Arial"/>
          <w:sz w:val="16"/>
          <w:szCs w:val="16"/>
          <w:color w:val="auto"/>
        </w:rPr>
        <w:t xml:space="preserve">” means the promissory notes, if any, given to evidence the European Revolving Loans, as amended, restated, modified, supplemented, extended, renewed or replaced. A form of European Revolving Note is attached as </w:t>
      </w:r>
      <w:r>
        <w:rPr>
          <w:rFonts w:ascii="Arial" w:cs="Arial" w:eastAsia="Arial" w:hAnsi="Arial"/>
          <w:sz w:val="16"/>
          <w:szCs w:val="16"/>
          <w:u w:val="single" w:color="auto"/>
          <w:color w:val="auto"/>
        </w:rPr>
        <w:t>Exhibit 2.13-3</w:t>
      </w:r>
      <w:r>
        <w:rPr>
          <w:rFonts w:ascii="Arial" w:cs="Arial" w:eastAsia="Arial" w:hAnsi="Arial"/>
          <w:sz w:val="16"/>
          <w:szCs w:val="16"/>
          <w:color w:val="auto"/>
        </w:rPr>
        <w:t>.</w:t>
      </w:r>
    </w:p>
    <w:p>
      <w:pPr>
        <w:spacing w:after="0" w:line="85" w:lineRule="exact"/>
        <w:rPr>
          <w:sz w:val="20"/>
          <w:szCs w:val="20"/>
          <w:color w:val="auto"/>
        </w:rPr>
      </w:pPr>
    </w:p>
    <w:p>
      <w:pPr>
        <w:ind w:right="380" w:firstLine="648"/>
        <w:spacing w:after="0" w:line="303"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European Swingline Commitment</w:t>
      </w:r>
      <w:r>
        <w:rPr>
          <w:rFonts w:ascii="Arial" w:cs="Arial" w:eastAsia="Arial" w:hAnsi="Arial"/>
          <w:sz w:val="20"/>
          <w:szCs w:val="20"/>
          <w:color w:val="auto"/>
        </w:rPr>
        <w:t>” means, with respect to each European Revolving Lender, the commitment of such Lender to purchase its pro rata share of participation interests in European Swingline Loans.</w:t>
      </w:r>
    </w:p>
    <w:p>
      <w:pPr>
        <w:spacing w:after="0" w:line="176" w:lineRule="exact"/>
        <w:rPr>
          <w:sz w:val="20"/>
          <w:szCs w:val="20"/>
          <w:color w:val="auto"/>
        </w:rPr>
      </w:pPr>
    </w:p>
    <w:p>
      <w:pPr>
        <w:ind w:left="66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European Swingline Lender</w:t>
      </w:r>
      <w:r>
        <w:rPr>
          <w:rFonts w:ascii="Arial" w:cs="Arial" w:eastAsia="Arial" w:hAnsi="Arial"/>
          <w:sz w:val="19"/>
          <w:szCs w:val="19"/>
          <w:color w:val="auto"/>
        </w:rPr>
        <w:t>” means Bank of America in its capacity as such, together with any successor in such capacity.</w:t>
      </w:r>
    </w:p>
    <w:p>
      <w:pPr>
        <w:spacing w:after="0" w:line="268" w:lineRule="exact"/>
        <w:rPr>
          <w:sz w:val="20"/>
          <w:szCs w:val="20"/>
          <w:color w:val="auto"/>
        </w:rPr>
      </w:pPr>
    </w:p>
    <w:p>
      <w:pPr>
        <w:ind w:right="80" w:firstLine="648"/>
        <w:spacing w:after="0" w:line="303"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European Swingline Loan</w:t>
      </w:r>
      <w:r>
        <w:rPr>
          <w:rFonts w:ascii="Arial" w:cs="Arial" w:eastAsia="Arial" w:hAnsi="Arial"/>
          <w:sz w:val="20"/>
          <w:szCs w:val="20"/>
          <w:color w:val="auto"/>
        </w:rPr>
        <w:t xml:space="preserve">” has the meaning provided in </w:t>
      </w:r>
      <w:r>
        <w:rPr>
          <w:rFonts w:ascii="Arial" w:cs="Arial" w:eastAsia="Arial" w:hAnsi="Arial"/>
          <w:sz w:val="20"/>
          <w:szCs w:val="20"/>
          <w:u w:val="single" w:color="auto"/>
          <w:color w:val="auto"/>
        </w:rPr>
        <w:t>Section 2.01(b)(iii</w:t>
      </w:r>
      <w:r>
        <w:rPr>
          <w:rFonts w:ascii="Arial" w:cs="Arial" w:eastAsia="Arial" w:hAnsi="Arial"/>
          <w:sz w:val="20"/>
          <w:szCs w:val="20"/>
          <w:color w:val="auto"/>
        </w:rPr>
        <w:t>). All European Swingline Loans will be denominated in Alternative Currencies therefor, being British Pounds sterling and Euro on the Closing Date.</w:t>
      </w:r>
    </w:p>
    <w:p>
      <w:pPr>
        <w:spacing w:after="0" w:line="392" w:lineRule="exact"/>
        <w:rPr>
          <w:sz w:val="20"/>
          <w:szCs w:val="20"/>
          <w:color w:val="auto"/>
        </w:rPr>
      </w:pPr>
    </w:p>
    <w:p>
      <w:pPr>
        <w:jc w:val="center"/>
        <w:ind w:right="-179"/>
        <w:spacing w:after="0"/>
        <w:rPr>
          <w:sz w:val="20"/>
          <w:szCs w:val="20"/>
          <w:color w:val="auto"/>
        </w:rPr>
      </w:pPr>
      <w:r>
        <w:rPr>
          <w:rFonts w:ascii="Arial" w:cs="Arial" w:eastAsia="Arial" w:hAnsi="Arial"/>
          <w:sz w:val="20"/>
          <w:szCs w:val="20"/>
          <w:color w:val="auto"/>
        </w:rPr>
        <w:t>28</w:t>
      </w:r>
    </w:p>
    <w:p>
      <w:pPr>
        <w:spacing w:after="0" w:line="10" w:lineRule="exact"/>
        <w:rPr>
          <w:sz w:val="20"/>
          <w:szCs w:val="20"/>
          <w:color w:val="auto"/>
        </w:rPr>
      </w:pPr>
    </w:p>
    <w:p>
      <w:pPr>
        <w:spacing w:after="0"/>
        <w:rPr>
          <w:sz w:val="20"/>
          <w:szCs w:val="20"/>
          <w:color w:val="auto"/>
        </w:rPr>
      </w:pPr>
      <w:r>
        <w:rPr>
          <w:rFonts w:ascii="Arial" w:cs="Arial" w:eastAsia="Arial" w:hAnsi="Arial"/>
          <w:sz w:val="14"/>
          <w:szCs w:val="14"/>
          <w:color w:val="auto"/>
        </w:rPr>
        <w:t>CHAR1\1346423v</w:t>
      </w:r>
      <w:r>
        <w:rPr>
          <w:rFonts w:ascii="Arial" w:cs="Arial" w:eastAsia="Arial" w:hAnsi="Arial"/>
          <w:sz w:val="14"/>
          <w:szCs w:val="14"/>
          <w:color w:val="FF0000"/>
          <w:strike w:val="1"/>
        </w:rPr>
        <w:t>1</w:t>
      </w:r>
      <w:r>
        <w:rPr>
          <w:rFonts w:ascii="Arial" w:cs="Arial" w:eastAsia="Arial" w:hAnsi="Arial"/>
          <w:sz w:val="14"/>
          <w:szCs w:val="14"/>
          <w:u w:val="single" w:color="auto"/>
          <w:color w:val="0000FF"/>
        </w:rPr>
        <w:t>12</w:t>
      </w:r>
    </w:p>
    <w:p>
      <w:pPr>
        <w:sectPr>
          <w:pgSz w:w="11900" w:h="16838" w:orient="portrait"/>
          <w:cols w:equalWidth="0" w:num="1">
            <w:col w:w="11260"/>
          </w:cols>
          <w:pgMar w:left="240" w:top="609" w:right="399" w:bottom="1440" w:gutter="0" w:footer="0" w:header="0"/>
        </w:sectPr>
      </w:pPr>
    </w:p>
    <w:bookmarkStart w:id="80" w:name="page81"/>
    <w:bookmarkEnd w:id="80"/>
    <w:p>
      <w:pPr>
        <w:ind w:right="620" w:firstLine="648"/>
        <w:spacing w:after="0" w:line="3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European Swingline Note</w:t>
      </w:r>
      <w:r>
        <w:rPr>
          <w:rFonts w:ascii="Arial" w:cs="Arial" w:eastAsia="Arial" w:hAnsi="Arial"/>
          <w:sz w:val="18"/>
          <w:szCs w:val="18"/>
          <w:color w:val="auto"/>
        </w:rPr>
        <w:t xml:space="preserve">” means the promissory note given to evidence the European Swingline Loans, as amended, restated, modified, supplemented, extended, renewed or replaced. A form of European Swingline Note is attached as </w:t>
      </w:r>
      <w:r>
        <w:rPr>
          <w:rFonts w:ascii="Arial" w:cs="Arial" w:eastAsia="Arial" w:hAnsi="Arial"/>
          <w:sz w:val="18"/>
          <w:szCs w:val="18"/>
          <w:u w:val="single" w:color="auto"/>
          <w:color w:val="auto"/>
        </w:rPr>
        <w:t>Exhibit 2.13-4</w:t>
      </w:r>
      <w:r>
        <w:rPr>
          <w:rFonts w:ascii="Arial" w:cs="Arial" w:eastAsia="Arial" w:hAnsi="Arial"/>
          <w:sz w:val="18"/>
          <w:szCs w:val="18"/>
          <w:color w:val="auto"/>
        </w:rPr>
        <w:t>.</w:t>
      </w:r>
    </w:p>
    <w:p>
      <w:pPr>
        <w:spacing w:after="0" w:line="130" w:lineRule="exact"/>
        <w:rPr>
          <w:sz w:val="20"/>
          <w:szCs w:val="20"/>
          <w:color w:val="auto"/>
        </w:rPr>
      </w:pPr>
    </w:p>
    <w:p>
      <w:pPr>
        <w:ind w:firstLine="648"/>
        <w:spacing w:after="0" w:line="303"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European Swingline Sublimit</w:t>
      </w:r>
      <w:r>
        <w:rPr>
          <w:rFonts w:ascii="Arial" w:cs="Arial" w:eastAsia="Arial" w:hAnsi="Arial"/>
          <w:sz w:val="20"/>
          <w:szCs w:val="20"/>
          <w:color w:val="auto"/>
        </w:rPr>
        <w:t xml:space="preserve">” has the meaning provided in </w:t>
      </w:r>
      <w:r>
        <w:rPr>
          <w:rFonts w:ascii="Arial" w:cs="Arial" w:eastAsia="Arial" w:hAnsi="Arial"/>
          <w:sz w:val="20"/>
          <w:szCs w:val="20"/>
          <w:u w:val="single" w:color="auto"/>
          <w:color w:val="auto"/>
        </w:rPr>
        <w:t>Section 2.01(b)(iii</w:t>
      </w:r>
      <w:r>
        <w:rPr>
          <w:rFonts w:ascii="Arial" w:cs="Arial" w:eastAsia="Arial" w:hAnsi="Arial"/>
          <w:sz w:val="20"/>
          <w:szCs w:val="20"/>
          <w:color w:val="auto"/>
        </w:rPr>
        <w:t>). The European Swingline Sublimit is a part of, and not in addition to, the Aggregate European Revolving Commitments.</w:t>
      </w:r>
    </w:p>
    <w:p>
      <w:pPr>
        <w:spacing w:after="0" w:line="17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Event of Default</w:t>
      </w:r>
      <w:r>
        <w:rPr>
          <w:rFonts w:ascii="Arial" w:cs="Arial" w:eastAsia="Arial" w:hAnsi="Arial"/>
          <w:sz w:val="20"/>
          <w:szCs w:val="20"/>
          <w:color w:val="auto"/>
        </w:rPr>
        <w:t xml:space="preserve">” has the meaning provided in </w:t>
      </w:r>
      <w:r>
        <w:rPr>
          <w:rFonts w:ascii="Arial" w:cs="Arial" w:eastAsia="Arial" w:hAnsi="Arial"/>
          <w:sz w:val="20"/>
          <w:szCs w:val="20"/>
          <w:u w:val="single" w:color="auto"/>
          <w:color w:val="auto"/>
        </w:rPr>
        <w:t>Section 9.01</w:t>
      </w:r>
      <w:r>
        <w:rPr>
          <w:rFonts w:ascii="Arial" w:cs="Arial" w:eastAsia="Arial" w:hAnsi="Arial"/>
          <w:sz w:val="20"/>
          <w:szCs w:val="20"/>
          <w:color w:val="auto"/>
        </w:rPr>
        <w:t>.</w:t>
      </w:r>
    </w:p>
    <w:p>
      <w:pPr>
        <w:spacing w:after="0" w:line="25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EWI</w:t>
      </w:r>
      <w:r>
        <w:rPr>
          <w:rFonts w:ascii="Arial" w:cs="Arial" w:eastAsia="Arial" w:hAnsi="Arial"/>
          <w:sz w:val="20"/>
          <w:szCs w:val="20"/>
          <w:color w:val="auto"/>
        </w:rPr>
        <w:t>” means Euronet Worldwide, Inc., a Delaware corporation.</w:t>
      </w:r>
    </w:p>
    <w:p>
      <w:pPr>
        <w:spacing w:after="0" w:line="256" w:lineRule="exact"/>
        <w:rPr>
          <w:sz w:val="20"/>
          <w:szCs w:val="20"/>
          <w:color w:val="auto"/>
        </w:rPr>
      </w:pPr>
    </w:p>
    <w:p>
      <w:pPr>
        <w:ind w:right="20" w:firstLine="648"/>
        <w:spacing w:after="0" w:line="31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Excluded Property</w:t>
      </w:r>
      <w:r>
        <w:rPr>
          <w:rFonts w:ascii="Arial" w:cs="Arial" w:eastAsia="Arial" w:hAnsi="Arial"/>
          <w:sz w:val="18"/>
          <w:szCs w:val="18"/>
          <w:color w:val="auto"/>
        </w:rPr>
        <w:t xml:space="preserve">” means (a) unless reasonably requested by the Administrative Agent or the Required Lenders on thirty (30) days’ prior written notice, any personal Property (other than cash collateral required hereunder) in respect of which perfection of a Lien may not be effected by either (i) the filing of one or more financing statements under the UCC or (ii) the filing of appropriate notices or other evidence of Lien with the United States Copyright Office or the United States Patent and Trademark Office, (b) unless reasonably requested by the Collateral Agent or the Required Lenders on thirty (30) days’ prior written notice, any leasehold interests, (c) any Property that is subject to a Lien permitted under </w:t>
      </w:r>
      <w:r>
        <w:rPr>
          <w:rFonts w:ascii="Arial" w:cs="Arial" w:eastAsia="Arial" w:hAnsi="Arial"/>
          <w:sz w:val="18"/>
          <w:szCs w:val="18"/>
          <w:u w:val="single" w:color="auto"/>
          <w:color w:val="auto"/>
        </w:rPr>
        <w:t>Sections 8.01(c),(j)</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(k)</w:t>
      </w:r>
      <w:r>
        <w:rPr>
          <w:rFonts w:ascii="Arial" w:cs="Arial" w:eastAsia="Arial" w:hAnsi="Arial"/>
          <w:sz w:val="18"/>
          <w:szCs w:val="18"/>
          <w:color w:val="auto"/>
        </w:rPr>
        <w:t xml:space="preserve"> or a Refinancing Lien relating thereto permitted under </w:t>
      </w:r>
      <w:r>
        <w:rPr>
          <w:rFonts w:ascii="Arial" w:cs="Arial" w:eastAsia="Arial" w:hAnsi="Arial"/>
          <w:sz w:val="18"/>
          <w:szCs w:val="18"/>
          <w:u w:val="single" w:color="auto"/>
          <w:color w:val="auto"/>
        </w:rPr>
        <w:t>Section 8.01(r)</w:t>
      </w:r>
      <w:r>
        <w:rPr>
          <w:rFonts w:ascii="Arial" w:cs="Arial" w:eastAsia="Arial" w:hAnsi="Arial"/>
          <w:sz w:val="18"/>
          <w:szCs w:val="18"/>
          <w:color w:val="auto"/>
        </w:rPr>
        <w:t xml:space="preserve"> pursuant to documents that prohibit such Credit Party from granting any other Liens in such Property (or give rise to a right of termination or other remedies), provided that in any such case the prohibition is not rendered ineffective by the UCC (including the provisions of Sections 9-407 and 9-408) or other applicable law, (d) restricted cash or other funds that are held in trust and not property of members of the Consolidated Group and (e) any Property (including, without limitation, any permit, lease, license, contract or instrument now or hereafter in effect) of a Credit Party if the grant of a security interest in such Property in a manner contemplated by this Credit Agreement or the other Credit Documents, would violate applicable Law or is prohibited under applicable Law or the terms of the relevant permit, lease, license, contract, instrument or other document, and would result in the termination thereof or give the other parties thereto the right to terminate, accelerate or otherwise materially and adversely alter such Credit Party’s rights, titles and interests thereunder (including upon the giving of notice or the lapse of time or both, provided that in any such case the prohibition is not rendered ineffective by the UCC (including the provisions of Sections 9-407 and 9-408) or other applicable law);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notwithstanding the foregoing or anything to the contrary contained herein or in any of the other Credit Documents, neither (i) cash collateral or Adequate Assurance, nor (ii) the pledge of any Capital Stock, required or otherwise provided hereunder or in connection herewith shall constitute “Excluded Property” nor be subject to the advance notice requirement referenced above, and it is understood and agreed that all Capital Stock that is certificated will be delivered to the Collateral Agent, together with appropriate undated transfer powers executed in blank, regardless whether perfection may be obtained by the filing of one or more financing statements under the UCC.</w:t>
      </w:r>
    </w:p>
    <w:p>
      <w:pPr>
        <w:spacing w:after="0" w:line="183" w:lineRule="exact"/>
        <w:rPr>
          <w:sz w:val="20"/>
          <w:szCs w:val="20"/>
          <w:color w:val="auto"/>
        </w:rPr>
      </w:pPr>
    </w:p>
    <w:p>
      <w:pPr>
        <w:ind w:right="100" w:firstLine="648"/>
        <w:spacing w:after="0" w:line="338" w:lineRule="auto"/>
        <w:rPr>
          <w:sz w:val="20"/>
          <w:szCs w:val="20"/>
          <w:color w:val="auto"/>
        </w:rPr>
      </w:pPr>
      <w:r>
        <w:rPr>
          <w:rFonts w:ascii="Arial" w:cs="Arial" w:eastAsia="Arial" w:hAnsi="Arial"/>
          <w:sz w:val="18"/>
          <w:szCs w:val="18"/>
          <w:u w:val="single" w:color="auto"/>
          <w:color w:val="0000FF"/>
        </w:rPr>
        <w:t>“Excluded Swap Obligation” means, with respect to any Credit Party, any Swap Obligation if, and to the extent that, all or a portion of the Guaranty by such Credit Party of, or the grant under a Credit Document by such Guarantor of a security interest to secure, such Swap Obligation (or any Support Obligation in respect thereof) is or becomes illegal under the Commodity Exchange Act (or the</w:t>
      </w:r>
    </w:p>
    <w:p>
      <w:pPr>
        <w:spacing w:after="0" w:line="368"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29</w:t>
      </w:r>
    </w:p>
    <w:p>
      <w:pPr>
        <w:spacing w:after="0" w:line="10" w:lineRule="exact"/>
        <w:rPr>
          <w:sz w:val="20"/>
          <w:szCs w:val="20"/>
          <w:color w:val="auto"/>
        </w:rPr>
      </w:pPr>
    </w:p>
    <w:p>
      <w:pPr>
        <w:spacing w:after="0"/>
        <w:rPr>
          <w:sz w:val="20"/>
          <w:szCs w:val="20"/>
          <w:color w:val="auto"/>
        </w:rPr>
      </w:pPr>
      <w:r>
        <w:rPr>
          <w:rFonts w:ascii="Arial" w:cs="Arial" w:eastAsia="Arial" w:hAnsi="Arial"/>
          <w:sz w:val="14"/>
          <w:szCs w:val="14"/>
          <w:color w:val="auto"/>
        </w:rPr>
        <w:t>CHAR1\1346423v</w:t>
      </w:r>
      <w:r>
        <w:rPr>
          <w:rFonts w:ascii="Arial" w:cs="Arial" w:eastAsia="Arial" w:hAnsi="Arial"/>
          <w:sz w:val="14"/>
          <w:szCs w:val="14"/>
          <w:color w:val="FF0000"/>
          <w:strike w:val="1"/>
        </w:rPr>
        <w:t>1</w:t>
      </w:r>
      <w:r>
        <w:rPr>
          <w:rFonts w:ascii="Arial" w:cs="Arial" w:eastAsia="Arial" w:hAnsi="Arial"/>
          <w:sz w:val="14"/>
          <w:szCs w:val="14"/>
          <w:u w:val="single" w:color="auto"/>
          <w:color w:val="0000FF"/>
        </w:rPr>
        <w:t>12</w:t>
      </w:r>
    </w:p>
    <w:p>
      <w:pPr>
        <w:sectPr>
          <w:pgSz w:w="11900" w:h="16838" w:orient="portrait"/>
          <w:cols w:equalWidth="0" w:num="1">
            <w:col w:w="11400"/>
          </w:cols>
          <w:pgMar w:left="240" w:top="609" w:right="259" w:bottom="1440" w:gutter="0" w:footer="0" w:header="0"/>
        </w:sectPr>
      </w:pPr>
    </w:p>
    <w:bookmarkStart w:id="81" w:name="page82"/>
    <w:bookmarkEnd w:id="81"/>
    <w:p>
      <w:pPr>
        <w:ind w:right="40"/>
        <w:spacing w:after="0" w:line="302" w:lineRule="auto"/>
        <w:rPr>
          <w:sz w:val="20"/>
          <w:szCs w:val="20"/>
          <w:color w:val="auto"/>
        </w:rPr>
      </w:pPr>
      <w:r>
        <w:rPr>
          <w:rFonts w:ascii="Arial" w:cs="Arial" w:eastAsia="Arial" w:hAnsi="Arial"/>
          <w:sz w:val="19"/>
          <w:szCs w:val="19"/>
          <w:u w:val="single" w:color="auto"/>
          <w:color w:val="0000FF"/>
        </w:rPr>
        <w:t>application or official interpretation thereof) by virtue of such Credit Party’s failure for any reason to constitute an “eligible contract participant” as defined in the Commodity Exchange Act (determined after giving effect to Section 4.08 hereunder and any other “keepwell”, support or other agreement for the benefit of such Credit Party and any and all guarantees of such Credit Party’s Swap Obligations by other Credit Parties) at the time the Guaranty by such Credit Party, or grant by such Credit Party of a security interest, becomes effective with respect to such Swap Obligation. If a Swap Obligation arises under a Master Agreement governing more than one Swap Contract, such exclusion shall apply only to the portion of such Swap Obligation that is attributable to Swap Contracts for which such Guaranty or security interest is or becomes excluded in accordance with the first sentence of this definition.</w:t>
      </w:r>
    </w:p>
    <w:p>
      <w:pPr>
        <w:spacing w:after="0" w:line="182" w:lineRule="exact"/>
        <w:rPr>
          <w:sz w:val="20"/>
          <w:szCs w:val="20"/>
          <w:color w:val="auto"/>
        </w:rPr>
      </w:pPr>
    </w:p>
    <w:p>
      <w:pPr>
        <w:ind w:firstLine="648"/>
        <w:spacing w:after="0" w:line="356"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Excluded Taxes</w:t>
      </w:r>
      <w:r>
        <w:rPr>
          <w:rFonts w:ascii="Arial" w:cs="Arial" w:eastAsia="Arial" w:hAnsi="Arial"/>
          <w:sz w:val="16"/>
          <w:szCs w:val="16"/>
          <w:color w:val="auto"/>
        </w:rPr>
        <w:t>” means</w:t>
      </w:r>
      <w:r>
        <w:rPr>
          <w:rFonts w:ascii="Arial" w:cs="Arial" w:eastAsia="Arial" w:hAnsi="Arial"/>
          <w:sz w:val="16"/>
          <w:szCs w:val="16"/>
          <w:color w:val="FF0000"/>
          <w:strike w:val="1"/>
        </w:rPr>
        <w:t>,</w:t>
      </w:r>
      <w:r>
        <w:rPr>
          <w:rFonts w:ascii="Arial" w:cs="Arial" w:eastAsia="Arial" w:hAnsi="Arial"/>
          <w:sz w:val="16"/>
          <w:szCs w:val="16"/>
          <w:color w:val="auto"/>
        </w:rPr>
        <w:t xml:space="preserve"> </w:t>
      </w:r>
      <w:r>
        <w:rPr>
          <w:rFonts w:ascii="Arial" w:cs="Arial" w:eastAsia="Arial" w:hAnsi="Arial"/>
          <w:sz w:val="16"/>
          <w:szCs w:val="16"/>
          <w:u w:val="single" w:color="auto"/>
          <w:color w:val="0000FF"/>
        </w:rPr>
        <w:t>any of the following Taxes imposed on or</w:t>
      </w:r>
      <w:r>
        <w:rPr>
          <w:rFonts w:ascii="Arial" w:cs="Arial" w:eastAsia="Arial" w:hAnsi="Arial"/>
          <w:sz w:val="16"/>
          <w:szCs w:val="16"/>
          <w:color w:val="auto"/>
        </w:rPr>
        <w:t xml:space="preserve"> with respect to </w:t>
      </w:r>
      <w:r>
        <w:rPr>
          <w:rFonts w:ascii="Arial" w:cs="Arial" w:eastAsia="Arial" w:hAnsi="Arial"/>
          <w:sz w:val="16"/>
          <w:szCs w:val="16"/>
          <w:color w:val="FF0000"/>
          <w:strike w:val="1"/>
        </w:rPr>
        <w:t>the Administrative Agent, any Lender, an L/C</w:t>
      </w:r>
      <w:r>
        <w:rPr>
          <w:rFonts w:ascii="Arial" w:cs="Arial" w:eastAsia="Arial" w:hAnsi="Arial"/>
          <w:sz w:val="16"/>
          <w:szCs w:val="16"/>
          <w:color w:val="auto"/>
        </w:rPr>
        <w:t xml:space="preserve"> </w:t>
      </w:r>
      <w:r>
        <w:rPr>
          <w:rFonts w:ascii="Arial" w:cs="Arial" w:eastAsia="Arial" w:hAnsi="Arial"/>
          <w:sz w:val="16"/>
          <w:szCs w:val="16"/>
          <w:color w:val="FF0000"/>
          <w:strike w:val="1"/>
        </w:rPr>
        <w:t>Issuer or any other recipient of any payment to be made by or on account of any obligation of the Borrowers hereunder, (a) taxes</w:t>
      </w:r>
      <w:r>
        <w:rPr>
          <w:rFonts w:ascii="Arial" w:cs="Arial" w:eastAsia="Arial" w:hAnsi="Arial"/>
          <w:sz w:val="16"/>
          <w:szCs w:val="16"/>
          <w:u w:val="single" w:color="auto"/>
          <w:color w:val="0000FF"/>
          <w:strike w:val="1"/>
        </w:rPr>
        <w:t>any Recipient</w:t>
      </w:r>
      <w:r>
        <w:rPr>
          <w:rFonts w:ascii="Arial" w:cs="Arial" w:eastAsia="Arial" w:hAnsi="Arial"/>
          <w:sz w:val="16"/>
          <w:szCs w:val="16"/>
          <w:color w:val="FF0000"/>
          <w:strike w:val="1"/>
        </w:rPr>
        <w:t xml:space="preserve"> </w:t>
      </w:r>
      <w:r>
        <w:rPr>
          <w:rFonts w:ascii="Arial" w:cs="Arial" w:eastAsia="Arial" w:hAnsi="Arial"/>
          <w:sz w:val="16"/>
          <w:szCs w:val="16"/>
          <w:u w:val="single" w:color="auto"/>
          <w:color w:val="0000FF"/>
          <w:strike w:val="1"/>
        </w:rPr>
        <w:t>or required to be withheld or deducted from a payment to a Recipient, (a) Taxes</w:t>
      </w:r>
      <w:r>
        <w:rPr>
          <w:rFonts w:ascii="Arial" w:cs="Arial" w:eastAsia="Arial" w:hAnsi="Arial"/>
          <w:sz w:val="16"/>
          <w:szCs w:val="16"/>
          <w:color w:val="0000FF"/>
          <w:strike w:val="1"/>
        </w:rPr>
        <w:t xml:space="preserve"> </w:t>
      </w:r>
      <w:r>
        <w:rPr>
          <w:rFonts w:ascii="Arial" w:cs="Arial" w:eastAsia="Arial" w:hAnsi="Arial"/>
          <w:sz w:val="16"/>
          <w:szCs w:val="16"/>
          <w:color w:val="000000"/>
          <w:strike w:val="1"/>
        </w:rPr>
        <w:t>imposed on or measured by</w:t>
      </w:r>
      <w:r>
        <w:rPr>
          <w:rFonts w:ascii="Arial" w:cs="Arial" w:eastAsia="Arial" w:hAnsi="Arial"/>
          <w:sz w:val="16"/>
          <w:szCs w:val="16"/>
          <w:color w:val="0000FF"/>
          <w:strike w:val="1"/>
        </w:rPr>
        <w:t xml:space="preserve"> </w:t>
      </w:r>
      <w:r>
        <w:rPr>
          <w:rFonts w:ascii="Arial" w:cs="Arial" w:eastAsia="Arial" w:hAnsi="Arial"/>
          <w:sz w:val="16"/>
          <w:szCs w:val="16"/>
          <w:color w:val="FF0000"/>
          <w:strike w:val="1"/>
        </w:rPr>
        <w:t>its overall</w:t>
      </w:r>
      <w:r>
        <w:rPr>
          <w:rFonts w:ascii="Arial" w:cs="Arial" w:eastAsia="Arial" w:hAnsi="Arial"/>
          <w:sz w:val="16"/>
          <w:szCs w:val="16"/>
          <w:color w:val="0000FF"/>
          <w:strike w:val="1"/>
        </w:rPr>
        <w:t xml:space="preserve"> </w:t>
      </w:r>
      <w:r>
        <w:rPr>
          <w:rFonts w:ascii="Arial" w:cs="Arial" w:eastAsia="Arial" w:hAnsi="Arial"/>
          <w:sz w:val="16"/>
          <w:szCs w:val="16"/>
          <w:color w:val="000000"/>
          <w:strike w:val="1"/>
        </w:rPr>
        <w:t>net income (however</w:t>
      </w:r>
      <w:r>
        <w:rPr>
          <w:rFonts w:ascii="Arial" w:cs="Arial" w:eastAsia="Arial" w:hAnsi="Arial"/>
          <w:sz w:val="16"/>
          <w:szCs w:val="16"/>
          <w:color w:val="0000FF"/>
          <w:strike w:val="1"/>
        </w:rPr>
        <w:t xml:space="preserve"> </w:t>
      </w:r>
      <w:r>
        <w:rPr>
          <w:rFonts w:ascii="Arial" w:cs="Arial" w:eastAsia="Arial" w:hAnsi="Arial"/>
          <w:sz w:val="16"/>
          <w:szCs w:val="16"/>
          <w:color w:val="000000"/>
          <w:strike w:val="1"/>
        </w:rPr>
        <w:t xml:space="preserve">denominated), </w:t>
      </w:r>
      <w:r>
        <w:rPr>
          <w:rFonts w:ascii="Arial" w:cs="Arial" w:eastAsia="Arial" w:hAnsi="Arial"/>
          <w:sz w:val="16"/>
          <w:szCs w:val="16"/>
          <w:color w:val="FF0000"/>
          <w:strike w:val="1"/>
        </w:rPr>
        <w:t>and franchise taxes imposed on it (in lieu of net income taxes), by the jurisdiction</w:t>
      </w:r>
      <w:r>
        <w:rPr>
          <w:rFonts w:ascii="Arial" w:cs="Arial" w:eastAsia="Arial" w:hAnsi="Arial"/>
          <w:sz w:val="16"/>
          <w:szCs w:val="16"/>
          <w:color w:val="000000"/>
          <w:strike w:val="1"/>
        </w:rPr>
        <w:t xml:space="preserve"> </w:t>
      </w:r>
      <w:r>
        <w:rPr>
          <w:rFonts w:ascii="Arial" w:cs="Arial" w:eastAsia="Arial" w:hAnsi="Arial"/>
          <w:sz w:val="16"/>
          <w:szCs w:val="16"/>
          <w:color w:val="00C000"/>
          <w:strike w:val="1"/>
        </w:rPr>
        <w:t>(or any political subdivision thereof)</w:t>
      </w:r>
      <w:r>
        <w:rPr>
          <w:rFonts w:ascii="Arial" w:cs="Arial" w:eastAsia="Arial" w:hAnsi="Arial"/>
          <w:sz w:val="16"/>
          <w:szCs w:val="16"/>
          <w:color w:val="000000"/>
          <w:strike w:val="1"/>
        </w:rPr>
        <w:t xml:space="preserve"> </w:t>
      </w:r>
      <w:r>
        <w:rPr>
          <w:rFonts w:ascii="Arial" w:cs="Arial" w:eastAsia="Arial" w:hAnsi="Arial"/>
          <w:sz w:val="16"/>
          <w:szCs w:val="16"/>
          <w:color w:val="FF0000"/>
          <w:strike w:val="1"/>
        </w:rPr>
        <w:t>under the</w:t>
      </w:r>
      <w:r>
        <w:rPr>
          <w:rFonts w:ascii="Arial" w:cs="Arial" w:eastAsia="Arial" w:hAnsi="Arial"/>
          <w:sz w:val="16"/>
          <w:szCs w:val="16"/>
          <w:color w:val="000000"/>
          <w:strike w:val="1"/>
        </w:rPr>
        <w:t xml:space="preserve"> </w:t>
      </w:r>
      <w:r>
        <w:rPr>
          <w:rFonts w:ascii="Arial" w:cs="Arial" w:eastAsia="Arial" w:hAnsi="Arial"/>
          <w:sz w:val="16"/>
          <w:szCs w:val="16"/>
          <w:color w:val="FF0000"/>
          <w:strike w:val="1"/>
        </w:rPr>
        <w:t>Laws of which such recipient is organized or in which</w:t>
      </w:r>
      <w:r>
        <w:rPr>
          <w:rFonts w:ascii="Arial" w:cs="Arial" w:eastAsia="Arial" w:hAnsi="Arial"/>
          <w:sz w:val="16"/>
          <w:szCs w:val="16"/>
          <w:u w:val="single" w:color="auto"/>
          <w:color w:val="0000FF"/>
          <w:strike w:val="1"/>
        </w:rPr>
        <w:t>franchise Taxes, and branch profits Taxes, in each case, (i) imposed as a result of such</w:t>
      </w:r>
      <w:r>
        <w:rPr>
          <w:rFonts w:ascii="Arial" w:cs="Arial" w:eastAsia="Arial" w:hAnsi="Arial"/>
          <w:sz w:val="16"/>
          <w:szCs w:val="16"/>
          <w:color w:val="FF0000"/>
          <w:strike w:val="1"/>
        </w:rPr>
        <w:t xml:space="preserve"> </w:t>
      </w:r>
      <w:r>
        <w:rPr>
          <w:rFonts w:ascii="Arial" w:cs="Arial" w:eastAsia="Arial" w:hAnsi="Arial"/>
          <w:sz w:val="16"/>
          <w:szCs w:val="16"/>
          <w:u w:val="single" w:color="auto"/>
          <w:color w:val="0000FF"/>
          <w:strike w:val="1"/>
        </w:rPr>
        <w:t>Recipient being organized under the laws of, or having</w:t>
      </w:r>
      <w:r>
        <w:rPr>
          <w:rFonts w:ascii="Arial" w:cs="Arial" w:eastAsia="Arial" w:hAnsi="Arial"/>
          <w:sz w:val="16"/>
          <w:szCs w:val="16"/>
          <w:color w:val="0000FF"/>
          <w:strike w:val="1"/>
        </w:rPr>
        <w:t xml:space="preserve"> </w:t>
      </w:r>
      <w:r>
        <w:rPr>
          <w:rFonts w:ascii="Arial" w:cs="Arial" w:eastAsia="Arial" w:hAnsi="Arial"/>
          <w:sz w:val="16"/>
          <w:szCs w:val="16"/>
          <w:color w:val="000000"/>
          <w:strike w:val="1"/>
        </w:rPr>
        <w:t>its principal office</w:t>
      </w:r>
      <w:r>
        <w:rPr>
          <w:rFonts w:ascii="Arial" w:cs="Arial" w:eastAsia="Arial" w:hAnsi="Arial"/>
          <w:sz w:val="16"/>
          <w:szCs w:val="16"/>
          <w:color w:val="0000FF"/>
          <w:strike w:val="1"/>
        </w:rPr>
        <w:t xml:space="preserve"> </w:t>
      </w:r>
      <w:r>
        <w:rPr>
          <w:rFonts w:ascii="Arial" w:cs="Arial" w:eastAsia="Arial" w:hAnsi="Arial"/>
          <w:sz w:val="16"/>
          <w:szCs w:val="16"/>
          <w:color w:val="FF0000"/>
          <w:strike w:val="1"/>
        </w:rPr>
        <w:t>is located</w:t>
      </w:r>
      <w:r>
        <w:rPr>
          <w:rFonts w:ascii="Arial" w:cs="Arial" w:eastAsia="Arial" w:hAnsi="Arial"/>
          <w:sz w:val="16"/>
          <w:szCs w:val="16"/>
          <w:color w:val="0000FF"/>
          <w:strike w:val="1"/>
        </w:rPr>
        <w:t xml:space="preserve"> </w:t>
      </w:r>
      <w:r>
        <w:rPr>
          <w:rFonts w:ascii="Arial" w:cs="Arial" w:eastAsia="Arial" w:hAnsi="Arial"/>
          <w:sz w:val="16"/>
          <w:szCs w:val="16"/>
          <w:color w:val="000000"/>
          <w:strike w:val="1"/>
        </w:rPr>
        <w:t>or, in the case of any Lender,</w:t>
      </w:r>
      <w:r>
        <w:rPr>
          <w:rFonts w:ascii="Arial" w:cs="Arial" w:eastAsia="Arial" w:hAnsi="Arial"/>
          <w:sz w:val="16"/>
          <w:szCs w:val="16"/>
          <w:color w:val="0000FF"/>
          <w:strike w:val="1"/>
        </w:rPr>
        <w:t xml:space="preserve"> </w:t>
      </w:r>
      <w:r>
        <w:rPr>
          <w:rFonts w:ascii="Arial" w:cs="Arial" w:eastAsia="Arial" w:hAnsi="Arial"/>
          <w:sz w:val="16"/>
          <w:szCs w:val="16"/>
          <w:color w:val="FF0000"/>
          <w:strike w:val="1"/>
        </w:rPr>
        <w:t>in which</w:t>
      </w:r>
      <w:r>
        <w:rPr>
          <w:rFonts w:ascii="Arial" w:cs="Arial" w:eastAsia="Arial" w:hAnsi="Arial"/>
          <w:sz w:val="16"/>
          <w:szCs w:val="16"/>
          <w:color w:val="0000FF"/>
          <w:strike w:val="1"/>
        </w:rPr>
        <w:t xml:space="preserve"> </w:t>
      </w:r>
      <w:r>
        <w:rPr>
          <w:rFonts w:ascii="Arial" w:cs="Arial" w:eastAsia="Arial" w:hAnsi="Arial"/>
          <w:sz w:val="16"/>
          <w:szCs w:val="16"/>
          <w:color w:val="000000"/>
          <w:strike w:val="1"/>
        </w:rPr>
        <w:t>its</w:t>
      </w:r>
      <w:r>
        <w:rPr>
          <w:rFonts w:ascii="Arial" w:cs="Arial" w:eastAsia="Arial" w:hAnsi="Arial"/>
          <w:sz w:val="16"/>
          <w:szCs w:val="16"/>
          <w:color w:val="0000FF"/>
          <w:strike w:val="1"/>
        </w:rPr>
        <w:t xml:space="preserve"> </w:t>
      </w:r>
      <w:r>
        <w:rPr>
          <w:rFonts w:ascii="Arial" w:cs="Arial" w:eastAsia="Arial" w:hAnsi="Arial"/>
          <w:sz w:val="16"/>
          <w:szCs w:val="16"/>
          <w:color w:val="FF0000"/>
          <w:strike w:val="1"/>
        </w:rPr>
        <w:t>applicable</w:t>
      </w:r>
      <w:r>
        <w:rPr>
          <w:rFonts w:ascii="Arial" w:cs="Arial" w:eastAsia="Arial" w:hAnsi="Arial"/>
          <w:sz w:val="16"/>
          <w:szCs w:val="16"/>
          <w:color w:val="0000FF"/>
          <w:strike w:val="1"/>
        </w:rPr>
        <w:t xml:space="preserve"> </w:t>
      </w:r>
      <w:r>
        <w:rPr>
          <w:rFonts w:ascii="Arial" w:cs="Arial" w:eastAsia="Arial" w:hAnsi="Arial"/>
          <w:sz w:val="16"/>
          <w:szCs w:val="16"/>
          <w:color w:val="000000"/>
          <w:strike w:val="1"/>
        </w:rPr>
        <w:t xml:space="preserve">Lending Office </w:t>
      </w:r>
      <w:r>
        <w:rPr>
          <w:rFonts w:ascii="Arial" w:cs="Arial" w:eastAsia="Arial" w:hAnsi="Arial"/>
          <w:sz w:val="16"/>
          <w:szCs w:val="16"/>
          <w:color w:val="FF0000"/>
          <w:strike w:val="1"/>
        </w:rPr>
        <w:t>is located or with which the recipient has</w:t>
      </w:r>
      <w:r>
        <w:rPr>
          <w:rFonts w:ascii="Arial" w:cs="Arial" w:eastAsia="Arial" w:hAnsi="Arial"/>
          <w:sz w:val="16"/>
          <w:szCs w:val="16"/>
          <w:color w:val="000000"/>
          <w:strike w:val="1"/>
        </w:rPr>
        <w:t xml:space="preserve"> </w:t>
      </w:r>
      <w:r>
        <w:rPr>
          <w:rFonts w:ascii="Arial" w:cs="Arial" w:eastAsia="Arial" w:hAnsi="Arial"/>
          <w:sz w:val="16"/>
          <w:szCs w:val="16"/>
          <w:color w:val="00C000"/>
          <w:strike w:val="1"/>
        </w:rPr>
        <w:t>a present or former connection</w:t>
      </w:r>
      <w:r>
        <w:rPr>
          <w:rFonts w:ascii="Arial" w:cs="Arial" w:eastAsia="Arial" w:hAnsi="Arial"/>
          <w:sz w:val="16"/>
          <w:szCs w:val="16"/>
          <w:color w:val="000000"/>
          <w:strike w:val="1"/>
        </w:rPr>
        <w:t xml:space="preserve"> </w:t>
      </w:r>
      <w:r>
        <w:rPr>
          <w:rFonts w:ascii="Arial" w:cs="Arial" w:eastAsia="Arial" w:hAnsi="Arial"/>
          <w:sz w:val="16"/>
          <w:szCs w:val="16"/>
          <w:color w:val="FF0000"/>
          <w:strike w:val="1"/>
        </w:rPr>
        <w:t>(other than a connection resulting from the execution,</w:t>
      </w:r>
      <w:r>
        <w:rPr>
          <w:rFonts w:ascii="Arial" w:cs="Arial" w:eastAsia="Arial" w:hAnsi="Arial"/>
          <w:sz w:val="16"/>
          <w:szCs w:val="16"/>
          <w:color w:val="000000"/>
          <w:strike w:val="1"/>
        </w:rPr>
        <w:t xml:space="preserve"> </w:t>
      </w:r>
      <w:r>
        <w:rPr>
          <w:rFonts w:ascii="Arial" w:cs="Arial" w:eastAsia="Arial" w:hAnsi="Arial"/>
          <w:sz w:val="16"/>
          <w:szCs w:val="16"/>
          <w:color w:val="FF0000"/>
          <w:strike w:val="1"/>
        </w:rPr>
        <w:t>delivery, performance, filing, recording and enforcement of, and other activities related to, this Agreement), (b) any branch profits taxes imposed by the United States or any similar tax imposed by any other jurisdiction in which the Borrower is located, (c) any backup withholding tax that is required by the Internal Revenue Code to be withheld from</w:t>
      </w:r>
      <w:r>
        <w:rPr>
          <w:rFonts w:ascii="Arial" w:cs="Arial" w:eastAsia="Arial" w:hAnsi="Arial"/>
          <w:sz w:val="16"/>
          <w:szCs w:val="16"/>
          <w:u w:val="single" w:color="auto"/>
          <w:color w:val="0000FF"/>
          <w:strike w:val="1"/>
        </w:rPr>
        <w:t>located in, the jurisdiction imposing such Tax</w:t>
      </w:r>
      <w:r>
        <w:rPr>
          <w:rFonts w:ascii="Arial" w:cs="Arial" w:eastAsia="Arial" w:hAnsi="Arial"/>
          <w:sz w:val="16"/>
          <w:szCs w:val="16"/>
          <w:color w:val="FF0000"/>
          <w:strike w:val="1"/>
        </w:rPr>
        <w:t xml:space="preserve"> </w:t>
      </w:r>
      <w:r>
        <w:rPr>
          <w:rFonts w:ascii="Arial" w:cs="Arial" w:eastAsia="Arial" w:hAnsi="Arial"/>
          <w:sz w:val="16"/>
          <w:szCs w:val="16"/>
          <w:color w:val="00C000"/>
          <w:strike w:val="1"/>
        </w:rPr>
        <w:t>(or any political subdivision</w:t>
      </w:r>
      <w:r>
        <w:rPr>
          <w:rFonts w:ascii="Arial" w:cs="Arial" w:eastAsia="Arial" w:hAnsi="Arial"/>
          <w:sz w:val="16"/>
          <w:szCs w:val="16"/>
          <w:color w:val="FF0000"/>
          <w:strike w:val="1"/>
        </w:rPr>
        <w:t xml:space="preserve"> </w:t>
      </w:r>
      <w:r>
        <w:rPr>
          <w:rFonts w:ascii="Arial" w:cs="Arial" w:eastAsia="Arial" w:hAnsi="Arial"/>
          <w:sz w:val="16"/>
          <w:szCs w:val="16"/>
          <w:u w:val="single" w:color="auto"/>
          <w:color w:val="00C000"/>
          <w:strike w:val="1"/>
        </w:rPr>
        <w:t>thereof)</w:t>
      </w:r>
      <w:r>
        <w:rPr>
          <w:rFonts w:ascii="Arial" w:cs="Arial" w:eastAsia="Arial" w:hAnsi="Arial"/>
          <w:sz w:val="16"/>
          <w:szCs w:val="16"/>
          <w:color w:val="00C000"/>
          <w:strike w:val="1"/>
        </w:rPr>
        <w:t xml:space="preserve"> </w:t>
      </w:r>
      <w:r>
        <w:rPr>
          <w:rFonts w:ascii="Arial" w:cs="Arial" w:eastAsia="Arial" w:hAnsi="Arial"/>
          <w:sz w:val="16"/>
          <w:szCs w:val="16"/>
          <w:u w:val="single" w:color="auto"/>
          <w:color w:val="0000FF"/>
          <w:strike w:val="1"/>
        </w:rPr>
        <w:t>or (ii) that are Other Connection Taxes, (b) in the case of a Lender, U.S. federal withholding Taxes imposed on</w:t>
      </w:r>
      <w:r>
        <w:rPr>
          <w:rFonts w:ascii="Arial" w:cs="Arial" w:eastAsia="Arial" w:hAnsi="Arial"/>
          <w:sz w:val="16"/>
          <w:szCs w:val="16"/>
          <w:color w:val="00C000"/>
          <w:strike w:val="1"/>
        </w:rPr>
        <w:t xml:space="preserve"> </w:t>
      </w:r>
      <w:r>
        <w:rPr>
          <w:rFonts w:ascii="Arial" w:cs="Arial" w:eastAsia="Arial" w:hAnsi="Arial"/>
          <w:sz w:val="16"/>
          <w:szCs w:val="16"/>
          <w:color w:val="000000"/>
          <w:strike w:val="1"/>
        </w:rPr>
        <w:t>amounts payable to</w:t>
      </w:r>
      <w:r>
        <w:rPr>
          <w:rFonts w:ascii="Arial" w:cs="Arial" w:eastAsia="Arial" w:hAnsi="Arial"/>
          <w:sz w:val="16"/>
          <w:szCs w:val="16"/>
          <w:color w:val="00C000"/>
          <w:strike w:val="1"/>
        </w:rPr>
        <w:t xml:space="preserve"> </w:t>
      </w:r>
      <w:r>
        <w:rPr>
          <w:rFonts w:ascii="Arial" w:cs="Arial" w:eastAsia="Arial" w:hAnsi="Arial"/>
          <w:sz w:val="16"/>
          <w:szCs w:val="16"/>
          <w:color w:val="FF0000"/>
          <w:strike w:val="1"/>
        </w:rPr>
        <w:t>a</w:t>
      </w:r>
      <w:r>
        <w:rPr>
          <w:rFonts w:ascii="Arial" w:cs="Arial" w:eastAsia="Arial" w:hAnsi="Arial"/>
          <w:sz w:val="16"/>
          <w:szCs w:val="16"/>
          <w:u w:val="single" w:color="auto"/>
          <w:color w:val="0000FF"/>
          <w:strike w:val="1"/>
        </w:rPr>
        <w:t>or</w:t>
      </w:r>
      <w:r>
        <w:rPr>
          <w:rFonts w:ascii="Arial" w:cs="Arial" w:eastAsia="Arial" w:hAnsi="Arial"/>
          <w:sz w:val="16"/>
          <w:szCs w:val="16"/>
          <w:color w:val="00C000"/>
          <w:strike w:val="1"/>
        </w:rPr>
        <w:t xml:space="preserve"> </w:t>
      </w:r>
      <w:r>
        <w:rPr>
          <w:rFonts w:ascii="Arial" w:cs="Arial" w:eastAsia="Arial" w:hAnsi="Arial"/>
          <w:sz w:val="16"/>
          <w:szCs w:val="16"/>
          <w:u w:val="single" w:color="auto"/>
          <w:color w:val="0000FF"/>
          <w:strike w:val="1"/>
        </w:rPr>
        <w:t>for the account of such</w:t>
      </w:r>
      <w:r>
        <w:rPr>
          <w:rFonts w:ascii="Arial" w:cs="Arial" w:eastAsia="Arial" w:hAnsi="Arial"/>
          <w:sz w:val="16"/>
          <w:szCs w:val="16"/>
          <w:color w:val="0000FF"/>
          <w:strike w:val="1"/>
        </w:rPr>
        <w:t xml:space="preserve"> </w:t>
      </w:r>
      <w:r>
        <w:rPr>
          <w:rFonts w:ascii="Arial" w:cs="Arial" w:eastAsia="Arial" w:hAnsi="Arial"/>
          <w:sz w:val="16"/>
          <w:szCs w:val="16"/>
          <w:color w:val="000000"/>
          <w:strike w:val="1"/>
        </w:rPr>
        <w:t>Lender</w:t>
      </w:r>
      <w:r>
        <w:rPr>
          <w:rFonts w:ascii="Arial" w:cs="Arial" w:eastAsia="Arial" w:hAnsi="Arial"/>
          <w:sz w:val="16"/>
          <w:szCs w:val="16"/>
          <w:color w:val="0000FF"/>
          <w:strike w:val="1"/>
        </w:rPr>
        <w:t xml:space="preserve"> </w:t>
      </w:r>
      <w:r>
        <w:rPr>
          <w:rFonts w:ascii="Arial" w:cs="Arial" w:eastAsia="Arial" w:hAnsi="Arial"/>
          <w:sz w:val="16"/>
          <w:szCs w:val="16"/>
          <w:color w:val="FF0000"/>
          <w:strike w:val="1"/>
        </w:rPr>
        <w:t>that has failed to comply with</w:t>
      </w:r>
      <w:r>
        <w:rPr>
          <w:rFonts w:ascii="Arial" w:cs="Arial" w:eastAsia="Arial" w:hAnsi="Arial"/>
          <w:sz w:val="16"/>
          <w:szCs w:val="16"/>
          <w:color w:val="0000FF"/>
          <w:strike w:val="1"/>
        </w:rPr>
        <w:t xml:space="preserve"> </w:t>
      </w:r>
      <w:r>
        <w:rPr>
          <w:rFonts w:ascii="Arial" w:cs="Arial" w:eastAsia="Arial" w:hAnsi="Arial"/>
          <w:sz w:val="16"/>
          <w:szCs w:val="16"/>
          <w:u w:val="single" w:color="auto"/>
          <w:color w:val="FF0000"/>
          <w:strike w:val="1"/>
        </w:rPr>
        <w:t>clause (A)</w:t>
      </w:r>
      <w:r>
        <w:rPr>
          <w:rFonts w:ascii="Arial" w:cs="Arial" w:eastAsia="Arial" w:hAnsi="Arial"/>
          <w:sz w:val="16"/>
          <w:szCs w:val="16"/>
          <w:color w:val="0000FF"/>
          <w:strike w:val="1"/>
        </w:rPr>
        <w:t xml:space="preserve"> </w:t>
      </w:r>
      <w:r>
        <w:rPr>
          <w:rFonts w:ascii="Arial" w:cs="Arial" w:eastAsia="Arial" w:hAnsi="Arial"/>
          <w:sz w:val="16"/>
          <w:szCs w:val="16"/>
          <w:color w:val="FF0000"/>
          <w:strike w:val="1"/>
        </w:rPr>
        <w:t>of</w:t>
      </w:r>
      <w:r>
        <w:rPr>
          <w:rFonts w:ascii="Arial" w:cs="Arial" w:eastAsia="Arial" w:hAnsi="Arial"/>
          <w:sz w:val="16"/>
          <w:szCs w:val="16"/>
          <w:color w:val="0000FF"/>
          <w:strike w:val="1"/>
        </w:rPr>
        <w:t xml:space="preserve"> </w:t>
      </w:r>
      <w:r>
        <w:rPr>
          <w:rFonts w:ascii="Arial" w:cs="Arial" w:eastAsia="Arial" w:hAnsi="Arial"/>
          <w:sz w:val="16"/>
          <w:szCs w:val="16"/>
          <w:u w:val="single" w:color="auto"/>
          <w:color w:val="FF0000"/>
          <w:strike w:val="1"/>
        </w:rPr>
        <w:t>Section 3.01(e)(ii)</w:t>
      </w:r>
      <w:r>
        <w:rPr>
          <w:rFonts w:ascii="Arial" w:cs="Arial" w:eastAsia="Arial" w:hAnsi="Arial"/>
          <w:sz w:val="16"/>
          <w:szCs w:val="16"/>
          <w:color w:val="FF0000"/>
          <w:strike w:val="1"/>
        </w:rPr>
        <w:t>, and (d) in the case of a Foreign Lender (other</w:t>
      </w:r>
      <w:r>
        <w:rPr>
          <w:rFonts w:ascii="Arial" w:cs="Arial" w:eastAsia="Arial" w:hAnsi="Arial"/>
          <w:sz w:val="16"/>
          <w:szCs w:val="16"/>
          <w:color w:val="0000FF"/>
          <w:strike w:val="1"/>
        </w:rPr>
        <w:t xml:space="preserve"> </w:t>
      </w:r>
      <w:r>
        <w:rPr>
          <w:rFonts w:ascii="Arial" w:cs="Arial" w:eastAsia="Arial" w:hAnsi="Arial"/>
          <w:sz w:val="16"/>
          <w:szCs w:val="16"/>
          <w:color w:val="FF0000"/>
          <w:strike w:val="1"/>
        </w:rPr>
        <w:t>than an assignee</w:t>
      </w:r>
      <w:r>
        <w:rPr>
          <w:rFonts w:ascii="Arial" w:cs="Arial" w:eastAsia="Arial" w:hAnsi="Arial"/>
          <w:sz w:val="16"/>
          <w:szCs w:val="16"/>
          <w:u w:val="single" w:color="auto"/>
          <w:color w:val="0000FF"/>
          <w:strike w:val="1"/>
        </w:rPr>
        <w:t>with respect to an applicable interest in a Loan or Commitment pursuant to a law in effect on the date on which (i) such Lender</w:t>
      </w:r>
      <w:r>
        <w:rPr>
          <w:rFonts w:ascii="Arial" w:cs="Arial" w:eastAsia="Arial" w:hAnsi="Arial"/>
          <w:sz w:val="16"/>
          <w:szCs w:val="16"/>
          <w:color w:val="FF0000"/>
          <w:strike w:val="1"/>
        </w:rPr>
        <w:t xml:space="preserve"> </w:t>
      </w:r>
      <w:r>
        <w:rPr>
          <w:rFonts w:ascii="Arial" w:cs="Arial" w:eastAsia="Arial" w:hAnsi="Arial"/>
          <w:sz w:val="16"/>
          <w:szCs w:val="16"/>
          <w:u w:val="single" w:color="auto"/>
          <w:color w:val="0000FF"/>
          <w:strike w:val="1"/>
        </w:rPr>
        <w:t>acquires such interest in the Loan or Commitment (other than</w:t>
      </w:r>
      <w:r>
        <w:rPr>
          <w:rFonts w:ascii="Arial" w:cs="Arial" w:eastAsia="Arial" w:hAnsi="Arial"/>
          <w:sz w:val="16"/>
          <w:szCs w:val="16"/>
          <w:color w:val="0000FF"/>
          <w:strike w:val="1"/>
        </w:rPr>
        <w:t xml:space="preserve"> </w:t>
      </w:r>
      <w:r>
        <w:rPr>
          <w:rFonts w:ascii="Arial" w:cs="Arial" w:eastAsia="Arial" w:hAnsi="Arial"/>
          <w:sz w:val="16"/>
          <w:szCs w:val="16"/>
          <w:color w:val="000000"/>
          <w:strike w:val="1"/>
        </w:rPr>
        <w:t>pursuant to</w:t>
      </w:r>
      <w:r>
        <w:rPr>
          <w:rFonts w:ascii="Arial" w:cs="Arial" w:eastAsia="Arial" w:hAnsi="Arial"/>
          <w:sz w:val="16"/>
          <w:szCs w:val="16"/>
          <w:color w:val="0000FF"/>
          <w:strike w:val="1"/>
        </w:rPr>
        <w:t xml:space="preserve"> </w:t>
      </w:r>
      <w:r>
        <w:rPr>
          <w:rFonts w:ascii="Arial" w:cs="Arial" w:eastAsia="Arial" w:hAnsi="Arial"/>
          <w:sz w:val="16"/>
          <w:szCs w:val="16"/>
          <w:color w:val="FF0000"/>
          <w:strike w:val="1"/>
        </w:rPr>
        <w:t>a</w:t>
      </w:r>
      <w:r>
        <w:rPr>
          <w:rFonts w:ascii="Arial" w:cs="Arial" w:eastAsia="Arial" w:hAnsi="Arial"/>
          <w:sz w:val="16"/>
          <w:szCs w:val="16"/>
          <w:u w:val="single" w:color="auto"/>
          <w:color w:val="0000FF"/>
          <w:strike w:val="1"/>
        </w:rPr>
        <w:t>an assignment</w:t>
      </w:r>
      <w:r>
        <w:rPr>
          <w:rFonts w:ascii="Arial" w:cs="Arial" w:eastAsia="Arial" w:hAnsi="Arial"/>
          <w:sz w:val="16"/>
          <w:szCs w:val="16"/>
          <w:color w:val="0000FF"/>
          <w:strike w:val="1"/>
        </w:rPr>
        <w:t xml:space="preserve"> </w:t>
      </w:r>
      <w:r>
        <w:rPr>
          <w:rFonts w:ascii="Arial" w:cs="Arial" w:eastAsia="Arial" w:hAnsi="Arial"/>
          <w:sz w:val="16"/>
          <w:szCs w:val="16"/>
          <w:color w:val="000000"/>
          <w:strike w:val="1"/>
        </w:rPr>
        <w:t>request by the</w:t>
      </w:r>
      <w:r>
        <w:rPr>
          <w:rFonts w:ascii="Arial" w:cs="Arial" w:eastAsia="Arial" w:hAnsi="Arial"/>
          <w:sz w:val="16"/>
          <w:szCs w:val="16"/>
          <w:color w:val="0000FF"/>
          <w:strike w:val="1"/>
        </w:rPr>
        <w:t xml:space="preserve"> </w:t>
      </w:r>
      <w:r>
        <w:rPr>
          <w:rFonts w:ascii="Arial" w:cs="Arial" w:eastAsia="Arial" w:hAnsi="Arial"/>
          <w:sz w:val="16"/>
          <w:szCs w:val="16"/>
          <w:color w:val="FF0000"/>
          <w:strike w:val="1"/>
        </w:rPr>
        <w:t>Borrowers under</w:t>
      </w:r>
      <w:r>
        <w:rPr>
          <w:rFonts w:ascii="Arial" w:cs="Arial" w:eastAsia="Arial" w:hAnsi="Arial"/>
          <w:sz w:val="16"/>
          <w:szCs w:val="16"/>
          <w:color w:val="0000FF"/>
          <w:strike w:val="1"/>
        </w:rPr>
        <w:t xml:space="preserve"> </w:t>
      </w:r>
      <w:r>
        <w:rPr>
          <w:rFonts w:ascii="Arial" w:cs="Arial" w:eastAsia="Arial" w:hAnsi="Arial"/>
          <w:sz w:val="16"/>
          <w:szCs w:val="16"/>
          <w:u w:val="single" w:color="auto"/>
          <w:color w:val="FF0000"/>
          <w:strike w:val="1"/>
        </w:rPr>
        <w:t>Section 11.13</w:t>
      </w:r>
      <w:r>
        <w:rPr>
          <w:rFonts w:ascii="Arial" w:cs="Arial" w:eastAsia="Arial" w:hAnsi="Arial"/>
          <w:sz w:val="16"/>
          <w:szCs w:val="16"/>
          <w:color w:val="FF0000"/>
          <w:strike w:val="1"/>
        </w:rPr>
        <w:t>), any</w:t>
      </w:r>
      <w:r>
        <w:rPr>
          <w:rFonts w:ascii="Arial" w:cs="Arial" w:eastAsia="Arial" w:hAnsi="Arial"/>
          <w:sz w:val="16"/>
          <w:szCs w:val="16"/>
          <w:color w:val="0000FF"/>
          <w:strike w:val="1"/>
        </w:rPr>
        <w:t xml:space="preserve"> </w:t>
      </w:r>
      <w:r>
        <w:rPr>
          <w:rFonts w:ascii="Arial" w:cs="Arial" w:eastAsia="Arial" w:hAnsi="Arial"/>
          <w:sz w:val="16"/>
          <w:szCs w:val="16"/>
          <w:color w:val="FF0000"/>
          <w:strike w:val="1"/>
        </w:rPr>
        <w:t>United States withholding tax that (i) is required to be imposed on amounts payable to such Foreign Lender pursuant to the Laws in force at the time such Foreign Lender becomes a party hereto (or designates a new</w:t>
      </w:r>
      <w:r>
        <w:rPr>
          <w:rFonts w:ascii="Arial" w:cs="Arial" w:eastAsia="Arial" w:hAnsi="Arial"/>
          <w:sz w:val="16"/>
          <w:szCs w:val="16"/>
          <w:u w:val="single" w:color="auto"/>
          <w:color w:val="0000FF"/>
          <w:strike w:val="1"/>
        </w:rPr>
        <w:t>Borrower under Section 11.13) or (ii) such Lender changes its Lending</w:t>
      </w:r>
      <w:r>
        <w:rPr>
          <w:rFonts w:ascii="Arial" w:cs="Arial" w:eastAsia="Arial" w:hAnsi="Arial"/>
          <w:sz w:val="16"/>
          <w:szCs w:val="16"/>
          <w:color w:val="FF0000"/>
          <w:strike w:val="1"/>
        </w:rPr>
        <w:t xml:space="preserve"> </w:t>
      </w:r>
      <w:r>
        <w:rPr>
          <w:rFonts w:ascii="Arial" w:cs="Arial" w:eastAsia="Arial" w:hAnsi="Arial"/>
          <w:sz w:val="16"/>
          <w:szCs w:val="16"/>
          <w:u w:val="single" w:color="auto"/>
          <w:color w:val="0000FF"/>
          <w:strike w:val="1"/>
        </w:rPr>
        <w:t xml:space="preserve">Office, except in each case to the extent that, pursuant to Section 3.01(a)(ii), (a)(iii) or (c), amounts with respect to such Taxes were payable either to such Lender’s assignor immediately before such Lender became a party hereto or to such Lender immediately before it changed its </w:t>
      </w:r>
      <w:r>
        <w:rPr>
          <w:rFonts w:ascii="Arial" w:cs="Arial" w:eastAsia="Arial" w:hAnsi="Arial"/>
          <w:sz w:val="16"/>
          <w:szCs w:val="16"/>
          <w:color w:val="000000"/>
          <w:strike w:val="1"/>
        </w:rPr>
        <w:t>Lending Office</w:t>
      </w:r>
      <w:r>
        <w:rPr>
          <w:rFonts w:ascii="Arial" w:cs="Arial" w:eastAsia="Arial" w:hAnsi="Arial"/>
          <w:sz w:val="16"/>
          <w:szCs w:val="16"/>
          <w:color w:val="FF0000"/>
          <w:strike w:val="1"/>
        </w:rPr>
        <w:t>) or</w:t>
      </w:r>
      <w:r>
        <w:rPr>
          <w:rFonts w:ascii="Arial" w:cs="Arial" w:eastAsia="Arial" w:hAnsi="Arial"/>
          <w:sz w:val="16"/>
          <w:szCs w:val="16"/>
          <w:u w:val="single" w:color="auto"/>
          <w:color w:val="0000FF"/>
          <w:strike w:val="1"/>
        </w:rPr>
        <w:t>,</w:t>
      </w:r>
      <w:r>
        <w:rPr>
          <w:rFonts w:ascii="Arial" w:cs="Arial" w:eastAsia="Arial" w:hAnsi="Arial"/>
          <w:sz w:val="16"/>
          <w:szCs w:val="16"/>
          <w:color w:val="000000"/>
          <w:strike w:val="1"/>
        </w:rPr>
        <w:t xml:space="preserve"> (</w:t>
      </w:r>
      <w:r>
        <w:rPr>
          <w:rFonts w:ascii="Arial" w:cs="Arial" w:eastAsia="Arial" w:hAnsi="Arial"/>
          <w:sz w:val="16"/>
          <w:szCs w:val="16"/>
          <w:color w:val="FF0000"/>
          <w:strike w:val="1"/>
        </w:rPr>
        <w:t>ii</w:t>
      </w:r>
      <w:r>
        <w:rPr>
          <w:rFonts w:ascii="Arial" w:cs="Arial" w:eastAsia="Arial" w:hAnsi="Arial"/>
          <w:sz w:val="16"/>
          <w:szCs w:val="16"/>
          <w:u w:val="single" w:color="auto"/>
          <w:color w:val="0000FF"/>
          <w:strike w:val="1"/>
        </w:rPr>
        <w:t>c</w:t>
      </w:r>
      <w:r>
        <w:rPr>
          <w:rFonts w:ascii="Arial" w:cs="Arial" w:eastAsia="Arial" w:hAnsi="Arial"/>
          <w:sz w:val="16"/>
          <w:szCs w:val="16"/>
          <w:color w:val="000000"/>
          <w:strike w:val="1"/>
        </w:rPr>
        <w:t xml:space="preserve">) </w:t>
      </w:r>
      <w:r>
        <w:rPr>
          <w:rFonts w:ascii="Arial" w:cs="Arial" w:eastAsia="Arial" w:hAnsi="Arial"/>
          <w:sz w:val="16"/>
          <w:szCs w:val="16"/>
          <w:color w:val="FF0000"/>
          <w:strike w:val="1"/>
        </w:rPr>
        <w:t>is</w:t>
      </w:r>
      <w:r>
        <w:rPr>
          <w:rFonts w:ascii="Arial" w:cs="Arial" w:eastAsia="Arial" w:hAnsi="Arial"/>
          <w:sz w:val="16"/>
          <w:szCs w:val="16"/>
          <w:u w:val="single" w:color="auto"/>
          <w:color w:val="0000FF"/>
          <w:strike w:val="1"/>
        </w:rPr>
        <w:t>Taxes</w:t>
      </w:r>
      <w:r>
        <w:rPr>
          <w:rFonts w:ascii="Arial" w:cs="Arial" w:eastAsia="Arial" w:hAnsi="Arial"/>
          <w:sz w:val="16"/>
          <w:szCs w:val="16"/>
          <w:color w:val="000000"/>
          <w:strike w:val="1"/>
        </w:rPr>
        <w:t xml:space="preserve"> attributable to such </w:t>
      </w:r>
      <w:r>
        <w:rPr>
          <w:rFonts w:ascii="Arial" w:cs="Arial" w:eastAsia="Arial" w:hAnsi="Arial"/>
          <w:sz w:val="16"/>
          <w:szCs w:val="16"/>
          <w:color w:val="FF0000"/>
          <w:strike w:val="1"/>
        </w:rPr>
        <w:t>Foreign Lender</w:t>
      </w:r>
      <w:r>
        <w:rPr>
          <w:rFonts w:ascii="Arial" w:cs="Arial" w:eastAsia="Arial" w:hAnsi="Arial"/>
          <w:sz w:val="16"/>
          <w:szCs w:val="16"/>
          <w:u w:val="single" w:color="auto"/>
          <w:color w:val="0000FF"/>
          <w:strike w:val="1"/>
        </w:rPr>
        <w:t>Recipient</w:t>
      </w:r>
      <w:r>
        <w:rPr>
          <w:rFonts w:ascii="Arial" w:cs="Arial" w:eastAsia="Arial" w:hAnsi="Arial"/>
          <w:sz w:val="16"/>
          <w:szCs w:val="16"/>
          <w:color w:val="000000"/>
          <w:strike w:val="1"/>
        </w:rPr>
        <w:t xml:space="preserve">’s failure </w:t>
      </w:r>
      <w:r>
        <w:rPr>
          <w:rFonts w:ascii="Arial" w:cs="Arial" w:eastAsia="Arial" w:hAnsi="Arial"/>
          <w:sz w:val="16"/>
          <w:szCs w:val="16"/>
          <w:color w:val="FF0000"/>
          <w:strike w:val="1"/>
        </w:rPr>
        <w:t>or inability (other than as a result of a Change in Law)</w:t>
      </w:r>
      <w:r>
        <w:rPr>
          <w:rFonts w:ascii="Arial" w:cs="Arial" w:eastAsia="Arial" w:hAnsi="Arial"/>
          <w:sz w:val="16"/>
          <w:szCs w:val="16"/>
          <w:color w:val="000000"/>
          <w:strike w:val="1"/>
        </w:rPr>
        <w:t xml:space="preserve"> to comply with </w:t>
      </w:r>
      <w:r>
        <w:rPr>
          <w:rFonts w:ascii="Arial" w:cs="Arial" w:eastAsia="Arial" w:hAnsi="Arial"/>
          <w:sz w:val="16"/>
          <w:szCs w:val="16"/>
          <w:u w:val="single" w:color="auto"/>
          <w:color w:val="FF0000"/>
          <w:strike w:val="1"/>
        </w:rPr>
        <w:t>clause (B)</w:t>
      </w:r>
      <w:r>
        <w:rPr>
          <w:rFonts w:ascii="Arial" w:cs="Arial" w:eastAsia="Arial" w:hAnsi="Arial"/>
          <w:sz w:val="16"/>
          <w:szCs w:val="16"/>
          <w:color w:val="000000"/>
          <w:strike w:val="1"/>
        </w:rPr>
        <w:t xml:space="preserve"> </w:t>
      </w:r>
      <w:r>
        <w:rPr>
          <w:rFonts w:ascii="Arial" w:cs="Arial" w:eastAsia="Arial" w:hAnsi="Arial"/>
          <w:sz w:val="16"/>
          <w:szCs w:val="16"/>
          <w:color w:val="FF0000"/>
          <w:strike w:val="1"/>
        </w:rPr>
        <w:t>of</w:t>
      </w:r>
      <w:r>
        <w:rPr>
          <w:rFonts w:ascii="Arial" w:cs="Arial" w:eastAsia="Arial" w:hAnsi="Arial"/>
          <w:sz w:val="16"/>
          <w:szCs w:val="16"/>
          <w:color w:val="000000"/>
          <w:strike w:val="1"/>
        </w:rPr>
        <w:t xml:space="preserve"> </w:t>
      </w:r>
      <w:r>
        <w:rPr>
          <w:rFonts w:ascii="Arial" w:cs="Arial" w:eastAsia="Arial" w:hAnsi="Arial"/>
          <w:sz w:val="16"/>
          <w:szCs w:val="16"/>
          <w:u w:val="single" w:color="auto"/>
          <w:color w:val="FF0000"/>
          <w:strike w:val="1"/>
        </w:rPr>
        <w:t>Section 3.01(e)(ii)</w:t>
      </w:r>
      <w:r>
        <w:rPr>
          <w:rFonts w:ascii="Arial" w:cs="Arial" w:eastAsia="Arial" w:hAnsi="Arial"/>
          <w:sz w:val="16"/>
          <w:szCs w:val="16"/>
          <w:color w:val="FF0000"/>
          <w:strike w:val="1"/>
        </w:rPr>
        <w:t>, except to the extent that such Foreign Lender (or its assignor, if any) was entitled, at the time</w:t>
      </w:r>
      <w:r>
        <w:rPr>
          <w:rFonts w:ascii="Arial" w:cs="Arial" w:eastAsia="Arial" w:hAnsi="Arial"/>
          <w:sz w:val="16"/>
          <w:szCs w:val="16"/>
          <w:color w:val="000000"/>
          <w:strike w:val="1"/>
        </w:rPr>
        <w:t xml:space="preserve"> </w:t>
      </w:r>
      <w:r>
        <w:rPr>
          <w:rFonts w:ascii="Arial" w:cs="Arial" w:eastAsia="Arial" w:hAnsi="Arial"/>
          <w:sz w:val="16"/>
          <w:szCs w:val="16"/>
          <w:color w:val="FF0000"/>
          <w:strike w:val="1"/>
        </w:rPr>
        <w:t xml:space="preserve">of designation of a new Lending Office (or assignment), to receive additional amounts from the Borrower with respect to such withholding tax pursuant to </w:t>
      </w:r>
      <w:r>
        <w:rPr>
          <w:rFonts w:ascii="Arial" w:cs="Arial" w:eastAsia="Arial" w:hAnsi="Arial"/>
          <w:sz w:val="16"/>
          <w:szCs w:val="16"/>
          <w:u w:val="single" w:color="auto"/>
          <w:color w:val="FF0000"/>
          <w:strike w:val="1"/>
        </w:rPr>
        <w:t>Sections 3.01(a)(ii</w:t>
      </w:r>
      <w:r>
        <w:rPr>
          <w:rFonts w:ascii="Arial" w:cs="Arial" w:eastAsia="Arial" w:hAnsi="Arial"/>
          <w:sz w:val="16"/>
          <w:szCs w:val="16"/>
          <w:color w:val="FF0000"/>
          <w:strike w:val="1"/>
        </w:rPr>
        <w:t xml:space="preserve">) or </w:t>
      </w:r>
      <w:r>
        <w:rPr>
          <w:rFonts w:ascii="Arial" w:cs="Arial" w:eastAsia="Arial" w:hAnsi="Arial"/>
          <w:sz w:val="16"/>
          <w:szCs w:val="16"/>
          <w:u w:val="single" w:color="auto"/>
          <w:color w:val="FF0000"/>
          <w:strike w:val="1"/>
        </w:rPr>
        <w:t>(c)</w:t>
      </w:r>
      <w:r>
        <w:rPr>
          <w:rFonts w:ascii="Arial" w:cs="Arial" w:eastAsia="Arial" w:hAnsi="Arial"/>
          <w:sz w:val="16"/>
          <w:szCs w:val="16"/>
          <w:color w:val="FF0000"/>
          <w:strike w:val="1"/>
        </w:rPr>
        <w:t>, and (e) any Taxes imposed on any “withholdable payment” payable to such recipient as a result of the failure of such recipient to satisfy the applicable requirements as set forth in FATCA after December 31, 2012 to establish that such payment is exempt from withholding under</w:t>
      </w:r>
      <w:r>
        <w:rPr>
          <w:rFonts w:ascii="Arial" w:cs="Arial" w:eastAsia="Arial" w:hAnsi="Arial"/>
          <w:sz w:val="16"/>
          <w:szCs w:val="16"/>
          <w:u w:val="single" w:color="auto"/>
          <w:color w:val="0000FF"/>
          <w:strike w:val="1"/>
        </w:rPr>
        <w:t>Section 3.01(e), and (d) any U.S. federal withholding Taxes imposed pursuant to</w:t>
      </w:r>
      <w:r>
        <w:rPr>
          <w:rFonts w:ascii="Arial" w:cs="Arial" w:eastAsia="Arial" w:hAnsi="Arial"/>
          <w:sz w:val="16"/>
          <w:szCs w:val="16"/>
          <w:color w:val="FF0000"/>
          <w:strike w:val="1"/>
        </w:rPr>
        <w:t xml:space="preserve"> </w:t>
      </w:r>
      <w:r>
        <w:rPr>
          <w:rFonts w:ascii="Arial" w:cs="Arial" w:eastAsia="Arial" w:hAnsi="Arial"/>
          <w:sz w:val="16"/>
          <w:szCs w:val="16"/>
          <w:color w:val="000000"/>
          <w:strike w:val="1"/>
        </w:rPr>
        <w:t>FATCA.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4860290</wp:posOffset>
            </wp:positionH>
            <wp:positionV relativeFrom="paragraph">
              <wp:posOffset>-3209290</wp:posOffset>
            </wp:positionV>
            <wp:extent cx="1905635"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1905635" cy="8890"/>
                    </a:xfrm>
                    <a:prstGeom prst="rect">
                      <a:avLst/>
                    </a:prstGeom>
                    <a:noFill/>
                  </pic:spPr>
                </pic:pic>
              </a:graphicData>
            </a:graphic>
          </wp:anchor>
        </w:drawing>
        <w:drawing>
          <wp:anchor simplePos="0" relativeHeight="251657728" behindDoc="1" locked="0" layoutInCell="0" allowOverlap="1">
            <wp:simplePos x="0" y="0"/>
            <wp:positionH relativeFrom="column">
              <wp:posOffset>2868295</wp:posOffset>
            </wp:positionH>
            <wp:positionV relativeFrom="paragraph">
              <wp:posOffset>-2694940</wp:posOffset>
            </wp:positionV>
            <wp:extent cx="1605280"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1605280" cy="8890"/>
                    </a:xfrm>
                    <a:prstGeom prst="rect">
                      <a:avLst/>
                    </a:prstGeom>
                    <a:noFill/>
                  </pic:spPr>
                </pic:pic>
              </a:graphicData>
            </a:graphic>
          </wp:anchor>
        </w:drawing>
        <w:drawing>
          <wp:anchor simplePos="0" relativeHeight="251657728" behindDoc="1" locked="0" layoutInCell="0" allowOverlap="1">
            <wp:simplePos x="0" y="0"/>
            <wp:positionH relativeFrom="column">
              <wp:posOffset>5793740</wp:posOffset>
            </wp:positionH>
            <wp:positionV relativeFrom="paragraph">
              <wp:posOffset>-2137410</wp:posOffset>
            </wp:positionV>
            <wp:extent cx="1445260"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144526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30</w:t>
      </w:r>
    </w:p>
    <w:p>
      <w:pPr>
        <w:spacing w:after="0" w:line="10" w:lineRule="exact"/>
        <w:rPr>
          <w:sz w:val="20"/>
          <w:szCs w:val="20"/>
          <w:color w:val="auto"/>
        </w:rPr>
      </w:pPr>
    </w:p>
    <w:p>
      <w:pPr>
        <w:spacing w:after="0"/>
        <w:rPr>
          <w:sz w:val="20"/>
          <w:szCs w:val="20"/>
          <w:color w:val="auto"/>
        </w:rPr>
      </w:pPr>
      <w:r>
        <w:rPr>
          <w:rFonts w:ascii="Arial" w:cs="Arial" w:eastAsia="Arial" w:hAnsi="Arial"/>
          <w:sz w:val="14"/>
          <w:szCs w:val="14"/>
          <w:color w:val="auto"/>
        </w:rPr>
        <w:t>CHAR1\1346423v</w:t>
      </w:r>
      <w:r>
        <w:rPr>
          <w:rFonts w:ascii="Arial" w:cs="Arial" w:eastAsia="Arial" w:hAnsi="Arial"/>
          <w:sz w:val="14"/>
          <w:szCs w:val="14"/>
          <w:color w:val="FF0000"/>
          <w:strike w:val="1"/>
        </w:rPr>
        <w:t>1</w:t>
      </w:r>
      <w:r>
        <w:rPr>
          <w:rFonts w:ascii="Arial" w:cs="Arial" w:eastAsia="Arial" w:hAnsi="Arial"/>
          <w:sz w:val="14"/>
          <w:szCs w:val="14"/>
          <w:u w:val="single" w:color="auto"/>
          <w:color w:val="0000FF"/>
        </w:rPr>
        <w:t>12</w:t>
      </w:r>
    </w:p>
    <w:p>
      <w:pPr>
        <w:sectPr>
          <w:pgSz w:w="11900" w:h="16838" w:orient="portrait"/>
          <w:cols w:equalWidth="0" w:num="1">
            <w:col w:w="11400"/>
          </w:cols>
          <w:pgMar w:left="240" w:top="609" w:right="259" w:bottom="1440" w:gutter="0" w:footer="0" w:header="0"/>
        </w:sectPr>
      </w:pPr>
    </w:p>
    <w:bookmarkStart w:id="82" w:name="page83"/>
    <w:bookmarkEnd w:id="82"/>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Existing Credit Agreement</w:t>
      </w:r>
      <w:r>
        <w:rPr>
          <w:rFonts w:ascii="Arial" w:cs="Arial" w:eastAsia="Arial" w:hAnsi="Arial"/>
          <w:sz w:val="20"/>
          <w:szCs w:val="20"/>
          <w:color w:val="auto"/>
        </w:rPr>
        <w:t>” shall have the meaning provided in the recitals.</w:t>
      </w:r>
    </w:p>
    <w:p>
      <w:pPr>
        <w:spacing w:after="0" w:line="25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Existing Credit Documents</w:t>
      </w:r>
      <w:r>
        <w:rPr>
          <w:rFonts w:ascii="Arial" w:cs="Arial" w:eastAsia="Arial" w:hAnsi="Arial"/>
          <w:sz w:val="20"/>
          <w:szCs w:val="20"/>
          <w:color w:val="auto"/>
        </w:rPr>
        <w:t>” has the meaning provided in Section 1.11(e).</w:t>
      </w:r>
    </w:p>
    <w:p>
      <w:pPr>
        <w:spacing w:after="0" w:line="25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Existing USD Letters of Credit</w:t>
      </w:r>
      <w:r>
        <w:rPr>
          <w:rFonts w:ascii="Arial" w:cs="Arial" w:eastAsia="Arial" w:hAnsi="Arial"/>
          <w:sz w:val="18"/>
          <w:szCs w:val="18"/>
          <w:color w:val="auto"/>
        </w:rPr>
        <w:t xml:space="preserve">” means those letters of credit outstanding on the Closing Date and identified as such on </w:t>
      </w:r>
      <w:r>
        <w:rPr>
          <w:rFonts w:ascii="Arial" w:cs="Arial" w:eastAsia="Arial" w:hAnsi="Arial"/>
          <w:sz w:val="18"/>
          <w:szCs w:val="18"/>
          <w:u w:val="single" w:color="auto"/>
          <w:color w:val="auto"/>
        </w:rPr>
        <w:t>Schedule 2.03</w:t>
      </w:r>
      <w:r>
        <w:rPr>
          <w:rFonts w:ascii="Arial" w:cs="Arial" w:eastAsia="Arial" w:hAnsi="Arial"/>
          <w:sz w:val="18"/>
          <w:szCs w:val="18"/>
          <w:color w:val="auto"/>
        </w:rPr>
        <w:t>.</w:t>
      </w:r>
    </w:p>
    <w:p>
      <w:pPr>
        <w:spacing w:after="0" w:line="27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Existing India Letters of Credit</w:t>
      </w:r>
      <w:r>
        <w:rPr>
          <w:rFonts w:ascii="Arial" w:cs="Arial" w:eastAsia="Arial" w:hAnsi="Arial"/>
          <w:sz w:val="18"/>
          <w:szCs w:val="18"/>
          <w:color w:val="auto"/>
        </w:rPr>
        <w:t xml:space="preserve">” means those letters of credit outstanding on the Closing Date and identified as such on </w:t>
      </w:r>
      <w:r>
        <w:rPr>
          <w:rFonts w:ascii="Arial" w:cs="Arial" w:eastAsia="Arial" w:hAnsi="Arial"/>
          <w:sz w:val="18"/>
          <w:szCs w:val="18"/>
          <w:u w:val="single" w:color="auto"/>
          <w:color w:val="auto"/>
        </w:rPr>
        <w:t>Schedule 2.03</w:t>
      </w:r>
      <w:r>
        <w:rPr>
          <w:rFonts w:ascii="Arial" w:cs="Arial" w:eastAsia="Arial" w:hAnsi="Arial"/>
          <w:sz w:val="18"/>
          <w:szCs w:val="18"/>
          <w:color w:val="auto"/>
        </w:rPr>
        <w:t>.</w:t>
      </w:r>
    </w:p>
    <w:p>
      <w:pPr>
        <w:spacing w:after="0" w:line="279"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Existing Lenders</w:t>
      </w:r>
      <w:r>
        <w:rPr>
          <w:rFonts w:ascii="Arial" w:cs="Arial" w:eastAsia="Arial" w:hAnsi="Arial"/>
          <w:sz w:val="20"/>
          <w:szCs w:val="20"/>
          <w:color w:val="auto"/>
        </w:rPr>
        <w:t>” shall have the meaning provided in the recitals.</w:t>
      </w:r>
    </w:p>
    <w:p>
      <w:pPr>
        <w:spacing w:after="0" w:line="25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Existing Letters of Credit</w:t>
      </w:r>
      <w:r>
        <w:rPr>
          <w:rFonts w:ascii="Arial" w:cs="Arial" w:eastAsia="Arial" w:hAnsi="Arial"/>
          <w:sz w:val="20"/>
          <w:szCs w:val="20"/>
          <w:color w:val="auto"/>
        </w:rPr>
        <w:t>” means the Existing USD Letters of Credit and the Existing India Letters of Credit.</w:t>
      </w:r>
    </w:p>
    <w:p>
      <w:pPr>
        <w:spacing w:after="0" w:line="256" w:lineRule="exact"/>
        <w:rPr>
          <w:sz w:val="20"/>
          <w:szCs w:val="20"/>
          <w:color w:val="auto"/>
        </w:rPr>
      </w:pPr>
    </w:p>
    <w:p>
      <w:pPr>
        <w:ind w:right="140" w:firstLine="648"/>
        <w:spacing w:after="0" w:line="321"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Exposure</w:t>
      </w:r>
      <w:r>
        <w:rPr>
          <w:rFonts w:ascii="Arial" w:cs="Arial" w:eastAsia="Arial" w:hAnsi="Arial"/>
          <w:sz w:val="18"/>
          <w:szCs w:val="18"/>
          <w:color w:val="auto"/>
        </w:rPr>
        <w:t>” means, with respect to any Lender, the sum at such time, without duplication, of (a) such Lender’s Australian Revolving Commitment Percentage of the Outstanding Amount of the Australian Revolving Loan Obligations plus (b) such Lender’s USD Revolving Commitment Percentage of the Outstanding Amount of the USD Revolving Loan Obligations (including any participation interests in USD Letters of Credit and USD Swingline Loans) plus (c) such Lender’s European Revolving Commitment Percentage of the Outstanding Amount of the European Revolving Loan Obligations (including any participation interests in European Swingline Loans) plus (d) such Lender’s India Revolving Commitment Percentage of the Outstanding Amount of the India Revolving Loan Obligations (including any participation interests in India Letters of Credit) plus (e) such Lender’s Term Loan A Commitment Percentage of the Outstanding Amount of the Term Loan A.</w:t>
      </w:r>
    </w:p>
    <w:p>
      <w:pPr>
        <w:spacing w:after="0" w:line="169"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FASB ASC</w:t>
      </w:r>
      <w:r>
        <w:rPr>
          <w:rFonts w:ascii="Arial" w:cs="Arial" w:eastAsia="Arial" w:hAnsi="Arial"/>
          <w:sz w:val="20"/>
          <w:szCs w:val="20"/>
          <w:color w:val="auto"/>
        </w:rPr>
        <w:t>” means the Accounting Standards Codification of the Financial Accounting Standards Board.</w:t>
      </w:r>
    </w:p>
    <w:p>
      <w:pPr>
        <w:spacing w:after="0" w:line="256" w:lineRule="exact"/>
        <w:rPr>
          <w:sz w:val="20"/>
          <w:szCs w:val="20"/>
          <w:color w:val="auto"/>
        </w:rPr>
      </w:pPr>
    </w:p>
    <w:p>
      <w:pPr>
        <w:jc w:val="both"/>
        <w:ind w:right="120" w:firstLine="648"/>
        <w:spacing w:after="0" w:line="33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FATCA</w:t>
      </w:r>
      <w:r>
        <w:rPr>
          <w:rFonts w:ascii="Arial" w:cs="Arial" w:eastAsia="Arial" w:hAnsi="Arial"/>
          <w:sz w:val="18"/>
          <w:szCs w:val="18"/>
          <w:color w:val="auto"/>
        </w:rPr>
        <w:t xml:space="preserve">” means Sections 1471 through 1474 of the Internal Revenue Code, as of the date of this Credit Agreement (or any amended or successor version that is substantively comparable and not materially more onerous to comply with) and any current or future regulations or official interpretations thereof </w:t>
      </w:r>
      <w:r>
        <w:rPr>
          <w:rFonts w:ascii="Arial" w:cs="Arial" w:eastAsia="Arial" w:hAnsi="Arial"/>
          <w:sz w:val="18"/>
          <w:szCs w:val="18"/>
          <w:u w:val="single" w:color="auto"/>
          <w:color w:val="0000FF"/>
        </w:rPr>
        <w:t>and any agreements entered into pursuant to Section 1471(b)(1) of the Internal Revenue Code</w:t>
      </w:r>
      <w:r>
        <w:rPr>
          <w:rFonts w:ascii="Arial" w:cs="Arial" w:eastAsia="Arial" w:hAnsi="Arial"/>
          <w:sz w:val="18"/>
          <w:szCs w:val="18"/>
          <w:color w:val="auto"/>
        </w:rPr>
        <w:t>.</w:t>
      </w:r>
    </w:p>
    <w:p>
      <w:pPr>
        <w:spacing w:after="0" w:line="152" w:lineRule="exact"/>
        <w:rPr>
          <w:sz w:val="20"/>
          <w:szCs w:val="20"/>
          <w:color w:val="auto"/>
        </w:rPr>
      </w:pPr>
    </w:p>
    <w:p>
      <w:pPr>
        <w:ind w:right="160" w:firstLine="648"/>
        <w:spacing w:after="0" w:line="292"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Federal Funds Rate</w:t>
      </w:r>
      <w:r>
        <w:rPr>
          <w:rFonts w:ascii="Arial" w:cs="Arial" w:eastAsia="Arial" w:hAnsi="Arial"/>
          <w:sz w:val="19"/>
          <w:szCs w:val="19"/>
          <w:color w:val="auto"/>
        </w:rPr>
        <w:t xml:space="preserve">” means, for any day, the rate per annum equal to the weighted average of the rates on overnight federal funds transactions with members of the Federal Reserve System arranged by federal funds brokers on such day, as published by the Federal Reserve Bank of New York on the Business Day next succeeding such day;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(a) if such day is not a Business Day, the Federal Funds Rate for such day shall be such rate on such transactions on the next preceding Business Day as so published on the next succeeding Business Day, and (b) if no such rate is so published on such next succeeding Business Day, the Federal Funds Rate for such day shall be the average rate (rounded upward, if necessary, to a whole multiple of 1/100</w:t>
      </w:r>
      <w:r>
        <w:rPr>
          <w:rFonts w:ascii="Arial" w:cs="Arial" w:eastAsia="Arial" w:hAnsi="Arial"/>
          <w:sz w:val="24"/>
          <w:szCs w:val="24"/>
          <w:color w:val="auto"/>
          <w:vertAlign w:val="superscript"/>
        </w:rPr>
        <w:t>th</w:t>
      </w:r>
      <w:r>
        <w:rPr>
          <w:rFonts w:ascii="Arial" w:cs="Arial" w:eastAsia="Arial" w:hAnsi="Arial"/>
          <w:sz w:val="19"/>
          <w:szCs w:val="19"/>
          <w:color w:val="auto"/>
        </w:rPr>
        <w:t xml:space="preserve"> of 1%) charged to Bank of America on such day on such transactions as determined by the Administrative Agent.</w:t>
      </w:r>
    </w:p>
    <w:p>
      <w:pPr>
        <w:spacing w:after="0" w:line="392"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31</w:t>
      </w:r>
    </w:p>
    <w:p>
      <w:pPr>
        <w:spacing w:after="0" w:line="10" w:lineRule="exact"/>
        <w:rPr>
          <w:sz w:val="20"/>
          <w:szCs w:val="20"/>
          <w:color w:val="auto"/>
        </w:rPr>
      </w:pPr>
    </w:p>
    <w:p>
      <w:pPr>
        <w:spacing w:after="0"/>
        <w:rPr>
          <w:sz w:val="20"/>
          <w:szCs w:val="20"/>
          <w:color w:val="auto"/>
        </w:rPr>
      </w:pPr>
      <w:r>
        <w:rPr>
          <w:rFonts w:ascii="Arial" w:cs="Arial" w:eastAsia="Arial" w:hAnsi="Arial"/>
          <w:sz w:val="14"/>
          <w:szCs w:val="14"/>
          <w:color w:val="auto"/>
        </w:rPr>
        <w:t>CHAR1\1346423v</w:t>
      </w:r>
      <w:r>
        <w:rPr>
          <w:rFonts w:ascii="Arial" w:cs="Arial" w:eastAsia="Arial" w:hAnsi="Arial"/>
          <w:sz w:val="14"/>
          <w:szCs w:val="14"/>
          <w:color w:val="FF0000"/>
          <w:strike w:val="1"/>
        </w:rPr>
        <w:t>1</w:t>
      </w:r>
      <w:r>
        <w:rPr>
          <w:rFonts w:ascii="Arial" w:cs="Arial" w:eastAsia="Arial" w:hAnsi="Arial"/>
          <w:sz w:val="14"/>
          <w:szCs w:val="14"/>
          <w:u w:val="single" w:color="auto"/>
          <w:color w:val="0000FF"/>
        </w:rPr>
        <w:t>12</w:t>
      </w:r>
    </w:p>
    <w:p>
      <w:pPr>
        <w:sectPr>
          <w:pgSz w:w="11900" w:h="16838" w:orient="portrait"/>
          <w:cols w:equalWidth="0" w:num="1">
            <w:col w:w="11420"/>
          </w:cols>
          <w:pgMar w:left="240" w:top="609" w:right="239" w:bottom="1440" w:gutter="0" w:footer="0" w:header="0"/>
        </w:sectPr>
      </w:pPr>
    </w:p>
    <w:bookmarkStart w:id="83" w:name="page84"/>
    <w:bookmarkEnd w:id="83"/>
    <w:p>
      <w:pPr>
        <w:ind w:right="20" w:firstLine="648"/>
        <w:spacing w:after="0" w:line="288"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Fee Letter</w:t>
      </w:r>
      <w:r>
        <w:rPr>
          <w:rFonts w:ascii="Arial" w:cs="Arial" w:eastAsia="Arial" w:hAnsi="Arial"/>
          <w:sz w:val="20"/>
          <w:szCs w:val="20"/>
          <w:color w:val="auto"/>
        </w:rPr>
        <w:t>” means (i) as regards Bank of America and MLPF&amp;S, the letter agreement, dated June 3, 2011, among EWI, Bank of America and MLPF&amp;S, (ii) as regards U.S. Bank National Association, as joint lead arranger and joint book manager, any such letter agreement between EWI and U.S. Bank National Association in respect thereof, and (iii) for any L/C Issuer, any letter agreement between EWI and the L/C Issuer, in each such case, as amended, modified, extended, renewed or replaced.</w:t>
      </w:r>
    </w:p>
    <w:p>
      <w:pPr>
        <w:spacing w:after="0" w:line="193"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First-Tier Foreign Subsidiary</w:t>
      </w:r>
      <w:r>
        <w:rPr>
          <w:rFonts w:ascii="Arial" w:cs="Arial" w:eastAsia="Arial" w:hAnsi="Arial"/>
          <w:sz w:val="20"/>
          <w:szCs w:val="20"/>
          <w:color w:val="auto"/>
        </w:rPr>
        <w:t>” means any Foreign Subsidiary that is owned directly by a Domestic Credit Party.</w:t>
      </w:r>
    </w:p>
    <w:p>
      <w:pPr>
        <w:spacing w:after="0" w:line="25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Fixed LIBOR Base Rate</w:t>
      </w:r>
      <w:r>
        <w:rPr>
          <w:rFonts w:ascii="Arial" w:cs="Arial" w:eastAsia="Arial" w:hAnsi="Arial"/>
          <w:sz w:val="20"/>
          <w:szCs w:val="20"/>
          <w:color w:val="auto"/>
        </w:rPr>
        <w:t>” means:</w:t>
      </w:r>
    </w:p>
    <w:p>
      <w:pPr>
        <w:spacing w:after="0" w:line="256" w:lineRule="exact"/>
        <w:rPr>
          <w:sz w:val="20"/>
          <w:szCs w:val="20"/>
          <w:color w:val="auto"/>
        </w:rPr>
      </w:pPr>
    </w:p>
    <w:p>
      <w:pPr>
        <w:ind w:left="1720" w:hanging="415"/>
        <w:spacing w:after="0"/>
        <w:tabs>
          <w:tab w:leader="none" w:pos="1720" w:val="left"/>
        </w:tabs>
        <w:numPr>
          <w:ilvl w:val="0"/>
          <w:numId w:val="38"/>
        </w:numPr>
        <w:rPr>
          <w:rFonts w:ascii="Arial" w:cs="Arial" w:eastAsia="Arial" w:hAnsi="Arial"/>
          <w:sz w:val="20"/>
          <w:szCs w:val="20"/>
          <w:u w:val="single" w:color="auto"/>
          <w:color w:val="0000FF"/>
        </w:rPr>
      </w:pPr>
      <w:r>
        <w:rPr>
          <w:rFonts w:ascii="Arial" w:cs="Arial" w:eastAsia="Arial" w:hAnsi="Arial"/>
          <w:sz w:val="20"/>
          <w:szCs w:val="20"/>
          <w:u w:val="single" w:color="auto"/>
          <w:color w:val="0000FF"/>
        </w:rPr>
        <w:t>for any interest calculation with respect to a Fixed LIBOR Rate Loan on any date:</w:t>
      </w:r>
    </w:p>
    <w:p>
      <w:pPr>
        <w:spacing w:after="0" w:line="256" w:lineRule="exact"/>
        <w:rPr>
          <w:rFonts w:ascii="Arial" w:cs="Arial" w:eastAsia="Arial" w:hAnsi="Arial"/>
          <w:sz w:val="20"/>
          <w:szCs w:val="20"/>
          <w:u w:val="single" w:color="auto"/>
          <w:color w:val="0000FF"/>
        </w:rPr>
      </w:pPr>
    </w:p>
    <w:p>
      <w:pPr>
        <w:ind w:left="1300" w:right="60" w:firstLine="653"/>
        <w:spacing w:after="0" w:line="318" w:lineRule="auto"/>
        <w:tabs>
          <w:tab w:leader="none" w:pos="2366" w:val="left"/>
        </w:tabs>
        <w:numPr>
          <w:ilvl w:val="1"/>
          <w:numId w:val="38"/>
        </w:numPr>
        <w:rPr>
          <w:rFonts w:ascii="Arial" w:cs="Arial" w:eastAsia="Arial" w:hAnsi="Arial"/>
          <w:sz w:val="18"/>
          <w:szCs w:val="18"/>
          <w:color w:val="FF0000"/>
          <w:strike w:val="1"/>
        </w:rPr>
      </w:pPr>
      <w:r>
        <w:rPr>
          <w:rFonts w:ascii="Arial" w:cs="Arial" w:eastAsia="Arial" w:hAnsi="Arial"/>
          <w:sz w:val="18"/>
          <w:szCs w:val="18"/>
          <w:color w:val="FF0000"/>
          <w:strike w:val="1"/>
        </w:rPr>
        <w:t>in the case of Loans</w:t>
      </w:r>
      <w:r>
        <w:rPr>
          <w:rFonts w:ascii="Arial" w:cs="Arial" w:eastAsia="Arial" w:hAnsi="Arial"/>
          <w:sz w:val="18"/>
          <w:szCs w:val="18"/>
          <w:color w:val="FF0000"/>
        </w:rPr>
        <w:t xml:space="preserve"> </w:t>
      </w:r>
      <w:r>
        <w:rPr>
          <w:rFonts w:ascii="Arial" w:cs="Arial" w:eastAsia="Arial" w:hAnsi="Arial"/>
          <w:sz w:val="18"/>
          <w:szCs w:val="18"/>
          <w:u w:val="single" w:color="auto"/>
          <w:color w:val="0000FF"/>
        </w:rPr>
        <w:t>(i)</w:t>
      </w:r>
      <w:r>
        <w:rPr>
          <w:rFonts w:ascii="Arial" w:cs="Arial" w:eastAsia="Arial" w:hAnsi="Arial"/>
          <w:sz w:val="18"/>
          <w:szCs w:val="18"/>
          <w:color w:val="FF0000"/>
        </w:rPr>
        <w:t xml:space="preserve"> </w:t>
      </w:r>
      <w:r>
        <w:rPr>
          <w:rFonts w:ascii="Arial" w:cs="Arial" w:eastAsia="Arial" w:hAnsi="Arial"/>
          <w:sz w:val="18"/>
          <w:szCs w:val="18"/>
          <w:color w:val="000000"/>
        </w:rPr>
        <w:t>denominated in Indian Rupees, the rate published by the National Stock Exchange (NSE)</w:t>
      </w:r>
      <w:r>
        <w:rPr>
          <w:rFonts w:ascii="Arial" w:cs="Arial" w:eastAsia="Arial" w:hAnsi="Arial"/>
          <w:sz w:val="18"/>
          <w:szCs w:val="18"/>
          <w:color w:val="FF0000"/>
        </w:rPr>
        <w:t xml:space="preserve"> </w:t>
      </w:r>
      <w:r>
        <w:rPr>
          <w:rFonts w:ascii="Arial" w:cs="Arial" w:eastAsia="Arial" w:hAnsi="Arial"/>
          <w:sz w:val="18"/>
          <w:szCs w:val="18"/>
          <w:color w:val="000000"/>
        </w:rPr>
        <w:t>of India (sometimes referred to as the “MIBOR Rate”)</w:t>
      </w:r>
      <w:r>
        <w:rPr>
          <w:rFonts w:ascii="Arial" w:cs="Arial" w:eastAsia="Arial" w:hAnsi="Arial"/>
          <w:sz w:val="18"/>
          <w:szCs w:val="18"/>
          <w:color w:val="FF0000"/>
          <w:strike w:val="1"/>
        </w:rPr>
        <w:t>;</w:t>
      </w:r>
      <w:r>
        <w:rPr>
          <w:rFonts w:ascii="Arial" w:cs="Arial" w:eastAsia="Arial" w:hAnsi="Arial"/>
          <w:sz w:val="18"/>
          <w:szCs w:val="18"/>
          <w:color w:val="000000"/>
        </w:rPr>
        <w:t xml:space="preserve"> </w:t>
      </w:r>
      <w:r>
        <w:rPr>
          <w:rFonts w:ascii="Arial" w:cs="Arial" w:eastAsia="Arial" w:hAnsi="Arial"/>
          <w:sz w:val="18"/>
          <w:szCs w:val="18"/>
          <w:u w:val="single" w:color="auto"/>
          <w:color w:val="0000FF"/>
        </w:rPr>
        <w:t>or a successor thereto approved by the Administrative Agent,</w:t>
      </w:r>
      <w:r>
        <w:rPr>
          <w:rFonts w:ascii="Arial" w:cs="Arial" w:eastAsia="Arial" w:hAnsi="Arial"/>
          <w:sz w:val="18"/>
          <w:szCs w:val="18"/>
          <w:color w:val="000000"/>
        </w:rPr>
        <w:t xml:space="preserve"> </w:t>
      </w:r>
      <w:r>
        <w:rPr>
          <w:rFonts w:ascii="Arial" w:cs="Arial" w:eastAsia="Arial" w:hAnsi="Arial"/>
          <w:sz w:val="18"/>
          <w:szCs w:val="18"/>
          <w:u w:val="single" w:color="auto"/>
          <w:color w:val="000000"/>
        </w:rPr>
        <w:t>provided</w:t>
      </w:r>
      <w:r>
        <w:rPr>
          <w:rFonts w:ascii="Arial" w:cs="Arial" w:eastAsia="Arial" w:hAnsi="Arial"/>
          <w:sz w:val="18"/>
          <w:szCs w:val="18"/>
          <w:color w:val="000000"/>
        </w:rPr>
        <w:t xml:space="preserve"> that if such rate is not available at such time for any reason, then the “MIBOR Rate” for such Interest Period shall be the rate per annum determined by the Administrative Agent to be the rate at which deposits in Indian Rupees for delivery on the first day of such Interest Period in same day funds in the approximate amount of the subject Loan being made, continued or converted with a term equivalent to such Interest Period would be offered by the Mumbai branch of Bank of America to major banks in the Mumbai interbank market at their request at approximately 11:00 a.m. (Mumbai time) on the first day of the commencement of such Interest Period; provided that, notwithstanding anything to the contrary contained in this Credit Agreement, the Fixed LIBOR Rate pertaining to Loans denominated in Indian Rupees shall at no time be lower than the Base Rate and the Base Rate shall be subject to change in interest rates made by the Reserve Bank of India from time to time;</w:t>
      </w:r>
    </w:p>
    <w:p>
      <w:pPr>
        <w:spacing w:after="0" w:line="174" w:lineRule="exact"/>
        <w:rPr>
          <w:rFonts w:ascii="Arial" w:cs="Arial" w:eastAsia="Arial" w:hAnsi="Arial"/>
          <w:sz w:val="18"/>
          <w:szCs w:val="18"/>
          <w:color w:val="FF0000"/>
          <w:strike w:val="1"/>
        </w:rPr>
      </w:pPr>
    </w:p>
    <w:p>
      <w:pPr>
        <w:ind w:left="660" w:firstLine="645"/>
        <w:spacing w:after="0" w:line="303" w:lineRule="auto"/>
        <w:tabs>
          <w:tab w:leader="none" w:pos="1737" w:val="left"/>
        </w:tabs>
        <w:numPr>
          <w:ilvl w:val="0"/>
          <w:numId w:val="38"/>
        </w:numPr>
        <w:rPr>
          <w:rFonts w:ascii="Arial" w:cs="Arial" w:eastAsia="Arial" w:hAnsi="Arial"/>
          <w:sz w:val="19"/>
          <w:szCs w:val="19"/>
          <w:color w:val="FF0000"/>
          <w:strike w:val="1"/>
        </w:rPr>
      </w:pPr>
      <w:r>
        <w:rPr>
          <w:rFonts w:ascii="Arial" w:cs="Arial" w:eastAsia="Arial" w:hAnsi="Arial"/>
          <w:sz w:val="19"/>
          <w:szCs w:val="19"/>
          <w:color w:val="FF0000"/>
          <w:strike w:val="1"/>
        </w:rPr>
        <w:t>for any Interest Period with respect to a Fixed LIBOR Rate Loan other than Loans denominated in Indian Rupees, the rate per annum equal to (i) the British Bankers Association LIBOR Rate (“</w:t>
      </w:r>
      <w:r>
        <w:rPr>
          <w:rFonts w:ascii="Arial" w:cs="Arial" w:eastAsia="Arial" w:hAnsi="Arial"/>
          <w:sz w:val="19"/>
          <w:szCs w:val="19"/>
          <w:u w:val="single" w:color="auto"/>
          <w:color w:val="FF0000"/>
          <w:strike w:val="1"/>
        </w:rPr>
        <w:t>BBA LIBOR</w:t>
      </w:r>
      <w:r>
        <w:rPr>
          <w:rFonts w:ascii="Arial" w:cs="Arial" w:eastAsia="Arial" w:hAnsi="Arial"/>
          <w:sz w:val="19"/>
          <w:szCs w:val="19"/>
          <w:color w:val="FF0000"/>
          <w:strike w:val="1"/>
        </w:rPr>
        <w:t>”), as published by Reuters (or such other commercially available source providing quotations of BBA LIBOR as may be designated by the Administrative Agent from time to time) at approximately 11:00 a.m., London time, two Business Days prior to the commencement of such Interest Period, for deposits in the relevant currency (for delivery on the first day of such Interest Period) with a term equivalent to such Interest Period or, (ii) if such rate is not available at such time for any reason, the rate per annum determined</w:t>
      </w:r>
    </w:p>
    <w:p>
      <w:pPr>
        <w:spacing w:after="0" w:line="181" w:lineRule="exact"/>
        <w:rPr>
          <w:rFonts w:ascii="Arial" w:cs="Arial" w:eastAsia="Arial" w:hAnsi="Arial"/>
          <w:sz w:val="19"/>
          <w:szCs w:val="19"/>
          <w:color w:val="FF0000"/>
          <w:strike w:val="1"/>
        </w:rPr>
      </w:pPr>
    </w:p>
    <w:p>
      <w:pPr>
        <w:jc w:val="both"/>
        <w:ind w:left="1300" w:right="120" w:firstLine="653"/>
        <w:spacing w:after="0" w:line="314" w:lineRule="auto"/>
        <w:tabs>
          <w:tab w:leader="none" w:pos="2388" w:val="left"/>
        </w:tabs>
        <w:numPr>
          <w:ilvl w:val="1"/>
          <w:numId w:val="39"/>
        </w:numPr>
        <w:rPr>
          <w:rFonts w:ascii="Arial" w:cs="Arial" w:eastAsia="Arial" w:hAnsi="Arial"/>
          <w:sz w:val="19"/>
          <w:szCs w:val="19"/>
          <w:u w:val="single" w:color="auto"/>
          <w:color w:val="0000FF"/>
        </w:rPr>
      </w:pPr>
      <w:r>
        <w:rPr>
          <w:rFonts w:ascii="Arial" w:cs="Arial" w:eastAsia="Arial" w:hAnsi="Arial"/>
          <w:sz w:val="19"/>
          <w:szCs w:val="19"/>
          <w:u w:val="single" w:color="auto"/>
          <w:color w:val="0000FF"/>
        </w:rPr>
        <w:t>denominated in a LIBOR Quoted Currency, the rate per annum equal to the London Interbank Offered Rate or a comparable or successor thereto which is approved by the Administrative Agent (“LIBOR”), as published by Reuters (or such other commercially available source providing quotations as may be designated by the</w:t>
      </w:r>
    </w:p>
    <w:p>
      <w:pPr>
        <w:spacing w:after="0" w:line="385"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32</w:t>
      </w:r>
    </w:p>
    <w:p>
      <w:pPr>
        <w:spacing w:after="0" w:line="10" w:lineRule="exact"/>
        <w:rPr>
          <w:sz w:val="20"/>
          <w:szCs w:val="20"/>
          <w:color w:val="auto"/>
        </w:rPr>
      </w:pPr>
    </w:p>
    <w:p>
      <w:pPr>
        <w:spacing w:after="0"/>
        <w:rPr>
          <w:sz w:val="20"/>
          <w:szCs w:val="20"/>
          <w:color w:val="auto"/>
        </w:rPr>
      </w:pPr>
      <w:r>
        <w:rPr>
          <w:rFonts w:ascii="Arial" w:cs="Arial" w:eastAsia="Arial" w:hAnsi="Arial"/>
          <w:sz w:val="14"/>
          <w:szCs w:val="14"/>
          <w:color w:val="auto"/>
        </w:rPr>
        <w:t>CHAR1\1346423v</w:t>
      </w:r>
      <w:r>
        <w:rPr>
          <w:rFonts w:ascii="Arial" w:cs="Arial" w:eastAsia="Arial" w:hAnsi="Arial"/>
          <w:sz w:val="14"/>
          <w:szCs w:val="14"/>
          <w:color w:val="FF0000"/>
          <w:strike w:val="1"/>
        </w:rPr>
        <w:t>1</w:t>
      </w:r>
      <w:r>
        <w:rPr>
          <w:rFonts w:ascii="Arial" w:cs="Arial" w:eastAsia="Arial" w:hAnsi="Arial"/>
          <w:sz w:val="14"/>
          <w:szCs w:val="14"/>
          <w:u w:val="single" w:color="auto"/>
          <w:color w:val="0000FF"/>
        </w:rPr>
        <w:t>12</w:t>
      </w:r>
    </w:p>
    <w:p>
      <w:pPr>
        <w:sectPr>
          <w:pgSz w:w="11900" w:h="16838" w:orient="portrait"/>
          <w:cols w:equalWidth="0" w:num="1">
            <w:col w:w="11400"/>
          </w:cols>
          <w:pgMar w:left="240" w:top="609" w:right="259" w:bottom="1440" w:gutter="0" w:footer="0" w:header="0"/>
        </w:sectPr>
      </w:pPr>
    </w:p>
    <w:bookmarkStart w:id="84" w:name="page85"/>
    <w:bookmarkEnd w:id="84"/>
    <w:p>
      <w:pPr>
        <w:ind w:left="1300" w:right="240"/>
        <w:spacing w:after="0" w:line="331" w:lineRule="auto"/>
        <w:rPr>
          <w:sz w:val="20"/>
          <w:szCs w:val="20"/>
          <w:color w:val="auto"/>
        </w:rPr>
      </w:pPr>
      <w:r>
        <w:rPr>
          <w:rFonts w:ascii="Arial" w:cs="Arial" w:eastAsia="Arial" w:hAnsi="Arial"/>
          <w:sz w:val="19"/>
          <w:szCs w:val="19"/>
          <w:u w:val="single" w:color="auto"/>
          <w:color w:val="0000FF"/>
        </w:rPr>
        <w:t>Administrative Agent from time to time) (in such case, the “LIBOR Rate”) at or about 11:00 a.m. (London time) on the Rate Determination Date, for deposits in the relevant currency, with a term equivalent to such Interest Period;</w:t>
      </w:r>
    </w:p>
    <w:p>
      <w:pPr>
        <w:spacing w:after="0" w:line="154" w:lineRule="exact"/>
        <w:rPr>
          <w:sz w:val="20"/>
          <w:szCs w:val="20"/>
          <w:color w:val="auto"/>
        </w:rPr>
      </w:pPr>
    </w:p>
    <w:p>
      <w:pPr>
        <w:ind w:left="1300" w:firstLine="653"/>
        <w:spacing w:after="0" w:line="287" w:lineRule="auto"/>
        <w:tabs>
          <w:tab w:leader="none" w:pos="2443" w:val="left"/>
        </w:tabs>
        <w:numPr>
          <w:ilvl w:val="1"/>
          <w:numId w:val="40"/>
        </w:numPr>
        <w:rPr>
          <w:rFonts w:ascii="Arial" w:cs="Arial" w:eastAsia="Arial" w:hAnsi="Arial"/>
          <w:sz w:val="20"/>
          <w:szCs w:val="20"/>
          <w:u w:val="single" w:color="auto"/>
          <w:color w:val="0000FF"/>
        </w:rPr>
      </w:pPr>
      <w:r>
        <w:rPr>
          <w:rFonts w:ascii="Arial" w:cs="Arial" w:eastAsia="Arial" w:hAnsi="Arial"/>
          <w:sz w:val="20"/>
          <w:szCs w:val="20"/>
          <w:u w:val="single" w:color="auto"/>
          <w:color w:val="0000FF"/>
        </w:rPr>
        <w:t>denominated in Australian Dollars, the rate per annum equal to the Bank Bill Swap Reference Bid Rate or a comparable or successor rate thereto which is approved by the Administrative Agent (“BBSY”) as published by Reuters (or such other commercially available source providing such quotations as may be designated by the Administrative Agent from time to time) at or about 10:30 a.m. (Melbourne, Australia time) on the Rate Determination Date with a term equivalent to such Interest Period; and</w:t>
      </w:r>
    </w:p>
    <w:p>
      <w:pPr>
        <w:spacing w:after="0" w:line="191" w:lineRule="exact"/>
        <w:rPr>
          <w:rFonts w:ascii="Arial" w:cs="Arial" w:eastAsia="Arial" w:hAnsi="Arial"/>
          <w:sz w:val="20"/>
          <w:szCs w:val="20"/>
          <w:u w:val="single" w:color="auto"/>
          <w:color w:val="0000FF"/>
        </w:rPr>
      </w:pPr>
    </w:p>
    <w:p>
      <w:pPr>
        <w:ind w:left="1300" w:right="100" w:firstLine="653"/>
        <w:spacing w:after="0" w:line="301" w:lineRule="auto"/>
        <w:tabs>
          <w:tab w:leader="none" w:pos="2432" w:val="left"/>
        </w:tabs>
        <w:numPr>
          <w:ilvl w:val="1"/>
          <w:numId w:val="40"/>
        </w:numPr>
        <w:rPr>
          <w:rFonts w:ascii="Arial" w:cs="Arial" w:eastAsia="Arial" w:hAnsi="Arial"/>
          <w:sz w:val="19"/>
          <w:szCs w:val="19"/>
          <w:u w:val="single" w:color="auto"/>
          <w:color w:val="0000FF"/>
        </w:rPr>
      </w:pPr>
      <w:r>
        <w:rPr>
          <w:rFonts w:ascii="Arial" w:cs="Arial" w:eastAsia="Arial" w:hAnsi="Arial"/>
          <w:sz w:val="19"/>
          <w:szCs w:val="19"/>
          <w:u w:val="single" w:color="auto"/>
          <w:color w:val="0000FF"/>
        </w:rPr>
        <w:t>denominated in any Non-LIBOR Quoted Currency, the rate per annum designated with respect to such Alternative Currency at the time such Alternative Currency is approved</w:t>
      </w:r>
      <w:r>
        <w:rPr>
          <w:rFonts w:ascii="Arial" w:cs="Arial" w:eastAsia="Arial" w:hAnsi="Arial"/>
          <w:sz w:val="19"/>
          <w:szCs w:val="19"/>
          <w:color w:val="0000FF"/>
        </w:rPr>
        <w:t xml:space="preserve"> </w:t>
      </w:r>
      <w:r>
        <w:rPr>
          <w:rFonts w:ascii="Arial" w:cs="Arial" w:eastAsia="Arial" w:hAnsi="Arial"/>
          <w:sz w:val="19"/>
          <w:szCs w:val="19"/>
          <w:color w:val="000000"/>
        </w:rPr>
        <w:t>by the Administrative Agent</w:t>
      </w:r>
      <w:r>
        <w:rPr>
          <w:rFonts w:ascii="Arial" w:cs="Arial" w:eastAsia="Arial" w:hAnsi="Arial"/>
          <w:sz w:val="19"/>
          <w:szCs w:val="19"/>
          <w:color w:val="0000FF"/>
        </w:rPr>
        <w:t xml:space="preserve"> </w:t>
      </w:r>
      <w:r>
        <w:rPr>
          <w:rFonts w:ascii="Arial" w:cs="Arial" w:eastAsia="Arial" w:hAnsi="Arial"/>
          <w:sz w:val="19"/>
          <w:szCs w:val="19"/>
          <w:color w:val="FF0000"/>
          <w:strike w:val="1"/>
        </w:rPr>
        <w:t>to be the rate at which</w:t>
      </w:r>
      <w:r>
        <w:rPr>
          <w:rFonts w:ascii="Arial" w:cs="Arial" w:eastAsia="Arial" w:hAnsi="Arial"/>
          <w:sz w:val="19"/>
          <w:szCs w:val="19"/>
          <w:color w:val="0000FF"/>
        </w:rPr>
        <w:t xml:space="preserve"> </w:t>
      </w:r>
      <w:r>
        <w:rPr>
          <w:rFonts w:ascii="Arial" w:cs="Arial" w:eastAsia="Arial" w:hAnsi="Arial"/>
          <w:sz w:val="19"/>
          <w:szCs w:val="19"/>
          <w:color w:val="FF0000"/>
          <w:strike w:val="1"/>
        </w:rPr>
        <w:t>deposits in the relevant currency for delivery on the first day of such Interest Period in Same Day Funds in the approximate amount of the Fixed LIBOR Rate Loan being made, continued or converted and with a term equivalent to such Interest Period would be offered by Bank of America’s London Branch (or other Bank of America branch or Affiliates) to major banks in the London or other offshore interbank market for such currency at their request at approximately 11:00 a.m. (London time) two Business Days prior to the commencement of such Interest Period; and</w:t>
      </w:r>
      <w:r>
        <w:rPr>
          <w:rFonts w:ascii="Arial" w:cs="Arial" w:eastAsia="Arial" w:hAnsi="Arial"/>
          <w:sz w:val="19"/>
          <w:szCs w:val="19"/>
          <w:u w:val="single" w:color="auto"/>
          <w:color w:val="0000FF"/>
          <w:strike w:val="1"/>
        </w:rPr>
        <w:t>and the Lenders pursuant to Section 1.06 (a) (or such</w:t>
      </w:r>
      <w:r>
        <w:rPr>
          <w:rFonts w:ascii="Arial" w:cs="Arial" w:eastAsia="Arial" w:hAnsi="Arial"/>
          <w:sz w:val="19"/>
          <w:szCs w:val="19"/>
          <w:color w:val="FF0000"/>
          <w:strike w:val="1"/>
        </w:rPr>
        <w:t xml:space="preserve"> </w:t>
      </w:r>
      <w:r>
        <w:rPr>
          <w:rFonts w:ascii="Arial" w:cs="Arial" w:eastAsia="Arial" w:hAnsi="Arial"/>
          <w:sz w:val="19"/>
          <w:szCs w:val="19"/>
          <w:u w:val="single" w:color="auto"/>
          <w:color w:val="0000FF"/>
          <w:strike w:val="1"/>
        </w:rPr>
        <w:t>other commercially available source providing quotations as may be designated by the Administrative Agent from time to time); and</w:t>
      </w:r>
    </w:p>
    <w:p>
      <w:pPr>
        <w:spacing w:after="0" w:line="153" w:lineRule="exact"/>
        <w:rPr>
          <w:rFonts w:ascii="Arial" w:cs="Arial" w:eastAsia="Arial" w:hAnsi="Arial"/>
          <w:sz w:val="19"/>
          <w:szCs w:val="19"/>
          <w:u w:val="single" w:color="auto"/>
          <w:color w:val="0000FF"/>
        </w:rPr>
      </w:pPr>
    </w:p>
    <w:p>
      <w:pPr>
        <w:ind w:left="660" w:firstLine="645"/>
        <w:spacing w:after="0" w:line="274" w:lineRule="auto"/>
        <w:tabs>
          <w:tab w:leader="none" w:pos="1577" w:val="left"/>
        </w:tabs>
        <w:numPr>
          <w:ilvl w:val="0"/>
          <w:numId w:val="41"/>
        </w:numPr>
        <w:rPr>
          <w:rFonts w:ascii="Arial" w:cs="Arial" w:eastAsia="Arial" w:hAnsi="Arial"/>
          <w:sz w:val="18"/>
          <w:szCs w:val="18"/>
          <w:color w:val="FF0000"/>
          <w:strike w:val="1"/>
        </w:rPr>
      </w:pPr>
      <w:r>
        <w:rPr>
          <w:rFonts w:ascii="Arial" w:cs="Arial" w:eastAsia="Arial" w:hAnsi="Arial"/>
          <w:sz w:val="18"/>
          <w:szCs w:val="18"/>
          <w:u w:val="single" w:color="auto"/>
          <w:color w:val="0000FF"/>
        </w:rPr>
        <w:t>(b)</w:t>
      </w:r>
      <w:r>
        <w:rPr>
          <w:rFonts w:ascii="Arial" w:cs="Arial" w:eastAsia="Arial" w:hAnsi="Arial"/>
          <w:sz w:val="18"/>
          <w:szCs w:val="18"/>
          <w:color w:val="0000FF"/>
        </w:rPr>
        <w:t xml:space="preserve"> </w:t>
      </w:r>
      <w:r>
        <w:rPr>
          <w:rFonts w:ascii="Arial" w:cs="Arial" w:eastAsia="Arial" w:hAnsi="Arial"/>
          <w:sz w:val="18"/>
          <w:szCs w:val="18"/>
          <w:color w:val="000000"/>
        </w:rPr>
        <w:t>for any interest calculation with respect to a Base Rate Loan on any date, the rate per annum equal to</w:t>
      </w:r>
      <w:r>
        <w:rPr>
          <w:rFonts w:ascii="Arial" w:cs="Arial" w:eastAsia="Arial" w:hAnsi="Arial"/>
          <w:sz w:val="18"/>
          <w:szCs w:val="18"/>
          <w:color w:val="0000FF"/>
        </w:rPr>
        <w:t xml:space="preserve"> </w:t>
      </w:r>
      <w:r>
        <w:rPr>
          <w:rFonts w:ascii="Arial" w:cs="Arial" w:eastAsia="Arial" w:hAnsi="Arial"/>
          <w:sz w:val="18"/>
          <w:szCs w:val="18"/>
          <w:color w:val="FF0000"/>
          <w:strike w:val="1"/>
        </w:rPr>
        <w:t>(i) BBA</w:t>
      </w:r>
      <w:r>
        <w:rPr>
          <w:rFonts w:ascii="Arial" w:cs="Arial" w:eastAsia="Arial" w:hAnsi="Arial"/>
          <w:sz w:val="18"/>
          <w:szCs w:val="18"/>
          <w:u w:val="single" w:color="auto"/>
          <w:color w:val="0000FF"/>
        </w:rPr>
        <w:t>the</w:t>
      </w:r>
      <w:r>
        <w:rPr>
          <w:rFonts w:ascii="Arial" w:cs="Arial" w:eastAsia="Arial" w:hAnsi="Arial"/>
          <w:sz w:val="18"/>
          <w:szCs w:val="18"/>
          <w:color w:val="0000FF"/>
        </w:rPr>
        <w:t xml:space="preserve"> </w:t>
      </w:r>
      <w:r>
        <w:rPr>
          <w:rFonts w:ascii="Arial" w:cs="Arial" w:eastAsia="Arial" w:hAnsi="Arial"/>
          <w:sz w:val="18"/>
          <w:szCs w:val="18"/>
          <w:color w:val="000000"/>
        </w:rPr>
        <w:t>LIBOR</w:t>
      </w:r>
      <w:r>
        <w:rPr>
          <w:rFonts w:ascii="Arial" w:cs="Arial" w:eastAsia="Arial" w:hAnsi="Arial"/>
          <w:sz w:val="18"/>
          <w:szCs w:val="18"/>
          <w:color w:val="FF0000"/>
          <w:strike w:val="1"/>
        </w:rPr>
        <w:t>,</w:t>
      </w:r>
      <w:r>
        <w:rPr>
          <w:rFonts w:ascii="Arial" w:cs="Arial" w:eastAsia="Arial" w:hAnsi="Arial"/>
          <w:sz w:val="18"/>
          <w:szCs w:val="18"/>
          <w:color w:val="000000"/>
        </w:rPr>
        <w:t xml:space="preserve"> </w:t>
      </w:r>
      <w:r>
        <w:rPr>
          <w:rFonts w:ascii="Arial" w:cs="Arial" w:eastAsia="Arial" w:hAnsi="Arial"/>
          <w:sz w:val="18"/>
          <w:szCs w:val="18"/>
          <w:u w:val="single" w:color="auto"/>
          <w:color w:val="0000FF"/>
        </w:rPr>
        <w:t>Rate</w:t>
      </w:r>
      <w:r>
        <w:rPr>
          <w:rFonts w:ascii="Arial" w:cs="Arial" w:eastAsia="Arial" w:hAnsi="Arial"/>
          <w:sz w:val="18"/>
          <w:szCs w:val="18"/>
          <w:color w:val="000000"/>
        </w:rPr>
        <w:t xml:space="preserve"> at </w:t>
      </w:r>
      <w:r>
        <w:rPr>
          <w:rFonts w:ascii="Arial" w:cs="Arial" w:eastAsia="Arial" w:hAnsi="Arial"/>
          <w:sz w:val="18"/>
          <w:szCs w:val="18"/>
          <w:color w:val="FF0000"/>
          <w:strike w:val="1"/>
        </w:rPr>
        <w:t>approximately</w:t>
      </w:r>
      <w:r>
        <w:rPr>
          <w:rFonts w:ascii="Arial" w:cs="Arial" w:eastAsia="Arial" w:hAnsi="Arial"/>
          <w:sz w:val="18"/>
          <w:szCs w:val="18"/>
          <w:u w:val="single" w:color="auto"/>
          <w:color w:val="0000FF"/>
        </w:rPr>
        <w:t>or about</w:t>
      </w:r>
      <w:r>
        <w:rPr>
          <w:rFonts w:ascii="Arial" w:cs="Arial" w:eastAsia="Arial" w:hAnsi="Arial"/>
          <w:sz w:val="18"/>
          <w:szCs w:val="18"/>
          <w:color w:val="000000"/>
        </w:rPr>
        <w:t xml:space="preserve"> 11:00 a.m.</w:t>
      </w:r>
      <w:r>
        <w:rPr>
          <w:rFonts w:ascii="Arial" w:cs="Arial" w:eastAsia="Arial" w:hAnsi="Arial"/>
          <w:sz w:val="18"/>
          <w:szCs w:val="18"/>
          <w:color w:val="FF0000"/>
          <w:strike w:val="1"/>
        </w:rPr>
        <w:t>,</w:t>
      </w:r>
      <w:r>
        <w:rPr>
          <w:rFonts w:ascii="Arial" w:cs="Arial" w:eastAsia="Arial" w:hAnsi="Arial"/>
          <w:sz w:val="18"/>
          <w:szCs w:val="18"/>
          <w:color w:val="000000"/>
        </w:rPr>
        <w:t xml:space="preserve"> </w:t>
      </w:r>
      <w:r>
        <w:rPr>
          <w:rFonts w:ascii="Arial" w:cs="Arial" w:eastAsia="Arial" w:hAnsi="Arial"/>
          <w:sz w:val="18"/>
          <w:szCs w:val="18"/>
          <w:u w:val="single" w:color="auto"/>
          <w:color w:val="0000FF"/>
        </w:rPr>
        <w:t>(</w:t>
      </w:r>
      <w:r>
        <w:rPr>
          <w:rFonts w:ascii="Arial" w:cs="Arial" w:eastAsia="Arial" w:hAnsi="Arial"/>
          <w:sz w:val="18"/>
          <w:szCs w:val="18"/>
          <w:color w:val="000000"/>
        </w:rPr>
        <w:t>London time</w:t>
      </w:r>
      <w:r>
        <w:rPr>
          <w:rFonts w:ascii="Arial" w:cs="Arial" w:eastAsia="Arial" w:hAnsi="Arial"/>
          <w:sz w:val="18"/>
          <w:szCs w:val="18"/>
          <w:u w:val="single" w:color="auto"/>
          <w:color w:val="0000FF"/>
        </w:rPr>
        <w:t>)</w:t>
      </w:r>
      <w:r>
        <w:rPr>
          <w:rFonts w:ascii="Arial" w:cs="Arial" w:eastAsia="Arial" w:hAnsi="Arial"/>
          <w:sz w:val="18"/>
          <w:szCs w:val="18"/>
          <w:color w:val="000000"/>
        </w:rPr>
        <w:t xml:space="preserve"> determined two </w:t>
      </w:r>
      <w:r>
        <w:rPr>
          <w:rFonts w:ascii="Arial" w:cs="Arial" w:eastAsia="Arial" w:hAnsi="Arial"/>
          <w:sz w:val="18"/>
          <w:szCs w:val="18"/>
          <w:color w:val="FF0000"/>
          <w:strike w:val="1"/>
        </w:rPr>
        <w:t>London Banking</w:t>
      </w:r>
      <w:r>
        <w:rPr>
          <w:rFonts w:ascii="Arial" w:cs="Arial" w:eastAsia="Arial" w:hAnsi="Arial"/>
          <w:sz w:val="18"/>
          <w:szCs w:val="18"/>
          <w:u w:val="single" w:color="auto"/>
          <w:color w:val="0000FF"/>
        </w:rPr>
        <w:t>Business</w:t>
      </w:r>
      <w:r>
        <w:rPr>
          <w:rFonts w:ascii="Arial" w:cs="Arial" w:eastAsia="Arial" w:hAnsi="Arial"/>
          <w:sz w:val="18"/>
          <w:szCs w:val="18"/>
          <w:color w:val="000000"/>
        </w:rPr>
        <w:t xml:space="preserve"> Days prior to such date for Dollar deposits being delivered in the London interbank market for </w:t>
      </w:r>
      <w:r>
        <w:rPr>
          <w:rFonts w:ascii="Arial" w:cs="Arial" w:eastAsia="Arial" w:hAnsi="Arial"/>
          <w:sz w:val="18"/>
          <w:szCs w:val="18"/>
          <w:u w:val="single" w:color="auto"/>
          <w:color w:val="0000FF"/>
        </w:rPr>
        <w:t>deposits in Dollars with</w:t>
      </w:r>
      <w:r>
        <w:rPr>
          <w:rFonts w:ascii="Arial" w:cs="Arial" w:eastAsia="Arial" w:hAnsi="Arial"/>
          <w:sz w:val="18"/>
          <w:szCs w:val="18"/>
          <w:color w:val="000000"/>
        </w:rPr>
        <w:t xml:space="preserve"> a term of one month commencing that day </w:t>
      </w:r>
      <w:r>
        <w:rPr>
          <w:rFonts w:ascii="Arial" w:cs="Arial" w:eastAsia="Arial" w:hAnsi="Arial"/>
          <w:sz w:val="18"/>
          <w:szCs w:val="18"/>
          <w:color w:val="FF0000"/>
          <w:strike w:val="1"/>
        </w:rPr>
        <w:t>or (ii) if such published rate is not available at such time for any reason, the rate per annum determined by the Administrative</w:t>
      </w:r>
      <w:r>
        <w:rPr>
          <w:rFonts w:ascii="Arial" w:cs="Arial" w:eastAsia="Arial" w:hAnsi="Arial"/>
          <w:sz w:val="18"/>
          <w:szCs w:val="18"/>
          <w:color w:val="000000"/>
        </w:rPr>
        <w:t xml:space="preserve"> </w:t>
      </w:r>
      <w:r>
        <w:rPr>
          <w:rFonts w:ascii="Arial" w:cs="Arial" w:eastAsia="Arial" w:hAnsi="Arial"/>
          <w:sz w:val="18"/>
          <w:szCs w:val="18"/>
          <w:color w:val="FF0000"/>
          <w:strike w:val="1"/>
        </w:rPr>
        <w:t>Agent to be the rate at which deposits in Dollars for delivery on the date of determination in same day funds in the approximate amount of the Base Rate Loan being made or maintained and with a term equal to one month would be offered by Bank of America’s London Branch to major banks in the London interbank Eurocurrency market at their request at the date and time of determination.</w:t>
      </w:r>
      <w:r>
        <w:rPr>
          <w:rFonts w:ascii="Arial" w:cs="Arial" w:eastAsia="Arial" w:hAnsi="Arial"/>
          <w:sz w:val="18"/>
          <w:szCs w:val="18"/>
          <w:u w:val="single" w:color="auto"/>
          <w:color w:val="0000FF"/>
          <w:strike w:val="1"/>
        </w:rPr>
        <w:t>;</w:t>
      </w:r>
    </w:p>
    <w:p>
      <w:pPr>
        <w:spacing w:after="0" w:line="183" w:lineRule="exact"/>
        <w:rPr>
          <w:sz w:val="20"/>
          <w:szCs w:val="20"/>
          <w:color w:val="auto"/>
        </w:rPr>
      </w:pPr>
    </w:p>
    <w:p>
      <w:pPr>
        <w:jc w:val="both"/>
        <w:ind w:right="120"/>
        <w:spacing w:after="0" w:line="246" w:lineRule="auto"/>
        <w:rPr>
          <w:sz w:val="20"/>
          <w:szCs w:val="20"/>
          <w:color w:val="auto"/>
        </w:rPr>
      </w:pPr>
      <w:r>
        <w:rPr>
          <w:rFonts w:ascii="Arial" w:cs="Arial" w:eastAsia="Arial" w:hAnsi="Arial"/>
          <w:sz w:val="20"/>
          <w:szCs w:val="20"/>
          <w:u w:val="single" w:color="auto"/>
          <w:color w:val="0000FF"/>
        </w:rPr>
        <w:t>provided that to the extent a comparable or successor rate is approved by the Administrative Agent in connection with any rate set forth in this definition, the approved rate shall be applied in a manner consistent with market practices; provided further that to the extent that such market practice is not administratively feasible for the Administrative Agent, such approved rate shall be applied in a manner as otherwise reasonably determined by the Administrative Agent.</w:t>
      </w:r>
    </w:p>
    <w:p>
      <w:pPr>
        <w:spacing w:after="0" w:line="259" w:lineRule="exact"/>
        <w:rPr>
          <w:sz w:val="20"/>
          <w:szCs w:val="20"/>
          <w:color w:val="auto"/>
        </w:rPr>
      </w:pPr>
    </w:p>
    <w:p>
      <w:pPr>
        <w:ind w:right="80" w:firstLine="648"/>
        <w:spacing w:after="0" w:line="33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Fixed LIBOR Rate</w:t>
      </w:r>
      <w:r>
        <w:rPr>
          <w:rFonts w:ascii="Arial" w:cs="Arial" w:eastAsia="Arial" w:hAnsi="Arial"/>
          <w:sz w:val="18"/>
          <w:szCs w:val="18"/>
          <w:color w:val="auto"/>
        </w:rPr>
        <w:t>” means (a) for any Interest Period with respect to any Fixed LIBOR Rate Loan, a rate per annum determined by the Administrative Agent to be equal to the quotient obtained by dividing (i) the Fixed LIBOR Base Rate for such Fixed LIBOR Rate Loan for such Interest Period by (ii) one minus the Fixed LIBOR Rate Reserve Percentage for such Fixed LIBOR Rate Loan for such Interest</w:t>
      </w:r>
    </w:p>
    <w:p>
      <w:pPr>
        <w:spacing w:after="0" w:line="368" w:lineRule="exact"/>
        <w:rPr>
          <w:sz w:val="20"/>
          <w:szCs w:val="20"/>
          <w:color w:val="auto"/>
        </w:rPr>
      </w:pPr>
    </w:p>
    <w:p>
      <w:pPr>
        <w:jc w:val="center"/>
        <w:ind w:right="-39"/>
        <w:spacing w:after="0"/>
        <w:rPr>
          <w:sz w:val="20"/>
          <w:szCs w:val="20"/>
          <w:color w:val="auto"/>
        </w:rPr>
      </w:pPr>
      <w:r>
        <w:rPr>
          <w:rFonts w:ascii="Arial" w:cs="Arial" w:eastAsia="Arial" w:hAnsi="Arial"/>
          <w:sz w:val="20"/>
          <w:szCs w:val="20"/>
          <w:color w:val="auto"/>
        </w:rPr>
        <w:t>33</w:t>
      </w:r>
    </w:p>
    <w:p>
      <w:pPr>
        <w:spacing w:after="0" w:line="10" w:lineRule="exact"/>
        <w:rPr>
          <w:sz w:val="20"/>
          <w:szCs w:val="20"/>
          <w:color w:val="auto"/>
        </w:rPr>
      </w:pPr>
    </w:p>
    <w:p>
      <w:pPr>
        <w:spacing w:after="0"/>
        <w:rPr>
          <w:sz w:val="20"/>
          <w:szCs w:val="20"/>
          <w:color w:val="auto"/>
        </w:rPr>
      </w:pPr>
      <w:r>
        <w:rPr>
          <w:rFonts w:ascii="Arial" w:cs="Arial" w:eastAsia="Arial" w:hAnsi="Arial"/>
          <w:sz w:val="14"/>
          <w:szCs w:val="14"/>
          <w:color w:val="auto"/>
        </w:rPr>
        <w:t>CHAR1\1346423v</w:t>
      </w:r>
      <w:r>
        <w:rPr>
          <w:rFonts w:ascii="Arial" w:cs="Arial" w:eastAsia="Arial" w:hAnsi="Arial"/>
          <w:sz w:val="14"/>
          <w:szCs w:val="14"/>
          <w:color w:val="FF0000"/>
          <w:strike w:val="1"/>
        </w:rPr>
        <w:t>1</w:t>
      </w:r>
      <w:r>
        <w:rPr>
          <w:rFonts w:ascii="Arial" w:cs="Arial" w:eastAsia="Arial" w:hAnsi="Arial"/>
          <w:sz w:val="14"/>
          <w:szCs w:val="14"/>
          <w:u w:val="single" w:color="auto"/>
          <w:color w:val="0000FF"/>
        </w:rPr>
        <w:t>12</w:t>
      </w:r>
    </w:p>
    <w:p>
      <w:pPr>
        <w:sectPr>
          <w:pgSz w:w="11900" w:h="16838" w:orient="portrait"/>
          <w:cols w:equalWidth="0" w:num="1">
            <w:col w:w="11400"/>
          </w:cols>
          <w:pgMar w:left="240" w:top="609" w:right="259" w:bottom="1440" w:gutter="0" w:footer="0" w:header="0"/>
        </w:sectPr>
      </w:pPr>
    </w:p>
    <w:bookmarkStart w:id="85" w:name="page86"/>
    <w:bookmarkEnd w:id="85"/>
    <w:p>
      <w:pPr>
        <w:ind w:right="260"/>
        <w:spacing w:after="0" w:line="338" w:lineRule="auto"/>
        <w:rPr>
          <w:sz w:val="20"/>
          <w:szCs w:val="20"/>
          <w:color w:val="auto"/>
        </w:rPr>
      </w:pPr>
      <w:r>
        <w:rPr>
          <w:rFonts w:ascii="Arial" w:cs="Arial" w:eastAsia="Arial" w:hAnsi="Arial"/>
          <w:sz w:val="18"/>
          <w:szCs w:val="18"/>
          <w:color w:val="auto"/>
        </w:rPr>
        <w:t>Period and (b) for any day with respect to any Base Rate Loan bearing interest at a rate based on the Fixed LIBOR Rate, a rate per annum determined by the Administrative Agent to be equal to the quotient obtained by dividing (i) the Fixed LIBOR Base Rate for such Base Rate Loan for such day by (ii) one minus the Fixed LIBOR Rate Reserve Percentage for such Base Rate Loan for such day.</w:t>
      </w:r>
    </w:p>
    <w:p>
      <w:pPr>
        <w:spacing w:after="0" w:line="152" w:lineRule="exact"/>
        <w:rPr>
          <w:sz w:val="20"/>
          <w:szCs w:val="20"/>
          <w:color w:val="auto"/>
        </w:rPr>
      </w:pPr>
    </w:p>
    <w:p>
      <w:pPr>
        <w:ind w:right="340" w:firstLine="648"/>
        <w:spacing w:after="0" w:line="292"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Fixed LIBOR Rate Loan</w:t>
      </w:r>
      <w:r>
        <w:rPr>
          <w:rFonts w:ascii="Arial" w:cs="Arial" w:eastAsia="Arial" w:hAnsi="Arial"/>
          <w:sz w:val="20"/>
          <w:szCs w:val="20"/>
          <w:color w:val="auto"/>
        </w:rPr>
        <w:t xml:space="preserve">” means a Loan that bears interest at a rate based on </w:t>
      </w:r>
      <w:r>
        <w:rPr>
          <w:rFonts w:ascii="Arial" w:cs="Arial" w:eastAsia="Arial" w:hAnsi="Arial"/>
          <w:sz w:val="20"/>
          <w:szCs w:val="20"/>
          <w:u w:val="single" w:color="auto"/>
          <w:color w:val="FF0000"/>
          <w:strike w:val="1"/>
        </w:rPr>
        <w:t>clauses</w:t>
      </w:r>
      <w:r>
        <w:rPr>
          <w:rFonts w:ascii="Arial" w:cs="Arial" w:eastAsia="Arial" w:hAnsi="Arial"/>
          <w:sz w:val="20"/>
          <w:szCs w:val="20"/>
          <w:u w:val="single" w:color="auto"/>
          <w:color w:val="0000FF"/>
        </w:rPr>
        <w:t>clause</w:t>
      </w:r>
      <w:r>
        <w:rPr>
          <w:rFonts w:ascii="Arial" w:cs="Arial" w:eastAsia="Arial" w:hAnsi="Arial"/>
          <w:sz w:val="20"/>
          <w:szCs w:val="20"/>
          <w:color w:val="auto"/>
        </w:rPr>
        <w:t xml:space="preserve"> (a</w:t>
      </w:r>
      <w:r>
        <w:rPr>
          <w:rFonts w:ascii="Arial" w:cs="Arial" w:eastAsia="Arial" w:hAnsi="Arial"/>
          <w:sz w:val="20"/>
          <w:szCs w:val="20"/>
          <w:u w:val="single" w:color="auto"/>
          <w:color w:val="FF0000"/>
          <w:strike w:val="1"/>
        </w:rPr>
        <w:t>) or (b</w:t>
      </w:r>
      <w:r>
        <w:rPr>
          <w:rFonts w:ascii="Arial" w:cs="Arial" w:eastAsia="Arial" w:hAnsi="Arial"/>
          <w:sz w:val="20"/>
          <w:szCs w:val="20"/>
          <w:color w:val="auto"/>
        </w:rPr>
        <w:t>) of the definition of “Fixed LIBOR Base Rate”. Fixed LIBOR Rate Loans may be denominated in Dollars or in an Alternative Currency. All Loans denominated in an Alternative Currency must be Fixed LIBOR Rate Loans.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5033645</wp:posOffset>
            </wp:positionH>
            <wp:positionV relativeFrom="paragraph">
              <wp:posOffset>-401955</wp:posOffset>
            </wp:positionV>
            <wp:extent cx="128905"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128905" cy="8890"/>
                    </a:xfrm>
                    <a:prstGeom prst="rect">
                      <a:avLst/>
                    </a:prstGeom>
                    <a:noFill/>
                  </pic:spPr>
                </pic:pic>
              </a:graphicData>
            </a:graphic>
          </wp:anchor>
        </w:drawing>
      </w:r>
    </w:p>
    <w:p>
      <w:pPr>
        <w:spacing w:after="0" w:line="167" w:lineRule="exact"/>
        <w:rPr>
          <w:sz w:val="20"/>
          <w:szCs w:val="20"/>
          <w:color w:val="auto"/>
        </w:rPr>
      </w:pPr>
    </w:p>
    <w:p>
      <w:pPr>
        <w:ind w:firstLine="648"/>
        <w:spacing w:after="0" w:line="303"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Fixed LIBOR Rate Reserve Percentage</w:t>
      </w:r>
      <w:r>
        <w:rPr>
          <w:rFonts w:ascii="Arial" w:cs="Arial" w:eastAsia="Arial" w:hAnsi="Arial"/>
          <w:sz w:val="19"/>
          <w:szCs w:val="19"/>
          <w:color w:val="auto"/>
        </w:rPr>
        <w:t>” means, for any day, the reserve percentage (expressed as a decimal, carried out to five decimal places) in effect on such day, whether or not applicable to any Lender, under regulations issued from time to time by the FRB for determining the maximum reserve requirement (including any emergency, supplemental or other marginal reserve requirement) with respect to Eurocurrency funding (currently referred to as “Eurocurrency liabilities”). The Fixed LIBOR Rate for each outstanding Fixed LIBOR Rate Loan and for each outstanding Base Rate Loan bearing interest at a rate based on the Fixed LIBOR Rate shall be adjusted automatically as of the effective date of any change in the Fixed LIBOR Rate Reserve Percentage.</w:t>
      </w:r>
    </w:p>
    <w:p>
      <w:pPr>
        <w:spacing w:after="0" w:line="182" w:lineRule="exact"/>
        <w:rPr>
          <w:sz w:val="20"/>
          <w:szCs w:val="20"/>
          <w:color w:val="auto"/>
        </w:rPr>
      </w:pPr>
    </w:p>
    <w:p>
      <w:pPr>
        <w:ind w:right="180" w:firstLine="648"/>
        <w:spacing w:after="0" w:line="303"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Fixed LIBOR Rate Unavailability Period</w:t>
      </w:r>
      <w:r>
        <w:rPr>
          <w:rFonts w:ascii="Arial" w:cs="Arial" w:eastAsia="Arial" w:hAnsi="Arial"/>
          <w:sz w:val="20"/>
          <w:szCs w:val="20"/>
          <w:color w:val="auto"/>
        </w:rPr>
        <w:t xml:space="preserve">” means any period of time during which a notice delivered to the Borrower in accordance with </w:t>
      </w:r>
      <w:r>
        <w:rPr>
          <w:rFonts w:ascii="Arial" w:cs="Arial" w:eastAsia="Arial" w:hAnsi="Arial"/>
          <w:sz w:val="20"/>
          <w:szCs w:val="20"/>
          <w:u w:val="single" w:color="auto"/>
          <w:color w:val="auto"/>
        </w:rPr>
        <w:t>clauses (a)</w:t>
      </w:r>
      <w:r>
        <w:rPr>
          <w:rFonts w:ascii="Arial" w:cs="Arial" w:eastAsia="Arial" w:hAnsi="Arial"/>
          <w:sz w:val="20"/>
          <w:szCs w:val="20"/>
          <w:color w:val="auto"/>
        </w:rPr>
        <w:t xml:space="preserve"> and </w:t>
      </w:r>
      <w:r>
        <w:rPr>
          <w:rFonts w:ascii="Arial" w:cs="Arial" w:eastAsia="Arial" w:hAnsi="Arial"/>
          <w:sz w:val="20"/>
          <w:szCs w:val="20"/>
          <w:u w:val="single" w:color="auto"/>
          <w:color w:val="auto"/>
        </w:rPr>
        <w:t>(b)</w:t>
      </w:r>
      <w:r>
        <w:rPr>
          <w:rFonts w:ascii="Arial" w:cs="Arial" w:eastAsia="Arial" w:hAnsi="Arial"/>
          <w:sz w:val="20"/>
          <w:szCs w:val="20"/>
          <w:color w:val="auto"/>
        </w:rPr>
        <w:t xml:space="preserve"> of </w:t>
      </w:r>
      <w:r>
        <w:rPr>
          <w:rFonts w:ascii="Arial" w:cs="Arial" w:eastAsia="Arial" w:hAnsi="Arial"/>
          <w:sz w:val="20"/>
          <w:szCs w:val="20"/>
          <w:u w:val="single" w:color="auto"/>
          <w:color w:val="auto"/>
        </w:rPr>
        <w:t>Section 3.03</w:t>
      </w:r>
      <w:r>
        <w:rPr>
          <w:rFonts w:ascii="Arial" w:cs="Arial" w:eastAsia="Arial" w:hAnsi="Arial"/>
          <w:sz w:val="20"/>
          <w:szCs w:val="20"/>
          <w:color w:val="auto"/>
        </w:rPr>
        <w:t xml:space="preserve"> shall remain in force and effect.</w:t>
      </w:r>
    </w:p>
    <w:p>
      <w:pPr>
        <w:spacing w:after="0" w:line="176" w:lineRule="exact"/>
        <w:rPr>
          <w:sz w:val="20"/>
          <w:szCs w:val="20"/>
          <w:color w:val="auto"/>
        </w:rPr>
      </w:pPr>
    </w:p>
    <w:p>
      <w:pPr>
        <w:ind w:firstLine="648"/>
        <w:spacing w:after="0" w:line="302"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Floating LIBOR Rate</w:t>
      </w:r>
      <w:r>
        <w:rPr>
          <w:rFonts w:ascii="Arial" w:cs="Arial" w:eastAsia="Arial" w:hAnsi="Arial"/>
          <w:sz w:val="19"/>
          <w:szCs w:val="19"/>
          <w:color w:val="auto"/>
        </w:rPr>
        <w:t xml:space="preserve">” means a fluctuating rate of interest set on the first Business Day of each month equal to the </w:t>
      </w:r>
      <w:r>
        <w:rPr>
          <w:rFonts w:ascii="Arial" w:cs="Arial" w:eastAsia="Arial" w:hAnsi="Arial"/>
          <w:sz w:val="19"/>
          <w:szCs w:val="19"/>
          <w:color w:val="FF0000"/>
          <w:strike w:val="1"/>
        </w:rPr>
        <w:t>one (1) month</w:t>
      </w:r>
      <w:r>
        <w:rPr>
          <w:rFonts w:ascii="Arial" w:cs="Arial" w:eastAsia="Arial" w:hAnsi="Arial"/>
          <w:sz w:val="19"/>
          <w:szCs w:val="19"/>
          <w:color w:val="auto"/>
        </w:rPr>
        <w:t xml:space="preserve"> </w:t>
      </w:r>
      <w:r>
        <w:rPr>
          <w:rFonts w:ascii="Arial" w:cs="Arial" w:eastAsia="Arial" w:hAnsi="Arial"/>
          <w:sz w:val="19"/>
          <w:szCs w:val="19"/>
          <w:color w:val="FF0000"/>
          <w:strike w:val="1"/>
        </w:rPr>
        <w:t>British Bankers Association LIBOR Rate for Dollar deposits as published by Reuters (or such other commercially available source providing quotations for such BBA LIBOR rate as may be designated by the Administrative Agent from time to time) on such Business Day</w:t>
      </w:r>
      <w:r>
        <w:rPr>
          <w:rFonts w:ascii="Arial" w:cs="Arial" w:eastAsia="Arial" w:hAnsi="Arial"/>
          <w:sz w:val="19"/>
          <w:szCs w:val="19"/>
          <w:u w:val="single" w:color="auto"/>
          <w:color w:val="0000FF"/>
          <w:strike w:val="1"/>
        </w:rPr>
        <w:t>LIBOR Rate</w:t>
      </w:r>
      <w:r>
        <w:rPr>
          <w:rFonts w:ascii="Arial" w:cs="Arial" w:eastAsia="Arial" w:hAnsi="Arial"/>
          <w:sz w:val="19"/>
          <w:szCs w:val="19"/>
          <w:color w:val="FF0000"/>
          <w:strike w:val="1"/>
        </w:rPr>
        <w:t xml:space="preserve"> </w:t>
      </w:r>
      <w:r>
        <w:rPr>
          <w:rFonts w:ascii="Arial" w:cs="Arial" w:eastAsia="Arial" w:hAnsi="Arial"/>
          <w:sz w:val="19"/>
          <w:szCs w:val="19"/>
          <w:u w:val="single" w:color="auto"/>
          <w:color w:val="0000FF"/>
          <w:strike w:val="1"/>
        </w:rPr>
        <w:t>at approximately 11:00 a.m. (London time) determined two Business Days prior thereto for Dollar deposits being delivered in the London interbank market for a term of one month commencing that day</w:t>
      </w:r>
      <w:r>
        <w:rPr>
          <w:rFonts w:ascii="Arial" w:cs="Arial" w:eastAsia="Arial" w:hAnsi="Arial"/>
          <w:sz w:val="19"/>
          <w:szCs w:val="19"/>
          <w:color w:val="0000FF"/>
          <w:strike w:val="1"/>
        </w:rPr>
        <w:t xml:space="preserve"> </w:t>
      </w:r>
      <w:r>
        <w:rPr>
          <w:rFonts w:ascii="Arial" w:cs="Arial" w:eastAsia="Arial" w:hAnsi="Arial"/>
          <w:sz w:val="19"/>
          <w:szCs w:val="19"/>
          <w:color w:val="000000"/>
          <w:strike w:val="1"/>
        </w:rPr>
        <w:t>(expressed as a decimal and rounded upward if the number shown in the last</w:t>
      </w:r>
      <w:r>
        <w:rPr>
          <w:rFonts w:ascii="Arial" w:cs="Arial" w:eastAsia="Arial" w:hAnsi="Arial"/>
          <w:sz w:val="19"/>
          <w:szCs w:val="19"/>
          <w:color w:val="0000FF"/>
          <w:strike w:val="1"/>
        </w:rPr>
        <w:t xml:space="preserve"> </w:t>
      </w:r>
      <w:r>
        <w:rPr>
          <w:rFonts w:ascii="Arial" w:cs="Arial" w:eastAsia="Arial" w:hAnsi="Arial"/>
          <w:sz w:val="19"/>
          <w:szCs w:val="19"/>
          <w:color w:val="000000"/>
          <w:strike w:val="1"/>
        </w:rPr>
        <w:t>decimal place is 5 or greater) adjusted from time to time in the sole discretion of the Administrative Agent for then applicable reserve requirements, deposit insurance assessment rates and other regulatory costs.</w:t>
      </w:r>
    </w:p>
    <w:p>
      <w:pPr>
        <w:spacing w:after="0" w:line="182" w:lineRule="exact"/>
        <w:rPr>
          <w:sz w:val="20"/>
          <w:szCs w:val="20"/>
          <w:color w:val="auto"/>
        </w:rPr>
      </w:pPr>
    </w:p>
    <w:p>
      <w:pPr>
        <w:ind w:right="360" w:firstLine="648"/>
        <w:spacing w:after="0" w:line="303"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Floating LIBOR Rate Loans</w:t>
      </w:r>
      <w:r>
        <w:rPr>
          <w:rFonts w:ascii="Arial" w:cs="Arial" w:eastAsia="Arial" w:hAnsi="Arial"/>
          <w:sz w:val="20"/>
          <w:szCs w:val="20"/>
          <w:color w:val="auto"/>
        </w:rPr>
        <w:t>” means a Loan that bears interest at a rate based on the Floating LIBOR Rate. Floating LIBOR Rate Loans may be denominated in Dollars only.</w:t>
      </w:r>
    </w:p>
    <w:p>
      <w:pPr>
        <w:spacing w:after="0" w:line="17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Foreign Borrower</w:t>
      </w:r>
      <w:r>
        <w:rPr>
          <w:rFonts w:ascii="Arial" w:cs="Arial" w:eastAsia="Arial" w:hAnsi="Arial"/>
          <w:sz w:val="20"/>
          <w:szCs w:val="20"/>
          <w:color w:val="auto"/>
        </w:rPr>
        <w:t>” means a Borrower that is not a Domestic Borrower.</w:t>
      </w:r>
    </w:p>
    <w:p>
      <w:pPr>
        <w:spacing w:after="0" w:line="256" w:lineRule="exact"/>
        <w:rPr>
          <w:sz w:val="20"/>
          <w:szCs w:val="20"/>
          <w:color w:val="auto"/>
        </w:rPr>
      </w:pPr>
    </w:p>
    <w:p>
      <w:pPr>
        <w:ind w:right="220" w:firstLine="648"/>
        <w:spacing w:after="0" w:line="3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Foreign Collateral Agent</w:t>
      </w:r>
      <w:r>
        <w:rPr>
          <w:rFonts w:ascii="Arial" w:cs="Arial" w:eastAsia="Arial" w:hAnsi="Arial"/>
          <w:sz w:val="18"/>
          <w:szCs w:val="18"/>
          <w:color w:val="auto"/>
        </w:rPr>
        <w:t>” means Bank of America in its capacity as collateral agent for the holders of the Foreign Obligations, the guaranties relating thereto and the other secured obligations identified in the collateral documents, and any successor in such capacity.</w:t>
      </w:r>
    </w:p>
    <w:p>
      <w:pPr>
        <w:spacing w:after="0" w:line="130" w:lineRule="exact"/>
        <w:rPr>
          <w:sz w:val="20"/>
          <w:szCs w:val="20"/>
          <w:color w:val="auto"/>
        </w:rPr>
      </w:pPr>
    </w:p>
    <w:p>
      <w:pPr>
        <w:ind w:right="420" w:firstLine="648"/>
        <w:spacing w:after="0" w:line="303"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Foreign Collateral Documents</w:t>
      </w:r>
      <w:r>
        <w:rPr>
          <w:rFonts w:ascii="Arial" w:cs="Arial" w:eastAsia="Arial" w:hAnsi="Arial"/>
          <w:sz w:val="20"/>
          <w:szCs w:val="20"/>
          <w:color w:val="auto"/>
        </w:rPr>
        <w:t>” means the Domestic Security Agreement, the Domestic Pledge Agreement, the Foreign Security Agreements, the Foreign Pledge Agreements and any other documents</w:t>
      </w:r>
    </w:p>
    <w:p>
      <w:pPr>
        <w:spacing w:after="0" w:line="392" w:lineRule="exact"/>
        <w:rPr>
          <w:sz w:val="20"/>
          <w:szCs w:val="20"/>
          <w:color w:val="auto"/>
        </w:rPr>
      </w:pPr>
    </w:p>
    <w:p>
      <w:pPr>
        <w:jc w:val="center"/>
        <w:ind w:right="-99"/>
        <w:spacing w:after="0"/>
        <w:rPr>
          <w:sz w:val="20"/>
          <w:szCs w:val="20"/>
          <w:color w:val="auto"/>
        </w:rPr>
      </w:pPr>
      <w:r>
        <w:rPr>
          <w:rFonts w:ascii="Arial" w:cs="Arial" w:eastAsia="Arial" w:hAnsi="Arial"/>
          <w:sz w:val="20"/>
          <w:szCs w:val="20"/>
          <w:color w:val="auto"/>
        </w:rPr>
        <w:t>34</w:t>
      </w:r>
    </w:p>
    <w:p>
      <w:pPr>
        <w:spacing w:after="0" w:line="10" w:lineRule="exact"/>
        <w:rPr>
          <w:sz w:val="20"/>
          <w:szCs w:val="20"/>
          <w:color w:val="auto"/>
        </w:rPr>
      </w:pPr>
    </w:p>
    <w:p>
      <w:pPr>
        <w:spacing w:after="0"/>
        <w:rPr>
          <w:sz w:val="20"/>
          <w:szCs w:val="20"/>
          <w:color w:val="auto"/>
        </w:rPr>
      </w:pPr>
      <w:r>
        <w:rPr>
          <w:rFonts w:ascii="Arial" w:cs="Arial" w:eastAsia="Arial" w:hAnsi="Arial"/>
          <w:sz w:val="14"/>
          <w:szCs w:val="14"/>
          <w:color w:val="auto"/>
        </w:rPr>
        <w:t>CHAR1\1346423v</w:t>
      </w:r>
      <w:r>
        <w:rPr>
          <w:rFonts w:ascii="Arial" w:cs="Arial" w:eastAsia="Arial" w:hAnsi="Arial"/>
          <w:sz w:val="14"/>
          <w:szCs w:val="14"/>
          <w:color w:val="FF0000"/>
          <w:strike w:val="1"/>
        </w:rPr>
        <w:t>1</w:t>
      </w:r>
      <w:r>
        <w:rPr>
          <w:rFonts w:ascii="Arial" w:cs="Arial" w:eastAsia="Arial" w:hAnsi="Arial"/>
          <w:sz w:val="14"/>
          <w:szCs w:val="14"/>
          <w:u w:val="single" w:color="auto"/>
          <w:color w:val="0000FF"/>
        </w:rPr>
        <w:t>12</w:t>
      </w:r>
    </w:p>
    <w:p>
      <w:pPr>
        <w:sectPr>
          <w:pgSz w:w="11900" w:h="16838" w:orient="portrait"/>
          <w:cols w:equalWidth="0" w:num="1">
            <w:col w:w="11320"/>
          </w:cols>
          <w:pgMar w:left="240" w:top="609" w:right="339" w:bottom="1440" w:gutter="0" w:footer="0" w:header="0"/>
        </w:sectPr>
      </w:pPr>
    </w:p>
    <w:bookmarkStart w:id="86" w:name="page87"/>
    <w:bookmarkEnd w:id="86"/>
    <w:p>
      <w:pPr>
        <w:spacing w:after="0"/>
        <w:rPr>
          <w:sz w:val="20"/>
          <w:szCs w:val="20"/>
          <w:color w:val="auto"/>
        </w:rPr>
      </w:pPr>
      <w:r>
        <w:rPr>
          <w:rFonts w:ascii="Arial" w:cs="Arial" w:eastAsia="Arial" w:hAnsi="Arial"/>
          <w:sz w:val="19"/>
          <w:szCs w:val="19"/>
          <w:color w:val="auto"/>
        </w:rPr>
        <w:t>executed and delivered in connection with the attachment and perfection of security interests granted to secure the Foreign Obligations.</w:t>
      </w:r>
    </w:p>
    <w:p>
      <w:pPr>
        <w:spacing w:after="0" w:line="268"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Foreign Credit Party</w:t>
      </w:r>
      <w:r>
        <w:rPr>
          <w:rFonts w:ascii="Arial" w:cs="Arial" w:eastAsia="Arial" w:hAnsi="Arial"/>
          <w:sz w:val="20"/>
          <w:szCs w:val="20"/>
          <w:color w:val="auto"/>
        </w:rPr>
        <w:t>” means a Credit Party that is not a Domestic Credit Party.</w:t>
      </w:r>
    </w:p>
    <w:p>
      <w:pPr>
        <w:spacing w:after="0" w:line="256" w:lineRule="exact"/>
        <w:rPr>
          <w:sz w:val="20"/>
          <w:szCs w:val="20"/>
          <w:color w:val="auto"/>
        </w:rPr>
      </w:pPr>
    </w:p>
    <w:p>
      <w:pPr>
        <w:ind w:right="20" w:firstLine="648"/>
        <w:spacing w:after="0" w:line="287"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Foreign Guarantors</w:t>
      </w:r>
      <w:r>
        <w:rPr>
          <w:rFonts w:ascii="Arial" w:cs="Arial" w:eastAsia="Arial" w:hAnsi="Arial"/>
          <w:sz w:val="20"/>
          <w:szCs w:val="20"/>
          <w:color w:val="auto"/>
        </w:rPr>
        <w:t>” means (i) EWI, (ii) the Domestic Guarantors, (iii) the Foreign Borrowers (other than the India Borrower), (iv) the Foreign Subsidiaries identified on the signature pages hereto as “Foreign Guarantors”, (v) each Person who gives a Guaranty in regards to the Foreign Obligations and (vi) each other Foreign Subsidiary which after the Closing Date becomes a Foreign Guarantor pursuant to a Joinder Agreement or other documentation in form and substance reasonably acceptable to the Administrative Agent, in each case together with their respective successors and permitted assigns.</w:t>
      </w:r>
    </w:p>
    <w:p>
      <w:pPr>
        <w:spacing w:after="0" w:line="192" w:lineRule="exact"/>
        <w:rPr>
          <w:sz w:val="20"/>
          <w:szCs w:val="20"/>
          <w:color w:val="auto"/>
        </w:rPr>
      </w:pPr>
    </w:p>
    <w:p>
      <w:pPr>
        <w:jc w:val="both"/>
        <w:ind w:right="60" w:firstLine="648"/>
        <w:spacing w:after="0" w:line="32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Foreign Lender</w:t>
      </w:r>
      <w:r>
        <w:rPr>
          <w:rFonts w:ascii="Arial" w:cs="Arial" w:eastAsia="Arial" w:hAnsi="Arial"/>
          <w:sz w:val="18"/>
          <w:szCs w:val="18"/>
          <w:color w:val="auto"/>
        </w:rPr>
        <w:t xml:space="preserve">” means, with respect to any Borrower, </w:t>
      </w:r>
      <w:r>
        <w:rPr>
          <w:rFonts w:ascii="Arial" w:cs="Arial" w:eastAsia="Arial" w:hAnsi="Arial"/>
          <w:sz w:val="18"/>
          <w:szCs w:val="18"/>
          <w:color w:val="FF0000"/>
          <w:strike w:val="1"/>
        </w:rPr>
        <w:t>any Lender that is</w:t>
      </w:r>
      <w:r>
        <w:rPr>
          <w:rFonts w:ascii="Arial" w:cs="Arial" w:eastAsia="Arial" w:hAnsi="Arial"/>
          <w:sz w:val="18"/>
          <w:szCs w:val="18"/>
          <w:u w:val="single" w:color="auto"/>
          <w:color w:val="0000FF"/>
        </w:rPr>
        <w:t>(a) if such Borrower is a U.S. Person, a Lender that is not a</w:t>
      </w:r>
      <w:r>
        <w:rPr>
          <w:rFonts w:ascii="Arial" w:cs="Arial" w:eastAsia="Arial" w:hAnsi="Arial"/>
          <w:sz w:val="18"/>
          <w:szCs w:val="18"/>
          <w:color w:val="auto"/>
        </w:rPr>
        <w:t xml:space="preserve"> </w:t>
      </w:r>
      <w:r>
        <w:rPr>
          <w:rFonts w:ascii="Arial" w:cs="Arial" w:eastAsia="Arial" w:hAnsi="Arial"/>
          <w:sz w:val="18"/>
          <w:szCs w:val="18"/>
          <w:u w:val="single" w:color="auto"/>
          <w:color w:val="0000FF"/>
        </w:rPr>
        <w:t>U.S. Person, and (b) if the Borrower is not a U.S. Person, a Lender that is resident or</w:t>
      </w:r>
      <w:r>
        <w:rPr>
          <w:rFonts w:ascii="Arial" w:cs="Arial" w:eastAsia="Arial" w:hAnsi="Arial"/>
          <w:sz w:val="18"/>
          <w:szCs w:val="18"/>
          <w:color w:val="0000FF"/>
        </w:rPr>
        <w:t xml:space="preserve"> </w:t>
      </w:r>
      <w:r>
        <w:rPr>
          <w:rFonts w:ascii="Arial" w:cs="Arial" w:eastAsia="Arial" w:hAnsi="Arial"/>
          <w:sz w:val="18"/>
          <w:szCs w:val="18"/>
          <w:color w:val="000000"/>
        </w:rPr>
        <w:t>organized under the</w:t>
      </w:r>
      <w:r>
        <w:rPr>
          <w:rFonts w:ascii="Arial" w:cs="Arial" w:eastAsia="Arial" w:hAnsi="Arial"/>
          <w:sz w:val="18"/>
          <w:szCs w:val="18"/>
          <w:color w:val="0000FF"/>
        </w:rPr>
        <w:t xml:space="preserve"> </w:t>
      </w:r>
      <w:r>
        <w:rPr>
          <w:rFonts w:ascii="Arial" w:cs="Arial" w:eastAsia="Arial" w:hAnsi="Arial"/>
          <w:sz w:val="18"/>
          <w:szCs w:val="18"/>
          <w:color w:val="FF0000"/>
          <w:strike w:val="1"/>
        </w:rPr>
        <w:t>Laws</w:t>
      </w:r>
      <w:r>
        <w:rPr>
          <w:rFonts w:ascii="Arial" w:cs="Arial" w:eastAsia="Arial" w:hAnsi="Arial"/>
          <w:sz w:val="18"/>
          <w:szCs w:val="18"/>
          <w:u w:val="single" w:color="auto"/>
          <w:color w:val="0000FF"/>
        </w:rPr>
        <w:t>laws</w:t>
      </w:r>
      <w:r>
        <w:rPr>
          <w:rFonts w:ascii="Arial" w:cs="Arial" w:eastAsia="Arial" w:hAnsi="Arial"/>
          <w:sz w:val="18"/>
          <w:szCs w:val="18"/>
          <w:color w:val="0000FF"/>
        </w:rPr>
        <w:t xml:space="preserve"> </w:t>
      </w:r>
      <w:r>
        <w:rPr>
          <w:rFonts w:ascii="Arial" w:cs="Arial" w:eastAsia="Arial" w:hAnsi="Arial"/>
          <w:sz w:val="18"/>
          <w:szCs w:val="18"/>
          <w:color w:val="000000"/>
        </w:rPr>
        <w:t>of a jurisdiction other than</w:t>
      </w:r>
      <w:r>
        <w:rPr>
          <w:rFonts w:ascii="Arial" w:cs="Arial" w:eastAsia="Arial" w:hAnsi="Arial"/>
          <w:sz w:val="18"/>
          <w:szCs w:val="18"/>
          <w:color w:val="0000FF"/>
        </w:rPr>
        <w:t xml:space="preserve"> </w:t>
      </w:r>
      <w:r>
        <w:rPr>
          <w:rFonts w:ascii="Arial" w:cs="Arial" w:eastAsia="Arial" w:hAnsi="Arial"/>
          <w:sz w:val="18"/>
          <w:szCs w:val="18"/>
          <w:color w:val="000000"/>
        </w:rPr>
        <w:t xml:space="preserve">that in which the Borrower is resident for tax purposes </w:t>
      </w:r>
      <w:r>
        <w:rPr>
          <w:rFonts w:ascii="Arial" w:cs="Arial" w:eastAsia="Arial" w:hAnsi="Arial"/>
          <w:sz w:val="18"/>
          <w:szCs w:val="18"/>
          <w:color w:val="FF0000"/>
          <w:strike w:val="1"/>
        </w:rPr>
        <w:t>(including such a Lender when acting in the capacity of the L/C Issuer)</w:t>
      </w:r>
      <w:r>
        <w:rPr>
          <w:rFonts w:ascii="Arial" w:cs="Arial" w:eastAsia="Arial" w:hAnsi="Arial"/>
          <w:sz w:val="18"/>
          <w:szCs w:val="18"/>
          <w:color w:val="000000"/>
        </w:rPr>
        <w:t>. For purposes of this definition, the United States, each State thereof and the District of Columbia shall be deemed to constitute a single jurisdiction.</w:t>
      </w:r>
    </w:p>
    <w:p>
      <w:pPr>
        <w:spacing w:after="0" w:line="162" w:lineRule="exact"/>
        <w:rPr>
          <w:sz w:val="20"/>
          <w:szCs w:val="20"/>
          <w:color w:val="auto"/>
        </w:rPr>
      </w:pPr>
    </w:p>
    <w:p>
      <w:pPr>
        <w:jc w:val="both"/>
        <w:ind w:right="60" w:firstLine="648"/>
        <w:spacing w:after="0" w:line="3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Foreign Obligations</w:t>
      </w:r>
      <w:r>
        <w:rPr>
          <w:rFonts w:ascii="Arial" w:cs="Arial" w:eastAsia="Arial" w:hAnsi="Arial"/>
          <w:sz w:val="18"/>
          <w:szCs w:val="18"/>
          <w:color w:val="auto"/>
        </w:rPr>
        <w:t>” means Obligations of the Foreign Subsidiaries of EWI, including the Revolving Loan Obligations and Term Loans owing by the Foreign Borrowers, but excluding, in any event, any Obligation owing by any Domestic Borrower or Domestic Subsidiary.</w:t>
      </w:r>
    </w:p>
    <w:p>
      <w:pPr>
        <w:spacing w:after="0" w:line="130"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Foreign Obligor</w:t>
      </w:r>
      <w:r>
        <w:rPr>
          <w:rFonts w:ascii="Arial" w:cs="Arial" w:eastAsia="Arial" w:hAnsi="Arial"/>
          <w:sz w:val="20"/>
          <w:szCs w:val="20"/>
          <w:color w:val="auto"/>
        </w:rPr>
        <w:t>” means a Credit Party that is a Foreign Subsidiary.</w:t>
      </w:r>
    </w:p>
    <w:p>
      <w:pPr>
        <w:spacing w:after="0" w:line="256" w:lineRule="exact"/>
        <w:rPr>
          <w:sz w:val="20"/>
          <w:szCs w:val="20"/>
          <w:color w:val="auto"/>
        </w:rPr>
      </w:pPr>
    </w:p>
    <w:p>
      <w:pPr>
        <w:ind w:firstLine="648"/>
        <w:spacing w:after="0" w:line="288"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Foreign Pledge Agreement</w:t>
      </w:r>
      <w:r>
        <w:rPr>
          <w:rFonts w:ascii="Arial" w:cs="Arial" w:eastAsia="Arial" w:hAnsi="Arial"/>
          <w:sz w:val="20"/>
          <w:szCs w:val="20"/>
          <w:color w:val="auto"/>
        </w:rPr>
        <w:t>” means the pledge agreement dated as of the Closing Date, and any other pledge agreement, given by the Foreign Credit Parties (other than the India Borrower and its Subsidiaries organized and existing under the laws of India), as pledgors, to the Foreign Collateral Agent to secure the Foreign Obligations, in each case as the same may be amended, modified, extended, renewed or replaced from time to time.</w:t>
      </w:r>
    </w:p>
    <w:p>
      <w:pPr>
        <w:spacing w:after="0" w:line="193" w:lineRule="exact"/>
        <w:rPr>
          <w:sz w:val="20"/>
          <w:szCs w:val="20"/>
          <w:color w:val="auto"/>
        </w:rPr>
      </w:pPr>
    </w:p>
    <w:p>
      <w:pPr>
        <w:ind w:firstLine="648"/>
        <w:spacing w:after="0" w:line="288"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Foreign Security Agreement</w:t>
      </w:r>
      <w:r>
        <w:rPr>
          <w:rFonts w:ascii="Arial" w:cs="Arial" w:eastAsia="Arial" w:hAnsi="Arial"/>
          <w:sz w:val="20"/>
          <w:szCs w:val="20"/>
          <w:color w:val="auto"/>
        </w:rPr>
        <w:t xml:space="preserve">” means </w:t>
      </w:r>
      <w:r>
        <w:rPr>
          <w:rFonts w:ascii="Arial" w:cs="Arial" w:eastAsia="Arial" w:hAnsi="Arial"/>
          <w:sz w:val="20"/>
          <w:szCs w:val="20"/>
          <w:color w:val="FF0000"/>
          <w:strike w:val="1"/>
        </w:rPr>
        <w:t>the security agreement dated as of the Closing Date, and any other security agreement, given by</w:t>
      </w:r>
      <w:r>
        <w:rPr>
          <w:rFonts w:ascii="Arial" w:cs="Arial" w:eastAsia="Arial" w:hAnsi="Arial"/>
          <w:sz w:val="20"/>
          <w:szCs w:val="20"/>
          <w:color w:val="auto"/>
        </w:rPr>
        <w:t xml:space="preserve"> </w:t>
      </w:r>
      <w:r>
        <w:rPr>
          <w:rFonts w:ascii="Arial" w:cs="Arial" w:eastAsia="Arial" w:hAnsi="Arial"/>
          <w:sz w:val="20"/>
          <w:szCs w:val="20"/>
          <w:color w:val="FF0000"/>
          <w:strike w:val="1"/>
        </w:rPr>
        <w:t>the Foreign Credit Parties (other than the India Borrower and its Subsidiaries organized and existing under the laws of India), as grantors, to the Foreign Collateral Agent to secure the Foreign Obligations, in each case as the same may be amended, modified, extended, renewed or replaced from time to time.</w:t>
      </w:r>
      <w:r>
        <w:rPr>
          <w:rFonts w:ascii="Arial" w:cs="Arial" w:eastAsia="Arial" w:hAnsi="Arial"/>
          <w:sz w:val="20"/>
          <w:szCs w:val="20"/>
          <w:u w:val="single" w:color="auto"/>
          <w:color w:val="0000FF"/>
          <w:strike w:val="1"/>
        </w:rPr>
        <w:t>[Released per terms of Amendment No. 1].</w:t>
      </w:r>
    </w:p>
    <w:p>
      <w:pPr>
        <w:spacing w:after="0" w:line="193"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Foreign Subsidiary</w:t>
      </w:r>
      <w:r>
        <w:rPr>
          <w:rFonts w:ascii="Arial" w:cs="Arial" w:eastAsia="Arial" w:hAnsi="Arial"/>
          <w:sz w:val="20"/>
          <w:szCs w:val="20"/>
          <w:color w:val="auto"/>
        </w:rPr>
        <w:t>” means any Subsidiary that is not a Domestic Subsidiary.</w:t>
      </w:r>
    </w:p>
    <w:p>
      <w:pPr>
        <w:spacing w:after="0" w:line="25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FRB</w:t>
      </w:r>
      <w:r>
        <w:rPr>
          <w:rFonts w:ascii="Arial" w:cs="Arial" w:eastAsia="Arial" w:hAnsi="Arial"/>
          <w:sz w:val="20"/>
          <w:szCs w:val="20"/>
          <w:color w:val="auto"/>
        </w:rPr>
        <w:t>” means the Board of Governors of the Federal Reserve System of the United States.</w:t>
      </w:r>
    </w:p>
    <w:p>
      <w:pPr>
        <w:spacing w:after="0" w:line="256" w:lineRule="exact"/>
        <w:rPr>
          <w:sz w:val="20"/>
          <w:szCs w:val="20"/>
          <w:color w:val="auto"/>
        </w:rPr>
      </w:pPr>
    </w:p>
    <w:p>
      <w:pPr>
        <w:ind w:right="260" w:firstLine="648"/>
        <w:spacing w:after="0" w:line="33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Fronting Exposure</w:t>
      </w:r>
      <w:r>
        <w:rPr>
          <w:rFonts w:ascii="Arial" w:cs="Arial" w:eastAsia="Arial" w:hAnsi="Arial"/>
          <w:sz w:val="18"/>
          <w:szCs w:val="18"/>
          <w:color w:val="auto"/>
        </w:rPr>
        <w:t xml:space="preserve">” means, at any time there is a Defaulting Lender, (a) with respect to the L/C Issuers, such Defaulting Lender’s </w:t>
      </w:r>
      <w:r>
        <w:rPr>
          <w:rFonts w:ascii="Arial" w:cs="Arial" w:eastAsia="Arial" w:hAnsi="Arial"/>
          <w:sz w:val="18"/>
          <w:szCs w:val="18"/>
          <w:color w:val="FF0000"/>
          <w:strike w:val="1"/>
        </w:rPr>
        <w:t>Revolving Commitment Percentage</w:t>
      </w:r>
      <w:r>
        <w:rPr>
          <w:rFonts w:ascii="Arial" w:cs="Arial" w:eastAsia="Arial" w:hAnsi="Arial"/>
          <w:sz w:val="18"/>
          <w:szCs w:val="18"/>
          <w:u w:val="single" w:color="auto"/>
          <w:color w:val="0000FF"/>
        </w:rPr>
        <w:t>pro rata share</w:t>
      </w:r>
      <w:r>
        <w:rPr>
          <w:rFonts w:ascii="Arial" w:cs="Arial" w:eastAsia="Arial" w:hAnsi="Arial"/>
          <w:sz w:val="18"/>
          <w:szCs w:val="18"/>
          <w:color w:val="FF0000"/>
        </w:rPr>
        <w:t xml:space="preserve"> </w:t>
      </w:r>
      <w:r>
        <w:rPr>
          <w:rFonts w:ascii="Arial" w:cs="Arial" w:eastAsia="Arial" w:hAnsi="Arial"/>
          <w:sz w:val="18"/>
          <w:szCs w:val="18"/>
          <w:color w:val="000000"/>
        </w:rPr>
        <w:t>of the outstanding L/C Obligations other than L/C Obligations as to which such Defaulting</w:t>
      </w:r>
      <w:r>
        <w:rPr>
          <w:rFonts w:ascii="Arial" w:cs="Arial" w:eastAsia="Arial" w:hAnsi="Arial"/>
          <w:sz w:val="18"/>
          <w:szCs w:val="18"/>
          <w:color w:val="FF0000"/>
        </w:rPr>
        <w:t xml:space="preserve"> </w:t>
      </w:r>
      <w:r>
        <w:rPr>
          <w:rFonts w:ascii="Arial" w:cs="Arial" w:eastAsia="Arial" w:hAnsi="Arial"/>
          <w:sz w:val="18"/>
          <w:szCs w:val="18"/>
          <w:color w:val="000000"/>
        </w:rPr>
        <w:t>Lender’s participation obligation has been reallocated to other Lenders or Cash Collateralized in accordance with the terms hereof, and (b)</w:t>
      </w:r>
    </w:p>
    <w:p>
      <w:pPr>
        <w:spacing w:after="0" w:line="368"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35</w:t>
      </w:r>
    </w:p>
    <w:p>
      <w:pPr>
        <w:spacing w:after="0" w:line="10" w:lineRule="exact"/>
        <w:rPr>
          <w:sz w:val="20"/>
          <w:szCs w:val="20"/>
          <w:color w:val="auto"/>
        </w:rPr>
      </w:pPr>
    </w:p>
    <w:p>
      <w:pPr>
        <w:spacing w:after="0"/>
        <w:rPr>
          <w:sz w:val="20"/>
          <w:szCs w:val="20"/>
          <w:color w:val="auto"/>
        </w:rPr>
      </w:pPr>
      <w:r>
        <w:rPr>
          <w:rFonts w:ascii="Arial" w:cs="Arial" w:eastAsia="Arial" w:hAnsi="Arial"/>
          <w:sz w:val="14"/>
          <w:szCs w:val="14"/>
          <w:color w:val="auto"/>
        </w:rPr>
        <w:t>CHAR1\1346423v</w:t>
      </w:r>
      <w:r>
        <w:rPr>
          <w:rFonts w:ascii="Arial" w:cs="Arial" w:eastAsia="Arial" w:hAnsi="Arial"/>
          <w:sz w:val="14"/>
          <w:szCs w:val="14"/>
          <w:color w:val="FF0000"/>
          <w:strike w:val="1"/>
        </w:rPr>
        <w:t>1</w:t>
      </w:r>
      <w:r>
        <w:rPr>
          <w:rFonts w:ascii="Arial" w:cs="Arial" w:eastAsia="Arial" w:hAnsi="Arial"/>
          <w:sz w:val="14"/>
          <w:szCs w:val="14"/>
          <w:u w:val="single" w:color="auto"/>
          <w:color w:val="0000FF"/>
        </w:rPr>
        <w:t>12</w:t>
      </w:r>
    </w:p>
    <w:p>
      <w:pPr>
        <w:sectPr>
          <w:pgSz w:w="11900" w:h="16838" w:orient="portrait"/>
          <w:cols w:equalWidth="0" w:num="1">
            <w:col w:w="11420"/>
          </w:cols>
          <w:pgMar w:left="240" w:top="609" w:right="239" w:bottom="1440" w:gutter="0" w:footer="0" w:header="0"/>
        </w:sectPr>
      </w:pPr>
    </w:p>
    <w:bookmarkStart w:id="87" w:name="page88"/>
    <w:bookmarkEnd w:id="87"/>
    <w:p>
      <w:pPr>
        <w:ind w:right="280"/>
        <w:spacing w:after="0" w:line="292" w:lineRule="auto"/>
        <w:rPr>
          <w:sz w:val="20"/>
          <w:szCs w:val="20"/>
          <w:color w:val="auto"/>
        </w:rPr>
      </w:pPr>
      <w:r>
        <w:rPr>
          <w:rFonts w:ascii="Arial" w:cs="Arial" w:eastAsia="Arial" w:hAnsi="Arial"/>
          <w:sz w:val="20"/>
          <w:szCs w:val="20"/>
          <w:color w:val="auto"/>
        </w:rPr>
        <w:t xml:space="preserve">with respect to the Swingline Lenders, such Defaulting Lender’s </w:t>
      </w:r>
      <w:r>
        <w:rPr>
          <w:rFonts w:ascii="Arial" w:cs="Arial" w:eastAsia="Arial" w:hAnsi="Arial"/>
          <w:sz w:val="20"/>
          <w:szCs w:val="20"/>
          <w:color w:val="FF0000"/>
          <w:strike w:val="1"/>
        </w:rPr>
        <w:t>Revolving Commitment Percentage</w:t>
      </w:r>
      <w:r>
        <w:rPr>
          <w:rFonts w:ascii="Arial" w:cs="Arial" w:eastAsia="Arial" w:hAnsi="Arial"/>
          <w:sz w:val="20"/>
          <w:szCs w:val="20"/>
          <w:u w:val="single" w:color="auto"/>
          <w:color w:val="0000FF"/>
        </w:rPr>
        <w:t>pro rata share</w:t>
      </w:r>
      <w:r>
        <w:rPr>
          <w:rFonts w:ascii="Arial" w:cs="Arial" w:eastAsia="Arial" w:hAnsi="Arial"/>
          <w:sz w:val="20"/>
          <w:szCs w:val="20"/>
          <w:color w:val="auto"/>
        </w:rPr>
        <w:t xml:space="preserve"> of Swingline Loans other than Swingline Loans as to which such Defaulting Lender’s participation obligation has been reallocated to other Lenders or Cash Collateralized in accordance with the terms hereof.</w:t>
      </w:r>
    </w:p>
    <w:p>
      <w:pPr>
        <w:spacing w:after="0" w:line="187" w:lineRule="exact"/>
        <w:rPr>
          <w:sz w:val="20"/>
          <w:szCs w:val="20"/>
          <w:color w:val="auto"/>
        </w:rPr>
      </w:pPr>
    </w:p>
    <w:p>
      <w:pPr>
        <w:ind w:right="660" w:firstLine="648"/>
        <w:spacing w:after="0" w:line="303"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Fund</w:t>
      </w:r>
      <w:r>
        <w:rPr>
          <w:rFonts w:ascii="Arial" w:cs="Arial" w:eastAsia="Arial" w:hAnsi="Arial"/>
          <w:sz w:val="20"/>
          <w:szCs w:val="20"/>
          <w:color w:val="auto"/>
        </w:rPr>
        <w:t>” means any Person (other than a natural person) that is (or will be) engaged in making, purchasing, holding or otherwise investing in commercial loans and similar extensions of credit in the ordinary course of its activities.</w:t>
      </w:r>
    </w:p>
    <w:p>
      <w:pPr>
        <w:spacing w:after="0" w:line="176" w:lineRule="exact"/>
        <w:rPr>
          <w:sz w:val="20"/>
          <w:szCs w:val="20"/>
          <w:color w:val="auto"/>
        </w:rPr>
      </w:pPr>
    </w:p>
    <w:p>
      <w:pPr>
        <w:ind w:right="600" w:firstLine="648"/>
        <w:spacing w:after="0" w:line="303"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Funded Debt</w:t>
      </w:r>
      <w:r>
        <w:rPr>
          <w:rFonts w:ascii="Arial" w:cs="Arial" w:eastAsia="Arial" w:hAnsi="Arial"/>
          <w:sz w:val="20"/>
          <w:szCs w:val="20"/>
          <w:color w:val="auto"/>
        </w:rPr>
        <w:t>” means, as to any Person at a particular time, without duplication, all of the following, whether or not included as indebtedness or liabilities in accordance with GAAP:</w:t>
      </w:r>
    </w:p>
    <w:p>
      <w:pPr>
        <w:spacing w:after="0" w:line="176" w:lineRule="exact"/>
        <w:rPr>
          <w:sz w:val="20"/>
          <w:szCs w:val="20"/>
          <w:color w:val="auto"/>
        </w:rPr>
      </w:pPr>
    </w:p>
    <w:p>
      <w:pPr>
        <w:ind w:left="660" w:right="840" w:firstLine="645"/>
        <w:spacing w:after="0" w:line="346" w:lineRule="auto"/>
        <w:tabs>
          <w:tab w:leader="none" w:pos="1708" w:val="left"/>
        </w:tabs>
        <w:numPr>
          <w:ilvl w:val="0"/>
          <w:numId w:val="42"/>
        </w:numPr>
        <w:rPr>
          <w:rFonts w:ascii="Arial" w:cs="Arial" w:eastAsia="Arial" w:hAnsi="Arial"/>
          <w:sz w:val="19"/>
          <w:szCs w:val="19"/>
          <w:color w:val="auto"/>
        </w:rPr>
      </w:pPr>
      <w:r>
        <w:rPr>
          <w:rFonts w:ascii="Arial" w:cs="Arial" w:eastAsia="Arial" w:hAnsi="Arial"/>
          <w:sz w:val="19"/>
          <w:szCs w:val="19"/>
          <w:color w:val="auto"/>
        </w:rPr>
        <w:t>all obligations for borrowed money, whether current or long-term (including the Obligations hereunder), and all obligations evidenced by bonds, debentures, notes, loan agreements or other similar instruments;</w:t>
      </w:r>
    </w:p>
    <w:p>
      <w:pPr>
        <w:spacing w:after="0" w:line="139" w:lineRule="exact"/>
        <w:rPr>
          <w:rFonts w:ascii="Arial" w:cs="Arial" w:eastAsia="Arial" w:hAnsi="Arial"/>
          <w:sz w:val="19"/>
          <w:szCs w:val="19"/>
          <w:color w:val="auto"/>
        </w:rPr>
      </w:pPr>
    </w:p>
    <w:p>
      <w:pPr>
        <w:ind w:left="1720" w:hanging="415"/>
        <w:spacing w:after="0"/>
        <w:tabs>
          <w:tab w:leader="none" w:pos="1720" w:val="left"/>
        </w:tabs>
        <w:numPr>
          <w:ilvl w:val="0"/>
          <w:numId w:val="42"/>
        </w:numPr>
        <w:rPr>
          <w:rFonts w:ascii="Arial" w:cs="Arial" w:eastAsia="Arial" w:hAnsi="Arial"/>
          <w:sz w:val="16"/>
          <w:szCs w:val="16"/>
          <w:color w:val="auto"/>
        </w:rPr>
      </w:pPr>
      <w:r>
        <w:rPr>
          <w:rFonts w:ascii="Arial" w:cs="Arial" w:eastAsia="Arial" w:hAnsi="Arial"/>
          <w:sz w:val="16"/>
          <w:szCs w:val="16"/>
          <w:color w:val="auto"/>
        </w:rPr>
        <w:t>all purchase money indebtedness (including indebtedness and obligations in respect of conditional sales and title retention</w:t>
      </w:r>
    </w:p>
    <w:p>
      <w:pPr>
        <w:spacing w:after="0" w:line="99" w:lineRule="exact"/>
        <w:rPr>
          <w:rFonts w:ascii="Arial" w:cs="Arial" w:eastAsia="Arial" w:hAnsi="Arial"/>
          <w:sz w:val="16"/>
          <w:szCs w:val="16"/>
          <w:color w:val="auto"/>
        </w:rPr>
      </w:pPr>
    </w:p>
    <w:p>
      <w:pPr>
        <w:ind w:left="660"/>
        <w:spacing w:after="0" w:line="329" w:lineRule="auto"/>
        <w:rPr>
          <w:rFonts w:ascii="Arial" w:cs="Arial" w:eastAsia="Arial" w:hAnsi="Arial"/>
          <w:sz w:val="16"/>
          <w:szCs w:val="16"/>
          <w:color w:val="auto"/>
        </w:rPr>
      </w:pPr>
      <w:r>
        <w:rPr>
          <w:rFonts w:ascii="Arial" w:cs="Arial" w:eastAsia="Arial" w:hAnsi="Arial"/>
          <w:sz w:val="18"/>
          <w:szCs w:val="18"/>
          <w:color w:val="auto"/>
        </w:rPr>
        <w:t>arrangements, except for customary conditional sales and title retention arrangements with suppliers that are entered into in the ordinary course of business) and all indebtedness and obligations in respect of the deferred purchase price of property or services (other than (i) trade accounts payable incurred in the ordinary course of business and payable on customary trade terms, (ii) unpaid expenses accrued in the ordinary course of business and (iii) contingent consideration in connection with Acquisitions);</w:t>
      </w:r>
    </w:p>
    <w:p>
      <w:pPr>
        <w:spacing w:after="0" w:line="161" w:lineRule="exact"/>
        <w:rPr>
          <w:rFonts w:ascii="Arial" w:cs="Arial" w:eastAsia="Arial" w:hAnsi="Arial"/>
          <w:sz w:val="16"/>
          <w:szCs w:val="16"/>
          <w:color w:val="auto"/>
        </w:rPr>
      </w:pPr>
    </w:p>
    <w:p>
      <w:pPr>
        <w:ind w:left="660" w:right="700" w:firstLine="645"/>
        <w:spacing w:after="0" w:line="317" w:lineRule="auto"/>
        <w:tabs>
          <w:tab w:leader="none" w:pos="1708" w:val="left"/>
        </w:tabs>
        <w:numPr>
          <w:ilvl w:val="0"/>
          <w:numId w:val="42"/>
        </w:numPr>
        <w:rPr>
          <w:rFonts w:ascii="Arial" w:cs="Arial" w:eastAsia="Arial" w:hAnsi="Arial"/>
          <w:sz w:val="20"/>
          <w:szCs w:val="20"/>
          <w:color w:val="auto"/>
        </w:rPr>
      </w:pPr>
      <w:r>
        <w:rPr>
          <w:rFonts w:ascii="Arial" w:cs="Arial" w:eastAsia="Arial" w:hAnsi="Arial"/>
          <w:sz w:val="20"/>
          <w:szCs w:val="20"/>
          <w:color w:val="auto"/>
        </w:rPr>
        <w:t>all direct obligations under letters of credit (including standby and commercial), bankers’ acceptances and similar instruments (including bank guaranties and surety bonds);</w:t>
      </w:r>
    </w:p>
    <w:p>
      <w:pPr>
        <w:spacing w:after="0" w:line="162" w:lineRule="exact"/>
        <w:rPr>
          <w:rFonts w:ascii="Arial" w:cs="Arial" w:eastAsia="Arial" w:hAnsi="Arial"/>
          <w:sz w:val="20"/>
          <w:szCs w:val="20"/>
          <w:color w:val="auto"/>
        </w:rPr>
      </w:pPr>
    </w:p>
    <w:p>
      <w:pPr>
        <w:ind w:left="1720" w:hanging="415"/>
        <w:spacing w:after="0"/>
        <w:tabs>
          <w:tab w:leader="none" w:pos="1720" w:val="left"/>
        </w:tabs>
        <w:numPr>
          <w:ilvl w:val="0"/>
          <w:numId w:val="42"/>
        </w:numPr>
        <w:rPr>
          <w:rFonts w:ascii="Arial" w:cs="Arial" w:eastAsia="Arial" w:hAnsi="Arial"/>
          <w:sz w:val="20"/>
          <w:szCs w:val="20"/>
          <w:color w:val="auto"/>
        </w:rPr>
      </w:pPr>
      <w:r>
        <w:rPr>
          <w:rFonts w:ascii="Arial" w:cs="Arial" w:eastAsia="Arial" w:hAnsi="Arial"/>
          <w:sz w:val="20"/>
          <w:szCs w:val="20"/>
          <w:color w:val="auto"/>
        </w:rPr>
        <w:t>the Attributable Principal Amount of Capital Leases and Synthetic Leases;</w:t>
      </w:r>
    </w:p>
    <w:p>
      <w:pPr>
        <w:spacing w:after="0" w:line="269" w:lineRule="exact"/>
        <w:rPr>
          <w:rFonts w:ascii="Arial" w:cs="Arial" w:eastAsia="Arial" w:hAnsi="Arial"/>
          <w:sz w:val="20"/>
          <w:szCs w:val="20"/>
          <w:color w:val="auto"/>
        </w:rPr>
      </w:pPr>
    </w:p>
    <w:p>
      <w:pPr>
        <w:ind w:left="660" w:right="1040" w:firstLine="645"/>
        <w:spacing w:after="0" w:line="317" w:lineRule="auto"/>
        <w:tabs>
          <w:tab w:leader="none" w:pos="1708" w:val="left"/>
        </w:tabs>
        <w:numPr>
          <w:ilvl w:val="0"/>
          <w:numId w:val="42"/>
        </w:numPr>
        <w:rPr>
          <w:rFonts w:ascii="Arial" w:cs="Arial" w:eastAsia="Arial" w:hAnsi="Arial"/>
          <w:sz w:val="20"/>
          <w:szCs w:val="20"/>
          <w:color w:val="auto"/>
        </w:rPr>
      </w:pPr>
      <w:r>
        <w:rPr>
          <w:rFonts w:ascii="Arial" w:cs="Arial" w:eastAsia="Arial" w:hAnsi="Arial"/>
          <w:sz w:val="20"/>
          <w:szCs w:val="20"/>
          <w:color w:val="auto"/>
        </w:rPr>
        <w:t>the Attributable Principal Amount of Securitization Transactions (but without regard to unfunded or undrawn commitments);</w:t>
      </w:r>
    </w:p>
    <w:p>
      <w:pPr>
        <w:spacing w:after="0" w:line="162" w:lineRule="exact"/>
        <w:rPr>
          <w:rFonts w:ascii="Arial" w:cs="Arial" w:eastAsia="Arial" w:hAnsi="Arial"/>
          <w:sz w:val="20"/>
          <w:szCs w:val="20"/>
          <w:color w:val="auto"/>
        </w:rPr>
      </w:pPr>
    </w:p>
    <w:p>
      <w:pPr>
        <w:ind w:left="1680" w:hanging="375"/>
        <w:spacing w:after="0"/>
        <w:tabs>
          <w:tab w:leader="none" w:pos="1680" w:val="left"/>
        </w:tabs>
        <w:numPr>
          <w:ilvl w:val="0"/>
          <w:numId w:val="42"/>
        </w:numPr>
        <w:rPr>
          <w:rFonts w:ascii="Arial" w:cs="Arial" w:eastAsia="Arial" w:hAnsi="Arial"/>
          <w:sz w:val="19"/>
          <w:szCs w:val="19"/>
          <w:color w:val="auto"/>
        </w:rPr>
      </w:pPr>
      <w:r>
        <w:rPr>
          <w:rFonts w:ascii="Arial" w:cs="Arial" w:eastAsia="Arial" w:hAnsi="Arial"/>
          <w:sz w:val="19"/>
          <w:szCs w:val="19"/>
          <w:color w:val="auto"/>
        </w:rPr>
        <w:t>all preferred stock and comparable equity interests providing for mandatory redemption, sinking fund or other like</w:t>
      </w:r>
    </w:p>
    <w:p>
      <w:pPr>
        <w:spacing w:after="0" w:line="65" w:lineRule="exact"/>
        <w:rPr>
          <w:rFonts w:ascii="Arial" w:cs="Arial" w:eastAsia="Arial" w:hAnsi="Arial"/>
          <w:sz w:val="19"/>
          <w:szCs w:val="19"/>
          <w:color w:val="auto"/>
        </w:rPr>
      </w:pPr>
    </w:p>
    <w:p>
      <w:pPr>
        <w:ind w:left="660"/>
        <w:spacing w:after="0"/>
        <w:rPr>
          <w:rFonts w:ascii="Arial" w:cs="Arial" w:eastAsia="Arial" w:hAnsi="Arial"/>
          <w:sz w:val="19"/>
          <w:szCs w:val="19"/>
          <w:color w:val="auto"/>
        </w:rPr>
      </w:pPr>
      <w:r>
        <w:rPr>
          <w:rFonts w:ascii="Arial" w:cs="Arial" w:eastAsia="Arial" w:hAnsi="Arial"/>
          <w:sz w:val="20"/>
          <w:szCs w:val="20"/>
          <w:color w:val="auto"/>
        </w:rPr>
        <w:t>payments;</w:t>
      </w:r>
    </w:p>
    <w:p>
      <w:pPr>
        <w:spacing w:after="0" w:line="256" w:lineRule="exact"/>
        <w:rPr>
          <w:rFonts w:ascii="Arial" w:cs="Arial" w:eastAsia="Arial" w:hAnsi="Arial"/>
          <w:sz w:val="19"/>
          <w:szCs w:val="19"/>
          <w:color w:val="auto"/>
        </w:rPr>
      </w:pPr>
    </w:p>
    <w:p>
      <w:pPr>
        <w:ind w:left="1720" w:hanging="415"/>
        <w:spacing w:after="0"/>
        <w:tabs>
          <w:tab w:leader="none" w:pos="1720" w:val="left"/>
        </w:tabs>
        <w:numPr>
          <w:ilvl w:val="0"/>
          <w:numId w:val="42"/>
        </w:numPr>
        <w:rPr>
          <w:rFonts w:ascii="Arial" w:cs="Arial" w:eastAsia="Arial" w:hAnsi="Arial"/>
          <w:sz w:val="20"/>
          <w:szCs w:val="20"/>
          <w:color w:val="auto"/>
        </w:rPr>
      </w:pPr>
      <w:r>
        <w:rPr>
          <w:rFonts w:ascii="Arial" w:cs="Arial" w:eastAsia="Arial" w:hAnsi="Arial"/>
          <w:sz w:val="20"/>
          <w:szCs w:val="20"/>
          <w:color w:val="auto"/>
        </w:rPr>
        <w:t>Support Obligations in respect of Funded Debt of another Person;</w:t>
      </w:r>
    </w:p>
    <w:p>
      <w:pPr>
        <w:spacing w:after="0" w:line="269" w:lineRule="exact"/>
        <w:rPr>
          <w:rFonts w:ascii="Arial" w:cs="Arial" w:eastAsia="Arial" w:hAnsi="Arial"/>
          <w:sz w:val="20"/>
          <w:szCs w:val="20"/>
          <w:color w:val="auto"/>
        </w:rPr>
      </w:pPr>
    </w:p>
    <w:p>
      <w:pPr>
        <w:ind w:left="1720" w:hanging="415"/>
        <w:spacing w:after="0"/>
        <w:tabs>
          <w:tab w:leader="none" w:pos="1720" w:val="left"/>
        </w:tabs>
        <w:numPr>
          <w:ilvl w:val="0"/>
          <w:numId w:val="42"/>
        </w:numPr>
        <w:rPr>
          <w:rFonts w:ascii="Arial" w:cs="Arial" w:eastAsia="Arial" w:hAnsi="Arial"/>
          <w:sz w:val="18"/>
          <w:szCs w:val="18"/>
          <w:color w:val="auto"/>
        </w:rPr>
      </w:pPr>
      <w:r>
        <w:rPr>
          <w:rFonts w:ascii="Arial" w:cs="Arial" w:eastAsia="Arial" w:hAnsi="Arial"/>
          <w:sz w:val="18"/>
          <w:szCs w:val="18"/>
          <w:color w:val="auto"/>
        </w:rPr>
        <w:t>Funded Debt of any partnership or joint venture or other similar entity in which such Person is a general partner or joint</w:t>
      </w:r>
    </w:p>
    <w:p>
      <w:pPr>
        <w:spacing w:after="0" w:line="76" w:lineRule="exact"/>
        <w:rPr>
          <w:rFonts w:ascii="Arial" w:cs="Arial" w:eastAsia="Arial" w:hAnsi="Arial"/>
          <w:sz w:val="18"/>
          <w:szCs w:val="18"/>
          <w:color w:val="auto"/>
        </w:rPr>
      </w:pPr>
    </w:p>
    <w:p>
      <w:pPr>
        <w:ind w:left="660" w:right="320"/>
        <w:spacing w:after="0" w:line="303" w:lineRule="auto"/>
        <w:rPr>
          <w:rFonts w:ascii="Arial" w:cs="Arial" w:eastAsia="Arial" w:hAnsi="Arial"/>
          <w:sz w:val="18"/>
          <w:szCs w:val="18"/>
          <w:color w:val="auto"/>
        </w:rPr>
      </w:pPr>
      <w:r>
        <w:rPr>
          <w:rFonts w:ascii="Arial" w:cs="Arial" w:eastAsia="Arial" w:hAnsi="Arial"/>
          <w:sz w:val="20"/>
          <w:szCs w:val="20"/>
          <w:color w:val="auto"/>
        </w:rPr>
        <w:t>venturer, and, as such, has personal liability for such obligations, but only to the extent there is recourse to such Person for payment thereof.</w:t>
      </w:r>
    </w:p>
    <w:p>
      <w:pPr>
        <w:spacing w:after="0" w:line="149" w:lineRule="exact"/>
        <w:rPr>
          <w:sz w:val="20"/>
          <w:szCs w:val="20"/>
          <w:color w:val="auto"/>
        </w:rPr>
      </w:pPr>
    </w:p>
    <w:p>
      <w:pPr>
        <w:ind w:right="180"/>
        <w:spacing w:after="0" w:line="246" w:lineRule="auto"/>
        <w:rPr>
          <w:sz w:val="20"/>
          <w:szCs w:val="20"/>
          <w:color w:val="auto"/>
        </w:rPr>
      </w:pPr>
      <w:r>
        <w:rPr>
          <w:rFonts w:ascii="Arial" w:cs="Arial" w:eastAsia="Arial" w:hAnsi="Arial"/>
          <w:sz w:val="20"/>
          <w:szCs w:val="20"/>
          <w:color w:val="auto"/>
        </w:rPr>
        <w:t xml:space="preserve">For the avoidance of doubt, Funded Debt shall not include </w:t>
      </w:r>
      <w:r>
        <w:rPr>
          <w:rFonts w:ascii="Arial" w:cs="Arial" w:eastAsia="Arial" w:hAnsi="Arial"/>
          <w:sz w:val="20"/>
          <w:szCs w:val="20"/>
          <w:color w:val="FF0000"/>
          <w:strike w:val="1"/>
        </w:rPr>
        <w:t>obligations arising solely out of banknote leasing or the conversion of “vault cash”</w:t>
      </w:r>
      <w:r>
        <w:rPr>
          <w:rFonts w:ascii="Arial" w:cs="Arial" w:eastAsia="Arial" w:hAnsi="Arial"/>
          <w:sz w:val="20"/>
          <w:szCs w:val="20"/>
          <w:color w:val="auto"/>
        </w:rPr>
        <w:t xml:space="preserve"> </w:t>
      </w:r>
      <w:r>
        <w:rPr>
          <w:rFonts w:ascii="Arial" w:cs="Arial" w:eastAsia="Arial" w:hAnsi="Arial"/>
          <w:sz w:val="20"/>
          <w:szCs w:val="20"/>
          <w:color w:val="FF0000"/>
          <w:strike w:val="1"/>
        </w:rPr>
        <w:t xml:space="preserve">supplied pursuant to ATM Cash Supply Arrangements for operating requirements of the relevant ATMs into obligations of </w:t>
      </w:r>
      <w:r>
        <w:rPr>
          <w:rFonts w:ascii="Arial" w:cs="Arial" w:eastAsia="Arial" w:hAnsi="Arial"/>
          <w:sz w:val="20"/>
          <w:szCs w:val="20"/>
          <w:color w:val="00C000"/>
          <w:strike w:val="1"/>
        </w:rPr>
        <w:t>members of the</w:t>
      </w:r>
      <w:r>
        <w:rPr>
          <w:rFonts w:ascii="Arial" w:cs="Arial" w:eastAsia="Arial" w:hAnsi="Arial"/>
          <w:sz w:val="20"/>
          <w:szCs w:val="20"/>
          <w:color w:val="FF0000"/>
          <w:strike w:val="1"/>
        </w:rPr>
        <w:t xml:space="preserve"> </w:t>
      </w:r>
      <w:r>
        <w:rPr>
          <w:rFonts w:ascii="Arial" w:cs="Arial" w:eastAsia="Arial" w:hAnsi="Arial"/>
          <w:sz w:val="20"/>
          <w:szCs w:val="20"/>
          <w:color w:val="00C000"/>
          <w:strike w:val="1"/>
        </w:rPr>
        <w:t xml:space="preserve">Consolidated Group </w:t>
      </w:r>
      <w:r>
        <w:rPr>
          <w:rFonts w:ascii="Arial" w:cs="Arial" w:eastAsia="Arial" w:hAnsi="Arial"/>
          <w:sz w:val="20"/>
          <w:szCs w:val="20"/>
          <w:color w:val="FF0000"/>
          <w:strike w:val="1"/>
        </w:rPr>
        <w:t>according to such ATM Cash Supply Arrangements so long as the proceeds of such obligations are used solely in the</w:t>
      </w:r>
      <w:r>
        <w:rPr>
          <w:rFonts w:ascii="Arial" w:cs="Arial" w:eastAsia="Arial" w:hAnsi="Arial"/>
          <w:sz w:val="20"/>
          <w:szCs w:val="20"/>
          <w:color w:val="00C000"/>
          <w:strike w:val="1"/>
        </w:rPr>
        <w:t xml:space="preserve"> </w:t>
      </w:r>
      <w:r>
        <w:rPr>
          <w:rFonts w:ascii="Arial" w:cs="Arial" w:eastAsia="Arial" w:hAnsi="Arial"/>
          <w:sz w:val="20"/>
          <w:szCs w:val="20"/>
          <w:color w:val="FF0000"/>
          <w:strike w:val="1"/>
        </w:rPr>
        <w:t>relevant ATMs, and for no other purpose.</w:t>
      </w:r>
      <w:r>
        <w:rPr>
          <w:rFonts w:ascii="Arial" w:cs="Arial" w:eastAsia="Arial" w:hAnsi="Arial"/>
          <w:sz w:val="20"/>
          <w:szCs w:val="20"/>
          <w:u w:val="single" w:color="auto"/>
          <w:color w:val="0000FF"/>
          <w:strike w:val="1"/>
        </w:rPr>
        <w:t>:</w:t>
      </w:r>
    </w:p>
    <w:p>
      <w:pPr>
        <w:spacing w:after="0" w:line="200" w:lineRule="exact"/>
        <w:rPr>
          <w:sz w:val="20"/>
          <w:szCs w:val="20"/>
          <w:color w:val="auto"/>
        </w:rPr>
      </w:pPr>
    </w:p>
    <w:p>
      <w:pPr>
        <w:spacing w:after="0" w:line="235" w:lineRule="exact"/>
        <w:rPr>
          <w:sz w:val="20"/>
          <w:szCs w:val="20"/>
          <w:color w:val="auto"/>
        </w:rPr>
      </w:pPr>
    </w:p>
    <w:p>
      <w:pPr>
        <w:jc w:val="center"/>
        <w:ind w:right="-39"/>
        <w:spacing w:after="0"/>
        <w:rPr>
          <w:sz w:val="20"/>
          <w:szCs w:val="20"/>
          <w:color w:val="auto"/>
        </w:rPr>
      </w:pPr>
      <w:r>
        <w:rPr>
          <w:rFonts w:ascii="Arial" w:cs="Arial" w:eastAsia="Arial" w:hAnsi="Arial"/>
          <w:sz w:val="20"/>
          <w:szCs w:val="20"/>
          <w:color w:val="auto"/>
        </w:rPr>
        <w:t>36</w:t>
      </w:r>
    </w:p>
    <w:p>
      <w:pPr>
        <w:spacing w:after="0" w:line="10" w:lineRule="exact"/>
        <w:rPr>
          <w:sz w:val="20"/>
          <w:szCs w:val="20"/>
          <w:color w:val="auto"/>
        </w:rPr>
      </w:pPr>
    </w:p>
    <w:p>
      <w:pPr>
        <w:spacing w:after="0"/>
        <w:rPr>
          <w:sz w:val="20"/>
          <w:szCs w:val="20"/>
          <w:color w:val="auto"/>
        </w:rPr>
      </w:pPr>
      <w:r>
        <w:rPr>
          <w:rFonts w:ascii="Arial" w:cs="Arial" w:eastAsia="Arial" w:hAnsi="Arial"/>
          <w:sz w:val="14"/>
          <w:szCs w:val="14"/>
          <w:color w:val="auto"/>
        </w:rPr>
        <w:t>CHAR1\1346423v</w:t>
      </w:r>
      <w:r>
        <w:rPr>
          <w:rFonts w:ascii="Arial" w:cs="Arial" w:eastAsia="Arial" w:hAnsi="Arial"/>
          <w:sz w:val="14"/>
          <w:szCs w:val="14"/>
          <w:color w:val="FF0000"/>
          <w:strike w:val="1"/>
        </w:rPr>
        <w:t>1</w:t>
      </w:r>
      <w:r>
        <w:rPr>
          <w:rFonts w:ascii="Arial" w:cs="Arial" w:eastAsia="Arial" w:hAnsi="Arial"/>
          <w:sz w:val="14"/>
          <w:szCs w:val="14"/>
          <w:u w:val="single" w:color="auto"/>
          <w:color w:val="0000FF"/>
        </w:rPr>
        <w:t>12</w:t>
      </w:r>
    </w:p>
    <w:p>
      <w:pPr>
        <w:sectPr>
          <w:pgSz w:w="11900" w:h="16838" w:orient="portrait"/>
          <w:cols w:equalWidth="0" w:num="1">
            <w:col w:w="11400"/>
          </w:cols>
          <w:pgMar w:left="240" w:top="609" w:right="259" w:bottom="1440" w:gutter="0" w:footer="0" w:header="0"/>
        </w:sectPr>
      </w:pPr>
    </w:p>
    <w:bookmarkStart w:id="88" w:name="page89"/>
    <w:bookmarkEnd w:id="88"/>
    <w:p>
      <w:pPr>
        <w:ind w:right="80" w:firstLine="1305"/>
        <w:spacing w:after="0" w:line="243" w:lineRule="auto"/>
        <w:tabs>
          <w:tab w:leader="none" w:pos="1769" w:val="left"/>
        </w:tabs>
        <w:numPr>
          <w:ilvl w:val="0"/>
          <w:numId w:val="43"/>
        </w:numPr>
        <w:rPr>
          <w:rFonts w:ascii="Arial" w:cs="Arial" w:eastAsia="Arial" w:hAnsi="Arial"/>
          <w:sz w:val="20"/>
          <w:szCs w:val="20"/>
          <w:u w:val="single" w:color="auto"/>
          <w:color w:val="0000FF"/>
        </w:rPr>
      </w:pPr>
      <w:r>
        <w:rPr>
          <w:rFonts w:ascii="Arial" w:cs="Arial" w:eastAsia="Arial" w:hAnsi="Arial"/>
          <w:sz w:val="20"/>
          <w:szCs w:val="20"/>
          <w:u w:val="single" w:color="auto"/>
          <w:color w:val="0000FF"/>
        </w:rPr>
        <w:t>obligations arising out of banknote leasing, “vault cash” supply, ATM sponsorship and similar arrangements under ATM cash supply arrangements consistent with past practice, and loans and lines of credit serving the same purpose; provided, in each case, (1) the proceeds from any such arrangements (including, for purposes hereof, such loans and lines of credit) are used solely to service ATMs and for no other purpose, (2) the associated cash and currency that are the subject of such arrangements will be kept strictly segregated and apart from other cash and currency not associated with the operation and settlement of the respective ATM network, and (3) any liens relating thereto will be limited to the cash and currency provided and/or any segregated bank accounts relating to the operation and settlement of the respective ATM network; or</w:t>
      </w:r>
    </w:p>
    <w:p>
      <w:pPr>
        <w:spacing w:after="0" w:line="193" w:lineRule="exact"/>
        <w:rPr>
          <w:rFonts w:ascii="Arial" w:cs="Arial" w:eastAsia="Arial" w:hAnsi="Arial"/>
          <w:sz w:val="20"/>
          <w:szCs w:val="20"/>
          <w:u w:val="single" w:color="auto"/>
          <w:color w:val="0000FF"/>
        </w:rPr>
      </w:pPr>
    </w:p>
    <w:p>
      <w:pPr>
        <w:ind w:left="1760" w:hanging="455"/>
        <w:spacing w:after="0"/>
        <w:tabs>
          <w:tab w:leader="none" w:pos="1760" w:val="left"/>
        </w:tabs>
        <w:numPr>
          <w:ilvl w:val="0"/>
          <w:numId w:val="43"/>
        </w:numPr>
        <w:rPr>
          <w:rFonts w:ascii="Arial" w:cs="Arial" w:eastAsia="Arial" w:hAnsi="Arial"/>
          <w:sz w:val="20"/>
          <w:szCs w:val="20"/>
          <w:u w:val="single" w:color="auto"/>
          <w:color w:val="0000FF"/>
        </w:rPr>
      </w:pPr>
      <w:r>
        <w:rPr>
          <w:rFonts w:ascii="Arial" w:cs="Arial" w:eastAsia="Arial" w:hAnsi="Arial"/>
          <w:sz w:val="20"/>
          <w:szCs w:val="20"/>
          <w:u w:val="single" w:color="auto"/>
          <w:color w:val="0000FF"/>
        </w:rPr>
        <w:t>obligations under or in respect of surety bonds, unless and until drawn; or</w:t>
      </w:r>
    </w:p>
    <w:p>
      <w:pPr>
        <w:spacing w:after="0" w:line="215" w:lineRule="exact"/>
        <w:rPr>
          <w:rFonts w:ascii="Arial" w:cs="Arial" w:eastAsia="Arial" w:hAnsi="Arial"/>
          <w:sz w:val="20"/>
          <w:szCs w:val="20"/>
          <w:u w:val="single" w:color="auto"/>
          <w:color w:val="0000FF"/>
        </w:rPr>
      </w:pPr>
    </w:p>
    <w:p>
      <w:pPr>
        <w:ind w:firstLine="1305"/>
        <w:spacing w:after="0" w:line="258" w:lineRule="auto"/>
        <w:tabs>
          <w:tab w:leader="none" w:pos="1758" w:val="left"/>
        </w:tabs>
        <w:numPr>
          <w:ilvl w:val="0"/>
          <w:numId w:val="43"/>
        </w:numPr>
        <w:rPr>
          <w:rFonts w:ascii="Arial" w:cs="Arial" w:eastAsia="Arial" w:hAnsi="Arial"/>
          <w:sz w:val="19"/>
          <w:szCs w:val="19"/>
          <w:u w:val="single" w:color="auto"/>
          <w:color w:val="0000FF"/>
        </w:rPr>
      </w:pPr>
      <w:r>
        <w:rPr>
          <w:rFonts w:ascii="Arial" w:cs="Arial" w:eastAsia="Arial" w:hAnsi="Arial"/>
          <w:sz w:val="19"/>
          <w:szCs w:val="19"/>
          <w:u w:val="single" w:color="auto"/>
          <w:color w:val="0000FF"/>
        </w:rPr>
        <w:t>obligations under or in respect of letters of credit to vendors or suppliers of products, content or services distributed or provided through processing networks of the Consolidated Group, unless and until drawn, provided that, in each such case (1) a trust account or segregated account has been established therefor for the benefit of such vendors and suppliers (whether for the benefit of a single vendor or supplier or multiple vendors and/or suppliers), (2) all cash generated from the distribution or provision of such products, content and services through the respective processing networks of the Consolidated Group is deposited in or subject to such trust account or segregated account, and (3) such cash will be kept segregated and apart from cash not associated with the distribution or provision of such products, content and services through the respective processing networks of the Consolidated Group.</w:t>
      </w:r>
    </w:p>
    <w:p>
      <w:pPr>
        <w:spacing w:after="0" w:line="179" w:lineRule="exact"/>
        <w:rPr>
          <w:sz w:val="20"/>
          <w:szCs w:val="20"/>
          <w:color w:val="auto"/>
        </w:rPr>
      </w:pPr>
    </w:p>
    <w:p>
      <w:pPr>
        <w:spacing w:after="0" w:line="259" w:lineRule="auto"/>
        <w:rPr>
          <w:sz w:val="20"/>
          <w:szCs w:val="20"/>
          <w:color w:val="auto"/>
        </w:rPr>
      </w:pPr>
      <w:r>
        <w:rPr>
          <w:rFonts w:ascii="Arial" w:cs="Arial" w:eastAsia="Arial" w:hAnsi="Arial"/>
          <w:sz w:val="19"/>
          <w:szCs w:val="19"/>
          <w:color w:val="auto"/>
        </w:rPr>
        <w:t xml:space="preserve">For purposes hereof, the amount of Funded Debt shall be determined (i) based on the outstanding principal amount in the case of borrowed money indebtedness under </w:t>
      </w:r>
      <w:r>
        <w:rPr>
          <w:rFonts w:ascii="Arial" w:cs="Arial" w:eastAsia="Arial" w:hAnsi="Arial"/>
          <w:sz w:val="19"/>
          <w:szCs w:val="19"/>
          <w:u w:val="single" w:color="auto"/>
          <w:color w:val="auto"/>
        </w:rPr>
        <w:t>clause (a)</w:t>
      </w:r>
      <w:r>
        <w:rPr>
          <w:rFonts w:ascii="Arial" w:cs="Arial" w:eastAsia="Arial" w:hAnsi="Arial"/>
          <w:sz w:val="19"/>
          <w:szCs w:val="19"/>
          <w:color w:val="auto"/>
        </w:rPr>
        <w:t xml:space="preserve"> and purchase money indebtedness and the deferred purchase obligations under </w:t>
      </w:r>
      <w:r>
        <w:rPr>
          <w:rFonts w:ascii="Arial" w:cs="Arial" w:eastAsia="Arial" w:hAnsi="Arial"/>
          <w:sz w:val="19"/>
          <w:szCs w:val="19"/>
          <w:u w:val="single" w:color="auto"/>
          <w:color w:val="auto"/>
        </w:rPr>
        <w:t>clause (b)</w:t>
      </w:r>
      <w:r>
        <w:rPr>
          <w:rFonts w:ascii="Arial" w:cs="Arial" w:eastAsia="Arial" w:hAnsi="Arial"/>
          <w:sz w:val="19"/>
          <w:szCs w:val="19"/>
          <w:color w:val="auto"/>
        </w:rPr>
        <w:t xml:space="preserve">, (ii) based on the maximum amount available to be drawn in the case of letter of credit obligations and the other obligations under </w:t>
      </w:r>
      <w:r>
        <w:rPr>
          <w:rFonts w:ascii="Arial" w:cs="Arial" w:eastAsia="Arial" w:hAnsi="Arial"/>
          <w:sz w:val="19"/>
          <w:szCs w:val="19"/>
          <w:u w:val="single" w:color="auto"/>
          <w:color w:val="auto"/>
        </w:rPr>
        <w:t>clause (c)</w:t>
      </w:r>
      <w:r>
        <w:rPr>
          <w:rFonts w:ascii="Arial" w:cs="Arial" w:eastAsia="Arial" w:hAnsi="Arial"/>
          <w:sz w:val="19"/>
          <w:szCs w:val="19"/>
          <w:color w:val="auto"/>
        </w:rPr>
        <w:t xml:space="preserve">, (iii) in the case of a Securitization Transaction established to facilitate the issuance of letters of credit and bank guaranties, without duplication for the letters of credit and bank guaranties issued in connection therewith, and (iv) based on the amount of Funded Debt that is the subject of the Support Obligations in the case of Support Obligations under </w:t>
      </w:r>
      <w:r>
        <w:rPr>
          <w:rFonts w:ascii="Arial" w:cs="Arial" w:eastAsia="Arial" w:hAnsi="Arial"/>
          <w:sz w:val="19"/>
          <w:szCs w:val="19"/>
          <w:u w:val="single" w:color="auto"/>
          <w:color w:val="auto"/>
        </w:rPr>
        <w:t>clause (g)</w:t>
      </w:r>
      <w:r>
        <w:rPr>
          <w:rFonts w:ascii="Arial" w:cs="Arial" w:eastAsia="Arial" w:hAnsi="Arial"/>
          <w:sz w:val="19"/>
          <w:szCs w:val="19"/>
          <w:color w:val="auto"/>
        </w:rPr>
        <w:t>.</w:t>
      </w:r>
    </w:p>
    <w:p>
      <w:pPr>
        <w:spacing w:after="0" w:line="206" w:lineRule="exact"/>
        <w:rPr>
          <w:sz w:val="20"/>
          <w:szCs w:val="20"/>
          <w:color w:val="auto"/>
        </w:rPr>
      </w:pPr>
    </w:p>
    <w:p>
      <w:pPr>
        <w:ind w:right="180" w:firstLine="648"/>
        <w:spacing w:after="0" w:line="381"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GAAP</w:t>
      </w:r>
      <w:r>
        <w:rPr>
          <w:rFonts w:ascii="Arial" w:cs="Arial" w:eastAsia="Arial" w:hAnsi="Arial"/>
          <w:sz w:val="16"/>
          <w:szCs w:val="16"/>
          <w:color w:val="auto"/>
        </w:rPr>
        <w:t xml:space="preserve">” means generally accepted accounting principles in the United States set forth in the opinions and pronouncements of the Accounting Principles Board and the American Institute of Certified Public Accountants and statements and pronouncements of the Financial Accounting Standards Board or such other principles as may be approved by a significant segment of the accounting profession in the United States, that are applicable to the circumstances as of the date of determination, consistently applied, subject to the provisions of </w:t>
      </w:r>
      <w:r>
        <w:rPr>
          <w:rFonts w:ascii="Arial" w:cs="Arial" w:eastAsia="Arial" w:hAnsi="Arial"/>
          <w:sz w:val="16"/>
          <w:szCs w:val="16"/>
          <w:u w:val="single" w:color="auto"/>
          <w:color w:val="auto"/>
        </w:rPr>
        <w:t>Section 1.03</w:t>
      </w:r>
      <w:r>
        <w:rPr>
          <w:rFonts w:ascii="Arial" w:cs="Arial" w:eastAsia="Arial" w:hAnsi="Arial"/>
          <w:sz w:val="16"/>
          <w:szCs w:val="16"/>
          <w:color w:val="auto"/>
        </w:rPr>
        <w:t>.</w:t>
      </w:r>
    </w:p>
    <w:p>
      <w:pPr>
        <w:spacing w:after="0" w:line="128"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German Obligor</w:t>
      </w:r>
      <w:r>
        <w:rPr>
          <w:rFonts w:ascii="Arial" w:cs="Arial" w:eastAsia="Arial" w:hAnsi="Arial"/>
          <w:sz w:val="20"/>
          <w:szCs w:val="20"/>
          <w:color w:val="auto"/>
        </w:rPr>
        <w:t>” means any Credit Party organized under the laws of Germany.</w:t>
      </w:r>
    </w:p>
    <w:p>
      <w:pPr>
        <w:spacing w:after="0" w:line="256" w:lineRule="exact"/>
        <w:rPr>
          <w:sz w:val="20"/>
          <w:szCs w:val="20"/>
          <w:color w:val="auto"/>
        </w:rPr>
      </w:pPr>
    </w:p>
    <w:p>
      <w:pPr>
        <w:jc w:val="both"/>
        <w:ind w:right="480" w:firstLine="648"/>
        <w:spacing w:after="0" w:line="288"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Governmental Authority</w:t>
      </w:r>
      <w:r>
        <w:rPr>
          <w:rFonts w:ascii="Arial" w:cs="Arial" w:eastAsia="Arial" w:hAnsi="Arial"/>
          <w:sz w:val="20"/>
          <w:szCs w:val="20"/>
          <w:color w:val="auto"/>
        </w:rPr>
        <w:t>” means the government of the United States or any other nation, or of any political subdivision thereof, whether state or local, and any agency, authority, instrumentality, regulatory body, court, central bank or other entity exercising executive, legislative, judicial, taxing, regulatory or administrative powers or functions of or pertaining to government (including any supra-national bodies such as the European Union or the European Central Bank).</w:t>
      </w:r>
    </w:p>
    <w:p>
      <w:pPr>
        <w:spacing w:after="0" w:line="193" w:lineRule="exact"/>
        <w:rPr>
          <w:sz w:val="20"/>
          <w:szCs w:val="20"/>
          <w:color w:val="auto"/>
        </w:rPr>
      </w:pPr>
    </w:p>
    <w:p>
      <w:pPr>
        <w:ind w:left="660"/>
        <w:spacing w:after="0"/>
        <w:rPr>
          <w:sz w:val="20"/>
          <w:szCs w:val="20"/>
          <w:color w:val="auto"/>
        </w:rPr>
      </w:pPr>
      <w:r>
        <w:rPr>
          <w:rFonts w:ascii="Arial" w:cs="Arial" w:eastAsia="Arial" w:hAnsi="Arial"/>
          <w:sz w:val="20"/>
          <w:szCs w:val="20"/>
          <w:u w:val="single" w:color="auto"/>
          <w:color w:val="0000FF"/>
        </w:rPr>
        <w:t>“Guaranteed Obligations” shall have the meaning provided in Section 4.01.</w:t>
      </w: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37</w:t>
      </w:r>
    </w:p>
    <w:p>
      <w:pPr>
        <w:spacing w:after="0" w:line="10" w:lineRule="exact"/>
        <w:rPr>
          <w:sz w:val="20"/>
          <w:szCs w:val="20"/>
          <w:color w:val="auto"/>
        </w:rPr>
      </w:pPr>
    </w:p>
    <w:p>
      <w:pPr>
        <w:spacing w:after="0"/>
        <w:rPr>
          <w:sz w:val="20"/>
          <w:szCs w:val="20"/>
          <w:color w:val="auto"/>
        </w:rPr>
      </w:pPr>
      <w:r>
        <w:rPr>
          <w:rFonts w:ascii="Arial" w:cs="Arial" w:eastAsia="Arial" w:hAnsi="Arial"/>
          <w:sz w:val="14"/>
          <w:szCs w:val="14"/>
          <w:color w:val="auto"/>
        </w:rPr>
        <w:t>CHAR1\1346423v</w:t>
      </w:r>
      <w:r>
        <w:rPr>
          <w:rFonts w:ascii="Arial" w:cs="Arial" w:eastAsia="Arial" w:hAnsi="Arial"/>
          <w:sz w:val="14"/>
          <w:szCs w:val="14"/>
          <w:color w:val="FF0000"/>
          <w:strike w:val="1"/>
        </w:rPr>
        <w:t>1</w:t>
      </w:r>
      <w:r>
        <w:rPr>
          <w:rFonts w:ascii="Arial" w:cs="Arial" w:eastAsia="Arial" w:hAnsi="Arial"/>
          <w:sz w:val="14"/>
          <w:szCs w:val="14"/>
          <w:u w:val="single" w:color="auto"/>
          <w:color w:val="0000FF"/>
        </w:rPr>
        <w:t>12</w:t>
      </w:r>
    </w:p>
    <w:p>
      <w:pPr>
        <w:sectPr>
          <w:pgSz w:w="11900" w:h="16838" w:orient="portrait"/>
          <w:cols w:equalWidth="0" w:num="1">
            <w:col w:w="11400"/>
          </w:cols>
          <w:pgMar w:left="240" w:top="582" w:right="259" w:bottom="1440" w:gutter="0" w:footer="0" w:header="0"/>
        </w:sectPr>
      </w:pPr>
    </w:p>
    <w:bookmarkStart w:id="89" w:name="page90"/>
    <w:bookmarkEnd w:id="89"/>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Guarantors</w:t>
      </w:r>
      <w:r>
        <w:rPr>
          <w:rFonts w:ascii="Arial" w:cs="Arial" w:eastAsia="Arial" w:hAnsi="Arial"/>
          <w:sz w:val="20"/>
          <w:szCs w:val="20"/>
          <w:color w:val="auto"/>
        </w:rPr>
        <w:t>” means the Domestic Guarantors, the Foreign Guarantors and/or the India Guarantors, as appropriate.</w:t>
      </w:r>
    </w:p>
    <w:p>
      <w:pPr>
        <w:spacing w:after="0" w:line="256" w:lineRule="exact"/>
        <w:rPr>
          <w:sz w:val="20"/>
          <w:szCs w:val="20"/>
          <w:color w:val="auto"/>
        </w:rPr>
      </w:pPr>
    </w:p>
    <w:p>
      <w:pPr>
        <w:ind w:right="40" w:firstLine="648"/>
        <w:spacing w:after="0" w:line="292"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Guaranty</w:t>
      </w:r>
      <w:r>
        <w:rPr>
          <w:rFonts w:ascii="Arial" w:cs="Arial" w:eastAsia="Arial" w:hAnsi="Arial"/>
          <w:sz w:val="20"/>
          <w:szCs w:val="20"/>
          <w:color w:val="auto"/>
        </w:rPr>
        <w:t xml:space="preserve">” means (a) the guaranty provided pursuant to </w:t>
      </w:r>
      <w:r>
        <w:rPr>
          <w:rFonts w:ascii="Arial" w:cs="Arial" w:eastAsia="Arial" w:hAnsi="Arial"/>
          <w:sz w:val="20"/>
          <w:szCs w:val="20"/>
          <w:u w:val="single" w:color="auto"/>
          <w:color w:val="auto"/>
        </w:rPr>
        <w:t>Article IV</w:t>
      </w:r>
      <w:r>
        <w:rPr>
          <w:rFonts w:ascii="Arial" w:cs="Arial" w:eastAsia="Arial" w:hAnsi="Arial"/>
          <w:sz w:val="20"/>
          <w:szCs w:val="20"/>
          <w:color w:val="auto"/>
        </w:rPr>
        <w:t xml:space="preserve"> hereof, and/or (b) any other guaranty agreement in respect of the Obligations given by any Person, whether by way of Joinder Agreement or otherwise, in each case as the same may be amended and modified from time to time.</w:t>
      </w:r>
    </w:p>
    <w:p>
      <w:pPr>
        <w:spacing w:after="0" w:line="187" w:lineRule="exact"/>
        <w:rPr>
          <w:sz w:val="20"/>
          <w:szCs w:val="20"/>
          <w:color w:val="auto"/>
        </w:rPr>
      </w:pPr>
    </w:p>
    <w:p>
      <w:pPr>
        <w:ind w:right="120" w:firstLine="648"/>
        <w:spacing w:after="0" w:line="264" w:lineRule="exact"/>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Hazardous Materials</w:t>
      </w:r>
      <w:r>
        <w:rPr>
          <w:rFonts w:ascii="Arial" w:cs="Arial" w:eastAsia="Arial" w:hAnsi="Arial"/>
          <w:sz w:val="18"/>
          <w:szCs w:val="18"/>
          <w:color w:val="auto"/>
        </w:rPr>
        <w:t>” means all explosive or radioactive substances or wastes and all hazardous or toxic substances, wastes or other pollutants, including petroleum or petroleum distillates, asbestos or asbestos</w:t>
      </w:r>
      <w:r>
        <w:rPr>
          <w:rFonts w:ascii="MS PGothic" w:cs="MS PGothic" w:eastAsia="MS PGothic" w:hAnsi="MS PGothic"/>
          <w:sz w:val="18"/>
          <w:szCs w:val="18"/>
          <w:color w:val="auto"/>
        </w:rPr>
        <w:t>‑</w:t>
      </w:r>
      <w:r>
        <w:rPr>
          <w:rFonts w:ascii="Arial" w:cs="Arial" w:eastAsia="Arial" w:hAnsi="Arial"/>
          <w:sz w:val="18"/>
          <w:szCs w:val="18"/>
          <w:color w:val="auto"/>
        </w:rPr>
        <w:t>containing materials, polychlorinated biphenyls, radon gas, infectious or medical wastes and all other substances or wastes of any nature regulated pursuant to any Environmental Law.</w:t>
      </w:r>
    </w:p>
    <w:p>
      <w:pPr>
        <w:spacing w:after="0" w:line="237" w:lineRule="exact"/>
        <w:rPr>
          <w:sz w:val="20"/>
          <w:szCs w:val="20"/>
          <w:color w:val="auto"/>
        </w:rPr>
      </w:pPr>
    </w:p>
    <w:p>
      <w:pPr>
        <w:ind w:right="400" w:firstLine="648"/>
        <w:spacing w:after="0" w:line="303"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HMRC DT Treaty Passport Scheme</w:t>
      </w:r>
      <w:r>
        <w:rPr>
          <w:rFonts w:ascii="Arial" w:cs="Arial" w:eastAsia="Arial" w:hAnsi="Arial"/>
          <w:sz w:val="20"/>
          <w:szCs w:val="20"/>
          <w:color w:val="auto"/>
        </w:rPr>
        <w:t>” means the HM Revenue &amp; Customs Double Taxation Treaty Passport Scheme for overseas corporate lenders which commenced on 1 September 2010.</w:t>
      </w:r>
    </w:p>
    <w:p>
      <w:pPr>
        <w:spacing w:after="0" w:line="17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Honor Date</w:t>
      </w:r>
      <w:r>
        <w:rPr>
          <w:rFonts w:ascii="Arial" w:cs="Arial" w:eastAsia="Arial" w:hAnsi="Arial"/>
          <w:sz w:val="20"/>
          <w:szCs w:val="20"/>
          <w:color w:val="auto"/>
        </w:rPr>
        <w:t xml:space="preserve">” has the meaning provided in </w:t>
      </w:r>
      <w:r>
        <w:rPr>
          <w:rFonts w:ascii="Arial" w:cs="Arial" w:eastAsia="Arial" w:hAnsi="Arial"/>
          <w:sz w:val="20"/>
          <w:szCs w:val="20"/>
          <w:u w:val="single" w:color="auto"/>
          <w:color w:val="auto"/>
        </w:rPr>
        <w:t>Section 2.03(c)(i)</w:t>
      </w:r>
      <w:r>
        <w:rPr>
          <w:rFonts w:ascii="Arial" w:cs="Arial" w:eastAsia="Arial" w:hAnsi="Arial"/>
          <w:sz w:val="20"/>
          <w:szCs w:val="20"/>
          <w:color w:val="auto"/>
        </w:rPr>
        <w:t>.</w:t>
      </w:r>
    </w:p>
    <w:p>
      <w:pPr>
        <w:spacing w:after="0" w:line="25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Hungarian Forints</w:t>
      </w:r>
      <w:r>
        <w:rPr>
          <w:rFonts w:ascii="Arial" w:cs="Arial" w:eastAsia="Arial" w:hAnsi="Arial"/>
          <w:sz w:val="20"/>
          <w:szCs w:val="20"/>
          <w:color w:val="auto"/>
        </w:rPr>
        <w:t>” means the lawful currency of Hungary.</w:t>
      </w:r>
    </w:p>
    <w:p>
      <w:pPr>
        <w:spacing w:after="0" w:line="256" w:lineRule="exact"/>
        <w:rPr>
          <w:sz w:val="20"/>
          <w:szCs w:val="20"/>
          <w:color w:val="auto"/>
        </w:rPr>
      </w:pPr>
    </w:p>
    <w:p>
      <w:pPr>
        <w:ind w:right="280" w:firstLine="648"/>
        <w:spacing w:after="0" w:line="303"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IFRS</w:t>
      </w:r>
      <w:r>
        <w:rPr>
          <w:rFonts w:ascii="Arial" w:cs="Arial" w:eastAsia="Arial" w:hAnsi="Arial"/>
          <w:sz w:val="20"/>
          <w:szCs w:val="20"/>
          <w:color w:val="auto"/>
        </w:rPr>
        <w:t>” means international financial reporting standards as adopted by the International Accounting Standards Board and in effect from time to time.</w:t>
      </w:r>
    </w:p>
    <w:p>
      <w:pPr>
        <w:spacing w:after="0" w:line="17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Incremental Credit Facilities</w:t>
      </w:r>
      <w:r>
        <w:rPr>
          <w:rFonts w:ascii="Arial" w:cs="Arial" w:eastAsia="Arial" w:hAnsi="Arial"/>
          <w:sz w:val="20"/>
          <w:szCs w:val="20"/>
          <w:color w:val="auto"/>
        </w:rPr>
        <w:t>” has the meaning provided in Section 2.01(f).</w:t>
      </w:r>
    </w:p>
    <w:p>
      <w:pPr>
        <w:spacing w:after="0" w:line="256" w:lineRule="exact"/>
        <w:rPr>
          <w:sz w:val="20"/>
          <w:szCs w:val="20"/>
          <w:color w:val="auto"/>
        </w:rPr>
      </w:pPr>
    </w:p>
    <w:p>
      <w:pPr>
        <w:ind w:right="500" w:firstLine="648"/>
        <w:spacing w:after="0" w:line="303"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Indebtedness</w:t>
      </w:r>
      <w:r>
        <w:rPr>
          <w:rFonts w:ascii="Arial" w:cs="Arial" w:eastAsia="Arial" w:hAnsi="Arial"/>
          <w:sz w:val="20"/>
          <w:szCs w:val="20"/>
          <w:color w:val="auto"/>
        </w:rPr>
        <w:t>” means, as to any Person at a particular time, without duplication, all of the following, whether or not included as indebtedness or liabilities in accordance with GAAP:</w:t>
      </w:r>
    </w:p>
    <w:p>
      <w:pPr>
        <w:spacing w:after="0" w:line="176" w:lineRule="exact"/>
        <w:rPr>
          <w:sz w:val="20"/>
          <w:szCs w:val="20"/>
          <w:color w:val="auto"/>
        </w:rPr>
      </w:pPr>
    </w:p>
    <w:p>
      <w:pPr>
        <w:ind w:left="1700" w:hanging="395"/>
        <w:spacing w:after="0"/>
        <w:tabs>
          <w:tab w:leader="none" w:pos="1700" w:val="left"/>
        </w:tabs>
        <w:numPr>
          <w:ilvl w:val="0"/>
          <w:numId w:val="44"/>
        </w:numPr>
        <w:rPr>
          <w:rFonts w:ascii="Arial" w:cs="Arial" w:eastAsia="Arial" w:hAnsi="Arial"/>
          <w:sz w:val="20"/>
          <w:szCs w:val="20"/>
          <w:color w:val="auto"/>
        </w:rPr>
      </w:pPr>
      <w:r>
        <w:rPr>
          <w:rFonts w:ascii="Arial" w:cs="Arial" w:eastAsia="Arial" w:hAnsi="Arial"/>
          <w:sz w:val="20"/>
          <w:szCs w:val="20"/>
          <w:color w:val="auto"/>
        </w:rPr>
        <w:t>all Funded Debt;</w:t>
      </w:r>
    </w:p>
    <w:p>
      <w:pPr>
        <w:spacing w:after="0" w:line="269" w:lineRule="exact"/>
        <w:rPr>
          <w:rFonts w:ascii="Arial" w:cs="Arial" w:eastAsia="Arial" w:hAnsi="Arial"/>
          <w:sz w:val="20"/>
          <w:szCs w:val="20"/>
          <w:color w:val="auto"/>
        </w:rPr>
      </w:pPr>
    </w:p>
    <w:p>
      <w:pPr>
        <w:ind w:left="660" w:right="220" w:firstLine="645"/>
        <w:spacing w:after="0" w:line="317" w:lineRule="auto"/>
        <w:tabs>
          <w:tab w:leader="none" w:pos="1719" w:val="left"/>
        </w:tabs>
        <w:numPr>
          <w:ilvl w:val="0"/>
          <w:numId w:val="44"/>
        </w:numPr>
        <w:rPr>
          <w:rFonts w:ascii="Arial" w:cs="Arial" w:eastAsia="Arial" w:hAnsi="Arial"/>
          <w:sz w:val="20"/>
          <w:szCs w:val="20"/>
          <w:color w:val="auto"/>
        </w:rPr>
      </w:pPr>
      <w:r>
        <w:rPr>
          <w:rFonts w:ascii="Arial" w:cs="Arial" w:eastAsia="Arial" w:hAnsi="Arial"/>
          <w:sz w:val="20"/>
          <w:szCs w:val="20"/>
          <w:color w:val="auto"/>
        </w:rPr>
        <w:t>all contingent obligations under letters of credit (including standby and commercial), bankers’ acceptances and similar instruments (including bank guaranties and surety bonds);</w:t>
      </w:r>
    </w:p>
    <w:p>
      <w:pPr>
        <w:spacing w:after="0" w:line="162" w:lineRule="exact"/>
        <w:rPr>
          <w:rFonts w:ascii="Arial" w:cs="Arial" w:eastAsia="Arial" w:hAnsi="Arial"/>
          <w:sz w:val="20"/>
          <w:szCs w:val="20"/>
          <w:color w:val="auto"/>
        </w:rPr>
      </w:pPr>
    </w:p>
    <w:p>
      <w:pPr>
        <w:ind w:left="1700" w:hanging="395"/>
        <w:spacing w:after="0"/>
        <w:tabs>
          <w:tab w:leader="none" w:pos="1700" w:val="left"/>
        </w:tabs>
        <w:numPr>
          <w:ilvl w:val="0"/>
          <w:numId w:val="44"/>
        </w:numPr>
        <w:rPr>
          <w:rFonts w:ascii="Arial" w:cs="Arial" w:eastAsia="Arial" w:hAnsi="Arial"/>
          <w:sz w:val="20"/>
          <w:szCs w:val="20"/>
          <w:color w:val="auto"/>
        </w:rPr>
      </w:pPr>
      <w:r>
        <w:rPr>
          <w:rFonts w:ascii="Arial" w:cs="Arial" w:eastAsia="Arial" w:hAnsi="Arial"/>
          <w:sz w:val="20"/>
          <w:szCs w:val="20"/>
          <w:color w:val="auto"/>
        </w:rPr>
        <w:t>net obligations under any Swap Contract;</w:t>
      </w:r>
    </w:p>
    <w:p>
      <w:pPr>
        <w:spacing w:after="0" w:line="269" w:lineRule="exact"/>
        <w:rPr>
          <w:rFonts w:ascii="Arial" w:cs="Arial" w:eastAsia="Arial" w:hAnsi="Arial"/>
          <w:sz w:val="20"/>
          <w:szCs w:val="20"/>
          <w:color w:val="auto"/>
        </w:rPr>
      </w:pPr>
    </w:p>
    <w:p>
      <w:pPr>
        <w:ind w:left="1720" w:hanging="415"/>
        <w:spacing w:after="0"/>
        <w:tabs>
          <w:tab w:leader="none" w:pos="1720" w:val="left"/>
        </w:tabs>
        <w:numPr>
          <w:ilvl w:val="0"/>
          <w:numId w:val="44"/>
        </w:numPr>
        <w:rPr>
          <w:rFonts w:ascii="Arial" w:cs="Arial" w:eastAsia="Arial" w:hAnsi="Arial"/>
          <w:sz w:val="20"/>
          <w:szCs w:val="20"/>
          <w:color w:val="auto"/>
        </w:rPr>
      </w:pPr>
      <w:r>
        <w:rPr>
          <w:rFonts w:ascii="Arial" w:cs="Arial" w:eastAsia="Arial" w:hAnsi="Arial"/>
          <w:sz w:val="20"/>
          <w:szCs w:val="20"/>
          <w:color w:val="auto"/>
        </w:rPr>
        <w:t>Support Obligations in respect of Indebtedness of another Person; and</w:t>
      </w:r>
    </w:p>
    <w:p>
      <w:pPr>
        <w:spacing w:after="0" w:line="269" w:lineRule="exact"/>
        <w:rPr>
          <w:rFonts w:ascii="Arial" w:cs="Arial" w:eastAsia="Arial" w:hAnsi="Arial"/>
          <w:sz w:val="20"/>
          <w:szCs w:val="20"/>
          <w:color w:val="auto"/>
        </w:rPr>
      </w:pPr>
    </w:p>
    <w:p>
      <w:pPr>
        <w:ind w:left="1700" w:hanging="395"/>
        <w:spacing w:after="0"/>
        <w:tabs>
          <w:tab w:leader="none" w:pos="17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Indebtedness of any partnership or joint venture or other similar entity in which such Person is a general partner or joint</w:t>
      </w:r>
    </w:p>
    <w:p>
      <w:pPr>
        <w:spacing w:after="0" w:line="76" w:lineRule="exact"/>
        <w:rPr>
          <w:rFonts w:ascii="Arial" w:cs="Arial" w:eastAsia="Arial" w:hAnsi="Arial"/>
          <w:sz w:val="18"/>
          <w:szCs w:val="18"/>
          <w:color w:val="auto"/>
        </w:rPr>
      </w:pPr>
    </w:p>
    <w:p>
      <w:pPr>
        <w:ind w:left="660" w:right="240"/>
        <w:spacing w:after="0" w:line="303" w:lineRule="auto"/>
        <w:rPr>
          <w:rFonts w:ascii="Arial" w:cs="Arial" w:eastAsia="Arial" w:hAnsi="Arial"/>
          <w:sz w:val="18"/>
          <w:szCs w:val="18"/>
          <w:color w:val="auto"/>
        </w:rPr>
      </w:pPr>
      <w:r>
        <w:rPr>
          <w:rFonts w:ascii="Arial" w:cs="Arial" w:eastAsia="Arial" w:hAnsi="Arial"/>
          <w:sz w:val="20"/>
          <w:szCs w:val="20"/>
          <w:color w:val="auto"/>
        </w:rPr>
        <w:t>venturer, and, as such, has personal liability for such obligations, but only to the extent there is recourse to such Person for payment thereof.</w:t>
      </w:r>
    </w:p>
    <w:p>
      <w:pPr>
        <w:spacing w:after="0" w:line="176" w:lineRule="exact"/>
        <w:rPr>
          <w:sz w:val="20"/>
          <w:szCs w:val="20"/>
          <w:color w:val="auto"/>
        </w:rPr>
      </w:pPr>
    </w:p>
    <w:p>
      <w:pPr>
        <w:spacing w:after="0"/>
        <w:rPr>
          <w:sz w:val="20"/>
          <w:szCs w:val="20"/>
          <w:color w:val="auto"/>
        </w:rPr>
      </w:pPr>
      <w:r>
        <w:rPr>
          <w:rFonts w:ascii="Arial" w:cs="Arial" w:eastAsia="Arial" w:hAnsi="Arial"/>
          <w:sz w:val="20"/>
          <w:szCs w:val="20"/>
          <w:u w:val="single" w:color="auto"/>
          <w:color w:val="0000FF"/>
        </w:rPr>
        <w:t>For the avoidance of doubt, Indebtedness shall not include:</w:t>
      </w:r>
    </w:p>
    <w:p>
      <w:pPr>
        <w:spacing w:after="0" w:line="256" w:lineRule="exact"/>
        <w:rPr>
          <w:sz w:val="20"/>
          <w:szCs w:val="20"/>
          <w:color w:val="auto"/>
        </w:rPr>
      </w:pPr>
    </w:p>
    <w:p>
      <w:pPr>
        <w:ind w:firstLine="1305"/>
        <w:spacing w:after="0" w:line="292" w:lineRule="auto"/>
        <w:tabs>
          <w:tab w:leader="none" w:pos="1769" w:val="left"/>
        </w:tabs>
        <w:numPr>
          <w:ilvl w:val="0"/>
          <w:numId w:val="45"/>
        </w:numPr>
        <w:rPr>
          <w:rFonts w:ascii="Arial" w:cs="Arial" w:eastAsia="Arial" w:hAnsi="Arial"/>
          <w:sz w:val="20"/>
          <w:szCs w:val="20"/>
          <w:u w:val="single" w:color="auto"/>
          <w:color w:val="0000FF"/>
        </w:rPr>
      </w:pPr>
      <w:r>
        <w:rPr>
          <w:rFonts w:ascii="Arial" w:cs="Arial" w:eastAsia="Arial" w:hAnsi="Arial"/>
          <w:sz w:val="20"/>
          <w:szCs w:val="20"/>
          <w:u w:val="single" w:color="auto"/>
          <w:color w:val="0000FF"/>
        </w:rPr>
        <w:t>obligations arising out of banknote leasing, “vault cash” supply, ATM sponsorship and similar arrangements under ATM cash supply arrangements consistent with past practice, and loans and lines of credit serving the same purpose; provided, in each case, (1) the proceeds from any</w:t>
      </w:r>
    </w:p>
    <w:p>
      <w:pPr>
        <w:spacing w:after="0" w:line="200" w:lineRule="exact"/>
        <w:rPr>
          <w:sz w:val="20"/>
          <w:szCs w:val="20"/>
          <w:color w:val="auto"/>
        </w:rPr>
      </w:pPr>
    </w:p>
    <w:p>
      <w:pPr>
        <w:spacing w:after="0" w:line="203" w:lineRule="exact"/>
        <w:rPr>
          <w:sz w:val="20"/>
          <w:szCs w:val="20"/>
          <w:color w:val="auto"/>
        </w:rPr>
      </w:pPr>
    </w:p>
    <w:p>
      <w:pPr>
        <w:jc w:val="center"/>
        <w:ind w:right="-119"/>
        <w:spacing w:after="0"/>
        <w:rPr>
          <w:sz w:val="20"/>
          <w:szCs w:val="20"/>
          <w:color w:val="auto"/>
        </w:rPr>
      </w:pPr>
      <w:r>
        <w:rPr>
          <w:rFonts w:ascii="Arial" w:cs="Arial" w:eastAsia="Arial" w:hAnsi="Arial"/>
          <w:sz w:val="20"/>
          <w:szCs w:val="20"/>
          <w:color w:val="auto"/>
        </w:rPr>
        <w:t>38</w:t>
      </w:r>
    </w:p>
    <w:p>
      <w:pPr>
        <w:spacing w:after="0" w:line="10" w:lineRule="exact"/>
        <w:rPr>
          <w:sz w:val="20"/>
          <w:szCs w:val="20"/>
          <w:color w:val="auto"/>
        </w:rPr>
      </w:pPr>
    </w:p>
    <w:p>
      <w:pPr>
        <w:spacing w:after="0"/>
        <w:rPr>
          <w:sz w:val="20"/>
          <w:szCs w:val="20"/>
          <w:color w:val="auto"/>
        </w:rPr>
      </w:pPr>
      <w:r>
        <w:rPr>
          <w:rFonts w:ascii="Arial" w:cs="Arial" w:eastAsia="Arial" w:hAnsi="Arial"/>
          <w:sz w:val="14"/>
          <w:szCs w:val="14"/>
          <w:color w:val="auto"/>
        </w:rPr>
        <w:t>CHAR1\1346423v</w:t>
      </w:r>
      <w:r>
        <w:rPr>
          <w:rFonts w:ascii="Arial" w:cs="Arial" w:eastAsia="Arial" w:hAnsi="Arial"/>
          <w:sz w:val="14"/>
          <w:szCs w:val="14"/>
          <w:color w:val="FF0000"/>
          <w:strike w:val="1"/>
        </w:rPr>
        <w:t>1</w:t>
      </w:r>
      <w:r>
        <w:rPr>
          <w:rFonts w:ascii="Arial" w:cs="Arial" w:eastAsia="Arial" w:hAnsi="Arial"/>
          <w:sz w:val="14"/>
          <w:szCs w:val="14"/>
          <w:u w:val="single" w:color="auto"/>
          <w:color w:val="0000FF"/>
        </w:rPr>
        <w:t>12</w:t>
      </w:r>
    </w:p>
    <w:p>
      <w:pPr>
        <w:sectPr>
          <w:pgSz w:w="11900" w:h="16838" w:orient="portrait"/>
          <w:cols w:equalWidth="0" w:num="1">
            <w:col w:w="11320"/>
          </w:cols>
          <w:pgMar w:left="240" w:top="609" w:right="339" w:bottom="1440" w:gutter="0" w:footer="0" w:header="0"/>
        </w:sectPr>
      </w:pPr>
    </w:p>
    <w:bookmarkStart w:id="90" w:name="page91"/>
    <w:bookmarkEnd w:id="90"/>
    <w:p>
      <w:pPr>
        <w:ind w:right="40"/>
        <w:spacing w:after="0" w:line="329" w:lineRule="auto"/>
        <w:rPr>
          <w:sz w:val="20"/>
          <w:szCs w:val="20"/>
          <w:color w:val="auto"/>
        </w:rPr>
      </w:pPr>
      <w:r>
        <w:rPr>
          <w:rFonts w:ascii="Arial" w:cs="Arial" w:eastAsia="Arial" w:hAnsi="Arial"/>
          <w:sz w:val="18"/>
          <w:szCs w:val="18"/>
          <w:u w:val="single" w:color="auto"/>
          <w:color w:val="0000FF"/>
        </w:rPr>
        <w:t>such arrangements (including, for purposes hereof, such loans and lines of credit) are used solely to service ATMs and for no other purpose, (2) the associated cash and currency that are the subject of such arrangements will be kept strictly segregated and apart from other cash and currency not associated with the operation and settlement of the respective ATM network, and (3) any liens relating thereto will be limited to the cash and currency provided and/or any segregated bank accounts relating to the operation and settlement of the respective ATM network;</w:t>
      </w:r>
    </w:p>
    <w:p>
      <w:pPr>
        <w:spacing w:after="0" w:line="159" w:lineRule="exact"/>
        <w:rPr>
          <w:sz w:val="20"/>
          <w:szCs w:val="20"/>
          <w:color w:val="auto"/>
        </w:rPr>
      </w:pPr>
    </w:p>
    <w:p>
      <w:pPr>
        <w:ind w:left="1800" w:hanging="495"/>
        <w:spacing w:after="0"/>
        <w:tabs>
          <w:tab w:leader="none" w:pos="1800" w:val="left"/>
        </w:tabs>
        <w:numPr>
          <w:ilvl w:val="0"/>
          <w:numId w:val="46"/>
        </w:numPr>
        <w:rPr>
          <w:rFonts w:ascii="Arial" w:cs="Arial" w:eastAsia="Arial" w:hAnsi="Arial"/>
          <w:sz w:val="22"/>
          <w:szCs w:val="22"/>
          <w:u w:val="single" w:color="auto"/>
          <w:color w:val="0000FF"/>
        </w:rPr>
      </w:pPr>
      <w:r>
        <w:rPr>
          <w:rFonts w:ascii="Arial" w:cs="Arial" w:eastAsia="Arial" w:hAnsi="Arial"/>
          <w:sz w:val="20"/>
          <w:szCs w:val="20"/>
          <w:u w:val="single" w:color="auto"/>
          <w:color w:val="0000FF"/>
        </w:rPr>
        <w:t>obligations under or in respect of surety bonds, unless and until drawn; or</w:t>
      </w:r>
    </w:p>
    <w:p>
      <w:pPr>
        <w:spacing w:after="0" w:line="208" w:lineRule="exact"/>
        <w:rPr>
          <w:rFonts w:ascii="Arial" w:cs="Arial" w:eastAsia="Arial" w:hAnsi="Arial"/>
          <w:sz w:val="22"/>
          <w:szCs w:val="22"/>
          <w:u w:val="single" w:color="auto"/>
          <w:color w:val="0000FF"/>
        </w:rPr>
      </w:pPr>
    </w:p>
    <w:p>
      <w:pPr>
        <w:ind w:firstLine="1305"/>
        <w:spacing w:after="0" w:line="258" w:lineRule="auto"/>
        <w:tabs>
          <w:tab w:leader="none" w:pos="1758" w:val="left"/>
        </w:tabs>
        <w:numPr>
          <w:ilvl w:val="0"/>
          <w:numId w:val="46"/>
        </w:numPr>
        <w:rPr>
          <w:rFonts w:ascii="Arial" w:cs="Arial" w:eastAsia="Arial" w:hAnsi="Arial"/>
          <w:sz w:val="19"/>
          <w:szCs w:val="19"/>
          <w:u w:val="single" w:color="auto"/>
          <w:color w:val="0000FF"/>
        </w:rPr>
      </w:pPr>
      <w:r>
        <w:rPr>
          <w:rFonts w:ascii="Arial" w:cs="Arial" w:eastAsia="Arial" w:hAnsi="Arial"/>
          <w:sz w:val="19"/>
          <w:szCs w:val="19"/>
          <w:u w:val="single" w:color="auto"/>
          <w:color w:val="0000FF"/>
        </w:rPr>
        <w:t>obligations under or in respect of letters of credit to vendors or suppliers of products, content or services distributed or provided through processing networks of the Consolidated Group, unless and until drawn, provided that, in each such case (1) a trust account or segregated account has been established therefor for the benefit of such vendors and suppliers (whether for the benefit of a single vendor or supplier or multiple vendors and/or suppliers), (2) all cash generated from the distribution or provision of such products, content and services through the respective processing networks of the Consolidated Group is deposited in or subject to such trust account or segregated account, and (3) such cash will be kept segregated and apart from cash not associated with the distribution or provision of such products, content and services through the respective processing networks of the Consolidated Group.</w:t>
      </w:r>
    </w:p>
    <w:p>
      <w:pPr>
        <w:spacing w:after="0" w:line="179" w:lineRule="exact"/>
        <w:rPr>
          <w:sz w:val="20"/>
          <w:szCs w:val="20"/>
          <w:color w:val="auto"/>
        </w:rPr>
      </w:pPr>
    </w:p>
    <w:p>
      <w:pPr>
        <w:ind w:right="120"/>
        <w:spacing w:after="0" w:line="250" w:lineRule="auto"/>
        <w:rPr>
          <w:sz w:val="20"/>
          <w:szCs w:val="20"/>
          <w:color w:val="auto"/>
        </w:rPr>
      </w:pPr>
      <w:r>
        <w:rPr>
          <w:rFonts w:ascii="Arial" w:cs="Arial" w:eastAsia="Arial" w:hAnsi="Arial"/>
          <w:sz w:val="20"/>
          <w:szCs w:val="20"/>
          <w:color w:val="auto"/>
        </w:rPr>
        <w:t xml:space="preserve">For purposes hereof, the amount of Indebtedness shall be determined (i) based on Swap Termination Value in the case of net obligations under Swap Contracts under </w:t>
      </w:r>
      <w:r>
        <w:rPr>
          <w:rFonts w:ascii="Arial" w:cs="Arial" w:eastAsia="Arial" w:hAnsi="Arial"/>
          <w:sz w:val="20"/>
          <w:szCs w:val="20"/>
          <w:u w:val="single" w:color="auto"/>
          <w:color w:val="auto"/>
        </w:rPr>
        <w:t>clause (c)</w:t>
      </w:r>
      <w:r>
        <w:rPr>
          <w:rFonts w:ascii="Arial" w:cs="Arial" w:eastAsia="Arial" w:hAnsi="Arial"/>
          <w:sz w:val="20"/>
          <w:szCs w:val="20"/>
          <w:color w:val="auto"/>
        </w:rPr>
        <w:t xml:space="preserve"> and (ii) based on the outstanding principal amount of the Indebtedness that is the subject of the Support Obligations in the case of Support Obligations under </w:t>
      </w:r>
      <w:r>
        <w:rPr>
          <w:rFonts w:ascii="Arial" w:cs="Arial" w:eastAsia="Arial" w:hAnsi="Arial"/>
          <w:sz w:val="20"/>
          <w:szCs w:val="20"/>
          <w:u w:val="single" w:color="auto"/>
          <w:color w:val="auto"/>
        </w:rPr>
        <w:t>clause (d)</w:t>
      </w:r>
      <w:r>
        <w:rPr>
          <w:rFonts w:ascii="Arial" w:cs="Arial" w:eastAsia="Arial" w:hAnsi="Arial"/>
          <w:sz w:val="20"/>
          <w:szCs w:val="20"/>
          <w:color w:val="auto"/>
        </w:rPr>
        <w:t>.</w:t>
      </w:r>
    </w:p>
    <w:p>
      <w:pPr>
        <w:spacing w:after="0" w:line="213" w:lineRule="exact"/>
        <w:rPr>
          <w:sz w:val="20"/>
          <w:szCs w:val="20"/>
          <w:color w:val="auto"/>
        </w:rPr>
      </w:pPr>
    </w:p>
    <w:p>
      <w:pPr>
        <w:ind w:right="60" w:firstLine="648"/>
        <w:spacing w:after="0" w:line="292"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Indemnified Taxes</w:t>
      </w:r>
      <w:r>
        <w:rPr>
          <w:rFonts w:ascii="Arial" w:cs="Arial" w:eastAsia="Arial" w:hAnsi="Arial"/>
          <w:sz w:val="20"/>
          <w:szCs w:val="20"/>
          <w:color w:val="auto"/>
        </w:rPr>
        <w:t xml:space="preserve">” means </w:t>
      </w:r>
      <w:r>
        <w:rPr>
          <w:rFonts w:ascii="Arial" w:cs="Arial" w:eastAsia="Arial" w:hAnsi="Arial"/>
          <w:sz w:val="20"/>
          <w:szCs w:val="20"/>
          <w:u w:val="single" w:color="auto"/>
          <w:color w:val="0000FF"/>
        </w:rPr>
        <w:t>(a)</w:t>
      </w:r>
      <w:r>
        <w:rPr>
          <w:rFonts w:ascii="Arial" w:cs="Arial" w:eastAsia="Arial" w:hAnsi="Arial"/>
          <w:sz w:val="20"/>
          <w:szCs w:val="20"/>
          <w:color w:val="auto"/>
        </w:rPr>
        <w:t xml:space="preserve"> Taxes </w:t>
      </w:r>
      <w:r>
        <w:rPr>
          <w:rFonts w:ascii="Arial" w:cs="Arial" w:eastAsia="Arial" w:hAnsi="Arial"/>
          <w:sz w:val="20"/>
          <w:szCs w:val="20"/>
          <w:color w:val="FF0000"/>
          <w:strike w:val="1"/>
        </w:rPr>
        <w:t>other than Excluded</w:t>
      </w:r>
      <w:r>
        <w:rPr>
          <w:rFonts w:ascii="Arial" w:cs="Arial" w:eastAsia="Arial" w:hAnsi="Arial"/>
          <w:sz w:val="20"/>
          <w:szCs w:val="20"/>
          <w:u w:val="single" w:color="auto"/>
          <w:color w:val="0000FF"/>
        </w:rPr>
        <w:t>, other than Excluded Taxes, imposed on or with respect to any payment</w:t>
      </w:r>
      <w:r>
        <w:rPr>
          <w:rFonts w:ascii="Arial" w:cs="Arial" w:eastAsia="Arial" w:hAnsi="Arial"/>
          <w:sz w:val="20"/>
          <w:szCs w:val="20"/>
          <w:color w:val="auto"/>
        </w:rPr>
        <w:t xml:space="preserve"> </w:t>
      </w:r>
      <w:r>
        <w:rPr>
          <w:rFonts w:ascii="Arial" w:cs="Arial" w:eastAsia="Arial" w:hAnsi="Arial"/>
          <w:sz w:val="20"/>
          <w:szCs w:val="20"/>
          <w:u w:val="single" w:color="auto"/>
          <w:color w:val="0000FF"/>
        </w:rPr>
        <w:t>made by or on account of any obligation of any Credit Party under any Credit Document and (b) to the extent not otherwise described in clause (a), Other</w:t>
      </w:r>
      <w:r>
        <w:rPr>
          <w:rFonts w:ascii="Arial" w:cs="Arial" w:eastAsia="Arial" w:hAnsi="Arial"/>
          <w:sz w:val="20"/>
          <w:szCs w:val="20"/>
          <w:color w:val="0000FF"/>
        </w:rPr>
        <w:t xml:space="preserve"> </w:t>
      </w:r>
      <w:r>
        <w:rPr>
          <w:rFonts w:ascii="Arial" w:cs="Arial" w:eastAsia="Arial" w:hAnsi="Arial"/>
          <w:sz w:val="20"/>
          <w:szCs w:val="20"/>
          <w:color w:val="000000"/>
        </w:rPr>
        <w:t>Taxes.</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Indemnitee</w:t>
      </w:r>
      <w:r>
        <w:rPr>
          <w:rFonts w:ascii="Arial" w:cs="Arial" w:eastAsia="Arial" w:hAnsi="Arial"/>
          <w:sz w:val="20"/>
          <w:szCs w:val="20"/>
          <w:color w:val="auto"/>
        </w:rPr>
        <w:t xml:space="preserve">” has the meaning provided in </w:t>
      </w:r>
      <w:r>
        <w:rPr>
          <w:rFonts w:ascii="Arial" w:cs="Arial" w:eastAsia="Arial" w:hAnsi="Arial"/>
          <w:sz w:val="20"/>
          <w:szCs w:val="20"/>
          <w:u w:val="single" w:color="auto"/>
          <w:color w:val="auto"/>
        </w:rPr>
        <w:t>Section 11.04(b)</w:t>
      </w:r>
      <w:r>
        <w:rPr>
          <w:rFonts w:ascii="Arial" w:cs="Arial" w:eastAsia="Arial" w:hAnsi="Arial"/>
          <w:sz w:val="20"/>
          <w:szCs w:val="20"/>
          <w:color w:val="auto"/>
        </w:rPr>
        <w:t>.</w:t>
      </w:r>
    </w:p>
    <w:p>
      <w:pPr>
        <w:spacing w:after="0" w:line="25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India Borrower</w:t>
      </w:r>
      <w:r>
        <w:rPr>
          <w:rFonts w:ascii="Arial" w:cs="Arial" w:eastAsia="Arial" w:hAnsi="Arial"/>
          <w:sz w:val="20"/>
          <w:szCs w:val="20"/>
          <w:color w:val="auto"/>
        </w:rPr>
        <w:t>” means Euronet Services India Pvt. Ltd., a corporation organized and existing under the laws of India.</w:t>
      </w:r>
    </w:p>
    <w:p>
      <w:pPr>
        <w:spacing w:after="0" w:line="256" w:lineRule="exact"/>
        <w:rPr>
          <w:sz w:val="20"/>
          <w:szCs w:val="20"/>
          <w:color w:val="auto"/>
        </w:rPr>
      </w:pPr>
    </w:p>
    <w:p>
      <w:pPr>
        <w:ind w:right="160" w:firstLine="648"/>
        <w:spacing w:after="0" w:line="292"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India Collateral Agent</w:t>
      </w:r>
      <w:r>
        <w:rPr>
          <w:rFonts w:ascii="Arial" w:cs="Arial" w:eastAsia="Arial" w:hAnsi="Arial"/>
          <w:sz w:val="20"/>
          <w:szCs w:val="20"/>
          <w:color w:val="auto"/>
        </w:rPr>
        <w:t>” means Bank of America, N.A., acting through its branch in Mumbai, India, in its capacity as collateral agent to secure the India Revolving Loan Obligations, the guaranty obligations relating thereto and the other secured obligations identified in the India Collateral Documents.</w:t>
      </w:r>
    </w:p>
    <w:p>
      <w:pPr>
        <w:spacing w:after="0" w:line="187" w:lineRule="exact"/>
        <w:rPr>
          <w:sz w:val="20"/>
          <w:szCs w:val="20"/>
          <w:color w:val="auto"/>
        </w:rPr>
      </w:pPr>
    </w:p>
    <w:p>
      <w:pPr>
        <w:ind w:right="180" w:firstLine="648"/>
        <w:spacing w:after="0" w:line="438"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India Collateral Documents</w:t>
      </w:r>
      <w:r>
        <w:rPr>
          <w:rFonts w:ascii="Arial" w:cs="Arial" w:eastAsia="Arial" w:hAnsi="Arial"/>
          <w:sz w:val="16"/>
          <w:szCs w:val="16"/>
          <w:color w:val="auto"/>
        </w:rPr>
        <w:t>” means the India Security Agreements, the India Pledge Agreements and any other documents executed and delivered in connection with the attachment and perfection of security interests granted to secure the India Revolving Loan Obligations.</w:t>
      </w:r>
    </w:p>
    <w:p>
      <w:pPr>
        <w:spacing w:after="0" w:line="85" w:lineRule="exact"/>
        <w:rPr>
          <w:sz w:val="20"/>
          <w:szCs w:val="20"/>
          <w:color w:val="auto"/>
        </w:rPr>
      </w:pPr>
    </w:p>
    <w:p>
      <w:pPr>
        <w:ind w:right="40" w:firstLine="648"/>
        <w:spacing w:after="0" w:line="33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India Guarantors</w:t>
      </w:r>
      <w:r>
        <w:rPr>
          <w:rFonts w:ascii="Arial" w:cs="Arial" w:eastAsia="Arial" w:hAnsi="Arial"/>
          <w:sz w:val="18"/>
          <w:szCs w:val="18"/>
          <w:color w:val="auto"/>
        </w:rPr>
        <w:t>” means (i) EWI, (ii) the Domestic Guarantors, (iii) the Foreign Guarantors, (iv) the India Borrowers (if there is more than one such Borrower), (v) the parties identified on the signature pages hereto as “India Guarantors”, if any, and (vi) each Person who after the Closing Date becomes a India Guarantor pursuant to a Joinder Agreement or other documentation in form and substance</w:t>
      </w:r>
    </w:p>
    <w:p>
      <w:pPr>
        <w:spacing w:after="0" w:line="368"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39</w:t>
      </w:r>
    </w:p>
    <w:p>
      <w:pPr>
        <w:spacing w:after="0" w:line="10" w:lineRule="exact"/>
        <w:rPr>
          <w:sz w:val="20"/>
          <w:szCs w:val="20"/>
          <w:color w:val="auto"/>
        </w:rPr>
      </w:pPr>
    </w:p>
    <w:p>
      <w:pPr>
        <w:spacing w:after="0"/>
        <w:rPr>
          <w:sz w:val="20"/>
          <w:szCs w:val="20"/>
          <w:color w:val="auto"/>
        </w:rPr>
      </w:pPr>
      <w:r>
        <w:rPr>
          <w:rFonts w:ascii="Arial" w:cs="Arial" w:eastAsia="Arial" w:hAnsi="Arial"/>
          <w:sz w:val="14"/>
          <w:szCs w:val="14"/>
          <w:color w:val="auto"/>
        </w:rPr>
        <w:t>CHAR1\1346423v</w:t>
      </w:r>
      <w:r>
        <w:rPr>
          <w:rFonts w:ascii="Arial" w:cs="Arial" w:eastAsia="Arial" w:hAnsi="Arial"/>
          <w:sz w:val="14"/>
          <w:szCs w:val="14"/>
          <w:color w:val="FF0000"/>
          <w:strike w:val="1"/>
        </w:rPr>
        <w:t>1</w:t>
      </w:r>
      <w:r>
        <w:rPr>
          <w:rFonts w:ascii="Arial" w:cs="Arial" w:eastAsia="Arial" w:hAnsi="Arial"/>
          <w:sz w:val="14"/>
          <w:szCs w:val="14"/>
          <w:u w:val="single" w:color="auto"/>
          <w:color w:val="0000FF"/>
        </w:rPr>
        <w:t>12</w:t>
      </w:r>
    </w:p>
    <w:p>
      <w:pPr>
        <w:sectPr>
          <w:pgSz w:w="11900" w:h="16838" w:orient="portrait"/>
          <w:cols w:equalWidth="0" w:num="1">
            <w:col w:w="11400"/>
          </w:cols>
          <w:pgMar w:left="240" w:top="609" w:right="259" w:bottom="1440" w:gutter="0" w:footer="0" w:header="0"/>
        </w:sectPr>
      </w:pPr>
    </w:p>
    <w:bookmarkStart w:id="91" w:name="page92"/>
    <w:bookmarkEnd w:id="91"/>
    <w:p>
      <w:pPr>
        <w:spacing w:after="0"/>
        <w:rPr>
          <w:sz w:val="20"/>
          <w:szCs w:val="20"/>
          <w:color w:val="auto"/>
        </w:rPr>
      </w:pPr>
      <w:r>
        <w:rPr>
          <w:rFonts w:ascii="Arial" w:cs="Arial" w:eastAsia="Arial" w:hAnsi="Arial"/>
          <w:sz w:val="19"/>
          <w:szCs w:val="19"/>
          <w:color w:val="auto"/>
        </w:rPr>
        <w:t>reasonably acceptable to the Administrative Agent, in each case together with their respective successors and permitted assigns.</w:t>
      </w:r>
    </w:p>
    <w:p>
      <w:pPr>
        <w:spacing w:after="0" w:line="268" w:lineRule="exact"/>
        <w:rPr>
          <w:sz w:val="20"/>
          <w:szCs w:val="20"/>
          <w:color w:val="auto"/>
        </w:rPr>
      </w:pPr>
    </w:p>
    <w:p>
      <w:pPr>
        <w:ind w:right="60" w:firstLine="648"/>
        <w:spacing w:after="0" w:line="303"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India L/C Advance</w:t>
      </w:r>
      <w:r>
        <w:rPr>
          <w:rFonts w:ascii="Arial" w:cs="Arial" w:eastAsia="Arial" w:hAnsi="Arial"/>
          <w:sz w:val="20"/>
          <w:szCs w:val="20"/>
          <w:color w:val="auto"/>
        </w:rPr>
        <w:t>” means, with respect to each India Revolving Lender, such Lender’s funding of its participation in any India L/C Borrowing. All India L/C Advances will be denominated in Indian Rupees.</w:t>
      </w:r>
    </w:p>
    <w:p>
      <w:pPr>
        <w:spacing w:after="0" w:line="176" w:lineRule="exact"/>
        <w:rPr>
          <w:sz w:val="20"/>
          <w:szCs w:val="20"/>
          <w:color w:val="auto"/>
        </w:rPr>
      </w:pPr>
    </w:p>
    <w:p>
      <w:pPr>
        <w:ind w:right="200" w:firstLine="648"/>
        <w:spacing w:after="0" w:line="303"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India L/C Application</w:t>
      </w:r>
      <w:r>
        <w:rPr>
          <w:rFonts w:ascii="Arial" w:cs="Arial" w:eastAsia="Arial" w:hAnsi="Arial"/>
          <w:sz w:val="20"/>
          <w:szCs w:val="20"/>
          <w:color w:val="auto"/>
        </w:rPr>
        <w:t>” means an application and agreement for the issuance or amendment of an India Letter of Credit in the form from time to time in use by the India L/C Issuer.</w:t>
      </w:r>
    </w:p>
    <w:p>
      <w:pPr>
        <w:spacing w:after="0" w:line="176" w:lineRule="exact"/>
        <w:rPr>
          <w:sz w:val="20"/>
          <w:szCs w:val="20"/>
          <w:color w:val="auto"/>
        </w:rPr>
      </w:pPr>
    </w:p>
    <w:p>
      <w:pPr>
        <w:ind w:right="420" w:firstLine="648"/>
        <w:spacing w:after="0" w:line="3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India L/C Borrowing</w:t>
      </w:r>
      <w:r>
        <w:rPr>
          <w:rFonts w:ascii="Arial" w:cs="Arial" w:eastAsia="Arial" w:hAnsi="Arial"/>
          <w:sz w:val="18"/>
          <w:szCs w:val="18"/>
          <w:color w:val="auto"/>
        </w:rPr>
        <w:t>” means any extension of credit resulting from a drawing under any India Letter of Credit that has not been reimbursed or refinanced as a Borrowing of India Revolving Loans. All India L/C Borrowings must be denominated in Rupees.</w:t>
      </w:r>
    </w:p>
    <w:p>
      <w:pPr>
        <w:spacing w:after="0" w:line="130" w:lineRule="exact"/>
        <w:rPr>
          <w:sz w:val="20"/>
          <w:szCs w:val="20"/>
          <w:color w:val="auto"/>
        </w:rPr>
      </w:pPr>
    </w:p>
    <w:p>
      <w:pPr>
        <w:ind w:right="240" w:firstLine="648"/>
        <w:spacing w:after="0" w:line="33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India L/C Commitment</w:t>
      </w:r>
      <w:r>
        <w:rPr>
          <w:rFonts w:ascii="Arial" w:cs="Arial" w:eastAsia="Arial" w:hAnsi="Arial"/>
          <w:sz w:val="18"/>
          <w:szCs w:val="18"/>
          <w:color w:val="auto"/>
        </w:rPr>
        <w:t>” means, with respect to the India L/C Issuer, the commitment of the India L/C Issuer to issue and to honor payment obligations under India Letters of Credit, and, with respect to each India Revolving Lender, the commitment of such Lender to purchase participation interests in India L/C Obligations up to such Lender’s India Revolving Commitment Percentage thereof.</w:t>
      </w:r>
    </w:p>
    <w:p>
      <w:pPr>
        <w:spacing w:after="0" w:line="152" w:lineRule="exact"/>
        <w:rPr>
          <w:sz w:val="20"/>
          <w:szCs w:val="20"/>
          <w:color w:val="auto"/>
        </w:rPr>
      </w:pPr>
    </w:p>
    <w:p>
      <w:pPr>
        <w:ind w:right="300" w:firstLine="648"/>
        <w:spacing w:after="0" w:line="303"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India L/C Credit Extension</w:t>
      </w:r>
      <w:r>
        <w:rPr>
          <w:rFonts w:ascii="Arial" w:cs="Arial" w:eastAsia="Arial" w:hAnsi="Arial"/>
          <w:sz w:val="20"/>
          <w:szCs w:val="20"/>
          <w:color w:val="auto"/>
        </w:rPr>
        <w:t>” means, with respect to any India Letter of Credit, the issuance thereof or extension of the expiry date thereof, or the increase of the amount thereof.</w:t>
      </w:r>
    </w:p>
    <w:p>
      <w:pPr>
        <w:spacing w:after="0" w:line="176" w:lineRule="exact"/>
        <w:rPr>
          <w:sz w:val="20"/>
          <w:szCs w:val="20"/>
          <w:color w:val="auto"/>
        </w:rPr>
      </w:pPr>
    </w:p>
    <w:p>
      <w:pPr>
        <w:ind w:firstLine="648"/>
        <w:spacing w:after="0" w:line="303"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India L/C Issuer</w:t>
      </w:r>
      <w:r>
        <w:rPr>
          <w:rFonts w:ascii="Arial" w:cs="Arial" w:eastAsia="Arial" w:hAnsi="Arial"/>
          <w:sz w:val="20"/>
          <w:szCs w:val="20"/>
          <w:color w:val="auto"/>
        </w:rPr>
        <w:t xml:space="preserve">” means (a) as to Existing India Letters of Credit, those lenders identified as an issuer on </w:t>
      </w:r>
      <w:r>
        <w:rPr>
          <w:rFonts w:ascii="Arial" w:cs="Arial" w:eastAsia="Arial" w:hAnsi="Arial"/>
          <w:sz w:val="20"/>
          <w:szCs w:val="20"/>
          <w:u w:val="single" w:color="auto"/>
          <w:color w:val="auto"/>
        </w:rPr>
        <w:t>Schedule 2.03</w:t>
      </w:r>
      <w:r>
        <w:rPr>
          <w:rFonts w:ascii="Arial" w:cs="Arial" w:eastAsia="Arial" w:hAnsi="Arial"/>
          <w:sz w:val="20"/>
          <w:szCs w:val="20"/>
          <w:color w:val="auto"/>
        </w:rPr>
        <w:t xml:space="preserve"> and (b) Bank of America in its capacity as issuer of Letters to Credit hereunder, together with its successors in such capacity.</w:t>
      </w:r>
    </w:p>
    <w:p>
      <w:pPr>
        <w:spacing w:after="0" w:line="176" w:lineRule="exact"/>
        <w:rPr>
          <w:sz w:val="20"/>
          <w:szCs w:val="20"/>
          <w:color w:val="auto"/>
        </w:rPr>
      </w:pPr>
    </w:p>
    <w:p>
      <w:pPr>
        <w:ind w:firstLine="648"/>
        <w:spacing w:after="0" w:line="285"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India L/C Obligations</w:t>
      </w:r>
      <w:r>
        <w:rPr>
          <w:rFonts w:ascii="Arial" w:cs="Arial" w:eastAsia="Arial" w:hAnsi="Arial"/>
          <w:sz w:val="20"/>
          <w:szCs w:val="20"/>
          <w:color w:val="auto"/>
        </w:rPr>
        <w:t xml:space="preserve">” means, at any time, the sum of (a) the maximum amount available to be drawn under India Letters of Credit then outstanding, assuming compliance with all requirements for drawings referenced therein, plus (b) the aggregate amount of all India L/C Unreimbursed Amounts, including India L/C Borrowings. For purposes of computing the amount available to be drawn under any India Letter of Credit, the amount of such India Letter of Credit shall be determined in accordance with </w:t>
      </w:r>
      <w:r>
        <w:rPr>
          <w:rFonts w:ascii="Arial" w:cs="Arial" w:eastAsia="Arial" w:hAnsi="Arial"/>
          <w:sz w:val="20"/>
          <w:szCs w:val="20"/>
          <w:u w:val="single" w:color="auto"/>
          <w:color w:val="auto"/>
        </w:rPr>
        <w:t>Section 1.09</w:t>
      </w:r>
      <w:r>
        <w:rPr>
          <w:rFonts w:ascii="Arial" w:cs="Arial" w:eastAsia="Arial" w:hAnsi="Arial"/>
          <w:sz w:val="20"/>
          <w:szCs w:val="20"/>
          <w:color w:val="auto"/>
        </w:rPr>
        <w:t>. For all purposes of this Credit Agreement, if on any date of determination an India Letter of Credit has expired by its terms but any amount may still be drawn thereunder by reason of the operation of Rule 3.14 of the ISP, such India Letter of Credit shall be deemed to be “outstanding” in the amount so remaining available to be drawn.</w:t>
      </w:r>
    </w:p>
    <w:p>
      <w:pPr>
        <w:spacing w:after="0" w:line="195" w:lineRule="exact"/>
        <w:rPr>
          <w:sz w:val="20"/>
          <w:szCs w:val="20"/>
          <w:color w:val="auto"/>
        </w:rPr>
      </w:pPr>
    </w:p>
    <w:p>
      <w:pPr>
        <w:ind w:left="660"/>
        <w:spacing w:after="0"/>
        <w:rPr>
          <w:sz w:val="20"/>
          <w:szCs w:val="20"/>
          <w:color w:val="auto"/>
        </w:rPr>
      </w:pPr>
      <w:r>
        <w:rPr>
          <w:rFonts w:ascii="Arial" w:cs="Arial" w:eastAsia="Arial" w:hAnsi="Arial"/>
          <w:sz w:val="20"/>
          <w:szCs w:val="20"/>
          <w:u w:val="single" w:color="auto"/>
          <w:color w:val="auto"/>
        </w:rPr>
        <w:t>“India L/C Sublimit</w:t>
      </w:r>
      <w:r>
        <w:rPr>
          <w:rFonts w:ascii="Arial" w:cs="Arial" w:eastAsia="Arial" w:hAnsi="Arial"/>
          <w:sz w:val="20"/>
          <w:szCs w:val="20"/>
          <w:color w:val="auto"/>
        </w:rPr>
        <w:t>” has the meaning provided in Section 2.01(b)(ii).</w:t>
      </w:r>
    </w:p>
    <w:p>
      <w:pPr>
        <w:spacing w:after="0" w:line="25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India L/C Unreimbursed Amount</w:t>
      </w:r>
      <w:r>
        <w:rPr>
          <w:rFonts w:ascii="Arial" w:cs="Arial" w:eastAsia="Arial" w:hAnsi="Arial"/>
          <w:sz w:val="20"/>
          <w:szCs w:val="20"/>
          <w:color w:val="auto"/>
        </w:rPr>
        <w:t>” means an L/C Unreimbursed Amount in respect of an India Letter of Credit.</w:t>
      </w:r>
    </w:p>
    <w:p>
      <w:pPr>
        <w:spacing w:after="0" w:line="256" w:lineRule="exact"/>
        <w:rPr>
          <w:sz w:val="20"/>
          <w:szCs w:val="20"/>
          <w:color w:val="auto"/>
        </w:rPr>
      </w:pPr>
    </w:p>
    <w:p>
      <w:pPr>
        <w:ind w:right="160" w:firstLine="648"/>
        <w:spacing w:after="0" w:line="303"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India Letter of Credit</w:t>
      </w:r>
      <w:r>
        <w:rPr>
          <w:rFonts w:ascii="Arial" w:cs="Arial" w:eastAsia="Arial" w:hAnsi="Arial"/>
          <w:sz w:val="20"/>
          <w:szCs w:val="20"/>
          <w:color w:val="auto"/>
        </w:rPr>
        <w:t xml:space="preserve">” means each standby letter of credit issued or existing by the India L/C Issuer under </w:t>
      </w:r>
      <w:r>
        <w:rPr>
          <w:rFonts w:ascii="Arial" w:cs="Arial" w:eastAsia="Arial" w:hAnsi="Arial"/>
          <w:sz w:val="20"/>
          <w:szCs w:val="20"/>
          <w:u w:val="single" w:color="auto"/>
          <w:color w:val="auto"/>
        </w:rPr>
        <w:t>Section 2.01(d)(ii</w:t>
      </w:r>
      <w:r>
        <w:rPr>
          <w:rFonts w:ascii="Arial" w:cs="Arial" w:eastAsia="Arial" w:hAnsi="Arial"/>
          <w:sz w:val="20"/>
          <w:szCs w:val="20"/>
          <w:color w:val="auto"/>
        </w:rPr>
        <w:t>). India Letters of Credit will be issued in Indian Rupees.</w:t>
      </w:r>
    </w:p>
    <w:p>
      <w:pPr>
        <w:spacing w:after="0" w:line="17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India Obligations</w:t>
      </w:r>
      <w:r>
        <w:rPr>
          <w:rFonts w:ascii="Arial" w:cs="Arial" w:eastAsia="Arial" w:hAnsi="Arial"/>
          <w:sz w:val="20"/>
          <w:szCs w:val="20"/>
          <w:color w:val="auto"/>
        </w:rPr>
        <w:t>” means the Obligations of the India Borrower and its subsidiaries.</w:t>
      </w:r>
    </w:p>
    <w:p>
      <w:pPr>
        <w:spacing w:after="0" w:line="200" w:lineRule="exact"/>
        <w:rPr>
          <w:sz w:val="20"/>
          <w:szCs w:val="20"/>
          <w:color w:val="auto"/>
        </w:rPr>
      </w:pPr>
    </w:p>
    <w:p>
      <w:pPr>
        <w:spacing w:after="0" w:line="272" w:lineRule="exact"/>
        <w:rPr>
          <w:sz w:val="20"/>
          <w:szCs w:val="20"/>
          <w:color w:val="auto"/>
        </w:rPr>
      </w:pPr>
    </w:p>
    <w:p>
      <w:pPr>
        <w:jc w:val="center"/>
        <w:ind w:right="-139"/>
        <w:spacing w:after="0"/>
        <w:rPr>
          <w:sz w:val="20"/>
          <w:szCs w:val="20"/>
          <w:color w:val="auto"/>
        </w:rPr>
      </w:pPr>
      <w:r>
        <w:rPr>
          <w:rFonts w:ascii="Arial" w:cs="Arial" w:eastAsia="Arial" w:hAnsi="Arial"/>
          <w:sz w:val="20"/>
          <w:szCs w:val="20"/>
          <w:color w:val="auto"/>
        </w:rPr>
        <w:t>40</w:t>
      </w:r>
    </w:p>
    <w:p>
      <w:pPr>
        <w:spacing w:after="0" w:line="10" w:lineRule="exact"/>
        <w:rPr>
          <w:sz w:val="20"/>
          <w:szCs w:val="20"/>
          <w:color w:val="auto"/>
        </w:rPr>
      </w:pPr>
    </w:p>
    <w:p>
      <w:pPr>
        <w:spacing w:after="0"/>
        <w:rPr>
          <w:sz w:val="20"/>
          <w:szCs w:val="20"/>
          <w:color w:val="auto"/>
        </w:rPr>
      </w:pPr>
      <w:r>
        <w:rPr>
          <w:rFonts w:ascii="Arial" w:cs="Arial" w:eastAsia="Arial" w:hAnsi="Arial"/>
          <w:sz w:val="14"/>
          <w:szCs w:val="14"/>
          <w:color w:val="auto"/>
        </w:rPr>
        <w:t>CHAR1\1346423v</w:t>
      </w:r>
      <w:r>
        <w:rPr>
          <w:rFonts w:ascii="Arial" w:cs="Arial" w:eastAsia="Arial" w:hAnsi="Arial"/>
          <w:sz w:val="14"/>
          <w:szCs w:val="14"/>
          <w:color w:val="FF0000"/>
          <w:strike w:val="1"/>
        </w:rPr>
        <w:t>1</w:t>
      </w:r>
      <w:r>
        <w:rPr>
          <w:rFonts w:ascii="Arial" w:cs="Arial" w:eastAsia="Arial" w:hAnsi="Arial"/>
          <w:sz w:val="14"/>
          <w:szCs w:val="14"/>
          <w:u w:val="single" w:color="auto"/>
          <w:color w:val="0000FF"/>
        </w:rPr>
        <w:t>12</w:t>
      </w:r>
    </w:p>
    <w:p>
      <w:pPr>
        <w:sectPr>
          <w:pgSz w:w="11900" w:h="16838" w:orient="portrait"/>
          <w:cols w:equalWidth="0" w:num="1">
            <w:col w:w="11300"/>
          </w:cols>
          <w:pgMar w:left="240" w:top="609" w:right="359" w:bottom="1440" w:gutter="0" w:footer="0" w:header="0"/>
        </w:sectPr>
      </w:pPr>
    </w:p>
    <w:bookmarkStart w:id="92" w:name="page93"/>
    <w:bookmarkEnd w:id="92"/>
    <w:p>
      <w:pPr>
        <w:ind w:right="240" w:firstLine="648"/>
        <w:spacing w:after="0" w:line="292"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India Pledge Agreements</w:t>
      </w:r>
      <w:r>
        <w:rPr>
          <w:rFonts w:ascii="Arial" w:cs="Arial" w:eastAsia="Arial" w:hAnsi="Arial"/>
          <w:sz w:val="20"/>
          <w:szCs w:val="20"/>
          <w:color w:val="auto"/>
        </w:rPr>
        <w:t>” means any pledge agreement, given by the India Borrower and its Subsidiaries organized and existing under the laws of India, as pledgors, to the India Collateral Agent to secure the India Obligations, in each case as the same may be amended, modified, extended, renewed or replaced from time to time.</w:t>
      </w:r>
    </w:p>
    <w:p>
      <w:pPr>
        <w:spacing w:after="0" w:line="187" w:lineRule="exact"/>
        <w:rPr>
          <w:sz w:val="20"/>
          <w:szCs w:val="20"/>
          <w:color w:val="auto"/>
        </w:rPr>
      </w:pPr>
    </w:p>
    <w:p>
      <w:pPr>
        <w:ind w:right="280" w:firstLine="648"/>
        <w:spacing w:after="0" w:line="303"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India Revolving Commitment</w:t>
      </w:r>
      <w:r>
        <w:rPr>
          <w:rFonts w:ascii="Arial" w:cs="Arial" w:eastAsia="Arial" w:hAnsi="Arial"/>
          <w:sz w:val="20"/>
          <w:szCs w:val="20"/>
          <w:color w:val="auto"/>
        </w:rPr>
        <w:t>” means, for each India Revolving Lender, the commitment of such Lender to make India Revolving Loans (and to share in India Revolving Loan Obligations) hereunder.</w:t>
      </w:r>
    </w:p>
    <w:p>
      <w:pPr>
        <w:spacing w:after="0" w:line="176" w:lineRule="exact"/>
        <w:rPr>
          <w:sz w:val="20"/>
          <w:szCs w:val="20"/>
          <w:color w:val="auto"/>
        </w:rPr>
      </w:pPr>
    </w:p>
    <w:p>
      <w:pPr>
        <w:jc w:val="both"/>
        <w:ind w:right="200" w:firstLine="648"/>
        <w:spacing w:after="0" w:line="33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India Revolving Commitment Percentage</w:t>
      </w:r>
      <w:r>
        <w:rPr>
          <w:rFonts w:ascii="Arial" w:cs="Arial" w:eastAsia="Arial" w:hAnsi="Arial"/>
          <w:sz w:val="18"/>
          <w:szCs w:val="18"/>
          <w:color w:val="auto"/>
        </w:rPr>
        <w:t xml:space="preserve">” means, for each India Revolving Lender, a fraction (expressed as a percentage carried to the ninth decimal place), the numerator of which is such Lender’s India Revolving Committed Amount and the denominator of which is the Aggregate India Revolving Committed Amount. The initial India Revolving Commitment Percentages are set out in </w:t>
      </w:r>
      <w:r>
        <w:rPr>
          <w:rFonts w:ascii="Arial" w:cs="Arial" w:eastAsia="Arial" w:hAnsi="Arial"/>
          <w:sz w:val="18"/>
          <w:szCs w:val="18"/>
          <w:u w:val="single" w:color="auto"/>
          <w:color w:val="auto"/>
        </w:rPr>
        <w:t>Schedule 2.01</w:t>
      </w:r>
      <w:r>
        <w:rPr>
          <w:rFonts w:ascii="Arial" w:cs="Arial" w:eastAsia="Arial" w:hAnsi="Arial"/>
          <w:sz w:val="18"/>
          <w:szCs w:val="18"/>
          <w:color w:val="auto"/>
        </w:rPr>
        <w:t>.</w:t>
      </w:r>
    </w:p>
    <w:p>
      <w:pPr>
        <w:spacing w:after="0" w:line="152" w:lineRule="exact"/>
        <w:rPr>
          <w:sz w:val="20"/>
          <w:szCs w:val="20"/>
          <w:color w:val="auto"/>
        </w:rPr>
      </w:pPr>
    </w:p>
    <w:p>
      <w:pPr>
        <w:ind w:right="680" w:firstLine="648"/>
        <w:spacing w:after="0" w:line="303"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India Revolving Committed Amount</w:t>
      </w:r>
      <w:r>
        <w:rPr>
          <w:rFonts w:ascii="Arial" w:cs="Arial" w:eastAsia="Arial" w:hAnsi="Arial"/>
          <w:sz w:val="20"/>
          <w:szCs w:val="20"/>
          <w:color w:val="auto"/>
        </w:rPr>
        <w:t xml:space="preserve">” means, for each India Revolving Lender, the amount of such Lender’s India Revolving Commitment. The initial India Revolving Committed Amounts are set out in </w:t>
      </w:r>
      <w:r>
        <w:rPr>
          <w:rFonts w:ascii="Arial" w:cs="Arial" w:eastAsia="Arial" w:hAnsi="Arial"/>
          <w:sz w:val="20"/>
          <w:szCs w:val="20"/>
          <w:u w:val="single" w:color="auto"/>
          <w:color w:val="auto"/>
        </w:rPr>
        <w:t>Schedule 2.01</w:t>
      </w:r>
      <w:r>
        <w:rPr>
          <w:rFonts w:ascii="Arial" w:cs="Arial" w:eastAsia="Arial" w:hAnsi="Arial"/>
          <w:sz w:val="20"/>
          <w:szCs w:val="20"/>
          <w:color w:val="auto"/>
        </w:rPr>
        <w:t>.</w:t>
      </w:r>
    </w:p>
    <w:p>
      <w:pPr>
        <w:spacing w:after="0" w:line="176" w:lineRule="exact"/>
        <w:rPr>
          <w:sz w:val="20"/>
          <w:szCs w:val="20"/>
          <w:color w:val="auto"/>
        </w:rPr>
      </w:pPr>
    </w:p>
    <w:p>
      <w:pPr>
        <w:ind w:right="360" w:firstLine="648"/>
        <w:spacing w:after="0" w:line="3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India Revolving Lenders</w:t>
      </w:r>
      <w:r>
        <w:rPr>
          <w:rFonts w:ascii="Arial" w:cs="Arial" w:eastAsia="Arial" w:hAnsi="Arial"/>
          <w:sz w:val="18"/>
          <w:szCs w:val="18"/>
          <w:color w:val="auto"/>
        </w:rPr>
        <w:t xml:space="preserve">” means those Lenders with India Revolving Commitments, together with their successors and permitted assigns. The initial India Revolving Lenders are identified on the signature pages hereto and are set out in </w:t>
      </w:r>
      <w:r>
        <w:rPr>
          <w:rFonts w:ascii="Arial" w:cs="Arial" w:eastAsia="Arial" w:hAnsi="Arial"/>
          <w:sz w:val="18"/>
          <w:szCs w:val="18"/>
          <w:u w:val="single" w:color="auto"/>
          <w:color w:val="auto"/>
        </w:rPr>
        <w:t>Schedule 2.01</w:t>
      </w:r>
      <w:r>
        <w:rPr>
          <w:rFonts w:ascii="Arial" w:cs="Arial" w:eastAsia="Arial" w:hAnsi="Arial"/>
          <w:sz w:val="18"/>
          <w:szCs w:val="18"/>
          <w:color w:val="auto"/>
        </w:rPr>
        <w:t>.</w:t>
      </w:r>
    </w:p>
    <w:p>
      <w:pPr>
        <w:spacing w:after="0" w:line="130"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India Revolving Loan</w:t>
      </w:r>
      <w:r>
        <w:rPr>
          <w:rFonts w:ascii="Arial" w:cs="Arial" w:eastAsia="Arial" w:hAnsi="Arial"/>
          <w:sz w:val="20"/>
          <w:szCs w:val="20"/>
          <w:color w:val="auto"/>
        </w:rPr>
        <w:t>” has the meaning provided in Section 2.01(d)(i).</w:t>
      </w:r>
    </w:p>
    <w:p>
      <w:pPr>
        <w:spacing w:after="0" w:line="25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India Revolving Loan Obligations</w:t>
      </w:r>
      <w:r>
        <w:rPr>
          <w:rFonts w:ascii="Arial" w:cs="Arial" w:eastAsia="Arial" w:hAnsi="Arial"/>
          <w:sz w:val="20"/>
          <w:szCs w:val="20"/>
          <w:color w:val="auto"/>
        </w:rPr>
        <w:t>” means the India Revolving Loans and the India L/C Obligations.</w:t>
      </w:r>
    </w:p>
    <w:p>
      <w:pPr>
        <w:spacing w:after="0" w:line="256" w:lineRule="exact"/>
        <w:rPr>
          <w:sz w:val="20"/>
          <w:szCs w:val="20"/>
          <w:color w:val="auto"/>
        </w:rPr>
      </w:pPr>
    </w:p>
    <w:p>
      <w:pPr>
        <w:ind w:right="500" w:firstLine="648"/>
        <w:spacing w:after="0" w:line="331"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India Revolving Notes</w:t>
      </w:r>
      <w:r>
        <w:rPr>
          <w:rFonts w:ascii="Arial" w:cs="Arial" w:eastAsia="Arial" w:hAnsi="Arial"/>
          <w:sz w:val="19"/>
          <w:szCs w:val="19"/>
          <w:color w:val="auto"/>
        </w:rPr>
        <w:t xml:space="preserve">” means the promissory notes, if any, given to evidence the India Revolving Loans, as amended, restated, modified, supplemented, extended, renewed or replaced. A form of India Revolving Note is attached as </w:t>
      </w:r>
      <w:r>
        <w:rPr>
          <w:rFonts w:ascii="Arial" w:cs="Arial" w:eastAsia="Arial" w:hAnsi="Arial"/>
          <w:sz w:val="19"/>
          <w:szCs w:val="19"/>
          <w:u w:val="single" w:color="auto"/>
          <w:color w:val="auto"/>
        </w:rPr>
        <w:t>Exhibit 2.13-6</w:t>
      </w:r>
      <w:r>
        <w:rPr>
          <w:rFonts w:ascii="Arial" w:cs="Arial" w:eastAsia="Arial" w:hAnsi="Arial"/>
          <w:sz w:val="19"/>
          <w:szCs w:val="19"/>
          <w:color w:val="auto"/>
        </w:rPr>
        <w:t>.</w:t>
      </w:r>
    </w:p>
    <w:p>
      <w:pPr>
        <w:spacing w:after="0" w:line="154" w:lineRule="exact"/>
        <w:rPr>
          <w:sz w:val="20"/>
          <w:szCs w:val="20"/>
          <w:color w:val="auto"/>
        </w:rPr>
      </w:pPr>
    </w:p>
    <w:p>
      <w:pPr>
        <w:ind w:firstLine="648"/>
        <w:spacing w:after="0" w:line="288"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India Security Agreement</w:t>
      </w:r>
      <w:r>
        <w:rPr>
          <w:rFonts w:ascii="Arial" w:cs="Arial" w:eastAsia="Arial" w:hAnsi="Arial"/>
          <w:sz w:val="20"/>
          <w:szCs w:val="20"/>
          <w:color w:val="auto"/>
        </w:rPr>
        <w:t xml:space="preserve">” means </w:t>
      </w:r>
      <w:r>
        <w:rPr>
          <w:rFonts w:ascii="Arial" w:cs="Arial" w:eastAsia="Arial" w:hAnsi="Arial"/>
          <w:sz w:val="20"/>
          <w:szCs w:val="20"/>
          <w:color w:val="FF0000"/>
          <w:strike w:val="1"/>
        </w:rPr>
        <w:t>the security agreement dated as of the Closing Date, if any, and any other security agreement, given</w:t>
      </w:r>
      <w:r>
        <w:rPr>
          <w:rFonts w:ascii="Arial" w:cs="Arial" w:eastAsia="Arial" w:hAnsi="Arial"/>
          <w:sz w:val="20"/>
          <w:szCs w:val="20"/>
          <w:color w:val="auto"/>
        </w:rPr>
        <w:t xml:space="preserve"> </w:t>
      </w:r>
      <w:r>
        <w:rPr>
          <w:rFonts w:ascii="Arial" w:cs="Arial" w:eastAsia="Arial" w:hAnsi="Arial"/>
          <w:sz w:val="20"/>
          <w:szCs w:val="20"/>
          <w:color w:val="FF0000"/>
          <w:strike w:val="1"/>
        </w:rPr>
        <w:t>by the India Borrower and its Subsidiaries organized and existing under the laws of India, as grantors, to the India Collateral Agent to secure the India Obligations, in each case as the same may be amended, modified, extended, renewed or replaced from time to time.</w:t>
      </w:r>
      <w:r>
        <w:rPr>
          <w:rFonts w:ascii="Arial" w:cs="Arial" w:eastAsia="Arial" w:hAnsi="Arial"/>
          <w:sz w:val="20"/>
          <w:szCs w:val="20"/>
          <w:u w:val="single" w:color="auto"/>
          <w:color w:val="0000FF"/>
          <w:strike w:val="1"/>
        </w:rPr>
        <w:t>[Released per</w:t>
      </w:r>
      <w:r>
        <w:rPr>
          <w:rFonts w:ascii="Arial" w:cs="Arial" w:eastAsia="Arial" w:hAnsi="Arial"/>
          <w:sz w:val="20"/>
          <w:szCs w:val="20"/>
          <w:color w:val="FF0000"/>
          <w:strike w:val="1"/>
        </w:rPr>
        <w:t xml:space="preserve"> </w:t>
      </w:r>
      <w:r>
        <w:rPr>
          <w:rFonts w:ascii="Arial" w:cs="Arial" w:eastAsia="Arial" w:hAnsi="Arial"/>
          <w:sz w:val="20"/>
          <w:szCs w:val="20"/>
          <w:u w:val="single" w:color="auto"/>
          <w:color w:val="0000FF"/>
          <w:strike w:val="1"/>
        </w:rPr>
        <w:t>terms of Amendment No. 1].</w:t>
      </w:r>
    </w:p>
    <w:p>
      <w:pPr>
        <w:spacing w:after="0" w:line="193"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Indian Rupee</w:t>
      </w:r>
      <w:r>
        <w:rPr>
          <w:rFonts w:ascii="Arial" w:cs="Arial" w:eastAsia="Arial" w:hAnsi="Arial"/>
          <w:sz w:val="20"/>
          <w:szCs w:val="20"/>
          <w:color w:val="auto"/>
        </w:rPr>
        <w:t>” and “</w:t>
      </w:r>
      <w:r>
        <w:rPr>
          <w:rFonts w:ascii="Arial" w:cs="Arial" w:eastAsia="Arial" w:hAnsi="Arial"/>
          <w:sz w:val="20"/>
          <w:szCs w:val="20"/>
          <w:u w:val="single" w:color="auto"/>
          <w:color w:val="auto"/>
        </w:rPr>
        <w:t>Rupee</w:t>
      </w:r>
      <w:r>
        <w:rPr>
          <w:rFonts w:ascii="Arial" w:cs="Arial" w:eastAsia="Arial" w:hAnsi="Arial"/>
          <w:sz w:val="20"/>
          <w:szCs w:val="20"/>
          <w:color w:val="auto"/>
        </w:rPr>
        <w:t>” means the lawful currency of India.</w:t>
      </w:r>
    </w:p>
    <w:p>
      <w:pPr>
        <w:spacing w:after="0" w:line="25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Information</w:t>
      </w:r>
      <w:r>
        <w:rPr>
          <w:rFonts w:ascii="Arial" w:cs="Arial" w:eastAsia="Arial" w:hAnsi="Arial"/>
          <w:sz w:val="20"/>
          <w:szCs w:val="20"/>
          <w:color w:val="auto"/>
        </w:rPr>
        <w:t xml:space="preserve">” has the meaning specified in </w:t>
      </w:r>
      <w:r>
        <w:rPr>
          <w:rFonts w:ascii="Arial" w:cs="Arial" w:eastAsia="Arial" w:hAnsi="Arial"/>
          <w:sz w:val="20"/>
          <w:szCs w:val="20"/>
          <w:u w:val="single" w:color="auto"/>
          <w:color w:val="auto"/>
        </w:rPr>
        <w:t>Section 11.07</w:t>
      </w:r>
      <w:r>
        <w:rPr>
          <w:rFonts w:ascii="Arial" w:cs="Arial" w:eastAsia="Arial" w:hAnsi="Arial"/>
          <w:sz w:val="20"/>
          <w:szCs w:val="20"/>
          <w:color w:val="auto"/>
        </w:rPr>
        <w:t>.</w:t>
      </w:r>
    </w:p>
    <w:p>
      <w:pPr>
        <w:spacing w:after="0" w:line="256" w:lineRule="exact"/>
        <w:rPr>
          <w:sz w:val="20"/>
          <w:szCs w:val="20"/>
          <w:color w:val="auto"/>
        </w:rPr>
      </w:pPr>
    </w:p>
    <w:p>
      <w:pPr>
        <w:ind w:right="140" w:firstLine="648"/>
        <w:spacing w:after="0" w:line="33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Interest Payment Date</w:t>
      </w:r>
      <w:r>
        <w:rPr>
          <w:rFonts w:ascii="Arial" w:cs="Arial" w:eastAsia="Arial" w:hAnsi="Arial"/>
          <w:sz w:val="18"/>
          <w:szCs w:val="18"/>
          <w:color w:val="auto"/>
        </w:rPr>
        <w:t>” means, (a) as to any Base Rate Loan and any Floating LIBOR Rate Loan (including USD Swingline Loans), the last Business Day of each March, June, September and December, the Revolving Termination Date and the date of the final principal amortization payment on any Term Loan and, in the case of any Swingline Loan, any other dates as may be mutually agreed upon by the</w:t>
      </w:r>
    </w:p>
    <w:p>
      <w:pPr>
        <w:spacing w:after="0" w:line="368" w:lineRule="exact"/>
        <w:rPr>
          <w:sz w:val="20"/>
          <w:szCs w:val="20"/>
          <w:color w:val="auto"/>
        </w:rPr>
      </w:pPr>
    </w:p>
    <w:p>
      <w:pPr>
        <w:jc w:val="center"/>
        <w:ind w:right="-59"/>
        <w:spacing w:after="0"/>
        <w:rPr>
          <w:sz w:val="20"/>
          <w:szCs w:val="20"/>
          <w:color w:val="auto"/>
        </w:rPr>
      </w:pPr>
      <w:r>
        <w:rPr>
          <w:rFonts w:ascii="Arial" w:cs="Arial" w:eastAsia="Arial" w:hAnsi="Arial"/>
          <w:sz w:val="20"/>
          <w:szCs w:val="20"/>
          <w:color w:val="auto"/>
        </w:rPr>
        <w:t>41</w:t>
      </w:r>
    </w:p>
    <w:p>
      <w:pPr>
        <w:spacing w:after="0" w:line="10" w:lineRule="exact"/>
        <w:rPr>
          <w:sz w:val="20"/>
          <w:szCs w:val="20"/>
          <w:color w:val="auto"/>
        </w:rPr>
      </w:pPr>
    </w:p>
    <w:p>
      <w:pPr>
        <w:spacing w:after="0"/>
        <w:rPr>
          <w:sz w:val="20"/>
          <w:szCs w:val="20"/>
          <w:color w:val="auto"/>
        </w:rPr>
      </w:pPr>
      <w:r>
        <w:rPr>
          <w:rFonts w:ascii="Arial" w:cs="Arial" w:eastAsia="Arial" w:hAnsi="Arial"/>
          <w:sz w:val="14"/>
          <w:szCs w:val="14"/>
          <w:color w:val="auto"/>
        </w:rPr>
        <w:t>CHAR1\1346423v</w:t>
      </w:r>
      <w:r>
        <w:rPr>
          <w:rFonts w:ascii="Arial" w:cs="Arial" w:eastAsia="Arial" w:hAnsi="Arial"/>
          <w:sz w:val="14"/>
          <w:szCs w:val="14"/>
          <w:color w:val="FF0000"/>
          <w:strike w:val="1"/>
        </w:rPr>
        <w:t>1</w:t>
      </w:r>
      <w:r>
        <w:rPr>
          <w:rFonts w:ascii="Arial" w:cs="Arial" w:eastAsia="Arial" w:hAnsi="Arial"/>
          <w:sz w:val="14"/>
          <w:szCs w:val="14"/>
          <w:u w:val="single" w:color="auto"/>
          <w:color w:val="0000FF"/>
        </w:rPr>
        <w:t>12</w:t>
      </w:r>
    </w:p>
    <w:p>
      <w:pPr>
        <w:sectPr>
          <w:pgSz w:w="11900" w:h="16838" w:orient="portrait"/>
          <w:cols w:equalWidth="0" w:num="1">
            <w:col w:w="11360"/>
          </w:cols>
          <w:pgMar w:left="240" w:top="609" w:right="299" w:bottom="1440" w:gutter="0" w:footer="0" w:header="0"/>
        </w:sectPr>
      </w:pPr>
    </w:p>
    <w:bookmarkStart w:id="93" w:name="page94"/>
    <w:bookmarkEnd w:id="93"/>
    <w:p>
      <w:pPr>
        <w:spacing w:after="0"/>
        <w:rPr>
          <w:sz w:val="20"/>
          <w:szCs w:val="20"/>
          <w:color w:val="auto"/>
        </w:rPr>
      </w:pPr>
      <w:r>
        <w:rPr>
          <w:rFonts w:ascii="Arial" w:cs="Arial" w:eastAsia="Arial" w:hAnsi="Arial"/>
          <w:sz w:val="18"/>
          <w:szCs w:val="18"/>
          <w:color w:val="auto"/>
        </w:rPr>
        <w:t xml:space="preserve">applicable Borrowers and the Swingline Lender, (b) as to any Fixed LIBOR Rate Loan, the last </w:t>
      </w:r>
      <w:r>
        <w:rPr>
          <w:rFonts w:ascii="Arial" w:cs="Arial" w:eastAsia="Arial" w:hAnsi="Arial"/>
          <w:sz w:val="18"/>
          <w:szCs w:val="18"/>
          <w:color w:val="FF0000"/>
          <w:strike w:val="1"/>
        </w:rPr>
        <w:t>Business Day</w:t>
      </w:r>
      <w:r>
        <w:rPr>
          <w:rFonts w:ascii="Arial" w:cs="Arial" w:eastAsia="Arial" w:hAnsi="Arial"/>
          <w:sz w:val="18"/>
          <w:szCs w:val="18"/>
          <w:u w:val="single" w:color="auto"/>
          <w:color w:val="0000FF"/>
        </w:rPr>
        <w:t>day</w:t>
      </w:r>
      <w:r>
        <w:rPr>
          <w:rFonts w:ascii="Arial" w:cs="Arial" w:eastAsia="Arial" w:hAnsi="Arial"/>
          <w:sz w:val="18"/>
          <w:szCs w:val="18"/>
          <w:color w:val="auto"/>
        </w:rPr>
        <w:t xml:space="preserve"> of each Interest Period</w:t>
      </w:r>
    </w:p>
    <w:p>
      <w:pPr>
        <w:spacing w:after="0" w:line="63" w:lineRule="exact"/>
        <w:rPr>
          <w:sz w:val="20"/>
          <w:szCs w:val="20"/>
          <w:color w:val="auto"/>
        </w:rPr>
      </w:pPr>
    </w:p>
    <w:p>
      <w:pPr>
        <w:spacing w:after="0" w:line="285" w:lineRule="auto"/>
        <w:rPr>
          <w:sz w:val="20"/>
          <w:szCs w:val="20"/>
          <w:color w:val="auto"/>
        </w:rPr>
      </w:pPr>
      <w:r>
        <w:rPr>
          <w:rFonts w:ascii="Arial" w:cs="Arial" w:eastAsia="Arial" w:hAnsi="Arial"/>
          <w:sz w:val="20"/>
          <w:szCs w:val="20"/>
          <w:color w:val="FF0000"/>
          <w:strike w:val="1"/>
        </w:rPr>
        <w:t>for</w:t>
      </w:r>
      <w:r>
        <w:rPr>
          <w:rFonts w:ascii="Arial" w:cs="Arial" w:eastAsia="Arial" w:hAnsi="Arial"/>
          <w:sz w:val="20"/>
          <w:szCs w:val="20"/>
          <w:u w:val="single" w:color="auto"/>
          <w:color w:val="0000FF"/>
        </w:rPr>
        <w:t>applicable to</w:t>
      </w:r>
      <w:r>
        <w:rPr>
          <w:rFonts w:ascii="Arial" w:cs="Arial" w:eastAsia="Arial" w:hAnsi="Arial"/>
          <w:sz w:val="20"/>
          <w:szCs w:val="20"/>
          <w:color w:val="FF0000"/>
        </w:rPr>
        <w:t xml:space="preserve"> </w:t>
      </w:r>
      <w:r>
        <w:rPr>
          <w:rFonts w:ascii="Arial" w:cs="Arial" w:eastAsia="Arial" w:hAnsi="Arial"/>
          <w:sz w:val="20"/>
          <w:szCs w:val="20"/>
          <w:color w:val="000000"/>
        </w:rPr>
        <w:t>such Loan, the date of repayment of principal of such Loan, the Revolving Termination Date and the date of the final principal</w:t>
      </w:r>
      <w:r>
        <w:rPr>
          <w:rFonts w:ascii="Arial" w:cs="Arial" w:eastAsia="Arial" w:hAnsi="Arial"/>
          <w:sz w:val="20"/>
          <w:szCs w:val="20"/>
          <w:color w:val="FF0000"/>
        </w:rPr>
        <w:t xml:space="preserve"> </w:t>
      </w:r>
      <w:r>
        <w:rPr>
          <w:rFonts w:ascii="Arial" w:cs="Arial" w:eastAsia="Arial" w:hAnsi="Arial"/>
          <w:sz w:val="20"/>
          <w:szCs w:val="20"/>
          <w:color w:val="000000"/>
        </w:rPr>
        <w:t xml:space="preserve">amortization payment on any Term Loan, and in addition, where the applicable Interest Period exceeds three months, the date every three months after the beginning of such Interest Period, </w:t>
      </w:r>
      <w:r>
        <w:rPr>
          <w:rFonts w:ascii="Arial" w:cs="Arial" w:eastAsia="Arial" w:hAnsi="Arial"/>
          <w:sz w:val="20"/>
          <w:szCs w:val="20"/>
          <w:u w:val="single" w:color="auto"/>
          <w:color w:val="000000"/>
        </w:rPr>
        <w:t>provided</w:t>
      </w:r>
      <w:r>
        <w:rPr>
          <w:rFonts w:ascii="Arial" w:cs="Arial" w:eastAsia="Arial" w:hAnsi="Arial"/>
          <w:sz w:val="20"/>
          <w:szCs w:val="20"/>
          <w:color w:val="000000"/>
        </w:rPr>
        <w:t xml:space="preserve"> that notwithstanding anything to the contrary contained in this Credit Agreement, the Interest Payment Date in relation to the India Loan Obligations shall always mean the last Business Day of each Interest Period; and (c) as to any European Swingline Loan and Overnight Rate Loan, the last day of each Interest Period applicable thereto and the Revolving Termination Date. If an Interest Payment Date falls on a date that is not a Business Day, such Interest Payment Date shall be deemed to be the next succeeding Business Day.</w:t>
      </w:r>
    </w:p>
    <w:p>
      <w:pPr>
        <w:spacing w:after="0" w:line="195" w:lineRule="exact"/>
        <w:rPr>
          <w:sz w:val="20"/>
          <w:szCs w:val="20"/>
          <w:color w:val="auto"/>
        </w:rPr>
      </w:pPr>
    </w:p>
    <w:p>
      <w:pPr>
        <w:ind w:right="160" w:firstLine="648"/>
        <w:spacing w:after="0" w:line="287"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Interest Period</w:t>
      </w:r>
      <w:r>
        <w:rPr>
          <w:rFonts w:ascii="Arial" w:cs="Arial" w:eastAsia="Arial" w:hAnsi="Arial"/>
          <w:sz w:val="20"/>
          <w:szCs w:val="20"/>
          <w:color w:val="auto"/>
        </w:rPr>
        <w:t xml:space="preserve">” means, (i) as to each Fixed LIBOR Rate Loan, the period commencing on the date such Fixed LIBOR Rate Loan is disbursed or converted to or continued as a Fixed LIBOR Rate Loan and ending on the date one, two, three or six months thereafter </w:t>
      </w:r>
      <w:r>
        <w:rPr>
          <w:rFonts w:ascii="Arial" w:cs="Arial" w:eastAsia="Arial" w:hAnsi="Arial"/>
          <w:sz w:val="20"/>
          <w:szCs w:val="20"/>
          <w:u w:val="single" w:color="auto"/>
          <w:color w:val="0000FF"/>
        </w:rPr>
        <w:t>(in each</w:t>
      </w:r>
      <w:r>
        <w:rPr>
          <w:rFonts w:ascii="Arial" w:cs="Arial" w:eastAsia="Arial" w:hAnsi="Arial"/>
          <w:sz w:val="20"/>
          <w:szCs w:val="20"/>
          <w:color w:val="auto"/>
        </w:rPr>
        <w:t xml:space="preserve"> </w:t>
      </w:r>
      <w:r>
        <w:rPr>
          <w:rFonts w:ascii="Arial" w:cs="Arial" w:eastAsia="Arial" w:hAnsi="Arial"/>
          <w:sz w:val="20"/>
          <w:szCs w:val="20"/>
          <w:u w:val="single" w:color="auto"/>
          <w:color w:val="0000FF"/>
        </w:rPr>
        <w:t>case, subject to availability)</w:t>
      </w:r>
      <w:r>
        <w:rPr>
          <w:rFonts w:ascii="Arial" w:cs="Arial" w:eastAsia="Arial" w:hAnsi="Arial"/>
          <w:sz w:val="20"/>
          <w:szCs w:val="20"/>
          <w:color w:val="000000"/>
        </w:rPr>
        <w:t>, as selected by the applicable Borrower in its Loan Notice and (ii) as to each European Swingline Loan and</w:t>
      </w:r>
      <w:r>
        <w:rPr>
          <w:rFonts w:ascii="Arial" w:cs="Arial" w:eastAsia="Arial" w:hAnsi="Arial"/>
          <w:sz w:val="20"/>
          <w:szCs w:val="20"/>
          <w:color w:val="0000FF"/>
        </w:rPr>
        <w:t xml:space="preserve"> </w:t>
      </w:r>
      <w:r>
        <w:rPr>
          <w:rFonts w:ascii="Arial" w:cs="Arial" w:eastAsia="Arial" w:hAnsi="Arial"/>
          <w:sz w:val="20"/>
          <w:szCs w:val="20"/>
          <w:color w:val="000000"/>
        </w:rPr>
        <w:t xml:space="preserve">Overnight Rate Loan, the period commencing on the date such Loan is disbursed and ending on the date as may be offered by the applicable Lender or Lenders and agreed to by the Borrower; </w:t>
      </w:r>
      <w:r>
        <w:rPr>
          <w:rFonts w:ascii="Arial" w:cs="Arial" w:eastAsia="Arial" w:hAnsi="Arial"/>
          <w:sz w:val="20"/>
          <w:szCs w:val="20"/>
          <w:u w:val="single" w:color="auto"/>
          <w:color w:val="000000"/>
        </w:rPr>
        <w:t>provided</w:t>
      </w:r>
      <w:r>
        <w:rPr>
          <w:rFonts w:ascii="Arial" w:cs="Arial" w:eastAsia="Arial" w:hAnsi="Arial"/>
          <w:sz w:val="20"/>
          <w:szCs w:val="20"/>
          <w:color w:val="000000"/>
        </w:rPr>
        <w:t xml:space="preserve"> that:</w:t>
      </w:r>
    </w:p>
    <w:p>
      <w:pPr>
        <w:spacing w:after="0" w:line="192" w:lineRule="exact"/>
        <w:rPr>
          <w:sz w:val="20"/>
          <w:szCs w:val="20"/>
          <w:color w:val="auto"/>
        </w:rPr>
      </w:pPr>
    </w:p>
    <w:p>
      <w:pPr>
        <w:ind w:left="1700" w:hanging="395"/>
        <w:spacing w:after="0"/>
        <w:tabs>
          <w:tab w:leader="none" w:pos="1700" w:val="left"/>
        </w:tabs>
        <w:numPr>
          <w:ilvl w:val="0"/>
          <w:numId w:val="47"/>
        </w:numPr>
        <w:rPr>
          <w:rFonts w:ascii="Arial" w:cs="Arial" w:eastAsia="Arial" w:hAnsi="Arial"/>
          <w:sz w:val="16"/>
          <w:szCs w:val="16"/>
          <w:color w:val="auto"/>
        </w:rPr>
      </w:pPr>
      <w:r>
        <w:rPr>
          <w:rFonts w:ascii="Arial" w:cs="Arial" w:eastAsia="Arial" w:hAnsi="Arial"/>
          <w:sz w:val="16"/>
          <w:szCs w:val="16"/>
          <w:color w:val="auto"/>
        </w:rPr>
        <w:t>any Interest Period that would otherwise end on a day that is not a Business Day shall be extended to the next succeeding</w:t>
      </w:r>
    </w:p>
    <w:p>
      <w:pPr>
        <w:spacing w:after="0" w:line="99" w:lineRule="exact"/>
        <w:rPr>
          <w:rFonts w:ascii="Arial" w:cs="Arial" w:eastAsia="Arial" w:hAnsi="Arial"/>
          <w:sz w:val="16"/>
          <w:szCs w:val="16"/>
          <w:color w:val="auto"/>
        </w:rPr>
      </w:pPr>
    </w:p>
    <w:p>
      <w:pPr>
        <w:ind w:left="660" w:right="500"/>
        <w:spacing w:after="0" w:line="303" w:lineRule="auto"/>
        <w:rPr>
          <w:rFonts w:ascii="Arial" w:cs="Arial" w:eastAsia="Arial" w:hAnsi="Arial"/>
          <w:sz w:val="16"/>
          <w:szCs w:val="16"/>
          <w:color w:val="auto"/>
        </w:rPr>
      </w:pPr>
      <w:r>
        <w:rPr>
          <w:rFonts w:ascii="Arial" w:cs="Arial" w:eastAsia="Arial" w:hAnsi="Arial"/>
          <w:sz w:val="20"/>
          <w:szCs w:val="20"/>
          <w:color w:val="auto"/>
        </w:rPr>
        <w:t>Business Day unless such Business Day falls in another calendar month, in which case such Interest Period shall end on the next preceding Business Day;</w:t>
      </w:r>
    </w:p>
    <w:p>
      <w:pPr>
        <w:spacing w:after="0" w:line="175" w:lineRule="exact"/>
        <w:rPr>
          <w:rFonts w:ascii="Arial" w:cs="Arial" w:eastAsia="Arial" w:hAnsi="Arial"/>
          <w:sz w:val="16"/>
          <w:szCs w:val="16"/>
          <w:color w:val="auto"/>
        </w:rPr>
      </w:pPr>
    </w:p>
    <w:p>
      <w:pPr>
        <w:ind w:left="1720" w:hanging="415"/>
        <w:spacing w:after="0"/>
        <w:tabs>
          <w:tab w:leader="none" w:pos="1720" w:val="left"/>
        </w:tabs>
        <w:numPr>
          <w:ilvl w:val="0"/>
          <w:numId w:val="47"/>
        </w:numPr>
        <w:rPr>
          <w:rFonts w:ascii="Arial" w:cs="Arial" w:eastAsia="Arial" w:hAnsi="Arial"/>
          <w:sz w:val="19"/>
          <w:szCs w:val="19"/>
          <w:color w:val="auto"/>
        </w:rPr>
      </w:pPr>
      <w:r>
        <w:rPr>
          <w:rFonts w:ascii="Arial" w:cs="Arial" w:eastAsia="Arial" w:hAnsi="Arial"/>
          <w:sz w:val="19"/>
          <w:szCs w:val="19"/>
          <w:color w:val="auto"/>
        </w:rPr>
        <w:t>any Interest Period that begins on the last Business Day of a calendar month (or on a day for which there is no</w:t>
      </w:r>
    </w:p>
    <w:p>
      <w:pPr>
        <w:spacing w:after="0" w:line="65" w:lineRule="exact"/>
        <w:rPr>
          <w:rFonts w:ascii="Arial" w:cs="Arial" w:eastAsia="Arial" w:hAnsi="Arial"/>
          <w:sz w:val="19"/>
          <w:szCs w:val="19"/>
          <w:color w:val="auto"/>
        </w:rPr>
      </w:pPr>
    </w:p>
    <w:p>
      <w:pPr>
        <w:ind w:left="660" w:right="460"/>
        <w:spacing w:after="0" w:line="303" w:lineRule="auto"/>
        <w:rPr>
          <w:rFonts w:ascii="Arial" w:cs="Arial" w:eastAsia="Arial" w:hAnsi="Arial"/>
          <w:sz w:val="19"/>
          <w:szCs w:val="19"/>
          <w:color w:val="auto"/>
        </w:rPr>
      </w:pPr>
      <w:r>
        <w:rPr>
          <w:rFonts w:ascii="Arial" w:cs="Arial" w:eastAsia="Arial" w:hAnsi="Arial"/>
          <w:sz w:val="20"/>
          <w:szCs w:val="20"/>
          <w:color w:val="auto"/>
        </w:rPr>
        <w:t>numerically corresponding day in the calendar month at the end of such Interest Period) shall end on the last Business Day of the calendar month at the end of such Interest Period;</w:t>
      </w:r>
    </w:p>
    <w:p>
      <w:pPr>
        <w:spacing w:after="0" w:line="175" w:lineRule="exact"/>
        <w:rPr>
          <w:rFonts w:ascii="Arial" w:cs="Arial" w:eastAsia="Arial" w:hAnsi="Arial"/>
          <w:sz w:val="19"/>
          <w:szCs w:val="19"/>
          <w:color w:val="auto"/>
        </w:rPr>
      </w:pPr>
    </w:p>
    <w:p>
      <w:pPr>
        <w:ind w:left="1700" w:hanging="395"/>
        <w:spacing w:after="0"/>
        <w:tabs>
          <w:tab w:leader="none" w:pos="1700" w:val="left"/>
        </w:tabs>
        <w:numPr>
          <w:ilvl w:val="0"/>
          <w:numId w:val="47"/>
        </w:numPr>
        <w:rPr>
          <w:rFonts w:ascii="Arial" w:cs="Arial" w:eastAsia="Arial" w:hAnsi="Arial"/>
          <w:sz w:val="20"/>
          <w:szCs w:val="20"/>
          <w:color w:val="auto"/>
        </w:rPr>
      </w:pPr>
      <w:r>
        <w:rPr>
          <w:rFonts w:ascii="Arial" w:cs="Arial" w:eastAsia="Arial" w:hAnsi="Arial"/>
          <w:sz w:val="20"/>
          <w:szCs w:val="20"/>
          <w:color w:val="auto"/>
        </w:rPr>
        <w:t>no Interest Period with respect to any Revolving Loan shall extend beyond the Revolving Termination Date;</w:t>
      </w:r>
    </w:p>
    <w:p>
      <w:pPr>
        <w:spacing w:after="0" w:line="269" w:lineRule="exact"/>
        <w:rPr>
          <w:rFonts w:ascii="Arial" w:cs="Arial" w:eastAsia="Arial" w:hAnsi="Arial"/>
          <w:sz w:val="20"/>
          <w:szCs w:val="20"/>
          <w:color w:val="auto"/>
        </w:rPr>
      </w:pPr>
    </w:p>
    <w:p>
      <w:pPr>
        <w:ind w:left="1720" w:hanging="415"/>
        <w:spacing w:after="0"/>
        <w:tabs>
          <w:tab w:leader="none" w:pos="1720" w:val="left"/>
        </w:tabs>
        <w:numPr>
          <w:ilvl w:val="0"/>
          <w:numId w:val="47"/>
        </w:numPr>
        <w:rPr>
          <w:rFonts w:ascii="Arial" w:cs="Arial" w:eastAsia="Arial" w:hAnsi="Arial"/>
          <w:sz w:val="16"/>
          <w:szCs w:val="16"/>
          <w:color w:val="auto"/>
        </w:rPr>
      </w:pPr>
      <w:r>
        <w:rPr>
          <w:rFonts w:ascii="Arial" w:cs="Arial" w:eastAsia="Arial" w:hAnsi="Arial"/>
          <w:sz w:val="16"/>
          <w:szCs w:val="16"/>
          <w:color w:val="auto"/>
        </w:rPr>
        <w:t>no Interest Period with respect to any Term Loan shall extend beyond any principal amortization payment date, except to</w:t>
      </w:r>
    </w:p>
    <w:p>
      <w:pPr>
        <w:spacing w:after="0" w:line="99" w:lineRule="exact"/>
        <w:rPr>
          <w:rFonts w:ascii="Arial" w:cs="Arial" w:eastAsia="Arial" w:hAnsi="Arial"/>
          <w:sz w:val="16"/>
          <w:szCs w:val="16"/>
          <w:color w:val="auto"/>
        </w:rPr>
      </w:pPr>
    </w:p>
    <w:p>
      <w:pPr>
        <w:ind w:left="660" w:right="140"/>
        <w:spacing w:after="0" w:line="292" w:lineRule="auto"/>
        <w:rPr>
          <w:rFonts w:ascii="Arial" w:cs="Arial" w:eastAsia="Arial" w:hAnsi="Arial"/>
          <w:sz w:val="16"/>
          <w:szCs w:val="16"/>
          <w:color w:val="auto"/>
        </w:rPr>
      </w:pPr>
      <w:r>
        <w:rPr>
          <w:rFonts w:ascii="Arial" w:cs="Arial" w:eastAsia="Arial" w:hAnsi="Arial"/>
          <w:sz w:val="20"/>
          <w:szCs w:val="20"/>
          <w:color w:val="auto"/>
        </w:rPr>
        <w:t xml:space="preserve">the extent that the portion of such Loan comprised of Fixed LIBOR Rate Loans that is expiring prior to the applicable principal amortization payment date </w:t>
      </w:r>
      <w:r>
        <w:rPr>
          <w:rFonts w:ascii="Arial" w:cs="Arial" w:eastAsia="Arial" w:hAnsi="Arial"/>
          <w:sz w:val="20"/>
          <w:szCs w:val="20"/>
          <w:u w:val="single" w:color="auto"/>
          <w:color w:val="auto"/>
        </w:rPr>
        <w:t>plus</w:t>
      </w:r>
      <w:r>
        <w:rPr>
          <w:rFonts w:ascii="Arial" w:cs="Arial" w:eastAsia="Arial" w:hAnsi="Arial"/>
          <w:sz w:val="20"/>
          <w:szCs w:val="20"/>
          <w:color w:val="auto"/>
        </w:rPr>
        <w:t xml:space="preserve"> the portion comprised of Base Rate Loans equals or exceeds the principal amortization payment then due; and</w:t>
      </w:r>
    </w:p>
    <w:p>
      <w:pPr>
        <w:spacing w:after="0" w:line="186" w:lineRule="exact"/>
        <w:rPr>
          <w:rFonts w:ascii="Arial" w:cs="Arial" w:eastAsia="Arial" w:hAnsi="Arial"/>
          <w:sz w:val="16"/>
          <w:szCs w:val="16"/>
          <w:color w:val="auto"/>
        </w:rPr>
      </w:pPr>
    </w:p>
    <w:p>
      <w:pPr>
        <w:ind w:left="1700" w:hanging="395"/>
        <w:spacing w:after="0"/>
        <w:tabs>
          <w:tab w:leader="none" w:pos="17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notwithstanding anything to the contrary contained in this Credit Agreement, the Interest Period in relating to the India</w:t>
      </w:r>
    </w:p>
    <w:p>
      <w:pPr>
        <w:spacing w:after="0" w:line="76" w:lineRule="exact"/>
        <w:rPr>
          <w:rFonts w:ascii="Arial" w:cs="Arial" w:eastAsia="Arial" w:hAnsi="Arial"/>
          <w:sz w:val="18"/>
          <w:szCs w:val="18"/>
          <w:color w:val="auto"/>
        </w:rPr>
      </w:pPr>
    </w:p>
    <w:p>
      <w:pPr>
        <w:ind w:left="660" w:right="80"/>
        <w:spacing w:after="0" w:line="303" w:lineRule="auto"/>
        <w:rPr>
          <w:rFonts w:ascii="Arial" w:cs="Arial" w:eastAsia="Arial" w:hAnsi="Arial"/>
          <w:sz w:val="18"/>
          <w:szCs w:val="18"/>
          <w:color w:val="auto"/>
        </w:rPr>
      </w:pPr>
      <w:r>
        <w:rPr>
          <w:rFonts w:ascii="Arial" w:cs="Arial" w:eastAsia="Arial" w:hAnsi="Arial"/>
          <w:sz w:val="20"/>
          <w:szCs w:val="20"/>
          <w:color w:val="auto"/>
        </w:rPr>
        <w:t>Loan Obligations shall be the period commending on the date such Fixed LIBOR Rate Loan is disbursed or converted to or continued as a Fixed LIBOR Rate Loan and ending on the date one month thereafter.</w:t>
      </w:r>
    </w:p>
    <w:p>
      <w:pPr>
        <w:spacing w:after="0" w:line="17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Internal Revenue Code</w:t>
      </w:r>
      <w:r>
        <w:rPr>
          <w:rFonts w:ascii="Arial" w:cs="Arial" w:eastAsia="Arial" w:hAnsi="Arial"/>
          <w:sz w:val="20"/>
          <w:szCs w:val="20"/>
          <w:color w:val="auto"/>
        </w:rPr>
        <w:t xml:space="preserve">” means the Internal Revenue Code of </w:t>
      </w:r>
      <w:r>
        <w:rPr>
          <w:rFonts w:ascii="Arial" w:cs="Arial" w:eastAsia="Arial" w:hAnsi="Arial"/>
          <w:sz w:val="20"/>
          <w:szCs w:val="20"/>
          <w:color w:val="FF0000"/>
          <w:strike w:val="1"/>
        </w:rPr>
        <w:t>1986.</w:t>
      </w:r>
      <w:r>
        <w:rPr>
          <w:rFonts w:ascii="Arial" w:cs="Arial" w:eastAsia="Arial" w:hAnsi="Arial"/>
          <w:sz w:val="20"/>
          <w:szCs w:val="20"/>
          <w:u w:val="single" w:color="auto"/>
          <w:color w:val="0000FF"/>
        </w:rPr>
        <w:t>1986, as amended.</w:t>
      </w:r>
    </w:p>
    <w:p>
      <w:pPr>
        <w:spacing w:after="0" w:line="200" w:lineRule="exact"/>
        <w:rPr>
          <w:sz w:val="20"/>
          <w:szCs w:val="20"/>
          <w:color w:val="auto"/>
        </w:rPr>
      </w:pPr>
    </w:p>
    <w:p>
      <w:pPr>
        <w:spacing w:after="0" w:line="272" w:lineRule="exact"/>
        <w:rPr>
          <w:sz w:val="20"/>
          <w:szCs w:val="20"/>
          <w:color w:val="auto"/>
        </w:rPr>
      </w:pPr>
    </w:p>
    <w:p>
      <w:pPr>
        <w:jc w:val="center"/>
        <w:ind w:right="-99"/>
        <w:spacing w:after="0"/>
        <w:rPr>
          <w:sz w:val="20"/>
          <w:szCs w:val="20"/>
          <w:color w:val="auto"/>
        </w:rPr>
      </w:pPr>
      <w:r>
        <w:rPr>
          <w:rFonts w:ascii="Arial" w:cs="Arial" w:eastAsia="Arial" w:hAnsi="Arial"/>
          <w:sz w:val="20"/>
          <w:szCs w:val="20"/>
          <w:color w:val="auto"/>
        </w:rPr>
        <w:t>42</w:t>
      </w:r>
    </w:p>
    <w:p>
      <w:pPr>
        <w:spacing w:after="0" w:line="10" w:lineRule="exact"/>
        <w:rPr>
          <w:sz w:val="20"/>
          <w:szCs w:val="20"/>
          <w:color w:val="auto"/>
        </w:rPr>
      </w:pPr>
    </w:p>
    <w:p>
      <w:pPr>
        <w:spacing w:after="0"/>
        <w:rPr>
          <w:sz w:val="20"/>
          <w:szCs w:val="20"/>
          <w:color w:val="auto"/>
        </w:rPr>
      </w:pPr>
      <w:r>
        <w:rPr>
          <w:rFonts w:ascii="Arial" w:cs="Arial" w:eastAsia="Arial" w:hAnsi="Arial"/>
          <w:sz w:val="14"/>
          <w:szCs w:val="14"/>
          <w:color w:val="auto"/>
        </w:rPr>
        <w:t>CHAR1\1346423v</w:t>
      </w:r>
      <w:r>
        <w:rPr>
          <w:rFonts w:ascii="Arial" w:cs="Arial" w:eastAsia="Arial" w:hAnsi="Arial"/>
          <w:sz w:val="14"/>
          <w:szCs w:val="14"/>
          <w:color w:val="FF0000"/>
          <w:strike w:val="1"/>
        </w:rPr>
        <w:t>1</w:t>
      </w:r>
      <w:r>
        <w:rPr>
          <w:rFonts w:ascii="Arial" w:cs="Arial" w:eastAsia="Arial" w:hAnsi="Arial"/>
          <w:sz w:val="14"/>
          <w:szCs w:val="14"/>
          <w:u w:val="single" w:color="auto"/>
          <w:color w:val="0000FF"/>
        </w:rPr>
        <w:t>12</w:t>
      </w:r>
    </w:p>
    <w:p>
      <w:pPr>
        <w:sectPr>
          <w:pgSz w:w="11900" w:h="16838" w:orient="portrait"/>
          <w:cols w:equalWidth="0" w:num="1">
            <w:col w:w="11320"/>
          </w:cols>
          <w:pgMar w:left="240" w:top="609" w:right="339" w:bottom="1440" w:gutter="0" w:footer="0" w:header="0"/>
        </w:sectPr>
      </w:pPr>
    </w:p>
    <w:bookmarkStart w:id="94" w:name="page95"/>
    <w:bookmarkEnd w:id="94"/>
    <w:p>
      <w:pPr>
        <w:ind w:right="140" w:firstLine="648"/>
        <w:spacing w:after="0" w:line="321"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Investment</w:t>
      </w:r>
      <w:r>
        <w:rPr>
          <w:rFonts w:ascii="Arial" w:cs="Arial" w:eastAsia="Arial" w:hAnsi="Arial"/>
          <w:sz w:val="18"/>
          <w:szCs w:val="18"/>
          <w:color w:val="auto"/>
        </w:rPr>
        <w:t>” means, as to any Person, any direct or indirect acquisition or investment by such Person, whether by means of (a) the purchase or other acquisition of Capital Stock of another Person, (b) a loan, advance or capital contribution to, guaranty or assumption of Indebtedness of, or purchase or other acquisition of any other Indebtedness or equity participation or interest in, another Person, including any partnership or joint venture interest in such other Person and any arrangement pursuant to which the investor undertakes any Support Obligation with respect to Indebtedness of such other Person, or (c) the purchase or other acquisition (in one transaction or a series of transactions) of assets of another Person that constitute a business unit. For purposes of covenant compliance, the amount of any Investment shall be the amount actually loaned or invested, without adjustment for subsequent increases or decreases in the value of such Investment.</w:t>
      </w:r>
    </w:p>
    <w:p>
      <w:pPr>
        <w:spacing w:after="0" w:line="169"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IP Rights</w:t>
      </w:r>
      <w:r>
        <w:rPr>
          <w:rFonts w:ascii="Arial" w:cs="Arial" w:eastAsia="Arial" w:hAnsi="Arial"/>
          <w:sz w:val="20"/>
          <w:szCs w:val="20"/>
          <w:color w:val="auto"/>
        </w:rPr>
        <w:t xml:space="preserve">” has the meaning provided in </w:t>
      </w:r>
      <w:r>
        <w:rPr>
          <w:rFonts w:ascii="Arial" w:cs="Arial" w:eastAsia="Arial" w:hAnsi="Arial"/>
          <w:sz w:val="20"/>
          <w:szCs w:val="20"/>
          <w:u w:val="single" w:color="auto"/>
          <w:color w:val="auto"/>
        </w:rPr>
        <w:t>Section 6.20</w:t>
      </w:r>
      <w:r>
        <w:rPr>
          <w:rFonts w:ascii="Arial" w:cs="Arial" w:eastAsia="Arial" w:hAnsi="Arial"/>
          <w:sz w:val="20"/>
          <w:szCs w:val="20"/>
          <w:color w:val="auto"/>
        </w:rPr>
        <w:t>.</w:t>
      </w:r>
    </w:p>
    <w:p>
      <w:pPr>
        <w:spacing w:after="0" w:line="25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IRS</w:t>
      </w:r>
      <w:r>
        <w:rPr>
          <w:rFonts w:ascii="Arial" w:cs="Arial" w:eastAsia="Arial" w:hAnsi="Arial"/>
          <w:sz w:val="20"/>
          <w:szCs w:val="20"/>
          <w:color w:val="auto"/>
        </w:rPr>
        <w:t>” means the United States Internal Revenue Service.</w:t>
      </w:r>
    </w:p>
    <w:p>
      <w:pPr>
        <w:spacing w:after="0" w:line="256" w:lineRule="exact"/>
        <w:rPr>
          <w:sz w:val="20"/>
          <w:szCs w:val="20"/>
          <w:color w:val="auto"/>
        </w:rPr>
      </w:pPr>
    </w:p>
    <w:p>
      <w:pPr>
        <w:jc w:val="both"/>
        <w:ind w:right="60" w:firstLine="648"/>
        <w:spacing w:after="0" w:line="3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ISP</w:t>
      </w:r>
      <w:r>
        <w:rPr>
          <w:rFonts w:ascii="Arial" w:cs="Arial" w:eastAsia="Arial" w:hAnsi="Arial"/>
          <w:sz w:val="18"/>
          <w:szCs w:val="18"/>
          <w:color w:val="auto"/>
        </w:rPr>
        <w:t>” means, with respect to any Letter of Credit, the “International Standby Practices 1998” published by the Institute of International Banking Law &amp; Practice, Inc. (or such later version thereof as may be in effect at the time of issuance of such Letter of Credit).</w:t>
      </w:r>
    </w:p>
    <w:p>
      <w:pPr>
        <w:spacing w:after="0" w:line="130" w:lineRule="exact"/>
        <w:rPr>
          <w:sz w:val="20"/>
          <w:szCs w:val="20"/>
          <w:color w:val="auto"/>
        </w:rPr>
      </w:pPr>
    </w:p>
    <w:p>
      <w:pPr>
        <w:jc w:val="both"/>
        <w:ind w:right="40" w:firstLine="648"/>
        <w:spacing w:after="0" w:line="292"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Issuer Documents</w:t>
      </w:r>
      <w:r>
        <w:rPr>
          <w:rFonts w:ascii="Arial" w:cs="Arial" w:eastAsia="Arial" w:hAnsi="Arial"/>
          <w:sz w:val="20"/>
          <w:szCs w:val="20"/>
          <w:color w:val="auto"/>
        </w:rPr>
        <w:t>” means, with respect to any Letter of Credit, the L/C Application and any other document, agreement or instrument (including such Letter of Credit) entered into by a Borrower (or any Subsidiary) and the applicable L/C Issuer (or in favor of the applicable L/C Issuer), relating to such Letter of Credit.</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ITA</w:t>
      </w:r>
      <w:r>
        <w:rPr>
          <w:rFonts w:ascii="Arial" w:cs="Arial" w:eastAsia="Arial" w:hAnsi="Arial"/>
          <w:sz w:val="20"/>
          <w:szCs w:val="20"/>
          <w:color w:val="auto"/>
        </w:rPr>
        <w:t>” means the Income Tax Act 2007.</w:t>
      </w:r>
    </w:p>
    <w:p>
      <w:pPr>
        <w:spacing w:after="0" w:line="256" w:lineRule="exact"/>
        <w:rPr>
          <w:sz w:val="20"/>
          <w:szCs w:val="20"/>
          <w:color w:val="auto"/>
        </w:rPr>
      </w:pPr>
    </w:p>
    <w:p>
      <w:pPr>
        <w:ind w:right="40" w:firstLine="648"/>
        <w:spacing w:after="0" w:line="292"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Joinder Agreement</w:t>
      </w:r>
      <w:r>
        <w:rPr>
          <w:rFonts w:ascii="Arial" w:cs="Arial" w:eastAsia="Arial" w:hAnsi="Arial"/>
          <w:sz w:val="20"/>
          <w:szCs w:val="20"/>
          <w:color w:val="auto"/>
        </w:rPr>
        <w:t xml:space="preserve">” means (a) with respect to any Domestic Guarantor, a joinder agreement substantially in the form of </w:t>
      </w:r>
      <w:r>
        <w:rPr>
          <w:rFonts w:ascii="Arial" w:cs="Arial" w:eastAsia="Arial" w:hAnsi="Arial"/>
          <w:sz w:val="20"/>
          <w:szCs w:val="20"/>
          <w:u w:val="single" w:color="auto"/>
          <w:color w:val="auto"/>
        </w:rPr>
        <w:t>Exhibit 7.13</w:t>
      </w:r>
      <w:r>
        <w:rPr>
          <w:rFonts w:ascii="Arial" w:cs="Arial" w:eastAsia="Arial" w:hAnsi="Arial"/>
          <w:sz w:val="20"/>
          <w:szCs w:val="20"/>
          <w:color w:val="auto"/>
        </w:rPr>
        <w:t xml:space="preserve"> executed and delivered in accordance with the provisions of </w:t>
      </w:r>
      <w:r>
        <w:rPr>
          <w:rFonts w:ascii="Arial" w:cs="Arial" w:eastAsia="Arial" w:hAnsi="Arial"/>
          <w:sz w:val="20"/>
          <w:szCs w:val="20"/>
          <w:u w:val="single" w:color="auto"/>
          <w:color w:val="auto"/>
        </w:rPr>
        <w:t>Section 7.13</w:t>
      </w:r>
      <w:r>
        <w:rPr>
          <w:rFonts w:ascii="Arial" w:cs="Arial" w:eastAsia="Arial" w:hAnsi="Arial"/>
          <w:sz w:val="20"/>
          <w:szCs w:val="20"/>
          <w:color w:val="auto"/>
        </w:rPr>
        <w:t xml:space="preserve"> and (b) with respect to any Foreign Guarantor or any India Guarantor, a joinder agreement reasonably acceptable to the Administrative Agent.</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Judgment Currency</w:t>
      </w:r>
      <w:r>
        <w:rPr>
          <w:rFonts w:ascii="Arial" w:cs="Arial" w:eastAsia="Arial" w:hAnsi="Arial"/>
          <w:sz w:val="20"/>
          <w:szCs w:val="20"/>
          <w:color w:val="auto"/>
        </w:rPr>
        <w:t xml:space="preserve">” has the meaning provided in </w:t>
      </w:r>
      <w:r>
        <w:rPr>
          <w:rFonts w:ascii="Arial" w:cs="Arial" w:eastAsia="Arial" w:hAnsi="Arial"/>
          <w:sz w:val="20"/>
          <w:szCs w:val="20"/>
          <w:u w:val="single" w:color="auto"/>
          <w:color w:val="auto"/>
        </w:rPr>
        <w:t>Section 11.18</w:t>
      </w:r>
      <w:r>
        <w:rPr>
          <w:rFonts w:ascii="Arial" w:cs="Arial" w:eastAsia="Arial" w:hAnsi="Arial"/>
          <w:sz w:val="20"/>
          <w:szCs w:val="20"/>
          <w:color w:val="auto"/>
        </w:rPr>
        <w:t>.</w:t>
      </w:r>
    </w:p>
    <w:p>
      <w:pPr>
        <w:spacing w:after="0" w:line="256" w:lineRule="exact"/>
        <w:rPr>
          <w:sz w:val="20"/>
          <w:szCs w:val="20"/>
          <w:color w:val="auto"/>
        </w:rPr>
      </w:pPr>
    </w:p>
    <w:p>
      <w:pPr>
        <w:ind w:firstLine="648"/>
        <w:spacing w:after="0" w:line="32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Laws</w:t>
      </w:r>
      <w:r>
        <w:rPr>
          <w:rFonts w:ascii="Arial" w:cs="Arial" w:eastAsia="Arial" w:hAnsi="Arial"/>
          <w:sz w:val="18"/>
          <w:szCs w:val="18"/>
          <w:color w:val="auto"/>
        </w:rPr>
        <w:t>” means, collectively, all international, foreign, federal, state and local statutes, treaties, rules, guidelines, regulations, ordinances, codes and administrative or judicial precedents or authorities, including the interpretation or administration thereof by any Governmental Authority charged with the enforcement, interpretation or administration thereof, and all applicable administrative orders, directed duties, licenses, authorizations and permits of, and agreements with, any Governmental Authority, in each case whether or not having the force of law.</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L/C Advance</w:t>
      </w:r>
      <w:r>
        <w:rPr>
          <w:rFonts w:ascii="Arial" w:cs="Arial" w:eastAsia="Arial" w:hAnsi="Arial"/>
          <w:sz w:val="20"/>
          <w:szCs w:val="20"/>
          <w:color w:val="auto"/>
        </w:rPr>
        <w:t>” means a USD L/C Advance and/or an India L/C Advance, as appropriate.</w:t>
      </w:r>
    </w:p>
    <w:p>
      <w:pPr>
        <w:spacing w:after="0" w:line="25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L/C Application</w:t>
      </w:r>
      <w:r>
        <w:rPr>
          <w:rFonts w:ascii="Arial" w:cs="Arial" w:eastAsia="Arial" w:hAnsi="Arial"/>
          <w:sz w:val="20"/>
          <w:szCs w:val="20"/>
          <w:color w:val="auto"/>
        </w:rPr>
        <w:t>” means a USD L/C Application and/or an India L/C Application, as appropriate.</w:t>
      </w:r>
    </w:p>
    <w:p>
      <w:pPr>
        <w:spacing w:after="0" w:line="25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L/C Borrowing</w:t>
      </w:r>
      <w:r>
        <w:rPr>
          <w:rFonts w:ascii="Arial" w:cs="Arial" w:eastAsia="Arial" w:hAnsi="Arial"/>
          <w:sz w:val="20"/>
          <w:szCs w:val="20"/>
          <w:color w:val="auto"/>
        </w:rPr>
        <w:t>” means a USD L/C Borrowing and/or an India L/C Borrowing, as appropriate.</w:t>
      </w: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43</w:t>
      </w:r>
    </w:p>
    <w:p>
      <w:pPr>
        <w:spacing w:after="0" w:line="10" w:lineRule="exact"/>
        <w:rPr>
          <w:sz w:val="20"/>
          <w:szCs w:val="20"/>
          <w:color w:val="auto"/>
        </w:rPr>
      </w:pPr>
    </w:p>
    <w:p>
      <w:pPr>
        <w:spacing w:after="0"/>
        <w:rPr>
          <w:sz w:val="20"/>
          <w:szCs w:val="20"/>
          <w:color w:val="auto"/>
        </w:rPr>
      </w:pPr>
      <w:r>
        <w:rPr>
          <w:rFonts w:ascii="Arial" w:cs="Arial" w:eastAsia="Arial" w:hAnsi="Arial"/>
          <w:sz w:val="14"/>
          <w:szCs w:val="14"/>
          <w:color w:val="auto"/>
        </w:rPr>
        <w:t>CHAR1\1346423v</w:t>
      </w:r>
      <w:r>
        <w:rPr>
          <w:rFonts w:ascii="Arial" w:cs="Arial" w:eastAsia="Arial" w:hAnsi="Arial"/>
          <w:sz w:val="14"/>
          <w:szCs w:val="14"/>
          <w:color w:val="FF0000"/>
          <w:strike w:val="1"/>
        </w:rPr>
        <w:t>1</w:t>
      </w:r>
      <w:r>
        <w:rPr>
          <w:rFonts w:ascii="Arial" w:cs="Arial" w:eastAsia="Arial" w:hAnsi="Arial"/>
          <w:sz w:val="14"/>
          <w:szCs w:val="14"/>
          <w:u w:val="single" w:color="auto"/>
          <w:color w:val="0000FF"/>
        </w:rPr>
        <w:t>12</w:t>
      </w:r>
    </w:p>
    <w:p>
      <w:pPr>
        <w:sectPr>
          <w:pgSz w:w="11900" w:h="16838" w:orient="portrait"/>
          <w:cols w:equalWidth="0" w:num="1">
            <w:col w:w="11420"/>
          </w:cols>
          <w:pgMar w:left="240" w:top="609" w:right="239" w:bottom="1440" w:gutter="0" w:footer="0" w:header="0"/>
        </w:sectPr>
      </w:pPr>
    </w:p>
    <w:bookmarkStart w:id="95" w:name="page96"/>
    <w:bookmarkEnd w:id="95"/>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L/C Commitment</w:t>
      </w:r>
      <w:r>
        <w:rPr>
          <w:rFonts w:ascii="Arial" w:cs="Arial" w:eastAsia="Arial" w:hAnsi="Arial"/>
          <w:sz w:val="20"/>
          <w:szCs w:val="20"/>
          <w:color w:val="auto"/>
        </w:rPr>
        <w:t>” means the USD L/C Commitment and/or the India L/C Commitment, as appropriate.</w:t>
      </w:r>
    </w:p>
    <w:p>
      <w:pPr>
        <w:spacing w:after="0" w:line="25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L/C Credit Extension</w:t>
      </w:r>
      <w:r>
        <w:rPr>
          <w:rFonts w:ascii="Arial" w:cs="Arial" w:eastAsia="Arial" w:hAnsi="Arial"/>
          <w:sz w:val="20"/>
          <w:szCs w:val="20"/>
          <w:color w:val="auto"/>
        </w:rPr>
        <w:t>” means a USD L/C Credit Extension and/or an India L/C Credit Extension, as appropriate.</w:t>
      </w:r>
    </w:p>
    <w:p>
      <w:pPr>
        <w:spacing w:after="0" w:line="256" w:lineRule="exact"/>
        <w:rPr>
          <w:sz w:val="20"/>
          <w:szCs w:val="20"/>
          <w:color w:val="auto"/>
        </w:rPr>
      </w:pPr>
    </w:p>
    <w:p>
      <w:pPr>
        <w:ind w:right="140" w:firstLine="648"/>
        <w:spacing w:after="0" w:line="303"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L/C Expiration Date</w:t>
      </w:r>
      <w:r>
        <w:rPr>
          <w:rFonts w:ascii="Arial" w:cs="Arial" w:eastAsia="Arial" w:hAnsi="Arial"/>
          <w:sz w:val="20"/>
          <w:szCs w:val="20"/>
          <w:color w:val="auto"/>
        </w:rPr>
        <w:t>” means the day that is seven days prior to the Revolving Termination Date then in effect (or, if such day is not a Business Day, the immediately preceding Business Day).</w:t>
      </w:r>
    </w:p>
    <w:p>
      <w:pPr>
        <w:spacing w:after="0" w:line="17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L/C Issuer</w:t>
      </w:r>
      <w:r>
        <w:rPr>
          <w:rFonts w:ascii="Arial" w:cs="Arial" w:eastAsia="Arial" w:hAnsi="Arial"/>
          <w:sz w:val="20"/>
          <w:szCs w:val="20"/>
          <w:color w:val="auto"/>
        </w:rPr>
        <w:t>” means the USD L/C Issuer and/or the India L/C Issuer, as appropriate.</w:t>
      </w:r>
    </w:p>
    <w:p>
      <w:pPr>
        <w:spacing w:after="0" w:line="25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L/C Obligations</w:t>
      </w:r>
      <w:r>
        <w:rPr>
          <w:rFonts w:ascii="Arial" w:cs="Arial" w:eastAsia="Arial" w:hAnsi="Arial"/>
          <w:sz w:val="20"/>
          <w:szCs w:val="20"/>
          <w:color w:val="auto"/>
        </w:rPr>
        <w:t>” means the USD L/C Obligations and/or the India L/C Obligations, as appropriate.</w:t>
      </w:r>
    </w:p>
    <w:p>
      <w:pPr>
        <w:spacing w:after="0" w:line="25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L/C Sublimit</w:t>
      </w:r>
      <w:r>
        <w:rPr>
          <w:rFonts w:ascii="Arial" w:cs="Arial" w:eastAsia="Arial" w:hAnsi="Arial"/>
          <w:sz w:val="20"/>
          <w:szCs w:val="20"/>
          <w:color w:val="auto"/>
        </w:rPr>
        <w:t>” means the USD L/C Sublimit and/or the India L/C Sublimit, as appropriate.</w:t>
      </w:r>
    </w:p>
    <w:p>
      <w:pPr>
        <w:spacing w:after="0" w:line="25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L/C Unreimbursed Amount</w:t>
      </w:r>
      <w:r>
        <w:rPr>
          <w:rFonts w:ascii="Arial" w:cs="Arial" w:eastAsia="Arial" w:hAnsi="Arial"/>
          <w:sz w:val="20"/>
          <w:szCs w:val="20"/>
          <w:color w:val="auto"/>
        </w:rPr>
        <w:t>” has the meaning provided in Section 2.03(c)(i).</w:t>
      </w:r>
    </w:p>
    <w:p>
      <w:pPr>
        <w:spacing w:after="0" w:line="256" w:lineRule="exact"/>
        <w:rPr>
          <w:sz w:val="20"/>
          <w:szCs w:val="20"/>
          <w:color w:val="auto"/>
        </w:rPr>
      </w:pPr>
    </w:p>
    <w:p>
      <w:pPr>
        <w:ind w:right="880" w:firstLine="648"/>
        <w:spacing w:after="0" w:line="303"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Lender Joinder Agreement</w:t>
      </w:r>
      <w:r>
        <w:rPr>
          <w:rFonts w:ascii="Arial" w:cs="Arial" w:eastAsia="Arial" w:hAnsi="Arial"/>
          <w:sz w:val="20"/>
          <w:szCs w:val="20"/>
          <w:color w:val="auto"/>
        </w:rPr>
        <w:t xml:space="preserve">” means a joinder agreement, substantially in the form of </w:t>
      </w:r>
      <w:r>
        <w:rPr>
          <w:rFonts w:ascii="Arial" w:cs="Arial" w:eastAsia="Arial" w:hAnsi="Arial"/>
          <w:sz w:val="20"/>
          <w:szCs w:val="20"/>
          <w:u w:val="single" w:color="auto"/>
          <w:color w:val="auto"/>
        </w:rPr>
        <w:t>Exhibit 2.01</w:t>
      </w:r>
      <w:r>
        <w:rPr>
          <w:rFonts w:ascii="Arial" w:cs="Arial" w:eastAsia="Arial" w:hAnsi="Arial"/>
          <w:sz w:val="20"/>
          <w:szCs w:val="20"/>
          <w:color w:val="auto"/>
        </w:rPr>
        <w:t xml:space="preserve">, executed and delivered in accordance with the provisions of </w:t>
      </w:r>
      <w:r>
        <w:rPr>
          <w:rFonts w:ascii="Arial" w:cs="Arial" w:eastAsia="Arial" w:hAnsi="Arial"/>
          <w:sz w:val="20"/>
          <w:szCs w:val="20"/>
          <w:u w:val="single" w:color="auto"/>
          <w:color w:val="auto"/>
        </w:rPr>
        <w:t>Section 2.01(f)</w:t>
      </w:r>
      <w:r>
        <w:rPr>
          <w:rFonts w:ascii="Arial" w:cs="Arial" w:eastAsia="Arial" w:hAnsi="Arial"/>
          <w:sz w:val="20"/>
          <w:szCs w:val="20"/>
          <w:color w:val="auto"/>
        </w:rPr>
        <w:t>.</w:t>
      </w:r>
    </w:p>
    <w:p>
      <w:pPr>
        <w:spacing w:after="0" w:line="176" w:lineRule="exact"/>
        <w:rPr>
          <w:sz w:val="20"/>
          <w:szCs w:val="20"/>
          <w:color w:val="auto"/>
        </w:rPr>
      </w:pPr>
    </w:p>
    <w:p>
      <w:pPr>
        <w:ind w:right="800" w:firstLine="648"/>
        <w:spacing w:after="0" w:line="303"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Lenders</w:t>
      </w:r>
      <w:r>
        <w:rPr>
          <w:rFonts w:ascii="Arial" w:cs="Arial" w:eastAsia="Arial" w:hAnsi="Arial"/>
          <w:sz w:val="20"/>
          <w:szCs w:val="20"/>
          <w:color w:val="auto"/>
        </w:rPr>
        <w:t>” means the Australian Revolving Lenders, the USD Revolving Lenders, the European Revolving Lenders, the India Revolving Lenders and/or the Term Loan A Lenders, as appropriate.</w:t>
      </w:r>
    </w:p>
    <w:p>
      <w:pPr>
        <w:spacing w:after="0" w:line="176" w:lineRule="exact"/>
        <w:rPr>
          <w:sz w:val="20"/>
          <w:szCs w:val="20"/>
          <w:color w:val="auto"/>
        </w:rPr>
      </w:pPr>
    </w:p>
    <w:p>
      <w:pPr>
        <w:ind w:right="40" w:firstLine="648"/>
        <w:spacing w:after="0" w:line="331"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Lending Office</w:t>
      </w:r>
      <w:r>
        <w:rPr>
          <w:rFonts w:ascii="Arial" w:cs="Arial" w:eastAsia="Arial" w:hAnsi="Arial"/>
          <w:sz w:val="19"/>
          <w:szCs w:val="19"/>
          <w:color w:val="auto"/>
        </w:rPr>
        <w:t>” means, as to any Lender, the office or offices of such Lender set forth in such Lender’s Administrative Questionnaire or such other office or offices as a Lender may from time to time notify the Borrowers and the Administrative Agent.</w:t>
      </w:r>
    </w:p>
    <w:p>
      <w:pPr>
        <w:spacing w:after="0" w:line="154"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Letter of Credit</w:t>
      </w:r>
      <w:r>
        <w:rPr>
          <w:rFonts w:ascii="Arial" w:cs="Arial" w:eastAsia="Arial" w:hAnsi="Arial"/>
          <w:sz w:val="20"/>
          <w:szCs w:val="20"/>
          <w:color w:val="auto"/>
        </w:rPr>
        <w:t>” means a USD Letter of Credit and/or an India Letter of Credit, as appropriate.</w:t>
      </w:r>
    </w:p>
    <w:p>
      <w:pPr>
        <w:spacing w:after="0" w:line="25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Letter of Credit Fee</w:t>
      </w:r>
      <w:r>
        <w:rPr>
          <w:rFonts w:ascii="Arial" w:cs="Arial" w:eastAsia="Arial" w:hAnsi="Arial"/>
          <w:sz w:val="20"/>
          <w:szCs w:val="20"/>
          <w:color w:val="auto"/>
        </w:rPr>
        <w:t>” has the meaning provided in Section 2.09(b)(i).</w:t>
      </w:r>
    </w:p>
    <w:p>
      <w:pPr>
        <w:spacing w:after="0" w:line="256" w:lineRule="exact"/>
        <w:rPr>
          <w:sz w:val="20"/>
          <w:szCs w:val="20"/>
          <w:color w:val="auto"/>
        </w:rPr>
      </w:pPr>
    </w:p>
    <w:p>
      <w:pPr>
        <w:ind w:firstLine="648"/>
        <w:spacing w:after="0" w:line="32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Lien</w:t>
      </w:r>
      <w:r>
        <w:rPr>
          <w:rFonts w:ascii="Arial" w:cs="Arial" w:eastAsia="Arial" w:hAnsi="Arial"/>
          <w:sz w:val="18"/>
          <w:szCs w:val="18"/>
          <w:color w:val="auto"/>
        </w:rPr>
        <w:t>” means any mortgage, pledge, hypothecation, assignment, deposit arrangement, encumbrance, lien (statutory or other), charge, or preference, priority or other security interest or preferential arrangement in the nature of a security interest of any kind or nature whatsoever (including any conditional sale or other title retention agreement, any easement, right of way or other encumbrance on title to real property and any financing lease having substantially the same economic effect as any of the foregoing). For the avoidance of doubt, the ownership or other interests of counterparties in “vault cash” they supply pursuant to ATM Cash Supply Agreements are not Liens.</w:t>
      </w:r>
    </w:p>
    <w:p>
      <w:pPr>
        <w:spacing w:after="0" w:line="165" w:lineRule="exact"/>
        <w:rPr>
          <w:sz w:val="20"/>
          <w:szCs w:val="20"/>
          <w:color w:val="auto"/>
        </w:rPr>
      </w:pPr>
    </w:p>
    <w:p>
      <w:pPr>
        <w:ind w:left="660"/>
        <w:spacing w:after="0"/>
        <w:rPr>
          <w:sz w:val="20"/>
          <w:szCs w:val="20"/>
          <w:color w:val="auto"/>
        </w:rPr>
      </w:pPr>
      <w:r>
        <w:rPr>
          <w:rFonts w:ascii="Arial" w:cs="Arial" w:eastAsia="Arial" w:hAnsi="Arial"/>
          <w:sz w:val="18"/>
          <w:szCs w:val="18"/>
          <w:u w:val="single" w:color="auto"/>
          <w:color w:val="0000FF"/>
        </w:rPr>
        <w:t>“LIBOR Quoted Currency” means Dollars, Euro and Sterling, in each case, for so long as there is a published LIBOR rate with respect</w:t>
      </w:r>
    </w:p>
    <w:p>
      <w:pPr>
        <w:spacing w:after="0" w:line="63" w:lineRule="exact"/>
        <w:rPr>
          <w:sz w:val="20"/>
          <w:szCs w:val="20"/>
          <w:color w:val="auto"/>
        </w:rPr>
      </w:pPr>
    </w:p>
    <w:p>
      <w:pPr>
        <w:spacing w:after="0"/>
        <w:rPr>
          <w:sz w:val="20"/>
          <w:szCs w:val="20"/>
          <w:color w:val="auto"/>
        </w:rPr>
      </w:pPr>
      <w:r>
        <w:rPr>
          <w:rFonts w:ascii="Arial" w:cs="Arial" w:eastAsia="Arial" w:hAnsi="Arial"/>
          <w:sz w:val="20"/>
          <w:szCs w:val="20"/>
          <w:u w:val="single" w:color="auto"/>
          <w:color w:val="0000FF"/>
        </w:rPr>
        <w:t>thereto.</w:t>
      </w:r>
    </w:p>
    <w:p>
      <w:pPr>
        <w:spacing w:after="0" w:line="25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LIBOR Rate</w:t>
      </w:r>
      <w:r>
        <w:rPr>
          <w:rFonts w:ascii="Arial" w:cs="Arial" w:eastAsia="Arial" w:hAnsi="Arial"/>
          <w:sz w:val="20"/>
          <w:szCs w:val="20"/>
          <w:color w:val="auto"/>
        </w:rPr>
        <w:t>” means a Fixed LIBOR Rate or Floating LIBOR Rate, or both, as appropriate.</w:t>
      </w: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44</w:t>
      </w:r>
    </w:p>
    <w:p>
      <w:pPr>
        <w:spacing w:after="0" w:line="10" w:lineRule="exact"/>
        <w:rPr>
          <w:sz w:val="20"/>
          <w:szCs w:val="20"/>
          <w:color w:val="auto"/>
        </w:rPr>
      </w:pPr>
    </w:p>
    <w:p>
      <w:pPr>
        <w:spacing w:after="0"/>
        <w:rPr>
          <w:sz w:val="20"/>
          <w:szCs w:val="20"/>
          <w:color w:val="auto"/>
        </w:rPr>
      </w:pPr>
      <w:r>
        <w:rPr>
          <w:rFonts w:ascii="Arial" w:cs="Arial" w:eastAsia="Arial" w:hAnsi="Arial"/>
          <w:sz w:val="14"/>
          <w:szCs w:val="14"/>
          <w:color w:val="auto"/>
        </w:rPr>
        <w:t>CHAR1\1346423v</w:t>
      </w:r>
      <w:r>
        <w:rPr>
          <w:rFonts w:ascii="Arial" w:cs="Arial" w:eastAsia="Arial" w:hAnsi="Arial"/>
          <w:sz w:val="14"/>
          <w:szCs w:val="14"/>
          <w:color w:val="FF0000"/>
          <w:strike w:val="1"/>
        </w:rPr>
        <w:t>1</w:t>
      </w:r>
      <w:r>
        <w:rPr>
          <w:rFonts w:ascii="Arial" w:cs="Arial" w:eastAsia="Arial" w:hAnsi="Arial"/>
          <w:sz w:val="14"/>
          <w:szCs w:val="14"/>
          <w:u w:val="single" w:color="auto"/>
          <w:color w:val="0000FF"/>
        </w:rPr>
        <w:t>12</w:t>
      </w:r>
    </w:p>
    <w:p>
      <w:pPr>
        <w:sectPr>
          <w:pgSz w:w="11900" w:h="16838" w:orient="portrait"/>
          <w:cols w:equalWidth="0" w:num="1">
            <w:col w:w="11400"/>
          </w:cols>
          <w:pgMar w:left="240" w:top="609" w:right="259" w:bottom="1440" w:gutter="0" w:footer="0" w:header="0"/>
        </w:sectPr>
      </w:pPr>
    </w:p>
    <w:bookmarkStart w:id="96" w:name="page97"/>
    <w:bookmarkEnd w:id="96"/>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LIBOR Rate Loans</w:t>
      </w:r>
      <w:r>
        <w:rPr>
          <w:rFonts w:ascii="Arial" w:cs="Arial" w:eastAsia="Arial" w:hAnsi="Arial"/>
          <w:sz w:val="20"/>
          <w:szCs w:val="20"/>
          <w:color w:val="auto"/>
        </w:rPr>
        <w:t>” means a Fixed LIBOR Rate Loan or Floating LIBOR Rate Loan, or both, as appropriate.</w:t>
      </w:r>
    </w:p>
    <w:p>
      <w:pPr>
        <w:spacing w:after="0" w:line="256" w:lineRule="exact"/>
        <w:rPr>
          <w:sz w:val="20"/>
          <w:szCs w:val="20"/>
          <w:color w:val="auto"/>
        </w:rPr>
      </w:pPr>
    </w:p>
    <w:p>
      <w:pPr>
        <w:ind w:right="360" w:firstLine="648"/>
        <w:spacing w:after="0" w:line="303"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Liquidity</w:t>
      </w:r>
      <w:r>
        <w:rPr>
          <w:rFonts w:ascii="Arial" w:cs="Arial" w:eastAsia="Arial" w:hAnsi="Arial"/>
          <w:sz w:val="20"/>
          <w:szCs w:val="20"/>
          <w:color w:val="auto"/>
        </w:rPr>
        <w:t>” means, at any time for the Consolidated Group, the sum of (i) unrestricted cash and Cash Equivalents on hand, and (ii) undrawn availability under the Aggregate Revolving Commitments.</w:t>
      </w:r>
    </w:p>
    <w:p>
      <w:pPr>
        <w:spacing w:after="0" w:line="176" w:lineRule="exact"/>
        <w:rPr>
          <w:sz w:val="20"/>
          <w:szCs w:val="20"/>
          <w:color w:val="auto"/>
        </w:rPr>
      </w:pPr>
    </w:p>
    <w:p>
      <w:pPr>
        <w:ind w:right="180" w:firstLine="648"/>
        <w:spacing w:after="0" w:line="3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Loan Notice</w:t>
      </w:r>
      <w:r>
        <w:rPr>
          <w:rFonts w:ascii="Arial" w:cs="Arial" w:eastAsia="Arial" w:hAnsi="Arial"/>
          <w:sz w:val="18"/>
          <w:szCs w:val="18"/>
          <w:color w:val="auto"/>
        </w:rPr>
        <w:t xml:space="preserve">” means a notice of (a) a Borrowing of Loans (including Swingline Loans), (b) a conversion of Loans from one Type to the other, or (c) a continuation of Fixed LIBOR Rate Loans, which, if in writing, shall be substantially in the form of </w:t>
      </w:r>
      <w:r>
        <w:rPr>
          <w:rFonts w:ascii="Arial" w:cs="Arial" w:eastAsia="Arial" w:hAnsi="Arial"/>
          <w:sz w:val="18"/>
          <w:szCs w:val="18"/>
          <w:u w:val="single" w:color="auto"/>
          <w:color w:val="auto"/>
        </w:rPr>
        <w:t>Exhibit 2.02</w:t>
      </w:r>
      <w:r>
        <w:rPr>
          <w:rFonts w:ascii="Arial" w:cs="Arial" w:eastAsia="Arial" w:hAnsi="Arial"/>
          <w:sz w:val="18"/>
          <w:szCs w:val="18"/>
          <w:color w:val="auto"/>
        </w:rPr>
        <w:t>.</w:t>
      </w:r>
    </w:p>
    <w:p>
      <w:pPr>
        <w:spacing w:after="0" w:line="130"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Loan Obligations</w:t>
      </w:r>
      <w:r>
        <w:rPr>
          <w:rFonts w:ascii="Arial" w:cs="Arial" w:eastAsia="Arial" w:hAnsi="Arial"/>
          <w:sz w:val="20"/>
          <w:szCs w:val="20"/>
          <w:color w:val="auto"/>
        </w:rPr>
        <w:t>” means the Revolving Loan Obligations and the Term Loans.</w:t>
      </w:r>
    </w:p>
    <w:p>
      <w:pPr>
        <w:spacing w:after="0" w:line="256" w:lineRule="exact"/>
        <w:rPr>
          <w:sz w:val="20"/>
          <w:szCs w:val="20"/>
          <w:color w:val="auto"/>
        </w:rPr>
      </w:pPr>
    </w:p>
    <w:p>
      <w:pPr>
        <w:ind w:firstLine="648"/>
        <w:spacing w:after="0" w:line="303"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Loans</w:t>
      </w:r>
      <w:r>
        <w:rPr>
          <w:rFonts w:ascii="Arial" w:cs="Arial" w:eastAsia="Arial" w:hAnsi="Arial"/>
          <w:sz w:val="20"/>
          <w:szCs w:val="20"/>
          <w:color w:val="auto"/>
        </w:rPr>
        <w:t>” means any Revolving Loan and/or any Term Loan, and the Fixed LIBOR Rate Loans, Floating LIBOR Rate Loans, Base Rate Loans and Overnight Rate Loans comprising such Loans.</w:t>
      </w:r>
    </w:p>
    <w:p>
      <w:pPr>
        <w:spacing w:after="0" w:line="176" w:lineRule="exact"/>
        <w:rPr>
          <w:sz w:val="20"/>
          <w:szCs w:val="20"/>
          <w:color w:val="auto"/>
        </w:rPr>
      </w:pPr>
    </w:p>
    <w:p>
      <w:pPr>
        <w:ind w:right="140" w:firstLine="648"/>
        <w:spacing w:after="0" w:line="303"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London Banking Day</w:t>
      </w:r>
      <w:r>
        <w:rPr>
          <w:rFonts w:ascii="Arial" w:cs="Arial" w:eastAsia="Arial" w:hAnsi="Arial"/>
          <w:sz w:val="20"/>
          <w:szCs w:val="20"/>
          <w:color w:val="auto"/>
        </w:rPr>
        <w:t xml:space="preserve">” means any day on which dealings in deposits in the applicable currency are conducted by and between banks in the London interbank </w:t>
      </w:r>
      <w:r>
        <w:rPr>
          <w:rFonts w:ascii="Arial" w:cs="Arial" w:eastAsia="Arial" w:hAnsi="Arial"/>
          <w:sz w:val="20"/>
          <w:szCs w:val="20"/>
          <w:color w:val="FF0000"/>
          <w:strike w:val="1"/>
        </w:rPr>
        <w:t>eurodollar</w:t>
      </w:r>
      <w:r>
        <w:rPr>
          <w:rFonts w:ascii="Arial" w:cs="Arial" w:eastAsia="Arial" w:hAnsi="Arial"/>
          <w:sz w:val="20"/>
          <w:szCs w:val="20"/>
          <w:u w:val="single" w:color="auto"/>
          <w:color w:val="0000FF"/>
        </w:rPr>
        <w:t>eurocurrency</w:t>
      </w:r>
      <w:r>
        <w:rPr>
          <w:rFonts w:ascii="Arial" w:cs="Arial" w:eastAsia="Arial" w:hAnsi="Arial"/>
          <w:sz w:val="20"/>
          <w:szCs w:val="20"/>
          <w:color w:val="auto"/>
        </w:rPr>
        <w:t xml:space="preserve"> market.</w:t>
      </w:r>
    </w:p>
    <w:p>
      <w:pPr>
        <w:spacing w:after="0" w:line="176" w:lineRule="exact"/>
        <w:rPr>
          <w:sz w:val="20"/>
          <w:szCs w:val="20"/>
          <w:color w:val="auto"/>
        </w:rPr>
      </w:pPr>
    </w:p>
    <w:p>
      <w:pPr>
        <w:ind w:right="800" w:firstLine="648"/>
        <w:spacing w:after="0" w:line="303"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FF0000"/>
        </w:rPr>
        <w:t>Mandatory Cost</w:t>
      </w:r>
      <w:r>
        <w:rPr>
          <w:rFonts w:ascii="Arial" w:cs="Arial" w:eastAsia="Arial" w:hAnsi="Arial"/>
          <w:sz w:val="20"/>
          <w:szCs w:val="20"/>
          <w:color w:val="FF0000"/>
        </w:rPr>
        <w:t>” means, with respect to any period, the percentage rate per annum determined in accordance with</w:t>
      </w:r>
      <w:r>
        <w:rPr>
          <w:rFonts w:ascii="Arial" w:cs="Arial" w:eastAsia="Arial" w:hAnsi="Arial"/>
          <w:sz w:val="20"/>
          <w:szCs w:val="20"/>
          <w:color w:val="auto"/>
        </w:rPr>
        <w:t xml:space="preserve"> </w:t>
      </w:r>
      <w:r>
        <w:rPr>
          <w:rFonts w:ascii="Arial" w:cs="Arial" w:eastAsia="Arial" w:hAnsi="Arial"/>
          <w:sz w:val="20"/>
          <w:szCs w:val="20"/>
          <w:u w:val="single" w:color="auto"/>
          <w:color w:val="FF0000"/>
        </w:rPr>
        <w:t>Schedule</w:t>
      </w:r>
      <w:r>
        <w:rPr>
          <w:rFonts w:ascii="Arial" w:cs="Arial" w:eastAsia="Arial" w:hAnsi="Arial"/>
          <w:sz w:val="20"/>
          <w:szCs w:val="20"/>
          <w:color w:val="auto"/>
        </w:rPr>
        <w:t xml:space="preserve"> </w:t>
      </w:r>
      <w:r>
        <w:rPr>
          <w:rFonts w:ascii="Arial" w:cs="Arial" w:eastAsia="Arial" w:hAnsi="Arial"/>
          <w:sz w:val="20"/>
          <w:szCs w:val="20"/>
          <w:u w:val="single" w:color="auto"/>
          <w:color w:val="FF0000"/>
          <w:strike w:val="1"/>
        </w:rPr>
        <w:t>1.01</w:t>
      </w:r>
      <w:r>
        <w:rPr>
          <w:rFonts w:ascii="Arial" w:cs="Arial" w:eastAsia="Arial" w:hAnsi="Arial"/>
          <w:sz w:val="20"/>
          <w:szCs w:val="20"/>
          <w:color w:val="FF0000"/>
          <w:strike w:val="1"/>
        </w:rPr>
        <w:t>.</w:t>
      </w:r>
      <w:r>
        <w:rPr>
          <w:rFonts w:ascii="Arial" w:cs="Arial" w:eastAsia="Arial" w:hAnsi="Arial"/>
          <w:sz w:val="20"/>
          <w:szCs w:val="20"/>
          <w:u w:val="single" w:color="auto"/>
          <w:color w:val="0000FF"/>
          <w:strike w:val="1"/>
        </w:rPr>
        <w:t>Master Agreement” shall have the meaning provided in the definition of “Swap Contract”.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472440</wp:posOffset>
            </wp:positionH>
            <wp:positionV relativeFrom="paragraph">
              <wp:posOffset>-280035</wp:posOffset>
            </wp:positionV>
            <wp:extent cx="6236335"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236335" cy="8890"/>
                    </a:xfrm>
                    <a:prstGeom prst="rect">
                      <a:avLst/>
                    </a:prstGeom>
                    <a:noFill/>
                  </pic:spPr>
                </pic:pic>
              </a:graphicData>
            </a:graphic>
          </wp:anchor>
        </w:drawing>
      </w:r>
    </w:p>
    <w:p>
      <w:pPr>
        <w:spacing w:after="0" w:line="15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Master L/C Obligations</w:t>
      </w:r>
      <w:r>
        <w:rPr>
          <w:rFonts w:ascii="Arial" w:cs="Arial" w:eastAsia="Arial" w:hAnsi="Arial"/>
          <w:sz w:val="20"/>
          <w:szCs w:val="20"/>
          <w:color w:val="auto"/>
        </w:rPr>
        <w:t>” means the USD L/C Obligations.</w:t>
      </w:r>
    </w:p>
    <w:p>
      <w:pPr>
        <w:spacing w:after="0" w:line="256" w:lineRule="exact"/>
        <w:rPr>
          <w:sz w:val="20"/>
          <w:szCs w:val="20"/>
          <w:color w:val="auto"/>
        </w:rPr>
      </w:pPr>
    </w:p>
    <w:p>
      <w:pPr>
        <w:ind w:right="700" w:firstLine="648"/>
        <w:spacing w:after="0" w:line="303"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Master Revolving Commitments</w:t>
      </w:r>
      <w:r>
        <w:rPr>
          <w:rFonts w:ascii="Arial" w:cs="Arial" w:eastAsia="Arial" w:hAnsi="Arial"/>
          <w:sz w:val="20"/>
          <w:szCs w:val="20"/>
          <w:color w:val="auto"/>
        </w:rPr>
        <w:t>” means the Australian Revolving Commitments, the USD Revolving Commitments and the European Revolving Commitments.</w:t>
      </w:r>
    </w:p>
    <w:p>
      <w:pPr>
        <w:spacing w:after="0" w:line="176" w:lineRule="exact"/>
        <w:rPr>
          <w:sz w:val="20"/>
          <w:szCs w:val="20"/>
          <w:color w:val="auto"/>
        </w:rPr>
      </w:pPr>
    </w:p>
    <w:p>
      <w:pPr>
        <w:ind w:right="40" w:firstLine="648"/>
        <w:spacing w:after="0" w:line="32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Master Revolving Committed Amount</w:t>
      </w:r>
      <w:r>
        <w:rPr>
          <w:rFonts w:ascii="Arial" w:cs="Arial" w:eastAsia="Arial" w:hAnsi="Arial"/>
          <w:sz w:val="18"/>
          <w:szCs w:val="18"/>
          <w:color w:val="auto"/>
        </w:rPr>
        <w:t xml:space="preserve">” means, for any Lender, an amount equal to its USD Revolving Committed Amount; provided that for BMO Harris Bank N.A. and Bank of Montreal – London, and any other affiliated Lenders which split their respective Master Revolving Commitments hereunder, such affiliated Lenders shall be regarded as a single combined Lender for purposes of determining the “Master Revolving Committed Amount” (and availability thereunder) and determining the commitment fee payable under </w:t>
      </w:r>
      <w:r>
        <w:rPr>
          <w:rFonts w:ascii="Arial" w:cs="Arial" w:eastAsia="Arial" w:hAnsi="Arial"/>
          <w:sz w:val="18"/>
          <w:szCs w:val="18"/>
          <w:u w:val="single" w:color="auto"/>
          <w:color w:val="auto"/>
        </w:rPr>
        <w:t>Section 2.09(a)(i</w:t>
      </w:r>
      <w:r>
        <w:rPr>
          <w:rFonts w:ascii="Arial" w:cs="Arial" w:eastAsia="Arial" w:hAnsi="Arial"/>
          <w:sz w:val="18"/>
          <w:szCs w:val="18"/>
          <w:color w:val="auto"/>
        </w:rPr>
        <w:t>).</w:t>
      </w:r>
    </w:p>
    <w:p>
      <w:pPr>
        <w:spacing w:after="0" w:line="162" w:lineRule="exact"/>
        <w:rPr>
          <w:sz w:val="20"/>
          <w:szCs w:val="20"/>
          <w:color w:val="auto"/>
        </w:rPr>
      </w:pPr>
    </w:p>
    <w:p>
      <w:pPr>
        <w:ind w:right="220" w:firstLine="648"/>
        <w:spacing w:after="0" w:line="303"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Master Revolving Loan Obligations</w:t>
      </w:r>
      <w:r>
        <w:rPr>
          <w:rFonts w:ascii="Arial" w:cs="Arial" w:eastAsia="Arial" w:hAnsi="Arial"/>
          <w:sz w:val="20"/>
          <w:szCs w:val="20"/>
          <w:color w:val="auto"/>
        </w:rPr>
        <w:t>” means the Australian Revolving Loan Obligations, the USD Revolving Loan Obligations and the European Revolving Loan Obligations.</w:t>
      </w:r>
    </w:p>
    <w:p>
      <w:pPr>
        <w:spacing w:after="0" w:line="17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Master Swingline Loans</w:t>
      </w:r>
      <w:r>
        <w:rPr>
          <w:rFonts w:ascii="Arial" w:cs="Arial" w:eastAsia="Arial" w:hAnsi="Arial"/>
          <w:sz w:val="20"/>
          <w:szCs w:val="20"/>
          <w:color w:val="auto"/>
        </w:rPr>
        <w:t>” means the USD Swingline Loans and the European Swingline Loans.</w:t>
      </w:r>
    </w:p>
    <w:p>
      <w:pPr>
        <w:spacing w:after="0" w:line="256" w:lineRule="exact"/>
        <w:rPr>
          <w:sz w:val="20"/>
          <w:szCs w:val="20"/>
          <w:color w:val="auto"/>
        </w:rPr>
      </w:pPr>
    </w:p>
    <w:p>
      <w:pPr>
        <w:ind w:right="160" w:firstLine="648"/>
        <w:spacing w:after="0" w:line="303"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Master Swingline Sublimit</w:t>
      </w:r>
      <w:r>
        <w:rPr>
          <w:rFonts w:ascii="Arial" w:cs="Arial" w:eastAsia="Arial" w:hAnsi="Arial"/>
          <w:sz w:val="20"/>
          <w:szCs w:val="20"/>
          <w:color w:val="auto"/>
        </w:rPr>
        <w:t>” means an amount equal to the USD Swingline Sublimit. The Master Swingline Sublimit on the Closing Date is Twenty-Five Million Dollars ($25,000,000).</w:t>
      </w:r>
    </w:p>
    <w:p>
      <w:pPr>
        <w:spacing w:after="0" w:line="176" w:lineRule="exact"/>
        <w:rPr>
          <w:sz w:val="20"/>
          <w:szCs w:val="20"/>
          <w:color w:val="auto"/>
        </w:rPr>
      </w:pPr>
    </w:p>
    <w:p>
      <w:pPr>
        <w:jc w:val="both"/>
        <w:ind w:right="100" w:firstLine="648"/>
        <w:spacing w:after="0" w:line="292"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Material Adverse Effect</w:t>
      </w:r>
      <w:r>
        <w:rPr>
          <w:rFonts w:ascii="Arial" w:cs="Arial" w:eastAsia="Arial" w:hAnsi="Arial"/>
          <w:sz w:val="20"/>
          <w:szCs w:val="20"/>
          <w:color w:val="auto"/>
        </w:rPr>
        <w:t>” means (a) a material adverse change in, or a material adverse effect upon, the business, financial condition, results of operations or assets of the Consolidated Group, taken as a whole; (b) a material impairment of the ability of the Credit Parties, taken as a whole, to perform their</w:t>
      </w:r>
    </w:p>
    <w:p>
      <w:pPr>
        <w:spacing w:after="0" w:line="200" w:lineRule="exact"/>
        <w:rPr>
          <w:sz w:val="20"/>
          <w:szCs w:val="20"/>
          <w:color w:val="auto"/>
        </w:rPr>
      </w:pPr>
    </w:p>
    <w:p>
      <w:pPr>
        <w:spacing w:after="0" w:line="203" w:lineRule="exact"/>
        <w:rPr>
          <w:sz w:val="20"/>
          <w:szCs w:val="20"/>
          <w:color w:val="auto"/>
        </w:rPr>
      </w:pPr>
    </w:p>
    <w:p>
      <w:pPr>
        <w:jc w:val="center"/>
        <w:ind w:right="-79"/>
        <w:spacing w:after="0"/>
        <w:rPr>
          <w:sz w:val="20"/>
          <w:szCs w:val="20"/>
          <w:color w:val="auto"/>
        </w:rPr>
      </w:pPr>
      <w:r>
        <w:rPr>
          <w:rFonts w:ascii="Arial" w:cs="Arial" w:eastAsia="Arial" w:hAnsi="Arial"/>
          <w:sz w:val="20"/>
          <w:szCs w:val="20"/>
          <w:color w:val="auto"/>
        </w:rPr>
        <w:t>45</w:t>
      </w:r>
    </w:p>
    <w:p>
      <w:pPr>
        <w:spacing w:after="0" w:line="10" w:lineRule="exact"/>
        <w:rPr>
          <w:sz w:val="20"/>
          <w:szCs w:val="20"/>
          <w:color w:val="auto"/>
        </w:rPr>
      </w:pPr>
    </w:p>
    <w:p>
      <w:pPr>
        <w:spacing w:after="0"/>
        <w:rPr>
          <w:sz w:val="20"/>
          <w:szCs w:val="20"/>
          <w:color w:val="auto"/>
        </w:rPr>
      </w:pPr>
      <w:r>
        <w:rPr>
          <w:rFonts w:ascii="Arial" w:cs="Arial" w:eastAsia="Arial" w:hAnsi="Arial"/>
          <w:sz w:val="14"/>
          <w:szCs w:val="14"/>
          <w:color w:val="auto"/>
        </w:rPr>
        <w:t>CHAR1\1346423v</w:t>
      </w:r>
      <w:r>
        <w:rPr>
          <w:rFonts w:ascii="Arial" w:cs="Arial" w:eastAsia="Arial" w:hAnsi="Arial"/>
          <w:sz w:val="14"/>
          <w:szCs w:val="14"/>
          <w:color w:val="FF0000"/>
          <w:strike w:val="1"/>
        </w:rPr>
        <w:t>1</w:t>
      </w:r>
      <w:r>
        <w:rPr>
          <w:rFonts w:ascii="Arial" w:cs="Arial" w:eastAsia="Arial" w:hAnsi="Arial"/>
          <w:sz w:val="14"/>
          <w:szCs w:val="14"/>
          <w:u w:val="single" w:color="auto"/>
          <w:color w:val="0000FF"/>
        </w:rPr>
        <w:t>12</w:t>
      </w:r>
    </w:p>
    <w:p>
      <w:pPr>
        <w:sectPr>
          <w:pgSz w:w="11900" w:h="16838" w:orient="portrait"/>
          <w:cols w:equalWidth="0" w:num="1">
            <w:col w:w="11360"/>
          </w:cols>
          <w:pgMar w:left="240" w:top="609" w:right="299" w:bottom="1440" w:gutter="0" w:footer="0" w:header="0"/>
        </w:sectPr>
      </w:pPr>
    </w:p>
    <w:bookmarkStart w:id="97" w:name="page98"/>
    <w:bookmarkEnd w:id="97"/>
    <w:p>
      <w:pPr>
        <w:ind w:right="240"/>
        <w:spacing w:after="0" w:line="331" w:lineRule="auto"/>
        <w:rPr>
          <w:sz w:val="20"/>
          <w:szCs w:val="20"/>
          <w:color w:val="auto"/>
        </w:rPr>
      </w:pPr>
      <w:r>
        <w:rPr>
          <w:rFonts w:ascii="Arial" w:cs="Arial" w:eastAsia="Arial" w:hAnsi="Arial"/>
          <w:sz w:val="19"/>
          <w:szCs w:val="19"/>
          <w:color w:val="auto"/>
        </w:rPr>
        <w:t>obligations under the Credit Documents to which they are parties; or (c) a material adverse effect upon the legality, validity, binding effect or the rights and remedies of the Administrative Agent or the Lenders under the Credit Documents, taken as a whole.</w:t>
      </w:r>
    </w:p>
    <w:p>
      <w:pPr>
        <w:spacing w:after="0" w:line="154" w:lineRule="exact"/>
        <w:rPr>
          <w:sz w:val="20"/>
          <w:szCs w:val="20"/>
          <w:color w:val="auto"/>
        </w:rPr>
      </w:pPr>
    </w:p>
    <w:p>
      <w:pPr>
        <w:ind w:right="60" w:firstLine="648"/>
        <w:spacing w:after="0" w:line="303"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Material Domestic Subsidiary</w:t>
      </w:r>
      <w:r>
        <w:rPr>
          <w:rFonts w:ascii="Arial" w:cs="Arial" w:eastAsia="Arial" w:hAnsi="Arial"/>
          <w:sz w:val="20"/>
          <w:szCs w:val="20"/>
          <w:color w:val="auto"/>
        </w:rPr>
        <w:t xml:space="preserve">” means (i) each of the Domestic Borrowers (other than EWI), and (ii) each Domestic Subsidiary which becomes, or is required to become, a Guarantor in accordance with the provisions of </w:t>
      </w:r>
      <w:r>
        <w:rPr>
          <w:rFonts w:ascii="Arial" w:cs="Arial" w:eastAsia="Arial" w:hAnsi="Arial"/>
          <w:sz w:val="20"/>
          <w:szCs w:val="20"/>
          <w:u w:val="single" w:color="auto"/>
          <w:color w:val="auto"/>
        </w:rPr>
        <w:t>Section 7.13(a</w:t>
      </w:r>
      <w:r>
        <w:rPr>
          <w:rFonts w:ascii="Arial" w:cs="Arial" w:eastAsia="Arial" w:hAnsi="Arial"/>
          <w:sz w:val="20"/>
          <w:szCs w:val="20"/>
          <w:color w:val="auto"/>
        </w:rPr>
        <w:t>).</w:t>
      </w:r>
    </w:p>
    <w:p>
      <w:pPr>
        <w:spacing w:after="0" w:line="17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Material First-Tier Foreign Subsidiary</w:t>
      </w:r>
      <w:r>
        <w:rPr>
          <w:rFonts w:ascii="Arial" w:cs="Arial" w:eastAsia="Arial" w:hAnsi="Arial"/>
          <w:sz w:val="20"/>
          <w:szCs w:val="20"/>
          <w:color w:val="auto"/>
        </w:rPr>
        <w:t>” means each First-Tier Foreign Subsidiary that is a Material Foreign Subsidiary.</w:t>
      </w:r>
    </w:p>
    <w:p>
      <w:pPr>
        <w:spacing w:after="0" w:line="256" w:lineRule="exact"/>
        <w:rPr>
          <w:sz w:val="20"/>
          <w:szCs w:val="20"/>
          <w:color w:val="auto"/>
        </w:rPr>
      </w:pPr>
    </w:p>
    <w:p>
      <w:pPr>
        <w:ind w:right="280" w:firstLine="648"/>
        <w:spacing w:after="0" w:line="33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Material Foreign Subsidiary</w:t>
      </w:r>
      <w:r>
        <w:rPr>
          <w:rFonts w:ascii="Arial" w:cs="Arial" w:eastAsia="Arial" w:hAnsi="Arial"/>
          <w:sz w:val="18"/>
          <w:szCs w:val="18"/>
          <w:color w:val="auto"/>
        </w:rPr>
        <w:t xml:space="preserve">” means (i) each of the Foreign Borrowers (other than the India Borrower for purposes of the pledge of interests under </w:t>
      </w:r>
      <w:r>
        <w:rPr>
          <w:rFonts w:ascii="Arial" w:cs="Arial" w:eastAsia="Arial" w:hAnsi="Arial"/>
          <w:sz w:val="18"/>
          <w:szCs w:val="18"/>
          <w:u w:val="single" w:color="auto"/>
          <w:color w:val="auto"/>
        </w:rPr>
        <w:t>Section 7.14(a)(ii</w:t>
      </w:r>
      <w:r>
        <w:rPr>
          <w:rFonts w:ascii="Arial" w:cs="Arial" w:eastAsia="Arial" w:hAnsi="Arial"/>
          <w:sz w:val="18"/>
          <w:szCs w:val="18"/>
          <w:color w:val="auto"/>
        </w:rPr>
        <w:t xml:space="preserve">) hereof), </w:t>
      </w:r>
      <w:r>
        <w:rPr>
          <w:rFonts w:ascii="Arial" w:cs="Arial" w:eastAsia="Arial" w:hAnsi="Arial"/>
          <w:sz w:val="18"/>
          <w:szCs w:val="18"/>
          <w:u w:val="single" w:color="auto"/>
          <w:color w:val="0000FF"/>
        </w:rPr>
        <w:t>and</w:t>
      </w:r>
      <w:r>
        <w:rPr>
          <w:rFonts w:ascii="Arial" w:cs="Arial" w:eastAsia="Arial" w:hAnsi="Arial"/>
          <w:sz w:val="18"/>
          <w:szCs w:val="18"/>
          <w:color w:val="auto"/>
        </w:rPr>
        <w:t xml:space="preserve"> (ii) each </w:t>
      </w:r>
      <w:r>
        <w:rPr>
          <w:rFonts w:ascii="Arial" w:cs="Arial" w:eastAsia="Arial" w:hAnsi="Arial"/>
          <w:sz w:val="18"/>
          <w:szCs w:val="18"/>
          <w:color w:val="FF0000"/>
          <w:strike w:val="1"/>
        </w:rPr>
        <w:t>of the Specified Material Foreign Subsidiaries, and (iii) each of the</w:t>
      </w:r>
      <w:r>
        <w:rPr>
          <w:rFonts w:ascii="Arial" w:cs="Arial" w:eastAsia="Arial" w:hAnsi="Arial"/>
          <w:sz w:val="18"/>
          <w:szCs w:val="18"/>
          <w:color w:val="auto"/>
        </w:rPr>
        <w:t xml:space="preserve"> other Foreign Subsidiary which becomes, or is required to become, a Guarantor in accordance with the provisions of </w:t>
      </w:r>
      <w:r>
        <w:rPr>
          <w:rFonts w:ascii="Arial" w:cs="Arial" w:eastAsia="Arial" w:hAnsi="Arial"/>
          <w:sz w:val="18"/>
          <w:szCs w:val="18"/>
          <w:u w:val="single" w:color="auto"/>
          <w:color w:val="auto"/>
        </w:rPr>
        <w:t>Section 7.13(b</w:t>
      </w:r>
      <w:r>
        <w:rPr>
          <w:rFonts w:ascii="Arial" w:cs="Arial" w:eastAsia="Arial" w:hAnsi="Arial"/>
          <w:sz w:val="18"/>
          <w:szCs w:val="18"/>
          <w:color w:val="auto"/>
        </w:rPr>
        <w:t>).</w:t>
      </w:r>
    </w:p>
    <w:p>
      <w:pPr>
        <w:spacing w:after="0" w:line="152"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Material Permitted Acquisition</w:t>
      </w:r>
      <w:r>
        <w:rPr>
          <w:rFonts w:ascii="Arial" w:cs="Arial" w:eastAsia="Arial" w:hAnsi="Arial"/>
          <w:sz w:val="20"/>
          <w:szCs w:val="20"/>
          <w:color w:val="auto"/>
        </w:rPr>
        <w:t>” means a Permitted Acquisition with Acquisition Consideration in excess of $75 million.</w:t>
      </w:r>
    </w:p>
    <w:p>
      <w:pPr>
        <w:spacing w:after="0" w:line="25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Maximum Rate</w:t>
      </w:r>
      <w:r>
        <w:rPr>
          <w:rFonts w:ascii="Arial" w:cs="Arial" w:eastAsia="Arial" w:hAnsi="Arial"/>
          <w:sz w:val="20"/>
          <w:szCs w:val="20"/>
          <w:color w:val="auto"/>
        </w:rPr>
        <w:t xml:space="preserve">” has the meaning specified in </w:t>
      </w:r>
      <w:r>
        <w:rPr>
          <w:rFonts w:ascii="Arial" w:cs="Arial" w:eastAsia="Arial" w:hAnsi="Arial"/>
          <w:sz w:val="20"/>
          <w:szCs w:val="20"/>
          <w:u w:val="single" w:color="auto"/>
          <w:color w:val="auto"/>
        </w:rPr>
        <w:t>Section 11.09</w:t>
      </w:r>
      <w:r>
        <w:rPr>
          <w:rFonts w:ascii="Arial" w:cs="Arial" w:eastAsia="Arial" w:hAnsi="Arial"/>
          <w:sz w:val="20"/>
          <w:szCs w:val="20"/>
          <w:color w:val="auto"/>
        </w:rPr>
        <w:t>.</w:t>
      </w:r>
    </w:p>
    <w:p>
      <w:pPr>
        <w:spacing w:after="0" w:line="256" w:lineRule="exact"/>
        <w:rPr>
          <w:sz w:val="20"/>
          <w:szCs w:val="20"/>
          <w:color w:val="auto"/>
        </w:rPr>
      </w:pPr>
    </w:p>
    <w:p>
      <w:pPr>
        <w:ind w:right="40" w:firstLine="648"/>
        <w:spacing w:after="0" w:line="286" w:lineRule="auto"/>
        <w:rPr>
          <w:sz w:val="20"/>
          <w:szCs w:val="20"/>
          <w:color w:val="auto"/>
        </w:rPr>
      </w:pPr>
      <w:r>
        <w:rPr>
          <w:rFonts w:ascii="Arial" w:cs="Arial" w:eastAsia="Arial" w:hAnsi="Arial"/>
          <w:sz w:val="20"/>
          <w:szCs w:val="20"/>
          <w:u w:val="single" w:color="auto"/>
          <w:color w:val="0000FF"/>
        </w:rPr>
        <w:t>“Minimum Collateral Amount” means, at any time, (a) with respect to Cash Collateral consisting of cash or deposit account balances provided to reduce or eliminate Fronting Exposure during any period when a Lender constitutes a Defaulting Lender, an amount equal to 103% of the Fronting Exposure of the L/C Issuer with respect to Letters of Credit issued and outstanding at such time, (b) with respect to Cash Collateral consisting of cash or deposit account balances provided in accordance with the provisions of Section 2.16(a)(i), (a)(ii) or (a)(iii), an amount equal to 103% of the Outstanding Amount of all L/C Obligations, and (c) otherwise, an amount determined by the Administrative Agent and the L/C Issuer in their sole discretion.</w:t>
      </w:r>
    </w:p>
    <w:p>
      <w:pPr>
        <w:spacing w:after="0" w:line="192"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MLPF&amp;S</w:t>
      </w:r>
      <w:r>
        <w:rPr>
          <w:rFonts w:ascii="Arial" w:cs="Arial" w:eastAsia="Arial" w:hAnsi="Arial"/>
          <w:sz w:val="20"/>
          <w:szCs w:val="20"/>
          <w:color w:val="auto"/>
        </w:rPr>
        <w:t>” means Merrill Lynch, Pierce, Fenner &amp; Smith Incorporated, together with its successors.</w:t>
      </w:r>
    </w:p>
    <w:p>
      <w:pPr>
        <w:spacing w:after="0" w:line="25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Moody’s</w:t>
      </w:r>
      <w:r>
        <w:rPr>
          <w:rFonts w:ascii="Arial" w:cs="Arial" w:eastAsia="Arial" w:hAnsi="Arial"/>
          <w:sz w:val="20"/>
          <w:szCs w:val="20"/>
          <w:color w:val="auto"/>
        </w:rPr>
        <w:t>” means Moody’s Investors Service, Inc. and any successor thereto.</w:t>
      </w:r>
    </w:p>
    <w:p>
      <w:pPr>
        <w:spacing w:after="0" w:line="256" w:lineRule="exact"/>
        <w:rPr>
          <w:sz w:val="20"/>
          <w:szCs w:val="20"/>
          <w:color w:val="auto"/>
        </w:rPr>
      </w:pPr>
    </w:p>
    <w:p>
      <w:pPr>
        <w:ind w:right="240" w:firstLine="648"/>
        <w:spacing w:after="0" w:line="292"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Multiemployer Plan</w:t>
      </w:r>
      <w:r>
        <w:rPr>
          <w:rFonts w:ascii="Arial" w:cs="Arial" w:eastAsia="Arial" w:hAnsi="Arial"/>
          <w:sz w:val="20"/>
          <w:szCs w:val="20"/>
          <w:color w:val="auto"/>
        </w:rPr>
        <w:t>” means any employee benefit plan of the type described in Section 4001(a)(3) of ERISA, to which EWI or any ERISA Affiliate makes or is obligated to make contributions, or during the preceding five plan years, has made or been obligated to make contributions.</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New Zealand Dollars</w:t>
      </w:r>
      <w:r>
        <w:rPr>
          <w:rFonts w:ascii="Arial" w:cs="Arial" w:eastAsia="Arial" w:hAnsi="Arial"/>
          <w:sz w:val="20"/>
          <w:szCs w:val="20"/>
          <w:color w:val="auto"/>
        </w:rPr>
        <w:t>” and “</w:t>
      </w:r>
      <w:r>
        <w:rPr>
          <w:rFonts w:ascii="Arial" w:cs="Arial" w:eastAsia="Arial" w:hAnsi="Arial"/>
          <w:sz w:val="20"/>
          <w:szCs w:val="20"/>
          <w:u w:val="single" w:color="auto"/>
          <w:color w:val="auto"/>
        </w:rPr>
        <w:t>NZD</w:t>
      </w:r>
      <w:r>
        <w:rPr>
          <w:rFonts w:ascii="Arial" w:cs="Arial" w:eastAsia="Arial" w:hAnsi="Arial"/>
          <w:sz w:val="20"/>
          <w:szCs w:val="20"/>
          <w:color w:val="auto"/>
        </w:rPr>
        <w:t>” means the lawful currency of New Zealand.</w:t>
      </w:r>
    </w:p>
    <w:p>
      <w:pPr>
        <w:spacing w:after="0" w:line="256"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Non-Consenting Lender</w:t>
      </w:r>
      <w:r>
        <w:rPr>
          <w:rFonts w:ascii="Arial" w:cs="Arial" w:eastAsia="Arial" w:hAnsi="Arial"/>
          <w:sz w:val="16"/>
          <w:szCs w:val="16"/>
          <w:color w:val="auto"/>
        </w:rPr>
        <w:t xml:space="preserve">” </w:t>
      </w:r>
      <w:r>
        <w:rPr>
          <w:rFonts w:ascii="Arial" w:cs="Arial" w:eastAsia="Arial" w:hAnsi="Arial"/>
          <w:sz w:val="16"/>
          <w:szCs w:val="16"/>
          <w:color w:val="FF0000"/>
          <w:strike w:val="1"/>
        </w:rPr>
        <w:t>has the meaning provided in</w:t>
      </w:r>
      <w:r>
        <w:rPr>
          <w:rFonts w:ascii="Arial" w:cs="Arial" w:eastAsia="Arial" w:hAnsi="Arial"/>
          <w:sz w:val="16"/>
          <w:szCs w:val="16"/>
          <w:u w:val="single" w:color="auto"/>
          <w:color w:val="0000FF"/>
        </w:rPr>
        <w:t>means any Lender that does not approve any consent, waiver or amendment that</w:t>
      </w:r>
    </w:p>
    <w:p>
      <w:pPr>
        <w:spacing w:after="0" w:line="86" w:lineRule="exact"/>
        <w:rPr>
          <w:sz w:val="20"/>
          <w:szCs w:val="20"/>
          <w:color w:val="auto"/>
        </w:rPr>
      </w:pPr>
    </w:p>
    <w:p>
      <w:pPr>
        <w:ind w:right="220" w:firstLine="8"/>
        <w:spacing w:after="0" w:line="303" w:lineRule="auto"/>
        <w:tabs>
          <w:tab w:leader="none" w:pos="269" w:val="left"/>
        </w:tabs>
        <w:numPr>
          <w:ilvl w:val="0"/>
          <w:numId w:val="48"/>
        </w:numPr>
        <w:rPr>
          <w:rFonts w:ascii="Arial" w:cs="Arial" w:eastAsia="Arial" w:hAnsi="Arial"/>
          <w:sz w:val="20"/>
          <w:szCs w:val="20"/>
          <w:u w:val="single" w:color="auto"/>
          <w:color w:val="0000FF"/>
        </w:rPr>
      </w:pPr>
      <w:r>
        <w:rPr>
          <w:rFonts w:ascii="Arial" w:cs="Arial" w:eastAsia="Arial" w:hAnsi="Arial"/>
          <w:sz w:val="20"/>
          <w:szCs w:val="20"/>
          <w:u w:val="single" w:color="auto"/>
          <w:color w:val="0000FF"/>
        </w:rPr>
        <w:t xml:space="preserve">requires the approval of all Lenders or all affected Lenders, or all Lenders or all affected Lenders in a particular facility, as appropriate, in accordance with the terms of </w:t>
      </w:r>
      <w:r>
        <w:rPr>
          <w:rFonts w:ascii="Arial" w:cs="Arial" w:eastAsia="Arial" w:hAnsi="Arial"/>
          <w:sz w:val="20"/>
          <w:szCs w:val="20"/>
          <w:u w:val="single" w:color="auto"/>
          <w:color w:val="000000"/>
        </w:rPr>
        <w:t>Section</w:t>
      </w:r>
      <w:r>
        <w:rPr>
          <w:rFonts w:ascii="Arial" w:cs="Arial" w:eastAsia="Arial" w:hAnsi="Arial"/>
          <w:sz w:val="20"/>
          <w:szCs w:val="20"/>
          <w:u w:val="single" w:color="auto"/>
          <w:color w:val="0000FF"/>
        </w:rPr>
        <w:t xml:space="preserve"> </w:t>
      </w:r>
      <w:r>
        <w:rPr>
          <w:rFonts w:ascii="Arial" w:cs="Arial" w:eastAsia="Arial" w:hAnsi="Arial"/>
          <w:sz w:val="20"/>
          <w:szCs w:val="20"/>
          <w:color w:val="FF0000"/>
          <w:strike w:val="1"/>
        </w:rPr>
        <w:t>11.13.</w:t>
      </w:r>
      <w:r>
        <w:rPr>
          <w:rFonts w:ascii="Arial" w:cs="Arial" w:eastAsia="Arial" w:hAnsi="Arial"/>
          <w:sz w:val="20"/>
          <w:szCs w:val="20"/>
          <w:u w:val="single" w:color="auto"/>
          <w:color w:val="0000FF"/>
        </w:rPr>
        <w:t>11.01 and (b) has been approved by the Required Lenders.</w:t>
      </w:r>
    </w:p>
    <w:p>
      <w:pPr>
        <w:spacing w:after="0" w:line="392"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46</w:t>
      </w:r>
    </w:p>
    <w:p>
      <w:pPr>
        <w:spacing w:after="0" w:line="10" w:lineRule="exact"/>
        <w:rPr>
          <w:sz w:val="20"/>
          <w:szCs w:val="20"/>
          <w:color w:val="auto"/>
        </w:rPr>
      </w:pPr>
    </w:p>
    <w:p>
      <w:pPr>
        <w:spacing w:after="0"/>
        <w:rPr>
          <w:sz w:val="20"/>
          <w:szCs w:val="20"/>
          <w:color w:val="auto"/>
        </w:rPr>
      </w:pPr>
      <w:r>
        <w:rPr>
          <w:rFonts w:ascii="Arial" w:cs="Arial" w:eastAsia="Arial" w:hAnsi="Arial"/>
          <w:sz w:val="14"/>
          <w:szCs w:val="14"/>
          <w:color w:val="auto"/>
        </w:rPr>
        <w:t>CHAR1\1346423v</w:t>
      </w:r>
      <w:r>
        <w:rPr>
          <w:rFonts w:ascii="Arial" w:cs="Arial" w:eastAsia="Arial" w:hAnsi="Arial"/>
          <w:sz w:val="14"/>
          <w:szCs w:val="14"/>
          <w:color w:val="FF0000"/>
          <w:strike w:val="1"/>
        </w:rPr>
        <w:t>1</w:t>
      </w:r>
      <w:r>
        <w:rPr>
          <w:rFonts w:ascii="Arial" w:cs="Arial" w:eastAsia="Arial" w:hAnsi="Arial"/>
          <w:sz w:val="14"/>
          <w:szCs w:val="14"/>
          <w:u w:val="single" w:color="auto"/>
          <w:color w:val="0000FF"/>
        </w:rPr>
        <w:t>12</w:t>
      </w:r>
    </w:p>
    <w:p>
      <w:pPr>
        <w:sectPr>
          <w:pgSz w:w="11900" w:h="16838" w:orient="portrait"/>
          <w:cols w:equalWidth="0" w:num="1">
            <w:col w:w="11400"/>
          </w:cols>
          <w:pgMar w:left="240" w:top="609" w:right="259" w:bottom="1440" w:gutter="0" w:footer="0" w:header="0"/>
        </w:sectPr>
      </w:pPr>
    </w:p>
    <w:bookmarkStart w:id="98" w:name="page99"/>
    <w:bookmarkEnd w:id="98"/>
    <w:p>
      <w:pPr>
        <w:ind w:left="660"/>
        <w:spacing w:after="0"/>
        <w:rPr>
          <w:sz w:val="20"/>
          <w:szCs w:val="20"/>
          <w:color w:val="auto"/>
        </w:rPr>
      </w:pPr>
      <w:r>
        <w:rPr>
          <w:rFonts w:ascii="Arial" w:cs="Arial" w:eastAsia="Arial" w:hAnsi="Arial"/>
          <w:sz w:val="20"/>
          <w:szCs w:val="20"/>
          <w:u w:val="single" w:color="auto"/>
          <w:color w:val="0000FF"/>
        </w:rPr>
        <w:t>“Non-Defaulting Lender” means, at any time, each Lender that is not a Defaulting Lender.</w:t>
      </w:r>
    </w:p>
    <w:p>
      <w:pPr>
        <w:spacing w:after="0" w:line="25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Non-Extension Notice Date</w:t>
      </w:r>
      <w:r>
        <w:rPr>
          <w:rFonts w:ascii="Arial" w:cs="Arial" w:eastAsia="Arial" w:hAnsi="Arial"/>
          <w:sz w:val="20"/>
          <w:szCs w:val="20"/>
          <w:color w:val="auto"/>
        </w:rPr>
        <w:t>” has the meaning provided in Section 2.03(b)(iii).</w:t>
      </w:r>
    </w:p>
    <w:p>
      <w:pPr>
        <w:spacing w:after="0" w:line="25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Non-Guarantor Domestic Subsidiary</w:t>
      </w:r>
      <w:r>
        <w:rPr>
          <w:rFonts w:ascii="Arial" w:cs="Arial" w:eastAsia="Arial" w:hAnsi="Arial"/>
          <w:sz w:val="20"/>
          <w:szCs w:val="20"/>
          <w:color w:val="auto"/>
        </w:rPr>
        <w:t>” has the meaning provided in Section 7.13(a).</w:t>
      </w:r>
    </w:p>
    <w:p>
      <w:pPr>
        <w:spacing w:after="0" w:line="25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Non-Guarantor Foreign Subsidiary</w:t>
      </w:r>
      <w:r>
        <w:rPr>
          <w:rFonts w:ascii="Arial" w:cs="Arial" w:eastAsia="Arial" w:hAnsi="Arial"/>
          <w:sz w:val="20"/>
          <w:szCs w:val="20"/>
          <w:color w:val="auto"/>
        </w:rPr>
        <w:t>” has the meaning provided in Section 7.13(b).</w:t>
      </w:r>
    </w:p>
    <w:p>
      <w:pPr>
        <w:spacing w:after="0" w:line="25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Non-Guarantor India Subsidiary</w:t>
      </w:r>
      <w:r>
        <w:rPr>
          <w:rFonts w:ascii="Arial" w:cs="Arial" w:eastAsia="Arial" w:hAnsi="Arial"/>
          <w:sz w:val="20"/>
          <w:szCs w:val="20"/>
          <w:color w:val="auto"/>
        </w:rPr>
        <w:t>” has the meaning provided in Section 7.13(c).</w:t>
      </w:r>
    </w:p>
    <w:p>
      <w:pPr>
        <w:spacing w:after="0" w:line="256" w:lineRule="exact"/>
        <w:rPr>
          <w:sz w:val="20"/>
          <w:szCs w:val="20"/>
          <w:color w:val="auto"/>
        </w:rPr>
      </w:pPr>
    </w:p>
    <w:p>
      <w:pPr>
        <w:ind w:left="660"/>
        <w:spacing w:after="0"/>
        <w:rPr>
          <w:sz w:val="20"/>
          <w:szCs w:val="20"/>
          <w:color w:val="auto"/>
        </w:rPr>
      </w:pPr>
      <w:r>
        <w:rPr>
          <w:rFonts w:ascii="Arial" w:cs="Arial" w:eastAsia="Arial" w:hAnsi="Arial"/>
          <w:sz w:val="20"/>
          <w:szCs w:val="20"/>
          <w:u w:val="single" w:color="auto"/>
          <w:color w:val="0000FF"/>
        </w:rPr>
        <w:t>“Non-LIBOR Quoted Currency” means any currency other than a LIBOR Quoted Currency.</w:t>
      </w:r>
    </w:p>
    <w:p>
      <w:pPr>
        <w:spacing w:after="0" w:line="25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Non-Reinstatement Deadline</w:t>
      </w:r>
      <w:r>
        <w:rPr>
          <w:rFonts w:ascii="Arial" w:cs="Arial" w:eastAsia="Arial" w:hAnsi="Arial"/>
          <w:sz w:val="20"/>
          <w:szCs w:val="20"/>
          <w:color w:val="auto"/>
        </w:rPr>
        <w:t>” has the meaning provided in Section 2.03(b)(iv).</w:t>
      </w:r>
    </w:p>
    <w:p>
      <w:pPr>
        <w:spacing w:after="0" w:line="25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Notes</w:t>
      </w:r>
      <w:r>
        <w:rPr>
          <w:rFonts w:ascii="Arial" w:cs="Arial" w:eastAsia="Arial" w:hAnsi="Arial"/>
          <w:sz w:val="20"/>
          <w:szCs w:val="20"/>
          <w:color w:val="auto"/>
        </w:rPr>
        <w:t>” means the Revolving Notes, the Swingline Notes and the Term Loan Notes.</w:t>
      </w:r>
    </w:p>
    <w:p>
      <w:pPr>
        <w:spacing w:after="0" w:line="256" w:lineRule="exact"/>
        <w:rPr>
          <w:sz w:val="20"/>
          <w:szCs w:val="20"/>
          <w:color w:val="auto"/>
        </w:rPr>
      </w:pPr>
    </w:p>
    <w:p>
      <w:pPr>
        <w:ind w:firstLine="648"/>
        <w:spacing w:after="0" w:line="299"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Obligations</w:t>
      </w:r>
      <w:r>
        <w:rPr>
          <w:rFonts w:ascii="Arial" w:cs="Arial" w:eastAsia="Arial" w:hAnsi="Arial"/>
          <w:sz w:val="19"/>
          <w:szCs w:val="19"/>
          <w:color w:val="auto"/>
        </w:rPr>
        <w:t xml:space="preserve">” means, </w:t>
      </w:r>
      <w:r>
        <w:rPr>
          <w:rFonts w:ascii="Arial" w:cs="Arial" w:eastAsia="Arial" w:hAnsi="Arial"/>
          <w:sz w:val="19"/>
          <w:szCs w:val="19"/>
          <w:u w:val="single" w:color="auto"/>
          <w:color w:val="0000FF"/>
        </w:rPr>
        <w:t>with respect to each of the Credit Parties,</w:t>
      </w:r>
      <w:r>
        <w:rPr>
          <w:rFonts w:ascii="Arial" w:cs="Arial" w:eastAsia="Arial" w:hAnsi="Arial"/>
          <w:sz w:val="19"/>
          <w:szCs w:val="19"/>
          <w:color w:val="auto"/>
        </w:rPr>
        <w:t xml:space="preserve"> without duplication, (a) all advances to, and debts, liabilities, obligations, covenants and duties of, any Credit Party arising under any Credit Document or otherwise with respect to any Loan or Letter of Credit, </w:t>
      </w:r>
      <w:r>
        <w:rPr>
          <w:rFonts w:ascii="Arial" w:cs="Arial" w:eastAsia="Arial" w:hAnsi="Arial"/>
          <w:sz w:val="19"/>
          <w:szCs w:val="19"/>
          <w:u w:val="single" w:color="auto"/>
          <w:color w:val="0000FF"/>
        </w:rPr>
        <w:t>and all costs and expenses incurred in connection with enforcement and collection of the foregoing, including the</w:t>
      </w:r>
      <w:r>
        <w:rPr>
          <w:rFonts w:ascii="Arial" w:cs="Arial" w:eastAsia="Arial" w:hAnsi="Arial"/>
          <w:sz w:val="19"/>
          <w:szCs w:val="19"/>
          <w:color w:val="auto"/>
        </w:rPr>
        <w:t xml:space="preserve"> </w:t>
      </w:r>
      <w:r>
        <w:rPr>
          <w:rFonts w:ascii="Arial" w:cs="Arial" w:eastAsia="Arial" w:hAnsi="Arial"/>
          <w:sz w:val="19"/>
          <w:szCs w:val="19"/>
          <w:u w:val="single" w:color="auto"/>
          <w:color w:val="00C000"/>
        </w:rPr>
        <w:t>reasonable fees,</w:t>
      </w:r>
      <w:r>
        <w:rPr>
          <w:rFonts w:ascii="Arial" w:cs="Arial" w:eastAsia="Arial" w:hAnsi="Arial"/>
          <w:sz w:val="19"/>
          <w:szCs w:val="19"/>
          <w:color w:val="auto"/>
        </w:rPr>
        <w:t xml:space="preserve"> </w:t>
      </w:r>
      <w:r>
        <w:rPr>
          <w:rFonts w:ascii="Arial" w:cs="Arial" w:eastAsia="Arial" w:hAnsi="Arial"/>
          <w:sz w:val="19"/>
          <w:szCs w:val="19"/>
          <w:u w:val="single" w:color="auto"/>
          <w:color w:val="00C000"/>
        </w:rPr>
        <w:t>charges and disbursements of</w:t>
      </w:r>
      <w:r>
        <w:rPr>
          <w:rFonts w:ascii="Arial" w:cs="Arial" w:eastAsia="Arial" w:hAnsi="Arial"/>
          <w:sz w:val="19"/>
          <w:szCs w:val="19"/>
          <w:color w:val="00C000"/>
        </w:rPr>
        <w:t xml:space="preserve"> </w:t>
      </w:r>
      <w:r>
        <w:rPr>
          <w:rFonts w:ascii="Arial" w:cs="Arial" w:eastAsia="Arial" w:hAnsi="Arial"/>
          <w:sz w:val="19"/>
          <w:szCs w:val="19"/>
          <w:u w:val="single" w:color="auto"/>
          <w:color w:val="0000FF"/>
        </w:rPr>
        <w:t>counsel, in each case,</w:t>
      </w:r>
      <w:r>
        <w:rPr>
          <w:rFonts w:ascii="Arial" w:cs="Arial" w:eastAsia="Arial" w:hAnsi="Arial"/>
          <w:sz w:val="19"/>
          <w:szCs w:val="19"/>
          <w:color w:val="00C000"/>
        </w:rPr>
        <w:t xml:space="preserve"> </w:t>
      </w:r>
      <w:r>
        <w:rPr>
          <w:rFonts w:ascii="Arial" w:cs="Arial" w:eastAsia="Arial" w:hAnsi="Arial"/>
          <w:sz w:val="19"/>
          <w:szCs w:val="19"/>
          <w:color w:val="000000"/>
        </w:rPr>
        <w:t>whether direct or indirect (including those acquired by assumption), absolute or contingent,</w:t>
      </w:r>
      <w:r>
        <w:rPr>
          <w:rFonts w:ascii="Arial" w:cs="Arial" w:eastAsia="Arial" w:hAnsi="Arial"/>
          <w:sz w:val="19"/>
          <w:szCs w:val="19"/>
          <w:color w:val="00C000"/>
        </w:rPr>
        <w:t xml:space="preserve"> </w:t>
      </w:r>
      <w:r>
        <w:rPr>
          <w:rFonts w:ascii="Arial" w:cs="Arial" w:eastAsia="Arial" w:hAnsi="Arial"/>
          <w:sz w:val="19"/>
          <w:szCs w:val="19"/>
          <w:color w:val="000000"/>
        </w:rPr>
        <w:t xml:space="preserve">due or to become due, now existing or hereafter arising and including interest and fees that accrue after the commencement by or against any Credit Party or any Affiliate thereof </w:t>
      </w:r>
      <w:r>
        <w:rPr>
          <w:rFonts w:ascii="Arial" w:cs="Arial" w:eastAsia="Arial" w:hAnsi="Arial"/>
          <w:sz w:val="19"/>
          <w:szCs w:val="19"/>
          <w:color w:val="FF0000"/>
          <w:strike w:val="1"/>
        </w:rPr>
        <w:t>of</w:t>
      </w:r>
      <w:r>
        <w:rPr>
          <w:rFonts w:ascii="Arial" w:cs="Arial" w:eastAsia="Arial" w:hAnsi="Arial"/>
          <w:sz w:val="19"/>
          <w:szCs w:val="19"/>
          <w:u w:val="single" w:color="auto"/>
          <w:color w:val="0000FF"/>
        </w:rPr>
        <w:t>pursuant to</w:t>
      </w:r>
      <w:r>
        <w:rPr>
          <w:rFonts w:ascii="Arial" w:cs="Arial" w:eastAsia="Arial" w:hAnsi="Arial"/>
          <w:sz w:val="19"/>
          <w:szCs w:val="19"/>
          <w:color w:val="000000"/>
        </w:rPr>
        <w:t xml:space="preserve"> any proceeding under any Debtor Relief Laws naming such Person as the debtor in such proceeding, regardless of whether such interest and fees are allowed claims in such proceeding, (b) all obligations under any Swap Contract between </w:t>
      </w:r>
      <w:r>
        <w:rPr>
          <w:rFonts w:ascii="Arial" w:cs="Arial" w:eastAsia="Arial" w:hAnsi="Arial"/>
          <w:sz w:val="19"/>
          <w:szCs w:val="19"/>
          <w:color w:val="FF0000"/>
          <w:strike w:val="1"/>
        </w:rPr>
        <w:t>any Credit Party</w:t>
      </w:r>
      <w:r>
        <w:rPr>
          <w:rFonts w:ascii="Arial" w:cs="Arial" w:eastAsia="Arial" w:hAnsi="Arial"/>
          <w:sz w:val="19"/>
          <w:szCs w:val="19"/>
          <w:u w:val="single" w:color="auto"/>
          <w:color w:val="0000FF"/>
        </w:rPr>
        <w:t>EWI or any of its Subsidiaries, on the one hand,</w:t>
      </w:r>
      <w:r>
        <w:rPr>
          <w:rFonts w:ascii="Arial" w:cs="Arial" w:eastAsia="Arial" w:hAnsi="Arial"/>
          <w:sz w:val="19"/>
          <w:szCs w:val="19"/>
          <w:color w:val="000000"/>
        </w:rPr>
        <w:t xml:space="preserve"> and any Lender or Affiliate of a Lender (or a Person who, at the time the Swap Contract was entered into, was a Lender or an Affiliate of a Lender)</w:t>
      </w:r>
      <w:r>
        <w:rPr>
          <w:rFonts w:ascii="Arial" w:cs="Arial" w:eastAsia="Arial" w:hAnsi="Arial"/>
          <w:sz w:val="19"/>
          <w:szCs w:val="19"/>
          <w:u w:val="single" w:color="auto"/>
          <w:color w:val="0000FF"/>
        </w:rPr>
        <w:t>, on the other hand,</w:t>
      </w:r>
      <w:r>
        <w:rPr>
          <w:rFonts w:ascii="Arial" w:cs="Arial" w:eastAsia="Arial" w:hAnsi="Arial"/>
          <w:sz w:val="19"/>
          <w:szCs w:val="19"/>
          <w:color w:val="000000"/>
        </w:rPr>
        <w:t xml:space="preserve"> to the extent permitted hereunder and (c) all obligations under any Treasury Management Agreement between </w:t>
      </w:r>
      <w:r>
        <w:rPr>
          <w:rFonts w:ascii="Arial" w:cs="Arial" w:eastAsia="Arial" w:hAnsi="Arial"/>
          <w:sz w:val="19"/>
          <w:szCs w:val="19"/>
          <w:color w:val="FF0000"/>
          <w:strike w:val="1"/>
        </w:rPr>
        <w:t>any Credit Party</w:t>
      </w:r>
      <w:r>
        <w:rPr>
          <w:rFonts w:ascii="Arial" w:cs="Arial" w:eastAsia="Arial" w:hAnsi="Arial"/>
          <w:sz w:val="19"/>
          <w:szCs w:val="19"/>
          <w:u w:val="single" w:color="auto"/>
          <w:color w:val="0000FF"/>
        </w:rPr>
        <w:t>EWI or any of its Subsidiaries, on the one hand,</w:t>
      </w:r>
      <w:r>
        <w:rPr>
          <w:rFonts w:ascii="Arial" w:cs="Arial" w:eastAsia="Arial" w:hAnsi="Arial"/>
          <w:sz w:val="19"/>
          <w:szCs w:val="19"/>
          <w:color w:val="000000"/>
        </w:rPr>
        <w:t xml:space="preserve"> and any Lender or Affiliate of a Lender (or a Person who, at the time the Treasury Management Agreement was entered into, was a Lender or an Affiliate of a Lender)</w:t>
      </w:r>
      <w:r>
        <w:rPr>
          <w:rFonts w:ascii="Arial" w:cs="Arial" w:eastAsia="Arial" w:hAnsi="Arial"/>
          <w:sz w:val="19"/>
          <w:szCs w:val="19"/>
          <w:u w:val="single" w:color="auto"/>
          <w:color w:val="0000FF"/>
        </w:rPr>
        <w:t>, on the other hand; provided that the “Obligations” of a Credit Party shall exclude any Excluded Swap Obligations with</w:t>
      </w:r>
      <w:r>
        <w:rPr>
          <w:rFonts w:ascii="Arial" w:cs="Arial" w:eastAsia="Arial" w:hAnsi="Arial"/>
          <w:sz w:val="19"/>
          <w:szCs w:val="19"/>
          <w:color w:val="000000"/>
        </w:rPr>
        <w:t xml:space="preserve"> </w:t>
      </w:r>
      <w:r>
        <w:rPr>
          <w:rFonts w:ascii="Arial" w:cs="Arial" w:eastAsia="Arial" w:hAnsi="Arial"/>
          <w:sz w:val="19"/>
          <w:szCs w:val="19"/>
          <w:u w:val="single" w:color="auto"/>
          <w:color w:val="0000FF"/>
        </w:rPr>
        <w:t>respect to such Credit Party</w:t>
      </w:r>
      <w:r>
        <w:rPr>
          <w:rFonts w:ascii="Arial" w:cs="Arial" w:eastAsia="Arial" w:hAnsi="Arial"/>
          <w:sz w:val="19"/>
          <w:szCs w:val="19"/>
          <w:color w:val="000000"/>
        </w:rPr>
        <w:t>.</w:t>
      </w:r>
    </w:p>
    <w:p>
      <w:pPr>
        <w:spacing w:after="0" w:line="189" w:lineRule="exact"/>
        <w:rPr>
          <w:sz w:val="20"/>
          <w:szCs w:val="20"/>
          <w:color w:val="auto"/>
        </w:rPr>
      </w:pPr>
    </w:p>
    <w:p>
      <w:pPr>
        <w:ind w:right="180" w:firstLine="648"/>
        <w:spacing w:after="0" w:line="267" w:lineRule="exact"/>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Organization Documents</w:t>
      </w:r>
      <w:r>
        <w:rPr>
          <w:rFonts w:ascii="Arial" w:cs="Arial" w:eastAsia="Arial" w:hAnsi="Arial"/>
          <w:sz w:val="20"/>
          <w:szCs w:val="20"/>
          <w:color w:val="auto"/>
        </w:rPr>
        <w:t>” means, (a) with respect to any corporation, the certificate or articles of incorporation and the bylaws (or equivalent or comparable constitutive documents with respect to any non</w:t>
      </w:r>
      <w:r>
        <w:rPr>
          <w:rFonts w:ascii="MS PGothic" w:cs="MS PGothic" w:eastAsia="MS PGothic" w:hAnsi="MS PGothic"/>
          <w:sz w:val="20"/>
          <w:szCs w:val="20"/>
          <w:color w:val="auto"/>
        </w:rPr>
        <w:t>‑</w:t>
      </w:r>
      <w:r>
        <w:rPr>
          <w:rFonts w:ascii="Arial" w:cs="Arial" w:eastAsia="Arial" w:hAnsi="Arial"/>
          <w:sz w:val="20"/>
          <w:szCs w:val="20"/>
          <w:color w:val="auto"/>
        </w:rPr>
        <w:t>U.S. jurisdiction); (b) with respect to any limited liability company, the certificate or articles of formation or organization and operating agreement; and (c) with respect to any partnership, joint venture, trust or other form of business entity, the partnership, joint venture or other applicable agreement of formation or organization and any agreement, instrument, filing or notice with respect thereto filed in connection with its formation or organization with the applicable Governmental Authority in the jurisdiction of its formation or organization and, if applicable, any certificate or articles of formation or organization of such entity.</w:t>
      </w:r>
    </w:p>
    <w:p>
      <w:pPr>
        <w:spacing w:after="0" w:line="200" w:lineRule="exact"/>
        <w:rPr>
          <w:sz w:val="20"/>
          <w:szCs w:val="20"/>
          <w:color w:val="auto"/>
        </w:rPr>
      </w:pPr>
    </w:p>
    <w:p>
      <w:pPr>
        <w:spacing w:after="0" w:line="258" w:lineRule="exact"/>
        <w:rPr>
          <w:sz w:val="20"/>
          <w:szCs w:val="20"/>
          <w:color w:val="auto"/>
        </w:rPr>
      </w:pPr>
    </w:p>
    <w:p>
      <w:pPr>
        <w:jc w:val="center"/>
        <w:ind w:right="-39"/>
        <w:spacing w:after="0"/>
        <w:rPr>
          <w:sz w:val="20"/>
          <w:szCs w:val="20"/>
          <w:color w:val="auto"/>
        </w:rPr>
      </w:pPr>
      <w:r>
        <w:rPr>
          <w:rFonts w:ascii="Arial" w:cs="Arial" w:eastAsia="Arial" w:hAnsi="Arial"/>
          <w:sz w:val="20"/>
          <w:szCs w:val="20"/>
          <w:color w:val="auto"/>
        </w:rPr>
        <w:t>47</w:t>
      </w:r>
    </w:p>
    <w:p>
      <w:pPr>
        <w:spacing w:after="0" w:line="10" w:lineRule="exact"/>
        <w:rPr>
          <w:sz w:val="20"/>
          <w:szCs w:val="20"/>
          <w:color w:val="auto"/>
        </w:rPr>
      </w:pPr>
    </w:p>
    <w:p>
      <w:pPr>
        <w:spacing w:after="0"/>
        <w:rPr>
          <w:sz w:val="20"/>
          <w:szCs w:val="20"/>
          <w:color w:val="auto"/>
        </w:rPr>
      </w:pPr>
      <w:r>
        <w:rPr>
          <w:rFonts w:ascii="Arial" w:cs="Arial" w:eastAsia="Arial" w:hAnsi="Arial"/>
          <w:sz w:val="14"/>
          <w:szCs w:val="14"/>
          <w:color w:val="auto"/>
        </w:rPr>
        <w:t>CHAR1\1346423v</w:t>
      </w:r>
      <w:r>
        <w:rPr>
          <w:rFonts w:ascii="Arial" w:cs="Arial" w:eastAsia="Arial" w:hAnsi="Arial"/>
          <w:sz w:val="14"/>
          <w:szCs w:val="14"/>
          <w:color w:val="FF0000"/>
          <w:strike w:val="1"/>
        </w:rPr>
        <w:t>1</w:t>
      </w:r>
      <w:r>
        <w:rPr>
          <w:rFonts w:ascii="Arial" w:cs="Arial" w:eastAsia="Arial" w:hAnsi="Arial"/>
          <w:sz w:val="14"/>
          <w:szCs w:val="14"/>
          <w:u w:val="single" w:color="auto"/>
          <w:color w:val="0000FF"/>
        </w:rPr>
        <w:t>12</w:t>
      </w:r>
    </w:p>
    <w:p>
      <w:pPr>
        <w:sectPr>
          <w:pgSz w:w="11900" w:h="16838" w:orient="portrait"/>
          <w:cols w:equalWidth="0" w:num="1">
            <w:col w:w="11380"/>
          </w:cols>
          <w:pgMar w:left="240" w:top="609" w:right="279" w:bottom="1440" w:gutter="0" w:footer="0" w:header="0"/>
        </w:sectPr>
      </w:pPr>
    </w:p>
    <w:bookmarkStart w:id="99" w:name="page100"/>
    <w:bookmarkEnd w:id="99"/>
    <w:p>
      <w:pPr>
        <w:ind w:right="60" w:firstLine="648"/>
        <w:spacing w:after="0" w:line="381" w:lineRule="auto"/>
        <w:rPr>
          <w:sz w:val="20"/>
          <w:szCs w:val="20"/>
          <w:color w:val="auto"/>
        </w:rPr>
      </w:pPr>
      <w:r>
        <w:rPr>
          <w:rFonts w:ascii="Arial" w:cs="Arial" w:eastAsia="Arial" w:hAnsi="Arial"/>
          <w:sz w:val="16"/>
          <w:szCs w:val="16"/>
          <w:u w:val="single" w:color="auto"/>
          <w:color w:val="0000FF"/>
        </w:rPr>
        <w:t>“Other Connection Taxes” means, with respect to any Recipient, Taxes imposed as a result of</w:t>
      </w:r>
      <w:r>
        <w:rPr>
          <w:rFonts w:ascii="Arial" w:cs="Arial" w:eastAsia="Arial" w:hAnsi="Arial"/>
          <w:sz w:val="16"/>
          <w:szCs w:val="16"/>
          <w:color w:val="0000FF"/>
        </w:rPr>
        <w:t xml:space="preserve"> </w:t>
      </w:r>
      <w:r>
        <w:rPr>
          <w:rFonts w:ascii="Arial" w:cs="Arial" w:eastAsia="Arial" w:hAnsi="Arial"/>
          <w:sz w:val="16"/>
          <w:szCs w:val="16"/>
          <w:color w:val="00C000"/>
        </w:rPr>
        <w:t>a present or former connection</w:t>
      </w:r>
      <w:r>
        <w:rPr>
          <w:rFonts w:ascii="Arial" w:cs="Arial" w:eastAsia="Arial" w:hAnsi="Arial"/>
          <w:sz w:val="16"/>
          <w:szCs w:val="16"/>
          <w:color w:val="0000FF"/>
        </w:rPr>
        <w:t xml:space="preserve"> </w:t>
      </w:r>
      <w:r>
        <w:rPr>
          <w:rFonts w:ascii="Arial" w:cs="Arial" w:eastAsia="Arial" w:hAnsi="Arial"/>
          <w:sz w:val="16"/>
          <w:szCs w:val="16"/>
          <w:u w:val="single" w:color="auto"/>
          <w:color w:val="0000FF"/>
        </w:rPr>
        <w:t>between</w:t>
      </w:r>
      <w:r>
        <w:rPr>
          <w:rFonts w:ascii="Arial" w:cs="Arial" w:eastAsia="Arial" w:hAnsi="Arial"/>
          <w:sz w:val="16"/>
          <w:szCs w:val="16"/>
          <w:color w:val="0000FF"/>
        </w:rPr>
        <w:t xml:space="preserve"> </w:t>
      </w:r>
      <w:r>
        <w:rPr>
          <w:rFonts w:ascii="Arial" w:cs="Arial" w:eastAsia="Arial" w:hAnsi="Arial"/>
          <w:sz w:val="16"/>
          <w:szCs w:val="16"/>
          <w:u w:val="single" w:color="auto"/>
          <w:color w:val="0000FF"/>
        </w:rPr>
        <w:t>such Recipient and the jurisdiction imposing such Tax (other than connections arising from such Recipient having executed, delivered, become a party to, performed its obligations under, received payments under, received or perfected a security interest under, engaged in any other transaction pursuant to or enforced any Credit Document, or sold or assigned an interest in any Loan or Credit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5111115</wp:posOffset>
            </wp:positionH>
            <wp:positionV relativeFrom="paragraph">
              <wp:posOffset>-610235</wp:posOffset>
            </wp:positionV>
            <wp:extent cx="1605280"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1605280" cy="8890"/>
                    </a:xfrm>
                    <a:prstGeom prst="rect">
                      <a:avLst/>
                    </a:prstGeom>
                    <a:noFill/>
                  </pic:spPr>
                </pic:pic>
              </a:graphicData>
            </a:graphic>
          </wp:anchor>
        </w:drawing>
      </w:r>
    </w:p>
    <w:p>
      <w:pPr>
        <w:spacing w:after="0" w:line="108" w:lineRule="exact"/>
        <w:rPr>
          <w:sz w:val="20"/>
          <w:szCs w:val="20"/>
          <w:color w:val="auto"/>
        </w:rPr>
      </w:pPr>
    </w:p>
    <w:p>
      <w:pPr>
        <w:ind w:right="80" w:firstLine="648"/>
        <w:spacing w:after="0" w:line="32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Other Taxes</w:t>
      </w:r>
      <w:r>
        <w:rPr>
          <w:rFonts w:ascii="Arial" w:cs="Arial" w:eastAsia="Arial" w:hAnsi="Arial"/>
          <w:sz w:val="18"/>
          <w:szCs w:val="18"/>
          <w:color w:val="auto"/>
        </w:rPr>
        <w:t>” means all present or future stamp</w:t>
      </w:r>
      <w:r>
        <w:rPr>
          <w:rFonts w:ascii="Arial" w:cs="Arial" w:eastAsia="Arial" w:hAnsi="Arial"/>
          <w:sz w:val="18"/>
          <w:szCs w:val="18"/>
          <w:u w:val="single" w:color="auto"/>
          <w:color w:val="0000FF"/>
        </w:rPr>
        <w:t>, court</w:t>
      </w:r>
      <w:r>
        <w:rPr>
          <w:rFonts w:ascii="Arial" w:cs="Arial" w:eastAsia="Arial" w:hAnsi="Arial"/>
          <w:sz w:val="18"/>
          <w:szCs w:val="18"/>
          <w:color w:val="auto"/>
        </w:rPr>
        <w:t xml:space="preserve"> or documentary </w:t>
      </w:r>
      <w:r>
        <w:rPr>
          <w:rFonts w:ascii="Arial" w:cs="Arial" w:eastAsia="Arial" w:hAnsi="Arial"/>
          <w:sz w:val="18"/>
          <w:szCs w:val="18"/>
          <w:color w:val="FF0000"/>
          <w:strike w:val="1"/>
        </w:rPr>
        <w:t>taxes or any other excise or property taxes, charges</w:t>
      </w:r>
      <w:r>
        <w:rPr>
          <w:rFonts w:ascii="Arial" w:cs="Arial" w:eastAsia="Arial" w:hAnsi="Arial"/>
          <w:sz w:val="18"/>
          <w:szCs w:val="18"/>
          <w:u w:val="single" w:color="auto"/>
          <w:color w:val="0000FF"/>
        </w:rPr>
        <w:t>, intangible,</w:t>
      </w:r>
      <w:r>
        <w:rPr>
          <w:rFonts w:ascii="Arial" w:cs="Arial" w:eastAsia="Arial" w:hAnsi="Arial"/>
          <w:sz w:val="18"/>
          <w:szCs w:val="18"/>
          <w:color w:val="auto"/>
        </w:rPr>
        <w:t xml:space="preserve"> </w:t>
      </w:r>
      <w:r>
        <w:rPr>
          <w:rFonts w:ascii="Arial" w:cs="Arial" w:eastAsia="Arial" w:hAnsi="Arial"/>
          <w:sz w:val="18"/>
          <w:szCs w:val="18"/>
          <w:u w:val="single" w:color="auto"/>
          <w:color w:val="0000FF"/>
        </w:rPr>
        <w:t>recording, filing</w:t>
      </w:r>
      <w:r>
        <w:rPr>
          <w:rFonts w:ascii="Arial" w:cs="Arial" w:eastAsia="Arial" w:hAnsi="Arial"/>
          <w:sz w:val="18"/>
          <w:szCs w:val="18"/>
          <w:color w:val="0000FF"/>
        </w:rPr>
        <w:t xml:space="preserve"> </w:t>
      </w:r>
      <w:r>
        <w:rPr>
          <w:rFonts w:ascii="Arial" w:cs="Arial" w:eastAsia="Arial" w:hAnsi="Arial"/>
          <w:sz w:val="18"/>
          <w:szCs w:val="18"/>
          <w:color w:val="000000"/>
        </w:rPr>
        <w:t>or similar</w:t>
      </w:r>
      <w:r>
        <w:rPr>
          <w:rFonts w:ascii="Arial" w:cs="Arial" w:eastAsia="Arial" w:hAnsi="Arial"/>
          <w:sz w:val="18"/>
          <w:szCs w:val="18"/>
          <w:color w:val="0000FF"/>
        </w:rPr>
        <w:t xml:space="preserve"> </w:t>
      </w:r>
      <w:r>
        <w:rPr>
          <w:rFonts w:ascii="Arial" w:cs="Arial" w:eastAsia="Arial" w:hAnsi="Arial"/>
          <w:sz w:val="18"/>
          <w:szCs w:val="18"/>
          <w:color w:val="FF0000"/>
          <w:strike w:val="1"/>
        </w:rPr>
        <w:t>levies arising</w:t>
      </w:r>
      <w:r>
        <w:rPr>
          <w:rFonts w:ascii="Arial" w:cs="Arial" w:eastAsia="Arial" w:hAnsi="Arial"/>
          <w:sz w:val="18"/>
          <w:szCs w:val="18"/>
          <w:u w:val="single" w:color="auto"/>
          <w:color w:val="0000FF"/>
        </w:rPr>
        <w:t>Taxes that arise</w:t>
      </w:r>
      <w:r>
        <w:rPr>
          <w:rFonts w:ascii="Arial" w:cs="Arial" w:eastAsia="Arial" w:hAnsi="Arial"/>
          <w:sz w:val="18"/>
          <w:szCs w:val="18"/>
          <w:color w:val="0000FF"/>
        </w:rPr>
        <w:t xml:space="preserve"> </w:t>
      </w:r>
      <w:r>
        <w:rPr>
          <w:rFonts w:ascii="Arial" w:cs="Arial" w:eastAsia="Arial" w:hAnsi="Arial"/>
          <w:sz w:val="18"/>
          <w:szCs w:val="18"/>
          <w:color w:val="000000"/>
        </w:rPr>
        <w:t>from any payment made</w:t>
      </w:r>
      <w:r>
        <w:rPr>
          <w:rFonts w:ascii="Arial" w:cs="Arial" w:eastAsia="Arial" w:hAnsi="Arial"/>
          <w:sz w:val="18"/>
          <w:szCs w:val="18"/>
          <w:color w:val="0000FF"/>
        </w:rPr>
        <w:t xml:space="preserve"> </w:t>
      </w:r>
      <w:r>
        <w:rPr>
          <w:rFonts w:ascii="Arial" w:cs="Arial" w:eastAsia="Arial" w:hAnsi="Arial"/>
          <w:sz w:val="18"/>
          <w:szCs w:val="18"/>
          <w:color w:val="FF0000"/>
          <w:strike w:val="1"/>
        </w:rPr>
        <w:t>hereunder or</w:t>
      </w:r>
      <w:r>
        <w:rPr>
          <w:rFonts w:ascii="Arial" w:cs="Arial" w:eastAsia="Arial" w:hAnsi="Arial"/>
          <w:sz w:val="18"/>
          <w:szCs w:val="18"/>
          <w:color w:val="0000FF"/>
        </w:rPr>
        <w:t xml:space="preserve"> </w:t>
      </w:r>
      <w:r>
        <w:rPr>
          <w:rFonts w:ascii="Arial" w:cs="Arial" w:eastAsia="Arial" w:hAnsi="Arial"/>
          <w:sz w:val="18"/>
          <w:szCs w:val="18"/>
          <w:color w:val="000000"/>
        </w:rPr>
        <w:t>under</w:t>
      </w:r>
      <w:r>
        <w:rPr>
          <w:rFonts w:ascii="Arial" w:cs="Arial" w:eastAsia="Arial" w:hAnsi="Arial"/>
          <w:sz w:val="18"/>
          <w:szCs w:val="18"/>
          <w:color w:val="0000FF"/>
        </w:rPr>
        <w:t xml:space="preserve"> </w:t>
      </w:r>
      <w:r>
        <w:rPr>
          <w:rFonts w:ascii="Arial" w:cs="Arial" w:eastAsia="Arial" w:hAnsi="Arial"/>
          <w:sz w:val="18"/>
          <w:szCs w:val="18"/>
          <w:color w:val="FF0000"/>
          <w:strike w:val="1"/>
        </w:rPr>
        <w:t>any other Credit Document or</w:t>
      </w:r>
      <w:r>
        <w:rPr>
          <w:rFonts w:ascii="Arial" w:cs="Arial" w:eastAsia="Arial" w:hAnsi="Arial"/>
          <w:sz w:val="18"/>
          <w:szCs w:val="18"/>
          <w:u w:val="single" w:color="auto"/>
          <w:color w:val="0000FF"/>
        </w:rPr>
        <w:t>,</w:t>
      </w:r>
      <w:r>
        <w:rPr>
          <w:rFonts w:ascii="Arial" w:cs="Arial" w:eastAsia="Arial" w:hAnsi="Arial"/>
          <w:sz w:val="18"/>
          <w:szCs w:val="18"/>
          <w:color w:val="0000FF"/>
        </w:rPr>
        <w:t xml:space="preserve"> </w:t>
      </w:r>
      <w:r>
        <w:rPr>
          <w:rFonts w:ascii="Arial" w:cs="Arial" w:eastAsia="Arial" w:hAnsi="Arial"/>
          <w:sz w:val="18"/>
          <w:szCs w:val="18"/>
          <w:color w:val="000000"/>
        </w:rPr>
        <w:t>from the</w:t>
      </w:r>
      <w:r>
        <w:rPr>
          <w:rFonts w:ascii="Arial" w:cs="Arial" w:eastAsia="Arial" w:hAnsi="Arial"/>
          <w:sz w:val="18"/>
          <w:szCs w:val="18"/>
          <w:color w:val="0000FF"/>
        </w:rPr>
        <w:t xml:space="preserve"> </w:t>
      </w:r>
      <w:r>
        <w:rPr>
          <w:rFonts w:ascii="Arial" w:cs="Arial" w:eastAsia="Arial" w:hAnsi="Arial"/>
          <w:sz w:val="18"/>
          <w:szCs w:val="18"/>
          <w:color w:val="000000"/>
        </w:rPr>
        <w:t xml:space="preserve">execution, delivery </w:t>
      </w:r>
      <w:r>
        <w:rPr>
          <w:rFonts w:ascii="Arial" w:cs="Arial" w:eastAsia="Arial" w:hAnsi="Arial"/>
          <w:sz w:val="18"/>
          <w:szCs w:val="18"/>
          <w:color w:val="FF0000"/>
          <w:strike w:val="1"/>
        </w:rPr>
        <w:t>or</w:t>
      </w:r>
      <w:r>
        <w:rPr>
          <w:rFonts w:ascii="Arial" w:cs="Arial" w:eastAsia="Arial" w:hAnsi="Arial"/>
          <w:sz w:val="18"/>
          <w:szCs w:val="18"/>
          <w:u w:val="single" w:color="auto"/>
          <w:color w:val="0000FF"/>
        </w:rPr>
        <w:t>, performance,</w:t>
      </w:r>
      <w:r>
        <w:rPr>
          <w:rFonts w:ascii="Arial" w:cs="Arial" w:eastAsia="Arial" w:hAnsi="Arial"/>
          <w:sz w:val="18"/>
          <w:szCs w:val="18"/>
          <w:color w:val="000000"/>
        </w:rPr>
        <w:t xml:space="preserve"> enforcement </w:t>
      </w:r>
      <w:r>
        <w:rPr>
          <w:rFonts w:ascii="Arial" w:cs="Arial" w:eastAsia="Arial" w:hAnsi="Arial"/>
          <w:sz w:val="18"/>
          <w:szCs w:val="18"/>
          <w:color w:val="FF0000"/>
          <w:strike w:val="1"/>
        </w:rPr>
        <w:t>of</w:t>
      </w:r>
      <w:r>
        <w:rPr>
          <w:rFonts w:ascii="Arial" w:cs="Arial" w:eastAsia="Arial" w:hAnsi="Arial"/>
          <w:sz w:val="18"/>
          <w:szCs w:val="18"/>
          <w:u w:val="single" w:color="auto"/>
          <w:color w:val="0000FF"/>
        </w:rPr>
        <w:t>or registration of, from the receipt or perfection of a security interest under</w:t>
      </w:r>
      <w:r>
        <w:rPr>
          <w:rFonts w:ascii="Arial" w:cs="Arial" w:eastAsia="Arial" w:hAnsi="Arial"/>
          <w:sz w:val="18"/>
          <w:szCs w:val="18"/>
          <w:color w:val="000000"/>
        </w:rPr>
        <w:t xml:space="preserve">, or otherwise with respect to, </w:t>
      </w:r>
      <w:r>
        <w:rPr>
          <w:rFonts w:ascii="Arial" w:cs="Arial" w:eastAsia="Arial" w:hAnsi="Arial"/>
          <w:sz w:val="18"/>
          <w:szCs w:val="18"/>
          <w:color w:val="FF0000"/>
          <w:strike w:val="1"/>
        </w:rPr>
        <w:t>this Credit Agreement or any other Credit Document</w:t>
      </w:r>
      <w:r>
        <w:rPr>
          <w:rFonts w:ascii="Arial" w:cs="Arial" w:eastAsia="Arial" w:hAnsi="Arial"/>
          <w:sz w:val="18"/>
          <w:szCs w:val="18"/>
          <w:u w:val="single" w:color="auto"/>
          <w:color w:val="0000FF"/>
        </w:rPr>
        <w:t>any Loan Document, except any such Taxes that are Other Connection</w:t>
      </w:r>
      <w:r>
        <w:rPr>
          <w:rFonts w:ascii="Arial" w:cs="Arial" w:eastAsia="Arial" w:hAnsi="Arial"/>
          <w:sz w:val="18"/>
          <w:szCs w:val="18"/>
          <w:color w:val="000000"/>
        </w:rPr>
        <w:t xml:space="preserve"> </w:t>
      </w:r>
      <w:r>
        <w:rPr>
          <w:rFonts w:ascii="Arial" w:cs="Arial" w:eastAsia="Arial" w:hAnsi="Arial"/>
          <w:sz w:val="18"/>
          <w:szCs w:val="18"/>
          <w:u w:val="single" w:color="auto"/>
          <w:color w:val="0000FF"/>
        </w:rPr>
        <w:t>Taxes imposed with respect to an assignment (other than an assignment made pursuant to Section 3.06)</w:t>
      </w:r>
      <w:r>
        <w:rPr>
          <w:rFonts w:ascii="Arial" w:cs="Arial" w:eastAsia="Arial" w:hAnsi="Arial"/>
          <w:sz w:val="18"/>
          <w:szCs w:val="18"/>
          <w:color w:val="000000"/>
        </w:rPr>
        <w:t>.</w:t>
      </w:r>
    </w:p>
    <w:p>
      <w:pPr>
        <w:spacing w:after="0" w:line="165" w:lineRule="exact"/>
        <w:rPr>
          <w:sz w:val="20"/>
          <w:szCs w:val="20"/>
          <w:color w:val="auto"/>
        </w:rPr>
      </w:pPr>
    </w:p>
    <w:p>
      <w:pPr>
        <w:ind w:right="60" w:firstLine="648"/>
        <w:spacing w:after="0" w:line="302"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Outstanding Amount</w:t>
      </w:r>
      <w:r>
        <w:rPr>
          <w:rFonts w:ascii="Arial" w:cs="Arial" w:eastAsia="Arial" w:hAnsi="Arial"/>
          <w:sz w:val="19"/>
          <w:szCs w:val="19"/>
          <w:color w:val="auto"/>
        </w:rPr>
        <w:t>” means (i) with respect to Loans on any date, the Dollar Equivalent amount of the aggregate outstanding principal amount thereof after giving effect to any borrowings and prepayments or repayments of such Loans occurring on such date; (ii) with respect to Swingline Loans on any date, the Dollar Equivalent amount of the aggregate outstanding principal amount thereof after giving effect to any borrowings and prepayments or repayments of such Swingline Loans occurring on such date; and (iii) with respect to any L/C Obligations on any date, the Dollar Equivalent amount of the aggregate outstanding amount of such L/C Obligations on such date after giving effect to any L/C Credit Extension occurring on such date and any other changes in the aggregate amount of the L/C Obligations as of such date, including as a result of any reimbursements by a Borrower of L/C Unreimbursed Amounts.</w:t>
      </w:r>
    </w:p>
    <w:p>
      <w:pPr>
        <w:spacing w:after="0" w:line="182" w:lineRule="exact"/>
        <w:rPr>
          <w:sz w:val="20"/>
          <w:szCs w:val="20"/>
          <w:color w:val="auto"/>
        </w:rPr>
      </w:pPr>
    </w:p>
    <w:p>
      <w:pPr>
        <w:ind w:firstLine="648"/>
        <w:spacing w:after="0" w:line="284"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Overnight Rate</w:t>
      </w:r>
      <w:r>
        <w:rPr>
          <w:rFonts w:ascii="Arial" w:cs="Arial" w:eastAsia="Arial" w:hAnsi="Arial"/>
          <w:sz w:val="20"/>
          <w:szCs w:val="20"/>
          <w:color w:val="auto"/>
        </w:rPr>
        <w:t>” means, for any day, (a) with respect to any amount denominated in Dollars, the greater of (i) the Federal Funds Rate and (ii) the overnight rate determined by the Administrative Agent, the L/C Issuer or the Swingline Lender, as the case may be, in accordance with banking industry rules on interbank compensation, and (b) with any amount denominated in any other currency, the greater of (i) an overnight rate determined by the Administrative Agent, the L/C Issuer or the Swingline Lender, as the case may be, in accordance with banking industry rules on interbank compensation, and (ii) the rate of interest per annum at which overnight deposits in the applicable Alternative Currency, in an amount approximately equal to the amount with respect to which such rate is being determined, would be offered for such day by a branch or Affiliate of Bank of America in the applicable offshore interbank market for such currency to major banks in such interbank market.</w:t>
      </w:r>
    </w:p>
    <w:p>
      <w:pPr>
        <w:spacing w:after="0" w:line="200"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Overnight Rate Loans</w:t>
      </w:r>
      <w:r>
        <w:rPr>
          <w:rFonts w:ascii="Arial" w:cs="Arial" w:eastAsia="Arial" w:hAnsi="Arial"/>
          <w:sz w:val="20"/>
          <w:szCs w:val="20"/>
          <w:color w:val="auto"/>
        </w:rPr>
        <w:t>” means a Loan that bears interest based on the Overnight Rate.</w:t>
      </w:r>
    </w:p>
    <w:p>
      <w:pPr>
        <w:spacing w:after="0" w:line="25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Participant</w:t>
      </w:r>
      <w:r>
        <w:rPr>
          <w:rFonts w:ascii="Arial" w:cs="Arial" w:eastAsia="Arial" w:hAnsi="Arial"/>
          <w:sz w:val="20"/>
          <w:szCs w:val="20"/>
          <w:color w:val="auto"/>
        </w:rPr>
        <w:t xml:space="preserve">” has the meaning specified in </w:t>
      </w:r>
      <w:r>
        <w:rPr>
          <w:rFonts w:ascii="Arial" w:cs="Arial" w:eastAsia="Arial" w:hAnsi="Arial"/>
          <w:sz w:val="20"/>
          <w:szCs w:val="20"/>
          <w:u w:val="single" w:color="auto"/>
          <w:color w:val="auto"/>
        </w:rPr>
        <w:t>Section 11.06(d)</w:t>
      </w:r>
      <w:r>
        <w:rPr>
          <w:rFonts w:ascii="Arial" w:cs="Arial" w:eastAsia="Arial" w:hAnsi="Arial"/>
          <w:sz w:val="20"/>
          <w:szCs w:val="20"/>
          <w:color w:val="auto"/>
        </w:rPr>
        <w:t>.</w:t>
      </w:r>
    </w:p>
    <w:p>
      <w:pPr>
        <w:spacing w:after="0" w:line="256" w:lineRule="exact"/>
        <w:rPr>
          <w:sz w:val="20"/>
          <w:szCs w:val="20"/>
          <w:color w:val="auto"/>
        </w:rPr>
      </w:pPr>
    </w:p>
    <w:p>
      <w:pPr>
        <w:ind w:right="60" w:firstLine="648"/>
        <w:spacing w:after="0" w:line="292"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Participating Member State</w:t>
      </w:r>
      <w:r>
        <w:rPr>
          <w:rFonts w:ascii="Arial" w:cs="Arial" w:eastAsia="Arial" w:hAnsi="Arial"/>
          <w:sz w:val="20"/>
          <w:szCs w:val="20"/>
          <w:color w:val="auto"/>
        </w:rPr>
        <w:t xml:space="preserve">” means </w:t>
      </w:r>
      <w:r>
        <w:rPr>
          <w:rFonts w:ascii="Arial" w:cs="Arial" w:eastAsia="Arial" w:hAnsi="Arial"/>
          <w:sz w:val="20"/>
          <w:szCs w:val="20"/>
          <w:color w:val="FF0000"/>
          <w:strike w:val="1"/>
        </w:rPr>
        <w:t>each state so described in any EMU Legislation</w:t>
      </w:r>
      <w:r>
        <w:rPr>
          <w:rFonts w:ascii="Arial" w:cs="Arial" w:eastAsia="Arial" w:hAnsi="Arial"/>
          <w:sz w:val="20"/>
          <w:szCs w:val="20"/>
          <w:u w:val="single" w:color="auto"/>
          <w:color w:val="0000FF"/>
        </w:rPr>
        <w:t>any member state of the European Union that</w:t>
      </w:r>
      <w:r>
        <w:rPr>
          <w:rFonts w:ascii="Arial" w:cs="Arial" w:eastAsia="Arial" w:hAnsi="Arial"/>
          <w:sz w:val="20"/>
          <w:szCs w:val="20"/>
          <w:color w:val="auto"/>
        </w:rPr>
        <w:t xml:space="preserve"> </w:t>
      </w:r>
      <w:r>
        <w:rPr>
          <w:rFonts w:ascii="Arial" w:cs="Arial" w:eastAsia="Arial" w:hAnsi="Arial"/>
          <w:sz w:val="20"/>
          <w:szCs w:val="20"/>
          <w:u w:val="single" w:color="auto"/>
          <w:color w:val="0000FF"/>
        </w:rPr>
        <w:t>adopts or has adopted the Euro as its lawful currency in accordance with legislation of the European Union relating to Economic and Monetary Union</w:t>
      </w:r>
      <w:r>
        <w:rPr>
          <w:rFonts w:ascii="Arial" w:cs="Arial" w:eastAsia="Arial" w:hAnsi="Arial"/>
          <w:sz w:val="20"/>
          <w:szCs w:val="20"/>
          <w:color w:val="000000"/>
        </w:rPr>
        <w:t>.</w:t>
      </w:r>
    </w:p>
    <w:p>
      <w:pPr>
        <w:spacing w:after="0" w:line="200" w:lineRule="exact"/>
        <w:rPr>
          <w:sz w:val="20"/>
          <w:szCs w:val="20"/>
          <w:color w:val="auto"/>
        </w:rPr>
      </w:pPr>
    </w:p>
    <w:p>
      <w:pPr>
        <w:spacing w:after="0" w:line="203" w:lineRule="exact"/>
        <w:rPr>
          <w:sz w:val="20"/>
          <w:szCs w:val="20"/>
          <w:color w:val="auto"/>
        </w:rPr>
      </w:pPr>
    </w:p>
    <w:p>
      <w:pPr>
        <w:jc w:val="center"/>
        <w:ind w:right="-39"/>
        <w:spacing w:after="0"/>
        <w:rPr>
          <w:sz w:val="20"/>
          <w:szCs w:val="20"/>
          <w:color w:val="auto"/>
        </w:rPr>
      </w:pPr>
      <w:r>
        <w:rPr>
          <w:rFonts w:ascii="Arial" w:cs="Arial" w:eastAsia="Arial" w:hAnsi="Arial"/>
          <w:sz w:val="20"/>
          <w:szCs w:val="20"/>
          <w:color w:val="auto"/>
        </w:rPr>
        <w:t>48</w:t>
      </w:r>
    </w:p>
    <w:p>
      <w:pPr>
        <w:spacing w:after="0" w:line="10" w:lineRule="exact"/>
        <w:rPr>
          <w:sz w:val="20"/>
          <w:szCs w:val="20"/>
          <w:color w:val="auto"/>
        </w:rPr>
      </w:pPr>
    </w:p>
    <w:p>
      <w:pPr>
        <w:spacing w:after="0"/>
        <w:rPr>
          <w:sz w:val="20"/>
          <w:szCs w:val="20"/>
          <w:color w:val="auto"/>
        </w:rPr>
      </w:pPr>
      <w:r>
        <w:rPr>
          <w:rFonts w:ascii="Arial" w:cs="Arial" w:eastAsia="Arial" w:hAnsi="Arial"/>
          <w:sz w:val="14"/>
          <w:szCs w:val="14"/>
          <w:color w:val="auto"/>
        </w:rPr>
        <w:t>CHAR1\1346423v</w:t>
      </w:r>
      <w:r>
        <w:rPr>
          <w:rFonts w:ascii="Arial" w:cs="Arial" w:eastAsia="Arial" w:hAnsi="Arial"/>
          <w:sz w:val="14"/>
          <w:szCs w:val="14"/>
          <w:color w:val="FF0000"/>
          <w:strike w:val="1"/>
        </w:rPr>
        <w:t>1</w:t>
      </w:r>
      <w:r>
        <w:rPr>
          <w:rFonts w:ascii="Arial" w:cs="Arial" w:eastAsia="Arial" w:hAnsi="Arial"/>
          <w:sz w:val="14"/>
          <w:szCs w:val="14"/>
          <w:u w:val="single" w:color="auto"/>
          <w:color w:val="0000FF"/>
        </w:rPr>
        <w:t>12</w:t>
      </w:r>
    </w:p>
    <w:p>
      <w:pPr>
        <w:sectPr>
          <w:pgSz w:w="11900" w:h="16838" w:orient="portrait"/>
          <w:cols w:equalWidth="0" w:num="1">
            <w:col w:w="11400"/>
          </w:cols>
          <w:pgMar w:left="240" w:top="609" w:right="259" w:bottom="1440" w:gutter="0" w:footer="0" w:header="0"/>
        </w:sectPr>
      </w:pPr>
    </w:p>
    <w:bookmarkStart w:id="100" w:name="page101"/>
    <w:bookmarkEnd w:id="100"/>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Patriot Act</w:t>
      </w:r>
      <w:r>
        <w:rPr>
          <w:rFonts w:ascii="Arial" w:cs="Arial" w:eastAsia="Arial" w:hAnsi="Arial"/>
          <w:sz w:val="20"/>
          <w:szCs w:val="20"/>
          <w:color w:val="auto"/>
        </w:rPr>
        <w:t xml:space="preserve">” has the meaning provided in </w:t>
      </w:r>
      <w:r>
        <w:rPr>
          <w:rFonts w:ascii="Arial" w:cs="Arial" w:eastAsia="Arial" w:hAnsi="Arial"/>
          <w:sz w:val="20"/>
          <w:szCs w:val="20"/>
          <w:u w:val="single" w:color="auto"/>
          <w:color w:val="auto"/>
        </w:rPr>
        <w:t>Section 11.17</w:t>
      </w:r>
      <w:r>
        <w:rPr>
          <w:rFonts w:ascii="Arial" w:cs="Arial" w:eastAsia="Arial" w:hAnsi="Arial"/>
          <w:sz w:val="20"/>
          <w:szCs w:val="20"/>
          <w:color w:val="auto"/>
        </w:rPr>
        <w:t>.</w:t>
      </w:r>
    </w:p>
    <w:p>
      <w:pPr>
        <w:spacing w:after="0" w:line="25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PBGC</w:t>
      </w:r>
      <w:r>
        <w:rPr>
          <w:rFonts w:ascii="Arial" w:cs="Arial" w:eastAsia="Arial" w:hAnsi="Arial"/>
          <w:sz w:val="20"/>
          <w:szCs w:val="20"/>
          <w:color w:val="auto"/>
        </w:rPr>
        <w:t>” means the Pension Benefit Guaranty Corporation.</w:t>
      </w:r>
    </w:p>
    <w:p>
      <w:pPr>
        <w:spacing w:after="0" w:line="256" w:lineRule="exact"/>
        <w:rPr>
          <w:sz w:val="20"/>
          <w:szCs w:val="20"/>
          <w:color w:val="auto"/>
        </w:rPr>
      </w:pPr>
    </w:p>
    <w:p>
      <w:pPr>
        <w:ind w:right="220" w:firstLine="648"/>
        <w:spacing w:after="0" w:line="308"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Pension Plan</w:t>
      </w:r>
      <w:r>
        <w:rPr>
          <w:rFonts w:ascii="Arial" w:cs="Arial" w:eastAsia="Arial" w:hAnsi="Arial"/>
          <w:sz w:val="19"/>
          <w:szCs w:val="19"/>
          <w:color w:val="auto"/>
        </w:rPr>
        <w:t>” means any “employee pension benefit plan” (as such term is defined in Section 3(2) of ERISA), other than a Multiemployer Plan, that is subject to Title IV of ERISA and is sponsored or maintained by EWI or any ERISA Affiliate or to which EWI or any ERISA Affiliate contributes or has an obligation to contribute, or in the case of a multiple employer or other plan described in Section 4064(a) of ERISA, has made contributions at any time during the immediately preceding five plan years.</w:t>
      </w:r>
    </w:p>
    <w:p>
      <w:pPr>
        <w:spacing w:after="0" w:line="175"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Permitted Acquisitions</w:t>
      </w:r>
      <w:r>
        <w:rPr>
          <w:rFonts w:ascii="Arial" w:cs="Arial" w:eastAsia="Arial" w:hAnsi="Arial"/>
          <w:sz w:val="20"/>
          <w:szCs w:val="20"/>
          <w:color w:val="auto"/>
        </w:rPr>
        <w:t>” means any Acquisition that satisfies the following conditions:</w:t>
      </w:r>
    </w:p>
    <w:p>
      <w:pPr>
        <w:spacing w:after="0" w:line="256" w:lineRule="exact"/>
        <w:rPr>
          <w:sz w:val="20"/>
          <w:szCs w:val="20"/>
          <w:color w:val="auto"/>
        </w:rPr>
      </w:pPr>
    </w:p>
    <w:p>
      <w:pPr>
        <w:ind w:left="1700" w:hanging="395"/>
        <w:spacing w:after="0"/>
        <w:tabs>
          <w:tab w:leader="none" w:pos="1700" w:val="left"/>
        </w:tabs>
        <w:numPr>
          <w:ilvl w:val="0"/>
          <w:numId w:val="49"/>
        </w:numPr>
        <w:rPr>
          <w:rFonts w:ascii="Arial" w:cs="Arial" w:eastAsia="Arial" w:hAnsi="Arial"/>
          <w:sz w:val="19"/>
          <w:szCs w:val="19"/>
          <w:color w:val="auto"/>
        </w:rPr>
      </w:pPr>
      <w:r>
        <w:rPr>
          <w:rFonts w:ascii="Arial" w:cs="Arial" w:eastAsia="Arial" w:hAnsi="Arial"/>
          <w:sz w:val="19"/>
          <w:szCs w:val="19"/>
          <w:color w:val="auto"/>
        </w:rPr>
        <w:t>in the case of Acquisitions of an enterprise, an entity or property any part of which is not located in an Approved</w:t>
      </w:r>
    </w:p>
    <w:p>
      <w:pPr>
        <w:spacing w:after="0" w:line="65" w:lineRule="exact"/>
        <w:rPr>
          <w:rFonts w:ascii="Arial" w:cs="Arial" w:eastAsia="Arial" w:hAnsi="Arial"/>
          <w:sz w:val="19"/>
          <w:szCs w:val="19"/>
          <w:color w:val="auto"/>
        </w:rPr>
      </w:pPr>
    </w:p>
    <w:p>
      <w:pPr>
        <w:ind w:left="660"/>
        <w:spacing w:after="0" w:line="329" w:lineRule="auto"/>
        <w:rPr>
          <w:rFonts w:ascii="Arial" w:cs="Arial" w:eastAsia="Arial" w:hAnsi="Arial"/>
          <w:sz w:val="19"/>
          <w:szCs w:val="19"/>
          <w:color w:val="auto"/>
        </w:rPr>
      </w:pPr>
      <w:r>
        <w:rPr>
          <w:rFonts w:ascii="Arial" w:cs="Arial" w:eastAsia="Arial" w:hAnsi="Arial"/>
          <w:sz w:val="18"/>
          <w:szCs w:val="18"/>
          <w:color w:val="auto"/>
        </w:rPr>
        <w:t xml:space="preserve">Jurisdiction, (i) that portion of the enterprise, entity or property that is the subject of such Acquisition (or series of related Acquisitions) that is not located in an Approved Jurisdiction will not exceed $15 million, (ii) the aggregate amount of all such enterprises, entities or properties not located in an Approved Jurisdiction Acquired in any calendar year will not exceed $30 million, and (iii) EWI can demonstrate compliance with the financial covenants in </w:t>
      </w:r>
      <w:r>
        <w:rPr>
          <w:rFonts w:ascii="Arial" w:cs="Arial" w:eastAsia="Arial" w:hAnsi="Arial"/>
          <w:sz w:val="18"/>
          <w:szCs w:val="18"/>
          <w:u w:val="single" w:color="auto"/>
          <w:color w:val="auto"/>
        </w:rPr>
        <w:t>Section 8.12</w:t>
      </w:r>
      <w:r>
        <w:rPr>
          <w:rFonts w:ascii="Arial" w:cs="Arial" w:eastAsia="Arial" w:hAnsi="Arial"/>
          <w:sz w:val="18"/>
          <w:szCs w:val="18"/>
          <w:color w:val="auto"/>
        </w:rPr>
        <w:t xml:space="preserve"> after giving effect thereto on a Pro Forma Basis;</w:t>
      </w:r>
    </w:p>
    <w:p>
      <w:pPr>
        <w:spacing w:after="0" w:line="161" w:lineRule="exact"/>
        <w:rPr>
          <w:rFonts w:ascii="Arial" w:cs="Arial" w:eastAsia="Arial" w:hAnsi="Arial"/>
          <w:sz w:val="19"/>
          <w:szCs w:val="19"/>
          <w:color w:val="auto"/>
        </w:rPr>
      </w:pPr>
    </w:p>
    <w:p>
      <w:pPr>
        <w:ind w:left="1720" w:hanging="415"/>
        <w:spacing w:after="0"/>
        <w:tabs>
          <w:tab w:leader="none" w:pos="1720" w:val="left"/>
        </w:tabs>
        <w:numPr>
          <w:ilvl w:val="0"/>
          <w:numId w:val="49"/>
        </w:numPr>
        <w:rPr>
          <w:rFonts w:ascii="Arial" w:cs="Arial" w:eastAsia="Arial" w:hAnsi="Arial"/>
          <w:sz w:val="19"/>
          <w:szCs w:val="19"/>
          <w:color w:val="auto"/>
        </w:rPr>
      </w:pPr>
      <w:r>
        <w:rPr>
          <w:rFonts w:ascii="Arial" w:cs="Arial" w:eastAsia="Arial" w:hAnsi="Arial"/>
          <w:sz w:val="19"/>
          <w:szCs w:val="19"/>
          <w:color w:val="auto"/>
        </w:rPr>
        <w:t>in the case of an Acquisition of Capital Stock, such Acquisition is not opposed by the board of directors (or other</w:t>
      </w:r>
    </w:p>
    <w:p>
      <w:pPr>
        <w:spacing w:after="0" w:line="65" w:lineRule="exact"/>
        <w:rPr>
          <w:rFonts w:ascii="Arial" w:cs="Arial" w:eastAsia="Arial" w:hAnsi="Arial"/>
          <w:sz w:val="19"/>
          <w:szCs w:val="19"/>
          <w:color w:val="auto"/>
        </w:rPr>
      </w:pPr>
    </w:p>
    <w:p>
      <w:pPr>
        <w:ind w:left="660" w:right="160"/>
        <w:spacing w:after="0" w:line="288" w:lineRule="auto"/>
        <w:rPr>
          <w:rFonts w:ascii="Arial" w:cs="Arial" w:eastAsia="Arial" w:hAnsi="Arial"/>
          <w:sz w:val="19"/>
          <w:szCs w:val="19"/>
          <w:color w:val="auto"/>
        </w:rPr>
      </w:pPr>
      <w:r>
        <w:rPr>
          <w:rFonts w:ascii="Arial" w:cs="Arial" w:eastAsia="Arial" w:hAnsi="Arial"/>
          <w:sz w:val="20"/>
          <w:szCs w:val="20"/>
          <w:color w:val="auto"/>
        </w:rPr>
        <w:t xml:space="preserve">comparable governing body) of the selling Person or the Person whose Capital Stock is being acquired; provided that members of the Consolidated Group may Acquire additional Capital Stock in those Persons identified in </w:t>
      </w:r>
      <w:r>
        <w:rPr>
          <w:rFonts w:ascii="Arial" w:cs="Arial" w:eastAsia="Arial" w:hAnsi="Arial"/>
          <w:sz w:val="20"/>
          <w:szCs w:val="20"/>
          <w:u w:val="single" w:color="auto"/>
          <w:color w:val="auto"/>
        </w:rPr>
        <w:t>Schedule 8.02</w:t>
      </w:r>
      <w:r>
        <w:rPr>
          <w:rFonts w:ascii="Arial" w:cs="Arial" w:eastAsia="Arial" w:hAnsi="Arial"/>
          <w:sz w:val="20"/>
          <w:szCs w:val="20"/>
          <w:color w:val="auto"/>
        </w:rPr>
        <w:t xml:space="preserve"> regardless of whether such Acquisition is opposed by the board of directors (or other comparable governing body) of the selling Person or the Person whose Capital Stock is being acquired; and</w:t>
      </w:r>
    </w:p>
    <w:p>
      <w:pPr>
        <w:spacing w:after="0" w:line="192" w:lineRule="exact"/>
        <w:rPr>
          <w:rFonts w:ascii="Arial" w:cs="Arial" w:eastAsia="Arial" w:hAnsi="Arial"/>
          <w:sz w:val="19"/>
          <w:szCs w:val="19"/>
          <w:color w:val="auto"/>
        </w:rPr>
      </w:pPr>
    </w:p>
    <w:p>
      <w:pPr>
        <w:ind w:left="1700" w:hanging="395"/>
        <w:spacing w:after="0"/>
        <w:tabs>
          <w:tab w:leader="none" w:pos="17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no Default or Event of Default shall exist immediately before or immediately after giving effect thereto on a Pro Forma</w:t>
      </w:r>
    </w:p>
    <w:p>
      <w:pPr>
        <w:spacing w:after="0" w:line="76" w:lineRule="exact"/>
        <w:rPr>
          <w:rFonts w:ascii="Arial" w:cs="Arial" w:eastAsia="Arial" w:hAnsi="Arial"/>
          <w:sz w:val="18"/>
          <w:szCs w:val="18"/>
          <w:color w:val="auto"/>
        </w:rPr>
      </w:pPr>
    </w:p>
    <w:p>
      <w:pPr>
        <w:ind w:left="660" w:right="480"/>
        <w:spacing w:after="0" w:line="314" w:lineRule="auto"/>
        <w:rPr>
          <w:rFonts w:ascii="Arial" w:cs="Arial" w:eastAsia="Arial" w:hAnsi="Arial"/>
          <w:sz w:val="18"/>
          <w:szCs w:val="18"/>
          <w:color w:val="auto"/>
        </w:rPr>
      </w:pPr>
      <w:r>
        <w:rPr>
          <w:rFonts w:ascii="Arial" w:cs="Arial" w:eastAsia="Arial" w:hAnsi="Arial"/>
          <w:sz w:val="19"/>
          <w:szCs w:val="19"/>
          <w:color w:val="auto"/>
        </w:rPr>
        <w:t>Basis, and where the Acquisition Consideration is greater than $</w:t>
      </w:r>
      <w:r>
        <w:rPr>
          <w:rFonts w:ascii="Arial" w:cs="Arial" w:eastAsia="Arial" w:hAnsi="Arial"/>
          <w:sz w:val="19"/>
          <w:szCs w:val="19"/>
          <w:color w:val="FF0000"/>
          <w:strike w:val="1"/>
        </w:rPr>
        <w:t>10</w:t>
      </w:r>
      <w:r>
        <w:rPr>
          <w:rFonts w:ascii="Arial" w:cs="Arial" w:eastAsia="Arial" w:hAnsi="Arial"/>
          <w:sz w:val="19"/>
          <w:szCs w:val="19"/>
          <w:u w:val="single" w:color="auto"/>
          <w:color w:val="0000FF"/>
        </w:rPr>
        <w:t>50</w:t>
      </w:r>
      <w:r>
        <w:rPr>
          <w:rFonts w:ascii="Arial" w:cs="Arial" w:eastAsia="Arial" w:hAnsi="Arial"/>
          <w:sz w:val="19"/>
          <w:szCs w:val="19"/>
          <w:color w:val="auto"/>
        </w:rPr>
        <w:t xml:space="preserve"> million, not less than five days before consummation of the Acquisition, a Responsible Officer of EWI shall provide a written description of the Acquisition, the Acquisition Consideration therefor and a compliance certificate, in form and detail satisfactory to the Administrative Agent.</w:t>
      </w:r>
    </w:p>
    <w:p>
      <w:pPr>
        <w:spacing w:after="0" w:line="169"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Permitted Dispositions</w:t>
      </w:r>
      <w:r>
        <w:rPr>
          <w:rFonts w:ascii="Arial" w:cs="Arial" w:eastAsia="Arial" w:hAnsi="Arial"/>
          <w:sz w:val="20"/>
          <w:szCs w:val="20"/>
          <w:color w:val="auto"/>
        </w:rPr>
        <w:t>” means:</w:t>
      </w:r>
    </w:p>
    <w:p>
      <w:pPr>
        <w:spacing w:after="0" w:line="256" w:lineRule="exact"/>
        <w:rPr>
          <w:sz w:val="20"/>
          <w:szCs w:val="20"/>
          <w:color w:val="auto"/>
        </w:rPr>
      </w:pPr>
    </w:p>
    <w:p>
      <w:pPr>
        <w:ind w:left="1700" w:hanging="395"/>
        <w:spacing w:after="0"/>
        <w:tabs>
          <w:tab w:leader="none" w:pos="1700" w:val="left"/>
        </w:tabs>
        <w:numPr>
          <w:ilvl w:val="0"/>
          <w:numId w:val="50"/>
        </w:numPr>
        <w:rPr>
          <w:rFonts w:ascii="Arial" w:cs="Arial" w:eastAsia="Arial" w:hAnsi="Arial"/>
          <w:sz w:val="20"/>
          <w:szCs w:val="20"/>
          <w:color w:val="auto"/>
        </w:rPr>
      </w:pPr>
      <w:r>
        <w:rPr>
          <w:rFonts w:ascii="Arial" w:cs="Arial" w:eastAsia="Arial" w:hAnsi="Arial"/>
          <w:sz w:val="20"/>
          <w:szCs w:val="20"/>
          <w:color w:val="auto"/>
        </w:rPr>
        <w:t>Dispositions of cash and Cash Equivalents;</w:t>
      </w:r>
    </w:p>
    <w:p>
      <w:pPr>
        <w:spacing w:after="0" w:line="269" w:lineRule="exact"/>
        <w:rPr>
          <w:rFonts w:ascii="Arial" w:cs="Arial" w:eastAsia="Arial" w:hAnsi="Arial"/>
          <w:sz w:val="20"/>
          <w:szCs w:val="20"/>
          <w:color w:val="auto"/>
        </w:rPr>
      </w:pPr>
    </w:p>
    <w:p>
      <w:pPr>
        <w:ind w:left="660" w:firstLine="645"/>
        <w:spacing w:after="0" w:line="317" w:lineRule="auto"/>
        <w:tabs>
          <w:tab w:leader="none" w:pos="1719" w:val="left"/>
        </w:tabs>
        <w:numPr>
          <w:ilvl w:val="0"/>
          <w:numId w:val="50"/>
        </w:numPr>
        <w:rPr>
          <w:rFonts w:ascii="Arial" w:cs="Arial" w:eastAsia="Arial" w:hAnsi="Arial"/>
          <w:sz w:val="20"/>
          <w:szCs w:val="20"/>
          <w:color w:val="auto"/>
        </w:rPr>
      </w:pPr>
      <w:r>
        <w:rPr>
          <w:rFonts w:ascii="Arial" w:cs="Arial" w:eastAsia="Arial" w:hAnsi="Arial"/>
          <w:sz w:val="20"/>
          <w:szCs w:val="20"/>
          <w:color w:val="auto"/>
        </w:rPr>
        <w:t xml:space="preserve">Dispositions by and between members of the Consolidated Group,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such Dispositions are made for fair value or, if not for fair value, the difference would constitute an Investment permitted under </w:t>
      </w:r>
      <w:r>
        <w:rPr>
          <w:rFonts w:ascii="Arial" w:cs="Arial" w:eastAsia="Arial" w:hAnsi="Arial"/>
          <w:sz w:val="20"/>
          <w:szCs w:val="20"/>
          <w:u w:val="single" w:color="auto"/>
          <w:color w:val="auto"/>
        </w:rPr>
        <w:t>Section 8.02</w:t>
      </w:r>
      <w:r>
        <w:rPr>
          <w:rFonts w:ascii="Arial" w:cs="Arial" w:eastAsia="Arial" w:hAnsi="Arial"/>
          <w:sz w:val="20"/>
          <w:szCs w:val="20"/>
          <w:color w:val="auto"/>
        </w:rPr>
        <w:t>;</w:t>
      </w:r>
    </w:p>
    <w:p>
      <w:pPr>
        <w:spacing w:after="0" w:line="162" w:lineRule="exact"/>
        <w:rPr>
          <w:rFonts w:ascii="Arial" w:cs="Arial" w:eastAsia="Arial" w:hAnsi="Arial"/>
          <w:sz w:val="20"/>
          <w:szCs w:val="20"/>
          <w:color w:val="auto"/>
        </w:rPr>
      </w:pPr>
    </w:p>
    <w:p>
      <w:pPr>
        <w:ind w:left="1700" w:hanging="395"/>
        <w:spacing w:after="0"/>
        <w:tabs>
          <w:tab w:leader="none" w:pos="17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Dispositions consisting of the sale and leaseback of ADTs, ATMs or POS terminals in the ordinary course of business</w:t>
      </w:r>
    </w:p>
    <w:p>
      <w:pPr>
        <w:spacing w:after="0" w:line="76" w:lineRule="exact"/>
        <w:rPr>
          <w:rFonts w:ascii="Arial" w:cs="Arial" w:eastAsia="Arial" w:hAnsi="Arial"/>
          <w:sz w:val="18"/>
          <w:szCs w:val="18"/>
          <w:color w:val="auto"/>
        </w:rPr>
      </w:pPr>
    </w:p>
    <w:p>
      <w:pPr>
        <w:ind w:left="660" w:right="200"/>
        <w:spacing w:after="0" w:line="303" w:lineRule="auto"/>
        <w:rPr>
          <w:rFonts w:ascii="Arial" w:cs="Arial" w:eastAsia="Arial" w:hAnsi="Arial"/>
          <w:sz w:val="18"/>
          <w:szCs w:val="18"/>
          <w:color w:val="auto"/>
        </w:rPr>
      </w:pPr>
      <w:r>
        <w:rPr>
          <w:rFonts w:ascii="Arial" w:cs="Arial" w:eastAsia="Arial" w:hAnsi="Arial"/>
          <w:sz w:val="20"/>
          <w:szCs w:val="20"/>
          <w:color w:val="auto"/>
        </w:rPr>
        <w:t>when such sale and leaseback is entered into in connection with an agreement between any member of the Consolidated Group and a customer</w:t>
      </w:r>
    </w:p>
    <w:p>
      <w:pPr>
        <w:spacing w:after="0" w:line="392" w:lineRule="exact"/>
        <w:rPr>
          <w:sz w:val="20"/>
          <w:szCs w:val="20"/>
          <w:color w:val="auto"/>
        </w:rPr>
      </w:pPr>
    </w:p>
    <w:p>
      <w:pPr>
        <w:jc w:val="center"/>
        <w:ind w:right="-39"/>
        <w:spacing w:after="0"/>
        <w:rPr>
          <w:sz w:val="20"/>
          <w:szCs w:val="20"/>
          <w:color w:val="auto"/>
        </w:rPr>
      </w:pPr>
      <w:r>
        <w:rPr>
          <w:rFonts w:ascii="Arial" w:cs="Arial" w:eastAsia="Arial" w:hAnsi="Arial"/>
          <w:sz w:val="20"/>
          <w:szCs w:val="20"/>
          <w:color w:val="auto"/>
        </w:rPr>
        <w:t>49</w:t>
      </w:r>
    </w:p>
    <w:p>
      <w:pPr>
        <w:spacing w:after="0" w:line="10" w:lineRule="exact"/>
        <w:rPr>
          <w:sz w:val="20"/>
          <w:szCs w:val="20"/>
          <w:color w:val="auto"/>
        </w:rPr>
      </w:pPr>
    </w:p>
    <w:p>
      <w:pPr>
        <w:spacing w:after="0"/>
        <w:rPr>
          <w:sz w:val="20"/>
          <w:szCs w:val="20"/>
          <w:color w:val="auto"/>
        </w:rPr>
      </w:pPr>
      <w:r>
        <w:rPr>
          <w:rFonts w:ascii="Arial" w:cs="Arial" w:eastAsia="Arial" w:hAnsi="Arial"/>
          <w:sz w:val="14"/>
          <w:szCs w:val="14"/>
          <w:color w:val="auto"/>
        </w:rPr>
        <w:t>CHAR1\1346423v</w:t>
      </w:r>
      <w:r>
        <w:rPr>
          <w:rFonts w:ascii="Arial" w:cs="Arial" w:eastAsia="Arial" w:hAnsi="Arial"/>
          <w:sz w:val="14"/>
          <w:szCs w:val="14"/>
          <w:color w:val="FF0000"/>
          <w:strike w:val="1"/>
        </w:rPr>
        <w:t>1</w:t>
      </w:r>
      <w:r>
        <w:rPr>
          <w:rFonts w:ascii="Arial" w:cs="Arial" w:eastAsia="Arial" w:hAnsi="Arial"/>
          <w:sz w:val="14"/>
          <w:szCs w:val="14"/>
          <w:u w:val="single" w:color="auto"/>
          <w:color w:val="0000FF"/>
        </w:rPr>
        <w:t>12</w:t>
      </w:r>
    </w:p>
    <w:p>
      <w:pPr>
        <w:sectPr>
          <w:pgSz w:w="11900" w:h="16838" w:orient="portrait"/>
          <w:cols w:equalWidth="0" w:num="1">
            <w:col w:w="11380"/>
          </w:cols>
          <w:pgMar w:left="240" w:top="609" w:right="279" w:bottom="1440" w:gutter="0" w:footer="0" w:header="0"/>
        </w:sectPr>
      </w:pPr>
    </w:p>
    <w:bookmarkStart w:id="101" w:name="page102"/>
    <w:bookmarkEnd w:id="101"/>
    <w:p>
      <w:pPr>
        <w:ind w:left="660" w:right="140"/>
        <w:spacing w:after="0" w:line="303" w:lineRule="auto"/>
        <w:rPr>
          <w:sz w:val="20"/>
          <w:szCs w:val="20"/>
          <w:color w:val="auto"/>
        </w:rPr>
      </w:pPr>
      <w:r>
        <w:rPr>
          <w:rFonts w:ascii="Arial" w:cs="Arial" w:eastAsia="Arial" w:hAnsi="Arial"/>
          <w:sz w:val="20"/>
          <w:szCs w:val="20"/>
          <w:color w:val="auto"/>
        </w:rPr>
        <w:t>for the provision of services, such as the outsourced operation of the ADTs, ATMs or POS terminals or the licensing and maintenance of software for the operation of such ADTs, ATMs or POS terminals;</w:t>
      </w:r>
    </w:p>
    <w:p>
      <w:pPr>
        <w:spacing w:after="0" w:line="176" w:lineRule="exact"/>
        <w:rPr>
          <w:sz w:val="20"/>
          <w:szCs w:val="20"/>
          <w:color w:val="auto"/>
        </w:rPr>
      </w:pPr>
    </w:p>
    <w:p>
      <w:pPr>
        <w:ind w:left="1720" w:hanging="415"/>
        <w:spacing w:after="0"/>
        <w:tabs>
          <w:tab w:leader="none" w:pos="1720" w:val="left"/>
        </w:tabs>
        <w:numPr>
          <w:ilvl w:val="0"/>
          <w:numId w:val="51"/>
        </w:numPr>
        <w:rPr>
          <w:rFonts w:ascii="Arial" w:cs="Arial" w:eastAsia="Arial" w:hAnsi="Arial"/>
          <w:sz w:val="19"/>
          <w:szCs w:val="19"/>
          <w:color w:val="auto"/>
        </w:rPr>
      </w:pPr>
      <w:r>
        <w:rPr>
          <w:rFonts w:ascii="Arial" w:cs="Arial" w:eastAsia="Arial" w:hAnsi="Arial"/>
          <w:sz w:val="19"/>
          <w:szCs w:val="19"/>
          <w:color w:val="auto"/>
        </w:rPr>
        <w:t>Dispositions consisting of the contribution of all or any portion of the assets of, or the equity interests in, certain</w:t>
      </w:r>
    </w:p>
    <w:p>
      <w:pPr>
        <w:spacing w:after="0" w:line="65" w:lineRule="exact"/>
        <w:rPr>
          <w:rFonts w:ascii="Arial" w:cs="Arial" w:eastAsia="Arial" w:hAnsi="Arial"/>
          <w:sz w:val="19"/>
          <w:szCs w:val="19"/>
          <w:color w:val="auto"/>
        </w:rPr>
      </w:pPr>
    </w:p>
    <w:p>
      <w:pPr>
        <w:ind w:left="660" w:right="320"/>
        <w:spacing w:after="0" w:line="303" w:lineRule="auto"/>
        <w:rPr>
          <w:rFonts w:ascii="Arial" w:cs="Arial" w:eastAsia="Arial" w:hAnsi="Arial"/>
          <w:sz w:val="19"/>
          <w:szCs w:val="19"/>
          <w:color w:val="auto"/>
        </w:rPr>
      </w:pPr>
      <w:r>
        <w:rPr>
          <w:rFonts w:ascii="Arial" w:cs="Arial" w:eastAsia="Arial" w:hAnsi="Arial"/>
          <w:sz w:val="20"/>
          <w:szCs w:val="20"/>
          <w:color w:val="auto"/>
        </w:rPr>
        <w:t>subsidiaries organized and operating in Spain (including Euronet Movilcarga S.L. and Euronet Telerecarga, S.L.) into a non-wholly owned joint venture otherwise permitted hereunder;</w:t>
      </w:r>
    </w:p>
    <w:p>
      <w:pPr>
        <w:spacing w:after="0" w:line="175" w:lineRule="exact"/>
        <w:rPr>
          <w:rFonts w:ascii="Arial" w:cs="Arial" w:eastAsia="Arial" w:hAnsi="Arial"/>
          <w:sz w:val="19"/>
          <w:szCs w:val="19"/>
          <w:color w:val="auto"/>
        </w:rPr>
      </w:pPr>
    </w:p>
    <w:p>
      <w:pPr>
        <w:ind w:left="660" w:right="420" w:firstLine="645"/>
        <w:spacing w:after="0" w:line="317" w:lineRule="auto"/>
        <w:tabs>
          <w:tab w:leader="none" w:pos="1708" w:val="left"/>
        </w:tabs>
        <w:numPr>
          <w:ilvl w:val="0"/>
          <w:numId w:val="51"/>
        </w:numPr>
        <w:rPr>
          <w:rFonts w:ascii="Arial" w:cs="Arial" w:eastAsia="Arial" w:hAnsi="Arial"/>
          <w:sz w:val="20"/>
          <w:szCs w:val="20"/>
          <w:color w:val="auto"/>
        </w:rPr>
      </w:pPr>
      <w:r>
        <w:rPr>
          <w:rFonts w:ascii="Arial" w:cs="Arial" w:eastAsia="Arial" w:hAnsi="Arial"/>
          <w:sz w:val="20"/>
          <w:szCs w:val="20"/>
          <w:color w:val="auto"/>
        </w:rPr>
        <w:t>Dispositions consisting of the sale or transfer of Securitization Receivables (or interests therein) in connection with a Securitization Transaction permitted hereunder;</w:t>
      </w:r>
    </w:p>
    <w:p>
      <w:pPr>
        <w:spacing w:after="0" w:line="162" w:lineRule="exact"/>
        <w:rPr>
          <w:rFonts w:ascii="Arial" w:cs="Arial" w:eastAsia="Arial" w:hAnsi="Arial"/>
          <w:sz w:val="20"/>
          <w:szCs w:val="20"/>
          <w:color w:val="auto"/>
        </w:rPr>
      </w:pPr>
    </w:p>
    <w:p>
      <w:pPr>
        <w:ind w:left="1680" w:hanging="375"/>
        <w:spacing w:after="0"/>
        <w:tabs>
          <w:tab w:leader="none" w:pos="1680" w:val="left"/>
        </w:tabs>
        <w:numPr>
          <w:ilvl w:val="0"/>
          <w:numId w:val="51"/>
        </w:numPr>
        <w:rPr>
          <w:rFonts w:ascii="Arial" w:cs="Arial" w:eastAsia="Arial" w:hAnsi="Arial"/>
          <w:sz w:val="19"/>
          <w:szCs w:val="19"/>
          <w:color w:val="auto"/>
        </w:rPr>
      </w:pPr>
      <w:r>
        <w:rPr>
          <w:rFonts w:ascii="Arial" w:cs="Arial" w:eastAsia="Arial" w:hAnsi="Arial"/>
          <w:sz w:val="19"/>
          <w:szCs w:val="19"/>
          <w:color w:val="auto"/>
        </w:rPr>
        <w:t>Dispositions of obsolete or worn out property, whether now owned or hereafter acquired, in the ordinary course of</w:t>
      </w:r>
    </w:p>
    <w:p>
      <w:pPr>
        <w:spacing w:after="0" w:line="65" w:lineRule="exact"/>
        <w:rPr>
          <w:rFonts w:ascii="Arial" w:cs="Arial" w:eastAsia="Arial" w:hAnsi="Arial"/>
          <w:sz w:val="19"/>
          <w:szCs w:val="19"/>
          <w:color w:val="auto"/>
        </w:rPr>
      </w:pPr>
    </w:p>
    <w:p>
      <w:pPr>
        <w:ind w:left="660"/>
        <w:spacing w:after="0"/>
        <w:rPr>
          <w:rFonts w:ascii="Arial" w:cs="Arial" w:eastAsia="Arial" w:hAnsi="Arial"/>
          <w:sz w:val="19"/>
          <w:szCs w:val="19"/>
          <w:color w:val="auto"/>
        </w:rPr>
      </w:pPr>
      <w:r>
        <w:rPr>
          <w:rFonts w:ascii="Arial" w:cs="Arial" w:eastAsia="Arial" w:hAnsi="Arial"/>
          <w:sz w:val="20"/>
          <w:szCs w:val="20"/>
          <w:color w:val="auto"/>
        </w:rPr>
        <w:t>business;</w:t>
      </w:r>
    </w:p>
    <w:p>
      <w:pPr>
        <w:spacing w:after="0" w:line="256" w:lineRule="exact"/>
        <w:rPr>
          <w:rFonts w:ascii="Arial" w:cs="Arial" w:eastAsia="Arial" w:hAnsi="Arial"/>
          <w:sz w:val="19"/>
          <w:szCs w:val="19"/>
          <w:color w:val="auto"/>
        </w:rPr>
      </w:pPr>
    </w:p>
    <w:p>
      <w:pPr>
        <w:ind w:left="660" w:right="220" w:firstLine="645"/>
        <w:spacing w:after="0" w:line="317" w:lineRule="auto"/>
        <w:tabs>
          <w:tab w:leader="none" w:pos="1719" w:val="left"/>
        </w:tabs>
        <w:numPr>
          <w:ilvl w:val="0"/>
          <w:numId w:val="51"/>
        </w:numPr>
        <w:rPr>
          <w:rFonts w:ascii="Arial" w:cs="Arial" w:eastAsia="Arial" w:hAnsi="Arial"/>
          <w:sz w:val="20"/>
          <w:szCs w:val="20"/>
          <w:color w:val="auto"/>
        </w:rPr>
      </w:pPr>
      <w:r>
        <w:rPr>
          <w:rFonts w:ascii="Arial" w:cs="Arial" w:eastAsia="Arial" w:hAnsi="Arial"/>
          <w:sz w:val="20"/>
          <w:szCs w:val="20"/>
          <w:color w:val="auto"/>
        </w:rPr>
        <w:t>Dispositions of inventory in the ordinary course of business and the licensing or sublicensing of software and IP Rights consistent with past practices;</w:t>
      </w:r>
    </w:p>
    <w:p>
      <w:pPr>
        <w:spacing w:after="0" w:line="162" w:lineRule="exact"/>
        <w:rPr>
          <w:rFonts w:ascii="Arial" w:cs="Arial" w:eastAsia="Arial" w:hAnsi="Arial"/>
          <w:sz w:val="20"/>
          <w:szCs w:val="20"/>
          <w:color w:val="auto"/>
        </w:rPr>
      </w:pPr>
    </w:p>
    <w:p>
      <w:pPr>
        <w:ind w:left="660" w:right="700" w:firstLine="645"/>
        <w:spacing w:after="0" w:line="317" w:lineRule="auto"/>
        <w:tabs>
          <w:tab w:leader="none" w:pos="1719" w:val="left"/>
        </w:tabs>
        <w:numPr>
          <w:ilvl w:val="0"/>
          <w:numId w:val="51"/>
        </w:numPr>
        <w:rPr>
          <w:rFonts w:ascii="Arial" w:cs="Arial" w:eastAsia="Arial" w:hAnsi="Arial"/>
          <w:sz w:val="20"/>
          <w:szCs w:val="20"/>
          <w:color w:val="auto"/>
        </w:rPr>
      </w:pPr>
      <w:r>
        <w:rPr>
          <w:rFonts w:ascii="Arial" w:cs="Arial" w:eastAsia="Arial" w:hAnsi="Arial"/>
          <w:sz w:val="20"/>
          <w:szCs w:val="20"/>
          <w:color w:val="auto"/>
        </w:rPr>
        <w:t>Dispositions resulting from the lease of terminal equipment, ADTs or ATMs in the ordinary course of business of members of the Consolidated Group;</w:t>
      </w:r>
    </w:p>
    <w:p>
      <w:pPr>
        <w:spacing w:after="0" w:line="162" w:lineRule="exact"/>
        <w:rPr>
          <w:rFonts w:ascii="Arial" w:cs="Arial" w:eastAsia="Arial" w:hAnsi="Arial"/>
          <w:sz w:val="20"/>
          <w:szCs w:val="20"/>
          <w:color w:val="auto"/>
        </w:rPr>
      </w:pPr>
    </w:p>
    <w:p>
      <w:pPr>
        <w:ind w:left="1680" w:hanging="375"/>
        <w:spacing w:after="0"/>
        <w:tabs>
          <w:tab w:leader="none" w:pos="1680" w:val="left"/>
        </w:tabs>
        <w:numPr>
          <w:ilvl w:val="0"/>
          <w:numId w:val="51"/>
        </w:numPr>
        <w:rPr>
          <w:rFonts w:ascii="Arial" w:cs="Arial" w:eastAsia="Arial" w:hAnsi="Arial"/>
          <w:sz w:val="16"/>
          <w:szCs w:val="16"/>
          <w:color w:val="auto"/>
        </w:rPr>
      </w:pPr>
      <w:r>
        <w:rPr>
          <w:rFonts w:ascii="Arial" w:cs="Arial" w:eastAsia="Arial" w:hAnsi="Arial"/>
          <w:sz w:val="16"/>
          <w:szCs w:val="16"/>
          <w:color w:val="auto"/>
        </w:rPr>
        <w:t>Dispositions of equipment or real property to the extent that (A) such property is exchanged for credit against the purchase</w:t>
      </w:r>
    </w:p>
    <w:p>
      <w:pPr>
        <w:spacing w:after="0" w:line="99" w:lineRule="exact"/>
        <w:rPr>
          <w:rFonts w:ascii="Arial" w:cs="Arial" w:eastAsia="Arial" w:hAnsi="Arial"/>
          <w:sz w:val="16"/>
          <w:szCs w:val="16"/>
          <w:color w:val="auto"/>
        </w:rPr>
      </w:pPr>
    </w:p>
    <w:p>
      <w:pPr>
        <w:ind w:left="660" w:right="100"/>
        <w:spacing w:after="0" w:line="303" w:lineRule="auto"/>
        <w:rPr>
          <w:rFonts w:ascii="Arial" w:cs="Arial" w:eastAsia="Arial" w:hAnsi="Arial"/>
          <w:sz w:val="16"/>
          <w:szCs w:val="16"/>
          <w:color w:val="auto"/>
        </w:rPr>
      </w:pPr>
      <w:r>
        <w:rPr>
          <w:rFonts w:ascii="Arial" w:cs="Arial" w:eastAsia="Arial" w:hAnsi="Arial"/>
          <w:sz w:val="20"/>
          <w:szCs w:val="20"/>
          <w:color w:val="auto"/>
        </w:rPr>
        <w:t>price of similar replacement property or (B) the proceeds of such Disposition are reasonably promptly applied to the purchase price of such replacement property;</w:t>
      </w:r>
    </w:p>
    <w:p>
      <w:pPr>
        <w:spacing w:after="0" w:line="175" w:lineRule="exact"/>
        <w:rPr>
          <w:rFonts w:ascii="Arial" w:cs="Arial" w:eastAsia="Arial" w:hAnsi="Arial"/>
          <w:sz w:val="16"/>
          <w:szCs w:val="16"/>
          <w:color w:val="auto"/>
        </w:rPr>
      </w:pPr>
    </w:p>
    <w:p>
      <w:pPr>
        <w:ind w:left="1680" w:hanging="375"/>
        <w:spacing w:after="0"/>
        <w:tabs>
          <w:tab w:leader="none" w:pos="1680" w:val="left"/>
        </w:tabs>
        <w:numPr>
          <w:ilvl w:val="0"/>
          <w:numId w:val="51"/>
        </w:numPr>
        <w:rPr>
          <w:rFonts w:ascii="Arial" w:cs="Arial" w:eastAsia="Arial" w:hAnsi="Arial"/>
          <w:sz w:val="20"/>
          <w:szCs w:val="20"/>
          <w:color w:val="auto"/>
        </w:rPr>
      </w:pPr>
      <w:r>
        <w:rPr>
          <w:rFonts w:ascii="Arial" w:cs="Arial" w:eastAsia="Arial" w:hAnsi="Arial"/>
          <w:sz w:val="20"/>
          <w:szCs w:val="20"/>
          <w:color w:val="auto"/>
        </w:rPr>
        <w:t>Dispositions of Property in connection with casualty, condemnation or similar events;</w:t>
      </w:r>
    </w:p>
    <w:p>
      <w:pPr>
        <w:spacing w:after="0" w:line="269" w:lineRule="exact"/>
        <w:rPr>
          <w:rFonts w:ascii="Arial" w:cs="Arial" w:eastAsia="Arial" w:hAnsi="Arial"/>
          <w:sz w:val="20"/>
          <w:szCs w:val="20"/>
          <w:color w:val="auto"/>
        </w:rPr>
      </w:pPr>
    </w:p>
    <w:p>
      <w:pPr>
        <w:ind w:left="660" w:right="220" w:firstLine="645"/>
        <w:spacing w:after="0" w:line="317" w:lineRule="auto"/>
        <w:tabs>
          <w:tab w:leader="none" w:pos="1719" w:val="left"/>
        </w:tabs>
        <w:numPr>
          <w:ilvl w:val="0"/>
          <w:numId w:val="51"/>
        </w:numPr>
        <w:rPr>
          <w:rFonts w:ascii="Arial" w:cs="Arial" w:eastAsia="Arial" w:hAnsi="Arial"/>
          <w:sz w:val="20"/>
          <w:szCs w:val="20"/>
          <w:color w:val="auto"/>
        </w:rPr>
      </w:pPr>
      <w:r>
        <w:rPr>
          <w:rFonts w:ascii="Arial" w:cs="Arial" w:eastAsia="Arial" w:hAnsi="Arial"/>
          <w:sz w:val="20"/>
          <w:szCs w:val="20"/>
          <w:color w:val="auto"/>
        </w:rPr>
        <w:t>Dispositions resulting from the surrender or waiver of contract rights or the settlement, release or surrender of contract, tort or other claims;</w:t>
      </w:r>
    </w:p>
    <w:p>
      <w:pPr>
        <w:spacing w:after="0" w:line="162" w:lineRule="exact"/>
        <w:rPr>
          <w:rFonts w:ascii="Arial" w:cs="Arial" w:eastAsia="Arial" w:hAnsi="Arial"/>
          <w:sz w:val="20"/>
          <w:szCs w:val="20"/>
          <w:color w:val="auto"/>
        </w:rPr>
      </w:pPr>
    </w:p>
    <w:p>
      <w:pPr>
        <w:ind w:left="1680" w:hanging="375"/>
        <w:spacing w:after="0"/>
        <w:tabs>
          <w:tab w:leader="none" w:pos="1680" w:val="left"/>
        </w:tabs>
        <w:numPr>
          <w:ilvl w:val="0"/>
          <w:numId w:val="51"/>
        </w:numPr>
        <w:rPr>
          <w:rFonts w:ascii="Arial" w:cs="Arial" w:eastAsia="Arial" w:hAnsi="Arial"/>
          <w:sz w:val="19"/>
          <w:szCs w:val="19"/>
          <w:color w:val="auto"/>
        </w:rPr>
      </w:pPr>
      <w:r>
        <w:rPr>
          <w:rFonts w:ascii="Arial" w:cs="Arial" w:eastAsia="Arial" w:hAnsi="Arial"/>
          <w:sz w:val="19"/>
          <w:szCs w:val="19"/>
          <w:color w:val="auto"/>
        </w:rPr>
        <w:t>Dispositions resulting from the leasing, subleasing or assignment of Property in the ordinary course of business;</w:t>
      </w:r>
    </w:p>
    <w:p>
      <w:pPr>
        <w:spacing w:after="0" w:line="281" w:lineRule="exact"/>
        <w:rPr>
          <w:rFonts w:ascii="Arial" w:cs="Arial" w:eastAsia="Arial" w:hAnsi="Arial"/>
          <w:sz w:val="19"/>
          <w:szCs w:val="19"/>
          <w:color w:val="auto"/>
        </w:rPr>
      </w:pPr>
    </w:p>
    <w:p>
      <w:pPr>
        <w:ind w:left="1780" w:hanging="475"/>
        <w:spacing w:after="0"/>
        <w:tabs>
          <w:tab w:leader="none" w:pos="1780" w:val="left"/>
        </w:tabs>
        <w:numPr>
          <w:ilvl w:val="0"/>
          <w:numId w:val="51"/>
        </w:numPr>
        <w:rPr>
          <w:rFonts w:ascii="Arial" w:cs="Arial" w:eastAsia="Arial" w:hAnsi="Arial"/>
          <w:sz w:val="20"/>
          <w:szCs w:val="20"/>
          <w:color w:val="auto"/>
        </w:rPr>
      </w:pPr>
      <w:r>
        <w:rPr>
          <w:rFonts w:ascii="Arial" w:cs="Arial" w:eastAsia="Arial" w:hAnsi="Arial"/>
          <w:sz w:val="20"/>
          <w:szCs w:val="20"/>
          <w:color w:val="auto"/>
        </w:rPr>
        <w:t>Dispositions of accounts receivable in connection with the collection or compromise thereof;</w:t>
      </w:r>
    </w:p>
    <w:p>
      <w:pPr>
        <w:spacing w:after="0" w:line="269" w:lineRule="exact"/>
        <w:rPr>
          <w:rFonts w:ascii="Arial" w:cs="Arial" w:eastAsia="Arial" w:hAnsi="Arial"/>
          <w:sz w:val="20"/>
          <w:szCs w:val="20"/>
          <w:color w:val="auto"/>
        </w:rPr>
      </w:pPr>
    </w:p>
    <w:p>
      <w:pPr>
        <w:ind w:left="660" w:right="360" w:firstLine="645"/>
        <w:spacing w:after="0" w:line="317" w:lineRule="auto"/>
        <w:tabs>
          <w:tab w:leader="none" w:pos="1719" w:val="left"/>
        </w:tabs>
        <w:numPr>
          <w:ilvl w:val="0"/>
          <w:numId w:val="51"/>
        </w:numPr>
        <w:rPr>
          <w:rFonts w:ascii="Arial" w:cs="Arial" w:eastAsia="Arial" w:hAnsi="Arial"/>
          <w:sz w:val="20"/>
          <w:szCs w:val="20"/>
          <w:color w:val="auto"/>
        </w:rPr>
      </w:pPr>
      <w:r>
        <w:rPr>
          <w:rFonts w:ascii="Arial" w:cs="Arial" w:eastAsia="Arial" w:hAnsi="Arial"/>
          <w:sz w:val="20"/>
          <w:szCs w:val="20"/>
          <w:color w:val="auto"/>
        </w:rPr>
        <w:t>Dispositions resulting from the abandonment of IP Rights which are not material to the conduct of the business of the Consolidated Group, taken as a whole; and</w:t>
      </w:r>
    </w:p>
    <w:p>
      <w:pPr>
        <w:spacing w:after="0" w:line="162" w:lineRule="exact"/>
        <w:rPr>
          <w:rFonts w:ascii="Arial" w:cs="Arial" w:eastAsia="Arial" w:hAnsi="Arial"/>
          <w:sz w:val="20"/>
          <w:szCs w:val="20"/>
          <w:color w:val="auto"/>
        </w:rPr>
      </w:pPr>
    </w:p>
    <w:p>
      <w:pPr>
        <w:ind w:left="1720" w:hanging="415"/>
        <w:spacing w:after="0"/>
        <w:tabs>
          <w:tab w:leader="none" w:pos="1720" w:val="left"/>
        </w:tabs>
        <w:numPr>
          <w:ilvl w:val="0"/>
          <w:numId w:val="51"/>
        </w:numPr>
        <w:rPr>
          <w:rFonts w:ascii="Arial" w:cs="Arial" w:eastAsia="Arial" w:hAnsi="Arial"/>
          <w:sz w:val="16"/>
          <w:szCs w:val="16"/>
          <w:color w:val="auto"/>
        </w:rPr>
      </w:pPr>
      <w:r>
        <w:rPr>
          <w:rFonts w:ascii="Arial" w:cs="Arial" w:eastAsia="Arial" w:hAnsi="Arial"/>
          <w:sz w:val="16"/>
          <w:szCs w:val="16"/>
          <w:color w:val="auto"/>
        </w:rPr>
        <w:t>other Dispositions by the members of the Consolidated Group in any fiscal year in an aggregate amount (calculated using</w:t>
      </w:r>
    </w:p>
    <w:p>
      <w:pPr>
        <w:spacing w:after="0" w:line="99" w:lineRule="exact"/>
        <w:rPr>
          <w:rFonts w:ascii="Arial" w:cs="Arial" w:eastAsia="Arial" w:hAnsi="Arial"/>
          <w:sz w:val="16"/>
          <w:szCs w:val="16"/>
          <w:color w:val="auto"/>
        </w:rPr>
      </w:pPr>
    </w:p>
    <w:p>
      <w:pPr>
        <w:ind w:left="660" w:right="420"/>
        <w:spacing w:after="0" w:line="303" w:lineRule="auto"/>
        <w:rPr>
          <w:rFonts w:ascii="Arial" w:cs="Arial" w:eastAsia="Arial" w:hAnsi="Arial"/>
          <w:sz w:val="16"/>
          <w:szCs w:val="16"/>
          <w:color w:val="auto"/>
        </w:rPr>
      </w:pPr>
      <w:r>
        <w:rPr>
          <w:rFonts w:ascii="Arial" w:cs="Arial" w:eastAsia="Arial" w:hAnsi="Arial"/>
          <w:sz w:val="20"/>
          <w:szCs w:val="20"/>
          <w:color w:val="auto"/>
        </w:rPr>
        <w:t>book value) of up to seven and one-half percent (7.5%) of total tangible assets for the Consolidated Group as of the last day of the immediately preceding</w:t>
      </w:r>
    </w:p>
    <w:p>
      <w:pPr>
        <w:spacing w:after="0" w:line="392" w:lineRule="exact"/>
        <w:rPr>
          <w:sz w:val="20"/>
          <w:szCs w:val="20"/>
          <w:color w:val="auto"/>
        </w:rPr>
      </w:pPr>
    </w:p>
    <w:p>
      <w:pPr>
        <w:jc w:val="center"/>
        <w:ind w:right="-39"/>
        <w:spacing w:after="0"/>
        <w:rPr>
          <w:sz w:val="20"/>
          <w:szCs w:val="20"/>
          <w:color w:val="auto"/>
        </w:rPr>
      </w:pPr>
      <w:r>
        <w:rPr>
          <w:rFonts w:ascii="Arial" w:cs="Arial" w:eastAsia="Arial" w:hAnsi="Arial"/>
          <w:sz w:val="20"/>
          <w:szCs w:val="20"/>
          <w:color w:val="auto"/>
        </w:rPr>
        <w:t>50</w:t>
      </w:r>
    </w:p>
    <w:p>
      <w:pPr>
        <w:spacing w:after="0" w:line="10" w:lineRule="exact"/>
        <w:rPr>
          <w:sz w:val="20"/>
          <w:szCs w:val="20"/>
          <w:color w:val="auto"/>
        </w:rPr>
      </w:pPr>
    </w:p>
    <w:p>
      <w:pPr>
        <w:spacing w:after="0"/>
        <w:rPr>
          <w:sz w:val="20"/>
          <w:szCs w:val="20"/>
          <w:color w:val="auto"/>
        </w:rPr>
      </w:pPr>
      <w:r>
        <w:rPr>
          <w:rFonts w:ascii="Arial" w:cs="Arial" w:eastAsia="Arial" w:hAnsi="Arial"/>
          <w:sz w:val="14"/>
          <w:szCs w:val="14"/>
          <w:color w:val="auto"/>
        </w:rPr>
        <w:t>CHAR1\1346423v</w:t>
      </w:r>
      <w:r>
        <w:rPr>
          <w:rFonts w:ascii="Arial" w:cs="Arial" w:eastAsia="Arial" w:hAnsi="Arial"/>
          <w:sz w:val="14"/>
          <w:szCs w:val="14"/>
          <w:color w:val="FF0000"/>
          <w:strike w:val="1"/>
        </w:rPr>
        <w:t>1</w:t>
      </w:r>
      <w:r>
        <w:rPr>
          <w:rFonts w:ascii="Arial" w:cs="Arial" w:eastAsia="Arial" w:hAnsi="Arial"/>
          <w:sz w:val="14"/>
          <w:szCs w:val="14"/>
          <w:u w:val="single" w:color="auto"/>
          <w:color w:val="0000FF"/>
        </w:rPr>
        <w:t>12</w:t>
      </w:r>
    </w:p>
    <w:p>
      <w:pPr>
        <w:sectPr>
          <w:pgSz w:w="11900" w:h="16838" w:orient="portrait"/>
          <w:cols w:equalWidth="0" w:num="1">
            <w:col w:w="11380"/>
          </w:cols>
          <w:pgMar w:left="240" w:top="609" w:right="279" w:bottom="1440" w:gutter="0" w:footer="0" w:header="0"/>
        </w:sectPr>
      </w:pPr>
    </w:p>
    <w:bookmarkStart w:id="102" w:name="page103"/>
    <w:bookmarkEnd w:id="102"/>
    <w:p>
      <w:pPr>
        <w:ind w:left="660" w:right="200"/>
        <w:spacing w:after="0" w:line="303" w:lineRule="auto"/>
        <w:rPr>
          <w:sz w:val="20"/>
          <w:szCs w:val="20"/>
          <w:color w:val="auto"/>
        </w:rPr>
      </w:pPr>
      <w:r>
        <w:rPr>
          <w:rFonts w:ascii="Arial" w:cs="Arial" w:eastAsia="Arial" w:hAnsi="Arial"/>
          <w:sz w:val="20"/>
          <w:szCs w:val="20"/>
          <w:color w:val="auto"/>
        </w:rPr>
        <w:t>fiscal year, provided that no Default or Event of Default shall exist and be continuing immediately before or immediately after giving effect thereto on a Pro Forma Basis.</w:t>
      </w:r>
    </w:p>
    <w:p>
      <w:pPr>
        <w:spacing w:after="0" w:line="17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Permitted Liens</w:t>
      </w:r>
      <w:r>
        <w:rPr>
          <w:rFonts w:ascii="Arial" w:cs="Arial" w:eastAsia="Arial" w:hAnsi="Arial"/>
          <w:sz w:val="20"/>
          <w:szCs w:val="20"/>
          <w:color w:val="auto"/>
        </w:rPr>
        <w:t xml:space="preserve">” means Liens permitted pursuant to </w:t>
      </w:r>
      <w:r>
        <w:rPr>
          <w:rFonts w:ascii="Arial" w:cs="Arial" w:eastAsia="Arial" w:hAnsi="Arial"/>
          <w:sz w:val="20"/>
          <w:szCs w:val="20"/>
          <w:u w:val="single" w:color="auto"/>
          <w:color w:val="auto"/>
        </w:rPr>
        <w:t>Section 8.01</w:t>
      </w:r>
      <w:r>
        <w:rPr>
          <w:rFonts w:ascii="Arial" w:cs="Arial" w:eastAsia="Arial" w:hAnsi="Arial"/>
          <w:sz w:val="20"/>
          <w:szCs w:val="20"/>
          <w:color w:val="auto"/>
        </w:rPr>
        <w:t>.</w:t>
      </w:r>
    </w:p>
    <w:p>
      <w:pPr>
        <w:spacing w:after="0" w:line="256" w:lineRule="exact"/>
        <w:rPr>
          <w:sz w:val="20"/>
          <w:szCs w:val="20"/>
          <w:color w:val="auto"/>
        </w:rPr>
      </w:pPr>
    </w:p>
    <w:p>
      <w:pPr>
        <w:ind w:right="500" w:firstLine="648"/>
        <w:spacing w:after="0" w:line="303"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Person</w:t>
      </w:r>
      <w:r>
        <w:rPr>
          <w:rFonts w:ascii="Arial" w:cs="Arial" w:eastAsia="Arial" w:hAnsi="Arial"/>
          <w:sz w:val="20"/>
          <w:szCs w:val="20"/>
          <w:color w:val="auto"/>
        </w:rPr>
        <w:t>” means any natural person, corporation, limited liability company, trust, joint venture, association, company, partnership, Governmental Authority or other entity.</w:t>
      </w:r>
    </w:p>
    <w:p>
      <w:pPr>
        <w:spacing w:after="0" w:line="176" w:lineRule="exact"/>
        <w:rPr>
          <w:sz w:val="20"/>
          <w:szCs w:val="20"/>
          <w:color w:val="auto"/>
        </w:rPr>
      </w:pPr>
    </w:p>
    <w:p>
      <w:pPr>
        <w:ind w:right="240" w:firstLine="648"/>
        <w:spacing w:after="0" w:line="331"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Plan</w:t>
      </w:r>
      <w:r>
        <w:rPr>
          <w:rFonts w:ascii="Arial" w:cs="Arial" w:eastAsia="Arial" w:hAnsi="Arial"/>
          <w:sz w:val="19"/>
          <w:szCs w:val="19"/>
          <w:color w:val="auto"/>
        </w:rPr>
        <w:t>” means any “employee benefit plan” (as such term is defined in Section 3(3) of ERISA) established by EWI or, with respect to any such plan that is subject to Section 412 of the Internal Revenue Code or Title IV of ERISA, any ERISA Affiliate.</w:t>
      </w:r>
    </w:p>
    <w:p>
      <w:pPr>
        <w:spacing w:after="0" w:line="154"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Platform</w:t>
      </w:r>
      <w:r>
        <w:rPr>
          <w:rFonts w:ascii="Arial" w:cs="Arial" w:eastAsia="Arial" w:hAnsi="Arial"/>
          <w:sz w:val="20"/>
          <w:szCs w:val="20"/>
          <w:color w:val="auto"/>
        </w:rPr>
        <w:t xml:space="preserve">” has the meaning provided in </w:t>
      </w:r>
      <w:r>
        <w:rPr>
          <w:rFonts w:ascii="Arial" w:cs="Arial" w:eastAsia="Arial" w:hAnsi="Arial"/>
          <w:sz w:val="20"/>
          <w:szCs w:val="20"/>
          <w:u w:val="single" w:color="auto"/>
          <w:color w:val="auto"/>
        </w:rPr>
        <w:t>Section 7.02</w:t>
      </w:r>
      <w:r>
        <w:rPr>
          <w:rFonts w:ascii="Arial" w:cs="Arial" w:eastAsia="Arial" w:hAnsi="Arial"/>
          <w:sz w:val="20"/>
          <w:szCs w:val="20"/>
          <w:color w:val="auto"/>
        </w:rPr>
        <w:t>.</w:t>
      </w:r>
    </w:p>
    <w:p>
      <w:pPr>
        <w:spacing w:after="0" w:line="25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Pledge Agreement</w:t>
      </w:r>
      <w:r>
        <w:rPr>
          <w:rFonts w:ascii="Arial" w:cs="Arial" w:eastAsia="Arial" w:hAnsi="Arial"/>
          <w:sz w:val="18"/>
          <w:szCs w:val="18"/>
          <w:color w:val="auto"/>
        </w:rPr>
        <w:t>” means the Domestic Pledge Agreements, the Foreign Pledge Agreements and the India Pledge Agreements.</w:t>
      </w:r>
    </w:p>
    <w:p>
      <w:pPr>
        <w:spacing w:after="0" w:line="279"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Polish New Zlotys</w:t>
      </w:r>
      <w:r>
        <w:rPr>
          <w:rFonts w:ascii="Arial" w:cs="Arial" w:eastAsia="Arial" w:hAnsi="Arial"/>
          <w:sz w:val="20"/>
          <w:szCs w:val="20"/>
          <w:color w:val="auto"/>
        </w:rPr>
        <w:t>” means the lawful currency of Poland.</w:t>
      </w:r>
    </w:p>
    <w:p>
      <w:pPr>
        <w:spacing w:after="0" w:line="256" w:lineRule="exact"/>
        <w:rPr>
          <w:sz w:val="20"/>
          <w:szCs w:val="20"/>
          <w:color w:val="auto"/>
        </w:rPr>
      </w:pPr>
    </w:p>
    <w:p>
      <w:pPr>
        <w:ind w:firstLine="648"/>
        <w:spacing w:after="0" w:line="287"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Prime Rate</w:t>
      </w:r>
      <w:r>
        <w:rPr>
          <w:rFonts w:ascii="Arial" w:cs="Arial" w:eastAsia="Arial" w:hAnsi="Arial"/>
          <w:sz w:val="20"/>
          <w:szCs w:val="20"/>
          <w:color w:val="auto"/>
        </w:rPr>
        <w:t>” means the rate of interest in effect for such day as publicly announced from time to time by Bank of America as its “prime rate.” The “prime rate” is a rate set by Bank of America based upon various factors including Bank of America’s costs and desired return, general economic conditions and other factors, and is used as a reference point for pricing some loans, which may be priced at, above, or below such announced rate. Any change in the “prime rate” announced by Bank of America shall take effect at the opening of business on the day specified in the public announcement of such change.</w:t>
      </w:r>
    </w:p>
    <w:p>
      <w:pPr>
        <w:spacing w:after="0" w:line="192" w:lineRule="exact"/>
        <w:rPr>
          <w:sz w:val="20"/>
          <w:szCs w:val="20"/>
          <w:color w:val="auto"/>
        </w:rPr>
      </w:pPr>
    </w:p>
    <w:p>
      <w:pPr>
        <w:ind w:right="20" w:firstLine="648"/>
        <w:spacing w:after="0" w:line="31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Pro Forma Basis</w:t>
      </w:r>
      <w:r>
        <w:rPr>
          <w:rFonts w:ascii="Arial" w:cs="Arial" w:eastAsia="Arial" w:hAnsi="Arial"/>
          <w:sz w:val="18"/>
          <w:szCs w:val="18"/>
          <w:color w:val="auto"/>
        </w:rPr>
        <w:t>” means, with respect to any transaction, for purposes of determining the applicable pricing level under the definition of “Applicable Percentage” and determining compliance with the financial covenants hereunder, that such transaction shall be deemed to have occurred as of the first day of the period of four consecutive fiscal quarters ending as of the end of the most recent fiscal quarter for which annual or quarterly financial statements shall have been delivered in accordance with the provisions hereof. Further, for purposes of making calculations on a “Pro Forma Basis” hereunder, (a) in the case of any Disposition, (i) income statement items (whether positive or negative) attributable to the property, entities or business units that are the subject of such Disposition shall be excluded to the extent relating to any period prior to the date thereof and (ii) Indebtedness paid or retired in connection with such Disposition shall be deemed to have been paid and retired as of the first day of the applicable period; and (b) in the case of any Acquisition, merger or consolidation, (i) income statement items (whether positive or negative) attributable to the property, entities or business units that are the subject thereof shall be included to the extent relating to any period prior to the date thereof and (ii) Indebtedness incurred in connection with such Acquisition, merger or consolidation, shall be deemed to have been incurred as of the first day of the applicable period (and interest expense shall be imputed for the applicable period assuming prevailing interest rates hereunder).</w:t>
      </w:r>
    </w:p>
    <w:p>
      <w:pPr>
        <w:spacing w:after="0" w:line="393"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51</w:t>
      </w:r>
    </w:p>
    <w:p>
      <w:pPr>
        <w:spacing w:after="0" w:line="10" w:lineRule="exact"/>
        <w:rPr>
          <w:sz w:val="20"/>
          <w:szCs w:val="20"/>
          <w:color w:val="auto"/>
        </w:rPr>
      </w:pPr>
    </w:p>
    <w:p>
      <w:pPr>
        <w:spacing w:after="0"/>
        <w:rPr>
          <w:sz w:val="20"/>
          <w:szCs w:val="20"/>
          <w:color w:val="auto"/>
        </w:rPr>
      </w:pPr>
      <w:r>
        <w:rPr>
          <w:rFonts w:ascii="Arial" w:cs="Arial" w:eastAsia="Arial" w:hAnsi="Arial"/>
          <w:sz w:val="14"/>
          <w:szCs w:val="14"/>
          <w:color w:val="auto"/>
        </w:rPr>
        <w:t>CHAR1\1346423v</w:t>
      </w:r>
      <w:r>
        <w:rPr>
          <w:rFonts w:ascii="Arial" w:cs="Arial" w:eastAsia="Arial" w:hAnsi="Arial"/>
          <w:sz w:val="14"/>
          <w:szCs w:val="14"/>
          <w:color w:val="FF0000"/>
          <w:strike w:val="1"/>
        </w:rPr>
        <w:t>1</w:t>
      </w:r>
      <w:r>
        <w:rPr>
          <w:rFonts w:ascii="Arial" w:cs="Arial" w:eastAsia="Arial" w:hAnsi="Arial"/>
          <w:sz w:val="14"/>
          <w:szCs w:val="14"/>
          <w:u w:val="single" w:color="auto"/>
          <w:color w:val="0000FF"/>
        </w:rPr>
        <w:t>12</w:t>
      </w:r>
    </w:p>
    <w:p>
      <w:pPr>
        <w:sectPr>
          <w:pgSz w:w="11900" w:h="16838" w:orient="portrait"/>
          <w:cols w:equalWidth="0" w:num="1">
            <w:col w:w="11420"/>
          </w:cols>
          <w:pgMar w:left="240" w:top="609" w:right="239" w:bottom="1440" w:gutter="0" w:footer="0" w:header="0"/>
        </w:sectPr>
      </w:pPr>
    </w:p>
    <w:bookmarkStart w:id="103" w:name="page104"/>
    <w:bookmarkEnd w:id="103"/>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Property</w:t>
      </w:r>
      <w:r>
        <w:rPr>
          <w:rFonts w:ascii="Arial" w:cs="Arial" w:eastAsia="Arial" w:hAnsi="Arial"/>
          <w:sz w:val="18"/>
          <w:szCs w:val="18"/>
          <w:color w:val="auto"/>
        </w:rPr>
        <w:t>” means an interest of any kind in any property or asset, whether real, personal or mixed, and whether tangible or intangible.</w:t>
      </w:r>
    </w:p>
    <w:p>
      <w:pPr>
        <w:spacing w:after="0" w:line="279"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Public Lender</w:t>
      </w:r>
      <w:r>
        <w:rPr>
          <w:rFonts w:ascii="Arial" w:cs="Arial" w:eastAsia="Arial" w:hAnsi="Arial"/>
          <w:sz w:val="20"/>
          <w:szCs w:val="20"/>
          <w:color w:val="auto"/>
        </w:rPr>
        <w:t xml:space="preserve">” has the meaning specified in </w:t>
      </w:r>
      <w:r>
        <w:rPr>
          <w:rFonts w:ascii="Arial" w:cs="Arial" w:eastAsia="Arial" w:hAnsi="Arial"/>
          <w:sz w:val="20"/>
          <w:szCs w:val="20"/>
          <w:u w:val="single" w:color="auto"/>
          <w:color w:val="auto"/>
        </w:rPr>
        <w:t>Section 7.02</w:t>
      </w:r>
      <w:r>
        <w:rPr>
          <w:rFonts w:ascii="Arial" w:cs="Arial" w:eastAsia="Arial" w:hAnsi="Arial"/>
          <w:sz w:val="20"/>
          <w:szCs w:val="20"/>
          <w:color w:val="auto"/>
        </w:rPr>
        <w:t>.</w:t>
      </w:r>
    </w:p>
    <w:p>
      <w:pPr>
        <w:spacing w:after="0" w:line="256" w:lineRule="exact"/>
        <w:rPr>
          <w:sz w:val="20"/>
          <w:szCs w:val="20"/>
          <w:color w:val="auto"/>
        </w:rPr>
      </w:pPr>
    </w:p>
    <w:p>
      <w:pPr>
        <w:ind w:right="60" w:firstLine="648"/>
        <w:spacing w:after="0" w:line="292" w:lineRule="auto"/>
        <w:rPr>
          <w:sz w:val="20"/>
          <w:szCs w:val="20"/>
          <w:color w:val="auto"/>
        </w:rPr>
      </w:pPr>
      <w:r>
        <w:rPr>
          <w:rFonts w:ascii="Arial" w:cs="Arial" w:eastAsia="Arial" w:hAnsi="Arial"/>
          <w:sz w:val="20"/>
          <w:szCs w:val="20"/>
          <w:u w:val="single" w:color="auto"/>
          <w:color w:val="0000FF"/>
        </w:rPr>
        <w:t>“Qualified ECP Guarantor” means, at any time, each Credit Party with total assets exceeding $10,000,000 or that qualifies at such time as an “eligible contract participant” under the Commodity Exchange Act and can cause another Person to qualify as an “eligible contract participant” at such time under Section 1a(18)(A)(v)(II) of the Commodity Exchange Act.</w:t>
      </w:r>
    </w:p>
    <w:p>
      <w:pPr>
        <w:spacing w:after="0" w:line="187" w:lineRule="exact"/>
        <w:rPr>
          <w:sz w:val="20"/>
          <w:szCs w:val="20"/>
          <w:color w:val="auto"/>
        </w:rPr>
      </w:pPr>
    </w:p>
    <w:p>
      <w:pPr>
        <w:ind w:firstLine="648"/>
        <w:spacing w:after="0" w:line="303"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Qualifying Lender</w:t>
      </w:r>
      <w:r>
        <w:rPr>
          <w:rFonts w:ascii="Arial" w:cs="Arial" w:eastAsia="Arial" w:hAnsi="Arial"/>
          <w:sz w:val="20"/>
          <w:szCs w:val="20"/>
          <w:color w:val="auto"/>
        </w:rPr>
        <w:t>” shall mean a Lender which is beneficially entitled to interest payable to that Lender in respect of an advance under a Credit Document and is:</w:t>
      </w:r>
    </w:p>
    <w:p>
      <w:pPr>
        <w:spacing w:after="0" w:line="176" w:lineRule="exact"/>
        <w:rPr>
          <w:sz w:val="20"/>
          <w:szCs w:val="20"/>
          <w:color w:val="auto"/>
        </w:rPr>
      </w:pPr>
    </w:p>
    <w:p>
      <w:pPr>
        <w:ind w:left="1700" w:hanging="395"/>
        <w:spacing w:after="0"/>
        <w:tabs>
          <w:tab w:leader="none" w:pos="1700" w:val="left"/>
        </w:tabs>
        <w:numPr>
          <w:ilvl w:val="0"/>
          <w:numId w:val="52"/>
        </w:numPr>
        <w:rPr>
          <w:rFonts w:ascii="Arial" w:cs="Arial" w:eastAsia="Arial" w:hAnsi="Arial"/>
          <w:sz w:val="18"/>
          <w:szCs w:val="18"/>
          <w:color w:val="auto"/>
        </w:rPr>
      </w:pPr>
      <w:r>
        <w:rPr>
          <w:rFonts w:ascii="Arial" w:cs="Arial" w:eastAsia="Arial" w:hAnsi="Arial"/>
          <w:sz w:val="18"/>
          <w:szCs w:val="18"/>
          <w:color w:val="auto"/>
        </w:rPr>
        <w:t>a Lender: (i) which is a bank (as defined for the purpose of section 879 of the ITA) making an advance under a Credit</w:t>
      </w:r>
    </w:p>
    <w:p>
      <w:pPr>
        <w:spacing w:after="0" w:line="76" w:lineRule="exact"/>
        <w:rPr>
          <w:rFonts w:ascii="Arial" w:cs="Arial" w:eastAsia="Arial" w:hAnsi="Arial"/>
          <w:sz w:val="18"/>
          <w:szCs w:val="18"/>
          <w:color w:val="auto"/>
        </w:rPr>
      </w:pPr>
    </w:p>
    <w:p>
      <w:pPr>
        <w:ind w:left="660" w:right="260"/>
        <w:spacing w:after="0" w:line="292" w:lineRule="auto"/>
        <w:rPr>
          <w:rFonts w:ascii="Arial" w:cs="Arial" w:eastAsia="Arial" w:hAnsi="Arial"/>
          <w:sz w:val="18"/>
          <w:szCs w:val="18"/>
          <w:color w:val="auto"/>
        </w:rPr>
      </w:pPr>
      <w:r>
        <w:rPr>
          <w:rFonts w:ascii="Arial" w:cs="Arial" w:eastAsia="Arial" w:hAnsi="Arial"/>
          <w:sz w:val="20"/>
          <w:szCs w:val="20"/>
          <w:color w:val="auto"/>
        </w:rPr>
        <w:t>Document; or (ii) in respect of an advance made under a Credit Document by a person that was a bank (as defined for the purpose of section 879 of the ITA) at the time that that advance was made, and (in either case) which is within the charge to United Kingdom corporation tax as respects any payments of interest made in respect of that advance; or</w:t>
      </w:r>
    </w:p>
    <w:p>
      <w:pPr>
        <w:spacing w:after="0" w:line="186" w:lineRule="exact"/>
        <w:rPr>
          <w:rFonts w:ascii="Arial" w:cs="Arial" w:eastAsia="Arial" w:hAnsi="Arial"/>
          <w:sz w:val="18"/>
          <w:szCs w:val="18"/>
          <w:color w:val="auto"/>
        </w:rPr>
      </w:pPr>
    </w:p>
    <w:p>
      <w:pPr>
        <w:ind w:left="1720" w:hanging="415"/>
        <w:spacing w:after="0"/>
        <w:tabs>
          <w:tab w:leader="none" w:pos="1720" w:val="left"/>
        </w:tabs>
        <w:numPr>
          <w:ilvl w:val="0"/>
          <w:numId w:val="52"/>
        </w:numPr>
        <w:rPr>
          <w:rFonts w:ascii="Arial" w:cs="Arial" w:eastAsia="Arial" w:hAnsi="Arial"/>
          <w:sz w:val="18"/>
          <w:szCs w:val="18"/>
          <w:color w:val="auto"/>
        </w:rPr>
      </w:pPr>
      <w:r>
        <w:rPr>
          <w:rFonts w:ascii="Arial" w:cs="Arial" w:eastAsia="Arial" w:hAnsi="Arial"/>
          <w:sz w:val="18"/>
          <w:szCs w:val="18"/>
          <w:color w:val="auto"/>
        </w:rPr>
        <w:t>a Lender which is (i) a company resident in the United Kingdom for United Kingdom tax purposes; (ii) a partnership each</w:t>
      </w:r>
    </w:p>
    <w:p>
      <w:pPr>
        <w:spacing w:after="0" w:line="76" w:lineRule="exact"/>
        <w:rPr>
          <w:rFonts w:ascii="Arial" w:cs="Arial" w:eastAsia="Arial" w:hAnsi="Arial"/>
          <w:sz w:val="18"/>
          <w:szCs w:val="18"/>
          <w:color w:val="auto"/>
        </w:rPr>
      </w:pPr>
    </w:p>
    <w:p>
      <w:pPr>
        <w:ind w:left="660" w:right="20"/>
        <w:spacing w:after="0" w:line="303" w:lineRule="auto"/>
        <w:rPr>
          <w:rFonts w:ascii="Arial" w:cs="Arial" w:eastAsia="Arial" w:hAnsi="Arial"/>
          <w:sz w:val="18"/>
          <w:szCs w:val="18"/>
          <w:color w:val="auto"/>
        </w:rPr>
      </w:pPr>
      <w:r>
        <w:rPr>
          <w:rFonts w:ascii="Arial" w:cs="Arial" w:eastAsia="Arial" w:hAnsi="Arial"/>
          <w:sz w:val="19"/>
          <w:szCs w:val="19"/>
          <w:color w:val="auto"/>
        </w:rPr>
        <w:t>member of which is (A) a company so resident in the United Kingdom; or (B) a company not so resident in the United Kingdom which carries on a trade in the United Kingdom through a permanent establishment and which brings into account in computing its chargeable profits (within the meaning of Section 19 of the CTA) the whole of any share of interest payable in respect of that advance that falls to it by reason of Part 17 of the CTA; or (iii) a company not so resident in the United Kingdom which carries on a trade in the United Kingdom through a permanent establishment and which brings into account interest payable in respect of that advance in computing the chargeable profits (within the meaning of Section 19 of the CTA) of the company; or</w:t>
      </w:r>
    </w:p>
    <w:p>
      <w:pPr>
        <w:spacing w:after="0" w:line="181" w:lineRule="exact"/>
        <w:rPr>
          <w:rFonts w:ascii="Arial" w:cs="Arial" w:eastAsia="Arial" w:hAnsi="Arial"/>
          <w:sz w:val="18"/>
          <w:szCs w:val="18"/>
          <w:color w:val="auto"/>
        </w:rPr>
      </w:pPr>
    </w:p>
    <w:p>
      <w:pPr>
        <w:ind w:left="1700" w:hanging="395"/>
        <w:spacing w:after="0"/>
        <w:tabs>
          <w:tab w:leader="none" w:pos="1700" w:val="left"/>
        </w:tabs>
        <w:numPr>
          <w:ilvl w:val="0"/>
          <w:numId w:val="52"/>
        </w:numPr>
        <w:rPr>
          <w:rFonts w:ascii="Arial" w:cs="Arial" w:eastAsia="Arial" w:hAnsi="Arial"/>
          <w:sz w:val="20"/>
          <w:szCs w:val="20"/>
          <w:color w:val="auto"/>
        </w:rPr>
      </w:pPr>
      <w:r>
        <w:rPr>
          <w:rFonts w:ascii="Arial" w:cs="Arial" w:eastAsia="Arial" w:hAnsi="Arial"/>
          <w:sz w:val="20"/>
          <w:szCs w:val="20"/>
          <w:color w:val="auto"/>
        </w:rPr>
        <w:t>a Treaty Lender.</w:t>
      </w:r>
    </w:p>
    <w:p>
      <w:pPr>
        <w:spacing w:after="0" w:line="270" w:lineRule="exact"/>
        <w:rPr>
          <w:sz w:val="20"/>
          <w:szCs w:val="20"/>
          <w:color w:val="auto"/>
        </w:rPr>
      </w:pPr>
    </w:p>
    <w:p>
      <w:pPr>
        <w:ind w:right="60" w:firstLine="648"/>
        <w:spacing w:after="0" w:line="329" w:lineRule="auto"/>
        <w:rPr>
          <w:sz w:val="20"/>
          <w:szCs w:val="20"/>
          <w:color w:val="auto"/>
        </w:rPr>
      </w:pPr>
      <w:r>
        <w:rPr>
          <w:rFonts w:ascii="Arial" w:cs="Arial" w:eastAsia="Arial" w:hAnsi="Arial"/>
          <w:sz w:val="18"/>
          <w:szCs w:val="18"/>
          <w:u w:val="single" w:color="auto"/>
          <w:color w:val="0000FF"/>
        </w:rPr>
        <w:t>“Rate Determination Date” means, with respect to any Interest Period, two Business Days prior to the commencement of such Interest Period (or such other day as is generally treated as the rate fixing day by market practice in such interbank market, as determined by the Administrative Agent; provided that to the extent such market practice is not administratively feasible for the Administrative Agent, then “Rate Determination Date” means such other day as otherwise reasonably determined by the Administrative Agent).</w:t>
      </w:r>
    </w:p>
    <w:p>
      <w:pPr>
        <w:spacing w:after="0" w:line="162" w:lineRule="exact"/>
        <w:rPr>
          <w:sz w:val="20"/>
          <w:szCs w:val="20"/>
          <w:color w:val="auto"/>
        </w:rPr>
      </w:pPr>
    </w:p>
    <w:p>
      <w:pPr>
        <w:ind w:right="360" w:firstLine="648"/>
        <w:spacing w:after="0" w:line="303" w:lineRule="auto"/>
        <w:rPr>
          <w:sz w:val="20"/>
          <w:szCs w:val="20"/>
          <w:color w:val="auto"/>
        </w:rPr>
      </w:pPr>
      <w:r>
        <w:rPr>
          <w:rFonts w:ascii="Arial" w:cs="Arial" w:eastAsia="Arial" w:hAnsi="Arial"/>
          <w:sz w:val="20"/>
          <w:szCs w:val="20"/>
          <w:u w:val="single" w:color="auto"/>
          <w:color w:val="0000FF"/>
        </w:rPr>
        <w:t>“Recipient” means the Administrative Agent, any Lender, the L/C Issuer or any other recipient of any payment to be made by or on account of any obligation of any Credit Party hereunder.</w:t>
      </w:r>
    </w:p>
    <w:p>
      <w:pPr>
        <w:spacing w:after="0" w:line="392"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52</w:t>
      </w:r>
    </w:p>
    <w:p>
      <w:pPr>
        <w:spacing w:after="0" w:line="10" w:lineRule="exact"/>
        <w:rPr>
          <w:sz w:val="20"/>
          <w:szCs w:val="20"/>
          <w:color w:val="auto"/>
        </w:rPr>
      </w:pPr>
    </w:p>
    <w:p>
      <w:pPr>
        <w:spacing w:after="0"/>
        <w:rPr>
          <w:sz w:val="20"/>
          <w:szCs w:val="20"/>
          <w:color w:val="auto"/>
        </w:rPr>
      </w:pPr>
      <w:r>
        <w:rPr>
          <w:rFonts w:ascii="Arial" w:cs="Arial" w:eastAsia="Arial" w:hAnsi="Arial"/>
          <w:sz w:val="14"/>
          <w:szCs w:val="14"/>
          <w:color w:val="auto"/>
        </w:rPr>
        <w:t>CHAR1\1346423v</w:t>
      </w:r>
      <w:r>
        <w:rPr>
          <w:rFonts w:ascii="Arial" w:cs="Arial" w:eastAsia="Arial" w:hAnsi="Arial"/>
          <w:sz w:val="14"/>
          <w:szCs w:val="14"/>
          <w:color w:val="FF0000"/>
          <w:strike w:val="1"/>
        </w:rPr>
        <w:t>1</w:t>
      </w:r>
      <w:r>
        <w:rPr>
          <w:rFonts w:ascii="Arial" w:cs="Arial" w:eastAsia="Arial" w:hAnsi="Arial"/>
          <w:sz w:val="14"/>
          <w:szCs w:val="14"/>
          <w:u w:val="single" w:color="auto"/>
          <w:color w:val="0000FF"/>
        </w:rPr>
        <w:t>12</w:t>
      </w:r>
    </w:p>
    <w:p>
      <w:pPr>
        <w:sectPr>
          <w:pgSz w:w="11900" w:h="16838" w:orient="portrait"/>
          <w:cols w:equalWidth="0" w:num="1">
            <w:col w:w="11420"/>
          </w:cols>
          <w:pgMar w:left="240" w:top="609" w:right="239" w:bottom="1440" w:gutter="0" w:footer="0" w:header="0"/>
        </w:sectPr>
      </w:pPr>
    </w:p>
    <w:bookmarkStart w:id="104" w:name="page105"/>
    <w:bookmarkEnd w:id="104"/>
    <w:p>
      <w:pPr>
        <w:ind w:firstLine="648"/>
        <w:spacing w:after="0" w:line="35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Refinancing Indebtedness</w:t>
      </w:r>
      <w:r>
        <w:rPr>
          <w:rFonts w:ascii="Arial" w:cs="Arial" w:eastAsia="Arial" w:hAnsi="Arial"/>
          <w:sz w:val="16"/>
          <w:szCs w:val="16"/>
          <w:color w:val="auto"/>
        </w:rPr>
        <w:t>” means Indebtedness issued or incurred (including by means of the extension or renewal of existing Indebtedness) to extend, renew, replace, defease, refund or refinance existing Indebtedness (the “</w:t>
      </w:r>
      <w:r>
        <w:rPr>
          <w:rFonts w:ascii="Arial" w:cs="Arial" w:eastAsia="Arial" w:hAnsi="Arial"/>
          <w:sz w:val="16"/>
          <w:szCs w:val="16"/>
          <w:u w:val="single" w:color="auto"/>
          <w:color w:val="auto"/>
        </w:rPr>
        <w:t>Refinanced Debt</w:t>
      </w:r>
      <w:r>
        <w:rPr>
          <w:rFonts w:ascii="Arial" w:cs="Arial" w:eastAsia="Arial" w:hAnsi="Arial"/>
          <w:sz w:val="16"/>
          <w:szCs w:val="16"/>
          <w:color w:val="auto"/>
        </w:rPr>
        <w:t>”) but only if (a) the aggregate principal amount of the Refinancing Indebtedness shall be less than or equal to the sum of (i) the aggregate amount of the Refinanced Debt (including principal and accrued interest), (ii) the aggregate amount of unused commitments under the Refinanced Debt, (iii) prepayment fees or premiums, tender or consent fees and/or other reasonable costs and expenses directly related to the Refinanced Debt and (iv) reasonable fees, expenses and costs directly related to the entering into of the Refinanced Debt, (b) the Refinancing Indebtedness shall have an average weighted maturity equal to or greater than the average weighted maturity of the Refinanced Debt (calculated at the time of the refinancing) and</w:t>
      </w:r>
    </w:p>
    <w:p>
      <w:pPr>
        <w:spacing w:after="0" w:line="2" w:lineRule="exact"/>
        <w:rPr>
          <w:sz w:val="20"/>
          <w:szCs w:val="20"/>
          <w:color w:val="auto"/>
        </w:rPr>
      </w:pPr>
    </w:p>
    <w:p>
      <w:pPr>
        <w:ind w:right="220" w:firstLine="8"/>
        <w:spacing w:after="0" w:line="292" w:lineRule="auto"/>
        <w:tabs>
          <w:tab w:leader="none" w:pos="269" w:val="left"/>
        </w:tabs>
        <w:numPr>
          <w:ilvl w:val="0"/>
          <w:numId w:val="53"/>
        </w:numPr>
        <w:rPr>
          <w:rFonts w:ascii="Arial" w:cs="Arial" w:eastAsia="Arial" w:hAnsi="Arial"/>
          <w:sz w:val="20"/>
          <w:szCs w:val="20"/>
          <w:color w:val="auto"/>
        </w:rPr>
      </w:pPr>
      <w:r>
        <w:rPr>
          <w:rFonts w:ascii="Arial" w:cs="Arial" w:eastAsia="Arial" w:hAnsi="Arial"/>
          <w:sz w:val="20"/>
          <w:szCs w:val="20"/>
          <w:color w:val="auto"/>
        </w:rPr>
        <w:t>if the Refinanced Debt is Subordinated Debt, such Refinancing Indebtedness shall be subordinated to the Obligations on terms, taken as a whole, that are not less favorable to the holders of the Obligations, in any material respect, than the subordination terms of such Refinanced Debt, determined by the Administrative Agent in its reasonable discretion.</w:t>
      </w:r>
    </w:p>
    <w:p>
      <w:pPr>
        <w:spacing w:after="0" w:line="187" w:lineRule="exact"/>
        <w:rPr>
          <w:sz w:val="20"/>
          <w:szCs w:val="20"/>
          <w:color w:val="auto"/>
        </w:rPr>
      </w:pPr>
    </w:p>
    <w:p>
      <w:pPr>
        <w:ind w:right="20" w:firstLine="648"/>
        <w:spacing w:after="0" w:line="32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Refinancing Investment</w:t>
      </w:r>
      <w:r>
        <w:rPr>
          <w:rFonts w:ascii="Arial" w:cs="Arial" w:eastAsia="Arial" w:hAnsi="Arial"/>
          <w:sz w:val="18"/>
          <w:szCs w:val="18"/>
          <w:color w:val="auto"/>
        </w:rPr>
        <w:t>” means an Investment made (including by means of the extension or renewal of an existing Investment) to extend, renew, replace, defease, refund or refinance an existing Investment (the “</w:t>
      </w:r>
      <w:r>
        <w:rPr>
          <w:rFonts w:ascii="Arial" w:cs="Arial" w:eastAsia="Arial" w:hAnsi="Arial"/>
          <w:sz w:val="18"/>
          <w:szCs w:val="18"/>
          <w:u w:val="single" w:color="auto"/>
          <w:color w:val="auto"/>
        </w:rPr>
        <w:t>Refinanced Investment</w:t>
      </w:r>
      <w:r>
        <w:rPr>
          <w:rFonts w:ascii="Arial" w:cs="Arial" w:eastAsia="Arial" w:hAnsi="Arial"/>
          <w:sz w:val="18"/>
          <w:szCs w:val="18"/>
          <w:color w:val="auto"/>
        </w:rPr>
        <w:t>”), but only if the amount of the Refinancing Investment is less than or equal to the sum of (1) the aggregate principal amount of the Refinanced Investment (including accrued interest or dividends, as applicable), (2) prepayment fees or premiums, tender or consent fees and/or other costs and expenses directly related to the Refinanced Investment and (3) fees, expenses and costs directly related to the entering into the Refinancing Investment.</w:t>
      </w:r>
    </w:p>
    <w:p>
      <w:pPr>
        <w:spacing w:after="0" w:line="165" w:lineRule="exact"/>
        <w:rPr>
          <w:sz w:val="20"/>
          <w:szCs w:val="20"/>
          <w:color w:val="auto"/>
        </w:rPr>
      </w:pPr>
    </w:p>
    <w:p>
      <w:pPr>
        <w:ind w:right="220" w:firstLine="648"/>
        <w:spacing w:after="0" w:line="288"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Refinancing Lien</w:t>
      </w:r>
      <w:r>
        <w:rPr>
          <w:rFonts w:ascii="Arial" w:cs="Arial" w:eastAsia="Arial" w:hAnsi="Arial"/>
          <w:sz w:val="20"/>
          <w:szCs w:val="20"/>
          <w:color w:val="auto"/>
        </w:rPr>
        <w:t>” means a Lien granted to extend, renew or replace an existing Lien (the “</w:t>
      </w:r>
      <w:r>
        <w:rPr>
          <w:rFonts w:ascii="Arial" w:cs="Arial" w:eastAsia="Arial" w:hAnsi="Arial"/>
          <w:sz w:val="20"/>
          <w:szCs w:val="20"/>
          <w:u w:val="single" w:color="auto"/>
          <w:color w:val="auto"/>
        </w:rPr>
        <w:t>Refinanced Lien</w:t>
      </w:r>
      <w:r>
        <w:rPr>
          <w:rFonts w:ascii="Arial" w:cs="Arial" w:eastAsia="Arial" w:hAnsi="Arial"/>
          <w:sz w:val="20"/>
          <w:szCs w:val="20"/>
          <w:color w:val="auto"/>
        </w:rPr>
        <w:t xml:space="preserve">”), but only if (a) the amount of the Indebtedness or other obligations secured or benefited thereby is not increased except as contemplated by </w:t>
      </w:r>
      <w:r>
        <w:rPr>
          <w:rFonts w:ascii="Arial" w:cs="Arial" w:eastAsia="Arial" w:hAnsi="Arial"/>
          <w:sz w:val="20"/>
          <w:szCs w:val="20"/>
          <w:u w:val="single" w:color="auto"/>
          <w:color w:val="auto"/>
        </w:rPr>
        <w:t>Section 8.03</w:t>
      </w:r>
      <w:r>
        <w:rPr>
          <w:rFonts w:ascii="Arial" w:cs="Arial" w:eastAsia="Arial" w:hAnsi="Arial"/>
          <w:sz w:val="20"/>
          <w:szCs w:val="20"/>
          <w:color w:val="auto"/>
        </w:rPr>
        <w:t xml:space="preserve">, (b) the direct or any contingent obligor with respect thereto is not changed and (c) any renewal or extension of the Indebtedness or other obligations secured or benefited thereby is permitted by </w:t>
      </w:r>
      <w:r>
        <w:rPr>
          <w:rFonts w:ascii="Arial" w:cs="Arial" w:eastAsia="Arial" w:hAnsi="Arial"/>
          <w:sz w:val="20"/>
          <w:szCs w:val="20"/>
          <w:u w:val="single" w:color="auto"/>
          <w:color w:val="auto"/>
        </w:rPr>
        <w:t>Section 8.03</w:t>
      </w:r>
      <w:r>
        <w:rPr>
          <w:rFonts w:ascii="Arial" w:cs="Arial" w:eastAsia="Arial" w:hAnsi="Arial"/>
          <w:sz w:val="20"/>
          <w:szCs w:val="20"/>
          <w:color w:val="auto"/>
        </w:rPr>
        <w:t>.</w:t>
      </w:r>
    </w:p>
    <w:p>
      <w:pPr>
        <w:spacing w:after="0" w:line="193"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Register</w:t>
      </w:r>
      <w:r>
        <w:rPr>
          <w:rFonts w:ascii="Arial" w:cs="Arial" w:eastAsia="Arial" w:hAnsi="Arial"/>
          <w:sz w:val="20"/>
          <w:szCs w:val="20"/>
          <w:color w:val="auto"/>
        </w:rPr>
        <w:t xml:space="preserve">” has the meaning provided in </w:t>
      </w:r>
      <w:r>
        <w:rPr>
          <w:rFonts w:ascii="Arial" w:cs="Arial" w:eastAsia="Arial" w:hAnsi="Arial"/>
          <w:sz w:val="20"/>
          <w:szCs w:val="20"/>
          <w:u w:val="single" w:color="auto"/>
          <w:color w:val="auto"/>
        </w:rPr>
        <w:t>Section 11.06(c)</w:t>
      </w:r>
      <w:r>
        <w:rPr>
          <w:rFonts w:ascii="Arial" w:cs="Arial" w:eastAsia="Arial" w:hAnsi="Arial"/>
          <w:sz w:val="20"/>
          <w:szCs w:val="20"/>
          <w:color w:val="auto"/>
        </w:rPr>
        <w:t>.</w:t>
      </w:r>
    </w:p>
    <w:p>
      <w:pPr>
        <w:spacing w:after="0" w:line="256" w:lineRule="exact"/>
        <w:rPr>
          <w:sz w:val="20"/>
          <w:szCs w:val="20"/>
          <w:color w:val="auto"/>
        </w:rPr>
      </w:pPr>
    </w:p>
    <w:p>
      <w:pPr>
        <w:ind w:right="260" w:firstLine="648"/>
        <w:spacing w:after="0" w:line="3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Related Parties</w:t>
      </w:r>
      <w:r>
        <w:rPr>
          <w:rFonts w:ascii="Arial" w:cs="Arial" w:eastAsia="Arial" w:hAnsi="Arial"/>
          <w:sz w:val="18"/>
          <w:szCs w:val="18"/>
          <w:color w:val="auto"/>
        </w:rPr>
        <w:t xml:space="preserve">” means, with respect to any Person, such Person’s Affiliates and the partners, directors, officers, employees, agents, trustees </w:t>
      </w:r>
      <w:r>
        <w:rPr>
          <w:rFonts w:ascii="Arial" w:cs="Arial" w:eastAsia="Arial" w:hAnsi="Arial"/>
          <w:sz w:val="18"/>
          <w:szCs w:val="18"/>
          <w:color w:val="FF0000"/>
          <w:strike w:val="1"/>
        </w:rPr>
        <w:t>and</w:t>
      </w:r>
      <w:r>
        <w:rPr>
          <w:rFonts w:ascii="Arial" w:cs="Arial" w:eastAsia="Arial" w:hAnsi="Arial"/>
          <w:sz w:val="18"/>
          <w:szCs w:val="18"/>
          <w:u w:val="single" w:color="auto"/>
          <w:color w:val="0000FF"/>
        </w:rPr>
        <w:t>, administrators, managers,</w:t>
      </w:r>
      <w:r>
        <w:rPr>
          <w:rFonts w:ascii="Arial" w:cs="Arial" w:eastAsia="Arial" w:hAnsi="Arial"/>
          <w:sz w:val="18"/>
          <w:szCs w:val="18"/>
          <w:color w:val="auto"/>
        </w:rPr>
        <w:t xml:space="preserve"> advisors </w:t>
      </w:r>
      <w:r>
        <w:rPr>
          <w:rFonts w:ascii="Arial" w:cs="Arial" w:eastAsia="Arial" w:hAnsi="Arial"/>
          <w:sz w:val="18"/>
          <w:szCs w:val="18"/>
          <w:u w:val="single" w:color="auto"/>
          <w:color w:val="0000FF"/>
        </w:rPr>
        <w:t>and representatives</w:t>
      </w:r>
      <w:r>
        <w:rPr>
          <w:rFonts w:ascii="Arial" w:cs="Arial" w:eastAsia="Arial" w:hAnsi="Arial"/>
          <w:sz w:val="18"/>
          <w:szCs w:val="18"/>
          <w:color w:val="auto"/>
        </w:rPr>
        <w:t xml:space="preserve"> of such Person and of such Person’s Affiliates.</w:t>
      </w:r>
    </w:p>
    <w:p>
      <w:pPr>
        <w:spacing w:after="0" w:line="130" w:lineRule="exact"/>
        <w:rPr>
          <w:sz w:val="20"/>
          <w:szCs w:val="20"/>
          <w:color w:val="auto"/>
        </w:rPr>
      </w:pPr>
    </w:p>
    <w:p>
      <w:pPr>
        <w:ind w:right="260" w:firstLine="648"/>
        <w:spacing w:after="0" w:line="303"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Reportable Event</w:t>
      </w:r>
      <w:r>
        <w:rPr>
          <w:rFonts w:ascii="Arial" w:cs="Arial" w:eastAsia="Arial" w:hAnsi="Arial"/>
          <w:sz w:val="20"/>
          <w:szCs w:val="20"/>
          <w:color w:val="auto"/>
        </w:rPr>
        <w:t>” means any of the events set forth in Section 4043(c) of ERISA, other than events for which the thirty-day notice period has been waived.</w:t>
      </w:r>
    </w:p>
    <w:p>
      <w:pPr>
        <w:spacing w:after="0" w:line="176" w:lineRule="exact"/>
        <w:rPr>
          <w:sz w:val="20"/>
          <w:szCs w:val="20"/>
          <w:color w:val="auto"/>
        </w:rPr>
      </w:pPr>
    </w:p>
    <w:p>
      <w:pPr>
        <w:ind w:right="480" w:firstLine="648"/>
        <w:spacing w:after="0" w:line="303"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Request for Credit Extension</w:t>
      </w:r>
      <w:r>
        <w:rPr>
          <w:rFonts w:ascii="Arial" w:cs="Arial" w:eastAsia="Arial" w:hAnsi="Arial"/>
          <w:sz w:val="20"/>
          <w:szCs w:val="20"/>
          <w:color w:val="auto"/>
        </w:rPr>
        <w:t>” means (a) with respect to a Borrowing of Loans (including Swingline Loans) or the conversion or continuation of Loans, a Loan Notice and (b) with respect to an L/C Credit Extension, an L/C Application.</w:t>
      </w:r>
    </w:p>
    <w:p>
      <w:pPr>
        <w:spacing w:after="0" w:line="176" w:lineRule="exact"/>
        <w:rPr>
          <w:sz w:val="20"/>
          <w:szCs w:val="20"/>
          <w:color w:val="auto"/>
        </w:rPr>
      </w:pPr>
    </w:p>
    <w:p>
      <w:pPr>
        <w:ind w:right="400" w:firstLine="648"/>
        <w:spacing w:after="0" w:line="303"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Required European Revolving Lenders</w:t>
      </w:r>
      <w:r>
        <w:rPr>
          <w:rFonts w:ascii="Arial" w:cs="Arial" w:eastAsia="Arial" w:hAnsi="Arial"/>
          <w:sz w:val="20"/>
          <w:szCs w:val="20"/>
          <w:color w:val="auto"/>
        </w:rPr>
        <w:t>” means, as of any date of determination, Lenders having more than 50% of the Aggregate European Revolving Commitments, or if the European Revolving</w:t>
      </w:r>
    </w:p>
    <w:p>
      <w:pPr>
        <w:spacing w:after="0" w:line="392"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53</w:t>
      </w:r>
    </w:p>
    <w:p>
      <w:pPr>
        <w:spacing w:after="0" w:line="10" w:lineRule="exact"/>
        <w:rPr>
          <w:sz w:val="20"/>
          <w:szCs w:val="20"/>
          <w:color w:val="auto"/>
        </w:rPr>
      </w:pPr>
    </w:p>
    <w:p>
      <w:pPr>
        <w:spacing w:after="0"/>
        <w:rPr>
          <w:sz w:val="20"/>
          <w:szCs w:val="20"/>
          <w:color w:val="auto"/>
        </w:rPr>
      </w:pPr>
      <w:r>
        <w:rPr>
          <w:rFonts w:ascii="Arial" w:cs="Arial" w:eastAsia="Arial" w:hAnsi="Arial"/>
          <w:sz w:val="14"/>
          <w:szCs w:val="14"/>
          <w:color w:val="auto"/>
        </w:rPr>
        <w:t>CHAR1\1346423v</w:t>
      </w:r>
      <w:r>
        <w:rPr>
          <w:rFonts w:ascii="Arial" w:cs="Arial" w:eastAsia="Arial" w:hAnsi="Arial"/>
          <w:sz w:val="14"/>
          <w:szCs w:val="14"/>
          <w:color w:val="FF0000"/>
          <w:strike w:val="1"/>
        </w:rPr>
        <w:t>1</w:t>
      </w:r>
      <w:r>
        <w:rPr>
          <w:rFonts w:ascii="Arial" w:cs="Arial" w:eastAsia="Arial" w:hAnsi="Arial"/>
          <w:sz w:val="14"/>
          <w:szCs w:val="14"/>
          <w:u w:val="single" w:color="auto"/>
          <w:color w:val="0000FF"/>
        </w:rPr>
        <w:t>12</w:t>
      </w:r>
    </w:p>
    <w:p>
      <w:pPr>
        <w:sectPr>
          <w:pgSz w:w="11900" w:h="16838" w:orient="portrait"/>
          <w:cols w:equalWidth="0" w:num="1">
            <w:col w:w="11400"/>
          </w:cols>
          <w:pgMar w:left="240" w:top="609" w:right="259" w:bottom="1440" w:gutter="0" w:footer="0" w:header="0"/>
        </w:sectPr>
      </w:pPr>
    </w:p>
    <w:bookmarkStart w:id="105" w:name="page106"/>
    <w:bookmarkEnd w:id="105"/>
    <w:p>
      <w:pPr>
        <w:ind w:right="20"/>
        <w:spacing w:after="0" w:line="308" w:lineRule="auto"/>
        <w:rPr>
          <w:sz w:val="20"/>
          <w:szCs w:val="20"/>
          <w:color w:val="auto"/>
        </w:rPr>
      </w:pPr>
      <w:r>
        <w:rPr>
          <w:rFonts w:ascii="Arial" w:cs="Arial" w:eastAsia="Arial" w:hAnsi="Arial"/>
          <w:sz w:val="19"/>
          <w:szCs w:val="19"/>
          <w:color w:val="auto"/>
        </w:rPr>
        <w:t xml:space="preserve">Commitments have expired or been terminated, Lenders holding in the aggregate more than 50% of the European Revolving Loan Obligations (including, in each case, the aggregate amount of each Lender’s risk participation and funded participation in European Swingline Loans);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the commitments of, and the portion of the European Revolving Loan Obligations held or deemed held by, any Defaulting Lender shall be excluded for purposes of making a determination of “Required European Revolving Lenders”.</w:t>
      </w:r>
    </w:p>
    <w:p>
      <w:pPr>
        <w:spacing w:after="0" w:line="175" w:lineRule="exact"/>
        <w:rPr>
          <w:sz w:val="20"/>
          <w:szCs w:val="20"/>
          <w:color w:val="auto"/>
        </w:rPr>
      </w:pPr>
    </w:p>
    <w:p>
      <w:pPr>
        <w:ind w:right="40" w:firstLine="648"/>
        <w:spacing w:after="0" w:line="32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Required India Revolving Lenders</w:t>
      </w:r>
      <w:r>
        <w:rPr>
          <w:rFonts w:ascii="Arial" w:cs="Arial" w:eastAsia="Arial" w:hAnsi="Arial"/>
          <w:sz w:val="18"/>
          <w:szCs w:val="18"/>
          <w:color w:val="auto"/>
        </w:rPr>
        <w:t xml:space="preserve">” means, as of any date of determination, Lenders having more than 50% of the Aggregate India Revolving Commitments, or if the India Revolving Commitments have expired or been terminated, Lenders holding in the aggregate more than 50% of the India Revolving Loan Obligations (including, in each case, the aggregate amount of each Lender’s risk participation and funded participation in India L/C Obligations);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commitments of, and the portion of the India Revolving Loan Obligations held or deemed held by, any Defaulting Lender shall be excluded for purposes of making a determination of “Required India Revolving Lenders”.</w:t>
      </w:r>
    </w:p>
    <w:p>
      <w:pPr>
        <w:spacing w:after="0" w:line="165" w:lineRule="exact"/>
        <w:rPr>
          <w:sz w:val="20"/>
          <w:szCs w:val="20"/>
          <w:color w:val="auto"/>
        </w:rPr>
      </w:pPr>
    </w:p>
    <w:p>
      <w:pPr>
        <w:ind w:firstLine="648"/>
        <w:spacing w:after="0" w:line="287"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Required Lenders</w:t>
      </w:r>
      <w:r>
        <w:rPr>
          <w:rFonts w:ascii="Arial" w:cs="Arial" w:eastAsia="Arial" w:hAnsi="Arial"/>
          <w:sz w:val="20"/>
          <w:szCs w:val="20"/>
          <w:color w:val="auto"/>
        </w:rPr>
        <w:t xml:space="preserve">” means, as of any date of determination, Lenders having more than 50% of the Aggregate Commitments or, if the Commitments shall have expired or been terminated, Lenders holding in the aggregate more than 50% of the Loan Obligations (including, in each case, the aggregate amount of each Lender’s risk participation and funded participation in L/C Obligations and Swingline Loans);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the commitments of, and the portion of the Loan Obligations held or deemed held by, any Defaulting Lender shall be excluded for purposes of making a determination of Required Lenders.</w:t>
      </w:r>
    </w:p>
    <w:p>
      <w:pPr>
        <w:spacing w:after="0" w:line="192" w:lineRule="exact"/>
        <w:rPr>
          <w:sz w:val="20"/>
          <w:szCs w:val="20"/>
          <w:color w:val="auto"/>
        </w:rPr>
      </w:pPr>
    </w:p>
    <w:p>
      <w:pPr>
        <w:ind w:right="40" w:firstLine="648"/>
        <w:spacing w:after="0" w:line="286"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Required USD Revolving Lenders</w:t>
      </w:r>
      <w:r>
        <w:rPr>
          <w:rFonts w:ascii="Arial" w:cs="Arial" w:eastAsia="Arial" w:hAnsi="Arial"/>
          <w:sz w:val="20"/>
          <w:szCs w:val="20"/>
          <w:color w:val="auto"/>
        </w:rPr>
        <w:t xml:space="preserve">” means, as of any date of determination, Lenders having more than 50% of the Aggregate USD Revolving Commitments, or if the USD Revolving Commitments have expired or been terminated, Lenders holding in the aggregate more than 50% of the USD Revolving Loan Obligations (including, in each case, the aggregate amount of each Lender’s risk participation and funded participation in USD L/C Obligations and USD Swingline Loans);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the commitments of, and the portion of the USD Revolving Loan Obligations held or deemed held by, any Defaulting Lender shall be excluded for purposes of making a determination of “Required USD Revolving Lenders”.</w:t>
      </w:r>
    </w:p>
    <w:p>
      <w:pPr>
        <w:spacing w:after="0" w:line="192" w:lineRule="exact"/>
        <w:rPr>
          <w:sz w:val="20"/>
          <w:szCs w:val="20"/>
          <w:color w:val="auto"/>
        </w:rPr>
      </w:pPr>
    </w:p>
    <w:p>
      <w:pPr>
        <w:ind w:right="140" w:firstLine="648"/>
        <w:spacing w:after="0" w:line="308"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Responsible Officer</w:t>
      </w:r>
      <w:r>
        <w:rPr>
          <w:rFonts w:ascii="Arial" w:cs="Arial" w:eastAsia="Arial" w:hAnsi="Arial"/>
          <w:sz w:val="19"/>
          <w:szCs w:val="19"/>
          <w:color w:val="auto"/>
        </w:rPr>
        <w:t>” means the chief executive officer, president, chief financial officer, managing director, director, treasurer or assistant treasurer of a Credit Party. Any document delivered hereunder that is signed by a Responsible Officer of a Credit Party shall be conclusively presumed to have been authorized by all necessary corporate, partnership and/or other action on the part of such Credit Party and such Responsible Officer shall be conclusively presumed to have acted on behalf of such Credit Party.</w:t>
      </w:r>
    </w:p>
    <w:p>
      <w:pPr>
        <w:spacing w:after="0" w:line="175" w:lineRule="exact"/>
        <w:rPr>
          <w:sz w:val="20"/>
          <w:szCs w:val="20"/>
          <w:color w:val="auto"/>
        </w:rPr>
      </w:pPr>
    </w:p>
    <w:p>
      <w:pPr>
        <w:ind w:right="100" w:firstLine="648"/>
        <w:spacing w:after="0" w:line="288"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Restricted Payments</w:t>
      </w:r>
      <w:r>
        <w:rPr>
          <w:rFonts w:ascii="Arial" w:cs="Arial" w:eastAsia="Arial" w:hAnsi="Arial"/>
          <w:sz w:val="20"/>
          <w:szCs w:val="20"/>
          <w:color w:val="auto"/>
        </w:rPr>
        <w:t>” means any dividend or other distribution (whether in cash, securities or other property) by EWI in respect of its Capital Stock, or any payment (whether in cash, securities or other property) including any sinking fund payment or similar deposit, for or on account of the purchase, redemption, retirement, acquisition, cancellation or termination of any Capital Stock of EWI or any option, warrant or other right to acquire such Capital Stock of EWI.</w:t>
      </w:r>
    </w:p>
    <w:p>
      <w:pPr>
        <w:spacing w:after="0" w:line="200" w:lineRule="exact"/>
        <w:rPr>
          <w:sz w:val="20"/>
          <w:szCs w:val="20"/>
          <w:color w:val="auto"/>
        </w:rPr>
      </w:pP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54</w:t>
      </w:r>
    </w:p>
    <w:p>
      <w:pPr>
        <w:spacing w:after="0" w:line="10" w:lineRule="exact"/>
        <w:rPr>
          <w:sz w:val="20"/>
          <w:szCs w:val="20"/>
          <w:color w:val="auto"/>
        </w:rPr>
      </w:pPr>
    </w:p>
    <w:p>
      <w:pPr>
        <w:spacing w:after="0"/>
        <w:rPr>
          <w:sz w:val="20"/>
          <w:szCs w:val="20"/>
          <w:color w:val="auto"/>
        </w:rPr>
      </w:pPr>
      <w:r>
        <w:rPr>
          <w:rFonts w:ascii="Arial" w:cs="Arial" w:eastAsia="Arial" w:hAnsi="Arial"/>
          <w:sz w:val="14"/>
          <w:szCs w:val="14"/>
          <w:color w:val="auto"/>
        </w:rPr>
        <w:t>CHAR1\1346423v</w:t>
      </w:r>
      <w:r>
        <w:rPr>
          <w:rFonts w:ascii="Arial" w:cs="Arial" w:eastAsia="Arial" w:hAnsi="Arial"/>
          <w:sz w:val="14"/>
          <w:szCs w:val="14"/>
          <w:color w:val="FF0000"/>
          <w:strike w:val="1"/>
        </w:rPr>
        <w:t>1</w:t>
      </w:r>
      <w:r>
        <w:rPr>
          <w:rFonts w:ascii="Arial" w:cs="Arial" w:eastAsia="Arial" w:hAnsi="Arial"/>
          <w:sz w:val="14"/>
          <w:szCs w:val="14"/>
          <w:u w:val="single" w:color="auto"/>
          <w:color w:val="0000FF"/>
        </w:rPr>
        <w:t>12</w:t>
      </w:r>
    </w:p>
    <w:p>
      <w:pPr>
        <w:sectPr>
          <w:pgSz w:w="11900" w:h="16838" w:orient="portrait"/>
          <w:cols w:equalWidth="0" w:num="1">
            <w:col w:w="11420"/>
          </w:cols>
          <w:pgMar w:left="240" w:top="609" w:right="239" w:bottom="1440" w:gutter="0" w:footer="0" w:header="0"/>
        </w:sectPr>
      </w:pPr>
    </w:p>
    <w:bookmarkStart w:id="106" w:name="page107"/>
    <w:bookmarkEnd w:id="106"/>
    <w:p>
      <w:pPr>
        <w:ind w:right="160" w:firstLine="648"/>
        <w:spacing w:after="0" w:line="320"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Revaluation Date</w:t>
      </w:r>
      <w:r>
        <w:rPr>
          <w:rFonts w:ascii="Arial" w:cs="Arial" w:eastAsia="Arial" w:hAnsi="Arial"/>
          <w:sz w:val="18"/>
          <w:szCs w:val="18"/>
          <w:color w:val="auto"/>
        </w:rPr>
        <w:t xml:space="preserve">” means (a) with respect to any Loan, each of the following: (i) each date of a Borrowing of a Fixed LIBOR Rate Loan denominated in a currency other than Dollars, (ii) each date of a continuation of a Fixed LIBOR Rate Loan denominated in a currency other than Dollars pursuant to </w:t>
      </w:r>
      <w:r>
        <w:rPr>
          <w:rFonts w:ascii="Arial" w:cs="Arial" w:eastAsia="Arial" w:hAnsi="Arial"/>
          <w:sz w:val="18"/>
          <w:szCs w:val="18"/>
          <w:u w:val="single" w:color="auto"/>
          <w:color w:val="auto"/>
        </w:rPr>
        <w:t>Section 2.02</w:t>
      </w:r>
      <w:r>
        <w:rPr>
          <w:rFonts w:ascii="Arial" w:cs="Arial" w:eastAsia="Arial" w:hAnsi="Arial"/>
          <w:sz w:val="18"/>
          <w:szCs w:val="18"/>
          <w:color w:val="auto"/>
        </w:rPr>
        <w:t>, and (iii) such additional dates as the Administrative Agent shall determine or the respective Required Lenders shall require; and (b) with respect to any Letter of Credit, each of the following: (i) each date of issuance</w:t>
      </w:r>
      <w:r>
        <w:rPr>
          <w:rFonts w:ascii="Arial" w:cs="Arial" w:eastAsia="Arial" w:hAnsi="Arial"/>
          <w:sz w:val="18"/>
          <w:szCs w:val="18"/>
          <w:u w:val="single" w:color="auto"/>
          <w:color w:val="0000FF"/>
        </w:rPr>
        <w:t>, amendment</w:t>
      </w:r>
      <w:r>
        <w:rPr>
          <w:rFonts w:ascii="Arial" w:cs="Arial" w:eastAsia="Arial" w:hAnsi="Arial"/>
          <w:sz w:val="18"/>
          <w:szCs w:val="18"/>
          <w:color w:val="auto"/>
        </w:rPr>
        <w:t xml:space="preserve"> </w:t>
      </w:r>
      <w:r>
        <w:rPr>
          <w:rFonts w:ascii="Arial" w:cs="Arial" w:eastAsia="Arial" w:hAnsi="Arial"/>
          <w:sz w:val="18"/>
          <w:szCs w:val="18"/>
          <w:u w:val="single" w:color="auto"/>
          <w:color w:val="0000FF"/>
        </w:rPr>
        <w:t>increasing the amount or extension</w:t>
      </w:r>
      <w:r>
        <w:rPr>
          <w:rFonts w:ascii="Arial" w:cs="Arial" w:eastAsia="Arial" w:hAnsi="Arial"/>
          <w:sz w:val="18"/>
          <w:szCs w:val="18"/>
          <w:color w:val="0000FF"/>
        </w:rPr>
        <w:t xml:space="preserve"> </w:t>
      </w:r>
      <w:r>
        <w:rPr>
          <w:rFonts w:ascii="Arial" w:cs="Arial" w:eastAsia="Arial" w:hAnsi="Arial"/>
          <w:sz w:val="18"/>
          <w:szCs w:val="18"/>
          <w:color w:val="000000"/>
        </w:rPr>
        <w:t>of a Letter of Credit denominated in a currency other than Dollars, (ii) each date of an amendment of any</w:t>
      </w:r>
      <w:r>
        <w:rPr>
          <w:rFonts w:ascii="Arial" w:cs="Arial" w:eastAsia="Arial" w:hAnsi="Arial"/>
          <w:sz w:val="18"/>
          <w:szCs w:val="18"/>
          <w:color w:val="0000FF"/>
        </w:rPr>
        <w:t xml:space="preserve"> </w:t>
      </w:r>
      <w:r>
        <w:rPr>
          <w:rFonts w:ascii="Arial" w:cs="Arial" w:eastAsia="Arial" w:hAnsi="Arial"/>
          <w:sz w:val="18"/>
          <w:szCs w:val="18"/>
          <w:color w:val="000000"/>
        </w:rPr>
        <w:t>such Letter of Credit having the effect of increasing the amount thereof, (iii) each date of any payment by the applicable L/C Issuer under any Letter of Credit denominated in a currency other than Dollars, (iv) in the case of the Existing Letters of Credit, the Closing Date and (v) such additional dates as the Administrative Agent or the applicable L/C Issuer shall determine or the respective Required Lenders shall require.</w:t>
      </w:r>
    </w:p>
    <w:p>
      <w:pPr>
        <w:spacing w:after="0" w:line="169" w:lineRule="exact"/>
        <w:rPr>
          <w:sz w:val="20"/>
          <w:szCs w:val="20"/>
          <w:color w:val="auto"/>
        </w:rPr>
      </w:pPr>
    </w:p>
    <w:p>
      <w:pPr>
        <w:ind w:right="380" w:firstLine="648"/>
        <w:spacing w:after="0" w:line="3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Revolving Commitment Percentage</w:t>
      </w:r>
      <w:r>
        <w:rPr>
          <w:rFonts w:ascii="Arial" w:cs="Arial" w:eastAsia="Arial" w:hAnsi="Arial"/>
          <w:sz w:val="18"/>
          <w:szCs w:val="18"/>
          <w:color w:val="auto"/>
        </w:rPr>
        <w:t>” means the Australian Revolving Commitment Percentage, the USD Revolving Commitment Percentage, the European Revolving Commitment Percentage and/or the India Revolving Commitment Percentage, as appropriate.</w:t>
      </w:r>
    </w:p>
    <w:p>
      <w:pPr>
        <w:spacing w:after="0" w:line="130" w:lineRule="exact"/>
        <w:rPr>
          <w:sz w:val="20"/>
          <w:szCs w:val="20"/>
          <w:color w:val="auto"/>
        </w:rPr>
      </w:pPr>
    </w:p>
    <w:p>
      <w:pPr>
        <w:ind w:right="820" w:firstLine="648"/>
        <w:spacing w:after="0" w:line="303"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Revolving Commitments</w:t>
      </w:r>
      <w:r>
        <w:rPr>
          <w:rFonts w:ascii="Arial" w:cs="Arial" w:eastAsia="Arial" w:hAnsi="Arial"/>
          <w:sz w:val="20"/>
          <w:szCs w:val="20"/>
          <w:color w:val="auto"/>
        </w:rPr>
        <w:t>” means the Australian Revolving Commitments, the USD Revolving Commitments, the European Revolving Commitments and the India Revolving Commitments.</w:t>
      </w:r>
    </w:p>
    <w:p>
      <w:pPr>
        <w:spacing w:after="0" w:line="176" w:lineRule="exact"/>
        <w:rPr>
          <w:sz w:val="20"/>
          <w:szCs w:val="20"/>
          <w:color w:val="auto"/>
        </w:rPr>
      </w:pPr>
    </w:p>
    <w:p>
      <w:pPr>
        <w:ind w:right="240" w:firstLine="648"/>
        <w:spacing w:after="0" w:line="303"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Revolving Committed Amount</w:t>
      </w:r>
      <w:r>
        <w:rPr>
          <w:rFonts w:ascii="Arial" w:cs="Arial" w:eastAsia="Arial" w:hAnsi="Arial"/>
          <w:sz w:val="20"/>
          <w:szCs w:val="20"/>
          <w:color w:val="auto"/>
        </w:rPr>
        <w:t>” means the Australian Revolving Committed Amount, the USD Revolving Committed Amount, the European Revolving Committed Amount and/or the India Revolving Committed Amount, as appropriate.</w:t>
      </w:r>
    </w:p>
    <w:p>
      <w:pPr>
        <w:spacing w:after="0" w:line="176" w:lineRule="exact"/>
        <w:rPr>
          <w:sz w:val="20"/>
          <w:szCs w:val="20"/>
          <w:color w:val="auto"/>
        </w:rPr>
      </w:pPr>
    </w:p>
    <w:p>
      <w:pPr>
        <w:ind w:right="160" w:firstLine="648"/>
        <w:spacing w:after="0" w:line="303"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Revolving Lenders</w:t>
      </w:r>
      <w:r>
        <w:rPr>
          <w:rFonts w:ascii="Arial" w:cs="Arial" w:eastAsia="Arial" w:hAnsi="Arial"/>
          <w:sz w:val="20"/>
          <w:szCs w:val="20"/>
          <w:color w:val="auto"/>
        </w:rPr>
        <w:t>” means the Australian Revolving Lenders, the USD Revolving Lenders, the European Revolving Lenders and/or the India Revolving Lenders, as appropriate.</w:t>
      </w:r>
    </w:p>
    <w:p>
      <w:pPr>
        <w:spacing w:after="0" w:line="176" w:lineRule="exact"/>
        <w:rPr>
          <w:sz w:val="20"/>
          <w:szCs w:val="20"/>
          <w:color w:val="auto"/>
        </w:rPr>
      </w:pPr>
    </w:p>
    <w:p>
      <w:pPr>
        <w:ind w:right="60" w:firstLine="648"/>
        <w:spacing w:after="0" w:line="303"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Revolving Loan Obligations</w:t>
      </w:r>
      <w:r>
        <w:rPr>
          <w:rFonts w:ascii="Arial" w:cs="Arial" w:eastAsia="Arial" w:hAnsi="Arial"/>
          <w:sz w:val="20"/>
          <w:szCs w:val="20"/>
          <w:color w:val="auto"/>
        </w:rPr>
        <w:t>” means the Australian Revolving Loan Obligations, the USD Revolving Loan Obligations, the European Revolving Loan Obligations and/or the India Revolving Loan Obligations, as appropriate.</w:t>
      </w:r>
    </w:p>
    <w:p>
      <w:pPr>
        <w:spacing w:after="0" w:line="176" w:lineRule="exact"/>
        <w:rPr>
          <w:sz w:val="20"/>
          <w:szCs w:val="20"/>
          <w:color w:val="auto"/>
        </w:rPr>
      </w:pPr>
    </w:p>
    <w:p>
      <w:pPr>
        <w:ind w:right="20" w:firstLine="648"/>
        <w:spacing w:after="0" w:line="303"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Revolving Loans</w:t>
      </w:r>
      <w:r>
        <w:rPr>
          <w:rFonts w:ascii="Arial" w:cs="Arial" w:eastAsia="Arial" w:hAnsi="Arial"/>
          <w:sz w:val="20"/>
          <w:szCs w:val="20"/>
          <w:color w:val="auto"/>
        </w:rPr>
        <w:t>” means the Australian Revolving Loans, the USD Revolving Loans, the European Revolving Loans and/or the India Revolving Loans, as appropriate.</w:t>
      </w:r>
    </w:p>
    <w:p>
      <w:pPr>
        <w:spacing w:after="0" w:line="176" w:lineRule="exact"/>
        <w:rPr>
          <w:sz w:val="20"/>
          <w:szCs w:val="20"/>
          <w:color w:val="auto"/>
        </w:rPr>
      </w:pPr>
    </w:p>
    <w:p>
      <w:pPr>
        <w:ind w:right="120" w:firstLine="648"/>
        <w:spacing w:after="0" w:line="303"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Revolving Notes</w:t>
      </w:r>
      <w:r>
        <w:rPr>
          <w:rFonts w:ascii="Arial" w:cs="Arial" w:eastAsia="Arial" w:hAnsi="Arial"/>
          <w:sz w:val="20"/>
          <w:szCs w:val="20"/>
          <w:color w:val="auto"/>
        </w:rPr>
        <w:t>” means the Australian Revolving Notes, the USD Revolving Notes, the European Revolving Notes and/or the India Revolving Notes.</w:t>
      </w:r>
    </w:p>
    <w:p>
      <w:pPr>
        <w:spacing w:after="0" w:line="17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Revolving Termination Date</w:t>
      </w:r>
      <w:r>
        <w:rPr>
          <w:rFonts w:ascii="Arial" w:cs="Arial" w:eastAsia="Arial" w:hAnsi="Arial"/>
          <w:sz w:val="20"/>
          <w:szCs w:val="20"/>
          <w:color w:val="auto"/>
        </w:rPr>
        <w:t xml:space="preserve">” means </w:t>
      </w:r>
      <w:r>
        <w:rPr>
          <w:rFonts w:ascii="Arial" w:cs="Arial" w:eastAsia="Arial" w:hAnsi="Arial"/>
          <w:sz w:val="20"/>
          <w:szCs w:val="20"/>
          <w:color w:val="FF0000"/>
          <w:strike w:val="1"/>
        </w:rPr>
        <w:t>August 18, 2016.</w:t>
      </w:r>
      <w:r>
        <w:rPr>
          <w:rFonts w:ascii="Arial" w:cs="Arial" w:eastAsia="Arial" w:hAnsi="Arial"/>
          <w:sz w:val="20"/>
          <w:szCs w:val="20"/>
          <w:u w:val="single" w:color="auto"/>
          <w:color w:val="0000FF"/>
        </w:rPr>
        <w:t>April 9, 2019.</w:t>
      </w:r>
    </w:p>
    <w:p>
      <w:pPr>
        <w:spacing w:after="0" w:line="256" w:lineRule="exact"/>
        <w:rPr>
          <w:sz w:val="20"/>
          <w:szCs w:val="20"/>
          <w:color w:val="auto"/>
        </w:rPr>
      </w:pPr>
    </w:p>
    <w:p>
      <w:pPr>
        <w:ind w:left="660"/>
        <w:spacing w:after="0" w:line="219" w:lineRule="exact"/>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S&amp;P</w:t>
      </w:r>
      <w:r>
        <w:rPr>
          <w:rFonts w:ascii="Arial" w:cs="Arial" w:eastAsia="Arial" w:hAnsi="Arial"/>
          <w:sz w:val="19"/>
          <w:szCs w:val="19"/>
          <w:color w:val="auto"/>
        </w:rPr>
        <w:t>” means Standard &amp; Poor’s Ratings Services, a division of The McGraw</w:t>
      </w:r>
      <w:r>
        <w:rPr>
          <w:rFonts w:ascii="MS PGothic" w:cs="MS PGothic" w:eastAsia="MS PGothic" w:hAnsi="MS PGothic"/>
          <w:sz w:val="19"/>
          <w:szCs w:val="19"/>
          <w:color w:val="auto"/>
        </w:rPr>
        <w:t>‑</w:t>
      </w:r>
      <w:r>
        <w:rPr>
          <w:rFonts w:ascii="Arial" w:cs="Arial" w:eastAsia="Arial" w:hAnsi="Arial"/>
          <w:sz w:val="19"/>
          <w:szCs w:val="19"/>
          <w:color w:val="auto"/>
        </w:rPr>
        <w:t>Hill Companies, Inc. and any successor thereto.</w:t>
      </w:r>
    </w:p>
    <w:p>
      <w:pPr>
        <w:spacing w:after="0" w:line="268" w:lineRule="exact"/>
        <w:rPr>
          <w:sz w:val="20"/>
          <w:szCs w:val="20"/>
          <w:color w:val="auto"/>
        </w:rPr>
      </w:pPr>
    </w:p>
    <w:p>
      <w:pPr>
        <w:ind w:firstLine="648"/>
        <w:spacing w:after="0" w:line="292"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Same Day Funds</w:t>
      </w:r>
      <w:r>
        <w:rPr>
          <w:rFonts w:ascii="Arial" w:cs="Arial" w:eastAsia="Arial" w:hAnsi="Arial"/>
          <w:sz w:val="20"/>
          <w:szCs w:val="20"/>
          <w:color w:val="auto"/>
        </w:rPr>
        <w:t>” means (a) with respect to disbursements and payments in Dollars, immediately available funds, and (b) with respect to disbursements and payments in a currencies other than Dollars, same day or other funds as may be determined by the Administrative Agent or the applicable</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55</w:t>
      </w:r>
    </w:p>
    <w:p>
      <w:pPr>
        <w:spacing w:after="0" w:line="10" w:lineRule="exact"/>
        <w:rPr>
          <w:sz w:val="20"/>
          <w:szCs w:val="20"/>
          <w:color w:val="auto"/>
        </w:rPr>
      </w:pPr>
    </w:p>
    <w:p>
      <w:pPr>
        <w:spacing w:after="0"/>
        <w:rPr>
          <w:sz w:val="20"/>
          <w:szCs w:val="20"/>
          <w:color w:val="auto"/>
        </w:rPr>
      </w:pPr>
      <w:r>
        <w:rPr>
          <w:rFonts w:ascii="Arial" w:cs="Arial" w:eastAsia="Arial" w:hAnsi="Arial"/>
          <w:sz w:val="14"/>
          <w:szCs w:val="14"/>
          <w:color w:val="auto"/>
        </w:rPr>
        <w:t>CHAR1\1346423v</w:t>
      </w:r>
      <w:r>
        <w:rPr>
          <w:rFonts w:ascii="Arial" w:cs="Arial" w:eastAsia="Arial" w:hAnsi="Arial"/>
          <w:sz w:val="14"/>
          <w:szCs w:val="14"/>
          <w:color w:val="FF0000"/>
          <w:strike w:val="1"/>
        </w:rPr>
        <w:t>1</w:t>
      </w:r>
      <w:r>
        <w:rPr>
          <w:rFonts w:ascii="Arial" w:cs="Arial" w:eastAsia="Arial" w:hAnsi="Arial"/>
          <w:sz w:val="14"/>
          <w:szCs w:val="14"/>
          <w:u w:val="single" w:color="auto"/>
          <w:color w:val="0000FF"/>
        </w:rPr>
        <w:t>12</w:t>
      </w:r>
    </w:p>
    <w:p>
      <w:pPr>
        <w:sectPr>
          <w:pgSz w:w="11900" w:h="16838" w:orient="portrait"/>
          <w:cols w:equalWidth="0" w:num="1">
            <w:col w:w="11400"/>
          </w:cols>
          <w:pgMar w:left="240" w:top="609" w:right="259" w:bottom="1440" w:gutter="0" w:footer="0" w:header="0"/>
        </w:sectPr>
      </w:pPr>
    </w:p>
    <w:bookmarkStart w:id="107" w:name="page108"/>
    <w:bookmarkEnd w:id="107"/>
    <w:p>
      <w:pPr>
        <w:ind w:right="20"/>
        <w:spacing w:after="0" w:line="303" w:lineRule="auto"/>
        <w:rPr>
          <w:sz w:val="20"/>
          <w:szCs w:val="20"/>
          <w:color w:val="auto"/>
        </w:rPr>
      </w:pPr>
      <w:r>
        <w:rPr>
          <w:rFonts w:ascii="Arial" w:cs="Arial" w:eastAsia="Arial" w:hAnsi="Arial"/>
          <w:sz w:val="20"/>
          <w:szCs w:val="20"/>
          <w:color w:val="auto"/>
        </w:rPr>
        <w:t>L/C Issuer, as the case may be, to be customary in the place of disbursement or payment for the settlement of international banking transactions in the relevant currency.</w:t>
      </w:r>
    </w:p>
    <w:p>
      <w:pPr>
        <w:spacing w:after="0" w:line="176" w:lineRule="exact"/>
        <w:rPr>
          <w:sz w:val="20"/>
          <w:szCs w:val="20"/>
          <w:color w:val="auto"/>
        </w:rPr>
      </w:pPr>
    </w:p>
    <w:p>
      <w:pPr>
        <w:ind w:right="100" w:firstLine="648"/>
        <w:spacing w:after="0" w:line="292" w:lineRule="auto"/>
        <w:rPr>
          <w:sz w:val="20"/>
          <w:szCs w:val="20"/>
          <w:color w:val="auto"/>
        </w:rPr>
      </w:pPr>
      <w:r>
        <w:rPr>
          <w:rFonts w:ascii="Arial" w:cs="Arial" w:eastAsia="Arial" w:hAnsi="Arial"/>
          <w:sz w:val="20"/>
          <w:szCs w:val="20"/>
          <w:u w:val="single" w:color="auto"/>
          <w:color w:val="0000FF"/>
        </w:rPr>
        <w:t>“Sanction(s)” means any international economic sanction(s) program (for the avoidance of doubt, excluding any penalties relating to taxes) administered or enforced by the United States Government (including, without limitation, OFAC), the United Nations Security Council, the European Union or Her Majesty’s Treasury.</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SEC</w:t>
      </w:r>
      <w:r>
        <w:rPr>
          <w:rFonts w:ascii="Arial" w:cs="Arial" w:eastAsia="Arial" w:hAnsi="Arial"/>
          <w:sz w:val="18"/>
          <w:szCs w:val="18"/>
          <w:color w:val="auto"/>
        </w:rPr>
        <w:t>” means the Securities and Exchange Commission, or any Governmental Authority succeeding to any of its principal functions.</w:t>
      </w:r>
    </w:p>
    <w:p>
      <w:pPr>
        <w:spacing w:after="0" w:line="279" w:lineRule="exact"/>
        <w:rPr>
          <w:sz w:val="20"/>
          <w:szCs w:val="20"/>
          <w:color w:val="auto"/>
        </w:rPr>
      </w:pPr>
    </w:p>
    <w:p>
      <w:pPr>
        <w:ind w:right="120" w:firstLine="648"/>
        <w:spacing w:after="0" w:line="303"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Securitization Transaction</w:t>
      </w:r>
      <w:r>
        <w:rPr>
          <w:rFonts w:ascii="Arial" w:cs="Arial" w:eastAsia="Arial" w:hAnsi="Arial"/>
          <w:sz w:val="19"/>
          <w:szCs w:val="19"/>
          <w:color w:val="auto"/>
        </w:rPr>
        <w:t>” means any financing, factoring or similar transaction (or series of transactions) entered into by any member of the Consolidated Group pursuant to which any such member of the Consolidated Group may sell, convey or otherwise transfer, or pledge or grant a security interest in, accounts, payments, receivables, rights to future lease payments or residuals or similar rights to payment (the “</w:t>
      </w:r>
      <w:r>
        <w:rPr>
          <w:rFonts w:ascii="Arial" w:cs="Arial" w:eastAsia="Arial" w:hAnsi="Arial"/>
          <w:sz w:val="19"/>
          <w:szCs w:val="19"/>
          <w:u w:val="single" w:color="auto"/>
          <w:color w:val="auto"/>
        </w:rPr>
        <w:t>Securitization Receivables</w:t>
      </w:r>
      <w:r>
        <w:rPr>
          <w:rFonts w:ascii="Arial" w:cs="Arial" w:eastAsia="Arial" w:hAnsi="Arial"/>
          <w:sz w:val="19"/>
          <w:szCs w:val="19"/>
          <w:color w:val="auto"/>
        </w:rPr>
        <w:t>”) to a special purpose entity (a “</w:t>
      </w:r>
      <w:r>
        <w:rPr>
          <w:rFonts w:ascii="Arial" w:cs="Arial" w:eastAsia="Arial" w:hAnsi="Arial"/>
          <w:sz w:val="19"/>
          <w:szCs w:val="19"/>
          <w:u w:val="single" w:color="auto"/>
          <w:color w:val="auto"/>
        </w:rPr>
        <w:t>Securitization SPE</w:t>
      </w:r>
      <w:r>
        <w:rPr>
          <w:rFonts w:ascii="Arial" w:cs="Arial" w:eastAsia="Arial" w:hAnsi="Arial"/>
          <w:sz w:val="19"/>
          <w:szCs w:val="19"/>
          <w:color w:val="auto"/>
        </w:rPr>
        <w:t xml:space="preserve">”) or other Person;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the granting of Liens in specific accounts receivable to secure specific letters of credit and other obligations covered in clause (c) of the definition of Funded Debt will not constitute a Securitization Transaction for purposes hereof.</w:t>
      </w:r>
    </w:p>
    <w:p>
      <w:pPr>
        <w:spacing w:after="0" w:line="18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Security Agreements</w:t>
      </w:r>
      <w:r>
        <w:rPr>
          <w:rFonts w:ascii="Arial" w:cs="Arial" w:eastAsia="Arial" w:hAnsi="Arial"/>
          <w:sz w:val="18"/>
          <w:szCs w:val="18"/>
          <w:color w:val="auto"/>
        </w:rPr>
        <w:t>” means the Domestic Security Agreement, the Foreign Security Agreement and the India Security Agreement.</w:t>
      </w:r>
    </w:p>
    <w:p>
      <w:pPr>
        <w:spacing w:after="0" w:line="279" w:lineRule="exact"/>
        <w:rPr>
          <w:sz w:val="20"/>
          <w:szCs w:val="20"/>
          <w:color w:val="auto"/>
        </w:rPr>
      </w:pPr>
    </w:p>
    <w:p>
      <w:pPr>
        <w:ind w:right="260" w:firstLine="648"/>
        <w:spacing w:after="0" w:line="303"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Special Notice Currency</w:t>
      </w:r>
      <w:r>
        <w:rPr>
          <w:rFonts w:ascii="Arial" w:cs="Arial" w:eastAsia="Arial" w:hAnsi="Arial"/>
          <w:sz w:val="20"/>
          <w:szCs w:val="20"/>
          <w:color w:val="auto"/>
        </w:rPr>
        <w:t>” means at any time a currency other than Dollars, other than the currency of a country that is a member of the Organization for Economic Cooperation and Development at such time located in North America or Europe.</w:t>
      </w:r>
    </w:p>
    <w:p>
      <w:pPr>
        <w:spacing w:after="0" w:line="176" w:lineRule="exact"/>
        <w:rPr>
          <w:sz w:val="20"/>
          <w:szCs w:val="20"/>
          <w:color w:val="auto"/>
        </w:rPr>
      </w:pPr>
    </w:p>
    <w:p>
      <w:pPr>
        <w:ind w:right="140" w:firstLine="648"/>
        <w:spacing w:after="0" w:line="287"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Specified</w:t>
      </w:r>
      <w:r>
        <w:rPr>
          <w:rFonts w:ascii="Arial" w:cs="Arial" w:eastAsia="Arial" w:hAnsi="Arial"/>
          <w:sz w:val="20"/>
          <w:szCs w:val="20"/>
          <w:color w:val="auto"/>
        </w:rPr>
        <w:t xml:space="preserve"> </w:t>
      </w:r>
      <w:r>
        <w:rPr>
          <w:rFonts w:ascii="Arial" w:cs="Arial" w:eastAsia="Arial" w:hAnsi="Arial"/>
          <w:sz w:val="20"/>
          <w:szCs w:val="20"/>
          <w:u w:val="single" w:color="auto"/>
          <w:color w:val="FF0000"/>
        </w:rPr>
        <w:t>Material Foreign Subsidiaries</w:t>
      </w:r>
      <w:r>
        <w:rPr>
          <w:rFonts w:ascii="Arial" w:cs="Arial" w:eastAsia="Arial" w:hAnsi="Arial"/>
          <w:sz w:val="20"/>
          <w:szCs w:val="20"/>
          <w:color w:val="FF0000"/>
        </w:rPr>
        <w:t>” means each of the Foreign Borrowers, Bankomat 24/Euronet Sp.z.o.o., incorporated in</w:t>
      </w:r>
      <w:r>
        <w:rPr>
          <w:rFonts w:ascii="Arial" w:cs="Arial" w:eastAsia="Arial" w:hAnsi="Arial"/>
          <w:sz w:val="20"/>
          <w:szCs w:val="20"/>
          <w:color w:val="auto"/>
        </w:rPr>
        <w:t xml:space="preserve"> </w:t>
      </w:r>
      <w:r>
        <w:rPr>
          <w:rFonts w:ascii="Arial" w:cs="Arial" w:eastAsia="Arial" w:hAnsi="Arial"/>
          <w:sz w:val="20"/>
          <w:szCs w:val="20"/>
          <w:color w:val="FF0000"/>
          <w:strike w:val="1"/>
        </w:rPr>
        <w:t>Poland, e-pay Limited, existing under the laws of England and Wales, e-pay Australia Pty Ltd, existing under the laws of New South Wales, Australia, Euronet Adminisztracios Szolgaltato Kft., existing under the laws of Hungary, and Euronet Banktechnikai Szolgaltato Kft., existing under the laws of Hungary.</w:t>
      </w:r>
      <w:r>
        <w:rPr>
          <w:rFonts w:ascii="Arial" w:cs="Arial" w:eastAsia="Arial" w:hAnsi="Arial"/>
          <w:sz w:val="20"/>
          <w:szCs w:val="20"/>
          <w:u w:val="single" w:color="auto"/>
          <w:color w:val="0000FF"/>
          <w:strike w:val="1"/>
        </w:rPr>
        <w:t>Credit Party” means any Credit Party that is not then an “eligible contract participant” under the Commodity</w:t>
      </w:r>
      <w:r>
        <w:rPr>
          <w:rFonts w:ascii="Arial" w:cs="Arial" w:eastAsia="Arial" w:hAnsi="Arial"/>
          <w:sz w:val="20"/>
          <w:szCs w:val="20"/>
          <w:color w:val="FF0000"/>
          <w:strike w:val="1"/>
        </w:rPr>
        <w:t xml:space="preserve"> </w:t>
      </w:r>
      <w:r>
        <w:rPr>
          <w:rFonts w:ascii="Arial" w:cs="Arial" w:eastAsia="Arial" w:hAnsi="Arial"/>
          <w:sz w:val="20"/>
          <w:szCs w:val="20"/>
          <w:u w:val="single" w:color="auto"/>
          <w:color w:val="0000FF"/>
          <w:strike w:val="1"/>
        </w:rPr>
        <w:t>Exchange Act (determined prior to giving effect to Section 4.08).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978535</wp:posOffset>
            </wp:positionH>
            <wp:positionV relativeFrom="paragraph">
              <wp:posOffset>-784860</wp:posOffset>
            </wp:positionV>
            <wp:extent cx="5937250"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5937250" cy="8890"/>
                    </a:xfrm>
                    <a:prstGeom prst="rect">
                      <a:avLst/>
                    </a:prstGeom>
                    <a:noFill/>
                  </pic:spPr>
                </pic:pic>
              </a:graphicData>
            </a:graphic>
          </wp:anchor>
        </w:drawing>
      </w:r>
    </w:p>
    <w:p>
      <w:pPr>
        <w:spacing w:after="0" w:line="172" w:lineRule="exact"/>
        <w:rPr>
          <w:sz w:val="20"/>
          <w:szCs w:val="20"/>
          <w:color w:val="auto"/>
        </w:rPr>
      </w:pPr>
    </w:p>
    <w:p>
      <w:pPr>
        <w:ind w:firstLine="648"/>
        <w:spacing w:after="0" w:line="303"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Specified Obligations</w:t>
      </w:r>
      <w:r>
        <w:rPr>
          <w:rFonts w:ascii="Arial" w:cs="Arial" w:eastAsia="Arial" w:hAnsi="Arial"/>
          <w:sz w:val="20"/>
          <w:szCs w:val="20"/>
          <w:color w:val="auto"/>
        </w:rPr>
        <w:t>” means Obligations consisting of principal of and interest on the Loans, reimbursement obligations in respect of Letters of Credit and fees.</w:t>
      </w:r>
    </w:p>
    <w:p>
      <w:pPr>
        <w:spacing w:after="0" w:line="176" w:lineRule="exact"/>
        <w:rPr>
          <w:sz w:val="20"/>
          <w:szCs w:val="20"/>
          <w:color w:val="auto"/>
        </w:rPr>
      </w:pPr>
    </w:p>
    <w:p>
      <w:pPr>
        <w:ind w:right="40" w:firstLine="648"/>
        <w:spacing w:after="0" w:line="286"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Spot Rate</w:t>
      </w:r>
      <w:r>
        <w:rPr>
          <w:rFonts w:ascii="Arial" w:cs="Arial" w:eastAsia="Arial" w:hAnsi="Arial"/>
          <w:sz w:val="20"/>
          <w:szCs w:val="20"/>
          <w:color w:val="auto"/>
        </w:rPr>
        <w:t xml:space="preserve">” for a currency means the rate determined by the Administrative Agent or the applicable L/C Issuer, as applicable, to be the rate quoted by the Person acting in such capacity as the spot rate for the purchase by such Person of such currency with another currency through its principal foreign exchange trading office at approximately 11:00 a.m. on the date two Business Days prior to the date as of which the foreign exchange computation is made;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the Administrative Agent or the applicable L/C Issuer may obtain such spot rate from another financial institution designated by the Administrative Agent or the applicable L/C Issuer if the Person acting in such capacity does not have as</w:t>
      </w:r>
    </w:p>
    <w:p>
      <w:pPr>
        <w:spacing w:after="0" w:line="200" w:lineRule="exact"/>
        <w:rPr>
          <w:sz w:val="20"/>
          <w:szCs w:val="20"/>
          <w:color w:val="auto"/>
        </w:rPr>
      </w:pPr>
    </w:p>
    <w:p>
      <w:pPr>
        <w:spacing w:after="0" w:line="208" w:lineRule="exact"/>
        <w:rPr>
          <w:sz w:val="20"/>
          <w:szCs w:val="20"/>
          <w:color w:val="auto"/>
        </w:rPr>
      </w:pPr>
    </w:p>
    <w:p>
      <w:pPr>
        <w:jc w:val="center"/>
        <w:ind w:right="-39"/>
        <w:spacing w:after="0"/>
        <w:rPr>
          <w:sz w:val="20"/>
          <w:szCs w:val="20"/>
          <w:color w:val="auto"/>
        </w:rPr>
      </w:pPr>
      <w:r>
        <w:rPr>
          <w:rFonts w:ascii="Arial" w:cs="Arial" w:eastAsia="Arial" w:hAnsi="Arial"/>
          <w:sz w:val="20"/>
          <w:szCs w:val="20"/>
          <w:color w:val="auto"/>
        </w:rPr>
        <w:t>56</w:t>
      </w:r>
    </w:p>
    <w:p>
      <w:pPr>
        <w:spacing w:after="0" w:line="10" w:lineRule="exact"/>
        <w:rPr>
          <w:sz w:val="20"/>
          <w:szCs w:val="20"/>
          <w:color w:val="auto"/>
        </w:rPr>
      </w:pPr>
    </w:p>
    <w:p>
      <w:pPr>
        <w:spacing w:after="0"/>
        <w:rPr>
          <w:sz w:val="20"/>
          <w:szCs w:val="20"/>
          <w:color w:val="auto"/>
        </w:rPr>
      </w:pPr>
      <w:r>
        <w:rPr>
          <w:rFonts w:ascii="Arial" w:cs="Arial" w:eastAsia="Arial" w:hAnsi="Arial"/>
          <w:sz w:val="14"/>
          <w:szCs w:val="14"/>
          <w:color w:val="auto"/>
        </w:rPr>
        <w:t>CHAR1\1346423v</w:t>
      </w:r>
      <w:r>
        <w:rPr>
          <w:rFonts w:ascii="Arial" w:cs="Arial" w:eastAsia="Arial" w:hAnsi="Arial"/>
          <w:sz w:val="14"/>
          <w:szCs w:val="14"/>
          <w:color w:val="FF0000"/>
          <w:strike w:val="1"/>
        </w:rPr>
        <w:t>1</w:t>
      </w:r>
      <w:r>
        <w:rPr>
          <w:rFonts w:ascii="Arial" w:cs="Arial" w:eastAsia="Arial" w:hAnsi="Arial"/>
          <w:sz w:val="14"/>
          <w:szCs w:val="14"/>
          <w:u w:val="single" w:color="auto"/>
          <w:color w:val="0000FF"/>
        </w:rPr>
        <w:t>12</w:t>
      </w:r>
    </w:p>
    <w:p>
      <w:pPr>
        <w:sectPr>
          <w:pgSz w:w="11900" w:h="16838" w:orient="portrait"/>
          <w:cols w:equalWidth="0" w:num="1">
            <w:col w:w="11400"/>
          </w:cols>
          <w:pgMar w:left="240" w:top="609" w:right="259" w:bottom="1440" w:gutter="0" w:footer="0" w:header="0"/>
        </w:sectPr>
      </w:pPr>
    </w:p>
    <w:bookmarkStart w:id="108" w:name="page109"/>
    <w:bookmarkEnd w:id="108"/>
    <w:p>
      <w:pPr>
        <w:spacing w:after="0" w:line="292" w:lineRule="auto"/>
        <w:rPr>
          <w:sz w:val="20"/>
          <w:szCs w:val="20"/>
          <w:color w:val="auto"/>
        </w:rPr>
      </w:pPr>
      <w:r>
        <w:rPr>
          <w:rFonts w:ascii="Arial" w:cs="Arial" w:eastAsia="Arial" w:hAnsi="Arial"/>
          <w:sz w:val="20"/>
          <w:szCs w:val="20"/>
          <w:color w:val="auto"/>
        </w:rPr>
        <w:t xml:space="preserve">of the date of determination a spot buying rate for any such currency; and </w:t>
      </w:r>
      <w:r>
        <w:rPr>
          <w:rFonts w:ascii="Arial" w:cs="Arial" w:eastAsia="Arial" w:hAnsi="Arial"/>
          <w:sz w:val="20"/>
          <w:szCs w:val="20"/>
          <w:u w:val="single" w:color="auto"/>
          <w:color w:val="auto"/>
        </w:rPr>
        <w:t>provided further</w:t>
      </w:r>
      <w:r>
        <w:rPr>
          <w:rFonts w:ascii="Arial" w:cs="Arial" w:eastAsia="Arial" w:hAnsi="Arial"/>
          <w:sz w:val="20"/>
          <w:szCs w:val="20"/>
          <w:color w:val="auto"/>
        </w:rPr>
        <w:t xml:space="preserve"> that the applicable L/C Issuer may use such spot rate quoted on the date as of which the foreign exchange computation is made in the case of any Letter of Credit denominated in a currency other than Dollars.</w:t>
      </w:r>
    </w:p>
    <w:p>
      <w:pPr>
        <w:spacing w:after="0" w:line="187" w:lineRule="exact"/>
        <w:rPr>
          <w:sz w:val="20"/>
          <w:szCs w:val="20"/>
          <w:color w:val="auto"/>
        </w:rPr>
      </w:pPr>
    </w:p>
    <w:p>
      <w:pPr>
        <w:ind w:right="400" w:firstLine="648"/>
        <w:spacing w:after="0" w:line="292"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Subordinated Debt</w:t>
      </w:r>
      <w:r>
        <w:rPr>
          <w:rFonts w:ascii="Arial" w:cs="Arial" w:eastAsia="Arial" w:hAnsi="Arial"/>
          <w:sz w:val="20"/>
          <w:szCs w:val="20"/>
          <w:color w:val="auto"/>
        </w:rPr>
        <w:t xml:space="preserve">” means </w:t>
      </w:r>
      <w:r>
        <w:rPr>
          <w:rFonts w:ascii="Arial" w:cs="Arial" w:eastAsia="Arial" w:hAnsi="Arial"/>
          <w:sz w:val="20"/>
          <w:szCs w:val="20"/>
          <w:color w:val="FF0000"/>
          <w:strike w:val="1"/>
        </w:rPr>
        <w:t>(i) the Convertible Debentures, and (ii)</w:t>
      </w:r>
      <w:r>
        <w:rPr>
          <w:rFonts w:ascii="Arial" w:cs="Arial" w:eastAsia="Arial" w:hAnsi="Arial"/>
          <w:sz w:val="20"/>
          <w:szCs w:val="20"/>
          <w:color w:val="auto"/>
        </w:rPr>
        <w:t xml:space="preserve"> any Indebtedness that by its terms is expressly subordinated in right of payment to the prior payment of the Loan Obligations hereunder on terms and conditions, and evidenced by documentation, satisfactory to the Administrative Agent and the Required Lenders.</w:t>
      </w:r>
    </w:p>
    <w:p>
      <w:pPr>
        <w:spacing w:after="0" w:line="187" w:lineRule="exact"/>
        <w:rPr>
          <w:sz w:val="20"/>
          <w:szCs w:val="20"/>
          <w:color w:val="auto"/>
        </w:rPr>
      </w:pPr>
    </w:p>
    <w:p>
      <w:pPr>
        <w:ind w:right="160" w:firstLine="648"/>
        <w:spacing w:after="0" w:line="305"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Subsidiary</w:t>
      </w:r>
      <w:r>
        <w:rPr>
          <w:rFonts w:ascii="Arial" w:cs="Arial" w:eastAsia="Arial" w:hAnsi="Arial"/>
          <w:sz w:val="19"/>
          <w:szCs w:val="19"/>
          <w:color w:val="auto"/>
        </w:rPr>
        <w:t>” of a Person means a corporation, partnership, joint venture, limited liability company or other business entity of which a majority of the shares of securities or other interests having ordinary voting power for the election of directors or other governing body (other than securities or interests having such power only by reason of the happening of a contingency) are at the time beneficially owned, or the management of which is otherwise controlled, directly, or indirectly through one or more intermediaries, or both, by such Person. Unless otherwise provided, “Subsidiary” shall refer to a Subsidiary of EWI.</w:t>
      </w:r>
    </w:p>
    <w:p>
      <w:pPr>
        <w:spacing w:after="0" w:line="178" w:lineRule="exact"/>
        <w:rPr>
          <w:sz w:val="20"/>
          <w:szCs w:val="20"/>
          <w:color w:val="auto"/>
        </w:rPr>
      </w:pPr>
    </w:p>
    <w:p>
      <w:pPr>
        <w:ind w:right="20" w:firstLine="648"/>
        <w:spacing w:after="0" w:line="359"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Support Obligations</w:t>
      </w:r>
      <w:r>
        <w:rPr>
          <w:rFonts w:ascii="Arial" w:cs="Arial" w:eastAsia="Arial" w:hAnsi="Arial"/>
          <w:sz w:val="16"/>
          <w:szCs w:val="16"/>
          <w:color w:val="auto"/>
        </w:rPr>
        <w:t>” means, as to any Person, (a) any obligation, contingent or otherwise, of such Person guaranteeing or having the economic effect of guaranteeing any Funded Debt or other Indebtedness payable or performable by another Person (the “primary obligor”) in any manner, whether directly or indirectly, and including any obligation of such Person, direct or indirect, (i) to purchase or pay (or advance or supply funds for the purchase or payment of) such Funded Debt or other Indebtedness, (ii) to purchase or lease property, securities or services for the purpose of assuring the obligee in respect of such Funded Debt or other Indebtedness of the payment or performance of such Funded Debt or other Indebtedness, (iii) to maintain working capital, equity capital or any other financial statement condition or liquidity or level of income or cash flow of the primary obligor so as to enable the primary obligor to pay such Funded Debt or other Indebtedness, or (iv) entered into for the purpose of assuring in any other manner the obligee in respect of such Funded Debt or other Indebtedness of the payment or performance thereof or to protect such obligee against loss in respect thereof (in whole or in part), or (b) any Lien on any assets of such Person securing any Funded Debt or other Indebtedness of any other Person, whether or not such Funded Debt or other Indebtedness is assumed by such Person (or any right, contingent or otherwise, of any holder of such Funded Debt or other Indebtedness to obtain any such Lien); provided that “Support Obligation” shall not include obligations relating to the endorsement of checks, drafts or other items for collection in the ordinary course of business. The amount of any Support Obligations shall be deemed to be an amount equal to the stated or determinable amount of the related Funded Debt or other Indebtedness, or portion thereof, in respect of which such Support Obligation is made or, if not stated or determinable, the maximum reasonably anticipated liability in respect thereof as determined by the guaranteeing Person in good faith.</w:t>
      </w:r>
    </w:p>
    <w:p>
      <w:pPr>
        <w:spacing w:after="0" w:line="200" w:lineRule="exact"/>
        <w:rPr>
          <w:sz w:val="20"/>
          <w:szCs w:val="20"/>
          <w:color w:val="auto"/>
        </w:rPr>
      </w:pPr>
    </w:p>
    <w:p>
      <w:pPr>
        <w:spacing w:after="0" w:line="215" w:lineRule="exact"/>
        <w:rPr>
          <w:sz w:val="20"/>
          <w:szCs w:val="20"/>
          <w:color w:val="auto"/>
        </w:rPr>
      </w:pPr>
    </w:p>
    <w:p>
      <w:pPr>
        <w:jc w:val="both"/>
        <w:ind w:right="320" w:firstLine="648"/>
        <w:spacing w:after="0" w:line="395"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Swap Contract</w:t>
      </w:r>
      <w:r>
        <w:rPr>
          <w:rFonts w:ascii="Arial" w:cs="Arial" w:eastAsia="Arial" w:hAnsi="Arial"/>
          <w:sz w:val="16"/>
          <w:szCs w:val="16"/>
          <w:color w:val="auto"/>
        </w:rPr>
        <w:t>” means (a) any and all rate swap transactions, basis swaps, credit derivative transactions, forward rate transactions, commodity swaps, commodity options, forward commodity contracts, equity or equity index swaps or options, bond or bond price or bond index swaps or options or forward bond or forward bond price or forward bond index transactions, interest rate options, forward</w:t>
      </w:r>
    </w:p>
    <w:p>
      <w:pPr>
        <w:spacing w:after="0" w:line="334" w:lineRule="exact"/>
        <w:rPr>
          <w:sz w:val="20"/>
          <w:szCs w:val="20"/>
          <w:color w:val="auto"/>
        </w:rPr>
      </w:pPr>
    </w:p>
    <w:p>
      <w:pPr>
        <w:jc w:val="center"/>
        <w:ind w:right="-39"/>
        <w:spacing w:after="0"/>
        <w:rPr>
          <w:sz w:val="20"/>
          <w:szCs w:val="20"/>
          <w:color w:val="auto"/>
        </w:rPr>
      </w:pPr>
      <w:r>
        <w:rPr>
          <w:rFonts w:ascii="Arial" w:cs="Arial" w:eastAsia="Arial" w:hAnsi="Arial"/>
          <w:sz w:val="20"/>
          <w:szCs w:val="20"/>
          <w:color w:val="auto"/>
        </w:rPr>
        <w:t>57</w:t>
      </w:r>
    </w:p>
    <w:p>
      <w:pPr>
        <w:spacing w:after="0" w:line="10" w:lineRule="exact"/>
        <w:rPr>
          <w:sz w:val="20"/>
          <w:szCs w:val="20"/>
          <w:color w:val="auto"/>
        </w:rPr>
      </w:pPr>
    </w:p>
    <w:p>
      <w:pPr>
        <w:spacing w:after="0"/>
        <w:rPr>
          <w:sz w:val="20"/>
          <w:szCs w:val="20"/>
          <w:color w:val="auto"/>
        </w:rPr>
      </w:pPr>
      <w:r>
        <w:rPr>
          <w:rFonts w:ascii="Arial" w:cs="Arial" w:eastAsia="Arial" w:hAnsi="Arial"/>
          <w:sz w:val="14"/>
          <w:szCs w:val="14"/>
          <w:color w:val="auto"/>
        </w:rPr>
        <w:t>CHAR1\1346423v</w:t>
      </w:r>
      <w:r>
        <w:rPr>
          <w:rFonts w:ascii="Arial" w:cs="Arial" w:eastAsia="Arial" w:hAnsi="Arial"/>
          <w:sz w:val="14"/>
          <w:szCs w:val="14"/>
          <w:color w:val="FF0000"/>
          <w:strike w:val="1"/>
        </w:rPr>
        <w:t>1</w:t>
      </w:r>
      <w:r>
        <w:rPr>
          <w:rFonts w:ascii="Arial" w:cs="Arial" w:eastAsia="Arial" w:hAnsi="Arial"/>
          <w:sz w:val="14"/>
          <w:szCs w:val="14"/>
          <w:u w:val="single" w:color="auto"/>
          <w:color w:val="0000FF"/>
        </w:rPr>
        <w:t>12</w:t>
      </w:r>
    </w:p>
    <w:p>
      <w:pPr>
        <w:sectPr>
          <w:pgSz w:w="11900" w:h="16838" w:orient="portrait"/>
          <w:cols w:equalWidth="0" w:num="1">
            <w:col w:w="11400"/>
          </w:cols>
          <w:pgMar w:left="240" w:top="609" w:right="259" w:bottom="1440" w:gutter="0" w:footer="0" w:header="0"/>
        </w:sectPr>
      </w:pPr>
    </w:p>
    <w:bookmarkStart w:id="109" w:name="page110"/>
    <w:bookmarkEnd w:id="109"/>
    <w:p>
      <w:pPr>
        <w:ind w:right="40"/>
        <w:spacing w:after="0" w:line="267" w:lineRule="exact"/>
        <w:rPr>
          <w:sz w:val="20"/>
          <w:szCs w:val="20"/>
          <w:color w:val="auto"/>
        </w:rPr>
      </w:pPr>
      <w:r>
        <w:rPr>
          <w:rFonts w:ascii="Arial" w:cs="Arial" w:eastAsia="Arial" w:hAnsi="Arial"/>
          <w:sz w:val="19"/>
          <w:szCs w:val="19"/>
          <w:color w:val="auto"/>
        </w:rPr>
        <w:t>foreign exchange transactions, cap transactions, floor transactions, collar transactions, currency swap transactions, cross</w:t>
      </w:r>
      <w:r>
        <w:rPr>
          <w:rFonts w:ascii="MS PGothic" w:cs="MS PGothic" w:eastAsia="MS PGothic" w:hAnsi="MS PGothic"/>
          <w:sz w:val="19"/>
          <w:szCs w:val="19"/>
          <w:color w:val="auto"/>
        </w:rPr>
        <w:t>‑</w:t>
      </w:r>
      <w:r>
        <w:rPr>
          <w:rFonts w:ascii="Arial" w:cs="Arial" w:eastAsia="Arial" w:hAnsi="Arial"/>
          <w:sz w:val="19"/>
          <w:szCs w:val="19"/>
          <w:color w:val="auto"/>
        </w:rPr>
        <w:t>currency rate swap transactions, currency options, spot contracts, or any other similar transactions or any combination of any of the foregoing (including any options to enter into any of the foregoing), whether or not any such transaction is governed by or subject to any master agreement, and (b) any and all transactions of any kind, and the related confirmations, that are subject to the terms and conditions of, or governed by, any form of master agreement published by the International Swaps and Derivatives Association, Inc., any International Foreign Exchange Master Agreement, or any other master agreement (any such master agreement, together with any related schedules, a “</w:t>
      </w:r>
      <w:r>
        <w:rPr>
          <w:rFonts w:ascii="Arial" w:cs="Arial" w:eastAsia="Arial" w:hAnsi="Arial"/>
          <w:sz w:val="19"/>
          <w:szCs w:val="19"/>
          <w:u w:val="single" w:color="auto"/>
          <w:color w:val="auto"/>
        </w:rPr>
        <w:t>Master Agreement</w:t>
      </w:r>
      <w:r>
        <w:rPr>
          <w:rFonts w:ascii="Arial" w:cs="Arial" w:eastAsia="Arial" w:hAnsi="Arial"/>
          <w:sz w:val="19"/>
          <w:szCs w:val="19"/>
          <w:color w:val="auto"/>
        </w:rPr>
        <w:t>”), including any such obligations or liabilities under any Master Agreement.</w:t>
      </w:r>
    </w:p>
    <w:p>
      <w:pPr>
        <w:spacing w:after="0" w:line="240" w:lineRule="exact"/>
        <w:rPr>
          <w:sz w:val="20"/>
          <w:szCs w:val="20"/>
          <w:color w:val="auto"/>
        </w:rPr>
      </w:pPr>
    </w:p>
    <w:p>
      <w:pPr>
        <w:ind w:firstLine="648"/>
        <w:spacing w:after="0" w:line="303" w:lineRule="auto"/>
        <w:rPr>
          <w:sz w:val="20"/>
          <w:szCs w:val="20"/>
          <w:color w:val="auto"/>
        </w:rPr>
      </w:pPr>
      <w:r>
        <w:rPr>
          <w:rFonts w:ascii="Arial" w:cs="Arial" w:eastAsia="Arial" w:hAnsi="Arial"/>
          <w:sz w:val="20"/>
          <w:szCs w:val="20"/>
          <w:u w:val="single" w:color="auto"/>
          <w:color w:val="0000FF"/>
        </w:rPr>
        <w:t>“Swap Obligations” means with respect to any Guarantor any obligation to pay or perform under any agreement, contract or transaction that constitutes a “swap” within the meaning of Section 1a(47) of the Commodity Exchange Act.</w:t>
      </w:r>
    </w:p>
    <w:p>
      <w:pPr>
        <w:spacing w:after="0" w:line="176" w:lineRule="exact"/>
        <w:rPr>
          <w:sz w:val="20"/>
          <w:szCs w:val="20"/>
          <w:color w:val="auto"/>
        </w:rPr>
      </w:pPr>
    </w:p>
    <w:p>
      <w:pPr>
        <w:ind w:right="140" w:firstLine="648"/>
        <w:spacing w:after="0" w:line="35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Swap Termination Value</w:t>
      </w:r>
      <w:r>
        <w:rPr>
          <w:rFonts w:ascii="Arial" w:cs="Arial" w:eastAsia="Arial" w:hAnsi="Arial"/>
          <w:sz w:val="16"/>
          <w:szCs w:val="16"/>
          <w:color w:val="auto"/>
        </w:rPr>
        <w:t xml:space="preserve">” means, in respect of any one or more Swap Contracts, after taking into account the effect of any legally enforceable netting agreement relating to such Swap Contracts, (a) for any date on or after the date such Swap Contracts have been closed out and termination values determined in accordance therewith, such termination values, and (b) for any date prior to the date referenced in </w:t>
      </w:r>
      <w:r>
        <w:rPr>
          <w:rFonts w:ascii="Arial" w:cs="Arial" w:eastAsia="Arial" w:hAnsi="Arial"/>
          <w:sz w:val="16"/>
          <w:szCs w:val="16"/>
          <w:u w:val="single" w:color="auto"/>
          <w:color w:val="auto"/>
        </w:rPr>
        <w:t>clause</w:t>
      </w:r>
    </w:p>
    <w:p>
      <w:pPr>
        <w:spacing w:after="0" w:line="1" w:lineRule="exact"/>
        <w:rPr>
          <w:sz w:val="20"/>
          <w:szCs w:val="20"/>
          <w:color w:val="auto"/>
        </w:rPr>
      </w:pPr>
    </w:p>
    <w:p>
      <w:pPr>
        <w:ind w:right="40"/>
        <w:spacing w:after="0" w:line="264" w:lineRule="exact"/>
        <w:rPr>
          <w:sz w:val="20"/>
          <w:szCs w:val="20"/>
          <w:color w:val="auto"/>
        </w:rPr>
      </w:pPr>
      <w:r>
        <w:rPr>
          <w:rFonts w:ascii="Arial" w:cs="Arial" w:eastAsia="Arial" w:hAnsi="Arial"/>
          <w:sz w:val="20"/>
          <w:szCs w:val="20"/>
          <w:u w:val="single" w:color="auto"/>
          <w:color w:val="auto"/>
        </w:rPr>
        <w:t>(a)</w:t>
      </w:r>
      <w:r>
        <w:rPr>
          <w:rFonts w:ascii="Arial" w:cs="Arial" w:eastAsia="Arial" w:hAnsi="Arial"/>
          <w:sz w:val="20"/>
          <w:szCs w:val="20"/>
          <w:color w:val="auto"/>
        </w:rPr>
        <w:t>, the amounts determined as the mark</w:t>
      </w:r>
      <w:r>
        <w:rPr>
          <w:rFonts w:ascii="MS PGothic" w:cs="MS PGothic" w:eastAsia="MS PGothic" w:hAnsi="MS PGothic"/>
          <w:sz w:val="20"/>
          <w:szCs w:val="20"/>
          <w:color w:val="auto"/>
        </w:rPr>
        <w:t>‑</w:t>
      </w:r>
      <w:r>
        <w:rPr>
          <w:rFonts w:ascii="Arial" w:cs="Arial" w:eastAsia="Arial" w:hAnsi="Arial"/>
          <w:sz w:val="20"/>
          <w:szCs w:val="20"/>
          <w:color w:val="auto"/>
        </w:rPr>
        <w:t>to</w:t>
      </w:r>
      <w:r>
        <w:rPr>
          <w:rFonts w:ascii="MS PGothic" w:cs="MS PGothic" w:eastAsia="MS PGothic" w:hAnsi="MS PGothic"/>
          <w:sz w:val="20"/>
          <w:szCs w:val="20"/>
          <w:color w:val="auto"/>
        </w:rPr>
        <w:t>‑</w:t>
      </w:r>
      <w:r>
        <w:rPr>
          <w:rFonts w:ascii="Arial" w:cs="Arial" w:eastAsia="Arial" w:hAnsi="Arial"/>
          <w:sz w:val="20"/>
          <w:szCs w:val="20"/>
          <w:color w:val="auto"/>
        </w:rPr>
        <w:t>market values for such Swap Contracts, as determined based upon one or more mid</w:t>
      </w:r>
      <w:r>
        <w:rPr>
          <w:rFonts w:ascii="MS PGothic" w:cs="MS PGothic" w:eastAsia="MS PGothic" w:hAnsi="MS PGothic"/>
          <w:sz w:val="20"/>
          <w:szCs w:val="20"/>
          <w:color w:val="auto"/>
        </w:rPr>
        <w:t>‑</w:t>
      </w:r>
      <w:r>
        <w:rPr>
          <w:rFonts w:ascii="Arial" w:cs="Arial" w:eastAsia="Arial" w:hAnsi="Arial"/>
          <w:sz w:val="20"/>
          <w:szCs w:val="20"/>
          <w:color w:val="auto"/>
        </w:rPr>
        <w:t>market or other readily available quotations provided by any recognized dealer in such Swap Contracts (which may include a Lender or any Affiliate of a Lender).</w:t>
      </w:r>
    </w:p>
    <w:p>
      <w:pPr>
        <w:spacing w:after="0" w:line="23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Swingline Borrowing</w:t>
      </w:r>
      <w:r>
        <w:rPr>
          <w:rFonts w:ascii="Arial" w:cs="Arial" w:eastAsia="Arial" w:hAnsi="Arial"/>
          <w:sz w:val="20"/>
          <w:szCs w:val="20"/>
          <w:color w:val="auto"/>
        </w:rPr>
        <w:t>” means a borrowing of a Swingline Loan hereunder.</w:t>
      </w:r>
    </w:p>
    <w:p>
      <w:pPr>
        <w:spacing w:after="0" w:line="256" w:lineRule="exact"/>
        <w:rPr>
          <w:sz w:val="20"/>
          <w:szCs w:val="20"/>
          <w:color w:val="auto"/>
        </w:rPr>
      </w:pPr>
    </w:p>
    <w:p>
      <w:pPr>
        <w:ind w:right="1000" w:firstLine="648"/>
        <w:spacing w:after="0" w:line="331"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Swingline Commitment</w:t>
      </w:r>
      <w:r>
        <w:rPr>
          <w:rFonts w:ascii="Arial" w:cs="Arial" w:eastAsia="Arial" w:hAnsi="Arial"/>
          <w:sz w:val="19"/>
          <w:szCs w:val="19"/>
          <w:color w:val="auto"/>
        </w:rPr>
        <w:t>” means the USD Swingline Commitment, the European Swingline Commitment and/or any other commitments to make Swingline Loans established in respect of other Revolving Commitments hereunder.</w:t>
      </w:r>
    </w:p>
    <w:p>
      <w:pPr>
        <w:spacing w:after="0" w:line="154" w:lineRule="exact"/>
        <w:rPr>
          <w:sz w:val="20"/>
          <w:szCs w:val="20"/>
          <w:color w:val="auto"/>
        </w:rPr>
      </w:pPr>
    </w:p>
    <w:p>
      <w:pPr>
        <w:ind w:right="280" w:firstLine="648"/>
        <w:spacing w:after="0" w:line="303"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Swingline Lender</w:t>
      </w:r>
      <w:r>
        <w:rPr>
          <w:rFonts w:ascii="Arial" w:cs="Arial" w:eastAsia="Arial" w:hAnsi="Arial"/>
          <w:sz w:val="20"/>
          <w:szCs w:val="20"/>
          <w:color w:val="auto"/>
        </w:rPr>
        <w:t>” means the USD Swingline Lender, the European Swingline Lender and/or the lender identified as the swingline lender in the case of any other Swingline Loans established hereunder.</w:t>
      </w:r>
    </w:p>
    <w:p>
      <w:pPr>
        <w:spacing w:after="0" w:line="176" w:lineRule="exact"/>
        <w:rPr>
          <w:sz w:val="20"/>
          <w:szCs w:val="20"/>
          <w:color w:val="auto"/>
        </w:rPr>
      </w:pPr>
    </w:p>
    <w:p>
      <w:pPr>
        <w:ind w:right="340" w:firstLine="648"/>
        <w:spacing w:after="0" w:line="303"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Swingline Loans</w:t>
      </w:r>
      <w:r>
        <w:rPr>
          <w:rFonts w:ascii="Arial" w:cs="Arial" w:eastAsia="Arial" w:hAnsi="Arial"/>
          <w:sz w:val="20"/>
          <w:szCs w:val="20"/>
          <w:color w:val="auto"/>
        </w:rPr>
        <w:t>” means the USD Swingline Loans, the European Swingline Loans and/or any other swingline loan established in respect of the other Revolving Commitments hereunder.</w:t>
      </w:r>
    </w:p>
    <w:p>
      <w:pPr>
        <w:spacing w:after="0" w:line="176" w:lineRule="exact"/>
        <w:rPr>
          <w:sz w:val="20"/>
          <w:szCs w:val="20"/>
          <w:color w:val="auto"/>
        </w:rPr>
      </w:pPr>
    </w:p>
    <w:p>
      <w:pPr>
        <w:ind w:right="40" w:firstLine="648"/>
        <w:spacing w:after="0" w:line="303"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Swingline Notes</w:t>
      </w:r>
      <w:r>
        <w:rPr>
          <w:rFonts w:ascii="Arial" w:cs="Arial" w:eastAsia="Arial" w:hAnsi="Arial"/>
          <w:sz w:val="20"/>
          <w:szCs w:val="20"/>
          <w:color w:val="auto"/>
        </w:rPr>
        <w:t>” means the USD Swingline Note, the European Swingline Note and/or any other promissory notes given to evidence Swingline Loans hereunder.</w:t>
      </w:r>
    </w:p>
    <w:p>
      <w:pPr>
        <w:spacing w:after="0" w:line="176" w:lineRule="exact"/>
        <w:rPr>
          <w:sz w:val="20"/>
          <w:szCs w:val="20"/>
          <w:color w:val="auto"/>
        </w:rPr>
      </w:pPr>
    </w:p>
    <w:p>
      <w:pPr>
        <w:ind w:right="20" w:firstLine="648"/>
        <w:spacing w:after="0" w:line="303"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Swingline Sublimit</w:t>
      </w:r>
      <w:r>
        <w:rPr>
          <w:rFonts w:ascii="Arial" w:cs="Arial" w:eastAsia="Arial" w:hAnsi="Arial"/>
          <w:sz w:val="20"/>
          <w:szCs w:val="20"/>
          <w:color w:val="auto"/>
        </w:rPr>
        <w:t>” means the USD Swingline Sublimit, the European Swingline Sublimit, the Master Swingline Sublimit and/or any other sublimit for other swingline loans established hereunder.</w:t>
      </w:r>
    </w:p>
    <w:p>
      <w:pPr>
        <w:spacing w:after="0" w:line="176" w:lineRule="exact"/>
        <w:rPr>
          <w:sz w:val="20"/>
          <w:szCs w:val="20"/>
          <w:color w:val="auto"/>
        </w:rPr>
      </w:pPr>
    </w:p>
    <w:p>
      <w:pPr>
        <w:ind w:right="20" w:firstLine="648"/>
        <w:spacing w:after="0" w:line="3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Synthetic Lease</w:t>
      </w:r>
      <w:r>
        <w:rPr>
          <w:rFonts w:ascii="Arial" w:cs="Arial" w:eastAsia="Arial" w:hAnsi="Arial"/>
          <w:sz w:val="18"/>
          <w:szCs w:val="18"/>
          <w:color w:val="auto"/>
        </w:rPr>
        <w:t>” means any synthetic lease, tax retention operating lease, off-balance sheet loan or similar off-balance sheet financing arrangement that is considered borrowed money indebtedness for tax purposes but is classified as an operating lease under GAAP.</w:t>
      </w:r>
    </w:p>
    <w:p>
      <w:pPr>
        <w:spacing w:after="0" w:line="346"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58</w:t>
      </w:r>
    </w:p>
    <w:p>
      <w:pPr>
        <w:spacing w:after="0" w:line="10" w:lineRule="exact"/>
        <w:rPr>
          <w:sz w:val="20"/>
          <w:szCs w:val="20"/>
          <w:color w:val="auto"/>
        </w:rPr>
      </w:pPr>
    </w:p>
    <w:p>
      <w:pPr>
        <w:spacing w:after="0"/>
        <w:rPr>
          <w:sz w:val="20"/>
          <w:szCs w:val="20"/>
          <w:color w:val="auto"/>
        </w:rPr>
      </w:pPr>
      <w:r>
        <w:rPr>
          <w:rFonts w:ascii="Arial" w:cs="Arial" w:eastAsia="Arial" w:hAnsi="Arial"/>
          <w:sz w:val="14"/>
          <w:szCs w:val="14"/>
          <w:color w:val="auto"/>
        </w:rPr>
        <w:t>CHAR1\1346423v</w:t>
      </w:r>
      <w:r>
        <w:rPr>
          <w:rFonts w:ascii="Arial" w:cs="Arial" w:eastAsia="Arial" w:hAnsi="Arial"/>
          <w:sz w:val="14"/>
          <w:szCs w:val="14"/>
          <w:color w:val="FF0000"/>
          <w:strike w:val="1"/>
        </w:rPr>
        <w:t>1</w:t>
      </w:r>
      <w:r>
        <w:rPr>
          <w:rFonts w:ascii="Arial" w:cs="Arial" w:eastAsia="Arial" w:hAnsi="Arial"/>
          <w:sz w:val="14"/>
          <w:szCs w:val="14"/>
          <w:u w:val="single" w:color="auto"/>
          <w:color w:val="0000FF"/>
        </w:rPr>
        <w:t>12</w:t>
      </w:r>
    </w:p>
    <w:p>
      <w:pPr>
        <w:sectPr>
          <w:pgSz w:w="11900" w:h="16838" w:orient="portrait"/>
          <w:cols w:equalWidth="0" w:num="1">
            <w:col w:w="11400"/>
          </w:cols>
          <w:pgMar w:left="240" w:top="609" w:right="259" w:bottom="1440" w:gutter="0" w:footer="0" w:header="0"/>
        </w:sectPr>
      </w:pPr>
    </w:p>
    <w:bookmarkStart w:id="110" w:name="page111"/>
    <w:bookmarkEnd w:id="110"/>
    <w:p>
      <w:pPr>
        <w:ind w:right="320" w:firstLine="648"/>
        <w:spacing w:after="0" w:line="303" w:lineRule="auto"/>
        <w:rPr>
          <w:sz w:val="20"/>
          <w:szCs w:val="20"/>
          <w:color w:val="auto"/>
        </w:rPr>
      </w:pPr>
      <w:r>
        <w:rPr>
          <w:rFonts w:ascii="Arial" w:cs="Arial" w:eastAsia="Arial" w:hAnsi="Arial"/>
          <w:sz w:val="20"/>
          <w:szCs w:val="20"/>
          <w:u w:val="single" w:color="auto"/>
          <w:color w:val="0000FF"/>
        </w:rPr>
        <w:t xml:space="preserve">“TARGET2” means </w:t>
      </w:r>
      <w:r>
        <w:rPr>
          <w:rFonts w:ascii="Arial" w:cs="Arial" w:eastAsia="Arial" w:hAnsi="Arial"/>
          <w:sz w:val="20"/>
          <w:szCs w:val="20"/>
          <w:u w:val="single" w:color="auto"/>
          <w:color w:val="00C000"/>
        </w:rPr>
        <w:t>the Trans-European Automated Real-time Gross Settlement Express Transfer</w:t>
      </w:r>
      <w:r>
        <w:rPr>
          <w:rFonts w:ascii="Arial" w:cs="Arial" w:eastAsia="Arial" w:hAnsi="Arial"/>
          <w:sz w:val="20"/>
          <w:szCs w:val="20"/>
          <w:u w:val="single" w:color="auto"/>
          <w:color w:val="0000FF"/>
        </w:rPr>
        <w:t xml:space="preserve"> payment system which utilizes a single shared platform and which was launched on November 19, 2007.</w:t>
      </w:r>
    </w:p>
    <w:p>
      <w:pPr>
        <w:spacing w:after="0" w:line="176" w:lineRule="exact"/>
        <w:rPr>
          <w:sz w:val="20"/>
          <w:szCs w:val="20"/>
          <w:color w:val="auto"/>
        </w:rPr>
      </w:pPr>
    </w:p>
    <w:p>
      <w:pPr>
        <w:ind w:right="260" w:firstLine="648"/>
        <w:spacing w:after="0" w:line="314"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TARGET Day</w:t>
      </w:r>
      <w:r>
        <w:rPr>
          <w:rFonts w:ascii="Arial" w:cs="Arial" w:eastAsia="Arial" w:hAnsi="Arial"/>
          <w:sz w:val="19"/>
          <w:szCs w:val="19"/>
          <w:color w:val="auto"/>
        </w:rPr>
        <w:t xml:space="preserve">” means any day on which </w:t>
      </w:r>
      <w:r>
        <w:rPr>
          <w:rFonts w:ascii="Arial" w:cs="Arial" w:eastAsia="Arial" w:hAnsi="Arial"/>
          <w:sz w:val="19"/>
          <w:szCs w:val="19"/>
          <w:color w:val="00C000"/>
          <w:strike w:val="1"/>
        </w:rPr>
        <w:t>the Trans-European Automated Real-time Gross Settlement Express Transfer</w:t>
      </w:r>
      <w:r>
        <w:rPr>
          <w:rFonts w:ascii="Arial" w:cs="Arial" w:eastAsia="Arial" w:hAnsi="Arial"/>
          <w:sz w:val="19"/>
          <w:szCs w:val="19"/>
          <w:color w:val="auto"/>
        </w:rPr>
        <w:t xml:space="preserve"> </w:t>
      </w:r>
      <w:r>
        <w:rPr>
          <w:rFonts w:ascii="Arial" w:cs="Arial" w:eastAsia="Arial" w:hAnsi="Arial"/>
          <w:sz w:val="19"/>
          <w:szCs w:val="19"/>
          <w:color w:val="FF0000"/>
          <w:strike w:val="1"/>
        </w:rPr>
        <w:t>(TARGET)</w:t>
      </w:r>
      <w:r>
        <w:rPr>
          <w:rFonts w:ascii="Arial" w:cs="Arial" w:eastAsia="Arial" w:hAnsi="Arial"/>
          <w:sz w:val="19"/>
          <w:szCs w:val="19"/>
          <w:color w:val="auto"/>
        </w:rPr>
        <w:t xml:space="preserve"> </w:t>
      </w:r>
      <w:r>
        <w:rPr>
          <w:rFonts w:ascii="Arial" w:cs="Arial" w:eastAsia="Arial" w:hAnsi="Arial"/>
          <w:sz w:val="19"/>
          <w:szCs w:val="19"/>
          <w:color w:val="FF0000"/>
          <w:strike w:val="1"/>
        </w:rPr>
        <w:t>payment system</w:t>
      </w:r>
      <w:r>
        <w:rPr>
          <w:rFonts w:ascii="Arial" w:cs="Arial" w:eastAsia="Arial" w:hAnsi="Arial"/>
          <w:sz w:val="19"/>
          <w:szCs w:val="19"/>
          <w:u w:val="single" w:color="auto"/>
          <w:color w:val="0000FF"/>
        </w:rPr>
        <w:t>TARGET2</w:t>
      </w:r>
      <w:r>
        <w:rPr>
          <w:rFonts w:ascii="Arial" w:cs="Arial" w:eastAsia="Arial" w:hAnsi="Arial"/>
          <w:sz w:val="19"/>
          <w:szCs w:val="19"/>
          <w:color w:val="FF0000"/>
        </w:rPr>
        <w:t xml:space="preserve"> </w:t>
      </w:r>
      <w:r>
        <w:rPr>
          <w:rFonts w:ascii="Arial" w:cs="Arial" w:eastAsia="Arial" w:hAnsi="Arial"/>
          <w:sz w:val="19"/>
          <w:szCs w:val="19"/>
          <w:color w:val="000000"/>
        </w:rPr>
        <w:t>(or, if such payment system ceases to be operative, such other payment system</w:t>
      </w:r>
      <w:r>
        <w:rPr>
          <w:rFonts w:ascii="Arial" w:cs="Arial" w:eastAsia="Arial" w:hAnsi="Arial"/>
          <w:sz w:val="19"/>
          <w:szCs w:val="19"/>
          <w:u w:val="single" w:color="auto"/>
          <w:color w:val="0000FF"/>
        </w:rPr>
        <w:t>,</w:t>
      </w:r>
      <w:r>
        <w:rPr>
          <w:rFonts w:ascii="Arial" w:cs="Arial" w:eastAsia="Arial" w:hAnsi="Arial"/>
          <w:sz w:val="19"/>
          <w:szCs w:val="19"/>
          <w:color w:val="FF0000"/>
        </w:rPr>
        <w:t xml:space="preserve"> </w:t>
      </w:r>
      <w:r>
        <w:rPr>
          <w:rFonts w:ascii="Arial" w:cs="Arial" w:eastAsia="Arial" w:hAnsi="Arial"/>
          <w:sz w:val="19"/>
          <w:szCs w:val="19"/>
          <w:color w:val="FF0000"/>
          <w:strike w:val="1"/>
        </w:rPr>
        <w:t>(</w:t>
      </w:r>
      <w:r>
        <w:rPr>
          <w:rFonts w:ascii="Arial" w:cs="Arial" w:eastAsia="Arial" w:hAnsi="Arial"/>
          <w:sz w:val="19"/>
          <w:szCs w:val="19"/>
          <w:color w:val="000000"/>
        </w:rPr>
        <w:t>if any</w:t>
      </w:r>
      <w:r>
        <w:rPr>
          <w:rFonts w:ascii="Arial" w:cs="Arial" w:eastAsia="Arial" w:hAnsi="Arial"/>
          <w:sz w:val="19"/>
          <w:szCs w:val="19"/>
          <w:color w:val="FF0000"/>
          <w:strike w:val="1"/>
        </w:rPr>
        <w:t>)</w:t>
      </w:r>
      <w:r>
        <w:rPr>
          <w:rFonts w:ascii="Arial" w:cs="Arial" w:eastAsia="Arial" w:hAnsi="Arial"/>
          <w:sz w:val="19"/>
          <w:szCs w:val="19"/>
          <w:u w:val="single" w:color="auto"/>
          <w:color w:val="0000FF"/>
        </w:rPr>
        <w:t>,</w:t>
      </w:r>
      <w:r>
        <w:rPr>
          <w:rFonts w:ascii="Arial" w:cs="Arial" w:eastAsia="Arial" w:hAnsi="Arial"/>
          <w:sz w:val="19"/>
          <w:szCs w:val="19"/>
          <w:color w:val="FF0000"/>
        </w:rPr>
        <w:t xml:space="preserve"> </w:t>
      </w:r>
      <w:r>
        <w:rPr>
          <w:rFonts w:ascii="Arial" w:cs="Arial" w:eastAsia="Arial" w:hAnsi="Arial"/>
          <w:sz w:val="19"/>
          <w:szCs w:val="19"/>
          <w:color w:val="000000"/>
        </w:rPr>
        <w:t>determined by the</w:t>
      </w:r>
      <w:r>
        <w:rPr>
          <w:rFonts w:ascii="Arial" w:cs="Arial" w:eastAsia="Arial" w:hAnsi="Arial"/>
          <w:sz w:val="19"/>
          <w:szCs w:val="19"/>
          <w:color w:val="FF0000"/>
        </w:rPr>
        <w:t xml:space="preserve"> </w:t>
      </w:r>
      <w:r>
        <w:rPr>
          <w:rFonts w:ascii="Arial" w:cs="Arial" w:eastAsia="Arial" w:hAnsi="Arial"/>
          <w:sz w:val="19"/>
          <w:szCs w:val="19"/>
          <w:color w:val="000000"/>
        </w:rPr>
        <w:t>Administrative Agent to be a suitable replacement) is open for the settlement of payments in Euro.</w:t>
      </w:r>
    </w:p>
    <w:p>
      <w:pPr>
        <w:spacing w:after="0" w:line="169" w:lineRule="exact"/>
        <w:rPr>
          <w:sz w:val="20"/>
          <w:szCs w:val="20"/>
          <w:color w:val="auto"/>
        </w:rPr>
      </w:pPr>
    </w:p>
    <w:p>
      <w:pPr>
        <w:ind w:firstLine="648"/>
        <w:spacing w:after="0" w:line="320"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Tax Confirmation</w:t>
      </w:r>
      <w:r>
        <w:rPr>
          <w:rFonts w:ascii="Arial" w:cs="Arial" w:eastAsia="Arial" w:hAnsi="Arial"/>
          <w:sz w:val="18"/>
          <w:szCs w:val="18"/>
          <w:color w:val="auto"/>
        </w:rPr>
        <w:t>” shall mean a confirmation by the Administrative Agent, Lender or L/C Issuer, as applicable, that the person beneficially entitled to interest payable to that Lender in respect of an advance under a Credit Document is either: (a) a company resident in the United Kingdom for United Kingdom tax purposes; (b) a partnership each member of which is: (i) a company so resident in the United Kingdom; or (ii) a company not so resident in the United Kingdom which carries on a trade in the United Kingdom through a permanent establishment and which brings into account in computing its chargeable profits (within the meaning of Section 19 of the CTA) the whole of any share of interest payable in respect of that advance that falls to it by reason of Part 17 of the CTA; or (c) a company not so resident in the United Kingdom which carries on a trade in the United Kingdom through a permanent establishment and which brings into account interest payable in respect of that advance in computing the chargeable profits (within the meaning of Section 19 of the CTA) of that company.</w:t>
      </w:r>
    </w:p>
    <w:p>
      <w:pPr>
        <w:spacing w:after="0" w:line="169" w:lineRule="exact"/>
        <w:rPr>
          <w:sz w:val="20"/>
          <w:szCs w:val="20"/>
          <w:color w:val="auto"/>
        </w:rPr>
      </w:pPr>
    </w:p>
    <w:p>
      <w:pPr>
        <w:ind w:right="80" w:firstLine="648"/>
        <w:spacing w:after="0" w:line="303" w:lineRule="auto"/>
        <w:rPr>
          <w:sz w:val="20"/>
          <w:szCs w:val="20"/>
          <w:color w:val="auto"/>
        </w:rPr>
      </w:pPr>
      <w:r>
        <w:rPr>
          <w:rFonts w:ascii="Arial" w:cs="Arial" w:eastAsia="Arial" w:hAnsi="Arial"/>
          <w:sz w:val="20"/>
          <w:szCs w:val="20"/>
          <w:color w:val="FF0000"/>
          <w:strike w:val="1"/>
        </w:rPr>
        <w:t>“</w:t>
      </w:r>
      <w:r>
        <w:rPr>
          <w:rFonts w:ascii="Arial" w:cs="Arial" w:eastAsia="Arial" w:hAnsi="Arial"/>
          <w:sz w:val="20"/>
          <w:szCs w:val="20"/>
          <w:u w:val="single" w:color="auto"/>
          <w:color w:val="FF0000"/>
          <w:strike w:val="1"/>
        </w:rPr>
        <w:t>Tax Deduction</w:t>
      </w:r>
      <w:r>
        <w:rPr>
          <w:rFonts w:ascii="Arial" w:cs="Arial" w:eastAsia="Arial" w:hAnsi="Arial"/>
          <w:sz w:val="20"/>
          <w:szCs w:val="20"/>
          <w:color w:val="FF0000"/>
          <w:strike w:val="1"/>
        </w:rPr>
        <w:t>” shall mean a deduction or withholding for or on account of Taxes from a payment under a Credit Document or Swap Contract.</w:t>
      </w:r>
    </w:p>
    <w:p>
      <w:pPr>
        <w:spacing w:after="0" w:line="176" w:lineRule="exact"/>
        <w:rPr>
          <w:sz w:val="20"/>
          <w:szCs w:val="20"/>
          <w:color w:val="auto"/>
        </w:rPr>
      </w:pPr>
    </w:p>
    <w:p>
      <w:pPr>
        <w:ind w:right="400" w:firstLine="648"/>
        <w:spacing w:after="0" w:line="292"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Taxes</w:t>
      </w:r>
      <w:r>
        <w:rPr>
          <w:rFonts w:ascii="Arial" w:cs="Arial" w:eastAsia="Arial" w:hAnsi="Arial"/>
          <w:sz w:val="20"/>
          <w:szCs w:val="20"/>
          <w:color w:val="auto"/>
        </w:rPr>
        <w:t>” means all present or future taxes, levies, imposts, duties, deductions, withholdings (including backup withholding), assessments, fees or other charges imposed by any Governmental Authority, including any interest, additions to tax or penalties applicable thereto.</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Term Loan</w:t>
      </w:r>
      <w:r>
        <w:rPr>
          <w:rFonts w:ascii="Arial" w:cs="Arial" w:eastAsia="Arial" w:hAnsi="Arial"/>
          <w:sz w:val="20"/>
          <w:szCs w:val="20"/>
          <w:color w:val="auto"/>
        </w:rPr>
        <w:t>” means the Term Loan A and any term loan established under the Incremental Credit Facilities.</w:t>
      </w:r>
    </w:p>
    <w:p>
      <w:pPr>
        <w:spacing w:after="0" w:line="25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Term Loan A</w:t>
      </w:r>
      <w:r>
        <w:rPr>
          <w:rFonts w:ascii="Arial" w:cs="Arial" w:eastAsia="Arial" w:hAnsi="Arial"/>
          <w:sz w:val="20"/>
          <w:szCs w:val="20"/>
          <w:color w:val="auto"/>
        </w:rPr>
        <w:t xml:space="preserve">” has the meaning provided in </w:t>
      </w:r>
      <w:r>
        <w:rPr>
          <w:rFonts w:ascii="Arial" w:cs="Arial" w:eastAsia="Arial" w:hAnsi="Arial"/>
          <w:sz w:val="20"/>
          <w:szCs w:val="20"/>
          <w:u w:val="single" w:color="auto"/>
          <w:color w:val="auto"/>
        </w:rPr>
        <w:t>Section 2.01(e)</w:t>
      </w:r>
      <w:r>
        <w:rPr>
          <w:rFonts w:ascii="Arial" w:cs="Arial" w:eastAsia="Arial" w:hAnsi="Arial"/>
          <w:sz w:val="20"/>
          <w:szCs w:val="20"/>
          <w:color w:val="auto"/>
        </w:rPr>
        <w:t>.</w:t>
      </w:r>
    </w:p>
    <w:p>
      <w:pPr>
        <w:spacing w:after="0" w:line="25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Term Loan A Borrower</w:t>
      </w:r>
      <w:r>
        <w:rPr>
          <w:rFonts w:ascii="Arial" w:cs="Arial" w:eastAsia="Arial" w:hAnsi="Arial"/>
          <w:sz w:val="18"/>
          <w:szCs w:val="18"/>
          <w:color w:val="auto"/>
        </w:rPr>
        <w:t>” means EFT Services Holdings BV, a corporation organized and existing under the laws of the Netherlands.</w:t>
      </w:r>
    </w:p>
    <w:p>
      <w:pPr>
        <w:spacing w:after="0" w:line="279" w:lineRule="exact"/>
        <w:rPr>
          <w:sz w:val="20"/>
          <w:szCs w:val="20"/>
          <w:color w:val="auto"/>
        </w:rPr>
      </w:pPr>
    </w:p>
    <w:p>
      <w:pPr>
        <w:jc w:val="both"/>
        <w:ind w:right="260" w:firstLine="648"/>
        <w:spacing w:after="0" w:line="292"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Term Loan A Commitment</w:t>
      </w:r>
      <w:r>
        <w:rPr>
          <w:rFonts w:ascii="Arial" w:cs="Arial" w:eastAsia="Arial" w:hAnsi="Arial"/>
          <w:sz w:val="20"/>
          <w:szCs w:val="20"/>
          <w:color w:val="auto"/>
        </w:rPr>
        <w:t xml:space="preserve">” means, for each Term Loan A Lender, the commitment of such Lender to make a portion of the Term Loan A hereunder;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at any time after funding of the Term Loan A, determinations of “Required Lenders” shall be based on the Outstanding Amount of the Term Loan A.</w:t>
      </w:r>
    </w:p>
    <w:p>
      <w:pPr>
        <w:spacing w:after="0" w:line="187" w:lineRule="exact"/>
        <w:rPr>
          <w:sz w:val="20"/>
          <w:szCs w:val="20"/>
          <w:color w:val="auto"/>
        </w:rPr>
      </w:pPr>
    </w:p>
    <w:p>
      <w:pPr>
        <w:jc w:val="both"/>
        <w:ind w:right="280" w:firstLine="648"/>
        <w:spacing w:after="0" w:line="33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Term Loan A Commitment Percentage</w:t>
      </w:r>
      <w:r>
        <w:rPr>
          <w:rFonts w:ascii="Arial" w:cs="Arial" w:eastAsia="Arial" w:hAnsi="Arial"/>
          <w:sz w:val="18"/>
          <w:szCs w:val="18"/>
          <w:color w:val="auto"/>
        </w:rPr>
        <w:t>” means, for each Term Loan A Lender, a fraction (expressed as a percentage carried to the ninth decimal place), the numerator of which is, prior to funding of the Term Loan A, such Lender’s Term Loan A Committed Amount, and after funding of the Term Loan A, is the principal amount of such Lender’s Term Loan A, and the denominator of which is, prior to</w:t>
      </w:r>
    </w:p>
    <w:p>
      <w:pPr>
        <w:spacing w:after="0" w:line="368" w:lineRule="exact"/>
        <w:rPr>
          <w:sz w:val="20"/>
          <w:szCs w:val="20"/>
          <w:color w:val="auto"/>
        </w:rPr>
      </w:pPr>
    </w:p>
    <w:p>
      <w:pPr>
        <w:jc w:val="center"/>
        <w:ind w:right="-79"/>
        <w:spacing w:after="0"/>
        <w:rPr>
          <w:sz w:val="20"/>
          <w:szCs w:val="20"/>
          <w:color w:val="auto"/>
        </w:rPr>
      </w:pPr>
      <w:r>
        <w:rPr>
          <w:rFonts w:ascii="Arial" w:cs="Arial" w:eastAsia="Arial" w:hAnsi="Arial"/>
          <w:sz w:val="20"/>
          <w:szCs w:val="20"/>
          <w:color w:val="auto"/>
        </w:rPr>
        <w:t>59</w:t>
      </w:r>
    </w:p>
    <w:p>
      <w:pPr>
        <w:spacing w:after="0" w:line="10" w:lineRule="exact"/>
        <w:rPr>
          <w:sz w:val="20"/>
          <w:szCs w:val="20"/>
          <w:color w:val="auto"/>
        </w:rPr>
      </w:pPr>
    </w:p>
    <w:p>
      <w:pPr>
        <w:spacing w:after="0"/>
        <w:rPr>
          <w:sz w:val="20"/>
          <w:szCs w:val="20"/>
          <w:color w:val="auto"/>
        </w:rPr>
      </w:pPr>
      <w:r>
        <w:rPr>
          <w:rFonts w:ascii="Arial" w:cs="Arial" w:eastAsia="Arial" w:hAnsi="Arial"/>
          <w:sz w:val="14"/>
          <w:szCs w:val="14"/>
          <w:color w:val="auto"/>
        </w:rPr>
        <w:t>CHAR1\1346423v</w:t>
      </w:r>
      <w:r>
        <w:rPr>
          <w:rFonts w:ascii="Arial" w:cs="Arial" w:eastAsia="Arial" w:hAnsi="Arial"/>
          <w:sz w:val="14"/>
          <w:szCs w:val="14"/>
          <w:color w:val="FF0000"/>
          <w:strike w:val="1"/>
        </w:rPr>
        <w:t>1</w:t>
      </w:r>
      <w:r>
        <w:rPr>
          <w:rFonts w:ascii="Arial" w:cs="Arial" w:eastAsia="Arial" w:hAnsi="Arial"/>
          <w:sz w:val="14"/>
          <w:szCs w:val="14"/>
          <w:u w:val="single" w:color="auto"/>
          <w:color w:val="0000FF"/>
        </w:rPr>
        <w:t>12</w:t>
      </w:r>
    </w:p>
    <w:p>
      <w:pPr>
        <w:sectPr>
          <w:pgSz w:w="11900" w:h="16838" w:orient="portrait"/>
          <w:cols w:equalWidth="0" w:num="1">
            <w:col w:w="11360"/>
          </w:cols>
          <w:pgMar w:left="240" w:top="609" w:right="299" w:bottom="1440" w:gutter="0" w:footer="0" w:header="0"/>
        </w:sectPr>
      </w:pPr>
    </w:p>
    <w:bookmarkStart w:id="111" w:name="page112"/>
    <w:bookmarkEnd w:id="111"/>
    <w:p>
      <w:pPr>
        <w:ind w:right="400"/>
        <w:spacing w:after="0" w:line="331" w:lineRule="auto"/>
        <w:rPr>
          <w:sz w:val="20"/>
          <w:szCs w:val="20"/>
          <w:color w:val="auto"/>
        </w:rPr>
      </w:pPr>
      <w:r>
        <w:rPr>
          <w:rFonts w:ascii="Arial" w:cs="Arial" w:eastAsia="Arial" w:hAnsi="Arial"/>
          <w:sz w:val="19"/>
          <w:szCs w:val="19"/>
          <w:color w:val="auto"/>
        </w:rPr>
        <w:t xml:space="preserve">funding of the Term Loan A, the aggregate principal amount of the Term Loan A Commitments, and after funding of the Term Loan A, the Outstanding Amount of the Term Loan A. The initial Term Loan A Commitment Percentages are set out in </w:t>
      </w:r>
      <w:r>
        <w:rPr>
          <w:rFonts w:ascii="Arial" w:cs="Arial" w:eastAsia="Arial" w:hAnsi="Arial"/>
          <w:sz w:val="19"/>
          <w:szCs w:val="19"/>
          <w:u w:val="single" w:color="auto"/>
          <w:color w:val="auto"/>
        </w:rPr>
        <w:t>Schedule 2.01</w:t>
      </w:r>
      <w:r>
        <w:rPr>
          <w:rFonts w:ascii="Arial" w:cs="Arial" w:eastAsia="Arial" w:hAnsi="Arial"/>
          <w:sz w:val="19"/>
          <w:szCs w:val="19"/>
          <w:color w:val="auto"/>
        </w:rPr>
        <w:t>.</w:t>
      </w:r>
    </w:p>
    <w:p>
      <w:pPr>
        <w:spacing w:after="0" w:line="15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Term Loan A Committed Amount</w:t>
      </w:r>
      <w:r>
        <w:rPr>
          <w:rFonts w:ascii="Arial" w:cs="Arial" w:eastAsia="Arial" w:hAnsi="Arial"/>
          <w:sz w:val="18"/>
          <w:szCs w:val="18"/>
          <w:color w:val="auto"/>
        </w:rPr>
        <w:t>” means, for each Term Loan A Lender, the amount of such Lender’s Term Loan A Commitment.</w:t>
      </w:r>
    </w:p>
    <w:p>
      <w:pPr>
        <w:spacing w:after="0" w:line="63" w:lineRule="exact"/>
        <w:rPr>
          <w:sz w:val="20"/>
          <w:szCs w:val="20"/>
          <w:color w:val="auto"/>
        </w:rPr>
      </w:pPr>
    </w:p>
    <w:p>
      <w:pPr>
        <w:spacing w:after="0"/>
        <w:rPr>
          <w:sz w:val="20"/>
          <w:szCs w:val="20"/>
          <w:color w:val="auto"/>
        </w:rPr>
      </w:pPr>
      <w:r>
        <w:rPr>
          <w:rFonts w:ascii="Arial" w:cs="Arial" w:eastAsia="Arial" w:hAnsi="Arial"/>
          <w:sz w:val="20"/>
          <w:szCs w:val="20"/>
          <w:color w:val="auto"/>
        </w:rPr>
        <w:t xml:space="preserve">The initial Term Loan A Committed Amounts are set out in </w:t>
      </w:r>
      <w:r>
        <w:rPr>
          <w:rFonts w:ascii="Arial" w:cs="Arial" w:eastAsia="Arial" w:hAnsi="Arial"/>
          <w:sz w:val="20"/>
          <w:szCs w:val="20"/>
          <w:u w:val="single" w:color="auto"/>
          <w:color w:val="auto"/>
        </w:rPr>
        <w:t>Schedule 2.01</w:t>
      </w:r>
      <w:r>
        <w:rPr>
          <w:rFonts w:ascii="Arial" w:cs="Arial" w:eastAsia="Arial" w:hAnsi="Arial"/>
          <w:sz w:val="20"/>
          <w:szCs w:val="20"/>
          <w:color w:val="auto"/>
        </w:rPr>
        <w:t>.</w:t>
      </w:r>
    </w:p>
    <w:p>
      <w:pPr>
        <w:spacing w:after="0" w:line="25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Term Loan A Lender</w:t>
      </w:r>
      <w:r>
        <w:rPr>
          <w:rFonts w:ascii="Arial" w:cs="Arial" w:eastAsia="Arial" w:hAnsi="Arial"/>
          <w:sz w:val="18"/>
          <w:szCs w:val="18"/>
          <w:color w:val="auto"/>
        </w:rPr>
        <w:t>” means those Lenders with Term Loan A Commitments, together with their successors and permitted assigns.</w:t>
      </w:r>
    </w:p>
    <w:p>
      <w:pPr>
        <w:spacing w:after="0" w:line="63" w:lineRule="exact"/>
        <w:rPr>
          <w:sz w:val="20"/>
          <w:szCs w:val="20"/>
          <w:color w:val="auto"/>
        </w:rPr>
      </w:pPr>
    </w:p>
    <w:p>
      <w:pPr>
        <w:spacing w:after="0"/>
        <w:rPr>
          <w:sz w:val="20"/>
          <w:szCs w:val="20"/>
          <w:color w:val="auto"/>
        </w:rPr>
      </w:pPr>
      <w:r>
        <w:rPr>
          <w:rFonts w:ascii="Arial" w:cs="Arial" w:eastAsia="Arial" w:hAnsi="Arial"/>
          <w:sz w:val="20"/>
          <w:szCs w:val="20"/>
          <w:color w:val="auto"/>
        </w:rPr>
        <w:t xml:space="preserve">The initial Term Loan A Lenders are identified on the signature pages hereto and are set out in </w:t>
      </w:r>
      <w:r>
        <w:rPr>
          <w:rFonts w:ascii="Arial" w:cs="Arial" w:eastAsia="Arial" w:hAnsi="Arial"/>
          <w:sz w:val="20"/>
          <w:szCs w:val="20"/>
          <w:u w:val="single" w:color="auto"/>
          <w:color w:val="auto"/>
        </w:rPr>
        <w:t>Schedule 2.01</w:t>
      </w:r>
      <w:r>
        <w:rPr>
          <w:rFonts w:ascii="Arial" w:cs="Arial" w:eastAsia="Arial" w:hAnsi="Arial"/>
          <w:sz w:val="20"/>
          <w:szCs w:val="20"/>
          <w:color w:val="auto"/>
        </w:rPr>
        <w:t>.</w:t>
      </w:r>
    </w:p>
    <w:p>
      <w:pPr>
        <w:spacing w:after="0" w:line="256" w:lineRule="exact"/>
        <w:rPr>
          <w:sz w:val="20"/>
          <w:szCs w:val="20"/>
          <w:color w:val="auto"/>
        </w:rPr>
      </w:pPr>
    </w:p>
    <w:p>
      <w:pPr>
        <w:ind w:right="180" w:firstLine="648"/>
        <w:spacing w:after="0" w:line="303"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Term Loan A Note</w:t>
      </w:r>
      <w:r>
        <w:rPr>
          <w:rFonts w:ascii="Arial" w:cs="Arial" w:eastAsia="Arial" w:hAnsi="Arial"/>
          <w:sz w:val="20"/>
          <w:szCs w:val="20"/>
          <w:color w:val="auto"/>
        </w:rPr>
        <w:t xml:space="preserve">” means the promissory notes substantially in the form of </w:t>
      </w:r>
      <w:r>
        <w:rPr>
          <w:rFonts w:ascii="Arial" w:cs="Arial" w:eastAsia="Arial" w:hAnsi="Arial"/>
          <w:sz w:val="20"/>
          <w:szCs w:val="20"/>
          <w:u w:val="single" w:color="auto"/>
          <w:color w:val="auto"/>
        </w:rPr>
        <w:t>Exhibit 2.13-7</w:t>
      </w:r>
      <w:r>
        <w:rPr>
          <w:rFonts w:ascii="Arial" w:cs="Arial" w:eastAsia="Arial" w:hAnsi="Arial"/>
          <w:sz w:val="20"/>
          <w:szCs w:val="20"/>
          <w:color w:val="auto"/>
        </w:rPr>
        <w:t>, if any, given to evidence the Term Loan As, as amended, restated, modified, supplemented, extended, renewed or replaced.</w:t>
      </w:r>
    </w:p>
    <w:p>
      <w:pPr>
        <w:spacing w:after="0" w:line="176" w:lineRule="exact"/>
        <w:rPr>
          <w:sz w:val="20"/>
          <w:szCs w:val="20"/>
          <w:color w:val="auto"/>
        </w:rPr>
      </w:pPr>
    </w:p>
    <w:p>
      <w:pPr>
        <w:ind w:right="60" w:firstLine="648"/>
        <w:spacing w:after="0" w:line="288"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Term Loan Commitments</w:t>
      </w:r>
      <w:r>
        <w:rPr>
          <w:rFonts w:ascii="Arial" w:cs="Arial" w:eastAsia="Arial" w:hAnsi="Arial"/>
          <w:sz w:val="20"/>
          <w:szCs w:val="20"/>
          <w:color w:val="auto"/>
        </w:rPr>
        <w:t xml:space="preserve">” means (i) the Term Loan A Commitments, and (ii) any term loan commitments established under the Incremental Credit Facilities,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in any such case, at any time after funding of the respective term loan, determinations of “Required Lenders” and required lenders for the particular tranche of term loan thereby established shall be based on the Outstanding Amount of the term loan.</w:t>
      </w:r>
    </w:p>
    <w:p>
      <w:pPr>
        <w:spacing w:after="0" w:line="193" w:lineRule="exact"/>
        <w:rPr>
          <w:sz w:val="20"/>
          <w:szCs w:val="20"/>
          <w:color w:val="auto"/>
        </w:rPr>
      </w:pPr>
    </w:p>
    <w:p>
      <w:pPr>
        <w:ind w:left="66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Term Loan Notes</w:t>
      </w:r>
      <w:r>
        <w:rPr>
          <w:rFonts w:ascii="Arial" w:cs="Arial" w:eastAsia="Arial" w:hAnsi="Arial"/>
          <w:sz w:val="19"/>
          <w:szCs w:val="19"/>
          <w:color w:val="auto"/>
        </w:rPr>
        <w:t>” means the Term Loan A Note and any other promissory notes given to evidence Term Loans hereunder.</w:t>
      </w:r>
    </w:p>
    <w:p>
      <w:pPr>
        <w:spacing w:after="0" w:line="268" w:lineRule="exact"/>
        <w:rPr>
          <w:sz w:val="20"/>
          <w:szCs w:val="20"/>
          <w:color w:val="auto"/>
        </w:rPr>
      </w:pPr>
    </w:p>
    <w:p>
      <w:pPr>
        <w:ind w:right="40" w:firstLine="648"/>
        <w:spacing w:after="0" w:line="305"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Tranche</w:t>
      </w:r>
      <w:r>
        <w:rPr>
          <w:rFonts w:ascii="Arial" w:cs="Arial" w:eastAsia="Arial" w:hAnsi="Arial"/>
          <w:sz w:val="19"/>
          <w:szCs w:val="19"/>
          <w:color w:val="auto"/>
        </w:rPr>
        <w:t xml:space="preserve">” means, for purposes of </w:t>
      </w:r>
      <w:r>
        <w:rPr>
          <w:rFonts w:ascii="Arial" w:cs="Arial" w:eastAsia="Arial" w:hAnsi="Arial"/>
          <w:sz w:val="19"/>
          <w:szCs w:val="19"/>
          <w:u w:val="single" w:color="auto"/>
          <w:color w:val="auto"/>
        </w:rPr>
        <w:t>Section 9.04</w:t>
      </w:r>
      <w:r>
        <w:rPr>
          <w:rFonts w:ascii="Arial" w:cs="Arial" w:eastAsia="Arial" w:hAnsi="Arial"/>
          <w:sz w:val="19"/>
          <w:szCs w:val="19"/>
          <w:color w:val="auto"/>
        </w:rPr>
        <w:t xml:space="preserve">, each of (i) the Australian Revolving Commitments and the Australian Revolving Loan Obligations, (ii) the USD Revolving Commitments and the USD Revolving Loan Obligations, (iii) the European Revolving Commitments and European Revolving Loan Obligations, (iv) the India Revolving Commitments and the India Revolving Loan Obligations, (v) the Term Loan A Commitments and the Term Loan A, and (vi) any other commitments relating to Incremental Credit Facilities established after the </w:t>
      </w:r>
      <w:r>
        <w:rPr>
          <w:rFonts w:ascii="Arial" w:cs="Arial" w:eastAsia="Arial" w:hAnsi="Arial"/>
          <w:sz w:val="19"/>
          <w:szCs w:val="19"/>
          <w:color w:val="FF0000"/>
          <w:strike w:val="1"/>
        </w:rPr>
        <w:t>Closing</w:t>
      </w:r>
      <w:r>
        <w:rPr>
          <w:rFonts w:ascii="Arial" w:cs="Arial" w:eastAsia="Arial" w:hAnsi="Arial"/>
          <w:sz w:val="19"/>
          <w:szCs w:val="19"/>
          <w:u w:val="single" w:color="auto"/>
          <w:color w:val="0000FF"/>
        </w:rPr>
        <w:t>Amendment No. 1 Effective</w:t>
      </w:r>
      <w:r>
        <w:rPr>
          <w:rFonts w:ascii="Arial" w:cs="Arial" w:eastAsia="Arial" w:hAnsi="Arial"/>
          <w:sz w:val="19"/>
          <w:szCs w:val="19"/>
          <w:color w:val="FF0000"/>
        </w:rPr>
        <w:t xml:space="preserve"> </w:t>
      </w:r>
      <w:r>
        <w:rPr>
          <w:rFonts w:ascii="Arial" w:cs="Arial" w:eastAsia="Arial" w:hAnsi="Arial"/>
          <w:sz w:val="19"/>
          <w:szCs w:val="19"/>
          <w:color w:val="000000"/>
        </w:rPr>
        <w:t>Date and the loans and obligations relating thereto.</w:t>
      </w:r>
    </w:p>
    <w:p>
      <w:pPr>
        <w:spacing w:after="0" w:line="178" w:lineRule="exact"/>
        <w:rPr>
          <w:sz w:val="20"/>
          <w:szCs w:val="20"/>
          <w:color w:val="auto"/>
        </w:rPr>
      </w:pPr>
    </w:p>
    <w:p>
      <w:pPr>
        <w:ind w:firstLine="648"/>
        <w:spacing w:after="0" w:line="32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Treasury Management Agreement</w:t>
      </w:r>
      <w:r>
        <w:rPr>
          <w:rFonts w:ascii="Arial" w:cs="Arial" w:eastAsia="Arial" w:hAnsi="Arial"/>
          <w:sz w:val="18"/>
          <w:szCs w:val="18"/>
          <w:color w:val="auto"/>
        </w:rPr>
        <w:t>” means any agreement governing the provision of treasury or cash management services, including, without limitation, deposit accounts, overnight draft, credit cards, debit cards, p-cards (including purchasing cards, employee credit card programs and commercial cards), funds transfer, automated clearinghouse, direct debit, zero balance accounts, returned check concentration, controlled disbursement, lockbox, account reconciliation and reporting and trade finance services, netting services, cash pooling arrangements, credit and debit card acceptance or merchant services and other treasury or cash management services.</w:t>
      </w:r>
    </w:p>
    <w:p>
      <w:pPr>
        <w:spacing w:after="0" w:line="165" w:lineRule="exact"/>
        <w:rPr>
          <w:sz w:val="20"/>
          <w:szCs w:val="20"/>
          <w:color w:val="auto"/>
        </w:rPr>
      </w:pPr>
    </w:p>
    <w:p>
      <w:pPr>
        <w:jc w:val="both"/>
        <w:ind w:right="80" w:firstLine="648"/>
        <w:spacing w:after="0" w:line="292"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Treaty Lender</w:t>
      </w:r>
      <w:r>
        <w:rPr>
          <w:rFonts w:ascii="Arial" w:cs="Arial" w:eastAsia="Arial" w:hAnsi="Arial"/>
          <w:sz w:val="20"/>
          <w:szCs w:val="20"/>
          <w:color w:val="auto"/>
        </w:rPr>
        <w:t>” shall mean a Lender which (a) is treated as a resident of a Treaty State for the purposes of the Treaty and (b) does not carry on a business in the United Kingdom through a permanent establishment with which that Lender’s participation in the Loan is effectively connected.</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60</w:t>
      </w:r>
    </w:p>
    <w:p>
      <w:pPr>
        <w:spacing w:after="0" w:line="10" w:lineRule="exact"/>
        <w:rPr>
          <w:sz w:val="20"/>
          <w:szCs w:val="20"/>
          <w:color w:val="auto"/>
        </w:rPr>
      </w:pPr>
    </w:p>
    <w:p>
      <w:pPr>
        <w:spacing w:after="0"/>
        <w:rPr>
          <w:sz w:val="20"/>
          <w:szCs w:val="20"/>
          <w:color w:val="auto"/>
        </w:rPr>
      </w:pPr>
      <w:r>
        <w:rPr>
          <w:rFonts w:ascii="Arial" w:cs="Arial" w:eastAsia="Arial" w:hAnsi="Arial"/>
          <w:sz w:val="14"/>
          <w:szCs w:val="14"/>
          <w:color w:val="auto"/>
        </w:rPr>
        <w:t>CHAR1\1346423v</w:t>
      </w:r>
      <w:r>
        <w:rPr>
          <w:rFonts w:ascii="Arial" w:cs="Arial" w:eastAsia="Arial" w:hAnsi="Arial"/>
          <w:sz w:val="14"/>
          <w:szCs w:val="14"/>
          <w:color w:val="FF0000"/>
          <w:strike w:val="1"/>
        </w:rPr>
        <w:t>1</w:t>
      </w:r>
      <w:r>
        <w:rPr>
          <w:rFonts w:ascii="Arial" w:cs="Arial" w:eastAsia="Arial" w:hAnsi="Arial"/>
          <w:sz w:val="14"/>
          <w:szCs w:val="14"/>
          <w:u w:val="single" w:color="auto"/>
          <w:color w:val="0000FF"/>
        </w:rPr>
        <w:t>12</w:t>
      </w:r>
    </w:p>
    <w:p>
      <w:pPr>
        <w:sectPr>
          <w:pgSz w:w="11900" w:h="16838" w:orient="portrait"/>
          <w:cols w:equalWidth="0" w:num="1">
            <w:col w:w="11400"/>
          </w:cols>
          <w:pgMar w:left="240" w:top="609" w:right="259" w:bottom="1440" w:gutter="0" w:footer="0" w:header="0"/>
        </w:sectPr>
      </w:pPr>
    </w:p>
    <w:bookmarkStart w:id="112" w:name="page113"/>
    <w:bookmarkEnd w:id="112"/>
    <w:p>
      <w:pPr>
        <w:ind w:right="600" w:firstLine="648"/>
        <w:spacing w:after="0" w:line="303"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Treaty State</w:t>
      </w:r>
      <w:r>
        <w:rPr>
          <w:rFonts w:ascii="Arial" w:cs="Arial" w:eastAsia="Arial" w:hAnsi="Arial"/>
          <w:sz w:val="20"/>
          <w:szCs w:val="20"/>
          <w:color w:val="auto"/>
        </w:rPr>
        <w:t>” shall mean a jurisdiction having a double taxation agreement (a “</w:t>
      </w:r>
      <w:r>
        <w:rPr>
          <w:rFonts w:ascii="Arial" w:cs="Arial" w:eastAsia="Arial" w:hAnsi="Arial"/>
          <w:sz w:val="20"/>
          <w:szCs w:val="20"/>
          <w:u w:val="single" w:color="auto"/>
          <w:color w:val="auto"/>
        </w:rPr>
        <w:t>Treaty</w:t>
      </w:r>
      <w:r>
        <w:rPr>
          <w:rFonts w:ascii="Arial" w:cs="Arial" w:eastAsia="Arial" w:hAnsi="Arial"/>
          <w:sz w:val="20"/>
          <w:szCs w:val="20"/>
          <w:color w:val="auto"/>
        </w:rPr>
        <w:t>”) with the United Kingdom which makes provision for full exemption from tax imposed by the United Kingdom on interest.</w:t>
      </w:r>
    </w:p>
    <w:p>
      <w:pPr>
        <w:spacing w:after="0" w:line="176" w:lineRule="exact"/>
        <w:rPr>
          <w:sz w:val="20"/>
          <w:szCs w:val="20"/>
          <w:color w:val="auto"/>
        </w:rPr>
      </w:pPr>
    </w:p>
    <w:p>
      <w:pPr>
        <w:ind w:right="120" w:firstLine="648"/>
        <w:spacing w:after="0" w:line="303"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Type</w:t>
      </w:r>
      <w:r>
        <w:rPr>
          <w:rFonts w:ascii="Arial" w:cs="Arial" w:eastAsia="Arial" w:hAnsi="Arial"/>
          <w:sz w:val="20"/>
          <w:szCs w:val="20"/>
          <w:color w:val="auto"/>
        </w:rPr>
        <w:t>” means, with respect to any Revolving Loan or any Term Loan, its character as a Base Rate Loan, a Floating LIBOR Rate Loan or a Fixed LIBOR Rate Loan.</w:t>
      </w:r>
    </w:p>
    <w:p>
      <w:pPr>
        <w:spacing w:after="0" w:line="17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UCC</w:t>
      </w:r>
      <w:r>
        <w:rPr>
          <w:rFonts w:ascii="Arial" w:cs="Arial" w:eastAsia="Arial" w:hAnsi="Arial"/>
          <w:sz w:val="20"/>
          <w:szCs w:val="20"/>
          <w:color w:val="auto"/>
        </w:rPr>
        <w:t>” means the Uniform Commercial Code in effect in any applicable jurisdiction from time to time.</w:t>
      </w:r>
    </w:p>
    <w:p>
      <w:pPr>
        <w:spacing w:after="0" w:line="256" w:lineRule="exact"/>
        <w:rPr>
          <w:sz w:val="20"/>
          <w:szCs w:val="20"/>
          <w:color w:val="auto"/>
        </w:rPr>
      </w:pPr>
    </w:p>
    <w:p>
      <w:pPr>
        <w:ind w:right="320" w:firstLine="648"/>
        <w:spacing w:after="0" w:line="292"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Unfunded Pension Liability</w:t>
      </w:r>
      <w:r>
        <w:rPr>
          <w:rFonts w:ascii="Arial" w:cs="Arial" w:eastAsia="Arial" w:hAnsi="Arial"/>
          <w:sz w:val="20"/>
          <w:szCs w:val="20"/>
          <w:color w:val="auto"/>
        </w:rPr>
        <w:t>” means the excess of a Pension Plan’s benefit liabilities under Section 4001(a)(16) of ERISA, over the current value of that Pension Plan’s assets, determined in accordance with the assumptions used for funding the Pension Plan pursuant to Section 412 of the Internal Revenue Code for the applicable plan year.</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United States</w:t>
      </w:r>
      <w:r>
        <w:rPr>
          <w:rFonts w:ascii="Arial" w:cs="Arial" w:eastAsia="Arial" w:hAnsi="Arial"/>
          <w:sz w:val="20"/>
          <w:szCs w:val="20"/>
          <w:color w:val="auto"/>
        </w:rPr>
        <w:t>” or “</w:t>
      </w:r>
      <w:r>
        <w:rPr>
          <w:rFonts w:ascii="Arial" w:cs="Arial" w:eastAsia="Arial" w:hAnsi="Arial"/>
          <w:sz w:val="20"/>
          <w:szCs w:val="20"/>
          <w:u w:val="single" w:color="auto"/>
          <w:color w:val="auto"/>
        </w:rPr>
        <w:t>U.S.</w:t>
      </w:r>
      <w:r>
        <w:rPr>
          <w:rFonts w:ascii="Arial" w:cs="Arial" w:eastAsia="Arial" w:hAnsi="Arial"/>
          <w:sz w:val="20"/>
          <w:szCs w:val="20"/>
          <w:color w:val="auto"/>
        </w:rPr>
        <w:t>” means the United States of America.</w:t>
      </w:r>
    </w:p>
    <w:p>
      <w:pPr>
        <w:spacing w:after="0" w:line="256" w:lineRule="exact"/>
        <w:rPr>
          <w:sz w:val="20"/>
          <w:szCs w:val="20"/>
          <w:color w:val="auto"/>
        </w:rPr>
      </w:pPr>
    </w:p>
    <w:p>
      <w:pPr>
        <w:ind w:right="220" w:firstLine="648"/>
        <w:spacing w:after="0" w:line="303"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USD L/C Advance</w:t>
      </w:r>
      <w:r>
        <w:rPr>
          <w:rFonts w:ascii="Arial" w:cs="Arial" w:eastAsia="Arial" w:hAnsi="Arial"/>
          <w:sz w:val="20"/>
          <w:szCs w:val="20"/>
          <w:color w:val="auto"/>
        </w:rPr>
        <w:t>” means, with respect to each USD Revolving Lender, such Lender’s funding of its participation in any USD L/C Borrowing. All USD L/C Advances must be denominated in Dollars.</w:t>
      </w:r>
    </w:p>
    <w:p>
      <w:pPr>
        <w:spacing w:after="0" w:line="176" w:lineRule="exact"/>
        <w:rPr>
          <w:sz w:val="20"/>
          <w:szCs w:val="20"/>
          <w:color w:val="auto"/>
        </w:rPr>
      </w:pPr>
    </w:p>
    <w:p>
      <w:pPr>
        <w:ind w:firstLine="648"/>
        <w:spacing w:after="0" w:line="303"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USD L/C Application</w:t>
      </w:r>
      <w:r>
        <w:rPr>
          <w:rFonts w:ascii="Arial" w:cs="Arial" w:eastAsia="Arial" w:hAnsi="Arial"/>
          <w:sz w:val="20"/>
          <w:szCs w:val="20"/>
          <w:color w:val="auto"/>
        </w:rPr>
        <w:t>” means an application and agreement for the issuance or amendment of a USD Letter of Credit in the form from time to time in use by the USD L/C Issuer.</w:t>
      </w:r>
    </w:p>
    <w:p>
      <w:pPr>
        <w:spacing w:after="0" w:line="176" w:lineRule="exact"/>
        <w:rPr>
          <w:sz w:val="20"/>
          <w:szCs w:val="20"/>
          <w:color w:val="auto"/>
        </w:rPr>
      </w:pPr>
    </w:p>
    <w:p>
      <w:pPr>
        <w:ind w:right="560" w:firstLine="648"/>
        <w:spacing w:after="0" w:line="331"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USD L/C Borrowing</w:t>
      </w:r>
      <w:r>
        <w:rPr>
          <w:rFonts w:ascii="Arial" w:cs="Arial" w:eastAsia="Arial" w:hAnsi="Arial"/>
          <w:sz w:val="19"/>
          <w:szCs w:val="19"/>
          <w:color w:val="auto"/>
        </w:rPr>
        <w:t>” means any extension of credit resulting from a drawing under any USD Letter of Credit that has not been reimbursed or refinanced as a Borrowing of USD Revolving Loans. All USD L/C Borrowings will be denominated in Dollars.</w:t>
      </w:r>
    </w:p>
    <w:p>
      <w:pPr>
        <w:spacing w:after="0" w:line="154" w:lineRule="exact"/>
        <w:rPr>
          <w:sz w:val="20"/>
          <w:szCs w:val="20"/>
          <w:color w:val="auto"/>
        </w:rPr>
      </w:pPr>
    </w:p>
    <w:p>
      <w:pPr>
        <w:ind w:right="200" w:firstLine="648"/>
        <w:spacing w:after="0" w:line="305"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USD L/C Commitment</w:t>
      </w:r>
      <w:r>
        <w:rPr>
          <w:rFonts w:ascii="Arial" w:cs="Arial" w:eastAsia="Arial" w:hAnsi="Arial"/>
          <w:sz w:val="19"/>
          <w:szCs w:val="19"/>
          <w:color w:val="auto"/>
        </w:rPr>
        <w:t>” means, with respect to the USD L/C Issuer, the commitment of the USD L/C Issuer to issue and to honor payment obligations under USD Letters of Credit, and, with respect to each USD Revolving Lender, the commitment of such Lender to purchase its pro rata share of participation interests in USD L/C Obligations. The USD L/C Commitment of BMO Harris Bank N.A., in its capacity as a USD L/C Issuer, is limited to One Hundred Million Dollars ($100,000,000). The USD L/C Commitment of any USD L/C Issuer may not be increased or extended without the prior written consent of such USD L/C Issuer.</w:t>
      </w:r>
    </w:p>
    <w:p>
      <w:pPr>
        <w:spacing w:after="0" w:line="178" w:lineRule="exact"/>
        <w:rPr>
          <w:sz w:val="20"/>
          <w:szCs w:val="20"/>
          <w:color w:val="auto"/>
        </w:rPr>
      </w:pPr>
    </w:p>
    <w:p>
      <w:pPr>
        <w:ind w:right="440" w:firstLine="648"/>
        <w:spacing w:after="0" w:line="303"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USD L/C Credit Extension</w:t>
      </w:r>
      <w:r>
        <w:rPr>
          <w:rFonts w:ascii="Arial" w:cs="Arial" w:eastAsia="Arial" w:hAnsi="Arial"/>
          <w:sz w:val="20"/>
          <w:szCs w:val="20"/>
          <w:color w:val="auto"/>
        </w:rPr>
        <w:t>” means, with respect to any USD Letter of Credit, the issuance thereof or extension of the expiry date thereof, or the increase of the amount thereof.</w:t>
      </w:r>
    </w:p>
    <w:p>
      <w:pPr>
        <w:spacing w:after="0" w:line="176" w:lineRule="exact"/>
        <w:rPr>
          <w:sz w:val="20"/>
          <w:szCs w:val="20"/>
          <w:color w:val="auto"/>
        </w:rPr>
      </w:pPr>
    </w:p>
    <w:p>
      <w:pPr>
        <w:ind w:right="20" w:firstLine="648"/>
        <w:spacing w:after="0" w:line="287"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USD L/C Issuer</w:t>
      </w:r>
      <w:r>
        <w:rPr>
          <w:rFonts w:ascii="Arial" w:cs="Arial" w:eastAsia="Arial" w:hAnsi="Arial"/>
          <w:sz w:val="20"/>
          <w:szCs w:val="20"/>
          <w:color w:val="auto"/>
        </w:rPr>
        <w:t xml:space="preserve">” means (a) as to Existing USD Letters of Credit, those lenders identified as an issuer on </w:t>
      </w:r>
      <w:r>
        <w:rPr>
          <w:rFonts w:ascii="Arial" w:cs="Arial" w:eastAsia="Arial" w:hAnsi="Arial"/>
          <w:sz w:val="20"/>
          <w:szCs w:val="20"/>
          <w:u w:val="single" w:color="auto"/>
          <w:color w:val="auto"/>
        </w:rPr>
        <w:t>Schedule 2.03</w:t>
      </w:r>
      <w:r>
        <w:rPr>
          <w:rFonts w:ascii="Arial" w:cs="Arial" w:eastAsia="Arial" w:hAnsi="Arial"/>
          <w:sz w:val="20"/>
          <w:szCs w:val="20"/>
          <w:color w:val="auto"/>
        </w:rPr>
        <w:t>, (b) in the case of USD Letters of Credit denominated in Dollars, Bank of America in its capacity as issuer of such Letters of Credit, together with its successors in such capacity, (c) in the case of USD Letters of Credit denominated in Alternative Currencies other than Brazilian Reals, Bank of America in its capacity as issuer of such Letters of Credit hereunder, together with its successors in such capacity, and (d) in the case of USD Letters of Credit denominated in Brazilian Reals, Bank of</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61</w:t>
      </w:r>
    </w:p>
    <w:p>
      <w:pPr>
        <w:spacing w:after="0" w:line="10" w:lineRule="exact"/>
        <w:rPr>
          <w:sz w:val="20"/>
          <w:szCs w:val="20"/>
          <w:color w:val="auto"/>
        </w:rPr>
      </w:pPr>
    </w:p>
    <w:p>
      <w:pPr>
        <w:spacing w:after="0"/>
        <w:rPr>
          <w:sz w:val="20"/>
          <w:szCs w:val="20"/>
          <w:color w:val="auto"/>
        </w:rPr>
      </w:pPr>
      <w:r>
        <w:rPr>
          <w:rFonts w:ascii="Arial" w:cs="Arial" w:eastAsia="Arial" w:hAnsi="Arial"/>
          <w:sz w:val="14"/>
          <w:szCs w:val="14"/>
          <w:color w:val="auto"/>
        </w:rPr>
        <w:t>CHAR1\1346423v</w:t>
      </w:r>
      <w:r>
        <w:rPr>
          <w:rFonts w:ascii="Arial" w:cs="Arial" w:eastAsia="Arial" w:hAnsi="Arial"/>
          <w:sz w:val="14"/>
          <w:szCs w:val="14"/>
          <w:color w:val="FF0000"/>
          <w:strike w:val="1"/>
        </w:rPr>
        <w:t>1</w:t>
      </w:r>
      <w:r>
        <w:rPr>
          <w:rFonts w:ascii="Arial" w:cs="Arial" w:eastAsia="Arial" w:hAnsi="Arial"/>
          <w:sz w:val="14"/>
          <w:szCs w:val="14"/>
          <w:u w:val="single" w:color="auto"/>
          <w:color w:val="0000FF"/>
        </w:rPr>
        <w:t>12</w:t>
      </w:r>
    </w:p>
    <w:p>
      <w:pPr>
        <w:sectPr>
          <w:pgSz w:w="11900" w:h="16838" w:orient="portrait"/>
          <w:cols w:equalWidth="0" w:num="1">
            <w:col w:w="11420"/>
          </w:cols>
          <w:pgMar w:left="240" w:top="609" w:right="239" w:bottom="1440" w:gutter="0" w:footer="0" w:header="0"/>
        </w:sectPr>
      </w:pPr>
    </w:p>
    <w:bookmarkStart w:id="113" w:name="page114"/>
    <w:bookmarkEnd w:id="113"/>
    <w:p>
      <w:pPr>
        <w:ind w:right="720"/>
        <w:spacing w:after="0" w:line="303" w:lineRule="auto"/>
        <w:rPr>
          <w:sz w:val="20"/>
          <w:szCs w:val="20"/>
          <w:color w:val="auto"/>
        </w:rPr>
      </w:pPr>
      <w:r>
        <w:rPr>
          <w:rFonts w:ascii="Arial" w:cs="Arial" w:eastAsia="Arial" w:hAnsi="Arial"/>
          <w:sz w:val="20"/>
          <w:szCs w:val="20"/>
          <w:color w:val="auto"/>
        </w:rPr>
        <w:t>America</w:t>
      </w:r>
      <w:r>
        <w:rPr>
          <w:rFonts w:ascii="Arial" w:cs="Arial" w:eastAsia="Arial" w:hAnsi="Arial"/>
          <w:sz w:val="20"/>
          <w:szCs w:val="20"/>
          <w:color w:val="FF0000"/>
          <w:strike w:val="1"/>
        </w:rPr>
        <w:t>, Compass Bank</w:t>
      </w:r>
      <w:r>
        <w:rPr>
          <w:rFonts w:ascii="Arial" w:cs="Arial" w:eastAsia="Arial" w:hAnsi="Arial"/>
          <w:sz w:val="20"/>
          <w:szCs w:val="20"/>
          <w:color w:val="auto"/>
        </w:rPr>
        <w:t xml:space="preserve"> and BMO Harris Bank N.A., in their capacity as issuer of such Letters of Credit hereunder, together with its successors in such capacity.</w:t>
      </w:r>
    </w:p>
    <w:p>
      <w:pPr>
        <w:spacing w:after="0" w:line="176" w:lineRule="exact"/>
        <w:rPr>
          <w:sz w:val="20"/>
          <w:szCs w:val="20"/>
          <w:color w:val="auto"/>
        </w:rPr>
      </w:pPr>
    </w:p>
    <w:p>
      <w:pPr>
        <w:ind w:firstLine="648"/>
        <w:spacing w:after="0" w:line="285"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USD L/C Obligations</w:t>
      </w:r>
      <w:r>
        <w:rPr>
          <w:rFonts w:ascii="Arial" w:cs="Arial" w:eastAsia="Arial" w:hAnsi="Arial"/>
          <w:sz w:val="20"/>
          <w:szCs w:val="20"/>
          <w:color w:val="auto"/>
        </w:rPr>
        <w:t xml:space="preserve">” means, at any time, the sum of (a) the maximum amount available to be drawn under USD Letters of Credit then outstanding, assuming compliance with all requirements for drawings referenced therein, plus (b) the aggregate amount of all USD L/C Unreimbursed Amounts, including USD L/C Borrowings. For purposes of computing the amount available to be drawn under any USD Letter of Credit, the amount of such USD Letter of Credit shall be determined in accordance with </w:t>
      </w:r>
      <w:r>
        <w:rPr>
          <w:rFonts w:ascii="Arial" w:cs="Arial" w:eastAsia="Arial" w:hAnsi="Arial"/>
          <w:sz w:val="20"/>
          <w:szCs w:val="20"/>
          <w:u w:val="single" w:color="auto"/>
          <w:color w:val="auto"/>
        </w:rPr>
        <w:t>Section 1.09</w:t>
      </w:r>
      <w:r>
        <w:rPr>
          <w:rFonts w:ascii="Arial" w:cs="Arial" w:eastAsia="Arial" w:hAnsi="Arial"/>
          <w:sz w:val="20"/>
          <w:szCs w:val="20"/>
          <w:color w:val="auto"/>
        </w:rPr>
        <w:t>. For all purposes of this Credit Agreement, if on any date of determination a USD Letter of Credit has expired by its terms but any amount may still be drawn thereunder by reason of the operation of Rule 3.14 of the ISP, such USD Letter of Credit shall be deemed to be “outstanding” in the amount so remaining available to be drawn.</w:t>
      </w:r>
    </w:p>
    <w:p>
      <w:pPr>
        <w:spacing w:after="0" w:line="195"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USD L/C Sublimit</w:t>
      </w:r>
      <w:r>
        <w:rPr>
          <w:rFonts w:ascii="Arial" w:cs="Arial" w:eastAsia="Arial" w:hAnsi="Arial"/>
          <w:sz w:val="20"/>
          <w:szCs w:val="20"/>
          <w:color w:val="auto"/>
        </w:rPr>
        <w:t>” has the meaning provided in Section 2.01(a)(ii).</w:t>
      </w:r>
    </w:p>
    <w:p>
      <w:pPr>
        <w:spacing w:after="0" w:line="25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USD L/C Unreimbursed Amount</w:t>
      </w:r>
      <w:r>
        <w:rPr>
          <w:rFonts w:ascii="Arial" w:cs="Arial" w:eastAsia="Arial" w:hAnsi="Arial"/>
          <w:sz w:val="20"/>
          <w:szCs w:val="20"/>
          <w:color w:val="auto"/>
        </w:rPr>
        <w:t>” means an L/C Unreimbursed Amount in respect of a USD Letter of Credit.</w:t>
      </w:r>
    </w:p>
    <w:p>
      <w:pPr>
        <w:spacing w:after="0" w:line="256" w:lineRule="exact"/>
        <w:rPr>
          <w:sz w:val="20"/>
          <w:szCs w:val="20"/>
          <w:color w:val="auto"/>
        </w:rPr>
      </w:pPr>
    </w:p>
    <w:p>
      <w:pPr>
        <w:ind w:right="320" w:firstLine="648"/>
        <w:spacing w:after="0" w:line="303"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USD Letter of Credit</w:t>
      </w:r>
      <w:r>
        <w:rPr>
          <w:rFonts w:ascii="Arial" w:cs="Arial" w:eastAsia="Arial" w:hAnsi="Arial"/>
          <w:sz w:val="20"/>
          <w:szCs w:val="20"/>
          <w:color w:val="auto"/>
        </w:rPr>
        <w:t xml:space="preserve">” means each standby letter of credit issued or existing by a USD L/C Issuer under </w:t>
      </w:r>
      <w:r>
        <w:rPr>
          <w:rFonts w:ascii="Arial" w:cs="Arial" w:eastAsia="Arial" w:hAnsi="Arial"/>
          <w:sz w:val="20"/>
          <w:szCs w:val="20"/>
          <w:u w:val="single" w:color="auto"/>
          <w:color w:val="auto"/>
        </w:rPr>
        <w:t>Section 2.01(a)(ii</w:t>
      </w:r>
      <w:r>
        <w:rPr>
          <w:rFonts w:ascii="Arial" w:cs="Arial" w:eastAsia="Arial" w:hAnsi="Arial"/>
          <w:sz w:val="20"/>
          <w:szCs w:val="20"/>
          <w:color w:val="auto"/>
        </w:rPr>
        <w:t>). USD Letters of Credit will be issued in Dollars and Alternative Currencies.</w:t>
      </w:r>
    </w:p>
    <w:p>
      <w:pPr>
        <w:spacing w:after="0" w:line="176" w:lineRule="exact"/>
        <w:rPr>
          <w:sz w:val="20"/>
          <w:szCs w:val="20"/>
          <w:color w:val="auto"/>
        </w:rPr>
      </w:pPr>
    </w:p>
    <w:p>
      <w:pPr>
        <w:ind w:right="580" w:firstLine="648"/>
        <w:spacing w:after="0" w:line="303"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USD Loan Obligations</w:t>
      </w:r>
      <w:r>
        <w:rPr>
          <w:rFonts w:ascii="Arial" w:cs="Arial" w:eastAsia="Arial" w:hAnsi="Arial"/>
          <w:sz w:val="20"/>
          <w:szCs w:val="20"/>
          <w:color w:val="auto"/>
        </w:rPr>
        <w:t>” means the USD Revolving Loan Obligations, the Term Loan A and any Incremental Credit Facilities established hereunder that are denominated in Dollars.</w:t>
      </w:r>
    </w:p>
    <w:p>
      <w:pPr>
        <w:spacing w:after="0" w:line="176" w:lineRule="exact"/>
        <w:rPr>
          <w:sz w:val="20"/>
          <w:szCs w:val="20"/>
          <w:color w:val="auto"/>
        </w:rPr>
      </w:pPr>
    </w:p>
    <w:p>
      <w:pPr>
        <w:ind w:right="240" w:firstLine="648"/>
        <w:spacing w:after="0" w:line="303"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USD Revolving Commitment</w:t>
      </w:r>
      <w:r>
        <w:rPr>
          <w:rFonts w:ascii="Arial" w:cs="Arial" w:eastAsia="Arial" w:hAnsi="Arial"/>
          <w:sz w:val="20"/>
          <w:szCs w:val="20"/>
          <w:color w:val="auto"/>
        </w:rPr>
        <w:t>” means, for each USD Revolving Lender, the commitment of such Lender to make USD Revolving Loans (and to share in USD Revolving Loan Obligations that are not USD Revolving Loans) hereunder.</w:t>
      </w:r>
    </w:p>
    <w:p>
      <w:pPr>
        <w:spacing w:after="0" w:line="176" w:lineRule="exact"/>
        <w:rPr>
          <w:sz w:val="20"/>
          <w:szCs w:val="20"/>
          <w:color w:val="auto"/>
        </w:rPr>
      </w:pPr>
    </w:p>
    <w:p>
      <w:pPr>
        <w:jc w:val="both"/>
        <w:ind w:right="140" w:firstLine="648"/>
        <w:spacing w:after="0" w:line="33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USD Revolving Commitment Percentage</w:t>
      </w:r>
      <w:r>
        <w:rPr>
          <w:rFonts w:ascii="Arial" w:cs="Arial" w:eastAsia="Arial" w:hAnsi="Arial"/>
          <w:sz w:val="18"/>
          <w:szCs w:val="18"/>
          <w:color w:val="auto"/>
        </w:rPr>
        <w:t xml:space="preserve">” means, for each USD Revolving Lender, a fraction (expressed as a percentage carried to the ninth decimal place), the numerator of which is such Lender’s USD Revolving Committed Amount and the denominator of which is the Aggregate USD Revolving Committed Amount. The initial USD Revolving Commitment Percentages are set out in </w:t>
      </w:r>
      <w:r>
        <w:rPr>
          <w:rFonts w:ascii="Arial" w:cs="Arial" w:eastAsia="Arial" w:hAnsi="Arial"/>
          <w:sz w:val="18"/>
          <w:szCs w:val="18"/>
          <w:u w:val="single" w:color="auto"/>
          <w:color w:val="auto"/>
        </w:rPr>
        <w:t>Schedule 2.01</w:t>
      </w:r>
      <w:r>
        <w:rPr>
          <w:rFonts w:ascii="Arial" w:cs="Arial" w:eastAsia="Arial" w:hAnsi="Arial"/>
          <w:sz w:val="18"/>
          <w:szCs w:val="18"/>
          <w:color w:val="auto"/>
        </w:rPr>
        <w:t>.</w:t>
      </w:r>
    </w:p>
    <w:p>
      <w:pPr>
        <w:spacing w:after="0" w:line="152" w:lineRule="exact"/>
        <w:rPr>
          <w:sz w:val="20"/>
          <w:szCs w:val="20"/>
          <w:color w:val="auto"/>
        </w:rPr>
      </w:pPr>
    </w:p>
    <w:p>
      <w:pPr>
        <w:ind w:right="640" w:firstLine="648"/>
        <w:spacing w:after="0" w:line="303"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USD Revolving Committed Amount</w:t>
      </w:r>
      <w:r>
        <w:rPr>
          <w:rFonts w:ascii="Arial" w:cs="Arial" w:eastAsia="Arial" w:hAnsi="Arial"/>
          <w:sz w:val="20"/>
          <w:szCs w:val="20"/>
          <w:color w:val="auto"/>
        </w:rPr>
        <w:t xml:space="preserve">” means, for each USD Revolving Lender, the amount of such Lender’s USD Revolving Commitment. The initial USD Revolving Committed Amounts are set out in </w:t>
      </w:r>
      <w:r>
        <w:rPr>
          <w:rFonts w:ascii="Arial" w:cs="Arial" w:eastAsia="Arial" w:hAnsi="Arial"/>
          <w:sz w:val="20"/>
          <w:szCs w:val="20"/>
          <w:u w:val="single" w:color="auto"/>
          <w:color w:val="auto"/>
        </w:rPr>
        <w:t>Schedule 2.01</w:t>
      </w:r>
      <w:r>
        <w:rPr>
          <w:rFonts w:ascii="Arial" w:cs="Arial" w:eastAsia="Arial" w:hAnsi="Arial"/>
          <w:sz w:val="20"/>
          <w:szCs w:val="20"/>
          <w:color w:val="auto"/>
        </w:rPr>
        <w:t>.</w:t>
      </w:r>
    </w:p>
    <w:p>
      <w:pPr>
        <w:spacing w:after="0" w:line="176" w:lineRule="exact"/>
        <w:rPr>
          <w:sz w:val="20"/>
          <w:szCs w:val="20"/>
          <w:color w:val="auto"/>
        </w:rPr>
      </w:pPr>
    </w:p>
    <w:p>
      <w:pPr>
        <w:ind w:right="300" w:firstLine="648"/>
        <w:spacing w:after="0" w:line="3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USD Revolving Lenders</w:t>
      </w:r>
      <w:r>
        <w:rPr>
          <w:rFonts w:ascii="Arial" w:cs="Arial" w:eastAsia="Arial" w:hAnsi="Arial"/>
          <w:sz w:val="18"/>
          <w:szCs w:val="18"/>
          <w:color w:val="auto"/>
        </w:rPr>
        <w:t xml:space="preserve">” means those Lenders with USD Revolving Commitments, together with their successors and permitted assigns. The initial USD Revolving Lenders are identified on the signature pages hereto and are set out in </w:t>
      </w:r>
      <w:r>
        <w:rPr>
          <w:rFonts w:ascii="Arial" w:cs="Arial" w:eastAsia="Arial" w:hAnsi="Arial"/>
          <w:sz w:val="18"/>
          <w:szCs w:val="18"/>
          <w:u w:val="single" w:color="auto"/>
          <w:color w:val="auto"/>
        </w:rPr>
        <w:t>Schedule 2.01</w:t>
      </w:r>
      <w:r>
        <w:rPr>
          <w:rFonts w:ascii="Arial" w:cs="Arial" w:eastAsia="Arial" w:hAnsi="Arial"/>
          <w:sz w:val="18"/>
          <w:szCs w:val="18"/>
          <w:color w:val="auto"/>
        </w:rPr>
        <w:t>.</w:t>
      </w:r>
    </w:p>
    <w:p>
      <w:pPr>
        <w:spacing w:after="0" w:line="130"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USD Revolving Loan</w:t>
      </w:r>
      <w:r>
        <w:rPr>
          <w:rFonts w:ascii="Arial" w:cs="Arial" w:eastAsia="Arial" w:hAnsi="Arial"/>
          <w:sz w:val="20"/>
          <w:szCs w:val="20"/>
          <w:color w:val="auto"/>
        </w:rPr>
        <w:t>” has the meaning provided in Section 2.01(a)(i).</w:t>
      </w:r>
    </w:p>
    <w:p>
      <w:pPr>
        <w:spacing w:after="0" w:line="200" w:lineRule="exact"/>
        <w:rPr>
          <w:sz w:val="20"/>
          <w:szCs w:val="20"/>
          <w:color w:val="auto"/>
        </w:rPr>
      </w:pPr>
    </w:p>
    <w:p>
      <w:pPr>
        <w:spacing w:after="0" w:line="272" w:lineRule="exact"/>
        <w:rPr>
          <w:sz w:val="20"/>
          <w:szCs w:val="20"/>
          <w:color w:val="auto"/>
        </w:rPr>
      </w:pPr>
    </w:p>
    <w:p>
      <w:pPr>
        <w:jc w:val="center"/>
        <w:ind w:right="-159"/>
        <w:spacing w:after="0"/>
        <w:rPr>
          <w:sz w:val="20"/>
          <w:szCs w:val="20"/>
          <w:color w:val="auto"/>
        </w:rPr>
      </w:pPr>
      <w:r>
        <w:rPr>
          <w:rFonts w:ascii="Arial" w:cs="Arial" w:eastAsia="Arial" w:hAnsi="Arial"/>
          <w:sz w:val="20"/>
          <w:szCs w:val="20"/>
          <w:color w:val="auto"/>
        </w:rPr>
        <w:t>62</w:t>
      </w:r>
    </w:p>
    <w:p>
      <w:pPr>
        <w:spacing w:after="0" w:line="10" w:lineRule="exact"/>
        <w:rPr>
          <w:sz w:val="20"/>
          <w:szCs w:val="20"/>
          <w:color w:val="auto"/>
        </w:rPr>
      </w:pPr>
    </w:p>
    <w:p>
      <w:pPr>
        <w:spacing w:after="0"/>
        <w:rPr>
          <w:sz w:val="20"/>
          <w:szCs w:val="20"/>
          <w:color w:val="auto"/>
        </w:rPr>
      </w:pPr>
      <w:r>
        <w:rPr>
          <w:rFonts w:ascii="Arial" w:cs="Arial" w:eastAsia="Arial" w:hAnsi="Arial"/>
          <w:sz w:val="14"/>
          <w:szCs w:val="14"/>
          <w:color w:val="auto"/>
        </w:rPr>
        <w:t>CHAR1\1346423v</w:t>
      </w:r>
      <w:r>
        <w:rPr>
          <w:rFonts w:ascii="Arial" w:cs="Arial" w:eastAsia="Arial" w:hAnsi="Arial"/>
          <w:sz w:val="14"/>
          <w:szCs w:val="14"/>
          <w:color w:val="FF0000"/>
          <w:strike w:val="1"/>
        </w:rPr>
        <w:t>1</w:t>
      </w:r>
      <w:r>
        <w:rPr>
          <w:rFonts w:ascii="Arial" w:cs="Arial" w:eastAsia="Arial" w:hAnsi="Arial"/>
          <w:sz w:val="14"/>
          <w:szCs w:val="14"/>
          <w:u w:val="single" w:color="auto"/>
          <w:color w:val="0000FF"/>
        </w:rPr>
        <w:t>12</w:t>
      </w:r>
    </w:p>
    <w:p>
      <w:pPr>
        <w:sectPr>
          <w:pgSz w:w="11900" w:h="16838" w:orient="portrait"/>
          <w:cols w:equalWidth="0" w:num="1">
            <w:col w:w="11280"/>
          </w:cols>
          <w:pgMar w:left="240" w:top="609" w:right="379" w:bottom="1440" w:gutter="0" w:footer="0" w:header="0"/>
        </w:sectPr>
      </w:pPr>
    </w:p>
    <w:bookmarkStart w:id="114" w:name="page115"/>
    <w:bookmarkEnd w:id="114"/>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USD Revolving Loan Obligations</w:t>
      </w:r>
      <w:r>
        <w:rPr>
          <w:rFonts w:ascii="Arial" w:cs="Arial" w:eastAsia="Arial" w:hAnsi="Arial"/>
          <w:sz w:val="18"/>
          <w:szCs w:val="18"/>
          <w:color w:val="auto"/>
        </w:rPr>
        <w:t>” means the USD Revolving Loans, the USD L/C Obligations and the USD Swingline Loans.</w:t>
      </w:r>
    </w:p>
    <w:p>
      <w:pPr>
        <w:spacing w:after="0" w:line="279"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USD Revolving Loans</w:t>
      </w:r>
      <w:r>
        <w:rPr>
          <w:rFonts w:ascii="Arial" w:cs="Arial" w:eastAsia="Arial" w:hAnsi="Arial"/>
          <w:sz w:val="20"/>
          <w:szCs w:val="20"/>
          <w:color w:val="auto"/>
        </w:rPr>
        <w:t>” has the meaning provided in Section 2.01(a)(i).</w:t>
      </w:r>
    </w:p>
    <w:p>
      <w:pPr>
        <w:spacing w:after="0" w:line="256" w:lineRule="exact"/>
        <w:rPr>
          <w:sz w:val="20"/>
          <w:szCs w:val="20"/>
          <w:color w:val="auto"/>
        </w:rPr>
      </w:pPr>
    </w:p>
    <w:p>
      <w:pPr>
        <w:ind w:right="340" w:firstLine="648"/>
        <w:spacing w:after="0" w:line="331"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USD Revolving Notes</w:t>
      </w:r>
      <w:r>
        <w:rPr>
          <w:rFonts w:ascii="Arial" w:cs="Arial" w:eastAsia="Arial" w:hAnsi="Arial"/>
          <w:sz w:val="19"/>
          <w:szCs w:val="19"/>
          <w:color w:val="auto"/>
        </w:rPr>
        <w:t xml:space="preserve">” means the promissory notes, if any, given to evidence the USD Revolving Loans, as amended, restated, modified, supplemented, extended, renewed or replaced. A form of USD Revolving Note is attached as </w:t>
      </w:r>
      <w:r>
        <w:rPr>
          <w:rFonts w:ascii="Arial" w:cs="Arial" w:eastAsia="Arial" w:hAnsi="Arial"/>
          <w:sz w:val="19"/>
          <w:szCs w:val="19"/>
          <w:u w:val="single" w:color="auto"/>
          <w:color w:val="auto"/>
        </w:rPr>
        <w:t>Exhibit 2.13-1</w:t>
      </w:r>
      <w:r>
        <w:rPr>
          <w:rFonts w:ascii="Arial" w:cs="Arial" w:eastAsia="Arial" w:hAnsi="Arial"/>
          <w:sz w:val="19"/>
          <w:szCs w:val="19"/>
          <w:color w:val="auto"/>
        </w:rPr>
        <w:t>.</w:t>
      </w:r>
    </w:p>
    <w:p>
      <w:pPr>
        <w:spacing w:after="0" w:line="154" w:lineRule="exact"/>
        <w:rPr>
          <w:sz w:val="20"/>
          <w:szCs w:val="20"/>
          <w:color w:val="auto"/>
        </w:rPr>
      </w:pPr>
    </w:p>
    <w:p>
      <w:pPr>
        <w:ind w:right="40" w:firstLine="648"/>
        <w:spacing w:after="0" w:line="303"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USD Swingline Commitment</w:t>
      </w:r>
      <w:r>
        <w:rPr>
          <w:rFonts w:ascii="Arial" w:cs="Arial" w:eastAsia="Arial" w:hAnsi="Arial"/>
          <w:sz w:val="20"/>
          <w:szCs w:val="20"/>
          <w:color w:val="auto"/>
        </w:rPr>
        <w:t>” means, with respect to each USD Revolving Lender, the commitment of such Lender to purchase its pro rata share of participation interests in USD Swingline Loans.</w:t>
      </w:r>
    </w:p>
    <w:p>
      <w:pPr>
        <w:spacing w:after="0" w:line="17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USD Swingline Lender</w:t>
      </w:r>
      <w:r>
        <w:rPr>
          <w:rFonts w:ascii="Arial" w:cs="Arial" w:eastAsia="Arial" w:hAnsi="Arial"/>
          <w:sz w:val="20"/>
          <w:szCs w:val="20"/>
          <w:color w:val="auto"/>
        </w:rPr>
        <w:t>” means Bank of America in its capacity as such, together with any successor in such capacity.</w:t>
      </w:r>
    </w:p>
    <w:p>
      <w:pPr>
        <w:spacing w:after="0" w:line="25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USD Swingline Loan</w:t>
      </w:r>
      <w:r>
        <w:rPr>
          <w:rFonts w:ascii="Arial" w:cs="Arial" w:eastAsia="Arial" w:hAnsi="Arial"/>
          <w:sz w:val="20"/>
          <w:szCs w:val="20"/>
          <w:color w:val="auto"/>
        </w:rPr>
        <w:t>” has the meaning provided in Section 2.01(a)(iii).</w:t>
      </w:r>
    </w:p>
    <w:p>
      <w:pPr>
        <w:spacing w:after="0" w:line="256" w:lineRule="exact"/>
        <w:rPr>
          <w:sz w:val="20"/>
          <w:szCs w:val="20"/>
          <w:color w:val="auto"/>
        </w:rPr>
      </w:pPr>
    </w:p>
    <w:p>
      <w:pPr>
        <w:ind w:right="320" w:firstLine="648"/>
        <w:spacing w:after="0" w:line="331"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USD Swingline Note</w:t>
      </w:r>
      <w:r>
        <w:rPr>
          <w:rFonts w:ascii="Arial" w:cs="Arial" w:eastAsia="Arial" w:hAnsi="Arial"/>
          <w:sz w:val="19"/>
          <w:szCs w:val="19"/>
          <w:color w:val="auto"/>
        </w:rPr>
        <w:t xml:space="preserve">” means the promissory note given to evidence the USD Swingline Loans, as amended, restated, modified, supplemented, extended, renewed or replaced. A form of USD Swingline Note is attached as </w:t>
      </w:r>
      <w:r>
        <w:rPr>
          <w:rFonts w:ascii="Arial" w:cs="Arial" w:eastAsia="Arial" w:hAnsi="Arial"/>
          <w:sz w:val="19"/>
          <w:szCs w:val="19"/>
          <w:u w:val="single" w:color="auto"/>
          <w:color w:val="auto"/>
        </w:rPr>
        <w:t>Exhibit 2.13-2</w:t>
      </w:r>
      <w:r>
        <w:rPr>
          <w:rFonts w:ascii="Arial" w:cs="Arial" w:eastAsia="Arial" w:hAnsi="Arial"/>
          <w:sz w:val="19"/>
          <w:szCs w:val="19"/>
          <w:color w:val="auto"/>
        </w:rPr>
        <w:t>.</w:t>
      </w:r>
    </w:p>
    <w:p>
      <w:pPr>
        <w:spacing w:after="0" w:line="154" w:lineRule="exact"/>
        <w:rPr>
          <w:sz w:val="20"/>
          <w:szCs w:val="20"/>
          <w:color w:val="auto"/>
        </w:rPr>
      </w:pPr>
    </w:p>
    <w:p>
      <w:pPr>
        <w:ind w:right="300" w:firstLine="648"/>
        <w:spacing w:after="0" w:line="303"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USD Swingline Sublimit</w:t>
      </w:r>
      <w:r>
        <w:rPr>
          <w:rFonts w:ascii="Arial" w:cs="Arial" w:eastAsia="Arial" w:hAnsi="Arial"/>
          <w:sz w:val="20"/>
          <w:szCs w:val="20"/>
          <w:color w:val="auto"/>
        </w:rPr>
        <w:t xml:space="preserve">” has the meaning provided in </w:t>
      </w:r>
      <w:r>
        <w:rPr>
          <w:rFonts w:ascii="Arial" w:cs="Arial" w:eastAsia="Arial" w:hAnsi="Arial"/>
          <w:sz w:val="20"/>
          <w:szCs w:val="20"/>
          <w:u w:val="single" w:color="auto"/>
          <w:color w:val="auto"/>
        </w:rPr>
        <w:t>Section 2.01(a)(iii</w:t>
      </w:r>
      <w:r>
        <w:rPr>
          <w:rFonts w:ascii="Arial" w:cs="Arial" w:eastAsia="Arial" w:hAnsi="Arial"/>
          <w:sz w:val="20"/>
          <w:szCs w:val="20"/>
          <w:color w:val="auto"/>
        </w:rPr>
        <w:t>). The USD Swingline Sublimit is a part of, and not in addition to, the Aggregate USD Revolving Commitments.</w:t>
      </w:r>
    </w:p>
    <w:p>
      <w:pPr>
        <w:spacing w:after="0" w:line="176" w:lineRule="exact"/>
        <w:rPr>
          <w:sz w:val="20"/>
          <w:szCs w:val="20"/>
          <w:color w:val="auto"/>
        </w:rPr>
      </w:pPr>
    </w:p>
    <w:p>
      <w:pPr>
        <w:ind w:left="660"/>
        <w:spacing w:after="0"/>
        <w:rPr>
          <w:sz w:val="20"/>
          <w:szCs w:val="20"/>
          <w:color w:val="auto"/>
        </w:rPr>
      </w:pPr>
      <w:r>
        <w:rPr>
          <w:rFonts w:ascii="Arial" w:cs="Arial" w:eastAsia="Arial" w:hAnsi="Arial"/>
          <w:sz w:val="18"/>
          <w:szCs w:val="18"/>
          <w:u w:val="single" w:color="auto"/>
          <w:color w:val="0000FF"/>
        </w:rPr>
        <w:t xml:space="preserve">“U.S. Person” means any Person that is a “United States Person” as defined in </w:t>
      </w:r>
      <w:r>
        <w:rPr>
          <w:rFonts w:ascii="Arial" w:cs="Arial" w:eastAsia="Arial" w:hAnsi="Arial"/>
          <w:sz w:val="18"/>
          <w:szCs w:val="18"/>
          <w:u w:val="single" w:color="auto"/>
          <w:color w:val="00C000"/>
        </w:rPr>
        <w:t>Section 7701(a)(30) of the Internal Revenue Code</w:t>
      </w:r>
      <w:r>
        <w:rPr>
          <w:rFonts w:ascii="Arial" w:cs="Arial" w:eastAsia="Arial" w:hAnsi="Arial"/>
          <w:sz w:val="18"/>
          <w:szCs w:val="18"/>
          <w:u w:val="single" w:color="auto"/>
          <w:color w:val="0000FF"/>
        </w:rPr>
        <w:t>.</w:t>
      </w:r>
    </w:p>
    <w:p>
      <w:pPr>
        <w:spacing w:after="0" w:line="279" w:lineRule="exact"/>
        <w:rPr>
          <w:sz w:val="20"/>
          <w:szCs w:val="20"/>
          <w:color w:val="auto"/>
        </w:rPr>
      </w:pPr>
    </w:p>
    <w:p>
      <w:pPr>
        <w:ind w:left="660"/>
        <w:spacing w:after="0"/>
        <w:rPr>
          <w:sz w:val="20"/>
          <w:szCs w:val="20"/>
          <w:color w:val="auto"/>
        </w:rPr>
      </w:pPr>
      <w:r>
        <w:rPr>
          <w:rFonts w:ascii="Arial" w:cs="Arial" w:eastAsia="Arial" w:hAnsi="Arial"/>
          <w:sz w:val="20"/>
          <w:szCs w:val="20"/>
          <w:u w:val="single" w:color="auto"/>
          <w:color w:val="0000FF"/>
        </w:rPr>
        <w:t>“U.S. Tax Compliance Certificate” has the meaning specified in Section 3.01(e)(ii)(B)(3).</w:t>
      </w:r>
    </w:p>
    <w:p>
      <w:pPr>
        <w:spacing w:after="0" w:line="256" w:lineRule="exact"/>
        <w:rPr>
          <w:sz w:val="20"/>
          <w:szCs w:val="20"/>
          <w:color w:val="auto"/>
        </w:rPr>
      </w:pPr>
    </w:p>
    <w:p>
      <w:pPr>
        <w:ind w:firstLine="648"/>
        <w:spacing w:after="0" w:line="292"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Wholly Owned Subsidiary</w:t>
      </w:r>
      <w:r>
        <w:rPr>
          <w:rFonts w:ascii="Arial" w:cs="Arial" w:eastAsia="Arial" w:hAnsi="Arial"/>
          <w:sz w:val="20"/>
          <w:szCs w:val="20"/>
          <w:color w:val="auto"/>
        </w:rPr>
        <w:t>” means, with respect to any direct or indirect Subsidiary of any Person, that 100% of the Capital Stock with ordinary voting power issued by such Subsidiary (other than directors’ qualifying shares and investments by foreign nationals mandated by applicable Law) is beneficially owned, directly or indirectly, by such Person.</w:t>
      </w:r>
    </w:p>
    <w:p>
      <w:pPr>
        <w:spacing w:after="0" w:line="187" w:lineRule="exact"/>
        <w:rPr>
          <w:sz w:val="20"/>
          <w:szCs w:val="20"/>
          <w:color w:val="auto"/>
        </w:rPr>
      </w:pPr>
    </w:p>
    <w:p>
      <w:pPr>
        <w:ind w:right="100" w:firstLine="648"/>
        <w:spacing w:after="0" w:line="317" w:lineRule="auto"/>
        <w:rPr>
          <w:sz w:val="20"/>
          <w:szCs w:val="20"/>
          <w:color w:val="auto"/>
        </w:rPr>
      </w:pPr>
      <w:r>
        <w:rPr>
          <w:rFonts w:ascii="Arial" w:cs="Arial" w:eastAsia="Arial" w:hAnsi="Arial"/>
          <w:sz w:val="20"/>
          <w:szCs w:val="20"/>
          <w:color w:val="auto"/>
        </w:rPr>
        <w:t xml:space="preserve">1.02 </w:t>
      </w:r>
      <w:r>
        <w:rPr>
          <w:rFonts w:ascii="Arial" w:cs="Arial" w:eastAsia="Arial" w:hAnsi="Arial"/>
          <w:sz w:val="20"/>
          <w:szCs w:val="20"/>
          <w:u w:val="single" w:color="auto"/>
          <w:color w:val="auto"/>
        </w:rPr>
        <w:t>Interpretive Provisions</w:t>
      </w:r>
      <w:r>
        <w:rPr>
          <w:rFonts w:ascii="Arial" w:cs="Arial" w:eastAsia="Arial" w:hAnsi="Arial"/>
          <w:sz w:val="20"/>
          <w:szCs w:val="20"/>
          <w:color w:val="auto"/>
        </w:rPr>
        <w:t>. With reference to this Credit Agreement and each other Credit Document, unless otherwise specified herein or in such other Credit Document:</w:t>
      </w:r>
    </w:p>
    <w:p>
      <w:pPr>
        <w:spacing w:after="0" w:line="162" w:lineRule="exact"/>
        <w:rPr>
          <w:sz w:val="20"/>
          <w:szCs w:val="20"/>
          <w:color w:val="auto"/>
        </w:rPr>
      </w:pPr>
    </w:p>
    <w:p>
      <w:pPr>
        <w:ind w:left="1700" w:hanging="395"/>
        <w:spacing w:after="0"/>
        <w:tabs>
          <w:tab w:leader="none" w:pos="1700" w:val="left"/>
        </w:tabs>
        <w:numPr>
          <w:ilvl w:val="0"/>
          <w:numId w:val="54"/>
        </w:numPr>
        <w:rPr>
          <w:rFonts w:ascii="Arial" w:cs="Arial" w:eastAsia="Arial" w:hAnsi="Arial"/>
          <w:sz w:val="18"/>
          <w:szCs w:val="18"/>
          <w:color w:val="auto"/>
        </w:rPr>
      </w:pPr>
      <w:r>
        <w:rPr>
          <w:rFonts w:ascii="Arial" w:cs="Arial" w:eastAsia="Arial" w:hAnsi="Arial"/>
          <w:sz w:val="18"/>
          <w:szCs w:val="18"/>
          <w:color w:val="auto"/>
        </w:rPr>
        <w:t>The definitions of terms herein shall apply equally to the singular and plural forms of the terms defined. Whenever the</w:t>
      </w:r>
    </w:p>
    <w:p>
      <w:pPr>
        <w:spacing w:after="0" w:line="76"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Arial" w:cs="Arial" w:eastAsia="Arial" w:hAnsi="Arial"/>
          <w:sz w:val="18"/>
          <w:szCs w:val="18"/>
          <w:color w:val="auto"/>
        </w:rPr>
        <w:t>context may require, any pronoun shall include the corresponding masculine, feminine and neuter forms. The words “</w:t>
      </w:r>
      <w:r>
        <w:rPr>
          <w:rFonts w:ascii="Arial" w:cs="Arial" w:eastAsia="Arial" w:hAnsi="Arial"/>
          <w:sz w:val="18"/>
          <w:szCs w:val="18"/>
          <w:u w:val="single" w:color="auto"/>
          <w:color w:val="auto"/>
        </w:rPr>
        <w:t>include</w:t>
      </w:r>
      <w:r>
        <w:rPr>
          <w:rFonts w:ascii="Arial" w:cs="Arial" w:eastAsia="Arial" w:hAnsi="Arial"/>
          <w:sz w:val="18"/>
          <w:szCs w:val="18"/>
          <w:color w:val="auto"/>
        </w:rPr>
        <w:t>”,</w:t>
      </w:r>
    </w:p>
    <w:p>
      <w:pPr>
        <w:spacing w:after="0" w:line="63" w:lineRule="exact"/>
        <w:rPr>
          <w:rFonts w:ascii="Arial" w:cs="Arial" w:eastAsia="Arial" w:hAnsi="Arial"/>
          <w:sz w:val="18"/>
          <w:szCs w:val="18"/>
          <w:color w:val="auto"/>
        </w:rPr>
      </w:pPr>
    </w:p>
    <w:p>
      <w:pPr>
        <w:jc w:val="both"/>
        <w:ind w:left="660" w:right="20"/>
        <w:spacing w:after="0" w:line="338" w:lineRule="auto"/>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includes</w:t>
      </w:r>
      <w:r>
        <w:rPr>
          <w:rFonts w:ascii="Arial" w:cs="Arial" w:eastAsia="Arial" w:hAnsi="Arial"/>
          <w:sz w:val="18"/>
          <w:szCs w:val="18"/>
          <w:color w:val="auto"/>
        </w:rPr>
        <w:t>” and “</w:t>
      </w:r>
      <w:r>
        <w:rPr>
          <w:rFonts w:ascii="Arial" w:cs="Arial" w:eastAsia="Arial" w:hAnsi="Arial"/>
          <w:sz w:val="18"/>
          <w:szCs w:val="18"/>
          <w:u w:val="single" w:color="auto"/>
          <w:color w:val="auto"/>
        </w:rPr>
        <w:t>including</w:t>
      </w:r>
      <w:r>
        <w:rPr>
          <w:rFonts w:ascii="Arial" w:cs="Arial" w:eastAsia="Arial" w:hAnsi="Arial"/>
          <w:sz w:val="18"/>
          <w:szCs w:val="18"/>
          <w:color w:val="auto"/>
        </w:rPr>
        <w:t>” shall be deemed to be followed by the phrase “</w:t>
      </w:r>
      <w:r>
        <w:rPr>
          <w:rFonts w:ascii="Arial" w:cs="Arial" w:eastAsia="Arial" w:hAnsi="Arial"/>
          <w:sz w:val="18"/>
          <w:szCs w:val="18"/>
          <w:u w:val="single" w:color="auto"/>
          <w:color w:val="auto"/>
        </w:rPr>
        <w:t>without limitation</w:t>
      </w:r>
      <w:r>
        <w:rPr>
          <w:rFonts w:ascii="Arial" w:cs="Arial" w:eastAsia="Arial" w:hAnsi="Arial"/>
          <w:sz w:val="18"/>
          <w:szCs w:val="18"/>
          <w:color w:val="auto"/>
        </w:rPr>
        <w:t>”. The word “</w:t>
      </w:r>
      <w:r>
        <w:rPr>
          <w:rFonts w:ascii="Arial" w:cs="Arial" w:eastAsia="Arial" w:hAnsi="Arial"/>
          <w:sz w:val="18"/>
          <w:szCs w:val="18"/>
          <w:u w:val="single" w:color="auto"/>
          <w:color w:val="auto"/>
        </w:rPr>
        <w:t>will</w:t>
      </w:r>
      <w:r>
        <w:rPr>
          <w:rFonts w:ascii="Arial" w:cs="Arial" w:eastAsia="Arial" w:hAnsi="Arial"/>
          <w:sz w:val="18"/>
          <w:szCs w:val="18"/>
          <w:color w:val="auto"/>
        </w:rPr>
        <w:t>” shall be construed to have the same meaning and effect as the word “</w:t>
      </w:r>
      <w:r>
        <w:rPr>
          <w:rFonts w:ascii="Arial" w:cs="Arial" w:eastAsia="Arial" w:hAnsi="Arial"/>
          <w:sz w:val="18"/>
          <w:szCs w:val="18"/>
          <w:u w:val="single" w:color="auto"/>
          <w:color w:val="auto"/>
        </w:rPr>
        <w:t>shall</w:t>
      </w:r>
      <w:r>
        <w:rPr>
          <w:rFonts w:ascii="Arial" w:cs="Arial" w:eastAsia="Arial" w:hAnsi="Arial"/>
          <w:sz w:val="18"/>
          <w:szCs w:val="18"/>
          <w:color w:val="auto"/>
        </w:rPr>
        <w:t xml:space="preserve">”. Unless the context requires otherwise, (i) any definition of or reference to any agreement, instrument or other document (including </w:t>
      </w:r>
      <w:r>
        <w:rPr>
          <w:rFonts w:ascii="Arial" w:cs="Arial" w:eastAsia="Arial" w:hAnsi="Arial"/>
          <w:sz w:val="18"/>
          <w:szCs w:val="18"/>
          <w:u w:val="single" w:color="auto"/>
          <w:color w:val="0000FF"/>
        </w:rPr>
        <w:t>the Credit Documents and</w:t>
      </w:r>
      <w:r>
        <w:rPr>
          <w:rFonts w:ascii="Arial" w:cs="Arial" w:eastAsia="Arial" w:hAnsi="Arial"/>
          <w:sz w:val="18"/>
          <w:szCs w:val="18"/>
          <w:color w:val="auto"/>
        </w:rPr>
        <w:t xml:space="preserve"> any Organization Document) shall be construed</w:t>
      </w:r>
    </w:p>
    <w:p>
      <w:pPr>
        <w:spacing w:after="0" w:line="368" w:lineRule="exact"/>
        <w:rPr>
          <w:sz w:val="20"/>
          <w:szCs w:val="20"/>
          <w:color w:val="auto"/>
        </w:rPr>
      </w:pPr>
    </w:p>
    <w:p>
      <w:pPr>
        <w:jc w:val="center"/>
        <w:ind w:right="-239"/>
        <w:spacing w:after="0"/>
        <w:rPr>
          <w:sz w:val="20"/>
          <w:szCs w:val="20"/>
          <w:color w:val="auto"/>
        </w:rPr>
      </w:pPr>
      <w:r>
        <w:rPr>
          <w:rFonts w:ascii="Arial" w:cs="Arial" w:eastAsia="Arial" w:hAnsi="Arial"/>
          <w:sz w:val="20"/>
          <w:szCs w:val="20"/>
          <w:color w:val="auto"/>
        </w:rPr>
        <w:t>63</w:t>
      </w:r>
    </w:p>
    <w:p>
      <w:pPr>
        <w:spacing w:after="0" w:line="10" w:lineRule="exact"/>
        <w:rPr>
          <w:sz w:val="20"/>
          <w:szCs w:val="20"/>
          <w:color w:val="auto"/>
        </w:rPr>
      </w:pPr>
    </w:p>
    <w:p>
      <w:pPr>
        <w:spacing w:after="0"/>
        <w:rPr>
          <w:sz w:val="20"/>
          <w:szCs w:val="20"/>
          <w:color w:val="auto"/>
        </w:rPr>
      </w:pPr>
      <w:r>
        <w:rPr>
          <w:rFonts w:ascii="Arial" w:cs="Arial" w:eastAsia="Arial" w:hAnsi="Arial"/>
          <w:sz w:val="14"/>
          <w:szCs w:val="14"/>
          <w:color w:val="auto"/>
        </w:rPr>
        <w:t>CHAR1\1346423v</w:t>
      </w:r>
      <w:r>
        <w:rPr>
          <w:rFonts w:ascii="Arial" w:cs="Arial" w:eastAsia="Arial" w:hAnsi="Arial"/>
          <w:sz w:val="14"/>
          <w:szCs w:val="14"/>
          <w:color w:val="FF0000"/>
          <w:strike w:val="1"/>
        </w:rPr>
        <w:t>1</w:t>
      </w:r>
      <w:r>
        <w:rPr>
          <w:rFonts w:ascii="Arial" w:cs="Arial" w:eastAsia="Arial" w:hAnsi="Arial"/>
          <w:sz w:val="14"/>
          <w:szCs w:val="14"/>
          <w:u w:val="single" w:color="auto"/>
          <w:color w:val="0000FF"/>
        </w:rPr>
        <w:t>12</w:t>
      </w:r>
    </w:p>
    <w:p>
      <w:pPr>
        <w:sectPr>
          <w:pgSz w:w="11900" w:h="16838" w:orient="portrait"/>
          <w:cols w:equalWidth="0" w:num="1">
            <w:col w:w="11180"/>
          </w:cols>
          <w:pgMar w:left="240" w:top="609" w:right="479" w:bottom="1440" w:gutter="0" w:footer="0" w:header="0"/>
        </w:sectPr>
      </w:pPr>
    </w:p>
    <w:bookmarkStart w:id="115" w:name="page116"/>
    <w:bookmarkEnd w:id="115"/>
    <w:p>
      <w:pPr>
        <w:ind w:left="660"/>
        <w:spacing w:after="0" w:line="317" w:lineRule="auto"/>
        <w:rPr>
          <w:sz w:val="20"/>
          <w:szCs w:val="20"/>
          <w:color w:val="auto"/>
        </w:rPr>
      </w:pPr>
      <w:r>
        <w:rPr>
          <w:rFonts w:ascii="Arial" w:cs="Arial" w:eastAsia="Arial" w:hAnsi="Arial"/>
          <w:sz w:val="18"/>
          <w:szCs w:val="18"/>
          <w:color w:val="auto"/>
        </w:rPr>
        <w:t xml:space="preserve">as referring to such agreement, instrument or other document as from time to time amended, </w:t>
      </w:r>
      <w:r>
        <w:rPr>
          <w:rFonts w:ascii="Arial" w:cs="Arial" w:eastAsia="Arial" w:hAnsi="Arial"/>
          <w:sz w:val="18"/>
          <w:szCs w:val="18"/>
          <w:u w:val="single" w:color="auto"/>
          <w:color w:val="0000FF"/>
        </w:rPr>
        <w:t>modified, extended, restated, replaced or</w:t>
      </w:r>
      <w:r>
        <w:rPr>
          <w:rFonts w:ascii="Arial" w:cs="Arial" w:eastAsia="Arial" w:hAnsi="Arial"/>
          <w:sz w:val="18"/>
          <w:szCs w:val="18"/>
          <w:color w:val="auto"/>
        </w:rPr>
        <w:t xml:space="preserve"> supplemented </w:t>
      </w:r>
      <w:r>
        <w:rPr>
          <w:rFonts w:ascii="Arial" w:cs="Arial" w:eastAsia="Arial" w:hAnsi="Arial"/>
          <w:sz w:val="18"/>
          <w:szCs w:val="18"/>
          <w:color w:val="FF0000"/>
          <w:strike w:val="1"/>
        </w:rPr>
        <w:t>or otherwise modified</w:t>
      </w:r>
      <w:r>
        <w:rPr>
          <w:rFonts w:ascii="Arial" w:cs="Arial" w:eastAsia="Arial" w:hAnsi="Arial"/>
          <w:sz w:val="18"/>
          <w:szCs w:val="18"/>
          <w:u w:val="single" w:color="auto"/>
          <w:color w:val="0000FF"/>
        </w:rPr>
        <w:t>from time to time</w:t>
      </w:r>
      <w:r>
        <w:rPr>
          <w:rFonts w:ascii="Arial" w:cs="Arial" w:eastAsia="Arial" w:hAnsi="Arial"/>
          <w:sz w:val="18"/>
          <w:szCs w:val="18"/>
          <w:color w:val="auto"/>
        </w:rPr>
        <w:t xml:space="preserve"> (subject to any restrictions on such amendments, supplements or modifications set forth herein or in any other Credit Document), (ii) any reference herein to any Person shall be construed to include such Person’s successors and assigns, (iii) the words “</w:t>
      </w:r>
      <w:r>
        <w:rPr>
          <w:rFonts w:ascii="Arial" w:cs="Arial" w:eastAsia="Arial" w:hAnsi="Arial"/>
          <w:sz w:val="18"/>
          <w:szCs w:val="18"/>
          <w:u w:val="single" w:color="auto"/>
          <w:color w:val="auto"/>
        </w:rPr>
        <w:t>hereto</w:t>
      </w:r>
      <w:r>
        <w:rPr>
          <w:rFonts w:ascii="Arial" w:cs="Arial" w:eastAsia="Arial" w:hAnsi="Arial"/>
          <w:sz w:val="18"/>
          <w:szCs w:val="18"/>
          <w:color w:val="auto"/>
        </w:rPr>
        <w:t>”, “</w:t>
      </w:r>
      <w:r>
        <w:rPr>
          <w:rFonts w:ascii="Arial" w:cs="Arial" w:eastAsia="Arial" w:hAnsi="Arial"/>
          <w:sz w:val="18"/>
          <w:szCs w:val="18"/>
          <w:u w:val="single" w:color="auto"/>
          <w:color w:val="auto"/>
        </w:rPr>
        <w:t>herein</w:t>
      </w:r>
      <w:r>
        <w:rPr>
          <w:rFonts w:ascii="Arial" w:cs="Arial" w:eastAsia="Arial" w:hAnsi="Arial"/>
          <w:sz w:val="18"/>
          <w:szCs w:val="18"/>
          <w:color w:val="auto"/>
        </w:rPr>
        <w:t>”, “</w:t>
      </w:r>
      <w:r>
        <w:rPr>
          <w:rFonts w:ascii="Arial" w:cs="Arial" w:eastAsia="Arial" w:hAnsi="Arial"/>
          <w:sz w:val="18"/>
          <w:szCs w:val="18"/>
          <w:u w:val="single" w:color="auto"/>
          <w:color w:val="auto"/>
        </w:rPr>
        <w:t>hereof</w:t>
      </w:r>
      <w:r>
        <w:rPr>
          <w:rFonts w:ascii="Arial" w:cs="Arial" w:eastAsia="Arial" w:hAnsi="Arial"/>
          <w:sz w:val="18"/>
          <w:szCs w:val="18"/>
          <w:color w:val="auto"/>
        </w:rPr>
        <w:t>” and “</w:t>
      </w:r>
      <w:r>
        <w:rPr>
          <w:rFonts w:ascii="Arial" w:cs="Arial" w:eastAsia="Arial" w:hAnsi="Arial"/>
          <w:sz w:val="18"/>
          <w:szCs w:val="18"/>
          <w:u w:val="single" w:color="auto"/>
          <w:color w:val="auto"/>
        </w:rPr>
        <w:t>hereunder</w:t>
      </w:r>
      <w:r>
        <w:rPr>
          <w:rFonts w:ascii="Arial" w:cs="Arial" w:eastAsia="Arial" w:hAnsi="Arial"/>
          <w:sz w:val="18"/>
          <w:szCs w:val="18"/>
          <w:color w:val="auto"/>
        </w:rPr>
        <w:t>”, and words of similar import when used in any Credit Document, shall be construed to refer to such Credit Document in its entirety and not to any particular provision thereof, (iv) all references in a Credit Document to “</w:t>
      </w:r>
      <w:r>
        <w:rPr>
          <w:rFonts w:ascii="Arial" w:cs="Arial" w:eastAsia="Arial" w:hAnsi="Arial"/>
          <w:sz w:val="18"/>
          <w:szCs w:val="18"/>
          <w:u w:val="single" w:color="auto"/>
          <w:color w:val="auto"/>
        </w:rPr>
        <w:t>Articles</w:t>
      </w:r>
      <w:r>
        <w:rPr>
          <w:rFonts w:ascii="Arial" w:cs="Arial" w:eastAsia="Arial" w:hAnsi="Arial"/>
          <w:sz w:val="18"/>
          <w:szCs w:val="18"/>
          <w:color w:val="auto"/>
        </w:rPr>
        <w:t>”, “</w:t>
      </w:r>
      <w:r>
        <w:rPr>
          <w:rFonts w:ascii="Arial" w:cs="Arial" w:eastAsia="Arial" w:hAnsi="Arial"/>
          <w:sz w:val="18"/>
          <w:szCs w:val="18"/>
          <w:u w:val="single" w:color="auto"/>
          <w:color w:val="auto"/>
        </w:rPr>
        <w:t>Sections</w:t>
      </w:r>
      <w:r>
        <w:rPr>
          <w:rFonts w:ascii="Arial" w:cs="Arial" w:eastAsia="Arial" w:hAnsi="Arial"/>
          <w:sz w:val="18"/>
          <w:szCs w:val="18"/>
          <w:color w:val="auto"/>
        </w:rPr>
        <w:t>”, “</w:t>
      </w:r>
      <w:r>
        <w:rPr>
          <w:rFonts w:ascii="Arial" w:cs="Arial" w:eastAsia="Arial" w:hAnsi="Arial"/>
          <w:sz w:val="18"/>
          <w:szCs w:val="18"/>
          <w:u w:val="single" w:color="auto"/>
          <w:color w:val="auto"/>
        </w:rPr>
        <w:t>Exhibits</w:t>
      </w:r>
      <w:r>
        <w:rPr>
          <w:rFonts w:ascii="Arial" w:cs="Arial" w:eastAsia="Arial" w:hAnsi="Arial"/>
          <w:sz w:val="18"/>
          <w:szCs w:val="18"/>
          <w:color w:val="auto"/>
        </w:rPr>
        <w:t>” and “</w:t>
      </w:r>
      <w:r>
        <w:rPr>
          <w:rFonts w:ascii="Arial" w:cs="Arial" w:eastAsia="Arial" w:hAnsi="Arial"/>
          <w:sz w:val="18"/>
          <w:szCs w:val="18"/>
          <w:u w:val="single" w:color="auto"/>
          <w:color w:val="auto"/>
        </w:rPr>
        <w:t>Schedules</w:t>
      </w:r>
      <w:r>
        <w:rPr>
          <w:rFonts w:ascii="Arial" w:cs="Arial" w:eastAsia="Arial" w:hAnsi="Arial"/>
          <w:sz w:val="18"/>
          <w:szCs w:val="18"/>
          <w:color w:val="auto"/>
        </w:rPr>
        <w:t xml:space="preserve">” shall be construed to refer to articles and sections of, and exhibits and schedules to, the Credit Document in which such references appear, (v) any reference to any law shall include all statutory and regulatory </w:t>
      </w:r>
      <w:r>
        <w:rPr>
          <w:rFonts w:ascii="Arial" w:cs="Arial" w:eastAsia="Arial" w:hAnsi="Arial"/>
          <w:sz w:val="18"/>
          <w:szCs w:val="18"/>
          <w:u w:val="single" w:color="auto"/>
          <w:color w:val="0000FF"/>
        </w:rPr>
        <w:t>rules, regulations, orders and</w:t>
      </w:r>
      <w:r>
        <w:rPr>
          <w:rFonts w:ascii="Arial" w:cs="Arial" w:eastAsia="Arial" w:hAnsi="Arial"/>
          <w:sz w:val="18"/>
          <w:szCs w:val="18"/>
          <w:color w:val="auto"/>
        </w:rPr>
        <w:t xml:space="preserve"> provisions consolidating, amending replacing or interpreting such law and any reference to any law or regulation shall, unless otherwise specified, refer to such law or regulation as amended, modified</w:t>
      </w:r>
      <w:r>
        <w:rPr>
          <w:rFonts w:ascii="Arial" w:cs="Arial" w:eastAsia="Arial" w:hAnsi="Arial"/>
          <w:sz w:val="18"/>
          <w:szCs w:val="18"/>
          <w:u w:val="single" w:color="auto"/>
          <w:color w:val="0000FF"/>
        </w:rPr>
        <w:t>,</w:t>
      </w:r>
      <w:r>
        <w:rPr>
          <w:rFonts w:ascii="Arial" w:cs="Arial" w:eastAsia="Arial" w:hAnsi="Arial"/>
          <w:sz w:val="18"/>
          <w:szCs w:val="18"/>
          <w:color w:val="auto"/>
        </w:rPr>
        <w:t xml:space="preserve"> </w:t>
      </w:r>
      <w:r>
        <w:rPr>
          <w:rFonts w:ascii="Arial" w:cs="Arial" w:eastAsia="Arial" w:hAnsi="Arial"/>
          <w:sz w:val="18"/>
          <w:szCs w:val="18"/>
          <w:u w:val="single" w:color="auto"/>
          <w:color w:val="0000FF"/>
        </w:rPr>
        <w:t>extended, restated, replaced</w:t>
      </w:r>
      <w:r>
        <w:rPr>
          <w:rFonts w:ascii="Arial" w:cs="Arial" w:eastAsia="Arial" w:hAnsi="Arial"/>
          <w:sz w:val="18"/>
          <w:szCs w:val="18"/>
          <w:color w:val="0000FF"/>
        </w:rPr>
        <w:t xml:space="preserve"> </w:t>
      </w:r>
      <w:r>
        <w:rPr>
          <w:rFonts w:ascii="Arial" w:cs="Arial" w:eastAsia="Arial" w:hAnsi="Arial"/>
          <w:sz w:val="18"/>
          <w:szCs w:val="18"/>
          <w:color w:val="000000"/>
        </w:rPr>
        <w:t>or supplemented from time to time, and (vi) the words “</w:t>
      </w:r>
      <w:r>
        <w:rPr>
          <w:rFonts w:ascii="Arial" w:cs="Arial" w:eastAsia="Arial" w:hAnsi="Arial"/>
          <w:sz w:val="18"/>
          <w:szCs w:val="18"/>
          <w:u w:val="single" w:color="auto"/>
          <w:color w:val="000000"/>
        </w:rPr>
        <w:t>asset</w:t>
      </w:r>
      <w:r>
        <w:rPr>
          <w:rFonts w:ascii="Arial" w:cs="Arial" w:eastAsia="Arial" w:hAnsi="Arial"/>
          <w:sz w:val="18"/>
          <w:szCs w:val="18"/>
          <w:color w:val="000000"/>
        </w:rPr>
        <w:t>” and “</w:t>
      </w:r>
      <w:r>
        <w:rPr>
          <w:rFonts w:ascii="Arial" w:cs="Arial" w:eastAsia="Arial" w:hAnsi="Arial"/>
          <w:sz w:val="18"/>
          <w:szCs w:val="18"/>
          <w:u w:val="single" w:color="auto"/>
          <w:color w:val="000000"/>
        </w:rPr>
        <w:t>property</w:t>
      </w:r>
      <w:r>
        <w:rPr>
          <w:rFonts w:ascii="Arial" w:cs="Arial" w:eastAsia="Arial" w:hAnsi="Arial"/>
          <w:sz w:val="18"/>
          <w:szCs w:val="18"/>
          <w:color w:val="000000"/>
        </w:rPr>
        <w:t>” shall be construed to have</w:t>
      </w:r>
      <w:r>
        <w:rPr>
          <w:rFonts w:ascii="Arial" w:cs="Arial" w:eastAsia="Arial" w:hAnsi="Arial"/>
          <w:sz w:val="18"/>
          <w:szCs w:val="18"/>
          <w:color w:val="0000FF"/>
        </w:rPr>
        <w:t xml:space="preserve"> </w:t>
      </w:r>
      <w:r>
        <w:rPr>
          <w:rFonts w:ascii="Arial" w:cs="Arial" w:eastAsia="Arial" w:hAnsi="Arial"/>
          <w:sz w:val="18"/>
          <w:szCs w:val="18"/>
          <w:color w:val="000000"/>
        </w:rPr>
        <w:t>the same meaning and effect and to refer to any and all assets and property of whatever kind, real and personal, tangible and intangible, including cash, securities, accounts and contract rights.</w:t>
      </w:r>
    </w:p>
    <w:p>
      <w:pPr>
        <w:spacing w:after="0" w:line="177" w:lineRule="exact"/>
        <w:rPr>
          <w:sz w:val="20"/>
          <w:szCs w:val="20"/>
          <w:color w:val="auto"/>
        </w:rPr>
      </w:pPr>
    </w:p>
    <w:p>
      <w:pPr>
        <w:ind w:left="660" w:right="280" w:firstLine="645"/>
        <w:spacing w:after="0" w:line="379" w:lineRule="auto"/>
        <w:tabs>
          <w:tab w:leader="none" w:pos="1719" w:val="left"/>
        </w:tabs>
        <w:numPr>
          <w:ilvl w:val="0"/>
          <w:numId w:val="55"/>
        </w:numPr>
        <w:rPr>
          <w:rFonts w:ascii="Arial" w:cs="Arial" w:eastAsia="Arial" w:hAnsi="Arial"/>
          <w:sz w:val="18"/>
          <w:szCs w:val="18"/>
          <w:color w:val="auto"/>
        </w:rPr>
      </w:pPr>
      <w:r>
        <w:rPr>
          <w:rFonts w:ascii="Arial" w:cs="Arial" w:eastAsia="Arial" w:hAnsi="Arial"/>
          <w:sz w:val="18"/>
          <w:szCs w:val="18"/>
          <w:color w:val="auto"/>
        </w:rPr>
        <w:t>In the computation of periods of time from a specified date to a later specified date, the word “</w:t>
      </w:r>
      <w:r>
        <w:rPr>
          <w:rFonts w:ascii="Arial" w:cs="Arial" w:eastAsia="Arial" w:hAnsi="Arial"/>
          <w:sz w:val="18"/>
          <w:szCs w:val="18"/>
          <w:u w:val="single" w:color="auto"/>
          <w:color w:val="auto"/>
        </w:rPr>
        <w:t>from</w:t>
      </w:r>
      <w:r>
        <w:rPr>
          <w:rFonts w:ascii="Arial" w:cs="Arial" w:eastAsia="Arial" w:hAnsi="Arial"/>
          <w:sz w:val="18"/>
          <w:szCs w:val="18"/>
          <w:color w:val="auto"/>
        </w:rPr>
        <w:t>” means “</w:t>
      </w:r>
      <w:r>
        <w:rPr>
          <w:rFonts w:ascii="Arial" w:cs="Arial" w:eastAsia="Arial" w:hAnsi="Arial"/>
          <w:sz w:val="18"/>
          <w:szCs w:val="18"/>
          <w:u w:val="single" w:color="auto"/>
          <w:color w:val="auto"/>
        </w:rPr>
        <w:t>from and</w:t>
      </w:r>
      <w:r>
        <w:rPr>
          <w:rFonts w:ascii="Arial" w:cs="Arial" w:eastAsia="Arial" w:hAnsi="Arial"/>
          <w:sz w:val="18"/>
          <w:szCs w:val="18"/>
          <w:color w:val="auto"/>
        </w:rPr>
        <w:t xml:space="preserve"> </w:t>
      </w:r>
      <w:r>
        <w:rPr>
          <w:rFonts w:ascii="Arial" w:cs="Arial" w:eastAsia="Arial" w:hAnsi="Arial"/>
          <w:sz w:val="18"/>
          <w:szCs w:val="18"/>
          <w:u w:val="single" w:color="auto"/>
          <w:color w:val="auto"/>
        </w:rPr>
        <w:t>including</w:t>
      </w:r>
      <w:r>
        <w:rPr>
          <w:rFonts w:ascii="Arial" w:cs="Arial" w:eastAsia="Arial" w:hAnsi="Arial"/>
          <w:sz w:val="18"/>
          <w:szCs w:val="18"/>
          <w:color w:val="auto"/>
        </w:rPr>
        <w:t>;” the words “</w:t>
      </w:r>
      <w:r>
        <w:rPr>
          <w:rFonts w:ascii="Arial" w:cs="Arial" w:eastAsia="Arial" w:hAnsi="Arial"/>
          <w:sz w:val="18"/>
          <w:szCs w:val="18"/>
          <w:u w:val="single" w:color="auto"/>
          <w:color w:val="auto"/>
        </w:rPr>
        <w:t>to</w:t>
      </w:r>
      <w:r>
        <w:rPr>
          <w:rFonts w:ascii="Arial" w:cs="Arial" w:eastAsia="Arial" w:hAnsi="Arial"/>
          <w:sz w:val="18"/>
          <w:szCs w:val="18"/>
          <w:color w:val="auto"/>
        </w:rPr>
        <w:t>” and “</w:t>
      </w:r>
      <w:r>
        <w:rPr>
          <w:rFonts w:ascii="Arial" w:cs="Arial" w:eastAsia="Arial" w:hAnsi="Arial"/>
          <w:sz w:val="18"/>
          <w:szCs w:val="18"/>
          <w:u w:val="single" w:color="auto"/>
          <w:color w:val="auto"/>
        </w:rPr>
        <w:t>until</w:t>
      </w:r>
      <w:r>
        <w:rPr>
          <w:rFonts w:ascii="Arial" w:cs="Arial" w:eastAsia="Arial" w:hAnsi="Arial"/>
          <w:sz w:val="18"/>
          <w:szCs w:val="18"/>
          <w:color w:val="auto"/>
        </w:rPr>
        <w:t>” each mean “</w:t>
      </w:r>
      <w:r>
        <w:rPr>
          <w:rFonts w:ascii="Arial" w:cs="Arial" w:eastAsia="Arial" w:hAnsi="Arial"/>
          <w:sz w:val="18"/>
          <w:szCs w:val="18"/>
          <w:u w:val="single" w:color="auto"/>
          <w:color w:val="auto"/>
        </w:rPr>
        <w:t>to but excluding</w:t>
      </w:r>
      <w:r>
        <w:rPr>
          <w:rFonts w:ascii="Arial" w:cs="Arial" w:eastAsia="Arial" w:hAnsi="Arial"/>
          <w:sz w:val="18"/>
          <w:szCs w:val="18"/>
          <w:color w:val="auto"/>
        </w:rPr>
        <w:t>;” and the word “</w:t>
      </w:r>
      <w:r>
        <w:rPr>
          <w:rFonts w:ascii="Arial" w:cs="Arial" w:eastAsia="Arial" w:hAnsi="Arial"/>
          <w:sz w:val="18"/>
          <w:szCs w:val="18"/>
          <w:u w:val="single" w:color="auto"/>
          <w:color w:val="auto"/>
        </w:rPr>
        <w:t>through</w:t>
      </w:r>
      <w:r>
        <w:rPr>
          <w:rFonts w:ascii="Arial" w:cs="Arial" w:eastAsia="Arial" w:hAnsi="Arial"/>
          <w:sz w:val="18"/>
          <w:szCs w:val="18"/>
          <w:color w:val="auto"/>
        </w:rPr>
        <w:t>” means “</w:t>
      </w:r>
      <w:r>
        <w:rPr>
          <w:rFonts w:ascii="Arial" w:cs="Arial" w:eastAsia="Arial" w:hAnsi="Arial"/>
          <w:sz w:val="18"/>
          <w:szCs w:val="18"/>
          <w:u w:val="single" w:color="auto"/>
          <w:color w:val="auto"/>
        </w:rPr>
        <w:t>to and including</w:t>
      </w:r>
      <w:r>
        <w:rPr>
          <w:rFonts w:ascii="Arial" w:cs="Arial" w:eastAsia="Arial" w:hAnsi="Arial"/>
          <w:sz w:val="18"/>
          <w:szCs w:val="18"/>
          <w:color w:val="auto"/>
        </w:rPr>
        <w:t>.”</w:t>
      </w:r>
    </w:p>
    <w:p>
      <w:pPr>
        <w:spacing w:after="0" w:line="116" w:lineRule="exact"/>
        <w:rPr>
          <w:rFonts w:ascii="Arial" w:cs="Arial" w:eastAsia="Arial" w:hAnsi="Arial"/>
          <w:sz w:val="18"/>
          <w:szCs w:val="18"/>
          <w:color w:val="auto"/>
        </w:rPr>
      </w:pPr>
    </w:p>
    <w:p>
      <w:pPr>
        <w:ind w:left="660" w:right="200" w:firstLine="645"/>
        <w:spacing w:after="0" w:line="317" w:lineRule="auto"/>
        <w:tabs>
          <w:tab w:leader="none" w:pos="1708" w:val="left"/>
        </w:tabs>
        <w:numPr>
          <w:ilvl w:val="0"/>
          <w:numId w:val="55"/>
        </w:numPr>
        <w:rPr>
          <w:rFonts w:ascii="Arial" w:cs="Arial" w:eastAsia="Arial" w:hAnsi="Arial"/>
          <w:sz w:val="20"/>
          <w:szCs w:val="20"/>
          <w:color w:val="auto"/>
        </w:rPr>
      </w:pPr>
      <w:r>
        <w:rPr>
          <w:rFonts w:ascii="Arial" w:cs="Arial" w:eastAsia="Arial" w:hAnsi="Arial"/>
          <w:sz w:val="20"/>
          <w:szCs w:val="20"/>
          <w:color w:val="auto"/>
        </w:rPr>
        <w:t>Section headings herein and in the other Credit Documents are included for convenience of reference only and shall not affect the interpretation of this Credit Agreement or any other Credit Document.</w:t>
      </w:r>
    </w:p>
    <w:p>
      <w:pPr>
        <w:spacing w:after="0" w:line="162" w:lineRule="exact"/>
        <w:rPr>
          <w:rFonts w:ascii="Arial" w:cs="Arial" w:eastAsia="Arial" w:hAnsi="Arial"/>
          <w:sz w:val="20"/>
          <w:szCs w:val="20"/>
          <w:color w:val="auto"/>
        </w:rPr>
      </w:pPr>
    </w:p>
    <w:p>
      <w:pPr>
        <w:ind w:left="1720" w:hanging="415"/>
        <w:spacing w:after="0"/>
        <w:tabs>
          <w:tab w:leader="none" w:pos="1720" w:val="left"/>
        </w:tabs>
        <w:numPr>
          <w:ilvl w:val="0"/>
          <w:numId w:val="55"/>
        </w:numPr>
        <w:rPr>
          <w:rFonts w:ascii="Arial" w:cs="Arial" w:eastAsia="Arial" w:hAnsi="Arial"/>
          <w:sz w:val="20"/>
          <w:szCs w:val="20"/>
          <w:color w:val="auto"/>
        </w:rPr>
      </w:pPr>
      <w:r>
        <w:rPr>
          <w:rFonts w:ascii="Arial" w:cs="Arial" w:eastAsia="Arial" w:hAnsi="Arial"/>
          <w:sz w:val="20"/>
          <w:szCs w:val="20"/>
          <w:color w:val="auto"/>
        </w:rPr>
        <w:t>In this Credit Agreement, where it relates to a Dutch Obligor, a reference to:</w:t>
      </w:r>
    </w:p>
    <w:p>
      <w:pPr>
        <w:spacing w:after="0" w:line="280" w:lineRule="exact"/>
        <w:rPr>
          <w:rFonts w:ascii="Arial" w:cs="Arial" w:eastAsia="Arial" w:hAnsi="Arial"/>
          <w:sz w:val="20"/>
          <w:szCs w:val="20"/>
          <w:color w:val="auto"/>
        </w:rPr>
      </w:pPr>
    </w:p>
    <w:p>
      <w:pPr>
        <w:ind w:left="2340" w:hanging="387"/>
        <w:spacing w:after="0"/>
        <w:tabs>
          <w:tab w:leader="none" w:pos="2340" w:val="left"/>
        </w:tabs>
        <w:numPr>
          <w:ilvl w:val="1"/>
          <w:numId w:val="55"/>
        </w:numPr>
        <w:rPr>
          <w:rFonts w:ascii="Arial" w:cs="Arial" w:eastAsia="Arial" w:hAnsi="Arial"/>
          <w:sz w:val="22"/>
          <w:szCs w:val="22"/>
          <w:color w:val="auto"/>
        </w:rPr>
      </w:pPr>
      <w:r>
        <w:rPr>
          <w:rFonts w:ascii="Arial" w:cs="Arial" w:eastAsia="Arial" w:hAnsi="Arial"/>
          <w:sz w:val="20"/>
          <w:szCs w:val="20"/>
          <w:color w:val="auto"/>
        </w:rPr>
        <w:t>a winding-up, administration or dissolution includes a Dutch Obligor being:</w:t>
      </w:r>
    </w:p>
    <w:p>
      <w:pPr>
        <w:spacing w:after="0" w:line="273" w:lineRule="exact"/>
        <w:rPr>
          <w:rFonts w:ascii="Arial" w:cs="Arial" w:eastAsia="Arial" w:hAnsi="Arial"/>
          <w:sz w:val="22"/>
          <w:szCs w:val="22"/>
          <w:color w:val="auto"/>
        </w:rPr>
      </w:pPr>
    </w:p>
    <w:p>
      <w:pPr>
        <w:ind w:left="3080" w:hanging="479"/>
        <w:spacing w:after="0"/>
        <w:tabs>
          <w:tab w:leader="none" w:pos="3080" w:val="left"/>
        </w:tabs>
        <w:numPr>
          <w:ilvl w:val="2"/>
          <w:numId w:val="55"/>
        </w:numPr>
        <w:rPr>
          <w:rFonts w:ascii="Arial" w:cs="Arial" w:eastAsia="Arial" w:hAnsi="Arial"/>
          <w:sz w:val="22"/>
          <w:szCs w:val="22"/>
          <w:color w:val="auto"/>
        </w:rPr>
      </w:pPr>
      <w:r>
        <w:rPr>
          <w:rFonts w:ascii="Arial" w:cs="Arial" w:eastAsia="Arial" w:hAnsi="Arial"/>
          <w:sz w:val="20"/>
          <w:szCs w:val="20"/>
          <w:color w:val="auto"/>
        </w:rPr>
        <w:t>declared bankrupt (failliet verklaard); or</w:t>
      </w:r>
    </w:p>
    <w:p>
      <w:pPr>
        <w:spacing w:after="0" w:line="273" w:lineRule="exact"/>
        <w:rPr>
          <w:rFonts w:ascii="Arial" w:cs="Arial" w:eastAsia="Arial" w:hAnsi="Arial"/>
          <w:sz w:val="22"/>
          <w:szCs w:val="22"/>
          <w:color w:val="auto"/>
        </w:rPr>
      </w:pPr>
    </w:p>
    <w:p>
      <w:pPr>
        <w:ind w:left="3060" w:hanging="459"/>
        <w:spacing w:after="0"/>
        <w:tabs>
          <w:tab w:leader="none" w:pos="3060" w:val="left"/>
        </w:tabs>
        <w:numPr>
          <w:ilvl w:val="2"/>
          <w:numId w:val="55"/>
        </w:numPr>
        <w:rPr>
          <w:rFonts w:ascii="Arial" w:cs="Arial" w:eastAsia="Arial" w:hAnsi="Arial"/>
          <w:sz w:val="22"/>
          <w:szCs w:val="22"/>
          <w:color w:val="auto"/>
        </w:rPr>
      </w:pPr>
      <w:r>
        <w:rPr>
          <w:rFonts w:ascii="Arial" w:cs="Arial" w:eastAsia="Arial" w:hAnsi="Arial"/>
          <w:sz w:val="20"/>
          <w:szCs w:val="20"/>
          <w:color w:val="auto"/>
        </w:rPr>
        <w:t>dissolved (ontbonden);</w:t>
      </w:r>
    </w:p>
    <w:p>
      <w:pPr>
        <w:spacing w:after="0" w:line="273" w:lineRule="exact"/>
        <w:rPr>
          <w:rFonts w:ascii="Arial" w:cs="Arial" w:eastAsia="Arial" w:hAnsi="Arial"/>
          <w:sz w:val="22"/>
          <w:szCs w:val="22"/>
          <w:color w:val="auto"/>
        </w:rPr>
      </w:pPr>
    </w:p>
    <w:p>
      <w:pPr>
        <w:ind w:left="2400" w:hanging="447"/>
        <w:spacing w:after="0"/>
        <w:tabs>
          <w:tab w:leader="none" w:pos="2400" w:val="left"/>
        </w:tabs>
        <w:numPr>
          <w:ilvl w:val="1"/>
          <w:numId w:val="55"/>
        </w:numPr>
        <w:rPr>
          <w:rFonts w:ascii="Arial" w:cs="Arial" w:eastAsia="Arial" w:hAnsi="Arial"/>
          <w:sz w:val="22"/>
          <w:szCs w:val="22"/>
          <w:color w:val="auto"/>
        </w:rPr>
      </w:pPr>
      <w:r>
        <w:rPr>
          <w:rFonts w:ascii="Arial" w:cs="Arial" w:eastAsia="Arial" w:hAnsi="Arial"/>
          <w:sz w:val="20"/>
          <w:szCs w:val="20"/>
          <w:color w:val="auto"/>
        </w:rPr>
        <w:t>a moratorium or rearrangement includes surseance van betaling;</w:t>
      </w:r>
    </w:p>
    <w:p>
      <w:pPr>
        <w:spacing w:after="0" w:line="276" w:lineRule="exact"/>
        <w:rPr>
          <w:rFonts w:ascii="Arial" w:cs="Arial" w:eastAsia="Arial" w:hAnsi="Arial"/>
          <w:sz w:val="22"/>
          <w:szCs w:val="22"/>
          <w:color w:val="auto"/>
        </w:rPr>
      </w:pPr>
    </w:p>
    <w:p>
      <w:pPr>
        <w:ind w:left="1300" w:right="40" w:firstLine="653"/>
        <w:spacing w:after="0" w:line="312" w:lineRule="auto"/>
        <w:tabs>
          <w:tab w:leader="none" w:pos="2452" w:val="left"/>
        </w:tabs>
        <w:numPr>
          <w:ilvl w:val="1"/>
          <w:numId w:val="55"/>
        </w:numPr>
        <w:rPr>
          <w:rFonts w:ascii="Arial" w:cs="Arial" w:eastAsia="Arial" w:hAnsi="Arial"/>
          <w:sz w:val="22"/>
          <w:szCs w:val="22"/>
          <w:color w:val="auto"/>
        </w:rPr>
      </w:pPr>
      <w:r>
        <w:rPr>
          <w:rFonts w:ascii="Arial" w:cs="Arial" w:eastAsia="Arial" w:hAnsi="Arial"/>
          <w:sz w:val="20"/>
          <w:szCs w:val="20"/>
          <w:color w:val="auto"/>
        </w:rPr>
        <w:t>insolvency includes a bankruptcy, a moratorium, the issue of a notice under section 36(2) of the Dutch 1990 Tax Collection Act (Invorderingswet 1990) and emergency regulations (noodregeling) under the Dutch Financial Supervision Act (Wet op het Financieel Toezicht);</w:t>
      </w:r>
    </w:p>
    <w:p>
      <w:pPr>
        <w:spacing w:after="0" w:line="191" w:lineRule="exact"/>
        <w:rPr>
          <w:rFonts w:ascii="Arial" w:cs="Arial" w:eastAsia="Arial" w:hAnsi="Arial"/>
          <w:sz w:val="22"/>
          <w:szCs w:val="22"/>
          <w:color w:val="auto"/>
        </w:rPr>
      </w:pPr>
    </w:p>
    <w:p>
      <w:pPr>
        <w:ind w:left="2440" w:hanging="487"/>
        <w:spacing w:after="0"/>
        <w:tabs>
          <w:tab w:leader="none" w:pos="2440" w:val="left"/>
        </w:tabs>
        <w:numPr>
          <w:ilvl w:val="1"/>
          <w:numId w:val="55"/>
        </w:numPr>
        <w:rPr>
          <w:rFonts w:ascii="Arial" w:cs="Arial" w:eastAsia="Arial" w:hAnsi="Arial"/>
          <w:sz w:val="22"/>
          <w:szCs w:val="22"/>
          <w:color w:val="auto"/>
        </w:rPr>
      </w:pPr>
      <w:r>
        <w:rPr>
          <w:rFonts w:ascii="Arial" w:cs="Arial" w:eastAsia="Arial" w:hAnsi="Arial"/>
          <w:sz w:val="20"/>
          <w:szCs w:val="20"/>
          <w:color w:val="auto"/>
        </w:rPr>
        <w:t>a trustee in bankruptcy includes a curator;</w:t>
      </w:r>
    </w:p>
    <w:p>
      <w:pPr>
        <w:spacing w:after="0" w:line="273" w:lineRule="exact"/>
        <w:rPr>
          <w:rFonts w:ascii="Arial" w:cs="Arial" w:eastAsia="Arial" w:hAnsi="Arial"/>
          <w:sz w:val="22"/>
          <w:szCs w:val="22"/>
          <w:color w:val="auto"/>
        </w:rPr>
      </w:pPr>
    </w:p>
    <w:p>
      <w:pPr>
        <w:ind w:left="2380" w:hanging="427"/>
        <w:spacing w:after="0"/>
        <w:tabs>
          <w:tab w:leader="none" w:pos="2380" w:val="left"/>
        </w:tabs>
        <w:numPr>
          <w:ilvl w:val="1"/>
          <w:numId w:val="55"/>
        </w:numPr>
        <w:rPr>
          <w:rFonts w:ascii="Arial" w:cs="Arial" w:eastAsia="Arial" w:hAnsi="Arial"/>
          <w:sz w:val="22"/>
          <w:szCs w:val="22"/>
          <w:color w:val="auto"/>
        </w:rPr>
      </w:pPr>
      <w:r>
        <w:rPr>
          <w:rFonts w:ascii="Arial" w:cs="Arial" w:eastAsia="Arial" w:hAnsi="Arial"/>
          <w:sz w:val="20"/>
          <w:szCs w:val="20"/>
          <w:color w:val="auto"/>
        </w:rPr>
        <w:t>an administrator includes a bewindvoerder;</w:t>
      </w:r>
    </w:p>
    <w:p>
      <w:pPr>
        <w:spacing w:after="0" w:line="200" w:lineRule="exact"/>
        <w:rPr>
          <w:sz w:val="20"/>
          <w:szCs w:val="20"/>
          <w:color w:val="auto"/>
        </w:rPr>
      </w:pPr>
    </w:p>
    <w:p>
      <w:pPr>
        <w:spacing w:after="0" w:line="279" w:lineRule="exact"/>
        <w:rPr>
          <w:sz w:val="20"/>
          <w:szCs w:val="20"/>
          <w:color w:val="auto"/>
        </w:rPr>
      </w:pPr>
    </w:p>
    <w:p>
      <w:pPr>
        <w:jc w:val="center"/>
        <w:ind w:right="-59"/>
        <w:spacing w:after="0"/>
        <w:rPr>
          <w:sz w:val="20"/>
          <w:szCs w:val="20"/>
          <w:color w:val="auto"/>
        </w:rPr>
      </w:pPr>
      <w:r>
        <w:rPr>
          <w:rFonts w:ascii="Arial" w:cs="Arial" w:eastAsia="Arial" w:hAnsi="Arial"/>
          <w:sz w:val="20"/>
          <w:szCs w:val="20"/>
          <w:color w:val="auto"/>
        </w:rPr>
        <w:t>64</w:t>
      </w:r>
    </w:p>
    <w:p>
      <w:pPr>
        <w:spacing w:after="0" w:line="10" w:lineRule="exact"/>
        <w:rPr>
          <w:sz w:val="20"/>
          <w:szCs w:val="20"/>
          <w:color w:val="auto"/>
        </w:rPr>
      </w:pPr>
    </w:p>
    <w:p>
      <w:pPr>
        <w:spacing w:after="0"/>
        <w:rPr>
          <w:sz w:val="20"/>
          <w:szCs w:val="20"/>
          <w:color w:val="auto"/>
        </w:rPr>
      </w:pPr>
      <w:r>
        <w:rPr>
          <w:rFonts w:ascii="Arial" w:cs="Arial" w:eastAsia="Arial" w:hAnsi="Arial"/>
          <w:sz w:val="14"/>
          <w:szCs w:val="14"/>
          <w:color w:val="auto"/>
        </w:rPr>
        <w:t>CHAR1\1346423v</w:t>
      </w:r>
      <w:r>
        <w:rPr>
          <w:rFonts w:ascii="Arial" w:cs="Arial" w:eastAsia="Arial" w:hAnsi="Arial"/>
          <w:sz w:val="14"/>
          <w:szCs w:val="14"/>
          <w:color w:val="FF0000"/>
          <w:strike w:val="1"/>
        </w:rPr>
        <w:t>1</w:t>
      </w:r>
      <w:r>
        <w:rPr>
          <w:rFonts w:ascii="Arial" w:cs="Arial" w:eastAsia="Arial" w:hAnsi="Arial"/>
          <w:sz w:val="14"/>
          <w:szCs w:val="14"/>
          <w:u w:val="single" w:color="auto"/>
          <w:color w:val="0000FF"/>
        </w:rPr>
        <w:t>12</w:t>
      </w:r>
    </w:p>
    <w:p>
      <w:pPr>
        <w:sectPr>
          <w:pgSz w:w="11900" w:h="16838" w:orient="portrait"/>
          <w:cols w:equalWidth="0" w:num="1">
            <w:col w:w="11380"/>
          </w:cols>
          <w:pgMar w:left="240" w:top="609" w:right="279" w:bottom="1440" w:gutter="0" w:footer="0" w:header="0"/>
        </w:sectPr>
      </w:pPr>
    </w:p>
    <w:bookmarkStart w:id="116" w:name="page117"/>
    <w:bookmarkEnd w:id="116"/>
    <w:p>
      <w:pPr>
        <w:ind w:left="1300" w:right="60" w:firstLine="653"/>
        <w:spacing w:after="0" w:line="367" w:lineRule="auto"/>
        <w:tabs>
          <w:tab w:leader="none" w:pos="2440" w:val="left"/>
        </w:tabs>
        <w:numPr>
          <w:ilvl w:val="0"/>
          <w:numId w:val="56"/>
        </w:numPr>
        <w:rPr>
          <w:rFonts w:ascii="Arial" w:cs="Arial" w:eastAsia="Arial" w:hAnsi="Arial"/>
          <w:sz w:val="19"/>
          <w:szCs w:val="19"/>
          <w:color w:val="auto"/>
        </w:rPr>
      </w:pPr>
      <w:r>
        <w:rPr>
          <w:rFonts w:ascii="Arial" w:cs="Arial" w:eastAsia="Arial" w:hAnsi="Arial"/>
          <w:sz w:val="18"/>
          <w:szCs w:val="18"/>
          <w:color w:val="auto"/>
        </w:rPr>
        <w:t>“security” includes any mortgage (hypotheek), pledge (pandrecht), retention of title arrangement (eigendomsvoorbehoud), right of retention (recht van retentie), right to reclaim goods (recht van reclame), and, in general, any right in rem (beperkt recht), created for the purpose of granting security (goederenrechtelijk zekerheidsrecht);</w:t>
      </w:r>
    </w:p>
    <w:p>
      <w:pPr>
        <w:spacing w:after="0" w:line="151" w:lineRule="exact"/>
        <w:rPr>
          <w:rFonts w:ascii="Arial" w:cs="Arial" w:eastAsia="Arial" w:hAnsi="Arial"/>
          <w:sz w:val="19"/>
          <w:szCs w:val="19"/>
          <w:color w:val="auto"/>
        </w:rPr>
      </w:pPr>
    </w:p>
    <w:p>
      <w:pPr>
        <w:ind w:left="2500" w:hanging="547"/>
        <w:spacing w:after="0"/>
        <w:tabs>
          <w:tab w:leader="none" w:pos="2500" w:val="left"/>
        </w:tabs>
        <w:numPr>
          <w:ilvl w:val="0"/>
          <w:numId w:val="56"/>
        </w:numPr>
        <w:rPr>
          <w:rFonts w:ascii="Arial" w:cs="Arial" w:eastAsia="Arial" w:hAnsi="Arial"/>
          <w:sz w:val="22"/>
          <w:szCs w:val="22"/>
          <w:color w:val="auto"/>
        </w:rPr>
      </w:pPr>
      <w:r>
        <w:rPr>
          <w:rFonts w:ascii="Arial" w:cs="Arial" w:eastAsia="Arial" w:hAnsi="Arial"/>
          <w:sz w:val="20"/>
          <w:szCs w:val="20"/>
          <w:color w:val="auto"/>
        </w:rPr>
        <w:t>an attachment includes a beslag; and</w:t>
      </w:r>
    </w:p>
    <w:p>
      <w:pPr>
        <w:spacing w:after="0" w:line="273" w:lineRule="exact"/>
        <w:rPr>
          <w:rFonts w:ascii="Arial" w:cs="Arial" w:eastAsia="Arial" w:hAnsi="Arial"/>
          <w:sz w:val="22"/>
          <w:szCs w:val="22"/>
          <w:color w:val="auto"/>
        </w:rPr>
      </w:pPr>
    </w:p>
    <w:p>
      <w:pPr>
        <w:ind w:left="2560" w:hanging="607"/>
        <w:spacing w:after="0"/>
        <w:tabs>
          <w:tab w:leader="none" w:pos="2560" w:val="left"/>
        </w:tabs>
        <w:numPr>
          <w:ilvl w:val="0"/>
          <w:numId w:val="56"/>
        </w:numPr>
        <w:rPr>
          <w:rFonts w:ascii="Arial" w:cs="Arial" w:eastAsia="Arial" w:hAnsi="Arial"/>
          <w:sz w:val="22"/>
          <w:szCs w:val="22"/>
          <w:color w:val="auto"/>
        </w:rPr>
      </w:pPr>
      <w:r>
        <w:rPr>
          <w:rFonts w:ascii="Arial" w:cs="Arial" w:eastAsia="Arial" w:hAnsi="Arial"/>
          <w:sz w:val="20"/>
          <w:szCs w:val="20"/>
          <w:color w:val="auto"/>
        </w:rPr>
        <w:t>a subsidiary includes a dochtermaatschappij as defined in Article 2:24a of the Dutch Civil Code.</w:t>
      </w:r>
    </w:p>
    <w:p>
      <w:pPr>
        <w:spacing w:after="0" w:line="263" w:lineRule="exact"/>
        <w:rPr>
          <w:sz w:val="20"/>
          <w:szCs w:val="20"/>
          <w:color w:val="auto"/>
        </w:rPr>
      </w:pPr>
    </w:p>
    <w:p>
      <w:pPr>
        <w:ind w:left="660"/>
        <w:spacing w:after="0"/>
        <w:tabs>
          <w:tab w:leader="none" w:pos="1160" w:val="left"/>
        </w:tabs>
        <w:rPr>
          <w:sz w:val="20"/>
          <w:szCs w:val="20"/>
          <w:color w:val="auto"/>
        </w:rPr>
      </w:pPr>
      <w:r>
        <w:rPr>
          <w:rFonts w:ascii="Arial" w:cs="Arial" w:eastAsia="Arial" w:hAnsi="Arial"/>
          <w:sz w:val="20"/>
          <w:szCs w:val="20"/>
          <w:color w:val="auto"/>
        </w:rPr>
        <w:t>1.03</w:t>
      </w:r>
      <w:r>
        <w:rPr>
          <w:sz w:val="20"/>
          <w:szCs w:val="20"/>
          <w:color w:val="auto"/>
        </w:rPr>
        <w:tab/>
      </w:r>
      <w:r>
        <w:rPr>
          <w:rFonts w:ascii="Arial" w:cs="Arial" w:eastAsia="Arial" w:hAnsi="Arial"/>
          <w:sz w:val="18"/>
          <w:szCs w:val="18"/>
          <w:u w:val="single" w:color="auto"/>
          <w:color w:val="auto"/>
        </w:rPr>
        <w:t>Accounting Terms and Provisions</w:t>
      </w:r>
      <w:r>
        <w:rPr>
          <w:rFonts w:ascii="Arial" w:cs="Arial" w:eastAsia="Arial" w:hAnsi="Arial"/>
          <w:sz w:val="18"/>
          <w:szCs w:val="18"/>
          <w:color w:val="auto"/>
        </w:rPr>
        <w:t>.</w:t>
      </w:r>
    </w:p>
    <w:p>
      <w:pPr>
        <w:spacing w:after="0" w:line="270" w:lineRule="exact"/>
        <w:rPr>
          <w:sz w:val="20"/>
          <w:szCs w:val="20"/>
          <w:color w:val="auto"/>
        </w:rPr>
      </w:pPr>
    </w:p>
    <w:p>
      <w:pPr>
        <w:ind w:left="1700" w:hanging="395"/>
        <w:spacing w:after="0"/>
        <w:tabs>
          <w:tab w:leader="none" w:pos="1700" w:val="left"/>
        </w:tabs>
        <w:numPr>
          <w:ilvl w:val="0"/>
          <w:numId w:val="57"/>
        </w:numPr>
        <w:rPr>
          <w:rFonts w:ascii="Arial" w:cs="Arial" w:eastAsia="Arial" w:hAnsi="Arial"/>
          <w:sz w:val="18"/>
          <w:szCs w:val="18"/>
          <w:color w:val="auto"/>
        </w:rPr>
      </w:pPr>
      <w:r>
        <w:rPr>
          <w:rFonts w:ascii="Arial" w:cs="Arial" w:eastAsia="Arial" w:hAnsi="Arial"/>
          <w:sz w:val="18"/>
          <w:szCs w:val="18"/>
          <w:color w:val="auto"/>
        </w:rPr>
        <w:t>All accounting terms not specifically or completely defined herein shall be construed in conformity with, and all financial</w:t>
      </w:r>
    </w:p>
    <w:p>
      <w:pPr>
        <w:spacing w:after="0" w:line="76" w:lineRule="exact"/>
        <w:rPr>
          <w:rFonts w:ascii="Arial" w:cs="Arial" w:eastAsia="Arial" w:hAnsi="Arial"/>
          <w:sz w:val="18"/>
          <w:szCs w:val="18"/>
          <w:color w:val="auto"/>
        </w:rPr>
      </w:pPr>
    </w:p>
    <w:p>
      <w:pPr>
        <w:ind w:left="660" w:right="200"/>
        <w:spacing w:after="0" w:line="285" w:lineRule="auto"/>
        <w:rPr>
          <w:rFonts w:ascii="Arial" w:cs="Arial" w:eastAsia="Arial" w:hAnsi="Arial"/>
          <w:sz w:val="18"/>
          <w:szCs w:val="18"/>
          <w:color w:val="auto"/>
        </w:rPr>
      </w:pPr>
      <w:r>
        <w:rPr>
          <w:rFonts w:ascii="Arial" w:cs="Arial" w:eastAsia="Arial" w:hAnsi="Arial"/>
          <w:sz w:val="20"/>
          <w:szCs w:val="20"/>
          <w:color w:val="auto"/>
        </w:rPr>
        <w:t xml:space="preserve">data (including financial ratios and other financial calculations) required to be submitted pursuant to this Credit Agreement shall be prepared in conformity with, GAAP applied on a consistent basis, as in effect from time to time, applied in a manner consistent with that used in preparing the audited financial statements for the fiscal year ending December 31, 2010, </w:t>
      </w:r>
      <w:r>
        <w:rPr>
          <w:rFonts w:ascii="Arial" w:cs="Arial" w:eastAsia="Arial" w:hAnsi="Arial"/>
          <w:sz w:val="20"/>
          <w:szCs w:val="20"/>
          <w:u w:val="single" w:color="auto"/>
          <w:color w:val="auto"/>
        </w:rPr>
        <w:t>except</w:t>
      </w:r>
      <w:r>
        <w:rPr>
          <w:rFonts w:ascii="Arial" w:cs="Arial" w:eastAsia="Arial" w:hAnsi="Arial"/>
          <w:sz w:val="20"/>
          <w:szCs w:val="20"/>
          <w:color w:val="auto"/>
        </w:rPr>
        <w:t xml:space="preserve"> as otherwise specifically prescribed herein. Notwithstanding the foregoing, for purposes of determining compliance with any covenant (including the computation of any financial covenant) contained herein, Indebtedness shall be deemed to be carried at 100% of the outstanding principal amount thereof, and the effects of FASB ASC 825 (Financial Instruments) and FASB ASC 470-20 (Debt) on financial liabilities shall be disregarded.</w:t>
      </w:r>
    </w:p>
    <w:p>
      <w:pPr>
        <w:spacing w:after="0" w:line="195" w:lineRule="exact"/>
        <w:rPr>
          <w:rFonts w:ascii="Arial" w:cs="Arial" w:eastAsia="Arial" w:hAnsi="Arial"/>
          <w:sz w:val="18"/>
          <w:szCs w:val="18"/>
          <w:color w:val="auto"/>
        </w:rPr>
      </w:pPr>
    </w:p>
    <w:p>
      <w:pPr>
        <w:ind w:left="660" w:right="760" w:firstLine="645"/>
        <w:spacing w:after="0" w:line="379" w:lineRule="auto"/>
        <w:tabs>
          <w:tab w:leader="none" w:pos="1719" w:val="left"/>
        </w:tabs>
        <w:numPr>
          <w:ilvl w:val="0"/>
          <w:numId w:val="57"/>
        </w:numPr>
        <w:rPr>
          <w:rFonts w:ascii="Arial" w:cs="Arial" w:eastAsia="Arial" w:hAnsi="Arial"/>
          <w:sz w:val="18"/>
          <w:szCs w:val="18"/>
          <w:color w:val="auto"/>
        </w:rPr>
      </w:pPr>
      <w:r>
        <w:rPr>
          <w:rFonts w:ascii="Arial" w:cs="Arial" w:eastAsia="Arial" w:hAnsi="Arial"/>
          <w:sz w:val="18"/>
          <w:szCs w:val="18"/>
          <w:color w:val="auto"/>
        </w:rPr>
        <w:t>Notwithstanding any provision herein to the contrary, determinations of (i) the applicable pricing level under the definition of “Applicable Percentage” and (ii) compliance with the financial covenants shall be made on a Pro Forma Basis.</w:t>
      </w:r>
    </w:p>
    <w:p>
      <w:pPr>
        <w:spacing w:after="0" w:line="116" w:lineRule="exact"/>
        <w:rPr>
          <w:rFonts w:ascii="Arial" w:cs="Arial" w:eastAsia="Arial" w:hAnsi="Arial"/>
          <w:sz w:val="18"/>
          <w:szCs w:val="18"/>
          <w:color w:val="auto"/>
        </w:rPr>
      </w:pPr>
    </w:p>
    <w:p>
      <w:pPr>
        <w:ind w:left="1700" w:hanging="395"/>
        <w:spacing w:after="0"/>
        <w:tabs>
          <w:tab w:leader="none" w:pos="1700" w:val="left"/>
        </w:tabs>
        <w:numPr>
          <w:ilvl w:val="0"/>
          <w:numId w:val="57"/>
        </w:numPr>
        <w:rPr>
          <w:rFonts w:ascii="Arial" w:cs="Arial" w:eastAsia="Arial" w:hAnsi="Arial"/>
          <w:sz w:val="18"/>
          <w:szCs w:val="18"/>
          <w:color w:val="auto"/>
        </w:rPr>
      </w:pPr>
      <w:r>
        <w:rPr>
          <w:rFonts w:ascii="Arial" w:cs="Arial" w:eastAsia="Arial" w:hAnsi="Arial"/>
          <w:sz w:val="18"/>
          <w:szCs w:val="18"/>
          <w:color w:val="auto"/>
        </w:rPr>
        <w:t xml:space="preserve">To the extent not otherwise described in the financial statements delivered pursuant to </w:t>
      </w:r>
      <w:r>
        <w:rPr>
          <w:rFonts w:ascii="Arial" w:cs="Arial" w:eastAsia="Arial" w:hAnsi="Arial"/>
          <w:sz w:val="18"/>
          <w:szCs w:val="18"/>
          <w:u w:val="single" w:color="auto"/>
          <w:color w:val="auto"/>
        </w:rPr>
        <w:t>Section 7.01(a</w:t>
      </w:r>
      <w:r>
        <w:rPr>
          <w:rFonts w:ascii="Arial" w:cs="Arial" w:eastAsia="Arial" w:hAnsi="Arial"/>
          <w:sz w:val="18"/>
          <w:szCs w:val="18"/>
          <w:color w:val="auto"/>
        </w:rPr>
        <w:t>) or (</w:t>
      </w:r>
      <w:r>
        <w:rPr>
          <w:rFonts w:ascii="Arial" w:cs="Arial" w:eastAsia="Arial" w:hAnsi="Arial"/>
          <w:sz w:val="18"/>
          <w:szCs w:val="18"/>
          <w:u w:val="single" w:color="auto"/>
          <w:color w:val="auto"/>
        </w:rPr>
        <w:t>b</w:t>
      </w:r>
      <w:r>
        <w:rPr>
          <w:rFonts w:ascii="Arial" w:cs="Arial" w:eastAsia="Arial" w:hAnsi="Arial"/>
          <w:sz w:val="18"/>
          <w:szCs w:val="18"/>
          <w:color w:val="auto"/>
        </w:rPr>
        <w:t>) or the other</w:t>
      </w:r>
    </w:p>
    <w:p>
      <w:pPr>
        <w:spacing w:after="0" w:line="76" w:lineRule="exact"/>
        <w:rPr>
          <w:rFonts w:ascii="Arial" w:cs="Arial" w:eastAsia="Arial" w:hAnsi="Arial"/>
          <w:sz w:val="18"/>
          <w:szCs w:val="18"/>
          <w:color w:val="auto"/>
        </w:rPr>
      </w:pPr>
    </w:p>
    <w:p>
      <w:pPr>
        <w:ind w:left="660"/>
        <w:spacing w:after="0" w:line="318" w:lineRule="auto"/>
        <w:rPr>
          <w:rFonts w:ascii="Arial" w:cs="Arial" w:eastAsia="Arial" w:hAnsi="Arial"/>
          <w:sz w:val="18"/>
          <w:szCs w:val="18"/>
          <w:color w:val="auto"/>
        </w:rPr>
      </w:pPr>
      <w:r>
        <w:rPr>
          <w:rFonts w:ascii="Arial" w:cs="Arial" w:eastAsia="Arial" w:hAnsi="Arial"/>
          <w:sz w:val="18"/>
          <w:szCs w:val="18"/>
          <w:color w:val="auto"/>
        </w:rPr>
        <w:t xml:space="preserve">materials and information provided pursuant to </w:t>
      </w:r>
      <w:r>
        <w:rPr>
          <w:rFonts w:ascii="Arial" w:cs="Arial" w:eastAsia="Arial" w:hAnsi="Arial"/>
          <w:sz w:val="18"/>
          <w:szCs w:val="18"/>
          <w:u w:val="single" w:color="auto"/>
          <w:color w:val="auto"/>
        </w:rPr>
        <w:t>Section 7.02</w:t>
      </w:r>
      <w:r>
        <w:rPr>
          <w:rFonts w:ascii="Arial" w:cs="Arial" w:eastAsia="Arial" w:hAnsi="Arial"/>
          <w:sz w:val="18"/>
          <w:szCs w:val="18"/>
          <w:color w:val="auto"/>
        </w:rPr>
        <w:t xml:space="preserve">, EWI will provide a written summary of material changes in GAAP or in the consistent application thereof and material changes in accounting policies or financial reporting practices with each annual and quarterly Compliance Certificate delivered in accordance with </w:t>
      </w:r>
      <w:r>
        <w:rPr>
          <w:rFonts w:ascii="Arial" w:cs="Arial" w:eastAsia="Arial" w:hAnsi="Arial"/>
          <w:sz w:val="18"/>
          <w:szCs w:val="18"/>
          <w:u w:val="single" w:color="auto"/>
          <w:color w:val="auto"/>
        </w:rPr>
        <w:t>Section 7.02(b)</w:t>
      </w:r>
      <w:r>
        <w:rPr>
          <w:rFonts w:ascii="Arial" w:cs="Arial" w:eastAsia="Arial" w:hAnsi="Arial"/>
          <w:sz w:val="18"/>
          <w:szCs w:val="18"/>
          <w:color w:val="auto"/>
        </w:rPr>
        <w:t xml:space="preserve">. If there is any change in GAAP or in the consistent application thereof after the date hereof that would affect the computation of any financial covenant, ratio or requirement set forth in any Credit Document, and either EWI or the Required Lenders shall so request, then the Administrative Agent, the Required Lenders and EWI agree to endeavor, in good faith, to agree upon an amendment to this Credit Agreement that would adjust such financial covenants, ratio or requirement in a manner that would preserve the original intent thereof, but would allow compliance therewith to be determined in accordance with the most recent financial statements delivered pursuant to </w:t>
      </w:r>
      <w:r>
        <w:rPr>
          <w:rFonts w:ascii="Arial" w:cs="Arial" w:eastAsia="Arial" w:hAnsi="Arial"/>
          <w:sz w:val="18"/>
          <w:szCs w:val="18"/>
          <w:u w:val="single" w:color="auto"/>
          <w:color w:val="auto"/>
        </w:rPr>
        <w:t>Section 7.01(a)</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(b)</w:t>
      </w:r>
      <w:r>
        <w:rPr>
          <w:rFonts w:ascii="Arial" w:cs="Arial" w:eastAsia="Arial" w:hAnsi="Arial"/>
          <w:sz w:val="18"/>
          <w:szCs w:val="18"/>
          <w:color w:val="auto"/>
        </w:rPr>
        <w:t>, provided that, until so amended such financial covenants, ratio or requirement shall continue to be computed in accordance with GAAP prior to such change therein. Notwithstanding the forgoing, whenever in this Credit Agreement it is</w:t>
      </w:r>
    </w:p>
    <w:p>
      <w:pPr>
        <w:spacing w:after="0" w:line="391" w:lineRule="exact"/>
        <w:rPr>
          <w:sz w:val="20"/>
          <w:szCs w:val="20"/>
          <w:color w:val="auto"/>
        </w:rPr>
      </w:pPr>
    </w:p>
    <w:p>
      <w:pPr>
        <w:jc w:val="center"/>
        <w:ind w:right="-59"/>
        <w:spacing w:after="0"/>
        <w:rPr>
          <w:sz w:val="20"/>
          <w:szCs w:val="20"/>
          <w:color w:val="auto"/>
        </w:rPr>
      </w:pPr>
      <w:r>
        <w:rPr>
          <w:rFonts w:ascii="Arial" w:cs="Arial" w:eastAsia="Arial" w:hAnsi="Arial"/>
          <w:sz w:val="20"/>
          <w:szCs w:val="20"/>
          <w:color w:val="auto"/>
        </w:rPr>
        <w:t>65</w:t>
      </w:r>
    </w:p>
    <w:p>
      <w:pPr>
        <w:spacing w:after="0" w:line="10" w:lineRule="exact"/>
        <w:rPr>
          <w:sz w:val="20"/>
          <w:szCs w:val="20"/>
          <w:color w:val="auto"/>
        </w:rPr>
      </w:pPr>
    </w:p>
    <w:p>
      <w:pPr>
        <w:spacing w:after="0"/>
        <w:rPr>
          <w:sz w:val="20"/>
          <w:szCs w:val="20"/>
          <w:color w:val="auto"/>
        </w:rPr>
      </w:pPr>
      <w:r>
        <w:rPr>
          <w:rFonts w:ascii="Arial" w:cs="Arial" w:eastAsia="Arial" w:hAnsi="Arial"/>
          <w:sz w:val="14"/>
          <w:szCs w:val="14"/>
          <w:color w:val="auto"/>
        </w:rPr>
        <w:t>CHAR1\1346423v</w:t>
      </w:r>
      <w:r>
        <w:rPr>
          <w:rFonts w:ascii="Arial" w:cs="Arial" w:eastAsia="Arial" w:hAnsi="Arial"/>
          <w:sz w:val="14"/>
          <w:szCs w:val="14"/>
          <w:color w:val="FF0000"/>
          <w:strike w:val="1"/>
        </w:rPr>
        <w:t>1</w:t>
      </w:r>
      <w:r>
        <w:rPr>
          <w:rFonts w:ascii="Arial" w:cs="Arial" w:eastAsia="Arial" w:hAnsi="Arial"/>
          <w:sz w:val="14"/>
          <w:szCs w:val="14"/>
          <w:u w:val="single" w:color="auto"/>
          <w:color w:val="0000FF"/>
        </w:rPr>
        <w:t>12</w:t>
      </w:r>
    </w:p>
    <w:p>
      <w:pPr>
        <w:sectPr>
          <w:pgSz w:w="11900" w:h="16838" w:orient="portrait"/>
          <w:cols w:equalWidth="0" w:num="1">
            <w:col w:w="11380"/>
          </w:cols>
          <w:pgMar w:left="240" w:top="622" w:right="279" w:bottom="1440" w:gutter="0" w:footer="0" w:header="0"/>
        </w:sectPr>
      </w:pPr>
    </w:p>
    <w:bookmarkStart w:id="117" w:name="page118"/>
    <w:bookmarkEnd w:id="117"/>
    <w:p>
      <w:pPr>
        <w:ind w:left="660"/>
        <w:spacing w:after="0" w:line="303" w:lineRule="auto"/>
        <w:rPr>
          <w:sz w:val="20"/>
          <w:szCs w:val="20"/>
          <w:color w:val="auto"/>
        </w:rPr>
      </w:pPr>
      <w:r>
        <w:rPr>
          <w:rFonts w:ascii="Arial" w:cs="Arial" w:eastAsia="Arial" w:hAnsi="Arial"/>
          <w:sz w:val="20"/>
          <w:szCs w:val="20"/>
          <w:color w:val="auto"/>
        </w:rPr>
        <w:t>necessary to determine whether a lease is a Capital Lease or an operating lease, such determination shall be made on the basis of GAAP as in effect on the date hereof.</w:t>
      </w:r>
    </w:p>
    <w:p>
      <w:pPr>
        <w:spacing w:after="0" w:line="176" w:lineRule="exact"/>
        <w:rPr>
          <w:sz w:val="20"/>
          <w:szCs w:val="20"/>
          <w:color w:val="auto"/>
        </w:rPr>
      </w:pPr>
    </w:p>
    <w:p>
      <w:pPr>
        <w:ind w:left="1720" w:hanging="415"/>
        <w:spacing w:after="0"/>
        <w:tabs>
          <w:tab w:leader="none" w:pos="1720" w:val="left"/>
        </w:tabs>
        <w:numPr>
          <w:ilvl w:val="0"/>
          <w:numId w:val="58"/>
        </w:numPr>
        <w:rPr>
          <w:rFonts w:ascii="Arial" w:cs="Arial" w:eastAsia="Arial" w:hAnsi="Arial"/>
          <w:sz w:val="19"/>
          <w:szCs w:val="19"/>
          <w:color w:val="auto"/>
        </w:rPr>
      </w:pPr>
      <w:r>
        <w:rPr>
          <w:rFonts w:ascii="Arial" w:cs="Arial" w:eastAsia="Arial" w:hAnsi="Arial"/>
          <w:sz w:val="19"/>
          <w:szCs w:val="19"/>
          <w:color w:val="auto"/>
        </w:rPr>
        <w:t>All references herein to consolidated financial statements of the Consolidated Group or to the determination of any</w:t>
      </w:r>
    </w:p>
    <w:p>
      <w:pPr>
        <w:spacing w:after="0" w:line="65" w:lineRule="exact"/>
        <w:rPr>
          <w:rFonts w:ascii="Arial" w:cs="Arial" w:eastAsia="Arial" w:hAnsi="Arial"/>
          <w:sz w:val="19"/>
          <w:szCs w:val="19"/>
          <w:color w:val="auto"/>
        </w:rPr>
      </w:pPr>
    </w:p>
    <w:p>
      <w:pPr>
        <w:ind w:left="660" w:right="120"/>
        <w:spacing w:after="0" w:line="338" w:lineRule="auto"/>
        <w:rPr>
          <w:rFonts w:ascii="Arial" w:cs="Arial" w:eastAsia="Arial" w:hAnsi="Arial"/>
          <w:sz w:val="19"/>
          <w:szCs w:val="19"/>
          <w:color w:val="auto"/>
        </w:rPr>
      </w:pPr>
      <w:r>
        <w:rPr>
          <w:rFonts w:ascii="Arial" w:cs="Arial" w:eastAsia="Arial" w:hAnsi="Arial"/>
          <w:sz w:val="18"/>
          <w:szCs w:val="18"/>
          <w:color w:val="auto"/>
        </w:rPr>
        <w:t>amount for the Consolidated Group on a consolidated basis or any similar reference shall, in each case, be deemed to include each variable interest entity that EWI is required to consolidate pursuant to FASB Interpretation No. 46 – Consolidation of Variable Interest Entities: an interpretation of ARB No. 51 (January 2003) as if such variable interest entity were a Subsidiary as defined herein.</w:t>
      </w:r>
    </w:p>
    <w:p>
      <w:pPr>
        <w:spacing w:after="0" w:line="151" w:lineRule="exact"/>
        <w:rPr>
          <w:rFonts w:ascii="Arial" w:cs="Arial" w:eastAsia="Arial" w:hAnsi="Arial"/>
          <w:sz w:val="19"/>
          <w:szCs w:val="19"/>
          <w:color w:val="auto"/>
        </w:rPr>
      </w:pPr>
    </w:p>
    <w:p>
      <w:pPr>
        <w:ind w:left="1700" w:hanging="395"/>
        <w:spacing w:after="0"/>
        <w:tabs>
          <w:tab w:leader="none" w:pos="1700" w:val="left"/>
        </w:tabs>
        <w:numPr>
          <w:ilvl w:val="0"/>
          <w:numId w:val="58"/>
        </w:numPr>
        <w:rPr>
          <w:rFonts w:ascii="Arial" w:cs="Arial" w:eastAsia="Arial" w:hAnsi="Arial"/>
          <w:sz w:val="18"/>
          <w:szCs w:val="18"/>
          <w:color w:val="auto"/>
        </w:rPr>
      </w:pPr>
      <w:r>
        <w:rPr>
          <w:rFonts w:ascii="Arial" w:cs="Arial" w:eastAsia="Arial" w:hAnsi="Arial"/>
          <w:sz w:val="18"/>
          <w:szCs w:val="18"/>
          <w:color w:val="auto"/>
        </w:rPr>
        <w:t>At any time after the Closing Date, EWI may elect to apply IFRS accounting principles in lieu of GAAP and, upon any</w:t>
      </w:r>
    </w:p>
    <w:p>
      <w:pPr>
        <w:spacing w:after="0" w:line="76" w:lineRule="exact"/>
        <w:rPr>
          <w:rFonts w:ascii="Arial" w:cs="Arial" w:eastAsia="Arial" w:hAnsi="Arial"/>
          <w:sz w:val="18"/>
          <w:szCs w:val="18"/>
          <w:color w:val="auto"/>
        </w:rPr>
      </w:pPr>
    </w:p>
    <w:p>
      <w:pPr>
        <w:ind w:left="660" w:right="20"/>
        <w:spacing w:after="0" w:line="285" w:lineRule="auto"/>
        <w:rPr>
          <w:rFonts w:ascii="Arial" w:cs="Arial" w:eastAsia="Arial" w:hAnsi="Arial"/>
          <w:sz w:val="18"/>
          <w:szCs w:val="18"/>
          <w:color w:val="auto"/>
        </w:rPr>
      </w:pPr>
      <w:r>
        <w:rPr>
          <w:rFonts w:ascii="Arial" w:cs="Arial" w:eastAsia="Arial" w:hAnsi="Arial"/>
          <w:sz w:val="20"/>
          <w:szCs w:val="20"/>
          <w:color w:val="auto"/>
        </w:rPr>
        <w:t xml:space="preserve">such election, references in the Credit Documents to GAAP shall thereafter be construed to mean IFRS (except as otherwise provided in this Credit Agreement); </w:t>
      </w:r>
      <w:r>
        <w:rPr>
          <w:rFonts w:ascii="Arial" w:cs="Arial" w:eastAsia="Arial" w:hAnsi="Arial"/>
          <w:sz w:val="20"/>
          <w:szCs w:val="20"/>
          <w:i w:val="1"/>
          <w:iCs w:val="1"/>
          <w:color w:val="auto"/>
        </w:rPr>
        <w:t>provided</w:t>
      </w:r>
      <w:r>
        <w:rPr>
          <w:rFonts w:ascii="Arial" w:cs="Arial" w:eastAsia="Arial" w:hAnsi="Arial"/>
          <w:sz w:val="20"/>
          <w:szCs w:val="20"/>
          <w:color w:val="auto"/>
        </w:rPr>
        <w:t xml:space="preserve"> that (1) any such election, once made, shall be irrevocable, (2) any calculation or determination in any Credit Document that requires the application of GAAP for any period that includes any fiscal quarter(s) ended prior to such election will be subject to the provisions of </w:t>
      </w:r>
      <w:r>
        <w:rPr>
          <w:rFonts w:ascii="Arial" w:cs="Arial" w:eastAsia="Arial" w:hAnsi="Arial"/>
          <w:sz w:val="20"/>
          <w:szCs w:val="20"/>
          <w:u w:val="single" w:color="auto"/>
          <w:color w:val="auto"/>
        </w:rPr>
        <w:t>Section 1.03(c)</w:t>
      </w:r>
      <w:r>
        <w:rPr>
          <w:rFonts w:ascii="Arial" w:cs="Arial" w:eastAsia="Arial" w:hAnsi="Arial"/>
          <w:sz w:val="20"/>
          <w:szCs w:val="20"/>
          <w:color w:val="auto"/>
        </w:rPr>
        <w:t xml:space="preserve"> above, (3) EWI may not make such election unless all other members of the Consolidated Group simultaneously make such election and (4) EWI will provide a reconciliation statement identifying the changes based on application of IFRS. EWI shall give the Administrative Agent at least thirty (30) days prior written notice of any such election.</w:t>
      </w:r>
    </w:p>
    <w:p>
      <w:pPr>
        <w:spacing w:after="0" w:line="195" w:lineRule="exact"/>
        <w:rPr>
          <w:sz w:val="20"/>
          <w:szCs w:val="20"/>
          <w:color w:val="auto"/>
        </w:rPr>
      </w:pPr>
    </w:p>
    <w:p>
      <w:pPr>
        <w:ind w:right="200" w:firstLine="648"/>
        <w:spacing w:after="0" w:line="268" w:lineRule="exact"/>
        <w:rPr>
          <w:sz w:val="20"/>
          <w:szCs w:val="20"/>
          <w:color w:val="auto"/>
        </w:rPr>
      </w:pPr>
      <w:r>
        <w:rPr>
          <w:rFonts w:ascii="Arial" w:cs="Arial" w:eastAsia="Arial" w:hAnsi="Arial"/>
          <w:sz w:val="18"/>
          <w:szCs w:val="18"/>
          <w:color w:val="auto"/>
        </w:rPr>
        <w:t xml:space="preserve">1.04 </w:t>
      </w:r>
      <w:r>
        <w:rPr>
          <w:rFonts w:ascii="Arial" w:cs="Arial" w:eastAsia="Arial" w:hAnsi="Arial"/>
          <w:sz w:val="18"/>
          <w:szCs w:val="18"/>
          <w:u w:val="single" w:color="auto"/>
          <w:color w:val="auto"/>
        </w:rPr>
        <w:t>Rounding</w:t>
      </w:r>
      <w:r>
        <w:rPr>
          <w:rFonts w:ascii="Arial" w:cs="Arial" w:eastAsia="Arial" w:hAnsi="Arial"/>
          <w:sz w:val="18"/>
          <w:szCs w:val="18"/>
          <w:color w:val="auto"/>
        </w:rPr>
        <w:t>. Any financial ratios required to be maintained pursuant to this Credit Agreement shall be calculated by dividing the appropriate component by the other component, carrying the result to one place more than the number of places by which such ratio is expressed herein and rounding the result up or down to the nearest number (with a rounding</w:t>
      </w:r>
      <w:r>
        <w:rPr>
          <w:rFonts w:ascii="MS PGothic" w:cs="MS PGothic" w:eastAsia="MS PGothic" w:hAnsi="MS PGothic"/>
          <w:sz w:val="18"/>
          <w:szCs w:val="18"/>
          <w:color w:val="auto"/>
        </w:rPr>
        <w:t>‑</w:t>
      </w:r>
      <w:r>
        <w:rPr>
          <w:rFonts w:ascii="Arial" w:cs="Arial" w:eastAsia="Arial" w:hAnsi="Arial"/>
          <w:sz w:val="18"/>
          <w:szCs w:val="18"/>
          <w:color w:val="auto"/>
        </w:rPr>
        <w:t>up if there is no nearest number).</w:t>
      </w:r>
    </w:p>
    <w:p>
      <w:pPr>
        <w:spacing w:after="0" w:line="238" w:lineRule="exact"/>
        <w:rPr>
          <w:sz w:val="20"/>
          <w:szCs w:val="20"/>
          <w:color w:val="auto"/>
        </w:rPr>
      </w:pPr>
    </w:p>
    <w:p>
      <w:pPr>
        <w:ind w:left="660"/>
        <w:spacing w:after="0"/>
        <w:tabs>
          <w:tab w:leader="none" w:pos="1160" w:val="left"/>
        </w:tabs>
        <w:rPr>
          <w:sz w:val="20"/>
          <w:szCs w:val="20"/>
          <w:color w:val="auto"/>
        </w:rPr>
      </w:pPr>
      <w:r>
        <w:rPr>
          <w:rFonts w:ascii="Arial" w:cs="Arial" w:eastAsia="Arial" w:hAnsi="Arial"/>
          <w:sz w:val="20"/>
          <w:szCs w:val="20"/>
          <w:color w:val="auto"/>
        </w:rPr>
        <w:t>1.05</w:t>
      </w:r>
      <w:r>
        <w:rPr>
          <w:sz w:val="20"/>
          <w:szCs w:val="20"/>
          <w:color w:val="auto"/>
        </w:rPr>
        <w:tab/>
      </w:r>
      <w:r>
        <w:rPr>
          <w:rFonts w:ascii="Arial" w:cs="Arial" w:eastAsia="Arial" w:hAnsi="Arial"/>
          <w:sz w:val="16"/>
          <w:szCs w:val="16"/>
          <w:u w:val="single" w:color="auto"/>
          <w:color w:val="auto"/>
        </w:rPr>
        <w:t>Exchange Rates; Currency Equivalents</w:t>
      </w:r>
      <w:r>
        <w:rPr>
          <w:rFonts w:ascii="Arial" w:cs="Arial" w:eastAsia="Arial" w:hAnsi="Arial"/>
          <w:sz w:val="16"/>
          <w:szCs w:val="16"/>
          <w:color w:val="auto"/>
        </w:rPr>
        <w:t>.</w:t>
      </w:r>
    </w:p>
    <w:p>
      <w:pPr>
        <w:spacing w:after="0" w:line="270" w:lineRule="exact"/>
        <w:rPr>
          <w:sz w:val="20"/>
          <w:szCs w:val="20"/>
          <w:color w:val="auto"/>
        </w:rPr>
      </w:pPr>
    </w:p>
    <w:p>
      <w:pPr>
        <w:ind w:left="1700" w:hanging="395"/>
        <w:spacing w:after="0"/>
        <w:tabs>
          <w:tab w:leader="none" w:pos="1700" w:val="left"/>
        </w:tabs>
        <w:numPr>
          <w:ilvl w:val="0"/>
          <w:numId w:val="59"/>
        </w:numPr>
        <w:rPr>
          <w:rFonts w:ascii="Arial" w:cs="Arial" w:eastAsia="Arial" w:hAnsi="Arial"/>
          <w:sz w:val="19"/>
          <w:szCs w:val="19"/>
          <w:color w:val="auto"/>
        </w:rPr>
      </w:pPr>
      <w:r>
        <w:rPr>
          <w:rFonts w:ascii="Arial" w:cs="Arial" w:eastAsia="Arial" w:hAnsi="Arial"/>
          <w:sz w:val="19"/>
          <w:szCs w:val="19"/>
          <w:color w:val="auto"/>
        </w:rPr>
        <w:t>The Administrative Agent or the applicable L/C Issuer, as applicable, shall determine the Spot Rates as of each</w:t>
      </w:r>
    </w:p>
    <w:p>
      <w:pPr>
        <w:spacing w:after="0" w:line="65" w:lineRule="exact"/>
        <w:rPr>
          <w:rFonts w:ascii="Arial" w:cs="Arial" w:eastAsia="Arial" w:hAnsi="Arial"/>
          <w:sz w:val="19"/>
          <w:szCs w:val="19"/>
          <w:color w:val="auto"/>
        </w:rPr>
      </w:pPr>
    </w:p>
    <w:p>
      <w:pPr>
        <w:ind w:left="660"/>
        <w:spacing w:after="0" w:line="302" w:lineRule="auto"/>
        <w:rPr>
          <w:rFonts w:ascii="Arial" w:cs="Arial" w:eastAsia="Arial" w:hAnsi="Arial"/>
          <w:sz w:val="19"/>
          <w:szCs w:val="19"/>
          <w:color w:val="auto"/>
        </w:rPr>
      </w:pPr>
      <w:r>
        <w:rPr>
          <w:rFonts w:ascii="Arial" w:cs="Arial" w:eastAsia="Arial" w:hAnsi="Arial"/>
          <w:sz w:val="19"/>
          <w:szCs w:val="19"/>
          <w:color w:val="auto"/>
        </w:rPr>
        <w:t>Revaluation Date to be used for calculating Dollar Equivalent amounts of Credit Extensions and Outstanding Amounts denominated in currencies other than Dollars. Such Spot Rates shall become effective as of such Revaluation Date and shall be the Spot Rates employed in converting any amounts between the applicable currencies until the next Revaluation Date to occur. Except for purposes of financial statements delivered by Credit Parties hereunder, for determining compliance with the affirmative and negative covenants hereof, for calculating financial covenants hereunder or as otherwise provided herein, the applicable amount of any currency (other than Dollars) for purposes of the Credit Documents shall be such Dollar Equivalent amount as so determined by the Administrative Agent or the applicable L/C Issuer, as applicable.</w:t>
      </w:r>
    </w:p>
    <w:p>
      <w:pPr>
        <w:spacing w:after="0" w:line="182" w:lineRule="exact"/>
        <w:rPr>
          <w:rFonts w:ascii="Arial" w:cs="Arial" w:eastAsia="Arial" w:hAnsi="Arial"/>
          <w:sz w:val="19"/>
          <w:szCs w:val="19"/>
          <w:color w:val="auto"/>
        </w:rPr>
      </w:pPr>
    </w:p>
    <w:p>
      <w:pPr>
        <w:ind w:left="1720" w:hanging="415"/>
        <w:spacing w:after="0"/>
        <w:tabs>
          <w:tab w:leader="none" w:pos="1720" w:val="left"/>
        </w:tabs>
        <w:numPr>
          <w:ilvl w:val="0"/>
          <w:numId w:val="59"/>
        </w:numPr>
        <w:rPr>
          <w:rFonts w:ascii="Arial" w:cs="Arial" w:eastAsia="Arial" w:hAnsi="Arial"/>
          <w:sz w:val="18"/>
          <w:szCs w:val="18"/>
          <w:color w:val="auto"/>
        </w:rPr>
      </w:pPr>
      <w:r>
        <w:rPr>
          <w:rFonts w:ascii="Arial" w:cs="Arial" w:eastAsia="Arial" w:hAnsi="Arial"/>
          <w:sz w:val="18"/>
          <w:szCs w:val="18"/>
          <w:color w:val="auto"/>
        </w:rPr>
        <w:t>Wherever in this Credit Agreement in connection with a Borrowing, conversion, continuation or prepayment of a Fixed</w:t>
      </w:r>
    </w:p>
    <w:p>
      <w:pPr>
        <w:spacing w:after="0" w:line="76" w:lineRule="exact"/>
        <w:rPr>
          <w:rFonts w:ascii="Arial" w:cs="Arial" w:eastAsia="Arial" w:hAnsi="Arial"/>
          <w:sz w:val="18"/>
          <w:szCs w:val="18"/>
          <w:color w:val="auto"/>
        </w:rPr>
      </w:pPr>
    </w:p>
    <w:p>
      <w:pPr>
        <w:ind w:left="660" w:right="200"/>
        <w:spacing w:after="0" w:line="303" w:lineRule="auto"/>
        <w:rPr>
          <w:rFonts w:ascii="Arial" w:cs="Arial" w:eastAsia="Arial" w:hAnsi="Arial"/>
          <w:sz w:val="18"/>
          <w:szCs w:val="18"/>
          <w:color w:val="auto"/>
        </w:rPr>
      </w:pPr>
      <w:r>
        <w:rPr>
          <w:rFonts w:ascii="Arial" w:cs="Arial" w:eastAsia="Arial" w:hAnsi="Arial"/>
          <w:sz w:val="20"/>
          <w:szCs w:val="20"/>
          <w:color w:val="auto"/>
        </w:rPr>
        <w:t>LIBOR Rate Loan or the issuance, amendment or extension of a Letter of Credit, an amount, such as a required minimum or multiple amount, is expressed in Dollars, but such Borrowing, Fixed LIBOR Rate Loan or Letter of Credit is</w:t>
      </w:r>
    </w:p>
    <w:p>
      <w:pPr>
        <w:spacing w:after="0" w:line="39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66</w:t>
      </w:r>
    </w:p>
    <w:p>
      <w:pPr>
        <w:spacing w:after="0" w:line="10" w:lineRule="exact"/>
        <w:rPr>
          <w:sz w:val="20"/>
          <w:szCs w:val="20"/>
          <w:color w:val="auto"/>
        </w:rPr>
      </w:pPr>
    </w:p>
    <w:p>
      <w:pPr>
        <w:spacing w:after="0"/>
        <w:rPr>
          <w:sz w:val="20"/>
          <w:szCs w:val="20"/>
          <w:color w:val="auto"/>
        </w:rPr>
      </w:pPr>
      <w:r>
        <w:rPr>
          <w:rFonts w:ascii="Arial" w:cs="Arial" w:eastAsia="Arial" w:hAnsi="Arial"/>
          <w:sz w:val="14"/>
          <w:szCs w:val="14"/>
          <w:color w:val="auto"/>
        </w:rPr>
        <w:t>CHAR1\1346423v</w:t>
      </w:r>
      <w:r>
        <w:rPr>
          <w:rFonts w:ascii="Arial" w:cs="Arial" w:eastAsia="Arial" w:hAnsi="Arial"/>
          <w:sz w:val="14"/>
          <w:szCs w:val="14"/>
          <w:color w:val="FF0000"/>
          <w:strike w:val="1"/>
        </w:rPr>
        <w:t>1</w:t>
      </w:r>
      <w:r>
        <w:rPr>
          <w:rFonts w:ascii="Arial" w:cs="Arial" w:eastAsia="Arial" w:hAnsi="Arial"/>
          <w:sz w:val="14"/>
          <w:szCs w:val="14"/>
          <w:u w:val="single" w:color="auto"/>
          <w:color w:val="0000FF"/>
        </w:rPr>
        <w:t>12</w:t>
      </w:r>
    </w:p>
    <w:p>
      <w:pPr>
        <w:sectPr>
          <w:pgSz w:w="11900" w:h="16838" w:orient="portrait"/>
          <w:cols w:equalWidth="0" w:num="1">
            <w:col w:w="11420"/>
          </w:cols>
          <w:pgMar w:left="240" w:top="609" w:right="239" w:bottom="1440" w:gutter="0" w:footer="0" w:header="0"/>
        </w:sectPr>
      </w:pPr>
    </w:p>
    <w:bookmarkStart w:id="118" w:name="page119"/>
    <w:bookmarkEnd w:id="118"/>
    <w:p>
      <w:pPr>
        <w:ind w:left="660" w:right="500"/>
        <w:spacing w:after="0" w:line="292" w:lineRule="auto"/>
        <w:rPr>
          <w:sz w:val="20"/>
          <w:szCs w:val="20"/>
          <w:color w:val="auto"/>
        </w:rPr>
      </w:pPr>
      <w:r>
        <w:rPr>
          <w:rFonts w:ascii="Arial" w:cs="Arial" w:eastAsia="Arial" w:hAnsi="Arial"/>
          <w:sz w:val="20"/>
          <w:szCs w:val="20"/>
          <w:color w:val="auto"/>
        </w:rPr>
        <w:t>denominated in currencies other than Dollars, such amount shall be the relevant Alternative Currency Equivalent of such Dollar amount (rounded to the nearest unit of such Alternative Currency, with 0.5 of a unit being rounded upward), as determined by the Administrative Agent or the applicable L/C Issuer, as the case may be.</w:t>
      </w:r>
    </w:p>
    <w:p>
      <w:pPr>
        <w:spacing w:after="0" w:line="187" w:lineRule="exact"/>
        <w:rPr>
          <w:sz w:val="20"/>
          <w:szCs w:val="20"/>
          <w:color w:val="auto"/>
        </w:rPr>
      </w:pPr>
    </w:p>
    <w:p>
      <w:pPr>
        <w:ind w:left="660"/>
        <w:spacing w:after="0"/>
        <w:tabs>
          <w:tab w:leader="none" w:pos="1160" w:val="left"/>
        </w:tabs>
        <w:rPr>
          <w:sz w:val="20"/>
          <w:szCs w:val="20"/>
          <w:color w:val="auto"/>
        </w:rPr>
      </w:pPr>
      <w:r>
        <w:rPr>
          <w:rFonts w:ascii="Arial" w:cs="Arial" w:eastAsia="Arial" w:hAnsi="Arial"/>
          <w:sz w:val="20"/>
          <w:szCs w:val="20"/>
          <w:color w:val="auto"/>
        </w:rPr>
        <w:t>1.06</w:t>
      </w:r>
      <w:r>
        <w:rPr>
          <w:sz w:val="20"/>
          <w:szCs w:val="20"/>
          <w:color w:val="auto"/>
        </w:rPr>
        <w:tab/>
      </w:r>
      <w:r>
        <w:rPr>
          <w:rFonts w:ascii="Arial" w:cs="Arial" w:eastAsia="Arial" w:hAnsi="Arial"/>
          <w:sz w:val="18"/>
          <w:szCs w:val="18"/>
          <w:u w:val="single" w:color="auto"/>
          <w:color w:val="auto"/>
        </w:rPr>
        <w:t>Additional Alternative Currencies</w:t>
      </w:r>
      <w:r>
        <w:rPr>
          <w:rFonts w:ascii="Arial" w:cs="Arial" w:eastAsia="Arial" w:hAnsi="Arial"/>
          <w:sz w:val="18"/>
          <w:szCs w:val="18"/>
          <w:color w:val="auto"/>
        </w:rPr>
        <w:t>.</w:t>
      </w:r>
    </w:p>
    <w:p>
      <w:pPr>
        <w:spacing w:after="0" w:line="270" w:lineRule="exact"/>
        <w:rPr>
          <w:sz w:val="20"/>
          <w:szCs w:val="20"/>
          <w:color w:val="auto"/>
        </w:rPr>
      </w:pPr>
    </w:p>
    <w:p>
      <w:pPr>
        <w:ind w:left="1700" w:hanging="395"/>
        <w:spacing w:after="0"/>
        <w:tabs>
          <w:tab w:leader="none" w:pos="1700" w:val="left"/>
        </w:tabs>
        <w:numPr>
          <w:ilvl w:val="0"/>
          <w:numId w:val="60"/>
        </w:numPr>
        <w:rPr>
          <w:rFonts w:ascii="Arial" w:cs="Arial" w:eastAsia="Arial" w:hAnsi="Arial"/>
          <w:sz w:val="19"/>
          <w:szCs w:val="19"/>
          <w:color w:val="auto"/>
        </w:rPr>
      </w:pPr>
      <w:r>
        <w:rPr>
          <w:rFonts w:ascii="Arial" w:cs="Arial" w:eastAsia="Arial" w:hAnsi="Arial"/>
          <w:sz w:val="19"/>
          <w:szCs w:val="19"/>
          <w:color w:val="auto"/>
        </w:rPr>
        <w:t>EWI may from time to time request that Fixed LIBOR Rate Loans be made and/or Letters of Credit be issued in a</w:t>
      </w:r>
    </w:p>
    <w:p>
      <w:pPr>
        <w:spacing w:after="0" w:line="65" w:lineRule="exact"/>
        <w:rPr>
          <w:rFonts w:ascii="Arial" w:cs="Arial" w:eastAsia="Arial" w:hAnsi="Arial"/>
          <w:sz w:val="19"/>
          <w:szCs w:val="19"/>
          <w:color w:val="auto"/>
        </w:rPr>
      </w:pPr>
    </w:p>
    <w:p>
      <w:pPr>
        <w:ind w:left="660" w:right="20"/>
        <w:spacing w:after="0" w:line="285" w:lineRule="auto"/>
        <w:rPr>
          <w:rFonts w:ascii="Arial" w:cs="Arial" w:eastAsia="Arial" w:hAnsi="Arial"/>
          <w:sz w:val="19"/>
          <w:szCs w:val="19"/>
          <w:color w:val="auto"/>
        </w:rPr>
      </w:pPr>
      <w:r>
        <w:rPr>
          <w:rFonts w:ascii="Arial" w:cs="Arial" w:eastAsia="Arial" w:hAnsi="Arial"/>
          <w:sz w:val="20"/>
          <w:szCs w:val="20"/>
          <w:color w:val="auto"/>
        </w:rPr>
        <w:t xml:space="preserve">currency other than those specifically listed in the definition of “Alternative Currency;”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such requested currency is a lawful currency (other than Dollars) that is readily available and freely transferable and convertible into Dollars. In the case of any such request with respect to the making of Fixed LIBOR Rate Loans, such request shall be subject to the approval of the Administrative Agent and the respective Lenders; and in the case of any such request with respect to the issuance of Letters of Credit, such request shall be subject to the approval of the Administrative Agent and the applicable L/C Issuer, and with respect to Swingline Loans, such request shall be subject to the approval of the Administrative Agent and the applicable Swingline Lender, in each such case in their discretion.</w:t>
      </w:r>
    </w:p>
    <w:p>
      <w:pPr>
        <w:spacing w:after="0" w:line="195" w:lineRule="exact"/>
        <w:rPr>
          <w:rFonts w:ascii="Arial" w:cs="Arial" w:eastAsia="Arial" w:hAnsi="Arial"/>
          <w:sz w:val="19"/>
          <w:szCs w:val="19"/>
          <w:color w:val="auto"/>
        </w:rPr>
      </w:pPr>
    </w:p>
    <w:p>
      <w:pPr>
        <w:ind w:left="1720" w:hanging="415"/>
        <w:spacing w:after="0"/>
        <w:tabs>
          <w:tab w:leader="none" w:pos="1720" w:val="left"/>
        </w:tabs>
        <w:numPr>
          <w:ilvl w:val="0"/>
          <w:numId w:val="60"/>
        </w:numPr>
        <w:rPr>
          <w:rFonts w:ascii="Arial" w:cs="Arial" w:eastAsia="Arial" w:hAnsi="Arial"/>
          <w:sz w:val="18"/>
          <w:szCs w:val="18"/>
          <w:color w:val="auto"/>
        </w:rPr>
      </w:pPr>
      <w:r>
        <w:rPr>
          <w:rFonts w:ascii="Arial" w:cs="Arial" w:eastAsia="Arial" w:hAnsi="Arial"/>
          <w:sz w:val="18"/>
          <w:szCs w:val="18"/>
          <w:color w:val="auto"/>
        </w:rPr>
        <w:t xml:space="preserve">Any such request shall be made to the Administrative Agent not later than 11:00 a.m., </w:t>
      </w:r>
      <w:r>
        <w:rPr>
          <w:rFonts w:ascii="Arial" w:cs="Arial" w:eastAsia="Arial" w:hAnsi="Arial"/>
          <w:sz w:val="18"/>
          <w:szCs w:val="18"/>
          <w:color w:val="FF0000"/>
          <w:strike w:val="1"/>
        </w:rPr>
        <w:t>20</w:t>
      </w:r>
      <w:r>
        <w:rPr>
          <w:rFonts w:ascii="Arial" w:cs="Arial" w:eastAsia="Arial" w:hAnsi="Arial"/>
          <w:sz w:val="18"/>
          <w:szCs w:val="18"/>
          <w:u w:val="single" w:color="auto"/>
          <w:color w:val="0000FF"/>
        </w:rPr>
        <w:t>ten</w:t>
      </w:r>
      <w:r>
        <w:rPr>
          <w:rFonts w:ascii="Arial" w:cs="Arial" w:eastAsia="Arial" w:hAnsi="Arial"/>
          <w:sz w:val="18"/>
          <w:szCs w:val="18"/>
          <w:color w:val="auto"/>
        </w:rPr>
        <w:t xml:space="preserve"> Business Days prior to the</w:t>
      </w:r>
    </w:p>
    <w:p>
      <w:pPr>
        <w:spacing w:after="0" w:line="76" w:lineRule="exact"/>
        <w:rPr>
          <w:rFonts w:ascii="Arial" w:cs="Arial" w:eastAsia="Arial" w:hAnsi="Arial"/>
          <w:sz w:val="18"/>
          <w:szCs w:val="18"/>
          <w:color w:val="auto"/>
        </w:rPr>
      </w:pPr>
    </w:p>
    <w:p>
      <w:pPr>
        <w:ind w:left="660" w:right="60"/>
        <w:spacing w:after="0" w:line="319" w:lineRule="auto"/>
        <w:rPr>
          <w:rFonts w:ascii="Arial" w:cs="Arial" w:eastAsia="Arial" w:hAnsi="Arial"/>
          <w:sz w:val="18"/>
          <w:szCs w:val="18"/>
          <w:color w:val="auto"/>
        </w:rPr>
      </w:pPr>
      <w:r>
        <w:rPr>
          <w:rFonts w:ascii="Arial" w:cs="Arial" w:eastAsia="Arial" w:hAnsi="Arial"/>
          <w:sz w:val="18"/>
          <w:szCs w:val="18"/>
          <w:color w:val="auto"/>
        </w:rPr>
        <w:t xml:space="preserve">date of the desired Credit Extension (or such other time or date as may be agreed by the Administrative Agent and, in the case of any such request pertaining to Letters of Credit or Swingline Loans, the applicable L/C Issuer or Swingline Lender, in any such case, in its or their sole discretion). In the case of any such request pertaining to Fixed LIBOR Rate Loans, the Administrative Agent shall promptly notify each Lender thereof; and in the case of any such request pertaining to Letters of Credit or Swingline Loans, the Administrative Agent shall promptly notify the applicable L/C Issuer or Swingline Lender, respectively, thereof. Each Lender (in the case of any such request pertaining to Fixed LIBOR Rate Loans) or the applicable L/C Issuer (in the case of a request pertaining to Letters of Credit) or Swingline Lender (in the case of a request pertaining to Swingline Loans) shall notify the Administrative Agent, not later than 11:00 a.m., </w:t>
      </w:r>
      <w:r>
        <w:rPr>
          <w:rFonts w:ascii="Arial" w:cs="Arial" w:eastAsia="Arial" w:hAnsi="Arial"/>
          <w:sz w:val="18"/>
          <w:szCs w:val="18"/>
          <w:color w:val="FF0000"/>
          <w:strike w:val="1"/>
        </w:rPr>
        <w:t>ten</w:t>
      </w:r>
      <w:r>
        <w:rPr>
          <w:rFonts w:ascii="Arial" w:cs="Arial" w:eastAsia="Arial" w:hAnsi="Arial"/>
          <w:sz w:val="18"/>
          <w:szCs w:val="18"/>
          <w:u w:val="single" w:color="auto"/>
          <w:color w:val="0000FF"/>
        </w:rPr>
        <w:t>five</w:t>
      </w:r>
      <w:r>
        <w:rPr>
          <w:rFonts w:ascii="Arial" w:cs="Arial" w:eastAsia="Arial" w:hAnsi="Arial"/>
          <w:sz w:val="18"/>
          <w:szCs w:val="18"/>
          <w:color w:val="auto"/>
        </w:rPr>
        <w:t xml:space="preserve"> Business Days after receipt of such request whether it consents, in its sole discretion, to the making of Fixed LIBOR Rate Loans, the issuance of Letters of Credit or Swingline Loans, as the case may be, in such requested currency.</w:t>
      </w:r>
    </w:p>
    <w:p>
      <w:pPr>
        <w:spacing w:after="0" w:line="170" w:lineRule="exact"/>
        <w:rPr>
          <w:rFonts w:ascii="Arial" w:cs="Arial" w:eastAsia="Arial" w:hAnsi="Arial"/>
          <w:sz w:val="18"/>
          <w:szCs w:val="18"/>
          <w:color w:val="auto"/>
        </w:rPr>
      </w:pPr>
    </w:p>
    <w:p>
      <w:pPr>
        <w:ind w:left="1700" w:hanging="395"/>
        <w:spacing w:after="0"/>
        <w:tabs>
          <w:tab w:leader="none" w:pos="1700" w:val="left"/>
        </w:tabs>
        <w:numPr>
          <w:ilvl w:val="0"/>
          <w:numId w:val="60"/>
        </w:numPr>
        <w:rPr>
          <w:rFonts w:ascii="Arial" w:cs="Arial" w:eastAsia="Arial" w:hAnsi="Arial"/>
          <w:sz w:val="18"/>
          <w:szCs w:val="18"/>
          <w:color w:val="auto"/>
        </w:rPr>
      </w:pPr>
      <w:r>
        <w:rPr>
          <w:rFonts w:ascii="Arial" w:cs="Arial" w:eastAsia="Arial" w:hAnsi="Arial"/>
          <w:sz w:val="18"/>
          <w:szCs w:val="18"/>
          <w:color w:val="auto"/>
        </w:rPr>
        <w:t>Any failure by a Lender, the applicable L/C Issuer or the applicable Swingline Lender, as the case may be, to respond to</w:t>
      </w:r>
    </w:p>
    <w:p>
      <w:pPr>
        <w:spacing w:after="0" w:line="76" w:lineRule="exact"/>
        <w:rPr>
          <w:rFonts w:ascii="Arial" w:cs="Arial" w:eastAsia="Arial" w:hAnsi="Arial"/>
          <w:sz w:val="18"/>
          <w:szCs w:val="18"/>
          <w:color w:val="auto"/>
        </w:rPr>
      </w:pPr>
    </w:p>
    <w:p>
      <w:pPr>
        <w:ind w:left="660"/>
        <w:spacing w:after="0" w:line="285" w:lineRule="auto"/>
        <w:rPr>
          <w:rFonts w:ascii="Arial" w:cs="Arial" w:eastAsia="Arial" w:hAnsi="Arial"/>
          <w:sz w:val="18"/>
          <w:szCs w:val="18"/>
          <w:color w:val="auto"/>
        </w:rPr>
      </w:pPr>
      <w:r>
        <w:rPr>
          <w:rFonts w:ascii="Arial" w:cs="Arial" w:eastAsia="Arial" w:hAnsi="Arial"/>
          <w:sz w:val="20"/>
          <w:szCs w:val="20"/>
          <w:color w:val="auto"/>
        </w:rPr>
        <w:t>such request within the time period specified in the preceding sentence shall be deemed to be a refusal by such Lender, the applicable L/C Issuer or the applicable Swingline Lender, as the case may be, to permit Fixed LIBOR Rate Loans to be made, Letters of Credit to be issued or Swingline Loans to be made in such requested currency. If the Administrative Agent and all the Lenders consent to making Fixed LIBOR Rate Loans in such requested currency, the Administrative Agent shall so notify EWI and such currency shall thereupon be deemed for all purposes to be an Alternative Currency hereunder for purposes of any Borrowings of Fixed LIBOR Rate Loans; if the Administrative Agent and the applicable L/C Issuer consent to the issuance of Letters of Credit in such requested currency, the Administrative</w:t>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67</w:t>
      </w:r>
    </w:p>
    <w:p>
      <w:pPr>
        <w:spacing w:after="0" w:line="10" w:lineRule="exact"/>
        <w:rPr>
          <w:sz w:val="20"/>
          <w:szCs w:val="20"/>
          <w:color w:val="auto"/>
        </w:rPr>
      </w:pPr>
    </w:p>
    <w:p>
      <w:pPr>
        <w:spacing w:after="0"/>
        <w:rPr>
          <w:sz w:val="20"/>
          <w:szCs w:val="20"/>
          <w:color w:val="auto"/>
        </w:rPr>
      </w:pPr>
      <w:r>
        <w:rPr>
          <w:rFonts w:ascii="Arial" w:cs="Arial" w:eastAsia="Arial" w:hAnsi="Arial"/>
          <w:sz w:val="14"/>
          <w:szCs w:val="14"/>
          <w:color w:val="auto"/>
        </w:rPr>
        <w:t>CHAR1\1346423v</w:t>
      </w:r>
      <w:r>
        <w:rPr>
          <w:rFonts w:ascii="Arial" w:cs="Arial" w:eastAsia="Arial" w:hAnsi="Arial"/>
          <w:sz w:val="14"/>
          <w:szCs w:val="14"/>
          <w:color w:val="FF0000"/>
          <w:strike w:val="1"/>
        </w:rPr>
        <w:t>1</w:t>
      </w:r>
      <w:r>
        <w:rPr>
          <w:rFonts w:ascii="Arial" w:cs="Arial" w:eastAsia="Arial" w:hAnsi="Arial"/>
          <w:sz w:val="14"/>
          <w:szCs w:val="14"/>
          <w:u w:val="single" w:color="auto"/>
          <w:color w:val="0000FF"/>
        </w:rPr>
        <w:t>12</w:t>
      </w:r>
    </w:p>
    <w:p>
      <w:pPr>
        <w:sectPr>
          <w:pgSz w:w="11900" w:h="16838" w:orient="portrait"/>
          <w:cols w:equalWidth="0" w:num="1">
            <w:col w:w="11420"/>
          </w:cols>
          <w:pgMar w:left="240" w:top="609" w:right="239" w:bottom="1440" w:gutter="0" w:footer="0" w:header="0"/>
        </w:sectPr>
      </w:pPr>
    </w:p>
    <w:bookmarkStart w:id="119" w:name="page120"/>
    <w:bookmarkEnd w:id="119"/>
    <w:p>
      <w:pPr>
        <w:ind w:left="660" w:right="120"/>
        <w:spacing w:after="0" w:line="286" w:lineRule="auto"/>
        <w:rPr>
          <w:sz w:val="20"/>
          <w:szCs w:val="20"/>
          <w:color w:val="auto"/>
        </w:rPr>
      </w:pPr>
      <w:r>
        <w:rPr>
          <w:rFonts w:ascii="Arial" w:cs="Arial" w:eastAsia="Arial" w:hAnsi="Arial"/>
          <w:sz w:val="20"/>
          <w:szCs w:val="20"/>
          <w:color w:val="auto"/>
        </w:rPr>
        <w:t xml:space="preserve">Agent shall so notify EWI and such currency shall thereupon be deemed for all purposes to be an Alternative Currency hereunder for purposes of any Letter of Credit issuances, and if the Administrative Agent and the applicable Swingline Lender shall consent to making Swingline Loans in the requested currency, the Administrative Agent shall notify EWI and such currency shall thereupon be deemed for all purposes to be an Alternative Currency for any such Swingline Loan Borrowings. If the Administrative Agent shall fail to obtain consent to any request for an additional currency under this </w:t>
      </w:r>
      <w:r>
        <w:rPr>
          <w:rFonts w:ascii="Arial" w:cs="Arial" w:eastAsia="Arial" w:hAnsi="Arial"/>
          <w:sz w:val="20"/>
          <w:szCs w:val="20"/>
          <w:u w:val="single" w:color="auto"/>
          <w:color w:val="auto"/>
        </w:rPr>
        <w:t>Section 1.06</w:t>
      </w:r>
      <w:r>
        <w:rPr>
          <w:rFonts w:ascii="Arial" w:cs="Arial" w:eastAsia="Arial" w:hAnsi="Arial"/>
          <w:sz w:val="20"/>
          <w:szCs w:val="20"/>
          <w:color w:val="auto"/>
        </w:rPr>
        <w:t>, the Administrative Agent shall promptly so notify EWI.</w:t>
      </w:r>
    </w:p>
    <w:p>
      <w:pPr>
        <w:spacing w:after="0" w:line="192" w:lineRule="exact"/>
        <w:rPr>
          <w:sz w:val="20"/>
          <w:szCs w:val="20"/>
          <w:color w:val="auto"/>
        </w:rPr>
      </w:pPr>
    </w:p>
    <w:p>
      <w:pPr>
        <w:ind w:left="660"/>
        <w:spacing w:after="0"/>
        <w:tabs>
          <w:tab w:leader="none" w:pos="1160" w:val="left"/>
        </w:tabs>
        <w:rPr>
          <w:sz w:val="20"/>
          <w:szCs w:val="20"/>
          <w:color w:val="auto"/>
        </w:rPr>
      </w:pPr>
      <w:r>
        <w:rPr>
          <w:rFonts w:ascii="Arial" w:cs="Arial" w:eastAsia="Arial" w:hAnsi="Arial"/>
          <w:sz w:val="20"/>
          <w:szCs w:val="20"/>
          <w:color w:val="auto"/>
        </w:rPr>
        <w:t>1.07</w:t>
      </w:r>
      <w:r>
        <w:rPr>
          <w:sz w:val="20"/>
          <w:szCs w:val="20"/>
          <w:color w:val="auto"/>
        </w:rPr>
        <w:tab/>
      </w:r>
      <w:r>
        <w:rPr>
          <w:rFonts w:ascii="Arial" w:cs="Arial" w:eastAsia="Arial" w:hAnsi="Arial"/>
          <w:sz w:val="16"/>
          <w:szCs w:val="16"/>
          <w:u w:val="single" w:color="auto"/>
          <w:color w:val="auto"/>
        </w:rPr>
        <w:t>Change of Currency</w:t>
      </w:r>
      <w:r>
        <w:rPr>
          <w:rFonts w:ascii="Arial" w:cs="Arial" w:eastAsia="Arial" w:hAnsi="Arial"/>
          <w:sz w:val="16"/>
          <w:szCs w:val="16"/>
          <w:color w:val="auto"/>
        </w:rPr>
        <w:t>.</w:t>
      </w:r>
    </w:p>
    <w:p>
      <w:pPr>
        <w:spacing w:after="0" w:line="270" w:lineRule="exact"/>
        <w:rPr>
          <w:sz w:val="20"/>
          <w:szCs w:val="20"/>
          <w:color w:val="auto"/>
        </w:rPr>
      </w:pPr>
    </w:p>
    <w:p>
      <w:pPr>
        <w:ind w:left="1700" w:hanging="395"/>
        <w:spacing w:after="0"/>
        <w:tabs>
          <w:tab w:leader="none" w:pos="1700" w:val="left"/>
        </w:tabs>
        <w:numPr>
          <w:ilvl w:val="0"/>
          <w:numId w:val="61"/>
        </w:numPr>
        <w:rPr>
          <w:rFonts w:ascii="Arial" w:cs="Arial" w:eastAsia="Arial" w:hAnsi="Arial"/>
          <w:sz w:val="18"/>
          <w:szCs w:val="18"/>
          <w:color w:val="auto"/>
        </w:rPr>
      </w:pPr>
      <w:r>
        <w:rPr>
          <w:rFonts w:ascii="Arial" w:cs="Arial" w:eastAsia="Arial" w:hAnsi="Arial"/>
          <w:sz w:val="18"/>
          <w:szCs w:val="18"/>
          <w:color w:val="auto"/>
        </w:rPr>
        <w:t>Each obligation of the Borrowers to make a payment denominated in the national currency unit of any member state of the</w:t>
      </w:r>
    </w:p>
    <w:p>
      <w:pPr>
        <w:spacing w:after="0" w:line="76" w:lineRule="exact"/>
        <w:rPr>
          <w:rFonts w:ascii="Arial" w:cs="Arial" w:eastAsia="Arial" w:hAnsi="Arial"/>
          <w:sz w:val="18"/>
          <w:szCs w:val="18"/>
          <w:color w:val="auto"/>
        </w:rPr>
      </w:pPr>
    </w:p>
    <w:p>
      <w:pPr>
        <w:ind w:left="660" w:right="140"/>
        <w:spacing w:after="0" w:line="302" w:lineRule="auto"/>
        <w:rPr>
          <w:rFonts w:ascii="Arial" w:cs="Arial" w:eastAsia="Arial" w:hAnsi="Arial"/>
          <w:sz w:val="18"/>
          <w:szCs w:val="18"/>
          <w:color w:val="auto"/>
        </w:rPr>
      </w:pPr>
      <w:r>
        <w:rPr>
          <w:rFonts w:ascii="Arial" w:cs="Arial" w:eastAsia="Arial" w:hAnsi="Arial"/>
          <w:sz w:val="19"/>
          <w:szCs w:val="19"/>
          <w:color w:val="auto"/>
        </w:rPr>
        <w:t xml:space="preserve">European Union that adopts the Euro as its lawful currency after the date hereof shall be redenominated into Euro at the time of such adoption (in accordance with the EMU Legislation). If, in relation to the currency of any such member state, the basis of accrual of interest expressed in this Credit Agreement in respect of that currency shall be inconsistent with any convention or practice in the London interbank market for the basis of accrual of interest in respect of the Euro, such expressed basis shall be replaced by such convention or practice with effect from the date on which such member state adopts the Euro as its lawful currency;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if any Borrowing in the currency of such member state is outstanding immediately prior to such date, such replacement shall take effect, with respect to such Borrowing, at the end of the then current Interest Period.</w:t>
      </w:r>
    </w:p>
    <w:p>
      <w:pPr>
        <w:spacing w:after="0" w:line="182" w:lineRule="exact"/>
        <w:rPr>
          <w:rFonts w:ascii="Arial" w:cs="Arial" w:eastAsia="Arial" w:hAnsi="Arial"/>
          <w:sz w:val="18"/>
          <w:szCs w:val="18"/>
          <w:color w:val="auto"/>
        </w:rPr>
      </w:pPr>
    </w:p>
    <w:p>
      <w:pPr>
        <w:ind w:left="1720" w:hanging="415"/>
        <w:spacing w:after="0"/>
        <w:tabs>
          <w:tab w:leader="none" w:pos="1720" w:val="left"/>
        </w:tabs>
        <w:numPr>
          <w:ilvl w:val="0"/>
          <w:numId w:val="61"/>
        </w:numPr>
        <w:rPr>
          <w:rFonts w:ascii="Arial" w:cs="Arial" w:eastAsia="Arial" w:hAnsi="Arial"/>
          <w:sz w:val="16"/>
          <w:szCs w:val="16"/>
          <w:color w:val="auto"/>
        </w:rPr>
      </w:pPr>
      <w:r>
        <w:rPr>
          <w:rFonts w:ascii="Arial" w:cs="Arial" w:eastAsia="Arial" w:hAnsi="Arial"/>
          <w:sz w:val="16"/>
          <w:szCs w:val="16"/>
          <w:color w:val="auto"/>
        </w:rPr>
        <w:t>Each provision of this Credit Agreement shall be subject to such reasonable changes of construction as the Administrative</w:t>
      </w:r>
    </w:p>
    <w:p>
      <w:pPr>
        <w:spacing w:after="0" w:line="99" w:lineRule="exact"/>
        <w:rPr>
          <w:rFonts w:ascii="Arial" w:cs="Arial" w:eastAsia="Arial" w:hAnsi="Arial"/>
          <w:sz w:val="16"/>
          <w:szCs w:val="16"/>
          <w:color w:val="auto"/>
        </w:rPr>
      </w:pPr>
    </w:p>
    <w:p>
      <w:pPr>
        <w:ind w:left="660" w:right="160"/>
        <w:spacing w:after="0" w:line="303" w:lineRule="auto"/>
        <w:rPr>
          <w:rFonts w:ascii="Arial" w:cs="Arial" w:eastAsia="Arial" w:hAnsi="Arial"/>
          <w:sz w:val="16"/>
          <w:szCs w:val="16"/>
          <w:color w:val="auto"/>
        </w:rPr>
      </w:pPr>
      <w:r>
        <w:rPr>
          <w:rFonts w:ascii="Arial" w:cs="Arial" w:eastAsia="Arial" w:hAnsi="Arial"/>
          <w:sz w:val="20"/>
          <w:szCs w:val="20"/>
          <w:color w:val="auto"/>
        </w:rPr>
        <w:t>Agent may from time to time specify to be appropriate to reflect the adoption of the Euro by any member state of the European Union and any relevant market conventions or practices relating to the Euro.</w:t>
      </w:r>
    </w:p>
    <w:p>
      <w:pPr>
        <w:spacing w:after="0" w:line="175" w:lineRule="exact"/>
        <w:rPr>
          <w:rFonts w:ascii="Arial" w:cs="Arial" w:eastAsia="Arial" w:hAnsi="Arial"/>
          <w:sz w:val="16"/>
          <w:szCs w:val="16"/>
          <w:color w:val="auto"/>
        </w:rPr>
      </w:pPr>
    </w:p>
    <w:p>
      <w:pPr>
        <w:ind w:left="1700" w:hanging="395"/>
        <w:spacing w:after="0"/>
        <w:tabs>
          <w:tab w:leader="none" w:pos="1700" w:val="left"/>
        </w:tabs>
        <w:numPr>
          <w:ilvl w:val="0"/>
          <w:numId w:val="61"/>
        </w:numPr>
        <w:rPr>
          <w:rFonts w:ascii="Arial" w:cs="Arial" w:eastAsia="Arial" w:hAnsi="Arial"/>
          <w:sz w:val="19"/>
          <w:szCs w:val="19"/>
          <w:color w:val="auto"/>
        </w:rPr>
      </w:pPr>
      <w:r>
        <w:rPr>
          <w:rFonts w:ascii="Arial" w:cs="Arial" w:eastAsia="Arial" w:hAnsi="Arial"/>
          <w:sz w:val="19"/>
          <w:szCs w:val="19"/>
          <w:color w:val="auto"/>
        </w:rPr>
        <w:t>Each provision of this Credit Agreement also shall be subject to such reasonable changes of construction as the</w:t>
      </w:r>
    </w:p>
    <w:p>
      <w:pPr>
        <w:spacing w:after="0" w:line="65" w:lineRule="exact"/>
        <w:rPr>
          <w:rFonts w:ascii="Arial" w:cs="Arial" w:eastAsia="Arial" w:hAnsi="Arial"/>
          <w:sz w:val="19"/>
          <w:szCs w:val="19"/>
          <w:color w:val="auto"/>
        </w:rPr>
      </w:pPr>
    </w:p>
    <w:p>
      <w:pPr>
        <w:ind w:left="660" w:right="420"/>
        <w:spacing w:after="0" w:line="303" w:lineRule="auto"/>
        <w:rPr>
          <w:rFonts w:ascii="Arial" w:cs="Arial" w:eastAsia="Arial" w:hAnsi="Arial"/>
          <w:sz w:val="19"/>
          <w:szCs w:val="19"/>
          <w:color w:val="auto"/>
        </w:rPr>
      </w:pPr>
      <w:r>
        <w:rPr>
          <w:rFonts w:ascii="Arial" w:cs="Arial" w:eastAsia="Arial" w:hAnsi="Arial"/>
          <w:sz w:val="20"/>
          <w:szCs w:val="20"/>
          <w:color w:val="auto"/>
        </w:rPr>
        <w:t>Administrative Agent may from time to time specify to be appropriate to reflect a change in currency of any other country and any relevant market conventions or practices relating to the change in currency.</w:t>
      </w:r>
    </w:p>
    <w:p>
      <w:pPr>
        <w:spacing w:after="0" w:line="176" w:lineRule="exact"/>
        <w:rPr>
          <w:sz w:val="20"/>
          <w:szCs w:val="20"/>
          <w:color w:val="auto"/>
        </w:rPr>
      </w:pPr>
    </w:p>
    <w:p>
      <w:pPr>
        <w:ind w:right="480" w:firstLine="648"/>
        <w:spacing w:after="0" w:line="317" w:lineRule="auto"/>
        <w:rPr>
          <w:sz w:val="20"/>
          <w:szCs w:val="20"/>
          <w:color w:val="auto"/>
        </w:rPr>
      </w:pPr>
      <w:r>
        <w:rPr>
          <w:rFonts w:ascii="Arial" w:cs="Arial" w:eastAsia="Arial" w:hAnsi="Arial"/>
          <w:sz w:val="20"/>
          <w:szCs w:val="20"/>
          <w:color w:val="auto"/>
        </w:rPr>
        <w:t xml:space="preserve">1.08 </w:t>
      </w:r>
      <w:r>
        <w:rPr>
          <w:rFonts w:ascii="Arial" w:cs="Arial" w:eastAsia="Arial" w:hAnsi="Arial"/>
          <w:sz w:val="20"/>
          <w:szCs w:val="20"/>
          <w:u w:val="single" w:color="auto"/>
          <w:color w:val="auto"/>
        </w:rPr>
        <w:t>Times of Day</w:t>
      </w:r>
      <w:r>
        <w:rPr>
          <w:rFonts w:ascii="Arial" w:cs="Arial" w:eastAsia="Arial" w:hAnsi="Arial"/>
          <w:sz w:val="20"/>
          <w:szCs w:val="20"/>
          <w:color w:val="auto"/>
        </w:rPr>
        <w:t>. Unless otherwise specified, all references herein to times of day shall be references to Central time (daylight savings or standard, as applicable).</w:t>
      </w:r>
    </w:p>
    <w:p>
      <w:pPr>
        <w:spacing w:after="0" w:line="162" w:lineRule="exact"/>
        <w:rPr>
          <w:sz w:val="20"/>
          <w:szCs w:val="20"/>
          <w:color w:val="auto"/>
        </w:rPr>
      </w:pPr>
    </w:p>
    <w:p>
      <w:pPr>
        <w:ind w:right="80" w:firstLine="648"/>
        <w:spacing w:after="0" w:line="288" w:lineRule="auto"/>
        <w:rPr>
          <w:sz w:val="20"/>
          <w:szCs w:val="20"/>
          <w:color w:val="auto"/>
        </w:rPr>
      </w:pPr>
      <w:r>
        <w:rPr>
          <w:rFonts w:ascii="Arial" w:cs="Arial" w:eastAsia="Arial" w:hAnsi="Arial"/>
          <w:sz w:val="20"/>
          <w:szCs w:val="20"/>
          <w:color w:val="auto"/>
        </w:rPr>
        <w:t xml:space="preserve">1.09 </w:t>
      </w:r>
      <w:r>
        <w:rPr>
          <w:rFonts w:ascii="Arial" w:cs="Arial" w:eastAsia="Arial" w:hAnsi="Arial"/>
          <w:sz w:val="20"/>
          <w:szCs w:val="20"/>
          <w:u w:val="single" w:color="auto"/>
          <w:color w:val="auto"/>
        </w:rPr>
        <w:t>Letter of Credit Amounts</w:t>
      </w:r>
      <w:r>
        <w:rPr>
          <w:rFonts w:ascii="Arial" w:cs="Arial" w:eastAsia="Arial" w:hAnsi="Arial"/>
          <w:sz w:val="20"/>
          <w:szCs w:val="20"/>
          <w:color w:val="auto"/>
        </w:rPr>
        <w:t xml:space="preserve">. Unless otherwise specified herein (including, without limitation, as otherwise specified in </w:t>
      </w:r>
      <w:r>
        <w:rPr>
          <w:rFonts w:ascii="Arial" w:cs="Arial" w:eastAsia="Arial" w:hAnsi="Arial"/>
          <w:sz w:val="20"/>
          <w:szCs w:val="20"/>
          <w:u w:val="single" w:color="auto"/>
          <w:color w:val="auto"/>
        </w:rPr>
        <w:t>Sections</w:t>
      </w:r>
      <w:r>
        <w:rPr>
          <w:rFonts w:ascii="Arial" w:cs="Arial" w:eastAsia="Arial" w:hAnsi="Arial"/>
          <w:sz w:val="20"/>
          <w:szCs w:val="20"/>
          <w:color w:val="auto"/>
        </w:rPr>
        <w:t xml:space="preserve"> </w:t>
      </w:r>
      <w:r>
        <w:rPr>
          <w:rFonts w:ascii="Arial" w:cs="Arial" w:eastAsia="Arial" w:hAnsi="Arial"/>
          <w:sz w:val="20"/>
          <w:szCs w:val="20"/>
          <w:u w:val="single" w:color="auto"/>
          <w:color w:val="auto"/>
        </w:rPr>
        <w:t>1.05(a)</w:t>
      </w:r>
      <w:r>
        <w:rPr>
          <w:rFonts w:ascii="Arial" w:cs="Arial" w:eastAsia="Arial" w:hAnsi="Arial"/>
          <w:sz w:val="20"/>
          <w:szCs w:val="20"/>
          <w:color w:val="auto"/>
        </w:rPr>
        <w:t xml:space="preserve"> and </w:t>
      </w:r>
      <w:r>
        <w:rPr>
          <w:rFonts w:ascii="Arial" w:cs="Arial" w:eastAsia="Arial" w:hAnsi="Arial"/>
          <w:sz w:val="20"/>
          <w:szCs w:val="20"/>
          <w:u w:val="single" w:color="auto"/>
          <w:color w:val="auto"/>
        </w:rPr>
        <w:t>(b)</w:t>
      </w:r>
      <w:r>
        <w:rPr>
          <w:rFonts w:ascii="Arial" w:cs="Arial" w:eastAsia="Arial" w:hAnsi="Arial"/>
          <w:sz w:val="20"/>
          <w:szCs w:val="20"/>
          <w:color w:val="auto"/>
        </w:rPr>
        <w:t xml:space="preserve">), the amount of a Letter of Credit at any time shall be deemed to be the Dollar Equivalent of the stated amount of such Letter of Credit in effect at such time;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w:t>
      </w:r>
      <w:r>
        <w:rPr>
          <w:rFonts w:ascii="Arial" w:cs="Arial" w:eastAsia="Arial" w:hAnsi="Arial"/>
          <w:sz w:val="20"/>
          <w:szCs w:val="20"/>
          <w:u w:val="single" w:color="auto"/>
          <w:color w:val="auto"/>
        </w:rPr>
        <w:t>however</w:t>
      </w:r>
      <w:r>
        <w:rPr>
          <w:rFonts w:ascii="Arial" w:cs="Arial" w:eastAsia="Arial" w:hAnsi="Arial"/>
          <w:sz w:val="20"/>
          <w:szCs w:val="20"/>
          <w:color w:val="auto"/>
        </w:rPr>
        <w:t>, that with respect to any Letter of Credit that, by its terms or the terms of any Issuer Document related thereto, provides for one or more automatic increases in the stated amount thereof, the amount of such Letter of Credit shall be deemed to be the Dollar Equivalent of the maximum stated amount of such Letter of Credit after giving effect to all such increases, whether or not such maximum stated amount is in effect at such time.</w:t>
      </w: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68</w:t>
      </w:r>
    </w:p>
    <w:p>
      <w:pPr>
        <w:spacing w:after="0" w:line="10" w:lineRule="exact"/>
        <w:rPr>
          <w:sz w:val="20"/>
          <w:szCs w:val="20"/>
          <w:color w:val="auto"/>
        </w:rPr>
      </w:pPr>
    </w:p>
    <w:p>
      <w:pPr>
        <w:spacing w:after="0"/>
        <w:rPr>
          <w:sz w:val="20"/>
          <w:szCs w:val="20"/>
          <w:color w:val="auto"/>
        </w:rPr>
      </w:pPr>
      <w:r>
        <w:rPr>
          <w:rFonts w:ascii="Arial" w:cs="Arial" w:eastAsia="Arial" w:hAnsi="Arial"/>
          <w:sz w:val="14"/>
          <w:szCs w:val="14"/>
          <w:color w:val="auto"/>
        </w:rPr>
        <w:t>CHAR1\1346423v</w:t>
      </w:r>
      <w:r>
        <w:rPr>
          <w:rFonts w:ascii="Arial" w:cs="Arial" w:eastAsia="Arial" w:hAnsi="Arial"/>
          <w:sz w:val="14"/>
          <w:szCs w:val="14"/>
          <w:color w:val="FF0000"/>
          <w:strike w:val="1"/>
        </w:rPr>
        <w:t>1</w:t>
      </w:r>
      <w:r>
        <w:rPr>
          <w:rFonts w:ascii="Arial" w:cs="Arial" w:eastAsia="Arial" w:hAnsi="Arial"/>
          <w:sz w:val="14"/>
          <w:szCs w:val="14"/>
          <w:u w:val="single" w:color="auto"/>
          <w:color w:val="0000FF"/>
        </w:rPr>
        <w:t>12</w:t>
      </w:r>
    </w:p>
    <w:p>
      <w:pPr>
        <w:sectPr>
          <w:pgSz w:w="11900" w:h="16838" w:orient="portrait"/>
          <w:cols w:equalWidth="0" w:num="1">
            <w:col w:w="11420"/>
          </w:cols>
          <w:pgMar w:left="240" w:top="609" w:right="239" w:bottom="1440" w:gutter="0" w:footer="0" w:header="0"/>
        </w:sectPr>
      </w:pPr>
    </w:p>
    <w:bookmarkStart w:id="120" w:name="page121"/>
    <w:bookmarkEnd w:id="120"/>
    <w:p>
      <w:pPr>
        <w:ind w:right="60" w:firstLine="648"/>
        <w:spacing w:after="0" w:line="288" w:lineRule="auto"/>
        <w:rPr>
          <w:sz w:val="20"/>
          <w:szCs w:val="20"/>
          <w:color w:val="auto"/>
        </w:rPr>
      </w:pPr>
      <w:r>
        <w:rPr>
          <w:rFonts w:ascii="Arial" w:cs="Arial" w:eastAsia="Arial" w:hAnsi="Arial"/>
          <w:sz w:val="20"/>
          <w:szCs w:val="20"/>
          <w:color w:val="auto"/>
        </w:rPr>
        <w:t xml:space="preserve">1.10 </w:t>
      </w:r>
      <w:r>
        <w:rPr>
          <w:rFonts w:ascii="Arial" w:cs="Arial" w:eastAsia="Arial" w:hAnsi="Arial"/>
          <w:sz w:val="20"/>
          <w:szCs w:val="20"/>
          <w:u w:val="single" w:color="auto"/>
          <w:color w:val="auto"/>
        </w:rPr>
        <w:t>Limitation on Obligations of Foreign Credit Parties</w:t>
      </w:r>
      <w:r>
        <w:rPr>
          <w:rFonts w:ascii="Arial" w:cs="Arial" w:eastAsia="Arial" w:hAnsi="Arial"/>
          <w:sz w:val="20"/>
          <w:szCs w:val="20"/>
          <w:color w:val="auto"/>
        </w:rPr>
        <w:t>. Notwithstanding anything set forth in this Credit Agreement or any other Credit Document to the contrary, no Foreign Credit Party and/or Foreign Subsidiary shall at any time be liable, directly or indirectly, for any portion of the Domestic Obligations, including, without limitation, the principal of any Loan Obligations of the Domestic Borrowers or any interest thereon or fees payable with respect thereto (and the Domestic Credit Parties are solely liable for such Obligations), and no Property of any Foreign Credit Party and/or Foreign Subsidiary shall at any time serve, directly or indirectly, as Collateral or any other type of collateral or security for any portion of the Domestic Obligations.</w:t>
      </w:r>
    </w:p>
    <w:p>
      <w:pPr>
        <w:spacing w:after="0" w:line="194" w:lineRule="exact"/>
        <w:rPr>
          <w:sz w:val="20"/>
          <w:szCs w:val="20"/>
          <w:color w:val="auto"/>
        </w:rPr>
      </w:pPr>
    </w:p>
    <w:p>
      <w:pPr>
        <w:ind w:right="620" w:firstLine="648"/>
        <w:spacing w:after="0" w:line="379" w:lineRule="auto"/>
        <w:rPr>
          <w:sz w:val="20"/>
          <w:szCs w:val="20"/>
          <w:color w:val="auto"/>
        </w:rPr>
      </w:pPr>
      <w:r>
        <w:rPr>
          <w:rFonts w:ascii="Arial" w:cs="Arial" w:eastAsia="Arial" w:hAnsi="Arial"/>
          <w:sz w:val="18"/>
          <w:szCs w:val="18"/>
          <w:color w:val="auto"/>
        </w:rPr>
        <w:t xml:space="preserve">1.11 </w:t>
      </w:r>
      <w:r>
        <w:rPr>
          <w:rFonts w:ascii="Arial" w:cs="Arial" w:eastAsia="Arial" w:hAnsi="Arial"/>
          <w:sz w:val="18"/>
          <w:szCs w:val="18"/>
          <w:u w:val="single" w:color="auto"/>
          <w:color w:val="auto"/>
        </w:rPr>
        <w:t>Amendment and Restatement</w:t>
      </w:r>
      <w:r>
        <w:rPr>
          <w:rFonts w:ascii="Arial" w:cs="Arial" w:eastAsia="Arial" w:hAnsi="Arial"/>
          <w:sz w:val="18"/>
          <w:szCs w:val="18"/>
          <w:color w:val="auto"/>
        </w:rPr>
        <w:t>. In order to facilitate the amendment and restatement of the Existing Credit Agreement and otherwise to effectuate the desires of the Credit Parties, the Administrative Agent, the Lenders and the L/C Issuers agree as follows:</w:t>
      </w:r>
    </w:p>
    <w:p>
      <w:pPr>
        <w:spacing w:after="0" w:line="116" w:lineRule="exact"/>
        <w:rPr>
          <w:sz w:val="20"/>
          <w:szCs w:val="20"/>
          <w:color w:val="auto"/>
        </w:rPr>
      </w:pPr>
    </w:p>
    <w:p>
      <w:pPr>
        <w:ind w:left="1700" w:hanging="395"/>
        <w:spacing w:after="0"/>
        <w:tabs>
          <w:tab w:leader="none" w:pos="1700" w:val="left"/>
        </w:tabs>
        <w:numPr>
          <w:ilvl w:val="0"/>
          <w:numId w:val="62"/>
        </w:numPr>
        <w:rPr>
          <w:rFonts w:ascii="Arial" w:cs="Arial" w:eastAsia="Arial" w:hAnsi="Arial"/>
          <w:sz w:val="18"/>
          <w:szCs w:val="18"/>
          <w:color w:val="auto"/>
        </w:rPr>
      </w:pPr>
      <w:r>
        <w:rPr>
          <w:rFonts w:ascii="Arial" w:cs="Arial" w:eastAsia="Arial" w:hAnsi="Arial"/>
          <w:sz w:val="18"/>
          <w:szCs w:val="18"/>
          <w:color w:val="auto"/>
        </w:rPr>
        <w:t>As of the Closing Date (immediately prior to the effectiveness of this Credit Agreement) (i) the Revolving Commitments</w:t>
      </w:r>
    </w:p>
    <w:p>
      <w:pPr>
        <w:spacing w:after="0" w:line="76" w:lineRule="exact"/>
        <w:rPr>
          <w:rFonts w:ascii="Arial" w:cs="Arial" w:eastAsia="Arial" w:hAnsi="Arial"/>
          <w:sz w:val="18"/>
          <w:szCs w:val="18"/>
          <w:color w:val="auto"/>
        </w:rPr>
      </w:pPr>
    </w:p>
    <w:p>
      <w:pPr>
        <w:ind w:left="660"/>
        <w:spacing w:after="0" w:line="300" w:lineRule="auto"/>
        <w:rPr>
          <w:rFonts w:ascii="Arial" w:cs="Arial" w:eastAsia="Arial" w:hAnsi="Arial"/>
          <w:sz w:val="18"/>
          <w:szCs w:val="18"/>
          <w:color w:val="auto"/>
        </w:rPr>
      </w:pPr>
      <w:r>
        <w:rPr>
          <w:rFonts w:ascii="Arial" w:cs="Arial" w:eastAsia="Arial" w:hAnsi="Arial"/>
          <w:sz w:val="19"/>
          <w:szCs w:val="19"/>
          <w:color w:val="auto"/>
        </w:rPr>
        <w:t>under (and as defined in) the Existing Credit Agreement are $100,000,000, (ii) the principal amount of the Domestic Revolving Loans (as defined in the Existing Credit Agreement) outstanding under the Existing Credit Agreement is $0, (iii) the principal amount of the F/X Revolving Loans (as defined in the Existing Credit Agreement) outstanding under the Existing Credit Agreement is $0, (iv) the principal amount of the India Revolving Loans (as defined in the Existing Credit Agreement) outstanding under the Existing Credit Agreement is $0, (v) the principal amount of Domestic Swingline Loans (as defined in the Existing Credit Agreement) outstanding under the Existing Credit Agreement is $0, (vi) the aggregate amount of the Domestic L/C Obligations (as defined in the Existing Credit Agreement) outstanding under the Existing Credit Agreement is $41,229,535, (vii) the aggregate amount of the F/X L/C Obligations (as defined in the Existing Credit Agreement) outstanding under the Existing Credit Agreement is $0, (viii) the aggregate amount of the India L/C Obligations (as defined in the Existing Credit Agreement) outstanding under the Existing Credit Agreement is $1,043,548, and (ix) the principal amount of the Tranche B Term Loan (as defined in the Existing Credit Agreement) outstanding under the Existing Credit Agreement is $126,000,000.</w:t>
      </w:r>
    </w:p>
    <w:p>
      <w:pPr>
        <w:spacing w:after="0" w:line="183" w:lineRule="exact"/>
        <w:rPr>
          <w:rFonts w:ascii="Arial" w:cs="Arial" w:eastAsia="Arial" w:hAnsi="Arial"/>
          <w:sz w:val="18"/>
          <w:szCs w:val="18"/>
          <w:color w:val="auto"/>
        </w:rPr>
      </w:pPr>
    </w:p>
    <w:p>
      <w:pPr>
        <w:ind w:left="1720" w:hanging="415"/>
        <w:spacing w:after="0"/>
        <w:tabs>
          <w:tab w:leader="none" w:pos="1720" w:val="left"/>
        </w:tabs>
        <w:numPr>
          <w:ilvl w:val="0"/>
          <w:numId w:val="62"/>
        </w:numPr>
        <w:rPr>
          <w:rFonts w:ascii="Arial" w:cs="Arial" w:eastAsia="Arial" w:hAnsi="Arial"/>
          <w:sz w:val="18"/>
          <w:szCs w:val="18"/>
          <w:color w:val="auto"/>
        </w:rPr>
      </w:pPr>
      <w:r>
        <w:rPr>
          <w:rFonts w:ascii="Arial" w:cs="Arial" w:eastAsia="Arial" w:hAnsi="Arial"/>
          <w:sz w:val="18"/>
          <w:szCs w:val="18"/>
          <w:color w:val="auto"/>
        </w:rPr>
        <w:t xml:space="preserve">Simultaneously with the Closing Date, but immediately prior to giving effect to </w:t>
      </w:r>
      <w:r>
        <w:rPr>
          <w:rFonts w:ascii="Arial" w:cs="Arial" w:eastAsia="Arial" w:hAnsi="Arial"/>
          <w:sz w:val="18"/>
          <w:szCs w:val="18"/>
          <w:u w:val="single" w:color="auto"/>
          <w:color w:val="auto"/>
        </w:rPr>
        <w:t>Section 1.11(e)</w:t>
      </w:r>
      <w:r>
        <w:rPr>
          <w:rFonts w:ascii="Arial" w:cs="Arial" w:eastAsia="Arial" w:hAnsi="Arial"/>
          <w:sz w:val="18"/>
          <w:szCs w:val="18"/>
          <w:color w:val="auto"/>
        </w:rPr>
        <w:t>, the parties hereby agree</w:t>
      </w:r>
    </w:p>
    <w:p>
      <w:pPr>
        <w:spacing w:after="0" w:line="76" w:lineRule="exact"/>
        <w:rPr>
          <w:rFonts w:ascii="Arial" w:cs="Arial" w:eastAsia="Arial" w:hAnsi="Arial"/>
          <w:sz w:val="18"/>
          <w:szCs w:val="18"/>
          <w:color w:val="auto"/>
        </w:rPr>
      </w:pPr>
    </w:p>
    <w:p>
      <w:pPr>
        <w:ind w:left="660"/>
        <w:spacing w:after="0" w:line="320" w:lineRule="auto"/>
        <w:rPr>
          <w:rFonts w:ascii="Arial" w:cs="Arial" w:eastAsia="Arial" w:hAnsi="Arial"/>
          <w:sz w:val="18"/>
          <w:szCs w:val="18"/>
          <w:color w:val="auto"/>
        </w:rPr>
      </w:pPr>
      <w:r>
        <w:rPr>
          <w:rFonts w:ascii="Arial" w:cs="Arial" w:eastAsia="Arial" w:hAnsi="Arial"/>
          <w:sz w:val="18"/>
          <w:szCs w:val="18"/>
          <w:color w:val="auto"/>
        </w:rPr>
        <w:t xml:space="preserve">that (i) the Domestic Revolving Committed Amount of each Lender and its Domestic Revolving Commitment Percentage shall be as set forth in </w:t>
      </w:r>
      <w:r>
        <w:rPr>
          <w:rFonts w:ascii="Arial" w:cs="Arial" w:eastAsia="Arial" w:hAnsi="Arial"/>
          <w:sz w:val="18"/>
          <w:szCs w:val="18"/>
          <w:u w:val="single" w:color="auto"/>
          <w:color w:val="auto"/>
        </w:rPr>
        <w:t>Schedule 2.01</w:t>
      </w:r>
      <w:r>
        <w:rPr>
          <w:rFonts w:ascii="Arial" w:cs="Arial" w:eastAsia="Arial" w:hAnsi="Arial"/>
          <w:sz w:val="18"/>
          <w:szCs w:val="18"/>
          <w:color w:val="auto"/>
        </w:rPr>
        <w:t>, and the Outstanding Amounts of Domestic Revolving Loans, F/X Revolving Loans, Domestic L/C Obligations and the F/X L/C Obligations under the Existing Credit Agreement (each as defined in the Existing Credit Agreement) shall be reallocated as outstanding Domestic Revolving Loans hereunder in accordance with such Domestic Revolving Committed Amounts, and the requisite assignments shall be deemed to be made in such amounts among the Lenders and from each Lender to each other Lender (and, if necessary, to Lenders from Existing Lenders who elect not to become Lenders under this Credit Agreement or who reduce their commitments in connection with this Credit Agreement), with the same force and effect as if such assignments were evidenced by applicable Assignments and Assumptions (as defined in the</w:t>
      </w:r>
    </w:p>
    <w:p>
      <w:pPr>
        <w:spacing w:after="0" w:line="385"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69</w:t>
      </w:r>
    </w:p>
    <w:p>
      <w:pPr>
        <w:spacing w:after="0" w:line="10" w:lineRule="exact"/>
        <w:rPr>
          <w:sz w:val="20"/>
          <w:szCs w:val="20"/>
          <w:color w:val="auto"/>
        </w:rPr>
      </w:pPr>
    </w:p>
    <w:p>
      <w:pPr>
        <w:spacing w:after="0"/>
        <w:rPr>
          <w:sz w:val="20"/>
          <w:szCs w:val="20"/>
          <w:color w:val="auto"/>
        </w:rPr>
      </w:pPr>
      <w:r>
        <w:rPr>
          <w:rFonts w:ascii="Arial" w:cs="Arial" w:eastAsia="Arial" w:hAnsi="Arial"/>
          <w:sz w:val="14"/>
          <w:szCs w:val="14"/>
          <w:color w:val="auto"/>
        </w:rPr>
        <w:t>CHAR1\1346423v</w:t>
      </w:r>
      <w:r>
        <w:rPr>
          <w:rFonts w:ascii="Arial" w:cs="Arial" w:eastAsia="Arial" w:hAnsi="Arial"/>
          <w:sz w:val="14"/>
          <w:szCs w:val="14"/>
          <w:color w:val="FF0000"/>
          <w:strike w:val="1"/>
        </w:rPr>
        <w:t>1</w:t>
      </w:r>
      <w:r>
        <w:rPr>
          <w:rFonts w:ascii="Arial" w:cs="Arial" w:eastAsia="Arial" w:hAnsi="Arial"/>
          <w:sz w:val="14"/>
          <w:szCs w:val="14"/>
          <w:u w:val="single" w:color="auto"/>
          <w:color w:val="0000FF"/>
        </w:rPr>
        <w:t>12</w:t>
      </w:r>
    </w:p>
    <w:p>
      <w:pPr>
        <w:sectPr>
          <w:pgSz w:w="11900" w:h="16838" w:orient="portrait"/>
          <w:cols w:equalWidth="0" w:num="1">
            <w:col w:w="11400"/>
          </w:cols>
          <w:pgMar w:left="240" w:top="609" w:right="259" w:bottom="1440" w:gutter="0" w:footer="0" w:header="0"/>
        </w:sectPr>
      </w:pPr>
    </w:p>
    <w:bookmarkStart w:id="121" w:name="page122"/>
    <w:bookmarkEnd w:id="121"/>
    <w:p>
      <w:pPr>
        <w:ind w:left="660"/>
        <w:spacing w:after="0" w:line="319" w:lineRule="auto"/>
        <w:rPr>
          <w:sz w:val="20"/>
          <w:szCs w:val="20"/>
          <w:color w:val="auto"/>
        </w:rPr>
      </w:pPr>
      <w:r>
        <w:rPr>
          <w:rFonts w:ascii="Arial" w:cs="Arial" w:eastAsia="Arial" w:hAnsi="Arial"/>
          <w:sz w:val="18"/>
          <w:szCs w:val="18"/>
          <w:color w:val="auto"/>
        </w:rPr>
        <w:t xml:space="preserve">Existing Credit Agreement) under the Existing Credit Agreement, but without the payment of any related assignment fee, and (ii) the India Revolving Committed Amount of each Lender and its India Revolving Commitment Percentage shall be as set forth in </w:t>
      </w:r>
      <w:r>
        <w:rPr>
          <w:rFonts w:ascii="Arial" w:cs="Arial" w:eastAsia="Arial" w:hAnsi="Arial"/>
          <w:sz w:val="18"/>
          <w:szCs w:val="18"/>
          <w:u w:val="single" w:color="auto"/>
          <w:color w:val="auto"/>
        </w:rPr>
        <w:t>Schedule</w:t>
      </w:r>
      <w:r>
        <w:rPr>
          <w:rFonts w:ascii="Arial" w:cs="Arial" w:eastAsia="Arial" w:hAnsi="Arial"/>
          <w:sz w:val="18"/>
          <w:szCs w:val="18"/>
          <w:color w:val="auto"/>
        </w:rPr>
        <w:t xml:space="preserve"> </w:t>
      </w:r>
      <w:r>
        <w:rPr>
          <w:rFonts w:ascii="Arial" w:cs="Arial" w:eastAsia="Arial" w:hAnsi="Arial"/>
          <w:sz w:val="18"/>
          <w:szCs w:val="18"/>
          <w:u w:val="single" w:color="auto"/>
          <w:color w:val="auto"/>
        </w:rPr>
        <w:t>2.01</w:t>
      </w:r>
      <w:r>
        <w:rPr>
          <w:rFonts w:ascii="Arial" w:cs="Arial" w:eastAsia="Arial" w:hAnsi="Arial"/>
          <w:sz w:val="18"/>
          <w:szCs w:val="18"/>
          <w:color w:val="auto"/>
        </w:rPr>
        <w:t>, and the Outstanding Amounts of India Revolving Loans and the India L/C Obligations under the Existing Credit Agreement (each as defined in the Existing Credit Agreement) shall be reallocated as outstanding India Revolving Loans hereunder in accordance with such India Revolving Committed Amounts, and the requisite assignments shall be deemed to be made in such amounts among the Lenders and from each Lender to each other Lender (and, if necessary, to Lenders from Existing Lenders who elect not to become Lenders under this Credit Agreement or who reduce their commitments in connection with this Credit Agreement), with the same force and effect as if such assignments were evidenced by applicable Assignments and Assumptions (as defined in the Existing Credit Agreement) under the Existing Credit Agreement, but without the payment of any related assignment fee.</w:t>
      </w:r>
    </w:p>
    <w:p>
      <w:pPr>
        <w:spacing w:after="0" w:line="171" w:lineRule="exact"/>
        <w:rPr>
          <w:sz w:val="20"/>
          <w:szCs w:val="20"/>
          <w:color w:val="auto"/>
        </w:rPr>
      </w:pPr>
    </w:p>
    <w:p>
      <w:pPr>
        <w:ind w:left="1700" w:hanging="395"/>
        <w:spacing w:after="0"/>
        <w:tabs>
          <w:tab w:leader="none" w:pos="1700" w:val="left"/>
        </w:tabs>
        <w:numPr>
          <w:ilvl w:val="0"/>
          <w:numId w:val="63"/>
        </w:numPr>
        <w:rPr>
          <w:rFonts w:ascii="Arial" w:cs="Arial" w:eastAsia="Arial" w:hAnsi="Arial"/>
          <w:sz w:val="18"/>
          <w:szCs w:val="18"/>
          <w:color w:val="auto"/>
        </w:rPr>
      </w:pPr>
      <w:r>
        <w:rPr>
          <w:rFonts w:ascii="Arial" w:cs="Arial" w:eastAsia="Arial" w:hAnsi="Arial"/>
          <w:sz w:val="18"/>
          <w:szCs w:val="18"/>
          <w:color w:val="auto"/>
        </w:rPr>
        <w:t>The parties hereby consent to all reallocations and assignments of Commitments and Outstanding Amounts effected</w:t>
      </w:r>
    </w:p>
    <w:p>
      <w:pPr>
        <w:spacing w:after="0" w:line="76" w:lineRule="exact"/>
        <w:rPr>
          <w:rFonts w:ascii="Arial" w:cs="Arial" w:eastAsia="Arial" w:hAnsi="Arial"/>
          <w:sz w:val="18"/>
          <w:szCs w:val="18"/>
          <w:color w:val="auto"/>
        </w:rPr>
      </w:pPr>
    </w:p>
    <w:p>
      <w:pPr>
        <w:ind w:left="660" w:right="280"/>
        <w:spacing w:after="0" w:line="317" w:lineRule="auto"/>
        <w:rPr>
          <w:rFonts w:ascii="Arial" w:cs="Arial" w:eastAsia="Arial" w:hAnsi="Arial"/>
          <w:sz w:val="18"/>
          <w:szCs w:val="18"/>
          <w:color w:val="auto"/>
        </w:rPr>
      </w:pPr>
      <w:r>
        <w:rPr>
          <w:rFonts w:ascii="Arial" w:cs="Arial" w:eastAsia="Arial" w:hAnsi="Arial"/>
          <w:sz w:val="18"/>
          <w:szCs w:val="18"/>
          <w:color w:val="auto"/>
        </w:rPr>
        <w:t xml:space="preserve">pursuant to </w:t>
      </w:r>
      <w:r>
        <w:rPr>
          <w:rFonts w:ascii="Arial" w:cs="Arial" w:eastAsia="Arial" w:hAnsi="Arial"/>
          <w:sz w:val="18"/>
          <w:szCs w:val="18"/>
          <w:u w:val="single" w:color="auto"/>
          <w:color w:val="auto"/>
        </w:rPr>
        <w:t>Sections 1.11(b)</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(c)</w:t>
      </w:r>
      <w:r>
        <w:rPr>
          <w:rFonts w:ascii="Arial" w:cs="Arial" w:eastAsia="Arial" w:hAnsi="Arial"/>
          <w:sz w:val="18"/>
          <w:szCs w:val="18"/>
          <w:color w:val="auto"/>
        </w:rPr>
        <w:t xml:space="preserve"> and subject to </w:t>
      </w:r>
      <w:r>
        <w:rPr>
          <w:rFonts w:ascii="Arial" w:cs="Arial" w:eastAsia="Arial" w:hAnsi="Arial"/>
          <w:sz w:val="18"/>
          <w:szCs w:val="18"/>
          <w:u w:val="single" w:color="auto"/>
          <w:color w:val="auto"/>
        </w:rPr>
        <w:t>Article V</w:t>
      </w:r>
      <w:r>
        <w:rPr>
          <w:rFonts w:ascii="Arial" w:cs="Arial" w:eastAsia="Arial" w:hAnsi="Arial"/>
          <w:sz w:val="18"/>
          <w:szCs w:val="18"/>
          <w:color w:val="auto"/>
        </w:rPr>
        <w:t xml:space="preserve"> hereof, waive any requirement for any other document or instrument, including any Assignment and Assumption (as defined in the Existing Credit Agreement) under the Existing Credit Agreement or Assignment and Assumption hereunder, necessary to give effect to any reallocation or assignment. On the Closing Date the Lenders shall make full cash settlement with each other (and with the Existing Lenders who elect not to become Lenders under this Credit Agreement or who reduce their commitments in connection with this Credit Agreement) through the Administrative Agent, as the Administrative Agent may direct or approve, with respect to all assignments and reallocations in Commitments as reflected in this </w:t>
      </w:r>
      <w:r>
        <w:rPr>
          <w:rFonts w:ascii="Arial" w:cs="Arial" w:eastAsia="Arial" w:hAnsi="Arial"/>
          <w:sz w:val="18"/>
          <w:szCs w:val="18"/>
          <w:u w:val="single" w:color="auto"/>
          <w:color w:val="auto"/>
        </w:rPr>
        <w:t>Section 1.11</w:t>
      </w:r>
      <w:r>
        <w:rPr>
          <w:rFonts w:ascii="Arial" w:cs="Arial" w:eastAsia="Arial" w:hAnsi="Arial"/>
          <w:sz w:val="18"/>
          <w:szCs w:val="18"/>
          <w:color w:val="auto"/>
        </w:rPr>
        <w:t xml:space="preserve"> such that after giving effect to such settlements, (i) each Lender’s USD Revolving Commitment Percentage of the USD Revolving Commitments equals (with customary rounding) its USD Revolving Commitment Percentage of (A) the Outstanding Amount of all USD Revolving Loans, (B) the Outstanding Amount of all F/X Revolving Loans, (C) the Outstanding Amount of all Domestic L/C Obligations, and (D) the Outstanding Amount of all F/X L/C Obligations (each as defined in the Existing Credit Agreement); and (ii) each Lender’s India Revolving Commitment Percentage of the India Revolving Commitments equals (with customary rounding) its India Commitment Percentage of (A) the Outstanding Amount of all India Revolving Loans, and (B) the Outstanding Amount of all India L/C Obligations (each as defined in the Existing Credit Agreement).</w:t>
      </w:r>
    </w:p>
    <w:p>
      <w:pPr>
        <w:spacing w:after="0" w:line="173" w:lineRule="exact"/>
        <w:rPr>
          <w:rFonts w:ascii="Arial" w:cs="Arial" w:eastAsia="Arial" w:hAnsi="Arial"/>
          <w:sz w:val="18"/>
          <w:szCs w:val="18"/>
          <w:color w:val="auto"/>
        </w:rPr>
      </w:pPr>
    </w:p>
    <w:p>
      <w:pPr>
        <w:ind w:left="1720" w:hanging="415"/>
        <w:spacing w:after="0"/>
        <w:tabs>
          <w:tab w:leader="none" w:pos="1720" w:val="left"/>
        </w:tabs>
        <w:numPr>
          <w:ilvl w:val="0"/>
          <w:numId w:val="63"/>
        </w:numPr>
        <w:rPr>
          <w:rFonts w:ascii="Arial" w:cs="Arial" w:eastAsia="Arial" w:hAnsi="Arial"/>
          <w:sz w:val="18"/>
          <w:szCs w:val="18"/>
          <w:color w:val="auto"/>
        </w:rPr>
      </w:pPr>
      <w:r>
        <w:rPr>
          <w:rFonts w:ascii="Arial" w:cs="Arial" w:eastAsia="Arial" w:hAnsi="Arial"/>
          <w:sz w:val="18"/>
          <w:szCs w:val="18"/>
          <w:color w:val="auto"/>
        </w:rPr>
        <w:t>The parties hereto hereby agree that upon the effectiveness of this Credit Agreement, the terms and provisions of the</w:t>
      </w:r>
    </w:p>
    <w:p>
      <w:pPr>
        <w:spacing w:after="0" w:line="76" w:lineRule="exact"/>
        <w:rPr>
          <w:rFonts w:ascii="Arial" w:cs="Arial" w:eastAsia="Arial" w:hAnsi="Arial"/>
          <w:sz w:val="18"/>
          <w:szCs w:val="18"/>
          <w:color w:val="auto"/>
        </w:rPr>
      </w:pPr>
    </w:p>
    <w:p>
      <w:pPr>
        <w:ind w:left="660" w:right="80"/>
        <w:spacing w:after="0" w:line="305" w:lineRule="auto"/>
        <w:rPr>
          <w:rFonts w:ascii="Arial" w:cs="Arial" w:eastAsia="Arial" w:hAnsi="Arial"/>
          <w:sz w:val="18"/>
          <w:szCs w:val="18"/>
          <w:color w:val="auto"/>
        </w:rPr>
      </w:pPr>
      <w:r>
        <w:rPr>
          <w:rFonts w:ascii="Arial" w:cs="Arial" w:eastAsia="Arial" w:hAnsi="Arial"/>
          <w:sz w:val="19"/>
          <w:szCs w:val="19"/>
          <w:color w:val="auto"/>
        </w:rPr>
        <w:t>Existing Credit Agreement which in any manner govern or evidence the Obligations, the obligations of the Borrowers, Guarantors and the other Credit Parties, the rights and interests of the Administrative Agent, the Lenders and the L/C Issuers and any terms, conditions or matters related to any thereof, shall be and hereby are amended and restated in their entirety by the terms, conditions and provisions of this Credit Agreement, and the terms and provisions of the Existing Credit Agreement, except as otherwise expressly provided herein or therein, shall be superseded by this Credit Agreement.</w:t>
      </w:r>
    </w:p>
    <w:p>
      <w:pPr>
        <w:spacing w:after="0" w:line="394"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70</w:t>
      </w:r>
    </w:p>
    <w:p>
      <w:pPr>
        <w:spacing w:after="0" w:line="10" w:lineRule="exact"/>
        <w:rPr>
          <w:sz w:val="20"/>
          <w:szCs w:val="20"/>
          <w:color w:val="auto"/>
        </w:rPr>
      </w:pPr>
    </w:p>
    <w:p>
      <w:pPr>
        <w:spacing w:after="0"/>
        <w:rPr>
          <w:sz w:val="20"/>
          <w:szCs w:val="20"/>
          <w:color w:val="auto"/>
        </w:rPr>
      </w:pPr>
      <w:r>
        <w:rPr>
          <w:rFonts w:ascii="Arial" w:cs="Arial" w:eastAsia="Arial" w:hAnsi="Arial"/>
          <w:sz w:val="14"/>
          <w:szCs w:val="14"/>
          <w:color w:val="auto"/>
        </w:rPr>
        <w:t>CHAR1\1346423v</w:t>
      </w:r>
      <w:r>
        <w:rPr>
          <w:rFonts w:ascii="Arial" w:cs="Arial" w:eastAsia="Arial" w:hAnsi="Arial"/>
          <w:sz w:val="14"/>
          <w:szCs w:val="14"/>
          <w:color w:val="FF0000"/>
          <w:strike w:val="1"/>
        </w:rPr>
        <w:t>1</w:t>
      </w:r>
      <w:r>
        <w:rPr>
          <w:rFonts w:ascii="Arial" w:cs="Arial" w:eastAsia="Arial" w:hAnsi="Arial"/>
          <w:sz w:val="14"/>
          <w:szCs w:val="14"/>
          <w:u w:val="single" w:color="auto"/>
          <w:color w:val="0000FF"/>
        </w:rPr>
        <w:t>12</w:t>
      </w:r>
    </w:p>
    <w:p>
      <w:pPr>
        <w:sectPr>
          <w:pgSz w:w="11900" w:h="16838" w:orient="portrait"/>
          <w:cols w:equalWidth="0" w:num="1">
            <w:col w:w="11420"/>
          </w:cols>
          <w:pgMar w:left="240" w:top="609" w:right="239" w:bottom="1440" w:gutter="0" w:footer="0" w:header="0"/>
        </w:sectPr>
      </w:pPr>
    </w:p>
    <w:bookmarkStart w:id="122" w:name="page123"/>
    <w:bookmarkEnd w:id="122"/>
    <w:p>
      <w:pPr>
        <w:ind w:left="1700" w:hanging="395"/>
        <w:spacing w:after="0"/>
        <w:tabs>
          <w:tab w:leader="none" w:pos="1700" w:val="left"/>
        </w:tabs>
        <w:numPr>
          <w:ilvl w:val="0"/>
          <w:numId w:val="64"/>
        </w:numPr>
        <w:rPr>
          <w:rFonts w:ascii="Arial" w:cs="Arial" w:eastAsia="Arial" w:hAnsi="Arial"/>
          <w:sz w:val="18"/>
          <w:szCs w:val="18"/>
          <w:color w:val="auto"/>
        </w:rPr>
      </w:pPr>
      <w:r>
        <w:rPr>
          <w:rFonts w:ascii="Arial" w:cs="Arial" w:eastAsia="Arial" w:hAnsi="Arial"/>
          <w:sz w:val="18"/>
          <w:szCs w:val="18"/>
          <w:color w:val="auto"/>
        </w:rPr>
        <w:t xml:space="preserve">Notwithstanding this amendment and restatement of the Existing Credit Agreement, including anything in this </w:t>
      </w:r>
      <w:r>
        <w:rPr>
          <w:rFonts w:ascii="Arial" w:cs="Arial" w:eastAsia="Arial" w:hAnsi="Arial"/>
          <w:sz w:val="18"/>
          <w:szCs w:val="18"/>
          <w:u w:val="single" w:color="auto"/>
          <w:color w:val="auto"/>
        </w:rPr>
        <w:t>Section</w:t>
      </w:r>
    </w:p>
    <w:p>
      <w:pPr>
        <w:spacing w:after="0" w:line="76" w:lineRule="exact"/>
        <w:rPr>
          <w:rFonts w:ascii="Arial" w:cs="Arial" w:eastAsia="Arial" w:hAnsi="Arial"/>
          <w:sz w:val="18"/>
          <w:szCs w:val="18"/>
          <w:color w:val="auto"/>
        </w:rPr>
      </w:pPr>
    </w:p>
    <w:p>
      <w:pPr>
        <w:ind w:left="660"/>
        <w:spacing w:after="0" w:line="315" w:lineRule="auto"/>
        <w:rPr>
          <w:rFonts w:ascii="Arial" w:cs="Arial" w:eastAsia="Arial" w:hAnsi="Arial"/>
          <w:sz w:val="18"/>
          <w:szCs w:val="18"/>
          <w:color w:val="auto"/>
        </w:rPr>
      </w:pPr>
      <w:r>
        <w:rPr>
          <w:rFonts w:ascii="Arial" w:cs="Arial" w:eastAsia="Arial" w:hAnsi="Arial"/>
          <w:sz w:val="18"/>
          <w:szCs w:val="18"/>
          <w:u w:val="single" w:color="auto"/>
          <w:color w:val="auto"/>
        </w:rPr>
        <w:t>1.11</w:t>
      </w:r>
      <w:r>
        <w:rPr>
          <w:rFonts w:ascii="Arial" w:cs="Arial" w:eastAsia="Arial" w:hAnsi="Arial"/>
          <w:sz w:val="18"/>
          <w:szCs w:val="18"/>
          <w:color w:val="auto"/>
        </w:rPr>
        <w:t>, and in any related Credit Documents (as defined in the Existing Credit Agreement and referred to herein, individually or collectively, as the “</w:t>
      </w:r>
      <w:r>
        <w:rPr>
          <w:rFonts w:ascii="Arial" w:cs="Arial" w:eastAsia="Arial" w:hAnsi="Arial"/>
          <w:sz w:val="18"/>
          <w:szCs w:val="18"/>
          <w:u w:val="single" w:color="auto"/>
          <w:color w:val="auto"/>
        </w:rPr>
        <w:t>Existing Credit Documents</w:t>
      </w:r>
      <w:r>
        <w:rPr>
          <w:rFonts w:ascii="Arial" w:cs="Arial" w:eastAsia="Arial" w:hAnsi="Arial"/>
          <w:sz w:val="18"/>
          <w:szCs w:val="18"/>
          <w:color w:val="auto"/>
        </w:rPr>
        <w:t xml:space="preserve">”), (i) all of the indebtedness, liabilities and obligations owing by any Person under the Existing Credit Agreement and other Existing Credit Documents shall continue as Obligations hereunder, and (ii) each of this Credit Agreement and the Notes and any other Credit Document (as defined herein) that is amended and restated in connection with this Credit Agreement is given as a substitution of, and not as a payment of, the indebtedness, liabilities and obligations of the Borrowers, Guarantors or any other Credit Party under the Existing Credit Agreement or any Existing Credit Document and neither the execution and delivery of such documents nor the consummation of any other transaction contemplated hereunder is intended to constitute a novation of the Existing Credit Agreement or of any of the other Existing Credit Documents or any obligations thereunder. Upon the effectiveness of this Credit Agreement, unless otherwise agreed to and arranged by the Administrative Agent, (x) all Domestic Revolving Loans and F/X Revolving Loans (as defined in the Existing Credit Agreement) owing and outstanding under the Existing Credit Agreement shall be converted to and, subject to conversion after the Closing Date, shall continue as Fixed Rate LIBOR Rate Loans and Base Rate Loans, as the Borrowers may elect hereunder and shall constitute advances hereunder, (y) all India Revolving Loans (as defined in the Existing Credit Agreement) owing and outstanding under the Existing Credit Agreement shall be converted to, and, subject to conversion after the Closing Date, shall continue as Fixed LIBOR Rate loans as the Borrower may elect hereunder and shall constitute advances hereunder, and (z) all Letters of Credit (as defined in the Existing Credit Agreement) outstanding under the Existing Credit Agreement and any of the Existing Credit Documents, if any, shall continue as Letters of Credit hereunder; </w:t>
      </w:r>
      <w:r>
        <w:rPr>
          <w:rFonts w:ascii="Arial" w:cs="Arial" w:eastAsia="Arial" w:hAnsi="Arial"/>
          <w:sz w:val="18"/>
          <w:szCs w:val="18"/>
          <w:u w:val="single" w:color="auto"/>
          <w:color w:val="auto"/>
        </w:rPr>
        <w:t>provided</w:t>
      </w:r>
      <w:r>
        <w:rPr>
          <w:rFonts w:ascii="Arial" w:cs="Arial" w:eastAsia="Arial" w:hAnsi="Arial"/>
          <w:sz w:val="18"/>
          <w:szCs w:val="18"/>
          <w:color w:val="auto"/>
        </w:rPr>
        <w:t>, that on and after the Closing Date, the Applicable Percentage and fees applicable to Revolving Loans and Letters of Credit hereunder shall apply without regard to any margins or fees otherwise applicable thereto under the Existing Credit Agreement prior to the Closing Date (which fees and margins applicable prior to the Closing Date shall be paid in full on the Closing Date).</w:t>
      </w:r>
    </w:p>
    <w:p>
      <w:pPr>
        <w:spacing w:after="0" w:line="180" w:lineRule="exact"/>
        <w:rPr>
          <w:sz w:val="20"/>
          <w:szCs w:val="20"/>
          <w:color w:val="auto"/>
        </w:rPr>
      </w:pPr>
    </w:p>
    <w:p>
      <w:pPr>
        <w:jc w:val="center"/>
        <w:ind w:right="180"/>
        <w:spacing w:after="0"/>
        <w:rPr>
          <w:sz w:val="20"/>
          <w:szCs w:val="20"/>
          <w:color w:val="auto"/>
        </w:rPr>
      </w:pPr>
      <w:r>
        <w:rPr>
          <w:rFonts w:ascii="Arial" w:cs="Arial" w:eastAsia="Arial" w:hAnsi="Arial"/>
          <w:sz w:val="20"/>
          <w:szCs w:val="20"/>
          <w:b w:val="1"/>
          <w:bCs w:val="1"/>
          <w:color w:val="auto"/>
        </w:rPr>
        <w:t>ARTICLE II</w:t>
      </w:r>
    </w:p>
    <w:p>
      <w:pPr>
        <w:spacing w:after="0" w:line="324" w:lineRule="exact"/>
        <w:rPr>
          <w:sz w:val="20"/>
          <w:szCs w:val="20"/>
          <w:color w:val="auto"/>
        </w:rPr>
      </w:pPr>
    </w:p>
    <w:p>
      <w:pPr>
        <w:jc w:val="center"/>
        <w:ind w:right="-39"/>
        <w:spacing w:after="0"/>
        <w:rPr>
          <w:sz w:val="20"/>
          <w:szCs w:val="20"/>
          <w:color w:val="auto"/>
        </w:rPr>
      </w:pPr>
      <w:r>
        <w:rPr>
          <w:rFonts w:ascii="Arial" w:cs="Arial" w:eastAsia="Arial" w:hAnsi="Arial"/>
          <w:sz w:val="20"/>
          <w:szCs w:val="20"/>
          <w:b w:val="1"/>
          <w:bCs w:val="1"/>
          <w:color w:val="auto"/>
        </w:rPr>
        <w:t>COMMITMENTS AND CREDIT EXTENSIONS</w:t>
      </w:r>
    </w:p>
    <w:p>
      <w:pPr>
        <w:spacing w:after="0" w:line="262" w:lineRule="exact"/>
        <w:rPr>
          <w:sz w:val="20"/>
          <w:szCs w:val="20"/>
          <w:color w:val="auto"/>
        </w:rPr>
      </w:pPr>
    </w:p>
    <w:p>
      <w:pPr>
        <w:ind w:left="660"/>
        <w:spacing w:after="0"/>
        <w:tabs>
          <w:tab w:leader="none" w:pos="1160" w:val="left"/>
        </w:tabs>
        <w:rPr>
          <w:sz w:val="20"/>
          <w:szCs w:val="20"/>
          <w:color w:val="auto"/>
        </w:rPr>
      </w:pPr>
      <w:r>
        <w:rPr>
          <w:rFonts w:ascii="Arial" w:cs="Arial" w:eastAsia="Arial" w:hAnsi="Arial"/>
          <w:sz w:val="20"/>
          <w:szCs w:val="20"/>
          <w:color w:val="auto"/>
        </w:rPr>
        <w:t>2.01</w:t>
      </w:r>
      <w:r>
        <w:rPr>
          <w:sz w:val="20"/>
          <w:szCs w:val="20"/>
          <w:color w:val="auto"/>
        </w:rPr>
        <w:tab/>
      </w:r>
      <w:r>
        <w:rPr>
          <w:rFonts w:ascii="Arial" w:cs="Arial" w:eastAsia="Arial" w:hAnsi="Arial"/>
          <w:sz w:val="18"/>
          <w:szCs w:val="18"/>
          <w:u w:val="single" w:color="auto"/>
          <w:color w:val="auto"/>
        </w:rPr>
        <w:t>Commitments</w:t>
      </w:r>
      <w:r>
        <w:rPr>
          <w:rFonts w:ascii="Arial" w:cs="Arial" w:eastAsia="Arial" w:hAnsi="Arial"/>
          <w:sz w:val="18"/>
          <w:szCs w:val="18"/>
          <w:color w:val="auto"/>
        </w:rPr>
        <w:t>.</w:t>
      </w:r>
    </w:p>
    <w:p>
      <w:pPr>
        <w:spacing w:after="0" w:line="270" w:lineRule="exact"/>
        <w:rPr>
          <w:sz w:val="20"/>
          <w:szCs w:val="20"/>
          <w:color w:val="auto"/>
        </w:rPr>
      </w:pPr>
    </w:p>
    <w:p>
      <w:pPr>
        <w:ind w:left="1700" w:hanging="395"/>
        <w:spacing w:after="0"/>
        <w:tabs>
          <w:tab w:leader="none" w:pos="1700" w:val="left"/>
        </w:tabs>
        <w:numPr>
          <w:ilvl w:val="0"/>
          <w:numId w:val="65"/>
        </w:numPr>
        <w:rPr>
          <w:rFonts w:ascii="Arial" w:cs="Arial" w:eastAsia="Arial" w:hAnsi="Arial"/>
          <w:sz w:val="20"/>
          <w:szCs w:val="20"/>
          <w:color w:val="auto"/>
        </w:rPr>
      </w:pPr>
      <w:r>
        <w:rPr>
          <w:rFonts w:ascii="Arial" w:cs="Arial" w:eastAsia="Arial" w:hAnsi="Arial"/>
          <w:sz w:val="20"/>
          <w:szCs w:val="20"/>
          <w:u w:val="single" w:color="auto"/>
          <w:color w:val="auto"/>
        </w:rPr>
        <w:t>USD Revolving Commitments</w:t>
      </w:r>
      <w:r>
        <w:rPr>
          <w:rFonts w:ascii="Arial" w:cs="Arial" w:eastAsia="Arial" w:hAnsi="Arial"/>
          <w:sz w:val="20"/>
          <w:szCs w:val="20"/>
          <w:color w:val="auto"/>
        </w:rPr>
        <w:t>. During the Commitment Period,</w:t>
      </w:r>
    </w:p>
    <w:p>
      <w:pPr>
        <w:spacing w:after="0" w:line="283" w:lineRule="exact"/>
        <w:rPr>
          <w:rFonts w:ascii="Arial" w:cs="Arial" w:eastAsia="Arial" w:hAnsi="Arial"/>
          <w:sz w:val="20"/>
          <w:szCs w:val="20"/>
          <w:color w:val="auto"/>
        </w:rPr>
      </w:pPr>
    </w:p>
    <w:p>
      <w:pPr>
        <w:jc w:val="both"/>
        <w:ind w:left="1300" w:right="180" w:firstLine="653"/>
        <w:spacing w:after="0" w:line="311" w:lineRule="auto"/>
        <w:tabs>
          <w:tab w:leader="none" w:pos="2332" w:val="left"/>
        </w:tabs>
        <w:numPr>
          <w:ilvl w:val="1"/>
          <w:numId w:val="65"/>
        </w:numPr>
        <w:rPr>
          <w:rFonts w:ascii="Arial" w:cs="Arial" w:eastAsia="Arial" w:hAnsi="Arial"/>
          <w:sz w:val="22"/>
          <w:szCs w:val="22"/>
          <w:color w:val="auto"/>
        </w:rPr>
      </w:pPr>
      <w:r>
        <w:rPr>
          <w:rFonts w:ascii="Arial" w:cs="Arial" w:eastAsia="Arial" w:hAnsi="Arial"/>
          <w:sz w:val="20"/>
          <w:szCs w:val="20"/>
          <w:u w:val="single" w:color="auto"/>
          <w:color w:val="auto"/>
        </w:rPr>
        <w:t>USD Revolving Loans</w:t>
      </w:r>
      <w:r>
        <w:rPr>
          <w:rFonts w:ascii="Arial" w:cs="Arial" w:eastAsia="Arial" w:hAnsi="Arial"/>
          <w:sz w:val="20"/>
          <w:szCs w:val="20"/>
          <w:color w:val="auto"/>
        </w:rPr>
        <w:t>. The USD Revolving Lenders severally agree to make revolving credit loans (the “</w:t>
      </w:r>
      <w:r>
        <w:rPr>
          <w:rFonts w:ascii="Arial" w:cs="Arial" w:eastAsia="Arial" w:hAnsi="Arial"/>
          <w:sz w:val="20"/>
          <w:szCs w:val="20"/>
          <w:u w:val="single" w:color="auto"/>
          <w:color w:val="auto"/>
        </w:rPr>
        <w:t>USD</w:t>
      </w:r>
      <w:r>
        <w:rPr>
          <w:rFonts w:ascii="Arial" w:cs="Arial" w:eastAsia="Arial" w:hAnsi="Arial"/>
          <w:sz w:val="20"/>
          <w:szCs w:val="20"/>
          <w:color w:val="auto"/>
        </w:rPr>
        <w:t xml:space="preserve"> </w:t>
      </w:r>
      <w:r>
        <w:rPr>
          <w:rFonts w:ascii="Arial" w:cs="Arial" w:eastAsia="Arial" w:hAnsi="Arial"/>
          <w:sz w:val="20"/>
          <w:szCs w:val="20"/>
          <w:u w:val="single" w:color="auto"/>
          <w:color w:val="auto"/>
        </w:rPr>
        <w:t>Revolving Loans</w:t>
      </w:r>
      <w:r>
        <w:rPr>
          <w:rFonts w:ascii="Arial" w:cs="Arial" w:eastAsia="Arial" w:hAnsi="Arial"/>
          <w:sz w:val="20"/>
          <w:szCs w:val="20"/>
          <w:color w:val="auto"/>
        </w:rPr>
        <w:t xml:space="preserve">”) to the applicable Borrowers in Dollars, from time to time, on any Business Day, in an aggregate principal amount of up to </w:t>
      </w:r>
      <w:r>
        <w:rPr>
          <w:rFonts w:ascii="Arial" w:cs="Arial" w:eastAsia="Arial" w:hAnsi="Arial"/>
          <w:sz w:val="20"/>
          <w:szCs w:val="20"/>
          <w:color w:val="FF0000"/>
          <w:strike w:val="1"/>
        </w:rPr>
        <w:t>TWO</w:t>
      </w:r>
      <w:r>
        <w:rPr>
          <w:rFonts w:ascii="Arial" w:cs="Arial" w:eastAsia="Arial" w:hAnsi="Arial"/>
          <w:sz w:val="20"/>
          <w:szCs w:val="20"/>
          <w:u w:val="single" w:color="auto"/>
          <w:color w:val="0000FF"/>
        </w:rPr>
        <w:t>FIVE</w:t>
      </w:r>
      <w:r>
        <w:rPr>
          <w:rFonts w:ascii="Arial" w:cs="Arial" w:eastAsia="Arial" w:hAnsi="Arial"/>
          <w:sz w:val="20"/>
          <w:szCs w:val="20"/>
          <w:color w:val="auto"/>
        </w:rPr>
        <w:t xml:space="preserve"> HUNDRED </w:t>
      </w:r>
      <w:r>
        <w:rPr>
          <w:rFonts w:ascii="Arial" w:cs="Arial" w:eastAsia="Arial" w:hAnsi="Arial"/>
          <w:sz w:val="20"/>
          <w:szCs w:val="20"/>
          <w:color w:val="FF0000"/>
          <w:strike w:val="1"/>
        </w:rPr>
        <w:t>SIXTY-FIVE</w:t>
      </w:r>
      <w:r>
        <w:rPr>
          <w:rFonts w:ascii="Arial" w:cs="Arial" w:eastAsia="Arial" w:hAnsi="Arial"/>
          <w:sz w:val="20"/>
          <w:szCs w:val="20"/>
          <w:u w:val="single" w:color="auto"/>
          <w:color w:val="0000FF"/>
        </w:rPr>
        <w:t>NINETY</w:t>
      </w:r>
      <w:r>
        <w:rPr>
          <w:rFonts w:ascii="Arial" w:cs="Arial" w:eastAsia="Arial" w:hAnsi="Arial"/>
          <w:sz w:val="20"/>
          <w:szCs w:val="20"/>
          <w:color w:val="auto"/>
        </w:rPr>
        <w:t xml:space="preserve"> MILLION DOLLARS ($</w:t>
      </w:r>
      <w:r>
        <w:rPr>
          <w:rFonts w:ascii="Arial" w:cs="Arial" w:eastAsia="Arial" w:hAnsi="Arial"/>
          <w:sz w:val="20"/>
          <w:szCs w:val="20"/>
          <w:color w:val="FF0000"/>
          <w:strike w:val="1"/>
        </w:rPr>
        <w:t>265,000,000</w:t>
      </w:r>
      <w:r>
        <w:rPr>
          <w:rFonts w:ascii="Arial" w:cs="Arial" w:eastAsia="Arial" w:hAnsi="Arial"/>
          <w:sz w:val="20"/>
          <w:szCs w:val="20"/>
          <w:u w:val="single" w:color="auto"/>
          <w:color w:val="0000FF"/>
        </w:rPr>
        <w:t>590,000,000</w:t>
      </w:r>
      <w:r>
        <w:rPr>
          <w:rFonts w:ascii="Arial" w:cs="Arial" w:eastAsia="Arial" w:hAnsi="Arial"/>
          <w:sz w:val="20"/>
          <w:szCs w:val="20"/>
          <w:color w:val="auto"/>
        </w:rPr>
        <w:t>) (as such amount may be increased or decreased in</w:t>
      </w:r>
    </w:p>
    <w:p>
      <w:pPr>
        <w:spacing w:after="0" w:line="399" w:lineRule="exact"/>
        <w:rPr>
          <w:sz w:val="20"/>
          <w:szCs w:val="20"/>
          <w:color w:val="auto"/>
        </w:rPr>
      </w:pPr>
    </w:p>
    <w:p>
      <w:pPr>
        <w:jc w:val="center"/>
        <w:ind w:right="-39"/>
        <w:spacing w:after="0"/>
        <w:rPr>
          <w:sz w:val="20"/>
          <w:szCs w:val="20"/>
          <w:color w:val="auto"/>
        </w:rPr>
      </w:pPr>
      <w:r>
        <w:rPr>
          <w:rFonts w:ascii="Arial" w:cs="Arial" w:eastAsia="Arial" w:hAnsi="Arial"/>
          <w:sz w:val="20"/>
          <w:szCs w:val="20"/>
          <w:color w:val="auto"/>
        </w:rPr>
        <w:t>71</w:t>
      </w:r>
    </w:p>
    <w:p>
      <w:pPr>
        <w:spacing w:after="0" w:line="10" w:lineRule="exact"/>
        <w:rPr>
          <w:sz w:val="20"/>
          <w:szCs w:val="20"/>
          <w:color w:val="auto"/>
        </w:rPr>
      </w:pPr>
    </w:p>
    <w:p>
      <w:pPr>
        <w:spacing w:after="0"/>
        <w:rPr>
          <w:sz w:val="20"/>
          <w:szCs w:val="20"/>
          <w:color w:val="auto"/>
        </w:rPr>
      </w:pPr>
      <w:r>
        <w:rPr>
          <w:rFonts w:ascii="Arial" w:cs="Arial" w:eastAsia="Arial" w:hAnsi="Arial"/>
          <w:sz w:val="14"/>
          <w:szCs w:val="14"/>
          <w:color w:val="auto"/>
        </w:rPr>
        <w:t>CHAR1\1346423v</w:t>
      </w:r>
      <w:r>
        <w:rPr>
          <w:rFonts w:ascii="Arial" w:cs="Arial" w:eastAsia="Arial" w:hAnsi="Arial"/>
          <w:sz w:val="14"/>
          <w:szCs w:val="14"/>
          <w:color w:val="FF0000"/>
          <w:strike w:val="1"/>
        </w:rPr>
        <w:t>1</w:t>
      </w:r>
      <w:r>
        <w:rPr>
          <w:rFonts w:ascii="Arial" w:cs="Arial" w:eastAsia="Arial" w:hAnsi="Arial"/>
          <w:sz w:val="14"/>
          <w:szCs w:val="14"/>
          <w:u w:val="single" w:color="auto"/>
          <w:color w:val="0000FF"/>
        </w:rPr>
        <w:t>12</w:t>
      </w:r>
    </w:p>
    <w:p>
      <w:pPr>
        <w:sectPr>
          <w:pgSz w:w="11900" w:h="16838" w:orient="portrait"/>
          <w:cols w:equalWidth="0" w:num="1">
            <w:col w:w="11380"/>
          </w:cols>
          <w:pgMar w:left="240" w:top="609" w:right="279" w:bottom="1440" w:gutter="0" w:footer="0" w:header="0"/>
        </w:sectPr>
      </w:pPr>
    </w:p>
    <w:bookmarkStart w:id="123" w:name="page124"/>
    <w:bookmarkEnd w:id="123"/>
    <w:p>
      <w:pPr>
        <w:ind w:left="1300"/>
        <w:spacing w:after="0"/>
        <w:rPr>
          <w:sz w:val="20"/>
          <w:szCs w:val="20"/>
          <w:color w:val="auto"/>
        </w:rPr>
      </w:pPr>
      <w:r>
        <w:rPr>
          <w:rFonts w:ascii="Arial" w:cs="Arial" w:eastAsia="Arial" w:hAnsi="Arial"/>
          <w:sz w:val="20"/>
          <w:szCs w:val="20"/>
          <w:color w:val="auto"/>
        </w:rPr>
        <w:t>accordance with the provisions hereof, the “</w:t>
      </w:r>
      <w:r>
        <w:rPr>
          <w:rFonts w:ascii="Arial" w:cs="Arial" w:eastAsia="Arial" w:hAnsi="Arial"/>
          <w:sz w:val="20"/>
          <w:szCs w:val="20"/>
          <w:u w:val="single" w:color="auto"/>
          <w:color w:val="auto"/>
        </w:rPr>
        <w:t>Aggregate USD Revolving Committed Amount</w:t>
      </w:r>
      <w:r>
        <w:rPr>
          <w:rFonts w:ascii="Arial" w:cs="Arial" w:eastAsia="Arial" w:hAnsi="Arial"/>
          <w:sz w:val="20"/>
          <w:szCs w:val="20"/>
          <w:color w:val="auto"/>
        </w:rPr>
        <w:t>”);</w:t>
      </w:r>
    </w:p>
    <w:p>
      <w:pPr>
        <w:spacing w:after="0" w:line="270" w:lineRule="exact"/>
        <w:rPr>
          <w:sz w:val="20"/>
          <w:szCs w:val="20"/>
          <w:color w:val="auto"/>
        </w:rPr>
      </w:pPr>
    </w:p>
    <w:p>
      <w:pPr>
        <w:ind w:left="1300" w:firstLine="653"/>
        <w:spacing w:after="0" w:line="310" w:lineRule="auto"/>
        <w:tabs>
          <w:tab w:leader="none" w:pos="2392" w:val="left"/>
        </w:tabs>
        <w:numPr>
          <w:ilvl w:val="0"/>
          <w:numId w:val="66"/>
        </w:numPr>
        <w:rPr>
          <w:rFonts w:ascii="Arial" w:cs="Arial" w:eastAsia="Arial" w:hAnsi="Arial"/>
          <w:sz w:val="22"/>
          <w:szCs w:val="22"/>
          <w:color w:val="auto"/>
        </w:rPr>
      </w:pPr>
      <w:r>
        <w:rPr>
          <w:rFonts w:ascii="Arial" w:cs="Arial" w:eastAsia="Arial" w:hAnsi="Arial"/>
          <w:sz w:val="20"/>
          <w:szCs w:val="20"/>
          <w:u w:val="single" w:color="auto"/>
          <w:color w:val="auto"/>
        </w:rPr>
        <w:t>USD Letters of Credit</w:t>
      </w:r>
      <w:r>
        <w:rPr>
          <w:rFonts w:ascii="Arial" w:cs="Arial" w:eastAsia="Arial" w:hAnsi="Arial"/>
          <w:sz w:val="20"/>
          <w:szCs w:val="20"/>
          <w:color w:val="auto"/>
        </w:rPr>
        <w:t>. (A) The USD L/C Issuer, in reliance upon the commitments of the USD Revolving Lenders set forth herein, agrees (I) to issue USD Letters of Credit denominated in Dollars and in Alternative Currencies for the account of the applicable Borrowers and other members of the Consolidated Group on any Business Day, (II) to amend or extend USD Letters of Credit previously issued hereunder, and (III) to honor drawings under USD Letters of Credit; and (B) the USD Revolving Lenders severally agree to purchase from the USD L/C Issuer a participation interest in the Existing USD Letters of Credit and USD Letters of Credit issued hereunder in an amount equal to such Lender’s USD Revolving Commitment Percentage thereof, in an aggregate principal amount up to TWO HUNDRED MILLION DOLLARS ($200,000,000) (as such amount may be decreased in accordance with the provisions hereof, the “</w:t>
      </w:r>
      <w:r>
        <w:rPr>
          <w:rFonts w:ascii="Arial" w:cs="Arial" w:eastAsia="Arial" w:hAnsi="Arial"/>
          <w:sz w:val="20"/>
          <w:szCs w:val="20"/>
          <w:u w:val="single" w:color="auto"/>
          <w:color w:val="auto"/>
        </w:rPr>
        <w:t>USD L/C Sublimit</w:t>
      </w:r>
      <w:r>
        <w:rPr>
          <w:rFonts w:ascii="Arial" w:cs="Arial" w:eastAsia="Arial" w:hAnsi="Arial"/>
          <w:sz w:val="20"/>
          <w:szCs w:val="20"/>
          <w:color w:val="auto"/>
        </w:rPr>
        <w:t xml:space="preserve">”),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(i) the Outstanding Amount of USD L/C Obligations shall not exceed the USD L/C Sublimit, and (ii) for any USD L/C Issuer, the Outstanding Amount of USD L/C Obligations shall not exceed the amount of such USD L/C Issuer’s USD L/C Commitment;</w:t>
      </w:r>
    </w:p>
    <w:p>
      <w:pPr>
        <w:spacing w:after="0" w:line="200" w:lineRule="exact"/>
        <w:rPr>
          <w:rFonts w:ascii="Arial" w:cs="Arial" w:eastAsia="Arial" w:hAnsi="Arial"/>
          <w:sz w:val="22"/>
          <w:szCs w:val="22"/>
          <w:color w:val="auto"/>
        </w:rPr>
      </w:pPr>
    </w:p>
    <w:p>
      <w:pPr>
        <w:ind w:left="1300" w:firstLine="653"/>
        <w:spacing w:after="0" w:line="328" w:lineRule="auto"/>
        <w:tabs>
          <w:tab w:leader="none" w:pos="2452" w:val="left"/>
        </w:tabs>
        <w:numPr>
          <w:ilvl w:val="0"/>
          <w:numId w:val="66"/>
        </w:numPr>
        <w:rPr>
          <w:rFonts w:ascii="Arial" w:cs="Arial" w:eastAsia="Arial" w:hAnsi="Arial"/>
          <w:sz w:val="21"/>
          <w:szCs w:val="21"/>
          <w:color w:val="auto"/>
        </w:rPr>
      </w:pPr>
      <w:r>
        <w:rPr>
          <w:rFonts w:ascii="Arial" w:cs="Arial" w:eastAsia="Arial" w:hAnsi="Arial"/>
          <w:sz w:val="19"/>
          <w:szCs w:val="19"/>
          <w:u w:val="single" w:color="auto"/>
          <w:color w:val="auto"/>
        </w:rPr>
        <w:t>USD Swingline Loans</w:t>
      </w:r>
      <w:r>
        <w:rPr>
          <w:rFonts w:ascii="Arial" w:cs="Arial" w:eastAsia="Arial" w:hAnsi="Arial"/>
          <w:sz w:val="19"/>
          <w:szCs w:val="19"/>
          <w:color w:val="auto"/>
        </w:rPr>
        <w:t>. Unless (i) any USD Revolving Lender is a Defaulting Lender and (ii) the USD Swingline Lender has not entered into arrangements satisfactory to it with the applicable Borrowers or such Defaulting Lender to eliminate the Swingline Lender’s exposure with respect thereto, the USD Swingline Lender may in its sole discretion, make revolving credit loans (the “</w:t>
      </w:r>
      <w:r>
        <w:rPr>
          <w:rFonts w:ascii="Arial" w:cs="Arial" w:eastAsia="Arial" w:hAnsi="Arial"/>
          <w:sz w:val="19"/>
          <w:szCs w:val="19"/>
          <w:u w:val="single" w:color="auto"/>
          <w:color w:val="auto"/>
        </w:rPr>
        <w:t>USD Swingline Loans</w:t>
      </w:r>
      <w:r>
        <w:rPr>
          <w:rFonts w:ascii="Arial" w:cs="Arial" w:eastAsia="Arial" w:hAnsi="Arial"/>
          <w:sz w:val="19"/>
          <w:szCs w:val="19"/>
          <w:color w:val="auto"/>
        </w:rPr>
        <w:t>”) to the applicable Borrowers in Dollars on any Business Day in an aggregate principal amount of up to TWENTY-FIVE MILLION DOLLARS ($25,000,000) (as such amount may be decreased in accordance with the provisions hereof, the “</w:t>
      </w:r>
      <w:r>
        <w:rPr>
          <w:rFonts w:ascii="Arial" w:cs="Arial" w:eastAsia="Arial" w:hAnsi="Arial"/>
          <w:sz w:val="19"/>
          <w:szCs w:val="19"/>
          <w:u w:val="single" w:color="auto"/>
          <w:color w:val="auto"/>
        </w:rPr>
        <w:t>USD Swingline Sublimit</w:t>
      </w:r>
      <w:r>
        <w:rPr>
          <w:rFonts w:ascii="Arial" w:cs="Arial" w:eastAsia="Arial" w:hAnsi="Arial"/>
          <w:sz w:val="19"/>
          <w:szCs w:val="19"/>
          <w:color w:val="auto"/>
        </w:rPr>
        <w:t xml:space="preserv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(i) the Outstanding Amount of USD Swingline Loans shall not exceed the USD Swingline Sublimit, and (ii) the Outstanding Amount of Master Swingline Loans shall not exceed the Master Swingline Sublimit;</w:t>
      </w:r>
    </w:p>
    <w:p>
      <w:pPr>
        <w:spacing w:after="0" w:line="146" w:lineRule="exact"/>
        <w:rPr>
          <w:sz w:val="20"/>
          <w:szCs w:val="20"/>
          <w:color w:val="auto"/>
        </w:rPr>
      </w:pPr>
    </w:p>
    <w:p>
      <w:pPr>
        <w:spacing w:after="0" w:line="242" w:lineRule="auto"/>
        <w:rPr>
          <w:sz w:val="20"/>
          <w:szCs w:val="20"/>
          <w:color w:val="auto"/>
        </w:rPr>
      </w:pPr>
      <w:r>
        <w:rPr>
          <w:rFonts w:ascii="Arial" w:cs="Arial" w:eastAsia="Arial" w:hAnsi="Arial"/>
          <w:sz w:val="20"/>
          <w:szCs w:val="20"/>
          <w:color w:val="auto"/>
        </w:rPr>
        <w:t xml:space="preserve">and, </w:t>
      </w:r>
      <w:r>
        <w:rPr>
          <w:rFonts w:ascii="Arial" w:cs="Arial" w:eastAsia="Arial" w:hAnsi="Arial"/>
          <w:sz w:val="20"/>
          <w:szCs w:val="20"/>
          <w:u w:val="single" w:color="auto"/>
          <w:color w:val="auto"/>
        </w:rPr>
        <w:t>provided further</w:t>
      </w:r>
      <w:r>
        <w:rPr>
          <w:rFonts w:ascii="Arial" w:cs="Arial" w:eastAsia="Arial" w:hAnsi="Arial"/>
          <w:sz w:val="20"/>
          <w:szCs w:val="20"/>
          <w:color w:val="auto"/>
        </w:rPr>
        <w:t xml:space="preserve"> that, in each case, (A) the aggregate Outstanding Amount of USD Revolving Loan Obligations shall not exceed the Aggregate USD Revolving Committed Amount, (B) the aggregate Outstanding Amount of Master Revolving Loan Obligations shall not exceed the Aggregate Master Revolving Committed Amount, (C) with regard to each USD Revolving Lender individually, (i) such Lender’s USD Revolving Commitment Percentage of USD Revolving Loan Obligations shall not exceed its respective USD Revolving Committed Amount, and (ii) such Lender’s USD Revolving Commitment Percentage of USD Revolving Obligations plus its European Revolving Commitment Percentage of European Revolving Loan Obligations plus its Australian Revolving Commitment Percentage of its Australian Revolving Loan Obligations shall not exceed its respective Master Revolving Committed Amount, and (D) for any particular Borrower, the aggregate Outstanding Amount of all USD Revolving Loan Obligations to or for such Borrower will not exceed its respective Designated Borrower Limit.</w:t>
      </w:r>
    </w:p>
    <w:p>
      <w:pPr>
        <w:spacing w:after="0" w:line="236" w:lineRule="exact"/>
        <w:rPr>
          <w:sz w:val="20"/>
          <w:szCs w:val="20"/>
          <w:color w:val="auto"/>
        </w:rPr>
      </w:pPr>
    </w:p>
    <w:p>
      <w:pPr>
        <w:ind w:left="1300" w:right="520" w:firstLine="653"/>
        <w:spacing w:after="0" w:line="321" w:lineRule="auto"/>
        <w:tabs>
          <w:tab w:leader="none" w:pos="2440" w:val="left"/>
        </w:tabs>
        <w:numPr>
          <w:ilvl w:val="0"/>
          <w:numId w:val="67"/>
        </w:numPr>
        <w:rPr>
          <w:rFonts w:ascii="Arial" w:cs="Arial" w:eastAsia="Arial" w:hAnsi="Arial"/>
          <w:sz w:val="22"/>
          <w:szCs w:val="22"/>
          <w:color w:val="auto"/>
        </w:rPr>
      </w:pPr>
      <w:r>
        <w:rPr>
          <w:rFonts w:ascii="Arial" w:cs="Arial" w:eastAsia="Arial" w:hAnsi="Arial"/>
          <w:sz w:val="20"/>
          <w:szCs w:val="20"/>
          <w:u w:val="single" w:color="auto"/>
          <w:color w:val="auto"/>
        </w:rPr>
        <w:t>Additional Provisions Relating to USD Revolving Loans</w:t>
      </w:r>
      <w:r>
        <w:rPr>
          <w:rFonts w:ascii="Arial" w:cs="Arial" w:eastAsia="Arial" w:hAnsi="Arial"/>
          <w:sz w:val="20"/>
          <w:szCs w:val="20"/>
          <w:color w:val="auto"/>
        </w:rPr>
        <w:t>. USD Revolving Loans may consist of Base Rate Loans, Floating LIBOR Rate Loans and Fixed</w:t>
      </w:r>
    </w:p>
    <w:p>
      <w:pPr>
        <w:spacing w:after="0" w:line="38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72</w:t>
      </w:r>
    </w:p>
    <w:p>
      <w:pPr>
        <w:spacing w:after="0" w:line="10" w:lineRule="exact"/>
        <w:rPr>
          <w:sz w:val="20"/>
          <w:szCs w:val="20"/>
          <w:color w:val="auto"/>
        </w:rPr>
      </w:pPr>
    </w:p>
    <w:p>
      <w:pPr>
        <w:spacing w:after="0"/>
        <w:rPr>
          <w:sz w:val="20"/>
          <w:szCs w:val="20"/>
          <w:color w:val="auto"/>
        </w:rPr>
      </w:pPr>
      <w:r>
        <w:rPr>
          <w:rFonts w:ascii="Arial" w:cs="Arial" w:eastAsia="Arial" w:hAnsi="Arial"/>
          <w:sz w:val="14"/>
          <w:szCs w:val="14"/>
          <w:color w:val="auto"/>
        </w:rPr>
        <w:t>CHAR1\1346423v</w:t>
      </w:r>
      <w:r>
        <w:rPr>
          <w:rFonts w:ascii="Arial" w:cs="Arial" w:eastAsia="Arial" w:hAnsi="Arial"/>
          <w:sz w:val="14"/>
          <w:szCs w:val="14"/>
          <w:color w:val="FF0000"/>
          <w:strike w:val="1"/>
        </w:rPr>
        <w:t>1</w:t>
      </w:r>
      <w:r>
        <w:rPr>
          <w:rFonts w:ascii="Arial" w:cs="Arial" w:eastAsia="Arial" w:hAnsi="Arial"/>
          <w:sz w:val="14"/>
          <w:szCs w:val="14"/>
          <w:u w:val="single" w:color="auto"/>
          <w:color w:val="0000FF"/>
        </w:rPr>
        <w:t>12</w:t>
      </w:r>
    </w:p>
    <w:p>
      <w:pPr>
        <w:sectPr>
          <w:pgSz w:w="11900" w:h="16838" w:orient="portrait"/>
          <w:cols w:equalWidth="0" w:num="1">
            <w:col w:w="11420"/>
          </w:cols>
          <w:pgMar w:left="240" w:top="609" w:right="239" w:bottom="1440" w:gutter="0" w:footer="0" w:header="0"/>
        </w:sectPr>
      </w:pPr>
    </w:p>
    <w:bookmarkStart w:id="124" w:name="page125"/>
    <w:bookmarkEnd w:id="124"/>
    <w:p>
      <w:pPr>
        <w:ind w:left="1300" w:right="140"/>
        <w:spacing w:after="0" w:line="303" w:lineRule="auto"/>
        <w:rPr>
          <w:sz w:val="20"/>
          <w:szCs w:val="20"/>
          <w:color w:val="auto"/>
        </w:rPr>
      </w:pPr>
      <w:r>
        <w:rPr>
          <w:rFonts w:ascii="Arial" w:cs="Arial" w:eastAsia="Arial" w:hAnsi="Arial"/>
          <w:sz w:val="20"/>
          <w:szCs w:val="20"/>
          <w:color w:val="auto"/>
        </w:rPr>
        <w:t>LIBOR Rate Loans, or a combination thereof, as the applicable Borrowers may request, and may be repaid and reborrowed in accordance with the provisions hereof.</w:t>
      </w:r>
    </w:p>
    <w:p>
      <w:pPr>
        <w:spacing w:after="0" w:line="189" w:lineRule="exact"/>
        <w:rPr>
          <w:sz w:val="20"/>
          <w:szCs w:val="20"/>
          <w:color w:val="auto"/>
        </w:rPr>
      </w:pPr>
    </w:p>
    <w:p>
      <w:pPr>
        <w:ind w:left="1300" w:right="160" w:firstLine="653"/>
        <w:spacing w:after="0" w:line="311" w:lineRule="auto"/>
        <w:tabs>
          <w:tab w:leader="none" w:pos="2380" w:val="left"/>
        </w:tabs>
        <w:numPr>
          <w:ilvl w:val="1"/>
          <w:numId w:val="68"/>
        </w:numPr>
        <w:rPr>
          <w:rFonts w:ascii="Arial" w:cs="Arial" w:eastAsia="Arial" w:hAnsi="Arial"/>
          <w:sz w:val="22"/>
          <w:szCs w:val="22"/>
          <w:color w:val="auto"/>
        </w:rPr>
      </w:pPr>
      <w:r>
        <w:rPr>
          <w:rFonts w:ascii="Arial" w:cs="Arial" w:eastAsia="Arial" w:hAnsi="Arial"/>
          <w:sz w:val="20"/>
          <w:szCs w:val="20"/>
          <w:u w:val="single" w:color="auto"/>
          <w:color w:val="auto"/>
        </w:rPr>
        <w:t>Additional Provisions Relating to USD Letters of Credit</w:t>
      </w:r>
      <w:r>
        <w:rPr>
          <w:rFonts w:ascii="Arial" w:cs="Arial" w:eastAsia="Arial" w:hAnsi="Arial"/>
          <w:sz w:val="20"/>
          <w:szCs w:val="20"/>
          <w:color w:val="auto"/>
        </w:rPr>
        <w:t>. Subject to the terms and conditions hereof, each applicable Borrower’s ability to obtain USD Letters of Credit shall be fully revolving, and accordingly each such applicable Borrower may obtain USD Letters of Credit to replace USD Letters of Credit that have expired or that have been drawn upon and reimbursed. Existing USD Letters of Credit shall be deemed to have been issued hereunder and shall be subject to and governed by the terms and conditions hereof.</w:t>
      </w:r>
    </w:p>
    <w:p>
      <w:pPr>
        <w:spacing w:after="0" w:line="195" w:lineRule="exact"/>
        <w:rPr>
          <w:rFonts w:ascii="Arial" w:cs="Arial" w:eastAsia="Arial" w:hAnsi="Arial"/>
          <w:sz w:val="22"/>
          <w:szCs w:val="22"/>
          <w:color w:val="auto"/>
        </w:rPr>
      </w:pPr>
    </w:p>
    <w:p>
      <w:pPr>
        <w:ind w:left="1300" w:firstLine="653"/>
        <w:spacing w:after="0" w:line="330" w:lineRule="auto"/>
        <w:tabs>
          <w:tab w:leader="none" w:pos="2440" w:val="left"/>
        </w:tabs>
        <w:numPr>
          <w:ilvl w:val="1"/>
          <w:numId w:val="68"/>
        </w:numPr>
        <w:rPr>
          <w:rFonts w:ascii="Arial" w:cs="Arial" w:eastAsia="Arial" w:hAnsi="Arial"/>
          <w:sz w:val="21"/>
          <w:szCs w:val="21"/>
          <w:color w:val="auto"/>
        </w:rPr>
      </w:pPr>
      <w:r>
        <w:rPr>
          <w:rFonts w:ascii="Arial" w:cs="Arial" w:eastAsia="Arial" w:hAnsi="Arial"/>
          <w:sz w:val="19"/>
          <w:szCs w:val="19"/>
          <w:u w:val="single" w:color="auto"/>
          <w:color w:val="auto"/>
        </w:rPr>
        <w:t>Additional Provisions Relating to USD Swingline Loans</w:t>
      </w:r>
      <w:r>
        <w:rPr>
          <w:rFonts w:ascii="Arial" w:cs="Arial" w:eastAsia="Arial" w:hAnsi="Arial"/>
          <w:sz w:val="19"/>
          <w:szCs w:val="19"/>
          <w:color w:val="auto"/>
        </w:rPr>
        <w:t>. USD Swingline Loans shall be comprised solely of Base Rate Loans and may be repaid and reborrowed in accordance with the provisions hereof. Immediately upon the making of a USD Swingline Loan, each USD Revolving Lender shall be deemed to, and hereby irrevocably and unconditionally agrees to, purchase from the USD Swingline Lender a participation interest in such USD Swingline Loan in an amount equal to the product of such Lender’s USD Revolving Commitment Percentage thereof.</w:t>
      </w:r>
    </w:p>
    <w:p>
      <w:pPr>
        <w:spacing w:after="0" w:line="167" w:lineRule="exact"/>
        <w:rPr>
          <w:rFonts w:ascii="Arial" w:cs="Arial" w:eastAsia="Arial" w:hAnsi="Arial"/>
          <w:sz w:val="21"/>
          <w:szCs w:val="21"/>
          <w:color w:val="auto"/>
        </w:rPr>
      </w:pPr>
    </w:p>
    <w:p>
      <w:pPr>
        <w:ind w:left="1720" w:hanging="415"/>
        <w:spacing w:after="0"/>
        <w:tabs>
          <w:tab w:leader="none" w:pos="1720" w:val="left"/>
        </w:tabs>
        <w:numPr>
          <w:ilvl w:val="0"/>
          <w:numId w:val="69"/>
        </w:numPr>
        <w:rPr>
          <w:rFonts w:ascii="Arial" w:cs="Arial" w:eastAsia="Arial" w:hAnsi="Arial"/>
          <w:sz w:val="20"/>
          <w:szCs w:val="20"/>
          <w:color w:val="auto"/>
        </w:rPr>
      </w:pPr>
      <w:r>
        <w:rPr>
          <w:rFonts w:ascii="Arial" w:cs="Arial" w:eastAsia="Arial" w:hAnsi="Arial"/>
          <w:sz w:val="20"/>
          <w:szCs w:val="20"/>
          <w:u w:val="single" w:color="auto"/>
          <w:color w:val="auto"/>
        </w:rPr>
        <w:t>European Revolving Commitments</w:t>
      </w:r>
      <w:r>
        <w:rPr>
          <w:rFonts w:ascii="Arial" w:cs="Arial" w:eastAsia="Arial" w:hAnsi="Arial"/>
          <w:sz w:val="20"/>
          <w:szCs w:val="20"/>
          <w:color w:val="auto"/>
        </w:rPr>
        <w:t>. During the Commitment Period,</w:t>
      </w:r>
    </w:p>
    <w:p>
      <w:pPr>
        <w:spacing w:after="0" w:line="283" w:lineRule="exact"/>
        <w:rPr>
          <w:rFonts w:ascii="Arial" w:cs="Arial" w:eastAsia="Arial" w:hAnsi="Arial"/>
          <w:sz w:val="20"/>
          <w:szCs w:val="20"/>
          <w:color w:val="auto"/>
        </w:rPr>
      </w:pPr>
    </w:p>
    <w:p>
      <w:pPr>
        <w:ind w:left="1300" w:right="60" w:firstLine="653"/>
        <w:spacing w:after="0" w:line="330" w:lineRule="auto"/>
        <w:tabs>
          <w:tab w:leader="none" w:pos="2332" w:val="left"/>
        </w:tabs>
        <w:numPr>
          <w:ilvl w:val="1"/>
          <w:numId w:val="69"/>
        </w:numPr>
        <w:rPr>
          <w:rFonts w:ascii="Arial" w:cs="Arial" w:eastAsia="Arial" w:hAnsi="Arial"/>
          <w:sz w:val="21"/>
          <w:szCs w:val="21"/>
          <w:color w:val="auto"/>
        </w:rPr>
      </w:pPr>
      <w:r>
        <w:rPr>
          <w:rFonts w:ascii="Arial" w:cs="Arial" w:eastAsia="Arial" w:hAnsi="Arial"/>
          <w:sz w:val="19"/>
          <w:szCs w:val="19"/>
          <w:u w:val="single" w:color="auto"/>
          <w:color w:val="auto"/>
        </w:rPr>
        <w:t>European Revolving Loans</w:t>
      </w:r>
      <w:r>
        <w:rPr>
          <w:rFonts w:ascii="Arial" w:cs="Arial" w:eastAsia="Arial" w:hAnsi="Arial"/>
          <w:sz w:val="19"/>
          <w:szCs w:val="19"/>
          <w:color w:val="auto"/>
        </w:rPr>
        <w:t>. The European Revolving Lenders severally agree to make revolving credit loans (the “</w:t>
      </w:r>
      <w:r>
        <w:rPr>
          <w:rFonts w:ascii="Arial" w:cs="Arial" w:eastAsia="Arial" w:hAnsi="Arial"/>
          <w:sz w:val="19"/>
          <w:szCs w:val="19"/>
          <w:u w:val="single" w:color="auto"/>
          <w:color w:val="auto"/>
        </w:rPr>
        <w:t>European Revolving Loans</w:t>
      </w:r>
      <w:r>
        <w:rPr>
          <w:rFonts w:ascii="Arial" w:cs="Arial" w:eastAsia="Arial" w:hAnsi="Arial"/>
          <w:sz w:val="19"/>
          <w:szCs w:val="19"/>
          <w:color w:val="auto"/>
        </w:rPr>
        <w:t xml:space="preserve">”) to the applicable Borrowers in Alternative Currencies, from time to time, on any Business Day, in an aggregate principal amount of up to </w:t>
      </w:r>
      <w:r>
        <w:rPr>
          <w:rFonts w:ascii="Arial" w:cs="Arial" w:eastAsia="Arial" w:hAnsi="Arial"/>
          <w:sz w:val="19"/>
          <w:szCs w:val="19"/>
          <w:color w:val="FF0000"/>
          <w:strike w:val="1"/>
        </w:rPr>
        <w:t>TWO</w:t>
      </w:r>
      <w:r>
        <w:rPr>
          <w:rFonts w:ascii="Arial" w:cs="Arial" w:eastAsia="Arial" w:hAnsi="Arial"/>
          <w:sz w:val="19"/>
          <w:szCs w:val="19"/>
          <w:u w:val="single" w:color="auto"/>
          <w:color w:val="0000FF"/>
        </w:rPr>
        <w:t>FOUR</w:t>
      </w:r>
      <w:r>
        <w:rPr>
          <w:rFonts w:ascii="Arial" w:cs="Arial" w:eastAsia="Arial" w:hAnsi="Arial"/>
          <w:sz w:val="19"/>
          <w:szCs w:val="19"/>
          <w:color w:val="auto"/>
        </w:rPr>
        <w:t xml:space="preserve"> HUNDRED </w:t>
      </w:r>
      <w:r>
        <w:rPr>
          <w:rFonts w:ascii="Arial" w:cs="Arial" w:eastAsia="Arial" w:hAnsi="Arial"/>
          <w:sz w:val="19"/>
          <w:szCs w:val="19"/>
          <w:color w:val="FF0000"/>
          <w:strike w:val="1"/>
        </w:rPr>
        <w:t>FIFTY-SEVEN</w:t>
      </w:r>
      <w:r>
        <w:rPr>
          <w:rFonts w:ascii="Arial" w:cs="Arial" w:eastAsia="Arial" w:hAnsi="Arial"/>
          <w:sz w:val="19"/>
          <w:szCs w:val="19"/>
          <w:u w:val="single" w:color="auto"/>
          <w:color w:val="0000FF"/>
        </w:rPr>
        <w:t>SIXTY</w:t>
      </w:r>
      <w:r>
        <w:rPr>
          <w:rFonts w:ascii="Arial" w:cs="Arial" w:eastAsia="Arial" w:hAnsi="Arial"/>
          <w:sz w:val="19"/>
          <w:szCs w:val="19"/>
          <w:color w:val="auto"/>
        </w:rPr>
        <w:t xml:space="preserve"> MILLION FIVE HUNDRED THOUSAND DOLLARS ($</w:t>
      </w:r>
      <w:r>
        <w:rPr>
          <w:rFonts w:ascii="Arial" w:cs="Arial" w:eastAsia="Arial" w:hAnsi="Arial"/>
          <w:sz w:val="19"/>
          <w:szCs w:val="19"/>
          <w:color w:val="FF0000"/>
          <w:strike w:val="1"/>
        </w:rPr>
        <w:t>257,500,000</w:t>
      </w:r>
      <w:r>
        <w:rPr>
          <w:rFonts w:ascii="Arial" w:cs="Arial" w:eastAsia="Arial" w:hAnsi="Arial"/>
          <w:sz w:val="19"/>
          <w:szCs w:val="19"/>
          <w:u w:val="single" w:color="auto"/>
          <w:color w:val="0000FF"/>
        </w:rPr>
        <w:t>460,500,000</w:t>
      </w:r>
      <w:r>
        <w:rPr>
          <w:rFonts w:ascii="Arial" w:cs="Arial" w:eastAsia="Arial" w:hAnsi="Arial"/>
          <w:sz w:val="19"/>
          <w:szCs w:val="19"/>
          <w:color w:val="auto"/>
        </w:rPr>
        <w:t>) (as such amount may be increased or decreased in accordance with the provisions hereof, the “</w:t>
      </w:r>
      <w:r>
        <w:rPr>
          <w:rFonts w:ascii="Arial" w:cs="Arial" w:eastAsia="Arial" w:hAnsi="Arial"/>
          <w:sz w:val="19"/>
          <w:szCs w:val="19"/>
          <w:u w:val="single" w:color="auto"/>
          <w:color w:val="auto"/>
        </w:rPr>
        <w:t>Aggregate European Revolving Committed Amount</w:t>
      </w:r>
      <w:r>
        <w:rPr>
          <w:rFonts w:ascii="Arial" w:cs="Arial" w:eastAsia="Arial" w:hAnsi="Arial"/>
          <w:sz w:val="19"/>
          <w:szCs w:val="19"/>
          <w:color w:val="auto"/>
        </w:rPr>
        <w:t>”);</w:t>
      </w:r>
    </w:p>
    <w:p>
      <w:pPr>
        <w:spacing w:after="0" w:line="181" w:lineRule="exact"/>
        <w:rPr>
          <w:rFonts w:ascii="Arial" w:cs="Arial" w:eastAsia="Arial" w:hAnsi="Arial"/>
          <w:sz w:val="21"/>
          <w:szCs w:val="21"/>
          <w:color w:val="auto"/>
        </w:rPr>
      </w:pPr>
    </w:p>
    <w:p>
      <w:pPr>
        <w:ind w:left="1300" w:right="180" w:firstLine="653"/>
        <w:spacing w:after="0" w:line="351" w:lineRule="auto"/>
        <w:tabs>
          <w:tab w:leader="none" w:pos="2392" w:val="left"/>
        </w:tabs>
        <w:numPr>
          <w:ilvl w:val="1"/>
          <w:numId w:val="69"/>
        </w:numPr>
        <w:rPr>
          <w:rFonts w:ascii="Arial" w:cs="Arial" w:eastAsia="Arial" w:hAnsi="Arial"/>
          <w:sz w:val="19"/>
          <w:szCs w:val="19"/>
          <w:color w:val="auto"/>
        </w:rPr>
      </w:pPr>
      <w:r>
        <w:rPr>
          <w:rFonts w:ascii="Arial" w:cs="Arial" w:eastAsia="Arial" w:hAnsi="Arial"/>
          <w:sz w:val="18"/>
          <w:szCs w:val="18"/>
          <w:u w:val="single" w:color="auto"/>
          <w:color w:val="auto"/>
        </w:rPr>
        <w:t>European Swingline Loans</w:t>
      </w:r>
      <w:r>
        <w:rPr>
          <w:rFonts w:ascii="Arial" w:cs="Arial" w:eastAsia="Arial" w:hAnsi="Arial"/>
          <w:sz w:val="18"/>
          <w:szCs w:val="18"/>
          <w:color w:val="auto"/>
        </w:rPr>
        <w:t>. Unless (i) any European Revolving Lender is a Defaulting Lender and (ii) the European Swingline Lender has not entered into arrangements satisfactory to it with the applicable Borrowers or such Defaulting Lender to eliminate the Swingline Lender’s exposure with respect thereto, the European Swingline Lender may in its sole discretion, make revolving credit loans (the “</w:t>
      </w:r>
      <w:r>
        <w:rPr>
          <w:rFonts w:ascii="Arial" w:cs="Arial" w:eastAsia="Arial" w:hAnsi="Arial"/>
          <w:sz w:val="18"/>
          <w:szCs w:val="18"/>
          <w:u w:val="single" w:color="auto"/>
          <w:color w:val="auto"/>
        </w:rPr>
        <w:t>European Swingline Loans</w:t>
      </w:r>
      <w:r>
        <w:rPr>
          <w:rFonts w:ascii="Arial" w:cs="Arial" w:eastAsia="Arial" w:hAnsi="Arial"/>
          <w:sz w:val="18"/>
          <w:szCs w:val="18"/>
          <w:color w:val="auto"/>
        </w:rPr>
        <w:t>”) to the applicable Borrowers in Alternative Currencies, on any Business Day in an aggregate principal amount of up to TWENTY-FIVE MILLION DOLLARS ($25,000,000) (as such amount may be decreased in accordance with the provisions hereof, the “</w:t>
      </w:r>
      <w:r>
        <w:rPr>
          <w:rFonts w:ascii="Arial" w:cs="Arial" w:eastAsia="Arial" w:hAnsi="Arial"/>
          <w:sz w:val="18"/>
          <w:szCs w:val="18"/>
          <w:u w:val="single" w:color="auto"/>
          <w:color w:val="auto"/>
        </w:rPr>
        <w:t>European Swingline</w:t>
      </w:r>
      <w:r>
        <w:rPr>
          <w:rFonts w:ascii="Arial" w:cs="Arial" w:eastAsia="Arial" w:hAnsi="Arial"/>
          <w:sz w:val="18"/>
          <w:szCs w:val="18"/>
          <w:color w:val="auto"/>
        </w:rPr>
        <w:t xml:space="preserve"> </w:t>
      </w:r>
      <w:r>
        <w:rPr>
          <w:rFonts w:ascii="Arial" w:cs="Arial" w:eastAsia="Arial" w:hAnsi="Arial"/>
          <w:sz w:val="18"/>
          <w:szCs w:val="18"/>
          <w:u w:val="single" w:color="auto"/>
          <w:color w:val="auto"/>
        </w:rPr>
        <w:t>Sublimit</w:t>
      </w:r>
      <w:r>
        <w:rPr>
          <w:rFonts w:ascii="Arial" w:cs="Arial" w:eastAsia="Arial" w:hAnsi="Arial"/>
          <w:sz w:val="18"/>
          <w:szCs w:val="18"/>
          <w:color w:val="auto"/>
        </w:rPr>
        <w:t xml:space="preserv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 the Outstanding Amount of European Swingline Loans shall not exceed the European Swingline Sublimit and (ii) the Outstanding Amount of Master Swingline Loans shall not exceed the Master Swingline Sublimit;</w:t>
      </w:r>
    </w:p>
    <w:p>
      <w:pPr>
        <w:spacing w:after="0" w:line="127" w:lineRule="exact"/>
        <w:rPr>
          <w:sz w:val="20"/>
          <w:szCs w:val="20"/>
          <w:color w:val="auto"/>
        </w:rPr>
      </w:pPr>
    </w:p>
    <w:p>
      <w:pPr>
        <w:ind w:right="180"/>
        <w:spacing w:after="0" w:line="260" w:lineRule="auto"/>
        <w:rPr>
          <w:sz w:val="20"/>
          <w:szCs w:val="20"/>
          <w:color w:val="auto"/>
        </w:rPr>
      </w:pPr>
      <w:r>
        <w:rPr>
          <w:rFonts w:ascii="Arial" w:cs="Arial" w:eastAsia="Arial" w:hAnsi="Arial"/>
          <w:sz w:val="20"/>
          <w:szCs w:val="20"/>
          <w:color w:val="auto"/>
        </w:rPr>
        <w:t xml:space="preserve">and, </w:t>
      </w:r>
      <w:r>
        <w:rPr>
          <w:rFonts w:ascii="Arial" w:cs="Arial" w:eastAsia="Arial" w:hAnsi="Arial"/>
          <w:sz w:val="20"/>
          <w:szCs w:val="20"/>
          <w:u w:val="single" w:color="auto"/>
          <w:color w:val="auto"/>
        </w:rPr>
        <w:t>provided further</w:t>
      </w:r>
      <w:r>
        <w:rPr>
          <w:rFonts w:ascii="Arial" w:cs="Arial" w:eastAsia="Arial" w:hAnsi="Arial"/>
          <w:sz w:val="20"/>
          <w:szCs w:val="20"/>
          <w:color w:val="auto"/>
        </w:rPr>
        <w:t xml:space="preserve"> that, in each case, (A) the aggregate Outstanding Amount of European Revolving Loan Obligations shall not exceed the Aggregate European Revolving Committed Amount, (B) the</w:t>
      </w:r>
    </w:p>
    <w:p>
      <w:pPr>
        <w:spacing w:after="0" w:line="200" w:lineRule="exact"/>
        <w:rPr>
          <w:sz w:val="20"/>
          <w:szCs w:val="20"/>
          <w:color w:val="auto"/>
        </w:rPr>
      </w:pPr>
    </w:p>
    <w:p>
      <w:pPr>
        <w:spacing w:after="0" w:line="220" w:lineRule="exact"/>
        <w:rPr>
          <w:sz w:val="20"/>
          <w:szCs w:val="20"/>
          <w:color w:val="auto"/>
        </w:rPr>
      </w:pPr>
    </w:p>
    <w:p>
      <w:pPr>
        <w:jc w:val="center"/>
        <w:ind w:right="-39"/>
        <w:spacing w:after="0"/>
        <w:rPr>
          <w:sz w:val="20"/>
          <w:szCs w:val="20"/>
          <w:color w:val="auto"/>
        </w:rPr>
      </w:pPr>
      <w:r>
        <w:rPr>
          <w:rFonts w:ascii="Arial" w:cs="Arial" w:eastAsia="Arial" w:hAnsi="Arial"/>
          <w:sz w:val="20"/>
          <w:szCs w:val="20"/>
          <w:color w:val="auto"/>
        </w:rPr>
        <w:t>73</w:t>
      </w:r>
    </w:p>
    <w:p>
      <w:pPr>
        <w:spacing w:after="0" w:line="10" w:lineRule="exact"/>
        <w:rPr>
          <w:sz w:val="20"/>
          <w:szCs w:val="20"/>
          <w:color w:val="auto"/>
        </w:rPr>
      </w:pPr>
    </w:p>
    <w:p>
      <w:pPr>
        <w:spacing w:after="0"/>
        <w:rPr>
          <w:sz w:val="20"/>
          <w:szCs w:val="20"/>
          <w:color w:val="auto"/>
        </w:rPr>
      </w:pPr>
      <w:r>
        <w:rPr>
          <w:rFonts w:ascii="Arial" w:cs="Arial" w:eastAsia="Arial" w:hAnsi="Arial"/>
          <w:sz w:val="14"/>
          <w:szCs w:val="14"/>
          <w:color w:val="auto"/>
        </w:rPr>
        <w:t>CHAR1\1346423v</w:t>
      </w:r>
      <w:r>
        <w:rPr>
          <w:rFonts w:ascii="Arial" w:cs="Arial" w:eastAsia="Arial" w:hAnsi="Arial"/>
          <w:sz w:val="14"/>
          <w:szCs w:val="14"/>
          <w:color w:val="FF0000"/>
          <w:strike w:val="1"/>
        </w:rPr>
        <w:t>1</w:t>
      </w:r>
      <w:r>
        <w:rPr>
          <w:rFonts w:ascii="Arial" w:cs="Arial" w:eastAsia="Arial" w:hAnsi="Arial"/>
          <w:sz w:val="14"/>
          <w:szCs w:val="14"/>
          <w:u w:val="single" w:color="auto"/>
          <w:color w:val="0000FF"/>
        </w:rPr>
        <w:t>12</w:t>
      </w:r>
    </w:p>
    <w:p>
      <w:pPr>
        <w:sectPr>
          <w:pgSz w:w="11900" w:h="16838" w:orient="portrait"/>
          <w:cols w:equalWidth="0" w:num="1">
            <w:col w:w="11400"/>
          </w:cols>
          <w:pgMar w:left="240" w:top="609" w:right="259" w:bottom="1440" w:gutter="0" w:footer="0" w:header="0"/>
        </w:sectPr>
      </w:pPr>
    </w:p>
    <w:bookmarkStart w:id="125" w:name="page126"/>
    <w:bookmarkEnd w:id="125"/>
    <w:p>
      <w:pPr>
        <w:spacing w:after="0"/>
        <w:rPr>
          <w:sz w:val="20"/>
          <w:szCs w:val="20"/>
          <w:color w:val="auto"/>
        </w:rPr>
      </w:pPr>
      <w:r>
        <w:rPr>
          <w:rFonts w:ascii="Arial" w:cs="Arial" w:eastAsia="Arial" w:hAnsi="Arial"/>
          <w:sz w:val="18"/>
          <w:szCs w:val="18"/>
          <w:color w:val="auto"/>
        </w:rPr>
        <w:t>aggregate Outstanding Amount of Master Revolving Loan Obligations shall not exceed the Aggregate Master Revolving Committed Amount,</w:t>
      </w:r>
    </w:p>
    <w:p>
      <w:pPr>
        <w:spacing w:after="0" w:line="39" w:lineRule="exact"/>
        <w:rPr>
          <w:sz w:val="20"/>
          <w:szCs w:val="20"/>
          <w:color w:val="auto"/>
        </w:rPr>
      </w:pPr>
    </w:p>
    <w:p>
      <w:pPr>
        <w:ind w:right="60" w:firstLine="8"/>
        <w:spacing w:after="0"/>
        <w:tabs>
          <w:tab w:leader="none" w:pos="313" w:val="left"/>
        </w:tabs>
        <w:numPr>
          <w:ilvl w:val="0"/>
          <w:numId w:val="70"/>
        </w:numPr>
        <w:rPr>
          <w:rFonts w:ascii="Arial" w:cs="Arial" w:eastAsia="Arial" w:hAnsi="Arial"/>
          <w:sz w:val="20"/>
          <w:szCs w:val="20"/>
          <w:color w:val="auto"/>
        </w:rPr>
      </w:pPr>
      <w:r>
        <w:rPr>
          <w:rFonts w:ascii="Arial" w:cs="Arial" w:eastAsia="Arial" w:hAnsi="Arial"/>
          <w:sz w:val="20"/>
          <w:szCs w:val="20"/>
          <w:color w:val="auto"/>
        </w:rPr>
        <w:t xml:space="preserve">with regard to each European Revolving Lender individually, (i) such Lender’s European Revolving Commitment Percentage of European Revolving Loan Obligations shall not exceed its respective European Revolving Committed Amount and (ii) such Lender’s USD Revolving Commitment Percentage of USD Revolving Obligations plus its European Revolving Commitment Percentage of European Revolving Loan Obligations plus its Australian Revolving Commitment Percentage of its Australian Revolving Loan Obligations shall not exceed its respective Master Revolving Committed Amount, and (D) for any particular Borrower, (1) Credit Extensions will be limited to those currencies specified for such Borrower in </w:t>
      </w:r>
      <w:r>
        <w:rPr>
          <w:rFonts w:ascii="Arial" w:cs="Arial" w:eastAsia="Arial" w:hAnsi="Arial"/>
          <w:sz w:val="20"/>
          <w:szCs w:val="20"/>
          <w:u w:val="single" w:color="auto"/>
          <w:color w:val="auto"/>
        </w:rPr>
        <w:t>Schedule 2.14(b)</w:t>
      </w:r>
      <w:r>
        <w:rPr>
          <w:rFonts w:ascii="Arial" w:cs="Arial" w:eastAsia="Arial" w:hAnsi="Arial"/>
          <w:sz w:val="20"/>
          <w:szCs w:val="20"/>
          <w:color w:val="auto"/>
        </w:rPr>
        <w:t xml:space="preserve"> or the relevant Designated Borrower Request and Assumption Agreement and (2) the aggregate Outstanding Amount of all European Revolving Loan Obligations to or for such Borrower will not exceed its respective Designated Borrower Limit.</w:t>
      </w:r>
    </w:p>
    <w:p>
      <w:pPr>
        <w:spacing w:after="0" w:line="237" w:lineRule="exact"/>
        <w:rPr>
          <w:rFonts w:ascii="Arial" w:cs="Arial" w:eastAsia="Arial" w:hAnsi="Arial"/>
          <w:sz w:val="20"/>
          <w:szCs w:val="20"/>
          <w:color w:val="auto"/>
        </w:rPr>
      </w:pPr>
    </w:p>
    <w:p>
      <w:pPr>
        <w:ind w:left="1300" w:right="80" w:firstLine="653"/>
        <w:spacing w:after="0" w:line="312" w:lineRule="auto"/>
        <w:tabs>
          <w:tab w:leader="none" w:pos="2452" w:val="left"/>
        </w:tabs>
        <w:numPr>
          <w:ilvl w:val="2"/>
          <w:numId w:val="70"/>
        </w:numPr>
        <w:rPr>
          <w:rFonts w:ascii="Arial" w:cs="Arial" w:eastAsia="Arial" w:hAnsi="Arial"/>
          <w:sz w:val="22"/>
          <w:szCs w:val="22"/>
          <w:color w:val="auto"/>
        </w:rPr>
      </w:pPr>
      <w:r>
        <w:rPr>
          <w:rFonts w:ascii="Arial" w:cs="Arial" w:eastAsia="Arial" w:hAnsi="Arial"/>
          <w:sz w:val="20"/>
          <w:szCs w:val="20"/>
          <w:u w:val="single" w:color="auto"/>
          <w:color w:val="auto"/>
        </w:rPr>
        <w:t>Additional Provisions Relating to European Revolving Loans</w:t>
      </w:r>
      <w:r>
        <w:rPr>
          <w:rFonts w:ascii="Arial" w:cs="Arial" w:eastAsia="Arial" w:hAnsi="Arial"/>
          <w:sz w:val="20"/>
          <w:szCs w:val="20"/>
          <w:color w:val="auto"/>
        </w:rPr>
        <w:t>. European Revolving Loans shall consist of Fixed LIBOR Rate Loans, as the applicable Borrowers may request, and may be repaid and reborrowed in accordance with the provisions hereof.</w:t>
      </w:r>
    </w:p>
    <w:p>
      <w:pPr>
        <w:spacing w:after="0" w:line="194" w:lineRule="exact"/>
        <w:rPr>
          <w:rFonts w:ascii="Arial" w:cs="Arial" w:eastAsia="Arial" w:hAnsi="Arial"/>
          <w:sz w:val="22"/>
          <w:szCs w:val="22"/>
          <w:color w:val="auto"/>
        </w:rPr>
      </w:pPr>
    </w:p>
    <w:p>
      <w:pPr>
        <w:ind w:left="1300" w:firstLine="653"/>
        <w:spacing w:after="0" w:line="356" w:lineRule="auto"/>
        <w:tabs>
          <w:tab w:leader="none" w:pos="2440" w:val="left"/>
        </w:tabs>
        <w:numPr>
          <w:ilvl w:val="2"/>
          <w:numId w:val="70"/>
        </w:numPr>
        <w:rPr>
          <w:rFonts w:ascii="Arial" w:cs="Arial" w:eastAsia="Arial" w:hAnsi="Arial"/>
          <w:sz w:val="19"/>
          <w:szCs w:val="19"/>
          <w:color w:val="auto"/>
        </w:rPr>
      </w:pPr>
      <w:r>
        <w:rPr>
          <w:rFonts w:ascii="Arial" w:cs="Arial" w:eastAsia="Arial" w:hAnsi="Arial"/>
          <w:sz w:val="18"/>
          <w:szCs w:val="18"/>
          <w:u w:val="single" w:color="auto"/>
          <w:color w:val="auto"/>
        </w:rPr>
        <w:t>Additional Provisions Relating to European Swingline Loans</w:t>
      </w:r>
      <w:r>
        <w:rPr>
          <w:rFonts w:ascii="Arial" w:cs="Arial" w:eastAsia="Arial" w:hAnsi="Arial"/>
          <w:sz w:val="18"/>
          <w:szCs w:val="18"/>
          <w:color w:val="auto"/>
        </w:rPr>
        <w:t>. European Swingline Loans shall be comprised solely of Overnight Rate Loans and may be repaid and reborrowed in accordance with the provisions hereof. Immediately upon the making of a European Swingline Loan, each European Revolving Lender shall be deemed to, and hereby irrevocably and unconditionally agrees to, purchase from the European Swingline Lender a participation interest in such European Swingline Loan in an amount equal to the product of such Lender’s European Revolving Commitment Percentage thereof.</w:t>
      </w:r>
    </w:p>
    <w:p>
      <w:pPr>
        <w:spacing w:after="0" w:line="149" w:lineRule="exact"/>
        <w:rPr>
          <w:rFonts w:ascii="Arial" w:cs="Arial" w:eastAsia="Arial" w:hAnsi="Arial"/>
          <w:sz w:val="19"/>
          <w:szCs w:val="19"/>
          <w:color w:val="auto"/>
        </w:rPr>
      </w:pPr>
    </w:p>
    <w:p>
      <w:pPr>
        <w:ind w:left="1700" w:hanging="395"/>
        <w:spacing w:after="0"/>
        <w:tabs>
          <w:tab w:leader="none" w:pos="1700" w:val="left"/>
        </w:tabs>
        <w:numPr>
          <w:ilvl w:val="1"/>
          <w:numId w:val="70"/>
        </w:numPr>
        <w:rPr>
          <w:rFonts w:ascii="Arial" w:cs="Arial" w:eastAsia="Arial" w:hAnsi="Arial"/>
          <w:sz w:val="20"/>
          <w:szCs w:val="20"/>
          <w:color w:val="auto"/>
        </w:rPr>
      </w:pPr>
      <w:r>
        <w:rPr>
          <w:rFonts w:ascii="Arial" w:cs="Arial" w:eastAsia="Arial" w:hAnsi="Arial"/>
          <w:sz w:val="20"/>
          <w:szCs w:val="20"/>
          <w:u w:val="single" w:color="auto"/>
          <w:color w:val="auto"/>
        </w:rPr>
        <w:t>Australian Revolving Commitments</w:t>
      </w:r>
      <w:r>
        <w:rPr>
          <w:rFonts w:ascii="Arial" w:cs="Arial" w:eastAsia="Arial" w:hAnsi="Arial"/>
          <w:sz w:val="20"/>
          <w:szCs w:val="20"/>
          <w:color w:val="auto"/>
        </w:rPr>
        <w:t>. During the Commitment Period,</w:t>
      </w:r>
    </w:p>
    <w:p>
      <w:pPr>
        <w:spacing w:after="0" w:line="283" w:lineRule="exact"/>
        <w:rPr>
          <w:rFonts w:ascii="Arial" w:cs="Arial" w:eastAsia="Arial" w:hAnsi="Arial"/>
          <w:sz w:val="20"/>
          <w:szCs w:val="20"/>
          <w:color w:val="auto"/>
        </w:rPr>
      </w:pPr>
    </w:p>
    <w:p>
      <w:pPr>
        <w:ind w:left="1300" w:right="100" w:firstLine="653"/>
        <w:spacing w:after="0" w:line="330" w:lineRule="auto"/>
        <w:tabs>
          <w:tab w:leader="none" w:pos="2332" w:val="left"/>
        </w:tabs>
        <w:numPr>
          <w:ilvl w:val="2"/>
          <w:numId w:val="71"/>
        </w:numPr>
        <w:rPr>
          <w:rFonts w:ascii="Arial" w:cs="Arial" w:eastAsia="Arial" w:hAnsi="Arial"/>
          <w:sz w:val="21"/>
          <w:szCs w:val="21"/>
          <w:color w:val="auto"/>
        </w:rPr>
      </w:pPr>
      <w:r>
        <w:rPr>
          <w:rFonts w:ascii="Arial" w:cs="Arial" w:eastAsia="Arial" w:hAnsi="Arial"/>
          <w:sz w:val="19"/>
          <w:szCs w:val="19"/>
          <w:u w:val="single" w:color="auto"/>
          <w:color w:val="auto"/>
        </w:rPr>
        <w:t>Australian Revolving Loans</w:t>
      </w:r>
      <w:r>
        <w:rPr>
          <w:rFonts w:ascii="Arial" w:cs="Arial" w:eastAsia="Arial" w:hAnsi="Arial"/>
          <w:sz w:val="19"/>
          <w:szCs w:val="19"/>
          <w:color w:val="auto"/>
        </w:rPr>
        <w:t>. The Australian Revolving Lenders severally agree to make revolving credit loans (the “</w:t>
      </w:r>
      <w:r>
        <w:rPr>
          <w:rFonts w:ascii="Arial" w:cs="Arial" w:eastAsia="Arial" w:hAnsi="Arial"/>
          <w:sz w:val="19"/>
          <w:szCs w:val="19"/>
          <w:u w:val="single" w:color="auto"/>
          <w:color w:val="auto"/>
        </w:rPr>
        <w:t>Australian Revolving Loans</w:t>
      </w:r>
      <w:r>
        <w:rPr>
          <w:rFonts w:ascii="Arial" w:cs="Arial" w:eastAsia="Arial" w:hAnsi="Arial"/>
          <w:sz w:val="19"/>
          <w:szCs w:val="19"/>
          <w:color w:val="auto"/>
        </w:rPr>
        <w:t xml:space="preserve">”) to the applicable Borrowers in Alternative Currencies, from time to time, on any Business Day, in an aggregate principal amount of up to </w:t>
      </w:r>
      <w:r>
        <w:rPr>
          <w:rFonts w:ascii="Arial" w:cs="Arial" w:eastAsia="Arial" w:hAnsi="Arial"/>
          <w:sz w:val="19"/>
          <w:szCs w:val="19"/>
          <w:color w:val="FF0000"/>
          <w:strike w:val="1"/>
        </w:rPr>
        <w:t>TWO</w:t>
      </w:r>
      <w:r>
        <w:rPr>
          <w:rFonts w:ascii="Arial" w:cs="Arial" w:eastAsia="Arial" w:hAnsi="Arial"/>
          <w:sz w:val="19"/>
          <w:szCs w:val="19"/>
          <w:u w:val="single" w:color="auto"/>
          <w:color w:val="0000FF"/>
        </w:rPr>
        <w:t>FOUR</w:t>
      </w:r>
      <w:r>
        <w:rPr>
          <w:rFonts w:ascii="Arial" w:cs="Arial" w:eastAsia="Arial" w:hAnsi="Arial"/>
          <w:sz w:val="19"/>
          <w:szCs w:val="19"/>
          <w:color w:val="auto"/>
        </w:rPr>
        <w:t xml:space="preserve"> HUNDRED FORTY</w:t>
      </w:r>
      <w:r>
        <w:rPr>
          <w:rFonts w:ascii="Arial" w:cs="Arial" w:eastAsia="Arial" w:hAnsi="Arial"/>
          <w:sz w:val="19"/>
          <w:szCs w:val="19"/>
          <w:color w:val="FF0000"/>
          <w:strike w:val="1"/>
        </w:rPr>
        <w:t>-TWO</w:t>
      </w:r>
      <w:r>
        <w:rPr>
          <w:rFonts w:ascii="Arial" w:cs="Arial" w:eastAsia="Arial" w:hAnsi="Arial"/>
          <w:sz w:val="19"/>
          <w:szCs w:val="19"/>
          <w:color w:val="auto"/>
        </w:rPr>
        <w:t xml:space="preserve"> MILLION </w:t>
      </w:r>
      <w:r>
        <w:rPr>
          <w:rFonts w:ascii="Arial" w:cs="Arial" w:eastAsia="Arial" w:hAnsi="Arial"/>
          <w:sz w:val="19"/>
          <w:szCs w:val="19"/>
          <w:color w:val="FF0000"/>
          <w:strike w:val="1"/>
        </w:rPr>
        <w:t>FIVE HUNDRED</w:t>
      </w:r>
      <w:r>
        <w:rPr>
          <w:rFonts w:ascii="Arial" w:cs="Arial" w:eastAsia="Arial" w:hAnsi="Arial"/>
          <w:sz w:val="19"/>
          <w:szCs w:val="19"/>
          <w:color w:val="auto"/>
        </w:rPr>
        <w:t xml:space="preserve"> </w:t>
      </w:r>
      <w:r>
        <w:rPr>
          <w:rFonts w:ascii="Arial" w:cs="Arial" w:eastAsia="Arial" w:hAnsi="Arial"/>
          <w:sz w:val="19"/>
          <w:szCs w:val="19"/>
          <w:color w:val="FF0000"/>
          <w:strike w:val="1"/>
        </w:rPr>
        <w:t>THOUSAND</w:t>
      </w:r>
      <w:r>
        <w:rPr>
          <w:rFonts w:ascii="Arial" w:cs="Arial" w:eastAsia="Arial" w:hAnsi="Arial"/>
          <w:sz w:val="19"/>
          <w:szCs w:val="19"/>
          <w:color w:val="FF0000"/>
        </w:rPr>
        <w:t xml:space="preserve"> </w:t>
      </w:r>
      <w:r>
        <w:rPr>
          <w:rFonts w:ascii="Arial" w:cs="Arial" w:eastAsia="Arial" w:hAnsi="Arial"/>
          <w:sz w:val="19"/>
          <w:szCs w:val="19"/>
          <w:color w:val="000000"/>
        </w:rPr>
        <w:t>DOLLARS ($</w:t>
      </w:r>
      <w:r>
        <w:rPr>
          <w:rFonts w:ascii="Arial" w:cs="Arial" w:eastAsia="Arial" w:hAnsi="Arial"/>
          <w:sz w:val="19"/>
          <w:szCs w:val="19"/>
          <w:color w:val="FF0000"/>
          <w:strike w:val="1"/>
        </w:rPr>
        <w:t>242,500,000</w:t>
      </w:r>
      <w:r>
        <w:rPr>
          <w:rFonts w:ascii="Arial" w:cs="Arial" w:eastAsia="Arial" w:hAnsi="Arial"/>
          <w:sz w:val="19"/>
          <w:szCs w:val="19"/>
          <w:u w:val="single" w:color="auto"/>
          <w:color w:val="0000FF"/>
        </w:rPr>
        <w:t>440,000,000</w:t>
      </w:r>
      <w:r>
        <w:rPr>
          <w:rFonts w:ascii="Arial" w:cs="Arial" w:eastAsia="Arial" w:hAnsi="Arial"/>
          <w:sz w:val="19"/>
          <w:szCs w:val="19"/>
          <w:color w:val="000000"/>
        </w:rPr>
        <w:t>) (as such amount may be increased or decreased in accordance with the</w:t>
      </w:r>
      <w:r>
        <w:rPr>
          <w:rFonts w:ascii="Arial" w:cs="Arial" w:eastAsia="Arial" w:hAnsi="Arial"/>
          <w:sz w:val="19"/>
          <w:szCs w:val="19"/>
          <w:color w:val="FF0000"/>
        </w:rPr>
        <w:t xml:space="preserve"> </w:t>
      </w:r>
      <w:r>
        <w:rPr>
          <w:rFonts w:ascii="Arial" w:cs="Arial" w:eastAsia="Arial" w:hAnsi="Arial"/>
          <w:sz w:val="19"/>
          <w:szCs w:val="19"/>
          <w:color w:val="000000"/>
        </w:rPr>
        <w:t>provisions hereof, the “</w:t>
      </w:r>
      <w:r>
        <w:rPr>
          <w:rFonts w:ascii="Arial" w:cs="Arial" w:eastAsia="Arial" w:hAnsi="Arial"/>
          <w:sz w:val="19"/>
          <w:szCs w:val="19"/>
          <w:u w:val="single" w:color="auto"/>
          <w:color w:val="000000"/>
        </w:rPr>
        <w:t>Aggregate Australian Revolving Committed Amount</w:t>
      </w:r>
      <w:r>
        <w:rPr>
          <w:rFonts w:ascii="Arial" w:cs="Arial" w:eastAsia="Arial" w:hAnsi="Arial"/>
          <w:sz w:val="19"/>
          <w:szCs w:val="19"/>
          <w:color w:val="000000"/>
        </w:rPr>
        <w:t>”);</w:t>
      </w:r>
    </w:p>
    <w:p>
      <w:pPr>
        <w:spacing w:after="0" w:line="141" w:lineRule="exact"/>
        <w:rPr>
          <w:sz w:val="20"/>
          <w:szCs w:val="20"/>
          <w:color w:val="auto"/>
        </w:rPr>
      </w:pPr>
    </w:p>
    <w:p>
      <w:pPr>
        <w:ind w:right="40"/>
        <w:spacing w:after="0" w:line="242" w:lineRule="auto"/>
        <w:rPr>
          <w:sz w:val="20"/>
          <w:szCs w:val="20"/>
          <w:color w:val="auto"/>
        </w:rPr>
      </w:pPr>
      <w:r>
        <w:rPr>
          <w:rFonts w:ascii="Arial" w:cs="Arial" w:eastAsia="Arial" w:hAnsi="Arial"/>
          <w:sz w:val="20"/>
          <w:szCs w:val="20"/>
          <w:color w:val="auto"/>
        </w:rPr>
        <w:t xml:space="preserve">and, </w:t>
      </w:r>
      <w:r>
        <w:rPr>
          <w:rFonts w:ascii="Arial" w:cs="Arial" w:eastAsia="Arial" w:hAnsi="Arial"/>
          <w:sz w:val="20"/>
          <w:szCs w:val="20"/>
          <w:u w:val="single" w:color="auto"/>
          <w:color w:val="auto"/>
        </w:rPr>
        <w:t>provided further</w:t>
      </w:r>
      <w:r>
        <w:rPr>
          <w:rFonts w:ascii="Arial" w:cs="Arial" w:eastAsia="Arial" w:hAnsi="Arial"/>
          <w:sz w:val="20"/>
          <w:szCs w:val="20"/>
          <w:color w:val="auto"/>
        </w:rPr>
        <w:t xml:space="preserve"> that, in each case, (A) the aggregate Outstanding Amount of Australian Revolving Loan Obligations shall not exceed the Aggregate Australian Revolving Committed Amount, (B) the aggregate Outstanding Amount of Master Revolving Loan Obligations shall not exceed the Aggregate Master Revolving Committed Amount, (C) with regard to each Australian Revolving Lender individually, (i) such Lender’s Australian Revolving Commitment Percentage of Australian Revolving Loan Obligations shall not exceed its respective Australian Revolving Committed Amount, and (ii) such Lender’s USD Revolving Commitment Percentage of USD Revolving Obligations plus its European Revolving Commitment Percentage of European Revolving Loan Obligations plus its Australian Revolving Commitment Percentage of its Australian Revolving Loan Obligations shall not exceed its respective Master Revolving Committed Amount, and (D) for any particular Borrower, (1) Credit</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74</w:t>
      </w:r>
    </w:p>
    <w:p>
      <w:pPr>
        <w:spacing w:after="0" w:line="10" w:lineRule="exact"/>
        <w:rPr>
          <w:sz w:val="20"/>
          <w:szCs w:val="20"/>
          <w:color w:val="auto"/>
        </w:rPr>
      </w:pPr>
    </w:p>
    <w:p>
      <w:pPr>
        <w:spacing w:after="0"/>
        <w:rPr>
          <w:sz w:val="20"/>
          <w:szCs w:val="20"/>
          <w:color w:val="auto"/>
        </w:rPr>
      </w:pPr>
      <w:r>
        <w:rPr>
          <w:rFonts w:ascii="Arial" w:cs="Arial" w:eastAsia="Arial" w:hAnsi="Arial"/>
          <w:sz w:val="14"/>
          <w:szCs w:val="14"/>
          <w:color w:val="auto"/>
        </w:rPr>
        <w:t>CHAR1\1346423v</w:t>
      </w:r>
      <w:r>
        <w:rPr>
          <w:rFonts w:ascii="Arial" w:cs="Arial" w:eastAsia="Arial" w:hAnsi="Arial"/>
          <w:sz w:val="14"/>
          <w:szCs w:val="14"/>
          <w:color w:val="FF0000"/>
          <w:strike w:val="1"/>
        </w:rPr>
        <w:t>1</w:t>
      </w:r>
      <w:r>
        <w:rPr>
          <w:rFonts w:ascii="Arial" w:cs="Arial" w:eastAsia="Arial" w:hAnsi="Arial"/>
          <w:sz w:val="14"/>
          <w:szCs w:val="14"/>
          <w:u w:val="single" w:color="auto"/>
          <w:color w:val="0000FF"/>
        </w:rPr>
        <w:t>12</w:t>
      </w:r>
    </w:p>
    <w:p>
      <w:pPr>
        <w:sectPr>
          <w:pgSz w:w="11900" w:h="16838" w:orient="portrait"/>
          <w:cols w:equalWidth="0" w:num="1">
            <w:col w:w="11400"/>
          </w:cols>
          <w:pgMar w:left="240" w:top="582" w:right="259" w:bottom="1440" w:gutter="0" w:footer="0" w:header="0"/>
        </w:sectPr>
      </w:pPr>
    </w:p>
    <w:bookmarkStart w:id="126" w:name="page127"/>
    <w:bookmarkEnd w:id="126"/>
    <w:p>
      <w:pPr>
        <w:ind w:right="180"/>
        <w:spacing w:after="0" w:line="250" w:lineRule="auto"/>
        <w:rPr>
          <w:sz w:val="20"/>
          <w:szCs w:val="20"/>
          <w:color w:val="auto"/>
        </w:rPr>
      </w:pPr>
      <w:r>
        <w:rPr>
          <w:rFonts w:ascii="Arial" w:cs="Arial" w:eastAsia="Arial" w:hAnsi="Arial"/>
          <w:sz w:val="20"/>
          <w:szCs w:val="20"/>
          <w:color w:val="auto"/>
        </w:rPr>
        <w:t xml:space="preserve">Extensions will be limited to those currencies specified for such Borrower in </w:t>
      </w:r>
      <w:r>
        <w:rPr>
          <w:rFonts w:ascii="Arial" w:cs="Arial" w:eastAsia="Arial" w:hAnsi="Arial"/>
          <w:sz w:val="20"/>
          <w:szCs w:val="20"/>
          <w:u w:val="single" w:color="auto"/>
          <w:color w:val="auto"/>
        </w:rPr>
        <w:t>Schedule 2.14(b)</w:t>
      </w:r>
      <w:r>
        <w:rPr>
          <w:rFonts w:ascii="Arial" w:cs="Arial" w:eastAsia="Arial" w:hAnsi="Arial"/>
          <w:sz w:val="20"/>
          <w:szCs w:val="20"/>
          <w:color w:val="auto"/>
        </w:rPr>
        <w:t xml:space="preserve"> or the relevant Designated Borrower Request and Assumption Agreement and (2) the aggregate Outstanding Amount of all Australian Revolving Loan Obligations to or for such Borrower will not exceed its respective Designated Borrower Limit.</w:t>
      </w:r>
    </w:p>
    <w:p>
      <w:pPr>
        <w:spacing w:after="0" w:line="227" w:lineRule="exact"/>
        <w:rPr>
          <w:sz w:val="20"/>
          <w:szCs w:val="20"/>
          <w:color w:val="auto"/>
        </w:rPr>
      </w:pPr>
    </w:p>
    <w:p>
      <w:pPr>
        <w:ind w:left="1300" w:firstLine="653"/>
        <w:spacing w:after="0" w:line="312" w:lineRule="auto"/>
        <w:tabs>
          <w:tab w:leader="none" w:pos="2392" w:val="left"/>
        </w:tabs>
        <w:numPr>
          <w:ilvl w:val="1"/>
          <w:numId w:val="72"/>
        </w:numPr>
        <w:rPr>
          <w:rFonts w:ascii="Arial" w:cs="Arial" w:eastAsia="Arial" w:hAnsi="Arial"/>
          <w:sz w:val="22"/>
          <w:szCs w:val="22"/>
          <w:color w:val="auto"/>
        </w:rPr>
      </w:pPr>
      <w:r>
        <w:rPr>
          <w:rFonts w:ascii="Arial" w:cs="Arial" w:eastAsia="Arial" w:hAnsi="Arial"/>
          <w:sz w:val="20"/>
          <w:szCs w:val="20"/>
          <w:u w:val="single" w:color="auto"/>
          <w:color w:val="auto"/>
        </w:rPr>
        <w:t>Additional Provisions Relating to Australian Revolving Loans</w:t>
      </w:r>
      <w:r>
        <w:rPr>
          <w:rFonts w:ascii="Arial" w:cs="Arial" w:eastAsia="Arial" w:hAnsi="Arial"/>
          <w:sz w:val="20"/>
          <w:szCs w:val="20"/>
          <w:color w:val="auto"/>
        </w:rPr>
        <w:t>. Australian Revolving Loans shall consist of Fixed LIBOR Rate Loans, as the applicable Borrowers may request, and may be repaid and reborrowed in accordance with the provisions hereof.</w:t>
      </w:r>
    </w:p>
    <w:p>
      <w:pPr>
        <w:spacing w:after="0" w:line="180" w:lineRule="exact"/>
        <w:rPr>
          <w:rFonts w:ascii="Arial" w:cs="Arial" w:eastAsia="Arial" w:hAnsi="Arial"/>
          <w:sz w:val="22"/>
          <w:szCs w:val="22"/>
          <w:color w:val="auto"/>
        </w:rPr>
      </w:pPr>
    </w:p>
    <w:p>
      <w:pPr>
        <w:ind w:left="1720" w:hanging="415"/>
        <w:spacing w:after="0"/>
        <w:tabs>
          <w:tab w:leader="none" w:pos="1720" w:val="left"/>
        </w:tabs>
        <w:numPr>
          <w:ilvl w:val="0"/>
          <w:numId w:val="73"/>
        </w:numPr>
        <w:rPr>
          <w:rFonts w:ascii="Arial" w:cs="Arial" w:eastAsia="Arial" w:hAnsi="Arial"/>
          <w:sz w:val="20"/>
          <w:szCs w:val="20"/>
          <w:color w:val="auto"/>
        </w:rPr>
      </w:pPr>
      <w:r>
        <w:rPr>
          <w:rFonts w:ascii="Arial" w:cs="Arial" w:eastAsia="Arial" w:hAnsi="Arial"/>
          <w:sz w:val="20"/>
          <w:szCs w:val="20"/>
          <w:u w:val="single" w:color="auto"/>
          <w:color w:val="auto"/>
        </w:rPr>
        <w:t>India Revolving Commitments</w:t>
      </w:r>
      <w:r>
        <w:rPr>
          <w:rFonts w:ascii="Arial" w:cs="Arial" w:eastAsia="Arial" w:hAnsi="Arial"/>
          <w:sz w:val="20"/>
          <w:szCs w:val="20"/>
          <w:color w:val="auto"/>
        </w:rPr>
        <w:t>. During the Commitment Period,</w:t>
      </w:r>
    </w:p>
    <w:p>
      <w:pPr>
        <w:spacing w:after="0" w:line="283" w:lineRule="exact"/>
        <w:rPr>
          <w:rFonts w:ascii="Arial" w:cs="Arial" w:eastAsia="Arial" w:hAnsi="Arial"/>
          <w:sz w:val="20"/>
          <w:szCs w:val="20"/>
          <w:color w:val="auto"/>
        </w:rPr>
      </w:pPr>
    </w:p>
    <w:p>
      <w:pPr>
        <w:ind w:left="1300" w:right="40" w:firstLine="653"/>
        <w:spacing w:after="0" w:line="331" w:lineRule="auto"/>
        <w:tabs>
          <w:tab w:leader="none" w:pos="2332" w:val="left"/>
        </w:tabs>
        <w:numPr>
          <w:ilvl w:val="1"/>
          <w:numId w:val="73"/>
        </w:numPr>
        <w:rPr>
          <w:rFonts w:ascii="Arial" w:cs="Arial" w:eastAsia="Arial" w:hAnsi="Arial"/>
          <w:sz w:val="21"/>
          <w:szCs w:val="21"/>
          <w:color w:val="auto"/>
        </w:rPr>
      </w:pPr>
      <w:r>
        <w:rPr>
          <w:rFonts w:ascii="Arial" w:cs="Arial" w:eastAsia="Arial" w:hAnsi="Arial"/>
          <w:sz w:val="19"/>
          <w:szCs w:val="19"/>
          <w:u w:val="single" w:color="auto"/>
          <w:color w:val="auto"/>
        </w:rPr>
        <w:t>India Revolving Loans</w:t>
      </w:r>
      <w:r>
        <w:rPr>
          <w:rFonts w:ascii="Arial" w:cs="Arial" w:eastAsia="Arial" w:hAnsi="Arial"/>
          <w:sz w:val="19"/>
          <w:szCs w:val="19"/>
          <w:color w:val="auto"/>
        </w:rPr>
        <w:t>. The India Revolving Lenders severally agree to make revolving credit loans (the “</w:t>
      </w:r>
      <w:r>
        <w:rPr>
          <w:rFonts w:ascii="Arial" w:cs="Arial" w:eastAsia="Arial" w:hAnsi="Arial"/>
          <w:sz w:val="19"/>
          <w:szCs w:val="19"/>
          <w:u w:val="single" w:color="auto"/>
          <w:color w:val="auto"/>
        </w:rPr>
        <w:t>India</w:t>
      </w:r>
      <w:r>
        <w:rPr>
          <w:rFonts w:ascii="Arial" w:cs="Arial" w:eastAsia="Arial" w:hAnsi="Arial"/>
          <w:sz w:val="19"/>
          <w:szCs w:val="19"/>
          <w:color w:val="auto"/>
        </w:rPr>
        <w:t xml:space="preserve"> </w:t>
      </w:r>
      <w:r>
        <w:rPr>
          <w:rFonts w:ascii="Arial" w:cs="Arial" w:eastAsia="Arial" w:hAnsi="Arial"/>
          <w:sz w:val="19"/>
          <w:szCs w:val="19"/>
          <w:u w:val="single" w:color="auto"/>
          <w:color w:val="auto"/>
        </w:rPr>
        <w:t>Revolving Loans</w:t>
      </w:r>
      <w:r>
        <w:rPr>
          <w:rFonts w:ascii="Arial" w:cs="Arial" w:eastAsia="Arial" w:hAnsi="Arial"/>
          <w:sz w:val="19"/>
          <w:szCs w:val="19"/>
          <w:color w:val="auto"/>
        </w:rPr>
        <w:t>”) to the India Borrower in Indian Rupees, from time to time, on any Business Day, in an aggregate principal amount of up to TEN MILLION DOLLARS ($10,000,000) (as such amount may be increased or decreased in accordance with the provisions hereof, the “</w:t>
      </w:r>
      <w:r>
        <w:rPr>
          <w:rFonts w:ascii="Arial" w:cs="Arial" w:eastAsia="Arial" w:hAnsi="Arial"/>
          <w:sz w:val="19"/>
          <w:szCs w:val="19"/>
          <w:u w:val="single" w:color="auto"/>
          <w:color w:val="auto"/>
        </w:rPr>
        <w:t>Aggregate India Revolving Committed Amount</w:t>
      </w:r>
      <w:r>
        <w:rPr>
          <w:rFonts w:ascii="Arial" w:cs="Arial" w:eastAsia="Arial" w:hAnsi="Arial"/>
          <w:sz w:val="19"/>
          <w:szCs w:val="19"/>
          <w:color w:val="auto"/>
        </w:rPr>
        <w:t>”);</w:t>
      </w:r>
    </w:p>
    <w:p>
      <w:pPr>
        <w:spacing w:after="0" w:line="181" w:lineRule="exact"/>
        <w:rPr>
          <w:sz w:val="20"/>
          <w:szCs w:val="20"/>
          <w:color w:val="auto"/>
        </w:rPr>
      </w:pPr>
    </w:p>
    <w:p>
      <w:pPr>
        <w:ind w:left="1300" w:right="140" w:firstLine="653"/>
        <w:spacing w:after="0" w:line="351" w:lineRule="auto"/>
        <w:tabs>
          <w:tab w:leader="none" w:pos="2392" w:val="left"/>
        </w:tabs>
        <w:numPr>
          <w:ilvl w:val="0"/>
          <w:numId w:val="74"/>
        </w:numPr>
        <w:rPr>
          <w:rFonts w:ascii="Arial" w:cs="Arial" w:eastAsia="Arial" w:hAnsi="Arial"/>
          <w:sz w:val="19"/>
          <w:szCs w:val="19"/>
          <w:color w:val="auto"/>
        </w:rPr>
      </w:pPr>
      <w:r>
        <w:rPr>
          <w:rFonts w:ascii="Arial" w:cs="Arial" w:eastAsia="Arial" w:hAnsi="Arial"/>
          <w:sz w:val="18"/>
          <w:szCs w:val="18"/>
          <w:u w:val="single" w:color="auto"/>
          <w:color w:val="auto"/>
        </w:rPr>
        <w:t>India Letters of Credit</w:t>
      </w:r>
      <w:r>
        <w:rPr>
          <w:rFonts w:ascii="Arial" w:cs="Arial" w:eastAsia="Arial" w:hAnsi="Arial"/>
          <w:sz w:val="18"/>
          <w:szCs w:val="18"/>
          <w:color w:val="auto"/>
        </w:rPr>
        <w:t>. (A) The India L/C Issuer, in reliance upon the commitments of the India Revolving Lenders set forth herein, agrees (I) to issue India Letters of Credit denominated in Indian Rupees for the account of the India Borrower on any Business Day, (II) to amend or extend India Letters of Credit previously issued hereunder, and (III) to honor drawings under India Letters of Credit; and (B) the India Revolving Lenders severally agree to purchase from the India L/C Issuer a participation interest in the Existing India Letters of Credit and India Letters of Credit issued hereunder in an amount equal to such Lender’s India Revolving Commitment Percentage thereof, in an aggregate principal amount up to TEN MILLION DOLLARS ($10,000,000) (as such amount may be decreased in accordance with the provisions hereof, the “</w:t>
      </w:r>
      <w:r>
        <w:rPr>
          <w:rFonts w:ascii="Arial" w:cs="Arial" w:eastAsia="Arial" w:hAnsi="Arial"/>
          <w:sz w:val="18"/>
          <w:szCs w:val="18"/>
          <w:u w:val="single" w:color="auto"/>
          <w:color w:val="auto"/>
        </w:rPr>
        <w:t>India</w:t>
      </w:r>
      <w:r>
        <w:rPr>
          <w:rFonts w:ascii="Arial" w:cs="Arial" w:eastAsia="Arial" w:hAnsi="Arial"/>
          <w:sz w:val="18"/>
          <w:szCs w:val="18"/>
          <w:color w:val="auto"/>
        </w:rPr>
        <w:t xml:space="preserve"> </w:t>
      </w:r>
      <w:r>
        <w:rPr>
          <w:rFonts w:ascii="Arial" w:cs="Arial" w:eastAsia="Arial" w:hAnsi="Arial"/>
          <w:sz w:val="18"/>
          <w:szCs w:val="18"/>
          <w:u w:val="single" w:color="auto"/>
          <w:color w:val="auto"/>
        </w:rPr>
        <w:t>L/C Sublimit</w:t>
      </w:r>
      <w:r>
        <w:rPr>
          <w:rFonts w:ascii="Arial" w:cs="Arial" w:eastAsia="Arial" w:hAnsi="Arial"/>
          <w:sz w:val="18"/>
          <w:szCs w:val="18"/>
          <w:color w:val="auto"/>
        </w:rPr>
        <w:t xml:space="preserv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Outstanding Amount of India L/C Obligations shall not exceed the India L/C Sublimit;</w:t>
      </w:r>
    </w:p>
    <w:p>
      <w:pPr>
        <w:spacing w:after="0" w:line="127" w:lineRule="exact"/>
        <w:rPr>
          <w:sz w:val="20"/>
          <w:szCs w:val="20"/>
          <w:color w:val="auto"/>
        </w:rPr>
      </w:pPr>
    </w:p>
    <w:p>
      <w:pPr>
        <w:ind w:right="120"/>
        <w:spacing w:after="0" w:line="291" w:lineRule="auto"/>
        <w:rPr>
          <w:sz w:val="20"/>
          <w:szCs w:val="20"/>
          <w:color w:val="auto"/>
        </w:rPr>
      </w:pPr>
      <w:r>
        <w:rPr>
          <w:rFonts w:ascii="Arial" w:cs="Arial" w:eastAsia="Arial" w:hAnsi="Arial"/>
          <w:sz w:val="18"/>
          <w:szCs w:val="18"/>
          <w:color w:val="auto"/>
        </w:rPr>
        <w:t xml:space="preserve">and, </w:t>
      </w:r>
      <w:r>
        <w:rPr>
          <w:rFonts w:ascii="Arial" w:cs="Arial" w:eastAsia="Arial" w:hAnsi="Arial"/>
          <w:sz w:val="18"/>
          <w:szCs w:val="18"/>
          <w:u w:val="single" w:color="auto"/>
          <w:color w:val="auto"/>
        </w:rPr>
        <w:t>provided further</w:t>
      </w:r>
      <w:r>
        <w:rPr>
          <w:rFonts w:ascii="Arial" w:cs="Arial" w:eastAsia="Arial" w:hAnsi="Arial"/>
          <w:sz w:val="18"/>
          <w:szCs w:val="18"/>
          <w:color w:val="auto"/>
        </w:rPr>
        <w:t xml:space="preserve"> that, in each such case, (A) the aggregate Outstanding Amount of India Revolving Loan Obligations shall not exceed the Aggregate India Revolving Committed Amount, and (B) with regard to each India Revolving Lender individually, such Lender’s India Revolving Commitment Percentage of India Revolving Loan Obligations shall not exceed its respective India Revolving Committed Amount.</w:t>
      </w:r>
    </w:p>
    <w:p>
      <w:pPr>
        <w:spacing w:after="0" w:line="192" w:lineRule="exact"/>
        <w:rPr>
          <w:sz w:val="20"/>
          <w:szCs w:val="20"/>
          <w:color w:val="auto"/>
        </w:rPr>
      </w:pPr>
    </w:p>
    <w:p>
      <w:pPr>
        <w:ind w:left="1300" w:right="300" w:firstLine="653"/>
        <w:spacing w:after="0" w:line="351" w:lineRule="auto"/>
        <w:tabs>
          <w:tab w:leader="none" w:pos="2452" w:val="left"/>
        </w:tabs>
        <w:numPr>
          <w:ilvl w:val="0"/>
          <w:numId w:val="75"/>
        </w:numPr>
        <w:rPr>
          <w:rFonts w:ascii="Arial" w:cs="Arial" w:eastAsia="Arial" w:hAnsi="Arial"/>
          <w:sz w:val="21"/>
          <w:szCs w:val="21"/>
          <w:color w:val="auto"/>
        </w:rPr>
      </w:pPr>
      <w:r>
        <w:rPr>
          <w:rFonts w:ascii="Arial" w:cs="Arial" w:eastAsia="Arial" w:hAnsi="Arial"/>
          <w:sz w:val="19"/>
          <w:szCs w:val="19"/>
          <w:u w:val="single" w:color="auto"/>
          <w:color w:val="auto"/>
        </w:rPr>
        <w:t>Additional Provisions Relating to India Revolving Loans</w:t>
      </w:r>
      <w:r>
        <w:rPr>
          <w:rFonts w:ascii="Arial" w:cs="Arial" w:eastAsia="Arial" w:hAnsi="Arial"/>
          <w:sz w:val="19"/>
          <w:szCs w:val="19"/>
          <w:color w:val="auto"/>
        </w:rPr>
        <w:t>. India Revolving Loans may be comprised of Fixed LIBOR Rate Loans only and may be repaid and reborrowed in accordance with the provisions hereof.</w:t>
      </w:r>
    </w:p>
    <w:p>
      <w:pPr>
        <w:spacing w:after="0" w:line="151" w:lineRule="exact"/>
        <w:rPr>
          <w:rFonts w:ascii="Arial" w:cs="Arial" w:eastAsia="Arial" w:hAnsi="Arial"/>
          <w:sz w:val="21"/>
          <w:szCs w:val="21"/>
          <w:color w:val="auto"/>
        </w:rPr>
      </w:pPr>
    </w:p>
    <w:p>
      <w:pPr>
        <w:ind w:left="1300" w:right="240" w:firstLine="653"/>
        <w:spacing w:after="0" w:line="312" w:lineRule="auto"/>
        <w:tabs>
          <w:tab w:leader="none" w:pos="2440" w:val="left"/>
        </w:tabs>
        <w:numPr>
          <w:ilvl w:val="0"/>
          <w:numId w:val="75"/>
        </w:numPr>
        <w:rPr>
          <w:rFonts w:ascii="Arial" w:cs="Arial" w:eastAsia="Arial" w:hAnsi="Arial"/>
          <w:sz w:val="22"/>
          <w:szCs w:val="22"/>
          <w:color w:val="auto"/>
        </w:rPr>
      </w:pPr>
      <w:r>
        <w:rPr>
          <w:rFonts w:ascii="Arial" w:cs="Arial" w:eastAsia="Arial" w:hAnsi="Arial"/>
          <w:sz w:val="20"/>
          <w:szCs w:val="20"/>
          <w:u w:val="single" w:color="auto"/>
          <w:color w:val="auto"/>
        </w:rPr>
        <w:t>Additional Provisions Relating to India Letters of Credit</w:t>
      </w:r>
      <w:r>
        <w:rPr>
          <w:rFonts w:ascii="Arial" w:cs="Arial" w:eastAsia="Arial" w:hAnsi="Arial"/>
          <w:sz w:val="20"/>
          <w:szCs w:val="20"/>
          <w:color w:val="auto"/>
        </w:rPr>
        <w:t>. Subject to the terms and conditions hereof, the India Borrower’s ability to obtain India Letters of Credit shall be fully revolving, and accordingly the India Borrower may obtain India Letters of</w:t>
      </w: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75</w:t>
      </w:r>
    </w:p>
    <w:p>
      <w:pPr>
        <w:spacing w:after="0" w:line="10" w:lineRule="exact"/>
        <w:rPr>
          <w:sz w:val="20"/>
          <w:szCs w:val="20"/>
          <w:color w:val="auto"/>
        </w:rPr>
      </w:pPr>
    </w:p>
    <w:p>
      <w:pPr>
        <w:spacing w:after="0"/>
        <w:rPr>
          <w:sz w:val="20"/>
          <w:szCs w:val="20"/>
          <w:color w:val="auto"/>
        </w:rPr>
      </w:pPr>
      <w:r>
        <w:rPr>
          <w:rFonts w:ascii="Arial" w:cs="Arial" w:eastAsia="Arial" w:hAnsi="Arial"/>
          <w:sz w:val="14"/>
          <w:szCs w:val="14"/>
          <w:color w:val="auto"/>
        </w:rPr>
        <w:t>CHAR1\1346423v</w:t>
      </w:r>
      <w:r>
        <w:rPr>
          <w:rFonts w:ascii="Arial" w:cs="Arial" w:eastAsia="Arial" w:hAnsi="Arial"/>
          <w:sz w:val="14"/>
          <w:szCs w:val="14"/>
          <w:color w:val="FF0000"/>
          <w:strike w:val="1"/>
        </w:rPr>
        <w:t>1</w:t>
      </w:r>
      <w:r>
        <w:rPr>
          <w:rFonts w:ascii="Arial" w:cs="Arial" w:eastAsia="Arial" w:hAnsi="Arial"/>
          <w:sz w:val="14"/>
          <w:szCs w:val="14"/>
          <w:u w:val="single" w:color="auto"/>
          <w:color w:val="0000FF"/>
        </w:rPr>
        <w:t>12</w:t>
      </w:r>
    </w:p>
    <w:p>
      <w:pPr>
        <w:sectPr>
          <w:pgSz w:w="11900" w:h="16838" w:orient="portrait"/>
          <w:cols w:equalWidth="0" w:num="1">
            <w:col w:w="11400"/>
          </w:cols>
          <w:pgMar w:left="240" w:top="582" w:right="259" w:bottom="1440" w:gutter="0" w:footer="0" w:header="0"/>
        </w:sectPr>
      </w:pPr>
    </w:p>
    <w:bookmarkStart w:id="127" w:name="page128"/>
    <w:bookmarkEnd w:id="127"/>
    <w:p>
      <w:pPr>
        <w:ind w:left="1300" w:right="80"/>
        <w:spacing w:after="0" w:line="292" w:lineRule="auto"/>
        <w:rPr>
          <w:sz w:val="20"/>
          <w:szCs w:val="20"/>
          <w:color w:val="auto"/>
        </w:rPr>
      </w:pPr>
      <w:r>
        <w:rPr>
          <w:rFonts w:ascii="Arial" w:cs="Arial" w:eastAsia="Arial" w:hAnsi="Arial"/>
          <w:sz w:val="20"/>
          <w:szCs w:val="20"/>
          <w:color w:val="auto"/>
        </w:rPr>
        <w:t>Credit to replace India Letters of Credit that have expired or that have been drawn upon and reimbursed. Existing India Letters of Credit shall be deemed to have been issued hereunder and shall be subject to and governed by the terms and conditions hereof.</w:t>
      </w:r>
    </w:p>
    <w:p>
      <w:pPr>
        <w:spacing w:after="0" w:line="187" w:lineRule="exact"/>
        <w:rPr>
          <w:sz w:val="20"/>
          <w:szCs w:val="20"/>
          <w:color w:val="auto"/>
        </w:rPr>
      </w:pPr>
    </w:p>
    <w:p>
      <w:pPr>
        <w:ind w:left="1700" w:hanging="395"/>
        <w:spacing w:after="0"/>
        <w:tabs>
          <w:tab w:leader="none" w:pos="1700" w:val="left"/>
        </w:tabs>
        <w:numPr>
          <w:ilvl w:val="0"/>
          <w:numId w:val="76"/>
        </w:numPr>
        <w:rPr>
          <w:rFonts w:ascii="Arial" w:cs="Arial" w:eastAsia="Arial" w:hAnsi="Arial"/>
          <w:sz w:val="18"/>
          <w:szCs w:val="18"/>
          <w:color w:val="auto"/>
        </w:rPr>
      </w:pPr>
      <w:r>
        <w:rPr>
          <w:rFonts w:ascii="Arial" w:cs="Arial" w:eastAsia="Arial" w:hAnsi="Arial"/>
          <w:sz w:val="18"/>
          <w:szCs w:val="18"/>
          <w:u w:val="single" w:color="auto"/>
          <w:color w:val="auto"/>
        </w:rPr>
        <w:t>Term Loan A</w:t>
      </w:r>
      <w:r>
        <w:rPr>
          <w:rFonts w:ascii="Arial" w:cs="Arial" w:eastAsia="Arial" w:hAnsi="Arial"/>
          <w:sz w:val="18"/>
          <w:szCs w:val="18"/>
          <w:color w:val="auto"/>
        </w:rPr>
        <w:t xml:space="preserve">. On the Closing Date, </w:t>
      </w:r>
      <w:r>
        <w:rPr>
          <w:rFonts w:ascii="Arial" w:cs="Arial" w:eastAsia="Arial" w:hAnsi="Arial"/>
          <w:sz w:val="18"/>
          <w:szCs w:val="18"/>
          <w:color w:val="FF0000"/>
          <w:strike w:val="1"/>
        </w:rPr>
        <w:t>each of the Term Loan A Lenders severally agrees to make its portion of a term loan</w:t>
      </w:r>
    </w:p>
    <w:p>
      <w:pPr>
        <w:spacing w:after="0" w:line="76" w:lineRule="exact"/>
        <w:rPr>
          <w:rFonts w:ascii="Arial" w:cs="Arial" w:eastAsia="Arial" w:hAnsi="Arial"/>
          <w:sz w:val="18"/>
          <w:szCs w:val="18"/>
          <w:color w:val="auto"/>
        </w:rPr>
      </w:pPr>
    </w:p>
    <w:p>
      <w:pPr>
        <w:ind w:left="660"/>
        <w:spacing w:after="0" w:line="320" w:lineRule="auto"/>
        <w:rPr>
          <w:rFonts w:ascii="Arial" w:cs="Arial" w:eastAsia="Arial" w:hAnsi="Arial"/>
          <w:sz w:val="18"/>
          <w:szCs w:val="18"/>
          <w:color w:val="auto"/>
        </w:rPr>
      </w:pPr>
      <w:r>
        <w:rPr>
          <w:rFonts w:ascii="Arial" w:cs="Arial" w:eastAsia="Arial" w:hAnsi="Arial"/>
          <w:sz w:val="18"/>
          <w:szCs w:val="18"/>
          <w:color w:val="FF0000"/>
          <w:strike w:val="1"/>
        </w:rPr>
        <w:t>(in the amount of its respective Term Loan A Committed Amount)</w:t>
      </w:r>
      <w:r>
        <w:rPr>
          <w:rFonts w:ascii="Arial" w:cs="Arial" w:eastAsia="Arial" w:hAnsi="Arial"/>
          <w:sz w:val="18"/>
          <w:szCs w:val="18"/>
          <w:u w:val="single" w:color="auto"/>
          <w:color w:val="0000FF"/>
        </w:rPr>
        <w:t>a term loan (the “Term Loan A”) was made</w:t>
      </w:r>
      <w:r>
        <w:rPr>
          <w:rFonts w:ascii="Arial" w:cs="Arial" w:eastAsia="Arial" w:hAnsi="Arial"/>
          <w:sz w:val="18"/>
          <w:szCs w:val="18"/>
          <w:color w:val="FF0000"/>
        </w:rPr>
        <w:t xml:space="preserve"> </w:t>
      </w:r>
      <w:r>
        <w:rPr>
          <w:rFonts w:ascii="Arial" w:cs="Arial" w:eastAsia="Arial" w:hAnsi="Arial"/>
          <w:sz w:val="18"/>
          <w:szCs w:val="18"/>
          <w:color w:val="000000"/>
        </w:rPr>
        <w:t>to the Term Loan A</w:t>
      </w:r>
      <w:r>
        <w:rPr>
          <w:rFonts w:ascii="Arial" w:cs="Arial" w:eastAsia="Arial" w:hAnsi="Arial"/>
          <w:sz w:val="18"/>
          <w:szCs w:val="18"/>
          <w:color w:val="FF0000"/>
        </w:rPr>
        <w:t xml:space="preserve"> </w:t>
      </w:r>
      <w:r>
        <w:rPr>
          <w:rFonts w:ascii="Arial" w:cs="Arial" w:eastAsia="Arial" w:hAnsi="Arial"/>
          <w:sz w:val="18"/>
          <w:szCs w:val="18"/>
          <w:color w:val="000000"/>
        </w:rPr>
        <w:t xml:space="preserve">Borrower in </w:t>
      </w:r>
      <w:r>
        <w:rPr>
          <w:rFonts w:ascii="Arial" w:cs="Arial" w:eastAsia="Arial" w:hAnsi="Arial"/>
          <w:sz w:val="18"/>
          <w:szCs w:val="18"/>
          <w:color w:val="FF0000"/>
          <w:strike w:val="1"/>
        </w:rPr>
        <w:t>Dollars in a single advance in</w:t>
      </w:r>
      <w:r>
        <w:rPr>
          <w:rFonts w:ascii="Arial" w:cs="Arial" w:eastAsia="Arial" w:hAnsi="Arial"/>
          <w:sz w:val="18"/>
          <w:szCs w:val="18"/>
          <w:color w:val="000000"/>
        </w:rPr>
        <w:t xml:space="preserve"> an aggregate principal amount of </w:t>
      </w:r>
      <w:r>
        <w:rPr>
          <w:rFonts w:ascii="Arial" w:cs="Arial" w:eastAsia="Arial" w:hAnsi="Arial"/>
          <w:sz w:val="18"/>
          <w:szCs w:val="18"/>
          <w:color w:val="FF0000"/>
          <w:strike w:val="1"/>
        </w:rPr>
        <w:t>EIGHTY MILLION DOLLARS ($80,000,000) (the “</w:t>
      </w:r>
      <w:r>
        <w:rPr>
          <w:rFonts w:ascii="Arial" w:cs="Arial" w:eastAsia="Arial" w:hAnsi="Arial"/>
          <w:sz w:val="18"/>
          <w:szCs w:val="18"/>
          <w:u w:val="single" w:color="auto"/>
          <w:color w:val="FF0000"/>
          <w:strike w:val="1"/>
        </w:rPr>
        <w:t>Term</w:t>
      </w:r>
      <w:r>
        <w:rPr>
          <w:rFonts w:ascii="Arial" w:cs="Arial" w:eastAsia="Arial" w:hAnsi="Arial"/>
          <w:sz w:val="18"/>
          <w:szCs w:val="18"/>
          <w:color w:val="000000"/>
        </w:rPr>
        <w:t xml:space="preserve"> </w:t>
      </w:r>
      <w:r>
        <w:rPr>
          <w:rFonts w:ascii="Arial" w:cs="Arial" w:eastAsia="Arial" w:hAnsi="Arial"/>
          <w:sz w:val="18"/>
          <w:szCs w:val="18"/>
          <w:u w:val="single" w:color="auto"/>
          <w:color w:val="FF0000"/>
          <w:strike w:val="1"/>
        </w:rPr>
        <w:t>Loan A</w:t>
      </w:r>
      <w:r>
        <w:rPr>
          <w:rFonts w:ascii="Arial" w:cs="Arial" w:eastAsia="Arial" w:hAnsi="Arial"/>
          <w:sz w:val="18"/>
          <w:szCs w:val="18"/>
          <w:color w:val="FF0000"/>
          <w:strike w:val="1"/>
        </w:rPr>
        <w:t>”)</w:t>
      </w:r>
      <w:r>
        <w:rPr>
          <w:rFonts w:ascii="Arial" w:cs="Arial" w:eastAsia="Arial" w:hAnsi="Arial"/>
          <w:sz w:val="18"/>
          <w:szCs w:val="18"/>
          <w:u w:val="single" w:color="auto"/>
          <w:color w:val="0000FF"/>
          <w:strike w:val="1"/>
        </w:rPr>
        <w:t>Eighty Million Dollars ($80,000,000). Principal amortization payments of Fourteen Million Dollars ($14,000,000) have been</w:t>
      </w:r>
      <w:r>
        <w:rPr>
          <w:rFonts w:ascii="Arial" w:cs="Arial" w:eastAsia="Arial" w:hAnsi="Arial"/>
          <w:sz w:val="18"/>
          <w:szCs w:val="18"/>
          <w:u w:val="single" w:color="auto"/>
          <w:color w:val="FF0000"/>
          <w:strike w:val="1"/>
        </w:rPr>
        <w:t xml:space="preserve"> </w:t>
      </w:r>
      <w:r>
        <w:rPr>
          <w:rFonts w:ascii="Arial" w:cs="Arial" w:eastAsia="Arial" w:hAnsi="Arial"/>
          <w:sz w:val="18"/>
          <w:szCs w:val="18"/>
          <w:u w:val="single" w:color="auto"/>
          <w:color w:val="0000FF"/>
          <w:strike w:val="1"/>
        </w:rPr>
        <w:t>made and on the Amendment No. 1 Effective Date the Outstanding Amount of the Term Loan A is Sixty-Six Million Dollars ($66,000,000). The aggregate amount of the Term Loan A shall be increased by Nine Million Dollars ($9,000,000) to SEVENTY-FIVE MILLION DOLLARS ($75,000,000). The schedule of Term Loan A Lenders and their interests in the Term Loan A, as increased, is set out in Schedule 2.01, as updated and amended</w:t>
      </w:r>
      <w:r>
        <w:rPr>
          <w:rFonts w:ascii="Arial" w:cs="Arial" w:eastAsia="Arial" w:hAnsi="Arial"/>
          <w:sz w:val="18"/>
          <w:szCs w:val="18"/>
          <w:color w:val="000000"/>
          <w:strike w:val="1"/>
        </w:rPr>
        <w:t>. The Term Loan A may consist of Base Rate Loans, Fixed LIBOR Rate Loans or a</w:t>
      </w:r>
      <w:r>
        <w:rPr>
          <w:rFonts w:ascii="Arial" w:cs="Arial" w:eastAsia="Arial" w:hAnsi="Arial"/>
          <w:sz w:val="18"/>
          <w:szCs w:val="18"/>
          <w:color w:val="0000FF"/>
          <w:strike w:val="1"/>
        </w:rPr>
        <w:t xml:space="preserve"> </w:t>
      </w:r>
      <w:r>
        <w:rPr>
          <w:rFonts w:ascii="Arial" w:cs="Arial" w:eastAsia="Arial" w:hAnsi="Arial"/>
          <w:sz w:val="18"/>
          <w:szCs w:val="18"/>
          <w:color w:val="000000"/>
          <w:strike w:val="1"/>
        </w:rPr>
        <w:t>combination thereto, as the Term Loan A Borrower may request. Amounts repaid on the Term Loan A may not be reborrowed.</w:t>
      </w:r>
    </w:p>
    <w:p>
      <w:pPr>
        <w:spacing w:after="0" w:line="169" w:lineRule="exact"/>
        <w:rPr>
          <w:rFonts w:ascii="Arial" w:cs="Arial" w:eastAsia="Arial" w:hAnsi="Arial"/>
          <w:sz w:val="18"/>
          <w:szCs w:val="18"/>
          <w:color w:val="auto"/>
        </w:rPr>
      </w:pPr>
    </w:p>
    <w:p>
      <w:pPr>
        <w:ind w:left="1680" w:hanging="375"/>
        <w:spacing w:after="0"/>
        <w:tabs>
          <w:tab w:leader="none" w:pos="1680" w:val="left"/>
        </w:tabs>
        <w:numPr>
          <w:ilvl w:val="0"/>
          <w:numId w:val="76"/>
        </w:numPr>
        <w:rPr>
          <w:rFonts w:ascii="Arial" w:cs="Arial" w:eastAsia="Arial" w:hAnsi="Arial"/>
          <w:sz w:val="18"/>
          <w:szCs w:val="18"/>
          <w:color w:val="auto"/>
        </w:rPr>
      </w:pPr>
      <w:r>
        <w:rPr>
          <w:rFonts w:ascii="Arial" w:cs="Arial" w:eastAsia="Arial" w:hAnsi="Arial"/>
          <w:sz w:val="18"/>
          <w:szCs w:val="18"/>
          <w:u w:val="single" w:color="auto"/>
          <w:color w:val="auto"/>
        </w:rPr>
        <w:t>Incremental Credit Facilities</w:t>
      </w:r>
      <w:r>
        <w:rPr>
          <w:rFonts w:ascii="Arial" w:cs="Arial" w:eastAsia="Arial" w:hAnsi="Arial"/>
          <w:sz w:val="18"/>
          <w:szCs w:val="18"/>
          <w:color w:val="auto"/>
        </w:rPr>
        <w:t>. At any time on or after the Closing Date, EWI may, on written notice to the Administrative</w:t>
      </w:r>
    </w:p>
    <w:p>
      <w:pPr>
        <w:spacing w:after="0" w:line="76" w:lineRule="exact"/>
        <w:rPr>
          <w:rFonts w:ascii="Arial" w:cs="Arial" w:eastAsia="Arial" w:hAnsi="Arial"/>
          <w:sz w:val="18"/>
          <w:szCs w:val="18"/>
          <w:color w:val="auto"/>
        </w:rPr>
      </w:pPr>
    </w:p>
    <w:p>
      <w:pPr>
        <w:ind w:left="660" w:right="40"/>
        <w:spacing w:after="0" w:line="288" w:lineRule="auto"/>
        <w:rPr>
          <w:rFonts w:ascii="Arial" w:cs="Arial" w:eastAsia="Arial" w:hAnsi="Arial"/>
          <w:sz w:val="18"/>
          <w:szCs w:val="18"/>
          <w:color w:val="auto"/>
        </w:rPr>
      </w:pPr>
      <w:r>
        <w:rPr>
          <w:rFonts w:ascii="Arial" w:cs="Arial" w:eastAsia="Arial" w:hAnsi="Arial"/>
          <w:sz w:val="20"/>
          <w:szCs w:val="20"/>
          <w:color w:val="auto"/>
        </w:rPr>
        <w:t>Agent, establish additional credit facilities (collectively, the “</w:t>
      </w:r>
      <w:r>
        <w:rPr>
          <w:rFonts w:ascii="Arial" w:cs="Arial" w:eastAsia="Arial" w:hAnsi="Arial"/>
          <w:sz w:val="20"/>
          <w:szCs w:val="20"/>
          <w:u w:val="single" w:color="auto"/>
          <w:color w:val="auto"/>
        </w:rPr>
        <w:t>Incremental Credit Facilities</w:t>
      </w:r>
      <w:r>
        <w:rPr>
          <w:rFonts w:ascii="Arial" w:cs="Arial" w:eastAsia="Arial" w:hAnsi="Arial"/>
          <w:sz w:val="20"/>
          <w:szCs w:val="20"/>
          <w:color w:val="auto"/>
        </w:rPr>
        <w:t xml:space="preserve">”) by increasing the Aggregate Revolving Commitments for Australian Revolving Obligations, USD Revolving Obligations, European Revolving Obligations or India Revolving Obligations or the amount of the Term Loan A as provided in </w:t>
      </w:r>
      <w:r>
        <w:rPr>
          <w:rFonts w:ascii="Arial" w:cs="Arial" w:eastAsia="Arial" w:hAnsi="Arial"/>
          <w:sz w:val="20"/>
          <w:szCs w:val="20"/>
          <w:u w:val="single" w:color="auto"/>
          <w:color w:val="auto"/>
        </w:rPr>
        <w:t>Section 2.01(f</w:t>
      </w:r>
      <w:r>
        <w:rPr>
          <w:rFonts w:ascii="Arial" w:cs="Arial" w:eastAsia="Arial" w:hAnsi="Arial"/>
          <w:sz w:val="20"/>
          <w:szCs w:val="20"/>
          <w:color w:val="auto"/>
        </w:rPr>
        <w:t xml:space="preserve">), or establishing one or more new revolving loans or term loans, or some combination thereof;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w:t>
      </w:r>
    </w:p>
    <w:p>
      <w:pPr>
        <w:spacing w:after="0" w:line="206" w:lineRule="exact"/>
        <w:rPr>
          <w:sz w:val="20"/>
          <w:szCs w:val="20"/>
          <w:color w:val="auto"/>
        </w:rPr>
      </w:pPr>
    </w:p>
    <w:p>
      <w:pPr>
        <w:ind w:left="1300" w:right="840" w:firstLine="653"/>
        <w:spacing w:after="0" w:line="312" w:lineRule="auto"/>
        <w:tabs>
          <w:tab w:leader="none" w:pos="2332" w:val="left"/>
        </w:tabs>
        <w:numPr>
          <w:ilvl w:val="1"/>
          <w:numId w:val="77"/>
        </w:numPr>
        <w:rPr>
          <w:rFonts w:ascii="Arial" w:cs="Arial" w:eastAsia="Arial" w:hAnsi="Arial"/>
          <w:sz w:val="22"/>
          <w:szCs w:val="22"/>
          <w:color w:val="auto"/>
        </w:rPr>
      </w:pPr>
      <w:r>
        <w:rPr>
          <w:rFonts w:ascii="Arial" w:cs="Arial" w:eastAsia="Arial" w:hAnsi="Arial"/>
          <w:sz w:val="20"/>
          <w:szCs w:val="20"/>
          <w:color w:val="auto"/>
        </w:rPr>
        <w:t xml:space="preserve">the aggregate amount of loans and commitments for all Incremental Loan Facilities established after the </w:t>
      </w:r>
      <w:r>
        <w:rPr>
          <w:rFonts w:ascii="Arial" w:cs="Arial" w:eastAsia="Arial" w:hAnsi="Arial"/>
          <w:sz w:val="20"/>
          <w:szCs w:val="20"/>
          <w:color w:val="FF0000"/>
          <w:strike w:val="1"/>
        </w:rPr>
        <w:t>Closing</w:t>
      </w:r>
      <w:r>
        <w:rPr>
          <w:rFonts w:ascii="Arial" w:cs="Arial" w:eastAsia="Arial" w:hAnsi="Arial"/>
          <w:sz w:val="20"/>
          <w:szCs w:val="20"/>
          <w:u w:val="single" w:color="auto"/>
          <w:color w:val="0000FF"/>
        </w:rPr>
        <w:t>Amendment No. 1 Effective</w:t>
      </w:r>
      <w:r>
        <w:rPr>
          <w:rFonts w:ascii="Arial" w:cs="Arial" w:eastAsia="Arial" w:hAnsi="Arial"/>
          <w:sz w:val="20"/>
          <w:szCs w:val="20"/>
          <w:color w:val="FF0000"/>
        </w:rPr>
        <w:t xml:space="preserve"> </w:t>
      </w:r>
      <w:r>
        <w:rPr>
          <w:rFonts w:ascii="Arial" w:cs="Arial" w:eastAsia="Arial" w:hAnsi="Arial"/>
          <w:sz w:val="20"/>
          <w:szCs w:val="20"/>
          <w:color w:val="000000"/>
        </w:rPr>
        <w:t>Date hereunder shall not exceed</w:t>
      </w:r>
      <w:r>
        <w:rPr>
          <w:rFonts w:ascii="Arial" w:cs="Arial" w:eastAsia="Arial" w:hAnsi="Arial"/>
          <w:sz w:val="20"/>
          <w:szCs w:val="20"/>
          <w:color w:val="FF0000"/>
        </w:rPr>
        <w:t xml:space="preserve"> </w:t>
      </w:r>
      <w:r>
        <w:rPr>
          <w:rFonts w:ascii="Arial" w:cs="Arial" w:eastAsia="Arial" w:hAnsi="Arial"/>
          <w:sz w:val="20"/>
          <w:szCs w:val="20"/>
          <w:color w:val="FF0000"/>
          <w:strike w:val="1"/>
        </w:rPr>
        <w:t>Two</w:t>
      </w:r>
      <w:r>
        <w:rPr>
          <w:rFonts w:ascii="Arial" w:cs="Arial" w:eastAsia="Arial" w:hAnsi="Arial"/>
          <w:sz w:val="20"/>
          <w:szCs w:val="20"/>
          <w:u w:val="single" w:color="auto"/>
          <w:color w:val="0000FF"/>
        </w:rPr>
        <w:t>One</w:t>
      </w:r>
      <w:r>
        <w:rPr>
          <w:rFonts w:ascii="Arial" w:cs="Arial" w:eastAsia="Arial" w:hAnsi="Arial"/>
          <w:sz w:val="20"/>
          <w:szCs w:val="20"/>
          <w:color w:val="FF0000"/>
        </w:rPr>
        <w:t xml:space="preserve"> </w:t>
      </w:r>
      <w:r>
        <w:rPr>
          <w:rFonts w:ascii="Arial" w:cs="Arial" w:eastAsia="Arial" w:hAnsi="Arial"/>
          <w:sz w:val="20"/>
          <w:szCs w:val="20"/>
          <w:color w:val="000000"/>
        </w:rPr>
        <w:t>Hundred</w:t>
      </w:r>
      <w:r>
        <w:rPr>
          <w:rFonts w:ascii="Arial" w:cs="Arial" w:eastAsia="Arial" w:hAnsi="Arial"/>
          <w:sz w:val="20"/>
          <w:szCs w:val="20"/>
          <w:color w:val="FF0000"/>
        </w:rPr>
        <w:t xml:space="preserve"> </w:t>
      </w:r>
      <w:r>
        <w:rPr>
          <w:rFonts w:ascii="Arial" w:cs="Arial" w:eastAsia="Arial" w:hAnsi="Arial"/>
          <w:sz w:val="20"/>
          <w:szCs w:val="20"/>
          <w:color w:val="FF0000"/>
          <w:strike w:val="1"/>
        </w:rPr>
        <w:t>Five</w:t>
      </w:r>
      <w:r>
        <w:rPr>
          <w:rFonts w:ascii="Arial" w:cs="Arial" w:eastAsia="Arial" w:hAnsi="Arial"/>
          <w:sz w:val="20"/>
          <w:szCs w:val="20"/>
          <w:color w:val="FF0000"/>
        </w:rPr>
        <w:t xml:space="preserve"> </w:t>
      </w:r>
      <w:r>
        <w:rPr>
          <w:rFonts w:ascii="Arial" w:cs="Arial" w:eastAsia="Arial" w:hAnsi="Arial"/>
          <w:sz w:val="20"/>
          <w:szCs w:val="20"/>
          <w:color w:val="000000"/>
        </w:rPr>
        <w:t>Million Dollars</w:t>
      </w:r>
      <w:r>
        <w:rPr>
          <w:rFonts w:ascii="Arial" w:cs="Arial" w:eastAsia="Arial" w:hAnsi="Arial"/>
          <w:sz w:val="20"/>
          <w:szCs w:val="20"/>
          <w:color w:val="FF0000"/>
        </w:rPr>
        <w:t xml:space="preserve"> </w:t>
      </w:r>
      <w:r>
        <w:rPr>
          <w:rFonts w:ascii="Arial" w:cs="Arial" w:eastAsia="Arial" w:hAnsi="Arial"/>
          <w:sz w:val="20"/>
          <w:szCs w:val="20"/>
          <w:color w:val="000000"/>
        </w:rPr>
        <w:t>($</w:t>
      </w:r>
      <w:r>
        <w:rPr>
          <w:rFonts w:ascii="Arial" w:cs="Arial" w:eastAsia="Arial" w:hAnsi="Arial"/>
          <w:sz w:val="20"/>
          <w:szCs w:val="20"/>
          <w:color w:val="FF0000"/>
          <w:strike w:val="1"/>
        </w:rPr>
        <w:t>205,000,000</w:t>
      </w:r>
      <w:r>
        <w:rPr>
          <w:rFonts w:ascii="Arial" w:cs="Arial" w:eastAsia="Arial" w:hAnsi="Arial"/>
          <w:sz w:val="20"/>
          <w:szCs w:val="20"/>
          <w:u w:val="single" w:color="auto"/>
          <w:color w:val="0000FF"/>
        </w:rPr>
        <w:t>100,000,000</w:t>
      </w:r>
      <w:r>
        <w:rPr>
          <w:rFonts w:ascii="Arial" w:cs="Arial" w:eastAsia="Arial" w:hAnsi="Arial"/>
          <w:sz w:val="20"/>
          <w:szCs w:val="20"/>
          <w:color w:val="000000"/>
        </w:rPr>
        <w:t>);</w:t>
      </w:r>
    </w:p>
    <w:p>
      <w:pPr>
        <w:spacing w:after="0" w:line="194" w:lineRule="exact"/>
        <w:rPr>
          <w:rFonts w:ascii="Arial" w:cs="Arial" w:eastAsia="Arial" w:hAnsi="Arial"/>
          <w:sz w:val="22"/>
          <w:szCs w:val="22"/>
          <w:color w:val="auto"/>
        </w:rPr>
      </w:pPr>
    </w:p>
    <w:p>
      <w:pPr>
        <w:ind w:left="1300" w:right="80" w:firstLine="653"/>
        <w:spacing w:after="0" w:line="343" w:lineRule="auto"/>
        <w:tabs>
          <w:tab w:leader="none" w:pos="2392" w:val="left"/>
        </w:tabs>
        <w:numPr>
          <w:ilvl w:val="1"/>
          <w:numId w:val="77"/>
        </w:numPr>
        <w:rPr>
          <w:rFonts w:ascii="Arial" w:cs="Arial" w:eastAsia="Arial" w:hAnsi="Arial"/>
          <w:sz w:val="19"/>
          <w:szCs w:val="19"/>
          <w:color w:val="auto"/>
        </w:rPr>
      </w:pPr>
      <w:r>
        <w:rPr>
          <w:rFonts w:ascii="Arial" w:cs="Arial" w:eastAsia="Arial" w:hAnsi="Arial"/>
          <w:sz w:val="18"/>
          <w:szCs w:val="18"/>
          <w:color w:val="auto"/>
        </w:rPr>
        <w:t xml:space="preserve">(A) no Default or Event of Default shall exist immediately before or immediately after giving effect thereto, (B) the Credit Parties shall be in compliance with the financial covenants under </w:t>
      </w:r>
      <w:r>
        <w:rPr>
          <w:rFonts w:ascii="Arial" w:cs="Arial" w:eastAsia="Arial" w:hAnsi="Arial"/>
          <w:sz w:val="18"/>
          <w:szCs w:val="18"/>
          <w:u w:val="single" w:color="auto"/>
          <w:color w:val="auto"/>
        </w:rPr>
        <w:t>Section 8.12</w:t>
      </w:r>
      <w:r>
        <w:rPr>
          <w:rFonts w:ascii="Arial" w:cs="Arial" w:eastAsia="Arial" w:hAnsi="Arial"/>
          <w:sz w:val="18"/>
          <w:szCs w:val="18"/>
          <w:color w:val="auto"/>
        </w:rPr>
        <w:t xml:space="preserve"> after giving effect thereto on a Pro Forma Basis (assuming for purposes hereof that the entire amount of the Incremental Loan Facility is fully drawn and funded),</w:t>
      </w:r>
    </w:p>
    <w:p>
      <w:pPr>
        <w:ind w:left="1620" w:hanging="315"/>
        <w:spacing w:after="0"/>
        <w:tabs>
          <w:tab w:leader="none" w:pos="1620" w:val="left"/>
        </w:tabs>
        <w:numPr>
          <w:ilvl w:val="0"/>
          <w:numId w:val="78"/>
        </w:numPr>
        <w:rPr>
          <w:rFonts w:ascii="Arial" w:cs="Arial" w:eastAsia="Arial" w:hAnsi="Arial"/>
          <w:sz w:val="18"/>
          <w:szCs w:val="18"/>
          <w:color w:val="auto"/>
        </w:rPr>
      </w:pPr>
      <w:r>
        <w:rPr>
          <w:rFonts w:ascii="Arial" w:cs="Arial" w:eastAsia="Arial" w:hAnsi="Arial"/>
          <w:sz w:val="18"/>
          <w:szCs w:val="18"/>
          <w:color w:val="auto"/>
        </w:rPr>
        <w:t xml:space="preserve">the conditions for Credit Extensions under </w:t>
      </w:r>
      <w:r>
        <w:rPr>
          <w:rFonts w:ascii="Arial" w:cs="Arial" w:eastAsia="Arial" w:hAnsi="Arial"/>
          <w:sz w:val="18"/>
          <w:szCs w:val="18"/>
          <w:u w:val="single" w:color="auto"/>
          <w:color w:val="auto"/>
        </w:rPr>
        <w:t>subsections (a)</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(b)</w:t>
      </w:r>
      <w:r>
        <w:rPr>
          <w:rFonts w:ascii="Arial" w:cs="Arial" w:eastAsia="Arial" w:hAnsi="Arial"/>
          <w:sz w:val="18"/>
          <w:szCs w:val="18"/>
          <w:color w:val="auto"/>
        </w:rPr>
        <w:t xml:space="preserve"> of </w:t>
      </w:r>
      <w:r>
        <w:rPr>
          <w:rFonts w:ascii="Arial" w:cs="Arial" w:eastAsia="Arial" w:hAnsi="Arial"/>
          <w:sz w:val="18"/>
          <w:szCs w:val="18"/>
          <w:u w:val="single" w:color="auto"/>
          <w:color w:val="auto"/>
        </w:rPr>
        <w:t>Section 5.02</w:t>
      </w:r>
      <w:r>
        <w:rPr>
          <w:rFonts w:ascii="Arial" w:cs="Arial" w:eastAsia="Arial" w:hAnsi="Arial"/>
          <w:sz w:val="18"/>
          <w:szCs w:val="18"/>
          <w:color w:val="auto"/>
        </w:rPr>
        <w:t xml:space="preserve"> are or can be satisfied on such date, and</w:t>
      </w:r>
    </w:p>
    <w:p>
      <w:pPr>
        <w:spacing w:after="0" w:line="90" w:lineRule="exact"/>
        <w:rPr>
          <w:rFonts w:ascii="Arial" w:cs="Arial" w:eastAsia="Arial" w:hAnsi="Arial"/>
          <w:sz w:val="18"/>
          <w:szCs w:val="18"/>
          <w:color w:val="auto"/>
        </w:rPr>
      </w:pPr>
    </w:p>
    <w:p>
      <w:pPr>
        <w:ind w:left="1300" w:right="340" w:firstLine="5"/>
        <w:spacing w:after="0" w:line="331" w:lineRule="auto"/>
        <w:tabs>
          <w:tab w:leader="none" w:pos="1624" w:val="left"/>
        </w:tabs>
        <w:numPr>
          <w:ilvl w:val="0"/>
          <w:numId w:val="78"/>
        </w:numPr>
        <w:rPr>
          <w:rFonts w:ascii="Arial" w:cs="Arial" w:eastAsia="Arial" w:hAnsi="Arial"/>
          <w:sz w:val="20"/>
          <w:szCs w:val="20"/>
          <w:color w:val="auto"/>
        </w:rPr>
      </w:pPr>
      <w:r>
        <w:rPr>
          <w:rFonts w:ascii="Arial" w:cs="Arial" w:eastAsia="Arial" w:hAnsi="Arial"/>
          <w:sz w:val="20"/>
          <w:szCs w:val="20"/>
          <w:color w:val="auto"/>
        </w:rPr>
        <w:t xml:space="preserve">the Credit Parties shall demonstrate compliance with the sizing condition for the Incremental Loan Facility in </w:t>
      </w:r>
      <w:r>
        <w:rPr>
          <w:rFonts w:ascii="Arial" w:cs="Arial" w:eastAsia="Arial" w:hAnsi="Arial"/>
          <w:sz w:val="20"/>
          <w:szCs w:val="20"/>
          <w:u w:val="single" w:color="auto"/>
          <w:color w:val="auto"/>
        </w:rPr>
        <w:t>clause (i)</w:t>
      </w:r>
      <w:r>
        <w:rPr>
          <w:rFonts w:ascii="Arial" w:cs="Arial" w:eastAsia="Arial" w:hAnsi="Arial"/>
          <w:sz w:val="20"/>
          <w:szCs w:val="20"/>
          <w:color w:val="auto"/>
        </w:rPr>
        <w:t xml:space="preserve"> hereinabove;</w:t>
      </w:r>
    </w:p>
    <w:p>
      <w:pPr>
        <w:spacing w:after="0" w:line="175" w:lineRule="exact"/>
        <w:rPr>
          <w:rFonts w:ascii="Arial" w:cs="Arial" w:eastAsia="Arial" w:hAnsi="Arial"/>
          <w:sz w:val="20"/>
          <w:szCs w:val="20"/>
          <w:color w:val="auto"/>
        </w:rPr>
      </w:pPr>
    </w:p>
    <w:p>
      <w:pPr>
        <w:ind w:left="1300" w:firstLine="653"/>
        <w:spacing w:after="0" w:line="312" w:lineRule="auto"/>
        <w:tabs>
          <w:tab w:leader="none" w:pos="2452" w:val="left"/>
        </w:tabs>
        <w:numPr>
          <w:ilvl w:val="1"/>
          <w:numId w:val="78"/>
        </w:numPr>
        <w:rPr>
          <w:rFonts w:ascii="Arial" w:cs="Arial" w:eastAsia="Arial" w:hAnsi="Arial"/>
          <w:sz w:val="22"/>
          <w:szCs w:val="22"/>
          <w:color w:val="auto"/>
        </w:rPr>
      </w:pPr>
      <w:r>
        <w:rPr>
          <w:rFonts w:ascii="Arial" w:cs="Arial" w:eastAsia="Arial" w:hAnsi="Arial"/>
          <w:sz w:val="20"/>
          <w:szCs w:val="20"/>
          <w:color w:val="auto"/>
        </w:rPr>
        <w:t>EWI will provide (A) a compliance certificate from a Responsible Officer confirming that no Default shall exist immediately before or immediately after giving effect to the establishment of the Incremental Credit Facility and demonstrating compliance with the financial covenants hereunder after giving effect to the Incremental</w:t>
      </w: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76</w:t>
      </w:r>
    </w:p>
    <w:p>
      <w:pPr>
        <w:spacing w:after="0" w:line="10" w:lineRule="exact"/>
        <w:rPr>
          <w:sz w:val="20"/>
          <w:szCs w:val="20"/>
          <w:color w:val="auto"/>
        </w:rPr>
      </w:pPr>
    </w:p>
    <w:p>
      <w:pPr>
        <w:spacing w:after="0"/>
        <w:rPr>
          <w:sz w:val="20"/>
          <w:szCs w:val="20"/>
          <w:color w:val="auto"/>
        </w:rPr>
      </w:pPr>
      <w:r>
        <w:rPr>
          <w:rFonts w:ascii="Arial" w:cs="Arial" w:eastAsia="Arial" w:hAnsi="Arial"/>
          <w:sz w:val="14"/>
          <w:szCs w:val="14"/>
          <w:color w:val="auto"/>
        </w:rPr>
        <w:t>CHAR1\1346423v</w:t>
      </w:r>
      <w:r>
        <w:rPr>
          <w:rFonts w:ascii="Arial" w:cs="Arial" w:eastAsia="Arial" w:hAnsi="Arial"/>
          <w:sz w:val="14"/>
          <w:szCs w:val="14"/>
          <w:color w:val="FF0000"/>
          <w:strike w:val="1"/>
        </w:rPr>
        <w:t>1</w:t>
      </w:r>
      <w:r>
        <w:rPr>
          <w:rFonts w:ascii="Arial" w:cs="Arial" w:eastAsia="Arial" w:hAnsi="Arial"/>
          <w:sz w:val="14"/>
          <w:szCs w:val="14"/>
          <w:u w:val="single" w:color="auto"/>
          <w:color w:val="0000FF"/>
        </w:rPr>
        <w:t>12</w:t>
      </w:r>
    </w:p>
    <w:p>
      <w:pPr>
        <w:sectPr>
          <w:pgSz w:w="11900" w:h="16838" w:orient="portrait"/>
          <w:cols w:equalWidth="0" w:num="1">
            <w:col w:w="11420"/>
          </w:cols>
          <w:pgMar w:left="240" w:top="609" w:right="239" w:bottom="1440" w:gutter="0" w:footer="0" w:header="0"/>
        </w:sectPr>
      </w:pPr>
    </w:p>
    <w:bookmarkStart w:id="128" w:name="page129"/>
    <w:bookmarkEnd w:id="128"/>
    <w:p>
      <w:pPr>
        <w:ind w:left="1300" w:right="160"/>
        <w:spacing w:after="0" w:line="292" w:lineRule="auto"/>
        <w:rPr>
          <w:sz w:val="20"/>
          <w:szCs w:val="20"/>
          <w:color w:val="auto"/>
        </w:rPr>
      </w:pPr>
      <w:r>
        <w:rPr>
          <w:rFonts w:ascii="Arial" w:cs="Arial" w:eastAsia="Arial" w:hAnsi="Arial"/>
          <w:sz w:val="20"/>
          <w:szCs w:val="20"/>
          <w:color w:val="auto"/>
        </w:rPr>
        <w:t>Credit Facility (assuming, for purposes hereof, that the Incremental Credit Facility is fully drawn and funded), and (b) supporting resolutions, legal opinions, promissory notes and other items as may be reasonably required by the Administrative Agent and the Lenders providing the commitments for the Incremental Credit Facility;</w:t>
      </w:r>
    </w:p>
    <w:p>
      <w:pPr>
        <w:spacing w:after="0" w:line="200" w:lineRule="exact"/>
        <w:rPr>
          <w:sz w:val="20"/>
          <w:szCs w:val="20"/>
          <w:color w:val="auto"/>
        </w:rPr>
      </w:pPr>
    </w:p>
    <w:p>
      <w:pPr>
        <w:ind w:left="1300" w:right="440" w:firstLine="653"/>
        <w:spacing w:after="0" w:line="321" w:lineRule="auto"/>
        <w:tabs>
          <w:tab w:leader="none" w:pos="2440" w:val="left"/>
        </w:tabs>
        <w:numPr>
          <w:ilvl w:val="0"/>
          <w:numId w:val="79"/>
        </w:numPr>
        <w:rPr>
          <w:rFonts w:ascii="Arial" w:cs="Arial" w:eastAsia="Arial" w:hAnsi="Arial"/>
          <w:sz w:val="22"/>
          <w:szCs w:val="22"/>
          <w:color w:val="auto"/>
        </w:rPr>
      </w:pPr>
      <w:r>
        <w:rPr>
          <w:rFonts w:ascii="Arial" w:cs="Arial" w:eastAsia="Arial" w:hAnsi="Arial"/>
          <w:sz w:val="20"/>
          <w:szCs w:val="20"/>
          <w:color w:val="auto"/>
        </w:rPr>
        <w:t>lenders providing loans and commitments for such Incremental Loan Facility will provide a Lender Joinder Agreement and such other agreements reasonably acceptable to the Administrative Agent;</w:t>
      </w:r>
    </w:p>
    <w:p>
      <w:pPr>
        <w:spacing w:after="0" w:line="177" w:lineRule="exact"/>
        <w:rPr>
          <w:rFonts w:ascii="Arial" w:cs="Arial" w:eastAsia="Arial" w:hAnsi="Arial"/>
          <w:sz w:val="22"/>
          <w:szCs w:val="22"/>
          <w:color w:val="auto"/>
        </w:rPr>
      </w:pPr>
    </w:p>
    <w:p>
      <w:pPr>
        <w:ind w:left="2380" w:hanging="427"/>
        <w:spacing w:after="0"/>
        <w:tabs>
          <w:tab w:leader="none" w:pos="2380" w:val="left"/>
        </w:tabs>
        <w:numPr>
          <w:ilvl w:val="0"/>
          <w:numId w:val="79"/>
        </w:numPr>
        <w:rPr>
          <w:rFonts w:ascii="Arial" w:cs="Arial" w:eastAsia="Arial" w:hAnsi="Arial"/>
          <w:sz w:val="18"/>
          <w:szCs w:val="18"/>
          <w:color w:val="auto"/>
        </w:rPr>
      </w:pPr>
      <w:r>
        <w:rPr>
          <w:rFonts w:ascii="Arial" w:cs="Arial" w:eastAsia="Arial" w:hAnsi="Arial"/>
          <w:sz w:val="17"/>
          <w:szCs w:val="17"/>
          <w:color w:val="auto"/>
        </w:rPr>
        <w:t>upfront and/or arrangement fees, if any, in respect of the new commitments or loans so established, shall be paid;</w:t>
      </w:r>
    </w:p>
    <w:p>
      <w:pPr>
        <w:spacing w:after="0" w:line="103" w:lineRule="exact"/>
        <w:rPr>
          <w:rFonts w:ascii="Arial" w:cs="Arial" w:eastAsia="Arial" w:hAnsi="Arial"/>
          <w:sz w:val="18"/>
          <w:szCs w:val="18"/>
          <w:color w:val="auto"/>
        </w:rPr>
      </w:pPr>
    </w:p>
    <w:p>
      <w:pPr>
        <w:ind w:left="1300"/>
        <w:spacing w:after="0"/>
        <w:rPr>
          <w:rFonts w:ascii="Arial" w:cs="Arial" w:eastAsia="Arial" w:hAnsi="Arial"/>
          <w:sz w:val="18"/>
          <w:szCs w:val="18"/>
          <w:color w:val="auto"/>
        </w:rPr>
      </w:pPr>
      <w:r>
        <w:rPr>
          <w:rFonts w:ascii="Arial" w:cs="Arial" w:eastAsia="Arial" w:hAnsi="Arial"/>
          <w:sz w:val="20"/>
          <w:szCs w:val="20"/>
          <w:color w:val="auto"/>
        </w:rPr>
        <w:t>and</w:t>
      </w:r>
    </w:p>
    <w:p>
      <w:pPr>
        <w:spacing w:after="0" w:line="283" w:lineRule="exact"/>
        <w:rPr>
          <w:rFonts w:ascii="Arial" w:cs="Arial" w:eastAsia="Arial" w:hAnsi="Arial"/>
          <w:sz w:val="18"/>
          <w:szCs w:val="18"/>
          <w:color w:val="auto"/>
        </w:rPr>
      </w:pPr>
    </w:p>
    <w:p>
      <w:pPr>
        <w:ind w:left="1300" w:right="80" w:firstLine="653"/>
        <w:spacing w:after="0" w:line="312" w:lineRule="auto"/>
        <w:tabs>
          <w:tab w:leader="none" w:pos="2440" w:val="left"/>
        </w:tabs>
        <w:numPr>
          <w:ilvl w:val="0"/>
          <w:numId w:val="79"/>
        </w:numPr>
        <w:rPr>
          <w:rFonts w:ascii="Arial" w:cs="Arial" w:eastAsia="Arial" w:hAnsi="Arial"/>
          <w:sz w:val="22"/>
          <w:szCs w:val="22"/>
          <w:color w:val="auto"/>
        </w:rPr>
      </w:pPr>
      <w:r>
        <w:rPr>
          <w:rFonts w:ascii="Arial" w:cs="Arial" w:eastAsia="Arial" w:hAnsi="Arial"/>
          <w:sz w:val="20"/>
          <w:szCs w:val="20"/>
          <w:color w:val="auto"/>
        </w:rPr>
        <w:t>to the extent necessary in the reasonable judgment of the Administrative Agent, amendments to each of the Collateral Documents, if any, and related documents or agreements shall have been made, in each case in a manner reasonably satisfactory to the Administrative Agent.</w:t>
      </w:r>
    </w:p>
    <w:p>
      <w:pPr>
        <w:spacing w:after="0" w:line="154" w:lineRule="exact"/>
        <w:rPr>
          <w:sz w:val="20"/>
          <w:szCs w:val="20"/>
          <w:color w:val="auto"/>
        </w:rPr>
      </w:pPr>
    </w:p>
    <w:p>
      <w:pPr>
        <w:ind w:firstLine="648"/>
        <w:spacing w:after="0" w:line="278" w:lineRule="auto"/>
        <w:rPr>
          <w:sz w:val="20"/>
          <w:szCs w:val="20"/>
          <w:color w:val="auto"/>
        </w:rPr>
      </w:pPr>
      <w:r>
        <w:rPr>
          <w:rFonts w:ascii="Arial" w:cs="Arial" w:eastAsia="Arial" w:hAnsi="Arial"/>
          <w:sz w:val="18"/>
          <w:szCs w:val="18"/>
          <w:color w:val="auto"/>
        </w:rPr>
        <w:t xml:space="preserve">In connection with establishment of any Incremental Credit Facility, (A) none of the Lenders or their affiliates shall have any obligation to provide commitments or loans for any Incremental Credit Facility without their prior written approval, (B) neither the Administrative Agent nor the Arranger shall have any responsibility for arranging any such additional commitments without their prior written consent and subject to such conditions, including fee arrangements, as they may provide in connection therewith and (C) </w:t>
      </w:r>
      <w:r>
        <w:rPr>
          <w:rFonts w:ascii="Arial" w:cs="Arial" w:eastAsia="Arial" w:hAnsi="Arial"/>
          <w:sz w:val="18"/>
          <w:szCs w:val="18"/>
          <w:u w:val="single" w:color="auto"/>
          <w:color w:val="auto"/>
        </w:rPr>
        <w:t>Schedule 2.01</w:t>
      </w:r>
      <w:r>
        <w:rPr>
          <w:rFonts w:ascii="Arial" w:cs="Arial" w:eastAsia="Arial" w:hAnsi="Arial"/>
          <w:sz w:val="18"/>
          <w:szCs w:val="18"/>
          <w:color w:val="auto"/>
        </w:rPr>
        <w:t xml:space="preserve"> will be deemed to be revised to reflect the Lenders, Loans, Commitments and pro rata shares after giving effect to establishment of any Incremental Credit Facility.</w:t>
      </w:r>
    </w:p>
    <w:p>
      <w:pPr>
        <w:spacing w:after="0" w:line="192" w:lineRule="exact"/>
        <w:rPr>
          <w:sz w:val="20"/>
          <w:szCs w:val="20"/>
          <w:color w:val="auto"/>
        </w:rPr>
      </w:pPr>
    </w:p>
    <w:p>
      <w:pPr>
        <w:ind w:left="660" w:right="840" w:firstLine="645"/>
        <w:spacing w:after="0" w:line="317" w:lineRule="auto"/>
        <w:tabs>
          <w:tab w:leader="none" w:pos="1719" w:val="left"/>
        </w:tabs>
        <w:numPr>
          <w:ilvl w:val="0"/>
          <w:numId w:val="80"/>
        </w:numPr>
        <w:rPr>
          <w:rFonts w:ascii="Arial" w:cs="Arial" w:eastAsia="Arial" w:hAnsi="Arial"/>
          <w:sz w:val="20"/>
          <w:szCs w:val="20"/>
          <w:color w:val="auto"/>
        </w:rPr>
      </w:pPr>
      <w:r>
        <w:rPr>
          <w:rFonts w:ascii="Arial" w:cs="Arial" w:eastAsia="Arial" w:hAnsi="Arial"/>
          <w:sz w:val="20"/>
          <w:szCs w:val="20"/>
          <w:u w:val="single" w:color="auto"/>
          <w:color w:val="auto"/>
        </w:rPr>
        <w:t>Additional Conditions for Incremental Credit Facilities</w:t>
      </w:r>
      <w:r>
        <w:rPr>
          <w:rFonts w:ascii="Arial" w:cs="Arial" w:eastAsia="Arial" w:hAnsi="Arial"/>
          <w:sz w:val="20"/>
          <w:szCs w:val="20"/>
          <w:color w:val="auto"/>
        </w:rPr>
        <w:t xml:space="preserve">. Subject to </w:t>
      </w:r>
      <w:r>
        <w:rPr>
          <w:rFonts w:ascii="Arial" w:cs="Arial" w:eastAsia="Arial" w:hAnsi="Arial"/>
          <w:sz w:val="20"/>
          <w:szCs w:val="20"/>
          <w:u w:val="single" w:color="auto"/>
          <w:color w:val="auto"/>
        </w:rPr>
        <w:t>Section 2.01(f)</w:t>
      </w:r>
      <w:r>
        <w:rPr>
          <w:rFonts w:ascii="Arial" w:cs="Arial" w:eastAsia="Arial" w:hAnsi="Arial"/>
          <w:sz w:val="20"/>
          <w:szCs w:val="20"/>
          <w:color w:val="auto"/>
        </w:rPr>
        <w:t xml:space="preserve">, the Borrowers may establish Incremental Credit Facilities;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w:t>
      </w:r>
    </w:p>
    <w:p>
      <w:pPr>
        <w:spacing w:after="0" w:line="175" w:lineRule="exact"/>
        <w:rPr>
          <w:rFonts w:ascii="Arial" w:cs="Arial" w:eastAsia="Arial" w:hAnsi="Arial"/>
          <w:sz w:val="20"/>
          <w:szCs w:val="20"/>
          <w:color w:val="auto"/>
        </w:rPr>
      </w:pPr>
    </w:p>
    <w:p>
      <w:pPr>
        <w:ind w:left="1300" w:right="200" w:firstLine="653"/>
        <w:spacing w:after="0" w:line="312" w:lineRule="auto"/>
        <w:tabs>
          <w:tab w:leader="none" w:pos="2332" w:val="left"/>
        </w:tabs>
        <w:numPr>
          <w:ilvl w:val="1"/>
          <w:numId w:val="80"/>
        </w:numPr>
        <w:rPr>
          <w:rFonts w:ascii="Arial" w:cs="Arial" w:eastAsia="Arial" w:hAnsi="Arial"/>
          <w:sz w:val="22"/>
          <w:szCs w:val="22"/>
          <w:color w:val="auto"/>
        </w:rPr>
      </w:pPr>
      <w:r>
        <w:rPr>
          <w:rFonts w:ascii="Arial" w:cs="Arial" w:eastAsia="Arial" w:hAnsi="Arial"/>
          <w:sz w:val="20"/>
          <w:szCs w:val="20"/>
          <w:color w:val="auto"/>
        </w:rPr>
        <w:t>any such increase shall be in a minimum amount of $5 million and integral multiples of $1 million in excess thereof, in the case of Revolving Commitments, and $25 million and integral multiples of $5 million in excess thereof, in the case of Term Loan Commitments;</w:t>
      </w:r>
    </w:p>
    <w:p>
      <w:pPr>
        <w:spacing w:after="0" w:line="194" w:lineRule="exact"/>
        <w:rPr>
          <w:rFonts w:ascii="Arial" w:cs="Arial" w:eastAsia="Arial" w:hAnsi="Arial"/>
          <w:sz w:val="22"/>
          <w:szCs w:val="22"/>
          <w:color w:val="auto"/>
        </w:rPr>
      </w:pPr>
    </w:p>
    <w:p>
      <w:pPr>
        <w:ind w:left="1300" w:right="80" w:firstLine="653"/>
        <w:spacing w:after="0" w:line="312" w:lineRule="auto"/>
        <w:tabs>
          <w:tab w:leader="none" w:pos="2392" w:val="left"/>
        </w:tabs>
        <w:numPr>
          <w:ilvl w:val="1"/>
          <w:numId w:val="80"/>
        </w:numPr>
        <w:rPr>
          <w:rFonts w:ascii="Arial" w:cs="Arial" w:eastAsia="Arial" w:hAnsi="Arial"/>
          <w:sz w:val="22"/>
          <w:szCs w:val="22"/>
          <w:color w:val="auto"/>
        </w:rPr>
      </w:pPr>
      <w:r>
        <w:rPr>
          <w:rFonts w:ascii="Arial" w:cs="Arial" w:eastAsia="Arial" w:hAnsi="Arial"/>
          <w:sz w:val="20"/>
          <w:szCs w:val="20"/>
          <w:color w:val="auto"/>
        </w:rPr>
        <w:t xml:space="preserve">any new lender providing additional commitments pursuant to this subsection must be reasonably acceptable to the Administrative Agent and, in the case of an increase in the Revolving Commitments, also to the L/C Issuers and the </w:t>
      </w:r>
      <w:r>
        <w:rPr>
          <w:rFonts w:ascii="Arial" w:cs="Arial" w:eastAsia="Arial" w:hAnsi="Arial"/>
          <w:sz w:val="20"/>
          <w:szCs w:val="20"/>
          <w:color w:val="FF0000"/>
          <w:strike w:val="1"/>
        </w:rPr>
        <w:t>Swing</w:t>
      </w:r>
      <w:r>
        <w:rPr>
          <w:rFonts w:ascii="Arial" w:cs="Arial" w:eastAsia="Arial" w:hAnsi="Arial"/>
          <w:sz w:val="20"/>
          <w:szCs w:val="20"/>
          <w:color w:val="auto"/>
        </w:rPr>
        <w:t xml:space="preserve"> </w:t>
      </w:r>
      <w:r>
        <w:rPr>
          <w:rFonts w:ascii="Arial" w:cs="Arial" w:eastAsia="Arial" w:hAnsi="Arial"/>
          <w:sz w:val="20"/>
          <w:szCs w:val="20"/>
          <w:color w:val="FF0000"/>
          <w:strike w:val="1"/>
        </w:rPr>
        <w:t>Line</w:t>
      </w:r>
      <w:r>
        <w:rPr>
          <w:rFonts w:ascii="Arial" w:cs="Arial" w:eastAsia="Arial" w:hAnsi="Arial"/>
          <w:sz w:val="20"/>
          <w:szCs w:val="20"/>
          <w:u w:val="single" w:color="auto"/>
          <w:color w:val="0000FF"/>
        </w:rPr>
        <w:t>Swingline</w:t>
      </w:r>
      <w:r>
        <w:rPr>
          <w:rFonts w:ascii="Arial" w:cs="Arial" w:eastAsia="Arial" w:hAnsi="Arial"/>
          <w:sz w:val="20"/>
          <w:szCs w:val="20"/>
          <w:color w:val="FF0000"/>
        </w:rPr>
        <w:t xml:space="preserve"> </w:t>
      </w:r>
      <w:r>
        <w:rPr>
          <w:rFonts w:ascii="Arial" w:cs="Arial" w:eastAsia="Arial" w:hAnsi="Arial"/>
          <w:sz w:val="20"/>
          <w:szCs w:val="20"/>
          <w:color w:val="000000"/>
        </w:rPr>
        <w:t>Lender, as appropriate;</w:t>
      </w:r>
    </w:p>
    <w:p>
      <w:pPr>
        <w:spacing w:after="0" w:line="194" w:lineRule="exact"/>
        <w:rPr>
          <w:rFonts w:ascii="Arial" w:cs="Arial" w:eastAsia="Arial" w:hAnsi="Arial"/>
          <w:sz w:val="22"/>
          <w:szCs w:val="22"/>
          <w:color w:val="auto"/>
        </w:rPr>
      </w:pPr>
    </w:p>
    <w:p>
      <w:pPr>
        <w:ind w:left="1300" w:right="160" w:firstLine="653"/>
        <w:spacing w:after="0" w:line="395" w:lineRule="auto"/>
        <w:tabs>
          <w:tab w:leader="none" w:pos="2452" w:val="left"/>
        </w:tabs>
        <w:numPr>
          <w:ilvl w:val="1"/>
          <w:numId w:val="80"/>
        </w:numPr>
        <w:rPr>
          <w:rFonts w:ascii="Arial" w:cs="Arial" w:eastAsia="Arial" w:hAnsi="Arial"/>
          <w:sz w:val="18"/>
          <w:szCs w:val="18"/>
          <w:color w:val="auto"/>
        </w:rPr>
      </w:pPr>
      <w:r>
        <w:rPr>
          <w:rFonts w:ascii="Arial" w:cs="Arial" w:eastAsia="Arial" w:hAnsi="Arial"/>
          <w:sz w:val="17"/>
          <w:szCs w:val="17"/>
          <w:color w:val="auto"/>
        </w:rPr>
        <w:t xml:space="preserve">if any Revolving Loans or Term Loans, as appropriate, are outstanding at the time of any such increase, the Borrowers will make such payments and adjustments on the subject Loans (including payment of any break-funding amounts owing under </w:t>
      </w:r>
      <w:r>
        <w:rPr>
          <w:rFonts w:ascii="Arial" w:cs="Arial" w:eastAsia="Arial" w:hAnsi="Arial"/>
          <w:sz w:val="17"/>
          <w:szCs w:val="17"/>
          <w:u w:val="single" w:color="auto"/>
          <w:color w:val="auto"/>
        </w:rPr>
        <w:t>Section 3.05</w:t>
      </w:r>
      <w:r>
        <w:rPr>
          <w:rFonts w:ascii="Arial" w:cs="Arial" w:eastAsia="Arial" w:hAnsi="Arial"/>
          <w:sz w:val="17"/>
          <w:szCs w:val="17"/>
          <w:color w:val="auto"/>
        </w:rPr>
        <w:t>) as may be necessary to give effect to the revised commitment amounts and percentages; and</w:t>
      </w:r>
    </w:p>
    <w:p>
      <w:pPr>
        <w:spacing w:after="0" w:line="339"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77</w:t>
      </w:r>
    </w:p>
    <w:p>
      <w:pPr>
        <w:spacing w:after="0" w:line="10" w:lineRule="exact"/>
        <w:rPr>
          <w:sz w:val="20"/>
          <w:szCs w:val="20"/>
          <w:color w:val="auto"/>
        </w:rPr>
      </w:pPr>
    </w:p>
    <w:p>
      <w:pPr>
        <w:spacing w:after="0"/>
        <w:rPr>
          <w:sz w:val="20"/>
          <w:szCs w:val="20"/>
          <w:color w:val="auto"/>
        </w:rPr>
      </w:pPr>
      <w:r>
        <w:rPr>
          <w:rFonts w:ascii="Arial" w:cs="Arial" w:eastAsia="Arial" w:hAnsi="Arial"/>
          <w:sz w:val="14"/>
          <w:szCs w:val="14"/>
          <w:color w:val="auto"/>
        </w:rPr>
        <w:t>CHAR1\1346423v</w:t>
      </w:r>
      <w:r>
        <w:rPr>
          <w:rFonts w:ascii="Arial" w:cs="Arial" w:eastAsia="Arial" w:hAnsi="Arial"/>
          <w:sz w:val="14"/>
          <w:szCs w:val="14"/>
          <w:color w:val="FF0000"/>
          <w:strike w:val="1"/>
        </w:rPr>
        <w:t>1</w:t>
      </w:r>
      <w:r>
        <w:rPr>
          <w:rFonts w:ascii="Arial" w:cs="Arial" w:eastAsia="Arial" w:hAnsi="Arial"/>
          <w:sz w:val="14"/>
          <w:szCs w:val="14"/>
          <w:u w:val="single" w:color="auto"/>
          <w:color w:val="0000FF"/>
        </w:rPr>
        <w:t>12</w:t>
      </w:r>
    </w:p>
    <w:p>
      <w:pPr>
        <w:sectPr>
          <w:pgSz w:w="11900" w:h="16838" w:orient="portrait"/>
          <w:cols w:equalWidth="0" w:num="1">
            <w:col w:w="11400"/>
          </w:cols>
          <w:pgMar w:left="240" w:top="609" w:right="259" w:bottom="1440" w:gutter="0" w:footer="0" w:header="0"/>
        </w:sectPr>
      </w:pPr>
    </w:p>
    <w:bookmarkStart w:id="129" w:name="page130"/>
    <w:bookmarkEnd w:id="129"/>
    <w:p>
      <w:pPr>
        <w:ind w:left="1300" w:right="180" w:firstLine="653"/>
        <w:spacing w:after="0" w:line="330" w:lineRule="auto"/>
        <w:tabs>
          <w:tab w:leader="none" w:pos="2440" w:val="left"/>
        </w:tabs>
        <w:numPr>
          <w:ilvl w:val="0"/>
          <w:numId w:val="81"/>
        </w:numPr>
        <w:rPr>
          <w:rFonts w:ascii="Arial" w:cs="Arial" w:eastAsia="Arial" w:hAnsi="Arial"/>
          <w:sz w:val="21"/>
          <w:szCs w:val="21"/>
          <w:color w:val="auto"/>
        </w:rPr>
      </w:pPr>
      <w:r>
        <w:rPr>
          <w:rFonts w:ascii="Arial" w:cs="Arial" w:eastAsia="Arial" w:hAnsi="Arial"/>
          <w:sz w:val="19"/>
          <w:szCs w:val="19"/>
          <w:color w:val="auto"/>
        </w:rPr>
        <w:t xml:space="preserve">in the case of an increase in the amount of the Term Loan A after the first principal amortization payment date, adjustments will be made to the schedule of amortization payment provided in </w:t>
      </w:r>
      <w:r>
        <w:rPr>
          <w:rFonts w:ascii="Arial" w:cs="Arial" w:eastAsia="Arial" w:hAnsi="Arial"/>
          <w:sz w:val="19"/>
          <w:szCs w:val="19"/>
          <w:u w:val="single" w:color="auto"/>
          <w:color w:val="auto"/>
        </w:rPr>
        <w:t>Section 2.05(d)</w:t>
      </w:r>
      <w:r>
        <w:rPr>
          <w:rFonts w:ascii="Arial" w:cs="Arial" w:eastAsia="Arial" w:hAnsi="Arial"/>
          <w:sz w:val="19"/>
          <w:szCs w:val="19"/>
          <w:color w:val="auto"/>
        </w:rPr>
        <w:t>, as appropriate, to give effect thereto such that the interest in payments of principal, interest and other amounts will be made on the same basis as for the Term Loan A such that the principal amortization payments made to the holders of the Term Loan A will be not less than that which was payable prior to giving effect to the Incremental Credit Facility.</w:t>
      </w:r>
    </w:p>
    <w:p>
      <w:pPr>
        <w:spacing w:after="0" w:line="168" w:lineRule="exact"/>
        <w:rPr>
          <w:sz w:val="20"/>
          <w:szCs w:val="20"/>
          <w:color w:val="auto"/>
        </w:rPr>
      </w:pPr>
    </w:p>
    <w:p>
      <w:pPr>
        <w:ind w:left="660"/>
        <w:spacing w:after="0"/>
        <w:tabs>
          <w:tab w:leader="none" w:pos="1160" w:val="left"/>
        </w:tabs>
        <w:rPr>
          <w:sz w:val="20"/>
          <w:szCs w:val="20"/>
          <w:color w:val="auto"/>
        </w:rPr>
      </w:pPr>
      <w:r>
        <w:rPr>
          <w:rFonts w:ascii="Arial" w:cs="Arial" w:eastAsia="Arial" w:hAnsi="Arial"/>
          <w:sz w:val="20"/>
          <w:szCs w:val="20"/>
          <w:color w:val="auto"/>
        </w:rPr>
        <w:t>2.02</w:t>
      </w:r>
      <w:r>
        <w:rPr>
          <w:sz w:val="20"/>
          <w:szCs w:val="20"/>
          <w:color w:val="auto"/>
        </w:rPr>
        <w:tab/>
      </w:r>
      <w:r>
        <w:rPr>
          <w:rFonts w:ascii="Arial" w:cs="Arial" w:eastAsia="Arial" w:hAnsi="Arial"/>
          <w:sz w:val="18"/>
          <w:szCs w:val="18"/>
          <w:u w:val="single" w:color="auto"/>
          <w:color w:val="auto"/>
        </w:rPr>
        <w:t>Borrowings, Conversions and Continuations</w:t>
      </w:r>
      <w:r>
        <w:rPr>
          <w:rFonts w:ascii="Arial" w:cs="Arial" w:eastAsia="Arial" w:hAnsi="Arial"/>
          <w:sz w:val="18"/>
          <w:szCs w:val="18"/>
          <w:color w:val="auto"/>
        </w:rPr>
        <w:t>.</w:t>
      </w:r>
    </w:p>
    <w:p>
      <w:pPr>
        <w:spacing w:after="0" w:line="270" w:lineRule="exact"/>
        <w:rPr>
          <w:sz w:val="20"/>
          <w:szCs w:val="20"/>
          <w:color w:val="auto"/>
        </w:rPr>
      </w:pPr>
    </w:p>
    <w:p>
      <w:pPr>
        <w:ind w:left="1700" w:hanging="395"/>
        <w:spacing w:after="0"/>
        <w:tabs>
          <w:tab w:leader="none" w:pos="1700" w:val="left"/>
        </w:tabs>
        <w:numPr>
          <w:ilvl w:val="0"/>
          <w:numId w:val="82"/>
        </w:numPr>
        <w:rPr>
          <w:rFonts w:ascii="Arial" w:cs="Arial" w:eastAsia="Arial" w:hAnsi="Arial"/>
          <w:sz w:val="19"/>
          <w:szCs w:val="19"/>
          <w:color w:val="auto"/>
        </w:rPr>
      </w:pPr>
      <w:r>
        <w:rPr>
          <w:rFonts w:ascii="Arial" w:cs="Arial" w:eastAsia="Arial" w:hAnsi="Arial"/>
          <w:sz w:val="19"/>
          <w:szCs w:val="19"/>
          <w:color w:val="auto"/>
        </w:rPr>
        <w:t>Each Borrowing, each conversion of Loans from one Type to the other, and each continuation of Fixed LIBOR Rate</w:t>
      </w:r>
    </w:p>
    <w:p>
      <w:pPr>
        <w:spacing w:after="0" w:line="65" w:lineRule="exact"/>
        <w:rPr>
          <w:rFonts w:ascii="Arial" w:cs="Arial" w:eastAsia="Arial" w:hAnsi="Arial"/>
          <w:sz w:val="19"/>
          <w:szCs w:val="19"/>
          <w:color w:val="auto"/>
        </w:rPr>
      </w:pPr>
    </w:p>
    <w:p>
      <w:pPr>
        <w:ind w:left="660" w:right="20"/>
        <w:spacing w:after="0" w:line="302" w:lineRule="auto"/>
        <w:rPr>
          <w:rFonts w:ascii="Arial" w:cs="Arial" w:eastAsia="Arial" w:hAnsi="Arial"/>
          <w:sz w:val="19"/>
          <w:szCs w:val="19"/>
          <w:color w:val="auto"/>
        </w:rPr>
      </w:pPr>
      <w:r>
        <w:rPr>
          <w:rFonts w:ascii="Arial" w:cs="Arial" w:eastAsia="Arial" w:hAnsi="Arial"/>
          <w:sz w:val="19"/>
          <w:szCs w:val="19"/>
          <w:color w:val="auto"/>
        </w:rPr>
        <w:t xml:space="preserve">Loans shall be made upon a Borrower’s irrevocable notice to the Administrative Agent, which </w:t>
      </w:r>
      <w:r>
        <w:rPr>
          <w:rFonts w:ascii="Arial" w:cs="Arial" w:eastAsia="Arial" w:hAnsi="Arial"/>
          <w:sz w:val="19"/>
          <w:szCs w:val="19"/>
          <w:color w:val="FF0000"/>
          <w:strike w:val="1"/>
        </w:rPr>
        <w:t>may be given by telephone</w:t>
      </w:r>
      <w:r>
        <w:rPr>
          <w:rFonts w:ascii="Arial" w:cs="Arial" w:eastAsia="Arial" w:hAnsi="Arial"/>
          <w:sz w:val="19"/>
          <w:szCs w:val="19"/>
          <w:u w:val="single" w:color="auto"/>
          <w:color w:val="0000FF"/>
        </w:rPr>
        <w:t>shall be</w:t>
      </w:r>
      <w:r>
        <w:rPr>
          <w:rFonts w:ascii="Arial" w:cs="Arial" w:eastAsia="Arial" w:hAnsi="Arial"/>
          <w:sz w:val="19"/>
          <w:szCs w:val="19"/>
          <w:color w:val="auto"/>
        </w:rPr>
        <w:t xml:space="preserve"> </w:t>
      </w:r>
      <w:r>
        <w:rPr>
          <w:rFonts w:ascii="Arial" w:cs="Arial" w:eastAsia="Arial" w:hAnsi="Arial"/>
          <w:sz w:val="19"/>
          <w:szCs w:val="19"/>
          <w:u w:val="single" w:color="auto"/>
          <w:color w:val="0000FF"/>
        </w:rPr>
        <w:t>submitted (x) as a written Loan Notice appropriately completed and signed by a Responsible Officer of EWI or the applicable Borrower, (y) by electronic mail from the electronic mail address of a Responsible Officer of EWI designated in a certificate delivered to the Administrative Agent by EWI as being an authorized address and authorized Person to submit such notices, which electronic mail message is promptly (and in any event, within twenty-four hours) confirmed in a written Loan Notice appropriately completed and signed by a Responsible Officer of EWI, or (z) by telephone promptly confirmed in writing as provided in clause (b) hereof</w:t>
      </w:r>
      <w:r>
        <w:rPr>
          <w:rFonts w:ascii="Arial" w:cs="Arial" w:eastAsia="Arial" w:hAnsi="Arial"/>
          <w:sz w:val="19"/>
          <w:szCs w:val="19"/>
          <w:color w:val="000000"/>
        </w:rPr>
        <w:t>. Each such</w:t>
      </w:r>
      <w:r>
        <w:rPr>
          <w:rFonts w:ascii="Arial" w:cs="Arial" w:eastAsia="Arial" w:hAnsi="Arial"/>
          <w:sz w:val="19"/>
          <w:szCs w:val="19"/>
          <w:color w:val="0000FF"/>
        </w:rPr>
        <w:t xml:space="preserve"> </w:t>
      </w:r>
      <w:r>
        <w:rPr>
          <w:rFonts w:ascii="Arial" w:cs="Arial" w:eastAsia="Arial" w:hAnsi="Arial"/>
          <w:sz w:val="19"/>
          <w:szCs w:val="19"/>
          <w:color w:val="000000"/>
        </w:rPr>
        <w:t>notice must be received by the Administrative Agent not later than</w:t>
      </w:r>
    </w:p>
    <w:p>
      <w:pPr>
        <w:spacing w:after="0" w:line="195" w:lineRule="exact"/>
        <w:rPr>
          <w:rFonts w:ascii="Arial" w:cs="Arial" w:eastAsia="Arial" w:hAnsi="Arial"/>
          <w:sz w:val="19"/>
          <w:szCs w:val="19"/>
          <w:color w:val="auto"/>
        </w:rPr>
      </w:pPr>
    </w:p>
    <w:p>
      <w:pPr>
        <w:ind w:left="1300" w:firstLine="653"/>
        <w:spacing w:after="0" w:line="311" w:lineRule="auto"/>
        <w:tabs>
          <w:tab w:leader="none" w:pos="2332" w:val="left"/>
        </w:tabs>
        <w:numPr>
          <w:ilvl w:val="1"/>
          <w:numId w:val="82"/>
        </w:numPr>
        <w:rPr>
          <w:rFonts w:ascii="Arial" w:cs="Arial" w:eastAsia="Arial" w:hAnsi="Arial"/>
          <w:sz w:val="22"/>
          <w:szCs w:val="22"/>
          <w:color w:val="auto"/>
        </w:rPr>
      </w:pPr>
      <w:r>
        <w:rPr>
          <w:rFonts w:ascii="Arial" w:cs="Arial" w:eastAsia="Arial" w:hAnsi="Arial"/>
          <w:sz w:val="20"/>
          <w:szCs w:val="20"/>
          <w:u w:val="single" w:color="auto"/>
          <w:color w:val="auto"/>
        </w:rPr>
        <w:t>USD Revolving Loans</w:t>
      </w:r>
      <w:r>
        <w:rPr>
          <w:rFonts w:ascii="Arial" w:cs="Arial" w:eastAsia="Arial" w:hAnsi="Arial"/>
          <w:sz w:val="20"/>
          <w:szCs w:val="20"/>
          <w:color w:val="auto"/>
        </w:rPr>
        <w:t>. (A) 1:00 p.m. on the day of the requested Borrowing, in the case of a Borrowing of, or conversion into, USD Revolving Loans in Dollars that are Base Rate Loans or Floating LIBOR Rate Loans; and (B) 11:00 a.m. three Business Days prior to the requested date of a Borrowing of, or conversion into, USD Revolving Loans in Dollars that are Fixed LIBOR Rate Loans.</w:t>
      </w:r>
    </w:p>
    <w:p>
      <w:pPr>
        <w:spacing w:after="0" w:line="196" w:lineRule="exact"/>
        <w:rPr>
          <w:rFonts w:ascii="Arial" w:cs="Arial" w:eastAsia="Arial" w:hAnsi="Arial"/>
          <w:sz w:val="22"/>
          <w:szCs w:val="22"/>
          <w:color w:val="auto"/>
        </w:rPr>
      </w:pPr>
    </w:p>
    <w:p>
      <w:pPr>
        <w:ind w:left="1300" w:right="140" w:firstLine="653"/>
        <w:spacing w:after="0" w:line="311" w:lineRule="auto"/>
        <w:tabs>
          <w:tab w:leader="none" w:pos="2392" w:val="left"/>
        </w:tabs>
        <w:numPr>
          <w:ilvl w:val="1"/>
          <w:numId w:val="82"/>
        </w:numPr>
        <w:rPr>
          <w:rFonts w:ascii="Arial" w:cs="Arial" w:eastAsia="Arial" w:hAnsi="Arial"/>
          <w:sz w:val="22"/>
          <w:szCs w:val="22"/>
          <w:color w:val="auto"/>
        </w:rPr>
      </w:pPr>
      <w:r>
        <w:rPr>
          <w:rFonts w:ascii="Arial" w:cs="Arial" w:eastAsia="Arial" w:hAnsi="Arial"/>
          <w:sz w:val="20"/>
          <w:szCs w:val="20"/>
          <w:u w:val="single" w:color="auto"/>
          <w:color w:val="auto"/>
        </w:rPr>
        <w:t>European Revolving Loans</w:t>
      </w:r>
      <w:r>
        <w:rPr>
          <w:rFonts w:ascii="Arial" w:cs="Arial" w:eastAsia="Arial" w:hAnsi="Arial"/>
          <w:sz w:val="20"/>
          <w:szCs w:val="20"/>
          <w:color w:val="auto"/>
        </w:rPr>
        <w:t>. (A) 11:00 a.m. four Business Days prior to the requested date of a Borrowing of, or conversion into, European Revolving Loans in currencies other than Special Notice Currencies, and (B) 11:00 a.m. five Business Days prior to the requested date of a Borrowing of, or conversion into, European Revolving Loans in Special Notice Currencies.</w:t>
      </w:r>
    </w:p>
    <w:p>
      <w:pPr>
        <w:spacing w:after="0" w:line="196" w:lineRule="exact"/>
        <w:rPr>
          <w:rFonts w:ascii="Arial" w:cs="Arial" w:eastAsia="Arial" w:hAnsi="Arial"/>
          <w:sz w:val="22"/>
          <w:szCs w:val="22"/>
          <w:color w:val="auto"/>
        </w:rPr>
      </w:pPr>
    </w:p>
    <w:p>
      <w:pPr>
        <w:ind w:left="1300" w:right="40" w:firstLine="653"/>
        <w:spacing w:after="0" w:line="311" w:lineRule="auto"/>
        <w:tabs>
          <w:tab w:leader="none" w:pos="2452" w:val="left"/>
        </w:tabs>
        <w:numPr>
          <w:ilvl w:val="1"/>
          <w:numId w:val="82"/>
        </w:numPr>
        <w:rPr>
          <w:rFonts w:ascii="Arial" w:cs="Arial" w:eastAsia="Arial" w:hAnsi="Arial"/>
          <w:sz w:val="22"/>
          <w:szCs w:val="22"/>
          <w:color w:val="auto"/>
        </w:rPr>
      </w:pPr>
      <w:r>
        <w:rPr>
          <w:rFonts w:ascii="Arial" w:cs="Arial" w:eastAsia="Arial" w:hAnsi="Arial"/>
          <w:sz w:val="20"/>
          <w:szCs w:val="20"/>
          <w:u w:val="single" w:color="auto"/>
          <w:color w:val="auto"/>
        </w:rPr>
        <w:t>Australian Revolving Loans</w:t>
      </w:r>
      <w:r>
        <w:rPr>
          <w:rFonts w:ascii="Arial" w:cs="Arial" w:eastAsia="Arial" w:hAnsi="Arial"/>
          <w:sz w:val="20"/>
          <w:szCs w:val="20"/>
          <w:color w:val="auto"/>
        </w:rPr>
        <w:t>. (A) 11:00 a.m. four Business Days prior to the requested date of a Borrowing of, or conversion into, Australian Revolving Loans in currencies other than Special Notice Currencies, and (B) 11:00 a.m. five Business Days prior to the requested date of a Borrowing of, or conversion into, Australian Revolving Loans in Special Notice Currencies.</w:t>
      </w:r>
    </w:p>
    <w:p>
      <w:pPr>
        <w:spacing w:after="0" w:line="196" w:lineRule="exact"/>
        <w:rPr>
          <w:rFonts w:ascii="Arial" w:cs="Arial" w:eastAsia="Arial" w:hAnsi="Arial"/>
          <w:sz w:val="22"/>
          <w:szCs w:val="22"/>
          <w:color w:val="auto"/>
        </w:rPr>
      </w:pPr>
    </w:p>
    <w:p>
      <w:pPr>
        <w:ind w:left="1300" w:right="860" w:firstLine="653"/>
        <w:spacing w:after="0" w:line="397" w:lineRule="auto"/>
        <w:tabs>
          <w:tab w:leader="none" w:pos="2440" w:val="left"/>
        </w:tabs>
        <w:numPr>
          <w:ilvl w:val="1"/>
          <w:numId w:val="82"/>
        </w:numPr>
        <w:rPr>
          <w:rFonts w:ascii="Arial" w:cs="Arial" w:eastAsia="Arial" w:hAnsi="Arial"/>
          <w:sz w:val="19"/>
          <w:szCs w:val="19"/>
          <w:color w:val="auto"/>
        </w:rPr>
      </w:pPr>
      <w:r>
        <w:rPr>
          <w:rFonts w:ascii="Arial" w:cs="Arial" w:eastAsia="Arial" w:hAnsi="Arial"/>
          <w:sz w:val="18"/>
          <w:szCs w:val="18"/>
          <w:u w:val="single" w:color="auto"/>
          <w:color w:val="auto"/>
        </w:rPr>
        <w:t>India Revolving Loans</w:t>
      </w:r>
      <w:r>
        <w:rPr>
          <w:rFonts w:ascii="Arial" w:cs="Arial" w:eastAsia="Arial" w:hAnsi="Arial"/>
          <w:sz w:val="18"/>
          <w:szCs w:val="18"/>
          <w:color w:val="auto"/>
        </w:rPr>
        <w:t>. 11:00 a.m. (Mumbai time) three Business Days prior to the requested date of a Borrowing of, or conversion into, India Revolving Loans in Rupees that are Fixed LIBOR Rate Loans.</w:t>
      </w:r>
    </w:p>
    <w:p>
      <w:pPr>
        <w:spacing w:after="0" w:line="323"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78</w:t>
      </w:r>
    </w:p>
    <w:p>
      <w:pPr>
        <w:spacing w:after="0" w:line="10" w:lineRule="exact"/>
        <w:rPr>
          <w:sz w:val="20"/>
          <w:szCs w:val="20"/>
          <w:color w:val="auto"/>
        </w:rPr>
      </w:pPr>
    </w:p>
    <w:p>
      <w:pPr>
        <w:spacing w:after="0"/>
        <w:rPr>
          <w:sz w:val="20"/>
          <w:szCs w:val="20"/>
          <w:color w:val="auto"/>
        </w:rPr>
      </w:pPr>
      <w:r>
        <w:rPr>
          <w:rFonts w:ascii="Arial" w:cs="Arial" w:eastAsia="Arial" w:hAnsi="Arial"/>
          <w:sz w:val="14"/>
          <w:szCs w:val="14"/>
          <w:color w:val="auto"/>
        </w:rPr>
        <w:t>CHAR1\1346423v</w:t>
      </w:r>
      <w:r>
        <w:rPr>
          <w:rFonts w:ascii="Arial" w:cs="Arial" w:eastAsia="Arial" w:hAnsi="Arial"/>
          <w:sz w:val="14"/>
          <w:szCs w:val="14"/>
          <w:color w:val="FF0000"/>
          <w:strike w:val="1"/>
        </w:rPr>
        <w:t>1</w:t>
      </w:r>
      <w:r>
        <w:rPr>
          <w:rFonts w:ascii="Arial" w:cs="Arial" w:eastAsia="Arial" w:hAnsi="Arial"/>
          <w:sz w:val="14"/>
          <w:szCs w:val="14"/>
          <w:u w:val="single" w:color="auto"/>
          <w:color w:val="0000FF"/>
        </w:rPr>
        <w:t>12</w:t>
      </w:r>
    </w:p>
    <w:p>
      <w:pPr>
        <w:sectPr>
          <w:pgSz w:w="11900" w:h="16838" w:orient="portrait"/>
          <w:cols w:equalWidth="0" w:num="1">
            <w:col w:w="11420"/>
          </w:cols>
          <w:pgMar w:left="240" w:top="622" w:right="239" w:bottom="1440" w:gutter="0" w:footer="0" w:header="0"/>
        </w:sectPr>
      </w:pPr>
    </w:p>
    <w:bookmarkStart w:id="130" w:name="page131"/>
    <w:bookmarkEnd w:id="130"/>
    <w:p>
      <w:pPr>
        <w:jc w:val="both"/>
        <w:ind w:left="1300" w:right="100" w:firstLine="653"/>
        <w:spacing w:after="0" w:line="367" w:lineRule="auto"/>
        <w:tabs>
          <w:tab w:leader="none" w:pos="2380" w:val="left"/>
        </w:tabs>
        <w:numPr>
          <w:ilvl w:val="1"/>
          <w:numId w:val="83"/>
        </w:numPr>
        <w:rPr>
          <w:rFonts w:ascii="Arial" w:cs="Arial" w:eastAsia="Arial" w:hAnsi="Arial"/>
          <w:sz w:val="19"/>
          <w:szCs w:val="19"/>
          <w:color w:val="auto"/>
        </w:rPr>
      </w:pPr>
      <w:r>
        <w:rPr>
          <w:rFonts w:ascii="Arial" w:cs="Arial" w:eastAsia="Arial" w:hAnsi="Arial"/>
          <w:sz w:val="18"/>
          <w:szCs w:val="18"/>
          <w:u w:val="single" w:color="auto"/>
          <w:color w:val="auto"/>
        </w:rPr>
        <w:t>Term Loans</w:t>
      </w:r>
      <w:r>
        <w:rPr>
          <w:rFonts w:ascii="Arial" w:cs="Arial" w:eastAsia="Arial" w:hAnsi="Arial"/>
          <w:sz w:val="18"/>
          <w:szCs w:val="18"/>
          <w:color w:val="auto"/>
        </w:rPr>
        <w:t>. 11:00 a.m. (A) on the day of the requested Borrowing, in the case of a Borrowing of, or conversion into, Term Loans in Dollars that are Base Rate Loans or Floating LIBOR Rate Loans; and (B) three Business Days prior to the requested date of a Borrowing of, or conversion into, Term Loans in Dollars that are Fixed LIBOR Rate Loans.</w:t>
      </w:r>
    </w:p>
    <w:p>
      <w:pPr>
        <w:spacing w:after="0" w:line="140" w:lineRule="exact"/>
        <w:rPr>
          <w:rFonts w:ascii="Arial" w:cs="Arial" w:eastAsia="Arial" w:hAnsi="Arial"/>
          <w:sz w:val="19"/>
          <w:szCs w:val="19"/>
          <w:color w:val="auto"/>
        </w:rPr>
      </w:pPr>
    </w:p>
    <w:p>
      <w:pPr>
        <w:ind w:left="1720" w:hanging="415"/>
        <w:spacing w:after="0"/>
        <w:tabs>
          <w:tab w:leader="none" w:pos="1720" w:val="left"/>
        </w:tabs>
        <w:numPr>
          <w:ilvl w:val="0"/>
          <w:numId w:val="84"/>
        </w:numPr>
        <w:rPr>
          <w:rFonts w:ascii="Arial" w:cs="Arial" w:eastAsia="Arial" w:hAnsi="Arial"/>
          <w:sz w:val="18"/>
          <w:szCs w:val="18"/>
          <w:color w:val="auto"/>
        </w:rPr>
      </w:pPr>
      <w:r>
        <w:rPr>
          <w:rFonts w:ascii="Arial" w:cs="Arial" w:eastAsia="Arial" w:hAnsi="Arial"/>
          <w:sz w:val="18"/>
          <w:szCs w:val="18"/>
          <w:color w:val="auto"/>
        </w:rPr>
        <w:t xml:space="preserve">Each telephonic notice by a Borrower pursuant to this </w:t>
      </w:r>
      <w:r>
        <w:rPr>
          <w:rFonts w:ascii="Arial" w:cs="Arial" w:eastAsia="Arial" w:hAnsi="Arial"/>
          <w:sz w:val="18"/>
          <w:szCs w:val="18"/>
          <w:u w:val="single" w:color="auto"/>
          <w:color w:val="auto"/>
        </w:rPr>
        <w:t>Section 2.02(b)</w:t>
      </w:r>
      <w:r>
        <w:rPr>
          <w:rFonts w:ascii="Arial" w:cs="Arial" w:eastAsia="Arial" w:hAnsi="Arial"/>
          <w:sz w:val="18"/>
          <w:szCs w:val="18"/>
          <w:color w:val="auto"/>
        </w:rPr>
        <w:t xml:space="preserve"> must be confirmed promptly by delivery to the</w:t>
      </w:r>
    </w:p>
    <w:p>
      <w:pPr>
        <w:spacing w:after="0" w:line="76" w:lineRule="exact"/>
        <w:rPr>
          <w:rFonts w:ascii="Arial" w:cs="Arial" w:eastAsia="Arial" w:hAnsi="Arial"/>
          <w:sz w:val="18"/>
          <w:szCs w:val="18"/>
          <w:color w:val="auto"/>
        </w:rPr>
      </w:pPr>
    </w:p>
    <w:p>
      <w:pPr>
        <w:ind w:left="660" w:right="20"/>
        <w:spacing w:after="0" w:line="363" w:lineRule="auto"/>
        <w:rPr>
          <w:rFonts w:ascii="Arial" w:cs="Arial" w:eastAsia="Arial" w:hAnsi="Arial"/>
          <w:sz w:val="18"/>
          <w:szCs w:val="18"/>
          <w:color w:val="auto"/>
        </w:rPr>
      </w:pPr>
      <w:r>
        <w:rPr>
          <w:rFonts w:ascii="Arial" w:cs="Arial" w:eastAsia="Arial" w:hAnsi="Arial"/>
          <w:sz w:val="18"/>
          <w:szCs w:val="18"/>
          <w:color w:val="auto"/>
        </w:rPr>
        <w:t xml:space="preserve">Administrative Agent of a written Loan Notice, appropriately completed and signed by a Responsible Officer of such Borrower. Except as provided in </w:t>
      </w:r>
      <w:r>
        <w:rPr>
          <w:rFonts w:ascii="Arial" w:cs="Arial" w:eastAsia="Arial" w:hAnsi="Arial"/>
          <w:sz w:val="18"/>
          <w:szCs w:val="18"/>
          <w:u w:val="single" w:color="auto"/>
          <w:color w:val="auto"/>
        </w:rPr>
        <w:t>Sections 2.03(c)</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2.04(a)</w:t>
      </w:r>
      <w:r>
        <w:rPr>
          <w:rFonts w:ascii="Arial" w:cs="Arial" w:eastAsia="Arial" w:hAnsi="Arial"/>
          <w:sz w:val="18"/>
          <w:szCs w:val="18"/>
          <w:color w:val="auto"/>
        </w:rPr>
        <w:t>, each Borrowing, conversion or continuation shall be a minimum principal amount of:</w:t>
      </w:r>
    </w:p>
    <w:p>
      <w:pPr>
        <w:spacing w:after="0" w:line="143" w:lineRule="exact"/>
        <w:rPr>
          <w:rFonts w:ascii="Arial" w:cs="Arial" w:eastAsia="Arial" w:hAnsi="Arial"/>
          <w:sz w:val="18"/>
          <w:szCs w:val="18"/>
          <w:color w:val="auto"/>
        </w:rPr>
      </w:pPr>
    </w:p>
    <w:p>
      <w:pPr>
        <w:jc w:val="both"/>
        <w:ind w:left="1300" w:right="520" w:firstLine="653"/>
        <w:spacing w:after="0" w:line="333" w:lineRule="auto"/>
        <w:tabs>
          <w:tab w:leader="none" w:pos="2332" w:val="left"/>
        </w:tabs>
        <w:numPr>
          <w:ilvl w:val="1"/>
          <w:numId w:val="84"/>
        </w:numPr>
        <w:rPr>
          <w:rFonts w:ascii="Arial" w:cs="Arial" w:eastAsia="Arial" w:hAnsi="Arial"/>
          <w:sz w:val="21"/>
          <w:szCs w:val="21"/>
          <w:color w:val="auto"/>
        </w:rPr>
      </w:pPr>
      <w:r>
        <w:rPr>
          <w:rFonts w:ascii="Arial" w:cs="Arial" w:eastAsia="Arial" w:hAnsi="Arial"/>
          <w:sz w:val="19"/>
          <w:szCs w:val="19"/>
          <w:u w:val="single" w:color="auto"/>
          <w:color w:val="auto"/>
        </w:rPr>
        <w:t>USD Revolving Loans</w:t>
      </w:r>
      <w:r>
        <w:rPr>
          <w:rFonts w:ascii="Arial" w:cs="Arial" w:eastAsia="Arial" w:hAnsi="Arial"/>
          <w:sz w:val="19"/>
          <w:szCs w:val="19"/>
          <w:color w:val="auto"/>
        </w:rPr>
        <w:t xml:space="preserve">. (A) $500,000 </w:t>
      </w:r>
      <w:r>
        <w:rPr>
          <w:rFonts w:ascii="Arial" w:cs="Arial" w:eastAsia="Arial" w:hAnsi="Arial"/>
          <w:sz w:val="19"/>
          <w:szCs w:val="19"/>
          <w:color w:val="FF0000"/>
          <w:strike w:val="1"/>
        </w:rPr>
        <w:t>and whole multiples of $100,000 in excess thereof</w:t>
      </w:r>
      <w:r>
        <w:rPr>
          <w:rFonts w:ascii="Arial" w:cs="Arial" w:eastAsia="Arial" w:hAnsi="Arial"/>
          <w:sz w:val="19"/>
          <w:szCs w:val="19"/>
          <w:color w:val="auto"/>
        </w:rPr>
        <w:t xml:space="preserve"> in the case of USD Revolving Loans that are Base Rate Loans or Floating LIBOR Rate Loans, and (B) $2 million </w:t>
      </w:r>
      <w:r>
        <w:rPr>
          <w:rFonts w:ascii="Arial" w:cs="Arial" w:eastAsia="Arial" w:hAnsi="Arial"/>
          <w:sz w:val="19"/>
          <w:szCs w:val="19"/>
          <w:color w:val="FF0000"/>
          <w:strike w:val="1"/>
        </w:rPr>
        <w:t>and whole multiples of $1</w:t>
      </w:r>
      <w:r>
        <w:rPr>
          <w:rFonts w:ascii="Arial" w:cs="Arial" w:eastAsia="Arial" w:hAnsi="Arial"/>
          <w:sz w:val="19"/>
          <w:szCs w:val="19"/>
          <w:color w:val="auto"/>
        </w:rPr>
        <w:t xml:space="preserve"> </w:t>
      </w:r>
      <w:r>
        <w:rPr>
          <w:rFonts w:ascii="Arial" w:cs="Arial" w:eastAsia="Arial" w:hAnsi="Arial"/>
          <w:sz w:val="19"/>
          <w:szCs w:val="19"/>
          <w:color w:val="FF0000"/>
          <w:strike w:val="1"/>
        </w:rPr>
        <w:t>million in excess thereof</w:t>
      </w:r>
      <w:r>
        <w:rPr>
          <w:rFonts w:ascii="Arial" w:cs="Arial" w:eastAsia="Arial" w:hAnsi="Arial"/>
          <w:sz w:val="19"/>
          <w:szCs w:val="19"/>
          <w:color w:val="FF0000"/>
        </w:rPr>
        <w:t xml:space="preserve"> </w:t>
      </w:r>
      <w:r>
        <w:rPr>
          <w:rFonts w:ascii="Arial" w:cs="Arial" w:eastAsia="Arial" w:hAnsi="Arial"/>
          <w:sz w:val="19"/>
          <w:szCs w:val="19"/>
          <w:color w:val="000000"/>
        </w:rPr>
        <w:t>in the case of USD Revolving Loans that are Fixed LIBOR Rate Loans.</w:t>
      </w:r>
    </w:p>
    <w:p>
      <w:pPr>
        <w:spacing w:after="0" w:line="180" w:lineRule="exact"/>
        <w:rPr>
          <w:sz w:val="20"/>
          <w:szCs w:val="20"/>
          <w:color w:val="auto"/>
        </w:rPr>
      </w:pPr>
    </w:p>
    <w:p>
      <w:pPr>
        <w:ind w:left="1300" w:right="800" w:firstLine="653"/>
        <w:spacing w:after="0" w:line="321" w:lineRule="auto"/>
        <w:tabs>
          <w:tab w:leader="none" w:pos="2392" w:val="left"/>
        </w:tabs>
        <w:numPr>
          <w:ilvl w:val="0"/>
          <w:numId w:val="85"/>
        </w:numPr>
        <w:rPr>
          <w:rFonts w:ascii="Arial" w:cs="Arial" w:eastAsia="Arial" w:hAnsi="Arial"/>
          <w:sz w:val="22"/>
          <w:szCs w:val="22"/>
          <w:color w:val="auto"/>
        </w:rPr>
      </w:pPr>
      <w:r>
        <w:rPr>
          <w:rFonts w:ascii="Arial" w:cs="Arial" w:eastAsia="Arial" w:hAnsi="Arial"/>
          <w:sz w:val="20"/>
          <w:szCs w:val="20"/>
          <w:u w:val="single" w:color="auto"/>
          <w:color w:val="auto"/>
        </w:rPr>
        <w:t>European Revolving Loans</w:t>
      </w:r>
      <w:r>
        <w:rPr>
          <w:rFonts w:ascii="Arial" w:cs="Arial" w:eastAsia="Arial" w:hAnsi="Arial"/>
          <w:sz w:val="20"/>
          <w:szCs w:val="20"/>
          <w:color w:val="auto"/>
        </w:rPr>
        <w:t xml:space="preserve">. $1 million </w:t>
      </w:r>
      <w:r>
        <w:rPr>
          <w:rFonts w:ascii="Arial" w:cs="Arial" w:eastAsia="Arial" w:hAnsi="Arial"/>
          <w:sz w:val="20"/>
          <w:szCs w:val="20"/>
          <w:color w:val="FF0000"/>
          <w:strike w:val="1"/>
        </w:rPr>
        <w:t>and whole multiples of $500,000 in excess thereof</w:t>
      </w:r>
      <w:r>
        <w:rPr>
          <w:rFonts w:ascii="Arial" w:cs="Arial" w:eastAsia="Arial" w:hAnsi="Arial"/>
          <w:sz w:val="20"/>
          <w:szCs w:val="20"/>
          <w:color w:val="auto"/>
        </w:rPr>
        <w:t xml:space="preserve"> in the case of European Revolving Loans.</w:t>
      </w:r>
    </w:p>
    <w:p>
      <w:pPr>
        <w:spacing w:after="0" w:line="177" w:lineRule="exact"/>
        <w:rPr>
          <w:rFonts w:ascii="Arial" w:cs="Arial" w:eastAsia="Arial" w:hAnsi="Arial"/>
          <w:sz w:val="22"/>
          <w:szCs w:val="22"/>
          <w:color w:val="auto"/>
        </w:rPr>
      </w:pPr>
    </w:p>
    <w:p>
      <w:pPr>
        <w:ind w:left="1300" w:right="680" w:firstLine="653"/>
        <w:spacing w:after="0" w:line="321" w:lineRule="auto"/>
        <w:tabs>
          <w:tab w:leader="none" w:pos="2452" w:val="left"/>
        </w:tabs>
        <w:numPr>
          <w:ilvl w:val="0"/>
          <w:numId w:val="85"/>
        </w:numPr>
        <w:rPr>
          <w:rFonts w:ascii="Arial" w:cs="Arial" w:eastAsia="Arial" w:hAnsi="Arial"/>
          <w:sz w:val="22"/>
          <w:szCs w:val="22"/>
          <w:color w:val="auto"/>
        </w:rPr>
      </w:pPr>
      <w:r>
        <w:rPr>
          <w:rFonts w:ascii="Arial" w:cs="Arial" w:eastAsia="Arial" w:hAnsi="Arial"/>
          <w:sz w:val="20"/>
          <w:szCs w:val="20"/>
          <w:u w:val="single" w:color="auto"/>
          <w:color w:val="auto"/>
        </w:rPr>
        <w:t>Australian Revolving Loans</w:t>
      </w:r>
      <w:r>
        <w:rPr>
          <w:rFonts w:ascii="Arial" w:cs="Arial" w:eastAsia="Arial" w:hAnsi="Arial"/>
          <w:sz w:val="20"/>
          <w:szCs w:val="20"/>
          <w:color w:val="auto"/>
        </w:rPr>
        <w:t xml:space="preserve">. $1 million </w:t>
      </w:r>
      <w:r>
        <w:rPr>
          <w:rFonts w:ascii="Arial" w:cs="Arial" w:eastAsia="Arial" w:hAnsi="Arial"/>
          <w:sz w:val="20"/>
          <w:szCs w:val="20"/>
          <w:color w:val="FF0000"/>
          <w:strike w:val="1"/>
        </w:rPr>
        <w:t>and whole multiples of $500,000 in excess thereof</w:t>
      </w:r>
      <w:r>
        <w:rPr>
          <w:rFonts w:ascii="Arial" w:cs="Arial" w:eastAsia="Arial" w:hAnsi="Arial"/>
          <w:sz w:val="20"/>
          <w:szCs w:val="20"/>
          <w:color w:val="auto"/>
        </w:rPr>
        <w:t xml:space="preserve"> in the case of Australian Revolving Loans.</w:t>
      </w:r>
    </w:p>
    <w:p>
      <w:pPr>
        <w:spacing w:after="0" w:line="177" w:lineRule="exact"/>
        <w:rPr>
          <w:rFonts w:ascii="Arial" w:cs="Arial" w:eastAsia="Arial" w:hAnsi="Arial"/>
          <w:sz w:val="22"/>
          <w:szCs w:val="22"/>
          <w:color w:val="auto"/>
        </w:rPr>
      </w:pPr>
    </w:p>
    <w:p>
      <w:pPr>
        <w:ind w:left="1300" w:right="640" w:firstLine="653"/>
        <w:spacing w:after="0" w:line="321" w:lineRule="auto"/>
        <w:tabs>
          <w:tab w:leader="none" w:pos="2440" w:val="left"/>
        </w:tabs>
        <w:numPr>
          <w:ilvl w:val="0"/>
          <w:numId w:val="85"/>
        </w:numPr>
        <w:rPr>
          <w:rFonts w:ascii="Arial" w:cs="Arial" w:eastAsia="Arial" w:hAnsi="Arial"/>
          <w:sz w:val="22"/>
          <w:szCs w:val="22"/>
          <w:color w:val="auto"/>
        </w:rPr>
      </w:pPr>
      <w:r>
        <w:rPr>
          <w:rFonts w:ascii="Arial" w:cs="Arial" w:eastAsia="Arial" w:hAnsi="Arial"/>
          <w:sz w:val="20"/>
          <w:szCs w:val="20"/>
          <w:u w:val="single" w:color="auto"/>
          <w:color w:val="auto"/>
        </w:rPr>
        <w:t>India Revolving Loans</w:t>
      </w:r>
      <w:r>
        <w:rPr>
          <w:rFonts w:ascii="Arial" w:cs="Arial" w:eastAsia="Arial" w:hAnsi="Arial"/>
          <w:sz w:val="20"/>
          <w:szCs w:val="20"/>
          <w:color w:val="auto"/>
        </w:rPr>
        <w:t xml:space="preserve">. $1 million </w:t>
      </w:r>
      <w:r>
        <w:rPr>
          <w:rFonts w:ascii="Arial" w:cs="Arial" w:eastAsia="Arial" w:hAnsi="Arial"/>
          <w:sz w:val="20"/>
          <w:szCs w:val="20"/>
          <w:color w:val="FF0000"/>
          <w:strike w:val="1"/>
        </w:rPr>
        <w:t>and whole multiples of $500,000 in excess thereof</w:t>
      </w:r>
      <w:r>
        <w:rPr>
          <w:rFonts w:ascii="Arial" w:cs="Arial" w:eastAsia="Arial" w:hAnsi="Arial"/>
          <w:sz w:val="20"/>
          <w:szCs w:val="20"/>
          <w:color w:val="auto"/>
        </w:rPr>
        <w:t xml:space="preserve"> in the case of India Revolving Loans.</w:t>
      </w:r>
    </w:p>
    <w:p>
      <w:pPr>
        <w:spacing w:after="0" w:line="175" w:lineRule="exact"/>
        <w:rPr>
          <w:rFonts w:ascii="Arial" w:cs="Arial" w:eastAsia="Arial" w:hAnsi="Arial"/>
          <w:sz w:val="22"/>
          <w:szCs w:val="22"/>
          <w:color w:val="auto"/>
        </w:rPr>
      </w:pPr>
    </w:p>
    <w:p>
      <w:pPr>
        <w:ind w:left="2380" w:hanging="427"/>
        <w:spacing w:after="0"/>
        <w:tabs>
          <w:tab w:leader="none" w:pos="2380" w:val="left"/>
        </w:tabs>
        <w:numPr>
          <w:ilvl w:val="0"/>
          <w:numId w:val="85"/>
        </w:numPr>
        <w:rPr>
          <w:rFonts w:ascii="Arial" w:cs="Arial" w:eastAsia="Arial" w:hAnsi="Arial"/>
          <w:sz w:val="22"/>
          <w:szCs w:val="22"/>
          <w:color w:val="auto"/>
        </w:rPr>
      </w:pPr>
      <w:r>
        <w:rPr>
          <w:rFonts w:ascii="Arial" w:cs="Arial" w:eastAsia="Arial" w:hAnsi="Arial"/>
          <w:sz w:val="20"/>
          <w:szCs w:val="20"/>
          <w:u w:val="single" w:color="auto"/>
          <w:color w:val="auto"/>
        </w:rPr>
        <w:t>Term Loans</w:t>
      </w:r>
      <w:r>
        <w:rPr>
          <w:rFonts w:ascii="Arial" w:cs="Arial" w:eastAsia="Arial" w:hAnsi="Arial"/>
          <w:sz w:val="20"/>
          <w:szCs w:val="20"/>
          <w:color w:val="auto"/>
        </w:rPr>
        <w:t xml:space="preserve">. $5 million </w:t>
      </w:r>
      <w:r>
        <w:rPr>
          <w:rFonts w:ascii="Arial" w:cs="Arial" w:eastAsia="Arial" w:hAnsi="Arial"/>
          <w:sz w:val="20"/>
          <w:szCs w:val="20"/>
          <w:color w:val="FF0000"/>
          <w:strike w:val="1"/>
        </w:rPr>
        <w:t>and whole multiples of $1 million in excess thereof</w:t>
      </w:r>
      <w:r>
        <w:rPr>
          <w:rFonts w:ascii="Arial" w:cs="Arial" w:eastAsia="Arial" w:hAnsi="Arial"/>
          <w:sz w:val="20"/>
          <w:szCs w:val="20"/>
          <w:color w:val="auto"/>
        </w:rPr>
        <w:t xml:space="preserve"> in the case of Term Loans.</w:t>
      </w:r>
    </w:p>
    <w:p>
      <w:pPr>
        <w:spacing w:after="0" w:line="236" w:lineRule="exact"/>
        <w:rPr>
          <w:sz w:val="20"/>
          <w:szCs w:val="20"/>
          <w:color w:val="auto"/>
        </w:rPr>
      </w:pPr>
    </w:p>
    <w:p>
      <w:pPr>
        <w:ind w:firstLine="648"/>
        <w:spacing w:after="0" w:line="270" w:lineRule="auto"/>
        <w:rPr>
          <w:sz w:val="20"/>
          <w:szCs w:val="20"/>
          <w:color w:val="auto"/>
        </w:rPr>
      </w:pPr>
      <w:r>
        <w:rPr>
          <w:rFonts w:ascii="Arial" w:cs="Arial" w:eastAsia="Arial" w:hAnsi="Arial"/>
          <w:sz w:val="18"/>
          <w:szCs w:val="18"/>
          <w:color w:val="auto"/>
        </w:rPr>
        <w:t xml:space="preserve">Each Loan Notice (whether telephonic or written) shall specify (i) whether the applicable Borrower’s request is with respect to Revolving Loans or Term Loans, and which Type, (ii) whether such request is for a Borrowing, conversion, or continuation, (iii) the requested date of such Borrowing, conversion or continuation (which shall be a Business Day), (iv) the principal amount of Loans to be borrowed, converted or continued, (v) the Type of Loans to be borrowed, converted or continued, (vi) if applicable, the duration of the Interest Period with respect thereto and (vii) the currency of the Loans to be borrowed. If a Borrower fails to specify a currency in a Loan Notice requesting a Borrowing, then the Loans so requested shall be made in Dollars. If a Borrower fails to specify a Type of Loan in a Loan Notice or if a Borrower fails to give a timely notice requesting a conversion or continuation, then the applicable Loans shall be made as, or converted to, Base Rate Loans; </w:t>
      </w:r>
      <w:r>
        <w:rPr>
          <w:rFonts w:ascii="Arial" w:cs="Arial" w:eastAsia="Arial" w:hAnsi="Arial"/>
          <w:sz w:val="18"/>
          <w:szCs w:val="18"/>
          <w:u w:val="single" w:color="auto"/>
          <w:color w:val="auto"/>
        </w:rPr>
        <w:t>provided</w:t>
      </w:r>
      <w:r>
        <w:rPr>
          <w:rFonts w:ascii="Arial" w:cs="Arial" w:eastAsia="Arial" w:hAnsi="Arial"/>
          <w:sz w:val="18"/>
          <w:szCs w:val="18"/>
          <w:color w:val="auto"/>
        </w:rPr>
        <w:t>, however, that in the case of a failure to timely request a continuation of Loans denominated in currencies other than Dollars, such Loans shall be continued as Fixed LIBOR Rate Loans in their original currency with an Interest Period of one month. Any automatic conversion to Base Rate Loans shall be effective as of the last day of the Interest Period then in effect with respect to the applicable Fixed LIBOR Rate Loans. If a Borrower requests a Borrowing of, conversion to, or continuation of Fixed LIBOR Rate Loans in any Loan Notice, but fails to specify an Interest Period, the Interest Period will be deemed to be one month. No Loan may</w:t>
      </w: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79</w:t>
      </w:r>
    </w:p>
    <w:p>
      <w:pPr>
        <w:spacing w:after="0" w:line="10" w:lineRule="exact"/>
        <w:rPr>
          <w:sz w:val="20"/>
          <w:szCs w:val="20"/>
          <w:color w:val="auto"/>
        </w:rPr>
      </w:pPr>
    </w:p>
    <w:p>
      <w:pPr>
        <w:spacing w:after="0"/>
        <w:rPr>
          <w:sz w:val="20"/>
          <w:szCs w:val="20"/>
          <w:color w:val="auto"/>
        </w:rPr>
      </w:pPr>
      <w:r>
        <w:rPr>
          <w:rFonts w:ascii="Arial" w:cs="Arial" w:eastAsia="Arial" w:hAnsi="Arial"/>
          <w:sz w:val="14"/>
          <w:szCs w:val="14"/>
          <w:color w:val="auto"/>
        </w:rPr>
        <w:t>CHAR1\1346423v</w:t>
      </w:r>
      <w:r>
        <w:rPr>
          <w:rFonts w:ascii="Arial" w:cs="Arial" w:eastAsia="Arial" w:hAnsi="Arial"/>
          <w:sz w:val="14"/>
          <w:szCs w:val="14"/>
          <w:color w:val="FF0000"/>
          <w:strike w:val="1"/>
        </w:rPr>
        <w:t>1</w:t>
      </w:r>
      <w:r>
        <w:rPr>
          <w:rFonts w:ascii="Arial" w:cs="Arial" w:eastAsia="Arial" w:hAnsi="Arial"/>
          <w:sz w:val="14"/>
          <w:szCs w:val="14"/>
          <w:u w:val="single" w:color="auto"/>
          <w:color w:val="0000FF"/>
        </w:rPr>
        <w:t>12</w:t>
      </w:r>
    </w:p>
    <w:p>
      <w:pPr>
        <w:sectPr>
          <w:pgSz w:w="11900" w:h="16838" w:orient="portrait"/>
          <w:cols w:equalWidth="0" w:num="1">
            <w:col w:w="11420"/>
          </w:cols>
          <w:pgMar w:left="240" w:top="622" w:right="239" w:bottom="1440" w:gutter="0" w:footer="0" w:header="0"/>
        </w:sectPr>
      </w:pPr>
    </w:p>
    <w:bookmarkStart w:id="131" w:name="page132"/>
    <w:bookmarkEnd w:id="131"/>
    <w:p>
      <w:pPr>
        <w:ind w:right="40"/>
        <w:spacing w:after="0" w:line="260" w:lineRule="auto"/>
        <w:rPr>
          <w:sz w:val="20"/>
          <w:szCs w:val="20"/>
          <w:color w:val="auto"/>
        </w:rPr>
      </w:pPr>
      <w:r>
        <w:rPr>
          <w:rFonts w:ascii="Arial" w:cs="Arial" w:eastAsia="Arial" w:hAnsi="Arial"/>
          <w:sz w:val="20"/>
          <w:szCs w:val="20"/>
          <w:color w:val="auto"/>
        </w:rPr>
        <w:t>be converted into or continued as a Loan denominated in a different currency, but instead must be prepaid in the original currency of such Loan and reborrowed in the other currency.</w:t>
      </w:r>
    </w:p>
    <w:p>
      <w:pPr>
        <w:spacing w:after="0" w:line="204" w:lineRule="exact"/>
        <w:rPr>
          <w:sz w:val="20"/>
          <w:szCs w:val="20"/>
          <w:color w:val="auto"/>
        </w:rPr>
      </w:pPr>
    </w:p>
    <w:p>
      <w:pPr>
        <w:ind w:left="1700" w:hanging="395"/>
        <w:spacing w:after="0"/>
        <w:tabs>
          <w:tab w:leader="none" w:pos="1700" w:val="left"/>
        </w:tabs>
        <w:numPr>
          <w:ilvl w:val="0"/>
          <w:numId w:val="86"/>
        </w:numPr>
        <w:rPr>
          <w:rFonts w:ascii="Arial" w:cs="Arial" w:eastAsia="Arial" w:hAnsi="Arial"/>
          <w:sz w:val="19"/>
          <w:szCs w:val="19"/>
          <w:color w:val="auto"/>
        </w:rPr>
      </w:pPr>
      <w:r>
        <w:rPr>
          <w:rFonts w:ascii="Arial" w:cs="Arial" w:eastAsia="Arial" w:hAnsi="Arial"/>
          <w:sz w:val="19"/>
          <w:szCs w:val="19"/>
          <w:color w:val="auto"/>
        </w:rPr>
        <w:t>Following receipt of a Loan Notice, the Administrative Agent shall promptly notify each Lender of the amount (and</w:t>
      </w:r>
    </w:p>
    <w:p>
      <w:pPr>
        <w:spacing w:after="0" w:line="65" w:lineRule="exact"/>
        <w:rPr>
          <w:rFonts w:ascii="Arial" w:cs="Arial" w:eastAsia="Arial" w:hAnsi="Arial"/>
          <w:sz w:val="19"/>
          <w:szCs w:val="19"/>
          <w:color w:val="auto"/>
        </w:rPr>
      </w:pPr>
    </w:p>
    <w:p>
      <w:pPr>
        <w:ind w:left="660"/>
        <w:spacing w:after="0" w:line="317" w:lineRule="auto"/>
        <w:rPr>
          <w:rFonts w:ascii="Arial" w:cs="Arial" w:eastAsia="Arial" w:hAnsi="Arial"/>
          <w:sz w:val="19"/>
          <w:szCs w:val="19"/>
          <w:color w:val="auto"/>
        </w:rPr>
      </w:pPr>
      <w:r>
        <w:rPr>
          <w:rFonts w:ascii="Arial" w:cs="Arial" w:eastAsia="Arial" w:hAnsi="Arial"/>
          <w:sz w:val="18"/>
          <w:szCs w:val="18"/>
          <w:color w:val="auto"/>
        </w:rPr>
        <w:t xml:space="preserve">currency) of its pro rata share of the applicable Loans, and if no timely notice of a conversion or continuation is provided by a Borrower, the Administrative Agent shall notify each Lender of the details of any automatic conversion to Base Rate Loans or continuation of Loans denominated in a currency other than Dollars, in each case as described in the preceding subsection. In the case of a Borrowing, each Lender shall make the amount of its Loan available to the Administrative Agent in Same Day Funds at the Administrative Agent’s Office for the applicable currency not later than 1:00 p.m. (or 2 hours after delivery of the Loan Notice by the Borrower as provided above, if later), in the case of any Loan denominated in Dollars, and not later than the Applicable Time specified by the Administrative Agent in the case of any Loan in currencies other than Dollars, in each case on the Business Day specified in the applicable Loan Notice. Upon satisfaction of the applicable conditions set forth in </w:t>
      </w:r>
      <w:r>
        <w:rPr>
          <w:rFonts w:ascii="Arial" w:cs="Arial" w:eastAsia="Arial" w:hAnsi="Arial"/>
          <w:sz w:val="18"/>
          <w:szCs w:val="18"/>
          <w:u w:val="single" w:color="auto"/>
          <w:color w:val="auto"/>
        </w:rPr>
        <w:t>Section 5.02</w:t>
      </w:r>
      <w:r>
        <w:rPr>
          <w:rFonts w:ascii="Arial" w:cs="Arial" w:eastAsia="Arial" w:hAnsi="Arial"/>
          <w:sz w:val="18"/>
          <w:szCs w:val="18"/>
          <w:color w:val="auto"/>
        </w:rPr>
        <w:t xml:space="preserve"> (and, if such Borrowing is the initial Credit Extension, </w:t>
      </w:r>
      <w:r>
        <w:rPr>
          <w:rFonts w:ascii="Arial" w:cs="Arial" w:eastAsia="Arial" w:hAnsi="Arial"/>
          <w:sz w:val="18"/>
          <w:szCs w:val="18"/>
          <w:u w:val="single" w:color="auto"/>
          <w:color w:val="auto"/>
        </w:rPr>
        <w:t>Section 5.01</w:t>
      </w:r>
      <w:r>
        <w:rPr>
          <w:rFonts w:ascii="Arial" w:cs="Arial" w:eastAsia="Arial" w:hAnsi="Arial"/>
          <w:sz w:val="18"/>
          <w:szCs w:val="18"/>
          <w:color w:val="auto"/>
        </w:rPr>
        <w:t xml:space="preserve">), the Administrative Agent shall make all funds so received available to the applicable Borrower in like funds as received by the Administrative Agent </w:t>
      </w:r>
      <w:r>
        <w:rPr>
          <w:rFonts w:ascii="Arial" w:cs="Arial" w:eastAsia="Arial" w:hAnsi="Arial"/>
          <w:sz w:val="18"/>
          <w:szCs w:val="18"/>
          <w:color w:val="FF0000"/>
          <w:strike w:val="1"/>
        </w:rPr>
        <w:t>either</w:t>
      </w:r>
      <w:r>
        <w:rPr>
          <w:rFonts w:ascii="Arial" w:cs="Arial" w:eastAsia="Arial" w:hAnsi="Arial"/>
          <w:sz w:val="18"/>
          <w:szCs w:val="18"/>
          <w:color w:val="auto"/>
        </w:rPr>
        <w:t xml:space="preserve"> by </w:t>
      </w:r>
      <w:r>
        <w:rPr>
          <w:rFonts w:ascii="Arial" w:cs="Arial" w:eastAsia="Arial" w:hAnsi="Arial"/>
          <w:sz w:val="18"/>
          <w:szCs w:val="18"/>
          <w:color w:val="FF0000"/>
          <w:strike w:val="1"/>
        </w:rPr>
        <w:t>(i)</w:t>
      </w:r>
      <w:r>
        <w:rPr>
          <w:rFonts w:ascii="Arial" w:cs="Arial" w:eastAsia="Arial" w:hAnsi="Arial"/>
          <w:sz w:val="18"/>
          <w:szCs w:val="18"/>
          <w:color w:val="auto"/>
        </w:rPr>
        <w:t xml:space="preserve"> crediting the account of the applicable Borrower on the books of Bank of America with the amount of such funds </w:t>
      </w:r>
      <w:r>
        <w:rPr>
          <w:rFonts w:ascii="Arial" w:cs="Arial" w:eastAsia="Arial" w:hAnsi="Arial"/>
          <w:sz w:val="18"/>
          <w:szCs w:val="18"/>
          <w:color w:val="FF0000"/>
          <w:strike w:val="1"/>
        </w:rPr>
        <w:t>or (ii) wire transfer of such funds, in each case in accordance with instructions provided to (and</w:t>
      </w:r>
      <w:r>
        <w:rPr>
          <w:rFonts w:ascii="Arial" w:cs="Arial" w:eastAsia="Arial" w:hAnsi="Arial"/>
          <w:sz w:val="18"/>
          <w:szCs w:val="18"/>
          <w:color w:val="auto"/>
        </w:rPr>
        <w:t xml:space="preserve"> </w:t>
      </w:r>
      <w:r>
        <w:rPr>
          <w:rFonts w:ascii="Arial" w:cs="Arial" w:eastAsia="Arial" w:hAnsi="Arial"/>
          <w:sz w:val="18"/>
          <w:szCs w:val="18"/>
          <w:color w:val="FF0000"/>
          <w:strike w:val="1"/>
        </w:rPr>
        <w:t>reasonably acceptable to) the Administrative Agent by such Borrower</w:t>
      </w:r>
      <w:r>
        <w:rPr>
          <w:rFonts w:ascii="Arial" w:cs="Arial" w:eastAsia="Arial" w:hAnsi="Arial"/>
          <w:sz w:val="18"/>
          <w:szCs w:val="18"/>
          <w:color w:val="000000"/>
        </w:rPr>
        <w:t>;</w:t>
      </w:r>
      <w:r>
        <w:rPr>
          <w:rFonts w:ascii="Arial" w:cs="Arial" w:eastAsia="Arial" w:hAnsi="Arial"/>
          <w:sz w:val="18"/>
          <w:szCs w:val="18"/>
          <w:color w:val="FF0000"/>
        </w:rPr>
        <w:t xml:space="preserve"> </w:t>
      </w:r>
      <w:r>
        <w:rPr>
          <w:rFonts w:ascii="Arial" w:cs="Arial" w:eastAsia="Arial" w:hAnsi="Arial"/>
          <w:sz w:val="18"/>
          <w:szCs w:val="18"/>
          <w:u w:val="single" w:color="auto"/>
          <w:color w:val="000000"/>
        </w:rPr>
        <w:t>provided</w:t>
      </w:r>
      <w:r>
        <w:rPr>
          <w:rFonts w:ascii="Arial" w:cs="Arial" w:eastAsia="Arial" w:hAnsi="Arial"/>
          <w:sz w:val="18"/>
          <w:szCs w:val="18"/>
          <w:color w:val="000000"/>
        </w:rPr>
        <w:t>, however, that if, on the date of such Borrowing</w:t>
      </w:r>
      <w:r>
        <w:rPr>
          <w:rFonts w:ascii="Arial" w:cs="Arial" w:eastAsia="Arial" w:hAnsi="Arial"/>
          <w:sz w:val="18"/>
          <w:szCs w:val="18"/>
          <w:color w:val="FF0000"/>
        </w:rPr>
        <w:t xml:space="preserve"> </w:t>
      </w:r>
      <w:r>
        <w:rPr>
          <w:rFonts w:ascii="Arial" w:cs="Arial" w:eastAsia="Arial" w:hAnsi="Arial"/>
          <w:sz w:val="18"/>
          <w:szCs w:val="18"/>
          <w:color w:val="000000"/>
        </w:rPr>
        <w:t xml:space="preserve">denominated in Dollars there are L/C Borrowings outstanding, then the proceeds of such Borrowing, </w:t>
      </w:r>
      <w:r>
        <w:rPr>
          <w:rFonts w:ascii="Arial" w:cs="Arial" w:eastAsia="Arial" w:hAnsi="Arial"/>
          <w:sz w:val="18"/>
          <w:szCs w:val="18"/>
          <w:u w:val="single" w:color="auto"/>
          <w:color w:val="000000"/>
        </w:rPr>
        <w:t>first</w:t>
      </w:r>
      <w:r>
        <w:rPr>
          <w:rFonts w:ascii="Arial" w:cs="Arial" w:eastAsia="Arial" w:hAnsi="Arial"/>
          <w:sz w:val="18"/>
          <w:szCs w:val="18"/>
          <w:color w:val="000000"/>
        </w:rPr>
        <w:t xml:space="preserve">, shall be applied to the payment in full of any such L/C Borrowings, and </w:t>
      </w:r>
      <w:r>
        <w:rPr>
          <w:rFonts w:ascii="Arial" w:cs="Arial" w:eastAsia="Arial" w:hAnsi="Arial"/>
          <w:sz w:val="18"/>
          <w:szCs w:val="18"/>
          <w:u w:val="single" w:color="auto"/>
          <w:color w:val="000000"/>
        </w:rPr>
        <w:t>second</w:t>
      </w:r>
      <w:r>
        <w:rPr>
          <w:rFonts w:ascii="Arial" w:cs="Arial" w:eastAsia="Arial" w:hAnsi="Arial"/>
          <w:sz w:val="18"/>
          <w:szCs w:val="18"/>
          <w:color w:val="000000"/>
        </w:rPr>
        <w:t>, shall be made available to such Borrower as provided above.</w:t>
      </w:r>
    </w:p>
    <w:p>
      <w:pPr>
        <w:spacing w:after="0" w:line="170" w:lineRule="exact"/>
        <w:rPr>
          <w:rFonts w:ascii="Arial" w:cs="Arial" w:eastAsia="Arial" w:hAnsi="Arial"/>
          <w:sz w:val="19"/>
          <w:szCs w:val="19"/>
          <w:color w:val="auto"/>
        </w:rPr>
      </w:pPr>
    </w:p>
    <w:p>
      <w:pPr>
        <w:ind w:left="1720" w:hanging="415"/>
        <w:spacing w:after="0"/>
        <w:tabs>
          <w:tab w:leader="none" w:pos="1720" w:val="left"/>
        </w:tabs>
        <w:numPr>
          <w:ilvl w:val="0"/>
          <w:numId w:val="86"/>
        </w:numPr>
        <w:rPr>
          <w:rFonts w:ascii="Arial" w:cs="Arial" w:eastAsia="Arial" w:hAnsi="Arial"/>
          <w:sz w:val="19"/>
          <w:szCs w:val="19"/>
          <w:color w:val="auto"/>
        </w:rPr>
      </w:pPr>
      <w:r>
        <w:rPr>
          <w:rFonts w:ascii="Arial" w:cs="Arial" w:eastAsia="Arial" w:hAnsi="Arial"/>
          <w:sz w:val="19"/>
          <w:szCs w:val="19"/>
          <w:color w:val="auto"/>
        </w:rPr>
        <w:t>Except as otherwise provided herein, without the consent of the Required Lenders for the respective class of Loan</w:t>
      </w:r>
    </w:p>
    <w:p>
      <w:pPr>
        <w:spacing w:after="0" w:line="65" w:lineRule="exact"/>
        <w:rPr>
          <w:rFonts w:ascii="Arial" w:cs="Arial" w:eastAsia="Arial" w:hAnsi="Arial"/>
          <w:sz w:val="19"/>
          <w:szCs w:val="19"/>
          <w:color w:val="auto"/>
        </w:rPr>
      </w:pPr>
    </w:p>
    <w:p>
      <w:pPr>
        <w:ind w:left="660" w:right="140"/>
        <w:spacing w:after="0" w:line="303" w:lineRule="auto"/>
        <w:rPr>
          <w:rFonts w:ascii="Arial" w:cs="Arial" w:eastAsia="Arial" w:hAnsi="Arial"/>
          <w:sz w:val="19"/>
          <w:szCs w:val="19"/>
          <w:color w:val="auto"/>
        </w:rPr>
      </w:pPr>
      <w:r>
        <w:rPr>
          <w:rFonts w:ascii="Arial" w:cs="Arial" w:eastAsia="Arial" w:hAnsi="Arial"/>
          <w:sz w:val="19"/>
          <w:szCs w:val="19"/>
          <w:color w:val="auto"/>
        </w:rPr>
        <w:t xml:space="preserve">Obligations, (i) a Fixed LIBOR Rate Loan may be continued or converted only on the last day of an Interest Period for such Fixed LIBOR Rate Loan and (ii) any conversion into, or continuation as, a Fixed LIBOR Rate Loan may be made only if the conditions to Credit Extensions in </w:t>
      </w:r>
      <w:r>
        <w:rPr>
          <w:rFonts w:ascii="Arial" w:cs="Arial" w:eastAsia="Arial" w:hAnsi="Arial"/>
          <w:sz w:val="19"/>
          <w:szCs w:val="19"/>
          <w:u w:val="single" w:color="auto"/>
          <w:color w:val="auto"/>
        </w:rPr>
        <w:t>Section 5.02</w:t>
      </w:r>
      <w:r>
        <w:rPr>
          <w:rFonts w:ascii="Arial" w:cs="Arial" w:eastAsia="Arial" w:hAnsi="Arial"/>
          <w:sz w:val="19"/>
          <w:szCs w:val="19"/>
          <w:color w:val="auto"/>
        </w:rPr>
        <w:t xml:space="preserve"> have been satisfied. During the existence of a Default or Event of Default, (i) no Loan may be requested as, converted to or continued as a Fixed LIBOR Rate Loan (whether in Dollars or any other currency) and (ii) at the request of the Required Lenders, any outstanding USD Revolving Loan that is a Fixed LIBOR Rate Loan shall be converted to a Base Rate Loan on the last day of the Interest Period with respect thereto.</w:t>
      </w:r>
    </w:p>
    <w:p>
      <w:pPr>
        <w:spacing w:after="0" w:line="181" w:lineRule="exact"/>
        <w:rPr>
          <w:rFonts w:ascii="Arial" w:cs="Arial" w:eastAsia="Arial" w:hAnsi="Arial"/>
          <w:sz w:val="19"/>
          <w:szCs w:val="19"/>
          <w:color w:val="auto"/>
        </w:rPr>
      </w:pPr>
    </w:p>
    <w:p>
      <w:pPr>
        <w:ind w:left="1700" w:hanging="395"/>
        <w:spacing w:after="0"/>
        <w:tabs>
          <w:tab w:leader="none" w:pos="1700" w:val="left"/>
        </w:tabs>
        <w:numPr>
          <w:ilvl w:val="0"/>
          <w:numId w:val="86"/>
        </w:numPr>
        <w:rPr>
          <w:rFonts w:ascii="Arial" w:cs="Arial" w:eastAsia="Arial" w:hAnsi="Arial"/>
          <w:sz w:val="19"/>
          <w:szCs w:val="19"/>
          <w:color w:val="auto"/>
        </w:rPr>
      </w:pPr>
      <w:r>
        <w:rPr>
          <w:rFonts w:ascii="Arial" w:cs="Arial" w:eastAsia="Arial" w:hAnsi="Arial"/>
          <w:sz w:val="19"/>
          <w:szCs w:val="19"/>
          <w:color w:val="auto"/>
        </w:rPr>
        <w:t>The Administrative Agent shall promptly notify the Borrowers and the Lenders of the interest rate applicable to any</w:t>
      </w:r>
    </w:p>
    <w:p>
      <w:pPr>
        <w:spacing w:after="0" w:line="65" w:lineRule="exact"/>
        <w:rPr>
          <w:rFonts w:ascii="Arial" w:cs="Arial" w:eastAsia="Arial" w:hAnsi="Arial"/>
          <w:sz w:val="19"/>
          <w:szCs w:val="19"/>
          <w:color w:val="auto"/>
        </w:rPr>
      </w:pPr>
    </w:p>
    <w:p>
      <w:pPr>
        <w:ind w:left="660" w:right="120"/>
        <w:spacing w:after="0" w:line="329" w:lineRule="auto"/>
        <w:rPr>
          <w:rFonts w:ascii="Arial" w:cs="Arial" w:eastAsia="Arial" w:hAnsi="Arial"/>
          <w:sz w:val="19"/>
          <w:szCs w:val="19"/>
          <w:color w:val="auto"/>
        </w:rPr>
      </w:pPr>
      <w:r>
        <w:rPr>
          <w:rFonts w:ascii="Arial" w:cs="Arial" w:eastAsia="Arial" w:hAnsi="Arial"/>
          <w:sz w:val="18"/>
          <w:szCs w:val="18"/>
          <w:color w:val="auto"/>
        </w:rPr>
        <w:t>Interest Period for Fixed LIBOR Rate Loans upon determination of such interest rate. The determination of the Fixed LIBOR Rate by the Administrative Agent shall be conclusive in the absence of manifest error. At any time that Base Rate Loans or Floating LIBOR Rate Loans are outstanding, the Administrative Agent shall notify the Borrowers and the Lenders of any change in Bank of America’s prime rate used in determining the Base Rate promptly following the public announcement of such change, in the</w:t>
      </w:r>
    </w:p>
    <w:p>
      <w:pPr>
        <w:spacing w:after="0" w:line="378" w:lineRule="exact"/>
        <w:rPr>
          <w:sz w:val="20"/>
          <w:szCs w:val="20"/>
          <w:color w:val="auto"/>
        </w:rPr>
      </w:pPr>
    </w:p>
    <w:p>
      <w:pPr>
        <w:jc w:val="center"/>
        <w:ind w:right="-39"/>
        <w:spacing w:after="0"/>
        <w:rPr>
          <w:sz w:val="20"/>
          <w:szCs w:val="20"/>
          <w:color w:val="auto"/>
        </w:rPr>
      </w:pPr>
      <w:r>
        <w:rPr>
          <w:rFonts w:ascii="Arial" w:cs="Arial" w:eastAsia="Arial" w:hAnsi="Arial"/>
          <w:sz w:val="20"/>
          <w:szCs w:val="20"/>
          <w:color w:val="auto"/>
        </w:rPr>
        <w:t>80</w:t>
      </w:r>
    </w:p>
    <w:p>
      <w:pPr>
        <w:spacing w:after="0" w:line="10" w:lineRule="exact"/>
        <w:rPr>
          <w:sz w:val="20"/>
          <w:szCs w:val="20"/>
          <w:color w:val="auto"/>
        </w:rPr>
      </w:pPr>
    </w:p>
    <w:p>
      <w:pPr>
        <w:spacing w:after="0"/>
        <w:rPr>
          <w:sz w:val="20"/>
          <w:szCs w:val="20"/>
          <w:color w:val="auto"/>
        </w:rPr>
      </w:pPr>
      <w:r>
        <w:rPr>
          <w:rFonts w:ascii="Arial" w:cs="Arial" w:eastAsia="Arial" w:hAnsi="Arial"/>
          <w:sz w:val="14"/>
          <w:szCs w:val="14"/>
          <w:color w:val="auto"/>
        </w:rPr>
        <w:t>CHAR1\1346423v</w:t>
      </w:r>
      <w:r>
        <w:rPr>
          <w:rFonts w:ascii="Arial" w:cs="Arial" w:eastAsia="Arial" w:hAnsi="Arial"/>
          <w:sz w:val="14"/>
          <w:szCs w:val="14"/>
          <w:color w:val="FF0000"/>
          <w:strike w:val="1"/>
        </w:rPr>
        <w:t>1</w:t>
      </w:r>
      <w:r>
        <w:rPr>
          <w:rFonts w:ascii="Arial" w:cs="Arial" w:eastAsia="Arial" w:hAnsi="Arial"/>
          <w:sz w:val="14"/>
          <w:szCs w:val="14"/>
          <w:u w:val="single" w:color="auto"/>
          <w:color w:val="0000FF"/>
        </w:rPr>
        <w:t>12</w:t>
      </w:r>
    </w:p>
    <w:p>
      <w:pPr>
        <w:sectPr>
          <w:pgSz w:w="11900" w:h="16838" w:orient="portrait"/>
          <w:cols w:equalWidth="0" w:num="1">
            <w:col w:w="11400"/>
          </w:cols>
          <w:pgMar w:left="240" w:top="582" w:right="259" w:bottom="1440" w:gutter="0" w:footer="0" w:header="0"/>
        </w:sectPr>
      </w:pPr>
    </w:p>
    <w:bookmarkStart w:id="132" w:name="page133"/>
    <w:bookmarkEnd w:id="132"/>
    <w:p>
      <w:pPr>
        <w:ind w:left="660" w:right="260"/>
        <w:spacing w:after="0" w:line="303" w:lineRule="auto"/>
        <w:rPr>
          <w:sz w:val="20"/>
          <w:szCs w:val="20"/>
          <w:color w:val="auto"/>
        </w:rPr>
      </w:pPr>
      <w:r>
        <w:rPr>
          <w:rFonts w:ascii="Arial" w:cs="Arial" w:eastAsia="Arial" w:hAnsi="Arial"/>
          <w:sz w:val="20"/>
          <w:szCs w:val="20"/>
          <w:color w:val="auto"/>
        </w:rPr>
        <w:t>case of Base Rate Loans, and of the Floating LIBOR Rate established at the beginning of each month and any changes made to such rate during the month promptly on establishment or change, as appropriate.</w:t>
      </w:r>
    </w:p>
    <w:p>
      <w:pPr>
        <w:spacing w:after="0" w:line="176" w:lineRule="exact"/>
        <w:rPr>
          <w:sz w:val="20"/>
          <w:szCs w:val="20"/>
          <w:color w:val="auto"/>
        </w:rPr>
      </w:pPr>
    </w:p>
    <w:p>
      <w:pPr>
        <w:ind w:left="1680" w:hanging="375"/>
        <w:spacing w:after="0"/>
        <w:tabs>
          <w:tab w:leader="none" w:pos="1680" w:val="left"/>
        </w:tabs>
        <w:numPr>
          <w:ilvl w:val="0"/>
          <w:numId w:val="87"/>
        </w:numPr>
        <w:rPr>
          <w:rFonts w:ascii="Arial" w:cs="Arial" w:eastAsia="Arial" w:hAnsi="Arial"/>
          <w:sz w:val="18"/>
          <w:szCs w:val="18"/>
          <w:color w:val="auto"/>
        </w:rPr>
      </w:pPr>
      <w:r>
        <w:rPr>
          <w:rFonts w:ascii="Arial" w:cs="Arial" w:eastAsia="Arial" w:hAnsi="Arial"/>
          <w:sz w:val="18"/>
          <w:szCs w:val="18"/>
          <w:color w:val="auto"/>
        </w:rPr>
        <w:t>After giving effect to all Borrowings, all conversions of Revolving Loans from one Type to the other, and all continuations</w:t>
      </w:r>
    </w:p>
    <w:p>
      <w:pPr>
        <w:spacing w:after="0" w:line="76" w:lineRule="exact"/>
        <w:rPr>
          <w:rFonts w:ascii="Arial" w:cs="Arial" w:eastAsia="Arial" w:hAnsi="Arial"/>
          <w:sz w:val="18"/>
          <w:szCs w:val="18"/>
          <w:color w:val="auto"/>
        </w:rPr>
      </w:pPr>
    </w:p>
    <w:p>
      <w:pPr>
        <w:ind w:left="660" w:right="100"/>
        <w:spacing w:after="0" w:line="288" w:lineRule="auto"/>
        <w:rPr>
          <w:rFonts w:ascii="Arial" w:cs="Arial" w:eastAsia="Arial" w:hAnsi="Arial"/>
          <w:sz w:val="18"/>
          <w:szCs w:val="18"/>
          <w:color w:val="auto"/>
        </w:rPr>
      </w:pPr>
      <w:r>
        <w:rPr>
          <w:rFonts w:ascii="Arial" w:cs="Arial" w:eastAsia="Arial" w:hAnsi="Arial"/>
          <w:sz w:val="20"/>
          <w:szCs w:val="20"/>
          <w:color w:val="auto"/>
        </w:rPr>
        <w:t>of Revolving Loans as the same Type, at any time there shall not be more than (i) ten Interest Periods in effect, in the case of USD Revolving Loans, (ii) three Interest Periods in effect, in the case of European Revolving Loans, (iii) three Interest Periods in effect, in the case of Australian Revolving Loans, (iv) three Interest Periods in effect, in the case of India Revolving Loans, and (v) four Interest Periods in effect, in the case of the Term Loan A.</w:t>
      </w:r>
    </w:p>
    <w:p>
      <w:pPr>
        <w:spacing w:after="0" w:line="193" w:lineRule="exact"/>
        <w:rPr>
          <w:sz w:val="20"/>
          <w:szCs w:val="20"/>
          <w:color w:val="auto"/>
        </w:rPr>
      </w:pPr>
    </w:p>
    <w:p>
      <w:pPr>
        <w:ind w:left="660"/>
        <w:spacing w:after="0"/>
        <w:tabs>
          <w:tab w:leader="none" w:pos="1160" w:val="left"/>
        </w:tabs>
        <w:rPr>
          <w:sz w:val="20"/>
          <w:szCs w:val="20"/>
          <w:color w:val="auto"/>
        </w:rPr>
      </w:pPr>
      <w:r>
        <w:rPr>
          <w:rFonts w:ascii="Arial" w:cs="Arial" w:eastAsia="Arial" w:hAnsi="Arial"/>
          <w:sz w:val="20"/>
          <w:szCs w:val="20"/>
          <w:color w:val="auto"/>
        </w:rPr>
        <w:t>2.03</w:t>
      </w:r>
      <w:r>
        <w:rPr>
          <w:sz w:val="20"/>
          <w:szCs w:val="20"/>
          <w:color w:val="auto"/>
        </w:rPr>
        <w:tab/>
      </w:r>
      <w:r>
        <w:rPr>
          <w:rFonts w:ascii="Arial" w:cs="Arial" w:eastAsia="Arial" w:hAnsi="Arial"/>
          <w:sz w:val="18"/>
          <w:szCs w:val="18"/>
          <w:u w:val="single" w:color="auto"/>
          <w:color w:val="auto"/>
        </w:rPr>
        <w:t>Additional Provisions with respect to Letters of Credit</w:t>
      </w:r>
      <w:r>
        <w:rPr>
          <w:rFonts w:ascii="Arial" w:cs="Arial" w:eastAsia="Arial" w:hAnsi="Arial"/>
          <w:sz w:val="18"/>
          <w:szCs w:val="18"/>
          <w:color w:val="auto"/>
        </w:rPr>
        <w:t>.</w:t>
      </w:r>
    </w:p>
    <w:p>
      <w:pPr>
        <w:spacing w:after="0" w:line="270" w:lineRule="exact"/>
        <w:rPr>
          <w:sz w:val="20"/>
          <w:szCs w:val="20"/>
          <w:color w:val="auto"/>
        </w:rPr>
      </w:pPr>
    </w:p>
    <w:p>
      <w:pPr>
        <w:ind w:left="1700" w:hanging="395"/>
        <w:spacing w:after="0"/>
        <w:tabs>
          <w:tab w:leader="none" w:pos="1700" w:val="left"/>
        </w:tabs>
        <w:numPr>
          <w:ilvl w:val="0"/>
          <w:numId w:val="88"/>
        </w:numPr>
        <w:rPr>
          <w:rFonts w:ascii="Arial" w:cs="Arial" w:eastAsia="Arial" w:hAnsi="Arial"/>
          <w:sz w:val="20"/>
          <w:szCs w:val="20"/>
          <w:color w:val="auto"/>
        </w:rPr>
      </w:pPr>
      <w:r>
        <w:rPr>
          <w:rFonts w:ascii="Arial" w:cs="Arial" w:eastAsia="Arial" w:hAnsi="Arial"/>
          <w:sz w:val="20"/>
          <w:szCs w:val="20"/>
          <w:color w:val="auto"/>
        </w:rPr>
        <w:t>Obligation to Issue or Amend.</w:t>
      </w:r>
    </w:p>
    <w:p>
      <w:pPr>
        <w:spacing w:after="0" w:line="280" w:lineRule="exact"/>
        <w:rPr>
          <w:rFonts w:ascii="Arial" w:cs="Arial" w:eastAsia="Arial" w:hAnsi="Arial"/>
          <w:sz w:val="20"/>
          <w:szCs w:val="20"/>
          <w:color w:val="auto"/>
        </w:rPr>
      </w:pPr>
    </w:p>
    <w:p>
      <w:pPr>
        <w:ind w:left="2340" w:hanging="387"/>
        <w:spacing w:after="0"/>
        <w:tabs>
          <w:tab w:leader="none" w:pos="2340" w:val="left"/>
        </w:tabs>
        <w:numPr>
          <w:ilvl w:val="1"/>
          <w:numId w:val="88"/>
        </w:numPr>
        <w:rPr>
          <w:rFonts w:ascii="Arial" w:cs="Arial" w:eastAsia="Arial" w:hAnsi="Arial"/>
          <w:sz w:val="22"/>
          <w:szCs w:val="22"/>
          <w:color w:val="auto"/>
        </w:rPr>
      </w:pPr>
      <w:r>
        <w:rPr>
          <w:rFonts w:ascii="Arial" w:cs="Arial" w:eastAsia="Arial" w:hAnsi="Arial"/>
          <w:sz w:val="20"/>
          <w:szCs w:val="20"/>
          <w:color w:val="auto"/>
        </w:rPr>
        <w:t>The L/C Issuers shall not issue any Letter of Credit if:</w:t>
      </w:r>
    </w:p>
    <w:p>
      <w:pPr>
        <w:spacing w:after="0" w:line="276" w:lineRule="exact"/>
        <w:rPr>
          <w:rFonts w:ascii="Arial" w:cs="Arial" w:eastAsia="Arial" w:hAnsi="Arial"/>
          <w:sz w:val="22"/>
          <w:szCs w:val="22"/>
          <w:color w:val="auto"/>
        </w:rPr>
      </w:pPr>
    </w:p>
    <w:p>
      <w:pPr>
        <w:ind w:left="1960" w:right="120" w:firstLine="641"/>
        <w:spacing w:after="0" w:line="312" w:lineRule="auto"/>
        <w:tabs>
          <w:tab w:leader="none" w:pos="3088" w:val="left"/>
        </w:tabs>
        <w:numPr>
          <w:ilvl w:val="2"/>
          <w:numId w:val="88"/>
        </w:numPr>
        <w:rPr>
          <w:rFonts w:ascii="Arial" w:cs="Arial" w:eastAsia="Arial" w:hAnsi="Arial"/>
          <w:sz w:val="22"/>
          <w:szCs w:val="22"/>
          <w:color w:val="auto"/>
        </w:rPr>
      </w:pPr>
      <w:r>
        <w:rPr>
          <w:rFonts w:ascii="Arial" w:cs="Arial" w:eastAsia="Arial" w:hAnsi="Arial"/>
          <w:sz w:val="20"/>
          <w:szCs w:val="20"/>
          <w:color w:val="auto"/>
        </w:rPr>
        <w:t xml:space="preserve">subject to </w:t>
      </w:r>
      <w:r>
        <w:rPr>
          <w:rFonts w:ascii="Arial" w:cs="Arial" w:eastAsia="Arial" w:hAnsi="Arial"/>
          <w:sz w:val="20"/>
          <w:szCs w:val="20"/>
          <w:u w:val="single" w:color="auto"/>
          <w:color w:val="auto"/>
        </w:rPr>
        <w:t>Section 2.03(b)(iii)</w:t>
      </w:r>
      <w:r>
        <w:rPr>
          <w:rFonts w:ascii="Arial" w:cs="Arial" w:eastAsia="Arial" w:hAnsi="Arial"/>
          <w:sz w:val="20"/>
          <w:szCs w:val="20"/>
          <w:color w:val="auto"/>
        </w:rPr>
        <w:t>, the expiry date of such requested Letter of Credit would occur more than twelve months after the date of issuance or last extension, unless the Required Lenders for the respective facility hereunder have approved such expiry date; or</w:t>
      </w:r>
    </w:p>
    <w:p>
      <w:pPr>
        <w:spacing w:after="0" w:line="194" w:lineRule="exact"/>
        <w:rPr>
          <w:rFonts w:ascii="Arial" w:cs="Arial" w:eastAsia="Arial" w:hAnsi="Arial"/>
          <w:sz w:val="22"/>
          <w:szCs w:val="22"/>
          <w:color w:val="auto"/>
        </w:rPr>
      </w:pPr>
    </w:p>
    <w:p>
      <w:pPr>
        <w:ind w:left="1960" w:right="200" w:firstLine="641"/>
        <w:spacing w:after="0" w:line="321" w:lineRule="auto"/>
        <w:tabs>
          <w:tab w:leader="none" w:pos="3076" w:val="left"/>
        </w:tabs>
        <w:numPr>
          <w:ilvl w:val="2"/>
          <w:numId w:val="88"/>
        </w:numPr>
        <w:rPr>
          <w:rFonts w:ascii="Arial" w:cs="Arial" w:eastAsia="Arial" w:hAnsi="Arial"/>
          <w:sz w:val="22"/>
          <w:szCs w:val="22"/>
          <w:color w:val="auto"/>
        </w:rPr>
      </w:pPr>
      <w:r>
        <w:rPr>
          <w:rFonts w:ascii="Arial" w:cs="Arial" w:eastAsia="Arial" w:hAnsi="Arial"/>
          <w:sz w:val="20"/>
          <w:szCs w:val="20"/>
          <w:color w:val="auto"/>
        </w:rPr>
        <w:t>the expiry date of such requested Letter of Credit would occur after the L/C Expiration Date, unless all the respective Lenders have approved such expiry date;</w:t>
      </w:r>
    </w:p>
    <w:p>
      <w:pPr>
        <w:spacing w:after="0" w:line="175" w:lineRule="exact"/>
        <w:rPr>
          <w:rFonts w:ascii="Arial" w:cs="Arial" w:eastAsia="Arial" w:hAnsi="Arial"/>
          <w:sz w:val="22"/>
          <w:szCs w:val="22"/>
          <w:color w:val="auto"/>
        </w:rPr>
      </w:pPr>
    </w:p>
    <w:p>
      <w:pPr>
        <w:ind w:left="2400" w:hanging="447"/>
        <w:spacing w:after="0"/>
        <w:tabs>
          <w:tab w:leader="none" w:pos="2400" w:val="left"/>
        </w:tabs>
        <w:numPr>
          <w:ilvl w:val="1"/>
          <w:numId w:val="88"/>
        </w:numPr>
        <w:rPr>
          <w:rFonts w:ascii="Arial" w:cs="Arial" w:eastAsia="Arial" w:hAnsi="Arial"/>
          <w:sz w:val="22"/>
          <w:szCs w:val="22"/>
          <w:color w:val="auto"/>
        </w:rPr>
      </w:pPr>
      <w:r>
        <w:rPr>
          <w:rFonts w:ascii="Arial" w:cs="Arial" w:eastAsia="Arial" w:hAnsi="Arial"/>
          <w:sz w:val="20"/>
          <w:szCs w:val="20"/>
          <w:color w:val="auto"/>
        </w:rPr>
        <w:t>The L/C Issuers shall not be under any obligation to issue any Letter of Credit if:</w:t>
      </w:r>
    </w:p>
    <w:p>
      <w:pPr>
        <w:spacing w:after="0" w:line="276" w:lineRule="exact"/>
        <w:rPr>
          <w:rFonts w:ascii="Arial" w:cs="Arial" w:eastAsia="Arial" w:hAnsi="Arial"/>
          <w:sz w:val="22"/>
          <w:szCs w:val="22"/>
          <w:color w:val="auto"/>
        </w:rPr>
      </w:pPr>
    </w:p>
    <w:p>
      <w:pPr>
        <w:ind w:left="1960" w:right="20" w:firstLine="641"/>
        <w:spacing w:after="0" w:line="328" w:lineRule="auto"/>
        <w:tabs>
          <w:tab w:leader="none" w:pos="3088" w:val="left"/>
        </w:tabs>
        <w:numPr>
          <w:ilvl w:val="2"/>
          <w:numId w:val="88"/>
        </w:numPr>
        <w:rPr>
          <w:rFonts w:ascii="Arial" w:cs="Arial" w:eastAsia="Arial" w:hAnsi="Arial"/>
          <w:sz w:val="21"/>
          <w:szCs w:val="21"/>
          <w:color w:val="auto"/>
        </w:rPr>
      </w:pPr>
      <w:r>
        <w:rPr>
          <w:rFonts w:ascii="Arial" w:cs="Arial" w:eastAsia="Arial" w:hAnsi="Arial"/>
          <w:sz w:val="19"/>
          <w:szCs w:val="19"/>
          <w:color w:val="auto"/>
        </w:rPr>
        <w:t>any order, judgment or decree of any Governmental Authority or arbitrator shall by its terms purport to enjoin or restrain the applicable L/C Issuer from issuing such Letter of Credit, or any Law applicable to applicable L/C Issuer or any request or directive (whether or not having the force of law) from any Governmental Authority with jurisdiction over the applicable L/C Issuer shall prohibit, or request that the applicable L/C Issuer refrain from, the issuance of letters of credit generally or such Letter of Credit in particular or shall impose upon the applicable L/C Issuer with respect to such Letter of Credit any restriction, reserve or capital requirement (for which the applicable L/C Issuer is not otherwise compensated hereunder) not in effect on the Closing Date, or shall impose upon the applicable L/C Issuer any unreimbursed loss, cost or expense that was not applicable on the Closing Date and that the applicable L/C Issuer in good faith deems material to it;</w:t>
      </w: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81</w:t>
      </w:r>
    </w:p>
    <w:p>
      <w:pPr>
        <w:spacing w:after="0" w:line="10" w:lineRule="exact"/>
        <w:rPr>
          <w:sz w:val="20"/>
          <w:szCs w:val="20"/>
          <w:color w:val="auto"/>
        </w:rPr>
      </w:pPr>
    </w:p>
    <w:p>
      <w:pPr>
        <w:spacing w:after="0"/>
        <w:rPr>
          <w:sz w:val="20"/>
          <w:szCs w:val="20"/>
          <w:color w:val="auto"/>
        </w:rPr>
      </w:pPr>
      <w:r>
        <w:rPr>
          <w:rFonts w:ascii="Arial" w:cs="Arial" w:eastAsia="Arial" w:hAnsi="Arial"/>
          <w:sz w:val="14"/>
          <w:szCs w:val="14"/>
          <w:color w:val="auto"/>
        </w:rPr>
        <w:t>CHAR1\1346423v</w:t>
      </w:r>
      <w:r>
        <w:rPr>
          <w:rFonts w:ascii="Arial" w:cs="Arial" w:eastAsia="Arial" w:hAnsi="Arial"/>
          <w:sz w:val="14"/>
          <w:szCs w:val="14"/>
          <w:color w:val="FF0000"/>
          <w:strike w:val="1"/>
        </w:rPr>
        <w:t>1</w:t>
      </w:r>
      <w:r>
        <w:rPr>
          <w:rFonts w:ascii="Arial" w:cs="Arial" w:eastAsia="Arial" w:hAnsi="Arial"/>
          <w:sz w:val="14"/>
          <w:szCs w:val="14"/>
          <w:u w:val="single" w:color="auto"/>
          <w:color w:val="0000FF"/>
        </w:rPr>
        <w:t>12</w:t>
      </w:r>
    </w:p>
    <w:p>
      <w:pPr>
        <w:sectPr>
          <w:pgSz w:w="11900" w:h="16838" w:orient="portrait"/>
          <w:cols w:equalWidth="0" w:num="1">
            <w:col w:w="11400"/>
          </w:cols>
          <w:pgMar w:left="240" w:top="609" w:right="259" w:bottom="1440" w:gutter="0" w:footer="0" w:header="0"/>
        </w:sectPr>
      </w:pPr>
    </w:p>
    <w:bookmarkStart w:id="133" w:name="page134"/>
    <w:bookmarkEnd w:id="133"/>
    <w:p>
      <w:pPr>
        <w:ind w:left="1960" w:firstLine="641"/>
        <w:spacing w:after="0" w:line="321" w:lineRule="auto"/>
        <w:tabs>
          <w:tab w:leader="none" w:pos="3076" w:val="left"/>
        </w:tabs>
        <w:numPr>
          <w:ilvl w:val="2"/>
          <w:numId w:val="89"/>
        </w:numPr>
        <w:rPr>
          <w:rFonts w:ascii="Arial" w:cs="Arial" w:eastAsia="Arial" w:hAnsi="Arial"/>
          <w:sz w:val="22"/>
          <w:szCs w:val="22"/>
          <w:color w:val="auto"/>
        </w:rPr>
      </w:pPr>
      <w:r>
        <w:rPr>
          <w:rFonts w:ascii="Arial" w:cs="Arial" w:eastAsia="Arial" w:hAnsi="Arial"/>
          <w:sz w:val="20"/>
          <w:szCs w:val="20"/>
          <w:color w:val="auto"/>
        </w:rPr>
        <w:t>the issuance of such Letter of Credit would violate any Law or one or more policies of the applicable L/C Issuer applicable to letters of credit generally;</w:t>
      </w:r>
    </w:p>
    <w:p>
      <w:pPr>
        <w:spacing w:after="0" w:line="177" w:lineRule="exact"/>
        <w:rPr>
          <w:rFonts w:ascii="Arial" w:cs="Arial" w:eastAsia="Arial" w:hAnsi="Arial"/>
          <w:sz w:val="22"/>
          <w:szCs w:val="22"/>
          <w:color w:val="auto"/>
        </w:rPr>
      </w:pPr>
    </w:p>
    <w:p>
      <w:pPr>
        <w:ind w:left="1960" w:right="140" w:firstLine="641"/>
        <w:spacing w:after="0" w:line="311" w:lineRule="auto"/>
        <w:tabs>
          <w:tab w:leader="none" w:pos="3076" w:val="left"/>
        </w:tabs>
        <w:numPr>
          <w:ilvl w:val="2"/>
          <w:numId w:val="89"/>
        </w:numPr>
        <w:rPr>
          <w:rFonts w:ascii="Arial" w:cs="Arial" w:eastAsia="Arial" w:hAnsi="Arial"/>
          <w:sz w:val="22"/>
          <w:szCs w:val="22"/>
          <w:color w:val="auto"/>
        </w:rPr>
      </w:pPr>
      <w:r>
        <w:rPr>
          <w:rFonts w:ascii="Arial" w:cs="Arial" w:eastAsia="Arial" w:hAnsi="Arial"/>
          <w:sz w:val="20"/>
          <w:szCs w:val="20"/>
          <w:color w:val="auto"/>
        </w:rPr>
        <w:t>except as otherwise agreed by the Administrative Agent, such Letter of Credit is to be denominated in a currency other than (i) Dollars or Alternative Currencies, in the case of Letters of Credit issued under the USD Revolving Commitments, and (ii) Indian Rupees, in the case of Letters of Credit issued under the India Revolving Commitments;</w:t>
      </w:r>
    </w:p>
    <w:p>
      <w:pPr>
        <w:spacing w:after="0" w:line="196" w:lineRule="exact"/>
        <w:rPr>
          <w:rFonts w:ascii="Arial" w:cs="Arial" w:eastAsia="Arial" w:hAnsi="Arial"/>
          <w:sz w:val="22"/>
          <w:szCs w:val="22"/>
          <w:color w:val="auto"/>
        </w:rPr>
      </w:pPr>
    </w:p>
    <w:p>
      <w:pPr>
        <w:ind w:left="1960" w:right="60" w:firstLine="641"/>
        <w:spacing w:after="0" w:line="321" w:lineRule="auto"/>
        <w:tabs>
          <w:tab w:leader="none" w:pos="3088" w:val="left"/>
        </w:tabs>
        <w:numPr>
          <w:ilvl w:val="2"/>
          <w:numId w:val="89"/>
        </w:numPr>
        <w:rPr>
          <w:rFonts w:ascii="Arial" w:cs="Arial" w:eastAsia="Arial" w:hAnsi="Arial"/>
          <w:sz w:val="22"/>
          <w:szCs w:val="22"/>
          <w:color w:val="auto"/>
        </w:rPr>
      </w:pPr>
      <w:r>
        <w:rPr>
          <w:rFonts w:ascii="Arial" w:cs="Arial" w:eastAsia="Arial" w:hAnsi="Arial"/>
          <w:sz w:val="20"/>
          <w:szCs w:val="20"/>
          <w:color w:val="auto"/>
        </w:rPr>
        <w:t>the applicable L/C Issuer does not as of the issuance date of such requested Letter of Credit issue Letters of Credit in the requested currency; or</w:t>
      </w:r>
    </w:p>
    <w:p>
      <w:pPr>
        <w:spacing w:after="0" w:line="177" w:lineRule="exact"/>
        <w:rPr>
          <w:rFonts w:ascii="Arial" w:cs="Arial" w:eastAsia="Arial" w:hAnsi="Arial"/>
          <w:sz w:val="22"/>
          <w:szCs w:val="22"/>
          <w:color w:val="auto"/>
        </w:rPr>
      </w:pPr>
    </w:p>
    <w:p>
      <w:pPr>
        <w:ind w:left="1960" w:right="80" w:firstLine="641"/>
        <w:spacing w:after="0" w:line="311" w:lineRule="auto"/>
        <w:tabs>
          <w:tab w:leader="none" w:pos="3064" w:val="left"/>
        </w:tabs>
        <w:numPr>
          <w:ilvl w:val="2"/>
          <w:numId w:val="89"/>
        </w:numPr>
        <w:rPr>
          <w:rFonts w:ascii="Arial" w:cs="Arial" w:eastAsia="Arial" w:hAnsi="Arial"/>
          <w:sz w:val="22"/>
          <w:szCs w:val="22"/>
          <w:color w:val="auto"/>
        </w:rPr>
      </w:pPr>
      <w:r>
        <w:rPr>
          <w:rFonts w:ascii="Arial" w:cs="Arial" w:eastAsia="Arial" w:hAnsi="Arial"/>
          <w:sz w:val="20"/>
          <w:szCs w:val="20"/>
          <w:color w:val="auto"/>
        </w:rPr>
        <w:t xml:space="preserve">any Lender is at such time a Defaulting Lender, unless Adequate Assurance shall have been provided, including arrangements to eliminate an L/C Issuer’s actual or potential Fronting Exposure (after giving effect to </w:t>
      </w:r>
      <w:r>
        <w:rPr>
          <w:rFonts w:ascii="Arial" w:cs="Arial" w:eastAsia="Arial" w:hAnsi="Arial"/>
          <w:sz w:val="20"/>
          <w:szCs w:val="20"/>
          <w:u w:val="single" w:color="auto"/>
          <w:color w:val="auto"/>
        </w:rPr>
        <w:t>Section 2.17(a)(viii)</w:t>
      </w:r>
      <w:r>
        <w:rPr>
          <w:rFonts w:ascii="Arial" w:cs="Arial" w:eastAsia="Arial" w:hAnsi="Arial"/>
          <w:sz w:val="20"/>
          <w:szCs w:val="20"/>
          <w:color w:val="auto"/>
        </w:rPr>
        <w:t>) with respect to the Defaulting Lender arising from either the Letter of Credit then proposed to be issued or that Letter of Credit and all other L/C Obligations as to which the applicable L/C Issuer has actual or potential Fronting Exposure, as it may elect in its sole discretion.</w:t>
      </w:r>
    </w:p>
    <w:p>
      <w:pPr>
        <w:spacing w:after="0" w:line="195" w:lineRule="exact"/>
        <w:rPr>
          <w:rFonts w:ascii="Arial" w:cs="Arial" w:eastAsia="Arial" w:hAnsi="Arial"/>
          <w:sz w:val="22"/>
          <w:szCs w:val="22"/>
          <w:color w:val="auto"/>
        </w:rPr>
      </w:pPr>
    </w:p>
    <w:p>
      <w:pPr>
        <w:ind w:left="1300" w:right="80" w:firstLine="653"/>
        <w:spacing w:after="0" w:line="321" w:lineRule="auto"/>
        <w:tabs>
          <w:tab w:leader="none" w:pos="2452" w:val="left"/>
        </w:tabs>
        <w:numPr>
          <w:ilvl w:val="1"/>
          <w:numId w:val="90"/>
        </w:numPr>
        <w:rPr>
          <w:rFonts w:ascii="Arial" w:cs="Arial" w:eastAsia="Arial" w:hAnsi="Arial"/>
          <w:sz w:val="22"/>
          <w:szCs w:val="22"/>
          <w:color w:val="auto"/>
        </w:rPr>
      </w:pPr>
      <w:r>
        <w:rPr>
          <w:rFonts w:ascii="Arial" w:cs="Arial" w:eastAsia="Arial" w:hAnsi="Arial"/>
          <w:sz w:val="20"/>
          <w:szCs w:val="20"/>
          <w:color w:val="auto"/>
        </w:rPr>
        <w:t>The L/C Issuers shall not amend any Letter of Credit if the applicable L/C Issuer would not be permitted at such time to issue such Letter of Credit in its amended form under the terms hereof.</w:t>
      </w:r>
    </w:p>
    <w:p>
      <w:pPr>
        <w:spacing w:after="0" w:line="175" w:lineRule="exact"/>
        <w:rPr>
          <w:rFonts w:ascii="Arial" w:cs="Arial" w:eastAsia="Arial" w:hAnsi="Arial"/>
          <w:sz w:val="22"/>
          <w:szCs w:val="22"/>
          <w:color w:val="auto"/>
        </w:rPr>
      </w:pPr>
    </w:p>
    <w:p>
      <w:pPr>
        <w:ind w:left="2440" w:hanging="487"/>
        <w:spacing w:after="0"/>
        <w:tabs>
          <w:tab w:leader="none" w:pos="2440" w:val="left"/>
        </w:tabs>
        <w:numPr>
          <w:ilvl w:val="1"/>
          <w:numId w:val="90"/>
        </w:numPr>
        <w:rPr>
          <w:rFonts w:ascii="Arial" w:cs="Arial" w:eastAsia="Arial" w:hAnsi="Arial"/>
          <w:sz w:val="22"/>
          <w:szCs w:val="22"/>
          <w:color w:val="auto"/>
        </w:rPr>
      </w:pPr>
      <w:r>
        <w:rPr>
          <w:rFonts w:ascii="Arial" w:cs="Arial" w:eastAsia="Arial" w:hAnsi="Arial"/>
          <w:sz w:val="20"/>
          <w:szCs w:val="20"/>
          <w:color w:val="auto"/>
        </w:rPr>
        <w:t>The L/C Issuers shall not be under any obligation to amend any Letter of Credit if:</w:t>
      </w:r>
    </w:p>
    <w:p>
      <w:pPr>
        <w:spacing w:after="0" w:line="276" w:lineRule="exact"/>
        <w:rPr>
          <w:rFonts w:ascii="Arial" w:cs="Arial" w:eastAsia="Arial" w:hAnsi="Arial"/>
          <w:sz w:val="22"/>
          <w:szCs w:val="22"/>
          <w:color w:val="auto"/>
        </w:rPr>
      </w:pPr>
    </w:p>
    <w:p>
      <w:pPr>
        <w:ind w:left="1960" w:right="500" w:firstLine="641"/>
        <w:spacing w:after="0" w:line="321" w:lineRule="auto"/>
        <w:tabs>
          <w:tab w:leader="none" w:pos="3088" w:val="left"/>
        </w:tabs>
        <w:numPr>
          <w:ilvl w:val="2"/>
          <w:numId w:val="90"/>
        </w:numPr>
        <w:rPr>
          <w:rFonts w:ascii="Arial" w:cs="Arial" w:eastAsia="Arial" w:hAnsi="Arial"/>
          <w:sz w:val="22"/>
          <w:szCs w:val="22"/>
          <w:color w:val="auto"/>
        </w:rPr>
      </w:pPr>
      <w:r>
        <w:rPr>
          <w:rFonts w:ascii="Arial" w:cs="Arial" w:eastAsia="Arial" w:hAnsi="Arial"/>
          <w:sz w:val="20"/>
          <w:szCs w:val="20"/>
          <w:color w:val="auto"/>
        </w:rPr>
        <w:t>the applicable L/C Issuer would have no obligation at such time to issue such Letter of Credit in its amended form under the terms hereof; or</w:t>
      </w:r>
    </w:p>
    <w:p>
      <w:pPr>
        <w:spacing w:after="0" w:line="177" w:lineRule="exact"/>
        <w:rPr>
          <w:rFonts w:ascii="Arial" w:cs="Arial" w:eastAsia="Arial" w:hAnsi="Arial"/>
          <w:sz w:val="22"/>
          <w:szCs w:val="22"/>
          <w:color w:val="auto"/>
        </w:rPr>
      </w:pPr>
    </w:p>
    <w:p>
      <w:pPr>
        <w:ind w:left="3060" w:hanging="459"/>
        <w:spacing w:after="0"/>
        <w:tabs>
          <w:tab w:leader="none" w:pos="3060" w:val="left"/>
        </w:tabs>
        <w:numPr>
          <w:ilvl w:val="2"/>
          <w:numId w:val="90"/>
        </w:numPr>
        <w:rPr>
          <w:rFonts w:ascii="Arial" w:cs="Arial" w:eastAsia="Arial" w:hAnsi="Arial"/>
          <w:sz w:val="18"/>
          <w:szCs w:val="18"/>
          <w:color w:val="auto"/>
        </w:rPr>
      </w:pPr>
      <w:r>
        <w:rPr>
          <w:rFonts w:ascii="Arial" w:cs="Arial" w:eastAsia="Arial" w:hAnsi="Arial"/>
          <w:sz w:val="17"/>
          <w:szCs w:val="17"/>
          <w:color w:val="auto"/>
        </w:rPr>
        <w:t>the beneficiary of such Letter of Credit does not accept the proposed amendment to such Letter of Credit.</w:t>
      </w:r>
    </w:p>
    <w:p>
      <w:pPr>
        <w:spacing w:after="0" w:line="319" w:lineRule="exact"/>
        <w:rPr>
          <w:rFonts w:ascii="Arial" w:cs="Arial" w:eastAsia="Arial" w:hAnsi="Arial"/>
          <w:sz w:val="18"/>
          <w:szCs w:val="18"/>
          <w:color w:val="auto"/>
        </w:rPr>
      </w:pPr>
    </w:p>
    <w:p>
      <w:pPr>
        <w:ind w:left="1300" w:right="20" w:firstLine="653"/>
        <w:spacing w:after="0" w:line="329" w:lineRule="auto"/>
        <w:tabs>
          <w:tab w:leader="none" w:pos="2380" w:val="left"/>
        </w:tabs>
        <w:numPr>
          <w:ilvl w:val="1"/>
          <w:numId w:val="90"/>
        </w:numPr>
        <w:rPr>
          <w:rFonts w:ascii="Arial" w:cs="Arial" w:eastAsia="Arial" w:hAnsi="Arial"/>
          <w:sz w:val="21"/>
          <w:szCs w:val="21"/>
          <w:color w:val="auto"/>
        </w:rPr>
      </w:pPr>
      <w:r>
        <w:rPr>
          <w:rFonts w:ascii="Arial" w:cs="Arial" w:eastAsia="Arial" w:hAnsi="Arial"/>
          <w:sz w:val="19"/>
          <w:szCs w:val="19"/>
          <w:color w:val="auto"/>
        </w:rPr>
        <w:t xml:space="preserve">The L/C Issuers shall act on behalf of the Lenders with respect to any Letters of Credit issued by them and the documents associated therewith, and the L/C Issuers shall have all of the benefits and immunities (A) provided to the Administrative Agent in </w:t>
      </w:r>
      <w:r>
        <w:rPr>
          <w:rFonts w:ascii="Arial" w:cs="Arial" w:eastAsia="Arial" w:hAnsi="Arial"/>
          <w:sz w:val="19"/>
          <w:szCs w:val="19"/>
          <w:u w:val="single" w:color="auto"/>
          <w:color w:val="auto"/>
        </w:rPr>
        <w:t>Article X</w:t>
      </w:r>
      <w:r>
        <w:rPr>
          <w:rFonts w:ascii="Arial" w:cs="Arial" w:eastAsia="Arial" w:hAnsi="Arial"/>
          <w:sz w:val="19"/>
          <w:szCs w:val="19"/>
          <w:color w:val="auto"/>
        </w:rPr>
        <w:t xml:space="preserve"> with respect to any acts taken or omissions suffered by the L/C Issuers in connection with Letters of Credit issued by them or proposed to be issued by them and Issuer Documents pertaining to such Letters of Credit as fully as if the term “Administrative Agent” as used in </w:t>
      </w:r>
      <w:r>
        <w:rPr>
          <w:rFonts w:ascii="Arial" w:cs="Arial" w:eastAsia="Arial" w:hAnsi="Arial"/>
          <w:sz w:val="19"/>
          <w:szCs w:val="19"/>
          <w:u w:val="single" w:color="auto"/>
          <w:color w:val="auto"/>
        </w:rPr>
        <w:t>Article X</w:t>
      </w:r>
      <w:r>
        <w:rPr>
          <w:rFonts w:ascii="Arial" w:cs="Arial" w:eastAsia="Arial" w:hAnsi="Arial"/>
          <w:sz w:val="19"/>
          <w:szCs w:val="19"/>
          <w:color w:val="auto"/>
        </w:rPr>
        <w:t xml:space="preserve"> included the L/C Issuers with respect to such acts or omissions, and (B) as additionally provided herein with respect to the L/C Issuers.</w:t>
      </w:r>
    </w:p>
    <w:p>
      <w:pPr>
        <w:spacing w:after="0" w:line="170" w:lineRule="exact"/>
        <w:rPr>
          <w:rFonts w:ascii="Arial" w:cs="Arial" w:eastAsia="Arial" w:hAnsi="Arial"/>
          <w:sz w:val="21"/>
          <w:szCs w:val="21"/>
          <w:color w:val="auto"/>
        </w:rPr>
      </w:pPr>
    </w:p>
    <w:p>
      <w:pPr>
        <w:ind w:left="1720" w:hanging="415"/>
        <w:spacing w:after="0"/>
        <w:tabs>
          <w:tab w:leader="none" w:pos="1720" w:val="left"/>
        </w:tabs>
        <w:numPr>
          <w:ilvl w:val="0"/>
          <w:numId w:val="91"/>
        </w:numPr>
        <w:rPr>
          <w:rFonts w:ascii="Arial" w:cs="Arial" w:eastAsia="Arial" w:hAnsi="Arial"/>
          <w:sz w:val="20"/>
          <w:szCs w:val="20"/>
          <w:color w:val="auto"/>
        </w:rPr>
      </w:pPr>
      <w:r>
        <w:rPr>
          <w:rFonts w:ascii="Arial" w:cs="Arial" w:eastAsia="Arial" w:hAnsi="Arial"/>
          <w:sz w:val="20"/>
          <w:szCs w:val="20"/>
          <w:color w:val="auto"/>
        </w:rPr>
        <w:t>Procedures for Issuance and Amendment; Auto-Extension Letters of Credit.</w:t>
      </w: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82</w:t>
      </w:r>
    </w:p>
    <w:p>
      <w:pPr>
        <w:spacing w:after="0" w:line="10" w:lineRule="exact"/>
        <w:rPr>
          <w:sz w:val="20"/>
          <w:szCs w:val="20"/>
          <w:color w:val="auto"/>
        </w:rPr>
      </w:pPr>
    </w:p>
    <w:p>
      <w:pPr>
        <w:spacing w:after="0"/>
        <w:rPr>
          <w:sz w:val="20"/>
          <w:szCs w:val="20"/>
          <w:color w:val="auto"/>
        </w:rPr>
      </w:pPr>
      <w:r>
        <w:rPr>
          <w:rFonts w:ascii="Arial" w:cs="Arial" w:eastAsia="Arial" w:hAnsi="Arial"/>
          <w:sz w:val="14"/>
          <w:szCs w:val="14"/>
          <w:color w:val="auto"/>
        </w:rPr>
        <w:t>CHAR1\1346423v</w:t>
      </w:r>
      <w:r>
        <w:rPr>
          <w:rFonts w:ascii="Arial" w:cs="Arial" w:eastAsia="Arial" w:hAnsi="Arial"/>
          <w:sz w:val="14"/>
          <w:szCs w:val="14"/>
          <w:color w:val="FF0000"/>
          <w:strike w:val="1"/>
        </w:rPr>
        <w:t>1</w:t>
      </w:r>
      <w:r>
        <w:rPr>
          <w:rFonts w:ascii="Arial" w:cs="Arial" w:eastAsia="Arial" w:hAnsi="Arial"/>
          <w:sz w:val="14"/>
          <w:szCs w:val="14"/>
          <w:u w:val="single" w:color="auto"/>
          <w:color w:val="0000FF"/>
        </w:rPr>
        <w:t>12</w:t>
      </w:r>
    </w:p>
    <w:p>
      <w:pPr>
        <w:sectPr>
          <w:pgSz w:w="11900" w:h="16838" w:orient="portrait"/>
          <w:cols w:equalWidth="0" w:num="1">
            <w:col w:w="11420"/>
          </w:cols>
          <w:pgMar w:left="240" w:top="622" w:right="239" w:bottom="1440" w:gutter="0" w:footer="0" w:header="0"/>
        </w:sectPr>
      </w:pPr>
    </w:p>
    <w:bookmarkStart w:id="134" w:name="page135"/>
    <w:bookmarkEnd w:id="134"/>
    <w:p>
      <w:pPr>
        <w:ind w:left="1300" w:firstLine="653"/>
        <w:spacing w:after="0" w:line="368" w:lineRule="auto"/>
        <w:tabs>
          <w:tab w:leader="none" w:pos="2332" w:val="left"/>
        </w:tabs>
        <w:numPr>
          <w:ilvl w:val="0"/>
          <w:numId w:val="92"/>
        </w:numPr>
        <w:rPr>
          <w:rFonts w:ascii="Arial" w:cs="Arial" w:eastAsia="Arial" w:hAnsi="Arial"/>
          <w:sz w:val="18"/>
          <w:szCs w:val="18"/>
          <w:color w:val="auto"/>
        </w:rPr>
      </w:pPr>
      <w:r>
        <w:rPr>
          <w:rFonts w:ascii="Arial" w:cs="Arial" w:eastAsia="Arial" w:hAnsi="Arial"/>
          <w:sz w:val="17"/>
          <w:szCs w:val="17"/>
          <w:color w:val="auto"/>
        </w:rPr>
        <w:t>Each Letter of Credit shall be issued or amended, as the case may be, upon the request of the applicable Borrower delivered to the applicable L/C Issuer (with a copy to the Administrative Agent) in the form of a L/C Application, appropriately completed and signed by a Responsible Officer. Such L/C Application must be received by the applicable L/C Issuer and the Administrative Agent (not later than (A) 11:00 a.m. at least two Business Days prior to the proposed date of the issuance, extension or amendment, in the case of Letters of Credit denominated in Dollars, and (B) 11:00 a.m. at least ten Business Days prior to the proposed date of the issuance, extension or amendment, in the case of Letters of Credit denominated in currencies other than Dollars (or, in each case, such later date and time as the applicable L/C Issuer and the Administrative Agent may agree in a particular instance in their sole discretion). In the case of a request for an initial issuance of a Letter of Credit, such L/C Application shall specify in form and detail satisfactory to the applicable L/C Issuer: (A) the proposed issuance date of the requested Letter of Credit (which shall be a Business Day); (B) the amount and currency thereof; (C) the expiry date thereof; (D) the name and address of the beneficiary thereof; (E) the documents to be presented by such beneficiary in case of any drawing thereunder; (F) the full text of any certificate to be presented by such beneficiary in case of any drawing thereunder; (G) the purpose and nature of the requested Letter of Credit and (H) such other matters as the applicable L/C Issuer may require. In the case of a request for an amendment of any outstanding Letter of Credit, such L/C Application shall specify in form and detail satisfactory to the applicable L/C Issuer (A) the Letter of Credit to be amended; (B) the proposed date of amendment thereof (which shall be a Business Day); (C) the nature of the proposed amendment; and (D) such other matters as the applicable L/C Issuer may require. Additionally, such Borrower shall furnish to the applicable L/C Issuer and the Administrative Agent such other documents and information pertaining to such requested Letter of Credit issuance or amendment, including any Issuer Documents, as the applicable L/C Issuer or the Administrative Agent may require.</w:t>
      </w:r>
    </w:p>
    <w:p>
      <w:pPr>
        <w:spacing w:after="0" w:line="200" w:lineRule="exact"/>
        <w:rPr>
          <w:rFonts w:ascii="Arial" w:cs="Arial" w:eastAsia="Arial" w:hAnsi="Arial"/>
          <w:sz w:val="18"/>
          <w:szCs w:val="18"/>
          <w:color w:val="auto"/>
        </w:rPr>
      </w:pPr>
    </w:p>
    <w:p>
      <w:pPr>
        <w:spacing w:after="0" w:line="262" w:lineRule="exact"/>
        <w:rPr>
          <w:rFonts w:ascii="Arial" w:cs="Arial" w:eastAsia="Arial" w:hAnsi="Arial"/>
          <w:sz w:val="18"/>
          <w:szCs w:val="18"/>
          <w:color w:val="auto"/>
        </w:rPr>
      </w:pPr>
    </w:p>
    <w:p>
      <w:pPr>
        <w:ind w:left="1300" w:right="140" w:firstLine="653"/>
        <w:spacing w:after="0" w:line="349" w:lineRule="auto"/>
        <w:tabs>
          <w:tab w:leader="none" w:pos="2392" w:val="left"/>
        </w:tabs>
        <w:numPr>
          <w:ilvl w:val="0"/>
          <w:numId w:val="92"/>
        </w:numPr>
        <w:rPr>
          <w:rFonts w:ascii="Arial" w:cs="Arial" w:eastAsia="Arial" w:hAnsi="Arial"/>
          <w:sz w:val="19"/>
          <w:szCs w:val="19"/>
          <w:color w:val="auto"/>
        </w:rPr>
      </w:pPr>
      <w:r>
        <w:rPr>
          <w:rFonts w:ascii="Arial" w:cs="Arial" w:eastAsia="Arial" w:hAnsi="Arial"/>
          <w:sz w:val="18"/>
          <w:szCs w:val="18"/>
          <w:color w:val="auto"/>
        </w:rPr>
        <w:t xml:space="preserve">Promptly after receipt of any L/C Application, the applicable L/C Issuer will confirm with the Administrative Agent (by telephone or in writing) that the Administrative Agent has received a copy of such L/C Application from the applicable Borrower and, if not, the applicable L/C Issuer will provide the Administrative Agent with a copy thereof. Unless the applicable L/C Issuer has received written notice from the Administrative Agent, any Lender or any Credit Party, at least one Business Day prior to the requested date of issuance or amendment of the applicable Letter of Credit, that one or more applicable conditions contained in </w:t>
      </w:r>
      <w:r>
        <w:rPr>
          <w:rFonts w:ascii="Arial" w:cs="Arial" w:eastAsia="Arial" w:hAnsi="Arial"/>
          <w:sz w:val="18"/>
          <w:szCs w:val="18"/>
          <w:u w:val="single" w:color="auto"/>
          <w:color w:val="auto"/>
        </w:rPr>
        <w:t>Article V</w:t>
      </w:r>
      <w:r>
        <w:rPr>
          <w:rFonts w:ascii="Arial" w:cs="Arial" w:eastAsia="Arial" w:hAnsi="Arial"/>
          <w:sz w:val="18"/>
          <w:szCs w:val="18"/>
          <w:color w:val="auto"/>
        </w:rPr>
        <w:t xml:space="preserve"> shall not then be satisfied, then, subject to the terms and conditions hereof, the applicable L/C Issuer shall, on the requested date, issue a Letter of Credit for the account of the applicable Borrower (or Subsidiary) or enter into the applicable amendment, as the case may be, in each case in accordance with the applicable L/C Issuer’s usual and customary business practices. Immediately upon the issuance of each Letter of Credit, each Lender shall be deemed to, and hereby irrevocably and unconditionally agrees to, purchase from the applicable L/C</w:t>
      </w:r>
    </w:p>
    <w:p>
      <w:pPr>
        <w:spacing w:after="0" w:line="377" w:lineRule="exact"/>
        <w:rPr>
          <w:sz w:val="20"/>
          <w:szCs w:val="20"/>
          <w:color w:val="auto"/>
        </w:rPr>
      </w:pPr>
    </w:p>
    <w:p>
      <w:pPr>
        <w:jc w:val="center"/>
        <w:ind w:right="-39"/>
        <w:spacing w:after="0"/>
        <w:rPr>
          <w:sz w:val="20"/>
          <w:szCs w:val="20"/>
          <w:color w:val="auto"/>
        </w:rPr>
      </w:pPr>
      <w:r>
        <w:rPr>
          <w:rFonts w:ascii="Arial" w:cs="Arial" w:eastAsia="Arial" w:hAnsi="Arial"/>
          <w:sz w:val="20"/>
          <w:szCs w:val="20"/>
          <w:color w:val="auto"/>
        </w:rPr>
        <w:t>83</w:t>
      </w:r>
    </w:p>
    <w:p>
      <w:pPr>
        <w:spacing w:after="0" w:line="10" w:lineRule="exact"/>
        <w:rPr>
          <w:sz w:val="20"/>
          <w:szCs w:val="20"/>
          <w:color w:val="auto"/>
        </w:rPr>
      </w:pPr>
    </w:p>
    <w:p>
      <w:pPr>
        <w:spacing w:after="0"/>
        <w:rPr>
          <w:sz w:val="20"/>
          <w:szCs w:val="20"/>
          <w:color w:val="auto"/>
        </w:rPr>
      </w:pPr>
      <w:r>
        <w:rPr>
          <w:rFonts w:ascii="Arial" w:cs="Arial" w:eastAsia="Arial" w:hAnsi="Arial"/>
          <w:sz w:val="14"/>
          <w:szCs w:val="14"/>
          <w:color w:val="auto"/>
        </w:rPr>
        <w:t>CHAR1\1346423v</w:t>
      </w:r>
      <w:r>
        <w:rPr>
          <w:rFonts w:ascii="Arial" w:cs="Arial" w:eastAsia="Arial" w:hAnsi="Arial"/>
          <w:sz w:val="14"/>
          <w:szCs w:val="14"/>
          <w:color w:val="FF0000"/>
          <w:strike w:val="1"/>
        </w:rPr>
        <w:t>1</w:t>
      </w:r>
      <w:r>
        <w:rPr>
          <w:rFonts w:ascii="Arial" w:cs="Arial" w:eastAsia="Arial" w:hAnsi="Arial"/>
          <w:sz w:val="14"/>
          <w:szCs w:val="14"/>
          <w:u w:val="single" w:color="auto"/>
          <w:color w:val="0000FF"/>
        </w:rPr>
        <w:t>12</w:t>
      </w:r>
    </w:p>
    <w:p>
      <w:pPr>
        <w:sectPr>
          <w:pgSz w:w="11900" w:h="16838" w:orient="portrait"/>
          <w:cols w:equalWidth="0" w:num="1">
            <w:col w:w="11400"/>
          </w:cols>
          <w:pgMar w:left="240" w:top="622" w:right="259" w:bottom="1440" w:gutter="0" w:footer="0" w:header="0"/>
        </w:sectPr>
      </w:pPr>
    </w:p>
    <w:bookmarkStart w:id="135" w:name="page136"/>
    <w:bookmarkEnd w:id="135"/>
    <w:p>
      <w:pPr>
        <w:ind w:left="1300" w:right="400"/>
        <w:spacing w:after="0" w:line="303" w:lineRule="auto"/>
        <w:rPr>
          <w:sz w:val="20"/>
          <w:szCs w:val="20"/>
          <w:color w:val="auto"/>
        </w:rPr>
      </w:pPr>
      <w:r>
        <w:rPr>
          <w:rFonts w:ascii="Arial" w:cs="Arial" w:eastAsia="Arial" w:hAnsi="Arial"/>
          <w:sz w:val="20"/>
          <w:szCs w:val="20"/>
          <w:color w:val="auto"/>
        </w:rPr>
        <w:t>Issuer a risk participation in such Letter of Credit in an amount equal to such Lender’s Revolving Commitment Percentage thereof.</w:t>
      </w:r>
    </w:p>
    <w:p>
      <w:pPr>
        <w:spacing w:after="0" w:line="189" w:lineRule="exact"/>
        <w:rPr>
          <w:sz w:val="20"/>
          <w:szCs w:val="20"/>
          <w:color w:val="auto"/>
        </w:rPr>
      </w:pPr>
    </w:p>
    <w:p>
      <w:pPr>
        <w:ind w:left="1300" w:firstLine="653"/>
        <w:spacing w:after="0" w:line="295" w:lineRule="exact"/>
        <w:tabs>
          <w:tab w:leader="none" w:pos="2452" w:val="left"/>
        </w:tabs>
        <w:numPr>
          <w:ilvl w:val="0"/>
          <w:numId w:val="93"/>
        </w:numPr>
        <w:rPr>
          <w:rFonts w:ascii="Arial" w:cs="Arial" w:eastAsia="Arial" w:hAnsi="Arial"/>
          <w:sz w:val="19"/>
          <w:szCs w:val="19"/>
          <w:color w:val="auto"/>
        </w:rPr>
      </w:pPr>
      <w:r>
        <w:rPr>
          <w:rFonts w:ascii="Arial" w:cs="Arial" w:eastAsia="Arial" w:hAnsi="Arial"/>
          <w:sz w:val="18"/>
          <w:szCs w:val="18"/>
          <w:color w:val="auto"/>
        </w:rPr>
        <w:t>If a Borrower so requests in any applicable L/C Application, the applicable L/C Issuer may, in its sole and absolute discretion, agree to issue a Letter of Credit that has automatic extension provisions (each, an “</w:t>
      </w:r>
      <w:r>
        <w:rPr>
          <w:rFonts w:ascii="Arial" w:cs="Arial" w:eastAsia="Arial" w:hAnsi="Arial"/>
          <w:sz w:val="18"/>
          <w:szCs w:val="18"/>
          <w:u w:val="single" w:color="auto"/>
          <w:color w:val="auto"/>
        </w:rPr>
        <w:t>Auto</w:t>
      </w:r>
      <w:r>
        <w:rPr>
          <w:rFonts w:ascii="MS PGothic" w:cs="MS PGothic" w:eastAsia="MS PGothic" w:hAnsi="MS PGothic"/>
          <w:sz w:val="18"/>
          <w:szCs w:val="18"/>
          <w:u w:val="single" w:color="auto"/>
          <w:color w:val="auto"/>
        </w:rPr>
        <w:t>‑</w:t>
      </w:r>
      <w:r>
        <w:rPr>
          <w:rFonts w:ascii="Arial" w:cs="Arial" w:eastAsia="Arial" w:hAnsi="Arial"/>
          <w:sz w:val="18"/>
          <w:szCs w:val="18"/>
          <w:u w:val="single" w:color="auto"/>
          <w:color w:val="auto"/>
        </w:rPr>
        <w:t>Extension Letter</w:t>
      </w:r>
      <w:r>
        <w:rPr>
          <w:rFonts w:ascii="Arial" w:cs="Arial" w:eastAsia="Arial" w:hAnsi="Arial"/>
          <w:sz w:val="18"/>
          <w:szCs w:val="18"/>
          <w:color w:val="auto"/>
        </w:rPr>
        <w:t xml:space="preserve"> </w:t>
      </w:r>
      <w:r>
        <w:rPr>
          <w:rFonts w:ascii="Arial" w:cs="Arial" w:eastAsia="Arial" w:hAnsi="Arial"/>
          <w:sz w:val="18"/>
          <w:szCs w:val="18"/>
          <w:u w:val="single" w:color="auto"/>
          <w:color w:val="auto"/>
        </w:rPr>
        <w:t>of Credit</w:t>
      </w:r>
      <w:r>
        <w:rPr>
          <w:rFonts w:ascii="Arial" w:cs="Arial" w:eastAsia="Arial" w:hAnsi="Arial"/>
          <w:sz w:val="18"/>
          <w:szCs w:val="18"/>
          <w:color w:val="auto"/>
        </w:rPr>
        <w:t xml:space="preserv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any such Auto</w:t>
      </w:r>
      <w:r>
        <w:rPr>
          <w:rFonts w:ascii="MS PGothic" w:cs="MS PGothic" w:eastAsia="MS PGothic" w:hAnsi="MS PGothic"/>
          <w:sz w:val="18"/>
          <w:szCs w:val="18"/>
          <w:color w:val="auto"/>
        </w:rPr>
        <w:t>‑</w:t>
      </w:r>
      <w:r>
        <w:rPr>
          <w:rFonts w:ascii="Arial" w:cs="Arial" w:eastAsia="Arial" w:hAnsi="Arial"/>
          <w:sz w:val="18"/>
          <w:szCs w:val="18"/>
          <w:color w:val="auto"/>
        </w:rPr>
        <w:t>Extension Letter of Credit must permit the applicable L/C Issuer to prevent any such extension at least once in each twelve</w:t>
      </w:r>
      <w:r>
        <w:rPr>
          <w:rFonts w:ascii="MS PGothic" w:cs="MS PGothic" w:eastAsia="MS PGothic" w:hAnsi="MS PGothic"/>
          <w:sz w:val="18"/>
          <w:szCs w:val="18"/>
          <w:color w:val="auto"/>
        </w:rPr>
        <w:t>‑</w:t>
      </w:r>
      <w:r>
        <w:rPr>
          <w:rFonts w:ascii="Arial" w:cs="Arial" w:eastAsia="Arial" w:hAnsi="Arial"/>
          <w:sz w:val="18"/>
          <w:szCs w:val="18"/>
          <w:color w:val="auto"/>
        </w:rPr>
        <w:t>month period (commencing with the date of issuance of such Letter of Credit) by giving prior notice to the beneficiary thereof not later than a day (the “</w:t>
      </w:r>
      <w:r>
        <w:rPr>
          <w:rFonts w:ascii="Arial" w:cs="Arial" w:eastAsia="Arial" w:hAnsi="Arial"/>
          <w:sz w:val="18"/>
          <w:szCs w:val="18"/>
          <w:u w:val="single" w:color="auto"/>
          <w:color w:val="auto"/>
        </w:rPr>
        <w:t>Non-Extension Notice Date</w:t>
      </w:r>
      <w:r>
        <w:rPr>
          <w:rFonts w:ascii="Arial" w:cs="Arial" w:eastAsia="Arial" w:hAnsi="Arial"/>
          <w:sz w:val="18"/>
          <w:szCs w:val="18"/>
          <w:color w:val="auto"/>
        </w:rPr>
        <w:t>”) in each such twelve</w:t>
      </w:r>
      <w:r>
        <w:rPr>
          <w:rFonts w:ascii="MS PGothic" w:cs="MS PGothic" w:eastAsia="MS PGothic" w:hAnsi="MS PGothic"/>
          <w:sz w:val="18"/>
          <w:szCs w:val="18"/>
          <w:color w:val="auto"/>
        </w:rPr>
        <w:t>‑</w:t>
      </w:r>
      <w:r>
        <w:rPr>
          <w:rFonts w:ascii="Arial" w:cs="Arial" w:eastAsia="Arial" w:hAnsi="Arial"/>
          <w:sz w:val="18"/>
          <w:szCs w:val="18"/>
          <w:color w:val="auto"/>
        </w:rPr>
        <w:t>month period to be agreed upon at the time such Letter of Credit is issued. Unless otherwise directed by the applicable L/C Issuer, such Borrower shall not be required to make a specific request to such L/C Issuer for any such extension. Once an Auto</w:t>
      </w:r>
      <w:r>
        <w:rPr>
          <w:rFonts w:ascii="MS PGothic" w:cs="MS PGothic" w:eastAsia="MS PGothic" w:hAnsi="MS PGothic"/>
          <w:sz w:val="18"/>
          <w:szCs w:val="18"/>
          <w:color w:val="auto"/>
        </w:rPr>
        <w:t>‑</w:t>
      </w:r>
      <w:r>
        <w:rPr>
          <w:rFonts w:ascii="Arial" w:cs="Arial" w:eastAsia="Arial" w:hAnsi="Arial"/>
          <w:sz w:val="18"/>
          <w:szCs w:val="18"/>
          <w:color w:val="auto"/>
        </w:rPr>
        <w:t xml:space="preserve">Extension Letter of Credit has been issued, the Lenders shall be deemed to have authorized (but may not require) the applicable L/C Issuer to permit the extension of such Letter of Credit at any time to an expiry date not later than the L/C Expiration Date;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however, that the applicable L/C Issuer shall not permit any such extension if (A) the applicable L/C Issuer has determined that it would not be permitted or would have no obligation at such time to issue such Letter of Credit in its revised form (as extended) under the terms hereof (by reason of the provisions of </w:t>
      </w:r>
      <w:r>
        <w:rPr>
          <w:rFonts w:ascii="Arial" w:cs="Arial" w:eastAsia="Arial" w:hAnsi="Arial"/>
          <w:sz w:val="18"/>
          <w:szCs w:val="18"/>
          <w:u w:val="single" w:color="auto"/>
          <w:color w:val="auto"/>
        </w:rPr>
        <w:t>Section 2.03(a)</w:t>
      </w:r>
      <w:r>
        <w:rPr>
          <w:rFonts w:ascii="Arial" w:cs="Arial" w:eastAsia="Arial" w:hAnsi="Arial"/>
          <w:sz w:val="18"/>
          <w:szCs w:val="18"/>
          <w:color w:val="auto"/>
        </w:rPr>
        <w:t xml:space="preserve"> or otherwise), or (B) it has received notice (which may be by telephone or in writing) on or before the day that is seven Business Days before the Non-Extension Notice Date (1) from the Administrative Agent that the Required Lenders have elected not to permit such extension or (2) from the Administrative Agent, any Lender or any Borrower that one or more of the applicable conditions specified in </w:t>
      </w:r>
      <w:r>
        <w:rPr>
          <w:rFonts w:ascii="Arial" w:cs="Arial" w:eastAsia="Arial" w:hAnsi="Arial"/>
          <w:sz w:val="18"/>
          <w:szCs w:val="18"/>
          <w:u w:val="single" w:color="auto"/>
          <w:color w:val="auto"/>
        </w:rPr>
        <w:t>Section 5.02</w:t>
      </w:r>
      <w:r>
        <w:rPr>
          <w:rFonts w:ascii="Arial" w:cs="Arial" w:eastAsia="Arial" w:hAnsi="Arial"/>
          <w:sz w:val="18"/>
          <w:szCs w:val="18"/>
          <w:color w:val="auto"/>
        </w:rPr>
        <w:t xml:space="preserve"> is not then satisfied, and in each case directing the applicable L/C Issuer not to permit such extension.</w:t>
      </w:r>
    </w:p>
    <w:p>
      <w:pPr>
        <w:spacing w:after="0" w:line="275" w:lineRule="exact"/>
        <w:rPr>
          <w:rFonts w:ascii="Arial" w:cs="Arial" w:eastAsia="Arial" w:hAnsi="Arial"/>
          <w:sz w:val="19"/>
          <w:szCs w:val="19"/>
          <w:color w:val="auto"/>
        </w:rPr>
      </w:pPr>
    </w:p>
    <w:p>
      <w:pPr>
        <w:ind w:left="1300" w:firstLine="653"/>
        <w:spacing w:after="0" w:line="349" w:lineRule="auto"/>
        <w:tabs>
          <w:tab w:leader="none" w:pos="2440" w:val="left"/>
        </w:tabs>
        <w:numPr>
          <w:ilvl w:val="0"/>
          <w:numId w:val="93"/>
        </w:numPr>
        <w:rPr>
          <w:rFonts w:ascii="Arial" w:cs="Arial" w:eastAsia="Arial" w:hAnsi="Arial"/>
          <w:sz w:val="19"/>
          <w:szCs w:val="19"/>
          <w:color w:val="auto"/>
        </w:rPr>
      </w:pPr>
      <w:r>
        <w:rPr>
          <w:rFonts w:ascii="Arial" w:cs="Arial" w:eastAsia="Arial" w:hAnsi="Arial"/>
          <w:sz w:val="18"/>
          <w:szCs w:val="18"/>
          <w:color w:val="auto"/>
        </w:rPr>
        <w:t>If a Borrower so requests in any applicable L/C Application, the applicable L/C Issuer may, in its sole and absolute discretion, agree to issue a Letter of Credit that permits the automatic reinstatement of all or a portion of the stated amount thereof after any drawing thereunder (each, an “</w:t>
      </w:r>
      <w:r>
        <w:rPr>
          <w:rFonts w:ascii="Arial" w:cs="Arial" w:eastAsia="Arial" w:hAnsi="Arial"/>
          <w:sz w:val="18"/>
          <w:szCs w:val="18"/>
          <w:u w:val="single" w:color="auto"/>
          <w:color w:val="auto"/>
        </w:rPr>
        <w:t>Auto-Reinstatement Letter of Credit</w:t>
      </w:r>
      <w:r>
        <w:rPr>
          <w:rFonts w:ascii="Arial" w:cs="Arial" w:eastAsia="Arial" w:hAnsi="Arial"/>
          <w:sz w:val="18"/>
          <w:szCs w:val="18"/>
          <w:color w:val="auto"/>
        </w:rPr>
        <w:t>”). Unless otherwise directed by the applicable L/C Issuer, such Borrower shall not be required to make a specific request to the applicable L/C Issuer to permit such reinstatement. Once an Auto-Reinstatement Letter of Credit has been issued, except as provided in the following sentence, the Lenders shall be deemed to have authorized (but may not require) the applicable L/C Issuer to reinstate all or a portion of the stated amount thereof in accordance with the provisions of such Letter of Credit. Notwithstanding the foregoing, if such Auto-Reinstatement Letter of Credit permits the applicable L/C Issuer to decline to reinstate all or any portion of the stated amount thereof after a drawing thereunder by giving notice of such non-reinstatement within a specified number of days after such drawing (the “</w:t>
      </w:r>
      <w:r>
        <w:rPr>
          <w:rFonts w:ascii="Arial" w:cs="Arial" w:eastAsia="Arial" w:hAnsi="Arial"/>
          <w:sz w:val="18"/>
          <w:szCs w:val="18"/>
          <w:u w:val="single" w:color="auto"/>
          <w:color w:val="auto"/>
        </w:rPr>
        <w:t>Non-Reinstatement Deadline</w:t>
      </w:r>
      <w:r>
        <w:rPr>
          <w:rFonts w:ascii="Arial" w:cs="Arial" w:eastAsia="Arial" w:hAnsi="Arial"/>
          <w:sz w:val="18"/>
          <w:szCs w:val="18"/>
          <w:color w:val="auto"/>
        </w:rPr>
        <w:t>”), the applicable L/C Issuer shall not permit such reinstatement if it has received a notice (which may be by telephone or in writing) on or before the day that is seven Business</w:t>
      </w:r>
    </w:p>
    <w:p>
      <w:pPr>
        <w:spacing w:after="0" w:line="373"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84</w:t>
      </w:r>
    </w:p>
    <w:p>
      <w:pPr>
        <w:spacing w:after="0" w:line="10" w:lineRule="exact"/>
        <w:rPr>
          <w:sz w:val="20"/>
          <w:szCs w:val="20"/>
          <w:color w:val="auto"/>
        </w:rPr>
      </w:pPr>
    </w:p>
    <w:p>
      <w:pPr>
        <w:spacing w:after="0"/>
        <w:rPr>
          <w:sz w:val="20"/>
          <w:szCs w:val="20"/>
          <w:color w:val="auto"/>
        </w:rPr>
      </w:pPr>
      <w:r>
        <w:rPr>
          <w:rFonts w:ascii="Arial" w:cs="Arial" w:eastAsia="Arial" w:hAnsi="Arial"/>
          <w:sz w:val="14"/>
          <w:szCs w:val="14"/>
          <w:color w:val="auto"/>
        </w:rPr>
        <w:t>CHAR1\1346423v</w:t>
      </w:r>
      <w:r>
        <w:rPr>
          <w:rFonts w:ascii="Arial" w:cs="Arial" w:eastAsia="Arial" w:hAnsi="Arial"/>
          <w:sz w:val="14"/>
          <w:szCs w:val="14"/>
          <w:color w:val="FF0000"/>
          <w:strike w:val="1"/>
        </w:rPr>
        <w:t>1</w:t>
      </w:r>
      <w:r>
        <w:rPr>
          <w:rFonts w:ascii="Arial" w:cs="Arial" w:eastAsia="Arial" w:hAnsi="Arial"/>
          <w:sz w:val="14"/>
          <w:szCs w:val="14"/>
          <w:u w:val="single" w:color="auto"/>
          <w:color w:val="0000FF"/>
        </w:rPr>
        <w:t>12</w:t>
      </w:r>
    </w:p>
    <w:p>
      <w:pPr>
        <w:sectPr>
          <w:pgSz w:w="11900" w:h="16838" w:orient="portrait"/>
          <w:cols w:equalWidth="0" w:num="1">
            <w:col w:w="11420"/>
          </w:cols>
          <w:pgMar w:left="240" w:top="609" w:right="239" w:bottom="1440" w:gutter="0" w:footer="0" w:header="0"/>
        </w:sectPr>
      </w:pPr>
    </w:p>
    <w:bookmarkStart w:id="136" w:name="page137"/>
    <w:bookmarkEnd w:id="136"/>
    <w:p>
      <w:pPr>
        <w:ind w:left="1300" w:right="20"/>
        <w:spacing w:after="0" w:line="329" w:lineRule="auto"/>
        <w:rPr>
          <w:sz w:val="20"/>
          <w:szCs w:val="20"/>
          <w:color w:val="auto"/>
        </w:rPr>
      </w:pPr>
      <w:r>
        <w:rPr>
          <w:rFonts w:ascii="Arial" w:cs="Arial" w:eastAsia="Arial" w:hAnsi="Arial"/>
          <w:sz w:val="18"/>
          <w:szCs w:val="18"/>
          <w:color w:val="auto"/>
        </w:rPr>
        <w:t xml:space="preserve">Days before the Non-Reinstatement Deadline (A) from the Administrative Agent that the Required Lenders have elected not to permit such reinstatement or (B) from the Administrative Agent, any Lender or any Borrower that one or more of the applicable conditions specified in </w:t>
      </w:r>
      <w:r>
        <w:rPr>
          <w:rFonts w:ascii="Arial" w:cs="Arial" w:eastAsia="Arial" w:hAnsi="Arial"/>
          <w:sz w:val="18"/>
          <w:szCs w:val="18"/>
          <w:u w:val="single" w:color="auto"/>
          <w:color w:val="auto"/>
        </w:rPr>
        <w:t>Section 5.02</w:t>
      </w:r>
      <w:r>
        <w:rPr>
          <w:rFonts w:ascii="Arial" w:cs="Arial" w:eastAsia="Arial" w:hAnsi="Arial"/>
          <w:sz w:val="18"/>
          <w:szCs w:val="18"/>
          <w:color w:val="auto"/>
        </w:rPr>
        <w:t xml:space="preserve"> is not then satisfied (treating such reinstatement as an L/C Credit Extension for purposes of this clause) and, in each case, directing the applicable L/C Issuer not to permit such reinstatement.</w:t>
      </w:r>
    </w:p>
    <w:p>
      <w:pPr>
        <w:spacing w:after="0" w:line="175" w:lineRule="exact"/>
        <w:rPr>
          <w:sz w:val="20"/>
          <w:szCs w:val="20"/>
          <w:color w:val="auto"/>
        </w:rPr>
      </w:pPr>
    </w:p>
    <w:p>
      <w:pPr>
        <w:ind w:left="1300" w:right="60" w:firstLine="653"/>
        <w:spacing w:after="0" w:line="333" w:lineRule="auto"/>
        <w:tabs>
          <w:tab w:leader="none" w:pos="2380" w:val="left"/>
        </w:tabs>
        <w:numPr>
          <w:ilvl w:val="1"/>
          <w:numId w:val="94"/>
        </w:numPr>
        <w:rPr>
          <w:rFonts w:ascii="Arial" w:cs="Arial" w:eastAsia="Arial" w:hAnsi="Arial"/>
          <w:sz w:val="21"/>
          <w:szCs w:val="21"/>
          <w:color w:val="auto"/>
        </w:rPr>
      </w:pPr>
      <w:r>
        <w:rPr>
          <w:rFonts w:ascii="Arial" w:cs="Arial" w:eastAsia="Arial" w:hAnsi="Arial"/>
          <w:sz w:val="19"/>
          <w:szCs w:val="19"/>
          <w:color w:val="auto"/>
        </w:rPr>
        <w:t>Promptly after its delivery of any Letter of Credit or any amendment to a Letter of Credit to an advising bank with respect thereto or to the beneficiary thereof, the applicable L/C Issuer will also deliver to the applicable Borrower and the Administrative Agent a true and complete copy of such Letter of Credit or amendment.</w:t>
      </w:r>
    </w:p>
    <w:p>
      <w:pPr>
        <w:spacing w:after="0" w:line="166" w:lineRule="exact"/>
        <w:rPr>
          <w:rFonts w:ascii="Arial" w:cs="Arial" w:eastAsia="Arial" w:hAnsi="Arial"/>
          <w:sz w:val="21"/>
          <w:szCs w:val="21"/>
          <w:color w:val="auto"/>
        </w:rPr>
      </w:pPr>
    </w:p>
    <w:p>
      <w:pPr>
        <w:ind w:left="1700" w:hanging="395"/>
        <w:spacing w:after="0"/>
        <w:tabs>
          <w:tab w:leader="none" w:pos="1700" w:val="left"/>
        </w:tabs>
        <w:numPr>
          <w:ilvl w:val="0"/>
          <w:numId w:val="95"/>
        </w:numPr>
        <w:rPr>
          <w:rFonts w:ascii="Arial" w:cs="Arial" w:eastAsia="Arial" w:hAnsi="Arial"/>
          <w:sz w:val="20"/>
          <w:szCs w:val="20"/>
          <w:color w:val="auto"/>
        </w:rPr>
      </w:pPr>
      <w:r>
        <w:rPr>
          <w:rFonts w:ascii="Arial" w:cs="Arial" w:eastAsia="Arial" w:hAnsi="Arial"/>
          <w:sz w:val="20"/>
          <w:szCs w:val="20"/>
          <w:color w:val="auto"/>
        </w:rPr>
        <w:t>Drawings and Reimbursements; Funding of Participations.</w:t>
      </w:r>
    </w:p>
    <w:p>
      <w:pPr>
        <w:spacing w:after="0" w:line="283" w:lineRule="exact"/>
        <w:rPr>
          <w:rFonts w:ascii="Arial" w:cs="Arial" w:eastAsia="Arial" w:hAnsi="Arial"/>
          <w:sz w:val="20"/>
          <w:szCs w:val="20"/>
          <w:color w:val="auto"/>
        </w:rPr>
      </w:pPr>
    </w:p>
    <w:p>
      <w:pPr>
        <w:ind w:left="1300" w:firstLine="653"/>
        <w:spacing w:after="0" w:line="346" w:lineRule="auto"/>
        <w:tabs>
          <w:tab w:leader="none" w:pos="2332" w:val="left"/>
        </w:tabs>
        <w:numPr>
          <w:ilvl w:val="1"/>
          <w:numId w:val="95"/>
        </w:numPr>
        <w:rPr>
          <w:rFonts w:ascii="Arial" w:cs="Arial" w:eastAsia="Arial" w:hAnsi="Arial"/>
          <w:sz w:val="19"/>
          <w:szCs w:val="19"/>
          <w:color w:val="auto"/>
        </w:rPr>
      </w:pPr>
      <w:r>
        <w:rPr>
          <w:rFonts w:ascii="Arial" w:cs="Arial" w:eastAsia="Arial" w:hAnsi="Arial"/>
          <w:sz w:val="18"/>
          <w:szCs w:val="18"/>
          <w:color w:val="auto"/>
        </w:rPr>
        <w:t>Upon receipt from the beneficiary of any Letter of Credit of any notice of a drawing under any Letter of Credit, the applicable L/C Issuer shall notify the applicable Borrower and the Administrative Agent thereof. In the case of a Letter of Credit denominated in a currency other than Dollars, the applicable Borrower shall reimburse the applicable L/C Issuer in the same such currency, unless (A) such L/C Issuer (at its option) shall have specified in such notice that it will require reimbursement in Dollars, or (B) in the absence of any such requirement for reimbursement in Dollars, such Borrower shall have notified such L/C Issuer promptly following receipt of the notice of drawing that such Borrower will reimburse such L/C Issuer in Dollars. In the case of any such reimbursement in Dollars of a drawing under a Letter of Credit denominated in a currency other than Dollars, the applicable L/C Issuer shall notify the applicable Borrower of the Dollar Equivalent of the amount of the drawing promptly following the determination thereof. Not later than 11:00 a.m. on the date of any payment by the applicable L/C Issuer under a Letter of Credit to be reimbursed in Dollars, or the Applicable Time on the date of any payment by the applicable L/C Issuer under a Letter of Credit to be reimbursed in a currency other than Dollars (each such date, an “</w:t>
      </w:r>
      <w:r>
        <w:rPr>
          <w:rFonts w:ascii="Arial" w:cs="Arial" w:eastAsia="Arial" w:hAnsi="Arial"/>
          <w:sz w:val="18"/>
          <w:szCs w:val="18"/>
          <w:u w:val="single" w:color="auto"/>
          <w:color w:val="auto"/>
        </w:rPr>
        <w:t>Honor Date</w:t>
      </w:r>
      <w:r>
        <w:rPr>
          <w:rFonts w:ascii="Arial" w:cs="Arial" w:eastAsia="Arial" w:hAnsi="Arial"/>
          <w:sz w:val="18"/>
          <w:szCs w:val="18"/>
          <w:color w:val="auto"/>
        </w:rPr>
        <w:t>”), the applicable Borrower shall reimburse the applicable L/C Issuer through the Administrative Agent in an amount equal to the amount of such drawing and in the applicable currency. If the applicable Borrower fails to so reimburse the applicable L/C Issuer by such time, the Administrative Agent shall promptly notify each Lender of the Honor Date, the amount of the unreimbursed drawing (expressed in Dollars in the amount of the Dollar Equivalent thereof in the case of a Letter of Credit denominated in an Alternative Currency) (the “</w:t>
      </w:r>
      <w:r>
        <w:rPr>
          <w:rFonts w:ascii="Arial" w:cs="Arial" w:eastAsia="Arial" w:hAnsi="Arial"/>
          <w:sz w:val="18"/>
          <w:szCs w:val="18"/>
          <w:u w:val="single" w:color="auto"/>
          <w:color w:val="auto"/>
        </w:rPr>
        <w:t>L/C Unreimbursed Amount</w:t>
      </w:r>
      <w:r>
        <w:rPr>
          <w:rFonts w:ascii="Arial" w:cs="Arial" w:eastAsia="Arial" w:hAnsi="Arial"/>
          <w:sz w:val="18"/>
          <w:szCs w:val="18"/>
          <w:color w:val="auto"/>
        </w:rPr>
        <w:t xml:space="preserve">”), and the amount of such Lender’s Revolving Commitment Percentage thereof. In such event, the applicable Borrower shall be deemed to have requested a Borrowing of Base Rate Loans or Fixed LIBOR Rate Loans with an Interest Period of one month, as appropriate, to be disbursed on the Honor Date in an amount equal to the L/C Unreimbursed Amount, without regard to the minimum and multiples specified in </w:t>
      </w:r>
      <w:r>
        <w:rPr>
          <w:rFonts w:ascii="Arial" w:cs="Arial" w:eastAsia="Arial" w:hAnsi="Arial"/>
          <w:sz w:val="18"/>
          <w:szCs w:val="18"/>
          <w:u w:val="single" w:color="auto"/>
          <w:color w:val="auto"/>
        </w:rPr>
        <w:t>Section 2.02</w:t>
      </w:r>
      <w:r>
        <w:rPr>
          <w:rFonts w:ascii="Arial" w:cs="Arial" w:eastAsia="Arial" w:hAnsi="Arial"/>
          <w:sz w:val="18"/>
          <w:szCs w:val="18"/>
          <w:color w:val="auto"/>
        </w:rPr>
        <w:t xml:space="preserve"> for such Loans, but subject to the amount of the unutilized portion of the Aggregate Commitments and the conditions set</w:t>
      </w:r>
    </w:p>
    <w:p>
      <w:pPr>
        <w:spacing w:after="0" w:line="389" w:lineRule="exact"/>
        <w:rPr>
          <w:sz w:val="20"/>
          <w:szCs w:val="20"/>
          <w:color w:val="auto"/>
        </w:rPr>
      </w:pPr>
    </w:p>
    <w:p>
      <w:pPr>
        <w:jc w:val="center"/>
        <w:ind w:right="-39"/>
        <w:spacing w:after="0"/>
        <w:rPr>
          <w:sz w:val="20"/>
          <w:szCs w:val="20"/>
          <w:color w:val="auto"/>
        </w:rPr>
      </w:pPr>
      <w:r>
        <w:rPr>
          <w:rFonts w:ascii="Arial" w:cs="Arial" w:eastAsia="Arial" w:hAnsi="Arial"/>
          <w:sz w:val="20"/>
          <w:szCs w:val="20"/>
          <w:color w:val="auto"/>
        </w:rPr>
        <w:t>85</w:t>
      </w:r>
    </w:p>
    <w:p>
      <w:pPr>
        <w:spacing w:after="0" w:line="10" w:lineRule="exact"/>
        <w:rPr>
          <w:sz w:val="20"/>
          <w:szCs w:val="20"/>
          <w:color w:val="auto"/>
        </w:rPr>
      </w:pPr>
    </w:p>
    <w:p>
      <w:pPr>
        <w:spacing w:after="0"/>
        <w:rPr>
          <w:sz w:val="20"/>
          <w:szCs w:val="20"/>
          <w:color w:val="auto"/>
        </w:rPr>
      </w:pPr>
      <w:r>
        <w:rPr>
          <w:rFonts w:ascii="Arial" w:cs="Arial" w:eastAsia="Arial" w:hAnsi="Arial"/>
          <w:sz w:val="14"/>
          <w:szCs w:val="14"/>
          <w:color w:val="auto"/>
        </w:rPr>
        <w:t>CHAR1\1346423v</w:t>
      </w:r>
      <w:r>
        <w:rPr>
          <w:rFonts w:ascii="Arial" w:cs="Arial" w:eastAsia="Arial" w:hAnsi="Arial"/>
          <w:sz w:val="14"/>
          <w:szCs w:val="14"/>
          <w:color w:val="FF0000"/>
          <w:strike w:val="1"/>
        </w:rPr>
        <w:t>1</w:t>
      </w:r>
      <w:r>
        <w:rPr>
          <w:rFonts w:ascii="Arial" w:cs="Arial" w:eastAsia="Arial" w:hAnsi="Arial"/>
          <w:sz w:val="14"/>
          <w:szCs w:val="14"/>
          <w:u w:val="single" w:color="auto"/>
          <w:color w:val="0000FF"/>
        </w:rPr>
        <w:t>12</w:t>
      </w:r>
    </w:p>
    <w:p>
      <w:pPr>
        <w:sectPr>
          <w:pgSz w:w="11900" w:h="16838" w:orient="portrait"/>
          <w:cols w:equalWidth="0" w:num="1">
            <w:col w:w="11380"/>
          </w:cols>
          <w:pgMar w:left="240" w:top="609" w:right="279" w:bottom="1440" w:gutter="0" w:footer="0" w:header="0"/>
        </w:sectPr>
      </w:pPr>
    </w:p>
    <w:bookmarkStart w:id="137" w:name="page138"/>
    <w:bookmarkEnd w:id="137"/>
    <w:p>
      <w:pPr>
        <w:ind w:left="1300" w:right="40"/>
        <w:spacing w:after="0" w:line="314" w:lineRule="auto"/>
        <w:rPr>
          <w:sz w:val="20"/>
          <w:szCs w:val="20"/>
          <w:color w:val="auto"/>
        </w:rPr>
      </w:pPr>
      <w:r>
        <w:rPr>
          <w:rFonts w:ascii="Arial" w:cs="Arial" w:eastAsia="Arial" w:hAnsi="Arial"/>
          <w:sz w:val="19"/>
          <w:szCs w:val="19"/>
          <w:color w:val="auto"/>
        </w:rPr>
        <w:t xml:space="preserve">forth in </w:t>
      </w:r>
      <w:r>
        <w:rPr>
          <w:rFonts w:ascii="Arial" w:cs="Arial" w:eastAsia="Arial" w:hAnsi="Arial"/>
          <w:sz w:val="19"/>
          <w:szCs w:val="19"/>
          <w:u w:val="single" w:color="auto"/>
          <w:color w:val="auto"/>
        </w:rPr>
        <w:t>Section 5.02</w:t>
      </w:r>
      <w:r>
        <w:rPr>
          <w:rFonts w:ascii="Arial" w:cs="Arial" w:eastAsia="Arial" w:hAnsi="Arial"/>
          <w:sz w:val="19"/>
          <w:szCs w:val="19"/>
          <w:color w:val="auto"/>
        </w:rPr>
        <w:t xml:space="preserve"> (other than the delivery of a Loan Notice). Any notice given by an L/C Issuer or the Administrative Agent pursuant to this </w:t>
      </w:r>
      <w:r>
        <w:rPr>
          <w:rFonts w:ascii="Arial" w:cs="Arial" w:eastAsia="Arial" w:hAnsi="Arial"/>
          <w:sz w:val="19"/>
          <w:szCs w:val="19"/>
          <w:u w:val="single" w:color="auto"/>
          <w:color w:val="auto"/>
        </w:rPr>
        <w:t>Section 2.03(c)(i)</w:t>
      </w:r>
      <w:r>
        <w:rPr>
          <w:rFonts w:ascii="Arial" w:cs="Arial" w:eastAsia="Arial" w:hAnsi="Arial"/>
          <w:sz w:val="19"/>
          <w:szCs w:val="19"/>
          <w:color w:val="auto"/>
        </w:rPr>
        <w:t xml:space="preserve"> may be given by telephone if immediately confirmed in writing;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the lack of such an immediate confirmation shall not affect the conclusiveness or binding effect of such notice.</w:t>
      </w:r>
    </w:p>
    <w:p>
      <w:pPr>
        <w:spacing w:after="0" w:line="182" w:lineRule="exact"/>
        <w:rPr>
          <w:sz w:val="20"/>
          <w:szCs w:val="20"/>
          <w:color w:val="auto"/>
        </w:rPr>
      </w:pPr>
    </w:p>
    <w:p>
      <w:pPr>
        <w:ind w:left="1300" w:right="40" w:firstLine="653"/>
        <w:spacing w:after="0" w:line="328" w:lineRule="auto"/>
        <w:tabs>
          <w:tab w:leader="none" w:pos="2392" w:val="left"/>
        </w:tabs>
        <w:numPr>
          <w:ilvl w:val="0"/>
          <w:numId w:val="96"/>
        </w:numPr>
        <w:rPr>
          <w:rFonts w:ascii="Arial" w:cs="Arial" w:eastAsia="Arial" w:hAnsi="Arial"/>
          <w:sz w:val="21"/>
          <w:szCs w:val="21"/>
          <w:color w:val="auto"/>
        </w:rPr>
      </w:pPr>
      <w:r>
        <w:rPr>
          <w:rFonts w:ascii="Arial" w:cs="Arial" w:eastAsia="Arial" w:hAnsi="Arial"/>
          <w:sz w:val="19"/>
          <w:szCs w:val="19"/>
          <w:color w:val="auto"/>
        </w:rPr>
        <w:t xml:space="preserve">Each Lender shall upon any notice pursuant to </w:t>
      </w:r>
      <w:r>
        <w:rPr>
          <w:rFonts w:ascii="Arial" w:cs="Arial" w:eastAsia="Arial" w:hAnsi="Arial"/>
          <w:sz w:val="19"/>
          <w:szCs w:val="19"/>
          <w:u w:val="single" w:color="auto"/>
          <w:color w:val="auto"/>
        </w:rPr>
        <w:t>Section 2.03(c)(i)</w:t>
      </w:r>
      <w:r>
        <w:rPr>
          <w:rFonts w:ascii="Arial" w:cs="Arial" w:eastAsia="Arial" w:hAnsi="Arial"/>
          <w:sz w:val="19"/>
          <w:szCs w:val="19"/>
          <w:color w:val="auto"/>
        </w:rPr>
        <w:t xml:space="preserve"> make funds available to the Administrative Agent for the account of the applicable L/C Issuer at the Administrative Agent’s Office in an amount equal to its Revolving Commitment Percentage of the L/C Unreimbursed Amount not later than 1:00 p.m. on the Business Day specified in such notice by the Administrative Agent, whereupon, subject to the provisions of </w:t>
      </w:r>
      <w:r>
        <w:rPr>
          <w:rFonts w:ascii="Arial" w:cs="Arial" w:eastAsia="Arial" w:hAnsi="Arial"/>
          <w:sz w:val="19"/>
          <w:szCs w:val="19"/>
          <w:u w:val="single" w:color="auto"/>
          <w:color w:val="auto"/>
        </w:rPr>
        <w:t>Section 2.03(c)(iii)</w:t>
      </w:r>
      <w:r>
        <w:rPr>
          <w:rFonts w:ascii="Arial" w:cs="Arial" w:eastAsia="Arial" w:hAnsi="Arial"/>
          <w:sz w:val="19"/>
          <w:szCs w:val="19"/>
          <w:color w:val="auto"/>
        </w:rPr>
        <w:t>, each of the respective Lenders that so makes funds available shall be deemed to have made a Revolving Loan that is a Base Rate Loan or Fixed LIBOR Rate Loan with an Interest Period of one month, as appropriate, to the respective Borrower in such amount. The Administrative Agent shall remit the funds so received to the applicable L/C Issuer in the applicable currency (or, if requested by the applicable L/C Issuer, the equivalent amount thereof in Dollars as determined by the Administrative Agent at such time on the basis of the Spot Rate as of the funding date).</w:t>
      </w:r>
    </w:p>
    <w:p>
      <w:pPr>
        <w:spacing w:after="0" w:line="184" w:lineRule="exact"/>
        <w:rPr>
          <w:rFonts w:ascii="Arial" w:cs="Arial" w:eastAsia="Arial" w:hAnsi="Arial"/>
          <w:sz w:val="21"/>
          <w:szCs w:val="21"/>
          <w:color w:val="auto"/>
        </w:rPr>
      </w:pPr>
    </w:p>
    <w:p>
      <w:pPr>
        <w:ind w:left="1300" w:firstLine="653"/>
        <w:spacing w:after="0" w:line="352" w:lineRule="auto"/>
        <w:tabs>
          <w:tab w:leader="none" w:pos="2452" w:val="left"/>
        </w:tabs>
        <w:numPr>
          <w:ilvl w:val="0"/>
          <w:numId w:val="96"/>
        </w:numPr>
        <w:rPr>
          <w:rFonts w:ascii="Arial" w:cs="Arial" w:eastAsia="Arial" w:hAnsi="Arial"/>
          <w:sz w:val="19"/>
          <w:szCs w:val="19"/>
          <w:color w:val="auto"/>
        </w:rPr>
      </w:pPr>
      <w:r>
        <w:rPr>
          <w:rFonts w:ascii="Arial" w:cs="Arial" w:eastAsia="Arial" w:hAnsi="Arial"/>
          <w:sz w:val="18"/>
          <w:szCs w:val="18"/>
          <w:color w:val="auto"/>
        </w:rPr>
        <w:t xml:space="preserve">With respect to any L/C Unreimbursed Amount that is not fully refinanced by a Borrowing because the conditions set forth in </w:t>
      </w:r>
      <w:r>
        <w:rPr>
          <w:rFonts w:ascii="Arial" w:cs="Arial" w:eastAsia="Arial" w:hAnsi="Arial"/>
          <w:sz w:val="18"/>
          <w:szCs w:val="18"/>
          <w:u w:val="single" w:color="auto"/>
          <w:color w:val="auto"/>
        </w:rPr>
        <w:t>Section 5.02</w:t>
      </w:r>
      <w:r>
        <w:rPr>
          <w:rFonts w:ascii="Arial" w:cs="Arial" w:eastAsia="Arial" w:hAnsi="Arial"/>
          <w:sz w:val="18"/>
          <w:szCs w:val="18"/>
          <w:color w:val="auto"/>
        </w:rPr>
        <w:t xml:space="preserve"> cannot be satisfied or for any other reason, the applicable Borrower shall be deemed to have incurred from the applicable L/C Issuer an L/C Borrowing in the amount of the L/C Unreimbursed Amount that is not so refinanced, which L/C Borrowing shall be due and payable on demand (together with interest) and shall bear interest at the Default Rate. In such event, each Lender’s payment to the Administrative Agent for the account of the applicable L/C Issuer pursuant to </w:t>
      </w:r>
      <w:r>
        <w:rPr>
          <w:rFonts w:ascii="Arial" w:cs="Arial" w:eastAsia="Arial" w:hAnsi="Arial"/>
          <w:sz w:val="18"/>
          <w:szCs w:val="18"/>
          <w:u w:val="single" w:color="auto"/>
          <w:color w:val="auto"/>
        </w:rPr>
        <w:t>Section 2.03(c)(ii)</w:t>
      </w:r>
      <w:r>
        <w:rPr>
          <w:rFonts w:ascii="Arial" w:cs="Arial" w:eastAsia="Arial" w:hAnsi="Arial"/>
          <w:sz w:val="18"/>
          <w:szCs w:val="18"/>
          <w:color w:val="auto"/>
        </w:rPr>
        <w:t xml:space="preserve"> shall be deemed payment in respect of its participation in such L/C Borrowing and shall constitute an L/C Advance from such Lender in satisfaction of its participation obligation under this </w:t>
      </w:r>
      <w:r>
        <w:rPr>
          <w:rFonts w:ascii="Arial" w:cs="Arial" w:eastAsia="Arial" w:hAnsi="Arial"/>
          <w:sz w:val="18"/>
          <w:szCs w:val="18"/>
          <w:u w:val="single" w:color="auto"/>
          <w:color w:val="auto"/>
        </w:rPr>
        <w:t>Section 2.03</w:t>
      </w:r>
      <w:r>
        <w:rPr>
          <w:rFonts w:ascii="Arial" w:cs="Arial" w:eastAsia="Arial" w:hAnsi="Arial"/>
          <w:sz w:val="18"/>
          <w:szCs w:val="18"/>
          <w:color w:val="auto"/>
        </w:rPr>
        <w:t>.</w:t>
      </w:r>
    </w:p>
    <w:p>
      <w:pPr>
        <w:spacing w:after="0" w:line="167" w:lineRule="exact"/>
        <w:rPr>
          <w:rFonts w:ascii="Arial" w:cs="Arial" w:eastAsia="Arial" w:hAnsi="Arial"/>
          <w:sz w:val="19"/>
          <w:szCs w:val="19"/>
          <w:color w:val="auto"/>
        </w:rPr>
      </w:pPr>
    </w:p>
    <w:p>
      <w:pPr>
        <w:ind w:left="1300" w:right="500" w:firstLine="653"/>
        <w:spacing w:after="0" w:line="367" w:lineRule="auto"/>
        <w:tabs>
          <w:tab w:leader="none" w:pos="2440" w:val="left"/>
        </w:tabs>
        <w:numPr>
          <w:ilvl w:val="0"/>
          <w:numId w:val="96"/>
        </w:numPr>
        <w:rPr>
          <w:rFonts w:ascii="Arial" w:cs="Arial" w:eastAsia="Arial" w:hAnsi="Arial"/>
          <w:sz w:val="19"/>
          <w:szCs w:val="19"/>
          <w:color w:val="auto"/>
        </w:rPr>
      </w:pPr>
      <w:r>
        <w:rPr>
          <w:rFonts w:ascii="Arial" w:cs="Arial" w:eastAsia="Arial" w:hAnsi="Arial"/>
          <w:sz w:val="18"/>
          <w:szCs w:val="18"/>
          <w:color w:val="auto"/>
        </w:rPr>
        <w:t xml:space="preserve">Until each respective Lender funds its Revolving Loan or L/C Advance pursuant to this </w:t>
      </w:r>
      <w:r>
        <w:rPr>
          <w:rFonts w:ascii="Arial" w:cs="Arial" w:eastAsia="Arial" w:hAnsi="Arial"/>
          <w:sz w:val="18"/>
          <w:szCs w:val="18"/>
          <w:u w:val="single" w:color="auto"/>
          <w:color w:val="auto"/>
        </w:rPr>
        <w:t>Section 2.03(c)</w:t>
      </w:r>
      <w:r>
        <w:rPr>
          <w:rFonts w:ascii="Arial" w:cs="Arial" w:eastAsia="Arial" w:hAnsi="Arial"/>
          <w:sz w:val="18"/>
          <w:szCs w:val="18"/>
          <w:color w:val="auto"/>
        </w:rPr>
        <w:t xml:space="preserve"> to reimburse the applicable L/C Issuer for any amount drawn under any Letter of Credit, interest in respect of such Lender’s Revolving Commitment Percentage of such amount shall be solely for the account of the applicable L/C Issuer.</w:t>
      </w:r>
    </w:p>
    <w:p>
      <w:pPr>
        <w:spacing w:after="0" w:line="153" w:lineRule="exact"/>
        <w:rPr>
          <w:rFonts w:ascii="Arial" w:cs="Arial" w:eastAsia="Arial" w:hAnsi="Arial"/>
          <w:sz w:val="19"/>
          <w:szCs w:val="19"/>
          <w:color w:val="auto"/>
        </w:rPr>
      </w:pPr>
    </w:p>
    <w:p>
      <w:pPr>
        <w:ind w:left="1300" w:right="80" w:firstLine="653"/>
        <w:spacing w:after="0" w:line="356" w:lineRule="auto"/>
        <w:tabs>
          <w:tab w:leader="none" w:pos="2380" w:val="left"/>
        </w:tabs>
        <w:numPr>
          <w:ilvl w:val="0"/>
          <w:numId w:val="96"/>
        </w:numPr>
        <w:rPr>
          <w:rFonts w:ascii="Arial" w:cs="Arial" w:eastAsia="Arial" w:hAnsi="Arial"/>
          <w:sz w:val="19"/>
          <w:szCs w:val="19"/>
          <w:color w:val="auto"/>
        </w:rPr>
      </w:pPr>
      <w:r>
        <w:rPr>
          <w:rFonts w:ascii="Arial" w:cs="Arial" w:eastAsia="Arial" w:hAnsi="Arial"/>
          <w:sz w:val="18"/>
          <w:szCs w:val="18"/>
          <w:color w:val="auto"/>
        </w:rPr>
        <w:t xml:space="preserve">Each Lender’s obligation to make Revolving Loans or L/C Advances to reimburse the L/C Issuers for amounts drawn under Letters of Credit, as contemplated by this </w:t>
      </w:r>
      <w:r>
        <w:rPr>
          <w:rFonts w:ascii="Arial" w:cs="Arial" w:eastAsia="Arial" w:hAnsi="Arial"/>
          <w:sz w:val="18"/>
          <w:szCs w:val="18"/>
          <w:u w:val="single" w:color="auto"/>
          <w:color w:val="auto"/>
        </w:rPr>
        <w:t>Section 2.03(c)</w:t>
      </w:r>
      <w:r>
        <w:rPr>
          <w:rFonts w:ascii="Arial" w:cs="Arial" w:eastAsia="Arial" w:hAnsi="Arial"/>
          <w:sz w:val="18"/>
          <w:szCs w:val="18"/>
          <w:color w:val="auto"/>
        </w:rPr>
        <w:t>, shall be absolute and unconditional and shall not be affected by any circumstance, including (A) any setoff, counterclaim, recoupment, defense or other right that such Lender may have against any L/C Issuer, any Borrower or any other Person for any reason whatsoever; (B) the occurrence or continuance of a Default or Event of Default, or (C) any other occurrence, event or condition, whether or not similar to any of</w:t>
      </w:r>
    </w:p>
    <w:p>
      <w:pPr>
        <w:spacing w:after="0" w:line="366"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86</w:t>
      </w:r>
    </w:p>
    <w:p>
      <w:pPr>
        <w:spacing w:after="0" w:line="10" w:lineRule="exact"/>
        <w:rPr>
          <w:sz w:val="20"/>
          <w:szCs w:val="20"/>
          <w:color w:val="auto"/>
        </w:rPr>
      </w:pPr>
    </w:p>
    <w:p>
      <w:pPr>
        <w:spacing w:after="0"/>
        <w:rPr>
          <w:sz w:val="20"/>
          <w:szCs w:val="20"/>
          <w:color w:val="auto"/>
        </w:rPr>
      </w:pPr>
      <w:r>
        <w:rPr>
          <w:rFonts w:ascii="Arial" w:cs="Arial" w:eastAsia="Arial" w:hAnsi="Arial"/>
          <w:sz w:val="14"/>
          <w:szCs w:val="14"/>
          <w:color w:val="auto"/>
        </w:rPr>
        <w:t>CHAR1\1346423v</w:t>
      </w:r>
      <w:r>
        <w:rPr>
          <w:rFonts w:ascii="Arial" w:cs="Arial" w:eastAsia="Arial" w:hAnsi="Arial"/>
          <w:sz w:val="14"/>
          <w:szCs w:val="14"/>
          <w:color w:val="FF0000"/>
          <w:strike w:val="1"/>
        </w:rPr>
        <w:t>1</w:t>
      </w:r>
      <w:r>
        <w:rPr>
          <w:rFonts w:ascii="Arial" w:cs="Arial" w:eastAsia="Arial" w:hAnsi="Arial"/>
          <w:sz w:val="14"/>
          <w:szCs w:val="14"/>
          <w:u w:val="single" w:color="auto"/>
          <w:color w:val="0000FF"/>
        </w:rPr>
        <w:t>12</w:t>
      </w:r>
    </w:p>
    <w:p>
      <w:pPr>
        <w:sectPr>
          <w:pgSz w:w="11900" w:h="16838" w:orient="portrait"/>
          <w:cols w:equalWidth="0" w:num="1">
            <w:col w:w="11420"/>
          </w:cols>
          <w:pgMar w:left="240" w:top="609" w:right="239" w:bottom="1440" w:gutter="0" w:footer="0" w:header="0"/>
        </w:sectPr>
      </w:pPr>
    </w:p>
    <w:bookmarkStart w:id="138" w:name="page139"/>
    <w:bookmarkEnd w:id="138"/>
    <w:p>
      <w:pPr>
        <w:ind w:left="1300" w:right="80"/>
        <w:spacing w:after="0" w:line="329" w:lineRule="auto"/>
        <w:rPr>
          <w:sz w:val="20"/>
          <w:szCs w:val="20"/>
          <w:color w:val="auto"/>
        </w:rPr>
      </w:pPr>
      <w:r>
        <w:rPr>
          <w:rFonts w:ascii="Arial" w:cs="Arial" w:eastAsia="Arial" w:hAnsi="Arial"/>
          <w:sz w:val="18"/>
          <w:szCs w:val="18"/>
          <w:color w:val="auto"/>
        </w:rPr>
        <w:t xml:space="preserve">the foregoing; provided, however, that each Lender’s obligation to make Loans pursuant to this Section is subject to the conditions set forth in </w:t>
      </w:r>
      <w:r>
        <w:rPr>
          <w:rFonts w:ascii="Arial" w:cs="Arial" w:eastAsia="Arial" w:hAnsi="Arial"/>
          <w:sz w:val="18"/>
          <w:szCs w:val="18"/>
          <w:u w:val="single" w:color="auto"/>
          <w:color w:val="auto"/>
        </w:rPr>
        <w:t>Section 5.02</w:t>
      </w:r>
      <w:r>
        <w:rPr>
          <w:rFonts w:ascii="Arial" w:cs="Arial" w:eastAsia="Arial" w:hAnsi="Arial"/>
          <w:sz w:val="18"/>
          <w:szCs w:val="18"/>
          <w:color w:val="auto"/>
        </w:rPr>
        <w:t xml:space="preserve"> (other than delivery of a Loan Notice). No such making of an L/C Advance shall relieve or otherwise impair the obligation of the applicable Borrowers to reimburse the applicable L/C Issuer for the amount of any payment made by the applicable L/C Issuer under any Letter of Credit, together with interest as provided herein.</w:t>
      </w:r>
    </w:p>
    <w:p>
      <w:pPr>
        <w:spacing w:after="0" w:line="175" w:lineRule="exact"/>
        <w:rPr>
          <w:sz w:val="20"/>
          <w:szCs w:val="20"/>
          <w:color w:val="auto"/>
        </w:rPr>
      </w:pPr>
    </w:p>
    <w:p>
      <w:pPr>
        <w:ind w:left="1300" w:right="80" w:firstLine="653"/>
        <w:spacing w:after="0" w:line="327" w:lineRule="auto"/>
        <w:tabs>
          <w:tab w:leader="none" w:pos="2440" w:val="left"/>
        </w:tabs>
        <w:numPr>
          <w:ilvl w:val="1"/>
          <w:numId w:val="97"/>
        </w:numPr>
        <w:rPr>
          <w:rFonts w:ascii="Arial" w:cs="Arial" w:eastAsia="Arial" w:hAnsi="Arial"/>
          <w:sz w:val="21"/>
          <w:szCs w:val="21"/>
          <w:color w:val="auto"/>
        </w:rPr>
      </w:pPr>
      <w:r>
        <w:rPr>
          <w:rFonts w:ascii="Arial" w:cs="Arial" w:eastAsia="Arial" w:hAnsi="Arial"/>
          <w:sz w:val="19"/>
          <w:szCs w:val="19"/>
          <w:color w:val="auto"/>
        </w:rPr>
        <w:t xml:space="preserve">If any Lender fails to make available to the Administrative Agent for the account of the applicable L/C Issuer any amount required to be paid by such Lender pursuant to the foregoing provisions of this </w:t>
      </w:r>
      <w:r>
        <w:rPr>
          <w:rFonts w:ascii="Arial" w:cs="Arial" w:eastAsia="Arial" w:hAnsi="Arial"/>
          <w:sz w:val="19"/>
          <w:szCs w:val="19"/>
          <w:u w:val="single" w:color="auto"/>
          <w:color w:val="auto"/>
        </w:rPr>
        <w:t>Section 2.03(c)</w:t>
      </w:r>
      <w:r>
        <w:rPr>
          <w:rFonts w:ascii="Arial" w:cs="Arial" w:eastAsia="Arial" w:hAnsi="Arial"/>
          <w:sz w:val="19"/>
          <w:szCs w:val="19"/>
          <w:color w:val="auto"/>
        </w:rPr>
        <w:t xml:space="preserve"> by the time specified in </w:t>
      </w:r>
      <w:r>
        <w:rPr>
          <w:rFonts w:ascii="Arial" w:cs="Arial" w:eastAsia="Arial" w:hAnsi="Arial"/>
          <w:sz w:val="19"/>
          <w:szCs w:val="19"/>
          <w:u w:val="single" w:color="auto"/>
          <w:color w:val="auto"/>
        </w:rPr>
        <w:t>Section 2.03(c)(ii)</w:t>
      </w:r>
      <w:r>
        <w:rPr>
          <w:rFonts w:ascii="Arial" w:cs="Arial" w:eastAsia="Arial" w:hAnsi="Arial"/>
          <w:sz w:val="19"/>
          <w:szCs w:val="19"/>
          <w:color w:val="auto"/>
        </w:rPr>
        <w:t xml:space="preserve">, the applicable L/C Issuer shall be entitled to recover from such Lender (acting through the Administrative Agent), on demand, such amount with interest thereon for the period from the date such payment is required to the date on which such payment is immediately available to the applicable L/C Issuer at a rate per annum equal to the applicable Overnight Rate from time to time in effect, </w:t>
      </w:r>
      <w:r>
        <w:rPr>
          <w:rFonts w:ascii="Arial" w:cs="Arial" w:eastAsia="Arial" w:hAnsi="Arial"/>
          <w:sz w:val="19"/>
          <w:szCs w:val="19"/>
          <w:u w:val="single" w:color="auto"/>
          <w:color w:val="auto"/>
        </w:rPr>
        <w:t>plus</w:t>
      </w:r>
      <w:r>
        <w:rPr>
          <w:rFonts w:ascii="Arial" w:cs="Arial" w:eastAsia="Arial" w:hAnsi="Arial"/>
          <w:sz w:val="19"/>
          <w:szCs w:val="19"/>
          <w:color w:val="auto"/>
        </w:rPr>
        <w:t xml:space="preserve"> any administrative, processing or similar fees customarily charged by the applicable L/C Issuer in connection with the foregoing. If such Lender pays such amount (with interest and fees as aforesaid), the amount so paid shall constitute such Lender’s Loan included in the relevant Borrowing or L/C Advance in respect of the relevant L/C Borrowing, as the case may be. A certificate of the applicable L/C Issuer submitted to any Lender (through the Administrative Agent) with respect to any amounts owing under this </w:t>
      </w:r>
      <w:r>
        <w:rPr>
          <w:rFonts w:ascii="Arial" w:cs="Arial" w:eastAsia="Arial" w:hAnsi="Arial"/>
          <w:sz w:val="19"/>
          <w:szCs w:val="19"/>
          <w:u w:val="single" w:color="auto"/>
          <w:color w:val="auto"/>
        </w:rPr>
        <w:t>clause (vi)</w:t>
      </w:r>
      <w:r>
        <w:rPr>
          <w:rFonts w:ascii="Arial" w:cs="Arial" w:eastAsia="Arial" w:hAnsi="Arial"/>
          <w:sz w:val="19"/>
          <w:szCs w:val="19"/>
          <w:color w:val="auto"/>
        </w:rPr>
        <w:t xml:space="preserve"> shall be conclusive absent manifest error.</w:t>
      </w:r>
    </w:p>
    <w:p>
      <w:pPr>
        <w:spacing w:after="0" w:line="178" w:lineRule="exact"/>
        <w:rPr>
          <w:rFonts w:ascii="Arial" w:cs="Arial" w:eastAsia="Arial" w:hAnsi="Arial"/>
          <w:sz w:val="21"/>
          <w:szCs w:val="21"/>
          <w:color w:val="auto"/>
        </w:rPr>
      </w:pPr>
    </w:p>
    <w:p>
      <w:pPr>
        <w:ind w:left="1720" w:hanging="415"/>
        <w:spacing w:after="0"/>
        <w:tabs>
          <w:tab w:leader="none" w:pos="1720" w:val="left"/>
        </w:tabs>
        <w:numPr>
          <w:ilvl w:val="0"/>
          <w:numId w:val="98"/>
        </w:numPr>
        <w:rPr>
          <w:rFonts w:ascii="Arial" w:cs="Arial" w:eastAsia="Arial" w:hAnsi="Arial"/>
          <w:sz w:val="20"/>
          <w:szCs w:val="20"/>
          <w:color w:val="auto"/>
        </w:rPr>
      </w:pPr>
      <w:r>
        <w:rPr>
          <w:rFonts w:ascii="Arial" w:cs="Arial" w:eastAsia="Arial" w:hAnsi="Arial"/>
          <w:sz w:val="20"/>
          <w:szCs w:val="20"/>
          <w:color w:val="auto"/>
        </w:rPr>
        <w:t>Repayment of Participations.</w:t>
      </w:r>
    </w:p>
    <w:p>
      <w:pPr>
        <w:spacing w:after="0" w:line="283" w:lineRule="exact"/>
        <w:rPr>
          <w:rFonts w:ascii="Arial" w:cs="Arial" w:eastAsia="Arial" w:hAnsi="Arial"/>
          <w:sz w:val="20"/>
          <w:szCs w:val="20"/>
          <w:color w:val="auto"/>
        </w:rPr>
      </w:pPr>
    </w:p>
    <w:p>
      <w:pPr>
        <w:ind w:left="1300" w:right="40" w:firstLine="653"/>
        <w:spacing w:after="0" w:line="352" w:lineRule="auto"/>
        <w:tabs>
          <w:tab w:leader="none" w:pos="2332" w:val="left"/>
        </w:tabs>
        <w:numPr>
          <w:ilvl w:val="1"/>
          <w:numId w:val="98"/>
        </w:numPr>
        <w:rPr>
          <w:rFonts w:ascii="Arial" w:cs="Arial" w:eastAsia="Arial" w:hAnsi="Arial"/>
          <w:sz w:val="19"/>
          <w:szCs w:val="19"/>
          <w:color w:val="auto"/>
        </w:rPr>
      </w:pPr>
      <w:r>
        <w:rPr>
          <w:rFonts w:ascii="Arial" w:cs="Arial" w:eastAsia="Arial" w:hAnsi="Arial"/>
          <w:sz w:val="18"/>
          <w:szCs w:val="18"/>
          <w:color w:val="auto"/>
        </w:rPr>
        <w:t xml:space="preserve">At any time after an L/C Issuer has made a payment under any Letter of Credit and has received from any Lender such Lender’s L/C Advance in respect of such payment in accordance with </w:t>
      </w:r>
      <w:r>
        <w:rPr>
          <w:rFonts w:ascii="Arial" w:cs="Arial" w:eastAsia="Arial" w:hAnsi="Arial"/>
          <w:sz w:val="18"/>
          <w:szCs w:val="18"/>
          <w:u w:val="single" w:color="auto"/>
          <w:color w:val="auto"/>
        </w:rPr>
        <w:t>Section 2.03(c)</w:t>
      </w:r>
      <w:r>
        <w:rPr>
          <w:rFonts w:ascii="Arial" w:cs="Arial" w:eastAsia="Arial" w:hAnsi="Arial"/>
          <w:sz w:val="18"/>
          <w:szCs w:val="18"/>
          <w:color w:val="auto"/>
        </w:rPr>
        <w:t>, if the Administrative Agent receives for the account of the applicable L/C Issuer any payment in respect of the related L/C Unreimbursed Amount or interest thereon (whether directly from a Borrower or otherwise, including proceeds of Cash Collateral applied thereto by the Administrative Agent), the Administrative Agent will distribute to such Lender its Revolving Commitment Percentage thereof (appropriately adjusted, in the case of interest payments, to reflect the period of time during which such Lender’s L/C Advance was outstanding) in the same funds as those received by the Administrative Agent.</w:t>
      </w:r>
    </w:p>
    <w:p>
      <w:pPr>
        <w:spacing w:after="0" w:line="167" w:lineRule="exact"/>
        <w:rPr>
          <w:rFonts w:ascii="Arial" w:cs="Arial" w:eastAsia="Arial" w:hAnsi="Arial"/>
          <w:sz w:val="19"/>
          <w:szCs w:val="19"/>
          <w:color w:val="auto"/>
        </w:rPr>
      </w:pPr>
    </w:p>
    <w:p>
      <w:pPr>
        <w:ind w:left="2400" w:hanging="447"/>
        <w:spacing w:after="0"/>
        <w:tabs>
          <w:tab w:leader="none" w:pos="2400" w:val="left"/>
        </w:tabs>
        <w:numPr>
          <w:ilvl w:val="1"/>
          <w:numId w:val="98"/>
        </w:numPr>
        <w:rPr>
          <w:rFonts w:ascii="Arial" w:cs="Arial" w:eastAsia="Arial" w:hAnsi="Arial"/>
          <w:sz w:val="19"/>
          <w:szCs w:val="19"/>
          <w:color w:val="auto"/>
        </w:rPr>
      </w:pPr>
      <w:r>
        <w:rPr>
          <w:rFonts w:ascii="Arial" w:cs="Arial" w:eastAsia="Arial" w:hAnsi="Arial"/>
          <w:sz w:val="18"/>
          <w:szCs w:val="18"/>
          <w:color w:val="auto"/>
        </w:rPr>
        <w:t xml:space="preserve">If any payment received by the Administrative Agent for the account of an L/C Issuer pursuant to </w:t>
      </w:r>
      <w:r>
        <w:rPr>
          <w:rFonts w:ascii="Arial" w:cs="Arial" w:eastAsia="Arial" w:hAnsi="Arial"/>
          <w:sz w:val="18"/>
          <w:szCs w:val="18"/>
          <w:u w:val="single" w:color="auto"/>
          <w:color w:val="auto"/>
        </w:rPr>
        <w:t>Section 2.03(c)</w:t>
      </w:r>
    </w:p>
    <w:p>
      <w:pPr>
        <w:spacing w:after="0" w:line="92" w:lineRule="exact"/>
        <w:rPr>
          <w:rFonts w:ascii="Arial" w:cs="Arial" w:eastAsia="Arial" w:hAnsi="Arial"/>
          <w:sz w:val="19"/>
          <w:szCs w:val="19"/>
          <w:color w:val="auto"/>
        </w:rPr>
      </w:pPr>
    </w:p>
    <w:p>
      <w:pPr>
        <w:ind w:left="1540" w:hanging="235"/>
        <w:spacing w:after="0"/>
        <w:tabs>
          <w:tab w:leader="none" w:pos="1540" w:val="left"/>
        </w:tabs>
        <w:numPr>
          <w:ilvl w:val="0"/>
          <w:numId w:val="99"/>
        </w:numPr>
        <w:rPr>
          <w:rFonts w:ascii="Arial" w:cs="Arial" w:eastAsia="Arial" w:hAnsi="Arial"/>
          <w:sz w:val="18"/>
          <w:szCs w:val="18"/>
          <w:u w:val="single" w:color="auto"/>
          <w:color w:val="auto"/>
        </w:rPr>
      </w:pPr>
      <w:r>
        <w:rPr>
          <w:rFonts w:ascii="Arial" w:cs="Arial" w:eastAsia="Arial" w:hAnsi="Arial"/>
          <w:sz w:val="18"/>
          <w:szCs w:val="18"/>
          <w:color w:val="auto"/>
        </w:rPr>
        <w:t xml:space="preserve">is required to be returned under any of the circumstances described in </w:t>
      </w:r>
      <w:r>
        <w:rPr>
          <w:rFonts w:ascii="Arial" w:cs="Arial" w:eastAsia="Arial" w:hAnsi="Arial"/>
          <w:sz w:val="18"/>
          <w:szCs w:val="18"/>
          <w:u w:val="single" w:color="auto"/>
          <w:color w:val="auto"/>
        </w:rPr>
        <w:t>Section 11.05</w:t>
      </w:r>
      <w:r>
        <w:rPr>
          <w:rFonts w:ascii="Arial" w:cs="Arial" w:eastAsia="Arial" w:hAnsi="Arial"/>
          <w:sz w:val="18"/>
          <w:szCs w:val="18"/>
          <w:color w:val="auto"/>
        </w:rPr>
        <w:t xml:space="preserve"> (including pursuant to any settlement</w:t>
      </w:r>
    </w:p>
    <w:p>
      <w:pPr>
        <w:spacing w:after="0" w:line="90" w:lineRule="exact"/>
        <w:rPr>
          <w:rFonts w:ascii="Arial" w:cs="Arial" w:eastAsia="Arial" w:hAnsi="Arial"/>
          <w:sz w:val="18"/>
          <w:szCs w:val="18"/>
          <w:u w:val="single" w:color="auto"/>
          <w:color w:val="auto"/>
        </w:rPr>
      </w:pPr>
    </w:p>
    <w:p>
      <w:pPr>
        <w:ind w:left="1300"/>
        <w:spacing w:after="0" w:line="343" w:lineRule="auto"/>
        <w:rPr>
          <w:rFonts w:ascii="Arial" w:cs="Arial" w:eastAsia="Arial" w:hAnsi="Arial"/>
          <w:sz w:val="18"/>
          <w:szCs w:val="18"/>
          <w:u w:val="single" w:color="auto"/>
          <w:color w:val="auto"/>
        </w:rPr>
      </w:pPr>
      <w:r>
        <w:rPr>
          <w:rFonts w:ascii="Arial" w:cs="Arial" w:eastAsia="Arial" w:hAnsi="Arial"/>
          <w:sz w:val="19"/>
          <w:szCs w:val="19"/>
          <w:color w:val="auto"/>
        </w:rPr>
        <w:t>entered into by the applicable L/C Issuer in its discretion), each Lender shall pay to the Administrative Agent for the account of the applicable L/C Issuer its Revolving Commitment Percentage thereof on demand of the Administrative Agent, plus interest thereon from the date of such demand to the date such amount is returned by such</w:t>
      </w:r>
    </w:p>
    <w:p>
      <w:pPr>
        <w:spacing w:after="0" w:line="373"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87</w:t>
      </w:r>
    </w:p>
    <w:p>
      <w:pPr>
        <w:spacing w:after="0" w:line="10" w:lineRule="exact"/>
        <w:rPr>
          <w:sz w:val="20"/>
          <w:szCs w:val="20"/>
          <w:color w:val="auto"/>
        </w:rPr>
      </w:pPr>
    </w:p>
    <w:p>
      <w:pPr>
        <w:spacing w:after="0"/>
        <w:rPr>
          <w:sz w:val="20"/>
          <w:szCs w:val="20"/>
          <w:color w:val="auto"/>
        </w:rPr>
      </w:pPr>
      <w:r>
        <w:rPr>
          <w:rFonts w:ascii="Arial" w:cs="Arial" w:eastAsia="Arial" w:hAnsi="Arial"/>
          <w:sz w:val="14"/>
          <w:szCs w:val="14"/>
          <w:color w:val="auto"/>
        </w:rPr>
        <w:t>CHAR1\1346423v</w:t>
      </w:r>
      <w:r>
        <w:rPr>
          <w:rFonts w:ascii="Arial" w:cs="Arial" w:eastAsia="Arial" w:hAnsi="Arial"/>
          <w:sz w:val="14"/>
          <w:szCs w:val="14"/>
          <w:color w:val="FF0000"/>
          <w:strike w:val="1"/>
        </w:rPr>
        <w:t>1</w:t>
      </w:r>
      <w:r>
        <w:rPr>
          <w:rFonts w:ascii="Arial" w:cs="Arial" w:eastAsia="Arial" w:hAnsi="Arial"/>
          <w:sz w:val="14"/>
          <w:szCs w:val="14"/>
          <w:u w:val="single" w:color="auto"/>
          <w:color w:val="0000FF"/>
        </w:rPr>
        <w:t>12</w:t>
      </w:r>
    </w:p>
    <w:p>
      <w:pPr>
        <w:sectPr>
          <w:pgSz w:w="11900" w:h="16838" w:orient="portrait"/>
          <w:cols w:equalWidth="0" w:num="1">
            <w:col w:w="11400"/>
          </w:cols>
          <w:pgMar w:left="240" w:top="609" w:right="259" w:bottom="1440" w:gutter="0" w:footer="0" w:header="0"/>
        </w:sectPr>
      </w:pPr>
    </w:p>
    <w:bookmarkStart w:id="139" w:name="page140"/>
    <w:bookmarkEnd w:id="139"/>
    <w:p>
      <w:pPr>
        <w:ind w:left="1300" w:right="180"/>
        <w:spacing w:after="0" w:line="331" w:lineRule="auto"/>
        <w:rPr>
          <w:sz w:val="20"/>
          <w:szCs w:val="20"/>
          <w:color w:val="auto"/>
        </w:rPr>
      </w:pPr>
      <w:r>
        <w:rPr>
          <w:rFonts w:ascii="Arial" w:cs="Arial" w:eastAsia="Arial" w:hAnsi="Arial"/>
          <w:sz w:val="19"/>
          <w:szCs w:val="19"/>
          <w:color w:val="auto"/>
        </w:rPr>
        <w:t>Lender, at a rate per annum equal to the Overnight Rate from time to time in effect. The obligations of the Lenders under this clause shall survive the payment in full of the Obligations and the termination of this Credit Agreement.</w:t>
      </w:r>
    </w:p>
    <w:p>
      <w:pPr>
        <w:spacing w:after="0" w:line="154" w:lineRule="exact"/>
        <w:rPr>
          <w:sz w:val="20"/>
          <w:szCs w:val="20"/>
          <w:color w:val="auto"/>
        </w:rPr>
      </w:pPr>
    </w:p>
    <w:p>
      <w:pPr>
        <w:ind w:left="1700" w:hanging="395"/>
        <w:spacing w:after="0"/>
        <w:tabs>
          <w:tab w:leader="none" w:pos="1700" w:val="left"/>
        </w:tabs>
        <w:numPr>
          <w:ilvl w:val="0"/>
          <w:numId w:val="100"/>
        </w:numPr>
        <w:rPr>
          <w:rFonts w:ascii="Arial" w:cs="Arial" w:eastAsia="Arial" w:hAnsi="Arial"/>
          <w:sz w:val="18"/>
          <w:szCs w:val="18"/>
          <w:color w:val="auto"/>
        </w:rPr>
      </w:pPr>
      <w:r>
        <w:rPr>
          <w:rFonts w:ascii="Arial" w:cs="Arial" w:eastAsia="Arial" w:hAnsi="Arial"/>
          <w:sz w:val="18"/>
          <w:szCs w:val="18"/>
          <w:u w:val="single" w:color="auto"/>
          <w:color w:val="auto"/>
        </w:rPr>
        <w:t>Obligations Absolute</w:t>
      </w:r>
      <w:r>
        <w:rPr>
          <w:rFonts w:ascii="Arial" w:cs="Arial" w:eastAsia="Arial" w:hAnsi="Arial"/>
          <w:sz w:val="18"/>
          <w:szCs w:val="18"/>
          <w:color w:val="auto"/>
        </w:rPr>
        <w:t>. The obligation of each Borrower to reimburse the applicable L/C Issuer for each drawing under</w:t>
      </w:r>
    </w:p>
    <w:p>
      <w:pPr>
        <w:spacing w:after="0" w:line="76" w:lineRule="exact"/>
        <w:rPr>
          <w:rFonts w:ascii="Arial" w:cs="Arial" w:eastAsia="Arial" w:hAnsi="Arial"/>
          <w:sz w:val="18"/>
          <w:szCs w:val="18"/>
          <w:color w:val="auto"/>
        </w:rPr>
      </w:pPr>
    </w:p>
    <w:p>
      <w:pPr>
        <w:ind w:left="660" w:right="320"/>
        <w:spacing w:after="0" w:line="303" w:lineRule="auto"/>
        <w:rPr>
          <w:rFonts w:ascii="Arial" w:cs="Arial" w:eastAsia="Arial" w:hAnsi="Arial"/>
          <w:sz w:val="18"/>
          <w:szCs w:val="18"/>
          <w:color w:val="auto"/>
        </w:rPr>
      </w:pPr>
      <w:r>
        <w:rPr>
          <w:rFonts w:ascii="Arial" w:cs="Arial" w:eastAsia="Arial" w:hAnsi="Arial"/>
          <w:sz w:val="20"/>
          <w:szCs w:val="20"/>
          <w:color w:val="auto"/>
        </w:rPr>
        <w:t>each Letter of Credit and to repay each L/C Borrowing shall be absolute, unconditional and irrevocable, and shall be paid strictly in accordance with the terms of this Credit Agreement under all circumstances, including the following:</w:t>
      </w:r>
    </w:p>
    <w:p>
      <w:pPr>
        <w:spacing w:after="0" w:line="186" w:lineRule="exact"/>
        <w:rPr>
          <w:rFonts w:ascii="Arial" w:cs="Arial" w:eastAsia="Arial" w:hAnsi="Arial"/>
          <w:sz w:val="18"/>
          <w:szCs w:val="18"/>
          <w:color w:val="auto"/>
        </w:rPr>
      </w:pPr>
    </w:p>
    <w:p>
      <w:pPr>
        <w:ind w:left="2340" w:hanging="387"/>
        <w:spacing w:after="0"/>
        <w:tabs>
          <w:tab w:leader="none" w:pos="2340" w:val="left"/>
        </w:tabs>
        <w:numPr>
          <w:ilvl w:val="1"/>
          <w:numId w:val="100"/>
        </w:numPr>
        <w:rPr>
          <w:rFonts w:ascii="Arial" w:cs="Arial" w:eastAsia="Arial" w:hAnsi="Arial"/>
          <w:sz w:val="22"/>
          <w:szCs w:val="22"/>
          <w:color w:val="auto"/>
        </w:rPr>
      </w:pPr>
      <w:r>
        <w:rPr>
          <w:rFonts w:ascii="Arial" w:cs="Arial" w:eastAsia="Arial" w:hAnsi="Arial"/>
          <w:sz w:val="20"/>
          <w:szCs w:val="20"/>
          <w:color w:val="auto"/>
        </w:rPr>
        <w:t>any lack of validity or enforceability of such Letter of Credit, this Credit Agreement or any other Credit</w:t>
      </w:r>
    </w:p>
    <w:p>
      <w:pPr>
        <w:spacing w:after="0" w:line="60" w:lineRule="exact"/>
        <w:rPr>
          <w:rFonts w:ascii="Arial" w:cs="Arial" w:eastAsia="Arial" w:hAnsi="Arial"/>
          <w:sz w:val="22"/>
          <w:szCs w:val="22"/>
          <w:color w:val="auto"/>
        </w:rPr>
      </w:pPr>
    </w:p>
    <w:p>
      <w:pPr>
        <w:ind w:left="1300"/>
        <w:spacing w:after="0"/>
        <w:rPr>
          <w:rFonts w:ascii="Arial" w:cs="Arial" w:eastAsia="Arial" w:hAnsi="Arial"/>
          <w:sz w:val="22"/>
          <w:szCs w:val="22"/>
          <w:color w:val="auto"/>
        </w:rPr>
      </w:pPr>
      <w:r>
        <w:rPr>
          <w:rFonts w:ascii="Arial" w:cs="Arial" w:eastAsia="Arial" w:hAnsi="Arial"/>
          <w:sz w:val="20"/>
          <w:szCs w:val="20"/>
          <w:color w:val="auto"/>
        </w:rPr>
        <w:t>Document;</w:t>
      </w:r>
    </w:p>
    <w:p>
      <w:pPr>
        <w:spacing w:after="0" w:line="283" w:lineRule="exact"/>
        <w:rPr>
          <w:rFonts w:ascii="Arial" w:cs="Arial" w:eastAsia="Arial" w:hAnsi="Arial"/>
          <w:sz w:val="22"/>
          <w:szCs w:val="22"/>
          <w:color w:val="auto"/>
        </w:rPr>
      </w:pPr>
    </w:p>
    <w:p>
      <w:pPr>
        <w:ind w:left="1300" w:right="180" w:firstLine="653"/>
        <w:spacing w:after="0" w:line="311" w:lineRule="auto"/>
        <w:tabs>
          <w:tab w:leader="none" w:pos="2392" w:val="left"/>
        </w:tabs>
        <w:numPr>
          <w:ilvl w:val="1"/>
          <w:numId w:val="100"/>
        </w:numPr>
        <w:rPr>
          <w:rFonts w:ascii="Arial" w:cs="Arial" w:eastAsia="Arial" w:hAnsi="Arial"/>
          <w:sz w:val="22"/>
          <w:szCs w:val="22"/>
          <w:color w:val="auto"/>
        </w:rPr>
      </w:pPr>
      <w:r>
        <w:rPr>
          <w:rFonts w:ascii="Arial" w:cs="Arial" w:eastAsia="Arial" w:hAnsi="Arial"/>
          <w:sz w:val="20"/>
          <w:szCs w:val="20"/>
          <w:color w:val="auto"/>
        </w:rPr>
        <w:t>the existence of any claim, counterclaim, setoff, defense or other right that a Borrower or any Subsidiary may have at any time against any beneficiary or any transferee of such Letter of Credit (or any Person for whom any such beneficiary or any such transferee may be acting), any L/C Issuer or any other Person, whether in connection with this Credit Agreement, the transactions contemplated hereby or by such Letter of Credit or any agreement or instrument relating thereto, or any unrelated transaction;</w:t>
      </w:r>
    </w:p>
    <w:p>
      <w:pPr>
        <w:spacing w:after="0" w:line="195" w:lineRule="exact"/>
        <w:rPr>
          <w:rFonts w:ascii="Arial" w:cs="Arial" w:eastAsia="Arial" w:hAnsi="Arial"/>
          <w:sz w:val="22"/>
          <w:szCs w:val="22"/>
          <w:color w:val="auto"/>
        </w:rPr>
      </w:pPr>
    </w:p>
    <w:p>
      <w:pPr>
        <w:ind w:left="1300" w:right="140" w:firstLine="653"/>
        <w:spacing w:after="0" w:line="395" w:lineRule="auto"/>
        <w:tabs>
          <w:tab w:leader="none" w:pos="2452" w:val="left"/>
        </w:tabs>
        <w:numPr>
          <w:ilvl w:val="1"/>
          <w:numId w:val="100"/>
        </w:numPr>
        <w:rPr>
          <w:rFonts w:ascii="Arial" w:cs="Arial" w:eastAsia="Arial" w:hAnsi="Arial"/>
          <w:sz w:val="18"/>
          <w:szCs w:val="18"/>
          <w:color w:val="auto"/>
        </w:rPr>
      </w:pPr>
      <w:r>
        <w:rPr>
          <w:rFonts w:ascii="Arial" w:cs="Arial" w:eastAsia="Arial" w:hAnsi="Arial"/>
          <w:sz w:val="17"/>
          <w:szCs w:val="17"/>
          <w:color w:val="auto"/>
        </w:rPr>
        <w:t>any draft, demand, certificate or other document presented under such Letter of Credit proving to be forged, fraudulent, invalid or insufficient in any respect or any statement therein being untrue or inaccurate in any respect; or any loss or delay in the transmission or otherwise of any document required in order to make a drawing under such Letter of Credit;</w:t>
      </w:r>
    </w:p>
    <w:p>
      <w:pPr>
        <w:spacing w:after="0" w:line="96" w:lineRule="exact"/>
        <w:rPr>
          <w:sz w:val="20"/>
          <w:szCs w:val="20"/>
          <w:color w:val="auto"/>
        </w:rPr>
      </w:pPr>
    </w:p>
    <w:p>
      <w:pPr>
        <w:ind w:left="660" w:firstLine="645"/>
        <w:spacing w:after="0" w:line="233" w:lineRule="exact"/>
        <w:tabs>
          <w:tab w:leader="none" w:pos="1792" w:val="left"/>
        </w:tabs>
        <w:numPr>
          <w:ilvl w:val="0"/>
          <w:numId w:val="101"/>
        </w:numPr>
        <w:rPr>
          <w:rFonts w:ascii="Arial" w:cs="Arial" w:eastAsia="Arial" w:hAnsi="Arial"/>
          <w:sz w:val="20"/>
          <w:szCs w:val="20"/>
          <w:color w:val="auto"/>
        </w:rPr>
      </w:pPr>
      <w:r>
        <w:rPr>
          <w:rFonts w:ascii="Arial" w:cs="Arial" w:eastAsia="Arial" w:hAnsi="Arial"/>
          <w:sz w:val="20"/>
          <w:szCs w:val="20"/>
          <w:color w:val="auto"/>
        </w:rPr>
        <w:t>any payment by an L/C Issuer under such Letter of Credit against presentation of a draft or certificate that does not strictly comply with the terms of such Letter of Credit; or any payment made by an L/C Issuer under such Letter of Credit to any Person purporting to be a trustee in bankruptcy, debtor</w:t>
      </w:r>
      <w:r>
        <w:rPr>
          <w:rFonts w:ascii="MS PGothic" w:cs="MS PGothic" w:eastAsia="MS PGothic" w:hAnsi="MS PGothic"/>
          <w:sz w:val="20"/>
          <w:szCs w:val="20"/>
          <w:color w:val="auto"/>
        </w:rPr>
        <w:t>‑</w:t>
      </w:r>
      <w:r>
        <w:rPr>
          <w:rFonts w:ascii="Arial" w:cs="Arial" w:eastAsia="Arial" w:hAnsi="Arial"/>
          <w:sz w:val="20"/>
          <w:szCs w:val="20"/>
          <w:color w:val="auto"/>
        </w:rPr>
        <w:t>in</w:t>
      </w:r>
      <w:r>
        <w:rPr>
          <w:rFonts w:ascii="MS PGothic" w:cs="MS PGothic" w:eastAsia="MS PGothic" w:hAnsi="MS PGothic"/>
          <w:sz w:val="20"/>
          <w:szCs w:val="20"/>
          <w:color w:val="auto"/>
        </w:rPr>
        <w:t>‑</w:t>
      </w:r>
      <w:r>
        <w:rPr>
          <w:rFonts w:ascii="Arial" w:cs="Arial" w:eastAsia="Arial" w:hAnsi="Arial"/>
          <w:sz w:val="20"/>
          <w:szCs w:val="20"/>
          <w:color w:val="auto"/>
        </w:rPr>
        <w:t>possession, assignee for the benefit of creditors, liquidator, receiver or other representative of or successor to any beneficiary or any transferee of such Letter of Credit, including any arising in connection with any proceeding under any Debtor Relief Law;</w:t>
      </w:r>
    </w:p>
    <w:p>
      <w:pPr>
        <w:spacing w:after="0" w:line="199" w:lineRule="exact"/>
        <w:rPr>
          <w:rFonts w:ascii="Arial" w:cs="Arial" w:eastAsia="Arial" w:hAnsi="Arial"/>
          <w:sz w:val="20"/>
          <w:szCs w:val="20"/>
          <w:color w:val="auto"/>
        </w:rPr>
      </w:pPr>
    </w:p>
    <w:p>
      <w:pPr>
        <w:ind w:left="660" w:right="200" w:firstLine="645"/>
        <w:spacing w:after="0" w:line="260" w:lineRule="auto"/>
        <w:tabs>
          <w:tab w:leader="none" w:pos="1737" w:val="left"/>
        </w:tabs>
        <w:numPr>
          <w:ilvl w:val="0"/>
          <w:numId w:val="101"/>
        </w:numPr>
        <w:rPr>
          <w:rFonts w:ascii="Arial" w:cs="Arial" w:eastAsia="Arial" w:hAnsi="Arial"/>
          <w:sz w:val="20"/>
          <w:szCs w:val="20"/>
          <w:color w:val="auto"/>
        </w:rPr>
      </w:pPr>
      <w:r>
        <w:rPr>
          <w:rFonts w:ascii="Arial" w:cs="Arial" w:eastAsia="Arial" w:hAnsi="Arial"/>
          <w:sz w:val="20"/>
          <w:szCs w:val="20"/>
          <w:color w:val="auto"/>
        </w:rPr>
        <w:t>any adverse change in the relevant exchange rates or in the availability of the relevant currency to the Borrowers or any Subsidiary or in the relevant currency markets generally; or</w:t>
      </w:r>
    </w:p>
    <w:p>
      <w:pPr>
        <w:spacing w:after="0" w:line="217" w:lineRule="exact"/>
        <w:rPr>
          <w:sz w:val="20"/>
          <w:szCs w:val="20"/>
          <w:color w:val="auto"/>
        </w:rPr>
      </w:pPr>
    </w:p>
    <w:p>
      <w:pPr>
        <w:jc w:val="both"/>
        <w:ind w:left="1300" w:right="200" w:firstLine="653"/>
        <w:spacing w:after="0" w:line="434" w:lineRule="auto"/>
        <w:tabs>
          <w:tab w:leader="none" w:pos="2440" w:val="left"/>
        </w:tabs>
        <w:numPr>
          <w:ilvl w:val="0"/>
          <w:numId w:val="102"/>
        </w:numPr>
        <w:rPr>
          <w:rFonts w:ascii="Arial" w:cs="Arial" w:eastAsia="Arial" w:hAnsi="Arial"/>
          <w:sz w:val="18"/>
          <w:szCs w:val="18"/>
          <w:color w:val="auto"/>
        </w:rPr>
      </w:pPr>
      <w:r>
        <w:rPr>
          <w:rFonts w:ascii="Arial" w:cs="Arial" w:eastAsia="Arial" w:hAnsi="Arial"/>
          <w:sz w:val="17"/>
          <w:szCs w:val="17"/>
          <w:color w:val="auto"/>
        </w:rPr>
        <w:t>any other circumstance or happening whatsoever, whether or not similar to any of the foregoing, including any other circumstance that might otherwise constitute a defense available to, or a discharge of, any Borrower or any Subsidiary.</w:t>
      </w:r>
    </w:p>
    <w:p>
      <w:pPr>
        <w:spacing w:after="0" w:line="56" w:lineRule="exact"/>
        <w:rPr>
          <w:sz w:val="20"/>
          <w:szCs w:val="20"/>
          <w:color w:val="auto"/>
        </w:rPr>
      </w:pPr>
    </w:p>
    <w:p>
      <w:pPr>
        <w:jc w:val="both"/>
        <w:ind w:right="60" w:firstLine="648"/>
        <w:spacing w:after="0" w:line="250" w:lineRule="auto"/>
        <w:rPr>
          <w:sz w:val="20"/>
          <w:szCs w:val="20"/>
          <w:color w:val="auto"/>
        </w:rPr>
      </w:pPr>
      <w:r>
        <w:rPr>
          <w:rFonts w:ascii="Arial" w:cs="Arial" w:eastAsia="Arial" w:hAnsi="Arial"/>
          <w:sz w:val="20"/>
          <w:szCs w:val="20"/>
          <w:color w:val="auto"/>
        </w:rPr>
        <w:t>Each Borrower shall promptly examine a copy of each Letter of Credit and each amendment thereto that is delivered to such Borrower and, in the event of any claim of noncompliance with such Borrower’s instructions or other irregularity, such Borrower will immediately notify the applicable L/C</w:t>
      </w:r>
    </w:p>
    <w:p>
      <w:pPr>
        <w:spacing w:after="0" w:line="200" w:lineRule="exact"/>
        <w:rPr>
          <w:sz w:val="20"/>
          <w:szCs w:val="20"/>
          <w:color w:val="auto"/>
        </w:rPr>
      </w:pPr>
    </w:p>
    <w:p>
      <w:pPr>
        <w:spacing w:after="0" w:line="229" w:lineRule="exact"/>
        <w:rPr>
          <w:sz w:val="20"/>
          <w:szCs w:val="20"/>
          <w:color w:val="auto"/>
        </w:rPr>
      </w:pPr>
    </w:p>
    <w:p>
      <w:pPr>
        <w:jc w:val="center"/>
        <w:ind w:right="-39"/>
        <w:spacing w:after="0"/>
        <w:rPr>
          <w:sz w:val="20"/>
          <w:szCs w:val="20"/>
          <w:color w:val="auto"/>
        </w:rPr>
      </w:pPr>
      <w:r>
        <w:rPr>
          <w:rFonts w:ascii="Arial" w:cs="Arial" w:eastAsia="Arial" w:hAnsi="Arial"/>
          <w:sz w:val="20"/>
          <w:szCs w:val="20"/>
          <w:color w:val="auto"/>
        </w:rPr>
        <w:t>88</w:t>
      </w:r>
    </w:p>
    <w:p>
      <w:pPr>
        <w:spacing w:after="0" w:line="10" w:lineRule="exact"/>
        <w:rPr>
          <w:sz w:val="20"/>
          <w:szCs w:val="20"/>
          <w:color w:val="auto"/>
        </w:rPr>
      </w:pPr>
    </w:p>
    <w:p>
      <w:pPr>
        <w:spacing w:after="0"/>
        <w:rPr>
          <w:sz w:val="20"/>
          <w:szCs w:val="20"/>
          <w:color w:val="auto"/>
        </w:rPr>
      </w:pPr>
      <w:r>
        <w:rPr>
          <w:rFonts w:ascii="Arial" w:cs="Arial" w:eastAsia="Arial" w:hAnsi="Arial"/>
          <w:sz w:val="14"/>
          <w:szCs w:val="14"/>
          <w:color w:val="auto"/>
        </w:rPr>
        <w:t>CHAR1\1346423v</w:t>
      </w:r>
      <w:r>
        <w:rPr>
          <w:rFonts w:ascii="Arial" w:cs="Arial" w:eastAsia="Arial" w:hAnsi="Arial"/>
          <w:sz w:val="14"/>
          <w:szCs w:val="14"/>
          <w:color w:val="FF0000"/>
          <w:strike w:val="1"/>
        </w:rPr>
        <w:t>1</w:t>
      </w:r>
      <w:r>
        <w:rPr>
          <w:rFonts w:ascii="Arial" w:cs="Arial" w:eastAsia="Arial" w:hAnsi="Arial"/>
          <w:sz w:val="14"/>
          <w:szCs w:val="14"/>
          <w:u w:val="single" w:color="auto"/>
          <w:color w:val="0000FF"/>
        </w:rPr>
        <w:t>12</w:t>
      </w:r>
    </w:p>
    <w:p>
      <w:pPr>
        <w:sectPr>
          <w:pgSz w:w="11900" w:h="16838" w:orient="portrait"/>
          <w:cols w:equalWidth="0" w:num="1">
            <w:col w:w="11400"/>
          </w:cols>
          <w:pgMar w:left="240" w:top="609" w:right="259" w:bottom="1440" w:gutter="0" w:footer="0" w:header="0"/>
        </w:sectPr>
      </w:pPr>
    </w:p>
    <w:bookmarkStart w:id="140" w:name="page141"/>
    <w:bookmarkEnd w:id="140"/>
    <w:p>
      <w:pPr>
        <w:ind w:right="20"/>
        <w:spacing w:after="0" w:line="260" w:lineRule="auto"/>
        <w:rPr>
          <w:sz w:val="20"/>
          <w:szCs w:val="20"/>
          <w:color w:val="auto"/>
        </w:rPr>
      </w:pPr>
      <w:r>
        <w:rPr>
          <w:rFonts w:ascii="Arial" w:cs="Arial" w:eastAsia="Arial" w:hAnsi="Arial"/>
          <w:sz w:val="20"/>
          <w:szCs w:val="20"/>
          <w:color w:val="auto"/>
        </w:rPr>
        <w:t>Issuer. A Borrower shall be conclusively deemed to have waived any such claim against the applicable L/C Issuer and its correspondents unless such notice is given as aforesaid.</w:t>
      </w:r>
    </w:p>
    <w:p>
      <w:pPr>
        <w:spacing w:after="0" w:line="204" w:lineRule="exact"/>
        <w:rPr>
          <w:sz w:val="20"/>
          <w:szCs w:val="20"/>
          <w:color w:val="auto"/>
        </w:rPr>
      </w:pPr>
    </w:p>
    <w:p>
      <w:pPr>
        <w:ind w:left="1680" w:hanging="375"/>
        <w:spacing w:after="0"/>
        <w:tabs>
          <w:tab w:leader="none" w:pos="1680" w:val="left"/>
        </w:tabs>
        <w:numPr>
          <w:ilvl w:val="0"/>
          <w:numId w:val="103"/>
        </w:numPr>
        <w:rPr>
          <w:rFonts w:ascii="Arial" w:cs="Arial" w:eastAsia="Arial" w:hAnsi="Arial"/>
          <w:sz w:val="16"/>
          <w:szCs w:val="16"/>
          <w:color w:val="auto"/>
        </w:rPr>
      </w:pPr>
      <w:r>
        <w:rPr>
          <w:rFonts w:ascii="Arial" w:cs="Arial" w:eastAsia="Arial" w:hAnsi="Arial"/>
          <w:sz w:val="16"/>
          <w:szCs w:val="16"/>
          <w:u w:val="single" w:color="auto"/>
          <w:color w:val="auto"/>
        </w:rPr>
        <w:t>Role of the L/C Issuers in such Capacity</w:t>
      </w:r>
      <w:r>
        <w:rPr>
          <w:rFonts w:ascii="Arial" w:cs="Arial" w:eastAsia="Arial" w:hAnsi="Arial"/>
          <w:sz w:val="16"/>
          <w:szCs w:val="16"/>
          <w:color w:val="auto"/>
        </w:rPr>
        <w:t>. Each of the Lenders and the Borrowers agrees that, in paying any drawing under</w:t>
      </w:r>
    </w:p>
    <w:p>
      <w:pPr>
        <w:spacing w:after="0" w:line="99" w:lineRule="exact"/>
        <w:rPr>
          <w:rFonts w:ascii="Arial" w:cs="Arial" w:eastAsia="Arial" w:hAnsi="Arial"/>
          <w:sz w:val="16"/>
          <w:szCs w:val="16"/>
          <w:color w:val="auto"/>
        </w:rPr>
      </w:pPr>
    </w:p>
    <w:p>
      <w:pPr>
        <w:ind w:left="660"/>
        <w:spacing w:after="0" w:line="315" w:lineRule="auto"/>
        <w:rPr>
          <w:rFonts w:ascii="Arial" w:cs="Arial" w:eastAsia="Arial" w:hAnsi="Arial"/>
          <w:sz w:val="16"/>
          <w:szCs w:val="16"/>
          <w:color w:val="auto"/>
        </w:rPr>
      </w:pPr>
      <w:r>
        <w:rPr>
          <w:rFonts w:ascii="Arial" w:cs="Arial" w:eastAsia="Arial" w:hAnsi="Arial"/>
          <w:sz w:val="18"/>
          <w:szCs w:val="18"/>
          <w:color w:val="auto"/>
        </w:rPr>
        <w:t xml:space="preserve">a Letter of Credit, the L/C Issuers shall not have any responsibility to obtain any document (other than any sight draft, certificates and documents expressly required by the Letter of Credit) or to ascertain or inquire as to the validity or accuracy of any such document or the authority of the Person executing or delivering any such document. None of the L/C Issuers, the Administrative Agent, any of their respective Related Parties nor any correspondent, participant or assignee of any L/C Issuer shall be liable to any Lender for (i) any action taken or omitted in connection herewith at the request or with the approval of the Lenders or the Required Lenders for the respective credit facility hereunder, as applicable; (ii) any action taken or omitted in the absence of gross negligence or willful misconduct; or (iii) the due execution, effectiveness, validity or enforceability of any document or instrument related to any Letter of Credit or Issuer Document. Each Borrower hereby assumes all risks of the acts or omissions of any beneficiary or transferee with respect to such Borrower’s use of any Letter of Credit;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however, that this assumption is not intended to, and shall not, preclude such Borrower’s pursuing such rights and remedies as such Borrower may have against the beneficiary or transferee at law or under any other agreement. None of the L/C Issuers, the Administrative Agent, any of their respective Related Parties nor any correspondent, participant or assignee of any L/C Issuer, shall be liable or responsible for any of the matters described in </w:t>
      </w:r>
      <w:r>
        <w:rPr>
          <w:rFonts w:ascii="Arial" w:cs="Arial" w:eastAsia="Arial" w:hAnsi="Arial"/>
          <w:sz w:val="18"/>
          <w:szCs w:val="18"/>
          <w:u w:val="single" w:color="auto"/>
          <w:color w:val="auto"/>
        </w:rPr>
        <w:t>clauses (i)</w:t>
      </w:r>
      <w:r>
        <w:rPr>
          <w:rFonts w:ascii="Arial" w:cs="Arial" w:eastAsia="Arial" w:hAnsi="Arial"/>
          <w:sz w:val="18"/>
          <w:szCs w:val="18"/>
          <w:color w:val="auto"/>
        </w:rPr>
        <w:t xml:space="preserve"> through </w:t>
      </w:r>
      <w:r>
        <w:rPr>
          <w:rFonts w:ascii="Arial" w:cs="Arial" w:eastAsia="Arial" w:hAnsi="Arial"/>
          <w:sz w:val="18"/>
          <w:szCs w:val="18"/>
          <w:u w:val="single" w:color="auto"/>
          <w:color w:val="auto"/>
        </w:rPr>
        <w:t>(vi)</w:t>
      </w:r>
      <w:r>
        <w:rPr>
          <w:rFonts w:ascii="Arial" w:cs="Arial" w:eastAsia="Arial" w:hAnsi="Arial"/>
          <w:sz w:val="18"/>
          <w:szCs w:val="18"/>
          <w:color w:val="auto"/>
        </w:rPr>
        <w:t xml:space="preserve"> of </w:t>
      </w:r>
      <w:r>
        <w:rPr>
          <w:rFonts w:ascii="Arial" w:cs="Arial" w:eastAsia="Arial" w:hAnsi="Arial"/>
          <w:sz w:val="18"/>
          <w:szCs w:val="18"/>
          <w:u w:val="single" w:color="auto"/>
          <w:color w:val="auto"/>
        </w:rPr>
        <w:t>Section 2.03(e)</w:t>
      </w:r>
      <w:r>
        <w:rPr>
          <w:rFonts w:ascii="Arial" w:cs="Arial" w:eastAsia="Arial" w:hAnsi="Arial"/>
          <w:sz w:val="18"/>
          <w:szCs w:val="18"/>
          <w:color w:val="auto"/>
        </w:rPr>
        <w:t xml:space="preserve">; </w:t>
      </w:r>
      <w:r>
        <w:rPr>
          <w:rFonts w:ascii="Arial" w:cs="Arial" w:eastAsia="Arial" w:hAnsi="Arial"/>
          <w:sz w:val="18"/>
          <w:szCs w:val="18"/>
          <w:u w:val="single" w:color="auto"/>
          <w:color w:val="auto"/>
        </w:rPr>
        <w:t>provided</w:t>
      </w:r>
      <w:r>
        <w:rPr>
          <w:rFonts w:ascii="Arial" w:cs="Arial" w:eastAsia="Arial" w:hAnsi="Arial"/>
          <w:sz w:val="18"/>
          <w:szCs w:val="18"/>
          <w:color w:val="auto"/>
        </w:rPr>
        <w:t>, however, that anything in such clauses to the contrary notwithstanding, a Borrower may have a claim against an L/C Issuer, and the applicable L/C Issuer may be liable to such Borrower, to the extent, but only to the extent, of any direct, as opposed to consequential or exemplary, damages suffered by such Borrower that such Borrower proves were caused by the applicable L/C Issuer’s willful misconduct or gross negligence or the applicable L/C Issuer’s willful failure to pay under any Letter of Credit after the presentation to it by the beneficiary of a sight draft and certificate(s) strictly complying with the terms and conditions of a Letter of Credit. In furtherance and not in limitation of the foregoing, the L/C Issuers may accept documents that appear on their face to be in order, without responsibility for further investigation, regardless of any notice or information to the contrary, and the L/C Issuers shall not be responsible for the validity or sufficiency of any instrument transferring or assigning or purporting to transfer or assign a Letter of Credit or the rights or benefits thereunder or proceeds thereof, in whole or in part, that may prove to be invalid or ineffective for any reason.</w:t>
      </w:r>
    </w:p>
    <w:p>
      <w:pPr>
        <w:spacing w:after="0" w:line="181" w:lineRule="exact"/>
        <w:rPr>
          <w:rFonts w:ascii="Arial" w:cs="Arial" w:eastAsia="Arial" w:hAnsi="Arial"/>
          <w:sz w:val="16"/>
          <w:szCs w:val="16"/>
          <w:color w:val="auto"/>
        </w:rPr>
      </w:pPr>
    </w:p>
    <w:p>
      <w:pPr>
        <w:ind w:left="1720" w:hanging="415"/>
        <w:spacing w:after="0"/>
        <w:tabs>
          <w:tab w:leader="none" w:pos="1720" w:val="left"/>
        </w:tabs>
        <w:numPr>
          <w:ilvl w:val="0"/>
          <w:numId w:val="103"/>
        </w:numPr>
        <w:rPr>
          <w:rFonts w:ascii="Arial" w:cs="Arial" w:eastAsia="Arial" w:hAnsi="Arial"/>
          <w:sz w:val="19"/>
          <w:szCs w:val="19"/>
          <w:color w:val="auto"/>
        </w:rPr>
      </w:pPr>
      <w:r>
        <w:rPr>
          <w:rFonts w:ascii="Arial" w:cs="Arial" w:eastAsia="Arial" w:hAnsi="Arial"/>
          <w:sz w:val="19"/>
          <w:szCs w:val="19"/>
          <w:u w:val="single" w:color="auto"/>
          <w:color w:val="auto"/>
        </w:rPr>
        <w:t>Applicability of ISP</w:t>
      </w:r>
      <w:r>
        <w:rPr>
          <w:rFonts w:ascii="Arial" w:cs="Arial" w:eastAsia="Arial" w:hAnsi="Arial"/>
          <w:sz w:val="19"/>
          <w:szCs w:val="19"/>
          <w:color w:val="auto"/>
        </w:rPr>
        <w:t>. Unless otherwise expressly agreed by the L/C Issuer and a Borrower when a Letter of Credit is</w:t>
      </w:r>
    </w:p>
    <w:p>
      <w:pPr>
        <w:spacing w:after="0" w:line="65" w:lineRule="exact"/>
        <w:rPr>
          <w:rFonts w:ascii="Arial" w:cs="Arial" w:eastAsia="Arial" w:hAnsi="Arial"/>
          <w:sz w:val="19"/>
          <w:szCs w:val="19"/>
          <w:color w:val="auto"/>
        </w:rPr>
      </w:pPr>
    </w:p>
    <w:p>
      <w:pPr>
        <w:ind w:left="660" w:right="80"/>
        <w:spacing w:after="0" w:line="303" w:lineRule="auto"/>
        <w:rPr>
          <w:rFonts w:ascii="Arial" w:cs="Arial" w:eastAsia="Arial" w:hAnsi="Arial"/>
          <w:sz w:val="19"/>
          <w:szCs w:val="19"/>
          <w:color w:val="auto"/>
        </w:rPr>
      </w:pPr>
      <w:r>
        <w:rPr>
          <w:rFonts w:ascii="Arial" w:cs="Arial" w:eastAsia="Arial" w:hAnsi="Arial"/>
          <w:sz w:val="20"/>
          <w:szCs w:val="20"/>
          <w:color w:val="auto"/>
        </w:rPr>
        <w:t>issued (including any such agreement applicable to an Existing Letter of Credit), the rules of the ISP shall apply to each standby Letter of Credit</w:t>
      </w:r>
    </w:p>
    <w:p>
      <w:pPr>
        <w:spacing w:after="0" w:line="175" w:lineRule="exact"/>
        <w:rPr>
          <w:rFonts w:ascii="Arial" w:cs="Arial" w:eastAsia="Arial" w:hAnsi="Arial"/>
          <w:sz w:val="19"/>
          <w:szCs w:val="19"/>
          <w:color w:val="auto"/>
        </w:rPr>
      </w:pPr>
    </w:p>
    <w:p>
      <w:pPr>
        <w:ind w:left="1720" w:hanging="415"/>
        <w:spacing w:after="0"/>
        <w:tabs>
          <w:tab w:leader="none" w:pos="1720" w:val="left"/>
        </w:tabs>
        <w:numPr>
          <w:ilvl w:val="0"/>
          <w:numId w:val="103"/>
        </w:numPr>
        <w:rPr>
          <w:rFonts w:ascii="Arial" w:cs="Arial" w:eastAsia="Arial" w:hAnsi="Arial"/>
          <w:sz w:val="20"/>
          <w:szCs w:val="20"/>
          <w:color w:val="auto"/>
        </w:rPr>
      </w:pPr>
      <w:r>
        <w:rPr>
          <w:rFonts w:ascii="Arial" w:cs="Arial" w:eastAsia="Arial" w:hAnsi="Arial"/>
          <w:sz w:val="20"/>
          <w:szCs w:val="20"/>
          <w:color w:val="auto"/>
        </w:rPr>
        <w:t>Letters of Credit Issued for Members of Consolidated Group.</w:t>
      </w:r>
    </w:p>
    <w:p>
      <w:pPr>
        <w:spacing w:after="0" w:line="283" w:lineRule="exact"/>
        <w:rPr>
          <w:rFonts w:ascii="Arial" w:cs="Arial" w:eastAsia="Arial" w:hAnsi="Arial"/>
          <w:sz w:val="20"/>
          <w:szCs w:val="20"/>
          <w:color w:val="auto"/>
        </w:rPr>
      </w:pPr>
    </w:p>
    <w:p>
      <w:pPr>
        <w:ind w:left="1960" w:right="420" w:firstLine="641"/>
        <w:spacing w:after="0" w:line="321" w:lineRule="auto"/>
        <w:tabs>
          <w:tab w:leader="none" w:pos="3088" w:val="left"/>
        </w:tabs>
        <w:numPr>
          <w:ilvl w:val="1"/>
          <w:numId w:val="103"/>
        </w:numPr>
        <w:rPr>
          <w:rFonts w:ascii="Arial" w:cs="Arial" w:eastAsia="Arial" w:hAnsi="Arial"/>
          <w:sz w:val="22"/>
          <w:szCs w:val="22"/>
          <w:color w:val="auto"/>
        </w:rPr>
      </w:pPr>
      <w:r>
        <w:rPr>
          <w:rFonts w:ascii="Arial" w:cs="Arial" w:eastAsia="Arial" w:hAnsi="Arial"/>
          <w:sz w:val="20"/>
          <w:szCs w:val="20"/>
          <w:u w:val="single" w:color="auto"/>
          <w:color w:val="auto"/>
        </w:rPr>
        <w:t>USD Letters of Credit</w:t>
      </w:r>
      <w:r>
        <w:rPr>
          <w:rFonts w:ascii="Arial" w:cs="Arial" w:eastAsia="Arial" w:hAnsi="Arial"/>
          <w:sz w:val="20"/>
          <w:szCs w:val="20"/>
          <w:color w:val="auto"/>
        </w:rPr>
        <w:t>. Notwithstanding that a Letter of Credit issued or outstanding hereunder is in support of any obligations of, or is for the</w:t>
      </w:r>
    </w:p>
    <w:p>
      <w:pPr>
        <w:spacing w:after="0" w:line="380"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89</w:t>
      </w:r>
    </w:p>
    <w:p>
      <w:pPr>
        <w:spacing w:after="0" w:line="10" w:lineRule="exact"/>
        <w:rPr>
          <w:sz w:val="20"/>
          <w:szCs w:val="20"/>
          <w:color w:val="auto"/>
        </w:rPr>
      </w:pPr>
    </w:p>
    <w:p>
      <w:pPr>
        <w:spacing w:after="0"/>
        <w:rPr>
          <w:sz w:val="20"/>
          <w:szCs w:val="20"/>
          <w:color w:val="auto"/>
        </w:rPr>
      </w:pPr>
      <w:r>
        <w:rPr>
          <w:rFonts w:ascii="Arial" w:cs="Arial" w:eastAsia="Arial" w:hAnsi="Arial"/>
          <w:sz w:val="14"/>
          <w:szCs w:val="14"/>
          <w:color w:val="auto"/>
        </w:rPr>
        <w:t>CHAR1\1346423v</w:t>
      </w:r>
      <w:r>
        <w:rPr>
          <w:rFonts w:ascii="Arial" w:cs="Arial" w:eastAsia="Arial" w:hAnsi="Arial"/>
          <w:sz w:val="14"/>
          <w:szCs w:val="14"/>
          <w:color w:val="FF0000"/>
          <w:strike w:val="1"/>
        </w:rPr>
        <w:t>1</w:t>
      </w:r>
      <w:r>
        <w:rPr>
          <w:rFonts w:ascii="Arial" w:cs="Arial" w:eastAsia="Arial" w:hAnsi="Arial"/>
          <w:sz w:val="14"/>
          <w:szCs w:val="14"/>
          <w:u w:val="single" w:color="auto"/>
          <w:color w:val="0000FF"/>
        </w:rPr>
        <w:t>12</w:t>
      </w:r>
    </w:p>
    <w:p>
      <w:pPr>
        <w:sectPr>
          <w:pgSz w:w="11900" w:h="16838" w:orient="portrait"/>
          <w:cols w:equalWidth="0" w:num="1">
            <w:col w:w="11400"/>
          </w:cols>
          <w:pgMar w:left="240" w:top="582" w:right="259" w:bottom="1440" w:gutter="0" w:footer="0" w:header="0"/>
        </w:sectPr>
      </w:pPr>
    </w:p>
    <w:bookmarkStart w:id="141" w:name="page142"/>
    <w:bookmarkEnd w:id="141"/>
    <w:p>
      <w:pPr>
        <w:ind w:left="1960" w:right="200"/>
        <w:spacing w:after="0" w:line="329" w:lineRule="auto"/>
        <w:rPr>
          <w:sz w:val="20"/>
          <w:szCs w:val="20"/>
          <w:color w:val="auto"/>
        </w:rPr>
      </w:pPr>
      <w:r>
        <w:rPr>
          <w:rFonts w:ascii="Arial" w:cs="Arial" w:eastAsia="Arial" w:hAnsi="Arial"/>
          <w:sz w:val="18"/>
          <w:szCs w:val="18"/>
          <w:color w:val="auto"/>
        </w:rPr>
        <w:t>account of, any Subsidiary, the applicable Borrower shall be obligated to reimburse the applicable L/C Issuer for any and all drawings under such Letter of Credit. Each applicable Borrower hereby acknowledges that the issuance of Letters of Credit for the account of any Subsidiary inures to the benefit of such applicable Borrower, and that such applicable Borrower’s business derives substantial benefits from the businesses of such Domestic Subsidiary.</w:t>
      </w:r>
    </w:p>
    <w:p>
      <w:pPr>
        <w:spacing w:after="0" w:line="175" w:lineRule="exact"/>
        <w:rPr>
          <w:sz w:val="20"/>
          <w:szCs w:val="20"/>
          <w:color w:val="auto"/>
        </w:rPr>
      </w:pPr>
    </w:p>
    <w:p>
      <w:pPr>
        <w:ind w:left="1960" w:right="80" w:firstLine="641"/>
        <w:spacing w:after="0" w:line="353" w:lineRule="auto"/>
        <w:tabs>
          <w:tab w:leader="none" w:pos="3076" w:val="left"/>
        </w:tabs>
        <w:numPr>
          <w:ilvl w:val="1"/>
          <w:numId w:val="104"/>
        </w:numPr>
        <w:rPr>
          <w:rFonts w:ascii="Arial" w:cs="Arial" w:eastAsia="Arial" w:hAnsi="Arial"/>
          <w:sz w:val="19"/>
          <w:szCs w:val="19"/>
          <w:color w:val="auto"/>
        </w:rPr>
      </w:pPr>
      <w:r>
        <w:rPr>
          <w:rFonts w:ascii="Arial" w:cs="Arial" w:eastAsia="Arial" w:hAnsi="Arial"/>
          <w:sz w:val="18"/>
          <w:szCs w:val="18"/>
          <w:u w:val="single" w:color="auto"/>
          <w:color w:val="auto"/>
        </w:rPr>
        <w:t>India Letters of Credit</w:t>
      </w:r>
      <w:r>
        <w:rPr>
          <w:rFonts w:ascii="Arial" w:cs="Arial" w:eastAsia="Arial" w:hAnsi="Arial"/>
          <w:sz w:val="18"/>
          <w:szCs w:val="18"/>
          <w:color w:val="auto"/>
        </w:rPr>
        <w:t>. Notwithstanding that a Letter of Credit issued or outstanding hereunder is in support of any obligations of, or is for the account of, any Subsidiary of the India Borrower existing under the laws of India, the applicable India Borrower shall be obligated to reimburse the applicable L/C Issuer for any and all drawings under such Letter of Credit. The India Borrower hereby acknowledges that the issuance of Letters of Credit for the account of any Subsidiary of the India Borrower inures to the benefit of such India Borrower, and that such India Borrower’s business derives substantial benefits from the businesses of such Subsidiary of the India Borrower.</w:t>
      </w:r>
    </w:p>
    <w:p>
      <w:pPr>
        <w:spacing w:after="0" w:line="155" w:lineRule="exact"/>
        <w:rPr>
          <w:rFonts w:ascii="Arial" w:cs="Arial" w:eastAsia="Arial" w:hAnsi="Arial"/>
          <w:sz w:val="19"/>
          <w:szCs w:val="19"/>
          <w:color w:val="auto"/>
        </w:rPr>
      </w:pPr>
    </w:p>
    <w:p>
      <w:pPr>
        <w:ind w:left="1680" w:hanging="375"/>
        <w:spacing w:after="0"/>
        <w:tabs>
          <w:tab w:leader="none" w:pos="1680" w:val="left"/>
        </w:tabs>
        <w:numPr>
          <w:ilvl w:val="0"/>
          <w:numId w:val="105"/>
        </w:numPr>
        <w:rPr>
          <w:rFonts w:ascii="Arial" w:cs="Arial" w:eastAsia="Arial" w:hAnsi="Arial"/>
          <w:sz w:val="20"/>
          <w:szCs w:val="20"/>
          <w:color w:val="auto"/>
        </w:rPr>
      </w:pPr>
      <w:r>
        <w:rPr>
          <w:rFonts w:ascii="Arial" w:cs="Arial" w:eastAsia="Arial" w:hAnsi="Arial"/>
          <w:sz w:val="20"/>
          <w:szCs w:val="20"/>
          <w:u w:val="single" w:color="auto"/>
          <w:color w:val="auto"/>
        </w:rPr>
        <w:t>Letter of Credit Fees</w:t>
      </w:r>
      <w:r>
        <w:rPr>
          <w:rFonts w:ascii="Arial" w:cs="Arial" w:eastAsia="Arial" w:hAnsi="Arial"/>
          <w:sz w:val="20"/>
          <w:szCs w:val="20"/>
          <w:color w:val="auto"/>
        </w:rPr>
        <w:t xml:space="preserve">. The Borrowers shall pay Letter of Credit fees as set forth in </w:t>
      </w:r>
      <w:r>
        <w:rPr>
          <w:rFonts w:ascii="Arial" w:cs="Arial" w:eastAsia="Arial" w:hAnsi="Arial"/>
          <w:sz w:val="20"/>
          <w:szCs w:val="20"/>
          <w:u w:val="single" w:color="auto"/>
          <w:color w:val="auto"/>
        </w:rPr>
        <w:t>Section 2.09(b)</w:t>
      </w:r>
      <w:r>
        <w:rPr>
          <w:rFonts w:ascii="Arial" w:cs="Arial" w:eastAsia="Arial" w:hAnsi="Arial"/>
          <w:sz w:val="20"/>
          <w:szCs w:val="20"/>
          <w:color w:val="auto"/>
        </w:rPr>
        <w:t>.</w:t>
      </w:r>
    </w:p>
    <w:p>
      <w:pPr>
        <w:spacing w:after="0" w:line="269" w:lineRule="exact"/>
        <w:rPr>
          <w:rFonts w:ascii="Arial" w:cs="Arial" w:eastAsia="Arial" w:hAnsi="Arial"/>
          <w:sz w:val="20"/>
          <w:szCs w:val="20"/>
          <w:color w:val="auto"/>
        </w:rPr>
      </w:pPr>
    </w:p>
    <w:p>
      <w:pPr>
        <w:ind w:left="660" w:right="740" w:firstLine="645"/>
        <w:spacing w:after="0" w:line="317" w:lineRule="auto"/>
        <w:tabs>
          <w:tab w:leader="none" w:pos="1675" w:val="left"/>
        </w:tabs>
        <w:numPr>
          <w:ilvl w:val="0"/>
          <w:numId w:val="105"/>
        </w:numPr>
        <w:rPr>
          <w:rFonts w:ascii="Arial" w:cs="Arial" w:eastAsia="Arial" w:hAnsi="Arial"/>
          <w:sz w:val="20"/>
          <w:szCs w:val="20"/>
          <w:color w:val="auto"/>
        </w:rPr>
      </w:pPr>
      <w:r>
        <w:rPr>
          <w:rFonts w:ascii="Arial" w:cs="Arial" w:eastAsia="Arial" w:hAnsi="Arial"/>
          <w:sz w:val="20"/>
          <w:szCs w:val="20"/>
          <w:u w:val="single" w:color="auto"/>
          <w:color w:val="auto"/>
        </w:rPr>
        <w:t>Conflict with Issuer Documents</w:t>
      </w:r>
      <w:r>
        <w:rPr>
          <w:rFonts w:ascii="Arial" w:cs="Arial" w:eastAsia="Arial" w:hAnsi="Arial"/>
          <w:sz w:val="20"/>
          <w:szCs w:val="20"/>
          <w:color w:val="auto"/>
        </w:rPr>
        <w:t>. In the event of any conflict between the terms hereof and the terms of any Issuer Document, the terms hereof shall control.</w:t>
      </w:r>
    </w:p>
    <w:p>
      <w:pPr>
        <w:spacing w:after="0" w:line="162" w:lineRule="exact"/>
        <w:rPr>
          <w:sz w:val="20"/>
          <w:szCs w:val="20"/>
          <w:color w:val="auto"/>
        </w:rPr>
      </w:pPr>
    </w:p>
    <w:p>
      <w:pPr>
        <w:ind w:left="660"/>
        <w:spacing w:after="0"/>
        <w:tabs>
          <w:tab w:leader="none" w:pos="1160" w:val="left"/>
        </w:tabs>
        <w:rPr>
          <w:sz w:val="20"/>
          <w:szCs w:val="20"/>
          <w:color w:val="auto"/>
        </w:rPr>
      </w:pPr>
      <w:r>
        <w:rPr>
          <w:rFonts w:ascii="Arial" w:cs="Arial" w:eastAsia="Arial" w:hAnsi="Arial"/>
          <w:sz w:val="20"/>
          <w:szCs w:val="20"/>
          <w:color w:val="auto"/>
        </w:rPr>
        <w:t>2.04</w:t>
      </w:r>
      <w:r>
        <w:rPr>
          <w:sz w:val="20"/>
          <w:szCs w:val="20"/>
          <w:color w:val="auto"/>
        </w:rPr>
        <w:tab/>
      </w:r>
      <w:r>
        <w:rPr>
          <w:rFonts w:ascii="Arial" w:cs="Arial" w:eastAsia="Arial" w:hAnsi="Arial"/>
          <w:sz w:val="18"/>
          <w:szCs w:val="18"/>
          <w:u w:val="single" w:color="auto"/>
          <w:color w:val="auto"/>
        </w:rPr>
        <w:t>Additional Provisions with respect to Swingline Loans</w:t>
      </w:r>
      <w:r>
        <w:rPr>
          <w:rFonts w:ascii="Arial" w:cs="Arial" w:eastAsia="Arial" w:hAnsi="Arial"/>
          <w:sz w:val="18"/>
          <w:szCs w:val="18"/>
          <w:color w:val="auto"/>
        </w:rPr>
        <w:t>.</w:t>
      </w:r>
    </w:p>
    <w:p>
      <w:pPr>
        <w:spacing w:after="0" w:line="270" w:lineRule="exact"/>
        <w:rPr>
          <w:sz w:val="20"/>
          <w:szCs w:val="20"/>
          <w:color w:val="auto"/>
        </w:rPr>
      </w:pPr>
    </w:p>
    <w:p>
      <w:pPr>
        <w:ind w:left="1700" w:hanging="395"/>
        <w:spacing w:after="0"/>
        <w:tabs>
          <w:tab w:leader="none" w:pos="1700" w:val="left"/>
        </w:tabs>
        <w:numPr>
          <w:ilvl w:val="0"/>
          <w:numId w:val="106"/>
        </w:numPr>
        <w:rPr>
          <w:rFonts w:ascii="Arial" w:cs="Arial" w:eastAsia="Arial" w:hAnsi="Arial"/>
          <w:sz w:val="20"/>
          <w:szCs w:val="20"/>
          <w:color w:val="auto"/>
        </w:rPr>
      </w:pPr>
      <w:r>
        <w:rPr>
          <w:rFonts w:ascii="Arial" w:cs="Arial" w:eastAsia="Arial" w:hAnsi="Arial"/>
          <w:sz w:val="20"/>
          <w:szCs w:val="20"/>
          <w:color w:val="auto"/>
        </w:rPr>
        <w:t>Borrowing Procedures.</w:t>
      </w:r>
    </w:p>
    <w:p>
      <w:pPr>
        <w:spacing w:after="0" w:line="283" w:lineRule="exact"/>
        <w:rPr>
          <w:rFonts w:ascii="Arial" w:cs="Arial" w:eastAsia="Arial" w:hAnsi="Arial"/>
          <w:sz w:val="20"/>
          <w:szCs w:val="20"/>
          <w:color w:val="auto"/>
        </w:rPr>
      </w:pPr>
    </w:p>
    <w:p>
      <w:pPr>
        <w:ind w:left="1300" w:firstLine="653"/>
        <w:spacing w:after="0" w:line="348" w:lineRule="auto"/>
        <w:tabs>
          <w:tab w:leader="none" w:pos="2332" w:val="left"/>
        </w:tabs>
        <w:numPr>
          <w:ilvl w:val="1"/>
          <w:numId w:val="106"/>
        </w:numPr>
        <w:rPr>
          <w:rFonts w:ascii="Arial" w:cs="Arial" w:eastAsia="Arial" w:hAnsi="Arial"/>
          <w:sz w:val="19"/>
          <w:szCs w:val="19"/>
          <w:color w:val="auto"/>
        </w:rPr>
      </w:pPr>
      <w:r>
        <w:rPr>
          <w:rFonts w:ascii="Arial" w:cs="Arial" w:eastAsia="Arial" w:hAnsi="Arial"/>
          <w:sz w:val="18"/>
          <w:szCs w:val="18"/>
          <w:u w:val="single" w:color="auto"/>
          <w:color w:val="auto"/>
        </w:rPr>
        <w:t>USD Swingline Loans</w:t>
      </w:r>
      <w:r>
        <w:rPr>
          <w:rFonts w:ascii="Arial" w:cs="Arial" w:eastAsia="Arial" w:hAnsi="Arial"/>
          <w:sz w:val="18"/>
          <w:szCs w:val="18"/>
          <w:color w:val="auto"/>
        </w:rPr>
        <w:t xml:space="preserve">. Each USD Swingline Borrowing shall be made in Dollars upon a Borrower’s irrevocable notice to the USD Swingline Lender and the Administrative Agent, which may be given by telephone. Each such notice must be received by the USD Swingline Lender and the Administrative Agent not later than </w:t>
      </w:r>
      <w:r>
        <w:rPr>
          <w:rFonts w:ascii="Arial" w:cs="Arial" w:eastAsia="Arial" w:hAnsi="Arial"/>
          <w:sz w:val="18"/>
          <w:szCs w:val="18"/>
          <w:color w:val="FF0000"/>
          <w:strike w:val="1"/>
        </w:rPr>
        <w:t>3</w:t>
      </w:r>
      <w:r>
        <w:rPr>
          <w:rFonts w:ascii="Arial" w:cs="Arial" w:eastAsia="Arial" w:hAnsi="Arial"/>
          <w:sz w:val="18"/>
          <w:szCs w:val="18"/>
          <w:u w:val="single" w:color="auto"/>
          <w:color w:val="0000FF"/>
        </w:rPr>
        <w:t>4</w:t>
      </w:r>
      <w:r>
        <w:rPr>
          <w:rFonts w:ascii="Arial" w:cs="Arial" w:eastAsia="Arial" w:hAnsi="Arial"/>
          <w:sz w:val="18"/>
          <w:szCs w:val="18"/>
          <w:color w:val="auto"/>
        </w:rPr>
        <w:t>:</w:t>
      </w:r>
      <w:r>
        <w:rPr>
          <w:rFonts w:ascii="Arial" w:cs="Arial" w:eastAsia="Arial" w:hAnsi="Arial"/>
          <w:sz w:val="18"/>
          <w:szCs w:val="18"/>
          <w:color w:val="FF0000"/>
          <w:strike w:val="1"/>
        </w:rPr>
        <w:t>30</w:t>
      </w:r>
      <w:r>
        <w:rPr>
          <w:rFonts w:ascii="Arial" w:cs="Arial" w:eastAsia="Arial" w:hAnsi="Arial"/>
          <w:sz w:val="18"/>
          <w:szCs w:val="18"/>
          <w:u w:val="single" w:color="auto"/>
          <w:color w:val="0000FF"/>
        </w:rPr>
        <w:t>00</w:t>
      </w:r>
      <w:r>
        <w:rPr>
          <w:rFonts w:ascii="Arial" w:cs="Arial" w:eastAsia="Arial" w:hAnsi="Arial"/>
          <w:sz w:val="18"/>
          <w:szCs w:val="18"/>
          <w:color w:val="auto"/>
        </w:rPr>
        <w:t xml:space="preserve"> p.m. on the requested borrowing date, and shall specify (i) the amount to be borrowed, which shall be a minimum of $100,000, and (ii) the requested borrowing date, which shall be a Business Day. Each such telephonic notice must be confirmed promptly by delivery to the USD Swingline Lender and the Administrative Agent of a written Loan Notice, appropriately completed and signed by a Responsible Officer of such Borrower. Promptly after receipt by the USD Swingline Lender of any telephonic Loan Notice, the USD Swingline Lender will confirm with the Administrative Agent (by telephone or in writing) that the Administrative Agent has also received such Loan Notice and, if not, the USD Swingline Lender will notify the Administrative Agent (by telephone or in writing) of the contents thereof. Unless the USD Swingline Lender has received notice (by telephone or in writing) from the Administrative Agent (including at the request of any Lender) prior to </w:t>
      </w:r>
      <w:r>
        <w:rPr>
          <w:rFonts w:ascii="Arial" w:cs="Arial" w:eastAsia="Arial" w:hAnsi="Arial"/>
          <w:sz w:val="18"/>
          <w:szCs w:val="18"/>
          <w:color w:val="FF0000"/>
          <w:strike w:val="1"/>
        </w:rPr>
        <w:t>3</w:t>
      </w:r>
      <w:r>
        <w:rPr>
          <w:rFonts w:ascii="Arial" w:cs="Arial" w:eastAsia="Arial" w:hAnsi="Arial"/>
          <w:sz w:val="18"/>
          <w:szCs w:val="18"/>
          <w:u w:val="single" w:color="auto"/>
          <w:color w:val="0000FF"/>
        </w:rPr>
        <w:t>4</w:t>
      </w:r>
      <w:r>
        <w:rPr>
          <w:rFonts w:ascii="Arial" w:cs="Arial" w:eastAsia="Arial" w:hAnsi="Arial"/>
          <w:sz w:val="18"/>
          <w:szCs w:val="18"/>
          <w:color w:val="auto"/>
        </w:rPr>
        <w:t>:</w:t>
      </w:r>
      <w:r>
        <w:rPr>
          <w:rFonts w:ascii="Arial" w:cs="Arial" w:eastAsia="Arial" w:hAnsi="Arial"/>
          <w:sz w:val="18"/>
          <w:szCs w:val="18"/>
          <w:color w:val="FF0000"/>
          <w:strike w:val="1"/>
        </w:rPr>
        <w:t>30</w:t>
      </w:r>
      <w:r>
        <w:rPr>
          <w:rFonts w:ascii="Arial" w:cs="Arial" w:eastAsia="Arial" w:hAnsi="Arial"/>
          <w:sz w:val="18"/>
          <w:szCs w:val="18"/>
          <w:u w:val="single" w:color="auto"/>
          <w:color w:val="0000FF"/>
        </w:rPr>
        <w:t>00</w:t>
      </w:r>
      <w:r>
        <w:rPr>
          <w:rFonts w:ascii="Arial" w:cs="Arial" w:eastAsia="Arial" w:hAnsi="Arial"/>
          <w:sz w:val="18"/>
          <w:szCs w:val="18"/>
          <w:color w:val="auto"/>
        </w:rPr>
        <w:t xml:space="preserve"> p.m. on the date of the proposed USD Swingline Borrowing (A) directing the USD Swingline Lender not to make such USD Swingline Loan as a result of</w:t>
      </w:r>
    </w:p>
    <w:p>
      <w:pPr>
        <w:spacing w:after="0" w:line="379" w:lineRule="exact"/>
        <w:rPr>
          <w:sz w:val="20"/>
          <w:szCs w:val="20"/>
          <w:color w:val="auto"/>
        </w:rPr>
      </w:pPr>
    </w:p>
    <w:p>
      <w:pPr>
        <w:jc w:val="center"/>
        <w:ind w:right="-39"/>
        <w:spacing w:after="0"/>
        <w:rPr>
          <w:sz w:val="20"/>
          <w:szCs w:val="20"/>
          <w:color w:val="auto"/>
        </w:rPr>
      </w:pPr>
      <w:r>
        <w:rPr>
          <w:rFonts w:ascii="Arial" w:cs="Arial" w:eastAsia="Arial" w:hAnsi="Arial"/>
          <w:sz w:val="20"/>
          <w:szCs w:val="20"/>
          <w:color w:val="auto"/>
        </w:rPr>
        <w:t>90</w:t>
      </w:r>
    </w:p>
    <w:p>
      <w:pPr>
        <w:spacing w:after="0" w:line="10" w:lineRule="exact"/>
        <w:rPr>
          <w:sz w:val="20"/>
          <w:szCs w:val="20"/>
          <w:color w:val="auto"/>
        </w:rPr>
      </w:pPr>
    </w:p>
    <w:p>
      <w:pPr>
        <w:spacing w:after="0"/>
        <w:rPr>
          <w:sz w:val="20"/>
          <w:szCs w:val="20"/>
          <w:color w:val="auto"/>
        </w:rPr>
      </w:pPr>
      <w:r>
        <w:rPr>
          <w:rFonts w:ascii="Arial" w:cs="Arial" w:eastAsia="Arial" w:hAnsi="Arial"/>
          <w:sz w:val="14"/>
          <w:szCs w:val="14"/>
          <w:color w:val="auto"/>
        </w:rPr>
        <w:t>CHAR1\1346423v</w:t>
      </w:r>
      <w:r>
        <w:rPr>
          <w:rFonts w:ascii="Arial" w:cs="Arial" w:eastAsia="Arial" w:hAnsi="Arial"/>
          <w:sz w:val="14"/>
          <w:szCs w:val="14"/>
          <w:color w:val="FF0000"/>
          <w:strike w:val="1"/>
        </w:rPr>
        <w:t>1</w:t>
      </w:r>
      <w:r>
        <w:rPr>
          <w:rFonts w:ascii="Arial" w:cs="Arial" w:eastAsia="Arial" w:hAnsi="Arial"/>
          <w:sz w:val="14"/>
          <w:szCs w:val="14"/>
          <w:u w:val="single" w:color="auto"/>
          <w:color w:val="0000FF"/>
        </w:rPr>
        <w:t>12</w:t>
      </w:r>
    </w:p>
    <w:p>
      <w:pPr>
        <w:sectPr>
          <w:pgSz w:w="11900" w:h="16838" w:orient="portrait"/>
          <w:cols w:equalWidth="0" w:num="1">
            <w:col w:w="11400"/>
          </w:cols>
          <w:pgMar w:left="240" w:top="609" w:right="259" w:bottom="1440" w:gutter="0" w:footer="0" w:header="0"/>
        </w:sectPr>
      </w:pPr>
    </w:p>
    <w:bookmarkStart w:id="142" w:name="page143"/>
    <w:bookmarkEnd w:id="142"/>
    <w:p>
      <w:pPr>
        <w:ind w:left="1300" w:right="120"/>
        <w:spacing w:after="0" w:line="287" w:lineRule="auto"/>
        <w:rPr>
          <w:sz w:val="20"/>
          <w:szCs w:val="20"/>
          <w:color w:val="auto"/>
        </w:rPr>
      </w:pPr>
      <w:r>
        <w:rPr>
          <w:rFonts w:ascii="Arial" w:cs="Arial" w:eastAsia="Arial" w:hAnsi="Arial"/>
          <w:sz w:val="20"/>
          <w:szCs w:val="20"/>
          <w:color w:val="auto"/>
        </w:rPr>
        <w:t xml:space="preserve">the limitations set forth in this </w:t>
      </w:r>
      <w:r>
        <w:rPr>
          <w:rFonts w:ascii="Arial" w:cs="Arial" w:eastAsia="Arial" w:hAnsi="Arial"/>
          <w:sz w:val="20"/>
          <w:szCs w:val="20"/>
          <w:u w:val="single" w:color="auto"/>
          <w:color w:val="auto"/>
        </w:rPr>
        <w:t>Article II</w:t>
      </w:r>
      <w:r>
        <w:rPr>
          <w:rFonts w:ascii="Arial" w:cs="Arial" w:eastAsia="Arial" w:hAnsi="Arial"/>
          <w:sz w:val="20"/>
          <w:szCs w:val="20"/>
          <w:color w:val="auto"/>
        </w:rPr>
        <w:t xml:space="preserve">, or (B) that one or more of the applicable conditions specified in </w:t>
      </w:r>
      <w:r>
        <w:rPr>
          <w:rFonts w:ascii="Arial" w:cs="Arial" w:eastAsia="Arial" w:hAnsi="Arial"/>
          <w:sz w:val="20"/>
          <w:szCs w:val="20"/>
          <w:u w:val="single" w:color="auto"/>
          <w:color w:val="auto"/>
        </w:rPr>
        <w:t>Article V</w:t>
      </w:r>
      <w:r>
        <w:rPr>
          <w:rFonts w:ascii="Arial" w:cs="Arial" w:eastAsia="Arial" w:hAnsi="Arial"/>
          <w:sz w:val="20"/>
          <w:szCs w:val="20"/>
          <w:color w:val="auto"/>
        </w:rPr>
        <w:t xml:space="preserve"> is not then satisfied, then, subject to the terms and conditions hereof, the USD Swingline Lender will, not later than 5:00 p.m. on the borrowing date specified in such Loan Notice, make the amount of its USD Swingline Loan available to the applicable Borrower at its office by crediting the account of such Borrower on the books of the USD Swingline Lender in immediately available funds.</w:t>
      </w:r>
    </w:p>
    <w:p>
      <w:pPr>
        <w:spacing w:after="0" w:line="205" w:lineRule="exact"/>
        <w:rPr>
          <w:sz w:val="20"/>
          <w:szCs w:val="20"/>
          <w:color w:val="auto"/>
        </w:rPr>
      </w:pPr>
    </w:p>
    <w:p>
      <w:pPr>
        <w:ind w:left="1300" w:right="20" w:firstLine="653"/>
        <w:spacing w:after="0" w:line="347" w:lineRule="auto"/>
        <w:tabs>
          <w:tab w:leader="none" w:pos="2392" w:val="left"/>
        </w:tabs>
        <w:numPr>
          <w:ilvl w:val="1"/>
          <w:numId w:val="107"/>
        </w:numPr>
        <w:rPr>
          <w:rFonts w:ascii="Arial" w:cs="Arial" w:eastAsia="Arial" w:hAnsi="Arial"/>
          <w:sz w:val="19"/>
          <w:szCs w:val="19"/>
          <w:color w:val="auto"/>
        </w:rPr>
      </w:pPr>
      <w:r>
        <w:rPr>
          <w:rFonts w:ascii="Arial" w:cs="Arial" w:eastAsia="Arial" w:hAnsi="Arial"/>
          <w:sz w:val="18"/>
          <w:szCs w:val="18"/>
          <w:u w:val="single" w:color="auto"/>
          <w:color w:val="auto"/>
        </w:rPr>
        <w:t>European Swingline Loans</w:t>
      </w:r>
      <w:r>
        <w:rPr>
          <w:rFonts w:ascii="Arial" w:cs="Arial" w:eastAsia="Arial" w:hAnsi="Arial"/>
          <w:sz w:val="18"/>
          <w:szCs w:val="18"/>
          <w:color w:val="auto"/>
        </w:rPr>
        <w:t xml:space="preserve">. Each European Swingline Borrowing shall be made upon a Borrower’s irrevocable written notice to the European Swingline Lender and the Administrative Agent, which shall be signed by a Responsible Officer of the Borrower and which may be given by facsimile. Each such notice must be received by the European Swingline Lender and the Administrative Agent not later than 11:00 a.m. (London time) on the requested borrowing date, and shall specify (i) the Alternative Currency and amount to be borrowed, which shall be a minimum of $100,000 or equivalent thereof, as appropriate, and integral multiples in excess thereof, and (ii) the requested borrowing date, which shall be a Business Day. Each such facsimile notice must be confirmed promptly by delivery of the executed notice to the European Swingline Lender. Unless the European Swingline Lender has received notice (by telephone or in writing) from the Administrative Agent (including at the request of any Lender) prior to 10:00 a.m. (London time) on the date of the proposed European Swingline Borrowing (A) directing the European Swingline Lender not to make such European Swingline Loan as a result of the limitations set forth in this </w:t>
      </w:r>
      <w:r>
        <w:rPr>
          <w:rFonts w:ascii="Arial" w:cs="Arial" w:eastAsia="Arial" w:hAnsi="Arial"/>
          <w:sz w:val="18"/>
          <w:szCs w:val="18"/>
          <w:u w:val="single" w:color="auto"/>
          <w:color w:val="auto"/>
        </w:rPr>
        <w:t>Article II</w:t>
      </w:r>
      <w:r>
        <w:rPr>
          <w:rFonts w:ascii="Arial" w:cs="Arial" w:eastAsia="Arial" w:hAnsi="Arial"/>
          <w:sz w:val="18"/>
          <w:szCs w:val="18"/>
          <w:color w:val="auto"/>
        </w:rPr>
        <w:t xml:space="preserve">, or (B) that one or more of the applicable conditions specified in </w:t>
      </w:r>
      <w:r>
        <w:rPr>
          <w:rFonts w:ascii="Arial" w:cs="Arial" w:eastAsia="Arial" w:hAnsi="Arial"/>
          <w:sz w:val="18"/>
          <w:szCs w:val="18"/>
          <w:u w:val="single" w:color="auto"/>
          <w:color w:val="auto"/>
        </w:rPr>
        <w:t>Article V</w:t>
      </w:r>
      <w:r>
        <w:rPr>
          <w:rFonts w:ascii="Arial" w:cs="Arial" w:eastAsia="Arial" w:hAnsi="Arial"/>
          <w:sz w:val="18"/>
          <w:szCs w:val="18"/>
          <w:color w:val="auto"/>
        </w:rPr>
        <w:t xml:space="preserve"> is not then satisfied, then, subject to the terms and conditions hereof, the European Swingline Lender will, not later than 2:00 p.m. (London time) on the borrowing date specified in such Loan Notice, make the amount of its European Swingline Loan available to the applicable Borrower at its office by crediting the account of such Borrower on the books of the European Swingline Lender (or otherwise transfer amounts per the Borrower’s payment instructions) in Same Day Funds.</w:t>
      </w:r>
    </w:p>
    <w:p>
      <w:pPr>
        <w:spacing w:after="0" w:line="167" w:lineRule="exact"/>
        <w:rPr>
          <w:rFonts w:ascii="Arial" w:cs="Arial" w:eastAsia="Arial" w:hAnsi="Arial"/>
          <w:sz w:val="19"/>
          <w:szCs w:val="19"/>
          <w:color w:val="auto"/>
        </w:rPr>
      </w:pPr>
    </w:p>
    <w:p>
      <w:pPr>
        <w:ind w:left="1720" w:hanging="415"/>
        <w:spacing w:after="0"/>
        <w:tabs>
          <w:tab w:leader="none" w:pos="1720" w:val="left"/>
        </w:tabs>
        <w:numPr>
          <w:ilvl w:val="0"/>
          <w:numId w:val="108"/>
        </w:numPr>
        <w:rPr>
          <w:rFonts w:ascii="Arial" w:cs="Arial" w:eastAsia="Arial" w:hAnsi="Arial"/>
          <w:sz w:val="20"/>
          <w:szCs w:val="20"/>
          <w:color w:val="auto"/>
        </w:rPr>
      </w:pPr>
      <w:r>
        <w:rPr>
          <w:rFonts w:ascii="Arial" w:cs="Arial" w:eastAsia="Arial" w:hAnsi="Arial"/>
          <w:sz w:val="20"/>
          <w:szCs w:val="20"/>
          <w:color w:val="auto"/>
        </w:rPr>
        <w:t>Refinancing.</w:t>
      </w:r>
    </w:p>
    <w:p>
      <w:pPr>
        <w:spacing w:after="0" w:line="280" w:lineRule="exact"/>
        <w:rPr>
          <w:rFonts w:ascii="Arial" w:cs="Arial" w:eastAsia="Arial" w:hAnsi="Arial"/>
          <w:sz w:val="20"/>
          <w:szCs w:val="20"/>
          <w:color w:val="auto"/>
        </w:rPr>
      </w:pPr>
    </w:p>
    <w:p>
      <w:pPr>
        <w:ind w:left="2340" w:hanging="387"/>
        <w:spacing w:after="0"/>
        <w:tabs>
          <w:tab w:leader="none" w:pos="2340" w:val="left"/>
        </w:tabs>
        <w:numPr>
          <w:ilvl w:val="1"/>
          <w:numId w:val="108"/>
        </w:numPr>
        <w:rPr>
          <w:rFonts w:ascii="Arial" w:cs="Arial" w:eastAsia="Arial" w:hAnsi="Arial"/>
          <w:sz w:val="22"/>
          <w:szCs w:val="22"/>
          <w:color w:val="auto"/>
        </w:rPr>
      </w:pPr>
      <w:r>
        <w:rPr>
          <w:rFonts w:ascii="Arial" w:cs="Arial" w:eastAsia="Arial" w:hAnsi="Arial"/>
          <w:sz w:val="20"/>
          <w:szCs w:val="20"/>
          <w:color w:val="auto"/>
        </w:rPr>
        <w:t>USD Swingline Loans.</w:t>
      </w:r>
    </w:p>
    <w:p>
      <w:pPr>
        <w:spacing w:after="0" w:line="276" w:lineRule="exact"/>
        <w:rPr>
          <w:rFonts w:ascii="Arial" w:cs="Arial" w:eastAsia="Arial" w:hAnsi="Arial"/>
          <w:sz w:val="22"/>
          <w:szCs w:val="22"/>
          <w:color w:val="auto"/>
        </w:rPr>
      </w:pPr>
    </w:p>
    <w:p>
      <w:pPr>
        <w:ind w:left="1960" w:firstLine="641"/>
        <w:spacing w:after="0" w:line="353" w:lineRule="auto"/>
        <w:tabs>
          <w:tab w:leader="none" w:pos="3088" w:val="left"/>
        </w:tabs>
        <w:numPr>
          <w:ilvl w:val="2"/>
          <w:numId w:val="108"/>
        </w:numPr>
        <w:rPr>
          <w:rFonts w:ascii="Arial" w:cs="Arial" w:eastAsia="Arial" w:hAnsi="Arial"/>
          <w:sz w:val="19"/>
          <w:szCs w:val="19"/>
          <w:color w:val="auto"/>
        </w:rPr>
      </w:pPr>
      <w:r>
        <w:rPr>
          <w:rFonts w:ascii="Arial" w:cs="Arial" w:eastAsia="Arial" w:hAnsi="Arial"/>
          <w:sz w:val="18"/>
          <w:szCs w:val="18"/>
          <w:color w:val="auto"/>
        </w:rPr>
        <w:t xml:space="preserve">The USD Swingline Lender at any time in its sole and absolute discretion may request, on behalf of the applicable Borrowers (which hereby irrevocably authorizes the USD Swingline Lender to so request on its behalf), that each USD Revolving Lender make a USD Revolving Loan that is a Base Rate Loan or a Fixed LIBOR Rate Loan with an Interest Period of one month, as appropriate, in an amount equal to such Lender’s pro rata share of USD Swingline Loans then outstanding. Such request shall be made in writing (which written request shall be deemed to be a Loan Notice for purposes hereof) and in accordance with the requirements of </w:t>
      </w:r>
      <w:r>
        <w:rPr>
          <w:rFonts w:ascii="Arial" w:cs="Arial" w:eastAsia="Arial" w:hAnsi="Arial"/>
          <w:sz w:val="18"/>
          <w:szCs w:val="18"/>
          <w:u w:val="single" w:color="auto"/>
          <w:color w:val="auto"/>
        </w:rPr>
        <w:t>Section 2.02</w:t>
      </w:r>
      <w:r>
        <w:rPr>
          <w:rFonts w:ascii="Arial" w:cs="Arial" w:eastAsia="Arial" w:hAnsi="Arial"/>
          <w:sz w:val="18"/>
          <w:szCs w:val="18"/>
          <w:color w:val="auto"/>
        </w:rPr>
        <w:t>, without regard to the</w:t>
      </w:r>
    </w:p>
    <w:p>
      <w:pPr>
        <w:spacing w:after="0" w:line="371" w:lineRule="exact"/>
        <w:rPr>
          <w:sz w:val="20"/>
          <w:szCs w:val="20"/>
          <w:color w:val="auto"/>
        </w:rPr>
      </w:pPr>
    </w:p>
    <w:p>
      <w:pPr>
        <w:jc w:val="center"/>
        <w:ind w:right="-39"/>
        <w:spacing w:after="0"/>
        <w:rPr>
          <w:sz w:val="20"/>
          <w:szCs w:val="20"/>
          <w:color w:val="auto"/>
        </w:rPr>
      </w:pPr>
      <w:r>
        <w:rPr>
          <w:rFonts w:ascii="Arial" w:cs="Arial" w:eastAsia="Arial" w:hAnsi="Arial"/>
          <w:sz w:val="20"/>
          <w:szCs w:val="20"/>
          <w:color w:val="auto"/>
        </w:rPr>
        <w:t>91</w:t>
      </w:r>
    </w:p>
    <w:p>
      <w:pPr>
        <w:spacing w:after="0" w:line="10" w:lineRule="exact"/>
        <w:rPr>
          <w:sz w:val="20"/>
          <w:szCs w:val="20"/>
          <w:color w:val="auto"/>
        </w:rPr>
      </w:pPr>
    </w:p>
    <w:p>
      <w:pPr>
        <w:spacing w:after="0"/>
        <w:rPr>
          <w:sz w:val="20"/>
          <w:szCs w:val="20"/>
          <w:color w:val="auto"/>
        </w:rPr>
      </w:pPr>
      <w:r>
        <w:rPr>
          <w:rFonts w:ascii="Arial" w:cs="Arial" w:eastAsia="Arial" w:hAnsi="Arial"/>
          <w:sz w:val="14"/>
          <w:szCs w:val="14"/>
          <w:color w:val="auto"/>
        </w:rPr>
        <w:t>CHAR1\1346423v</w:t>
      </w:r>
      <w:r>
        <w:rPr>
          <w:rFonts w:ascii="Arial" w:cs="Arial" w:eastAsia="Arial" w:hAnsi="Arial"/>
          <w:sz w:val="14"/>
          <w:szCs w:val="14"/>
          <w:color w:val="FF0000"/>
          <w:strike w:val="1"/>
        </w:rPr>
        <w:t>1</w:t>
      </w:r>
      <w:r>
        <w:rPr>
          <w:rFonts w:ascii="Arial" w:cs="Arial" w:eastAsia="Arial" w:hAnsi="Arial"/>
          <w:sz w:val="14"/>
          <w:szCs w:val="14"/>
          <w:u w:val="single" w:color="auto"/>
          <w:color w:val="0000FF"/>
        </w:rPr>
        <w:t>12</w:t>
      </w:r>
    </w:p>
    <w:p>
      <w:pPr>
        <w:sectPr>
          <w:pgSz w:w="11900" w:h="16838" w:orient="portrait"/>
          <w:cols w:equalWidth="0" w:num="1">
            <w:col w:w="11400"/>
          </w:cols>
          <w:pgMar w:left="240" w:top="609" w:right="259" w:bottom="1440" w:gutter="0" w:footer="0" w:header="0"/>
        </w:sectPr>
      </w:pPr>
    </w:p>
    <w:bookmarkStart w:id="143" w:name="page144"/>
    <w:bookmarkEnd w:id="143"/>
    <w:p>
      <w:pPr>
        <w:ind w:left="1960"/>
        <w:spacing w:after="0" w:line="300" w:lineRule="auto"/>
        <w:rPr>
          <w:sz w:val="20"/>
          <w:szCs w:val="20"/>
          <w:color w:val="auto"/>
        </w:rPr>
      </w:pPr>
      <w:r>
        <w:rPr>
          <w:rFonts w:ascii="Arial" w:cs="Arial" w:eastAsia="Arial" w:hAnsi="Arial"/>
          <w:sz w:val="19"/>
          <w:szCs w:val="19"/>
          <w:color w:val="auto"/>
        </w:rPr>
        <w:t xml:space="preserve">minimum and multiples specified therein, but subject to the unutilized portion of the Aggregate USD Revolving Commitments and the conditions set forth in </w:t>
      </w:r>
      <w:r>
        <w:rPr>
          <w:rFonts w:ascii="Arial" w:cs="Arial" w:eastAsia="Arial" w:hAnsi="Arial"/>
          <w:sz w:val="19"/>
          <w:szCs w:val="19"/>
          <w:u w:val="single" w:color="auto"/>
          <w:color w:val="auto"/>
        </w:rPr>
        <w:t>Section 5.02</w:t>
      </w:r>
      <w:r>
        <w:rPr>
          <w:rFonts w:ascii="Arial" w:cs="Arial" w:eastAsia="Arial" w:hAnsi="Arial"/>
          <w:sz w:val="19"/>
          <w:szCs w:val="19"/>
          <w:color w:val="auto"/>
        </w:rPr>
        <w:t xml:space="preserve">. The USD Swingline Lender shall furnish the applicable Borrowers with a copy of the applicable Loan Notice promptly after delivering such notice to the Administrative Agent. Each USD Revolving Lender shall make an amount equal to its pro rata share of the amount specified in such Loan Notice available to the Administrative Agent in Same Day Funds for the account of the USD Swingline Lender at the Administrative Agent’s Office not later than 1:00 p.m. on the day specified in such Loan Notice, whereupon, subject to </w:t>
      </w:r>
      <w:r>
        <w:rPr>
          <w:rFonts w:ascii="Arial" w:cs="Arial" w:eastAsia="Arial" w:hAnsi="Arial"/>
          <w:sz w:val="19"/>
          <w:szCs w:val="19"/>
          <w:u w:val="single" w:color="auto"/>
          <w:color w:val="auto"/>
        </w:rPr>
        <w:t>Section 2.04(c)(i)(B</w:t>
      </w:r>
      <w:r>
        <w:rPr>
          <w:rFonts w:ascii="Arial" w:cs="Arial" w:eastAsia="Arial" w:hAnsi="Arial"/>
          <w:sz w:val="19"/>
          <w:szCs w:val="19"/>
          <w:color w:val="auto"/>
        </w:rPr>
        <w:t>), each USD Revolving Lender that so makes funds available shall be deemed to have made a USD Revolving Loan that is a Base Rate Loan or a Fixed LIBOR Rate Loan with an Interest Period of one month, as appropriate, in such amount. The Administrative Agent shall remit the funds so received to the USD Swingline Lender.</w:t>
      </w:r>
    </w:p>
    <w:p>
      <w:pPr>
        <w:spacing w:after="0" w:line="200" w:lineRule="exact"/>
        <w:rPr>
          <w:sz w:val="20"/>
          <w:szCs w:val="20"/>
          <w:color w:val="auto"/>
        </w:rPr>
      </w:pPr>
    </w:p>
    <w:p>
      <w:pPr>
        <w:ind w:left="1960" w:right="20" w:firstLine="641"/>
        <w:spacing w:after="0" w:line="329" w:lineRule="auto"/>
        <w:tabs>
          <w:tab w:leader="none" w:pos="3076" w:val="left"/>
        </w:tabs>
        <w:numPr>
          <w:ilvl w:val="0"/>
          <w:numId w:val="109"/>
        </w:numPr>
        <w:rPr>
          <w:rFonts w:ascii="Arial" w:cs="Arial" w:eastAsia="Arial" w:hAnsi="Arial"/>
          <w:sz w:val="21"/>
          <w:szCs w:val="21"/>
          <w:color w:val="auto"/>
        </w:rPr>
      </w:pPr>
      <w:r>
        <w:rPr>
          <w:rFonts w:ascii="Arial" w:cs="Arial" w:eastAsia="Arial" w:hAnsi="Arial"/>
          <w:sz w:val="19"/>
          <w:szCs w:val="19"/>
          <w:color w:val="auto"/>
        </w:rPr>
        <w:t xml:space="preserve">If for any reason any USD Swingline Loan cannot be refinanced by such a Borrowing of USD Revolving Loans in accordance with </w:t>
      </w:r>
      <w:r>
        <w:rPr>
          <w:rFonts w:ascii="Arial" w:cs="Arial" w:eastAsia="Arial" w:hAnsi="Arial"/>
          <w:sz w:val="19"/>
          <w:szCs w:val="19"/>
          <w:u w:val="single" w:color="auto"/>
          <w:color w:val="auto"/>
        </w:rPr>
        <w:t>Section 2.04(b)(i)(A</w:t>
      </w:r>
      <w:r>
        <w:rPr>
          <w:rFonts w:ascii="Arial" w:cs="Arial" w:eastAsia="Arial" w:hAnsi="Arial"/>
          <w:sz w:val="19"/>
          <w:szCs w:val="19"/>
          <w:color w:val="auto"/>
        </w:rPr>
        <w:t xml:space="preserve">), the request for USD Revolving Loans submitted by the USD Swingline Lender as set forth herein shall be deemed to be a request by the USD Swingline Lender that each of the USD Revolving Lenders fund its risk participation in the relevant USD Swingline Loan and each USD Revolving Lender’s payment to the Administrative Agent for the account of the USD Swingline Lender pursuant to </w:t>
      </w:r>
      <w:r>
        <w:rPr>
          <w:rFonts w:ascii="Arial" w:cs="Arial" w:eastAsia="Arial" w:hAnsi="Arial"/>
          <w:sz w:val="19"/>
          <w:szCs w:val="19"/>
          <w:u w:val="single" w:color="auto"/>
          <w:color w:val="auto"/>
        </w:rPr>
        <w:t>Section</w:t>
      </w:r>
      <w:r>
        <w:rPr>
          <w:rFonts w:ascii="Arial" w:cs="Arial" w:eastAsia="Arial" w:hAnsi="Arial"/>
          <w:sz w:val="19"/>
          <w:szCs w:val="19"/>
          <w:color w:val="auto"/>
        </w:rPr>
        <w:t xml:space="preserve"> </w:t>
      </w:r>
      <w:r>
        <w:rPr>
          <w:rFonts w:ascii="Arial" w:cs="Arial" w:eastAsia="Arial" w:hAnsi="Arial"/>
          <w:sz w:val="19"/>
          <w:szCs w:val="19"/>
          <w:u w:val="single" w:color="auto"/>
          <w:color w:val="auto"/>
        </w:rPr>
        <w:t>2.04(c)(i)(A</w:t>
      </w:r>
      <w:r>
        <w:rPr>
          <w:rFonts w:ascii="Arial" w:cs="Arial" w:eastAsia="Arial" w:hAnsi="Arial"/>
          <w:sz w:val="19"/>
          <w:szCs w:val="19"/>
          <w:color w:val="auto"/>
        </w:rPr>
        <w:t>)shall be deemed payment in respect of such participation.</w:t>
      </w:r>
    </w:p>
    <w:p>
      <w:pPr>
        <w:spacing w:after="0" w:line="183" w:lineRule="exact"/>
        <w:rPr>
          <w:rFonts w:ascii="Arial" w:cs="Arial" w:eastAsia="Arial" w:hAnsi="Arial"/>
          <w:sz w:val="21"/>
          <w:szCs w:val="21"/>
          <w:color w:val="auto"/>
        </w:rPr>
      </w:pPr>
    </w:p>
    <w:p>
      <w:pPr>
        <w:ind w:left="1960" w:right="20" w:firstLine="641"/>
        <w:spacing w:after="0" w:line="348" w:lineRule="auto"/>
        <w:tabs>
          <w:tab w:leader="none" w:pos="3076" w:val="left"/>
        </w:tabs>
        <w:numPr>
          <w:ilvl w:val="0"/>
          <w:numId w:val="109"/>
        </w:numPr>
        <w:rPr>
          <w:rFonts w:ascii="Arial" w:cs="Arial" w:eastAsia="Arial" w:hAnsi="Arial"/>
          <w:sz w:val="19"/>
          <w:szCs w:val="19"/>
          <w:color w:val="auto"/>
        </w:rPr>
      </w:pPr>
      <w:r>
        <w:rPr>
          <w:rFonts w:ascii="Arial" w:cs="Arial" w:eastAsia="Arial" w:hAnsi="Arial"/>
          <w:sz w:val="18"/>
          <w:szCs w:val="18"/>
          <w:color w:val="auto"/>
        </w:rPr>
        <w:t xml:space="preserve">If any USD Revolving Lender fails to make available to the Administrative Agent for the account of the USD Swingline Lender any amount required to be paid by such USD Revolving Lender pursuant to the foregoing provisions of this </w:t>
      </w:r>
      <w:r>
        <w:rPr>
          <w:rFonts w:ascii="Arial" w:cs="Arial" w:eastAsia="Arial" w:hAnsi="Arial"/>
          <w:sz w:val="18"/>
          <w:szCs w:val="18"/>
          <w:u w:val="single" w:color="auto"/>
          <w:color w:val="auto"/>
        </w:rPr>
        <w:t>Section 2.04(b)(i</w:t>
      </w:r>
      <w:r>
        <w:rPr>
          <w:rFonts w:ascii="Arial" w:cs="Arial" w:eastAsia="Arial" w:hAnsi="Arial"/>
          <w:sz w:val="18"/>
          <w:szCs w:val="18"/>
          <w:color w:val="auto"/>
        </w:rPr>
        <w:t xml:space="preserve">) by the time specified in </w:t>
      </w:r>
      <w:r>
        <w:rPr>
          <w:rFonts w:ascii="Arial" w:cs="Arial" w:eastAsia="Arial" w:hAnsi="Arial"/>
          <w:sz w:val="18"/>
          <w:szCs w:val="18"/>
          <w:u w:val="single" w:color="auto"/>
          <w:color w:val="auto"/>
        </w:rPr>
        <w:t>Section 2.04(b)(i)(A</w:t>
      </w:r>
      <w:r>
        <w:rPr>
          <w:rFonts w:ascii="Arial" w:cs="Arial" w:eastAsia="Arial" w:hAnsi="Arial"/>
          <w:sz w:val="18"/>
          <w:szCs w:val="18"/>
          <w:color w:val="auto"/>
        </w:rPr>
        <w:t xml:space="preserve">), the USD Swingline Lender shall be entitled to recover from such USD Revolving Lender (acting through the Administrative Agent), on demand, such amount with interest thereon for the period from the date such payment is required to the date on which such payment is immediately available to the USD Swingline Lender at a rate per annum equal to the applicable Overnight Rate from time to time in effect, </w:t>
      </w:r>
      <w:r>
        <w:rPr>
          <w:rFonts w:ascii="Arial" w:cs="Arial" w:eastAsia="Arial" w:hAnsi="Arial"/>
          <w:sz w:val="18"/>
          <w:szCs w:val="18"/>
          <w:u w:val="single" w:color="auto"/>
          <w:color w:val="auto"/>
        </w:rPr>
        <w:t>plus</w:t>
      </w:r>
      <w:r>
        <w:rPr>
          <w:rFonts w:ascii="Arial" w:cs="Arial" w:eastAsia="Arial" w:hAnsi="Arial"/>
          <w:sz w:val="18"/>
          <w:szCs w:val="18"/>
          <w:color w:val="auto"/>
        </w:rPr>
        <w:t xml:space="preserve"> any administrative, processing or similar fees customarily charged by the USD Swingline Lender in connection with the foregoing. If such USD Revolving Lender pays such amount (with interest and fees as aforesaid), the amount so paid shall constitute such Lender’s USD Revolving Loan included in the relevant Borrowing or funded participation in the relevant USD Swingline Loan, as the case may be. A certificate of the USD Swingline Lender submitted to any Lender (through the Administrative Agent) with respect to any amounts owing under this </w:t>
      </w:r>
      <w:r>
        <w:rPr>
          <w:rFonts w:ascii="Arial" w:cs="Arial" w:eastAsia="Arial" w:hAnsi="Arial"/>
          <w:sz w:val="18"/>
          <w:szCs w:val="18"/>
          <w:u w:val="single" w:color="auto"/>
          <w:color w:val="auto"/>
        </w:rPr>
        <w:t>clause (C</w:t>
      </w:r>
      <w:r>
        <w:rPr>
          <w:rFonts w:ascii="Arial" w:cs="Arial" w:eastAsia="Arial" w:hAnsi="Arial"/>
          <w:sz w:val="18"/>
          <w:szCs w:val="18"/>
          <w:color w:val="auto"/>
        </w:rPr>
        <w:t>) shall be conclusive absent manifest error.</w:t>
      </w:r>
    </w:p>
    <w:p>
      <w:pPr>
        <w:spacing w:after="0" w:line="379"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92</w:t>
      </w:r>
    </w:p>
    <w:p>
      <w:pPr>
        <w:spacing w:after="0" w:line="10" w:lineRule="exact"/>
        <w:rPr>
          <w:sz w:val="20"/>
          <w:szCs w:val="20"/>
          <w:color w:val="auto"/>
        </w:rPr>
      </w:pPr>
    </w:p>
    <w:p>
      <w:pPr>
        <w:spacing w:after="0"/>
        <w:rPr>
          <w:sz w:val="20"/>
          <w:szCs w:val="20"/>
          <w:color w:val="auto"/>
        </w:rPr>
      </w:pPr>
      <w:r>
        <w:rPr>
          <w:rFonts w:ascii="Arial" w:cs="Arial" w:eastAsia="Arial" w:hAnsi="Arial"/>
          <w:sz w:val="14"/>
          <w:szCs w:val="14"/>
          <w:color w:val="auto"/>
        </w:rPr>
        <w:t>CHAR1\1346423v</w:t>
      </w:r>
      <w:r>
        <w:rPr>
          <w:rFonts w:ascii="Arial" w:cs="Arial" w:eastAsia="Arial" w:hAnsi="Arial"/>
          <w:sz w:val="14"/>
          <w:szCs w:val="14"/>
          <w:color w:val="FF0000"/>
          <w:strike w:val="1"/>
        </w:rPr>
        <w:t>1</w:t>
      </w:r>
      <w:r>
        <w:rPr>
          <w:rFonts w:ascii="Arial" w:cs="Arial" w:eastAsia="Arial" w:hAnsi="Arial"/>
          <w:sz w:val="14"/>
          <w:szCs w:val="14"/>
          <w:u w:val="single" w:color="auto"/>
          <w:color w:val="0000FF"/>
        </w:rPr>
        <w:t>12</w:t>
      </w:r>
    </w:p>
    <w:p>
      <w:pPr>
        <w:sectPr>
          <w:pgSz w:w="11900" w:h="16838" w:orient="portrait"/>
          <w:cols w:equalWidth="0" w:num="1">
            <w:col w:w="11420"/>
          </w:cols>
          <w:pgMar w:left="240" w:top="609" w:right="239" w:bottom="1440" w:gutter="0" w:footer="0" w:header="0"/>
        </w:sectPr>
      </w:pPr>
    </w:p>
    <w:bookmarkStart w:id="144" w:name="page145"/>
    <w:bookmarkEnd w:id="144"/>
    <w:p>
      <w:pPr>
        <w:ind w:left="1960" w:firstLine="641"/>
        <w:spacing w:after="0" w:line="328" w:lineRule="auto"/>
        <w:tabs>
          <w:tab w:leader="none" w:pos="3088" w:val="left"/>
        </w:tabs>
        <w:numPr>
          <w:ilvl w:val="1"/>
          <w:numId w:val="110"/>
        </w:numPr>
        <w:rPr>
          <w:rFonts w:ascii="Arial" w:cs="Arial" w:eastAsia="Arial" w:hAnsi="Arial"/>
          <w:sz w:val="21"/>
          <w:szCs w:val="21"/>
          <w:color w:val="auto"/>
        </w:rPr>
      </w:pPr>
      <w:r>
        <w:rPr>
          <w:rFonts w:ascii="Arial" w:cs="Arial" w:eastAsia="Arial" w:hAnsi="Arial"/>
          <w:sz w:val="19"/>
          <w:szCs w:val="19"/>
          <w:color w:val="auto"/>
        </w:rPr>
        <w:t xml:space="preserve">Each USD Revolving Lender’s obligation to make USD Revolving Loans or to purchase and fund risk participations in USD Swingline Loans pursuant to this </w:t>
      </w:r>
      <w:r>
        <w:rPr>
          <w:rFonts w:ascii="Arial" w:cs="Arial" w:eastAsia="Arial" w:hAnsi="Arial"/>
          <w:sz w:val="19"/>
          <w:szCs w:val="19"/>
          <w:u w:val="single" w:color="auto"/>
          <w:color w:val="auto"/>
        </w:rPr>
        <w:t>Section 2.04(b)(i</w:t>
      </w:r>
      <w:r>
        <w:rPr>
          <w:rFonts w:ascii="Arial" w:cs="Arial" w:eastAsia="Arial" w:hAnsi="Arial"/>
          <w:sz w:val="19"/>
          <w:szCs w:val="19"/>
          <w:color w:val="auto"/>
        </w:rPr>
        <w:t xml:space="preserve">) shall be absolute and unconditional and shall not be affected by any circumstance, including (A) any setoff, counterclaim, recoupment, defense or other right that such Lender may have against the USD Swingline Lender, any Borrower or any other Person for any reason whatsoever, (B) the occurrence or continuance of a Default or Event of Default, (C) non-compliance with the conditions set forth in </w:t>
      </w:r>
      <w:r>
        <w:rPr>
          <w:rFonts w:ascii="Arial" w:cs="Arial" w:eastAsia="Arial" w:hAnsi="Arial"/>
          <w:sz w:val="19"/>
          <w:szCs w:val="19"/>
          <w:u w:val="single" w:color="auto"/>
          <w:color w:val="auto"/>
        </w:rPr>
        <w:t>Section 5.02</w:t>
      </w:r>
      <w:r>
        <w:rPr>
          <w:rFonts w:ascii="Arial" w:cs="Arial" w:eastAsia="Arial" w:hAnsi="Arial"/>
          <w:sz w:val="19"/>
          <w:szCs w:val="19"/>
          <w:color w:val="auto"/>
        </w:rPr>
        <w:t xml:space="preserve">, or (D) any other occurrence, event or condition, whether or not similar to any of the foregoing;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however, that each USD Revolving Lender’s obligation to make Loans pursuant to this </w:t>
      </w:r>
      <w:r>
        <w:rPr>
          <w:rFonts w:ascii="Arial" w:cs="Arial" w:eastAsia="Arial" w:hAnsi="Arial"/>
          <w:sz w:val="19"/>
          <w:szCs w:val="19"/>
          <w:u w:val="single" w:color="auto"/>
          <w:color w:val="auto"/>
        </w:rPr>
        <w:t>Section</w:t>
      </w:r>
      <w:r>
        <w:rPr>
          <w:rFonts w:ascii="Arial" w:cs="Arial" w:eastAsia="Arial" w:hAnsi="Arial"/>
          <w:sz w:val="19"/>
          <w:szCs w:val="19"/>
          <w:color w:val="auto"/>
        </w:rPr>
        <w:t xml:space="preserve"> </w:t>
      </w:r>
      <w:r>
        <w:rPr>
          <w:rFonts w:ascii="Arial" w:cs="Arial" w:eastAsia="Arial" w:hAnsi="Arial"/>
          <w:sz w:val="19"/>
          <w:szCs w:val="19"/>
          <w:u w:val="single" w:color="auto"/>
          <w:color w:val="auto"/>
        </w:rPr>
        <w:t>2.04(b)(i</w:t>
      </w:r>
      <w:r>
        <w:rPr>
          <w:rFonts w:ascii="Arial" w:cs="Arial" w:eastAsia="Arial" w:hAnsi="Arial"/>
          <w:sz w:val="19"/>
          <w:szCs w:val="19"/>
          <w:color w:val="auto"/>
        </w:rPr>
        <w:t xml:space="preserve">) is subject to the conditions set forth in </w:t>
      </w:r>
      <w:r>
        <w:rPr>
          <w:rFonts w:ascii="Arial" w:cs="Arial" w:eastAsia="Arial" w:hAnsi="Arial"/>
          <w:sz w:val="19"/>
          <w:szCs w:val="19"/>
          <w:u w:val="single" w:color="auto"/>
          <w:color w:val="auto"/>
        </w:rPr>
        <w:t>Section 5.02</w:t>
      </w:r>
      <w:r>
        <w:rPr>
          <w:rFonts w:ascii="Arial" w:cs="Arial" w:eastAsia="Arial" w:hAnsi="Arial"/>
          <w:sz w:val="19"/>
          <w:szCs w:val="19"/>
          <w:color w:val="auto"/>
        </w:rPr>
        <w:t>. No such purchase or funding of risk participations shall relieve or otherwise impair the obligation of the Borrowers to repay USD Swingline Loans, together with interest as provided herein.</w:t>
      </w:r>
    </w:p>
    <w:p>
      <w:pPr>
        <w:spacing w:after="0" w:line="180" w:lineRule="exact"/>
        <w:rPr>
          <w:rFonts w:ascii="Arial" w:cs="Arial" w:eastAsia="Arial" w:hAnsi="Arial"/>
          <w:sz w:val="21"/>
          <w:szCs w:val="21"/>
          <w:color w:val="auto"/>
        </w:rPr>
      </w:pPr>
    </w:p>
    <w:p>
      <w:pPr>
        <w:ind w:left="2400" w:hanging="447"/>
        <w:spacing w:after="0"/>
        <w:tabs>
          <w:tab w:leader="none" w:pos="2400" w:val="left"/>
        </w:tabs>
        <w:numPr>
          <w:ilvl w:val="0"/>
          <w:numId w:val="111"/>
        </w:numPr>
        <w:rPr>
          <w:rFonts w:ascii="Arial" w:cs="Arial" w:eastAsia="Arial" w:hAnsi="Arial"/>
          <w:sz w:val="22"/>
          <w:szCs w:val="22"/>
          <w:color w:val="auto"/>
        </w:rPr>
      </w:pPr>
      <w:r>
        <w:rPr>
          <w:rFonts w:ascii="Arial" w:cs="Arial" w:eastAsia="Arial" w:hAnsi="Arial"/>
          <w:sz w:val="20"/>
          <w:szCs w:val="20"/>
          <w:color w:val="auto"/>
        </w:rPr>
        <w:t>European Swingline Loans.</w:t>
      </w:r>
    </w:p>
    <w:p>
      <w:pPr>
        <w:spacing w:after="0" w:line="276" w:lineRule="exact"/>
        <w:rPr>
          <w:rFonts w:ascii="Arial" w:cs="Arial" w:eastAsia="Arial" w:hAnsi="Arial"/>
          <w:sz w:val="22"/>
          <w:szCs w:val="22"/>
          <w:color w:val="auto"/>
        </w:rPr>
      </w:pPr>
    </w:p>
    <w:p>
      <w:pPr>
        <w:ind w:left="1960" w:firstLine="641"/>
        <w:spacing w:after="0" w:line="347" w:lineRule="auto"/>
        <w:tabs>
          <w:tab w:leader="none" w:pos="3088" w:val="left"/>
        </w:tabs>
        <w:numPr>
          <w:ilvl w:val="1"/>
          <w:numId w:val="111"/>
        </w:numPr>
        <w:rPr>
          <w:rFonts w:ascii="Arial" w:cs="Arial" w:eastAsia="Arial" w:hAnsi="Arial"/>
          <w:sz w:val="19"/>
          <w:szCs w:val="19"/>
          <w:color w:val="auto"/>
        </w:rPr>
      </w:pPr>
      <w:r>
        <w:rPr>
          <w:rFonts w:ascii="Arial" w:cs="Arial" w:eastAsia="Arial" w:hAnsi="Arial"/>
          <w:sz w:val="18"/>
          <w:szCs w:val="18"/>
          <w:color w:val="auto"/>
        </w:rPr>
        <w:t xml:space="preserve">The European Swingline Lender at any time in its sole and absolute discretion may request, on behalf of the applicable Borrowers (which hereby irrevocably authorizes the European Swingline Lender to so request on its behalf), that each European Revolving Lender make a European Revolving Loan in the applicable currency that is a Fixed LIBOR Rate Loan with an Interest Period of one month, as appropriate, in an amount equal to such Lender’s pro rata share of European Swingline Loans then outstanding. Such request shall be made in writing (which written request shall be deemed to be a Loan Notice for purposes hereof) and in accordance with the requirements of </w:t>
      </w:r>
      <w:r>
        <w:rPr>
          <w:rFonts w:ascii="Arial" w:cs="Arial" w:eastAsia="Arial" w:hAnsi="Arial"/>
          <w:sz w:val="18"/>
          <w:szCs w:val="18"/>
          <w:u w:val="single" w:color="auto"/>
          <w:color w:val="auto"/>
        </w:rPr>
        <w:t>Section 2.02</w:t>
      </w:r>
      <w:r>
        <w:rPr>
          <w:rFonts w:ascii="Arial" w:cs="Arial" w:eastAsia="Arial" w:hAnsi="Arial"/>
          <w:sz w:val="18"/>
          <w:szCs w:val="18"/>
          <w:color w:val="auto"/>
        </w:rPr>
        <w:t xml:space="preserve">, without regard to the minimum and multiples specified therein, but subject to the unutilized portion of the Aggregate European Revolving Commitments and the conditions set forth in </w:t>
      </w:r>
      <w:r>
        <w:rPr>
          <w:rFonts w:ascii="Arial" w:cs="Arial" w:eastAsia="Arial" w:hAnsi="Arial"/>
          <w:sz w:val="18"/>
          <w:szCs w:val="18"/>
          <w:u w:val="single" w:color="auto"/>
          <w:color w:val="auto"/>
        </w:rPr>
        <w:t>Section 5.02</w:t>
      </w:r>
      <w:r>
        <w:rPr>
          <w:rFonts w:ascii="Arial" w:cs="Arial" w:eastAsia="Arial" w:hAnsi="Arial"/>
          <w:sz w:val="18"/>
          <w:szCs w:val="18"/>
          <w:color w:val="auto"/>
        </w:rPr>
        <w:t xml:space="preserve">. The European Swingline Lender shall furnish the applicable Borrowers with a copy of the applicable Loan Notice promptly after delivering such notice to the Administrative Agent. Each European Revolving Lender shall make an amount equal to its pro rata share of the amount specified in such Loan Notice available to the Administrative Agent in Same Day Funds for the account of the European Swingline Lender at (i) the Administrative Agent’s Office not later than 1:00 p.m. on the day specified in such Loan Notice, or (ii) the Administrative Agent’s office for the applicable currency not later than the Applicable Time specified by the Administrative Agent, as applicable, whereupon, subject to </w:t>
      </w:r>
      <w:r>
        <w:rPr>
          <w:rFonts w:ascii="Arial" w:cs="Arial" w:eastAsia="Arial" w:hAnsi="Arial"/>
          <w:sz w:val="18"/>
          <w:szCs w:val="18"/>
          <w:u w:val="single" w:color="auto"/>
          <w:color w:val="auto"/>
        </w:rPr>
        <w:t>Section 2.04(c)(ii)(B</w:t>
      </w:r>
      <w:r>
        <w:rPr>
          <w:rFonts w:ascii="Arial" w:cs="Arial" w:eastAsia="Arial" w:hAnsi="Arial"/>
          <w:sz w:val="18"/>
          <w:szCs w:val="18"/>
          <w:color w:val="auto"/>
        </w:rPr>
        <w:t>), each European Revolving Lender that so makes funds available shall be deemed to have made a European Revolving Loan that is a Fixed LIBOR Rate Loan with an Interest Period of one month, as appropriate, in such amount. The Administrative Agent shall remit the funds so received to the European Swingline Lender.</w:t>
      </w:r>
    </w:p>
    <w:p>
      <w:pPr>
        <w:spacing w:after="0" w:line="379"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93</w:t>
      </w:r>
    </w:p>
    <w:p>
      <w:pPr>
        <w:spacing w:after="0" w:line="10" w:lineRule="exact"/>
        <w:rPr>
          <w:sz w:val="20"/>
          <w:szCs w:val="20"/>
          <w:color w:val="auto"/>
        </w:rPr>
      </w:pPr>
    </w:p>
    <w:p>
      <w:pPr>
        <w:spacing w:after="0"/>
        <w:rPr>
          <w:sz w:val="20"/>
          <w:szCs w:val="20"/>
          <w:color w:val="auto"/>
        </w:rPr>
      </w:pPr>
      <w:r>
        <w:rPr>
          <w:rFonts w:ascii="Arial" w:cs="Arial" w:eastAsia="Arial" w:hAnsi="Arial"/>
          <w:sz w:val="14"/>
          <w:szCs w:val="14"/>
          <w:color w:val="auto"/>
        </w:rPr>
        <w:t>CHAR1\1346423v</w:t>
      </w:r>
      <w:r>
        <w:rPr>
          <w:rFonts w:ascii="Arial" w:cs="Arial" w:eastAsia="Arial" w:hAnsi="Arial"/>
          <w:sz w:val="14"/>
          <w:szCs w:val="14"/>
          <w:color w:val="FF0000"/>
          <w:strike w:val="1"/>
        </w:rPr>
        <w:t>1</w:t>
      </w:r>
      <w:r>
        <w:rPr>
          <w:rFonts w:ascii="Arial" w:cs="Arial" w:eastAsia="Arial" w:hAnsi="Arial"/>
          <w:sz w:val="14"/>
          <w:szCs w:val="14"/>
          <w:u w:val="single" w:color="auto"/>
          <w:color w:val="0000FF"/>
        </w:rPr>
        <w:t>12</w:t>
      </w:r>
    </w:p>
    <w:p>
      <w:pPr>
        <w:sectPr>
          <w:pgSz w:w="11900" w:h="16838" w:orient="portrait"/>
          <w:cols w:equalWidth="0" w:num="1">
            <w:col w:w="11400"/>
          </w:cols>
          <w:pgMar w:left="240" w:top="622" w:right="259" w:bottom="1440" w:gutter="0" w:footer="0" w:header="0"/>
        </w:sectPr>
      </w:pPr>
    </w:p>
    <w:bookmarkStart w:id="145" w:name="page146"/>
    <w:bookmarkEnd w:id="145"/>
    <w:p>
      <w:pPr>
        <w:ind w:left="1960" w:right="120" w:firstLine="641"/>
        <w:spacing w:after="0" w:line="377" w:lineRule="auto"/>
        <w:tabs>
          <w:tab w:leader="none" w:pos="3076" w:val="left"/>
        </w:tabs>
        <w:numPr>
          <w:ilvl w:val="0"/>
          <w:numId w:val="112"/>
        </w:numPr>
        <w:rPr>
          <w:rFonts w:ascii="Arial" w:cs="Arial" w:eastAsia="Arial" w:hAnsi="Arial"/>
          <w:sz w:val="18"/>
          <w:szCs w:val="18"/>
          <w:color w:val="auto"/>
        </w:rPr>
      </w:pPr>
      <w:r>
        <w:rPr>
          <w:rFonts w:ascii="Arial" w:cs="Arial" w:eastAsia="Arial" w:hAnsi="Arial"/>
          <w:sz w:val="17"/>
          <w:szCs w:val="17"/>
          <w:color w:val="auto"/>
        </w:rPr>
        <w:t xml:space="preserve">If for any reason any European Swingline Loan cannot be refinanced by such a Borrowing of European Revolving Loans in accordance with </w:t>
      </w:r>
      <w:r>
        <w:rPr>
          <w:rFonts w:ascii="Arial" w:cs="Arial" w:eastAsia="Arial" w:hAnsi="Arial"/>
          <w:sz w:val="17"/>
          <w:szCs w:val="17"/>
          <w:u w:val="single" w:color="auto"/>
          <w:color w:val="auto"/>
        </w:rPr>
        <w:t>Section 2.04(b)(ii)(A</w:t>
      </w:r>
      <w:r>
        <w:rPr>
          <w:rFonts w:ascii="Arial" w:cs="Arial" w:eastAsia="Arial" w:hAnsi="Arial"/>
          <w:sz w:val="17"/>
          <w:szCs w:val="17"/>
          <w:color w:val="auto"/>
        </w:rPr>
        <w:t xml:space="preserve">), the request for European Revolving Loans submitted by the European Swingline Lender as set forth herein shall be deemed to be a request by the European Swingline Lender that each of the European Revolving Lenders fund its risk participation in the relevant European Swingline Loan and each European Revolving Lender’s payment to the Administrative Agent for the account of the European Swingline Lender pursuant to </w:t>
      </w:r>
      <w:r>
        <w:rPr>
          <w:rFonts w:ascii="Arial" w:cs="Arial" w:eastAsia="Arial" w:hAnsi="Arial"/>
          <w:sz w:val="17"/>
          <w:szCs w:val="17"/>
          <w:u w:val="single" w:color="auto"/>
          <w:color w:val="auto"/>
        </w:rPr>
        <w:t>Section 2.04(c)(ii)(A</w:t>
      </w:r>
      <w:r>
        <w:rPr>
          <w:rFonts w:ascii="Arial" w:cs="Arial" w:eastAsia="Arial" w:hAnsi="Arial"/>
          <w:sz w:val="17"/>
          <w:szCs w:val="17"/>
          <w:color w:val="auto"/>
        </w:rPr>
        <w:t>)shall be deemed payment in respect of such participation.</w:t>
      </w:r>
    </w:p>
    <w:p>
      <w:pPr>
        <w:spacing w:after="0" w:line="151" w:lineRule="exact"/>
        <w:rPr>
          <w:rFonts w:ascii="Arial" w:cs="Arial" w:eastAsia="Arial" w:hAnsi="Arial"/>
          <w:sz w:val="18"/>
          <w:szCs w:val="18"/>
          <w:color w:val="auto"/>
        </w:rPr>
      </w:pPr>
    </w:p>
    <w:p>
      <w:pPr>
        <w:ind w:left="1960" w:firstLine="641"/>
        <w:spacing w:after="0" w:line="327" w:lineRule="auto"/>
        <w:tabs>
          <w:tab w:leader="none" w:pos="3076" w:val="left"/>
        </w:tabs>
        <w:numPr>
          <w:ilvl w:val="0"/>
          <w:numId w:val="112"/>
        </w:numPr>
        <w:rPr>
          <w:rFonts w:ascii="Arial" w:cs="Arial" w:eastAsia="Arial" w:hAnsi="Arial"/>
          <w:sz w:val="21"/>
          <w:szCs w:val="21"/>
          <w:color w:val="auto"/>
        </w:rPr>
      </w:pPr>
      <w:r>
        <w:rPr>
          <w:rFonts w:ascii="Arial" w:cs="Arial" w:eastAsia="Arial" w:hAnsi="Arial"/>
          <w:sz w:val="19"/>
          <w:szCs w:val="19"/>
          <w:color w:val="auto"/>
        </w:rPr>
        <w:t xml:space="preserve">If any European Revolving Lender fails to make available to the Administrative Agent for the account of the European Swingline Lender any amount required to be paid by such European Revolving Lender pursuant to the foregoing provisions of this </w:t>
      </w:r>
      <w:r>
        <w:rPr>
          <w:rFonts w:ascii="Arial" w:cs="Arial" w:eastAsia="Arial" w:hAnsi="Arial"/>
          <w:sz w:val="19"/>
          <w:szCs w:val="19"/>
          <w:u w:val="single" w:color="auto"/>
          <w:color w:val="auto"/>
        </w:rPr>
        <w:t>Section 2.04(b)(ii</w:t>
      </w:r>
      <w:r>
        <w:rPr>
          <w:rFonts w:ascii="Arial" w:cs="Arial" w:eastAsia="Arial" w:hAnsi="Arial"/>
          <w:sz w:val="19"/>
          <w:szCs w:val="19"/>
          <w:color w:val="auto"/>
        </w:rPr>
        <w:t xml:space="preserve">) by the time specified in </w:t>
      </w:r>
      <w:r>
        <w:rPr>
          <w:rFonts w:ascii="Arial" w:cs="Arial" w:eastAsia="Arial" w:hAnsi="Arial"/>
          <w:sz w:val="19"/>
          <w:szCs w:val="19"/>
          <w:u w:val="single" w:color="auto"/>
          <w:color w:val="auto"/>
        </w:rPr>
        <w:t>Section 2.04(b)(ii)(A</w:t>
      </w:r>
      <w:r>
        <w:rPr>
          <w:rFonts w:ascii="Arial" w:cs="Arial" w:eastAsia="Arial" w:hAnsi="Arial"/>
          <w:sz w:val="19"/>
          <w:szCs w:val="19"/>
          <w:color w:val="auto"/>
        </w:rPr>
        <w:t xml:space="preserve">), the European Swingline Lender shall be entitled to recover from such European Revolving Lender (acting through the Administrative Agent), on demand, such amount with interest thereon for the period from the date such payment is required to the date on which such payment is immediately available to the European Swingline Lender at a rate per annum equal to the applicable Overnight Rate from time to time in effect, </w:t>
      </w:r>
      <w:r>
        <w:rPr>
          <w:rFonts w:ascii="Arial" w:cs="Arial" w:eastAsia="Arial" w:hAnsi="Arial"/>
          <w:sz w:val="19"/>
          <w:szCs w:val="19"/>
          <w:u w:val="single" w:color="auto"/>
          <w:color w:val="auto"/>
        </w:rPr>
        <w:t>plus</w:t>
      </w:r>
      <w:r>
        <w:rPr>
          <w:rFonts w:ascii="Arial" w:cs="Arial" w:eastAsia="Arial" w:hAnsi="Arial"/>
          <w:sz w:val="19"/>
          <w:szCs w:val="19"/>
          <w:color w:val="auto"/>
        </w:rPr>
        <w:t xml:space="preserve"> any administrative, processing or similar fees customarily charged by the European Swingline Lender in connection with the foregoing. If such European Revolving Lender pays such amount (with interest and fees as aforesaid), the amount so paid shall constitute such Lender’s European Revolving Loan included in the relevant Borrowing or funded participation in the relevant European Swingline Loan, as the case may be. A certificate of the European Swingline Lender submitted to any Lender (through the Administrative Agent) with respect to any amounts owing under this </w:t>
      </w:r>
      <w:r>
        <w:rPr>
          <w:rFonts w:ascii="Arial" w:cs="Arial" w:eastAsia="Arial" w:hAnsi="Arial"/>
          <w:sz w:val="19"/>
          <w:szCs w:val="19"/>
          <w:u w:val="single" w:color="auto"/>
          <w:color w:val="auto"/>
        </w:rPr>
        <w:t>clause (C</w:t>
      </w:r>
      <w:r>
        <w:rPr>
          <w:rFonts w:ascii="Arial" w:cs="Arial" w:eastAsia="Arial" w:hAnsi="Arial"/>
          <w:sz w:val="19"/>
          <w:szCs w:val="19"/>
          <w:color w:val="auto"/>
        </w:rPr>
        <w:t>) shall be conclusive absent manifest error.</w:t>
      </w:r>
    </w:p>
    <w:p>
      <w:pPr>
        <w:spacing w:after="0" w:line="190" w:lineRule="exact"/>
        <w:rPr>
          <w:rFonts w:ascii="Arial" w:cs="Arial" w:eastAsia="Arial" w:hAnsi="Arial"/>
          <w:sz w:val="21"/>
          <w:szCs w:val="21"/>
          <w:color w:val="auto"/>
        </w:rPr>
      </w:pPr>
    </w:p>
    <w:p>
      <w:pPr>
        <w:ind w:left="1960" w:right="180" w:firstLine="641"/>
        <w:spacing w:after="0" w:line="349" w:lineRule="auto"/>
        <w:tabs>
          <w:tab w:leader="none" w:pos="3088" w:val="left"/>
        </w:tabs>
        <w:numPr>
          <w:ilvl w:val="0"/>
          <w:numId w:val="112"/>
        </w:numPr>
        <w:rPr>
          <w:rFonts w:ascii="Arial" w:cs="Arial" w:eastAsia="Arial" w:hAnsi="Arial"/>
          <w:sz w:val="19"/>
          <w:szCs w:val="19"/>
          <w:color w:val="auto"/>
        </w:rPr>
      </w:pPr>
      <w:r>
        <w:rPr>
          <w:rFonts w:ascii="Arial" w:cs="Arial" w:eastAsia="Arial" w:hAnsi="Arial"/>
          <w:sz w:val="18"/>
          <w:szCs w:val="18"/>
          <w:color w:val="auto"/>
        </w:rPr>
        <w:t xml:space="preserve">Each European Revolving Lender’s obligation to make European Revolving Loans or to purchase and fund risk participations in European Swingline Loans pursuant to this </w:t>
      </w:r>
      <w:r>
        <w:rPr>
          <w:rFonts w:ascii="Arial" w:cs="Arial" w:eastAsia="Arial" w:hAnsi="Arial"/>
          <w:sz w:val="18"/>
          <w:szCs w:val="18"/>
          <w:u w:val="single" w:color="auto"/>
          <w:color w:val="auto"/>
        </w:rPr>
        <w:t>Section 2.04(b)(ii</w:t>
      </w:r>
      <w:r>
        <w:rPr>
          <w:rFonts w:ascii="Arial" w:cs="Arial" w:eastAsia="Arial" w:hAnsi="Arial"/>
          <w:sz w:val="18"/>
          <w:szCs w:val="18"/>
          <w:color w:val="auto"/>
        </w:rPr>
        <w:t xml:space="preserve">) shall be absolute and unconditional and shall not be affected by any circumstance, including (A) any setoff, counterclaim, recoupment, defense or other right that such Lender may have against the European Swingline Lender, any Borrower or any other Person for any reason whatsoever, (B) the occurrence or continuance of a Default or Event of Default, (C) non-compliance with the conditions set forth in </w:t>
      </w:r>
      <w:r>
        <w:rPr>
          <w:rFonts w:ascii="Arial" w:cs="Arial" w:eastAsia="Arial" w:hAnsi="Arial"/>
          <w:sz w:val="18"/>
          <w:szCs w:val="18"/>
          <w:u w:val="single" w:color="auto"/>
          <w:color w:val="auto"/>
        </w:rPr>
        <w:t>Section 5.02</w:t>
      </w:r>
      <w:r>
        <w:rPr>
          <w:rFonts w:ascii="Arial" w:cs="Arial" w:eastAsia="Arial" w:hAnsi="Arial"/>
          <w:sz w:val="18"/>
          <w:szCs w:val="18"/>
          <w:color w:val="auto"/>
        </w:rPr>
        <w:t xml:space="preserve">, or (D) any other occurrence, event or condition, whether or not similar to any of the foregoing;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however, that each European Revolving Lender’s obligation to make Loans pursuant to this </w:t>
      </w:r>
      <w:r>
        <w:rPr>
          <w:rFonts w:ascii="Arial" w:cs="Arial" w:eastAsia="Arial" w:hAnsi="Arial"/>
          <w:sz w:val="18"/>
          <w:szCs w:val="18"/>
          <w:u w:val="single" w:color="auto"/>
          <w:color w:val="auto"/>
        </w:rPr>
        <w:t>Section 2.04(b)(ii</w:t>
      </w:r>
      <w:r>
        <w:rPr>
          <w:rFonts w:ascii="Arial" w:cs="Arial" w:eastAsia="Arial" w:hAnsi="Arial"/>
          <w:sz w:val="18"/>
          <w:szCs w:val="18"/>
          <w:color w:val="auto"/>
        </w:rPr>
        <w:t xml:space="preserve">) is subject to the conditions set forth in </w:t>
      </w:r>
      <w:r>
        <w:rPr>
          <w:rFonts w:ascii="Arial" w:cs="Arial" w:eastAsia="Arial" w:hAnsi="Arial"/>
          <w:sz w:val="18"/>
          <w:szCs w:val="18"/>
          <w:u w:val="single" w:color="auto"/>
          <w:color w:val="auto"/>
        </w:rPr>
        <w:t>Section 5.02</w:t>
      </w:r>
      <w:r>
        <w:rPr>
          <w:rFonts w:ascii="Arial" w:cs="Arial" w:eastAsia="Arial" w:hAnsi="Arial"/>
          <w:sz w:val="18"/>
          <w:szCs w:val="18"/>
          <w:color w:val="auto"/>
        </w:rPr>
        <w:t>. No such purchase or funding of risk participations shall relieve or otherwise impair the obligation of the Borrowers to repay European Swingline Loans, together with interest as provided herein.</w:t>
      </w:r>
    </w:p>
    <w:p>
      <w:pPr>
        <w:spacing w:after="0" w:line="377" w:lineRule="exact"/>
        <w:rPr>
          <w:sz w:val="20"/>
          <w:szCs w:val="20"/>
          <w:color w:val="auto"/>
        </w:rPr>
      </w:pPr>
    </w:p>
    <w:p>
      <w:pPr>
        <w:jc w:val="center"/>
        <w:ind w:right="-39"/>
        <w:spacing w:after="0"/>
        <w:rPr>
          <w:sz w:val="20"/>
          <w:szCs w:val="20"/>
          <w:color w:val="auto"/>
        </w:rPr>
      </w:pPr>
      <w:r>
        <w:rPr>
          <w:rFonts w:ascii="Arial" w:cs="Arial" w:eastAsia="Arial" w:hAnsi="Arial"/>
          <w:sz w:val="20"/>
          <w:szCs w:val="20"/>
          <w:color w:val="auto"/>
        </w:rPr>
        <w:t>94</w:t>
      </w:r>
    </w:p>
    <w:p>
      <w:pPr>
        <w:spacing w:after="0" w:line="10" w:lineRule="exact"/>
        <w:rPr>
          <w:sz w:val="20"/>
          <w:szCs w:val="20"/>
          <w:color w:val="auto"/>
        </w:rPr>
      </w:pPr>
    </w:p>
    <w:p>
      <w:pPr>
        <w:spacing w:after="0"/>
        <w:rPr>
          <w:sz w:val="20"/>
          <w:szCs w:val="20"/>
          <w:color w:val="auto"/>
        </w:rPr>
      </w:pPr>
      <w:r>
        <w:rPr>
          <w:rFonts w:ascii="Arial" w:cs="Arial" w:eastAsia="Arial" w:hAnsi="Arial"/>
          <w:sz w:val="14"/>
          <w:szCs w:val="14"/>
          <w:color w:val="auto"/>
        </w:rPr>
        <w:t>CHAR1\1346423v</w:t>
      </w:r>
      <w:r>
        <w:rPr>
          <w:rFonts w:ascii="Arial" w:cs="Arial" w:eastAsia="Arial" w:hAnsi="Arial"/>
          <w:sz w:val="14"/>
          <w:szCs w:val="14"/>
          <w:color w:val="FF0000"/>
          <w:strike w:val="1"/>
        </w:rPr>
        <w:t>1</w:t>
      </w:r>
      <w:r>
        <w:rPr>
          <w:rFonts w:ascii="Arial" w:cs="Arial" w:eastAsia="Arial" w:hAnsi="Arial"/>
          <w:sz w:val="14"/>
          <w:szCs w:val="14"/>
          <w:u w:val="single" w:color="auto"/>
          <w:color w:val="0000FF"/>
        </w:rPr>
        <w:t>12</w:t>
      </w:r>
    </w:p>
    <w:p>
      <w:pPr>
        <w:sectPr>
          <w:pgSz w:w="11900" w:h="16838" w:orient="portrait"/>
          <w:cols w:equalWidth="0" w:num="1">
            <w:col w:w="11380"/>
          </w:cols>
          <w:pgMar w:left="240" w:top="622" w:right="279" w:bottom="1440" w:gutter="0" w:footer="0" w:header="0"/>
        </w:sectPr>
      </w:pPr>
    </w:p>
    <w:bookmarkStart w:id="146" w:name="page147"/>
    <w:bookmarkEnd w:id="146"/>
    <w:p>
      <w:pPr>
        <w:ind w:left="1700" w:hanging="395"/>
        <w:spacing w:after="0"/>
        <w:tabs>
          <w:tab w:leader="none" w:pos="1700" w:val="left"/>
        </w:tabs>
        <w:numPr>
          <w:ilvl w:val="0"/>
          <w:numId w:val="113"/>
        </w:numPr>
        <w:rPr>
          <w:rFonts w:ascii="Arial" w:cs="Arial" w:eastAsia="Arial" w:hAnsi="Arial"/>
          <w:sz w:val="20"/>
          <w:szCs w:val="20"/>
          <w:color w:val="auto"/>
        </w:rPr>
      </w:pPr>
      <w:r>
        <w:rPr>
          <w:rFonts w:ascii="Arial" w:cs="Arial" w:eastAsia="Arial" w:hAnsi="Arial"/>
          <w:sz w:val="20"/>
          <w:szCs w:val="20"/>
          <w:color w:val="auto"/>
        </w:rPr>
        <w:t>Repayment of Participations.</w:t>
      </w:r>
    </w:p>
    <w:p>
      <w:pPr>
        <w:spacing w:after="0" w:line="280" w:lineRule="exact"/>
        <w:rPr>
          <w:rFonts w:ascii="Arial" w:cs="Arial" w:eastAsia="Arial" w:hAnsi="Arial"/>
          <w:sz w:val="20"/>
          <w:szCs w:val="20"/>
          <w:color w:val="auto"/>
        </w:rPr>
      </w:pPr>
    </w:p>
    <w:p>
      <w:pPr>
        <w:ind w:left="2340" w:hanging="387"/>
        <w:spacing w:after="0"/>
        <w:tabs>
          <w:tab w:leader="none" w:pos="2340" w:val="left"/>
        </w:tabs>
        <w:numPr>
          <w:ilvl w:val="1"/>
          <w:numId w:val="113"/>
        </w:numPr>
        <w:rPr>
          <w:rFonts w:ascii="Arial" w:cs="Arial" w:eastAsia="Arial" w:hAnsi="Arial"/>
          <w:sz w:val="22"/>
          <w:szCs w:val="22"/>
          <w:color w:val="auto"/>
        </w:rPr>
      </w:pPr>
      <w:r>
        <w:rPr>
          <w:rFonts w:ascii="Arial" w:cs="Arial" w:eastAsia="Arial" w:hAnsi="Arial"/>
          <w:sz w:val="20"/>
          <w:szCs w:val="20"/>
          <w:color w:val="auto"/>
        </w:rPr>
        <w:t>USD Swingline Loans.</w:t>
      </w:r>
    </w:p>
    <w:p>
      <w:pPr>
        <w:spacing w:after="0" w:line="276" w:lineRule="exact"/>
        <w:rPr>
          <w:rFonts w:ascii="Arial" w:cs="Arial" w:eastAsia="Arial" w:hAnsi="Arial"/>
          <w:sz w:val="22"/>
          <w:szCs w:val="22"/>
          <w:color w:val="auto"/>
        </w:rPr>
      </w:pPr>
    </w:p>
    <w:p>
      <w:pPr>
        <w:ind w:left="1960" w:firstLine="641"/>
        <w:spacing w:after="0" w:line="330" w:lineRule="auto"/>
        <w:tabs>
          <w:tab w:leader="none" w:pos="3088" w:val="left"/>
        </w:tabs>
        <w:numPr>
          <w:ilvl w:val="2"/>
          <w:numId w:val="113"/>
        </w:numPr>
        <w:rPr>
          <w:rFonts w:ascii="Arial" w:cs="Arial" w:eastAsia="Arial" w:hAnsi="Arial"/>
          <w:sz w:val="21"/>
          <w:szCs w:val="21"/>
          <w:color w:val="auto"/>
        </w:rPr>
      </w:pPr>
      <w:r>
        <w:rPr>
          <w:rFonts w:ascii="Arial" w:cs="Arial" w:eastAsia="Arial" w:hAnsi="Arial"/>
          <w:sz w:val="19"/>
          <w:szCs w:val="19"/>
          <w:color w:val="auto"/>
        </w:rPr>
        <w:t>At any time after any USD Revolving Lender has purchased and funded a risk participation in a USD Swingline Loan, if the USD Swingline Lender receives any payment on account of such USD Swingline Loan, the USD Swingline Lender will distribute to such Lender its pro rata share of such payment (appropriately adjusted, in the case of interest payments, to reflect the period of time during which such Lender’s risk participation was funded) in the same funds as those received by the USD Swingline Lender.</w:t>
      </w:r>
    </w:p>
    <w:p>
      <w:pPr>
        <w:spacing w:after="0" w:line="181" w:lineRule="exact"/>
        <w:rPr>
          <w:rFonts w:ascii="Arial" w:cs="Arial" w:eastAsia="Arial" w:hAnsi="Arial"/>
          <w:sz w:val="21"/>
          <w:szCs w:val="21"/>
          <w:color w:val="auto"/>
        </w:rPr>
      </w:pPr>
    </w:p>
    <w:p>
      <w:pPr>
        <w:ind w:left="1960" w:right="60" w:firstLine="641"/>
        <w:spacing w:after="0" w:line="351" w:lineRule="auto"/>
        <w:tabs>
          <w:tab w:leader="none" w:pos="3076" w:val="left"/>
        </w:tabs>
        <w:numPr>
          <w:ilvl w:val="2"/>
          <w:numId w:val="113"/>
        </w:numPr>
        <w:rPr>
          <w:rFonts w:ascii="Arial" w:cs="Arial" w:eastAsia="Arial" w:hAnsi="Arial"/>
          <w:sz w:val="19"/>
          <w:szCs w:val="19"/>
          <w:color w:val="auto"/>
        </w:rPr>
      </w:pPr>
      <w:r>
        <w:rPr>
          <w:rFonts w:ascii="Arial" w:cs="Arial" w:eastAsia="Arial" w:hAnsi="Arial"/>
          <w:sz w:val="18"/>
          <w:szCs w:val="18"/>
          <w:color w:val="auto"/>
        </w:rPr>
        <w:t xml:space="preserve">If any payment received by the USD Swingline Lender in respect of principal or interest on any USD Swingline Loan is required to be returned by the USD Swingline Lender under any of the circumstances described in </w:t>
      </w:r>
      <w:r>
        <w:rPr>
          <w:rFonts w:ascii="Arial" w:cs="Arial" w:eastAsia="Arial" w:hAnsi="Arial"/>
          <w:sz w:val="18"/>
          <w:szCs w:val="18"/>
          <w:u w:val="single" w:color="auto"/>
          <w:color w:val="auto"/>
        </w:rPr>
        <w:t>Section 11.05</w:t>
      </w:r>
      <w:r>
        <w:rPr>
          <w:rFonts w:ascii="Arial" w:cs="Arial" w:eastAsia="Arial" w:hAnsi="Arial"/>
          <w:sz w:val="18"/>
          <w:szCs w:val="18"/>
          <w:color w:val="auto"/>
        </w:rPr>
        <w:t xml:space="preserve"> (including pursuant to any settlement entered into by the USD Swingline Lender in its discretion), each USD Revolving Lender shall pay to the USD Swingline Lender its pro rata share thereof on demand of the Administrative Agent, plus interest thereon from the date of such demand to the date such amount is returned, at a rate per annum equal to the Overnight Rate. The Administrative Agent will make such demand upon the request of the USD Swingline Lender. The obligations of the USD Revolving Lenders under this clause shall survive the payment in full of the USD Revolving Loan Obligations and the termination of this Credit Agreement.</w:t>
      </w:r>
    </w:p>
    <w:p>
      <w:pPr>
        <w:spacing w:after="0" w:line="165" w:lineRule="exact"/>
        <w:rPr>
          <w:rFonts w:ascii="Arial" w:cs="Arial" w:eastAsia="Arial" w:hAnsi="Arial"/>
          <w:sz w:val="19"/>
          <w:szCs w:val="19"/>
          <w:color w:val="auto"/>
        </w:rPr>
      </w:pPr>
    </w:p>
    <w:p>
      <w:pPr>
        <w:ind w:left="2400" w:hanging="447"/>
        <w:spacing w:after="0"/>
        <w:tabs>
          <w:tab w:leader="none" w:pos="2400" w:val="left"/>
        </w:tabs>
        <w:numPr>
          <w:ilvl w:val="1"/>
          <w:numId w:val="113"/>
        </w:numPr>
        <w:rPr>
          <w:rFonts w:ascii="Arial" w:cs="Arial" w:eastAsia="Arial" w:hAnsi="Arial"/>
          <w:sz w:val="22"/>
          <w:szCs w:val="22"/>
          <w:color w:val="auto"/>
        </w:rPr>
      </w:pPr>
      <w:r>
        <w:rPr>
          <w:rFonts w:ascii="Arial" w:cs="Arial" w:eastAsia="Arial" w:hAnsi="Arial"/>
          <w:sz w:val="20"/>
          <w:szCs w:val="20"/>
          <w:color w:val="auto"/>
        </w:rPr>
        <w:t>European Swingline Loans.</w:t>
      </w:r>
    </w:p>
    <w:p>
      <w:pPr>
        <w:spacing w:after="0" w:line="276" w:lineRule="exact"/>
        <w:rPr>
          <w:rFonts w:ascii="Arial" w:cs="Arial" w:eastAsia="Arial" w:hAnsi="Arial"/>
          <w:sz w:val="22"/>
          <w:szCs w:val="22"/>
          <w:color w:val="auto"/>
        </w:rPr>
      </w:pPr>
    </w:p>
    <w:p>
      <w:pPr>
        <w:ind w:left="1960" w:right="160" w:firstLine="641"/>
        <w:spacing w:after="0" w:line="356" w:lineRule="auto"/>
        <w:tabs>
          <w:tab w:leader="none" w:pos="3088" w:val="left"/>
        </w:tabs>
        <w:numPr>
          <w:ilvl w:val="2"/>
          <w:numId w:val="113"/>
        </w:numPr>
        <w:rPr>
          <w:rFonts w:ascii="Arial" w:cs="Arial" w:eastAsia="Arial" w:hAnsi="Arial"/>
          <w:sz w:val="19"/>
          <w:szCs w:val="19"/>
          <w:color w:val="auto"/>
        </w:rPr>
      </w:pPr>
      <w:r>
        <w:rPr>
          <w:rFonts w:ascii="Arial" w:cs="Arial" w:eastAsia="Arial" w:hAnsi="Arial"/>
          <w:sz w:val="18"/>
          <w:szCs w:val="18"/>
          <w:color w:val="auto"/>
        </w:rPr>
        <w:t>At any time after any European Revolving Lender has purchased and funded a risk participation in a European Swingline Loan, if the European Swingline Lender receives any payment on account of such European Swingline Loan, the European Swingline Lender will distribute to such Lender its pro rata share of such payment (appropriately adjusted, in the case of interest payments, to reflect the period of time during which such Lender’s risk participation was funded) in the same funds as those received by the European Swingline Lender.</w:t>
      </w:r>
    </w:p>
    <w:p>
      <w:pPr>
        <w:spacing w:after="0" w:line="162" w:lineRule="exact"/>
        <w:rPr>
          <w:rFonts w:ascii="Arial" w:cs="Arial" w:eastAsia="Arial" w:hAnsi="Arial"/>
          <w:sz w:val="19"/>
          <w:szCs w:val="19"/>
          <w:color w:val="auto"/>
        </w:rPr>
      </w:pPr>
    </w:p>
    <w:p>
      <w:pPr>
        <w:ind w:left="1960" w:right="20" w:firstLine="641"/>
        <w:spacing w:after="0" w:line="310" w:lineRule="auto"/>
        <w:tabs>
          <w:tab w:leader="none" w:pos="3076" w:val="left"/>
        </w:tabs>
        <w:numPr>
          <w:ilvl w:val="2"/>
          <w:numId w:val="113"/>
        </w:numPr>
        <w:rPr>
          <w:rFonts w:ascii="Arial" w:cs="Arial" w:eastAsia="Arial" w:hAnsi="Arial"/>
          <w:sz w:val="22"/>
          <w:szCs w:val="22"/>
          <w:color w:val="auto"/>
        </w:rPr>
      </w:pPr>
      <w:r>
        <w:rPr>
          <w:rFonts w:ascii="Arial" w:cs="Arial" w:eastAsia="Arial" w:hAnsi="Arial"/>
          <w:sz w:val="20"/>
          <w:szCs w:val="20"/>
          <w:color w:val="auto"/>
        </w:rPr>
        <w:t xml:space="preserve">If any payment received by the European Swingline Lender in respect of principal or interest on any European Swingline Loan is required to be returned by the European Swingline Lender under any of the circumstances described in </w:t>
      </w:r>
      <w:r>
        <w:rPr>
          <w:rFonts w:ascii="Arial" w:cs="Arial" w:eastAsia="Arial" w:hAnsi="Arial"/>
          <w:sz w:val="20"/>
          <w:szCs w:val="20"/>
          <w:u w:val="single" w:color="auto"/>
          <w:color w:val="auto"/>
        </w:rPr>
        <w:t>Section 11.05</w:t>
      </w:r>
      <w:r>
        <w:rPr>
          <w:rFonts w:ascii="Arial" w:cs="Arial" w:eastAsia="Arial" w:hAnsi="Arial"/>
          <w:sz w:val="20"/>
          <w:szCs w:val="20"/>
          <w:color w:val="auto"/>
        </w:rPr>
        <w:t xml:space="preserve"> (including pursuant to any settlement entered into by the European Swingline Lender in its discretion), each European Revolving Lender shall pay to the European Swingline Lender its pro rata share thereof on demand of the Administrative Agent, plus interest thereon from the date of such demand to the date such amount is returned, at a rate per annum equal to the</w:t>
      </w:r>
    </w:p>
    <w:p>
      <w:pPr>
        <w:spacing w:after="0" w:line="200" w:lineRule="exact"/>
        <w:rPr>
          <w:sz w:val="20"/>
          <w:szCs w:val="20"/>
          <w:color w:val="auto"/>
        </w:rPr>
      </w:pPr>
    </w:p>
    <w:p>
      <w:pPr>
        <w:spacing w:after="0" w:line="203" w:lineRule="exact"/>
        <w:rPr>
          <w:sz w:val="20"/>
          <w:szCs w:val="20"/>
          <w:color w:val="auto"/>
        </w:rPr>
      </w:pPr>
    </w:p>
    <w:p>
      <w:pPr>
        <w:jc w:val="center"/>
        <w:ind w:right="-39"/>
        <w:spacing w:after="0"/>
        <w:rPr>
          <w:sz w:val="20"/>
          <w:szCs w:val="20"/>
          <w:color w:val="auto"/>
        </w:rPr>
      </w:pPr>
      <w:r>
        <w:rPr>
          <w:rFonts w:ascii="Arial" w:cs="Arial" w:eastAsia="Arial" w:hAnsi="Arial"/>
          <w:sz w:val="20"/>
          <w:szCs w:val="20"/>
          <w:color w:val="auto"/>
        </w:rPr>
        <w:t>95</w:t>
      </w:r>
    </w:p>
    <w:p>
      <w:pPr>
        <w:spacing w:after="0" w:line="10" w:lineRule="exact"/>
        <w:rPr>
          <w:sz w:val="20"/>
          <w:szCs w:val="20"/>
          <w:color w:val="auto"/>
        </w:rPr>
      </w:pPr>
    </w:p>
    <w:p>
      <w:pPr>
        <w:spacing w:after="0"/>
        <w:rPr>
          <w:sz w:val="20"/>
          <w:szCs w:val="20"/>
          <w:color w:val="auto"/>
        </w:rPr>
      </w:pPr>
      <w:r>
        <w:rPr>
          <w:rFonts w:ascii="Arial" w:cs="Arial" w:eastAsia="Arial" w:hAnsi="Arial"/>
          <w:sz w:val="14"/>
          <w:szCs w:val="14"/>
          <w:color w:val="auto"/>
        </w:rPr>
        <w:t>CHAR1\1346423v</w:t>
      </w:r>
      <w:r>
        <w:rPr>
          <w:rFonts w:ascii="Arial" w:cs="Arial" w:eastAsia="Arial" w:hAnsi="Arial"/>
          <w:sz w:val="14"/>
          <w:szCs w:val="14"/>
          <w:color w:val="FF0000"/>
          <w:strike w:val="1"/>
        </w:rPr>
        <w:t>1</w:t>
      </w:r>
      <w:r>
        <w:rPr>
          <w:rFonts w:ascii="Arial" w:cs="Arial" w:eastAsia="Arial" w:hAnsi="Arial"/>
          <w:sz w:val="14"/>
          <w:szCs w:val="14"/>
          <w:u w:val="single" w:color="auto"/>
          <w:color w:val="0000FF"/>
        </w:rPr>
        <w:t>12</w:t>
      </w:r>
    </w:p>
    <w:p>
      <w:pPr>
        <w:sectPr>
          <w:pgSz w:w="11900" w:h="16838" w:orient="portrait"/>
          <w:cols w:equalWidth="0" w:num="1">
            <w:col w:w="11400"/>
          </w:cols>
          <w:pgMar w:left="240" w:top="609" w:right="259" w:bottom="1440" w:gutter="0" w:footer="0" w:header="0"/>
        </w:sectPr>
      </w:pPr>
    </w:p>
    <w:bookmarkStart w:id="147" w:name="page148"/>
    <w:bookmarkEnd w:id="147"/>
    <w:p>
      <w:pPr>
        <w:ind w:left="1960" w:right="220"/>
        <w:spacing w:after="0" w:line="314" w:lineRule="auto"/>
        <w:rPr>
          <w:sz w:val="20"/>
          <w:szCs w:val="20"/>
          <w:color w:val="auto"/>
        </w:rPr>
      </w:pPr>
      <w:r>
        <w:rPr>
          <w:rFonts w:ascii="Arial" w:cs="Arial" w:eastAsia="Arial" w:hAnsi="Arial"/>
          <w:sz w:val="19"/>
          <w:szCs w:val="19"/>
          <w:color w:val="auto"/>
        </w:rPr>
        <w:t>Overnight Rate. The Administrative Agent will make such demand upon the request of the European Swingline Lender. The obligations of the European Revolving Lenders under this clause shall survive the payment in full of the European Revolving Loan Obligations and the termination of this Credit Agreement.</w:t>
      </w:r>
    </w:p>
    <w:p>
      <w:pPr>
        <w:spacing w:after="0" w:line="169" w:lineRule="exact"/>
        <w:rPr>
          <w:sz w:val="20"/>
          <w:szCs w:val="20"/>
          <w:color w:val="auto"/>
        </w:rPr>
      </w:pPr>
    </w:p>
    <w:p>
      <w:pPr>
        <w:ind w:left="1720" w:hanging="415"/>
        <w:spacing w:after="0"/>
        <w:tabs>
          <w:tab w:leader="none" w:pos="1720" w:val="left"/>
        </w:tabs>
        <w:numPr>
          <w:ilvl w:val="0"/>
          <w:numId w:val="114"/>
        </w:numPr>
        <w:rPr>
          <w:rFonts w:ascii="Arial" w:cs="Arial" w:eastAsia="Arial" w:hAnsi="Arial"/>
          <w:sz w:val="19"/>
          <w:szCs w:val="19"/>
          <w:color w:val="auto"/>
        </w:rPr>
      </w:pPr>
      <w:r>
        <w:rPr>
          <w:rFonts w:ascii="Arial" w:cs="Arial" w:eastAsia="Arial" w:hAnsi="Arial"/>
          <w:sz w:val="19"/>
          <w:szCs w:val="19"/>
          <w:u w:val="single" w:color="auto"/>
          <w:color w:val="auto"/>
        </w:rPr>
        <w:t>Interest for Account of Swingline Lender</w:t>
      </w:r>
      <w:r>
        <w:rPr>
          <w:rFonts w:ascii="Arial" w:cs="Arial" w:eastAsia="Arial" w:hAnsi="Arial"/>
          <w:sz w:val="19"/>
          <w:szCs w:val="19"/>
          <w:color w:val="auto"/>
        </w:rPr>
        <w:t>. The Swingline Lender shall be responsible for invoicing the Borrowers for</w:t>
      </w:r>
    </w:p>
    <w:p>
      <w:pPr>
        <w:spacing w:after="0" w:line="65" w:lineRule="exact"/>
        <w:rPr>
          <w:rFonts w:ascii="Arial" w:cs="Arial" w:eastAsia="Arial" w:hAnsi="Arial"/>
          <w:sz w:val="19"/>
          <w:szCs w:val="19"/>
          <w:color w:val="auto"/>
        </w:rPr>
      </w:pPr>
    </w:p>
    <w:p>
      <w:pPr>
        <w:ind w:left="660" w:right="260"/>
        <w:spacing w:after="0" w:line="292" w:lineRule="auto"/>
        <w:rPr>
          <w:rFonts w:ascii="Arial" w:cs="Arial" w:eastAsia="Arial" w:hAnsi="Arial"/>
          <w:sz w:val="19"/>
          <w:szCs w:val="19"/>
          <w:color w:val="auto"/>
        </w:rPr>
      </w:pPr>
      <w:r>
        <w:rPr>
          <w:rFonts w:ascii="Arial" w:cs="Arial" w:eastAsia="Arial" w:hAnsi="Arial"/>
          <w:sz w:val="20"/>
          <w:szCs w:val="20"/>
          <w:color w:val="auto"/>
        </w:rPr>
        <w:t xml:space="preserve">interest on the Swingline Loans. Until each Lender funds its Revolving Loan or risk participation pursuant to this </w:t>
      </w:r>
      <w:r>
        <w:rPr>
          <w:rFonts w:ascii="Arial" w:cs="Arial" w:eastAsia="Arial" w:hAnsi="Arial"/>
          <w:sz w:val="20"/>
          <w:szCs w:val="20"/>
          <w:u w:val="single" w:color="auto"/>
          <w:color w:val="auto"/>
        </w:rPr>
        <w:t>Section 2.04</w:t>
      </w:r>
      <w:r>
        <w:rPr>
          <w:rFonts w:ascii="Arial" w:cs="Arial" w:eastAsia="Arial" w:hAnsi="Arial"/>
          <w:sz w:val="20"/>
          <w:szCs w:val="20"/>
          <w:color w:val="auto"/>
        </w:rPr>
        <w:t xml:space="preserve"> to refinance such Lender’s Revolving Commitment Percentage of any Swingline Loan, interest in respect thereof shall be solely for the account of the Swingline Lender.</w:t>
      </w:r>
    </w:p>
    <w:p>
      <w:pPr>
        <w:spacing w:after="0" w:line="186" w:lineRule="exact"/>
        <w:rPr>
          <w:rFonts w:ascii="Arial" w:cs="Arial" w:eastAsia="Arial" w:hAnsi="Arial"/>
          <w:sz w:val="19"/>
          <w:szCs w:val="19"/>
          <w:color w:val="auto"/>
        </w:rPr>
      </w:pPr>
    </w:p>
    <w:p>
      <w:pPr>
        <w:ind w:left="660" w:right="80" w:firstLine="645"/>
        <w:spacing w:after="0" w:line="317" w:lineRule="auto"/>
        <w:tabs>
          <w:tab w:leader="none" w:pos="1708" w:val="left"/>
        </w:tabs>
        <w:numPr>
          <w:ilvl w:val="0"/>
          <w:numId w:val="114"/>
        </w:numPr>
        <w:rPr>
          <w:rFonts w:ascii="Arial" w:cs="Arial" w:eastAsia="Arial" w:hAnsi="Arial"/>
          <w:sz w:val="20"/>
          <w:szCs w:val="20"/>
          <w:color w:val="auto"/>
        </w:rPr>
      </w:pPr>
      <w:r>
        <w:rPr>
          <w:rFonts w:ascii="Arial" w:cs="Arial" w:eastAsia="Arial" w:hAnsi="Arial"/>
          <w:sz w:val="20"/>
          <w:szCs w:val="20"/>
          <w:u w:val="single" w:color="auto"/>
          <w:color w:val="auto"/>
        </w:rPr>
        <w:t>Payments Directly to Swingline Lender</w:t>
      </w:r>
      <w:r>
        <w:rPr>
          <w:rFonts w:ascii="Arial" w:cs="Arial" w:eastAsia="Arial" w:hAnsi="Arial"/>
          <w:sz w:val="20"/>
          <w:szCs w:val="20"/>
          <w:color w:val="auto"/>
        </w:rPr>
        <w:t>. The Borrowers shall make all payments of principal and interest in respect of the Swingline Loans directly to the Swingline Lender.</w:t>
      </w:r>
    </w:p>
    <w:p>
      <w:pPr>
        <w:spacing w:after="0" w:line="162" w:lineRule="exact"/>
        <w:rPr>
          <w:sz w:val="20"/>
          <w:szCs w:val="20"/>
          <w:color w:val="auto"/>
        </w:rPr>
      </w:pPr>
    </w:p>
    <w:p>
      <w:pPr>
        <w:ind w:left="660"/>
        <w:spacing w:after="0"/>
        <w:tabs>
          <w:tab w:leader="none" w:pos="1160" w:val="left"/>
        </w:tabs>
        <w:rPr>
          <w:sz w:val="20"/>
          <w:szCs w:val="20"/>
          <w:color w:val="auto"/>
        </w:rPr>
      </w:pPr>
      <w:r>
        <w:rPr>
          <w:rFonts w:ascii="Arial" w:cs="Arial" w:eastAsia="Arial" w:hAnsi="Arial"/>
          <w:sz w:val="20"/>
          <w:szCs w:val="20"/>
          <w:color w:val="auto"/>
        </w:rPr>
        <w:t>2.05</w:t>
      </w:r>
      <w:r>
        <w:rPr>
          <w:sz w:val="20"/>
          <w:szCs w:val="20"/>
          <w:color w:val="auto"/>
        </w:rPr>
        <w:tab/>
      </w:r>
      <w:r>
        <w:rPr>
          <w:rFonts w:ascii="Arial" w:cs="Arial" w:eastAsia="Arial" w:hAnsi="Arial"/>
          <w:sz w:val="16"/>
          <w:szCs w:val="16"/>
          <w:u w:val="single" w:color="auto"/>
          <w:color w:val="auto"/>
        </w:rPr>
        <w:t>Repayment of Loans</w:t>
      </w:r>
      <w:r>
        <w:rPr>
          <w:rFonts w:ascii="Arial" w:cs="Arial" w:eastAsia="Arial" w:hAnsi="Arial"/>
          <w:sz w:val="16"/>
          <w:szCs w:val="16"/>
          <w:color w:val="auto"/>
        </w:rPr>
        <w:t>.</w:t>
      </w:r>
    </w:p>
    <w:p>
      <w:pPr>
        <w:spacing w:after="0" w:line="270" w:lineRule="exact"/>
        <w:rPr>
          <w:sz w:val="20"/>
          <w:szCs w:val="20"/>
          <w:color w:val="auto"/>
        </w:rPr>
      </w:pPr>
    </w:p>
    <w:p>
      <w:pPr>
        <w:ind w:left="1300"/>
        <w:spacing w:after="0"/>
        <w:tabs>
          <w:tab w:leader="none" w:pos="1680" w:val="left"/>
        </w:tabs>
        <w:rPr>
          <w:sz w:val="20"/>
          <w:szCs w:val="20"/>
          <w:color w:val="auto"/>
        </w:rPr>
      </w:pPr>
      <w:r>
        <w:rPr>
          <w:rFonts w:ascii="Arial" w:cs="Arial" w:eastAsia="Arial" w:hAnsi="Arial"/>
          <w:sz w:val="20"/>
          <w:szCs w:val="20"/>
          <w:color w:val="auto"/>
        </w:rPr>
        <w:t>(a)</w:t>
      </w:r>
      <w:r>
        <w:rPr>
          <w:sz w:val="20"/>
          <w:szCs w:val="20"/>
          <w:color w:val="auto"/>
        </w:rPr>
        <w:tab/>
      </w:r>
      <w:r>
        <w:rPr>
          <w:rFonts w:ascii="Arial" w:cs="Arial" w:eastAsia="Arial" w:hAnsi="Arial"/>
          <w:sz w:val="18"/>
          <w:szCs w:val="18"/>
          <w:u w:val="single" w:color="auto"/>
          <w:color w:val="auto"/>
        </w:rPr>
        <w:t>Revolving Loans</w:t>
      </w:r>
      <w:r>
        <w:rPr>
          <w:rFonts w:ascii="Arial" w:cs="Arial" w:eastAsia="Arial" w:hAnsi="Arial"/>
          <w:sz w:val="18"/>
          <w:szCs w:val="18"/>
          <w:color w:val="auto"/>
        </w:rPr>
        <w:t>. The Outstanding Amount of Revolving Loans shall be repaid in full on the Revolving Termination</w:t>
      </w:r>
    </w:p>
    <w:p>
      <w:pPr>
        <w:spacing w:after="0" w:line="54" w:lineRule="exact"/>
        <w:rPr>
          <w:sz w:val="20"/>
          <w:szCs w:val="20"/>
          <w:color w:val="auto"/>
        </w:rPr>
      </w:pPr>
    </w:p>
    <w:p>
      <w:pPr>
        <w:ind w:left="660"/>
        <w:spacing w:after="0"/>
        <w:rPr>
          <w:sz w:val="20"/>
          <w:szCs w:val="20"/>
          <w:color w:val="auto"/>
        </w:rPr>
      </w:pPr>
      <w:r>
        <w:rPr>
          <w:rFonts w:ascii="Arial" w:cs="Arial" w:eastAsia="Arial" w:hAnsi="Arial"/>
          <w:sz w:val="20"/>
          <w:szCs w:val="20"/>
          <w:color w:val="auto"/>
        </w:rPr>
        <w:t>Date.</w:t>
      </w:r>
    </w:p>
    <w:p>
      <w:pPr>
        <w:spacing w:after="0" w:line="256" w:lineRule="exact"/>
        <w:rPr>
          <w:sz w:val="20"/>
          <w:szCs w:val="20"/>
          <w:color w:val="auto"/>
        </w:rPr>
      </w:pPr>
    </w:p>
    <w:p>
      <w:pPr>
        <w:ind w:left="1720" w:hanging="415"/>
        <w:spacing w:after="0"/>
        <w:tabs>
          <w:tab w:leader="none" w:pos="1720" w:val="left"/>
        </w:tabs>
        <w:numPr>
          <w:ilvl w:val="1"/>
          <w:numId w:val="115"/>
        </w:numPr>
        <w:rPr>
          <w:rFonts w:ascii="Arial" w:cs="Arial" w:eastAsia="Arial" w:hAnsi="Arial"/>
          <w:sz w:val="18"/>
          <w:szCs w:val="18"/>
          <w:color w:val="auto"/>
        </w:rPr>
      </w:pPr>
      <w:r>
        <w:rPr>
          <w:rFonts w:ascii="Arial" w:cs="Arial" w:eastAsia="Arial" w:hAnsi="Arial"/>
          <w:sz w:val="18"/>
          <w:szCs w:val="18"/>
          <w:u w:val="single" w:color="auto"/>
          <w:color w:val="auto"/>
        </w:rPr>
        <w:t>USD Swingline Loans</w:t>
      </w:r>
      <w:r>
        <w:rPr>
          <w:rFonts w:ascii="Arial" w:cs="Arial" w:eastAsia="Arial" w:hAnsi="Arial"/>
          <w:sz w:val="18"/>
          <w:szCs w:val="18"/>
          <w:color w:val="auto"/>
        </w:rPr>
        <w:t>. The Outstanding Amount of USD Swingline Loans shall be repaid in full on the earlier to occur of</w:t>
      </w:r>
    </w:p>
    <w:p>
      <w:pPr>
        <w:spacing w:after="0" w:line="76" w:lineRule="exact"/>
        <w:rPr>
          <w:rFonts w:ascii="Arial" w:cs="Arial" w:eastAsia="Arial" w:hAnsi="Arial"/>
          <w:sz w:val="18"/>
          <w:szCs w:val="18"/>
          <w:color w:val="auto"/>
        </w:rPr>
      </w:pPr>
    </w:p>
    <w:p>
      <w:pPr>
        <w:ind w:left="900" w:hanging="244"/>
        <w:spacing w:after="0"/>
        <w:tabs>
          <w:tab w:leader="none" w:pos="900" w:val="left"/>
        </w:tabs>
        <w:numPr>
          <w:ilvl w:val="0"/>
          <w:numId w:val="116"/>
        </w:numPr>
        <w:rPr>
          <w:rFonts w:ascii="Arial" w:cs="Arial" w:eastAsia="Arial" w:hAnsi="Arial"/>
          <w:sz w:val="20"/>
          <w:szCs w:val="20"/>
          <w:color w:val="auto"/>
        </w:rPr>
      </w:pPr>
      <w:r>
        <w:rPr>
          <w:rFonts w:ascii="Arial" w:cs="Arial" w:eastAsia="Arial" w:hAnsi="Arial"/>
          <w:sz w:val="20"/>
          <w:szCs w:val="20"/>
          <w:color w:val="auto"/>
        </w:rPr>
        <w:t>the date of demand by the USD Swingline Lender, and (ii) the Revolving Termination Date.</w:t>
      </w:r>
    </w:p>
    <w:p>
      <w:pPr>
        <w:spacing w:after="0" w:line="256" w:lineRule="exact"/>
        <w:rPr>
          <w:rFonts w:ascii="Arial" w:cs="Arial" w:eastAsia="Arial" w:hAnsi="Arial"/>
          <w:sz w:val="20"/>
          <w:szCs w:val="20"/>
          <w:color w:val="auto"/>
        </w:rPr>
      </w:pPr>
    </w:p>
    <w:p>
      <w:pPr>
        <w:ind w:left="1700" w:hanging="395"/>
        <w:spacing w:after="0"/>
        <w:tabs>
          <w:tab w:leader="none" w:pos="1700" w:val="left"/>
        </w:tabs>
        <w:numPr>
          <w:ilvl w:val="1"/>
          <w:numId w:val="116"/>
        </w:numPr>
        <w:rPr>
          <w:rFonts w:ascii="Arial" w:cs="Arial" w:eastAsia="Arial" w:hAnsi="Arial"/>
          <w:sz w:val="18"/>
          <w:szCs w:val="18"/>
          <w:color w:val="auto"/>
        </w:rPr>
      </w:pPr>
      <w:r>
        <w:rPr>
          <w:rFonts w:ascii="Arial" w:cs="Arial" w:eastAsia="Arial" w:hAnsi="Arial"/>
          <w:sz w:val="18"/>
          <w:szCs w:val="18"/>
          <w:u w:val="single" w:color="auto"/>
          <w:color w:val="auto"/>
        </w:rPr>
        <w:t>European Swingline Loans</w:t>
      </w:r>
      <w:r>
        <w:rPr>
          <w:rFonts w:ascii="Arial" w:cs="Arial" w:eastAsia="Arial" w:hAnsi="Arial"/>
          <w:sz w:val="18"/>
          <w:szCs w:val="18"/>
          <w:color w:val="auto"/>
        </w:rPr>
        <w:t>. The Outstanding Amount of European Swingline Loans shall be repaid in full on the earlier to</w:t>
      </w:r>
    </w:p>
    <w:p>
      <w:pPr>
        <w:spacing w:after="0" w:line="76" w:lineRule="exact"/>
        <w:rPr>
          <w:rFonts w:ascii="Arial" w:cs="Arial" w:eastAsia="Arial" w:hAnsi="Arial"/>
          <w:sz w:val="18"/>
          <w:szCs w:val="18"/>
          <w:color w:val="auto"/>
        </w:rPr>
      </w:pPr>
    </w:p>
    <w:p>
      <w:pPr>
        <w:ind w:left="660" w:right="220"/>
        <w:spacing w:after="0" w:line="303" w:lineRule="auto"/>
        <w:rPr>
          <w:rFonts w:ascii="Arial" w:cs="Arial" w:eastAsia="Arial" w:hAnsi="Arial"/>
          <w:sz w:val="18"/>
          <w:szCs w:val="18"/>
          <w:color w:val="auto"/>
        </w:rPr>
      </w:pPr>
      <w:r>
        <w:rPr>
          <w:rFonts w:ascii="Arial" w:cs="Arial" w:eastAsia="Arial" w:hAnsi="Arial"/>
          <w:sz w:val="20"/>
          <w:szCs w:val="20"/>
          <w:color w:val="auto"/>
        </w:rPr>
        <w:t>occur of (i) the date ten Business Days after the loan is made, (ii) the date of demand by the European Swingline Lender, and (iii) the Revolving Termination Date.</w:t>
      </w:r>
    </w:p>
    <w:p>
      <w:pPr>
        <w:spacing w:after="0" w:line="175" w:lineRule="exact"/>
        <w:rPr>
          <w:rFonts w:ascii="Arial" w:cs="Arial" w:eastAsia="Arial" w:hAnsi="Arial"/>
          <w:sz w:val="18"/>
          <w:szCs w:val="18"/>
          <w:color w:val="auto"/>
        </w:rPr>
      </w:pPr>
    </w:p>
    <w:p>
      <w:pPr>
        <w:ind w:left="1720" w:hanging="415"/>
        <w:spacing w:after="0"/>
        <w:tabs>
          <w:tab w:leader="none" w:pos="1720" w:val="left"/>
        </w:tabs>
        <w:numPr>
          <w:ilvl w:val="1"/>
          <w:numId w:val="116"/>
        </w:numPr>
        <w:rPr>
          <w:rFonts w:ascii="Arial" w:cs="Arial" w:eastAsia="Arial" w:hAnsi="Arial"/>
          <w:sz w:val="20"/>
          <w:szCs w:val="20"/>
          <w:color w:val="auto"/>
        </w:rPr>
      </w:pPr>
      <w:r>
        <w:rPr>
          <w:rFonts w:ascii="Arial" w:cs="Arial" w:eastAsia="Arial" w:hAnsi="Arial"/>
          <w:sz w:val="20"/>
          <w:szCs w:val="20"/>
          <w:u w:val="single" w:color="auto"/>
          <w:color w:val="auto"/>
        </w:rPr>
        <w:t>Term Loan A</w:t>
      </w:r>
      <w:r>
        <w:rPr>
          <w:rFonts w:ascii="Arial" w:cs="Arial" w:eastAsia="Arial" w:hAnsi="Arial"/>
          <w:sz w:val="20"/>
          <w:szCs w:val="20"/>
          <w:color w:val="auto"/>
        </w:rPr>
        <w:t>. The Outstanding Amount of the Term Loan A shall be repaid as follows:</w:t>
      </w:r>
    </w:p>
    <w:p>
      <w:pPr>
        <w:spacing w:after="0" w:line="394" w:lineRule="exact"/>
        <w:rPr>
          <w:sz w:val="20"/>
          <w:szCs w:val="20"/>
          <w:color w:val="auto"/>
        </w:rPr>
      </w:pPr>
    </w:p>
    <w:tbl>
      <w:tblPr>
        <w:tblLayout w:type="fixed"/>
        <w:tblInd w:w="0" w:type="dxa"/>
        <w:tblCellMar>
          <w:top w:w="0" w:type="dxa"/>
          <w:left w:w="0" w:type="dxa"/>
          <w:bottom w:w="0" w:type="dxa"/>
          <w:right w:w="0" w:type="dxa"/>
        </w:tblCellMar>
      </w:tblPr>
      <w:tr>
        <w:trPr>
          <w:trHeight w:val="298"/>
        </w:trPr>
        <w:tc>
          <w:tcPr>
            <w:tcW w:w="360" w:type="dxa"/>
            <w:vAlign w:val="bottom"/>
            <w:tcBorders>
              <w:bottom w:val="single" w:sz="8" w:color="C0C0C0"/>
            </w:tcBorders>
            <w:shd w:val="clear" w:color="auto" w:fill="FFCCCC"/>
          </w:tcPr>
          <w:p>
            <w:pPr>
              <w:spacing w:after="0"/>
              <w:rPr>
                <w:sz w:val="24"/>
                <w:szCs w:val="24"/>
                <w:color w:val="auto"/>
              </w:rPr>
            </w:pPr>
          </w:p>
        </w:tc>
        <w:tc>
          <w:tcPr>
            <w:tcW w:w="1220" w:type="dxa"/>
            <w:vAlign w:val="bottom"/>
            <w:tcBorders>
              <w:bottom w:val="single" w:sz="8" w:color="auto"/>
            </w:tcBorders>
            <w:shd w:val="clear" w:color="auto" w:fill="FFCCCC"/>
          </w:tcPr>
          <w:p>
            <w:pPr>
              <w:ind w:left="40"/>
              <w:spacing w:after="0"/>
              <w:rPr>
                <w:sz w:val="20"/>
                <w:szCs w:val="20"/>
                <w:color w:val="auto"/>
              </w:rPr>
            </w:pPr>
            <w:r>
              <w:rPr>
                <w:rFonts w:ascii="Arial" w:cs="Arial" w:eastAsia="Arial" w:hAnsi="Arial"/>
                <w:sz w:val="20"/>
                <w:szCs w:val="20"/>
                <w:color w:val="FF0000"/>
                <w:strike w:val="1"/>
                <w:w w:val="91"/>
              </w:rPr>
              <w:t>Payment Date</w:t>
            </w:r>
          </w:p>
        </w:tc>
        <w:tc>
          <w:tcPr>
            <w:tcW w:w="1190" w:type="dxa"/>
            <w:vAlign w:val="bottom"/>
            <w:tcBorders>
              <w:bottom w:val="single" w:sz="8" w:color="CCCCFF"/>
            </w:tcBorders>
          </w:tcPr>
          <w:p>
            <w:pPr>
              <w:ind w:left="20"/>
              <w:spacing w:after="0"/>
              <w:rPr>
                <w:sz w:val="20"/>
                <w:szCs w:val="20"/>
                <w:color w:val="auto"/>
              </w:rPr>
            </w:pPr>
            <w:r>
              <w:rPr>
                <w:rFonts w:ascii="Arial" w:cs="Arial" w:eastAsia="Arial" w:hAnsi="Arial"/>
                <w:sz w:val="20"/>
                <w:szCs w:val="20"/>
                <w:color w:val="FF0000"/>
                <w:strike w:val="1"/>
              </w:rPr>
              <w:t>Amount</w:t>
            </w:r>
          </w:p>
        </w:tc>
        <w:tc>
          <w:tcPr>
            <w:tcW w:w="650" w:type="dxa"/>
            <w:vAlign w:val="bottom"/>
            <w:tcBorders>
              <w:bottom w:val="single" w:sz="8" w:color="CCCCFF"/>
            </w:tcBorders>
          </w:tcPr>
          <w:p>
            <w:pPr>
              <w:ind w:left="30"/>
              <w:spacing w:after="0"/>
              <w:rPr>
                <w:sz w:val="20"/>
                <w:szCs w:val="20"/>
                <w:color w:val="auto"/>
              </w:rPr>
            </w:pPr>
            <w:r>
              <w:rPr>
                <w:rFonts w:ascii="Arial" w:cs="Arial" w:eastAsia="Arial" w:hAnsi="Arial"/>
                <w:sz w:val="20"/>
                <w:szCs w:val="20"/>
                <w:color w:val="FF0000"/>
                <w:strike w:val="1"/>
                <w:w w:val="86"/>
              </w:rPr>
              <w:t>Percent</w:t>
            </w:r>
          </w:p>
        </w:tc>
        <w:tc>
          <w:tcPr>
            <w:tcW w:w="100" w:type="dxa"/>
            <w:vAlign w:val="bottom"/>
            <w:tcBorders>
              <w:bottom w:val="single" w:sz="8" w:color="CCCCFF"/>
            </w:tcBorders>
          </w:tcPr>
          <w:p>
            <w:pPr>
              <w:spacing w:after="0"/>
              <w:rPr>
                <w:sz w:val="24"/>
                <w:szCs w:val="24"/>
                <w:color w:val="auto"/>
              </w:rPr>
            </w:pPr>
          </w:p>
        </w:tc>
        <w:tc>
          <w:tcPr>
            <w:tcW w:w="20" w:type="dxa"/>
            <w:vAlign w:val="bottom"/>
            <w:tcBorders>
              <w:bottom w:val="single" w:sz="8" w:color="CCCCFF"/>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0"/>
                <w:szCs w:val="20"/>
                <w:color w:val="auto"/>
              </w:rPr>
            </w:pPr>
            <w:r>
              <w:rPr>
                <w:rFonts w:ascii="Arial" w:cs="Arial" w:eastAsia="Arial" w:hAnsi="Arial"/>
                <w:sz w:val="20"/>
                <w:szCs w:val="20"/>
                <w:color w:val="FF0000"/>
                <w:strike w:val="1"/>
                <w:w w:val="86"/>
              </w:rPr>
              <w:t>Payment</w:t>
            </w:r>
          </w:p>
        </w:tc>
        <w:tc>
          <w:tcPr>
            <w:tcW w:w="720" w:type="dxa"/>
            <w:vAlign w:val="bottom"/>
            <w:tcBorders>
              <w:bottom w:val="single" w:sz="8" w:color="auto"/>
            </w:tcBorders>
          </w:tcPr>
          <w:p>
            <w:pPr>
              <w:ind w:left="40"/>
              <w:spacing w:after="0"/>
              <w:rPr>
                <w:sz w:val="20"/>
                <w:szCs w:val="20"/>
                <w:color w:val="auto"/>
              </w:rPr>
            </w:pPr>
            <w:r>
              <w:rPr>
                <w:rFonts w:ascii="Arial" w:cs="Arial" w:eastAsia="Arial" w:hAnsi="Arial"/>
                <w:sz w:val="20"/>
                <w:szCs w:val="20"/>
                <w:color w:val="auto"/>
              </w:rPr>
              <w:t>Date</w:t>
            </w:r>
          </w:p>
        </w:tc>
        <w:tc>
          <w:tcPr>
            <w:tcW w:w="2220" w:type="dxa"/>
            <w:vAlign w:val="bottom"/>
            <w:tcBorders>
              <w:bottom w:val="single" w:sz="8" w:color="auto"/>
            </w:tcBorders>
            <w:gridSpan w:val="5"/>
          </w:tcPr>
          <w:p>
            <w:pPr>
              <w:ind w:left="580"/>
              <w:spacing w:after="0"/>
              <w:rPr>
                <w:sz w:val="20"/>
                <w:szCs w:val="20"/>
                <w:color w:val="auto"/>
              </w:rPr>
            </w:pPr>
            <w:r>
              <w:rPr>
                <w:rFonts w:ascii="Arial" w:cs="Arial" w:eastAsia="Arial" w:hAnsi="Arial"/>
                <w:sz w:val="20"/>
                <w:szCs w:val="20"/>
                <w:color w:val="auto"/>
              </w:rPr>
              <w:t xml:space="preserve">Amount </w:t>
            </w:r>
            <w:r>
              <w:rPr>
                <w:rFonts w:ascii="Arial" w:cs="Arial" w:eastAsia="Arial" w:hAnsi="Arial"/>
                <w:sz w:val="20"/>
                <w:szCs w:val="20"/>
                <w:u w:val="single" w:color="auto"/>
                <w:color w:val="0000FF"/>
              </w:rPr>
              <w:t>($</w:t>
            </w:r>
            <w:r>
              <w:rPr>
                <w:rFonts w:ascii="Arial" w:cs="Arial" w:eastAsia="Arial" w:hAnsi="Arial"/>
                <w:sz w:val="20"/>
                <w:szCs w:val="20"/>
                <w:color w:val="0000FF"/>
              </w:rPr>
              <w:t>)</w:t>
            </w:r>
          </w:p>
        </w:tc>
        <w:tc>
          <w:tcPr>
            <w:tcW w:w="1400" w:type="dxa"/>
            <w:vAlign w:val="bottom"/>
            <w:tcBorders>
              <w:bottom w:val="single" w:sz="8" w:color="auto"/>
            </w:tcBorders>
            <w:gridSpan w:val="3"/>
          </w:tcPr>
          <w:p>
            <w:pPr>
              <w:jc w:val="right"/>
              <w:ind w:right="520"/>
              <w:spacing w:after="0"/>
              <w:rPr>
                <w:sz w:val="20"/>
                <w:szCs w:val="20"/>
                <w:color w:val="auto"/>
              </w:rPr>
            </w:pPr>
            <w:r>
              <w:rPr>
                <w:rFonts w:ascii="Arial" w:cs="Arial" w:eastAsia="Arial" w:hAnsi="Arial"/>
                <w:sz w:val="20"/>
                <w:szCs w:val="20"/>
                <w:color w:val="auto"/>
              </w:rPr>
              <w:t>Percent</w:t>
            </w:r>
          </w:p>
        </w:tc>
        <w:tc>
          <w:tcPr>
            <w:tcW w:w="1580" w:type="dxa"/>
            <w:vAlign w:val="bottom"/>
            <w:tcBorders>
              <w:bottom w:val="single" w:sz="8" w:color="auto"/>
            </w:tcBorders>
            <w:gridSpan w:val="5"/>
          </w:tcPr>
          <w:p>
            <w:pPr>
              <w:jc w:val="right"/>
              <w:ind w:right="400"/>
              <w:spacing w:after="0"/>
              <w:rPr>
                <w:sz w:val="20"/>
                <w:szCs w:val="20"/>
                <w:color w:val="auto"/>
              </w:rPr>
            </w:pPr>
            <w:r>
              <w:rPr>
                <w:rFonts w:ascii="Arial" w:cs="Arial" w:eastAsia="Arial" w:hAnsi="Arial"/>
                <w:sz w:val="20"/>
                <w:szCs w:val="20"/>
                <w:color w:val="0000FF"/>
              </w:rPr>
              <w:t xml:space="preserve">Balance </w:t>
            </w:r>
            <w:r>
              <w:rPr>
                <w:rFonts w:ascii="Arial" w:cs="Arial" w:eastAsia="Arial" w:hAnsi="Arial"/>
                <w:sz w:val="20"/>
                <w:szCs w:val="20"/>
                <w:u w:val="single" w:color="auto"/>
                <w:color w:val="0000FF"/>
              </w:rPr>
              <w:t>($</w:t>
            </w:r>
            <w:r>
              <w:rPr>
                <w:rFonts w:ascii="Arial" w:cs="Arial" w:eastAsia="Arial" w:hAnsi="Arial"/>
                <w:sz w:val="20"/>
                <w:szCs w:val="20"/>
                <w:color w:val="0000FF"/>
              </w:rPr>
              <w:t>)</w:t>
            </w:r>
          </w:p>
        </w:tc>
        <w:tc>
          <w:tcPr>
            <w:tcW w:w="980" w:type="dxa"/>
            <w:vAlign w:val="bottom"/>
            <w:tcBorders>
              <w:bottom w:val="single" w:sz="8" w:color="CCCCFF"/>
            </w:tcBorders>
            <w:shd w:val="clear" w:color="auto" w:fill="CCCCFF"/>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360" w:type="dxa"/>
            <w:vAlign w:val="bottom"/>
            <w:shd w:val="clear" w:color="auto" w:fill="C0C0C0"/>
          </w:tcPr>
          <w:p>
            <w:pPr>
              <w:spacing w:after="0"/>
              <w:rPr>
                <w:sz w:val="22"/>
                <w:szCs w:val="22"/>
                <w:color w:val="auto"/>
              </w:rPr>
            </w:pPr>
          </w:p>
        </w:tc>
        <w:tc>
          <w:tcPr>
            <w:tcW w:w="1220" w:type="dxa"/>
            <w:vAlign w:val="bottom"/>
            <w:shd w:val="clear" w:color="auto" w:fill="C0C0C0"/>
          </w:tcPr>
          <w:p>
            <w:pPr>
              <w:spacing w:after="0"/>
              <w:rPr>
                <w:sz w:val="22"/>
                <w:szCs w:val="22"/>
                <w:color w:val="auto"/>
              </w:rPr>
            </w:pPr>
          </w:p>
        </w:tc>
        <w:tc>
          <w:tcPr>
            <w:tcW w:w="1190" w:type="dxa"/>
            <w:vAlign w:val="bottom"/>
            <w:shd w:val="clear" w:color="auto" w:fill="CCCCFF"/>
          </w:tcPr>
          <w:p>
            <w:pPr>
              <w:spacing w:after="0"/>
              <w:rPr>
                <w:sz w:val="22"/>
                <w:szCs w:val="22"/>
                <w:color w:val="auto"/>
              </w:rPr>
            </w:pPr>
          </w:p>
        </w:tc>
        <w:tc>
          <w:tcPr>
            <w:tcW w:w="650" w:type="dxa"/>
            <w:vAlign w:val="bottom"/>
            <w:shd w:val="clear" w:color="auto" w:fill="CCCCFF"/>
          </w:tcPr>
          <w:p>
            <w:pPr>
              <w:spacing w:after="0"/>
              <w:rPr>
                <w:sz w:val="22"/>
                <w:szCs w:val="22"/>
                <w:color w:val="auto"/>
              </w:rPr>
            </w:pPr>
          </w:p>
        </w:tc>
        <w:tc>
          <w:tcPr>
            <w:tcW w:w="100" w:type="dxa"/>
            <w:vAlign w:val="bottom"/>
            <w:shd w:val="clear" w:color="auto" w:fill="CCCCFF"/>
          </w:tcPr>
          <w:p>
            <w:pPr>
              <w:spacing w:after="0"/>
              <w:rPr>
                <w:sz w:val="22"/>
                <w:szCs w:val="22"/>
                <w:color w:val="auto"/>
              </w:rPr>
            </w:pPr>
          </w:p>
        </w:tc>
        <w:tc>
          <w:tcPr>
            <w:tcW w:w="20" w:type="dxa"/>
            <w:vAlign w:val="bottom"/>
            <w:shd w:val="clear" w:color="auto" w:fill="CCCCFF"/>
          </w:tcPr>
          <w:p>
            <w:pPr>
              <w:spacing w:after="0"/>
              <w:rPr>
                <w:sz w:val="22"/>
                <w:szCs w:val="22"/>
                <w:color w:val="auto"/>
              </w:rPr>
            </w:pPr>
          </w:p>
        </w:tc>
        <w:tc>
          <w:tcPr>
            <w:tcW w:w="280" w:type="dxa"/>
            <w:vAlign w:val="bottom"/>
            <w:shd w:val="clear" w:color="auto" w:fill="CCCCFF"/>
          </w:tcPr>
          <w:p>
            <w:pPr>
              <w:spacing w:after="0"/>
              <w:rPr>
                <w:sz w:val="22"/>
                <w:szCs w:val="22"/>
                <w:color w:val="auto"/>
              </w:rPr>
            </w:pPr>
          </w:p>
        </w:tc>
        <w:tc>
          <w:tcPr>
            <w:tcW w:w="700" w:type="dxa"/>
            <w:vAlign w:val="bottom"/>
            <w:shd w:val="clear" w:color="auto" w:fill="CCCCFF"/>
          </w:tcPr>
          <w:p>
            <w:pPr>
              <w:spacing w:after="0"/>
              <w:rPr>
                <w:sz w:val="22"/>
                <w:szCs w:val="22"/>
                <w:color w:val="auto"/>
              </w:rPr>
            </w:pPr>
          </w:p>
        </w:tc>
        <w:tc>
          <w:tcPr>
            <w:tcW w:w="720" w:type="dxa"/>
            <w:vAlign w:val="bottom"/>
            <w:shd w:val="clear" w:color="auto" w:fill="CCCCFF"/>
          </w:tcPr>
          <w:p>
            <w:pPr>
              <w:spacing w:after="0"/>
              <w:rPr>
                <w:sz w:val="22"/>
                <w:szCs w:val="22"/>
                <w:color w:val="auto"/>
              </w:rPr>
            </w:pPr>
          </w:p>
        </w:tc>
        <w:tc>
          <w:tcPr>
            <w:tcW w:w="1140" w:type="dxa"/>
            <w:vAlign w:val="bottom"/>
            <w:shd w:val="clear" w:color="auto" w:fill="CCCCFF"/>
          </w:tcPr>
          <w:p>
            <w:pPr>
              <w:spacing w:after="0"/>
              <w:rPr>
                <w:sz w:val="22"/>
                <w:szCs w:val="22"/>
                <w:color w:val="auto"/>
              </w:rPr>
            </w:pPr>
          </w:p>
        </w:tc>
        <w:tc>
          <w:tcPr>
            <w:tcW w:w="140" w:type="dxa"/>
            <w:vAlign w:val="bottom"/>
            <w:shd w:val="clear" w:color="auto" w:fill="CCCCFF"/>
          </w:tcPr>
          <w:p>
            <w:pPr>
              <w:spacing w:after="0"/>
              <w:rPr>
                <w:sz w:val="22"/>
                <w:szCs w:val="22"/>
                <w:color w:val="auto"/>
              </w:rPr>
            </w:pPr>
          </w:p>
        </w:tc>
        <w:tc>
          <w:tcPr>
            <w:tcW w:w="240" w:type="dxa"/>
            <w:vAlign w:val="bottom"/>
            <w:shd w:val="clear" w:color="auto" w:fill="CCCCFF"/>
          </w:tcPr>
          <w:p>
            <w:pPr>
              <w:spacing w:after="0"/>
              <w:rPr>
                <w:sz w:val="22"/>
                <w:szCs w:val="22"/>
                <w:color w:val="auto"/>
              </w:rPr>
            </w:pPr>
          </w:p>
        </w:tc>
        <w:tc>
          <w:tcPr>
            <w:tcW w:w="520" w:type="dxa"/>
            <w:vAlign w:val="bottom"/>
            <w:shd w:val="clear" w:color="auto" w:fill="CCCCFF"/>
          </w:tcPr>
          <w:p>
            <w:pPr>
              <w:spacing w:after="0"/>
              <w:rPr>
                <w:sz w:val="22"/>
                <w:szCs w:val="22"/>
                <w:color w:val="auto"/>
              </w:rPr>
            </w:pPr>
          </w:p>
        </w:tc>
        <w:tc>
          <w:tcPr>
            <w:tcW w:w="180" w:type="dxa"/>
            <w:vAlign w:val="bottom"/>
            <w:shd w:val="clear" w:color="auto" w:fill="CCCCFF"/>
          </w:tcPr>
          <w:p>
            <w:pPr>
              <w:spacing w:after="0"/>
              <w:rPr>
                <w:sz w:val="22"/>
                <w:szCs w:val="22"/>
                <w:color w:val="auto"/>
              </w:rPr>
            </w:pPr>
          </w:p>
        </w:tc>
        <w:tc>
          <w:tcPr>
            <w:tcW w:w="500" w:type="dxa"/>
            <w:vAlign w:val="bottom"/>
            <w:shd w:val="clear" w:color="auto" w:fill="CCCCFF"/>
          </w:tcPr>
          <w:p>
            <w:pPr>
              <w:spacing w:after="0"/>
              <w:rPr>
                <w:sz w:val="22"/>
                <w:szCs w:val="22"/>
                <w:color w:val="auto"/>
              </w:rPr>
            </w:pPr>
          </w:p>
        </w:tc>
        <w:tc>
          <w:tcPr>
            <w:tcW w:w="460" w:type="dxa"/>
            <w:vAlign w:val="bottom"/>
            <w:shd w:val="clear" w:color="auto" w:fill="CCCCFF"/>
          </w:tcPr>
          <w:p>
            <w:pPr>
              <w:spacing w:after="0"/>
              <w:rPr>
                <w:sz w:val="22"/>
                <w:szCs w:val="22"/>
                <w:color w:val="auto"/>
              </w:rPr>
            </w:pPr>
          </w:p>
        </w:tc>
        <w:tc>
          <w:tcPr>
            <w:tcW w:w="440" w:type="dxa"/>
            <w:vAlign w:val="bottom"/>
            <w:shd w:val="clear" w:color="auto" w:fill="CCCCFF"/>
          </w:tcPr>
          <w:p>
            <w:pPr>
              <w:spacing w:after="0"/>
              <w:rPr>
                <w:sz w:val="22"/>
                <w:szCs w:val="22"/>
                <w:color w:val="auto"/>
              </w:rPr>
            </w:pPr>
          </w:p>
        </w:tc>
        <w:tc>
          <w:tcPr>
            <w:tcW w:w="400" w:type="dxa"/>
            <w:vAlign w:val="bottom"/>
            <w:gridSpan w:val="2"/>
            <w:shd w:val="clear" w:color="auto" w:fill="CCCCFF"/>
          </w:tcPr>
          <w:p>
            <w:pPr>
              <w:spacing w:after="0"/>
              <w:rPr>
                <w:sz w:val="22"/>
                <w:szCs w:val="22"/>
                <w:color w:val="auto"/>
              </w:rPr>
            </w:pPr>
          </w:p>
        </w:tc>
        <w:tc>
          <w:tcPr>
            <w:tcW w:w="1180" w:type="dxa"/>
            <w:vAlign w:val="bottom"/>
            <w:gridSpan w:val="3"/>
            <w:shd w:val="clear" w:color="auto" w:fill="CCCCFF"/>
          </w:tcPr>
          <w:p>
            <w:pPr>
              <w:jc w:val="right"/>
              <w:ind w:right="40"/>
              <w:spacing w:after="0" w:line="209" w:lineRule="exact"/>
              <w:rPr>
                <w:sz w:val="20"/>
                <w:szCs w:val="20"/>
                <w:color w:val="auto"/>
              </w:rPr>
            </w:pPr>
            <w:r>
              <w:rPr>
                <w:rFonts w:ascii="Arial" w:cs="Arial" w:eastAsia="Arial" w:hAnsi="Arial"/>
                <w:sz w:val="20"/>
                <w:szCs w:val="20"/>
                <w:color w:val="0000FF"/>
                <w:w w:val="87"/>
              </w:rPr>
              <w:t>75,000,000.00</w:t>
            </w:r>
          </w:p>
        </w:tc>
        <w:tc>
          <w:tcPr>
            <w:tcW w:w="980" w:type="dxa"/>
            <w:vAlign w:val="bottom"/>
            <w:shd w:val="clear" w:color="auto" w:fill="CCCC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360" w:type="dxa"/>
            <w:vAlign w:val="bottom"/>
            <w:tcBorders>
              <w:top w:val="single" w:sz="8" w:color="C0C0C0"/>
            </w:tcBorders>
            <w:shd w:val="clear" w:color="auto" w:fill="FFCCCC"/>
          </w:tcPr>
          <w:p>
            <w:pPr>
              <w:spacing w:after="0" w:line="20" w:lineRule="exact"/>
              <w:rPr>
                <w:sz w:val="1"/>
                <w:szCs w:val="1"/>
                <w:color w:val="auto"/>
              </w:rPr>
            </w:pPr>
          </w:p>
        </w:tc>
        <w:tc>
          <w:tcPr>
            <w:tcW w:w="1220" w:type="dxa"/>
            <w:vAlign w:val="bottom"/>
            <w:tcBorders>
              <w:top w:val="single" w:sz="8" w:color="C0C0C0"/>
            </w:tcBorders>
            <w:shd w:val="clear" w:color="auto" w:fill="000000"/>
          </w:tcPr>
          <w:p>
            <w:pPr>
              <w:spacing w:after="0" w:line="20" w:lineRule="exact"/>
              <w:rPr>
                <w:sz w:val="1"/>
                <w:szCs w:val="1"/>
                <w:color w:val="auto"/>
              </w:rPr>
            </w:pPr>
          </w:p>
        </w:tc>
        <w:tc>
          <w:tcPr>
            <w:tcW w:w="1190" w:type="dxa"/>
            <w:vAlign w:val="bottom"/>
            <w:tcBorders>
              <w:top w:val="single" w:sz="8" w:color="CCCCFF"/>
            </w:tcBorders>
            <w:vMerge w:val="restart"/>
          </w:tcPr>
          <w:p>
            <w:pPr>
              <w:ind w:left="20"/>
              <w:spacing w:after="0" w:line="196" w:lineRule="exact"/>
              <w:rPr>
                <w:sz w:val="20"/>
                <w:szCs w:val="20"/>
                <w:color w:val="auto"/>
              </w:rPr>
            </w:pPr>
            <w:r>
              <w:rPr>
                <w:rFonts w:ascii="Arial" w:cs="Arial" w:eastAsia="Arial" w:hAnsi="Arial"/>
                <w:sz w:val="20"/>
                <w:szCs w:val="20"/>
                <w:color w:val="FF0000"/>
                <w:strike w:val="1"/>
                <w:w w:val="90"/>
              </w:rPr>
              <w:t>$1,000,000.00</w:t>
            </w:r>
          </w:p>
        </w:tc>
        <w:tc>
          <w:tcPr>
            <w:tcW w:w="650" w:type="dxa"/>
            <w:vAlign w:val="bottom"/>
            <w:tcBorders>
              <w:top w:val="single" w:sz="8" w:color="CCCCFF"/>
            </w:tcBorders>
            <w:vMerge w:val="restart"/>
          </w:tcPr>
          <w:p>
            <w:pPr>
              <w:ind w:left="30"/>
              <w:spacing w:after="0" w:line="196" w:lineRule="exact"/>
              <w:rPr>
                <w:sz w:val="20"/>
                <w:szCs w:val="20"/>
                <w:color w:val="auto"/>
              </w:rPr>
            </w:pPr>
            <w:r>
              <w:rPr>
                <w:rFonts w:ascii="Arial" w:cs="Arial" w:eastAsia="Arial" w:hAnsi="Arial"/>
                <w:sz w:val="20"/>
                <w:szCs w:val="20"/>
                <w:color w:val="FF0000"/>
                <w:strike w:val="1"/>
                <w:w w:val="88"/>
              </w:rPr>
              <w:t>1.250%</w:t>
            </w:r>
          </w:p>
        </w:tc>
        <w:tc>
          <w:tcPr>
            <w:tcW w:w="100" w:type="dxa"/>
            <w:vAlign w:val="bottom"/>
            <w:tcBorders>
              <w:top w:val="single" w:sz="8" w:color="CCCCFF"/>
            </w:tcBorders>
            <w:vMerge w:val="restart"/>
          </w:tcPr>
          <w:p>
            <w:pPr>
              <w:jc w:val="right"/>
              <w:spacing w:after="0" w:line="196" w:lineRule="exact"/>
              <w:rPr>
                <w:sz w:val="20"/>
                <w:szCs w:val="20"/>
                <w:color w:val="auto"/>
              </w:rPr>
            </w:pPr>
            <w:r>
              <w:rPr>
                <w:rFonts w:ascii="Arial" w:cs="Arial" w:eastAsia="Arial" w:hAnsi="Arial"/>
                <w:sz w:val="20"/>
                <w:szCs w:val="20"/>
                <w:color w:val="0000FF"/>
                <w:w w:val="71"/>
              </w:rPr>
              <w:t>1</w:t>
            </w:r>
          </w:p>
        </w:tc>
        <w:tc>
          <w:tcPr>
            <w:tcW w:w="20" w:type="dxa"/>
            <w:vAlign w:val="bottom"/>
            <w:tcBorders>
              <w:top w:val="single" w:sz="8" w:color="CCCCFF"/>
            </w:tcBorders>
            <w:vMerge w:val="restart"/>
          </w:tcPr>
          <w:p>
            <w:pPr>
              <w:spacing w:after="0" w:line="20" w:lineRule="exact"/>
              <w:rPr>
                <w:sz w:val="1"/>
                <w:szCs w:val="1"/>
                <w:color w:val="auto"/>
              </w:rPr>
            </w:pPr>
          </w:p>
        </w:tc>
        <w:tc>
          <w:tcPr>
            <w:tcW w:w="280" w:type="dxa"/>
            <w:vAlign w:val="bottom"/>
            <w:tcBorders>
              <w:top w:val="single" w:sz="8" w:color="CCCCFF"/>
            </w:tcBorders>
          </w:tcPr>
          <w:p>
            <w:pPr>
              <w:spacing w:after="0" w:line="20" w:lineRule="exact"/>
              <w:rPr>
                <w:sz w:val="1"/>
                <w:szCs w:val="1"/>
                <w:color w:val="auto"/>
              </w:rPr>
            </w:pPr>
          </w:p>
        </w:tc>
        <w:tc>
          <w:tcPr>
            <w:tcW w:w="1420" w:type="dxa"/>
            <w:vAlign w:val="bottom"/>
            <w:tcBorders>
              <w:top w:val="single" w:sz="8" w:color="CCCCFF"/>
            </w:tcBorders>
            <w:gridSpan w:val="2"/>
            <w:vMerge w:val="restart"/>
          </w:tcPr>
          <w:p>
            <w:pPr>
              <w:ind w:left="20"/>
              <w:spacing w:after="0" w:line="196" w:lineRule="exact"/>
              <w:rPr>
                <w:sz w:val="20"/>
                <w:szCs w:val="20"/>
                <w:color w:val="auto"/>
              </w:rPr>
            </w:pPr>
            <w:r>
              <w:rPr>
                <w:rFonts w:ascii="Arial" w:cs="Arial" w:eastAsia="Arial" w:hAnsi="Arial"/>
                <w:sz w:val="20"/>
                <w:szCs w:val="20"/>
                <w:color w:val="auto"/>
              </w:rPr>
              <w:t>May 31, 2014</w:t>
            </w:r>
          </w:p>
        </w:tc>
        <w:tc>
          <w:tcPr>
            <w:tcW w:w="1140" w:type="dxa"/>
            <w:vAlign w:val="bottom"/>
            <w:tcBorders>
              <w:top w:val="single" w:sz="8" w:color="CCCCFF"/>
            </w:tcBorders>
          </w:tcPr>
          <w:p>
            <w:pPr>
              <w:spacing w:after="0" w:line="20" w:lineRule="exact"/>
              <w:rPr>
                <w:sz w:val="1"/>
                <w:szCs w:val="1"/>
                <w:color w:val="auto"/>
              </w:rPr>
            </w:pPr>
          </w:p>
        </w:tc>
        <w:tc>
          <w:tcPr>
            <w:tcW w:w="140" w:type="dxa"/>
            <w:vAlign w:val="bottom"/>
            <w:tcBorders>
              <w:top w:val="single" w:sz="8" w:color="CCCCFF"/>
            </w:tcBorders>
          </w:tcPr>
          <w:p>
            <w:pPr>
              <w:spacing w:after="0" w:line="20" w:lineRule="exact"/>
              <w:rPr>
                <w:sz w:val="1"/>
                <w:szCs w:val="1"/>
                <w:color w:val="auto"/>
              </w:rPr>
            </w:pPr>
          </w:p>
        </w:tc>
        <w:tc>
          <w:tcPr>
            <w:tcW w:w="240" w:type="dxa"/>
            <w:vAlign w:val="bottom"/>
            <w:tcBorders>
              <w:top w:val="single" w:sz="8" w:color="CCCCFF"/>
            </w:tcBorders>
          </w:tcPr>
          <w:p>
            <w:pPr>
              <w:spacing w:after="0" w:line="20" w:lineRule="exact"/>
              <w:rPr>
                <w:sz w:val="1"/>
                <w:szCs w:val="1"/>
                <w:color w:val="auto"/>
              </w:rPr>
            </w:pPr>
          </w:p>
        </w:tc>
        <w:tc>
          <w:tcPr>
            <w:tcW w:w="520" w:type="dxa"/>
            <w:vAlign w:val="bottom"/>
            <w:tcBorders>
              <w:top w:val="single" w:sz="8" w:color="CCCCFF"/>
            </w:tcBorders>
          </w:tcPr>
          <w:p>
            <w:pPr>
              <w:spacing w:after="0" w:line="20" w:lineRule="exact"/>
              <w:rPr>
                <w:sz w:val="1"/>
                <w:szCs w:val="1"/>
                <w:color w:val="auto"/>
              </w:rPr>
            </w:pPr>
          </w:p>
        </w:tc>
        <w:tc>
          <w:tcPr>
            <w:tcW w:w="180" w:type="dxa"/>
            <w:vAlign w:val="bottom"/>
            <w:tcBorders>
              <w:top w:val="single" w:sz="8" w:color="CCCCFF"/>
            </w:tcBorders>
          </w:tcPr>
          <w:p>
            <w:pPr>
              <w:spacing w:after="0" w:line="20" w:lineRule="exact"/>
              <w:rPr>
                <w:sz w:val="1"/>
                <w:szCs w:val="1"/>
                <w:color w:val="auto"/>
              </w:rPr>
            </w:pPr>
          </w:p>
        </w:tc>
        <w:tc>
          <w:tcPr>
            <w:tcW w:w="500" w:type="dxa"/>
            <w:vAlign w:val="bottom"/>
            <w:tcBorders>
              <w:top w:val="single" w:sz="8" w:color="CCCCFF"/>
            </w:tcBorders>
          </w:tcPr>
          <w:p>
            <w:pPr>
              <w:spacing w:after="0" w:line="20" w:lineRule="exact"/>
              <w:rPr>
                <w:sz w:val="1"/>
                <w:szCs w:val="1"/>
                <w:color w:val="auto"/>
              </w:rPr>
            </w:pPr>
          </w:p>
        </w:tc>
        <w:tc>
          <w:tcPr>
            <w:tcW w:w="460" w:type="dxa"/>
            <w:vAlign w:val="bottom"/>
            <w:tcBorders>
              <w:top w:val="single" w:sz="8" w:color="CCCCFF"/>
            </w:tcBorders>
          </w:tcPr>
          <w:p>
            <w:pPr>
              <w:spacing w:after="0" w:line="20" w:lineRule="exact"/>
              <w:rPr>
                <w:sz w:val="1"/>
                <w:szCs w:val="1"/>
                <w:color w:val="auto"/>
              </w:rPr>
            </w:pPr>
          </w:p>
        </w:tc>
        <w:tc>
          <w:tcPr>
            <w:tcW w:w="440" w:type="dxa"/>
            <w:vAlign w:val="bottom"/>
            <w:tcBorders>
              <w:top w:val="single" w:sz="8" w:color="CCCCFF"/>
            </w:tcBorders>
          </w:tcPr>
          <w:p>
            <w:pPr>
              <w:spacing w:after="0" w:line="20" w:lineRule="exact"/>
              <w:rPr>
                <w:sz w:val="1"/>
                <w:szCs w:val="1"/>
                <w:color w:val="auto"/>
              </w:rPr>
            </w:pPr>
          </w:p>
        </w:tc>
        <w:tc>
          <w:tcPr>
            <w:tcW w:w="280" w:type="dxa"/>
            <w:vAlign w:val="bottom"/>
            <w:tcBorders>
              <w:top w:val="single" w:sz="8" w:color="CCCCFF"/>
            </w:tcBorders>
          </w:tcPr>
          <w:p>
            <w:pPr>
              <w:spacing w:after="0" w:line="20" w:lineRule="exact"/>
              <w:rPr>
                <w:sz w:val="1"/>
                <w:szCs w:val="1"/>
                <w:color w:val="auto"/>
              </w:rPr>
            </w:pPr>
          </w:p>
        </w:tc>
        <w:tc>
          <w:tcPr>
            <w:tcW w:w="120" w:type="dxa"/>
            <w:vAlign w:val="bottom"/>
            <w:tcBorders>
              <w:top w:val="single" w:sz="8" w:color="CCCCFF"/>
            </w:tcBorders>
          </w:tcPr>
          <w:p>
            <w:pPr>
              <w:spacing w:after="0" w:line="20" w:lineRule="exact"/>
              <w:rPr>
                <w:sz w:val="1"/>
                <w:szCs w:val="1"/>
                <w:color w:val="auto"/>
              </w:rPr>
            </w:pPr>
          </w:p>
        </w:tc>
        <w:tc>
          <w:tcPr>
            <w:tcW w:w="780" w:type="dxa"/>
            <w:vAlign w:val="bottom"/>
            <w:tcBorders>
              <w:top w:val="single" w:sz="8" w:color="0000FF"/>
            </w:tcBorders>
          </w:tcPr>
          <w:p>
            <w:pPr>
              <w:spacing w:after="0" w:line="20" w:lineRule="exact"/>
              <w:rPr>
                <w:sz w:val="1"/>
                <w:szCs w:val="1"/>
                <w:color w:val="auto"/>
              </w:rPr>
            </w:pPr>
          </w:p>
        </w:tc>
        <w:tc>
          <w:tcPr>
            <w:tcW w:w="36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CCCCFF"/>
            </w:tcBorders>
          </w:tcPr>
          <w:p>
            <w:pPr>
              <w:spacing w:after="0" w:line="20" w:lineRule="exact"/>
              <w:rPr>
                <w:sz w:val="1"/>
                <w:szCs w:val="1"/>
                <w:color w:val="auto"/>
              </w:rPr>
            </w:pPr>
          </w:p>
        </w:tc>
        <w:tc>
          <w:tcPr>
            <w:tcW w:w="980" w:type="dxa"/>
            <w:vAlign w:val="bottom"/>
            <w:tcBorders>
              <w:top w:val="single" w:sz="8" w:color="CCCCFF"/>
            </w:tcBorders>
            <w:shd w:val="clear" w:color="auto" w:fill="CCCC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60" w:type="dxa"/>
            <w:vAlign w:val="bottom"/>
            <w:tcBorders>
              <w:bottom w:val="single" w:sz="8" w:color="FFCCCC"/>
            </w:tcBorders>
            <w:shd w:val="clear" w:color="auto" w:fill="FFCCCC"/>
          </w:tcPr>
          <w:p>
            <w:pPr>
              <w:spacing w:after="0"/>
              <w:rPr>
                <w:sz w:val="17"/>
                <w:szCs w:val="17"/>
                <w:color w:val="auto"/>
              </w:rPr>
            </w:pPr>
          </w:p>
        </w:tc>
        <w:tc>
          <w:tcPr>
            <w:tcW w:w="1220" w:type="dxa"/>
            <w:vAlign w:val="bottom"/>
            <w:tcBorders>
              <w:bottom w:val="single" w:sz="8" w:color="FFCCCC"/>
            </w:tcBorders>
            <w:shd w:val="clear" w:color="auto" w:fill="FFCCCC"/>
          </w:tcPr>
          <w:p>
            <w:pPr>
              <w:ind w:left="20"/>
              <w:spacing w:after="0" w:line="183" w:lineRule="exact"/>
              <w:rPr>
                <w:sz w:val="20"/>
                <w:szCs w:val="20"/>
                <w:color w:val="auto"/>
              </w:rPr>
            </w:pPr>
            <w:r>
              <w:rPr>
                <w:rFonts w:ascii="Arial" w:cs="Arial" w:eastAsia="Arial" w:hAnsi="Arial"/>
                <w:sz w:val="20"/>
                <w:szCs w:val="20"/>
                <w:color w:val="FF0000"/>
                <w:strike w:val="1"/>
                <w:w w:val="99"/>
              </w:rPr>
              <w:t>Nov 30, 2011</w:t>
            </w:r>
          </w:p>
        </w:tc>
        <w:tc>
          <w:tcPr>
            <w:tcW w:w="1190" w:type="dxa"/>
            <w:vAlign w:val="bottom"/>
            <w:vMerge w:val="continue"/>
          </w:tcPr>
          <w:p>
            <w:pPr>
              <w:spacing w:after="0"/>
              <w:rPr>
                <w:sz w:val="17"/>
                <w:szCs w:val="17"/>
                <w:color w:val="auto"/>
              </w:rPr>
            </w:pPr>
          </w:p>
        </w:tc>
        <w:tc>
          <w:tcPr>
            <w:tcW w:w="650" w:type="dxa"/>
            <w:vAlign w:val="bottom"/>
            <w:vMerge w:val="continue"/>
          </w:tcPr>
          <w:p>
            <w:pPr>
              <w:spacing w:after="0"/>
              <w:rPr>
                <w:sz w:val="17"/>
                <w:szCs w:val="17"/>
                <w:color w:val="auto"/>
              </w:rPr>
            </w:pPr>
          </w:p>
        </w:tc>
        <w:tc>
          <w:tcPr>
            <w:tcW w:w="100" w:type="dxa"/>
            <w:vAlign w:val="bottom"/>
            <w:tcBorders>
              <w:bottom w:val="single" w:sz="8" w:color="0000FF"/>
            </w:tcBorders>
            <w:vMerge w:val="continue"/>
          </w:tcPr>
          <w:p>
            <w:pPr>
              <w:spacing w:after="0"/>
              <w:rPr>
                <w:sz w:val="17"/>
                <w:szCs w:val="17"/>
                <w:color w:val="auto"/>
              </w:rPr>
            </w:pPr>
          </w:p>
        </w:tc>
        <w:tc>
          <w:tcPr>
            <w:tcW w:w="20" w:type="dxa"/>
            <w:vAlign w:val="bottom"/>
            <w:vMerge w:val="continue"/>
          </w:tcPr>
          <w:p>
            <w:pPr>
              <w:spacing w:after="0"/>
              <w:rPr>
                <w:sz w:val="17"/>
                <w:szCs w:val="17"/>
                <w:color w:val="auto"/>
              </w:rPr>
            </w:pPr>
          </w:p>
        </w:tc>
        <w:tc>
          <w:tcPr>
            <w:tcW w:w="280" w:type="dxa"/>
            <w:vAlign w:val="bottom"/>
          </w:tcPr>
          <w:p>
            <w:pPr>
              <w:spacing w:after="0"/>
              <w:rPr>
                <w:sz w:val="17"/>
                <w:szCs w:val="17"/>
                <w:color w:val="auto"/>
              </w:rPr>
            </w:pPr>
          </w:p>
        </w:tc>
        <w:tc>
          <w:tcPr>
            <w:tcW w:w="1420" w:type="dxa"/>
            <w:vAlign w:val="bottom"/>
            <w:gridSpan w:val="2"/>
            <w:vMerge w:val="continue"/>
          </w:tcPr>
          <w:p>
            <w:pPr>
              <w:spacing w:after="0"/>
              <w:rPr>
                <w:sz w:val="17"/>
                <w:szCs w:val="17"/>
                <w:color w:val="auto"/>
              </w:rPr>
            </w:pPr>
          </w:p>
        </w:tc>
        <w:tc>
          <w:tcPr>
            <w:tcW w:w="1140" w:type="dxa"/>
            <w:vAlign w:val="bottom"/>
          </w:tcPr>
          <w:p>
            <w:pPr>
              <w:jc w:val="right"/>
              <w:spacing w:after="0" w:line="183" w:lineRule="exact"/>
              <w:rPr>
                <w:sz w:val="20"/>
                <w:szCs w:val="20"/>
                <w:color w:val="auto"/>
              </w:rPr>
            </w:pPr>
            <w:r>
              <w:rPr>
                <w:rFonts w:ascii="Arial" w:cs="Arial" w:eastAsia="Arial" w:hAnsi="Arial"/>
                <w:sz w:val="20"/>
                <w:szCs w:val="20"/>
                <w:color w:val="FF0000"/>
                <w:strike w:val="1"/>
                <w:w w:val="87"/>
              </w:rPr>
              <w:t>$2,000,000.00</w:t>
            </w:r>
          </w:p>
        </w:tc>
        <w:tc>
          <w:tcPr>
            <w:tcW w:w="900" w:type="dxa"/>
            <w:vAlign w:val="bottom"/>
            <w:gridSpan w:val="3"/>
          </w:tcPr>
          <w:p>
            <w:pPr>
              <w:jc w:val="right"/>
              <w:spacing w:after="0" w:line="183" w:lineRule="exact"/>
              <w:rPr>
                <w:sz w:val="20"/>
                <w:szCs w:val="20"/>
                <w:color w:val="auto"/>
              </w:rPr>
            </w:pPr>
            <w:r>
              <w:rPr>
                <w:rFonts w:ascii="Arial" w:cs="Arial" w:eastAsia="Arial" w:hAnsi="Arial"/>
                <w:sz w:val="20"/>
                <w:szCs w:val="20"/>
                <w:color w:val="0000FF"/>
                <w:w w:val="87"/>
              </w:rPr>
              <w:t>937,500.00</w:t>
            </w:r>
          </w:p>
        </w:tc>
        <w:tc>
          <w:tcPr>
            <w:tcW w:w="180" w:type="dxa"/>
            <w:vAlign w:val="bottom"/>
          </w:tcPr>
          <w:p>
            <w:pPr>
              <w:spacing w:after="0"/>
              <w:rPr>
                <w:sz w:val="17"/>
                <w:szCs w:val="17"/>
                <w:color w:val="auto"/>
              </w:rPr>
            </w:pPr>
          </w:p>
        </w:tc>
        <w:tc>
          <w:tcPr>
            <w:tcW w:w="500" w:type="dxa"/>
            <w:vAlign w:val="bottom"/>
          </w:tcPr>
          <w:p>
            <w:pPr>
              <w:jc w:val="right"/>
              <w:spacing w:after="0" w:line="183" w:lineRule="exact"/>
              <w:rPr>
                <w:sz w:val="20"/>
                <w:szCs w:val="20"/>
                <w:color w:val="auto"/>
              </w:rPr>
            </w:pPr>
            <w:r>
              <w:rPr>
                <w:rFonts w:ascii="Arial" w:cs="Arial" w:eastAsia="Arial" w:hAnsi="Arial"/>
                <w:sz w:val="20"/>
                <w:szCs w:val="20"/>
                <w:color w:val="FF0000"/>
                <w:strike w:val="1"/>
                <w:w w:val="95"/>
              </w:rPr>
              <w:t>2.500</w:t>
            </w:r>
          </w:p>
        </w:tc>
        <w:tc>
          <w:tcPr>
            <w:tcW w:w="900" w:type="dxa"/>
            <w:vAlign w:val="bottom"/>
            <w:gridSpan w:val="2"/>
          </w:tcPr>
          <w:p>
            <w:pPr>
              <w:jc w:val="right"/>
              <w:ind w:right="280"/>
              <w:spacing w:after="0" w:line="183" w:lineRule="exact"/>
              <w:rPr>
                <w:sz w:val="20"/>
                <w:szCs w:val="20"/>
                <w:color w:val="auto"/>
              </w:rPr>
            </w:pPr>
            <w:r>
              <w:rPr>
                <w:rFonts w:ascii="Arial" w:cs="Arial" w:eastAsia="Arial" w:hAnsi="Arial"/>
                <w:sz w:val="20"/>
                <w:szCs w:val="20"/>
                <w:color w:val="0000FF"/>
                <w:w w:val="88"/>
              </w:rPr>
              <w:t>1.250</w:t>
            </w:r>
            <w:r>
              <w:rPr>
                <w:rFonts w:ascii="Arial" w:cs="Arial" w:eastAsia="Arial" w:hAnsi="Arial"/>
                <w:sz w:val="20"/>
                <w:szCs w:val="20"/>
                <w:color w:val="000000"/>
                <w:w w:val="88"/>
              </w:rPr>
              <w:t>%</w:t>
            </w:r>
          </w:p>
        </w:tc>
        <w:tc>
          <w:tcPr>
            <w:tcW w:w="400" w:type="dxa"/>
            <w:vAlign w:val="bottom"/>
            <w:gridSpan w:val="2"/>
          </w:tcPr>
          <w:p>
            <w:pPr>
              <w:spacing w:after="0"/>
              <w:rPr>
                <w:sz w:val="17"/>
                <w:szCs w:val="17"/>
                <w:color w:val="auto"/>
              </w:rPr>
            </w:pPr>
          </w:p>
        </w:tc>
        <w:tc>
          <w:tcPr>
            <w:tcW w:w="1180" w:type="dxa"/>
            <w:vAlign w:val="bottom"/>
            <w:gridSpan w:val="3"/>
          </w:tcPr>
          <w:p>
            <w:pPr>
              <w:jc w:val="right"/>
              <w:ind w:right="40"/>
              <w:spacing w:after="0" w:line="183" w:lineRule="exact"/>
              <w:rPr>
                <w:sz w:val="20"/>
                <w:szCs w:val="20"/>
                <w:color w:val="auto"/>
              </w:rPr>
            </w:pPr>
            <w:r>
              <w:rPr>
                <w:rFonts w:ascii="Arial" w:cs="Arial" w:eastAsia="Arial" w:hAnsi="Arial"/>
                <w:sz w:val="20"/>
                <w:szCs w:val="20"/>
                <w:color w:val="0000FF"/>
                <w:w w:val="87"/>
              </w:rPr>
              <w:t>74,062,500.00</w:t>
            </w:r>
          </w:p>
        </w:tc>
        <w:tc>
          <w:tcPr>
            <w:tcW w:w="980" w:type="dxa"/>
            <w:vAlign w:val="bottom"/>
            <w:tcBorders>
              <w:bottom w:val="single" w:sz="8" w:color="CCCCFF"/>
            </w:tcBorders>
            <w:shd w:val="clear" w:color="auto" w:fill="CCCC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60" w:type="dxa"/>
            <w:vAlign w:val="bottom"/>
            <w:shd w:val="clear" w:color="auto" w:fill="FFCCCC"/>
          </w:tcPr>
          <w:p>
            <w:pPr>
              <w:spacing w:after="0" w:line="20" w:lineRule="exact"/>
              <w:rPr>
                <w:sz w:val="1"/>
                <w:szCs w:val="1"/>
                <w:color w:val="auto"/>
              </w:rPr>
            </w:pPr>
          </w:p>
        </w:tc>
        <w:tc>
          <w:tcPr>
            <w:tcW w:w="1220" w:type="dxa"/>
            <w:vAlign w:val="bottom"/>
            <w:shd w:val="clear" w:color="auto" w:fill="FFCCCC"/>
          </w:tcPr>
          <w:p>
            <w:pPr>
              <w:spacing w:after="0" w:line="20" w:lineRule="exact"/>
              <w:rPr>
                <w:sz w:val="1"/>
                <w:szCs w:val="1"/>
                <w:color w:val="auto"/>
              </w:rPr>
            </w:pPr>
          </w:p>
        </w:tc>
        <w:tc>
          <w:tcPr>
            <w:tcW w:w="1190" w:type="dxa"/>
            <w:vAlign w:val="bottom"/>
          </w:tcPr>
          <w:p>
            <w:pPr>
              <w:spacing w:after="0" w:line="20" w:lineRule="exact"/>
              <w:rPr>
                <w:sz w:val="1"/>
                <w:szCs w:val="1"/>
                <w:color w:val="auto"/>
              </w:rPr>
            </w:pPr>
          </w:p>
        </w:tc>
        <w:tc>
          <w:tcPr>
            <w:tcW w:w="65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80" w:type="dxa"/>
            <w:vAlign w:val="bottom"/>
            <w:shd w:val="clear" w:color="auto" w:fill="CCCC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5"/>
        </w:trPr>
        <w:tc>
          <w:tcPr>
            <w:tcW w:w="360" w:type="dxa"/>
            <w:vAlign w:val="bottom"/>
            <w:shd w:val="clear" w:color="auto" w:fill="FFCCCC"/>
          </w:tcPr>
          <w:p>
            <w:pPr>
              <w:spacing w:after="0"/>
              <w:rPr>
                <w:sz w:val="24"/>
                <w:szCs w:val="24"/>
                <w:color w:val="auto"/>
              </w:rPr>
            </w:pPr>
          </w:p>
        </w:tc>
        <w:tc>
          <w:tcPr>
            <w:tcW w:w="1220" w:type="dxa"/>
            <w:vAlign w:val="bottom"/>
            <w:shd w:val="clear" w:color="auto" w:fill="FFCCCC"/>
          </w:tcPr>
          <w:p>
            <w:pPr>
              <w:ind w:left="20"/>
              <w:spacing w:after="0"/>
              <w:rPr>
                <w:sz w:val="20"/>
                <w:szCs w:val="20"/>
                <w:color w:val="auto"/>
              </w:rPr>
            </w:pPr>
            <w:r>
              <w:rPr>
                <w:rFonts w:ascii="Arial" w:cs="Arial" w:eastAsia="Arial" w:hAnsi="Arial"/>
                <w:sz w:val="20"/>
                <w:szCs w:val="20"/>
                <w:color w:val="FF0000"/>
                <w:strike w:val="1"/>
              </w:rPr>
              <w:t>Feb 29, 2012</w:t>
            </w:r>
          </w:p>
        </w:tc>
        <w:tc>
          <w:tcPr>
            <w:tcW w:w="1190" w:type="dxa"/>
            <w:vAlign w:val="bottom"/>
          </w:tcPr>
          <w:p>
            <w:pPr>
              <w:ind w:left="20"/>
              <w:spacing w:after="0"/>
              <w:rPr>
                <w:sz w:val="20"/>
                <w:szCs w:val="20"/>
                <w:color w:val="auto"/>
              </w:rPr>
            </w:pPr>
            <w:r>
              <w:rPr>
                <w:rFonts w:ascii="Arial" w:cs="Arial" w:eastAsia="Arial" w:hAnsi="Arial"/>
                <w:sz w:val="20"/>
                <w:szCs w:val="20"/>
                <w:color w:val="FF0000"/>
                <w:strike w:val="1"/>
                <w:w w:val="90"/>
              </w:rPr>
              <w:t>$1,000,000.00</w:t>
            </w:r>
          </w:p>
        </w:tc>
        <w:tc>
          <w:tcPr>
            <w:tcW w:w="650" w:type="dxa"/>
            <w:vAlign w:val="bottom"/>
          </w:tcPr>
          <w:p>
            <w:pPr>
              <w:ind w:left="30"/>
              <w:spacing w:after="0"/>
              <w:rPr>
                <w:sz w:val="20"/>
                <w:szCs w:val="20"/>
                <w:color w:val="auto"/>
              </w:rPr>
            </w:pPr>
            <w:r>
              <w:rPr>
                <w:rFonts w:ascii="Arial" w:cs="Arial" w:eastAsia="Arial" w:hAnsi="Arial"/>
                <w:sz w:val="20"/>
                <w:szCs w:val="20"/>
                <w:color w:val="FF0000"/>
                <w:strike w:val="1"/>
                <w:w w:val="88"/>
              </w:rPr>
              <w:t>1.250%</w:t>
            </w:r>
          </w:p>
        </w:tc>
        <w:tc>
          <w:tcPr>
            <w:tcW w:w="100" w:type="dxa"/>
            <w:vAlign w:val="bottom"/>
          </w:tcPr>
          <w:p>
            <w:pPr>
              <w:jc w:val="right"/>
              <w:spacing w:after="0"/>
              <w:rPr>
                <w:sz w:val="20"/>
                <w:szCs w:val="20"/>
                <w:color w:val="auto"/>
              </w:rPr>
            </w:pPr>
            <w:r>
              <w:rPr>
                <w:rFonts w:ascii="Arial" w:cs="Arial" w:eastAsia="Arial" w:hAnsi="Arial"/>
                <w:sz w:val="20"/>
                <w:szCs w:val="20"/>
                <w:color w:val="0000FF"/>
                <w:w w:val="71"/>
              </w:rPr>
              <w:t>2</w:t>
            </w: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20" w:type="dxa"/>
            <w:vAlign w:val="bottom"/>
            <w:gridSpan w:val="2"/>
          </w:tcPr>
          <w:p>
            <w:pPr>
              <w:ind w:left="20"/>
              <w:spacing w:after="0"/>
              <w:rPr>
                <w:sz w:val="20"/>
                <w:szCs w:val="20"/>
                <w:color w:val="auto"/>
              </w:rPr>
            </w:pPr>
            <w:r>
              <w:rPr>
                <w:rFonts w:ascii="Arial" w:cs="Arial" w:eastAsia="Arial" w:hAnsi="Arial"/>
                <w:sz w:val="20"/>
                <w:szCs w:val="20"/>
                <w:color w:val="auto"/>
              </w:rPr>
              <w:t>Aug 31, 2014</w:t>
            </w:r>
          </w:p>
        </w:tc>
        <w:tc>
          <w:tcPr>
            <w:tcW w:w="1140" w:type="dxa"/>
            <w:vAlign w:val="bottom"/>
          </w:tcPr>
          <w:p>
            <w:pPr>
              <w:jc w:val="right"/>
              <w:spacing w:after="0"/>
              <w:rPr>
                <w:sz w:val="20"/>
                <w:szCs w:val="20"/>
                <w:color w:val="auto"/>
              </w:rPr>
            </w:pPr>
            <w:r>
              <w:rPr>
                <w:rFonts w:ascii="Arial" w:cs="Arial" w:eastAsia="Arial" w:hAnsi="Arial"/>
                <w:sz w:val="20"/>
                <w:szCs w:val="20"/>
                <w:color w:val="FF0000"/>
                <w:strike w:val="1"/>
                <w:w w:val="87"/>
              </w:rPr>
              <w:t>$2,000,000.00</w:t>
            </w:r>
          </w:p>
        </w:tc>
        <w:tc>
          <w:tcPr>
            <w:tcW w:w="900" w:type="dxa"/>
            <w:vAlign w:val="bottom"/>
            <w:gridSpan w:val="3"/>
          </w:tcPr>
          <w:p>
            <w:pPr>
              <w:jc w:val="right"/>
              <w:spacing w:after="0"/>
              <w:rPr>
                <w:sz w:val="20"/>
                <w:szCs w:val="20"/>
                <w:color w:val="auto"/>
              </w:rPr>
            </w:pPr>
            <w:r>
              <w:rPr>
                <w:rFonts w:ascii="Arial" w:cs="Arial" w:eastAsia="Arial" w:hAnsi="Arial"/>
                <w:sz w:val="20"/>
                <w:szCs w:val="20"/>
                <w:color w:val="0000FF"/>
                <w:w w:val="87"/>
              </w:rPr>
              <w:t>937,500.00</w:t>
            </w:r>
          </w:p>
        </w:tc>
        <w:tc>
          <w:tcPr>
            <w:tcW w:w="180" w:type="dxa"/>
            <w:vAlign w:val="bottom"/>
          </w:tcPr>
          <w:p>
            <w:pPr>
              <w:spacing w:after="0"/>
              <w:rPr>
                <w:sz w:val="24"/>
                <w:szCs w:val="24"/>
                <w:color w:val="auto"/>
              </w:rPr>
            </w:pPr>
          </w:p>
        </w:tc>
        <w:tc>
          <w:tcPr>
            <w:tcW w:w="500" w:type="dxa"/>
            <w:vAlign w:val="bottom"/>
          </w:tcPr>
          <w:p>
            <w:pPr>
              <w:jc w:val="right"/>
              <w:spacing w:after="0"/>
              <w:rPr>
                <w:sz w:val="20"/>
                <w:szCs w:val="20"/>
                <w:color w:val="auto"/>
              </w:rPr>
            </w:pPr>
            <w:r>
              <w:rPr>
                <w:rFonts w:ascii="Arial" w:cs="Arial" w:eastAsia="Arial" w:hAnsi="Arial"/>
                <w:sz w:val="20"/>
                <w:szCs w:val="20"/>
                <w:color w:val="FF0000"/>
                <w:strike w:val="1"/>
                <w:w w:val="95"/>
              </w:rPr>
              <w:t>2.500</w:t>
            </w:r>
          </w:p>
        </w:tc>
        <w:tc>
          <w:tcPr>
            <w:tcW w:w="900" w:type="dxa"/>
            <w:vAlign w:val="bottom"/>
            <w:gridSpan w:val="2"/>
          </w:tcPr>
          <w:p>
            <w:pPr>
              <w:jc w:val="right"/>
              <w:ind w:right="280"/>
              <w:spacing w:after="0"/>
              <w:rPr>
                <w:sz w:val="20"/>
                <w:szCs w:val="20"/>
                <w:color w:val="auto"/>
              </w:rPr>
            </w:pPr>
            <w:r>
              <w:rPr>
                <w:rFonts w:ascii="Arial" w:cs="Arial" w:eastAsia="Arial" w:hAnsi="Arial"/>
                <w:sz w:val="20"/>
                <w:szCs w:val="20"/>
                <w:color w:val="0000FF"/>
                <w:w w:val="88"/>
              </w:rPr>
              <w:t>1.250</w:t>
            </w:r>
            <w:r>
              <w:rPr>
                <w:rFonts w:ascii="Arial" w:cs="Arial" w:eastAsia="Arial" w:hAnsi="Arial"/>
                <w:sz w:val="20"/>
                <w:szCs w:val="20"/>
                <w:color w:val="000000"/>
                <w:w w:val="88"/>
              </w:rPr>
              <w:t>%</w:t>
            </w:r>
          </w:p>
        </w:tc>
        <w:tc>
          <w:tcPr>
            <w:tcW w:w="1580" w:type="dxa"/>
            <w:vAlign w:val="bottom"/>
            <w:gridSpan w:val="5"/>
          </w:tcPr>
          <w:p>
            <w:pPr>
              <w:jc w:val="right"/>
              <w:ind w:right="40"/>
              <w:spacing w:after="0"/>
              <w:rPr>
                <w:sz w:val="20"/>
                <w:szCs w:val="20"/>
                <w:color w:val="auto"/>
              </w:rPr>
            </w:pPr>
            <w:r>
              <w:rPr>
                <w:rFonts w:ascii="Arial" w:cs="Arial" w:eastAsia="Arial" w:hAnsi="Arial"/>
                <w:sz w:val="20"/>
                <w:szCs w:val="20"/>
                <w:color w:val="0000FF"/>
              </w:rPr>
              <w:t>73,125,000.00</w:t>
            </w:r>
          </w:p>
        </w:tc>
        <w:tc>
          <w:tcPr>
            <w:tcW w:w="980" w:type="dxa"/>
            <w:vAlign w:val="bottom"/>
            <w:shd w:val="clear" w:color="auto" w:fill="CCCCFF"/>
          </w:tcPr>
          <w:p>
            <w:pPr>
              <w:spacing w:after="0"/>
              <w:rPr>
                <w:sz w:val="24"/>
                <w:szCs w:val="24"/>
                <w:color w:val="auto"/>
              </w:rPr>
            </w:pPr>
          </w:p>
        </w:tc>
        <w:tc>
          <w:tcPr>
            <w:tcW w:w="0" w:type="dxa"/>
            <w:vAlign w:val="bottom"/>
          </w:tcPr>
          <w:p>
            <w:pPr>
              <w:spacing w:after="0"/>
              <w:rPr>
                <w:sz w:val="1"/>
                <w:szCs w:val="1"/>
                <w:color w:val="auto"/>
              </w:rPr>
            </w:pPr>
          </w:p>
        </w:tc>
      </w:tr>
      <w:tr>
        <w:trPr>
          <w:trHeight w:val="466"/>
        </w:trPr>
        <w:tc>
          <w:tcPr>
            <w:tcW w:w="360" w:type="dxa"/>
            <w:vAlign w:val="bottom"/>
            <w:tcBorders>
              <w:top w:val="single" w:sz="8" w:color="FFCCCC"/>
            </w:tcBorders>
          </w:tcPr>
          <w:p>
            <w:pPr>
              <w:spacing w:after="0"/>
              <w:rPr>
                <w:sz w:val="24"/>
                <w:szCs w:val="24"/>
                <w:color w:val="auto"/>
              </w:rPr>
            </w:pPr>
          </w:p>
        </w:tc>
        <w:tc>
          <w:tcPr>
            <w:tcW w:w="1220" w:type="dxa"/>
            <w:vAlign w:val="bottom"/>
            <w:tcBorders>
              <w:top w:val="single" w:sz="8" w:color="FFCCCC"/>
            </w:tcBorders>
          </w:tcPr>
          <w:p>
            <w:pPr>
              <w:spacing w:after="0"/>
              <w:rPr>
                <w:sz w:val="24"/>
                <w:szCs w:val="24"/>
                <w:color w:val="auto"/>
              </w:rPr>
            </w:pPr>
          </w:p>
        </w:tc>
        <w:tc>
          <w:tcPr>
            <w:tcW w:w="1190" w:type="dxa"/>
            <w:vAlign w:val="bottom"/>
          </w:tcPr>
          <w:p>
            <w:pPr>
              <w:spacing w:after="0"/>
              <w:rPr>
                <w:sz w:val="24"/>
                <w:szCs w:val="24"/>
                <w:color w:val="auto"/>
              </w:rPr>
            </w:pPr>
          </w:p>
        </w:tc>
        <w:tc>
          <w:tcPr>
            <w:tcW w:w="650" w:type="dxa"/>
            <w:vAlign w:val="bottom"/>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140" w:type="dxa"/>
            <w:vAlign w:val="bottom"/>
          </w:tcPr>
          <w:p>
            <w:pPr>
              <w:jc w:val="right"/>
              <w:ind w:right="461"/>
              <w:spacing w:after="0"/>
              <w:rPr>
                <w:sz w:val="20"/>
                <w:szCs w:val="20"/>
                <w:color w:val="auto"/>
              </w:rPr>
            </w:pPr>
            <w:r>
              <w:rPr>
                <w:rFonts w:ascii="Arial" w:cs="Arial" w:eastAsia="Arial" w:hAnsi="Arial"/>
                <w:sz w:val="20"/>
                <w:szCs w:val="20"/>
                <w:color w:val="auto"/>
              </w:rPr>
              <w:t>96</w:t>
            </w:r>
          </w:p>
        </w:tc>
        <w:tc>
          <w:tcPr>
            <w:tcW w:w="140" w:type="dxa"/>
            <w:vAlign w:val="bottom"/>
            <w:tcBorders>
              <w:top w:val="single" w:sz="8" w:color="0000FF"/>
            </w:tcBorders>
          </w:tcPr>
          <w:p>
            <w:pPr>
              <w:spacing w:after="0"/>
              <w:rPr>
                <w:sz w:val="24"/>
                <w:szCs w:val="24"/>
                <w:color w:val="auto"/>
              </w:rPr>
            </w:pPr>
          </w:p>
        </w:tc>
        <w:tc>
          <w:tcPr>
            <w:tcW w:w="240" w:type="dxa"/>
            <w:vAlign w:val="bottom"/>
            <w:tcBorders>
              <w:top w:val="single" w:sz="8" w:color="0000FF"/>
            </w:tcBorders>
          </w:tcPr>
          <w:p>
            <w:pPr>
              <w:spacing w:after="0"/>
              <w:rPr>
                <w:sz w:val="24"/>
                <w:szCs w:val="24"/>
                <w:color w:val="auto"/>
              </w:rPr>
            </w:pPr>
          </w:p>
        </w:tc>
        <w:tc>
          <w:tcPr>
            <w:tcW w:w="520" w:type="dxa"/>
            <w:vAlign w:val="bottom"/>
            <w:tcBorders>
              <w:top w:val="single" w:sz="8" w:color="0000FF"/>
            </w:tcBorders>
          </w:tcPr>
          <w:p>
            <w:pPr>
              <w:spacing w:after="0"/>
              <w:rPr>
                <w:sz w:val="24"/>
                <w:szCs w:val="24"/>
                <w:color w:val="auto"/>
              </w:rPr>
            </w:pPr>
          </w:p>
        </w:tc>
        <w:tc>
          <w:tcPr>
            <w:tcW w:w="1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60" w:type="dxa"/>
            <w:vAlign w:val="bottom"/>
            <w:tcBorders>
              <w:top w:val="single" w:sz="8" w:color="0000FF"/>
            </w:tcBorders>
          </w:tcPr>
          <w:p>
            <w:pPr>
              <w:spacing w:after="0"/>
              <w:rPr>
                <w:sz w:val="24"/>
                <w:szCs w:val="24"/>
                <w:color w:val="auto"/>
              </w:rPr>
            </w:pPr>
          </w:p>
        </w:tc>
        <w:tc>
          <w:tcPr>
            <w:tcW w:w="4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Borders>
              <w:top w:val="single" w:sz="8" w:color="0000FF"/>
            </w:tcBorders>
          </w:tcPr>
          <w:p>
            <w:pPr>
              <w:spacing w:after="0"/>
              <w:rPr>
                <w:sz w:val="24"/>
                <w:szCs w:val="24"/>
                <w:color w:val="auto"/>
              </w:rPr>
            </w:pPr>
          </w:p>
        </w:tc>
        <w:tc>
          <w:tcPr>
            <w:tcW w:w="360" w:type="dxa"/>
            <w:vAlign w:val="bottom"/>
            <w:tcBorders>
              <w:top w:val="single" w:sz="8" w:color="0000FF"/>
            </w:tcBorders>
          </w:tcPr>
          <w:p>
            <w:pPr>
              <w:spacing w:after="0"/>
              <w:rPr>
                <w:sz w:val="24"/>
                <w:szCs w:val="24"/>
                <w:color w:val="auto"/>
              </w:rPr>
            </w:pPr>
          </w:p>
        </w:tc>
        <w:tc>
          <w:tcPr>
            <w:tcW w:w="40" w:type="dxa"/>
            <w:vAlign w:val="bottom"/>
          </w:tcPr>
          <w:p>
            <w:pPr>
              <w:spacing w:after="0"/>
              <w:rPr>
                <w:sz w:val="24"/>
                <w:szCs w:val="24"/>
                <w:color w:val="auto"/>
              </w:rPr>
            </w:pPr>
          </w:p>
        </w:tc>
        <w:tc>
          <w:tcPr>
            <w:tcW w:w="980" w:type="dxa"/>
            <w:vAlign w:val="bottom"/>
            <w:tcBorders>
              <w:top w:val="single" w:sz="8" w:color="CCCCFF"/>
            </w:tcBorders>
          </w:tcPr>
          <w:p>
            <w:pPr>
              <w:spacing w:after="0"/>
              <w:rPr>
                <w:sz w:val="24"/>
                <w:szCs w:val="24"/>
                <w:color w:val="auto"/>
              </w:rPr>
            </w:pPr>
          </w:p>
        </w:tc>
        <w:tc>
          <w:tcPr>
            <w:tcW w:w="0" w:type="dxa"/>
            <w:vAlign w:val="bottom"/>
          </w:tcPr>
          <w:p>
            <w:pPr>
              <w:spacing w:after="0"/>
              <w:rPr>
                <w:sz w:val="1"/>
                <w:szCs w:val="1"/>
                <w:color w:val="auto"/>
              </w:rPr>
            </w:pPr>
          </w:p>
        </w:tc>
      </w:tr>
    </w:tbl>
    <w:p>
      <w:pPr>
        <w:spacing w:after="0"/>
        <w:rPr>
          <w:sz w:val="20"/>
          <w:szCs w:val="20"/>
          <w:color w:val="auto"/>
        </w:rPr>
      </w:pPr>
      <w:r>
        <w:rPr>
          <w:rFonts w:ascii="Arial" w:cs="Arial" w:eastAsia="Arial" w:hAnsi="Arial"/>
          <w:sz w:val="14"/>
          <w:szCs w:val="14"/>
          <w:color w:val="auto"/>
        </w:rPr>
        <w:t>CHAR1\1346423v</w:t>
      </w:r>
      <w:r>
        <w:rPr>
          <w:rFonts w:ascii="Arial" w:cs="Arial" w:eastAsia="Arial" w:hAnsi="Arial"/>
          <w:sz w:val="14"/>
          <w:szCs w:val="14"/>
          <w:color w:val="FF0000"/>
          <w:strike w:val="1"/>
        </w:rPr>
        <w:t>1</w:t>
      </w:r>
      <w:r>
        <w:rPr>
          <w:rFonts w:ascii="Arial" w:cs="Arial" w:eastAsia="Arial" w:hAnsi="Arial"/>
          <w:sz w:val="14"/>
          <w:szCs w:val="14"/>
          <w:u w:val="single" w:color="auto"/>
          <w:color w:val="0000FF"/>
        </w:rPr>
        <w:t>12</w:t>
      </w:r>
    </w:p>
    <w:p>
      <w:pPr>
        <w:sectPr>
          <w:pgSz w:w="11900" w:h="16838" w:orient="portrait"/>
          <w:cols w:equalWidth="0" w:num="1">
            <w:col w:w="11420"/>
          </w:cols>
          <w:pgMar w:left="240" w:top="609" w:right="239" w:bottom="1440" w:gutter="0" w:footer="0" w:header="0"/>
        </w:sectPr>
      </w:pPr>
    </w:p>
    <w:bookmarkStart w:id="148" w:name="page149"/>
    <w:bookmarkEnd w:id="148"/>
    <w:tbl>
      <w:tblPr>
        <w:tblLayout w:type="fixed"/>
        <w:tblInd w:w="0" w:type="dxa"/>
        <w:tblCellMar>
          <w:top w:w="0" w:type="dxa"/>
          <w:left w:w="0" w:type="dxa"/>
          <w:bottom w:w="0" w:type="dxa"/>
          <w:right w:w="0" w:type="dxa"/>
        </w:tblCellMar>
      </w:tblPr>
      <w:tr>
        <w:trPr>
          <w:trHeight w:val="230"/>
        </w:trPr>
        <w:tc>
          <w:tcPr>
            <w:tcW w:w="340" w:type="dxa"/>
            <w:vAlign w:val="bottom"/>
            <w:shd w:val="clear" w:color="auto" w:fill="FFCCCC"/>
          </w:tcPr>
          <w:p>
            <w:pPr>
              <w:spacing w:after="0"/>
              <w:rPr>
                <w:sz w:val="19"/>
                <w:szCs w:val="19"/>
                <w:color w:val="auto"/>
              </w:rPr>
            </w:pPr>
          </w:p>
        </w:tc>
        <w:tc>
          <w:tcPr>
            <w:tcW w:w="40" w:type="dxa"/>
            <w:vAlign w:val="bottom"/>
            <w:shd w:val="clear" w:color="auto" w:fill="FFCCCC"/>
          </w:tcPr>
          <w:p>
            <w:pPr>
              <w:spacing w:after="0"/>
              <w:rPr>
                <w:sz w:val="19"/>
                <w:szCs w:val="19"/>
                <w:color w:val="auto"/>
              </w:rPr>
            </w:pPr>
          </w:p>
        </w:tc>
        <w:tc>
          <w:tcPr>
            <w:tcW w:w="660" w:type="dxa"/>
            <w:vAlign w:val="bottom"/>
            <w:gridSpan w:val="2"/>
            <w:shd w:val="clear" w:color="auto" w:fill="FFCCCC"/>
          </w:tcPr>
          <w:p>
            <w:pPr>
              <w:spacing w:after="0"/>
              <w:rPr>
                <w:sz w:val="20"/>
                <w:szCs w:val="20"/>
                <w:color w:val="auto"/>
              </w:rPr>
            </w:pPr>
            <w:r>
              <w:rPr>
                <w:rFonts w:ascii="Arial" w:cs="Arial" w:eastAsia="Arial" w:hAnsi="Arial"/>
                <w:sz w:val="20"/>
                <w:szCs w:val="20"/>
                <w:color w:val="FF0000"/>
                <w:strike w:val="1"/>
                <w:w w:val="89"/>
              </w:rPr>
              <w:t>May 31,</w:t>
            </w:r>
          </w:p>
        </w:tc>
        <w:tc>
          <w:tcPr>
            <w:tcW w:w="420" w:type="dxa"/>
            <w:vAlign w:val="bottom"/>
            <w:shd w:val="clear" w:color="auto" w:fill="FFCCCC"/>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20"/>
                <w:szCs w:val="20"/>
                <w:color w:val="FF0000"/>
                <w:strike w:val="1"/>
                <w:w w:val="89"/>
              </w:rPr>
              <w:t>$1,000,000.00</w:t>
            </w:r>
          </w:p>
        </w:tc>
        <w:tc>
          <w:tcPr>
            <w:tcW w:w="700" w:type="dxa"/>
            <w:vAlign w:val="bottom"/>
            <w:gridSpan w:val="4"/>
          </w:tcPr>
          <w:p>
            <w:pPr>
              <w:jc w:val="right"/>
              <w:spacing w:after="0"/>
              <w:rPr>
                <w:sz w:val="20"/>
                <w:szCs w:val="20"/>
                <w:color w:val="auto"/>
              </w:rPr>
            </w:pPr>
            <w:r>
              <w:rPr>
                <w:rFonts w:ascii="Arial" w:cs="Arial" w:eastAsia="Arial" w:hAnsi="Arial"/>
                <w:sz w:val="20"/>
                <w:szCs w:val="20"/>
                <w:color w:val="FF0000"/>
                <w:strike w:val="1"/>
              </w:rPr>
              <w:t>1.250%</w:t>
            </w:r>
          </w:p>
        </w:tc>
        <w:tc>
          <w:tcPr>
            <w:tcW w:w="160" w:type="dxa"/>
            <w:vAlign w:val="bottom"/>
            <w:gridSpan w:val="2"/>
          </w:tcPr>
          <w:p>
            <w:pPr>
              <w:jc w:val="center"/>
              <w:ind w:right="60"/>
              <w:spacing w:after="0"/>
              <w:rPr>
                <w:sz w:val="20"/>
                <w:szCs w:val="20"/>
                <w:color w:val="auto"/>
              </w:rPr>
            </w:pPr>
            <w:r>
              <w:rPr>
                <w:rFonts w:ascii="Arial" w:cs="Arial" w:eastAsia="Arial" w:hAnsi="Arial"/>
                <w:sz w:val="20"/>
                <w:szCs w:val="20"/>
                <w:color w:val="0000FF"/>
                <w:w w:val="89"/>
              </w:rPr>
              <w:t>3</w:t>
            </w:r>
          </w:p>
        </w:tc>
        <w:tc>
          <w:tcPr>
            <w:tcW w:w="220" w:type="dxa"/>
            <w:vAlign w:val="bottom"/>
          </w:tcPr>
          <w:p>
            <w:pPr>
              <w:spacing w:after="0"/>
              <w:rPr>
                <w:sz w:val="19"/>
                <w:szCs w:val="19"/>
                <w:color w:val="auto"/>
              </w:rPr>
            </w:pPr>
          </w:p>
        </w:tc>
        <w:tc>
          <w:tcPr>
            <w:tcW w:w="1240" w:type="dxa"/>
            <w:vAlign w:val="bottom"/>
            <w:gridSpan w:val="2"/>
          </w:tcPr>
          <w:p>
            <w:pPr>
              <w:spacing w:after="0"/>
              <w:rPr>
                <w:sz w:val="20"/>
                <w:szCs w:val="20"/>
                <w:color w:val="auto"/>
              </w:rPr>
            </w:pPr>
            <w:r>
              <w:rPr>
                <w:rFonts w:ascii="Arial" w:cs="Arial" w:eastAsia="Arial" w:hAnsi="Arial"/>
                <w:sz w:val="20"/>
                <w:szCs w:val="20"/>
                <w:color w:val="auto"/>
              </w:rPr>
              <w:t>Nov 30, 2014</w:t>
            </w:r>
          </w:p>
        </w:tc>
        <w:tc>
          <w:tcPr>
            <w:tcW w:w="12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40" w:type="dxa"/>
            <w:vAlign w:val="bottom"/>
            <w:shd w:val="clear" w:color="auto" w:fill="CCCCFF"/>
          </w:tcPr>
          <w:p>
            <w:pPr>
              <w:spacing w:after="0"/>
              <w:rPr>
                <w:sz w:val="19"/>
                <w:szCs w:val="19"/>
                <w:color w:val="auto"/>
              </w:rPr>
            </w:pPr>
          </w:p>
        </w:tc>
      </w:tr>
      <w:tr>
        <w:trPr>
          <w:trHeight w:val="210"/>
        </w:trPr>
        <w:tc>
          <w:tcPr>
            <w:tcW w:w="340" w:type="dxa"/>
            <w:vAlign w:val="bottom"/>
            <w:tcBorders>
              <w:top w:val="single" w:sz="8" w:color="FFCCCC"/>
            </w:tcBorders>
            <w:shd w:val="clear" w:color="auto" w:fill="FFCCCC"/>
          </w:tcPr>
          <w:p>
            <w:pPr>
              <w:spacing w:after="0"/>
              <w:rPr>
                <w:sz w:val="18"/>
                <w:szCs w:val="18"/>
                <w:color w:val="auto"/>
              </w:rPr>
            </w:pPr>
          </w:p>
        </w:tc>
        <w:tc>
          <w:tcPr>
            <w:tcW w:w="40" w:type="dxa"/>
            <w:vAlign w:val="bottom"/>
            <w:tcBorders>
              <w:top w:val="single" w:sz="8" w:color="FFCCCC"/>
            </w:tcBorders>
            <w:shd w:val="clear" w:color="auto" w:fill="FFCCCC"/>
          </w:tcPr>
          <w:p>
            <w:pPr>
              <w:spacing w:after="0"/>
              <w:rPr>
                <w:sz w:val="18"/>
                <w:szCs w:val="18"/>
                <w:color w:val="auto"/>
              </w:rPr>
            </w:pPr>
          </w:p>
        </w:tc>
        <w:tc>
          <w:tcPr>
            <w:tcW w:w="380" w:type="dxa"/>
            <w:vAlign w:val="bottom"/>
            <w:tcBorders>
              <w:top w:val="single" w:sz="8" w:color="FFCCCC"/>
            </w:tcBorders>
            <w:shd w:val="clear" w:color="auto" w:fill="FFCCCC"/>
          </w:tcPr>
          <w:p>
            <w:pPr>
              <w:spacing w:after="0" w:line="209" w:lineRule="exact"/>
              <w:rPr>
                <w:sz w:val="20"/>
                <w:szCs w:val="20"/>
                <w:color w:val="auto"/>
              </w:rPr>
            </w:pPr>
            <w:r>
              <w:rPr>
                <w:rFonts w:ascii="Arial" w:cs="Arial" w:eastAsia="Arial" w:hAnsi="Arial"/>
                <w:sz w:val="20"/>
                <w:szCs w:val="20"/>
                <w:color w:val="FF0000"/>
                <w:strike w:val="1"/>
                <w:w w:val="80"/>
              </w:rPr>
              <w:t>2012</w:t>
            </w:r>
          </w:p>
        </w:tc>
        <w:tc>
          <w:tcPr>
            <w:tcW w:w="280" w:type="dxa"/>
            <w:vAlign w:val="bottom"/>
            <w:tcBorders>
              <w:top w:val="single" w:sz="8" w:color="FFCCCC"/>
            </w:tcBorders>
            <w:shd w:val="clear" w:color="auto" w:fill="FFCCCC"/>
          </w:tcPr>
          <w:p>
            <w:pPr>
              <w:spacing w:after="0"/>
              <w:rPr>
                <w:sz w:val="18"/>
                <w:szCs w:val="18"/>
                <w:color w:val="auto"/>
              </w:rPr>
            </w:pPr>
          </w:p>
        </w:tc>
        <w:tc>
          <w:tcPr>
            <w:tcW w:w="420" w:type="dxa"/>
            <w:vAlign w:val="bottom"/>
            <w:tcBorders>
              <w:top w:val="single" w:sz="8" w:color="FFCCCC"/>
            </w:tcBorders>
            <w:shd w:val="clear" w:color="auto" w:fill="FFCCCC"/>
          </w:tcPr>
          <w:p>
            <w:pPr>
              <w:spacing w:after="0"/>
              <w:rPr>
                <w:sz w:val="18"/>
                <w:szCs w:val="18"/>
                <w:color w:val="auto"/>
              </w:rPr>
            </w:pPr>
          </w:p>
        </w:tc>
        <w:tc>
          <w:tcPr>
            <w:tcW w:w="1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Borders>
              <w:top w:val="single" w:sz="8" w:color="0000FF"/>
            </w:tcBorders>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00" w:type="dxa"/>
            <w:vAlign w:val="bottom"/>
            <w:gridSpan w:val="4"/>
          </w:tcPr>
          <w:p>
            <w:pPr>
              <w:jc w:val="right"/>
              <w:spacing w:after="0" w:line="209" w:lineRule="exact"/>
              <w:rPr>
                <w:sz w:val="20"/>
                <w:szCs w:val="20"/>
                <w:color w:val="auto"/>
              </w:rPr>
            </w:pPr>
            <w:r>
              <w:rPr>
                <w:rFonts w:ascii="Arial" w:cs="Arial" w:eastAsia="Arial" w:hAnsi="Arial"/>
                <w:sz w:val="20"/>
                <w:szCs w:val="20"/>
                <w:color w:val="FF0000"/>
                <w:strike w:val="1"/>
              </w:rPr>
              <w:t>$2,500,000.00</w:t>
            </w:r>
          </w:p>
        </w:tc>
        <w:tc>
          <w:tcPr>
            <w:tcW w:w="900" w:type="dxa"/>
            <w:vAlign w:val="bottom"/>
          </w:tcPr>
          <w:p>
            <w:pPr>
              <w:jc w:val="right"/>
              <w:spacing w:after="0" w:line="209" w:lineRule="exact"/>
              <w:rPr>
                <w:sz w:val="20"/>
                <w:szCs w:val="20"/>
                <w:color w:val="auto"/>
              </w:rPr>
            </w:pPr>
            <w:r>
              <w:rPr>
                <w:rFonts w:ascii="Arial" w:cs="Arial" w:eastAsia="Arial" w:hAnsi="Arial"/>
                <w:sz w:val="20"/>
                <w:szCs w:val="20"/>
                <w:color w:val="0000FF"/>
                <w:w w:val="87"/>
              </w:rPr>
              <w:t>937,500.00</w:t>
            </w:r>
          </w:p>
        </w:tc>
        <w:tc>
          <w:tcPr>
            <w:tcW w:w="80" w:type="dxa"/>
            <w:vAlign w:val="bottom"/>
          </w:tcPr>
          <w:p>
            <w:pPr>
              <w:spacing w:after="0"/>
              <w:rPr>
                <w:sz w:val="18"/>
                <w:szCs w:val="18"/>
                <w:color w:val="auto"/>
              </w:rPr>
            </w:pPr>
          </w:p>
        </w:tc>
        <w:tc>
          <w:tcPr>
            <w:tcW w:w="660" w:type="dxa"/>
            <w:vAlign w:val="bottom"/>
            <w:gridSpan w:val="2"/>
          </w:tcPr>
          <w:p>
            <w:pPr>
              <w:jc w:val="center"/>
              <w:ind w:left="41"/>
              <w:spacing w:after="0" w:line="209" w:lineRule="exact"/>
              <w:rPr>
                <w:sz w:val="20"/>
                <w:szCs w:val="20"/>
                <w:color w:val="auto"/>
              </w:rPr>
            </w:pPr>
            <w:r>
              <w:rPr>
                <w:rFonts w:ascii="Arial" w:cs="Arial" w:eastAsia="Arial" w:hAnsi="Arial"/>
                <w:sz w:val="20"/>
                <w:szCs w:val="20"/>
                <w:color w:val="FF0000"/>
                <w:strike w:val="1"/>
                <w:w w:val="87"/>
              </w:rPr>
              <w:t>3.125</w:t>
            </w:r>
          </w:p>
        </w:tc>
        <w:tc>
          <w:tcPr>
            <w:tcW w:w="740" w:type="dxa"/>
            <w:vAlign w:val="bottom"/>
            <w:gridSpan w:val="2"/>
          </w:tcPr>
          <w:p>
            <w:pPr>
              <w:jc w:val="right"/>
              <w:ind w:right="180"/>
              <w:spacing w:after="0" w:line="209" w:lineRule="exact"/>
              <w:rPr>
                <w:sz w:val="20"/>
                <w:szCs w:val="20"/>
                <w:color w:val="auto"/>
              </w:rPr>
            </w:pPr>
            <w:r>
              <w:rPr>
                <w:rFonts w:ascii="Arial" w:cs="Arial" w:eastAsia="Arial" w:hAnsi="Arial"/>
                <w:sz w:val="20"/>
                <w:szCs w:val="20"/>
                <w:color w:val="0000FF"/>
                <w:w w:val="79"/>
              </w:rPr>
              <w:t>1.250</w:t>
            </w:r>
            <w:r>
              <w:rPr>
                <w:rFonts w:ascii="Arial" w:cs="Arial" w:eastAsia="Arial" w:hAnsi="Arial"/>
                <w:sz w:val="20"/>
                <w:szCs w:val="20"/>
                <w:color w:val="000000"/>
                <w:w w:val="79"/>
              </w:rPr>
              <w:t>%</w:t>
            </w:r>
          </w:p>
        </w:tc>
        <w:tc>
          <w:tcPr>
            <w:tcW w:w="1640" w:type="dxa"/>
            <w:vAlign w:val="bottom"/>
            <w:gridSpan w:val="3"/>
          </w:tcPr>
          <w:p>
            <w:pPr>
              <w:jc w:val="right"/>
              <w:ind w:right="20"/>
              <w:spacing w:after="0" w:line="209" w:lineRule="exact"/>
              <w:rPr>
                <w:sz w:val="20"/>
                <w:szCs w:val="20"/>
                <w:color w:val="auto"/>
              </w:rPr>
            </w:pPr>
            <w:r>
              <w:rPr>
                <w:rFonts w:ascii="Arial" w:cs="Arial" w:eastAsia="Arial" w:hAnsi="Arial"/>
                <w:sz w:val="20"/>
                <w:szCs w:val="20"/>
                <w:color w:val="0000FF"/>
              </w:rPr>
              <w:t>72,187,500.</w:t>
            </w:r>
            <w:r>
              <w:rPr>
                <w:rFonts w:ascii="Arial" w:cs="Arial" w:eastAsia="Arial" w:hAnsi="Arial"/>
                <w:sz w:val="20"/>
                <w:szCs w:val="20"/>
                <w:u w:val="single" w:color="auto"/>
                <w:color w:val="0000FF"/>
              </w:rPr>
              <w:t>00</w:t>
            </w:r>
          </w:p>
        </w:tc>
        <w:tc>
          <w:tcPr>
            <w:tcW w:w="940" w:type="dxa"/>
            <w:vAlign w:val="bottom"/>
            <w:tcBorders>
              <w:top w:val="single" w:sz="8" w:color="CCCCFF"/>
            </w:tcBorders>
            <w:shd w:val="clear" w:color="auto" w:fill="CCCCFF"/>
          </w:tcPr>
          <w:p>
            <w:pPr>
              <w:spacing w:after="0"/>
              <w:rPr>
                <w:sz w:val="18"/>
                <w:szCs w:val="18"/>
                <w:color w:val="auto"/>
              </w:rPr>
            </w:pPr>
          </w:p>
        </w:tc>
      </w:tr>
      <w:tr>
        <w:trPr>
          <w:trHeight w:val="264"/>
        </w:trPr>
        <w:tc>
          <w:tcPr>
            <w:tcW w:w="340" w:type="dxa"/>
            <w:vAlign w:val="bottom"/>
            <w:tcBorders>
              <w:top w:val="single" w:sz="8" w:color="FFCCCC"/>
            </w:tcBorders>
            <w:shd w:val="clear" w:color="auto" w:fill="FFCCCC"/>
          </w:tcPr>
          <w:p>
            <w:pPr>
              <w:spacing w:after="0"/>
              <w:rPr>
                <w:sz w:val="22"/>
                <w:szCs w:val="22"/>
                <w:color w:val="auto"/>
              </w:rPr>
            </w:pPr>
          </w:p>
        </w:tc>
        <w:tc>
          <w:tcPr>
            <w:tcW w:w="40" w:type="dxa"/>
            <w:vAlign w:val="bottom"/>
            <w:tcBorders>
              <w:top w:val="single" w:sz="8" w:color="FFCCCC"/>
            </w:tcBorders>
            <w:shd w:val="clear" w:color="auto" w:fill="FFCCCC"/>
          </w:tcPr>
          <w:p>
            <w:pPr>
              <w:spacing w:after="0"/>
              <w:rPr>
                <w:sz w:val="22"/>
                <w:szCs w:val="22"/>
                <w:color w:val="auto"/>
              </w:rPr>
            </w:pPr>
          </w:p>
        </w:tc>
        <w:tc>
          <w:tcPr>
            <w:tcW w:w="660" w:type="dxa"/>
            <w:vAlign w:val="bottom"/>
            <w:tcBorders>
              <w:top w:val="single" w:sz="8" w:color="FFCCCC"/>
            </w:tcBorders>
            <w:gridSpan w:val="2"/>
            <w:shd w:val="clear" w:color="auto" w:fill="FFCCCC"/>
          </w:tcPr>
          <w:p>
            <w:pPr>
              <w:spacing w:after="0"/>
              <w:rPr>
                <w:sz w:val="20"/>
                <w:szCs w:val="20"/>
                <w:color w:val="auto"/>
              </w:rPr>
            </w:pPr>
            <w:r>
              <w:rPr>
                <w:rFonts w:ascii="Arial" w:cs="Arial" w:eastAsia="Arial" w:hAnsi="Arial"/>
                <w:sz w:val="20"/>
                <w:szCs w:val="20"/>
                <w:color w:val="FF0000"/>
                <w:strike w:val="1"/>
                <w:w w:val="92"/>
              </w:rPr>
              <w:t>Aug 31,</w:t>
            </w:r>
          </w:p>
        </w:tc>
        <w:tc>
          <w:tcPr>
            <w:tcW w:w="420" w:type="dxa"/>
            <w:vAlign w:val="bottom"/>
            <w:tcBorders>
              <w:top w:val="single" w:sz="8" w:color="FFCCCC"/>
            </w:tcBorders>
            <w:shd w:val="clear" w:color="auto" w:fill="FFCCCC"/>
          </w:tcPr>
          <w:p>
            <w:pPr>
              <w:spacing w:after="0"/>
              <w:rPr>
                <w:sz w:val="22"/>
                <w:szCs w:val="22"/>
                <w:color w:val="auto"/>
              </w:rPr>
            </w:pPr>
          </w:p>
        </w:tc>
        <w:tc>
          <w:tcPr>
            <w:tcW w:w="1180" w:type="dxa"/>
            <w:vAlign w:val="bottom"/>
          </w:tcPr>
          <w:p>
            <w:pPr>
              <w:jc w:val="right"/>
              <w:spacing w:after="0"/>
              <w:rPr>
                <w:sz w:val="20"/>
                <w:szCs w:val="20"/>
                <w:color w:val="auto"/>
              </w:rPr>
            </w:pPr>
            <w:r>
              <w:rPr>
                <w:rFonts w:ascii="Arial" w:cs="Arial" w:eastAsia="Arial" w:hAnsi="Arial"/>
                <w:sz w:val="20"/>
                <w:szCs w:val="20"/>
                <w:color w:val="FF0000"/>
                <w:strike w:val="1"/>
                <w:w w:val="89"/>
              </w:rPr>
              <w:t>$1,000,000.00</w:t>
            </w:r>
          </w:p>
        </w:tc>
        <w:tc>
          <w:tcPr>
            <w:tcW w:w="700" w:type="dxa"/>
            <w:vAlign w:val="bottom"/>
            <w:gridSpan w:val="4"/>
          </w:tcPr>
          <w:p>
            <w:pPr>
              <w:jc w:val="right"/>
              <w:spacing w:after="0"/>
              <w:rPr>
                <w:sz w:val="20"/>
                <w:szCs w:val="20"/>
                <w:color w:val="auto"/>
              </w:rPr>
            </w:pPr>
            <w:r>
              <w:rPr>
                <w:rFonts w:ascii="Arial" w:cs="Arial" w:eastAsia="Arial" w:hAnsi="Arial"/>
                <w:sz w:val="20"/>
                <w:szCs w:val="20"/>
                <w:color w:val="FF0000"/>
                <w:strike w:val="1"/>
              </w:rPr>
              <w:t>1.250%</w:t>
            </w:r>
          </w:p>
        </w:tc>
        <w:tc>
          <w:tcPr>
            <w:tcW w:w="160" w:type="dxa"/>
            <w:vAlign w:val="bottom"/>
            <w:gridSpan w:val="2"/>
          </w:tcPr>
          <w:p>
            <w:pPr>
              <w:jc w:val="center"/>
              <w:ind w:right="60"/>
              <w:spacing w:after="0"/>
              <w:rPr>
                <w:sz w:val="20"/>
                <w:szCs w:val="20"/>
                <w:color w:val="auto"/>
              </w:rPr>
            </w:pPr>
            <w:r>
              <w:rPr>
                <w:rFonts w:ascii="Arial" w:cs="Arial" w:eastAsia="Arial" w:hAnsi="Arial"/>
                <w:sz w:val="20"/>
                <w:szCs w:val="20"/>
                <w:color w:val="0000FF"/>
                <w:w w:val="89"/>
              </w:rPr>
              <w:t>4</w:t>
            </w:r>
          </w:p>
        </w:tc>
        <w:tc>
          <w:tcPr>
            <w:tcW w:w="220" w:type="dxa"/>
            <w:vAlign w:val="bottom"/>
          </w:tcPr>
          <w:p>
            <w:pPr>
              <w:spacing w:after="0"/>
              <w:rPr>
                <w:sz w:val="22"/>
                <w:szCs w:val="22"/>
                <w:color w:val="auto"/>
              </w:rPr>
            </w:pPr>
          </w:p>
        </w:tc>
        <w:tc>
          <w:tcPr>
            <w:tcW w:w="1240" w:type="dxa"/>
            <w:vAlign w:val="bottom"/>
            <w:gridSpan w:val="2"/>
          </w:tcPr>
          <w:p>
            <w:pPr>
              <w:spacing w:after="0"/>
              <w:rPr>
                <w:sz w:val="20"/>
                <w:szCs w:val="20"/>
                <w:color w:val="auto"/>
              </w:rPr>
            </w:pPr>
            <w:r>
              <w:rPr>
                <w:rFonts w:ascii="Arial" w:cs="Arial" w:eastAsia="Arial" w:hAnsi="Arial"/>
                <w:sz w:val="20"/>
                <w:szCs w:val="20"/>
                <w:color w:val="auto"/>
              </w:rPr>
              <w:t>Feb 28, 2015</w:t>
            </w:r>
          </w:p>
        </w:tc>
        <w:tc>
          <w:tcPr>
            <w:tcW w:w="12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00" w:type="dxa"/>
            <w:vAlign w:val="bottom"/>
            <w:tcBorders>
              <w:top w:val="single" w:sz="8" w:color="0000FF"/>
            </w:tcBorders>
          </w:tcPr>
          <w:p>
            <w:pPr>
              <w:spacing w:after="0"/>
              <w:rPr>
                <w:sz w:val="22"/>
                <w:szCs w:val="22"/>
                <w:color w:val="auto"/>
              </w:rPr>
            </w:pPr>
          </w:p>
        </w:tc>
        <w:tc>
          <w:tcPr>
            <w:tcW w:w="8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400" w:type="dxa"/>
            <w:vAlign w:val="bottom"/>
            <w:tcBorders>
              <w:top w:val="single" w:sz="8" w:color="0000FF"/>
            </w:tcBorders>
          </w:tcPr>
          <w:p>
            <w:pPr>
              <w:spacing w:after="0"/>
              <w:rPr>
                <w:sz w:val="22"/>
                <w:szCs w:val="22"/>
                <w:color w:val="auto"/>
              </w:rPr>
            </w:pPr>
          </w:p>
        </w:tc>
        <w:tc>
          <w:tcPr>
            <w:tcW w:w="34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140" w:type="dxa"/>
            <w:vAlign w:val="bottom"/>
            <w:tcBorders>
              <w:top w:val="single" w:sz="8" w:color="0000FF"/>
            </w:tcBorders>
          </w:tcPr>
          <w:p>
            <w:pPr>
              <w:spacing w:after="0"/>
              <w:rPr>
                <w:sz w:val="22"/>
                <w:szCs w:val="22"/>
                <w:color w:val="auto"/>
              </w:rPr>
            </w:pPr>
          </w:p>
        </w:tc>
        <w:tc>
          <w:tcPr>
            <w:tcW w:w="20" w:type="dxa"/>
            <w:vAlign w:val="bottom"/>
          </w:tcPr>
          <w:p>
            <w:pPr>
              <w:spacing w:after="0"/>
              <w:rPr>
                <w:sz w:val="22"/>
                <w:szCs w:val="22"/>
                <w:color w:val="auto"/>
              </w:rPr>
            </w:pPr>
          </w:p>
        </w:tc>
        <w:tc>
          <w:tcPr>
            <w:tcW w:w="940" w:type="dxa"/>
            <w:vAlign w:val="bottom"/>
            <w:tcBorders>
              <w:top w:val="single" w:sz="8" w:color="CCCCFF"/>
            </w:tcBorders>
            <w:shd w:val="clear" w:color="auto" w:fill="CCCCFF"/>
          </w:tcPr>
          <w:p>
            <w:pPr>
              <w:spacing w:after="0"/>
              <w:rPr>
                <w:sz w:val="22"/>
                <w:szCs w:val="22"/>
                <w:color w:val="auto"/>
              </w:rPr>
            </w:pPr>
          </w:p>
        </w:tc>
      </w:tr>
      <w:tr>
        <w:trPr>
          <w:trHeight w:val="210"/>
        </w:trPr>
        <w:tc>
          <w:tcPr>
            <w:tcW w:w="340" w:type="dxa"/>
            <w:vAlign w:val="bottom"/>
            <w:tcBorders>
              <w:top w:val="single" w:sz="8" w:color="FFCCCC"/>
            </w:tcBorders>
            <w:shd w:val="clear" w:color="auto" w:fill="FFCCCC"/>
          </w:tcPr>
          <w:p>
            <w:pPr>
              <w:spacing w:after="0"/>
              <w:rPr>
                <w:sz w:val="18"/>
                <w:szCs w:val="18"/>
                <w:color w:val="auto"/>
              </w:rPr>
            </w:pPr>
          </w:p>
        </w:tc>
        <w:tc>
          <w:tcPr>
            <w:tcW w:w="40" w:type="dxa"/>
            <w:vAlign w:val="bottom"/>
            <w:tcBorders>
              <w:top w:val="single" w:sz="8" w:color="FFCCCC"/>
            </w:tcBorders>
            <w:shd w:val="clear" w:color="auto" w:fill="FFCCCC"/>
          </w:tcPr>
          <w:p>
            <w:pPr>
              <w:spacing w:after="0"/>
              <w:rPr>
                <w:sz w:val="18"/>
                <w:szCs w:val="18"/>
                <w:color w:val="auto"/>
              </w:rPr>
            </w:pPr>
          </w:p>
        </w:tc>
        <w:tc>
          <w:tcPr>
            <w:tcW w:w="380" w:type="dxa"/>
            <w:vAlign w:val="bottom"/>
            <w:tcBorders>
              <w:top w:val="single" w:sz="8" w:color="FFCCCC"/>
            </w:tcBorders>
            <w:shd w:val="clear" w:color="auto" w:fill="FFCCCC"/>
          </w:tcPr>
          <w:p>
            <w:pPr>
              <w:spacing w:after="0" w:line="209" w:lineRule="exact"/>
              <w:rPr>
                <w:sz w:val="20"/>
                <w:szCs w:val="20"/>
                <w:color w:val="auto"/>
              </w:rPr>
            </w:pPr>
            <w:r>
              <w:rPr>
                <w:rFonts w:ascii="Arial" w:cs="Arial" w:eastAsia="Arial" w:hAnsi="Arial"/>
                <w:sz w:val="20"/>
                <w:szCs w:val="20"/>
                <w:color w:val="FF0000"/>
                <w:strike w:val="1"/>
                <w:w w:val="80"/>
              </w:rPr>
              <w:t>2012</w:t>
            </w:r>
          </w:p>
        </w:tc>
        <w:tc>
          <w:tcPr>
            <w:tcW w:w="280" w:type="dxa"/>
            <w:vAlign w:val="bottom"/>
            <w:tcBorders>
              <w:top w:val="single" w:sz="8" w:color="FFCCCC"/>
            </w:tcBorders>
            <w:shd w:val="clear" w:color="auto" w:fill="FFCCCC"/>
          </w:tcPr>
          <w:p>
            <w:pPr>
              <w:spacing w:after="0"/>
              <w:rPr>
                <w:sz w:val="18"/>
                <w:szCs w:val="18"/>
                <w:color w:val="auto"/>
              </w:rPr>
            </w:pPr>
          </w:p>
        </w:tc>
        <w:tc>
          <w:tcPr>
            <w:tcW w:w="420" w:type="dxa"/>
            <w:vAlign w:val="bottom"/>
            <w:tcBorders>
              <w:top w:val="single" w:sz="8" w:color="FFCCCC"/>
            </w:tcBorders>
            <w:shd w:val="clear" w:color="auto" w:fill="FFCCCC"/>
          </w:tcPr>
          <w:p>
            <w:pPr>
              <w:spacing w:after="0"/>
              <w:rPr>
                <w:sz w:val="18"/>
                <w:szCs w:val="18"/>
                <w:color w:val="auto"/>
              </w:rPr>
            </w:pPr>
          </w:p>
        </w:tc>
        <w:tc>
          <w:tcPr>
            <w:tcW w:w="1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Borders>
              <w:top w:val="single" w:sz="8" w:color="0000FF"/>
            </w:tcBorders>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00" w:type="dxa"/>
            <w:vAlign w:val="bottom"/>
            <w:gridSpan w:val="4"/>
          </w:tcPr>
          <w:p>
            <w:pPr>
              <w:jc w:val="right"/>
              <w:spacing w:after="0" w:line="209" w:lineRule="exact"/>
              <w:rPr>
                <w:sz w:val="20"/>
                <w:szCs w:val="20"/>
                <w:color w:val="auto"/>
              </w:rPr>
            </w:pPr>
            <w:r>
              <w:rPr>
                <w:rFonts w:ascii="Arial" w:cs="Arial" w:eastAsia="Arial" w:hAnsi="Arial"/>
                <w:sz w:val="20"/>
                <w:szCs w:val="20"/>
                <w:color w:val="FF0000"/>
                <w:strike w:val="1"/>
              </w:rPr>
              <w:t>$2,500,000.00</w:t>
            </w:r>
          </w:p>
        </w:tc>
        <w:tc>
          <w:tcPr>
            <w:tcW w:w="900" w:type="dxa"/>
            <w:vAlign w:val="bottom"/>
          </w:tcPr>
          <w:p>
            <w:pPr>
              <w:jc w:val="right"/>
              <w:spacing w:after="0" w:line="209" w:lineRule="exact"/>
              <w:rPr>
                <w:sz w:val="20"/>
                <w:szCs w:val="20"/>
                <w:color w:val="auto"/>
              </w:rPr>
            </w:pPr>
            <w:r>
              <w:rPr>
                <w:rFonts w:ascii="Arial" w:cs="Arial" w:eastAsia="Arial" w:hAnsi="Arial"/>
                <w:sz w:val="20"/>
                <w:szCs w:val="20"/>
                <w:color w:val="0000FF"/>
                <w:w w:val="87"/>
              </w:rPr>
              <w:t>937,500.00</w:t>
            </w:r>
          </w:p>
        </w:tc>
        <w:tc>
          <w:tcPr>
            <w:tcW w:w="80" w:type="dxa"/>
            <w:vAlign w:val="bottom"/>
          </w:tcPr>
          <w:p>
            <w:pPr>
              <w:spacing w:after="0"/>
              <w:rPr>
                <w:sz w:val="18"/>
                <w:szCs w:val="18"/>
                <w:color w:val="auto"/>
              </w:rPr>
            </w:pPr>
          </w:p>
        </w:tc>
        <w:tc>
          <w:tcPr>
            <w:tcW w:w="660" w:type="dxa"/>
            <w:vAlign w:val="bottom"/>
            <w:gridSpan w:val="2"/>
          </w:tcPr>
          <w:p>
            <w:pPr>
              <w:jc w:val="center"/>
              <w:ind w:left="41"/>
              <w:spacing w:after="0" w:line="209" w:lineRule="exact"/>
              <w:rPr>
                <w:sz w:val="20"/>
                <w:szCs w:val="20"/>
                <w:color w:val="auto"/>
              </w:rPr>
            </w:pPr>
            <w:r>
              <w:rPr>
                <w:rFonts w:ascii="Arial" w:cs="Arial" w:eastAsia="Arial" w:hAnsi="Arial"/>
                <w:sz w:val="20"/>
                <w:szCs w:val="20"/>
                <w:color w:val="FF0000"/>
                <w:strike w:val="1"/>
                <w:w w:val="87"/>
              </w:rPr>
              <w:t>3.125</w:t>
            </w:r>
          </w:p>
        </w:tc>
        <w:tc>
          <w:tcPr>
            <w:tcW w:w="740" w:type="dxa"/>
            <w:vAlign w:val="bottom"/>
            <w:gridSpan w:val="2"/>
          </w:tcPr>
          <w:p>
            <w:pPr>
              <w:jc w:val="right"/>
              <w:ind w:right="180"/>
              <w:spacing w:after="0" w:line="209" w:lineRule="exact"/>
              <w:rPr>
                <w:sz w:val="20"/>
                <w:szCs w:val="20"/>
                <w:color w:val="auto"/>
              </w:rPr>
            </w:pPr>
            <w:r>
              <w:rPr>
                <w:rFonts w:ascii="Arial" w:cs="Arial" w:eastAsia="Arial" w:hAnsi="Arial"/>
                <w:sz w:val="20"/>
                <w:szCs w:val="20"/>
                <w:color w:val="0000FF"/>
                <w:w w:val="79"/>
              </w:rPr>
              <w:t>1.250</w:t>
            </w:r>
            <w:r>
              <w:rPr>
                <w:rFonts w:ascii="Arial" w:cs="Arial" w:eastAsia="Arial" w:hAnsi="Arial"/>
                <w:sz w:val="20"/>
                <w:szCs w:val="20"/>
                <w:color w:val="000000"/>
                <w:w w:val="79"/>
              </w:rPr>
              <w:t>%</w:t>
            </w:r>
          </w:p>
        </w:tc>
        <w:tc>
          <w:tcPr>
            <w:tcW w:w="1640" w:type="dxa"/>
            <w:vAlign w:val="bottom"/>
            <w:gridSpan w:val="3"/>
          </w:tcPr>
          <w:p>
            <w:pPr>
              <w:jc w:val="right"/>
              <w:ind w:right="20"/>
              <w:spacing w:after="0" w:line="209" w:lineRule="exact"/>
              <w:rPr>
                <w:sz w:val="20"/>
                <w:szCs w:val="20"/>
                <w:color w:val="auto"/>
              </w:rPr>
            </w:pPr>
            <w:r>
              <w:rPr>
                <w:rFonts w:ascii="Arial" w:cs="Arial" w:eastAsia="Arial" w:hAnsi="Arial"/>
                <w:sz w:val="20"/>
                <w:szCs w:val="20"/>
                <w:color w:val="0000FF"/>
              </w:rPr>
              <w:t>71,250,000.</w:t>
            </w:r>
            <w:r>
              <w:rPr>
                <w:rFonts w:ascii="Arial" w:cs="Arial" w:eastAsia="Arial" w:hAnsi="Arial"/>
                <w:sz w:val="20"/>
                <w:szCs w:val="20"/>
                <w:u w:val="single" w:color="auto"/>
                <w:color w:val="0000FF"/>
              </w:rPr>
              <w:t>00</w:t>
            </w:r>
          </w:p>
        </w:tc>
        <w:tc>
          <w:tcPr>
            <w:tcW w:w="940" w:type="dxa"/>
            <w:vAlign w:val="bottom"/>
            <w:tcBorders>
              <w:top w:val="single" w:sz="8" w:color="CCCCFF"/>
            </w:tcBorders>
            <w:shd w:val="clear" w:color="auto" w:fill="CCCCFF"/>
          </w:tcPr>
          <w:p>
            <w:pPr>
              <w:spacing w:after="0"/>
              <w:rPr>
                <w:sz w:val="18"/>
                <w:szCs w:val="18"/>
                <w:color w:val="auto"/>
              </w:rPr>
            </w:pPr>
          </w:p>
        </w:tc>
      </w:tr>
      <w:tr>
        <w:trPr>
          <w:trHeight w:val="264"/>
        </w:trPr>
        <w:tc>
          <w:tcPr>
            <w:tcW w:w="340" w:type="dxa"/>
            <w:vAlign w:val="bottom"/>
            <w:tcBorders>
              <w:top w:val="single" w:sz="8" w:color="FFCCCC"/>
            </w:tcBorders>
            <w:shd w:val="clear" w:color="auto" w:fill="FFCCCC"/>
          </w:tcPr>
          <w:p>
            <w:pPr>
              <w:spacing w:after="0"/>
              <w:rPr>
                <w:sz w:val="22"/>
                <w:szCs w:val="22"/>
                <w:color w:val="auto"/>
              </w:rPr>
            </w:pPr>
          </w:p>
        </w:tc>
        <w:tc>
          <w:tcPr>
            <w:tcW w:w="40" w:type="dxa"/>
            <w:vAlign w:val="bottom"/>
            <w:tcBorders>
              <w:top w:val="single" w:sz="8" w:color="FFCCCC"/>
            </w:tcBorders>
            <w:shd w:val="clear" w:color="auto" w:fill="FFCCCC"/>
          </w:tcPr>
          <w:p>
            <w:pPr>
              <w:spacing w:after="0"/>
              <w:rPr>
                <w:sz w:val="22"/>
                <w:szCs w:val="22"/>
                <w:color w:val="auto"/>
              </w:rPr>
            </w:pPr>
          </w:p>
        </w:tc>
        <w:tc>
          <w:tcPr>
            <w:tcW w:w="660" w:type="dxa"/>
            <w:vAlign w:val="bottom"/>
            <w:tcBorders>
              <w:top w:val="single" w:sz="8" w:color="FFCCCC"/>
            </w:tcBorders>
            <w:gridSpan w:val="2"/>
            <w:shd w:val="clear" w:color="auto" w:fill="FFCCCC"/>
          </w:tcPr>
          <w:p>
            <w:pPr>
              <w:spacing w:after="0"/>
              <w:rPr>
                <w:sz w:val="20"/>
                <w:szCs w:val="20"/>
                <w:color w:val="auto"/>
              </w:rPr>
            </w:pPr>
            <w:r>
              <w:rPr>
                <w:rFonts w:ascii="Arial" w:cs="Arial" w:eastAsia="Arial" w:hAnsi="Arial"/>
                <w:sz w:val="20"/>
                <w:szCs w:val="20"/>
                <w:color w:val="FF0000"/>
                <w:strike w:val="1"/>
                <w:w w:val="92"/>
              </w:rPr>
              <w:t>Nov 30,</w:t>
            </w:r>
          </w:p>
        </w:tc>
        <w:tc>
          <w:tcPr>
            <w:tcW w:w="420" w:type="dxa"/>
            <w:vAlign w:val="bottom"/>
            <w:tcBorders>
              <w:top w:val="single" w:sz="8" w:color="FFCCCC"/>
            </w:tcBorders>
            <w:shd w:val="clear" w:color="auto" w:fill="FFCCCC"/>
          </w:tcPr>
          <w:p>
            <w:pPr>
              <w:spacing w:after="0"/>
              <w:rPr>
                <w:sz w:val="22"/>
                <w:szCs w:val="22"/>
                <w:color w:val="auto"/>
              </w:rPr>
            </w:pPr>
          </w:p>
        </w:tc>
        <w:tc>
          <w:tcPr>
            <w:tcW w:w="1180" w:type="dxa"/>
            <w:vAlign w:val="bottom"/>
          </w:tcPr>
          <w:p>
            <w:pPr>
              <w:jc w:val="right"/>
              <w:spacing w:after="0"/>
              <w:rPr>
                <w:sz w:val="20"/>
                <w:szCs w:val="20"/>
                <w:color w:val="auto"/>
              </w:rPr>
            </w:pPr>
            <w:r>
              <w:rPr>
                <w:rFonts w:ascii="Arial" w:cs="Arial" w:eastAsia="Arial" w:hAnsi="Arial"/>
                <w:sz w:val="20"/>
                <w:szCs w:val="20"/>
                <w:color w:val="FF0000"/>
                <w:strike w:val="1"/>
                <w:w w:val="89"/>
              </w:rPr>
              <w:t>$1,500,000.00</w:t>
            </w:r>
          </w:p>
        </w:tc>
        <w:tc>
          <w:tcPr>
            <w:tcW w:w="700" w:type="dxa"/>
            <w:vAlign w:val="bottom"/>
            <w:gridSpan w:val="4"/>
          </w:tcPr>
          <w:p>
            <w:pPr>
              <w:jc w:val="right"/>
              <w:spacing w:after="0"/>
              <w:rPr>
                <w:sz w:val="20"/>
                <w:szCs w:val="20"/>
                <w:color w:val="auto"/>
              </w:rPr>
            </w:pPr>
            <w:r>
              <w:rPr>
                <w:rFonts w:ascii="Arial" w:cs="Arial" w:eastAsia="Arial" w:hAnsi="Arial"/>
                <w:sz w:val="20"/>
                <w:szCs w:val="20"/>
                <w:color w:val="FF0000"/>
                <w:strike w:val="1"/>
              </w:rPr>
              <w:t>1.875%</w:t>
            </w:r>
          </w:p>
        </w:tc>
        <w:tc>
          <w:tcPr>
            <w:tcW w:w="160" w:type="dxa"/>
            <w:vAlign w:val="bottom"/>
            <w:gridSpan w:val="2"/>
          </w:tcPr>
          <w:p>
            <w:pPr>
              <w:jc w:val="center"/>
              <w:ind w:right="60"/>
              <w:spacing w:after="0"/>
              <w:rPr>
                <w:sz w:val="20"/>
                <w:szCs w:val="20"/>
                <w:color w:val="auto"/>
              </w:rPr>
            </w:pPr>
            <w:r>
              <w:rPr>
                <w:rFonts w:ascii="Arial" w:cs="Arial" w:eastAsia="Arial" w:hAnsi="Arial"/>
                <w:sz w:val="20"/>
                <w:szCs w:val="20"/>
                <w:color w:val="0000FF"/>
                <w:w w:val="89"/>
              </w:rPr>
              <w:t>5</w:t>
            </w:r>
          </w:p>
        </w:tc>
        <w:tc>
          <w:tcPr>
            <w:tcW w:w="220" w:type="dxa"/>
            <w:vAlign w:val="bottom"/>
          </w:tcPr>
          <w:p>
            <w:pPr>
              <w:spacing w:after="0"/>
              <w:rPr>
                <w:sz w:val="22"/>
                <w:szCs w:val="22"/>
                <w:color w:val="auto"/>
              </w:rPr>
            </w:pPr>
          </w:p>
        </w:tc>
        <w:tc>
          <w:tcPr>
            <w:tcW w:w="1240" w:type="dxa"/>
            <w:vAlign w:val="bottom"/>
            <w:gridSpan w:val="2"/>
          </w:tcPr>
          <w:p>
            <w:pPr>
              <w:spacing w:after="0"/>
              <w:rPr>
                <w:sz w:val="20"/>
                <w:szCs w:val="20"/>
                <w:color w:val="auto"/>
              </w:rPr>
            </w:pPr>
            <w:r>
              <w:rPr>
                <w:rFonts w:ascii="Arial" w:cs="Arial" w:eastAsia="Arial" w:hAnsi="Arial"/>
                <w:sz w:val="20"/>
                <w:szCs w:val="20"/>
                <w:color w:val="auto"/>
              </w:rPr>
              <w:t>May 31, 2015</w:t>
            </w:r>
          </w:p>
        </w:tc>
        <w:tc>
          <w:tcPr>
            <w:tcW w:w="12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00" w:type="dxa"/>
            <w:vAlign w:val="bottom"/>
            <w:tcBorders>
              <w:top w:val="single" w:sz="8" w:color="0000FF"/>
            </w:tcBorders>
          </w:tcPr>
          <w:p>
            <w:pPr>
              <w:spacing w:after="0"/>
              <w:rPr>
                <w:sz w:val="22"/>
                <w:szCs w:val="22"/>
                <w:color w:val="auto"/>
              </w:rPr>
            </w:pPr>
          </w:p>
        </w:tc>
        <w:tc>
          <w:tcPr>
            <w:tcW w:w="8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400" w:type="dxa"/>
            <w:vAlign w:val="bottom"/>
            <w:tcBorders>
              <w:top w:val="single" w:sz="8" w:color="0000FF"/>
            </w:tcBorders>
          </w:tcPr>
          <w:p>
            <w:pPr>
              <w:spacing w:after="0"/>
              <w:rPr>
                <w:sz w:val="22"/>
                <w:szCs w:val="22"/>
                <w:color w:val="auto"/>
              </w:rPr>
            </w:pPr>
          </w:p>
        </w:tc>
        <w:tc>
          <w:tcPr>
            <w:tcW w:w="34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140" w:type="dxa"/>
            <w:vAlign w:val="bottom"/>
            <w:tcBorders>
              <w:top w:val="single" w:sz="8" w:color="0000FF"/>
            </w:tcBorders>
          </w:tcPr>
          <w:p>
            <w:pPr>
              <w:spacing w:after="0"/>
              <w:rPr>
                <w:sz w:val="22"/>
                <w:szCs w:val="22"/>
                <w:color w:val="auto"/>
              </w:rPr>
            </w:pPr>
          </w:p>
        </w:tc>
        <w:tc>
          <w:tcPr>
            <w:tcW w:w="20" w:type="dxa"/>
            <w:vAlign w:val="bottom"/>
          </w:tcPr>
          <w:p>
            <w:pPr>
              <w:spacing w:after="0"/>
              <w:rPr>
                <w:sz w:val="22"/>
                <w:szCs w:val="22"/>
                <w:color w:val="auto"/>
              </w:rPr>
            </w:pPr>
          </w:p>
        </w:tc>
        <w:tc>
          <w:tcPr>
            <w:tcW w:w="940" w:type="dxa"/>
            <w:vAlign w:val="bottom"/>
            <w:tcBorders>
              <w:top w:val="single" w:sz="8" w:color="CCCCFF"/>
            </w:tcBorders>
            <w:shd w:val="clear" w:color="auto" w:fill="CCCCFF"/>
          </w:tcPr>
          <w:p>
            <w:pPr>
              <w:spacing w:after="0"/>
              <w:rPr>
                <w:sz w:val="22"/>
                <w:szCs w:val="22"/>
                <w:color w:val="auto"/>
              </w:rPr>
            </w:pPr>
          </w:p>
        </w:tc>
      </w:tr>
      <w:tr>
        <w:trPr>
          <w:trHeight w:val="210"/>
        </w:trPr>
        <w:tc>
          <w:tcPr>
            <w:tcW w:w="340" w:type="dxa"/>
            <w:vAlign w:val="bottom"/>
            <w:tcBorders>
              <w:top w:val="single" w:sz="8" w:color="FFCCCC"/>
            </w:tcBorders>
            <w:shd w:val="clear" w:color="auto" w:fill="FFCCCC"/>
          </w:tcPr>
          <w:p>
            <w:pPr>
              <w:spacing w:after="0"/>
              <w:rPr>
                <w:sz w:val="18"/>
                <w:szCs w:val="18"/>
                <w:color w:val="auto"/>
              </w:rPr>
            </w:pPr>
          </w:p>
        </w:tc>
        <w:tc>
          <w:tcPr>
            <w:tcW w:w="40" w:type="dxa"/>
            <w:vAlign w:val="bottom"/>
            <w:tcBorders>
              <w:top w:val="single" w:sz="8" w:color="FFCCCC"/>
            </w:tcBorders>
            <w:shd w:val="clear" w:color="auto" w:fill="FFCCCC"/>
          </w:tcPr>
          <w:p>
            <w:pPr>
              <w:spacing w:after="0"/>
              <w:rPr>
                <w:sz w:val="18"/>
                <w:szCs w:val="18"/>
                <w:color w:val="auto"/>
              </w:rPr>
            </w:pPr>
          </w:p>
        </w:tc>
        <w:tc>
          <w:tcPr>
            <w:tcW w:w="380" w:type="dxa"/>
            <w:vAlign w:val="bottom"/>
            <w:tcBorders>
              <w:top w:val="single" w:sz="8" w:color="FFCCCC"/>
            </w:tcBorders>
            <w:shd w:val="clear" w:color="auto" w:fill="FFCCCC"/>
          </w:tcPr>
          <w:p>
            <w:pPr>
              <w:spacing w:after="0" w:line="209" w:lineRule="exact"/>
              <w:rPr>
                <w:sz w:val="20"/>
                <w:szCs w:val="20"/>
                <w:color w:val="auto"/>
              </w:rPr>
            </w:pPr>
            <w:r>
              <w:rPr>
                <w:rFonts w:ascii="Arial" w:cs="Arial" w:eastAsia="Arial" w:hAnsi="Arial"/>
                <w:sz w:val="20"/>
                <w:szCs w:val="20"/>
                <w:color w:val="FF0000"/>
                <w:strike w:val="1"/>
                <w:w w:val="80"/>
              </w:rPr>
              <w:t>2012</w:t>
            </w:r>
          </w:p>
        </w:tc>
        <w:tc>
          <w:tcPr>
            <w:tcW w:w="280" w:type="dxa"/>
            <w:vAlign w:val="bottom"/>
            <w:tcBorders>
              <w:top w:val="single" w:sz="8" w:color="FFCCCC"/>
            </w:tcBorders>
            <w:shd w:val="clear" w:color="auto" w:fill="FFCCCC"/>
          </w:tcPr>
          <w:p>
            <w:pPr>
              <w:spacing w:after="0"/>
              <w:rPr>
                <w:sz w:val="18"/>
                <w:szCs w:val="18"/>
                <w:color w:val="auto"/>
              </w:rPr>
            </w:pPr>
          </w:p>
        </w:tc>
        <w:tc>
          <w:tcPr>
            <w:tcW w:w="420" w:type="dxa"/>
            <w:vAlign w:val="bottom"/>
            <w:tcBorders>
              <w:top w:val="single" w:sz="8" w:color="FFCCCC"/>
            </w:tcBorders>
            <w:shd w:val="clear" w:color="auto" w:fill="FFCCCC"/>
          </w:tcPr>
          <w:p>
            <w:pPr>
              <w:spacing w:after="0"/>
              <w:rPr>
                <w:sz w:val="18"/>
                <w:szCs w:val="18"/>
                <w:color w:val="auto"/>
              </w:rPr>
            </w:pPr>
          </w:p>
        </w:tc>
        <w:tc>
          <w:tcPr>
            <w:tcW w:w="1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Borders>
              <w:top w:val="single" w:sz="8" w:color="0000FF"/>
            </w:tcBorders>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3"/>
          </w:tcPr>
          <w:p>
            <w:pPr>
              <w:jc w:val="right"/>
              <w:ind w:right="40"/>
              <w:spacing w:after="0" w:line="209" w:lineRule="exact"/>
              <w:rPr>
                <w:sz w:val="20"/>
                <w:szCs w:val="20"/>
                <w:color w:val="auto"/>
              </w:rPr>
            </w:pPr>
            <w:r>
              <w:rPr>
                <w:rFonts w:ascii="Arial" w:cs="Arial" w:eastAsia="Arial" w:hAnsi="Arial"/>
                <w:sz w:val="20"/>
                <w:szCs w:val="20"/>
                <w:color w:val="FF0000"/>
                <w:strike w:val="1"/>
              </w:rPr>
              <w:t>$2,500,000.00</w:t>
            </w:r>
          </w:p>
        </w:tc>
        <w:tc>
          <w:tcPr>
            <w:tcW w:w="1000" w:type="dxa"/>
            <w:vAlign w:val="bottom"/>
            <w:gridSpan w:val="2"/>
          </w:tcPr>
          <w:p>
            <w:pPr>
              <w:jc w:val="right"/>
              <w:spacing w:after="0" w:line="209" w:lineRule="exact"/>
              <w:rPr>
                <w:sz w:val="20"/>
                <w:szCs w:val="20"/>
                <w:color w:val="auto"/>
              </w:rPr>
            </w:pPr>
            <w:r>
              <w:rPr>
                <w:rFonts w:ascii="Arial" w:cs="Arial" w:eastAsia="Arial" w:hAnsi="Arial"/>
                <w:sz w:val="20"/>
                <w:szCs w:val="20"/>
                <w:color w:val="0000FF"/>
                <w:w w:val="83"/>
              </w:rPr>
              <w:t>1,406,250.00</w:t>
            </w:r>
          </w:p>
        </w:tc>
        <w:tc>
          <w:tcPr>
            <w:tcW w:w="80" w:type="dxa"/>
            <w:vAlign w:val="bottom"/>
          </w:tcPr>
          <w:p>
            <w:pPr>
              <w:spacing w:after="0"/>
              <w:rPr>
                <w:sz w:val="18"/>
                <w:szCs w:val="18"/>
                <w:color w:val="auto"/>
              </w:rPr>
            </w:pPr>
          </w:p>
        </w:tc>
        <w:tc>
          <w:tcPr>
            <w:tcW w:w="660" w:type="dxa"/>
            <w:vAlign w:val="bottom"/>
            <w:gridSpan w:val="2"/>
          </w:tcPr>
          <w:p>
            <w:pPr>
              <w:jc w:val="center"/>
              <w:ind w:left="41"/>
              <w:spacing w:after="0" w:line="209" w:lineRule="exact"/>
              <w:rPr>
                <w:sz w:val="20"/>
                <w:szCs w:val="20"/>
                <w:color w:val="auto"/>
              </w:rPr>
            </w:pPr>
            <w:r>
              <w:rPr>
                <w:rFonts w:ascii="Arial" w:cs="Arial" w:eastAsia="Arial" w:hAnsi="Arial"/>
                <w:sz w:val="20"/>
                <w:szCs w:val="20"/>
                <w:color w:val="FF0000"/>
                <w:strike w:val="1"/>
                <w:w w:val="87"/>
              </w:rPr>
              <w:t>3.125</w:t>
            </w:r>
          </w:p>
        </w:tc>
        <w:tc>
          <w:tcPr>
            <w:tcW w:w="740" w:type="dxa"/>
            <w:vAlign w:val="bottom"/>
            <w:gridSpan w:val="2"/>
          </w:tcPr>
          <w:p>
            <w:pPr>
              <w:jc w:val="right"/>
              <w:ind w:right="180"/>
              <w:spacing w:after="0" w:line="209" w:lineRule="exact"/>
              <w:rPr>
                <w:sz w:val="20"/>
                <w:szCs w:val="20"/>
                <w:color w:val="auto"/>
              </w:rPr>
            </w:pPr>
            <w:r>
              <w:rPr>
                <w:rFonts w:ascii="Arial" w:cs="Arial" w:eastAsia="Arial" w:hAnsi="Arial"/>
                <w:sz w:val="20"/>
                <w:szCs w:val="20"/>
                <w:color w:val="0000FF"/>
                <w:w w:val="79"/>
              </w:rPr>
              <w:t>1.875</w:t>
            </w:r>
            <w:r>
              <w:rPr>
                <w:rFonts w:ascii="Arial" w:cs="Arial" w:eastAsia="Arial" w:hAnsi="Arial"/>
                <w:sz w:val="20"/>
                <w:szCs w:val="20"/>
                <w:color w:val="000000"/>
                <w:w w:val="79"/>
              </w:rPr>
              <w:t>%</w:t>
            </w:r>
          </w:p>
        </w:tc>
        <w:tc>
          <w:tcPr>
            <w:tcW w:w="1640" w:type="dxa"/>
            <w:vAlign w:val="bottom"/>
            <w:gridSpan w:val="3"/>
          </w:tcPr>
          <w:p>
            <w:pPr>
              <w:jc w:val="right"/>
              <w:ind w:right="20"/>
              <w:spacing w:after="0" w:line="209" w:lineRule="exact"/>
              <w:rPr>
                <w:sz w:val="20"/>
                <w:szCs w:val="20"/>
                <w:color w:val="auto"/>
              </w:rPr>
            </w:pPr>
            <w:r>
              <w:rPr>
                <w:rFonts w:ascii="Arial" w:cs="Arial" w:eastAsia="Arial" w:hAnsi="Arial"/>
                <w:sz w:val="20"/>
                <w:szCs w:val="20"/>
                <w:color w:val="0000FF"/>
              </w:rPr>
              <w:t>69,843,750.</w:t>
            </w:r>
            <w:r>
              <w:rPr>
                <w:rFonts w:ascii="Arial" w:cs="Arial" w:eastAsia="Arial" w:hAnsi="Arial"/>
                <w:sz w:val="20"/>
                <w:szCs w:val="20"/>
                <w:u w:val="single" w:color="auto"/>
                <w:color w:val="0000FF"/>
              </w:rPr>
              <w:t>00</w:t>
            </w:r>
          </w:p>
        </w:tc>
        <w:tc>
          <w:tcPr>
            <w:tcW w:w="940" w:type="dxa"/>
            <w:vAlign w:val="bottom"/>
            <w:tcBorders>
              <w:top w:val="single" w:sz="8" w:color="CCCCFF"/>
            </w:tcBorders>
            <w:shd w:val="clear" w:color="auto" w:fill="CCCCFF"/>
          </w:tcPr>
          <w:p>
            <w:pPr>
              <w:spacing w:after="0"/>
              <w:rPr>
                <w:sz w:val="18"/>
                <w:szCs w:val="18"/>
                <w:color w:val="auto"/>
              </w:rPr>
            </w:pPr>
          </w:p>
        </w:tc>
      </w:tr>
      <w:tr>
        <w:trPr>
          <w:trHeight w:val="20"/>
        </w:trPr>
        <w:tc>
          <w:tcPr>
            <w:tcW w:w="340" w:type="dxa"/>
            <w:vAlign w:val="bottom"/>
            <w:shd w:val="clear" w:color="auto" w:fill="FFCCCC"/>
          </w:tcPr>
          <w:p>
            <w:pPr>
              <w:spacing w:after="0" w:line="20" w:lineRule="exact"/>
              <w:rPr>
                <w:sz w:val="1"/>
                <w:szCs w:val="1"/>
                <w:color w:val="auto"/>
              </w:rPr>
            </w:pPr>
          </w:p>
        </w:tc>
        <w:tc>
          <w:tcPr>
            <w:tcW w:w="40" w:type="dxa"/>
            <w:vAlign w:val="bottom"/>
            <w:shd w:val="clear" w:color="auto" w:fill="FFCCCC"/>
          </w:tcPr>
          <w:p>
            <w:pPr>
              <w:spacing w:after="0" w:line="20" w:lineRule="exact"/>
              <w:rPr>
                <w:sz w:val="1"/>
                <w:szCs w:val="1"/>
                <w:color w:val="auto"/>
              </w:rPr>
            </w:pPr>
          </w:p>
        </w:tc>
        <w:tc>
          <w:tcPr>
            <w:tcW w:w="1080" w:type="dxa"/>
            <w:vAlign w:val="bottom"/>
            <w:gridSpan w:val="3"/>
            <w:shd w:val="clear" w:color="auto" w:fill="FFCCCC"/>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right w:val="single" w:sz="8" w:color="0000FF"/>
            </w:tcBorders>
          </w:tcPr>
          <w:p>
            <w:pPr>
              <w:spacing w:after="0" w:line="20" w:lineRule="exact"/>
              <w:rPr>
                <w:sz w:val="1"/>
                <w:szCs w:val="1"/>
                <w:color w:val="auto"/>
              </w:rPr>
            </w:pPr>
          </w:p>
        </w:tc>
        <w:tc>
          <w:tcPr>
            <w:tcW w:w="1000" w:type="dxa"/>
            <w:vAlign w:val="bottom"/>
            <w:gridSpan w:val="2"/>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60" w:type="dxa"/>
            <w:vAlign w:val="bottom"/>
            <w:tcBorders>
              <w:right w:val="single" w:sz="8" w:color="0000FF"/>
            </w:tcBorders>
          </w:tcPr>
          <w:p>
            <w:pPr>
              <w:spacing w:after="0" w:line="20" w:lineRule="exact"/>
              <w:rPr>
                <w:sz w:val="1"/>
                <w:szCs w:val="1"/>
                <w:color w:val="auto"/>
              </w:rPr>
            </w:pPr>
          </w:p>
        </w:tc>
        <w:tc>
          <w:tcPr>
            <w:tcW w:w="400" w:type="dxa"/>
            <w:vAlign w:val="bottom"/>
            <w:tcBorders>
              <w:right w:val="single" w:sz="8" w:color="0000FF"/>
            </w:tcBorders>
            <w:shd w:val="clear" w:color="auto" w:fill="0000FF"/>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14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40" w:type="dxa"/>
            <w:vAlign w:val="bottom"/>
            <w:shd w:val="clear" w:color="auto" w:fill="CCCCFF"/>
          </w:tcPr>
          <w:p>
            <w:pPr>
              <w:spacing w:after="0" w:line="20" w:lineRule="exact"/>
              <w:rPr>
                <w:sz w:val="1"/>
                <w:szCs w:val="1"/>
                <w:color w:val="auto"/>
              </w:rPr>
            </w:pPr>
          </w:p>
        </w:tc>
      </w:tr>
      <w:tr>
        <w:trPr>
          <w:trHeight w:val="264"/>
        </w:trPr>
        <w:tc>
          <w:tcPr>
            <w:tcW w:w="340" w:type="dxa"/>
            <w:vAlign w:val="bottom"/>
            <w:shd w:val="clear" w:color="auto" w:fill="FFCCCC"/>
          </w:tcPr>
          <w:p>
            <w:pPr>
              <w:spacing w:after="0"/>
              <w:rPr>
                <w:sz w:val="22"/>
                <w:szCs w:val="22"/>
                <w:color w:val="auto"/>
              </w:rPr>
            </w:pPr>
          </w:p>
        </w:tc>
        <w:tc>
          <w:tcPr>
            <w:tcW w:w="40" w:type="dxa"/>
            <w:vAlign w:val="bottom"/>
            <w:shd w:val="clear" w:color="auto" w:fill="FFCCCC"/>
          </w:tcPr>
          <w:p>
            <w:pPr>
              <w:spacing w:after="0"/>
              <w:rPr>
                <w:sz w:val="22"/>
                <w:szCs w:val="22"/>
                <w:color w:val="auto"/>
              </w:rPr>
            </w:pPr>
          </w:p>
        </w:tc>
        <w:tc>
          <w:tcPr>
            <w:tcW w:w="1080" w:type="dxa"/>
            <w:vAlign w:val="bottom"/>
            <w:gridSpan w:val="3"/>
            <w:shd w:val="clear" w:color="auto" w:fill="FFCCCC"/>
          </w:tcPr>
          <w:p>
            <w:pPr>
              <w:spacing w:after="0"/>
              <w:rPr>
                <w:sz w:val="20"/>
                <w:szCs w:val="20"/>
                <w:color w:val="auto"/>
              </w:rPr>
            </w:pPr>
            <w:r>
              <w:rPr>
                <w:rFonts w:ascii="Arial" w:cs="Arial" w:eastAsia="Arial" w:hAnsi="Arial"/>
                <w:sz w:val="20"/>
                <w:szCs w:val="20"/>
                <w:color w:val="FF0000"/>
                <w:strike w:val="1"/>
                <w:w w:val="89"/>
              </w:rPr>
              <w:t>Feb 28, 2013</w:t>
            </w:r>
          </w:p>
        </w:tc>
        <w:tc>
          <w:tcPr>
            <w:tcW w:w="1180" w:type="dxa"/>
            <w:vAlign w:val="bottom"/>
          </w:tcPr>
          <w:p>
            <w:pPr>
              <w:jc w:val="right"/>
              <w:spacing w:after="0"/>
              <w:rPr>
                <w:sz w:val="20"/>
                <w:szCs w:val="20"/>
                <w:color w:val="auto"/>
              </w:rPr>
            </w:pPr>
            <w:r>
              <w:rPr>
                <w:rFonts w:ascii="Arial" w:cs="Arial" w:eastAsia="Arial" w:hAnsi="Arial"/>
                <w:sz w:val="20"/>
                <w:szCs w:val="20"/>
                <w:color w:val="FF0000"/>
                <w:strike w:val="1"/>
                <w:w w:val="89"/>
              </w:rPr>
              <w:t>$1,500,000.00</w:t>
            </w:r>
          </w:p>
        </w:tc>
        <w:tc>
          <w:tcPr>
            <w:tcW w:w="700" w:type="dxa"/>
            <w:vAlign w:val="bottom"/>
            <w:gridSpan w:val="4"/>
          </w:tcPr>
          <w:p>
            <w:pPr>
              <w:jc w:val="right"/>
              <w:spacing w:after="0"/>
              <w:rPr>
                <w:sz w:val="20"/>
                <w:szCs w:val="20"/>
                <w:color w:val="auto"/>
              </w:rPr>
            </w:pPr>
            <w:r>
              <w:rPr>
                <w:rFonts w:ascii="Arial" w:cs="Arial" w:eastAsia="Arial" w:hAnsi="Arial"/>
                <w:sz w:val="20"/>
                <w:szCs w:val="20"/>
                <w:color w:val="FF0000"/>
                <w:strike w:val="1"/>
              </w:rPr>
              <w:t>1.875%</w:t>
            </w:r>
          </w:p>
        </w:tc>
        <w:tc>
          <w:tcPr>
            <w:tcW w:w="160" w:type="dxa"/>
            <w:vAlign w:val="bottom"/>
            <w:gridSpan w:val="2"/>
          </w:tcPr>
          <w:p>
            <w:pPr>
              <w:jc w:val="center"/>
              <w:ind w:right="60"/>
              <w:spacing w:after="0"/>
              <w:rPr>
                <w:sz w:val="20"/>
                <w:szCs w:val="20"/>
                <w:color w:val="auto"/>
              </w:rPr>
            </w:pPr>
            <w:r>
              <w:rPr>
                <w:rFonts w:ascii="Arial" w:cs="Arial" w:eastAsia="Arial" w:hAnsi="Arial"/>
                <w:sz w:val="20"/>
                <w:szCs w:val="20"/>
                <w:color w:val="0000FF"/>
                <w:w w:val="89"/>
              </w:rPr>
              <w:t>6</w:t>
            </w:r>
          </w:p>
        </w:tc>
        <w:tc>
          <w:tcPr>
            <w:tcW w:w="220" w:type="dxa"/>
            <w:vAlign w:val="bottom"/>
          </w:tcPr>
          <w:p>
            <w:pPr>
              <w:spacing w:after="0"/>
              <w:rPr>
                <w:sz w:val="22"/>
                <w:szCs w:val="22"/>
                <w:color w:val="auto"/>
              </w:rPr>
            </w:pPr>
          </w:p>
        </w:tc>
        <w:tc>
          <w:tcPr>
            <w:tcW w:w="1240" w:type="dxa"/>
            <w:vAlign w:val="bottom"/>
            <w:gridSpan w:val="2"/>
          </w:tcPr>
          <w:p>
            <w:pPr>
              <w:spacing w:after="0"/>
              <w:rPr>
                <w:sz w:val="20"/>
                <w:szCs w:val="20"/>
                <w:color w:val="auto"/>
              </w:rPr>
            </w:pPr>
            <w:r>
              <w:rPr>
                <w:rFonts w:ascii="Arial" w:cs="Arial" w:eastAsia="Arial" w:hAnsi="Arial"/>
                <w:sz w:val="20"/>
                <w:szCs w:val="20"/>
                <w:color w:val="auto"/>
              </w:rPr>
              <w:t>Aug 31, 2015</w:t>
            </w:r>
          </w:p>
        </w:tc>
        <w:tc>
          <w:tcPr>
            <w:tcW w:w="1400" w:type="dxa"/>
            <w:vAlign w:val="bottom"/>
            <w:gridSpan w:val="3"/>
          </w:tcPr>
          <w:p>
            <w:pPr>
              <w:jc w:val="right"/>
              <w:ind w:right="40"/>
              <w:spacing w:after="0"/>
              <w:rPr>
                <w:sz w:val="20"/>
                <w:szCs w:val="20"/>
                <w:color w:val="auto"/>
              </w:rPr>
            </w:pPr>
            <w:r>
              <w:rPr>
                <w:rFonts w:ascii="Arial" w:cs="Arial" w:eastAsia="Arial" w:hAnsi="Arial"/>
                <w:sz w:val="20"/>
                <w:szCs w:val="20"/>
                <w:color w:val="FF0000"/>
                <w:strike w:val="1"/>
              </w:rPr>
              <w:t>$2,500,000.00</w:t>
            </w:r>
          </w:p>
        </w:tc>
        <w:tc>
          <w:tcPr>
            <w:tcW w:w="1000" w:type="dxa"/>
            <w:vAlign w:val="bottom"/>
            <w:gridSpan w:val="2"/>
          </w:tcPr>
          <w:p>
            <w:pPr>
              <w:jc w:val="right"/>
              <w:spacing w:after="0"/>
              <w:rPr>
                <w:sz w:val="20"/>
                <w:szCs w:val="20"/>
                <w:color w:val="auto"/>
              </w:rPr>
            </w:pPr>
            <w:r>
              <w:rPr>
                <w:rFonts w:ascii="Arial" w:cs="Arial" w:eastAsia="Arial" w:hAnsi="Arial"/>
                <w:sz w:val="20"/>
                <w:szCs w:val="20"/>
                <w:color w:val="0000FF"/>
                <w:w w:val="83"/>
              </w:rPr>
              <w:t>1,406,250.00</w:t>
            </w:r>
          </w:p>
        </w:tc>
        <w:tc>
          <w:tcPr>
            <w:tcW w:w="80" w:type="dxa"/>
            <w:vAlign w:val="bottom"/>
          </w:tcPr>
          <w:p>
            <w:pPr>
              <w:spacing w:after="0"/>
              <w:rPr>
                <w:sz w:val="22"/>
                <w:szCs w:val="22"/>
                <w:color w:val="auto"/>
              </w:rPr>
            </w:pPr>
          </w:p>
        </w:tc>
        <w:tc>
          <w:tcPr>
            <w:tcW w:w="660" w:type="dxa"/>
            <w:vAlign w:val="bottom"/>
            <w:gridSpan w:val="2"/>
          </w:tcPr>
          <w:p>
            <w:pPr>
              <w:jc w:val="center"/>
              <w:ind w:left="41"/>
              <w:spacing w:after="0"/>
              <w:rPr>
                <w:sz w:val="20"/>
                <w:szCs w:val="20"/>
                <w:color w:val="auto"/>
              </w:rPr>
            </w:pPr>
            <w:r>
              <w:rPr>
                <w:rFonts w:ascii="Arial" w:cs="Arial" w:eastAsia="Arial" w:hAnsi="Arial"/>
                <w:sz w:val="20"/>
                <w:szCs w:val="20"/>
                <w:color w:val="FF0000"/>
                <w:strike w:val="1"/>
                <w:w w:val="87"/>
              </w:rPr>
              <w:t>3.125</w:t>
            </w:r>
          </w:p>
        </w:tc>
        <w:tc>
          <w:tcPr>
            <w:tcW w:w="740" w:type="dxa"/>
            <w:vAlign w:val="bottom"/>
            <w:gridSpan w:val="2"/>
          </w:tcPr>
          <w:p>
            <w:pPr>
              <w:jc w:val="right"/>
              <w:ind w:right="180"/>
              <w:spacing w:after="0"/>
              <w:rPr>
                <w:sz w:val="20"/>
                <w:szCs w:val="20"/>
                <w:color w:val="auto"/>
              </w:rPr>
            </w:pPr>
            <w:r>
              <w:rPr>
                <w:rFonts w:ascii="Arial" w:cs="Arial" w:eastAsia="Arial" w:hAnsi="Arial"/>
                <w:sz w:val="20"/>
                <w:szCs w:val="20"/>
                <w:color w:val="0000FF"/>
                <w:w w:val="79"/>
              </w:rPr>
              <w:t>1.875</w:t>
            </w:r>
            <w:r>
              <w:rPr>
                <w:rFonts w:ascii="Arial" w:cs="Arial" w:eastAsia="Arial" w:hAnsi="Arial"/>
                <w:sz w:val="20"/>
                <w:szCs w:val="20"/>
                <w:color w:val="000000"/>
                <w:w w:val="79"/>
              </w:rPr>
              <w:t>%</w:t>
            </w:r>
          </w:p>
        </w:tc>
        <w:tc>
          <w:tcPr>
            <w:tcW w:w="1640" w:type="dxa"/>
            <w:vAlign w:val="bottom"/>
            <w:gridSpan w:val="3"/>
          </w:tcPr>
          <w:p>
            <w:pPr>
              <w:jc w:val="right"/>
              <w:ind w:right="20"/>
              <w:spacing w:after="0"/>
              <w:rPr>
                <w:sz w:val="20"/>
                <w:szCs w:val="20"/>
                <w:color w:val="auto"/>
              </w:rPr>
            </w:pPr>
            <w:r>
              <w:rPr>
                <w:rFonts w:ascii="Arial" w:cs="Arial" w:eastAsia="Arial" w:hAnsi="Arial"/>
                <w:sz w:val="20"/>
                <w:szCs w:val="20"/>
                <w:color w:val="0000FF"/>
              </w:rPr>
              <w:t>68,437,500.</w:t>
            </w:r>
            <w:r>
              <w:rPr>
                <w:rFonts w:ascii="Arial" w:cs="Arial" w:eastAsia="Arial" w:hAnsi="Arial"/>
                <w:sz w:val="20"/>
                <w:szCs w:val="20"/>
                <w:u w:val="single" w:color="auto"/>
                <w:color w:val="0000FF"/>
              </w:rPr>
              <w:t>00</w:t>
            </w:r>
          </w:p>
        </w:tc>
        <w:tc>
          <w:tcPr>
            <w:tcW w:w="940" w:type="dxa"/>
            <w:vAlign w:val="bottom"/>
            <w:shd w:val="clear" w:color="auto" w:fill="CCCCFF"/>
          </w:tcPr>
          <w:p>
            <w:pPr>
              <w:spacing w:after="0"/>
              <w:rPr>
                <w:sz w:val="22"/>
                <w:szCs w:val="22"/>
                <w:color w:val="auto"/>
              </w:rPr>
            </w:pPr>
          </w:p>
        </w:tc>
      </w:tr>
      <w:tr>
        <w:trPr>
          <w:trHeight w:val="20"/>
        </w:trPr>
        <w:tc>
          <w:tcPr>
            <w:tcW w:w="340" w:type="dxa"/>
            <w:vAlign w:val="bottom"/>
            <w:shd w:val="clear" w:color="auto" w:fill="FFCCCC"/>
          </w:tcPr>
          <w:p>
            <w:pPr>
              <w:spacing w:after="0" w:line="20" w:lineRule="exact"/>
              <w:rPr>
                <w:sz w:val="1"/>
                <w:szCs w:val="1"/>
                <w:color w:val="auto"/>
              </w:rPr>
            </w:pPr>
          </w:p>
        </w:tc>
        <w:tc>
          <w:tcPr>
            <w:tcW w:w="40" w:type="dxa"/>
            <w:vAlign w:val="bottom"/>
            <w:shd w:val="clear" w:color="auto" w:fill="FFCCCC"/>
          </w:tcPr>
          <w:p>
            <w:pPr>
              <w:spacing w:after="0" w:line="20" w:lineRule="exact"/>
              <w:rPr>
                <w:sz w:val="1"/>
                <w:szCs w:val="1"/>
                <w:color w:val="auto"/>
              </w:rPr>
            </w:pPr>
          </w:p>
        </w:tc>
        <w:tc>
          <w:tcPr>
            <w:tcW w:w="1080" w:type="dxa"/>
            <w:vAlign w:val="bottom"/>
            <w:gridSpan w:val="3"/>
            <w:shd w:val="clear" w:color="auto" w:fill="FFCCCC"/>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60" w:type="dxa"/>
            <w:vAlign w:val="bottom"/>
            <w:tcBorders>
              <w:right w:val="single" w:sz="8" w:color="0000FF"/>
            </w:tcBorders>
          </w:tcPr>
          <w:p>
            <w:pPr>
              <w:spacing w:after="0" w:line="20" w:lineRule="exact"/>
              <w:rPr>
                <w:sz w:val="1"/>
                <w:szCs w:val="1"/>
                <w:color w:val="auto"/>
              </w:rPr>
            </w:pPr>
          </w:p>
        </w:tc>
        <w:tc>
          <w:tcPr>
            <w:tcW w:w="400" w:type="dxa"/>
            <w:vAlign w:val="bottom"/>
            <w:tcBorders>
              <w:right w:val="single" w:sz="8" w:color="0000FF"/>
            </w:tcBorders>
            <w:shd w:val="clear" w:color="auto" w:fill="0000FF"/>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14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40" w:type="dxa"/>
            <w:vAlign w:val="bottom"/>
            <w:shd w:val="clear" w:color="auto" w:fill="CCCCFF"/>
          </w:tcPr>
          <w:p>
            <w:pPr>
              <w:spacing w:after="0" w:line="20" w:lineRule="exact"/>
              <w:rPr>
                <w:sz w:val="1"/>
                <w:szCs w:val="1"/>
                <w:color w:val="auto"/>
              </w:rPr>
            </w:pPr>
          </w:p>
        </w:tc>
      </w:tr>
      <w:tr>
        <w:trPr>
          <w:trHeight w:val="264"/>
        </w:trPr>
        <w:tc>
          <w:tcPr>
            <w:tcW w:w="340" w:type="dxa"/>
            <w:vAlign w:val="bottom"/>
            <w:shd w:val="clear" w:color="auto" w:fill="FFCCCC"/>
          </w:tcPr>
          <w:p>
            <w:pPr>
              <w:spacing w:after="0"/>
              <w:rPr>
                <w:sz w:val="22"/>
                <w:szCs w:val="22"/>
                <w:color w:val="auto"/>
              </w:rPr>
            </w:pPr>
          </w:p>
        </w:tc>
        <w:tc>
          <w:tcPr>
            <w:tcW w:w="40" w:type="dxa"/>
            <w:vAlign w:val="bottom"/>
            <w:shd w:val="clear" w:color="auto" w:fill="FFCCCC"/>
          </w:tcPr>
          <w:p>
            <w:pPr>
              <w:spacing w:after="0"/>
              <w:rPr>
                <w:sz w:val="22"/>
                <w:szCs w:val="22"/>
                <w:color w:val="auto"/>
              </w:rPr>
            </w:pPr>
          </w:p>
        </w:tc>
        <w:tc>
          <w:tcPr>
            <w:tcW w:w="660" w:type="dxa"/>
            <w:vAlign w:val="bottom"/>
            <w:gridSpan w:val="2"/>
            <w:shd w:val="clear" w:color="auto" w:fill="FFCCCC"/>
          </w:tcPr>
          <w:p>
            <w:pPr>
              <w:spacing w:after="0"/>
              <w:rPr>
                <w:sz w:val="20"/>
                <w:szCs w:val="20"/>
                <w:color w:val="auto"/>
              </w:rPr>
            </w:pPr>
            <w:r>
              <w:rPr>
                <w:rFonts w:ascii="Arial" w:cs="Arial" w:eastAsia="Arial" w:hAnsi="Arial"/>
                <w:sz w:val="20"/>
                <w:szCs w:val="20"/>
                <w:color w:val="FF0000"/>
                <w:strike w:val="1"/>
                <w:w w:val="89"/>
              </w:rPr>
              <w:t>May 31,</w:t>
            </w:r>
          </w:p>
        </w:tc>
        <w:tc>
          <w:tcPr>
            <w:tcW w:w="420" w:type="dxa"/>
            <w:vAlign w:val="bottom"/>
            <w:shd w:val="clear" w:color="auto" w:fill="FFCCCC"/>
          </w:tcPr>
          <w:p>
            <w:pPr>
              <w:spacing w:after="0"/>
              <w:rPr>
                <w:sz w:val="22"/>
                <w:szCs w:val="22"/>
                <w:color w:val="auto"/>
              </w:rPr>
            </w:pPr>
          </w:p>
        </w:tc>
        <w:tc>
          <w:tcPr>
            <w:tcW w:w="1180" w:type="dxa"/>
            <w:vAlign w:val="bottom"/>
          </w:tcPr>
          <w:p>
            <w:pPr>
              <w:jc w:val="right"/>
              <w:spacing w:after="0"/>
              <w:rPr>
                <w:sz w:val="20"/>
                <w:szCs w:val="20"/>
                <w:color w:val="auto"/>
              </w:rPr>
            </w:pPr>
            <w:r>
              <w:rPr>
                <w:rFonts w:ascii="Arial" w:cs="Arial" w:eastAsia="Arial" w:hAnsi="Arial"/>
                <w:sz w:val="20"/>
                <w:szCs w:val="20"/>
                <w:color w:val="FF0000"/>
                <w:strike w:val="1"/>
                <w:w w:val="89"/>
              </w:rPr>
              <w:t>$1,500,000.00</w:t>
            </w:r>
          </w:p>
        </w:tc>
        <w:tc>
          <w:tcPr>
            <w:tcW w:w="700" w:type="dxa"/>
            <w:vAlign w:val="bottom"/>
            <w:gridSpan w:val="4"/>
          </w:tcPr>
          <w:p>
            <w:pPr>
              <w:jc w:val="right"/>
              <w:spacing w:after="0"/>
              <w:rPr>
                <w:sz w:val="20"/>
                <w:szCs w:val="20"/>
                <w:color w:val="auto"/>
              </w:rPr>
            </w:pPr>
            <w:r>
              <w:rPr>
                <w:rFonts w:ascii="Arial" w:cs="Arial" w:eastAsia="Arial" w:hAnsi="Arial"/>
                <w:sz w:val="20"/>
                <w:szCs w:val="20"/>
                <w:color w:val="FF0000"/>
                <w:strike w:val="1"/>
              </w:rPr>
              <w:t>1.875%</w:t>
            </w:r>
          </w:p>
        </w:tc>
        <w:tc>
          <w:tcPr>
            <w:tcW w:w="160" w:type="dxa"/>
            <w:vAlign w:val="bottom"/>
            <w:gridSpan w:val="2"/>
          </w:tcPr>
          <w:p>
            <w:pPr>
              <w:jc w:val="center"/>
              <w:ind w:right="60"/>
              <w:spacing w:after="0"/>
              <w:rPr>
                <w:sz w:val="20"/>
                <w:szCs w:val="20"/>
                <w:color w:val="auto"/>
              </w:rPr>
            </w:pPr>
            <w:r>
              <w:rPr>
                <w:rFonts w:ascii="Arial" w:cs="Arial" w:eastAsia="Arial" w:hAnsi="Arial"/>
                <w:sz w:val="20"/>
                <w:szCs w:val="20"/>
                <w:color w:val="0000FF"/>
                <w:w w:val="89"/>
              </w:rPr>
              <w:t>7</w:t>
            </w:r>
          </w:p>
        </w:tc>
        <w:tc>
          <w:tcPr>
            <w:tcW w:w="220" w:type="dxa"/>
            <w:vAlign w:val="bottom"/>
          </w:tcPr>
          <w:p>
            <w:pPr>
              <w:spacing w:after="0"/>
              <w:rPr>
                <w:sz w:val="22"/>
                <w:szCs w:val="22"/>
                <w:color w:val="auto"/>
              </w:rPr>
            </w:pPr>
          </w:p>
        </w:tc>
        <w:tc>
          <w:tcPr>
            <w:tcW w:w="1240" w:type="dxa"/>
            <w:vAlign w:val="bottom"/>
            <w:gridSpan w:val="2"/>
          </w:tcPr>
          <w:p>
            <w:pPr>
              <w:spacing w:after="0"/>
              <w:rPr>
                <w:sz w:val="20"/>
                <w:szCs w:val="20"/>
                <w:color w:val="auto"/>
              </w:rPr>
            </w:pPr>
            <w:r>
              <w:rPr>
                <w:rFonts w:ascii="Arial" w:cs="Arial" w:eastAsia="Arial" w:hAnsi="Arial"/>
                <w:sz w:val="20"/>
                <w:szCs w:val="20"/>
                <w:color w:val="auto"/>
              </w:rPr>
              <w:t>Nov 30, 2015</w:t>
            </w:r>
          </w:p>
        </w:tc>
        <w:tc>
          <w:tcPr>
            <w:tcW w:w="12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940" w:type="dxa"/>
            <w:vAlign w:val="bottom"/>
            <w:shd w:val="clear" w:color="auto" w:fill="CCCCFF"/>
          </w:tcPr>
          <w:p>
            <w:pPr>
              <w:spacing w:after="0"/>
              <w:rPr>
                <w:sz w:val="22"/>
                <w:szCs w:val="22"/>
                <w:color w:val="auto"/>
              </w:rPr>
            </w:pPr>
          </w:p>
        </w:tc>
      </w:tr>
      <w:tr>
        <w:trPr>
          <w:trHeight w:val="210"/>
        </w:trPr>
        <w:tc>
          <w:tcPr>
            <w:tcW w:w="340" w:type="dxa"/>
            <w:vAlign w:val="bottom"/>
            <w:tcBorders>
              <w:top w:val="single" w:sz="8" w:color="FFCCCC"/>
            </w:tcBorders>
            <w:shd w:val="clear" w:color="auto" w:fill="FFCCCC"/>
          </w:tcPr>
          <w:p>
            <w:pPr>
              <w:spacing w:after="0"/>
              <w:rPr>
                <w:sz w:val="18"/>
                <w:szCs w:val="18"/>
                <w:color w:val="auto"/>
              </w:rPr>
            </w:pPr>
          </w:p>
        </w:tc>
        <w:tc>
          <w:tcPr>
            <w:tcW w:w="40" w:type="dxa"/>
            <w:vAlign w:val="bottom"/>
            <w:tcBorders>
              <w:top w:val="single" w:sz="8" w:color="FFCCCC"/>
            </w:tcBorders>
            <w:shd w:val="clear" w:color="auto" w:fill="FFCCCC"/>
          </w:tcPr>
          <w:p>
            <w:pPr>
              <w:spacing w:after="0"/>
              <w:rPr>
                <w:sz w:val="18"/>
                <w:szCs w:val="18"/>
                <w:color w:val="auto"/>
              </w:rPr>
            </w:pPr>
          </w:p>
        </w:tc>
        <w:tc>
          <w:tcPr>
            <w:tcW w:w="380" w:type="dxa"/>
            <w:vAlign w:val="bottom"/>
            <w:tcBorders>
              <w:top w:val="single" w:sz="8" w:color="FFCCCC"/>
            </w:tcBorders>
            <w:shd w:val="clear" w:color="auto" w:fill="FFCCCC"/>
          </w:tcPr>
          <w:p>
            <w:pPr>
              <w:spacing w:after="0" w:line="209" w:lineRule="exact"/>
              <w:rPr>
                <w:sz w:val="20"/>
                <w:szCs w:val="20"/>
                <w:color w:val="auto"/>
              </w:rPr>
            </w:pPr>
            <w:r>
              <w:rPr>
                <w:rFonts w:ascii="Arial" w:cs="Arial" w:eastAsia="Arial" w:hAnsi="Arial"/>
                <w:sz w:val="20"/>
                <w:szCs w:val="20"/>
                <w:color w:val="FF0000"/>
                <w:strike w:val="1"/>
                <w:w w:val="80"/>
              </w:rPr>
              <w:t>2013</w:t>
            </w:r>
          </w:p>
        </w:tc>
        <w:tc>
          <w:tcPr>
            <w:tcW w:w="280" w:type="dxa"/>
            <w:vAlign w:val="bottom"/>
            <w:tcBorders>
              <w:top w:val="single" w:sz="8" w:color="FFCCCC"/>
            </w:tcBorders>
            <w:shd w:val="clear" w:color="auto" w:fill="FFCCCC"/>
          </w:tcPr>
          <w:p>
            <w:pPr>
              <w:spacing w:after="0"/>
              <w:rPr>
                <w:sz w:val="18"/>
                <w:szCs w:val="18"/>
                <w:color w:val="auto"/>
              </w:rPr>
            </w:pPr>
          </w:p>
        </w:tc>
        <w:tc>
          <w:tcPr>
            <w:tcW w:w="420" w:type="dxa"/>
            <w:vAlign w:val="bottom"/>
            <w:tcBorders>
              <w:top w:val="single" w:sz="8" w:color="FFCCCC"/>
            </w:tcBorders>
            <w:shd w:val="clear" w:color="auto" w:fill="FFCCCC"/>
          </w:tcPr>
          <w:p>
            <w:pPr>
              <w:spacing w:after="0"/>
              <w:rPr>
                <w:sz w:val="18"/>
                <w:szCs w:val="18"/>
                <w:color w:val="auto"/>
              </w:rPr>
            </w:pPr>
          </w:p>
        </w:tc>
        <w:tc>
          <w:tcPr>
            <w:tcW w:w="1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Borders>
              <w:top w:val="single" w:sz="8" w:color="0000FF"/>
            </w:tcBorders>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3"/>
          </w:tcPr>
          <w:p>
            <w:pPr>
              <w:jc w:val="right"/>
              <w:ind w:right="40"/>
              <w:spacing w:after="0" w:line="209" w:lineRule="exact"/>
              <w:rPr>
                <w:sz w:val="20"/>
                <w:szCs w:val="20"/>
                <w:color w:val="auto"/>
              </w:rPr>
            </w:pPr>
            <w:r>
              <w:rPr>
                <w:rFonts w:ascii="Arial" w:cs="Arial" w:eastAsia="Arial" w:hAnsi="Arial"/>
                <w:sz w:val="20"/>
                <w:szCs w:val="20"/>
                <w:color w:val="FF0000"/>
                <w:strike w:val="1"/>
              </w:rPr>
              <w:t>$4,000,000.00</w:t>
            </w:r>
          </w:p>
        </w:tc>
        <w:tc>
          <w:tcPr>
            <w:tcW w:w="1000" w:type="dxa"/>
            <w:vAlign w:val="bottom"/>
            <w:gridSpan w:val="2"/>
          </w:tcPr>
          <w:p>
            <w:pPr>
              <w:jc w:val="right"/>
              <w:spacing w:after="0" w:line="209" w:lineRule="exact"/>
              <w:rPr>
                <w:sz w:val="20"/>
                <w:szCs w:val="20"/>
                <w:color w:val="auto"/>
              </w:rPr>
            </w:pPr>
            <w:r>
              <w:rPr>
                <w:rFonts w:ascii="Arial" w:cs="Arial" w:eastAsia="Arial" w:hAnsi="Arial"/>
                <w:sz w:val="20"/>
                <w:szCs w:val="20"/>
                <w:color w:val="0000FF"/>
                <w:w w:val="83"/>
              </w:rPr>
              <w:t>1,406,250.00</w:t>
            </w:r>
          </w:p>
        </w:tc>
        <w:tc>
          <w:tcPr>
            <w:tcW w:w="80" w:type="dxa"/>
            <w:vAlign w:val="bottom"/>
          </w:tcPr>
          <w:p>
            <w:pPr>
              <w:spacing w:after="0"/>
              <w:rPr>
                <w:sz w:val="18"/>
                <w:szCs w:val="18"/>
                <w:color w:val="auto"/>
              </w:rPr>
            </w:pPr>
          </w:p>
        </w:tc>
        <w:tc>
          <w:tcPr>
            <w:tcW w:w="660" w:type="dxa"/>
            <w:vAlign w:val="bottom"/>
            <w:gridSpan w:val="2"/>
          </w:tcPr>
          <w:p>
            <w:pPr>
              <w:jc w:val="center"/>
              <w:ind w:left="41"/>
              <w:spacing w:after="0" w:line="209" w:lineRule="exact"/>
              <w:rPr>
                <w:sz w:val="20"/>
                <w:szCs w:val="20"/>
                <w:color w:val="auto"/>
              </w:rPr>
            </w:pPr>
            <w:r>
              <w:rPr>
                <w:rFonts w:ascii="Arial" w:cs="Arial" w:eastAsia="Arial" w:hAnsi="Arial"/>
                <w:sz w:val="20"/>
                <w:szCs w:val="20"/>
                <w:color w:val="FF0000"/>
                <w:strike w:val="1"/>
                <w:w w:val="87"/>
              </w:rPr>
              <w:t>5.000</w:t>
            </w:r>
          </w:p>
        </w:tc>
        <w:tc>
          <w:tcPr>
            <w:tcW w:w="740" w:type="dxa"/>
            <w:vAlign w:val="bottom"/>
            <w:gridSpan w:val="2"/>
          </w:tcPr>
          <w:p>
            <w:pPr>
              <w:jc w:val="right"/>
              <w:ind w:right="180"/>
              <w:spacing w:after="0" w:line="209" w:lineRule="exact"/>
              <w:rPr>
                <w:sz w:val="20"/>
                <w:szCs w:val="20"/>
                <w:color w:val="auto"/>
              </w:rPr>
            </w:pPr>
            <w:r>
              <w:rPr>
                <w:rFonts w:ascii="Arial" w:cs="Arial" w:eastAsia="Arial" w:hAnsi="Arial"/>
                <w:sz w:val="20"/>
                <w:szCs w:val="20"/>
                <w:color w:val="0000FF"/>
                <w:w w:val="79"/>
              </w:rPr>
              <w:t>1.875</w:t>
            </w:r>
            <w:r>
              <w:rPr>
                <w:rFonts w:ascii="Arial" w:cs="Arial" w:eastAsia="Arial" w:hAnsi="Arial"/>
                <w:sz w:val="20"/>
                <w:szCs w:val="20"/>
                <w:color w:val="000000"/>
                <w:w w:val="79"/>
              </w:rPr>
              <w:t>%</w:t>
            </w:r>
          </w:p>
        </w:tc>
        <w:tc>
          <w:tcPr>
            <w:tcW w:w="1640" w:type="dxa"/>
            <w:vAlign w:val="bottom"/>
            <w:gridSpan w:val="3"/>
          </w:tcPr>
          <w:p>
            <w:pPr>
              <w:jc w:val="right"/>
              <w:ind w:right="20"/>
              <w:spacing w:after="0" w:line="209" w:lineRule="exact"/>
              <w:rPr>
                <w:sz w:val="20"/>
                <w:szCs w:val="20"/>
                <w:color w:val="auto"/>
              </w:rPr>
            </w:pPr>
            <w:r>
              <w:rPr>
                <w:rFonts w:ascii="Arial" w:cs="Arial" w:eastAsia="Arial" w:hAnsi="Arial"/>
                <w:sz w:val="20"/>
                <w:szCs w:val="20"/>
                <w:color w:val="0000FF"/>
              </w:rPr>
              <w:t>67,031,250.</w:t>
            </w:r>
            <w:r>
              <w:rPr>
                <w:rFonts w:ascii="Arial" w:cs="Arial" w:eastAsia="Arial" w:hAnsi="Arial"/>
                <w:sz w:val="20"/>
                <w:szCs w:val="20"/>
                <w:u w:val="single" w:color="auto"/>
                <w:color w:val="0000FF"/>
              </w:rPr>
              <w:t>00</w:t>
            </w:r>
          </w:p>
        </w:tc>
        <w:tc>
          <w:tcPr>
            <w:tcW w:w="940" w:type="dxa"/>
            <w:vAlign w:val="bottom"/>
            <w:tcBorders>
              <w:top w:val="single" w:sz="8" w:color="CCCCFF"/>
            </w:tcBorders>
            <w:shd w:val="clear" w:color="auto" w:fill="CCCCFF"/>
          </w:tcPr>
          <w:p>
            <w:pPr>
              <w:spacing w:after="0"/>
              <w:rPr>
                <w:sz w:val="18"/>
                <w:szCs w:val="18"/>
                <w:color w:val="auto"/>
              </w:rPr>
            </w:pPr>
          </w:p>
        </w:tc>
      </w:tr>
      <w:tr>
        <w:trPr>
          <w:trHeight w:val="264"/>
        </w:trPr>
        <w:tc>
          <w:tcPr>
            <w:tcW w:w="340" w:type="dxa"/>
            <w:vAlign w:val="bottom"/>
            <w:tcBorders>
              <w:top w:val="single" w:sz="8" w:color="FFCCCC"/>
            </w:tcBorders>
            <w:shd w:val="clear" w:color="auto" w:fill="FFCCCC"/>
          </w:tcPr>
          <w:p>
            <w:pPr>
              <w:spacing w:after="0"/>
              <w:rPr>
                <w:sz w:val="22"/>
                <w:szCs w:val="22"/>
                <w:color w:val="auto"/>
              </w:rPr>
            </w:pPr>
          </w:p>
        </w:tc>
        <w:tc>
          <w:tcPr>
            <w:tcW w:w="40" w:type="dxa"/>
            <w:vAlign w:val="bottom"/>
            <w:tcBorders>
              <w:top w:val="single" w:sz="8" w:color="FFCCCC"/>
            </w:tcBorders>
            <w:shd w:val="clear" w:color="auto" w:fill="FFCCCC"/>
          </w:tcPr>
          <w:p>
            <w:pPr>
              <w:spacing w:after="0"/>
              <w:rPr>
                <w:sz w:val="22"/>
                <w:szCs w:val="22"/>
                <w:color w:val="auto"/>
              </w:rPr>
            </w:pPr>
          </w:p>
        </w:tc>
        <w:tc>
          <w:tcPr>
            <w:tcW w:w="660" w:type="dxa"/>
            <w:vAlign w:val="bottom"/>
            <w:tcBorders>
              <w:top w:val="single" w:sz="8" w:color="FFCCCC"/>
            </w:tcBorders>
            <w:gridSpan w:val="2"/>
            <w:shd w:val="clear" w:color="auto" w:fill="FFCCCC"/>
          </w:tcPr>
          <w:p>
            <w:pPr>
              <w:spacing w:after="0"/>
              <w:rPr>
                <w:sz w:val="20"/>
                <w:szCs w:val="20"/>
                <w:color w:val="auto"/>
              </w:rPr>
            </w:pPr>
            <w:r>
              <w:rPr>
                <w:rFonts w:ascii="Arial" w:cs="Arial" w:eastAsia="Arial" w:hAnsi="Arial"/>
                <w:sz w:val="20"/>
                <w:szCs w:val="20"/>
                <w:color w:val="FF0000"/>
                <w:strike w:val="1"/>
                <w:w w:val="92"/>
              </w:rPr>
              <w:t>Aug 31,</w:t>
            </w:r>
          </w:p>
        </w:tc>
        <w:tc>
          <w:tcPr>
            <w:tcW w:w="420" w:type="dxa"/>
            <w:vAlign w:val="bottom"/>
            <w:tcBorders>
              <w:top w:val="single" w:sz="8" w:color="FFCCCC"/>
            </w:tcBorders>
            <w:shd w:val="clear" w:color="auto" w:fill="FFCCCC"/>
          </w:tcPr>
          <w:p>
            <w:pPr>
              <w:spacing w:after="0"/>
              <w:rPr>
                <w:sz w:val="22"/>
                <w:szCs w:val="22"/>
                <w:color w:val="auto"/>
              </w:rPr>
            </w:pPr>
          </w:p>
        </w:tc>
        <w:tc>
          <w:tcPr>
            <w:tcW w:w="1180" w:type="dxa"/>
            <w:vAlign w:val="bottom"/>
          </w:tcPr>
          <w:p>
            <w:pPr>
              <w:jc w:val="right"/>
              <w:spacing w:after="0"/>
              <w:rPr>
                <w:sz w:val="20"/>
                <w:szCs w:val="20"/>
                <w:color w:val="auto"/>
              </w:rPr>
            </w:pPr>
            <w:r>
              <w:rPr>
                <w:rFonts w:ascii="Arial" w:cs="Arial" w:eastAsia="Arial" w:hAnsi="Arial"/>
                <w:sz w:val="20"/>
                <w:szCs w:val="20"/>
                <w:color w:val="FF0000"/>
                <w:strike w:val="1"/>
                <w:w w:val="89"/>
              </w:rPr>
              <w:t>$1,500,000.00</w:t>
            </w:r>
          </w:p>
        </w:tc>
        <w:tc>
          <w:tcPr>
            <w:tcW w:w="700" w:type="dxa"/>
            <w:vAlign w:val="bottom"/>
            <w:gridSpan w:val="4"/>
          </w:tcPr>
          <w:p>
            <w:pPr>
              <w:jc w:val="right"/>
              <w:spacing w:after="0"/>
              <w:rPr>
                <w:sz w:val="20"/>
                <w:szCs w:val="20"/>
                <w:color w:val="auto"/>
              </w:rPr>
            </w:pPr>
            <w:r>
              <w:rPr>
                <w:rFonts w:ascii="Arial" w:cs="Arial" w:eastAsia="Arial" w:hAnsi="Arial"/>
                <w:sz w:val="20"/>
                <w:szCs w:val="20"/>
                <w:color w:val="FF0000"/>
                <w:strike w:val="1"/>
              </w:rPr>
              <w:t>1.875%</w:t>
            </w:r>
          </w:p>
        </w:tc>
        <w:tc>
          <w:tcPr>
            <w:tcW w:w="160" w:type="dxa"/>
            <w:vAlign w:val="bottom"/>
            <w:gridSpan w:val="2"/>
          </w:tcPr>
          <w:p>
            <w:pPr>
              <w:jc w:val="center"/>
              <w:ind w:right="60"/>
              <w:spacing w:after="0"/>
              <w:rPr>
                <w:sz w:val="20"/>
                <w:szCs w:val="20"/>
                <w:color w:val="auto"/>
              </w:rPr>
            </w:pPr>
            <w:r>
              <w:rPr>
                <w:rFonts w:ascii="Arial" w:cs="Arial" w:eastAsia="Arial" w:hAnsi="Arial"/>
                <w:sz w:val="20"/>
                <w:szCs w:val="20"/>
                <w:color w:val="0000FF"/>
                <w:w w:val="89"/>
              </w:rPr>
              <w:t>8</w:t>
            </w:r>
          </w:p>
        </w:tc>
        <w:tc>
          <w:tcPr>
            <w:tcW w:w="220" w:type="dxa"/>
            <w:vAlign w:val="bottom"/>
          </w:tcPr>
          <w:p>
            <w:pPr>
              <w:spacing w:after="0"/>
              <w:rPr>
                <w:sz w:val="22"/>
                <w:szCs w:val="22"/>
                <w:color w:val="auto"/>
              </w:rPr>
            </w:pPr>
          </w:p>
        </w:tc>
        <w:tc>
          <w:tcPr>
            <w:tcW w:w="1240" w:type="dxa"/>
            <w:vAlign w:val="bottom"/>
            <w:gridSpan w:val="2"/>
          </w:tcPr>
          <w:p>
            <w:pPr>
              <w:spacing w:after="0"/>
              <w:rPr>
                <w:sz w:val="20"/>
                <w:szCs w:val="20"/>
                <w:color w:val="auto"/>
              </w:rPr>
            </w:pPr>
            <w:r>
              <w:rPr>
                <w:rFonts w:ascii="Arial" w:cs="Arial" w:eastAsia="Arial" w:hAnsi="Arial"/>
                <w:sz w:val="20"/>
                <w:szCs w:val="20"/>
                <w:color w:val="auto"/>
              </w:rPr>
              <w:t>Feb 29, 2016</w:t>
            </w:r>
          </w:p>
        </w:tc>
        <w:tc>
          <w:tcPr>
            <w:tcW w:w="12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0" w:type="dxa"/>
            <w:vAlign w:val="bottom"/>
            <w:tcBorders>
              <w:top w:val="single" w:sz="8" w:color="0000FF"/>
            </w:tcBorders>
          </w:tcPr>
          <w:p>
            <w:pPr>
              <w:spacing w:after="0"/>
              <w:rPr>
                <w:sz w:val="22"/>
                <w:szCs w:val="22"/>
                <w:color w:val="auto"/>
              </w:rPr>
            </w:pPr>
          </w:p>
        </w:tc>
        <w:tc>
          <w:tcPr>
            <w:tcW w:w="900" w:type="dxa"/>
            <w:vAlign w:val="bottom"/>
            <w:tcBorders>
              <w:top w:val="single" w:sz="8" w:color="0000FF"/>
            </w:tcBorders>
          </w:tcPr>
          <w:p>
            <w:pPr>
              <w:spacing w:after="0"/>
              <w:rPr>
                <w:sz w:val="22"/>
                <w:szCs w:val="22"/>
                <w:color w:val="auto"/>
              </w:rPr>
            </w:pPr>
          </w:p>
        </w:tc>
        <w:tc>
          <w:tcPr>
            <w:tcW w:w="8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400" w:type="dxa"/>
            <w:vAlign w:val="bottom"/>
            <w:tcBorders>
              <w:top w:val="single" w:sz="8" w:color="0000FF"/>
            </w:tcBorders>
          </w:tcPr>
          <w:p>
            <w:pPr>
              <w:spacing w:after="0"/>
              <w:rPr>
                <w:sz w:val="22"/>
                <w:szCs w:val="22"/>
                <w:color w:val="auto"/>
              </w:rPr>
            </w:pPr>
          </w:p>
        </w:tc>
        <w:tc>
          <w:tcPr>
            <w:tcW w:w="34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140" w:type="dxa"/>
            <w:vAlign w:val="bottom"/>
            <w:tcBorders>
              <w:top w:val="single" w:sz="8" w:color="0000FF"/>
            </w:tcBorders>
          </w:tcPr>
          <w:p>
            <w:pPr>
              <w:spacing w:after="0"/>
              <w:rPr>
                <w:sz w:val="22"/>
                <w:szCs w:val="22"/>
                <w:color w:val="auto"/>
              </w:rPr>
            </w:pPr>
          </w:p>
        </w:tc>
        <w:tc>
          <w:tcPr>
            <w:tcW w:w="20" w:type="dxa"/>
            <w:vAlign w:val="bottom"/>
          </w:tcPr>
          <w:p>
            <w:pPr>
              <w:spacing w:after="0"/>
              <w:rPr>
                <w:sz w:val="22"/>
                <w:szCs w:val="22"/>
                <w:color w:val="auto"/>
              </w:rPr>
            </w:pPr>
          </w:p>
        </w:tc>
        <w:tc>
          <w:tcPr>
            <w:tcW w:w="940" w:type="dxa"/>
            <w:vAlign w:val="bottom"/>
            <w:tcBorders>
              <w:top w:val="single" w:sz="8" w:color="CCCCFF"/>
            </w:tcBorders>
            <w:shd w:val="clear" w:color="auto" w:fill="CCCCFF"/>
          </w:tcPr>
          <w:p>
            <w:pPr>
              <w:spacing w:after="0"/>
              <w:rPr>
                <w:sz w:val="22"/>
                <w:szCs w:val="22"/>
                <w:color w:val="auto"/>
              </w:rPr>
            </w:pPr>
          </w:p>
        </w:tc>
      </w:tr>
      <w:tr>
        <w:trPr>
          <w:trHeight w:val="210"/>
        </w:trPr>
        <w:tc>
          <w:tcPr>
            <w:tcW w:w="340" w:type="dxa"/>
            <w:vAlign w:val="bottom"/>
            <w:tcBorders>
              <w:top w:val="single" w:sz="8" w:color="FFCCCC"/>
            </w:tcBorders>
            <w:shd w:val="clear" w:color="auto" w:fill="FFCCCC"/>
          </w:tcPr>
          <w:p>
            <w:pPr>
              <w:spacing w:after="0"/>
              <w:rPr>
                <w:sz w:val="18"/>
                <w:szCs w:val="18"/>
                <w:color w:val="auto"/>
              </w:rPr>
            </w:pPr>
          </w:p>
        </w:tc>
        <w:tc>
          <w:tcPr>
            <w:tcW w:w="40" w:type="dxa"/>
            <w:vAlign w:val="bottom"/>
            <w:tcBorders>
              <w:top w:val="single" w:sz="8" w:color="FFCCCC"/>
            </w:tcBorders>
            <w:shd w:val="clear" w:color="auto" w:fill="FFCCCC"/>
          </w:tcPr>
          <w:p>
            <w:pPr>
              <w:spacing w:after="0"/>
              <w:rPr>
                <w:sz w:val="18"/>
                <w:szCs w:val="18"/>
                <w:color w:val="auto"/>
              </w:rPr>
            </w:pPr>
          </w:p>
        </w:tc>
        <w:tc>
          <w:tcPr>
            <w:tcW w:w="380" w:type="dxa"/>
            <w:vAlign w:val="bottom"/>
            <w:tcBorders>
              <w:top w:val="single" w:sz="8" w:color="FFCCCC"/>
            </w:tcBorders>
            <w:shd w:val="clear" w:color="auto" w:fill="FFCCCC"/>
          </w:tcPr>
          <w:p>
            <w:pPr>
              <w:spacing w:after="0" w:line="209" w:lineRule="exact"/>
              <w:rPr>
                <w:sz w:val="20"/>
                <w:szCs w:val="20"/>
                <w:color w:val="auto"/>
              </w:rPr>
            </w:pPr>
            <w:r>
              <w:rPr>
                <w:rFonts w:ascii="Arial" w:cs="Arial" w:eastAsia="Arial" w:hAnsi="Arial"/>
                <w:sz w:val="20"/>
                <w:szCs w:val="20"/>
                <w:color w:val="FF0000"/>
                <w:strike w:val="1"/>
                <w:w w:val="80"/>
              </w:rPr>
              <w:t>2013</w:t>
            </w:r>
          </w:p>
        </w:tc>
        <w:tc>
          <w:tcPr>
            <w:tcW w:w="280" w:type="dxa"/>
            <w:vAlign w:val="bottom"/>
            <w:tcBorders>
              <w:top w:val="single" w:sz="8" w:color="FFCCCC"/>
            </w:tcBorders>
            <w:shd w:val="clear" w:color="auto" w:fill="FFCCCC"/>
          </w:tcPr>
          <w:p>
            <w:pPr>
              <w:spacing w:after="0"/>
              <w:rPr>
                <w:sz w:val="18"/>
                <w:szCs w:val="18"/>
                <w:color w:val="auto"/>
              </w:rPr>
            </w:pPr>
          </w:p>
        </w:tc>
        <w:tc>
          <w:tcPr>
            <w:tcW w:w="420" w:type="dxa"/>
            <w:vAlign w:val="bottom"/>
            <w:tcBorders>
              <w:top w:val="single" w:sz="8" w:color="FFCCCC"/>
            </w:tcBorders>
            <w:shd w:val="clear" w:color="auto" w:fill="FFCCCC"/>
          </w:tcPr>
          <w:p>
            <w:pPr>
              <w:spacing w:after="0"/>
              <w:rPr>
                <w:sz w:val="18"/>
                <w:szCs w:val="18"/>
                <w:color w:val="auto"/>
              </w:rPr>
            </w:pPr>
          </w:p>
        </w:tc>
        <w:tc>
          <w:tcPr>
            <w:tcW w:w="1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Borders>
              <w:top w:val="single" w:sz="8" w:color="0000FF"/>
            </w:tcBorders>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3"/>
          </w:tcPr>
          <w:p>
            <w:pPr>
              <w:jc w:val="right"/>
              <w:ind w:right="40"/>
              <w:spacing w:after="0" w:line="209" w:lineRule="exact"/>
              <w:rPr>
                <w:sz w:val="20"/>
                <w:szCs w:val="20"/>
                <w:color w:val="auto"/>
              </w:rPr>
            </w:pPr>
            <w:r>
              <w:rPr>
                <w:rFonts w:ascii="Arial" w:cs="Arial" w:eastAsia="Arial" w:hAnsi="Arial"/>
                <w:sz w:val="20"/>
                <w:szCs w:val="20"/>
                <w:color w:val="FF0000"/>
                <w:strike w:val="1"/>
              </w:rPr>
              <w:t>$4,000,000.00</w:t>
            </w:r>
          </w:p>
        </w:tc>
        <w:tc>
          <w:tcPr>
            <w:tcW w:w="1000" w:type="dxa"/>
            <w:vAlign w:val="bottom"/>
            <w:gridSpan w:val="2"/>
          </w:tcPr>
          <w:p>
            <w:pPr>
              <w:jc w:val="right"/>
              <w:spacing w:after="0" w:line="209" w:lineRule="exact"/>
              <w:rPr>
                <w:sz w:val="20"/>
                <w:szCs w:val="20"/>
                <w:color w:val="auto"/>
              </w:rPr>
            </w:pPr>
            <w:r>
              <w:rPr>
                <w:rFonts w:ascii="Arial" w:cs="Arial" w:eastAsia="Arial" w:hAnsi="Arial"/>
                <w:sz w:val="20"/>
                <w:szCs w:val="20"/>
                <w:color w:val="0000FF"/>
                <w:w w:val="83"/>
              </w:rPr>
              <w:t>1,406,250.00</w:t>
            </w:r>
          </w:p>
        </w:tc>
        <w:tc>
          <w:tcPr>
            <w:tcW w:w="80" w:type="dxa"/>
            <w:vAlign w:val="bottom"/>
          </w:tcPr>
          <w:p>
            <w:pPr>
              <w:spacing w:after="0"/>
              <w:rPr>
                <w:sz w:val="18"/>
                <w:szCs w:val="18"/>
                <w:color w:val="auto"/>
              </w:rPr>
            </w:pPr>
          </w:p>
        </w:tc>
        <w:tc>
          <w:tcPr>
            <w:tcW w:w="660" w:type="dxa"/>
            <w:vAlign w:val="bottom"/>
            <w:gridSpan w:val="2"/>
          </w:tcPr>
          <w:p>
            <w:pPr>
              <w:jc w:val="center"/>
              <w:ind w:left="41"/>
              <w:spacing w:after="0" w:line="209" w:lineRule="exact"/>
              <w:rPr>
                <w:sz w:val="20"/>
                <w:szCs w:val="20"/>
                <w:color w:val="auto"/>
              </w:rPr>
            </w:pPr>
            <w:r>
              <w:rPr>
                <w:rFonts w:ascii="Arial" w:cs="Arial" w:eastAsia="Arial" w:hAnsi="Arial"/>
                <w:sz w:val="20"/>
                <w:szCs w:val="20"/>
                <w:color w:val="FF0000"/>
                <w:strike w:val="1"/>
                <w:w w:val="87"/>
              </w:rPr>
              <w:t>5.000</w:t>
            </w:r>
          </w:p>
        </w:tc>
        <w:tc>
          <w:tcPr>
            <w:tcW w:w="740" w:type="dxa"/>
            <w:vAlign w:val="bottom"/>
            <w:gridSpan w:val="2"/>
          </w:tcPr>
          <w:p>
            <w:pPr>
              <w:jc w:val="right"/>
              <w:ind w:right="180"/>
              <w:spacing w:after="0" w:line="209" w:lineRule="exact"/>
              <w:rPr>
                <w:sz w:val="20"/>
                <w:szCs w:val="20"/>
                <w:color w:val="auto"/>
              </w:rPr>
            </w:pPr>
            <w:r>
              <w:rPr>
                <w:rFonts w:ascii="Arial" w:cs="Arial" w:eastAsia="Arial" w:hAnsi="Arial"/>
                <w:sz w:val="20"/>
                <w:szCs w:val="20"/>
                <w:color w:val="0000FF"/>
                <w:w w:val="79"/>
              </w:rPr>
              <w:t>1.875</w:t>
            </w:r>
            <w:r>
              <w:rPr>
                <w:rFonts w:ascii="Arial" w:cs="Arial" w:eastAsia="Arial" w:hAnsi="Arial"/>
                <w:sz w:val="20"/>
                <w:szCs w:val="20"/>
                <w:color w:val="000000"/>
                <w:w w:val="79"/>
              </w:rPr>
              <w:t>%</w:t>
            </w:r>
          </w:p>
        </w:tc>
        <w:tc>
          <w:tcPr>
            <w:tcW w:w="1640" w:type="dxa"/>
            <w:vAlign w:val="bottom"/>
            <w:gridSpan w:val="3"/>
          </w:tcPr>
          <w:p>
            <w:pPr>
              <w:jc w:val="right"/>
              <w:ind w:right="20"/>
              <w:spacing w:after="0" w:line="209" w:lineRule="exact"/>
              <w:rPr>
                <w:sz w:val="20"/>
                <w:szCs w:val="20"/>
                <w:color w:val="auto"/>
              </w:rPr>
            </w:pPr>
            <w:r>
              <w:rPr>
                <w:rFonts w:ascii="Arial" w:cs="Arial" w:eastAsia="Arial" w:hAnsi="Arial"/>
                <w:sz w:val="20"/>
                <w:szCs w:val="20"/>
                <w:color w:val="0000FF"/>
              </w:rPr>
              <w:t>65,625,000.</w:t>
            </w:r>
            <w:r>
              <w:rPr>
                <w:rFonts w:ascii="Arial" w:cs="Arial" w:eastAsia="Arial" w:hAnsi="Arial"/>
                <w:sz w:val="20"/>
                <w:szCs w:val="20"/>
                <w:u w:val="single" w:color="auto"/>
                <w:color w:val="0000FF"/>
              </w:rPr>
              <w:t>00</w:t>
            </w:r>
          </w:p>
        </w:tc>
        <w:tc>
          <w:tcPr>
            <w:tcW w:w="940" w:type="dxa"/>
            <w:vAlign w:val="bottom"/>
            <w:tcBorders>
              <w:top w:val="single" w:sz="8" w:color="CCCCFF"/>
            </w:tcBorders>
            <w:shd w:val="clear" w:color="auto" w:fill="CCCCFF"/>
          </w:tcPr>
          <w:p>
            <w:pPr>
              <w:spacing w:after="0"/>
              <w:rPr>
                <w:sz w:val="18"/>
                <w:szCs w:val="18"/>
                <w:color w:val="auto"/>
              </w:rPr>
            </w:pPr>
          </w:p>
        </w:tc>
      </w:tr>
      <w:tr>
        <w:trPr>
          <w:trHeight w:val="264"/>
        </w:trPr>
        <w:tc>
          <w:tcPr>
            <w:tcW w:w="340" w:type="dxa"/>
            <w:vAlign w:val="bottom"/>
            <w:tcBorders>
              <w:top w:val="single" w:sz="8" w:color="FFCCCC"/>
            </w:tcBorders>
            <w:shd w:val="clear" w:color="auto" w:fill="FFCCCC"/>
          </w:tcPr>
          <w:p>
            <w:pPr>
              <w:spacing w:after="0"/>
              <w:rPr>
                <w:sz w:val="22"/>
                <w:szCs w:val="22"/>
                <w:color w:val="auto"/>
              </w:rPr>
            </w:pPr>
          </w:p>
        </w:tc>
        <w:tc>
          <w:tcPr>
            <w:tcW w:w="40" w:type="dxa"/>
            <w:vAlign w:val="bottom"/>
            <w:tcBorders>
              <w:top w:val="single" w:sz="8" w:color="FFCCCC"/>
            </w:tcBorders>
            <w:shd w:val="clear" w:color="auto" w:fill="FFCCCC"/>
          </w:tcPr>
          <w:p>
            <w:pPr>
              <w:spacing w:after="0"/>
              <w:rPr>
                <w:sz w:val="22"/>
                <w:szCs w:val="22"/>
                <w:color w:val="auto"/>
              </w:rPr>
            </w:pPr>
          </w:p>
        </w:tc>
        <w:tc>
          <w:tcPr>
            <w:tcW w:w="660" w:type="dxa"/>
            <w:vAlign w:val="bottom"/>
            <w:tcBorders>
              <w:top w:val="single" w:sz="8" w:color="FFCCCC"/>
            </w:tcBorders>
            <w:gridSpan w:val="2"/>
            <w:shd w:val="clear" w:color="auto" w:fill="FFCCCC"/>
          </w:tcPr>
          <w:p>
            <w:pPr>
              <w:spacing w:after="0"/>
              <w:rPr>
                <w:sz w:val="20"/>
                <w:szCs w:val="20"/>
                <w:color w:val="auto"/>
              </w:rPr>
            </w:pPr>
            <w:r>
              <w:rPr>
                <w:rFonts w:ascii="Arial" w:cs="Arial" w:eastAsia="Arial" w:hAnsi="Arial"/>
                <w:sz w:val="20"/>
                <w:szCs w:val="20"/>
                <w:color w:val="FF0000"/>
                <w:strike w:val="1"/>
                <w:w w:val="92"/>
              </w:rPr>
              <w:t>Nov 30,</w:t>
            </w:r>
          </w:p>
        </w:tc>
        <w:tc>
          <w:tcPr>
            <w:tcW w:w="420" w:type="dxa"/>
            <w:vAlign w:val="bottom"/>
            <w:tcBorders>
              <w:top w:val="single" w:sz="8" w:color="FFCCCC"/>
            </w:tcBorders>
            <w:shd w:val="clear" w:color="auto" w:fill="FFCCCC"/>
          </w:tcPr>
          <w:p>
            <w:pPr>
              <w:spacing w:after="0"/>
              <w:rPr>
                <w:sz w:val="22"/>
                <w:szCs w:val="22"/>
                <w:color w:val="auto"/>
              </w:rPr>
            </w:pPr>
          </w:p>
        </w:tc>
        <w:tc>
          <w:tcPr>
            <w:tcW w:w="1180" w:type="dxa"/>
            <w:vAlign w:val="bottom"/>
          </w:tcPr>
          <w:p>
            <w:pPr>
              <w:jc w:val="right"/>
              <w:spacing w:after="0"/>
              <w:rPr>
                <w:sz w:val="20"/>
                <w:szCs w:val="20"/>
                <w:color w:val="auto"/>
              </w:rPr>
            </w:pPr>
            <w:r>
              <w:rPr>
                <w:rFonts w:ascii="Arial" w:cs="Arial" w:eastAsia="Arial" w:hAnsi="Arial"/>
                <w:sz w:val="20"/>
                <w:szCs w:val="20"/>
                <w:color w:val="FF0000"/>
                <w:strike w:val="1"/>
                <w:w w:val="89"/>
              </w:rPr>
              <w:t>$2,000,000.00</w:t>
            </w:r>
          </w:p>
        </w:tc>
        <w:tc>
          <w:tcPr>
            <w:tcW w:w="700" w:type="dxa"/>
            <w:vAlign w:val="bottom"/>
            <w:gridSpan w:val="4"/>
          </w:tcPr>
          <w:p>
            <w:pPr>
              <w:jc w:val="right"/>
              <w:spacing w:after="0"/>
              <w:rPr>
                <w:sz w:val="20"/>
                <w:szCs w:val="20"/>
                <w:color w:val="auto"/>
              </w:rPr>
            </w:pPr>
            <w:r>
              <w:rPr>
                <w:rFonts w:ascii="Arial" w:cs="Arial" w:eastAsia="Arial" w:hAnsi="Arial"/>
                <w:sz w:val="20"/>
                <w:szCs w:val="20"/>
                <w:color w:val="FF0000"/>
                <w:strike w:val="1"/>
              </w:rPr>
              <w:t>2.500%</w:t>
            </w:r>
          </w:p>
        </w:tc>
        <w:tc>
          <w:tcPr>
            <w:tcW w:w="160" w:type="dxa"/>
            <w:vAlign w:val="bottom"/>
            <w:gridSpan w:val="2"/>
          </w:tcPr>
          <w:p>
            <w:pPr>
              <w:jc w:val="center"/>
              <w:ind w:right="60"/>
              <w:spacing w:after="0"/>
              <w:rPr>
                <w:sz w:val="20"/>
                <w:szCs w:val="20"/>
                <w:color w:val="auto"/>
              </w:rPr>
            </w:pPr>
            <w:r>
              <w:rPr>
                <w:rFonts w:ascii="Arial" w:cs="Arial" w:eastAsia="Arial" w:hAnsi="Arial"/>
                <w:sz w:val="20"/>
                <w:szCs w:val="20"/>
                <w:color w:val="0000FF"/>
                <w:w w:val="89"/>
              </w:rPr>
              <w:t>9</w:t>
            </w:r>
          </w:p>
        </w:tc>
        <w:tc>
          <w:tcPr>
            <w:tcW w:w="220" w:type="dxa"/>
            <w:vAlign w:val="bottom"/>
          </w:tcPr>
          <w:p>
            <w:pPr>
              <w:spacing w:after="0"/>
              <w:rPr>
                <w:sz w:val="22"/>
                <w:szCs w:val="22"/>
                <w:color w:val="auto"/>
              </w:rPr>
            </w:pPr>
          </w:p>
        </w:tc>
        <w:tc>
          <w:tcPr>
            <w:tcW w:w="1240" w:type="dxa"/>
            <w:vAlign w:val="bottom"/>
            <w:gridSpan w:val="2"/>
          </w:tcPr>
          <w:p>
            <w:pPr>
              <w:spacing w:after="0"/>
              <w:rPr>
                <w:sz w:val="20"/>
                <w:szCs w:val="20"/>
                <w:color w:val="auto"/>
              </w:rPr>
            </w:pPr>
            <w:r>
              <w:rPr>
                <w:rFonts w:ascii="Arial" w:cs="Arial" w:eastAsia="Arial" w:hAnsi="Arial"/>
                <w:sz w:val="20"/>
                <w:szCs w:val="20"/>
                <w:color w:val="auto"/>
              </w:rPr>
              <w:t>May 31, 2016</w:t>
            </w:r>
          </w:p>
        </w:tc>
        <w:tc>
          <w:tcPr>
            <w:tcW w:w="12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0" w:type="dxa"/>
            <w:vAlign w:val="bottom"/>
            <w:tcBorders>
              <w:top w:val="single" w:sz="8" w:color="0000FF"/>
            </w:tcBorders>
          </w:tcPr>
          <w:p>
            <w:pPr>
              <w:spacing w:after="0"/>
              <w:rPr>
                <w:sz w:val="22"/>
                <w:szCs w:val="22"/>
                <w:color w:val="auto"/>
              </w:rPr>
            </w:pPr>
          </w:p>
        </w:tc>
        <w:tc>
          <w:tcPr>
            <w:tcW w:w="900" w:type="dxa"/>
            <w:vAlign w:val="bottom"/>
            <w:tcBorders>
              <w:top w:val="single" w:sz="8" w:color="0000FF"/>
            </w:tcBorders>
          </w:tcPr>
          <w:p>
            <w:pPr>
              <w:spacing w:after="0"/>
              <w:rPr>
                <w:sz w:val="22"/>
                <w:szCs w:val="22"/>
                <w:color w:val="auto"/>
              </w:rPr>
            </w:pPr>
          </w:p>
        </w:tc>
        <w:tc>
          <w:tcPr>
            <w:tcW w:w="8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400" w:type="dxa"/>
            <w:vAlign w:val="bottom"/>
            <w:tcBorders>
              <w:top w:val="single" w:sz="8" w:color="0000FF"/>
            </w:tcBorders>
          </w:tcPr>
          <w:p>
            <w:pPr>
              <w:spacing w:after="0"/>
              <w:rPr>
                <w:sz w:val="22"/>
                <w:szCs w:val="22"/>
                <w:color w:val="auto"/>
              </w:rPr>
            </w:pPr>
          </w:p>
        </w:tc>
        <w:tc>
          <w:tcPr>
            <w:tcW w:w="34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140" w:type="dxa"/>
            <w:vAlign w:val="bottom"/>
            <w:tcBorders>
              <w:top w:val="single" w:sz="8" w:color="0000FF"/>
            </w:tcBorders>
          </w:tcPr>
          <w:p>
            <w:pPr>
              <w:spacing w:after="0"/>
              <w:rPr>
                <w:sz w:val="22"/>
                <w:szCs w:val="22"/>
                <w:color w:val="auto"/>
              </w:rPr>
            </w:pPr>
          </w:p>
        </w:tc>
        <w:tc>
          <w:tcPr>
            <w:tcW w:w="20" w:type="dxa"/>
            <w:vAlign w:val="bottom"/>
          </w:tcPr>
          <w:p>
            <w:pPr>
              <w:spacing w:after="0"/>
              <w:rPr>
                <w:sz w:val="22"/>
                <w:szCs w:val="22"/>
                <w:color w:val="auto"/>
              </w:rPr>
            </w:pPr>
          </w:p>
        </w:tc>
        <w:tc>
          <w:tcPr>
            <w:tcW w:w="940" w:type="dxa"/>
            <w:vAlign w:val="bottom"/>
            <w:tcBorders>
              <w:top w:val="single" w:sz="8" w:color="CCCCFF"/>
            </w:tcBorders>
            <w:shd w:val="clear" w:color="auto" w:fill="CCCCFF"/>
          </w:tcPr>
          <w:p>
            <w:pPr>
              <w:spacing w:after="0"/>
              <w:rPr>
                <w:sz w:val="22"/>
                <w:szCs w:val="22"/>
                <w:color w:val="auto"/>
              </w:rPr>
            </w:pPr>
          </w:p>
        </w:tc>
      </w:tr>
      <w:tr>
        <w:trPr>
          <w:trHeight w:val="210"/>
        </w:trPr>
        <w:tc>
          <w:tcPr>
            <w:tcW w:w="340" w:type="dxa"/>
            <w:vAlign w:val="bottom"/>
            <w:tcBorders>
              <w:top w:val="single" w:sz="8" w:color="FFCCCC"/>
            </w:tcBorders>
            <w:shd w:val="clear" w:color="auto" w:fill="FFCCCC"/>
          </w:tcPr>
          <w:p>
            <w:pPr>
              <w:spacing w:after="0"/>
              <w:rPr>
                <w:sz w:val="18"/>
                <w:szCs w:val="18"/>
                <w:color w:val="auto"/>
              </w:rPr>
            </w:pPr>
          </w:p>
        </w:tc>
        <w:tc>
          <w:tcPr>
            <w:tcW w:w="40" w:type="dxa"/>
            <w:vAlign w:val="bottom"/>
            <w:tcBorders>
              <w:top w:val="single" w:sz="8" w:color="FFCCCC"/>
            </w:tcBorders>
            <w:shd w:val="clear" w:color="auto" w:fill="FFCCCC"/>
          </w:tcPr>
          <w:p>
            <w:pPr>
              <w:spacing w:after="0"/>
              <w:rPr>
                <w:sz w:val="18"/>
                <w:szCs w:val="18"/>
                <w:color w:val="auto"/>
              </w:rPr>
            </w:pPr>
          </w:p>
        </w:tc>
        <w:tc>
          <w:tcPr>
            <w:tcW w:w="380" w:type="dxa"/>
            <w:vAlign w:val="bottom"/>
            <w:tcBorders>
              <w:top w:val="single" w:sz="8" w:color="FFCCCC"/>
            </w:tcBorders>
            <w:shd w:val="clear" w:color="auto" w:fill="FFCCCC"/>
          </w:tcPr>
          <w:p>
            <w:pPr>
              <w:spacing w:after="0" w:line="209" w:lineRule="exact"/>
              <w:rPr>
                <w:sz w:val="20"/>
                <w:szCs w:val="20"/>
                <w:color w:val="auto"/>
              </w:rPr>
            </w:pPr>
            <w:r>
              <w:rPr>
                <w:rFonts w:ascii="Arial" w:cs="Arial" w:eastAsia="Arial" w:hAnsi="Arial"/>
                <w:sz w:val="20"/>
                <w:szCs w:val="20"/>
                <w:color w:val="FF0000"/>
                <w:strike w:val="1"/>
                <w:w w:val="80"/>
              </w:rPr>
              <w:t>2013</w:t>
            </w:r>
          </w:p>
        </w:tc>
        <w:tc>
          <w:tcPr>
            <w:tcW w:w="280" w:type="dxa"/>
            <w:vAlign w:val="bottom"/>
            <w:tcBorders>
              <w:top w:val="single" w:sz="8" w:color="FFCCCC"/>
            </w:tcBorders>
            <w:shd w:val="clear" w:color="auto" w:fill="FFCCCC"/>
          </w:tcPr>
          <w:p>
            <w:pPr>
              <w:spacing w:after="0"/>
              <w:rPr>
                <w:sz w:val="18"/>
                <w:szCs w:val="18"/>
                <w:color w:val="auto"/>
              </w:rPr>
            </w:pPr>
          </w:p>
        </w:tc>
        <w:tc>
          <w:tcPr>
            <w:tcW w:w="420" w:type="dxa"/>
            <w:vAlign w:val="bottom"/>
            <w:tcBorders>
              <w:top w:val="single" w:sz="8" w:color="FFCCCC"/>
            </w:tcBorders>
            <w:shd w:val="clear" w:color="auto" w:fill="FFCCCC"/>
          </w:tcPr>
          <w:p>
            <w:pPr>
              <w:spacing w:after="0"/>
              <w:rPr>
                <w:sz w:val="18"/>
                <w:szCs w:val="18"/>
                <w:color w:val="auto"/>
              </w:rPr>
            </w:pPr>
          </w:p>
        </w:tc>
        <w:tc>
          <w:tcPr>
            <w:tcW w:w="1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Borders>
              <w:top w:val="single" w:sz="8" w:color="0000FF"/>
            </w:tcBorders>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3"/>
          </w:tcPr>
          <w:p>
            <w:pPr>
              <w:jc w:val="right"/>
              <w:ind w:right="40"/>
              <w:spacing w:after="0" w:line="209" w:lineRule="exact"/>
              <w:rPr>
                <w:sz w:val="20"/>
                <w:szCs w:val="20"/>
                <w:color w:val="auto"/>
              </w:rPr>
            </w:pPr>
            <w:r>
              <w:rPr>
                <w:rFonts w:ascii="Arial" w:cs="Arial" w:eastAsia="Arial" w:hAnsi="Arial"/>
                <w:sz w:val="20"/>
                <w:szCs w:val="20"/>
                <w:color w:val="FF0000"/>
                <w:strike w:val="1"/>
              </w:rPr>
              <w:t>$4,000,000.00</w:t>
            </w:r>
          </w:p>
        </w:tc>
        <w:tc>
          <w:tcPr>
            <w:tcW w:w="1000" w:type="dxa"/>
            <w:vAlign w:val="bottom"/>
            <w:gridSpan w:val="2"/>
          </w:tcPr>
          <w:p>
            <w:pPr>
              <w:jc w:val="right"/>
              <w:spacing w:after="0" w:line="209" w:lineRule="exact"/>
              <w:rPr>
                <w:sz w:val="20"/>
                <w:szCs w:val="20"/>
                <w:color w:val="auto"/>
              </w:rPr>
            </w:pPr>
            <w:r>
              <w:rPr>
                <w:rFonts w:ascii="Arial" w:cs="Arial" w:eastAsia="Arial" w:hAnsi="Arial"/>
                <w:sz w:val="20"/>
                <w:szCs w:val="20"/>
                <w:color w:val="0000FF"/>
                <w:w w:val="83"/>
              </w:rPr>
              <w:t>1,875,000.00</w:t>
            </w:r>
          </w:p>
        </w:tc>
        <w:tc>
          <w:tcPr>
            <w:tcW w:w="80" w:type="dxa"/>
            <w:vAlign w:val="bottom"/>
          </w:tcPr>
          <w:p>
            <w:pPr>
              <w:spacing w:after="0"/>
              <w:rPr>
                <w:sz w:val="18"/>
                <w:szCs w:val="18"/>
                <w:color w:val="auto"/>
              </w:rPr>
            </w:pPr>
          </w:p>
        </w:tc>
        <w:tc>
          <w:tcPr>
            <w:tcW w:w="660" w:type="dxa"/>
            <w:vAlign w:val="bottom"/>
            <w:gridSpan w:val="2"/>
          </w:tcPr>
          <w:p>
            <w:pPr>
              <w:jc w:val="center"/>
              <w:ind w:left="41"/>
              <w:spacing w:after="0" w:line="209" w:lineRule="exact"/>
              <w:rPr>
                <w:sz w:val="20"/>
                <w:szCs w:val="20"/>
                <w:color w:val="auto"/>
              </w:rPr>
            </w:pPr>
            <w:r>
              <w:rPr>
                <w:rFonts w:ascii="Arial" w:cs="Arial" w:eastAsia="Arial" w:hAnsi="Arial"/>
                <w:sz w:val="20"/>
                <w:szCs w:val="20"/>
                <w:color w:val="FF0000"/>
                <w:strike w:val="1"/>
                <w:w w:val="87"/>
              </w:rPr>
              <w:t>5.000</w:t>
            </w:r>
          </w:p>
        </w:tc>
        <w:tc>
          <w:tcPr>
            <w:tcW w:w="740" w:type="dxa"/>
            <w:vAlign w:val="bottom"/>
            <w:gridSpan w:val="2"/>
          </w:tcPr>
          <w:p>
            <w:pPr>
              <w:jc w:val="right"/>
              <w:ind w:right="180"/>
              <w:spacing w:after="0" w:line="209" w:lineRule="exact"/>
              <w:rPr>
                <w:sz w:val="20"/>
                <w:szCs w:val="20"/>
                <w:color w:val="auto"/>
              </w:rPr>
            </w:pPr>
            <w:r>
              <w:rPr>
                <w:rFonts w:ascii="Arial" w:cs="Arial" w:eastAsia="Arial" w:hAnsi="Arial"/>
                <w:sz w:val="20"/>
                <w:szCs w:val="20"/>
                <w:color w:val="0000FF"/>
                <w:w w:val="79"/>
              </w:rPr>
              <w:t>2.500</w:t>
            </w:r>
            <w:r>
              <w:rPr>
                <w:rFonts w:ascii="Arial" w:cs="Arial" w:eastAsia="Arial" w:hAnsi="Arial"/>
                <w:sz w:val="20"/>
                <w:szCs w:val="20"/>
                <w:color w:val="000000"/>
                <w:w w:val="79"/>
              </w:rPr>
              <w:t>%</w:t>
            </w:r>
          </w:p>
        </w:tc>
        <w:tc>
          <w:tcPr>
            <w:tcW w:w="1640" w:type="dxa"/>
            <w:vAlign w:val="bottom"/>
            <w:gridSpan w:val="3"/>
          </w:tcPr>
          <w:p>
            <w:pPr>
              <w:jc w:val="right"/>
              <w:ind w:right="20"/>
              <w:spacing w:after="0" w:line="209" w:lineRule="exact"/>
              <w:rPr>
                <w:sz w:val="20"/>
                <w:szCs w:val="20"/>
                <w:color w:val="auto"/>
              </w:rPr>
            </w:pPr>
            <w:r>
              <w:rPr>
                <w:rFonts w:ascii="Arial" w:cs="Arial" w:eastAsia="Arial" w:hAnsi="Arial"/>
                <w:sz w:val="20"/>
                <w:szCs w:val="20"/>
                <w:color w:val="0000FF"/>
              </w:rPr>
              <w:t>63,750,000.</w:t>
            </w:r>
            <w:r>
              <w:rPr>
                <w:rFonts w:ascii="Arial" w:cs="Arial" w:eastAsia="Arial" w:hAnsi="Arial"/>
                <w:sz w:val="20"/>
                <w:szCs w:val="20"/>
                <w:u w:val="single" w:color="auto"/>
                <w:color w:val="0000FF"/>
              </w:rPr>
              <w:t>00</w:t>
            </w:r>
          </w:p>
        </w:tc>
        <w:tc>
          <w:tcPr>
            <w:tcW w:w="940" w:type="dxa"/>
            <w:vAlign w:val="bottom"/>
            <w:tcBorders>
              <w:top w:val="single" w:sz="8" w:color="CCCCFF"/>
            </w:tcBorders>
            <w:shd w:val="clear" w:color="auto" w:fill="CCCCFF"/>
          </w:tcPr>
          <w:p>
            <w:pPr>
              <w:spacing w:after="0"/>
              <w:rPr>
                <w:sz w:val="18"/>
                <w:szCs w:val="18"/>
                <w:color w:val="auto"/>
              </w:rPr>
            </w:pPr>
          </w:p>
        </w:tc>
      </w:tr>
      <w:tr>
        <w:trPr>
          <w:trHeight w:val="20"/>
        </w:trPr>
        <w:tc>
          <w:tcPr>
            <w:tcW w:w="340" w:type="dxa"/>
            <w:vAlign w:val="bottom"/>
            <w:shd w:val="clear" w:color="auto" w:fill="FFCCCC"/>
          </w:tcPr>
          <w:p>
            <w:pPr>
              <w:spacing w:after="0" w:line="20" w:lineRule="exact"/>
              <w:rPr>
                <w:sz w:val="1"/>
                <w:szCs w:val="1"/>
                <w:color w:val="auto"/>
              </w:rPr>
            </w:pPr>
          </w:p>
        </w:tc>
        <w:tc>
          <w:tcPr>
            <w:tcW w:w="40" w:type="dxa"/>
            <w:vAlign w:val="bottom"/>
            <w:shd w:val="clear" w:color="auto" w:fill="FFCCCC"/>
          </w:tcPr>
          <w:p>
            <w:pPr>
              <w:spacing w:after="0" w:line="20" w:lineRule="exact"/>
              <w:rPr>
                <w:sz w:val="1"/>
                <w:szCs w:val="1"/>
                <w:color w:val="auto"/>
              </w:rPr>
            </w:pPr>
          </w:p>
        </w:tc>
        <w:tc>
          <w:tcPr>
            <w:tcW w:w="1080" w:type="dxa"/>
            <w:vAlign w:val="bottom"/>
            <w:gridSpan w:val="3"/>
            <w:shd w:val="clear" w:color="auto" w:fill="FFCCCC"/>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right w:val="single" w:sz="8" w:color="0000FF"/>
            </w:tcBorders>
          </w:tcPr>
          <w:p>
            <w:pPr>
              <w:spacing w:after="0" w:line="20" w:lineRule="exact"/>
              <w:rPr>
                <w:sz w:val="1"/>
                <w:szCs w:val="1"/>
                <w:color w:val="auto"/>
              </w:rPr>
            </w:pPr>
          </w:p>
        </w:tc>
        <w:tc>
          <w:tcPr>
            <w:tcW w:w="1000" w:type="dxa"/>
            <w:vAlign w:val="bottom"/>
            <w:gridSpan w:val="2"/>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60" w:type="dxa"/>
            <w:vAlign w:val="bottom"/>
            <w:tcBorders>
              <w:right w:val="single" w:sz="8" w:color="0000FF"/>
            </w:tcBorders>
          </w:tcPr>
          <w:p>
            <w:pPr>
              <w:spacing w:after="0" w:line="20" w:lineRule="exact"/>
              <w:rPr>
                <w:sz w:val="1"/>
                <w:szCs w:val="1"/>
                <w:color w:val="auto"/>
              </w:rPr>
            </w:pPr>
          </w:p>
        </w:tc>
        <w:tc>
          <w:tcPr>
            <w:tcW w:w="400" w:type="dxa"/>
            <w:vAlign w:val="bottom"/>
            <w:tcBorders>
              <w:right w:val="single" w:sz="8" w:color="0000FF"/>
            </w:tcBorders>
            <w:shd w:val="clear" w:color="auto" w:fill="0000FF"/>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14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40" w:type="dxa"/>
            <w:vAlign w:val="bottom"/>
            <w:shd w:val="clear" w:color="auto" w:fill="CCCCFF"/>
          </w:tcPr>
          <w:p>
            <w:pPr>
              <w:spacing w:after="0" w:line="20" w:lineRule="exact"/>
              <w:rPr>
                <w:sz w:val="1"/>
                <w:szCs w:val="1"/>
                <w:color w:val="auto"/>
              </w:rPr>
            </w:pPr>
          </w:p>
        </w:tc>
      </w:tr>
      <w:tr>
        <w:trPr>
          <w:trHeight w:val="264"/>
        </w:trPr>
        <w:tc>
          <w:tcPr>
            <w:tcW w:w="340" w:type="dxa"/>
            <w:vAlign w:val="bottom"/>
            <w:shd w:val="clear" w:color="auto" w:fill="FFCCCC"/>
          </w:tcPr>
          <w:p>
            <w:pPr>
              <w:spacing w:after="0"/>
              <w:rPr>
                <w:sz w:val="22"/>
                <w:szCs w:val="22"/>
                <w:color w:val="auto"/>
              </w:rPr>
            </w:pPr>
          </w:p>
        </w:tc>
        <w:tc>
          <w:tcPr>
            <w:tcW w:w="40" w:type="dxa"/>
            <w:vAlign w:val="bottom"/>
            <w:shd w:val="clear" w:color="auto" w:fill="FFCCCC"/>
          </w:tcPr>
          <w:p>
            <w:pPr>
              <w:spacing w:after="0"/>
              <w:rPr>
                <w:sz w:val="22"/>
                <w:szCs w:val="22"/>
                <w:color w:val="auto"/>
              </w:rPr>
            </w:pPr>
          </w:p>
        </w:tc>
        <w:tc>
          <w:tcPr>
            <w:tcW w:w="1080" w:type="dxa"/>
            <w:vAlign w:val="bottom"/>
            <w:gridSpan w:val="3"/>
            <w:shd w:val="clear" w:color="auto" w:fill="FFCCCC"/>
          </w:tcPr>
          <w:p>
            <w:pPr>
              <w:spacing w:after="0"/>
              <w:rPr>
                <w:sz w:val="20"/>
                <w:szCs w:val="20"/>
                <w:color w:val="auto"/>
              </w:rPr>
            </w:pPr>
            <w:r>
              <w:rPr>
                <w:rFonts w:ascii="Arial" w:cs="Arial" w:eastAsia="Arial" w:hAnsi="Arial"/>
                <w:sz w:val="20"/>
                <w:szCs w:val="20"/>
                <w:color w:val="FF0000"/>
                <w:strike w:val="1"/>
                <w:w w:val="89"/>
              </w:rPr>
              <w:t>Feb 28, 2014</w:t>
            </w:r>
          </w:p>
        </w:tc>
        <w:tc>
          <w:tcPr>
            <w:tcW w:w="1180" w:type="dxa"/>
            <w:vAlign w:val="bottom"/>
          </w:tcPr>
          <w:p>
            <w:pPr>
              <w:jc w:val="right"/>
              <w:spacing w:after="0"/>
              <w:rPr>
                <w:sz w:val="20"/>
                <w:szCs w:val="20"/>
                <w:color w:val="auto"/>
              </w:rPr>
            </w:pPr>
            <w:r>
              <w:rPr>
                <w:rFonts w:ascii="Arial" w:cs="Arial" w:eastAsia="Arial" w:hAnsi="Arial"/>
                <w:sz w:val="20"/>
                <w:szCs w:val="20"/>
                <w:color w:val="FF0000"/>
                <w:strike w:val="1"/>
                <w:w w:val="89"/>
              </w:rPr>
              <w:t>$2,000,000.00</w:t>
            </w:r>
          </w:p>
        </w:tc>
        <w:tc>
          <w:tcPr>
            <w:tcW w:w="660" w:type="dxa"/>
            <w:vAlign w:val="bottom"/>
            <w:gridSpan w:val="3"/>
          </w:tcPr>
          <w:p>
            <w:pPr>
              <w:jc w:val="right"/>
              <w:spacing w:after="0"/>
              <w:rPr>
                <w:sz w:val="20"/>
                <w:szCs w:val="20"/>
                <w:color w:val="auto"/>
              </w:rPr>
            </w:pPr>
            <w:r>
              <w:rPr>
                <w:rFonts w:ascii="Arial" w:cs="Arial" w:eastAsia="Arial" w:hAnsi="Arial"/>
                <w:sz w:val="20"/>
                <w:szCs w:val="20"/>
                <w:color w:val="FF0000"/>
                <w:strike w:val="1"/>
                <w:w w:val="94"/>
              </w:rPr>
              <w:t>2.500%</w:t>
            </w:r>
          </w:p>
        </w:tc>
        <w:tc>
          <w:tcPr>
            <w:tcW w:w="200" w:type="dxa"/>
            <w:vAlign w:val="bottom"/>
            <w:gridSpan w:val="3"/>
          </w:tcPr>
          <w:p>
            <w:pPr>
              <w:jc w:val="center"/>
              <w:spacing w:after="0"/>
              <w:rPr>
                <w:sz w:val="20"/>
                <w:szCs w:val="20"/>
                <w:color w:val="auto"/>
              </w:rPr>
            </w:pPr>
            <w:r>
              <w:rPr>
                <w:rFonts w:ascii="Arial" w:cs="Arial" w:eastAsia="Arial" w:hAnsi="Arial"/>
                <w:sz w:val="20"/>
                <w:szCs w:val="20"/>
                <w:color w:val="0000FF"/>
                <w:w w:val="89"/>
              </w:rPr>
              <w:t>10</w:t>
            </w:r>
          </w:p>
        </w:tc>
        <w:tc>
          <w:tcPr>
            <w:tcW w:w="220" w:type="dxa"/>
            <w:vAlign w:val="bottom"/>
          </w:tcPr>
          <w:p>
            <w:pPr>
              <w:spacing w:after="0"/>
              <w:rPr>
                <w:sz w:val="22"/>
                <w:szCs w:val="22"/>
                <w:color w:val="auto"/>
              </w:rPr>
            </w:pPr>
          </w:p>
        </w:tc>
        <w:tc>
          <w:tcPr>
            <w:tcW w:w="1240" w:type="dxa"/>
            <w:vAlign w:val="bottom"/>
            <w:gridSpan w:val="2"/>
          </w:tcPr>
          <w:p>
            <w:pPr>
              <w:spacing w:after="0"/>
              <w:rPr>
                <w:sz w:val="20"/>
                <w:szCs w:val="20"/>
                <w:color w:val="auto"/>
              </w:rPr>
            </w:pPr>
            <w:r>
              <w:rPr>
                <w:rFonts w:ascii="Arial" w:cs="Arial" w:eastAsia="Arial" w:hAnsi="Arial"/>
                <w:sz w:val="20"/>
                <w:szCs w:val="20"/>
                <w:color w:val="auto"/>
              </w:rPr>
              <w:t>Aug 18, 2016</w:t>
            </w:r>
          </w:p>
        </w:tc>
        <w:tc>
          <w:tcPr>
            <w:tcW w:w="1400" w:type="dxa"/>
            <w:vAlign w:val="bottom"/>
            <w:gridSpan w:val="3"/>
          </w:tcPr>
          <w:p>
            <w:pPr>
              <w:jc w:val="right"/>
              <w:ind w:right="40"/>
              <w:spacing w:after="0"/>
              <w:rPr>
                <w:sz w:val="20"/>
                <w:szCs w:val="20"/>
                <w:color w:val="auto"/>
              </w:rPr>
            </w:pPr>
            <w:r>
              <w:rPr>
                <w:rFonts w:ascii="Arial" w:cs="Arial" w:eastAsia="Arial" w:hAnsi="Arial"/>
                <w:sz w:val="20"/>
                <w:szCs w:val="20"/>
                <w:color w:val="FF0000"/>
                <w:strike w:val="1"/>
                <w:w w:val="96"/>
              </w:rPr>
              <w:t>$40,000,000.00</w:t>
            </w:r>
          </w:p>
        </w:tc>
        <w:tc>
          <w:tcPr>
            <w:tcW w:w="1000" w:type="dxa"/>
            <w:vAlign w:val="bottom"/>
            <w:gridSpan w:val="2"/>
          </w:tcPr>
          <w:p>
            <w:pPr>
              <w:jc w:val="right"/>
              <w:spacing w:after="0"/>
              <w:rPr>
                <w:sz w:val="20"/>
                <w:szCs w:val="20"/>
                <w:color w:val="auto"/>
              </w:rPr>
            </w:pPr>
            <w:r>
              <w:rPr>
                <w:rFonts w:ascii="Arial" w:cs="Arial" w:eastAsia="Arial" w:hAnsi="Arial"/>
                <w:sz w:val="20"/>
                <w:szCs w:val="20"/>
                <w:color w:val="0000FF"/>
                <w:w w:val="83"/>
              </w:rPr>
              <w:t>1,875,000.00</w:t>
            </w:r>
          </w:p>
        </w:tc>
        <w:tc>
          <w:tcPr>
            <w:tcW w:w="80" w:type="dxa"/>
            <w:vAlign w:val="bottom"/>
          </w:tcPr>
          <w:p>
            <w:pPr>
              <w:spacing w:after="0"/>
              <w:rPr>
                <w:sz w:val="22"/>
                <w:szCs w:val="22"/>
                <w:color w:val="auto"/>
              </w:rPr>
            </w:pPr>
          </w:p>
        </w:tc>
        <w:tc>
          <w:tcPr>
            <w:tcW w:w="660" w:type="dxa"/>
            <w:vAlign w:val="bottom"/>
            <w:gridSpan w:val="2"/>
          </w:tcPr>
          <w:p>
            <w:pPr>
              <w:jc w:val="center"/>
              <w:ind w:left="21"/>
              <w:spacing w:after="0"/>
              <w:rPr>
                <w:sz w:val="20"/>
                <w:szCs w:val="20"/>
                <w:color w:val="auto"/>
              </w:rPr>
            </w:pPr>
            <w:r>
              <w:rPr>
                <w:rFonts w:ascii="Arial" w:cs="Arial" w:eastAsia="Arial" w:hAnsi="Arial"/>
                <w:sz w:val="20"/>
                <w:szCs w:val="20"/>
                <w:color w:val="FF0000"/>
                <w:strike w:val="1"/>
                <w:w w:val="88"/>
              </w:rPr>
              <w:t>50.000</w:t>
            </w:r>
          </w:p>
        </w:tc>
        <w:tc>
          <w:tcPr>
            <w:tcW w:w="740" w:type="dxa"/>
            <w:vAlign w:val="bottom"/>
            <w:gridSpan w:val="2"/>
          </w:tcPr>
          <w:p>
            <w:pPr>
              <w:jc w:val="right"/>
              <w:ind w:right="120"/>
              <w:spacing w:after="0"/>
              <w:rPr>
                <w:sz w:val="20"/>
                <w:szCs w:val="20"/>
                <w:color w:val="auto"/>
              </w:rPr>
            </w:pPr>
            <w:r>
              <w:rPr>
                <w:rFonts w:ascii="Arial" w:cs="Arial" w:eastAsia="Arial" w:hAnsi="Arial"/>
                <w:sz w:val="20"/>
                <w:szCs w:val="20"/>
                <w:color w:val="0000FF"/>
                <w:w w:val="88"/>
              </w:rPr>
              <w:t>2.500</w:t>
            </w:r>
            <w:r>
              <w:rPr>
                <w:rFonts w:ascii="Arial" w:cs="Arial" w:eastAsia="Arial" w:hAnsi="Arial"/>
                <w:sz w:val="20"/>
                <w:szCs w:val="20"/>
                <w:color w:val="000000"/>
                <w:w w:val="88"/>
              </w:rPr>
              <w:t>%</w:t>
            </w:r>
          </w:p>
        </w:tc>
        <w:tc>
          <w:tcPr>
            <w:tcW w:w="1640" w:type="dxa"/>
            <w:vAlign w:val="bottom"/>
            <w:gridSpan w:val="3"/>
          </w:tcPr>
          <w:p>
            <w:pPr>
              <w:jc w:val="right"/>
              <w:ind w:right="20"/>
              <w:spacing w:after="0"/>
              <w:rPr>
                <w:sz w:val="20"/>
                <w:szCs w:val="20"/>
                <w:color w:val="auto"/>
              </w:rPr>
            </w:pPr>
            <w:r>
              <w:rPr>
                <w:rFonts w:ascii="Arial" w:cs="Arial" w:eastAsia="Arial" w:hAnsi="Arial"/>
                <w:sz w:val="20"/>
                <w:szCs w:val="20"/>
                <w:color w:val="0000FF"/>
              </w:rPr>
              <w:t>61,875,000.</w:t>
            </w:r>
            <w:r>
              <w:rPr>
                <w:rFonts w:ascii="Arial" w:cs="Arial" w:eastAsia="Arial" w:hAnsi="Arial"/>
                <w:sz w:val="20"/>
                <w:szCs w:val="20"/>
                <w:u w:val="single" w:color="auto"/>
                <w:color w:val="0000FF"/>
              </w:rPr>
              <w:t>00</w:t>
            </w:r>
          </w:p>
        </w:tc>
        <w:tc>
          <w:tcPr>
            <w:tcW w:w="940" w:type="dxa"/>
            <w:vAlign w:val="bottom"/>
            <w:shd w:val="clear" w:color="auto" w:fill="CCCCFF"/>
          </w:tcPr>
          <w:p>
            <w:pPr>
              <w:spacing w:after="0"/>
              <w:rPr>
                <w:sz w:val="22"/>
                <w:szCs w:val="22"/>
                <w:color w:val="auto"/>
              </w:rPr>
            </w:pPr>
          </w:p>
        </w:tc>
      </w:tr>
      <w:tr>
        <w:trPr>
          <w:trHeight w:val="48"/>
        </w:trPr>
        <w:tc>
          <w:tcPr>
            <w:tcW w:w="340" w:type="dxa"/>
            <w:vAlign w:val="bottom"/>
            <w:tcBorders>
              <w:top w:val="single" w:sz="8" w:color="FFCCCC"/>
            </w:tcBorders>
            <w:shd w:val="clear" w:color="auto" w:fill="FFCCCC"/>
          </w:tcPr>
          <w:p>
            <w:pPr>
              <w:spacing w:after="0"/>
              <w:rPr>
                <w:sz w:val="4"/>
                <w:szCs w:val="4"/>
                <w:color w:val="auto"/>
              </w:rPr>
            </w:pPr>
          </w:p>
        </w:tc>
        <w:tc>
          <w:tcPr>
            <w:tcW w:w="40" w:type="dxa"/>
            <w:vAlign w:val="bottom"/>
            <w:tcBorders>
              <w:top w:val="single" w:sz="8" w:color="FFCCCC"/>
            </w:tcBorders>
            <w:shd w:val="clear" w:color="auto" w:fill="FFCCCC"/>
          </w:tcPr>
          <w:p>
            <w:pPr>
              <w:spacing w:after="0"/>
              <w:rPr>
                <w:sz w:val="4"/>
                <w:szCs w:val="4"/>
                <w:color w:val="auto"/>
              </w:rPr>
            </w:pPr>
          </w:p>
        </w:tc>
        <w:tc>
          <w:tcPr>
            <w:tcW w:w="380" w:type="dxa"/>
            <w:vAlign w:val="bottom"/>
            <w:tcBorders>
              <w:top w:val="single" w:sz="8" w:color="FFCCCC"/>
            </w:tcBorders>
            <w:shd w:val="clear" w:color="auto" w:fill="FFCCCC"/>
          </w:tcPr>
          <w:p>
            <w:pPr>
              <w:spacing w:after="0"/>
              <w:rPr>
                <w:sz w:val="4"/>
                <w:szCs w:val="4"/>
                <w:color w:val="auto"/>
              </w:rPr>
            </w:pPr>
          </w:p>
        </w:tc>
        <w:tc>
          <w:tcPr>
            <w:tcW w:w="280" w:type="dxa"/>
            <w:vAlign w:val="bottom"/>
            <w:tcBorders>
              <w:top w:val="single" w:sz="8" w:color="FFCCCC"/>
            </w:tcBorders>
            <w:shd w:val="clear" w:color="auto" w:fill="FFCCCC"/>
          </w:tcPr>
          <w:p>
            <w:pPr>
              <w:spacing w:after="0"/>
              <w:rPr>
                <w:sz w:val="4"/>
                <w:szCs w:val="4"/>
                <w:color w:val="auto"/>
              </w:rPr>
            </w:pPr>
          </w:p>
        </w:tc>
        <w:tc>
          <w:tcPr>
            <w:tcW w:w="420" w:type="dxa"/>
            <w:vAlign w:val="bottom"/>
            <w:tcBorders>
              <w:top w:val="single" w:sz="8" w:color="FFCCCC"/>
            </w:tcBorders>
            <w:shd w:val="clear" w:color="auto" w:fill="FFCCCC"/>
          </w:tcPr>
          <w:p>
            <w:pPr>
              <w:spacing w:after="0"/>
              <w:rPr>
                <w:sz w:val="4"/>
                <w:szCs w:val="4"/>
                <w:color w:val="auto"/>
              </w:rPr>
            </w:pPr>
          </w:p>
        </w:tc>
        <w:tc>
          <w:tcPr>
            <w:tcW w:w="1180" w:type="dxa"/>
            <w:vAlign w:val="bottom"/>
          </w:tcPr>
          <w:p>
            <w:pPr>
              <w:spacing w:after="0"/>
              <w:rPr>
                <w:sz w:val="4"/>
                <w:szCs w:val="4"/>
                <w:color w:val="auto"/>
              </w:rPr>
            </w:pPr>
          </w:p>
        </w:tc>
        <w:tc>
          <w:tcPr>
            <w:tcW w:w="360" w:type="dxa"/>
            <w:vAlign w:val="bottom"/>
          </w:tcPr>
          <w:p>
            <w:pPr>
              <w:spacing w:after="0"/>
              <w:rPr>
                <w:sz w:val="4"/>
                <w:szCs w:val="4"/>
                <w:color w:val="auto"/>
              </w:rPr>
            </w:pPr>
          </w:p>
        </w:tc>
        <w:tc>
          <w:tcPr>
            <w:tcW w:w="180" w:type="dxa"/>
            <w:vAlign w:val="bottom"/>
          </w:tcPr>
          <w:p>
            <w:pPr>
              <w:spacing w:after="0"/>
              <w:rPr>
                <w:sz w:val="4"/>
                <w:szCs w:val="4"/>
                <w:color w:val="auto"/>
              </w:rPr>
            </w:pPr>
          </w:p>
        </w:tc>
        <w:tc>
          <w:tcPr>
            <w:tcW w:w="120" w:type="dxa"/>
            <w:vAlign w:val="bottom"/>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100" w:type="dxa"/>
            <w:vAlign w:val="bottom"/>
            <w:tcBorders>
              <w:top w:val="single" w:sz="8" w:color="0000FF"/>
            </w:tcBorders>
          </w:tcPr>
          <w:p>
            <w:pPr>
              <w:spacing w:after="0"/>
              <w:rPr>
                <w:sz w:val="4"/>
                <w:szCs w:val="4"/>
                <w:color w:val="auto"/>
              </w:rPr>
            </w:pPr>
          </w:p>
        </w:tc>
        <w:tc>
          <w:tcPr>
            <w:tcW w:w="60" w:type="dxa"/>
            <w:vAlign w:val="bottom"/>
            <w:tcBorders>
              <w:top w:val="single" w:sz="8" w:color="0000FF"/>
            </w:tcBorders>
          </w:tcPr>
          <w:p>
            <w:pPr>
              <w:spacing w:after="0"/>
              <w:rPr>
                <w:sz w:val="4"/>
                <w:szCs w:val="4"/>
                <w:color w:val="auto"/>
              </w:rPr>
            </w:pPr>
          </w:p>
        </w:tc>
        <w:tc>
          <w:tcPr>
            <w:tcW w:w="22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60" w:type="dxa"/>
            <w:vAlign w:val="bottom"/>
          </w:tcPr>
          <w:p>
            <w:pPr>
              <w:spacing w:after="0"/>
              <w:rPr>
                <w:sz w:val="4"/>
                <w:szCs w:val="4"/>
                <w:color w:val="auto"/>
              </w:rPr>
            </w:pPr>
          </w:p>
        </w:tc>
        <w:tc>
          <w:tcPr>
            <w:tcW w:w="126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Borders>
              <w:top w:val="single" w:sz="8" w:color="0000FF"/>
            </w:tcBorders>
          </w:tcPr>
          <w:p>
            <w:pPr>
              <w:spacing w:after="0"/>
              <w:rPr>
                <w:sz w:val="4"/>
                <w:szCs w:val="4"/>
                <w:color w:val="auto"/>
              </w:rPr>
            </w:pPr>
          </w:p>
        </w:tc>
        <w:tc>
          <w:tcPr>
            <w:tcW w:w="900" w:type="dxa"/>
            <w:vAlign w:val="bottom"/>
            <w:tcBorders>
              <w:top w:val="single" w:sz="8" w:color="0000FF"/>
            </w:tcBorders>
          </w:tcPr>
          <w:p>
            <w:pPr>
              <w:spacing w:after="0"/>
              <w:rPr>
                <w:sz w:val="4"/>
                <w:szCs w:val="4"/>
                <w:color w:val="auto"/>
              </w:rPr>
            </w:pPr>
          </w:p>
        </w:tc>
        <w:tc>
          <w:tcPr>
            <w:tcW w:w="80" w:type="dxa"/>
            <w:vAlign w:val="bottom"/>
          </w:tcPr>
          <w:p>
            <w:pPr>
              <w:spacing w:after="0"/>
              <w:rPr>
                <w:sz w:val="4"/>
                <w:szCs w:val="4"/>
                <w:color w:val="auto"/>
              </w:rPr>
            </w:pPr>
          </w:p>
        </w:tc>
        <w:tc>
          <w:tcPr>
            <w:tcW w:w="400" w:type="dxa"/>
            <w:vAlign w:val="bottom"/>
          </w:tcPr>
          <w:p>
            <w:pPr>
              <w:spacing w:after="0"/>
              <w:rPr>
                <w:sz w:val="4"/>
                <w:szCs w:val="4"/>
                <w:color w:val="auto"/>
              </w:rPr>
            </w:pPr>
          </w:p>
        </w:tc>
        <w:tc>
          <w:tcPr>
            <w:tcW w:w="260" w:type="dxa"/>
            <w:vAlign w:val="bottom"/>
          </w:tcPr>
          <w:p>
            <w:pPr>
              <w:spacing w:after="0"/>
              <w:rPr>
                <w:sz w:val="4"/>
                <w:szCs w:val="4"/>
                <w:color w:val="auto"/>
              </w:rPr>
            </w:pPr>
          </w:p>
        </w:tc>
        <w:tc>
          <w:tcPr>
            <w:tcW w:w="400" w:type="dxa"/>
            <w:vAlign w:val="bottom"/>
            <w:tcBorders>
              <w:top w:val="single" w:sz="8" w:color="0000FF"/>
            </w:tcBorders>
          </w:tcPr>
          <w:p>
            <w:pPr>
              <w:spacing w:after="0"/>
              <w:rPr>
                <w:sz w:val="4"/>
                <w:szCs w:val="4"/>
                <w:color w:val="auto"/>
              </w:rPr>
            </w:pPr>
          </w:p>
        </w:tc>
        <w:tc>
          <w:tcPr>
            <w:tcW w:w="340" w:type="dxa"/>
            <w:vAlign w:val="bottom"/>
          </w:tcPr>
          <w:p>
            <w:pPr>
              <w:spacing w:after="0"/>
              <w:rPr>
                <w:sz w:val="4"/>
                <w:szCs w:val="4"/>
                <w:color w:val="auto"/>
              </w:rPr>
            </w:pPr>
          </w:p>
        </w:tc>
        <w:tc>
          <w:tcPr>
            <w:tcW w:w="480" w:type="dxa"/>
            <w:vAlign w:val="bottom"/>
          </w:tcPr>
          <w:p>
            <w:pPr>
              <w:spacing w:after="0"/>
              <w:rPr>
                <w:sz w:val="4"/>
                <w:szCs w:val="4"/>
                <w:color w:val="auto"/>
              </w:rPr>
            </w:pPr>
          </w:p>
        </w:tc>
        <w:tc>
          <w:tcPr>
            <w:tcW w:w="1140" w:type="dxa"/>
            <w:vAlign w:val="bottom"/>
            <w:tcBorders>
              <w:top w:val="single" w:sz="8" w:color="0000FF"/>
            </w:tcBorders>
          </w:tcPr>
          <w:p>
            <w:pPr>
              <w:spacing w:after="0"/>
              <w:rPr>
                <w:sz w:val="4"/>
                <w:szCs w:val="4"/>
                <w:color w:val="auto"/>
              </w:rPr>
            </w:pPr>
          </w:p>
        </w:tc>
        <w:tc>
          <w:tcPr>
            <w:tcW w:w="20" w:type="dxa"/>
            <w:vAlign w:val="bottom"/>
          </w:tcPr>
          <w:p>
            <w:pPr>
              <w:spacing w:after="0"/>
              <w:rPr>
                <w:sz w:val="4"/>
                <w:szCs w:val="4"/>
                <w:color w:val="auto"/>
              </w:rPr>
            </w:pPr>
          </w:p>
        </w:tc>
        <w:tc>
          <w:tcPr>
            <w:tcW w:w="940" w:type="dxa"/>
            <w:vAlign w:val="bottom"/>
            <w:tcBorders>
              <w:top w:val="single" w:sz="8" w:color="CCCCFF"/>
            </w:tcBorders>
            <w:shd w:val="clear" w:color="auto" w:fill="CCCCFF"/>
          </w:tcPr>
          <w:p>
            <w:pPr>
              <w:spacing w:after="0"/>
              <w:rPr>
                <w:sz w:val="4"/>
                <w:szCs w:val="4"/>
                <w:color w:val="auto"/>
              </w:rPr>
            </w:pPr>
          </w:p>
        </w:tc>
      </w:tr>
      <w:tr>
        <w:trPr>
          <w:trHeight w:val="216"/>
        </w:trPr>
        <w:tc>
          <w:tcPr>
            <w:tcW w:w="340" w:type="dxa"/>
            <w:vAlign w:val="bottom"/>
            <w:shd w:val="clear" w:color="auto" w:fill="C0C0C0"/>
          </w:tcPr>
          <w:p>
            <w:pPr>
              <w:spacing w:after="0"/>
              <w:rPr>
                <w:sz w:val="18"/>
                <w:szCs w:val="18"/>
                <w:color w:val="auto"/>
              </w:rPr>
            </w:pPr>
          </w:p>
        </w:tc>
        <w:tc>
          <w:tcPr>
            <w:tcW w:w="40" w:type="dxa"/>
            <w:vAlign w:val="bottom"/>
            <w:shd w:val="clear" w:color="auto" w:fill="C0C0C0"/>
          </w:tcPr>
          <w:p>
            <w:pPr>
              <w:spacing w:after="0"/>
              <w:rPr>
                <w:sz w:val="18"/>
                <w:szCs w:val="18"/>
                <w:color w:val="auto"/>
              </w:rPr>
            </w:pPr>
          </w:p>
        </w:tc>
        <w:tc>
          <w:tcPr>
            <w:tcW w:w="380" w:type="dxa"/>
            <w:vAlign w:val="bottom"/>
            <w:shd w:val="clear" w:color="auto" w:fill="C0C0C0"/>
          </w:tcPr>
          <w:p>
            <w:pPr>
              <w:spacing w:after="0"/>
              <w:rPr>
                <w:sz w:val="18"/>
                <w:szCs w:val="18"/>
                <w:color w:val="auto"/>
              </w:rPr>
            </w:pPr>
          </w:p>
        </w:tc>
        <w:tc>
          <w:tcPr>
            <w:tcW w:w="280" w:type="dxa"/>
            <w:vAlign w:val="bottom"/>
            <w:shd w:val="clear" w:color="auto" w:fill="C0C0C0"/>
          </w:tcPr>
          <w:p>
            <w:pPr>
              <w:spacing w:after="0"/>
              <w:rPr>
                <w:sz w:val="18"/>
                <w:szCs w:val="18"/>
                <w:color w:val="auto"/>
              </w:rPr>
            </w:pPr>
          </w:p>
        </w:tc>
        <w:tc>
          <w:tcPr>
            <w:tcW w:w="420" w:type="dxa"/>
            <w:vAlign w:val="bottom"/>
            <w:shd w:val="clear" w:color="auto" w:fill="C0C0C0"/>
          </w:tcPr>
          <w:p>
            <w:pPr>
              <w:spacing w:after="0"/>
              <w:rPr>
                <w:sz w:val="18"/>
                <w:szCs w:val="18"/>
                <w:color w:val="auto"/>
              </w:rPr>
            </w:pPr>
          </w:p>
        </w:tc>
        <w:tc>
          <w:tcPr>
            <w:tcW w:w="1180" w:type="dxa"/>
            <w:vAlign w:val="bottom"/>
            <w:shd w:val="clear" w:color="auto" w:fill="CCCCFF"/>
          </w:tcPr>
          <w:p>
            <w:pPr>
              <w:spacing w:after="0"/>
              <w:rPr>
                <w:sz w:val="18"/>
                <w:szCs w:val="18"/>
                <w:color w:val="auto"/>
              </w:rPr>
            </w:pPr>
          </w:p>
        </w:tc>
        <w:tc>
          <w:tcPr>
            <w:tcW w:w="540" w:type="dxa"/>
            <w:vAlign w:val="bottom"/>
            <w:gridSpan w:val="2"/>
            <w:shd w:val="clear" w:color="auto" w:fill="CCCCFF"/>
          </w:tcPr>
          <w:p>
            <w:pPr>
              <w:jc w:val="right"/>
              <w:spacing w:after="0" w:line="216" w:lineRule="exact"/>
              <w:rPr>
                <w:sz w:val="20"/>
                <w:szCs w:val="20"/>
                <w:color w:val="auto"/>
              </w:rPr>
            </w:pPr>
            <w:r>
              <w:rPr>
                <w:rFonts w:ascii="Arial" w:cs="Arial" w:eastAsia="Arial" w:hAnsi="Arial"/>
                <w:sz w:val="20"/>
                <w:szCs w:val="20"/>
                <w:color w:val="0000FF"/>
              </w:rPr>
              <w:t>11</w:t>
            </w:r>
          </w:p>
        </w:tc>
        <w:tc>
          <w:tcPr>
            <w:tcW w:w="120" w:type="dxa"/>
            <w:vAlign w:val="bottom"/>
            <w:shd w:val="clear" w:color="auto" w:fill="CCCCFF"/>
          </w:tcPr>
          <w:p>
            <w:pPr>
              <w:spacing w:after="0"/>
              <w:rPr>
                <w:sz w:val="18"/>
                <w:szCs w:val="18"/>
                <w:color w:val="auto"/>
              </w:rPr>
            </w:pPr>
          </w:p>
        </w:tc>
        <w:tc>
          <w:tcPr>
            <w:tcW w:w="40" w:type="dxa"/>
            <w:vAlign w:val="bottom"/>
            <w:shd w:val="clear" w:color="auto" w:fill="CCCCFF"/>
          </w:tcPr>
          <w:p>
            <w:pPr>
              <w:spacing w:after="0"/>
              <w:rPr>
                <w:sz w:val="18"/>
                <w:szCs w:val="18"/>
                <w:color w:val="auto"/>
              </w:rPr>
            </w:pPr>
          </w:p>
        </w:tc>
        <w:tc>
          <w:tcPr>
            <w:tcW w:w="100" w:type="dxa"/>
            <w:vAlign w:val="bottom"/>
            <w:shd w:val="clear" w:color="auto" w:fill="CCCCFF"/>
          </w:tcPr>
          <w:p>
            <w:pPr>
              <w:spacing w:after="0"/>
              <w:rPr>
                <w:sz w:val="18"/>
                <w:szCs w:val="18"/>
                <w:color w:val="auto"/>
              </w:rPr>
            </w:pPr>
          </w:p>
        </w:tc>
        <w:tc>
          <w:tcPr>
            <w:tcW w:w="60" w:type="dxa"/>
            <w:vAlign w:val="bottom"/>
            <w:shd w:val="clear" w:color="auto" w:fill="CCCCFF"/>
          </w:tcPr>
          <w:p>
            <w:pPr>
              <w:spacing w:after="0"/>
              <w:rPr>
                <w:sz w:val="18"/>
                <w:szCs w:val="18"/>
                <w:color w:val="auto"/>
              </w:rPr>
            </w:pPr>
          </w:p>
        </w:tc>
        <w:tc>
          <w:tcPr>
            <w:tcW w:w="220" w:type="dxa"/>
            <w:vAlign w:val="bottom"/>
            <w:tcBorders>
              <w:right w:val="single" w:sz="8" w:color="CCCCFF"/>
            </w:tcBorders>
            <w:shd w:val="clear" w:color="auto" w:fill="CCCCFF"/>
          </w:tcPr>
          <w:p>
            <w:pPr>
              <w:spacing w:after="0"/>
              <w:rPr>
                <w:sz w:val="18"/>
                <w:szCs w:val="18"/>
                <w:color w:val="auto"/>
              </w:rPr>
            </w:pPr>
          </w:p>
        </w:tc>
        <w:tc>
          <w:tcPr>
            <w:tcW w:w="1240" w:type="dxa"/>
            <w:vAlign w:val="bottom"/>
            <w:gridSpan w:val="2"/>
            <w:shd w:val="clear" w:color="auto" w:fill="CCCCFF"/>
          </w:tcPr>
          <w:p>
            <w:pPr>
              <w:spacing w:after="0" w:line="216" w:lineRule="exact"/>
              <w:rPr>
                <w:sz w:val="20"/>
                <w:szCs w:val="20"/>
                <w:color w:val="auto"/>
              </w:rPr>
            </w:pPr>
            <w:r>
              <w:rPr>
                <w:rFonts w:ascii="Arial" w:cs="Arial" w:eastAsia="Arial" w:hAnsi="Arial"/>
                <w:sz w:val="20"/>
                <w:szCs w:val="20"/>
                <w:color w:val="0000FF"/>
              </w:rPr>
              <w:t>Nov 30, 2016</w:t>
            </w:r>
          </w:p>
        </w:tc>
        <w:tc>
          <w:tcPr>
            <w:tcW w:w="1400" w:type="dxa"/>
            <w:vAlign w:val="bottom"/>
            <w:tcBorders>
              <w:right w:val="single" w:sz="8" w:color="CCCCFF"/>
            </w:tcBorders>
            <w:gridSpan w:val="3"/>
            <w:shd w:val="clear" w:color="auto" w:fill="CCCCFF"/>
          </w:tcPr>
          <w:p>
            <w:pPr>
              <w:spacing w:after="0"/>
              <w:rPr>
                <w:sz w:val="18"/>
                <w:szCs w:val="18"/>
                <w:color w:val="auto"/>
              </w:rPr>
            </w:pPr>
          </w:p>
        </w:tc>
        <w:tc>
          <w:tcPr>
            <w:tcW w:w="1080" w:type="dxa"/>
            <w:vAlign w:val="bottom"/>
            <w:gridSpan w:val="3"/>
            <w:shd w:val="clear" w:color="auto" w:fill="CCCCFF"/>
          </w:tcPr>
          <w:p>
            <w:pPr>
              <w:jc w:val="right"/>
              <w:ind w:right="40"/>
              <w:spacing w:after="0" w:line="216" w:lineRule="exact"/>
              <w:rPr>
                <w:sz w:val="20"/>
                <w:szCs w:val="20"/>
                <w:color w:val="auto"/>
              </w:rPr>
            </w:pPr>
            <w:r>
              <w:rPr>
                <w:rFonts w:ascii="Arial" w:cs="Arial" w:eastAsia="Arial" w:hAnsi="Arial"/>
                <w:sz w:val="20"/>
                <w:szCs w:val="20"/>
                <w:color w:val="0000FF"/>
                <w:w w:val="87"/>
              </w:rPr>
              <w:t>1,875,000.00</w:t>
            </w:r>
          </w:p>
        </w:tc>
        <w:tc>
          <w:tcPr>
            <w:tcW w:w="1060" w:type="dxa"/>
            <w:vAlign w:val="bottom"/>
            <w:tcBorders>
              <w:right w:val="single" w:sz="8" w:color="CCCCFF"/>
            </w:tcBorders>
            <w:gridSpan w:val="3"/>
            <w:shd w:val="clear" w:color="auto" w:fill="CCCCFF"/>
          </w:tcPr>
          <w:p>
            <w:pPr>
              <w:jc w:val="center"/>
              <w:ind w:left="241"/>
              <w:spacing w:after="0" w:line="216" w:lineRule="exact"/>
              <w:rPr>
                <w:sz w:val="20"/>
                <w:szCs w:val="20"/>
                <w:color w:val="auto"/>
              </w:rPr>
            </w:pPr>
            <w:r>
              <w:rPr>
                <w:rFonts w:ascii="Arial" w:cs="Arial" w:eastAsia="Arial" w:hAnsi="Arial"/>
                <w:sz w:val="20"/>
                <w:szCs w:val="20"/>
                <w:color w:val="0000FF"/>
                <w:w w:val="88"/>
              </w:rPr>
              <w:t>2.500%</w:t>
            </w:r>
          </w:p>
        </w:tc>
        <w:tc>
          <w:tcPr>
            <w:tcW w:w="340" w:type="dxa"/>
            <w:vAlign w:val="bottom"/>
            <w:tcBorders>
              <w:left w:val="single" w:sz="8" w:color="CCCCFF"/>
            </w:tcBorders>
            <w:shd w:val="clear" w:color="auto" w:fill="CCCCFF"/>
          </w:tcPr>
          <w:p>
            <w:pPr>
              <w:spacing w:after="0"/>
              <w:rPr>
                <w:sz w:val="18"/>
                <w:szCs w:val="18"/>
                <w:color w:val="auto"/>
              </w:rPr>
            </w:pPr>
          </w:p>
        </w:tc>
        <w:tc>
          <w:tcPr>
            <w:tcW w:w="1640" w:type="dxa"/>
            <w:vAlign w:val="bottom"/>
            <w:gridSpan w:val="3"/>
            <w:shd w:val="clear" w:color="auto" w:fill="CCCCFF"/>
          </w:tcPr>
          <w:p>
            <w:pPr>
              <w:jc w:val="right"/>
              <w:ind w:right="20"/>
              <w:spacing w:after="0" w:line="216" w:lineRule="exact"/>
              <w:rPr>
                <w:sz w:val="20"/>
                <w:szCs w:val="20"/>
                <w:color w:val="auto"/>
              </w:rPr>
            </w:pPr>
            <w:r>
              <w:rPr>
                <w:rFonts w:ascii="Arial" w:cs="Arial" w:eastAsia="Arial" w:hAnsi="Arial"/>
                <w:sz w:val="20"/>
                <w:szCs w:val="20"/>
                <w:color w:val="0000FF"/>
              </w:rPr>
              <w:t>60,000,000.00</w:t>
            </w:r>
          </w:p>
        </w:tc>
        <w:tc>
          <w:tcPr>
            <w:tcW w:w="940" w:type="dxa"/>
            <w:vAlign w:val="bottom"/>
            <w:shd w:val="clear" w:color="auto" w:fill="CCCCFF"/>
          </w:tcPr>
          <w:p>
            <w:pPr>
              <w:spacing w:after="0"/>
              <w:rPr>
                <w:sz w:val="18"/>
                <w:szCs w:val="18"/>
                <w:color w:val="auto"/>
              </w:rPr>
            </w:pPr>
          </w:p>
        </w:tc>
      </w:tr>
      <w:tr>
        <w:trPr>
          <w:trHeight w:val="20"/>
        </w:trPr>
        <w:tc>
          <w:tcPr>
            <w:tcW w:w="340" w:type="dxa"/>
            <w:vAlign w:val="bottom"/>
            <w:shd w:val="clear" w:color="auto" w:fill="C0C0C0"/>
          </w:tcPr>
          <w:p>
            <w:pPr>
              <w:spacing w:after="0" w:line="20" w:lineRule="exact"/>
              <w:rPr>
                <w:sz w:val="1"/>
                <w:szCs w:val="1"/>
                <w:color w:val="auto"/>
              </w:rPr>
            </w:pPr>
          </w:p>
        </w:tc>
        <w:tc>
          <w:tcPr>
            <w:tcW w:w="40" w:type="dxa"/>
            <w:vAlign w:val="bottom"/>
            <w:shd w:val="clear" w:color="auto" w:fill="C0C0C0"/>
          </w:tcPr>
          <w:p>
            <w:pPr>
              <w:spacing w:after="0" w:line="20" w:lineRule="exact"/>
              <w:rPr>
                <w:sz w:val="1"/>
                <w:szCs w:val="1"/>
                <w:color w:val="auto"/>
              </w:rPr>
            </w:pPr>
          </w:p>
        </w:tc>
        <w:tc>
          <w:tcPr>
            <w:tcW w:w="380" w:type="dxa"/>
            <w:vAlign w:val="bottom"/>
            <w:shd w:val="clear" w:color="auto" w:fill="C0C0C0"/>
          </w:tcPr>
          <w:p>
            <w:pPr>
              <w:spacing w:after="0" w:line="20" w:lineRule="exact"/>
              <w:rPr>
                <w:sz w:val="1"/>
                <w:szCs w:val="1"/>
                <w:color w:val="auto"/>
              </w:rPr>
            </w:pPr>
          </w:p>
        </w:tc>
        <w:tc>
          <w:tcPr>
            <w:tcW w:w="280" w:type="dxa"/>
            <w:vAlign w:val="bottom"/>
            <w:shd w:val="clear" w:color="auto" w:fill="C0C0C0"/>
          </w:tcPr>
          <w:p>
            <w:pPr>
              <w:spacing w:after="0" w:line="20" w:lineRule="exact"/>
              <w:rPr>
                <w:sz w:val="1"/>
                <w:szCs w:val="1"/>
                <w:color w:val="auto"/>
              </w:rPr>
            </w:pPr>
          </w:p>
        </w:tc>
        <w:tc>
          <w:tcPr>
            <w:tcW w:w="420" w:type="dxa"/>
            <w:vAlign w:val="bottom"/>
            <w:shd w:val="clear" w:color="auto" w:fill="C0C0C0"/>
          </w:tcPr>
          <w:p>
            <w:pPr>
              <w:spacing w:after="0" w:line="20" w:lineRule="exact"/>
              <w:rPr>
                <w:sz w:val="1"/>
                <w:szCs w:val="1"/>
                <w:color w:val="auto"/>
              </w:rPr>
            </w:pPr>
          </w:p>
        </w:tc>
        <w:tc>
          <w:tcPr>
            <w:tcW w:w="1180" w:type="dxa"/>
            <w:vAlign w:val="bottom"/>
            <w:shd w:val="clear" w:color="auto" w:fill="CCCCFF"/>
          </w:tcPr>
          <w:p>
            <w:pPr>
              <w:spacing w:after="0" w:line="20" w:lineRule="exact"/>
              <w:rPr>
                <w:sz w:val="1"/>
                <w:szCs w:val="1"/>
                <w:color w:val="auto"/>
              </w:rPr>
            </w:pPr>
          </w:p>
        </w:tc>
        <w:tc>
          <w:tcPr>
            <w:tcW w:w="360" w:type="dxa"/>
            <w:vAlign w:val="bottom"/>
            <w:tcBorders>
              <w:right w:val="single" w:sz="8" w:color="CCCCFF"/>
            </w:tcBorders>
            <w:shd w:val="clear" w:color="auto" w:fill="CCCC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20" w:type="dxa"/>
            <w:vAlign w:val="bottom"/>
            <w:shd w:val="clear" w:color="auto" w:fill="CCCCFF"/>
          </w:tcPr>
          <w:p>
            <w:pPr>
              <w:spacing w:after="0" w:line="20" w:lineRule="exact"/>
              <w:rPr>
                <w:sz w:val="1"/>
                <w:szCs w:val="1"/>
                <w:color w:val="auto"/>
              </w:rPr>
            </w:pPr>
          </w:p>
        </w:tc>
        <w:tc>
          <w:tcPr>
            <w:tcW w:w="40" w:type="dxa"/>
            <w:vAlign w:val="bottom"/>
            <w:shd w:val="clear" w:color="auto" w:fill="CCCCFF"/>
          </w:tcPr>
          <w:p>
            <w:pPr>
              <w:spacing w:after="0" w:line="20" w:lineRule="exact"/>
              <w:rPr>
                <w:sz w:val="1"/>
                <w:szCs w:val="1"/>
                <w:color w:val="auto"/>
              </w:rPr>
            </w:pPr>
          </w:p>
        </w:tc>
        <w:tc>
          <w:tcPr>
            <w:tcW w:w="100" w:type="dxa"/>
            <w:vAlign w:val="bottom"/>
            <w:shd w:val="clear" w:color="auto" w:fill="CCCCFF"/>
          </w:tcPr>
          <w:p>
            <w:pPr>
              <w:spacing w:after="0" w:line="20" w:lineRule="exact"/>
              <w:rPr>
                <w:sz w:val="1"/>
                <w:szCs w:val="1"/>
                <w:color w:val="auto"/>
              </w:rPr>
            </w:pPr>
          </w:p>
        </w:tc>
        <w:tc>
          <w:tcPr>
            <w:tcW w:w="60" w:type="dxa"/>
            <w:vAlign w:val="bottom"/>
            <w:shd w:val="clear" w:color="auto" w:fill="CCCCFF"/>
          </w:tcPr>
          <w:p>
            <w:pPr>
              <w:spacing w:after="0" w:line="20" w:lineRule="exact"/>
              <w:rPr>
                <w:sz w:val="1"/>
                <w:szCs w:val="1"/>
                <w:color w:val="auto"/>
              </w:rPr>
            </w:pPr>
          </w:p>
        </w:tc>
        <w:tc>
          <w:tcPr>
            <w:tcW w:w="220" w:type="dxa"/>
            <w:vAlign w:val="bottom"/>
            <w:tcBorders>
              <w:right w:val="single" w:sz="8" w:color="0000FF"/>
            </w:tcBorders>
            <w:shd w:val="clear" w:color="auto" w:fill="CCCCFF"/>
          </w:tcPr>
          <w:p>
            <w:pPr>
              <w:spacing w:after="0" w:line="20" w:lineRule="exact"/>
              <w:rPr>
                <w:sz w:val="1"/>
                <w:szCs w:val="1"/>
                <w:color w:val="auto"/>
              </w:rPr>
            </w:pPr>
          </w:p>
        </w:tc>
        <w:tc>
          <w:tcPr>
            <w:tcW w:w="108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shd w:val="clear" w:color="auto" w:fill="CCCCFF"/>
          </w:tcPr>
          <w:p>
            <w:pPr>
              <w:spacing w:after="0" w:line="20" w:lineRule="exact"/>
              <w:rPr>
                <w:sz w:val="1"/>
                <w:szCs w:val="1"/>
                <w:color w:val="auto"/>
              </w:rPr>
            </w:pPr>
          </w:p>
        </w:tc>
        <w:tc>
          <w:tcPr>
            <w:tcW w:w="1260" w:type="dxa"/>
            <w:vAlign w:val="bottom"/>
            <w:shd w:val="clear" w:color="auto" w:fill="CCCCFF"/>
          </w:tcPr>
          <w:p>
            <w:pPr>
              <w:spacing w:after="0" w:line="20" w:lineRule="exact"/>
              <w:rPr>
                <w:sz w:val="1"/>
                <w:szCs w:val="1"/>
                <w:color w:val="auto"/>
              </w:rPr>
            </w:pPr>
          </w:p>
        </w:tc>
        <w:tc>
          <w:tcPr>
            <w:tcW w:w="60" w:type="dxa"/>
            <w:vAlign w:val="bottom"/>
            <w:shd w:val="clear" w:color="auto" w:fill="CCCCFF"/>
          </w:tcPr>
          <w:p>
            <w:pPr>
              <w:spacing w:after="0" w:line="20" w:lineRule="exact"/>
              <w:rPr>
                <w:sz w:val="1"/>
                <w:szCs w:val="1"/>
                <w:color w:val="auto"/>
              </w:rPr>
            </w:pPr>
          </w:p>
        </w:tc>
        <w:tc>
          <w:tcPr>
            <w:tcW w:w="80" w:type="dxa"/>
            <w:vAlign w:val="bottom"/>
            <w:tcBorders>
              <w:right w:val="single" w:sz="8" w:color="CCCCFF"/>
            </w:tcBorders>
            <w:shd w:val="clear" w:color="auto" w:fill="CCCC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CCCCFF"/>
          </w:tcPr>
          <w:p>
            <w:pPr>
              <w:spacing w:after="0" w:line="20" w:lineRule="exact"/>
              <w:rPr>
                <w:sz w:val="1"/>
                <w:szCs w:val="1"/>
                <w:color w:val="auto"/>
              </w:rPr>
            </w:pPr>
          </w:p>
        </w:tc>
        <w:tc>
          <w:tcPr>
            <w:tcW w:w="400" w:type="dxa"/>
            <w:vAlign w:val="bottom"/>
            <w:tcBorders>
              <w:right w:val="single" w:sz="8" w:color="CCCCFF"/>
            </w:tcBorders>
            <w:shd w:val="clear" w:color="auto" w:fill="CCCCFF"/>
          </w:tcPr>
          <w:p>
            <w:pPr>
              <w:spacing w:after="0" w:line="20" w:lineRule="exact"/>
              <w:rPr>
                <w:sz w:val="1"/>
                <w:szCs w:val="1"/>
                <w:color w:val="auto"/>
              </w:rPr>
            </w:pPr>
          </w:p>
        </w:tc>
        <w:tc>
          <w:tcPr>
            <w:tcW w:w="26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tcBorders>
              <w:right w:val="single" w:sz="8" w:color="CCCCFF"/>
            </w:tcBorders>
            <w:shd w:val="clear" w:color="auto" w:fill="0000FF"/>
          </w:tcPr>
          <w:p>
            <w:pPr>
              <w:spacing w:after="0" w:line="20" w:lineRule="exact"/>
              <w:rPr>
                <w:sz w:val="1"/>
                <w:szCs w:val="1"/>
                <w:color w:val="auto"/>
              </w:rPr>
            </w:pPr>
          </w:p>
        </w:tc>
        <w:tc>
          <w:tcPr>
            <w:tcW w:w="340" w:type="dxa"/>
            <w:vAlign w:val="bottom"/>
            <w:tcBorders>
              <w:left w:val="single" w:sz="8" w:color="CCCCFF"/>
            </w:tcBorders>
            <w:shd w:val="clear" w:color="auto" w:fill="CCCCFF"/>
          </w:tcPr>
          <w:p>
            <w:pPr>
              <w:spacing w:after="0" w:line="20" w:lineRule="exact"/>
              <w:rPr>
                <w:sz w:val="1"/>
                <w:szCs w:val="1"/>
                <w:color w:val="auto"/>
              </w:rPr>
            </w:pPr>
          </w:p>
        </w:tc>
        <w:tc>
          <w:tcPr>
            <w:tcW w:w="480" w:type="dxa"/>
            <w:vAlign w:val="bottom"/>
            <w:shd w:val="clear" w:color="auto" w:fill="CCCCFF"/>
          </w:tcPr>
          <w:p>
            <w:pPr>
              <w:spacing w:after="0" w:line="20" w:lineRule="exact"/>
              <w:rPr>
                <w:sz w:val="1"/>
                <w:szCs w:val="1"/>
                <w:color w:val="auto"/>
              </w:rPr>
            </w:pPr>
          </w:p>
        </w:tc>
        <w:tc>
          <w:tcPr>
            <w:tcW w:w="1140" w:type="dxa"/>
            <w:vAlign w:val="bottom"/>
            <w:shd w:val="clear" w:color="auto" w:fill="0000FF"/>
          </w:tcPr>
          <w:p>
            <w:pPr>
              <w:spacing w:after="0" w:line="20" w:lineRule="exact"/>
              <w:rPr>
                <w:sz w:val="1"/>
                <w:szCs w:val="1"/>
                <w:color w:val="auto"/>
              </w:rPr>
            </w:pPr>
          </w:p>
        </w:tc>
        <w:tc>
          <w:tcPr>
            <w:tcW w:w="20" w:type="dxa"/>
            <w:vAlign w:val="bottom"/>
            <w:shd w:val="clear" w:color="auto" w:fill="CCCCFF"/>
          </w:tcPr>
          <w:p>
            <w:pPr>
              <w:spacing w:after="0" w:line="20" w:lineRule="exact"/>
              <w:rPr>
                <w:sz w:val="1"/>
                <w:szCs w:val="1"/>
                <w:color w:val="auto"/>
              </w:rPr>
            </w:pPr>
          </w:p>
        </w:tc>
        <w:tc>
          <w:tcPr>
            <w:tcW w:w="940" w:type="dxa"/>
            <w:vAlign w:val="bottom"/>
            <w:shd w:val="clear" w:color="auto" w:fill="CCCCFF"/>
          </w:tcPr>
          <w:p>
            <w:pPr>
              <w:spacing w:after="0" w:line="20" w:lineRule="exact"/>
              <w:rPr>
                <w:sz w:val="1"/>
                <w:szCs w:val="1"/>
                <w:color w:val="auto"/>
              </w:rPr>
            </w:pPr>
          </w:p>
        </w:tc>
      </w:tr>
      <w:tr>
        <w:trPr>
          <w:trHeight w:val="264"/>
        </w:trPr>
        <w:tc>
          <w:tcPr>
            <w:tcW w:w="340" w:type="dxa"/>
            <w:vAlign w:val="bottom"/>
            <w:shd w:val="clear" w:color="auto" w:fill="C0C0C0"/>
          </w:tcPr>
          <w:p>
            <w:pPr>
              <w:spacing w:after="0"/>
              <w:rPr>
                <w:sz w:val="22"/>
                <w:szCs w:val="22"/>
                <w:color w:val="auto"/>
              </w:rPr>
            </w:pPr>
          </w:p>
        </w:tc>
        <w:tc>
          <w:tcPr>
            <w:tcW w:w="40" w:type="dxa"/>
            <w:vAlign w:val="bottom"/>
            <w:shd w:val="clear" w:color="auto" w:fill="C0C0C0"/>
          </w:tcPr>
          <w:p>
            <w:pPr>
              <w:spacing w:after="0"/>
              <w:rPr>
                <w:sz w:val="22"/>
                <w:szCs w:val="22"/>
                <w:color w:val="auto"/>
              </w:rPr>
            </w:pPr>
          </w:p>
        </w:tc>
        <w:tc>
          <w:tcPr>
            <w:tcW w:w="380" w:type="dxa"/>
            <w:vAlign w:val="bottom"/>
            <w:shd w:val="clear" w:color="auto" w:fill="C0C0C0"/>
          </w:tcPr>
          <w:p>
            <w:pPr>
              <w:spacing w:after="0"/>
              <w:rPr>
                <w:sz w:val="22"/>
                <w:szCs w:val="22"/>
                <w:color w:val="auto"/>
              </w:rPr>
            </w:pPr>
          </w:p>
        </w:tc>
        <w:tc>
          <w:tcPr>
            <w:tcW w:w="280" w:type="dxa"/>
            <w:vAlign w:val="bottom"/>
            <w:shd w:val="clear" w:color="auto" w:fill="C0C0C0"/>
          </w:tcPr>
          <w:p>
            <w:pPr>
              <w:spacing w:after="0"/>
              <w:rPr>
                <w:sz w:val="22"/>
                <w:szCs w:val="22"/>
                <w:color w:val="auto"/>
              </w:rPr>
            </w:pPr>
          </w:p>
        </w:tc>
        <w:tc>
          <w:tcPr>
            <w:tcW w:w="420" w:type="dxa"/>
            <w:vAlign w:val="bottom"/>
            <w:shd w:val="clear" w:color="auto" w:fill="C0C0C0"/>
          </w:tcPr>
          <w:p>
            <w:pPr>
              <w:spacing w:after="0"/>
              <w:rPr>
                <w:sz w:val="22"/>
                <w:szCs w:val="22"/>
                <w:color w:val="auto"/>
              </w:rPr>
            </w:pPr>
          </w:p>
        </w:tc>
        <w:tc>
          <w:tcPr>
            <w:tcW w:w="1180" w:type="dxa"/>
            <w:vAlign w:val="bottom"/>
            <w:shd w:val="clear" w:color="auto" w:fill="CCCCFF"/>
          </w:tcPr>
          <w:p>
            <w:pPr>
              <w:spacing w:after="0"/>
              <w:rPr>
                <w:sz w:val="22"/>
                <w:szCs w:val="22"/>
                <w:color w:val="auto"/>
              </w:rPr>
            </w:pPr>
          </w:p>
        </w:tc>
        <w:tc>
          <w:tcPr>
            <w:tcW w:w="360" w:type="dxa"/>
            <w:vAlign w:val="bottom"/>
            <w:tcBorders>
              <w:right w:val="single" w:sz="8" w:color="CCCCFF"/>
            </w:tcBorders>
            <w:shd w:val="clear" w:color="auto" w:fill="CCCCFF"/>
          </w:tcPr>
          <w:p>
            <w:pPr>
              <w:spacing w:after="0"/>
              <w:rPr>
                <w:sz w:val="22"/>
                <w:szCs w:val="22"/>
                <w:color w:val="auto"/>
              </w:rPr>
            </w:pPr>
          </w:p>
        </w:tc>
        <w:tc>
          <w:tcPr>
            <w:tcW w:w="180" w:type="dxa"/>
            <w:vAlign w:val="bottom"/>
            <w:shd w:val="clear" w:color="auto" w:fill="CCCCFF"/>
          </w:tcPr>
          <w:p>
            <w:pPr>
              <w:jc w:val="right"/>
              <w:spacing w:after="0"/>
              <w:rPr>
                <w:sz w:val="20"/>
                <w:szCs w:val="20"/>
                <w:color w:val="auto"/>
              </w:rPr>
            </w:pPr>
            <w:r>
              <w:rPr>
                <w:rFonts w:ascii="Arial" w:cs="Arial" w:eastAsia="Arial" w:hAnsi="Arial"/>
                <w:sz w:val="20"/>
                <w:szCs w:val="20"/>
                <w:color w:val="0000FF"/>
                <w:w w:val="71"/>
              </w:rPr>
              <w:t>12</w:t>
            </w:r>
          </w:p>
        </w:tc>
        <w:tc>
          <w:tcPr>
            <w:tcW w:w="120" w:type="dxa"/>
            <w:vAlign w:val="bottom"/>
            <w:shd w:val="clear" w:color="auto" w:fill="CCCCFF"/>
          </w:tcPr>
          <w:p>
            <w:pPr>
              <w:spacing w:after="0"/>
              <w:rPr>
                <w:sz w:val="22"/>
                <w:szCs w:val="22"/>
                <w:color w:val="auto"/>
              </w:rPr>
            </w:pPr>
          </w:p>
        </w:tc>
        <w:tc>
          <w:tcPr>
            <w:tcW w:w="40" w:type="dxa"/>
            <w:vAlign w:val="bottom"/>
            <w:shd w:val="clear" w:color="auto" w:fill="CCCCFF"/>
          </w:tcPr>
          <w:p>
            <w:pPr>
              <w:spacing w:after="0"/>
              <w:rPr>
                <w:sz w:val="22"/>
                <w:szCs w:val="22"/>
                <w:color w:val="auto"/>
              </w:rPr>
            </w:pPr>
          </w:p>
        </w:tc>
        <w:tc>
          <w:tcPr>
            <w:tcW w:w="100" w:type="dxa"/>
            <w:vAlign w:val="bottom"/>
            <w:shd w:val="clear" w:color="auto" w:fill="CCCCFF"/>
          </w:tcPr>
          <w:p>
            <w:pPr>
              <w:spacing w:after="0"/>
              <w:rPr>
                <w:sz w:val="22"/>
                <w:szCs w:val="22"/>
                <w:color w:val="auto"/>
              </w:rPr>
            </w:pPr>
          </w:p>
        </w:tc>
        <w:tc>
          <w:tcPr>
            <w:tcW w:w="60" w:type="dxa"/>
            <w:vAlign w:val="bottom"/>
            <w:shd w:val="clear" w:color="auto" w:fill="CCCCFF"/>
          </w:tcPr>
          <w:p>
            <w:pPr>
              <w:spacing w:after="0"/>
              <w:rPr>
                <w:sz w:val="22"/>
                <w:szCs w:val="22"/>
                <w:color w:val="auto"/>
              </w:rPr>
            </w:pPr>
          </w:p>
        </w:tc>
        <w:tc>
          <w:tcPr>
            <w:tcW w:w="220" w:type="dxa"/>
            <w:vAlign w:val="bottom"/>
            <w:tcBorders>
              <w:right w:val="single" w:sz="8" w:color="CCCCFF"/>
            </w:tcBorders>
            <w:shd w:val="clear" w:color="auto" w:fill="CCCCFF"/>
          </w:tcPr>
          <w:p>
            <w:pPr>
              <w:spacing w:after="0"/>
              <w:rPr>
                <w:sz w:val="22"/>
                <w:szCs w:val="22"/>
                <w:color w:val="auto"/>
              </w:rPr>
            </w:pPr>
          </w:p>
        </w:tc>
        <w:tc>
          <w:tcPr>
            <w:tcW w:w="1240" w:type="dxa"/>
            <w:vAlign w:val="bottom"/>
            <w:gridSpan w:val="2"/>
            <w:shd w:val="clear" w:color="auto" w:fill="CCCCFF"/>
          </w:tcPr>
          <w:p>
            <w:pPr>
              <w:spacing w:after="0"/>
              <w:rPr>
                <w:sz w:val="20"/>
                <w:szCs w:val="20"/>
                <w:color w:val="auto"/>
              </w:rPr>
            </w:pPr>
            <w:r>
              <w:rPr>
                <w:rFonts w:ascii="Arial" w:cs="Arial" w:eastAsia="Arial" w:hAnsi="Arial"/>
                <w:sz w:val="20"/>
                <w:szCs w:val="20"/>
                <w:color w:val="0000FF"/>
              </w:rPr>
              <w:t>Feb 28, 2017</w:t>
            </w:r>
          </w:p>
        </w:tc>
        <w:tc>
          <w:tcPr>
            <w:tcW w:w="2480" w:type="dxa"/>
            <w:vAlign w:val="bottom"/>
            <w:gridSpan w:val="6"/>
            <w:shd w:val="clear" w:color="auto" w:fill="CCCCFF"/>
          </w:tcPr>
          <w:p>
            <w:pPr>
              <w:jc w:val="right"/>
              <w:ind w:right="40"/>
              <w:spacing w:after="0"/>
              <w:rPr>
                <w:sz w:val="20"/>
                <w:szCs w:val="20"/>
                <w:color w:val="auto"/>
              </w:rPr>
            </w:pPr>
            <w:r>
              <w:rPr>
                <w:rFonts w:ascii="Arial" w:cs="Arial" w:eastAsia="Arial" w:hAnsi="Arial"/>
                <w:sz w:val="20"/>
                <w:szCs w:val="20"/>
                <w:color w:val="0000FF"/>
              </w:rPr>
              <w:t>1,875,000.00</w:t>
            </w:r>
          </w:p>
        </w:tc>
        <w:tc>
          <w:tcPr>
            <w:tcW w:w="1060" w:type="dxa"/>
            <w:vAlign w:val="bottom"/>
            <w:tcBorders>
              <w:right w:val="single" w:sz="8" w:color="CCCCFF"/>
            </w:tcBorders>
            <w:gridSpan w:val="3"/>
            <w:shd w:val="clear" w:color="auto" w:fill="CCCCFF"/>
          </w:tcPr>
          <w:p>
            <w:pPr>
              <w:jc w:val="center"/>
              <w:ind w:left="241"/>
              <w:spacing w:after="0"/>
              <w:rPr>
                <w:sz w:val="20"/>
                <w:szCs w:val="20"/>
                <w:color w:val="auto"/>
              </w:rPr>
            </w:pPr>
            <w:r>
              <w:rPr>
                <w:rFonts w:ascii="Arial" w:cs="Arial" w:eastAsia="Arial" w:hAnsi="Arial"/>
                <w:sz w:val="20"/>
                <w:szCs w:val="20"/>
                <w:color w:val="0000FF"/>
                <w:w w:val="88"/>
              </w:rPr>
              <w:t>2.500%</w:t>
            </w:r>
          </w:p>
        </w:tc>
        <w:tc>
          <w:tcPr>
            <w:tcW w:w="340" w:type="dxa"/>
            <w:vAlign w:val="bottom"/>
            <w:tcBorders>
              <w:left w:val="single" w:sz="8" w:color="CCCCFF"/>
            </w:tcBorders>
            <w:shd w:val="clear" w:color="auto" w:fill="CCCCFF"/>
          </w:tcPr>
          <w:p>
            <w:pPr>
              <w:spacing w:after="0"/>
              <w:rPr>
                <w:sz w:val="22"/>
                <w:szCs w:val="22"/>
                <w:color w:val="auto"/>
              </w:rPr>
            </w:pPr>
          </w:p>
        </w:tc>
        <w:tc>
          <w:tcPr>
            <w:tcW w:w="1640" w:type="dxa"/>
            <w:vAlign w:val="bottom"/>
            <w:gridSpan w:val="3"/>
            <w:shd w:val="clear" w:color="auto" w:fill="CCCCFF"/>
          </w:tcPr>
          <w:p>
            <w:pPr>
              <w:jc w:val="right"/>
              <w:ind w:right="20"/>
              <w:spacing w:after="0"/>
              <w:rPr>
                <w:sz w:val="20"/>
                <w:szCs w:val="20"/>
                <w:color w:val="auto"/>
              </w:rPr>
            </w:pPr>
            <w:r>
              <w:rPr>
                <w:rFonts w:ascii="Arial" w:cs="Arial" w:eastAsia="Arial" w:hAnsi="Arial"/>
                <w:sz w:val="20"/>
                <w:szCs w:val="20"/>
                <w:color w:val="0000FF"/>
              </w:rPr>
              <w:t>58,125,000.00</w:t>
            </w:r>
          </w:p>
        </w:tc>
        <w:tc>
          <w:tcPr>
            <w:tcW w:w="940" w:type="dxa"/>
            <w:vAlign w:val="bottom"/>
            <w:shd w:val="clear" w:color="auto" w:fill="CCCCFF"/>
          </w:tcPr>
          <w:p>
            <w:pPr>
              <w:spacing w:after="0"/>
              <w:rPr>
                <w:sz w:val="22"/>
                <w:szCs w:val="22"/>
                <w:color w:val="auto"/>
              </w:rPr>
            </w:pPr>
          </w:p>
        </w:tc>
      </w:tr>
      <w:tr>
        <w:trPr>
          <w:trHeight w:val="20"/>
        </w:trPr>
        <w:tc>
          <w:tcPr>
            <w:tcW w:w="340" w:type="dxa"/>
            <w:vAlign w:val="bottom"/>
            <w:shd w:val="clear" w:color="auto" w:fill="C0C0C0"/>
          </w:tcPr>
          <w:p>
            <w:pPr>
              <w:spacing w:after="0" w:line="20" w:lineRule="exact"/>
              <w:rPr>
                <w:sz w:val="1"/>
                <w:szCs w:val="1"/>
                <w:color w:val="auto"/>
              </w:rPr>
            </w:pPr>
          </w:p>
        </w:tc>
        <w:tc>
          <w:tcPr>
            <w:tcW w:w="40" w:type="dxa"/>
            <w:vAlign w:val="bottom"/>
            <w:shd w:val="clear" w:color="auto" w:fill="C0C0C0"/>
          </w:tcPr>
          <w:p>
            <w:pPr>
              <w:spacing w:after="0" w:line="20" w:lineRule="exact"/>
              <w:rPr>
                <w:sz w:val="1"/>
                <w:szCs w:val="1"/>
                <w:color w:val="auto"/>
              </w:rPr>
            </w:pPr>
          </w:p>
        </w:tc>
        <w:tc>
          <w:tcPr>
            <w:tcW w:w="380" w:type="dxa"/>
            <w:vAlign w:val="bottom"/>
            <w:shd w:val="clear" w:color="auto" w:fill="C0C0C0"/>
          </w:tcPr>
          <w:p>
            <w:pPr>
              <w:spacing w:after="0" w:line="20" w:lineRule="exact"/>
              <w:rPr>
                <w:sz w:val="1"/>
                <w:szCs w:val="1"/>
                <w:color w:val="auto"/>
              </w:rPr>
            </w:pPr>
          </w:p>
        </w:tc>
        <w:tc>
          <w:tcPr>
            <w:tcW w:w="280" w:type="dxa"/>
            <w:vAlign w:val="bottom"/>
            <w:shd w:val="clear" w:color="auto" w:fill="C0C0C0"/>
          </w:tcPr>
          <w:p>
            <w:pPr>
              <w:spacing w:after="0" w:line="20" w:lineRule="exact"/>
              <w:rPr>
                <w:sz w:val="1"/>
                <w:szCs w:val="1"/>
                <w:color w:val="auto"/>
              </w:rPr>
            </w:pPr>
          </w:p>
        </w:tc>
        <w:tc>
          <w:tcPr>
            <w:tcW w:w="420" w:type="dxa"/>
            <w:vAlign w:val="bottom"/>
            <w:shd w:val="clear" w:color="auto" w:fill="C0C0C0"/>
          </w:tcPr>
          <w:p>
            <w:pPr>
              <w:spacing w:after="0" w:line="20" w:lineRule="exact"/>
              <w:rPr>
                <w:sz w:val="1"/>
                <w:szCs w:val="1"/>
                <w:color w:val="auto"/>
              </w:rPr>
            </w:pPr>
          </w:p>
        </w:tc>
        <w:tc>
          <w:tcPr>
            <w:tcW w:w="1180" w:type="dxa"/>
            <w:vAlign w:val="bottom"/>
            <w:shd w:val="clear" w:color="auto" w:fill="CCCCFF"/>
          </w:tcPr>
          <w:p>
            <w:pPr>
              <w:spacing w:after="0" w:line="20" w:lineRule="exact"/>
              <w:rPr>
                <w:sz w:val="1"/>
                <w:szCs w:val="1"/>
                <w:color w:val="auto"/>
              </w:rPr>
            </w:pPr>
          </w:p>
        </w:tc>
        <w:tc>
          <w:tcPr>
            <w:tcW w:w="360" w:type="dxa"/>
            <w:vAlign w:val="bottom"/>
            <w:tcBorders>
              <w:right w:val="single" w:sz="8" w:color="0000FF"/>
            </w:tcBorders>
            <w:shd w:val="clear" w:color="auto" w:fill="CCCC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20" w:type="dxa"/>
            <w:vAlign w:val="bottom"/>
            <w:shd w:val="clear" w:color="auto" w:fill="CCCCFF"/>
          </w:tcPr>
          <w:p>
            <w:pPr>
              <w:spacing w:after="0" w:line="20" w:lineRule="exact"/>
              <w:rPr>
                <w:sz w:val="1"/>
                <w:szCs w:val="1"/>
                <w:color w:val="auto"/>
              </w:rPr>
            </w:pPr>
          </w:p>
        </w:tc>
        <w:tc>
          <w:tcPr>
            <w:tcW w:w="40" w:type="dxa"/>
            <w:vAlign w:val="bottom"/>
            <w:shd w:val="clear" w:color="auto" w:fill="CCCCFF"/>
          </w:tcPr>
          <w:p>
            <w:pPr>
              <w:spacing w:after="0" w:line="20" w:lineRule="exact"/>
              <w:rPr>
                <w:sz w:val="1"/>
                <w:szCs w:val="1"/>
                <w:color w:val="auto"/>
              </w:rPr>
            </w:pPr>
          </w:p>
        </w:tc>
        <w:tc>
          <w:tcPr>
            <w:tcW w:w="100" w:type="dxa"/>
            <w:vAlign w:val="bottom"/>
            <w:shd w:val="clear" w:color="auto" w:fill="CCCCFF"/>
          </w:tcPr>
          <w:p>
            <w:pPr>
              <w:spacing w:after="0" w:line="20" w:lineRule="exact"/>
              <w:rPr>
                <w:sz w:val="1"/>
                <w:szCs w:val="1"/>
                <w:color w:val="auto"/>
              </w:rPr>
            </w:pPr>
          </w:p>
        </w:tc>
        <w:tc>
          <w:tcPr>
            <w:tcW w:w="60" w:type="dxa"/>
            <w:vAlign w:val="bottom"/>
            <w:shd w:val="clear" w:color="auto" w:fill="CCCCFF"/>
          </w:tcPr>
          <w:p>
            <w:pPr>
              <w:spacing w:after="0" w:line="20" w:lineRule="exact"/>
              <w:rPr>
                <w:sz w:val="1"/>
                <w:szCs w:val="1"/>
                <w:color w:val="auto"/>
              </w:rPr>
            </w:pPr>
          </w:p>
        </w:tc>
        <w:tc>
          <w:tcPr>
            <w:tcW w:w="220" w:type="dxa"/>
            <w:vAlign w:val="bottom"/>
            <w:tcBorders>
              <w:right w:val="single" w:sz="8" w:color="CCCCFF"/>
            </w:tcBorders>
            <w:shd w:val="clear" w:color="auto" w:fill="CCCCFF"/>
          </w:tcPr>
          <w:p>
            <w:pPr>
              <w:spacing w:after="0" w:line="20" w:lineRule="exact"/>
              <w:rPr>
                <w:sz w:val="1"/>
                <w:szCs w:val="1"/>
                <w:color w:val="auto"/>
              </w:rPr>
            </w:pPr>
          </w:p>
        </w:tc>
        <w:tc>
          <w:tcPr>
            <w:tcW w:w="1080" w:type="dxa"/>
            <w:vAlign w:val="bottom"/>
            <w:tcBorders>
              <w:right w:val="single" w:sz="8" w:color="CCCCFF"/>
            </w:tcBorders>
            <w:shd w:val="clear" w:color="auto" w:fill="0000FF"/>
          </w:tcPr>
          <w:p>
            <w:pPr>
              <w:spacing w:after="0" w:line="20" w:lineRule="exact"/>
              <w:rPr>
                <w:sz w:val="1"/>
                <w:szCs w:val="1"/>
                <w:color w:val="auto"/>
              </w:rPr>
            </w:pPr>
          </w:p>
        </w:tc>
        <w:tc>
          <w:tcPr>
            <w:tcW w:w="160" w:type="dxa"/>
            <w:vAlign w:val="bottom"/>
            <w:shd w:val="clear" w:color="auto" w:fill="CCCCFF"/>
          </w:tcPr>
          <w:p>
            <w:pPr>
              <w:spacing w:after="0" w:line="20" w:lineRule="exact"/>
              <w:rPr>
                <w:sz w:val="1"/>
                <w:szCs w:val="1"/>
                <w:color w:val="auto"/>
              </w:rPr>
            </w:pPr>
          </w:p>
        </w:tc>
        <w:tc>
          <w:tcPr>
            <w:tcW w:w="1260" w:type="dxa"/>
            <w:vAlign w:val="bottom"/>
            <w:shd w:val="clear" w:color="auto" w:fill="CCCCFF"/>
          </w:tcPr>
          <w:p>
            <w:pPr>
              <w:spacing w:after="0" w:line="20" w:lineRule="exact"/>
              <w:rPr>
                <w:sz w:val="1"/>
                <w:szCs w:val="1"/>
                <w:color w:val="auto"/>
              </w:rPr>
            </w:pPr>
          </w:p>
        </w:tc>
        <w:tc>
          <w:tcPr>
            <w:tcW w:w="60" w:type="dxa"/>
            <w:vAlign w:val="bottom"/>
            <w:shd w:val="clear" w:color="auto" w:fill="CCCCFF"/>
          </w:tcPr>
          <w:p>
            <w:pPr>
              <w:spacing w:after="0" w:line="20" w:lineRule="exact"/>
              <w:rPr>
                <w:sz w:val="1"/>
                <w:szCs w:val="1"/>
                <w:color w:val="auto"/>
              </w:rPr>
            </w:pPr>
          </w:p>
        </w:tc>
        <w:tc>
          <w:tcPr>
            <w:tcW w:w="80" w:type="dxa"/>
            <w:vAlign w:val="bottom"/>
            <w:tcBorders>
              <w:right w:val="single" w:sz="8" w:color="CCCCFF"/>
            </w:tcBorders>
            <w:shd w:val="clear" w:color="auto" w:fill="CCCC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CCCCFF"/>
          </w:tcPr>
          <w:p>
            <w:pPr>
              <w:spacing w:after="0" w:line="20" w:lineRule="exact"/>
              <w:rPr>
                <w:sz w:val="1"/>
                <w:szCs w:val="1"/>
                <w:color w:val="auto"/>
              </w:rPr>
            </w:pPr>
          </w:p>
        </w:tc>
        <w:tc>
          <w:tcPr>
            <w:tcW w:w="400" w:type="dxa"/>
            <w:vAlign w:val="bottom"/>
            <w:tcBorders>
              <w:right w:val="single" w:sz="8" w:color="CCCCFF"/>
            </w:tcBorders>
            <w:shd w:val="clear" w:color="auto" w:fill="CCCCFF"/>
          </w:tcPr>
          <w:p>
            <w:pPr>
              <w:spacing w:after="0" w:line="20" w:lineRule="exact"/>
              <w:rPr>
                <w:sz w:val="1"/>
                <w:szCs w:val="1"/>
                <w:color w:val="auto"/>
              </w:rPr>
            </w:pPr>
          </w:p>
        </w:tc>
        <w:tc>
          <w:tcPr>
            <w:tcW w:w="26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tcBorders>
              <w:right w:val="single" w:sz="8" w:color="CCCCFF"/>
            </w:tcBorders>
            <w:shd w:val="clear" w:color="auto" w:fill="0000FF"/>
          </w:tcPr>
          <w:p>
            <w:pPr>
              <w:spacing w:after="0" w:line="20" w:lineRule="exact"/>
              <w:rPr>
                <w:sz w:val="1"/>
                <w:szCs w:val="1"/>
                <w:color w:val="auto"/>
              </w:rPr>
            </w:pPr>
          </w:p>
        </w:tc>
        <w:tc>
          <w:tcPr>
            <w:tcW w:w="340" w:type="dxa"/>
            <w:vAlign w:val="bottom"/>
            <w:tcBorders>
              <w:left w:val="single" w:sz="8" w:color="CCCCFF"/>
            </w:tcBorders>
            <w:shd w:val="clear" w:color="auto" w:fill="CCCCFF"/>
          </w:tcPr>
          <w:p>
            <w:pPr>
              <w:spacing w:after="0" w:line="20" w:lineRule="exact"/>
              <w:rPr>
                <w:sz w:val="1"/>
                <w:szCs w:val="1"/>
                <w:color w:val="auto"/>
              </w:rPr>
            </w:pPr>
          </w:p>
        </w:tc>
        <w:tc>
          <w:tcPr>
            <w:tcW w:w="480" w:type="dxa"/>
            <w:vAlign w:val="bottom"/>
            <w:shd w:val="clear" w:color="auto" w:fill="CCCCFF"/>
          </w:tcPr>
          <w:p>
            <w:pPr>
              <w:spacing w:after="0" w:line="20" w:lineRule="exact"/>
              <w:rPr>
                <w:sz w:val="1"/>
                <w:szCs w:val="1"/>
                <w:color w:val="auto"/>
              </w:rPr>
            </w:pPr>
          </w:p>
        </w:tc>
        <w:tc>
          <w:tcPr>
            <w:tcW w:w="1140" w:type="dxa"/>
            <w:vAlign w:val="bottom"/>
            <w:shd w:val="clear" w:color="auto" w:fill="0000FF"/>
          </w:tcPr>
          <w:p>
            <w:pPr>
              <w:spacing w:after="0" w:line="20" w:lineRule="exact"/>
              <w:rPr>
                <w:sz w:val="1"/>
                <w:szCs w:val="1"/>
                <w:color w:val="auto"/>
              </w:rPr>
            </w:pPr>
          </w:p>
        </w:tc>
        <w:tc>
          <w:tcPr>
            <w:tcW w:w="20" w:type="dxa"/>
            <w:vAlign w:val="bottom"/>
            <w:shd w:val="clear" w:color="auto" w:fill="CCCCFF"/>
          </w:tcPr>
          <w:p>
            <w:pPr>
              <w:spacing w:after="0" w:line="20" w:lineRule="exact"/>
              <w:rPr>
                <w:sz w:val="1"/>
                <w:szCs w:val="1"/>
                <w:color w:val="auto"/>
              </w:rPr>
            </w:pPr>
          </w:p>
        </w:tc>
        <w:tc>
          <w:tcPr>
            <w:tcW w:w="940" w:type="dxa"/>
            <w:vAlign w:val="bottom"/>
            <w:shd w:val="clear" w:color="auto" w:fill="CCCCFF"/>
          </w:tcPr>
          <w:p>
            <w:pPr>
              <w:spacing w:after="0" w:line="20" w:lineRule="exact"/>
              <w:rPr>
                <w:sz w:val="1"/>
                <w:szCs w:val="1"/>
                <w:color w:val="auto"/>
              </w:rPr>
            </w:pPr>
          </w:p>
        </w:tc>
      </w:tr>
      <w:tr>
        <w:trPr>
          <w:trHeight w:val="264"/>
        </w:trPr>
        <w:tc>
          <w:tcPr>
            <w:tcW w:w="340" w:type="dxa"/>
            <w:vAlign w:val="bottom"/>
            <w:shd w:val="clear" w:color="auto" w:fill="C0C0C0"/>
          </w:tcPr>
          <w:p>
            <w:pPr>
              <w:spacing w:after="0"/>
              <w:rPr>
                <w:sz w:val="22"/>
                <w:szCs w:val="22"/>
                <w:color w:val="auto"/>
              </w:rPr>
            </w:pPr>
          </w:p>
        </w:tc>
        <w:tc>
          <w:tcPr>
            <w:tcW w:w="40" w:type="dxa"/>
            <w:vAlign w:val="bottom"/>
            <w:shd w:val="clear" w:color="auto" w:fill="C0C0C0"/>
          </w:tcPr>
          <w:p>
            <w:pPr>
              <w:spacing w:after="0"/>
              <w:rPr>
                <w:sz w:val="22"/>
                <w:szCs w:val="22"/>
                <w:color w:val="auto"/>
              </w:rPr>
            </w:pPr>
          </w:p>
        </w:tc>
        <w:tc>
          <w:tcPr>
            <w:tcW w:w="380" w:type="dxa"/>
            <w:vAlign w:val="bottom"/>
            <w:shd w:val="clear" w:color="auto" w:fill="C0C0C0"/>
          </w:tcPr>
          <w:p>
            <w:pPr>
              <w:spacing w:after="0"/>
              <w:rPr>
                <w:sz w:val="22"/>
                <w:szCs w:val="22"/>
                <w:color w:val="auto"/>
              </w:rPr>
            </w:pPr>
          </w:p>
        </w:tc>
        <w:tc>
          <w:tcPr>
            <w:tcW w:w="280" w:type="dxa"/>
            <w:vAlign w:val="bottom"/>
            <w:shd w:val="clear" w:color="auto" w:fill="C0C0C0"/>
          </w:tcPr>
          <w:p>
            <w:pPr>
              <w:spacing w:after="0"/>
              <w:rPr>
                <w:sz w:val="22"/>
                <w:szCs w:val="22"/>
                <w:color w:val="auto"/>
              </w:rPr>
            </w:pPr>
          </w:p>
        </w:tc>
        <w:tc>
          <w:tcPr>
            <w:tcW w:w="420" w:type="dxa"/>
            <w:vAlign w:val="bottom"/>
            <w:shd w:val="clear" w:color="auto" w:fill="C0C0C0"/>
          </w:tcPr>
          <w:p>
            <w:pPr>
              <w:spacing w:after="0"/>
              <w:rPr>
                <w:sz w:val="22"/>
                <w:szCs w:val="22"/>
                <w:color w:val="auto"/>
              </w:rPr>
            </w:pPr>
          </w:p>
        </w:tc>
        <w:tc>
          <w:tcPr>
            <w:tcW w:w="1180" w:type="dxa"/>
            <w:vAlign w:val="bottom"/>
            <w:shd w:val="clear" w:color="auto" w:fill="CCCCFF"/>
          </w:tcPr>
          <w:p>
            <w:pPr>
              <w:spacing w:after="0"/>
              <w:rPr>
                <w:sz w:val="22"/>
                <w:szCs w:val="22"/>
                <w:color w:val="auto"/>
              </w:rPr>
            </w:pPr>
          </w:p>
        </w:tc>
        <w:tc>
          <w:tcPr>
            <w:tcW w:w="360" w:type="dxa"/>
            <w:vAlign w:val="bottom"/>
            <w:tcBorders>
              <w:right w:val="single" w:sz="8" w:color="CCCCFF"/>
            </w:tcBorders>
            <w:shd w:val="clear" w:color="auto" w:fill="CCCCFF"/>
          </w:tcPr>
          <w:p>
            <w:pPr>
              <w:spacing w:after="0"/>
              <w:rPr>
                <w:sz w:val="22"/>
                <w:szCs w:val="22"/>
                <w:color w:val="auto"/>
              </w:rPr>
            </w:pPr>
          </w:p>
        </w:tc>
        <w:tc>
          <w:tcPr>
            <w:tcW w:w="180" w:type="dxa"/>
            <w:vAlign w:val="bottom"/>
            <w:shd w:val="clear" w:color="auto" w:fill="CCCCFF"/>
          </w:tcPr>
          <w:p>
            <w:pPr>
              <w:jc w:val="right"/>
              <w:spacing w:after="0"/>
              <w:rPr>
                <w:sz w:val="20"/>
                <w:szCs w:val="20"/>
                <w:color w:val="auto"/>
              </w:rPr>
            </w:pPr>
            <w:r>
              <w:rPr>
                <w:rFonts w:ascii="Arial" w:cs="Arial" w:eastAsia="Arial" w:hAnsi="Arial"/>
                <w:sz w:val="20"/>
                <w:szCs w:val="20"/>
                <w:color w:val="0000FF"/>
                <w:w w:val="71"/>
              </w:rPr>
              <w:t>13</w:t>
            </w:r>
          </w:p>
        </w:tc>
        <w:tc>
          <w:tcPr>
            <w:tcW w:w="120" w:type="dxa"/>
            <w:vAlign w:val="bottom"/>
            <w:shd w:val="clear" w:color="auto" w:fill="CCCCFF"/>
          </w:tcPr>
          <w:p>
            <w:pPr>
              <w:spacing w:after="0"/>
              <w:rPr>
                <w:sz w:val="22"/>
                <w:szCs w:val="22"/>
                <w:color w:val="auto"/>
              </w:rPr>
            </w:pPr>
          </w:p>
        </w:tc>
        <w:tc>
          <w:tcPr>
            <w:tcW w:w="40" w:type="dxa"/>
            <w:vAlign w:val="bottom"/>
            <w:shd w:val="clear" w:color="auto" w:fill="CCCCFF"/>
          </w:tcPr>
          <w:p>
            <w:pPr>
              <w:spacing w:after="0"/>
              <w:rPr>
                <w:sz w:val="22"/>
                <w:szCs w:val="22"/>
                <w:color w:val="auto"/>
              </w:rPr>
            </w:pPr>
          </w:p>
        </w:tc>
        <w:tc>
          <w:tcPr>
            <w:tcW w:w="100" w:type="dxa"/>
            <w:vAlign w:val="bottom"/>
            <w:shd w:val="clear" w:color="auto" w:fill="CCCCFF"/>
          </w:tcPr>
          <w:p>
            <w:pPr>
              <w:spacing w:after="0"/>
              <w:rPr>
                <w:sz w:val="22"/>
                <w:szCs w:val="22"/>
                <w:color w:val="auto"/>
              </w:rPr>
            </w:pPr>
          </w:p>
        </w:tc>
        <w:tc>
          <w:tcPr>
            <w:tcW w:w="60" w:type="dxa"/>
            <w:vAlign w:val="bottom"/>
            <w:shd w:val="clear" w:color="auto" w:fill="CCCCFF"/>
          </w:tcPr>
          <w:p>
            <w:pPr>
              <w:spacing w:after="0"/>
              <w:rPr>
                <w:sz w:val="22"/>
                <w:szCs w:val="22"/>
                <w:color w:val="auto"/>
              </w:rPr>
            </w:pPr>
          </w:p>
        </w:tc>
        <w:tc>
          <w:tcPr>
            <w:tcW w:w="220" w:type="dxa"/>
            <w:vAlign w:val="bottom"/>
            <w:tcBorders>
              <w:right w:val="single" w:sz="8" w:color="CCCCFF"/>
            </w:tcBorders>
            <w:shd w:val="clear" w:color="auto" w:fill="CCCCFF"/>
          </w:tcPr>
          <w:p>
            <w:pPr>
              <w:spacing w:after="0"/>
              <w:rPr>
                <w:sz w:val="22"/>
                <w:szCs w:val="22"/>
                <w:color w:val="auto"/>
              </w:rPr>
            </w:pPr>
          </w:p>
        </w:tc>
        <w:tc>
          <w:tcPr>
            <w:tcW w:w="1080" w:type="dxa"/>
            <w:vAlign w:val="bottom"/>
            <w:tcBorders>
              <w:right w:val="single" w:sz="8" w:color="CCCCFF"/>
            </w:tcBorders>
            <w:shd w:val="clear" w:color="auto" w:fill="CCCCFF"/>
          </w:tcPr>
          <w:p>
            <w:pPr>
              <w:spacing w:after="0"/>
              <w:rPr>
                <w:sz w:val="20"/>
                <w:szCs w:val="20"/>
                <w:color w:val="auto"/>
              </w:rPr>
            </w:pPr>
            <w:r>
              <w:rPr>
                <w:rFonts w:ascii="Arial" w:cs="Arial" w:eastAsia="Arial" w:hAnsi="Arial"/>
                <w:sz w:val="20"/>
                <w:szCs w:val="20"/>
                <w:color w:val="0000FF"/>
                <w:w w:val="85"/>
              </w:rPr>
              <w:t>May 31, 2017</w:t>
            </w:r>
          </w:p>
        </w:tc>
        <w:tc>
          <w:tcPr>
            <w:tcW w:w="160" w:type="dxa"/>
            <w:vAlign w:val="bottom"/>
            <w:shd w:val="clear" w:color="auto" w:fill="CCCCFF"/>
          </w:tcPr>
          <w:p>
            <w:pPr>
              <w:spacing w:after="0"/>
              <w:rPr>
                <w:sz w:val="22"/>
                <w:szCs w:val="22"/>
                <w:color w:val="auto"/>
              </w:rPr>
            </w:pPr>
          </w:p>
        </w:tc>
        <w:tc>
          <w:tcPr>
            <w:tcW w:w="1400" w:type="dxa"/>
            <w:vAlign w:val="bottom"/>
            <w:tcBorders>
              <w:right w:val="single" w:sz="8" w:color="CCCCFF"/>
            </w:tcBorders>
            <w:gridSpan w:val="3"/>
            <w:shd w:val="clear" w:color="auto" w:fill="CCCCFF"/>
          </w:tcPr>
          <w:p>
            <w:pPr>
              <w:spacing w:after="0"/>
              <w:rPr>
                <w:sz w:val="22"/>
                <w:szCs w:val="22"/>
                <w:color w:val="auto"/>
              </w:rPr>
            </w:pPr>
          </w:p>
        </w:tc>
        <w:tc>
          <w:tcPr>
            <w:tcW w:w="1080" w:type="dxa"/>
            <w:vAlign w:val="bottom"/>
            <w:gridSpan w:val="3"/>
            <w:shd w:val="clear" w:color="auto" w:fill="CCCCFF"/>
          </w:tcPr>
          <w:p>
            <w:pPr>
              <w:jc w:val="right"/>
              <w:ind w:right="40"/>
              <w:spacing w:after="0"/>
              <w:rPr>
                <w:sz w:val="20"/>
                <w:szCs w:val="20"/>
                <w:color w:val="auto"/>
              </w:rPr>
            </w:pPr>
            <w:r>
              <w:rPr>
                <w:rFonts w:ascii="Arial" w:cs="Arial" w:eastAsia="Arial" w:hAnsi="Arial"/>
                <w:sz w:val="20"/>
                <w:szCs w:val="20"/>
                <w:color w:val="0000FF"/>
                <w:w w:val="87"/>
              </w:rPr>
              <w:t>2,343,750.00</w:t>
            </w:r>
          </w:p>
        </w:tc>
        <w:tc>
          <w:tcPr>
            <w:tcW w:w="1060" w:type="dxa"/>
            <w:vAlign w:val="bottom"/>
            <w:tcBorders>
              <w:right w:val="single" w:sz="8" w:color="CCCCFF"/>
            </w:tcBorders>
            <w:gridSpan w:val="3"/>
            <w:shd w:val="clear" w:color="auto" w:fill="CCCCFF"/>
          </w:tcPr>
          <w:p>
            <w:pPr>
              <w:jc w:val="center"/>
              <w:ind w:left="241"/>
              <w:spacing w:after="0"/>
              <w:rPr>
                <w:sz w:val="20"/>
                <w:szCs w:val="20"/>
                <w:color w:val="auto"/>
              </w:rPr>
            </w:pPr>
            <w:r>
              <w:rPr>
                <w:rFonts w:ascii="Arial" w:cs="Arial" w:eastAsia="Arial" w:hAnsi="Arial"/>
                <w:sz w:val="20"/>
                <w:szCs w:val="20"/>
                <w:color w:val="0000FF"/>
                <w:w w:val="88"/>
              </w:rPr>
              <w:t>3.125%</w:t>
            </w:r>
          </w:p>
        </w:tc>
        <w:tc>
          <w:tcPr>
            <w:tcW w:w="340" w:type="dxa"/>
            <w:vAlign w:val="bottom"/>
            <w:tcBorders>
              <w:left w:val="single" w:sz="8" w:color="CCCCFF"/>
            </w:tcBorders>
            <w:shd w:val="clear" w:color="auto" w:fill="CCCCFF"/>
          </w:tcPr>
          <w:p>
            <w:pPr>
              <w:spacing w:after="0"/>
              <w:rPr>
                <w:sz w:val="22"/>
                <w:szCs w:val="22"/>
                <w:color w:val="auto"/>
              </w:rPr>
            </w:pPr>
          </w:p>
        </w:tc>
        <w:tc>
          <w:tcPr>
            <w:tcW w:w="1640" w:type="dxa"/>
            <w:vAlign w:val="bottom"/>
            <w:gridSpan w:val="3"/>
            <w:shd w:val="clear" w:color="auto" w:fill="CCCCFF"/>
          </w:tcPr>
          <w:p>
            <w:pPr>
              <w:jc w:val="right"/>
              <w:ind w:right="20"/>
              <w:spacing w:after="0"/>
              <w:rPr>
                <w:sz w:val="20"/>
                <w:szCs w:val="20"/>
                <w:color w:val="auto"/>
              </w:rPr>
            </w:pPr>
            <w:r>
              <w:rPr>
                <w:rFonts w:ascii="Arial" w:cs="Arial" w:eastAsia="Arial" w:hAnsi="Arial"/>
                <w:sz w:val="20"/>
                <w:szCs w:val="20"/>
                <w:color w:val="0000FF"/>
              </w:rPr>
              <w:t>55,781,250.00</w:t>
            </w:r>
          </w:p>
        </w:tc>
        <w:tc>
          <w:tcPr>
            <w:tcW w:w="940" w:type="dxa"/>
            <w:vAlign w:val="bottom"/>
            <w:shd w:val="clear" w:color="auto" w:fill="CCCCFF"/>
          </w:tcPr>
          <w:p>
            <w:pPr>
              <w:spacing w:after="0"/>
              <w:rPr>
                <w:sz w:val="22"/>
                <w:szCs w:val="22"/>
                <w:color w:val="auto"/>
              </w:rPr>
            </w:pPr>
          </w:p>
        </w:tc>
      </w:tr>
      <w:tr>
        <w:trPr>
          <w:trHeight w:val="20"/>
        </w:trPr>
        <w:tc>
          <w:tcPr>
            <w:tcW w:w="340" w:type="dxa"/>
            <w:vAlign w:val="bottom"/>
            <w:shd w:val="clear" w:color="auto" w:fill="C0C0C0"/>
          </w:tcPr>
          <w:p>
            <w:pPr>
              <w:spacing w:after="0" w:line="20" w:lineRule="exact"/>
              <w:rPr>
                <w:sz w:val="1"/>
                <w:szCs w:val="1"/>
                <w:color w:val="auto"/>
              </w:rPr>
            </w:pPr>
          </w:p>
        </w:tc>
        <w:tc>
          <w:tcPr>
            <w:tcW w:w="40" w:type="dxa"/>
            <w:vAlign w:val="bottom"/>
            <w:shd w:val="clear" w:color="auto" w:fill="C0C0C0"/>
          </w:tcPr>
          <w:p>
            <w:pPr>
              <w:spacing w:after="0" w:line="20" w:lineRule="exact"/>
              <w:rPr>
                <w:sz w:val="1"/>
                <w:szCs w:val="1"/>
                <w:color w:val="auto"/>
              </w:rPr>
            </w:pPr>
          </w:p>
        </w:tc>
        <w:tc>
          <w:tcPr>
            <w:tcW w:w="380" w:type="dxa"/>
            <w:vAlign w:val="bottom"/>
            <w:shd w:val="clear" w:color="auto" w:fill="C0C0C0"/>
          </w:tcPr>
          <w:p>
            <w:pPr>
              <w:spacing w:after="0" w:line="20" w:lineRule="exact"/>
              <w:rPr>
                <w:sz w:val="1"/>
                <w:szCs w:val="1"/>
                <w:color w:val="auto"/>
              </w:rPr>
            </w:pPr>
          </w:p>
        </w:tc>
        <w:tc>
          <w:tcPr>
            <w:tcW w:w="280" w:type="dxa"/>
            <w:vAlign w:val="bottom"/>
            <w:shd w:val="clear" w:color="auto" w:fill="C0C0C0"/>
          </w:tcPr>
          <w:p>
            <w:pPr>
              <w:spacing w:after="0" w:line="20" w:lineRule="exact"/>
              <w:rPr>
                <w:sz w:val="1"/>
                <w:szCs w:val="1"/>
                <w:color w:val="auto"/>
              </w:rPr>
            </w:pPr>
          </w:p>
        </w:tc>
        <w:tc>
          <w:tcPr>
            <w:tcW w:w="420" w:type="dxa"/>
            <w:vAlign w:val="bottom"/>
            <w:shd w:val="clear" w:color="auto" w:fill="C0C0C0"/>
          </w:tcPr>
          <w:p>
            <w:pPr>
              <w:spacing w:after="0" w:line="20" w:lineRule="exact"/>
              <w:rPr>
                <w:sz w:val="1"/>
                <w:szCs w:val="1"/>
                <w:color w:val="auto"/>
              </w:rPr>
            </w:pPr>
          </w:p>
        </w:tc>
        <w:tc>
          <w:tcPr>
            <w:tcW w:w="1180" w:type="dxa"/>
            <w:vAlign w:val="bottom"/>
            <w:shd w:val="clear" w:color="auto" w:fill="CCCCFF"/>
          </w:tcPr>
          <w:p>
            <w:pPr>
              <w:spacing w:after="0" w:line="20" w:lineRule="exact"/>
              <w:rPr>
                <w:sz w:val="1"/>
                <w:szCs w:val="1"/>
                <w:color w:val="auto"/>
              </w:rPr>
            </w:pPr>
          </w:p>
        </w:tc>
        <w:tc>
          <w:tcPr>
            <w:tcW w:w="360" w:type="dxa"/>
            <w:vAlign w:val="bottom"/>
            <w:tcBorders>
              <w:right w:val="single" w:sz="8" w:color="0000FF"/>
            </w:tcBorders>
            <w:shd w:val="clear" w:color="auto" w:fill="CCCC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20" w:type="dxa"/>
            <w:vAlign w:val="bottom"/>
            <w:shd w:val="clear" w:color="auto" w:fill="CCCCFF"/>
          </w:tcPr>
          <w:p>
            <w:pPr>
              <w:spacing w:after="0" w:line="20" w:lineRule="exact"/>
              <w:rPr>
                <w:sz w:val="1"/>
                <w:szCs w:val="1"/>
                <w:color w:val="auto"/>
              </w:rPr>
            </w:pPr>
          </w:p>
        </w:tc>
        <w:tc>
          <w:tcPr>
            <w:tcW w:w="40" w:type="dxa"/>
            <w:vAlign w:val="bottom"/>
            <w:shd w:val="clear" w:color="auto" w:fill="CCCCFF"/>
          </w:tcPr>
          <w:p>
            <w:pPr>
              <w:spacing w:after="0" w:line="20" w:lineRule="exact"/>
              <w:rPr>
                <w:sz w:val="1"/>
                <w:szCs w:val="1"/>
                <w:color w:val="auto"/>
              </w:rPr>
            </w:pPr>
          </w:p>
        </w:tc>
        <w:tc>
          <w:tcPr>
            <w:tcW w:w="100" w:type="dxa"/>
            <w:vAlign w:val="bottom"/>
            <w:shd w:val="clear" w:color="auto" w:fill="CCCCFF"/>
          </w:tcPr>
          <w:p>
            <w:pPr>
              <w:spacing w:after="0" w:line="20" w:lineRule="exact"/>
              <w:rPr>
                <w:sz w:val="1"/>
                <w:szCs w:val="1"/>
                <w:color w:val="auto"/>
              </w:rPr>
            </w:pPr>
          </w:p>
        </w:tc>
        <w:tc>
          <w:tcPr>
            <w:tcW w:w="60" w:type="dxa"/>
            <w:vAlign w:val="bottom"/>
            <w:shd w:val="clear" w:color="auto" w:fill="CCCCFF"/>
          </w:tcPr>
          <w:p>
            <w:pPr>
              <w:spacing w:after="0" w:line="20" w:lineRule="exact"/>
              <w:rPr>
                <w:sz w:val="1"/>
                <w:szCs w:val="1"/>
                <w:color w:val="auto"/>
              </w:rPr>
            </w:pPr>
          </w:p>
        </w:tc>
        <w:tc>
          <w:tcPr>
            <w:tcW w:w="220" w:type="dxa"/>
            <w:vAlign w:val="bottom"/>
            <w:tcBorders>
              <w:right w:val="single" w:sz="8" w:color="0000FF"/>
            </w:tcBorders>
            <w:shd w:val="clear" w:color="auto" w:fill="CCCCFF"/>
          </w:tcPr>
          <w:p>
            <w:pPr>
              <w:spacing w:after="0" w:line="20" w:lineRule="exact"/>
              <w:rPr>
                <w:sz w:val="1"/>
                <w:szCs w:val="1"/>
                <w:color w:val="auto"/>
              </w:rPr>
            </w:pPr>
          </w:p>
        </w:tc>
        <w:tc>
          <w:tcPr>
            <w:tcW w:w="108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shd w:val="clear" w:color="auto" w:fill="CCCCFF"/>
          </w:tcPr>
          <w:p>
            <w:pPr>
              <w:spacing w:after="0" w:line="20" w:lineRule="exact"/>
              <w:rPr>
                <w:sz w:val="1"/>
                <w:szCs w:val="1"/>
                <w:color w:val="auto"/>
              </w:rPr>
            </w:pPr>
          </w:p>
        </w:tc>
        <w:tc>
          <w:tcPr>
            <w:tcW w:w="1260" w:type="dxa"/>
            <w:vAlign w:val="bottom"/>
            <w:shd w:val="clear" w:color="auto" w:fill="CCCCFF"/>
          </w:tcPr>
          <w:p>
            <w:pPr>
              <w:spacing w:after="0" w:line="20" w:lineRule="exact"/>
              <w:rPr>
                <w:sz w:val="1"/>
                <w:szCs w:val="1"/>
                <w:color w:val="auto"/>
              </w:rPr>
            </w:pPr>
          </w:p>
        </w:tc>
        <w:tc>
          <w:tcPr>
            <w:tcW w:w="60" w:type="dxa"/>
            <w:vAlign w:val="bottom"/>
            <w:shd w:val="clear" w:color="auto" w:fill="CCCCFF"/>
          </w:tcPr>
          <w:p>
            <w:pPr>
              <w:spacing w:after="0" w:line="20" w:lineRule="exact"/>
              <w:rPr>
                <w:sz w:val="1"/>
                <w:szCs w:val="1"/>
                <w:color w:val="auto"/>
              </w:rPr>
            </w:pPr>
          </w:p>
        </w:tc>
        <w:tc>
          <w:tcPr>
            <w:tcW w:w="80" w:type="dxa"/>
            <w:vAlign w:val="bottom"/>
            <w:tcBorders>
              <w:right w:val="single" w:sz="8" w:color="CCCCFF"/>
            </w:tcBorders>
            <w:shd w:val="clear" w:color="auto" w:fill="CCCC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CCCCFF"/>
          </w:tcPr>
          <w:p>
            <w:pPr>
              <w:spacing w:after="0" w:line="20" w:lineRule="exact"/>
              <w:rPr>
                <w:sz w:val="1"/>
                <w:szCs w:val="1"/>
                <w:color w:val="auto"/>
              </w:rPr>
            </w:pPr>
          </w:p>
        </w:tc>
        <w:tc>
          <w:tcPr>
            <w:tcW w:w="400" w:type="dxa"/>
            <w:vAlign w:val="bottom"/>
            <w:tcBorders>
              <w:right w:val="single" w:sz="8" w:color="CCCCFF"/>
            </w:tcBorders>
            <w:shd w:val="clear" w:color="auto" w:fill="CCCCFF"/>
          </w:tcPr>
          <w:p>
            <w:pPr>
              <w:spacing w:after="0" w:line="20" w:lineRule="exact"/>
              <w:rPr>
                <w:sz w:val="1"/>
                <w:szCs w:val="1"/>
                <w:color w:val="auto"/>
              </w:rPr>
            </w:pPr>
          </w:p>
        </w:tc>
        <w:tc>
          <w:tcPr>
            <w:tcW w:w="26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tcBorders>
              <w:right w:val="single" w:sz="8" w:color="CCCCFF"/>
            </w:tcBorders>
            <w:shd w:val="clear" w:color="auto" w:fill="0000FF"/>
          </w:tcPr>
          <w:p>
            <w:pPr>
              <w:spacing w:after="0" w:line="20" w:lineRule="exact"/>
              <w:rPr>
                <w:sz w:val="1"/>
                <w:szCs w:val="1"/>
                <w:color w:val="auto"/>
              </w:rPr>
            </w:pPr>
          </w:p>
        </w:tc>
        <w:tc>
          <w:tcPr>
            <w:tcW w:w="340" w:type="dxa"/>
            <w:vAlign w:val="bottom"/>
            <w:tcBorders>
              <w:left w:val="single" w:sz="8" w:color="CCCCFF"/>
            </w:tcBorders>
            <w:shd w:val="clear" w:color="auto" w:fill="CCCCFF"/>
          </w:tcPr>
          <w:p>
            <w:pPr>
              <w:spacing w:after="0" w:line="20" w:lineRule="exact"/>
              <w:rPr>
                <w:sz w:val="1"/>
                <w:szCs w:val="1"/>
                <w:color w:val="auto"/>
              </w:rPr>
            </w:pPr>
          </w:p>
        </w:tc>
        <w:tc>
          <w:tcPr>
            <w:tcW w:w="480" w:type="dxa"/>
            <w:vAlign w:val="bottom"/>
            <w:shd w:val="clear" w:color="auto" w:fill="CCCCFF"/>
          </w:tcPr>
          <w:p>
            <w:pPr>
              <w:spacing w:after="0" w:line="20" w:lineRule="exact"/>
              <w:rPr>
                <w:sz w:val="1"/>
                <w:szCs w:val="1"/>
                <w:color w:val="auto"/>
              </w:rPr>
            </w:pPr>
          </w:p>
        </w:tc>
        <w:tc>
          <w:tcPr>
            <w:tcW w:w="1140" w:type="dxa"/>
            <w:vAlign w:val="bottom"/>
            <w:shd w:val="clear" w:color="auto" w:fill="0000FF"/>
          </w:tcPr>
          <w:p>
            <w:pPr>
              <w:spacing w:after="0" w:line="20" w:lineRule="exact"/>
              <w:rPr>
                <w:sz w:val="1"/>
                <w:szCs w:val="1"/>
                <w:color w:val="auto"/>
              </w:rPr>
            </w:pPr>
          </w:p>
        </w:tc>
        <w:tc>
          <w:tcPr>
            <w:tcW w:w="20" w:type="dxa"/>
            <w:vAlign w:val="bottom"/>
            <w:shd w:val="clear" w:color="auto" w:fill="CCCCFF"/>
          </w:tcPr>
          <w:p>
            <w:pPr>
              <w:spacing w:after="0" w:line="20" w:lineRule="exact"/>
              <w:rPr>
                <w:sz w:val="1"/>
                <w:szCs w:val="1"/>
                <w:color w:val="auto"/>
              </w:rPr>
            </w:pPr>
          </w:p>
        </w:tc>
        <w:tc>
          <w:tcPr>
            <w:tcW w:w="940" w:type="dxa"/>
            <w:vAlign w:val="bottom"/>
            <w:shd w:val="clear" w:color="auto" w:fill="CCCCFF"/>
          </w:tcPr>
          <w:p>
            <w:pPr>
              <w:spacing w:after="0" w:line="20" w:lineRule="exact"/>
              <w:rPr>
                <w:sz w:val="1"/>
                <w:szCs w:val="1"/>
                <w:color w:val="auto"/>
              </w:rPr>
            </w:pPr>
          </w:p>
        </w:tc>
      </w:tr>
      <w:tr>
        <w:trPr>
          <w:trHeight w:val="264"/>
        </w:trPr>
        <w:tc>
          <w:tcPr>
            <w:tcW w:w="340" w:type="dxa"/>
            <w:vAlign w:val="bottom"/>
            <w:shd w:val="clear" w:color="auto" w:fill="C0C0C0"/>
          </w:tcPr>
          <w:p>
            <w:pPr>
              <w:spacing w:after="0"/>
              <w:rPr>
                <w:sz w:val="22"/>
                <w:szCs w:val="22"/>
                <w:color w:val="auto"/>
              </w:rPr>
            </w:pPr>
          </w:p>
        </w:tc>
        <w:tc>
          <w:tcPr>
            <w:tcW w:w="40" w:type="dxa"/>
            <w:vAlign w:val="bottom"/>
            <w:shd w:val="clear" w:color="auto" w:fill="C0C0C0"/>
          </w:tcPr>
          <w:p>
            <w:pPr>
              <w:spacing w:after="0"/>
              <w:rPr>
                <w:sz w:val="22"/>
                <w:szCs w:val="22"/>
                <w:color w:val="auto"/>
              </w:rPr>
            </w:pPr>
          </w:p>
        </w:tc>
        <w:tc>
          <w:tcPr>
            <w:tcW w:w="380" w:type="dxa"/>
            <w:vAlign w:val="bottom"/>
            <w:shd w:val="clear" w:color="auto" w:fill="C0C0C0"/>
          </w:tcPr>
          <w:p>
            <w:pPr>
              <w:spacing w:after="0"/>
              <w:rPr>
                <w:sz w:val="22"/>
                <w:szCs w:val="22"/>
                <w:color w:val="auto"/>
              </w:rPr>
            </w:pPr>
          </w:p>
        </w:tc>
        <w:tc>
          <w:tcPr>
            <w:tcW w:w="280" w:type="dxa"/>
            <w:vAlign w:val="bottom"/>
            <w:shd w:val="clear" w:color="auto" w:fill="C0C0C0"/>
          </w:tcPr>
          <w:p>
            <w:pPr>
              <w:spacing w:after="0"/>
              <w:rPr>
                <w:sz w:val="22"/>
                <w:szCs w:val="22"/>
                <w:color w:val="auto"/>
              </w:rPr>
            </w:pPr>
          </w:p>
        </w:tc>
        <w:tc>
          <w:tcPr>
            <w:tcW w:w="420" w:type="dxa"/>
            <w:vAlign w:val="bottom"/>
            <w:shd w:val="clear" w:color="auto" w:fill="C0C0C0"/>
          </w:tcPr>
          <w:p>
            <w:pPr>
              <w:spacing w:after="0"/>
              <w:rPr>
                <w:sz w:val="22"/>
                <w:szCs w:val="22"/>
                <w:color w:val="auto"/>
              </w:rPr>
            </w:pPr>
          </w:p>
        </w:tc>
        <w:tc>
          <w:tcPr>
            <w:tcW w:w="1180" w:type="dxa"/>
            <w:vAlign w:val="bottom"/>
            <w:shd w:val="clear" w:color="auto" w:fill="CCCCFF"/>
          </w:tcPr>
          <w:p>
            <w:pPr>
              <w:spacing w:after="0"/>
              <w:rPr>
                <w:sz w:val="22"/>
                <w:szCs w:val="22"/>
                <w:color w:val="auto"/>
              </w:rPr>
            </w:pPr>
          </w:p>
        </w:tc>
        <w:tc>
          <w:tcPr>
            <w:tcW w:w="360" w:type="dxa"/>
            <w:vAlign w:val="bottom"/>
            <w:tcBorders>
              <w:right w:val="single" w:sz="8" w:color="CCCCFF"/>
            </w:tcBorders>
            <w:shd w:val="clear" w:color="auto" w:fill="CCCCFF"/>
          </w:tcPr>
          <w:p>
            <w:pPr>
              <w:spacing w:after="0"/>
              <w:rPr>
                <w:sz w:val="22"/>
                <w:szCs w:val="22"/>
                <w:color w:val="auto"/>
              </w:rPr>
            </w:pPr>
          </w:p>
        </w:tc>
        <w:tc>
          <w:tcPr>
            <w:tcW w:w="180" w:type="dxa"/>
            <w:vAlign w:val="bottom"/>
            <w:shd w:val="clear" w:color="auto" w:fill="CCCCFF"/>
          </w:tcPr>
          <w:p>
            <w:pPr>
              <w:jc w:val="right"/>
              <w:spacing w:after="0"/>
              <w:rPr>
                <w:sz w:val="20"/>
                <w:szCs w:val="20"/>
                <w:color w:val="auto"/>
              </w:rPr>
            </w:pPr>
            <w:r>
              <w:rPr>
                <w:rFonts w:ascii="Arial" w:cs="Arial" w:eastAsia="Arial" w:hAnsi="Arial"/>
                <w:sz w:val="20"/>
                <w:szCs w:val="20"/>
                <w:color w:val="0000FF"/>
                <w:w w:val="71"/>
              </w:rPr>
              <w:t>14</w:t>
            </w:r>
          </w:p>
        </w:tc>
        <w:tc>
          <w:tcPr>
            <w:tcW w:w="120" w:type="dxa"/>
            <w:vAlign w:val="bottom"/>
            <w:shd w:val="clear" w:color="auto" w:fill="CCCCFF"/>
          </w:tcPr>
          <w:p>
            <w:pPr>
              <w:spacing w:after="0"/>
              <w:rPr>
                <w:sz w:val="22"/>
                <w:szCs w:val="22"/>
                <w:color w:val="auto"/>
              </w:rPr>
            </w:pPr>
          </w:p>
        </w:tc>
        <w:tc>
          <w:tcPr>
            <w:tcW w:w="40" w:type="dxa"/>
            <w:vAlign w:val="bottom"/>
            <w:shd w:val="clear" w:color="auto" w:fill="CCCCFF"/>
          </w:tcPr>
          <w:p>
            <w:pPr>
              <w:spacing w:after="0"/>
              <w:rPr>
                <w:sz w:val="22"/>
                <w:szCs w:val="22"/>
                <w:color w:val="auto"/>
              </w:rPr>
            </w:pPr>
          </w:p>
        </w:tc>
        <w:tc>
          <w:tcPr>
            <w:tcW w:w="100" w:type="dxa"/>
            <w:vAlign w:val="bottom"/>
            <w:shd w:val="clear" w:color="auto" w:fill="CCCCFF"/>
          </w:tcPr>
          <w:p>
            <w:pPr>
              <w:spacing w:after="0"/>
              <w:rPr>
                <w:sz w:val="22"/>
                <w:szCs w:val="22"/>
                <w:color w:val="auto"/>
              </w:rPr>
            </w:pPr>
          </w:p>
        </w:tc>
        <w:tc>
          <w:tcPr>
            <w:tcW w:w="60" w:type="dxa"/>
            <w:vAlign w:val="bottom"/>
            <w:shd w:val="clear" w:color="auto" w:fill="CCCCFF"/>
          </w:tcPr>
          <w:p>
            <w:pPr>
              <w:spacing w:after="0"/>
              <w:rPr>
                <w:sz w:val="22"/>
                <w:szCs w:val="22"/>
                <w:color w:val="auto"/>
              </w:rPr>
            </w:pPr>
          </w:p>
        </w:tc>
        <w:tc>
          <w:tcPr>
            <w:tcW w:w="220" w:type="dxa"/>
            <w:vAlign w:val="bottom"/>
            <w:tcBorders>
              <w:right w:val="single" w:sz="8" w:color="CCCCFF"/>
            </w:tcBorders>
            <w:shd w:val="clear" w:color="auto" w:fill="CCCCFF"/>
          </w:tcPr>
          <w:p>
            <w:pPr>
              <w:spacing w:after="0"/>
              <w:rPr>
                <w:sz w:val="22"/>
                <w:szCs w:val="22"/>
                <w:color w:val="auto"/>
              </w:rPr>
            </w:pPr>
          </w:p>
        </w:tc>
        <w:tc>
          <w:tcPr>
            <w:tcW w:w="1080" w:type="dxa"/>
            <w:vAlign w:val="bottom"/>
            <w:tcBorders>
              <w:right w:val="single" w:sz="8" w:color="CCCCFF"/>
            </w:tcBorders>
            <w:shd w:val="clear" w:color="auto" w:fill="CCCCFF"/>
          </w:tcPr>
          <w:p>
            <w:pPr>
              <w:spacing w:after="0"/>
              <w:rPr>
                <w:sz w:val="20"/>
                <w:szCs w:val="20"/>
                <w:color w:val="auto"/>
              </w:rPr>
            </w:pPr>
            <w:r>
              <w:rPr>
                <w:rFonts w:ascii="Arial" w:cs="Arial" w:eastAsia="Arial" w:hAnsi="Arial"/>
                <w:sz w:val="20"/>
                <w:szCs w:val="20"/>
                <w:color w:val="0000FF"/>
                <w:w w:val="87"/>
              </w:rPr>
              <w:t>Aug 31, 2017</w:t>
            </w:r>
          </w:p>
        </w:tc>
        <w:tc>
          <w:tcPr>
            <w:tcW w:w="160" w:type="dxa"/>
            <w:vAlign w:val="bottom"/>
            <w:shd w:val="clear" w:color="auto" w:fill="CCCCFF"/>
          </w:tcPr>
          <w:p>
            <w:pPr>
              <w:spacing w:after="0"/>
              <w:rPr>
                <w:sz w:val="22"/>
                <w:szCs w:val="22"/>
                <w:color w:val="auto"/>
              </w:rPr>
            </w:pPr>
          </w:p>
        </w:tc>
        <w:tc>
          <w:tcPr>
            <w:tcW w:w="1400" w:type="dxa"/>
            <w:vAlign w:val="bottom"/>
            <w:tcBorders>
              <w:right w:val="single" w:sz="8" w:color="CCCCFF"/>
            </w:tcBorders>
            <w:gridSpan w:val="3"/>
            <w:shd w:val="clear" w:color="auto" w:fill="CCCCFF"/>
          </w:tcPr>
          <w:p>
            <w:pPr>
              <w:spacing w:after="0"/>
              <w:rPr>
                <w:sz w:val="22"/>
                <w:szCs w:val="22"/>
                <w:color w:val="auto"/>
              </w:rPr>
            </w:pPr>
          </w:p>
        </w:tc>
        <w:tc>
          <w:tcPr>
            <w:tcW w:w="1080" w:type="dxa"/>
            <w:vAlign w:val="bottom"/>
            <w:gridSpan w:val="3"/>
            <w:shd w:val="clear" w:color="auto" w:fill="CCCCFF"/>
          </w:tcPr>
          <w:p>
            <w:pPr>
              <w:jc w:val="right"/>
              <w:ind w:right="40"/>
              <w:spacing w:after="0"/>
              <w:rPr>
                <w:sz w:val="20"/>
                <w:szCs w:val="20"/>
                <w:color w:val="auto"/>
              </w:rPr>
            </w:pPr>
            <w:r>
              <w:rPr>
                <w:rFonts w:ascii="Arial" w:cs="Arial" w:eastAsia="Arial" w:hAnsi="Arial"/>
                <w:sz w:val="20"/>
                <w:szCs w:val="20"/>
                <w:color w:val="0000FF"/>
                <w:w w:val="87"/>
              </w:rPr>
              <w:t>2,343,750.00</w:t>
            </w:r>
          </w:p>
        </w:tc>
        <w:tc>
          <w:tcPr>
            <w:tcW w:w="1060" w:type="dxa"/>
            <w:vAlign w:val="bottom"/>
            <w:tcBorders>
              <w:right w:val="single" w:sz="8" w:color="CCCCFF"/>
            </w:tcBorders>
            <w:gridSpan w:val="3"/>
            <w:shd w:val="clear" w:color="auto" w:fill="CCCCFF"/>
          </w:tcPr>
          <w:p>
            <w:pPr>
              <w:jc w:val="center"/>
              <w:ind w:left="241"/>
              <w:spacing w:after="0"/>
              <w:rPr>
                <w:sz w:val="20"/>
                <w:szCs w:val="20"/>
                <w:color w:val="auto"/>
              </w:rPr>
            </w:pPr>
            <w:r>
              <w:rPr>
                <w:rFonts w:ascii="Arial" w:cs="Arial" w:eastAsia="Arial" w:hAnsi="Arial"/>
                <w:sz w:val="20"/>
                <w:szCs w:val="20"/>
                <w:color w:val="0000FF"/>
                <w:w w:val="88"/>
              </w:rPr>
              <w:t>3.125%</w:t>
            </w:r>
          </w:p>
        </w:tc>
        <w:tc>
          <w:tcPr>
            <w:tcW w:w="340" w:type="dxa"/>
            <w:vAlign w:val="bottom"/>
            <w:tcBorders>
              <w:left w:val="single" w:sz="8" w:color="CCCCFF"/>
            </w:tcBorders>
            <w:shd w:val="clear" w:color="auto" w:fill="CCCCFF"/>
          </w:tcPr>
          <w:p>
            <w:pPr>
              <w:spacing w:after="0"/>
              <w:rPr>
                <w:sz w:val="22"/>
                <w:szCs w:val="22"/>
                <w:color w:val="auto"/>
              </w:rPr>
            </w:pPr>
          </w:p>
        </w:tc>
        <w:tc>
          <w:tcPr>
            <w:tcW w:w="1640" w:type="dxa"/>
            <w:vAlign w:val="bottom"/>
            <w:gridSpan w:val="3"/>
            <w:shd w:val="clear" w:color="auto" w:fill="CCCCFF"/>
          </w:tcPr>
          <w:p>
            <w:pPr>
              <w:jc w:val="right"/>
              <w:ind w:right="20"/>
              <w:spacing w:after="0"/>
              <w:rPr>
                <w:sz w:val="20"/>
                <w:szCs w:val="20"/>
                <w:color w:val="auto"/>
              </w:rPr>
            </w:pPr>
            <w:r>
              <w:rPr>
                <w:rFonts w:ascii="Arial" w:cs="Arial" w:eastAsia="Arial" w:hAnsi="Arial"/>
                <w:sz w:val="20"/>
                <w:szCs w:val="20"/>
                <w:color w:val="0000FF"/>
              </w:rPr>
              <w:t>53,437,500.00</w:t>
            </w:r>
          </w:p>
        </w:tc>
        <w:tc>
          <w:tcPr>
            <w:tcW w:w="940" w:type="dxa"/>
            <w:vAlign w:val="bottom"/>
            <w:shd w:val="clear" w:color="auto" w:fill="CCCCFF"/>
          </w:tcPr>
          <w:p>
            <w:pPr>
              <w:spacing w:after="0"/>
              <w:rPr>
                <w:sz w:val="22"/>
                <w:szCs w:val="22"/>
                <w:color w:val="auto"/>
              </w:rPr>
            </w:pPr>
          </w:p>
        </w:tc>
      </w:tr>
      <w:tr>
        <w:trPr>
          <w:trHeight w:val="20"/>
        </w:trPr>
        <w:tc>
          <w:tcPr>
            <w:tcW w:w="340" w:type="dxa"/>
            <w:vAlign w:val="bottom"/>
            <w:shd w:val="clear" w:color="auto" w:fill="C0C0C0"/>
          </w:tcPr>
          <w:p>
            <w:pPr>
              <w:spacing w:after="0" w:line="20" w:lineRule="exact"/>
              <w:rPr>
                <w:sz w:val="1"/>
                <w:szCs w:val="1"/>
                <w:color w:val="auto"/>
              </w:rPr>
            </w:pPr>
          </w:p>
        </w:tc>
        <w:tc>
          <w:tcPr>
            <w:tcW w:w="40" w:type="dxa"/>
            <w:vAlign w:val="bottom"/>
            <w:shd w:val="clear" w:color="auto" w:fill="C0C0C0"/>
          </w:tcPr>
          <w:p>
            <w:pPr>
              <w:spacing w:after="0" w:line="20" w:lineRule="exact"/>
              <w:rPr>
                <w:sz w:val="1"/>
                <w:szCs w:val="1"/>
                <w:color w:val="auto"/>
              </w:rPr>
            </w:pPr>
          </w:p>
        </w:tc>
        <w:tc>
          <w:tcPr>
            <w:tcW w:w="380" w:type="dxa"/>
            <w:vAlign w:val="bottom"/>
            <w:shd w:val="clear" w:color="auto" w:fill="C0C0C0"/>
          </w:tcPr>
          <w:p>
            <w:pPr>
              <w:spacing w:after="0" w:line="20" w:lineRule="exact"/>
              <w:rPr>
                <w:sz w:val="1"/>
                <w:szCs w:val="1"/>
                <w:color w:val="auto"/>
              </w:rPr>
            </w:pPr>
          </w:p>
        </w:tc>
        <w:tc>
          <w:tcPr>
            <w:tcW w:w="280" w:type="dxa"/>
            <w:vAlign w:val="bottom"/>
            <w:shd w:val="clear" w:color="auto" w:fill="C0C0C0"/>
          </w:tcPr>
          <w:p>
            <w:pPr>
              <w:spacing w:after="0" w:line="20" w:lineRule="exact"/>
              <w:rPr>
                <w:sz w:val="1"/>
                <w:szCs w:val="1"/>
                <w:color w:val="auto"/>
              </w:rPr>
            </w:pPr>
          </w:p>
        </w:tc>
        <w:tc>
          <w:tcPr>
            <w:tcW w:w="420" w:type="dxa"/>
            <w:vAlign w:val="bottom"/>
            <w:shd w:val="clear" w:color="auto" w:fill="C0C0C0"/>
          </w:tcPr>
          <w:p>
            <w:pPr>
              <w:spacing w:after="0" w:line="20" w:lineRule="exact"/>
              <w:rPr>
                <w:sz w:val="1"/>
                <w:szCs w:val="1"/>
                <w:color w:val="auto"/>
              </w:rPr>
            </w:pPr>
          </w:p>
        </w:tc>
        <w:tc>
          <w:tcPr>
            <w:tcW w:w="1180" w:type="dxa"/>
            <w:vAlign w:val="bottom"/>
            <w:shd w:val="clear" w:color="auto" w:fill="CCCCFF"/>
          </w:tcPr>
          <w:p>
            <w:pPr>
              <w:spacing w:after="0" w:line="20" w:lineRule="exact"/>
              <w:rPr>
                <w:sz w:val="1"/>
                <w:szCs w:val="1"/>
                <w:color w:val="auto"/>
              </w:rPr>
            </w:pPr>
          </w:p>
        </w:tc>
        <w:tc>
          <w:tcPr>
            <w:tcW w:w="360" w:type="dxa"/>
            <w:vAlign w:val="bottom"/>
            <w:tcBorders>
              <w:right w:val="single" w:sz="8" w:color="0000FF"/>
            </w:tcBorders>
            <w:shd w:val="clear" w:color="auto" w:fill="CCCC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20" w:type="dxa"/>
            <w:vAlign w:val="bottom"/>
            <w:shd w:val="clear" w:color="auto" w:fill="CCCCFF"/>
          </w:tcPr>
          <w:p>
            <w:pPr>
              <w:spacing w:after="0" w:line="20" w:lineRule="exact"/>
              <w:rPr>
                <w:sz w:val="1"/>
                <w:szCs w:val="1"/>
                <w:color w:val="auto"/>
              </w:rPr>
            </w:pPr>
          </w:p>
        </w:tc>
        <w:tc>
          <w:tcPr>
            <w:tcW w:w="40" w:type="dxa"/>
            <w:vAlign w:val="bottom"/>
            <w:shd w:val="clear" w:color="auto" w:fill="CCCCFF"/>
          </w:tcPr>
          <w:p>
            <w:pPr>
              <w:spacing w:after="0" w:line="20" w:lineRule="exact"/>
              <w:rPr>
                <w:sz w:val="1"/>
                <w:szCs w:val="1"/>
                <w:color w:val="auto"/>
              </w:rPr>
            </w:pPr>
          </w:p>
        </w:tc>
        <w:tc>
          <w:tcPr>
            <w:tcW w:w="100" w:type="dxa"/>
            <w:vAlign w:val="bottom"/>
            <w:shd w:val="clear" w:color="auto" w:fill="CCCCFF"/>
          </w:tcPr>
          <w:p>
            <w:pPr>
              <w:spacing w:after="0" w:line="20" w:lineRule="exact"/>
              <w:rPr>
                <w:sz w:val="1"/>
                <w:szCs w:val="1"/>
                <w:color w:val="auto"/>
              </w:rPr>
            </w:pPr>
          </w:p>
        </w:tc>
        <w:tc>
          <w:tcPr>
            <w:tcW w:w="60" w:type="dxa"/>
            <w:vAlign w:val="bottom"/>
            <w:shd w:val="clear" w:color="auto" w:fill="CCCCFF"/>
          </w:tcPr>
          <w:p>
            <w:pPr>
              <w:spacing w:after="0" w:line="20" w:lineRule="exact"/>
              <w:rPr>
                <w:sz w:val="1"/>
                <w:szCs w:val="1"/>
                <w:color w:val="auto"/>
              </w:rPr>
            </w:pPr>
          </w:p>
        </w:tc>
        <w:tc>
          <w:tcPr>
            <w:tcW w:w="220" w:type="dxa"/>
            <w:vAlign w:val="bottom"/>
            <w:tcBorders>
              <w:right w:val="single" w:sz="8" w:color="0000FF"/>
            </w:tcBorders>
            <w:shd w:val="clear" w:color="auto" w:fill="CCCCFF"/>
          </w:tcPr>
          <w:p>
            <w:pPr>
              <w:spacing w:after="0" w:line="20" w:lineRule="exact"/>
              <w:rPr>
                <w:sz w:val="1"/>
                <w:szCs w:val="1"/>
                <w:color w:val="auto"/>
              </w:rPr>
            </w:pPr>
          </w:p>
        </w:tc>
        <w:tc>
          <w:tcPr>
            <w:tcW w:w="108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shd w:val="clear" w:color="auto" w:fill="CCCCFF"/>
          </w:tcPr>
          <w:p>
            <w:pPr>
              <w:spacing w:after="0" w:line="20" w:lineRule="exact"/>
              <w:rPr>
                <w:sz w:val="1"/>
                <w:szCs w:val="1"/>
                <w:color w:val="auto"/>
              </w:rPr>
            </w:pPr>
          </w:p>
        </w:tc>
        <w:tc>
          <w:tcPr>
            <w:tcW w:w="1260" w:type="dxa"/>
            <w:vAlign w:val="bottom"/>
            <w:shd w:val="clear" w:color="auto" w:fill="CCCCFF"/>
          </w:tcPr>
          <w:p>
            <w:pPr>
              <w:spacing w:after="0" w:line="20" w:lineRule="exact"/>
              <w:rPr>
                <w:sz w:val="1"/>
                <w:szCs w:val="1"/>
                <w:color w:val="auto"/>
              </w:rPr>
            </w:pPr>
          </w:p>
        </w:tc>
        <w:tc>
          <w:tcPr>
            <w:tcW w:w="60" w:type="dxa"/>
            <w:vAlign w:val="bottom"/>
            <w:shd w:val="clear" w:color="auto" w:fill="CCCCFF"/>
          </w:tcPr>
          <w:p>
            <w:pPr>
              <w:spacing w:after="0" w:line="20" w:lineRule="exact"/>
              <w:rPr>
                <w:sz w:val="1"/>
                <w:szCs w:val="1"/>
                <w:color w:val="auto"/>
              </w:rPr>
            </w:pPr>
          </w:p>
        </w:tc>
        <w:tc>
          <w:tcPr>
            <w:tcW w:w="80" w:type="dxa"/>
            <w:vAlign w:val="bottom"/>
            <w:tcBorders>
              <w:right w:val="single" w:sz="8" w:color="CCCCFF"/>
            </w:tcBorders>
            <w:shd w:val="clear" w:color="auto" w:fill="CCCC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CCCCFF"/>
          </w:tcPr>
          <w:p>
            <w:pPr>
              <w:spacing w:after="0" w:line="20" w:lineRule="exact"/>
              <w:rPr>
                <w:sz w:val="1"/>
                <w:szCs w:val="1"/>
                <w:color w:val="auto"/>
              </w:rPr>
            </w:pPr>
          </w:p>
        </w:tc>
        <w:tc>
          <w:tcPr>
            <w:tcW w:w="400" w:type="dxa"/>
            <w:vAlign w:val="bottom"/>
            <w:tcBorders>
              <w:right w:val="single" w:sz="8" w:color="CCCCFF"/>
            </w:tcBorders>
            <w:shd w:val="clear" w:color="auto" w:fill="CCCCFF"/>
          </w:tcPr>
          <w:p>
            <w:pPr>
              <w:spacing w:after="0" w:line="20" w:lineRule="exact"/>
              <w:rPr>
                <w:sz w:val="1"/>
                <w:szCs w:val="1"/>
                <w:color w:val="auto"/>
              </w:rPr>
            </w:pPr>
          </w:p>
        </w:tc>
        <w:tc>
          <w:tcPr>
            <w:tcW w:w="26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tcBorders>
              <w:right w:val="single" w:sz="8" w:color="CCCCFF"/>
            </w:tcBorders>
            <w:shd w:val="clear" w:color="auto" w:fill="0000FF"/>
          </w:tcPr>
          <w:p>
            <w:pPr>
              <w:spacing w:after="0" w:line="20" w:lineRule="exact"/>
              <w:rPr>
                <w:sz w:val="1"/>
                <w:szCs w:val="1"/>
                <w:color w:val="auto"/>
              </w:rPr>
            </w:pPr>
          </w:p>
        </w:tc>
        <w:tc>
          <w:tcPr>
            <w:tcW w:w="340" w:type="dxa"/>
            <w:vAlign w:val="bottom"/>
            <w:tcBorders>
              <w:left w:val="single" w:sz="8" w:color="CCCCFF"/>
            </w:tcBorders>
            <w:shd w:val="clear" w:color="auto" w:fill="CCCCFF"/>
          </w:tcPr>
          <w:p>
            <w:pPr>
              <w:spacing w:after="0" w:line="20" w:lineRule="exact"/>
              <w:rPr>
                <w:sz w:val="1"/>
                <w:szCs w:val="1"/>
                <w:color w:val="auto"/>
              </w:rPr>
            </w:pPr>
          </w:p>
        </w:tc>
        <w:tc>
          <w:tcPr>
            <w:tcW w:w="480" w:type="dxa"/>
            <w:vAlign w:val="bottom"/>
            <w:shd w:val="clear" w:color="auto" w:fill="CCCCFF"/>
          </w:tcPr>
          <w:p>
            <w:pPr>
              <w:spacing w:after="0" w:line="20" w:lineRule="exact"/>
              <w:rPr>
                <w:sz w:val="1"/>
                <w:szCs w:val="1"/>
                <w:color w:val="auto"/>
              </w:rPr>
            </w:pPr>
          </w:p>
        </w:tc>
        <w:tc>
          <w:tcPr>
            <w:tcW w:w="1140" w:type="dxa"/>
            <w:vAlign w:val="bottom"/>
            <w:shd w:val="clear" w:color="auto" w:fill="0000FF"/>
          </w:tcPr>
          <w:p>
            <w:pPr>
              <w:spacing w:after="0" w:line="20" w:lineRule="exact"/>
              <w:rPr>
                <w:sz w:val="1"/>
                <w:szCs w:val="1"/>
                <w:color w:val="auto"/>
              </w:rPr>
            </w:pPr>
          </w:p>
        </w:tc>
        <w:tc>
          <w:tcPr>
            <w:tcW w:w="20" w:type="dxa"/>
            <w:vAlign w:val="bottom"/>
            <w:shd w:val="clear" w:color="auto" w:fill="CCCCFF"/>
          </w:tcPr>
          <w:p>
            <w:pPr>
              <w:spacing w:after="0" w:line="20" w:lineRule="exact"/>
              <w:rPr>
                <w:sz w:val="1"/>
                <w:szCs w:val="1"/>
                <w:color w:val="auto"/>
              </w:rPr>
            </w:pPr>
          </w:p>
        </w:tc>
        <w:tc>
          <w:tcPr>
            <w:tcW w:w="940" w:type="dxa"/>
            <w:vAlign w:val="bottom"/>
            <w:shd w:val="clear" w:color="auto" w:fill="CCCCFF"/>
          </w:tcPr>
          <w:p>
            <w:pPr>
              <w:spacing w:after="0" w:line="20" w:lineRule="exact"/>
              <w:rPr>
                <w:sz w:val="1"/>
                <w:szCs w:val="1"/>
                <w:color w:val="auto"/>
              </w:rPr>
            </w:pPr>
          </w:p>
        </w:tc>
      </w:tr>
      <w:tr>
        <w:trPr>
          <w:trHeight w:val="264"/>
        </w:trPr>
        <w:tc>
          <w:tcPr>
            <w:tcW w:w="340" w:type="dxa"/>
            <w:vAlign w:val="bottom"/>
            <w:shd w:val="clear" w:color="auto" w:fill="C0C0C0"/>
          </w:tcPr>
          <w:p>
            <w:pPr>
              <w:spacing w:after="0"/>
              <w:rPr>
                <w:sz w:val="22"/>
                <w:szCs w:val="22"/>
                <w:color w:val="auto"/>
              </w:rPr>
            </w:pPr>
          </w:p>
        </w:tc>
        <w:tc>
          <w:tcPr>
            <w:tcW w:w="40" w:type="dxa"/>
            <w:vAlign w:val="bottom"/>
            <w:shd w:val="clear" w:color="auto" w:fill="C0C0C0"/>
          </w:tcPr>
          <w:p>
            <w:pPr>
              <w:spacing w:after="0"/>
              <w:rPr>
                <w:sz w:val="22"/>
                <w:szCs w:val="22"/>
                <w:color w:val="auto"/>
              </w:rPr>
            </w:pPr>
          </w:p>
        </w:tc>
        <w:tc>
          <w:tcPr>
            <w:tcW w:w="380" w:type="dxa"/>
            <w:vAlign w:val="bottom"/>
            <w:shd w:val="clear" w:color="auto" w:fill="C0C0C0"/>
          </w:tcPr>
          <w:p>
            <w:pPr>
              <w:spacing w:after="0"/>
              <w:rPr>
                <w:sz w:val="22"/>
                <w:szCs w:val="22"/>
                <w:color w:val="auto"/>
              </w:rPr>
            </w:pPr>
          </w:p>
        </w:tc>
        <w:tc>
          <w:tcPr>
            <w:tcW w:w="280" w:type="dxa"/>
            <w:vAlign w:val="bottom"/>
            <w:shd w:val="clear" w:color="auto" w:fill="C0C0C0"/>
          </w:tcPr>
          <w:p>
            <w:pPr>
              <w:spacing w:after="0"/>
              <w:rPr>
                <w:sz w:val="22"/>
                <w:szCs w:val="22"/>
                <w:color w:val="auto"/>
              </w:rPr>
            </w:pPr>
          </w:p>
        </w:tc>
        <w:tc>
          <w:tcPr>
            <w:tcW w:w="420" w:type="dxa"/>
            <w:vAlign w:val="bottom"/>
            <w:shd w:val="clear" w:color="auto" w:fill="C0C0C0"/>
          </w:tcPr>
          <w:p>
            <w:pPr>
              <w:spacing w:after="0"/>
              <w:rPr>
                <w:sz w:val="22"/>
                <w:szCs w:val="22"/>
                <w:color w:val="auto"/>
              </w:rPr>
            </w:pPr>
          </w:p>
        </w:tc>
        <w:tc>
          <w:tcPr>
            <w:tcW w:w="1180" w:type="dxa"/>
            <w:vAlign w:val="bottom"/>
            <w:shd w:val="clear" w:color="auto" w:fill="CCCCFF"/>
          </w:tcPr>
          <w:p>
            <w:pPr>
              <w:spacing w:after="0"/>
              <w:rPr>
                <w:sz w:val="22"/>
                <w:szCs w:val="22"/>
                <w:color w:val="auto"/>
              </w:rPr>
            </w:pPr>
          </w:p>
        </w:tc>
        <w:tc>
          <w:tcPr>
            <w:tcW w:w="360" w:type="dxa"/>
            <w:vAlign w:val="bottom"/>
            <w:tcBorders>
              <w:right w:val="single" w:sz="8" w:color="CCCCFF"/>
            </w:tcBorders>
            <w:shd w:val="clear" w:color="auto" w:fill="CCCCFF"/>
          </w:tcPr>
          <w:p>
            <w:pPr>
              <w:spacing w:after="0"/>
              <w:rPr>
                <w:sz w:val="22"/>
                <w:szCs w:val="22"/>
                <w:color w:val="auto"/>
              </w:rPr>
            </w:pPr>
          </w:p>
        </w:tc>
        <w:tc>
          <w:tcPr>
            <w:tcW w:w="180" w:type="dxa"/>
            <w:vAlign w:val="bottom"/>
            <w:shd w:val="clear" w:color="auto" w:fill="CCCCFF"/>
          </w:tcPr>
          <w:p>
            <w:pPr>
              <w:jc w:val="right"/>
              <w:spacing w:after="0"/>
              <w:rPr>
                <w:sz w:val="20"/>
                <w:szCs w:val="20"/>
                <w:color w:val="auto"/>
              </w:rPr>
            </w:pPr>
            <w:r>
              <w:rPr>
                <w:rFonts w:ascii="Arial" w:cs="Arial" w:eastAsia="Arial" w:hAnsi="Arial"/>
                <w:sz w:val="20"/>
                <w:szCs w:val="20"/>
                <w:color w:val="0000FF"/>
                <w:w w:val="71"/>
              </w:rPr>
              <w:t>15</w:t>
            </w:r>
          </w:p>
        </w:tc>
        <w:tc>
          <w:tcPr>
            <w:tcW w:w="120" w:type="dxa"/>
            <w:vAlign w:val="bottom"/>
            <w:shd w:val="clear" w:color="auto" w:fill="CCCCFF"/>
          </w:tcPr>
          <w:p>
            <w:pPr>
              <w:spacing w:after="0"/>
              <w:rPr>
                <w:sz w:val="22"/>
                <w:szCs w:val="22"/>
                <w:color w:val="auto"/>
              </w:rPr>
            </w:pPr>
          </w:p>
        </w:tc>
        <w:tc>
          <w:tcPr>
            <w:tcW w:w="40" w:type="dxa"/>
            <w:vAlign w:val="bottom"/>
            <w:shd w:val="clear" w:color="auto" w:fill="CCCCFF"/>
          </w:tcPr>
          <w:p>
            <w:pPr>
              <w:spacing w:after="0"/>
              <w:rPr>
                <w:sz w:val="22"/>
                <w:szCs w:val="22"/>
                <w:color w:val="auto"/>
              </w:rPr>
            </w:pPr>
          </w:p>
        </w:tc>
        <w:tc>
          <w:tcPr>
            <w:tcW w:w="100" w:type="dxa"/>
            <w:vAlign w:val="bottom"/>
            <w:shd w:val="clear" w:color="auto" w:fill="CCCCFF"/>
          </w:tcPr>
          <w:p>
            <w:pPr>
              <w:spacing w:after="0"/>
              <w:rPr>
                <w:sz w:val="22"/>
                <w:szCs w:val="22"/>
                <w:color w:val="auto"/>
              </w:rPr>
            </w:pPr>
          </w:p>
        </w:tc>
        <w:tc>
          <w:tcPr>
            <w:tcW w:w="60" w:type="dxa"/>
            <w:vAlign w:val="bottom"/>
            <w:shd w:val="clear" w:color="auto" w:fill="CCCCFF"/>
          </w:tcPr>
          <w:p>
            <w:pPr>
              <w:spacing w:after="0"/>
              <w:rPr>
                <w:sz w:val="22"/>
                <w:szCs w:val="22"/>
                <w:color w:val="auto"/>
              </w:rPr>
            </w:pPr>
          </w:p>
        </w:tc>
        <w:tc>
          <w:tcPr>
            <w:tcW w:w="220" w:type="dxa"/>
            <w:vAlign w:val="bottom"/>
            <w:tcBorders>
              <w:right w:val="single" w:sz="8" w:color="CCCCFF"/>
            </w:tcBorders>
            <w:shd w:val="clear" w:color="auto" w:fill="CCCCFF"/>
          </w:tcPr>
          <w:p>
            <w:pPr>
              <w:spacing w:after="0"/>
              <w:rPr>
                <w:sz w:val="22"/>
                <w:szCs w:val="22"/>
                <w:color w:val="auto"/>
              </w:rPr>
            </w:pPr>
          </w:p>
        </w:tc>
        <w:tc>
          <w:tcPr>
            <w:tcW w:w="1080" w:type="dxa"/>
            <w:vAlign w:val="bottom"/>
            <w:tcBorders>
              <w:right w:val="single" w:sz="8" w:color="CCCCFF"/>
            </w:tcBorders>
            <w:shd w:val="clear" w:color="auto" w:fill="CCCCFF"/>
          </w:tcPr>
          <w:p>
            <w:pPr>
              <w:spacing w:after="0"/>
              <w:rPr>
                <w:sz w:val="20"/>
                <w:szCs w:val="20"/>
                <w:color w:val="auto"/>
              </w:rPr>
            </w:pPr>
            <w:r>
              <w:rPr>
                <w:rFonts w:ascii="Arial" w:cs="Arial" w:eastAsia="Arial" w:hAnsi="Arial"/>
                <w:sz w:val="20"/>
                <w:szCs w:val="20"/>
                <w:color w:val="0000FF"/>
                <w:w w:val="87"/>
              </w:rPr>
              <w:t>Nov 30, 2017</w:t>
            </w:r>
          </w:p>
        </w:tc>
        <w:tc>
          <w:tcPr>
            <w:tcW w:w="160" w:type="dxa"/>
            <w:vAlign w:val="bottom"/>
            <w:shd w:val="clear" w:color="auto" w:fill="CCCCFF"/>
          </w:tcPr>
          <w:p>
            <w:pPr>
              <w:spacing w:after="0"/>
              <w:rPr>
                <w:sz w:val="22"/>
                <w:szCs w:val="22"/>
                <w:color w:val="auto"/>
              </w:rPr>
            </w:pPr>
          </w:p>
        </w:tc>
        <w:tc>
          <w:tcPr>
            <w:tcW w:w="1400" w:type="dxa"/>
            <w:vAlign w:val="bottom"/>
            <w:tcBorders>
              <w:right w:val="single" w:sz="8" w:color="CCCCFF"/>
            </w:tcBorders>
            <w:gridSpan w:val="3"/>
            <w:shd w:val="clear" w:color="auto" w:fill="CCCCFF"/>
          </w:tcPr>
          <w:p>
            <w:pPr>
              <w:spacing w:after="0"/>
              <w:rPr>
                <w:sz w:val="22"/>
                <w:szCs w:val="22"/>
                <w:color w:val="auto"/>
              </w:rPr>
            </w:pPr>
          </w:p>
        </w:tc>
        <w:tc>
          <w:tcPr>
            <w:tcW w:w="1080" w:type="dxa"/>
            <w:vAlign w:val="bottom"/>
            <w:gridSpan w:val="3"/>
            <w:shd w:val="clear" w:color="auto" w:fill="CCCCFF"/>
          </w:tcPr>
          <w:p>
            <w:pPr>
              <w:jc w:val="right"/>
              <w:ind w:right="40"/>
              <w:spacing w:after="0"/>
              <w:rPr>
                <w:sz w:val="20"/>
                <w:szCs w:val="20"/>
                <w:color w:val="auto"/>
              </w:rPr>
            </w:pPr>
            <w:r>
              <w:rPr>
                <w:rFonts w:ascii="Arial" w:cs="Arial" w:eastAsia="Arial" w:hAnsi="Arial"/>
                <w:sz w:val="20"/>
                <w:szCs w:val="20"/>
                <w:color w:val="0000FF"/>
                <w:w w:val="87"/>
              </w:rPr>
              <w:t>2,343,750.00</w:t>
            </w:r>
          </w:p>
        </w:tc>
        <w:tc>
          <w:tcPr>
            <w:tcW w:w="1060" w:type="dxa"/>
            <w:vAlign w:val="bottom"/>
            <w:tcBorders>
              <w:right w:val="single" w:sz="8" w:color="CCCCFF"/>
            </w:tcBorders>
            <w:gridSpan w:val="3"/>
            <w:shd w:val="clear" w:color="auto" w:fill="CCCCFF"/>
          </w:tcPr>
          <w:p>
            <w:pPr>
              <w:jc w:val="center"/>
              <w:ind w:left="241"/>
              <w:spacing w:after="0"/>
              <w:rPr>
                <w:sz w:val="20"/>
                <w:szCs w:val="20"/>
                <w:color w:val="auto"/>
              </w:rPr>
            </w:pPr>
            <w:r>
              <w:rPr>
                <w:rFonts w:ascii="Arial" w:cs="Arial" w:eastAsia="Arial" w:hAnsi="Arial"/>
                <w:sz w:val="20"/>
                <w:szCs w:val="20"/>
                <w:color w:val="0000FF"/>
                <w:w w:val="88"/>
              </w:rPr>
              <w:t>3.125%</w:t>
            </w:r>
          </w:p>
        </w:tc>
        <w:tc>
          <w:tcPr>
            <w:tcW w:w="340" w:type="dxa"/>
            <w:vAlign w:val="bottom"/>
            <w:tcBorders>
              <w:left w:val="single" w:sz="8" w:color="CCCCFF"/>
            </w:tcBorders>
            <w:shd w:val="clear" w:color="auto" w:fill="CCCCFF"/>
          </w:tcPr>
          <w:p>
            <w:pPr>
              <w:spacing w:after="0"/>
              <w:rPr>
                <w:sz w:val="22"/>
                <w:szCs w:val="22"/>
                <w:color w:val="auto"/>
              </w:rPr>
            </w:pPr>
          </w:p>
        </w:tc>
        <w:tc>
          <w:tcPr>
            <w:tcW w:w="1640" w:type="dxa"/>
            <w:vAlign w:val="bottom"/>
            <w:gridSpan w:val="3"/>
            <w:shd w:val="clear" w:color="auto" w:fill="CCCCFF"/>
          </w:tcPr>
          <w:p>
            <w:pPr>
              <w:jc w:val="right"/>
              <w:ind w:right="20"/>
              <w:spacing w:after="0"/>
              <w:rPr>
                <w:sz w:val="20"/>
                <w:szCs w:val="20"/>
                <w:color w:val="auto"/>
              </w:rPr>
            </w:pPr>
            <w:r>
              <w:rPr>
                <w:rFonts w:ascii="Arial" w:cs="Arial" w:eastAsia="Arial" w:hAnsi="Arial"/>
                <w:sz w:val="20"/>
                <w:szCs w:val="20"/>
                <w:color w:val="0000FF"/>
              </w:rPr>
              <w:t>51,093,750.00</w:t>
            </w:r>
          </w:p>
        </w:tc>
        <w:tc>
          <w:tcPr>
            <w:tcW w:w="940" w:type="dxa"/>
            <w:vAlign w:val="bottom"/>
            <w:shd w:val="clear" w:color="auto" w:fill="CCCCFF"/>
          </w:tcPr>
          <w:p>
            <w:pPr>
              <w:spacing w:after="0"/>
              <w:rPr>
                <w:sz w:val="22"/>
                <w:szCs w:val="22"/>
                <w:color w:val="auto"/>
              </w:rPr>
            </w:pPr>
          </w:p>
        </w:tc>
      </w:tr>
      <w:tr>
        <w:trPr>
          <w:trHeight w:val="20"/>
        </w:trPr>
        <w:tc>
          <w:tcPr>
            <w:tcW w:w="340" w:type="dxa"/>
            <w:vAlign w:val="bottom"/>
            <w:shd w:val="clear" w:color="auto" w:fill="C0C0C0"/>
          </w:tcPr>
          <w:p>
            <w:pPr>
              <w:spacing w:after="0" w:line="20" w:lineRule="exact"/>
              <w:rPr>
                <w:sz w:val="1"/>
                <w:szCs w:val="1"/>
                <w:color w:val="auto"/>
              </w:rPr>
            </w:pPr>
          </w:p>
        </w:tc>
        <w:tc>
          <w:tcPr>
            <w:tcW w:w="40" w:type="dxa"/>
            <w:vAlign w:val="bottom"/>
            <w:shd w:val="clear" w:color="auto" w:fill="C0C0C0"/>
          </w:tcPr>
          <w:p>
            <w:pPr>
              <w:spacing w:after="0" w:line="20" w:lineRule="exact"/>
              <w:rPr>
                <w:sz w:val="1"/>
                <w:szCs w:val="1"/>
                <w:color w:val="auto"/>
              </w:rPr>
            </w:pPr>
          </w:p>
        </w:tc>
        <w:tc>
          <w:tcPr>
            <w:tcW w:w="380" w:type="dxa"/>
            <w:vAlign w:val="bottom"/>
            <w:shd w:val="clear" w:color="auto" w:fill="C0C0C0"/>
          </w:tcPr>
          <w:p>
            <w:pPr>
              <w:spacing w:after="0" w:line="20" w:lineRule="exact"/>
              <w:rPr>
                <w:sz w:val="1"/>
                <w:szCs w:val="1"/>
                <w:color w:val="auto"/>
              </w:rPr>
            </w:pPr>
          </w:p>
        </w:tc>
        <w:tc>
          <w:tcPr>
            <w:tcW w:w="280" w:type="dxa"/>
            <w:vAlign w:val="bottom"/>
            <w:shd w:val="clear" w:color="auto" w:fill="C0C0C0"/>
          </w:tcPr>
          <w:p>
            <w:pPr>
              <w:spacing w:after="0" w:line="20" w:lineRule="exact"/>
              <w:rPr>
                <w:sz w:val="1"/>
                <w:szCs w:val="1"/>
                <w:color w:val="auto"/>
              </w:rPr>
            </w:pPr>
          </w:p>
        </w:tc>
        <w:tc>
          <w:tcPr>
            <w:tcW w:w="420" w:type="dxa"/>
            <w:vAlign w:val="bottom"/>
            <w:shd w:val="clear" w:color="auto" w:fill="C0C0C0"/>
          </w:tcPr>
          <w:p>
            <w:pPr>
              <w:spacing w:after="0" w:line="20" w:lineRule="exact"/>
              <w:rPr>
                <w:sz w:val="1"/>
                <w:szCs w:val="1"/>
                <w:color w:val="auto"/>
              </w:rPr>
            </w:pPr>
          </w:p>
        </w:tc>
        <w:tc>
          <w:tcPr>
            <w:tcW w:w="1180" w:type="dxa"/>
            <w:vAlign w:val="bottom"/>
            <w:shd w:val="clear" w:color="auto" w:fill="CCCCFF"/>
          </w:tcPr>
          <w:p>
            <w:pPr>
              <w:spacing w:after="0" w:line="20" w:lineRule="exact"/>
              <w:rPr>
                <w:sz w:val="1"/>
                <w:szCs w:val="1"/>
                <w:color w:val="auto"/>
              </w:rPr>
            </w:pPr>
          </w:p>
        </w:tc>
        <w:tc>
          <w:tcPr>
            <w:tcW w:w="360" w:type="dxa"/>
            <w:vAlign w:val="bottom"/>
            <w:tcBorders>
              <w:right w:val="single" w:sz="8" w:color="0000FF"/>
            </w:tcBorders>
            <w:shd w:val="clear" w:color="auto" w:fill="CCCC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20" w:type="dxa"/>
            <w:vAlign w:val="bottom"/>
            <w:shd w:val="clear" w:color="auto" w:fill="CCCCFF"/>
          </w:tcPr>
          <w:p>
            <w:pPr>
              <w:spacing w:after="0" w:line="20" w:lineRule="exact"/>
              <w:rPr>
                <w:sz w:val="1"/>
                <w:szCs w:val="1"/>
                <w:color w:val="auto"/>
              </w:rPr>
            </w:pPr>
          </w:p>
        </w:tc>
        <w:tc>
          <w:tcPr>
            <w:tcW w:w="40" w:type="dxa"/>
            <w:vAlign w:val="bottom"/>
            <w:shd w:val="clear" w:color="auto" w:fill="CCCCFF"/>
          </w:tcPr>
          <w:p>
            <w:pPr>
              <w:spacing w:after="0" w:line="20" w:lineRule="exact"/>
              <w:rPr>
                <w:sz w:val="1"/>
                <w:szCs w:val="1"/>
                <w:color w:val="auto"/>
              </w:rPr>
            </w:pPr>
          </w:p>
        </w:tc>
        <w:tc>
          <w:tcPr>
            <w:tcW w:w="100" w:type="dxa"/>
            <w:vAlign w:val="bottom"/>
            <w:shd w:val="clear" w:color="auto" w:fill="CCCCFF"/>
          </w:tcPr>
          <w:p>
            <w:pPr>
              <w:spacing w:after="0" w:line="20" w:lineRule="exact"/>
              <w:rPr>
                <w:sz w:val="1"/>
                <w:szCs w:val="1"/>
                <w:color w:val="auto"/>
              </w:rPr>
            </w:pPr>
          </w:p>
        </w:tc>
        <w:tc>
          <w:tcPr>
            <w:tcW w:w="60" w:type="dxa"/>
            <w:vAlign w:val="bottom"/>
            <w:shd w:val="clear" w:color="auto" w:fill="CCCCFF"/>
          </w:tcPr>
          <w:p>
            <w:pPr>
              <w:spacing w:after="0" w:line="20" w:lineRule="exact"/>
              <w:rPr>
                <w:sz w:val="1"/>
                <w:szCs w:val="1"/>
                <w:color w:val="auto"/>
              </w:rPr>
            </w:pPr>
          </w:p>
        </w:tc>
        <w:tc>
          <w:tcPr>
            <w:tcW w:w="220" w:type="dxa"/>
            <w:vAlign w:val="bottom"/>
            <w:tcBorders>
              <w:right w:val="single" w:sz="8" w:color="0000FF"/>
            </w:tcBorders>
            <w:shd w:val="clear" w:color="auto" w:fill="CCCCFF"/>
          </w:tcPr>
          <w:p>
            <w:pPr>
              <w:spacing w:after="0" w:line="20" w:lineRule="exact"/>
              <w:rPr>
                <w:sz w:val="1"/>
                <w:szCs w:val="1"/>
                <w:color w:val="auto"/>
              </w:rPr>
            </w:pPr>
          </w:p>
        </w:tc>
        <w:tc>
          <w:tcPr>
            <w:tcW w:w="108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shd w:val="clear" w:color="auto" w:fill="CCCCFF"/>
          </w:tcPr>
          <w:p>
            <w:pPr>
              <w:spacing w:after="0" w:line="20" w:lineRule="exact"/>
              <w:rPr>
                <w:sz w:val="1"/>
                <w:szCs w:val="1"/>
                <w:color w:val="auto"/>
              </w:rPr>
            </w:pPr>
          </w:p>
        </w:tc>
        <w:tc>
          <w:tcPr>
            <w:tcW w:w="1260" w:type="dxa"/>
            <w:vAlign w:val="bottom"/>
            <w:shd w:val="clear" w:color="auto" w:fill="CCCCFF"/>
          </w:tcPr>
          <w:p>
            <w:pPr>
              <w:spacing w:after="0" w:line="20" w:lineRule="exact"/>
              <w:rPr>
                <w:sz w:val="1"/>
                <w:szCs w:val="1"/>
                <w:color w:val="auto"/>
              </w:rPr>
            </w:pPr>
          </w:p>
        </w:tc>
        <w:tc>
          <w:tcPr>
            <w:tcW w:w="60" w:type="dxa"/>
            <w:vAlign w:val="bottom"/>
            <w:shd w:val="clear" w:color="auto" w:fill="CCCCFF"/>
          </w:tcPr>
          <w:p>
            <w:pPr>
              <w:spacing w:after="0" w:line="20" w:lineRule="exact"/>
              <w:rPr>
                <w:sz w:val="1"/>
                <w:szCs w:val="1"/>
                <w:color w:val="auto"/>
              </w:rPr>
            </w:pPr>
          </w:p>
        </w:tc>
        <w:tc>
          <w:tcPr>
            <w:tcW w:w="80" w:type="dxa"/>
            <w:vAlign w:val="bottom"/>
            <w:tcBorders>
              <w:right w:val="single" w:sz="8" w:color="CCCCFF"/>
            </w:tcBorders>
            <w:shd w:val="clear" w:color="auto" w:fill="CCCC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CCCCFF"/>
          </w:tcPr>
          <w:p>
            <w:pPr>
              <w:spacing w:after="0" w:line="20" w:lineRule="exact"/>
              <w:rPr>
                <w:sz w:val="1"/>
                <w:szCs w:val="1"/>
                <w:color w:val="auto"/>
              </w:rPr>
            </w:pPr>
          </w:p>
        </w:tc>
        <w:tc>
          <w:tcPr>
            <w:tcW w:w="400" w:type="dxa"/>
            <w:vAlign w:val="bottom"/>
            <w:tcBorders>
              <w:right w:val="single" w:sz="8" w:color="CCCCFF"/>
            </w:tcBorders>
            <w:shd w:val="clear" w:color="auto" w:fill="CCCCFF"/>
          </w:tcPr>
          <w:p>
            <w:pPr>
              <w:spacing w:after="0" w:line="20" w:lineRule="exact"/>
              <w:rPr>
                <w:sz w:val="1"/>
                <w:szCs w:val="1"/>
                <w:color w:val="auto"/>
              </w:rPr>
            </w:pPr>
          </w:p>
        </w:tc>
        <w:tc>
          <w:tcPr>
            <w:tcW w:w="26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tcBorders>
              <w:right w:val="single" w:sz="8" w:color="CCCCFF"/>
            </w:tcBorders>
            <w:shd w:val="clear" w:color="auto" w:fill="0000FF"/>
          </w:tcPr>
          <w:p>
            <w:pPr>
              <w:spacing w:after="0" w:line="20" w:lineRule="exact"/>
              <w:rPr>
                <w:sz w:val="1"/>
                <w:szCs w:val="1"/>
                <w:color w:val="auto"/>
              </w:rPr>
            </w:pPr>
          </w:p>
        </w:tc>
        <w:tc>
          <w:tcPr>
            <w:tcW w:w="340" w:type="dxa"/>
            <w:vAlign w:val="bottom"/>
            <w:tcBorders>
              <w:left w:val="single" w:sz="8" w:color="CCCCFF"/>
            </w:tcBorders>
            <w:shd w:val="clear" w:color="auto" w:fill="CCCCFF"/>
          </w:tcPr>
          <w:p>
            <w:pPr>
              <w:spacing w:after="0" w:line="20" w:lineRule="exact"/>
              <w:rPr>
                <w:sz w:val="1"/>
                <w:szCs w:val="1"/>
                <w:color w:val="auto"/>
              </w:rPr>
            </w:pPr>
          </w:p>
        </w:tc>
        <w:tc>
          <w:tcPr>
            <w:tcW w:w="480" w:type="dxa"/>
            <w:vAlign w:val="bottom"/>
            <w:shd w:val="clear" w:color="auto" w:fill="CCCCFF"/>
          </w:tcPr>
          <w:p>
            <w:pPr>
              <w:spacing w:after="0" w:line="20" w:lineRule="exact"/>
              <w:rPr>
                <w:sz w:val="1"/>
                <w:szCs w:val="1"/>
                <w:color w:val="auto"/>
              </w:rPr>
            </w:pPr>
          </w:p>
        </w:tc>
        <w:tc>
          <w:tcPr>
            <w:tcW w:w="1140" w:type="dxa"/>
            <w:vAlign w:val="bottom"/>
            <w:shd w:val="clear" w:color="auto" w:fill="0000FF"/>
          </w:tcPr>
          <w:p>
            <w:pPr>
              <w:spacing w:after="0" w:line="20" w:lineRule="exact"/>
              <w:rPr>
                <w:sz w:val="1"/>
                <w:szCs w:val="1"/>
                <w:color w:val="auto"/>
              </w:rPr>
            </w:pPr>
          </w:p>
        </w:tc>
        <w:tc>
          <w:tcPr>
            <w:tcW w:w="20" w:type="dxa"/>
            <w:vAlign w:val="bottom"/>
            <w:shd w:val="clear" w:color="auto" w:fill="CCCCFF"/>
          </w:tcPr>
          <w:p>
            <w:pPr>
              <w:spacing w:after="0" w:line="20" w:lineRule="exact"/>
              <w:rPr>
                <w:sz w:val="1"/>
                <w:szCs w:val="1"/>
                <w:color w:val="auto"/>
              </w:rPr>
            </w:pPr>
          </w:p>
        </w:tc>
        <w:tc>
          <w:tcPr>
            <w:tcW w:w="940" w:type="dxa"/>
            <w:vAlign w:val="bottom"/>
            <w:shd w:val="clear" w:color="auto" w:fill="CCCCFF"/>
          </w:tcPr>
          <w:p>
            <w:pPr>
              <w:spacing w:after="0" w:line="20" w:lineRule="exact"/>
              <w:rPr>
                <w:sz w:val="1"/>
                <w:szCs w:val="1"/>
                <w:color w:val="auto"/>
              </w:rPr>
            </w:pPr>
          </w:p>
        </w:tc>
      </w:tr>
      <w:tr>
        <w:trPr>
          <w:trHeight w:val="264"/>
        </w:trPr>
        <w:tc>
          <w:tcPr>
            <w:tcW w:w="340" w:type="dxa"/>
            <w:vAlign w:val="bottom"/>
            <w:shd w:val="clear" w:color="auto" w:fill="C0C0C0"/>
          </w:tcPr>
          <w:p>
            <w:pPr>
              <w:spacing w:after="0"/>
              <w:rPr>
                <w:sz w:val="22"/>
                <w:szCs w:val="22"/>
                <w:color w:val="auto"/>
              </w:rPr>
            </w:pPr>
          </w:p>
        </w:tc>
        <w:tc>
          <w:tcPr>
            <w:tcW w:w="40" w:type="dxa"/>
            <w:vAlign w:val="bottom"/>
            <w:shd w:val="clear" w:color="auto" w:fill="C0C0C0"/>
          </w:tcPr>
          <w:p>
            <w:pPr>
              <w:spacing w:after="0"/>
              <w:rPr>
                <w:sz w:val="22"/>
                <w:szCs w:val="22"/>
                <w:color w:val="auto"/>
              </w:rPr>
            </w:pPr>
          </w:p>
        </w:tc>
        <w:tc>
          <w:tcPr>
            <w:tcW w:w="380" w:type="dxa"/>
            <w:vAlign w:val="bottom"/>
            <w:shd w:val="clear" w:color="auto" w:fill="C0C0C0"/>
          </w:tcPr>
          <w:p>
            <w:pPr>
              <w:spacing w:after="0"/>
              <w:rPr>
                <w:sz w:val="22"/>
                <w:szCs w:val="22"/>
                <w:color w:val="auto"/>
              </w:rPr>
            </w:pPr>
          </w:p>
        </w:tc>
        <w:tc>
          <w:tcPr>
            <w:tcW w:w="280" w:type="dxa"/>
            <w:vAlign w:val="bottom"/>
            <w:shd w:val="clear" w:color="auto" w:fill="C0C0C0"/>
          </w:tcPr>
          <w:p>
            <w:pPr>
              <w:spacing w:after="0"/>
              <w:rPr>
                <w:sz w:val="22"/>
                <w:szCs w:val="22"/>
                <w:color w:val="auto"/>
              </w:rPr>
            </w:pPr>
          </w:p>
        </w:tc>
        <w:tc>
          <w:tcPr>
            <w:tcW w:w="420" w:type="dxa"/>
            <w:vAlign w:val="bottom"/>
            <w:shd w:val="clear" w:color="auto" w:fill="C0C0C0"/>
          </w:tcPr>
          <w:p>
            <w:pPr>
              <w:spacing w:after="0"/>
              <w:rPr>
                <w:sz w:val="22"/>
                <w:szCs w:val="22"/>
                <w:color w:val="auto"/>
              </w:rPr>
            </w:pPr>
          </w:p>
        </w:tc>
        <w:tc>
          <w:tcPr>
            <w:tcW w:w="1180" w:type="dxa"/>
            <w:vAlign w:val="bottom"/>
            <w:shd w:val="clear" w:color="auto" w:fill="CCCCFF"/>
          </w:tcPr>
          <w:p>
            <w:pPr>
              <w:spacing w:after="0"/>
              <w:rPr>
                <w:sz w:val="22"/>
                <w:szCs w:val="22"/>
                <w:color w:val="auto"/>
              </w:rPr>
            </w:pPr>
          </w:p>
        </w:tc>
        <w:tc>
          <w:tcPr>
            <w:tcW w:w="360" w:type="dxa"/>
            <w:vAlign w:val="bottom"/>
            <w:tcBorders>
              <w:right w:val="single" w:sz="8" w:color="CCCCFF"/>
            </w:tcBorders>
            <w:shd w:val="clear" w:color="auto" w:fill="CCCCFF"/>
          </w:tcPr>
          <w:p>
            <w:pPr>
              <w:spacing w:after="0"/>
              <w:rPr>
                <w:sz w:val="22"/>
                <w:szCs w:val="22"/>
                <w:color w:val="auto"/>
              </w:rPr>
            </w:pPr>
          </w:p>
        </w:tc>
        <w:tc>
          <w:tcPr>
            <w:tcW w:w="180" w:type="dxa"/>
            <w:vAlign w:val="bottom"/>
            <w:shd w:val="clear" w:color="auto" w:fill="CCCCFF"/>
          </w:tcPr>
          <w:p>
            <w:pPr>
              <w:jc w:val="right"/>
              <w:spacing w:after="0"/>
              <w:rPr>
                <w:sz w:val="20"/>
                <w:szCs w:val="20"/>
                <w:color w:val="auto"/>
              </w:rPr>
            </w:pPr>
            <w:r>
              <w:rPr>
                <w:rFonts w:ascii="Arial" w:cs="Arial" w:eastAsia="Arial" w:hAnsi="Arial"/>
                <w:sz w:val="20"/>
                <w:szCs w:val="20"/>
                <w:color w:val="0000FF"/>
                <w:w w:val="71"/>
              </w:rPr>
              <w:t>16</w:t>
            </w:r>
          </w:p>
        </w:tc>
        <w:tc>
          <w:tcPr>
            <w:tcW w:w="120" w:type="dxa"/>
            <w:vAlign w:val="bottom"/>
            <w:shd w:val="clear" w:color="auto" w:fill="CCCCFF"/>
          </w:tcPr>
          <w:p>
            <w:pPr>
              <w:spacing w:after="0"/>
              <w:rPr>
                <w:sz w:val="22"/>
                <w:szCs w:val="22"/>
                <w:color w:val="auto"/>
              </w:rPr>
            </w:pPr>
          </w:p>
        </w:tc>
        <w:tc>
          <w:tcPr>
            <w:tcW w:w="40" w:type="dxa"/>
            <w:vAlign w:val="bottom"/>
            <w:shd w:val="clear" w:color="auto" w:fill="CCCCFF"/>
          </w:tcPr>
          <w:p>
            <w:pPr>
              <w:spacing w:after="0"/>
              <w:rPr>
                <w:sz w:val="22"/>
                <w:szCs w:val="22"/>
                <w:color w:val="auto"/>
              </w:rPr>
            </w:pPr>
          </w:p>
        </w:tc>
        <w:tc>
          <w:tcPr>
            <w:tcW w:w="100" w:type="dxa"/>
            <w:vAlign w:val="bottom"/>
            <w:shd w:val="clear" w:color="auto" w:fill="CCCCFF"/>
          </w:tcPr>
          <w:p>
            <w:pPr>
              <w:spacing w:after="0"/>
              <w:rPr>
                <w:sz w:val="22"/>
                <w:szCs w:val="22"/>
                <w:color w:val="auto"/>
              </w:rPr>
            </w:pPr>
          </w:p>
        </w:tc>
        <w:tc>
          <w:tcPr>
            <w:tcW w:w="60" w:type="dxa"/>
            <w:vAlign w:val="bottom"/>
            <w:shd w:val="clear" w:color="auto" w:fill="CCCCFF"/>
          </w:tcPr>
          <w:p>
            <w:pPr>
              <w:spacing w:after="0"/>
              <w:rPr>
                <w:sz w:val="22"/>
                <w:szCs w:val="22"/>
                <w:color w:val="auto"/>
              </w:rPr>
            </w:pPr>
          </w:p>
        </w:tc>
        <w:tc>
          <w:tcPr>
            <w:tcW w:w="220" w:type="dxa"/>
            <w:vAlign w:val="bottom"/>
            <w:tcBorders>
              <w:right w:val="single" w:sz="8" w:color="CCCCFF"/>
            </w:tcBorders>
            <w:shd w:val="clear" w:color="auto" w:fill="CCCCFF"/>
          </w:tcPr>
          <w:p>
            <w:pPr>
              <w:spacing w:after="0"/>
              <w:rPr>
                <w:sz w:val="22"/>
                <w:szCs w:val="22"/>
                <w:color w:val="auto"/>
              </w:rPr>
            </w:pPr>
          </w:p>
        </w:tc>
        <w:tc>
          <w:tcPr>
            <w:tcW w:w="1080" w:type="dxa"/>
            <w:vAlign w:val="bottom"/>
            <w:tcBorders>
              <w:right w:val="single" w:sz="8" w:color="CCCCFF"/>
            </w:tcBorders>
            <w:shd w:val="clear" w:color="auto" w:fill="CCCCFF"/>
          </w:tcPr>
          <w:p>
            <w:pPr>
              <w:spacing w:after="0"/>
              <w:rPr>
                <w:sz w:val="20"/>
                <w:szCs w:val="20"/>
                <w:color w:val="auto"/>
              </w:rPr>
            </w:pPr>
            <w:r>
              <w:rPr>
                <w:rFonts w:ascii="Arial" w:cs="Arial" w:eastAsia="Arial" w:hAnsi="Arial"/>
                <w:sz w:val="20"/>
                <w:szCs w:val="20"/>
                <w:color w:val="0000FF"/>
                <w:w w:val="88"/>
              </w:rPr>
              <w:t>Feb 28, 2018</w:t>
            </w:r>
          </w:p>
        </w:tc>
        <w:tc>
          <w:tcPr>
            <w:tcW w:w="160" w:type="dxa"/>
            <w:vAlign w:val="bottom"/>
            <w:shd w:val="clear" w:color="auto" w:fill="CCCCFF"/>
          </w:tcPr>
          <w:p>
            <w:pPr>
              <w:spacing w:after="0"/>
              <w:rPr>
                <w:sz w:val="22"/>
                <w:szCs w:val="22"/>
                <w:color w:val="auto"/>
              </w:rPr>
            </w:pPr>
          </w:p>
        </w:tc>
        <w:tc>
          <w:tcPr>
            <w:tcW w:w="1400" w:type="dxa"/>
            <w:vAlign w:val="bottom"/>
            <w:tcBorders>
              <w:right w:val="single" w:sz="8" w:color="CCCCFF"/>
            </w:tcBorders>
            <w:gridSpan w:val="3"/>
            <w:shd w:val="clear" w:color="auto" w:fill="CCCCFF"/>
          </w:tcPr>
          <w:p>
            <w:pPr>
              <w:spacing w:after="0"/>
              <w:rPr>
                <w:sz w:val="22"/>
                <w:szCs w:val="22"/>
                <w:color w:val="auto"/>
              </w:rPr>
            </w:pPr>
          </w:p>
        </w:tc>
        <w:tc>
          <w:tcPr>
            <w:tcW w:w="1080" w:type="dxa"/>
            <w:vAlign w:val="bottom"/>
            <w:gridSpan w:val="3"/>
            <w:shd w:val="clear" w:color="auto" w:fill="CCCCFF"/>
          </w:tcPr>
          <w:p>
            <w:pPr>
              <w:jc w:val="right"/>
              <w:ind w:right="40"/>
              <w:spacing w:after="0"/>
              <w:rPr>
                <w:sz w:val="20"/>
                <w:szCs w:val="20"/>
                <w:color w:val="auto"/>
              </w:rPr>
            </w:pPr>
            <w:r>
              <w:rPr>
                <w:rFonts w:ascii="Arial" w:cs="Arial" w:eastAsia="Arial" w:hAnsi="Arial"/>
                <w:sz w:val="20"/>
                <w:szCs w:val="20"/>
                <w:color w:val="0000FF"/>
                <w:w w:val="87"/>
              </w:rPr>
              <w:t>2,343,750.</w:t>
            </w:r>
            <w:r>
              <w:rPr>
                <w:rFonts w:ascii="Arial" w:cs="Arial" w:eastAsia="Arial" w:hAnsi="Arial"/>
                <w:sz w:val="20"/>
                <w:szCs w:val="20"/>
                <w:u w:val="single" w:color="auto"/>
                <w:color w:val="0000FF"/>
                <w:w w:val="87"/>
              </w:rPr>
              <w:t>00</w:t>
            </w:r>
          </w:p>
        </w:tc>
        <w:tc>
          <w:tcPr>
            <w:tcW w:w="1060" w:type="dxa"/>
            <w:vAlign w:val="bottom"/>
            <w:tcBorders>
              <w:right w:val="single" w:sz="8" w:color="CCCCFF"/>
            </w:tcBorders>
            <w:gridSpan w:val="3"/>
            <w:shd w:val="clear" w:color="auto" w:fill="CCCCFF"/>
          </w:tcPr>
          <w:p>
            <w:pPr>
              <w:jc w:val="center"/>
              <w:ind w:left="241"/>
              <w:spacing w:after="0"/>
              <w:rPr>
                <w:sz w:val="20"/>
                <w:szCs w:val="20"/>
                <w:color w:val="auto"/>
              </w:rPr>
            </w:pPr>
            <w:r>
              <w:rPr>
                <w:rFonts w:ascii="Arial" w:cs="Arial" w:eastAsia="Arial" w:hAnsi="Arial"/>
                <w:sz w:val="20"/>
                <w:szCs w:val="20"/>
                <w:color w:val="0000FF"/>
                <w:w w:val="88"/>
              </w:rPr>
              <w:t>3.</w:t>
            </w:r>
            <w:r>
              <w:rPr>
                <w:rFonts w:ascii="Arial" w:cs="Arial" w:eastAsia="Arial" w:hAnsi="Arial"/>
                <w:sz w:val="20"/>
                <w:szCs w:val="20"/>
                <w:u w:val="single" w:color="auto"/>
                <w:color w:val="0000FF"/>
                <w:w w:val="88"/>
              </w:rPr>
              <w:t>125%</w:t>
            </w:r>
          </w:p>
        </w:tc>
        <w:tc>
          <w:tcPr>
            <w:tcW w:w="340" w:type="dxa"/>
            <w:vAlign w:val="bottom"/>
            <w:tcBorders>
              <w:left w:val="single" w:sz="8" w:color="CCCCFF"/>
            </w:tcBorders>
            <w:shd w:val="clear" w:color="auto" w:fill="CCCCFF"/>
          </w:tcPr>
          <w:p>
            <w:pPr>
              <w:spacing w:after="0"/>
              <w:rPr>
                <w:sz w:val="22"/>
                <w:szCs w:val="22"/>
                <w:color w:val="auto"/>
              </w:rPr>
            </w:pPr>
          </w:p>
        </w:tc>
        <w:tc>
          <w:tcPr>
            <w:tcW w:w="1640" w:type="dxa"/>
            <w:vAlign w:val="bottom"/>
            <w:gridSpan w:val="3"/>
            <w:shd w:val="clear" w:color="auto" w:fill="CCCCFF"/>
          </w:tcPr>
          <w:p>
            <w:pPr>
              <w:jc w:val="right"/>
              <w:ind w:right="20"/>
              <w:spacing w:after="0"/>
              <w:rPr>
                <w:sz w:val="20"/>
                <w:szCs w:val="20"/>
                <w:color w:val="auto"/>
              </w:rPr>
            </w:pPr>
            <w:r>
              <w:rPr>
                <w:rFonts w:ascii="Arial" w:cs="Arial" w:eastAsia="Arial" w:hAnsi="Arial"/>
                <w:sz w:val="20"/>
                <w:szCs w:val="20"/>
                <w:color w:val="0000FF"/>
              </w:rPr>
              <w:t>48,750,000.</w:t>
            </w:r>
            <w:r>
              <w:rPr>
                <w:rFonts w:ascii="Arial" w:cs="Arial" w:eastAsia="Arial" w:hAnsi="Arial"/>
                <w:sz w:val="20"/>
                <w:szCs w:val="20"/>
                <w:u w:val="single" w:color="auto"/>
                <w:color w:val="0000FF"/>
              </w:rPr>
              <w:t>00</w:t>
            </w:r>
          </w:p>
        </w:tc>
        <w:tc>
          <w:tcPr>
            <w:tcW w:w="940" w:type="dxa"/>
            <w:vAlign w:val="bottom"/>
            <w:shd w:val="clear" w:color="auto" w:fill="CCCCFF"/>
          </w:tcPr>
          <w:p>
            <w:pPr>
              <w:spacing w:after="0"/>
              <w:rPr>
                <w:sz w:val="22"/>
                <w:szCs w:val="22"/>
                <w:color w:val="auto"/>
              </w:rPr>
            </w:pPr>
          </w:p>
        </w:tc>
      </w:tr>
      <w:tr>
        <w:trPr>
          <w:trHeight w:val="20"/>
        </w:trPr>
        <w:tc>
          <w:tcPr>
            <w:tcW w:w="340" w:type="dxa"/>
            <w:vAlign w:val="bottom"/>
            <w:shd w:val="clear" w:color="auto" w:fill="C0C0C0"/>
          </w:tcPr>
          <w:p>
            <w:pPr>
              <w:spacing w:after="0" w:line="20" w:lineRule="exact"/>
              <w:rPr>
                <w:sz w:val="1"/>
                <w:szCs w:val="1"/>
                <w:color w:val="auto"/>
              </w:rPr>
            </w:pPr>
          </w:p>
        </w:tc>
        <w:tc>
          <w:tcPr>
            <w:tcW w:w="40" w:type="dxa"/>
            <w:vAlign w:val="bottom"/>
            <w:shd w:val="clear" w:color="auto" w:fill="C0C0C0"/>
          </w:tcPr>
          <w:p>
            <w:pPr>
              <w:spacing w:after="0" w:line="20" w:lineRule="exact"/>
              <w:rPr>
                <w:sz w:val="1"/>
                <w:szCs w:val="1"/>
                <w:color w:val="auto"/>
              </w:rPr>
            </w:pPr>
          </w:p>
        </w:tc>
        <w:tc>
          <w:tcPr>
            <w:tcW w:w="380" w:type="dxa"/>
            <w:vAlign w:val="bottom"/>
            <w:shd w:val="clear" w:color="auto" w:fill="C0C0C0"/>
          </w:tcPr>
          <w:p>
            <w:pPr>
              <w:spacing w:after="0" w:line="20" w:lineRule="exact"/>
              <w:rPr>
                <w:sz w:val="1"/>
                <w:szCs w:val="1"/>
                <w:color w:val="auto"/>
              </w:rPr>
            </w:pPr>
          </w:p>
        </w:tc>
        <w:tc>
          <w:tcPr>
            <w:tcW w:w="280" w:type="dxa"/>
            <w:vAlign w:val="bottom"/>
            <w:shd w:val="clear" w:color="auto" w:fill="C0C0C0"/>
          </w:tcPr>
          <w:p>
            <w:pPr>
              <w:spacing w:after="0" w:line="20" w:lineRule="exact"/>
              <w:rPr>
                <w:sz w:val="1"/>
                <w:szCs w:val="1"/>
                <w:color w:val="auto"/>
              </w:rPr>
            </w:pPr>
          </w:p>
        </w:tc>
        <w:tc>
          <w:tcPr>
            <w:tcW w:w="420" w:type="dxa"/>
            <w:vAlign w:val="bottom"/>
            <w:shd w:val="clear" w:color="auto" w:fill="C0C0C0"/>
          </w:tcPr>
          <w:p>
            <w:pPr>
              <w:spacing w:after="0" w:line="20" w:lineRule="exact"/>
              <w:rPr>
                <w:sz w:val="1"/>
                <w:szCs w:val="1"/>
                <w:color w:val="auto"/>
              </w:rPr>
            </w:pPr>
          </w:p>
        </w:tc>
        <w:tc>
          <w:tcPr>
            <w:tcW w:w="1180" w:type="dxa"/>
            <w:vAlign w:val="bottom"/>
            <w:shd w:val="clear" w:color="auto" w:fill="CCCCFF"/>
          </w:tcPr>
          <w:p>
            <w:pPr>
              <w:spacing w:after="0" w:line="20" w:lineRule="exact"/>
              <w:rPr>
                <w:sz w:val="1"/>
                <w:szCs w:val="1"/>
                <w:color w:val="auto"/>
              </w:rPr>
            </w:pPr>
          </w:p>
        </w:tc>
        <w:tc>
          <w:tcPr>
            <w:tcW w:w="360" w:type="dxa"/>
            <w:vAlign w:val="bottom"/>
            <w:tcBorders>
              <w:right w:val="single" w:sz="8" w:color="0000FF"/>
            </w:tcBorders>
            <w:shd w:val="clear" w:color="auto" w:fill="CCCC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20" w:type="dxa"/>
            <w:vAlign w:val="bottom"/>
            <w:shd w:val="clear" w:color="auto" w:fill="CCCCFF"/>
          </w:tcPr>
          <w:p>
            <w:pPr>
              <w:spacing w:after="0" w:line="20" w:lineRule="exact"/>
              <w:rPr>
                <w:sz w:val="1"/>
                <w:szCs w:val="1"/>
                <w:color w:val="auto"/>
              </w:rPr>
            </w:pPr>
          </w:p>
        </w:tc>
        <w:tc>
          <w:tcPr>
            <w:tcW w:w="40" w:type="dxa"/>
            <w:vAlign w:val="bottom"/>
            <w:shd w:val="clear" w:color="auto" w:fill="CCCCFF"/>
          </w:tcPr>
          <w:p>
            <w:pPr>
              <w:spacing w:after="0" w:line="20" w:lineRule="exact"/>
              <w:rPr>
                <w:sz w:val="1"/>
                <w:szCs w:val="1"/>
                <w:color w:val="auto"/>
              </w:rPr>
            </w:pPr>
          </w:p>
        </w:tc>
        <w:tc>
          <w:tcPr>
            <w:tcW w:w="100" w:type="dxa"/>
            <w:vAlign w:val="bottom"/>
            <w:shd w:val="clear" w:color="auto" w:fill="CCCCFF"/>
          </w:tcPr>
          <w:p>
            <w:pPr>
              <w:spacing w:after="0" w:line="20" w:lineRule="exact"/>
              <w:rPr>
                <w:sz w:val="1"/>
                <w:szCs w:val="1"/>
                <w:color w:val="auto"/>
              </w:rPr>
            </w:pPr>
          </w:p>
        </w:tc>
        <w:tc>
          <w:tcPr>
            <w:tcW w:w="60" w:type="dxa"/>
            <w:vAlign w:val="bottom"/>
            <w:shd w:val="clear" w:color="auto" w:fill="CCCCFF"/>
          </w:tcPr>
          <w:p>
            <w:pPr>
              <w:spacing w:after="0" w:line="20" w:lineRule="exact"/>
              <w:rPr>
                <w:sz w:val="1"/>
                <w:szCs w:val="1"/>
                <w:color w:val="auto"/>
              </w:rPr>
            </w:pPr>
          </w:p>
        </w:tc>
        <w:tc>
          <w:tcPr>
            <w:tcW w:w="220" w:type="dxa"/>
            <w:vAlign w:val="bottom"/>
            <w:tcBorders>
              <w:right w:val="single" w:sz="8" w:color="CCCCFF"/>
            </w:tcBorders>
            <w:shd w:val="clear" w:color="auto" w:fill="CCCCFF"/>
          </w:tcPr>
          <w:p>
            <w:pPr>
              <w:spacing w:after="0" w:line="20" w:lineRule="exact"/>
              <w:rPr>
                <w:sz w:val="1"/>
                <w:szCs w:val="1"/>
                <w:color w:val="auto"/>
              </w:rPr>
            </w:pPr>
          </w:p>
        </w:tc>
        <w:tc>
          <w:tcPr>
            <w:tcW w:w="1080" w:type="dxa"/>
            <w:vAlign w:val="bottom"/>
            <w:tcBorders>
              <w:right w:val="single" w:sz="8" w:color="CCCCFF"/>
            </w:tcBorders>
            <w:shd w:val="clear" w:color="auto" w:fill="0000FF"/>
          </w:tcPr>
          <w:p>
            <w:pPr>
              <w:spacing w:after="0" w:line="20" w:lineRule="exact"/>
              <w:rPr>
                <w:sz w:val="1"/>
                <w:szCs w:val="1"/>
                <w:color w:val="auto"/>
              </w:rPr>
            </w:pPr>
          </w:p>
        </w:tc>
        <w:tc>
          <w:tcPr>
            <w:tcW w:w="160" w:type="dxa"/>
            <w:vAlign w:val="bottom"/>
            <w:shd w:val="clear" w:color="auto" w:fill="CCCCFF"/>
          </w:tcPr>
          <w:p>
            <w:pPr>
              <w:spacing w:after="0" w:line="20" w:lineRule="exact"/>
              <w:rPr>
                <w:sz w:val="1"/>
                <w:szCs w:val="1"/>
                <w:color w:val="auto"/>
              </w:rPr>
            </w:pPr>
          </w:p>
        </w:tc>
        <w:tc>
          <w:tcPr>
            <w:tcW w:w="1260" w:type="dxa"/>
            <w:vAlign w:val="bottom"/>
            <w:shd w:val="clear" w:color="auto" w:fill="CCCCFF"/>
          </w:tcPr>
          <w:p>
            <w:pPr>
              <w:spacing w:after="0" w:line="20" w:lineRule="exact"/>
              <w:rPr>
                <w:sz w:val="1"/>
                <w:szCs w:val="1"/>
                <w:color w:val="auto"/>
              </w:rPr>
            </w:pPr>
          </w:p>
        </w:tc>
        <w:tc>
          <w:tcPr>
            <w:tcW w:w="60" w:type="dxa"/>
            <w:vAlign w:val="bottom"/>
            <w:shd w:val="clear" w:color="auto" w:fill="CCCCFF"/>
          </w:tcPr>
          <w:p>
            <w:pPr>
              <w:spacing w:after="0" w:line="20" w:lineRule="exact"/>
              <w:rPr>
                <w:sz w:val="1"/>
                <w:szCs w:val="1"/>
                <w:color w:val="auto"/>
              </w:rPr>
            </w:pPr>
          </w:p>
        </w:tc>
        <w:tc>
          <w:tcPr>
            <w:tcW w:w="80" w:type="dxa"/>
            <w:vAlign w:val="bottom"/>
            <w:tcBorders>
              <w:right w:val="single" w:sz="8" w:color="CCCCFF"/>
            </w:tcBorders>
            <w:shd w:val="clear" w:color="auto" w:fill="CCCCFF"/>
          </w:tcPr>
          <w:p>
            <w:pPr>
              <w:spacing w:after="0" w:line="20" w:lineRule="exact"/>
              <w:rPr>
                <w:sz w:val="1"/>
                <w:szCs w:val="1"/>
                <w:color w:val="auto"/>
              </w:rPr>
            </w:pPr>
          </w:p>
        </w:tc>
        <w:tc>
          <w:tcPr>
            <w:tcW w:w="1000" w:type="dxa"/>
            <w:vAlign w:val="bottom"/>
            <w:gridSpan w:val="2"/>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CCCCFF"/>
          </w:tcPr>
          <w:p>
            <w:pPr>
              <w:spacing w:after="0" w:line="20" w:lineRule="exact"/>
              <w:rPr>
                <w:sz w:val="1"/>
                <w:szCs w:val="1"/>
                <w:color w:val="auto"/>
              </w:rPr>
            </w:pPr>
          </w:p>
        </w:tc>
        <w:tc>
          <w:tcPr>
            <w:tcW w:w="400" w:type="dxa"/>
            <w:vAlign w:val="bottom"/>
            <w:tcBorders>
              <w:right w:val="single" w:sz="8" w:color="CCCCFF"/>
            </w:tcBorders>
            <w:shd w:val="clear" w:color="auto" w:fill="CCCCFF"/>
          </w:tcPr>
          <w:p>
            <w:pPr>
              <w:spacing w:after="0" w:line="20" w:lineRule="exact"/>
              <w:rPr>
                <w:sz w:val="1"/>
                <w:szCs w:val="1"/>
                <w:color w:val="auto"/>
              </w:rPr>
            </w:pPr>
          </w:p>
        </w:tc>
        <w:tc>
          <w:tcPr>
            <w:tcW w:w="660" w:type="dxa"/>
            <w:vAlign w:val="bottom"/>
            <w:tcBorders>
              <w:right w:val="single" w:sz="8" w:color="CCCCFF"/>
            </w:tcBorders>
            <w:gridSpan w:val="2"/>
            <w:shd w:val="clear" w:color="auto" w:fill="0000FF"/>
          </w:tcPr>
          <w:p>
            <w:pPr>
              <w:spacing w:after="0" w:line="20" w:lineRule="exact"/>
              <w:rPr>
                <w:sz w:val="1"/>
                <w:szCs w:val="1"/>
                <w:color w:val="auto"/>
              </w:rPr>
            </w:pPr>
          </w:p>
        </w:tc>
        <w:tc>
          <w:tcPr>
            <w:tcW w:w="340" w:type="dxa"/>
            <w:vAlign w:val="bottom"/>
            <w:tcBorders>
              <w:left w:val="single" w:sz="8" w:color="CCCCFF"/>
            </w:tcBorders>
            <w:shd w:val="clear" w:color="auto" w:fill="CCCCFF"/>
          </w:tcPr>
          <w:p>
            <w:pPr>
              <w:spacing w:after="0" w:line="20" w:lineRule="exact"/>
              <w:rPr>
                <w:sz w:val="1"/>
                <w:szCs w:val="1"/>
                <w:color w:val="auto"/>
              </w:rPr>
            </w:pPr>
          </w:p>
        </w:tc>
        <w:tc>
          <w:tcPr>
            <w:tcW w:w="480" w:type="dxa"/>
            <w:vAlign w:val="bottom"/>
            <w:shd w:val="clear" w:color="auto" w:fill="CCCCFF"/>
          </w:tcPr>
          <w:p>
            <w:pPr>
              <w:spacing w:after="0" w:line="20" w:lineRule="exact"/>
              <w:rPr>
                <w:sz w:val="1"/>
                <w:szCs w:val="1"/>
                <w:color w:val="auto"/>
              </w:rPr>
            </w:pPr>
          </w:p>
        </w:tc>
        <w:tc>
          <w:tcPr>
            <w:tcW w:w="1140" w:type="dxa"/>
            <w:vAlign w:val="bottom"/>
            <w:shd w:val="clear" w:color="auto" w:fill="0000FF"/>
          </w:tcPr>
          <w:p>
            <w:pPr>
              <w:spacing w:after="0" w:line="20" w:lineRule="exact"/>
              <w:rPr>
                <w:sz w:val="1"/>
                <w:szCs w:val="1"/>
                <w:color w:val="auto"/>
              </w:rPr>
            </w:pPr>
          </w:p>
        </w:tc>
        <w:tc>
          <w:tcPr>
            <w:tcW w:w="20" w:type="dxa"/>
            <w:vAlign w:val="bottom"/>
            <w:shd w:val="clear" w:color="auto" w:fill="CCCCFF"/>
          </w:tcPr>
          <w:p>
            <w:pPr>
              <w:spacing w:after="0" w:line="20" w:lineRule="exact"/>
              <w:rPr>
                <w:sz w:val="1"/>
                <w:szCs w:val="1"/>
                <w:color w:val="auto"/>
              </w:rPr>
            </w:pPr>
          </w:p>
        </w:tc>
        <w:tc>
          <w:tcPr>
            <w:tcW w:w="940" w:type="dxa"/>
            <w:vAlign w:val="bottom"/>
            <w:shd w:val="clear" w:color="auto" w:fill="CCCCFF"/>
          </w:tcPr>
          <w:p>
            <w:pPr>
              <w:spacing w:after="0" w:line="20" w:lineRule="exact"/>
              <w:rPr>
                <w:sz w:val="1"/>
                <w:szCs w:val="1"/>
                <w:color w:val="auto"/>
              </w:rPr>
            </w:pPr>
          </w:p>
        </w:tc>
      </w:tr>
      <w:tr>
        <w:trPr>
          <w:trHeight w:val="264"/>
        </w:trPr>
        <w:tc>
          <w:tcPr>
            <w:tcW w:w="340" w:type="dxa"/>
            <w:vAlign w:val="bottom"/>
            <w:shd w:val="clear" w:color="auto" w:fill="C0C0C0"/>
          </w:tcPr>
          <w:p>
            <w:pPr>
              <w:spacing w:after="0"/>
              <w:rPr>
                <w:sz w:val="22"/>
                <w:szCs w:val="22"/>
                <w:color w:val="auto"/>
              </w:rPr>
            </w:pPr>
          </w:p>
        </w:tc>
        <w:tc>
          <w:tcPr>
            <w:tcW w:w="40" w:type="dxa"/>
            <w:vAlign w:val="bottom"/>
            <w:shd w:val="clear" w:color="auto" w:fill="C0C0C0"/>
          </w:tcPr>
          <w:p>
            <w:pPr>
              <w:spacing w:after="0"/>
              <w:rPr>
                <w:sz w:val="22"/>
                <w:szCs w:val="22"/>
                <w:color w:val="auto"/>
              </w:rPr>
            </w:pPr>
          </w:p>
        </w:tc>
        <w:tc>
          <w:tcPr>
            <w:tcW w:w="380" w:type="dxa"/>
            <w:vAlign w:val="bottom"/>
            <w:shd w:val="clear" w:color="auto" w:fill="C0C0C0"/>
          </w:tcPr>
          <w:p>
            <w:pPr>
              <w:spacing w:after="0"/>
              <w:rPr>
                <w:sz w:val="22"/>
                <w:szCs w:val="22"/>
                <w:color w:val="auto"/>
              </w:rPr>
            </w:pPr>
          </w:p>
        </w:tc>
        <w:tc>
          <w:tcPr>
            <w:tcW w:w="280" w:type="dxa"/>
            <w:vAlign w:val="bottom"/>
            <w:shd w:val="clear" w:color="auto" w:fill="C0C0C0"/>
          </w:tcPr>
          <w:p>
            <w:pPr>
              <w:spacing w:after="0"/>
              <w:rPr>
                <w:sz w:val="22"/>
                <w:szCs w:val="22"/>
                <w:color w:val="auto"/>
              </w:rPr>
            </w:pPr>
          </w:p>
        </w:tc>
        <w:tc>
          <w:tcPr>
            <w:tcW w:w="420" w:type="dxa"/>
            <w:vAlign w:val="bottom"/>
            <w:shd w:val="clear" w:color="auto" w:fill="C0C0C0"/>
          </w:tcPr>
          <w:p>
            <w:pPr>
              <w:spacing w:after="0"/>
              <w:rPr>
                <w:sz w:val="22"/>
                <w:szCs w:val="22"/>
                <w:color w:val="auto"/>
              </w:rPr>
            </w:pPr>
          </w:p>
        </w:tc>
        <w:tc>
          <w:tcPr>
            <w:tcW w:w="1180" w:type="dxa"/>
            <w:vAlign w:val="bottom"/>
            <w:shd w:val="clear" w:color="auto" w:fill="CCCCFF"/>
          </w:tcPr>
          <w:p>
            <w:pPr>
              <w:spacing w:after="0"/>
              <w:rPr>
                <w:sz w:val="22"/>
                <w:szCs w:val="22"/>
                <w:color w:val="auto"/>
              </w:rPr>
            </w:pPr>
          </w:p>
        </w:tc>
        <w:tc>
          <w:tcPr>
            <w:tcW w:w="360" w:type="dxa"/>
            <w:vAlign w:val="bottom"/>
            <w:tcBorders>
              <w:right w:val="single" w:sz="8" w:color="CCCCFF"/>
            </w:tcBorders>
            <w:shd w:val="clear" w:color="auto" w:fill="CCCCFF"/>
          </w:tcPr>
          <w:p>
            <w:pPr>
              <w:spacing w:after="0"/>
              <w:rPr>
                <w:sz w:val="22"/>
                <w:szCs w:val="22"/>
                <w:color w:val="auto"/>
              </w:rPr>
            </w:pPr>
          </w:p>
        </w:tc>
        <w:tc>
          <w:tcPr>
            <w:tcW w:w="180" w:type="dxa"/>
            <w:vAlign w:val="bottom"/>
            <w:shd w:val="clear" w:color="auto" w:fill="CCCCFF"/>
          </w:tcPr>
          <w:p>
            <w:pPr>
              <w:jc w:val="right"/>
              <w:spacing w:after="0"/>
              <w:rPr>
                <w:sz w:val="20"/>
                <w:szCs w:val="20"/>
                <w:color w:val="auto"/>
              </w:rPr>
            </w:pPr>
            <w:r>
              <w:rPr>
                <w:rFonts w:ascii="Arial" w:cs="Arial" w:eastAsia="Arial" w:hAnsi="Arial"/>
                <w:sz w:val="20"/>
                <w:szCs w:val="20"/>
                <w:color w:val="0000FF"/>
                <w:w w:val="71"/>
              </w:rPr>
              <w:t>17</w:t>
            </w:r>
          </w:p>
        </w:tc>
        <w:tc>
          <w:tcPr>
            <w:tcW w:w="120" w:type="dxa"/>
            <w:vAlign w:val="bottom"/>
            <w:shd w:val="clear" w:color="auto" w:fill="CCCCFF"/>
          </w:tcPr>
          <w:p>
            <w:pPr>
              <w:spacing w:after="0"/>
              <w:rPr>
                <w:sz w:val="22"/>
                <w:szCs w:val="22"/>
                <w:color w:val="auto"/>
              </w:rPr>
            </w:pPr>
          </w:p>
        </w:tc>
        <w:tc>
          <w:tcPr>
            <w:tcW w:w="40" w:type="dxa"/>
            <w:vAlign w:val="bottom"/>
            <w:shd w:val="clear" w:color="auto" w:fill="CCCCFF"/>
          </w:tcPr>
          <w:p>
            <w:pPr>
              <w:spacing w:after="0"/>
              <w:rPr>
                <w:sz w:val="22"/>
                <w:szCs w:val="22"/>
                <w:color w:val="auto"/>
              </w:rPr>
            </w:pPr>
          </w:p>
        </w:tc>
        <w:tc>
          <w:tcPr>
            <w:tcW w:w="100" w:type="dxa"/>
            <w:vAlign w:val="bottom"/>
            <w:shd w:val="clear" w:color="auto" w:fill="CCCCFF"/>
          </w:tcPr>
          <w:p>
            <w:pPr>
              <w:spacing w:after="0"/>
              <w:rPr>
                <w:sz w:val="22"/>
                <w:szCs w:val="22"/>
                <w:color w:val="auto"/>
              </w:rPr>
            </w:pPr>
          </w:p>
        </w:tc>
        <w:tc>
          <w:tcPr>
            <w:tcW w:w="60" w:type="dxa"/>
            <w:vAlign w:val="bottom"/>
            <w:shd w:val="clear" w:color="auto" w:fill="CCCCFF"/>
          </w:tcPr>
          <w:p>
            <w:pPr>
              <w:spacing w:after="0"/>
              <w:rPr>
                <w:sz w:val="22"/>
                <w:szCs w:val="22"/>
                <w:color w:val="auto"/>
              </w:rPr>
            </w:pPr>
          </w:p>
        </w:tc>
        <w:tc>
          <w:tcPr>
            <w:tcW w:w="220" w:type="dxa"/>
            <w:vAlign w:val="bottom"/>
            <w:tcBorders>
              <w:right w:val="single" w:sz="8" w:color="CCCCFF"/>
            </w:tcBorders>
            <w:shd w:val="clear" w:color="auto" w:fill="CCCCFF"/>
          </w:tcPr>
          <w:p>
            <w:pPr>
              <w:spacing w:after="0"/>
              <w:rPr>
                <w:sz w:val="22"/>
                <w:szCs w:val="22"/>
                <w:color w:val="auto"/>
              </w:rPr>
            </w:pPr>
          </w:p>
        </w:tc>
        <w:tc>
          <w:tcPr>
            <w:tcW w:w="1080" w:type="dxa"/>
            <w:vAlign w:val="bottom"/>
            <w:tcBorders>
              <w:right w:val="single" w:sz="8" w:color="CCCCFF"/>
            </w:tcBorders>
            <w:shd w:val="clear" w:color="auto" w:fill="CCCCFF"/>
          </w:tcPr>
          <w:p>
            <w:pPr>
              <w:spacing w:after="0"/>
              <w:rPr>
                <w:sz w:val="20"/>
                <w:szCs w:val="20"/>
                <w:color w:val="auto"/>
              </w:rPr>
            </w:pPr>
            <w:r>
              <w:rPr>
                <w:rFonts w:ascii="Arial" w:cs="Arial" w:eastAsia="Arial" w:hAnsi="Arial"/>
                <w:sz w:val="20"/>
                <w:szCs w:val="20"/>
                <w:color w:val="0000FF"/>
                <w:w w:val="85"/>
              </w:rPr>
              <w:t>May 31, 2018</w:t>
            </w:r>
          </w:p>
        </w:tc>
        <w:tc>
          <w:tcPr>
            <w:tcW w:w="160" w:type="dxa"/>
            <w:vAlign w:val="bottom"/>
            <w:shd w:val="clear" w:color="auto" w:fill="CCCCFF"/>
          </w:tcPr>
          <w:p>
            <w:pPr>
              <w:spacing w:after="0"/>
              <w:rPr>
                <w:sz w:val="22"/>
                <w:szCs w:val="22"/>
                <w:color w:val="auto"/>
              </w:rPr>
            </w:pPr>
          </w:p>
        </w:tc>
        <w:tc>
          <w:tcPr>
            <w:tcW w:w="1400" w:type="dxa"/>
            <w:vAlign w:val="bottom"/>
            <w:tcBorders>
              <w:right w:val="single" w:sz="8" w:color="CCCCFF"/>
            </w:tcBorders>
            <w:gridSpan w:val="3"/>
            <w:shd w:val="clear" w:color="auto" w:fill="CCCCFF"/>
          </w:tcPr>
          <w:p>
            <w:pPr>
              <w:spacing w:after="0"/>
              <w:rPr>
                <w:sz w:val="22"/>
                <w:szCs w:val="22"/>
                <w:color w:val="auto"/>
              </w:rPr>
            </w:pPr>
          </w:p>
        </w:tc>
        <w:tc>
          <w:tcPr>
            <w:tcW w:w="1080" w:type="dxa"/>
            <w:vAlign w:val="bottom"/>
            <w:gridSpan w:val="3"/>
            <w:shd w:val="clear" w:color="auto" w:fill="CCCCFF"/>
          </w:tcPr>
          <w:p>
            <w:pPr>
              <w:jc w:val="right"/>
              <w:ind w:right="40"/>
              <w:spacing w:after="0"/>
              <w:rPr>
                <w:sz w:val="20"/>
                <w:szCs w:val="20"/>
                <w:color w:val="auto"/>
              </w:rPr>
            </w:pPr>
            <w:r>
              <w:rPr>
                <w:rFonts w:ascii="Arial" w:cs="Arial" w:eastAsia="Arial" w:hAnsi="Arial"/>
                <w:sz w:val="20"/>
                <w:szCs w:val="20"/>
                <w:color w:val="0000FF"/>
                <w:w w:val="87"/>
              </w:rPr>
              <w:t>3,750,000.</w:t>
            </w:r>
            <w:r>
              <w:rPr>
                <w:rFonts w:ascii="Arial" w:cs="Arial" w:eastAsia="Arial" w:hAnsi="Arial"/>
                <w:sz w:val="20"/>
                <w:szCs w:val="20"/>
                <w:u w:val="single" w:color="auto"/>
                <w:color w:val="0000FF"/>
                <w:w w:val="87"/>
              </w:rPr>
              <w:t>00</w:t>
            </w:r>
          </w:p>
        </w:tc>
        <w:tc>
          <w:tcPr>
            <w:tcW w:w="1060" w:type="dxa"/>
            <w:vAlign w:val="bottom"/>
            <w:tcBorders>
              <w:right w:val="single" w:sz="8" w:color="CCCCFF"/>
            </w:tcBorders>
            <w:gridSpan w:val="3"/>
            <w:shd w:val="clear" w:color="auto" w:fill="CCCCFF"/>
          </w:tcPr>
          <w:p>
            <w:pPr>
              <w:jc w:val="center"/>
              <w:ind w:left="241"/>
              <w:spacing w:after="0"/>
              <w:rPr>
                <w:sz w:val="20"/>
                <w:szCs w:val="20"/>
                <w:color w:val="auto"/>
              </w:rPr>
            </w:pPr>
            <w:r>
              <w:rPr>
                <w:rFonts w:ascii="Arial" w:cs="Arial" w:eastAsia="Arial" w:hAnsi="Arial"/>
                <w:sz w:val="20"/>
                <w:szCs w:val="20"/>
                <w:color w:val="0000FF"/>
                <w:w w:val="88"/>
              </w:rPr>
              <w:t>5.</w:t>
            </w:r>
            <w:r>
              <w:rPr>
                <w:rFonts w:ascii="Arial" w:cs="Arial" w:eastAsia="Arial" w:hAnsi="Arial"/>
                <w:sz w:val="20"/>
                <w:szCs w:val="20"/>
                <w:u w:val="single" w:color="auto"/>
                <w:color w:val="0000FF"/>
                <w:w w:val="88"/>
              </w:rPr>
              <w:t>000%</w:t>
            </w:r>
          </w:p>
        </w:tc>
        <w:tc>
          <w:tcPr>
            <w:tcW w:w="340" w:type="dxa"/>
            <w:vAlign w:val="bottom"/>
            <w:tcBorders>
              <w:left w:val="single" w:sz="8" w:color="CCCCFF"/>
            </w:tcBorders>
            <w:shd w:val="clear" w:color="auto" w:fill="CCCCFF"/>
          </w:tcPr>
          <w:p>
            <w:pPr>
              <w:spacing w:after="0"/>
              <w:rPr>
                <w:sz w:val="22"/>
                <w:szCs w:val="22"/>
                <w:color w:val="auto"/>
              </w:rPr>
            </w:pPr>
          </w:p>
        </w:tc>
        <w:tc>
          <w:tcPr>
            <w:tcW w:w="1640" w:type="dxa"/>
            <w:vAlign w:val="bottom"/>
            <w:gridSpan w:val="3"/>
            <w:shd w:val="clear" w:color="auto" w:fill="CCCCFF"/>
          </w:tcPr>
          <w:p>
            <w:pPr>
              <w:jc w:val="right"/>
              <w:ind w:right="20"/>
              <w:spacing w:after="0"/>
              <w:rPr>
                <w:sz w:val="20"/>
                <w:szCs w:val="20"/>
                <w:color w:val="auto"/>
              </w:rPr>
            </w:pPr>
            <w:r>
              <w:rPr>
                <w:rFonts w:ascii="Arial" w:cs="Arial" w:eastAsia="Arial" w:hAnsi="Arial"/>
                <w:sz w:val="20"/>
                <w:szCs w:val="20"/>
                <w:color w:val="0000FF"/>
              </w:rPr>
              <w:t>45,000,000.</w:t>
            </w:r>
            <w:r>
              <w:rPr>
                <w:rFonts w:ascii="Arial" w:cs="Arial" w:eastAsia="Arial" w:hAnsi="Arial"/>
                <w:sz w:val="20"/>
                <w:szCs w:val="20"/>
                <w:u w:val="single" w:color="auto"/>
                <w:color w:val="0000FF"/>
              </w:rPr>
              <w:t>00</w:t>
            </w:r>
          </w:p>
        </w:tc>
        <w:tc>
          <w:tcPr>
            <w:tcW w:w="940" w:type="dxa"/>
            <w:vAlign w:val="bottom"/>
            <w:shd w:val="clear" w:color="auto" w:fill="CCCCFF"/>
          </w:tcPr>
          <w:p>
            <w:pPr>
              <w:spacing w:after="0"/>
              <w:rPr>
                <w:sz w:val="22"/>
                <w:szCs w:val="22"/>
                <w:color w:val="auto"/>
              </w:rPr>
            </w:pPr>
          </w:p>
        </w:tc>
      </w:tr>
      <w:tr>
        <w:trPr>
          <w:trHeight w:val="20"/>
        </w:trPr>
        <w:tc>
          <w:tcPr>
            <w:tcW w:w="340" w:type="dxa"/>
            <w:vAlign w:val="bottom"/>
            <w:shd w:val="clear" w:color="auto" w:fill="C0C0C0"/>
          </w:tcPr>
          <w:p>
            <w:pPr>
              <w:spacing w:after="0" w:line="20" w:lineRule="exact"/>
              <w:rPr>
                <w:sz w:val="1"/>
                <w:szCs w:val="1"/>
                <w:color w:val="auto"/>
              </w:rPr>
            </w:pPr>
          </w:p>
        </w:tc>
        <w:tc>
          <w:tcPr>
            <w:tcW w:w="40" w:type="dxa"/>
            <w:vAlign w:val="bottom"/>
            <w:shd w:val="clear" w:color="auto" w:fill="C0C0C0"/>
          </w:tcPr>
          <w:p>
            <w:pPr>
              <w:spacing w:after="0" w:line="20" w:lineRule="exact"/>
              <w:rPr>
                <w:sz w:val="1"/>
                <w:szCs w:val="1"/>
                <w:color w:val="auto"/>
              </w:rPr>
            </w:pPr>
          </w:p>
        </w:tc>
        <w:tc>
          <w:tcPr>
            <w:tcW w:w="380" w:type="dxa"/>
            <w:vAlign w:val="bottom"/>
            <w:shd w:val="clear" w:color="auto" w:fill="C0C0C0"/>
          </w:tcPr>
          <w:p>
            <w:pPr>
              <w:spacing w:after="0" w:line="20" w:lineRule="exact"/>
              <w:rPr>
                <w:sz w:val="1"/>
                <w:szCs w:val="1"/>
                <w:color w:val="auto"/>
              </w:rPr>
            </w:pPr>
          </w:p>
        </w:tc>
        <w:tc>
          <w:tcPr>
            <w:tcW w:w="280" w:type="dxa"/>
            <w:vAlign w:val="bottom"/>
            <w:shd w:val="clear" w:color="auto" w:fill="C0C0C0"/>
          </w:tcPr>
          <w:p>
            <w:pPr>
              <w:spacing w:after="0" w:line="20" w:lineRule="exact"/>
              <w:rPr>
                <w:sz w:val="1"/>
                <w:szCs w:val="1"/>
                <w:color w:val="auto"/>
              </w:rPr>
            </w:pPr>
          </w:p>
        </w:tc>
        <w:tc>
          <w:tcPr>
            <w:tcW w:w="420" w:type="dxa"/>
            <w:vAlign w:val="bottom"/>
            <w:shd w:val="clear" w:color="auto" w:fill="C0C0C0"/>
          </w:tcPr>
          <w:p>
            <w:pPr>
              <w:spacing w:after="0" w:line="20" w:lineRule="exact"/>
              <w:rPr>
                <w:sz w:val="1"/>
                <w:szCs w:val="1"/>
                <w:color w:val="auto"/>
              </w:rPr>
            </w:pPr>
          </w:p>
        </w:tc>
        <w:tc>
          <w:tcPr>
            <w:tcW w:w="1180" w:type="dxa"/>
            <w:vAlign w:val="bottom"/>
            <w:shd w:val="clear" w:color="auto" w:fill="CCCCFF"/>
          </w:tcPr>
          <w:p>
            <w:pPr>
              <w:spacing w:after="0" w:line="20" w:lineRule="exact"/>
              <w:rPr>
                <w:sz w:val="1"/>
                <w:szCs w:val="1"/>
                <w:color w:val="auto"/>
              </w:rPr>
            </w:pPr>
          </w:p>
        </w:tc>
        <w:tc>
          <w:tcPr>
            <w:tcW w:w="360" w:type="dxa"/>
            <w:vAlign w:val="bottom"/>
            <w:tcBorders>
              <w:right w:val="single" w:sz="8" w:color="0000FF"/>
            </w:tcBorders>
            <w:shd w:val="clear" w:color="auto" w:fill="CCCC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20" w:type="dxa"/>
            <w:vAlign w:val="bottom"/>
            <w:shd w:val="clear" w:color="auto" w:fill="CCCCFF"/>
          </w:tcPr>
          <w:p>
            <w:pPr>
              <w:spacing w:after="0" w:line="20" w:lineRule="exact"/>
              <w:rPr>
                <w:sz w:val="1"/>
                <w:szCs w:val="1"/>
                <w:color w:val="auto"/>
              </w:rPr>
            </w:pPr>
          </w:p>
        </w:tc>
        <w:tc>
          <w:tcPr>
            <w:tcW w:w="40" w:type="dxa"/>
            <w:vAlign w:val="bottom"/>
            <w:shd w:val="clear" w:color="auto" w:fill="CCCCFF"/>
          </w:tcPr>
          <w:p>
            <w:pPr>
              <w:spacing w:after="0" w:line="20" w:lineRule="exact"/>
              <w:rPr>
                <w:sz w:val="1"/>
                <w:szCs w:val="1"/>
                <w:color w:val="auto"/>
              </w:rPr>
            </w:pPr>
          </w:p>
        </w:tc>
        <w:tc>
          <w:tcPr>
            <w:tcW w:w="100" w:type="dxa"/>
            <w:vAlign w:val="bottom"/>
            <w:shd w:val="clear" w:color="auto" w:fill="CCCCFF"/>
          </w:tcPr>
          <w:p>
            <w:pPr>
              <w:spacing w:after="0" w:line="20" w:lineRule="exact"/>
              <w:rPr>
                <w:sz w:val="1"/>
                <w:szCs w:val="1"/>
                <w:color w:val="auto"/>
              </w:rPr>
            </w:pPr>
          </w:p>
        </w:tc>
        <w:tc>
          <w:tcPr>
            <w:tcW w:w="60" w:type="dxa"/>
            <w:vAlign w:val="bottom"/>
            <w:shd w:val="clear" w:color="auto" w:fill="CCCCFF"/>
          </w:tcPr>
          <w:p>
            <w:pPr>
              <w:spacing w:after="0" w:line="20" w:lineRule="exact"/>
              <w:rPr>
                <w:sz w:val="1"/>
                <w:szCs w:val="1"/>
                <w:color w:val="auto"/>
              </w:rPr>
            </w:pPr>
          </w:p>
        </w:tc>
        <w:tc>
          <w:tcPr>
            <w:tcW w:w="220" w:type="dxa"/>
            <w:vAlign w:val="bottom"/>
            <w:tcBorders>
              <w:right w:val="single" w:sz="8" w:color="0000FF"/>
            </w:tcBorders>
            <w:shd w:val="clear" w:color="auto" w:fill="CCCCFF"/>
          </w:tcPr>
          <w:p>
            <w:pPr>
              <w:spacing w:after="0" w:line="20" w:lineRule="exact"/>
              <w:rPr>
                <w:sz w:val="1"/>
                <w:szCs w:val="1"/>
                <w:color w:val="auto"/>
              </w:rPr>
            </w:pPr>
          </w:p>
        </w:tc>
        <w:tc>
          <w:tcPr>
            <w:tcW w:w="108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shd w:val="clear" w:color="auto" w:fill="CCCCFF"/>
          </w:tcPr>
          <w:p>
            <w:pPr>
              <w:spacing w:after="0" w:line="20" w:lineRule="exact"/>
              <w:rPr>
                <w:sz w:val="1"/>
                <w:szCs w:val="1"/>
                <w:color w:val="auto"/>
              </w:rPr>
            </w:pPr>
          </w:p>
        </w:tc>
        <w:tc>
          <w:tcPr>
            <w:tcW w:w="1260" w:type="dxa"/>
            <w:vAlign w:val="bottom"/>
            <w:shd w:val="clear" w:color="auto" w:fill="CCCCFF"/>
          </w:tcPr>
          <w:p>
            <w:pPr>
              <w:spacing w:after="0" w:line="20" w:lineRule="exact"/>
              <w:rPr>
                <w:sz w:val="1"/>
                <w:szCs w:val="1"/>
                <w:color w:val="auto"/>
              </w:rPr>
            </w:pPr>
          </w:p>
        </w:tc>
        <w:tc>
          <w:tcPr>
            <w:tcW w:w="60" w:type="dxa"/>
            <w:vAlign w:val="bottom"/>
            <w:shd w:val="clear" w:color="auto" w:fill="CCCCFF"/>
          </w:tcPr>
          <w:p>
            <w:pPr>
              <w:spacing w:after="0" w:line="20" w:lineRule="exact"/>
              <w:rPr>
                <w:sz w:val="1"/>
                <w:szCs w:val="1"/>
                <w:color w:val="auto"/>
              </w:rPr>
            </w:pPr>
          </w:p>
        </w:tc>
        <w:tc>
          <w:tcPr>
            <w:tcW w:w="80" w:type="dxa"/>
            <w:vAlign w:val="bottom"/>
            <w:tcBorders>
              <w:right w:val="single" w:sz="8" w:color="CCCCFF"/>
            </w:tcBorders>
            <w:shd w:val="clear" w:color="auto" w:fill="CCCCFF"/>
          </w:tcPr>
          <w:p>
            <w:pPr>
              <w:spacing w:after="0" w:line="20" w:lineRule="exact"/>
              <w:rPr>
                <w:sz w:val="1"/>
                <w:szCs w:val="1"/>
                <w:color w:val="auto"/>
              </w:rPr>
            </w:pPr>
          </w:p>
        </w:tc>
        <w:tc>
          <w:tcPr>
            <w:tcW w:w="1000" w:type="dxa"/>
            <w:vAlign w:val="bottom"/>
            <w:gridSpan w:val="2"/>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CCCCFF"/>
          </w:tcPr>
          <w:p>
            <w:pPr>
              <w:spacing w:after="0" w:line="20" w:lineRule="exact"/>
              <w:rPr>
                <w:sz w:val="1"/>
                <w:szCs w:val="1"/>
                <w:color w:val="auto"/>
              </w:rPr>
            </w:pPr>
          </w:p>
        </w:tc>
        <w:tc>
          <w:tcPr>
            <w:tcW w:w="400" w:type="dxa"/>
            <w:vAlign w:val="bottom"/>
            <w:tcBorders>
              <w:right w:val="single" w:sz="8" w:color="CCCCFF"/>
            </w:tcBorders>
            <w:shd w:val="clear" w:color="auto" w:fill="CCCCFF"/>
          </w:tcPr>
          <w:p>
            <w:pPr>
              <w:spacing w:after="0" w:line="20" w:lineRule="exact"/>
              <w:rPr>
                <w:sz w:val="1"/>
                <w:szCs w:val="1"/>
                <w:color w:val="auto"/>
              </w:rPr>
            </w:pPr>
          </w:p>
        </w:tc>
        <w:tc>
          <w:tcPr>
            <w:tcW w:w="660" w:type="dxa"/>
            <w:vAlign w:val="bottom"/>
            <w:tcBorders>
              <w:right w:val="single" w:sz="8" w:color="CCCCFF"/>
            </w:tcBorders>
            <w:gridSpan w:val="2"/>
            <w:shd w:val="clear" w:color="auto" w:fill="0000FF"/>
          </w:tcPr>
          <w:p>
            <w:pPr>
              <w:spacing w:after="0" w:line="20" w:lineRule="exact"/>
              <w:rPr>
                <w:sz w:val="1"/>
                <w:szCs w:val="1"/>
                <w:color w:val="auto"/>
              </w:rPr>
            </w:pPr>
          </w:p>
        </w:tc>
        <w:tc>
          <w:tcPr>
            <w:tcW w:w="340" w:type="dxa"/>
            <w:vAlign w:val="bottom"/>
            <w:tcBorders>
              <w:left w:val="single" w:sz="8" w:color="CCCCFF"/>
            </w:tcBorders>
            <w:shd w:val="clear" w:color="auto" w:fill="CCCCFF"/>
          </w:tcPr>
          <w:p>
            <w:pPr>
              <w:spacing w:after="0" w:line="20" w:lineRule="exact"/>
              <w:rPr>
                <w:sz w:val="1"/>
                <w:szCs w:val="1"/>
                <w:color w:val="auto"/>
              </w:rPr>
            </w:pPr>
          </w:p>
        </w:tc>
        <w:tc>
          <w:tcPr>
            <w:tcW w:w="480" w:type="dxa"/>
            <w:vAlign w:val="bottom"/>
            <w:shd w:val="clear" w:color="auto" w:fill="CCCCFF"/>
          </w:tcPr>
          <w:p>
            <w:pPr>
              <w:spacing w:after="0" w:line="20" w:lineRule="exact"/>
              <w:rPr>
                <w:sz w:val="1"/>
                <w:szCs w:val="1"/>
                <w:color w:val="auto"/>
              </w:rPr>
            </w:pPr>
          </w:p>
        </w:tc>
        <w:tc>
          <w:tcPr>
            <w:tcW w:w="1140" w:type="dxa"/>
            <w:vAlign w:val="bottom"/>
            <w:shd w:val="clear" w:color="auto" w:fill="0000FF"/>
          </w:tcPr>
          <w:p>
            <w:pPr>
              <w:spacing w:after="0" w:line="20" w:lineRule="exact"/>
              <w:rPr>
                <w:sz w:val="1"/>
                <w:szCs w:val="1"/>
                <w:color w:val="auto"/>
              </w:rPr>
            </w:pPr>
          </w:p>
        </w:tc>
        <w:tc>
          <w:tcPr>
            <w:tcW w:w="20" w:type="dxa"/>
            <w:vAlign w:val="bottom"/>
            <w:shd w:val="clear" w:color="auto" w:fill="CCCCFF"/>
          </w:tcPr>
          <w:p>
            <w:pPr>
              <w:spacing w:after="0" w:line="20" w:lineRule="exact"/>
              <w:rPr>
                <w:sz w:val="1"/>
                <w:szCs w:val="1"/>
                <w:color w:val="auto"/>
              </w:rPr>
            </w:pPr>
          </w:p>
        </w:tc>
        <w:tc>
          <w:tcPr>
            <w:tcW w:w="940" w:type="dxa"/>
            <w:vAlign w:val="bottom"/>
            <w:shd w:val="clear" w:color="auto" w:fill="CCCCFF"/>
          </w:tcPr>
          <w:p>
            <w:pPr>
              <w:spacing w:after="0" w:line="20" w:lineRule="exact"/>
              <w:rPr>
                <w:sz w:val="1"/>
                <w:szCs w:val="1"/>
                <w:color w:val="auto"/>
              </w:rPr>
            </w:pPr>
          </w:p>
        </w:tc>
      </w:tr>
      <w:tr>
        <w:trPr>
          <w:trHeight w:val="264"/>
        </w:trPr>
        <w:tc>
          <w:tcPr>
            <w:tcW w:w="340" w:type="dxa"/>
            <w:vAlign w:val="bottom"/>
            <w:shd w:val="clear" w:color="auto" w:fill="C0C0C0"/>
          </w:tcPr>
          <w:p>
            <w:pPr>
              <w:spacing w:after="0"/>
              <w:rPr>
                <w:sz w:val="22"/>
                <w:szCs w:val="22"/>
                <w:color w:val="auto"/>
              </w:rPr>
            </w:pPr>
          </w:p>
        </w:tc>
        <w:tc>
          <w:tcPr>
            <w:tcW w:w="40" w:type="dxa"/>
            <w:vAlign w:val="bottom"/>
            <w:shd w:val="clear" w:color="auto" w:fill="C0C0C0"/>
          </w:tcPr>
          <w:p>
            <w:pPr>
              <w:spacing w:after="0"/>
              <w:rPr>
                <w:sz w:val="22"/>
                <w:szCs w:val="22"/>
                <w:color w:val="auto"/>
              </w:rPr>
            </w:pPr>
          </w:p>
        </w:tc>
        <w:tc>
          <w:tcPr>
            <w:tcW w:w="380" w:type="dxa"/>
            <w:vAlign w:val="bottom"/>
            <w:shd w:val="clear" w:color="auto" w:fill="C0C0C0"/>
          </w:tcPr>
          <w:p>
            <w:pPr>
              <w:spacing w:after="0"/>
              <w:rPr>
                <w:sz w:val="22"/>
                <w:szCs w:val="22"/>
                <w:color w:val="auto"/>
              </w:rPr>
            </w:pPr>
          </w:p>
        </w:tc>
        <w:tc>
          <w:tcPr>
            <w:tcW w:w="280" w:type="dxa"/>
            <w:vAlign w:val="bottom"/>
            <w:shd w:val="clear" w:color="auto" w:fill="C0C0C0"/>
          </w:tcPr>
          <w:p>
            <w:pPr>
              <w:spacing w:after="0"/>
              <w:rPr>
                <w:sz w:val="22"/>
                <w:szCs w:val="22"/>
                <w:color w:val="auto"/>
              </w:rPr>
            </w:pPr>
          </w:p>
        </w:tc>
        <w:tc>
          <w:tcPr>
            <w:tcW w:w="420" w:type="dxa"/>
            <w:vAlign w:val="bottom"/>
            <w:shd w:val="clear" w:color="auto" w:fill="C0C0C0"/>
          </w:tcPr>
          <w:p>
            <w:pPr>
              <w:spacing w:after="0"/>
              <w:rPr>
                <w:sz w:val="22"/>
                <w:szCs w:val="22"/>
                <w:color w:val="auto"/>
              </w:rPr>
            </w:pPr>
          </w:p>
        </w:tc>
        <w:tc>
          <w:tcPr>
            <w:tcW w:w="1180" w:type="dxa"/>
            <w:vAlign w:val="bottom"/>
            <w:shd w:val="clear" w:color="auto" w:fill="CCCCFF"/>
          </w:tcPr>
          <w:p>
            <w:pPr>
              <w:spacing w:after="0"/>
              <w:rPr>
                <w:sz w:val="22"/>
                <w:szCs w:val="22"/>
                <w:color w:val="auto"/>
              </w:rPr>
            </w:pPr>
          </w:p>
        </w:tc>
        <w:tc>
          <w:tcPr>
            <w:tcW w:w="360" w:type="dxa"/>
            <w:vAlign w:val="bottom"/>
            <w:tcBorders>
              <w:right w:val="single" w:sz="8" w:color="CCCCFF"/>
            </w:tcBorders>
            <w:shd w:val="clear" w:color="auto" w:fill="CCCCFF"/>
          </w:tcPr>
          <w:p>
            <w:pPr>
              <w:spacing w:after="0"/>
              <w:rPr>
                <w:sz w:val="22"/>
                <w:szCs w:val="22"/>
                <w:color w:val="auto"/>
              </w:rPr>
            </w:pPr>
          </w:p>
        </w:tc>
        <w:tc>
          <w:tcPr>
            <w:tcW w:w="180" w:type="dxa"/>
            <w:vAlign w:val="bottom"/>
            <w:shd w:val="clear" w:color="auto" w:fill="CCCCFF"/>
          </w:tcPr>
          <w:p>
            <w:pPr>
              <w:jc w:val="right"/>
              <w:spacing w:after="0"/>
              <w:rPr>
                <w:sz w:val="20"/>
                <w:szCs w:val="20"/>
                <w:color w:val="auto"/>
              </w:rPr>
            </w:pPr>
            <w:r>
              <w:rPr>
                <w:rFonts w:ascii="Arial" w:cs="Arial" w:eastAsia="Arial" w:hAnsi="Arial"/>
                <w:sz w:val="20"/>
                <w:szCs w:val="20"/>
                <w:color w:val="0000FF"/>
                <w:w w:val="71"/>
              </w:rPr>
              <w:t>18</w:t>
            </w:r>
          </w:p>
        </w:tc>
        <w:tc>
          <w:tcPr>
            <w:tcW w:w="120" w:type="dxa"/>
            <w:vAlign w:val="bottom"/>
            <w:shd w:val="clear" w:color="auto" w:fill="CCCCFF"/>
          </w:tcPr>
          <w:p>
            <w:pPr>
              <w:spacing w:after="0"/>
              <w:rPr>
                <w:sz w:val="22"/>
                <w:szCs w:val="22"/>
                <w:color w:val="auto"/>
              </w:rPr>
            </w:pPr>
          </w:p>
        </w:tc>
        <w:tc>
          <w:tcPr>
            <w:tcW w:w="40" w:type="dxa"/>
            <w:vAlign w:val="bottom"/>
            <w:shd w:val="clear" w:color="auto" w:fill="CCCCFF"/>
          </w:tcPr>
          <w:p>
            <w:pPr>
              <w:spacing w:after="0"/>
              <w:rPr>
                <w:sz w:val="22"/>
                <w:szCs w:val="22"/>
                <w:color w:val="auto"/>
              </w:rPr>
            </w:pPr>
          </w:p>
        </w:tc>
        <w:tc>
          <w:tcPr>
            <w:tcW w:w="100" w:type="dxa"/>
            <w:vAlign w:val="bottom"/>
            <w:shd w:val="clear" w:color="auto" w:fill="CCCCFF"/>
          </w:tcPr>
          <w:p>
            <w:pPr>
              <w:spacing w:after="0"/>
              <w:rPr>
                <w:sz w:val="22"/>
                <w:szCs w:val="22"/>
                <w:color w:val="auto"/>
              </w:rPr>
            </w:pPr>
          </w:p>
        </w:tc>
        <w:tc>
          <w:tcPr>
            <w:tcW w:w="60" w:type="dxa"/>
            <w:vAlign w:val="bottom"/>
            <w:shd w:val="clear" w:color="auto" w:fill="CCCCFF"/>
          </w:tcPr>
          <w:p>
            <w:pPr>
              <w:spacing w:after="0"/>
              <w:rPr>
                <w:sz w:val="22"/>
                <w:szCs w:val="22"/>
                <w:color w:val="auto"/>
              </w:rPr>
            </w:pPr>
          </w:p>
        </w:tc>
        <w:tc>
          <w:tcPr>
            <w:tcW w:w="220" w:type="dxa"/>
            <w:vAlign w:val="bottom"/>
            <w:tcBorders>
              <w:right w:val="single" w:sz="8" w:color="CCCCFF"/>
            </w:tcBorders>
            <w:shd w:val="clear" w:color="auto" w:fill="CCCCFF"/>
          </w:tcPr>
          <w:p>
            <w:pPr>
              <w:spacing w:after="0"/>
              <w:rPr>
                <w:sz w:val="22"/>
                <w:szCs w:val="22"/>
                <w:color w:val="auto"/>
              </w:rPr>
            </w:pPr>
          </w:p>
        </w:tc>
        <w:tc>
          <w:tcPr>
            <w:tcW w:w="1080" w:type="dxa"/>
            <w:vAlign w:val="bottom"/>
            <w:tcBorders>
              <w:right w:val="single" w:sz="8" w:color="CCCCFF"/>
            </w:tcBorders>
            <w:shd w:val="clear" w:color="auto" w:fill="CCCCFF"/>
          </w:tcPr>
          <w:p>
            <w:pPr>
              <w:spacing w:after="0"/>
              <w:rPr>
                <w:sz w:val="20"/>
                <w:szCs w:val="20"/>
                <w:color w:val="auto"/>
              </w:rPr>
            </w:pPr>
            <w:r>
              <w:rPr>
                <w:rFonts w:ascii="Arial" w:cs="Arial" w:eastAsia="Arial" w:hAnsi="Arial"/>
                <w:sz w:val="20"/>
                <w:szCs w:val="20"/>
                <w:color w:val="0000FF"/>
                <w:w w:val="87"/>
              </w:rPr>
              <w:t>Aug 18, 2018</w:t>
            </w:r>
          </w:p>
        </w:tc>
        <w:tc>
          <w:tcPr>
            <w:tcW w:w="160" w:type="dxa"/>
            <w:vAlign w:val="bottom"/>
            <w:shd w:val="clear" w:color="auto" w:fill="CCCCFF"/>
          </w:tcPr>
          <w:p>
            <w:pPr>
              <w:spacing w:after="0"/>
              <w:rPr>
                <w:sz w:val="22"/>
                <w:szCs w:val="22"/>
                <w:color w:val="auto"/>
              </w:rPr>
            </w:pPr>
          </w:p>
        </w:tc>
        <w:tc>
          <w:tcPr>
            <w:tcW w:w="1400" w:type="dxa"/>
            <w:vAlign w:val="bottom"/>
            <w:tcBorders>
              <w:right w:val="single" w:sz="8" w:color="CCCCFF"/>
            </w:tcBorders>
            <w:gridSpan w:val="3"/>
            <w:shd w:val="clear" w:color="auto" w:fill="CCCCFF"/>
          </w:tcPr>
          <w:p>
            <w:pPr>
              <w:spacing w:after="0"/>
              <w:rPr>
                <w:sz w:val="22"/>
                <w:szCs w:val="22"/>
                <w:color w:val="auto"/>
              </w:rPr>
            </w:pPr>
          </w:p>
        </w:tc>
        <w:tc>
          <w:tcPr>
            <w:tcW w:w="1080" w:type="dxa"/>
            <w:vAlign w:val="bottom"/>
            <w:gridSpan w:val="3"/>
            <w:shd w:val="clear" w:color="auto" w:fill="CCCCFF"/>
          </w:tcPr>
          <w:p>
            <w:pPr>
              <w:jc w:val="right"/>
              <w:ind w:right="40"/>
              <w:spacing w:after="0"/>
              <w:rPr>
                <w:sz w:val="20"/>
                <w:szCs w:val="20"/>
                <w:color w:val="auto"/>
              </w:rPr>
            </w:pPr>
            <w:r>
              <w:rPr>
                <w:rFonts w:ascii="Arial" w:cs="Arial" w:eastAsia="Arial" w:hAnsi="Arial"/>
                <w:sz w:val="20"/>
                <w:szCs w:val="20"/>
                <w:color w:val="0000FF"/>
                <w:w w:val="87"/>
              </w:rPr>
              <w:t>3,750,000.</w:t>
            </w:r>
            <w:r>
              <w:rPr>
                <w:rFonts w:ascii="Arial" w:cs="Arial" w:eastAsia="Arial" w:hAnsi="Arial"/>
                <w:sz w:val="20"/>
                <w:szCs w:val="20"/>
                <w:u w:val="single" w:color="auto"/>
                <w:color w:val="0000FF"/>
                <w:w w:val="87"/>
              </w:rPr>
              <w:t>00</w:t>
            </w:r>
          </w:p>
        </w:tc>
        <w:tc>
          <w:tcPr>
            <w:tcW w:w="1060" w:type="dxa"/>
            <w:vAlign w:val="bottom"/>
            <w:tcBorders>
              <w:right w:val="single" w:sz="8" w:color="CCCCFF"/>
            </w:tcBorders>
            <w:gridSpan w:val="3"/>
            <w:shd w:val="clear" w:color="auto" w:fill="CCCCFF"/>
          </w:tcPr>
          <w:p>
            <w:pPr>
              <w:jc w:val="center"/>
              <w:ind w:left="241"/>
              <w:spacing w:after="0"/>
              <w:rPr>
                <w:sz w:val="20"/>
                <w:szCs w:val="20"/>
                <w:color w:val="auto"/>
              </w:rPr>
            </w:pPr>
            <w:r>
              <w:rPr>
                <w:rFonts w:ascii="Arial" w:cs="Arial" w:eastAsia="Arial" w:hAnsi="Arial"/>
                <w:sz w:val="20"/>
                <w:szCs w:val="20"/>
                <w:color w:val="0000FF"/>
                <w:w w:val="88"/>
              </w:rPr>
              <w:t>5.</w:t>
            </w:r>
            <w:r>
              <w:rPr>
                <w:rFonts w:ascii="Arial" w:cs="Arial" w:eastAsia="Arial" w:hAnsi="Arial"/>
                <w:sz w:val="20"/>
                <w:szCs w:val="20"/>
                <w:u w:val="single" w:color="auto"/>
                <w:color w:val="0000FF"/>
                <w:w w:val="88"/>
              </w:rPr>
              <w:t>000%</w:t>
            </w:r>
          </w:p>
        </w:tc>
        <w:tc>
          <w:tcPr>
            <w:tcW w:w="340" w:type="dxa"/>
            <w:vAlign w:val="bottom"/>
            <w:tcBorders>
              <w:left w:val="single" w:sz="8" w:color="CCCCFF"/>
            </w:tcBorders>
            <w:shd w:val="clear" w:color="auto" w:fill="CCCCFF"/>
          </w:tcPr>
          <w:p>
            <w:pPr>
              <w:spacing w:after="0"/>
              <w:rPr>
                <w:sz w:val="22"/>
                <w:szCs w:val="22"/>
                <w:color w:val="auto"/>
              </w:rPr>
            </w:pPr>
          </w:p>
        </w:tc>
        <w:tc>
          <w:tcPr>
            <w:tcW w:w="1640" w:type="dxa"/>
            <w:vAlign w:val="bottom"/>
            <w:gridSpan w:val="3"/>
            <w:shd w:val="clear" w:color="auto" w:fill="CCCCFF"/>
          </w:tcPr>
          <w:p>
            <w:pPr>
              <w:jc w:val="right"/>
              <w:ind w:right="20"/>
              <w:spacing w:after="0"/>
              <w:rPr>
                <w:sz w:val="20"/>
                <w:szCs w:val="20"/>
                <w:color w:val="auto"/>
              </w:rPr>
            </w:pPr>
            <w:r>
              <w:rPr>
                <w:rFonts w:ascii="Arial" w:cs="Arial" w:eastAsia="Arial" w:hAnsi="Arial"/>
                <w:sz w:val="20"/>
                <w:szCs w:val="20"/>
                <w:color w:val="0000FF"/>
              </w:rPr>
              <w:t>41,250,000.</w:t>
            </w:r>
            <w:r>
              <w:rPr>
                <w:rFonts w:ascii="Arial" w:cs="Arial" w:eastAsia="Arial" w:hAnsi="Arial"/>
                <w:sz w:val="20"/>
                <w:szCs w:val="20"/>
                <w:u w:val="single" w:color="auto"/>
                <w:color w:val="0000FF"/>
              </w:rPr>
              <w:t>00</w:t>
            </w:r>
          </w:p>
        </w:tc>
        <w:tc>
          <w:tcPr>
            <w:tcW w:w="940" w:type="dxa"/>
            <w:vAlign w:val="bottom"/>
            <w:shd w:val="clear" w:color="auto" w:fill="CCCCFF"/>
          </w:tcPr>
          <w:p>
            <w:pPr>
              <w:spacing w:after="0"/>
              <w:rPr>
                <w:sz w:val="22"/>
                <w:szCs w:val="22"/>
                <w:color w:val="auto"/>
              </w:rPr>
            </w:pPr>
          </w:p>
        </w:tc>
      </w:tr>
      <w:tr>
        <w:trPr>
          <w:trHeight w:val="20"/>
        </w:trPr>
        <w:tc>
          <w:tcPr>
            <w:tcW w:w="340" w:type="dxa"/>
            <w:vAlign w:val="bottom"/>
            <w:shd w:val="clear" w:color="auto" w:fill="C0C0C0"/>
          </w:tcPr>
          <w:p>
            <w:pPr>
              <w:spacing w:after="0" w:line="20" w:lineRule="exact"/>
              <w:rPr>
                <w:sz w:val="1"/>
                <w:szCs w:val="1"/>
                <w:color w:val="auto"/>
              </w:rPr>
            </w:pPr>
          </w:p>
        </w:tc>
        <w:tc>
          <w:tcPr>
            <w:tcW w:w="40" w:type="dxa"/>
            <w:vAlign w:val="bottom"/>
            <w:shd w:val="clear" w:color="auto" w:fill="C0C0C0"/>
          </w:tcPr>
          <w:p>
            <w:pPr>
              <w:spacing w:after="0" w:line="20" w:lineRule="exact"/>
              <w:rPr>
                <w:sz w:val="1"/>
                <w:szCs w:val="1"/>
                <w:color w:val="auto"/>
              </w:rPr>
            </w:pPr>
          </w:p>
        </w:tc>
        <w:tc>
          <w:tcPr>
            <w:tcW w:w="380" w:type="dxa"/>
            <w:vAlign w:val="bottom"/>
            <w:shd w:val="clear" w:color="auto" w:fill="C0C0C0"/>
          </w:tcPr>
          <w:p>
            <w:pPr>
              <w:spacing w:after="0" w:line="20" w:lineRule="exact"/>
              <w:rPr>
                <w:sz w:val="1"/>
                <w:szCs w:val="1"/>
                <w:color w:val="auto"/>
              </w:rPr>
            </w:pPr>
          </w:p>
        </w:tc>
        <w:tc>
          <w:tcPr>
            <w:tcW w:w="280" w:type="dxa"/>
            <w:vAlign w:val="bottom"/>
            <w:shd w:val="clear" w:color="auto" w:fill="C0C0C0"/>
          </w:tcPr>
          <w:p>
            <w:pPr>
              <w:spacing w:after="0" w:line="20" w:lineRule="exact"/>
              <w:rPr>
                <w:sz w:val="1"/>
                <w:szCs w:val="1"/>
                <w:color w:val="auto"/>
              </w:rPr>
            </w:pPr>
          </w:p>
        </w:tc>
        <w:tc>
          <w:tcPr>
            <w:tcW w:w="420" w:type="dxa"/>
            <w:vAlign w:val="bottom"/>
            <w:shd w:val="clear" w:color="auto" w:fill="C0C0C0"/>
          </w:tcPr>
          <w:p>
            <w:pPr>
              <w:spacing w:after="0" w:line="20" w:lineRule="exact"/>
              <w:rPr>
                <w:sz w:val="1"/>
                <w:szCs w:val="1"/>
                <w:color w:val="auto"/>
              </w:rPr>
            </w:pPr>
          </w:p>
        </w:tc>
        <w:tc>
          <w:tcPr>
            <w:tcW w:w="1180" w:type="dxa"/>
            <w:vAlign w:val="bottom"/>
            <w:shd w:val="clear" w:color="auto" w:fill="CCCCFF"/>
          </w:tcPr>
          <w:p>
            <w:pPr>
              <w:spacing w:after="0" w:line="20" w:lineRule="exact"/>
              <w:rPr>
                <w:sz w:val="1"/>
                <w:szCs w:val="1"/>
                <w:color w:val="auto"/>
              </w:rPr>
            </w:pPr>
          </w:p>
        </w:tc>
        <w:tc>
          <w:tcPr>
            <w:tcW w:w="360" w:type="dxa"/>
            <w:vAlign w:val="bottom"/>
            <w:tcBorders>
              <w:right w:val="single" w:sz="8" w:color="0000FF"/>
            </w:tcBorders>
            <w:shd w:val="clear" w:color="auto" w:fill="CCCC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20" w:type="dxa"/>
            <w:vAlign w:val="bottom"/>
            <w:shd w:val="clear" w:color="auto" w:fill="CCCCFF"/>
          </w:tcPr>
          <w:p>
            <w:pPr>
              <w:spacing w:after="0" w:line="20" w:lineRule="exact"/>
              <w:rPr>
                <w:sz w:val="1"/>
                <w:szCs w:val="1"/>
                <w:color w:val="auto"/>
              </w:rPr>
            </w:pPr>
          </w:p>
        </w:tc>
        <w:tc>
          <w:tcPr>
            <w:tcW w:w="40" w:type="dxa"/>
            <w:vAlign w:val="bottom"/>
            <w:shd w:val="clear" w:color="auto" w:fill="CCCCFF"/>
          </w:tcPr>
          <w:p>
            <w:pPr>
              <w:spacing w:after="0" w:line="20" w:lineRule="exact"/>
              <w:rPr>
                <w:sz w:val="1"/>
                <w:szCs w:val="1"/>
                <w:color w:val="auto"/>
              </w:rPr>
            </w:pPr>
          </w:p>
        </w:tc>
        <w:tc>
          <w:tcPr>
            <w:tcW w:w="100" w:type="dxa"/>
            <w:vAlign w:val="bottom"/>
            <w:shd w:val="clear" w:color="auto" w:fill="CCCCFF"/>
          </w:tcPr>
          <w:p>
            <w:pPr>
              <w:spacing w:after="0" w:line="20" w:lineRule="exact"/>
              <w:rPr>
                <w:sz w:val="1"/>
                <w:szCs w:val="1"/>
                <w:color w:val="auto"/>
              </w:rPr>
            </w:pPr>
          </w:p>
        </w:tc>
        <w:tc>
          <w:tcPr>
            <w:tcW w:w="60" w:type="dxa"/>
            <w:vAlign w:val="bottom"/>
            <w:shd w:val="clear" w:color="auto" w:fill="CCCCFF"/>
          </w:tcPr>
          <w:p>
            <w:pPr>
              <w:spacing w:after="0" w:line="20" w:lineRule="exact"/>
              <w:rPr>
                <w:sz w:val="1"/>
                <w:szCs w:val="1"/>
                <w:color w:val="auto"/>
              </w:rPr>
            </w:pPr>
          </w:p>
        </w:tc>
        <w:tc>
          <w:tcPr>
            <w:tcW w:w="220" w:type="dxa"/>
            <w:vAlign w:val="bottom"/>
            <w:tcBorders>
              <w:right w:val="single" w:sz="8" w:color="0000FF"/>
            </w:tcBorders>
            <w:shd w:val="clear" w:color="auto" w:fill="CCCCFF"/>
          </w:tcPr>
          <w:p>
            <w:pPr>
              <w:spacing w:after="0" w:line="20" w:lineRule="exact"/>
              <w:rPr>
                <w:sz w:val="1"/>
                <w:szCs w:val="1"/>
                <w:color w:val="auto"/>
              </w:rPr>
            </w:pPr>
          </w:p>
        </w:tc>
        <w:tc>
          <w:tcPr>
            <w:tcW w:w="108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shd w:val="clear" w:color="auto" w:fill="CCCCFF"/>
          </w:tcPr>
          <w:p>
            <w:pPr>
              <w:spacing w:after="0" w:line="20" w:lineRule="exact"/>
              <w:rPr>
                <w:sz w:val="1"/>
                <w:szCs w:val="1"/>
                <w:color w:val="auto"/>
              </w:rPr>
            </w:pPr>
          </w:p>
        </w:tc>
        <w:tc>
          <w:tcPr>
            <w:tcW w:w="1260" w:type="dxa"/>
            <w:vAlign w:val="bottom"/>
            <w:shd w:val="clear" w:color="auto" w:fill="CCCCFF"/>
          </w:tcPr>
          <w:p>
            <w:pPr>
              <w:spacing w:after="0" w:line="20" w:lineRule="exact"/>
              <w:rPr>
                <w:sz w:val="1"/>
                <w:szCs w:val="1"/>
                <w:color w:val="auto"/>
              </w:rPr>
            </w:pPr>
          </w:p>
        </w:tc>
        <w:tc>
          <w:tcPr>
            <w:tcW w:w="60" w:type="dxa"/>
            <w:vAlign w:val="bottom"/>
            <w:shd w:val="clear" w:color="auto" w:fill="CCCCFF"/>
          </w:tcPr>
          <w:p>
            <w:pPr>
              <w:spacing w:after="0" w:line="20" w:lineRule="exact"/>
              <w:rPr>
                <w:sz w:val="1"/>
                <w:szCs w:val="1"/>
                <w:color w:val="auto"/>
              </w:rPr>
            </w:pPr>
          </w:p>
        </w:tc>
        <w:tc>
          <w:tcPr>
            <w:tcW w:w="80" w:type="dxa"/>
            <w:vAlign w:val="bottom"/>
            <w:tcBorders>
              <w:right w:val="single" w:sz="8" w:color="CCCCFF"/>
            </w:tcBorders>
            <w:shd w:val="clear" w:color="auto" w:fill="CCCCFF"/>
          </w:tcPr>
          <w:p>
            <w:pPr>
              <w:spacing w:after="0" w:line="20" w:lineRule="exact"/>
              <w:rPr>
                <w:sz w:val="1"/>
                <w:szCs w:val="1"/>
                <w:color w:val="auto"/>
              </w:rPr>
            </w:pPr>
          </w:p>
        </w:tc>
        <w:tc>
          <w:tcPr>
            <w:tcW w:w="1000" w:type="dxa"/>
            <w:vAlign w:val="bottom"/>
            <w:gridSpan w:val="2"/>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CCCCFF"/>
          </w:tcPr>
          <w:p>
            <w:pPr>
              <w:spacing w:after="0" w:line="20" w:lineRule="exact"/>
              <w:rPr>
                <w:sz w:val="1"/>
                <w:szCs w:val="1"/>
                <w:color w:val="auto"/>
              </w:rPr>
            </w:pPr>
          </w:p>
        </w:tc>
        <w:tc>
          <w:tcPr>
            <w:tcW w:w="400" w:type="dxa"/>
            <w:vAlign w:val="bottom"/>
            <w:tcBorders>
              <w:right w:val="single" w:sz="8" w:color="CCCCFF"/>
            </w:tcBorders>
            <w:shd w:val="clear" w:color="auto" w:fill="CCCCFF"/>
          </w:tcPr>
          <w:p>
            <w:pPr>
              <w:spacing w:after="0" w:line="20" w:lineRule="exact"/>
              <w:rPr>
                <w:sz w:val="1"/>
                <w:szCs w:val="1"/>
                <w:color w:val="auto"/>
              </w:rPr>
            </w:pPr>
          </w:p>
        </w:tc>
        <w:tc>
          <w:tcPr>
            <w:tcW w:w="660" w:type="dxa"/>
            <w:vAlign w:val="bottom"/>
            <w:tcBorders>
              <w:right w:val="single" w:sz="8" w:color="CCCCFF"/>
            </w:tcBorders>
            <w:gridSpan w:val="2"/>
            <w:shd w:val="clear" w:color="auto" w:fill="0000FF"/>
          </w:tcPr>
          <w:p>
            <w:pPr>
              <w:spacing w:after="0" w:line="20" w:lineRule="exact"/>
              <w:rPr>
                <w:sz w:val="1"/>
                <w:szCs w:val="1"/>
                <w:color w:val="auto"/>
              </w:rPr>
            </w:pPr>
          </w:p>
        </w:tc>
        <w:tc>
          <w:tcPr>
            <w:tcW w:w="340" w:type="dxa"/>
            <w:vAlign w:val="bottom"/>
            <w:tcBorders>
              <w:left w:val="single" w:sz="8" w:color="CCCCFF"/>
            </w:tcBorders>
            <w:shd w:val="clear" w:color="auto" w:fill="CCCCFF"/>
          </w:tcPr>
          <w:p>
            <w:pPr>
              <w:spacing w:after="0" w:line="20" w:lineRule="exact"/>
              <w:rPr>
                <w:sz w:val="1"/>
                <w:szCs w:val="1"/>
                <w:color w:val="auto"/>
              </w:rPr>
            </w:pPr>
          </w:p>
        </w:tc>
        <w:tc>
          <w:tcPr>
            <w:tcW w:w="480" w:type="dxa"/>
            <w:vAlign w:val="bottom"/>
            <w:shd w:val="clear" w:color="auto" w:fill="CCCCFF"/>
          </w:tcPr>
          <w:p>
            <w:pPr>
              <w:spacing w:after="0" w:line="20" w:lineRule="exact"/>
              <w:rPr>
                <w:sz w:val="1"/>
                <w:szCs w:val="1"/>
                <w:color w:val="auto"/>
              </w:rPr>
            </w:pPr>
          </w:p>
        </w:tc>
        <w:tc>
          <w:tcPr>
            <w:tcW w:w="1140" w:type="dxa"/>
            <w:vAlign w:val="bottom"/>
            <w:shd w:val="clear" w:color="auto" w:fill="0000FF"/>
          </w:tcPr>
          <w:p>
            <w:pPr>
              <w:spacing w:after="0" w:line="20" w:lineRule="exact"/>
              <w:rPr>
                <w:sz w:val="1"/>
                <w:szCs w:val="1"/>
                <w:color w:val="auto"/>
              </w:rPr>
            </w:pPr>
          </w:p>
        </w:tc>
        <w:tc>
          <w:tcPr>
            <w:tcW w:w="20" w:type="dxa"/>
            <w:vAlign w:val="bottom"/>
            <w:shd w:val="clear" w:color="auto" w:fill="CCCCFF"/>
          </w:tcPr>
          <w:p>
            <w:pPr>
              <w:spacing w:after="0" w:line="20" w:lineRule="exact"/>
              <w:rPr>
                <w:sz w:val="1"/>
                <w:szCs w:val="1"/>
                <w:color w:val="auto"/>
              </w:rPr>
            </w:pPr>
          </w:p>
        </w:tc>
        <w:tc>
          <w:tcPr>
            <w:tcW w:w="940" w:type="dxa"/>
            <w:vAlign w:val="bottom"/>
            <w:shd w:val="clear" w:color="auto" w:fill="CCCCFF"/>
          </w:tcPr>
          <w:p>
            <w:pPr>
              <w:spacing w:after="0" w:line="20" w:lineRule="exact"/>
              <w:rPr>
                <w:sz w:val="1"/>
                <w:szCs w:val="1"/>
                <w:color w:val="auto"/>
              </w:rPr>
            </w:pPr>
          </w:p>
        </w:tc>
      </w:tr>
      <w:tr>
        <w:trPr>
          <w:trHeight w:val="264"/>
        </w:trPr>
        <w:tc>
          <w:tcPr>
            <w:tcW w:w="340" w:type="dxa"/>
            <w:vAlign w:val="bottom"/>
            <w:shd w:val="clear" w:color="auto" w:fill="C0C0C0"/>
          </w:tcPr>
          <w:p>
            <w:pPr>
              <w:spacing w:after="0"/>
              <w:rPr>
                <w:sz w:val="22"/>
                <w:szCs w:val="22"/>
                <w:color w:val="auto"/>
              </w:rPr>
            </w:pPr>
          </w:p>
        </w:tc>
        <w:tc>
          <w:tcPr>
            <w:tcW w:w="40" w:type="dxa"/>
            <w:vAlign w:val="bottom"/>
            <w:shd w:val="clear" w:color="auto" w:fill="C0C0C0"/>
          </w:tcPr>
          <w:p>
            <w:pPr>
              <w:spacing w:after="0"/>
              <w:rPr>
                <w:sz w:val="22"/>
                <w:szCs w:val="22"/>
                <w:color w:val="auto"/>
              </w:rPr>
            </w:pPr>
          </w:p>
        </w:tc>
        <w:tc>
          <w:tcPr>
            <w:tcW w:w="380" w:type="dxa"/>
            <w:vAlign w:val="bottom"/>
            <w:shd w:val="clear" w:color="auto" w:fill="C0C0C0"/>
          </w:tcPr>
          <w:p>
            <w:pPr>
              <w:spacing w:after="0"/>
              <w:rPr>
                <w:sz w:val="22"/>
                <w:szCs w:val="22"/>
                <w:color w:val="auto"/>
              </w:rPr>
            </w:pPr>
          </w:p>
        </w:tc>
        <w:tc>
          <w:tcPr>
            <w:tcW w:w="280" w:type="dxa"/>
            <w:vAlign w:val="bottom"/>
            <w:shd w:val="clear" w:color="auto" w:fill="C0C0C0"/>
          </w:tcPr>
          <w:p>
            <w:pPr>
              <w:spacing w:after="0"/>
              <w:rPr>
                <w:sz w:val="22"/>
                <w:szCs w:val="22"/>
                <w:color w:val="auto"/>
              </w:rPr>
            </w:pPr>
          </w:p>
        </w:tc>
        <w:tc>
          <w:tcPr>
            <w:tcW w:w="420" w:type="dxa"/>
            <w:vAlign w:val="bottom"/>
            <w:shd w:val="clear" w:color="auto" w:fill="C0C0C0"/>
          </w:tcPr>
          <w:p>
            <w:pPr>
              <w:spacing w:after="0"/>
              <w:rPr>
                <w:sz w:val="22"/>
                <w:szCs w:val="22"/>
                <w:color w:val="auto"/>
              </w:rPr>
            </w:pPr>
          </w:p>
        </w:tc>
        <w:tc>
          <w:tcPr>
            <w:tcW w:w="1180" w:type="dxa"/>
            <w:vAlign w:val="bottom"/>
            <w:shd w:val="clear" w:color="auto" w:fill="CCCCFF"/>
          </w:tcPr>
          <w:p>
            <w:pPr>
              <w:spacing w:after="0"/>
              <w:rPr>
                <w:sz w:val="22"/>
                <w:szCs w:val="22"/>
                <w:color w:val="auto"/>
              </w:rPr>
            </w:pPr>
          </w:p>
        </w:tc>
        <w:tc>
          <w:tcPr>
            <w:tcW w:w="360" w:type="dxa"/>
            <w:vAlign w:val="bottom"/>
            <w:tcBorders>
              <w:right w:val="single" w:sz="8" w:color="CCCCFF"/>
            </w:tcBorders>
            <w:shd w:val="clear" w:color="auto" w:fill="CCCCFF"/>
          </w:tcPr>
          <w:p>
            <w:pPr>
              <w:spacing w:after="0"/>
              <w:rPr>
                <w:sz w:val="22"/>
                <w:szCs w:val="22"/>
                <w:color w:val="auto"/>
              </w:rPr>
            </w:pPr>
          </w:p>
        </w:tc>
        <w:tc>
          <w:tcPr>
            <w:tcW w:w="180" w:type="dxa"/>
            <w:vAlign w:val="bottom"/>
            <w:shd w:val="clear" w:color="auto" w:fill="CCCCFF"/>
          </w:tcPr>
          <w:p>
            <w:pPr>
              <w:jc w:val="right"/>
              <w:spacing w:after="0"/>
              <w:rPr>
                <w:sz w:val="20"/>
                <w:szCs w:val="20"/>
                <w:color w:val="auto"/>
              </w:rPr>
            </w:pPr>
            <w:r>
              <w:rPr>
                <w:rFonts w:ascii="Arial" w:cs="Arial" w:eastAsia="Arial" w:hAnsi="Arial"/>
                <w:sz w:val="20"/>
                <w:szCs w:val="20"/>
                <w:color w:val="0000FF"/>
                <w:w w:val="71"/>
              </w:rPr>
              <w:t>19</w:t>
            </w:r>
          </w:p>
        </w:tc>
        <w:tc>
          <w:tcPr>
            <w:tcW w:w="120" w:type="dxa"/>
            <w:vAlign w:val="bottom"/>
            <w:shd w:val="clear" w:color="auto" w:fill="CCCCFF"/>
          </w:tcPr>
          <w:p>
            <w:pPr>
              <w:spacing w:after="0"/>
              <w:rPr>
                <w:sz w:val="22"/>
                <w:szCs w:val="22"/>
                <w:color w:val="auto"/>
              </w:rPr>
            </w:pPr>
          </w:p>
        </w:tc>
        <w:tc>
          <w:tcPr>
            <w:tcW w:w="40" w:type="dxa"/>
            <w:vAlign w:val="bottom"/>
            <w:shd w:val="clear" w:color="auto" w:fill="CCCCFF"/>
          </w:tcPr>
          <w:p>
            <w:pPr>
              <w:spacing w:after="0"/>
              <w:rPr>
                <w:sz w:val="22"/>
                <w:szCs w:val="22"/>
                <w:color w:val="auto"/>
              </w:rPr>
            </w:pPr>
          </w:p>
        </w:tc>
        <w:tc>
          <w:tcPr>
            <w:tcW w:w="100" w:type="dxa"/>
            <w:vAlign w:val="bottom"/>
            <w:shd w:val="clear" w:color="auto" w:fill="CCCCFF"/>
          </w:tcPr>
          <w:p>
            <w:pPr>
              <w:spacing w:after="0"/>
              <w:rPr>
                <w:sz w:val="22"/>
                <w:szCs w:val="22"/>
                <w:color w:val="auto"/>
              </w:rPr>
            </w:pPr>
          </w:p>
        </w:tc>
        <w:tc>
          <w:tcPr>
            <w:tcW w:w="60" w:type="dxa"/>
            <w:vAlign w:val="bottom"/>
            <w:shd w:val="clear" w:color="auto" w:fill="CCCCFF"/>
          </w:tcPr>
          <w:p>
            <w:pPr>
              <w:spacing w:after="0"/>
              <w:rPr>
                <w:sz w:val="22"/>
                <w:szCs w:val="22"/>
                <w:color w:val="auto"/>
              </w:rPr>
            </w:pPr>
          </w:p>
        </w:tc>
        <w:tc>
          <w:tcPr>
            <w:tcW w:w="220" w:type="dxa"/>
            <w:vAlign w:val="bottom"/>
            <w:tcBorders>
              <w:right w:val="single" w:sz="8" w:color="CCCCFF"/>
            </w:tcBorders>
            <w:shd w:val="clear" w:color="auto" w:fill="CCCCFF"/>
          </w:tcPr>
          <w:p>
            <w:pPr>
              <w:spacing w:after="0"/>
              <w:rPr>
                <w:sz w:val="22"/>
                <w:szCs w:val="22"/>
                <w:color w:val="auto"/>
              </w:rPr>
            </w:pPr>
          </w:p>
        </w:tc>
        <w:tc>
          <w:tcPr>
            <w:tcW w:w="1080" w:type="dxa"/>
            <w:vAlign w:val="bottom"/>
            <w:tcBorders>
              <w:right w:val="single" w:sz="8" w:color="CCCCFF"/>
            </w:tcBorders>
            <w:shd w:val="clear" w:color="auto" w:fill="CCCCFF"/>
          </w:tcPr>
          <w:p>
            <w:pPr>
              <w:spacing w:after="0"/>
              <w:rPr>
                <w:sz w:val="20"/>
                <w:szCs w:val="20"/>
                <w:color w:val="auto"/>
              </w:rPr>
            </w:pPr>
            <w:r>
              <w:rPr>
                <w:rFonts w:ascii="Arial" w:cs="Arial" w:eastAsia="Arial" w:hAnsi="Arial"/>
                <w:sz w:val="20"/>
                <w:szCs w:val="20"/>
                <w:color w:val="0000FF"/>
                <w:w w:val="87"/>
              </w:rPr>
              <w:t>Nov 30, 2018</w:t>
            </w:r>
          </w:p>
        </w:tc>
        <w:tc>
          <w:tcPr>
            <w:tcW w:w="160" w:type="dxa"/>
            <w:vAlign w:val="bottom"/>
            <w:shd w:val="clear" w:color="auto" w:fill="CCCCFF"/>
          </w:tcPr>
          <w:p>
            <w:pPr>
              <w:spacing w:after="0"/>
              <w:rPr>
                <w:sz w:val="22"/>
                <w:szCs w:val="22"/>
                <w:color w:val="auto"/>
              </w:rPr>
            </w:pPr>
          </w:p>
        </w:tc>
        <w:tc>
          <w:tcPr>
            <w:tcW w:w="1400" w:type="dxa"/>
            <w:vAlign w:val="bottom"/>
            <w:tcBorders>
              <w:right w:val="single" w:sz="8" w:color="CCCCFF"/>
            </w:tcBorders>
            <w:gridSpan w:val="3"/>
            <w:shd w:val="clear" w:color="auto" w:fill="CCCCFF"/>
          </w:tcPr>
          <w:p>
            <w:pPr>
              <w:spacing w:after="0"/>
              <w:rPr>
                <w:sz w:val="22"/>
                <w:szCs w:val="22"/>
                <w:color w:val="auto"/>
              </w:rPr>
            </w:pPr>
          </w:p>
        </w:tc>
        <w:tc>
          <w:tcPr>
            <w:tcW w:w="1080" w:type="dxa"/>
            <w:vAlign w:val="bottom"/>
            <w:gridSpan w:val="3"/>
            <w:shd w:val="clear" w:color="auto" w:fill="CCCCFF"/>
          </w:tcPr>
          <w:p>
            <w:pPr>
              <w:jc w:val="right"/>
              <w:ind w:right="40"/>
              <w:spacing w:after="0"/>
              <w:rPr>
                <w:sz w:val="20"/>
                <w:szCs w:val="20"/>
                <w:color w:val="auto"/>
              </w:rPr>
            </w:pPr>
            <w:r>
              <w:rPr>
                <w:rFonts w:ascii="Arial" w:cs="Arial" w:eastAsia="Arial" w:hAnsi="Arial"/>
                <w:sz w:val="20"/>
                <w:szCs w:val="20"/>
                <w:color w:val="0000FF"/>
                <w:w w:val="87"/>
              </w:rPr>
              <w:t>3,750,000.</w:t>
            </w:r>
            <w:r>
              <w:rPr>
                <w:rFonts w:ascii="Arial" w:cs="Arial" w:eastAsia="Arial" w:hAnsi="Arial"/>
                <w:sz w:val="20"/>
                <w:szCs w:val="20"/>
                <w:u w:val="single" w:color="auto"/>
                <w:color w:val="0000FF"/>
                <w:w w:val="87"/>
              </w:rPr>
              <w:t>00</w:t>
            </w:r>
          </w:p>
        </w:tc>
        <w:tc>
          <w:tcPr>
            <w:tcW w:w="1060" w:type="dxa"/>
            <w:vAlign w:val="bottom"/>
            <w:tcBorders>
              <w:right w:val="single" w:sz="8" w:color="CCCCFF"/>
            </w:tcBorders>
            <w:gridSpan w:val="3"/>
            <w:shd w:val="clear" w:color="auto" w:fill="CCCCFF"/>
          </w:tcPr>
          <w:p>
            <w:pPr>
              <w:jc w:val="center"/>
              <w:ind w:left="241"/>
              <w:spacing w:after="0"/>
              <w:rPr>
                <w:sz w:val="20"/>
                <w:szCs w:val="20"/>
                <w:color w:val="auto"/>
              </w:rPr>
            </w:pPr>
            <w:r>
              <w:rPr>
                <w:rFonts w:ascii="Arial" w:cs="Arial" w:eastAsia="Arial" w:hAnsi="Arial"/>
                <w:sz w:val="20"/>
                <w:szCs w:val="20"/>
                <w:color w:val="0000FF"/>
                <w:w w:val="88"/>
              </w:rPr>
              <w:t>5.</w:t>
            </w:r>
            <w:r>
              <w:rPr>
                <w:rFonts w:ascii="Arial" w:cs="Arial" w:eastAsia="Arial" w:hAnsi="Arial"/>
                <w:sz w:val="20"/>
                <w:szCs w:val="20"/>
                <w:u w:val="single" w:color="auto"/>
                <w:color w:val="0000FF"/>
                <w:w w:val="88"/>
              </w:rPr>
              <w:t>000%</w:t>
            </w:r>
          </w:p>
        </w:tc>
        <w:tc>
          <w:tcPr>
            <w:tcW w:w="340" w:type="dxa"/>
            <w:vAlign w:val="bottom"/>
            <w:tcBorders>
              <w:left w:val="single" w:sz="8" w:color="CCCCFF"/>
            </w:tcBorders>
            <w:shd w:val="clear" w:color="auto" w:fill="CCCCFF"/>
          </w:tcPr>
          <w:p>
            <w:pPr>
              <w:spacing w:after="0"/>
              <w:rPr>
                <w:sz w:val="22"/>
                <w:szCs w:val="22"/>
                <w:color w:val="auto"/>
              </w:rPr>
            </w:pPr>
          </w:p>
        </w:tc>
        <w:tc>
          <w:tcPr>
            <w:tcW w:w="1640" w:type="dxa"/>
            <w:vAlign w:val="bottom"/>
            <w:gridSpan w:val="3"/>
            <w:shd w:val="clear" w:color="auto" w:fill="CCCCFF"/>
          </w:tcPr>
          <w:p>
            <w:pPr>
              <w:jc w:val="right"/>
              <w:ind w:right="20"/>
              <w:spacing w:after="0"/>
              <w:rPr>
                <w:sz w:val="20"/>
                <w:szCs w:val="20"/>
                <w:color w:val="auto"/>
              </w:rPr>
            </w:pPr>
            <w:r>
              <w:rPr>
                <w:rFonts w:ascii="Arial" w:cs="Arial" w:eastAsia="Arial" w:hAnsi="Arial"/>
                <w:sz w:val="20"/>
                <w:szCs w:val="20"/>
                <w:color w:val="0000FF"/>
              </w:rPr>
              <w:t>37,500,000.</w:t>
            </w:r>
            <w:r>
              <w:rPr>
                <w:rFonts w:ascii="Arial" w:cs="Arial" w:eastAsia="Arial" w:hAnsi="Arial"/>
                <w:sz w:val="20"/>
                <w:szCs w:val="20"/>
                <w:u w:val="single" w:color="auto"/>
                <w:color w:val="0000FF"/>
              </w:rPr>
              <w:t>00</w:t>
            </w:r>
          </w:p>
        </w:tc>
        <w:tc>
          <w:tcPr>
            <w:tcW w:w="940" w:type="dxa"/>
            <w:vAlign w:val="bottom"/>
            <w:shd w:val="clear" w:color="auto" w:fill="CCCCFF"/>
          </w:tcPr>
          <w:p>
            <w:pPr>
              <w:spacing w:after="0"/>
              <w:rPr>
                <w:sz w:val="22"/>
                <w:szCs w:val="22"/>
                <w:color w:val="auto"/>
              </w:rPr>
            </w:pPr>
          </w:p>
        </w:tc>
      </w:tr>
      <w:tr>
        <w:trPr>
          <w:trHeight w:val="20"/>
        </w:trPr>
        <w:tc>
          <w:tcPr>
            <w:tcW w:w="340" w:type="dxa"/>
            <w:vAlign w:val="bottom"/>
            <w:shd w:val="clear" w:color="auto" w:fill="C0C0C0"/>
          </w:tcPr>
          <w:p>
            <w:pPr>
              <w:spacing w:after="0" w:line="20" w:lineRule="exact"/>
              <w:rPr>
                <w:sz w:val="1"/>
                <w:szCs w:val="1"/>
                <w:color w:val="auto"/>
              </w:rPr>
            </w:pPr>
          </w:p>
        </w:tc>
        <w:tc>
          <w:tcPr>
            <w:tcW w:w="40" w:type="dxa"/>
            <w:vAlign w:val="bottom"/>
            <w:shd w:val="clear" w:color="auto" w:fill="C0C0C0"/>
          </w:tcPr>
          <w:p>
            <w:pPr>
              <w:spacing w:after="0" w:line="20" w:lineRule="exact"/>
              <w:rPr>
                <w:sz w:val="1"/>
                <w:szCs w:val="1"/>
                <w:color w:val="auto"/>
              </w:rPr>
            </w:pPr>
          </w:p>
        </w:tc>
        <w:tc>
          <w:tcPr>
            <w:tcW w:w="380" w:type="dxa"/>
            <w:vAlign w:val="bottom"/>
            <w:shd w:val="clear" w:color="auto" w:fill="C0C0C0"/>
          </w:tcPr>
          <w:p>
            <w:pPr>
              <w:spacing w:after="0" w:line="20" w:lineRule="exact"/>
              <w:rPr>
                <w:sz w:val="1"/>
                <w:szCs w:val="1"/>
                <w:color w:val="auto"/>
              </w:rPr>
            </w:pPr>
          </w:p>
        </w:tc>
        <w:tc>
          <w:tcPr>
            <w:tcW w:w="280" w:type="dxa"/>
            <w:vAlign w:val="bottom"/>
            <w:shd w:val="clear" w:color="auto" w:fill="C0C0C0"/>
          </w:tcPr>
          <w:p>
            <w:pPr>
              <w:spacing w:after="0" w:line="20" w:lineRule="exact"/>
              <w:rPr>
                <w:sz w:val="1"/>
                <w:szCs w:val="1"/>
                <w:color w:val="auto"/>
              </w:rPr>
            </w:pPr>
          </w:p>
        </w:tc>
        <w:tc>
          <w:tcPr>
            <w:tcW w:w="420" w:type="dxa"/>
            <w:vAlign w:val="bottom"/>
            <w:shd w:val="clear" w:color="auto" w:fill="C0C0C0"/>
          </w:tcPr>
          <w:p>
            <w:pPr>
              <w:spacing w:after="0" w:line="20" w:lineRule="exact"/>
              <w:rPr>
                <w:sz w:val="1"/>
                <w:szCs w:val="1"/>
                <w:color w:val="auto"/>
              </w:rPr>
            </w:pPr>
          </w:p>
        </w:tc>
        <w:tc>
          <w:tcPr>
            <w:tcW w:w="1180" w:type="dxa"/>
            <w:vAlign w:val="bottom"/>
            <w:shd w:val="clear" w:color="auto" w:fill="CCCCFF"/>
          </w:tcPr>
          <w:p>
            <w:pPr>
              <w:spacing w:after="0" w:line="20" w:lineRule="exact"/>
              <w:rPr>
                <w:sz w:val="1"/>
                <w:szCs w:val="1"/>
                <w:color w:val="auto"/>
              </w:rPr>
            </w:pPr>
          </w:p>
        </w:tc>
        <w:tc>
          <w:tcPr>
            <w:tcW w:w="360" w:type="dxa"/>
            <w:vAlign w:val="bottom"/>
            <w:tcBorders>
              <w:right w:val="single" w:sz="8" w:color="0000FF"/>
            </w:tcBorders>
            <w:shd w:val="clear" w:color="auto" w:fill="CCCC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20" w:type="dxa"/>
            <w:vAlign w:val="bottom"/>
            <w:shd w:val="clear" w:color="auto" w:fill="CCCCFF"/>
          </w:tcPr>
          <w:p>
            <w:pPr>
              <w:spacing w:after="0" w:line="20" w:lineRule="exact"/>
              <w:rPr>
                <w:sz w:val="1"/>
                <w:szCs w:val="1"/>
                <w:color w:val="auto"/>
              </w:rPr>
            </w:pPr>
          </w:p>
        </w:tc>
        <w:tc>
          <w:tcPr>
            <w:tcW w:w="40" w:type="dxa"/>
            <w:vAlign w:val="bottom"/>
            <w:shd w:val="clear" w:color="auto" w:fill="CCCCFF"/>
          </w:tcPr>
          <w:p>
            <w:pPr>
              <w:spacing w:after="0" w:line="20" w:lineRule="exact"/>
              <w:rPr>
                <w:sz w:val="1"/>
                <w:szCs w:val="1"/>
                <w:color w:val="auto"/>
              </w:rPr>
            </w:pPr>
          </w:p>
        </w:tc>
        <w:tc>
          <w:tcPr>
            <w:tcW w:w="100" w:type="dxa"/>
            <w:vAlign w:val="bottom"/>
            <w:shd w:val="clear" w:color="auto" w:fill="CCCCFF"/>
          </w:tcPr>
          <w:p>
            <w:pPr>
              <w:spacing w:after="0" w:line="20" w:lineRule="exact"/>
              <w:rPr>
                <w:sz w:val="1"/>
                <w:szCs w:val="1"/>
                <w:color w:val="auto"/>
              </w:rPr>
            </w:pPr>
          </w:p>
        </w:tc>
        <w:tc>
          <w:tcPr>
            <w:tcW w:w="60" w:type="dxa"/>
            <w:vAlign w:val="bottom"/>
            <w:shd w:val="clear" w:color="auto" w:fill="CCCCFF"/>
          </w:tcPr>
          <w:p>
            <w:pPr>
              <w:spacing w:after="0" w:line="20" w:lineRule="exact"/>
              <w:rPr>
                <w:sz w:val="1"/>
                <w:szCs w:val="1"/>
                <w:color w:val="auto"/>
              </w:rPr>
            </w:pPr>
          </w:p>
        </w:tc>
        <w:tc>
          <w:tcPr>
            <w:tcW w:w="220" w:type="dxa"/>
            <w:vAlign w:val="bottom"/>
            <w:tcBorders>
              <w:right w:val="single" w:sz="8" w:color="0000FF"/>
            </w:tcBorders>
            <w:shd w:val="clear" w:color="auto" w:fill="CCCCFF"/>
          </w:tcPr>
          <w:p>
            <w:pPr>
              <w:spacing w:after="0" w:line="20" w:lineRule="exact"/>
              <w:rPr>
                <w:sz w:val="1"/>
                <w:szCs w:val="1"/>
                <w:color w:val="auto"/>
              </w:rPr>
            </w:pPr>
          </w:p>
        </w:tc>
        <w:tc>
          <w:tcPr>
            <w:tcW w:w="108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shd w:val="clear" w:color="auto" w:fill="CCCCFF"/>
          </w:tcPr>
          <w:p>
            <w:pPr>
              <w:spacing w:after="0" w:line="20" w:lineRule="exact"/>
              <w:rPr>
                <w:sz w:val="1"/>
                <w:szCs w:val="1"/>
                <w:color w:val="auto"/>
              </w:rPr>
            </w:pPr>
          </w:p>
        </w:tc>
        <w:tc>
          <w:tcPr>
            <w:tcW w:w="1260" w:type="dxa"/>
            <w:vAlign w:val="bottom"/>
            <w:shd w:val="clear" w:color="auto" w:fill="CCCCFF"/>
          </w:tcPr>
          <w:p>
            <w:pPr>
              <w:spacing w:after="0" w:line="20" w:lineRule="exact"/>
              <w:rPr>
                <w:sz w:val="1"/>
                <w:szCs w:val="1"/>
                <w:color w:val="auto"/>
              </w:rPr>
            </w:pPr>
          </w:p>
        </w:tc>
        <w:tc>
          <w:tcPr>
            <w:tcW w:w="60" w:type="dxa"/>
            <w:vAlign w:val="bottom"/>
            <w:shd w:val="clear" w:color="auto" w:fill="CCCCFF"/>
          </w:tcPr>
          <w:p>
            <w:pPr>
              <w:spacing w:after="0" w:line="20" w:lineRule="exact"/>
              <w:rPr>
                <w:sz w:val="1"/>
                <w:szCs w:val="1"/>
                <w:color w:val="auto"/>
              </w:rPr>
            </w:pPr>
          </w:p>
        </w:tc>
        <w:tc>
          <w:tcPr>
            <w:tcW w:w="80" w:type="dxa"/>
            <w:vAlign w:val="bottom"/>
            <w:tcBorders>
              <w:right w:val="single" w:sz="8" w:color="CCCCFF"/>
            </w:tcBorders>
            <w:shd w:val="clear" w:color="auto" w:fill="CCCCFF"/>
          </w:tcPr>
          <w:p>
            <w:pPr>
              <w:spacing w:after="0" w:line="20" w:lineRule="exact"/>
              <w:rPr>
                <w:sz w:val="1"/>
                <w:szCs w:val="1"/>
                <w:color w:val="auto"/>
              </w:rPr>
            </w:pPr>
          </w:p>
        </w:tc>
        <w:tc>
          <w:tcPr>
            <w:tcW w:w="1000" w:type="dxa"/>
            <w:vAlign w:val="bottom"/>
            <w:gridSpan w:val="2"/>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CCCCFF"/>
          </w:tcPr>
          <w:p>
            <w:pPr>
              <w:spacing w:after="0" w:line="20" w:lineRule="exact"/>
              <w:rPr>
                <w:sz w:val="1"/>
                <w:szCs w:val="1"/>
                <w:color w:val="auto"/>
              </w:rPr>
            </w:pPr>
          </w:p>
        </w:tc>
        <w:tc>
          <w:tcPr>
            <w:tcW w:w="400" w:type="dxa"/>
            <w:vAlign w:val="bottom"/>
            <w:tcBorders>
              <w:right w:val="single" w:sz="8" w:color="CCCCFF"/>
            </w:tcBorders>
            <w:shd w:val="clear" w:color="auto" w:fill="CCCCFF"/>
          </w:tcPr>
          <w:p>
            <w:pPr>
              <w:spacing w:after="0" w:line="20" w:lineRule="exact"/>
              <w:rPr>
                <w:sz w:val="1"/>
                <w:szCs w:val="1"/>
                <w:color w:val="auto"/>
              </w:rPr>
            </w:pPr>
          </w:p>
        </w:tc>
        <w:tc>
          <w:tcPr>
            <w:tcW w:w="660" w:type="dxa"/>
            <w:vAlign w:val="bottom"/>
            <w:tcBorders>
              <w:right w:val="single" w:sz="8" w:color="CCCCFF"/>
            </w:tcBorders>
            <w:gridSpan w:val="2"/>
            <w:shd w:val="clear" w:color="auto" w:fill="0000FF"/>
          </w:tcPr>
          <w:p>
            <w:pPr>
              <w:spacing w:after="0" w:line="20" w:lineRule="exact"/>
              <w:rPr>
                <w:sz w:val="1"/>
                <w:szCs w:val="1"/>
                <w:color w:val="auto"/>
              </w:rPr>
            </w:pPr>
          </w:p>
        </w:tc>
        <w:tc>
          <w:tcPr>
            <w:tcW w:w="340" w:type="dxa"/>
            <w:vAlign w:val="bottom"/>
            <w:tcBorders>
              <w:left w:val="single" w:sz="8" w:color="CCCCFF"/>
            </w:tcBorders>
            <w:shd w:val="clear" w:color="auto" w:fill="CCCCFF"/>
          </w:tcPr>
          <w:p>
            <w:pPr>
              <w:spacing w:after="0" w:line="20" w:lineRule="exact"/>
              <w:rPr>
                <w:sz w:val="1"/>
                <w:szCs w:val="1"/>
                <w:color w:val="auto"/>
              </w:rPr>
            </w:pPr>
          </w:p>
        </w:tc>
        <w:tc>
          <w:tcPr>
            <w:tcW w:w="480" w:type="dxa"/>
            <w:vAlign w:val="bottom"/>
            <w:shd w:val="clear" w:color="auto" w:fill="CCCCFF"/>
          </w:tcPr>
          <w:p>
            <w:pPr>
              <w:spacing w:after="0" w:line="20" w:lineRule="exact"/>
              <w:rPr>
                <w:sz w:val="1"/>
                <w:szCs w:val="1"/>
                <w:color w:val="auto"/>
              </w:rPr>
            </w:pPr>
          </w:p>
        </w:tc>
        <w:tc>
          <w:tcPr>
            <w:tcW w:w="1140" w:type="dxa"/>
            <w:vAlign w:val="bottom"/>
            <w:shd w:val="clear" w:color="auto" w:fill="0000FF"/>
          </w:tcPr>
          <w:p>
            <w:pPr>
              <w:spacing w:after="0" w:line="20" w:lineRule="exact"/>
              <w:rPr>
                <w:sz w:val="1"/>
                <w:szCs w:val="1"/>
                <w:color w:val="auto"/>
              </w:rPr>
            </w:pPr>
          </w:p>
        </w:tc>
        <w:tc>
          <w:tcPr>
            <w:tcW w:w="20" w:type="dxa"/>
            <w:vAlign w:val="bottom"/>
            <w:shd w:val="clear" w:color="auto" w:fill="CCCCFF"/>
          </w:tcPr>
          <w:p>
            <w:pPr>
              <w:spacing w:after="0" w:line="20" w:lineRule="exact"/>
              <w:rPr>
                <w:sz w:val="1"/>
                <w:szCs w:val="1"/>
                <w:color w:val="auto"/>
              </w:rPr>
            </w:pPr>
          </w:p>
        </w:tc>
        <w:tc>
          <w:tcPr>
            <w:tcW w:w="940" w:type="dxa"/>
            <w:vAlign w:val="bottom"/>
            <w:shd w:val="clear" w:color="auto" w:fill="CCCCFF"/>
          </w:tcPr>
          <w:p>
            <w:pPr>
              <w:spacing w:after="0" w:line="20" w:lineRule="exact"/>
              <w:rPr>
                <w:sz w:val="1"/>
                <w:szCs w:val="1"/>
                <w:color w:val="auto"/>
              </w:rPr>
            </w:pPr>
          </w:p>
        </w:tc>
      </w:tr>
      <w:tr>
        <w:trPr>
          <w:trHeight w:val="264"/>
        </w:trPr>
        <w:tc>
          <w:tcPr>
            <w:tcW w:w="340" w:type="dxa"/>
            <w:vAlign w:val="bottom"/>
            <w:shd w:val="clear" w:color="auto" w:fill="C0C0C0"/>
          </w:tcPr>
          <w:p>
            <w:pPr>
              <w:spacing w:after="0"/>
              <w:rPr>
                <w:sz w:val="22"/>
                <w:szCs w:val="22"/>
                <w:color w:val="auto"/>
              </w:rPr>
            </w:pPr>
          </w:p>
        </w:tc>
        <w:tc>
          <w:tcPr>
            <w:tcW w:w="40" w:type="dxa"/>
            <w:vAlign w:val="bottom"/>
            <w:shd w:val="clear" w:color="auto" w:fill="C0C0C0"/>
          </w:tcPr>
          <w:p>
            <w:pPr>
              <w:spacing w:after="0"/>
              <w:rPr>
                <w:sz w:val="22"/>
                <w:szCs w:val="22"/>
                <w:color w:val="auto"/>
              </w:rPr>
            </w:pPr>
          </w:p>
        </w:tc>
        <w:tc>
          <w:tcPr>
            <w:tcW w:w="380" w:type="dxa"/>
            <w:vAlign w:val="bottom"/>
            <w:shd w:val="clear" w:color="auto" w:fill="C0C0C0"/>
          </w:tcPr>
          <w:p>
            <w:pPr>
              <w:spacing w:after="0"/>
              <w:rPr>
                <w:sz w:val="22"/>
                <w:szCs w:val="22"/>
                <w:color w:val="auto"/>
              </w:rPr>
            </w:pPr>
          </w:p>
        </w:tc>
        <w:tc>
          <w:tcPr>
            <w:tcW w:w="280" w:type="dxa"/>
            <w:vAlign w:val="bottom"/>
            <w:shd w:val="clear" w:color="auto" w:fill="C0C0C0"/>
          </w:tcPr>
          <w:p>
            <w:pPr>
              <w:spacing w:after="0"/>
              <w:rPr>
                <w:sz w:val="22"/>
                <w:szCs w:val="22"/>
                <w:color w:val="auto"/>
              </w:rPr>
            </w:pPr>
          </w:p>
        </w:tc>
        <w:tc>
          <w:tcPr>
            <w:tcW w:w="420" w:type="dxa"/>
            <w:vAlign w:val="bottom"/>
            <w:shd w:val="clear" w:color="auto" w:fill="C0C0C0"/>
          </w:tcPr>
          <w:p>
            <w:pPr>
              <w:spacing w:after="0"/>
              <w:rPr>
                <w:sz w:val="22"/>
                <w:szCs w:val="22"/>
                <w:color w:val="auto"/>
              </w:rPr>
            </w:pPr>
          </w:p>
        </w:tc>
        <w:tc>
          <w:tcPr>
            <w:tcW w:w="1180" w:type="dxa"/>
            <w:vAlign w:val="bottom"/>
            <w:shd w:val="clear" w:color="auto" w:fill="CCCCFF"/>
          </w:tcPr>
          <w:p>
            <w:pPr>
              <w:spacing w:after="0"/>
              <w:rPr>
                <w:sz w:val="22"/>
                <w:szCs w:val="22"/>
                <w:color w:val="auto"/>
              </w:rPr>
            </w:pPr>
          </w:p>
        </w:tc>
        <w:tc>
          <w:tcPr>
            <w:tcW w:w="360" w:type="dxa"/>
            <w:vAlign w:val="bottom"/>
            <w:tcBorders>
              <w:right w:val="single" w:sz="8" w:color="CCCCFF"/>
            </w:tcBorders>
            <w:shd w:val="clear" w:color="auto" w:fill="CCCCFF"/>
          </w:tcPr>
          <w:p>
            <w:pPr>
              <w:spacing w:after="0"/>
              <w:rPr>
                <w:sz w:val="22"/>
                <w:szCs w:val="22"/>
                <w:color w:val="auto"/>
              </w:rPr>
            </w:pPr>
          </w:p>
        </w:tc>
        <w:tc>
          <w:tcPr>
            <w:tcW w:w="180" w:type="dxa"/>
            <w:vAlign w:val="bottom"/>
            <w:shd w:val="clear" w:color="auto" w:fill="CCCCFF"/>
          </w:tcPr>
          <w:p>
            <w:pPr>
              <w:jc w:val="right"/>
              <w:spacing w:after="0"/>
              <w:rPr>
                <w:sz w:val="20"/>
                <w:szCs w:val="20"/>
                <w:color w:val="auto"/>
              </w:rPr>
            </w:pPr>
            <w:r>
              <w:rPr>
                <w:rFonts w:ascii="Arial" w:cs="Arial" w:eastAsia="Arial" w:hAnsi="Arial"/>
                <w:sz w:val="20"/>
                <w:szCs w:val="20"/>
                <w:color w:val="0000FF"/>
                <w:w w:val="71"/>
              </w:rPr>
              <w:t>20</w:t>
            </w:r>
          </w:p>
        </w:tc>
        <w:tc>
          <w:tcPr>
            <w:tcW w:w="120" w:type="dxa"/>
            <w:vAlign w:val="bottom"/>
            <w:shd w:val="clear" w:color="auto" w:fill="CCCCFF"/>
          </w:tcPr>
          <w:p>
            <w:pPr>
              <w:spacing w:after="0"/>
              <w:rPr>
                <w:sz w:val="22"/>
                <w:szCs w:val="22"/>
                <w:color w:val="auto"/>
              </w:rPr>
            </w:pPr>
          </w:p>
        </w:tc>
        <w:tc>
          <w:tcPr>
            <w:tcW w:w="40" w:type="dxa"/>
            <w:vAlign w:val="bottom"/>
            <w:shd w:val="clear" w:color="auto" w:fill="CCCCFF"/>
          </w:tcPr>
          <w:p>
            <w:pPr>
              <w:spacing w:after="0"/>
              <w:rPr>
                <w:sz w:val="22"/>
                <w:szCs w:val="22"/>
                <w:color w:val="auto"/>
              </w:rPr>
            </w:pPr>
          </w:p>
        </w:tc>
        <w:tc>
          <w:tcPr>
            <w:tcW w:w="100" w:type="dxa"/>
            <w:vAlign w:val="bottom"/>
            <w:shd w:val="clear" w:color="auto" w:fill="CCCCFF"/>
          </w:tcPr>
          <w:p>
            <w:pPr>
              <w:spacing w:after="0"/>
              <w:rPr>
                <w:sz w:val="22"/>
                <w:szCs w:val="22"/>
                <w:color w:val="auto"/>
              </w:rPr>
            </w:pPr>
          </w:p>
        </w:tc>
        <w:tc>
          <w:tcPr>
            <w:tcW w:w="60" w:type="dxa"/>
            <w:vAlign w:val="bottom"/>
            <w:shd w:val="clear" w:color="auto" w:fill="CCCCFF"/>
          </w:tcPr>
          <w:p>
            <w:pPr>
              <w:spacing w:after="0"/>
              <w:rPr>
                <w:sz w:val="22"/>
                <w:szCs w:val="22"/>
                <w:color w:val="auto"/>
              </w:rPr>
            </w:pPr>
          </w:p>
        </w:tc>
        <w:tc>
          <w:tcPr>
            <w:tcW w:w="220" w:type="dxa"/>
            <w:vAlign w:val="bottom"/>
            <w:tcBorders>
              <w:right w:val="single" w:sz="8" w:color="CCCCFF"/>
            </w:tcBorders>
            <w:shd w:val="clear" w:color="auto" w:fill="CCCCFF"/>
          </w:tcPr>
          <w:p>
            <w:pPr>
              <w:spacing w:after="0"/>
              <w:rPr>
                <w:sz w:val="22"/>
                <w:szCs w:val="22"/>
                <w:color w:val="auto"/>
              </w:rPr>
            </w:pPr>
          </w:p>
        </w:tc>
        <w:tc>
          <w:tcPr>
            <w:tcW w:w="1080" w:type="dxa"/>
            <w:vAlign w:val="bottom"/>
            <w:tcBorders>
              <w:right w:val="single" w:sz="8" w:color="CCCCFF"/>
            </w:tcBorders>
            <w:shd w:val="clear" w:color="auto" w:fill="CCCCFF"/>
          </w:tcPr>
          <w:p>
            <w:pPr>
              <w:spacing w:after="0"/>
              <w:rPr>
                <w:sz w:val="20"/>
                <w:szCs w:val="20"/>
                <w:color w:val="auto"/>
              </w:rPr>
            </w:pPr>
            <w:r>
              <w:rPr>
                <w:rFonts w:ascii="Arial" w:cs="Arial" w:eastAsia="Arial" w:hAnsi="Arial"/>
                <w:sz w:val="20"/>
                <w:szCs w:val="20"/>
                <w:color w:val="0000FF"/>
                <w:w w:val="88"/>
              </w:rPr>
              <w:t>Feb 28, 2019</w:t>
            </w:r>
          </w:p>
        </w:tc>
        <w:tc>
          <w:tcPr>
            <w:tcW w:w="160" w:type="dxa"/>
            <w:vAlign w:val="bottom"/>
            <w:shd w:val="clear" w:color="auto" w:fill="CCCCFF"/>
          </w:tcPr>
          <w:p>
            <w:pPr>
              <w:spacing w:after="0"/>
              <w:rPr>
                <w:sz w:val="22"/>
                <w:szCs w:val="22"/>
                <w:color w:val="auto"/>
              </w:rPr>
            </w:pPr>
          </w:p>
        </w:tc>
        <w:tc>
          <w:tcPr>
            <w:tcW w:w="1400" w:type="dxa"/>
            <w:vAlign w:val="bottom"/>
            <w:tcBorders>
              <w:right w:val="single" w:sz="8" w:color="CCCCFF"/>
            </w:tcBorders>
            <w:gridSpan w:val="3"/>
            <w:shd w:val="clear" w:color="auto" w:fill="CCCCFF"/>
          </w:tcPr>
          <w:p>
            <w:pPr>
              <w:spacing w:after="0"/>
              <w:rPr>
                <w:sz w:val="22"/>
                <w:szCs w:val="22"/>
                <w:color w:val="auto"/>
              </w:rPr>
            </w:pPr>
          </w:p>
        </w:tc>
        <w:tc>
          <w:tcPr>
            <w:tcW w:w="1080" w:type="dxa"/>
            <w:vAlign w:val="bottom"/>
            <w:gridSpan w:val="3"/>
            <w:shd w:val="clear" w:color="auto" w:fill="CCCCFF"/>
          </w:tcPr>
          <w:p>
            <w:pPr>
              <w:jc w:val="right"/>
              <w:ind w:right="40"/>
              <w:spacing w:after="0"/>
              <w:rPr>
                <w:sz w:val="20"/>
                <w:szCs w:val="20"/>
                <w:color w:val="auto"/>
              </w:rPr>
            </w:pPr>
            <w:r>
              <w:rPr>
                <w:rFonts w:ascii="Arial" w:cs="Arial" w:eastAsia="Arial" w:hAnsi="Arial"/>
                <w:sz w:val="20"/>
                <w:szCs w:val="20"/>
                <w:color w:val="0000FF"/>
                <w:w w:val="87"/>
              </w:rPr>
              <w:t>3,750,000.</w:t>
            </w:r>
            <w:r>
              <w:rPr>
                <w:rFonts w:ascii="Arial" w:cs="Arial" w:eastAsia="Arial" w:hAnsi="Arial"/>
                <w:sz w:val="20"/>
                <w:szCs w:val="20"/>
                <w:u w:val="single" w:color="auto"/>
                <w:color w:val="0000FF"/>
                <w:w w:val="87"/>
              </w:rPr>
              <w:t>00</w:t>
            </w:r>
          </w:p>
        </w:tc>
        <w:tc>
          <w:tcPr>
            <w:tcW w:w="1060" w:type="dxa"/>
            <w:vAlign w:val="bottom"/>
            <w:tcBorders>
              <w:right w:val="single" w:sz="8" w:color="CCCCFF"/>
            </w:tcBorders>
            <w:gridSpan w:val="3"/>
            <w:shd w:val="clear" w:color="auto" w:fill="CCCCFF"/>
          </w:tcPr>
          <w:p>
            <w:pPr>
              <w:jc w:val="center"/>
              <w:ind w:left="241"/>
              <w:spacing w:after="0"/>
              <w:rPr>
                <w:sz w:val="20"/>
                <w:szCs w:val="20"/>
                <w:color w:val="auto"/>
              </w:rPr>
            </w:pPr>
            <w:r>
              <w:rPr>
                <w:rFonts w:ascii="Arial" w:cs="Arial" w:eastAsia="Arial" w:hAnsi="Arial"/>
                <w:sz w:val="20"/>
                <w:szCs w:val="20"/>
                <w:color w:val="0000FF"/>
                <w:w w:val="88"/>
              </w:rPr>
              <w:t>5.</w:t>
            </w:r>
            <w:r>
              <w:rPr>
                <w:rFonts w:ascii="Arial" w:cs="Arial" w:eastAsia="Arial" w:hAnsi="Arial"/>
                <w:sz w:val="20"/>
                <w:szCs w:val="20"/>
                <w:u w:val="single" w:color="auto"/>
                <w:color w:val="0000FF"/>
                <w:w w:val="88"/>
              </w:rPr>
              <w:t>000%</w:t>
            </w:r>
          </w:p>
        </w:tc>
        <w:tc>
          <w:tcPr>
            <w:tcW w:w="340" w:type="dxa"/>
            <w:vAlign w:val="bottom"/>
            <w:tcBorders>
              <w:left w:val="single" w:sz="8" w:color="CCCCFF"/>
            </w:tcBorders>
            <w:shd w:val="clear" w:color="auto" w:fill="CCCCFF"/>
          </w:tcPr>
          <w:p>
            <w:pPr>
              <w:spacing w:after="0"/>
              <w:rPr>
                <w:sz w:val="22"/>
                <w:szCs w:val="22"/>
                <w:color w:val="auto"/>
              </w:rPr>
            </w:pPr>
          </w:p>
        </w:tc>
        <w:tc>
          <w:tcPr>
            <w:tcW w:w="1640" w:type="dxa"/>
            <w:vAlign w:val="bottom"/>
            <w:gridSpan w:val="3"/>
            <w:shd w:val="clear" w:color="auto" w:fill="CCCCFF"/>
          </w:tcPr>
          <w:p>
            <w:pPr>
              <w:jc w:val="right"/>
              <w:ind w:right="20"/>
              <w:spacing w:after="0"/>
              <w:rPr>
                <w:sz w:val="20"/>
                <w:szCs w:val="20"/>
                <w:color w:val="auto"/>
              </w:rPr>
            </w:pPr>
            <w:r>
              <w:rPr>
                <w:rFonts w:ascii="Arial" w:cs="Arial" w:eastAsia="Arial" w:hAnsi="Arial"/>
                <w:sz w:val="20"/>
                <w:szCs w:val="20"/>
                <w:color w:val="0000FF"/>
              </w:rPr>
              <w:t>33,750,000.</w:t>
            </w:r>
            <w:r>
              <w:rPr>
                <w:rFonts w:ascii="Arial" w:cs="Arial" w:eastAsia="Arial" w:hAnsi="Arial"/>
                <w:sz w:val="20"/>
                <w:szCs w:val="20"/>
                <w:u w:val="single" w:color="auto"/>
                <w:color w:val="0000FF"/>
              </w:rPr>
              <w:t>00</w:t>
            </w:r>
          </w:p>
        </w:tc>
        <w:tc>
          <w:tcPr>
            <w:tcW w:w="940" w:type="dxa"/>
            <w:vAlign w:val="bottom"/>
            <w:shd w:val="clear" w:color="auto" w:fill="CCCCFF"/>
          </w:tcPr>
          <w:p>
            <w:pPr>
              <w:spacing w:after="0"/>
              <w:rPr>
                <w:sz w:val="22"/>
                <w:szCs w:val="22"/>
                <w:color w:val="auto"/>
              </w:rPr>
            </w:pPr>
          </w:p>
        </w:tc>
      </w:tr>
      <w:tr>
        <w:trPr>
          <w:trHeight w:val="20"/>
        </w:trPr>
        <w:tc>
          <w:tcPr>
            <w:tcW w:w="340" w:type="dxa"/>
            <w:vAlign w:val="bottom"/>
            <w:shd w:val="clear" w:color="auto" w:fill="C0C0C0"/>
          </w:tcPr>
          <w:p>
            <w:pPr>
              <w:spacing w:after="0" w:line="20" w:lineRule="exact"/>
              <w:rPr>
                <w:sz w:val="1"/>
                <w:szCs w:val="1"/>
                <w:color w:val="auto"/>
              </w:rPr>
            </w:pPr>
          </w:p>
        </w:tc>
        <w:tc>
          <w:tcPr>
            <w:tcW w:w="40" w:type="dxa"/>
            <w:vAlign w:val="bottom"/>
            <w:shd w:val="clear" w:color="auto" w:fill="C0C0C0"/>
          </w:tcPr>
          <w:p>
            <w:pPr>
              <w:spacing w:after="0" w:line="20" w:lineRule="exact"/>
              <w:rPr>
                <w:sz w:val="1"/>
                <w:szCs w:val="1"/>
                <w:color w:val="auto"/>
              </w:rPr>
            </w:pPr>
          </w:p>
        </w:tc>
        <w:tc>
          <w:tcPr>
            <w:tcW w:w="380" w:type="dxa"/>
            <w:vAlign w:val="bottom"/>
            <w:shd w:val="clear" w:color="auto" w:fill="C0C0C0"/>
          </w:tcPr>
          <w:p>
            <w:pPr>
              <w:spacing w:after="0" w:line="20" w:lineRule="exact"/>
              <w:rPr>
                <w:sz w:val="1"/>
                <w:szCs w:val="1"/>
                <w:color w:val="auto"/>
              </w:rPr>
            </w:pPr>
          </w:p>
        </w:tc>
        <w:tc>
          <w:tcPr>
            <w:tcW w:w="280" w:type="dxa"/>
            <w:vAlign w:val="bottom"/>
            <w:shd w:val="clear" w:color="auto" w:fill="C0C0C0"/>
          </w:tcPr>
          <w:p>
            <w:pPr>
              <w:spacing w:after="0" w:line="20" w:lineRule="exact"/>
              <w:rPr>
                <w:sz w:val="1"/>
                <w:szCs w:val="1"/>
                <w:color w:val="auto"/>
              </w:rPr>
            </w:pPr>
          </w:p>
        </w:tc>
        <w:tc>
          <w:tcPr>
            <w:tcW w:w="420" w:type="dxa"/>
            <w:vAlign w:val="bottom"/>
            <w:shd w:val="clear" w:color="auto" w:fill="C0C0C0"/>
          </w:tcPr>
          <w:p>
            <w:pPr>
              <w:spacing w:after="0" w:line="20" w:lineRule="exact"/>
              <w:rPr>
                <w:sz w:val="1"/>
                <w:szCs w:val="1"/>
                <w:color w:val="auto"/>
              </w:rPr>
            </w:pPr>
          </w:p>
        </w:tc>
        <w:tc>
          <w:tcPr>
            <w:tcW w:w="1180" w:type="dxa"/>
            <w:vAlign w:val="bottom"/>
            <w:shd w:val="clear" w:color="auto" w:fill="CCCCFF"/>
          </w:tcPr>
          <w:p>
            <w:pPr>
              <w:spacing w:after="0" w:line="20" w:lineRule="exact"/>
              <w:rPr>
                <w:sz w:val="1"/>
                <w:szCs w:val="1"/>
                <w:color w:val="auto"/>
              </w:rPr>
            </w:pPr>
          </w:p>
        </w:tc>
        <w:tc>
          <w:tcPr>
            <w:tcW w:w="360" w:type="dxa"/>
            <w:vAlign w:val="bottom"/>
            <w:tcBorders>
              <w:right w:val="single" w:sz="8" w:color="0000FF"/>
            </w:tcBorders>
            <w:shd w:val="clear" w:color="auto" w:fill="CCCC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20" w:type="dxa"/>
            <w:vAlign w:val="bottom"/>
            <w:shd w:val="clear" w:color="auto" w:fill="CCCCFF"/>
          </w:tcPr>
          <w:p>
            <w:pPr>
              <w:spacing w:after="0" w:line="20" w:lineRule="exact"/>
              <w:rPr>
                <w:sz w:val="1"/>
                <w:szCs w:val="1"/>
                <w:color w:val="auto"/>
              </w:rPr>
            </w:pPr>
          </w:p>
        </w:tc>
        <w:tc>
          <w:tcPr>
            <w:tcW w:w="40" w:type="dxa"/>
            <w:vAlign w:val="bottom"/>
            <w:shd w:val="clear" w:color="auto" w:fill="CCCCFF"/>
          </w:tcPr>
          <w:p>
            <w:pPr>
              <w:spacing w:after="0" w:line="20" w:lineRule="exact"/>
              <w:rPr>
                <w:sz w:val="1"/>
                <w:szCs w:val="1"/>
                <w:color w:val="auto"/>
              </w:rPr>
            </w:pPr>
          </w:p>
        </w:tc>
        <w:tc>
          <w:tcPr>
            <w:tcW w:w="100" w:type="dxa"/>
            <w:vAlign w:val="bottom"/>
            <w:shd w:val="clear" w:color="auto" w:fill="CCCCFF"/>
          </w:tcPr>
          <w:p>
            <w:pPr>
              <w:spacing w:after="0" w:line="20" w:lineRule="exact"/>
              <w:rPr>
                <w:sz w:val="1"/>
                <w:szCs w:val="1"/>
                <w:color w:val="auto"/>
              </w:rPr>
            </w:pPr>
          </w:p>
        </w:tc>
        <w:tc>
          <w:tcPr>
            <w:tcW w:w="60" w:type="dxa"/>
            <w:vAlign w:val="bottom"/>
            <w:shd w:val="clear" w:color="auto" w:fill="CCCCFF"/>
          </w:tcPr>
          <w:p>
            <w:pPr>
              <w:spacing w:after="0" w:line="20" w:lineRule="exact"/>
              <w:rPr>
                <w:sz w:val="1"/>
                <w:szCs w:val="1"/>
                <w:color w:val="auto"/>
              </w:rPr>
            </w:pPr>
          </w:p>
        </w:tc>
        <w:tc>
          <w:tcPr>
            <w:tcW w:w="220" w:type="dxa"/>
            <w:vAlign w:val="bottom"/>
            <w:tcBorders>
              <w:right w:val="single" w:sz="8" w:color="CCCCFF"/>
            </w:tcBorders>
            <w:shd w:val="clear" w:color="auto" w:fill="CCCCFF"/>
          </w:tcPr>
          <w:p>
            <w:pPr>
              <w:spacing w:after="0" w:line="20" w:lineRule="exact"/>
              <w:rPr>
                <w:sz w:val="1"/>
                <w:szCs w:val="1"/>
                <w:color w:val="auto"/>
              </w:rPr>
            </w:pPr>
          </w:p>
        </w:tc>
        <w:tc>
          <w:tcPr>
            <w:tcW w:w="1080" w:type="dxa"/>
            <w:vAlign w:val="bottom"/>
            <w:tcBorders>
              <w:right w:val="single" w:sz="8" w:color="CCCCFF"/>
            </w:tcBorders>
            <w:shd w:val="clear" w:color="auto" w:fill="0000FF"/>
          </w:tcPr>
          <w:p>
            <w:pPr>
              <w:spacing w:after="0" w:line="20" w:lineRule="exact"/>
              <w:rPr>
                <w:sz w:val="1"/>
                <w:szCs w:val="1"/>
                <w:color w:val="auto"/>
              </w:rPr>
            </w:pPr>
          </w:p>
        </w:tc>
        <w:tc>
          <w:tcPr>
            <w:tcW w:w="160" w:type="dxa"/>
            <w:vAlign w:val="bottom"/>
            <w:shd w:val="clear" w:color="auto" w:fill="CCCCFF"/>
          </w:tcPr>
          <w:p>
            <w:pPr>
              <w:spacing w:after="0" w:line="20" w:lineRule="exact"/>
              <w:rPr>
                <w:sz w:val="1"/>
                <w:szCs w:val="1"/>
                <w:color w:val="auto"/>
              </w:rPr>
            </w:pPr>
          </w:p>
        </w:tc>
        <w:tc>
          <w:tcPr>
            <w:tcW w:w="1260" w:type="dxa"/>
            <w:vAlign w:val="bottom"/>
            <w:shd w:val="clear" w:color="auto" w:fill="CCCCFF"/>
          </w:tcPr>
          <w:p>
            <w:pPr>
              <w:spacing w:after="0" w:line="20" w:lineRule="exact"/>
              <w:rPr>
                <w:sz w:val="1"/>
                <w:szCs w:val="1"/>
                <w:color w:val="auto"/>
              </w:rPr>
            </w:pPr>
          </w:p>
        </w:tc>
        <w:tc>
          <w:tcPr>
            <w:tcW w:w="60" w:type="dxa"/>
            <w:vAlign w:val="bottom"/>
            <w:shd w:val="clear" w:color="auto" w:fill="CCCCFF"/>
          </w:tcPr>
          <w:p>
            <w:pPr>
              <w:spacing w:after="0" w:line="20" w:lineRule="exact"/>
              <w:rPr>
                <w:sz w:val="1"/>
                <w:szCs w:val="1"/>
                <w:color w:val="auto"/>
              </w:rPr>
            </w:pPr>
          </w:p>
        </w:tc>
        <w:tc>
          <w:tcPr>
            <w:tcW w:w="80" w:type="dxa"/>
            <w:vAlign w:val="bottom"/>
            <w:tcBorders>
              <w:right w:val="single" w:sz="8" w:color="CCCCFF"/>
            </w:tcBorders>
            <w:shd w:val="clear" w:color="auto" w:fill="CCCCFF"/>
          </w:tcPr>
          <w:p>
            <w:pPr>
              <w:spacing w:after="0" w:line="20" w:lineRule="exact"/>
              <w:rPr>
                <w:sz w:val="1"/>
                <w:szCs w:val="1"/>
                <w:color w:val="auto"/>
              </w:rPr>
            </w:pPr>
          </w:p>
        </w:tc>
        <w:tc>
          <w:tcPr>
            <w:tcW w:w="1000" w:type="dxa"/>
            <w:vAlign w:val="bottom"/>
            <w:gridSpan w:val="2"/>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CCCCFF"/>
          </w:tcPr>
          <w:p>
            <w:pPr>
              <w:spacing w:after="0" w:line="20" w:lineRule="exact"/>
              <w:rPr>
                <w:sz w:val="1"/>
                <w:szCs w:val="1"/>
                <w:color w:val="auto"/>
              </w:rPr>
            </w:pPr>
          </w:p>
        </w:tc>
        <w:tc>
          <w:tcPr>
            <w:tcW w:w="400" w:type="dxa"/>
            <w:vAlign w:val="bottom"/>
            <w:tcBorders>
              <w:right w:val="single" w:sz="8" w:color="CCCCFF"/>
            </w:tcBorders>
            <w:shd w:val="clear" w:color="auto" w:fill="CCCCFF"/>
          </w:tcPr>
          <w:p>
            <w:pPr>
              <w:spacing w:after="0" w:line="20" w:lineRule="exact"/>
              <w:rPr>
                <w:sz w:val="1"/>
                <w:szCs w:val="1"/>
                <w:color w:val="auto"/>
              </w:rPr>
            </w:pPr>
          </w:p>
        </w:tc>
        <w:tc>
          <w:tcPr>
            <w:tcW w:w="660" w:type="dxa"/>
            <w:vAlign w:val="bottom"/>
            <w:tcBorders>
              <w:right w:val="single" w:sz="8" w:color="CCCCFF"/>
            </w:tcBorders>
            <w:gridSpan w:val="2"/>
            <w:shd w:val="clear" w:color="auto" w:fill="0000FF"/>
          </w:tcPr>
          <w:p>
            <w:pPr>
              <w:spacing w:after="0" w:line="20" w:lineRule="exact"/>
              <w:rPr>
                <w:sz w:val="1"/>
                <w:szCs w:val="1"/>
                <w:color w:val="auto"/>
              </w:rPr>
            </w:pPr>
          </w:p>
        </w:tc>
        <w:tc>
          <w:tcPr>
            <w:tcW w:w="340" w:type="dxa"/>
            <w:vAlign w:val="bottom"/>
            <w:tcBorders>
              <w:left w:val="single" w:sz="8" w:color="CCCCFF"/>
            </w:tcBorders>
            <w:shd w:val="clear" w:color="auto" w:fill="CCCCFF"/>
          </w:tcPr>
          <w:p>
            <w:pPr>
              <w:spacing w:after="0" w:line="20" w:lineRule="exact"/>
              <w:rPr>
                <w:sz w:val="1"/>
                <w:szCs w:val="1"/>
                <w:color w:val="auto"/>
              </w:rPr>
            </w:pPr>
          </w:p>
        </w:tc>
        <w:tc>
          <w:tcPr>
            <w:tcW w:w="480" w:type="dxa"/>
            <w:vAlign w:val="bottom"/>
            <w:shd w:val="clear" w:color="auto" w:fill="CCCCFF"/>
          </w:tcPr>
          <w:p>
            <w:pPr>
              <w:spacing w:after="0" w:line="20" w:lineRule="exact"/>
              <w:rPr>
                <w:sz w:val="1"/>
                <w:szCs w:val="1"/>
                <w:color w:val="auto"/>
              </w:rPr>
            </w:pPr>
          </w:p>
        </w:tc>
        <w:tc>
          <w:tcPr>
            <w:tcW w:w="1140" w:type="dxa"/>
            <w:vAlign w:val="bottom"/>
            <w:shd w:val="clear" w:color="auto" w:fill="0000FF"/>
          </w:tcPr>
          <w:p>
            <w:pPr>
              <w:spacing w:after="0" w:line="20" w:lineRule="exact"/>
              <w:rPr>
                <w:sz w:val="1"/>
                <w:szCs w:val="1"/>
                <w:color w:val="auto"/>
              </w:rPr>
            </w:pPr>
          </w:p>
        </w:tc>
        <w:tc>
          <w:tcPr>
            <w:tcW w:w="20" w:type="dxa"/>
            <w:vAlign w:val="bottom"/>
            <w:shd w:val="clear" w:color="auto" w:fill="CCCCFF"/>
          </w:tcPr>
          <w:p>
            <w:pPr>
              <w:spacing w:after="0" w:line="20" w:lineRule="exact"/>
              <w:rPr>
                <w:sz w:val="1"/>
                <w:szCs w:val="1"/>
                <w:color w:val="auto"/>
              </w:rPr>
            </w:pPr>
          </w:p>
        </w:tc>
        <w:tc>
          <w:tcPr>
            <w:tcW w:w="940" w:type="dxa"/>
            <w:vAlign w:val="bottom"/>
            <w:shd w:val="clear" w:color="auto" w:fill="CCCCFF"/>
          </w:tcPr>
          <w:p>
            <w:pPr>
              <w:spacing w:after="0" w:line="20" w:lineRule="exact"/>
              <w:rPr>
                <w:sz w:val="1"/>
                <w:szCs w:val="1"/>
                <w:color w:val="auto"/>
              </w:rPr>
            </w:pPr>
          </w:p>
        </w:tc>
      </w:tr>
      <w:tr>
        <w:trPr>
          <w:trHeight w:val="331"/>
        </w:trPr>
        <w:tc>
          <w:tcPr>
            <w:tcW w:w="340" w:type="dxa"/>
            <w:vAlign w:val="bottom"/>
            <w:shd w:val="clear" w:color="auto" w:fill="C0C0C0"/>
          </w:tcPr>
          <w:p>
            <w:pPr>
              <w:spacing w:after="0"/>
              <w:rPr>
                <w:sz w:val="24"/>
                <w:szCs w:val="24"/>
                <w:color w:val="auto"/>
              </w:rPr>
            </w:pPr>
          </w:p>
        </w:tc>
        <w:tc>
          <w:tcPr>
            <w:tcW w:w="40" w:type="dxa"/>
            <w:vAlign w:val="bottom"/>
            <w:shd w:val="clear" w:color="auto" w:fill="C0C0C0"/>
          </w:tcPr>
          <w:p>
            <w:pPr>
              <w:spacing w:after="0"/>
              <w:rPr>
                <w:sz w:val="24"/>
                <w:szCs w:val="24"/>
                <w:color w:val="auto"/>
              </w:rPr>
            </w:pPr>
          </w:p>
        </w:tc>
        <w:tc>
          <w:tcPr>
            <w:tcW w:w="380" w:type="dxa"/>
            <w:vAlign w:val="bottom"/>
            <w:shd w:val="clear" w:color="auto" w:fill="C0C0C0"/>
          </w:tcPr>
          <w:p>
            <w:pPr>
              <w:spacing w:after="0"/>
              <w:rPr>
                <w:sz w:val="24"/>
                <w:szCs w:val="24"/>
                <w:color w:val="auto"/>
              </w:rPr>
            </w:pPr>
          </w:p>
        </w:tc>
        <w:tc>
          <w:tcPr>
            <w:tcW w:w="280" w:type="dxa"/>
            <w:vAlign w:val="bottom"/>
            <w:shd w:val="clear" w:color="auto" w:fill="C0C0C0"/>
          </w:tcPr>
          <w:p>
            <w:pPr>
              <w:spacing w:after="0"/>
              <w:rPr>
                <w:sz w:val="24"/>
                <w:szCs w:val="24"/>
                <w:color w:val="auto"/>
              </w:rPr>
            </w:pPr>
          </w:p>
        </w:tc>
        <w:tc>
          <w:tcPr>
            <w:tcW w:w="420" w:type="dxa"/>
            <w:vAlign w:val="bottom"/>
            <w:shd w:val="clear" w:color="auto" w:fill="C0C0C0"/>
          </w:tcPr>
          <w:p>
            <w:pPr>
              <w:spacing w:after="0"/>
              <w:rPr>
                <w:sz w:val="24"/>
                <w:szCs w:val="24"/>
                <w:color w:val="auto"/>
              </w:rPr>
            </w:pPr>
          </w:p>
        </w:tc>
        <w:tc>
          <w:tcPr>
            <w:tcW w:w="1180" w:type="dxa"/>
            <w:vAlign w:val="bottom"/>
            <w:shd w:val="clear" w:color="auto" w:fill="CCCCFF"/>
          </w:tcPr>
          <w:p>
            <w:pPr>
              <w:spacing w:after="0"/>
              <w:rPr>
                <w:sz w:val="24"/>
                <w:szCs w:val="24"/>
                <w:color w:val="auto"/>
              </w:rPr>
            </w:pPr>
          </w:p>
        </w:tc>
        <w:tc>
          <w:tcPr>
            <w:tcW w:w="360" w:type="dxa"/>
            <w:vAlign w:val="bottom"/>
            <w:tcBorders>
              <w:right w:val="single" w:sz="8" w:color="CCCCFF"/>
            </w:tcBorders>
            <w:shd w:val="clear" w:color="auto" w:fill="CCCCFF"/>
          </w:tcPr>
          <w:p>
            <w:pPr>
              <w:spacing w:after="0"/>
              <w:rPr>
                <w:sz w:val="24"/>
                <w:szCs w:val="24"/>
                <w:color w:val="auto"/>
              </w:rPr>
            </w:pPr>
          </w:p>
        </w:tc>
        <w:tc>
          <w:tcPr>
            <w:tcW w:w="180" w:type="dxa"/>
            <w:vAlign w:val="bottom"/>
            <w:shd w:val="clear" w:color="auto" w:fill="CCCCFF"/>
          </w:tcPr>
          <w:p>
            <w:pPr>
              <w:jc w:val="right"/>
              <w:spacing w:after="0"/>
              <w:rPr>
                <w:sz w:val="20"/>
                <w:szCs w:val="20"/>
                <w:color w:val="auto"/>
              </w:rPr>
            </w:pPr>
            <w:r>
              <w:rPr>
                <w:rFonts w:ascii="Arial" w:cs="Arial" w:eastAsia="Arial" w:hAnsi="Arial"/>
                <w:sz w:val="20"/>
                <w:szCs w:val="20"/>
                <w:color w:val="0000FF"/>
                <w:w w:val="71"/>
              </w:rPr>
              <w:t>21</w:t>
            </w:r>
          </w:p>
        </w:tc>
        <w:tc>
          <w:tcPr>
            <w:tcW w:w="120" w:type="dxa"/>
            <w:vAlign w:val="bottom"/>
            <w:shd w:val="clear" w:color="auto" w:fill="CCCCFF"/>
          </w:tcPr>
          <w:p>
            <w:pPr>
              <w:spacing w:after="0"/>
              <w:rPr>
                <w:sz w:val="24"/>
                <w:szCs w:val="24"/>
                <w:color w:val="auto"/>
              </w:rPr>
            </w:pPr>
          </w:p>
        </w:tc>
        <w:tc>
          <w:tcPr>
            <w:tcW w:w="40" w:type="dxa"/>
            <w:vAlign w:val="bottom"/>
            <w:shd w:val="clear" w:color="auto" w:fill="CCCCFF"/>
          </w:tcPr>
          <w:p>
            <w:pPr>
              <w:spacing w:after="0"/>
              <w:rPr>
                <w:sz w:val="24"/>
                <w:szCs w:val="24"/>
                <w:color w:val="auto"/>
              </w:rPr>
            </w:pPr>
          </w:p>
        </w:tc>
        <w:tc>
          <w:tcPr>
            <w:tcW w:w="100" w:type="dxa"/>
            <w:vAlign w:val="bottom"/>
            <w:shd w:val="clear" w:color="auto" w:fill="CCCCFF"/>
          </w:tcPr>
          <w:p>
            <w:pPr>
              <w:spacing w:after="0"/>
              <w:rPr>
                <w:sz w:val="24"/>
                <w:szCs w:val="24"/>
                <w:color w:val="auto"/>
              </w:rPr>
            </w:pPr>
          </w:p>
        </w:tc>
        <w:tc>
          <w:tcPr>
            <w:tcW w:w="60" w:type="dxa"/>
            <w:vAlign w:val="bottom"/>
            <w:shd w:val="clear" w:color="auto" w:fill="CCCCFF"/>
          </w:tcPr>
          <w:p>
            <w:pPr>
              <w:spacing w:after="0"/>
              <w:rPr>
                <w:sz w:val="24"/>
                <w:szCs w:val="24"/>
                <w:color w:val="auto"/>
              </w:rPr>
            </w:pPr>
          </w:p>
        </w:tc>
        <w:tc>
          <w:tcPr>
            <w:tcW w:w="220" w:type="dxa"/>
            <w:vAlign w:val="bottom"/>
            <w:tcBorders>
              <w:right w:val="single" w:sz="8" w:color="CCCCFF"/>
            </w:tcBorders>
            <w:shd w:val="clear" w:color="auto" w:fill="CCCCFF"/>
          </w:tcPr>
          <w:p>
            <w:pPr>
              <w:spacing w:after="0"/>
              <w:rPr>
                <w:sz w:val="24"/>
                <w:szCs w:val="24"/>
                <w:color w:val="auto"/>
              </w:rPr>
            </w:pPr>
          </w:p>
        </w:tc>
        <w:tc>
          <w:tcPr>
            <w:tcW w:w="1240" w:type="dxa"/>
            <w:vAlign w:val="bottom"/>
            <w:gridSpan w:val="2"/>
            <w:shd w:val="clear" w:color="auto" w:fill="CCCCFF"/>
          </w:tcPr>
          <w:p>
            <w:pPr>
              <w:spacing w:after="0"/>
              <w:rPr>
                <w:sz w:val="20"/>
                <w:szCs w:val="20"/>
                <w:color w:val="auto"/>
              </w:rPr>
            </w:pPr>
            <w:r>
              <w:rPr>
                <w:rFonts w:ascii="Arial" w:cs="Arial" w:eastAsia="Arial" w:hAnsi="Arial"/>
                <w:sz w:val="20"/>
                <w:szCs w:val="20"/>
                <w:color w:val="0000FF"/>
              </w:rPr>
              <w:t>April 9, 2019</w:t>
            </w:r>
          </w:p>
        </w:tc>
        <w:tc>
          <w:tcPr>
            <w:tcW w:w="2480" w:type="dxa"/>
            <w:vAlign w:val="bottom"/>
            <w:gridSpan w:val="6"/>
            <w:shd w:val="clear" w:color="auto" w:fill="CCCCFF"/>
          </w:tcPr>
          <w:p>
            <w:pPr>
              <w:jc w:val="right"/>
              <w:ind w:right="40"/>
              <w:spacing w:after="0"/>
              <w:rPr>
                <w:sz w:val="20"/>
                <w:szCs w:val="20"/>
                <w:color w:val="auto"/>
              </w:rPr>
            </w:pPr>
            <w:r>
              <w:rPr>
                <w:rFonts w:ascii="Arial" w:cs="Arial" w:eastAsia="Arial" w:hAnsi="Arial"/>
                <w:sz w:val="20"/>
                <w:szCs w:val="20"/>
                <w:color w:val="0000FF"/>
              </w:rPr>
              <w:t>33,750,000.</w:t>
            </w:r>
            <w:r>
              <w:rPr>
                <w:rFonts w:ascii="Arial" w:cs="Arial" w:eastAsia="Arial" w:hAnsi="Arial"/>
                <w:sz w:val="20"/>
                <w:szCs w:val="20"/>
                <w:u w:val="single" w:color="auto"/>
                <w:color w:val="0000FF"/>
              </w:rPr>
              <w:t>00</w:t>
            </w:r>
          </w:p>
        </w:tc>
        <w:tc>
          <w:tcPr>
            <w:tcW w:w="1060" w:type="dxa"/>
            <w:vAlign w:val="bottom"/>
            <w:tcBorders>
              <w:right w:val="single" w:sz="8" w:color="CCCCFF"/>
            </w:tcBorders>
            <w:gridSpan w:val="3"/>
            <w:shd w:val="clear" w:color="auto" w:fill="CCCCFF"/>
          </w:tcPr>
          <w:p>
            <w:pPr>
              <w:jc w:val="center"/>
              <w:ind w:left="241"/>
              <w:spacing w:after="0"/>
              <w:rPr>
                <w:sz w:val="20"/>
                <w:szCs w:val="20"/>
                <w:color w:val="auto"/>
              </w:rPr>
            </w:pPr>
            <w:r>
              <w:rPr>
                <w:rFonts w:ascii="Arial" w:cs="Arial" w:eastAsia="Arial" w:hAnsi="Arial"/>
                <w:sz w:val="20"/>
                <w:szCs w:val="20"/>
                <w:color w:val="0000FF"/>
                <w:w w:val="91"/>
              </w:rPr>
              <w:t>45.</w:t>
            </w:r>
            <w:r>
              <w:rPr>
                <w:rFonts w:ascii="Arial" w:cs="Arial" w:eastAsia="Arial" w:hAnsi="Arial"/>
                <w:sz w:val="20"/>
                <w:szCs w:val="20"/>
                <w:u w:val="single" w:color="auto"/>
                <w:color w:val="0000FF"/>
                <w:w w:val="91"/>
              </w:rPr>
              <w:t>000%</w:t>
            </w:r>
          </w:p>
        </w:tc>
        <w:tc>
          <w:tcPr>
            <w:tcW w:w="340" w:type="dxa"/>
            <w:vAlign w:val="bottom"/>
            <w:tcBorders>
              <w:left w:val="single" w:sz="8" w:color="CCCCFF"/>
            </w:tcBorders>
            <w:shd w:val="clear" w:color="auto" w:fill="CCCCFF"/>
          </w:tcPr>
          <w:p>
            <w:pPr>
              <w:spacing w:after="0"/>
              <w:rPr>
                <w:sz w:val="24"/>
                <w:szCs w:val="24"/>
                <w:color w:val="auto"/>
              </w:rPr>
            </w:pPr>
          </w:p>
        </w:tc>
        <w:tc>
          <w:tcPr>
            <w:tcW w:w="480" w:type="dxa"/>
            <w:vAlign w:val="bottom"/>
            <w:shd w:val="clear" w:color="auto" w:fill="CCCCFF"/>
          </w:tcPr>
          <w:p>
            <w:pPr>
              <w:spacing w:after="0"/>
              <w:rPr>
                <w:sz w:val="24"/>
                <w:szCs w:val="24"/>
                <w:color w:val="auto"/>
              </w:rPr>
            </w:pPr>
          </w:p>
        </w:tc>
        <w:tc>
          <w:tcPr>
            <w:tcW w:w="1140" w:type="dxa"/>
            <w:vAlign w:val="bottom"/>
            <w:shd w:val="clear" w:color="auto" w:fill="CCCCFF"/>
          </w:tcPr>
          <w:p>
            <w:pPr>
              <w:spacing w:after="0"/>
              <w:rPr>
                <w:sz w:val="24"/>
                <w:szCs w:val="24"/>
                <w:color w:val="auto"/>
              </w:rPr>
            </w:pPr>
          </w:p>
        </w:tc>
        <w:tc>
          <w:tcPr>
            <w:tcW w:w="20" w:type="dxa"/>
            <w:vAlign w:val="bottom"/>
            <w:shd w:val="clear" w:color="auto" w:fill="CCCCFF"/>
          </w:tcPr>
          <w:p>
            <w:pPr>
              <w:spacing w:after="0"/>
              <w:rPr>
                <w:sz w:val="24"/>
                <w:szCs w:val="24"/>
                <w:color w:val="auto"/>
              </w:rPr>
            </w:pPr>
          </w:p>
        </w:tc>
        <w:tc>
          <w:tcPr>
            <w:tcW w:w="940" w:type="dxa"/>
            <w:vAlign w:val="bottom"/>
            <w:shd w:val="clear" w:color="auto" w:fill="CCCCFF"/>
          </w:tcPr>
          <w:p>
            <w:pPr>
              <w:spacing w:after="0"/>
              <w:rPr>
                <w:sz w:val="24"/>
                <w:szCs w:val="24"/>
                <w:color w:val="auto"/>
              </w:rPr>
            </w:pPr>
          </w:p>
        </w:tc>
      </w:tr>
      <w:tr>
        <w:trPr>
          <w:trHeight w:val="210"/>
        </w:trPr>
        <w:tc>
          <w:tcPr>
            <w:tcW w:w="340" w:type="dxa"/>
            <w:vAlign w:val="bottom"/>
            <w:tcBorders>
              <w:top w:val="single" w:sz="8" w:color="C0C0C0"/>
            </w:tcBorders>
            <w:shd w:val="clear" w:color="auto" w:fill="FFCCCC"/>
          </w:tcPr>
          <w:p>
            <w:pPr>
              <w:spacing w:after="0"/>
              <w:rPr>
                <w:sz w:val="18"/>
                <w:szCs w:val="18"/>
                <w:color w:val="auto"/>
              </w:rPr>
            </w:pPr>
          </w:p>
        </w:tc>
        <w:tc>
          <w:tcPr>
            <w:tcW w:w="40" w:type="dxa"/>
            <w:vAlign w:val="bottom"/>
            <w:tcBorders>
              <w:top w:val="single" w:sz="8" w:color="C0C0C0"/>
            </w:tcBorders>
            <w:shd w:val="clear" w:color="auto" w:fill="FFCCCC"/>
          </w:tcPr>
          <w:p>
            <w:pPr>
              <w:spacing w:after="0"/>
              <w:rPr>
                <w:sz w:val="18"/>
                <w:szCs w:val="18"/>
                <w:color w:val="auto"/>
              </w:rPr>
            </w:pPr>
          </w:p>
        </w:tc>
        <w:tc>
          <w:tcPr>
            <w:tcW w:w="380" w:type="dxa"/>
            <w:vAlign w:val="bottom"/>
            <w:tcBorders>
              <w:top w:val="single" w:sz="8" w:color="C0C0C0"/>
            </w:tcBorders>
            <w:shd w:val="clear" w:color="auto" w:fill="FFCCCC"/>
          </w:tcPr>
          <w:p>
            <w:pPr>
              <w:spacing w:after="0"/>
              <w:rPr>
                <w:sz w:val="18"/>
                <w:szCs w:val="18"/>
                <w:color w:val="auto"/>
              </w:rPr>
            </w:pPr>
          </w:p>
        </w:tc>
        <w:tc>
          <w:tcPr>
            <w:tcW w:w="280" w:type="dxa"/>
            <w:vAlign w:val="bottom"/>
            <w:tcBorders>
              <w:top w:val="single" w:sz="8" w:color="C0C0C0"/>
            </w:tcBorders>
            <w:shd w:val="clear" w:color="auto" w:fill="FFCCCC"/>
          </w:tcPr>
          <w:p>
            <w:pPr>
              <w:spacing w:after="0"/>
              <w:rPr>
                <w:sz w:val="18"/>
                <w:szCs w:val="18"/>
                <w:color w:val="auto"/>
              </w:rPr>
            </w:pPr>
          </w:p>
        </w:tc>
        <w:tc>
          <w:tcPr>
            <w:tcW w:w="420" w:type="dxa"/>
            <w:vAlign w:val="bottom"/>
            <w:tcBorders>
              <w:top w:val="single" w:sz="8" w:color="C0C0C0"/>
            </w:tcBorders>
            <w:shd w:val="clear" w:color="auto" w:fill="FFCCCC"/>
          </w:tcPr>
          <w:p>
            <w:pPr>
              <w:spacing w:after="0"/>
              <w:rPr>
                <w:sz w:val="18"/>
                <w:szCs w:val="18"/>
                <w:color w:val="auto"/>
              </w:rPr>
            </w:pPr>
          </w:p>
        </w:tc>
        <w:tc>
          <w:tcPr>
            <w:tcW w:w="1180" w:type="dxa"/>
            <w:vAlign w:val="bottom"/>
            <w:tcBorders>
              <w:top w:val="single" w:sz="8" w:color="CCCCFF"/>
            </w:tcBorders>
          </w:tcPr>
          <w:p>
            <w:pPr>
              <w:spacing w:after="0"/>
              <w:rPr>
                <w:sz w:val="18"/>
                <w:szCs w:val="18"/>
                <w:color w:val="auto"/>
              </w:rPr>
            </w:pPr>
          </w:p>
        </w:tc>
        <w:tc>
          <w:tcPr>
            <w:tcW w:w="360" w:type="dxa"/>
            <w:vAlign w:val="bottom"/>
            <w:tcBorders>
              <w:top w:val="single" w:sz="8" w:color="CCCCFF"/>
            </w:tcBorders>
          </w:tcPr>
          <w:p>
            <w:pPr>
              <w:spacing w:after="0"/>
              <w:rPr>
                <w:sz w:val="18"/>
                <w:szCs w:val="18"/>
                <w:color w:val="auto"/>
              </w:rPr>
            </w:pPr>
          </w:p>
        </w:tc>
        <w:tc>
          <w:tcPr>
            <w:tcW w:w="180" w:type="dxa"/>
            <w:vAlign w:val="bottom"/>
            <w:tcBorders>
              <w:top w:val="single" w:sz="8" w:color="0000FF"/>
            </w:tcBorders>
          </w:tcPr>
          <w:p>
            <w:pPr>
              <w:spacing w:after="0"/>
              <w:rPr>
                <w:sz w:val="18"/>
                <w:szCs w:val="18"/>
                <w:color w:val="auto"/>
              </w:rPr>
            </w:pPr>
          </w:p>
        </w:tc>
        <w:tc>
          <w:tcPr>
            <w:tcW w:w="120" w:type="dxa"/>
            <w:vAlign w:val="bottom"/>
            <w:tcBorders>
              <w:top w:val="single" w:sz="8" w:color="CCCCFF"/>
            </w:tcBorders>
          </w:tcPr>
          <w:p>
            <w:pPr>
              <w:spacing w:after="0"/>
              <w:rPr>
                <w:sz w:val="18"/>
                <w:szCs w:val="18"/>
                <w:color w:val="auto"/>
              </w:rPr>
            </w:pPr>
          </w:p>
        </w:tc>
        <w:tc>
          <w:tcPr>
            <w:tcW w:w="40" w:type="dxa"/>
            <w:vAlign w:val="bottom"/>
            <w:tcBorders>
              <w:top w:val="single" w:sz="8" w:color="CCCCFF"/>
            </w:tcBorders>
          </w:tcPr>
          <w:p>
            <w:pPr>
              <w:spacing w:after="0"/>
              <w:rPr>
                <w:sz w:val="18"/>
                <w:szCs w:val="18"/>
                <w:color w:val="auto"/>
              </w:rPr>
            </w:pPr>
          </w:p>
        </w:tc>
        <w:tc>
          <w:tcPr>
            <w:tcW w:w="100" w:type="dxa"/>
            <w:vAlign w:val="bottom"/>
            <w:tcBorders>
              <w:top w:val="single" w:sz="8" w:color="CCCCFF"/>
            </w:tcBorders>
          </w:tcPr>
          <w:p>
            <w:pPr>
              <w:spacing w:after="0"/>
              <w:rPr>
                <w:sz w:val="18"/>
                <w:szCs w:val="18"/>
                <w:color w:val="auto"/>
              </w:rPr>
            </w:pPr>
          </w:p>
        </w:tc>
        <w:tc>
          <w:tcPr>
            <w:tcW w:w="60" w:type="dxa"/>
            <w:vAlign w:val="bottom"/>
            <w:tcBorders>
              <w:top w:val="single" w:sz="8" w:color="CCCCFF"/>
            </w:tcBorders>
          </w:tcPr>
          <w:p>
            <w:pPr>
              <w:spacing w:after="0"/>
              <w:rPr>
                <w:sz w:val="18"/>
                <w:szCs w:val="18"/>
                <w:color w:val="auto"/>
              </w:rPr>
            </w:pPr>
          </w:p>
        </w:tc>
        <w:tc>
          <w:tcPr>
            <w:tcW w:w="220" w:type="dxa"/>
            <w:vAlign w:val="bottom"/>
            <w:tcBorders>
              <w:top w:val="single" w:sz="8" w:color="CCCCFF"/>
            </w:tcBorders>
          </w:tcPr>
          <w:p>
            <w:pPr>
              <w:spacing w:after="0"/>
              <w:rPr>
                <w:sz w:val="18"/>
                <w:szCs w:val="18"/>
                <w:color w:val="auto"/>
              </w:rPr>
            </w:pPr>
          </w:p>
        </w:tc>
        <w:tc>
          <w:tcPr>
            <w:tcW w:w="1080" w:type="dxa"/>
            <w:vAlign w:val="bottom"/>
            <w:tcBorders>
              <w:top w:val="single" w:sz="8" w:color="0000FF"/>
            </w:tcBorders>
          </w:tcPr>
          <w:p>
            <w:pPr>
              <w:spacing w:after="0"/>
              <w:rPr>
                <w:sz w:val="18"/>
                <w:szCs w:val="18"/>
                <w:color w:val="auto"/>
              </w:rPr>
            </w:pPr>
          </w:p>
        </w:tc>
        <w:tc>
          <w:tcPr>
            <w:tcW w:w="160" w:type="dxa"/>
            <w:vAlign w:val="bottom"/>
            <w:tcBorders>
              <w:top w:val="single" w:sz="8" w:color="CCCCFF"/>
            </w:tcBorders>
          </w:tcPr>
          <w:p>
            <w:pPr>
              <w:spacing w:after="0"/>
              <w:rPr>
                <w:sz w:val="18"/>
                <w:szCs w:val="18"/>
                <w:color w:val="auto"/>
              </w:rPr>
            </w:pPr>
          </w:p>
        </w:tc>
        <w:tc>
          <w:tcPr>
            <w:tcW w:w="1260" w:type="dxa"/>
            <w:vAlign w:val="bottom"/>
            <w:tcBorders>
              <w:top w:val="single" w:sz="8" w:color="auto"/>
            </w:tcBorders>
          </w:tcPr>
          <w:p>
            <w:pPr>
              <w:jc w:val="right"/>
              <w:spacing w:after="0" w:line="209" w:lineRule="exact"/>
              <w:rPr>
                <w:sz w:val="20"/>
                <w:szCs w:val="20"/>
                <w:color w:val="auto"/>
              </w:rPr>
            </w:pPr>
            <w:r>
              <w:rPr>
                <w:rFonts w:ascii="Arial" w:cs="Arial" w:eastAsia="Arial" w:hAnsi="Arial"/>
                <w:sz w:val="20"/>
                <w:szCs w:val="20"/>
                <w:color w:val="FF0000"/>
                <w:strike w:val="1"/>
                <w:w w:val="89"/>
              </w:rPr>
              <w:t>$80,000,000.00</w:t>
            </w:r>
          </w:p>
        </w:tc>
        <w:tc>
          <w:tcPr>
            <w:tcW w:w="1140" w:type="dxa"/>
            <w:vAlign w:val="bottom"/>
            <w:tcBorders>
              <w:top w:val="single" w:sz="8" w:color="auto"/>
            </w:tcBorders>
            <w:gridSpan w:val="4"/>
          </w:tcPr>
          <w:p>
            <w:pPr>
              <w:jc w:val="right"/>
              <w:spacing w:after="0" w:line="209" w:lineRule="exact"/>
              <w:rPr>
                <w:sz w:val="20"/>
                <w:szCs w:val="20"/>
                <w:color w:val="auto"/>
              </w:rPr>
            </w:pPr>
            <w:r>
              <w:rPr>
                <w:rFonts w:ascii="Arial" w:cs="Arial" w:eastAsia="Arial" w:hAnsi="Arial"/>
                <w:sz w:val="20"/>
                <w:szCs w:val="20"/>
                <w:color w:val="0000FF"/>
                <w:w w:val="87"/>
              </w:rPr>
              <w:t>75,000,000.00</w:t>
            </w:r>
          </w:p>
        </w:tc>
        <w:tc>
          <w:tcPr>
            <w:tcW w:w="8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gridSpan w:val="3"/>
          </w:tcPr>
          <w:p>
            <w:pPr>
              <w:jc w:val="center"/>
              <w:ind w:left="161"/>
              <w:spacing w:after="0" w:line="209" w:lineRule="exact"/>
              <w:rPr>
                <w:sz w:val="20"/>
                <w:szCs w:val="20"/>
                <w:color w:val="auto"/>
              </w:rPr>
            </w:pPr>
            <w:r>
              <w:rPr>
                <w:rFonts w:ascii="Arial" w:cs="Arial" w:eastAsia="Arial" w:hAnsi="Arial"/>
                <w:sz w:val="20"/>
                <w:szCs w:val="20"/>
                <w:color w:val="auto"/>
                <w:w w:val="88"/>
              </w:rPr>
              <w:t>100.000%</w:t>
            </w:r>
          </w:p>
        </w:tc>
        <w:tc>
          <w:tcPr>
            <w:tcW w:w="340" w:type="dxa"/>
            <w:vAlign w:val="bottom"/>
            <w:tcBorders>
              <w:top w:val="single" w:sz="8" w:color="auto"/>
            </w:tcBorders>
          </w:tcPr>
          <w:p>
            <w:pPr>
              <w:spacing w:after="0"/>
              <w:rPr>
                <w:sz w:val="18"/>
                <w:szCs w:val="18"/>
                <w:color w:val="auto"/>
              </w:rPr>
            </w:pPr>
          </w:p>
        </w:tc>
        <w:tc>
          <w:tcPr>
            <w:tcW w:w="480" w:type="dxa"/>
            <w:vAlign w:val="bottom"/>
            <w:tcBorders>
              <w:top w:val="single" w:sz="8" w:color="CCCCFF"/>
            </w:tcBorders>
          </w:tcPr>
          <w:p>
            <w:pPr>
              <w:spacing w:after="0"/>
              <w:rPr>
                <w:sz w:val="18"/>
                <w:szCs w:val="18"/>
                <w:color w:val="auto"/>
              </w:rPr>
            </w:pPr>
          </w:p>
        </w:tc>
        <w:tc>
          <w:tcPr>
            <w:tcW w:w="1140" w:type="dxa"/>
            <w:vAlign w:val="bottom"/>
            <w:tcBorders>
              <w:top w:val="single" w:sz="8" w:color="CCCCFF"/>
            </w:tcBorders>
          </w:tcPr>
          <w:p>
            <w:pPr>
              <w:spacing w:after="0"/>
              <w:rPr>
                <w:sz w:val="18"/>
                <w:szCs w:val="18"/>
                <w:color w:val="auto"/>
              </w:rPr>
            </w:pPr>
          </w:p>
        </w:tc>
        <w:tc>
          <w:tcPr>
            <w:tcW w:w="20" w:type="dxa"/>
            <w:vAlign w:val="bottom"/>
            <w:tcBorders>
              <w:top w:val="single" w:sz="8" w:color="CCCCFF"/>
            </w:tcBorders>
          </w:tcPr>
          <w:p>
            <w:pPr>
              <w:spacing w:after="0"/>
              <w:rPr>
                <w:sz w:val="18"/>
                <w:szCs w:val="18"/>
                <w:color w:val="auto"/>
              </w:rPr>
            </w:pPr>
          </w:p>
        </w:tc>
        <w:tc>
          <w:tcPr>
            <w:tcW w:w="940" w:type="dxa"/>
            <w:vAlign w:val="bottom"/>
            <w:tcBorders>
              <w:top w:val="single" w:sz="8" w:color="CCCCFF"/>
            </w:tcBorders>
            <w:shd w:val="clear" w:color="auto" w:fill="CCCCFF"/>
          </w:tcPr>
          <w:p>
            <w:pPr>
              <w:spacing w:after="0"/>
              <w:rPr>
                <w:sz w:val="18"/>
                <w:szCs w:val="18"/>
                <w:color w:val="auto"/>
              </w:rPr>
            </w:pPr>
          </w:p>
        </w:tc>
      </w:tr>
      <w:tr>
        <w:trPr>
          <w:trHeight w:val="48"/>
        </w:trPr>
        <w:tc>
          <w:tcPr>
            <w:tcW w:w="340" w:type="dxa"/>
            <w:vAlign w:val="bottom"/>
            <w:tcBorders>
              <w:top w:val="single" w:sz="8" w:color="FFCCCC"/>
            </w:tcBorders>
            <w:shd w:val="clear" w:color="auto" w:fill="FFCCCC"/>
          </w:tcPr>
          <w:p>
            <w:pPr>
              <w:spacing w:after="0"/>
              <w:rPr>
                <w:sz w:val="4"/>
                <w:szCs w:val="4"/>
                <w:color w:val="auto"/>
              </w:rPr>
            </w:pPr>
          </w:p>
        </w:tc>
        <w:tc>
          <w:tcPr>
            <w:tcW w:w="40" w:type="dxa"/>
            <w:vAlign w:val="bottom"/>
            <w:tcBorders>
              <w:top w:val="single" w:sz="8" w:color="FFCCCC"/>
            </w:tcBorders>
            <w:shd w:val="clear" w:color="auto" w:fill="FFCCCC"/>
          </w:tcPr>
          <w:p>
            <w:pPr>
              <w:spacing w:after="0"/>
              <w:rPr>
                <w:sz w:val="4"/>
                <w:szCs w:val="4"/>
                <w:color w:val="auto"/>
              </w:rPr>
            </w:pPr>
          </w:p>
        </w:tc>
        <w:tc>
          <w:tcPr>
            <w:tcW w:w="380" w:type="dxa"/>
            <w:vAlign w:val="bottom"/>
            <w:tcBorders>
              <w:top w:val="single" w:sz="8" w:color="FFCCCC"/>
            </w:tcBorders>
            <w:shd w:val="clear" w:color="auto" w:fill="FFCCCC"/>
          </w:tcPr>
          <w:p>
            <w:pPr>
              <w:spacing w:after="0"/>
              <w:rPr>
                <w:sz w:val="4"/>
                <w:szCs w:val="4"/>
                <w:color w:val="auto"/>
              </w:rPr>
            </w:pPr>
          </w:p>
        </w:tc>
        <w:tc>
          <w:tcPr>
            <w:tcW w:w="280" w:type="dxa"/>
            <w:vAlign w:val="bottom"/>
            <w:tcBorders>
              <w:top w:val="single" w:sz="8" w:color="FFCCCC"/>
            </w:tcBorders>
            <w:shd w:val="clear" w:color="auto" w:fill="FFCCCC"/>
          </w:tcPr>
          <w:p>
            <w:pPr>
              <w:spacing w:after="0"/>
              <w:rPr>
                <w:sz w:val="4"/>
                <w:szCs w:val="4"/>
                <w:color w:val="auto"/>
              </w:rPr>
            </w:pPr>
          </w:p>
        </w:tc>
        <w:tc>
          <w:tcPr>
            <w:tcW w:w="420" w:type="dxa"/>
            <w:vAlign w:val="bottom"/>
            <w:tcBorders>
              <w:top w:val="single" w:sz="8" w:color="FFCCCC"/>
            </w:tcBorders>
            <w:shd w:val="clear" w:color="auto" w:fill="FFCCCC"/>
          </w:tcPr>
          <w:p>
            <w:pPr>
              <w:spacing w:after="0"/>
              <w:rPr>
                <w:sz w:val="4"/>
                <w:szCs w:val="4"/>
                <w:color w:val="auto"/>
              </w:rPr>
            </w:pPr>
          </w:p>
        </w:tc>
        <w:tc>
          <w:tcPr>
            <w:tcW w:w="1180" w:type="dxa"/>
            <w:vAlign w:val="bottom"/>
          </w:tcPr>
          <w:p>
            <w:pPr>
              <w:spacing w:after="0"/>
              <w:rPr>
                <w:sz w:val="4"/>
                <w:szCs w:val="4"/>
                <w:color w:val="auto"/>
              </w:rPr>
            </w:pPr>
          </w:p>
        </w:tc>
        <w:tc>
          <w:tcPr>
            <w:tcW w:w="360" w:type="dxa"/>
            <w:vAlign w:val="bottom"/>
          </w:tcPr>
          <w:p>
            <w:pPr>
              <w:spacing w:after="0"/>
              <w:rPr>
                <w:sz w:val="4"/>
                <w:szCs w:val="4"/>
                <w:color w:val="auto"/>
              </w:rPr>
            </w:pPr>
          </w:p>
        </w:tc>
        <w:tc>
          <w:tcPr>
            <w:tcW w:w="180" w:type="dxa"/>
            <w:vAlign w:val="bottom"/>
          </w:tcPr>
          <w:p>
            <w:pPr>
              <w:spacing w:after="0"/>
              <w:rPr>
                <w:sz w:val="4"/>
                <w:szCs w:val="4"/>
                <w:color w:val="auto"/>
              </w:rPr>
            </w:pPr>
          </w:p>
        </w:tc>
        <w:tc>
          <w:tcPr>
            <w:tcW w:w="120" w:type="dxa"/>
            <w:vAlign w:val="bottom"/>
          </w:tcPr>
          <w:p>
            <w:pPr>
              <w:spacing w:after="0"/>
              <w:rPr>
                <w:sz w:val="4"/>
                <w:szCs w:val="4"/>
                <w:color w:val="auto"/>
              </w:rPr>
            </w:pPr>
          </w:p>
        </w:tc>
        <w:tc>
          <w:tcPr>
            <w:tcW w:w="4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 w:type="dxa"/>
            <w:vAlign w:val="bottom"/>
          </w:tcPr>
          <w:p>
            <w:pPr>
              <w:spacing w:after="0"/>
              <w:rPr>
                <w:sz w:val="4"/>
                <w:szCs w:val="4"/>
                <w:color w:val="auto"/>
              </w:rPr>
            </w:pPr>
          </w:p>
        </w:tc>
        <w:tc>
          <w:tcPr>
            <w:tcW w:w="22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60" w:type="dxa"/>
            <w:vAlign w:val="bottom"/>
          </w:tcPr>
          <w:p>
            <w:pPr>
              <w:spacing w:after="0"/>
              <w:rPr>
                <w:sz w:val="4"/>
                <w:szCs w:val="4"/>
                <w:color w:val="auto"/>
              </w:rPr>
            </w:pPr>
          </w:p>
        </w:tc>
        <w:tc>
          <w:tcPr>
            <w:tcW w:w="1260" w:type="dxa"/>
            <w:vAlign w:val="bottom"/>
          </w:tcPr>
          <w:p>
            <w:pPr>
              <w:spacing w:after="0"/>
              <w:rPr>
                <w:sz w:val="4"/>
                <w:szCs w:val="4"/>
                <w:color w:val="auto"/>
              </w:rPr>
            </w:pPr>
          </w:p>
        </w:tc>
        <w:tc>
          <w:tcPr>
            <w:tcW w:w="60" w:type="dxa"/>
            <w:vAlign w:val="bottom"/>
            <w:tcBorders>
              <w:top w:val="single" w:sz="8" w:color="0000FF"/>
            </w:tcBorders>
          </w:tcPr>
          <w:p>
            <w:pPr>
              <w:spacing w:after="0"/>
              <w:rPr>
                <w:sz w:val="4"/>
                <w:szCs w:val="4"/>
                <w:color w:val="auto"/>
              </w:rPr>
            </w:pPr>
          </w:p>
        </w:tc>
        <w:tc>
          <w:tcPr>
            <w:tcW w:w="80" w:type="dxa"/>
            <w:vAlign w:val="bottom"/>
            <w:tcBorders>
              <w:top w:val="single" w:sz="8" w:color="0000FF"/>
            </w:tcBorders>
          </w:tcPr>
          <w:p>
            <w:pPr>
              <w:spacing w:after="0"/>
              <w:rPr>
                <w:sz w:val="4"/>
                <w:szCs w:val="4"/>
                <w:color w:val="auto"/>
              </w:rPr>
            </w:pPr>
          </w:p>
        </w:tc>
        <w:tc>
          <w:tcPr>
            <w:tcW w:w="100" w:type="dxa"/>
            <w:vAlign w:val="bottom"/>
            <w:tcBorders>
              <w:top w:val="single" w:sz="8" w:color="0000FF"/>
            </w:tcBorders>
          </w:tcPr>
          <w:p>
            <w:pPr>
              <w:spacing w:after="0"/>
              <w:rPr>
                <w:sz w:val="4"/>
                <w:szCs w:val="4"/>
                <w:color w:val="auto"/>
              </w:rPr>
            </w:pPr>
          </w:p>
        </w:tc>
        <w:tc>
          <w:tcPr>
            <w:tcW w:w="900" w:type="dxa"/>
            <w:vAlign w:val="bottom"/>
            <w:tcBorders>
              <w:top w:val="single" w:sz="8" w:color="0000FF"/>
            </w:tcBorders>
          </w:tcPr>
          <w:p>
            <w:pPr>
              <w:spacing w:after="0"/>
              <w:rPr>
                <w:sz w:val="4"/>
                <w:szCs w:val="4"/>
                <w:color w:val="auto"/>
              </w:rPr>
            </w:pPr>
          </w:p>
        </w:tc>
        <w:tc>
          <w:tcPr>
            <w:tcW w:w="80" w:type="dxa"/>
            <w:vAlign w:val="bottom"/>
          </w:tcPr>
          <w:p>
            <w:pPr>
              <w:spacing w:after="0"/>
              <w:rPr>
                <w:sz w:val="4"/>
                <w:szCs w:val="4"/>
                <w:color w:val="auto"/>
              </w:rPr>
            </w:pPr>
          </w:p>
        </w:tc>
        <w:tc>
          <w:tcPr>
            <w:tcW w:w="400" w:type="dxa"/>
            <w:vAlign w:val="bottom"/>
          </w:tcPr>
          <w:p>
            <w:pPr>
              <w:spacing w:after="0"/>
              <w:rPr>
                <w:sz w:val="4"/>
                <w:szCs w:val="4"/>
                <w:color w:val="auto"/>
              </w:rPr>
            </w:pPr>
          </w:p>
        </w:tc>
        <w:tc>
          <w:tcPr>
            <w:tcW w:w="260" w:type="dxa"/>
            <w:vAlign w:val="bottom"/>
          </w:tcPr>
          <w:p>
            <w:pPr>
              <w:spacing w:after="0"/>
              <w:rPr>
                <w:sz w:val="4"/>
                <w:szCs w:val="4"/>
                <w:color w:val="auto"/>
              </w:rPr>
            </w:pPr>
          </w:p>
        </w:tc>
        <w:tc>
          <w:tcPr>
            <w:tcW w:w="400" w:type="dxa"/>
            <w:vAlign w:val="bottom"/>
          </w:tcPr>
          <w:p>
            <w:pPr>
              <w:spacing w:after="0"/>
              <w:rPr>
                <w:sz w:val="4"/>
                <w:szCs w:val="4"/>
                <w:color w:val="auto"/>
              </w:rPr>
            </w:pPr>
          </w:p>
        </w:tc>
        <w:tc>
          <w:tcPr>
            <w:tcW w:w="340" w:type="dxa"/>
            <w:vAlign w:val="bottom"/>
          </w:tcPr>
          <w:p>
            <w:pPr>
              <w:spacing w:after="0"/>
              <w:rPr>
                <w:sz w:val="4"/>
                <w:szCs w:val="4"/>
                <w:color w:val="auto"/>
              </w:rPr>
            </w:pPr>
          </w:p>
        </w:tc>
        <w:tc>
          <w:tcPr>
            <w:tcW w:w="480" w:type="dxa"/>
            <w:vAlign w:val="bottom"/>
          </w:tcPr>
          <w:p>
            <w:pPr>
              <w:spacing w:after="0"/>
              <w:rPr>
                <w:sz w:val="4"/>
                <w:szCs w:val="4"/>
                <w:color w:val="auto"/>
              </w:rPr>
            </w:pPr>
          </w:p>
        </w:tc>
        <w:tc>
          <w:tcPr>
            <w:tcW w:w="1140" w:type="dxa"/>
            <w:vAlign w:val="bottom"/>
          </w:tcPr>
          <w:p>
            <w:pPr>
              <w:spacing w:after="0"/>
              <w:rPr>
                <w:sz w:val="4"/>
                <w:szCs w:val="4"/>
                <w:color w:val="auto"/>
              </w:rPr>
            </w:pPr>
          </w:p>
        </w:tc>
        <w:tc>
          <w:tcPr>
            <w:tcW w:w="20" w:type="dxa"/>
            <w:vAlign w:val="bottom"/>
          </w:tcPr>
          <w:p>
            <w:pPr>
              <w:spacing w:after="0"/>
              <w:rPr>
                <w:sz w:val="4"/>
                <w:szCs w:val="4"/>
                <w:color w:val="auto"/>
              </w:rPr>
            </w:pPr>
          </w:p>
        </w:tc>
        <w:tc>
          <w:tcPr>
            <w:tcW w:w="940" w:type="dxa"/>
            <w:vAlign w:val="bottom"/>
            <w:tcBorders>
              <w:top w:val="single" w:sz="8" w:color="CCCCFF"/>
            </w:tcBorders>
            <w:shd w:val="clear" w:color="auto" w:fill="CCCCFF"/>
          </w:tcPr>
          <w:p>
            <w:pPr>
              <w:spacing w:after="0"/>
              <w:rPr>
                <w:sz w:val="4"/>
                <w:szCs w:val="4"/>
                <w:color w:val="auto"/>
              </w:rPr>
            </w:pPr>
          </w:p>
        </w:tc>
      </w:tr>
    </w:tbl>
    <w:p>
      <w:pPr>
        <w:spacing w:after="0" w:line="240" w:lineRule="exact"/>
        <w:rPr>
          <w:sz w:val="20"/>
          <w:szCs w:val="20"/>
          <w:color w:val="auto"/>
        </w:rPr>
      </w:pPr>
    </w:p>
    <w:p>
      <w:pPr>
        <w:ind w:left="660"/>
        <w:spacing w:after="0"/>
        <w:tabs>
          <w:tab w:leader="none" w:pos="1160" w:val="left"/>
        </w:tabs>
        <w:rPr>
          <w:sz w:val="20"/>
          <w:szCs w:val="20"/>
          <w:color w:val="auto"/>
        </w:rPr>
      </w:pPr>
      <w:r>
        <w:rPr>
          <w:rFonts w:ascii="Arial" w:cs="Arial" w:eastAsia="Arial" w:hAnsi="Arial"/>
          <w:sz w:val="20"/>
          <w:szCs w:val="20"/>
          <w:color w:val="auto"/>
        </w:rPr>
        <w:t>2.06</w:t>
      </w:r>
      <w:r>
        <w:rPr>
          <w:sz w:val="20"/>
          <w:szCs w:val="20"/>
          <w:color w:val="auto"/>
        </w:rPr>
        <w:tab/>
      </w:r>
      <w:r>
        <w:rPr>
          <w:rFonts w:ascii="Arial" w:cs="Arial" w:eastAsia="Arial" w:hAnsi="Arial"/>
          <w:sz w:val="16"/>
          <w:szCs w:val="16"/>
          <w:u w:val="single" w:color="auto"/>
          <w:color w:val="auto"/>
        </w:rPr>
        <w:t>Prepayments</w:t>
      </w:r>
      <w:r>
        <w:rPr>
          <w:rFonts w:ascii="Arial" w:cs="Arial" w:eastAsia="Arial" w:hAnsi="Arial"/>
          <w:sz w:val="16"/>
          <w:szCs w:val="16"/>
          <w:color w:val="auto"/>
        </w:rPr>
        <w:t>.</w:t>
      </w: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97</w:t>
      </w:r>
    </w:p>
    <w:p>
      <w:pPr>
        <w:spacing w:after="0" w:line="10" w:lineRule="exact"/>
        <w:rPr>
          <w:sz w:val="20"/>
          <w:szCs w:val="20"/>
          <w:color w:val="auto"/>
        </w:rPr>
      </w:pPr>
    </w:p>
    <w:p>
      <w:pPr>
        <w:spacing w:after="0"/>
        <w:rPr>
          <w:sz w:val="20"/>
          <w:szCs w:val="20"/>
          <w:color w:val="auto"/>
        </w:rPr>
      </w:pPr>
      <w:r>
        <w:rPr>
          <w:rFonts w:ascii="Arial" w:cs="Arial" w:eastAsia="Arial" w:hAnsi="Arial"/>
          <w:sz w:val="14"/>
          <w:szCs w:val="14"/>
          <w:color w:val="auto"/>
        </w:rPr>
        <w:t>CHAR1\1346423v</w:t>
      </w:r>
      <w:r>
        <w:rPr>
          <w:rFonts w:ascii="Arial" w:cs="Arial" w:eastAsia="Arial" w:hAnsi="Arial"/>
          <w:sz w:val="14"/>
          <w:szCs w:val="14"/>
          <w:color w:val="FF0000"/>
          <w:strike w:val="1"/>
        </w:rPr>
        <w:t>1</w:t>
      </w:r>
      <w:r>
        <w:rPr>
          <w:rFonts w:ascii="Arial" w:cs="Arial" w:eastAsia="Arial" w:hAnsi="Arial"/>
          <w:sz w:val="14"/>
          <w:szCs w:val="14"/>
          <w:u w:val="single" w:color="auto"/>
          <w:color w:val="0000FF"/>
        </w:rPr>
        <w:t>12</w:t>
      </w:r>
    </w:p>
    <w:p>
      <w:pPr>
        <w:sectPr>
          <w:pgSz w:w="11900" w:h="16838" w:orient="portrait"/>
          <w:cols w:equalWidth="0" w:num="1">
            <w:col w:w="11420"/>
          </w:cols>
          <w:pgMar w:left="240" w:top="720" w:right="239" w:bottom="1440" w:gutter="0" w:footer="0" w:header="0"/>
        </w:sectPr>
      </w:pPr>
    </w:p>
    <w:bookmarkStart w:id="149" w:name="page150"/>
    <w:bookmarkEnd w:id="149"/>
    <w:p>
      <w:pPr>
        <w:ind w:left="660" w:right="200" w:firstLine="645"/>
        <w:spacing w:after="0" w:line="379" w:lineRule="auto"/>
        <w:tabs>
          <w:tab w:leader="none" w:pos="1708" w:val="left"/>
        </w:tabs>
        <w:numPr>
          <w:ilvl w:val="0"/>
          <w:numId w:val="117"/>
        </w:numPr>
        <w:rPr>
          <w:rFonts w:ascii="Arial" w:cs="Arial" w:eastAsia="Arial" w:hAnsi="Arial"/>
          <w:sz w:val="18"/>
          <w:szCs w:val="18"/>
          <w:color w:val="auto"/>
        </w:rPr>
      </w:pPr>
      <w:r>
        <w:rPr>
          <w:rFonts w:ascii="Arial" w:cs="Arial" w:eastAsia="Arial" w:hAnsi="Arial"/>
          <w:sz w:val="18"/>
          <w:szCs w:val="18"/>
          <w:u w:val="single" w:color="auto"/>
          <w:color w:val="auto"/>
        </w:rPr>
        <w:t>Voluntary Prepayments</w:t>
      </w:r>
      <w:r>
        <w:rPr>
          <w:rFonts w:ascii="Arial" w:cs="Arial" w:eastAsia="Arial" w:hAnsi="Arial"/>
          <w:sz w:val="18"/>
          <w:szCs w:val="18"/>
          <w:color w:val="auto"/>
        </w:rPr>
        <w:t xml:space="preserve">. The Loans may be repaid in whole or in part without premium or penalty (except, in the case of Loans other than Base Rate Loans and Floating Rate LIBOR Loans, amounts payable pursuant to </w:t>
      </w:r>
      <w:r>
        <w:rPr>
          <w:rFonts w:ascii="Arial" w:cs="Arial" w:eastAsia="Arial" w:hAnsi="Arial"/>
          <w:sz w:val="18"/>
          <w:szCs w:val="18"/>
          <w:u w:val="single" w:color="auto"/>
          <w:color w:val="auto"/>
        </w:rPr>
        <w:t>Section 3.05</w:t>
      </w:r>
      <w:r>
        <w:rPr>
          <w:rFonts w:ascii="Arial" w:cs="Arial" w:eastAsia="Arial" w:hAnsi="Arial"/>
          <w:sz w:val="18"/>
          <w:szCs w:val="18"/>
          <w:color w:val="auto"/>
        </w:rPr>
        <w:t xml:space="preserv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w:t>
      </w:r>
    </w:p>
    <w:p>
      <w:pPr>
        <w:spacing w:after="0" w:line="129" w:lineRule="exact"/>
        <w:rPr>
          <w:rFonts w:ascii="Arial" w:cs="Arial" w:eastAsia="Arial" w:hAnsi="Arial"/>
          <w:sz w:val="18"/>
          <w:szCs w:val="18"/>
          <w:color w:val="auto"/>
        </w:rPr>
      </w:pPr>
    </w:p>
    <w:p>
      <w:pPr>
        <w:ind w:left="1300" w:right="60" w:firstLine="653"/>
        <w:spacing w:after="0" w:line="373" w:lineRule="auto"/>
        <w:tabs>
          <w:tab w:leader="none" w:pos="2332" w:val="left"/>
        </w:tabs>
        <w:numPr>
          <w:ilvl w:val="1"/>
          <w:numId w:val="117"/>
        </w:numPr>
        <w:rPr>
          <w:rFonts w:ascii="Arial" w:cs="Arial" w:eastAsia="Arial" w:hAnsi="Arial"/>
          <w:sz w:val="18"/>
          <w:szCs w:val="18"/>
          <w:color w:val="auto"/>
        </w:rPr>
      </w:pPr>
      <w:r>
        <w:rPr>
          <w:rFonts w:ascii="Arial" w:cs="Arial" w:eastAsia="Arial" w:hAnsi="Arial"/>
          <w:sz w:val="17"/>
          <w:szCs w:val="17"/>
          <w:color w:val="auto"/>
        </w:rPr>
        <w:t>in the case of Loans other than Swingline Loans, (A) notice thereof must be received by 11:00 a.m. by the Administrative Agent at least three Business Days prior to the date of prepayment, in the case of Fixed LIBOR Rate Loans denominated in Dollars, (B) four Business Days (or five in the case of prepayment of Loans denominated in Special Notice Currencies) prior to any date of prepayment, in the case of Fixed LIBOR Rate Loans denominated in currencies other than Dollars, and (C) on the date of prepayment, in the case of Base Rate Loans and Floating LIBOR Rate Loans, and in each case, any such prepayment shall be a minimum principal amount of $5 million and integral multiples of $1 million in excess thereof, in the case of Fixed LIBOR Rate Loans and $500,000 and integral multiples of $100,000 in excess thereof, in the case of Base Rate Loans or Floating LIBOR Rate Loans, or, in each case, the entire remaining principal amount thereof, if less;</w:t>
      </w:r>
    </w:p>
    <w:p>
      <w:pPr>
        <w:spacing w:after="0" w:line="158" w:lineRule="exact"/>
        <w:rPr>
          <w:rFonts w:ascii="Arial" w:cs="Arial" w:eastAsia="Arial" w:hAnsi="Arial"/>
          <w:sz w:val="18"/>
          <w:szCs w:val="18"/>
          <w:color w:val="auto"/>
        </w:rPr>
      </w:pPr>
    </w:p>
    <w:p>
      <w:pPr>
        <w:ind w:left="1300" w:right="140" w:firstLine="653"/>
        <w:spacing w:after="0" w:line="311" w:lineRule="auto"/>
        <w:tabs>
          <w:tab w:leader="none" w:pos="2392" w:val="left"/>
        </w:tabs>
        <w:numPr>
          <w:ilvl w:val="1"/>
          <w:numId w:val="117"/>
        </w:numPr>
        <w:rPr>
          <w:rFonts w:ascii="Arial" w:cs="Arial" w:eastAsia="Arial" w:hAnsi="Arial"/>
          <w:sz w:val="22"/>
          <w:szCs w:val="22"/>
          <w:color w:val="auto"/>
        </w:rPr>
      </w:pPr>
      <w:r>
        <w:rPr>
          <w:rFonts w:ascii="Arial" w:cs="Arial" w:eastAsia="Arial" w:hAnsi="Arial"/>
          <w:sz w:val="20"/>
          <w:szCs w:val="20"/>
          <w:color w:val="auto"/>
        </w:rPr>
        <w:t>in the case of USD Swingline Loans, (A) notice thereof must be received by the USD Swingline Lender by 1:00 p.m. on the date of prepayment (with a copy to the Administrative Agent), and (B) any such prepayment shall be in the same minimum principal amounts as for advances thereof (or any lesser amount that may be acceptable to the USD Swingline Lender); and</w:t>
      </w:r>
    </w:p>
    <w:p>
      <w:pPr>
        <w:spacing w:after="0" w:line="196" w:lineRule="exact"/>
        <w:rPr>
          <w:rFonts w:ascii="Arial" w:cs="Arial" w:eastAsia="Arial" w:hAnsi="Arial"/>
          <w:sz w:val="22"/>
          <w:szCs w:val="22"/>
          <w:color w:val="auto"/>
        </w:rPr>
      </w:pPr>
    </w:p>
    <w:p>
      <w:pPr>
        <w:ind w:left="1300" w:firstLine="653"/>
        <w:spacing w:after="0" w:line="367" w:lineRule="auto"/>
        <w:tabs>
          <w:tab w:leader="none" w:pos="2452" w:val="left"/>
        </w:tabs>
        <w:numPr>
          <w:ilvl w:val="1"/>
          <w:numId w:val="117"/>
        </w:numPr>
        <w:rPr>
          <w:rFonts w:ascii="Arial" w:cs="Arial" w:eastAsia="Arial" w:hAnsi="Arial"/>
          <w:sz w:val="19"/>
          <w:szCs w:val="19"/>
          <w:color w:val="auto"/>
        </w:rPr>
      </w:pPr>
      <w:r>
        <w:rPr>
          <w:rFonts w:ascii="Arial" w:cs="Arial" w:eastAsia="Arial" w:hAnsi="Arial"/>
          <w:sz w:val="18"/>
          <w:szCs w:val="18"/>
          <w:color w:val="auto"/>
        </w:rPr>
        <w:t>in the case of European Swingline Loans, (A) notice thereof must be received by the European Swingline Lender by 10:00 a.m. (London time) on the date of prepayment, and (B) any such prepayment shall be in the same minimum principal amounts as for advances thereof (or lesser amount that may be acceptable to the European Swingline Lender);</w:t>
      </w:r>
    </w:p>
    <w:p>
      <w:pPr>
        <w:spacing w:after="0" w:line="153" w:lineRule="exact"/>
        <w:rPr>
          <w:rFonts w:ascii="Arial" w:cs="Arial" w:eastAsia="Arial" w:hAnsi="Arial"/>
          <w:sz w:val="19"/>
          <w:szCs w:val="19"/>
          <w:color w:val="auto"/>
        </w:rPr>
      </w:pPr>
    </w:p>
    <w:p>
      <w:pPr>
        <w:ind w:left="1300" w:firstLine="653"/>
        <w:spacing w:after="0" w:line="321" w:lineRule="auto"/>
        <w:tabs>
          <w:tab w:leader="none" w:pos="2440" w:val="left"/>
        </w:tabs>
        <w:numPr>
          <w:ilvl w:val="1"/>
          <w:numId w:val="117"/>
        </w:numPr>
        <w:rPr>
          <w:rFonts w:ascii="Arial" w:cs="Arial" w:eastAsia="Arial" w:hAnsi="Arial"/>
          <w:sz w:val="22"/>
          <w:szCs w:val="22"/>
          <w:color w:val="auto"/>
        </w:rPr>
      </w:pPr>
      <w:r>
        <w:rPr>
          <w:rFonts w:ascii="Arial" w:cs="Arial" w:eastAsia="Arial" w:hAnsi="Arial"/>
          <w:sz w:val="20"/>
          <w:szCs w:val="20"/>
          <w:color w:val="auto"/>
        </w:rPr>
        <w:t>any voluntary prepayments on the Term Loan A must be applied to the Term Loan A as the Borrower may direct, or, in the absence of such direction, pro rata to remaining principal amortization installments.</w:t>
      </w:r>
    </w:p>
    <w:p>
      <w:pPr>
        <w:spacing w:after="0" w:line="137" w:lineRule="exact"/>
        <w:rPr>
          <w:sz w:val="20"/>
          <w:szCs w:val="20"/>
          <w:color w:val="auto"/>
        </w:rPr>
      </w:pPr>
    </w:p>
    <w:p>
      <w:pPr>
        <w:ind w:right="80"/>
        <w:spacing w:after="0" w:line="259" w:lineRule="auto"/>
        <w:rPr>
          <w:sz w:val="20"/>
          <w:szCs w:val="20"/>
          <w:color w:val="auto"/>
        </w:rPr>
      </w:pPr>
      <w:r>
        <w:rPr>
          <w:rFonts w:ascii="Arial" w:cs="Arial" w:eastAsia="Arial" w:hAnsi="Arial"/>
          <w:sz w:val="19"/>
          <w:szCs w:val="19"/>
          <w:color w:val="auto"/>
        </w:rPr>
        <w:t xml:space="preserve">Each such notice of voluntary prepayment hereunder shall be irrevocable and shall specify the date and amount of prepayment and the Loans and Type(s) of Loans that are being prepaid and, if Fixed LIBOR Loans are to be prepaid, the Interest Period(s) of such Loans. The Administrative Agent will give prompt notice to the applicable Lenders of any prepayment on the Loans and the Lender’s interest therein. If such notice is given by a Borrower, such Borrower shall make such prepayment and the payment amount specified in such notice shall be due and payable on the date specified therein. Prepayments of Fixed LIBOR Rate Loans hereunder shall be accompanied by accrued interest on the amount prepaid and breakage or other amounts due, if any, under </w:t>
      </w:r>
      <w:r>
        <w:rPr>
          <w:rFonts w:ascii="Arial" w:cs="Arial" w:eastAsia="Arial" w:hAnsi="Arial"/>
          <w:sz w:val="19"/>
          <w:szCs w:val="19"/>
          <w:u w:val="single" w:color="auto"/>
          <w:color w:val="auto"/>
        </w:rPr>
        <w:t>Section 3.05</w:t>
      </w:r>
      <w:r>
        <w:rPr>
          <w:rFonts w:ascii="Arial" w:cs="Arial" w:eastAsia="Arial" w:hAnsi="Arial"/>
          <w:sz w:val="19"/>
          <w:szCs w:val="19"/>
          <w:color w:val="auto"/>
        </w:rPr>
        <w:t>.</w:t>
      </w:r>
    </w:p>
    <w:p>
      <w:pPr>
        <w:spacing w:after="0" w:line="206" w:lineRule="exact"/>
        <w:rPr>
          <w:sz w:val="20"/>
          <w:szCs w:val="20"/>
          <w:color w:val="auto"/>
        </w:rPr>
      </w:pPr>
    </w:p>
    <w:p>
      <w:pPr>
        <w:ind w:left="1300"/>
        <w:spacing w:after="0"/>
        <w:tabs>
          <w:tab w:leader="none" w:pos="1700" w:val="left"/>
        </w:tabs>
        <w:rPr>
          <w:sz w:val="20"/>
          <w:szCs w:val="20"/>
          <w:color w:val="auto"/>
        </w:rPr>
      </w:pPr>
      <w:r>
        <w:rPr>
          <w:rFonts w:ascii="Arial" w:cs="Arial" w:eastAsia="Arial" w:hAnsi="Arial"/>
          <w:sz w:val="20"/>
          <w:szCs w:val="20"/>
          <w:color w:val="auto"/>
        </w:rPr>
        <w:t>(b)</w:t>
      </w:r>
      <w:r>
        <w:rPr>
          <w:sz w:val="20"/>
          <w:szCs w:val="20"/>
          <w:color w:val="auto"/>
        </w:rPr>
        <w:tab/>
      </w:r>
      <w:r>
        <w:rPr>
          <w:rFonts w:ascii="Arial" w:cs="Arial" w:eastAsia="Arial" w:hAnsi="Arial"/>
          <w:sz w:val="16"/>
          <w:szCs w:val="16"/>
          <w:color w:val="auto"/>
        </w:rPr>
        <w:t>Mandatory Prepayments.</w:t>
      </w:r>
    </w:p>
    <w:p>
      <w:pPr>
        <w:spacing w:after="0" w:line="200" w:lineRule="exact"/>
        <w:rPr>
          <w:sz w:val="20"/>
          <w:szCs w:val="20"/>
          <w:color w:val="auto"/>
        </w:rPr>
      </w:pPr>
    </w:p>
    <w:p>
      <w:pPr>
        <w:spacing w:after="0" w:line="286"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98</w:t>
      </w:r>
    </w:p>
    <w:p>
      <w:pPr>
        <w:spacing w:after="0" w:line="10" w:lineRule="exact"/>
        <w:rPr>
          <w:sz w:val="20"/>
          <w:szCs w:val="20"/>
          <w:color w:val="auto"/>
        </w:rPr>
      </w:pPr>
    </w:p>
    <w:p>
      <w:pPr>
        <w:spacing w:after="0"/>
        <w:rPr>
          <w:sz w:val="20"/>
          <w:szCs w:val="20"/>
          <w:color w:val="auto"/>
        </w:rPr>
      </w:pPr>
      <w:r>
        <w:rPr>
          <w:rFonts w:ascii="Arial" w:cs="Arial" w:eastAsia="Arial" w:hAnsi="Arial"/>
          <w:sz w:val="14"/>
          <w:szCs w:val="14"/>
          <w:color w:val="auto"/>
        </w:rPr>
        <w:t>CHAR1\1346423v</w:t>
      </w:r>
      <w:r>
        <w:rPr>
          <w:rFonts w:ascii="Arial" w:cs="Arial" w:eastAsia="Arial" w:hAnsi="Arial"/>
          <w:sz w:val="14"/>
          <w:szCs w:val="14"/>
          <w:color w:val="FF0000"/>
          <w:strike w:val="1"/>
        </w:rPr>
        <w:t>1</w:t>
      </w:r>
      <w:r>
        <w:rPr>
          <w:rFonts w:ascii="Arial" w:cs="Arial" w:eastAsia="Arial" w:hAnsi="Arial"/>
          <w:sz w:val="14"/>
          <w:szCs w:val="14"/>
          <w:u w:val="single" w:color="auto"/>
          <w:color w:val="0000FF"/>
        </w:rPr>
        <w:t>12</w:t>
      </w:r>
    </w:p>
    <w:p>
      <w:pPr>
        <w:sectPr>
          <w:pgSz w:w="11900" w:h="16838" w:orient="portrait"/>
          <w:cols w:equalWidth="0" w:num="1">
            <w:col w:w="11420"/>
          </w:cols>
          <w:pgMar w:left="240" w:top="609" w:right="239" w:bottom="1440" w:gutter="0" w:footer="0" w:header="0"/>
        </w:sectPr>
      </w:pPr>
    </w:p>
    <w:bookmarkStart w:id="150" w:name="page151"/>
    <w:bookmarkEnd w:id="150"/>
    <w:p>
      <w:pPr>
        <w:ind w:left="1300" w:right="60" w:firstLine="653"/>
        <w:spacing w:after="0" w:line="327" w:lineRule="auto"/>
        <w:tabs>
          <w:tab w:leader="none" w:pos="2332" w:val="left"/>
        </w:tabs>
        <w:numPr>
          <w:ilvl w:val="1"/>
          <w:numId w:val="118"/>
        </w:numPr>
        <w:rPr>
          <w:rFonts w:ascii="Arial" w:cs="Arial" w:eastAsia="Arial" w:hAnsi="Arial"/>
          <w:sz w:val="21"/>
          <w:szCs w:val="21"/>
          <w:color w:val="auto"/>
        </w:rPr>
      </w:pPr>
      <w:r>
        <w:rPr>
          <w:rFonts w:ascii="Arial" w:cs="Arial" w:eastAsia="Arial" w:hAnsi="Arial"/>
          <w:sz w:val="19"/>
          <w:szCs w:val="19"/>
          <w:u w:val="single" w:color="auto"/>
          <w:color w:val="auto"/>
        </w:rPr>
        <w:t>Master Revolving Commitments</w:t>
      </w:r>
      <w:r>
        <w:rPr>
          <w:rFonts w:ascii="Arial" w:cs="Arial" w:eastAsia="Arial" w:hAnsi="Arial"/>
          <w:sz w:val="19"/>
          <w:szCs w:val="19"/>
          <w:color w:val="auto"/>
        </w:rPr>
        <w:t xml:space="preserve">. If at any time (A) the Outstanding Amount of Australian Revolving Obligations shall exceed the Aggregate Australian Revolving Committed Amount, (B) the Outstanding Amount of USD Revolving Obligations shall exceed the Aggregate USD Revolving Committed Amount, (C) the Outstanding Amount of European Revolving Obligations shall exceed the Aggregate European Revolving Committed Amount, (D) the Outstanding Amount of Master Revolving Loan Obligations shall exceed the Aggregate Master Revolving Committed Amount, (E) the Outstanding Amount of Master Swingline Obligations shall exceed the Master Swingline Sublimit, (F) the aggregate principal amount of Master Revolving Loan Obligations owing by any Designated Borrower shall exceed its respective Designated Borrowing Limit, (G) the Outstanding Amount of USD L/C Obligations shall exceed the USD L/C Sublimit, (H) the Outstanding Amount of USD Swingline Loans shall exceed the USD Swingline Sublimit or (I) the Outstanding Amount of European Swingline Loans shall exceed the European Swingline Sublimit, then the applicable Borrowers shall make an immediate prepayment on or in respect of the respective Revolving Loan Obligations in an amount equal to the difference;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however, that, except with respect to </w:t>
      </w:r>
      <w:r>
        <w:rPr>
          <w:rFonts w:ascii="Arial" w:cs="Arial" w:eastAsia="Arial" w:hAnsi="Arial"/>
          <w:sz w:val="19"/>
          <w:szCs w:val="19"/>
          <w:u w:val="single" w:color="auto"/>
          <w:color w:val="auto"/>
        </w:rPr>
        <w:t>clause (G</w:t>
      </w:r>
      <w:r>
        <w:rPr>
          <w:rFonts w:ascii="Arial" w:cs="Arial" w:eastAsia="Arial" w:hAnsi="Arial"/>
          <w:sz w:val="19"/>
          <w:szCs w:val="19"/>
          <w:color w:val="auto"/>
        </w:rPr>
        <w:t>), L/C Obligations will not be Cash Collateralized hereunder until the Revolving Loans and Swingline Loans in respect thereof have been paid in full.</w:t>
      </w:r>
    </w:p>
    <w:p>
      <w:pPr>
        <w:spacing w:after="0" w:line="190" w:lineRule="exact"/>
        <w:rPr>
          <w:rFonts w:ascii="Arial" w:cs="Arial" w:eastAsia="Arial" w:hAnsi="Arial"/>
          <w:sz w:val="21"/>
          <w:szCs w:val="21"/>
          <w:color w:val="auto"/>
        </w:rPr>
      </w:pPr>
    </w:p>
    <w:p>
      <w:pPr>
        <w:ind w:left="1300" w:right="40" w:firstLine="653"/>
        <w:spacing w:after="0" w:line="310" w:lineRule="auto"/>
        <w:tabs>
          <w:tab w:leader="none" w:pos="2392" w:val="left"/>
        </w:tabs>
        <w:numPr>
          <w:ilvl w:val="1"/>
          <w:numId w:val="118"/>
        </w:numPr>
        <w:rPr>
          <w:rFonts w:ascii="Arial" w:cs="Arial" w:eastAsia="Arial" w:hAnsi="Arial"/>
          <w:sz w:val="22"/>
          <w:szCs w:val="22"/>
          <w:color w:val="auto"/>
        </w:rPr>
      </w:pPr>
      <w:r>
        <w:rPr>
          <w:rFonts w:ascii="Arial" w:cs="Arial" w:eastAsia="Arial" w:hAnsi="Arial"/>
          <w:sz w:val="20"/>
          <w:szCs w:val="20"/>
          <w:u w:val="single" w:color="auto"/>
          <w:color w:val="auto"/>
        </w:rPr>
        <w:t>India Revolving Commitments</w:t>
      </w:r>
      <w:r>
        <w:rPr>
          <w:rFonts w:ascii="Arial" w:cs="Arial" w:eastAsia="Arial" w:hAnsi="Arial"/>
          <w:sz w:val="20"/>
          <w:szCs w:val="20"/>
          <w:color w:val="auto"/>
        </w:rPr>
        <w:t xml:space="preserve">. If at any time (A) the Outstanding Amount of India Obligations shall exceed the Aggregate India Revolving Committed Amount, (B) the aggregate principal amount of India Revolving Loan Obligations owing by any Designated Borrower shall exceed its respective Designated Borrowing Limit, or (C) the Outstanding Amount of India L/C Obligations shall exceed the India L/C Sublimit, then the India Borrower shall make an immediate prepayment on or in respect of the India Revolving Loan Obligations in an amount equal to the difference;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w:t>
      </w:r>
      <w:r>
        <w:rPr>
          <w:rFonts w:ascii="Arial" w:cs="Arial" w:eastAsia="Arial" w:hAnsi="Arial"/>
          <w:sz w:val="20"/>
          <w:szCs w:val="20"/>
          <w:u w:val="single" w:color="auto"/>
          <w:color w:val="auto"/>
        </w:rPr>
        <w:t>however</w:t>
      </w:r>
      <w:r>
        <w:rPr>
          <w:rFonts w:ascii="Arial" w:cs="Arial" w:eastAsia="Arial" w:hAnsi="Arial"/>
          <w:sz w:val="20"/>
          <w:szCs w:val="20"/>
          <w:color w:val="auto"/>
        </w:rPr>
        <w:t xml:space="preserve">, that except with respect to </w:t>
      </w:r>
      <w:r>
        <w:rPr>
          <w:rFonts w:ascii="Arial" w:cs="Arial" w:eastAsia="Arial" w:hAnsi="Arial"/>
          <w:sz w:val="20"/>
          <w:szCs w:val="20"/>
          <w:u w:val="single" w:color="auto"/>
          <w:color w:val="auto"/>
        </w:rPr>
        <w:t>clause (C)</w:t>
      </w:r>
      <w:r>
        <w:rPr>
          <w:rFonts w:ascii="Arial" w:cs="Arial" w:eastAsia="Arial" w:hAnsi="Arial"/>
          <w:sz w:val="20"/>
          <w:szCs w:val="20"/>
          <w:color w:val="auto"/>
        </w:rPr>
        <w:t>, India L/C Obligations will not be Cash Collateralized hereunder until the India Revolving Loans have been paid in full.</w:t>
      </w:r>
    </w:p>
    <w:p>
      <w:pPr>
        <w:spacing w:after="0" w:line="186" w:lineRule="exact"/>
        <w:rPr>
          <w:rFonts w:ascii="Arial" w:cs="Arial" w:eastAsia="Arial" w:hAnsi="Arial"/>
          <w:sz w:val="22"/>
          <w:szCs w:val="22"/>
          <w:color w:val="auto"/>
        </w:rPr>
      </w:pPr>
    </w:p>
    <w:p>
      <w:pPr>
        <w:ind w:left="660" w:right="300" w:firstLine="645"/>
        <w:spacing w:after="0" w:line="317" w:lineRule="auto"/>
        <w:tabs>
          <w:tab w:leader="none" w:pos="1708" w:val="left"/>
        </w:tabs>
        <w:numPr>
          <w:ilvl w:val="0"/>
          <w:numId w:val="119"/>
        </w:numPr>
        <w:rPr>
          <w:rFonts w:ascii="Arial" w:cs="Arial" w:eastAsia="Arial" w:hAnsi="Arial"/>
          <w:sz w:val="20"/>
          <w:szCs w:val="20"/>
          <w:color w:val="auto"/>
        </w:rPr>
      </w:pPr>
      <w:r>
        <w:rPr>
          <w:rFonts w:ascii="Arial" w:cs="Arial" w:eastAsia="Arial" w:hAnsi="Arial"/>
          <w:sz w:val="20"/>
          <w:szCs w:val="20"/>
          <w:u w:val="single" w:color="auto"/>
          <w:color w:val="auto"/>
        </w:rPr>
        <w:t>Application</w:t>
      </w:r>
      <w:r>
        <w:rPr>
          <w:rFonts w:ascii="Arial" w:cs="Arial" w:eastAsia="Arial" w:hAnsi="Arial"/>
          <w:sz w:val="20"/>
          <w:szCs w:val="20"/>
          <w:color w:val="auto"/>
        </w:rPr>
        <w:t>. Within each Loan, prepayments will be applied first to Base Rate Loans and Floating LIBOR Rate Loans, then to Fixed LIBOR Rate Loans in direct order of Interest Period maturities. In addition:</w:t>
      </w:r>
    </w:p>
    <w:p>
      <w:pPr>
        <w:spacing w:after="0" w:line="175" w:lineRule="exact"/>
        <w:rPr>
          <w:rFonts w:ascii="Arial" w:cs="Arial" w:eastAsia="Arial" w:hAnsi="Arial"/>
          <w:sz w:val="20"/>
          <w:szCs w:val="20"/>
          <w:color w:val="auto"/>
        </w:rPr>
      </w:pPr>
    </w:p>
    <w:p>
      <w:pPr>
        <w:ind w:left="1300" w:firstLine="653"/>
        <w:spacing w:after="0" w:line="359" w:lineRule="auto"/>
        <w:tabs>
          <w:tab w:leader="none" w:pos="2332" w:val="left"/>
        </w:tabs>
        <w:numPr>
          <w:ilvl w:val="1"/>
          <w:numId w:val="119"/>
        </w:numPr>
        <w:rPr>
          <w:rFonts w:ascii="Arial" w:cs="Arial" w:eastAsia="Arial" w:hAnsi="Arial"/>
          <w:sz w:val="19"/>
          <w:szCs w:val="19"/>
          <w:color w:val="auto"/>
        </w:rPr>
      </w:pPr>
      <w:r>
        <w:rPr>
          <w:rFonts w:ascii="Arial" w:cs="Arial" w:eastAsia="Arial" w:hAnsi="Arial"/>
          <w:sz w:val="18"/>
          <w:szCs w:val="18"/>
          <w:u w:val="single" w:color="auto"/>
          <w:color w:val="auto"/>
        </w:rPr>
        <w:t>Voluntary Prepayments</w:t>
      </w:r>
      <w:r>
        <w:rPr>
          <w:rFonts w:ascii="Arial" w:cs="Arial" w:eastAsia="Arial" w:hAnsi="Arial"/>
          <w:sz w:val="18"/>
          <w:szCs w:val="18"/>
          <w:color w:val="auto"/>
        </w:rPr>
        <w:t xml:space="preserve">. Voluntary prepayments shall be applied as specified by the Borrowers;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any voluntary prepayments on the Term Loan A shall be applied on the Term Loan A as the Borrower may direct, or, in the absence of any such direction, pro rata to remaining principal amortization installments. Voluntary prepayments on the Loan Obligations will be paid by the Administrative Agent to the Lenders ratably in accordance with their respective interests therein</w:t>
      </w:r>
    </w:p>
    <w:p>
      <w:pPr>
        <w:spacing w:after="0" w:line="162" w:lineRule="exact"/>
        <w:rPr>
          <w:rFonts w:ascii="Arial" w:cs="Arial" w:eastAsia="Arial" w:hAnsi="Arial"/>
          <w:sz w:val="19"/>
          <w:szCs w:val="19"/>
          <w:color w:val="auto"/>
        </w:rPr>
      </w:pPr>
    </w:p>
    <w:p>
      <w:pPr>
        <w:ind w:left="1300" w:right="320" w:firstLine="653"/>
        <w:spacing w:after="0" w:line="321" w:lineRule="auto"/>
        <w:tabs>
          <w:tab w:leader="none" w:pos="2392" w:val="left"/>
        </w:tabs>
        <w:numPr>
          <w:ilvl w:val="1"/>
          <w:numId w:val="119"/>
        </w:numPr>
        <w:rPr>
          <w:rFonts w:ascii="Arial" w:cs="Arial" w:eastAsia="Arial" w:hAnsi="Arial"/>
          <w:sz w:val="22"/>
          <w:szCs w:val="22"/>
          <w:color w:val="auto"/>
        </w:rPr>
      </w:pPr>
      <w:r>
        <w:rPr>
          <w:rFonts w:ascii="Arial" w:cs="Arial" w:eastAsia="Arial" w:hAnsi="Arial"/>
          <w:sz w:val="20"/>
          <w:szCs w:val="20"/>
          <w:u w:val="single" w:color="auto"/>
          <w:color w:val="auto"/>
        </w:rPr>
        <w:t>Mandatory Prepayments</w:t>
      </w:r>
      <w:r>
        <w:rPr>
          <w:rFonts w:ascii="Arial" w:cs="Arial" w:eastAsia="Arial" w:hAnsi="Arial"/>
          <w:sz w:val="20"/>
          <w:szCs w:val="20"/>
          <w:color w:val="auto"/>
        </w:rPr>
        <w:t xml:space="preserve">. Mandatory prepayments on the Loan Obligations will be paid by the Administrative Agent to the Lenders ratably in accordance with their respective interests therein;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w:t>
      </w:r>
    </w:p>
    <w:p>
      <w:pPr>
        <w:spacing w:after="0" w:line="38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99</w:t>
      </w:r>
    </w:p>
    <w:p>
      <w:pPr>
        <w:spacing w:after="0" w:line="10" w:lineRule="exact"/>
        <w:rPr>
          <w:sz w:val="20"/>
          <w:szCs w:val="20"/>
          <w:color w:val="auto"/>
        </w:rPr>
      </w:pPr>
    </w:p>
    <w:p>
      <w:pPr>
        <w:spacing w:after="0"/>
        <w:rPr>
          <w:sz w:val="20"/>
          <w:szCs w:val="20"/>
          <w:color w:val="auto"/>
        </w:rPr>
      </w:pPr>
      <w:r>
        <w:rPr>
          <w:rFonts w:ascii="Arial" w:cs="Arial" w:eastAsia="Arial" w:hAnsi="Arial"/>
          <w:sz w:val="14"/>
          <w:szCs w:val="14"/>
          <w:color w:val="auto"/>
        </w:rPr>
        <w:t>CHAR1\1346423v</w:t>
      </w:r>
      <w:r>
        <w:rPr>
          <w:rFonts w:ascii="Arial" w:cs="Arial" w:eastAsia="Arial" w:hAnsi="Arial"/>
          <w:sz w:val="14"/>
          <w:szCs w:val="14"/>
          <w:color w:val="FF0000"/>
          <w:strike w:val="1"/>
        </w:rPr>
        <w:t>1</w:t>
      </w:r>
      <w:r>
        <w:rPr>
          <w:rFonts w:ascii="Arial" w:cs="Arial" w:eastAsia="Arial" w:hAnsi="Arial"/>
          <w:sz w:val="14"/>
          <w:szCs w:val="14"/>
          <w:u w:val="single" w:color="auto"/>
          <w:color w:val="0000FF"/>
        </w:rPr>
        <w:t>12</w:t>
      </w:r>
    </w:p>
    <w:p>
      <w:pPr>
        <w:sectPr>
          <w:pgSz w:w="11900" w:h="16838" w:orient="portrait"/>
          <w:cols w:equalWidth="0" w:num="1">
            <w:col w:w="11420"/>
          </w:cols>
          <w:pgMar w:left="240" w:top="622" w:right="239" w:bottom="1440" w:gutter="0" w:footer="0" w:header="0"/>
        </w:sectPr>
      </w:pPr>
    </w:p>
    <w:bookmarkStart w:id="151" w:name="page152"/>
    <w:bookmarkEnd w:id="151"/>
    <w:p>
      <w:pPr>
        <w:ind w:left="1960" w:right="380" w:firstLine="641"/>
        <w:spacing w:after="0" w:line="321" w:lineRule="auto"/>
        <w:tabs>
          <w:tab w:leader="none" w:pos="3088" w:val="left"/>
        </w:tabs>
        <w:numPr>
          <w:ilvl w:val="0"/>
          <w:numId w:val="120"/>
        </w:numPr>
        <w:rPr>
          <w:rFonts w:ascii="Arial" w:cs="Arial" w:eastAsia="Arial" w:hAnsi="Arial"/>
          <w:sz w:val="22"/>
          <w:szCs w:val="22"/>
          <w:color w:val="auto"/>
        </w:rPr>
      </w:pPr>
      <w:r>
        <w:rPr>
          <w:rFonts w:ascii="Arial" w:cs="Arial" w:eastAsia="Arial" w:hAnsi="Arial"/>
          <w:sz w:val="20"/>
          <w:szCs w:val="20"/>
          <w:color w:val="auto"/>
        </w:rPr>
        <w:t xml:space="preserve">Mandatory prepayments in respect of the Revolving Commitments under </w:t>
      </w:r>
      <w:r>
        <w:rPr>
          <w:rFonts w:ascii="Arial" w:cs="Arial" w:eastAsia="Arial" w:hAnsi="Arial"/>
          <w:sz w:val="20"/>
          <w:szCs w:val="20"/>
          <w:u w:val="single" w:color="auto"/>
          <w:color w:val="auto"/>
        </w:rPr>
        <w:t>subsection (b)(i)(A)</w:t>
      </w:r>
      <w:r>
        <w:rPr>
          <w:rFonts w:ascii="Arial" w:cs="Arial" w:eastAsia="Arial" w:hAnsi="Arial"/>
          <w:sz w:val="20"/>
          <w:szCs w:val="20"/>
          <w:color w:val="auto"/>
        </w:rPr>
        <w:t xml:space="preserve"> above shall be applied to the respective Revolving Loan Obligations as appropriate.</w:t>
      </w:r>
    </w:p>
    <w:p>
      <w:pPr>
        <w:spacing w:after="0" w:line="177" w:lineRule="exact"/>
        <w:rPr>
          <w:rFonts w:ascii="Arial" w:cs="Arial" w:eastAsia="Arial" w:hAnsi="Arial"/>
          <w:sz w:val="22"/>
          <w:szCs w:val="22"/>
          <w:color w:val="auto"/>
        </w:rPr>
      </w:pPr>
    </w:p>
    <w:p>
      <w:pPr>
        <w:ind w:left="1960" w:right="460" w:firstLine="641"/>
        <w:spacing w:after="0" w:line="351" w:lineRule="auto"/>
        <w:tabs>
          <w:tab w:leader="none" w:pos="3076" w:val="left"/>
        </w:tabs>
        <w:numPr>
          <w:ilvl w:val="0"/>
          <w:numId w:val="120"/>
        </w:numPr>
        <w:rPr>
          <w:rFonts w:ascii="Arial" w:cs="Arial" w:eastAsia="Arial" w:hAnsi="Arial"/>
          <w:sz w:val="21"/>
          <w:szCs w:val="21"/>
          <w:color w:val="auto"/>
        </w:rPr>
      </w:pPr>
      <w:r>
        <w:rPr>
          <w:rFonts w:ascii="Arial" w:cs="Arial" w:eastAsia="Arial" w:hAnsi="Arial"/>
          <w:sz w:val="19"/>
          <w:szCs w:val="19"/>
          <w:color w:val="auto"/>
        </w:rPr>
        <w:t xml:space="preserve">Mandatory prepayments in respect of the India Revolving Commitments under </w:t>
      </w:r>
      <w:r>
        <w:rPr>
          <w:rFonts w:ascii="Arial" w:cs="Arial" w:eastAsia="Arial" w:hAnsi="Arial"/>
          <w:sz w:val="19"/>
          <w:szCs w:val="19"/>
          <w:u w:val="single" w:color="auto"/>
          <w:color w:val="auto"/>
        </w:rPr>
        <w:t>subsection (b)(i)(C)</w:t>
      </w:r>
      <w:r>
        <w:rPr>
          <w:rFonts w:ascii="Arial" w:cs="Arial" w:eastAsia="Arial" w:hAnsi="Arial"/>
          <w:sz w:val="19"/>
          <w:szCs w:val="19"/>
          <w:color w:val="auto"/>
        </w:rPr>
        <w:t xml:space="preserve"> above shall be applied to the respective India Revolving Loan Obligations, as appropriate.</w:t>
      </w:r>
    </w:p>
    <w:p>
      <w:pPr>
        <w:spacing w:after="0" w:line="138" w:lineRule="exact"/>
        <w:rPr>
          <w:sz w:val="20"/>
          <w:szCs w:val="20"/>
          <w:color w:val="auto"/>
        </w:rPr>
      </w:pPr>
    </w:p>
    <w:p>
      <w:pPr>
        <w:ind w:left="660"/>
        <w:spacing w:after="0"/>
        <w:tabs>
          <w:tab w:leader="none" w:pos="1160" w:val="left"/>
        </w:tabs>
        <w:rPr>
          <w:sz w:val="20"/>
          <w:szCs w:val="20"/>
          <w:color w:val="auto"/>
        </w:rPr>
      </w:pPr>
      <w:r>
        <w:rPr>
          <w:rFonts w:ascii="Arial" w:cs="Arial" w:eastAsia="Arial" w:hAnsi="Arial"/>
          <w:sz w:val="20"/>
          <w:szCs w:val="20"/>
          <w:color w:val="auto"/>
        </w:rPr>
        <w:t>2.07</w:t>
      </w:r>
      <w:r>
        <w:rPr>
          <w:sz w:val="20"/>
          <w:szCs w:val="20"/>
          <w:color w:val="auto"/>
        </w:rPr>
        <w:tab/>
      </w:r>
      <w:r>
        <w:rPr>
          <w:rFonts w:ascii="Arial" w:cs="Arial" w:eastAsia="Arial" w:hAnsi="Arial"/>
          <w:sz w:val="18"/>
          <w:szCs w:val="18"/>
          <w:u w:val="single" w:color="auto"/>
          <w:color w:val="auto"/>
        </w:rPr>
        <w:t>Termination or Reduction of Commitments</w:t>
      </w:r>
      <w:r>
        <w:rPr>
          <w:rFonts w:ascii="Arial" w:cs="Arial" w:eastAsia="Arial" w:hAnsi="Arial"/>
          <w:sz w:val="18"/>
          <w:szCs w:val="18"/>
          <w:color w:val="auto"/>
        </w:rPr>
        <w:t>.</w:t>
      </w:r>
    </w:p>
    <w:p>
      <w:pPr>
        <w:spacing w:after="0" w:line="270" w:lineRule="exact"/>
        <w:rPr>
          <w:sz w:val="20"/>
          <w:szCs w:val="20"/>
          <w:color w:val="auto"/>
        </w:rPr>
      </w:pPr>
    </w:p>
    <w:p>
      <w:pPr>
        <w:ind w:left="1700" w:hanging="395"/>
        <w:spacing w:after="0"/>
        <w:tabs>
          <w:tab w:leader="none" w:pos="1700" w:val="left"/>
        </w:tabs>
        <w:numPr>
          <w:ilvl w:val="0"/>
          <w:numId w:val="121"/>
        </w:numPr>
        <w:rPr>
          <w:rFonts w:ascii="Arial" w:cs="Arial" w:eastAsia="Arial" w:hAnsi="Arial"/>
          <w:sz w:val="18"/>
          <w:szCs w:val="18"/>
          <w:color w:val="auto"/>
        </w:rPr>
      </w:pPr>
      <w:r>
        <w:rPr>
          <w:rFonts w:ascii="Arial" w:cs="Arial" w:eastAsia="Arial" w:hAnsi="Arial"/>
          <w:sz w:val="18"/>
          <w:szCs w:val="18"/>
          <w:u w:val="single" w:color="auto"/>
          <w:color w:val="auto"/>
        </w:rPr>
        <w:t>Voluntary Reductions</w:t>
      </w:r>
      <w:r>
        <w:rPr>
          <w:rFonts w:ascii="Arial" w:cs="Arial" w:eastAsia="Arial" w:hAnsi="Arial"/>
          <w:sz w:val="18"/>
          <w:szCs w:val="18"/>
          <w:color w:val="auto"/>
        </w:rPr>
        <w:t>. The Commitments hereunder may be permanently reduced in whole or in part by notice from the</w:t>
      </w:r>
    </w:p>
    <w:p>
      <w:pPr>
        <w:spacing w:after="0" w:line="76" w:lineRule="exact"/>
        <w:rPr>
          <w:rFonts w:ascii="Arial" w:cs="Arial" w:eastAsia="Arial" w:hAnsi="Arial"/>
          <w:sz w:val="18"/>
          <w:szCs w:val="18"/>
          <w:color w:val="auto"/>
        </w:rPr>
      </w:pPr>
    </w:p>
    <w:p>
      <w:pPr>
        <w:ind w:left="660" w:right="80"/>
        <w:spacing w:after="0" w:line="319" w:lineRule="auto"/>
        <w:rPr>
          <w:rFonts w:ascii="Arial" w:cs="Arial" w:eastAsia="Arial" w:hAnsi="Arial"/>
          <w:sz w:val="18"/>
          <w:szCs w:val="18"/>
          <w:color w:val="auto"/>
        </w:rPr>
      </w:pPr>
      <w:r>
        <w:rPr>
          <w:rFonts w:ascii="Arial" w:cs="Arial" w:eastAsia="Arial" w:hAnsi="Arial"/>
          <w:sz w:val="18"/>
          <w:szCs w:val="18"/>
          <w:color w:val="auto"/>
        </w:rPr>
        <w:t xml:space="preserve">Borrowers to the Administrative Agent;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 any such notice thereof must be received by 11:00 a.m. at least five Business Days prior to the date of reduction or termination and any such prepayment shall be in a minimum principal amount of $5 million and integral multiples of $1 million in excess thereof; (ii) the Commitments may not be reduced to an amount less than the Loan Obligations then outstanding thereunder, and (iii) if, after giving effect to any reduction of the Aggregate Commitments, the L/C Sublimit, the Designated Borrower Limit or the Swingline Sublimit exceeds the amount of the Aggregate Commitments, such sublimit shall be automatically reduced by the amount of such excess. The Administrative Agent will give prompt notice to the Lenders of any such reduction in Commitments. Any reduction of the Aggregate Commitments shall be applied ratably to the Commitments of the respective Lenders, as appropriate. All commitment or other fees accrued with respect thereto through the effective date of any termination of the Aggregate Commitments shall be paid on the effective date of such termination.</w:t>
      </w:r>
    </w:p>
    <w:p>
      <w:pPr>
        <w:spacing w:after="0" w:line="170" w:lineRule="exact"/>
        <w:rPr>
          <w:rFonts w:ascii="Arial" w:cs="Arial" w:eastAsia="Arial" w:hAnsi="Arial"/>
          <w:sz w:val="18"/>
          <w:szCs w:val="18"/>
          <w:color w:val="auto"/>
        </w:rPr>
      </w:pPr>
    </w:p>
    <w:p>
      <w:pPr>
        <w:ind w:left="1720" w:hanging="415"/>
        <w:spacing w:after="0"/>
        <w:tabs>
          <w:tab w:leader="none" w:pos="1720" w:val="left"/>
        </w:tabs>
        <w:numPr>
          <w:ilvl w:val="0"/>
          <w:numId w:val="121"/>
        </w:numPr>
        <w:rPr>
          <w:rFonts w:ascii="Arial" w:cs="Arial" w:eastAsia="Arial" w:hAnsi="Arial"/>
          <w:sz w:val="19"/>
          <w:szCs w:val="19"/>
          <w:color w:val="auto"/>
        </w:rPr>
      </w:pPr>
      <w:r>
        <w:rPr>
          <w:rFonts w:ascii="Arial" w:cs="Arial" w:eastAsia="Arial" w:hAnsi="Arial"/>
          <w:sz w:val="19"/>
          <w:szCs w:val="19"/>
          <w:u w:val="single" w:color="auto"/>
          <w:color w:val="auto"/>
        </w:rPr>
        <w:t>Mandatory Reductions</w:t>
      </w:r>
      <w:r>
        <w:rPr>
          <w:rFonts w:ascii="Arial" w:cs="Arial" w:eastAsia="Arial" w:hAnsi="Arial"/>
          <w:sz w:val="19"/>
          <w:szCs w:val="19"/>
          <w:color w:val="auto"/>
        </w:rPr>
        <w:t>. Unless waived or modified by the Required USD Revolving Lenders, each of the Aggregate</w:t>
      </w:r>
    </w:p>
    <w:p>
      <w:pPr>
        <w:spacing w:after="0" w:line="65" w:lineRule="exact"/>
        <w:rPr>
          <w:rFonts w:ascii="Arial" w:cs="Arial" w:eastAsia="Arial" w:hAnsi="Arial"/>
          <w:sz w:val="19"/>
          <w:szCs w:val="19"/>
          <w:color w:val="auto"/>
        </w:rPr>
      </w:pPr>
    </w:p>
    <w:p>
      <w:pPr>
        <w:ind w:left="660" w:right="220"/>
        <w:spacing w:after="0" w:line="305" w:lineRule="auto"/>
        <w:rPr>
          <w:rFonts w:ascii="Arial" w:cs="Arial" w:eastAsia="Arial" w:hAnsi="Arial"/>
          <w:sz w:val="19"/>
          <w:szCs w:val="19"/>
          <w:color w:val="auto"/>
        </w:rPr>
      </w:pPr>
      <w:r>
        <w:rPr>
          <w:rFonts w:ascii="Arial" w:cs="Arial" w:eastAsia="Arial" w:hAnsi="Arial"/>
          <w:sz w:val="19"/>
          <w:szCs w:val="19"/>
          <w:color w:val="auto"/>
        </w:rPr>
        <w:t>Australian Revolving Committed Amount, the Aggregate USD Revolving Committed Amount, the Aggregate European Revolving Committed Amount and the Aggregate Master Revolving Committed Amount will be permanently reduced in an amount equal to, at any time, 100% of the Attributable Principal Amount of any Securitization Transaction (including, for purposes hereof, unfunded or undrawn commitments), net of costs associated with closing and taking into account reserve amounts and residual investments, as appropriate determined by the Administrative Agent in its reasonable discretion..</w:t>
      </w:r>
    </w:p>
    <w:p>
      <w:pPr>
        <w:spacing w:after="0" w:line="178" w:lineRule="exact"/>
        <w:rPr>
          <w:sz w:val="20"/>
          <w:szCs w:val="20"/>
          <w:color w:val="auto"/>
        </w:rPr>
      </w:pPr>
    </w:p>
    <w:p>
      <w:pPr>
        <w:ind w:left="660"/>
        <w:spacing w:after="0"/>
        <w:tabs>
          <w:tab w:leader="none" w:pos="1160" w:val="left"/>
        </w:tabs>
        <w:rPr>
          <w:sz w:val="20"/>
          <w:szCs w:val="20"/>
          <w:color w:val="auto"/>
        </w:rPr>
      </w:pPr>
      <w:r>
        <w:rPr>
          <w:rFonts w:ascii="Arial" w:cs="Arial" w:eastAsia="Arial" w:hAnsi="Arial"/>
          <w:sz w:val="20"/>
          <w:szCs w:val="20"/>
          <w:color w:val="auto"/>
        </w:rPr>
        <w:t>2.08</w:t>
      </w:r>
      <w:r>
        <w:rPr>
          <w:sz w:val="20"/>
          <w:szCs w:val="20"/>
          <w:color w:val="auto"/>
        </w:rPr>
        <w:tab/>
      </w:r>
      <w:r>
        <w:rPr>
          <w:rFonts w:ascii="Arial" w:cs="Arial" w:eastAsia="Arial" w:hAnsi="Arial"/>
          <w:sz w:val="16"/>
          <w:szCs w:val="16"/>
          <w:u w:val="single" w:color="auto"/>
          <w:color w:val="auto"/>
        </w:rPr>
        <w:t>Interest</w:t>
      </w:r>
      <w:r>
        <w:rPr>
          <w:rFonts w:ascii="Arial" w:cs="Arial" w:eastAsia="Arial" w:hAnsi="Arial"/>
          <w:sz w:val="16"/>
          <w:szCs w:val="16"/>
          <w:color w:val="auto"/>
        </w:rPr>
        <w:t>.</w:t>
      </w:r>
    </w:p>
    <w:p>
      <w:pPr>
        <w:spacing w:after="0" w:line="270" w:lineRule="exact"/>
        <w:rPr>
          <w:sz w:val="20"/>
          <w:szCs w:val="20"/>
          <w:color w:val="auto"/>
        </w:rPr>
      </w:pPr>
    </w:p>
    <w:p>
      <w:pPr>
        <w:ind w:left="1700" w:hanging="395"/>
        <w:spacing w:after="0"/>
        <w:tabs>
          <w:tab w:leader="none" w:pos="1700" w:val="left"/>
        </w:tabs>
        <w:numPr>
          <w:ilvl w:val="0"/>
          <w:numId w:val="122"/>
        </w:numPr>
        <w:rPr>
          <w:rFonts w:ascii="Arial" w:cs="Arial" w:eastAsia="Arial" w:hAnsi="Arial"/>
          <w:sz w:val="18"/>
          <w:szCs w:val="18"/>
          <w:color w:val="auto"/>
        </w:rPr>
      </w:pPr>
      <w:r>
        <w:rPr>
          <w:rFonts w:ascii="Arial" w:cs="Arial" w:eastAsia="Arial" w:hAnsi="Arial"/>
          <w:sz w:val="18"/>
          <w:szCs w:val="18"/>
          <w:color w:val="auto"/>
        </w:rPr>
        <w:t xml:space="preserve">Subject to the provisions of </w:t>
      </w:r>
      <w:r>
        <w:rPr>
          <w:rFonts w:ascii="Arial" w:cs="Arial" w:eastAsia="Arial" w:hAnsi="Arial"/>
          <w:sz w:val="18"/>
          <w:szCs w:val="18"/>
          <w:u w:val="single" w:color="auto"/>
          <w:color w:val="auto"/>
        </w:rPr>
        <w:t>subsection (b)</w:t>
      </w:r>
      <w:r>
        <w:rPr>
          <w:rFonts w:ascii="Arial" w:cs="Arial" w:eastAsia="Arial" w:hAnsi="Arial"/>
          <w:sz w:val="18"/>
          <w:szCs w:val="18"/>
          <w:color w:val="auto"/>
        </w:rPr>
        <w:t xml:space="preserve"> below, (i) each Fixed LIBOR Rate Loan shall bear interest on the outstanding</w:t>
      </w:r>
    </w:p>
    <w:p>
      <w:pPr>
        <w:spacing w:after="0" w:line="76" w:lineRule="exact"/>
        <w:rPr>
          <w:rFonts w:ascii="Arial" w:cs="Arial" w:eastAsia="Arial" w:hAnsi="Arial"/>
          <w:sz w:val="18"/>
          <w:szCs w:val="18"/>
          <w:color w:val="auto"/>
        </w:rPr>
      </w:pPr>
    </w:p>
    <w:p>
      <w:pPr>
        <w:ind w:left="660"/>
        <w:spacing w:after="0" w:line="305" w:lineRule="auto"/>
        <w:rPr>
          <w:rFonts w:ascii="Arial" w:cs="Arial" w:eastAsia="Arial" w:hAnsi="Arial"/>
          <w:sz w:val="18"/>
          <w:szCs w:val="18"/>
          <w:color w:val="auto"/>
        </w:rPr>
      </w:pPr>
      <w:r>
        <w:rPr>
          <w:rFonts w:ascii="Arial" w:cs="Arial" w:eastAsia="Arial" w:hAnsi="Arial"/>
          <w:sz w:val="19"/>
          <w:szCs w:val="19"/>
          <w:color w:val="auto"/>
        </w:rPr>
        <w:t xml:space="preserve">principal amount thereof for each Interest Period at a rate per annum equal to the Fixed LIBOR Rate for such Interest Period </w:t>
      </w:r>
      <w:r>
        <w:rPr>
          <w:rFonts w:ascii="Arial" w:cs="Arial" w:eastAsia="Arial" w:hAnsi="Arial"/>
          <w:sz w:val="19"/>
          <w:szCs w:val="19"/>
          <w:u w:val="single" w:color="auto"/>
          <w:color w:val="auto"/>
        </w:rPr>
        <w:t>plus</w:t>
      </w:r>
      <w:r>
        <w:rPr>
          <w:rFonts w:ascii="Arial" w:cs="Arial" w:eastAsia="Arial" w:hAnsi="Arial"/>
          <w:sz w:val="19"/>
          <w:szCs w:val="19"/>
          <w:color w:val="auto"/>
        </w:rPr>
        <w:t xml:space="preserve"> the Applicable Percentage </w:t>
      </w:r>
      <w:r>
        <w:rPr>
          <w:rFonts w:ascii="Arial" w:cs="Arial" w:eastAsia="Arial" w:hAnsi="Arial"/>
          <w:sz w:val="19"/>
          <w:szCs w:val="19"/>
          <w:u w:val="single" w:color="auto"/>
          <w:color w:val="FF0000"/>
          <w:strike w:val="1"/>
        </w:rPr>
        <w:t>plus</w:t>
      </w:r>
      <w:r>
        <w:rPr>
          <w:rFonts w:ascii="Arial" w:cs="Arial" w:eastAsia="Arial" w:hAnsi="Arial"/>
          <w:sz w:val="19"/>
          <w:szCs w:val="19"/>
          <w:color w:val="auto"/>
        </w:rPr>
        <w:t xml:space="preserve"> </w:t>
      </w:r>
      <w:r>
        <w:rPr>
          <w:rFonts w:ascii="Arial" w:cs="Arial" w:eastAsia="Arial" w:hAnsi="Arial"/>
          <w:sz w:val="19"/>
          <w:szCs w:val="19"/>
          <w:color w:val="FF0000"/>
          <w:strike w:val="1"/>
        </w:rPr>
        <w:t>(in the case of a Fixed LIBOR Rate Loan of any Lender which is lent from a Lending Office in the United</w:t>
      </w:r>
      <w:r>
        <w:rPr>
          <w:rFonts w:ascii="Arial" w:cs="Arial" w:eastAsia="Arial" w:hAnsi="Arial"/>
          <w:sz w:val="19"/>
          <w:szCs w:val="19"/>
          <w:color w:val="auto"/>
        </w:rPr>
        <w:t xml:space="preserve"> </w:t>
      </w:r>
      <w:r>
        <w:rPr>
          <w:rFonts w:ascii="Arial" w:cs="Arial" w:eastAsia="Arial" w:hAnsi="Arial"/>
          <w:sz w:val="19"/>
          <w:szCs w:val="19"/>
          <w:color w:val="FF0000"/>
          <w:strike w:val="1"/>
        </w:rPr>
        <w:t>Kingdom or a Participating Member State) the Mandatory Cost</w:t>
      </w:r>
      <w:r>
        <w:rPr>
          <w:rFonts w:ascii="Arial" w:cs="Arial" w:eastAsia="Arial" w:hAnsi="Arial"/>
          <w:sz w:val="19"/>
          <w:szCs w:val="19"/>
          <w:color w:val="000000"/>
        </w:rPr>
        <w:t>; (ii) each Floating Rate LIBOR Loan shall bear interest on the</w:t>
      </w:r>
      <w:r>
        <w:rPr>
          <w:rFonts w:ascii="Arial" w:cs="Arial" w:eastAsia="Arial" w:hAnsi="Arial"/>
          <w:sz w:val="19"/>
          <w:szCs w:val="19"/>
          <w:color w:val="FF0000"/>
        </w:rPr>
        <w:t xml:space="preserve"> </w:t>
      </w:r>
      <w:r>
        <w:rPr>
          <w:rFonts w:ascii="Arial" w:cs="Arial" w:eastAsia="Arial" w:hAnsi="Arial"/>
          <w:sz w:val="19"/>
          <w:szCs w:val="19"/>
          <w:color w:val="000000"/>
        </w:rPr>
        <w:t>outstanding principal amount thereof from the applicable borrowing date at a rate per annum equal to the Floating LIBOR Rate plus the Applicable Percentage, (iii) each Loan that is a Base Rate Loan (including USD Swingline</w:t>
      </w:r>
    </w:p>
    <w:p>
      <w:pPr>
        <w:spacing w:after="0" w:line="394"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100</w:t>
      </w:r>
    </w:p>
    <w:p>
      <w:pPr>
        <w:spacing w:after="0" w:line="10" w:lineRule="exact"/>
        <w:rPr>
          <w:sz w:val="20"/>
          <w:szCs w:val="20"/>
          <w:color w:val="auto"/>
        </w:rPr>
      </w:pPr>
    </w:p>
    <w:p>
      <w:pPr>
        <w:spacing w:after="0"/>
        <w:rPr>
          <w:sz w:val="20"/>
          <w:szCs w:val="20"/>
          <w:color w:val="auto"/>
        </w:rPr>
      </w:pPr>
      <w:r>
        <w:rPr>
          <w:rFonts w:ascii="Arial" w:cs="Arial" w:eastAsia="Arial" w:hAnsi="Arial"/>
          <w:sz w:val="14"/>
          <w:szCs w:val="14"/>
          <w:color w:val="auto"/>
        </w:rPr>
        <w:t>CHAR1\1346423v</w:t>
      </w:r>
      <w:r>
        <w:rPr>
          <w:rFonts w:ascii="Arial" w:cs="Arial" w:eastAsia="Arial" w:hAnsi="Arial"/>
          <w:sz w:val="14"/>
          <w:szCs w:val="14"/>
          <w:color w:val="FF0000"/>
          <w:strike w:val="1"/>
        </w:rPr>
        <w:t>1</w:t>
      </w:r>
      <w:r>
        <w:rPr>
          <w:rFonts w:ascii="Arial" w:cs="Arial" w:eastAsia="Arial" w:hAnsi="Arial"/>
          <w:sz w:val="14"/>
          <w:szCs w:val="14"/>
          <w:u w:val="single" w:color="auto"/>
          <w:color w:val="0000FF"/>
        </w:rPr>
        <w:t>12</w:t>
      </w:r>
    </w:p>
    <w:p>
      <w:pPr>
        <w:sectPr>
          <w:pgSz w:w="11900" w:h="16838" w:orient="portrait"/>
          <w:cols w:equalWidth="0" w:num="1">
            <w:col w:w="11400"/>
          </w:cols>
          <w:pgMar w:left="240" w:top="622" w:right="259" w:bottom="1440" w:gutter="0" w:footer="0" w:header="0"/>
        </w:sectPr>
      </w:pPr>
    </w:p>
    <w:bookmarkStart w:id="152" w:name="page153"/>
    <w:bookmarkEnd w:id="152"/>
    <w:p>
      <w:pPr>
        <w:jc w:val="both"/>
        <w:ind w:left="660" w:right="100"/>
        <w:spacing w:after="0" w:line="288" w:lineRule="auto"/>
        <w:rPr>
          <w:sz w:val="20"/>
          <w:szCs w:val="20"/>
          <w:color w:val="auto"/>
        </w:rPr>
      </w:pPr>
      <w:r>
        <w:rPr>
          <w:rFonts w:ascii="Arial" w:cs="Arial" w:eastAsia="Arial" w:hAnsi="Arial"/>
          <w:sz w:val="20"/>
          <w:szCs w:val="20"/>
          <w:color w:val="auto"/>
        </w:rPr>
        <w:t xml:space="preserve">Loans) shall bear interest on the outstanding principal amount thereof from the applicable borrowing date at a rate per annum equal to the Base Rate </w:t>
      </w:r>
      <w:r>
        <w:rPr>
          <w:rFonts w:ascii="Arial" w:cs="Arial" w:eastAsia="Arial" w:hAnsi="Arial"/>
          <w:sz w:val="20"/>
          <w:szCs w:val="20"/>
          <w:u w:val="single" w:color="auto"/>
          <w:color w:val="auto"/>
        </w:rPr>
        <w:t>plus</w:t>
      </w:r>
      <w:r>
        <w:rPr>
          <w:rFonts w:ascii="Arial" w:cs="Arial" w:eastAsia="Arial" w:hAnsi="Arial"/>
          <w:sz w:val="20"/>
          <w:szCs w:val="20"/>
          <w:color w:val="auto"/>
        </w:rPr>
        <w:t xml:space="preserve"> the Applicable Percentage; and (iv) each European Swingline Loan shall bear interest on the outstanding principal amount thereof from the applicable borrowing date at a rate per annum equal to the Overnight Rate </w:t>
      </w:r>
      <w:r>
        <w:rPr>
          <w:rFonts w:ascii="Arial" w:cs="Arial" w:eastAsia="Arial" w:hAnsi="Arial"/>
          <w:sz w:val="20"/>
          <w:szCs w:val="20"/>
          <w:u w:val="single" w:color="auto"/>
          <w:color w:val="auto"/>
        </w:rPr>
        <w:t>plus</w:t>
      </w:r>
      <w:r>
        <w:rPr>
          <w:rFonts w:ascii="Arial" w:cs="Arial" w:eastAsia="Arial" w:hAnsi="Arial"/>
          <w:sz w:val="20"/>
          <w:szCs w:val="20"/>
          <w:color w:val="auto"/>
        </w:rPr>
        <w:t xml:space="preserve"> the Applicable Percentage for Fixed LIBOR Rate Loans.</w:t>
      </w:r>
    </w:p>
    <w:p>
      <w:pPr>
        <w:spacing w:after="0" w:line="193" w:lineRule="exact"/>
        <w:rPr>
          <w:sz w:val="20"/>
          <w:szCs w:val="20"/>
          <w:color w:val="auto"/>
        </w:rPr>
      </w:pPr>
    </w:p>
    <w:p>
      <w:pPr>
        <w:ind w:left="1720" w:hanging="415"/>
        <w:spacing w:after="0"/>
        <w:tabs>
          <w:tab w:leader="none" w:pos="1720" w:val="left"/>
        </w:tabs>
        <w:numPr>
          <w:ilvl w:val="0"/>
          <w:numId w:val="123"/>
        </w:numPr>
        <w:rPr>
          <w:rFonts w:ascii="Arial" w:cs="Arial" w:eastAsia="Arial" w:hAnsi="Arial"/>
          <w:sz w:val="19"/>
          <w:szCs w:val="19"/>
          <w:color w:val="auto"/>
        </w:rPr>
      </w:pPr>
      <w:r>
        <w:rPr>
          <w:rFonts w:ascii="Arial" w:cs="Arial" w:eastAsia="Arial" w:hAnsi="Arial"/>
          <w:sz w:val="19"/>
          <w:szCs w:val="19"/>
          <w:color w:val="auto"/>
        </w:rPr>
        <w:t>(i)  If any amount of principal of any Loan is not paid when due (without regard to any applicable grace periods),</w:t>
      </w:r>
    </w:p>
    <w:p>
      <w:pPr>
        <w:spacing w:after="0" w:line="65" w:lineRule="exact"/>
        <w:rPr>
          <w:rFonts w:ascii="Arial" w:cs="Arial" w:eastAsia="Arial" w:hAnsi="Arial"/>
          <w:sz w:val="19"/>
          <w:szCs w:val="19"/>
          <w:color w:val="auto"/>
        </w:rPr>
      </w:pPr>
    </w:p>
    <w:p>
      <w:pPr>
        <w:ind w:left="660" w:right="480"/>
        <w:spacing w:after="0" w:line="303" w:lineRule="auto"/>
        <w:rPr>
          <w:rFonts w:ascii="Arial" w:cs="Arial" w:eastAsia="Arial" w:hAnsi="Arial"/>
          <w:sz w:val="19"/>
          <w:szCs w:val="19"/>
          <w:color w:val="auto"/>
        </w:rPr>
      </w:pPr>
      <w:r>
        <w:rPr>
          <w:rFonts w:ascii="Arial" w:cs="Arial" w:eastAsia="Arial" w:hAnsi="Arial"/>
          <w:sz w:val="20"/>
          <w:szCs w:val="20"/>
          <w:color w:val="auto"/>
        </w:rPr>
        <w:t>whether at stated maturity, by acceleration or otherwise, such amount shall thereafter bear interest at a fluctuating interest rate per annum at all times equal to the Default Rate to the fullest extent permitted by applicable Law.</w:t>
      </w:r>
    </w:p>
    <w:p>
      <w:pPr>
        <w:spacing w:after="0" w:line="189" w:lineRule="exact"/>
        <w:rPr>
          <w:rFonts w:ascii="Arial" w:cs="Arial" w:eastAsia="Arial" w:hAnsi="Arial"/>
          <w:sz w:val="19"/>
          <w:szCs w:val="19"/>
          <w:color w:val="auto"/>
        </w:rPr>
      </w:pPr>
    </w:p>
    <w:p>
      <w:pPr>
        <w:ind w:left="1300" w:right="20" w:firstLine="653"/>
        <w:spacing w:after="0" w:line="311" w:lineRule="auto"/>
        <w:tabs>
          <w:tab w:leader="none" w:pos="2332" w:val="left"/>
        </w:tabs>
        <w:numPr>
          <w:ilvl w:val="1"/>
          <w:numId w:val="123"/>
        </w:numPr>
        <w:rPr>
          <w:rFonts w:ascii="Arial" w:cs="Arial" w:eastAsia="Arial" w:hAnsi="Arial"/>
          <w:sz w:val="22"/>
          <w:szCs w:val="22"/>
          <w:color w:val="auto"/>
        </w:rPr>
      </w:pPr>
      <w:r>
        <w:rPr>
          <w:rFonts w:ascii="Arial" w:cs="Arial" w:eastAsia="Arial" w:hAnsi="Arial"/>
          <w:sz w:val="20"/>
          <w:szCs w:val="20"/>
          <w:color w:val="auto"/>
        </w:rPr>
        <w:t>If any amount (other than principal of any Loan) payable under any Credit Document is not paid when due (without regard to any applicable grace periods), whether at stated maturity, by acceleration or otherwise, then upon the request of the Required Lenders, such amount shall thereafter bear interest at a fluctuating interest rate per annum at all times equal to the Default Rate to the fullest extent permitted by applicable Law.</w:t>
      </w:r>
    </w:p>
    <w:p>
      <w:pPr>
        <w:spacing w:after="0" w:line="196" w:lineRule="exact"/>
        <w:rPr>
          <w:rFonts w:ascii="Arial" w:cs="Arial" w:eastAsia="Arial" w:hAnsi="Arial"/>
          <w:sz w:val="22"/>
          <w:szCs w:val="22"/>
          <w:color w:val="auto"/>
        </w:rPr>
      </w:pPr>
    </w:p>
    <w:p>
      <w:pPr>
        <w:ind w:left="1300" w:right="100" w:firstLine="653"/>
        <w:spacing w:after="0" w:line="312" w:lineRule="auto"/>
        <w:tabs>
          <w:tab w:leader="none" w:pos="2392" w:val="left"/>
        </w:tabs>
        <w:numPr>
          <w:ilvl w:val="1"/>
          <w:numId w:val="123"/>
        </w:numPr>
        <w:rPr>
          <w:rFonts w:ascii="Arial" w:cs="Arial" w:eastAsia="Arial" w:hAnsi="Arial"/>
          <w:sz w:val="22"/>
          <w:szCs w:val="22"/>
          <w:color w:val="auto"/>
        </w:rPr>
      </w:pPr>
      <w:r>
        <w:rPr>
          <w:rFonts w:ascii="Arial" w:cs="Arial" w:eastAsia="Arial" w:hAnsi="Arial"/>
          <w:sz w:val="20"/>
          <w:szCs w:val="20"/>
          <w:color w:val="auto"/>
        </w:rPr>
        <w:t xml:space="preserve">Upon the occurrence and during the continuation of an Event of Default under </w:t>
      </w:r>
      <w:r>
        <w:rPr>
          <w:rFonts w:ascii="Arial" w:cs="Arial" w:eastAsia="Arial" w:hAnsi="Arial"/>
          <w:sz w:val="20"/>
          <w:szCs w:val="20"/>
          <w:u w:val="single" w:color="auto"/>
          <w:color w:val="auto"/>
        </w:rPr>
        <w:t>Section 9.01(f)</w:t>
      </w:r>
      <w:r>
        <w:rPr>
          <w:rFonts w:ascii="Arial" w:cs="Arial" w:eastAsia="Arial" w:hAnsi="Arial"/>
          <w:sz w:val="20"/>
          <w:szCs w:val="20"/>
          <w:color w:val="auto"/>
        </w:rPr>
        <w:t>, the principal amount of all outstanding Obligations hereunder shall bear interest at a fluctuating interest rate per annum at all times equal to the Default Rate to the fullest extent permitted by applicable Law.</w:t>
      </w:r>
    </w:p>
    <w:p>
      <w:pPr>
        <w:spacing w:after="0" w:line="194" w:lineRule="exact"/>
        <w:rPr>
          <w:rFonts w:ascii="Arial" w:cs="Arial" w:eastAsia="Arial" w:hAnsi="Arial"/>
          <w:sz w:val="22"/>
          <w:szCs w:val="22"/>
          <w:color w:val="auto"/>
        </w:rPr>
      </w:pPr>
    </w:p>
    <w:p>
      <w:pPr>
        <w:ind w:left="1300" w:right="20" w:firstLine="653"/>
        <w:spacing w:after="0" w:line="311" w:lineRule="auto"/>
        <w:tabs>
          <w:tab w:leader="none" w:pos="2452" w:val="left"/>
        </w:tabs>
        <w:numPr>
          <w:ilvl w:val="1"/>
          <w:numId w:val="123"/>
        </w:numPr>
        <w:rPr>
          <w:rFonts w:ascii="Arial" w:cs="Arial" w:eastAsia="Arial" w:hAnsi="Arial"/>
          <w:sz w:val="22"/>
          <w:szCs w:val="22"/>
          <w:color w:val="auto"/>
        </w:rPr>
      </w:pPr>
      <w:r>
        <w:rPr>
          <w:rFonts w:ascii="Arial" w:cs="Arial" w:eastAsia="Arial" w:hAnsi="Arial"/>
          <w:sz w:val="20"/>
          <w:szCs w:val="20"/>
          <w:color w:val="auto"/>
        </w:rPr>
        <w:t xml:space="preserve">Upon the occurrence and during the continuation of an Event of Default other than an Event of Default under </w:t>
      </w:r>
      <w:r>
        <w:rPr>
          <w:rFonts w:ascii="Arial" w:cs="Arial" w:eastAsia="Arial" w:hAnsi="Arial"/>
          <w:sz w:val="20"/>
          <w:szCs w:val="20"/>
          <w:u w:val="single" w:color="auto"/>
          <w:color w:val="auto"/>
        </w:rPr>
        <w:t>Section 9.01(f)</w:t>
      </w:r>
      <w:r>
        <w:rPr>
          <w:rFonts w:ascii="Arial" w:cs="Arial" w:eastAsia="Arial" w:hAnsi="Arial"/>
          <w:sz w:val="20"/>
          <w:szCs w:val="20"/>
          <w:color w:val="auto"/>
        </w:rPr>
        <w:t>, then upon the request of the Required Lenders, the principal amount of all outstanding Obligations hereunder shall bear interest at a fluctuating interest rate per annum at all times equal to the Default Rate to the fullest extent permitted by applicable law.</w:t>
      </w:r>
    </w:p>
    <w:p>
      <w:pPr>
        <w:spacing w:after="0" w:line="196" w:lineRule="exact"/>
        <w:rPr>
          <w:rFonts w:ascii="Arial" w:cs="Arial" w:eastAsia="Arial" w:hAnsi="Arial"/>
          <w:sz w:val="22"/>
          <w:szCs w:val="22"/>
          <w:color w:val="auto"/>
        </w:rPr>
      </w:pPr>
    </w:p>
    <w:p>
      <w:pPr>
        <w:ind w:left="1300" w:right="500" w:firstLine="653"/>
        <w:spacing w:after="0" w:line="321" w:lineRule="auto"/>
        <w:tabs>
          <w:tab w:leader="none" w:pos="2440" w:val="left"/>
        </w:tabs>
        <w:numPr>
          <w:ilvl w:val="1"/>
          <w:numId w:val="123"/>
        </w:numPr>
        <w:rPr>
          <w:rFonts w:ascii="Arial" w:cs="Arial" w:eastAsia="Arial" w:hAnsi="Arial"/>
          <w:sz w:val="22"/>
          <w:szCs w:val="22"/>
          <w:color w:val="auto"/>
        </w:rPr>
      </w:pPr>
      <w:r>
        <w:rPr>
          <w:rFonts w:ascii="Arial" w:cs="Arial" w:eastAsia="Arial" w:hAnsi="Arial"/>
          <w:sz w:val="20"/>
          <w:szCs w:val="20"/>
          <w:color w:val="auto"/>
        </w:rPr>
        <w:t>Accrued and unpaid interest on past due amounts (including interest on past due amounts) shall be due and payable upon demand.</w:t>
      </w:r>
    </w:p>
    <w:p>
      <w:pPr>
        <w:spacing w:after="0" w:line="164" w:lineRule="exact"/>
        <w:rPr>
          <w:rFonts w:ascii="Arial" w:cs="Arial" w:eastAsia="Arial" w:hAnsi="Arial"/>
          <w:sz w:val="22"/>
          <w:szCs w:val="22"/>
          <w:color w:val="auto"/>
        </w:rPr>
      </w:pPr>
    </w:p>
    <w:p>
      <w:pPr>
        <w:ind w:left="1700" w:hanging="395"/>
        <w:spacing w:after="0"/>
        <w:tabs>
          <w:tab w:leader="none" w:pos="1700" w:val="left"/>
        </w:tabs>
        <w:numPr>
          <w:ilvl w:val="0"/>
          <w:numId w:val="123"/>
        </w:numPr>
        <w:rPr>
          <w:rFonts w:ascii="Arial" w:cs="Arial" w:eastAsia="Arial" w:hAnsi="Arial"/>
          <w:sz w:val="18"/>
          <w:szCs w:val="18"/>
          <w:color w:val="auto"/>
        </w:rPr>
      </w:pPr>
      <w:r>
        <w:rPr>
          <w:rFonts w:ascii="Arial" w:cs="Arial" w:eastAsia="Arial" w:hAnsi="Arial"/>
          <w:sz w:val="18"/>
          <w:szCs w:val="18"/>
          <w:color w:val="auto"/>
        </w:rPr>
        <w:t>Interest on each Loan shall be due and payable in arrears on each Interest Payment Date applicable thereto and at such</w:t>
      </w:r>
    </w:p>
    <w:p>
      <w:pPr>
        <w:spacing w:after="0" w:line="76" w:lineRule="exact"/>
        <w:rPr>
          <w:rFonts w:ascii="Arial" w:cs="Arial" w:eastAsia="Arial" w:hAnsi="Arial"/>
          <w:sz w:val="18"/>
          <w:szCs w:val="18"/>
          <w:color w:val="auto"/>
        </w:rPr>
      </w:pPr>
    </w:p>
    <w:p>
      <w:pPr>
        <w:ind w:left="660"/>
        <w:spacing w:after="0" w:line="303" w:lineRule="auto"/>
        <w:rPr>
          <w:rFonts w:ascii="Arial" w:cs="Arial" w:eastAsia="Arial" w:hAnsi="Arial"/>
          <w:sz w:val="18"/>
          <w:szCs w:val="18"/>
          <w:color w:val="auto"/>
        </w:rPr>
      </w:pPr>
      <w:r>
        <w:rPr>
          <w:rFonts w:ascii="Arial" w:cs="Arial" w:eastAsia="Arial" w:hAnsi="Arial"/>
          <w:sz w:val="20"/>
          <w:szCs w:val="20"/>
          <w:color w:val="auto"/>
        </w:rPr>
        <w:t>other times as may be specified herein. Interest hereunder shall be due and payable in accordance with the terms hereof before and after judgment, and before and after the commencement of any proceeding under any Debtor Relief Law.</w:t>
      </w:r>
    </w:p>
    <w:p>
      <w:pPr>
        <w:spacing w:after="0" w:line="176" w:lineRule="exact"/>
        <w:rPr>
          <w:sz w:val="20"/>
          <w:szCs w:val="20"/>
          <w:color w:val="auto"/>
        </w:rPr>
      </w:pPr>
    </w:p>
    <w:p>
      <w:pPr>
        <w:ind w:left="660"/>
        <w:spacing w:after="0"/>
        <w:tabs>
          <w:tab w:leader="none" w:pos="1160" w:val="left"/>
        </w:tabs>
        <w:rPr>
          <w:sz w:val="20"/>
          <w:szCs w:val="20"/>
          <w:color w:val="auto"/>
        </w:rPr>
      </w:pPr>
      <w:r>
        <w:rPr>
          <w:rFonts w:ascii="Arial" w:cs="Arial" w:eastAsia="Arial" w:hAnsi="Arial"/>
          <w:sz w:val="20"/>
          <w:szCs w:val="20"/>
          <w:color w:val="auto"/>
        </w:rPr>
        <w:t>2.09</w:t>
      </w:r>
      <w:r>
        <w:rPr>
          <w:sz w:val="20"/>
          <w:szCs w:val="20"/>
          <w:color w:val="auto"/>
        </w:rPr>
        <w:tab/>
      </w:r>
      <w:r>
        <w:rPr>
          <w:rFonts w:ascii="Arial" w:cs="Arial" w:eastAsia="Arial" w:hAnsi="Arial"/>
          <w:sz w:val="16"/>
          <w:szCs w:val="16"/>
          <w:u w:val="single" w:color="auto"/>
          <w:color w:val="auto"/>
        </w:rPr>
        <w:t>Fees</w:t>
      </w:r>
      <w:r>
        <w:rPr>
          <w:rFonts w:ascii="Arial" w:cs="Arial" w:eastAsia="Arial" w:hAnsi="Arial"/>
          <w:sz w:val="16"/>
          <w:szCs w:val="16"/>
          <w:color w:val="auto"/>
        </w:rPr>
        <w:t>.</w:t>
      </w:r>
    </w:p>
    <w:p>
      <w:pPr>
        <w:spacing w:after="0" w:line="270" w:lineRule="exact"/>
        <w:rPr>
          <w:sz w:val="20"/>
          <w:szCs w:val="20"/>
          <w:color w:val="auto"/>
        </w:rPr>
      </w:pPr>
    </w:p>
    <w:p>
      <w:pPr>
        <w:ind w:left="1700" w:hanging="395"/>
        <w:spacing w:after="0"/>
        <w:tabs>
          <w:tab w:leader="none" w:pos="1700" w:val="left"/>
        </w:tabs>
        <w:numPr>
          <w:ilvl w:val="0"/>
          <w:numId w:val="124"/>
        </w:numPr>
        <w:rPr>
          <w:rFonts w:ascii="Arial" w:cs="Arial" w:eastAsia="Arial" w:hAnsi="Arial"/>
          <w:sz w:val="20"/>
          <w:szCs w:val="20"/>
          <w:color w:val="auto"/>
        </w:rPr>
      </w:pPr>
      <w:r>
        <w:rPr>
          <w:rFonts w:ascii="Arial" w:cs="Arial" w:eastAsia="Arial" w:hAnsi="Arial"/>
          <w:sz w:val="20"/>
          <w:szCs w:val="20"/>
          <w:color w:val="auto"/>
        </w:rPr>
        <w:t>Commitment Fees.</w:t>
      </w:r>
    </w:p>
    <w:p>
      <w:pPr>
        <w:spacing w:after="0" w:line="283" w:lineRule="exact"/>
        <w:rPr>
          <w:rFonts w:ascii="Arial" w:cs="Arial" w:eastAsia="Arial" w:hAnsi="Arial"/>
          <w:sz w:val="20"/>
          <w:szCs w:val="20"/>
          <w:color w:val="auto"/>
        </w:rPr>
      </w:pPr>
    </w:p>
    <w:p>
      <w:pPr>
        <w:ind w:left="1300" w:right="180" w:firstLine="653"/>
        <w:spacing w:after="0" w:line="321" w:lineRule="auto"/>
        <w:tabs>
          <w:tab w:leader="none" w:pos="2332" w:val="left"/>
        </w:tabs>
        <w:numPr>
          <w:ilvl w:val="1"/>
          <w:numId w:val="124"/>
        </w:numPr>
        <w:rPr>
          <w:rFonts w:ascii="Arial" w:cs="Arial" w:eastAsia="Arial" w:hAnsi="Arial"/>
          <w:sz w:val="22"/>
          <w:szCs w:val="22"/>
          <w:color w:val="auto"/>
        </w:rPr>
      </w:pPr>
      <w:r>
        <w:rPr>
          <w:rFonts w:ascii="Arial" w:cs="Arial" w:eastAsia="Arial" w:hAnsi="Arial"/>
          <w:sz w:val="20"/>
          <w:szCs w:val="20"/>
          <w:u w:val="single" w:color="auto"/>
          <w:color w:val="auto"/>
        </w:rPr>
        <w:t>Master Revolving Commitment</w:t>
      </w:r>
      <w:r>
        <w:rPr>
          <w:rFonts w:ascii="Arial" w:cs="Arial" w:eastAsia="Arial" w:hAnsi="Arial"/>
          <w:sz w:val="20"/>
          <w:szCs w:val="20"/>
          <w:color w:val="auto"/>
        </w:rPr>
        <w:t>. The Domestic Borrowers shall pay to the Administrative Agent for the account of each Lender with Master Revolving</w:t>
      </w:r>
    </w:p>
    <w:p>
      <w:pPr>
        <w:spacing w:after="0" w:line="380"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101</w:t>
      </w:r>
    </w:p>
    <w:p>
      <w:pPr>
        <w:spacing w:after="0" w:line="10" w:lineRule="exact"/>
        <w:rPr>
          <w:sz w:val="20"/>
          <w:szCs w:val="20"/>
          <w:color w:val="auto"/>
        </w:rPr>
      </w:pPr>
    </w:p>
    <w:p>
      <w:pPr>
        <w:spacing w:after="0"/>
        <w:rPr>
          <w:sz w:val="20"/>
          <w:szCs w:val="20"/>
          <w:color w:val="auto"/>
        </w:rPr>
      </w:pPr>
      <w:r>
        <w:rPr>
          <w:rFonts w:ascii="Arial" w:cs="Arial" w:eastAsia="Arial" w:hAnsi="Arial"/>
          <w:sz w:val="14"/>
          <w:szCs w:val="14"/>
          <w:color w:val="auto"/>
        </w:rPr>
        <w:t>CHAR1\1346423v</w:t>
      </w:r>
      <w:r>
        <w:rPr>
          <w:rFonts w:ascii="Arial" w:cs="Arial" w:eastAsia="Arial" w:hAnsi="Arial"/>
          <w:sz w:val="14"/>
          <w:szCs w:val="14"/>
          <w:color w:val="FF0000"/>
          <w:strike w:val="1"/>
        </w:rPr>
        <w:t>1</w:t>
      </w:r>
      <w:r>
        <w:rPr>
          <w:rFonts w:ascii="Arial" w:cs="Arial" w:eastAsia="Arial" w:hAnsi="Arial"/>
          <w:sz w:val="14"/>
          <w:szCs w:val="14"/>
          <w:u w:val="single" w:color="auto"/>
          <w:color w:val="0000FF"/>
        </w:rPr>
        <w:t>12</w:t>
      </w:r>
    </w:p>
    <w:p>
      <w:pPr>
        <w:sectPr>
          <w:pgSz w:w="11900" w:h="16838" w:orient="portrait"/>
          <w:cols w:equalWidth="0" w:num="1">
            <w:col w:w="11400"/>
          </w:cols>
          <w:pgMar w:left="240" w:top="609" w:right="259" w:bottom="1440" w:gutter="0" w:footer="0" w:header="0"/>
        </w:sectPr>
      </w:pPr>
    </w:p>
    <w:bookmarkStart w:id="153" w:name="page154"/>
    <w:bookmarkEnd w:id="153"/>
    <w:p>
      <w:pPr>
        <w:ind w:left="1300" w:right="80"/>
        <w:spacing w:after="0" w:line="287" w:lineRule="auto"/>
        <w:rPr>
          <w:sz w:val="20"/>
          <w:szCs w:val="20"/>
          <w:color w:val="auto"/>
        </w:rPr>
      </w:pPr>
      <w:r>
        <w:rPr>
          <w:rFonts w:ascii="Arial" w:cs="Arial" w:eastAsia="Arial" w:hAnsi="Arial"/>
          <w:sz w:val="20"/>
          <w:szCs w:val="20"/>
          <w:color w:val="auto"/>
        </w:rPr>
        <w:t>Commitments its USD Revolving Commitment Percentage of a commitment fee, in Dollars, equal to the Applicable Percentage of the actual daily amount by which the Aggregate Master Revolving Committed Amount exceeds the Outstanding Amount of all Master Revolving Loan Obligations (other than Master Swingline Loans). For purposes hereof, Master Swingline Loans shall not be considered outstanding for purposes of determining the unused portion of the Aggregate Master Revolving Commitments.</w:t>
      </w:r>
    </w:p>
    <w:p>
      <w:pPr>
        <w:spacing w:after="0" w:line="205" w:lineRule="exact"/>
        <w:rPr>
          <w:sz w:val="20"/>
          <w:szCs w:val="20"/>
          <w:color w:val="auto"/>
        </w:rPr>
      </w:pPr>
    </w:p>
    <w:p>
      <w:pPr>
        <w:ind w:left="1300" w:right="20" w:firstLine="653"/>
        <w:spacing w:after="0" w:line="311" w:lineRule="auto"/>
        <w:tabs>
          <w:tab w:leader="none" w:pos="2392" w:val="left"/>
        </w:tabs>
        <w:numPr>
          <w:ilvl w:val="0"/>
          <w:numId w:val="125"/>
        </w:numPr>
        <w:rPr>
          <w:rFonts w:ascii="Arial" w:cs="Arial" w:eastAsia="Arial" w:hAnsi="Arial"/>
          <w:sz w:val="22"/>
          <w:szCs w:val="22"/>
          <w:color w:val="auto"/>
        </w:rPr>
      </w:pPr>
      <w:r>
        <w:rPr>
          <w:rFonts w:ascii="Arial" w:cs="Arial" w:eastAsia="Arial" w:hAnsi="Arial"/>
          <w:sz w:val="20"/>
          <w:szCs w:val="20"/>
          <w:u w:val="single" w:color="auto"/>
          <w:color w:val="auto"/>
        </w:rPr>
        <w:t>India Revolving Commitment</w:t>
      </w:r>
      <w:r>
        <w:rPr>
          <w:rFonts w:ascii="Arial" w:cs="Arial" w:eastAsia="Arial" w:hAnsi="Arial"/>
          <w:sz w:val="20"/>
          <w:szCs w:val="20"/>
          <w:color w:val="auto"/>
        </w:rPr>
        <w:t>. The India Borrowers shall pay to the Administrative Agent for the account of each India Revolving Lender in accordance with its India Revolving Commitment Percentage, a commitment fee, in Dollars, equal to the Applicable Percentage of the actual daily amount by which the Aggregate India Revolving Committed Amount exceeds the Outstanding Amount of all India Revolving Loan Obligations.</w:t>
      </w:r>
    </w:p>
    <w:p>
      <w:pPr>
        <w:spacing w:after="0" w:line="196" w:lineRule="exact"/>
        <w:rPr>
          <w:rFonts w:ascii="Arial" w:cs="Arial" w:eastAsia="Arial" w:hAnsi="Arial"/>
          <w:sz w:val="22"/>
          <w:szCs w:val="22"/>
          <w:color w:val="auto"/>
        </w:rPr>
      </w:pPr>
    </w:p>
    <w:p>
      <w:pPr>
        <w:ind w:left="1300" w:right="80" w:firstLine="653"/>
        <w:spacing w:after="0" w:line="321" w:lineRule="auto"/>
        <w:tabs>
          <w:tab w:leader="none" w:pos="2452" w:val="left"/>
        </w:tabs>
        <w:numPr>
          <w:ilvl w:val="0"/>
          <w:numId w:val="125"/>
        </w:numPr>
        <w:rPr>
          <w:rFonts w:ascii="Arial" w:cs="Arial" w:eastAsia="Arial" w:hAnsi="Arial"/>
          <w:sz w:val="22"/>
          <w:szCs w:val="22"/>
          <w:color w:val="auto"/>
        </w:rPr>
      </w:pPr>
      <w:r>
        <w:rPr>
          <w:rFonts w:ascii="Arial" w:cs="Arial" w:eastAsia="Arial" w:hAnsi="Arial"/>
          <w:sz w:val="20"/>
          <w:szCs w:val="20"/>
          <w:u w:val="single" w:color="auto"/>
          <w:color w:val="auto"/>
        </w:rPr>
        <w:t>Payments</w:t>
      </w:r>
      <w:r>
        <w:rPr>
          <w:rFonts w:ascii="Arial" w:cs="Arial" w:eastAsia="Arial" w:hAnsi="Arial"/>
          <w:sz w:val="20"/>
          <w:szCs w:val="20"/>
          <w:color w:val="auto"/>
        </w:rPr>
        <w:t xml:space="preserve">. The foregoing commitment fees shall accrue at all times during the Commitment Period, including at any time during which one or more of the conditions in </w:t>
      </w:r>
      <w:r>
        <w:rPr>
          <w:rFonts w:ascii="Arial" w:cs="Arial" w:eastAsia="Arial" w:hAnsi="Arial"/>
          <w:sz w:val="20"/>
          <w:szCs w:val="20"/>
          <w:u w:val="single" w:color="auto"/>
          <w:color w:val="auto"/>
        </w:rPr>
        <w:t>Article V</w:t>
      </w:r>
      <w:r>
        <w:rPr>
          <w:rFonts w:ascii="Arial" w:cs="Arial" w:eastAsia="Arial" w:hAnsi="Arial"/>
          <w:sz w:val="20"/>
          <w:szCs w:val="20"/>
          <w:color w:val="auto"/>
        </w:rPr>
        <w:t xml:space="preserve"> is not met, and</w:t>
      </w:r>
    </w:p>
    <w:p>
      <w:pPr>
        <w:spacing w:after="0" w:line="137" w:lineRule="exact"/>
        <w:rPr>
          <w:sz w:val="20"/>
          <w:szCs w:val="20"/>
          <w:color w:val="auto"/>
        </w:rPr>
      </w:pPr>
    </w:p>
    <w:p>
      <w:pPr>
        <w:ind w:left="1300" w:firstLine="653"/>
        <w:spacing w:after="0" w:line="259" w:lineRule="auto"/>
        <w:tabs>
          <w:tab w:leader="none" w:pos="2421" w:val="left"/>
        </w:tabs>
        <w:numPr>
          <w:ilvl w:val="1"/>
          <w:numId w:val="126"/>
        </w:numPr>
        <w:rPr>
          <w:rFonts w:ascii="Arial" w:cs="Arial" w:eastAsia="Arial" w:hAnsi="Arial"/>
          <w:sz w:val="19"/>
          <w:szCs w:val="19"/>
          <w:color w:val="auto"/>
        </w:rPr>
      </w:pPr>
      <w:r>
        <w:rPr>
          <w:rFonts w:ascii="Arial" w:cs="Arial" w:eastAsia="Arial" w:hAnsi="Arial"/>
          <w:sz w:val="19"/>
          <w:szCs w:val="19"/>
          <w:color w:val="auto"/>
        </w:rPr>
        <w:t xml:space="preserve">with respect to the commitment fees under the immediately foregoing </w:t>
      </w:r>
      <w:r>
        <w:rPr>
          <w:rFonts w:ascii="Arial" w:cs="Arial" w:eastAsia="Arial" w:hAnsi="Arial"/>
          <w:sz w:val="19"/>
          <w:szCs w:val="19"/>
          <w:u w:val="single" w:color="auto"/>
          <w:color w:val="auto"/>
        </w:rPr>
        <w:t>clause (i)</w:t>
      </w:r>
      <w:r>
        <w:rPr>
          <w:rFonts w:ascii="Arial" w:cs="Arial" w:eastAsia="Arial" w:hAnsi="Arial"/>
          <w:sz w:val="19"/>
          <w:szCs w:val="19"/>
          <w:color w:val="auto"/>
        </w:rPr>
        <w:t>, (1) shall be due and payable quarterly in arrears on the first Business Day after the end of each March, June, September and December, commencing with the first such date to occur after the Closing Date, on the Revolving Termination Date (and, if applicable, thereafter on demand) and (2) shall be calculated quarterly in arrears, and if there is any change in the Applicable Percentage during any quarter, the actual daily amount shall be computed and multiplied by the Applicable Percentage separately for each period during such quarter that such Applicable Percentage was in effect; and</w:t>
      </w:r>
    </w:p>
    <w:p>
      <w:pPr>
        <w:spacing w:after="0" w:line="178" w:lineRule="exact"/>
        <w:rPr>
          <w:rFonts w:ascii="Arial" w:cs="Arial" w:eastAsia="Arial" w:hAnsi="Arial"/>
          <w:sz w:val="19"/>
          <w:szCs w:val="19"/>
          <w:color w:val="auto"/>
        </w:rPr>
      </w:pPr>
    </w:p>
    <w:p>
      <w:pPr>
        <w:ind w:left="1300" w:right="20" w:firstLine="653"/>
        <w:spacing w:after="0" w:line="243" w:lineRule="auto"/>
        <w:tabs>
          <w:tab w:leader="none" w:pos="2410" w:val="left"/>
        </w:tabs>
        <w:numPr>
          <w:ilvl w:val="1"/>
          <w:numId w:val="126"/>
        </w:numPr>
        <w:rPr>
          <w:rFonts w:ascii="Arial" w:cs="Arial" w:eastAsia="Arial" w:hAnsi="Arial"/>
          <w:sz w:val="20"/>
          <w:szCs w:val="20"/>
          <w:color w:val="auto"/>
        </w:rPr>
      </w:pPr>
      <w:r>
        <w:rPr>
          <w:rFonts w:ascii="Arial" w:cs="Arial" w:eastAsia="Arial" w:hAnsi="Arial"/>
          <w:sz w:val="20"/>
          <w:szCs w:val="20"/>
          <w:color w:val="auto"/>
        </w:rPr>
        <w:t xml:space="preserve">with respect to the commitment fees under the immediately foregoing </w:t>
      </w:r>
      <w:r>
        <w:rPr>
          <w:rFonts w:ascii="Arial" w:cs="Arial" w:eastAsia="Arial" w:hAnsi="Arial"/>
          <w:sz w:val="20"/>
          <w:szCs w:val="20"/>
          <w:u w:val="single" w:color="auto"/>
          <w:color w:val="auto"/>
        </w:rPr>
        <w:t>clause (ii)</w:t>
      </w:r>
      <w:r>
        <w:rPr>
          <w:rFonts w:ascii="Arial" w:cs="Arial" w:eastAsia="Arial" w:hAnsi="Arial"/>
          <w:sz w:val="20"/>
          <w:szCs w:val="20"/>
          <w:color w:val="auto"/>
        </w:rPr>
        <w:t>, (1) shall be due and payable monthly in arrears on the first Business Day after the end of each calendar month, commencing with the first such date to occur after the Closing Date, on the Revolving Termination Date (and, if applicable, thereafter on demand) and (2) shall be calculated monthly in arrears, and if there is any change in the Applicable Percentage during any quarter, the actual daily amount shall be computed and multiplied by the Applicable Percentage separately for each period during such quarter that such Applicable Percentage was in effect.</w:t>
      </w:r>
    </w:p>
    <w:p>
      <w:pPr>
        <w:spacing w:after="0" w:line="223" w:lineRule="exact"/>
        <w:rPr>
          <w:rFonts w:ascii="Arial" w:cs="Arial" w:eastAsia="Arial" w:hAnsi="Arial"/>
          <w:sz w:val="20"/>
          <w:szCs w:val="20"/>
          <w:color w:val="auto"/>
        </w:rPr>
      </w:pPr>
    </w:p>
    <w:p>
      <w:pPr>
        <w:ind w:left="1720" w:hanging="415"/>
        <w:spacing w:after="0"/>
        <w:tabs>
          <w:tab w:leader="none" w:pos="1720" w:val="left"/>
        </w:tabs>
        <w:numPr>
          <w:ilvl w:val="0"/>
          <w:numId w:val="127"/>
        </w:numPr>
        <w:rPr>
          <w:rFonts w:ascii="Arial" w:cs="Arial" w:eastAsia="Arial" w:hAnsi="Arial"/>
          <w:sz w:val="20"/>
          <w:szCs w:val="20"/>
          <w:color w:val="auto"/>
        </w:rPr>
      </w:pPr>
      <w:r>
        <w:rPr>
          <w:rFonts w:ascii="Arial" w:cs="Arial" w:eastAsia="Arial" w:hAnsi="Arial"/>
          <w:sz w:val="20"/>
          <w:szCs w:val="20"/>
          <w:color w:val="auto"/>
        </w:rPr>
        <w:t>Letter of Credit Fees.</w:t>
      </w:r>
    </w:p>
    <w:p>
      <w:pPr>
        <w:spacing w:after="0" w:line="283" w:lineRule="exact"/>
        <w:rPr>
          <w:sz w:val="20"/>
          <w:szCs w:val="20"/>
          <w:color w:val="auto"/>
        </w:rPr>
      </w:pPr>
    </w:p>
    <w:p>
      <w:pPr>
        <w:ind w:left="1300" w:right="220" w:firstLine="653"/>
        <w:spacing w:after="0" w:line="329" w:lineRule="auto"/>
        <w:tabs>
          <w:tab w:leader="none" w:pos="2332" w:val="left"/>
        </w:tabs>
        <w:numPr>
          <w:ilvl w:val="0"/>
          <w:numId w:val="128"/>
        </w:numPr>
        <w:rPr>
          <w:rFonts w:ascii="Arial" w:cs="Arial" w:eastAsia="Arial" w:hAnsi="Arial"/>
          <w:sz w:val="21"/>
          <w:szCs w:val="21"/>
          <w:color w:val="auto"/>
        </w:rPr>
      </w:pPr>
      <w:r>
        <w:rPr>
          <w:rFonts w:ascii="Arial" w:cs="Arial" w:eastAsia="Arial" w:hAnsi="Arial"/>
          <w:sz w:val="19"/>
          <w:szCs w:val="19"/>
          <w:u w:val="single" w:color="auto"/>
          <w:color w:val="auto"/>
        </w:rPr>
        <w:t>Letter of Credit Fees</w:t>
      </w:r>
      <w:r>
        <w:rPr>
          <w:rFonts w:ascii="Arial" w:cs="Arial" w:eastAsia="Arial" w:hAnsi="Arial"/>
          <w:sz w:val="19"/>
          <w:szCs w:val="19"/>
          <w:color w:val="auto"/>
        </w:rPr>
        <w:t xml:space="preserve">. The applicable Borrowers shall pay to the Administrative Agent for the account of each Revolving Lender in accordance with its respective Revolving Commitment Percentage, in Dollars, a Letter of Credit fee for each Letter of Credit equal to the Applicable Percentage </w:t>
      </w:r>
      <w:r>
        <w:rPr>
          <w:rFonts w:ascii="Arial" w:cs="Arial" w:eastAsia="Arial" w:hAnsi="Arial"/>
          <w:sz w:val="19"/>
          <w:szCs w:val="19"/>
          <w:u w:val="single" w:color="auto"/>
          <w:color w:val="auto"/>
        </w:rPr>
        <w:t>multiplied</w:t>
      </w:r>
      <w:r>
        <w:rPr>
          <w:rFonts w:ascii="Arial" w:cs="Arial" w:eastAsia="Arial" w:hAnsi="Arial"/>
          <w:sz w:val="19"/>
          <w:szCs w:val="19"/>
          <w:color w:val="auto"/>
        </w:rPr>
        <w:t xml:space="preserve"> by the Dollar Equivalent of the actual daily maximum amount available to be drawn under such Letter of Credit (whether or not such maximum amount is then in effect under such Letter of Credit) (the “</w:t>
      </w:r>
      <w:r>
        <w:rPr>
          <w:rFonts w:ascii="Arial" w:cs="Arial" w:eastAsia="Arial" w:hAnsi="Arial"/>
          <w:sz w:val="19"/>
          <w:szCs w:val="19"/>
          <w:u w:val="single" w:color="auto"/>
          <w:color w:val="auto"/>
        </w:rPr>
        <w:t>Letter of Credit Fee</w:t>
      </w:r>
      <w:r>
        <w:rPr>
          <w:rFonts w:ascii="Arial" w:cs="Arial" w:eastAsia="Arial" w:hAnsi="Arial"/>
          <w:sz w:val="19"/>
          <w:szCs w:val="19"/>
          <w:color w:val="auto"/>
        </w:rPr>
        <w:t>”). The Letter of Credit Fees with respect to USD Letters of Credit shall be computed on a quarterly basis in arrears, and shall be due and payable on the first</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102</w:t>
      </w:r>
    </w:p>
    <w:p>
      <w:pPr>
        <w:spacing w:after="0" w:line="10" w:lineRule="exact"/>
        <w:rPr>
          <w:sz w:val="20"/>
          <w:szCs w:val="20"/>
          <w:color w:val="auto"/>
        </w:rPr>
      </w:pPr>
    </w:p>
    <w:p>
      <w:pPr>
        <w:spacing w:after="0"/>
        <w:rPr>
          <w:sz w:val="20"/>
          <w:szCs w:val="20"/>
          <w:color w:val="auto"/>
        </w:rPr>
      </w:pPr>
      <w:r>
        <w:rPr>
          <w:rFonts w:ascii="Arial" w:cs="Arial" w:eastAsia="Arial" w:hAnsi="Arial"/>
          <w:sz w:val="14"/>
          <w:szCs w:val="14"/>
          <w:color w:val="auto"/>
        </w:rPr>
        <w:t>CHAR1\1346423v</w:t>
      </w:r>
      <w:r>
        <w:rPr>
          <w:rFonts w:ascii="Arial" w:cs="Arial" w:eastAsia="Arial" w:hAnsi="Arial"/>
          <w:sz w:val="14"/>
          <w:szCs w:val="14"/>
          <w:color w:val="FF0000"/>
          <w:strike w:val="1"/>
        </w:rPr>
        <w:t>1</w:t>
      </w:r>
      <w:r>
        <w:rPr>
          <w:rFonts w:ascii="Arial" w:cs="Arial" w:eastAsia="Arial" w:hAnsi="Arial"/>
          <w:sz w:val="14"/>
          <w:szCs w:val="14"/>
          <w:u w:val="single" w:color="auto"/>
          <w:color w:val="0000FF"/>
        </w:rPr>
        <w:t>12</w:t>
      </w:r>
    </w:p>
    <w:p>
      <w:pPr>
        <w:sectPr>
          <w:pgSz w:w="11900" w:h="16838" w:orient="portrait"/>
          <w:cols w:equalWidth="0" w:num="1">
            <w:col w:w="11420"/>
          </w:cols>
          <w:pgMar w:left="240" w:top="609" w:right="239" w:bottom="1440" w:gutter="0" w:footer="0" w:header="0"/>
        </w:sectPr>
      </w:pPr>
    </w:p>
    <w:bookmarkStart w:id="154" w:name="page155"/>
    <w:bookmarkEnd w:id="154"/>
    <w:p>
      <w:pPr>
        <w:ind w:left="1300"/>
        <w:spacing w:after="0" w:line="318" w:lineRule="auto"/>
        <w:rPr>
          <w:sz w:val="20"/>
          <w:szCs w:val="20"/>
          <w:color w:val="auto"/>
        </w:rPr>
      </w:pPr>
      <w:r>
        <w:rPr>
          <w:rFonts w:ascii="Arial" w:cs="Arial" w:eastAsia="Arial" w:hAnsi="Arial"/>
          <w:sz w:val="18"/>
          <w:szCs w:val="18"/>
          <w:color w:val="auto"/>
        </w:rPr>
        <w:t>Business Day after the end of each March, June, September and December, commencing with the first such date to occur after the issuance of such Letter of Credit, on the L/C Expiration Date and thereafter on demand. The Letter of Credit Fees with respect to the India Letters of Credit shall be computed on a monthly basis in arrears, and shall be due and payable on the first Business Day after the end of each calendar month, commencing with the first such date to occur after the issuance of such Letter of Credit, on the L/C Expiration Date and thereafter on demand. If there is any change in the Applicable Percentage during any quarter (with respect to the USD Letters of Credit) or any month (with respect to the India Letters of Credit), the daily maximum amount of each Letter of Credit shall be computed and multiplied by the Applicable Percentage separately for each period during such quarter that such Applicable Percentage was in effect. Notwithstanding anything to the contrary contained herein, upon the request of the Required USD Revolving Lenders or the Required India Revolving Lenders, as appropriate, while any Event of Default exists, all such Letter of Credit Fees shall accrue at the Default Rate.</w:t>
      </w:r>
    </w:p>
    <w:p>
      <w:pPr>
        <w:spacing w:after="0" w:line="188" w:lineRule="exact"/>
        <w:rPr>
          <w:sz w:val="20"/>
          <w:szCs w:val="20"/>
          <w:color w:val="auto"/>
        </w:rPr>
      </w:pPr>
    </w:p>
    <w:p>
      <w:pPr>
        <w:ind w:left="1300" w:right="20" w:firstLine="653"/>
        <w:spacing w:after="0" w:line="327" w:lineRule="auto"/>
        <w:tabs>
          <w:tab w:leader="none" w:pos="2392" w:val="left"/>
        </w:tabs>
        <w:numPr>
          <w:ilvl w:val="1"/>
          <w:numId w:val="129"/>
        </w:numPr>
        <w:rPr>
          <w:rFonts w:ascii="Arial" w:cs="Arial" w:eastAsia="Arial" w:hAnsi="Arial"/>
          <w:sz w:val="21"/>
          <w:szCs w:val="21"/>
          <w:color w:val="auto"/>
        </w:rPr>
      </w:pPr>
      <w:r>
        <w:rPr>
          <w:rFonts w:ascii="Arial" w:cs="Arial" w:eastAsia="Arial" w:hAnsi="Arial"/>
          <w:sz w:val="19"/>
          <w:szCs w:val="19"/>
          <w:u w:val="single" w:color="auto"/>
          <w:color w:val="auto"/>
        </w:rPr>
        <w:t>Fronting Fee and Documentary and Processing Charges Payable to L/C Issuers</w:t>
      </w:r>
      <w:r>
        <w:rPr>
          <w:rFonts w:ascii="Arial" w:cs="Arial" w:eastAsia="Arial" w:hAnsi="Arial"/>
          <w:sz w:val="19"/>
          <w:szCs w:val="19"/>
          <w:color w:val="auto"/>
        </w:rPr>
        <w:t xml:space="preserve">. The applicable Borrowers shall pay directly to each L/C Issuer for its own account, in Dollars (except for with respect to the India Letters of Credit, which shall be paid in Rupees), a fronting fee with respect to each Letter of Credit, at the rate and at the times specified in the Fee Letter </w:t>
      </w:r>
      <w:r>
        <w:rPr>
          <w:rFonts w:ascii="Arial" w:cs="Arial" w:eastAsia="Arial" w:hAnsi="Arial"/>
          <w:sz w:val="19"/>
          <w:szCs w:val="19"/>
          <w:u w:val="single" w:color="auto"/>
          <w:color w:val="auto"/>
        </w:rPr>
        <w:t>multiplied</w:t>
      </w:r>
      <w:r>
        <w:rPr>
          <w:rFonts w:ascii="Arial" w:cs="Arial" w:eastAsia="Arial" w:hAnsi="Arial"/>
          <w:sz w:val="19"/>
          <w:szCs w:val="19"/>
          <w:color w:val="auto"/>
        </w:rPr>
        <w:t xml:space="preserve"> by the Dollar Equivalent of the daily maximum amount available to be drawn under such Letter of Credit (whether or not such maximum amount is then in effect payable on the first Business Day after the end of each March, June, September and December (except with respect to the India Letters of Credit, which shall be payable on the first Business Day following the end of each calendar month), commencing with the first such date to occur after the issuance of such Letter of Credit, the L/C Expiration Date and thereafter on demand. For purposes of computing the daily amount available to be drawn under any Letter of Credit, the amount of such Letter of Credit shall be determined in accordance with </w:t>
      </w:r>
      <w:r>
        <w:rPr>
          <w:rFonts w:ascii="Arial" w:cs="Arial" w:eastAsia="Arial" w:hAnsi="Arial"/>
          <w:sz w:val="19"/>
          <w:szCs w:val="19"/>
          <w:u w:val="single" w:color="auto"/>
          <w:color w:val="auto"/>
        </w:rPr>
        <w:t>Section 1.09</w:t>
      </w:r>
      <w:r>
        <w:rPr>
          <w:rFonts w:ascii="Arial" w:cs="Arial" w:eastAsia="Arial" w:hAnsi="Arial"/>
          <w:sz w:val="19"/>
          <w:szCs w:val="19"/>
          <w:color w:val="auto"/>
        </w:rPr>
        <w:t>. In addition, the applicable Borrowers shall pay directly to each L/C Issuer for its own account the customary issuance, presentation, amendment and other processing fees, and other standard costs and charges, of such L/C Issuer relating to letters of credit as from time to time in effect. Such customary fees and standard costs and charges are due and payable on demand and are nonrefundable.</w:t>
      </w:r>
    </w:p>
    <w:p>
      <w:pPr>
        <w:spacing w:after="0" w:line="177" w:lineRule="exact"/>
        <w:rPr>
          <w:rFonts w:ascii="Arial" w:cs="Arial" w:eastAsia="Arial" w:hAnsi="Arial"/>
          <w:sz w:val="21"/>
          <w:szCs w:val="21"/>
          <w:color w:val="auto"/>
        </w:rPr>
      </w:pPr>
    </w:p>
    <w:p>
      <w:pPr>
        <w:ind w:left="1700" w:hanging="395"/>
        <w:spacing w:after="0"/>
        <w:tabs>
          <w:tab w:leader="none" w:pos="1700" w:val="left"/>
        </w:tabs>
        <w:numPr>
          <w:ilvl w:val="0"/>
          <w:numId w:val="130"/>
        </w:numPr>
        <w:rPr>
          <w:rFonts w:ascii="Arial" w:cs="Arial" w:eastAsia="Arial" w:hAnsi="Arial"/>
          <w:sz w:val="20"/>
          <w:szCs w:val="20"/>
          <w:color w:val="auto"/>
        </w:rPr>
      </w:pPr>
      <w:r>
        <w:rPr>
          <w:rFonts w:ascii="Arial" w:cs="Arial" w:eastAsia="Arial" w:hAnsi="Arial"/>
          <w:sz w:val="20"/>
          <w:szCs w:val="20"/>
          <w:color w:val="auto"/>
        </w:rPr>
        <w:t>Other Fees.</w:t>
      </w:r>
    </w:p>
    <w:p>
      <w:pPr>
        <w:spacing w:after="0" w:line="283" w:lineRule="exact"/>
        <w:rPr>
          <w:rFonts w:ascii="Arial" w:cs="Arial" w:eastAsia="Arial" w:hAnsi="Arial"/>
          <w:sz w:val="20"/>
          <w:szCs w:val="20"/>
          <w:color w:val="auto"/>
        </w:rPr>
      </w:pPr>
    </w:p>
    <w:p>
      <w:pPr>
        <w:ind w:left="1300" w:firstLine="653"/>
        <w:spacing w:after="0" w:line="312" w:lineRule="auto"/>
        <w:tabs>
          <w:tab w:leader="none" w:pos="2332" w:val="left"/>
        </w:tabs>
        <w:numPr>
          <w:ilvl w:val="1"/>
          <w:numId w:val="130"/>
        </w:numPr>
        <w:rPr>
          <w:rFonts w:ascii="Arial" w:cs="Arial" w:eastAsia="Arial" w:hAnsi="Arial"/>
          <w:sz w:val="22"/>
          <w:szCs w:val="22"/>
          <w:color w:val="auto"/>
        </w:rPr>
      </w:pPr>
      <w:r>
        <w:rPr>
          <w:rFonts w:ascii="Arial" w:cs="Arial" w:eastAsia="Arial" w:hAnsi="Arial"/>
          <w:sz w:val="20"/>
          <w:szCs w:val="20"/>
          <w:color w:val="auto"/>
        </w:rPr>
        <w:t>The applicable Borrowers shall pay to the Arranger and the Administrative Agent for their own respective accounts, in Dollars, fees in the amounts and at the times specified in the Fee Letter. Such fees shall be fully earned when paid and shall not be refundable for any reason whatsoever.</w:t>
      </w:r>
    </w:p>
    <w:p>
      <w:pPr>
        <w:spacing w:after="0" w:line="397" w:lineRule="exact"/>
        <w:rPr>
          <w:sz w:val="20"/>
          <w:szCs w:val="20"/>
          <w:color w:val="auto"/>
        </w:rPr>
      </w:pPr>
    </w:p>
    <w:p>
      <w:pPr>
        <w:jc w:val="center"/>
        <w:ind w:right="-119"/>
        <w:spacing w:after="0"/>
        <w:rPr>
          <w:sz w:val="20"/>
          <w:szCs w:val="20"/>
          <w:color w:val="auto"/>
        </w:rPr>
      </w:pPr>
      <w:r>
        <w:rPr>
          <w:rFonts w:ascii="Arial" w:cs="Arial" w:eastAsia="Arial" w:hAnsi="Arial"/>
          <w:sz w:val="20"/>
          <w:szCs w:val="20"/>
          <w:color w:val="auto"/>
        </w:rPr>
        <w:t>103</w:t>
      </w:r>
    </w:p>
    <w:p>
      <w:pPr>
        <w:spacing w:after="0" w:line="10" w:lineRule="exact"/>
        <w:rPr>
          <w:sz w:val="20"/>
          <w:szCs w:val="20"/>
          <w:color w:val="auto"/>
        </w:rPr>
      </w:pPr>
    </w:p>
    <w:p>
      <w:pPr>
        <w:spacing w:after="0"/>
        <w:rPr>
          <w:sz w:val="20"/>
          <w:szCs w:val="20"/>
          <w:color w:val="auto"/>
        </w:rPr>
      </w:pPr>
      <w:r>
        <w:rPr>
          <w:rFonts w:ascii="Arial" w:cs="Arial" w:eastAsia="Arial" w:hAnsi="Arial"/>
          <w:sz w:val="14"/>
          <w:szCs w:val="14"/>
          <w:color w:val="auto"/>
        </w:rPr>
        <w:t>CHAR1\1346423v</w:t>
      </w:r>
      <w:r>
        <w:rPr>
          <w:rFonts w:ascii="Arial" w:cs="Arial" w:eastAsia="Arial" w:hAnsi="Arial"/>
          <w:sz w:val="14"/>
          <w:szCs w:val="14"/>
          <w:color w:val="FF0000"/>
          <w:strike w:val="1"/>
        </w:rPr>
        <w:t>1</w:t>
      </w:r>
      <w:r>
        <w:rPr>
          <w:rFonts w:ascii="Arial" w:cs="Arial" w:eastAsia="Arial" w:hAnsi="Arial"/>
          <w:sz w:val="14"/>
          <w:szCs w:val="14"/>
          <w:u w:val="single" w:color="auto"/>
          <w:color w:val="0000FF"/>
        </w:rPr>
        <w:t>12</w:t>
      </w:r>
    </w:p>
    <w:p>
      <w:pPr>
        <w:sectPr>
          <w:pgSz w:w="11900" w:h="16838" w:orient="portrait"/>
          <w:cols w:equalWidth="0" w:num="1">
            <w:col w:w="11300"/>
          </w:cols>
          <w:pgMar w:left="240" w:top="609" w:right="359" w:bottom="1440" w:gutter="0" w:footer="0" w:header="0"/>
        </w:sectPr>
      </w:pPr>
    </w:p>
    <w:bookmarkStart w:id="155" w:name="page156"/>
    <w:bookmarkEnd w:id="155"/>
    <w:p>
      <w:pPr>
        <w:ind w:left="1300" w:firstLine="653"/>
        <w:spacing w:after="0" w:line="367" w:lineRule="auto"/>
        <w:tabs>
          <w:tab w:leader="none" w:pos="2392" w:val="left"/>
        </w:tabs>
        <w:numPr>
          <w:ilvl w:val="0"/>
          <w:numId w:val="131"/>
        </w:numPr>
        <w:rPr>
          <w:rFonts w:ascii="Arial" w:cs="Arial" w:eastAsia="Arial" w:hAnsi="Arial"/>
          <w:sz w:val="19"/>
          <w:szCs w:val="19"/>
          <w:color w:val="auto"/>
        </w:rPr>
      </w:pPr>
      <w:r>
        <w:rPr>
          <w:rFonts w:ascii="Arial" w:cs="Arial" w:eastAsia="Arial" w:hAnsi="Arial"/>
          <w:sz w:val="18"/>
          <w:szCs w:val="18"/>
          <w:color w:val="auto"/>
        </w:rPr>
        <w:t>The applicable Borrowers shall pay to the Lenders, in Dollars (or in Rupees, with respect to any fees payable in connection with the India Obligations), such fees as shall have been separately agreed upon in writing in the amounts and at the times so specified. Such fees shall be fully earned when paid and shall not be refundable for any reason whatsoever.</w:t>
      </w:r>
    </w:p>
    <w:p>
      <w:pPr>
        <w:spacing w:after="0" w:line="140" w:lineRule="exact"/>
        <w:rPr>
          <w:sz w:val="20"/>
          <w:szCs w:val="20"/>
          <w:color w:val="auto"/>
        </w:rPr>
      </w:pPr>
    </w:p>
    <w:p>
      <w:pPr>
        <w:ind w:left="660"/>
        <w:spacing w:after="0"/>
        <w:tabs>
          <w:tab w:leader="none" w:pos="1160" w:val="left"/>
        </w:tabs>
        <w:rPr>
          <w:sz w:val="20"/>
          <w:szCs w:val="20"/>
          <w:color w:val="auto"/>
        </w:rPr>
      </w:pPr>
      <w:r>
        <w:rPr>
          <w:rFonts w:ascii="Arial" w:cs="Arial" w:eastAsia="Arial" w:hAnsi="Arial"/>
          <w:sz w:val="20"/>
          <w:szCs w:val="20"/>
          <w:color w:val="auto"/>
        </w:rPr>
        <w:t>2.10</w:t>
      </w:r>
      <w:r>
        <w:rPr>
          <w:sz w:val="20"/>
          <w:szCs w:val="20"/>
          <w:color w:val="auto"/>
        </w:rPr>
        <w:tab/>
      </w:r>
      <w:r>
        <w:rPr>
          <w:rFonts w:ascii="Arial" w:cs="Arial" w:eastAsia="Arial" w:hAnsi="Arial"/>
          <w:sz w:val="18"/>
          <w:szCs w:val="18"/>
          <w:u w:val="single" w:color="auto"/>
          <w:color w:val="auto"/>
        </w:rPr>
        <w:t>Computation of Interest and Fees; Retroactive Adjustments of Applicable Rate</w:t>
      </w:r>
      <w:r>
        <w:rPr>
          <w:rFonts w:ascii="Arial" w:cs="Arial" w:eastAsia="Arial" w:hAnsi="Arial"/>
          <w:sz w:val="18"/>
          <w:szCs w:val="18"/>
          <w:color w:val="auto"/>
        </w:rPr>
        <w:t>.</w:t>
      </w:r>
    </w:p>
    <w:p>
      <w:pPr>
        <w:spacing w:after="0" w:line="270" w:lineRule="exact"/>
        <w:rPr>
          <w:sz w:val="20"/>
          <w:szCs w:val="20"/>
          <w:color w:val="auto"/>
        </w:rPr>
      </w:pPr>
    </w:p>
    <w:p>
      <w:pPr>
        <w:ind w:left="1700" w:hanging="395"/>
        <w:spacing w:after="0"/>
        <w:tabs>
          <w:tab w:leader="none" w:pos="1700" w:val="left"/>
        </w:tabs>
        <w:numPr>
          <w:ilvl w:val="0"/>
          <w:numId w:val="132"/>
        </w:numPr>
        <w:rPr>
          <w:rFonts w:ascii="Arial" w:cs="Arial" w:eastAsia="Arial" w:hAnsi="Arial"/>
          <w:sz w:val="19"/>
          <w:szCs w:val="19"/>
          <w:color w:val="auto"/>
        </w:rPr>
      </w:pPr>
      <w:r>
        <w:rPr>
          <w:rFonts w:ascii="Arial" w:cs="Arial" w:eastAsia="Arial" w:hAnsi="Arial"/>
          <w:sz w:val="19"/>
          <w:szCs w:val="19"/>
          <w:color w:val="auto"/>
        </w:rPr>
        <w:t>All computations of interest for Base Rate Loans (including Base Rate Loans determined by reference to the Fixed</w:t>
      </w:r>
    </w:p>
    <w:p>
      <w:pPr>
        <w:spacing w:after="0" w:line="65" w:lineRule="exact"/>
        <w:rPr>
          <w:rFonts w:ascii="Arial" w:cs="Arial" w:eastAsia="Arial" w:hAnsi="Arial"/>
          <w:sz w:val="19"/>
          <w:szCs w:val="19"/>
          <w:color w:val="auto"/>
        </w:rPr>
      </w:pPr>
    </w:p>
    <w:p>
      <w:pPr>
        <w:ind w:left="660" w:right="180"/>
        <w:spacing w:after="0" w:line="268" w:lineRule="exact"/>
        <w:rPr>
          <w:rFonts w:ascii="Arial" w:cs="Arial" w:eastAsia="Arial" w:hAnsi="Arial"/>
          <w:sz w:val="19"/>
          <w:szCs w:val="19"/>
          <w:color w:val="auto"/>
        </w:rPr>
      </w:pPr>
      <w:r>
        <w:rPr>
          <w:rFonts w:ascii="Arial" w:cs="Arial" w:eastAsia="Arial" w:hAnsi="Arial"/>
          <w:sz w:val="18"/>
          <w:szCs w:val="18"/>
          <w:color w:val="auto"/>
        </w:rPr>
        <w:t>LIBOR Rate) shall be made on the basis of a year of 365 or 366 days, as the case may be, and actual days elapsed. All other computations of fees and interest shall be made on the basis of a 360</w:t>
      </w:r>
      <w:r>
        <w:rPr>
          <w:rFonts w:ascii="MS PGothic" w:cs="MS PGothic" w:eastAsia="MS PGothic" w:hAnsi="MS PGothic"/>
          <w:sz w:val="18"/>
          <w:szCs w:val="18"/>
          <w:color w:val="auto"/>
        </w:rPr>
        <w:t>‑</w:t>
      </w:r>
      <w:r>
        <w:rPr>
          <w:rFonts w:ascii="Arial" w:cs="Arial" w:eastAsia="Arial" w:hAnsi="Arial"/>
          <w:sz w:val="18"/>
          <w:szCs w:val="18"/>
          <w:color w:val="auto"/>
        </w:rPr>
        <w:t>day year and actual days elapsed (which results in more fees or interest, as applicable, being paid than if computed on the basis of a 365</w:t>
      </w:r>
      <w:r>
        <w:rPr>
          <w:rFonts w:ascii="MS PGothic" w:cs="MS PGothic" w:eastAsia="MS PGothic" w:hAnsi="MS PGothic"/>
          <w:sz w:val="18"/>
          <w:szCs w:val="18"/>
          <w:color w:val="auto"/>
        </w:rPr>
        <w:t>‑</w:t>
      </w:r>
      <w:r>
        <w:rPr>
          <w:rFonts w:ascii="Arial" w:cs="Arial" w:eastAsia="Arial" w:hAnsi="Arial"/>
          <w:sz w:val="18"/>
          <w:szCs w:val="18"/>
          <w:color w:val="auto"/>
        </w:rPr>
        <w:t xml:space="preserve">day year), or, in the case of interest in respect of Loans denominated in currencies other than Dollars as to which market practice differs from the foregoing, in accordance with such market practice. Interest shall accrue on each Loan for the day on which the Loan is made, and shall not accrue on a Loan, or any portion thereof, for the day on which the Loan or such portion is paid,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any Loan that is repaid on the same day on which it is made shall, subject to </w:t>
      </w:r>
      <w:r>
        <w:rPr>
          <w:rFonts w:ascii="Arial" w:cs="Arial" w:eastAsia="Arial" w:hAnsi="Arial"/>
          <w:sz w:val="18"/>
          <w:szCs w:val="18"/>
          <w:u w:val="single" w:color="auto"/>
          <w:color w:val="auto"/>
        </w:rPr>
        <w:t>Section 2.11(a)</w:t>
      </w:r>
      <w:r>
        <w:rPr>
          <w:rFonts w:ascii="Arial" w:cs="Arial" w:eastAsia="Arial" w:hAnsi="Arial"/>
          <w:sz w:val="18"/>
          <w:szCs w:val="18"/>
          <w:color w:val="auto"/>
        </w:rPr>
        <w:t>, bear interest for one day. Each determination by the Administrative Agent of an interest rate or fee hereunder shall be conclusive and binding for all purposes, absent manifest error.</w:t>
      </w:r>
    </w:p>
    <w:p>
      <w:pPr>
        <w:spacing w:after="0" w:line="238" w:lineRule="exact"/>
        <w:rPr>
          <w:rFonts w:ascii="Arial" w:cs="Arial" w:eastAsia="Arial" w:hAnsi="Arial"/>
          <w:sz w:val="19"/>
          <w:szCs w:val="19"/>
          <w:color w:val="auto"/>
        </w:rPr>
      </w:pPr>
    </w:p>
    <w:p>
      <w:pPr>
        <w:ind w:left="1720" w:hanging="415"/>
        <w:spacing w:after="0"/>
        <w:tabs>
          <w:tab w:leader="none" w:pos="1720" w:val="left"/>
        </w:tabs>
        <w:numPr>
          <w:ilvl w:val="0"/>
          <w:numId w:val="132"/>
        </w:numPr>
        <w:rPr>
          <w:rFonts w:ascii="Arial" w:cs="Arial" w:eastAsia="Arial" w:hAnsi="Arial"/>
          <w:sz w:val="19"/>
          <w:szCs w:val="19"/>
          <w:color w:val="auto"/>
        </w:rPr>
      </w:pPr>
      <w:r>
        <w:rPr>
          <w:rFonts w:ascii="Arial" w:cs="Arial" w:eastAsia="Arial" w:hAnsi="Arial"/>
          <w:sz w:val="19"/>
          <w:szCs w:val="19"/>
          <w:color w:val="auto"/>
        </w:rPr>
        <w:t>If, as a result of any restatement of or other adjustment to the financial statements of the Borrowers or for any other</w:t>
      </w:r>
    </w:p>
    <w:p>
      <w:pPr>
        <w:spacing w:after="0" w:line="65" w:lineRule="exact"/>
        <w:rPr>
          <w:rFonts w:ascii="Arial" w:cs="Arial" w:eastAsia="Arial" w:hAnsi="Arial"/>
          <w:sz w:val="19"/>
          <w:szCs w:val="19"/>
          <w:color w:val="auto"/>
        </w:rPr>
      </w:pPr>
    </w:p>
    <w:p>
      <w:pPr>
        <w:ind w:left="660" w:right="20"/>
        <w:spacing w:after="0" w:line="318" w:lineRule="auto"/>
        <w:rPr>
          <w:rFonts w:ascii="Arial" w:cs="Arial" w:eastAsia="Arial" w:hAnsi="Arial"/>
          <w:sz w:val="19"/>
          <w:szCs w:val="19"/>
          <w:color w:val="auto"/>
        </w:rPr>
      </w:pPr>
      <w:r>
        <w:rPr>
          <w:rFonts w:ascii="Arial" w:cs="Arial" w:eastAsia="Arial" w:hAnsi="Arial"/>
          <w:sz w:val="18"/>
          <w:szCs w:val="18"/>
          <w:color w:val="auto"/>
        </w:rPr>
        <w:t xml:space="preserve">reason, the Borrowers or the Lenders determine that (i) the Consolidated Total Leverage Ratio as calculated by the Borrowers as of any applicable date was inaccurate and (ii) a proper calculation of the Consolidated Total Leverage Ratio would have resulted in higher pricing for such period, the Borrowers shall immediately and retroactively be obligated to pay to the Administrative Agent for the account of the applicable Lenders, promptly on demand by the Administrative Agent (or, after the occurrence of an actual or deemed entry of an order for relief with respect to any Borrower under the Bankruptcy Code of the United States, automatically and without further action by the Administrative Agent, any Lender or any L/C Issuer), an amount equal to the excess of the amount of interest and fees that should have been paid for such period over the amount of interest and fees actually paid for such period. This paragraph shall not limit the rights of the Administrative Agent, any Lender or any L/C Issuer, as the case may be, under </w:t>
      </w:r>
      <w:r>
        <w:rPr>
          <w:rFonts w:ascii="Arial" w:cs="Arial" w:eastAsia="Arial" w:hAnsi="Arial"/>
          <w:sz w:val="18"/>
          <w:szCs w:val="18"/>
          <w:u w:val="single" w:color="auto"/>
          <w:color w:val="auto"/>
        </w:rPr>
        <w:t>Section 2.03(c)(iii)</w:t>
      </w:r>
      <w:r>
        <w:rPr>
          <w:rFonts w:ascii="Arial" w:cs="Arial" w:eastAsia="Arial" w:hAnsi="Arial"/>
          <w:sz w:val="18"/>
          <w:szCs w:val="18"/>
          <w:color w:val="auto"/>
        </w:rPr>
        <w:t xml:space="preserve">, </w:t>
      </w:r>
      <w:r>
        <w:rPr>
          <w:rFonts w:ascii="Arial" w:cs="Arial" w:eastAsia="Arial" w:hAnsi="Arial"/>
          <w:sz w:val="18"/>
          <w:szCs w:val="18"/>
          <w:u w:val="single" w:color="auto"/>
          <w:color w:val="auto"/>
        </w:rPr>
        <w:t>2.03(j)</w:t>
      </w:r>
      <w:r>
        <w:rPr>
          <w:rFonts w:ascii="Arial" w:cs="Arial" w:eastAsia="Arial" w:hAnsi="Arial"/>
          <w:sz w:val="18"/>
          <w:szCs w:val="18"/>
          <w:color w:val="auto"/>
        </w:rPr>
        <w:t xml:space="preserve">, </w:t>
      </w:r>
      <w:r>
        <w:rPr>
          <w:rFonts w:ascii="Arial" w:cs="Arial" w:eastAsia="Arial" w:hAnsi="Arial"/>
          <w:sz w:val="18"/>
          <w:szCs w:val="18"/>
          <w:u w:val="single" w:color="auto"/>
          <w:color w:val="auto"/>
        </w:rPr>
        <w:t>2.08(b)</w:t>
      </w:r>
      <w:r>
        <w:rPr>
          <w:rFonts w:ascii="Arial" w:cs="Arial" w:eastAsia="Arial" w:hAnsi="Arial"/>
          <w:sz w:val="18"/>
          <w:szCs w:val="18"/>
          <w:color w:val="auto"/>
        </w:rPr>
        <w:t xml:space="preserve">, </w:t>
      </w:r>
      <w:r>
        <w:rPr>
          <w:rFonts w:ascii="Arial" w:cs="Arial" w:eastAsia="Arial" w:hAnsi="Arial"/>
          <w:sz w:val="18"/>
          <w:szCs w:val="18"/>
          <w:u w:val="single" w:color="auto"/>
          <w:color w:val="auto"/>
        </w:rPr>
        <w:t>2.09</w:t>
      </w:r>
      <w:r>
        <w:rPr>
          <w:rFonts w:ascii="Arial" w:cs="Arial" w:eastAsia="Arial" w:hAnsi="Arial"/>
          <w:sz w:val="18"/>
          <w:szCs w:val="18"/>
          <w:color w:val="auto"/>
        </w:rPr>
        <w:t xml:space="preserve"> or under </w:t>
      </w:r>
      <w:r>
        <w:rPr>
          <w:rFonts w:ascii="Arial" w:cs="Arial" w:eastAsia="Arial" w:hAnsi="Arial"/>
          <w:sz w:val="18"/>
          <w:szCs w:val="18"/>
          <w:u w:val="single" w:color="auto"/>
          <w:color w:val="auto"/>
        </w:rPr>
        <w:t>Article IX</w:t>
      </w:r>
      <w:r>
        <w:rPr>
          <w:rFonts w:ascii="Arial" w:cs="Arial" w:eastAsia="Arial" w:hAnsi="Arial"/>
          <w:sz w:val="18"/>
          <w:szCs w:val="18"/>
          <w:color w:val="auto"/>
        </w:rPr>
        <w:t>. The Borrowers’ obligations under this paragraph shall survive the termination of the Aggregate Commitments and the repayment of all other Obligations hereunder.</w:t>
      </w:r>
    </w:p>
    <w:p>
      <w:pPr>
        <w:spacing w:after="0" w:line="175" w:lineRule="exact"/>
        <w:rPr>
          <w:sz w:val="20"/>
          <w:szCs w:val="20"/>
          <w:color w:val="auto"/>
        </w:rPr>
      </w:pPr>
    </w:p>
    <w:p>
      <w:pPr>
        <w:ind w:left="660"/>
        <w:spacing w:after="0"/>
        <w:tabs>
          <w:tab w:leader="none" w:pos="1160" w:val="left"/>
        </w:tabs>
        <w:rPr>
          <w:sz w:val="20"/>
          <w:szCs w:val="20"/>
          <w:color w:val="auto"/>
        </w:rPr>
      </w:pPr>
      <w:r>
        <w:rPr>
          <w:rFonts w:ascii="Arial" w:cs="Arial" w:eastAsia="Arial" w:hAnsi="Arial"/>
          <w:sz w:val="20"/>
          <w:szCs w:val="20"/>
          <w:color w:val="auto"/>
        </w:rPr>
        <w:t>2.11</w:t>
      </w:r>
      <w:r>
        <w:rPr>
          <w:sz w:val="20"/>
          <w:szCs w:val="20"/>
          <w:color w:val="auto"/>
        </w:rPr>
        <w:tab/>
      </w:r>
      <w:r>
        <w:rPr>
          <w:rFonts w:ascii="Arial" w:cs="Arial" w:eastAsia="Arial" w:hAnsi="Arial"/>
          <w:sz w:val="18"/>
          <w:szCs w:val="18"/>
          <w:u w:val="single" w:color="auto"/>
          <w:color w:val="auto"/>
        </w:rPr>
        <w:t>Payments Generally; Administrative Agent’s Clawback</w:t>
      </w:r>
      <w:r>
        <w:rPr>
          <w:rFonts w:ascii="Arial" w:cs="Arial" w:eastAsia="Arial" w:hAnsi="Arial"/>
          <w:sz w:val="18"/>
          <w:szCs w:val="18"/>
          <w:color w:val="auto"/>
        </w:rPr>
        <w:t>.</w:t>
      </w:r>
    </w:p>
    <w:p>
      <w:pPr>
        <w:spacing w:after="0" w:line="270" w:lineRule="exact"/>
        <w:rPr>
          <w:sz w:val="20"/>
          <w:szCs w:val="20"/>
          <w:color w:val="auto"/>
        </w:rPr>
      </w:pPr>
    </w:p>
    <w:p>
      <w:pPr>
        <w:ind w:left="1700" w:hanging="395"/>
        <w:spacing w:after="0"/>
        <w:tabs>
          <w:tab w:leader="none" w:pos="1700" w:val="left"/>
        </w:tabs>
        <w:numPr>
          <w:ilvl w:val="0"/>
          <w:numId w:val="133"/>
        </w:numPr>
        <w:rPr>
          <w:rFonts w:ascii="Arial" w:cs="Arial" w:eastAsia="Arial" w:hAnsi="Arial"/>
          <w:sz w:val="18"/>
          <w:szCs w:val="18"/>
          <w:color w:val="auto"/>
        </w:rPr>
      </w:pPr>
      <w:r>
        <w:rPr>
          <w:rFonts w:ascii="Arial" w:cs="Arial" w:eastAsia="Arial" w:hAnsi="Arial"/>
          <w:sz w:val="18"/>
          <w:szCs w:val="18"/>
          <w:u w:val="single" w:color="auto"/>
          <w:color w:val="auto"/>
        </w:rPr>
        <w:t>General</w:t>
      </w:r>
      <w:r>
        <w:rPr>
          <w:rFonts w:ascii="Arial" w:cs="Arial" w:eastAsia="Arial" w:hAnsi="Arial"/>
          <w:sz w:val="18"/>
          <w:szCs w:val="18"/>
          <w:color w:val="auto"/>
        </w:rPr>
        <w:t>. All payments to be made by the Borrowers shall be made without condition or deduction for any counterclaim,</w:t>
      </w:r>
    </w:p>
    <w:p>
      <w:pPr>
        <w:spacing w:after="0" w:line="76" w:lineRule="exact"/>
        <w:rPr>
          <w:rFonts w:ascii="Arial" w:cs="Arial" w:eastAsia="Arial" w:hAnsi="Arial"/>
          <w:sz w:val="18"/>
          <w:szCs w:val="18"/>
          <w:color w:val="auto"/>
        </w:rPr>
      </w:pPr>
    </w:p>
    <w:p>
      <w:pPr>
        <w:ind w:left="660" w:right="320"/>
        <w:spacing w:after="0" w:line="292" w:lineRule="auto"/>
        <w:rPr>
          <w:rFonts w:ascii="Arial" w:cs="Arial" w:eastAsia="Arial" w:hAnsi="Arial"/>
          <w:sz w:val="18"/>
          <w:szCs w:val="18"/>
          <w:color w:val="auto"/>
        </w:rPr>
      </w:pPr>
      <w:r>
        <w:rPr>
          <w:rFonts w:ascii="Arial" w:cs="Arial" w:eastAsia="Arial" w:hAnsi="Arial"/>
          <w:sz w:val="20"/>
          <w:szCs w:val="20"/>
          <w:color w:val="auto"/>
        </w:rPr>
        <w:t>defense, recoupment or setoff. Except as otherwise expressly provided herein and except with respect to principal of and interest on Loans denominated in currencies other than Dollars, all payments by the Borrowers hereunder shall be made to the Administrative Agent, for the account of the respective Lenders to which such</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104</w:t>
      </w:r>
    </w:p>
    <w:p>
      <w:pPr>
        <w:spacing w:after="0" w:line="10" w:lineRule="exact"/>
        <w:rPr>
          <w:sz w:val="20"/>
          <w:szCs w:val="20"/>
          <w:color w:val="auto"/>
        </w:rPr>
      </w:pPr>
    </w:p>
    <w:p>
      <w:pPr>
        <w:spacing w:after="0"/>
        <w:rPr>
          <w:sz w:val="20"/>
          <w:szCs w:val="20"/>
          <w:color w:val="auto"/>
        </w:rPr>
      </w:pPr>
      <w:r>
        <w:rPr>
          <w:rFonts w:ascii="Arial" w:cs="Arial" w:eastAsia="Arial" w:hAnsi="Arial"/>
          <w:sz w:val="14"/>
          <w:szCs w:val="14"/>
          <w:color w:val="auto"/>
        </w:rPr>
        <w:t>CHAR1\1346423v</w:t>
      </w:r>
      <w:r>
        <w:rPr>
          <w:rFonts w:ascii="Arial" w:cs="Arial" w:eastAsia="Arial" w:hAnsi="Arial"/>
          <w:sz w:val="14"/>
          <w:szCs w:val="14"/>
          <w:color w:val="FF0000"/>
          <w:strike w:val="1"/>
        </w:rPr>
        <w:t>1</w:t>
      </w:r>
      <w:r>
        <w:rPr>
          <w:rFonts w:ascii="Arial" w:cs="Arial" w:eastAsia="Arial" w:hAnsi="Arial"/>
          <w:sz w:val="14"/>
          <w:szCs w:val="14"/>
          <w:u w:val="single" w:color="auto"/>
          <w:color w:val="0000FF"/>
        </w:rPr>
        <w:t>12</w:t>
      </w:r>
    </w:p>
    <w:p>
      <w:pPr>
        <w:sectPr>
          <w:pgSz w:w="11900" w:h="16838" w:orient="portrait"/>
          <w:cols w:equalWidth="0" w:num="1">
            <w:col w:w="11400"/>
          </w:cols>
          <w:pgMar w:left="240" w:top="622" w:right="259" w:bottom="1440" w:gutter="0" w:footer="0" w:header="0"/>
        </w:sectPr>
      </w:pPr>
    </w:p>
    <w:bookmarkStart w:id="156" w:name="page157"/>
    <w:bookmarkEnd w:id="156"/>
    <w:p>
      <w:pPr>
        <w:ind w:left="660"/>
        <w:spacing w:after="0" w:line="317" w:lineRule="auto"/>
        <w:rPr>
          <w:sz w:val="20"/>
          <w:szCs w:val="20"/>
          <w:color w:val="auto"/>
        </w:rPr>
      </w:pPr>
      <w:r>
        <w:rPr>
          <w:rFonts w:ascii="Arial" w:cs="Arial" w:eastAsia="Arial" w:hAnsi="Arial"/>
          <w:sz w:val="18"/>
          <w:szCs w:val="18"/>
          <w:color w:val="auto"/>
        </w:rPr>
        <w:t>payment is owed, at the Administrative Agent’s Office in Dollars and in Same Day Funds not later than 2:00 p.m. on the date specified herein. Except as otherwise expressly provided herein, all payments by the Borrowers hereunder with respect to principal and interest on Loans denominated in a currency other than Dollars shall be made to the Administrative Agent, for the account of the respective Lenders to which such payment is owed, at the Administrative Agent’s Office in such other currency and in Same Day Funds not later than the Applicable Time specified by the Administrative Agent on the dates specified herein. Without limiting the generality of the foregoing, the Administrative Agent may require that any payments due under this Credit Agreement be made in the United States. If, for any reason, a Borrower is prohibited by any Law from making any required payment hereunder in the applicable currency, such Borrower shall make such payment in Dollars in the Dollar Equivalent thereof. The Administrative Agent will promptly distribute to each Lender its pro rata share of such payment in like funds as received by wire transfer to such Lender’s Lending Office. All payments received by the Administrative Agent (i) after 2:00 p.m., in the case of payments in Dollars, or (ii) after the Applicable Time specified by the Administrative Agent in the case of payments in currencies other than Dollars, shall in each case be deemed received on the next succeeding Business Day and any applicable interest or fee shall continue to accrue. Subject to the definition of “Interest Period”, if any payment to be made by a Borrower shall come due on a day other than a Business Day, payment shall be made on the next following Business Day, and such extension of time shall be reflected in computing interest or fees, as the case may be.</w:t>
      </w:r>
    </w:p>
    <w:p>
      <w:pPr>
        <w:spacing w:after="0" w:line="170" w:lineRule="exact"/>
        <w:rPr>
          <w:sz w:val="20"/>
          <w:szCs w:val="20"/>
          <w:color w:val="auto"/>
        </w:rPr>
      </w:pPr>
    </w:p>
    <w:p>
      <w:pPr>
        <w:ind w:left="1720" w:hanging="415"/>
        <w:spacing w:after="0"/>
        <w:tabs>
          <w:tab w:leader="none" w:pos="1720" w:val="left"/>
        </w:tabs>
        <w:numPr>
          <w:ilvl w:val="0"/>
          <w:numId w:val="134"/>
        </w:numPr>
        <w:rPr>
          <w:rFonts w:ascii="Arial" w:cs="Arial" w:eastAsia="Arial" w:hAnsi="Arial"/>
          <w:sz w:val="19"/>
          <w:szCs w:val="19"/>
          <w:color w:val="auto"/>
        </w:rPr>
      </w:pPr>
      <w:r>
        <w:rPr>
          <w:rFonts w:ascii="Arial" w:cs="Arial" w:eastAsia="Arial" w:hAnsi="Arial"/>
          <w:sz w:val="19"/>
          <w:szCs w:val="19"/>
          <w:color w:val="auto"/>
        </w:rPr>
        <w:t xml:space="preserve">(i)  </w:t>
      </w:r>
      <w:r>
        <w:rPr>
          <w:rFonts w:ascii="Arial" w:cs="Arial" w:eastAsia="Arial" w:hAnsi="Arial"/>
          <w:sz w:val="19"/>
          <w:szCs w:val="19"/>
          <w:u w:val="single" w:color="auto"/>
          <w:color w:val="auto"/>
        </w:rPr>
        <w:t>Funding by Lenders; Presumption by Administrative Agent</w:t>
      </w:r>
      <w:r>
        <w:rPr>
          <w:rFonts w:ascii="Arial" w:cs="Arial" w:eastAsia="Arial" w:hAnsi="Arial"/>
          <w:sz w:val="19"/>
          <w:szCs w:val="19"/>
          <w:color w:val="auto"/>
        </w:rPr>
        <w:t>. Unless the Administrative Agent shall have received</w:t>
      </w:r>
    </w:p>
    <w:p>
      <w:pPr>
        <w:spacing w:after="0" w:line="65" w:lineRule="exact"/>
        <w:rPr>
          <w:rFonts w:ascii="Arial" w:cs="Arial" w:eastAsia="Arial" w:hAnsi="Arial"/>
          <w:sz w:val="19"/>
          <w:szCs w:val="19"/>
          <w:color w:val="auto"/>
        </w:rPr>
      </w:pPr>
    </w:p>
    <w:p>
      <w:pPr>
        <w:ind w:left="660" w:right="120"/>
        <w:spacing w:after="0" w:line="313" w:lineRule="auto"/>
        <w:rPr>
          <w:rFonts w:ascii="Arial" w:cs="Arial" w:eastAsia="Arial" w:hAnsi="Arial"/>
          <w:sz w:val="19"/>
          <w:szCs w:val="19"/>
          <w:color w:val="auto"/>
        </w:rPr>
      </w:pPr>
      <w:r>
        <w:rPr>
          <w:rFonts w:ascii="Arial" w:cs="Arial" w:eastAsia="Arial" w:hAnsi="Arial"/>
          <w:sz w:val="18"/>
          <w:szCs w:val="18"/>
          <w:color w:val="auto"/>
        </w:rPr>
        <w:t xml:space="preserve">notice from a Lender prior to the proposed date of any Borrowing of Fixed LIBOR Rate Loans (or, in the case of any Borrowing of Base Rate Loans or Floating LIBOR Rate Loans, prior to 1:00 p.m. on the date of such Borrowing) that such Lender will not make available to the Administrative Agent such Lender’s share of such Borrowing, the Administrative Agent may assume that such Lender has made such share available on such date in accordance with </w:t>
      </w:r>
      <w:r>
        <w:rPr>
          <w:rFonts w:ascii="Arial" w:cs="Arial" w:eastAsia="Arial" w:hAnsi="Arial"/>
          <w:sz w:val="18"/>
          <w:szCs w:val="18"/>
          <w:u w:val="single" w:color="auto"/>
          <w:color w:val="auto"/>
        </w:rPr>
        <w:t>Section 2.02</w:t>
      </w:r>
      <w:r>
        <w:rPr>
          <w:rFonts w:ascii="Arial" w:cs="Arial" w:eastAsia="Arial" w:hAnsi="Arial"/>
          <w:sz w:val="18"/>
          <w:szCs w:val="18"/>
          <w:color w:val="auto"/>
        </w:rPr>
        <w:t xml:space="preserve"> (or, in the case of a Borrowing of Base Rate Loans or Floating LIBOR Rate Loans, that such Lender has made such share available in accordance with and at the time required by </w:t>
      </w:r>
      <w:r>
        <w:rPr>
          <w:rFonts w:ascii="Arial" w:cs="Arial" w:eastAsia="Arial" w:hAnsi="Arial"/>
          <w:sz w:val="18"/>
          <w:szCs w:val="18"/>
          <w:u w:val="single" w:color="auto"/>
          <w:color w:val="auto"/>
        </w:rPr>
        <w:t>Section</w:t>
      </w:r>
    </w:p>
    <w:p>
      <w:pPr>
        <w:ind w:left="660"/>
        <w:spacing w:after="0" w:line="318" w:lineRule="auto"/>
        <w:rPr>
          <w:rFonts w:ascii="Arial" w:cs="Arial" w:eastAsia="Arial" w:hAnsi="Arial"/>
          <w:sz w:val="19"/>
          <w:szCs w:val="19"/>
          <w:color w:val="auto"/>
        </w:rPr>
      </w:pPr>
      <w:r>
        <w:rPr>
          <w:rFonts w:ascii="Arial" w:cs="Arial" w:eastAsia="Arial" w:hAnsi="Arial"/>
          <w:sz w:val="18"/>
          <w:szCs w:val="18"/>
          <w:u w:val="single" w:color="auto"/>
          <w:color w:val="auto"/>
        </w:rPr>
        <w:t>2.02</w:t>
      </w:r>
      <w:r>
        <w:rPr>
          <w:rFonts w:ascii="Arial" w:cs="Arial" w:eastAsia="Arial" w:hAnsi="Arial"/>
          <w:sz w:val="18"/>
          <w:szCs w:val="18"/>
          <w:color w:val="auto"/>
        </w:rPr>
        <w:t>) and may, in reliance upon such assumption, make available to the applicable Borrower a corresponding amount. In such event, if a Lender has not in fact made its share of the applicable Borrowing available to the Administrative Agent, then the applicable Lender and the applicable Borrowers severally agree to pay to the Administrative Agent forthwith on demand such corresponding amount in Same Day Funds with interest thereon, for each day from and including the date such amount is made available to such Borrower to but excluding the date of payment to the Administrative Agent, at (A) in the case of a payment to be made by such Lender, the Overnight Rate, plus any administrative, processing or similar fee customarily charged by the Administrative Agent in connection with the foregoing, and (B) in the case of a payment to be made by a Borrower, the interest rate applicable to Base Rate Loans. If such Borrower and such Lender shall pay such interest to the Administrative Agent for the same or an overlapping period, the Administrative Agent shall promptly remit to such Borrower the amount of such interest paid by such Borrower for such period. If such Lender pays its share of the applicable Borrowing to the Administrative Agent, then the amount so paid shall constitute such</w:t>
      </w:r>
    </w:p>
    <w:p>
      <w:pPr>
        <w:spacing w:after="0" w:line="391"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105</w:t>
      </w:r>
    </w:p>
    <w:p>
      <w:pPr>
        <w:spacing w:after="0" w:line="10" w:lineRule="exact"/>
        <w:rPr>
          <w:sz w:val="20"/>
          <w:szCs w:val="20"/>
          <w:color w:val="auto"/>
        </w:rPr>
      </w:pPr>
    </w:p>
    <w:p>
      <w:pPr>
        <w:spacing w:after="0"/>
        <w:rPr>
          <w:sz w:val="20"/>
          <w:szCs w:val="20"/>
          <w:color w:val="auto"/>
        </w:rPr>
      </w:pPr>
      <w:r>
        <w:rPr>
          <w:rFonts w:ascii="Arial" w:cs="Arial" w:eastAsia="Arial" w:hAnsi="Arial"/>
          <w:sz w:val="14"/>
          <w:szCs w:val="14"/>
          <w:color w:val="auto"/>
        </w:rPr>
        <w:t>CHAR1\1346423v</w:t>
      </w:r>
      <w:r>
        <w:rPr>
          <w:rFonts w:ascii="Arial" w:cs="Arial" w:eastAsia="Arial" w:hAnsi="Arial"/>
          <w:sz w:val="14"/>
          <w:szCs w:val="14"/>
          <w:color w:val="FF0000"/>
          <w:strike w:val="1"/>
        </w:rPr>
        <w:t>1</w:t>
      </w:r>
      <w:r>
        <w:rPr>
          <w:rFonts w:ascii="Arial" w:cs="Arial" w:eastAsia="Arial" w:hAnsi="Arial"/>
          <w:sz w:val="14"/>
          <w:szCs w:val="14"/>
          <w:u w:val="single" w:color="auto"/>
          <w:color w:val="0000FF"/>
        </w:rPr>
        <w:t>12</w:t>
      </w:r>
    </w:p>
    <w:p>
      <w:pPr>
        <w:sectPr>
          <w:pgSz w:w="11900" w:h="16838" w:orient="portrait"/>
          <w:cols w:equalWidth="0" w:num="1">
            <w:col w:w="11420"/>
          </w:cols>
          <w:pgMar w:left="240" w:top="609" w:right="239" w:bottom="1440" w:gutter="0" w:footer="0" w:header="0"/>
        </w:sectPr>
      </w:pPr>
    </w:p>
    <w:bookmarkStart w:id="157" w:name="page158"/>
    <w:bookmarkEnd w:id="157"/>
    <w:p>
      <w:pPr>
        <w:ind w:left="660" w:right="200"/>
        <w:spacing w:after="0" w:line="303" w:lineRule="auto"/>
        <w:rPr>
          <w:sz w:val="20"/>
          <w:szCs w:val="20"/>
          <w:color w:val="auto"/>
        </w:rPr>
      </w:pPr>
      <w:r>
        <w:rPr>
          <w:rFonts w:ascii="Arial" w:cs="Arial" w:eastAsia="Arial" w:hAnsi="Arial"/>
          <w:sz w:val="20"/>
          <w:szCs w:val="20"/>
          <w:color w:val="auto"/>
        </w:rPr>
        <w:t>Lender’s Loan included in such Borrowing. Any payment by a Borrower shall be without prejudice to any claim such Borrower may have against a Lender that shall have failed to make such payment to the Administrative Agent.</w:t>
      </w:r>
    </w:p>
    <w:p>
      <w:pPr>
        <w:spacing w:after="0" w:line="189" w:lineRule="exact"/>
        <w:rPr>
          <w:sz w:val="20"/>
          <w:szCs w:val="20"/>
          <w:color w:val="auto"/>
        </w:rPr>
      </w:pPr>
    </w:p>
    <w:p>
      <w:pPr>
        <w:ind w:left="1300" w:right="80" w:firstLine="653"/>
        <w:spacing w:after="0" w:line="350" w:lineRule="auto"/>
        <w:tabs>
          <w:tab w:leader="none" w:pos="2332" w:val="left"/>
        </w:tabs>
        <w:numPr>
          <w:ilvl w:val="0"/>
          <w:numId w:val="135"/>
        </w:numPr>
        <w:rPr>
          <w:rFonts w:ascii="Arial" w:cs="Arial" w:eastAsia="Arial" w:hAnsi="Arial"/>
          <w:sz w:val="19"/>
          <w:szCs w:val="19"/>
          <w:color w:val="auto"/>
        </w:rPr>
      </w:pPr>
      <w:r>
        <w:rPr>
          <w:rFonts w:ascii="Arial" w:cs="Arial" w:eastAsia="Arial" w:hAnsi="Arial"/>
          <w:sz w:val="18"/>
          <w:szCs w:val="18"/>
          <w:u w:val="single" w:color="auto"/>
          <w:color w:val="auto"/>
        </w:rPr>
        <w:t>Payments by Borrowers; Presumptions by Administrative Agent</w:t>
      </w:r>
      <w:r>
        <w:rPr>
          <w:rFonts w:ascii="Arial" w:cs="Arial" w:eastAsia="Arial" w:hAnsi="Arial"/>
          <w:sz w:val="18"/>
          <w:szCs w:val="18"/>
          <w:color w:val="auto"/>
        </w:rPr>
        <w:t>. Unless the Administrative Agent shall have received notice from a Borrower prior to the date on which any payment is due to the Administrative Agent for the account of the Lenders or any L/C Issuer hereunder that such Borrower will not make such payment, the Administrative Agent may assume that such Borrower has made such payment on such date in accordance herewith and may, in reliance upon such assumption, distribute to the Lenders or any L/C Issuer, as the case may be, the amount due. In such event, if such Borrower has not in fact made such payment, then each of the Lenders or the applicable L/C Issuer, as the case may be, severally agrees to repay to the Administrative Agent forthwith on demand the amount so distributed to such Lender or such L/C Issuer, in Same Day Funds with interest thereon, for each day from and including the date such amount is distributed to it to but excluding the date of payment to the Administrative Agent, at the Overnight Rate.</w:t>
      </w:r>
    </w:p>
    <w:p>
      <w:pPr>
        <w:spacing w:after="0" w:line="130" w:lineRule="exact"/>
        <w:rPr>
          <w:sz w:val="20"/>
          <w:szCs w:val="20"/>
          <w:color w:val="auto"/>
        </w:rPr>
      </w:pPr>
    </w:p>
    <w:p>
      <w:pPr>
        <w:ind w:right="500"/>
        <w:spacing w:after="0" w:line="260" w:lineRule="auto"/>
        <w:rPr>
          <w:sz w:val="20"/>
          <w:szCs w:val="20"/>
          <w:color w:val="auto"/>
        </w:rPr>
      </w:pPr>
      <w:r>
        <w:rPr>
          <w:rFonts w:ascii="Arial" w:cs="Arial" w:eastAsia="Arial" w:hAnsi="Arial"/>
          <w:sz w:val="20"/>
          <w:szCs w:val="20"/>
          <w:color w:val="auto"/>
        </w:rPr>
        <w:t xml:space="preserve">A notice of the Administrative Agent to any Lender or any Borrower with respect to any amount owing under this </w:t>
      </w:r>
      <w:r>
        <w:rPr>
          <w:rFonts w:ascii="Arial" w:cs="Arial" w:eastAsia="Arial" w:hAnsi="Arial"/>
          <w:sz w:val="20"/>
          <w:szCs w:val="20"/>
          <w:u w:val="single" w:color="auto"/>
          <w:color w:val="auto"/>
        </w:rPr>
        <w:t>subsection (b)</w:t>
      </w:r>
      <w:r>
        <w:rPr>
          <w:rFonts w:ascii="Arial" w:cs="Arial" w:eastAsia="Arial" w:hAnsi="Arial"/>
          <w:sz w:val="20"/>
          <w:szCs w:val="20"/>
          <w:color w:val="auto"/>
        </w:rPr>
        <w:t xml:space="preserve"> shall be conclusive, absent manifest error.</w:t>
      </w:r>
    </w:p>
    <w:p>
      <w:pPr>
        <w:spacing w:after="0" w:line="204" w:lineRule="exact"/>
        <w:rPr>
          <w:sz w:val="20"/>
          <w:szCs w:val="20"/>
          <w:color w:val="auto"/>
        </w:rPr>
      </w:pPr>
    </w:p>
    <w:p>
      <w:pPr>
        <w:ind w:left="1700" w:hanging="395"/>
        <w:spacing w:after="0"/>
        <w:tabs>
          <w:tab w:leader="none" w:pos="1700" w:val="left"/>
        </w:tabs>
        <w:numPr>
          <w:ilvl w:val="0"/>
          <w:numId w:val="136"/>
        </w:numPr>
        <w:rPr>
          <w:rFonts w:ascii="Arial" w:cs="Arial" w:eastAsia="Arial" w:hAnsi="Arial"/>
          <w:sz w:val="18"/>
          <w:szCs w:val="18"/>
          <w:color w:val="auto"/>
        </w:rPr>
      </w:pPr>
      <w:r>
        <w:rPr>
          <w:rFonts w:ascii="Arial" w:cs="Arial" w:eastAsia="Arial" w:hAnsi="Arial"/>
          <w:sz w:val="18"/>
          <w:szCs w:val="18"/>
          <w:u w:val="single" w:color="auto"/>
          <w:color w:val="auto"/>
        </w:rPr>
        <w:t>Failure to Satisfy Conditions Precedent</w:t>
      </w:r>
      <w:r>
        <w:rPr>
          <w:rFonts w:ascii="Arial" w:cs="Arial" w:eastAsia="Arial" w:hAnsi="Arial"/>
          <w:sz w:val="18"/>
          <w:szCs w:val="18"/>
          <w:color w:val="auto"/>
        </w:rPr>
        <w:t>. If any Lender makes available to the Administrative Agent funds for any Loan to</w:t>
      </w:r>
    </w:p>
    <w:p>
      <w:pPr>
        <w:spacing w:after="0" w:line="76" w:lineRule="exact"/>
        <w:rPr>
          <w:rFonts w:ascii="Arial" w:cs="Arial" w:eastAsia="Arial" w:hAnsi="Arial"/>
          <w:sz w:val="18"/>
          <w:szCs w:val="18"/>
          <w:color w:val="auto"/>
        </w:rPr>
      </w:pPr>
    </w:p>
    <w:p>
      <w:pPr>
        <w:ind w:left="660" w:right="20"/>
        <w:spacing w:after="0" w:line="288" w:lineRule="auto"/>
        <w:rPr>
          <w:rFonts w:ascii="Arial" w:cs="Arial" w:eastAsia="Arial" w:hAnsi="Arial"/>
          <w:sz w:val="18"/>
          <w:szCs w:val="18"/>
          <w:color w:val="auto"/>
        </w:rPr>
      </w:pPr>
      <w:r>
        <w:rPr>
          <w:rFonts w:ascii="Arial" w:cs="Arial" w:eastAsia="Arial" w:hAnsi="Arial"/>
          <w:sz w:val="20"/>
          <w:szCs w:val="20"/>
          <w:color w:val="auto"/>
        </w:rPr>
        <w:t xml:space="preserve">be made by such Lender to a Borrower as provided in the foregoing provisions of this </w:t>
      </w:r>
      <w:r>
        <w:rPr>
          <w:rFonts w:ascii="Arial" w:cs="Arial" w:eastAsia="Arial" w:hAnsi="Arial"/>
          <w:sz w:val="20"/>
          <w:szCs w:val="20"/>
          <w:u w:val="single" w:color="auto"/>
          <w:color w:val="auto"/>
        </w:rPr>
        <w:t>Article II</w:t>
      </w:r>
      <w:r>
        <w:rPr>
          <w:rFonts w:ascii="Arial" w:cs="Arial" w:eastAsia="Arial" w:hAnsi="Arial"/>
          <w:sz w:val="20"/>
          <w:szCs w:val="20"/>
          <w:color w:val="auto"/>
        </w:rPr>
        <w:t xml:space="preserve">, and such funds are not made available to such Borrower by the Administrative Agent because the conditions to the applicable Credit Extension set forth in </w:t>
      </w:r>
      <w:r>
        <w:rPr>
          <w:rFonts w:ascii="Arial" w:cs="Arial" w:eastAsia="Arial" w:hAnsi="Arial"/>
          <w:sz w:val="20"/>
          <w:szCs w:val="20"/>
          <w:u w:val="single" w:color="auto"/>
          <w:color w:val="auto"/>
        </w:rPr>
        <w:t>Article V</w:t>
      </w:r>
      <w:r>
        <w:rPr>
          <w:rFonts w:ascii="Arial" w:cs="Arial" w:eastAsia="Arial" w:hAnsi="Arial"/>
          <w:sz w:val="20"/>
          <w:szCs w:val="20"/>
          <w:color w:val="auto"/>
        </w:rPr>
        <w:t xml:space="preserve"> are not satisfied or waived in accordance with the terms hereof, the Administrative Agent shall return such funds (in like funds as received from such Lender) to such Lender, without interest.</w:t>
      </w:r>
    </w:p>
    <w:p>
      <w:pPr>
        <w:spacing w:after="0" w:line="192" w:lineRule="exact"/>
        <w:rPr>
          <w:rFonts w:ascii="Arial" w:cs="Arial" w:eastAsia="Arial" w:hAnsi="Arial"/>
          <w:sz w:val="18"/>
          <w:szCs w:val="18"/>
          <w:color w:val="auto"/>
        </w:rPr>
      </w:pPr>
    </w:p>
    <w:p>
      <w:pPr>
        <w:ind w:left="1720" w:hanging="415"/>
        <w:spacing w:after="0"/>
        <w:tabs>
          <w:tab w:leader="none" w:pos="1720" w:val="left"/>
        </w:tabs>
        <w:numPr>
          <w:ilvl w:val="0"/>
          <w:numId w:val="136"/>
        </w:numPr>
        <w:rPr>
          <w:rFonts w:ascii="Arial" w:cs="Arial" w:eastAsia="Arial" w:hAnsi="Arial"/>
          <w:sz w:val="18"/>
          <w:szCs w:val="18"/>
          <w:color w:val="auto"/>
        </w:rPr>
      </w:pPr>
      <w:r>
        <w:rPr>
          <w:rFonts w:ascii="Arial" w:cs="Arial" w:eastAsia="Arial" w:hAnsi="Arial"/>
          <w:sz w:val="18"/>
          <w:szCs w:val="18"/>
          <w:u w:val="single" w:color="auto"/>
          <w:color w:val="auto"/>
        </w:rPr>
        <w:t>Obligation of the Lenders Several</w:t>
      </w:r>
      <w:r>
        <w:rPr>
          <w:rFonts w:ascii="Arial" w:cs="Arial" w:eastAsia="Arial" w:hAnsi="Arial"/>
          <w:sz w:val="18"/>
          <w:szCs w:val="18"/>
          <w:color w:val="auto"/>
        </w:rPr>
        <w:t>. The obligations of the Lenders hereunder to make Loans, to fund participations in</w:t>
      </w:r>
    </w:p>
    <w:p>
      <w:pPr>
        <w:spacing w:after="0" w:line="76" w:lineRule="exact"/>
        <w:rPr>
          <w:rFonts w:ascii="Arial" w:cs="Arial" w:eastAsia="Arial" w:hAnsi="Arial"/>
          <w:sz w:val="18"/>
          <w:szCs w:val="18"/>
          <w:color w:val="auto"/>
        </w:rPr>
      </w:pPr>
    </w:p>
    <w:p>
      <w:pPr>
        <w:ind w:left="660" w:right="100"/>
        <w:spacing w:after="0" w:line="381" w:lineRule="auto"/>
        <w:rPr>
          <w:rFonts w:ascii="Arial" w:cs="Arial" w:eastAsia="Arial" w:hAnsi="Arial"/>
          <w:sz w:val="18"/>
          <w:szCs w:val="18"/>
          <w:color w:val="auto"/>
        </w:rPr>
      </w:pPr>
      <w:r>
        <w:rPr>
          <w:rFonts w:ascii="Arial" w:cs="Arial" w:eastAsia="Arial" w:hAnsi="Arial"/>
          <w:sz w:val="16"/>
          <w:szCs w:val="16"/>
          <w:color w:val="auto"/>
        </w:rPr>
        <w:t xml:space="preserve">Letters of Credit and Swingline Loans and to make payments pursuant to </w:t>
      </w:r>
      <w:r>
        <w:rPr>
          <w:rFonts w:ascii="Arial" w:cs="Arial" w:eastAsia="Arial" w:hAnsi="Arial"/>
          <w:sz w:val="16"/>
          <w:szCs w:val="16"/>
          <w:u w:val="single" w:color="auto"/>
          <w:color w:val="auto"/>
        </w:rPr>
        <w:t>Section 11.04(c)</w:t>
      </w:r>
      <w:r>
        <w:rPr>
          <w:rFonts w:ascii="Arial" w:cs="Arial" w:eastAsia="Arial" w:hAnsi="Arial"/>
          <w:sz w:val="16"/>
          <w:szCs w:val="16"/>
          <w:color w:val="auto"/>
        </w:rPr>
        <w:t xml:space="preserve"> are several and not joint. The failure of any Lender to make any Loan, to fund any such participation or to make any payment under </w:t>
      </w:r>
      <w:r>
        <w:rPr>
          <w:rFonts w:ascii="Arial" w:cs="Arial" w:eastAsia="Arial" w:hAnsi="Arial"/>
          <w:sz w:val="16"/>
          <w:szCs w:val="16"/>
          <w:u w:val="single" w:color="auto"/>
          <w:color w:val="auto"/>
        </w:rPr>
        <w:t>Section 11.04(c)</w:t>
      </w:r>
      <w:r>
        <w:rPr>
          <w:rFonts w:ascii="Arial" w:cs="Arial" w:eastAsia="Arial" w:hAnsi="Arial"/>
          <w:sz w:val="16"/>
          <w:szCs w:val="16"/>
          <w:color w:val="auto"/>
        </w:rPr>
        <w:t xml:space="preserve"> on any date required hereunder shall not relieve any other Lender of its corresponding obligation to do so on such date, and no Lender shall be responsible for the failure of any other Lender to so make its Loan, to purchase its participation or to make its payment under </w:t>
      </w:r>
      <w:r>
        <w:rPr>
          <w:rFonts w:ascii="Arial" w:cs="Arial" w:eastAsia="Arial" w:hAnsi="Arial"/>
          <w:sz w:val="16"/>
          <w:szCs w:val="16"/>
          <w:u w:val="single" w:color="auto"/>
          <w:color w:val="auto"/>
        </w:rPr>
        <w:t>Section 11.04(c)</w:t>
      </w:r>
      <w:r>
        <w:rPr>
          <w:rFonts w:ascii="Arial" w:cs="Arial" w:eastAsia="Arial" w:hAnsi="Arial"/>
          <w:sz w:val="16"/>
          <w:szCs w:val="16"/>
          <w:color w:val="auto"/>
        </w:rPr>
        <w:t>.</w:t>
      </w:r>
    </w:p>
    <w:p>
      <w:pPr>
        <w:spacing w:after="0" w:line="128" w:lineRule="exact"/>
        <w:rPr>
          <w:rFonts w:ascii="Arial" w:cs="Arial" w:eastAsia="Arial" w:hAnsi="Arial"/>
          <w:sz w:val="18"/>
          <w:szCs w:val="18"/>
          <w:color w:val="auto"/>
        </w:rPr>
      </w:pPr>
    </w:p>
    <w:p>
      <w:pPr>
        <w:ind w:left="1700" w:hanging="395"/>
        <w:spacing w:after="0"/>
        <w:tabs>
          <w:tab w:leader="none" w:pos="1700" w:val="left"/>
        </w:tabs>
        <w:numPr>
          <w:ilvl w:val="0"/>
          <w:numId w:val="136"/>
        </w:numPr>
        <w:rPr>
          <w:rFonts w:ascii="Arial" w:cs="Arial" w:eastAsia="Arial" w:hAnsi="Arial"/>
          <w:sz w:val="18"/>
          <w:szCs w:val="18"/>
          <w:color w:val="auto"/>
        </w:rPr>
      </w:pPr>
      <w:r>
        <w:rPr>
          <w:rFonts w:ascii="Arial" w:cs="Arial" w:eastAsia="Arial" w:hAnsi="Arial"/>
          <w:sz w:val="18"/>
          <w:szCs w:val="18"/>
          <w:u w:val="single" w:color="auto"/>
          <w:color w:val="auto"/>
        </w:rPr>
        <w:t>Funding Source</w:t>
      </w:r>
      <w:r>
        <w:rPr>
          <w:rFonts w:ascii="Arial" w:cs="Arial" w:eastAsia="Arial" w:hAnsi="Arial"/>
          <w:sz w:val="18"/>
          <w:szCs w:val="18"/>
          <w:color w:val="auto"/>
        </w:rPr>
        <w:t>. Nothing herein shall be deemed to obligate any Lender to obtain the funds for any Loan in any particular</w:t>
      </w:r>
    </w:p>
    <w:p>
      <w:pPr>
        <w:spacing w:after="0" w:line="76" w:lineRule="exact"/>
        <w:rPr>
          <w:rFonts w:ascii="Arial" w:cs="Arial" w:eastAsia="Arial" w:hAnsi="Arial"/>
          <w:sz w:val="18"/>
          <w:szCs w:val="18"/>
          <w:color w:val="auto"/>
        </w:rPr>
      </w:pPr>
    </w:p>
    <w:p>
      <w:pPr>
        <w:ind w:left="660" w:right="640"/>
        <w:spacing w:after="0" w:line="303" w:lineRule="auto"/>
        <w:rPr>
          <w:rFonts w:ascii="Arial" w:cs="Arial" w:eastAsia="Arial" w:hAnsi="Arial"/>
          <w:sz w:val="18"/>
          <w:szCs w:val="18"/>
          <w:color w:val="auto"/>
        </w:rPr>
      </w:pPr>
      <w:r>
        <w:rPr>
          <w:rFonts w:ascii="Arial" w:cs="Arial" w:eastAsia="Arial" w:hAnsi="Arial"/>
          <w:sz w:val="20"/>
          <w:szCs w:val="20"/>
          <w:color w:val="auto"/>
        </w:rPr>
        <w:t>place or manner or to constitute a representation by any Lender that it has obtained or will obtain the funds for any Loan in any particular place or manner.</w:t>
      </w:r>
    </w:p>
    <w:p>
      <w:pPr>
        <w:spacing w:after="0" w:line="176" w:lineRule="exact"/>
        <w:rPr>
          <w:sz w:val="20"/>
          <w:szCs w:val="20"/>
          <w:color w:val="auto"/>
        </w:rPr>
      </w:pPr>
    </w:p>
    <w:p>
      <w:pPr>
        <w:ind w:right="400" w:firstLine="648"/>
        <w:spacing w:after="0" w:line="317" w:lineRule="auto"/>
        <w:rPr>
          <w:sz w:val="20"/>
          <w:szCs w:val="20"/>
          <w:color w:val="auto"/>
        </w:rPr>
      </w:pPr>
      <w:r>
        <w:rPr>
          <w:rFonts w:ascii="Arial" w:cs="Arial" w:eastAsia="Arial" w:hAnsi="Arial"/>
          <w:sz w:val="20"/>
          <w:szCs w:val="20"/>
          <w:color w:val="auto"/>
        </w:rPr>
        <w:t xml:space="preserve">2.12 </w:t>
      </w:r>
      <w:r>
        <w:rPr>
          <w:rFonts w:ascii="Arial" w:cs="Arial" w:eastAsia="Arial" w:hAnsi="Arial"/>
          <w:sz w:val="20"/>
          <w:szCs w:val="20"/>
          <w:u w:val="single" w:color="auto"/>
          <w:color w:val="auto"/>
        </w:rPr>
        <w:t>Sharing of Payments By Lenders</w:t>
      </w:r>
      <w:r>
        <w:rPr>
          <w:rFonts w:ascii="Arial" w:cs="Arial" w:eastAsia="Arial" w:hAnsi="Arial"/>
          <w:sz w:val="20"/>
          <w:szCs w:val="20"/>
          <w:color w:val="auto"/>
        </w:rPr>
        <w:t>. If any Lender shall, by exercising any right of setoff or counterclaim or otherwise, obtain payment in respect of any principal of or interest on any of the Loans</w:t>
      </w:r>
    </w:p>
    <w:p>
      <w:pPr>
        <w:spacing w:after="0" w:line="378" w:lineRule="exact"/>
        <w:rPr>
          <w:sz w:val="20"/>
          <w:szCs w:val="20"/>
          <w:color w:val="auto"/>
        </w:rPr>
      </w:pPr>
    </w:p>
    <w:p>
      <w:pPr>
        <w:jc w:val="center"/>
        <w:ind w:right="-59"/>
        <w:spacing w:after="0"/>
        <w:rPr>
          <w:sz w:val="20"/>
          <w:szCs w:val="20"/>
          <w:color w:val="auto"/>
        </w:rPr>
      </w:pPr>
      <w:r>
        <w:rPr>
          <w:rFonts w:ascii="Arial" w:cs="Arial" w:eastAsia="Arial" w:hAnsi="Arial"/>
          <w:sz w:val="20"/>
          <w:szCs w:val="20"/>
          <w:color w:val="auto"/>
        </w:rPr>
        <w:t>106</w:t>
      </w:r>
    </w:p>
    <w:p>
      <w:pPr>
        <w:spacing w:after="0" w:line="10" w:lineRule="exact"/>
        <w:rPr>
          <w:sz w:val="20"/>
          <w:szCs w:val="20"/>
          <w:color w:val="auto"/>
        </w:rPr>
      </w:pPr>
    </w:p>
    <w:p>
      <w:pPr>
        <w:spacing w:after="0"/>
        <w:rPr>
          <w:sz w:val="20"/>
          <w:szCs w:val="20"/>
          <w:color w:val="auto"/>
        </w:rPr>
      </w:pPr>
      <w:r>
        <w:rPr>
          <w:rFonts w:ascii="Arial" w:cs="Arial" w:eastAsia="Arial" w:hAnsi="Arial"/>
          <w:sz w:val="14"/>
          <w:szCs w:val="14"/>
          <w:color w:val="auto"/>
        </w:rPr>
        <w:t>CHAR1\1346423v</w:t>
      </w:r>
      <w:r>
        <w:rPr>
          <w:rFonts w:ascii="Arial" w:cs="Arial" w:eastAsia="Arial" w:hAnsi="Arial"/>
          <w:sz w:val="14"/>
          <w:szCs w:val="14"/>
          <w:color w:val="FF0000"/>
          <w:strike w:val="1"/>
        </w:rPr>
        <w:t>1</w:t>
      </w:r>
      <w:r>
        <w:rPr>
          <w:rFonts w:ascii="Arial" w:cs="Arial" w:eastAsia="Arial" w:hAnsi="Arial"/>
          <w:sz w:val="14"/>
          <w:szCs w:val="14"/>
          <w:u w:val="single" w:color="auto"/>
          <w:color w:val="0000FF"/>
        </w:rPr>
        <w:t>12</w:t>
      </w:r>
    </w:p>
    <w:p>
      <w:pPr>
        <w:sectPr>
          <w:pgSz w:w="11900" w:h="16838" w:orient="portrait"/>
          <w:cols w:equalWidth="0" w:num="1">
            <w:col w:w="11360"/>
          </w:cols>
          <w:pgMar w:left="240" w:top="609" w:right="299" w:bottom="1440" w:gutter="0" w:footer="0" w:header="0"/>
        </w:sectPr>
      </w:pPr>
    </w:p>
    <w:bookmarkStart w:id="158" w:name="page159"/>
    <w:bookmarkEnd w:id="158"/>
    <w:p>
      <w:pPr>
        <w:ind w:right="40"/>
        <w:spacing w:after="0" w:line="323" w:lineRule="auto"/>
        <w:rPr>
          <w:sz w:val="20"/>
          <w:szCs w:val="20"/>
          <w:color w:val="auto"/>
        </w:rPr>
      </w:pPr>
      <w:r>
        <w:rPr>
          <w:rFonts w:ascii="Arial" w:cs="Arial" w:eastAsia="Arial" w:hAnsi="Arial"/>
          <w:sz w:val="18"/>
          <w:szCs w:val="18"/>
          <w:color w:val="auto"/>
        </w:rPr>
        <w:t xml:space="preserve">made by it, or the participations in L/C Obligations or in Swingline Loans held by it resulting in such Lender’s receiving payment of a proportion of the aggregate amount of such Loans or participations and accrued interest thereon greater than its pro rata share thereof as provided herein, then the Lender receiving such greater proportion shall (a) notify the Administrative Agent of such fact, and (b) purchase (for cash at face value) participations in the Loans and subparticipations in L/C Obligations and Swingline Loans of the other Lenders, or make such other adjustments as shall be equitable, so that the benefit of all such payments shall be shared by the Lenders ratably in accordance with the aggregate amount of principal of and accrued interest on their respective Loans and other amounts owing them,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w:t>
      </w:r>
    </w:p>
    <w:p>
      <w:pPr>
        <w:spacing w:after="0" w:line="179" w:lineRule="exact"/>
        <w:rPr>
          <w:sz w:val="20"/>
          <w:szCs w:val="20"/>
          <w:color w:val="auto"/>
        </w:rPr>
      </w:pPr>
    </w:p>
    <w:p>
      <w:pPr>
        <w:ind w:left="1300" w:right="40" w:firstLine="653"/>
        <w:spacing w:after="0" w:line="312" w:lineRule="auto"/>
        <w:tabs>
          <w:tab w:leader="none" w:pos="2332" w:val="left"/>
        </w:tabs>
        <w:numPr>
          <w:ilvl w:val="0"/>
          <w:numId w:val="137"/>
        </w:numPr>
        <w:rPr>
          <w:rFonts w:ascii="Arial" w:cs="Arial" w:eastAsia="Arial" w:hAnsi="Arial"/>
          <w:sz w:val="22"/>
          <w:szCs w:val="22"/>
          <w:color w:val="auto"/>
        </w:rPr>
      </w:pPr>
      <w:r>
        <w:rPr>
          <w:rFonts w:ascii="Arial" w:cs="Arial" w:eastAsia="Arial" w:hAnsi="Arial"/>
          <w:sz w:val="20"/>
          <w:szCs w:val="20"/>
          <w:color w:val="auto"/>
        </w:rPr>
        <w:t>if any such participations or subparticipations are purchased and all or any portion of the payment giving rise thereto is recovered, such participations or subparticipations shall be rescinded and the purchase price restored to the extent of such recovery, without interest; and</w:t>
      </w:r>
    </w:p>
    <w:p>
      <w:pPr>
        <w:spacing w:after="0" w:line="194" w:lineRule="exact"/>
        <w:rPr>
          <w:rFonts w:ascii="Arial" w:cs="Arial" w:eastAsia="Arial" w:hAnsi="Arial"/>
          <w:sz w:val="22"/>
          <w:szCs w:val="22"/>
          <w:color w:val="auto"/>
        </w:rPr>
      </w:pPr>
    </w:p>
    <w:p>
      <w:pPr>
        <w:ind w:left="1300" w:firstLine="653"/>
        <w:spacing w:after="0" w:line="311" w:lineRule="auto"/>
        <w:tabs>
          <w:tab w:leader="none" w:pos="2392" w:val="left"/>
        </w:tabs>
        <w:numPr>
          <w:ilvl w:val="0"/>
          <w:numId w:val="137"/>
        </w:numPr>
        <w:rPr>
          <w:rFonts w:ascii="Arial" w:cs="Arial" w:eastAsia="Arial" w:hAnsi="Arial"/>
          <w:sz w:val="22"/>
          <w:szCs w:val="22"/>
          <w:color w:val="auto"/>
        </w:rPr>
      </w:pPr>
      <w:r>
        <w:rPr>
          <w:rFonts w:ascii="Arial" w:cs="Arial" w:eastAsia="Arial" w:hAnsi="Arial"/>
          <w:sz w:val="20"/>
          <w:szCs w:val="20"/>
          <w:color w:val="auto"/>
        </w:rPr>
        <w:t>the provisions of this Section shall not be construed to apply to (x) any payment made by a Borrower pursuant to and in accordance with the express terms of this Credit Agreement or (y) any payment obtained by a Lender as consideration for the assignment of or sale of a participation in any of its Loans or subparticipations in L/C Obligations or Swingline Loans to any assignee or participant, other than to a Borrower or any Subsidiary thereof (as to which the provisions of this Section shall apply).</w:t>
      </w:r>
    </w:p>
    <w:p>
      <w:pPr>
        <w:spacing w:after="0" w:line="155" w:lineRule="exact"/>
        <w:rPr>
          <w:sz w:val="20"/>
          <w:szCs w:val="20"/>
          <w:color w:val="auto"/>
        </w:rPr>
      </w:pPr>
    </w:p>
    <w:p>
      <w:pPr>
        <w:ind w:right="40"/>
        <w:spacing w:after="0" w:line="291" w:lineRule="auto"/>
        <w:rPr>
          <w:sz w:val="20"/>
          <w:szCs w:val="20"/>
          <w:color w:val="auto"/>
        </w:rPr>
      </w:pPr>
      <w:r>
        <w:rPr>
          <w:rFonts w:ascii="Arial" w:cs="Arial" w:eastAsia="Arial" w:hAnsi="Arial"/>
          <w:sz w:val="18"/>
          <w:szCs w:val="18"/>
          <w:color w:val="auto"/>
        </w:rPr>
        <w:t>Each Credit Party consents to the foregoing and agrees, to the extent it may effectively do so under applicable law, that any Lender acquiring a participation pursuant to the foregoing arrangements may exercise against such Credit Party rights of setoff and counterclaim with respect to such participation as fully as if such Lender were a direct creditor of such Credit Party in the amount of such participation.</w:t>
      </w:r>
    </w:p>
    <w:p>
      <w:pPr>
        <w:spacing w:after="0" w:line="179" w:lineRule="exact"/>
        <w:rPr>
          <w:sz w:val="20"/>
          <w:szCs w:val="20"/>
          <w:color w:val="auto"/>
        </w:rPr>
      </w:pPr>
    </w:p>
    <w:p>
      <w:pPr>
        <w:ind w:left="660"/>
        <w:spacing w:after="0"/>
        <w:tabs>
          <w:tab w:leader="none" w:pos="1160" w:val="left"/>
        </w:tabs>
        <w:rPr>
          <w:sz w:val="20"/>
          <w:szCs w:val="20"/>
          <w:color w:val="auto"/>
        </w:rPr>
      </w:pPr>
      <w:r>
        <w:rPr>
          <w:rFonts w:ascii="Arial" w:cs="Arial" w:eastAsia="Arial" w:hAnsi="Arial"/>
          <w:sz w:val="20"/>
          <w:szCs w:val="20"/>
          <w:color w:val="auto"/>
        </w:rPr>
        <w:t>2.13</w:t>
      </w:r>
      <w:r>
        <w:rPr>
          <w:sz w:val="20"/>
          <w:szCs w:val="20"/>
          <w:color w:val="auto"/>
        </w:rPr>
        <w:tab/>
      </w:r>
      <w:r>
        <w:rPr>
          <w:rFonts w:ascii="Arial" w:cs="Arial" w:eastAsia="Arial" w:hAnsi="Arial"/>
          <w:sz w:val="18"/>
          <w:szCs w:val="18"/>
          <w:u w:val="single" w:color="auto"/>
          <w:color w:val="auto"/>
        </w:rPr>
        <w:t>Evidence of Debt</w:t>
      </w:r>
      <w:r>
        <w:rPr>
          <w:rFonts w:ascii="Arial" w:cs="Arial" w:eastAsia="Arial" w:hAnsi="Arial"/>
          <w:sz w:val="18"/>
          <w:szCs w:val="18"/>
          <w:color w:val="auto"/>
        </w:rPr>
        <w:t>.</w:t>
      </w:r>
    </w:p>
    <w:p>
      <w:pPr>
        <w:spacing w:after="0" w:line="270" w:lineRule="exact"/>
        <w:rPr>
          <w:sz w:val="20"/>
          <w:szCs w:val="20"/>
          <w:color w:val="auto"/>
        </w:rPr>
      </w:pPr>
    </w:p>
    <w:p>
      <w:pPr>
        <w:ind w:left="1700" w:hanging="395"/>
        <w:spacing w:after="0"/>
        <w:tabs>
          <w:tab w:leader="none" w:pos="1700" w:val="left"/>
        </w:tabs>
        <w:numPr>
          <w:ilvl w:val="0"/>
          <w:numId w:val="138"/>
        </w:numPr>
        <w:rPr>
          <w:rFonts w:ascii="Arial" w:cs="Arial" w:eastAsia="Arial" w:hAnsi="Arial"/>
          <w:sz w:val="18"/>
          <w:szCs w:val="18"/>
          <w:color w:val="auto"/>
        </w:rPr>
      </w:pPr>
      <w:r>
        <w:rPr>
          <w:rFonts w:ascii="Arial" w:cs="Arial" w:eastAsia="Arial" w:hAnsi="Arial"/>
          <w:sz w:val="18"/>
          <w:szCs w:val="18"/>
          <w:color w:val="auto"/>
        </w:rPr>
        <w:t>The Credit Extensions made by each Lender shall be evidenced by one or more accounts or records maintained by such</w:t>
      </w:r>
    </w:p>
    <w:p>
      <w:pPr>
        <w:spacing w:after="0" w:line="76" w:lineRule="exact"/>
        <w:rPr>
          <w:rFonts w:ascii="Arial" w:cs="Arial" w:eastAsia="Arial" w:hAnsi="Arial"/>
          <w:sz w:val="18"/>
          <w:szCs w:val="18"/>
          <w:color w:val="auto"/>
        </w:rPr>
      </w:pPr>
    </w:p>
    <w:p>
      <w:pPr>
        <w:ind w:left="660" w:right="40"/>
        <w:spacing w:after="0" w:line="300" w:lineRule="auto"/>
        <w:rPr>
          <w:rFonts w:ascii="Arial" w:cs="Arial" w:eastAsia="Arial" w:hAnsi="Arial"/>
          <w:sz w:val="18"/>
          <w:szCs w:val="18"/>
          <w:color w:val="auto"/>
        </w:rPr>
      </w:pPr>
      <w:r>
        <w:rPr>
          <w:rFonts w:ascii="Arial" w:cs="Arial" w:eastAsia="Arial" w:hAnsi="Arial"/>
          <w:sz w:val="19"/>
          <w:szCs w:val="19"/>
          <w:color w:val="auto"/>
        </w:rPr>
        <w:t>Lender and by the Administrative Agent in the ordinary course of business. The accounts or records maintained by the Administrative Agent and each Lender shall be conclusive absent manifest error of the amount of the Credit Extensions made by the Lenders to the Borrowers and the interest and payments thereon. Any failure to so record or any error in doing so shall not, however, limit or otherwise affect the obligation of the Borrowers hereunder to pay any amount owing with respect to the Obligations. In the event of any conflict between the accounts and records maintained by any Lender and the accounts and records of the Administrative Agent in respect of such matters, the accounts and records of the Administrative Agent shall control in the absence of manifest error. Upon the request of any Lender made through the Administrative Agent, each applicable Borrower shall execute and deliver to the Administrative Agent a Note for such Lender, which shall evidence such Lender’s Loans in addition to such accounts or records. Each Lender may attach schedules to its Note and endorse thereon the date, Type (if applicable), amount and maturity of its Loans and payments with respect thereto.</w:t>
      </w:r>
    </w:p>
    <w:p>
      <w:pPr>
        <w:spacing w:after="0" w:line="200" w:lineRule="exact"/>
        <w:rPr>
          <w:sz w:val="20"/>
          <w:szCs w:val="20"/>
          <w:color w:val="auto"/>
        </w:rPr>
      </w:pPr>
    </w:p>
    <w:p>
      <w:pPr>
        <w:spacing w:after="0" w:line="202" w:lineRule="exact"/>
        <w:rPr>
          <w:sz w:val="20"/>
          <w:szCs w:val="20"/>
          <w:color w:val="auto"/>
        </w:rPr>
      </w:pPr>
    </w:p>
    <w:p>
      <w:pPr>
        <w:jc w:val="center"/>
        <w:ind w:right="-99"/>
        <w:spacing w:after="0"/>
        <w:rPr>
          <w:sz w:val="20"/>
          <w:szCs w:val="20"/>
          <w:color w:val="auto"/>
        </w:rPr>
      </w:pPr>
      <w:r>
        <w:rPr>
          <w:rFonts w:ascii="Arial" w:cs="Arial" w:eastAsia="Arial" w:hAnsi="Arial"/>
          <w:sz w:val="20"/>
          <w:szCs w:val="20"/>
          <w:color w:val="auto"/>
        </w:rPr>
        <w:t>107</w:t>
      </w:r>
    </w:p>
    <w:p>
      <w:pPr>
        <w:spacing w:after="0" w:line="10" w:lineRule="exact"/>
        <w:rPr>
          <w:sz w:val="20"/>
          <w:szCs w:val="20"/>
          <w:color w:val="auto"/>
        </w:rPr>
      </w:pPr>
    </w:p>
    <w:p>
      <w:pPr>
        <w:spacing w:after="0"/>
        <w:rPr>
          <w:sz w:val="20"/>
          <w:szCs w:val="20"/>
          <w:color w:val="auto"/>
        </w:rPr>
      </w:pPr>
      <w:r>
        <w:rPr>
          <w:rFonts w:ascii="Arial" w:cs="Arial" w:eastAsia="Arial" w:hAnsi="Arial"/>
          <w:sz w:val="14"/>
          <w:szCs w:val="14"/>
          <w:color w:val="auto"/>
        </w:rPr>
        <w:t>CHAR1\1346423v</w:t>
      </w:r>
      <w:r>
        <w:rPr>
          <w:rFonts w:ascii="Arial" w:cs="Arial" w:eastAsia="Arial" w:hAnsi="Arial"/>
          <w:sz w:val="14"/>
          <w:szCs w:val="14"/>
          <w:color w:val="FF0000"/>
          <w:strike w:val="1"/>
        </w:rPr>
        <w:t>1</w:t>
      </w:r>
      <w:r>
        <w:rPr>
          <w:rFonts w:ascii="Arial" w:cs="Arial" w:eastAsia="Arial" w:hAnsi="Arial"/>
          <w:sz w:val="14"/>
          <w:szCs w:val="14"/>
          <w:u w:val="single" w:color="auto"/>
          <w:color w:val="0000FF"/>
        </w:rPr>
        <w:t>12</w:t>
      </w:r>
    </w:p>
    <w:p>
      <w:pPr>
        <w:sectPr>
          <w:pgSz w:w="11900" w:h="16838" w:orient="portrait"/>
          <w:cols w:equalWidth="0" w:num="1">
            <w:col w:w="11340"/>
          </w:cols>
          <w:pgMar w:left="240" w:top="609" w:right="319" w:bottom="1440" w:gutter="0" w:footer="0" w:header="0"/>
        </w:sectPr>
      </w:pPr>
    </w:p>
    <w:bookmarkStart w:id="159" w:name="page160"/>
    <w:bookmarkEnd w:id="159"/>
    <w:p>
      <w:pPr>
        <w:ind w:left="1720" w:hanging="415"/>
        <w:spacing w:after="0"/>
        <w:tabs>
          <w:tab w:leader="none" w:pos="1720" w:val="left"/>
        </w:tabs>
        <w:numPr>
          <w:ilvl w:val="0"/>
          <w:numId w:val="139"/>
        </w:numPr>
        <w:rPr>
          <w:rFonts w:ascii="Arial" w:cs="Arial" w:eastAsia="Arial" w:hAnsi="Arial"/>
          <w:sz w:val="18"/>
          <w:szCs w:val="18"/>
          <w:color w:val="auto"/>
        </w:rPr>
      </w:pPr>
      <w:r>
        <w:rPr>
          <w:rFonts w:ascii="Arial" w:cs="Arial" w:eastAsia="Arial" w:hAnsi="Arial"/>
          <w:sz w:val="18"/>
          <w:szCs w:val="18"/>
          <w:color w:val="auto"/>
        </w:rPr>
        <w:t xml:space="preserve">In addition to the accounts and records referred to in </w:t>
      </w:r>
      <w:r>
        <w:rPr>
          <w:rFonts w:ascii="Arial" w:cs="Arial" w:eastAsia="Arial" w:hAnsi="Arial"/>
          <w:sz w:val="18"/>
          <w:szCs w:val="18"/>
          <w:u w:val="single" w:color="auto"/>
          <w:color w:val="auto"/>
        </w:rPr>
        <w:t>subsection (a)</w:t>
      </w:r>
      <w:r>
        <w:rPr>
          <w:rFonts w:ascii="Arial" w:cs="Arial" w:eastAsia="Arial" w:hAnsi="Arial"/>
          <w:sz w:val="18"/>
          <w:szCs w:val="18"/>
          <w:color w:val="auto"/>
        </w:rPr>
        <w:t>, each Lender and the Administrative Agent shall</w:t>
      </w:r>
    </w:p>
    <w:p>
      <w:pPr>
        <w:spacing w:after="0" w:line="76" w:lineRule="exact"/>
        <w:rPr>
          <w:rFonts w:ascii="Arial" w:cs="Arial" w:eastAsia="Arial" w:hAnsi="Arial"/>
          <w:sz w:val="18"/>
          <w:szCs w:val="18"/>
          <w:color w:val="auto"/>
        </w:rPr>
      </w:pPr>
    </w:p>
    <w:p>
      <w:pPr>
        <w:ind w:left="660" w:right="140"/>
        <w:spacing w:after="0" w:line="288" w:lineRule="auto"/>
        <w:rPr>
          <w:rFonts w:ascii="Arial" w:cs="Arial" w:eastAsia="Arial" w:hAnsi="Arial"/>
          <w:sz w:val="18"/>
          <w:szCs w:val="18"/>
          <w:color w:val="auto"/>
        </w:rPr>
      </w:pPr>
      <w:r>
        <w:rPr>
          <w:rFonts w:ascii="Arial" w:cs="Arial" w:eastAsia="Arial" w:hAnsi="Arial"/>
          <w:sz w:val="20"/>
          <w:szCs w:val="20"/>
          <w:color w:val="auto"/>
        </w:rPr>
        <w:t>maintain in accordance with its usual practice accounts or records evidencing the purchases and sales by such Lender of participations in Letters of Credit and Swingline Loans. In the event of any conflict between the accounts and records maintained by the Administrative Agent and the accounts and records of any Lender in respect of such matters, the accounts and records of the Administrative Agent shall control in the absence of manifest error.</w:t>
      </w:r>
    </w:p>
    <w:p>
      <w:pPr>
        <w:spacing w:after="0" w:line="193" w:lineRule="exact"/>
        <w:rPr>
          <w:sz w:val="20"/>
          <w:szCs w:val="20"/>
          <w:color w:val="auto"/>
        </w:rPr>
      </w:pPr>
    </w:p>
    <w:p>
      <w:pPr>
        <w:ind w:left="660"/>
        <w:spacing w:after="0"/>
        <w:tabs>
          <w:tab w:leader="none" w:pos="1160" w:val="left"/>
        </w:tabs>
        <w:rPr>
          <w:sz w:val="20"/>
          <w:szCs w:val="20"/>
          <w:color w:val="auto"/>
        </w:rPr>
      </w:pPr>
      <w:r>
        <w:rPr>
          <w:rFonts w:ascii="Arial" w:cs="Arial" w:eastAsia="Arial" w:hAnsi="Arial"/>
          <w:sz w:val="20"/>
          <w:szCs w:val="20"/>
          <w:color w:val="auto"/>
        </w:rPr>
        <w:t>2.14</w:t>
      </w:r>
      <w:r>
        <w:rPr>
          <w:sz w:val="20"/>
          <w:szCs w:val="20"/>
          <w:color w:val="auto"/>
        </w:rPr>
        <w:tab/>
      </w:r>
      <w:r>
        <w:rPr>
          <w:rFonts w:ascii="Arial" w:cs="Arial" w:eastAsia="Arial" w:hAnsi="Arial"/>
          <w:sz w:val="16"/>
          <w:szCs w:val="16"/>
          <w:u w:val="single" w:color="auto"/>
          <w:color w:val="auto"/>
        </w:rPr>
        <w:t>Designated Borrowers</w:t>
      </w:r>
      <w:r>
        <w:rPr>
          <w:rFonts w:ascii="Arial" w:cs="Arial" w:eastAsia="Arial" w:hAnsi="Arial"/>
          <w:sz w:val="16"/>
          <w:szCs w:val="16"/>
          <w:color w:val="auto"/>
        </w:rPr>
        <w:t>.</w:t>
      </w:r>
    </w:p>
    <w:p>
      <w:pPr>
        <w:spacing w:after="0" w:line="270" w:lineRule="exact"/>
        <w:rPr>
          <w:sz w:val="20"/>
          <w:szCs w:val="20"/>
          <w:color w:val="auto"/>
        </w:rPr>
      </w:pPr>
    </w:p>
    <w:p>
      <w:pPr>
        <w:ind w:left="660" w:right="60" w:firstLine="645"/>
        <w:spacing w:after="0" w:line="379" w:lineRule="auto"/>
        <w:tabs>
          <w:tab w:leader="none" w:pos="1708" w:val="left"/>
        </w:tabs>
        <w:numPr>
          <w:ilvl w:val="0"/>
          <w:numId w:val="140"/>
        </w:numPr>
        <w:rPr>
          <w:rFonts w:ascii="Arial" w:cs="Arial" w:eastAsia="Arial" w:hAnsi="Arial"/>
          <w:sz w:val="18"/>
          <w:szCs w:val="18"/>
          <w:color w:val="auto"/>
        </w:rPr>
      </w:pPr>
      <w:r>
        <w:rPr>
          <w:rFonts w:ascii="Arial" w:cs="Arial" w:eastAsia="Arial" w:hAnsi="Arial"/>
          <w:sz w:val="18"/>
          <w:szCs w:val="18"/>
          <w:color w:val="auto"/>
        </w:rPr>
        <w:t xml:space="preserve">Effective as of the date hereof, each Borrower set forth on </w:t>
      </w:r>
      <w:r>
        <w:rPr>
          <w:rFonts w:ascii="Arial" w:cs="Arial" w:eastAsia="Arial" w:hAnsi="Arial"/>
          <w:sz w:val="18"/>
          <w:szCs w:val="18"/>
          <w:u w:val="single" w:color="auto"/>
          <w:color w:val="auto"/>
        </w:rPr>
        <w:t>Schedule 2.14</w:t>
      </w:r>
      <w:r>
        <w:rPr>
          <w:rFonts w:ascii="Arial" w:cs="Arial" w:eastAsia="Arial" w:hAnsi="Arial"/>
          <w:sz w:val="18"/>
          <w:szCs w:val="18"/>
          <w:color w:val="auto"/>
        </w:rPr>
        <w:t xml:space="preserve"> shall be a “Designated Borrower” hereunder and may receive Revolving Loan Obligations for its account on the terms and conditions set forth in this Credit Agreement.</w:t>
      </w:r>
    </w:p>
    <w:p>
      <w:pPr>
        <w:spacing w:after="0" w:line="116" w:lineRule="exact"/>
        <w:rPr>
          <w:rFonts w:ascii="Arial" w:cs="Arial" w:eastAsia="Arial" w:hAnsi="Arial"/>
          <w:sz w:val="18"/>
          <w:szCs w:val="18"/>
          <w:color w:val="auto"/>
        </w:rPr>
      </w:pPr>
    </w:p>
    <w:p>
      <w:pPr>
        <w:ind w:left="1720" w:hanging="415"/>
        <w:spacing w:after="0"/>
        <w:tabs>
          <w:tab w:leader="none" w:pos="1720" w:val="left"/>
        </w:tabs>
        <w:numPr>
          <w:ilvl w:val="0"/>
          <w:numId w:val="140"/>
        </w:numPr>
        <w:rPr>
          <w:rFonts w:ascii="Arial" w:cs="Arial" w:eastAsia="Arial" w:hAnsi="Arial"/>
          <w:sz w:val="18"/>
          <w:szCs w:val="18"/>
          <w:color w:val="auto"/>
        </w:rPr>
      </w:pPr>
      <w:r>
        <w:rPr>
          <w:rFonts w:ascii="Arial" w:cs="Arial" w:eastAsia="Arial" w:hAnsi="Arial"/>
          <w:sz w:val="18"/>
          <w:szCs w:val="18"/>
          <w:color w:val="auto"/>
        </w:rPr>
        <w:t>The Borrowers may at any time, upon not less than 15 Business Days’ notice from EWI to the Administrative Agent (or</w:t>
      </w:r>
    </w:p>
    <w:p>
      <w:pPr>
        <w:spacing w:after="0" w:line="76"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Arial" w:cs="Arial" w:eastAsia="Arial" w:hAnsi="Arial"/>
          <w:sz w:val="18"/>
          <w:szCs w:val="18"/>
          <w:color w:val="auto"/>
        </w:rPr>
        <w:t>such shorter period as may be agreed by the Administrative Agent in its sole discretion), designate any additional Subsidiary (an</w:t>
      </w:r>
    </w:p>
    <w:p>
      <w:pPr>
        <w:spacing w:after="0" w:line="63" w:lineRule="exact"/>
        <w:rPr>
          <w:rFonts w:ascii="Arial" w:cs="Arial" w:eastAsia="Arial" w:hAnsi="Arial"/>
          <w:sz w:val="18"/>
          <w:szCs w:val="18"/>
          <w:color w:val="auto"/>
        </w:rPr>
      </w:pPr>
    </w:p>
    <w:p>
      <w:pPr>
        <w:ind w:left="660"/>
        <w:spacing w:after="0" w:line="316" w:lineRule="auto"/>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Applicant Borrower</w:t>
      </w:r>
      <w:r>
        <w:rPr>
          <w:rFonts w:ascii="Arial" w:cs="Arial" w:eastAsia="Arial" w:hAnsi="Arial"/>
          <w:sz w:val="18"/>
          <w:szCs w:val="18"/>
          <w:color w:val="auto"/>
        </w:rPr>
        <w:t xml:space="preserve">”) as a Designated Borrower to receive Revolving Loan Obligations hereunder by delivering to the Administrative Agent (which shall promptly deliver counterparts thereof to each Lender) a duly executed notice and agreement in substantially the form of </w:t>
      </w:r>
      <w:r>
        <w:rPr>
          <w:rFonts w:ascii="Arial" w:cs="Arial" w:eastAsia="Arial" w:hAnsi="Arial"/>
          <w:sz w:val="18"/>
          <w:szCs w:val="18"/>
          <w:u w:val="single" w:color="auto"/>
          <w:color w:val="auto"/>
        </w:rPr>
        <w:t>Exhibit 2.14-1</w:t>
      </w:r>
      <w:r>
        <w:rPr>
          <w:rFonts w:ascii="Arial" w:cs="Arial" w:eastAsia="Arial" w:hAnsi="Arial"/>
          <w:sz w:val="18"/>
          <w:szCs w:val="18"/>
          <w:color w:val="auto"/>
        </w:rPr>
        <w:t xml:space="preserve"> (a “</w:t>
      </w:r>
      <w:r>
        <w:rPr>
          <w:rFonts w:ascii="Arial" w:cs="Arial" w:eastAsia="Arial" w:hAnsi="Arial"/>
          <w:sz w:val="18"/>
          <w:szCs w:val="18"/>
          <w:u w:val="single" w:color="auto"/>
          <w:color w:val="auto"/>
        </w:rPr>
        <w:t>Designated Borrower Request and Assumption Agreement</w:t>
      </w:r>
      <w:r>
        <w:rPr>
          <w:rFonts w:ascii="Arial" w:cs="Arial" w:eastAsia="Arial" w:hAnsi="Arial"/>
          <w:sz w:val="18"/>
          <w:szCs w:val="18"/>
          <w:color w:val="auto"/>
        </w:rPr>
        <w:t xml:space="preserve">”). The parties hereto acknowledge and agree that prior to any Applicant Borrower becoming entitled to utilize the credit facilities provided for herein, (i) in the case of any Applicant Borrower that is a Foreign Subsidiary, the Administrative Agent shall have received the written consent of the Lenders to such Foreign Subsidiary being made Designated Borrower and (ii) the Administrative Agent and the Lenders shall have received such supporting resolutions, incumbency certificates, opinions of counsel and other documents or information, in form, content and scope reasonably satisfactory to the Administrative Agent, as may be required by the Administrative Agent and the Required Australian Revolving Lenders, the Required USD Revolving Lenders, the Required European Revolving Lenders or Required India Revolving Lenders, as applicable, in their sole discretion, and Notes signed by such new Borrowers to the extent any Lenders so require. If the Administrative Agent and the Required Australian Revolving Lenders, the Required USD Revolving Lenders, the Required European Revolving Lenders or Required India Revolving Lenders, as applicable, agree that an Applicant Borrower shall be entitled to receive Loans hereunder, then promptly following receipt of all such requested resolutions, incumbency certificates, opinions of counsel and other documents or information, the Administrative Agent shall send a notice in substantially the form of </w:t>
      </w:r>
      <w:r>
        <w:rPr>
          <w:rFonts w:ascii="Arial" w:cs="Arial" w:eastAsia="Arial" w:hAnsi="Arial"/>
          <w:sz w:val="18"/>
          <w:szCs w:val="18"/>
          <w:u w:val="single" w:color="auto"/>
          <w:color w:val="auto"/>
        </w:rPr>
        <w:t>Exhibit 2.14-2</w:t>
      </w:r>
      <w:r>
        <w:rPr>
          <w:rFonts w:ascii="Arial" w:cs="Arial" w:eastAsia="Arial" w:hAnsi="Arial"/>
          <w:sz w:val="18"/>
          <w:szCs w:val="18"/>
          <w:color w:val="auto"/>
        </w:rPr>
        <w:t xml:space="preserve"> (a “</w:t>
      </w:r>
      <w:r>
        <w:rPr>
          <w:rFonts w:ascii="Arial" w:cs="Arial" w:eastAsia="Arial" w:hAnsi="Arial"/>
          <w:sz w:val="18"/>
          <w:szCs w:val="18"/>
          <w:u w:val="single" w:color="auto"/>
          <w:color w:val="auto"/>
        </w:rPr>
        <w:t>Designated</w:t>
      </w:r>
      <w:r>
        <w:rPr>
          <w:rFonts w:ascii="Arial" w:cs="Arial" w:eastAsia="Arial" w:hAnsi="Arial"/>
          <w:sz w:val="18"/>
          <w:szCs w:val="18"/>
          <w:color w:val="auto"/>
        </w:rPr>
        <w:t xml:space="preserve"> </w:t>
      </w:r>
      <w:r>
        <w:rPr>
          <w:rFonts w:ascii="Arial" w:cs="Arial" w:eastAsia="Arial" w:hAnsi="Arial"/>
          <w:sz w:val="18"/>
          <w:szCs w:val="18"/>
          <w:u w:val="single" w:color="auto"/>
          <w:color w:val="auto"/>
        </w:rPr>
        <w:t>Borrower Notice</w:t>
      </w:r>
      <w:r>
        <w:rPr>
          <w:rFonts w:ascii="Arial" w:cs="Arial" w:eastAsia="Arial" w:hAnsi="Arial"/>
          <w:sz w:val="18"/>
          <w:szCs w:val="18"/>
          <w:color w:val="auto"/>
        </w:rPr>
        <w:t>”) to the Borrowers and the Lenders specifying the effective date upon which the Applicant Borrower shall constitute a Designated Borrower for purposes hereof, whereupon each of the Lenders agrees to permit such Designated Borrower to receive Revolving Loan Obligations hereunder, on the terms and conditions set forth herein, and each of the parties agrees that such Designated Borrower otherwise shall be a Borrower for all purposes of this Credit Agreement;</w:t>
      </w:r>
    </w:p>
    <w:p>
      <w:pPr>
        <w:spacing w:after="0" w:line="389"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108</w:t>
      </w:r>
    </w:p>
    <w:p>
      <w:pPr>
        <w:spacing w:after="0" w:line="10" w:lineRule="exact"/>
        <w:rPr>
          <w:sz w:val="20"/>
          <w:szCs w:val="20"/>
          <w:color w:val="auto"/>
        </w:rPr>
      </w:pPr>
    </w:p>
    <w:p>
      <w:pPr>
        <w:spacing w:after="0"/>
        <w:rPr>
          <w:sz w:val="20"/>
          <w:szCs w:val="20"/>
          <w:color w:val="auto"/>
        </w:rPr>
      </w:pPr>
      <w:r>
        <w:rPr>
          <w:rFonts w:ascii="Arial" w:cs="Arial" w:eastAsia="Arial" w:hAnsi="Arial"/>
          <w:sz w:val="14"/>
          <w:szCs w:val="14"/>
          <w:color w:val="auto"/>
        </w:rPr>
        <w:t>CHAR1\1346423v</w:t>
      </w:r>
      <w:r>
        <w:rPr>
          <w:rFonts w:ascii="Arial" w:cs="Arial" w:eastAsia="Arial" w:hAnsi="Arial"/>
          <w:sz w:val="14"/>
          <w:szCs w:val="14"/>
          <w:color w:val="FF0000"/>
          <w:strike w:val="1"/>
        </w:rPr>
        <w:t>1</w:t>
      </w:r>
      <w:r>
        <w:rPr>
          <w:rFonts w:ascii="Arial" w:cs="Arial" w:eastAsia="Arial" w:hAnsi="Arial"/>
          <w:sz w:val="14"/>
          <w:szCs w:val="14"/>
          <w:u w:val="single" w:color="auto"/>
          <w:color w:val="0000FF"/>
        </w:rPr>
        <w:t>12</w:t>
      </w:r>
    </w:p>
    <w:p>
      <w:pPr>
        <w:sectPr>
          <w:pgSz w:w="11900" w:h="16838" w:orient="portrait"/>
          <w:cols w:equalWidth="0" w:num="1">
            <w:col w:w="11420"/>
          </w:cols>
          <w:pgMar w:left="240" w:top="609" w:right="239" w:bottom="1440" w:gutter="0" w:footer="0" w:header="0"/>
        </w:sectPr>
      </w:pPr>
    </w:p>
    <w:bookmarkStart w:id="160" w:name="page161"/>
    <w:bookmarkEnd w:id="160"/>
    <w:p>
      <w:pPr>
        <w:ind w:left="660" w:right="100"/>
        <w:spacing w:after="0" w:line="303" w:lineRule="auto"/>
        <w:rPr>
          <w:sz w:val="20"/>
          <w:szCs w:val="20"/>
          <w:color w:val="auto"/>
        </w:rPr>
      </w:pP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no Loan Notice or Letter of Credit Application may be submitted by or on behalf of such Designated Borrower until the date five Business Days after such effective date.</w:t>
      </w:r>
    </w:p>
    <w:p>
      <w:pPr>
        <w:spacing w:after="0" w:line="176" w:lineRule="exact"/>
        <w:rPr>
          <w:sz w:val="20"/>
          <w:szCs w:val="20"/>
          <w:color w:val="auto"/>
        </w:rPr>
      </w:pPr>
    </w:p>
    <w:p>
      <w:pPr>
        <w:ind w:left="1700" w:hanging="395"/>
        <w:spacing w:after="0"/>
        <w:tabs>
          <w:tab w:leader="none" w:pos="1700" w:val="left"/>
        </w:tabs>
        <w:numPr>
          <w:ilvl w:val="0"/>
          <w:numId w:val="141"/>
        </w:numPr>
        <w:rPr>
          <w:rFonts w:ascii="Arial" w:cs="Arial" w:eastAsia="Arial" w:hAnsi="Arial"/>
          <w:sz w:val="19"/>
          <w:szCs w:val="19"/>
          <w:color w:val="auto"/>
        </w:rPr>
      </w:pPr>
      <w:r>
        <w:rPr>
          <w:rFonts w:ascii="Arial" w:cs="Arial" w:eastAsia="Arial" w:hAnsi="Arial"/>
          <w:sz w:val="19"/>
          <w:szCs w:val="19"/>
          <w:color w:val="auto"/>
        </w:rPr>
        <w:t>The Obligations of the Domestic Borrowers shall be joint and several in nature. The Obligations of each Foreign</w:t>
      </w:r>
    </w:p>
    <w:p>
      <w:pPr>
        <w:spacing w:after="0" w:line="65" w:lineRule="exact"/>
        <w:rPr>
          <w:rFonts w:ascii="Arial" w:cs="Arial" w:eastAsia="Arial" w:hAnsi="Arial"/>
          <w:sz w:val="19"/>
          <w:szCs w:val="19"/>
          <w:color w:val="auto"/>
        </w:rPr>
      </w:pPr>
    </w:p>
    <w:p>
      <w:pPr>
        <w:ind w:left="660" w:right="300"/>
        <w:spacing w:after="0" w:line="303" w:lineRule="auto"/>
        <w:rPr>
          <w:rFonts w:ascii="Arial" w:cs="Arial" w:eastAsia="Arial" w:hAnsi="Arial"/>
          <w:sz w:val="19"/>
          <w:szCs w:val="19"/>
          <w:color w:val="auto"/>
        </w:rPr>
      </w:pPr>
      <w:r>
        <w:rPr>
          <w:rFonts w:ascii="Arial" w:cs="Arial" w:eastAsia="Arial" w:hAnsi="Arial"/>
          <w:sz w:val="20"/>
          <w:szCs w:val="20"/>
          <w:color w:val="auto"/>
        </w:rPr>
        <w:t>Borrower shall be several, and not joint, in nature. The Obligations of the India Borrowers and each Designated Borrower that is an India Subsidiary shall be several, and not joint, in nature.</w:t>
      </w:r>
    </w:p>
    <w:p>
      <w:pPr>
        <w:spacing w:after="0" w:line="175" w:lineRule="exact"/>
        <w:rPr>
          <w:rFonts w:ascii="Arial" w:cs="Arial" w:eastAsia="Arial" w:hAnsi="Arial"/>
          <w:sz w:val="19"/>
          <w:szCs w:val="19"/>
          <w:color w:val="auto"/>
        </w:rPr>
      </w:pPr>
    </w:p>
    <w:p>
      <w:pPr>
        <w:ind w:left="1720" w:hanging="415"/>
        <w:spacing w:after="0"/>
        <w:tabs>
          <w:tab w:leader="none" w:pos="1720" w:val="left"/>
        </w:tabs>
        <w:numPr>
          <w:ilvl w:val="0"/>
          <w:numId w:val="141"/>
        </w:numPr>
        <w:rPr>
          <w:rFonts w:ascii="Arial" w:cs="Arial" w:eastAsia="Arial" w:hAnsi="Arial"/>
          <w:sz w:val="18"/>
          <w:szCs w:val="18"/>
          <w:color w:val="auto"/>
        </w:rPr>
      </w:pPr>
      <w:r>
        <w:rPr>
          <w:rFonts w:ascii="Arial" w:cs="Arial" w:eastAsia="Arial" w:hAnsi="Arial"/>
          <w:sz w:val="18"/>
          <w:szCs w:val="18"/>
          <w:color w:val="auto"/>
        </w:rPr>
        <w:t xml:space="preserve">Each Subsidiary that is or becomes a “Designated Borrower” pursuant to this </w:t>
      </w:r>
      <w:r>
        <w:rPr>
          <w:rFonts w:ascii="Arial" w:cs="Arial" w:eastAsia="Arial" w:hAnsi="Arial"/>
          <w:sz w:val="18"/>
          <w:szCs w:val="18"/>
          <w:u w:val="single" w:color="auto"/>
          <w:color w:val="auto"/>
        </w:rPr>
        <w:t>Section 2.14</w:t>
      </w:r>
      <w:r>
        <w:rPr>
          <w:rFonts w:ascii="Arial" w:cs="Arial" w:eastAsia="Arial" w:hAnsi="Arial"/>
          <w:sz w:val="18"/>
          <w:szCs w:val="18"/>
          <w:color w:val="auto"/>
        </w:rPr>
        <w:t xml:space="preserve"> hereby irrevocably appoints (i)</w:t>
      </w:r>
    </w:p>
    <w:p>
      <w:pPr>
        <w:spacing w:after="0" w:line="76" w:lineRule="exact"/>
        <w:rPr>
          <w:rFonts w:ascii="Arial" w:cs="Arial" w:eastAsia="Arial" w:hAnsi="Arial"/>
          <w:sz w:val="18"/>
          <w:szCs w:val="18"/>
          <w:color w:val="auto"/>
        </w:rPr>
      </w:pPr>
    </w:p>
    <w:p>
      <w:pPr>
        <w:ind w:left="660"/>
        <w:spacing w:after="0" w:line="318" w:lineRule="auto"/>
        <w:rPr>
          <w:rFonts w:ascii="Arial" w:cs="Arial" w:eastAsia="Arial" w:hAnsi="Arial"/>
          <w:sz w:val="18"/>
          <w:szCs w:val="18"/>
          <w:color w:val="auto"/>
        </w:rPr>
      </w:pPr>
      <w:r>
        <w:rPr>
          <w:rFonts w:ascii="Arial" w:cs="Arial" w:eastAsia="Arial" w:hAnsi="Arial"/>
          <w:sz w:val="18"/>
          <w:szCs w:val="18"/>
          <w:color w:val="auto"/>
        </w:rPr>
        <w:t xml:space="preserve">with respect to any requested Credit Extension of Master Revolving Loan Obligations, EWI as its agent and (ii) with respect to any requested Credit Extension of India Revolving Loans or India L/C Obligations, EWI as its agent, in each case for all purposes relevant to this Credit Agreement and each of the other Credit Documents, including (1) the giving and receipt of notices, (2) except for amendments, waivers and consents covered by </w:t>
      </w:r>
      <w:r>
        <w:rPr>
          <w:rFonts w:ascii="Arial" w:cs="Arial" w:eastAsia="Arial" w:hAnsi="Arial"/>
          <w:sz w:val="18"/>
          <w:szCs w:val="18"/>
          <w:u w:val="single" w:color="auto"/>
          <w:color w:val="auto"/>
        </w:rPr>
        <w:t>Section 11.01</w:t>
      </w:r>
      <w:r>
        <w:rPr>
          <w:rFonts w:ascii="Arial" w:cs="Arial" w:eastAsia="Arial" w:hAnsi="Arial"/>
          <w:sz w:val="18"/>
          <w:szCs w:val="18"/>
          <w:color w:val="auto"/>
        </w:rPr>
        <w:t xml:space="preserve">, the execution and delivery of all documents, instruments and certificates contemplated herein, and (3) the receipt of the proceeds of any Loans made by the Lenders, to any such Designated Borrower hereunder. Except for amendments, waivers and consents covered by </w:t>
      </w:r>
      <w:r>
        <w:rPr>
          <w:rFonts w:ascii="Arial" w:cs="Arial" w:eastAsia="Arial" w:hAnsi="Arial"/>
          <w:sz w:val="18"/>
          <w:szCs w:val="18"/>
          <w:u w:val="single" w:color="auto"/>
          <w:color w:val="auto"/>
        </w:rPr>
        <w:t>Section 11.01</w:t>
      </w:r>
      <w:r>
        <w:rPr>
          <w:rFonts w:ascii="Arial" w:cs="Arial" w:eastAsia="Arial" w:hAnsi="Arial"/>
          <w:sz w:val="18"/>
          <w:szCs w:val="18"/>
          <w:color w:val="auto"/>
        </w:rPr>
        <w:t xml:space="preserve">, any acknowledgment, consent, direction, certification or other action which might otherwise be valid or effective only if given or taken by all Borrowers, or by each Borrower acting singly, shall be valid and effective if given or taken only by the respective party set forth in </w:t>
      </w:r>
      <w:r>
        <w:rPr>
          <w:rFonts w:ascii="Arial" w:cs="Arial" w:eastAsia="Arial" w:hAnsi="Arial"/>
          <w:sz w:val="18"/>
          <w:szCs w:val="18"/>
          <w:u w:val="single" w:color="auto"/>
          <w:color w:val="auto"/>
        </w:rPr>
        <w:t>clauses (i)</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(ii)</w:t>
      </w:r>
      <w:r>
        <w:rPr>
          <w:rFonts w:ascii="Arial" w:cs="Arial" w:eastAsia="Arial" w:hAnsi="Arial"/>
          <w:sz w:val="18"/>
          <w:szCs w:val="18"/>
          <w:color w:val="auto"/>
        </w:rPr>
        <w:t xml:space="preserve"> above, whether or not any such other Borrower joins therein. Any such notice, demand, consent, acknowledgement, direction, certification or other communication delivered to such agent, as applicable, for the Designated Borrower in accordance with the terms of this Credit Agreement shall be deemed to have been delivered to each Designated Borrower.</w:t>
      </w:r>
    </w:p>
    <w:p>
      <w:pPr>
        <w:spacing w:after="0" w:line="170" w:lineRule="exact"/>
        <w:rPr>
          <w:rFonts w:ascii="Arial" w:cs="Arial" w:eastAsia="Arial" w:hAnsi="Arial"/>
          <w:sz w:val="18"/>
          <w:szCs w:val="18"/>
          <w:color w:val="auto"/>
        </w:rPr>
      </w:pPr>
    </w:p>
    <w:p>
      <w:pPr>
        <w:ind w:left="1700" w:hanging="395"/>
        <w:spacing w:after="0"/>
        <w:tabs>
          <w:tab w:leader="none" w:pos="1700" w:val="left"/>
        </w:tabs>
        <w:numPr>
          <w:ilvl w:val="0"/>
          <w:numId w:val="141"/>
        </w:numPr>
        <w:rPr>
          <w:rFonts w:ascii="Arial" w:cs="Arial" w:eastAsia="Arial" w:hAnsi="Arial"/>
          <w:sz w:val="20"/>
          <w:szCs w:val="20"/>
          <w:color w:val="auto"/>
        </w:rPr>
      </w:pPr>
      <w:r>
        <w:rPr>
          <w:rFonts w:ascii="Arial" w:cs="Arial" w:eastAsia="Arial" w:hAnsi="Arial"/>
          <w:sz w:val="20"/>
          <w:szCs w:val="20"/>
          <w:color w:val="auto"/>
        </w:rPr>
        <w:t>The Borrowers may from time to time, upon not less than 15 Business Days’ notice from the Borrowers to the</w:t>
      </w:r>
    </w:p>
    <w:p>
      <w:pPr>
        <w:spacing w:after="0" w:line="53" w:lineRule="exact"/>
        <w:rPr>
          <w:rFonts w:ascii="Arial" w:cs="Arial" w:eastAsia="Arial" w:hAnsi="Arial"/>
          <w:sz w:val="20"/>
          <w:szCs w:val="20"/>
          <w:color w:val="auto"/>
        </w:rPr>
      </w:pPr>
    </w:p>
    <w:p>
      <w:pPr>
        <w:ind w:left="660" w:right="240"/>
        <w:spacing w:after="0" w:line="329" w:lineRule="auto"/>
        <w:rPr>
          <w:rFonts w:ascii="Arial" w:cs="Arial" w:eastAsia="Arial" w:hAnsi="Arial"/>
          <w:sz w:val="20"/>
          <w:szCs w:val="20"/>
          <w:color w:val="auto"/>
        </w:rPr>
      </w:pPr>
      <w:r>
        <w:rPr>
          <w:rFonts w:ascii="Arial" w:cs="Arial" w:eastAsia="Arial" w:hAnsi="Arial"/>
          <w:sz w:val="18"/>
          <w:szCs w:val="18"/>
          <w:color w:val="auto"/>
        </w:rPr>
        <w:t xml:space="preserve">Administrative Agent (or such shorter period as may be agreed by the Administrative Agent in its sole discretion), terminate a Designated Borrower’s status as such,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there are no outstanding Loans payable by such Designated Borrower, or other amounts payable by such Designated Borrower on account of any Loans made to it, as of the effective date of such termination. The Administrative Agent will promptly notify the Lenders of any such termination of a Designated Borrower’s status.</w:t>
      </w:r>
    </w:p>
    <w:p>
      <w:pPr>
        <w:spacing w:after="0" w:line="162" w:lineRule="exact"/>
        <w:rPr>
          <w:sz w:val="20"/>
          <w:szCs w:val="20"/>
          <w:color w:val="auto"/>
        </w:rPr>
      </w:pPr>
    </w:p>
    <w:p>
      <w:pPr>
        <w:ind w:left="660"/>
        <w:spacing w:after="0"/>
        <w:tabs>
          <w:tab w:leader="none" w:pos="1160" w:val="left"/>
        </w:tabs>
        <w:rPr>
          <w:sz w:val="20"/>
          <w:szCs w:val="20"/>
          <w:color w:val="auto"/>
        </w:rPr>
      </w:pPr>
      <w:r>
        <w:rPr>
          <w:rFonts w:ascii="Arial" w:cs="Arial" w:eastAsia="Arial" w:hAnsi="Arial"/>
          <w:sz w:val="20"/>
          <w:szCs w:val="20"/>
          <w:color w:val="auto"/>
        </w:rPr>
        <w:t>2.15</w:t>
      </w:r>
      <w:r>
        <w:rPr>
          <w:sz w:val="20"/>
          <w:szCs w:val="20"/>
          <w:color w:val="auto"/>
        </w:rPr>
        <w:tab/>
      </w:r>
      <w:r>
        <w:rPr>
          <w:rFonts w:ascii="Arial" w:cs="Arial" w:eastAsia="Arial" w:hAnsi="Arial"/>
          <w:sz w:val="18"/>
          <w:szCs w:val="18"/>
          <w:u w:val="single" w:color="auto"/>
          <w:color w:val="auto"/>
        </w:rPr>
        <w:t>Joint and Several Liability of the Domestic Borrowers; Several Obligations of the Foreign Borrowers</w:t>
      </w:r>
      <w:r>
        <w:rPr>
          <w:rFonts w:ascii="Arial" w:cs="Arial" w:eastAsia="Arial" w:hAnsi="Arial"/>
          <w:sz w:val="18"/>
          <w:szCs w:val="18"/>
          <w:color w:val="auto"/>
        </w:rPr>
        <w:t>.</w:t>
      </w:r>
    </w:p>
    <w:p>
      <w:pPr>
        <w:spacing w:after="0" w:line="270" w:lineRule="exact"/>
        <w:rPr>
          <w:sz w:val="20"/>
          <w:szCs w:val="20"/>
          <w:color w:val="auto"/>
        </w:rPr>
      </w:pPr>
    </w:p>
    <w:p>
      <w:pPr>
        <w:ind w:left="1700" w:hanging="395"/>
        <w:spacing w:after="0"/>
        <w:tabs>
          <w:tab w:leader="none" w:pos="1700" w:val="left"/>
        </w:tabs>
        <w:numPr>
          <w:ilvl w:val="0"/>
          <w:numId w:val="142"/>
        </w:numPr>
        <w:rPr>
          <w:rFonts w:ascii="Arial" w:cs="Arial" w:eastAsia="Arial" w:hAnsi="Arial"/>
          <w:sz w:val="20"/>
          <w:szCs w:val="20"/>
          <w:color w:val="auto"/>
        </w:rPr>
      </w:pPr>
      <w:r>
        <w:rPr>
          <w:rFonts w:ascii="Arial" w:cs="Arial" w:eastAsia="Arial" w:hAnsi="Arial"/>
          <w:sz w:val="20"/>
          <w:szCs w:val="20"/>
          <w:color w:val="auto"/>
        </w:rPr>
        <w:t>Domestic Borrowers.</w:t>
      </w:r>
    </w:p>
    <w:p>
      <w:pPr>
        <w:spacing w:after="0" w:line="283" w:lineRule="exact"/>
        <w:rPr>
          <w:rFonts w:ascii="Arial" w:cs="Arial" w:eastAsia="Arial" w:hAnsi="Arial"/>
          <w:sz w:val="20"/>
          <w:szCs w:val="20"/>
          <w:color w:val="auto"/>
        </w:rPr>
      </w:pPr>
    </w:p>
    <w:p>
      <w:pPr>
        <w:ind w:left="1300" w:right="40" w:firstLine="653"/>
        <w:spacing w:after="0" w:line="333" w:lineRule="auto"/>
        <w:tabs>
          <w:tab w:leader="none" w:pos="2332" w:val="left"/>
        </w:tabs>
        <w:numPr>
          <w:ilvl w:val="1"/>
          <w:numId w:val="142"/>
        </w:numPr>
        <w:rPr>
          <w:rFonts w:ascii="Arial" w:cs="Arial" w:eastAsia="Arial" w:hAnsi="Arial"/>
          <w:sz w:val="21"/>
          <w:szCs w:val="21"/>
          <w:color w:val="auto"/>
        </w:rPr>
      </w:pPr>
      <w:r>
        <w:rPr>
          <w:rFonts w:ascii="Arial" w:cs="Arial" w:eastAsia="Arial" w:hAnsi="Arial"/>
          <w:sz w:val="19"/>
          <w:szCs w:val="19"/>
          <w:color w:val="auto"/>
        </w:rPr>
        <w:t>Each Domestic Borrower accepts joint and several liability hereunder in consideration of the financial accommodation to be provided by the Administrative Agent and the Lenders under this Credit Agreement and the other Credit Documents, for the mutual benefit, directly and indirectly, of such Domestic Borrowers and in consideration</w:t>
      </w:r>
    </w:p>
    <w:p>
      <w:pPr>
        <w:spacing w:after="0" w:line="382" w:lineRule="exact"/>
        <w:rPr>
          <w:sz w:val="20"/>
          <w:szCs w:val="20"/>
          <w:color w:val="auto"/>
        </w:rPr>
      </w:pPr>
    </w:p>
    <w:p>
      <w:pPr>
        <w:jc w:val="center"/>
        <w:ind w:right="-79"/>
        <w:spacing w:after="0"/>
        <w:rPr>
          <w:sz w:val="20"/>
          <w:szCs w:val="20"/>
          <w:color w:val="auto"/>
        </w:rPr>
      </w:pPr>
      <w:r>
        <w:rPr>
          <w:rFonts w:ascii="Arial" w:cs="Arial" w:eastAsia="Arial" w:hAnsi="Arial"/>
          <w:sz w:val="20"/>
          <w:szCs w:val="20"/>
          <w:color w:val="auto"/>
        </w:rPr>
        <w:t>109</w:t>
      </w:r>
    </w:p>
    <w:p>
      <w:pPr>
        <w:spacing w:after="0" w:line="10" w:lineRule="exact"/>
        <w:rPr>
          <w:sz w:val="20"/>
          <w:szCs w:val="20"/>
          <w:color w:val="auto"/>
        </w:rPr>
      </w:pPr>
    </w:p>
    <w:p>
      <w:pPr>
        <w:spacing w:after="0"/>
        <w:rPr>
          <w:sz w:val="20"/>
          <w:szCs w:val="20"/>
          <w:color w:val="auto"/>
        </w:rPr>
      </w:pPr>
      <w:r>
        <w:rPr>
          <w:rFonts w:ascii="Arial" w:cs="Arial" w:eastAsia="Arial" w:hAnsi="Arial"/>
          <w:sz w:val="14"/>
          <w:szCs w:val="14"/>
          <w:color w:val="auto"/>
        </w:rPr>
        <w:t>CHAR1\1346423v</w:t>
      </w:r>
      <w:r>
        <w:rPr>
          <w:rFonts w:ascii="Arial" w:cs="Arial" w:eastAsia="Arial" w:hAnsi="Arial"/>
          <w:sz w:val="14"/>
          <w:szCs w:val="14"/>
          <w:color w:val="FF0000"/>
          <w:strike w:val="1"/>
        </w:rPr>
        <w:t>1</w:t>
      </w:r>
      <w:r>
        <w:rPr>
          <w:rFonts w:ascii="Arial" w:cs="Arial" w:eastAsia="Arial" w:hAnsi="Arial"/>
          <w:sz w:val="14"/>
          <w:szCs w:val="14"/>
          <w:u w:val="single" w:color="auto"/>
          <w:color w:val="0000FF"/>
        </w:rPr>
        <w:t>12</w:t>
      </w:r>
    </w:p>
    <w:p>
      <w:pPr>
        <w:sectPr>
          <w:pgSz w:w="11900" w:h="16838" w:orient="portrait"/>
          <w:cols w:equalWidth="0" w:num="1">
            <w:col w:w="11360"/>
          </w:cols>
          <w:pgMar w:left="240" w:top="609" w:right="299" w:bottom="1440" w:gutter="0" w:footer="0" w:header="0"/>
        </w:sectPr>
      </w:pPr>
    </w:p>
    <w:bookmarkStart w:id="161" w:name="page162"/>
    <w:bookmarkEnd w:id="161"/>
    <w:p>
      <w:pPr>
        <w:ind w:left="1300" w:right="640"/>
        <w:spacing w:after="0" w:line="303" w:lineRule="auto"/>
        <w:rPr>
          <w:sz w:val="20"/>
          <w:szCs w:val="20"/>
          <w:color w:val="auto"/>
        </w:rPr>
      </w:pPr>
      <w:r>
        <w:rPr>
          <w:rFonts w:ascii="Arial" w:cs="Arial" w:eastAsia="Arial" w:hAnsi="Arial"/>
          <w:sz w:val="20"/>
          <w:szCs w:val="20"/>
          <w:color w:val="auto"/>
        </w:rPr>
        <w:t>of the undertakings of such Domestic Borrowers to accept joint and several liability for the obligations of the Domestic Borrowers.</w:t>
      </w:r>
    </w:p>
    <w:p>
      <w:pPr>
        <w:spacing w:after="0" w:line="189" w:lineRule="exact"/>
        <w:rPr>
          <w:sz w:val="20"/>
          <w:szCs w:val="20"/>
          <w:color w:val="auto"/>
        </w:rPr>
      </w:pPr>
    </w:p>
    <w:p>
      <w:pPr>
        <w:ind w:left="1300" w:firstLine="653"/>
        <w:spacing w:after="0" w:line="328" w:lineRule="auto"/>
        <w:tabs>
          <w:tab w:leader="none" w:pos="2392" w:val="left"/>
        </w:tabs>
        <w:numPr>
          <w:ilvl w:val="0"/>
          <w:numId w:val="143"/>
        </w:numPr>
        <w:rPr>
          <w:rFonts w:ascii="Arial" w:cs="Arial" w:eastAsia="Arial" w:hAnsi="Arial"/>
          <w:sz w:val="21"/>
          <w:szCs w:val="21"/>
          <w:color w:val="auto"/>
        </w:rPr>
      </w:pPr>
      <w:r>
        <w:rPr>
          <w:rFonts w:ascii="Arial" w:cs="Arial" w:eastAsia="Arial" w:hAnsi="Arial"/>
          <w:sz w:val="19"/>
          <w:szCs w:val="19"/>
          <w:color w:val="auto"/>
        </w:rPr>
        <w:t>Each Domestic Borrower shall be jointly and severally liable for all Obligations (whether borrowed by an applicable Borrower that is a Domestic Borrower or by an applicable Borrower that is a Foreign Borrower), regardless of which Borrower actually receives Credit Extensions hereunder or the amount of such Credit Extensions received or the manner in which the Administrative Agent or any Lender accounts for such Credit Extensions on its books and records. Each Domestic Borrower’s obligations with respect to Credit Extensions made to it, and each Domestic Borrower’s obligations arising as a result of the joint and several liability of such Domestic Borrower hereunder, with respect to Credit Extensions made to and other Obligations owing by the other Borrowers hereunder, shall be separate and distinct obligations, but all such obligations shall be primary obligations of each such Domestic Borrower.</w:t>
      </w:r>
    </w:p>
    <w:p>
      <w:pPr>
        <w:spacing w:after="0" w:line="186" w:lineRule="exact"/>
        <w:rPr>
          <w:rFonts w:ascii="Arial" w:cs="Arial" w:eastAsia="Arial" w:hAnsi="Arial"/>
          <w:sz w:val="21"/>
          <w:szCs w:val="21"/>
          <w:color w:val="auto"/>
        </w:rPr>
      </w:pPr>
    </w:p>
    <w:p>
      <w:pPr>
        <w:ind w:left="1300" w:firstLine="653"/>
        <w:spacing w:after="0" w:line="346" w:lineRule="auto"/>
        <w:tabs>
          <w:tab w:leader="none" w:pos="2452" w:val="left"/>
        </w:tabs>
        <w:numPr>
          <w:ilvl w:val="0"/>
          <w:numId w:val="143"/>
        </w:numPr>
        <w:rPr>
          <w:rFonts w:ascii="Arial" w:cs="Arial" w:eastAsia="Arial" w:hAnsi="Arial"/>
          <w:sz w:val="19"/>
          <w:szCs w:val="19"/>
          <w:color w:val="auto"/>
        </w:rPr>
      </w:pPr>
      <w:r>
        <w:rPr>
          <w:rFonts w:ascii="Arial" w:cs="Arial" w:eastAsia="Arial" w:hAnsi="Arial"/>
          <w:sz w:val="18"/>
          <w:szCs w:val="18"/>
          <w:color w:val="auto"/>
        </w:rPr>
        <w:t>The obligations of each Domestic Borrower arising as a result of the joint and several liability of such Domestic Borrower hereunder with respect to Credit Extensions made to and other Obligations owing by the other Borrowers hereunder shall, to the fullest extent permitted by law, be unconditional irrespective of (A) the validity or enforceability, avoidance or subordination of the obligations of any other Borrower or of any promissory note or other document evidencing all or any part of the obligations of any other Borrower, (B) the absence of any attempt to collect the Obligations from any other Borrower, any other guarantor, or any other security therefor, or the absence of any other action to enforce the same, (C) the waiver, consent, extension, forbearance or granting of any indulgence by the Administrative Agent or any Lender with respect to any provision of any instrument evidencing the obligations of any other Borrower, or any part thereof, or any other agreement now or hereafter executed by any other Borrower and delivered to the Administrative Agent or any Lender, (D) the failure by the Administrative Agent or any Lender to take any steps to perfect and maintain its security interest in, or to preserve its rights to, any security or collateral for the obligations of any other Borrower, (E) the Administrative Agent’s or any Lender’s election, in any proceeding instituted under the Bankruptcy Code, of the application of Section 1111(b)(2) of the Bankruptcy Code, (F) any borrowing or grant of a security interest by any other Borrower, as Debtor In Possession under Section 364 of the Bankruptcy Code, (G) the disallowance of all or any portion of the Administrative Agent’s or any Lender’s claim(s) for the repayment of the obligations of any other Borrower under Section 502 of the Bankruptcy Code, or (H) any other circumstances which might constitute a legal or equitable discharge or defense of a guarantor or of any other Borrower. With respect to each Domestic Borrower’s obligations arising as a result of the joint and several liability of such Domestic Borrower hereunder with respect to Credit Extensions made to the other Borrowers hereunder, such Domestic Borrower waives, until the Obligations shall have been paid in full and this Credit Agreement and the other Credit Documents shall have been terminated, any right to enforce any right of subrogation or any remedy which</w:t>
      </w:r>
    </w:p>
    <w:p>
      <w:pPr>
        <w:spacing w:after="0" w:line="390" w:lineRule="exact"/>
        <w:rPr>
          <w:sz w:val="20"/>
          <w:szCs w:val="20"/>
          <w:color w:val="auto"/>
        </w:rPr>
      </w:pPr>
    </w:p>
    <w:p>
      <w:pPr>
        <w:jc w:val="center"/>
        <w:ind w:right="-39"/>
        <w:spacing w:after="0"/>
        <w:rPr>
          <w:sz w:val="20"/>
          <w:szCs w:val="20"/>
          <w:color w:val="auto"/>
        </w:rPr>
      </w:pPr>
      <w:r>
        <w:rPr>
          <w:rFonts w:ascii="Arial" w:cs="Arial" w:eastAsia="Arial" w:hAnsi="Arial"/>
          <w:sz w:val="20"/>
          <w:szCs w:val="20"/>
          <w:color w:val="auto"/>
        </w:rPr>
        <w:t>110</w:t>
      </w:r>
    </w:p>
    <w:p>
      <w:pPr>
        <w:spacing w:after="0" w:line="10" w:lineRule="exact"/>
        <w:rPr>
          <w:sz w:val="20"/>
          <w:szCs w:val="20"/>
          <w:color w:val="auto"/>
        </w:rPr>
      </w:pPr>
    </w:p>
    <w:p>
      <w:pPr>
        <w:spacing w:after="0"/>
        <w:rPr>
          <w:sz w:val="20"/>
          <w:szCs w:val="20"/>
          <w:color w:val="auto"/>
        </w:rPr>
      </w:pPr>
      <w:r>
        <w:rPr>
          <w:rFonts w:ascii="Arial" w:cs="Arial" w:eastAsia="Arial" w:hAnsi="Arial"/>
          <w:sz w:val="14"/>
          <w:szCs w:val="14"/>
          <w:color w:val="auto"/>
        </w:rPr>
        <w:t>CHAR1\1346423v</w:t>
      </w:r>
      <w:r>
        <w:rPr>
          <w:rFonts w:ascii="Arial" w:cs="Arial" w:eastAsia="Arial" w:hAnsi="Arial"/>
          <w:sz w:val="14"/>
          <w:szCs w:val="14"/>
          <w:color w:val="FF0000"/>
          <w:strike w:val="1"/>
        </w:rPr>
        <w:t>1</w:t>
      </w:r>
      <w:r>
        <w:rPr>
          <w:rFonts w:ascii="Arial" w:cs="Arial" w:eastAsia="Arial" w:hAnsi="Arial"/>
          <w:sz w:val="14"/>
          <w:szCs w:val="14"/>
          <w:u w:val="single" w:color="auto"/>
          <w:color w:val="0000FF"/>
        </w:rPr>
        <w:t>12</w:t>
      </w:r>
    </w:p>
    <w:p>
      <w:pPr>
        <w:sectPr>
          <w:pgSz w:w="11900" w:h="16838" w:orient="portrait"/>
          <w:cols w:equalWidth="0" w:num="1">
            <w:col w:w="11380"/>
          </w:cols>
          <w:pgMar w:left="240" w:top="609" w:right="279" w:bottom="1440" w:gutter="0" w:footer="0" w:header="0"/>
        </w:sectPr>
      </w:pPr>
    </w:p>
    <w:bookmarkStart w:id="162" w:name="page163"/>
    <w:bookmarkEnd w:id="162"/>
    <w:p>
      <w:pPr>
        <w:ind w:left="1300" w:right="40"/>
        <w:spacing w:after="0" w:line="288" w:lineRule="auto"/>
        <w:rPr>
          <w:sz w:val="20"/>
          <w:szCs w:val="20"/>
          <w:color w:val="auto"/>
        </w:rPr>
      </w:pPr>
      <w:r>
        <w:rPr>
          <w:rFonts w:ascii="Arial" w:cs="Arial" w:eastAsia="Arial" w:hAnsi="Arial"/>
          <w:sz w:val="20"/>
          <w:szCs w:val="20"/>
          <w:color w:val="auto"/>
        </w:rPr>
        <w:t>the Administrative Agent or any Lender now has or may hereafter have against such Domestic Borrower, any endorser or any guarantor of all or any part of the Obligations, and any benefit of, and any right to participate in, any security or collateral given to the Administrative Agent or any Lender to secure payment of the Obligations or any other liability of any Borrower to the Administrative Agent or any Lender.</w:t>
      </w:r>
    </w:p>
    <w:p>
      <w:pPr>
        <w:spacing w:after="0" w:line="206" w:lineRule="exact"/>
        <w:rPr>
          <w:sz w:val="20"/>
          <w:szCs w:val="20"/>
          <w:color w:val="auto"/>
        </w:rPr>
      </w:pPr>
    </w:p>
    <w:p>
      <w:pPr>
        <w:ind w:left="1300" w:right="120" w:firstLine="653"/>
        <w:spacing w:after="0" w:line="310" w:lineRule="auto"/>
        <w:tabs>
          <w:tab w:leader="none" w:pos="2440" w:val="left"/>
        </w:tabs>
        <w:numPr>
          <w:ilvl w:val="1"/>
          <w:numId w:val="144"/>
        </w:numPr>
        <w:rPr>
          <w:rFonts w:ascii="Arial" w:cs="Arial" w:eastAsia="Arial" w:hAnsi="Arial"/>
          <w:sz w:val="22"/>
          <w:szCs w:val="22"/>
          <w:color w:val="auto"/>
        </w:rPr>
      </w:pPr>
      <w:r>
        <w:rPr>
          <w:rFonts w:ascii="Arial" w:cs="Arial" w:eastAsia="Arial" w:hAnsi="Arial"/>
          <w:sz w:val="20"/>
          <w:szCs w:val="20"/>
          <w:color w:val="auto"/>
        </w:rPr>
        <w:t>Upon the occurrence and during the continuation of any Event of Default, the Administrative Agent and the Lenders may proceed directly and at once, without notice, against any Domestic Borrower to collect and recover the full amount, or any portion of the Obligations, without first proceeding against any other Borrower or any other Person, or against any security or collateral for the Obligations. Each Domestic Borrower consents and agrees that the Administrative Agent and the Lenders shall be under no obligation to marshal any assets in favor of any Borrower or against or in payment of any or all of the Obligations.</w:t>
      </w:r>
    </w:p>
    <w:p>
      <w:pPr>
        <w:spacing w:after="0" w:line="186" w:lineRule="exact"/>
        <w:rPr>
          <w:rFonts w:ascii="Arial" w:cs="Arial" w:eastAsia="Arial" w:hAnsi="Arial"/>
          <w:sz w:val="22"/>
          <w:szCs w:val="22"/>
          <w:color w:val="auto"/>
        </w:rPr>
      </w:pPr>
    </w:p>
    <w:p>
      <w:pPr>
        <w:ind w:left="1720" w:hanging="415"/>
        <w:spacing w:after="0"/>
        <w:tabs>
          <w:tab w:leader="none" w:pos="1720" w:val="left"/>
        </w:tabs>
        <w:numPr>
          <w:ilvl w:val="0"/>
          <w:numId w:val="145"/>
        </w:numPr>
        <w:rPr>
          <w:rFonts w:ascii="Arial" w:cs="Arial" w:eastAsia="Arial" w:hAnsi="Arial"/>
          <w:sz w:val="19"/>
          <w:szCs w:val="19"/>
          <w:color w:val="auto"/>
        </w:rPr>
      </w:pPr>
      <w:r>
        <w:rPr>
          <w:rFonts w:ascii="Arial" w:cs="Arial" w:eastAsia="Arial" w:hAnsi="Arial"/>
          <w:sz w:val="19"/>
          <w:szCs w:val="19"/>
          <w:u w:val="single" w:color="auto"/>
          <w:color w:val="auto"/>
        </w:rPr>
        <w:t>Foreign Borrowers</w:t>
      </w:r>
      <w:r>
        <w:rPr>
          <w:rFonts w:ascii="Arial" w:cs="Arial" w:eastAsia="Arial" w:hAnsi="Arial"/>
          <w:sz w:val="19"/>
          <w:szCs w:val="19"/>
          <w:color w:val="auto"/>
        </w:rPr>
        <w:t>. The obligations of the Foreign Borrowers under this Credit Agreement and the other Credit</w:t>
      </w:r>
    </w:p>
    <w:p>
      <w:pPr>
        <w:spacing w:after="0" w:line="65" w:lineRule="exact"/>
        <w:rPr>
          <w:rFonts w:ascii="Arial" w:cs="Arial" w:eastAsia="Arial" w:hAnsi="Arial"/>
          <w:sz w:val="19"/>
          <w:szCs w:val="19"/>
          <w:color w:val="auto"/>
        </w:rPr>
      </w:pPr>
    </w:p>
    <w:p>
      <w:pPr>
        <w:ind w:left="660" w:right="140"/>
        <w:spacing w:after="0" w:line="288" w:lineRule="auto"/>
        <w:rPr>
          <w:rFonts w:ascii="Arial" w:cs="Arial" w:eastAsia="Arial" w:hAnsi="Arial"/>
          <w:sz w:val="19"/>
          <w:szCs w:val="19"/>
          <w:color w:val="auto"/>
        </w:rPr>
      </w:pPr>
      <w:r>
        <w:rPr>
          <w:rFonts w:ascii="Arial" w:cs="Arial" w:eastAsia="Arial" w:hAnsi="Arial"/>
          <w:sz w:val="20"/>
          <w:szCs w:val="20"/>
          <w:color w:val="auto"/>
        </w:rPr>
        <w:t xml:space="preserve">Documents shall be several, and not joint, in nature,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the Foreign Borrowers expressly waive any requirement that the Administrative Agent or any holder of the respective Obligations, or any of their officers, agents or representatives, exhaust any right, power or remedy or first proceed under any of the Credit Documents or against any other Credit Party, any other Person or any Collateral with respect to such Obligations.</w:t>
      </w:r>
    </w:p>
    <w:p>
      <w:pPr>
        <w:spacing w:after="0" w:line="193" w:lineRule="exact"/>
        <w:rPr>
          <w:sz w:val="20"/>
          <w:szCs w:val="20"/>
          <w:color w:val="auto"/>
        </w:rPr>
      </w:pPr>
    </w:p>
    <w:p>
      <w:pPr>
        <w:ind w:left="660"/>
        <w:spacing w:after="0"/>
        <w:tabs>
          <w:tab w:leader="none" w:pos="1160" w:val="left"/>
        </w:tabs>
        <w:rPr>
          <w:sz w:val="20"/>
          <w:szCs w:val="20"/>
          <w:color w:val="auto"/>
        </w:rPr>
      </w:pPr>
      <w:r>
        <w:rPr>
          <w:rFonts w:ascii="Arial" w:cs="Arial" w:eastAsia="Arial" w:hAnsi="Arial"/>
          <w:sz w:val="20"/>
          <w:szCs w:val="20"/>
          <w:color w:val="auto"/>
        </w:rPr>
        <w:t>2.16</w:t>
      </w:r>
      <w:r>
        <w:rPr>
          <w:sz w:val="20"/>
          <w:szCs w:val="20"/>
          <w:color w:val="auto"/>
        </w:rPr>
        <w:tab/>
      </w:r>
      <w:r>
        <w:rPr>
          <w:rFonts w:ascii="Arial" w:cs="Arial" w:eastAsia="Arial" w:hAnsi="Arial"/>
          <w:sz w:val="16"/>
          <w:szCs w:val="16"/>
          <w:u w:val="single" w:color="auto"/>
          <w:color w:val="auto"/>
        </w:rPr>
        <w:t>Cash Collateral</w:t>
      </w:r>
      <w:r>
        <w:rPr>
          <w:rFonts w:ascii="Arial" w:cs="Arial" w:eastAsia="Arial" w:hAnsi="Arial"/>
          <w:sz w:val="16"/>
          <w:szCs w:val="16"/>
          <w:color w:val="auto"/>
        </w:rPr>
        <w:t>.</w:t>
      </w:r>
    </w:p>
    <w:p>
      <w:pPr>
        <w:spacing w:after="0" w:line="270" w:lineRule="exact"/>
        <w:rPr>
          <w:sz w:val="20"/>
          <w:szCs w:val="20"/>
          <w:color w:val="auto"/>
        </w:rPr>
      </w:pPr>
    </w:p>
    <w:p>
      <w:pPr>
        <w:ind w:left="1700" w:hanging="395"/>
        <w:spacing w:after="0"/>
        <w:tabs>
          <w:tab w:leader="none" w:pos="1700" w:val="left"/>
        </w:tabs>
        <w:numPr>
          <w:ilvl w:val="0"/>
          <w:numId w:val="146"/>
        </w:numPr>
        <w:rPr>
          <w:rFonts w:ascii="Arial" w:cs="Arial" w:eastAsia="Arial" w:hAnsi="Arial"/>
          <w:sz w:val="18"/>
          <w:szCs w:val="18"/>
          <w:color w:val="auto"/>
        </w:rPr>
      </w:pPr>
      <w:r>
        <w:rPr>
          <w:rFonts w:ascii="Arial" w:cs="Arial" w:eastAsia="Arial" w:hAnsi="Arial"/>
          <w:sz w:val="18"/>
          <w:szCs w:val="18"/>
          <w:u w:val="single" w:color="auto"/>
          <w:color w:val="auto"/>
        </w:rPr>
        <w:t>Certain Credit Support Events</w:t>
      </w:r>
      <w:r>
        <w:rPr>
          <w:rFonts w:ascii="Arial" w:cs="Arial" w:eastAsia="Arial" w:hAnsi="Arial"/>
          <w:sz w:val="18"/>
          <w:szCs w:val="18"/>
          <w:color w:val="auto"/>
        </w:rPr>
        <w:t>. Upon the request of the Administrative Agent or an L/C Issuer (i) if an L/C Issuer has</w:t>
      </w:r>
    </w:p>
    <w:p>
      <w:pPr>
        <w:spacing w:after="0" w:line="76" w:lineRule="exact"/>
        <w:rPr>
          <w:rFonts w:ascii="Arial" w:cs="Arial" w:eastAsia="Arial" w:hAnsi="Arial"/>
          <w:sz w:val="18"/>
          <w:szCs w:val="18"/>
          <w:color w:val="auto"/>
        </w:rPr>
      </w:pPr>
    </w:p>
    <w:p>
      <w:pPr>
        <w:ind w:left="660"/>
        <w:spacing w:after="0" w:line="317" w:lineRule="auto"/>
        <w:rPr>
          <w:rFonts w:ascii="Arial" w:cs="Arial" w:eastAsia="Arial" w:hAnsi="Arial"/>
          <w:sz w:val="18"/>
          <w:szCs w:val="18"/>
          <w:color w:val="auto"/>
        </w:rPr>
      </w:pPr>
      <w:r>
        <w:rPr>
          <w:rFonts w:ascii="Arial" w:cs="Arial" w:eastAsia="Arial" w:hAnsi="Arial"/>
          <w:sz w:val="18"/>
          <w:szCs w:val="18"/>
          <w:color w:val="auto"/>
        </w:rPr>
        <w:t xml:space="preserve">honored any full or partial drawing request under any Letter of Credit and such drawing has resulted in an L/C Borrowing, </w:t>
      </w:r>
      <w:r>
        <w:rPr>
          <w:rFonts w:ascii="Arial" w:cs="Arial" w:eastAsia="Arial" w:hAnsi="Arial"/>
          <w:sz w:val="18"/>
          <w:szCs w:val="18"/>
          <w:color w:val="FF0000"/>
          <w:strike w:val="1"/>
        </w:rPr>
        <w:t>or</w:t>
      </w:r>
      <w:r>
        <w:rPr>
          <w:rFonts w:ascii="Arial" w:cs="Arial" w:eastAsia="Arial" w:hAnsi="Arial"/>
          <w:sz w:val="18"/>
          <w:szCs w:val="18"/>
          <w:color w:val="auto"/>
        </w:rPr>
        <w:t xml:space="preserve"> (ii) if, as of the L/C Expiration Date, any L/C Obligation for any reason remains outstanding, </w:t>
      </w:r>
      <w:r>
        <w:rPr>
          <w:rFonts w:ascii="Arial" w:cs="Arial" w:eastAsia="Arial" w:hAnsi="Arial"/>
          <w:sz w:val="18"/>
          <w:szCs w:val="18"/>
          <w:color w:val="FF0000"/>
          <w:strike w:val="1"/>
        </w:rPr>
        <w:t>the applicable</w:t>
      </w:r>
      <w:r>
        <w:rPr>
          <w:rFonts w:ascii="Arial" w:cs="Arial" w:eastAsia="Arial" w:hAnsi="Arial"/>
          <w:sz w:val="18"/>
          <w:szCs w:val="18"/>
          <w:u w:val="single" w:color="auto"/>
          <w:color w:val="0000FF"/>
        </w:rPr>
        <w:t>(iii) the</w:t>
      </w:r>
      <w:r>
        <w:rPr>
          <w:rFonts w:ascii="Arial" w:cs="Arial" w:eastAsia="Arial" w:hAnsi="Arial"/>
          <w:sz w:val="18"/>
          <w:szCs w:val="18"/>
          <w:color w:val="auto"/>
        </w:rPr>
        <w:t xml:space="preserve"> Borrowers</w:t>
      </w:r>
      <w:r>
        <w:rPr>
          <w:rFonts w:ascii="Arial" w:cs="Arial" w:eastAsia="Arial" w:hAnsi="Arial"/>
          <w:sz w:val="18"/>
          <w:szCs w:val="18"/>
          <w:color w:val="FF0000"/>
          <w:strike w:val="1"/>
        </w:rPr>
        <w:t>, shall, in each</w:t>
      </w:r>
      <w:r>
        <w:rPr>
          <w:rFonts w:ascii="Arial" w:cs="Arial" w:eastAsia="Arial" w:hAnsi="Arial"/>
          <w:sz w:val="18"/>
          <w:szCs w:val="18"/>
          <w:color w:val="auto"/>
        </w:rPr>
        <w:t xml:space="preserve"> </w:t>
      </w:r>
      <w:r>
        <w:rPr>
          <w:rFonts w:ascii="Arial" w:cs="Arial" w:eastAsia="Arial" w:hAnsi="Arial"/>
          <w:sz w:val="18"/>
          <w:szCs w:val="18"/>
          <w:color w:val="FF0000"/>
          <w:strike w:val="1"/>
        </w:rPr>
        <w:t xml:space="preserve">case, immediately Cash Collateralize the then Outstanding Amount of the L/C Obligations </w:t>
      </w:r>
      <w:r>
        <w:rPr>
          <w:rFonts w:ascii="Arial" w:cs="Arial" w:eastAsia="Arial" w:hAnsi="Arial"/>
          <w:sz w:val="18"/>
          <w:szCs w:val="18"/>
          <w:u w:val="single" w:color="auto"/>
          <w:color w:val="0000FF"/>
          <w:strike w:val="1"/>
        </w:rPr>
        <w:t>shall be required to provide Cash Collateral</w:t>
      </w:r>
      <w:r>
        <w:rPr>
          <w:rFonts w:ascii="Arial" w:cs="Arial" w:eastAsia="Arial" w:hAnsi="Arial"/>
          <w:sz w:val="18"/>
          <w:szCs w:val="18"/>
          <w:color w:val="FF0000"/>
          <w:strike w:val="1"/>
        </w:rPr>
        <w:t xml:space="preserve"> </w:t>
      </w:r>
      <w:r>
        <w:rPr>
          <w:rFonts w:ascii="Arial" w:cs="Arial" w:eastAsia="Arial" w:hAnsi="Arial"/>
          <w:sz w:val="18"/>
          <w:szCs w:val="18"/>
          <w:u w:val="single" w:color="auto"/>
          <w:color w:val="0000FF"/>
          <w:strike w:val="1"/>
        </w:rPr>
        <w:t>pursuant to Section 9.02(c) or otherwise, or (iv) there shall exist a Defaulting Lender, the Borrowers shall immediately (in the case of clause (iii) above) or within one Business Day (in all other cases) following any request by the Administrative Agent or L/C Issuer provide Cash Collateral in an amount not less than the applicable Minimum Collateral Amount (determined in the case of Cash Collateral provided pursuant to clause (iv) above, after giving effect to Section 2.17(a)(iv) and any Cash Collateral provided by the Defaulting Lender)</w:t>
      </w:r>
      <w:r>
        <w:rPr>
          <w:rFonts w:ascii="Arial" w:cs="Arial" w:eastAsia="Arial" w:hAnsi="Arial"/>
          <w:sz w:val="18"/>
          <w:szCs w:val="18"/>
          <w:color w:val="000000"/>
          <w:strike w:val="1"/>
        </w:rPr>
        <w:t>. If the Administrative Agent notifies the Borrowers at any time that the Outstanding Amount of all L/C Obligations</w:t>
      </w:r>
      <w:r>
        <w:rPr>
          <w:rFonts w:ascii="Arial" w:cs="Arial" w:eastAsia="Arial" w:hAnsi="Arial"/>
          <w:sz w:val="18"/>
          <w:szCs w:val="18"/>
          <w:color w:val="0000FF"/>
          <w:strike w:val="1"/>
        </w:rPr>
        <w:t xml:space="preserve"> </w:t>
      </w:r>
      <w:r>
        <w:rPr>
          <w:rFonts w:ascii="Arial" w:cs="Arial" w:eastAsia="Arial" w:hAnsi="Arial"/>
          <w:sz w:val="18"/>
          <w:szCs w:val="18"/>
          <w:color w:val="000000"/>
          <w:strike w:val="1"/>
        </w:rPr>
        <w:t>at such time exceeds 105% of the L/C Sublimit then in effect, then, within two Business Days after receipt of such notice, the applicable Borrowers shall Cash Collateralize the L/C Obligations in an amount equal to the amount by which the Outstanding Amount of all L/C Obligations exceeds the L/C Sublimit. The Administrative Agent may, at any time and from time to time after the initial deposit of Cash Collateral, request that additional Cash Collateral be provided in order to protect against the results of exchange rate fluctuations. At any time that there shall exist a Defaulting Lender,</w:t>
      </w:r>
    </w:p>
    <w:p>
      <w:pPr>
        <w:spacing w:after="0" w:line="389" w:lineRule="exact"/>
        <w:rPr>
          <w:sz w:val="20"/>
          <w:szCs w:val="20"/>
          <w:color w:val="auto"/>
        </w:rPr>
      </w:pPr>
    </w:p>
    <w:p>
      <w:pPr>
        <w:jc w:val="center"/>
        <w:ind w:right="-39"/>
        <w:spacing w:after="0"/>
        <w:rPr>
          <w:sz w:val="20"/>
          <w:szCs w:val="20"/>
          <w:color w:val="auto"/>
        </w:rPr>
      </w:pPr>
      <w:r>
        <w:rPr>
          <w:rFonts w:ascii="Arial" w:cs="Arial" w:eastAsia="Arial" w:hAnsi="Arial"/>
          <w:sz w:val="20"/>
          <w:szCs w:val="20"/>
          <w:color w:val="auto"/>
        </w:rPr>
        <w:t>111</w:t>
      </w:r>
    </w:p>
    <w:p>
      <w:pPr>
        <w:spacing w:after="0" w:line="10" w:lineRule="exact"/>
        <w:rPr>
          <w:sz w:val="20"/>
          <w:szCs w:val="20"/>
          <w:color w:val="auto"/>
        </w:rPr>
      </w:pPr>
    </w:p>
    <w:p>
      <w:pPr>
        <w:spacing w:after="0"/>
        <w:rPr>
          <w:sz w:val="20"/>
          <w:szCs w:val="20"/>
          <w:color w:val="auto"/>
        </w:rPr>
      </w:pPr>
      <w:r>
        <w:rPr>
          <w:rFonts w:ascii="Arial" w:cs="Arial" w:eastAsia="Arial" w:hAnsi="Arial"/>
          <w:sz w:val="14"/>
          <w:szCs w:val="14"/>
          <w:color w:val="auto"/>
        </w:rPr>
        <w:t>CHAR1\1346423v</w:t>
      </w:r>
      <w:r>
        <w:rPr>
          <w:rFonts w:ascii="Arial" w:cs="Arial" w:eastAsia="Arial" w:hAnsi="Arial"/>
          <w:sz w:val="14"/>
          <w:szCs w:val="14"/>
          <w:color w:val="FF0000"/>
          <w:strike w:val="1"/>
        </w:rPr>
        <w:t>1</w:t>
      </w:r>
      <w:r>
        <w:rPr>
          <w:rFonts w:ascii="Arial" w:cs="Arial" w:eastAsia="Arial" w:hAnsi="Arial"/>
          <w:sz w:val="14"/>
          <w:szCs w:val="14"/>
          <w:u w:val="single" w:color="auto"/>
          <w:color w:val="0000FF"/>
        </w:rPr>
        <w:t>12</w:t>
      </w:r>
    </w:p>
    <w:p>
      <w:pPr>
        <w:sectPr>
          <w:pgSz w:w="11900" w:h="16838" w:orient="portrait"/>
          <w:cols w:equalWidth="0" w:num="1">
            <w:col w:w="11400"/>
          </w:cols>
          <w:pgMar w:left="240" w:top="609" w:right="259" w:bottom="1440" w:gutter="0" w:footer="0" w:header="0"/>
        </w:sectPr>
      </w:pPr>
    </w:p>
    <w:bookmarkStart w:id="163" w:name="page164"/>
    <w:bookmarkEnd w:id="163"/>
    <w:p>
      <w:pPr>
        <w:ind w:left="660" w:right="60"/>
        <w:spacing w:after="0" w:line="292" w:lineRule="auto"/>
        <w:rPr>
          <w:sz w:val="20"/>
          <w:szCs w:val="20"/>
          <w:color w:val="auto"/>
        </w:rPr>
      </w:pPr>
      <w:r>
        <w:rPr>
          <w:rFonts w:ascii="Arial" w:cs="Arial" w:eastAsia="Arial" w:hAnsi="Arial"/>
          <w:sz w:val="20"/>
          <w:szCs w:val="20"/>
          <w:color w:val="auto"/>
        </w:rPr>
        <w:t xml:space="preserve">immediately upon the request of the Administrative Agent, an L/C Issuer or a Swingline Lender, the applicable Borrowers shall deliver to the Administrative Agent Cash Collateral in an amount sufficient to cover all Fronting Exposure (after giving effect to </w:t>
      </w:r>
      <w:r>
        <w:rPr>
          <w:rFonts w:ascii="Arial" w:cs="Arial" w:eastAsia="Arial" w:hAnsi="Arial"/>
          <w:sz w:val="20"/>
          <w:szCs w:val="20"/>
          <w:u w:val="single" w:color="auto"/>
          <w:color w:val="auto"/>
        </w:rPr>
        <w:t>Section</w:t>
      </w:r>
      <w:r>
        <w:rPr>
          <w:rFonts w:ascii="Arial" w:cs="Arial" w:eastAsia="Arial" w:hAnsi="Arial"/>
          <w:sz w:val="20"/>
          <w:szCs w:val="20"/>
          <w:color w:val="auto"/>
        </w:rPr>
        <w:t xml:space="preserve"> </w:t>
      </w:r>
      <w:r>
        <w:rPr>
          <w:rFonts w:ascii="Arial" w:cs="Arial" w:eastAsia="Arial" w:hAnsi="Arial"/>
          <w:sz w:val="20"/>
          <w:szCs w:val="20"/>
          <w:u w:val="single" w:color="auto"/>
          <w:color w:val="auto"/>
        </w:rPr>
        <w:t>2.17(a)(viii)</w:t>
      </w:r>
      <w:r>
        <w:rPr>
          <w:rFonts w:ascii="Arial" w:cs="Arial" w:eastAsia="Arial" w:hAnsi="Arial"/>
          <w:sz w:val="20"/>
          <w:szCs w:val="20"/>
          <w:color w:val="auto"/>
        </w:rPr>
        <w:t xml:space="preserve"> and any Cash Collateral provided by the Defaulting Lender).</w:t>
      </w:r>
    </w:p>
    <w:p>
      <w:pPr>
        <w:spacing w:after="0" w:line="187" w:lineRule="exact"/>
        <w:rPr>
          <w:sz w:val="20"/>
          <w:szCs w:val="20"/>
          <w:color w:val="auto"/>
        </w:rPr>
      </w:pPr>
    </w:p>
    <w:p>
      <w:pPr>
        <w:ind w:left="1720" w:hanging="415"/>
        <w:spacing w:after="0"/>
        <w:tabs>
          <w:tab w:leader="none" w:pos="1720" w:val="left"/>
        </w:tabs>
        <w:numPr>
          <w:ilvl w:val="0"/>
          <w:numId w:val="147"/>
        </w:numPr>
        <w:rPr>
          <w:rFonts w:ascii="Arial" w:cs="Arial" w:eastAsia="Arial" w:hAnsi="Arial"/>
          <w:sz w:val="18"/>
          <w:szCs w:val="18"/>
          <w:color w:val="auto"/>
        </w:rPr>
      </w:pPr>
      <w:r>
        <w:rPr>
          <w:rFonts w:ascii="Arial" w:cs="Arial" w:eastAsia="Arial" w:hAnsi="Arial"/>
          <w:sz w:val="18"/>
          <w:szCs w:val="18"/>
          <w:u w:val="single" w:color="auto"/>
          <w:color w:val="auto"/>
        </w:rPr>
        <w:t>Grant of Security Interest</w:t>
      </w:r>
      <w:r>
        <w:rPr>
          <w:rFonts w:ascii="Arial" w:cs="Arial" w:eastAsia="Arial" w:hAnsi="Arial"/>
          <w:sz w:val="18"/>
          <w:szCs w:val="18"/>
          <w:color w:val="auto"/>
        </w:rPr>
        <w:t>. All Cash Collateral (other than credit support not constituting funds subject to deposit) shall be</w:t>
      </w:r>
    </w:p>
    <w:p>
      <w:pPr>
        <w:spacing w:after="0" w:line="76" w:lineRule="exact"/>
        <w:rPr>
          <w:rFonts w:ascii="Arial" w:cs="Arial" w:eastAsia="Arial" w:hAnsi="Arial"/>
          <w:sz w:val="18"/>
          <w:szCs w:val="18"/>
          <w:color w:val="auto"/>
        </w:rPr>
      </w:pPr>
    </w:p>
    <w:p>
      <w:pPr>
        <w:ind w:left="660" w:right="20"/>
        <w:spacing w:after="0" w:line="318" w:lineRule="auto"/>
        <w:rPr>
          <w:rFonts w:ascii="Arial" w:cs="Arial" w:eastAsia="Arial" w:hAnsi="Arial"/>
          <w:sz w:val="18"/>
          <w:szCs w:val="18"/>
          <w:color w:val="auto"/>
        </w:rPr>
      </w:pPr>
      <w:r>
        <w:rPr>
          <w:rFonts w:ascii="Arial" w:cs="Arial" w:eastAsia="Arial" w:hAnsi="Arial"/>
          <w:sz w:val="18"/>
          <w:szCs w:val="18"/>
          <w:color w:val="auto"/>
        </w:rPr>
        <w:t xml:space="preserve">maintained in blocked, interest bearing deposit accounts at Bank of America. Each Borrower providing such Cash Collateral, and to the extent provided by any Lender, such Lender, hereby grants to (and subject to the control of) the Administrative Agent, for the benefit of the Administrative Agent, the applicable L/C Issuers and the applicable Lenders (including the applicable Swingline Lenders), and agree to maintain, a first priority security interest in all such cash, deposit accounts and all balances therein, and all other property so provided as collateral pursuant hereto, and in all proceeds of the foregoing, all as security for the obligations to which such Cash Collateral may be applied pursuant to </w:t>
      </w:r>
      <w:r>
        <w:rPr>
          <w:rFonts w:ascii="Arial" w:cs="Arial" w:eastAsia="Arial" w:hAnsi="Arial"/>
          <w:sz w:val="18"/>
          <w:szCs w:val="18"/>
          <w:u w:val="single" w:color="auto"/>
          <w:color w:val="auto"/>
        </w:rPr>
        <w:t>Section 2.16(c)</w:t>
      </w:r>
      <w:r>
        <w:rPr>
          <w:rFonts w:ascii="Arial" w:cs="Arial" w:eastAsia="Arial" w:hAnsi="Arial"/>
          <w:sz w:val="18"/>
          <w:szCs w:val="18"/>
          <w:color w:val="auto"/>
        </w:rPr>
        <w:t xml:space="preserve">. If at any time the Administrative Agent determines that Cash Collateral is subject to any right or claim of any Person other than the Administrative Agent </w:t>
      </w:r>
      <w:r>
        <w:rPr>
          <w:rFonts w:ascii="Arial" w:cs="Arial" w:eastAsia="Arial" w:hAnsi="Arial"/>
          <w:sz w:val="18"/>
          <w:szCs w:val="18"/>
          <w:u w:val="single" w:color="auto"/>
          <w:color w:val="0000FF"/>
        </w:rPr>
        <w:t>or L/C Issuer</w:t>
      </w:r>
      <w:r>
        <w:rPr>
          <w:rFonts w:ascii="Arial" w:cs="Arial" w:eastAsia="Arial" w:hAnsi="Arial"/>
          <w:sz w:val="18"/>
          <w:szCs w:val="18"/>
          <w:color w:val="auto"/>
        </w:rPr>
        <w:t xml:space="preserve"> as herein provided, or that the total amount of such Cash Collateral is less than the </w:t>
      </w:r>
      <w:r>
        <w:rPr>
          <w:rFonts w:ascii="Arial" w:cs="Arial" w:eastAsia="Arial" w:hAnsi="Arial"/>
          <w:sz w:val="18"/>
          <w:szCs w:val="18"/>
          <w:color w:val="FF0000"/>
          <w:strike w:val="1"/>
        </w:rPr>
        <w:t>applicable Fronting Exposure and other obligations secured thereby</w:t>
      </w:r>
      <w:r>
        <w:rPr>
          <w:rFonts w:ascii="Arial" w:cs="Arial" w:eastAsia="Arial" w:hAnsi="Arial"/>
          <w:sz w:val="18"/>
          <w:szCs w:val="18"/>
          <w:u w:val="single" w:color="auto"/>
          <w:color w:val="0000FF"/>
        </w:rPr>
        <w:t>Minimum Collateral</w:t>
      </w:r>
      <w:r>
        <w:rPr>
          <w:rFonts w:ascii="Arial" w:cs="Arial" w:eastAsia="Arial" w:hAnsi="Arial"/>
          <w:sz w:val="18"/>
          <w:szCs w:val="18"/>
          <w:color w:val="auto"/>
        </w:rPr>
        <w:t xml:space="preserve"> </w:t>
      </w:r>
      <w:r>
        <w:rPr>
          <w:rFonts w:ascii="Arial" w:cs="Arial" w:eastAsia="Arial" w:hAnsi="Arial"/>
          <w:sz w:val="18"/>
          <w:szCs w:val="18"/>
          <w:u w:val="single" w:color="auto"/>
          <w:color w:val="0000FF"/>
        </w:rPr>
        <w:t>Amount</w:t>
      </w:r>
      <w:r>
        <w:rPr>
          <w:rFonts w:ascii="Arial" w:cs="Arial" w:eastAsia="Arial" w:hAnsi="Arial"/>
          <w:sz w:val="18"/>
          <w:szCs w:val="18"/>
          <w:color w:val="000000"/>
        </w:rPr>
        <w:t>, the applicable Borrowers or the relevant Defaulting Lender will, promptly upon demand by the Administrative Agent, pay or</w:t>
      </w:r>
      <w:r>
        <w:rPr>
          <w:rFonts w:ascii="Arial" w:cs="Arial" w:eastAsia="Arial" w:hAnsi="Arial"/>
          <w:sz w:val="18"/>
          <w:szCs w:val="18"/>
          <w:color w:val="0000FF"/>
        </w:rPr>
        <w:t xml:space="preserve"> </w:t>
      </w:r>
      <w:r>
        <w:rPr>
          <w:rFonts w:ascii="Arial" w:cs="Arial" w:eastAsia="Arial" w:hAnsi="Arial"/>
          <w:sz w:val="18"/>
          <w:szCs w:val="18"/>
          <w:color w:val="000000"/>
        </w:rPr>
        <w:t>provide to the Administrative Agent additional Cash Collateral in an amount sufficient to eliminate such deficiency.</w:t>
      </w:r>
    </w:p>
    <w:p>
      <w:pPr>
        <w:spacing w:after="0" w:line="174" w:lineRule="exact"/>
        <w:rPr>
          <w:rFonts w:ascii="Arial" w:cs="Arial" w:eastAsia="Arial" w:hAnsi="Arial"/>
          <w:sz w:val="18"/>
          <w:szCs w:val="18"/>
          <w:color w:val="auto"/>
        </w:rPr>
      </w:pPr>
    </w:p>
    <w:p>
      <w:pPr>
        <w:ind w:left="1700" w:hanging="395"/>
        <w:spacing w:after="0"/>
        <w:tabs>
          <w:tab w:leader="none" w:pos="1700" w:val="left"/>
        </w:tabs>
        <w:numPr>
          <w:ilvl w:val="0"/>
          <w:numId w:val="147"/>
        </w:numPr>
        <w:rPr>
          <w:rFonts w:ascii="Arial" w:cs="Arial" w:eastAsia="Arial" w:hAnsi="Arial"/>
          <w:sz w:val="18"/>
          <w:szCs w:val="18"/>
          <w:color w:val="auto"/>
        </w:rPr>
      </w:pPr>
      <w:r>
        <w:rPr>
          <w:rFonts w:ascii="Arial" w:cs="Arial" w:eastAsia="Arial" w:hAnsi="Arial"/>
          <w:sz w:val="18"/>
          <w:szCs w:val="18"/>
          <w:u w:val="single" w:color="auto"/>
          <w:color w:val="auto"/>
        </w:rPr>
        <w:t>Application</w:t>
      </w:r>
      <w:r>
        <w:rPr>
          <w:rFonts w:ascii="Arial" w:cs="Arial" w:eastAsia="Arial" w:hAnsi="Arial"/>
          <w:sz w:val="18"/>
          <w:szCs w:val="18"/>
          <w:color w:val="auto"/>
        </w:rPr>
        <w:t>. Notwithstanding anything to the contrary contained in this Credit Agreement, Cash Collateral provided under</w:t>
      </w:r>
    </w:p>
    <w:p>
      <w:pPr>
        <w:spacing w:after="0" w:line="76" w:lineRule="exact"/>
        <w:rPr>
          <w:rFonts w:ascii="Arial" w:cs="Arial" w:eastAsia="Arial" w:hAnsi="Arial"/>
          <w:sz w:val="18"/>
          <w:szCs w:val="18"/>
          <w:color w:val="auto"/>
        </w:rPr>
      </w:pPr>
    </w:p>
    <w:p>
      <w:pPr>
        <w:ind w:left="660"/>
        <w:spacing w:after="0" w:line="308" w:lineRule="auto"/>
        <w:rPr>
          <w:rFonts w:ascii="Arial" w:cs="Arial" w:eastAsia="Arial" w:hAnsi="Arial"/>
          <w:sz w:val="18"/>
          <w:szCs w:val="18"/>
          <w:color w:val="auto"/>
        </w:rPr>
      </w:pPr>
      <w:r>
        <w:rPr>
          <w:rFonts w:ascii="Arial" w:cs="Arial" w:eastAsia="Arial" w:hAnsi="Arial"/>
          <w:sz w:val="19"/>
          <w:szCs w:val="19"/>
          <w:color w:val="auto"/>
        </w:rPr>
        <w:t xml:space="preserve">any of this </w:t>
      </w:r>
      <w:r>
        <w:rPr>
          <w:rFonts w:ascii="Arial" w:cs="Arial" w:eastAsia="Arial" w:hAnsi="Arial"/>
          <w:sz w:val="19"/>
          <w:szCs w:val="19"/>
          <w:u w:val="single" w:color="auto"/>
          <w:color w:val="auto"/>
        </w:rPr>
        <w:t>Section 2.16</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Sections 2.06</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9.02</w:t>
      </w:r>
      <w:r>
        <w:rPr>
          <w:rFonts w:ascii="Arial" w:cs="Arial" w:eastAsia="Arial" w:hAnsi="Arial"/>
          <w:sz w:val="19"/>
          <w:szCs w:val="19"/>
          <w:color w:val="auto"/>
        </w:rPr>
        <w:t xml:space="preserve"> in respect of Letters of Credit or Swingline Loans shall be held and applied to the satisfaction of the specific L/C Obligations, Swingline Loans, obligations to fund participations therein (including, as to Cash Collateral provided by a Defaulting Lender, any interest accrued on such obligation) and other obligations for which the Cash Collateral was so provided, prior to any other application of such property as may be provided for herein.</w:t>
      </w:r>
    </w:p>
    <w:p>
      <w:pPr>
        <w:spacing w:after="0" w:line="174" w:lineRule="exact"/>
        <w:rPr>
          <w:rFonts w:ascii="Arial" w:cs="Arial" w:eastAsia="Arial" w:hAnsi="Arial"/>
          <w:sz w:val="18"/>
          <w:szCs w:val="18"/>
          <w:color w:val="auto"/>
        </w:rPr>
      </w:pPr>
    </w:p>
    <w:p>
      <w:pPr>
        <w:ind w:left="1720" w:hanging="415"/>
        <w:spacing w:after="0"/>
        <w:tabs>
          <w:tab w:leader="none" w:pos="1720" w:val="left"/>
        </w:tabs>
        <w:numPr>
          <w:ilvl w:val="0"/>
          <w:numId w:val="147"/>
        </w:numPr>
        <w:rPr>
          <w:rFonts w:ascii="Arial" w:cs="Arial" w:eastAsia="Arial" w:hAnsi="Arial"/>
          <w:sz w:val="18"/>
          <w:szCs w:val="18"/>
          <w:color w:val="auto"/>
        </w:rPr>
      </w:pPr>
      <w:r>
        <w:rPr>
          <w:rFonts w:ascii="Arial" w:cs="Arial" w:eastAsia="Arial" w:hAnsi="Arial"/>
          <w:sz w:val="18"/>
          <w:szCs w:val="18"/>
          <w:u w:val="single" w:color="auto"/>
          <w:color w:val="auto"/>
        </w:rPr>
        <w:t>Release</w:t>
      </w:r>
      <w:r>
        <w:rPr>
          <w:rFonts w:ascii="Arial" w:cs="Arial" w:eastAsia="Arial" w:hAnsi="Arial"/>
          <w:sz w:val="18"/>
          <w:szCs w:val="18"/>
          <w:color w:val="auto"/>
        </w:rPr>
        <w:t xml:space="preserve">. Cash Collateral (or the appropriate portion thereof) provided to reduce Fronting Exposure or </w:t>
      </w:r>
      <w:r>
        <w:rPr>
          <w:rFonts w:ascii="Arial" w:cs="Arial" w:eastAsia="Arial" w:hAnsi="Arial"/>
          <w:sz w:val="18"/>
          <w:szCs w:val="18"/>
          <w:u w:val="single" w:color="auto"/>
          <w:color w:val="0000FF"/>
        </w:rPr>
        <w:t>to secure</w:t>
      </w:r>
      <w:r>
        <w:rPr>
          <w:rFonts w:ascii="Arial" w:cs="Arial" w:eastAsia="Arial" w:hAnsi="Arial"/>
          <w:sz w:val="18"/>
          <w:szCs w:val="18"/>
          <w:color w:val="auto"/>
        </w:rPr>
        <w:t xml:space="preserve"> other</w:t>
      </w:r>
    </w:p>
    <w:p>
      <w:pPr>
        <w:spacing w:after="0" w:line="76" w:lineRule="exact"/>
        <w:rPr>
          <w:rFonts w:ascii="Arial" w:cs="Arial" w:eastAsia="Arial" w:hAnsi="Arial"/>
          <w:sz w:val="18"/>
          <w:szCs w:val="18"/>
          <w:color w:val="auto"/>
        </w:rPr>
      </w:pPr>
    </w:p>
    <w:p>
      <w:pPr>
        <w:ind w:left="660" w:right="60"/>
        <w:spacing w:after="0" w:line="321" w:lineRule="auto"/>
        <w:rPr>
          <w:rFonts w:ascii="Arial" w:cs="Arial" w:eastAsia="Arial" w:hAnsi="Arial"/>
          <w:sz w:val="18"/>
          <w:szCs w:val="18"/>
          <w:color w:val="auto"/>
        </w:rPr>
      </w:pPr>
      <w:r>
        <w:rPr>
          <w:rFonts w:ascii="Arial" w:cs="Arial" w:eastAsia="Arial" w:hAnsi="Arial"/>
          <w:sz w:val="18"/>
          <w:szCs w:val="18"/>
          <w:color w:val="auto"/>
        </w:rPr>
        <w:t xml:space="preserve">obligations shall be released promptly following (i) the elimination of the applicable Fronting Exposure or other obligations giving rise thereto (including by the termination of Defaulting Lender status of the applicable Lender (or, as appropriate, its assignee following compliance with </w:t>
      </w:r>
      <w:r>
        <w:rPr>
          <w:rFonts w:ascii="Arial" w:cs="Arial" w:eastAsia="Arial" w:hAnsi="Arial"/>
          <w:sz w:val="18"/>
          <w:szCs w:val="18"/>
          <w:u w:val="single" w:color="auto"/>
          <w:color w:val="auto"/>
        </w:rPr>
        <w:t>Section 11.06(b)(vi)</w:t>
      </w:r>
      <w:r>
        <w:rPr>
          <w:rFonts w:ascii="Arial" w:cs="Arial" w:eastAsia="Arial" w:hAnsi="Arial"/>
          <w:sz w:val="18"/>
          <w:szCs w:val="18"/>
          <w:color w:val="auto"/>
        </w:rPr>
        <w:t>)) or (ii) the Administrative Agent’s good faith determination that there exists excess Cash Collateral; p</w:t>
      </w:r>
      <w:r>
        <w:rPr>
          <w:rFonts w:ascii="Arial" w:cs="Arial" w:eastAsia="Arial" w:hAnsi="Arial"/>
          <w:sz w:val="18"/>
          <w:szCs w:val="18"/>
          <w:u w:val="single" w:color="auto"/>
          <w:color w:val="auto"/>
        </w:rPr>
        <w:t>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xml:space="preserve">, (x) that Cash Collateral furnished by or on behalf of a Credit Party shall not be released during the continuance of an Event of Default (and following application as provided in this </w:t>
      </w:r>
      <w:r>
        <w:rPr>
          <w:rFonts w:ascii="Arial" w:cs="Arial" w:eastAsia="Arial" w:hAnsi="Arial"/>
          <w:sz w:val="18"/>
          <w:szCs w:val="18"/>
          <w:u w:val="single" w:color="auto"/>
          <w:color w:val="auto"/>
        </w:rPr>
        <w:t>Section 2.16</w:t>
      </w:r>
      <w:r>
        <w:rPr>
          <w:rFonts w:ascii="Arial" w:cs="Arial" w:eastAsia="Arial" w:hAnsi="Arial"/>
          <w:sz w:val="18"/>
          <w:szCs w:val="18"/>
          <w:color w:val="auto"/>
        </w:rPr>
        <w:t xml:space="preserve"> shall be applied in accordance with </w:t>
      </w:r>
      <w:r>
        <w:rPr>
          <w:rFonts w:ascii="Arial" w:cs="Arial" w:eastAsia="Arial" w:hAnsi="Arial"/>
          <w:sz w:val="18"/>
          <w:szCs w:val="18"/>
          <w:u w:val="single" w:color="auto"/>
          <w:color w:val="auto"/>
        </w:rPr>
        <w:t>Section 9.03</w:t>
      </w:r>
      <w:r>
        <w:rPr>
          <w:rFonts w:ascii="Arial" w:cs="Arial" w:eastAsia="Arial" w:hAnsi="Arial"/>
          <w:sz w:val="18"/>
          <w:szCs w:val="18"/>
          <w:color w:val="auto"/>
        </w:rPr>
        <w:t>), and (y) the Person providing Cash Collateral and the applicable L/C Issuer or Swingline Lender, as applicable, may agree that Cash Collateral shall not be released but instead held to support future anticipated Fronting Exposure or other obligations.</w:t>
      </w:r>
    </w:p>
    <w:p>
      <w:pPr>
        <w:spacing w:after="0" w:line="169" w:lineRule="exact"/>
        <w:rPr>
          <w:sz w:val="20"/>
          <w:szCs w:val="20"/>
          <w:color w:val="auto"/>
        </w:rPr>
      </w:pPr>
    </w:p>
    <w:p>
      <w:pPr>
        <w:ind w:left="660"/>
        <w:spacing w:after="0"/>
        <w:tabs>
          <w:tab w:leader="none" w:pos="1160" w:val="left"/>
        </w:tabs>
        <w:rPr>
          <w:sz w:val="20"/>
          <w:szCs w:val="20"/>
          <w:color w:val="auto"/>
        </w:rPr>
      </w:pPr>
      <w:r>
        <w:rPr>
          <w:rFonts w:ascii="Arial" w:cs="Arial" w:eastAsia="Arial" w:hAnsi="Arial"/>
          <w:sz w:val="20"/>
          <w:szCs w:val="20"/>
          <w:color w:val="auto"/>
        </w:rPr>
        <w:t>2.17</w:t>
      </w:r>
      <w:r>
        <w:rPr>
          <w:sz w:val="20"/>
          <w:szCs w:val="20"/>
          <w:color w:val="auto"/>
        </w:rPr>
        <w:tab/>
      </w:r>
      <w:r>
        <w:rPr>
          <w:rFonts w:ascii="Arial" w:cs="Arial" w:eastAsia="Arial" w:hAnsi="Arial"/>
          <w:sz w:val="18"/>
          <w:szCs w:val="18"/>
          <w:u w:val="single" w:color="auto"/>
          <w:color w:val="auto"/>
        </w:rPr>
        <w:t>Defaulting Lenders</w:t>
      </w:r>
      <w:r>
        <w:rPr>
          <w:rFonts w:ascii="Arial" w:cs="Arial" w:eastAsia="Arial" w:hAnsi="Arial"/>
          <w:sz w:val="18"/>
          <w:szCs w:val="18"/>
          <w:color w:val="auto"/>
        </w:rPr>
        <w:t>.</w:t>
      </w: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112</w:t>
      </w:r>
    </w:p>
    <w:p>
      <w:pPr>
        <w:spacing w:after="0" w:line="10" w:lineRule="exact"/>
        <w:rPr>
          <w:sz w:val="20"/>
          <w:szCs w:val="20"/>
          <w:color w:val="auto"/>
        </w:rPr>
      </w:pPr>
    </w:p>
    <w:p>
      <w:pPr>
        <w:spacing w:after="0"/>
        <w:rPr>
          <w:sz w:val="20"/>
          <w:szCs w:val="20"/>
          <w:color w:val="auto"/>
        </w:rPr>
      </w:pPr>
      <w:r>
        <w:rPr>
          <w:rFonts w:ascii="Arial" w:cs="Arial" w:eastAsia="Arial" w:hAnsi="Arial"/>
          <w:sz w:val="14"/>
          <w:szCs w:val="14"/>
          <w:color w:val="auto"/>
        </w:rPr>
        <w:t>CHAR1\1346423v</w:t>
      </w:r>
      <w:r>
        <w:rPr>
          <w:rFonts w:ascii="Arial" w:cs="Arial" w:eastAsia="Arial" w:hAnsi="Arial"/>
          <w:sz w:val="14"/>
          <w:szCs w:val="14"/>
          <w:color w:val="FF0000"/>
          <w:strike w:val="1"/>
        </w:rPr>
        <w:t>1</w:t>
      </w:r>
      <w:r>
        <w:rPr>
          <w:rFonts w:ascii="Arial" w:cs="Arial" w:eastAsia="Arial" w:hAnsi="Arial"/>
          <w:sz w:val="14"/>
          <w:szCs w:val="14"/>
          <w:u w:val="single" w:color="auto"/>
          <w:color w:val="0000FF"/>
        </w:rPr>
        <w:t>12</w:t>
      </w:r>
    </w:p>
    <w:p>
      <w:pPr>
        <w:sectPr>
          <w:pgSz w:w="11900" w:h="16838" w:orient="portrait"/>
          <w:cols w:equalWidth="0" w:num="1">
            <w:col w:w="11420"/>
          </w:cols>
          <w:pgMar w:left="240" w:top="609" w:right="239" w:bottom="1440" w:gutter="0" w:footer="0" w:header="0"/>
        </w:sectPr>
      </w:pPr>
    </w:p>
    <w:bookmarkStart w:id="164" w:name="page165"/>
    <w:bookmarkEnd w:id="164"/>
    <w:p>
      <w:pPr>
        <w:ind w:right="60" w:firstLine="656"/>
        <w:spacing w:after="0" w:line="267" w:lineRule="auto"/>
        <w:tabs>
          <w:tab w:leader="none" w:pos="917" w:val="left"/>
        </w:tabs>
        <w:numPr>
          <w:ilvl w:val="0"/>
          <w:numId w:val="148"/>
        </w:numPr>
        <w:rPr>
          <w:rFonts w:ascii="Arial" w:cs="Arial" w:eastAsia="Arial" w:hAnsi="Arial"/>
          <w:sz w:val="19"/>
          <w:szCs w:val="19"/>
          <w:color w:val="FF0000"/>
          <w:strike w:val="1"/>
        </w:rPr>
      </w:pPr>
      <w:r>
        <w:rPr>
          <w:rFonts w:ascii="Arial" w:cs="Arial" w:eastAsia="Arial" w:hAnsi="Arial"/>
          <w:sz w:val="19"/>
          <w:szCs w:val="19"/>
          <w:u w:val="single" w:color="auto"/>
          <w:color w:val="0000FF"/>
        </w:rPr>
        <w:t>(a)</w:t>
      </w:r>
      <w:r>
        <w:rPr>
          <w:rFonts w:ascii="Arial" w:cs="Arial" w:eastAsia="Arial" w:hAnsi="Arial"/>
          <w:sz w:val="19"/>
          <w:szCs w:val="19"/>
          <w:color w:val="0000FF"/>
        </w:rPr>
        <w:t xml:space="preserve"> </w:t>
      </w:r>
      <w:r>
        <w:rPr>
          <w:rFonts w:ascii="Arial" w:cs="Arial" w:eastAsia="Arial" w:hAnsi="Arial"/>
          <w:sz w:val="19"/>
          <w:szCs w:val="19"/>
          <w:u w:val="single" w:color="auto"/>
          <w:color w:val="000000"/>
        </w:rPr>
        <w:t>Adjustments</w:t>
      </w:r>
      <w:r>
        <w:rPr>
          <w:rFonts w:ascii="Arial" w:cs="Arial" w:eastAsia="Arial" w:hAnsi="Arial"/>
          <w:sz w:val="19"/>
          <w:szCs w:val="19"/>
          <w:color w:val="000000"/>
        </w:rPr>
        <w:t>. Notwithstanding anything to the contrary contained in this Credit Agreement, if any Lender becomes a Defaulting</w:t>
      </w:r>
      <w:r>
        <w:rPr>
          <w:rFonts w:ascii="Arial" w:cs="Arial" w:eastAsia="Arial" w:hAnsi="Arial"/>
          <w:sz w:val="19"/>
          <w:szCs w:val="19"/>
          <w:color w:val="0000FF"/>
        </w:rPr>
        <w:t xml:space="preserve"> </w:t>
      </w:r>
      <w:r>
        <w:rPr>
          <w:rFonts w:ascii="Arial" w:cs="Arial" w:eastAsia="Arial" w:hAnsi="Arial"/>
          <w:sz w:val="19"/>
          <w:szCs w:val="19"/>
          <w:color w:val="000000"/>
        </w:rPr>
        <w:t xml:space="preserve">Lender, then, until such time as </w:t>
      </w:r>
      <w:r>
        <w:rPr>
          <w:rFonts w:ascii="Arial" w:cs="Arial" w:eastAsia="Arial" w:hAnsi="Arial"/>
          <w:sz w:val="19"/>
          <w:szCs w:val="19"/>
          <w:color w:val="FF0000"/>
          <w:strike w:val="1"/>
        </w:rPr>
        <w:t>such</w:t>
      </w:r>
      <w:r>
        <w:rPr>
          <w:rFonts w:ascii="Arial" w:cs="Arial" w:eastAsia="Arial" w:hAnsi="Arial"/>
          <w:sz w:val="19"/>
          <w:szCs w:val="19"/>
          <w:u w:val="single" w:color="auto"/>
          <w:color w:val="0000FF"/>
        </w:rPr>
        <w:t>that</w:t>
      </w:r>
      <w:r>
        <w:rPr>
          <w:rFonts w:ascii="Arial" w:cs="Arial" w:eastAsia="Arial" w:hAnsi="Arial"/>
          <w:sz w:val="19"/>
          <w:szCs w:val="19"/>
          <w:color w:val="000000"/>
        </w:rPr>
        <w:t xml:space="preserve"> Lender is no longer a Defaulting Lender, to the extent permitted by applicable Law:</w:t>
      </w:r>
    </w:p>
    <w:p>
      <w:pPr>
        <w:ind w:left="1300" w:firstLine="653"/>
        <w:spacing w:after="0" w:line="292" w:lineRule="auto"/>
        <w:tabs>
          <w:tab w:leader="none" w:pos="2333" w:val="left"/>
        </w:tabs>
        <w:numPr>
          <w:ilvl w:val="2"/>
          <w:numId w:val="148"/>
        </w:numPr>
        <w:rPr>
          <w:rFonts w:ascii="Arial" w:cs="Arial" w:eastAsia="Arial" w:hAnsi="Arial"/>
          <w:sz w:val="20"/>
          <w:szCs w:val="20"/>
          <w:color w:val="FF0000"/>
          <w:strike w:val="1"/>
        </w:rPr>
      </w:pPr>
      <w:r>
        <w:rPr>
          <w:rFonts w:ascii="Arial" w:cs="Arial" w:eastAsia="Arial" w:hAnsi="Arial"/>
          <w:sz w:val="20"/>
          <w:szCs w:val="20"/>
          <w:color w:val="FF0000"/>
          <w:strike w:val="1"/>
        </w:rPr>
        <w:t>the L/C Issuers may require the applicable Borrowers or Defaulting Lender to provide Adequate Assurance for the Defaulting Lender’s share of the L/C Obligations as a condition to the issuance</w:t>
      </w:r>
      <w:r>
        <w:rPr>
          <w:rFonts w:ascii="Arial" w:cs="Arial" w:eastAsia="Arial" w:hAnsi="Arial"/>
          <w:sz w:val="20"/>
          <w:szCs w:val="20"/>
          <w:color w:val="00C000"/>
          <w:strike w:val="1"/>
        </w:rPr>
        <w:t>, extension, renewal or increase</w:t>
      </w:r>
      <w:r>
        <w:rPr>
          <w:rFonts w:ascii="Arial" w:cs="Arial" w:eastAsia="Arial" w:hAnsi="Arial"/>
          <w:sz w:val="20"/>
          <w:szCs w:val="20"/>
          <w:color w:val="FF0000"/>
          <w:strike w:val="1"/>
        </w:rPr>
        <w:t xml:space="preserve"> of Letters of Credit;</w:t>
      </w:r>
    </w:p>
    <w:p>
      <w:pPr>
        <w:spacing w:after="0" w:line="186" w:lineRule="exact"/>
        <w:rPr>
          <w:rFonts w:ascii="Arial" w:cs="Arial" w:eastAsia="Arial" w:hAnsi="Arial"/>
          <w:sz w:val="20"/>
          <w:szCs w:val="20"/>
          <w:color w:val="FF0000"/>
          <w:strike w:val="1"/>
        </w:rPr>
      </w:pPr>
    </w:p>
    <w:p>
      <w:pPr>
        <w:ind w:left="1300" w:right="20" w:firstLine="653"/>
        <w:spacing w:after="0" w:line="363" w:lineRule="auto"/>
        <w:tabs>
          <w:tab w:leader="none" w:pos="2388" w:val="left"/>
        </w:tabs>
        <w:numPr>
          <w:ilvl w:val="2"/>
          <w:numId w:val="148"/>
        </w:numPr>
        <w:rPr>
          <w:rFonts w:ascii="Arial" w:cs="Arial" w:eastAsia="Arial" w:hAnsi="Arial"/>
          <w:sz w:val="18"/>
          <w:szCs w:val="18"/>
          <w:color w:val="FF0000"/>
          <w:strike w:val="1"/>
        </w:rPr>
      </w:pPr>
      <w:r>
        <w:rPr>
          <w:rFonts w:ascii="Arial" w:cs="Arial" w:eastAsia="Arial" w:hAnsi="Arial"/>
          <w:sz w:val="18"/>
          <w:szCs w:val="18"/>
          <w:color w:val="FF0000"/>
          <w:strike w:val="1"/>
        </w:rPr>
        <w:t>the Swingline Lenders may require the applicable Borrowers or Defaulting Lender to provide Adequate Assurance for the Defaulting Lender’s share of Swingline Loans as a condition to the making or extension of Swingline Loans;</w:t>
      </w:r>
    </w:p>
    <w:p>
      <w:pPr>
        <w:spacing w:after="0" w:line="332" w:lineRule="exact"/>
        <w:rPr>
          <w:rFonts w:ascii="Arial" w:cs="Arial" w:eastAsia="Arial" w:hAnsi="Arial"/>
          <w:sz w:val="18"/>
          <w:szCs w:val="18"/>
          <w:color w:val="FF0000"/>
          <w:strike w:val="1"/>
        </w:rPr>
      </w:pPr>
    </w:p>
    <w:p>
      <w:pPr>
        <w:ind w:left="660" w:right="240" w:firstLine="645"/>
        <w:spacing w:after="0" w:line="248" w:lineRule="auto"/>
        <w:tabs>
          <w:tab w:leader="none" w:pos="1803" w:val="left"/>
        </w:tabs>
        <w:numPr>
          <w:ilvl w:val="1"/>
          <w:numId w:val="148"/>
        </w:numPr>
        <w:rPr>
          <w:rFonts w:ascii="Arial" w:cs="Arial" w:eastAsia="Arial" w:hAnsi="Arial"/>
          <w:sz w:val="20"/>
          <w:szCs w:val="20"/>
          <w:color w:val="FF0000"/>
          <w:strike w:val="1"/>
        </w:rPr>
      </w:pPr>
      <w:r>
        <w:rPr>
          <w:rFonts w:ascii="Arial" w:cs="Arial" w:eastAsia="Arial" w:hAnsi="Arial"/>
          <w:sz w:val="20"/>
          <w:szCs w:val="20"/>
          <w:color w:val="FF0000"/>
          <w:strike w:val="1"/>
        </w:rPr>
        <w:t>the</w:t>
      </w:r>
      <w:r>
        <w:rPr>
          <w:rFonts w:ascii="Arial" w:cs="Arial" w:eastAsia="Arial" w:hAnsi="Arial"/>
          <w:sz w:val="20"/>
          <w:szCs w:val="20"/>
          <w:u w:val="single" w:color="auto"/>
          <w:color w:val="0000FF"/>
        </w:rPr>
        <w:t>(i) Waivers and Amendments. Such</w:t>
      </w:r>
      <w:r>
        <w:rPr>
          <w:rFonts w:ascii="Arial" w:cs="Arial" w:eastAsia="Arial" w:hAnsi="Arial"/>
          <w:sz w:val="20"/>
          <w:szCs w:val="20"/>
          <w:color w:val="FF0000"/>
        </w:rPr>
        <w:t xml:space="preserve"> </w:t>
      </w:r>
      <w:r>
        <w:rPr>
          <w:rFonts w:ascii="Arial" w:cs="Arial" w:eastAsia="Arial" w:hAnsi="Arial"/>
          <w:sz w:val="20"/>
          <w:szCs w:val="20"/>
          <w:color w:val="000000"/>
        </w:rPr>
        <w:t>Defaulting Lender shall not be entitled to vote</w:t>
      </w:r>
      <w:r>
        <w:rPr>
          <w:rFonts w:ascii="Arial" w:cs="Arial" w:eastAsia="Arial" w:hAnsi="Arial"/>
          <w:sz w:val="20"/>
          <w:szCs w:val="20"/>
          <w:color w:val="FF0000"/>
          <w:strike w:val="1"/>
        </w:rPr>
        <w:t>,</w:t>
      </w:r>
      <w:r>
        <w:rPr>
          <w:rFonts w:ascii="Arial" w:cs="Arial" w:eastAsia="Arial" w:hAnsi="Arial"/>
          <w:sz w:val="20"/>
          <w:szCs w:val="20"/>
          <w:color w:val="FF0000"/>
        </w:rPr>
        <w:t xml:space="preserve"> </w:t>
      </w:r>
      <w:r>
        <w:rPr>
          <w:rFonts w:ascii="Arial" w:cs="Arial" w:eastAsia="Arial" w:hAnsi="Arial"/>
          <w:sz w:val="20"/>
          <w:szCs w:val="20"/>
          <w:color w:val="000000"/>
        </w:rPr>
        <w:t>or participate in amendments,</w:t>
      </w:r>
      <w:r>
        <w:rPr>
          <w:rFonts w:ascii="Arial" w:cs="Arial" w:eastAsia="Arial" w:hAnsi="Arial"/>
          <w:sz w:val="20"/>
          <w:szCs w:val="20"/>
          <w:color w:val="FF0000"/>
        </w:rPr>
        <w:t xml:space="preserve"> </w:t>
      </w:r>
      <w:r>
        <w:rPr>
          <w:rFonts w:ascii="Arial" w:cs="Arial" w:eastAsia="Arial" w:hAnsi="Arial"/>
          <w:sz w:val="20"/>
          <w:szCs w:val="20"/>
          <w:color w:val="000000"/>
        </w:rPr>
        <w:t xml:space="preserve">waivers or consents hereunder or in respect of the other </w:t>
      </w:r>
      <w:r>
        <w:rPr>
          <w:rFonts w:ascii="Arial" w:cs="Arial" w:eastAsia="Arial" w:hAnsi="Arial"/>
          <w:sz w:val="20"/>
          <w:szCs w:val="20"/>
          <w:color w:val="FF0000"/>
          <w:strike w:val="1"/>
        </w:rPr>
        <w:t>Credit</w:t>
      </w:r>
      <w:r>
        <w:rPr>
          <w:rFonts w:ascii="Arial" w:cs="Arial" w:eastAsia="Arial" w:hAnsi="Arial"/>
          <w:sz w:val="20"/>
          <w:szCs w:val="20"/>
          <w:u w:val="single" w:color="auto"/>
          <w:color w:val="0000FF"/>
        </w:rPr>
        <w:t>Loan</w:t>
      </w:r>
      <w:r>
        <w:rPr>
          <w:rFonts w:ascii="Arial" w:cs="Arial" w:eastAsia="Arial" w:hAnsi="Arial"/>
          <w:sz w:val="20"/>
          <w:szCs w:val="20"/>
          <w:color w:val="000000"/>
        </w:rPr>
        <w:t xml:space="preserve"> Documents, except as </w:t>
      </w:r>
      <w:r>
        <w:rPr>
          <w:rFonts w:ascii="Arial" w:cs="Arial" w:eastAsia="Arial" w:hAnsi="Arial"/>
          <w:sz w:val="20"/>
          <w:szCs w:val="20"/>
          <w:color w:val="FF0000"/>
          <w:strike w:val="1"/>
        </w:rPr>
        <w:t>may be</w:t>
      </w:r>
      <w:r>
        <w:rPr>
          <w:rFonts w:ascii="Arial" w:cs="Arial" w:eastAsia="Arial" w:hAnsi="Arial"/>
          <w:sz w:val="20"/>
          <w:szCs w:val="20"/>
          <w:color w:val="000000"/>
        </w:rPr>
        <w:t xml:space="preserve"> expressly provided </w:t>
      </w:r>
      <w:r>
        <w:rPr>
          <w:rFonts w:ascii="Arial" w:cs="Arial" w:eastAsia="Arial" w:hAnsi="Arial"/>
          <w:sz w:val="20"/>
          <w:szCs w:val="20"/>
          <w:color w:val="FF0000"/>
          <w:strike w:val="1"/>
        </w:rPr>
        <w:t>herein</w:t>
      </w:r>
      <w:r>
        <w:rPr>
          <w:rFonts w:ascii="Arial" w:cs="Arial" w:eastAsia="Arial" w:hAnsi="Arial"/>
          <w:sz w:val="20"/>
          <w:szCs w:val="20"/>
          <w:u w:val="single" w:color="auto"/>
          <w:color w:val="0000FF"/>
        </w:rPr>
        <w:t>in the</w:t>
      </w:r>
      <w:r>
        <w:rPr>
          <w:rFonts w:ascii="Arial" w:cs="Arial" w:eastAsia="Arial" w:hAnsi="Arial"/>
          <w:sz w:val="20"/>
          <w:szCs w:val="20"/>
          <w:color w:val="000000"/>
        </w:rPr>
        <w:t xml:space="preserve"> </w:t>
      </w:r>
      <w:r>
        <w:rPr>
          <w:rFonts w:ascii="Arial" w:cs="Arial" w:eastAsia="Arial" w:hAnsi="Arial"/>
          <w:sz w:val="20"/>
          <w:szCs w:val="20"/>
          <w:u w:val="single" w:color="auto"/>
          <w:color w:val="0000FF"/>
        </w:rPr>
        <w:t>definition of “Required Lenders” and Section 11.01</w:t>
      </w:r>
      <w:r>
        <w:rPr>
          <w:rFonts w:ascii="Arial" w:cs="Arial" w:eastAsia="Arial" w:hAnsi="Arial"/>
          <w:sz w:val="20"/>
          <w:szCs w:val="20"/>
          <w:color w:val="000000"/>
        </w:rPr>
        <w:t>;</w:t>
      </w:r>
    </w:p>
    <w:p>
      <w:pPr>
        <w:spacing w:after="0" w:line="2" w:lineRule="exact"/>
        <w:rPr>
          <w:rFonts w:ascii="Arial" w:cs="Arial" w:eastAsia="Arial" w:hAnsi="Arial"/>
          <w:sz w:val="20"/>
          <w:szCs w:val="20"/>
          <w:color w:val="FF0000"/>
          <w:strike w:val="1"/>
        </w:rPr>
      </w:pPr>
    </w:p>
    <w:p>
      <w:pPr>
        <w:ind w:left="2440" w:hanging="487"/>
        <w:spacing w:after="0"/>
        <w:tabs>
          <w:tab w:leader="none" w:pos="2440" w:val="left"/>
        </w:tabs>
        <w:numPr>
          <w:ilvl w:val="2"/>
          <w:numId w:val="149"/>
        </w:numPr>
        <w:rPr>
          <w:rFonts w:ascii="Arial" w:cs="Arial" w:eastAsia="Arial" w:hAnsi="Arial"/>
          <w:sz w:val="20"/>
          <w:szCs w:val="20"/>
          <w:color w:val="FF0000"/>
          <w:strike w:val="1"/>
        </w:rPr>
      </w:pPr>
      <w:r>
        <w:rPr>
          <w:rFonts w:ascii="Arial" w:cs="Arial" w:eastAsia="Arial" w:hAnsi="Arial"/>
          <w:sz w:val="20"/>
          <w:szCs w:val="20"/>
          <w:color w:val="FF0000"/>
          <w:strike w:val="1"/>
        </w:rPr>
        <w:t xml:space="preserve">the Defaulting Lender may be replaced and its interests assigned as provided in </w:t>
      </w:r>
      <w:r>
        <w:rPr>
          <w:rFonts w:ascii="Arial" w:cs="Arial" w:eastAsia="Arial" w:hAnsi="Arial"/>
          <w:sz w:val="20"/>
          <w:szCs w:val="20"/>
          <w:u w:val="single" w:color="auto"/>
          <w:color w:val="FF0000"/>
          <w:strike w:val="1"/>
        </w:rPr>
        <w:t>Section 11.13</w:t>
      </w:r>
      <w:r>
        <w:rPr>
          <w:rFonts w:ascii="Arial" w:cs="Arial" w:eastAsia="Arial" w:hAnsi="Arial"/>
          <w:sz w:val="20"/>
          <w:szCs w:val="20"/>
          <w:color w:val="FF0000"/>
          <w:strike w:val="1"/>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6389370</wp:posOffset>
            </wp:positionH>
            <wp:positionV relativeFrom="paragraph">
              <wp:posOffset>-1601470</wp:posOffset>
            </wp:positionV>
            <wp:extent cx="652780"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52780" cy="8890"/>
                    </a:xfrm>
                    <a:prstGeom prst="rect">
                      <a:avLst/>
                    </a:prstGeom>
                    <a:noFill/>
                  </pic:spPr>
                </pic:pic>
              </a:graphicData>
            </a:graphic>
          </wp:anchor>
        </w:drawing>
      </w:r>
    </w:p>
    <w:p>
      <w:pPr>
        <w:spacing w:after="0" w:line="200" w:lineRule="exact"/>
        <w:rPr>
          <w:sz w:val="20"/>
          <w:szCs w:val="20"/>
          <w:color w:val="auto"/>
        </w:rPr>
      </w:pPr>
    </w:p>
    <w:p>
      <w:pPr>
        <w:spacing w:after="0" w:line="239" w:lineRule="exact"/>
        <w:rPr>
          <w:sz w:val="20"/>
          <w:szCs w:val="20"/>
          <w:color w:val="auto"/>
        </w:rPr>
      </w:pPr>
    </w:p>
    <w:p>
      <w:pPr>
        <w:ind w:left="660" w:firstLine="645"/>
        <w:spacing w:after="0" w:line="267" w:lineRule="auto"/>
        <w:tabs>
          <w:tab w:leader="none" w:pos="1737" w:val="left"/>
        </w:tabs>
        <w:numPr>
          <w:ilvl w:val="1"/>
          <w:numId w:val="150"/>
        </w:numPr>
        <w:rPr>
          <w:rFonts w:ascii="Arial" w:cs="Arial" w:eastAsia="Arial" w:hAnsi="Arial"/>
          <w:sz w:val="18"/>
          <w:szCs w:val="18"/>
          <w:color w:val="FF0000"/>
          <w:strike w:val="1"/>
        </w:rPr>
      </w:pPr>
      <w:r>
        <w:rPr>
          <w:rFonts w:ascii="Arial" w:cs="Arial" w:eastAsia="Arial" w:hAnsi="Arial"/>
          <w:sz w:val="18"/>
          <w:szCs w:val="18"/>
          <w:color w:val="FF0000"/>
          <w:strike w:val="1"/>
        </w:rPr>
        <w:t>all payments</w:t>
      </w:r>
      <w:r>
        <w:rPr>
          <w:rFonts w:ascii="Arial" w:cs="Arial" w:eastAsia="Arial" w:hAnsi="Arial"/>
          <w:sz w:val="18"/>
          <w:szCs w:val="18"/>
          <w:u w:val="single" w:color="auto"/>
          <w:color w:val="0000FF"/>
        </w:rPr>
        <w:t>(ii) Defaulting Lender Waterfall. Any payment</w:t>
      </w:r>
      <w:r>
        <w:rPr>
          <w:rFonts w:ascii="Arial" w:cs="Arial" w:eastAsia="Arial" w:hAnsi="Arial"/>
          <w:sz w:val="18"/>
          <w:szCs w:val="18"/>
          <w:color w:val="FF0000"/>
        </w:rPr>
        <w:t xml:space="preserve"> </w:t>
      </w:r>
      <w:r>
        <w:rPr>
          <w:rFonts w:ascii="Arial" w:cs="Arial" w:eastAsia="Arial" w:hAnsi="Arial"/>
          <w:sz w:val="18"/>
          <w:szCs w:val="18"/>
          <w:color w:val="000000"/>
        </w:rPr>
        <w:t>of principal, interest</w:t>
      </w:r>
      <w:r>
        <w:rPr>
          <w:rFonts w:ascii="Arial" w:cs="Arial" w:eastAsia="Arial" w:hAnsi="Arial"/>
          <w:sz w:val="18"/>
          <w:szCs w:val="18"/>
          <w:color w:val="FF0000"/>
        </w:rPr>
        <w:t xml:space="preserve"> </w:t>
      </w:r>
      <w:r>
        <w:rPr>
          <w:rFonts w:ascii="Arial" w:cs="Arial" w:eastAsia="Arial" w:hAnsi="Arial"/>
          <w:sz w:val="18"/>
          <w:szCs w:val="18"/>
          <w:color w:val="FF0000"/>
          <w:strike w:val="1"/>
        </w:rPr>
        <w:t>and other amounts owing to a</w:t>
      </w:r>
      <w:r>
        <w:rPr>
          <w:rFonts w:ascii="Arial" w:cs="Arial" w:eastAsia="Arial" w:hAnsi="Arial"/>
          <w:sz w:val="18"/>
          <w:szCs w:val="18"/>
          <w:color w:val="FF0000"/>
        </w:rPr>
        <w:t xml:space="preserve"> </w:t>
      </w:r>
      <w:r>
        <w:rPr>
          <w:rFonts w:ascii="Arial" w:cs="Arial" w:eastAsia="Arial" w:hAnsi="Arial"/>
          <w:sz w:val="18"/>
          <w:szCs w:val="18"/>
          <w:color w:val="FF0000"/>
          <w:strike w:val="1"/>
        </w:rPr>
        <w:t>Defaulting Lender will be paid into an account or subaccount with</w:t>
      </w:r>
      <w:r>
        <w:rPr>
          <w:rFonts w:ascii="Arial" w:cs="Arial" w:eastAsia="Arial" w:hAnsi="Arial"/>
          <w:sz w:val="18"/>
          <w:szCs w:val="18"/>
          <w:u w:val="single" w:color="auto"/>
          <w:color w:val="0000FF"/>
          <w:strike w:val="1"/>
        </w:rPr>
        <w:t>, fees or other amounts received by the Administrative Agent for the</w:t>
      </w:r>
      <w:r>
        <w:rPr>
          <w:rFonts w:ascii="Arial" w:cs="Arial" w:eastAsia="Arial" w:hAnsi="Arial"/>
          <w:sz w:val="18"/>
          <w:szCs w:val="18"/>
          <w:color w:val="FF0000"/>
          <w:strike w:val="1"/>
        </w:rPr>
        <w:t xml:space="preserve"> </w:t>
      </w:r>
      <w:r>
        <w:rPr>
          <w:rFonts w:ascii="Arial" w:cs="Arial" w:eastAsia="Arial" w:hAnsi="Arial"/>
          <w:sz w:val="18"/>
          <w:szCs w:val="18"/>
          <w:u w:val="single" w:color="auto"/>
          <w:color w:val="0000FF"/>
          <w:strike w:val="1"/>
        </w:rPr>
        <w:t xml:space="preserve">account of such Defaulting Lender (whether voluntary or mandatory, at maturity, pursuant to Article IX or otherwise) or received by </w:t>
      </w:r>
      <w:r>
        <w:rPr>
          <w:rFonts w:ascii="Arial" w:cs="Arial" w:eastAsia="Arial" w:hAnsi="Arial"/>
          <w:sz w:val="18"/>
          <w:szCs w:val="18"/>
          <w:color w:val="000000"/>
          <w:strike w:val="1"/>
        </w:rPr>
        <w:t xml:space="preserve">the Administrative Agent </w:t>
      </w:r>
      <w:r>
        <w:rPr>
          <w:rFonts w:ascii="Arial" w:cs="Arial" w:eastAsia="Arial" w:hAnsi="Arial"/>
          <w:sz w:val="18"/>
          <w:szCs w:val="18"/>
          <w:color w:val="FF0000"/>
          <w:strike w:val="1"/>
        </w:rPr>
        <w:t>(collectively, the “</w:t>
      </w:r>
      <w:r>
        <w:rPr>
          <w:rFonts w:ascii="Arial" w:cs="Arial" w:eastAsia="Arial" w:hAnsi="Arial"/>
          <w:sz w:val="18"/>
          <w:szCs w:val="18"/>
          <w:u w:val="single" w:color="auto"/>
          <w:color w:val="FF0000"/>
          <w:strike w:val="1"/>
        </w:rPr>
        <w:t>Defaulting Lender Account</w:t>
      </w:r>
      <w:r>
        <w:rPr>
          <w:rFonts w:ascii="Arial" w:cs="Arial" w:eastAsia="Arial" w:hAnsi="Arial"/>
          <w:sz w:val="18"/>
          <w:szCs w:val="18"/>
          <w:color w:val="FF0000"/>
          <w:strike w:val="1"/>
        </w:rPr>
        <w:t>”) to secure the Defaulting Lender’s obligations</w:t>
      </w:r>
      <w:r>
        <w:rPr>
          <w:rFonts w:ascii="Arial" w:cs="Arial" w:eastAsia="Arial" w:hAnsi="Arial"/>
          <w:sz w:val="18"/>
          <w:szCs w:val="18"/>
          <w:color w:val="000000"/>
          <w:strike w:val="1"/>
        </w:rPr>
        <w:t xml:space="preserve"> </w:t>
      </w:r>
      <w:r>
        <w:rPr>
          <w:rFonts w:ascii="Arial" w:cs="Arial" w:eastAsia="Arial" w:hAnsi="Arial"/>
          <w:sz w:val="18"/>
          <w:szCs w:val="18"/>
          <w:color w:val="00C000"/>
          <w:strike w:val="1"/>
        </w:rPr>
        <w:t>under this</w:t>
      </w:r>
      <w:r>
        <w:rPr>
          <w:rFonts w:ascii="Arial" w:cs="Arial" w:eastAsia="Arial" w:hAnsi="Arial"/>
          <w:sz w:val="18"/>
          <w:szCs w:val="18"/>
          <w:color w:val="000000"/>
          <w:strike w:val="1"/>
        </w:rPr>
        <w:t xml:space="preserve"> </w:t>
      </w:r>
      <w:r>
        <w:rPr>
          <w:rFonts w:ascii="Arial" w:cs="Arial" w:eastAsia="Arial" w:hAnsi="Arial"/>
          <w:sz w:val="18"/>
          <w:szCs w:val="18"/>
          <w:color w:val="00C000"/>
          <w:strike w:val="1"/>
        </w:rPr>
        <w:t>Credit Agreement</w:t>
      </w:r>
      <w:r>
        <w:rPr>
          <w:rFonts w:ascii="Arial" w:cs="Arial" w:eastAsia="Arial" w:hAnsi="Arial"/>
          <w:sz w:val="18"/>
          <w:szCs w:val="18"/>
          <w:color w:val="FF0000"/>
          <w:strike w:val="1"/>
        </w:rPr>
        <w:t>. Amounts held in the Defaulting Lender Account</w:t>
      </w:r>
      <w:r>
        <w:rPr>
          <w:rFonts w:ascii="Arial" w:cs="Arial" w:eastAsia="Arial" w:hAnsi="Arial"/>
          <w:sz w:val="18"/>
          <w:szCs w:val="18"/>
          <w:u w:val="single" w:color="auto"/>
          <w:color w:val="0000FF"/>
          <w:strike w:val="1"/>
        </w:rPr>
        <w:t>from a Defaulting Lender pursuant to Section 11.08</w:t>
      </w:r>
      <w:r>
        <w:rPr>
          <w:rFonts w:ascii="Arial" w:cs="Arial" w:eastAsia="Arial" w:hAnsi="Arial"/>
          <w:sz w:val="18"/>
          <w:szCs w:val="18"/>
          <w:color w:val="00C000"/>
          <w:strike w:val="1"/>
        </w:rPr>
        <w:t xml:space="preserve"> </w:t>
      </w:r>
      <w:r>
        <w:rPr>
          <w:rFonts w:ascii="Arial" w:cs="Arial" w:eastAsia="Arial" w:hAnsi="Arial"/>
          <w:sz w:val="18"/>
          <w:szCs w:val="18"/>
          <w:color w:val="000000"/>
          <w:strike w:val="1"/>
        </w:rPr>
        <w:t>shall be applied</w:t>
      </w:r>
      <w:r>
        <w:rPr>
          <w:rFonts w:ascii="Arial" w:cs="Arial" w:eastAsia="Arial" w:hAnsi="Arial"/>
          <w:sz w:val="18"/>
          <w:szCs w:val="18"/>
          <w:color w:val="00C000"/>
          <w:strike w:val="1"/>
        </w:rPr>
        <w:t xml:space="preserve"> </w:t>
      </w:r>
      <w:r>
        <w:rPr>
          <w:rFonts w:ascii="Arial" w:cs="Arial" w:eastAsia="Arial" w:hAnsi="Arial"/>
          <w:sz w:val="18"/>
          <w:szCs w:val="18"/>
          <w:color w:val="000000"/>
          <w:strike w:val="1"/>
        </w:rPr>
        <w:t xml:space="preserve">at such time or times as may be determined by the Administrative Agent as follows: </w:t>
      </w:r>
      <w:r>
        <w:rPr>
          <w:rFonts w:ascii="Arial" w:cs="Arial" w:eastAsia="Arial" w:hAnsi="Arial"/>
          <w:sz w:val="18"/>
          <w:szCs w:val="18"/>
          <w:i w:val="1"/>
          <w:iCs w:val="1"/>
          <w:color w:val="000000"/>
          <w:strike w:val="1"/>
        </w:rPr>
        <w:t>first</w:t>
      </w:r>
      <w:r>
        <w:rPr>
          <w:rFonts w:ascii="Arial" w:cs="Arial" w:eastAsia="Arial" w:hAnsi="Arial"/>
          <w:sz w:val="18"/>
          <w:szCs w:val="18"/>
          <w:color w:val="000000"/>
          <w:strike w:val="1"/>
        </w:rPr>
        <w:t xml:space="preserve">, to the payment of any amounts owing by </w:t>
      </w:r>
      <w:r>
        <w:rPr>
          <w:rFonts w:ascii="Arial" w:cs="Arial" w:eastAsia="Arial" w:hAnsi="Arial"/>
          <w:sz w:val="18"/>
          <w:szCs w:val="18"/>
          <w:color w:val="FF0000"/>
          <w:strike w:val="1"/>
        </w:rPr>
        <w:t>that</w:t>
      </w:r>
      <w:r>
        <w:rPr>
          <w:rFonts w:ascii="Arial" w:cs="Arial" w:eastAsia="Arial" w:hAnsi="Arial"/>
          <w:sz w:val="18"/>
          <w:szCs w:val="18"/>
          <w:u w:val="single" w:color="auto"/>
          <w:color w:val="0000FF"/>
          <w:strike w:val="1"/>
        </w:rPr>
        <w:t>such</w:t>
      </w:r>
      <w:r>
        <w:rPr>
          <w:rFonts w:ascii="Arial" w:cs="Arial" w:eastAsia="Arial" w:hAnsi="Arial"/>
          <w:sz w:val="18"/>
          <w:szCs w:val="18"/>
          <w:color w:val="FF0000"/>
          <w:strike w:val="1"/>
        </w:rPr>
        <w:t xml:space="preserve"> </w:t>
      </w:r>
      <w:r>
        <w:rPr>
          <w:rFonts w:ascii="Arial" w:cs="Arial" w:eastAsia="Arial" w:hAnsi="Arial"/>
          <w:sz w:val="18"/>
          <w:szCs w:val="18"/>
          <w:color w:val="000000"/>
          <w:strike w:val="1"/>
        </w:rPr>
        <w:t>Defaulting Lender to the Administrative Agent hereunder;</w:t>
      </w:r>
      <w:r>
        <w:rPr>
          <w:rFonts w:ascii="Arial" w:cs="Arial" w:eastAsia="Arial" w:hAnsi="Arial"/>
          <w:sz w:val="18"/>
          <w:szCs w:val="18"/>
          <w:color w:val="FF0000"/>
          <w:strike w:val="1"/>
        </w:rPr>
        <w:t xml:space="preserve"> </w:t>
      </w:r>
      <w:r>
        <w:rPr>
          <w:rFonts w:ascii="Arial" w:cs="Arial" w:eastAsia="Arial" w:hAnsi="Arial"/>
          <w:sz w:val="18"/>
          <w:szCs w:val="18"/>
          <w:i w:val="1"/>
          <w:iCs w:val="1"/>
          <w:color w:val="000000"/>
          <w:strike w:val="1"/>
        </w:rPr>
        <w:t>second</w:t>
      </w:r>
      <w:r>
        <w:rPr>
          <w:rFonts w:ascii="Arial" w:cs="Arial" w:eastAsia="Arial" w:hAnsi="Arial"/>
          <w:sz w:val="18"/>
          <w:szCs w:val="18"/>
          <w:color w:val="000000"/>
          <w:strike w:val="1"/>
        </w:rPr>
        <w:t>, to the payment on a pro rata basis of any amounts owing by</w:t>
      </w:r>
      <w:r>
        <w:rPr>
          <w:rFonts w:ascii="Arial" w:cs="Arial" w:eastAsia="Arial" w:hAnsi="Arial"/>
          <w:sz w:val="18"/>
          <w:szCs w:val="18"/>
          <w:color w:val="FF0000"/>
          <w:strike w:val="1"/>
        </w:rPr>
        <w:t xml:space="preserve"> that</w:t>
      </w:r>
      <w:r>
        <w:rPr>
          <w:rFonts w:ascii="Arial" w:cs="Arial" w:eastAsia="Arial" w:hAnsi="Arial"/>
          <w:sz w:val="18"/>
          <w:szCs w:val="18"/>
          <w:u w:val="single" w:color="auto"/>
          <w:color w:val="0000FF"/>
          <w:strike w:val="1"/>
        </w:rPr>
        <w:t>such</w:t>
      </w:r>
      <w:r>
        <w:rPr>
          <w:rFonts w:ascii="Arial" w:cs="Arial" w:eastAsia="Arial" w:hAnsi="Arial"/>
          <w:sz w:val="18"/>
          <w:szCs w:val="18"/>
          <w:color w:val="FF0000"/>
          <w:strike w:val="1"/>
        </w:rPr>
        <w:t xml:space="preserve"> </w:t>
      </w:r>
      <w:r>
        <w:rPr>
          <w:rFonts w:ascii="Arial" w:cs="Arial" w:eastAsia="Arial" w:hAnsi="Arial"/>
          <w:sz w:val="18"/>
          <w:szCs w:val="18"/>
          <w:color w:val="000000"/>
          <w:strike w:val="1"/>
        </w:rPr>
        <w:t>Defaulting Lender to the L/C</w:t>
      </w:r>
      <w:r>
        <w:rPr>
          <w:rFonts w:ascii="Arial" w:cs="Arial" w:eastAsia="Arial" w:hAnsi="Arial"/>
          <w:sz w:val="18"/>
          <w:szCs w:val="18"/>
          <w:color w:val="FF0000"/>
          <w:strike w:val="1"/>
        </w:rPr>
        <w:t xml:space="preserve"> Issuers</w:t>
      </w:r>
      <w:r>
        <w:rPr>
          <w:rFonts w:ascii="Arial" w:cs="Arial" w:eastAsia="Arial" w:hAnsi="Arial"/>
          <w:sz w:val="18"/>
          <w:szCs w:val="18"/>
          <w:u w:val="single" w:color="auto"/>
          <w:color w:val="0000FF"/>
          <w:strike w:val="1"/>
        </w:rPr>
        <w:t>Issuer</w:t>
      </w:r>
      <w:r>
        <w:rPr>
          <w:rFonts w:ascii="Arial" w:cs="Arial" w:eastAsia="Arial" w:hAnsi="Arial"/>
          <w:sz w:val="18"/>
          <w:szCs w:val="18"/>
          <w:color w:val="FF0000"/>
          <w:strike w:val="1"/>
        </w:rPr>
        <w:t xml:space="preserve"> </w:t>
      </w:r>
      <w:r>
        <w:rPr>
          <w:rFonts w:ascii="Arial" w:cs="Arial" w:eastAsia="Arial" w:hAnsi="Arial"/>
          <w:sz w:val="18"/>
          <w:szCs w:val="18"/>
          <w:color w:val="000000"/>
          <w:strike w:val="1"/>
        </w:rPr>
        <w:t>or Swingline</w:t>
      </w:r>
      <w:r>
        <w:rPr>
          <w:rFonts w:ascii="Arial" w:cs="Arial" w:eastAsia="Arial" w:hAnsi="Arial"/>
          <w:sz w:val="18"/>
          <w:szCs w:val="18"/>
          <w:color w:val="FF0000"/>
          <w:strike w:val="1"/>
        </w:rPr>
        <w:t xml:space="preserve"> Lenders</w:t>
      </w:r>
      <w:r>
        <w:rPr>
          <w:rFonts w:ascii="Arial" w:cs="Arial" w:eastAsia="Arial" w:hAnsi="Arial"/>
          <w:sz w:val="18"/>
          <w:szCs w:val="18"/>
          <w:u w:val="single" w:color="auto"/>
          <w:color w:val="0000FF"/>
          <w:strike w:val="1"/>
        </w:rPr>
        <w:t>Lender</w:t>
      </w:r>
      <w:r>
        <w:rPr>
          <w:rFonts w:ascii="Arial" w:cs="Arial" w:eastAsia="Arial" w:hAnsi="Arial"/>
          <w:sz w:val="18"/>
          <w:szCs w:val="18"/>
          <w:color w:val="FF0000"/>
          <w:strike w:val="1"/>
        </w:rPr>
        <w:t xml:space="preserve"> </w:t>
      </w:r>
      <w:r>
        <w:rPr>
          <w:rFonts w:ascii="Arial" w:cs="Arial" w:eastAsia="Arial" w:hAnsi="Arial"/>
          <w:sz w:val="18"/>
          <w:szCs w:val="18"/>
          <w:color w:val="000000"/>
          <w:strike w:val="1"/>
        </w:rPr>
        <w:t>hereunder;</w:t>
      </w:r>
      <w:r>
        <w:rPr>
          <w:rFonts w:ascii="Arial" w:cs="Arial" w:eastAsia="Arial" w:hAnsi="Arial"/>
          <w:sz w:val="18"/>
          <w:szCs w:val="18"/>
          <w:color w:val="FF0000"/>
          <w:strike w:val="1"/>
        </w:rPr>
        <w:t xml:space="preserve"> </w:t>
      </w:r>
      <w:r>
        <w:rPr>
          <w:rFonts w:ascii="Arial" w:cs="Arial" w:eastAsia="Arial" w:hAnsi="Arial"/>
          <w:sz w:val="18"/>
          <w:szCs w:val="18"/>
          <w:i w:val="1"/>
          <w:iCs w:val="1"/>
          <w:color w:val="000000"/>
          <w:strike w:val="1"/>
        </w:rPr>
        <w:t>third</w:t>
      </w:r>
      <w:r>
        <w:rPr>
          <w:rFonts w:ascii="Arial" w:cs="Arial" w:eastAsia="Arial" w:hAnsi="Arial"/>
          <w:sz w:val="18"/>
          <w:szCs w:val="18"/>
          <w:color w:val="000000"/>
          <w:strike w:val="1"/>
        </w:rPr>
        <w:t>,</w:t>
      </w:r>
      <w:r>
        <w:rPr>
          <w:rFonts w:ascii="Arial" w:cs="Arial" w:eastAsia="Arial" w:hAnsi="Arial"/>
          <w:sz w:val="18"/>
          <w:szCs w:val="18"/>
          <w:color w:val="FF0000"/>
          <w:strike w:val="1"/>
        </w:rPr>
        <w:t xml:space="preserve"> if so determined by the Administrative Agent or requested by an L/C Issuer or a Swingline Lender, to be held as Cash Collateral for future funding obligations of that</w:t>
      </w:r>
      <w:r>
        <w:rPr>
          <w:rFonts w:ascii="Arial" w:cs="Arial" w:eastAsia="Arial" w:hAnsi="Arial"/>
          <w:sz w:val="18"/>
          <w:szCs w:val="18"/>
          <w:u w:val="single" w:color="auto"/>
          <w:color w:val="0000FF"/>
          <w:strike w:val="1"/>
        </w:rPr>
        <w:t>to Cash Collateralize the L/C Issuer’s Fronting Exposure with respect to such</w:t>
      </w:r>
      <w:r>
        <w:rPr>
          <w:rFonts w:ascii="Arial" w:cs="Arial" w:eastAsia="Arial" w:hAnsi="Arial"/>
          <w:sz w:val="18"/>
          <w:szCs w:val="18"/>
          <w:color w:val="FF0000"/>
          <w:strike w:val="1"/>
        </w:rPr>
        <w:t xml:space="preserve"> </w:t>
      </w:r>
      <w:r>
        <w:rPr>
          <w:rFonts w:ascii="Arial" w:cs="Arial" w:eastAsia="Arial" w:hAnsi="Arial"/>
          <w:sz w:val="18"/>
          <w:szCs w:val="18"/>
          <w:color w:val="000000"/>
          <w:strike w:val="1"/>
        </w:rPr>
        <w:t>Defaulting Lender</w:t>
      </w:r>
      <w:r>
        <w:rPr>
          <w:rFonts w:ascii="Arial" w:cs="Arial" w:eastAsia="Arial" w:hAnsi="Arial"/>
          <w:sz w:val="18"/>
          <w:szCs w:val="18"/>
          <w:color w:val="FF0000"/>
          <w:strike w:val="1"/>
        </w:rPr>
        <w:t xml:space="preserve"> of any participation in any Swingline Loan or Letter of Credit</w:t>
      </w:r>
      <w:r>
        <w:rPr>
          <w:rFonts w:ascii="Arial" w:cs="Arial" w:eastAsia="Arial" w:hAnsi="Arial"/>
          <w:sz w:val="18"/>
          <w:szCs w:val="18"/>
          <w:u w:val="single" w:color="auto"/>
          <w:color w:val="0000FF"/>
          <w:strike w:val="1"/>
        </w:rPr>
        <w:t>in accordance with Section 2.16</w:t>
      </w:r>
      <w:r>
        <w:rPr>
          <w:rFonts w:ascii="Arial" w:cs="Arial" w:eastAsia="Arial" w:hAnsi="Arial"/>
          <w:sz w:val="18"/>
          <w:szCs w:val="18"/>
          <w:color w:val="000000"/>
          <w:strike w:val="1"/>
        </w:rPr>
        <w:t>;</w:t>
      </w:r>
      <w:r>
        <w:rPr>
          <w:rFonts w:ascii="Arial" w:cs="Arial" w:eastAsia="Arial" w:hAnsi="Arial"/>
          <w:sz w:val="18"/>
          <w:szCs w:val="18"/>
          <w:color w:val="FF0000"/>
          <w:strike w:val="1"/>
        </w:rPr>
        <w:t xml:space="preserve"> </w:t>
      </w:r>
      <w:r>
        <w:rPr>
          <w:rFonts w:ascii="Arial" w:cs="Arial" w:eastAsia="Arial" w:hAnsi="Arial"/>
          <w:sz w:val="18"/>
          <w:szCs w:val="18"/>
          <w:i w:val="1"/>
          <w:iCs w:val="1"/>
          <w:color w:val="000000"/>
          <w:strike w:val="1"/>
        </w:rPr>
        <w:t>fourth</w:t>
      </w:r>
      <w:r>
        <w:rPr>
          <w:rFonts w:ascii="Arial" w:cs="Arial" w:eastAsia="Arial" w:hAnsi="Arial"/>
          <w:sz w:val="18"/>
          <w:szCs w:val="18"/>
          <w:color w:val="000000"/>
          <w:strike w:val="1"/>
        </w:rPr>
        <w:t>, as the Borrowers may request (so long as no</w:t>
      </w:r>
      <w:r>
        <w:rPr>
          <w:rFonts w:ascii="Arial" w:cs="Arial" w:eastAsia="Arial" w:hAnsi="Arial"/>
          <w:sz w:val="18"/>
          <w:szCs w:val="18"/>
          <w:color w:val="FF0000"/>
          <w:strike w:val="1"/>
        </w:rPr>
        <w:t xml:space="preserve"> </w:t>
      </w:r>
      <w:r>
        <w:rPr>
          <w:rFonts w:ascii="Arial" w:cs="Arial" w:eastAsia="Arial" w:hAnsi="Arial"/>
          <w:sz w:val="18"/>
          <w:szCs w:val="18"/>
          <w:u w:val="single" w:color="auto"/>
          <w:color w:val="0000FF"/>
          <w:strike w:val="1"/>
        </w:rPr>
        <w:t>Default or</w:t>
      </w:r>
      <w:r>
        <w:rPr>
          <w:rFonts w:ascii="Arial" w:cs="Arial" w:eastAsia="Arial" w:hAnsi="Arial"/>
          <w:sz w:val="18"/>
          <w:szCs w:val="18"/>
          <w:color w:val="FF0000"/>
          <w:strike w:val="1"/>
        </w:rPr>
        <w:t xml:space="preserve"> </w:t>
      </w:r>
      <w:r>
        <w:rPr>
          <w:rFonts w:ascii="Arial" w:cs="Arial" w:eastAsia="Arial" w:hAnsi="Arial"/>
          <w:sz w:val="18"/>
          <w:szCs w:val="18"/>
          <w:color w:val="000000"/>
          <w:strike w:val="1"/>
        </w:rPr>
        <w:t xml:space="preserve">Event of Default exists), to the funding of any Loan in respect of which </w:t>
      </w:r>
      <w:r>
        <w:rPr>
          <w:rFonts w:ascii="Arial" w:cs="Arial" w:eastAsia="Arial" w:hAnsi="Arial"/>
          <w:sz w:val="18"/>
          <w:szCs w:val="18"/>
          <w:color w:val="FF0000"/>
          <w:strike w:val="1"/>
        </w:rPr>
        <w:t>that</w:t>
      </w:r>
      <w:r>
        <w:rPr>
          <w:rFonts w:ascii="Arial" w:cs="Arial" w:eastAsia="Arial" w:hAnsi="Arial"/>
          <w:sz w:val="18"/>
          <w:szCs w:val="18"/>
          <w:u w:val="single" w:color="auto"/>
          <w:color w:val="0000FF"/>
          <w:strike w:val="1"/>
        </w:rPr>
        <w:t>such</w:t>
      </w:r>
      <w:r>
        <w:rPr>
          <w:rFonts w:ascii="Arial" w:cs="Arial" w:eastAsia="Arial" w:hAnsi="Arial"/>
          <w:sz w:val="18"/>
          <w:szCs w:val="18"/>
          <w:color w:val="000000"/>
          <w:strike w:val="1"/>
        </w:rPr>
        <w:t xml:space="preserve"> Defaulting Lender has failed to fund its portion thereof as required by this Credit Agreement, as determined by the Administrative Agent; </w:t>
      </w:r>
      <w:r>
        <w:rPr>
          <w:rFonts w:ascii="Arial" w:cs="Arial" w:eastAsia="Arial" w:hAnsi="Arial"/>
          <w:sz w:val="18"/>
          <w:szCs w:val="18"/>
          <w:i w:val="1"/>
          <w:iCs w:val="1"/>
          <w:color w:val="000000"/>
          <w:strike w:val="1"/>
        </w:rPr>
        <w:t>fifth</w:t>
      </w:r>
      <w:r>
        <w:rPr>
          <w:rFonts w:ascii="Arial" w:cs="Arial" w:eastAsia="Arial" w:hAnsi="Arial"/>
          <w:sz w:val="18"/>
          <w:szCs w:val="18"/>
          <w:color w:val="000000"/>
          <w:strike w:val="1"/>
        </w:rPr>
        <w:t xml:space="preserve">, if so determined by the Administrative Agent and the Borrowers, to be held in </w:t>
      </w:r>
      <w:r>
        <w:rPr>
          <w:rFonts w:ascii="Arial" w:cs="Arial" w:eastAsia="Arial" w:hAnsi="Arial"/>
          <w:sz w:val="18"/>
          <w:szCs w:val="18"/>
          <w:color w:val="FF0000"/>
          <w:strike w:val="1"/>
        </w:rPr>
        <w:t>an interest bearing</w:t>
      </w:r>
      <w:r>
        <w:rPr>
          <w:rFonts w:ascii="Arial" w:cs="Arial" w:eastAsia="Arial" w:hAnsi="Arial"/>
          <w:sz w:val="18"/>
          <w:szCs w:val="18"/>
          <w:u w:val="single" w:color="auto"/>
          <w:color w:val="0000FF"/>
          <w:strike w:val="1"/>
        </w:rPr>
        <w:t>a</w:t>
      </w:r>
      <w:r>
        <w:rPr>
          <w:rFonts w:ascii="Arial" w:cs="Arial" w:eastAsia="Arial" w:hAnsi="Arial"/>
          <w:sz w:val="18"/>
          <w:szCs w:val="18"/>
          <w:color w:val="000000"/>
          <w:strike w:val="1"/>
        </w:rPr>
        <w:t xml:space="preserve"> deposit account and released </w:t>
      </w:r>
      <w:r>
        <w:rPr>
          <w:rFonts w:ascii="Arial" w:cs="Arial" w:eastAsia="Arial" w:hAnsi="Arial"/>
          <w:sz w:val="18"/>
          <w:szCs w:val="18"/>
          <w:u w:val="single" w:color="auto"/>
          <w:color w:val="0000FF"/>
          <w:strike w:val="1"/>
        </w:rPr>
        <w:t>pro rata</w:t>
      </w:r>
      <w:r>
        <w:rPr>
          <w:rFonts w:ascii="Arial" w:cs="Arial" w:eastAsia="Arial" w:hAnsi="Arial"/>
          <w:sz w:val="18"/>
          <w:szCs w:val="18"/>
          <w:color w:val="000000"/>
          <w:strike w:val="1"/>
        </w:rPr>
        <w:t xml:space="preserve"> in order to </w:t>
      </w:r>
      <w:r>
        <w:rPr>
          <w:rFonts w:ascii="Arial" w:cs="Arial" w:eastAsia="Arial" w:hAnsi="Arial"/>
          <w:sz w:val="18"/>
          <w:szCs w:val="18"/>
          <w:u w:val="single" w:color="auto"/>
          <w:color w:val="0000FF"/>
          <w:strike w:val="1"/>
        </w:rPr>
        <w:t>(x)</w:t>
      </w:r>
      <w:r>
        <w:rPr>
          <w:rFonts w:ascii="Arial" w:cs="Arial" w:eastAsia="Arial" w:hAnsi="Arial"/>
          <w:sz w:val="18"/>
          <w:szCs w:val="18"/>
          <w:color w:val="000000"/>
          <w:strike w:val="1"/>
        </w:rPr>
        <w:t xml:space="preserve"> satisfy </w:t>
      </w:r>
      <w:r>
        <w:rPr>
          <w:rFonts w:ascii="Arial" w:cs="Arial" w:eastAsia="Arial" w:hAnsi="Arial"/>
          <w:sz w:val="18"/>
          <w:szCs w:val="18"/>
          <w:u w:val="single" w:color="auto"/>
          <w:color w:val="0000FF"/>
          <w:strike w:val="1"/>
        </w:rPr>
        <w:t>such Defaulting</w:t>
      </w:r>
      <w:r>
        <w:rPr>
          <w:rFonts w:ascii="Arial" w:cs="Arial" w:eastAsia="Arial" w:hAnsi="Arial"/>
          <w:sz w:val="18"/>
          <w:szCs w:val="18"/>
          <w:color w:val="000000"/>
          <w:strike w:val="1"/>
        </w:rPr>
        <w:t xml:space="preserve"> </w:t>
      </w:r>
      <w:r>
        <w:rPr>
          <w:rFonts w:ascii="Arial" w:cs="Arial" w:eastAsia="Arial" w:hAnsi="Arial"/>
          <w:sz w:val="18"/>
          <w:szCs w:val="18"/>
          <w:u w:val="single" w:color="auto"/>
          <w:color w:val="0000FF"/>
          <w:strike w:val="1"/>
        </w:rPr>
        <w:t>Lender’s potential future funding</w:t>
      </w:r>
      <w:r>
        <w:rPr>
          <w:rFonts w:ascii="Arial" w:cs="Arial" w:eastAsia="Arial" w:hAnsi="Arial"/>
          <w:sz w:val="18"/>
          <w:szCs w:val="18"/>
          <w:color w:val="0000FF"/>
          <w:strike w:val="1"/>
        </w:rPr>
        <w:t xml:space="preserve"> </w:t>
      </w:r>
      <w:r>
        <w:rPr>
          <w:rFonts w:ascii="Arial" w:cs="Arial" w:eastAsia="Arial" w:hAnsi="Arial"/>
          <w:sz w:val="18"/>
          <w:szCs w:val="18"/>
          <w:color w:val="000000"/>
          <w:strike w:val="1"/>
        </w:rPr>
        <w:t>obligations</w:t>
      </w:r>
      <w:r>
        <w:rPr>
          <w:rFonts w:ascii="Arial" w:cs="Arial" w:eastAsia="Arial" w:hAnsi="Arial"/>
          <w:sz w:val="18"/>
          <w:szCs w:val="18"/>
          <w:color w:val="0000FF"/>
          <w:strike w:val="1"/>
        </w:rPr>
        <w:t xml:space="preserve"> </w:t>
      </w:r>
      <w:r>
        <w:rPr>
          <w:rFonts w:ascii="Arial" w:cs="Arial" w:eastAsia="Arial" w:hAnsi="Arial"/>
          <w:sz w:val="18"/>
          <w:szCs w:val="18"/>
          <w:color w:val="FF0000"/>
          <w:strike w:val="1"/>
        </w:rPr>
        <w:t>of that Defaulting Lender to fund</w:t>
      </w:r>
      <w:r>
        <w:rPr>
          <w:rFonts w:ascii="Arial" w:cs="Arial" w:eastAsia="Arial" w:hAnsi="Arial"/>
          <w:sz w:val="18"/>
          <w:szCs w:val="18"/>
          <w:u w:val="single" w:color="auto"/>
          <w:color w:val="0000FF"/>
          <w:strike w:val="1"/>
        </w:rPr>
        <w:t>with respect to</w:t>
      </w:r>
      <w:r>
        <w:rPr>
          <w:rFonts w:ascii="Arial" w:cs="Arial" w:eastAsia="Arial" w:hAnsi="Arial"/>
          <w:sz w:val="18"/>
          <w:szCs w:val="18"/>
          <w:color w:val="0000FF"/>
          <w:strike w:val="1"/>
        </w:rPr>
        <w:t xml:space="preserve"> </w:t>
      </w:r>
      <w:r>
        <w:rPr>
          <w:rFonts w:ascii="Arial" w:cs="Arial" w:eastAsia="Arial" w:hAnsi="Arial"/>
          <w:sz w:val="18"/>
          <w:szCs w:val="18"/>
          <w:color w:val="000000"/>
          <w:strike w:val="1"/>
        </w:rPr>
        <w:t>Loans under this Credit Agreement</w:t>
      </w:r>
      <w:r>
        <w:rPr>
          <w:rFonts w:ascii="Arial" w:cs="Arial" w:eastAsia="Arial" w:hAnsi="Arial"/>
          <w:sz w:val="18"/>
          <w:szCs w:val="18"/>
          <w:color w:val="0000FF"/>
          <w:strike w:val="1"/>
        </w:rPr>
        <w:t xml:space="preserve"> </w:t>
      </w:r>
      <w:r>
        <w:rPr>
          <w:rFonts w:ascii="Arial" w:cs="Arial" w:eastAsia="Arial" w:hAnsi="Arial"/>
          <w:sz w:val="18"/>
          <w:szCs w:val="18"/>
          <w:u w:val="single" w:color="auto"/>
          <w:color w:val="0000FF"/>
          <w:strike w:val="1"/>
        </w:rPr>
        <w:t>and</w:t>
      </w:r>
    </w:p>
    <w:p>
      <w:pPr>
        <w:spacing w:after="0" w:line="5" w:lineRule="exact"/>
        <w:rPr>
          <w:rFonts w:ascii="Arial" w:cs="Arial" w:eastAsia="Arial" w:hAnsi="Arial"/>
          <w:sz w:val="18"/>
          <w:szCs w:val="18"/>
          <w:color w:val="FF0000"/>
          <w:strike w:val="1"/>
        </w:rPr>
      </w:pPr>
    </w:p>
    <w:p>
      <w:pPr>
        <w:ind w:left="660" w:hanging="4"/>
        <w:spacing w:after="0"/>
        <w:tabs>
          <w:tab w:leader="none" w:pos="940" w:val="left"/>
        </w:tabs>
        <w:numPr>
          <w:ilvl w:val="0"/>
          <w:numId w:val="151"/>
        </w:numPr>
        <w:rPr>
          <w:rFonts w:ascii="Arial" w:cs="Arial" w:eastAsia="Arial" w:hAnsi="Arial"/>
          <w:sz w:val="20"/>
          <w:szCs w:val="20"/>
          <w:u w:val="single" w:color="auto"/>
          <w:color w:val="0000FF"/>
        </w:rPr>
      </w:pPr>
      <w:r>
        <w:rPr>
          <w:rFonts w:ascii="Arial" w:cs="Arial" w:eastAsia="Arial" w:hAnsi="Arial"/>
          <w:sz w:val="20"/>
          <w:szCs w:val="20"/>
          <w:u w:val="single" w:color="auto"/>
          <w:color w:val="0000FF"/>
        </w:rPr>
        <w:t>Cash Collateralize the L/C Issuer’s future Fronting Exposure with respect to such Defaulting Lender with respect to future Letters of Credit issued</w:t>
      </w:r>
      <w:r>
        <w:rPr>
          <w:rFonts w:ascii="Arial" w:cs="Arial" w:eastAsia="Arial" w:hAnsi="Arial"/>
          <w:sz w:val="20"/>
          <w:szCs w:val="20"/>
          <w:color w:val="0000FF"/>
        </w:rPr>
        <w:t xml:space="preserve"> </w:t>
      </w:r>
      <w:r>
        <w:rPr>
          <w:rFonts w:ascii="Arial" w:cs="Arial" w:eastAsia="Arial" w:hAnsi="Arial"/>
          <w:sz w:val="20"/>
          <w:szCs w:val="20"/>
          <w:u w:val="single" w:color="auto"/>
          <w:color w:val="00C000"/>
        </w:rPr>
        <w:t>under this Credit Agreement</w:t>
      </w:r>
      <w:r>
        <w:rPr>
          <w:rFonts w:ascii="Arial" w:cs="Arial" w:eastAsia="Arial" w:hAnsi="Arial"/>
          <w:sz w:val="20"/>
          <w:szCs w:val="20"/>
          <w:u w:val="single" w:color="auto"/>
          <w:color w:val="0000FF"/>
        </w:rPr>
        <w:t>, in accordance with Section 2.16</w:t>
      </w:r>
      <w:r>
        <w:rPr>
          <w:rFonts w:ascii="Arial" w:cs="Arial" w:eastAsia="Arial" w:hAnsi="Arial"/>
          <w:sz w:val="20"/>
          <w:szCs w:val="20"/>
          <w:color w:val="000000"/>
        </w:rPr>
        <w:t>;</w:t>
      </w:r>
      <w:r>
        <w:rPr>
          <w:rFonts w:ascii="Arial" w:cs="Arial" w:eastAsia="Arial" w:hAnsi="Arial"/>
          <w:sz w:val="20"/>
          <w:szCs w:val="20"/>
          <w:color w:val="0000FF"/>
        </w:rPr>
        <w:t xml:space="preserve"> </w:t>
      </w:r>
      <w:r>
        <w:rPr>
          <w:rFonts w:ascii="Arial" w:cs="Arial" w:eastAsia="Arial" w:hAnsi="Arial"/>
          <w:sz w:val="20"/>
          <w:szCs w:val="20"/>
          <w:i w:val="1"/>
          <w:iCs w:val="1"/>
          <w:color w:val="000000"/>
        </w:rPr>
        <w:t>sixth</w:t>
      </w:r>
      <w:r>
        <w:rPr>
          <w:rFonts w:ascii="Arial" w:cs="Arial" w:eastAsia="Arial" w:hAnsi="Arial"/>
          <w:sz w:val="20"/>
          <w:szCs w:val="20"/>
          <w:color w:val="000000"/>
        </w:rPr>
        <w:t>, to the payment of any amounts owing to the</w:t>
      </w:r>
      <w:r>
        <w:rPr>
          <w:rFonts w:ascii="Arial" w:cs="Arial" w:eastAsia="Arial" w:hAnsi="Arial"/>
          <w:sz w:val="20"/>
          <w:szCs w:val="20"/>
          <w:color w:val="0000FF"/>
        </w:rPr>
        <w:t xml:space="preserve"> </w:t>
      </w:r>
      <w:r>
        <w:rPr>
          <w:rFonts w:ascii="Arial" w:cs="Arial" w:eastAsia="Arial" w:hAnsi="Arial"/>
          <w:sz w:val="20"/>
          <w:szCs w:val="20"/>
          <w:color w:val="000000"/>
        </w:rPr>
        <w:t xml:space="preserve">Lenders, the L/C </w:t>
      </w:r>
      <w:r>
        <w:rPr>
          <w:rFonts w:ascii="Arial" w:cs="Arial" w:eastAsia="Arial" w:hAnsi="Arial"/>
          <w:sz w:val="20"/>
          <w:szCs w:val="20"/>
          <w:color w:val="FF0000"/>
          <w:strike w:val="1"/>
        </w:rPr>
        <w:t>Issuers</w:t>
      </w:r>
      <w:r>
        <w:rPr>
          <w:rFonts w:ascii="Arial" w:cs="Arial" w:eastAsia="Arial" w:hAnsi="Arial"/>
          <w:sz w:val="20"/>
          <w:szCs w:val="20"/>
          <w:u w:val="single" w:color="auto"/>
          <w:color w:val="0000FF"/>
        </w:rPr>
        <w:t>Issuer</w:t>
      </w:r>
      <w:r>
        <w:rPr>
          <w:rFonts w:ascii="Arial" w:cs="Arial" w:eastAsia="Arial" w:hAnsi="Arial"/>
          <w:sz w:val="20"/>
          <w:szCs w:val="20"/>
          <w:color w:val="000000"/>
        </w:rPr>
        <w:t xml:space="preserve"> or Swingline </w:t>
      </w:r>
      <w:r>
        <w:rPr>
          <w:rFonts w:ascii="Arial" w:cs="Arial" w:eastAsia="Arial" w:hAnsi="Arial"/>
          <w:sz w:val="20"/>
          <w:szCs w:val="20"/>
          <w:color w:val="FF0000"/>
          <w:strike w:val="1"/>
        </w:rPr>
        <w:t>Lenders</w:t>
      </w:r>
      <w:r>
        <w:rPr>
          <w:rFonts w:ascii="Arial" w:cs="Arial" w:eastAsia="Arial" w:hAnsi="Arial"/>
          <w:sz w:val="20"/>
          <w:szCs w:val="20"/>
          <w:u w:val="single" w:color="auto"/>
          <w:color w:val="0000FF"/>
        </w:rPr>
        <w:t>Lender</w:t>
      </w:r>
      <w:r>
        <w:rPr>
          <w:rFonts w:ascii="Arial" w:cs="Arial" w:eastAsia="Arial" w:hAnsi="Arial"/>
          <w:sz w:val="20"/>
          <w:szCs w:val="20"/>
          <w:color w:val="000000"/>
        </w:rPr>
        <w:t xml:space="preserve"> as a result of any judgment of a court of competent jurisdiction obtained by any Lender, </w:t>
      </w:r>
      <w:r>
        <w:rPr>
          <w:rFonts w:ascii="Arial" w:cs="Arial" w:eastAsia="Arial" w:hAnsi="Arial"/>
          <w:sz w:val="20"/>
          <w:szCs w:val="20"/>
          <w:color w:val="FF0000"/>
          <w:strike w:val="1"/>
        </w:rPr>
        <w:t>an</w:t>
      </w:r>
      <w:r>
        <w:rPr>
          <w:rFonts w:ascii="Arial" w:cs="Arial" w:eastAsia="Arial" w:hAnsi="Arial"/>
          <w:sz w:val="20"/>
          <w:szCs w:val="20"/>
          <w:u w:val="single" w:color="auto"/>
          <w:color w:val="0000FF"/>
        </w:rPr>
        <w:t>the</w:t>
      </w:r>
      <w:r>
        <w:rPr>
          <w:rFonts w:ascii="Arial" w:cs="Arial" w:eastAsia="Arial" w:hAnsi="Arial"/>
          <w:sz w:val="20"/>
          <w:szCs w:val="20"/>
          <w:color w:val="000000"/>
        </w:rPr>
        <w:t xml:space="preserve"> L/C Issuer or </w:t>
      </w:r>
      <w:r>
        <w:rPr>
          <w:rFonts w:ascii="Arial" w:cs="Arial" w:eastAsia="Arial" w:hAnsi="Arial"/>
          <w:sz w:val="20"/>
          <w:szCs w:val="20"/>
          <w:color w:val="FF0000"/>
          <w:strike w:val="1"/>
        </w:rPr>
        <w:t>a</w:t>
      </w:r>
      <w:r>
        <w:rPr>
          <w:rFonts w:ascii="Arial" w:cs="Arial" w:eastAsia="Arial" w:hAnsi="Arial"/>
          <w:sz w:val="20"/>
          <w:szCs w:val="20"/>
          <w:u w:val="single" w:color="auto"/>
          <w:color w:val="0000FF"/>
        </w:rPr>
        <w:t>the</w:t>
      </w:r>
      <w:r>
        <w:rPr>
          <w:rFonts w:ascii="Arial" w:cs="Arial" w:eastAsia="Arial" w:hAnsi="Arial"/>
          <w:sz w:val="20"/>
          <w:szCs w:val="20"/>
          <w:color w:val="000000"/>
        </w:rPr>
        <w:t xml:space="preserve"> Swingline Lender against </w:t>
      </w:r>
      <w:r>
        <w:rPr>
          <w:rFonts w:ascii="Arial" w:cs="Arial" w:eastAsia="Arial" w:hAnsi="Arial"/>
          <w:sz w:val="20"/>
          <w:szCs w:val="20"/>
          <w:color w:val="FF0000"/>
          <w:strike w:val="1"/>
        </w:rPr>
        <w:t>that</w:t>
      </w:r>
      <w:r>
        <w:rPr>
          <w:rFonts w:ascii="Arial" w:cs="Arial" w:eastAsia="Arial" w:hAnsi="Arial"/>
          <w:sz w:val="20"/>
          <w:szCs w:val="20"/>
          <w:u w:val="single" w:color="auto"/>
          <w:color w:val="0000FF"/>
        </w:rPr>
        <w:t>such</w:t>
      </w:r>
      <w:r>
        <w:rPr>
          <w:rFonts w:ascii="Arial" w:cs="Arial" w:eastAsia="Arial" w:hAnsi="Arial"/>
          <w:sz w:val="20"/>
          <w:szCs w:val="20"/>
          <w:color w:val="000000"/>
        </w:rPr>
        <w:t xml:space="preserve"> Defaulting Lender as a result of </w:t>
      </w:r>
      <w:r>
        <w:rPr>
          <w:rFonts w:ascii="Arial" w:cs="Arial" w:eastAsia="Arial" w:hAnsi="Arial"/>
          <w:sz w:val="20"/>
          <w:szCs w:val="20"/>
          <w:color w:val="FF0000"/>
          <w:strike w:val="1"/>
        </w:rPr>
        <w:t>that</w:t>
      </w:r>
      <w:r>
        <w:rPr>
          <w:rFonts w:ascii="Arial" w:cs="Arial" w:eastAsia="Arial" w:hAnsi="Arial"/>
          <w:sz w:val="20"/>
          <w:szCs w:val="20"/>
          <w:u w:val="single" w:color="auto"/>
          <w:color w:val="0000FF"/>
        </w:rPr>
        <w:t>such</w:t>
      </w:r>
      <w:r>
        <w:rPr>
          <w:rFonts w:ascii="Arial" w:cs="Arial" w:eastAsia="Arial" w:hAnsi="Arial"/>
          <w:sz w:val="20"/>
          <w:szCs w:val="20"/>
          <w:color w:val="000000"/>
        </w:rPr>
        <w:t xml:space="preserve"> Defaulting Lender’s breach of its obligations under this Credit Agreement; </w:t>
      </w:r>
      <w:r>
        <w:rPr>
          <w:rFonts w:ascii="Arial" w:cs="Arial" w:eastAsia="Arial" w:hAnsi="Arial"/>
          <w:sz w:val="20"/>
          <w:szCs w:val="20"/>
          <w:i w:val="1"/>
          <w:iCs w:val="1"/>
          <w:color w:val="000000"/>
        </w:rPr>
        <w:t>seventh</w:t>
      </w:r>
      <w:r>
        <w:rPr>
          <w:rFonts w:ascii="Arial" w:cs="Arial" w:eastAsia="Arial" w:hAnsi="Arial"/>
          <w:sz w:val="20"/>
          <w:szCs w:val="20"/>
          <w:color w:val="000000"/>
        </w:rPr>
        <w:t>, so</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113</w:t>
      </w:r>
    </w:p>
    <w:p>
      <w:pPr>
        <w:spacing w:after="0" w:line="10" w:lineRule="exact"/>
        <w:rPr>
          <w:sz w:val="20"/>
          <w:szCs w:val="20"/>
          <w:color w:val="auto"/>
        </w:rPr>
      </w:pPr>
    </w:p>
    <w:p>
      <w:pPr>
        <w:spacing w:after="0"/>
        <w:rPr>
          <w:sz w:val="20"/>
          <w:szCs w:val="20"/>
          <w:color w:val="auto"/>
        </w:rPr>
      </w:pPr>
      <w:r>
        <w:rPr>
          <w:rFonts w:ascii="Arial" w:cs="Arial" w:eastAsia="Arial" w:hAnsi="Arial"/>
          <w:sz w:val="14"/>
          <w:szCs w:val="14"/>
          <w:color w:val="auto"/>
        </w:rPr>
        <w:t>CHAR1\1346423v</w:t>
      </w:r>
      <w:r>
        <w:rPr>
          <w:rFonts w:ascii="Arial" w:cs="Arial" w:eastAsia="Arial" w:hAnsi="Arial"/>
          <w:sz w:val="14"/>
          <w:szCs w:val="14"/>
          <w:color w:val="FF0000"/>
          <w:strike w:val="1"/>
        </w:rPr>
        <w:t>1</w:t>
      </w:r>
      <w:r>
        <w:rPr>
          <w:rFonts w:ascii="Arial" w:cs="Arial" w:eastAsia="Arial" w:hAnsi="Arial"/>
          <w:sz w:val="14"/>
          <w:szCs w:val="14"/>
          <w:u w:val="single" w:color="auto"/>
          <w:color w:val="0000FF"/>
        </w:rPr>
        <w:t>12</w:t>
      </w:r>
    </w:p>
    <w:p>
      <w:pPr>
        <w:sectPr>
          <w:pgSz w:w="11900" w:h="16838" w:orient="portrait"/>
          <w:cols w:equalWidth="0" w:num="1">
            <w:col w:w="11400"/>
          </w:cols>
          <w:pgMar w:left="240" w:top="582" w:right="259" w:bottom="1440" w:gutter="0" w:footer="0" w:header="0"/>
        </w:sectPr>
      </w:pPr>
    </w:p>
    <w:bookmarkStart w:id="165" w:name="page166"/>
    <w:bookmarkEnd w:id="165"/>
    <w:p>
      <w:pPr>
        <w:ind w:left="660"/>
        <w:spacing w:after="0" w:line="268" w:lineRule="auto"/>
        <w:rPr>
          <w:sz w:val="20"/>
          <w:szCs w:val="20"/>
          <w:color w:val="auto"/>
        </w:rPr>
      </w:pPr>
      <w:r>
        <w:rPr>
          <w:rFonts w:ascii="Arial" w:cs="Arial" w:eastAsia="Arial" w:hAnsi="Arial"/>
          <w:sz w:val="18"/>
          <w:szCs w:val="18"/>
          <w:color w:val="auto"/>
        </w:rPr>
        <w:t xml:space="preserve">long as no </w:t>
      </w:r>
      <w:r>
        <w:rPr>
          <w:rFonts w:ascii="Arial" w:cs="Arial" w:eastAsia="Arial" w:hAnsi="Arial"/>
          <w:sz w:val="18"/>
          <w:szCs w:val="18"/>
          <w:u w:val="single" w:color="auto"/>
          <w:color w:val="0000FF"/>
        </w:rPr>
        <w:t>Default or</w:t>
      </w:r>
      <w:r>
        <w:rPr>
          <w:rFonts w:ascii="Arial" w:cs="Arial" w:eastAsia="Arial" w:hAnsi="Arial"/>
          <w:sz w:val="18"/>
          <w:szCs w:val="18"/>
          <w:color w:val="auto"/>
        </w:rPr>
        <w:t xml:space="preserve"> Event of Default exists, to the payment of any amounts owing to the Borrowers as a result of any judgment of a court of competent jurisdiction obtained by the Borrowers against </w:t>
      </w:r>
      <w:r>
        <w:rPr>
          <w:rFonts w:ascii="Arial" w:cs="Arial" w:eastAsia="Arial" w:hAnsi="Arial"/>
          <w:sz w:val="18"/>
          <w:szCs w:val="18"/>
          <w:color w:val="FF0000"/>
          <w:strike w:val="1"/>
        </w:rPr>
        <w:t>that</w:t>
      </w:r>
      <w:r>
        <w:rPr>
          <w:rFonts w:ascii="Arial" w:cs="Arial" w:eastAsia="Arial" w:hAnsi="Arial"/>
          <w:sz w:val="18"/>
          <w:szCs w:val="18"/>
          <w:u w:val="single" w:color="auto"/>
          <w:color w:val="0000FF"/>
        </w:rPr>
        <w:t>such</w:t>
      </w:r>
      <w:r>
        <w:rPr>
          <w:rFonts w:ascii="Arial" w:cs="Arial" w:eastAsia="Arial" w:hAnsi="Arial"/>
          <w:sz w:val="18"/>
          <w:szCs w:val="18"/>
          <w:color w:val="auto"/>
        </w:rPr>
        <w:t xml:space="preserve"> Defaulting Lender as a result of </w:t>
      </w:r>
      <w:r>
        <w:rPr>
          <w:rFonts w:ascii="Arial" w:cs="Arial" w:eastAsia="Arial" w:hAnsi="Arial"/>
          <w:sz w:val="18"/>
          <w:szCs w:val="18"/>
          <w:color w:val="FF0000"/>
          <w:strike w:val="1"/>
        </w:rPr>
        <w:t>that</w:t>
      </w:r>
      <w:r>
        <w:rPr>
          <w:rFonts w:ascii="Arial" w:cs="Arial" w:eastAsia="Arial" w:hAnsi="Arial"/>
          <w:sz w:val="18"/>
          <w:szCs w:val="18"/>
          <w:u w:val="single" w:color="auto"/>
          <w:color w:val="0000FF"/>
        </w:rPr>
        <w:t>such</w:t>
      </w:r>
      <w:r>
        <w:rPr>
          <w:rFonts w:ascii="Arial" w:cs="Arial" w:eastAsia="Arial" w:hAnsi="Arial"/>
          <w:sz w:val="18"/>
          <w:szCs w:val="18"/>
          <w:color w:val="auto"/>
        </w:rPr>
        <w:t xml:space="preserve"> Defaulting Lender</w:t>
      </w:r>
      <w:r>
        <w:rPr>
          <w:rFonts w:ascii="Arial" w:cs="Arial" w:eastAsia="Arial" w:hAnsi="Arial"/>
          <w:sz w:val="18"/>
          <w:szCs w:val="18"/>
          <w:color w:val="FF0000"/>
          <w:strike w:val="1"/>
        </w:rPr>
        <w:t>’</w:t>
      </w:r>
      <w:r>
        <w:rPr>
          <w:rFonts w:ascii="Arial" w:cs="Arial" w:eastAsia="Arial" w:hAnsi="Arial"/>
          <w:sz w:val="18"/>
          <w:szCs w:val="18"/>
          <w:u w:val="single" w:color="auto"/>
          <w:color w:val="0000FF"/>
        </w:rPr>
        <w:t>'</w:t>
      </w:r>
      <w:r>
        <w:rPr>
          <w:rFonts w:ascii="Arial" w:cs="Arial" w:eastAsia="Arial" w:hAnsi="Arial"/>
          <w:sz w:val="18"/>
          <w:szCs w:val="18"/>
          <w:color w:val="auto"/>
        </w:rPr>
        <w:t xml:space="preserve">s breach of its obligations under this Credit Agreement; and </w:t>
      </w:r>
      <w:r>
        <w:rPr>
          <w:rFonts w:ascii="Arial" w:cs="Arial" w:eastAsia="Arial" w:hAnsi="Arial"/>
          <w:sz w:val="18"/>
          <w:szCs w:val="18"/>
          <w:i w:val="1"/>
          <w:iCs w:val="1"/>
          <w:color w:val="auto"/>
        </w:rPr>
        <w:t>eighth</w:t>
      </w:r>
      <w:r>
        <w:rPr>
          <w:rFonts w:ascii="Arial" w:cs="Arial" w:eastAsia="Arial" w:hAnsi="Arial"/>
          <w:sz w:val="18"/>
          <w:szCs w:val="18"/>
          <w:color w:val="auto"/>
        </w:rPr>
        <w:t xml:space="preserve">, to </w:t>
      </w:r>
      <w:r>
        <w:rPr>
          <w:rFonts w:ascii="Arial" w:cs="Arial" w:eastAsia="Arial" w:hAnsi="Arial"/>
          <w:sz w:val="18"/>
          <w:szCs w:val="18"/>
          <w:color w:val="FF0000"/>
          <w:strike w:val="1"/>
        </w:rPr>
        <w:t>that</w:t>
      </w:r>
      <w:r>
        <w:rPr>
          <w:rFonts w:ascii="Arial" w:cs="Arial" w:eastAsia="Arial" w:hAnsi="Arial"/>
          <w:sz w:val="18"/>
          <w:szCs w:val="18"/>
          <w:u w:val="single" w:color="auto"/>
          <w:color w:val="0000FF"/>
        </w:rPr>
        <w:t>such</w:t>
      </w:r>
      <w:r>
        <w:rPr>
          <w:rFonts w:ascii="Arial" w:cs="Arial" w:eastAsia="Arial" w:hAnsi="Arial"/>
          <w:sz w:val="18"/>
          <w:szCs w:val="18"/>
          <w:color w:val="auto"/>
        </w:rPr>
        <w:t xml:space="preserve"> Defaulting Lender or </w:t>
      </w:r>
      <w:r>
        <w:rPr>
          <w:rFonts w:ascii="Arial" w:cs="Arial" w:eastAsia="Arial" w:hAnsi="Arial"/>
          <w:sz w:val="18"/>
          <w:szCs w:val="18"/>
          <w:color w:val="FF0000"/>
          <w:strike w:val="1"/>
        </w:rPr>
        <w:t>as</w:t>
      </w:r>
      <w:r>
        <w:rPr>
          <w:rFonts w:ascii="Arial" w:cs="Arial" w:eastAsia="Arial" w:hAnsi="Arial"/>
          <w:sz w:val="18"/>
          <w:szCs w:val="18"/>
          <w:color w:val="auto"/>
        </w:rPr>
        <w:t xml:space="preserve"> otherwise </w:t>
      </w:r>
      <w:r>
        <w:rPr>
          <w:rFonts w:ascii="Arial" w:cs="Arial" w:eastAsia="Arial" w:hAnsi="Arial"/>
          <w:sz w:val="18"/>
          <w:szCs w:val="18"/>
          <w:u w:val="single" w:color="auto"/>
          <w:color w:val="0000FF"/>
        </w:rPr>
        <w:t>as may be</w:t>
      </w:r>
      <w:r>
        <w:rPr>
          <w:rFonts w:ascii="Arial" w:cs="Arial" w:eastAsia="Arial" w:hAnsi="Arial"/>
          <w:sz w:val="18"/>
          <w:szCs w:val="18"/>
          <w:color w:val="auto"/>
        </w:rPr>
        <w:t xml:space="preserve"> </w:t>
      </w:r>
      <w:r>
        <w:rPr>
          <w:rFonts w:ascii="Arial" w:cs="Arial" w:eastAsia="Arial" w:hAnsi="Arial"/>
          <w:sz w:val="18"/>
          <w:szCs w:val="18"/>
          <w:u w:val="single" w:color="auto"/>
          <w:color w:val="0000FF"/>
        </w:rPr>
        <w:t>required under the Credit Documents in connection with any Lien conferred hereunder or</w:t>
      </w:r>
      <w:r>
        <w:rPr>
          <w:rFonts w:ascii="Arial" w:cs="Arial" w:eastAsia="Arial" w:hAnsi="Arial"/>
          <w:sz w:val="18"/>
          <w:szCs w:val="18"/>
          <w:color w:val="0000FF"/>
        </w:rPr>
        <w:t xml:space="preserve"> </w:t>
      </w:r>
      <w:r>
        <w:rPr>
          <w:rFonts w:ascii="Arial" w:cs="Arial" w:eastAsia="Arial" w:hAnsi="Arial"/>
          <w:sz w:val="18"/>
          <w:szCs w:val="18"/>
          <w:color w:val="000000"/>
        </w:rPr>
        <w:t>directed by a court of competent jurisdiction;</w:t>
      </w:r>
      <w:r>
        <w:rPr>
          <w:rFonts w:ascii="Arial" w:cs="Arial" w:eastAsia="Arial" w:hAnsi="Arial"/>
          <w:sz w:val="18"/>
          <w:szCs w:val="18"/>
          <w:color w:val="0000FF"/>
        </w:rPr>
        <w:t xml:space="preserve"> </w:t>
      </w:r>
      <w:r>
        <w:rPr>
          <w:rFonts w:ascii="Arial" w:cs="Arial" w:eastAsia="Arial" w:hAnsi="Arial"/>
          <w:sz w:val="18"/>
          <w:szCs w:val="18"/>
          <w:u w:val="single" w:color="auto"/>
          <w:color w:val="000000"/>
        </w:rPr>
        <w:t>provided</w:t>
      </w:r>
      <w:r>
        <w:rPr>
          <w:rFonts w:ascii="Arial" w:cs="Arial" w:eastAsia="Arial" w:hAnsi="Arial"/>
          <w:sz w:val="18"/>
          <w:szCs w:val="18"/>
          <w:color w:val="000000"/>
        </w:rPr>
        <w:t xml:space="preserve"> that if (x) such payment is a payment of the principal amount of any Loans or L/C Borrowings in respect of which </w:t>
      </w:r>
      <w:r>
        <w:rPr>
          <w:rFonts w:ascii="Arial" w:cs="Arial" w:eastAsia="Arial" w:hAnsi="Arial"/>
          <w:sz w:val="18"/>
          <w:szCs w:val="18"/>
          <w:color w:val="FF0000"/>
          <w:strike w:val="1"/>
        </w:rPr>
        <w:t>that</w:t>
      </w:r>
      <w:r>
        <w:rPr>
          <w:rFonts w:ascii="Arial" w:cs="Arial" w:eastAsia="Arial" w:hAnsi="Arial"/>
          <w:sz w:val="18"/>
          <w:szCs w:val="18"/>
          <w:u w:val="single" w:color="auto"/>
          <w:color w:val="0000FF"/>
        </w:rPr>
        <w:t>such</w:t>
      </w:r>
      <w:r>
        <w:rPr>
          <w:rFonts w:ascii="Arial" w:cs="Arial" w:eastAsia="Arial" w:hAnsi="Arial"/>
          <w:sz w:val="18"/>
          <w:szCs w:val="18"/>
          <w:color w:val="000000"/>
        </w:rPr>
        <w:t xml:space="preserve"> Defaulting Lender has not fully funded its appropriate share</w:t>
      </w:r>
      <w:r>
        <w:rPr>
          <w:rFonts w:ascii="Arial" w:cs="Arial" w:eastAsia="Arial" w:hAnsi="Arial"/>
          <w:sz w:val="18"/>
          <w:szCs w:val="18"/>
          <w:u w:val="single" w:color="auto"/>
          <w:color w:val="0000FF"/>
        </w:rPr>
        <w:t>,</w:t>
      </w:r>
      <w:r>
        <w:rPr>
          <w:rFonts w:ascii="Arial" w:cs="Arial" w:eastAsia="Arial" w:hAnsi="Arial"/>
          <w:sz w:val="18"/>
          <w:szCs w:val="18"/>
          <w:color w:val="000000"/>
        </w:rPr>
        <w:t xml:space="preserve"> and (y) such Loans </w:t>
      </w:r>
      <w:r>
        <w:rPr>
          <w:rFonts w:ascii="Arial" w:cs="Arial" w:eastAsia="Arial" w:hAnsi="Arial"/>
          <w:sz w:val="18"/>
          <w:szCs w:val="18"/>
          <w:color w:val="FF0000"/>
          <w:strike w:val="1"/>
        </w:rPr>
        <w:t>or L/C Borrowings</w:t>
      </w:r>
      <w:r>
        <w:rPr>
          <w:rFonts w:ascii="Arial" w:cs="Arial" w:eastAsia="Arial" w:hAnsi="Arial"/>
          <w:sz w:val="18"/>
          <w:szCs w:val="18"/>
          <w:color w:val="000000"/>
        </w:rPr>
        <w:t xml:space="preserve"> were made </w:t>
      </w:r>
      <w:r>
        <w:rPr>
          <w:rFonts w:ascii="Arial" w:cs="Arial" w:eastAsia="Arial" w:hAnsi="Arial"/>
          <w:sz w:val="18"/>
          <w:szCs w:val="18"/>
          <w:u w:val="single" w:color="auto"/>
          <w:color w:val="0000FF"/>
        </w:rPr>
        <w:t>or the related Letters of</w:t>
      </w:r>
      <w:r>
        <w:rPr>
          <w:rFonts w:ascii="Arial" w:cs="Arial" w:eastAsia="Arial" w:hAnsi="Arial"/>
          <w:sz w:val="18"/>
          <w:szCs w:val="18"/>
          <w:color w:val="000000"/>
        </w:rPr>
        <w:t xml:space="preserve"> </w:t>
      </w:r>
      <w:r>
        <w:rPr>
          <w:rFonts w:ascii="Arial" w:cs="Arial" w:eastAsia="Arial" w:hAnsi="Arial"/>
          <w:sz w:val="18"/>
          <w:szCs w:val="18"/>
          <w:u w:val="single" w:color="auto"/>
          <w:color w:val="0000FF"/>
        </w:rPr>
        <w:t>Credit were issued</w:t>
      </w:r>
      <w:r>
        <w:rPr>
          <w:rFonts w:ascii="Arial" w:cs="Arial" w:eastAsia="Arial" w:hAnsi="Arial"/>
          <w:sz w:val="18"/>
          <w:szCs w:val="18"/>
          <w:color w:val="0000FF"/>
        </w:rPr>
        <w:t xml:space="preserve"> </w:t>
      </w:r>
      <w:r>
        <w:rPr>
          <w:rFonts w:ascii="Arial" w:cs="Arial" w:eastAsia="Arial" w:hAnsi="Arial"/>
          <w:sz w:val="18"/>
          <w:szCs w:val="18"/>
          <w:color w:val="000000"/>
        </w:rPr>
        <w:t>at a time when the conditions set forth in</w:t>
      </w:r>
      <w:r>
        <w:rPr>
          <w:rFonts w:ascii="Arial" w:cs="Arial" w:eastAsia="Arial" w:hAnsi="Arial"/>
          <w:sz w:val="18"/>
          <w:szCs w:val="18"/>
          <w:color w:val="0000FF"/>
        </w:rPr>
        <w:t xml:space="preserve"> </w:t>
      </w:r>
      <w:r>
        <w:rPr>
          <w:rFonts w:ascii="Arial" w:cs="Arial" w:eastAsia="Arial" w:hAnsi="Arial"/>
          <w:sz w:val="18"/>
          <w:szCs w:val="18"/>
          <w:u w:val="single" w:color="auto"/>
          <w:color w:val="000000"/>
        </w:rPr>
        <w:t>Section 5.02</w:t>
      </w:r>
      <w:r>
        <w:rPr>
          <w:rFonts w:ascii="Arial" w:cs="Arial" w:eastAsia="Arial" w:hAnsi="Arial"/>
          <w:sz w:val="18"/>
          <w:szCs w:val="18"/>
          <w:color w:val="0000FF"/>
        </w:rPr>
        <w:t xml:space="preserve"> </w:t>
      </w:r>
      <w:r>
        <w:rPr>
          <w:rFonts w:ascii="Arial" w:cs="Arial" w:eastAsia="Arial" w:hAnsi="Arial"/>
          <w:sz w:val="18"/>
          <w:szCs w:val="18"/>
          <w:color w:val="000000"/>
        </w:rPr>
        <w:t>were satisfied or waived, such payment shall be applied</w:t>
      </w:r>
      <w:r>
        <w:rPr>
          <w:rFonts w:ascii="Arial" w:cs="Arial" w:eastAsia="Arial" w:hAnsi="Arial"/>
          <w:sz w:val="18"/>
          <w:szCs w:val="18"/>
          <w:color w:val="0000FF"/>
        </w:rPr>
        <w:t xml:space="preserve"> </w:t>
      </w:r>
      <w:r>
        <w:rPr>
          <w:rFonts w:ascii="Arial" w:cs="Arial" w:eastAsia="Arial" w:hAnsi="Arial"/>
          <w:sz w:val="18"/>
          <w:szCs w:val="18"/>
          <w:color w:val="000000"/>
        </w:rPr>
        <w:t xml:space="preserve">solely to pay the Loans of, and L/C </w:t>
      </w:r>
      <w:r>
        <w:rPr>
          <w:rFonts w:ascii="Arial" w:cs="Arial" w:eastAsia="Arial" w:hAnsi="Arial"/>
          <w:sz w:val="18"/>
          <w:szCs w:val="18"/>
          <w:color w:val="FF0000"/>
          <w:strike w:val="1"/>
        </w:rPr>
        <w:t>Borrowings</w:t>
      </w:r>
      <w:r>
        <w:rPr>
          <w:rFonts w:ascii="Arial" w:cs="Arial" w:eastAsia="Arial" w:hAnsi="Arial"/>
          <w:sz w:val="18"/>
          <w:szCs w:val="18"/>
          <w:u w:val="single" w:color="auto"/>
          <w:color w:val="0000FF"/>
        </w:rPr>
        <w:t>Obligations</w:t>
      </w:r>
      <w:r>
        <w:rPr>
          <w:rFonts w:ascii="Arial" w:cs="Arial" w:eastAsia="Arial" w:hAnsi="Arial"/>
          <w:sz w:val="18"/>
          <w:szCs w:val="18"/>
          <w:color w:val="000000"/>
        </w:rPr>
        <w:t xml:space="preserve"> owed to, all </w:t>
      </w:r>
      <w:r>
        <w:rPr>
          <w:rFonts w:ascii="Arial" w:cs="Arial" w:eastAsia="Arial" w:hAnsi="Arial"/>
          <w:sz w:val="18"/>
          <w:szCs w:val="18"/>
          <w:color w:val="FF0000"/>
          <w:strike w:val="1"/>
        </w:rPr>
        <w:t>non</w:t>
      </w:r>
      <w:r>
        <w:rPr>
          <w:rFonts w:ascii="Arial" w:cs="Arial" w:eastAsia="Arial" w:hAnsi="Arial"/>
          <w:sz w:val="18"/>
          <w:szCs w:val="18"/>
          <w:u w:val="single" w:color="auto"/>
          <w:color w:val="0000FF"/>
        </w:rPr>
        <w:t>Non</w:t>
      </w:r>
      <w:r>
        <w:rPr>
          <w:rFonts w:ascii="Arial" w:cs="Arial" w:eastAsia="Arial" w:hAnsi="Arial"/>
          <w:sz w:val="18"/>
          <w:szCs w:val="18"/>
          <w:color w:val="000000"/>
        </w:rPr>
        <w:t xml:space="preserve">-Defaulting Lenders on a pro rata basis prior to being applied to the payment of any Loans of, or L/C </w:t>
      </w:r>
      <w:r>
        <w:rPr>
          <w:rFonts w:ascii="Arial" w:cs="Arial" w:eastAsia="Arial" w:hAnsi="Arial"/>
          <w:sz w:val="18"/>
          <w:szCs w:val="18"/>
          <w:color w:val="FF0000"/>
          <w:strike w:val="1"/>
        </w:rPr>
        <w:t>Borrowings owed to, that Defaulting Lender.</w:t>
      </w:r>
      <w:r>
        <w:rPr>
          <w:rFonts w:ascii="Arial" w:cs="Arial" w:eastAsia="Arial" w:hAnsi="Arial"/>
          <w:sz w:val="18"/>
          <w:szCs w:val="18"/>
          <w:color w:val="000000"/>
        </w:rPr>
        <w:t xml:space="preserve"> </w:t>
      </w:r>
      <w:r>
        <w:rPr>
          <w:rFonts w:ascii="Arial" w:cs="Arial" w:eastAsia="Arial" w:hAnsi="Arial"/>
          <w:sz w:val="18"/>
          <w:szCs w:val="18"/>
          <w:u w:val="single" w:color="auto"/>
          <w:color w:val="0000FF"/>
        </w:rPr>
        <w:t>Obligations owed to, such Defaulting</w:t>
      </w:r>
      <w:r>
        <w:rPr>
          <w:rFonts w:ascii="Arial" w:cs="Arial" w:eastAsia="Arial" w:hAnsi="Arial"/>
          <w:sz w:val="18"/>
          <w:szCs w:val="18"/>
          <w:color w:val="000000"/>
        </w:rPr>
        <w:t xml:space="preserve"> </w:t>
      </w:r>
      <w:r>
        <w:rPr>
          <w:rFonts w:ascii="Arial" w:cs="Arial" w:eastAsia="Arial" w:hAnsi="Arial"/>
          <w:sz w:val="18"/>
          <w:szCs w:val="18"/>
          <w:u w:val="single" w:color="auto"/>
          <w:color w:val="0000FF"/>
        </w:rPr>
        <w:t>Lender until such time as all Loans and funded and unfunded participations in L/C Obligations and Swingline Loans are held by the Lenders pro rata in accordance with the Commitments hereunder without giving effect to Section 2.15(a)(iv).</w:t>
      </w:r>
      <w:r>
        <w:rPr>
          <w:rFonts w:ascii="Arial" w:cs="Arial" w:eastAsia="Arial" w:hAnsi="Arial"/>
          <w:sz w:val="18"/>
          <w:szCs w:val="18"/>
          <w:color w:val="0000FF"/>
        </w:rPr>
        <w:t xml:space="preserve"> </w:t>
      </w:r>
      <w:r>
        <w:rPr>
          <w:rFonts w:ascii="Arial" w:cs="Arial" w:eastAsia="Arial" w:hAnsi="Arial"/>
          <w:sz w:val="18"/>
          <w:szCs w:val="18"/>
          <w:color w:val="000000"/>
        </w:rPr>
        <w:t>Any payments,</w:t>
      </w:r>
      <w:r>
        <w:rPr>
          <w:rFonts w:ascii="Arial" w:cs="Arial" w:eastAsia="Arial" w:hAnsi="Arial"/>
          <w:sz w:val="18"/>
          <w:szCs w:val="18"/>
          <w:color w:val="0000FF"/>
        </w:rPr>
        <w:t xml:space="preserve"> </w:t>
      </w:r>
      <w:r>
        <w:rPr>
          <w:rFonts w:ascii="Arial" w:cs="Arial" w:eastAsia="Arial" w:hAnsi="Arial"/>
          <w:sz w:val="18"/>
          <w:szCs w:val="18"/>
          <w:color w:val="000000"/>
        </w:rPr>
        <w:t xml:space="preserve">prepayments or other amounts paid or payable to a Defaulting Lender that are applied (or held) to pay amounts owed by a Defaulting Lender or to post Cash Collateral pursuant to this </w:t>
      </w:r>
      <w:r>
        <w:rPr>
          <w:rFonts w:ascii="Arial" w:cs="Arial" w:eastAsia="Arial" w:hAnsi="Arial"/>
          <w:sz w:val="18"/>
          <w:szCs w:val="18"/>
          <w:u w:val="single" w:color="auto"/>
          <w:color w:val="000000"/>
        </w:rPr>
        <w:t>Section</w:t>
      </w:r>
      <w:r>
        <w:rPr>
          <w:rFonts w:ascii="Arial" w:cs="Arial" w:eastAsia="Arial" w:hAnsi="Arial"/>
          <w:sz w:val="18"/>
          <w:szCs w:val="18"/>
          <w:color w:val="000000"/>
        </w:rPr>
        <w:t xml:space="preserve"> </w:t>
      </w:r>
      <w:r>
        <w:rPr>
          <w:rFonts w:ascii="Arial" w:cs="Arial" w:eastAsia="Arial" w:hAnsi="Arial"/>
          <w:sz w:val="18"/>
          <w:szCs w:val="18"/>
          <w:u w:val="single" w:color="auto"/>
          <w:color w:val="FF0000"/>
          <w:strike w:val="1"/>
        </w:rPr>
        <w:t>2.17</w:t>
      </w:r>
      <w:r>
        <w:rPr>
          <w:rFonts w:ascii="Arial" w:cs="Arial" w:eastAsia="Arial" w:hAnsi="Arial"/>
          <w:sz w:val="18"/>
          <w:szCs w:val="18"/>
          <w:u w:val="single" w:color="auto"/>
          <w:color w:val="0000FF"/>
        </w:rPr>
        <w:t>2.15</w:t>
      </w:r>
      <w:r>
        <w:rPr>
          <w:rFonts w:ascii="Arial" w:cs="Arial" w:eastAsia="Arial" w:hAnsi="Arial"/>
          <w:sz w:val="18"/>
          <w:szCs w:val="18"/>
          <w:u w:val="single" w:color="auto"/>
          <w:color w:val="000000"/>
        </w:rPr>
        <w:t>(a)(</w:t>
      </w:r>
      <w:r>
        <w:rPr>
          <w:rFonts w:ascii="Arial" w:cs="Arial" w:eastAsia="Arial" w:hAnsi="Arial"/>
          <w:sz w:val="18"/>
          <w:szCs w:val="18"/>
          <w:u w:val="single" w:color="auto"/>
          <w:color w:val="FF0000"/>
          <w:strike w:val="1"/>
        </w:rPr>
        <w:t>v</w:t>
      </w:r>
      <w:r>
        <w:rPr>
          <w:rFonts w:ascii="Arial" w:cs="Arial" w:eastAsia="Arial" w:hAnsi="Arial"/>
          <w:sz w:val="18"/>
          <w:szCs w:val="18"/>
          <w:u w:val="single" w:color="auto"/>
          <w:color w:val="0000FF"/>
        </w:rPr>
        <w:t>ii</w:t>
      </w:r>
      <w:r>
        <w:rPr>
          <w:rFonts w:ascii="Arial" w:cs="Arial" w:eastAsia="Arial" w:hAnsi="Arial"/>
          <w:sz w:val="18"/>
          <w:szCs w:val="18"/>
          <w:u w:val="single" w:color="auto"/>
          <w:color w:val="000000"/>
        </w:rPr>
        <w:t>)</w:t>
      </w:r>
      <w:r>
        <w:rPr>
          <w:rFonts w:ascii="Arial" w:cs="Arial" w:eastAsia="Arial" w:hAnsi="Arial"/>
          <w:sz w:val="18"/>
          <w:szCs w:val="18"/>
          <w:color w:val="000000"/>
        </w:rPr>
        <w:t xml:space="preserve"> shall be deemed paid to and redirected by </w:t>
      </w:r>
      <w:r>
        <w:rPr>
          <w:rFonts w:ascii="Arial" w:cs="Arial" w:eastAsia="Arial" w:hAnsi="Arial"/>
          <w:sz w:val="18"/>
          <w:szCs w:val="18"/>
          <w:color w:val="FF0000"/>
          <w:strike w:val="1"/>
        </w:rPr>
        <w:t>that</w:t>
      </w:r>
      <w:r>
        <w:rPr>
          <w:rFonts w:ascii="Arial" w:cs="Arial" w:eastAsia="Arial" w:hAnsi="Arial"/>
          <w:sz w:val="18"/>
          <w:szCs w:val="18"/>
          <w:u w:val="single" w:color="auto"/>
          <w:color w:val="0000FF"/>
        </w:rPr>
        <w:t>such</w:t>
      </w:r>
      <w:r>
        <w:rPr>
          <w:rFonts w:ascii="Arial" w:cs="Arial" w:eastAsia="Arial" w:hAnsi="Arial"/>
          <w:sz w:val="18"/>
          <w:szCs w:val="18"/>
          <w:color w:val="000000"/>
        </w:rPr>
        <w:t xml:space="preserve"> Defaulting Lender, and each Lender irrevocably consents hereto</w:t>
      </w:r>
      <w:r>
        <w:rPr>
          <w:rFonts w:ascii="Arial" w:cs="Arial" w:eastAsia="Arial" w:hAnsi="Arial"/>
          <w:sz w:val="18"/>
          <w:szCs w:val="18"/>
          <w:color w:val="FF0000"/>
          <w:strike w:val="1"/>
        </w:rPr>
        <w:t>;</w:t>
      </w:r>
      <w:r>
        <w:rPr>
          <w:rFonts w:ascii="Arial" w:cs="Arial" w:eastAsia="Arial" w:hAnsi="Arial"/>
          <w:sz w:val="18"/>
          <w:szCs w:val="18"/>
          <w:u w:val="single" w:color="auto"/>
          <w:color w:val="0000FF"/>
        </w:rPr>
        <w:t>.</w:t>
      </w:r>
    </w:p>
    <w:p>
      <w:pPr>
        <w:spacing w:after="0" w:line="5" w:lineRule="exact"/>
        <w:rPr>
          <w:sz w:val="20"/>
          <w:szCs w:val="20"/>
          <w:color w:val="auto"/>
        </w:rPr>
      </w:pPr>
    </w:p>
    <w:p>
      <w:pPr>
        <w:ind w:left="1300" w:right="260" w:firstLine="653"/>
        <w:spacing w:after="0" w:line="363" w:lineRule="auto"/>
        <w:tabs>
          <w:tab w:leader="none" w:pos="2432" w:val="left"/>
        </w:tabs>
        <w:numPr>
          <w:ilvl w:val="0"/>
          <w:numId w:val="152"/>
        </w:numPr>
        <w:rPr>
          <w:rFonts w:ascii="Arial" w:cs="Arial" w:eastAsia="Arial" w:hAnsi="Arial"/>
          <w:sz w:val="18"/>
          <w:szCs w:val="18"/>
          <w:color w:val="FF0000"/>
          <w:strike w:val="1"/>
        </w:rPr>
      </w:pPr>
      <w:r>
        <w:rPr>
          <w:rFonts w:ascii="Arial" w:cs="Arial" w:eastAsia="Arial" w:hAnsi="Arial"/>
          <w:sz w:val="18"/>
          <w:szCs w:val="18"/>
          <w:color w:val="FF0000"/>
          <w:strike w:val="1"/>
        </w:rPr>
        <w:t>the Defaulting Lenders shall not be entitled to receive any Commitment Fee, facility fee, letter of credit fee or other fees hereunder (which fees may be retained by the Borrowers rather than paid into the Defaulting Lender Account);</w:t>
      </w:r>
    </w:p>
    <w:p>
      <w:pPr>
        <w:spacing w:after="0" w:line="333" w:lineRule="exact"/>
        <w:rPr>
          <w:sz w:val="20"/>
          <w:szCs w:val="20"/>
          <w:color w:val="auto"/>
        </w:rPr>
      </w:pPr>
    </w:p>
    <w:p>
      <w:pPr>
        <w:ind w:left="1300" w:right="280" w:firstLine="653"/>
        <w:spacing w:after="0" w:line="250" w:lineRule="auto"/>
        <w:tabs>
          <w:tab w:leader="none" w:pos="2443" w:val="left"/>
        </w:tabs>
        <w:numPr>
          <w:ilvl w:val="1"/>
          <w:numId w:val="153"/>
        </w:numPr>
        <w:rPr>
          <w:rFonts w:ascii="Arial" w:cs="Arial" w:eastAsia="Arial" w:hAnsi="Arial"/>
          <w:sz w:val="20"/>
          <w:szCs w:val="20"/>
          <w:u w:val="single" w:color="auto"/>
          <w:color w:val="0000FF"/>
        </w:rPr>
      </w:pPr>
      <w:r>
        <w:rPr>
          <w:rFonts w:ascii="Arial" w:cs="Arial" w:eastAsia="Arial" w:hAnsi="Arial"/>
          <w:sz w:val="20"/>
          <w:szCs w:val="20"/>
          <w:u w:val="single" w:color="auto"/>
          <w:color w:val="0000FF"/>
        </w:rPr>
        <w:t>(A) No Defaulting Lender shall be entitled to receive any fee payable under Section 2.09(a) for any period during which that Lender is a Defaulting Lender (and the Borrowers shall not be required to pay any such fee that otherwise would have been required to have been paid to that Defaulting Lender).</w:t>
      </w:r>
    </w:p>
    <w:p>
      <w:pPr>
        <w:spacing w:after="0" w:line="199" w:lineRule="exact"/>
        <w:rPr>
          <w:rFonts w:ascii="Arial" w:cs="Arial" w:eastAsia="Arial" w:hAnsi="Arial"/>
          <w:sz w:val="20"/>
          <w:szCs w:val="20"/>
          <w:u w:val="single" w:color="auto"/>
          <w:color w:val="0000FF"/>
        </w:rPr>
      </w:pPr>
    </w:p>
    <w:p>
      <w:pPr>
        <w:ind w:left="1300" w:firstLine="1301"/>
        <w:spacing w:after="0" w:line="250" w:lineRule="auto"/>
        <w:tabs>
          <w:tab w:leader="none" w:pos="3058" w:val="left"/>
        </w:tabs>
        <w:numPr>
          <w:ilvl w:val="2"/>
          <w:numId w:val="153"/>
        </w:numPr>
        <w:rPr>
          <w:rFonts w:ascii="Arial" w:cs="Arial" w:eastAsia="Arial" w:hAnsi="Arial"/>
          <w:sz w:val="20"/>
          <w:szCs w:val="20"/>
          <w:u w:val="single" w:color="auto"/>
          <w:color w:val="0000FF"/>
        </w:rPr>
      </w:pPr>
      <w:r>
        <w:rPr>
          <w:rFonts w:ascii="Arial" w:cs="Arial" w:eastAsia="Arial" w:hAnsi="Arial"/>
          <w:sz w:val="20"/>
          <w:szCs w:val="20"/>
          <w:u w:val="single" w:color="auto"/>
          <w:color w:val="0000FF"/>
        </w:rPr>
        <w:t>Each Defaulting Lender shall be entitled to receive Letter of Credit Fees for any period during which that Lender is a Defaulting Lender only to the extent allocable to its pro rata share of the stated amount of Letters of Credit for which it has provided Cash Collateral pursuant to Section 2.16.</w:t>
      </w:r>
    </w:p>
    <w:p>
      <w:pPr>
        <w:spacing w:after="0" w:line="199" w:lineRule="exact"/>
        <w:rPr>
          <w:rFonts w:ascii="Arial" w:cs="Arial" w:eastAsia="Arial" w:hAnsi="Arial"/>
          <w:sz w:val="20"/>
          <w:szCs w:val="20"/>
          <w:u w:val="single" w:color="auto"/>
          <w:color w:val="0000FF"/>
        </w:rPr>
      </w:pPr>
    </w:p>
    <w:p>
      <w:pPr>
        <w:ind w:left="1300" w:firstLine="1301"/>
        <w:spacing w:after="0" w:line="258" w:lineRule="auto"/>
        <w:tabs>
          <w:tab w:leader="none" w:pos="3055" w:val="left"/>
        </w:tabs>
        <w:numPr>
          <w:ilvl w:val="2"/>
          <w:numId w:val="153"/>
        </w:numPr>
        <w:rPr>
          <w:rFonts w:ascii="Arial" w:cs="Arial" w:eastAsia="Arial" w:hAnsi="Arial"/>
          <w:sz w:val="19"/>
          <w:szCs w:val="19"/>
          <w:u w:val="single" w:color="auto"/>
          <w:color w:val="0000FF"/>
        </w:rPr>
      </w:pPr>
      <w:r>
        <w:rPr>
          <w:rFonts w:ascii="Arial" w:cs="Arial" w:eastAsia="Arial" w:hAnsi="Arial"/>
          <w:sz w:val="19"/>
          <w:szCs w:val="19"/>
          <w:u w:val="single" w:color="auto"/>
          <w:color w:val="0000FF"/>
        </w:rPr>
        <w:t>With respect to any fee payable under Section 2.09(a) or any Letter of Credit Fee not required to be paid to any Defaulting Lender pursuant to clause (A) or (B) above, the Borrowers shall (x) pay to each Non-Defaulting Lender that portion of any such fee otherwise payable to such Defaulting Lender with respect to such Defaulting Lender’s participation in L/C Obligations or Swingline Loans that has been reallocated to such Non-Defaulting Lender pursuant to clause (iv) below, (y) pay to the L/C Issuer and Swingline Lender, as applicable, the amount of any such fee otherwise payable to such Defaulting Lender to the extent allocable to such L/C Issuer’s or Swingline Lender’s Fronting Exposure to such Defaulting Lender, and (z) not be required to pay the remaining amount of any such fee.</w:t>
      </w:r>
    </w:p>
    <w:p>
      <w:pPr>
        <w:spacing w:after="0" w:line="192" w:lineRule="exact"/>
        <w:rPr>
          <w:rFonts w:ascii="Arial" w:cs="Arial" w:eastAsia="Arial" w:hAnsi="Arial"/>
          <w:sz w:val="19"/>
          <w:szCs w:val="19"/>
          <w:u w:val="single" w:color="auto"/>
          <w:color w:val="0000FF"/>
        </w:rPr>
      </w:pPr>
    </w:p>
    <w:p>
      <w:pPr>
        <w:ind w:left="660" w:right="480" w:firstLine="645"/>
        <w:spacing w:after="0" w:line="291" w:lineRule="auto"/>
        <w:tabs>
          <w:tab w:leader="none" w:pos="1792" w:val="left"/>
        </w:tabs>
        <w:numPr>
          <w:ilvl w:val="0"/>
          <w:numId w:val="154"/>
        </w:numPr>
        <w:rPr>
          <w:rFonts w:ascii="Arial" w:cs="Arial" w:eastAsia="Arial" w:hAnsi="Arial"/>
          <w:sz w:val="18"/>
          <w:szCs w:val="18"/>
          <w:u w:val="single" w:color="auto"/>
          <w:color w:val="0000FF"/>
        </w:rPr>
      </w:pPr>
      <w:r>
        <w:rPr>
          <w:rFonts w:ascii="Arial" w:cs="Arial" w:eastAsia="Arial" w:hAnsi="Arial"/>
          <w:sz w:val="18"/>
          <w:szCs w:val="18"/>
          <w:u w:val="single" w:color="auto"/>
          <w:color w:val="0000FF"/>
        </w:rPr>
        <w:t>Reallocation of Applicable Percentages to Reduce Fronting Exposure. All or any part of such Defaulting Lender’s participation in L/C Obligations and Swingline Loans shall be reallocated among the Non-Defaulting Lenders with the applicable Revolving Commitments in accordance with their respective pro rata share (calculated without regard to such Defaulting</w:t>
      </w:r>
    </w:p>
    <w:p>
      <w:pPr>
        <w:spacing w:after="0" w:line="179"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114</w:t>
      </w:r>
    </w:p>
    <w:p>
      <w:pPr>
        <w:spacing w:after="0" w:line="10" w:lineRule="exact"/>
        <w:rPr>
          <w:sz w:val="20"/>
          <w:szCs w:val="20"/>
          <w:color w:val="auto"/>
        </w:rPr>
      </w:pPr>
    </w:p>
    <w:p>
      <w:pPr>
        <w:spacing w:after="0"/>
        <w:rPr>
          <w:sz w:val="20"/>
          <w:szCs w:val="20"/>
          <w:color w:val="auto"/>
        </w:rPr>
      </w:pPr>
      <w:r>
        <w:rPr>
          <w:rFonts w:ascii="Arial" w:cs="Arial" w:eastAsia="Arial" w:hAnsi="Arial"/>
          <w:sz w:val="14"/>
          <w:szCs w:val="14"/>
          <w:color w:val="auto"/>
        </w:rPr>
        <w:t>CHAR1\1346423v</w:t>
      </w:r>
      <w:r>
        <w:rPr>
          <w:rFonts w:ascii="Arial" w:cs="Arial" w:eastAsia="Arial" w:hAnsi="Arial"/>
          <w:sz w:val="14"/>
          <w:szCs w:val="14"/>
          <w:color w:val="FF0000"/>
          <w:strike w:val="1"/>
        </w:rPr>
        <w:t>1</w:t>
      </w:r>
      <w:r>
        <w:rPr>
          <w:rFonts w:ascii="Arial" w:cs="Arial" w:eastAsia="Arial" w:hAnsi="Arial"/>
          <w:sz w:val="14"/>
          <w:szCs w:val="14"/>
          <w:u w:val="single" w:color="auto"/>
          <w:color w:val="0000FF"/>
        </w:rPr>
        <w:t>12</w:t>
      </w:r>
    </w:p>
    <w:p>
      <w:pPr>
        <w:sectPr>
          <w:pgSz w:w="11900" w:h="16838" w:orient="portrait"/>
          <w:cols w:equalWidth="0" w:num="1">
            <w:col w:w="11400"/>
          </w:cols>
          <w:pgMar w:left="240" w:top="582" w:right="259" w:bottom="1440" w:gutter="0" w:footer="0" w:header="0"/>
        </w:sectPr>
      </w:pPr>
    </w:p>
    <w:bookmarkStart w:id="166" w:name="page167"/>
    <w:bookmarkEnd w:id="166"/>
    <w:p>
      <w:pPr>
        <w:ind w:left="660" w:right="20"/>
        <w:spacing w:after="0" w:line="258" w:lineRule="auto"/>
        <w:rPr>
          <w:sz w:val="20"/>
          <w:szCs w:val="20"/>
          <w:color w:val="auto"/>
        </w:rPr>
      </w:pPr>
      <w:r>
        <w:rPr>
          <w:rFonts w:ascii="Arial" w:cs="Arial" w:eastAsia="Arial" w:hAnsi="Arial"/>
          <w:sz w:val="19"/>
          <w:szCs w:val="19"/>
          <w:u w:val="single" w:color="auto"/>
          <w:color w:val="0000FF"/>
        </w:rPr>
        <w:t>Lender’s Commitment) but only to the extent that (x) the conditions set forth in Section 5.02 are satisfied at the time of such reallocation (and, unless the Borrowers shall have otherwise notified the Administrative Agent at such time, the Borrowers shall be deemed to have represented and warranted that such conditions are satisfied at such time), and (y) such reallocation does not cause any Non-Defaulting Lender’s share of the Outstanding Amount of Revolving Obligations to exceed its Revolving Commitment. No reallocation hereunder shall constitute a waiver or release of any claim of any party hereunder against a Defaulting Lender arising from that Lender having become a Defaulting Lender, including any claim of a Non-Defaulting Lender as a result of such Non-Defaulting Lender’s increased exposure following such reallocation.</w:t>
      </w:r>
    </w:p>
    <w:p>
      <w:pPr>
        <w:spacing w:after="0" w:line="193" w:lineRule="exact"/>
        <w:rPr>
          <w:sz w:val="20"/>
          <w:szCs w:val="20"/>
          <w:color w:val="auto"/>
        </w:rPr>
      </w:pPr>
    </w:p>
    <w:p>
      <w:pPr>
        <w:jc w:val="both"/>
        <w:ind w:left="660" w:right="140" w:firstLine="645"/>
        <w:spacing w:after="0" w:line="275" w:lineRule="auto"/>
        <w:tabs>
          <w:tab w:leader="none" w:pos="1737" w:val="left"/>
        </w:tabs>
        <w:numPr>
          <w:ilvl w:val="1"/>
          <w:numId w:val="155"/>
        </w:numPr>
        <w:rPr>
          <w:rFonts w:ascii="Arial" w:cs="Arial" w:eastAsia="Arial" w:hAnsi="Arial"/>
          <w:sz w:val="18"/>
          <w:szCs w:val="18"/>
          <w:u w:val="single" w:color="auto"/>
          <w:color w:val="0000FF"/>
        </w:rPr>
      </w:pPr>
      <w:r>
        <w:rPr>
          <w:rFonts w:ascii="Arial" w:cs="Arial" w:eastAsia="Arial" w:hAnsi="Arial"/>
          <w:sz w:val="18"/>
          <w:szCs w:val="18"/>
          <w:u w:val="single" w:color="auto"/>
          <w:color w:val="0000FF"/>
        </w:rPr>
        <w:t>Cash Collateral, Repayment of Swingline Loans. If the reallocation described in clause (a)(iv) above cannot, or can only partially, be effected, the Borrowers shall, without prejudice to any right or remedy available to it hereunder or under applicable Law,</w:t>
      </w:r>
    </w:p>
    <w:p>
      <w:pPr>
        <w:ind w:left="660" w:right="160" w:hanging="4"/>
        <w:spacing w:after="0" w:line="244" w:lineRule="auto"/>
        <w:tabs>
          <w:tab w:leader="none" w:pos="940" w:val="left"/>
        </w:tabs>
        <w:numPr>
          <w:ilvl w:val="0"/>
          <w:numId w:val="156"/>
        </w:numPr>
        <w:rPr>
          <w:rFonts w:ascii="Arial" w:cs="Arial" w:eastAsia="Arial" w:hAnsi="Arial"/>
          <w:sz w:val="20"/>
          <w:szCs w:val="20"/>
          <w:u w:val="single" w:color="auto"/>
          <w:color w:val="0000FF"/>
        </w:rPr>
      </w:pPr>
      <w:r>
        <w:rPr>
          <w:rFonts w:ascii="Arial" w:cs="Arial" w:eastAsia="Arial" w:hAnsi="Arial"/>
          <w:sz w:val="20"/>
          <w:szCs w:val="20"/>
          <w:u w:val="single" w:color="auto"/>
          <w:color w:val="0000FF"/>
        </w:rPr>
        <w:t>first, prepay Swingline Loans in an amount equal to the Swingline Lenders’ Fronting Exposure and (y) second, Cash Collateralize the L/C Issuers’ Fronting Exposure in accordance with the procedures set forth in Section 2.14.</w:t>
      </w:r>
    </w:p>
    <w:p>
      <w:pPr>
        <w:spacing w:after="0" w:line="205" w:lineRule="exact"/>
        <w:rPr>
          <w:rFonts w:ascii="Arial" w:cs="Arial" w:eastAsia="Arial" w:hAnsi="Arial"/>
          <w:sz w:val="20"/>
          <w:szCs w:val="20"/>
          <w:u w:val="single" w:color="auto"/>
          <w:color w:val="0000FF"/>
        </w:rPr>
      </w:pPr>
    </w:p>
    <w:p>
      <w:pPr>
        <w:ind w:left="1780" w:hanging="475"/>
        <w:spacing w:after="0"/>
        <w:tabs>
          <w:tab w:leader="none" w:pos="1780" w:val="left"/>
        </w:tabs>
        <w:numPr>
          <w:ilvl w:val="1"/>
          <w:numId w:val="156"/>
        </w:numPr>
        <w:rPr>
          <w:rFonts w:ascii="Arial" w:cs="Arial" w:eastAsia="Arial" w:hAnsi="Arial"/>
          <w:sz w:val="19"/>
          <w:szCs w:val="19"/>
          <w:u w:val="single" w:color="auto"/>
          <w:color w:val="0000FF"/>
        </w:rPr>
      </w:pPr>
      <w:r>
        <w:rPr>
          <w:rFonts w:ascii="Arial" w:cs="Arial" w:eastAsia="Arial" w:hAnsi="Arial"/>
          <w:sz w:val="19"/>
          <w:szCs w:val="19"/>
          <w:u w:val="single" w:color="auto"/>
          <w:color w:val="0000FF"/>
        </w:rPr>
        <w:t>Replacement. The Defaulting Lender may be replaced and its interests assigned as provided in Section 11.13.</w:t>
      </w:r>
    </w:p>
    <w:p>
      <w:pPr>
        <w:spacing w:after="0" w:line="240" w:lineRule="exact"/>
        <w:rPr>
          <w:rFonts w:ascii="Arial" w:cs="Arial" w:eastAsia="Arial" w:hAnsi="Arial"/>
          <w:sz w:val="19"/>
          <w:szCs w:val="19"/>
          <w:u w:val="single" w:color="auto"/>
          <w:color w:val="0000FF"/>
        </w:rPr>
      </w:pPr>
    </w:p>
    <w:p>
      <w:pPr>
        <w:ind w:left="660" w:firstLine="645"/>
        <w:spacing w:after="0" w:line="274" w:lineRule="auto"/>
        <w:tabs>
          <w:tab w:leader="none" w:pos="1698" w:val="left"/>
        </w:tabs>
        <w:numPr>
          <w:ilvl w:val="1"/>
          <w:numId w:val="156"/>
        </w:numPr>
        <w:rPr>
          <w:rFonts w:ascii="Arial" w:cs="Arial" w:eastAsia="Arial" w:hAnsi="Arial"/>
          <w:sz w:val="18"/>
          <w:szCs w:val="18"/>
          <w:color w:val="FF0000"/>
          <w:strike w:val="1"/>
        </w:rPr>
      </w:pPr>
      <w:r>
        <w:rPr>
          <w:rFonts w:ascii="Arial" w:cs="Arial" w:eastAsia="Arial" w:hAnsi="Arial"/>
          <w:sz w:val="18"/>
          <w:szCs w:val="18"/>
          <w:u w:val="single" w:color="auto"/>
          <w:color w:val="0000FF"/>
        </w:rPr>
        <w:t>(vii) Termination of Commitments.</w:t>
      </w:r>
      <w:r>
        <w:rPr>
          <w:rFonts w:ascii="Arial" w:cs="Arial" w:eastAsia="Arial" w:hAnsi="Arial"/>
          <w:sz w:val="18"/>
          <w:szCs w:val="18"/>
          <w:color w:val="0000FF"/>
        </w:rPr>
        <w:t xml:space="preserve"> </w:t>
      </w:r>
      <w:r>
        <w:rPr>
          <w:rFonts w:ascii="Arial" w:cs="Arial" w:eastAsia="Arial" w:hAnsi="Arial"/>
          <w:sz w:val="18"/>
          <w:szCs w:val="18"/>
          <w:color w:val="000000"/>
        </w:rPr>
        <w:t>So long as no Event of Default shall exist immediately before or immediately after</w:t>
      </w:r>
      <w:r>
        <w:rPr>
          <w:rFonts w:ascii="Arial" w:cs="Arial" w:eastAsia="Arial" w:hAnsi="Arial"/>
          <w:sz w:val="18"/>
          <w:szCs w:val="18"/>
          <w:color w:val="0000FF"/>
        </w:rPr>
        <w:t xml:space="preserve"> </w:t>
      </w:r>
      <w:r>
        <w:rPr>
          <w:rFonts w:ascii="Arial" w:cs="Arial" w:eastAsia="Arial" w:hAnsi="Arial"/>
          <w:sz w:val="18"/>
          <w:szCs w:val="18"/>
          <w:color w:val="000000"/>
        </w:rPr>
        <w:t xml:space="preserve">giving </w:t>
      </w:r>
      <w:r>
        <w:rPr>
          <w:rFonts w:ascii="Arial" w:cs="Arial" w:eastAsia="Arial" w:hAnsi="Arial"/>
          <w:sz w:val="18"/>
          <w:szCs w:val="18"/>
          <w:color w:val="FF0000"/>
          <w:strike w:val="1"/>
        </w:rPr>
        <w:t>affect</w:t>
      </w:r>
      <w:r>
        <w:rPr>
          <w:rFonts w:ascii="Arial" w:cs="Arial" w:eastAsia="Arial" w:hAnsi="Arial"/>
          <w:sz w:val="18"/>
          <w:szCs w:val="18"/>
          <w:u w:val="single" w:color="auto"/>
          <w:color w:val="0000FF"/>
        </w:rPr>
        <w:t>effect</w:t>
      </w:r>
      <w:r>
        <w:rPr>
          <w:rFonts w:ascii="Arial" w:cs="Arial" w:eastAsia="Arial" w:hAnsi="Arial"/>
          <w:sz w:val="18"/>
          <w:szCs w:val="18"/>
          <w:color w:val="000000"/>
        </w:rPr>
        <w:t xml:space="preserve"> thereto, the Borrowers may</w:t>
      </w:r>
      <w:r>
        <w:rPr>
          <w:rFonts w:ascii="Arial" w:cs="Arial" w:eastAsia="Arial" w:hAnsi="Arial"/>
          <w:sz w:val="18"/>
          <w:szCs w:val="18"/>
          <w:u w:val="single" w:color="auto"/>
          <w:color w:val="0000FF"/>
        </w:rPr>
        <w:t>,</w:t>
      </w:r>
      <w:r>
        <w:rPr>
          <w:rFonts w:ascii="Arial" w:cs="Arial" w:eastAsia="Arial" w:hAnsi="Arial"/>
          <w:sz w:val="18"/>
          <w:szCs w:val="18"/>
          <w:color w:val="000000"/>
        </w:rPr>
        <w:t xml:space="preserve"> with the consent of the Administrative Agent </w:t>
      </w:r>
      <w:r>
        <w:rPr>
          <w:rFonts w:ascii="Arial" w:cs="Arial" w:eastAsia="Arial" w:hAnsi="Arial"/>
          <w:sz w:val="18"/>
          <w:szCs w:val="18"/>
          <w:color w:val="FF0000"/>
          <w:strike w:val="1"/>
        </w:rPr>
        <w:t>(which consent will not be unreasonably</w:t>
      </w:r>
      <w:r>
        <w:rPr>
          <w:rFonts w:ascii="Arial" w:cs="Arial" w:eastAsia="Arial" w:hAnsi="Arial"/>
          <w:sz w:val="18"/>
          <w:szCs w:val="18"/>
          <w:color w:val="000000"/>
        </w:rPr>
        <w:t xml:space="preserve"> </w:t>
      </w:r>
      <w:r>
        <w:rPr>
          <w:rFonts w:ascii="Arial" w:cs="Arial" w:eastAsia="Arial" w:hAnsi="Arial"/>
          <w:sz w:val="18"/>
          <w:szCs w:val="18"/>
          <w:color w:val="FF0000"/>
          <w:strike w:val="1"/>
        </w:rPr>
        <w:t>withheld or delayed)</w:t>
      </w:r>
      <w:r>
        <w:rPr>
          <w:rFonts w:ascii="Arial" w:cs="Arial" w:eastAsia="Arial" w:hAnsi="Arial"/>
          <w:sz w:val="18"/>
          <w:szCs w:val="18"/>
          <w:u w:val="single" w:color="auto"/>
          <w:color w:val="0000FF"/>
        </w:rPr>
        <w:t>, in its discretion,</w:t>
      </w:r>
      <w:r>
        <w:rPr>
          <w:rFonts w:ascii="Arial" w:cs="Arial" w:eastAsia="Arial" w:hAnsi="Arial"/>
          <w:sz w:val="18"/>
          <w:szCs w:val="18"/>
          <w:color w:val="FF0000"/>
        </w:rPr>
        <w:t xml:space="preserve"> </w:t>
      </w:r>
      <w:r>
        <w:rPr>
          <w:rFonts w:ascii="Arial" w:cs="Arial" w:eastAsia="Arial" w:hAnsi="Arial"/>
          <w:sz w:val="18"/>
          <w:szCs w:val="18"/>
          <w:color w:val="000000"/>
        </w:rPr>
        <w:t>elect to terminate the commitments of the Defaulting Lender, and repay its share of outstanding</w:t>
      </w:r>
      <w:r>
        <w:rPr>
          <w:rFonts w:ascii="Arial" w:cs="Arial" w:eastAsia="Arial" w:hAnsi="Arial"/>
          <w:sz w:val="18"/>
          <w:szCs w:val="18"/>
          <w:color w:val="FF0000"/>
        </w:rPr>
        <w:t xml:space="preserve"> </w:t>
      </w:r>
      <w:r>
        <w:rPr>
          <w:rFonts w:ascii="Arial" w:cs="Arial" w:eastAsia="Arial" w:hAnsi="Arial"/>
          <w:sz w:val="18"/>
          <w:szCs w:val="18"/>
          <w:color w:val="FF0000"/>
          <w:strike w:val="1"/>
        </w:rPr>
        <w:t>Revolving</w:t>
      </w:r>
      <w:r>
        <w:rPr>
          <w:rFonts w:ascii="Arial" w:cs="Arial" w:eastAsia="Arial" w:hAnsi="Arial"/>
          <w:sz w:val="18"/>
          <w:szCs w:val="18"/>
          <w:color w:val="FF0000"/>
        </w:rPr>
        <w:t xml:space="preserve"> </w:t>
      </w:r>
      <w:r>
        <w:rPr>
          <w:rFonts w:ascii="Arial" w:cs="Arial" w:eastAsia="Arial" w:hAnsi="Arial"/>
          <w:sz w:val="18"/>
          <w:szCs w:val="18"/>
          <w:color w:val="000000"/>
        </w:rPr>
        <w:t>Loan Obligations</w:t>
      </w:r>
      <w:r>
        <w:rPr>
          <w:rFonts w:ascii="Arial" w:cs="Arial" w:eastAsia="Arial" w:hAnsi="Arial"/>
          <w:sz w:val="18"/>
          <w:szCs w:val="18"/>
          <w:color w:val="FF0000"/>
        </w:rPr>
        <w:t xml:space="preserve"> </w:t>
      </w:r>
      <w:r>
        <w:rPr>
          <w:rFonts w:ascii="Arial" w:cs="Arial" w:eastAsia="Arial" w:hAnsi="Arial"/>
          <w:sz w:val="18"/>
          <w:szCs w:val="18"/>
          <w:u w:val="single" w:color="auto"/>
          <w:color w:val="0000FF"/>
        </w:rPr>
        <w:t>(and reallocate its participation interests in L/C Obligations and Swingline Loans),</w:t>
      </w:r>
      <w:r>
        <w:rPr>
          <w:rFonts w:ascii="Arial" w:cs="Arial" w:eastAsia="Arial" w:hAnsi="Arial"/>
          <w:sz w:val="18"/>
          <w:szCs w:val="18"/>
          <w:color w:val="FF0000"/>
        </w:rPr>
        <w:t xml:space="preserve"> </w:t>
      </w:r>
      <w:r>
        <w:rPr>
          <w:rFonts w:ascii="Arial" w:cs="Arial" w:eastAsia="Arial" w:hAnsi="Arial"/>
          <w:sz w:val="18"/>
          <w:szCs w:val="18"/>
          <w:color w:val="000000"/>
        </w:rPr>
        <w:t>on a non-pro rata basis.</w:t>
      </w:r>
    </w:p>
    <w:p>
      <w:pPr>
        <w:ind w:left="1300" w:right="40" w:firstLine="653"/>
        <w:spacing w:after="0" w:line="320" w:lineRule="auto"/>
        <w:tabs>
          <w:tab w:leader="none" w:pos="2542" w:val="left"/>
        </w:tabs>
        <w:numPr>
          <w:ilvl w:val="2"/>
          <w:numId w:val="156"/>
        </w:numPr>
        <w:rPr>
          <w:rFonts w:ascii="Arial" w:cs="Arial" w:eastAsia="Arial" w:hAnsi="Arial"/>
          <w:sz w:val="18"/>
          <w:szCs w:val="18"/>
          <w:color w:val="FF0000"/>
          <w:strike w:val="1"/>
        </w:rPr>
      </w:pPr>
      <w:r>
        <w:rPr>
          <w:rFonts w:ascii="Arial" w:cs="Arial" w:eastAsia="Arial" w:hAnsi="Arial"/>
          <w:sz w:val="18"/>
          <w:szCs w:val="18"/>
          <w:color w:val="FF0000"/>
          <w:strike w:val="1"/>
        </w:rPr>
        <w:t xml:space="preserve">During any period in which there is a Defaulting Lender, for purposes of computing the amount of the obligation of each non-Defaulting Lender to acquire, refinance or fund participations in Letters of Credit or Swingline Loans pursuant to </w:t>
      </w:r>
      <w:r>
        <w:rPr>
          <w:rFonts w:ascii="Arial" w:cs="Arial" w:eastAsia="Arial" w:hAnsi="Arial"/>
          <w:sz w:val="18"/>
          <w:szCs w:val="18"/>
          <w:u w:val="single" w:color="auto"/>
          <w:color w:val="FF0000"/>
          <w:strike w:val="1"/>
        </w:rPr>
        <w:t>Sections 2.03</w:t>
      </w:r>
      <w:r>
        <w:rPr>
          <w:rFonts w:ascii="Arial" w:cs="Arial" w:eastAsia="Arial" w:hAnsi="Arial"/>
          <w:sz w:val="18"/>
          <w:szCs w:val="18"/>
          <w:color w:val="FF0000"/>
          <w:strike w:val="1"/>
        </w:rPr>
        <w:t xml:space="preserve"> and </w:t>
      </w:r>
      <w:r>
        <w:rPr>
          <w:rFonts w:ascii="Arial" w:cs="Arial" w:eastAsia="Arial" w:hAnsi="Arial"/>
          <w:sz w:val="18"/>
          <w:szCs w:val="18"/>
          <w:u w:val="single" w:color="auto"/>
          <w:color w:val="FF0000"/>
          <w:strike w:val="1"/>
        </w:rPr>
        <w:t>2.04</w:t>
      </w:r>
      <w:r>
        <w:rPr>
          <w:rFonts w:ascii="Arial" w:cs="Arial" w:eastAsia="Arial" w:hAnsi="Arial"/>
          <w:sz w:val="18"/>
          <w:szCs w:val="18"/>
          <w:color w:val="FF0000"/>
          <w:strike w:val="1"/>
        </w:rPr>
        <w:t xml:space="preserve">, the “Revolving Commitment Percentage” of each non-Defaulting Lender shall be computed without giving effect to the Revolving Commitment of that Defaulting Lender; </w:t>
      </w:r>
      <w:r>
        <w:rPr>
          <w:rFonts w:ascii="Arial" w:cs="Arial" w:eastAsia="Arial" w:hAnsi="Arial"/>
          <w:sz w:val="18"/>
          <w:szCs w:val="18"/>
          <w:u w:val="single" w:color="auto"/>
          <w:color w:val="FF0000"/>
          <w:strike w:val="1"/>
        </w:rPr>
        <w:t>provided</w:t>
      </w:r>
      <w:r>
        <w:rPr>
          <w:rFonts w:ascii="Arial" w:cs="Arial" w:eastAsia="Arial" w:hAnsi="Arial"/>
          <w:sz w:val="18"/>
          <w:szCs w:val="18"/>
          <w:color w:val="FF0000"/>
          <w:strike w:val="1"/>
        </w:rPr>
        <w:t xml:space="preserve"> that (A) each such reallocation shall be given effect only if, at the date the applicable Lender becomes a Defaulting Lender, no Event of Default exists; and (B) the aggregate obligation of each non-Defaulting Lender to acquire, refinance or fund participations in Letters of Credit and Swingline Loans shall not exceed the positive difference, if any, of (1) the Revolving Commitment of that non-Defaulting Lender </w:t>
      </w:r>
      <w:r>
        <w:rPr>
          <w:rFonts w:ascii="Arial" w:cs="Arial" w:eastAsia="Arial" w:hAnsi="Arial"/>
          <w:sz w:val="18"/>
          <w:szCs w:val="18"/>
          <w:u w:val="single" w:color="auto"/>
          <w:color w:val="FF0000"/>
          <w:strike w:val="1"/>
        </w:rPr>
        <w:t>minus</w:t>
      </w:r>
      <w:r>
        <w:rPr>
          <w:rFonts w:ascii="Arial" w:cs="Arial" w:eastAsia="Arial" w:hAnsi="Arial"/>
          <w:sz w:val="18"/>
          <w:szCs w:val="18"/>
          <w:color w:val="FF0000"/>
          <w:strike w:val="1"/>
        </w:rPr>
        <w:t xml:space="preserve"> (2) the aggregate Outstanding Amount of the Revolving Loan Obligations of that Lender.</w:t>
      </w:r>
    </w:p>
    <w:p>
      <w:pPr>
        <w:spacing w:after="0" w:line="372" w:lineRule="exact"/>
        <w:rPr>
          <w:sz w:val="20"/>
          <w:szCs w:val="20"/>
          <w:color w:val="auto"/>
        </w:rPr>
      </w:pPr>
    </w:p>
    <w:p>
      <w:pPr>
        <w:ind w:right="40" w:firstLine="656"/>
        <w:spacing w:after="0" w:line="243" w:lineRule="auto"/>
        <w:tabs>
          <w:tab w:leader="none" w:pos="928" w:val="left"/>
        </w:tabs>
        <w:numPr>
          <w:ilvl w:val="0"/>
          <w:numId w:val="157"/>
        </w:numPr>
        <w:rPr>
          <w:rFonts w:ascii="Arial" w:cs="Arial" w:eastAsia="Arial" w:hAnsi="Arial"/>
          <w:sz w:val="20"/>
          <w:szCs w:val="20"/>
          <w:color w:val="FF0000"/>
          <w:strike w:val="1"/>
        </w:rPr>
      </w:pPr>
      <w:r>
        <w:rPr>
          <w:rFonts w:ascii="Arial" w:cs="Arial" w:eastAsia="Arial" w:hAnsi="Arial"/>
          <w:sz w:val="20"/>
          <w:szCs w:val="20"/>
          <w:u w:val="single" w:color="auto"/>
          <w:color w:val="0000FF"/>
        </w:rPr>
        <w:t>(b)</w:t>
      </w:r>
      <w:r>
        <w:rPr>
          <w:rFonts w:ascii="Arial" w:cs="Arial" w:eastAsia="Arial" w:hAnsi="Arial"/>
          <w:sz w:val="20"/>
          <w:szCs w:val="20"/>
          <w:color w:val="0000FF"/>
        </w:rPr>
        <w:t xml:space="preserve"> </w:t>
      </w:r>
      <w:r>
        <w:rPr>
          <w:rFonts w:ascii="Arial" w:cs="Arial" w:eastAsia="Arial" w:hAnsi="Arial"/>
          <w:sz w:val="20"/>
          <w:szCs w:val="20"/>
          <w:u w:val="single" w:color="auto"/>
          <w:color w:val="000000"/>
        </w:rPr>
        <w:t>Defaulting Lender Cure.</w:t>
      </w:r>
      <w:r>
        <w:rPr>
          <w:rFonts w:ascii="Arial" w:cs="Arial" w:eastAsia="Arial" w:hAnsi="Arial"/>
          <w:sz w:val="20"/>
          <w:szCs w:val="20"/>
          <w:color w:val="0000FF"/>
        </w:rPr>
        <w:t xml:space="preserve"> </w:t>
      </w:r>
      <w:r>
        <w:rPr>
          <w:rFonts w:ascii="Arial" w:cs="Arial" w:eastAsia="Arial" w:hAnsi="Arial"/>
          <w:sz w:val="20"/>
          <w:szCs w:val="20"/>
          <w:color w:val="000000"/>
        </w:rPr>
        <w:t>If the Borrowers, the Administrative Agent, Swingline</w:t>
      </w:r>
      <w:r>
        <w:rPr>
          <w:rFonts w:ascii="Arial" w:cs="Arial" w:eastAsia="Arial" w:hAnsi="Arial"/>
          <w:sz w:val="20"/>
          <w:szCs w:val="20"/>
          <w:color w:val="0000FF"/>
        </w:rPr>
        <w:t xml:space="preserve"> </w:t>
      </w:r>
      <w:r>
        <w:rPr>
          <w:rFonts w:ascii="Arial" w:cs="Arial" w:eastAsia="Arial" w:hAnsi="Arial"/>
          <w:sz w:val="20"/>
          <w:szCs w:val="20"/>
          <w:color w:val="FF0000"/>
          <w:strike w:val="1"/>
        </w:rPr>
        <w:t>Lenders</w:t>
      </w:r>
      <w:r>
        <w:rPr>
          <w:rFonts w:ascii="Arial" w:cs="Arial" w:eastAsia="Arial" w:hAnsi="Arial"/>
          <w:sz w:val="20"/>
          <w:szCs w:val="20"/>
          <w:u w:val="single" w:color="auto"/>
          <w:color w:val="0000FF"/>
        </w:rPr>
        <w:t>Lender</w:t>
      </w:r>
      <w:r>
        <w:rPr>
          <w:rFonts w:ascii="Arial" w:cs="Arial" w:eastAsia="Arial" w:hAnsi="Arial"/>
          <w:sz w:val="20"/>
          <w:szCs w:val="20"/>
          <w:color w:val="0000FF"/>
        </w:rPr>
        <w:t xml:space="preserve"> </w:t>
      </w:r>
      <w:r>
        <w:rPr>
          <w:rFonts w:ascii="Arial" w:cs="Arial" w:eastAsia="Arial" w:hAnsi="Arial"/>
          <w:sz w:val="20"/>
          <w:szCs w:val="20"/>
          <w:color w:val="000000"/>
        </w:rPr>
        <w:t>and the L/C</w:t>
      </w:r>
      <w:r>
        <w:rPr>
          <w:rFonts w:ascii="Arial" w:cs="Arial" w:eastAsia="Arial" w:hAnsi="Arial"/>
          <w:sz w:val="20"/>
          <w:szCs w:val="20"/>
          <w:color w:val="0000FF"/>
        </w:rPr>
        <w:t xml:space="preserve"> </w:t>
      </w:r>
      <w:r>
        <w:rPr>
          <w:rFonts w:ascii="Arial" w:cs="Arial" w:eastAsia="Arial" w:hAnsi="Arial"/>
          <w:sz w:val="20"/>
          <w:szCs w:val="20"/>
          <w:color w:val="FF0000"/>
          <w:strike w:val="1"/>
        </w:rPr>
        <w:t>Issuers</w:t>
      </w:r>
      <w:r>
        <w:rPr>
          <w:rFonts w:ascii="Arial" w:cs="Arial" w:eastAsia="Arial" w:hAnsi="Arial"/>
          <w:sz w:val="20"/>
          <w:szCs w:val="20"/>
          <w:u w:val="single" w:color="auto"/>
          <w:color w:val="0000FF"/>
        </w:rPr>
        <w:t>Issuer</w:t>
      </w:r>
      <w:r>
        <w:rPr>
          <w:rFonts w:ascii="Arial" w:cs="Arial" w:eastAsia="Arial" w:hAnsi="Arial"/>
          <w:sz w:val="20"/>
          <w:szCs w:val="20"/>
          <w:color w:val="0000FF"/>
        </w:rPr>
        <w:t xml:space="preserve"> </w:t>
      </w:r>
      <w:r>
        <w:rPr>
          <w:rFonts w:ascii="Arial" w:cs="Arial" w:eastAsia="Arial" w:hAnsi="Arial"/>
          <w:sz w:val="20"/>
          <w:szCs w:val="20"/>
          <w:color w:val="000000"/>
        </w:rPr>
        <w:t>agree</w:t>
      </w:r>
      <w:r>
        <w:rPr>
          <w:rFonts w:ascii="Arial" w:cs="Arial" w:eastAsia="Arial" w:hAnsi="Arial"/>
          <w:sz w:val="20"/>
          <w:szCs w:val="20"/>
          <w:color w:val="0000FF"/>
        </w:rPr>
        <w:t xml:space="preserve"> </w:t>
      </w:r>
      <w:r>
        <w:rPr>
          <w:rFonts w:ascii="Arial" w:cs="Arial" w:eastAsia="Arial" w:hAnsi="Arial"/>
          <w:sz w:val="20"/>
          <w:szCs w:val="20"/>
          <w:color w:val="000000"/>
        </w:rPr>
        <w:t xml:space="preserve">in writing </w:t>
      </w:r>
      <w:r>
        <w:rPr>
          <w:rFonts w:ascii="Arial" w:cs="Arial" w:eastAsia="Arial" w:hAnsi="Arial"/>
          <w:sz w:val="20"/>
          <w:szCs w:val="20"/>
          <w:color w:val="FF0000"/>
          <w:strike w:val="1"/>
        </w:rPr>
        <w:t>in their sole discretion</w:t>
      </w:r>
      <w:r>
        <w:rPr>
          <w:rFonts w:ascii="Arial" w:cs="Arial" w:eastAsia="Arial" w:hAnsi="Arial"/>
          <w:sz w:val="20"/>
          <w:szCs w:val="20"/>
          <w:color w:val="000000"/>
        </w:rPr>
        <w:t xml:space="preserve"> that a </w:t>
      </w:r>
      <w:r>
        <w:rPr>
          <w:rFonts w:ascii="Arial" w:cs="Arial" w:eastAsia="Arial" w:hAnsi="Arial"/>
          <w:sz w:val="20"/>
          <w:szCs w:val="20"/>
          <w:color w:val="FF0000"/>
          <w:strike w:val="1"/>
        </w:rPr>
        <w:t>Defaulting</w:t>
      </w:r>
      <w:r>
        <w:rPr>
          <w:rFonts w:ascii="Arial" w:cs="Arial" w:eastAsia="Arial" w:hAnsi="Arial"/>
          <w:sz w:val="20"/>
          <w:szCs w:val="20"/>
          <w:color w:val="000000"/>
        </w:rPr>
        <w:t xml:space="preserve"> Lender </w:t>
      </w:r>
      <w:r>
        <w:rPr>
          <w:rFonts w:ascii="Arial" w:cs="Arial" w:eastAsia="Arial" w:hAnsi="Arial"/>
          <w:sz w:val="20"/>
          <w:szCs w:val="20"/>
          <w:color w:val="FF0000"/>
          <w:strike w:val="1"/>
        </w:rPr>
        <w:t>should</w:t>
      </w:r>
      <w:r>
        <w:rPr>
          <w:rFonts w:ascii="Arial" w:cs="Arial" w:eastAsia="Arial" w:hAnsi="Arial"/>
          <w:sz w:val="20"/>
          <w:szCs w:val="20"/>
          <w:u w:val="single" w:color="auto"/>
          <w:color w:val="0000FF"/>
        </w:rPr>
        <w:t>is</w:t>
      </w:r>
      <w:r>
        <w:rPr>
          <w:rFonts w:ascii="Arial" w:cs="Arial" w:eastAsia="Arial" w:hAnsi="Arial"/>
          <w:sz w:val="20"/>
          <w:szCs w:val="20"/>
          <w:color w:val="000000"/>
        </w:rPr>
        <w:t xml:space="preserve"> no longer </w:t>
      </w:r>
      <w:r>
        <w:rPr>
          <w:rFonts w:ascii="Arial" w:cs="Arial" w:eastAsia="Arial" w:hAnsi="Arial"/>
          <w:sz w:val="20"/>
          <w:szCs w:val="20"/>
          <w:color w:val="FF0000"/>
          <w:strike w:val="1"/>
        </w:rPr>
        <w:t>be deemed to be</w:t>
      </w:r>
      <w:r>
        <w:rPr>
          <w:rFonts w:ascii="Arial" w:cs="Arial" w:eastAsia="Arial" w:hAnsi="Arial"/>
          <w:sz w:val="20"/>
          <w:szCs w:val="20"/>
          <w:color w:val="000000"/>
        </w:rPr>
        <w:t xml:space="preserve"> a Defaulting Lender, the Administrative Agent will so notify the parties hereto, whereupon as of the effective date specified in such notice and subject to any conditions set forth therein (which may include arrangements with respect to any Cash Collateral), that Lender will, to the extent applicable, purchase </w:t>
      </w:r>
      <w:r>
        <w:rPr>
          <w:rFonts w:ascii="Arial" w:cs="Arial" w:eastAsia="Arial" w:hAnsi="Arial"/>
          <w:sz w:val="20"/>
          <w:szCs w:val="20"/>
          <w:u w:val="single" w:color="auto"/>
          <w:color w:val="0000FF"/>
        </w:rPr>
        <w:t>at par</w:t>
      </w:r>
      <w:r>
        <w:rPr>
          <w:rFonts w:ascii="Arial" w:cs="Arial" w:eastAsia="Arial" w:hAnsi="Arial"/>
          <w:sz w:val="20"/>
          <w:szCs w:val="20"/>
          <w:color w:val="000000"/>
        </w:rPr>
        <w:t xml:space="preserve"> that portion of outstanding Loans of the other Lenders or take such other actions as the Administrative Agent may determine to be necessary to cause the Loans and</w:t>
      </w:r>
    </w:p>
    <w:p>
      <w:pPr>
        <w:spacing w:after="0" w:line="224" w:lineRule="exact"/>
        <w:rPr>
          <w:sz w:val="20"/>
          <w:szCs w:val="20"/>
          <w:color w:val="auto"/>
        </w:rPr>
      </w:pPr>
    </w:p>
    <w:p>
      <w:pPr>
        <w:jc w:val="center"/>
        <w:ind w:right="-39"/>
        <w:spacing w:after="0"/>
        <w:rPr>
          <w:sz w:val="20"/>
          <w:szCs w:val="20"/>
          <w:color w:val="auto"/>
        </w:rPr>
      </w:pPr>
      <w:r>
        <w:rPr>
          <w:rFonts w:ascii="Arial" w:cs="Arial" w:eastAsia="Arial" w:hAnsi="Arial"/>
          <w:sz w:val="20"/>
          <w:szCs w:val="20"/>
          <w:color w:val="auto"/>
        </w:rPr>
        <w:t>115</w:t>
      </w:r>
    </w:p>
    <w:p>
      <w:pPr>
        <w:spacing w:after="0" w:line="10" w:lineRule="exact"/>
        <w:rPr>
          <w:sz w:val="20"/>
          <w:szCs w:val="20"/>
          <w:color w:val="auto"/>
        </w:rPr>
      </w:pPr>
    </w:p>
    <w:p>
      <w:pPr>
        <w:spacing w:after="0"/>
        <w:rPr>
          <w:sz w:val="20"/>
          <w:szCs w:val="20"/>
          <w:color w:val="auto"/>
        </w:rPr>
      </w:pPr>
      <w:r>
        <w:rPr>
          <w:rFonts w:ascii="Arial" w:cs="Arial" w:eastAsia="Arial" w:hAnsi="Arial"/>
          <w:sz w:val="14"/>
          <w:szCs w:val="14"/>
          <w:color w:val="auto"/>
        </w:rPr>
        <w:t>CHAR1\1346423v</w:t>
      </w:r>
      <w:r>
        <w:rPr>
          <w:rFonts w:ascii="Arial" w:cs="Arial" w:eastAsia="Arial" w:hAnsi="Arial"/>
          <w:sz w:val="14"/>
          <w:szCs w:val="14"/>
          <w:color w:val="FF0000"/>
          <w:strike w:val="1"/>
        </w:rPr>
        <w:t>1</w:t>
      </w:r>
      <w:r>
        <w:rPr>
          <w:rFonts w:ascii="Arial" w:cs="Arial" w:eastAsia="Arial" w:hAnsi="Arial"/>
          <w:sz w:val="14"/>
          <w:szCs w:val="14"/>
          <w:u w:val="single" w:color="auto"/>
          <w:color w:val="0000FF"/>
        </w:rPr>
        <w:t>12</w:t>
      </w:r>
    </w:p>
    <w:p>
      <w:pPr>
        <w:sectPr>
          <w:pgSz w:w="11900" w:h="16838" w:orient="portrait"/>
          <w:cols w:equalWidth="0" w:num="1">
            <w:col w:w="11400"/>
          </w:cols>
          <w:pgMar w:left="240" w:top="582" w:right="259" w:bottom="1440" w:gutter="0" w:footer="0" w:header="0"/>
        </w:sectPr>
      </w:pPr>
    </w:p>
    <w:bookmarkStart w:id="167" w:name="page168"/>
    <w:bookmarkEnd w:id="167"/>
    <w:p>
      <w:pPr>
        <w:spacing w:after="0" w:line="259" w:lineRule="auto"/>
        <w:rPr>
          <w:sz w:val="20"/>
          <w:szCs w:val="20"/>
          <w:color w:val="auto"/>
        </w:rPr>
      </w:pPr>
      <w:r>
        <w:rPr>
          <w:rFonts w:ascii="Arial" w:cs="Arial" w:eastAsia="Arial" w:hAnsi="Arial"/>
          <w:sz w:val="19"/>
          <w:szCs w:val="19"/>
          <w:color w:val="auto"/>
        </w:rPr>
        <w:t xml:space="preserve">funded and unfunded participations in Letters of Credit and Swingline Loans to be held on a pro rata basis by the Lenders in accordance with their Revolving Commitment Percentages (without giving effect to </w:t>
      </w:r>
      <w:r>
        <w:rPr>
          <w:rFonts w:ascii="Arial" w:cs="Arial" w:eastAsia="Arial" w:hAnsi="Arial"/>
          <w:sz w:val="19"/>
          <w:szCs w:val="19"/>
          <w:u w:val="single" w:color="auto"/>
          <w:color w:val="auto"/>
        </w:rPr>
        <w:t>Section</w:t>
      </w:r>
      <w:r>
        <w:rPr>
          <w:rFonts w:ascii="Arial" w:cs="Arial" w:eastAsia="Arial" w:hAnsi="Arial"/>
          <w:sz w:val="19"/>
          <w:szCs w:val="19"/>
          <w:color w:val="auto"/>
        </w:rPr>
        <w:t xml:space="preserve"> </w:t>
      </w:r>
      <w:r>
        <w:rPr>
          <w:rFonts w:ascii="Arial" w:cs="Arial" w:eastAsia="Arial" w:hAnsi="Arial"/>
          <w:sz w:val="19"/>
          <w:szCs w:val="19"/>
          <w:u w:val="single" w:color="auto"/>
          <w:color w:val="FF0000"/>
          <w:strike w:val="1"/>
        </w:rPr>
        <w:t>2.17</w:t>
      </w:r>
      <w:r>
        <w:rPr>
          <w:rFonts w:ascii="Arial" w:cs="Arial" w:eastAsia="Arial" w:hAnsi="Arial"/>
          <w:sz w:val="19"/>
          <w:szCs w:val="19"/>
          <w:u w:val="single" w:color="auto"/>
          <w:color w:val="0000FF"/>
        </w:rPr>
        <w:t>2.15</w:t>
      </w:r>
      <w:r>
        <w:rPr>
          <w:rFonts w:ascii="Arial" w:cs="Arial" w:eastAsia="Arial" w:hAnsi="Arial"/>
          <w:sz w:val="19"/>
          <w:szCs w:val="19"/>
          <w:u w:val="single" w:color="auto"/>
          <w:color w:val="auto"/>
        </w:rPr>
        <w:t>(a)(</w:t>
      </w:r>
      <w:r>
        <w:rPr>
          <w:rFonts w:ascii="Arial" w:cs="Arial" w:eastAsia="Arial" w:hAnsi="Arial"/>
          <w:sz w:val="19"/>
          <w:szCs w:val="19"/>
          <w:u w:val="single" w:color="auto"/>
          <w:color w:val="FF0000"/>
          <w:strike w:val="1"/>
        </w:rPr>
        <w:t>viii</w:t>
      </w:r>
      <w:r>
        <w:rPr>
          <w:rFonts w:ascii="Arial" w:cs="Arial" w:eastAsia="Arial" w:hAnsi="Arial"/>
          <w:sz w:val="19"/>
          <w:szCs w:val="19"/>
          <w:u w:val="single" w:color="auto"/>
          <w:color w:val="0000FF"/>
        </w:rPr>
        <w:t>iv</w:t>
      </w:r>
      <w:r>
        <w:rPr>
          <w:rFonts w:ascii="Arial" w:cs="Arial" w:eastAsia="Arial" w:hAnsi="Arial"/>
          <w:sz w:val="19"/>
          <w:szCs w:val="19"/>
          <w:u w:val="single" w:color="auto"/>
          <w:color w:val="auto"/>
        </w:rPr>
        <w:t>)</w:t>
      </w:r>
      <w:r>
        <w:rPr>
          <w:rFonts w:ascii="Arial" w:cs="Arial" w:eastAsia="Arial" w:hAnsi="Arial"/>
          <w:sz w:val="19"/>
          <w:szCs w:val="19"/>
          <w:color w:val="auto"/>
        </w:rPr>
        <w:t xml:space="preserve">), whereupon </w:t>
      </w:r>
      <w:r>
        <w:rPr>
          <w:rFonts w:ascii="Arial" w:cs="Arial" w:eastAsia="Arial" w:hAnsi="Arial"/>
          <w:sz w:val="19"/>
          <w:szCs w:val="19"/>
          <w:color w:val="FF0000"/>
          <w:strike w:val="1"/>
        </w:rPr>
        <w:t>that</w:t>
      </w:r>
      <w:r>
        <w:rPr>
          <w:rFonts w:ascii="Arial" w:cs="Arial" w:eastAsia="Arial" w:hAnsi="Arial"/>
          <w:sz w:val="19"/>
          <w:szCs w:val="19"/>
          <w:u w:val="single" w:color="auto"/>
          <w:color w:val="0000FF"/>
        </w:rPr>
        <w:t>such</w:t>
      </w:r>
      <w:r>
        <w:rPr>
          <w:rFonts w:ascii="Arial" w:cs="Arial" w:eastAsia="Arial" w:hAnsi="Arial"/>
          <w:sz w:val="19"/>
          <w:szCs w:val="19"/>
          <w:color w:val="auto"/>
        </w:rPr>
        <w:t xml:space="preserve"> Lender will cease to be a Defaulting Lender;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no adjustments will be made retroactively with respect to fees accrued or payments made by or on behalf of the Borrowers while that Lender was a Defaulting Lender; and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further</w:t>
      </w:r>
      <w:r>
        <w:rPr>
          <w:rFonts w:ascii="Arial" w:cs="Arial" w:eastAsia="Arial" w:hAnsi="Arial"/>
          <w:sz w:val="19"/>
          <w:szCs w:val="19"/>
          <w:color w:val="auto"/>
        </w:rPr>
        <w:t>, that except to the extent otherwise expressly agreed by the affected parties, no change hereunder from Defaulting Lender to Lender will constitute a waiver or release of any claim of any party hereunder arising from that Lender’s having been a Defaulting Lender.</w:t>
      </w:r>
    </w:p>
    <w:p>
      <w:pPr>
        <w:spacing w:after="0" w:line="200" w:lineRule="exact"/>
        <w:rPr>
          <w:sz w:val="20"/>
          <w:szCs w:val="20"/>
          <w:color w:val="auto"/>
        </w:rPr>
      </w:pPr>
    </w:p>
    <w:p>
      <w:pPr>
        <w:spacing w:after="0" w:line="270" w:lineRule="exact"/>
        <w:rPr>
          <w:sz w:val="20"/>
          <w:szCs w:val="20"/>
          <w:color w:val="auto"/>
        </w:rPr>
      </w:pPr>
    </w:p>
    <w:p>
      <w:pPr>
        <w:jc w:val="center"/>
        <w:ind w:right="120"/>
        <w:spacing w:after="0"/>
        <w:rPr>
          <w:sz w:val="20"/>
          <w:szCs w:val="20"/>
          <w:color w:val="auto"/>
        </w:rPr>
      </w:pPr>
      <w:r>
        <w:rPr>
          <w:rFonts w:ascii="Arial" w:cs="Arial" w:eastAsia="Arial" w:hAnsi="Arial"/>
          <w:sz w:val="20"/>
          <w:szCs w:val="20"/>
          <w:b w:val="1"/>
          <w:bCs w:val="1"/>
          <w:color w:val="auto"/>
        </w:rPr>
        <w:t>ARTICLE III</w:t>
      </w:r>
    </w:p>
    <w:p>
      <w:pPr>
        <w:spacing w:after="0" w:line="324" w:lineRule="exact"/>
        <w:rPr>
          <w:sz w:val="20"/>
          <w:szCs w:val="20"/>
          <w:color w:val="auto"/>
        </w:rPr>
      </w:pPr>
    </w:p>
    <w:p>
      <w:pPr>
        <w:jc w:val="center"/>
        <w:ind w:right="-99"/>
        <w:spacing w:after="0"/>
        <w:rPr>
          <w:sz w:val="20"/>
          <w:szCs w:val="20"/>
          <w:color w:val="auto"/>
        </w:rPr>
      </w:pPr>
      <w:r>
        <w:rPr>
          <w:rFonts w:ascii="Arial" w:cs="Arial" w:eastAsia="Arial" w:hAnsi="Arial"/>
          <w:sz w:val="20"/>
          <w:szCs w:val="20"/>
          <w:b w:val="1"/>
          <w:bCs w:val="1"/>
          <w:color w:val="auto"/>
        </w:rPr>
        <w:t>TAXES, YIELD PROTECTION AND ILLEGALITY</w:t>
      </w:r>
    </w:p>
    <w:p>
      <w:pPr>
        <w:spacing w:after="0" w:line="262" w:lineRule="exact"/>
        <w:rPr>
          <w:sz w:val="20"/>
          <w:szCs w:val="20"/>
          <w:color w:val="auto"/>
        </w:rPr>
      </w:pPr>
    </w:p>
    <w:p>
      <w:pPr>
        <w:ind w:left="660"/>
        <w:spacing w:after="0"/>
        <w:tabs>
          <w:tab w:leader="none" w:pos="1160" w:val="left"/>
        </w:tabs>
        <w:rPr>
          <w:sz w:val="20"/>
          <w:szCs w:val="20"/>
          <w:color w:val="auto"/>
        </w:rPr>
      </w:pPr>
      <w:r>
        <w:rPr>
          <w:rFonts w:ascii="Arial" w:cs="Arial" w:eastAsia="Arial" w:hAnsi="Arial"/>
          <w:sz w:val="20"/>
          <w:szCs w:val="20"/>
          <w:color w:val="auto"/>
        </w:rPr>
        <w:t>3.01</w:t>
      </w:r>
      <w:r>
        <w:rPr>
          <w:sz w:val="20"/>
          <w:szCs w:val="20"/>
          <w:color w:val="auto"/>
        </w:rPr>
        <w:tab/>
      </w:r>
      <w:r>
        <w:rPr>
          <w:rFonts w:ascii="Arial" w:cs="Arial" w:eastAsia="Arial" w:hAnsi="Arial"/>
          <w:sz w:val="16"/>
          <w:szCs w:val="16"/>
          <w:u w:val="single" w:color="auto"/>
          <w:color w:val="auto"/>
        </w:rPr>
        <w:t>Taxes</w:t>
      </w:r>
      <w:r>
        <w:rPr>
          <w:rFonts w:ascii="Arial" w:cs="Arial" w:eastAsia="Arial" w:hAnsi="Arial"/>
          <w:sz w:val="16"/>
          <w:szCs w:val="16"/>
          <w:color w:val="auto"/>
        </w:rPr>
        <w:t>.</w:t>
      </w:r>
    </w:p>
    <w:p>
      <w:pPr>
        <w:spacing w:after="0" w:line="270" w:lineRule="exact"/>
        <w:rPr>
          <w:sz w:val="20"/>
          <w:szCs w:val="20"/>
          <w:color w:val="auto"/>
        </w:rPr>
      </w:pPr>
    </w:p>
    <w:p>
      <w:pPr>
        <w:ind w:left="1700" w:hanging="395"/>
        <w:spacing w:after="0"/>
        <w:tabs>
          <w:tab w:leader="none" w:pos="1700" w:val="left"/>
        </w:tabs>
        <w:numPr>
          <w:ilvl w:val="0"/>
          <w:numId w:val="158"/>
        </w:numPr>
        <w:rPr>
          <w:rFonts w:ascii="Arial" w:cs="Arial" w:eastAsia="Arial" w:hAnsi="Arial"/>
          <w:sz w:val="20"/>
          <w:szCs w:val="20"/>
          <w:color w:val="auto"/>
        </w:rPr>
      </w:pPr>
      <w:r>
        <w:rPr>
          <w:rFonts w:ascii="Arial" w:cs="Arial" w:eastAsia="Arial" w:hAnsi="Arial"/>
          <w:sz w:val="20"/>
          <w:szCs w:val="20"/>
          <w:u w:val="single" w:color="auto"/>
          <w:color w:val="auto"/>
        </w:rPr>
        <w:t>Payments Free of Taxes; Obligation to Withhold; Payments on Account of Taxes.</w:t>
      </w:r>
    </w:p>
    <w:p>
      <w:pPr>
        <w:spacing w:after="0" w:line="242" w:lineRule="exact"/>
        <w:rPr>
          <w:rFonts w:ascii="Arial" w:cs="Arial" w:eastAsia="Arial" w:hAnsi="Arial"/>
          <w:sz w:val="20"/>
          <w:szCs w:val="20"/>
          <w:color w:val="auto"/>
        </w:rPr>
      </w:pPr>
    </w:p>
    <w:p>
      <w:pPr>
        <w:ind w:left="660" w:right="120" w:firstLine="1293"/>
        <w:spacing w:after="0" w:line="257" w:lineRule="auto"/>
        <w:tabs>
          <w:tab w:leader="none" w:pos="2193" w:val="left"/>
        </w:tabs>
        <w:numPr>
          <w:ilvl w:val="1"/>
          <w:numId w:val="158"/>
        </w:numPr>
        <w:rPr>
          <w:rFonts w:ascii="Arial" w:cs="Arial" w:eastAsia="Arial" w:hAnsi="Arial"/>
          <w:sz w:val="19"/>
          <w:szCs w:val="19"/>
          <w:color w:val="FF0000"/>
          <w:strike w:val="1"/>
        </w:rPr>
      </w:pPr>
      <w:r>
        <w:rPr>
          <w:rFonts w:ascii="Arial" w:cs="Arial" w:eastAsia="Arial" w:hAnsi="Arial"/>
          <w:sz w:val="19"/>
          <w:szCs w:val="19"/>
          <w:u w:val="single" w:color="auto"/>
          <w:color w:val="0000FF"/>
        </w:rPr>
        <w:t>(i)</w:t>
      </w:r>
      <w:r>
        <w:rPr>
          <w:rFonts w:ascii="Arial" w:cs="Arial" w:eastAsia="Arial" w:hAnsi="Arial"/>
          <w:sz w:val="19"/>
          <w:szCs w:val="19"/>
          <w:color w:val="0000FF"/>
        </w:rPr>
        <w:t xml:space="preserve"> </w:t>
      </w:r>
      <w:r>
        <w:rPr>
          <w:rFonts w:ascii="Arial" w:cs="Arial" w:eastAsia="Arial" w:hAnsi="Arial"/>
          <w:sz w:val="19"/>
          <w:szCs w:val="19"/>
          <w:color w:val="000000"/>
        </w:rPr>
        <w:t>Any and all payments by or on account of any obligation of</w:t>
      </w:r>
      <w:r>
        <w:rPr>
          <w:rFonts w:ascii="Arial" w:cs="Arial" w:eastAsia="Arial" w:hAnsi="Arial"/>
          <w:sz w:val="19"/>
          <w:szCs w:val="19"/>
          <w:color w:val="0000FF"/>
        </w:rPr>
        <w:t xml:space="preserve"> </w:t>
      </w:r>
      <w:r>
        <w:rPr>
          <w:rFonts w:ascii="Arial" w:cs="Arial" w:eastAsia="Arial" w:hAnsi="Arial"/>
          <w:sz w:val="19"/>
          <w:szCs w:val="19"/>
          <w:color w:val="FF0000"/>
          <w:strike w:val="1"/>
        </w:rPr>
        <w:t>the</w:t>
      </w:r>
      <w:r>
        <w:rPr>
          <w:rFonts w:ascii="Arial" w:cs="Arial" w:eastAsia="Arial" w:hAnsi="Arial"/>
          <w:sz w:val="19"/>
          <w:szCs w:val="19"/>
          <w:u w:val="single" w:color="auto"/>
          <w:color w:val="0000FF"/>
        </w:rPr>
        <w:t>any</w:t>
      </w:r>
      <w:r>
        <w:rPr>
          <w:rFonts w:ascii="Arial" w:cs="Arial" w:eastAsia="Arial" w:hAnsi="Arial"/>
          <w:sz w:val="19"/>
          <w:szCs w:val="19"/>
          <w:color w:val="0000FF"/>
        </w:rPr>
        <w:t xml:space="preserve"> </w:t>
      </w:r>
      <w:r>
        <w:rPr>
          <w:rFonts w:ascii="Arial" w:cs="Arial" w:eastAsia="Arial" w:hAnsi="Arial"/>
          <w:sz w:val="19"/>
          <w:szCs w:val="19"/>
          <w:color w:val="000000"/>
        </w:rPr>
        <w:t>Credit</w:t>
      </w:r>
      <w:r>
        <w:rPr>
          <w:rFonts w:ascii="Arial" w:cs="Arial" w:eastAsia="Arial" w:hAnsi="Arial"/>
          <w:sz w:val="19"/>
          <w:szCs w:val="19"/>
          <w:color w:val="0000FF"/>
        </w:rPr>
        <w:t xml:space="preserve"> </w:t>
      </w:r>
      <w:r>
        <w:rPr>
          <w:rFonts w:ascii="Arial" w:cs="Arial" w:eastAsia="Arial" w:hAnsi="Arial"/>
          <w:sz w:val="19"/>
          <w:szCs w:val="19"/>
          <w:color w:val="FF0000"/>
          <w:strike w:val="1"/>
        </w:rPr>
        <w:t>Parties hereunder or</w:t>
      </w:r>
      <w:r>
        <w:rPr>
          <w:rFonts w:ascii="Arial" w:cs="Arial" w:eastAsia="Arial" w:hAnsi="Arial"/>
          <w:sz w:val="19"/>
          <w:szCs w:val="19"/>
          <w:u w:val="single" w:color="auto"/>
          <w:color w:val="0000FF"/>
        </w:rPr>
        <w:t>Party</w:t>
      </w:r>
      <w:r>
        <w:rPr>
          <w:rFonts w:ascii="Arial" w:cs="Arial" w:eastAsia="Arial" w:hAnsi="Arial"/>
          <w:sz w:val="19"/>
          <w:szCs w:val="19"/>
          <w:color w:val="0000FF"/>
        </w:rPr>
        <w:t xml:space="preserve"> </w:t>
      </w:r>
      <w:r>
        <w:rPr>
          <w:rFonts w:ascii="Arial" w:cs="Arial" w:eastAsia="Arial" w:hAnsi="Arial"/>
          <w:sz w:val="19"/>
          <w:szCs w:val="19"/>
          <w:color w:val="000000"/>
        </w:rPr>
        <w:t>under any</w:t>
      </w:r>
      <w:r>
        <w:rPr>
          <w:rFonts w:ascii="Arial" w:cs="Arial" w:eastAsia="Arial" w:hAnsi="Arial"/>
          <w:sz w:val="19"/>
          <w:szCs w:val="19"/>
          <w:color w:val="0000FF"/>
        </w:rPr>
        <w:t xml:space="preserve"> </w:t>
      </w:r>
      <w:r>
        <w:rPr>
          <w:rFonts w:ascii="Arial" w:cs="Arial" w:eastAsia="Arial" w:hAnsi="Arial"/>
          <w:sz w:val="19"/>
          <w:szCs w:val="19"/>
          <w:color w:val="FF0000"/>
          <w:strike w:val="1"/>
        </w:rPr>
        <w:t>other</w:t>
      </w:r>
      <w:r>
        <w:rPr>
          <w:rFonts w:ascii="Arial" w:cs="Arial" w:eastAsia="Arial" w:hAnsi="Arial"/>
          <w:sz w:val="19"/>
          <w:szCs w:val="19"/>
          <w:color w:val="FF0000"/>
        </w:rPr>
        <w:t xml:space="preserve"> </w:t>
      </w:r>
      <w:r>
        <w:rPr>
          <w:rFonts w:ascii="Arial" w:cs="Arial" w:eastAsia="Arial" w:hAnsi="Arial"/>
          <w:sz w:val="19"/>
          <w:szCs w:val="19"/>
          <w:color w:val="000000"/>
        </w:rPr>
        <w:t>Credit Document shall</w:t>
      </w:r>
      <w:r>
        <w:rPr>
          <w:rFonts w:ascii="Arial" w:cs="Arial" w:eastAsia="Arial" w:hAnsi="Arial"/>
          <w:sz w:val="19"/>
          <w:szCs w:val="19"/>
          <w:color w:val="FF0000"/>
        </w:rPr>
        <w:t xml:space="preserve"> </w:t>
      </w:r>
      <w:r>
        <w:rPr>
          <w:rFonts w:ascii="Arial" w:cs="Arial" w:eastAsia="Arial" w:hAnsi="Arial"/>
          <w:sz w:val="19"/>
          <w:szCs w:val="19"/>
          <w:color w:val="FF0000"/>
          <w:strike w:val="1"/>
        </w:rPr>
        <w:t>to the extent permitted by applicable Laws</w:t>
      </w:r>
      <w:r>
        <w:rPr>
          <w:rFonts w:ascii="Arial" w:cs="Arial" w:eastAsia="Arial" w:hAnsi="Arial"/>
          <w:sz w:val="19"/>
          <w:szCs w:val="19"/>
          <w:color w:val="FF0000"/>
        </w:rPr>
        <w:t xml:space="preserve"> </w:t>
      </w:r>
      <w:r>
        <w:rPr>
          <w:rFonts w:ascii="Arial" w:cs="Arial" w:eastAsia="Arial" w:hAnsi="Arial"/>
          <w:sz w:val="19"/>
          <w:szCs w:val="19"/>
          <w:color w:val="000000"/>
        </w:rPr>
        <w:t>be made</w:t>
      </w:r>
      <w:r>
        <w:rPr>
          <w:rFonts w:ascii="Arial" w:cs="Arial" w:eastAsia="Arial" w:hAnsi="Arial"/>
          <w:sz w:val="19"/>
          <w:szCs w:val="19"/>
          <w:color w:val="FF0000"/>
        </w:rPr>
        <w:t xml:space="preserve"> </w:t>
      </w:r>
      <w:r>
        <w:rPr>
          <w:rFonts w:ascii="Arial" w:cs="Arial" w:eastAsia="Arial" w:hAnsi="Arial"/>
          <w:sz w:val="19"/>
          <w:szCs w:val="19"/>
          <w:color w:val="FF0000"/>
          <w:strike w:val="1"/>
        </w:rPr>
        <w:t>free and clear of and</w:t>
      </w:r>
      <w:r>
        <w:rPr>
          <w:rFonts w:ascii="Arial" w:cs="Arial" w:eastAsia="Arial" w:hAnsi="Arial"/>
          <w:sz w:val="19"/>
          <w:szCs w:val="19"/>
          <w:color w:val="FF0000"/>
        </w:rPr>
        <w:t xml:space="preserve"> </w:t>
      </w:r>
      <w:r>
        <w:rPr>
          <w:rFonts w:ascii="Arial" w:cs="Arial" w:eastAsia="Arial" w:hAnsi="Arial"/>
          <w:sz w:val="19"/>
          <w:szCs w:val="19"/>
          <w:color w:val="000000"/>
        </w:rPr>
        <w:t>without</w:t>
      </w:r>
      <w:r>
        <w:rPr>
          <w:rFonts w:ascii="Arial" w:cs="Arial" w:eastAsia="Arial" w:hAnsi="Arial"/>
          <w:sz w:val="19"/>
          <w:szCs w:val="19"/>
          <w:color w:val="FF0000"/>
        </w:rPr>
        <w:t xml:space="preserve"> </w:t>
      </w:r>
      <w:r>
        <w:rPr>
          <w:rFonts w:ascii="Arial" w:cs="Arial" w:eastAsia="Arial" w:hAnsi="Arial"/>
          <w:sz w:val="19"/>
          <w:szCs w:val="19"/>
          <w:color w:val="FF0000"/>
          <w:strike w:val="1"/>
        </w:rPr>
        <w:t>reduction</w:t>
      </w:r>
      <w:r>
        <w:rPr>
          <w:rFonts w:ascii="Arial" w:cs="Arial" w:eastAsia="Arial" w:hAnsi="Arial"/>
          <w:sz w:val="19"/>
          <w:szCs w:val="19"/>
          <w:u w:val="single" w:color="auto"/>
          <w:color w:val="0000FF"/>
        </w:rPr>
        <w:t>deduction</w:t>
      </w:r>
      <w:r>
        <w:rPr>
          <w:rFonts w:ascii="Arial" w:cs="Arial" w:eastAsia="Arial" w:hAnsi="Arial"/>
          <w:sz w:val="19"/>
          <w:szCs w:val="19"/>
          <w:color w:val="FF0000"/>
        </w:rPr>
        <w:t xml:space="preserve"> </w:t>
      </w:r>
      <w:r>
        <w:rPr>
          <w:rFonts w:ascii="Arial" w:cs="Arial" w:eastAsia="Arial" w:hAnsi="Arial"/>
          <w:sz w:val="19"/>
          <w:szCs w:val="19"/>
          <w:color w:val="000000"/>
        </w:rPr>
        <w:t>or</w:t>
      </w:r>
      <w:r>
        <w:rPr>
          <w:rFonts w:ascii="Arial" w:cs="Arial" w:eastAsia="Arial" w:hAnsi="Arial"/>
          <w:sz w:val="19"/>
          <w:szCs w:val="19"/>
          <w:color w:val="FF0000"/>
        </w:rPr>
        <w:t xml:space="preserve"> </w:t>
      </w:r>
      <w:r>
        <w:rPr>
          <w:rFonts w:ascii="Arial" w:cs="Arial" w:eastAsia="Arial" w:hAnsi="Arial"/>
          <w:sz w:val="19"/>
          <w:szCs w:val="19"/>
          <w:color w:val="000000"/>
        </w:rPr>
        <w:t>withholding for any Taxes</w:t>
      </w:r>
      <w:r>
        <w:rPr>
          <w:rFonts w:ascii="Arial" w:cs="Arial" w:eastAsia="Arial" w:hAnsi="Arial"/>
          <w:sz w:val="19"/>
          <w:szCs w:val="19"/>
          <w:u w:val="single" w:color="auto"/>
          <w:color w:val="0000FF"/>
        </w:rPr>
        <w:t>, except as required by applicable Laws</w:t>
      </w:r>
      <w:r>
        <w:rPr>
          <w:rFonts w:ascii="Arial" w:cs="Arial" w:eastAsia="Arial" w:hAnsi="Arial"/>
          <w:sz w:val="19"/>
          <w:szCs w:val="19"/>
          <w:color w:val="000000"/>
        </w:rPr>
        <w:t>. If</w:t>
      </w:r>
      <w:r>
        <w:rPr>
          <w:rFonts w:ascii="Arial" w:cs="Arial" w:eastAsia="Arial" w:hAnsi="Arial"/>
          <w:sz w:val="19"/>
          <w:szCs w:val="19"/>
          <w:color w:val="FF0000"/>
          <w:strike w:val="1"/>
        </w:rPr>
        <w:t>, however,</w:t>
      </w:r>
      <w:r>
        <w:rPr>
          <w:rFonts w:ascii="Arial" w:cs="Arial" w:eastAsia="Arial" w:hAnsi="Arial"/>
          <w:sz w:val="19"/>
          <w:szCs w:val="19"/>
          <w:color w:val="000000"/>
        </w:rPr>
        <w:t xml:space="preserve"> </w:t>
      </w:r>
      <w:r>
        <w:rPr>
          <w:rFonts w:ascii="Arial" w:cs="Arial" w:eastAsia="Arial" w:hAnsi="Arial"/>
          <w:sz w:val="19"/>
          <w:szCs w:val="19"/>
          <w:u w:val="single" w:color="auto"/>
          <w:color w:val="0000FF"/>
        </w:rPr>
        <w:t>any</w:t>
      </w:r>
      <w:r>
        <w:rPr>
          <w:rFonts w:ascii="Arial" w:cs="Arial" w:eastAsia="Arial" w:hAnsi="Arial"/>
          <w:sz w:val="19"/>
          <w:szCs w:val="19"/>
          <w:color w:val="000000"/>
        </w:rPr>
        <w:t xml:space="preserve"> applicable Laws </w:t>
      </w:r>
      <w:r>
        <w:rPr>
          <w:rFonts w:ascii="Arial" w:cs="Arial" w:eastAsia="Arial" w:hAnsi="Arial"/>
          <w:sz w:val="19"/>
          <w:szCs w:val="19"/>
          <w:color w:val="FF0000"/>
          <w:strike w:val="1"/>
        </w:rPr>
        <w:t>require any Credit Party or</w:t>
      </w:r>
      <w:r>
        <w:rPr>
          <w:rFonts w:ascii="Arial" w:cs="Arial" w:eastAsia="Arial" w:hAnsi="Arial"/>
          <w:sz w:val="19"/>
          <w:szCs w:val="19"/>
          <w:u w:val="single" w:color="auto"/>
          <w:color w:val="0000FF"/>
        </w:rPr>
        <w:t>(as</w:t>
      </w:r>
      <w:r>
        <w:rPr>
          <w:rFonts w:ascii="Arial" w:cs="Arial" w:eastAsia="Arial" w:hAnsi="Arial"/>
          <w:sz w:val="19"/>
          <w:szCs w:val="19"/>
          <w:color w:val="000000"/>
        </w:rPr>
        <w:t xml:space="preserve"> </w:t>
      </w:r>
      <w:r>
        <w:rPr>
          <w:rFonts w:ascii="Arial" w:cs="Arial" w:eastAsia="Arial" w:hAnsi="Arial"/>
          <w:sz w:val="19"/>
          <w:szCs w:val="19"/>
          <w:u w:val="single" w:color="auto"/>
          <w:color w:val="0000FF"/>
        </w:rPr>
        <w:t>determined in the good faith discretion of</w:t>
      </w:r>
      <w:r>
        <w:rPr>
          <w:rFonts w:ascii="Arial" w:cs="Arial" w:eastAsia="Arial" w:hAnsi="Arial"/>
          <w:sz w:val="19"/>
          <w:szCs w:val="19"/>
          <w:color w:val="0000FF"/>
        </w:rPr>
        <w:t xml:space="preserve"> </w:t>
      </w:r>
      <w:r>
        <w:rPr>
          <w:rFonts w:ascii="Arial" w:cs="Arial" w:eastAsia="Arial" w:hAnsi="Arial"/>
          <w:sz w:val="19"/>
          <w:szCs w:val="19"/>
          <w:color w:val="000000"/>
        </w:rPr>
        <w:t>the Administrative Agent</w:t>
      </w:r>
      <w:r>
        <w:rPr>
          <w:rFonts w:ascii="Arial" w:cs="Arial" w:eastAsia="Arial" w:hAnsi="Arial"/>
          <w:sz w:val="19"/>
          <w:szCs w:val="19"/>
          <w:color w:val="0000FF"/>
        </w:rPr>
        <w:t xml:space="preserve"> </w:t>
      </w:r>
      <w:r>
        <w:rPr>
          <w:rFonts w:ascii="Arial" w:cs="Arial" w:eastAsia="Arial" w:hAnsi="Arial"/>
          <w:sz w:val="19"/>
          <w:szCs w:val="19"/>
          <w:color w:val="FF0000"/>
          <w:strike w:val="1"/>
        </w:rPr>
        <w:t>to withhold or deduct any Tax, such Tax shall be withheld or</w:t>
      </w:r>
      <w:r>
        <w:rPr>
          <w:rFonts w:ascii="Arial" w:cs="Arial" w:eastAsia="Arial" w:hAnsi="Arial"/>
          <w:sz w:val="19"/>
          <w:szCs w:val="19"/>
          <w:color w:val="0000FF"/>
        </w:rPr>
        <w:t xml:space="preserve"> </w:t>
      </w:r>
      <w:r>
        <w:rPr>
          <w:rFonts w:ascii="Arial" w:cs="Arial" w:eastAsia="Arial" w:hAnsi="Arial"/>
          <w:sz w:val="19"/>
          <w:szCs w:val="19"/>
          <w:color w:val="FF0000"/>
          <w:strike w:val="1"/>
        </w:rPr>
        <w:t>deducted in accordance with such Laws as determined by such Credit Party or</w:t>
      </w:r>
      <w:r>
        <w:rPr>
          <w:rFonts w:ascii="Arial" w:cs="Arial" w:eastAsia="Arial" w:hAnsi="Arial"/>
          <w:sz w:val="19"/>
          <w:szCs w:val="19"/>
          <w:u w:val="single" w:color="auto"/>
          <w:color w:val="0000FF"/>
          <w:strike w:val="1"/>
        </w:rPr>
        <w:t>) require the deduction or withholding of any Tax from</w:t>
      </w:r>
      <w:r>
        <w:rPr>
          <w:rFonts w:ascii="Arial" w:cs="Arial" w:eastAsia="Arial" w:hAnsi="Arial"/>
          <w:sz w:val="19"/>
          <w:szCs w:val="19"/>
          <w:color w:val="FF0000"/>
          <w:strike w:val="1"/>
        </w:rPr>
        <w:t xml:space="preserve"> </w:t>
      </w:r>
      <w:r>
        <w:rPr>
          <w:rFonts w:ascii="Arial" w:cs="Arial" w:eastAsia="Arial" w:hAnsi="Arial"/>
          <w:sz w:val="19"/>
          <w:szCs w:val="19"/>
          <w:u w:val="single" w:color="auto"/>
          <w:color w:val="0000FF"/>
          <w:strike w:val="1"/>
        </w:rPr>
        <w:t>any such payment by</w:t>
      </w:r>
      <w:r>
        <w:rPr>
          <w:rFonts w:ascii="Arial" w:cs="Arial" w:eastAsia="Arial" w:hAnsi="Arial"/>
          <w:sz w:val="19"/>
          <w:szCs w:val="19"/>
          <w:color w:val="0000FF"/>
          <w:strike w:val="1"/>
        </w:rPr>
        <w:t xml:space="preserve"> </w:t>
      </w:r>
      <w:r>
        <w:rPr>
          <w:rFonts w:ascii="Arial" w:cs="Arial" w:eastAsia="Arial" w:hAnsi="Arial"/>
          <w:sz w:val="19"/>
          <w:szCs w:val="19"/>
          <w:color w:val="000000"/>
          <w:strike w:val="1"/>
        </w:rPr>
        <w:t>the Administrative Agent</w:t>
      </w:r>
      <w:r>
        <w:rPr>
          <w:rFonts w:ascii="Arial" w:cs="Arial" w:eastAsia="Arial" w:hAnsi="Arial"/>
          <w:sz w:val="19"/>
          <w:szCs w:val="19"/>
          <w:color w:val="FF0000"/>
          <w:strike w:val="1"/>
        </w:rPr>
        <w:t>, as the case may be</w:t>
      </w:r>
      <w:r>
        <w:rPr>
          <w:rFonts w:ascii="Arial" w:cs="Arial" w:eastAsia="Arial" w:hAnsi="Arial"/>
          <w:sz w:val="19"/>
          <w:szCs w:val="19"/>
          <w:color w:val="0000FF"/>
          <w:strike w:val="1"/>
        </w:rPr>
        <w:t xml:space="preserve"> </w:t>
      </w:r>
      <w:r>
        <w:rPr>
          <w:rFonts w:ascii="Arial" w:cs="Arial" w:eastAsia="Arial" w:hAnsi="Arial"/>
          <w:sz w:val="19"/>
          <w:szCs w:val="19"/>
          <w:u w:val="single" w:color="auto"/>
          <w:color w:val="0000FF"/>
          <w:strike w:val="1"/>
        </w:rPr>
        <w:t>or a Credit Party, then the Administrative Agent or such Credit</w:t>
      </w:r>
      <w:r>
        <w:rPr>
          <w:rFonts w:ascii="Arial" w:cs="Arial" w:eastAsia="Arial" w:hAnsi="Arial"/>
          <w:sz w:val="19"/>
          <w:szCs w:val="19"/>
          <w:color w:val="0000FF"/>
          <w:strike w:val="1"/>
        </w:rPr>
        <w:t xml:space="preserve"> </w:t>
      </w:r>
      <w:r>
        <w:rPr>
          <w:rFonts w:ascii="Arial" w:cs="Arial" w:eastAsia="Arial" w:hAnsi="Arial"/>
          <w:sz w:val="19"/>
          <w:szCs w:val="19"/>
          <w:u w:val="single" w:color="auto"/>
          <w:color w:val="0000FF"/>
          <w:strike w:val="1"/>
        </w:rPr>
        <w:t>Party shall be entitled to make such deduction or withholding</w:t>
      </w:r>
      <w:r>
        <w:rPr>
          <w:rFonts w:ascii="Arial" w:cs="Arial" w:eastAsia="Arial" w:hAnsi="Arial"/>
          <w:sz w:val="19"/>
          <w:szCs w:val="19"/>
          <w:color w:val="000000"/>
          <w:strike w:val="1"/>
        </w:rPr>
        <w:t>, upon the basis of the information and documentation to be delivered</w:t>
      </w:r>
      <w:r>
        <w:rPr>
          <w:rFonts w:ascii="Arial" w:cs="Arial" w:eastAsia="Arial" w:hAnsi="Arial"/>
          <w:sz w:val="19"/>
          <w:szCs w:val="19"/>
          <w:color w:val="0000FF"/>
          <w:strike w:val="1"/>
        </w:rPr>
        <w:t xml:space="preserve"> </w:t>
      </w:r>
      <w:r>
        <w:rPr>
          <w:rFonts w:ascii="Arial" w:cs="Arial" w:eastAsia="Arial" w:hAnsi="Arial"/>
          <w:sz w:val="19"/>
          <w:szCs w:val="19"/>
          <w:color w:val="000000"/>
          <w:strike w:val="1"/>
        </w:rPr>
        <w:t>pursuant to subsection (e) below.</w:t>
      </w:r>
    </w:p>
    <w:p>
      <w:pPr>
        <w:spacing w:after="0" w:line="194" w:lineRule="exact"/>
        <w:rPr>
          <w:rFonts w:ascii="Arial" w:cs="Arial" w:eastAsia="Arial" w:hAnsi="Arial"/>
          <w:sz w:val="19"/>
          <w:szCs w:val="19"/>
          <w:color w:val="FF0000"/>
          <w:strike w:val="1"/>
        </w:rPr>
      </w:pPr>
    </w:p>
    <w:p>
      <w:pPr>
        <w:ind w:left="660" w:right="20" w:firstLine="1293"/>
        <w:spacing w:after="0" w:line="271" w:lineRule="auto"/>
        <w:tabs>
          <w:tab w:leader="none" w:pos="2248" w:val="left"/>
        </w:tabs>
        <w:numPr>
          <w:ilvl w:val="1"/>
          <w:numId w:val="158"/>
        </w:numPr>
        <w:rPr>
          <w:rFonts w:ascii="Arial" w:cs="Arial" w:eastAsia="Arial" w:hAnsi="Arial"/>
          <w:sz w:val="18"/>
          <w:szCs w:val="18"/>
          <w:color w:val="FF0000"/>
          <w:strike w:val="1"/>
        </w:rPr>
      </w:pPr>
      <w:r>
        <w:rPr>
          <w:rFonts w:ascii="Arial" w:cs="Arial" w:eastAsia="Arial" w:hAnsi="Arial"/>
          <w:sz w:val="18"/>
          <w:szCs w:val="18"/>
          <w:u w:val="single" w:color="auto"/>
          <w:color w:val="0000FF"/>
        </w:rPr>
        <w:t>(ii)</w:t>
      </w:r>
      <w:r>
        <w:rPr>
          <w:rFonts w:ascii="Arial" w:cs="Arial" w:eastAsia="Arial" w:hAnsi="Arial"/>
          <w:sz w:val="18"/>
          <w:szCs w:val="18"/>
          <w:color w:val="0000FF"/>
        </w:rPr>
        <w:t xml:space="preserve"> </w:t>
      </w:r>
      <w:r>
        <w:rPr>
          <w:rFonts w:ascii="Arial" w:cs="Arial" w:eastAsia="Arial" w:hAnsi="Arial"/>
          <w:sz w:val="18"/>
          <w:szCs w:val="18"/>
          <w:color w:val="000000"/>
        </w:rPr>
        <w:t>If</w:t>
      </w:r>
      <w:r>
        <w:rPr>
          <w:rFonts w:ascii="Arial" w:cs="Arial" w:eastAsia="Arial" w:hAnsi="Arial"/>
          <w:sz w:val="18"/>
          <w:szCs w:val="18"/>
          <w:color w:val="0000FF"/>
        </w:rPr>
        <w:t xml:space="preserve"> </w:t>
      </w:r>
      <w:r>
        <w:rPr>
          <w:rFonts w:ascii="Arial" w:cs="Arial" w:eastAsia="Arial" w:hAnsi="Arial"/>
          <w:sz w:val="18"/>
          <w:szCs w:val="18"/>
          <w:color w:val="FF0000"/>
          <w:strike w:val="1"/>
        </w:rPr>
        <w:t>the</w:t>
      </w:r>
      <w:r>
        <w:rPr>
          <w:rFonts w:ascii="Arial" w:cs="Arial" w:eastAsia="Arial" w:hAnsi="Arial"/>
          <w:sz w:val="18"/>
          <w:szCs w:val="18"/>
          <w:u w:val="single" w:color="auto"/>
          <w:color w:val="0000FF"/>
        </w:rPr>
        <w:t>any</w:t>
      </w:r>
      <w:r>
        <w:rPr>
          <w:rFonts w:ascii="Arial" w:cs="Arial" w:eastAsia="Arial" w:hAnsi="Arial"/>
          <w:sz w:val="18"/>
          <w:szCs w:val="18"/>
          <w:color w:val="0000FF"/>
        </w:rPr>
        <w:t xml:space="preserve"> </w:t>
      </w:r>
      <w:r>
        <w:rPr>
          <w:rFonts w:ascii="Arial" w:cs="Arial" w:eastAsia="Arial" w:hAnsi="Arial"/>
          <w:sz w:val="18"/>
          <w:szCs w:val="18"/>
          <w:color w:val="000000"/>
        </w:rPr>
        <w:t>Credit</w:t>
      </w:r>
      <w:r>
        <w:rPr>
          <w:rFonts w:ascii="Arial" w:cs="Arial" w:eastAsia="Arial" w:hAnsi="Arial"/>
          <w:sz w:val="18"/>
          <w:szCs w:val="18"/>
          <w:color w:val="0000FF"/>
        </w:rPr>
        <w:t xml:space="preserve"> </w:t>
      </w:r>
      <w:r>
        <w:rPr>
          <w:rFonts w:ascii="Arial" w:cs="Arial" w:eastAsia="Arial" w:hAnsi="Arial"/>
          <w:sz w:val="18"/>
          <w:szCs w:val="18"/>
          <w:color w:val="FF0000"/>
          <w:strike w:val="1"/>
        </w:rPr>
        <w:t>Parties</w:t>
      </w:r>
      <w:r>
        <w:rPr>
          <w:rFonts w:ascii="Arial" w:cs="Arial" w:eastAsia="Arial" w:hAnsi="Arial"/>
          <w:sz w:val="18"/>
          <w:szCs w:val="18"/>
          <w:u w:val="single" w:color="auto"/>
          <w:color w:val="0000FF"/>
        </w:rPr>
        <w:t>Party</w:t>
      </w:r>
      <w:r>
        <w:rPr>
          <w:rFonts w:ascii="Arial" w:cs="Arial" w:eastAsia="Arial" w:hAnsi="Arial"/>
          <w:sz w:val="18"/>
          <w:szCs w:val="18"/>
          <w:color w:val="0000FF"/>
        </w:rPr>
        <w:t xml:space="preserve"> </w:t>
      </w:r>
      <w:r>
        <w:rPr>
          <w:rFonts w:ascii="Arial" w:cs="Arial" w:eastAsia="Arial" w:hAnsi="Arial"/>
          <w:sz w:val="18"/>
          <w:szCs w:val="18"/>
          <w:color w:val="000000"/>
        </w:rPr>
        <w:t>or the Administrative Agent shall be required by the Internal Revenue Code to</w:t>
      </w:r>
      <w:r>
        <w:rPr>
          <w:rFonts w:ascii="Arial" w:cs="Arial" w:eastAsia="Arial" w:hAnsi="Arial"/>
          <w:sz w:val="18"/>
          <w:szCs w:val="18"/>
          <w:color w:val="0000FF"/>
        </w:rPr>
        <w:t xml:space="preserve"> </w:t>
      </w:r>
      <w:r>
        <w:rPr>
          <w:rFonts w:ascii="Arial" w:cs="Arial" w:eastAsia="Arial" w:hAnsi="Arial"/>
          <w:sz w:val="18"/>
          <w:szCs w:val="18"/>
          <w:color w:val="000000"/>
        </w:rPr>
        <w:t xml:space="preserve">withhold or deduct any Taxes, including both United States </w:t>
      </w:r>
      <w:r>
        <w:rPr>
          <w:rFonts w:ascii="Arial" w:cs="Arial" w:eastAsia="Arial" w:hAnsi="Arial"/>
          <w:sz w:val="18"/>
          <w:szCs w:val="18"/>
          <w:color w:val="FF0000"/>
          <w:strike w:val="1"/>
        </w:rPr>
        <w:t>Federal</w:t>
      </w:r>
      <w:r>
        <w:rPr>
          <w:rFonts w:ascii="Arial" w:cs="Arial" w:eastAsia="Arial" w:hAnsi="Arial"/>
          <w:sz w:val="18"/>
          <w:szCs w:val="18"/>
          <w:u w:val="single" w:color="auto"/>
          <w:color w:val="0000FF"/>
        </w:rPr>
        <w:t>federal</w:t>
      </w:r>
      <w:r>
        <w:rPr>
          <w:rFonts w:ascii="Arial" w:cs="Arial" w:eastAsia="Arial" w:hAnsi="Arial"/>
          <w:sz w:val="18"/>
          <w:szCs w:val="18"/>
          <w:color w:val="000000"/>
        </w:rPr>
        <w:t xml:space="preserve"> backup withholding and withholding taxes, from any payment, then (A) the Administrative Agent shall withhold or make such deductions as are determined by the Administrative Agent to be required based upon the information and documentation it has received pursuant to subsection (e) below, (B) the Administrative Agent shall timely pay the full amount withheld or deducted to the relevant Governmental Authority in accordance with the Internal Revenue Code, and (C) to the extent that the withholding or deduction is made on account of Indemnified </w:t>
      </w:r>
      <w:r>
        <w:rPr>
          <w:rFonts w:ascii="Arial" w:cs="Arial" w:eastAsia="Arial" w:hAnsi="Arial"/>
          <w:sz w:val="18"/>
          <w:szCs w:val="18"/>
          <w:color w:val="FF0000"/>
          <w:strike w:val="1"/>
        </w:rPr>
        <w:t>Taxes or Other</w:t>
      </w:r>
      <w:r>
        <w:rPr>
          <w:rFonts w:ascii="Arial" w:cs="Arial" w:eastAsia="Arial" w:hAnsi="Arial"/>
          <w:sz w:val="18"/>
          <w:szCs w:val="18"/>
          <w:color w:val="000000"/>
        </w:rPr>
        <w:t xml:space="preserve"> Taxes, the sum payable by the </w:t>
      </w:r>
      <w:r>
        <w:rPr>
          <w:rFonts w:ascii="Arial" w:cs="Arial" w:eastAsia="Arial" w:hAnsi="Arial"/>
          <w:sz w:val="18"/>
          <w:szCs w:val="18"/>
          <w:u w:val="single" w:color="auto"/>
          <w:color w:val="0000FF"/>
        </w:rPr>
        <w:t>applicable</w:t>
      </w:r>
      <w:r>
        <w:rPr>
          <w:rFonts w:ascii="Arial" w:cs="Arial" w:eastAsia="Arial" w:hAnsi="Arial"/>
          <w:sz w:val="18"/>
          <w:szCs w:val="18"/>
          <w:color w:val="000000"/>
        </w:rPr>
        <w:t xml:space="preserve"> Credit </w:t>
      </w:r>
      <w:r>
        <w:rPr>
          <w:rFonts w:ascii="Arial" w:cs="Arial" w:eastAsia="Arial" w:hAnsi="Arial"/>
          <w:sz w:val="18"/>
          <w:szCs w:val="18"/>
          <w:color w:val="FF0000"/>
          <w:strike w:val="1"/>
        </w:rPr>
        <w:t>Parties</w:t>
      </w:r>
      <w:r>
        <w:rPr>
          <w:rFonts w:ascii="Arial" w:cs="Arial" w:eastAsia="Arial" w:hAnsi="Arial"/>
          <w:sz w:val="18"/>
          <w:szCs w:val="18"/>
          <w:u w:val="single" w:color="auto"/>
          <w:color w:val="0000FF"/>
        </w:rPr>
        <w:t>Party</w:t>
      </w:r>
      <w:r>
        <w:rPr>
          <w:rFonts w:ascii="Arial" w:cs="Arial" w:eastAsia="Arial" w:hAnsi="Arial"/>
          <w:sz w:val="18"/>
          <w:szCs w:val="18"/>
          <w:color w:val="000000"/>
        </w:rPr>
        <w:t xml:space="preserve"> shall be increased as necessary so that after any required withholding or the making of all required deductions (including deductions applicable to additional sums payable under this Section</w:t>
      </w:r>
      <w:r>
        <w:rPr>
          <w:rFonts w:ascii="Arial" w:cs="Arial" w:eastAsia="Arial" w:hAnsi="Arial"/>
          <w:sz w:val="18"/>
          <w:szCs w:val="18"/>
          <w:color w:val="FF0000"/>
          <w:strike w:val="1"/>
        </w:rPr>
        <w:t>) the Administrative Agent,</w:t>
      </w:r>
      <w:r>
        <w:rPr>
          <w:rFonts w:ascii="Arial" w:cs="Arial" w:eastAsia="Arial" w:hAnsi="Arial"/>
          <w:sz w:val="18"/>
          <w:szCs w:val="18"/>
          <w:color w:val="000000"/>
        </w:rPr>
        <w:t xml:space="preserve"> </w:t>
      </w:r>
      <w:r>
        <w:rPr>
          <w:rFonts w:ascii="Arial" w:cs="Arial" w:eastAsia="Arial" w:hAnsi="Arial"/>
          <w:sz w:val="18"/>
          <w:szCs w:val="18"/>
          <w:color w:val="FF0000"/>
          <w:strike w:val="1"/>
        </w:rPr>
        <w:t>any Lender or any L/C Issuer, as the case may be,</w:t>
      </w:r>
      <w:r>
        <w:rPr>
          <w:rFonts w:ascii="Arial" w:cs="Arial" w:eastAsia="Arial" w:hAnsi="Arial"/>
          <w:sz w:val="18"/>
          <w:szCs w:val="18"/>
          <w:color w:val="FF0000"/>
        </w:rPr>
        <w:t xml:space="preserve"> </w:t>
      </w:r>
      <w:r>
        <w:rPr>
          <w:rFonts w:ascii="Arial" w:cs="Arial" w:eastAsia="Arial" w:hAnsi="Arial"/>
          <w:sz w:val="18"/>
          <w:szCs w:val="18"/>
          <w:u w:val="single" w:color="auto"/>
          <w:color w:val="0000FF"/>
        </w:rPr>
        <w:t>3.01) the applicable Recipient</w:t>
      </w:r>
      <w:r>
        <w:rPr>
          <w:rFonts w:ascii="Arial" w:cs="Arial" w:eastAsia="Arial" w:hAnsi="Arial"/>
          <w:sz w:val="18"/>
          <w:szCs w:val="18"/>
          <w:color w:val="FF0000"/>
        </w:rPr>
        <w:t xml:space="preserve"> </w:t>
      </w:r>
      <w:r>
        <w:rPr>
          <w:rFonts w:ascii="Arial" w:cs="Arial" w:eastAsia="Arial" w:hAnsi="Arial"/>
          <w:sz w:val="18"/>
          <w:szCs w:val="18"/>
          <w:color w:val="000000"/>
        </w:rPr>
        <w:t>receives an amount equal to the sum it would have</w:t>
      </w:r>
      <w:r>
        <w:rPr>
          <w:rFonts w:ascii="Arial" w:cs="Arial" w:eastAsia="Arial" w:hAnsi="Arial"/>
          <w:sz w:val="18"/>
          <w:szCs w:val="18"/>
          <w:color w:val="FF0000"/>
        </w:rPr>
        <w:t xml:space="preserve"> </w:t>
      </w:r>
      <w:r>
        <w:rPr>
          <w:rFonts w:ascii="Arial" w:cs="Arial" w:eastAsia="Arial" w:hAnsi="Arial"/>
          <w:sz w:val="18"/>
          <w:szCs w:val="18"/>
          <w:color w:val="000000"/>
        </w:rPr>
        <w:t>received had no such withholding or deduction been made.</w:t>
      </w:r>
    </w:p>
    <w:p>
      <w:pPr>
        <w:spacing w:after="0" w:line="188" w:lineRule="exact"/>
        <w:rPr>
          <w:rFonts w:ascii="Arial" w:cs="Arial" w:eastAsia="Arial" w:hAnsi="Arial"/>
          <w:sz w:val="18"/>
          <w:szCs w:val="18"/>
          <w:color w:val="FF0000"/>
          <w:strike w:val="1"/>
        </w:rPr>
      </w:pPr>
    </w:p>
    <w:p>
      <w:pPr>
        <w:ind w:left="660" w:right="20" w:firstLine="1293"/>
        <w:spacing w:after="0" w:line="250" w:lineRule="auto"/>
        <w:tabs>
          <w:tab w:leader="none" w:pos="2303" w:val="left"/>
        </w:tabs>
        <w:numPr>
          <w:ilvl w:val="1"/>
          <w:numId w:val="158"/>
        </w:numPr>
        <w:rPr>
          <w:rFonts w:ascii="Arial" w:cs="Arial" w:eastAsia="Arial" w:hAnsi="Arial"/>
          <w:sz w:val="20"/>
          <w:szCs w:val="20"/>
          <w:color w:val="FF0000"/>
          <w:strike w:val="1"/>
        </w:rPr>
      </w:pPr>
      <w:r>
        <w:rPr>
          <w:rFonts w:ascii="Arial" w:cs="Arial" w:eastAsia="Arial" w:hAnsi="Arial"/>
          <w:sz w:val="20"/>
          <w:szCs w:val="20"/>
          <w:u w:val="single" w:color="auto"/>
          <w:color w:val="0000FF"/>
        </w:rPr>
        <w:t>(iii)</w:t>
      </w:r>
      <w:r>
        <w:rPr>
          <w:rFonts w:ascii="Arial" w:cs="Arial" w:eastAsia="Arial" w:hAnsi="Arial"/>
          <w:sz w:val="20"/>
          <w:szCs w:val="20"/>
          <w:color w:val="0000FF"/>
        </w:rPr>
        <w:t xml:space="preserve"> </w:t>
      </w:r>
      <w:r>
        <w:rPr>
          <w:rFonts w:ascii="Arial" w:cs="Arial" w:eastAsia="Arial" w:hAnsi="Arial"/>
          <w:sz w:val="20"/>
          <w:szCs w:val="20"/>
          <w:color w:val="000000"/>
        </w:rPr>
        <w:t>If any Credit Party or the Administrative Agent shall be required by any applicable Laws other than the</w:t>
      </w:r>
      <w:r>
        <w:rPr>
          <w:rFonts w:ascii="Arial" w:cs="Arial" w:eastAsia="Arial" w:hAnsi="Arial"/>
          <w:sz w:val="20"/>
          <w:szCs w:val="20"/>
          <w:color w:val="0000FF"/>
        </w:rPr>
        <w:t xml:space="preserve"> </w:t>
      </w:r>
      <w:r>
        <w:rPr>
          <w:rFonts w:ascii="Arial" w:cs="Arial" w:eastAsia="Arial" w:hAnsi="Arial"/>
          <w:sz w:val="20"/>
          <w:szCs w:val="20"/>
          <w:color w:val="000000"/>
        </w:rPr>
        <w:t>Internal Revenue Code to withhold or deduct any Taxes from any payment, then (A) such Credit Party or the Administrative Agent, as required by such Laws, shall</w:t>
      </w:r>
    </w:p>
    <w:p>
      <w:pPr>
        <w:spacing w:after="0" w:line="213" w:lineRule="exact"/>
        <w:rPr>
          <w:sz w:val="20"/>
          <w:szCs w:val="20"/>
          <w:color w:val="auto"/>
        </w:rPr>
      </w:pPr>
    </w:p>
    <w:p>
      <w:pPr>
        <w:jc w:val="center"/>
        <w:ind w:right="-99"/>
        <w:spacing w:after="0"/>
        <w:rPr>
          <w:sz w:val="20"/>
          <w:szCs w:val="20"/>
          <w:color w:val="auto"/>
        </w:rPr>
      </w:pPr>
      <w:r>
        <w:rPr>
          <w:rFonts w:ascii="Arial" w:cs="Arial" w:eastAsia="Arial" w:hAnsi="Arial"/>
          <w:sz w:val="20"/>
          <w:szCs w:val="20"/>
          <w:color w:val="auto"/>
        </w:rPr>
        <w:t>116</w:t>
      </w:r>
    </w:p>
    <w:p>
      <w:pPr>
        <w:spacing w:after="0" w:line="10" w:lineRule="exact"/>
        <w:rPr>
          <w:sz w:val="20"/>
          <w:szCs w:val="20"/>
          <w:color w:val="auto"/>
        </w:rPr>
      </w:pPr>
    </w:p>
    <w:p>
      <w:pPr>
        <w:spacing w:after="0"/>
        <w:rPr>
          <w:sz w:val="20"/>
          <w:szCs w:val="20"/>
          <w:color w:val="auto"/>
        </w:rPr>
      </w:pPr>
      <w:r>
        <w:rPr>
          <w:rFonts w:ascii="Arial" w:cs="Arial" w:eastAsia="Arial" w:hAnsi="Arial"/>
          <w:sz w:val="14"/>
          <w:szCs w:val="14"/>
          <w:color w:val="auto"/>
        </w:rPr>
        <w:t>CHAR1\1346423v</w:t>
      </w:r>
      <w:r>
        <w:rPr>
          <w:rFonts w:ascii="Arial" w:cs="Arial" w:eastAsia="Arial" w:hAnsi="Arial"/>
          <w:sz w:val="14"/>
          <w:szCs w:val="14"/>
          <w:color w:val="FF0000"/>
          <w:strike w:val="1"/>
        </w:rPr>
        <w:t>1</w:t>
      </w:r>
      <w:r>
        <w:rPr>
          <w:rFonts w:ascii="Arial" w:cs="Arial" w:eastAsia="Arial" w:hAnsi="Arial"/>
          <w:sz w:val="14"/>
          <w:szCs w:val="14"/>
          <w:u w:val="single" w:color="auto"/>
          <w:color w:val="0000FF"/>
        </w:rPr>
        <w:t>12</w:t>
      </w:r>
    </w:p>
    <w:p>
      <w:pPr>
        <w:sectPr>
          <w:pgSz w:w="11900" w:h="16838" w:orient="portrait"/>
          <w:cols w:equalWidth="0" w:num="1">
            <w:col w:w="11320"/>
          </w:cols>
          <w:pgMar w:left="240" w:top="582" w:right="339" w:bottom="1440" w:gutter="0" w:footer="0" w:header="0"/>
        </w:sectPr>
      </w:pPr>
    </w:p>
    <w:bookmarkStart w:id="168" w:name="page169"/>
    <w:bookmarkEnd w:id="168"/>
    <w:p>
      <w:pPr>
        <w:ind w:left="660" w:right="60"/>
        <w:spacing w:after="0" w:line="242" w:lineRule="auto"/>
        <w:rPr>
          <w:sz w:val="20"/>
          <w:szCs w:val="20"/>
          <w:color w:val="auto"/>
        </w:rPr>
      </w:pPr>
      <w:r>
        <w:rPr>
          <w:rFonts w:ascii="Arial" w:cs="Arial" w:eastAsia="Arial" w:hAnsi="Arial"/>
          <w:sz w:val="20"/>
          <w:szCs w:val="20"/>
          <w:color w:val="auto"/>
        </w:rPr>
        <w:t xml:space="preserve">withhold or make such deductions as are determined by it to be required based upon the information and documentation it has received pursuant to subsection (e) below, (B) such Credit Party or the Administrative Agent, to the extent required by such Laws, shall timely pay the full amount </w:t>
      </w:r>
      <w:r>
        <w:rPr>
          <w:rFonts w:ascii="Arial" w:cs="Arial" w:eastAsia="Arial" w:hAnsi="Arial"/>
          <w:sz w:val="20"/>
          <w:szCs w:val="20"/>
          <w:color w:val="FF0000"/>
          <w:strike w:val="1"/>
        </w:rPr>
        <w:t>so</w:t>
      </w:r>
      <w:r>
        <w:rPr>
          <w:rFonts w:ascii="Arial" w:cs="Arial" w:eastAsia="Arial" w:hAnsi="Arial"/>
          <w:sz w:val="20"/>
          <w:szCs w:val="20"/>
          <w:color w:val="auto"/>
        </w:rPr>
        <w:t xml:space="preserve"> withheld or deducted </w:t>
      </w:r>
      <w:r>
        <w:rPr>
          <w:rFonts w:ascii="Arial" w:cs="Arial" w:eastAsia="Arial" w:hAnsi="Arial"/>
          <w:sz w:val="20"/>
          <w:szCs w:val="20"/>
          <w:color w:val="FF0000"/>
          <w:strike w:val="1"/>
        </w:rPr>
        <w:t>by it</w:t>
      </w:r>
      <w:r>
        <w:rPr>
          <w:rFonts w:ascii="Arial" w:cs="Arial" w:eastAsia="Arial" w:hAnsi="Arial"/>
          <w:sz w:val="20"/>
          <w:szCs w:val="20"/>
          <w:color w:val="auto"/>
        </w:rPr>
        <w:t xml:space="preserve"> to the relevant Governmental Authority in accordance with such Laws, and (C) to the extent that the withholding or deduction is made on account of Indemnified Taxes </w:t>
      </w:r>
      <w:r>
        <w:rPr>
          <w:rFonts w:ascii="Arial" w:cs="Arial" w:eastAsia="Arial" w:hAnsi="Arial"/>
          <w:sz w:val="20"/>
          <w:szCs w:val="20"/>
          <w:color w:val="FF0000"/>
          <w:strike w:val="1"/>
        </w:rPr>
        <w:t>or Other Taxes</w:t>
      </w:r>
      <w:r>
        <w:rPr>
          <w:rFonts w:ascii="Arial" w:cs="Arial" w:eastAsia="Arial" w:hAnsi="Arial"/>
          <w:sz w:val="20"/>
          <w:szCs w:val="20"/>
          <w:color w:val="auto"/>
        </w:rPr>
        <w:t xml:space="preserve">, the sum payable by </w:t>
      </w:r>
      <w:r>
        <w:rPr>
          <w:rFonts w:ascii="Arial" w:cs="Arial" w:eastAsia="Arial" w:hAnsi="Arial"/>
          <w:sz w:val="20"/>
          <w:szCs w:val="20"/>
          <w:color w:val="FF0000"/>
          <w:strike w:val="1"/>
        </w:rPr>
        <w:t>such</w:t>
      </w:r>
      <w:r>
        <w:rPr>
          <w:rFonts w:ascii="Arial" w:cs="Arial" w:eastAsia="Arial" w:hAnsi="Arial"/>
          <w:sz w:val="20"/>
          <w:szCs w:val="20"/>
          <w:u w:val="single" w:color="auto"/>
          <w:color w:val="0000FF"/>
        </w:rPr>
        <w:t>the</w:t>
      </w:r>
      <w:r>
        <w:rPr>
          <w:rFonts w:ascii="Arial" w:cs="Arial" w:eastAsia="Arial" w:hAnsi="Arial"/>
          <w:sz w:val="20"/>
          <w:szCs w:val="20"/>
          <w:color w:val="auto"/>
        </w:rPr>
        <w:t xml:space="preserve"> </w:t>
      </w:r>
      <w:r>
        <w:rPr>
          <w:rFonts w:ascii="Arial" w:cs="Arial" w:eastAsia="Arial" w:hAnsi="Arial"/>
          <w:sz w:val="20"/>
          <w:szCs w:val="20"/>
          <w:u w:val="single" w:color="auto"/>
          <w:color w:val="0000FF"/>
        </w:rPr>
        <w:t>applicable</w:t>
      </w:r>
      <w:r>
        <w:rPr>
          <w:rFonts w:ascii="Arial" w:cs="Arial" w:eastAsia="Arial" w:hAnsi="Arial"/>
          <w:sz w:val="20"/>
          <w:szCs w:val="20"/>
          <w:color w:val="0000FF"/>
        </w:rPr>
        <w:t xml:space="preserve"> </w:t>
      </w:r>
      <w:r>
        <w:rPr>
          <w:rFonts w:ascii="Arial" w:cs="Arial" w:eastAsia="Arial" w:hAnsi="Arial"/>
          <w:sz w:val="20"/>
          <w:szCs w:val="20"/>
          <w:color w:val="000000"/>
        </w:rPr>
        <w:t>Credit Party shall be increased as necessary so that after any required withholding or the making of all required deductions</w:t>
      </w:r>
      <w:r>
        <w:rPr>
          <w:rFonts w:ascii="Arial" w:cs="Arial" w:eastAsia="Arial" w:hAnsi="Arial"/>
          <w:sz w:val="20"/>
          <w:szCs w:val="20"/>
          <w:color w:val="0000FF"/>
        </w:rPr>
        <w:t xml:space="preserve"> </w:t>
      </w:r>
      <w:r>
        <w:rPr>
          <w:rFonts w:ascii="Arial" w:cs="Arial" w:eastAsia="Arial" w:hAnsi="Arial"/>
          <w:sz w:val="20"/>
          <w:szCs w:val="20"/>
          <w:color w:val="000000"/>
        </w:rPr>
        <w:t>(including deductions applicable to additional sums payable under this Section</w:t>
      </w:r>
      <w:r>
        <w:rPr>
          <w:rFonts w:ascii="Arial" w:cs="Arial" w:eastAsia="Arial" w:hAnsi="Arial"/>
          <w:sz w:val="20"/>
          <w:szCs w:val="20"/>
          <w:color w:val="FF0000"/>
          <w:strike w:val="1"/>
        </w:rPr>
        <w:t>) the Administrative Agent, Lender or L/C Issuer, as the</w:t>
      </w:r>
      <w:r>
        <w:rPr>
          <w:rFonts w:ascii="Arial" w:cs="Arial" w:eastAsia="Arial" w:hAnsi="Arial"/>
          <w:sz w:val="20"/>
          <w:szCs w:val="20"/>
          <w:color w:val="000000"/>
        </w:rPr>
        <w:t xml:space="preserve"> </w:t>
      </w:r>
      <w:r>
        <w:rPr>
          <w:rFonts w:ascii="Arial" w:cs="Arial" w:eastAsia="Arial" w:hAnsi="Arial"/>
          <w:sz w:val="20"/>
          <w:szCs w:val="20"/>
          <w:color w:val="FF0000"/>
          <w:strike w:val="1"/>
        </w:rPr>
        <w:t>case may be,</w:t>
      </w:r>
      <w:r>
        <w:rPr>
          <w:rFonts w:ascii="Arial" w:cs="Arial" w:eastAsia="Arial" w:hAnsi="Arial"/>
          <w:sz w:val="20"/>
          <w:szCs w:val="20"/>
          <w:color w:val="FF0000"/>
        </w:rPr>
        <w:t xml:space="preserve"> </w:t>
      </w:r>
      <w:r>
        <w:rPr>
          <w:rFonts w:ascii="Arial" w:cs="Arial" w:eastAsia="Arial" w:hAnsi="Arial"/>
          <w:sz w:val="20"/>
          <w:szCs w:val="20"/>
          <w:u w:val="single" w:color="auto"/>
          <w:color w:val="0000FF"/>
        </w:rPr>
        <w:t>3.01) the applicable Recipient</w:t>
      </w:r>
      <w:r>
        <w:rPr>
          <w:rFonts w:ascii="Arial" w:cs="Arial" w:eastAsia="Arial" w:hAnsi="Arial"/>
          <w:sz w:val="20"/>
          <w:szCs w:val="20"/>
          <w:color w:val="FF0000"/>
        </w:rPr>
        <w:t xml:space="preserve"> </w:t>
      </w:r>
      <w:r>
        <w:rPr>
          <w:rFonts w:ascii="Arial" w:cs="Arial" w:eastAsia="Arial" w:hAnsi="Arial"/>
          <w:sz w:val="20"/>
          <w:szCs w:val="20"/>
          <w:color w:val="000000"/>
        </w:rPr>
        <w:t>receives an amount equal to the sum it would have received had no such withholding or</w:t>
      </w:r>
      <w:r>
        <w:rPr>
          <w:rFonts w:ascii="Arial" w:cs="Arial" w:eastAsia="Arial" w:hAnsi="Arial"/>
          <w:sz w:val="20"/>
          <w:szCs w:val="20"/>
          <w:color w:val="FF0000"/>
        </w:rPr>
        <w:t xml:space="preserve"> </w:t>
      </w:r>
      <w:r>
        <w:rPr>
          <w:rFonts w:ascii="Arial" w:cs="Arial" w:eastAsia="Arial" w:hAnsi="Arial"/>
          <w:sz w:val="20"/>
          <w:szCs w:val="20"/>
          <w:color w:val="000000"/>
        </w:rPr>
        <w:t>deduction been made.</w:t>
      </w:r>
    </w:p>
    <w:p>
      <w:pPr>
        <w:spacing w:after="0" w:line="211" w:lineRule="exact"/>
        <w:rPr>
          <w:sz w:val="20"/>
          <w:szCs w:val="20"/>
          <w:color w:val="auto"/>
        </w:rPr>
      </w:pPr>
    </w:p>
    <w:p>
      <w:pPr>
        <w:ind w:left="660" w:right="180" w:firstLine="1293"/>
        <w:spacing w:after="0" w:line="246" w:lineRule="auto"/>
        <w:tabs>
          <w:tab w:leader="none" w:pos="2292" w:val="left"/>
        </w:tabs>
        <w:numPr>
          <w:ilvl w:val="0"/>
          <w:numId w:val="159"/>
        </w:numPr>
        <w:rPr>
          <w:rFonts w:ascii="Arial" w:cs="Arial" w:eastAsia="Arial" w:hAnsi="Arial"/>
          <w:sz w:val="20"/>
          <w:szCs w:val="20"/>
          <w:u w:val="single" w:color="auto"/>
          <w:color w:val="0000FF"/>
        </w:rPr>
      </w:pPr>
      <w:r>
        <w:rPr>
          <w:rFonts w:ascii="Arial" w:cs="Arial" w:eastAsia="Arial" w:hAnsi="Arial"/>
          <w:sz w:val="20"/>
          <w:szCs w:val="20"/>
          <w:color w:val="auto"/>
        </w:rPr>
        <w:t xml:space="preserve">Notwithstanding the foregoing, the Foreign Borrowers and the India Borrower are not required to make an increased payment to the Administrative Agent, a Lender or an L/C Issuer under this </w:t>
      </w:r>
      <w:r>
        <w:rPr>
          <w:rFonts w:ascii="Arial" w:cs="Arial" w:eastAsia="Arial" w:hAnsi="Arial"/>
          <w:sz w:val="20"/>
          <w:szCs w:val="20"/>
          <w:u w:val="single" w:color="auto"/>
          <w:color w:val="auto"/>
        </w:rPr>
        <w:t>Section 3.01(a)</w:t>
      </w:r>
      <w:r>
        <w:rPr>
          <w:rFonts w:ascii="Arial" w:cs="Arial" w:eastAsia="Arial" w:hAnsi="Arial"/>
          <w:sz w:val="20"/>
          <w:szCs w:val="20"/>
          <w:color w:val="auto"/>
        </w:rPr>
        <w:t xml:space="preserve"> for a </w:t>
      </w:r>
      <w:r>
        <w:rPr>
          <w:rFonts w:ascii="Arial" w:cs="Arial" w:eastAsia="Arial" w:hAnsi="Arial"/>
          <w:sz w:val="20"/>
          <w:szCs w:val="20"/>
          <w:color w:val="FF0000"/>
          <w:strike w:val="1"/>
        </w:rPr>
        <w:t>Tax Deduction</w:t>
      </w:r>
      <w:r>
        <w:rPr>
          <w:rFonts w:ascii="Arial" w:cs="Arial" w:eastAsia="Arial" w:hAnsi="Arial"/>
          <w:sz w:val="20"/>
          <w:szCs w:val="20"/>
          <w:u w:val="single" w:color="auto"/>
          <w:color w:val="0000FF"/>
        </w:rPr>
        <w:t>deduction</w:t>
      </w:r>
      <w:r>
        <w:rPr>
          <w:rFonts w:ascii="Arial" w:cs="Arial" w:eastAsia="Arial" w:hAnsi="Arial"/>
          <w:sz w:val="20"/>
          <w:szCs w:val="20"/>
          <w:color w:val="auto"/>
        </w:rPr>
        <w:t xml:space="preserve"> in respect of a </w:t>
      </w:r>
      <w:r>
        <w:rPr>
          <w:rFonts w:ascii="Arial" w:cs="Arial" w:eastAsia="Arial" w:hAnsi="Arial"/>
          <w:sz w:val="20"/>
          <w:szCs w:val="20"/>
          <w:color w:val="FF0000"/>
          <w:strike w:val="1"/>
        </w:rPr>
        <w:t>tax</w:t>
      </w:r>
      <w:r>
        <w:rPr>
          <w:rFonts w:ascii="Arial" w:cs="Arial" w:eastAsia="Arial" w:hAnsi="Arial"/>
          <w:sz w:val="20"/>
          <w:szCs w:val="20"/>
          <w:u w:val="single" w:color="auto"/>
          <w:color w:val="0000FF"/>
        </w:rPr>
        <w:t>Tax</w:t>
      </w:r>
      <w:r>
        <w:rPr>
          <w:rFonts w:ascii="Arial" w:cs="Arial" w:eastAsia="Arial" w:hAnsi="Arial"/>
          <w:sz w:val="20"/>
          <w:szCs w:val="20"/>
          <w:color w:val="auto"/>
        </w:rPr>
        <w:t xml:space="preserve"> imposed by the United Kingdom from a payment of interest on a Loan, if on the date on which the payment falls due:</w:t>
      </w:r>
    </w:p>
    <w:p>
      <w:pPr>
        <w:spacing w:after="0" w:line="205" w:lineRule="exact"/>
        <w:rPr>
          <w:sz w:val="20"/>
          <w:szCs w:val="20"/>
          <w:color w:val="auto"/>
        </w:rPr>
      </w:pPr>
    </w:p>
    <w:p>
      <w:pPr>
        <w:ind w:left="1300" w:right="100" w:firstLine="653"/>
        <w:spacing w:after="0" w:line="243" w:lineRule="auto"/>
        <w:tabs>
          <w:tab w:leader="none" w:pos="2228" w:val="left"/>
        </w:tabs>
        <w:numPr>
          <w:ilvl w:val="0"/>
          <w:numId w:val="160"/>
        </w:numPr>
        <w:rPr>
          <w:rFonts w:ascii="Arial" w:cs="Arial" w:eastAsia="Arial" w:hAnsi="Arial"/>
          <w:sz w:val="20"/>
          <w:szCs w:val="20"/>
          <w:color w:val="FF0000"/>
          <w:strike w:val="1"/>
        </w:rPr>
      </w:pPr>
      <w:r>
        <w:rPr>
          <w:rFonts w:ascii="Arial" w:cs="Arial" w:eastAsia="Arial" w:hAnsi="Arial"/>
          <w:sz w:val="20"/>
          <w:szCs w:val="20"/>
          <w:u w:val="single" w:color="auto"/>
          <w:color w:val="0000FF"/>
        </w:rPr>
        <w:t>(A)</w:t>
      </w:r>
      <w:r>
        <w:rPr>
          <w:rFonts w:ascii="Arial" w:cs="Arial" w:eastAsia="Arial" w:hAnsi="Arial"/>
          <w:sz w:val="20"/>
          <w:szCs w:val="20"/>
          <w:color w:val="0000FF"/>
        </w:rPr>
        <w:t xml:space="preserve"> </w:t>
      </w:r>
      <w:r>
        <w:rPr>
          <w:rFonts w:ascii="Arial" w:cs="Arial" w:eastAsia="Arial" w:hAnsi="Arial"/>
          <w:sz w:val="20"/>
          <w:szCs w:val="20"/>
          <w:color w:val="000000"/>
        </w:rPr>
        <w:t>the payment could have been made to the Administrative Agent, Lender or L/C Issuer without a</w:t>
      </w:r>
      <w:r>
        <w:rPr>
          <w:rFonts w:ascii="Arial" w:cs="Arial" w:eastAsia="Arial" w:hAnsi="Arial"/>
          <w:sz w:val="20"/>
          <w:szCs w:val="20"/>
          <w:color w:val="0000FF"/>
        </w:rPr>
        <w:t xml:space="preserve"> </w:t>
      </w:r>
      <w:r>
        <w:rPr>
          <w:rFonts w:ascii="Arial" w:cs="Arial" w:eastAsia="Arial" w:hAnsi="Arial"/>
          <w:sz w:val="20"/>
          <w:szCs w:val="20"/>
          <w:u w:val="single" w:color="auto"/>
          <w:color w:val="0000FF"/>
        </w:rPr>
        <w:t>deduction for</w:t>
      </w:r>
      <w:r>
        <w:rPr>
          <w:rFonts w:ascii="Arial" w:cs="Arial" w:eastAsia="Arial" w:hAnsi="Arial"/>
          <w:sz w:val="20"/>
          <w:szCs w:val="20"/>
          <w:color w:val="0000FF"/>
        </w:rPr>
        <w:t xml:space="preserve"> </w:t>
      </w:r>
      <w:r>
        <w:rPr>
          <w:rFonts w:ascii="Arial" w:cs="Arial" w:eastAsia="Arial" w:hAnsi="Arial"/>
          <w:sz w:val="20"/>
          <w:szCs w:val="20"/>
          <w:u w:val="single" w:color="auto"/>
          <w:color w:val="0000FF"/>
        </w:rPr>
        <w:t>such</w:t>
      </w:r>
      <w:r>
        <w:rPr>
          <w:rFonts w:ascii="Arial" w:cs="Arial" w:eastAsia="Arial" w:hAnsi="Arial"/>
          <w:sz w:val="20"/>
          <w:szCs w:val="20"/>
          <w:color w:val="0000FF"/>
        </w:rPr>
        <w:t xml:space="preserve"> </w:t>
      </w:r>
      <w:r>
        <w:rPr>
          <w:rFonts w:ascii="Arial" w:cs="Arial" w:eastAsia="Arial" w:hAnsi="Arial"/>
          <w:sz w:val="20"/>
          <w:szCs w:val="20"/>
          <w:color w:val="000000"/>
        </w:rPr>
        <w:t>Tax</w:t>
      </w:r>
      <w:r>
        <w:rPr>
          <w:rFonts w:ascii="Arial" w:cs="Arial" w:eastAsia="Arial" w:hAnsi="Arial"/>
          <w:sz w:val="20"/>
          <w:szCs w:val="20"/>
          <w:color w:val="0000FF"/>
        </w:rPr>
        <w:t xml:space="preserve"> </w:t>
      </w:r>
      <w:r>
        <w:rPr>
          <w:rFonts w:ascii="Arial" w:cs="Arial" w:eastAsia="Arial" w:hAnsi="Arial"/>
          <w:sz w:val="20"/>
          <w:szCs w:val="20"/>
          <w:color w:val="FF0000"/>
          <w:strike w:val="1"/>
        </w:rPr>
        <w:t>Deduction</w:t>
      </w:r>
      <w:r>
        <w:rPr>
          <w:rFonts w:ascii="Arial" w:cs="Arial" w:eastAsia="Arial" w:hAnsi="Arial"/>
          <w:sz w:val="20"/>
          <w:szCs w:val="20"/>
          <w:color w:val="0000FF"/>
        </w:rPr>
        <w:t xml:space="preserve"> </w:t>
      </w:r>
      <w:r>
        <w:rPr>
          <w:rFonts w:ascii="Arial" w:cs="Arial" w:eastAsia="Arial" w:hAnsi="Arial"/>
          <w:sz w:val="20"/>
          <w:szCs w:val="20"/>
          <w:color w:val="000000"/>
        </w:rPr>
        <w:t>if such Administrative Agent, Lender or L/C Issuer was a Qualifying Lender, but on that date such</w:t>
      </w:r>
      <w:r>
        <w:rPr>
          <w:rFonts w:ascii="Arial" w:cs="Arial" w:eastAsia="Arial" w:hAnsi="Arial"/>
          <w:sz w:val="20"/>
          <w:szCs w:val="20"/>
          <w:color w:val="0000FF"/>
        </w:rPr>
        <w:t xml:space="preserve"> </w:t>
      </w:r>
      <w:r>
        <w:rPr>
          <w:rFonts w:ascii="Arial" w:cs="Arial" w:eastAsia="Arial" w:hAnsi="Arial"/>
          <w:sz w:val="20"/>
          <w:szCs w:val="20"/>
          <w:color w:val="000000"/>
        </w:rPr>
        <w:t>Administrative Agent, Lender or L/C Issuer, as applicable, is not or has ceased to be a Qualifying Lender other than as a result of any change after the date it became the Administrative Agent, a Lender or an L/C Issuer under this Credit Agreement in (or in the interpretation, administration, or application of) any law or Treaty, or any published practice or concession of any relevant taxing authority; or</w:t>
      </w:r>
    </w:p>
    <w:p>
      <w:pPr>
        <w:spacing w:after="0" w:line="210" w:lineRule="exact"/>
        <w:rPr>
          <w:rFonts w:ascii="Arial" w:cs="Arial" w:eastAsia="Arial" w:hAnsi="Arial"/>
          <w:sz w:val="20"/>
          <w:szCs w:val="20"/>
          <w:color w:val="FF0000"/>
          <w:strike w:val="1"/>
        </w:rPr>
      </w:pPr>
    </w:p>
    <w:p>
      <w:pPr>
        <w:ind w:left="1300" w:firstLine="653"/>
        <w:spacing w:after="0" w:line="258" w:lineRule="auto"/>
        <w:tabs>
          <w:tab w:leader="none" w:pos="2217" w:val="left"/>
        </w:tabs>
        <w:numPr>
          <w:ilvl w:val="0"/>
          <w:numId w:val="160"/>
        </w:numPr>
        <w:rPr>
          <w:rFonts w:ascii="Arial" w:cs="Arial" w:eastAsia="Arial" w:hAnsi="Arial"/>
          <w:sz w:val="19"/>
          <w:szCs w:val="19"/>
          <w:color w:val="FF0000"/>
          <w:strike w:val="1"/>
        </w:rPr>
      </w:pPr>
      <w:r>
        <w:rPr>
          <w:rFonts w:ascii="Arial" w:cs="Arial" w:eastAsia="Arial" w:hAnsi="Arial"/>
          <w:sz w:val="19"/>
          <w:szCs w:val="19"/>
          <w:u w:val="single" w:color="auto"/>
          <w:color w:val="0000FF"/>
        </w:rPr>
        <w:t>(B)</w:t>
      </w:r>
      <w:r>
        <w:rPr>
          <w:rFonts w:ascii="Arial" w:cs="Arial" w:eastAsia="Arial" w:hAnsi="Arial"/>
          <w:sz w:val="19"/>
          <w:szCs w:val="19"/>
          <w:color w:val="0000FF"/>
        </w:rPr>
        <w:t xml:space="preserve"> </w:t>
      </w:r>
      <w:r>
        <w:rPr>
          <w:rFonts w:ascii="Arial" w:cs="Arial" w:eastAsia="Arial" w:hAnsi="Arial"/>
          <w:sz w:val="19"/>
          <w:szCs w:val="19"/>
          <w:color w:val="000000"/>
        </w:rPr>
        <w:t>the relevant Administrative Agent, Lender or L/C Issuer is a Qualifying Lender solely under sub-paragraph (b)</w:t>
      </w:r>
      <w:r>
        <w:rPr>
          <w:rFonts w:ascii="Arial" w:cs="Arial" w:eastAsia="Arial" w:hAnsi="Arial"/>
          <w:sz w:val="19"/>
          <w:szCs w:val="19"/>
          <w:color w:val="0000FF"/>
        </w:rPr>
        <w:t xml:space="preserve"> </w:t>
      </w:r>
      <w:r>
        <w:rPr>
          <w:rFonts w:ascii="Arial" w:cs="Arial" w:eastAsia="Arial" w:hAnsi="Arial"/>
          <w:sz w:val="19"/>
          <w:szCs w:val="19"/>
          <w:color w:val="000000"/>
        </w:rPr>
        <w:t xml:space="preserve">of the definition of Qualifying Lender; (B) an officer of HM Revenue &amp; Customs has given (and not revoked) a direction (a “Direction”) under section 931 of the ITA (as that provision has effect on the date on which the Administrative Agent, Lender or L/C Issuer became a party to this Credit Agreement) which relates to that payment and that Administrative Agent, Lender or L/C Issuer has received from the Foreign Borrower or India Borrower, as applicable, a certified copy of that Direction; and (C) the payment could have been made </w:t>
      </w:r>
      <w:r>
        <w:rPr>
          <w:rFonts w:ascii="Arial" w:cs="Arial" w:eastAsia="Arial" w:hAnsi="Arial"/>
          <w:sz w:val="19"/>
          <w:szCs w:val="19"/>
          <w:color w:val="FF0000"/>
          <w:strike w:val="1"/>
        </w:rPr>
        <w:t>to</w:t>
      </w:r>
      <w:r>
        <w:rPr>
          <w:rFonts w:ascii="Arial" w:cs="Arial" w:eastAsia="Arial" w:hAnsi="Arial"/>
          <w:sz w:val="19"/>
          <w:szCs w:val="19"/>
          <w:u w:val="single" w:color="auto"/>
          <w:color w:val="0000FF"/>
        </w:rPr>
        <w:t>by</w:t>
      </w:r>
      <w:r>
        <w:rPr>
          <w:rFonts w:ascii="Arial" w:cs="Arial" w:eastAsia="Arial" w:hAnsi="Arial"/>
          <w:sz w:val="19"/>
          <w:szCs w:val="19"/>
          <w:color w:val="000000"/>
        </w:rPr>
        <w:t xml:space="preserve"> the Foreign Borrower or India Borrower, as applicable, without any </w:t>
      </w:r>
      <w:r>
        <w:rPr>
          <w:rFonts w:ascii="Arial" w:cs="Arial" w:eastAsia="Arial" w:hAnsi="Arial"/>
          <w:sz w:val="19"/>
          <w:szCs w:val="19"/>
          <w:u w:val="single" w:color="auto"/>
          <w:color w:val="0000FF"/>
        </w:rPr>
        <w:t>deduction for such</w:t>
      </w:r>
      <w:r>
        <w:rPr>
          <w:rFonts w:ascii="Arial" w:cs="Arial" w:eastAsia="Arial" w:hAnsi="Arial"/>
          <w:sz w:val="19"/>
          <w:szCs w:val="19"/>
          <w:color w:val="000000"/>
        </w:rPr>
        <w:t xml:space="preserve"> Tax </w:t>
      </w:r>
      <w:r>
        <w:rPr>
          <w:rFonts w:ascii="Arial" w:cs="Arial" w:eastAsia="Arial" w:hAnsi="Arial"/>
          <w:sz w:val="19"/>
          <w:szCs w:val="19"/>
          <w:color w:val="FF0000"/>
          <w:strike w:val="1"/>
        </w:rPr>
        <w:t>Deduction</w:t>
      </w:r>
      <w:r>
        <w:rPr>
          <w:rFonts w:ascii="Arial" w:cs="Arial" w:eastAsia="Arial" w:hAnsi="Arial"/>
          <w:sz w:val="19"/>
          <w:szCs w:val="19"/>
          <w:color w:val="000000"/>
        </w:rPr>
        <w:t xml:space="preserve"> in the absence of that Direction; or</w:t>
      </w:r>
    </w:p>
    <w:p>
      <w:pPr>
        <w:spacing w:after="0" w:line="192" w:lineRule="exact"/>
        <w:rPr>
          <w:rFonts w:ascii="Arial" w:cs="Arial" w:eastAsia="Arial" w:hAnsi="Arial"/>
          <w:sz w:val="19"/>
          <w:szCs w:val="19"/>
          <w:color w:val="FF0000"/>
          <w:strike w:val="1"/>
        </w:rPr>
      </w:pPr>
    </w:p>
    <w:p>
      <w:pPr>
        <w:ind w:left="1300" w:right="380" w:firstLine="653"/>
        <w:spacing w:after="0" w:line="282" w:lineRule="auto"/>
        <w:tabs>
          <w:tab w:leader="none" w:pos="2228" w:val="left"/>
        </w:tabs>
        <w:numPr>
          <w:ilvl w:val="0"/>
          <w:numId w:val="160"/>
        </w:numPr>
        <w:rPr>
          <w:rFonts w:ascii="Arial" w:cs="Arial" w:eastAsia="Arial" w:hAnsi="Arial"/>
          <w:sz w:val="18"/>
          <w:szCs w:val="18"/>
          <w:color w:val="FF0000"/>
          <w:strike w:val="1"/>
        </w:rPr>
      </w:pPr>
      <w:r>
        <w:rPr>
          <w:rFonts w:ascii="Arial" w:cs="Arial" w:eastAsia="Arial" w:hAnsi="Arial"/>
          <w:sz w:val="18"/>
          <w:szCs w:val="18"/>
          <w:u w:val="single" w:color="auto"/>
          <w:color w:val="0000FF"/>
        </w:rPr>
        <w:t>(C)</w:t>
      </w:r>
      <w:r>
        <w:rPr>
          <w:rFonts w:ascii="Arial" w:cs="Arial" w:eastAsia="Arial" w:hAnsi="Arial"/>
          <w:sz w:val="18"/>
          <w:szCs w:val="18"/>
          <w:color w:val="0000FF"/>
        </w:rPr>
        <w:t xml:space="preserve"> </w:t>
      </w:r>
      <w:r>
        <w:rPr>
          <w:rFonts w:ascii="Arial" w:cs="Arial" w:eastAsia="Arial" w:hAnsi="Arial"/>
          <w:sz w:val="18"/>
          <w:szCs w:val="18"/>
          <w:color w:val="000000"/>
        </w:rPr>
        <w:t>the Administrative Agent, Lender or L/C Issuer, as applicable, is a Qualifying Lender solely under sub-paragraph (b) of the definition of Qualifying Lender and it has not, other than by reason of any change after the date of this Credit Agreement in (or in the interpretation, administration, or application of) any law, or any published practice or concession of any relevant taxing authority, given a Tax Confirmation to the Foreign Borrowers and India Borrower; or</w:t>
      </w:r>
    </w:p>
    <w:p>
      <w:pPr>
        <w:spacing w:after="0" w:line="175" w:lineRule="exact"/>
        <w:rPr>
          <w:rFonts w:ascii="Arial" w:cs="Arial" w:eastAsia="Arial" w:hAnsi="Arial"/>
          <w:sz w:val="18"/>
          <w:szCs w:val="18"/>
          <w:color w:val="FF0000"/>
          <w:strike w:val="1"/>
        </w:rPr>
      </w:pPr>
    </w:p>
    <w:p>
      <w:pPr>
        <w:ind w:left="1300" w:right="140" w:firstLine="653"/>
        <w:spacing w:after="0" w:line="291" w:lineRule="auto"/>
        <w:tabs>
          <w:tab w:leader="none" w:pos="2217" w:val="left"/>
        </w:tabs>
        <w:numPr>
          <w:ilvl w:val="0"/>
          <w:numId w:val="160"/>
        </w:numPr>
        <w:rPr>
          <w:rFonts w:ascii="Arial" w:cs="Arial" w:eastAsia="Arial" w:hAnsi="Arial"/>
          <w:sz w:val="18"/>
          <w:szCs w:val="18"/>
          <w:color w:val="FF0000"/>
          <w:strike w:val="1"/>
        </w:rPr>
      </w:pPr>
      <w:r>
        <w:rPr>
          <w:rFonts w:ascii="Arial" w:cs="Arial" w:eastAsia="Arial" w:hAnsi="Arial"/>
          <w:sz w:val="18"/>
          <w:szCs w:val="18"/>
          <w:u w:val="single" w:color="auto"/>
          <w:color w:val="0000FF"/>
        </w:rPr>
        <w:t>(D)</w:t>
      </w:r>
      <w:r>
        <w:rPr>
          <w:rFonts w:ascii="Arial" w:cs="Arial" w:eastAsia="Arial" w:hAnsi="Arial"/>
          <w:sz w:val="18"/>
          <w:szCs w:val="18"/>
          <w:color w:val="0000FF"/>
        </w:rPr>
        <w:t xml:space="preserve"> </w:t>
      </w:r>
      <w:r>
        <w:rPr>
          <w:rFonts w:ascii="Arial" w:cs="Arial" w:eastAsia="Arial" w:hAnsi="Arial"/>
          <w:sz w:val="18"/>
          <w:szCs w:val="18"/>
          <w:color w:val="000000"/>
        </w:rPr>
        <w:t>the Administrative Agent, Lender or L/C Issuer, as applicable, is a Treaty Lender and the Foreign Borrower or</w:t>
      </w:r>
      <w:r>
        <w:rPr>
          <w:rFonts w:ascii="Arial" w:cs="Arial" w:eastAsia="Arial" w:hAnsi="Arial"/>
          <w:sz w:val="18"/>
          <w:szCs w:val="18"/>
          <w:color w:val="0000FF"/>
        </w:rPr>
        <w:t xml:space="preserve"> </w:t>
      </w:r>
      <w:r>
        <w:rPr>
          <w:rFonts w:ascii="Arial" w:cs="Arial" w:eastAsia="Arial" w:hAnsi="Arial"/>
          <w:sz w:val="18"/>
          <w:szCs w:val="18"/>
          <w:color w:val="000000"/>
        </w:rPr>
        <w:t xml:space="preserve">India Borrower, as applicable, making the payment is able to demonstrate that the payment could have been made to the Administrative Agent, Lender or L/C Issuer, as applicable, without the </w:t>
      </w:r>
      <w:r>
        <w:rPr>
          <w:rFonts w:ascii="Arial" w:cs="Arial" w:eastAsia="Arial" w:hAnsi="Arial"/>
          <w:sz w:val="18"/>
          <w:szCs w:val="18"/>
          <w:u w:val="single" w:color="auto"/>
          <w:color w:val="0000FF"/>
        </w:rPr>
        <w:t>deduction for such</w:t>
      </w:r>
      <w:r>
        <w:rPr>
          <w:rFonts w:ascii="Arial" w:cs="Arial" w:eastAsia="Arial" w:hAnsi="Arial"/>
          <w:sz w:val="18"/>
          <w:szCs w:val="18"/>
          <w:color w:val="000000"/>
        </w:rPr>
        <w:t xml:space="preserve"> Tax </w:t>
      </w:r>
      <w:r>
        <w:rPr>
          <w:rFonts w:ascii="Arial" w:cs="Arial" w:eastAsia="Arial" w:hAnsi="Arial"/>
          <w:sz w:val="18"/>
          <w:szCs w:val="18"/>
          <w:color w:val="FF0000"/>
          <w:strike w:val="1"/>
        </w:rPr>
        <w:t>Deduction</w:t>
      </w:r>
    </w:p>
    <w:p>
      <w:pPr>
        <w:spacing w:after="0" w:line="395"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117</w:t>
      </w:r>
    </w:p>
    <w:p>
      <w:pPr>
        <w:spacing w:after="0" w:line="10" w:lineRule="exact"/>
        <w:rPr>
          <w:sz w:val="20"/>
          <w:szCs w:val="20"/>
          <w:color w:val="auto"/>
        </w:rPr>
      </w:pPr>
    </w:p>
    <w:p>
      <w:pPr>
        <w:spacing w:after="0"/>
        <w:rPr>
          <w:sz w:val="20"/>
          <w:szCs w:val="20"/>
          <w:color w:val="auto"/>
        </w:rPr>
      </w:pPr>
      <w:r>
        <w:rPr>
          <w:rFonts w:ascii="Arial" w:cs="Arial" w:eastAsia="Arial" w:hAnsi="Arial"/>
          <w:sz w:val="14"/>
          <w:szCs w:val="14"/>
          <w:color w:val="auto"/>
        </w:rPr>
        <w:t>CHAR1\1346423v</w:t>
      </w:r>
      <w:r>
        <w:rPr>
          <w:rFonts w:ascii="Arial" w:cs="Arial" w:eastAsia="Arial" w:hAnsi="Arial"/>
          <w:sz w:val="14"/>
          <w:szCs w:val="14"/>
          <w:color w:val="FF0000"/>
          <w:strike w:val="1"/>
        </w:rPr>
        <w:t>1</w:t>
      </w:r>
      <w:r>
        <w:rPr>
          <w:rFonts w:ascii="Arial" w:cs="Arial" w:eastAsia="Arial" w:hAnsi="Arial"/>
          <w:sz w:val="14"/>
          <w:szCs w:val="14"/>
          <w:u w:val="single" w:color="auto"/>
          <w:color w:val="0000FF"/>
        </w:rPr>
        <w:t>12</w:t>
      </w:r>
    </w:p>
    <w:p>
      <w:pPr>
        <w:sectPr>
          <w:pgSz w:w="11900" w:h="16838" w:orient="portrait"/>
          <w:cols w:equalWidth="0" w:num="1">
            <w:col w:w="11420"/>
          </w:cols>
          <w:pgMar w:left="240" w:top="582" w:right="239" w:bottom="1440" w:gutter="0" w:footer="0" w:header="0"/>
        </w:sectPr>
      </w:pPr>
    </w:p>
    <w:bookmarkStart w:id="169" w:name="page170"/>
    <w:bookmarkEnd w:id="169"/>
    <w:p>
      <w:pPr>
        <w:ind w:left="1300"/>
        <w:spacing w:after="0"/>
        <w:rPr>
          <w:sz w:val="20"/>
          <w:szCs w:val="20"/>
          <w:color w:val="auto"/>
        </w:rPr>
      </w:pPr>
      <w:r>
        <w:rPr>
          <w:rFonts w:ascii="Arial" w:cs="Arial" w:eastAsia="Arial" w:hAnsi="Arial"/>
          <w:sz w:val="20"/>
          <w:szCs w:val="20"/>
          <w:color w:val="auto"/>
        </w:rPr>
        <w:t xml:space="preserve">had that Administrative Agent, Lender or L/C Issuer complied with its obligations under </w:t>
      </w:r>
      <w:r>
        <w:rPr>
          <w:rFonts w:ascii="Arial" w:cs="Arial" w:eastAsia="Arial" w:hAnsi="Arial"/>
          <w:sz w:val="20"/>
          <w:szCs w:val="20"/>
          <w:u w:val="single" w:color="auto"/>
          <w:color w:val="auto"/>
        </w:rPr>
        <w:t>Section 3.01(e)(v)</w:t>
      </w:r>
      <w:r>
        <w:rPr>
          <w:rFonts w:ascii="Arial" w:cs="Arial" w:eastAsia="Arial" w:hAnsi="Arial"/>
          <w:sz w:val="20"/>
          <w:szCs w:val="20"/>
          <w:color w:val="auto"/>
        </w:rPr>
        <w:t xml:space="preserve"> below.</w:t>
      </w:r>
    </w:p>
    <w:p>
      <w:pPr>
        <w:spacing w:after="0" w:line="243" w:lineRule="exact"/>
        <w:rPr>
          <w:sz w:val="20"/>
          <w:szCs w:val="20"/>
          <w:color w:val="auto"/>
        </w:rPr>
      </w:pPr>
    </w:p>
    <w:p>
      <w:pPr>
        <w:ind w:left="1720" w:hanging="415"/>
        <w:spacing w:after="0"/>
        <w:tabs>
          <w:tab w:leader="none" w:pos="1720" w:val="left"/>
        </w:tabs>
        <w:numPr>
          <w:ilvl w:val="0"/>
          <w:numId w:val="161"/>
        </w:numPr>
        <w:rPr>
          <w:rFonts w:ascii="Arial" w:cs="Arial" w:eastAsia="Arial" w:hAnsi="Arial"/>
          <w:sz w:val="19"/>
          <w:szCs w:val="19"/>
          <w:color w:val="auto"/>
        </w:rPr>
      </w:pPr>
      <w:r>
        <w:rPr>
          <w:rFonts w:ascii="Arial" w:cs="Arial" w:eastAsia="Arial" w:hAnsi="Arial"/>
          <w:sz w:val="19"/>
          <w:szCs w:val="19"/>
          <w:color w:val="FF0000"/>
          <w:strike w:val="1"/>
        </w:rPr>
        <w:t>(f)</w:t>
      </w:r>
      <w:r>
        <w:rPr>
          <w:rFonts w:ascii="Arial" w:cs="Arial" w:eastAsia="Arial" w:hAnsi="Arial"/>
          <w:sz w:val="19"/>
          <w:szCs w:val="19"/>
          <w:color w:val="FF0000"/>
        </w:rPr>
        <w:t xml:space="preserve"> </w:t>
      </w:r>
      <w:r>
        <w:rPr>
          <w:rFonts w:ascii="Arial" w:cs="Arial" w:eastAsia="Arial" w:hAnsi="Arial"/>
          <w:sz w:val="19"/>
          <w:szCs w:val="19"/>
          <w:u w:val="single" w:color="auto"/>
          <w:color w:val="000000"/>
        </w:rPr>
        <w:t>Payment of Other Taxes by the Credit Parties</w:t>
      </w:r>
      <w:r>
        <w:rPr>
          <w:rFonts w:ascii="Arial" w:cs="Arial" w:eastAsia="Arial" w:hAnsi="Arial"/>
          <w:sz w:val="19"/>
          <w:szCs w:val="19"/>
          <w:color w:val="000000"/>
        </w:rPr>
        <w:t>. Without limiting the provisions of subsection (a) above, the Credit</w:t>
      </w:r>
    </w:p>
    <w:p>
      <w:pPr>
        <w:spacing w:after="0" w:line="65" w:lineRule="exact"/>
        <w:rPr>
          <w:rFonts w:ascii="Arial" w:cs="Arial" w:eastAsia="Arial" w:hAnsi="Arial"/>
          <w:sz w:val="19"/>
          <w:szCs w:val="19"/>
          <w:color w:val="auto"/>
        </w:rPr>
      </w:pPr>
    </w:p>
    <w:p>
      <w:pPr>
        <w:ind w:left="660" w:right="440"/>
        <w:spacing w:after="0" w:line="303" w:lineRule="auto"/>
        <w:rPr>
          <w:rFonts w:ascii="Arial" w:cs="Arial" w:eastAsia="Arial" w:hAnsi="Arial"/>
          <w:sz w:val="19"/>
          <w:szCs w:val="19"/>
          <w:color w:val="auto"/>
        </w:rPr>
      </w:pPr>
      <w:r>
        <w:rPr>
          <w:rFonts w:ascii="Arial" w:cs="Arial" w:eastAsia="Arial" w:hAnsi="Arial"/>
          <w:sz w:val="20"/>
          <w:szCs w:val="20"/>
          <w:color w:val="auto"/>
        </w:rPr>
        <w:t xml:space="preserve">Parties shall timely pay </w:t>
      </w:r>
      <w:r>
        <w:rPr>
          <w:rFonts w:ascii="Arial" w:cs="Arial" w:eastAsia="Arial" w:hAnsi="Arial"/>
          <w:sz w:val="20"/>
          <w:szCs w:val="20"/>
          <w:color w:val="FF0000"/>
          <w:strike w:val="1"/>
        </w:rPr>
        <w:t>any Other Taxes</w:t>
      </w:r>
      <w:r>
        <w:rPr>
          <w:rFonts w:ascii="Arial" w:cs="Arial" w:eastAsia="Arial" w:hAnsi="Arial"/>
          <w:sz w:val="20"/>
          <w:szCs w:val="20"/>
          <w:color w:val="auto"/>
        </w:rPr>
        <w:t xml:space="preserve"> to the relevant Governmental Authority in accordance with applicable </w:t>
      </w:r>
      <w:r>
        <w:rPr>
          <w:rFonts w:ascii="Arial" w:cs="Arial" w:eastAsia="Arial" w:hAnsi="Arial"/>
          <w:sz w:val="20"/>
          <w:szCs w:val="20"/>
          <w:color w:val="FF0000"/>
          <w:strike w:val="1"/>
        </w:rPr>
        <w:t>Laws</w:t>
      </w:r>
      <w:r>
        <w:rPr>
          <w:rFonts w:ascii="Arial" w:cs="Arial" w:eastAsia="Arial" w:hAnsi="Arial"/>
          <w:sz w:val="20"/>
          <w:szCs w:val="20"/>
          <w:u w:val="single" w:color="auto"/>
          <w:color w:val="0000FF"/>
        </w:rPr>
        <w:t>law, or at the</w:t>
      </w:r>
      <w:r>
        <w:rPr>
          <w:rFonts w:ascii="Arial" w:cs="Arial" w:eastAsia="Arial" w:hAnsi="Arial"/>
          <w:sz w:val="20"/>
          <w:szCs w:val="20"/>
          <w:color w:val="auto"/>
        </w:rPr>
        <w:t xml:space="preserve"> </w:t>
      </w:r>
      <w:r>
        <w:rPr>
          <w:rFonts w:ascii="Arial" w:cs="Arial" w:eastAsia="Arial" w:hAnsi="Arial"/>
          <w:sz w:val="20"/>
          <w:szCs w:val="20"/>
          <w:u w:val="single" w:color="auto"/>
          <w:color w:val="0000FF"/>
        </w:rPr>
        <w:t>option of the Administrative Agent timely reimburse it for the payment of, any Other Taxes</w:t>
      </w:r>
      <w:r>
        <w:rPr>
          <w:rFonts w:ascii="Arial" w:cs="Arial" w:eastAsia="Arial" w:hAnsi="Arial"/>
          <w:sz w:val="20"/>
          <w:szCs w:val="20"/>
          <w:color w:val="000000"/>
        </w:rPr>
        <w:t>.</w:t>
      </w:r>
    </w:p>
    <w:p>
      <w:pPr>
        <w:spacing w:after="0" w:line="175" w:lineRule="exact"/>
        <w:rPr>
          <w:rFonts w:ascii="Arial" w:cs="Arial" w:eastAsia="Arial" w:hAnsi="Arial"/>
          <w:sz w:val="19"/>
          <w:szCs w:val="19"/>
          <w:color w:val="auto"/>
        </w:rPr>
      </w:pPr>
    </w:p>
    <w:p>
      <w:pPr>
        <w:ind w:left="1700" w:hanging="395"/>
        <w:spacing w:after="0"/>
        <w:tabs>
          <w:tab w:leader="none" w:pos="1700" w:val="left"/>
        </w:tabs>
        <w:numPr>
          <w:ilvl w:val="0"/>
          <w:numId w:val="161"/>
        </w:numPr>
        <w:rPr>
          <w:rFonts w:ascii="Arial" w:cs="Arial" w:eastAsia="Arial" w:hAnsi="Arial"/>
          <w:sz w:val="20"/>
          <w:szCs w:val="20"/>
          <w:color w:val="auto"/>
        </w:rPr>
      </w:pPr>
      <w:r>
        <w:rPr>
          <w:rFonts w:ascii="Arial" w:cs="Arial" w:eastAsia="Arial" w:hAnsi="Arial"/>
          <w:sz w:val="20"/>
          <w:szCs w:val="20"/>
          <w:color w:val="FF0000"/>
          <w:strike w:val="1"/>
        </w:rPr>
        <w:t>(g)</w:t>
      </w:r>
      <w:r>
        <w:rPr>
          <w:rFonts w:ascii="Arial" w:cs="Arial" w:eastAsia="Arial" w:hAnsi="Arial"/>
          <w:sz w:val="20"/>
          <w:szCs w:val="20"/>
          <w:color w:val="FF0000"/>
        </w:rPr>
        <w:t xml:space="preserve"> </w:t>
      </w:r>
      <w:r>
        <w:rPr>
          <w:rFonts w:ascii="Arial" w:cs="Arial" w:eastAsia="Arial" w:hAnsi="Arial"/>
          <w:sz w:val="20"/>
          <w:szCs w:val="20"/>
          <w:u w:val="single" w:color="auto"/>
          <w:color w:val="000000"/>
        </w:rPr>
        <w:t>Tax Indemnification</w:t>
      </w:r>
      <w:r>
        <w:rPr>
          <w:rFonts w:ascii="Arial" w:cs="Arial" w:eastAsia="Arial" w:hAnsi="Arial"/>
          <w:sz w:val="20"/>
          <w:szCs w:val="20"/>
          <w:color w:val="000000"/>
        </w:rPr>
        <w:t>.</w:t>
      </w:r>
    </w:p>
    <w:p>
      <w:pPr>
        <w:spacing w:after="0" w:line="243" w:lineRule="exact"/>
        <w:rPr>
          <w:sz w:val="20"/>
          <w:szCs w:val="20"/>
          <w:color w:val="auto"/>
        </w:rPr>
      </w:pPr>
    </w:p>
    <w:p>
      <w:pPr>
        <w:ind w:left="660" w:firstLine="1297"/>
        <w:spacing w:after="0" w:line="302" w:lineRule="auto"/>
        <w:rPr>
          <w:sz w:val="20"/>
          <w:szCs w:val="20"/>
          <w:color w:val="auto"/>
        </w:rPr>
      </w:pPr>
      <w:r>
        <w:rPr>
          <w:rFonts w:ascii="Arial" w:cs="Arial" w:eastAsia="Arial" w:hAnsi="Arial"/>
          <w:sz w:val="16"/>
          <w:szCs w:val="16"/>
          <w:color w:val="FF0000"/>
          <w:strike w:val="1"/>
        </w:rPr>
        <w:t>(i) Without limiting the provisions of</w:t>
      </w:r>
      <w:r>
        <w:rPr>
          <w:rFonts w:ascii="Arial" w:cs="Arial" w:eastAsia="Arial" w:hAnsi="Arial"/>
          <w:sz w:val="16"/>
          <w:szCs w:val="16"/>
          <w:color w:val="FF0000"/>
        </w:rPr>
        <w:t xml:space="preserve"> </w:t>
      </w:r>
      <w:r>
        <w:rPr>
          <w:rFonts w:ascii="Arial" w:cs="Arial" w:eastAsia="Arial" w:hAnsi="Arial"/>
          <w:sz w:val="16"/>
          <w:szCs w:val="16"/>
          <w:u w:val="single" w:color="auto"/>
          <w:color w:val="FF0000"/>
          <w:strike w:val="1"/>
        </w:rPr>
        <w:t>subsection (a)</w:t>
      </w:r>
      <w:r>
        <w:rPr>
          <w:rFonts w:ascii="Arial" w:cs="Arial" w:eastAsia="Arial" w:hAnsi="Arial"/>
          <w:sz w:val="16"/>
          <w:szCs w:val="16"/>
          <w:color w:val="FF0000"/>
        </w:rPr>
        <w:t xml:space="preserve"> </w:t>
      </w:r>
      <w:r>
        <w:rPr>
          <w:rFonts w:ascii="Arial" w:cs="Arial" w:eastAsia="Arial" w:hAnsi="Arial"/>
          <w:sz w:val="16"/>
          <w:szCs w:val="16"/>
          <w:color w:val="FF0000"/>
          <w:strike w:val="1"/>
        </w:rPr>
        <w:t>or</w:t>
      </w:r>
      <w:r>
        <w:rPr>
          <w:rFonts w:ascii="Arial" w:cs="Arial" w:eastAsia="Arial" w:hAnsi="Arial"/>
          <w:sz w:val="16"/>
          <w:szCs w:val="16"/>
          <w:color w:val="FF0000"/>
        </w:rPr>
        <w:t xml:space="preserve"> </w:t>
      </w:r>
      <w:r>
        <w:rPr>
          <w:rFonts w:ascii="Arial" w:cs="Arial" w:eastAsia="Arial" w:hAnsi="Arial"/>
          <w:sz w:val="16"/>
          <w:szCs w:val="16"/>
          <w:u w:val="single" w:color="auto"/>
          <w:color w:val="FF0000"/>
          <w:strike w:val="1"/>
        </w:rPr>
        <w:t>(b)</w:t>
      </w:r>
      <w:r>
        <w:rPr>
          <w:rFonts w:ascii="Arial" w:cs="Arial" w:eastAsia="Arial" w:hAnsi="Arial"/>
          <w:sz w:val="16"/>
          <w:szCs w:val="16"/>
          <w:color w:val="FF0000"/>
        </w:rPr>
        <w:t xml:space="preserve"> </w:t>
      </w:r>
      <w:r>
        <w:rPr>
          <w:rFonts w:ascii="Arial" w:cs="Arial" w:eastAsia="Arial" w:hAnsi="Arial"/>
          <w:sz w:val="16"/>
          <w:szCs w:val="16"/>
          <w:color w:val="FF0000"/>
          <w:strike w:val="1"/>
        </w:rPr>
        <w:t>above, each</w:t>
      </w:r>
      <w:r>
        <w:rPr>
          <w:rFonts w:ascii="Arial" w:cs="Arial" w:eastAsia="Arial" w:hAnsi="Arial"/>
          <w:sz w:val="16"/>
          <w:szCs w:val="16"/>
          <w:u w:val="single" w:color="auto"/>
          <w:color w:val="0000FF"/>
        </w:rPr>
        <w:t>(i) Each of the</w:t>
      </w:r>
      <w:r>
        <w:rPr>
          <w:rFonts w:ascii="Arial" w:cs="Arial" w:eastAsia="Arial" w:hAnsi="Arial"/>
          <w:sz w:val="16"/>
          <w:szCs w:val="16"/>
          <w:color w:val="FF0000"/>
        </w:rPr>
        <w:t xml:space="preserve"> </w:t>
      </w:r>
      <w:r>
        <w:rPr>
          <w:rFonts w:ascii="Arial" w:cs="Arial" w:eastAsia="Arial" w:hAnsi="Arial"/>
          <w:sz w:val="16"/>
          <w:szCs w:val="16"/>
          <w:color w:val="000000"/>
        </w:rPr>
        <w:t>Credit</w:t>
      </w:r>
      <w:r>
        <w:rPr>
          <w:rFonts w:ascii="Arial" w:cs="Arial" w:eastAsia="Arial" w:hAnsi="Arial"/>
          <w:sz w:val="16"/>
          <w:szCs w:val="16"/>
          <w:color w:val="FF0000"/>
        </w:rPr>
        <w:t xml:space="preserve"> </w:t>
      </w:r>
      <w:r>
        <w:rPr>
          <w:rFonts w:ascii="Arial" w:cs="Arial" w:eastAsia="Arial" w:hAnsi="Arial"/>
          <w:sz w:val="16"/>
          <w:szCs w:val="16"/>
          <w:color w:val="FF0000"/>
          <w:strike w:val="1"/>
        </w:rPr>
        <w:t>Party</w:t>
      </w:r>
      <w:r>
        <w:rPr>
          <w:rFonts w:ascii="Arial" w:cs="Arial" w:eastAsia="Arial" w:hAnsi="Arial"/>
          <w:sz w:val="16"/>
          <w:szCs w:val="16"/>
          <w:u w:val="single" w:color="auto"/>
          <w:color w:val="0000FF"/>
        </w:rPr>
        <w:t>Parties</w:t>
      </w:r>
      <w:r>
        <w:rPr>
          <w:rFonts w:ascii="Arial" w:cs="Arial" w:eastAsia="Arial" w:hAnsi="Arial"/>
          <w:sz w:val="16"/>
          <w:szCs w:val="16"/>
          <w:color w:val="FF0000"/>
        </w:rPr>
        <w:t xml:space="preserve"> </w:t>
      </w:r>
      <w:r>
        <w:rPr>
          <w:rFonts w:ascii="Arial" w:cs="Arial" w:eastAsia="Arial" w:hAnsi="Arial"/>
          <w:sz w:val="16"/>
          <w:szCs w:val="16"/>
          <w:color w:val="000000"/>
        </w:rPr>
        <w:t>shall, and</w:t>
      </w:r>
      <w:r>
        <w:rPr>
          <w:rFonts w:ascii="Arial" w:cs="Arial" w:eastAsia="Arial" w:hAnsi="Arial"/>
          <w:sz w:val="16"/>
          <w:szCs w:val="16"/>
          <w:color w:val="FF0000"/>
        </w:rPr>
        <w:t xml:space="preserve"> </w:t>
      </w:r>
      <w:r>
        <w:rPr>
          <w:rFonts w:ascii="Arial" w:cs="Arial" w:eastAsia="Arial" w:hAnsi="Arial"/>
          <w:sz w:val="16"/>
          <w:szCs w:val="16"/>
          <w:color w:val="000000"/>
        </w:rPr>
        <w:t xml:space="preserve">does hereby, </w:t>
      </w:r>
      <w:r>
        <w:rPr>
          <w:rFonts w:ascii="Arial" w:cs="Arial" w:eastAsia="Arial" w:hAnsi="Arial"/>
          <w:sz w:val="16"/>
          <w:szCs w:val="16"/>
          <w:u w:val="single" w:color="auto"/>
          <w:color w:val="0000FF"/>
        </w:rPr>
        <w:t>jointly and severally</w:t>
      </w:r>
      <w:r>
        <w:rPr>
          <w:rFonts w:ascii="Arial" w:cs="Arial" w:eastAsia="Arial" w:hAnsi="Arial"/>
          <w:sz w:val="16"/>
          <w:szCs w:val="16"/>
          <w:color w:val="000000"/>
        </w:rPr>
        <w:t xml:space="preserve"> indemnify </w:t>
      </w:r>
      <w:r>
        <w:rPr>
          <w:rFonts w:ascii="Arial" w:cs="Arial" w:eastAsia="Arial" w:hAnsi="Arial"/>
          <w:sz w:val="16"/>
          <w:szCs w:val="16"/>
          <w:color w:val="FF0000"/>
          <w:strike w:val="1"/>
        </w:rPr>
        <w:t>the Administrative Agent, each Lender and each L/C Issuer</w:t>
      </w:r>
      <w:r>
        <w:rPr>
          <w:rFonts w:ascii="Arial" w:cs="Arial" w:eastAsia="Arial" w:hAnsi="Arial"/>
          <w:sz w:val="16"/>
          <w:szCs w:val="16"/>
          <w:u w:val="single" w:color="auto"/>
          <w:color w:val="0000FF"/>
        </w:rPr>
        <w:t>each Recipient</w:t>
      </w:r>
      <w:r>
        <w:rPr>
          <w:rFonts w:ascii="Arial" w:cs="Arial" w:eastAsia="Arial" w:hAnsi="Arial"/>
          <w:sz w:val="16"/>
          <w:szCs w:val="16"/>
          <w:color w:val="000000"/>
        </w:rPr>
        <w:t xml:space="preserve">, and shall make payment in respect thereof within </w:t>
      </w:r>
      <w:r>
        <w:rPr>
          <w:rFonts w:ascii="Arial" w:cs="Arial" w:eastAsia="Arial" w:hAnsi="Arial"/>
          <w:sz w:val="16"/>
          <w:szCs w:val="16"/>
          <w:color w:val="FF0000"/>
          <w:strike w:val="1"/>
        </w:rPr>
        <w:t>ten</w:t>
      </w:r>
      <w:r>
        <w:rPr>
          <w:rFonts w:ascii="Arial" w:cs="Arial" w:eastAsia="Arial" w:hAnsi="Arial"/>
          <w:sz w:val="16"/>
          <w:szCs w:val="16"/>
          <w:u w:val="single" w:color="auto"/>
          <w:color w:val="0000FF"/>
        </w:rPr>
        <w:t>thirty (30)</w:t>
      </w:r>
      <w:r>
        <w:rPr>
          <w:rFonts w:ascii="Arial" w:cs="Arial" w:eastAsia="Arial" w:hAnsi="Arial"/>
          <w:sz w:val="16"/>
          <w:szCs w:val="16"/>
          <w:color w:val="000000"/>
        </w:rPr>
        <w:t xml:space="preserve"> days after demand therefor, for the full amount of any Indemnified Taxes </w:t>
      </w:r>
      <w:r>
        <w:rPr>
          <w:rFonts w:ascii="Arial" w:cs="Arial" w:eastAsia="Arial" w:hAnsi="Arial"/>
          <w:sz w:val="16"/>
          <w:szCs w:val="16"/>
          <w:color w:val="FF0000"/>
          <w:strike w:val="1"/>
        </w:rPr>
        <w:t>or Other</w:t>
      </w:r>
      <w:r>
        <w:rPr>
          <w:rFonts w:ascii="Arial" w:cs="Arial" w:eastAsia="Arial" w:hAnsi="Arial"/>
          <w:sz w:val="16"/>
          <w:szCs w:val="16"/>
          <w:color w:val="000000"/>
        </w:rPr>
        <w:t xml:space="preserve"> </w:t>
      </w:r>
      <w:r>
        <w:rPr>
          <w:rFonts w:ascii="Arial" w:cs="Arial" w:eastAsia="Arial" w:hAnsi="Arial"/>
          <w:sz w:val="16"/>
          <w:szCs w:val="16"/>
          <w:color w:val="FF0000"/>
          <w:strike w:val="1"/>
        </w:rPr>
        <w:t>Taxes</w:t>
      </w:r>
      <w:r>
        <w:rPr>
          <w:rFonts w:ascii="Arial" w:cs="Arial" w:eastAsia="Arial" w:hAnsi="Arial"/>
          <w:sz w:val="16"/>
          <w:szCs w:val="16"/>
          <w:color w:val="FF0000"/>
        </w:rPr>
        <w:t xml:space="preserve"> </w:t>
      </w:r>
      <w:r>
        <w:rPr>
          <w:rFonts w:ascii="Arial" w:cs="Arial" w:eastAsia="Arial" w:hAnsi="Arial"/>
          <w:sz w:val="16"/>
          <w:szCs w:val="16"/>
          <w:color w:val="000000"/>
        </w:rPr>
        <w:t>(including Indemnified Taxes</w:t>
      </w:r>
      <w:r>
        <w:rPr>
          <w:rFonts w:ascii="Arial" w:cs="Arial" w:eastAsia="Arial" w:hAnsi="Arial"/>
          <w:sz w:val="16"/>
          <w:szCs w:val="16"/>
          <w:color w:val="FF0000"/>
        </w:rPr>
        <w:t xml:space="preserve"> </w:t>
      </w:r>
      <w:r>
        <w:rPr>
          <w:rFonts w:ascii="Arial" w:cs="Arial" w:eastAsia="Arial" w:hAnsi="Arial"/>
          <w:sz w:val="16"/>
          <w:szCs w:val="16"/>
          <w:color w:val="FF0000"/>
          <w:strike w:val="1"/>
        </w:rPr>
        <w:t>or Other Taxes</w:t>
      </w:r>
      <w:r>
        <w:rPr>
          <w:rFonts w:ascii="Arial" w:cs="Arial" w:eastAsia="Arial" w:hAnsi="Arial"/>
          <w:sz w:val="16"/>
          <w:szCs w:val="16"/>
          <w:color w:val="FF0000"/>
        </w:rPr>
        <w:t xml:space="preserve"> </w:t>
      </w:r>
      <w:r>
        <w:rPr>
          <w:rFonts w:ascii="Arial" w:cs="Arial" w:eastAsia="Arial" w:hAnsi="Arial"/>
          <w:sz w:val="16"/>
          <w:szCs w:val="16"/>
          <w:color w:val="000000"/>
        </w:rPr>
        <w:t>imposed or asserted on or attributable to amounts payable under this Section</w:t>
      </w:r>
      <w:r>
        <w:rPr>
          <w:rFonts w:ascii="Arial" w:cs="Arial" w:eastAsia="Arial" w:hAnsi="Arial"/>
          <w:sz w:val="16"/>
          <w:szCs w:val="16"/>
          <w:color w:val="FF0000"/>
          <w:strike w:val="1"/>
        </w:rPr>
        <w:t>)</w:t>
      </w:r>
      <w:r>
        <w:rPr>
          <w:rFonts w:ascii="Arial" w:cs="Arial" w:eastAsia="Arial" w:hAnsi="Arial"/>
          <w:sz w:val="16"/>
          <w:szCs w:val="16"/>
          <w:color w:val="FF0000"/>
        </w:rPr>
        <w:t xml:space="preserve"> </w:t>
      </w:r>
      <w:r>
        <w:rPr>
          <w:rFonts w:ascii="Arial" w:cs="Arial" w:eastAsia="Arial" w:hAnsi="Arial"/>
          <w:sz w:val="16"/>
          <w:szCs w:val="16"/>
          <w:color w:val="FF0000"/>
          <w:strike w:val="1"/>
        </w:rPr>
        <w:t>withheld or deducted by such Credit Party or the Administrative Agent</w:t>
      </w:r>
      <w:r>
        <w:rPr>
          <w:rFonts w:ascii="Arial" w:cs="Arial" w:eastAsia="Arial" w:hAnsi="Arial"/>
          <w:sz w:val="16"/>
          <w:szCs w:val="16"/>
          <w:color w:val="FF0000"/>
        </w:rPr>
        <w:t xml:space="preserve"> </w:t>
      </w:r>
      <w:r>
        <w:rPr>
          <w:rFonts w:ascii="Arial" w:cs="Arial" w:eastAsia="Arial" w:hAnsi="Arial"/>
          <w:sz w:val="16"/>
          <w:szCs w:val="16"/>
          <w:u w:val="single" w:color="auto"/>
          <w:color w:val="0000FF"/>
        </w:rPr>
        <w:t>3.01) payable</w:t>
      </w:r>
      <w:r>
        <w:rPr>
          <w:rFonts w:ascii="Arial" w:cs="Arial" w:eastAsia="Arial" w:hAnsi="Arial"/>
          <w:sz w:val="16"/>
          <w:szCs w:val="16"/>
          <w:color w:val="FF0000"/>
        </w:rPr>
        <w:t xml:space="preserve"> </w:t>
      </w:r>
      <w:r>
        <w:rPr>
          <w:rFonts w:ascii="Arial" w:cs="Arial" w:eastAsia="Arial" w:hAnsi="Arial"/>
          <w:sz w:val="16"/>
          <w:szCs w:val="16"/>
          <w:color w:val="000000"/>
        </w:rPr>
        <w:t>or paid by</w:t>
      </w:r>
      <w:r>
        <w:rPr>
          <w:rFonts w:ascii="Arial" w:cs="Arial" w:eastAsia="Arial" w:hAnsi="Arial"/>
          <w:sz w:val="16"/>
          <w:szCs w:val="16"/>
          <w:color w:val="FF0000"/>
        </w:rPr>
        <w:t xml:space="preserve"> </w:t>
      </w:r>
      <w:r>
        <w:rPr>
          <w:rFonts w:ascii="Arial" w:cs="Arial" w:eastAsia="Arial" w:hAnsi="Arial"/>
          <w:sz w:val="16"/>
          <w:szCs w:val="16"/>
          <w:color w:val="FF0000"/>
          <w:strike w:val="1"/>
        </w:rPr>
        <w:t>the Administrative Agent, such Lender</w:t>
      </w:r>
      <w:r>
        <w:rPr>
          <w:rFonts w:ascii="Arial" w:cs="Arial" w:eastAsia="Arial" w:hAnsi="Arial"/>
          <w:sz w:val="16"/>
          <w:szCs w:val="16"/>
          <w:color w:val="FF0000"/>
        </w:rPr>
        <w:t xml:space="preserve"> </w:t>
      </w:r>
      <w:r>
        <w:rPr>
          <w:rFonts w:ascii="Arial" w:cs="Arial" w:eastAsia="Arial" w:hAnsi="Arial"/>
          <w:sz w:val="16"/>
          <w:szCs w:val="16"/>
          <w:color w:val="FF0000"/>
          <w:strike w:val="1"/>
        </w:rPr>
        <w:t>or such L/C Issuer, as the case may be</w:t>
      </w:r>
      <w:r>
        <w:rPr>
          <w:rFonts w:ascii="Arial" w:cs="Arial" w:eastAsia="Arial" w:hAnsi="Arial"/>
          <w:sz w:val="16"/>
          <w:szCs w:val="16"/>
          <w:u w:val="single" w:color="auto"/>
          <w:color w:val="0000FF"/>
        </w:rPr>
        <w:t>such Recipient or required to be withheld or deducted from a payment to such Recipient</w:t>
      </w:r>
      <w:r>
        <w:rPr>
          <w:rFonts w:ascii="Arial" w:cs="Arial" w:eastAsia="Arial" w:hAnsi="Arial"/>
          <w:sz w:val="16"/>
          <w:szCs w:val="16"/>
          <w:color w:val="000000"/>
        </w:rPr>
        <w:t>, and any</w:t>
      </w:r>
    </w:p>
    <w:p>
      <w:pPr>
        <w:spacing w:after="0" w:line="4" w:lineRule="exact"/>
        <w:rPr>
          <w:sz w:val="20"/>
          <w:szCs w:val="20"/>
          <w:color w:val="auto"/>
        </w:rPr>
      </w:pPr>
    </w:p>
    <w:p>
      <w:pPr>
        <w:ind w:left="660" w:right="60"/>
        <w:spacing w:after="0" w:line="254" w:lineRule="auto"/>
        <w:rPr>
          <w:sz w:val="20"/>
          <w:szCs w:val="20"/>
          <w:color w:val="auto"/>
        </w:rPr>
      </w:pPr>
      <w:r>
        <w:rPr>
          <w:rFonts w:ascii="Arial" w:cs="Arial" w:eastAsia="Arial" w:hAnsi="Arial"/>
          <w:sz w:val="19"/>
          <w:szCs w:val="19"/>
          <w:color w:val="auto"/>
        </w:rPr>
        <w:t xml:space="preserve">penalties, interest and reasonable expenses arising therefrom or with respect thereto, whether or not such Indemnified </w:t>
      </w:r>
      <w:r>
        <w:rPr>
          <w:rFonts w:ascii="Arial" w:cs="Arial" w:eastAsia="Arial" w:hAnsi="Arial"/>
          <w:sz w:val="19"/>
          <w:szCs w:val="19"/>
          <w:color w:val="FF0000"/>
          <w:strike w:val="1"/>
        </w:rPr>
        <w:t>Taxes or Other</w:t>
      </w:r>
      <w:r>
        <w:rPr>
          <w:rFonts w:ascii="Arial" w:cs="Arial" w:eastAsia="Arial" w:hAnsi="Arial"/>
          <w:sz w:val="19"/>
          <w:szCs w:val="19"/>
          <w:color w:val="auto"/>
        </w:rPr>
        <w:t xml:space="preserve"> Taxes were correctly or legally imposed or asserted by the relevant Governmental Authority. </w:t>
      </w:r>
      <w:r>
        <w:rPr>
          <w:rFonts w:ascii="Arial" w:cs="Arial" w:eastAsia="Arial" w:hAnsi="Arial"/>
          <w:sz w:val="19"/>
          <w:szCs w:val="19"/>
          <w:color w:val="FF0000"/>
          <w:strike w:val="1"/>
        </w:rPr>
        <w:t>Each Credit Party</w:t>
      </w:r>
      <w:r>
        <w:rPr>
          <w:rFonts w:ascii="Arial" w:cs="Arial" w:eastAsia="Arial" w:hAnsi="Arial"/>
          <w:sz w:val="19"/>
          <w:szCs w:val="19"/>
          <w:u w:val="single" w:color="auto"/>
          <w:color w:val="0000FF"/>
        </w:rPr>
        <w:t>A certificate as to the</w:t>
      </w:r>
      <w:r>
        <w:rPr>
          <w:rFonts w:ascii="Arial" w:cs="Arial" w:eastAsia="Arial" w:hAnsi="Arial"/>
          <w:sz w:val="19"/>
          <w:szCs w:val="19"/>
          <w:color w:val="auto"/>
        </w:rPr>
        <w:t xml:space="preserve"> </w:t>
      </w:r>
      <w:r>
        <w:rPr>
          <w:rFonts w:ascii="Arial" w:cs="Arial" w:eastAsia="Arial" w:hAnsi="Arial"/>
          <w:sz w:val="19"/>
          <w:szCs w:val="19"/>
          <w:u w:val="single" w:color="auto"/>
          <w:color w:val="0000FF"/>
        </w:rPr>
        <w:t>amount of</w:t>
      </w:r>
      <w:r>
        <w:rPr>
          <w:rFonts w:ascii="Arial" w:cs="Arial" w:eastAsia="Arial" w:hAnsi="Arial"/>
          <w:sz w:val="19"/>
          <w:szCs w:val="19"/>
          <w:color w:val="0000FF"/>
        </w:rPr>
        <w:t xml:space="preserve"> </w:t>
      </w:r>
      <w:r>
        <w:rPr>
          <w:rFonts w:ascii="Arial" w:cs="Arial" w:eastAsia="Arial" w:hAnsi="Arial"/>
          <w:sz w:val="19"/>
          <w:szCs w:val="19"/>
          <w:u w:val="single" w:color="auto"/>
          <w:color w:val="00C000"/>
        </w:rPr>
        <w:t>such payment or liability delivered to the Borrowers by a Lender or</w:t>
      </w:r>
      <w:r>
        <w:rPr>
          <w:rFonts w:ascii="Arial" w:cs="Arial" w:eastAsia="Arial" w:hAnsi="Arial"/>
          <w:sz w:val="19"/>
          <w:szCs w:val="19"/>
          <w:color w:val="0000FF"/>
        </w:rPr>
        <w:t xml:space="preserve"> </w:t>
      </w:r>
      <w:r>
        <w:rPr>
          <w:rFonts w:ascii="Arial" w:cs="Arial" w:eastAsia="Arial" w:hAnsi="Arial"/>
          <w:sz w:val="19"/>
          <w:szCs w:val="19"/>
          <w:u w:val="single" w:color="auto"/>
          <w:color w:val="0000FF"/>
        </w:rPr>
        <w:t>the</w:t>
      </w:r>
      <w:r>
        <w:rPr>
          <w:rFonts w:ascii="Arial" w:cs="Arial" w:eastAsia="Arial" w:hAnsi="Arial"/>
          <w:sz w:val="19"/>
          <w:szCs w:val="19"/>
          <w:color w:val="0000FF"/>
        </w:rPr>
        <w:t xml:space="preserve"> </w:t>
      </w:r>
      <w:r>
        <w:rPr>
          <w:rFonts w:ascii="Arial" w:cs="Arial" w:eastAsia="Arial" w:hAnsi="Arial"/>
          <w:sz w:val="19"/>
          <w:szCs w:val="19"/>
          <w:color w:val="00C000"/>
        </w:rPr>
        <w:t>L/C Issuer (with a copy to the Administrative</w:t>
      </w:r>
      <w:r>
        <w:rPr>
          <w:rFonts w:ascii="Arial" w:cs="Arial" w:eastAsia="Arial" w:hAnsi="Arial"/>
          <w:sz w:val="19"/>
          <w:szCs w:val="19"/>
          <w:color w:val="0000FF"/>
        </w:rPr>
        <w:t xml:space="preserve"> </w:t>
      </w:r>
      <w:r>
        <w:rPr>
          <w:rFonts w:ascii="Arial" w:cs="Arial" w:eastAsia="Arial" w:hAnsi="Arial"/>
          <w:sz w:val="19"/>
          <w:szCs w:val="19"/>
          <w:u w:val="single" w:color="auto"/>
          <w:color w:val="00C000"/>
        </w:rPr>
        <w:t xml:space="preserve">Agent), or by the Administrative Agent on its own behalf or on behalf of a Lender or </w:t>
      </w:r>
      <w:r>
        <w:rPr>
          <w:rFonts w:ascii="Arial" w:cs="Arial" w:eastAsia="Arial" w:hAnsi="Arial"/>
          <w:sz w:val="19"/>
          <w:szCs w:val="19"/>
          <w:u w:val="single" w:color="auto"/>
          <w:color w:val="0000FF"/>
        </w:rPr>
        <w:t>the L/C Issuer, shall be conclusive absent</w:t>
      </w:r>
      <w:r>
        <w:rPr>
          <w:rFonts w:ascii="Arial" w:cs="Arial" w:eastAsia="Arial" w:hAnsi="Arial"/>
          <w:sz w:val="19"/>
          <w:szCs w:val="19"/>
          <w:u w:val="single" w:color="auto"/>
          <w:color w:val="00C000"/>
        </w:rPr>
        <w:t xml:space="preserve"> </w:t>
      </w:r>
      <w:r>
        <w:rPr>
          <w:rFonts w:ascii="Arial" w:cs="Arial" w:eastAsia="Arial" w:hAnsi="Arial"/>
          <w:sz w:val="19"/>
          <w:szCs w:val="19"/>
          <w:u w:val="single" w:color="auto"/>
          <w:color w:val="0000FF"/>
        </w:rPr>
        <w:t>manifest error. Each of the Credit Parties</w:t>
      </w:r>
      <w:r>
        <w:rPr>
          <w:rFonts w:ascii="Arial" w:cs="Arial" w:eastAsia="Arial" w:hAnsi="Arial"/>
          <w:sz w:val="19"/>
          <w:szCs w:val="19"/>
          <w:color w:val="0000FF"/>
        </w:rPr>
        <w:t xml:space="preserve"> </w:t>
      </w:r>
      <w:r>
        <w:rPr>
          <w:rFonts w:ascii="Arial" w:cs="Arial" w:eastAsia="Arial" w:hAnsi="Arial"/>
          <w:sz w:val="19"/>
          <w:szCs w:val="19"/>
          <w:color w:val="000000"/>
        </w:rPr>
        <w:t>shall also, and does hereby,</w:t>
      </w:r>
      <w:r>
        <w:rPr>
          <w:rFonts w:ascii="Arial" w:cs="Arial" w:eastAsia="Arial" w:hAnsi="Arial"/>
          <w:sz w:val="19"/>
          <w:szCs w:val="19"/>
          <w:color w:val="0000FF"/>
        </w:rPr>
        <w:t xml:space="preserve"> </w:t>
      </w:r>
      <w:r>
        <w:rPr>
          <w:rFonts w:ascii="Arial" w:cs="Arial" w:eastAsia="Arial" w:hAnsi="Arial"/>
          <w:sz w:val="19"/>
          <w:szCs w:val="19"/>
          <w:u w:val="single" w:color="auto"/>
          <w:color w:val="0000FF"/>
        </w:rPr>
        <w:t>jointly and severally</w:t>
      </w:r>
      <w:r>
        <w:rPr>
          <w:rFonts w:ascii="Arial" w:cs="Arial" w:eastAsia="Arial" w:hAnsi="Arial"/>
          <w:sz w:val="19"/>
          <w:szCs w:val="19"/>
          <w:color w:val="0000FF"/>
        </w:rPr>
        <w:t xml:space="preserve"> </w:t>
      </w:r>
      <w:r>
        <w:rPr>
          <w:rFonts w:ascii="Arial" w:cs="Arial" w:eastAsia="Arial" w:hAnsi="Arial"/>
          <w:sz w:val="19"/>
          <w:szCs w:val="19"/>
          <w:color w:val="000000"/>
        </w:rPr>
        <w:t>indemnify the Administrative Agent, and</w:t>
      </w:r>
      <w:r>
        <w:rPr>
          <w:rFonts w:ascii="Arial" w:cs="Arial" w:eastAsia="Arial" w:hAnsi="Arial"/>
          <w:sz w:val="19"/>
          <w:szCs w:val="19"/>
          <w:color w:val="0000FF"/>
        </w:rPr>
        <w:t xml:space="preserve"> </w:t>
      </w:r>
      <w:r>
        <w:rPr>
          <w:rFonts w:ascii="Arial" w:cs="Arial" w:eastAsia="Arial" w:hAnsi="Arial"/>
          <w:sz w:val="19"/>
          <w:szCs w:val="19"/>
          <w:color w:val="000000"/>
        </w:rPr>
        <w:t xml:space="preserve">shall make payment in respect thereof within </w:t>
      </w:r>
      <w:r>
        <w:rPr>
          <w:rFonts w:ascii="Arial" w:cs="Arial" w:eastAsia="Arial" w:hAnsi="Arial"/>
          <w:sz w:val="19"/>
          <w:szCs w:val="19"/>
          <w:color w:val="FF0000"/>
          <w:strike w:val="1"/>
        </w:rPr>
        <w:t>ten</w:t>
      </w:r>
      <w:r>
        <w:rPr>
          <w:rFonts w:ascii="Arial" w:cs="Arial" w:eastAsia="Arial" w:hAnsi="Arial"/>
          <w:sz w:val="19"/>
          <w:szCs w:val="19"/>
          <w:u w:val="single" w:color="auto"/>
          <w:color w:val="0000FF"/>
        </w:rPr>
        <w:t>thirty (30)</w:t>
      </w:r>
      <w:r>
        <w:rPr>
          <w:rFonts w:ascii="Arial" w:cs="Arial" w:eastAsia="Arial" w:hAnsi="Arial"/>
          <w:sz w:val="19"/>
          <w:szCs w:val="19"/>
          <w:color w:val="000000"/>
        </w:rPr>
        <w:t xml:space="preserve"> days after demand therefor, for any amount which a Lender or </w:t>
      </w:r>
      <w:r>
        <w:rPr>
          <w:rFonts w:ascii="Arial" w:cs="Arial" w:eastAsia="Arial" w:hAnsi="Arial"/>
          <w:sz w:val="19"/>
          <w:szCs w:val="19"/>
          <w:color w:val="FF0000"/>
          <w:strike w:val="1"/>
        </w:rPr>
        <w:t>an</w:t>
      </w:r>
      <w:r>
        <w:rPr>
          <w:rFonts w:ascii="Arial" w:cs="Arial" w:eastAsia="Arial" w:hAnsi="Arial"/>
          <w:sz w:val="19"/>
          <w:szCs w:val="19"/>
          <w:u w:val="single" w:color="auto"/>
          <w:color w:val="0000FF"/>
        </w:rPr>
        <w:t>the</w:t>
      </w:r>
      <w:r>
        <w:rPr>
          <w:rFonts w:ascii="Arial" w:cs="Arial" w:eastAsia="Arial" w:hAnsi="Arial"/>
          <w:sz w:val="19"/>
          <w:szCs w:val="19"/>
          <w:color w:val="000000"/>
        </w:rPr>
        <w:t xml:space="preserve"> L/C Issuer for any reason fails to pay indefeasibly to the Administrative Agent as required </w:t>
      </w:r>
      <w:r>
        <w:rPr>
          <w:rFonts w:ascii="Arial" w:cs="Arial" w:eastAsia="Arial" w:hAnsi="Arial"/>
          <w:sz w:val="19"/>
          <w:szCs w:val="19"/>
          <w:color w:val="FF0000"/>
          <w:strike w:val="1"/>
        </w:rPr>
        <w:t>by</w:t>
      </w:r>
      <w:r>
        <w:rPr>
          <w:rFonts w:ascii="Arial" w:cs="Arial" w:eastAsia="Arial" w:hAnsi="Arial"/>
          <w:sz w:val="19"/>
          <w:szCs w:val="19"/>
          <w:color w:val="000000"/>
        </w:rPr>
        <w:t xml:space="preserve"> </w:t>
      </w:r>
      <w:r>
        <w:rPr>
          <w:rFonts w:ascii="Arial" w:cs="Arial" w:eastAsia="Arial" w:hAnsi="Arial"/>
          <w:sz w:val="19"/>
          <w:szCs w:val="19"/>
          <w:u w:val="single" w:color="auto"/>
          <w:color w:val="FF0000"/>
          <w:strike w:val="1"/>
        </w:rPr>
        <w:t>clause (ii)</w:t>
      </w:r>
      <w:r>
        <w:rPr>
          <w:rFonts w:ascii="Arial" w:cs="Arial" w:eastAsia="Arial" w:hAnsi="Arial"/>
          <w:sz w:val="19"/>
          <w:szCs w:val="19"/>
          <w:color w:val="000000"/>
        </w:rPr>
        <w:t xml:space="preserve"> </w:t>
      </w:r>
      <w:r>
        <w:rPr>
          <w:rFonts w:ascii="Arial" w:cs="Arial" w:eastAsia="Arial" w:hAnsi="Arial"/>
          <w:sz w:val="19"/>
          <w:szCs w:val="19"/>
          <w:color w:val="FF0000"/>
          <w:strike w:val="1"/>
        </w:rPr>
        <w:t>of this subsection. A certificate as</w:t>
      </w:r>
      <w:r>
        <w:rPr>
          <w:rFonts w:ascii="Arial" w:cs="Arial" w:eastAsia="Arial" w:hAnsi="Arial"/>
          <w:sz w:val="19"/>
          <w:szCs w:val="19"/>
          <w:color w:val="000000"/>
        </w:rPr>
        <w:t xml:space="preserve"> </w:t>
      </w:r>
      <w:r>
        <w:rPr>
          <w:rFonts w:ascii="Arial" w:cs="Arial" w:eastAsia="Arial" w:hAnsi="Arial"/>
          <w:sz w:val="19"/>
          <w:szCs w:val="19"/>
          <w:color w:val="FF0000"/>
          <w:strike w:val="1"/>
        </w:rPr>
        <w:t>to the amount of any</w:t>
      </w:r>
      <w:r>
        <w:rPr>
          <w:rFonts w:ascii="Arial" w:cs="Arial" w:eastAsia="Arial" w:hAnsi="Arial"/>
          <w:sz w:val="19"/>
          <w:szCs w:val="19"/>
          <w:color w:val="FF0000"/>
        </w:rPr>
        <w:t xml:space="preserve"> </w:t>
      </w:r>
      <w:r>
        <w:rPr>
          <w:rFonts w:ascii="Arial" w:cs="Arial" w:eastAsia="Arial" w:hAnsi="Arial"/>
          <w:sz w:val="19"/>
          <w:szCs w:val="19"/>
          <w:color w:val="00C000"/>
          <w:strike w:val="1"/>
        </w:rPr>
        <w:t>such payment or liability delivered to the Borrowers by a Lender or</w:t>
      </w:r>
      <w:r>
        <w:rPr>
          <w:rFonts w:ascii="Arial" w:cs="Arial" w:eastAsia="Arial" w:hAnsi="Arial"/>
          <w:sz w:val="19"/>
          <w:szCs w:val="19"/>
          <w:color w:val="FF0000"/>
        </w:rPr>
        <w:t xml:space="preserve"> </w:t>
      </w:r>
      <w:r>
        <w:rPr>
          <w:rFonts w:ascii="Arial" w:cs="Arial" w:eastAsia="Arial" w:hAnsi="Arial"/>
          <w:sz w:val="19"/>
          <w:szCs w:val="19"/>
          <w:color w:val="FF0000"/>
          <w:strike w:val="1"/>
        </w:rPr>
        <w:t>an</w:t>
      </w:r>
      <w:r>
        <w:rPr>
          <w:rFonts w:ascii="Arial" w:cs="Arial" w:eastAsia="Arial" w:hAnsi="Arial"/>
          <w:sz w:val="19"/>
          <w:szCs w:val="19"/>
          <w:color w:val="FF0000"/>
        </w:rPr>
        <w:t xml:space="preserve"> </w:t>
      </w:r>
      <w:r>
        <w:rPr>
          <w:rFonts w:ascii="Arial" w:cs="Arial" w:eastAsia="Arial" w:hAnsi="Arial"/>
          <w:sz w:val="19"/>
          <w:szCs w:val="19"/>
          <w:color w:val="00C000"/>
        </w:rPr>
        <w:t>L/C Issuer (with a copy to the</w:t>
      </w:r>
      <w:r>
        <w:rPr>
          <w:rFonts w:ascii="Arial" w:cs="Arial" w:eastAsia="Arial" w:hAnsi="Arial"/>
          <w:sz w:val="19"/>
          <w:szCs w:val="19"/>
          <w:color w:val="FF0000"/>
        </w:rPr>
        <w:t xml:space="preserve"> </w:t>
      </w:r>
      <w:r>
        <w:rPr>
          <w:rFonts w:ascii="Arial" w:cs="Arial" w:eastAsia="Arial" w:hAnsi="Arial"/>
          <w:sz w:val="19"/>
          <w:szCs w:val="19"/>
          <w:color w:val="00C000"/>
          <w:strike w:val="1"/>
        </w:rPr>
        <w:t xml:space="preserve">Administrative Agent), or by the Administrative Agent on its own behalf or on behalf of a Lender or </w:t>
      </w:r>
      <w:r>
        <w:rPr>
          <w:rFonts w:ascii="Arial" w:cs="Arial" w:eastAsia="Arial" w:hAnsi="Arial"/>
          <w:sz w:val="19"/>
          <w:szCs w:val="19"/>
          <w:color w:val="FF0000"/>
          <w:strike w:val="1"/>
        </w:rPr>
        <w:t>an L/C Issuer, shall be conclusive</w:t>
      </w:r>
      <w:r>
        <w:rPr>
          <w:rFonts w:ascii="Arial" w:cs="Arial" w:eastAsia="Arial" w:hAnsi="Arial"/>
          <w:sz w:val="19"/>
          <w:szCs w:val="19"/>
          <w:color w:val="00C000"/>
          <w:strike w:val="1"/>
        </w:rPr>
        <w:t xml:space="preserve"> </w:t>
      </w:r>
      <w:r>
        <w:rPr>
          <w:rFonts w:ascii="Arial" w:cs="Arial" w:eastAsia="Arial" w:hAnsi="Arial"/>
          <w:sz w:val="19"/>
          <w:szCs w:val="19"/>
          <w:color w:val="FF0000"/>
          <w:strike w:val="1"/>
        </w:rPr>
        <w:t>absent manifest error</w:t>
      </w:r>
      <w:r>
        <w:rPr>
          <w:rFonts w:ascii="Arial" w:cs="Arial" w:eastAsia="Arial" w:hAnsi="Arial"/>
          <w:sz w:val="19"/>
          <w:szCs w:val="19"/>
          <w:u w:val="single" w:color="auto"/>
          <w:color w:val="0000FF"/>
          <w:strike w:val="1"/>
        </w:rPr>
        <w:t>pursuant to Section 3.01(c)(ii) below</w:t>
      </w:r>
      <w:r>
        <w:rPr>
          <w:rFonts w:ascii="Arial" w:cs="Arial" w:eastAsia="Arial" w:hAnsi="Arial"/>
          <w:sz w:val="19"/>
          <w:szCs w:val="19"/>
          <w:color w:val="000000"/>
          <w:strike w:val="1"/>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4542155</wp:posOffset>
            </wp:positionH>
            <wp:positionV relativeFrom="paragraph">
              <wp:posOffset>-1055370</wp:posOffset>
            </wp:positionV>
            <wp:extent cx="2317750"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2317750" cy="8890"/>
                    </a:xfrm>
                    <a:prstGeom prst="rect">
                      <a:avLst/>
                    </a:prstGeom>
                    <a:noFill/>
                  </pic:spPr>
                </pic:pic>
              </a:graphicData>
            </a:graphic>
          </wp:anchor>
        </w:drawing>
        <w:drawing>
          <wp:anchor simplePos="0" relativeHeight="251657728" behindDoc="1" locked="0" layoutInCell="0" allowOverlap="1">
            <wp:simplePos x="0" y="0"/>
            <wp:positionH relativeFrom="column">
              <wp:posOffset>5034280</wp:posOffset>
            </wp:positionH>
            <wp:positionV relativeFrom="paragraph">
              <wp:posOffset>-369570</wp:posOffset>
            </wp:positionV>
            <wp:extent cx="1532255"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1532255" cy="8890"/>
                    </a:xfrm>
                    <a:prstGeom prst="rect">
                      <a:avLst/>
                    </a:prstGeom>
                    <a:noFill/>
                  </pic:spPr>
                </pic:pic>
              </a:graphicData>
            </a:graphic>
          </wp:anchor>
        </w:drawing>
      </w:r>
    </w:p>
    <w:p>
      <w:pPr>
        <w:spacing w:after="0" w:line="177" w:lineRule="exact"/>
        <w:rPr>
          <w:sz w:val="20"/>
          <w:szCs w:val="20"/>
          <w:color w:val="auto"/>
        </w:rPr>
      </w:pPr>
    </w:p>
    <w:p>
      <w:pPr>
        <w:ind w:left="660" w:right="40" w:firstLine="1297"/>
        <w:spacing w:after="0" w:line="271" w:lineRule="auto"/>
        <w:rPr>
          <w:sz w:val="20"/>
          <w:szCs w:val="20"/>
          <w:color w:val="auto"/>
        </w:rPr>
      </w:pPr>
      <w:r>
        <w:rPr>
          <w:rFonts w:ascii="Arial" w:cs="Arial" w:eastAsia="Arial" w:hAnsi="Arial"/>
          <w:sz w:val="18"/>
          <w:szCs w:val="18"/>
          <w:color w:val="FF0000"/>
          <w:strike w:val="1"/>
        </w:rPr>
        <w:t>(ii) Without limiting the provisions of</w:t>
      </w:r>
      <w:r>
        <w:rPr>
          <w:rFonts w:ascii="Arial" w:cs="Arial" w:eastAsia="Arial" w:hAnsi="Arial"/>
          <w:sz w:val="18"/>
          <w:szCs w:val="18"/>
          <w:color w:val="FF0000"/>
        </w:rPr>
        <w:t xml:space="preserve"> </w:t>
      </w:r>
      <w:r>
        <w:rPr>
          <w:rFonts w:ascii="Arial" w:cs="Arial" w:eastAsia="Arial" w:hAnsi="Arial"/>
          <w:sz w:val="18"/>
          <w:szCs w:val="18"/>
          <w:u w:val="single" w:color="auto"/>
          <w:color w:val="FF0000"/>
          <w:strike w:val="1"/>
        </w:rPr>
        <w:t>subsection (a)</w:t>
      </w:r>
      <w:r>
        <w:rPr>
          <w:rFonts w:ascii="Arial" w:cs="Arial" w:eastAsia="Arial" w:hAnsi="Arial"/>
          <w:sz w:val="18"/>
          <w:szCs w:val="18"/>
          <w:color w:val="FF0000"/>
        </w:rPr>
        <w:t xml:space="preserve"> </w:t>
      </w:r>
      <w:r>
        <w:rPr>
          <w:rFonts w:ascii="Arial" w:cs="Arial" w:eastAsia="Arial" w:hAnsi="Arial"/>
          <w:sz w:val="18"/>
          <w:szCs w:val="18"/>
          <w:color w:val="FF0000"/>
          <w:strike w:val="1"/>
        </w:rPr>
        <w:t>or</w:t>
      </w:r>
      <w:r>
        <w:rPr>
          <w:rFonts w:ascii="Arial" w:cs="Arial" w:eastAsia="Arial" w:hAnsi="Arial"/>
          <w:sz w:val="18"/>
          <w:szCs w:val="18"/>
          <w:color w:val="FF0000"/>
        </w:rPr>
        <w:t xml:space="preserve"> </w:t>
      </w:r>
      <w:r>
        <w:rPr>
          <w:rFonts w:ascii="Arial" w:cs="Arial" w:eastAsia="Arial" w:hAnsi="Arial"/>
          <w:sz w:val="18"/>
          <w:szCs w:val="18"/>
          <w:u w:val="single" w:color="auto"/>
          <w:color w:val="FF0000"/>
          <w:strike w:val="1"/>
        </w:rPr>
        <w:t>(b)</w:t>
      </w:r>
      <w:r>
        <w:rPr>
          <w:rFonts w:ascii="Arial" w:cs="Arial" w:eastAsia="Arial" w:hAnsi="Arial"/>
          <w:sz w:val="18"/>
          <w:szCs w:val="18"/>
          <w:color w:val="FF0000"/>
        </w:rPr>
        <w:t xml:space="preserve"> </w:t>
      </w:r>
      <w:r>
        <w:rPr>
          <w:rFonts w:ascii="Arial" w:cs="Arial" w:eastAsia="Arial" w:hAnsi="Arial"/>
          <w:sz w:val="18"/>
          <w:szCs w:val="18"/>
          <w:color w:val="FF0000"/>
          <w:strike w:val="1"/>
        </w:rPr>
        <w:t>above, each</w:t>
      </w:r>
      <w:r>
        <w:rPr>
          <w:rFonts w:ascii="Arial" w:cs="Arial" w:eastAsia="Arial" w:hAnsi="Arial"/>
          <w:sz w:val="18"/>
          <w:szCs w:val="18"/>
          <w:u w:val="single" w:color="auto"/>
          <w:color w:val="0000FF"/>
        </w:rPr>
        <w:t>(ii) Each</w:t>
      </w:r>
      <w:r>
        <w:rPr>
          <w:rFonts w:ascii="Arial" w:cs="Arial" w:eastAsia="Arial" w:hAnsi="Arial"/>
          <w:sz w:val="18"/>
          <w:szCs w:val="18"/>
          <w:color w:val="FF0000"/>
        </w:rPr>
        <w:t xml:space="preserve"> </w:t>
      </w:r>
      <w:r>
        <w:rPr>
          <w:rFonts w:ascii="Arial" w:cs="Arial" w:eastAsia="Arial" w:hAnsi="Arial"/>
          <w:sz w:val="18"/>
          <w:szCs w:val="18"/>
          <w:color w:val="000000"/>
        </w:rPr>
        <w:t>Lender and</w:t>
      </w:r>
      <w:r>
        <w:rPr>
          <w:rFonts w:ascii="Arial" w:cs="Arial" w:eastAsia="Arial" w:hAnsi="Arial"/>
          <w:sz w:val="18"/>
          <w:szCs w:val="18"/>
          <w:color w:val="FF0000"/>
        </w:rPr>
        <w:t xml:space="preserve"> </w:t>
      </w:r>
      <w:r>
        <w:rPr>
          <w:rFonts w:ascii="Arial" w:cs="Arial" w:eastAsia="Arial" w:hAnsi="Arial"/>
          <w:sz w:val="18"/>
          <w:szCs w:val="18"/>
          <w:color w:val="FF0000"/>
          <w:strike w:val="1"/>
        </w:rPr>
        <w:t>each</w:t>
      </w:r>
      <w:r>
        <w:rPr>
          <w:rFonts w:ascii="Arial" w:cs="Arial" w:eastAsia="Arial" w:hAnsi="Arial"/>
          <w:sz w:val="18"/>
          <w:szCs w:val="18"/>
          <w:u w:val="single" w:color="auto"/>
          <w:color w:val="0000FF"/>
        </w:rPr>
        <w:t>the</w:t>
      </w:r>
      <w:r>
        <w:rPr>
          <w:rFonts w:ascii="Arial" w:cs="Arial" w:eastAsia="Arial" w:hAnsi="Arial"/>
          <w:sz w:val="18"/>
          <w:szCs w:val="18"/>
          <w:color w:val="FF0000"/>
        </w:rPr>
        <w:t xml:space="preserve"> </w:t>
      </w:r>
      <w:r>
        <w:rPr>
          <w:rFonts w:ascii="Arial" w:cs="Arial" w:eastAsia="Arial" w:hAnsi="Arial"/>
          <w:sz w:val="18"/>
          <w:szCs w:val="18"/>
          <w:color w:val="000000"/>
        </w:rPr>
        <w:t>L/C Issuer</w:t>
      </w:r>
      <w:r>
        <w:rPr>
          <w:rFonts w:ascii="Arial" w:cs="Arial" w:eastAsia="Arial" w:hAnsi="Arial"/>
          <w:sz w:val="18"/>
          <w:szCs w:val="18"/>
          <w:color w:val="FF0000"/>
        </w:rPr>
        <w:t xml:space="preserve"> </w:t>
      </w:r>
      <w:r>
        <w:rPr>
          <w:rFonts w:ascii="Arial" w:cs="Arial" w:eastAsia="Arial" w:hAnsi="Arial"/>
          <w:sz w:val="18"/>
          <w:szCs w:val="18"/>
          <w:color w:val="000000"/>
        </w:rPr>
        <w:t xml:space="preserve">shall, and does hereby, </w:t>
      </w:r>
      <w:r>
        <w:rPr>
          <w:rFonts w:ascii="Arial" w:cs="Arial" w:eastAsia="Arial" w:hAnsi="Arial"/>
          <w:sz w:val="18"/>
          <w:szCs w:val="18"/>
          <w:u w:val="single" w:color="auto"/>
          <w:color w:val="0000FF"/>
        </w:rPr>
        <w:t>severally</w:t>
      </w:r>
      <w:r>
        <w:rPr>
          <w:rFonts w:ascii="Arial" w:cs="Arial" w:eastAsia="Arial" w:hAnsi="Arial"/>
          <w:sz w:val="18"/>
          <w:szCs w:val="18"/>
          <w:color w:val="000000"/>
        </w:rPr>
        <w:t xml:space="preserve"> indemnify </w:t>
      </w:r>
      <w:r>
        <w:rPr>
          <w:rFonts w:ascii="Arial" w:cs="Arial" w:eastAsia="Arial" w:hAnsi="Arial"/>
          <w:sz w:val="18"/>
          <w:szCs w:val="18"/>
          <w:color w:val="FF0000"/>
          <w:strike w:val="1"/>
        </w:rPr>
        <w:t>each Credit Party and the Administrative Agent,</w:t>
      </w:r>
      <w:r>
        <w:rPr>
          <w:rFonts w:ascii="Arial" w:cs="Arial" w:eastAsia="Arial" w:hAnsi="Arial"/>
          <w:sz w:val="18"/>
          <w:szCs w:val="18"/>
          <w:color w:val="000000"/>
        </w:rPr>
        <w:t xml:space="preserve"> and shall make payment in respect thereof within </w:t>
      </w:r>
      <w:r>
        <w:rPr>
          <w:rFonts w:ascii="Arial" w:cs="Arial" w:eastAsia="Arial" w:hAnsi="Arial"/>
          <w:sz w:val="18"/>
          <w:szCs w:val="18"/>
          <w:color w:val="FF0000"/>
          <w:strike w:val="1"/>
        </w:rPr>
        <w:t>ten</w:t>
      </w:r>
      <w:r>
        <w:rPr>
          <w:rFonts w:ascii="Arial" w:cs="Arial" w:eastAsia="Arial" w:hAnsi="Arial"/>
          <w:sz w:val="18"/>
          <w:szCs w:val="18"/>
          <w:u w:val="single" w:color="auto"/>
          <w:color w:val="0000FF"/>
        </w:rPr>
        <w:t>thirty (30)</w:t>
      </w:r>
      <w:r>
        <w:rPr>
          <w:rFonts w:ascii="Arial" w:cs="Arial" w:eastAsia="Arial" w:hAnsi="Arial"/>
          <w:sz w:val="18"/>
          <w:szCs w:val="18"/>
          <w:color w:val="000000"/>
        </w:rPr>
        <w:t xml:space="preserve"> days after demand therefor, </w:t>
      </w:r>
      <w:r>
        <w:rPr>
          <w:rFonts w:ascii="Arial" w:cs="Arial" w:eastAsia="Arial" w:hAnsi="Arial"/>
          <w:sz w:val="18"/>
          <w:szCs w:val="18"/>
          <w:u w:val="single" w:color="auto"/>
          <w:color w:val="0000FF"/>
        </w:rPr>
        <w:t>(A) the Administrative Agent</w:t>
      </w:r>
      <w:r>
        <w:rPr>
          <w:rFonts w:ascii="Arial" w:cs="Arial" w:eastAsia="Arial" w:hAnsi="Arial"/>
          <w:sz w:val="18"/>
          <w:szCs w:val="18"/>
          <w:color w:val="000000"/>
        </w:rPr>
        <w:t xml:space="preserve"> against any </w:t>
      </w:r>
      <w:r>
        <w:rPr>
          <w:rFonts w:ascii="Arial" w:cs="Arial" w:eastAsia="Arial" w:hAnsi="Arial"/>
          <w:sz w:val="18"/>
          <w:szCs w:val="18"/>
          <w:color w:val="FF0000"/>
          <w:strike w:val="1"/>
        </w:rPr>
        <w:t>and all Taxes and any and all related losses,</w:t>
      </w:r>
      <w:r>
        <w:rPr>
          <w:rFonts w:ascii="Arial" w:cs="Arial" w:eastAsia="Arial" w:hAnsi="Arial"/>
          <w:sz w:val="18"/>
          <w:szCs w:val="18"/>
          <w:color w:val="000000"/>
        </w:rPr>
        <w:t xml:space="preserve"> </w:t>
      </w:r>
      <w:r>
        <w:rPr>
          <w:rFonts w:ascii="Arial" w:cs="Arial" w:eastAsia="Arial" w:hAnsi="Arial"/>
          <w:sz w:val="18"/>
          <w:szCs w:val="18"/>
          <w:color w:val="FF0000"/>
          <w:strike w:val="1"/>
        </w:rPr>
        <w:t xml:space="preserve">claims, liabilities, penalties, interest and expenses (including the </w:t>
      </w:r>
      <w:r>
        <w:rPr>
          <w:rFonts w:ascii="Arial" w:cs="Arial" w:eastAsia="Arial" w:hAnsi="Arial"/>
          <w:sz w:val="18"/>
          <w:szCs w:val="18"/>
          <w:color w:val="00C000"/>
          <w:strike w:val="1"/>
        </w:rPr>
        <w:t>reasonable fees, charges and disbursements of</w:t>
      </w:r>
      <w:r>
        <w:rPr>
          <w:rFonts w:ascii="Arial" w:cs="Arial" w:eastAsia="Arial" w:hAnsi="Arial"/>
          <w:sz w:val="18"/>
          <w:szCs w:val="18"/>
          <w:color w:val="FF0000"/>
          <w:strike w:val="1"/>
        </w:rPr>
        <w:t xml:space="preserve"> any counsel for such Credit Party or the Administrative Agent) incurred by or asserted against such Credit Party or the Administrative Agent by any Governmental Authority as a result of the failure by such Lender or such L/C Issuer, as the case may be, to deliver, or as a result of the inaccuracy, inadequacy or deficiency of, any documentation required to be delivered by such Lender or such L/C Issuer, as the case may be, to such Credit Party or</w:t>
      </w:r>
      <w:r>
        <w:rPr>
          <w:rFonts w:ascii="Arial" w:cs="Arial" w:eastAsia="Arial" w:hAnsi="Arial"/>
          <w:sz w:val="18"/>
          <w:szCs w:val="18"/>
          <w:u w:val="single" w:color="auto"/>
          <w:color w:val="0000FF"/>
          <w:strike w:val="1"/>
        </w:rPr>
        <w:t>Indemnified Taxes attributable to such Lender or the L/C Issuer (but only to the extent that any Credit</w:t>
      </w:r>
      <w:r>
        <w:rPr>
          <w:rFonts w:ascii="Arial" w:cs="Arial" w:eastAsia="Arial" w:hAnsi="Arial"/>
          <w:sz w:val="18"/>
          <w:szCs w:val="18"/>
          <w:color w:val="FF0000"/>
          <w:strike w:val="1"/>
        </w:rPr>
        <w:t xml:space="preserve"> </w:t>
      </w:r>
      <w:r>
        <w:rPr>
          <w:rFonts w:ascii="Arial" w:cs="Arial" w:eastAsia="Arial" w:hAnsi="Arial"/>
          <w:sz w:val="18"/>
          <w:szCs w:val="18"/>
          <w:u w:val="single" w:color="auto"/>
          <w:color w:val="0000FF"/>
          <w:strike w:val="1"/>
        </w:rPr>
        <w:t>Party has not already indemnified the Administrative Agent for such Indemnified Taxes and without limiting the obligation of the Credit Parties to do so), (B) the Administrative Agent and the Credit Parties, as applicable, against any Taxes attributable to such Lender’s failure to comply with the provisions of Section 11.06(d) relating to the maintenance of</w:t>
      </w:r>
    </w:p>
    <w:p>
      <w:pPr>
        <w:spacing w:after="0" w:line="198" w:lineRule="exact"/>
        <w:rPr>
          <w:sz w:val="20"/>
          <w:szCs w:val="20"/>
          <w:color w:val="auto"/>
        </w:rPr>
      </w:pPr>
    </w:p>
    <w:p>
      <w:pPr>
        <w:jc w:val="center"/>
        <w:ind w:right="-39"/>
        <w:spacing w:after="0"/>
        <w:rPr>
          <w:sz w:val="20"/>
          <w:szCs w:val="20"/>
          <w:color w:val="auto"/>
        </w:rPr>
      </w:pPr>
      <w:r>
        <w:rPr>
          <w:rFonts w:ascii="Arial" w:cs="Arial" w:eastAsia="Arial" w:hAnsi="Arial"/>
          <w:sz w:val="20"/>
          <w:szCs w:val="20"/>
          <w:color w:val="auto"/>
        </w:rPr>
        <w:t>118</w:t>
      </w:r>
    </w:p>
    <w:p>
      <w:pPr>
        <w:spacing w:after="0" w:line="10" w:lineRule="exact"/>
        <w:rPr>
          <w:sz w:val="20"/>
          <w:szCs w:val="20"/>
          <w:color w:val="auto"/>
        </w:rPr>
      </w:pPr>
    </w:p>
    <w:p>
      <w:pPr>
        <w:spacing w:after="0"/>
        <w:rPr>
          <w:sz w:val="20"/>
          <w:szCs w:val="20"/>
          <w:color w:val="auto"/>
        </w:rPr>
      </w:pPr>
      <w:r>
        <w:rPr>
          <w:rFonts w:ascii="Arial" w:cs="Arial" w:eastAsia="Arial" w:hAnsi="Arial"/>
          <w:sz w:val="14"/>
          <w:szCs w:val="14"/>
          <w:color w:val="auto"/>
        </w:rPr>
        <w:t>CHAR1\1346423v</w:t>
      </w:r>
      <w:r>
        <w:rPr>
          <w:rFonts w:ascii="Arial" w:cs="Arial" w:eastAsia="Arial" w:hAnsi="Arial"/>
          <w:sz w:val="14"/>
          <w:szCs w:val="14"/>
          <w:color w:val="FF0000"/>
          <w:strike w:val="1"/>
        </w:rPr>
        <w:t>1</w:t>
      </w:r>
      <w:r>
        <w:rPr>
          <w:rFonts w:ascii="Arial" w:cs="Arial" w:eastAsia="Arial" w:hAnsi="Arial"/>
          <w:sz w:val="14"/>
          <w:szCs w:val="14"/>
          <w:u w:val="single" w:color="auto"/>
          <w:color w:val="0000FF"/>
        </w:rPr>
        <w:t>12</w:t>
      </w:r>
    </w:p>
    <w:p>
      <w:pPr>
        <w:sectPr>
          <w:pgSz w:w="11900" w:h="16838" w:orient="portrait"/>
          <w:cols w:equalWidth="0" w:num="1">
            <w:col w:w="11380"/>
          </w:cols>
          <w:pgMar w:left="240" w:top="582" w:right="279" w:bottom="1440" w:gutter="0" w:footer="0" w:header="0"/>
        </w:sectPr>
      </w:pPr>
    </w:p>
    <w:bookmarkStart w:id="170" w:name="page171"/>
    <w:bookmarkEnd w:id="170"/>
    <w:p>
      <w:pPr>
        <w:ind w:left="660"/>
        <w:spacing w:after="0" w:line="271" w:lineRule="auto"/>
        <w:rPr>
          <w:sz w:val="20"/>
          <w:szCs w:val="20"/>
          <w:color w:val="auto"/>
        </w:rPr>
      </w:pPr>
      <w:r>
        <w:rPr>
          <w:rFonts w:ascii="Arial" w:cs="Arial" w:eastAsia="Arial" w:hAnsi="Arial"/>
          <w:sz w:val="18"/>
          <w:szCs w:val="18"/>
          <w:u w:val="single" w:color="auto"/>
          <w:color w:val="0000FF"/>
        </w:rPr>
        <w:t>a Participant Register and (C) the Administrative Agent and the Credit Parties, as applicable, against any Excluded Taxes attributable to such Lender or the L/C Issuer, in each case, that are payable or paid by the Administrative Agent or a Credit Party in connection with any Credit Document, and any reasonable expenses arising therefrom or with respect thereto, whether or not such Taxes were correctly or legally imposed or asserted by the relevant Governmental Authority. A certificate as to the amount of such payment or liability delivered to any Lender by</w:t>
      </w:r>
      <w:r>
        <w:rPr>
          <w:rFonts w:ascii="Arial" w:cs="Arial" w:eastAsia="Arial" w:hAnsi="Arial"/>
          <w:sz w:val="18"/>
          <w:szCs w:val="18"/>
          <w:color w:val="0000FF"/>
        </w:rPr>
        <w:t xml:space="preserve"> </w:t>
      </w:r>
      <w:r>
        <w:rPr>
          <w:rFonts w:ascii="Arial" w:cs="Arial" w:eastAsia="Arial" w:hAnsi="Arial"/>
          <w:sz w:val="18"/>
          <w:szCs w:val="18"/>
          <w:color w:val="000000"/>
        </w:rPr>
        <w:t>the Administrative Agent</w:t>
      </w:r>
      <w:r>
        <w:rPr>
          <w:rFonts w:ascii="Arial" w:cs="Arial" w:eastAsia="Arial" w:hAnsi="Arial"/>
          <w:sz w:val="18"/>
          <w:szCs w:val="18"/>
          <w:color w:val="0000FF"/>
        </w:rPr>
        <w:t xml:space="preserve"> </w:t>
      </w:r>
      <w:r>
        <w:rPr>
          <w:rFonts w:ascii="Arial" w:cs="Arial" w:eastAsia="Arial" w:hAnsi="Arial"/>
          <w:sz w:val="18"/>
          <w:szCs w:val="18"/>
          <w:color w:val="FF0000"/>
          <w:strike w:val="1"/>
        </w:rPr>
        <w:t>pursuant to</w:t>
      </w:r>
      <w:r>
        <w:rPr>
          <w:rFonts w:ascii="Arial" w:cs="Arial" w:eastAsia="Arial" w:hAnsi="Arial"/>
          <w:sz w:val="18"/>
          <w:szCs w:val="18"/>
          <w:color w:val="0000FF"/>
        </w:rPr>
        <w:t xml:space="preserve"> </w:t>
      </w:r>
      <w:r>
        <w:rPr>
          <w:rFonts w:ascii="Arial" w:cs="Arial" w:eastAsia="Arial" w:hAnsi="Arial"/>
          <w:sz w:val="18"/>
          <w:szCs w:val="18"/>
          <w:u w:val="single" w:color="auto"/>
          <w:color w:val="FF0000"/>
          <w:strike w:val="1"/>
        </w:rPr>
        <w:t>subsection (e)</w:t>
      </w:r>
      <w:r>
        <w:rPr>
          <w:rFonts w:ascii="Arial" w:cs="Arial" w:eastAsia="Arial" w:hAnsi="Arial"/>
          <w:sz w:val="18"/>
          <w:szCs w:val="18"/>
          <w:u w:val="single" w:color="auto"/>
          <w:color w:val="0000FF"/>
        </w:rPr>
        <w:t>shall be conclusive absent manifest error</w:t>
      </w:r>
      <w:r>
        <w:rPr>
          <w:rFonts w:ascii="Arial" w:cs="Arial" w:eastAsia="Arial" w:hAnsi="Arial"/>
          <w:sz w:val="18"/>
          <w:szCs w:val="18"/>
          <w:color w:val="000000"/>
        </w:rPr>
        <w:t>. Each Lender</w:t>
      </w:r>
      <w:r>
        <w:rPr>
          <w:rFonts w:ascii="Arial" w:cs="Arial" w:eastAsia="Arial" w:hAnsi="Arial"/>
          <w:sz w:val="18"/>
          <w:szCs w:val="18"/>
          <w:color w:val="0000FF"/>
        </w:rPr>
        <w:t xml:space="preserve"> </w:t>
      </w:r>
      <w:r>
        <w:rPr>
          <w:rFonts w:ascii="Arial" w:cs="Arial" w:eastAsia="Arial" w:hAnsi="Arial"/>
          <w:sz w:val="18"/>
          <w:szCs w:val="18"/>
          <w:color w:val="000000"/>
        </w:rPr>
        <w:t xml:space="preserve">and </w:t>
      </w:r>
      <w:r>
        <w:rPr>
          <w:rFonts w:ascii="Arial" w:cs="Arial" w:eastAsia="Arial" w:hAnsi="Arial"/>
          <w:sz w:val="18"/>
          <w:szCs w:val="18"/>
          <w:color w:val="FF0000"/>
          <w:strike w:val="1"/>
        </w:rPr>
        <w:t>each</w:t>
      </w:r>
      <w:r>
        <w:rPr>
          <w:rFonts w:ascii="Arial" w:cs="Arial" w:eastAsia="Arial" w:hAnsi="Arial"/>
          <w:sz w:val="18"/>
          <w:szCs w:val="18"/>
          <w:u w:val="single" w:color="auto"/>
          <w:color w:val="0000FF"/>
        </w:rPr>
        <w:t>the</w:t>
      </w:r>
      <w:r>
        <w:rPr>
          <w:rFonts w:ascii="Arial" w:cs="Arial" w:eastAsia="Arial" w:hAnsi="Arial"/>
          <w:sz w:val="18"/>
          <w:szCs w:val="18"/>
          <w:color w:val="000000"/>
        </w:rPr>
        <w:t xml:space="preserve"> L/C Issuer hereby authorizes the Administrative Agent to set off and apply any and all amounts at any time owing to such Lender or </w:t>
      </w:r>
      <w:r>
        <w:rPr>
          <w:rFonts w:ascii="Arial" w:cs="Arial" w:eastAsia="Arial" w:hAnsi="Arial"/>
          <w:sz w:val="18"/>
          <w:szCs w:val="18"/>
          <w:color w:val="FF0000"/>
          <w:strike w:val="1"/>
        </w:rPr>
        <w:t>such</w:t>
      </w:r>
      <w:r>
        <w:rPr>
          <w:rFonts w:ascii="Arial" w:cs="Arial" w:eastAsia="Arial" w:hAnsi="Arial"/>
          <w:sz w:val="18"/>
          <w:szCs w:val="18"/>
          <w:u w:val="single" w:color="auto"/>
          <w:color w:val="0000FF"/>
        </w:rPr>
        <w:t>the</w:t>
      </w:r>
      <w:r>
        <w:rPr>
          <w:rFonts w:ascii="Arial" w:cs="Arial" w:eastAsia="Arial" w:hAnsi="Arial"/>
          <w:sz w:val="18"/>
          <w:szCs w:val="18"/>
          <w:color w:val="000000"/>
        </w:rPr>
        <w:t xml:space="preserve"> L/C Issuer, as the case may be, under this </w:t>
      </w:r>
      <w:r>
        <w:rPr>
          <w:rFonts w:ascii="Arial" w:cs="Arial" w:eastAsia="Arial" w:hAnsi="Arial"/>
          <w:sz w:val="18"/>
          <w:szCs w:val="18"/>
          <w:color w:val="FF0000"/>
          <w:strike w:val="1"/>
        </w:rPr>
        <w:t>Credit</w:t>
      </w:r>
      <w:r>
        <w:rPr>
          <w:rFonts w:ascii="Arial" w:cs="Arial" w:eastAsia="Arial" w:hAnsi="Arial"/>
          <w:sz w:val="18"/>
          <w:szCs w:val="18"/>
          <w:color w:val="000000"/>
        </w:rPr>
        <w:t xml:space="preserve"> Agreement or any other Credit Document against any amount due to the Administrative Agent under this clause (ii). </w:t>
      </w:r>
      <w:r>
        <w:rPr>
          <w:rFonts w:ascii="Arial" w:cs="Arial" w:eastAsia="Arial" w:hAnsi="Arial"/>
          <w:sz w:val="18"/>
          <w:szCs w:val="18"/>
          <w:color w:val="FF0000"/>
          <w:strike w:val="1"/>
        </w:rPr>
        <w:t>The agreements in this</w:t>
      </w:r>
      <w:r>
        <w:rPr>
          <w:rFonts w:ascii="Arial" w:cs="Arial" w:eastAsia="Arial" w:hAnsi="Arial"/>
          <w:sz w:val="18"/>
          <w:szCs w:val="18"/>
          <w:color w:val="000000"/>
        </w:rPr>
        <w:t xml:space="preserve"> </w:t>
      </w:r>
      <w:r>
        <w:rPr>
          <w:rFonts w:ascii="Arial" w:cs="Arial" w:eastAsia="Arial" w:hAnsi="Arial"/>
          <w:sz w:val="18"/>
          <w:szCs w:val="18"/>
          <w:u w:val="single" w:color="auto"/>
          <w:color w:val="FF0000"/>
          <w:strike w:val="1"/>
        </w:rPr>
        <w:t>clause (ii)</w:t>
      </w:r>
      <w:r>
        <w:rPr>
          <w:rFonts w:ascii="Arial" w:cs="Arial" w:eastAsia="Arial" w:hAnsi="Arial"/>
          <w:sz w:val="18"/>
          <w:szCs w:val="18"/>
          <w:color w:val="000000"/>
        </w:rPr>
        <w:t xml:space="preserve"> </w:t>
      </w:r>
      <w:r>
        <w:rPr>
          <w:rFonts w:ascii="Arial" w:cs="Arial" w:eastAsia="Arial" w:hAnsi="Arial"/>
          <w:sz w:val="18"/>
          <w:szCs w:val="18"/>
          <w:color w:val="00C000"/>
          <w:strike w:val="1"/>
        </w:rPr>
        <w:t>shall survive the resignation</w:t>
      </w:r>
      <w:r>
        <w:rPr>
          <w:rFonts w:ascii="Arial" w:cs="Arial" w:eastAsia="Arial" w:hAnsi="Arial"/>
          <w:sz w:val="18"/>
          <w:szCs w:val="18"/>
          <w:color w:val="000000"/>
        </w:rPr>
        <w:t xml:space="preserve"> </w:t>
      </w:r>
      <w:r>
        <w:rPr>
          <w:rFonts w:ascii="Arial" w:cs="Arial" w:eastAsia="Arial" w:hAnsi="Arial"/>
          <w:sz w:val="18"/>
          <w:szCs w:val="18"/>
          <w:color w:val="FF0000"/>
          <w:strike w:val="1"/>
        </w:rPr>
        <w:t>and/or replacement of</w:t>
      </w:r>
      <w:r>
        <w:rPr>
          <w:rFonts w:ascii="Arial" w:cs="Arial" w:eastAsia="Arial" w:hAnsi="Arial"/>
          <w:sz w:val="18"/>
          <w:szCs w:val="18"/>
          <w:color w:val="000000"/>
        </w:rPr>
        <w:t xml:space="preserve"> </w:t>
      </w:r>
      <w:r>
        <w:rPr>
          <w:rFonts w:ascii="Arial" w:cs="Arial" w:eastAsia="Arial" w:hAnsi="Arial"/>
          <w:sz w:val="18"/>
          <w:szCs w:val="18"/>
          <w:color w:val="FF0000"/>
          <w:strike w:val="1"/>
        </w:rPr>
        <w:t>the Administrative Agent, any assignment of rights by, or the replacement of, a Lender or an</w:t>
      </w:r>
      <w:r>
        <w:rPr>
          <w:rFonts w:ascii="Arial" w:cs="Arial" w:eastAsia="Arial" w:hAnsi="Arial"/>
          <w:sz w:val="18"/>
          <w:szCs w:val="18"/>
          <w:color w:val="FF0000"/>
        </w:rPr>
        <w:t xml:space="preserve"> </w:t>
      </w:r>
      <w:r>
        <w:rPr>
          <w:rFonts w:ascii="Arial" w:cs="Arial" w:eastAsia="Arial" w:hAnsi="Arial"/>
          <w:sz w:val="18"/>
          <w:szCs w:val="18"/>
          <w:color w:val="00C000"/>
        </w:rPr>
        <w:t>L/C Issuer, the termination of the</w:t>
      </w:r>
      <w:r>
        <w:rPr>
          <w:rFonts w:ascii="Arial" w:cs="Arial" w:eastAsia="Arial" w:hAnsi="Arial"/>
          <w:sz w:val="18"/>
          <w:szCs w:val="18"/>
          <w:color w:val="FF0000"/>
        </w:rPr>
        <w:t xml:space="preserve"> </w:t>
      </w:r>
      <w:r>
        <w:rPr>
          <w:rFonts w:ascii="Arial" w:cs="Arial" w:eastAsia="Arial" w:hAnsi="Arial"/>
          <w:sz w:val="18"/>
          <w:szCs w:val="18"/>
          <w:color w:val="00C000"/>
          <w:strike w:val="1"/>
        </w:rPr>
        <w:t>Commitments and the repayment, satisfaction or discharge of all other Obligations.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5064760</wp:posOffset>
            </wp:positionH>
            <wp:positionV relativeFrom="paragraph">
              <wp:posOffset>-229235</wp:posOffset>
            </wp:positionV>
            <wp:extent cx="1701800"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1701800" cy="8890"/>
                    </a:xfrm>
                    <a:prstGeom prst="rect">
                      <a:avLst/>
                    </a:prstGeom>
                    <a:noFill/>
                  </pic:spPr>
                </pic:pic>
              </a:graphicData>
            </a:graphic>
          </wp:anchor>
        </w:drawing>
      </w:r>
    </w:p>
    <w:p>
      <w:pPr>
        <w:spacing w:after="0" w:line="222" w:lineRule="exact"/>
        <w:rPr>
          <w:sz w:val="20"/>
          <w:szCs w:val="20"/>
          <w:color w:val="auto"/>
        </w:rPr>
      </w:pPr>
    </w:p>
    <w:p>
      <w:pPr>
        <w:ind w:left="1720" w:hanging="415"/>
        <w:spacing w:after="0"/>
        <w:tabs>
          <w:tab w:leader="none" w:pos="1720" w:val="left"/>
        </w:tabs>
        <w:numPr>
          <w:ilvl w:val="0"/>
          <w:numId w:val="162"/>
        </w:numPr>
        <w:rPr>
          <w:rFonts w:ascii="Arial" w:cs="Arial" w:eastAsia="Arial" w:hAnsi="Arial"/>
          <w:sz w:val="18"/>
          <w:szCs w:val="18"/>
          <w:color w:val="auto"/>
        </w:rPr>
      </w:pPr>
      <w:r>
        <w:rPr>
          <w:rFonts w:ascii="Arial" w:cs="Arial" w:eastAsia="Arial" w:hAnsi="Arial"/>
          <w:sz w:val="18"/>
          <w:szCs w:val="18"/>
          <w:color w:val="FF0000"/>
          <w:strike w:val="1"/>
        </w:rPr>
        <w:t>(h)</w:t>
      </w:r>
      <w:r>
        <w:rPr>
          <w:rFonts w:ascii="Arial" w:cs="Arial" w:eastAsia="Arial" w:hAnsi="Arial"/>
          <w:sz w:val="18"/>
          <w:szCs w:val="18"/>
          <w:color w:val="FF0000"/>
        </w:rPr>
        <w:t xml:space="preserve"> </w:t>
      </w:r>
      <w:r>
        <w:rPr>
          <w:rFonts w:ascii="Arial" w:cs="Arial" w:eastAsia="Arial" w:hAnsi="Arial"/>
          <w:sz w:val="18"/>
          <w:szCs w:val="18"/>
          <w:u w:val="single" w:color="auto"/>
          <w:color w:val="000000"/>
        </w:rPr>
        <w:t>Evidence of Payments</w:t>
      </w:r>
      <w:r>
        <w:rPr>
          <w:rFonts w:ascii="Arial" w:cs="Arial" w:eastAsia="Arial" w:hAnsi="Arial"/>
          <w:sz w:val="18"/>
          <w:szCs w:val="18"/>
          <w:color w:val="000000"/>
        </w:rPr>
        <w:t>. Upon request by the Borrowers or the Administrative Agent, as the case may be, after any</w:t>
      </w:r>
    </w:p>
    <w:p>
      <w:pPr>
        <w:spacing w:after="0" w:line="76" w:lineRule="exact"/>
        <w:rPr>
          <w:rFonts w:ascii="Arial" w:cs="Arial" w:eastAsia="Arial" w:hAnsi="Arial"/>
          <w:sz w:val="18"/>
          <w:szCs w:val="18"/>
          <w:color w:val="auto"/>
        </w:rPr>
      </w:pPr>
    </w:p>
    <w:p>
      <w:pPr>
        <w:ind w:left="660" w:right="20"/>
        <w:spacing w:after="0" w:line="305" w:lineRule="auto"/>
        <w:rPr>
          <w:rFonts w:ascii="Arial" w:cs="Arial" w:eastAsia="Arial" w:hAnsi="Arial"/>
          <w:sz w:val="18"/>
          <w:szCs w:val="18"/>
          <w:color w:val="auto"/>
        </w:rPr>
      </w:pPr>
      <w:r>
        <w:rPr>
          <w:rFonts w:ascii="Arial" w:cs="Arial" w:eastAsia="Arial" w:hAnsi="Arial"/>
          <w:sz w:val="19"/>
          <w:szCs w:val="19"/>
          <w:color w:val="auto"/>
        </w:rPr>
        <w:t xml:space="preserve">payment of Taxes by any Credit Party or by the Administrative Agent to a Governmental Authority as provided in this Section 3.01, the Borrowers shall deliver </w:t>
      </w:r>
      <w:r>
        <w:rPr>
          <w:rFonts w:ascii="Arial" w:cs="Arial" w:eastAsia="Arial" w:hAnsi="Arial"/>
          <w:sz w:val="19"/>
          <w:szCs w:val="19"/>
          <w:color w:val="FF0000"/>
          <w:strike w:val="1"/>
        </w:rPr>
        <w:t>(or cause the applicable Credit Party to deliver)</w:t>
      </w:r>
      <w:r>
        <w:rPr>
          <w:rFonts w:ascii="Arial" w:cs="Arial" w:eastAsia="Arial" w:hAnsi="Arial"/>
          <w:sz w:val="19"/>
          <w:szCs w:val="19"/>
          <w:color w:val="auto"/>
        </w:rPr>
        <w:t xml:space="preserve"> to the Administrative Agent or the Administrative Agent shall deliver to the Borrowers, as the case may be, the original or a certified copy of a receipt issued by such Governmental Authority evidencing such payment, a copy of any return required by </w:t>
      </w:r>
      <w:r>
        <w:rPr>
          <w:rFonts w:ascii="Arial" w:cs="Arial" w:eastAsia="Arial" w:hAnsi="Arial"/>
          <w:sz w:val="19"/>
          <w:szCs w:val="19"/>
          <w:color w:val="FF0000"/>
          <w:strike w:val="1"/>
        </w:rPr>
        <w:t>Law</w:t>
      </w:r>
      <w:r>
        <w:rPr>
          <w:rFonts w:ascii="Arial" w:cs="Arial" w:eastAsia="Arial" w:hAnsi="Arial"/>
          <w:sz w:val="19"/>
          <w:szCs w:val="19"/>
          <w:u w:val="single" w:color="auto"/>
          <w:color w:val="0000FF"/>
        </w:rPr>
        <w:t>Laws</w:t>
      </w:r>
      <w:r>
        <w:rPr>
          <w:rFonts w:ascii="Arial" w:cs="Arial" w:eastAsia="Arial" w:hAnsi="Arial"/>
          <w:sz w:val="19"/>
          <w:szCs w:val="19"/>
          <w:color w:val="auto"/>
        </w:rPr>
        <w:t xml:space="preserve"> to report such payment or other evidence of such payment reasonably satisfactory to the Borrowers or the Administrative Agent, as the case may be.</w:t>
      </w:r>
    </w:p>
    <w:p>
      <w:pPr>
        <w:spacing w:after="0" w:line="178" w:lineRule="exact"/>
        <w:rPr>
          <w:rFonts w:ascii="Arial" w:cs="Arial" w:eastAsia="Arial" w:hAnsi="Arial"/>
          <w:sz w:val="18"/>
          <w:szCs w:val="18"/>
          <w:color w:val="auto"/>
        </w:rPr>
      </w:pPr>
    </w:p>
    <w:p>
      <w:pPr>
        <w:ind w:left="1700" w:hanging="395"/>
        <w:spacing w:after="0"/>
        <w:tabs>
          <w:tab w:leader="none" w:pos="1700" w:val="left"/>
        </w:tabs>
        <w:numPr>
          <w:ilvl w:val="0"/>
          <w:numId w:val="162"/>
        </w:numPr>
        <w:rPr>
          <w:rFonts w:ascii="Arial" w:cs="Arial" w:eastAsia="Arial" w:hAnsi="Arial"/>
          <w:sz w:val="20"/>
          <w:szCs w:val="20"/>
          <w:color w:val="auto"/>
        </w:rPr>
      </w:pPr>
      <w:r>
        <w:rPr>
          <w:rFonts w:ascii="Arial" w:cs="Arial" w:eastAsia="Arial" w:hAnsi="Arial"/>
          <w:sz w:val="20"/>
          <w:szCs w:val="20"/>
          <w:color w:val="FF0000"/>
          <w:strike w:val="1"/>
        </w:rPr>
        <w:t>(i)</w:t>
      </w:r>
      <w:r>
        <w:rPr>
          <w:rFonts w:ascii="Arial" w:cs="Arial" w:eastAsia="Arial" w:hAnsi="Arial"/>
          <w:sz w:val="20"/>
          <w:szCs w:val="20"/>
          <w:color w:val="FF0000"/>
        </w:rPr>
        <w:t xml:space="preserve"> </w:t>
      </w:r>
      <w:r>
        <w:rPr>
          <w:rFonts w:ascii="Arial" w:cs="Arial" w:eastAsia="Arial" w:hAnsi="Arial"/>
          <w:sz w:val="20"/>
          <w:szCs w:val="20"/>
          <w:u w:val="single" w:color="auto"/>
          <w:color w:val="000000"/>
        </w:rPr>
        <w:t>Status of Lenders; Tax Documentation</w:t>
      </w:r>
      <w:r>
        <w:rPr>
          <w:rFonts w:ascii="Arial" w:cs="Arial" w:eastAsia="Arial" w:hAnsi="Arial"/>
          <w:sz w:val="20"/>
          <w:szCs w:val="20"/>
          <w:color w:val="000000"/>
        </w:rPr>
        <w:t>.</w:t>
      </w:r>
    </w:p>
    <w:p>
      <w:pPr>
        <w:spacing w:after="0" w:line="269" w:lineRule="exact"/>
        <w:rPr>
          <w:rFonts w:ascii="Arial" w:cs="Arial" w:eastAsia="Arial" w:hAnsi="Arial"/>
          <w:sz w:val="20"/>
          <w:szCs w:val="20"/>
          <w:color w:val="auto"/>
        </w:rPr>
      </w:pPr>
    </w:p>
    <w:p>
      <w:pPr>
        <w:ind w:left="1300" w:right="280" w:firstLine="653"/>
        <w:spacing w:after="0" w:line="313" w:lineRule="auto"/>
        <w:tabs>
          <w:tab w:leader="none" w:pos="2333" w:val="left"/>
        </w:tabs>
        <w:numPr>
          <w:ilvl w:val="1"/>
          <w:numId w:val="162"/>
        </w:numPr>
        <w:rPr>
          <w:rFonts w:ascii="Arial" w:cs="Arial" w:eastAsia="Arial" w:hAnsi="Arial"/>
          <w:sz w:val="18"/>
          <w:szCs w:val="18"/>
          <w:color w:val="FF0000"/>
          <w:strike w:val="1"/>
        </w:rPr>
      </w:pPr>
      <w:r>
        <w:rPr>
          <w:rFonts w:ascii="Arial" w:cs="Arial" w:eastAsia="Arial" w:hAnsi="Arial"/>
          <w:sz w:val="18"/>
          <w:szCs w:val="18"/>
          <w:color w:val="FF0000"/>
          <w:strike w:val="1"/>
        </w:rPr>
        <w:t>Each Lender shall deliver to the Borrowers and to the Administrative Agent, at the time or times prescribed by applicable Laws or when reasonably requested by the Borrower or the Administrative Agent, such properly completed and executed documentation prescribed by applicable Laws or by the taxing authorities of any jurisdiction and such other reasonably requested information as will permit the Borrower or the Administrative Agent, as the case may be, to determine</w:t>
      </w:r>
    </w:p>
    <w:p>
      <w:pPr>
        <w:ind w:left="1300" w:right="100"/>
        <w:spacing w:after="0" w:line="325" w:lineRule="auto"/>
        <w:rPr>
          <w:rFonts w:ascii="Arial" w:cs="Arial" w:eastAsia="Arial" w:hAnsi="Arial"/>
          <w:sz w:val="18"/>
          <w:szCs w:val="18"/>
          <w:color w:val="FF0000"/>
          <w:strike w:val="1"/>
        </w:rPr>
      </w:pPr>
      <w:r>
        <w:rPr>
          <w:rFonts w:ascii="Arial" w:cs="Arial" w:eastAsia="Arial" w:hAnsi="Arial"/>
          <w:sz w:val="18"/>
          <w:szCs w:val="18"/>
          <w:color w:val="FF0000"/>
          <w:strike w:val="1"/>
        </w:rPr>
        <w:t>(A) whether or not payments made hereunder or under any other Credit Document are subject to Taxes, (B) if applicable, the required rate of withholding or deduction, and (C) such Lender’s entitlement to any available exemption from, or reduction of, applicable Taxes in respect of all payments to be made to such Lender by the Borrower pursuant to this Credit Agreement or otherwise to establish such Lender’s status for withholding tax purposes in the applicable jurisdiction, provided that no Lender shall have any obligation to provide copies or access to any tax returns (including any schedules) of such Lender.</w:t>
      </w:r>
    </w:p>
    <w:p>
      <w:pPr>
        <w:spacing w:after="0" w:line="165" w:lineRule="exact"/>
        <w:rPr>
          <w:rFonts w:ascii="Arial" w:cs="Arial" w:eastAsia="Arial" w:hAnsi="Arial"/>
          <w:sz w:val="18"/>
          <w:szCs w:val="18"/>
          <w:color w:val="FF0000"/>
          <w:strike w:val="1"/>
        </w:rPr>
      </w:pPr>
    </w:p>
    <w:p>
      <w:pPr>
        <w:ind w:left="2400" w:hanging="447"/>
        <w:spacing w:after="0"/>
        <w:tabs>
          <w:tab w:leader="none" w:pos="2400" w:val="left"/>
        </w:tabs>
        <w:numPr>
          <w:ilvl w:val="1"/>
          <w:numId w:val="162"/>
        </w:numPr>
        <w:rPr>
          <w:rFonts w:ascii="Arial" w:cs="Arial" w:eastAsia="Arial" w:hAnsi="Arial"/>
          <w:sz w:val="18"/>
          <w:szCs w:val="18"/>
          <w:color w:val="FF0000"/>
        </w:rPr>
      </w:pPr>
      <w:r>
        <w:rPr>
          <w:rFonts w:ascii="Arial" w:cs="Arial" w:eastAsia="Arial" w:hAnsi="Arial"/>
          <w:sz w:val="18"/>
          <w:szCs w:val="18"/>
          <w:color w:val="00C000"/>
          <w:strike w:val="1"/>
        </w:rPr>
        <w:t xml:space="preserve">Without limiting the generality of the foregoing, </w:t>
      </w:r>
      <w:r>
        <w:rPr>
          <w:rFonts w:ascii="Arial" w:cs="Arial" w:eastAsia="Arial" w:hAnsi="Arial"/>
          <w:sz w:val="18"/>
          <w:szCs w:val="18"/>
          <w:color w:val="FF0000"/>
          <w:strike w:val="1"/>
        </w:rPr>
        <w:t>if a Borrower is a resident for tax purposes in the United States,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1240155</wp:posOffset>
            </wp:positionH>
            <wp:positionV relativeFrom="paragraph">
              <wp:posOffset>-43180</wp:posOffset>
            </wp:positionV>
            <wp:extent cx="279400"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279400" cy="8890"/>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119</w:t>
      </w:r>
    </w:p>
    <w:p>
      <w:pPr>
        <w:spacing w:after="0" w:line="10" w:lineRule="exact"/>
        <w:rPr>
          <w:sz w:val="20"/>
          <w:szCs w:val="20"/>
          <w:color w:val="auto"/>
        </w:rPr>
      </w:pPr>
    </w:p>
    <w:p>
      <w:pPr>
        <w:spacing w:after="0"/>
        <w:rPr>
          <w:sz w:val="20"/>
          <w:szCs w:val="20"/>
          <w:color w:val="auto"/>
        </w:rPr>
      </w:pPr>
      <w:r>
        <w:rPr>
          <w:rFonts w:ascii="Arial" w:cs="Arial" w:eastAsia="Arial" w:hAnsi="Arial"/>
          <w:sz w:val="14"/>
          <w:szCs w:val="14"/>
          <w:color w:val="auto"/>
        </w:rPr>
        <w:t>CHAR1\1346423v</w:t>
      </w:r>
      <w:r>
        <w:rPr>
          <w:rFonts w:ascii="Arial" w:cs="Arial" w:eastAsia="Arial" w:hAnsi="Arial"/>
          <w:sz w:val="14"/>
          <w:szCs w:val="14"/>
          <w:color w:val="FF0000"/>
          <w:strike w:val="1"/>
        </w:rPr>
        <w:t>1</w:t>
      </w:r>
      <w:r>
        <w:rPr>
          <w:rFonts w:ascii="Arial" w:cs="Arial" w:eastAsia="Arial" w:hAnsi="Arial"/>
          <w:sz w:val="14"/>
          <w:szCs w:val="14"/>
          <w:u w:val="single" w:color="auto"/>
          <w:color w:val="0000FF"/>
        </w:rPr>
        <w:t>12</w:t>
      </w:r>
    </w:p>
    <w:p>
      <w:pPr>
        <w:sectPr>
          <w:pgSz w:w="11900" w:h="16838" w:orient="portrait"/>
          <w:cols w:equalWidth="0" w:num="1">
            <w:col w:w="11420"/>
          </w:cols>
          <w:pgMar w:left="240" w:top="582" w:right="239" w:bottom="1440" w:gutter="0" w:footer="0" w:header="0"/>
        </w:sectPr>
      </w:pPr>
    </w:p>
    <w:bookmarkStart w:id="171" w:name="page172"/>
    <w:bookmarkEnd w:id="171"/>
    <w:p>
      <w:pPr>
        <w:ind w:left="1960" w:right="100" w:firstLine="641"/>
        <w:spacing w:after="0" w:line="286" w:lineRule="auto"/>
        <w:tabs>
          <w:tab w:leader="none" w:pos="3081" w:val="left"/>
        </w:tabs>
        <w:numPr>
          <w:ilvl w:val="1"/>
          <w:numId w:val="163"/>
        </w:numPr>
        <w:rPr>
          <w:rFonts w:ascii="Arial" w:cs="Arial" w:eastAsia="Arial" w:hAnsi="Arial"/>
          <w:sz w:val="20"/>
          <w:szCs w:val="20"/>
          <w:color w:val="FF0000"/>
          <w:strike w:val="1"/>
        </w:rPr>
      </w:pPr>
      <w:r>
        <w:rPr>
          <w:rFonts w:ascii="Arial" w:cs="Arial" w:eastAsia="Arial" w:hAnsi="Arial"/>
          <w:sz w:val="20"/>
          <w:szCs w:val="20"/>
          <w:color w:val="FF0000"/>
          <w:strike w:val="1"/>
        </w:rPr>
        <w:t xml:space="preserve">any Lender that is a “United States person” within the meaning of </w:t>
      </w:r>
      <w:r>
        <w:rPr>
          <w:rFonts w:ascii="Arial" w:cs="Arial" w:eastAsia="Arial" w:hAnsi="Arial"/>
          <w:sz w:val="20"/>
          <w:szCs w:val="20"/>
          <w:color w:val="00C000"/>
          <w:strike w:val="1"/>
        </w:rPr>
        <w:t>Section 7701(a)(30) of the Internal</w:t>
      </w:r>
      <w:r>
        <w:rPr>
          <w:rFonts w:ascii="Arial" w:cs="Arial" w:eastAsia="Arial" w:hAnsi="Arial"/>
          <w:sz w:val="20"/>
          <w:szCs w:val="20"/>
          <w:color w:val="FF0000"/>
          <w:strike w:val="1"/>
        </w:rPr>
        <w:t xml:space="preserve"> </w:t>
      </w:r>
      <w:r>
        <w:rPr>
          <w:rFonts w:ascii="Arial" w:cs="Arial" w:eastAsia="Arial" w:hAnsi="Arial"/>
          <w:sz w:val="20"/>
          <w:szCs w:val="20"/>
          <w:color w:val="00C000"/>
          <w:strike w:val="1"/>
        </w:rPr>
        <w:t xml:space="preserve">Revenue Code </w:t>
      </w:r>
      <w:r>
        <w:rPr>
          <w:rFonts w:ascii="Arial" w:cs="Arial" w:eastAsia="Arial" w:hAnsi="Arial"/>
          <w:sz w:val="20"/>
          <w:szCs w:val="20"/>
          <w:color w:val="FF0000"/>
          <w:strike w:val="1"/>
        </w:rPr>
        <w:t>shall deliver to such Borrower and the Administrative Agent executed originals of Internal Revenue</w:t>
      </w:r>
      <w:r>
        <w:rPr>
          <w:rFonts w:ascii="Arial" w:cs="Arial" w:eastAsia="Arial" w:hAnsi="Arial"/>
          <w:sz w:val="20"/>
          <w:szCs w:val="20"/>
          <w:color w:val="00C000"/>
          <w:strike w:val="1"/>
        </w:rPr>
        <w:t xml:space="preserve"> </w:t>
      </w:r>
      <w:r>
        <w:rPr>
          <w:rFonts w:ascii="Arial" w:cs="Arial" w:eastAsia="Arial" w:hAnsi="Arial"/>
          <w:sz w:val="20"/>
          <w:szCs w:val="20"/>
          <w:color w:val="FF0000"/>
          <w:strike w:val="1"/>
        </w:rPr>
        <w:t xml:space="preserve">Service Form W-9 or such other documentation or information </w:t>
      </w:r>
      <w:r>
        <w:rPr>
          <w:rFonts w:ascii="Arial" w:cs="Arial" w:eastAsia="Arial" w:hAnsi="Arial"/>
          <w:sz w:val="20"/>
          <w:szCs w:val="20"/>
          <w:color w:val="00C000"/>
          <w:strike w:val="1"/>
        </w:rPr>
        <w:t>prescribed by applicable</w:t>
      </w:r>
      <w:r>
        <w:rPr>
          <w:rFonts w:ascii="Arial" w:cs="Arial" w:eastAsia="Arial" w:hAnsi="Arial"/>
          <w:sz w:val="20"/>
          <w:szCs w:val="20"/>
          <w:color w:val="FF0000"/>
          <w:strike w:val="1"/>
        </w:rPr>
        <w:t xml:space="preserve"> Laws </w:t>
      </w:r>
      <w:r>
        <w:rPr>
          <w:rFonts w:ascii="Arial" w:cs="Arial" w:eastAsia="Arial" w:hAnsi="Arial"/>
          <w:sz w:val="20"/>
          <w:szCs w:val="20"/>
          <w:color w:val="00C000"/>
          <w:strike w:val="1"/>
        </w:rPr>
        <w:t>or reasonably requested</w:t>
      </w:r>
      <w:r>
        <w:rPr>
          <w:rFonts w:ascii="Arial" w:cs="Arial" w:eastAsia="Arial" w:hAnsi="Arial"/>
          <w:sz w:val="20"/>
          <w:szCs w:val="20"/>
          <w:color w:val="FF0000"/>
          <w:strike w:val="1"/>
        </w:rPr>
        <w:t xml:space="preserve"> </w:t>
      </w:r>
      <w:r>
        <w:rPr>
          <w:rFonts w:ascii="Arial" w:cs="Arial" w:eastAsia="Arial" w:hAnsi="Arial"/>
          <w:sz w:val="20"/>
          <w:szCs w:val="20"/>
          <w:color w:val="00C000"/>
          <w:strike w:val="1"/>
        </w:rPr>
        <w:t xml:space="preserve">by the </w:t>
      </w:r>
      <w:r>
        <w:rPr>
          <w:rFonts w:ascii="Arial" w:cs="Arial" w:eastAsia="Arial" w:hAnsi="Arial"/>
          <w:sz w:val="20"/>
          <w:szCs w:val="20"/>
          <w:color w:val="FF0000"/>
          <w:strike w:val="1"/>
        </w:rPr>
        <w:t>Borrower</w:t>
      </w:r>
      <w:r>
        <w:rPr>
          <w:rFonts w:ascii="Arial" w:cs="Arial" w:eastAsia="Arial" w:hAnsi="Arial"/>
          <w:sz w:val="20"/>
          <w:szCs w:val="20"/>
          <w:color w:val="00C000"/>
          <w:strike w:val="1"/>
        </w:rPr>
        <w:t xml:space="preserve"> or the Administrative Agent as will enable </w:t>
      </w:r>
      <w:r>
        <w:rPr>
          <w:rFonts w:ascii="Arial" w:cs="Arial" w:eastAsia="Arial" w:hAnsi="Arial"/>
          <w:sz w:val="20"/>
          <w:szCs w:val="20"/>
          <w:color w:val="FF0000"/>
          <w:strike w:val="1"/>
        </w:rPr>
        <w:t>such Borrower</w:t>
      </w:r>
      <w:r>
        <w:rPr>
          <w:rFonts w:ascii="Arial" w:cs="Arial" w:eastAsia="Arial" w:hAnsi="Arial"/>
          <w:sz w:val="20"/>
          <w:szCs w:val="20"/>
          <w:color w:val="00C000"/>
          <w:strike w:val="1"/>
        </w:rPr>
        <w:t xml:space="preserve"> or the Administrative Agent</w:t>
      </w:r>
      <w:r>
        <w:rPr>
          <w:rFonts w:ascii="Arial" w:cs="Arial" w:eastAsia="Arial" w:hAnsi="Arial"/>
          <w:sz w:val="20"/>
          <w:szCs w:val="20"/>
          <w:color w:val="FF0000"/>
          <w:strike w:val="1"/>
        </w:rPr>
        <w:t>, as the case</w:t>
      </w:r>
      <w:r>
        <w:rPr>
          <w:rFonts w:ascii="Arial" w:cs="Arial" w:eastAsia="Arial" w:hAnsi="Arial"/>
          <w:sz w:val="20"/>
          <w:szCs w:val="20"/>
          <w:color w:val="00C000"/>
          <w:strike w:val="1"/>
        </w:rPr>
        <w:t xml:space="preserve"> </w:t>
      </w:r>
      <w:r>
        <w:rPr>
          <w:rFonts w:ascii="Arial" w:cs="Arial" w:eastAsia="Arial" w:hAnsi="Arial"/>
          <w:sz w:val="20"/>
          <w:szCs w:val="20"/>
          <w:color w:val="FF0000"/>
          <w:strike w:val="1"/>
        </w:rPr>
        <w:t xml:space="preserve">may be, </w:t>
      </w:r>
      <w:r>
        <w:rPr>
          <w:rFonts w:ascii="Arial" w:cs="Arial" w:eastAsia="Arial" w:hAnsi="Arial"/>
          <w:sz w:val="20"/>
          <w:szCs w:val="20"/>
          <w:color w:val="00C000"/>
          <w:strike w:val="1"/>
        </w:rPr>
        <w:t>to determine whether or not such Lender is subject to backup withholding or information reporting</w:t>
      </w:r>
      <w:r>
        <w:rPr>
          <w:rFonts w:ascii="Arial" w:cs="Arial" w:eastAsia="Arial" w:hAnsi="Arial"/>
          <w:sz w:val="20"/>
          <w:szCs w:val="20"/>
          <w:color w:val="FF0000"/>
          <w:strike w:val="1"/>
        </w:rPr>
        <w:t xml:space="preserve"> </w:t>
      </w:r>
      <w:r>
        <w:rPr>
          <w:rFonts w:ascii="Arial" w:cs="Arial" w:eastAsia="Arial" w:hAnsi="Arial"/>
          <w:sz w:val="20"/>
          <w:szCs w:val="20"/>
          <w:color w:val="00C000"/>
          <w:strike w:val="1"/>
        </w:rPr>
        <w:t>requirements</w:t>
      </w:r>
      <w:r>
        <w:rPr>
          <w:rFonts w:ascii="Arial" w:cs="Arial" w:eastAsia="Arial" w:hAnsi="Arial"/>
          <w:sz w:val="20"/>
          <w:szCs w:val="20"/>
          <w:color w:val="FF0000"/>
          <w:strike w:val="1"/>
        </w:rPr>
        <w:t>; and</w:t>
      </w:r>
    </w:p>
    <w:p>
      <w:pPr>
        <w:spacing w:after="0" w:line="165" w:lineRule="exact"/>
        <w:rPr>
          <w:rFonts w:ascii="Arial" w:cs="Arial" w:eastAsia="Arial" w:hAnsi="Arial"/>
          <w:sz w:val="20"/>
          <w:szCs w:val="20"/>
          <w:color w:val="FF0000"/>
          <w:strike w:val="1"/>
        </w:rPr>
      </w:pPr>
    </w:p>
    <w:p>
      <w:pPr>
        <w:ind w:left="660" w:right="140" w:firstLine="1293"/>
        <w:spacing w:after="0" w:line="271" w:lineRule="auto"/>
        <w:tabs>
          <w:tab w:leader="none" w:pos="2330" w:val="left"/>
        </w:tabs>
        <w:numPr>
          <w:ilvl w:val="0"/>
          <w:numId w:val="164"/>
        </w:numPr>
        <w:rPr>
          <w:rFonts w:ascii="Arial" w:cs="Arial" w:eastAsia="Arial" w:hAnsi="Arial"/>
          <w:sz w:val="18"/>
          <w:szCs w:val="18"/>
          <w:u w:val="single" w:color="auto"/>
          <w:color w:val="0000FF"/>
        </w:rPr>
      </w:pPr>
      <w:r>
        <w:rPr>
          <w:rFonts w:ascii="Arial" w:cs="Arial" w:eastAsia="Arial" w:hAnsi="Arial"/>
          <w:sz w:val="18"/>
          <w:szCs w:val="18"/>
          <w:u w:val="single" w:color="auto"/>
          <w:color w:val="0000FF"/>
        </w:rPr>
        <w:t>Any Lender that is entitled</w:t>
      </w:r>
      <w:r>
        <w:rPr>
          <w:rFonts w:ascii="Arial" w:cs="Arial" w:eastAsia="Arial" w:hAnsi="Arial"/>
          <w:sz w:val="18"/>
          <w:szCs w:val="18"/>
          <w:color w:val="0000FF"/>
        </w:rPr>
        <w:t xml:space="preserve"> </w:t>
      </w:r>
      <w:r>
        <w:rPr>
          <w:rFonts w:ascii="Arial" w:cs="Arial" w:eastAsia="Arial" w:hAnsi="Arial"/>
          <w:sz w:val="18"/>
          <w:szCs w:val="18"/>
          <w:color w:val="00C000"/>
        </w:rPr>
        <w:t>to an exemption from or reduction of withholding</w:t>
      </w:r>
      <w:r>
        <w:rPr>
          <w:rFonts w:ascii="Arial" w:cs="Arial" w:eastAsia="Arial" w:hAnsi="Arial"/>
          <w:sz w:val="18"/>
          <w:szCs w:val="18"/>
          <w:color w:val="0000FF"/>
        </w:rPr>
        <w:t xml:space="preserve"> </w:t>
      </w:r>
      <w:r>
        <w:rPr>
          <w:rFonts w:ascii="Arial" w:cs="Arial" w:eastAsia="Arial" w:hAnsi="Arial"/>
          <w:sz w:val="18"/>
          <w:szCs w:val="18"/>
          <w:u w:val="single" w:color="auto"/>
          <w:color w:val="0000FF"/>
        </w:rPr>
        <w:t>Tax</w:t>
      </w:r>
      <w:r>
        <w:rPr>
          <w:rFonts w:ascii="Arial" w:cs="Arial" w:eastAsia="Arial" w:hAnsi="Arial"/>
          <w:sz w:val="18"/>
          <w:szCs w:val="18"/>
          <w:color w:val="0000FF"/>
        </w:rPr>
        <w:t xml:space="preserve"> </w:t>
      </w:r>
      <w:r>
        <w:rPr>
          <w:rFonts w:ascii="Arial" w:cs="Arial" w:eastAsia="Arial" w:hAnsi="Arial"/>
          <w:sz w:val="18"/>
          <w:szCs w:val="18"/>
          <w:u w:val="single" w:color="auto"/>
          <w:color w:val="00C000"/>
        </w:rPr>
        <w:t>with respect to payments</w:t>
      </w:r>
      <w:r>
        <w:rPr>
          <w:rFonts w:ascii="Arial" w:cs="Arial" w:eastAsia="Arial" w:hAnsi="Arial"/>
          <w:sz w:val="18"/>
          <w:szCs w:val="18"/>
          <w:color w:val="0000FF"/>
        </w:rPr>
        <w:t xml:space="preserve"> </w:t>
      </w:r>
      <w:r>
        <w:rPr>
          <w:rFonts w:ascii="Arial" w:cs="Arial" w:eastAsia="Arial" w:hAnsi="Arial"/>
          <w:sz w:val="18"/>
          <w:szCs w:val="18"/>
          <w:u w:val="single" w:color="auto"/>
          <w:color w:val="0000FF"/>
        </w:rPr>
        <w:t>made</w:t>
      </w:r>
      <w:r>
        <w:rPr>
          <w:rFonts w:ascii="Arial" w:cs="Arial" w:eastAsia="Arial" w:hAnsi="Arial"/>
          <w:sz w:val="18"/>
          <w:szCs w:val="18"/>
          <w:color w:val="0000FF"/>
        </w:rPr>
        <w:t xml:space="preserve"> </w:t>
      </w:r>
      <w:r>
        <w:rPr>
          <w:rFonts w:ascii="Arial" w:cs="Arial" w:eastAsia="Arial" w:hAnsi="Arial"/>
          <w:sz w:val="18"/>
          <w:szCs w:val="18"/>
          <w:u w:val="single" w:color="auto"/>
          <w:color w:val="0000FF"/>
        </w:rPr>
        <w:t>under any Credit Document shall deliver to the Borrowers and the Administrative Agent, at the time or times reasonably requested by the Borrowers or the Administrative Agent, such properly completed and executed documentation reasonably requested by the Borrowers or the Administrative Agent as will permit such payments to be made without withholding or at a reduced rate of withholding. In addition, any Lender, if reasonably requested by the Borrower or the Administrative Agent, shall deliver such other documentation</w:t>
      </w:r>
      <w:r>
        <w:rPr>
          <w:rFonts w:ascii="Arial" w:cs="Arial" w:eastAsia="Arial" w:hAnsi="Arial"/>
          <w:sz w:val="18"/>
          <w:szCs w:val="18"/>
          <w:color w:val="0000FF"/>
        </w:rPr>
        <w:t xml:space="preserve"> </w:t>
      </w:r>
      <w:r>
        <w:rPr>
          <w:rFonts w:ascii="Arial" w:cs="Arial" w:eastAsia="Arial" w:hAnsi="Arial"/>
          <w:sz w:val="18"/>
          <w:szCs w:val="18"/>
          <w:u w:val="single" w:color="auto"/>
          <w:color w:val="00C000"/>
        </w:rPr>
        <w:t>prescribed by applicable</w:t>
      </w:r>
      <w:r>
        <w:rPr>
          <w:rFonts w:ascii="Arial" w:cs="Arial" w:eastAsia="Arial" w:hAnsi="Arial"/>
          <w:sz w:val="18"/>
          <w:szCs w:val="18"/>
          <w:color w:val="0000FF"/>
        </w:rPr>
        <w:t xml:space="preserve"> </w:t>
      </w:r>
      <w:r>
        <w:rPr>
          <w:rFonts w:ascii="Arial" w:cs="Arial" w:eastAsia="Arial" w:hAnsi="Arial"/>
          <w:sz w:val="18"/>
          <w:szCs w:val="18"/>
          <w:u w:val="single" w:color="auto"/>
          <w:color w:val="0000FF"/>
        </w:rPr>
        <w:t>Law</w:t>
      </w:r>
      <w:r>
        <w:rPr>
          <w:rFonts w:ascii="Arial" w:cs="Arial" w:eastAsia="Arial" w:hAnsi="Arial"/>
          <w:sz w:val="18"/>
          <w:szCs w:val="18"/>
          <w:color w:val="0000FF"/>
        </w:rPr>
        <w:t xml:space="preserve"> </w:t>
      </w:r>
      <w:r>
        <w:rPr>
          <w:rFonts w:ascii="Arial" w:cs="Arial" w:eastAsia="Arial" w:hAnsi="Arial"/>
          <w:sz w:val="18"/>
          <w:szCs w:val="18"/>
          <w:color w:val="00C000"/>
        </w:rPr>
        <w:t>or reasonably requested by the</w:t>
      </w:r>
      <w:r>
        <w:rPr>
          <w:rFonts w:ascii="Arial" w:cs="Arial" w:eastAsia="Arial" w:hAnsi="Arial"/>
          <w:sz w:val="18"/>
          <w:szCs w:val="18"/>
          <w:color w:val="0000FF"/>
        </w:rPr>
        <w:t xml:space="preserve"> </w:t>
      </w:r>
      <w:r>
        <w:rPr>
          <w:rFonts w:ascii="Arial" w:cs="Arial" w:eastAsia="Arial" w:hAnsi="Arial"/>
          <w:sz w:val="18"/>
          <w:szCs w:val="18"/>
          <w:u w:val="single" w:color="auto"/>
          <w:color w:val="0000FF"/>
        </w:rPr>
        <w:t>Borrowers</w:t>
      </w:r>
      <w:r>
        <w:rPr>
          <w:rFonts w:ascii="Arial" w:cs="Arial" w:eastAsia="Arial" w:hAnsi="Arial"/>
          <w:sz w:val="18"/>
          <w:szCs w:val="18"/>
          <w:color w:val="0000FF"/>
        </w:rPr>
        <w:t xml:space="preserve"> </w:t>
      </w:r>
      <w:r>
        <w:rPr>
          <w:rFonts w:ascii="Arial" w:cs="Arial" w:eastAsia="Arial" w:hAnsi="Arial"/>
          <w:sz w:val="18"/>
          <w:szCs w:val="18"/>
          <w:color w:val="00C000"/>
        </w:rPr>
        <w:t>or the Administrative Agent as will enable</w:t>
      </w:r>
      <w:r>
        <w:rPr>
          <w:rFonts w:ascii="Arial" w:cs="Arial" w:eastAsia="Arial" w:hAnsi="Arial"/>
          <w:sz w:val="18"/>
          <w:szCs w:val="18"/>
          <w:color w:val="0000FF"/>
        </w:rPr>
        <w:t xml:space="preserve"> </w:t>
      </w:r>
      <w:r>
        <w:rPr>
          <w:rFonts w:ascii="Arial" w:cs="Arial" w:eastAsia="Arial" w:hAnsi="Arial"/>
          <w:sz w:val="18"/>
          <w:szCs w:val="18"/>
          <w:u w:val="single" w:color="auto"/>
          <w:color w:val="0000FF"/>
        </w:rPr>
        <w:t>the</w:t>
      </w:r>
      <w:r>
        <w:rPr>
          <w:rFonts w:ascii="Arial" w:cs="Arial" w:eastAsia="Arial" w:hAnsi="Arial"/>
          <w:sz w:val="18"/>
          <w:szCs w:val="18"/>
          <w:color w:val="0000FF"/>
        </w:rPr>
        <w:t xml:space="preserve"> </w:t>
      </w:r>
      <w:r>
        <w:rPr>
          <w:rFonts w:ascii="Arial" w:cs="Arial" w:eastAsia="Arial" w:hAnsi="Arial"/>
          <w:sz w:val="18"/>
          <w:szCs w:val="18"/>
          <w:u w:val="single" w:color="auto"/>
          <w:color w:val="0000FF"/>
        </w:rPr>
        <w:t>Borrowers</w:t>
      </w:r>
      <w:r>
        <w:rPr>
          <w:rFonts w:ascii="Arial" w:cs="Arial" w:eastAsia="Arial" w:hAnsi="Arial"/>
          <w:sz w:val="18"/>
          <w:szCs w:val="18"/>
          <w:color w:val="0000FF"/>
        </w:rPr>
        <w:t xml:space="preserve"> </w:t>
      </w:r>
      <w:r>
        <w:rPr>
          <w:rFonts w:ascii="Arial" w:cs="Arial" w:eastAsia="Arial" w:hAnsi="Arial"/>
          <w:sz w:val="18"/>
          <w:szCs w:val="18"/>
          <w:color w:val="00C000"/>
        </w:rPr>
        <w:t>or the Administrative Agent to determine whether or not such Lender is subject to backup withholding or information</w:t>
      </w:r>
      <w:r>
        <w:rPr>
          <w:rFonts w:ascii="Arial" w:cs="Arial" w:eastAsia="Arial" w:hAnsi="Arial"/>
          <w:sz w:val="18"/>
          <w:szCs w:val="18"/>
          <w:color w:val="0000FF"/>
        </w:rPr>
        <w:t xml:space="preserve"> </w:t>
      </w:r>
      <w:r>
        <w:rPr>
          <w:rFonts w:ascii="Arial" w:cs="Arial" w:eastAsia="Arial" w:hAnsi="Arial"/>
          <w:sz w:val="18"/>
          <w:szCs w:val="18"/>
          <w:u w:val="single" w:color="auto"/>
          <w:color w:val="00C000"/>
        </w:rPr>
        <w:t>reporting requirements</w:t>
      </w:r>
      <w:r>
        <w:rPr>
          <w:rFonts w:ascii="Arial" w:cs="Arial" w:eastAsia="Arial" w:hAnsi="Arial"/>
          <w:sz w:val="18"/>
          <w:szCs w:val="18"/>
          <w:u w:val="single" w:color="auto"/>
          <w:color w:val="0000FF"/>
        </w:rPr>
        <w:t>. Notwithstanding anything to the contrary in the preceding two sentences, the completion, execution and</w:t>
      </w:r>
      <w:r>
        <w:rPr>
          <w:rFonts w:ascii="Arial" w:cs="Arial" w:eastAsia="Arial" w:hAnsi="Arial"/>
          <w:sz w:val="18"/>
          <w:szCs w:val="18"/>
          <w:u w:val="single" w:color="auto"/>
          <w:color w:val="00C000"/>
        </w:rPr>
        <w:t xml:space="preserve"> </w:t>
      </w:r>
      <w:r>
        <w:rPr>
          <w:rFonts w:ascii="Arial" w:cs="Arial" w:eastAsia="Arial" w:hAnsi="Arial"/>
          <w:sz w:val="18"/>
          <w:szCs w:val="18"/>
          <w:u w:val="single" w:color="auto"/>
          <w:color w:val="0000FF"/>
        </w:rPr>
        <w:t>submission of such documentation (other than such documentation set forth in Section 3.01(e)(ii)(A), (ii)(B) and (ii)(D) below) shall not be required if in the Lender’s reasonable judgment such completion, execution or submission would subject such Lender to any material unreimbursed cost or expense or would materially prejudice the legal or commercial position of such Lender.</w:t>
      </w:r>
    </w:p>
    <w:p>
      <w:pPr>
        <w:spacing w:after="0" w:line="184" w:lineRule="exact"/>
        <w:rPr>
          <w:rFonts w:ascii="Arial" w:cs="Arial" w:eastAsia="Arial" w:hAnsi="Arial"/>
          <w:sz w:val="18"/>
          <w:szCs w:val="18"/>
          <w:u w:val="single" w:color="auto"/>
          <w:color w:val="0000FF"/>
        </w:rPr>
      </w:pPr>
    </w:p>
    <w:p>
      <w:pPr>
        <w:ind w:left="2400" w:hanging="447"/>
        <w:spacing w:after="0"/>
        <w:tabs>
          <w:tab w:leader="none" w:pos="2400" w:val="left"/>
        </w:tabs>
        <w:numPr>
          <w:ilvl w:val="0"/>
          <w:numId w:val="164"/>
        </w:numPr>
        <w:rPr>
          <w:rFonts w:ascii="Arial" w:cs="Arial" w:eastAsia="Arial" w:hAnsi="Arial"/>
          <w:sz w:val="20"/>
          <w:szCs w:val="20"/>
          <w:color w:val="0000FF"/>
        </w:rPr>
      </w:pPr>
      <w:r>
        <w:rPr>
          <w:rFonts w:ascii="Arial" w:cs="Arial" w:eastAsia="Arial" w:hAnsi="Arial"/>
          <w:sz w:val="20"/>
          <w:szCs w:val="20"/>
          <w:u w:val="single" w:color="auto"/>
          <w:color w:val="00C000"/>
        </w:rPr>
        <w:t xml:space="preserve">Without limiting the generality of the foregoing, </w:t>
      </w:r>
      <w:r>
        <w:rPr>
          <w:rFonts w:ascii="Arial" w:cs="Arial" w:eastAsia="Arial" w:hAnsi="Arial"/>
          <w:sz w:val="20"/>
          <w:szCs w:val="20"/>
          <w:u w:val="single" w:color="auto"/>
          <w:color w:val="0000FF"/>
        </w:rPr>
        <w:t>in the event that a Borrower is a U.S. Person,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5958840</wp:posOffset>
            </wp:positionH>
            <wp:positionV relativeFrom="paragraph">
              <wp:posOffset>-2613025</wp:posOffset>
            </wp:positionV>
            <wp:extent cx="1224915"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1224915" cy="8890"/>
                    </a:xfrm>
                    <a:prstGeom prst="rect">
                      <a:avLst/>
                    </a:prstGeom>
                    <a:noFill/>
                  </pic:spPr>
                </pic:pic>
              </a:graphicData>
            </a:graphic>
          </wp:anchor>
        </w:drawing>
        <w:drawing>
          <wp:anchor simplePos="0" relativeHeight="251657728" behindDoc="1" locked="0" layoutInCell="0" allowOverlap="1">
            <wp:simplePos x="0" y="0"/>
            <wp:positionH relativeFrom="column">
              <wp:posOffset>2063750</wp:posOffset>
            </wp:positionH>
            <wp:positionV relativeFrom="paragraph">
              <wp:posOffset>-2441575</wp:posOffset>
            </wp:positionV>
            <wp:extent cx="4387215"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4387215" cy="8890"/>
                    </a:xfrm>
                    <a:prstGeom prst="rect">
                      <a:avLst/>
                    </a:prstGeom>
                    <a:noFill/>
                  </pic:spPr>
                </pic:pic>
              </a:graphicData>
            </a:graphic>
          </wp:anchor>
        </w:drawing>
        <w:drawing>
          <wp:anchor simplePos="0" relativeHeight="251657728" behindDoc="1" locked="0" layoutInCell="0" allowOverlap="1">
            <wp:simplePos x="0" y="0"/>
            <wp:positionH relativeFrom="column">
              <wp:posOffset>1637665</wp:posOffset>
            </wp:positionH>
            <wp:positionV relativeFrom="paragraph">
              <wp:posOffset>-2270125</wp:posOffset>
            </wp:positionV>
            <wp:extent cx="4994910"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4994910" cy="8890"/>
                    </a:xfrm>
                    <a:prstGeom prst="rect">
                      <a:avLst/>
                    </a:prstGeom>
                    <a:noFill/>
                  </pic:spPr>
                </pic:pic>
              </a:graphicData>
            </a:graphic>
          </wp:anchor>
        </w:drawing>
        <w:drawing>
          <wp:anchor simplePos="0" relativeHeight="251657728" behindDoc="1" locked="0" layoutInCell="0" allowOverlap="1">
            <wp:simplePos x="0" y="0"/>
            <wp:positionH relativeFrom="column">
              <wp:posOffset>2824480</wp:posOffset>
            </wp:positionH>
            <wp:positionV relativeFrom="paragraph">
              <wp:posOffset>-1764030</wp:posOffset>
            </wp:positionV>
            <wp:extent cx="2565400"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2565400" cy="8890"/>
                    </a:xfrm>
                    <a:prstGeom prst="rect">
                      <a:avLst/>
                    </a:prstGeom>
                    <a:noFill/>
                  </pic:spPr>
                </pic:pic>
              </a:graphicData>
            </a:graphic>
          </wp:anchor>
        </w:drawing>
        <w:drawing>
          <wp:anchor simplePos="0" relativeHeight="251657728" behindDoc="1" locked="0" layoutInCell="0" allowOverlap="1">
            <wp:simplePos x="0" y="0"/>
            <wp:positionH relativeFrom="column">
              <wp:posOffset>2677795</wp:posOffset>
            </wp:positionH>
            <wp:positionV relativeFrom="paragraph">
              <wp:posOffset>-1035050</wp:posOffset>
            </wp:positionV>
            <wp:extent cx="4327525"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4327525" cy="8890"/>
                    </a:xfrm>
                    <a:prstGeom prst="rect">
                      <a:avLst/>
                    </a:prstGeom>
                    <a:noFill/>
                  </pic:spPr>
                </pic:pic>
              </a:graphicData>
            </a:graphic>
          </wp:anchor>
        </w:drawing>
        <w:drawing>
          <wp:anchor simplePos="0" relativeHeight="251657728" behindDoc="1" locked="0" layoutInCell="0" allowOverlap="1">
            <wp:simplePos x="0" y="0"/>
            <wp:positionH relativeFrom="column">
              <wp:posOffset>947420</wp:posOffset>
            </wp:positionH>
            <wp:positionV relativeFrom="paragraph">
              <wp:posOffset>-889635</wp:posOffset>
            </wp:positionV>
            <wp:extent cx="5948045"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5948045" cy="8890"/>
                    </a:xfrm>
                    <a:prstGeom prst="rect">
                      <a:avLst/>
                    </a:prstGeom>
                    <a:noFill/>
                  </pic:spPr>
                </pic:pic>
              </a:graphicData>
            </a:graphic>
          </wp:anchor>
        </w:drawing>
        <w:drawing>
          <wp:anchor simplePos="0" relativeHeight="251657728" behindDoc="1" locked="0" layoutInCell="0" allowOverlap="1">
            <wp:simplePos x="0" y="0"/>
            <wp:positionH relativeFrom="column">
              <wp:posOffset>1240155</wp:posOffset>
            </wp:positionH>
            <wp:positionV relativeFrom="paragraph">
              <wp:posOffset>-14605</wp:posOffset>
            </wp:positionV>
            <wp:extent cx="279400"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279400" cy="8890"/>
                    </a:xfrm>
                    <a:prstGeom prst="rect">
                      <a:avLst/>
                    </a:prstGeom>
                    <a:noFill/>
                  </pic:spPr>
                </pic:pic>
              </a:graphicData>
            </a:graphic>
          </wp:anchor>
        </w:drawing>
      </w:r>
    </w:p>
    <w:p>
      <w:pPr>
        <w:spacing w:after="0" w:line="209" w:lineRule="exact"/>
        <w:rPr>
          <w:sz w:val="20"/>
          <w:szCs w:val="20"/>
          <w:color w:val="auto"/>
        </w:rPr>
      </w:pPr>
    </w:p>
    <w:p>
      <w:pPr>
        <w:ind w:left="1300" w:right="340" w:firstLine="653"/>
        <w:spacing w:after="0" w:line="246" w:lineRule="auto"/>
        <w:tabs>
          <w:tab w:leader="none" w:pos="2421" w:val="left"/>
        </w:tabs>
        <w:numPr>
          <w:ilvl w:val="0"/>
          <w:numId w:val="165"/>
        </w:numPr>
        <w:rPr>
          <w:rFonts w:ascii="Arial" w:cs="Arial" w:eastAsia="Arial" w:hAnsi="Arial"/>
          <w:sz w:val="20"/>
          <w:szCs w:val="20"/>
          <w:u w:val="single" w:color="auto"/>
          <w:color w:val="0000FF"/>
        </w:rPr>
      </w:pPr>
      <w:r>
        <w:rPr>
          <w:rFonts w:ascii="Arial" w:cs="Arial" w:eastAsia="Arial" w:hAnsi="Arial"/>
          <w:sz w:val="20"/>
          <w:szCs w:val="20"/>
          <w:u w:val="single" w:color="auto"/>
          <w:color w:val="0000FF"/>
        </w:rPr>
        <w:t>any Lender that is a U.S. Person shall deliver to the Borrower and the Administrative Agent on or prior to the date on which such Lender becomes a Lender under this Agreement (and from time to time thereafter upon the reasonable request of the Borrower or the Administrative Agent), executed originals of IRS Form W-9 certifying that such Lender is exempt from U.S. federal backup withholding tax;</w:t>
      </w:r>
    </w:p>
    <w:p>
      <w:pPr>
        <w:spacing w:after="0" w:line="205" w:lineRule="exact"/>
        <w:rPr>
          <w:rFonts w:ascii="Arial" w:cs="Arial" w:eastAsia="Arial" w:hAnsi="Arial"/>
          <w:sz w:val="20"/>
          <w:szCs w:val="20"/>
          <w:u w:val="single" w:color="auto"/>
          <w:color w:val="0000FF"/>
        </w:rPr>
      </w:pPr>
    </w:p>
    <w:p>
      <w:pPr>
        <w:ind w:left="2420" w:hanging="467"/>
        <w:spacing w:after="0"/>
        <w:tabs>
          <w:tab w:leader="none" w:pos="2420" w:val="left"/>
        </w:tabs>
        <w:numPr>
          <w:ilvl w:val="0"/>
          <w:numId w:val="165"/>
        </w:numPr>
        <w:rPr>
          <w:rFonts w:ascii="Arial" w:cs="Arial" w:eastAsia="Arial" w:hAnsi="Arial"/>
          <w:sz w:val="18"/>
          <w:szCs w:val="18"/>
          <w:color w:val="FF0000"/>
          <w:strike w:val="1"/>
        </w:rPr>
      </w:pPr>
      <w:r>
        <w:rPr>
          <w:rFonts w:ascii="Arial" w:cs="Arial" w:eastAsia="Arial" w:hAnsi="Arial"/>
          <w:sz w:val="18"/>
          <w:szCs w:val="18"/>
          <w:color w:val="FF0000"/>
          <w:strike w:val="1"/>
        </w:rPr>
        <w:t>each Foreign Lender that is entitled under the Internal Revenue Code or any applicable treaty</w:t>
      </w:r>
      <w:r>
        <w:rPr>
          <w:rFonts w:ascii="Arial" w:cs="Arial" w:eastAsia="Arial" w:hAnsi="Arial"/>
          <w:sz w:val="18"/>
          <w:szCs w:val="18"/>
          <w:color w:val="FF0000"/>
        </w:rPr>
        <w:t xml:space="preserve"> </w:t>
      </w:r>
      <w:r>
        <w:rPr>
          <w:rFonts w:ascii="Arial" w:cs="Arial" w:eastAsia="Arial" w:hAnsi="Arial"/>
          <w:sz w:val="18"/>
          <w:szCs w:val="18"/>
          <w:color w:val="00C000"/>
        </w:rPr>
        <w:t>to an exemption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6223635</wp:posOffset>
            </wp:positionH>
            <wp:positionV relativeFrom="paragraph">
              <wp:posOffset>-43180</wp:posOffset>
            </wp:positionV>
            <wp:extent cx="841375"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841375" cy="8890"/>
                    </a:xfrm>
                    <a:prstGeom prst="rect">
                      <a:avLst/>
                    </a:prstGeom>
                    <a:noFill/>
                  </pic:spPr>
                </pic:pic>
              </a:graphicData>
            </a:graphic>
          </wp:anchor>
        </w:drawing>
      </w:r>
    </w:p>
    <w:p>
      <w:pPr>
        <w:spacing w:after="0" w:line="19" w:lineRule="exact"/>
        <w:rPr>
          <w:sz w:val="20"/>
          <w:szCs w:val="20"/>
          <w:color w:val="auto"/>
        </w:rPr>
      </w:pPr>
    </w:p>
    <w:p>
      <w:pPr>
        <w:ind w:left="1300"/>
        <w:spacing w:after="0"/>
        <w:rPr>
          <w:sz w:val="20"/>
          <w:szCs w:val="20"/>
          <w:color w:val="auto"/>
        </w:rPr>
      </w:pPr>
      <w:r>
        <w:rPr>
          <w:rFonts w:ascii="Arial" w:cs="Arial" w:eastAsia="Arial" w:hAnsi="Arial"/>
          <w:sz w:val="20"/>
          <w:szCs w:val="20"/>
          <w:color w:val="00C000"/>
          <w:strike w:val="1"/>
        </w:rPr>
        <w:t xml:space="preserve">from or reduction of withholding </w:t>
      </w:r>
      <w:r>
        <w:rPr>
          <w:rFonts w:ascii="Arial" w:cs="Arial" w:eastAsia="Arial" w:hAnsi="Arial"/>
          <w:sz w:val="20"/>
          <w:szCs w:val="20"/>
          <w:color w:val="FF0000"/>
          <w:strike w:val="1"/>
        </w:rPr>
        <w:t>tax</w:t>
      </w:r>
      <w:r>
        <w:rPr>
          <w:rFonts w:ascii="Arial" w:cs="Arial" w:eastAsia="Arial" w:hAnsi="Arial"/>
          <w:sz w:val="20"/>
          <w:szCs w:val="20"/>
          <w:color w:val="00C000"/>
          <w:strike w:val="1"/>
        </w:rPr>
        <w:t xml:space="preserve"> with respect to payments </w:t>
      </w:r>
      <w:r>
        <w:rPr>
          <w:rFonts w:ascii="Arial" w:cs="Arial" w:eastAsia="Arial" w:hAnsi="Arial"/>
          <w:sz w:val="20"/>
          <w:szCs w:val="20"/>
          <w:color w:val="FF0000"/>
          <w:strike w:val="1"/>
        </w:rPr>
        <w:t>hereunder or under any other Credit Document</w:t>
      </w:r>
      <w:r>
        <w:rPr>
          <w:rFonts w:ascii="Arial" w:cs="Arial" w:eastAsia="Arial" w:hAnsi="Arial"/>
          <w:sz w:val="20"/>
          <w:szCs w:val="20"/>
          <w:u w:val="single" w:color="auto"/>
          <w:color w:val="0000FF"/>
          <w:strike w:val="1"/>
        </w:rPr>
        <w:t>(B) any Foreign</w:t>
      </w:r>
      <w:r>
        <w:rPr>
          <w:rFonts w:ascii="Arial" w:cs="Arial" w:eastAsia="Arial" w:hAnsi="Arial"/>
          <w:sz w:val="20"/>
          <w:szCs w:val="20"/>
          <w:color w:val="00C000"/>
          <w:strike w:val="1"/>
        </w:rPr>
        <w:t xml:space="preserve"> </w:t>
      </w:r>
      <w:r>
        <w:rPr>
          <w:rFonts w:ascii="Arial" w:cs="Arial" w:eastAsia="Arial" w:hAnsi="Arial"/>
          <w:sz w:val="20"/>
          <w:szCs w:val="20"/>
          <w:u w:val="single" w:color="auto"/>
          <w:color w:val="0000FF"/>
          <w:strike w:val="1"/>
        </w:rPr>
        <w:t>Lender</w:t>
      </w:r>
      <w:r>
        <w:rPr>
          <w:rFonts w:ascii="Arial" w:cs="Arial" w:eastAsia="Arial" w:hAnsi="Arial"/>
          <w:sz w:val="20"/>
          <w:szCs w:val="20"/>
          <w:color w:val="0000FF"/>
          <w:strike w:val="1"/>
        </w:rPr>
        <w:t xml:space="preserve"> </w:t>
      </w:r>
      <w:r>
        <w:rPr>
          <w:rFonts w:ascii="Arial" w:cs="Arial" w:eastAsia="Arial" w:hAnsi="Arial"/>
          <w:sz w:val="20"/>
          <w:szCs w:val="20"/>
          <w:color w:val="000000"/>
          <w:strike w:val="1"/>
        </w:rPr>
        <w:t>shall</w:t>
      </w:r>
      <w:r>
        <w:rPr>
          <w:rFonts w:ascii="Arial" w:cs="Arial" w:eastAsia="Arial" w:hAnsi="Arial"/>
          <w:sz w:val="20"/>
          <w:szCs w:val="20"/>
          <w:u w:val="single" w:color="auto"/>
          <w:color w:val="0000FF"/>
          <w:strike w:val="1"/>
        </w:rPr>
        <w:t>, to the extent it</w:t>
      </w:r>
      <w:r>
        <w:rPr>
          <w:rFonts w:ascii="Arial" w:cs="Arial" w:eastAsia="Arial" w:hAnsi="Arial"/>
          <w:sz w:val="20"/>
          <w:szCs w:val="20"/>
          <w:color w:val="0000FF"/>
          <w:strike w:val="1"/>
        </w:rPr>
        <w:t xml:space="preserve"> </w:t>
      </w:r>
      <w:r>
        <w:rPr>
          <w:rFonts w:ascii="Arial" w:cs="Arial" w:eastAsia="Arial" w:hAnsi="Arial"/>
          <w:sz w:val="20"/>
          <w:szCs w:val="20"/>
          <w:color w:val="00C000"/>
          <w:strike w:val="1"/>
        </w:rPr>
        <w:t>is legally entitled to do so</w:t>
      </w:r>
      <w:r>
        <w:rPr>
          <w:rFonts w:ascii="Arial" w:cs="Arial" w:eastAsia="Arial" w:hAnsi="Arial"/>
          <w:sz w:val="20"/>
          <w:szCs w:val="20"/>
          <w:u w:val="single" w:color="auto"/>
          <w:color w:val="0000FF"/>
          <w:strike w:val="1"/>
        </w:rPr>
        <w:t>,</w:t>
      </w:r>
      <w:r>
        <w:rPr>
          <w:rFonts w:ascii="Arial" w:cs="Arial" w:eastAsia="Arial" w:hAnsi="Arial"/>
          <w:sz w:val="20"/>
          <w:szCs w:val="20"/>
          <w:color w:val="0000FF"/>
          <w:strike w:val="1"/>
        </w:rPr>
        <w:t xml:space="preserve"> </w:t>
      </w:r>
      <w:r>
        <w:rPr>
          <w:rFonts w:ascii="Arial" w:cs="Arial" w:eastAsia="Arial" w:hAnsi="Arial"/>
          <w:sz w:val="20"/>
          <w:szCs w:val="20"/>
          <w:color w:val="000000"/>
          <w:strike w:val="1"/>
        </w:rPr>
        <w:t>deliver to the</w:t>
      </w:r>
      <w:r>
        <w:rPr>
          <w:rFonts w:ascii="Arial" w:cs="Arial" w:eastAsia="Arial" w:hAnsi="Arial"/>
          <w:sz w:val="20"/>
          <w:szCs w:val="20"/>
          <w:color w:val="0000FF"/>
          <w:strike w:val="1"/>
        </w:rPr>
        <w:t xml:space="preserve"> </w:t>
      </w:r>
      <w:r>
        <w:rPr>
          <w:rFonts w:ascii="Arial" w:cs="Arial" w:eastAsia="Arial" w:hAnsi="Arial"/>
          <w:sz w:val="20"/>
          <w:szCs w:val="20"/>
          <w:color w:val="FF0000"/>
          <w:strike w:val="1"/>
        </w:rPr>
        <w:t>Borrowers</w:t>
      </w:r>
      <w:r>
        <w:rPr>
          <w:rFonts w:ascii="Arial" w:cs="Arial" w:eastAsia="Arial" w:hAnsi="Arial"/>
          <w:sz w:val="20"/>
          <w:szCs w:val="20"/>
          <w:u w:val="single" w:color="auto"/>
          <w:color w:val="0000FF"/>
          <w:strike w:val="1"/>
        </w:rPr>
        <w:t>Borrower</w:t>
      </w:r>
      <w:r>
        <w:rPr>
          <w:rFonts w:ascii="Arial" w:cs="Arial" w:eastAsia="Arial" w:hAnsi="Arial"/>
          <w:sz w:val="20"/>
          <w:szCs w:val="20"/>
          <w:color w:val="0000FF"/>
          <w:strike w:val="1"/>
        </w:rPr>
        <w:t xml:space="preserve"> </w:t>
      </w:r>
      <w:r>
        <w:rPr>
          <w:rFonts w:ascii="Arial" w:cs="Arial" w:eastAsia="Arial" w:hAnsi="Arial"/>
          <w:sz w:val="20"/>
          <w:szCs w:val="20"/>
          <w:color w:val="000000"/>
          <w:strike w:val="1"/>
        </w:rPr>
        <w:t>and the Administrative Agent (in</w:t>
      </w:r>
      <w:r>
        <w:rPr>
          <w:rFonts w:ascii="Arial" w:cs="Arial" w:eastAsia="Arial" w:hAnsi="Arial"/>
          <w:sz w:val="20"/>
          <w:szCs w:val="20"/>
          <w:color w:val="0000FF"/>
          <w:strike w:val="1"/>
        </w:rPr>
        <w:t xml:space="preserve"> </w:t>
      </w:r>
      <w:r>
        <w:rPr>
          <w:rFonts w:ascii="Arial" w:cs="Arial" w:eastAsia="Arial" w:hAnsi="Arial"/>
          <w:sz w:val="20"/>
          <w:szCs w:val="20"/>
          <w:color w:val="000000"/>
          <w:strike w:val="1"/>
        </w:rPr>
        <w:t xml:space="preserve">such number of copies as shall be requested by the recipient) on or prior to the date on which such Foreign Lender becomes a Lender under this </w:t>
      </w:r>
      <w:r>
        <w:rPr>
          <w:rFonts w:ascii="Arial" w:cs="Arial" w:eastAsia="Arial" w:hAnsi="Arial"/>
          <w:sz w:val="20"/>
          <w:szCs w:val="20"/>
          <w:color w:val="FF0000"/>
          <w:strike w:val="1"/>
        </w:rPr>
        <w:t>Credit</w:t>
      </w:r>
      <w:r>
        <w:rPr>
          <w:rFonts w:ascii="Arial" w:cs="Arial" w:eastAsia="Arial" w:hAnsi="Arial"/>
          <w:sz w:val="20"/>
          <w:szCs w:val="20"/>
          <w:color w:val="000000"/>
          <w:strike w:val="1"/>
        </w:rPr>
        <w:t xml:space="preserve"> Agreement (and from time to time thereafter upon the </w:t>
      </w:r>
      <w:r>
        <w:rPr>
          <w:rFonts w:ascii="Arial" w:cs="Arial" w:eastAsia="Arial" w:hAnsi="Arial"/>
          <w:sz w:val="20"/>
          <w:szCs w:val="20"/>
          <w:u w:val="single" w:color="auto"/>
          <w:color w:val="0000FF"/>
          <w:strike w:val="1"/>
        </w:rPr>
        <w:t>reasonable</w:t>
      </w:r>
      <w:r>
        <w:rPr>
          <w:rFonts w:ascii="Arial" w:cs="Arial" w:eastAsia="Arial" w:hAnsi="Arial"/>
          <w:sz w:val="20"/>
          <w:szCs w:val="20"/>
          <w:color w:val="000000"/>
          <w:strike w:val="1"/>
        </w:rPr>
        <w:t xml:space="preserve"> request of the </w:t>
      </w:r>
      <w:r>
        <w:rPr>
          <w:rFonts w:ascii="Arial" w:cs="Arial" w:eastAsia="Arial" w:hAnsi="Arial"/>
          <w:sz w:val="20"/>
          <w:szCs w:val="20"/>
          <w:color w:val="FF0000"/>
          <w:strike w:val="1"/>
        </w:rPr>
        <w:t>Borrowers</w:t>
      </w:r>
      <w:r>
        <w:rPr>
          <w:rFonts w:ascii="Arial" w:cs="Arial" w:eastAsia="Arial" w:hAnsi="Arial"/>
          <w:sz w:val="20"/>
          <w:szCs w:val="20"/>
          <w:u w:val="single" w:color="auto"/>
          <w:color w:val="0000FF"/>
          <w:strike w:val="1"/>
        </w:rPr>
        <w:t>Borrower</w:t>
      </w:r>
      <w:r>
        <w:rPr>
          <w:rFonts w:ascii="Arial" w:cs="Arial" w:eastAsia="Arial" w:hAnsi="Arial"/>
          <w:sz w:val="20"/>
          <w:szCs w:val="20"/>
          <w:color w:val="000000"/>
          <w:strike w:val="1"/>
        </w:rPr>
        <w:t xml:space="preserve"> or the Administrative Agent</w:t>
      </w:r>
      <w:r>
        <w:rPr>
          <w:rFonts w:ascii="Arial" w:cs="Arial" w:eastAsia="Arial" w:hAnsi="Arial"/>
          <w:sz w:val="20"/>
          <w:szCs w:val="20"/>
          <w:color w:val="FF0000"/>
          <w:strike w:val="1"/>
        </w:rPr>
        <w:t>, but only if such Foreign Lender</w:t>
      </w:r>
      <w:r>
        <w:rPr>
          <w:rFonts w:ascii="Arial" w:cs="Arial" w:eastAsia="Arial" w:hAnsi="Arial"/>
          <w:sz w:val="20"/>
          <w:szCs w:val="20"/>
          <w:color w:val="000000"/>
          <w:strike w:val="1"/>
        </w:rPr>
        <w:t xml:space="preserve"> </w:t>
      </w:r>
      <w:r>
        <w:rPr>
          <w:rFonts w:ascii="Arial" w:cs="Arial" w:eastAsia="Arial" w:hAnsi="Arial"/>
          <w:sz w:val="20"/>
          <w:szCs w:val="20"/>
          <w:color w:val="00C000"/>
          <w:strike w:val="1"/>
        </w:rPr>
        <w:t>is legally entitled to do so</w:t>
      </w:r>
      <w:r>
        <w:rPr>
          <w:rFonts w:ascii="Arial" w:cs="Arial" w:eastAsia="Arial" w:hAnsi="Arial"/>
          <w:sz w:val="20"/>
          <w:szCs w:val="20"/>
          <w:color w:val="000000"/>
          <w:strike w:val="1"/>
        </w:rPr>
        <w:t>), whichever of the following is applicable: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2238375</wp:posOffset>
            </wp:positionH>
            <wp:positionV relativeFrom="paragraph">
              <wp:posOffset>-608965</wp:posOffset>
            </wp:positionV>
            <wp:extent cx="1326515"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1326515" cy="8890"/>
                    </a:xfrm>
                    <a:prstGeom prst="rect">
                      <a:avLst/>
                    </a:prstGeom>
                    <a:noFill/>
                  </pic:spPr>
                </pic:pic>
              </a:graphicData>
            </a:graphic>
          </wp:anchor>
        </w:drawing>
        <w:drawing>
          <wp:anchor simplePos="0" relativeHeight="251657728" behindDoc="1" locked="0" layoutInCell="0" allowOverlap="1">
            <wp:simplePos x="0" y="0"/>
            <wp:positionH relativeFrom="column">
              <wp:posOffset>3900170</wp:posOffset>
            </wp:positionH>
            <wp:positionV relativeFrom="paragraph">
              <wp:posOffset>-214630</wp:posOffset>
            </wp:positionV>
            <wp:extent cx="1326515"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1326515" cy="8890"/>
                    </a:xfrm>
                    <a:prstGeom prst="rect">
                      <a:avLst/>
                    </a:prstGeom>
                    <a:noFill/>
                  </pic:spPr>
                </pic:pic>
              </a:graphicData>
            </a:graphic>
          </wp:anchor>
        </w:drawing>
      </w:r>
    </w:p>
    <w:p>
      <w:pPr>
        <w:spacing w:after="0" w:line="191" w:lineRule="exact"/>
        <w:rPr>
          <w:sz w:val="20"/>
          <w:szCs w:val="20"/>
          <w:color w:val="auto"/>
        </w:rPr>
      </w:pPr>
    </w:p>
    <w:p>
      <w:pPr>
        <w:ind w:left="1960" w:right="20" w:firstLine="648"/>
        <w:spacing w:after="0" w:line="250" w:lineRule="auto"/>
        <w:rPr>
          <w:sz w:val="20"/>
          <w:szCs w:val="20"/>
          <w:color w:val="auto"/>
        </w:rPr>
      </w:pPr>
      <w:r>
        <w:rPr>
          <w:rFonts w:ascii="Arial" w:cs="Arial" w:eastAsia="Arial" w:hAnsi="Arial"/>
          <w:sz w:val="20"/>
          <w:szCs w:val="20"/>
          <w:color w:val="auto"/>
        </w:rPr>
        <w:t>(</w:t>
      </w:r>
      <w:r>
        <w:rPr>
          <w:rFonts w:ascii="Arial" w:cs="Arial" w:eastAsia="Arial" w:hAnsi="Arial"/>
          <w:sz w:val="20"/>
          <w:szCs w:val="20"/>
          <w:color w:val="FF0000"/>
          <w:strike w:val="1"/>
        </w:rPr>
        <w:t>I) executed originals of Internal Revenue Service Form W-8BEN</w:t>
      </w:r>
      <w:r>
        <w:rPr>
          <w:rFonts w:ascii="Arial" w:cs="Arial" w:eastAsia="Arial" w:hAnsi="Arial"/>
          <w:sz w:val="20"/>
          <w:szCs w:val="20"/>
          <w:u w:val="single" w:color="auto"/>
          <w:color w:val="0000FF"/>
        </w:rPr>
        <w:t>1) in the case of a Foreign Lender</w:t>
      </w:r>
      <w:r>
        <w:rPr>
          <w:rFonts w:ascii="Arial" w:cs="Arial" w:eastAsia="Arial" w:hAnsi="Arial"/>
          <w:sz w:val="20"/>
          <w:szCs w:val="20"/>
          <w:color w:val="auto"/>
        </w:rPr>
        <w:t xml:space="preserve"> claiming </w:t>
      </w:r>
      <w:r>
        <w:rPr>
          <w:rFonts w:ascii="Arial" w:cs="Arial" w:eastAsia="Arial" w:hAnsi="Arial"/>
          <w:sz w:val="20"/>
          <w:szCs w:val="20"/>
          <w:color w:val="FF0000"/>
          <w:strike w:val="1"/>
        </w:rPr>
        <w:t>eligibility for</w:t>
      </w:r>
      <w:r>
        <w:rPr>
          <w:rFonts w:ascii="Arial" w:cs="Arial" w:eastAsia="Arial" w:hAnsi="Arial"/>
          <w:sz w:val="20"/>
          <w:szCs w:val="20"/>
          <w:u w:val="single" w:color="auto"/>
          <w:color w:val="0000FF"/>
        </w:rPr>
        <w:t>the</w:t>
      </w:r>
      <w:r>
        <w:rPr>
          <w:rFonts w:ascii="Arial" w:cs="Arial" w:eastAsia="Arial" w:hAnsi="Arial"/>
          <w:sz w:val="20"/>
          <w:szCs w:val="20"/>
          <w:color w:val="auto"/>
        </w:rPr>
        <w:t xml:space="preserve"> benefits of an income tax treaty to which the United States is a party</w:t>
      </w:r>
      <w:r>
        <w:rPr>
          <w:rFonts w:ascii="Arial" w:cs="Arial" w:eastAsia="Arial" w:hAnsi="Arial"/>
          <w:sz w:val="20"/>
          <w:szCs w:val="20"/>
          <w:color w:val="FF0000"/>
          <w:strike w:val="1"/>
        </w:rPr>
        <w:t>,(II) executed originals</w:t>
      </w:r>
      <w:r>
        <w:rPr>
          <w:rFonts w:ascii="Arial" w:cs="Arial" w:eastAsia="Arial" w:hAnsi="Arial"/>
          <w:sz w:val="20"/>
          <w:szCs w:val="20"/>
          <w:color w:val="auto"/>
        </w:rPr>
        <w:t xml:space="preserve"> </w:t>
      </w:r>
      <w:r>
        <w:rPr>
          <w:rFonts w:ascii="Arial" w:cs="Arial" w:eastAsia="Arial" w:hAnsi="Arial"/>
          <w:sz w:val="20"/>
          <w:szCs w:val="20"/>
          <w:color w:val="FF0000"/>
          <w:strike w:val="1"/>
        </w:rPr>
        <w:t>of</w:t>
      </w:r>
    </w:p>
    <w:p>
      <w:pPr>
        <w:spacing w:after="0" w:line="213"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120</w:t>
      </w:r>
    </w:p>
    <w:p>
      <w:pPr>
        <w:spacing w:after="0" w:line="10" w:lineRule="exact"/>
        <w:rPr>
          <w:sz w:val="20"/>
          <w:szCs w:val="20"/>
          <w:color w:val="auto"/>
        </w:rPr>
      </w:pPr>
    </w:p>
    <w:p>
      <w:pPr>
        <w:spacing w:after="0"/>
        <w:rPr>
          <w:sz w:val="20"/>
          <w:szCs w:val="20"/>
          <w:color w:val="auto"/>
        </w:rPr>
      </w:pPr>
      <w:r>
        <w:rPr>
          <w:rFonts w:ascii="Arial" w:cs="Arial" w:eastAsia="Arial" w:hAnsi="Arial"/>
          <w:sz w:val="14"/>
          <w:szCs w:val="14"/>
          <w:color w:val="auto"/>
        </w:rPr>
        <w:t>CHAR1\1346423v</w:t>
      </w:r>
      <w:r>
        <w:rPr>
          <w:rFonts w:ascii="Arial" w:cs="Arial" w:eastAsia="Arial" w:hAnsi="Arial"/>
          <w:sz w:val="14"/>
          <w:szCs w:val="14"/>
          <w:color w:val="FF0000"/>
          <w:strike w:val="1"/>
        </w:rPr>
        <w:t>1</w:t>
      </w:r>
      <w:r>
        <w:rPr>
          <w:rFonts w:ascii="Arial" w:cs="Arial" w:eastAsia="Arial" w:hAnsi="Arial"/>
          <w:sz w:val="14"/>
          <w:szCs w:val="14"/>
          <w:u w:val="single" w:color="auto"/>
          <w:color w:val="0000FF"/>
        </w:rPr>
        <w:t>12</w:t>
      </w:r>
    </w:p>
    <w:p>
      <w:pPr>
        <w:sectPr>
          <w:pgSz w:w="11900" w:h="16838" w:orient="portrait"/>
          <w:cols w:equalWidth="0" w:num="1">
            <w:col w:w="11420"/>
          </w:cols>
          <w:pgMar w:left="240" w:top="609" w:right="239" w:bottom="1440" w:gutter="0" w:footer="0" w:header="0"/>
        </w:sectPr>
      </w:pPr>
    </w:p>
    <w:bookmarkStart w:id="172" w:name="page173"/>
    <w:bookmarkEnd w:id="172"/>
    <w:p>
      <w:pPr>
        <w:ind w:left="1960"/>
        <w:spacing w:after="0" w:line="260" w:lineRule="auto"/>
        <w:rPr>
          <w:sz w:val="20"/>
          <w:szCs w:val="20"/>
          <w:color w:val="auto"/>
        </w:rPr>
      </w:pPr>
      <w:r>
        <w:rPr>
          <w:rFonts w:ascii="Arial" w:cs="Arial" w:eastAsia="Arial" w:hAnsi="Arial"/>
          <w:sz w:val="19"/>
          <w:szCs w:val="19"/>
          <w:color w:val="FF0000"/>
          <w:strike w:val="1"/>
        </w:rPr>
        <w:t xml:space="preserve">Internal Revenue Service Form W-8ECI, </w:t>
      </w:r>
      <w:r>
        <w:rPr>
          <w:rFonts w:ascii="Arial" w:cs="Arial" w:eastAsia="Arial" w:hAnsi="Arial"/>
          <w:sz w:val="19"/>
          <w:szCs w:val="19"/>
          <w:u w:val="single" w:color="auto"/>
          <w:color w:val="0000FF"/>
          <w:strike w:val="1"/>
        </w:rPr>
        <w:t>(x) with respect to payments of interest under any Credit Document, executed</w:t>
      </w:r>
      <w:r>
        <w:rPr>
          <w:rFonts w:ascii="Arial" w:cs="Arial" w:eastAsia="Arial" w:hAnsi="Arial"/>
          <w:sz w:val="19"/>
          <w:szCs w:val="19"/>
          <w:color w:val="FF0000"/>
          <w:strike w:val="1"/>
        </w:rPr>
        <w:t xml:space="preserve"> </w:t>
      </w:r>
      <w:r>
        <w:rPr>
          <w:rFonts w:ascii="Arial" w:cs="Arial" w:eastAsia="Arial" w:hAnsi="Arial"/>
          <w:sz w:val="19"/>
          <w:szCs w:val="19"/>
          <w:u w:val="single" w:color="auto"/>
          <w:color w:val="0000FF"/>
          <w:strike w:val="1"/>
        </w:rPr>
        <w:t>originals of IRS Form W-8BEN establishing an exemption from, or reduction of, U.S. federal withholding Tax pursuant to the “interest” article of such tax treaty and (y) with respect to any other applicable payments under any Credit Document, IRS Form W-8BEN establishing an exemption from, or reduction of, U.S. federal withholding Tax pursuant to the “business profits” or “other income” article of such tax treaty;</w:t>
      </w:r>
    </w:p>
    <w:p>
      <w:pPr>
        <w:spacing w:after="0" w:line="200" w:lineRule="exact"/>
        <w:rPr>
          <w:sz w:val="20"/>
          <w:szCs w:val="20"/>
          <w:color w:val="auto"/>
        </w:rPr>
      </w:pPr>
    </w:p>
    <w:p>
      <w:pPr>
        <w:spacing w:after="0" w:line="224" w:lineRule="exact"/>
        <w:rPr>
          <w:sz w:val="20"/>
          <w:szCs w:val="20"/>
          <w:color w:val="auto"/>
        </w:rPr>
      </w:pPr>
    </w:p>
    <w:p>
      <w:pPr>
        <w:ind w:left="1960" w:right="720" w:firstLine="64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color w:val="FF0000"/>
          <w:strike w:val="1"/>
        </w:rPr>
        <w:t>III</w:t>
      </w:r>
      <w:r>
        <w:rPr>
          <w:rFonts w:ascii="Arial" w:cs="Arial" w:eastAsia="Arial" w:hAnsi="Arial"/>
          <w:sz w:val="20"/>
          <w:szCs w:val="20"/>
          <w:u w:val="single" w:color="auto"/>
          <w:color w:val="0000FF"/>
        </w:rPr>
        <w:t>2</w:t>
      </w:r>
      <w:r>
        <w:rPr>
          <w:rFonts w:ascii="Arial" w:cs="Arial" w:eastAsia="Arial" w:hAnsi="Arial"/>
          <w:sz w:val="20"/>
          <w:szCs w:val="20"/>
          <w:color w:val="auto"/>
        </w:rPr>
        <w:t xml:space="preserve">) executed originals of </w:t>
      </w:r>
      <w:r>
        <w:rPr>
          <w:rFonts w:ascii="Arial" w:cs="Arial" w:eastAsia="Arial" w:hAnsi="Arial"/>
          <w:sz w:val="20"/>
          <w:szCs w:val="20"/>
          <w:color w:val="FF0000"/>
          <w:strike w:val="1"/>
        </w:rPr>
        <w:t>Internal Revenue Service</w:t>
      </w:r>
      <w:r>
        <w:rPr>
          <w:rFonts w:ascii="Arial" w:cs="Arial" w:eastAsia="Arial" w:hAnsi="Arial"/>
          <w:sz w:val="20"/>
          <w:szCs w:val="20"/>
          <w:u w:val="single" w:color="auto"/>
          <w:color w:val="0000FF"/>
        </w:rPr>
        <w:t>IRS</w:t>
      </w:r>
      <w:r>
        <w:rPr>
          <w:rFonts w:ascii="Arial" w:cs="Arial" w:eastAsia="Arial" w:hAnsi="Arial"/>
          <w:sz w:val="20"/>
          <w:szCs w:val="20"/>
          <w:color w:val="auto"/>
        </w:rPr>
        <w:t xml:space="preserve"> Form W-8</w:t>
      </w:r>
      <w:r>
        <w:rPr>
          <w:rFonts w:ascii="Arial" w:cs="Arial" w:eastAsia="Arial" w:hAnsi="Arial"/>
          <w:sz w:val="20"/>
          <w:szCs w:val="20"/>
          <w:color w:val="FF0000"/>
          <w:strike w:val="1"/>
        </w:rPr>
        <w:t>IMY and all required supporting</w:t>
      </w:r>
      <w:r>
        <w:rPr>
          <w:rFonts w:ascii="Arial" w:cs="Arial" w:eastAsia="Arial" w:hAnsi="Arial"/>
          <w:sz w:val="20"/>
          <w:szCs w:val="20"/>
          <w:color w:val="auto"/>
        </w:rPr>
        <w:t xml:space="preserve"> </w:t>
      </w:r>
      <w:r>
        <w:rPr>
          <w:rFonts w:ascii="Arial" w:cs="Arial" w:eastAsia="Arial" w:hAnsi="Arial"/>
          <w:sz w:val="20"/>
          <w:szCs w:val="20"/>
          <w:color w:val="FF0000"/>
          <w:strike w:val="1"/>
        </w:rPr>
        <w:t>documentation,</w:t>
      </w:r>
      <w:r>
        <w:rPr>
          <w:rFonts w:ascii="Arial" w:cs="Arial" w:eastAsia="Arial" w:hAnsi="Arial"/>
          <w:sz w:val="20"/>
          <w:szCs w:val="20"/>
          <w:u w:val="single" w:color="auto"/>
          <w:color w:val="0000FF"/>
          <w:strike w:val="1"/>
        </w:rPr>
        <w:t>ECI;</w:t>
      </w:r>
    </w:p>
    <w:p>
      <w:pPr>
        <w:spacing w:after="0" w:line="190" w:lineRule="exact"/>
        <w:rPr>
          <w:sz w:val="20"/>
          <w:szCs w:val="20"/>
          <w:color w:val="auto"/>
        </w:rPr>
      </w:pPr>
    </w:p>
    <w:p>
      <w:pPr>
        <w:ind w:left="1960" w:right="20" w:firstLine="648"/>
        <w:spacing w:after="0" w:line="232" w:lineRule="exact"/>
        <w:rPr>
          <w:sz w:val="20"/>
          <w:szCs w:val="20"/>
          <w:color w:val="auto"/>
        </w:rPr>
      </w:pPr>
      <w:r>
        <w:rPr>
          <w:rFonts w:ascii="Arial" w:cs="Arial" w:eastAsia="Arial" w:hAnsi="Arial"/>
          <w:sz w:val="20"/>
          <w:szCs w:val="20"/>
          <w:color w:val="auto"/>
        </w:rPr>
        <w:t>(</w:t>
      </w:r>
      <w:r>
        <w:rPr>
          <w:rFonts w:ascii="Arial" w:cs="Arial" w:eastAsia="Arial" w:hAnsi="Arial"/>
          <w:sz w:val="20"/>
          <w:szCs w:val="20"/>
          <w:color w:val="FF0000"/>
          <w:strike w:val="1"/>
        </w:rPr>
        <w:t>IV</w:t>
      </w:r>
      <w:r>
        <w:rPr>
          <w:rFonts w:ascii="Arial" w:cs="Arial" w:eastAsia="Arial" w:hAnsi="Arial"/>
          <w:sz w:val="20"/>
          <w:szCs w:val="20"/>
          <w:u w:val="single" w:color="auto"/>
          <w:color w:val="0000FF"/>
        </w:rPr>
        <w:t>3</w:t>
      </w:r>
      <w:r>
        <w:rPr>
          <w:rFonts w:ascii="Arial" w:cs="Arial" w:eastAsia="Arial" w:hAnsi="Arial"/>
          <w:sz w:val="20"/>
          <w:szCs w:val="20"/>
          <w:color w:val="auto"/>
        </w:rPr>
        <w:t xml:space="preserve">) in the case of a Foreign Lender claiming the benefits of the exemption for portfolio interest under </w:t>
      </w:r>
      <w:r>
        <w:rPr>
          <w:rFonts w:ascii="Arial" w:cs="Arial" w:eastAsia="Arial" w:hAnsi="Arial"/>
          <w:sz w:val="20"/>
          <w:szCs w:val="20"/>
          <w:color w:val="FF0000"/>
          <w:strike w:val="1"/>
        </w:rPr>
        <w:t>section</w:t>
      </w:r>
      <w:r>
        <w:rPr>
          <w:rFonts w:ascii="Arial" w:cs="Arial" w:eastAsia="Arial" w:hAnsi="Arial"/>
          <w:sz w:val="20"/>
          <w:szCs w:val="20"/>
          <w:u w:val="single" w:color="auto"/>
          <w:color w:val="0000FF"/>
        </w:rPr>
        <w:t>Section</w:t>
      </w:r>
      <w:r>
        <w:rPr>
          <w:rFonts w:ascii="Arial" w:cs="Arial" w:eastAsia="Arial" w:hAnsi="Arial"/>
          <w:sz w:val="20"/>
          <w:szCs w:val="20"/>
          <w:color w:val="FF0000"/>
        </w:rPr>
        <w:t xml:space="preserve"> </w:t>
      </w:r>
      <w:r>
        <w:rPr>
          <w:rFonts w:ascii="Arial" w:cs="Arial" w:eastAsia="Arial" w:hAnsi="Arial"/>
          <w:sz w:val="20"/>
          <w:szCs w:val="20"/>
          <w:color w:val="000000"/>
        </w:rPr>
        <w:t>881(c) of the Internal Revenue Code, (x) a certificate</w:t>
      </w:r>
      <w:r>
        <w:rPr>
          <w:rFonts w:ascii="Arial" w:cs="Arial" w:eastAsia="Arial" w:hAnsi="Arial"/>
          <w:sz w:val="20"/>
          <w:szCs w:val="20"/>
          <w:color w:val="FF0000"/>
        </w:rPr>
        <w:t xml:space="preserve"> </w:t>
      </w:r>
      <w:r>
        <w:rPr>
          <w:rFonts w:ascii="Arial" w:cs="Arial" w:eastAsia="Arial" w:hAnsi="Arial"/>
          <w:sz w:val="20"/>
          <w:szCs w:val="20"/>
          <w:u w:val="single" w:color="auto"/>
          <w:color w:val="0000FF"/>
        </w:rPr>
        <w:t>substantially in the form of Exhibit M</w:t>
      </w:r>
      <w:r>
        <w:rPr>
          <w:rFonts w:ascii="MS PGothic" w:cs="MS PGothic" w:eastAsia="MS PGothic" w:hAnsi="MS PGothic"/>
          <w:sz w:val="20"/>
          <w:szCs w:val="20"/>
          <w:u w:val="single" w:color="auto"/>
          <w:color w:val="0000FF"/>
        </w:rPr>
        <w:t>‑</w:t>
      </w:r>
      <w:r>
        <w:rPr>
          <w:rFonts w:ascii="Arial" w:cs="Arial" w:eastAsia="Arial" w:hAnsi="Arial"/>
          <w:sz w:val="20"/>
          <w:szCs w:val="20"/>
          <w:u w:val="single" w:color="auto"/>
          <w:color w:val="0000FF"/>
        </w:rPr>
        <w:t>1</w:t>
      </w:r>
      <w:r>
        <w:rPr>
          <w:rFonts w:ascii="Arial" w:cs="Arial" w:eastAsia="Arial" w:hAnsi="Arial"/>
          <w:sz w:val="20"/>
          <w:szCs w:val="20"/>
          <w:color w:val="FF0000"/>
        </w:rPr>
        <w:t xml:space="preserve"> </w:t>
      </w:r>
      <w:r>
        <w:rPr>
          <w:rFonts w:ascii="Arial" w:cs="Arial" w:eastAsia="Arial" w:hAnsi="Arial"/>
          <w:sz w:val="20"/>
          <w:szCs w:val="20"/>
          <w:color w:val="000000"/>
        </w:rPr>
        <w:t>to the</w:t>
      </w:r>
      <w:r>
        <w:rPr>
          <w:rFonts w:ascii="Arial" w:cs="Arial" w:eastAsia="Arial" w:hAnsi="Arial"/>
          <w:sz w:val="20"/>
          <w:szCs w:val="20"/>
          <w:color w:val="FF0000"/>
        </w:rPr>
        <w:t xml:space="preserve"> </w:t>
      </w:r>
      <w:r>
        <w:rPr>
          <w:rFonts w:ascii="Arial" w:cs="Arial" w:eastAsia="Arial" w:hAnsi="Arial"/>
          <w:sz w:val="20"/>
          <w:szCs w:val="20"/>
          <w:color w:val="000000"/>
        </w:rPr>
        <w:t xml:space="preserve">effect that such Foreign Lender is not </w:t>
      </w:r>
      <w:r>
        <w:rPr>
          <w:rFonts w:ascii="Arial" w:cs="Arial" w:eastAsia="Arial" w:hAnsi="Arial"/>
          <w:sz w:val="20"/>
          <w:szCs w:val="20"/>
          <w:color w:val="FF0000"/>
          <w:strike w:val="1"/>
        </w:rPr>
        <w:t>(A)</w:t>
      </w:r>
      <w:r>
        <w:rPr>
          <w:rFonts w:ascii="Arial" w:cs="Arial" w:eastAsia="Arial" w:hAnsi="Arial"/>
          <w:sz w:val="20"/>
          <w:szCs w:val="20"/>
          <w:color w:val="000000"/>
        </w:rPr>
        <w:t xml:space="preserve"> a “bank” within the meaning of </w:t>
      </w:r>
      <w:r>
        <w:rPr>
          <w:rFonts w:ascii="Arial" w:cs="Arial" w:eastAsia="Arial" w:hAnsi="Arial"/>
          <w:sz w:val="20"/>
          <w:szCs w:val="20"/>
          <w:color w:val="FF0000"/>
          <w:strike w:val="1"/>
        </w:rPr>
        <w:t>section</w:t>
      </w:r>
      <w:r>
        <w:rPr>
          <w:rFonts w:ascii="Arial" w:cs="Arial" w:eastAsia="Arial" w:hAnsi="Arial"/>
          <w:sz w:val="20"/>
          <w:szCs w:val="20"/>
          <w:u w:val="single" w:color="auto"/>
          <w:color w:val="0000FF"/>
        </w:rPr>
        <w:t>Section</w:t>
      </w:r>
      <w:r>
        <w:rPr>
          <w:rFonts w:ascii="Arial" w:cs="Arial" w:eastAsia="Arial" w:hAnsi="Arial"/>
          <w:sz w:val="20"/>
          <w:szCs w:val="20"/>
          <w:color w:val="000000"/>
        </w:rPr>
        <w:t xml:space="preserve"> 881(c)(3)(A) of the Internal Revenue Code, </w:t>
      </w:r>
      <w:r>
        <w:rPr>
          <w:rFonts w:ascii="Arial" w:cs="Arial" w:eastAsia="Arial" w:hAnsi="Arial"/>
          <w:sz w:val="20"/>
          <w:szCs w:val="20"/>
          <w:color w:val="FF0000"/>
          <w:strike w:val="1"/>
        </w:rPr>
        <w:t>(B)</w:t>
      </w:r>
      <w:r>
        <w:rPr>
          <w:rFonts w:ascii="Arial" w:cs="Arial" w:eastAsia="Arial" w:hAnsi="Arial"/>
          <w:sz w:val="20"/>
          <w:szCs w:val="20"/>
          <w:color w:val="000000"/>
        </w:rPr>
        <w:t xml:space="preserve"> a “10 percent shareholder” of </w:t>
      </w:r>
      <w:r>
        <w:rPr>
          <w:rFonts w:ascii="Arial" w:cs="Arial" w:eastAsia="Arial" w:hAnsi="Arial"/>
          <w:sz w:val="20"/>
          <w:szCs w:val="20"/>
          <w:color w:val="FF0000"/>
          <w:strike w:val="1"/>
        </w:rPr>
        <w:t>any</w:t>
      </w:r>
      <w:r>
        <w:rPr>
          <w:rFonts w:ascii="Arial" w:cs="Arial" w:eastAsia="Arial" w:hAnsi="Arial"/>
          <w:sz w:val="20"/>
          <w:szCs w:val="20"/>
          <w:u w:val="single" w:color="auto"/>
          <w:color w:val="0000FF"/>
        </w:rPr>
        <w:t>the</w:t>
      </w:r>
      <w:r>
        <w:rPr>
          <w:rFonts w:ascii="Arial" w:cs="Arial" w:eastAsia="Arial" w:hAnsi="Arial"/>
          <w:sz w:val="20"/>
          <w:szCs w:val="20"/>
          <w:color w:val="000000"/>
        </w:rPr>
        <w:t xml:space="preserve"> Borrower within the meaning of </w:t>
      </w:r>
      <w:r>
        <w:rPr>
          <w:rFonts w:ascii="Arial" w:cs="Arial" w:eastAsia="Arial" w:hAnsi="Arial"/>
          <w:sz w:val="20"/>
          <w:szCs w:val="20"/>
          <w:color w:val="FF0000"/>
          <w:strike w:val="1"/>
        </w:rPr>
        <w:t>section</w:t>
      </w:r>
      <w:r>
        <w:rPr>
          <w:rFonts w:ascii="Arial" w:cs="Arial" w:eastAsia="Arial" w:hAnsi="Arial"/>
          <w:sz w:val="20"/>
          <w:szCs w:val="20"/>
          <w:u w:val="single" w:color="auto"/>
          <w:color w:val="0000FF"/>
        </w:rPr>
        <w:t>Section</w:t>
      </w:r>
      <w:r>
        <w:rPr>
          <w:rFonts w:ascii="Arial" w:cs="Arial" w:eastAsia="Arial" w:hAnsi="Arial"/>
          <w:sz w:val="20"/>
          <w:szCs w:val="20"/>
          <w:color w:val="000000"/>
        </w:rPr>
        <w:t xml:space="preserve"> 881(c)(3)(B) of the Internal Revenue Code, or </w:t>
      </w:r>
      <w:r>
        <w:rPr>
          <w:rFonts w:ascii="Arial" w:cs="Arial" w:eastAsia="Arial" w:hAnsi="Arial"/>
          <w:sz w:val="20"/>
          <w:szCs w:val="20"/>
          <w:color w:val="FF0000"/>
          <w:strike w:val="1"/>
        </w:rPr>
        <w:t>(C)</w:t>
      </w:r>
      <w:r>
        <w:rPr>
          <w:rFonts w:ascii="Arial" w:cs="Arial" w:eastAsia="Arial" w:hAnsi="Arial"/>
          <w:sz w:val="20"/>
          <w:szCs w:val="20"/>
          <w:color w:val="000000"/>
        </w:rPr>
        <w:t xml:space="preserve"> a “controlled foreign corporation” described in </w:t>
      </w:r>
      <w:r>
        <w:rPr>
          <w:rFonts w:ascii="Arial" w:cs="Arial" w:eastAsia="Arial" w:hAnsi="Arial"/>
          <w:sz w:val="20"/>
          <w:szCs w:val="20"/>
          <w:color w:val="FF0000"/>
          <w:strike w:val="1"/>
        </w:rPr>
        <w:t>section</w:t>
      </w:r>
      <w:r>
        <w:rPr>
          <w:rFonts w:ascii="Arial" w:cs="Arial" w:eastAsia="Arial" w:hAnsi="Arial"/>
          <w:sz w:val="20"/>
          <w:szCs w:val="20"/>
          <w:u w:val="single" w:color="auto"/>
          <w:color w:val="0000FF"/>
        </w:rPr>
        <w:t>Section</w:t>
      </w:r>
      <w:r>
        <w:rPr>
          <w:rFonts w:ascii="Arial" w:cs="Arial" w:eastAsia="Arial" w:hAnsi="Arial"/>
          <w:sz w:val="20"/>
          <w:szCs w:val="20"/>
          <w:color w:val="000000"/>
        </w:rPr>
        <w:t xml:space="preserve"> 881(c)(3)(C) of the Internal Revenue Code </w:t>
      </w:r>
      <w:r>
        <w:rPr>
          <w:rFonts w:ascii="Arial" w:cs="Arial" w:eastAsia="Arial" w:hAnsi="Arial"/>
          <w:sz w:val="20"/>
          <w:szCs w:val="20"/>
          <w:u w:val="single" w:color="auto"/>
          <w:color w:val="0000FF"/>
        </w:rPr>
        <w:t>(a “U.S. Tax Compliance Certificate”)</w:t>
      </w:r>
      <w:r>
        <w:rPr>
          <w:rFonts w:ascii="Arial" w:cs="Arial" w:eastAsia="Arial" w:hAnsi="Arial"/>
          <w:sz w:val="20"/>
          <w:szCs w:val="20"/>
          <w:color w:val="000000"/>
        </w:rPr>
        <w:t xml:space="preserve"> and (y) executed originals of </w:t>
      </w:r>
      <w:r>
        <w:rPr>
          <w:rFonts w:ascii="Arial" w:cs="Arial" w:eastAsia="Arial" w:hAnsi="Arial"/>
          <w:sz w:val="20"/>
          <w:szCs w:val="20"/>
          <w:color w:val="FF0000"/>
          <w:strike w:val="1"/>
        </w:rPr>
        <w:t>Internal Revenue</w:t>
      </w:r>
      <w:r>
        <w:rPr>
          <w:rFonts w:ascii="Arial" w:cs="Arial" w:eastAsia="Arial" w:hAnsi="Arial"/>
          <w:sz w:val="20"/>
          <w:szCs w:val="20"/>
          <w:color w:val="000000"/>
        </w:rPr>
        <w:t xml:space="preserve"> </w:t>
      </w:r>
      <w:r>
        <w:rPr>
          <w:rFonts w:ascii="Arial" w:cs="Arial" w:eastAsia="Arial" w:hAnsi="Arial"/>
          <w:sz w:val="20"/>
          <w:szCs w:val="20"/>
          <w:color w:val="FF0000"/>
          <w:strike w:val="1"/>
        </w:rPr>
        <w:t>Service</w:t>
      </w:r>
      <w:r>
        <w:rPr>
          <w:rFonts w:ascii="Arial" w:cs="Arial" w:eastAsia="Arial" w:hAnsi="Arial"/>
          <w:sz w:val="20"/>
          <w:szCs w:val="20"/>
          <w:u w:val="single" w:color="auto"/>
          <w:color w:val="0000FF"/>
        </w:rPr>
        <w:t>IRS</w:t>
      </w:r>
      <w:r>
        <w:rPr>
          <w:rFonts w:ascii="Arial" w:cs="Arial" w:eastAsia="Arial" w:hAnsi="Arial"/>
          <w:sz w:val="20"/>
          <w:szCs w:val="20"/>
          <w:color w:val="FF0000"/>
        </w:rPr>
        <w:t xml:space="preserve"> </w:t>
      </w:r>
      <w:r>
        <w:rPr>
          <w:rFonts w:ascii="Arial" w:cs="Arial" w:eastAsia="Arial" w:hAnsi="Arial"/>
          <w:sz w:val="20"/>
          <w:szCs w:val="20"/>
          <w:color w:val="000000"/>
        </w:rPr>
        <w:t>Form W-8BEN</w:t>
      </w:r>
      <w:r>
        <w:rPr>
          <w:rFonts w:ascii="Arial" w:cs="Arial" w:eastAsia="Arial" w:hAnsi="Arial"/>
          <w:sz w:val="20"/>
          <w:szCs w:val="20"/>
          <w:color w:val="FF0000"/>
          <w:strike w:val="1"/>
        </w:rPr>
        <w:t>,</w:t>
      </w:r>
      <w:r>
        <w:rPr>
          <w:rFonts w:ascii="Arial" w:cs="Arial" w:eastAsia="Arial" w:hAnsi="Arial"/>
          <w:sz w:val="20"/>
          <w:szCs w:val="20"/>
          <w:u w:val="single" w:color="auto"/>
          <w:color w:val="0000FF"/>
        </w:rPr>
        <w:t>;</w:t>
      </w:r>
      <w:r>
        <w:rPr>
          <w:rFonts w:ascii="Arial" w:cs="Arial" w:eastAsia="Arial" w:hAnsi="Arial"/>
          <w:sz w:val="20"/>
          <w:szCs w:val="20"/>
          <w:color w:val="FF0000"/>
        </w:rPr>
        <w:t xml:space="preserve"> </w:t>
      </w:r>
      <w:r>
        <w:rPr>
          <w:rFonts w:ascii="Arial" w:cs="Arial" w:eastAsia="Arial" w:hAnsi="Arial"/>
          <w:sz w:val="20"/>
          <w:szCs w:val="20"/>
          <w:color w:val="000000"/>
        </w:rPr>
        <w:t>or</w:t>
      </w:r>
    </w:p>
    <w:p>
      <w:pPr>
        <w:spacing w:after="0" w:line="213" w:lineRule="exact"/>
        <w:rPr>
          <w:sz w:val="20"/>
          <w:szCs w:val="20"/>
          <w:color w:val="auto"/>
        </w:rPr>
      </w:pPr>
    </w:p>
    <w:p>
      <w:pPr>
        <w:ind w:left="1960" w:right="140" w:firstLine="641"/>
        <w:spacing w:after="0" w:line="233" w:lineRule="exact"/>
        <w:tabs>
          <w:tab w:leader="none" w:pos="3037" w:val="left"/>
        </w:tabs>
        <w:numPr>
          <w:ilvl w:val="0"/>
          <w:numId w:val="166"/>
        </w:numPr>
        <w:rPr>
          <w:rFonts w:ascii="Arial" w:cs="Arial" w:eastAsia="Arial" w:hAnsi="Arial"/>
          <w:sz w:val="18"/>
          <w:szCs w:val="18"/>
          <w:u w:val="single" w:color="auto"/>
          <w:color w:val="0000FF"/>
        </w:rPr>
      </w:pPr>
      <w:r>
        <w:rPr>
          <w:rFonts w:ascii="Arial" w:cs="Arial" w:eastAsia="Arial" w:hAnsi="Arial"/>
          <w:sz w:val="18"/>
          <w:szCs w:val="18"/>
          <w:u w:val="single" w:color="auto"/>
          <w:color w:val="0000FF"/>
        </w:rPr>
        <w:t>to the extent a Foreign Lender is not the beneficial owner, executed originals of IRS Form W-8IMY, accompanied by IRS Form W-8ECI, IRS Form W-8BEN, a U.S. Tax Compliance Certificate substantially in the form of Exhibit M</w:t>
      </w:r>
      <w:r>
        <w:rPr>
          <w:rFonts w:ascii="MS PGothic" w:cs="MS PGothic" w:eastAsia="MS PGothic" w:hAnsi="MS PGothic"/>
          <w:sz w:val="18"/>
          <w:szCs w:val="18"/>
          <w:u w:val="single" w:color="auto"/>
          <w:color w:val="0000FF"/>
        </w:rPr>
        <w:t>‑</w:t>
      </w:r>
      <w:r>
        <w:rPr>
          <w:rFonts w:ascii="Arial" w:cs="Arial" w:eastAsia="Arial" w:hAnsi="Arial"/>
          <w:sz w:val="18"/>
          <w:szCs w:val="18"/>
          <w:u w:val="single" w:color="auto"/>
          <w:color w:val="0000FF"/>
        </w:rPr>
        <w:t>2 or Exhibit M</w:t>
      </w:r>
      <w:r>
        <w:rPr>
          <w:rFonts w:ascii="MS PGothic" w:cs="MS PGothic" w:eastAsia="MS PGothic" w:hAnsi="MS PGothic"/>
          <w:sz w:val="18"/>
          <w:szCs w:val="18"/>
          <w:u w:val="single" w:color="auto"/>
          <w:color w:val="0000FF"/>
        </w:rPr>
        <w:t>‑</w:t>
      </w:r>
      <w:r>
        <w:rPr>
          <w:rFonts w:ascii="Arial" w:cs="Arial" w:eastAsia="Arial" w:hAnsi="Arial"/>
          <w:sz w:val="18"/>
          <w:szCs w:val="18"/>
          <w:u w:val="single" w:color="auto"/>
          <w:color w:val="0000FF"/>
        </w:rPr>
        <w:t>3, IRS Form W-9, and/or other certification documents from each beneficial owner, as applicable; provided that if the Foreign Lender is a partnership and one or more direct or indirect partners of such Foreign Lender are claiming the portfolio interest exemption, such Foreign Lender may provide a U.S. Tax Compliance Certificate substantially in the form of Exhibit M</w:t>
      </w:r>
      <w:r>
        <w:rPr>
          <w:rFonts w:ascii="MS PGothic" w:cs="MS PGothic" w:eastAsia="MS PGothic" w:hAnsi="MS PGothic"/>
          <w:sz w:val="18"/>
          <w:szCs w:val="18"/>
          <w:u w:val="single" w:color="auto"/>
          <w:color w:val="0000FF"/>
        </w:rPr>
        <w:t>‑</w:t>
      </w:r>
      <w:r>
        <w:rPr>
          <w:rFonts w:ascii="Arial" w:cs="Arial" w:eastAsia="Arial" w:hAnsi="Arial"/>
          <w:sz w:val="18"/>
          <w:szCs w:val="18"/>
          <w:u w:val="single" w:color="auto"/>
          <w:color w:val="0000FF"/>
        </w:rPr>
        <w:t>4 on behalf of each such direct and indirect partner;</w:t>
      </w:r>
    </w:p>
    <w:p>
      <w:pPr>
        <w:spacing w:after="0" w:line="210" w:lineRule="exact"/>
        <w:rPr>
          <w:sz w:val="20"/>
          <w:szCs w:val="20"/>
          <w:color w:val="auto"/>
        </w:rPr>
      </w:pPr>
    </w:p>
    <w:p>
      <w:pPr>
        <w:ind w:left="1300" w:right="120" w:firstLine="648"/>
        <w:spacing w:after="0" w:line="274" w:lineRule="auto"/>
        <w:rPr>
          <w:sz w:val="20"/>
          <w:szCs w:val="20"/>
          <w:color w:val="auto"/>
        </w:rPr>
      </w:pPr>
      <w:r>
        <w:rPr>
          <w:rFonts w:ascii="Arial" w:cs="Arial" w:eastAsia="Arial" w:hAnsi="Arial"/>
          <w:sz w:val="18"/>
          <w:szCs w:val="18"/>
          <w:color w:val="auto"/>
        </w:rPr>
        <w:t>(</w:t>
      </w:r>
      <w:r>
        <w:rPr>
          <w:rFonts w:ascii="Arial" w:cs="Arial" w:eastAsia="Arial" w:hAnsi="Arial"/>
          <w:sz w:val="18"/>
          <w:szCs w:val="18"/>
          <w:color w:val="FF0000"/>
        </w:rPr>
        <w:t>V)</w:t>
      </w:r>
      <w:r>
        <w:rPr>
          <w:rFonts w:ascii="Arial" w:cs="Arial" w:eastAsia="Arial" w:hAnsi="Arial"/>
          <w:sz w:val="18"/>
          <w:szCs w:val="18"/>
          <w:color w:val="auto"/>
        </w:rPr>
        <w:t xml:space="preserve"> </w:t>
      </w:r>
      <w:r>
        <w:rPr>
          <w:rFonts w:ascii="Arial" w:cs="Arial" w:eastAsia="Arial" w:hAnsi="Arial"/>
          <w:sz w:val="18"/>
          <w:szCs w:val="18"/>
          <w:u w:val="single" w:color="auto"/>
          <w:color w:val="0000FF"/>
        </w:rPr>
        <w:t>C) any Foreign Lender shall, to the extent it is legally entitled to do so, deliver to the Borrower and the</w:t>
      </w:r>
      <w:r>
        <w:rPr>
          <w:rFonts w:ascii="Arial" w:cs="Arial" w:eastAsia="Arial" w:hAnsi="Arial"/>
          <w:sz w:val="18"/>
          <w:szCs w:val="18"/>
          <w:color w:val="auto"/>
        </w:rPr>
        <w:t xml:space="preserve"> </w:t>
      </w:r>
      <w:r>
        <w:rPr>
          <w:rFonts w:ascii="Arial" w:cs="Arial" w:eastAsia="Arial" w:hAnsi="Arial"/>
          <w:sz w:val="18"/>
          <w:szCs w:val="18"/>
          <w:u w:val="single" w:color="auto"/>
          <w:color w:val="0000FF"/>
        </w:rPr>
        <w:t>Administrative Agent (in such number of copies as shall be requested by the recipient) on or prior to the date on which such Foreign Lender becomes a Lender under this Agreement (and from time to time thereafter upon the reasonable request of the Borrower or the Administrative Agent),</w:t>
      </w:r>
      <w:r>
        <w:rPr>
          <w:rFonts w:ascii="Arial" w:cs="Arial" w:eastAsia="Arial" w:hAnsi="Arial"/>
          <w:sz w:val="18"/>
          <w:szCs w:val="18"/>
          <w:color w:val="0000FF"/>
        </w:rPr>
        <w:t xml:space="preserve"> </w:t>
      </w:r>
      <w:r>
        <w:rPr>
          <w:rFonts w:ascii="Arial" w:cs="Arial" w:eastAsia="Arial" w:hAnsi="Arial"/>
          <w:sz w:val="18"/>
          <w:szCs w:val="18"/>
          <w:color w:val="000000"/>
        </w:rPr>
        <w:t>executed originals of any other form prescribed by applicable</w:t>
      </w:r>
      <w:r>
        <w:rPr>
          <w:rFonts w:ascii="Arial" w:cs="Arial" w:eastAsia="Arial" w:hAnsi="Arial"/>
          <w:sz w:val="18"/>
          <w:szCs w:val="18"/>
          <w:color w:val="0000FF"/>
        </w:rPr>
        <w:t xml:space="preserve"> </w:t>
      </w:r>
      <w:r>
        <w:rPr>
          <w:rFonts w:ascii="Arial" w:cs="Arial" w:eastAsia="Arial" w:hAnsi="Arial"/>
          <w:sz w:val="18"/>
          <w:szCs w:val="18"/>
          <w:color w:val="FF0000"/>
          <w:strike w:val="1"/>
        </w:rPr>
        <w:t>Laws</w:t>
      </w:r>
      <w:r>
        <w:rPr>
          <w:rFonts w:ascii="Arial" w:cs="Arial" w:eastAsia="Arial" w:hAnsi="Arial"/>
          <w:sz w:val="18"/>
          <w:szCs w:val="18"/>
          <w:u w:val="single" w:color="auto"/>
          <w:color w:val="0000FF"/>
        </w:rPr>
        <w:t>Law</w:t>
      </w:r>
      <w:r>
        <w:rPr>
          <w:rFonts w:ascii="Arial" w:cs="Arial" w:eastAsia="Arial" w:hAnsi="Arial"/>
          <w:sz w:val="18"/>
          <w:szCs w:val="18"/>
          <w:color w:val="0000FF"/>
        </w:rPr>
        <w:t xml:space="preserve"> </w:t>
      </w:r>
      <w:r>
        <w:rPr>
          <w:rFonts w:ascii="Arial" w:cs="Arial" w:eastAsia="Arial" w:hAnsi="Arial"/>
          <w:sz w:val="18"/>
          <w:szCs w:val="18"/>
          <w:color w:val="000000"/>
        </w:rPr>
        <w:t>as a basis for</w:t>
      </w:r>
      <w:r>
        <w:rPr>
          <w:rFonts w:ascii="Arial" w:cs="Arial" w:eastAsia="Arial" w:hAnsi="Arial"/>
          <w:sz w:val="18"/>
          <w:szCs w:val="18"/>
          <w:color w:val="0000FF"/>
        </w:rPr>
        <w:t xml:space="preserve"> </w:t>
      </w:r>
      <w:r>
        <w:rPr>
          <w:rFonts w:ascii="Arial" w:cs="Arial" w:eastAsia="Arial" w:hAnsi="Arial"/>
          <w:sz w:val="18"/>
          <w:szCs w:val="18"/>
          <w:color w:val="000000"/>
        </w:rPr>
        <w:t xml:space="preserve">claiming exemption from or a reduction in </w:t>
      </w:r>
      <w:r>
        <w:rPr>
          <w:rFonts w:ascii="Arial" w:cs="Arial" w:eastAsia="Arial" w:hAnsi="Arial"/>
          <w:sz w:val="18"/>
          <w:szCs w:val="18"/>
          <w:color w:val="FF0000"/>
          <w:strike w:val="1"/>
        </w:rPr>
        <w:t>United States Federal</w:t>
      </w:r>
      <w:r>
        <w:rPr>
          <w:rFonts w:ascii="Arial" w:cs="Arial" w:eastAsia="Arial" w:hAnsi="Arial"/>
          <w:sz w:val="18"/>
          <w:szCs w:val="18"/>
          <w:u w:val="single" w:color="auto"/>
          <w:color w:val="0000FF"/>
        </w:rPr>
        <w:t>U.S. federal</w:t>
      </w:r>
      <w:r>
        <w:rPr>
          <w:rFonts w:ascii="Arial" w:cs="Arial" w:eastAsia="Arial" w:hAnsi="Arial"/>
          <w:sz w:val="18"/>
          <w:szCs w:val="18"/>
          <w:color w:val="000000"/>
        </w:rPr>
        <w:t xml:space="preserve"> withholding </w:t>
      </w:r>
      <w:r>
        <w:rPr>
          <w:rFonts w:ascii="Arial" w:cs="Arial" w:eastAsia="Arial" w:hAnsi="Arial"/>
          <w:sz w:val="18"/>
          <w:szCs w:val="18"/>
          <w:color w:val="FF0000"/>
          <w:strike w:val="1"/>
        </w:rPr>
        <w:t>tax</w:t>
      </w:r>
      <w:r>
        <w:rPr>
          <w:rFonts w:ascii="Arial" w:cs="Arial" w:eastAsia="Arial" w:hAnsi="Arial"/>
          <w:sz w:val="18"/>
          <w:szCs w:val="18"/>
          <w:u w:val="single" w:color="auto"/>
          <w:color w:val="0000FF"/>
        </w:rPr>
        <w:t>Tax, duly completed,</w:t>
      </w:r>
      <w:r>
        <w:rPr>
          <w:rFonts w:ascii="Arial" w:cs="Arial" w:eastAsia="Arial" w:hAnsi="Arial"/>
          <w:sz w:val="18"/>
          <w:szCs w:val="18"/>
          <w:color w:val="000000"/>
        </w:rPr>
        <w:t xml:space="preserve"> together with such supplementary documentation as may be prescribed by applicable </w:t>
      </w:r>
      <w:r>
        <w:rPr>
          <w:rFonts w:ascii="Arial" w:cs="Arial" w:eastAsia="Arial" w:hAnsi="Arial"/>
          <w:sz w:val="18"/>
          <w:szCs w:val="18"/>
          <w:color w:val="FF0000"/>
          <w:strike w:val="1"/>
        </w:rPr>
        <w:t>Laws</w:t>
      </w:r>
      <w:r>
        <w:rPr>
          <w:rFonts w:ascii="Arial" w:cs="Arial" w:eastAsia="Arial" w:hAnsi="Arial"/>
          <w:sz w:val="18"/>
          <w:szCs w:val="18"/>
          <w:u w:val="single" w:color="auto"/>
          <w:color w:val="0000FF"/>
        </w:rPr>
        <w:t>Law</w:t>
      </w:r>
      <w:r>
        <w:rPr>
          <w:rFonts w:ascii="Arial" w:cs="Arial" w:eastAsia="Arial" w:hAnsi="Arial"/>
          <w:sz w:val="18"/>
          <w:szCs w:val="18"/>
          <w:color w:val="000000"/>
        </w:rPr>
        <w:t xml:space="preserve"> to permit </w:t>
      </w:r>
      <w:r>
        <w:rPr>
          <w:rFonts w:ascii="Arial" w:cs="Arial" w:eastAsia="Arial" w:hAnsi="Arial"/>
          <w:sz w:val="18"/>
          <w:szCs w:val="18"/>
          <w:color w:val="FF0000"/>
          <w:strike w:val="1"/>
        </w:rPr>
        <w:t>a</w:t>
      </w:r>
      <w:r>
        <w:rPr>
          <w:rFonts w:ascii="Arial" w:cs="Arial" w:eastAsia="Arial" w:hAnsi="Arial"/>
          <w:sz w:val="18"/>
          <w:szCs w:val="18"/>
          <w:u w:val="single" w:color="auto"/>
          <w:color w:val="0000FF"/>
        </w:rPr>
        <w:t>the</w:t>
      </w:r>
      <w:r>
        <w:rPr>
          <w:rFonts w:ascii="Arial" w:cs="Arial" w:eastAsia="Arial" w:hAnsi="Arial"/>
          <w:sz w:val="18"/>
          <w:szCs w:val="18"/>
          <w:color w:val="000000"/>
        </w:rPr>
        <w:t xml:space="preserve"> Borrower or the Administrative Agent to determine the withholding or deduction required to be made</w:t>
      </w:r>
      <w:r>
        <w:rPr>
          <w:rFonts w:ascii="Arial" w:cs="Arial" w:eastAsia="Arial" w:hAnsi="Arial"/>
          <w:sz w:val="18"/>
          <w:szCs w:val="18"/>
          <w:color w:val="FF0000"/>
          <w:strike w:val="1"/>
        </w:rPr>
        <w:t>.</w:t>
      </w:r>
      <w:r>
        <w:rPr>
          <w:rFonts w:ascii="Arial" w:cs="Arial" w:eastAsia="Arial" w:hAnsi="Arial"/>
          <w:sz w:val="18"/>
          <w:szCs w:val="18"/>
          <w:u w:val="single" w:color="auto"/>
          <w:color w:val="0000FF"/>
        </w:rPr>
        <w:t>;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1282065</wp:posOffset>
            </wp:positionH>
            <wp:positionV relativeFrom="paragraph">
              <wp:posOffset>-962025</wp:posOffset>
            </wp:positionV>
            <wp:extent cx="258445"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258445" cy="8890"/>
                    </a:xfrm>
                    <a:prstGeom prst="rect">
                      <a:avLst/>
                    </a:prstGeom>
                    <a:noFill/>
                  </pic:spPr>
                </pic:pic>
              </a:graphicData>
            </a:graphic>
          </wp:anchor>
        </w:drawing>
      </w:r>
    </w:p>
    <w:p>
      <w:pPr>
        <w:spacing w:after="0" w:line="163" w:lineRule="exact"/>
        <w:rPr>
          <w:sz w:val="20"/>
          <w:szCs w:val="20"/>
          <w:color w:val="auto"/>
        </w:rPr>
      </w:pPr>
    </w:p>
    <w:p>
      <w:pPr>
        <w:ind w:left="1300" w:right="280" w:firstLine="653"/>
        <w:spacing w:after="0" w:line="246" w:lineRule="auto"/>
        <w:tabs>
          <w:tab w:leader="none" w:pos="2410" w:val="left"/>
        </w:tabs>
        <w:numPr>
          <w:ilvl w:val="0"/>
          <w:numId w:val="167"/>
        </w:numPr>
        <w:rPr>
          <w:rFonts w:ascii="Arial" w:cs="Arial" w:eastAsia="Arial" w:hAnsi="Arial"/>
          <w:sz w:val="20"/>
          <w:szCs w:val="20"/>
          <w:color w:val="FF0000"/>
          <w:strike w:val="1"/>
        </w:rPr>
      </w:pPr>
      <w:r>
        <w:rPr>
          <w:rFonts w:ascii="Arial" w:cs="Arial" w:eastAsia="Arial" w:hAnsi="Arial"/>
          <w:sz w:val="20"/>
          <w:szCs w:val="20"/>
          <w:color w:val="FF0000"/>
          <w:strike w:val="1"/>
        </w:rPr>
        <w:t>each</w:t>
      </w:r>
      <w:r>
        <w:rPr>
          <w:rFonts w:ascii="Arial" w:cs="Arial" w:eastAsia="Arial" w:hAnsi="Arial"/>
          <w:sz w:val="20"/>
          <w:szCs w:val="20"/>
          <w:u w:val="single" w:color="auto"/>
          <w:color w:val="0000FF"/>
          <w:strike w:val="1"/>
        </w:rPr>
        <w:t>(D) if a payment made to a Lender under any Credit Document would be subject to U.S. federal</w:t>
      </w:r>
      <w:r>
        <w:rPr>
          <w:rFonts w:ascii="Arial" w:cs="Arial" w:eastAsia="Arial" w:hAnsi="Arial"/>
          <w:sz w:val="20"/>
          <w:szCs w:val="20"/>
          <w:color w:val="FF0000"/>
          <w:strike w:val="1"/>
        </w:rPr>
        <w:t xml:space="preserve"> </w:t>
      </w:r>
      <w:r>
        <w:rPr>
          <w:rFonts w:ascii="Arial" w:cs="Arial" w:eastAsia="Arial" w:hAnsi="Arial"/>
          <w:sz w:val="20"/>
          <w:szCs w:val="20"/>
          <w:u w:val="single" w:color="auto"/>
          <w:color w:val="0000FF"/>
          <w:strike w:val="1"/>
        </w:rPr>
        <w:t>withholding Tax imposed by FATCA if such Lender were to fail to comply with the applicable reporting requirements of FATCA (including those contained in Section 1471(b) or 1472(b) of the Internal Revenue Code, as applicable), such</w:t>
      </w:r>
      <w:r>
        <w:rPr>
          <w:rFonts w:ascii="Arial" w:cs="Arial" w:eastAsia="Arial" w:hAnsi="Arial"/>
          <w:sz w:val="20"/>
          <w:szCs w:val="20"/>
          <w:color w:val="0000FF"/>
          <w:strike w:val="1"/>
        </w:rPr>
        <w:t xml:space="preserve"> </w:t>
      </w:r>
      <w:r>
        <w:rPr>
          <w:rFonts w:ascii="Arial" w:cs="Arial" w:eastAsia="Arial" w:hAnsi="Arial"/>
          <w:sz w:val="20"/>
          <w:szCs w:val="20"/>
          <w:color w:val="000000"/>
          <w:strike w:val="1"/>
        </w:rPr>
        <w:t>Lender</w:t>
      </w:r>
      <w:r>
        <w:rPr>
          <w:rFonts w:ascii="Arial" w:cs="Arial" w:eastAsia="Arial" w:hAnsi="Arial"/>
          <w:sz w:val="20"/>
          <w:szCs w:val="20"/>
          <w:color w:val="0000FF"/>
          <w:strike w:val="1"/>
        </w:rPr>
        <w:t xml:space="preserve"> </w:t>
      </w:r>
      <w:r>
        <w:rPr>
          <w:rFonts w:ascii="Arial" w:cs="Arial" w:eastAsia="Arial" w:hAnsi="Arial"/>
          <w:sz w:val="20"/>
          <w:szCs w:val="20"/>
          <w:color w:val="000000"/>
          <w:strike w:val="1"/>
        </w:rPr>
        <w:t xml:space="preserve">shall deliver to the </w:t>
      </w:r>
      <w:r>
        <w:rPr>
          <w:rFonts w:ascii="Arial" w:cs="Arial" w:eastAsia="Arial" w:hAnsi="Arial"/>
          <w:sz w:val="20"/>
          <w:szCs w:val="20"/>
          <w:u w:val="single" w:color="auto"/>
          <w:color w:val="0000FF"/>
          <w:strike w:val="1"/>
        </w:rPr>
        <w:t>Borrower and the</w:t>
      </w:r>
      <w:r>
        <w:rPr>
          <w:rFonts w:ascii="Arial" w:cs="Arial" w:eastAsia="Arial" w:hAnsi="Arial"/>
          <w:sz w:val="20"/>
          <w:szCs w:val="20"/>
          <w:color w:val="000000"/>
          <w:strike w:val="1"/>
        </w:rPr>
        <w:t xml:space="preserve"> Administrative Agent </w:t>
      </w:r>
      <w:r>
        <w:rPr>
          <w:rFonts w:ascii="Arial" w:cs="Arial" w:eastAsia="Arial" w:hAnsi="Arial"/>
          <w:sz w:val="20"/>
          <w:szCs w:val="20"/>
          <w:color w:val="FF0000"/>
          <w:strike w:val="1"/>
        </w:rPr>
        <w:t>and</w:t>
      </w:r>
    </w:p>
    <w:p>
      <w:pPr>
        <w:spacing w:after="0" w:line="219" w:lineRule="exact"/>
        <w:rPr>
          <w:sz w:val="20"/>
          <w:szCs w:val="20"/>
          <w:color w:val="auto"/>
        </w:rPr>
      </w:pPr>
    </w:p>
    <w:p>
      <w:pPr>
        <w:jc w:val="center"/>
        <w:ind w:right="-39"/>
        <w:spacing w:after="0"/>
        <w:rPr>
          <w:sz w:val="20"/>
          <w:szCs w:val="20"/>
          <w:color w:val="auto"/>
        </w:rPr>
      </w:pPr>
      <w:r>
        <w:rPr>
          <w:rFonts w:ascii="Arial" w:cs="Arial" w:eastAsia="Arial" w:hAnsi="Arial"/>
          <w:sz w:val="20"/>
          <w:szCs w:val="20"/>
          <w:color w:val="auto"/>
        </w:rPr>
        <w:t>121</w:t>
      </w:r>
    </w:p>
    <w:p>
      <w:pPr>
        <w:spacing w:after="0" w:line="10" w:lineRule="exact"/>
        <w:rPr>
          <w:sz w:val="20"/>
          <w:szCs w:val="20"/>
          <w:color w:val="auto"/>
        </w:rPr>
      </w:pPr>
    </w:p>
    <w:p>
      <w:pPr>
        <w:spacing w:after="0"/>
        <w:rPr>
          <w:sz w:val="20"/>
          <w:szCs w:val="20"/>
          <w:color w:val="auto"/>
        </w:rPr>
      </w:pPr>
      <w:r>
        <w:rPr>
          <w:rFonts w:ascii="Arial" w:cs="Arial" w:eastAsia="Arial" w:hAnsi="Arial"/>
          <w:sz w:val="14"/>
          <w:szCs w:val="14"/>
          <w:color w:val="auto"/>
        </w:rPr>
        <w:t>CHAR1\1346423v</w:t>
      </w:r>
      <w:r>
        <w:rPr>
          <w:rFonts w:ascii="Arial" w:cs="Arial" w:eastAsia="Arial" w:hAnsi="Arial"/>
          <w:sz w:val="14"/>
          <w:szCs w:val="14"/>
          <w:color w:val="FF0000"/>
          <w:strike w:val="1"/>
        </w:rPr>
        <w:t>1</w:t>
      </w:r>
      <w:r>
        <w:rPr>
          <w:rFonts w:ascii="Arial" w:cs="Arial" w:eastAsia="Arial" w:hAnsi="Arial"/>
          <w:sz w:val="14"/>
          <w:szCs w:val="14"/>
          <w:u w:val="single" w:color="auto"/>
          <w:color w:val="0000FF"/>
        </w:rPr>
        <w:t>12</w:t>
      </w:r>
    </w:p>
    <w:p>
      <w:pPr>
        <w:sectPr>
          <w:pgSz w:w="11900" w:h="16838" w:orient="portrait"/>
          <w:cols w:equalWidth="0" w:num="1">
            <w:col w:w="11400"/>
          </w:cols>
          <w:pgMar w:left="240" w:top="582" w:right="259" w:bottom="1440" w:gutter="0" w:footer="0" w:header="0"/>
        </w:sectPr>
      </w:pPr>
    </w:p>
    <w:bookmarkStart w:id="173" w:name="page174"/>
    <w:bookmarkEnd w:id="173"/>
    <w:p>
      <w:pPr>
        <w:ind w:left="1300" w:right="60"/>
        <w:spacing w:after="0" w:line="256" w:lineRule="auto"/>
        <w:rPr>
          <w:sz w:val="20"/>
          <w:szCs w:val="20"/>
          <w:color w:val="auto"/>
        </w:rPr>
      </w:pPr>
      <w:r>
        <w:rPr>
          <w:rFonts w:ascii="Arial" w:cs="Arial" w:eastAsia="Arial" w:hAnsi="Arial"/>
          <w:sz w:val="19"/>
          <w:szCs w:val="19"/>
          <w:color w:val="FF0000"/>
          <w:strike w:val="1"/>
        </w:rPr>
        <w:t xml:space="preserve">the Borrowers such documentation reasonably requested by the Administrative Agent or the Borrowers sufficient for the Administrative Agent and the Borrowers </w:t>
      </w:r>
      <w:r>
        <w:rPr>
          <w:rFonts w:ascii="Arial" w:cs="Arial" w:eastAsia="Arial" w:hAnsi="Arial"/>
          <w:sz w:val="19"/>
          <w:szCs w:val="19"/>
          <w:u w:val="single" w:color="auto"/>
          <w:color w:val="0000FF"/>
          <w:strike w:val="1"/>
        </w:rPr>
        <w:t>at the time or times prescribed by law and at such time or times reasonably requested</w:t>
      </w:r>
      <w:r>
        <w:rPr>
          <w:rFonts w:ascii="Arial" w:cs="Arial" w:eastAsia="Arial" w:hAnsi="Arial"/>
          <w:sz w:val="19"/>
          <w:szCs w:val="19"/>
          <w:color w:val="FF0000"/>
          <w:strike w:val="1"/>
        </w:rPr>
        <w:t xml:space="preserve"> </w:t>
      </w:r>
      <w:r>
        <w:rPr>
          <w:rFonts w:ascii="Arial" w:cs="Arial" w:eastAsia="Arial" w:hAnsi="Arial"/>
          <w:sz w:val="19"/>
          <w:szCs w:val="19"/>
          <w:u w:val="single" w:color="auto"/>
          <w:color w:val="0000FF"/>
          <w:strike w:val="1"/>
        </w:rPr>
        <w:t>by the Borrower or the Administrative Agent such documentation prescribed by applicable Law (including as prescribed by Section 1471(b)(3)(C)(i) of the Internal Revenue Code) and such additional documentation reasonably requested by the Borrower or the Administrative Agent as may be necessary for the Borrower and the Administrative Agent</w:t>
      </w:r>
      <w:r>
        <w:rPr>
          <w:rFonts w:ascii="Arial" w:cs="Arial" w:eastAsia="Arial" w:hAnsi="Arial"/>
          <w:sz w:val="19"/>
          <w:szCs w:val="19"/>
          <w:color w:val="0000FF"/>
          <w:strike w:val="1"/>
        </w:rPr>
        <w:t xml:space="preserve"> </w:t>
      </w:r>
      <w:r>
        <w:rPr>
          <w:rFonts w:ascii="Arial" w:cs="Arial" w:eastAsia="Arial" w:hAnsi="Arial"/>
          <w:sz w:val="19"/>
          <w:szCs w:val="19"/>
          <w:color w:val="000000"/>
          <w:strike w:val="1"/>
        </w:rPr>
        <w:t>to comply with</w:t>
      </w:r>
      <w:r>
        <w:rPr>
          <w:rFonts w:ascii="Arial" w:cs="Arial" w:eastAsia="Arial" w:hAnsi="Arial"/>
          <w:sz w:val="19"/>
          <w:szCs w:val="19"/>
          <w:color w:val="0000FF"/>
          <w:strike w:val="1"/>
        </w:rPr>
        <w:t xml:space="preserve"> </w:t>
      </w:r>
      <w:r>
        <w:rPr>
          <w:rFonts w:ascii="Arial" w:cs="Arial" w:eastAsia="Arial" w:hAnsi="Arial"/>
          <w:sz w:val="19"/>
          <w:szCs w:val="19"/>
          <w:color w:val="000000"/>
          <w:strike w:val="1"/>
        </w:rPr>
        <w:t xml:space="preserve">their obligations under FATCA and to determine </w:t>
      </w:r>
      <w:r>
        <w:rPr>
          <w:rFonts w:ascii="Arial" w:cs="Arial" w:eastAsia="Arial" w:hAnsi="Arial"/>
          <w:sz w:val="19"/>
          <w:szCs w:val="19"/>
          <w:color w:val="FF0000"/>
          <w:strike w:val="1"/>
        </w:rPr>
        <w:t>whether payments to such Lender are subject to withholding tax under</w:t>
      </w:r>
      <w:r>
        <w:rPr>
          <w:rFonts w:ascii="Arial" w:cs="Arial" w:eastAsia="Arial" w:hAnsi="Arial"/>
          <w:sz w:val="19"/>
          <w:szCs w:val="19"/>
          <w:color w:val="000000"/>
          <w:strike w:val="1"/>
        </w:rPr>
        <w:t xml:space="preserve"> </w:t>
      </w:r>
      <w:r>
        <w:rPr>
          <w:rFonts w:ascii="Arial" w:cs="Arial" w:eastAsia="Arial" w:hAnsi="Arial"/>
          <w:sz w:val="19"/>
          <w:szCs w:val="19"/>
          <w:color w:val="FF0000"/>
          <w:strike w:val="1"/>
        </w:rPr>
        <w:t>FATCA</w:t>
      </w:r>
      <w:r>
        <w:rPr>
          <w:rFonts w:ascii="Arial" w:cs="Arial" w:eastAsia="Arial" w:hAnsi="Arial"/>
          <w:sz w:val="19"/>
          <w:szCs w:val="19"/>
          <w:u w:val="single" w:color="auto"/>
          <w:color w:val="0000FF"/>
          <w:strike w:val="1"/>
        </w:rPr>
        <w:t>that such Lender has complied with such Lender’s obligations under FATCA or to determine the amount to deduct and</w:t>
      </w:r>
      <w:r>
        <w:rPr>
          <w:rFonts w:ascii="Arial" w:cs="Arial" w:eastAsia="Arial" w:hAnsi="Arial"/>
          <w:sz w:val="19"/>
          <w:szCs w:val="19"/>
          <w:color w:val="FF0000"/>
          <w:strike w:val="1"/>
        </w:rPr>
        <w:t xml:space="preserve"> </w:t>
      </w:r>
      <w:r>
        <w:rPr>
          <w:rFonts w:ascii="Arial" w:cs="Arial" w:eastAsia="Arial" w:hAnsi="Arial"/>
          <w:sz w:val="19"/>
          <w:szCs w:val="19"/>
          <w:u w:val="single" w:color="auto"/>
          <w:color w:val="0000FF"/>
          <w:strike w:val="1"/>
        </w:rPr>
        <w:t>withhold from such payment. Solely for purposes of this clause (D), “FATCA” shall include any amendments made to FATCA after the date of this Agreement.</w:t>
      </w:r>
    </w:p>
    <w:p>
      <w:pPr>
        <w:spacing w:after="0" w:line="198" w:lineRule="exact"/>
        <w:rPr>
          <w:sz w:val="20"/>
          <w:szCs w:val="20"/>
          <w:color w:val="auto"/>
        </w:rPr>
      </w:pPr>
    </w:p>
    <w:p>
      <w:pPr>
        <w:ind w:left="660" w:right="120" w:firstLine="1293"/>
        <w:spacing w:after="0" w:line="270" w:lineRule="auto"/>
        <w:tabs>
          <w:tab w:leader="none" w:pos="2451" w:val="left"/>
        </w:tabs>
        <w:numPr>
          <w:ilvl w:val="0"/>
          <w:numId w:val="168"/>
        </w:numPr>
        <w:rPr>
          <w:rFonts w:ascii="Arial" w:cs="Arial" w:eastAsia="Arial" w:hAnsi="Arial"/>
          <w:sz w:val="18"/>
          <w:szCs w:val="18"/>
          <w:color w:val="FF0000"/>
          <w:strike w:val="1"/>
        </w:rPr>
      </w:pPr>
      <w:r>
        <w:rPr>
          <w:rFonts w:ascii="Arial" w:cs="Arial" w:eastAsia="Arial" w:hAnsi="Arial"/>
          <w:sz w:val="18"/>
          <w:szCs w:val="18"/>
          <w:color w:val="FF0000"/>
          <w:strike w:val="1"/>
        </w:rPr>
        <w:t>Each Lender shall promptly (A) notify the Borrowers and the Administrative Agent of any change in circumstances which would modify or render invalid any claimed exemption or reduction, and (B) take such steps as shall not be materially disadvantageous to it, in the reasonable judgment of such Lender, and as may be reasonably necessary (including the re-designation of its Lending Office) to avoid or reduce any requirement of applicable Laws of any jurisdiction that the Borrowers or the</w:t>
      </w:r>
    </w:p>
    <w:p>
      <w:pPr>
        <w:spacing w:after="0" w:line="3" w:lineRule="exact"/>
        <w:rPr>
          <w:sz w:val="20"/>
          <w:szCs w:val="20"/>
          <w:color w:val="auto"/>
        </w:rPr>
      </w:pPr>
    </w:p>
    <w:p>
      <w:pPr>
        <w:jc w:val="both"/>
        <w:ind w:left="660" w:right="160"/>
        <w:spacing w:after="0" w:line="241" w:lineRule="auto"/>
        <w:rPr>
          <w:sz w:val="20"/>
          <w:szCs w:val="20"/>
          <w:color w:val="auto"/>
        </w:rPr>
      </w:pPr>
      <w:r>
        <w:rPr>
          <w:rFonts w:ascii="Arial" w:cs="Arial" w:eastAsia="Arial" w:hAnsi="Arial"/>
          <w:sz w:val="20"/>
          <w:szCs w:val="20"/>
          <w:color w:val="FF0000"/>
          <w:strike w:val="1"/>
        </w:rPr>
        <w:t>Administrative Agent make any withholding or deduction for taxes from amounts payable to such Lender.</w:t>
      </w:r>
      <w:r>
        <w:rPr>
          <w:rFonts w:ascii="Arial" w:cs="Arial" w:eastAsia="Arial" w:hAnsi="Arial"/>
          <w:sz w:val="20"/>
          <w:szCs w:val="20"/>
          <w:u w:val="single" w:color="auto"/>
          <w:color w:val="0000FF"/>
          <w:strike w:val="1"/>
        </w:rPr>
        <w:t>(iii) Each Lender agrees</w:t>
      </w:r>
      <w:r>
        <w:rPr>
          <w:rFonts w:ascii="Arial" w:cs="Arial" w:eastAsia="Arial" w:hAnsi="Arial"/>
          <w:sz w:val="20"/>
          <w:szCs w:val="20"/>
          <w:color w:val="FF0000"/>
          <w:strike w:val="1"/>
        </w:rPr>
        <w:t xml:space="preserve"> </w:t>
      </w:r>
      <w:r>
        <w:rPr>
          <w:rFonts w:ascii="Arial" w:cs="Arial" w:eastAsia="Arial" w:hAnsi="Arial"/>
          <w:sz w:val="20"/>
          <w:szCs w:val="20"/>
          <w:u w:val="single" w:color="auto"/>
          <w:color w:val="0000FF"/>
          <w:strike w:val="1"/>
        </w:rPr>
        <w:t>that if any form or certification it previously delivered pursuant to this Section 3.01 expires or becomes obsolete or inaccurate in any respect, it shall update such form or certification or promptly notify the Borrower and the Administrative Agent in writing of its legal inability to do so.</w:t>
      </w:r>
    </w:p>
    <w:p>
      <w:pPr>
        <w:spacing w:after="0" w:line="208" w:lineRule="exact"/>
        <w:rPr>
          <w:sz w:val="20"/>
          <w:szCs w:val="20"/>
          <w:color w:val="auto"/>
        </w:rPr>
      </w:pPr>
    </w:p>
    <w:p>
      <w:pPr>
        <w:ind w:left="660" w:firstLine="1293"/>
        <w:spacing w:after="0" w:line="259" w:lineRule="auto"/>
        <w:tabs>
          <w:tab w:leader="none" w:pos="2292" w:val="left"/>
        </w:tabs>
        <w:numPr>
          <w:ilvl w:val="0"/>
          <w:numId w:val="169"/>
        </w:numPr>
        <w:rPr>
          <w:rFonts w:ascii="Arial" w:cs="Arial" w:eastAsia="Arial" w:hAnsi="Arial"/>
          <w:sz w:val="19"/>
          <w:szCs w:val="19"/>
          <w:color w:val="FF0000"/>
          <w:strike w:val="1"/>
        </w:rPr>
      </w:pPr>
      <w:r>
        <w:rPr>
          <w:rFonts w:ascii="Arial" w:cs="Arial" w:eastAsia="Arial" w:hAnsi="Arial"/>
          <w:sz w:val="19"/>
          <w:szCs w:val="19"/>
          <w:u w:val="single" w:color="auto"/>
          <w:color w:val="0000FF"/>
        </w:rPr>
        <w:t>(iv)</w:t>
      </w:r>
      <w:r>
        <w:rPr>
          <w:rFonts w:ascii="Arial" w:cs="Arial" w:eastAsia="Arial" w:hAnsi="Arial"/>
          <w:sz w:val="19"/>
          <w:szCs w:val="19"/>
          <w:color w:val="0000FF"/>
        </w:rPr>
        <w:t xml:space="preserve"> </w:t>
      </w:r>
      <w:r>
        <w:rPr>
          <w:rFonts w:ascii="Arial" w:cs="Arial" w:eastAsia="Arial" w:hAnsi="Arial"/>
          <w:sz w:val="19"/>
          <w:szCs w:val="19"/>
          <w:color w:val="000000"/>
        </w:rPr>
        <w:t>Each Borrower shall promptly deliver to the Administrative Agent or any Lender, as the Administrative Agent</w:t>
      </w:r>
      <w:r>
        <w:rPr>
          <w:rFonts w:ascii="Arial" w:cs="Arial" w:eastAsia="Arial" w:hAnsi="Arial"/>
          <w:sz w:val="19"/>
          <w:szCs w:val="19"/>
          <w:color w:val="0000FF"/>
        </w:rPr>
        <w:t xml:space="preserve"> </w:t>
      </w:r>
      <w:r>
        <w:rPr>
          <w:rFonts w:ascii="Arial" w:cs="Arial" w:eastAsia="Arial" w:hAnsi="Arial"/>
          <w:sz w:val="19"/>
          <w:szCs w:val="19"/>
          <w:color w:val="000000"/>
        </w:rPr>
        <w:t>or such Lender shall reasonably request, on or prior to the Closing Date (or such later date on which it first becomes a Borrower), and in a timely fashion thereafter, such documents and forms required by any relevant taxing authorities under the Laws of any jurisdiction, duly executed and completed by such Borrower, as are required to be furnished by such Lender or the Administrative Agent under such Laws in connection with any payment by the Administrative Agent or any Lender of Taxes or Other Taxes, or otherwise in connection with the Credit Documents, with respect to such jurisdiction.</w:t>
      </w:r>
    </w:p>
    <w:p>
      <w:pPr>
        <w:spacing w:after="0" w:line="192" w:lineRule="exact"/>
        <w:rPr>
          <w:rFonts w:ascii="Arial" w:cs="Arial" w:eastAsia="Arial" w:hAnsi="Arial"/>
          <w:sz w:val="19"/>
          <w:szCs w:val="19"/>
          <w:color w:val="FF0000"/>
          <w:strike w:val="1"/>
        </w:rPr>
      </w:pPr>
    </w:p>
    <w:p>
      <w:pPr>
        <w:ind w:left="660" w:firstLine="1293"/>
        <w:spacing w:after="0" w:line="271" w:lineRule="auto"/>
        <w:tabs>
          <w:tab w:leader="none" w:pos="2385" w:val="left"/>
        </w:tabs>
        <w:numPr>
          <w:ilvl w:val="0"/>
          <w:numId w:val="169"/>
        </w:numPr>
        <w:rPr>
          <w:rFonts w:ascii="Arial" w:cs="Arial" w:eastAsia="Arial" w:hAnsi="Arial"/>
          <w:sz w:val="18"/>
          <w:szCs w:val="18"/>
          <w:color w:val="FF0000"/>
          <w:strike w:val="1"/>
        </w:rPr>
      </w:pPr>
      <w:r>
        <w:rPr>
          <w:rFonts w:ascii="Arial" w:cs="Arial" w:eastAsia="Arial" w:hAnsi="Arial"/>
          <w:sz w:val="18"/>
          <w:szCs w:val="18"/>
          <w:color w:val="FF0000"/>
          <w:strike w:val="1"/>
        </w:rPr>
        <w:t xml:space="preserve">None of the foregoing provisions of this </w:t>
      </w:r>
      <w:r>
        <w:rPr>
          <w:rFonts w:ascii="Arial" w:cs="Arial" w:eastAsia="Arial" w:hAnsi="Arial"/>
          <w:sz w:val="18"/>
          <w:szCs w:val="18"/>
          <w:u w:val="single" w:color="auto"/>
          <w:color w:val="FF0000"/>
          <w:strike w:val="1"/>
        </w:rPr>
        <w:t>Section 3.01(e)</w:t>
      </w:r>
      <w:r>
        <w:rPr>
          <w:rFonts w:ascii="Arial" w:cs="Arial" w:eastAsia="Arial" w:hAnsi="Arial"/>
          <w:sz w:val="18"/>
          <w:szCs w:val="18"/>
          <w:color w:val="FF0000"/>
          <w:strike w:val="1"/>
        </w:rPr>
        <w:t xml:space="preserve"> shall apply in respect of United Kingdom withholding tax. </w:t>
      </w:r>
      <w:r>
        <w:rPr>
          <w:rFonts w:ascii="Arial" w:cs="Arial" w:eastAsia="Arial" w:hAnsi="Arial"/>
          <w:sz w:val="18"/>
          <w:szCs w:val="18"/>
          <w:u w:val="single" w:color="auto"/>
          <w:color w:val="0000FF"/>
          <w:strike w:val="1"/>
        </w:rPr>
        <w:t>(v)</w:t>
      </w:r>
      <w:r>
        <w:rPr>
          <w:rFonts w:ascii="Arial" w:cs="Arial" w:eastAsia="Arial" w:hAnsi="Arial"/>
          <w:sz w:val="18"/>
          <w:szCs w:val="18"/>
          <w:color w:val="FF0000"/>
          <w:strike w:val="1"/>
        </w:rPr>
        <w:t xml:space="preserve"> </w:t>
      </w:r>
      <w:r>
        <w:rPr>
          <w:rFonts w:ascii="Arial" w:cs="Arial" w:eastAsia="Arial" w:hAnsi="Arial"/>
          <w:sz w:val="18"/>
          <w:szCs w:val="18"/>
          <w:color w:val="000000"/>
          <w:strike w:val="1"/>
        </w:rPr>
        <w:t>A Treaty Lender and the relevant Borrower which makes a payment to which that Treaty Lender is entitled shall cooperate in</w:t>
      </w:r>
      <w:r>
        <w:rPr>
          <w:rFonts w:ascii="Arial" w:cs="Arial" w:eastAsia="Arial" w:hAnsi="Arial"/>
          <w:sz w:val="18"/>
          <w:szCs w:val="18"/>
          <w:color w:val="FF0000"/>
          <w:strike w:val="1"/>
        </w:rPr>
        <w:t xml:space="preserve"> </w:t>
      </w:r>
      <w:r>
        <w:rPr>
          <w:rFonts w:ascii="Arial" w:cs="Arial" w:eastAsia="Arial" w:hAnsi="Arial"/>
          <w:sz w:val="18"/>
          <w:szCs w:val="18"/>
          <w:color w:val="000000"/>
          <w:strike w:val="1"/>
        </w:rPr>
        <w:t>promptly completing any procedural formalities necessary for the relevant Borrower to obtain authorization to make that payment without the application of United Kingdom withholding tax. A Treaty Lender which holds a passport under the HMRC DT Treaty Passport Scheme and wishes that scheme to apply to this Credit Agreement shall discharge its obligation under this Section 3.01(e) (with respect to United Kingdom withholding tax only) by providing the relevant Borrower with a notification of its scheme reference number and its jurisdiction of tax residence as soon as practicable after becoming a party to this Credit Agreement, unless the provision of such notification is materially disadvantageous to such Treaty Lender. Nothing in this Section 3.01(e) shall require any Lender to register under the HMRC DT Treaty Passport Scheme. Where a Treaty Lender provides the notification described above any Borrower whose interest payments could be subject to United Kingdom withholding tax shall file a duly completed form DTTP2 in</w:t>
      </w:r>
    </w:p>
    <w:p>
      <w:pPr>
        <w:spacing w:after="0" w:line="202" w:lineRule="exact"/>
        <w:rPr>
          <w:sz w:val="20"/>
          <w:szCs w:val="20"/>
          <w:color w:val="auto"/>
        </w:rPr>
      </w:pPr>
    </w:p>
    <w:p>
      <w:pPr>
        <w:jc w:val="center"/>
        <w:ind w:right="-39"/>
        <w:spacing w:after="0"/>
        <w:rPr>
          <w:sz w:val="20"/>
          <w:szCs w:val="20"/>
          <w:color w:val="auto"/>
        </w:rPr>
      </w:pPr>
      <w:r>
        <w:rPr>
          <w:rFonts w:ascii="Arial" w:cs="Arial" w:eastAsia="Arial" w:hAnsi="Arial"/>
          <w:sz w:val="20"/>
          <w:szCs w:val="20"/>
          <w:color w:val="auto"/>
        </w:rPr>
        <w:t>122</w:t>
      </w:r>
    </w:p>
    <w:p>
      <w:pPr>
        <w:spacing w:after="0" w:line="10" w:lineRule="exact"/>
        <w:rPr>
          <w:sz w:val="20"/>
          <w:szCs w:val="20"/>
          <w:color w:val="auto"/>
        </w:rPr>
      </w:pPr>
    </w:p>
    <w:p>
      <w:pPr>
        <w:spacing w:after="0"/>
        <w:rPr>
          <w:sz w:val="20"/>
          <w:szCs w:val="20"/>
          <w:color w:val="auto"/>
        </w:rPr>
      </w:pPr>
      <w:r>
        <w:rPr>
          <w:rFonts w:ascii="Arial" w:cs="Arial" w:eastAsia="Arial" w:hAnsi="Arial"/>
          <w:sz w:val="14"/>
          <w:szCs w:val="14"/>
          <w:color w:val="auto"/>
        </w:rPr>
        <w:t>CHAR1\1346423v</w:t>
      </w:r>
      <w:r>
        <w:rPr>
          <w:rFonts w:ascii="Arial" w:cs="Arial" w:eastAsia="Arial" w:hAnsi="Arial"/>
          <w:sz w:val="14"/>
          <w:szCs w:val="14"/>
          <w:color w:val="FF0000"/>
          <w:strike w:val="1"/>
        </w:rPr>
        <w:t>1</w:t>
      </w:r>
      <w:r>
        <w:rPr>
          <w:rFonts w:ascii="Arial" w:cs="Arial" w:eastAsia="Arial" w:hAnsi="Arial"/>
          <w:sz w:val="14"/>
          <w:szCs w:val="14"/>
          <w:u w:val="single" w:color="auto"/>
          <w:color w:val="0000FF"/>
        </w:rPr>
        <w:t>12</w:t>
      </w:r>
    </w:p>
    <w:p>
      <w:pPr>
        <w:sectPr>
          <w:pgSz w:w="11900" w:h="16838" w:orient="portrait"/>
          <w:cols w:equalWidth="0" w:num="1">
            <w:col w:w="11380"/>
          </w:cols>
          <w:pgMar w:left="240" w:top="582" w:right="279" w:bottom="1440" w:gutter="0" w:footer="0" w:header="0"/>
        </w:sectPr>
      </w:pPr>
    </w:p>
    <w:bookmarkStart w:id="174" w:name="page175"/>
    <w:bookmarkEnd w:id="174"/>
    <w:p>
      <w:pPr>
        <w:ind w:left="660" w:right="180"/>
        <w:spacing w:after="0" w:line="260" w:lineRule="auto"/>
        <w:rPr>
          <w:sz w:val="20"/>
          <w:szCs w:val="20"/>
          <w:color w:val="auto"/>
        </w:rPr>
      </w:pPr>
      <w:r>
        <w:rPr>
          <w:rFonts w:ascii="Arial" w:cs="Arial" w:eastAsia="Arial" w:hAnsi="Arial"/>
          <w:sz w:val="20"/>
          <w:szCs w:val="20"/>
          <w:color w:val="auto"/>
        </w:rPr>
        <w:t>respect of such Lender with HM Revenue &amp; Customs within 30 days of the date of this Credit Agreement and shall promptly provide the relevant Lender with a copy of that filing.</w:t>
      </w:r>
    </w:p>
    <w:p>
      <w:pPr>
        <w:spacing w:after="0" w:line="245" w:lineRule="exact"/>
        <w:rPr>
          <w:sz w:val="20"/>
          <w:szCs w:val="20"/>
          <w:color w:val="auto"/>
        </w:rPr>
      </w:pPr>
    </w:p>
    <w:p>
      <w:pPr>
        <w:ind w:left="1040" w:hanging="384"/>
        <w:spacing w:after="0"/>
        <w:tabs>
          <w:tab w:leader="none" w:pos="1040" w:val="left"/>
        </w:tabs>
        <w:numPr>
          <w:ilvl w:val="0"/>
          <w:numId w:val="170"/>
        </w:numPr>
        <w:rPr>
          <w:rFonts w:ascii="Arial" w:cs="Arial" w:eastAsia="Arial" w:hAnsi="Arial"/>
          <w:sz w:val="19"/>
          <w:szCs w:val="19"/>
          <w:color w:val="auto"/>
        </w:rPr>
      </w:pPr>
      <w:r>
        <w:rPr>
          <w:rFonts w:ascii="Arial" w:cs="Arial" w:eastAsia="Arial" w:hAnsi="Arial"/>
          <w:sz w:val="19"/>
          <w:szCs w:val="19"/>
          <w:color w:val="FF0000"/>
          <w:strike w:val="1"/>
        </w:rPr>
        <w:t>(j)</w:t>
      </w:r>
      <w:r>
        <w:rPr>
          <w:rFonts w:ascii="Arial" w:cs="Arial" w:eastAsia="Arial" w:hAnsi="Arial"/>
          <w:sz w:val="19"/>
          <w:szCs w:val="19"/>
          <w:color w:val="FF0000"/>
        </w:rPr>
        <w:t xml:space="preserve"> </w:t>
      </w:r>
      <w:r>
        <w:rPr>
          <w:rFonts w:ascii="Arial" w:cs="Arial" w:eastAsia="Arial" w:hAnsi="Arial"/>
          <w:sz w:val="19"/>
          <w:szCs w:val="19"/>
          <w:u w:val="single" w:color="auto"/>
          <w:color w:val="000000"/>
        </w:rPr>
        <w:t>Treatment of Certain Refunds</w:t>
      </w:r>
      <w:r>
        <w:rPr>
          <w:rFonts w:ascii="Arial" w:cs="Arial" w:eastAsia="Arial" w:hAnsi="Arial"/>
          <w:sz w:val="19"/>
          <w:szCs w:val="19"/>
          <w:color w:val="000000"/>
        </w:rPr>
        <w:t>. Unless required by applicable Laws, at no time shall the Administrative Agent have any</w:t>
      </w:r>
    </w:p>
    <w:p>
      <w:pPr>
        <w:spacing w:after="0" w:line="65" w:lineRule="exact"/>
        <w:rPr>
          <w:rFonts w:ascii="Arial" w:cs="Arial" w:eastAsia="Arial" w:hAnsi="Arial"/>
          <w:sz w:val="19"/>
          <w:szCs w:val="19"/>
          <w:color w:val="auto"/>
        </w:rPr>
      </w:pPr>
    </w:p>
    <w:p>
      <w:pPr>
        <w:spacing w:after="0" w:line="315" w:lineRule="auto"/>
        <w:rPr>
          <w:rFonts w:ascii="Arial" w:cs="Arial" w:eastAsia="Arial" w:hAnsi="Arial"/>
          <w:sz w:val="19"/>
          <w:szCs w:val="19"/>
          <w:color w:val="auto"/>
        </w:rPr>
      </w:pPr>
      <w:r>
        <w:rPr>
          <w:rFonts w:ascii="Arial" w:cs="Arial" w:eastAsia="Arial" w:hAnsi="Arial"/>
          <w:sz w:val="18"/>
          <w:szCs w:val="18"/>
          <w:color w:val="auto"/>
        </w:rPr>
        <w:t xml:space="preserve">obligation to file for or otherwise pursue on behalf of a Lender or an L/C Issuer, or have any obligation to pay to any Lender or </w:t>
      </w:r>
      <w:r>
        <w:rPr>
          <w:rFonts w:ascii="Arial" w:cs="Arial" w:eastAsia="Arial" w:hAnsi="Arial"/>
          <w:sz w:val="18"/>
          <w:szCs w:val="18"/>
          <w:color w:val="FF0000"/>
          <w:strike w:val="1"/>
        </w:rPr>
        <w:t>any</w:t>
      </w:r>
      <w:r>
        <w:rPr>
          <w:rFonts w:ascii="Arial" w:cs="Arial" w:eastAsia="Arial" w:hAnsi="Arial"/>
          <w:sz w:val="18"/>
          <w:szCs w:val="18"/>
          <w:color w:val="auto"/>
        </w:rPr>
        <w:t xml:space="preserve"> L/C Issuer, any refund of Taxes withheld or deducted from funds paid for the account of such Lender or </w:t>
      </w:r>
      <w:r>
        <w:rPr>
          <w:rFonts w:ascii="Arial" w:cs="Arial" w:eastAsia="Arial" w:hAnsi="Arial"/>
          <w:sz w:val="18"/>
          <w:szCs w:val="18"/>
          <w:color w:val="FF0000"/>
          <w:strike w:val="1"/>
        </w:rPr>
        <w:t>such</w:t>
      </w:r>
      <w:r>
        <w:rPr>
          <w:rFonts w:ascii="Arial" w:cs="Arial" w:eastAsia="Arial" w:hAnsi="Arial"/>
          <w:sz w:val="18"/>
          <w:szCs w:val="18"/>
          <w:color w:val="auto"/>
        </w:rPr>
        <w:t xml:space="preserve"> L/C Issuer, as the case may be. If </w:t>
      </w:r>
      <w:r>
        <w:rPr>
          <w:rFonts w:ascii="Arial" w:cs="Arial" w:eastAsia="Arial" w:hAnsi="Arial"/>
          <w:sz w:val="18"/>
          <w:szCs w:val="18"/>
          <w:color w:val="FF0000"/>
          <w:strike w:val="1"/>
        </w:rPr>
        <w:t>the</w:t>
      </w:r>
      <w:r>
        <w:rPr>
          <w:rFonts w:ascii="Arial" w:cs="Arial" w:eastAsia="Arial" w:hAnsi="Arial"/>
          <w:sz w:val="18"/>
          <w:szCs w:val="18"/>
          <w:color w:val="auto"/>
        </w:rPr>
        <w:t xml:space="preserve"> </w:t>
      </w:r>
      <w:r>
        <w:rPr>
          <w:rFonts w:ascii="Arial" w:cs="Arial" w:eastAsia="Arial" w:hAnsi="Arial"/>
          <w:sz w:val="18"/>
          <w:szCs w:val="18"/>
          <w:color w:val="FF0000"/>
          <w:strike w:val="1"/>
        </w:rPr>
        <w:t>Administrative Agent, any Lender or any L/C Issuer</w:t>
      </w:r>
      <w:r>
        <w:rPr>
          <w:rFonts w:ascii="Arial" w:cs="Arial" w:eastAsia="Arial" w:hAnsi="Arial"/>
          <w:sz w:val="18"/>
          <w:szCs w:val="18"/>
          <w:u w:val="single" w:color="auto"/>
          <w:color w:val="0000FF"/>
        </w:rPr>
        <w:t>any Recipient</w:t>
      </w:r>
      <w:r>
        <w:rPr>
          <w:rFonts w:ascii="Arial" w:cs="Arial" w:eastAsia="Arial" w:hAnsi="Arial"/>
          <w:sz w:val="18"/>
          <w:szCs w:val="18"/>
          <w:color w:val="FF0000"/>
        </w:rPr>
        <w:t xml:space="preserve"> </w:t>
      </w:r>
      <w:r>
        <w:rPr>
          <w:rFonts w:ascii="Arial" w:cs="Arial" w:eastAsia="Arial" w:hAnsi="Arial"/>
          <w:sz w:val="18"/>
          <w:szCs w:val="18"/>
          <w:color w:val="000000"/>
        </w:rPr>
        <w:t>determines, in its sole discretion</w:t>
      </w:r>
      <w:r>
        <w:rPr>
          <w:rFonts w:ascii="Arial" w:cs="Arial" w:eastAsia="Arial" w:hAnsi="Arial"/>
          <w:sz w:val="18"/>
          <w:szCs w:val="18"/>
          <w:color w:val="FF0000"/>
        </w:rPr>
        <w:t xml:space="preserve"> </w:t>
      </w:r>
      <w:r>
        <w:rPr>
          <w:rFonts w:ascii="Arial" w:cs="Arial" w:eastAsia="Arial" w:hAnsi="Arial"/>
          <w:sz w:val="18"/>
          <w:szCs w:val="18"/>
          <w:u w:val="single" w:color="auto"/>
          <w:color w:val="0000FF"/>
        </w:rPr>
        <w:t>exercised in good faith</w:t>
      </w:r>
      <w:r>
        <w:rPr>
          <w:rFonts w:ascii="Arial" w:cs="Arial" w:eastAsia="Arial" w:hAnsi="Arial"/>
          <w:sz w:val="18"/>
          <w:szCs w:val="18"/>
          <w:color w:val="000000"/>
        </w:rPr>
        <w:t>, that it has received</w:t>
      </w:r>
      <w:r>
        <w:rPr>
          <w:rFonts w:ascii="Arial" w:cs="Arial" w:eastAsia="Arial" w:hAnsi="Arial"/>
          <w:sz w:val="18"/>
          <w:szCs w:val="18"/>
          <w:color w:val="FF0000"/>
        </w:rPr>
        <w:t xml:space="preserve"> </w:t>
      </w:r>
      <w:r>
        <w:rPr>
          <w:rFonts w:ascii="Arial" w:cs="Arial" w:eastAsia="Arial" w:hAnsi="Arial"/>
          <w:sz w:val="18"/>
          <w:szCs w:val="18"/>
          <w:color w:val="000000"/>
        </w:rPr>
        <w:t xml:space="preserve">a refund of any Taxes </w:t>
      </w:r>
      <w:r>
        <w:rPr>
          <w:rFonts w:ascii="Arial" w:cs="Arial" w:eastAsia="Arial" w:hAnsi="Arial"/>
          <w:sz w:val="18"/>
          <w:szCs w:val="18"/>
          <w:color w:val="FF0000"/>
          <w:strike w:val="1"/>
        </w:rPr>
        <w:t>or Other Taxes</w:t>
      </w:r>
      <w:r>
        <w:rPr>
          <w:rFonts w:ascii="Arial" w:cs="Arial" w:eastAsia="Arial" w:hAnsi="Arial"/>
          <w:sz w:val="18"/>
          <w:szCs w:val="18"/>
          <w:color w:val="000000"/>
        </w:rPr>
        <w:t xml:space="preserve"> as to which it has been indemnified by any Credit Party or with respect to which any Credit Party has paid additional amounts pursuant to this Section</w:t>
      </w:r>
      <w:r>
        <w:rPr>
          <w:rFonts w:ascii="Arial" w:cs="Arial" w:eastAsia="Arial" w:hAnsi="Arial"/>
          <w:sz w:val="18"/>
          <w:szCs w:val="18"/>
          <w:color w:val="FF0000"/>
          <w:strike w:val="1"/>
        </w:rPr>
        <w:t>,</w:t>
      </w:r>
      <w:r>
        <w:rPr>
          <w:rFonts w:ascii="Arial" w:cs="Arial" w:eastAsia="Arial" w:hAnsi="Arial"/>
          <w:sz w:val="18"/>
          <w:szCs w:val="18"/>
          <w:color w:val="000000"/>
        </w:rPr>
        <w:t xml:space="preserve"> </w:t>
      </w:r>
      <w:r>
        <w:rPr>
          <w:rFonts w:ascii="Arial" w:cs="Arial" w:eastAsia="Arial" w:hAnsi="Arial"/>
          <w:sz w:val="18"/>
          <w:szCs w:val="18"/>
          <w:u w:val="single" w:color="auto"/>
          <w:color w:val="0000FF"/>
        </w:rPr>
        <w:t>3.01,</w:t>
      </w:r>
      <w:r>
        <w:rPr>
          <w:rFonts w:ascii="Arial" w:cs="Arial" w:eastAsia="Arial" w:hAnsi="Arial"/>
          <w:sz w:val="18"/>
          <w:szCs w:val="18"/>
          <w:color w:val="000000"/>
        </w:rPr>
        <w:t xml:space="preserve"> it shall pay to such Credit Party an amount equal to such refund (but only to the extent of indemnity payments made, or additional amounts paid, by such Credit Party under this Section </w:t>
      </w:r>
      <w:r>
        <w:rPr>
          <w:rFonts w:ascii="Arial" w:cs="Arial" w:eastAsia="Arial" w:hAnsi="Arial"/>
          <w:sz w:val="18"/>
          <w:szCs w:val="18"/>
          <w:u w:val="single" w:color="auto"/>
          <w:color w:val="0000FF"/>
        </w:rPr>
        <w:t>3.01</w:t>
      </w:r>
      <w:r>
        <w:rPr>
          <w:rFonts w:ascii="Arial" w:cs="Arial" w:eastAsia="Arial" w:hAnsi="Arial"/>
          <w:sz w:val="18"/>
          <w:szCs w:val="18"/>
          <w:color w:val="000000"/>
        </w:rPr>
        <w:t xml:space="preserve"> with respect to the Taxes </w:t>
      </w:r>
      <w:r>
        <w:rPr>
          <w:rFonts w:ascii="Arial" w:cs="Arial" w:eastAsia="Arial" w:hAnsi="Arial"/>
          <w:sz w:val="18"/>
          <w:szCs w:val="18"/>
          <w:color w:val="FF0000"/>
          <w:strike w:val="1"/>
        </w:rPr>
        <w:t>or Other Taxes</w:t>
      </w:r>
      <w:r>
        <w:rPr>
          <w:rFonts w:ascii="Arial" w:cs="Arial" w:eastAsia="Arial" w:hAnsi="Arial"/>
          <w:sz w:val="18"/>
          <w:szCs w:val="18"/>
          <w:color w:val="000000"/>
        </w:rPr>
        <w:t xml:space="preserve"> giving rise to such refund), net of all out-of-pocket expenses </w:t>
      </w:r>
      <w:r>
        <w:rPr>
          <w:rFonts w:ascii="Arial" w:cs="Arial" w:eastAsia="Arial" w:hAnsi="Arial"/>
          <w:sz w:val="18"/>
          <w:szCs w:val="18"/>
          <w:color w:val="FF0000"/>
          <w:strike w:val="1"/>
        </w:rPr>
        <w:t>and net of any loss or gain realized in the conversion of such funds from or to</w:t>
      </w:r>
      <w:r>
        <w:rPr>
          <w:rFonts w:ascii="Arial" w:cs="Arial" w:eastAsia="Arial" w:hAnsi="Arial"/>
          <w:sz w:val="18"/>
          <w:szCs w:val="18"/>
          <w:color w:val="000000"/>
        </w:rPr>
        <w:t xml:space="preserve"> </w:t>
      </w:r>
      <w:r>
        <w:rPr>
          <w:rFonts w:ascii="Arial" w:cs="Arial" w:eastAsia="Arial" w:hAnsi="Arial"/>
          <w:sz w:val="18"/>
          <w:szCs w:val="18"/>
          <w:color w:val="FF0000"/>
          <w:strike w:val="1"/>
        </w:rPr>
        <w:t>another currency incurred by the Administrative Agent, such Lender or such L/C Issuer</w:t>
      </w:r>
      <w:r>
        <w:rPr>
          <w:rFonts w:ascii="Arial" w:cs="Arial" w:eastAsia="Arial" w:hAnsi="Arial"/>
          <w:sz w:val="18"/>
          <w:szCs w:val="18"/>
          <w:u w:val="single" w:color="auto"/>
          <w:color w:val="0000FF"/>
        </w:rPr>
        <w:t>(including Taxes) incurred by such Recipient</w:t>
      </w:r>
      <w:r>
        <w:rPr>
          <w:rFonts w:ascii="Arial" w:cs="Arial" w:eastAsia="Arial" w:hAnsi="Arial"/>
          <w:sz w:val="18"/>
          <w:szCs w:val="18"/>
          <w:color w:val="000000"/>
        </w:rPr>
        <w:t>, as the</w:t>
      </w:r>
      <w:r>
        <w:rPr>
          <w:rFonts w:ascii="Arial" w:cs="Arial" w:eastAsia="Arial" w:hAnsi="Arial"/>
          <w:sz w:val="18"/>
          <w:szCs w:val="18"/>
          <w:color w:val="FF0000"/>
        </w:rPr>
        <w:t xml:space="preserve"> </w:t>
      </w:r>
      <w:r>
        <w:rPr>
          <w:rFonts w:ascii="Arial" w:cs="Arial" w:eastAsia="Arial" w:hAnsi="Arial"/>
          <w:sz w:val="18"/>
          <w:szCs w:val="18"/>
          <w:color w:val="000000"/>
        </w:rPr>
        <w:t xml:space="preserve">case may be, and without interest (other than any interest paid by the relevant Governmental Authority with respect to such refund), provided that each Credit Party, upon the request of the </w:t>
      </w:r>
      <w:r>
        <w:rPr>
          <w:rFonts w:ascii="Arial" w:cs="Arial" w:eastAsia="Arial" w:hAnsi="Arial"/>
          <w:sz w:val="18"/>
          <w:szCs w:val="18"/>
          <w:color w:val="FF0000"/>
          <w:strike w:val="1"/>
        </w:rPr>
        <w:t>Administrative Agent, such Lender or such L/C Issuer</w:t>
      </w:r>
      <w:r>
        <w:rPr>
          <w:rFonts w:ascii="Arial" w:cs="Arial" w:eastAsia="Arial" w:hAnsi="Arial"/>
          <w:sz w:val="18"/>
          <w:szCs w:val="18"/>
          <w:u w:val="single" w:color="auto"/>
          <w:color w:val="0000FF"/>
        </w:rPr>
        <w:t>Recipient</w:t>
      </w:r>
      <w:r>
        <w:rPr>
          <w:rFonts w:ascii="Arial" w:cs="Arial" w:eastAsia="Arial" w:hAnsi="Arial"/>
          <w:sz w:val="18"/>
          <w:szCs w:val="18"/>
          <w:color w:val="000000"/>
        </w:rPr>
        <w:t xml:space="preserve">, agrees to repay the amount paid over to such Credit Party (plus any penalties, interest or other charges imposed by the relevant Governmental Authority) to the </w:t>
      </w:r>
      <w:r>
        <w:rPr>
          <w:rFonts w:ascii="Arial" w:cs="Arial" w:eastAsia="Arial" w:hAnsi="Arial"/>
          <w:sz w:val="18"/>
          <w:szCs w:val="18"/>
          <w:color w:val="FF0000"/>
          <w:strike w:val="1"/>
        </w:rPr>
        <w:t>Administrative</w:t>
      </w:r>
      <w:r>
        <w:rPr>
          <w:rFonts w:ascii="Arial" w:cs="Arial" w:eastAsia="Arial" w:hAnsi="Arial"/>
          <w:sz w:val="18"/>
          <w:szCs w:val="18"/>
          <w:color w:val="000000"/>
        </w:rPr>
        <w:t xml:space="preserve"> </w:t>
      </w:r>
      <w:r>
        <w:rPr>
          <w:rFonts w:ascii="Arial" w:cs="Arial" w:eastAsia="Arial" w:hAnsi="Arial"/>
          <w:sz w:val="18"/>
          <w:szCs w:val="18"/>
          <w:color w:val="FF0000"/>
          <w:strike w:val="1"/>
        </w:rPr>
        <w:t>Agent, such Lender or such L/C Issuer</w:t>
      </w:r>
      <w:r>
        <w:rPr>
          <w:rFonts w:ascii="Arial" w:cs="Arial" w:eastAsia="Arial" w:hAnsi="Arial"/>
          <w:sz w:val="18"/>
          <w:szCs w:val="18"/>
          <w:u w:val="single" w:color="auto"/>
          <w:color w:val="0000FF"/>
        </w:rPr>
        <w:t>Recipient</w:t>
      </w:r>
      <w:r>
        <w:rPr>
          <w:rFonts w:ascii="Arial" w:cs="Arial" w:eastAsia="Arial" w:hAnsi="Arial"/>
          <w:sz w:val="18"/>
          <w:szCs w:val="18"/>
          <w:color w:val="FF0000"/>
        </w:rPr>
        <w:t xml:space="preserve"> </w:t>
      </w:r>
      <w:r>
        <w:rPr>
          <w:rFonts w:ascii="Arial" w:cs="Arial" w:eastAsia="Arial" w:hAnsi="Arial"/>
          <w:sz w:val="18"/>
          <w:szCs w:val="18"/>
          <w:color w:val="000000"/>
        </w:rPr>
        <w:t>in the event the</w:t>
      </w:r>
      <w:r>
        <w:rPr>
          <w:rFonts w:ascii="Arial" w:cs="Arial" w:eastAsia="Arial" w:hAnsi="Arial"/>
          <w:sz w:val="18"/>
          <w:szCs w:val="18"/>
          <w:color w:val="FF0000"/>
        </w:rPr>
        <w:t xml:space="preserve"> </w:t>
      </w:r>
      <w:r>
        <w:rPr>
          <w:rFonts w:ascii="Arial" w:cs="Arial" w:eastAsia="Arial" w:hAnsi="Arial"/>
          <w:sz w:val="18"/>
          <w:szCs w:val="18"/>
          <w:color w:val="FF0000"/>
          <w:strike w:val="1"/>
        </w:rPr>
        <w:t>Administrative Agent, such Lender or such L/C Issuer</w:t>
      </w:r>
      <w:r>
        <w:rPr>
          <w:rFonts w:ascii="Arial" w:cs="Arial" w:eastAsia="Arial" w:hAnsi="Arial"/>
          <w:sz w:val="18"/>
          <w:szCs w:val="18"/>
          <w:u w:val="single" w:color="auto"/>
          <w:color w:val="0000FF"/>
        </w:rPr>
        <w:t>Recipient</w:t>
      </w:r>
      <w:r>
        <w:rPr>
          <w:rFonts w:ascii="Arial" w:cs="Arial" w:eastAsia="Arial" w:hAnsi="Arial"/>
          <w:sz w:val="18"/>
          <w:szCs w:val="18"/>
          <w:color w:val="FF0000"/>
        </w:rPr>
        <w:t xml:space="preserve"> </w:t>
      </w:r>
      <w:r>
        <w:rPr>
          <w:rFonts w:ascii="Arial" w:cs="Arial" w:eastAsia="Arial" w:hAnsi="Arial"/>
          <w:sz w:val="18"/>
          <w:szCs w:val="18"/>
          <w:color w:val="000000"/>
        </w:rPr>
        <w:t>is required to</w:t>
      </w:r>
      <w:r>
        <w:rPr>
          <w:rFonts w:ascii="Arial" w:cs="Arial" w:eastAsia="Arial" w:hAnsi="Arial"/>
          <w:sz w:val="18"/>
          <w:szCs w:val="18"/>
          <w:color w:val="FF0000"/>
        </w:rPr>
        <w:t xml:space="preserve"> </w:t>
      </w:r>
      <w:r>
        <w:rPr>
          <w:rFonts w:ascii="Arial" w:cs="Arial" w:eastAsia="Arial" w:hAnsi="Arial"/>
          <w:sz w:val="18"/>
          <w:szCs w:val="18"/>
          <w:color w:val="000000"/>
        </w:rPr>
        <w:t xml:space="preserve">repay such refund to such Governmental Authority. </w:t>
      </w:r>
      <w:r>
        <w:rPr>
          <w:rFonts w:ascii="Arial" w:cs="Arial" w:eastAsia="Arial" w:hAnsi="Arial"/>
          <w:sz w:val="18"/>
          <w:szCs w:val="18"/>
          <w:u w:val="single" w:color="auto"/>
          <w:color w:val="0000FF"/>
        </w:rPr>
        <w:t>Notwithstanding anything to the contrary in this subsection, in no event will the applicable</w:t>
      </w:r>
      <w:r>
        <w:rPr>
          <w:rFonts w:ascii="Arial" w:cs="Arial" w:eastAsia="Arial" w:hAnsi="Arial"/>
          <w:sz w:val="18"/>
          <w:szCs w:val="18"/>
          <w:color w:val="000000"/>
        </w:rPr>
        <w:t xml:space="preserve"> </w:t>
      </w:r>
      <w:r>
        <w:rPr>
          <w:rFonts w:ascii="Arial" w:cs="Arial" w:eastAsia="Arial" w:hAnsi="Arial"/>
          <w:sz w:val="18"/>
          <w:szCs w:val="18"/>
          <w:u w:val="single" w:color="auto"/>
          <w:color w:val="0000FF"/>
        </w:rPr>
        <w:t>Recipient be required to pay any amount to such Credit Party pursuant to this subsection the payment of which would place the Recipient in a less favorable net after-Tax position than such Recipient would have been in if the Tax subject to indemnification and giving rise to such refund had not been deducted, withheld or otherwise imposed and the indemnification payments or additional amounts with respect to such Tax had never been paid.</w:t>
      </w:r>
      <w:r>
        <w:rPr>
          <w:rFonts w:ascii="Arial" w:cs="Arial" w:eastAsia="Arial" w:hAnsi="Arial"/>
          <w:sz w:val="18"/>
          <w:szCs w:val="18"/>
          <w:color w:val="0000FF"/>
        </w:rPr>
        <w:t xml:space="preserve"> </w:t>
      </w:r>
      <w:r>
        <w:rPr>
          <w:rFonts w:ascii="Arial" w:cs="Arial" w:eastAsia="Arial" w:hAnsi="Arial"/>
          <w:sz w:val="18"/>
          <w:szCs w:val="18"/>
          <w:color w:val="000000"/>
        </w:rPr>
        <w:t>This subsection shall not be construed to require</w:t>
      </w:r>
      <w:r>
        <w:rPr>
          <w:rFonts w:ascii="Arial" w:cs="Arial" w:eastAsia="Arial" w:hAnsi="Arial"/>
          <w:sz w:val="18"/>
          <w:szCs w:val="18"/>
          <w:color w:val="0000FF"/>
        </w:rPr>
        <w:t xml:space="preserve"> </w:t>
      </w:r>
      <w:r>
        <w:rPr>
          <w:rFonts w:ascii="Arial" w:cs="Arial" w:eastAsia="Arial" w:hAnsi="Arial"/>
          <w:sz w:val="18"/>
          <w:szCs w:val="18"/>
          <w:color w:val="FF0000"/>
          <w:strike w:val="1"/>
        </w:rPr>
        <w:t>the Administrative Agent, any Lender or any L/C Issuer</w:t>
      </w:r>
      <w:r>
        <w:rPr>
          <w:rFonts w:ascii="Arial" w:cs="Arial" w:eastAsia="Arial" w:hAnsi="Arial"/>
          <w:sz w:val="18"/>
          <w:szCs w:val="18"/>
          <w:u w:val="single" w:color="auto"/>
          <w:color w:val="0000FF"/>
        </w:rPr>
        <w:t>any Recipient</w:t>
      </w:r>
      <w:r>
        <w:rPr>
          <w:rFonts w:ascii="Arial" w:cs="Arial" w:eastAsia="Arial" w:hAnsi="Arial"/>
          <w:sz w:val="18"/>
          <w:szCs w:val="18"/>
          <w:color w:val="0000FF"/>
        </w:rPr>
        <w:t xml:space="preserve"> </w:t>
      </w:r>
      <w:r>
        <w:rPr>
          <w:rFonts w:ascii="Arial" w:cs="Arial" w:eastAsia="Arial" w:hAnsi="Arial"/>
          <w:sz w:val="18"/>
          <w:szCs w:val="18"/>
          <w:color w:val="000000"/>
        </w:rPr>
        <w:t>to</w:t>
      </w:r>
      <w:r>
        <w:rPr>
          <w:rFonts w:ascii="Arial" w:cs="Arial" w:eastAsia="Arial" w:hAnsi="Arial"/>
          <w:sz w:val="18"/>
          <w:szCs w:val="18"/>
          <w:color w:val="0000FF"/>
        </w:rPr>
        <w:t xml:space="preserve"> </w:t>
      </w:r>
      <w:r>
        <w:rPr>
          <w:rFonts w:ascii="Arial" w:cs="Arial" w:eastAsia="Arial" w:hAnsi="Arial"/>
          <w:sz w:val="18"/>
          <w:szCs w:val="18"/>
          <w:color w:val="000000"/>
        </w:rPr>
        <w:t xml:space="preserve">make available its tax returns (or any other information relating to its taxes that it deems confidential) to </w:t>
      </w:r>
      <w:r>
        <w:rPr>
          <w:rFonts w:ascii="Arial" w:cs="Arial" w:eastAsia="Arial" w:hAnsi="Arial"/>
          <w:sz w:val="18"/>
          <w:szCs w:val="18"/>
          <w:color w:val="FF0000"/>
          <w:strike w:val="1"/>
        </w:rPr>
        <w:t>the</w:t>
      </w:r>
      <w:r>
        <w:rPr>
          <w:rFonts w:ascii="Arial" w:cs="Arial" w:eastAsia="Arial" w:hAnsi="Arial"/>
          <w:sz w:val="18"/>
          <w:szCs w:val="18"/>
          <w:u w:val="single" w:color="auto"/>
          <w:color w:val="0000FF"/>
        </w:rPr>
        <w:t>any</w:t>
      </w:r>
      <w:r>
        <w:rPr>
          <w:rFonts w:ascii="Arial" w:cs="Arial" w:eastAsia="Arial" w:hAnsi="Arial"/>
          <w:sz w:val="18"/>
          <w:szCs w:val="18"/>
          <w:color w:val="000000"/>
        </w:rPr>
        <w:t xml:space="preserve"> Credit </w:t>
      </w:r>
      <w:r>
        <w:rPr>
          <w:rFonts w:ascii="Arial" w:cs="Arial" w:eastAsia="Arial" w:hAnsi="Arial"/>
          <w:sz w:val="18"/>
          <w:szCs w:val="18"/>
          <w:color w:val="FF0000"/>
          <w:strike w:val="1"/>
        </w:rPr>
        <w:t>Parties, any of their</w:t>
      </w:r>
      <w:r>
        <w:rPr>
          <w:rFonts w:ascii="Arial" w:cs="Arial" w:eastAsia="Arial" w:hAnsi="Arial"/>
          <w:sz w:val="18"/>
          <w:szCs w:val="18"/>
          <w:color w:val="000000"/>
        </w:rPr>
        <w:t xml:space="preserve"> </w:t>
      </w:r>
      <w:r>
        <w:rPr>
          <w:rFonts w:ascii="Arial" w:cs="Arial" w:eastAsia="Arial" w:hAnsi="Arial"/>
          <w:sz w:val="18"/>
          <w:szCs w:val="18"/>
          <w:color w:val="FF0000"/>
          <w:strike w:val="1"/>
        </w:rPr>
        <w:t>Subsidiaries</w:t>
      </w:r>
      <w:r>
        <w:rPr>
          <w:rFonts w:ascii="Arial" w:cs="Arial" w:eastAsia="Arial" w:hAnsi="Arial"/>
          <w:sz w:val="18"/>
          <w:szCs w:val="18"/>
          <w:u w:val="single" w:color="auto"/>
          <w:color w:val="0000FF"/>
        </w:rPr>
        <w:t>Party</w:t>
      </w:r>
      <w:r>
        <w:rPr>
          <w:rFonts w:ascii="Arial" w:cs="Arial" w:eastAsia="Arial" w:hAnsi="Arial"/>
          <w:sz w:val="18"/>
          <w:szCs w:val="18"/>
          <w:color w:val="FF0000"/>
        </w:rPr>
        <w:t xml:space="preserve"> </w:t>
      </w:r>
      <w:r>
        <w:rPr>
          <w:rFonts w:ascii="Arial" w:cs="Arial" w:eastAsia="Arial" w:hAnsi="Arial"/>
          <w:sz w:val="18"/>
          <w:szCs w:val="18"/>
          <w:color w:val="000000"/>
        </w:rPr>
        <w:t>or any other Person.</w:t>
      </w:r>
    </w:p>
    <w:p>
      <w:pPr>
        <w:spacing w:after="0" w:line="186" w:lineRule="exact"/>
        <w:rPr>
          <w:rFonts w:ascii="Arial" w:cs="Arial" w:eastAsia="Arial" w:hAnsi="Arial"/>
          <w:sz w:val="19"/>
          <w:szCs w:val="19"/>
          <w:color w:val="auto"/>
        </w:rPr>
      </w:pPr>
    </w:p>
    <w:p>
      <w:pPr>
        <w:ind w:left="1060" w:hanging="404"/>
        <w:spacing w:after="0"/>
        <w:tabs>
          <w:tab w:leader="none" w:pos="1060" w:val="left"/>
        </w:tabs>
        <w:numPr>
          <w:ilvl w:val="0"/>
          <w:numId w:val="170"/>
        </w:numPr>
        <w:rPr>
          <w:rFonts w:ascii="Arial" w:cs="Arial" w:eastAsia="Arial" w:hAnsi="Arial"/>
          <w:sz w:val="18"/>
          <w:szCs w:val="18"/>
          <w:color w:val="auto"/>
        </w:rPr>
      </w:pPr>
      <w:r>
        <w:rPr>
          <w:rFonts w:ascii="Arial" w:cs="Arial" w:eastAsia="Arial" w:hAnsi="Arial"/>
          <w:sz w:val="18"/>
          <w:szCs w:val="18"/>
          <w:u w:val="single" w:color="auto"/>
          <w:color w:val="0000FF"/>
        </w:rPr>
        <w:t xml:space="preserve">Survival. Each party’s obligations under this Section 3.01 </w:t>
      </w:r>
      <w:r>
        <w:rPr>
          <w:rFonts w:ascii="Arial" w:cs="Arial" w:eastAsia="Arial" w:hAnsi="Arial"/>
          <w:sz w:val="18"/>
          <w:szCs w:val="18"/>
          <w:u w:val="single" w:color="auto"/>
          <w:color w:val="00C000"/>
        </w:rPr>
        <w:t>shall survive the resignation</w:t>
      </w:r>
      <w:r>
        <w:rPr>
          <w:rFonts w:ascii="Arial" w:cs="Arial" w:eastAsia="Arial" w:hAnsi="Arial"/>
          <w:sz w:val="18"/>
          <w:szCs w:val="18"/>
          <w:u w:val="single" w:color="auto"/>
          <w:color w:val="0000FF"/>
        </w:rPr>
        <w:t xml:space="preserve"> or replacement of the Administrative Agent</w:t>
      </w:r>
    </w:p>
    <w:p>
      <w:pPr>
        <w:spacing w:after="0" w:line="76" w:lineRule="exact"/>
        <w:rPr>
          <w:rFonts w:ascii="Arial" w:cs="Arial" w:eastAsia="Arial" w:hAnsi="Arial"/>
          <w:sz w:val="18"/>
          <w:szCs w:val="18"/>
          <w:color w:val="auto"/>
        </w:rPr>
      </w:pPr>
    </w:p>
    <w:p>
      <w:pPr>
        <w:ind w:right="500"/>
        <w:spacing w:after="0" w:line="303" w:lineRule="auto"/>
        <w:rPr>
          <w:rFonts w:ascii="Arial" w:cs="Arial" w:eastAsia="Arial" w:hAnsi="Arial"/>
          <w:sz w:val="18"/>
          <w:szCs w:val="18"/>
          <w:color w:val="auto"/>
        </w:rPr>
      </w:pPr>
      <w:r>
        <w:rPr>
          <w:rFonts w:ascii="Arial" w:cs="Arial" w:eastAsia="Arial" w:hAnsi="Arial"/>
          <w:sz w:val="20"/>
          <w:szCs w:val="20"/>
          <w:u w:val="single" w:color="auto"/>
          <w:color w:val="0000FF"/>
        </w:rPr>
        <w:t>or any assignment of rights by, or the replacement of, a Lender or the</w:t>
      </w:r>
      <w:r>
        <w:rPr>
          <w:rFonts w:ascii="Arial" w:cs="Arial" w:eastAsia="Arial" w:hAnsi="Arial"/>
          <w:sz w:val="20"/>
          <w:szCs w:val="20"/>
          <w:color w:val="0000FF"/>
        </w:rPr>
        <w:t xml:space="preserve"> </w:t>
      </w:r>
      <w:r>
        <w:rPr>
          <w:rFonts w:ascii="Arial" w:cs="Arial" w:eastAsia="Arial" w:hAnsi="Arial"/>
          <w:sz w:val="20"/>
          <w:szCs w:val="20"/>
          <w:color w:val="00C000"/>
        </w:rPr>
        <w:t>L/C Issuer, the termination of the Commitments and the repayment,</w:t>
      </w:r>
      <w:r>
        <w:rPr>
          <w:rFonts w:ascii="Arial" w:cs="Arial" w:eastAsia="Arial" w:hAnsi="Arial"/>
          <w:sz w:val="20"/>
          <w:szCs w:val="20"/>
          <w:color w:val="0000FF"/>
        </w:rPr>
        <w:t xml:space="preserve"> </w:t>
      </w:r>
      <w:r>
        <w:rPr>
          <w:rFonts w:ascii="Arial" w:cs="Arial" w:eastAsia="Arial" w:hAnsi="Arial"/>
          <w:sz w:val="20"/>
          <w:szCs w:val="20"/>
          <w:u w:val="single" w:color="auto"/>
          <w:color w:val="00C000"/>
        </w:rPr>
        <w:t>satisfaction or discharge of all other Obligations.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3483610</wp:posOffset>
            </wp:positionH>
            <wp:positionV relativeFrom="paragraph">
              <wp:posOffset>-237490</wp:posOffset>
            </wp:positionV>
            <wp:extent cx="3436620"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3436620" cy="8890"/>
                    </a:xfrm>
                    <a:prstGeom prst="rect">
                      <a:avLst/>
                    </a:prstGeom>
                    <a:noFill/>
                  </pic:spPr>
                </pic:pic>
              </a:graphicData>
            </a:graphic>
          </wp:anchor>
        </w:drawing>
      </w:r>
    </w:p>
    <w:p>
      <w:pPr>
        <w:spacing w:after="0" w:line="156" w:lineRule="exact"/>
        <w:rPr>
          <w:sz w:val="20"/>
          <w:szCs w:val="20"/>
          <w:color w:val="auto"/>
        </w:rPr>
      </w:pPr>
    </w:p>
    <w:p>
      <w:pPr>
        <w:ind w:left="660"/>
        <w:spacing w:after="0"/>
        <w:tabs>
          <w:tab w:leader="none" w:pos="1160" w:val="left"/>
        </w:tabs>
        <w:rPr>
          <w:sz w:val="20"/>
          <w:szCs w:val="20"/>
          <w:color w:val="auto"/>
        </w:rPr>
      </w:pPr>
      <w:r>
        <w:rPr>
          <w:rFonts w:ascii="Arial" w:cs="Arial" w:eastAsia="Arial" w:hAnsi="Arial"/>
          <w:sz w:val="20"/>
          <w:szCs w:val="20"/>
          <w:color w:val="auto"/>
        </w:rPr>
        <w:t>3.02</w:t>
      </w:r>
      <w:r>
        <w:rPr>
          <w:sz w:val="20"/>
          <w:szCs w:val="20"/>
          <w:color w:val="auto"/>
        </w:rPr>
        <w:tab/>
      </w:r>
      <w:r>
        <w:rPr>
          <w:rFonts w:ascii="Arial" w:cs="Arial" w:eastAsia="Arial" w:hAnsi="Arial"/>
          <w:sz w:val="18"/>
          <w:szCs w:val="18"/>
          <w:u w:val="single" w:color="auto"/>
          <w:color w:val="auto"/>
        </w:rPr>
        <w:t xml:space="preserve">Illegality </w:t>
      </w:r>
      <w:r>
        <w:rPr>
          <w:rFonts w:ascii="Arial" w:cs="Arial" w:eastAsia="Arial" w:hAnsi="Arial"/>
          <w:sz w:val="18"/>
          <w:szCs w:val="18"/>
          <w:color w:val="0000FF"/>
        </w:rPr>
        <w:t>and Designated Lenders</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1204595</wp:posOffset>
            </wp:positionH>
            <wp:positionV relativeFrom="paragraph">
              <wp:posOffset>-14605</wp:posOffset>
            </wp:positionV>
            <wp:extent cx="1245870" cy="88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1245870" cy="8890"/>
                    </a:xfrm>
                    <a:prstGeom prst="rect">
                      <a:avLst/>
                    </a:prstGeom>
                    <a:noFill/>
                  </pic:spPr>
                </pic:pic>
              </a:graphicData>
            </a:graphic>
          </wp:anchor>
        </w:drawing>
      </w:r>
    </w:p>
    <w:p>
      <w:pPr>
        <w:spacing w:after="0" w:line="223" w:lineRule="exact"/>
        <w:rPr>
          <w:sz w:val="20"/>
          <w:szCs w:val="20"/>
          <w:color w:val="auto"/>
        </w:rPr>
      </w:pPr>
    </w:p>
    <w:p>
      <w:pPr>
        <w:ind w:right="100" w:firstLine="656"/>
        <w:spacing w:after="0" w:line="244" w:lineRule="auto"/>
        <w:tabs>
          <w:tab w:leader="none" w:pos="1066" w:val="left"/>
        </w:tabs>
        <w:numPr>
          <w:ilvl w:val="0"/>
          <w:numId w:val="171"/>
        </w:numPr>
        <w:rPr>
          <w:rFonts w:ascii="Arial" w:cs="Arial" w:eastAsia="Arial" w:hAnsi="Arial"/>
          <w:sz w:val="20"/>
          <w:szCs w:val="20"/>
          <w:u w:val="single" w:color="auto"/>
          <w:color w:val="0000FF"/>
        </w:rPr>
      </w:pPr>
      <w:r>
        <w:rPr>
          <w:rFonts w:ascii="Arial" w:cs="Arial" w:eastAsia="Arial" w:hAnsi="Arial"/>
          <w:sz w:val="20"/>
          <w:szCs w:val="20"/>
          <w:u w:val="single" w:color="auto"/>
          <w:color w:val="0000FF"/>
        </w:rPr>
        <w:t>Illegality.</w:t>
      </w:r>
      <w:r>
        <w:rPr>
          <w:rFonts w:ascii="Arial" w:cs="Arial" w:eastAsia="Arial" w:hAnsi="Arial"/>
          <w:sz w:val="20"/>
          <w:szCs w:val="20"/>
          <w:color w:val="0000FF"/>
        </w:rPr>
        <w:t xml:space="preserve"> </w:t>
      </w:r>
      <w:r>
        <w:rPr>
          <w:rFonts w:ascii="Arial" w:cs="Arial" w:eastAsia="Arial" w:hAnsi="Arial"/>
          <w:sz w:val="20"/>
          <w:szCs w:val="20"/>
          <w:color w:val="000000"/>
        </w:rPr>
        <w:t>If any Lender determines that any Law has made it unlawful, or that any Governmental Authority has asserted that it is</w:t>
      </w:r>
      <w:r>
        <w:rPr>
          <w:rFonts w:ascii="Arial" w:cs="Arial" w:eastAsia="Arial" w:hAnsi="Arial"/>
          <w:sz w:val="20"/>
          <w:szCs w:val="20"/>
          <w:color w:val="0000FF"/>
        </w:rPr>
        <w:t xml:space="preserve"> </w:t>
      </w:r>
      <w:r>
        <w:rPr>
          <w:rFonts w:ascii="Arial" w:cs="Arial" w:eastAsia="Arial" w:hAnsi="Arial"/>
          <w:sz w:val="20"/>
          <w:szCs w:val="20"/>
          <w:color w:val="000000"/>
        </w:rPr>
        <w:t>unlawful, for any Lender or its applicable Lending Office to make, maintain or fund Loans whose interest is determined by reference to the Fixed LIBOR Rate (whether denominated in Dollars or an Alternative Currency), or to determine or charge interest rates based upon the Fixed LIBOR Rate, or any Governmental Authority has imposed material restrictions on the authority of such Lender to purchase or sell, or to take deposits of, Dollars or any Alternative</w:t>
      </w:r>
    </w:p>
    <w:p>
      <w:pPr>
        <w:spacing w:after="0" w:line="222"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123</w:t>
      </w:r>
    </w:p>
    <w:p>
      <w:pPr>
        <w:spacing w:after="0" w:line="10" w:lineRule="exact"/>
        <w:rPr>
          <w:sz w:val="20"/>
          <w:szCs w:val="20"/>
          <w:color w:val="auto"/>
        </w:rPr>
      </w:pPr>
    </w:p>
    <w:p>
      <w:pPr>
        <w:spacing w:after="0"/>
        <w:rPr>
          <w:sz w:val="20"/>
          <w:szCs w:val="20"/>
          <w:color w:val="auto"/>
        </w:rPr>
      </w:pPr>
      <w:r>
        <w:rPr>
          <w:rFonts w:ascii="Arial" w:cs="Arial" w:eastAsia="Arial" w:hAnsi="Arial"/>
          <w:sz w:val="14"/>
          <w:szCs w:val="14"/>
          <w:color w:val="auto"/>
        </w:rPr>
        <w:t>CHAR1\1346423v</w:t>
      </w:r>
      <w:r>
        <w:rPr>
          <w:rFonts w:ascii="Arial" w:cs="Arial" w:eastAsia="Arial" w:hAnsi="Arial"/>
          <w:sz w:val="14"/>
          <w:szCs w:val="14"/>
          <w:color w:val="FF0000"/>
          <w:strike w:val="1"/>
        </w:rPr>
        <w:t>1</w:t>
      </w:r>
      <w:r>
        <w:rPr>
          <w:rFonts w:ascii="Arial" w:cs="Arial" w:eastAsia="Arial" w:hAnsi="Arial"/>
          <w:sz w:val="14"/>
          <w:szCs w:val="14"/>
          <w:u w:val="single" w:color="auto"/>
          <w:color w:val="0000FF"/>
        </w:rPr>
        <w:t>12</w:t>
      </w:r>
    </w:p>
    <w:p>
      <w:pPr>
        <w:sectPr>
          <w:pgSz w:w="11900" w:h="16838" w:orient="portrait"/>
          <w:cols w:equalWidth="0" w:num="1">
            <w:col w:w="11400"/>
          </w:cols>
          <w:pgMar w:left="240" w:top="582" w:right="259" w:bottom="1440" w:gutter="0" w:footer="0" w:header="0"/>
        </w:sectPr>
      </w:pPr>
    </w:p>
    <w:bookmarkStart w:id="175" w:name="page176"/>
    <w:bookmarkEnd w:id="175"/>
    <w:p>
      <w:pPr>
        <w:ind w:right="20"/>
        <w:spacing w:after="0" w:line="269" w:lineRule="auto"/>
        <w:rPr>
          <w:sz w:val="20"/>
          <w:szCs w:val="20"/>
          <w:color w:val="auto"/>
        </w:rPr>
      </w:pPr>
      <w:r>
        <w:rPr>
          <w:rFonts w:ascii="Arial" w:cs="Arial" w:eastAsia="Arial" w:hAnsi="Arial"/>
          <w:sz w:val="18"/>
          <w:szCs w:val="18"/>
          <w:color w:val="auto"/>
        </w:rPr>
        <w:t>Currency in the applicable interbank market, then, on notice thereof by such Lender to the applicable Borrower through the Administrative Agent, (a) any obligation of such Lender to make or continue Fixed LIBOR Rate Loans in the affected currency or currencies or, in the case of Fixed LIBOR Rate Loans in Dollars, to convert Base Rate Loans to Fixed LIBOR Rate Loans shall be suspended and (b) if such notice asserts the illegality of such Lender making or maintaining Base Rate Loans the interest rate on which is determined by reference to the Fixed LIBOR Rate component of the Base Rate, the interest rate on which Base Rate Loans of such Lender shall, if necessary to avoid such illegality, be determined by the Administrative Agent without reference to the Fixed LIBOR Rate component of the Base Rate, in each case until such Lender notifies the Administrative Agent and the applicable Borrower that the circumstances giving rise to such determination no longer exist. Upon receipt of such notice, (x) the applicable Borrower shall, upon demand from such Lender (with a copy to the Administrative Agent), prepay or, if applicable and such Loans are denominated in Dollars, convert all of such Lender’s Fixed LIBOR Rate Loans to Base Rate Loans (the interest rate on which Base Rate Loans of such Lender shall, if necessary to avoid such illegality, be determined by the Administrative Agent without reference to the Fixed LIBOR Rate component of the Base Rate), either on the last day of the Interest Period therefor, if such Lender may lawfully continue to maintain such Fixed LIBOR Rate Loans to such day, or immediately, if such Lender may not lawfully continue to maintain such Fixed LIBOR Rate Loans and (y) if such notice asserts the illegality of such Lender determining or charging interest rates based upon the Fixed LIBOR Rate, the Administrative Agent shall during the period of such suspension compute the Base Rate applicable to such Lender without reference to the Fixed LIBOR Rate component thereof until the Administrative Agent is advised in writing by such Lender that it is no longer illegal for such Lender to determine or charge interest rates based upon the Fixed LIBOR Rate. Upon any such prepayment or conversion, the applicable Borrower shall also pay accrued interest on the amount so prepaid or converted.</w:t>
      </w:r>
    </w:p>
    <w:p>
      <w:pPr>
        <w:spacing w:after="0" w:line="189" w:lineRule="exact"/>
        <w:rPr>
          <w:sz w:val="20"/>
          <w:szCs w:val="20"/>
          <w:color w:val="auto"/>
        </w:rPr>
      </w:pPr>
    </w:p>
    <w:p>
      <w:pPr>
        <w:ind w:right="40" w:firstLine="656"/>
        <w:spacing w:after="0" w:line="271" w:lineRule="auto"/>
        <w:tabs>
          <w:tab w:leader="none" w:pos="1077" w:val="left"/>
        </w:tabs>
        <w:numPr>
          <w:ilvl w:val="0"/>
          <w:numId w:val="172"/>
        </w:numPr>
        <w:rPr>
          <w:rFonts w:ascii="Arial" w:cs="Arial" w:eastAsia="Arial" w:hAnsi="Arial"/>
          <w:sz w:val="18"/>
          <w:szCs w:val="18"/>
          <w:u w:val="single" w:color="auto"/>
          <w:color w:val="0000FF"/>
        </w:rPr>
      </w:pPr>
      <w:r>
        <w:rPr>
          <w:rFonts w:ascii="Arial" w:cs="Arial" w:eastAsia="Arial" w:hAnsi="Arial"/>
          <w:sz w:val="18"/>
          <w:szCs w:val="18"/>
          <w:u w:val="single" w:color="auto"/>
          <w:color w:val="0000FF"/>
        </w:rPr>
        <w:t>Designated Lenders and Illegality. Each Lender at its option may make any Credit Extension to any Borrower by causing any domestic or foreign branch or Affiliate of such Lender (each a “Designated Lender”) to make such Credit Extension (and in the case of an Affiliate, the provisions of Sections 3.01 through 3.05 and 11.04 shall apply to such Affiliate to the same extent as to such Lender); provided that any exercise of such option shall not affect the obligation of the relevant Borrower to repay such Credit Extension in accordance with the terms of this Agreement; provided, however, if any Lender or any Designated Lender determines that any Law has made it unlawful, or that any Governmental Authority has asserted that it is unlawful, for any Lender or its applicable Designated Lender to perform its obligations hereunder or to issue, make, maintain, fund or charge interest with respect to any Credit Extension to any Designated Borrower who is organized under the laws of a jurisdiction other than the United States, a State thereof or the District of Columbia then, on notice thereof by such Lender to EWI through the Administrative Agent, and until such notice by such Lender is revoked, any obligation of such Lender to issue, make, maintain, fund or charge interest with respect to any such Credit Extension shall be suspended. Upon receipt of such notice, the Credit Parties shall, take all reasonable actions requested by such Lender to mitigate or avoid such illegality.</w:t>
      </w:r>
    </w:p>
    <w:p>
      <w:pPr>
        <w:spacing w:after="0" w:line="238" w:lineRule="exact"/>
        <w:rPr>
          <w:sz w:val="20"/>
          <w:szCs w:val="20"/>
          <w:color w:val="auto"/>
        </w:rPr>
      </w:pPr>
    </w:p>
    <w:p>
      <w:pPr>
        <w:ind w:left="660"/>
        <w:spacing w:after="0"/>
        <w:tabs>
          <w:tab w:leader="none" w:pos="1160" w:val="left"/>
        </w:tabs>
        <w:rPr>
          <w:sz w:val="20"/>
          <w:szCs w:val="20"/>
          <w:color w:val="auto"/>
        </w:rPr>
      </w:pPr>
      <w:r>
        <w:rPr>
          <w:rFonts w:ascii="Arial" w:cs="Arial" w:eastAsia="Arial" w:hAnsi="Arial"/>
          <w:sz w:val="20"/>
          <w:szCs w:val="20"/>
          <w:color w:val="auto"/>
        </w:rPr>
        <w:t>3.03</w:t>
      </w:r>
      <w:r>
        <w:rPr>
          <w:sz w:val="20"/>
          <w:szCs w:val="20"/>
          <w:color w:val="auto"/>
        </w:rPr>
        <w:tab/>
      </w:r>
      <w:r>
        <w:rPr>
          <w:rFonts w:ascii="Arial" w:cs="Arial" w:eastAsia="Arial" w:hAnsi="Arial"/>
          <w:sz w:val="18"/>
          <w:szCs w:val="18"/>
          <w:u w:val="single" w:color="auto"/>
          <w:color w:val="00C000"/>
        </w:rPr>
        <w:t xml:space="preserve">Inability to Determine Rates. </w:t>
      </w:r>
      <w:r>
        <w:rPr>
          <w:rFonts w:ascii="Arial" w:cs="Arial" w:eastAsia="Arial" w:hAnsi="Arial"/>
          <w:sz w:val="18"/>
          <w:szCs w:val="18"/>
          <w:color w:val="FF0000"/>
          <w:strike w:val="1"/>
        </w:rPr>
        <w:t>3.03</w:t>
      </w:r>
      <w:r>
        <w:rPr>
          <w:rFonts w:ascii="Arial" w:cs="Arial" w:eastAsia="Arial" w:hAnsi="Arial"/>
          <w:sz w:val="18"/>
          <w:szCs w:val="18"/>
          <w:u w:val="single" w:color="auto"/>
          <w:color w:val="00C000"/>
        </w:rPr>
        <w:t xml:space="preserve"> </w:t>
      </w:r>
      <w:r>
        <w:rPr>
          <w:rFonts w:ascii="Arial" w:cs="Arial" w:eastAsia="Arial" w:hAnsi="Arial"/>
          <w:sz w:val="18"/>
          <w:szCs w:val="18"/>
          <w:u w:val="single" w:color="auto"/>
          <w:color w:val="00C000"/>
          <w:strike w:val="1"/>
        </w:rPr>
        <w:t>Inability to Determine Rates</w:t>
      </w:r>
      <w:r>
        <w:rPr>
          <w:rFonts w:ascii="Arial" w:cs="Arial" w:eastAsia="Arial" w:hAnsi="Arial"/>
          <w:sz w:val="18"/>
          <w:szCs w:val="18"/>
          <w:color w:val="00C000"/>
          <w:strike w:val="1"/>
        </w:rPr>
        <w:t>.</w:t>
      </w:r>
      <w:r>
        <w:rPr>
          <w:rFonts w:ascii="Arial" w:cs="Arial" w:eastAsia="Arial" w:hAnsi="Arial"/>
          <w:sz w:val="18"/>
          <w:szCs w:val="18"/>
          <w:u w:val="single" w:color="auto"/>
          <w:color w:val="00C000"/>
        </w:rPr>
        <w:t xml:space="preserve"> </w:t>
      </w:r>
      <w:r>
        <w:rPr>
          <w:rFonts w:ascii="Arial" w:cs="Arial" w:eastAsia="Arial" w:hAnsi="Arial"/>
          <w:sz w:val="18"/>
          <w:szCs w:val="18"/>
          <w:color w:val="FF0000"/>
          <w:strike w:val="1"/>
        </w:rPr>
        <w:t>If</w:t>
      </w:r>
      <w:r>
        <w:rPr>
          <w:rFonts w:ascii="Arial" w:cs="Arial" w:eastAsia="Arial" w:hAnsi="Arial"/>
          <w:sz w:val="18"/>
          <w:szCs w:val="18"/>
          <w:u w:val="single" w:color="auto"/>
          <w:color w:val="00C000"/>
        </w:rPr>
        <w:t xml:space="preserve"> </w:t>
      </w:r>
      <w:r>
        <w:rPr>
          <w:rFonts w:ascii="Arial" w:cs="Arial" w:eastAsia="Arial" w:hAnsi="Arial"/>
          <w:sz w:val="18"/>
          <w:szCs w:val="18"/>
          <w:color w:val="00C000"/>
        </w:rPr>
        <w:t>the Required Lenders determine that for any reason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4066540</wp:posOffset>
            </wp:positionH>
            <wp:positionV relativeFrom="paragraph">
              <wp:posOffset>-57785</wp:posOffset>
            </wp:positionV>
            <wp:extent cx="2617470"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2617470" cy="8890"/>
                    </a:xfrm>
                    <a:prstGeom prst="rect">
                      <a:avLst/>
                    </a:prstGeom>
                    <a:noFill/>
                  </pic:spPr>
                </pic:pic>
              </a:graphicData>
            </a:graphic>
          </wp:anchor>
        </w:drawing>
      </w:r>
    </w:p>
    <w:p>
      <w:pPr>
        <w:spacing w:after="0" w:line="223" w:lineRule="exact"/>
        <w:rPr>
          <w:sz w:val="20"/>
          <w:szCs w:val="20"/>
          <w:color w:val="auto"/>
        </w:rPr>
      </w:pPr>
    </w:p>
    <w:p>
      <w:pPr>
        <w:ind w:firstLine="656"/>
        <w:spacing w:after="0" w:line="263" w:lineRule="auto"/>
        <w:tabs>
          <w:tab w:leader="none" w:pos="1066" w:val="left"/>
        </w:tabs>
        <w:numPr>
          <w:ilvl w:val="0"/>
          <w:numId w:val="173"/>
        </w:numPr>
        <w:rPr>
          <w:rFonts w:ascii="Arial" w:cs="Arial" w:eastAsia="Arial" w:hAnsi="Arial"/>
          <w:sz w:val="19"/>
          <w:szCs w:val="19"/>
          <w:u w:val="single" w:color="auto"/>
          <w:color w:val="0000FF"/>
        </w:rPr>
      </w:pPr>
      <w:r>
        <w:rPr>
          <w:rFonts w:ascii="Arial" w:cs="Arial" w:eastAsia="Arial" w:hAnsi="Arial"/>
          <w:sz w:val="19"/>
          <w:szCs w:val="19"/>
          <w:u w:val="single" w:color="auto"/>
          <w:color w:val="0000FF"/>
        </w:rPr>
        <w:t>If</w:t>
      </w:r>
      <w:r>
        <w:rPr>
          <w:rFonts w:ascii="Arial" w:cs="Arial" w:eastAsia="Arial" w:hAnsi="Arial"/>
          <w:sz w:val="19"/>
          <w:szCs w:val="19"/>
          <w:color w:val="0000FF"/>
        </w:rPr>
        <w:t xml:space="preserve"> </w:t>
      </w:r>
      <w:r>
        <w:rPr>
          <w:rFonts w:ascii="Arial" w:cs="Arial" w:eastAsia="Arial" w:hAnsi="Arial"/>
          <w:sz w:val="19"/>
          <w:szCs w:val="19"/>
          <w:color w:val="000000"/>
        </w:rPr>
        <w:t>in connection with any request for a Fixed LIBOR Rate Loan or a conversion to or continuation thereof</w:t>
      </w:r>
      <w:r>
        <w:rPr>
          <w:rFonts w:ascii="Arial" w:cs="Arial" w:eastAsia="Arial" w:hAnsi="Arial"/>
          <w:sz w:val="19"/>
          <w:szCs w:val="19"/>
          <w:color w:val="0000FF"/>
        </w:rPr>
        <w:t xml:space="preserve"> </w:t>
      </w:r>
      <w:r>
        <w:rPr>
          <w:rFonts w:ascii="Arial" w:cs="Arial" w:eastAsia="Arial" w:hAnsi="Arial"/>
          <w:sz w:val="19"/>
          <w:szCs w:val="19"/>
          <w:u w:val="single" w:color="auto"/>
          <w:color w:val="0000FF"/>
        </w:rPr>
        <w:t>(i) the Administrative</w:t>
      </w:r>
      <w:r>
        <w:rPr>
          <w:rFonts w:ascii="Arial" w:cs="Arial" w:eastAsia="Arial" w:hAnsi="Arial"/>
          <w:sz w:val="19"/>
          <w:szCs w:val="19"/>
          <w:color w:val="0000FF"/>
        </w:rPr>
        <w:t xml:space="preserve"> </w:t>
      </w:r>
      <w:r>
        <w:rPr>
          <w:rFonts w:ascii="Arial" w:cs="Arial" w:eastAsia="Arial" w:hAnsi="Arial"/>
          <w:sz w:val="19"/>
          <w:szCs w:val="19"/>
          <w:u w:val="single" w:color="auto"/>
          <w:color w:val="0000FF"/>
        </w:rPr>
        <w:t>Agent determines</w:t>
      </w:r>
      <w:r>
        <w:rPr>
          <w:rFonts w:ascii="Arial" w:cs="Arial" w:eastAsia="Arial" w:hAnsi="Arial"/>
          <w:sz w:val="19"/>
          <w:szCs w:val="19"/>
          <w:color w:val="0000FF"/>
        </w:rPr>
        <w:t xml:space="preserve"> </w:t>
      </w:r>
      <w:r>
        <w:rPr>
          <w:rFonts w:ascii="Arial" w:cs="Arial" w:eastAsia="Arial" w:hAnsi="Arial"/>
          <w:sz w:val="19"/>
          <w:szCs w:val="19"/>
          <w:color w:val="000000"/>
        </w:rPr>
        <w:t>that (</w:t>
      </w:r>
      <w:r>
        <w:rPr>
          <w:rFonts w:ascii="Arial" w:cs="Arial" w:eastAsia="Arial" w:hAnsi="Arial"/>
          <w:sz w:val="19"/>
          <w:szCs w:val="19"/>
          <w:color w:val="FF0000"/>
          <w:strike w:val="1"/>
        </w:rPr>
        <w:t>a</w:t>
      </w:r>
      <w:r>
        <w:rPr>
          <w:rFonts w:ascii="Arial" w:cs="Arial" w:eastAsia="Arial" w:hAnsi="Arial"/>
          <w:sz w:val="19"/>
          <w:szCs w:val="19"/>
          <w:u w:val="single" w:color="auto"/>
          <w:color w:val="0000FF"/>
        </w:rPr>
        <w:t>A</w:t>
      </w:r>
      <w:r>
        <w:rPr>
          <w:rFonts w:ascii="Arial" w:cs="Arial" w:eastAsia="Arial" w:hAnsi="Arial"/>
          <w:sz w:val="19"/>
          <w:szCs w:val="19"/>
          <w:color w:val="000000"/>
        </w:rPr>
        <w:t>) deposits in the applicable currency are not being offered to banks in the applicable offshore interbank market for the</w:t>
      </w:r>
      <w:r>
        <w:rPr>
          <w:rFonts w:ascii="Arial" w:cs="Arial" w:eastAsia="Arial" w:hAnsi="Arial"/>
          <w:sz w:val="19"/>
          <w:szCs w:val="19"/>
          <w:color w:val="0000FF"/>
        </w:rPr>
        <w:t xml:space="preserve"> </w:t>
      </w:r>
      <w:r>
        <w:rPr>
          <w:rFonts w:ascii="Arial" w:cs="Arial" w:eastAsia="Arial" w:hAnsi="Arial"/>
          <w:sz w:val="19"/>
          <w:szCs w:val="19"/>
          <w:color w:val="000000"/>
        </w:rPr>
        <w:t>applicable currency, the applicable amount or the applicable Interest Period for such Fixed LIBOR Rate Loan, (</w:t>
      </w:r>
      <w:r>
        <w:rPr>
          <w:rFonts w:ascii="Arial" w:cs="Arial" w:eastAsia="Arial" w:hAnsi="Arial"/>
          <w:sz w:val="19"/>
          <w:szCs w:val="19"/>
          <w:color w:val="FF0000"/>
          <w:strike w:val="1"/>
        </w:rPr>
        <w:t>b</w:t>
      </w:r>
      <w:r>
        <w:rPr>
          <w:rFonts w:ascii="Arial" w:cs="Arial" w:eastAsia="Arial" w:hAnsi="Arial"/>
          <w:sz w:val="19"/>
          <w:szCs w:val="19"/>
          <w:u w:val="single" w:color="auto"/>
          <w:color w:val="0000FF"/>
        </w:rPr>
        <w:t>B</w:t>
      </w:r>
      <w:r>
        <w:rPr>
          <w:rFonts w:ascii="Arial" w:cs="Arial" w:eastAsia="Arial" w:hAnsi="Arial"/>
          <w:sz w:val="19"/>
          <w:szCs w:val="19"/>
          <w:color w:val="000000"/>
        </w:rPr>
        <w:t>) adequate and reasonable means do not exist for determining the Fixed LIBOR Base Rate for any requested Interest</w:t>
      </w: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124</w:t>
      </w:r>
    </w:p>
    <w:p>
      <w:pPr>
        <w:spacing w:after="0" w:line="10" w:lineRule="exact"/>
        <w:rPr>
          <w:sz w:val="20"/>
          <w:szCs w:val="20"/>
          <w:color w:val="auto"/>
        </w:rPr>
      </w:pPr>
    </w:p>
    <w:p>
      <w:pPr>
        <w:spacing w:after="0"/>
        <w:rPr>
          <w:sz w:val="20"/>
          <w:szCs w:val="20"/>
          <w:color w:val="auto"/>
        </w:rPr>
      </w:pPr>
      <w:r>
        <w:rPr>
          <w:rFonts w:ascii="Arial" w:cs="Arial" w:eastAsia="Arial" w:hAnsi="Arial"/>
          <w:sz w:val="14"/>
          <w:szCs w:val="14"/>
          <w:color w:val="auto"/>
        </w:rPr>
        <w:t>CHAR1\1346423v</w:t>
      </w:r>
      <w:r>
        <w:rPr>
          <w:rFonts w:ascii="Arial" w:cs="Arial" w:eastAsia="Arial" w:hAnsi="Arial"/>
          <w:sz w:val="14"/>
          <w:szCs w:val="14"/>
          <w:color w:val="FF0000"/>
          <w:strike w:val="1"/>
        </w:rPr>
        <w:t>1</w:t>
      </w:r>
      <w:r>
        <w:rPr>
          <w:rFonts w:ascii="Arial" w:cs="Arial" w:eastAsia="Arial" w:hAnsi="Arial"/>
          <w:sz w:val="14"/>
          <w:szCs w:val="14"/>
          <w:u w:val="single" w:color="auto"/>
          <w:color w:val="0000FF"/>
        </w:rPr>
        <w:t>12</w:t>
      </w:r>
    </w:p>
    <w:p>
      <w:pPr>
        <w:sectPr>
          <w:pgSz w:w="11900" w:h="16838" w:orient="portrait"/>
          <w:cols w:equalWidth="0" w:num="1">
            <w:col w:w="11420"/>
          </w:cols>
          <w:pgMar w:left="240" w:top="582" w:right="239" w:bottom="1440" w:gutter="0" w:footer="0" w:header="0"/>
        </w:sectPr>
      </w:pPr>
    </w:p>
    <w:bookmarkStart w:id="176" w:name="page177"/>
    <w:bookmarkEnd w:id="176"/>
    <w:p>
      <w:pPr>
        <w:spacing w:after="0" w:line="270" w:lineRule="auto"/>
        <w:rPr>
          <w:sz w:val="20"/>
          <w:szCs w:val="20"/>
          <w:color w:val="auto"/>
        </w:rPr>
      </w:pPr>
      <w:r>
        <w:rPr>
          <w:rFonts w:ascii="Arial" w:cs="Arial" w:eastAsia="Arial" w:hAnsi="Arial"/>
          <w:sz w:val="18"/>
          <w:szCs w:val="18"/>
          <w:color w:val="auto"/>
        </w:rPr>
        <w:t>Period with respect to a proposed Fixed LIBOR Rate Loan</w:t>
      </w:r>
      <w:r>
        <w:rPr>
          <w:rFonts w:ascii="Arial" w:cs="Arial" w:eastAsia="Arial" w:hAnsi="Arial"/>
          <w:sz w:val="18"/>
          <w:szCs w:val="18"/>
          <w:color w:val="FF0000"/>
          <w:strike w:val="1"/>
        </w:rPr>
        <w:t>, or (c)</w:t>
      </w:r>
      <w:r>
        <w:rPr>
          <w:rFonts w:ascii="Arial" w:cs="Arial" w:eastAsia="Arial" w:hAnsi="Arial"/>
          <w:sz w:val="18"/>
          <w:szCs w:val="18"/>
          <w:color w:val="auto"/>
        </w:rPr>
        <w:t xml:space="preserve"> </w:t>
      </w:r>
      <w:r>
        <w:rPr>
          <w:rFonts w:ascii="Arial" w:cs="Arial" w:eastAsia="Arial" w:hAnsi="Arial"/>
          <w:sz w:val="18"/>
          <w:szCs w:val="18"/>
          <w:u w:val="single" w:color="auto"/>
          <w:color w:val="0000FF"/>
        </w:rPr>
        <w:t>or in connection with an existing or proposed Base Rate Loan (in each case</w:t>
      </w:r>
      <w:r>
        <w:rPr>
          <w:rFonts w:ascii="Arial" w:cs="Arial" w:eastAsia="Arial" w:hAnsi="Arial"/>
          <w:sz w:val="18"/>
          <w:szCs w:val="18"/>
          <w:color w:val="auto"/>
        </w:rPr>
        <w:t xml:space="preserve"> </w:t>
      </w:r>
      <w:r>
        <w:rPr>
          <w:rFonts w:ascii="Arial" w:cs="Arial" w:eastAsia="Arial" w:hAnsi="Arial"/>
          <w:sz w:val="18"/>
          <w:szCs w:val="18"/>
          <w:u w:val="single" w:color="auto"/>
          <w:color w:val="0000FF"/>
        </w:rPr>
        <w:t>with respect to clause (i), “Impacted Loans”), or (ii) the Administrative Agent or</w:t>
      </w:r>
      <w:r>
        <w:rPr>
          <w:rFonts w:ascii="Arial" w:cs="Arial" w:eastAsia="Arial" w:hAnsi="Arial"/>
          <w:sz w:val="18"/>
          <w:szCs w:val="18"/>
          <w:color w:val="0000FF"/>
        </w:rPr>
        <w:t xml:space="preserve"> </w:t>
      </w:r>
      <w:r>
        <w:rPr>
          <w:rFonts w:ascii="Arial" w:cs="Arial" w:eastAsia="Arial" w:hAnsi="Arial"/>
          <w:sz w:val="18"/>
          <w:szCs w:val="18"/>
          <w:color w:val="00C000"/>
        </w:rPr>
        <w:t>the Required Lenders determine that for any reason</w:t>
      </w:r>
      <w:r>
        <w:rPr>
          <w:rFonts w:ascii="Arial" w:cs="Arial" w:eastAsia="Arial" w:hAnsi="Arial"/>
          <w:sz w:val="18"/>
          <w:szCs w:val="18"/>
          <w:color w:val="0000FF"/>
        </w:rPr>
        <w:t xml:space="preserve"> </w:t>
      </w:r>
      <w:r>
        <w:rPr>
          <w:rFonts w:ascii="Arial" w:cs="Arial" w:eastAsia="Arial" w:hAnsi="Arial"/>
          <w:sz w:val="18"/>
          <w:szCs w:val="18"/>
          <w:color w:val="000000"/>
        </w:rPr>
        <w:t>the Fixed</w:t>
      </w:r>
      <w:r>
        <w:rPr>
          <w:rFonts w:ascii="Arial" w:cs="Arial" w:eastAsia="Arial" w:hAnsi="Arial"/>
          <w:sz w:val="18"/>
          <w:szCs w:val="18"/>
          <w:color w:val="0000FF"/>
        </w:rPr>
        <w:t xml:space="preserve"> </w:t>
      </w:r>
      <w:r>
        <w:rPr>
          <w:rFonts w:ascii="Arial" w:cs="Arial" w:eastAsia="Arial" w:hAnsi="Arial"/>
          <w:sz w:val="18"/>
          <w:szCs w:val="18"/>
          <w:color w:val="000000"/>
        </w:rPr>
        <w:t xml:space="preserve">LIBOR Rate for the applicable currency for any requested Interest Period with respect to a proposed Fixed LIBOR Rate Loan, or in connection with an existing or proposed Base Rate Loan which is based on the Fixed LIBOR Rate, does not adequately and fairly reflect the cost to such Lenders of funding such Loan, the Administrative Agent will promptly notify the affected Borrowers and Lenders. Thereafter, (x) the obligation of the Lenders to make or maintain such Fixed LIBOR Rate Loans in the affected currency or currencies shall be suspended </w:t>
      </w:r>
      <w:r>
        <w:rPr>
          <w:rFonts w:ascii="Arial" w:cs="Arial" w:eastAsia="Arial" w:hAnsi="Arial"/>
          <w:sz w:val="18"/>
          <w:szCs w:val="18"/>
          <w:u w:val="single" w:color="auto"/>
          <w:color w:val="0000FF"/>
        </w:rPr>
        <w:t>(to the</w:t>
      </w:r>
      <w:r>
        <w:rPr>
          <w:rFonts w:ascii="Arial" w:cs="Arial" w:eastAsia="Arial" w:hAnsi="Arial"/>
          <w:sz w:val="18"/>
          <w:szCs w:val="18"/>
          <w:color w:val="000000"/>
        </w:rPr>
        <w:t xml:space="preserve"> </w:t>
      </w:r>
      <w:r>
        <w:rPr>
          <w:rFonts w:ascii="Arial" w:cs="Arial" w:eastAsia="Arial" w:hAnsi="Arial"/>
          <w:sz w:val="18"/>
          <w:szCs w:val="18"/>
          <w:u w:val="single" w:color="auto"/>
          <w:color w:val="0000FF"/>
        </w:rPr>
        <w:t>extent of the affected Fixed LIBOR Rate Loans or Interest Periods)</w:t>
      </w:r>
      <w:r>
        <w:rPr>
          <w:rFonts w:ascii="Arial" w:cs="Arial" w:eastAsia="Arial" w:hAnsi="Arial"/>
          <w:sz w:val="18"/>
          <w:szCs w:val="18"/>
          <w:color w:val="0000FF"/>
        </w:rPr>
        <w:t xml:space="preserve"> </w:t>
      </w:r>
      <w:r>
        <w:rPr>
          <w:rFonts w:ascii="Arial" w:cs="Arial" w:eastAsia="Arial" w:hAnsi="Arial"/>
          <w:sz w:val="18"/>
          <w:szCs w:val="18"/>
          <w:color w:val="000000"/>
        </w:rPr>
        <w:t>and (y) in the event of a determination described in the preceding sentence</w:t>
      </w:r>
      <w:r>
        <w:rPr>
          <w:rFonts w:ascii="Arial" w:cs="Arial" w:eastAsia="Arial" w:hAnsi="Arial"/>
          <w:sz w:val="18"/>
          <w:szCs w:val="18"/>
          <w:color w:val="0000FF"/>
        </w:rPr>
        <w:t xml:space="preserve"> </w:t>
      </w:r>
      <w:r>
        <w:rPr>
          <w:rFonts w:ascii="Arial" w:cs="Arial" w:eastAsia="Arial" w:hAnsi="Arial"/>
          <w:sz w:val="18"/>
          <w:szCs w:val="18"/>
          <w:color w:val="000000"/>
        </w:rPr>
        <w:t>with respect to the Fixed LIBOR Rate component of the Base Rate, the utilization of the Fixed LIBOR Rate component in determining the Base Rate shall be suspended, in each case until the Administrative Agent (upon the instruction of the Required Lenders) revokes such notice. Upon receipt of such notice, the Borrowers may revoke any pending request for a Borrowing of, conversion to or continuation of Fixed LIBOR Rate Loans in the affected currency or currencies in respect thereof or, failing that, will be deemed to have converted such request into a request for a Borrowing of Base Rate Loans or unaffected Fixed LIBOR Rate Loans, as appropriate, in the amount specified therein.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4060825</wp:posOffset>
            </wp:positionH>
            <wp:positionV relativeFrom="paragraph">
              <wp:posOffset>-1497330</wp:posOffset>
            </wp:positionV>
            <wp:extent cx="2617470" cy="88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2617470" cy="8890"/>
                    </a:xfrm>
                    <a:prstGeom prst="rect">
                      <a:avLst/>
                    </a:prstGeom>
                    <a:noFill/>
                  </pic:spPr>
                </pic:pic>
              </a:graphicData>
            </a:graphic>
          </wp:anchor>
        </w:drawing>
      </w:r>
    </w:p>
    <w:p>
      <w:pPr>
        <w:spacing w:after="0" w:line="170" w:lineRule="exact"/>
        <w:rPr>
          <w:sz w:val="20"/>
          <w:szCs w:val="20"/>
          <w:color w:val="auto"/>
        </w:rPr>
      </w:pPr>
    </w:p>
    <w:p>
      <w:pPr>
        <w:ind w:right="20" w:firstLine="656"/>
        <w:spacing w:after="0" w:line="256" w:lineRule="auto"/>
        <w:tabs>
          <w:tab w:leader="none" w:pos="1077" w:val="left"/>
        </w:tabs>
        <w:numPr>
          <w:ilvl w:val="0"/>
          <w:numId w:val="174"/>
        </w:numPr>
        <w:rPr>
          <w:rFonts w:ascii="Arial" w:cs="Arial" w:eastAsia="Arial" w:hAnsi="Arial"/>
          <w:sz w:val="19"/>
          <w:szCs w:val="19"/>
          <w:u w:val="single" w:color="auto"/>
          <w:color w:val="0000FF"/>
        </w:rPr>
      </w:pPr>
      <w:r>
        <w:rPr>
          <w:rFonts w:ascii="Arial" w:cs="Arial" w:eastAsia="Arial" w:hAnsi="Arial"/>
          <w:sz w:val="19"/>
          <w:szCs w:val="19"/>
          <w:u w:val="single" w:color="auto"/>
          <w:color w:val="0000FF"/>
        </w:rPr>
        <w:t>Notwithstanding the foregoing, if the Administrative Agent has made the determination described in clause (a)(i) of this Section, the Administrative Agent in consultation with the Borrower and the affected Lenders, may establish an alternative interest rate for the Impacted Loans, in which case, such alternative rate of interest shall apply with respect to the Impacted Loans until (1) the Administrative Agent revokes the notice delivered with respect to the Impacted Loans under clause (a)(i) of this Section, (2) the Administrative Agent or the affected Lenders notify the Administrative Agent and the Borrowers that such alternative interest rate does not adequately and fairly reflect the cost of funding the Impacted Loans, or (3) any Lender determines that any Law has made it unlawful, or that any Governmental Authority has asserted that it is unlawful, for such Lender or its applicable Lending Office to make, maintain or fund Loans whose interest is determined by reference to such alternative rate of interest or to determine or charge interest rates based upon such rate or any Governmental Authority has imposed material restrictions on the authority of such Lender to do any of the foregoing and provides the Administrative Agent and the Borrowers written notice thereof.</w:t>
      </w:r>
    </w:p>
    <w:p>
      <w:pPr>
        <w:spacing w:after="0" w:line="249" w:lineRule="exact"/>
        <w:rPr>
          <w:sz w:val="20"/>
          <w:szCs w:val="20"/>
          <w:color w:val="auto"/>
        </w:rPr>
      </w:pPr>
    </w:p>
    <w:p>
      <w:pPr>
        <w:ind w:left="660"/>
        <w:spacing w:after="0"/>
        <w:tabs>
          <w:tab w:leader="none" w:pos="1160" w:val="left"/>
        </w:tabs>
        <w:rPr>
          <w:sz w:val="20"/>
          <w:szCs w:val="20"/>
          <w:color w:val="auto"/>
        </w:rPr>
      </w:pPr>
      <w:r>
        <w:rPr>
          <w:rFonts w:ascii="Arial" w:cs="Arial" w:eastAsia="Arial" w:hAnsi="Arial"/>
          <w:sz w:val="20"/>
          <w:szCs w:val="20"/>
          <w:color w:val="auto"/>
        </w:rPr>
        <w:t>3.04</w:t>
      </w:r>
      <w:r>
        <w:rPr>
          <w:sz w:val="20"/>
          <w:szCs w:val="20"/>
          <w:color w:val="auto"/>
        </w:rPr>
        <w:tab/>
      </w:r>
      <w:r>
        <w:rPr>
          <w:rFonts w:ascii="Arial" w:cs="Arial" w:eastAsia="Arial" w:hAnsi="Arial"/>
          <w:sz w:val="16"/>
          <w:szCs w:val="16"/>
          <w:u w:val="single" w:color="auto"/>
          <w:color w:val="auto"/>
        </w:rPr>
        <w:t>Increased Cost; Capital Adequacy</w:t>
      </w:r>
      <w:r>
        <w:rPr>
          <w:rFonts w:ascii="Arial" w:cs="Arial" w:eastAsia="Arial" w:hAnsi="Arial"/>
          <w:sz w:val="16"/>
          <w:szCs w:val="16"/>
          <w:color w:val="auto"/>
        </w:rPr>
        <w:t>.</w:t>
      </w:r>
    </w:p>
    <w:p>
      <w:pPr>
        <w:spacing w:after="0" w:line="270" w:lineRule="exact"/>
        <w:rPr>
          <w:sz w:val="20"/>
          <w:szCs w:val="20"/>
          <w:color w:val="auto"/>
        </w:rPr>
      </w:pPr>
    </w:p>
    <w:p>
      <w:pPr>
        <w:ind w:left="1060" w:hanging="404"/>
        <w:spacing w:after="0"/>
        <w:tabs>
          <w:tab w:leader="none" w:pos="1060" w:val="left"/>
        </w:tabs>
        <w:numPr>
          <w:ilvl w:val="0"/>
          <w:numId w:val="175"/>
        </w:numPr>
        <w:rPr>
          <w:rFonts w:ascii="Arial" w:cs="Arial" w:eastAsia="Arial" w:hAnsi="Arial"/>
          <w:sz w:val="20"/>
          <w:szCs w:val="20"/>
          <w:color w:val="auto"/>
        </w:rPr>
      </w:pPr>
      <w:r>
        <w:rPr>
          <w:rFonts w:ascii="Arial" w:cs="Arial" w:eastAsia="Arial" w:hAnsi="Arial"/>
          <w:sz w:val="20"/>
          <w:szCs w:val="20"/>
          <w:u w:val="single" w:color="auto"/>
          <w:color w:val="auto"/>
        </w:rPr>
        <w:t>Increased Costs Generally</w:t>
      </w:r>
      <w:r>
        <w:rPr>
          <w:rFonts w:ascii="Arial" w:cs="Arial" w:eastAsia="Arial" w:hAnsi="Arial"/>
          <w:sz w:val="20"/>
          <w:szCs w:val="20"/>
          <w:color w:val="auto"/>
        </w:rPr>
        <w:t>. If any Change in Law shall:</w:t>
      </w:r>
    </w:p>
    <w:p>
      <w:pPr>
        <w:spacing w:after="0" w:line="242" w:lineRule="exact"/>
        <w:rPr>
          <w:rFonts w:ascii="Arial" w:cs="Arial" w:eastAsia="Arial" w:hAnsi="Arial"/>
          <w:sz w:val="20"/>
          <w:szCs w:val="20"/>
          <w:color w:val="auto"/>
        </w:rPr>
      </w:pPr>
    </w:p>
    <w:p>
      <w:pPr>
        <w:ind w:left="660" w:right="120" w:firstLine="645"/>
        <w:spacing w:after="0" w:line="244" w:lineRule="auto"/>
        <w:tabs>
          <w:tab w:leader="none" w:pos="1544" w:val="left"/>
        </w:tabs>
        <w:numPr>
          <w:ilvl w:val="1"/>
          <w:numId w:val="175"/>
        </w:numPr>
        <w:rPr>
          <w:rFonts w:ascii="Arial" w:cs="Arial" w:eastAsia="Arial" w:hAnsi="Arial"/>
          <w:sz w:val="20"/>
          <w:szCs w:val="20"/>
          <w:color w:val="FF0000"/>
          <w:strike w:val="1"/>
        </w:rPr>
      </w:pPr>
      <w:r>
        <w:rPr>
          <w:rFonts w:ascii="Arial" w:cs="Arial" w:eastAsia="Arial" w:hAnsi="Arial"/>
          <w:sz w:val="20"/>
          <w:szCs w:val="20"/>
          <w:u w:val="single" w:color="auto"/>
          <w:color w:val="0000FF"/>
        </w:rPr>
        <w:t>(i)</w:t>
      </w:r>
      <w:r>
        <w:rPr>
          <w:rFonts w:ascii="Arial" w:cs="Arial" w:eastAsia="Arial" w:hAnsi="Arial"/>
          <w:sz w:val="20"/>
          <w:szCs w:val="20"/>
          <w:color w:val="0000FF"/>
        </w:rPr>
        <w:t xml:space="preserve"> </w:t>
      </w:r>
      <w:r>
        <w:rPr>
          <w:rFonts w:ascii="Arial" w:cs="Arial" w:eastAsia="Arial" w:hAnsi="Arial"/>
          <w:sz w:val="20"/>
          <w:szCs w:val="20"/>
          <w:color w:val="000000"/>
        </w:rPr>
        <w:t>impose, modify or deem applicable any reserve, special deposit, compulsory loan, insurance charge or similar</w:t>
      </w:r>
      <w:r>
        <w:rPr>
          <w:rFonts w:ascii="Arial" w:cs="Arial" w:eastAsia="Arial" w:hAnsi="Arial"/>
          <w:sz w:val="20"/>
          <w:szCs w:val="20"/>
          <w:color w:val="0000FF"/>
        </w:rPr>
        <w:t xml:space="preserve"> </w:t>
      </w:r>
      <w:r>
        <w:rPr>
          <w:rFonts w:ascii="Arial" w:cs="Arial" w:eastAsia="Arial" w:hAnsi="Arial"/>
          <w:sz w:val="20"/>
          <w:szCs w:val="20"/>
          <w:color w:val="000000"/>
        </w:rPr>
        <w:t xml:space="preserve">requirement against assets of, deposits with or for the account of, or credit extended or participated in by, any Lender (except </w:t>
      </w:r>
      <w:r>
        <w:rPr>
          <w:rFonts w:ascii="Arial" w:cs="Arial" w:eastAsia="Arial" w:hAnsi="Arial"/>
          <w:sz w:val="20"/>
          <w:szCs w:val="20"/>
          <w:color w:val="FF0000"/>
          <w:strike w:val="1"/>
        </w:rPr>
        <w:t>(A)</w:t>
      </w:r>
      <w:r>
        <w:rPr>
          <w:rFonts w:ascii="Arial" w:cs="Arial" w:eastAsia="Arial" w:hAnsi="Arial"/>
          <w:sz w:val="20"/>
          <w:szCs w:val="20"/>
          <w:color w:val="000000"/>
        </w:rPr>
        <w:t xml:space="preserve"> any reserve requirement reflected in the Fixed LIBOR Rate</w:t>
      </w:r>
      <w:r>
        <w:rPr>
          <w:rFonts w:ascii="Arial" w:cs="Arial" w:eastAsia="Arial" w:hAnsi="Arial"/>
          <w:sz w:val="20"/>
          <w:szCs w:val="20"/>
          <w:u w:val="single" w:color="auto"/>
          <w:color w:val="0000FF"/>
        </w:rPr>
        <w:t>)</w:t>
      </w:r>
      <w:r>
        <w:rPr>
          <w:rFonts w:ascii="Arial" w:cs="Arial" w:eastAsia="Arial" w:hAnsi="Arial"/>
          <w:sz w:val="20"/>
          <w:szCs w:val="20"/>
          <w:color w:val="000000"/>
        </w:rPr>
        <w:t xml:space="preserve"> or </w:t>
      </w:r>
      <w:r>
        <w:rPr>
          <w:rFonts w:ascii="Arial" w:cs="Arial" w:eastAsia="Arial" w:hAnsi="Arial"/>
          <w:sz w:val="20"/>
          <w:szCs w:val="20"/>
          <w:color w:val="FF0000"/>
          <w:strike w:val="1"/>
        </w:rPr>
        <w:t>contemplated by</w:t>
      </w:r>
      <w:r>
        <w:rPr>
          <w:rFonts w:ascii="Arial" w:cs="Arial" w:eastAsia="Arial" w:hAnsi="Arial"/>
          <w:sz w:val="20"/>
          <w:szCs w:val="20"/>
          <w:color w:val="000000"/>
        </w:rPr>
        <w:t xml:space="preserve"> </w:t>
      </w:r>
      <w:r>
        <w:rPr>
          <w:rFonts w:ascii="Arial" w:cs="Arial" w:eastAsia="Arial" w:hAnsi="Arial"/>
          <w:sz w:val="20"/>
          <w:szCs w:val="20"/>
          <w:u w:val="single" w:color="auto"/>
          <w:color w:val="FF0000"/>
          <w:strike w:val="1"/>
        </w:rPr>
        <w:t>Section 3.04(e)</w:t>
      </w:r>
      <w:r>
        <w:rPr>
          <w:rFonts w:ascii="Arial" w:cs="Arial" w:eastAsia="Arial" w:hAnsi="Arial"/>
          <w:sz w:val="20"/>
          <w:szCs w:val="20"/>
          <w:color w:val="000000"/>
        </w:rPr>
        <w:t xml:space="preserve"> </w:t>
      </w:r>
      <w:r>
        <w:rPr>
          <w:rFonts w:ascii="Arial" w:cs="Arial" w:eastAsia="Arial" w:hAnsi="Arial"/>
          <w:sz w:val="20"/>
          <w:szCs w:val="20"/>
          <w:color w:val="FF0000"/>
          <w:strike w:val="1"/>
        </w:rPr>
        <w:t>hereof) and (B) the requirements of the</w:t>
      </w:r>
      <w:r>
        <w:rPr>
          <w:rFonts w:ascii="Arial" w:cs="Arial" w:eastAsia="Arial" w:hAnsi="Arial"/>
          <w:sz w:val="20"/>
          <w:szCs w:val="20"/>
          <w:color w:val="000000"/>
        </w:rPr>
        <w:t xml:space="preserve"> </w:t>
      </w:r>
      <w:r>
        <w:rPr>
          <w:rFonts w:ascii="Arial" w:cs="Arial" w:eastAsia="Arial" w:hAnsi="Arial"/>
          <w:sz w:val="20"/>
          <w:szCs w:val="20"/>
          <w:color w:val="FF0000"/>
          <w:strike w:val="1"/>
        </w:rPr>
        <w:t xml:space="preserve">Bank of England and the Financial Services Authority or the European Central Bank reflected in the Mandatory Cost, other than as set forth below) or an </w:t>
      </w:r>
      <w:r>
        <w:rPr>
          <w:rFonts w:ascii="Arial" w:cs="Arial" w:eastAsia="Arial" w:hAnsi="Arial"/>
          <w:sz w:val="20"/>
          <w:szCs w:val="20"/>
          <w:u w:val="single" w:color="auto"/>
          <w:color w:val="0000FF"/>
          <w:strike w:val="1"/>
        </w:rPr>
        <w:t>the</w:t>
      </w:r>
      <w:r>
        <w:rPr>
          <w:rFonts w:ascii="Arial" w:cs="Arial" w:eastAsia="Arial" w:hAnsi="Arial"/>
          <w:sz w:val="20"/>
          <w:szCs w:val="20"/>
          <w:color w:val="FF0000"/>
          <w:strike w:val="1"/>
        </w:rPr>
        <w:t xml:space="preserve"> </w:t>
      </w:r>
      <w:r>
        <w:rPr>
          <w:rFonts w:ascii="Arial" w:cs="Arial" w:eastAsia="Arial" w:hAnsi="Arial"/>
          <w:sz w:val="20"/>
          <w:szCs w:val="20"/>
          <w:color w:val="000000"/>
          <w:strike w:val="1"/>
        </w:rPr>
        <w:t>L/C Issuer;</w:t>
      </w:r>
    </w:p>
    <w:p>
      <w:pPr>
        <w:spacing w:after="0" w:line="208" w:lineRule="exact"/>
        <w:rPr>
          <w:rFonts w:ascii="Arial" w:cs="Arial" w:eastAsia="Arial" w:hAnsi="Arial"/>
          <w:sz w:val="20"/>
          <w:szCs w:val="20"/>
          <w:color w:val="FF0000"/>
          <w:strike w:val="1"/>
        </w:rPr>
      </w:pPr>
    </w:p>
    <w:p>
      <w:pPr>
        <w:ind w:left="660" w:right="20" w:firstLine="645"/>
        <w:spacing w:after="0" w:line="272" w:lineRule="auto"/>
        <w:tabs>
          <w:tab w:leader="none" w:pos="1748" w:val="left"/>
        </w:tabs>
        <w:numPr>
          <w:ilvl w:val="1"/>
          <w:numId w:val="175"/>
        </w:numPr>
        <w:rPr>
          <w:rFonts w:ascii="Arial" w:cs="Arial" w:eastAsia="Arial" w:hAnsi="Arial"/>
          <w:sz w:val="18"/>
          <w:szCs w:val="18"/>
          <w:color w:val="FF0000"/>
          <w:strike w:val="1"/>
        </w:rPr>
      </w:pPr>
      <w:r>
        <w:rPr>
          <w:rFonts w:ascii="Arial" w:cs="Arial" w:eastAsia="Arial" w:hAnsi="Arial"/>
          <w:sz w:val="18"/>
          <w:szCs w:val="18"/>
          <w:color w:val="FF0000"/>
          <w:strike w:val="1"/>
        </w:rPr>
        <w:t xml:space="preserve">subject any Lender or L/C Issuer to any tax of any kind whatsoever with respect to this Credit Agreement, any Letter of Credit, any participation in a Letter of Credit or any Fixed LIBOR Rate Loan made by it, or change the basis of taxation of payments to such Lender or L/C Issuer in respect thereof (except for Indemnified Taxes or Other Taxes covered by </w:t>
      </w:r>
      <w:r>
        <w:rPr>
          <w:rFonts w:ascii="Arial" w:cs="Arial" w:eastAsia="Arial" w:hAnsi="Arial"/>
          <w:sz w:val="18"/>
          <w:szCs w:val="18"/>
          <w:u w:val="single" w:color="auto"/>
          <w:color w:val="FF0000"/>
          <w:strike w:val="1"/>
        </w:rPr>
        <w:t>Section 3.01</w:t>
      </w:r>
      <w:r>
        <w:rPr>
          <w:rFonts w:ascii="Arial" w:cs="Arial" w:eastAsia="Arial" w:hAnsi="Arial"/>
          <w:sz w:val="18"/>
          <w:szCs w:val="18"/>
          <w:color w:val="FF0000"/>
          <w:strike w:val="1"/>
        </w:rPr>
        <w:t xml:space="preserve"> and the imposition</w:t>
      </w:r>
    </w:p>
    <w:p>
      <w:pPr>
        <w:spacing w:after="0" w:line="1" w:lineRule="exact"/>
        <w:rPr>
          <w:sz w:val="20"/>
          <w:szCs w:val="20"/>
          <w:color w:val="auto"/>
        </w:rPr>
      </w:pPr>
    </w:p>
    <w:p>
      <w:pPr>
        <w:ind w:left="660" w:right="460"/>
        <w:spacing w:after="0" w:line="244" w:lineRule="auto"/>
        <w:rPr>
          <w:sz w:val="20"/>
          <w:szCs w:val="20"/>
          <w:color w:val="auto"/>
        </w:rPr>
      </w:pPr>
      <w:r>
        <w:rPr>
          <w:rFonts w:ascii="Arial" w:cs="Arial" w:eastAsia="Arial" w:hAnsi="Arial"/>
          <w:sz w:val="20"/>
          <w:szCs w:val="20"/>
          <w:color w:val="FF0000"/>
          <w:strike w:val="1"/>
        </w:rPr>
        <w:t>of, or any change in the rate of, any Excluded Tax payable by such Lender or L/C Issuer);</w:t>
      </w:r>
      <w:r>
        <w:rPr>
          <w:rFonts w:ascii="Arial" w:cs="Arial" w:eastAsia="Arial" w:hAnsi="Arial"/>
          <w:sz w:val="20"/>
          <w:szCs w:val="20"/>
          <w:u w:val="single" w:color="auto"/>
          <w:color w:val="0000FF"/>
          <w:strike w:val="1"/>
        </w:rPr>
        <w:t>(ii) subject any Recipient to any Taxes</w:t>
      </w:r>
      <w:r>
        <w:rPr>
          <w:rFonts w:ascii="Arial" w:cs="Arial" w:eastAsia="Arial" w:hAnsi="Arial"/>
          <w:sz w:val="20"/>
          <w:szCs w:val="20"/>
          <w:color w:val="FF0000"/>
          <w:strike w:val="1"/>
        </w:rPr>
        <w:t xml:space="preserve"> </w:t>
      </w:r>
      <w:r>
        <w:rPr>
          <w:rFonts w:ascii="Arial" w:cs="Arial" w:eastAsia="Arial" w:hAnsi="Arial"/>
          <w:sz w:val="20"/>
          <w:szCs w:val="20"/>
          <w:u w:val="single" w:color="auto"/>
          <w:color w:val="0000FF"/>
          <w:strike w:val="1"/>
        </w:rPr>
        <w:t>(other than (A) Indemnified Taxes, (B) Taxes</w:t>
      </w:r>
    </w:p>
    <w:p>
      <w:pPr>
        <w:spacing w:after="0" w:line="21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125</w:t>
      </w:r>
    </w:p>
    <w:p>
      <w:pPr>
        <w:spacing w:after="0" w:line="10" w:lineRule="exact"/>
        <w:rPr>
          <w:sz w:val="20"/>
          <w:szCs w:val="20"/>
          <w:color w:val="auto"/>
        </w:rPr>
      </w:pPr>
    </w:p>
    <w:p>
      <w:pPr>
        <w:spacing w:after="0"/>
        <w:rPr>
          <w:sz w:val="20"/>
          <w:szCs w:val="20"/>
          <w:color w:val="auto"/>
        </w:rPr>
      </w:pPr>
      <w:r>
        <w:rPr>
          <w:rFonts w:ascii="Arial" w:cs="Arial" w:eastAsia="Arial" w:hAnsi="Arial"/>
          <w:sz w:val="14"/>
          <w:szCs w:val="14"/>
          <w:color w:val="auto"/>
        </w:rPr>
        <w:t>CHAR1\1346423v</w:t>
      </w:r>
      <w:r>
        <w:rPr>
          <w:rFonts w:ascii="Arial" w:cs="Arial" w:eastAsia="Arial" w:hAnsi="Arial"/>
          <w:sz w:val="14"/>
          <w:szCs w:val="14"/>
          <w:color w:val="FF0000"/>
          <w:strike w:val="1"/>
        </w:rPr>
        <w:t>1</w:t>
      </w:r>
      <w:r>
        <w:rPr>
          <w:rFonts w:ascii="Arial" w:cs="Arial" w:eastAsia="Arial" w:hAnsi="Arial"/>
          <w:sz w:val="14"/>
          <w:szCs w:val="14"/>
          <w:u w:val="single" w:color="auto"/>
          <w:color w:val="0000FF"/>
        </w:rPr>
        <w:t>12</w:t>
      </w:r>
    </w:p>
    <w:p>
      <w:pPr>
        <w:sectPr>
          <w:pgSz w:w="11900" w:h="16838" w:orient="portrait"/>
          <w:cols w:equalWidth="0" w:num="1">
            <w:col w:w="11420"/>
          </w:cols>
          <w:pgMar w:left="240" w:top="582" w:right="239" w:bottom="1440" w:gutter="0" w:footer="0" w:header="0"/>
        </w:sectPr>
      </w:pPr>
    </w:p>
    <w:bookmarkStart w:id="177" w:name="page178"/>
    <w:bookmarkEnd w:id="177"/>
    <w:p>
      <w:pPr>
        <w:ind w:left="660" w:right="60"/>
        <w:spacing w:after="0" w:line="281" w:lineRule="auto"/>
        <w:rPr>
          <w:sz w:val="20"/>
          <w:szCs w:val="20"/>
          <w:color w:val="auto"/>
        </w:rPr>
      </w:pPr>
      <w:r>
        <w:rPr>
          <w:rFonts w:ascii="Arial" w:cs="Arial" w:eastAsia="Arial" w:hAnsi="Arial"/>
          <w:sz w:val="18"/>
          <w:szCs w:val="18"/>
          <w:u w:val="single" w:color="auto"/>
          <w:color w:val="0000FF"/>
        </w:rPr>
        <w:t>described in clauses (b) through (d) of the definition of Excluded Taxes and (C) Connection Income Taxes) on its loans, loan principal, letters of credit, commitments, or other obligations, or its deposits, reserves, other liabilities or capital attributable thereto; or</w:t>
      </w:r>
    </w:p>
    <w:p>
      <w:pPr>
        <w:spacing w:after="0" w:line="2" w:lineRule="exact"/>
        <w:rPr>
          <w:sz w:val="20"/>
          <w:szCs w:val="20"/>
          <w:color w:val="auto"/>
        </w:rPr>
      </w:pPr>
    </w:p>
    <w:p>
      <w:pPr>
        <w:ind w:left="1300" w:firstLine="653"/>
        <w:spacing w:after="0" w:line="292" w:lineRule="auto"/>
        <w:tabs>
          <w:tab w:leader="none" w:pos="2443" w:val="left"/>
        </w:tabs>
        <w:numPr>
          <w:ilvl w:val="1"/>
          <w:numId w:val="176"/>
        </w:numPr>
        <w:rPr>
          <w:rFonts w:ascii="Arial" w:cs="Arial" w:eastAsia="Arial" w:hAnsi="Arial"/>
          <w:sz w:val="20"/>
          <w:szCs w:val="20"/>
          <w:color w:val="FF0000"/>
          <w:strike w:val="1"/>
        </w:rPr>
      </w:pPr>
      <w:r>
        <w:rPr>
          <w:rFonts w:ascii="Arial" w:cs="Arial" w:eastAsia="Arial" w:hAnsi="Arial"/>
          <w:sz w:val="20"/>
          <w:szCs w:val="20"/>
          <w:color w:val="FF0000"/>
          <w:strike w:val="1"/>
        </w:rPr>
        <w:t>result in a failure of the Mandatory Cost, as calculated hereunder, to represent the cost to any Lender of complying with the requirements of the Bank of England and/or the Financial Services Authority or the European Central Bank in relation to its making, funding or maintaining Fixed LIBOR Rate Loans; or</w:t>
      </w:r>
    </w:p>
    <w:p>
      <w:pPr>
        <w:spacing w:after="0" w:line="200" w:lineRule="exact"/>
        <w:rPr>
          <w:rFonts w:ascii="Arial" w:cs="Arial" w:eastAsia="Arial" w:hAnsi="Arial"/>
          <w:sz w:val="20"/>
          <w:szCs w:val="20"/>
          <w:color w:val="FF0000"/>
          <w:strike w:val="1"/>
        </w:rPr>
      </w:pPr>
    </w:p>
    <w:p>
      <w:pPr>
        <w:spacing w:after="0" w:line="200" w:lineRule="exact"/>
        <w:rPr>
          <w:rFonts w:ascii="Arial" w:cs="Arial" w:eastAsia="Arial" w:hAnsi="Arial"/>
          <w:sz w:val="20"/>
          <w:szCs w:val="20"/>
          <w:color w:val="FF0000"/>
          <w:strike w:val="1"/>
        </w:rPr>
      </w:pPr>
    </w:p>
    <w:p>
      <w:pPr>
        <w:spacing w:after="0" w:line="205" w:lineRule="exact"/>
        <w:rPr>
          <w:rFonts w:ascii="Arial" w:cs="Arial" w:eastAsia="Arial" w:hAnsi="Arial"/>
          <w:sz w:val="20"/>
          <w:szCs w:val="20"/>
          <w:color w:val="FF0000"/>
          <w:strike w:val="1"/>
        </w:rPr>
      </w:pPr>
    </w:p>
    <w:p>
      <w:pPr>
        <w:ind w:left="660" w:firstLine="645"/>
        <w:spacing w:after="0" w:line="316" w:lineRule="auto"/>
        <w:tabs>
          <w:tab w:leader="none" w:pos="1643" w:val="left"/>
        </w:tabs>
        <w:numPr>
          <w:ilvl w:val="0"/>
          <w:numId w:val="177"/>
        </w:numPr>
        <w:rPr>
          <w:rFonts w:ascii="Arial" w:cs="Arial" w:eastAsia="Arial" w:hAnsi="Arial"/>
          <w:sz w:val="18"/>
          <w:szCs w:val="18"/>
          <w:color w:val="FF0000"/>
          <w:strike w:val="1"/>
        </w:rPr>
      </w:pPr>
      <w:r>
        <w:rPr>
          <w:rFonts w:ascii="Arial" w:cs="Arial" w:eastAsia="Arial" w:hAnsi="Arial"/>
          <w:sz w:val="18"/>
          <w:szCs w:val="18"/>
          <w:u w:val="single" w:color="auto"/>
          <w:color w:val="0000FF"/>
        </w:rPr>
        <w:t>(iii)</w:t>
      </w:r>
      <w:r>
        <w:rPr>
          <w:rFonts w:ascii="Arial" w:cs="Arial" w:eastAsia="Arial" w:hAnsi="Arial"/>
          <w:sz w:val="18"/>
          <w:szCs w:val="18"/>
          <w:color w:val="0000FF"/>
        </w:rPr>
        <w:t xml:space="preserve"> </w:t>
      </w:r>
      <w:r>
        <w:rPr>
          <w:rFonts w:ascii="Arial" w:cs="Arial" w:eastAsia="Arial" w:hAnsi="Arial"/>
          <w:sz w:val="18"/>
          <w:szCs w:val="18"/>
          <w:color w:val="000000"/>
        </w:rPr>
        <w:t>impose on any Lender or L/C Issuer or the London interbank market any other condition, cost or expense affecting this</w:t>
      </w:r>
      <w:r>
        <w:rPr>
          <w:rFonts w:ascii="Arial" w:cs="Arial" w:eastAsia="Arial" w:hAnsi="Arial"/>
          <w:sz w:val="18"/>
          <w:szCs w:val="18"/>
          <w:color w:val="0000FF"/>
        </w:rPr>
        <w:t xml:space="preserve"> </w:t>
      </w:r>
      <w:r>
        <w:rPr>
          <w:rFonts w:ascii="Arial" w:cs="Arial" w:eastAsia="Arial" w:hAnsi="Arial"/>
          <w:sz w:val="18"/>
          <w:szCs w:val="18"/>
          <w:color w:val="FF0000"/>
          <w:strike w:val="1"/>
        </w:rPr>
        <w:t>Credit</w:t>
      </w:r>
      <w:r>
        <w:rPr>
          <w:rFonts w:ascii="Arial" w:cs="Arial" w:eastAsia="Arial" w:hAnsi="Arial"/>
          <w:sz w:val="18"/>
          <w:szCs w:val="18"/>
          <w:color w:val="FF0000"/>
        </w:rPr>
        <w:t xml:space="preserve"> </w:t>
      </w:r>
      <w:r>
        <w:rPr>
          <w:rFonts w:ascii="Arial" w:cs="Arial" w:eastAsia="Arial" w:hAnsi="Arial"/>
          <w:sz w:val="18"/>
          <w:szCs w:val="18"/>
          <w:color w:val="000000"/>
        </w:rPr>
        <w:t>Agreement or Fixed LIBOR Rate Loans made by such Lender or any Letter of Credit or participation therein;</w:t>
      </w:r>
    </w:p>
    <w:p>
      <w:pPr>
        <w:spacing w:after="0" w:line="360" w:lineRule="exact"/>
        <w:rPr>
          <w:sz w:val="20"/>
          <w:szCs w:val="20"/>
          <w:color w:val="auto"/>
        </w:rPr>
      </w:pPr>
    </w:p>
    <w:p>
      <w:pPr>
        <w:spacing w:after="0" w:line="274" w:lineRule="auto"/>
        <w:rPr>
          <w:sz w:val="20"/>
          <w:szCs w:val="20"/>
          <w:color w:val="auto"/>
        </w:rPr>
      </w:pPr>
      <w:r>
        <w:rPr>
          <w:rFonts w:ascii="Arial" w:cs="Arial" w:eastAsia="Arial" w:hAnsi="Arial"/>
          <w:sz w:val="18"/>
          <w:szCs w:val="18"/>
          <w:color w:val="auto"/>
        </w:rPr>
        <w:t>and the result of any of the foregoing shall be to increase the cost to such Lender of making</w:t>
      </w:r>
      <w:r>
        <w:rPr>
          <w:rFonts w:ascii="Arial" w:cs="Arial" w:eastAsia="Arial" w:hAnsi="Arial"/>
          <w:sz w:val="18"/>
          <w:szCs w:val="18"/>
          <w:u w:val="single" w:color="auto"/>
          <w:color w:val="0000FF"/>
        </w:rPr>
        <w:t>, converting to, continuing</w:t>
      </w:r>
      <w:r>
        <w:rPr>
          <w:rFonts w:ascii="Arial" w:cs="Arial" w:eastAsia="Arial" w:hAnsi="Arial"/>
          <w:sz w:val="18"/>
          <w:szCs w:val="18"/>
          <w:color w:val="auto"/>
        </w:rPr>
        <w:t xml:space="preserve"> or maintaining any Loan</w:t>
      </w:r>
      <w:r>
        <w:rPr>
          <w:rFonts w:ascii="Arial" w:cs="Arial" w:eastAsia="Arial" w:hAnsi="Arial"/>
          <w:sz w:val="18"/>
          <w:szCs w:val="18"/>
          <w:color w:val="FF0000"/>
          <w:strike w:val="1"/>
        </w:rPr>
        <w:t>,</w:t>
      </w:r>
      <w:r>
        <w:rPr>
          <w:rFonts w:ascii="Arial" w:cs="Arial" w:eastAsia="Arial" w:hAnsi="Arial"/>
          <w:sz w:val="18"/>
          <w:szCs w:val="18"/>
          <w:color w:val="auto"/>
        </w:rPr>
        <w:t xml:space="preserve"> the interest on which is determined by reference to the Fixed LIBOR Rate (or of maintaining its obligation to make any such Loan), or to increase the cost to such Lender or L/C Issuer of participating in, issuing or maintaining any Letter of Credit (or of maintaining its obligation to participate in or to issue any Letter of Credit), or to reduce the amount of any sum received or receivable by such Lender or L/C Issuer hereunder (whether of principal, interest or any other amount) then, upon request of such Lender or L/C Issuer, the </w:t>
      </w:r>
      <w:r>
        <w:rPr>
          <w:rFonts w:ascii="Arial" w:cs="Arial" w:eastAsia="Arial" w:hAnsi="Arial"/>
          <w:sz w:val="18"/>
          <w:szCs w:val="18"/>
          <w:color w:val="FF0000"/>
          <w:strike w:val="1"/>
        </w:rPr>
        <w:t>applicable</w:t>
      </w:r>
      <w:r>
        <w:rPr>
          <w:rFonts w:ascii="Arial" w:cs="Arial" w:eastAsia="Arial" w:hAnsi="Arial"/>
          <w:sz w:val="18"/>
          <w:szCs w:val="18"/>
          <w:color w:val="auto"/>
        </w:rPr>
        <w:t xml:space="preserve"> Borrower will pay</w:t>
      </w:r>
      <w:r>
        <w:rPr>
          <w:rFonts w:ascii="Arial" w:cs="Arial" w:eastAsia="Arial" w:hAnsi="Arial"/>
          <w:sz w:val="18"/>
          <w:szCs w:val="18"/>
          <w:color w:val="FF0000"/>
          <w:strike w:val="1"/>
        </w:rPr>
        <w:t>,</w:t>
      </w:r>
      <w:r>
        <w:rPr>
          <w:rFonts w:ascii="Arial" w:cs="Arial" w:eastAsia="Arial" w:hAnsi="Arial"/>
          <w:sz w:val="18"/>
          <w:szCs w:val="18"/>
          <w:color w:val="auto"/>
        </w:rPr>
        <w:t xml:space="preserve"> </w:t>
      </w:r>
      <w:r>
        <w:rPr>
          <w:rFonts w:ascii="Arial" w:cs="Arial" w:eastAsia="Arial" w:hAnsi="Arial"/>
          <w:sz w:val="18"/>
          <w:szCs w:val="18"/>
          <w:u w:val="single" w:color="auto"/>
          <w:color w:val="0000FF"/>
        </w:rPr>
        <w:t>(</w:t>
      </w:r>
      <w:r>
        <w:rPr>
          <w:rFonts w:ascii="Arial" w:cs="Arial" w:eastAsia="Arial" w:hAnsi="Arial"/>
          <w:sz w:val="18"/>
          <w:szCs w:val="18"/>
          <w:color w:val="auto"/>
        </w:rPr>
        <w:t xml:space="preserve">or cause </w:t>
      </w:r>
      <w:r>
        <w:rPr>
          <w:rFonts w:ascii="Arial" w:cs="Arial" w:eastAsia="Arial" w:hAnsi="Arial"/>
          <w:sz w:val="18"/>
          <w:szCs w:val="18"/>
          <w:color w:val="FF0000"/>
          <w:strike w:val="1"/>
        </w:rPr>
        <w:t>to be paid,</w:t>
      </w:r>
      <w:r>
        <w:rPr>
          <w:rFonts w:ascii="Arial" w:cs="Arial" w:eastAsia="Arial" w:hAnsi="Arial"/>
          <w:sz w:val="18"/>
          <w:szCs w:val="18"/>
          <w:u w:val="single" w:color="auto"/>
          <w:color w:val="0000FF"/>
        </w:rPr>
        <w:t>the applicable Designated Borrower to pay)</w:t>
      </w:r>
      <w:r>
        <w:rPr>
          <w:rFonts w:ascii="Arial" w:cs="Arial" w:eastAsia="Arial" w:hAnsi="Arial"/>
          <w:sz w:val="18"/>
          <w:szCs w:val="18"/>
          <w:color w:val="auto"/>
        </w:rPr>
        <w:t xml:space="preserve"> to such Lender or L/C Issuer, as the case may be, such additional amount or amounts as will compensate such Lender or L/C Issuer, as the case may be, for such additional costs incurred or reduction suffered.</w:t>
      </w:r>
    </w:p>
    <w:p>
      <w:pPr>
        <w:spacing w:after="0" w:line="196" w:lineRule="exact"/>
        <w:rPr>
          <w:sz w:val="20"/>
          <w:szCs w:val="20"/>
          <w:color w:val="auto"/>
        </w:rPr>
      </w:pPr>
    </w:p>
    <w:p>
      <w:pPr>
        <w:ind w:left="1060" w:hanging="404"/>
        <w:spacing w:after="0"/>
        <w:tabs>
          <w:tab w:leader="none" w:pos="1060" w:val="left"/>
        </w:tabs>
        <w:numPr>
          <w:ilvl w:val="0"/>
          <w:numId w:val="178"/>
        </w:numPr>
        <w:rPr>
          <w:rFonts w:ascii="Arial" w:cs="Arial" w:eastAsia="Arial" w:hAnsi="Arial"/>
          <w:sz w:val="18"/>
          <w:szCs w:val="18"/>
          <w:color w:val="auto"/>
        </w:rPr>
      </w:pPr>
      <w:r>
        <w:rPr>
          <w:rFonts w:ascii="Arial" w:cs="Arial" w:eastAsia="Arial" w:hAnsi="Arial"/>
          <w:sz w:val="18"/>
          <w:szCs w:val="18"/>
          <w:u w:val="single" w:color="auto"/>
          <w:color w:val="auto"/>
        </w:rPr>
        <w:t>Capital Requirements</w:t>
      </w:r>
      <w:r>
        <w:rPr>
          <w:rFonts w:ascii="Arial" w:cs="Arial" w:eastAsia="Arial" w:hAnsi="Arial"/>
          <w:sz w:val="18"/>
          <w:szCs w:val="18"/>
          <w:color w:val="auto"/>
        </w:rPr>
        <w:t>. If any Lender or L/C Issuer determines that any Change in Law affecting such Lender or L/C Issuer or any</w:t>
      </w:r>
    </w:p>
    <w:p>
      <w:pPr>
        <w:spacing w:after="0" w:line="76" w:lineRule="exact"/>
        <w:rPr>
          <w:rFonts w:ascii="Arial" w:cs="Arial" w:eastAsia="Arial" w:hAnsi="Arial"/>
          <w:sz w:val="18"/>
          <w:szCs w:val="18"/>
          <w:color w:val="auto"/>
        </w:rPr>
      </w:pPr>
    </w:p>
    <w:p>
      <w:pPr>
        <w:ind w:right="100"/>
        <w:spacing w:after="0" w:line="319" w:lineRule="auto"/>
        <w:rPr>
          <w:rFonts w:ascii="Arial" w:cs="Arial" w:eastAsia="Arial" w:hAnsi="Arial"/>
          <w:sz w:val="18"/>
          <w:szCs w:val="18"/>
          <w:color w:val="auto"/>
        </w:rPr>
      </w:pPr>
      <w:r>
        <w:rPr>
          <w:rFonts w:ascii="Arial" w:cs="Arial" w:eastAsia="Arial" w:hAnsi="Arial"/>
          <w:sz w:val="18"/>
          <w:szCs w:val="18"/>
          <w:color w:val="auto"/>
        </w:rPr>
        <w:t xml:space="preserve">Lending Office of such Lender or such Lender’s or L/C Issuer’s holding company, if any, regarding capital </w:t>
      </w:r>
      <w:r>
        <w:rPr>
          <w:rFonts w:ascii="Arial" w:cs="Arial" w:eastAsia="Arial" w:hAnsi="Arial"/>
          <w:sz w:val="18"/>
          <w:szCs w:val="18"/>
          <w:u w:val="single" w:color="auto"/>
          <w:color w:val="0000FF"/>
        </w:rPr>
        <w:t>or liquidity</w:t>
      </w:r>
      <w:r>
        <w:rPr>
          <w:rFonts w:ascii="Arial" w:cs="Arial" w:eastAsia="Arial" w:hAnsi="Arial"/>
          <w:sz w:val="18"/>
          <w:szCs w:val="18"/>
          <w:color w:val="auto"/>
        </w:rPr>
        <w:t xml:space="preserve"> requirements has or would have the effect of reducing the rate of return on such Lender’s or L/C Issuer’s capital or on the capital of such Lender’s or L/C Issuer’s holding company, if any, as a consequence of this Credit Agreement, the Commitments of such Lender or the Loans made by, or participations in Letters of Credit </w:t>
      </w:r>
      <w:r>
        <w:rPr>
          <w:rFonts w:ascii="Arial" w:cs="Arial" w:eastAsia="Arial" w:hAnsi="Arial"/>
          <w:sz w:val="18"/>
          <w:szCs w:val="18"/>
          <w:u w:val="single" w:color="auto"/>
          <w:color w:val="0000FF"/>
        </w:rPr>
        <w:t>or Swingline Loans</w:t>
      </w:r>
      <w:r>
        <w:rPr>
          <w:rFonts w:ascii="Arial" w:cs="Arial" w:eastAsia="Arial" w:hAnsi="Arial"/>
          <w:sz w:val="18"/>
          <w:szCs w:val="18"/>
          <w:color w:val="auto"/>
        </w:rPr>
        <w:t xml:space="preserve"> held by, such Lender, or the Letters of Credit issued by L/C Issuer, to a level below that which such Lender or L/C Issuer or such Lender’s or L/C Issuer’s holding company could have achieved but for such Change in Law (taking into consideration such Lender’s or L/C Issuer’s policies and the policies of such Lender’s or L/C Issuer’s holding company with respect to capital adequacy), then from time to time upon request of such Lender or L/C Issuer, the applicable Borrower will pay </w:t>
      </w:r>
      <w:r>
        <w:rPr>
          <w:rFonts w:ascii="Arial" w:cs="Arial" w:eastAsia="Arial" w:hAnsi="Arial"/>
          <w:sz w:val="18"/>
          <w:szCs w:val="18"/>
          <w:u w:val="single" w:color="auto"/>
          <w:color w:val="0000FF"/>
        </w:rPr>
        <w:t>(or cause the applicable</w:t>
      </w:r>
      <w:r>
        <w:rPr>
          <w:rFonts w:ascii="Arial" w:cs="Arial" w:eastAsia="Arial" w:hAnsi="Arial"/>
          <w:sz w:val="18"/>
          <w:szCs w:val="18"/>
          <w:color w:val="auto"/>
        </w:rPr>
        <w:t xml:space="preserve"> </w:t>
      </w:r>
      <w:r>
        <w:rPr>
          <w:rFonts w:ascii="Arial" w:cs="Arial" w:eastAsia="Arial" w:hAnsi="Arial"/>
          <w:sz w:val="18"/>
          <w:szCs w:val="18"/>
          <w:u w:val="single" w:color="auto"/>
          <w:color w:val="0000FF"/>
        </w:rPr>
        <w:t>Designated Borrower to pay)</w:t>
      </w:r>
      <w:r>
        <w:rPr>
          <w:rFonts w:ascii="Arial" w:cs="Arial" w:eastAsia="Arial" w:hAnsi="Arial"/>
          <w:sz w:val="18"/>
          <w:szCs w:val="18"/>
          <w:color w:val="0000FF"/>
        </w:rPr>
        <w:t xml:space="preserve"> </w:t>
      </w:r>
      <w:r>
        <w:rPr>
          <w:rFonts w:ascii="Arial" w:cs="Arial" w:eastAsia="Arial" w:hAnsi="Arial"/>
          <w:sz w:val="18"/>
          <w:szCs w:val="18"/>
          <w:color w:val="000000"/>
        </w:rPr>
        <w:t>to such Lender or L/C Issuer, as the case may be, such additional amount or amounts as will compensate such</w:t>
      </w:r>
      <w:r>
        <w:rPr>
          <w:rFonts w:ascii="Arial" w:cs="Arial" w:eastAsia="Arial" w:hAnsi="Arial"/>
          <w:sz w:val="18"/>
          <w:szCs w:val="18"/>
          <w:color w:val="0000FF"/>
        </w:rPr>
        <w:t xml:space="preserve"> </w:t>
      </w:r>
      <w:r>
        <w:rPr>
          <w:rFonts w:ascii="Arial" w:cs="Arial" w:eastAsia="Arial" w:hAnsi="Arial"/>
          <w:sz w:val="18"/>
          <w:szCs w:val="18"/>
          <w:color w:val="000000"/>
        </w:rPr>
        <w:t>Lender or L/C Issuer or such Lender’s or L/C Issuer’s holding company for any such reduction suffered.</w:t>
      </w:r>
    </w:p>
    <w:p>
      <w:pPr>
        <w:spacing w:after="0" w:line="170" w:lineRule="exact"/>
        <w:rPr>
          <w:rFonts w:ascii="Arial" w:cs="Arial" w:eastAsia="Arial" w:hAnsi="Arial"/>
          <w:sz w:val="18"/>
          <w:szCs w:val="18"/>
          <w:color w:val="auto"/>
        </w:rPr>
      </w:pPr>
    </w:p>
    <w:p>
      <w:pPr>
        <w:ind w:left="1060" w:hanging="404"/>
        <w:spacing w:after="0"/>
        <w:tabs>
          <w:tab w:leader="none" w:pos="1060" w:val="left"/>
        </w:tabs>
        <w:numPr>
          <w:ilvl w:val="0"/>
          <w:numId w:val="178"/>
        </w:numPr>
        <w:rPr>
          <w:rFonts w:ascii="Arial" w:cs="Arial" w:eastAsia="Arial" w:hAnsi="Arial"/>
          <w:sz w:val="18"/>
          <w:szCs w:val="18"/>
          <w:color w:val="auto"/>
        </w:rPr>
      </w:pPr>
      <w:r>
        <w:rPr>
          <w:rFonts w:ascii="Arial" w:cs="Arial" w:eastAsia="Arial" w:hAnsi="Arial"/>
          <w:sz w:val="18"/>
          <w:szCs w:val="18"/>
          <w:u w:val="single" w:color="auto"/>
          <w:color w:val="auto"/>
        </w:rPr>
        <w:t>Certificates for Reimbursement</w:t>
      </w:r>
      <w:r>
        <w:rPr>
          <w:rFonts w:ascii="Arial" w:cs="Arial" w:eastAsia="Arial" w:hAnsi="Arial"/>
          <w:sz w:val="18"/>
          <w:szCs w:val="18"/>
          <w:color w:val="auto"/>
        </w:rPr>
        <w:t>. A certificate of a Lender or L/C Issuer setting forth in reasonable detail (i) a description of the</w:t>
      </w:r>
    </w:p>
    <w:p>
      <w:pPr>
        <w:spacing w:after="0" w:line="76" w:lineRule="exact"/>
        <w:rPr>
          <w:rFonts w:ascii="Arial" w:cs="Arial" w:eastAsia="Arial" w:hAnsi="Arial"/>
          <w:sz w:val="18"/>
          <w:szCs w:val="18"/>
          <w:color w:val="auto"/>
        </w:rPr>
      </w:pPr>
    </w:p>
    <w:p>
      <w:pPr>
        <w:ind w:right="160"/>
        <w:spacing w:after="0" w:line="292" w:lineRule="auto"/>
        <w:rPr>
          <w:rFonts w:ascii="Arial" w:cs="Arial" w:eastAsia="Arial" w:hAnsi="Arial"/>
          <w:sz w:val="18"/>
          <w:szCs w:val="18"/>
          <w:color w:val="auto"/>
        </w:rPr>
      </w:pPr>
      <w:r>
        <w:rPr>
          <w:rFonts w:ascii="Arial" w:cs="Arial" w:eastAsia="Arial" w:hAnsi="Arial"/>
          <w:sz w:val="20"/>
          <w:szCs w:val="20"/>
          <w:color w:val="auto"/>
        </w:rPr>
        <w:t xml:space="preserve">Change in Law, (ii) the amount or amounts necessary to compensate such Lender or L/C Issuer or its holding company, as the case may be, as specified in </w:t>
      </w:r>
      <w:r>
        <w:rPr>
          <w:rFonts w:ascii="Arial" w:cs="Arial" w:eastAsia="Arial" w:hAnsi="Arial"/>
          <w:sz w:val="20"/>
          <w:szCs w:val="20"/>
          <w:u w:val="single" w:color="auto"/>
          <w:color w:val="auto"/>
        </w:rPr>
        <w:t>subsection (a)</w:t>
      </w:r>
      <w:r>
        <w:rPr>
          <w:rFonts w:ascii="Arial" w:cs="Arial" w:eastAsia="Arial" w:hAnsi="Arial"/>
          <w:sz w:val="20"/>
          <w:szCs w:val="20"/>
          <w:color w:val="auto"/>
        </w:rPr>
        <w:t xml:space="preserve"> or </w:t>
      </w:r>
      <w:r>
        <w:rPr>
          <w:rFonts w:ascii="Arial" w:cs="Arial" w:eastAsia="Arial" w:hAnsi="Arial"/>
          <w:sz w:val="20"/>
          <w:szCs w:val="20"/>
          <w:u w:val="single" w:color="auto"/>
          <w:color w:val="auto"/>
        </w:rPr>
        <w:t>(b)</w:t>
      </w:r>
      <w:r>
        <w:rPr>
          <w:rFonts w:ascii="Arial" w:cs="Arial" w:eastAsia="Arial" w:hAnsi="Arial"/>
          <w:sz w:val="20"/>
          <w:szCs w:val="20"/>
          <w:color w:val="auto"/>
        </w:rPr>
        <w:t xml:space="preserve"> of this Section and (iii) the calculation of such amount or amounts and delivered to the Borrowers shall be conclusive absent manifest error. Each Lender and L/C Issuer will calculate such</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126</w:t>
      </w:r>
    </w:p>
    <w:p>
      <w:pPr>
        <w:spacing w:after="0" w:line="10" w:lineRule="exact"/>
        <w:rPr>
          <w:sz w:val="20"/>
          <w:szCs w:val="20"/>
          <w:color w:val="auto"/>
        </w:rPr>
      </w:pPr>
    </w:p>
    <w:p>
      <w:pPr>
        <w:spacing w:after="0"/>
        <w:rPr>
          <w:sz w:val="20"/>
          <w:szCs w:val="20"/>
          <w:color w:val="auto"/>
        </w:rPr>
      </w:pPr>
      <w:r>
        <w:rPr>
          <w:rFonts w:ascii="Arial" w:cs="Arial" w:eastAsia="Arial" w:hAnsi="Arial"/>
          <w:sz w:val="14"/>
          <w:szCs w:val="14"/>
          <w:color w:val="auto"/>
        </w:rPr>
        <w:t>CHAR1\1346423v</w:t>
      </w:r>
      <w:r>
        <w:rPr>
          <w:rFonts w:ascii="Arial" w:cs="Arial" w:eastAsia="Arial" w:hAnsi="Arial"/>
          <w:sz w:val="14"/>
          <w:szCs w:val="14"/>
          <w:color w:val="FF0000"/>
          <w:strike w:val="1"/>
        </w:rPr>
        <w:t>1</w:t>
      </w:r>
      <w:r>
        <w:rPr>
          <w:rFonts w:ascii="Arial" w:cs="Arial" w:eastAsia="Arial" w:hAnsi="Arial"/>
          <w:sz w:val="14"/>
          <w:szCs w:val="14"/>
          <w:u w:val="single" w:color="auto"/>
          <w:color w:val="0000FF"/>
        </w:rPr>
        <w:t>12</w:t>
      </w:r>
    </w:p>
    <w:p>
      <w:pPr>
        <w:sectPr>
          <w:pgSz w:w="11900" w:h="16838" w:orient="portrait"/>
          <w:cols w:equalWidth="0" w:num="1">
            <w:col w:w="11400"/>
          </w:cols>
          <w:pgMar w:left="240" w:top="582" w:right="259" w:bottom="1440" w:gutter="0" w:footer="0" w:header="0"/>
        </w:sectPr>
      </w:pPr>
    </w:p>
    <w:bookmarkStart w:id="178" w:name="page179"/>
    <w:bookmarkEnd w:id="178"/>
    <w:p>
      <w:pPr>
        <w:ind w:right="320"/>
        <w:spacing w:after="0" w:line="303" w:lineRule="auto"/>
        <w:rPr>
          <w:sz w:val="20"/>
          <w:szCs w:val="20"/>
          <w:color w:val="auto"/>
        </w:rPr>
      </w:pPr>
      <w:r>
        <w:rPr>
          <w:rFonts w:ascii="Arial" w:cs="Arial" w:eastAsia="Arial" w:hAnsi="Arial"/>
          <w:sz w:val="20"/>
          <w:szCs w:val="20"/>
          <w:color w:val="auto"/>
        </w:rPr>
        <w:t>amount or amounts in good faith and in a commercially reasonable manner. The Borrowers shall pay such Lender or L/C Issuer, as the case may be, the amount shown as due on any such certificate within ten (10) days after receipt thereof.</w:t>
      </w:r>
    </w:p>
    <w:p>
      <w:pPr>
        <w:spacing w:after="0" w:line="176" w:lineRule="exact"/>
        <w:rPr>
          <w:sz w:val="20"/>
          <w:szCs w:val="20"/>
          <w:color w:val="auto"/>
        </w:rPr>
      </w:pPr>
    </w:p>
    <w:p>
      <w:pPr>
        <w:ind w:left="1060" w:hanging="404"/>
        <w:spacing w:after="0"/>
        <w:tabs>
          <w:tab w:leader="none" w:pos="1060" w:val="left"/>
        </w:tabs>
        <w:numPr>
          <w:ilvl w:val="0"/>
          <w:numId w:val="179"/>
        </w:numPr>
        <w:rPr>
          <w:rFonts w:ascii="Arial" w:cs="Arial" w:eastAsia="Arial" w:hAnsi="Arial"/>
          <w:sz w:val="18"/>
          <w:szCs w:val="18"/>
          <w:color w:val="auto"/>
        </w:rPr>
      </w:pPr>
      <w:r>
        <w:rPr>
          <w:rFonts w:ascii="Arial" w:cs="Arial" w:eastAsia="Arial" w:hAnsi="Arial"/>
          <w:sz w:val="18"/>
          <w:szCs w:val="18"/>
          <w:u w:val="single" w:color="auto"/>
          <w:color w:val="auto"/>
        </w:rPr>
        <w:t>Delay in Requests</w:t>
      </w:r>
      <w:r>
        <w:rPr>
          <w:rFonts w:ascii="Arial" w:cs="Arial" w:eastAsia="Arial" w:hAnsi="Arial"/>
          <w:sz w:val="18"/>
          <w:szCs w:val="18"/>
          <w:color w:val="auto"/>
        </w:rPr>
        <w:t>. Failure or delay on the part of any Lender or L/C Issuer to demand compensation pursuant to the foregoing</w:t>
      </w:r>
    </w:p>
    <w:p>
      <w:pPr>
        <w:spacing w:after="0" w:line="76" w:lineRule="exact"/>
        <w:rPr>
          <w:rFonts w:ascii="Arial" w:cs="Arial" w:eastAsia="Arial" w:hAnsi="Arial"/>
          <w:sz w:val="18"/>
          <w:szCs w:val="18"/>
          <w:color w:val="auto"/>
        </w:rPr>
      </w:pPr>
    </w:p>
    <w:p>
      <w:pPr>
        <w:ind w:right="160"/>
        <w:spacing w:after="0" w:line="323" w:lineRule="auto"/>
        <w:rPr>
          <w:rFonts w:ascii="Arial" w:cs="Arial" w:eastAsia="Arial" w:hAnsi="Arial"/>
          <w:sz w:val="18"/>
          <w:szCs w:val="18"/>
          <w:color w:val="auto"/>
        </w:rPr>
      </w:pPr>
      <w:r>
        <w:rPr>
          <w:rFonts w:ascii="Arial" w:cs="Arial" w:eastAsia="Arial" w:hAnsi="Arial"/>
          <w:sz w:val="18"/>
          <w:szCs w:val="18"/>
          <w:color w:val="auto"/>
        </w:rPr>
        <w:t xml:space="preserve">provisions of this Section shall not constitute a waiver of such Lender’s or L/C Issuer’s right to demand such compensation,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Borrowers shall not be required to compensate a Lender or L/C Issuer pursuant to the foregoing provisions of this Section for any increased costs incurred or reductions suffered more than six months prior to the date that such Lender or L/C Issuer, as the case may be, notifies the Borrowers of the Change in Law giving rise to such increased costs or reductions and of such Lender’s or L/C Issuer’s intention to claim compensation therefor (except that, if the Change in Law giving rise to such increased costs or reductions is retroactive, then the six-month period referred to above shall be extended to include the period of retroactive effect thereof).</w:t>
      </w:r>
    </w:p>
    <w:p>
      <w:pPr>
        <w:spacing w:after="0" w:line="165" w:lineRule="exact"/>
        <w:rPr>
          <w:rFonts w:ascii="Arial" w:cs="Arial" w:eastAsia="Arial" w:hAnsi="Arial"/>
          <w:sz w:val="18"/>
          <w:szCs w:val="18"/>
          <w:color w:val="auto"/>
        </w:rPr>
      </w:pPr>
    </w:p>
    <w:p>
      <w:pPr>
        <w:ind w:left="1060" w:hanging="404"/>
        <w:spacing w:after="0"/>
        <w:tabs>
          <w:tab w:leader="none" w:pos="1060" w:val="left"/>
        </w:tabs>
        <w:numPr>
          <w:ilvl w:val="0"/>
          <w:numId w:val="179"/>
        </w:numPr>
        <w:rPr>
          <w:rFonts w:ascii="Arial" w:cs="Arial" w:eastAsia="Arial" w:hAnsi="Arial"/>
          <w:sz w:val="16"/>
          <w:szCs w:val="16"/>
          <w:color w:val="auto"/>
        </w:rPr>
      </w:pPr>
      <w:r>
        <w:rPr>
          <w:rFonts w:ascii="Arial" w:cs="Arial" w:eastAsia="Arial" w:hAnsi="Arial"/>
          <w:sz w:val="16"/>
          <w:szCs w:val="16"/>
          <w:u w:val="single" w:color="auto"/>
          <w:color w:val="auto"/>
        </w:rPr>
        <w:t>Reserves on Fixed LIBOR Rate Loans</w:t>
      </w:r>
      <w:r>
        <w:rPr>
          <w:rFonts w:ascii="Arial" w:cs="Arial" w:eastAsia="Arial" w:hAnsi="Arial"/>
          <w:sz w:val="16"/>
          <w:szCs w:val="16"/>
          <w:color w:val="auto"/>
        </w:rPr>
        <w:t>. The Borrowers shall pay, or cause to be paid, to each Lender, as long as such Lender shall</w:t>
      </w:r>
    </w:p>
    <w:p>
      <w:pPr>
        <w:spacing w:after="0" w:line="99" w:lineRule="exact"/>
        <w:rPr>
          <w:rFonts w:ascii="Arial" w:cs="Arial" w:eastAsia="Arial" w:hAnsi="Arial"/>
          <w:sz w:val="16"/>
          <w:szCs w:val="16"/>
          <w:color w:val="auto"/>
        </w:rPr>
      </w:pPr>
    </w:p>
    <w:p>
      <w:pPr>
        <w:ind w:right="20"/>
        <w:spacing w:after="0" w:line="321" w:lineRule="auto"/>
        <w:rPr>
          <w:rFonts w:ascii="Arial" w:cs="Arial" w:eastAsia="Arial" w:hAnsi="Arial"/>
          <w:sz w:val="16"/>
          <w:szCs w:val="16"/>
          <w:color w:val="auto"/>
        </w:rPr>
      </w:pPr>
      <w:r>
        <w:rPr>
          <w:rFonts w:ascii="Arial" w:cs="Arial" w:eastAsia="Arial" w:hAnsi="Arial"/>
          <w:sz w:val="18"/>
          <w:szCs w:val="18"/>
          <w:color w:val="auto"/>
        </w:rPr>
        <w:t xml:space="preserve">be required to comply with any reserve ratio requirement or analogous requirement of any central banking or financial regulatory authority imposed in respect of the maintenance of the Commitments or the funding of the Fixed LIBOR Rate Loans, such additional costs (expressed as a percentage per annum and rounded upwards, if necessary, to the nearest five decimal places) equal to the actual costs allocated to such Commitment or Loan by such Lender (as determined by such Lender in good faith, which determination shall be conclusive), which shall be due and payable on each date on which interest is payable on such Loan,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the Borrowers shall have received at least 10 days’ prior notice (with a copy to the Administrative Agent) of such additional interest or costs from such Lender. If a Lender fails to give notice 10 days prior to the relevant Interest Payment Date, such additional interest or costs shall be due and payable 10 days from receipt of such notice.</w:t>
      </w:r>
    </w:p>
    <w:p>
      <w:pPr>
        <w:spacing w:after="0" w:line="169" w:lineRule="exact"/>
        <w:rPr>
          <w:sz w:val="20"/>
          <w:szCs w:val="20"/>
          <w:color w:val="auto"/>
        </w:rPr>
      </w:pPr>
    </w:p>
    <w:p>
      <w:pPr>
        <w:ind w:right="440" w:firstLine="648"/>
        <w:spacing w:after="0" w:line="299" w:lineRule="auto"/>
        <w:rPr>
          <w:sz w:val="20"/>
          <w:szCs w:val="20"/>
          <w:color w:val="auto"/>
        </w:rPr>
      </w:pPr>
      <w:r>
        <w:rPr>
          <w:rFonts w:ascii="Arial" w:cs="Arial" w:eastAsia="Arial" w:hAnsi="Arial"/>
          <w:sz w:val="20"/>
          <w:szCs w:val="20"/>
          <w:color w:val="auto"/>
        </w:rPr>
        <w:t xml:space="preserve">3.05 </w:t>
      </w:r>
      <w:r>
        <w:rPr>
          <w:rFonts w:ascii="Arial" w:cs="Arial" w:eastAsia="Arial" w:hAnsi="Arial"/>
          <w:sz w:val="20"/>
          <w:szCs w:val="20"/>
          <w:u w:val="single" w:color="auto"/>
          <w:color w:val="auto"/>
        </w:rPr>
        <w:t>Compensation for Losses</w:t>
      </w:r>
      <w:r>
        <w:rPr>
          <w:rFonts w:ascii="Arial" w:cs="Arial" w:eastAsia="Arial" w:hAnsi="Arial"/>
          <w:sz w:val="20"/>
          <w:szCs w:val="20"/>
          <w:color w:val="auto"/>
        </w:rPr>
        <w:t>. Upon demand of any Lender (with a copy to the Administrative Agent) from time to time, the Borrowers shall promptly compensate, or cause to be compensated, such Lender for and hold such Lender harmless from any loss, cost or expense incurred by it as a result of:</w:t>
      </w:r>
    </w:p>
    <w:p>
      <w:pPr>
        <w:spacing w:after="0" w:line="180" w:lineRule="exact"/>
        <w:rPr>
          <w:sz w:val="20"/>
          <w:szCs w:val="20"/>
          <w:color w:val="auto"/>
        </w:rPr>
      </w:pPr>
    </w:p>
    <w:p>
      <w:pPr>
        <w:ind w:left="660" w:right="100" w:firstLine="645"/>
        <w:spacing w:after="0" w:line="346" w:lineRule="auto"/>
        <w:tabs>
          <w:tab w:leader="none" w:pos="1708" w:val="left"/>
        </w:tabs>
        <w:numPr>
          <w:ilvl w:val="0"/>
          <w:numId w:val="180"/>
        </w:numPr>
        <w:rPr>
          <w:rFonts w:ascii="Arial" w:cs="Arial" w:eastAsia="Arial" w:hAnsi="Arial"/>
          <w:sz w:val="19"/>
          <w:szCs w:val="19"/>
          <w:color w:val="auto"/>
        </w:rPr>
      </w:pPr>
      <w:r>
        <w:rPr>
          <w:rFonts w:ascii="Arial" w:cs="Arial" w:eastAsia="Arial" w:hAnsi="Arial"/>
          <w:sz w:val="19"/>
          <w:szCs w:val="19"/>
          <w:color w:val="auto"/>
        </w:rPr>
        <w:t>any continuation, conversion, payment or prepayment of any Fixed LIBOR Rate Loan on a day other than the last day of the Interest Period for such Loan (whether voluntary, mandatory, automatic, by reason of acceleration, or otherwise);</w:t>
      </w:r>
    </w:p>
    <w:p>
      <w:pPr>
        <w:spacing w:after="0" w:line="139" w:lineRule="exact"/>
        <w:rPr>
          <w:rFonts w:ascii="Arial" w:cs="Arial" w:eastAsia="Arial" w:hAnsi="Arial"/>
          <w:sz w:val="19"/>
          <w:szCs w:val="19"/>
          <w:color w:val="auto"/>
        </w:rPr>
      </w:pPr>
    </w:p>
    <w:p>
      <w:pPr>
        <w:ind w:left="660" w:right="580" w:firstLine="645"/>
        <w:spacing w:after="0" w:line="346" w:lineRule="auto"/>
        <w:tabs>
          <w:tab w:leader="none" w:pos="1719" w:val="left"/>
        </w:tabs>
        <w:numPr>
          <w:ilvl w:val="0"/>
          <w:numId w:val="180"/>
        </w:numPr>
        <w:rPr>
          <w:rFonts w:ascii="Arial" w:cs="Arial" w:eastAsia="Arial" w:hAnsi="Arial"/>
          <w:sz w:val="19"/>
          <w:szCs w:val="19"/>
          <w:color w:val="auto"/>
        </w:rPr>
      </w:pPr>
      <w:r>
        <w:rPr>
          <w:rFonts w:ascii="Arial" w:cs="Arial" w:eastAsia="Arial" w:hAnsi="Arial"/>
          <w:sz w:val="19"/>
          <w:szCs w:val="19"/>
          <w:color w:val="auto"/>
        </w:rPr>
        <w:t>any failure by any Borrower (for a reason other than the failure of such Lender to make a Loan) to prepay, borrow, continue or convert any Fixed LIBOR Rate Loan on the date or in the amount notified by such Borrower;</w:t>
      </w:r>
    </w:p>
    <w:p>
      <w:pPr>
        <w:spacing w:after="0" w:line="139" w:lineRule="exact"/>
        <w:rPr>
          <w:rFonts w:ascii="Arial" w:cs="Arial" w:eastAsia="Arial" w:hAnsi="Arial"/>
          <w:sz w:val="19"/>
          <w:szCs w:val="19"/>
          <w:color w:val="auto"/>
        </w:rPr>
      </w:pPr>
    </w:p>
    <w:p>
      <w:pPr>
        <w:ind w:left="660" w:firstLine="645"/>
        <w:spacing w:after="0" w:line="346" w:lineRule="auto"/>
        <w:tabs>
          <w:tab w:leader="none" w:pos="1708" w:val="left"/>
        </w:tabs>
        <w:numPr>
          <w:ilvl w:val="0"/>
          <w:numId w:val="180"/>
        </w:numPr>
        <w:rPr>
          <w:rFonts w:ascii="Arial" w:cs="Arial" w:eastAsia="Arial" w:hAnsi="Arial"/>
          <w:sz w:val="19"/>
          <w:szCs w:val="19"/>
          <w:color w:val="auto"/>
        </w:rPr>
      </w:pPr>
      <w:r>
        <w:rPr>
          <w:rFonts w:ascii="Arial" w:cs="Arial" w:eastAsia="Arial" w:hAnsi="Arial"/>
          <w:sz w:val="19"/>
          <w:szCs w:val="19"/>
          <w:color w:val="auto"/>
        </w:rPr>
        <w:t>any failure by any Borrower to make payment of any Loan or drawing under any Letter of Credit (or interest due thereon) denominated in an Alternative Currency on its scheduled due date or any payment thereof in a different currency; or</w:t>
      </w:r>
    </w:p>
    <w:p>
      <w:pPr>
        <w:spacing w:after="0" w:line="356" w:lineRule="exact"/>
        <w:rPr>
          <w:sz w:val="20"/>
          <w:szCs w:val="20"/>
          <w:color w:val="auto"/>
        </w:rPr>
      </w:pPr>
    </w:p>
    <w:p>
      <w:pPr>
        <w:jc w:val="center"/>
        <w:ind w:right="-79"/>
        <w:spacing w:after="0"/>
        <w:rPr>
          <w:sz w:val="20"/>
          <w:szCs w:val="20"/>
          <w:color w:val="auto"/>
        </w:rPr>
      </w:pPr>
      <w:r>
        <w:rPr>
          <w:rFonts w:ascii="Arial" w:cs="Arial" w:eastAsia="Arial" w:hAnsi="Arial"/>
          <w:sz w:val="20"/>
          <w:szCs w:val="20"/>
          <w:color w:val="auto"/>
        </w:rPr>
        <w:t>127</w:t>
      </w:r>
    </w:p>
    <w:p>
      <w:pPr>
        <w:spacing w:after="0" w:line="10" w:lineRule="exact"/>
        <w:rPr>
          <w:sz w:val="20"/>
          <w:szCs w:val="20"/>
          <w:color w:val="auto"/>
        </w:rPr>
      </w:pPr>
    </w:p>
    <w:p>
      <w:pPr>
        <w:spacing w:after="0"/>
        <w:rPr>
          <w:sz w:val="20"/>
          <w:szCs w:val="20"/>
          <w:color w:val="auto"/>
        </w:rPr>
      </w:pPr>
      <w:r>
        <w:rPr>
          <w:rFonts w:ascii="Arial" w:cs="Arial" w:eastAsia="Arial" w:hAnsi="Arial"/>
          <w:sz w:val="14"/>
          <w:szCs w:val="14"/>
          <w:color w:val="auto"/>
        </w:rPr>
        <w:t>CHAR1\1346423v</w:t>
      </w:r>
      <w:r>
        <w:rPr>
          <w:rFonts w:ascii="Arial" w:cs="Arial" w:eastAsia="Arial" w:hAnsi="Arial"/>
          <w:sz w:val="14"/>
          <w:szCs w:val="14"/>
          <w:color w:val="FF0000"/>
          <w:strike w:val="1"/>
        </w:rPr>
        <w:t>1</w:t>
      </w:r>
      <w:r>
        <w:rPr>
          <w:rFonts w:ascii="Arial" w:cs="Arial" w:eastAsia="Arial" w:hAnsi="Arial"/>
          <w:sz w:val="14"/>
          <w:szCs w:val="14"/>
          <w:u w:val="single" w:color="auto"/>
          <w:color w:val="0000FF"/>
        </w:rPr>
        <w:t>12</w:t>
      </w:r>
    </w:p>
    <w:p>
      <w:pPr>
        <w:sectPr>
          <w:pgSz w:w="11900" w:h="16838" w:orient="portrait"/>
          <w:cols w:equalWidth="0" w:num="1">
            <w:col w:w="11360"/>
          </w:cols>
          <w:pgMar w:left="240" w:top="609" w:right="299" w:bottom="1440" w:gutter="0" w:footer="0" w:header="0"/>
        </w:sectPr>
      </w:pPr>
    </w:p>
    <w:bookmarkStart w:id="179" w:name="page180"/>
    <w:bookmarkEnd w:id="179"/>
    <w:p>
      <w:pPr>
        <w:ind w:left="660" w:firstLine="645"/>
        <w:spacing w:after="0" w:line="317" w:lineRule="auto"/>
        <w:tabs>
          <w:tab w:leader="none" w:pos="1719" w:val="left"/>
        </w:tabs>
        <w:numPr>
          <w:ilvl w:val="0"/>
          <w:numId w:val="181"/>
        </w:numPr>
        <w:rPr>
          <w:rFonts w:ascii="Arial" w:cs="Arial" w:eastAsia="Arial" w:hAnsi="Arial"/>
          <w:sz w:val="20"/>
          <w:szCs w:val="20"/>
          <w:color w:val="auto"/>
        </w:rPr>
      </w:pPr>
      <w:r>
        <w:rPr>
          <w:rFonts w:ascii="Arial" w:cs="Arial" w:eastAsia="Arial" w:hAnsi="Arial"/>
          <w:sz w:val="20"/>
          <w:szCs w:val="20"/>
          <w:color w:val="auto"/>
        </w:rPr>
        <w:t xml:space="preserve">any assignment of a Fixed LIBOR Rate Loan on a day other than the last day of the Interest Period therefor as a result of a request by any Borrower pursuant to </w:t>
      </w:r>
      <w:r>
        <w:rPr>
          <w:rFonts w:ascii="Arial" w:cs="Arial" w:eastAsia="Arial" w:hAnsi="Arial"/>
          <w:sz w:val="20"/>
          <w:szCs w:val="20"/>
          <w:u w:val="single" w:color="auto"/>
          <w:color w:val="auto"/>
        </w:rPr>
        <w:t>Section 11.13</w:t>
      </w:r>
      <w:r>
        <w:rPr>
          <w:rFonts w:ascii="Arial" w:cs="Arial" w:eastAsia="Arial" w:hAnsi="Arial"/>
          <w:sz w:val="20"/>
          <w:szCs w:val="20"/>
          <w:color w:val="auto"/>
        </w:rPr>
        <w:t>;</w:t>
      </w:r>
    </w:p>
    <w:p>
      <w:pPr>
        <w:spacing w:after="0" w:line="135" w:lineRule="exact"/>
        <w:rPr>
          <w:sz w:val="20"/>
          <w:szCs w:val="20"/>
          <w:color w:val="auto"/>
        </w:rPr>
      </w:pPr>
    </w:p>
    <w:p>
      <w:pPr>
        <w:ind w:right="80"/>
        <w:spacing w:after="0" w:line="278" w:lineRule="auto"/>
        <w:rPr>
          <w:sz w:val="20"/>
          <w:szCs w:val="20"/>
          <w:color w:val="auto"/>
        </w:rPr>
      </w:pPr>
      <w:r>
        <w:rPr>
          <w:rFonts w:ascii="Arial" w:cs="Arial" w:eastAsia="Arial" w:hAnsi="Arial"/>
          <w:sz w:val="18"/>
          <w:szCs w:val="18"/>
          <w:color w:val="auto"/>
        </w:rPr>
        <w:t>including any foreign exchange losses and any loss or expense arising from the liquidation or redeployment of funds obtained by it to maintain such Loan or from fees payable to terminate the deposits from which such funds were obtained or from the performance of any foreign exchange contract. The Borrowers shall also pay, or cause to be paid, any customary administrative fees charged by such Lender in connection with the foregoing. Any demand for compensation shall set forth in reasonable detail the amount and calculation of the loss, cost or expenses claimed. Each Lender will calculate such amounts in good faith and in a commercially reasonable manner.</w:t>
      </w:r>
    </w:p>
    <w:p>
      <w:pPr>
        <w:spacing w:after="0" w:line="165" w:lineRule="exact"/>
        <w:rPr>
          <w:sz w:val="20"/>
          <w:szCs w:val="20"/>
          <w:color w:val="auto"/>
        </w:rPr>
      </w:pPr>
    </w:p>
    <w:p>
      <w:pPr>
        <w:jc w:val="both"/>
        <w:ind w:right="60" w:firstLine="648"/>
        <w:spacing w:after="0" w:line="246" w:lineRule="auto"/>
        <w:rPr>
          <w:sz w:val="20"/>
          <w:szCs w:val="20"/>
          <w:color w:val="auto"/>
        </w:rPr>
      </w:pPr>
      <w:r>
        <w:rPr>
          <w:rFonts w:ascii="Arial" w:cs="Arial" w:eastAsia="Arial" w:hAnsi="Arial"/>
          <w:sz w:val="20"/>
          <w:szCs w:val="20"/>
          <w:color w:val="auto"/>
        </w:rPr>
        <w:t xml:space="preserve">For purposes of calculating amounts payable by the Borrowers to the Lenders under this </w:t>
      </w:r>
      <w:r>
        <w:rPr>
          <w:rFonts w:ascii="Arial" w:cs="Arial" w:eastAsia="Arial" w:hAnsi="Arial"/>
          <w:sz w:val="20"/>
          <w:szCs w:val="20"/>
          <w:u w:val="single" w:color="auto"/>
          <w:color w:val="auto"/>
        </w:rPr>
        <w:t>Section 3.05</w:t>
      </w:r>
      <w:r>
        <w:rPr>
          <w:rFonts w:ascii="Arial" w:cs="Arial" w:eastAsia="Arial" w:hAnsi="Arial"/>
          <w:sz w:val="20"/>
          <w:szCs w:val="20"/>
          <w:color w:val="auto"/>
        </w:rPr>
        <w:t>, each Lender shall be deemed to have funded each Fixed LIBOR Rate Loan made by it at the Fixed LIBOR Rate used in determining the Fixed LIBOR Rate for such Loan by a matching deposit or other borrowing in the offshore interbank market for such currency for a comparable amount and for a comparable period, whether or not such Fixed LIBOR Rate Loan was in fact so funded.</w:t>
      </w:r>
    </w:p>
    <w:p>
      <w:pPr>
        <w:spacing w:after="0" w:line="219" w:lineRule="exact"/>
        <w:rPr>
          <w:sz w:val="20"/>
          <w:szCs w:val="20"/>
          <w:color w:val="auto"/>
        </w:rPr>
      </w:pPr>
    </w:p>
    <w:p>
      <w:pPr>
        <w:ind w:left="660"/>
        <w:spacing w:after="0"/>
        <w:tabs>
          <w:tab w:leader="none" w:pos="1160" w:val="left"/>
        </w:tabs>
        <w:rPr>
          <w:sz w:val="20"/>
          <w:szCs w:val="20"/>
          <w:color w:val="auto"/>
        </w:rPr>
      </w:pPr>
      <w:r>
        <w:rPr>
          <w:rFonts w:ascii="Arial" w:cs="Arial" w:eastAsia="Arial" w:hAnsi="Arial"/>
          <w:sz w:val="20"/>
          <w:szCs w:val="20"/>
          <w:color w:val="auto"/>
        </w:rPr>
        <w:t>3.06</w:t>
      </w:r>
      <w:r>
        <w:rPr>
          <w:sz w:val="20"/>
          <w:szCs w:val="20"/>
          <w:color w:val="auto"/>
        </w:rPr>
        <w:tab/>
      </w:r>
      <w:r>
        <w:rPr>
          <w:rFonts w:ascii="Arial" w:cs="Arial" w:eastAsia="Arial" w:hAnsi="Arial"/>
          <w:sz w:val="18"/>
          <w:szCs w:val="18"/>
          <w:u w:val="single" w:color="auto"/>
          <w:color w:val="auto"/>
        </w:rPr>
        <w:t>Mitigation Obligations; Replacement of Lenders</w:t>
      </w:r>
      <w:r>
        <w:rPr>
          <w:rFonts w:ascii="Arial" w:cs="Arial" w:eastAsia="Arial" w:hAnsi="Arial"/>
          <w:sz w:val="18"/>
          <w:szCs w:val="18"/>
          <w:color w:val="auto"/>
        </w:rPr>
        <w:t>.</w:t>
      </w:r>
    </w:p>
    <w:p>
      <w:pPr>
        <w:spacing w:after="0" w:line="270" w:lineRule="exact"/>
        <w:rPr>
          <w:sz w:val="20"/>
          <w:szCs w:val="20"/>
          <w:color w:val="auto"/>
        </w:rPr>
      </w:pPr>
    </w:p>
    <w:p>
      <w:pPr>
        <w:ind w:left="1060" w:hanging="404"/>
        <w:spacing w:after="0"/>
        <w:tabs>
          <w:tab w:leader="none" w:pos="1060" w:val="left"/>
        </w:tabs>
        <w:numPr>
          <w:ilvl w:val="0"/>
          <w:numId w:val="182"/>
        </w:numPr>
        <w:rPr>
          <w:rFonts w:ascii="Arial" w:cs="Arial" w:eastAsia="Arial" w:hAnsi="Arial"/>
          <w:sz w:val="18"/>
          <w:szCs w:val="18"/>
          <w:color w:val="auto"/>
        </w:rPr>
      </w:pPr>
      <w:r>
        <w:rPr>
          <w:rFonts w:ascii="Arial" w:cs="Arial" w:eastAsia="Arial" w:hAnsi="Arial"/>
          <w:sz w:val="18"/>
          <w:szCs w:val="18"/>
          <w:u w:val="single" w:color="auto"/>
          <w:color w:val="auto"/>
        </w:rPr>
        <w:t>Designation of a Different Lending Office</w:t>
      </w:r>
      <w:r>
        <w:rPr>
          <w:rFonts w:ascii="Arial" w:cs="Arial" w:eastAsia="Arial" w:hAnsi="Arial"/>
          <w:sz w:val="18"/>
          <w:szCs w:val="18"/>
          <w:color w:val="auto"/>
        </w:rPr>
        <w:t xml:space="preserve">. If any Lender requests compensation under </w:t>
      </w:r>
      <w:r>
        <w:rPr>
          <w:rFonts w:ascii="Arial" w:cs="Arial" w:eastAsia="Arial" w:hAnsi="Arial"/>
          <w:sz w:val="18"/>
          <w:szCs w:val="18"/>
          <w:u w:val="single" w:color="auto"/>
          <w:color w:val="auto"/>
        </w:rPr>
        <w:t>Section 3.04</w:t>
      </w:r>
      <w:r>
        <w:rPr>
          <w:rFonts w:ascii="Arial" w:cs="Arial" w:eastAsia="Arial" w:hAnsi="Arial"/>
          <w:sz w:val="18"/>
          <w:szCs w:val="18"/>
          <w:color w:val="auto"/>
        </w:rPr>
        <w:t>, or any Borrower is required</w:t>
      </w:r>
    </w:p>
    <w:p>
      <w:pPr>
        <w:spacing w:after="0" w:line="76" w:lineRule="exact"/>
        <w:rPr>
          <w:rFonts w:ascii="Arial" w:cs="Arial" w:eastAsia="Arial" w:hAnsi="Arial"/>
          <w:sz w:val="18"/>
          <w:szCs w:val="18"/>
          <w:color w:val="auto"/>
        </w:rPr>
      </w:pPr>
    </w:p>
    <w:p>
      <w:pPr>
        <w:spacing w:after="0" w:line="320" w:lineRule="auto"/>
        <w:rPr>
          <w:rFonts w:ascii="Arial" w:cs="Arial" w:eastAsia="Arial" w:hAnsi="Arial"/>
          <w:sz w:val="18"/>
          <w:szCs w:val="18"/>
          <w:color w:val="auto"/>
        </w:rPr>
      </w:pPr>
      <w:r>
        <w:rPr>
          <w:rFonts w:ascii="Arial" w:cs="Arial" w:eastAsia="Arial" w:hAnsi="Arial"/>
          <w:sz w:val="18"/>
          <w:szCs w:val="18"/>
          <w:color w:val="auto"/>
        </w:rPr>
        <w:t xml:space="preserve">to pay any </w:t>
      </w:r>
      <w:r>
        <w:rPr>
          <w:rFonts w:ascii="Arial" w:cs="Arial" w:eastAsia="Arial" w:hAnsi="Arial"/>
          <w:sz w:val="18"/>
          <w:szCs w:val="18"/>
          <w:u w:val="single" w:color="auto"/>
          <w:color w:val="0000FF"/>
        </w:rPr>
        <w:t>Indemnified Taxes or</w:t>
      </w:r>
      <w:r>
        <w:rPr>
          <w:rFonts w:ascii="Arial" w:cs="Arial" w:eastAsia="Arial" w:hAnsi="Arial"/>
          <w:sz w:val="18"/>
          <w:szCs w:val="18"/>
          <w:color w:val="auto"/>
        </w:rPr>
        <w:t xml:space="preserve"> additional </w:t>
      </w:r>
      <w:r>
        <w:rPr>
          <w:rFonts w:ascii="Arial" w:cs="Arial" w:eastAsia="Arial" w:hAnsi="Arial"/>
          <w:sz w:val="18"/>
          <w:szCs w:val="18"/>
          <w:color w:val="FF0000"/>
          <w:strike w:val="1"/>
        </w:rPr>
        <w:t>amount</w:t>
      </w:r>
      <w:r>
        <w:rPr>
          <w:rFonts w:ascii="Arial" w:cs="Arial" w:eastAsia="Arial" w:hAnsi="Arial"/>
          <w:sz w:val="18"/>
          <w:szCs w:val="18"/>
          <w:u w:val="single" w:color="auto"/>
          <w:color w:val="0000FF"/>
        </w:rPr>
        <w:t>amounts</w:t>
      </w:r>
      <w:r>
        <w:rPr>
          <w:rFonts w:ascii="Arial" w:cs="Arial" w:eastAsia="Arial" w:hAnsi="Arial"/>
          <w:sz w:val="18"/>
          <w:szCs w:val="18"/>
          <w:color w:val="auto"/>
        </w:rPr>
        <w:t xml:space="preserve"> to any Lender (including any L/C Issuer) or any Governmental Authority for the account of any Lender pursuant to </w:t>
      </w:r>
      <w:r>
        <w:rPr>
          <w:rFonts w:ascii="Arial" w:cs="Arial" w:eastAsia="Arial" w:hAnsi="Arial"/>
          <w:sz w:val="18"/>
          <w:szCs w:val="18"/>
          <w:u w:val="single" w:color="auto"/>
          <w:color w:val="auto"/>
        </w:rPr>
        <w:t>Section 3.01</w:t>
      </w:r>
      <w:r>
        <w:rPr>
          <w:rFonts w:ascii="Arial" w:cs="Arial" w:eastAsia="Arial" w:hAnsi="Arial"/>
          <w:sz w:val="18"/>
          <w:szCs w:val="18"/>
          <w:color w:val="auto"/>
        </w:rPr>
        <w:t xml:space="preserve">, or if any Lender (including any L/C Issuer) gives a notice pursuant to </w:t>
      </w:r>
      <w:r>
        <w:rPr>
          <w:rFonts w:ascii="Arial" w:cs="Arial" w:eastAsia="Arial" w:hAnsi="Arial"/>
          <w:sz w:val="18"/>
          <w:szCs w:val="18"/>
          <w:u w:val="single" w:color="auto"/>
          <w:color w:val="auto"/>
        </w:rPr>
        <w:t>Section 3.02</w:t>
      </w:r>
      <w:r>
        <w:rPr>
          <w:rFonts w:ascii="Arial" w:cs="Arial" w:eastAsia="Arial" w:hAnsi="Arial"/>
          <w:sz w:val="18"/>
          <w:szCs w:val="18"/>
          <w:color w:val="auto"/>
        </w:rPr>
        <w:t xml:space="preserve">, then such Lender shall use reasonable efforts to designate a different Lending Office for funding or booking its Loans hereunder or to assign its rights and obligations hereunder to another of its offices, branches or affiliates, if, in the judgment of such Lender, such designation or assignment (i) would eliminate or reduce amounts payable pursuant to </w:t>
      </w:r>
      <w:r>
        <w:rPr>
          <w:rFonts w:ascii="Arial" w:cs="Arial" w:eastAsia="Arial" w:hAnsi="Arial"/>
          <w:sz w:val="18"/>
          <w:szCs w:val="18"/>
          <w:u w:val="single" w:color="auto"/>
          <w:color w:val="auto"/>
        </w:rPr>
        <w:t>Sections 3.01</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3.04</w:t>
      </w:r>
      <w:r>
        <w:rPr>
          <w:rFonts w:ascii="Arial" w:cs="Arial" w:eastAsia="Arial" w:hAnsi="Arial"/>
          <w:sz w:val="18"/>
          <w:szCs w:val="18"/>
          <w:color w:val="auto"/>
        </w:rPr>
        <w:t xml:space="preserve">, as the case may be, in the future, or eliminate the need for the notice pursuant to </w:t>
      </w:r>
      <w:r>
        <w:rPr>
          <w:rFonts w:ascii="Arial" w:cs="Arial" w:eastAsia="Arial" w:hAnsi="Arial"/>
          <w:sz w:val="18"/>
          <w:szCs w:val="18"/>
          <w:u w:val="single" w:color="auto"/>
          <w:color w:val="auto"/>
        </w:rPr>
        <w:t>Section 3.02</w:t>
      </w:r>
      <w:r>
        <w:rPr>
          <w:rFonts w:ascii="Arial" w:cs="Arial" w:eastAsia="Arial" w:hAnsi="Arial"/>
          <w:sz w:val="18"/>
          <w:szCs w:val="18"/>
          <w:color w:val="auto"/>
        </w:rPr>
        <w:t>, as applicable, and (ii) in each case, would not subject such Lender to any unreimbursed cost or expense and would not otherwise be disadvantageous to such Lender. The Borrowers hereby agree to pay, or cause to be paid, all reasonable costs and expenses incurred by any Lender in connection with any such designation or assignment.</w:t>
      </w:r>
    </w:p>
    <w:p>
      <w:pPr>
        <w:spacing w:after="0" w:line="169" w:lineRule="exact"/>
        <w:rPr>
          <w:rFonts w:ascii="Arial" w:cs="Arial" w:eastAsia="Arial" w:hAnsi="Arial"/>
          <w:sz w:val="18"/>
          <w:szCs w:val="18"/>
          <w:color w:val="auto"/>
        </w:rPr>
      </w:pPr>
    </w:p>
    <w:p>
      <w:pPr>
        <w:ind w:left="1060" w:hanging="404"/>
        <w:spacing w:after="0"/>
        <w:tabs>
          <w:tab w:leader="none" w:pos="1060" w:val="left"/>
        </w:tabs>
        <w:numPr>
          <w:ilvl w:val="0"/>
          <w:numId w:val="182"/>
        </w:numPr>
        <w:rPr>
          <w:rFonts w:ascii="Arial" w:cs="Arial" w:eastAsia="Arial" w:hAnsi="Arial"/>
          <w:sz w:val="18"/>
          <w:szCs w:val="18"/>
          <w:color w:val="auto"/>
        </w:rPr>
      </w:pPr>
      <w:r>
        <w:rPr>
          <w:rFonts w:ascii="Arial" w:cs="Arial" w:eastAsia="Arial" w:hAnsi="Arial"/>
          <w:sz w:val="18"/>
          <w:szCs w:val="18"/>
          <w:u w:val="single" w:color="auto"/>
          <w:color w:val="auto"/>
        </w:rPr>
        <w:t>Replacement of Lenders</w:t>
      </w:r>
      <w:r>
        <w:rPr>
          <w:rFonts w:ascii="Arial" w:cs="Arial" w:eastAsia="Arial" w:hAnsi="Arial"/>
          <w:sz w:val="18"/>
          <w:szCs w:val="18"/>
          <w:color w:val="auto"/>
        </w:rPr>
        <w:t xml:space="preserve">. If any Lender requests compensation under </w:t>
      </w:r>
      <w:r>
        <w:rPr>
          <w:rFonts w:ascii="Arial" w:cs="Arial" w:eastAsia="Arial" w:hAnsi="Arial"/>
          <w:sz w:val="18"/>
          <w:szCs w:val="18"/>
          <w:u w:val="single" w:color="auto"/>
          <w:color w:val="auto"/>
        </w:rPr>
        <w:t>Section 3.04</w:t>
      </w:r>
      <w:r>
        <w:rPr>
          <w:rFonts w:ascii="Arial" w:cs="Arial" w:eastAsia="Arial" w:hAnsi="Arial"/>
          <w:sz w:val="18"/>
          <w:szCs w:val="18"/>
          <w:color w:val="auto"/>
        </w:rPr>
        <w:t>, or if any Borrower is required to pay any</w:t>
      </w:r>
    </w:p>
    <w:p>
      <w:pPr>
        <w:spacing w:after="0" w:line="76" w:lineRule="exact"/>
        <w:rPr>
          <w:rFonts w:ascii="Arial" w:cs="Arial" w:eastAsia="Arial" w:hAnsi="Arial"/>
          <w:sz w:val="18"/>
          <w:szCs w:val="18"/>
          <w:color w:val="auto"/>
        </w:rPr>
      </w:pPr>
    </w:p>
    <w:p>
      <w:pPr>
        <w:ind w:right="340"/>
        <w:spacing w:after="0" w:line="292" w:lineRule="auto"/>
        <w:rPr>
          <w:rFonts w:ascii="Arial" w:cs="Arial" w:eastAsia="Arial" w:hAnsi="Arial"/>
          <w:sz w:val="18"/>
          <w:szCs w:val="18"/>
          <w:color w:val="auto"/>
        </w:rPr>
      </w:pPr>
      <w:r>
        <w:rPr>
          <w:rFonts w:ascii="Arial" w:cs="Arial" w:eastAsia="Arial" w:hAnsi="Arial"/>
          <w:sz w:val="20"/>
          <w:szCs w:val="20"/>
          <w:u w:val="single" w:color="auto"/>
          <w:color w:val="0000FF"/>
        </w:rPr>
        <w:t>Indemnified Taxes or</w:t>
      </w:r>
      <w:r>
        <w:rPr>
          <w:rFonts w:ascii="Arial" w:cs="Arial" w:eastAsia="Arial" w:hAnsi="Arial"/>
          <w:sz w:val="20"/>
          <w:szCs w:val="20"/>
          <w:color w:val="0000FF"/>
        </w:rPr>
        <w:t xml:space="preserve"> </w:t>
      </w:r>
      <w:r>
        <w:rPr>
          <w:rFonts w:ascii="Arial" w:cs="Arial" w:eastAsia="Arial" w:hAnsi="Arial"/>
          <w:sz w:val="20"/>
          <w:szCs w:val="20"/>
          <w:color w:val="000000"/>
        </w:rPr>
        <w:t>additional</w:t>
      </w:r>
      <w:r>
        <w:rPr>
          <w:rFonts w:ascii="Arial" w:cs="Arial" w:eastAsia="Arial" w:hAnsi="Arial"/>
          <w:sz w:val="20"/>
          <w:szCs w:val="20"/>
          <w:color w:val="0000FF"/>
        </w:rPr>
        <w:t xml:space="preserve"> </w:t>
      </w:r>
      <w:r>
        <w:rPr>
          <w:rFonts w:ascii="Arial" w:cs="Arial" w:eastAsia="Arial" w:hAnsi="Arial"/>
          <w:sz w:val="20"/>
          <w:szCs w:val="20"/>
          <w:color w:val="FF0000"/>
          <w:strike w:val="1"/>
        </w:rPr>
        <w:t>amount</w:t>
      </w:r>
      <w:r>
        <w:rPr>
          <w:rFonts w:ascii="Arial" w:cs="Arial" w:eastAsia="Arial" w:hAnsi="Arial"/>
          <w:sz w:val="20"/>
          <w:szCs w:val="20"/>
          <w:u w:val="single" w:color="auto"/>
          <w:color w:val="0000FF"/>
        </w:rPr>
        <w:t>amounts</w:t>
      </w:r>
      <w:r>
        <w:rPr>
          <w:rFonts w:ascii="Arial" w:cs="Arial" w:eastAsia="Arial" w:hAnsi="Arial"/>
          <w:sz w:val="20"/>
          <w:szCs w:val="20"/>
          <w:color w:val="0000FF"/>
        </w:rPr>
        <w:t xml:space="preserve"> </w:t>
      </w:r>
      <w:r>
        <w:rPr>
          <w:rFonts w:ascii="Arial" w:cs="Arial" w:eastAsia="Arial" w:hAnsi="Arial"/>
          <w:sz w:val="20"/>
          <w:szCs w:val="20"/>
          <w:color w:val="000000"/>
        </w:rPr>
        <w:t>to any Lender or any Governmental Authority for the account of any Lender pursuant to</w:t>
      </w:r>
      <w:r>
        <w:rPr>
          <w:rFonts w:ascii="Arial" w:cs="Arial" w:eastAsia="Arial" w:hAnsi="Arial"/>
          <w:sz w:val="20"/>
          <w:szCs w:val="20"/>
          <w:color w:val="0000FF"/>
        </w:rPr>
        <w:t xml:space="preserve"> </w:t>
      </w:r>
      <w:r>
        <w:rPr>
          <w:rFonts w:ascii="Arial" w:cs="Arial" w:eastAsia="Arial" w:hAnsi="Arial"/>
          <w:sz w:val="20"/>
          <w:szCs w:val="20"/>
          <w:u w:val="single" w:color="auto"/>
          <w:color w:val="000000"/>
        </w:rPr>
        <w:t xml:space="preserve">Section </w:t>
      </w:r>
      <w:r>
        <w:rPr>
          <w:rFonts w:ascii="Arial" w:cs="Arial" w:eastAsia="Arial" w:hAnsi="Arial"/>
          <w:sz w:val="20"/>
          <w:szCs w:val="20"/>
          <w:u w:val="single" w:color="auto"/>
          <w:color w:val="FF0000"/>
          <w:strike w:val="1"/>
        </w:rPr>
        <w:t>3.</w:t>
      </w:r>
      <w:r>
        <w:rPr>
          <w:rFonts w:ascii="Arial" w:cs="Arial" w:eastAsia="Arial" w:hAnsi="Arial"/>
          <w:sz w:val="20"/>
          <w:szCs w:val="20"/>
          <w:u w:val="single" w:color="auto"/>
          <w:color w:val="FF0000"/>
        </w:rPr>
        <w:t>01</w:t>
      </w:r>
      <w:r>
        <w:rPr>
          <w:rFonts w:ascii="Arial" w:cs="Arial" w:eastAsia="Arial" w:hAnsi="Arial"/>
          <w:sz w:val="20"/>
          <w:szCs w:val="20"/>
          <w:color w:val="FF0000"/>
          <w:strike w:val="1"/>
        </w:rPr>
        <w:t>,</w:t>
      </w:r>
      <w:r>
        <w:rPr>
          <w:rFonts w:ascii="Arial" w:cs="Arial" w:eastAsia="Arial" w:hAnsi="Arial"/>
          <w:sz w:val="20"/>
          <w:szCs w:val="20"/>
          <w:u w:val="single" w:color="auto"/>
          <w:color w:val="0000FF"/>
        </w:rPr>
        <w:t>3.01 and, in each case, such Lender has declined or is unable to designate a different lending office in accordance with Section</w:t>
      </w:r>
      <w:r>
        <w:rPr>
          <w:rFonts w:ascii="Arial" w:cs="Arial" w:eastAsia="Arial" w:hAnsi="Arial"/>
          <w:sz w:val="20"/>
          <w:szCs w:val="20"/>
          <w:u w:val="single" w:color="auto"/>
          <w:color w:val="000000"/>
        </w:rPr>
        <w:t xml:space="preserve"> </w:t>
      </w:r>
      <w:r>
        <w:rPr>
          <w:rFonts w:ascii="Arial" w:cs="Arial" w:eastAsia="Arial" w:hAnsi="Arial"/>
          <w:sz w:val="20"/>
          <w:szCs w:val="20"/>
          <w:u w:val="single" w:color="auto"/>
          <w:color w:val="0000FF"/>
        </w:rPr>
        <w:t>3.06(a),</w:t>
      </w:r>
      <w:r>
        <w:rPr>
          <w:rFonts w:ascii="Arial" w:cs="Arial" w:eastAsia="Arial" w:hAnsi="Arial"/>
          <w:sz w:val="20"/>
          <w:szCs w:val="20"/>
          <w:color w:val="0000FF"/>
        </w:rPr>
        <w:t xml:space="preserve"> </w:t>
      </w:r>
      <w:r>
        <w:rPr>
          <w:rFonts w:ascii="Arial" w:cs="Arial" w:eastAsia="Arial" w:hAnsi="Arial"/>
          <w:sz w:val="20"/>
          <w:szCs w:val="20"/>
          <w:color w:val="000000"/>
        </w:rPr>
        <w:t>the Borrowers may replace such Lender in accordance with</w:t>
      </w:r>
      <w:r>
        <w:rPr>
          <w:rFonts w:ascii="Arial" w:cs="Arial" w:eastAsia="Arial" w:hAnsi="Arial"/>
          <w:sz w:val="20"/>
          <w:szCs w:val="20"/>
          <w:color w:val="0000FF"/>
        </w:rPr>
        <w:t xml:space="preserve"> </w:t>
      </w:r>
      <w:r>
        <w:rPr>
          <w:rFonts w:ascii="Arial" w:cs="Arial" w:eastAsia="Arial" w:hAnsi="Arial"/>
          <w:sz w:val="20"/>
          <w:szCs w:val="20"/>
          <w:u w:val="single" w:color="auto"/>
          <w:color w:val="000000"/>
        </w:rPr>
        <w:t>Section 11.13</w:t>
      </w:r>
      <w:r>
        <w:rPr>
          <w:rFonts w:ascii="Arial" w:cs="Arial" w:eastAsia="Arial" w:hAnsi="Arial"/>
          <w:sz w:val="20"/>
          <w:szCs w:val="20"/>
          <w:color w:val="000000"/>
        </w:rPr>
        <w:t>.</w:t>
      </w:r>
    </w:p>
    <w:p>
      <w:pPr>
        <w:spacing w:after="0" w:line="187" w:lineRule="exact"/>
        <w:rPr>
          <w:sz w:val="20"/>
          <w:szCs w:val="20"/>
          <w:color w:val="auto"/>
        </w:rPr>
      </w:pPr>
    </w:p>
    <w:p>
      <w:pPr>
        <w:ind w:right="40" w:firstLine="648"/>
        <w:spacing w:after="0" w:line="317" w:lineRule="auto"/>
        <w:rPr>
          <w:sz w:val="20"/>
          <w:szCs w:val="20"/>
          <w:color w:val="auto"/>
        </w:rPr>
      </w:pPr>
      <w:r>
        <w:rPr>
          <w:rFonts w:ascii="Arial" w:cs="Arial" w:eastAsia="Arial" w:hAnsi="Arial"/>
          <w:sz w:val="20"/>
          <w:szCs w:val="20"/>
          <w:color w:val="auto"/>
        </w:rPr>
        <w:t xml:space="preserve">3.07 </w:t>
      </w:r>
      <w:r>
        <w:rPr>
          <w:rFonts w:ascii="Arial" w:cs="Arial" w:eastAsia="Arial" w:hAnsi="Arial"/>
          <w:sz w:val="20"/>
          <w:szCs w:val="20"/>
          <w:u w:val="single" w:color="auto"/>
          <w:color w:val="auto"/>
        </w:rPr>
        <w:t>Survival Losses</w:t>
      </w:r>
      <w:r>
        <w:rPr>
          <w:rFonts w:ascii="Arial" w:cs="Arial" w:eastAsia="Arial" w:hAnsi="Arial"/>
          <w:sz w:val="20"/>
          <w:szCs w:val="20"/>
          <w:color w:val="auto"/>
        </w:rPr>
        <w:t xml:space="preserve">. All of the Borrowers’ obligations under this </w:t>
      </w:r>
      <w:r>
        <w:rPr>
          <w:rFonts w:ascii="Arial" w:cs="Arial" w:eastAsia="Arial" w:hAnsi="Arial"/>
          <w:sz w:val="20"/>
          <w:szCs w:val="20"/>
          <w:u w:val="single" w:color="auto"/>
          <w:color w:val="auto"/>
        </w:rPr>
        <w:t>Article III</w:t>
      </w:r>
      <w:r>
        <w:rPr>
          <w:rFonts w:ascii="Arial" w:cs="Arial" w:eastAsia="Arial" w:hAnsi="Arial"/>
          <w:sz w:val="20"/>
          <w:szCs w:val="20"/>
          <w:color w:val="auto"/>
        </w:rPr>
        <w:t xml:space="preserve"> shall survive termination of the commitments hereunder and repayment of the Loan Obligations.</w:t>
      </w:r>
    </w:p>
    <w:p>
      <w:pPr>
        <w:spacing w:after="0" w:line="156" w:lineRule="exact"/>
        <w:rPr>
          <w:sz w:val="20"/>
          <w:szCs w:val="20"/>
          <w:color w:val="auto"/>
        </w:rPr>
      </w:pPr>
    </w:p>
    <w:p>
      <w:pPr>
        <w:jc w:val="center"/>
        <w:ind w:right="200"/>
        <w:spacing w:after="0"/>
        <w:rPr>
          <w:sz w:val="20"/>
          <w:szCs w:val="20"/>
          <w:color w:val="auto"/>
        </w:rPr>
      </w:pPr>
      <w:r>
        <w:rPr>
          <w:rFonts w:ascii="Arial" w:cs="Arial" w:eastAsia="Arial" w:hAnsi="Arial"/>
          <w:sz w:val="20"/>
          <w:szCs w:val="20"/>
          <w:b w:val="1"/>
          <w:bCs w:val="1"/>
          <w:color w:val="auto"/>
        </w:rPr>
        <w:t>ARTICLE IV</w:t>
      </w:r>
    </w:p>
    <w:p>
      <w:pPr>
        <w:spacing w:after="0" w:line="324"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GUARANTY</w:t>
      </w:r>
    </w:p>
    <w:p>
      <w:pPr>
        <w:spacing w:after="0" w:line="262" w:lineRule="exact"/>
        <w:rPr>
          <w:sz w:val="20"/>
          <w:szCs w:val="20"/>
          <w:color w:val="auto"/>
        </w:rPr>
      </w:pPr>
    </w:p>
    <w:p>
      <w:pPr>
        <w:ind w:left="660"/>
        <w:spacing w:after="0"/>
        <w:tabs>
          <w:tab w:leader="none" w:pos="1160" w:val="left"/>
        </w:tabs>
        <w:rPr>
          <w:sz w:val="20"/>
          <w:szCs w:val="20"/>
          <w:color w:val="auto"/>
        </w:rPr>
      </w:pPr>
      <w:r>
        <w:rPr>
          <w:rFonts w:ascii="Arial" w:cs="Arial" w:eastAsia="Arial" w:hAnsi="Arial"/>
          <w:sz w:val="20"/>
          <w:szCs w:val="20"/>
          <w:color w:val="auto"/>
        </w:rPr>
        <w:t>4.01</w:t>
      </w:r>
      <w:r>
        <w:rPr>
          <w:sz w:val="20"/>
          <w:szCs w:val="20"/>
          <w:color w:val="auto"/>
        </w:rPr>
        <w:tab/>
      </w:r>
      <w:r>
        <w:rPr>
          <w:rFonts w:ascii="Arial" w:cs="Arial" w:eastAsia="Arial" w:hAnsi="Arial"/>
          <w:sz w:val="16"/>
          <w:szCs w:val="16"/>
          <w:u w:val="single" w:color="auto"/>
          <w:color w:val="auto"/>
        </w:rPr>
        <w:t>The Guaranty</w:t>
      </w:r>
      <w:r>
        <w:rPr>
          <w:rFonts w:ascii="Arial" w:cs="Arial" w:eastAsia="Arial" w:hAnsi="Arial"/>
          <w:sz w:val="16"/>
          <w:szCs w:val="16"/>
          <w:color w:val="auto"/>
        </w:rPr>
        <w:t>.</w:t>
      </w:r>
    </w:p>
    <w:p>
      <w:pPr>
        <w:spacing w:after="0" w:line="200" w:lineRule="exact"/>
        <w:rPr>
          <w:sz w:val="20"/>
          <w:szCs w:val="20"/>
          <w:color w:val="auto"/>
        </w:rPr>
      </w:pPr>
    </w:p>
    <w:p>
      <w:pPr>
        <w:spacing w:after="0" w:line="286"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128</w:t>
      </w:r>
    </w:p>
    <w:p>
      <w:pPr>
        <w:spacing w:after="0" w:line="10" w:lineRule="exact"/>
        <w:rPr>
          <w:sz w:val="20"/>
          <w:szCs w:val="20"/>
          <w:color w:val="auto"/>
        </w:rPr>
      </w:pPr>
    </w:p>
    <w:p>
      <w:pPr>
        <w:spacing w:after="0"/>
        <w:rPr>
          <w:sz w:val="20"/>
          <w:szCs w:val="20"/>
          <w:color w:val="auto"/>
        </w:rPr>
      </w:pPr>
      <w:r>
        <w:rPr>
          <w:rFonts w:ascii="Arial" w:cs="Arial" w:eastAsia="Arial" w:hAnsi="Arial"/>
          <w:sz w:val="14"/>
          <w:szCs w:val="14"/>
          <w:color w:val="auto"/>
        </w:rPr>
        <w:t>CHAR1\1346423v</w:t>
      </w:r>
      <w:r>
        <w:rPr>
          <w:rFonts w:ascii="Arial" w:cs="Arial" w:eastAsia="Arial" w:hAnsi="Arial"/>
          <w:sz w:val="14"/>
          <w:szCs w:val="14"/>
          <w:color w:val="FF0000"/>
          <w:strike w:val="1"/>
        </w:rPr>
        <w:t>1</w:t>
      </w:r>
      <w:r>
        <w:rPr>
          <w:rFonts w:ascii="Arial" w:cs="Arial" w:eastAsia="Arial" w:hAnsi="Arial"/>
          <w:sz w:val="14"/>
          <w:szCs w:val="14"/>
          <w:u w:val="single" w:color="auto"/>
          <w:color w:val="0000FF"/>
        </w:rPr>
        <w:t>12</w:t>
      </w:r>
    </w:p>
    <w:p>
      <w:pPr>
        <w:sectPr>
          <w:pgSz w:w="11900" w:h="16838" w:orient="portrait"/>
          <w:cols w:equalWidth="0" w:num="1">
            <w:col w:w="11400"/>
          </w:cols>
          <w:pgMar w:left="240" w:top="609" w:right="259" w:bottom="1440" w:gutter="0" w:footer="0" w:header="0"/>
        </w:sectPr>
      </w:pPr>
    </w:p>
    <w:bookmarkStart w:id="180" w:name="page181"/>
    <w:bookmarkEnd w:id="180"/>
    <w:p>
      <w:pPr>
        <w:ind w:left="1700" w:hanging="395"/>
        <w:spacing w:after="0"/>
        <w:tabs>
          <w:tab w:leader="none" w:pos="1700" w:val="left"/>
        </w:tabs>
        <w:numPr>
          <w:ilvl w:val="0"/>
          <w:numId w:val="183"/>
        </w:numPr>
        <w:rPr>
          <w:rFonts w:ascii="Arial" w:cs="Arial" w:eastAsia="Arial" w:hAnsi="Arial"/>
          <w:sz w:val="18"/>
          <w:szCs w:val="18"/>
          <w:color w:val="auto"/>
        </w:rPr>
      </w:pPr>
      <w:r>
        <w:rPr>
          <w:rFonts w:ascii="Arial" w:cs="Arial" w:eastAsia="Arial" w:hAnsi="Arial"/>
          <w:sz w:val="18"/>
          <w:szCs w:val="18"/>
          <w:color w:val="auto"/>
        </w:rPr>
        <w:t>Each of the Domestic Guarantors hereby jointly and severally guarantees to the Administrative Agent and each of the</w:t>
      </w:r>
    </w:p>
    <w:p>
      <w:pPr>
        <w:spacing w:after="0" w:line="76" w:lineRule="exact"/>
        <w:rPr>
          <w:rFonts w:ascii="Arial" w:cs="Arial" w:eastAsia="Arial" w:hAnsi="Arial"/>
          <w:sz w:val="18"/>
          <w:szCs w:val="18"/>
          <w:color w:val="auto"/>
        </w:rPr>
      </w:pPr>
    </w:p>
    <w:p>
      <w:pPr>
        <w:ind w:left="660"/>
        <w:spacing w:after="0" w:line="320" w:lineRule="auto"/>
        <w:rPr>
          <w:rFonts w:ascii="Arial" w:cs="Arial" w:eastAsia="Arial" w:hAnsi="Arial"/>
          <w:sz w:val="18"/>
          <w:szCs w:val="18"/>
          <w:color w:val="auto"/>
        </w:rPr>
      </w:pPr>
      <w:r>
        <w:rPr>
          <w:rFonts w:ascii="Arial" w:cs="Arial" w:eastAsia="Arial" w:hAnsi="Arial"/>
          <w:sz w:val="18"/>
          <w:szCs w:val="18"/>
          <w:color w:val="auto"/>
        </w:rPr>
        <w:t xml:space="preserve">holders of the Obligations as hereinafter provided, as primary obligor and not as surety, the prompt payment of the Obligations </w:t>
      </w:r>
      <w:r>
        <w:rPr>
          <w:rFonts w:ascii="Arial" w:cs="Arial" w:eastAsia="Arial" w:hAnsi="Arial"/>
          <w:sz w:val="18"/>
          <w:szCs w:val="18"/>
          <w:u w:val="single" w:color="auto"/>
          <w:color w:val="0000FF"/>
        </w:rPr>
        <w:t>(the</w:t>
      </w:r>
      <w:r>
        <w:rPr>
          <w:rFonts w:ascii="Arial" w:cs="Arial" w:eastAsia="Arial" w:hAnsi="Arial"/>
          <w:sz w:val="18"/>
          <w:szCs w:val="18"/>
          <w:color w:val="auto"/>
        </w:rPr>
        <w:t xml:space="preserve"> </w:t>
      </w:r>
      <w:r>
        <w:rPr>
          <w:rFonts w:ascii="Arial" w:cs="Arial" w:eastAsia="Arial" w:hAnsi="Arial"/>
          <w:sz w:val="18"/>
          <w:szCs w:val="18"/>
          <w:u w:val="single" w:color="auto"/>
          <w:color w:val="0000FF"/>
        </w:rPr>
        <w:t>“Guaranteed Obligations”)</w:t>
      </w:r>
      <w:r>
        <w:rPr>
          <w:rFonts w:ascii="Arial" w:cs="Arial" w:eastAsia="Arial" w:hAnsi="Arial"/>
          <w:sz w:val="18"/>
          <w:szCs w:val="18"/>
          <w:color w:val="0000FF"/>
        </w:rPr>
        <w:t xml:space="preserve"> </w:t>
      </w:r>
      <w:r>
        <w:rPr>
          <w:rFonts w:ascii="Arial" w:cs="Arial" w:eastAsia="Arial" w:hAnsi="Arial"/>
          <w:sz w:val="18"/>
          <w:szCs w:val="18"/>
          <w:color w:val="000000"/>
        </w:rPr>
        <w:t>in full when due (whether at stated maturity, as a mandatory prepayment, by acceleration, as a mandatory</w:t>
      </w:r>
      <w:r>
        <w:rPr>
          <w:rFonts w:ascii="Arial" w:cs="Arial" w:eastAsia="Arial" w:hAnsi="Arial"/>
          <w:sz w:val="18"/>
          <w:szCs w:val="18"/>
          <w:color w:val="0000FF"/>
        </w:rPr>
        <w:t xml:space="preserve"> </w:t>
      </w:r>
      <w:r>
        <w:rPr>
          <w:rFonts w:ascii="Arial" w:cs="Arial" w:eastAsia="Arial" w:hAnsi="Arial"/>
          <w:sz w:val="18"/>
          <w:szCs w:val="18"/>
          <w:color w:val="000000"/>
        </w:rPr>
        <w:t>cash collateralization or otherwise) strictly in accordance with the terms thereof. The Domestic Guarantors hereby further agree that if any of the Obligations are not paid in full when due (whether at stated maturity, as a mandatory prepayment, by acceleration, as a mandatory cash collateralization or otherwise), the Domestic Guarantors will, jointly and severally, promptly pay the same, without any demand or notice whatsoever, and that in the case of any extension of time of payment or renewal of any of the Obligations, the same will be promptly paid in full when due (whether at extended maturity, as a mandatory prepayment, by acceleration, as a mandatory cash collateralization or otherwise) in accordance with the terms of such extension or renewal.</w:t>
      </w:r>
    </w:p>
    <w:p>
      <w:pPr>
        <w:spacing w:after="0" w:line="169" w:lineRule="exact"/>
        <w:rPr>
          <w:rFonts w:ascii="Arial" w:cs="Arial" w:eastAsia="Arial" w:hAnsi="Arial"/>
          <w:sz w:val="18"/>
          <w:szCs w:val="18"/>
          <w:color w:val="auto"/>
        </w:rPr>
      </w:pPr>
    </w:p>
    <w:p>
      <w:pPr>
        <w:ind w:left="1720" w:hanging="415"/>
        <w:spacing w:after="0"/>
        <w:tabs>
          <w:tab w:leader="none" w:pos="1720" w:val="left"/>
        </w:tabs>
        <w:numPr>
          <w:ilvl w:val="0"/>
          <w:numId w:val="183"/>
        </w:numPr>
        <w:rPr>
          <w:rFonts w:ascii="Arial" w:cs="Arial" w:eastAsia="Arial" w:hAnsi="Arial"/>
          <w:sz w:val="19"/>
          <w:szCs w:val="19"/>
          <w:color w:val="auto"/>
        </w:rPr>
      </w:pPr>
      <w:r>
        <w:rPr>
          <w:rFonts w:ascii="Arial" w:cs="Arial" w:eastAsia="Arial" w:hAnsi="Arial"/>
          <w:sz w:val="19"/>
          <w:szCs w:val="19"/>
          <w:color w:val="auto"/>
        </w:rPr>
        <w:t xml:space="preserve">Notwithstanding any provision to the contrary contained herein or in any other of the Credit Documents </w:t>
      </w:r>
      <w:r>
        <w:rPr>
          <w:rFonts w:ascii="Arial" w:cs="Arial" w:eastAsia="Arial" w:hAnsi="Arial"/>
          <w:sz w:val="19"/>
          <w:szCs w:val="19"/>
          <w:color w:val="FF0000"/>
          <w:strike w:val="1"/>
        </w:rPr>
        <w:t>or</w:t>
      </w:r>
      <w:r>
        <w:rPr>
          <w:rFonts w:ascii="Arial" w:cs="Arial" w:eastAsia="Arial" w:hAnsi="Arial"/>
          <w:sz w:val="19"/>
          <w:szCs w:val="19"/>
          <w:u w:val="single" w:color="auto"/>
          <w:color w:val="0000FF"/>
        </w:rPr>
        <w:t>,</w:t>
      </w:r>
      <w:r>
        <w:rPr>
          <w:rFonts w:ascii="Arial" w:cs="Arial" w:eastAsia="Arial" w:hAnsi="Arial"/>
          <w:sz w:val="19"/>
          <w:szCs w:val="19"/>
          <w:color w:val="auto"/>
        </w:rPr>
        <w:t xml:space="preserve"> Swap</w:t>
      </w:r>
    </w:p>
    <w:p>
      <w:pPr>
        <w:spacing w:after="0" w:line="65" w:lineRule="exact"/>
        <w:rPr>
          <w:rFonts w:ascii="Arial" w:cs="Arial" w:eastAsia="Arial" w:hAnsi="Arial"/>
          <w:sz w:val="19"/>
          <w:szCs w:val="19"/>
          <w:color w:val="auto"/>
        </w:rPr>
      </w:pPr>
    </w:p>
    <w:p>
      <w:pPr>
        <w:ind w:left="660" w:right="140"/>
        <w:spacing w:after="0" w:line="305" w:lineRule="auto"/>
        <w:rPr>
          <w:rFonts w:ascii="Arial" w:cs="Arial" w:eastAsia="Arial" w:hAnsi="Arial"/>
          <w:sz w:val="19"/>
          <w:szCs w:val="19"/>
          <w:color w:val="auto"/>
        </w:rPr>
      </w:pPr>
      <w:r>
        <w:rPr>
          <w:rFonts w:ascii="Arial" w:cs="Arial" w:eastAsia="Arial" w:hAnsi="Arial"/>
          <w:sz w:val="19"/>
          <w:szCs w:val="19"/>
          <w:color w:val="auto"/>
        </w:rPr>
        <w:t xml:space="preserve">Contracts, </w:t>
      </w:r>
      <w:r>
        <w:rPr>
          <w:rFonts w:ascii="Arial" w:cs="Arial" w:eastAsia="Arial" w:hAnsi="Arial"/>
          <w:sz w:val="19"/>
          <w:szCs w:val="19"/>
          <w:u w:val="single" w:color="auto"/>
          <w:color w:val="0000FF"/>
        </w:rPr>
        <w:t>Treasury Management Agreements or other documents relating to the Guaranteed Obligations, (i)</w:t>
      </w:r>
      <w:r>
        <w:rPr>
          <w:rFonts w:ascii="Arial" w:cs="Arial" w:eastAsia="Arial" w:hAnsi="Arial"/>
          <w:sz w:val="19"/>
          <w:szCs w:val="19"/>
          <w:color w:val="auto"/>
        </w:rPr>
        <w:t xml:space="preserve"> the obligations of each Guarantor (in its capacity as such) under this Credit Agreement and the other Credit Documents shall be limited (</w:t>
      </w:r>
      <w:r>
        <w:rPr>
          <w:rFonts w:ascii="Arial" w:cs="Arial" w:eastAsia="Arial" w:hAnsi="Arial"/>
          <w:sz w:val="19"/>
          <w:szCs w:val="19"/>
          <w:color w:val="FF0000"/>
          <w:strike w:val="1"/>
        </w:rPr>
        <w:t>i</w:t>
      </w:r>
      <w:r>
        <w:rPr>
          <w:rFonts w:ascii="Arial" w:cs="Arial" w:eastAsia="Arial" w:hAnsi="Arial"/>
          <w:sz w:val="19"/>
          <w:szCs w:val="19"/>
          <w:u w:val="single" w:color="auto"/>
          <w:color w:val="0000FF"/>
        </w:rPr>
        <w:t>A</w:t>
      </w:r>
      <w:r>
        <w:rPr>
          <w:rFonts w:ascii="Arial" w:cs="Arial" w:eastAsia="Arial" w:hAnsi="Arial"/>
          <w:sz w:val="19"/>
          <w:szCs w:val="19"/>
          <w:color w:val="auto"/>
        </w:rPr>
        <w:t xml:space="preserve">) as provided in </w:t>
      </w:r>
      <w:r>
        <w:rPr>
          <w:rFonts w:ascii="Arial" w:cs="Arial" w:eastAsia="Arial" w:hAnsi="Arial"/>
          <w:sz w:val="19"/>
          <w:szCs w:val="19"/>
          <w:u w:val="single" w:color="auto"/>
          <w:color w:val="auto"/>
        </w:rPr>
        <w:t>Section 7.17</w:t>
      </w:r>
      <w:r>
        <w:rPr>
          <w:rFonts w:ascii="Arial" w:cs="Arial" w:eastAsia="Arial" w:hAnsi="Arial"/>
          <w:sz w:val="19"/>
          <w:szCs w:val="19"/>
          <w:color w:val="auto"/>
        </w:rPr>
        <w:t xml:space="preserve"> and (</w:t>
      </w:r>
      <w:r>
        <w:rPr>
          <w:rFonts w:ascii="Arial" w:cs="Arial" w:eastAsia="Arial" w:hAnsi="Arial"/>
          <w:sz w:val="19"/>
          <w:szCs w:val="19"/>
          <w:color w:val="FF0000"/>
          <w:strike w:val="1"/>
        </w:rPr>
        <w:t>ii</w:t>
      </w:r>
      <w:r>
        <w:rPr>
          <w:rFonts w:ascii="Arial" w:cs="Arial" w:eastAsia="Arial" w:hAnsi="Arial"/>
          <w:sz w:val="19"/>
          <w:szCs w:val="19"/>
          <w:u w:val="single" w:color="auto"/>
          <w:color w:val="0000FF"/>
        </w:rPr>
        <w:t>B</w:t>
      </w:r>
      <w:r>
        <w:rPr>
          <w:rFonts w:ascii="Arial" w:cs="Arial" w:eastAsia="Arial" w:hAnsi="Arial"/>
          <w:sz w:val="19"/>
          <w:szCs w:val="19"/>
          <w:color w:val="auto"/>
        </w:rPr>
        <w:t xml:space="preserve">) to an aggregate amount equal to the largest amount that would not render such obligations subject to avoidance under the Debtor Relief Laws or any comparable provisions of any applicable Law </w:t>
      </w:r>
      <w:r>
        <w:rPr>
          <w:rFonts w:ascii="Arial" w:cs="Arial" w:eastAsia="Arial" w:hAnsi="Arial"/>
          <w:sz w:val="19"/>
          <w:szCs w:val="19"/>
          <w:u w:val="single" w:color="auto"/>
          <w:color w:val="0000FF"/>
        </w:rPr>
        <w:t>and (ii) the Guaranteed Obligations of a Guarantor</w:t>
      </w:r>
      <w:r>
        <w:rPr>
          <w:rFonts w:ascii="Arial" w:cs="Arial" w:eastAsia="Arial" w:hAnsi="Arial"/>
          <w:sz w:val="19"/>
          <w:szCs w:val="19"/>
          <w:color w:val="auto"/>
        </w:rPr>
        <w:t xml:space="preserve"> </w:t>
      </w:r>
      <w:r>
        <w:rPr>
          <w:rFonts w:ascii="Arial" w:cs="Arial" w:eastAsia="Arial" w:hAnsi="Arial"/>
          <w:sz w:val="19"/>
          <w:szCs w:val="19"/>
          <w:u w:val="single" w:color="auto"/>
          <w:color w:val="0000FF"/>
        </w:rPr>
        <w:t>shall exclude any Excluded Swap Obligations of such Guarantor</w:t>
      </w:r>
      <w:r>
        <w:rPr>
          <w:rFonts w:ascii="Arial" w:cs="Arial" w:eastAsia="Arial" w:hAnsi="Arial"/>
          <w:sz w:val="19"/>
          <w:szCs w:val="19"/>
          <w:color w:val="000000"/>
        </w:rPr>
        <w:t>.</w:t>
      </w:r>
    </w:p>
    <w:p>
      <w:pPr>
        <w:spacing w:after="0" w:line="178" w:lineRule="exact"/>
        <w:rPr>
          <w:sz w:val="20"/>
          <w:szCs w:val="20"/>
          <w:color w:val="auto"/>
        </w:rPr>
      </w:pPr>
    </w:p>
    <w:p>
      <w:pPr>
        <w:ind w:left="660"/>
        <w:spacing w:after="0"/>
        <w:tabs>
          <w:tab w:leader="none" w:pos="1160" w:val="left"/>
        </w:tabs>
        <w:rPr>
          <w:sz w:val="20"/>
          <w:szCs w:val="20"/>
          <w:color w:val="auto"/>
        </w:rPr>
      </w:pPr>
      <w:r>
        <w:rPr>
          <w:rFonts w:ascii="Arial" w:cs="Arial" w:eastAsia="Arial" w:hAnsi="Arial"/>
          <w:sz w:val="20"/>
          <w:szCs w:val="20"/>
          <w:color w:val="auto"/>
        </w:rPr>
        <w:t>4.02</w:t>
      </w:r>
      <w:r>
        <w:rPr>
          <w:sz w:val="20"/>
          <w:szCs w:val="20"/>
          <w:color w:val="auto"/>
        </w:rPr>
        <w:tab/>
      </w:r>
      <w:r>
        <w:rPr>
          <w:rFonts w:ascii="Arial" w:cs="Arial" w:eastAsia="Arial" w:hAnsi="Arial"/>
          <w:sz w:val="18"/>
          <w:szCs w:val="18"/>
          <w:u w:val="single" w:color="auto"/>
          <w:color w:val="auto"/>
        </w:rPr>
        <w:t>Obligations Unconditional</w:t>
      </w:r>
      <w:r>
        <w:rPr>
          <w:rFonts w:ascii="Arial" w:cs="Arial" w:eastAsia="Arial" w:hAnsi="Arial"/>
          <w:sz w:val="18"/>
          <w:szCs w:val="18"/>
          <w:color w:val="auto"/>
        </w:rPr>
        <w:t>.</w:t>
      </w:r>
    </w:p>
    <w:p>
      <w:pPr>
        <w:spacing w:after="0" w:line="270" w:lineRule="exact"/>
        <w:rPr>
          <w:sz w:val="20"/>
          <w:szCs w:val="20"/>
          <w:color w:val="auto"/>
        </w:rPr>
      </w:pPr>
    </w:p>
    <w:p>
      <w:pPr>
        <w:ind w:left="1700" w:hanging="395"/>
        <w:spacing w:after="0"/>
        <w:tabs>
          <w:tab w:leader="none" w:pos="1700" w:val="left"/>
        </w:tabs>
        <w:numPr>
          <w:ilvl w:val="0"/>
          <w:numId w:val="184"/>
        </w:numPr>
        <w:rPr>
          <w:rFonts w:ascii="Arial" w:cs="Arial" w:eastAsia="Arial" w:hAnsi="Arial"/>
          <w:sz w:val="19"/>
          <w:szCs w:val="19"/>
          <w:color w:val="auto"/>
        </w:rPr>
      </w:pPr>
      <w:r>
        <w:rPr>
          <w:rFonts w:ascii="Arial" w:cs="Arial" w:eastAsia="Arial" w:hAnsi="Arial"/>
          <w:sz w:val="19"/>
          <w:szCs w:val="19"/>
          <w:color w:val="auto"/>
        </w:rPr>
        <w:t xml:space="preserve">The obligations of the Domestic Guarantors under </w:t>
      </w:r>
      <w:r>
        <w:rPr>
          <w:rFonts w:ascii="Arial" w:cs="Arial" w:eastAsia="Arial" w:hAnsi="Arial"/>
          <w:sz w:val="19"/>
          <w:szCs w:val="19"/>
          <w:u w:val="single" w:color="auto"/>
          <w:color w:val="auto"/>
        </w:rPr>
        <w:t>Section 4.01</w:t>
      </w:r>
      <w:r>
        <w:rPr>
          <w:rFonts w:ascii="Arial" w:cs="Arial" w:eastAsia="Arial" w:hAnsi="Arial"/>
          <w:sz w:val="19"/>
          <w:szCs w:val="19"/>
          <w:color w:val="auto"/>
        </w:rPr>
        <w:t xml:space="preserve"> are joint and several, absolute and unconditional,</w:t>
      </w:r>
    </w:p>
    <w:p>
      <w:pPr>
        <w:spacing w:after="0" w:line="65" w:lineRule="exact"/>
        <w:rPr>
          <w:rFonts w:ascii="Arial" w:cs="Arial" w:eastAsia="Arial" w:hAnsi="Arial"/>
          <w:sz w:val="19"/>
          <w:szCs w:val="19"/>
          <w:color w:val="auto"/>
        </w:rPr>
      </w:pPr>
    </w:p>
    <w:p>
      <w:pPr>
        <w:ind w:left="660" w:right="60"/>
        <w:spacing w:after="0" w:line="301" w:lineRule="auto"/>
        <w:rPr>
          <w:rFonts w:ascii="Arial" w:cs="Arial" w:eastAsia="Arial" w:hAnsi="Arial"/>
          <w:sz w:val="19"/>
          <w:szCs w:val="19"/>
          <w:color w:val="auto"/>
        </w:rPr>
      </w:pPr>
      <w:r>
        <w:rPr>
          <w:rFonts w:ascii="Arial" w:cs="Arial" w:eastAsia="Arial" w:hAnsi="Arial"/>
          <w:sz w:val="19"/>
          <w:szCs w:val="19"/>
          <w:color w:val="auto"/>
        </w:rPr>
        <w:t xml:space="preserve">irrespective of the value, genuineness, validity, regularity or enforceability of any of the Credit Documents or other documents relating to the Obligations, or any substitution, compromise, release, impairment or exchange of any other guarantee of or security for any of the Obligations, and, to the fullest extent permitted by applicable Law, irrespective of any other circumstance whatsoever that might otherwise constitute a legal or equitable discharge or defense of a surety or guarantor, it being the intent of this </w:t>
      </w:r>
      <w:r>
        <w:rPr>
          <w:rFonts w:ascii="Arial" w:cs="Arial" w:eastAsia="Arial" w:hAnsi="Arial"/>
          <w:sz w:val="19"/>
          <w:szCs w:val="19"/>
          <w:u w:val="single" w:color="auto"/>
          <w:color w:val="auto"/>
        </w:rPr>
        <w:t>Section 4.02</w:t>
      </w:r>
      <w:r>
        <w:rPr>
          <w:rFonts w:ascii="Arial" w:cs="Arial" w:eastAsia="Arial" w:hAnsi="Arial"/>
          <w:sz w:val="19"/>
          <w:szCs w:val="19"/>
          <w:color w:val="auto"/>
        </w:rPr>
        <w:t xml:space="preserve"> that the obligations of the Domestic Guarantors hereunder shall be absolute and unconditional under any and all circumstances. Each Domestic Guarantor agrees that it shall have no right of subrogation, indemnity, reimbursement or contribution against the Borrowers or any other Guarantor for amounts paid under this </w:t>
      </w:r>
      <w:r>
        <w:rPr>
          <w:rFonts w:ascii="Arial" w:cs="Arial" w:eastAsia="Arial" w:hAnsi="Arial"/>
          <w:sz w:val="19"/>
          <w:szCs w:val="19"/>
          <w:u w:val="single" w:color="auto"/>
          <w:color w:val="auto"/>
        </w:rPr>
        <w:t>Article IV</w:t>
      </w:r>
      <w:r>
        <w:rPr>
          <w:rFonts w:ascii="Arial" w:cs="Arial" w:eastAsia="Arial" w:hAnsi="Arial"/>
          <w:sz w:val="19"/>
          <w:szCs w:val="19"/>
          <w:color w:val="auto"/>
        </w:rPr>
        <w:t xml:space="preserve"> until such time as the Obligations have been irrevocably paid in full and the commitments relating thereto have expired or terminated.</w:t>
      </w:r>
    </w:p>
    <w:p>
      <w:pPr>
        <w:spacing w:after="0" w:line="184" w:lineRule="exact"/>
        <w:rPr>
          <w:rFonts w:ascii="Arial" w:cs="Arial" w:eastAsia="Arial" w:hAnsi="Arial"/>
          <w:sz w:val="19"/>
          <w:szCs w:val="19"/>
          <w:color w:val="auto"/>
        </w:rPr>
      </w:pPr>
    </w:p>
    <w:p>
      <w:pPr>
        <w:ind w:left="1720" w:hanging="415"/>
        <w:spacing w:after="0"/>
        <w:tabs>
          <w:tab w:leader="none" w:pos="1720" w:val="left"/>
        </w:tabs>
        <w:numPr>
          <w:ilvl w:val="0"/>
          <w:numId w:val="184"/>
        </w:numPr>
        <w:rPr>
          <w:rFonts w:ascii="Arial" w:cs="Arial" w:eastAsia="Arial" w:hAnsi="Arial"/>
          <w:sz w:val="18"/>
          <w:szCs w:val="18"/>
          <w:color w:val="auto"/>
        </w:rPr>
      </w:pPr>
      <w:r>
        <w:rPr>
          <w:rFonts w:ascii="Arial" w:cs="Arial" w:eastAsia="Arial" w:hAnsi="Arial"/>
          <w:sz w:val="18"/>
          <w:szCs w:val="18"/>
          <w:color w:val="auto"/>
        </w:rPr>
        <w:t>Without limiting the generality of the foregoing subsection, it is agreed that, to the fullest extent permitted by Law, the</w:t>
      </w:r>
    </w:p>
    <w:p>
      <w:pPr>
        <w:spacing w:after="0" w:line="76" w:lineRule="exact"/>
        <w:rPr>
          <w:rFonts w:ascii="Arial" w:cs="Arial" w:eastAsia="Arial" w:hAnsi="Arial"/>
          <w:sz w:val="18"/>
          <w:szCs w:val="18"/>
          <w:color w:val="auto"/>
        </w:rPr>
      </w:pPr>
    </w:p>
    <w:p>
      <w:pPr>
        <w:ind w:left="660" w:right="100"/>
        <w:spacing w:after="0" w:line="303" w:lineRule="auto"/>
        <w:rPr>
          <w:rFonts w:ascii="Arial" w:cs="Arial" w:eastAsia="Arial" w:hAnsi="Arial"/>
          <w:sz w:val="18"/>
          <w:szCs w:val="18"/>
          <w:color w:val="auto"/>
        </w:rPr>
      </w:pPr>
      <w:r>
        <w:rPr>
          <w:rFonts w:ascii="Arial" w:cs="Arial" w:eastAsia="Arial" w:hAnsi="Arial"/>
          <w:sz w:val="20"/>
          <w:szCs w:val="20"/>
          <w:color w:val="auto"/>
        </w:rPr>
        <w:t>occurrence of any one or more of the following shall not alter or impair the liability of any Domestic Guarantor hereunder, which shall remain absolute and unconditional as described above:</w:t>
      </w:r>
    </w:p>
    <w:p>
      <w:pPr>
        <w:spacing w:after="0" w:line="392"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129</w:t>
      </w:r>
    </w:p>
    <w:p>
      <w:pPr>
        <w:spacing w:after="0" w:line="10" w:lineRule="exact"/>
        <w:rPr>
          <w:sz w:val="20"/>
          <w:szCs w:val="20"/>
          <w:color w:val="auto"/>
        </w:rPr>
      </w:pPr>
    </w:p>
    <w:p>
      <w:pPr>
        <w:spacing w:after="0"/>
        <w:rPr>
          <w:sz w:val="20"/>
          <w:szCs w:val="20"/>
          <w:color w:val="auto"/>
        </w:rPr>
      </w:pPr>
      <w:r>
        <w:rPr>
          <w:rFonts w:ascii="Arial" w:cs="Arial" w:eastAsia="Arial" w:hAnsi="Arial"/>
          <w:sz w:val="14"/>
          <w:szCs w:val="14"/>
          <w:color w:val="auto"/>
        </w:rPr>
        <w:t>CHAR1\1346423v</w:t>
      </w:r>
      <w:r>
        <w:rPr>
          <w:rFonts w:ascii="Arial" w:cs="Arial" w:eastAsia="Arial" w:hAnsi="Arial"/>
          <w:sz w:val="14"/>
          <w:szCs w:val="14"/>
          <w:color w:val="FF0000"/>
          <w:strike w:val="1"/>
        </w:rPr>
        <w:t>1</w:t>
      </w:r>
      <w:r>
        <w:rPr>
          <w:rFonts w:ascii="Arial" w:cs="Arial" w:eastAsia="Arial" w:hAnsi="Arial"/>
          <w:sz w:val="14"/>
          <w:szCs w:val="14"/>
          <w:u w:val="single" w:color="auto"/>
          <w:color w:val="0000FF"/>
        </w:rPr>
        <w:t>12</w:t>
      </w:r>
    </w:p>
    <w:p>
      <w:pPr>
        <w:sectPr>
          <w:pgSz w:w="11900" w:h="16838" w:orient="portrait"/>
          <w:cols w:equalWidth="0" w:num="1">
            <w:col w:w="11420"/>
          </w:cols>
          <w:pgMar w:left="240" w:top="609" w:right="239" w:bottom="1440" w:gutter="0" w:footer="0" w:header="0"/>
        </w:sectPr>
      </w:pPr>
    </w:p>
    <w:bookmarkStart w:id="181" w:name="page182"/>
    <w:bookmarkEnd w:id="181"/>
    <w:p>
      <w:pPr>
        <w:ind w:left="1300" w:right="120" w:firstLine="653"/>
        <w:spacing w:after="0" w:line="321" w:lineRule="auto"/>
        <w:tabs>
          <w:tab w:leader="none" w:pos="2332" w:val="left"/>
        </w:tabs>
        <w:numPr>
          <w:ilvl w:val="1"/>
          <w:numId w:val="185"/>
        </w:numPr>
        <w:rPr>
          <w:rFonts w:ascii="Arial" w:cs="Arial" w:eastAsia="Arial" w:hAnsi="Arial"/>
          <w:sz w:val="22"/>
          <w:szCs w:val="22"/>
          <w:color w:val="auto"/>
        </w:rPr>
      </w:pPr>
      <w:r>
        <w:rPr>
          <w:rFonts w:ascii="Arial" w:cs="Arial" w:eastAsia="Arial" w:hAnsi="Arial"/>
          <w:sz w:val="20"/>
          <w:szCs w:val="20"/>
          <w:color w:val="auto"/>
        </w:rPr>
        <w:t>at any time or from time to time, without notice to any Guarantor, the time for any performance of or compliance with any of the Obligations shall be extended, or such performance or compliance shall be waived;</w:t>
      </w:r>
    </w:p>
    <w:p>
      <w:pPr>
        <w:spacing w:after="0" w:line="177" w:lineRule="exact"/>
        <w:rPr>
          <w:rFonts w:ascii="Arial" w:cs="Arial" w:eastAsia="Arial" w:hAnsi="Arial"/>
          <w:sz w:val="22"/>
          <w:szCs w:val="22"/>
          <w:color w:val="auto"/>
        </w:rPr>
      </w:pPr>
    </w:p>
    <w:p>
      <w:pPr>
        <w:ind w:left="1300" w:right="20" w:firstLine="653"/>
        <w:spacing w:after="0" w:line="351" w:lineRule="auto"/>
        <w:tabs>
          <w:tab w:leader="none" w:pos="2392" w:val="left"/>
        </w:tabs>
        <w:numPr>
          <w:ilvl w:val="1"/>
          <w:numId w:val="185"/>
        </w:numPr>
        <w:rPr>
          <w:rFonts w:ascii="Arial" w:cs="Arial" w:eastAsia="Arial" w:hAnsi="Arial"/>
          <w:sz w:val="21"/>
          <w:szCs w:val="21"/>
          <w:color w:val="auto"/>
        </w:rPr>
      </w:pPr>
      <w:r>
        <w:rPr>
          <w:rFonts w:ascii="Arial" w:cs="Arial" w:eastAsia="Arial" w:hAnsi="Arial"/>
          <w:sz w:val="19"/>
          <w:szCs w:val="19"/>
          <w:color w:val="auto"/>
        </w:rPr>
        <w:t>any of the acts mentioned in any of the provisions of any of the Credit Documents, or other documents relating to the Obligations or any other agreement or instrument referred to therein shall be done or omitted;</w:t>
      </w:r>
    </w:p>
    <w:p>
      <w:pPr>
        <w:spacing w:after="0" w:line="151" w:lineRule="exact"/>
        <w:rPr>
          <w:rFonts w:ascii="Arial" w:cs="Arial" w:eastAsia="Arial" w:hAnsi="Arial"/>
          <w:sz w:val="21"/>
          <w:szCs w:val="21"/>
          <w:color w:val="auto"/>
        </w:rPr>
      </w:pPr>
    </w:p>
    <w:p>
      <w:pPr>
        <w:ind w:left="1300" w:right="240" w:firstLine="653"/>
        <w:spacing w:after="0" w:line="359" w:lineRule="auto"/>
        <w:tabs>
          <w:tab w:leader="none" w:pos="2452" w:val="left"/>
        </w:tabs>
        <w:numPr>
          <w:ilvl w:val="1"/>
          <w:numId w:val="185"/>
        </w:numPr>
        <w:rPr>
          <w:rFonts w:ascii="Arial" w:cs="Arial" w:eastAsia="Arial" w:hAnsi="Arial"/>
          <w:sz w:val="19"/>
          <w:szCs w:val="19"/>
          <w:color w:val="auto"/>
        </w:rPr>
      </w:pPr>
      <w:r>
        <w:rPr>
          <w:rFonts w:ascii="Arial" w:cs="Arial" w:eastAsia="Arial" w:hAnsi="Arial"/>
          <w:sz w:val="18"/>
          <w:szCs w:val="18"/>
          <w:color w:val="auto"/>
        </w:rPr>
        <w:t>the maturity of any of the Obligations shall be accelerated, or any of the Obligations shall be modified, supplemented or amended in any respect, or any right under any of the Credit Documents or any other documents relating to the Obligations or any other agreement or instrument referred to therein shall be waived or any other guarantee of any of the Obligations or any security therefor shall be released, impaired or exchanged in whole or in part or otherwise dealt with;</w:t>
      </w:r>
    </w:p>
    <w:p>
      <w:pPr>
        <w:spacing w:after="0" w:line="162" w:lineRule="exact"/>
        <w:rPr>
          <w:rFonts w:ascii="Arial" w:cs="Arial" w:eastAsia="Arial" w:hAnsi="Arial"/>
          <w:sz w:val="19"/>
          <w:szCs w:val="19"/>
          <w:color w:val="auto"/>
        </w:rPr>
      </w:pPr>
    </w:p>
    <w:p>
      <w:pPr>
        <w:ind w:left="1300" w:right="60" w:firstLine="653"/>
        <w:spacing w:after="0" w:line="321" w:lineRule="auto"/>
        <w:tabs>
          <w:tab w:leader="none" w:pos="2440" w:val="left"/>
        </w:tabs>
        <w:numPr>
          <w:ilvl w:val="1"/>
          <w:numId w:val="185"/>
        </w:numPr>
        <w:rPr>
          <w:rFonts w:ascii="Arial" w:cs="Arial" w:eastAsia="Arial" w:hAnsi="Arial"/>
          <w:sz w:val="22"/>
          <w:szCs w:val="22"/>
          <w:color w:val="auto"/>
        </w:rPr>
      </w:pPr>
      <w:r>
        <w:rPr>
          <w:rFonts w:ascii="Arial" w:cs="Arial" w:eastAsia="Arial" w:hAnsi="Arial"/>
          <w:sz w:val="20"/>
          <w:szCs w:val="20"/>
          <w:color w:val="auto"/>
        </w:rPr>
        <w:t>any Lien granted to, or in favor of, the Administrative Agent or any holder of the Obligations as security for any of the Obligations shall fail to attach or be perfected; or</w:t>
      </w:r>
    </w:p>
    <w:p>
      <w:pPr>
        <w:spacing w:after="0" w:line="177" w:lineRule="exact"/>
        <w:rPr>
          <w:rFonts w:ascii="Arial" w:cs="Arial" w:eastAsia="Arial" w:hAnsi="Arial"/>
          <w:sz w:val="22"/>
          <w:szCs w:val="22"/>
          <w:color w:val="auto"/>
        </w:rPr>
      </w:pPr>
    </w:p>
    <w:p>
      <w:pPr>
        <w:ind w:left="1300" w:right="60" w:firstLine="653"/>
        <w:spacing w:after="0" w:line="351" w:lineRule="auto"/>
        <w:tabs>
          <w:tab w:leader="none" w:pos="2380" w:val="left"/>
        </w:tabs>
        <w:numPr>
          <w:ilvl w:val="1"/>
          <w:numId w:val="185"/>
        </w:numPr>
        <w:rPr>
          <w:rFonts w:ascii="Arial" w:cs="Arial" w:eastAsia="Arial" w:hAnsi="Arial"/>
          <w:sz w:val="21"/>
          <w:szCs w:val="21"/>
          <w:color w:val="auto"/>
        </w:rPr>
      </w:pPr>
      <w:r>
        <w:rPr>
          <w:rFonts w:ascii="Arial" w:cs="Arial" w:eastAsia="Arial" w:hAnsi="Arial"/>
          <w:sz w:val="19"/>
          <w:szCs w:val="19"/>
          <w:color w:val="auto"/>
        </w:rPr>
        <w:t>any of the Obligations shall be determined to be void or voidable (including for the benefit of any creditor of any Guarantor) or shall be subordinated to the claims of any Person (including any creditor of any Guarantor).</w:t>
      </w:r>
    </w:p>
    <w:p>
      <w:pPr>
        <w:spacing w:after="0" w:line="137" w:lineRule="exact"/>
        <w:rPr>
          <w:rFonts w:ascii="Arial" w:cs="Arial" w:eastAsia="Arial" w:hAnsi="Arial"/>
          <w:sz w:val="21"/>
          <w:szCs w:val="21"/>
          <w:color w:val="auto"/>
        </w:rPr>
      </w:pPr>
    </w:p>
    <w:p>
      <w:pPr>
        <w:ind w:left="1700" w:hanging="395"/>
        <w:spacing w:after="0"/>
        <w:tabs>
          <w:tab w:leader="none" w:pos="1700" w:val="left"/>
        </w:tabs>
        <w:numPr>
          <w:ilvl w:val="0"/>
          <w:numId w:val="186"/>
        </w:numPr>
        <w:rPr>
          <w:rFonts w:ascii="Arial" w:cs="Arial" w:eastAsia="Arial" w:hAnsi="Arial"/>
          <w:sz w:val="18"/>
          <w:szCs w:val="18"/>
          <w:color w:val="auto"/>
        </w:rPr>
      </w:pPr>
      <w:r>
        <w:rPr>
          <w:rFonts w:ascii="Arial" w:cs="Arial" w:eastAsia="Arial" w:hAnsi="Arial"/>
          <w:sz w:val="18"/>
          <w:szCs w:val="18"/>
          <w:color w:val="auto"/>
        </w:rPr>
        <w:t>With respect to its obligations hereunder, each Domestic Guarantor hereby expressly waives diligence, presentment,</w:t>
      </w:r>
    </w:p>
    <w:p>
      <w:pPr>
        <w:spacing w:after="0" w:line="76" w:lineRule="exact"/>
        <w:rPr>
          <w:rFonts w:ascii="Arial" w:cs="Arial" w:eastAsia="Arial" w:hAnsi="Arial"/>
          <w:sz w:val="18"/>
          <w:szCs w:val="18"/>
          <w:color w:val="auto"/>
        </w:rPr>
      </w:pPr>
    </w:p>
    <w:p>
      <w:pPr>
        <w:ind w:left="660" w:right="60"/>
        <w:spacing w:after="0" w:line="285" w:lineRule="auto"/>
        <w:rPr>
          <w:rFonts w:ascii="Arial" w:cs="Arial" w:eastAsia="Arial" w:hAnsi="Arial"/>
          <w:sz w:val="18"/>
          <w:szCs w:val="18"/>
          <w:color w:val="auto"/>
        </w:rPr>
      </w:pPr>
      <w:r>
        <w:rPr>
          <w:rFonts w:ascii="Arial" w:cs="Arial" w:eastAsia="Arial" w:hAnsi="Arial"/>
          <w:sz w:val="20"/>
          <w:szCs w:val="20"/>
          <w:color w:val="auto"/>
        </w:rPr>
        <w:t>demand of payment, protest, notice of acceptance of the guaranty given hereby and of extensions of credit that may constitute obligations guaranteed hereby, notices of amendments, waivers, consents and supplements to the Credit Documents and other documents relating to the Obligations, or the compromise, release or exchange of collateral or security, and all other notices whatsoever, and any requirement that the Administrative Agent or any holder of the Obligations exhaust any right, power or remedy or proceed against any Person under any of the Credit Documents or any other documents relating to the Obligations or any other agreement or instrument referred to therein, or against any other Person under any other guarantee of, or security for, any of the Obligations.</w:t>
      </w:r>
    </w:p>
    <w:p>
      <w:pPr>
        <w:spacing w:after="0" w:line="195" w:lineRule="exact"/>
        <w:rPr>
          <w:sz w:val="20"/>
          <w:szCs w:val="20"/>
          <w:color w:val="auto"/>
        </w:rPr>
      </w:pPr>
    </w:p>
    <w:p>
      <w:pPr>
        <w:ind w:firstLine="648"/>
        <w:spacing w:after="0" w:line="305" w:lineRule="auto"/>
        <w:rPr>
          <w:sz w:val="20"/>
          <w:szCs w:val="20"/>
          <w:color w:val="auto"/>
        </w:rPr>
      </w:pPr>
      <w:r>
        <w:rPr>
          <w:rFonts w:ascii="Arial" w:cs="Arial" w:eastAsia="Arial" w:hAnsi="Arial"/>
          <w:sz w:val="19"/>
          <w:szCs w:val="19"/>
          <w:color w:val="auto"/>
        </w:rPr>
        <w:t xml:space="preserve">4.03 </w:t>
      </w:r>
      <w:r>
        <w:rPr>
          <w:rFonts w:ascii="Arial" w:cs="Arial" w:eastAsia="Arial" w:hAnsi="Arial"/>
          <w:sz w:val="19"/>
          <w:szCs w:val="19"/>
          <w:u w:val="single" w:color="auto"/>
          <w:color w:val="auto"/>
        </w:rPr>
        <w:t>Reinstatement</w:t>
      </w:r>
      <w:r>
        <w:rPr>
          <w:rFonts w:ascii="Arial" w:cs="Arial" w:eastAsia="Arial" w:hAnsi="Arial"/>
          <w:sz w:val="19"/>
          <w:szCs w:val="19"/>
          <w:color w:val="auto"/>
        </w:rPr>
        <w:t xml:space="preserve">. Neither the Domestic Guarantors’ obligations hereunder nor any remedy for the enforcement thereof shall be impaired, modified, changed or released in any manner whatsoever by an impairment, modification, change, release or limitation of the liability of the Borrowers, by reason of any Borrower’s bankruptcy or insolvency or by reason of the invalidity or unenforceability of all or any portion of the Obligations. In addition, the obligations of each Domestic Guarantor under this </w:t>
      </w:r>
      <w:r>
        <w:rPr>
          <w:rFonts w:ascii="Arial" w:cs="Arial" w:eastAsia="Arial" w:hAnsi="Arial"/>
          <w:sz w:val="19"/>
          <w:szCs w:val="19"/>
          <w:u w:val="single" w:color="auto"/>
          <w:color w:val="auto"/>
        </w:rPr>
        <w:t>Article IV</w:t>
      </w:r>
      <w:r>
        <w:rPr>
          <w:rFonts w:ascii="Arial" w:cs="Arial" w:eastAsia="Arial" w:hAnsi="Arial"/>
          <w:sz w:val="19"/>
          <w:szCs w:val="19"/>
          <w:color w:val="auto"/>
        </w:rPr>
        <w:t xml:space="preserve"> shall be automatically reinstated if and to the extent that for any reason any payment by or on behalf of any Person in respect of the Obligations is rescinded or must be otherwise restored by any holder of any of the Obligations, whether as a result of any Debtor Relief Law or otherwise, and each Domestic Guarantor agrees that it will indemnify the Administrative Agent and each holder of the Obligations on</w:t>
      </w:r>
    </w:p>
    <w:p>
      <w:pPr>
        <w:spacing w:after="0" w:line="393" w:lineRule="exact"/>
        <w:rPr>
          <w:sz w:val="20"/>
          <w:szCs w:val="20"/>
          <w:color w:val="auto"/>
        </w:rPr>
      </w:pPr>
    </w:p>
    <w:p>
      <w:pPr>
        <w:jc w:val="center"/>
        <w:ind w:right="-39"/>
        <w:spacing w:after="0"/>
        <w:rPr>
          <w:sz w:val="20"/>
          <w:szCs w:val="20"/>
          <w:color w:val="auto"/>
        </w:rPr>
      </w:pPr>
      <w:r>
        <w:rPr>
          <w:rFonts w:ascii="Arial" w:cs="Arial" w:eastAsia="Arial" w:hAnsi="Arial"/>
          <w:sz w:val="20"/>
          <w:szCs w:val="20"/>
          <w:color w:val="auto"/>
        </w:rPr>
        <w:t>130</w:t>
      </w:r>
    </w:p>
    <w:p>
      <w:pPr>
        <w:spacing w:after="0" w:line="10" w:lineRule="exact"/>
        <w:rPr>
          <w:sz w:val="20"/>
          <w:szCs w:val="20"/>
          <w:color w:val="auto"/>
        </w:rPr>
      </w:pPr>
    </w:p>
    <w:p>
      <w:pPr>
        <w:spacing w:after="0"/>
        <w:rPr>
          <w:sz w:val="20"/>
          <w:szCs w:val="20"/>
          <w:color w:val="auto"/>
        </w:rPr>
      </w:pPr>
      <w:r>
        <w:rPr>
          <w:rFonts w:ascii="Arial" w:cs="Arial" w:eastAsia="Arial" w:hAnsi="Arial"/>
          <w:sz w:val="14"/>
          <w:szCs w:val="14"/>
          <w:color w:val="auto"/>
        </w:rPr>
        <w:t>CHAR1\1346423v</w:t>
      </w:r>
      <w:r>
        <w:rPr>
          <w:rFonts w:ascii="Arial" w:cs="Arial" w:eastAsia="Arial" w:hAnsi="Arial"/>
          <w:sz w:val="14"/>
          <w:szCs w:val="14"/>
          <w:color w:val="FF0000"/>
          <w:strike w:val="1"/>
        </w:rPr>
        <w:t>1</w:t>
      </w:r>
      <w:r>
        <w:rPr>
          <w:rFonts w:ascii="Arial" w:cs="Arial" w:eastAsia="Arial" w:hAnsi="Arial"/>
          <w:sz w:val="14"/>
          <w:szCs w:val="14"/>
          <w:u w:val="single" w:color="auto"/>
          <w:color w:val="0000FF"/>
        </w:rPr>
        <w:t>12</w:t>
      </w:r>
    </w:p>
    <w:p>
      <w:pPr>
        <w:sectPr>
          <w:pgSz w:w="11900" w:h="16838" w:orient="portrait"/>
          <w:cols w:equalWidth="0" w:num="1">
            <w:col w:w="11400"/>
          </w:cols>
          <w:pgMar w:left="240" w:top="623" w:right="259" w:bottom="1440" w:gutter="0" w:footer="0" w:header="0"/>
        </w:sectPr>
      </w:pPr>
    </w:p>
    <w:bookmarkStart w:id="182" w:name="page183"/>
    <w:bookmarkEnd w:id="182"/>
    <w:p>
      <w:pPr>
        <w:ind w:right="20"/>
        <w:spacing w:after="0" w:line="395" w:lineRule="auto"/>
        <w:rPr>
          <w:sz w:val="20"/>
          <w:szCs w:val="20"/>
          <w:color w:val="auto"/>
        </w:rPr>
      </w:pPr>
      <w:r>
        <w:rPr>
          <w:rFonts w:ascii="Arial" w:cs="Arial" w:eastAsia="Arial" w:hAnsi="Arial"/>
          <w:sz w:val="16"/>
          <w:szCs w:val="16"/>
          <w:color w:val="auto"/>
        </w:rPr>
        <w:t>demand for all reasonable costs and expenses (including reasonable attorneys’ fees and disbursements) incurred by the Administrative Agent or such holder of the Obligations in connection with such rescission or restoration, including any such costs and expenses incurred in defending against any claim alleging that such payment constituted a preference, fraudulent transfer or similar payment under any Debtor Relief Law.</w:t>
      </w:r>
    </w:p>
    <w:p>
      <w:pPr>
        <w:spacing w:after="0" w:line="118" w:lineRule="exact"/>
        <w:rPr>
          <w:sz w:val="20"/>
          <w:szCs w:val="20"/>
          <w:color w:val="auto"/>
        </w:rPr>
      </w:pPr>
    </w:p>
    <w:p>
      <w:pPr>
        <w:ind w:firstLine="648"/>
        <w:spacing w:after="0" w:line="270" w:lineRule="exact"/>
        <w:rPr>
          <w:sz w:val="20"/>
          <w:szCs w:val="20"/>
          <w:color w:val="auto"/>
        </w:rPr>
      </w:pPr>
      <w:r>
        <w:rPr>
          <w:rFonts w:ascii="Arial" w:cs="Arial" w:eastAsia="Arial" w:hAnsi="Arial"/>
          <w:sz w:val="18"/>
          <w:szCs w:val="18"/>
          <w:color w:val="auto"/>
        </w:rPr>
        <w:t xml:space="preserve">4.04 </w:t>
      </w:r>
      <w:r>
        <w:rPr>
          <w:rFonts w:ascii="Arial" w:cs="Arial" w:eastAsia="Arial" w:hAnsi="Arial"/>
          <w:sz w:val="18"/>
          <w:szCs w:val="18"/>
          <w:u w:val="single" w:color="auto"/>
          <w:color w:val="auto"/>
        </w:rPr>
        <w:t>Certain Waivers</w:t>
      </w:r>
      <w:r>
        <w:rPr>
          <w:rFonts w:ascii="Arial" w:cs="Arial" w:eastAsia="Arial" w:hAnsi="Arial"/>
          <w:sz w:val="18"/>
          <w:szCs w:val="18"/>
          <w:color w:val="auto"/>
        </w:rPr>
        <w:t>. Each Domestic Guarantor acknowledges and agrees that (a) the guaranty given hereby may be enforced without the necessity of resorting to or otherwise exhausting remedies in respect of any other security or collateral interests, and without the necessity at any time of having to take recourse against the Borrowers hereunder or against any collateral securing the Obligations or otherwise, and (b) it will not assert any right to require the action first be taken against the Borrowers or any other Person (including any co</w:t>
      </w:r>
      <w:r>
        <w:rPr>
          <w:rFonts w:ascii="MS PGothic" w:cs="MS PGothic" w:eastAsia="MS PGothic" w:hAnsi="MS PGothic"/>
          <w:sz w:val="18"/>
          <w:szCs w:val="18"/>
          <w:color w:val="auto"/>
        </w:rPr>
        <w:t>‑</w:t>
      </w:r>
      <w:r>
        <w:rPr>
          <w:rFonts w:ascii="Arial" w:cs="Arial" w:eastAsia="Arial" w:hAnsi="Arial"/>
          <w:sz w:val="18"/>
          <w:szCs w:val="18"/>
          <w:color w:val="auto"/>
        </w:rPr>
        <w:t xml:space="preserve">guarantor) or pursuit of any other remedy or enforcement any other right, and (c) nothing contained herein shall prevent or limit action being taken against the Borrowers hereunder, under the other Credit Documents or the other documents and agreements relating to the Obligations or from foreclosing on any security or collateral interests relating hereto or thereto, or from exercising any other rights or remedies available in respect thereof, if neither the Borrowers nor the Guarantors shall timely perform their obligations, and the exercise of any such rights and completion of any such foreclosure proceedings shall not constitute a discharge of the Domestic Guarantors’ obligations hereunder unless as a result thereof, the Obligations shall have been paid in full and the commitments relating thereto shall have expired or terminated, it being the purpose and intent that the Domestic Guarantors’ obligations hereunder be absolute, irrevocable, independent and unconditional under all circumstances. Each Domestic Guarantor agrees that it shall have no right of recourse to security for the Obligations, except through the exercise of rights of subrogation pursuant to </w:t>
      </w:r>
      <w:r>
        <w:rPr>
          <w:rFonts w:ascii="Arial" w:cs="Arial" w:eastAsia="Arial" w:hAnsi="Arial"/>
          <w:sz w:val="18"/>
          <w:szCs w:val="18"/>
          <w:u w:val="single" w:color="auto"/>
          <w:color w:val="auto"/>
        </w:rPr>
        <w:t>Section 4.02</w:t>
      </w:r>
      <w:r>
        <w:rPr>
          <w:rFonts w:ascii="Arial" w:cs="Arial" w:eastAsia="Arial" w:hAnsi="Arial"/>
          <w:sz w:val="18"/>
          <w:szCs w:val="18"/>
          <w:color w:val="auto"/>
        </w:rPr>
        <w:t xml:space="preserve"> and through the exercise of rights of contribution pursuant to </w:t>
      </w:r>
      <w:r>
        <w:rPr>
          <w:rFonts w:ascii="Arial" w:cs="Arial" w:eastAsia="Arial" w:hAnsi="Arial"/>
          <w:sz w:val="18"/>
          <w:szCs w:val="18"/>
          <w:u w:val="single" w:color="auto"/>
          <w:color w:val="auto"/>
        </w:rPr>
        <w:t>Section 4.06</w:t>
      </w:r>
      <w:r>
        <w:rPr>
          <w:rFonts w:ascii="Arial" w:cs="Arial" w:eastAsia="Arial" w:hAnsi="Arial"/>
          <w:sz w:val="18"/>
          <w:szCs w:val="18"/>
          <w:color w:val="auto"/>
        </w:rPr>
        <w:t>.</w:t>
      </w:r>
    </w:p>
    <w:p>
      <w:pPr>
        <w:spacing w:after="0" w:line="243" w:lineRule="exact"/>
        <w:rPr>
          <w:sz w:val="20"/>
          <w:szCs w:val="20"/>
          <w:color w:val="auto"/>
        </w:rPr>
      </w:pPr>
    </w:p>
    <w:p>
      <w:pPr>
        <w:ind w:right="20" w:firstLine="648"/>
        <w:spacing w:after="0" w:line="321" w:lineRule="auto"/>
        <w:rPr>
          <w:sz w:val="20"/>
          <w:szCs w:val="20"/>
          <w:color w:val="auto"/>
        </w:rPr>
      </w:pPr>
      <w:r>
        <w:rPr>
          <w:rFonts w:ascii="Arial" w:cs="Arial" w:eastAsia="Arial" w:hAnsi="Arial"/>
          <w:sz w:val="18"/>
          <w:szCs w:val="18"/>
          <w:color w:val="auto"/>
        </w:rPr>
        <w:t xml:space="preserve">4.05 </w:t>
      </w:r>
      <w:r>
        <w:rPr>
          <w:rFonts w:ascii="Arial" w:cs="Arial" w:eastAsia="Arial" w:hAnsi="Arial"/>
          <w:sz w:val="18"/>
          <w:szCs w:val="18"/>
          <w:u w:val="single" w:color="auto"/>
          <w:color w:val="auto"/>
        </w:rPr>
        <w:t>Remedies</w:t>
      </w:r>
      <w:r>
        <w:rPr>
          <w:rFonts w:ascii="Arial" w:cs="Arial" w:eastAsia="Arial" w:hAnsi="Arial"/>
          <w:sz w:val="18"/>
          <w:szCs w:val="18"/>
          <w:color w:val="auto"/>
        </w:rPr>
        <w:t xml:space="preserve">. The Domestic Guarantors agree that, to the fullest extent permitted by Law, as between the Domestic Guarantors, on the one hand, and holders of the Obligations, on the other hand, the Obligations may be declared to be forthwith due and payable as provided in </w:t>
      </w:r>
      <w:r>
        <w:rPr>
          <w:rFonts w:ascii="Arial" w:cs="Arial" w:eastAsia="Arial" w:hAnsi="Arial"/>
          <w:sz w:val="18"/>
          <w:szCs w:val="18"/>
          <w:u w:val="single" w:color="auto"/>
          <w:color w:val="auto"/>
        </w:rPr>
        <w:t>Section 9.02</w:t>
      </w:r>
      <w:r>
        <w:rPr>
          <w:rFonts w:ascii="Arial" w:cs="Arial" w:eastAsia="Arial" w:hAnsi="Arial"/>
          <w:sz w:val="18"/>
          <w:szCs w:val="18"/>
          <w:color w:val="auto"/>
        </w:rPr>
        <w:t xml:space="preserve"> (and shall be deemed to have become automatically due and payable in the circumstances specified in </w:t>
      </w:r>
      <w:r>
        <w:rPr>
          <w:rFonts w:ascii="Arial" w:cs="Arial" w:eastAsia="Arial" w:hAnsi="Arial"/>
          <w:sz w:val="18"/>
          <w:szCs w:val="18"/>
          <w:u w:val="single" w:color="auto"/>
          <w:color w:val="auto"/>
        </w:rPr>
        <w:t>Section 9.02</w:t>
      </w:r>
      <w:r>
        <w:rPr>
          <w:rFonts w:ascii="Arial" w:cs="Arial" w:eastAsia="Arial" w:hAnsi="Arial"/>
          <w:sz w:val="18"/>
          <w:szCs w:val="18"/>
          <w:color w:val="auto"/>
        </w:rPr>
        <w:t xml:space="preserve">) for purposes of </w:t>
      </w:r>
      <w:r>
        <w:rPr>
          <w:rFonts w:ascii="Arial" w:cs="Arial" w:eastAsia="Arial" w:hAnsi="Arial"/>
          <w:sz w:val="18"/>
          <w:szCs w:val="18"/>
          <w:u w:val="single" w:color="auto"/>
          <w:color w:val="auto"/>
        </w:rPr>
        <w:t>Section 4.01</w:t>
      </w:r>
      <w:r>
        <w:rPr>
          <w:rFonts w:ascii="Arial" w:cs="Arial" w:eastAsia="Arial" w:hAnsi="Arial"/>
          <w:sz w:val="18"/>
          <w:szCs w:val="18"/>
          <w:color w:val="auto"/>
        </w:rPr>
        <w:t xml:space="preserve"> notwithstanding any stay, injunction or other prohibition preventing such declaration (or preventing the Obligations from becoming automatically due and payable) as against any other Person and that, in the event of such declaration (or the Obligations being deemed to have become automatically due and payable), the Obligations (whether or not due and payable by any other Person) shall forthwith become due and payable by the Domestic Guarantors for purposes of </w:t>
      </w:r>
      <w:r>
        <w:rPr>
          <w:rFonts w:ascii="Arial" w:cs="Arial" w:eastAsia="Arial" w:hAnsi="Arial"/>
          <w:sz w:val="18"/>
          <w:szCs w:val="18"/>
          <w:u w:val="single" w:color="auto"/>
          <w:color w:val="auto"/>
        </w:rPr>
        <w:t>Section 4.01</w:t>
      </w:r>
      <w:r>
        <w:rPr>
          <w:rFonts w:ascii="Arial" w:cs="Arial" w:eastAsia="Arial" w:hAnsi="Arial"/>
          <w:sz w:val="18"/>
          <w:szCs w:val="18"/>
          <w:color w:val="auto"/>
        </w:rPr>
        <w:t>. The Domestic Guarantors acknowledge and agree that their obligations hereunder are secured in accordance with the terms of the Collateral Documents and that the holders of the Obligations may exercise their remedies thereunder in accordance with the terms thereof.</w:t>
      </w:r>
    </w:p>
    <w:p>
      <w:pPr>
        <w:spacing w:after="0" w:line="169" w:lineRule="exact"/>
        <w:rPr>
          <w:sz w:val="20"/>
          <w:szCs w:val="20"/>
          <w:color w:val="auto"/>
        </w:rPr>
      </w:pPr>
    </w:p>
    <w:p>
      <w:pPr>
        <w:ind w:right="40" w:firstLine="648"/>
        <w:spacing w:after="0" w:line="293" w:lineRule="auto"/>
        <w:rPr>
          <w:sz w:val="20"/>
          <w:szCs w:val="20"/>
          <w:color w:val="auto"/>
        </w:rPr>
      </w:pPr>
      <w:r>
        <w:rPr>
          <w:rFonts w:ascii="Arial" w:cs="Arial" w:eastAsia="Arial" w:hAnsi="Arial"/>
          <w:sz w:val="20"/>
          <w:szCs w:val="20"/>
          <w:color w:val="auto"/>
        </w:rPr>
        <w:t xml:space="preserve">4.06 </w:t>
      </w:r>
      <w:r>
        <w:rPr>
          <w:rFonts w:ascii="Arial" w:cs="Arial" w:eastAsia="Arial" w:hAnsi="Arial"/>
          <w:sz w:val="20"/>
          <w:szCs w:val="20"/>
          <w:u w:val="single" w:color="auto"/>
          <w:color w:val="auto"/>
        </w:rPr>
        <w:t>Rights of Contribution</w:t>
      </w:r>
      <w:r>
        <w:rPr>
          <w:rFonts w:ascii="Arial" w:cs="Arial" w:eastAsia="Arial" w:hAnsi="Arial"/>
          <w:sz w:val="20"/>
          <w:szCs w:val="20"/>
          <w:color w:val="auto"/>
        </w:rPr>
        <w:t>. The Domestic Guarantors hereby agree as among themselves that, in connection with payments made hereunder, each Domestic Guarantor shall have a right of contribution from each other Domestic Guarantor in accordance with applicable Law. Such contribution rights shall be subordinate and subject in right of payment to the Obligations until such time as the Obligations have been irrevocably paid in full and the commitments relating thereto shall have expired or</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131</w:t>
      </w:r>
    </w:p>
    <w:p>
      <w:pPr>
        <w:spacing w:after="0" w:line="10" w:lineRule="exact"/>
        <w:rPr>
          <w:sz w:val="20"/>
          <w:szCs w:val="20"/>
          <w:color w:val="auto"/>
        </w:rPr>
      </w:pPr>
    </w:p>
    <w:p>
      <w:pPr>
        <w:spacing w:after="0"/>
        <w:rPr>
          <w:sz w:val="20"/>
          <w:szCs w:val="20"/>
          <w:color w:val="auto"/>
        </w:rPr>
      </w:pPr>
      <w:r>
        <w:rPr>
          <w:rFonts w:ascii="Arial" w:cs="Arial" w:eastAsia="Arial" w:hAnsi="Arial"/>
          <w:sz w:val="14"/>
          <w:szCs w:val="14"/>
          <w:color w:val="auto"/>
        </w:rPr>
        <w:t>CHAR1\1346423v</w:t>
      </w:r>
      <w:r>
        <w:rPr>
          <w:rFonts w:ascii="Arial" w:cs="Arial" w:eastAsia="Arial" w:hAnsi="Arial"/>
          <w:sz w:val="14"/>
          <w:szCs w:val="14"/>
          <w:color w:val="FF0000"/>
          <w:strike w:val="1"/>
        </w:rPr>
        <w:t>1</w:t>
      </w:r>
      <w:r>
        <w:rPr>
          <w:rFonts w:ascii="Arial" w:cs="Arial" w:eastAsia="Arial" w:hAnsi="Arial"/>
          <w:sz w:val="14"/>
          <w:szCs w:val="14"/>
          <w:u w:val="single" w:color="auto"/>
          <w:color w:val="0000FF"/>
        </w:rPr>
        <w:t>12</w:t>
      </w:r>
    </w:p>
    <w:p>
      <w:pPr>
        <w:sectPr>
          <w:pgSz w:w="11900" w:h="16838" w:orient="portrait"/>
          <w:cols w:equalWidth="0" w:num="1">
            <w:col w:w="11400"/>
          </w:cols>
          <w:pgMar w:left="240" w:top="609" w:right="259" w:bottom="1440" w:gutter="0" w:footer="0" w:header="0"/>
        </w:sectPr>
      </w:pPr>
    </w:p>
    <w:bookmarkStart w:id="183" w:name="page184"/>
    <w:bookmarkEnd w:id="183"/>
    <w:p>
      <w:pPr>
        <w:ind w:right="200"/>
        <w:spacing w:after="0" w:line="303" w:lineRule="auto"/>
        <w:rPr>
          <w:sz w:val="20"/>
          <w:szCs w:val="20"/>
          <w:color w:val="auto"/>
        </w:rPr>
      </w:pPr>
      <w:r>
        <w:rPr>
          <w:rFonts w:ascii="Arial" w:cs="Arial" w:eastAsia="Arial" w:hAnsi="Arial"/>
          <w:sz w:val="20"/>
          <w:szCs w:val="20"/>
          <w:color w:val="auto"/>
        </w:rPr>
        <w:t>been terminated, and none of the Domestic Guarantors shall exercise any such contribution rights until the Obligations have been irrevocably paid in full and the commitments relating thereto shall have expired or been terminated.</w:t>
      </w:r>
    </w:p>
    <w:p>
      <w:pPr>
        <w:spacing w:after="0" w:line="176" w:lineRule="exact"/>
        <w:rPr>
          <w:sz w:val="20"/>
          <w:szCs w:val="20"/>
          <w:color w:val="auto"/>
        </w:rPr>
      </w:pPr>
    </w:p>
    <w:p>
      <w:pPr>
        <w:ind w:right="80" w:firstLine="648"/>
        <w:spacing w:after="0" w:line="317" w:lineRule="auto"/>
        <w:rPr>
          <w:sz w:val="20"/>
          <w:szCs w:val="20"/>
          <w:color w:val="auto"/>
        </w:rPr>
      </w:pPr>
      <w:r>
        <w:rPr>
          <w:rFonts w:ascii="Arial" w:cs="Arial" w:eastAsia="Arial" w:hAnsi="Arial"/>
          <w:sz w:val="20"/>
          <w:szCs w:val="20"/>
          <w:color w:val="auto"/>
        </w:rPr>
        <w:t xml:space="preserve">4.07 </w:t>
      </w:r>
      <w:r>
        <w:rPr>
          <w:rFonts w:ascii="Arial" w:cs="Arial" w:eastAsia="Arial" w:hAnsi="Arial"/>
          <w:sz w:val="20"/>
          <w:szCs w:val="20"/>
          <w:u w:val="single" w:color="auto"/>
          <w:color w:val="auto"/>
        </w:rPr>
        <w:t>Guaranty of Payment; Continuing Guaranty</w:t>
      </w:r>
      <w:r>
        <w:rPr>
          <w:rFonts w:ascii="Arial" w:cs="Arial" w:eastAsia="Arial" w:hAnsi="Arial"/>
          <w:sz w:val="20"/>
          <w:szCs w:val="20"/>
          <w:color w:val="auto"/>
        </w:rPr>
        <w:t xml:space="preserve">. The guarantee given by the Domestic Guarantors in this </w:t>
      </w:r>
      <w:r>
        <w:rPr>
          <w:rFonts w:ascii="Arial" w:cs="Arial" w:eastAsia="Arial" w:hAnsi="Arial"/>
          <w:sz w:val="20"/>
          <w:szCs w:val="20"/>
          <w:u w:val="single" w:color="auto"/>
          <w:color w:val="auto"/>
        </w:rPr>
        <w:t>Article IV</w:t>
      </w:r>
      <w:r>
        <w:rPr>
          <w:rFonts w:ascii="Arial" w:cs="Arial" w:eastAsia="Arial" w:hAnsi="Arial"/>
          <w:sz w:val="20"/>
          <w:szCs w:val="20"/>
          <w:color w:val="auto"/>
        </w:rPr>
        <w:t xml:space="preserve"> is a guaranty of payment and not of collection, is a continuing guarantee, and shall apply to all Obligations whenever arising.</w:t>
      </w:r>
    </w:p>
    <w:p>
      <w:pPr>
        <w:spacing w:after="0" w:line="162" w:lineRule="exact"/>
        <w:rPr>
          <w:sz w:val="20"/>
          <w:szCs w:val="20"/>
          <w:color w:val="auto"/>
        </w:rPr>
      </w:pPr>
    </w:p>
    <w:p>
      <w:pPr>
        <w:ind w:firstLine="648"/>
        <w:spacing w:after="0" w:line="317" w:lineRule="auto"/>
        <w:rPr>
          <w:sz w:val="20"/>
          <w:szCs w:val="20"/>
          <w:color w:val="auto"/>
        </w:rPr>
      </w:pPr>
      <w:r>
        <w:rPr>
          <w:rFonts w:ascii="Arial" w:cs="Arial" w:eastAsia="Arial" w:hAnsi="Arial"/>
          <w:sz w:val="18"/>
          <w:szCs w:val="18"/>
          <w:color w:val="auto"/>
        </w:rPr>
        <w:t xml:space="preserve">4.08 </w:t>
      </w:r>
      <w:r>
        <w:rPr>
          <w:rFonts w:ascii="Arial" w:cs="Arial" w:eastAsia="Arial" w:hAnsi="Arial"/>
          <w:sz w:val="18"/>
          <w:szCs w:val="18"/>
          <w:u w:val="single" w:color="auto"/>
          <w:color w:val="0000FF"/>
        </w:rPr>
        <w:t>Keepwell. Subject to the limitations set forth in Section 1.10, each Credit Party that is a Qualified ECP Guarantor at the time the</w:t>
      </w:r>
      <w:r>
        <w:rPr>
          <w:rFonts w:ascii="Arial" w:cs="Arial" w:eastAsia="Arial" w:hAnsi="Arial"/>
          <w:sz w:val="18"/>
          <w:szCs w:val="18"/>
          <w:color w:val="auto"/>
        </w:rPr>
        <w:t xml:space="preserve"> </w:t>
      </w:r>
      <w:r>
        <w:rPr>
          <w:rFonts w:ascii="Arial" w:cs="Arial" w:eastAsia="Arial" w:hAnsi="Arial"/>
          <w:sz w:val="18"/>
          <w:szCs w:val="18"/>
          <w:u w:val="single" w:color="auto"/>
          <w:color w:val="0000FF"/>
        </w:rPr>
        <w:t>Guaranty or the grant of a security interest under the Credit Documents, in either case, by any Specified Credit Party becomes effective with respect to any Swap Obligation, hereby jointly and severally, absolutely, unconditionally and irrevocably undertakes to provide such funds or other support to each Specified Credit Party with respect to such Swap Obligation as may be needed by such Specified Credit Party from time to time to honor all of its obligations under the Credit Documents in respect of such Swap Obligation (but, in each case, only up to the maximum amount of such liability that can be hereby incurred without rendering such Qualified ECP Guarantor’s obligations and undertakings under this Section 4.08, voidable under applicable law relating to fraudulent conveyance or fraudulent transfer, and not for any greater amount). The obligations and undertakings of each Qualified ECP Guarantor under this Section 4.08 shall remain in full force and effect until the Guaranteed Obligations have been paid in full and the commitments relating thereto have expired or terminated. Subject to the limitations set forth in Section 1.10, each Credit Party intends this Section 4.08 to constitute, and this Section 4.08 shall be deemed to constitute, a guarantee of the obligations of, and a “keepwell, support, or other agreement” for the benefit of, each Specified Credit Party for all purposes of the Commodity Exchange Act. For the avoidance of doubt, no Foreign Credit Party shall have any obligation under this Section 4.08 to provide funds or other support to any Specified Credit Party that is a Domestic Borrower or a Domestic Subsidiary and this Section 4.08 shall not constitute a “keepwell, support, or other agreement” by any Foreign Credit Party for the benefit of any Specified Credit Party that is a Domestic Borrower or a Domestic Subsidiary.</w:t>
      </w:r>
    </w:p>
    <w:p>
      <w:pPr>
        <w:spacing w:after="0" w:line="174" w:lineRule="exact"/>
        <w:rPr>
          <w:sz w:val="20"/>
          <w:szCs w:val="20"/>
          <w:color w:val="auto"/>
        </w:rPr>
      </w:pPr>
    </w:p>
    <w:p>
      <w:pPr>
        <w:jc w:val="center"/>
        <w:ind w:right="200"/>
        <w:spacing w:after="0"/>
        <w:rPr>
          <w:sz w:val="20"/>
          <w:szCs w:val="20"/>
          <w:color w:val="auto"/>
        </w:rPr>
      </w:pPr>
      <w:r>
        <w:rPr>
          <w:rFonts w:ascii="Arial" w:cs="Arial" w:eastAsia="Arial" w:hAnsi="Arial"/>
          <w:sz w:val="20"/>
          <w:szCs w:val="20"/>
          <w:b w:val="1"/>
          <w:bCs w:val="1"/>
          <w:color w:val="auto"/>
        </w:rPr>
        <w:t>ARTICLE V</w:t>
      </w:r>
    </w:p>
    <w:p>
      <w:pPr>
        <w:spacing w:after="0" w:line="324"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CONDITIONS PRECEDENT TO CREDIT EXTENSIONS</w:t>
      </w:r>
    </w:p>
    <w:p>
      <w:pPr>
        <w:spacing w:after="0" w:line="262" w:lineRule="exact"/>
        <w:rPr>
          <w:sz w:val="20"/>
          <w:szCs w:val="20"/>
          <w:color w:val="auto"/>
        </w:rPr>
      </w:pPr>
    </w:p>
    <w:p>
      <w:pPr>
        <w:ind w:right="80" w:firstLine="648"/>
        <w:spacing w:after="0" w:line="317" w:lineRule="auto"/>
        <w:rPr>
          <w:sz w:val="20"/>
          <w:szCs w:val="20"/>
          <w:color w:val="auto"/>
        </w:rPr>
      </w:pPr>
      <w:r>
        <w:rPr>
          <w:rFonts w:ascii="Arial" w:cs="Arial" w:eastAsia="Arial" w:hAnsi="Arial"/>
          <w:sz w:val="20"/>
          <w:szCs w:val="20"/>
          <w:color w:val="auto"/>
        </w:rPr>
        <w:t xml:space="preserve">5.01 </w:t>
      </w:r>
      <w:r>
        <w:rPr>
          <w:rFonts w:ascii="Arial" w:cs="Arial" w:eastAsia="Arial" w:hAnsi="Arial"/>
          <w:sz w:val="20"/>
          <w:szCs w:val="20"/>
          <w:u w:val="single" w:color="auto"/>
          <w:color w:val="auto"/>
        </w:rPr>
        <w:t>Conditions of Effectiveness</w:t>
      </w:r>
      <w:r>
        <w:rPr>
          <w:rFonts w:ascii="Arial" w:cs="Arial" w:eastAsia="Arial" w:hAnsi="Arial"/>
          <w:sz w:val="20"/>
          <w:szCs w:val="20"/>
          <w:color w:val="auto"/>
        </w:rPr>
        <w:t>. This Credit Agreement shall be effective upon satisfaction of the following conditions precedent in each case in manner satisfactory to the Administrative Agent and each Lender:</w:t>
      </w:r>
    </w:p>
    <w:p>
      <w:pPr>
        <w:spacing w:after="0" w:line="162" w:lineRule="exact"/>
        <w:rPr>
          <w:sz w:val="20"/>
          <w:szCs w:val="20"/>
          <w:color w:val="auto"/>
        </w:rPr>
      </w:pPr>
    </w:p>
    <w:p>
      <w:pPr>
        <w:ind w:left="1700" w:hanging="395"/>
        <w:spacing w:after="0"/>
        <w:tabs>
          <w:tab w:leader="none" w:pos="1700" w:val="left"/>
        </w:tabs>
        <w:numPr>
          <w:ilvl w:val="0"/>
          <w:numId w:val="187"/>
        </w:numPr>
        <w:rPr>
          <w:rFonts w:ascii="Arial" w:cs="Arial" w:eastAsia="Arial" w:hAnsi="Arial"/>
          <w:sz w:val="18"/>
          <w:szCs w:val="18"/>
          <w:color w:val="auto"/>
        </w:rPr>
      </w:pPr>
      <w:r>
        <w:rPr>
          <w:rFonts w:ascii="Arial" w:cs="Arial" w:eastAsia="Arial" w:hAnsi="Arial"/>
          <w:sz w:val="18"/>
          <w:szCs w:val="18"/>
          <w:u w:val="single" w:color="auto"/>
          <w:color w:val="auto"/>
        </w:rPr>
        <w:t>Credit Documents</w:t>
      </w:r>
      <w:r>
        <w:rPr>
          <w:rFonts w:ascii="Arial" w:cs="Arial" w:eastAsia="Arial" w:hAnsi="Arial"/>
          <w:sz w:val="18"/>
          <w:szCs w:val="18"/>
          <w:color w:val="auto"/>
        </w:rPr>
        <w:t>. Receipt by the Administrative Agent of executed counterparts of this Credit Agreement and the other</w:t>
      </w:r>
    </w:p>
    <w:p>
      <w:pPr>
        <w:spacing w:after="0" w:line="76" w:lineRule="exact"/>
        <w:rPr>
          <w:rFonts w:ascii="Arial" w:cs="Arial" w:eastAsia="Arial" w:hAnsi="Arial"/>
          <w:sz w:val="18"/>
          <w:szCs w:val="18"/>
          <w:color w:val="auto"/>
        </w:rPr>
      </w:pPr>
    </w:p>
    <w:p>
      <w:pPr>
        <w:ind w:left="660" w:right="180"/>
        <w:spacing w:after="0" w:line="331" w:lineRule="auto"/>
        <w:rPr>
          <w:rFonts w:ascii="Arial" w:cs="Arial" w:eastAsia="Arial" w:hAnsi="Arial"/>
          <w:sz w:val="18"/>
          <w:szCs w:val="18"/>
          <w:color w:val="auto"/>
        </w:rPr>
      </w:pPr>
      <w:r>
        <w:rPr>
          <w:rFonts w:ascii="Arial" w:cs="Arial" w:eastAsia="Arial" w:hAnsi="Arial"/>
          <w:sz w:val="19"/>
          <w:szCs w:val="19"/>
          <w:color w:val="auto"/>
        </w:rPr>
        <w:t xml:space="preserve">Credit Documents (other than the Guaranties and Collateral Documents to be delivered by Material Foreign Subsidiaries, which shall be delivered as specified in </w:t>
      </w:r>
      <w:r>
        <w:rPr>
          <w:rFonts w:ascii="Arial" w:cs="Arial" w:eastAsia="Arial" w:hAnsi="Arial"/>
          <w:sz w:val="19"/>
          <w:szCs w:val="19"/>
          <w:u w:val="single" w:color="auto"/>
          <w:color w:val="auto"/>
        </w:rPr>
        <w:t>Section 7.16</w:t>
      </w:r>
      <w:r>
        <w:rPr>
          <w:rFonts w:ascii="Arial" w:cs="Arial" w:eastAsia="Arial" w:hAnsi="Arial"/>
          <w:sz w:val="19"/>
          <w:szCs w:val="19"/>
          <w:color w:val="auto"/>
        </w:rPr>
        <w:t>), in each case, duly executed by the appropriate parties thereto.</w:t>
      </w:r>
    </w:p>
    <w:p>
      <w:pPr>
        <w:spacing w:after="0" w:line="370"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132</w:t>
      </w:r>
    </w:p>
    <w:p>
      <w:pPr>
        <w:spacing w:after="0" w:line="10" w:lineRule="exact"/>
        <w:rPr>
          <w:sz w:val="20"/>
          <w:szCs w:val="20"/>
          <w:color w:val="auto"/>
        </w:rPr>
      </w:pPr>
    </w:p>
    <w:p>
      <w:pPr>
        <w:spacing w:after="0"/>
        <w:rPr>
          <w:sz w:val="20"/>
          <w:szCs w:val="20"/>
          <w:color w:val="auto"/>
        </w:rPr>
      </w:pPr>
      <w:r>
        <w:rPr>
          <w:rFonts w:ascii="Arial" w:cs="Arial" w:eastAsia="Arial" w:hAnsi="Arial"/>
          <w:sz w:val="14"/>
          <w:szCs w:val="14"/>
          <w:color w:val="auto"/>
        </w:rPr>
        <w:t>CHAR1\1346423v</w:t>
      </w:r>
      <w:r>
        <w:rPr>
          <w:rFonts w:ascii="Arial" w:cs="Arial" w:eastAsia="Arial" w:hAnsi="Arial"/>
          <w:sz w:val="14"/>
          <w:szCs w:val="14"/>
          <w:color w:val="FF0000"/>
          <w:strike w:val="1"/>
        </w:rPr>
        <w:t>1</w:t>
      </w:r>
      <w:r>
        <w:rPr>
          <w:rFonts w:ascii="Arial" w:cs="Arial" w:eastAsia="Arial" w:hAnsi="Arial"/>
          <w:sz w:val="14"/>
          <w:szCs w:val="14"/>
          <w:u w:val="single" w:color="auto"/>
          <w:color w:val="0000FF"/>
        </w:rPr>
        <w:t>12</w:t>
      </w:r>
    </w:p>
    <w:p>
      <w:pPr>
        <w:sectPr>
          <w:pgSz w:w="11900" w:h="16838" w:orient="portrait"/>
          <w:cols w:equalWidth="0" w:num="1">
            <w:col w:w="11400"/>
          </w:cols>
          <w:pgMar w:left="240" w:top="609" w:right="259" w:bottom="1440" w:gutter="0" w:footer="0" w:header="0"/>
        </w:sectPr>
      </w:pPr>
    </w:p>
    <w:bookmarkStart w:id="184" w:name="page185"/>
    <w:bookmarkEnd w:id="184"/>
    <w:p>
      <w:pPr>
        <w:ind w:left="1720" w:hanging="415"/>
        <w:spacing w:after="0"/>
        <w:tabs>
          <w:tab w:leader="none" w:pos="1720" w:val="left"/>
        </w:tabs>
        <w:numPr>
          <w:ilvl w:val="0"/>
          <w:numId w:val="188"/>
        </w:numPr>
        <w:rPr>
          <w:rFonts w:ascii="Arial" w:cs="Arial" w:eastAsia="Arial" w:hAnsi="Arial"/>
          <w:sz w:val="18"/>
          <w:szCs w:val="18"/>
          <w:color w:val="auto"/>
        </w:rPr>
      </w:pPr>
      <w:r>
        <w:rPr>
          <w:rFonts w:ascii="Arial" w:cs="Arial" w:eastAsia="Arial" w:hAnsi="Arial"/>
          <w:sz w:val="18"/>
          <w:szCs w:val="18"/>
          <w:u w:val="single" w:color="auto"/>
          <w:color w:val="auto"/>
        </w:rPr>
        <w:t>Opinions of Counsel</w:t>
      </w:r>
      <w:r>
        <w:rPr>
          <w:rFonts w:ascii="Arial" w:cs="Arial" w:eastAsia="Arial" w:hAnsi="Arial"/>
          <w:sz w:val="18"/>
          <w:szCs w:val="18"/>
          <w:color w:val="auto"/>
        </w:rPr>
        <w:t>. Receipt by the Administrative Agent of favorable opinions of legal counsel to the Credit Parties, in</w:t>
      </w:r>
    </w:p>
    <w:p>
      <w:pPr>
        <w:spacing w:after="0" w:line="76" w:lineRule="exact"/>
        <w:rPr>
          <w:rFonts w:ascii="Arial" w:cs="Arial" w:eastAsia="Arial" w:hAnsi="Arial"/>
          <w:sz w:val="18"/>
          <w:szCs w:val="18"/>
          <w:color w:val="auto"/>
        </w:rPr>
      </w:pPr>
    </w:p>
    <w:p>
      <w:pPr>
        <w:jc w:val="both"/>
        <w:ind w:left="660" w:right="20"/>
        <w:spacing w:after="0" w:line="292" w:lineRule="auto"/>
        <w:rPr>
          <w:rFonts w:ascii="Arial" w:cs="Arial" w:eastAsia="Arial" w:hAnsi="Arial"/>
          <w:sz w:val="18"/>
          <w:szCs w:val="18"/>
          <w:color w:val="auto"/>
        </w:rPr>
      </w:pPr>
      <w:r>
        <w:rPr>
          <w:rFonts w:ascii="Arial" w:cs="Arial" w:eastAsia="Arial" w:hAnsi="Arial"/>
          <w:sz w:val="20"/>
          <w:szCs w:val="20"/>
          <w:color w:val="auto"/>
        </w:rPr>
        <w:t>form, scope and substance reasonably satisfactory to the Administrative Agent and the Lenders, and including, among other things, due authorization, execution, delivery of the Credit Documents, and the enforceability thereof and the attachment and perfection of security interests relating thereto.</w:t>
      </w:r>
    </w:p>
    <w:p>
      <w:pPr>
        <w:spacing w:after="0" w:line="186" w:lineRule="exact"/>
        <w:rPr>
          <w:rFonts w:ascii="Arial" w:cs="Arial" w:eastAsia="Arial" w:hAnsi="Arial"/>
          <w:sz w:val="18"/>
          <w:szCs w:val="18"/>
          <w:color w:val="auto"/>
        </w:rPr>
      </w:pPr>
    </w:p>
    <w:p>
      <w:pPr>
        <w:ind w:left="1700" w:hanging="395"/>
        <w:spacing w:after="0"/>
        <w:tabs>
          <w:tab w:leader="none" w:pos="1700" w:val="left"/>
        </w:tabs>
        <w:numPr>
          <w:ilvl w:val="0"/>
          <w:numId w:val="188"/>
        </w:numPr>
        <w:rPr>
          <w:rFonts w:ascii="Arial" w:cs="Arial" w:eastAsia="Arial" w:hAnsi="Arial"/>
          <w:sz w:val="20"/>
          <w:szCs w:val="20"/>
          <w:color w:val="auto"/>
        </w:rPr>
      </w:pPr>
      <w:r>
        <w:rPr>
          <w:rFonts w:ascii="Arial" w:cs="Arial" w:eastAsia="Arial" w:hAnsi="Arial"/>
          <w:sz w:val="20"/>
          <w:szCs w:val="20"/>
          <w:u w:val="single" w:color="auto"/>
          <w:color w:val="auto"/>
        </w:rPr>
        <w:t>Organization Documents, Resolutions, Etc.</w:t>
      </w:r>
      <w:r>
        <w:rPr>
          <w:rFonts w:ascii="Arial" w:cs="Arial" w:eastAsia="Arial" w:hAnsi="Arial"/>
          <w:sz w:val="20"/>
          <w:szCs w:val="20"/>
          <w:color w:val="auto"/>
        </w:rPr>
        <w:t xml:space="preserve"> Receipt by the Administrative Agent of the following:</w:t>
      </w:r>
    </w:p>
    <w:p>
      <w:pPr>
        <w:spacing w:after="0" w:line="283" w:lineRule="exact"/>
        <w:rPr>
          <w:rFonts w:ascii="Arial" w:cs="Arial" w:eastAsia="Arial" w:hAnsi="Arial"/>
          <w:sz w:val="20"/>
          <w:szCs w:val="20"/>
          <w:color w:val="auto"/>
        </w:rPr>
      </w:pPr>
    </w:p>
    <w:p>
      <w:pPr>
        <w:jc w:val="both"/>
        <w:ind w:left="1300" w:firstLine="653"/>
        <w:spacing w:after="0" w:line="367" w:lineRule="auto"/>
        <w:tabs>
          <w:tab w:leader="none" w:pos="2332" w:val="left"/>
        </w:tabs>
        <w:numPr>
          <w:ilvl w:val="1"/>
          <w:numId w:val="188"/>
        </w:numPr>
        <w:rPr>
          <w:rFonts w:ascii="Arial" w:cs="Arial" w:eastAsia="Arial" w:hAnsi="Arial"/>
          <w:sz w:val="19"/>
          <w:szCs w:val="19"/>
          <w:color w:val="auto"/>
        </w:rPr>
      </w:pPr>
      <w:r>
        <w:rPr>
          <w:rFonts w:ascii="Arial" w:cs="Arial" w:eastAsia="Arial" w:hAnsi="Arial"/>
          <w:sz w:val="18"/>
          <w:szCs w:val="18"/>
          <w:color w:val="auto"/>
        </w:rPr>
        <w:t>copies of the Organization Documents of each Credit Party certified to be true and complete as of a recent date by the appropriate Governmental Authority of the state or other jurisdiction of its organization or formation, where applicable, and certified by a secretary or assistant secretary of such Credit Party to be true and correct as of the Closing Date;</w:t>
      </w:r>
    </w:p>
    <w:p>
      <w:pPr>
        <w:spacing w:after="0" w:line="153" w:lineRule="exact"/>
        <w:rPr>
          <w:rFonts w:ascii="Arial" w:cs="Arial" w:eastAsia="Arial" w:hAnsi="Arial"/>
          <w:sz w:val="19"/>
          <w:szCs w:val="19"/>
          <w:color w:val="auto"/>
        </w:rPr>
      </w:pPr>
    </w:p>
    <w:p>
      <w:pPr>
        <w:ind w:left="1300" w:right="240" w:firstLine="653"/>
        <w:spacing w:after="0" w:line="331" w:lineRule="auto"/>
        <w:tabs>
          <w:tab w:leader="none" w:pos="2392" w:val="left"/>
        </w:tabs>
        <w:numPr>
          <w:ilvl w:val="1"/>
          <w:numId w:val="188"/>
        </w:numPr>
        <w:rPr>
          <w:rFonts w:ascii="Arial" w:cs="Arial" w:eastAsia="Arial" w:hAnsi="Arial"/>
          <w:sz w:val="21"/>
          <w:szCs w:val="21"/>
          <w:color w:val="auto"/>
        </w:rPr>
      </w:pPr>
      <w:r>
        <w:rPr>
          <w:rFonts w:ascii="Arial" w:cs="Arial" w:eastAsia="Arial" w:hAnsi="Arial"/>
          <w:sz w:val="19"/>
          <w:szCs w:val="19"/>
          <w:color w:val="auto"/>
        </w:rPr>
        <w:t>such certificates of resolutions or other action, incumbency certificates and/or other certificates of Responsible Officers of each Credit Party as the Administrative Agent may reasonably require evidencing the identity, authority and capacity of each Responsible Officer thereof authorized to act as a Responsible Officer in connection with this Credit Agreement and the other Credit Documents to which such Credit Party is a party; and</w:t>
      </w:r>
    </w:p>
    <w:p>
      <w:pPr>
        <w:spacing w:after="0" w:line="181" w:lineRule="exact"/>
        <w:rPr>
          <w:rFonts w:ascii="Arial" w:cs="Arial" w:eastAsia="Arial" w:hAnsi="Arial"/>
          <w:sz w:val="21"/>
          <w:szCs w:val="21"/>
          <w:color w:val="auto"/>
        </w:rPr>
      </w:pPr>
    </w:p>
    <w:p>
      <w:pPr>
        <w:ind w:left="1300" w:firstLine="653"/>
        <w:spacing w:after="0" w:line="312" w:lineRule="auto"/>
        <w:tabs>
          <w:tab w:leader="none" w:pos="2452" w:val="left"/>
        </w:tabs>
        <w:numPr>
          <w:ilvl w:val="1"/>
          <w:numId w:val="188"/>
        </w:numPr>
        <w:rPr>
          <w:rFonts w:ascii="Arial" w:cs="Arial" w:eastAsia="Arial" w:hAnsi="Arial"/>
          <w:sz w:val="22"/>
          <w:szCs w:val="22"/>
          <w:color w:val="auto"/>
        </w:rPr>
      </w:pPr>
      <w:r>
        <w:rPr>
          <w:rFonts w:ascii="Arial" w:cs="Arial" w:eastAsia="Arial" w:hAnsi="Arial"/>
          <w:sz w:val="20"/>
          <w:szCs w:val="20"/>
          <w:color w:val="auto"/>
        </w:rPr>
        <w:t>such documents and certifications as the Administrative Agent may reasonably require to evidence that each Credit Party is duly organized or formed, and is validly existing, in good standing (where applicable) and qualified to engage in business in its jurisdiction of organization or formation.</w:t>
      </w:r>
    </w:p>
    <w:p>
      <w:pPr>
        <w:spacing w:after="0" w:line="180" w:lineRule="exact"/>
        <w:rPr>
          <w:rFonts w:ascii="Arial" w:cs="Arial" w:eastAsia="Arial" w:hAnsi="Arial"/>
          <w:sz w:val="22"/>
          <w:szCs w:val="22"/>
          <w:color w:val="auto"/>
        </w:rPr>
      </w:pPr>
    </w:p>
    <w:p>
      <w:pPr>
        <w:ind w:left="1720" w:hanging="415"/>
        <w:spacing w:after="0"/>
        <w:tabs>
          <w:tab w:leader="none" w:pos="1720" w:val="left"/>
        </w:tabs>
        <w:numPr>
          <w:ilvl w:val="0"/>
          <w:numId w:val="188"/>
        </w:numPr>
        <w:rPr>
          <w:rFonts w:ascii="Arial" w:cs="Arial" w:eastAsia="Arial" w:hAnsi="Arial"/>
          <w:sz w:val="20"/>
          <w:szCs w:val="20"/>
          <w:color w:val="auto"/>
        </w:rPr>
      </w:pPr>
      <w:r>
        <w:rPr>
          <w:rFonts w:ascii="Arial" w:cs="Arial" w:eastAsia="Arial" w:hAnsi="Arial"/>
          <w:sz w:val="20"/>
          <w:szCs w:val="20"/>
          <w:u w:val="single" w:color="auto"/>
          <w:color w:val="auto"/>
        </w:rPr>
        <w:t>Personal Property Collateral</w:t>
      </w:r>
      <w:r>
        <w:rPr>
          <w:rFonts w:ascii="Arial" w:cs="Arial" w:eastAsia="Arial" w:hAnsi="Arial"/>
          <w:sz w:val="20"/>
          <w:szCs w:val="20"/>
          <w:color w:val="auto"/>
        </w:rPr>
        <w:t>. Receipt by the Administrative Agent of the following:</w:t>
      </w:r>
    </w:p>
    <w:p>
      <w:pPr>
        <w:spacing w:after="0" w:line="283" w:lineRule="exact"/>
        <w:rPr>
          <w:rFonts w:ascii="Arial" w:cs="Arial" w:eastAsia="Arial" w:hAnsi="Arial"/>
          <w:sz w:val="20"/>
          <w:szCs w:val="20"/>
          <w:color w:val="auto"/>
        </w:rPr>
      </w:pPr>
    </w:p>
    <w:p>
      <w:pPr>
        <w:ind w:left="1300" w:right="80" w:firstLine="653"/>
        <w:spacing w:after="0" w:line="321" w:lineRule="auto"/>
        <w:tabs>
          <w:tab w:leader="none" w:pos="2332" w:val="left"/>
        </w:tabs>
        <w:numPr>
          <w:ilvl w:val="1"/>
          <w:numId w:val="188"/>
        </w:numPr>
        <w:rPr>
          <w:rFonts w:ascii="Arial" w:cs="Arial" w:eastAsia="Arial" w:hAnsi="Arial"/>
          <w:sz w:val="22"/>
          <w:szCs w:val="22"/>
          <w:color w:val="auto"/>
        </w:rPr>
      </w:pPr>
      <w:r>
        <w:rPr>
          <w:rFonts w:ascii="Arial" w:cs="Arial" w:eastAsia="Arial" w:hAnsi="Arial"/>
          <w:sz w:val="20"/>
          <w:szCs w:val="20"/>
          <w:color w:val="auto"/>
        </w:rPr>
        <w:t>searches of UCC filings in the jurisdiction of formation of each Domestic Credit Party and each other jurisdiction deemed appropriate by the Administrative Agent;</w:t>
      </w:r>
    </w:p>
    <w:p>
      <w:pPr>
        <w:spacing w:after="0" w:line="177" w:lineRule="exact"/>
        <w:rPr>
          <w:rFonts w:ascii="Arial" w:cs="Arial" w:eastAsia="Arial" w:hAnsi="Arial"/>
          <w:sz w:val="22"/>
          <w:szCs w:val="22"/>
          <w:color w:val="auto"/>
        </w:rPr>
      </w:pPr>
    </w:p>
    <w:p>
      <w:pPr>
        <w:ind w:left="1300" w:right="920" w:firstLine="653"/>
        <w:spacing w:after="0" w:line="351" w:lineRule="auto"/>
        <w:tabs>
          <w:tab w:leader="none" w:pos="2392" w:val="left"/>
        </w:tabs>
        <w:numPr>
          <w:ilvl w:val="1"/>
          <w:numId w:val="188"/>
        </w:numPr>
        <w:rPr>
          <w:rFonts w:ascii="Arial" w:cs="Arial" w:eastAsia="Arial" w:hAnsi="Arial"/>
          <w:sz w:val="21"/>
          <w:szCs w:val="21"/>
          <w:color w:val="auto"/>
        </w:rPr>
      </w:pPr>
      <w:r>
        <w:rPr>
          <w:rFonts w:ascii="Arial" w:cs="Arial" w:eastAsia="Arial" w:hAnsi="Arial"/>
          <w:sz w:val="19"/>
          <w:szCs w:val="19"/>
          <w:color w:val="auto"/>
        </w:rPr>
        <w:t>all certificates evidencing any certificated Capital Stock or equity interests pledged to secure the Loan Obligations, together with undated stock powers duly executed in blank attached thereto;</w:t>
      </w:r>
    </w:p>
    <w:p>
      <w:pPr>
        <w:spacing w:after="0" w:line="151" w:lineRule="exact"/>
        <w:rPr>
          <w:rFonts w:ascii="Arial" w:cs="Arial" w:eastAsia="Arial" w:hAnsi="Arial"/>
          <w:sz w:val="21"/>
          <w:szCs w:val="21"/>
          <w:color w:val="auto"/>
        </w:rPr>
      </w:pPr>
    </w:p>
    <w:p>
      <w:pPr>
        <w:ind w:left="1300" w:right="240" w:firstLine="653"/>
        <w:spacing w:after="0" w:line="321" w:lineRule="auto"/>
        <w:tabs>
          <w:tab w:leader="none" w:pos="2452" w:val="left"/>
        </w:tabs>
        <w:numPr>
          <w:ilvl w:val="1"/>
          <w:numId w:val="188"/>
        </w:numPr>
        <w:rPr>
          <w:rFonts w:ascii="Arial" w:cs="Arial" w:eastAsia="Arial" w:hAnsi="Arial"/>
          <w:sz w:val="22"/>
          <w:szCs w:val="22"/>
          <w:color w:val="auto"/>
        </w:rPr>
      </w:pPr>
      <w:r>
        <w:rPr>
          <w:rFonts w:ascii="Arial" w:cs="Arial" w:eastAsia="Arial" w:hAnsi="Arial"/>
          <w:sz w:val="20"/>
          <w:szCs w:val="20"/>
          <w:color w:val="auto"/>
        </w:rPr>
        <w:t>searches of ownership of, and Liens on, United States registered intellectual property of each Domestic Credit Party in the appropriate governmental offices; and</w:t>
      </w:r>
    </w:p>
    <w:p>
      <w:pPr>
        <w:spacing w:after="0" w:line="177" w:lineRule="exact"/>
        <w:rPr>
          <w:rFonts w:ascii="Arial" w:cs="Arial" w:eastAsia="Arial" w:hAnsi="Arial"/>
          <w:sz w:val="22"/>
          <w:szCs w:val="22"/>
          <w:color w:val="auto"/>
        </w:rPr>
      </w:pPr>
    </w:p>
    <w:p>
      <w:pPr>
        <w:ind w:left="1300" w:right="720" w:firstLine="653"/>
        <w:spacing w:after="0" w:line="321" w:lineRule="auto"/>
        <w:tabs>
          <w:tab w:leader="none" w:pos="2440" w:val="left"/>
        </w:tabs>
        <w:numPr>
          <w:ilvl w:val="1"/>
          <w:numId w:val="188"/>
        </w:numPr>
        <w:rPr>
          <w:rFonts w:ascii="Arial" w:cs="Arial" w:eastAsia="Arial" w:hAnsi="Arial"/>
          <w:sz w:val="22"/>
          <w:szCs w:val="22"/>
          <w:color w:val="auto"/>
        </w:rPr>
      </w:pPr>
      <w:r>
        <w:rPr>
          <w:rFonts w:ascii="Arial" w:cs="Arial" w:eastAsia="Arial" w:hAnsi="Arial"/>
          <w:sz w:val="20"/>
          <w:szCs w:val="20"/>
          <w:color w:val="auto"/>
        </w:rPr>
        <w:t>duly executed notices of grant of security interest in the form required by the Security Agreement as are necessary, in the Administrative Agent’s sole discretion, to</w:t>
      </w:r>
    </w:p>
    <w:p>
      <w:pPr>
        <w:spacing w:after="0" w:line="380"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133</w:t>
      </w:r>
    </w:p>
    <w:p>
      <w:pPr>
        <w:spacing w:after="0" w:line="10" w:lineRule="exact"/>
        <w:rPr>
          <w:sz w:val="20"/>
          <w:szCs w:val="20"/>
          <w:color w:val="auto"/>
        </w:rPr>
      </w:pPr>
    </w:p>
    <w:p>
      <w:pPr>
        <w:spacing w:after="0"/>
        <w:rPr>
          <w:sz w:val="20"/>
          <w:szCs w:val="20"/>
          <w:color w:val="auto"/>
        </w:rPr>
      </w:pPr>
      <w:r>
        <w:rPr>
          <w:rFonts w:ascii="Arial" w:cs="Arial" w:eastAsia="Arial" w:hAnsi="Arial"/>
          <w:sz w:val="14"/>
          <w:szCs w:val="14"/>
          <w:color w:val="auto"/>
        </w:rPr>
        <w:t>CHAR1\1346423v</w:t>
      </w:r>
      <w:r>
        <w:rPr>
          <w:rFonts w:ascii="Arial" w:cs="Arial" w:eastAsia="Arial" w:hAnsi="Arial"/>
          <w:sz w:val="14"/>
          <w:szCs w:val="14"/>
          <w:color w:val="FF0000"/>
          <w:strike w:val="1"/>
        </w:rPr>
        <w:t>1</w:t>
      </w:r>
      <w:r>
        <w:rPr>
          <w:rFonts w:ascii="Arial" w:cs="Arial" w:eastAsia="Arial" w:hAnsi="Arial"/>
          <w:sz w:val="14"/>
          <w:szCs w:val="14"/>
          <w:u w:val="single" w:color="auto"/>
          <w:color w:val="0000FF"/>
        </w:rPr>
        <w:t>12</w:t>
      </w:r>
    </w:p>
    <w:p>
      <w:pPr>
        <w:sectPr>
          <w:pgSz w:w="11900" w:h="16838" w:orient="portrait"/>
          <w:cols w:equalWidth="0" w:num="1">
            <w:col w:w="11400"/>
          </w:cols>
          <w:pgMar w:left="240" w:top="609" w:right="259" w:bottom="1440" w:gutter="0" w:footer="0" w:header="0"/>
        </w:sectPr>
      </w:pPr>
    </w:p>
    <w:bookmarkStart w:id="185" w:name="page186"/>
    <w:bookmarkEnd w:id="185"/>
    <w:p>
      <w:pPr>
        <w:jc w:val="center"/>
        <w:ind w:right="100"/>
        <w:spacing w:after="0"/>
        <w:rPr>
          <w:sz w:val="20"/>
          <w:szCs w:val="20"/>
          <w:color w:val="auto"/>
        </w:rPr>
      </w:pPr>
      <w:r>
        <w:rPr>
          <w:rFonts w:ascii="Arial" w:cs="Arial" w:eastAsia="Arial" w:hAnsi="Arial"/>
          <w:sz w:val="20"/>
          <w:szCs w:val="20"/>
          <w:color w:val="auto"/>
        </w:rPr>
        <w:t>perfect the security interest in the United States registered intellectual property of the Domestic Credit Parties.</w:t>
      </w:r>
    </w:p>
    <w:p>
      <w:pPr>
        <w:spacing w:after="0" w:line="256" w:lineRule="exact"/>
        <w:rPr>
          <w:sz w:val="20"/>
          <w:szCs w:val="20"/>
          <w:color w:val="auto"/>
        </w:rPr>
      </w:pPr>
    </w:p>
    <w:p>
      <w:pPr>
        <w:ind w:left="1700" w:hanging="395"/>
        <w:spacing w:after="0"/>
        <w:tabs>
          <w:tab w:leader="none" w:pos="1700" w:val="left"/>
        </w:tabs>
        <w:numPr>
          <w:ilvl w:val="0"/>
          <w:numId w:val="189"/>
        </w:numPr>
        <w:rPr>
          <w:rFonts w:ascii="Arial" w:cs="Arial" w:eastAsia="Arial" w:hAnsi="Arial"/>
          <w:sz w:val="18"/>
          <w:szCs w:val="18"/>
          <w:color w:val="auto"/>
        </w:rPr>
      </w:pPr>
      <w:r>
        <w:rPr>
          <w:rFonts w:ascii="Arial" w:cs="Arial" w:eastAsia="Arial" w:hAnsi="Arial"/>
          <w:sz w:val="18"/>
          <w:szCs w:val="18"/>
          <w:u w:val="single" w:color="auto"/>
          <w:color w:val="auto"/>
        </w:rPr>
        <w:t>Evidence of Insurance</w:t>
      </w:r>
      <w:r>
        <w:rPr>
          <w:rFonts w:ascii="Arial" w:cs="Arial" w:eastAsia="Arial" w:hAnsi="Arial"/>
          <w:sz w:val="18"/>
          <w:szCs w:val="18"/>
          <w:color w:val="auto"/>
        </w:rPr>
        <w:t>. Receipt by the Administrative Agent of copies of insurance policies or certificates of insurance of</w:t>
      </w:r>
    </w:p>
    <w:p>
      <w:pPr>
        <w:spacing w:after="0" w:line="76" w:lineRule="exact"/>
        <w:rPr>
          <w:rFonts w:ascii="Arial" w:cs="Arial" w:eastAsia="Arial" w:hAnsi="Arial"/>
          <w:sz w:val="18"/>
          <w:szCs w:val="18"/>
          <w:color w:val="auto"/>
        </w:rPr>
      </w:pPr>
    </w:p>
    <w:p>
      <w:pPr>
        <w:ind w:left="660"/>
        <w:spacing w:after="0" w:line="303" w:lineRule="auto"/>
        <w:rPr>
          <w:rFonts w:ascii="Arial" w:cs="Arial" w:eastAsia="Arial" w:hAnsi="Arial"/>
          <w:sz w:val="18"/>
          <w:szCs w:val="18"/>
          <w:color w:val="auto"/>
        </w:rPr>
      </w:pPr>
      <w:r>
        <w:rPr>
          <w:rFonts w:ascii="Arial" w:cs="Arial" w:eastAsia="Arial" w:hAnsi="Arial"/>
          <w:sz w:val="20"/>
          <w:szCs w:val="20"/>
          <w:color w:val="auto"/>
        </w:rPr>
        <w:t>the Credit Parties evidencing liability and property insurance meeting the requirements set forth in the Credit Documents, and including affirmative flood insurance coverage where appropriate.</w:t>
      </w:r>
    </w:p>
    <w:p>
      <w:pPr>
        <w:spacing w:after="0" w:line="175" w:lineRule="exact"/>
        <w:rPr>
          <w:rFonts w:ascii="Arial" w:cs="Arial" w:eastAsia="Arial" w:hAnsi="Arial"/>
          <w:sz w:val="18"/>
          <w:szCs w:val="18"/>
          <w:color w:val="auto"/>
        </w:rPr>
      </w:pPr>
    </w:p>
    <w:p>
      <w:pPr>
        <w:ind w:left="1680" w:hanging="375"/>
        <w:spacing w:after="0"/>
        <w:tabs>
          <w:tab w:leader="none" w:pos="1680" w:val="left"/>
        </w:tabs>
        <w:numPr>
          <w:ilvl w:val="0"/>
          <w:numId w:val="189"/>
        </w:numPr>
        <w:rPr>
          <w:rFonts w:ascii="Arial" w:cs="Arial" w:eastAsia="Arial" w:hAnsi="Arial"/>
          <w:sz w:val="18"/>
          <w:szCs w:val="18"/>
          <w:color w:val="auto"/>
        </w:rPr>
      </w:pPr>
      <w:r>
        <w:rPr>
          <w:rFonts w:ascii="Arial" w:cs="Arial" w:eastAsia="Arial" w:hAnsi="Arial"/>
          <w:sz w:val="18"/>
          <w:szCs w:val="18"/>
          <w:u w:val="single" w:color="auto"/>
          <w:color w:val="auto"/>
        </w:rPr>
        <w:t>Closing Certificate</w:t>
      </w:r>
      <w:r>
        <w:rPr>
          <w:rFonts w:ascii="Arial" w:cs="Arial" w:eastAsia="Arial" w:hAnsi="Arial"/>
          <w:sz w:val="18"/>
          <w:szCs w:val="18"/>
          <w:color w:val="auto"/>
        </w:rPr>
        <w:t>. Receipt by the Administrative Agent of a certificate signed by a Responsible Officer of EWI as of the</w:t>
      </w:r>
    </w:p>
    <w:p>
      <w:pPr>
        <w:spacing w:after="0" w:line="76" w:lineRule="exact"/>
        <w:rPr>
          <w:rFonts w:ascii="Arial" w:cs="Arial" w:eastAsia="Arial" w:hAnsi="Arial"/>
          <w:sz w:val="18"/>
          <w:szCs w:val="18"/>
          <w:color w:val="auto"/>
        </w:rPr>
      </w:pPr>
    </w:p>
    <w:p>
      <w:pPr>
        <w:ind w:left="660" w:right="380"/>
        <w:spacing w:after="0" w:line="303" w:lineRule="auto"/>
        <w:rPr>
          <w:rFonts w:ascii="Arial" w:cs="Arial" w:eastAsia="Arial" w:hAnsi="Arial"/>
          <w:sz w:val="18"/>
          <w:szCs w:val="18"/>
          <w:color w:val="auto"/>
        </w:rPr>
      </w:pPr>
      <w:r>
        <w:rPr>
          <w:rFonts w:ascii="Arial" w:cs="Arial" w:eastAsia="Arial" w:hAnsi="Arial"/>
          <w:sz w:val="20"/>
          <w:szCs w:val="20"/>
          <w:color w:val="auto"/>
        </w:rPr>
        <w:t xml:space="preserve">Closing Date certifying that the conditions specified in </w:t>
      </w:r>
      <w:r>
        <w:rPr>
          <w:rFonts w:ascii="Arial" w:cs="Arial" w:eastAsia="Arial" w:hAnsi="Arial"/>
          <w:sz w:val="20"/>
          <w:szCs w:val="20"/>
          <w:u w:val="single" w:color="auto"/>
          <w:color w:val="auto"/>
        </w:rPr>
        <w:t>subsections (a)</w:t>
      </w:r>
      <w:r>
        <w:rPr>
          <w:rFonts w:ascii="Arial" w:cs="Arial" w:eastAsia="Arial" w:hAnsi="Arial"/>
          <w:sz w:val="20"/>
          <w:szCs w:val="20"/>
          <w:color w:val="auto"/>
        </w:rPr>
        <w:t xml:space="preserve"> and </w:t>
      </w:r>
      <w:r>
        <w:rPr>
          <w:rFonts w:ascii="Arial" w:cs="Arial" w:eastAsia="Arial" w:hAnsi="Arial"/>
          <w:sz w:val="20"/>
          <w:szCs w:val="20"/>
          <w:u w:val="single" w:color="auto"/>
          <w:color w:val="auto"/>
        </w:rPr>
        <w:t>(b)</w:t>
      </w:r>
      <w:r>
        <w:rPr>
          <w:rFonts w:ascii="Arial" w:cs="Arial" w:eastAsia="Arial" w:hAnsi="Arial"/>
          <w:sz w:val="20"/>
          <w:szCs w:val="20"/>
          <w:color w:val="auto"/>
        </w:rPr>
        <w:t xml:space="preserve"> of </w:t>
      </w:r>
      <w:r>
        <w:rPr>
          <w:rFonts w:ascii="Arial" w:cs="Arial" w:eastAsia="Arial" w:hAnsi="Arial"/>
          <w:sz w:val="20"/>
          <w:szCs w:val="20"/>
          <w:u w:val="single" w:color="auto"/>
          <w:color w:val="auto"/>
        </w:rPr>
        <w:t>Section 5.02</w:t>
      </w:r>
      <w:r>
        <w:rPr>
          <w:rFonts w:ascii="Arial" w:cs="Arial" w:eastAsia="Arial" w:hAnsi="Arial"/>
          <w:sz w:val="20"/>
          <w:szCs w:val="20"/>
          <w:color w:val="auto"/>
        </w:rPr>
        <w:t xml:space="preserve"> have been satisfied as of the Closing Date.</w:t>
      </w:r>
    </w:p>
    <w:p>
      <w:pPr>
        <w:spacing w:after="0" w:line="175" w:lineRule="exact"/>
        <w:rPr>
          <w:rFonts w:ascii="Arial" w:cs="Arial" w:eastAsia="Arial" w:hAnsi="Arial"/>
          <w:sz w:val="18"/>
          <w:szCs w:val="18"/>
          <w:color w:val="auto"/>
        </w:rPr>
      </w:pPr>
    </w:p>
    <w:p>
      <w:pPr>
        <w:ind w:left="1720" w:hanging="415"/>
        <w:spacing w:after="0"/>
        <w:tabs>
          <w:tab w:leader="none" w:pos="1720" w:val="left"/>
        </w:tabs>
        <w:numPr>
          <w:ilvl w:val="0"/>
          <w:numId w:val="189"/>
        </w:numPr>
        <w:rPr>
          <w:rFonts w:ascii="Arial" w:cs="Arial" w:eastAsia="Arial" w:hAnsi="Arial"/>
          <w:sz w:val="18"/>
          <w:szCs w:val="18"/>
          <w:color w:val="auto"/>
        </w:rPr>
      </w:pPr>
      <w:r>
        <w:rPr>
          <w:rFonts w:ascii="Arial" w:cs="Arial" w:eastAsia="Arial" w:hAnsi="Arial"/>
          <w:sz w:val="18"/>
          <w:szCs w:val="18"/>
          <w:u w:val="single" w:color="auto"/>
          <w:color w:val="auto"/>
        </w:rPr>
        <w:t>Fees</w:t>
      </w:r>
      <w:r>
        <w:rPr>
          <w:rFonts w:ascii="Arial" w:cs="Arial" w:eastAsia="Arial" w:hAnsi="Arial"/>
          <w:sz w:val="18"/>
          <w:szCs w:val="18"/>
          <w:color w:val="auto"/>
        </w:rPr>
        <w:t>. Payment of all fees and expenses required to be paid on or before the Closing Date, including the reasonable and</w:t>
      </w:r>
    </w:p>
    <w:p>
      <w:pPr>
        <w:spacing w:after="0" w:line="76" w:lineRule="exact"/>
        <w:rPr>
          <w:rFonts w:ascii="Arial" w:cs="Arial" w:eastAsia="Arial" w:hAnsi="Arial"/>
          <w:sz w:val="18"/>
          <w:szCs w:val="18"/>
          <w:color w:val="auto"/>
        </w:rPr>
      </w:pPr>
    </w:p>
    <w:p>
      <w:pPr>
        <w:ind w:left="660" w:right="240"/>
        <w:spacing w:after="0" w:line="288" w:lineRule="auto"/>
        <w:rPr>
          <w:rFonts w:ascii="Arial" w:cs="Arial" w:eastAsia="Arial" w:hAnsi="Arial"/>
          <w:sz w:val="18"/>
          <w:szCs w:val="18"/>
          <w:color w:val="auto"/>
        </w:rPr>
      </w:pPr>
      <w:r>
        <w:rPr>
          <w:rFonts w:ascii="Arial" w:cs="Arial" w:eastAsia="Arial" w:hAnsi="Arial"/>
          <w:sz w:val="20"/>
          <w:szCs w:val="20"/>
          <w:color w:val="auto"/>
        </w:rPr>
        <w:t>documented fees and expenses of counsel for the Administrative Agent, the Arrangers and Foreign Collateral Agent. As used herein, “documented” means such documentation as may be customary, reasonable and appropriate in light of the circumstances, but which, for purposes of closing, may include a summary statement with estimates of fees and expenses through a reasonable post-closing period.</w:t>
      </w:r>
    </w:p>
    <w:p>
      <w:pPr>
        <w:spacing w:after="0" w:line="166" w:lineRule="exact"/>
        <w:rPr>
          <w:sz w:val="20"/>
          <w:szCs w:val="20"/>
          <w:color w:val="auto"/>
        </w:rPr>
      </w:pPr>
    </w:p>
    <w:p>
      <w:pPr>
        <w:ind w:firstLine="648"/>
        <w:spacing w:after="0" w:line="244" w:lineRule="auto"/>
        <w:rPr>
          <w:sz w:val="20"/>
          <w:szCs w:val="20"/>
          <w:color w:val="auto"/>
        </w:rPr>
      </w:pPr>
      <w:r>
        <w:rPr>
          <w:rFonts w:ascii="Arial" w:cs="Arial" w:eastAsia="Arial" w:hAnsi="Arial"/>
          <w:sz w:val="20"/>
          <w:szCs w:val="20"/>
          <w:color w:val="auto"/>
        </w:rPr>
        <w:t xml:space="preserve">Without limiting the generality of the provisions of </w:t>
      </w:r>
      <w:r>
        <w:rPr>
          <w:rFonts w:ascii="Arial" w:cs="Arial" w:eastAsia="Arial" w:hAnsi="Arial"/>
          <w:sz w:val="20"/>
          <w:szCs w:val="20"/>
          <w:u w:val="single" w:color="auto"/>
          <w:color w:val="auto"/>
        </w:rPr>
        <w:t>Section 10.04</w:t>
      </w:r>
      <w:r>
        <w:rPr>
          <w:rFonts w:ascii="Arial" w:cs="Arial" w:eastAsia="Arial" w:hAnsi="Arial"/>
          <w:sz w:val="20"/>
          <w:szCs w:val="20"/>
          <w:color w:val="auto"/>
        </w:rPr>
        <w:t xml:space="preserve">, for purposes of determining compliance with the conditions specified in this </w:t>
      </w:r>
      <w:r>
        <w:rPr>
          <w:rFonts w:ascii="Arial" w:cs="Arial" w:eastAsia="Arial" w:hAnsi="Arial"/>
          <w:sz w:val="20"/>
          <w:szCs w:val="20"/>
          <w:u w:val="single" w:color="auto"/>
          <w:color w:val="auto"/>
        </w:rPr>
        <w:t>Section 5.01</w:t>
      </w:r>
      <w:r>
        <w:rPr>
          <w:rFonts w:ascii="Arial" w:cs="Arial" w:eastAsia="Arial" w:hAnsi="Arial"/>
          <w:sz w:val="20"/>
          <w:szCs w:val="20"/>
          <w:color w:val="auto"/>
        </w:rPr>
        <w:t>, each Lender that has signed this Credit Agreement shall be deemed to have consented to, approved or accepted or to be satisfied with, each document or other matter required thereunder to be consented to or approved by or acceptable or satisfactory to a Lender unless the Administrative Agent shall have received notice from such Lender prior to the proposed Closing Date specifying its objection thereto.</w:t>
      </w:r>
    </w:p>
    <w:p>
      <w:pPr>
        <w:spacing w:after="0" w:line="222" w:lineRule="exact"/>
        <w:rPr>
          <w:sz w:val="20"/>
          <w:szCs w:val="20"/>
          <w:color w:val="auto"/>
        </w:rPr>
      </w:pPr>
    </w:p>
    <w:p>
      <w:pPr>
        <w:ind w:right="280" w:firstLine="648"/>
        <w:spacing w:after="0" w:line="317" w:lineRule="auto"/>
        <w:rPr>
          <w:sz w:val="20"/>
          <w:szCs w:val="20"/>
          <w:color w:val="auto"/>
        </w:rPr>
      </w:pPr>
      <w:r>
        <w:rPr>
          <w:rFonts w:ascii="Arial" w:cs="Arial" w:eastAsia="Arial" w:hAnsi="Arial"/>
          <w:sz w:val="20"/>
          <w:szCs w:val="20"/>
          <w:color w:val="auto"/>
        </w:rPr>
        <w:t xml:space="preserve">5.02 </w:t>
      </w:r>
      <w:r>
        <w:rPr>
          <w:rFonts w:ascii="Arial" w:cs="Arial" w:eastAsia="Arial" w:hAnsi="Arial"/>
          <w:sz w:val="20"/>
          <w:szCs w:val="20"/>
          <w:u w:val="single" w:color="auto"/>
          <w:color w:val="auto"/>
        </w:rPr>
        <w:t>Conditions to all Credit Extensions</w:t>
      </w:r>
      <w:r>
        <w:rPr>
          <w:rFonts w:ascii="Arial" w:cs="Arial" w:eastAsia="Arial" w:hAnsi="Arial"/>
          <w:sz w:val="20"/>
          <w:szCs w:val="20"/>
          <w:color w:val="auto"/>
        </w:rPr>
        <w:t>. The obligation of each Lender to honor any Request for Credit Extension is subject to the following conditions precedent:</w:t>
      </w:r>
    </w:p>
    <w:p>
      <w:pPr>
        <w:spacing w:after="0" w:line="162" w:lineRule="exact"/>
        <w:rPr>
          <w:sz w:val="20"/>
          <w:szCs w:val="20"/>
          <w:color w:val="auto"/>
        </w:rPr>
      </w:pPr>
    </w:p>
    <w:p>
      <w:pPr>
        <w:ind w:left="1700" w:hanging="395"/>
        <w:spacing w:after="0"/>
        <w:tabs>
          <w:tab w:leader="none" w:pos="1700" w:val="left"/>
        </w:tabs>
        <w:numPr>
          <w:ilvl w:val="0"/>
          <w:numId w:val="190"/>
        </w:numPr>
        <w:rPr>
          <w:rFonts w:ascii="Arial" w:cs="Arial" w:eastAsia="Arial" w:hAnsi="Arial"/>
          <w:sz w:val="18"/>
          <w:szCs w:val="18"/>
          <w:color w:val="auto"/>
        </w:rPr>
      </w:pPr>
      <w:r>
        <w:rPr>
          <w:rFonts w:ascii="Arial" w:cs="Arial" w:eastAsia="Arial" w:hAnsi="Arial"/>
          <w:sz w:val="18"/>
          <w:szCs w:val="18"/>
          <w:color w:val="auto"/>
        </w:rPr>
        <w:t xml:space="preserve">The representations and warranties of each Credit Party contained in </w:t>
      </w:r>
      <w:r>
        <w:rPr>
          <w:rFonts w:ascii="Arial" w:cs="Arial" w:eastAsia="Arial" w:hAnsi="Arial"/>
          <w:sz w:val="18"/>
          <w:szCs w:val="18"/>
          <w:u w:val="single" w:color="auto"/>
          <w:color w:val="auto"/>
        </w:rPr>
        <w:t>Article VI</w:t>
      </w:r>
      <w:r>
        <w:rPr>
          <w:rFonts w:ascii="Arial" w:cs="Arial" w:eastAsia="Arial" w:hAnsi="Arial"/>
          <w:sz w:val="18"/>
          <w:szCs w:val="18"/>
          <w:color w:val="auto"/>
        </w:rPr>
        <w:t xml:space="preserve"> or any other Credit Document, or that are</w:t>
      </w:r>
    </w:p>
    <w:p>
      <w:pPr>
        <w:spacing w:after="0" w:line="76" w:lineRule="exact"/>
        <w:rPr>
          <w:rFonts w:ascii="Arial" w:cs="Arial" w:eastAsia="Arial" w:hAnsi="Arial"/>
          <w:sz w:val="18"/>
          <w:szCs w:val="18"/>
          <w:color w:val="auto"/>
        </w:rPr>
      </w:pPr>
    </w:p>
    <w:p>
      <w:pPr>
        <w:ind w:left="660" w:right="20"/>
        <w:spacing w:after="0" w:line="325" w:lineRule="auto"/>
        <w:rPr>
          <w:rFonts w:ascii="Arial" w:cs="Arial" w:eastAsia="Arial" w:hAnsi="Arial"/>
          <w:sz w:val="18"/>
          <w:szCs w:val="18"/>
          <w:color w:val="auto"/>
        </w:rPr>
      </w:pPr>
      <w:r>
        <w:rPr>
          <w:rFonts w:ascii="Arial" w:cs="Arial" w:eastAsia="Arial" w:hAnsi="Arial"/>
          <w:sz w:val="18"/>
          <w:szCs w:val="18"/>
          <w:color w:val="auto"/>
        </w:rPr>
        <w:t xml:space="preserve">contained in any document furnished at any time under or in connection herewith or therewith, shall be true and correct in all material respects on and as of the date of such Credit Extension, except to the extent that such representations and warranties specifically refer to an earlier date, in which case they shall be true and correct in all material respects as of such earlier date, and except that for purposes of this </w:t>
      </w:r>
      <w:r>
        <w:rPr>
          <w:rFonts w:ascii="Arial" w:cs="Arial" w:eastAsia="Arial" w:hAnsi="Arial"/>
          <w:sz w:val="18"/>
          <w:szCs w:val="18"/>
          <w:u w:val="single" w:color="auto"/>
          <w:color w:val="auto"/>
        </w:rPr>
        <w:t>Section 5.02</w:t>
      </w:r>
      <w:r>
        <w:rPr>
          <w:rFonts w:ascii="Arial" w:cs="Arial" w:eastAsia="Arial" w:hAnsi="Arial"/>
          <w:sz w:val="18"/>
          <w:szCs w:val="18"/>
          <w:color w:val="auto"/>
        </w:rPr>
        <w:t xml:space="preserve">, the representations and warranties contained in </w:t>
      </w:r>
      <w:r>
        <w:rPr>
          <w:rFonts w:ascii="Arial" w:cs="Arial" w:eastAsia="Arial" w:hAnsi="Arial"/>
          <w:sz w:val="18"/>
          <w:szCs w:val="18"/>
          <w:u w:val="single" w:color="auto"/>
          <w:color w:val="auto"/>
        </w:rPr>
        <w:t>subsections (a)</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(b)</w:t>
      </w:r>
      <w:r>
        <w:rPr>
          <w:rFonts w:ascii="Arial" w:cs="Arial" w:eastAsia="Arial" w:hAnsi="Arial"/>
          <w:sz w:val="18"/>
          <w:szCs w:val="18"/>
          <w:color w:val="auto"/>
        </w:rPr>
        <w:t xml:space="preserve"> of </w:t>
      </w:r>
      <w:r>
        <w:rPr>
          <w:rFonts w:ascii="Arial" w:cs="Arial" w:eastAsia="Arial" w:hAnsi="Arial"/>
          <w:sz w:val="18"/>
          <w:szCs w:val="18"/>
          <w:u w:val="single" w:color="auto"/>
          <w:color w:val="auto"/>
        </w:rPr>
        <w:t>Section 6.05</w:t>
      </w:r>
      <w:r>
        <w:rPr>
          <w:rFonts w:ascii="Arial" w:cs="Arial" w:eastAsia="Arial" w:hAnsi="Arial"/>
          <w:sz w:val="18"/>
          <w:szCs w:val="18"/>
          <w:color w:val="auto"/>
        </w:rPr>
        <w:t xml:space="preserve"> shall be deemed to refer to the most recent statements furnished pursuant to </w:t>
      </w:r>
      <w:r>
        <w:rPr>
          <w:rFonts w:ascii="Arial" w:cs="Arial" w:eastAsia="Arial" w:hAnsi="Arial"/>
          <w:sz w:val="18"/>
          <w:szCs w:val="18"/>
          <w:u w:val="single" w:color="auto"/>
          <w:color w:val="auto"/>
        </w:rPr>
        <w:t>clauses (a)</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(b)</w:t>
      </w:r>
      <w:r>
        <w:rPr>
          <w:rFonts w:ascii="Arial" w:cs="Arial" w:eastAsia="Arial" w:hAnsi="Arial"/>
          <w:sz w:val="18"/>
          <w:szCs w:val="18"/>
          <w:color w:val="auto"/>
        </w:rPr>
        <w:t xml:space="preserve">, respectively, of </w:t>
      </w:r>
      <w:r>
        <w:rPr>
          <w:rFonts w:ascii="Arial" w:cs="Arial" w:eastAsia="Arial" w:hAnsi="Arial"/>
          <w:sz w:val="18"/>
          <w:szCs w:val="18"/>
          <w:u w:val="single" w:color="auto"/>
          <w:color w:val="auto"/>
        </w:rPr>
        <w:t>Section 7.01</w:t>
      </w:r>
      <w:r>
        <w:rPr>
          <w:rFonts w:ascii="Arial" w:cs="Arial" w:eastAsia="Arial" w:hAnsi="Arial"/>
          <w:sz w:val="18"/>
          <w:szCs w:val="18"/>
          <w:color w:val="auto"/>
        </w:rPr>
        <w:t>.</w:t>
      </w:r>
    </w:p>
    <w:p>
      <w:pPr>
        <w:spacing w:after="0" w:line="165" w:lineRule="exact"/>
        <w:rPr>
          <w:rFonts w:ascii="Arial" w:cs="Arial" w:eastAsia="Arial" w:hAnsi="Arial"/>
          <w:sz w:val="18"/>
          <w:szCs w:val="18"/>
          <w:color w:val="auto"/>
        </w:rPr>
      </w:pPr>
    </w:p>
    <w:p>
      <w:pPr>
        <w:ind w:left="1720" w:hanging="415"/>
        <w:spacing w:after="0"/>
        <w:tabs>
          <w:tab w:leader="none" w:pos="1720" w:val="left"/>
        </w:tabs>
        <w:numPr>
          <w:ilvl w:val="0"/>
          <w:numId w:val="190"/>
        </w:numPr>
        <w:rPr>
          <w:rFonts w:ascii="Arial" w:cs="Arial" w:eastAsia="Arial" w:hAnsi="Arial"/>
          <w:sz w:val="18"/>
          <w:szCs w:val="18"/>
          <w:color w:val="auto"/>
        </w:rPr>
      </w:pPr>
      <w:r>
        <w:rPr>
          <w:rFonts w:ascii="Arial" w:cs="Arial" w:eastAsia="Arial" w:hAnsi="Arial"/>
          <w:sz w:val="18"/>
          <w:szCs w:val="18"/>
          <w:color w:val="auto"/>
        </w:rPr>
        <w:t>No Default or Event of Default shall exist immediately before or immediately after giving effect thereto on a Pro Forma</w:t>
      </w:r>
    </w:p>
    <w:p>
      <w:pPr>
        <w:spacing w:after="0" w:line="76"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Arial" w:cs="Arial" w:eastAsia="Arial" w:hAnsi="Arial"/>
          <w:sz w:val="20"/>
          <w:szCs w:val="20"/>
          <w:color w:val="auto"/>
        </w:rPr>
        <w:t>Basis.</w:t>
      </w:r>
    </w:p>
    <w:p>
      <w:pPr>
        <w:spacing w:after="0" w:line="256" w:lineRule="exact"/>
        <w:rPr>
          <w:rFonts w:ascii="Arial" w:cs="Arial" w:eastAsia="Arial" w:hAnsi="Arial"/>
          <w:sz w:val="18"/>
          <w:szCs w:val="18"/>
          <w:color w:val="auto"/>
        </w:rPr>
      </w:pPr>
    </w:p>
    <w:p>
      <w:pPr>
        <w:ind w:left="660" w:right="440" w:firstLine="645"/>
        <w:spacing w:after="0" w:line="317" w:lineRule="auto"/>
        <w:tabs>
          <w:tab w:leader="none" w:pos="1708" w:val="left"/>
        </w:tabs>
        <w:numPr>
          <w:ilvl w:val="0"/>
          <w:numId w:val="190"/>
        </w:numPr>
        <w:rPr>
          <w:rFonts w:ascii="Arial" w:cs="Arial" w:eastAsia="Arial" w:hAnsi="Arial"/>
          <w:sz w:val="20"/>
          <w:szCs w:val="20"/>
          <w:color w:val="auto"/>
        </w:rPr>
      </w:pPr>
      <w:r>
        <w:rPr>
          <w:rFonts w:ascii="Arial" w:cs="Arial" w:eastAsia="Arial" w:hAnsi="Arial"/>
          <w:sz w:val="20"/>
          <w:szCs w:val="20"/>
          <w:color w:val="auto"/>
        </w:rPr>
        <w:t>The Administrative Agent, L/C Issuer and/or Swingline Lender shall have received a Request for Credit Extension in accordance with the requirements hereof.</w:t>
      </w:r>
    </w:p>
    <w:p>
      <w:pPr>
        <w:spacing w:after="0" w:line="37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134</w:t>
      </w:r>
    </w:p>
    <w:p>
      <w:pPr>
        <w:spacing w:after="0" w:line="10" w:lineRule="exact"/>
        <w:rPr>
          <w:sz w:val="20"/>
          <w:szCs w:val="20"/>
          <w:color w:val="auto"/>
        </w:rPr>
      </w:pPr>
    </w:p>
    <w:p>
      <w:pPr>
        <w:spacing w:after="0"/>
        <w:rPr>
          <w:sz w:val="20"/>
          <w:szCs w:val="20"/>
          <w:color w:val="auto"/>
        </w:rPr>
      </w:pPr>
      <w:r>
        <w:rPr>
          <w:rFonts w:ascii="Arial" w:cs="Arial" w:eastAsia="Arial" w:hAnsi="Arial"/>
          <w:sz w:val="14"/>
          <w:szCs w:val="14"/>
          <w:color w:val="auto"/>
        </w:rPr>
        <w:t>CHAR1\1346423v</w:t>
      </w:r>
      <w:r>
        <w:rPr>
          <w:rFonts w:ascii="Arial" w:cs="Arial" w:eastAsia="Arial" w:hAnsi="Arial"/>
          <w:sz w:val="14"/>
          <w:szCs w:val="14"/>
          <w:color w:val="FF0000"/>
          <w:strike w:val="1"/>
        </w:rPr>
        <w:t>1</w:t>
      </w:r>
      <w:r>
        <w:rPr>
          <w:rFonts w:ascii="Arial" w:cs="Arial" w:eastAsia="Arial" w:hAnsi="Arial"/>
          <w:sz w:val="14"/>
          <w:szCs w:val="14"/>
          <w:u w:val="single" w:color="auto"/>
          <w:color w:val="0000FF"/>
        </w:rPr>
        <w:t>12</w:t>
      </w:r>
    </w:p>
    <w:p>
      <w:pPr>
        <w:sectPr>
          <w:pgSz w:w="11900" w:h="16838" w:orient="portrait"/>
          <w:cols w:equalWidth="0" w:num="1">
            <w:col w:w="11420"/>
          </w:cols>
          <w:pgMar w:left="240" w:top="609" w:right="239" w:bottom="1440" w:gutter="0" w:footer="0" w:header="0"/>
        </w:sectPr>
      </w:pPr>
    </w:p>
    <w:bookmarkStart w:id="186" w:name="page187"/>
    <w:bookmarkEnd w:id="186"/>
    <w:p>
      <w:pPr>
        <w:ind w:left="1720" w:hanging="415"/>
        <w:spacing w:after="0"/>
        <w:tabs>
          <w:tab w:leader="none" w:pos="1720" w:val="left"/>
        </w:tabs>
        <w:numPr>
          <w:ilvl w:val="0"/>
          <w:numId w:val="191"/>
        </w:numPr>
        <w:rPr>
          <w:rFonts w:ascii="Arial" w:cs="Arial" w:eastAsia="Arial" w:hAnsi="Arial"/>
          <w:sz w:val="18"/>
          <w:szCs w:val="18"/>
          <w:color w:val="auto"/>
        </w:rPr>
      </w:pPr>
      <w:r>
        <w:rPr>
          <w:rFonts w:ascii="Arial" w:cs="Arial" w:eastAsia="Arial" w:hAnsi="Arial"/>
          <w:sz w:val="18"/>
          <w:szCs w:val="18"/>
          <w:color w:val="auto"/>
        </w:rPr>
        <w:t>In the case of a Credit Extension to be denominated in an Alternative Currency, there shall not have occurred any change</w:t>
      </w:r>
    </w:p>
    <w:p>
      <w:pPr>
        <w:spacing w:after="0" w:line="76" w:lineRule="exact"/>
        <w:rPr>
          <w:rFonts w:ascii="Arial" w:cs="Arial" w:eastAsia="Arial" w:hAnsi="Arial"/>
          <w:sz w:val="18"/>
          <w:szCs w:val="18"/>
          <w:color w:val="auto"/>
        </w:rPr>
      </w:pPr>
    </w:p>
    <w:p>
      <w:pPr>
        <w:ind w:left="660"/>
        <w:spacing w:after="0" w:line="308" w:lineRule="auto"/>
        <w:rPr>
          <w:rFonts w:ascii="Arial" w:cs="Arial" w:eastAsia="Arial" w:hAnsi="Arial"/>
          <w:sz w:val="18"/>
          <w:szCs w:val="18"/>
          <w:color w:val="auto"/>
        </w:rPr>
      </w:pPr>
      <w:r>
        <w:rPr>
          <w:rFonts w:ascii="Arial" w:cs="Arial" w:eastAsia="Arial" w:hAnsi="Arial"/>
          <w:sz w:val="19"/>
          <w:szCs w:val="19"/>
          <w:color w:val="auto"/>
        </w:rPr>
        <w:t>in national or international financial, political or economic conditions or currency exchange rates or exchange controls which in the reasonable opinion of the Administrative Agent, the Required Lenders (in the case of any Loans to be denominated in an Alternative Currency) or the applicable L/C Issuer (in the case of any Letter of Credit to be denominated in an Alternative Currency) would make it impracticable for such Credit Extension to be denominated in the relevant Alternative Currency.</w:t>
      </w:r>
    </w:p>
    <w:p>
      <w:pPr>
        <w:spacing w:after="0" w:line="148" w:lineRule="exact"/>
        <w:rPr>
          <w:sz w:val="20"/>
          <w:szCs w:val="20"/>
          <w:color w:val="auto"/>
        </w:rPr>
      </w:pPr>
    </w:p>
    <w:p>
      <w:pPr>
        <w:ind w:right="220" w:firstLine="648"/>
        <w:spacing w:after="0" w:line="291" w:lineRule="auto"/>
        <w:rPr>
          <w:sz w:val="20"/>
          <w:szCs w:val="20"/>
          <w:color w:val="auto"/>
        </w:rPr>
      </w:pPr>
      <w:r>
        <w:rPr>
          <w:rFonts w:ascii="Arial" w:cs="Arial" w:eastAsia="Arial" w:hAnsi="Arial"/>
          <w:sz w:val="18"/>
          <w:szCs w:val="18"/>
          <w:color w:val="auto"/>
        </w:rPr>
        <w:t xml:space="preserve">Each Request for Credit Extension (other than a Loan Notice requesting only a conversion of Loans to other Types of Loans, or a continuation of Fixed LIBOR Rate Loans) submitted by the Borrowers shall be deemed to be a representation and warranty by the Borrowers that the conditions specified in </w:t>
      </w:r>
      <w:r>
        <w:rPr>
          <w:rFonts w:ascii="Arial" w:cs="Arial" w:eastAsia="Arial" w:hAnsi="Arial"/>
          <w:sz w:val="18"/>
          <w:szCs w:val="18"/>
          <w:u w:val="single" w:color="auto"/>
          <w:color w:val="auto"/>
        </w:rPr>
        <w:t>Sections 5.02(a)</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(b)</w:t>
      </w:r>
      <w:r>
        <w:rPr>
          <w:rFonts w:ascii="Arial" w:cs="Arial" w:eastAsia="Arial" w:hAnsi="Arial"/>
          <w:sz w:val="18"/>
          <w:szCs w:val="18"/>
          <w:color w:val="auto"/>
        </w:rPr>
        <w:t xml:space="preserve"> have been satisfied on and as of the date of the applicable Credit Extension.</w:t>
      </w:r>
    </w:p>
    <w:p>
      <w:pPr>
        <w:spacing w:after="0" w:line="389" w:lineRule="exact"/>
        <w:rPr>
          <w:sz w:val="20"/>
          <w:szCs w:val="20"/>
          <w:color w:val="auto"/>
        </w:rPr>
      </w:pPr>
    </w:p>
    <w:p>
      <w:pPr>
        <w:jc w:val="center"/>
        <w:ind w:right="220"/>
        <w:spacing w:after="0"/>
        <w:rPr>
          <w:sz w:val="20"/>
          <w:szCs w:val="20"/>
          <w:color w:val="auto"/>
        </w:rPr>
      </w:pPr>
      <w:r>
        <w:rPr>
          <w:rFonts w:ascii="Arial" w:cs="Arial" w:eastAsia="Arial" w:hAnsi="Arial"/>
          <w:sz w:val="20"/>
          <w:szCs w:val="20"/>
          <w:b w:val="1"/>
          <w:bCs w:val="1"/>
          <w:color w:val="auto"/>
        </w:rPr>
        <w:t>ARTICLE VI</w:t>
      </w:r>
    </w:p>
    <w:p>
      <w:pPr>
        <w:spacing w:after="0" w:line="324"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REPRESENTATIONS AND WARRANTIES</w:t>
      </w:r>
    </w:p>
    <w:p>
      <w:pPr>
        <w:spacing w:after="0" w:line="235" w:lineRule="exact"/>
        <w:rPr>
          <w:sz w:val="20"/>
          <w:szCs w:val="20"/>
          <w:color w:val="auto"/>
        </w:rPr>
      </w:pPr>
    </w:p>
    <w:p>
      <w:pPr>
        <w:jc w:val="both"/>
        <w:ind w:right="60" w:firstLine="648"/>
        <w:spacing w:after="0" w:line="291" w:lineRule="auto"/>
        <w:rPr>
          <w:sz w:val="20"/>
          <w:szCs w:val="20"/>
          <w:color w:val="auto"/>
        </w:rPr>
      </w:pPr>
      <w:r>
        <w:rPr>
          <w:rFonts w:ascii="Arial" w:cs="Arial" w:eastAsia="Arial" w:hAnsi="Arial"/>
          <w:sz w:val="18"/>
          <w:szCs w:val="18"/>
          <w:color w:val="auto"/>
        </w:rPr>
        <w:t xml:space="preserve">Except with respect to (a) the representations and warranties in </w:t>
      </w:r>
      <w:r>
        <w:rPr>
          <w:rFonts w:ascii="Arial" w:cs="Arial" w:eastAsia="Arial" w:hAnsi="Arial"/>
          <w:sz w:val="18"/>
          <w:szCs w:val="18"/>
          <w:u w:val="single" w:color="auto"/>
          <w:color w:val="auto"/>
        </w:rPr>
        <w:t>Sections 6.05</w:t>
      </w:r>
      <w:r>
        <w:rPr>
          <w:rFonts w:ascii="Arial" w:cs="Arial" w:eastAsia="Arial" w:hAnsi="Arial"/>
          <w:sz w:val="18"/>
          <w:szCs w:val="18"/>
          <w:color w:val="auto"/>
        </w:rPr>
        <w:t xml:space="preserve">, </w:t>
      </w:r>
      <w:r>
        <w:rPr>
          <w:rFonts w:ascii="Arial" w:cs="Arial" w:eastAsia="Arial" w:hAnsi="Arial"/>
          <w:sz w:val="18"/>
          <w:szCs w:val="18"/>
          <w:u w:val="single" w:color="auto"/>
          <w:color w:val="auto"/>
        </w:rPr>
        <w:t>6.06</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6.08</w:t>
      </w:r>
      <w:r>
        <w:rPr>
          <w:rFonts w:ascii="Arial" w:cs="Arial" w:eastAsia="Arial" w:hAnsi="Arial"/>
          <w:sz w:val="18"/>
          <w:szCs w:val="18"/>
          <w:color w:val="auto"/>
        </w:rPr>
        <w:t xml:space="preserve"> (which are made only by EWI) and (b) the representations and warranties in </w:t>
      </w:r>
      <w:r>
        <w:rPr>
          <w:rFonts w:ascii="Arial" w:cs="Arial" w:eastAsia="Arial" w:hAnsi="Arial"/>
          <w:sz w:val="18"/>
          <w:szCs w:val="18"/>
          <w:u w:val="single" w:color="auto"/>
          <w:color w:val="auto"/>
        </w:rPr>
        <w:t>Section 6.21</w:t>
      </w:r>
      <w:r>
        <w:rPr>
          <w:rFonts w:ascii="Arial" w:cs="Arial" w:eastAsia="Arial" w:hAnsi="Arial"/>
          <w:sz w:val="18"/>
          <w:szCs w:val="18"/>
          <w:color w:val="auto"/>
        </w:rPr>
        <w:t xml:space="preserve"> (which are made only by the Foreign Obligors that are a party to this Credit Agreement), each of the Credit Parties that is a party to this Credit Agreement represents and warrants to the Administrative Agent and the Lenders that:</w:t>
      </w:r>
    </w:p>
    <w:p>
      <w:pPr>
        <w:spacing w:after="0" w:line="179" w:lineRule="exact"/>
        <w:rPr>
          <w:sz w:val="20"/>
          <w:szCs w:val="20"/>
          <w:color w:val="auto"/>
        </w:rPr>
      </w:pPr>
    </w:p>
    <w:p>
      <w:pPr>
        <w:ind w:right="20" w:firstLine="648"/>
        <w:spacing w:after="0" w:line="302" w:lineRule="auto"/>
        <w:rPr>
          <w:sz w:val="20"/>
          <w:szCs w:val="20"/>
          <w:color w:val="auto"/>
        </w:rPr>
      </w:pPr>
      <w:r>
        <w:rPr>
          <w:rFonts w:ascii="Arial" w:cs="Arial" w:eastAsia="Arial" w:hAnsi="Arial"/>
          <w:sz w:val="19"/>
          <w:szCs w:val="19"/>
          <w:color w:val="auto"/>
        </w:rPr>
        <w:t xml:space="preserve">6.01 </w:t>
      </w:r>
      <w:r>
        <w:rPr>
          <w:rFonts w:ascii="Arial" w:cs="Arial" w:eastAsia="Arial" w:hAnsi="Arial"/>
          <w:sz w:val="19"/>
          <w:szCs w:val="19"/>
          <w:u w:val="single" w:color="auto"/>
          <w:color w:val="auto"/>
        </w:rPr>
        <w:t>Existence, Qualification and Power</w:t>
      </w:r>
      <w:r>
        <w:rPr>
          <w:rFonts w:ascii="Arial" w:cs="Arial" w:eastAsia="Arial" w:hAnsi="Arial"/>
          <w:sz w:val="19"/>
          <w:szCs w:val="19"/>
          <w:color w:val="auto"/>
        </w:rPr>
        <w:t xml:space="preserve">. Such Credit Party and each of its Subsidiaries (a) is duly organized or formed and validly existing and (where applicable) in good standing under the Laws of the jurisdiction of its incorporation or organization, (b) has all requisite power and authority and all requisite governmental licenses, authorizations, consents and approvals to (i) own or lease its assets and carry on its business and (ii) execute, deliver and perform its obligations under the Credit Documents to which it is a party and (c) is duly qualified and is licensed and (where applicable) in good standing under the Laws of each jurisdiction where its ownership, lease or operation of properties or the conduct of its business requires such qualification or license, in each case (other than (A) with respect to </w:t>
      </w:r>
      <w:r>
        <w:rPr>
          <w:rFonts w:ascii="Arial" w:cs="Arial" w:eastAsia="Arial" w:hAnsi="Arial"/>
          <w:sz w:val="19"/>
          <w:szCs w:val="19"/>
          <w:u w:val="single" w:color="auto"/>
          <w:color w:val="auto"/>
        </w:rPr>
        <w:t>clause (a)</w:t>
      </w:r>
      <w:r>
        <w:rPr>
          <w:rFonts w:ascii="Arial" w:cs="Arial" w:eastAsia="Arial" w:hAnsi="Arial"/>
          <w:sz w:val="19"/>
          <w:szCs w:val="19"/>
          <w:color w:val="auto"/>
        </w:rPr>
        <w:t xml:space="preserve">, as to the valid existence of the Borrowers and (B) with respect to </w:t>
      </w:r>
      <w:r>
        <w:rPr>
          <w:rFonts w:ascii="Arial" w:cs="Arial" w:eastAsia="Arial" w:hAnsi="Arial"/>
          <w:sz w:val="19"/>
          <w:szCs w:val="19"/>
          <w:u w:val="single" w:color="auto"/>
          <w:color w:val="auto"/>
        </w:rPr>
        <w:t>clause (b)(ii)</w:t>
      </w:r>
      <w:r>
        <w:rPr>
          <w:rFonts w:ascii="Arial" w:cs="Arial" w:eastAsia="Arial" w:hAnsi="Arial"/>
          <w:sz w:val="19"/>
          <w:szCs w:val="19"/>
          <w:color w:val="auto"/>
        </w:rPr>
        <w:t>), except where, individually or in the aggregate, the failure to be so organized or formed, validly existing or in good standing, or to have such power and authority, license, authorization, consent or approval, or to be so qualified, would not reasonably be expected to have a Material Adverse Effect.</w:t>
      </w:r>
    </w:p>
    <w:p>
      <w:pPr>
        <w:spacing w:after="0" w:line="186" w:lineRule="exact"/>
        <w:rPr>
          <w:sz w:val="20"/>
          <w:szCs w:val="20"/>
          <w:color w:val="auto"/>
        </w:rPr>
      </w:pPr>
    </w:p>
    <w:p>
      <w:pPr>
        <w:ind w:right="80" w:firstLine="648"/>
        <w:spacing w:after="0" w:line="288" w:lineRule="auto"/>
        <w:rPr>
          <w:sz w:val="20"/>
          <w:szCs w:val="20"/>
          <w:color w:val="auto"/>
        </w:rPr>
      </w:pPr>
      <w:r>
        <w:rPr>
          <w:rFonts w:ascii="Arial" w:cs="Arial" w:eastAsia="Arial" w:hAnsi="Arial"/>
          <w:sz w:val="20"/>
          <w:szCs w:val="20"/>
          <w:color w:val="auto"/>
        </w:rPr>
        <w:t xml:space="preserve">6.02 </w:t>
      </w:r>
      <w:r>
        <w:rPr>
          <w:rFonts w:ascii="Arial" w:cs="Arial" w:eastAsia="Arial" w:hAnsi="Arial"/>
          <w:sz w:val="20"/>
          <w:szCs w:val="20"/>
          <w:u w:val="single" w:color="auto"/>
          <w:color w:val="auto"/>
        </w:rPr>
        <w:t>Authorization; No Contravention</w:t>
      </w:r>
      <w:r>
        <w:rPr>
          <w:rFonts w:ascii="Arial" w:cs="Arial" w:eastAsia="Arial" w:hAnsi="Arial"/>
          <w:sz w:val="20"/>
          <w:szCs w:val="20"/>
          <w:color w:val="auto"/>
        </w:rPr>
        <w:t>. The execution, delivery and performance by such Credit Party of each Credit Document to which such Person is party, have been duly authorized by all necessary corporate or other organizational action, and do not and will not (a) contravene the terms of any of such Person’s Organization Documents; (b) conflict with or result in any breach or contravention of, or the creation of any Lien (other than Permitted Liens) under, or require any payment to be made under (i) any Contractual Obligation to which such Person is a party or affecting such Person or the properties of such Person or any of its Subsidiaries or (ii) any order, injunction, writ or decree of any Governmental</w:t>
      </w: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135</w:t>
      </w:r>
    </w:p>
    <w:p>
      <w:pPr>
        <w:spacing w:after="0" w:line="10" w:lineRule="exact"/>
        <w:rPr>
          <w:sz w:val="20"/>
          <w:szCs w:val="20"/>
          <w:color w:val="auto"/>
        </w:rPr>
      </w:pPr>
    </w:p>
    <w:p>
      <w:pPr>
        <w:spacing w:after="0"/>
        <w:rPr>
          <w:sz w:val="20"/>
          <w:szCs w:val="20"/>
          <w:color w:val="auto"/>
        </w:rPr>
      </w:pPr>
      <w:r>
        <w:rPr>
          <w:rFonts w:ascii="Arial" w:cs="Arial" w:eastAsia="Arial" w:hAnsi="Arial"/>
          <w:sz w:val="14"/>
          <w:szCs w:val="14"/>
          <w:color w:val="auto"/>
        </w:rPr>
        <w:t>CHAR1\1346423v</w:t>
      </w:r>
      <w:r>
        <w:rPr>
          <w:rFonts w:ascii="Arial" w:cs="Arial" w:eastAsia="Arial" w:hAnsi="Arial"/>
          <w:sz w:val="14"/>
          <w:szCs w:val="14"/>
          <w:color w:val="FF0000"/>
          <w:strike w:val="1"/>
        </w:rPr>
        <w:t>1</w:t>
      </w:r>
      <w:r>
        <w:rPr>
          <w:rFonts w:ascii="Arial" w:cs="Arial" w:eastAsia="Arial" w:hAnsi="Arial"/>
          <w:sz w:val="14"/>
          <w:szCs w:val="14"/>
          <w:u w:val="single" w:color="auto"/>
          <w:color w:val="0000FF"/>
        </w:rPr>
        <w:t>12</w:t>
      </w:r>
    </w:p>
    <w:p>
      <w:pPr>
        <w:sectPr>
          <w:pgSz w:w="11900" w:h="16838" w:orient="portrait"/>
          <w:cols w:equalWidth="0" w:num="1">
            <w:col w:w="11420"/>
          </w:cols>
          <w:pgMar w:left="240" w:top="609" w:right="239" w:bottom="1440" w:gutter="0" w:footer="0" w:header="0"/>
        </w:sectPr>
      </w:pPr>
    </w:p>
    <w:bookmarkStart w:id="187" w:name="page188"/>
    <w:bookmarkEnd w:id="187"/>
    <w:p>
      <w:pPr>
        <w:ind w:right="120"/>
        <w:spacing w:after="0" w:line="287" w:lineRule="auto"/>
        <w:rPr>
          <w:sz w:val="20"/>
          <w:szCs w:val="20"/>
          <w:color w:val="auto"/>
        </w:rPr>
      </w:pPr>
      <w:r>
        <w:rPr>
          <w:rFonts w:ascii="Arial" w:cs="Arial" w:eastAsia="Arial" w:hAnsi="Arial"/>
          <w:sz w:val="20"/>
          <w:szCs w:val="20"/>
          <w:color w:val="auto"/>
        </w:rPr>
        <w:t xml:space="preserve">Authority or any arbitral award to which such Person or its property is subject; or (c) violate any Law, except with respect to </w:t>
      </w:r>
      <w:r>
        <w:rPr>
          <w:rFonts w:ascii="Arial" w:cs="Arial" w:eastAsia="Arial" w:hAnsi="Arial"/>
          <w:sz w:val="20"/>
          <w:szCs w:val="20"/>
          <w:u w:val="single" w:color="auto"/>
          <w:color w:val="auto"/>
        </w:rPr>
        <w:t>clauses (b)</w:t>
      </w:r>
      <w:r>
        <w:rPr>
          <w:rFonts w:ascii="Arial" w:cs="Arial" w:eastAsia="Arial" w:hAnsi="Arial"/>
          <w:sz w:val="20"/>
          <w:szCs w:val="20"/>
          <w:color w:val="auto"/>
        </w:rPr>
        <w:t xml:space="preserve"> or </w:t>
      </w:r>
      <w:r>
        <w:rPr>
          <w:rFonts w:ascii="Arial" w:cs="Arial" w:eastAsia="Arial" w:hAnsi="Arial"/>
          <w:sz w:val="20"/>
          <w:szCs w:val="20"/>
          <w:u w:val="single" w:color="auto"/>
          <w:color w:val="auto"/>
        </w:rPr>
        <w:t>(c)</w:t>
      </w:r>
      <w:r>
        <w:rPr>
          <w:rFonts w:ascii="Arial" w:cs="Arial" w:eastAsia="Arial" w:hAnsi="Arial"/>
          <w:sz w:val="20"/>
          <w:szCs w:val="20"/>
          <w:color w:val="auto"/>
        </w:rPr>
        <w:t xml:space="preserve">, to the extent, individually or in the aggregate, that such contravention, violation, conflict, breach or creation of any Lien or requirement for payment would not reasonably be expected to result in a Material Adverse Effect. Such Credit Party is in compliance with all Contractual Obligations referred to in </w:t>
      </w:r>
      <w:r>
        <w:rPr>
          <w:rFonts w:ascii="Arial" w:cs="Arial" w:eastAsia="Arial" w:hAnsi="Arial"/>
          <w:sz w:val="20"/>
          <w:szCs w:val="20"/>
          <w:u w:val="single" w:color="auto"/>
          <w:color w:val="auto"/>
        </w:rPr>
        <w:t>clause (b)(i)</w:t>
      </w:r>
      <w:r>
        <w:rPr>
          <w:rFonts w:ascii="Arial" w:cs="Arial" w:eastAsia="Arial" w:hAnsi="Arial"/>
          <w:sz w:val="20"/>
          <w:szCs w:val="20"/>
          <w:color w:val="auto"/>
        </w:rPr>
        <w:t>, except to the extent that failure to do so could not reasonably be expected to have a Material Adverse Effect.</w:t>
      </w:r>
    </w:p>
    <w:p>
      <w:pPr>
        <w:spacing w:after="0" w:line="192" w:lineRule="exact"/>
        <w:rPr>
          <w:sz w:val="20"/>
          <w:szCs w:val="20"/>
          <w:color w:val="auto"/>
        </w:rPr>
      </w:pPr>
    </w:p>
    <w:p>
      <w:pPr>
        <w:ind w:firstLine="648"/>
        <w:spacing w:after="0" w:line="290" w:lineRule="auto"/>
        <w:rPr>
          <w:sz w:val="20"/>
          <w:szCs w:val="20"/>
          <w:color w:val="auto"/>
        </w:rPr>
      </w:pPr>
      <w:r>
        <w:rPr>
          <w:rFonts w:ascii="Arial" w:cs="Arial" w:eastAsia="Arial" w:hAnsi="Arial"/>
          <w:sz w:val="20"/>
          <w:szCs w:val="20"/>
          <w:color w:val="auto"/>
        </w:rPr>
        <w:t xml:space="preserve">6.03 </w:t>
      </w:r>
      <w:r>
        <w:rPr>
          <w:rFonts w:ascii="Arial" w:cs="Arial" w:eastAsia="Arial" w:hAnsi="Arial"/>
          <w:sz w:val="20"/>
          <w:szCs w:val="20"/>
          <w:u w:val="single" w:color="auto"/>
          <w:color w:val="auto"/>
        </w:rPr>
        <w:t>Governmental Authorization; Other Consents</w:t>
      </w:r>
      <w:r>
        <w:rPr>
          <w:rFonts w:ascii="Arial" w:cs="Arial" w:eastAsia="Arial" w:hAnsi="Arial"/>
          <w:sz w:val="20"/>
          <w:szCs w:val="20"/>
          <w:color w:val="auto"/>
        </w:rPr>
        <w:t>. No approval, consent, exemption, authorization, or other action by, or notice to, or filing with, any Governmental Authority or any other Person is necessary or required in connection with the execution, delivery or performance by, or enforcement against, such Credit Party of this Credit Agreement or any other Credit Document to which such Credit Party is a party (other than (a) as have already been obtained and are in full force and effect and (b) filings to perfect security interests granted pursuant to the Credit Documents).</w:t>
      </w:r>
    </w:p>
    <w:p>
      <w:pPr>
        <w:spacing w:after="0" w:line="191" w:lineRule="exact"/>
        <w:rPr>
          <w:sz w:val="20"/>
          <w:szCs w:val="20"/>
          <w:color w:val="auto"/>
        </w:rPr>
      </w:pPr>
    </w:p>
    <w:p>
      <w:pPr>
        <w:ind w:right="160" w:firstLine="648"/>
        <w:spacing w:after="0" w:line="290" w:lineRule="auto"/>
        <w:rPr>
          <w:sz w:val="20"/>
          <w:szCs w:val="20"/>
          <w:color w:val="auto"/>
        </w:rPr>
      </w:pPr>
      <w:r>
        <w:rPr>
          <w:rFonts w:ascii="Arial" w:cs="Arial" w:eastAsia="Arial" w:hAnsi="Arial"/>
          <w:sz w:val="20"/>
          <w:szCs w:val="20"/>
          <w:color w:val="auto"/>
        </w:rPr>
        <w:t xml:space="preserve">6.04 </w:t>
      </w:r>
      <w:r>
        <w:rPr>
          <w:rFonts w:ascii="Arial" w:cs="Arial" w:eastAsia="Arial" w:hAnsi="Arial"/>
          <w:sz w:val="20"/>
          <w:szCs w:val="20"/>
          <w:u w:val="single" w:color="auto"/>
          <w:color w:val="auto"/>
        </w:rPr>
        <w:t>Binding Effect</w:t>
      </w:r>
      <w:r>
        <w:rPr>
          <w:rFonts w:ascii="Arial" w:cs="Arial" w:eastAsia="Arial" w:hAnsi="Arial"/>
          <w:sz w:val="20"/>
          <w:szCs w:val="20"/>
          <w:color w:val="auto"/>
        </w:rPr>
        <w:t>. This Credit Agreement has been, and each other Credit Document to which such Credit Party is a party, when delivered hereunder, will have been, duly executed and delivered by such Credit Party. This Credit Agreement constitutes, and each other Credit Document to which such Person is party when so delivered will constitute, a legal, valid and binding obligation of such Credit Party, enforceable against such Credit Party in accordance with its terms, except as enforceability may be limited by Debtor Relief Laws and subject to equitable principles.</w:t>
      </w:r>
    </w:p>
    <w:p>
      <w:pPr>
        <w:spacing w:after="0" w:line="191" w:lineRule="exact"/>
        <w:rPr>
          <w:sz w:val="20"/>
          <w:szCs w:val="20"/>
          <w:color w:val="auto"/>
        </w:rPr>
      </w:pPr>
    </w:p>
    <w:p>
      <w:pPr>
        <w:ind w:left="660"/>
        <w:spacing w:after="0"/>
        <w:tabs>
          <w:tab w:leader="none" w:pos="1160" w:val="left"/>
        </w:tabs>
        <w:rPr>
          <w:sz w:val="20"/>
          <w:szCs w:val="20"/>
          <w:color w:val="auto"/>
        </w:rPr>
      </w:pPr>
      <w:r>
        <w:rPr>
          <w:rFonts w:ascii="Arial" w:cs="Arial" w:eastAsia="Arial" w:hAnsi="Arial"/>
          <w:sz w:val="20"/>
          <w:szCs w:val="20"/>
          <w:color w:val="auto"/>
        </w:rPr>
        <w:t>6.05</w:t>
      </w:r>
      <w:r>
        <w:rPr>
          <w:sz w:val="20"/>
          <w:szCs w:val="20"/>
          <w:color w:val="auto"/>
        </w:rPr>
        <w:tab/>
      </w:r>
      <w:r>
        <w:rPr>
          <w:rFonts w:ascii="Arial" w:cs="Arial" w:eastAsia="Arial" w:hAnsi="Arial"/>
          <w:sz w:val="16"/>
          <w:szCs w:val="16"/>
          <w:u w:val="single" w:color="auto"/>
          <w:color w:val="auto"/>
        </w:rPr>
        <w:t>Financial Statements</w:t>
      </w:r>
      <w:r>
        <w:rPr>
          <w:rFonts w:ascii="Arial" w:cs="Arial" w:eastAsia="Arial" w:hAnsi="Arial"/>
          <w:sz w:val="16"/>
          <w:szCs w:val="16"/>
          <w:color w:val="auto"/>
        </w:rPr>
        <w:t>.</w:t>
      </w:r>
    </w:p>
    <w:p>
      <w:pPr>
        <w:spacing w:after="0" w:line="270" w:lineRule="exact"/>
        <w:rPr>
          <w:sz w:val="20"/>
          <w:szCs w:val="20"/>
          <w:color w:val="auto"/>
        </w:rPr>
      </w:pPr>
    </w:p>
    <w:p>
      <w:pPr>
        <w:ind w:left="1700" w:hanging="395"/>
        <w:spacing w:after="0"/>
        <w:tabs>
          <w:tab w:leader="none" w:pos="1700" w:val="left"/>
        </w:tabs>
        <w:numPr>
          <w:ilvl w:val="0"/>
          <w:numId w:val="192"/>
        </w:numPr>
        <w:rPr>
          <w:rFonts w:ascii="Arial" w:cs="Arial" w:eastAsia="Arial" w:hAnsi="Arial"/>
          <w:sz w:val="16"/>
          <w:szCs w:val="16"/>
          <w:color w:val="auto"/>
        </w:rPr>
      </w:pPr>
      <w:r>
        <w:rPr>
          <w:rFonts w:ascii="Arial" w:cs="Arial" w:eastAsia="Arial" w:hAnsi="Arial"/>
          <w:sz w:val="16"/>
          <w:szCs w:val="16"/>
          <w:color w:val="auto"/>
        </w:rPr>
        <w:t>The audited consolidated and consolidating balance sheet of the Consolidated Group for the most recent fiscal year ended,</w:t>
      </w:r>
    </w:p>
    <w:p>
      <w:pPr>
        <w:spacing w:after="0" w:line="99" w:lineRule="exact"/>
        <w:rPr>
          <w:rFonts w:ascii="Arial" w:cs="Arial" w:eastAsia="Arial" w:hAnsi="Arial"/>
          <w:sz w:val="16"/>
          <w:szCs w:val="16"/>
          <w:color w:val="auto"/>
        </w:rPr>
      </w:pPr>
    </w:p>
    <w:p>
      <w:pPr>
        <w:ind w:left="660" w:right="180"/>
        <w:spacing w:after="0" w:line="285" w:lineRule="auto"/>
        <w:rPr>
          <w:rFonts w:ascii="Arial" w:cs="Arial" w:eastAsia="Arial" w:hAnsi="Arial"/>
          <w:sz w:val="16"/>
          <w:szCs w:val="16"/>
          <w:color w:val="auto"/>
        </w:rPr>
      </w:pPr>
      <w:r>
        <w:rPr>
          <w:rFonts w:ascii="Arial" w:cs="Arial" w:eastAsia="Arial" w:hAnsi="Arial"/>
          <w:sz w:val="20"/>
          <w:szCs w:val="20"/>
          <w:color w:val="auto"/>
        </w:rPr>
        <w:t>and the related consolidated and consolidating statements of income or operations, shareholders’ equity and cash flows for such fiscal year, including the notes thereto (i) were prepared in accordance with GAAP consistently applied throughout the period covered thereby, except as otherwise expressly noted therein; (ii) fairly present in all material respects the financial condition of the Consolidated Group as of the date thereof and their results of operations for the period covered thereby in accordance with GAAP consistently applied throughout the period covered thereby, except as otherwise expressly noted therein; and (iii) show all material indebtedness and other liabilities, direct or contingent, of the Consolidated Group as of the date thereof, including liabilities for taxes, material commitments and indebtedness.</w:t>
      </w:r>
    </w:p>
    <w:p>
      <w:pPr>
        <w:spacing w:after="0" w:line="195" w:lineRule="exact"/>
        <w:rPr>
          <w:rFonts w:ascii="Arial" w:cs="Arial" w:eastAsia="Arial" w:hAnsi="Arial"/>
          <w:sz w:val="16"/>
          <w:szCs w:val="16"/>
          <w:color w:val="auto"/>
        </w:rPr>
      </w:pPr>
    </w:p>
    <w:p>
      <w:pPr>
        <w:ind w:left="1720" w:hanging="415"/>
        <w:spacing w:after="0"/>
        <w:tabs>
          <w:tab w:leader="none" w:pos="1720" w:val="left"/>
        </w:tabs>
        <w:numPr>
          <w:ilvl w:val="0"/>
          <w:numId w:val="192"/>
        </w:numPr>
        <w:rPr>
          <w:rFonts w:ascii="Arial" w:cs="Arial" w:eastAsia="Arial" w:hAnsi="Arial"/>
          <w:sz w:val="18"/>
          <w:szCs w:val="18"/>
          <w:color w:val="auto"/>
        </w:rPr>
      </w:pPr>
      <w:r>
        <w:rPr>
          <w:rFonts w:ascii="Arial" w:cs="Arial" w:eastAsia="Arial" w:hAnsi="Arial"/>
          <w:sz w:val="18"/>
          <w:szCs w:val="18"/>
          <w:color w:val="auto"/>
        </w:rPr>
        <w:t>The unaudited consolidated and consolidating balance sheet of the Consolidated Group for the most recent fiscal quarter</w:t>
      </w:r>
    </w:p>
    <w:p>
      <w:pPr>
        <w:spacing w:after="0" w:line="76" w:lineRule="exact"/>
        <w:rPr>
          <w:rFonts w:ascii="Arial" w:cs="Arial" w:eastAsia="Arial" w:hAnsi="Arial"/>
          <w:sz w:val="18"/>
          <w:szCs w:val="18"/>
          <w:color w:val="auto"/>
        </w:rPr>
      </w:pPr>
    </w:p>
    <w:p>
      <w:pPr>
        <w:ind w:left="660" w:right="80"/>
        <w:spacing w:after="0" w:line="267" w:lineRule="exact"/>
        <w:rPr>
          <w:rFonts w:ascii="Arial" w:cs="Arial" w:eastAsia="Arial" w:hAnsi="Arial"/>
          <w:sz w:val="18"/>
          <w:szCs w:val="18"/>
          <w:color w:val="auto"/>
        </w:rPr>
      </w:pPr>
      <w:r>
        <w:rPr>
          <w:rFonts w:ascii="Arial" w:cs="Arial" w:eastAsia="Arial" w:hAnsi="Arial"/>
          <w:sz w:val="19"/>
          <w:szCs w:val="19"/>
          <w:color w:val="auto"/>
        </w:rPr>
        <w:t xml:space="preserve">ended, and the related consolidated and consolidating statements of income or operations, shareholders’ equity and cash flows for such fiscal quarter (i) were prepared in accordance with GAAP consistently applied throughout the period covered thereby, except as otherwise expressly noted therein, (ii) fairly present in all material respects the financial condition of the Consolidated Group as of the date thereof and their results of operations for the period covered thereby, subject, in the case of </w:t>
      </w:r>
      <w:r>
        <w:rPr>
          <w:rFonts w:ascii="Arial" w:cs="Arial" w:eastAsia="Arial" w:hAnsi="Arial"/>
          <w:sz w:val="19"/>
          <w:szCs w:val="19"/>
          <w:u w:val="single" w:color="auto"/>
          <w:color w:val="auto"/>
        </w:rPr>
        <w:t>clauses (i)</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(ii)</w:t>
      </w:r>
      <w:r>
        <w:rPr>
          <w:rFonts w:ascii="Arial" w:cs="Arial" w:eastAsia="Arial" w:hAnsi="Arial"/>
          <w:sz w:val="19"/>
          <w:szCs w:val="19"/>
          <w:color w:val="auto"/>
        </w:rPr>
        <w:t>, to the absence of footnotes and to normal year</w:t>
      </w:r>
      <w:r>
        <w:rPr>
          <w:rFonts w:ascii="MS PGothic" w:cs="MS PGothic" w:eastAsia="MS PGothic" w:hAnsi="MS PGothic"/>
          <w:sz w:val="19"/>
          <w:szCs w:val="19"/>
          <w:color w:val="auto"/>
        </w:rPr>
        <w:t>‑</w:t>
      </w:r>
      <w:r>
        <w:rPr>
          <w:rFonts w:ascii="Arial" w:cs="Arial" w:eastAsia="Arial" w:hAnsi="Arial"/>
          <w:sz w:val="19"/>
          <w:szCs w:val="19"/>
          <w:color w:val="auto"/>
        </w:rPr>
        <w:t>end audit adjustments, and (iii) show, in accordance with GAAP, all material indebtedness and other liabilities, direct or contingent, of the Consolidated Group as of</w:t>
      </w:r>
    </w:p>
    <w:p>
      <w:pPr>
        <w:spacing w:after="0" w:line="200" w:lineRule="exact"/>
        <w:rPr>
          <w:sz w:val="20"/>
          <w:szCs w:val="20"/>
          <w:color w:val="auto"/>
        </w:rPr>
      </w:pP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136</w:t>
      </w:r>
    </w:p>
    <w:p>
      <w:pPr>
        <w:spacing w:after="0" w:line="10" w:lineRule="exact"/>
        <w:rPr>
          <w:sz w:val="20"/>
          <w:szCs w:val="20"/>
          <w:color w:val="auto"/>
        </w:rPr>
      </w:pPr>
    </w:p>
    <w:p>
      <w:pPr>
        <w:spacing w:after="0"/>
        <w:rPr>
          <w:sz w:val="20"/>
          <w:szCs w:val="20"/>
          <w:color w:val="auto"/>
        </w:rPr>
      </w:pPr>
      <w:r>
        <w:rPr>
          <w:rFonts w:ascii="Arial" w:cs="Arial" w:eastAsia="Arial" w:hAnsi="Arial"/>
          <w:sz w:val="14"/>
          <w:szCs w:val="14"/>
          <w:color w:val="auto"/>
        </w:rPr>
        <w:t>CHAR1\1346423v</w:t>
      </w:r>
      <w:r>
        <w:rPr>
          <w:rFonts w:ascii="Arial" w:cs="Arial" w:eastAsia="Arial" w:hAnsi="Arial"/>
          <w:sz w:val="14"/>
          <w:szCs w:val="14"/>
          <w:color w:val="FF0000"/>
          <w:strike w:val="1"/>
        </w:rPr>
        <w:t>1</w:t>
      </w:r>
      <w:r>
        <w:rPr>
          <w:rFonts w:ascii="Arial" w:cs="Arial" w:eastAsia="Arial" w:hAnsi="Arial"/>
          <w:sz w:val="14"/>
          <w:szCs w:val="14"/>
          <w:u w:val="single" w:color="auto"/>
          <w:color w:val="0000FF"/>
        </w:rPr>
        <w:t>12</w:t>
      </w:r>
    </w:p>
    <w:p>
      <w:pPr>
        <w:sectPr>
          <w:pgSz w:w="11900" w:h="16838" w:orient="portrait"/>
          <w:cols w:equalWidth="0" w:num="1">
            <w:col w:w="11420"/>
          </w:cols>
          <w:pgMar w:left="240" w:top="609" w:right="239" w:bottom="1440" w:gutter="0" w:footer="0" w:header="0"/>
        </w:sectPr>
      </w:pPr>
    </w:p>
    <w:bookmarkStart w:id="188" w:name="page189"/>
    <w:bookmarkEnd w:id="188"/>
    <w:p>
      <w:pPr>
        <w:ind w:left="660"/>
        <w:spacing w:after="0"/>
        <w:rPr>
          <w:sz w:val="20"/>
          <w:szCs w:val="20"/>
          <w:color w:val="auto"/>
        </w:rPr>
      </w:pPr>
      <w:r>
        <w:rPr>
          <w:rFonts w:ascii="Arial" w:cs="Arial" w:eastAsia="Arial" w:hAnsi="Arial"/>
          <w:sz w:val="20"/>
          <w:szCs w:val="20"/>
          <w:color w:val="auto"/>
        </w:rPr>
        <w:t>the date of such financial statements, including liabilities for taxes, material commitments and Indebtedness.</w:t>
      </w:r>
    </w:p>
    <w:p>
      <w:pPr>
        <w:spacing w:after="0" w:line="256" w:lineRule="exact"/>
        <w:rPr>
          <w:sz w:val="20"/>
          <w:szCs w:val="20"/>
          <w:color w:val="auto"/>
        </w:rPr>
      </w:pPr>
    </w:p>
    <w:p>
      <w:pPr>
        <w:ind w:right="300" w:firstLine="648"/>
        <w:spacing w:after="0" w:line="317" w:lineRule="auto"/>
        <w:rPr>
          <w:sz w:val="20"/>
          <w:szCs w:val="20"/>
          <w:color w:val="auto"/>
        </w:rPr>
      </w:pPr>
      <w:r>
        <w:rPr>
          <w:rFonts w:ascii="Arial" w:cs="Arial" w:eastAsia="Arial" w:hAnsi="Arial"/>
          <w:sz w:val="20"/>
          <w:szCs w:val="20"/>
          <w:color w:val="auto"/>
        </w:rPr>
        <w:t xml:space="preserve">6.06 </w:t>
      </w:r>
      <w:r>
        <w:rPr>
          <w:rFonts w:ascii="Arial" w:cs="Arial" w:eastAsia="Arial" w:hAnsi="Arial"/>
          <w:sz w:val="20"/>
          <w:szCs w:val="20"/>
          <w:u w:val="single" w:color="auto"/>
          <w:color w:val="auto"/>
        </w:rPr>
        <w:t>No Material Adverse Effect</w:t>
      </w:r>
      <w:r>
        <w:rPr>
          <w:rFonts w:ascii="Arial" w:cs="Arial" w:eastAsia="Arial" w:hAnsi="Arial"/>
          <w:sz w:val="20"/>
          <w:szCs w:val="20"/>
          <w:color w:val="auto"/>
        </w:rPr>
        <w:t>. Since December 31, 2010, there has been no event or circumstance, either individually or in the aggregate, that has had or would reasonably be expected to have a Material Adverse Effect.</w:t>
      </w:r>
    </w:p>
    <w:p>
      <w:pPr>
        <w:spacing w:after="0" w:line="162" w:lineRule="exact"/>
        <w:rPr>
          <w:sz w:val="20"/>
          <w:szCs w:val="20"/>
          <w:color w:val="auto"/>
        </w:rPr>
      </w:pPr>
    </w:p>
    <w:p>
      <w:pPr>
        <w:ind w:firstLine="648"/>
        <w:spacing w:after="0" w:line="288" w:lineRule="auto"/>
        <w:rPr>
          <w:sz w:val="20"/>
          <w:szCs w:val="20"/>
          <w:color w:val="auto"/>
        </w:rPr>
      </w:pPr>
      <w:r>
        <w:rPr>
          <w:rFonts w:ascii="Arial" w:cs="Arial" w:eastAsia="Arial" w:hAnsi="Arial"/>
          <w:sz w:val="20"/>
          <w:szCs w:val="20"/>
          <w:color w:val="auto"/>
        </w:rPr>
        <w:t xml:space="preserve">6.07 </w:t>
      </w:r>
      <w:r>
        <w:rPr>
          <w:rFonts w:ascii="Arial" w:cs="Arial" w:eastAsia="Arial" w:hAnsi="Arial"/>
          <w:sz w:val="20"/>
          <w:szCs w:val="20"/>
          <w:u w:val="single" w:color="auto"/>
          <w:color w:val="auto"/>
        </w:rPr>
        <w:t>Litigation</w:t>
      </w:r>
      <w:r>
        <w:rPr>
          <w:rFonts w:ascii="Arial" w:cs="Arial" w:eastAsia="Arial" w:hAnsi="Arial"/>
          <w:sz w:val="20"/>
          <w:szCs w:val="20"/>
          <w:color w:val="auto"/>
        </w:rPr>
        <w:t>. There are no actions, suits, investigations, criminal prosecutions, civil investigative demands, imposition of criminal or civil fines or penalties, proceedings, claims or disputes pending or, to the knowledge of such Credit Party after due and diligent investigation or threatened, at law, in equity, in arbitration or before any Governmental Authority, by or against such Credit Party, any of its Subsidiaries or against any of their properties or revenues that (a) purport to affect or pertain to this Credit Agreement or any other Credit Document, or any of the transactions contemplated hereby, or (b) either individually or in the aggregate would reasonably be expected to have a Material Adverse Effect.</w:t>
      </w:r>
    </w:p>
    <w:p>
      <w:pPr>
        <w:spacing w:after="0" w:line="194" w:lineRule="exact"/>
        <w:rPr>
          <w:sz w:val="20"/>
          <w:szCs w:val="20"/>
          <w:color w:val="auto"/>
        </w:rPr>
      </w:pPr>
    </w:p>
    <w:p>
      <w:pPr>
        <w:ind w:right="560" w:firstLine="648"/>
        <w:spacing w:after="0" w:line="317" w:lineRule="auto"/>
        <w:rPr>
          <w:sz w:val="20"/>
          <w:szCs w:val="20"/>
          <w:color w:val="auto"/>
        </w:rPr>
      </w:pPr>
      <w:r>
        <w:rPr>
          <w:rFonts w:ascii="Arial" w:cs="Arial" w:eastAsia="Arial" w:hAnsi="Arial"/>
          <w:sz w:val="20"/>
          <w:szCs w:val="20"/>
          <w:color w:val="auto"/>
        </w:rPr>
        <w:t xml:space="preserve">6.08 </w:t>
      </w:r>
      <w:r>
        <w:rPr>
          <w:rFonts w:ascii="Arial" w:cs="Arial" w:eastAsia="Arial" w:hAnsi="Arial"/>
          <w:sz w:val="20"/>
          <w:szCs w:val="20"/>
          <w:u w:val="single" w:color="auto"/>
          <w:color w:val="auto"/>
        </w:rPr>
        <w:t>No Default</w:t>
      </w:r>
      <w:r>
        <w:rPr>
          <w:rFonts w:ascii="Arial" w:cs="Arial" w:eastAsia="Arial" w:hAnsi="Arial"/>
          <w:sz w:val="20"/>
          <w:szCs w:val="20"/>
          <w:color w:val="auto"/>
        </w:rPr>
        <w:t>. No Default or Event of Default has occurred and is continuing or would result from the consummation of the transactions contemplated by this Credit Agreement or any other Credit Document.</w:t>
      </w:r>
    </w:p>
    <w:p>
      <w:pPr>
        <w:spacing w:after="0" w:line="162" w:lineRule="exact"/>
        <w:rPr>
          <w:sz w:val="20"/>
          <w:szCs w:val="20"/>
          <w:color w:val="auto"/>
        </w:rPr>
      </w:pPr>
    </w:p>
    <w:p>
      <w:pPr>
        <w:ind w:right="140" w:firstLine="648"/>
        <w:spacing w:after="0" w:line="293" w:lineRule="auto"/>
        <w:rPr>
          <w:sz w:val="20"/>
          <w:szCs w:val="20"/>
          <w:color w:val="auto"/>
        </w:rPr>
      </w:pPr>
      <w:r>
        <w:rPr>
          <w:rFonts w:ascii="Arial" w:cs="Arial" w:eastAsia="Arial" w:hAnsi="Arial"/>
          <w:sz w:val="20"/>
          <w:szCs w:val="20"/>
          <w:color w:val="auto"/>
        </w:rPr>
        <w:t xml:space="preserve">6.09 </w:t>
      </w:r>
      <w:r>
        <w:rPr>
          <w:rFonts w:ascii="Arial" w:cs="Arial" w:eastAsia="Arial" w:hAnsi="Arial"/>
          <w:sz w:val="20"/>
          <w:szCs w:val="20"/>
          <w:u w:val="single" w:color="auto"/>
          <w:color w:val="auto"/>
        </w:rPr>
        <w:t>Ownership of Property; Liens</w:t>
      </w:r>
      <w:r>
        <w:rPr>
          <w:rFonts w:ascii="Arial" w:cs="Arial" w:eastAsia="Arial" w:hAnsi="Arial"/>
          <w:sz w:val="20"/>
          <w:szCs w:val="20"/>
          <w:color w:val="auto"/>
        </w:rPr>
        <w:t>. Such Credit Party and its Subsidiaries have good record and marketable title in fee simple to, or valid leasehold interests in, all real property necessary or used in the ordinary conduct of its business, except for such defects in title as would not, individually or in the aggregate, reasonably be expected to have a Material Adverse Effect. The property of such Credit Party and its Subsidiaries is subject to no Liens, other than Permitted Liens.</w:t>
      </w:r>
    </w:p>
    <w:p>
      <w:pPr>
        <w:spacing w:after="0" w:line="187" w:lineRule="exact"/>
        <w:rPr>
          <w:sz w:val="20"/>
          <w:szCs w:val="20"/>
          <w:color w:val="auto"/>
        </w:rPr>
      </w:pPr>
    </w:p>
    <w:p>
      <w:pPr>
        <w:ind w:right="100" w:firstLine="648"/>
        <w:spacing w:after="0" w:line="335" w:lineRule="auto"/>
        <w:rPr>
          <w:sz w:val="20"/>
          <w:szCs w:val="20"/>
          <w:color w:val="auto"/>
        </w:rPr>
      </w:pPr>
      <w:r>
        <w:rPr>
          <w:rFonts w:ascii="Arial" w:cs="Arial" w:eastAsia="Arial" w:hAnsi="Arial"/>
          <w:sz w:val="18"/>
          <w:szCs w:val="18"/>
          <w:color w:val="auto"/>
        </w:rPr>
        <w:t xml:space="preserve">6.10 </w:t>
      </w:r>
      <w:r>
        <w:rPr>
          <w:rFonts w:ascii="Arial" w:cs="Arial" w:eastAsia="Arial" w:hAnsi="Arial"/>
          <w:sz w:val="18"/>
          <w:szCs w:val="18"/>
          <w:u w:val="single" w:color="auto"/>
          <w:color w:val="auto"/>
        </w:rPr>
        <w:t>Environmental Compliance</w:t>
      </w:r>
      <w:r>
        <w:rPr>
          <w:rFonts w:ascii="Arial" w:cs="Arial" w:eastAsia="Arial" w:hAnsi="Arial"/>
          <w:sz w:val="18"/>
          <w:szCs w:val="18"/>
          <w:color w:val="auto"/>
        </w:rPr>
        <w:t>. Such Credit Party and its Subsidiaries conduct in the ordinary course of business a review of the effect of existing Environmental Laws and claims alleging potential liability or responsibility for violation of any Environmental Law on their respective businesses, operations and properties, and as a result thereof such Credit Party has reasonably concluded that such Environmental Laws and claims would not, individually or in the aggregate, reasonably be expected to have a Material Adverse Effect.</w:t>
      </w:r>
    </w:p>
    <w:p>
      <w:pPr>
        <w:spacing w:after="0" w:line="154" w:lineRule="exact"/>
        <w:rPr>
          <w:sz w:val="20"/>
          <w:szCs w:val="20"/>
          <w:color w:val="auto"/>
        </w:rPr>
      </w:pPr>
    </w:p>
    <w:p>
      <w:pPr>
        <w:ind w:right="60" w:firstLine="648"/>
        <w:spacing w:after="0" w:line="293" w:lineRule="auto"/>
        <w:rPr>
          <w:sz w:val="20"/>
          <w:szCs w:val="20"/>
          <w:color w:val="auto"/>
        </w:rPr>
      </w:pPr>
      <w:r>
        <w:rPr>
          <w:rFonts w:ascii="Arial" w:cs="Arial" w:eastAsia="Arial" w:hAnsi="Arial"/>
          <w:sz w:val="20"/>
          <w:szCs w:val="20"/>
          <w:color w:val="auto"/>
        </w:rPr>
        <w:t xml:space="preserve">6.11 </w:t>
      </w:r>
      <w:r>
        <w:rPr>
          <w:rFonts w:ascii="Arial" w:cs="Arial" w:eastAsia="Arial" w:hAnsi="Arial"/>
          <w:sz w:val="20"/>
          <w:szCs w:val="20"/>
          <w:u w:val="single" w:color="auto"/>
          <w:color w:val="auto"/>
        </w:rPr>
        <w:t>Insurance</w:t>
      </w:r>
      <w:r>
        <w:rPr>
          <w:rFonts w:ascii="Arial" w:cs="Arial" w:eastAsia="Arial" w:hAnsi="Arial"/>
          <w:sz w:val="20"/>
          <w:szCs w:val="20"/>
          <w:color w:val="auto"/>
        </w:rPr>
        <w:t>. The properties of such Credit Party and its Subsidiaries are insured with financially sound and reputable insurance companies not Affiliates of the Borrowers, in such amounts (after giving effect to any self-insurance compatible with the following standards), with such deductibles and covering such risks as are customarily carried by companies engaged in similar businesses and owning similar properties in localities where such Credit Party or any of its Subsidiaries operates.</w:t>
      </w:r>
    </w:p>
    <w:p>
      <w:pPr>
        <w:spacing w:after="0" w:line="187" w:lineRule="exact"/>
        <w:rPr>
          <w:sz w:val="20"/>
          <w:szCs w:val="20"/>
          <w:color w:val="auto"/>
        </w:rPr>
      </w:pPr>
    </w:p>
    <w:p>
      <w:pPr>
        <w:ind w:right="40" w:firstLine="648"/>
        <w:spacing w:after="0" w:line="290" w:lineRule="auto"/>
        <w:rPr>
          <w:sz w:val="20"/>
          <w:szCs w:val="20"/>
          <w:color w:val="auto"/>
        </w:rPr>
      </w:pPr>
      <w:r>
        <w:rPr>
          <w:rFonts w:ascii="Arial" w:cs="Arial" w:eastAsia="Arial" w:hAnsi="Arial"/>
          <w:sz w:val="20"/>
          <w:szCs w:val="20"/>
          <w:color w:val="auto"/>
        </w:rPr>
        <w:t xml:space="preserve">6.12 </w:t>
      </w:r>
      <w:r>
        <w:rPr>
          <w:rFonts w:ascii="Arial" w:cs="Arial" w:eastAsia="Arial" w:hAnsi="Arial"/>
          <w:sz w:val="20"/>
          <w:szCs w:val="20"/>
          <w:u w:val="single" w:color="auto"/>
          <w:color w:val="auto"/>
        </w:rPr>
        <w:t>Taxes</w:t>
      </w:r>
      <w:r>
        <w:rPr>
          <w:rFonts w:ascii="Arial" w:cs="Arial" w:eastAsia="Arial" w:hAnsi="Arial"/>
          <w:sz w:val="20"/>
          <w:szCs w:val="20"/>
          <w:color w:val="auto"/>
        </w:rPr>
        <w:t>. Such Credit Party and each of its Subsidiaries have filed all federal, state and other tax returns and reports required to be filed, and have paid all federal, state and other taxes, assessments, fees and other governmental charges levied or imposed upon them or their properties, income or assets otherwise due and payable, except those returns, reports, assessments, fees and other governmental charges (i) that are being contested in good faith by appropriate proceedings diligently conducted and for which adequate reserves have been provided in accordance with GAAP or (ii) the non-</w:t>
      </w:r>
    </w:p>
    <w:p>
      <w:pPr>
        <w:spacing w:after="0" w:line="200" w:lineRule="exact"/>
        <w:rPr>
          <w:sz w:val="20"/>
          <w:szCs w:val="20"/>
          <w:color w:val="auto"/>
        </w:rPr>
      </w:pPr>
    </w:p>
    <w:p>
      <w:pPr>
        <w:spacing w:after="0" w:line="207" w:lineRule="exact"/>
        <w:rPr>
          <w:sz w:val="20"/>
          <w:szCs w:val="20"/>
          <w:color w:val="auto"/>
        </w:rPr>
      </w:pPr>
    </w:p>
    <w:p>
      <w:pPr>
        <w:jc w:val="center"/>
        <w:ind w:right="-59"/>
        <w:spacing w:after="0"/>
        <w:rPr>
          <w:sz w:val="20"/>
          <w:szCs w:val="20"/>
          <w:color w:val="auto"/>
        </w:rPr>
      </w:pPr>
      <w:r>
        <w:rPr>
          <w:rFonts w:ascii="Arial" w:cs="Arial" w:eastAsia="Arial" w:hAnsi="Arial"/>
          <w:sz w:val="20"/>
          <w:szCs w:val="20"/>
          <w:color w:val="auto"/>
        </w:rPr>
        <w:t>137</w:t>
      </w:r>
    </w:p>
    <w:p>
      <w:pPr>
        <w:spacing w:after="0" w:line="10" w:lineRule="exact"/>
        <w:rPr>
          <w:sz w:val="20"/>
          <w:szCs w:val="20"/>
          <w:color w:val="auto"/>
        </w:rPr>
      </w:pPr>
    </w:p>
    <w:p>
      <w:pPr>
        <w:spacing w:after="0"/>
        <w:rPr>
          <w:sz w:val="20"/>
          <w:szCs w:val="20"/>
          <w:color w:val="auto"/>
        </w:rPr>
      </w:pPr>
      <w:r>
        <w:rPr>
          <w:rFonts w:ascii="Arial" w:cs="Arial" w:eastAsia="Arial" w:hAnsi="Arial"/>
          <w:sz w:val="14"/>
          <w:szCs w:val="14"/>
          <w:color w:val="auto"/>
        </w:rPr>
        <w:t>CHAR1\1346423v</w:t>
      </w:r>
      <w:r>
        <w:rPr>
          <w:rFonts w:ascii="Arial" w:cs="Arial" w:eastAsia="Arial" w:hAnsi="Arial"/>
          <w:sz w:val="14"/>
          <w:szCs w:val="14"/>
          <w:color w:val="FF0000"/>
          <w:strike w:val="1"/>
        </w:rPr>
        <w:t>1</w:t>
      </w:r>
      <w:r>
        <w:rPr>
          <w:rFonts w:ascii="Arial" w:cs="Arial" w:eastAsia="Arial" w:hAnsi="Arial"/>
          <w:sz w:val="14"/>
          <w:szCs w:val="14"/>
          <w:u w:val="single" w:color="auto"/>
          <w:color w:val="0000FF"/>
        </w:rPr>
        <w:t>12</w:t>
      </w:r>
    </w:p>
    <w:p>
      <w:pPr>
        <w:sectPr>
          <w:pgSz w:w="11900" w:h="16838" w:orient="portrait"/>
          <w:cols w:equalWidth="0" w:num="1">
            <w:col w:w="11360"/>
          </w:cols>
          <w:pgMar w:left="240" w:top="609" w:right="299" w:bottom="1440" w:gutter="0" w:footer="0" w:header="0"/>
        </w:sectPr>
      </w:pPr>
    </w:p>
    <w:bookmarkStart w:id="189" w:name="page190"/>
    <w:bookmarkEnd w:id="189"/>
    <w:p>
      <w:pPr>
        <w:ind w:right="80"/>
        <w:spacing w:after="0" w:line="288" w:lineRule="auto"/>
        <w:rPr>
          <w:sz w:val="20"/>
          <w:szCs w:val="20"/>
          <w:color w:val="auto"/>
        </w:rPr>
      </w:pPr>
      <w:r>
        <w:rPr>
          <w:rFonts w:ascii="Arial" w:cs="Arial" w:eastAsia="Arial" w:hAnsi="Arial"/>
          <w:sz w:val="20"/>
          <w:szCs w:val="20"/>
          <w:color w:val="auto"/>
        </w:rPr>
        <w:t>filing or non-payment of which would not reasonably be expected to have a Material Adverse Effect. There is no proposed tax assessment against such Credit Party or any of its Subsidiaries that would, if made, reasonably be expected to have a Material Adverse Effect. Neither any Credit Party nor any Subsidiary thereof is party to any tax sharing agreement, except for customary tax sharing agreements among EWI and its Subsidiaries entered into in the ordinary course of business.</w:t>
      </w:r>
    </w:p>
    <w:p>
      <w:pPr>
        <w:spacing w:after="0" w:line="193" w:lineRule="exact"/>
        <w:rPr>
          <w:sz w:val="20"/>
          <w:szCs w:val="20"/>
          <w:color w:val="auto"/>
        </w:rPr>
      </w:pPr>
    </w:p>
    <w:p>
      <w:pPr>
        <w:ind w:left="660"/>
        <w:spacing w:after="0"/>
        <w:tabs>
          <w:tab w:leader="none" w:pos="1160" w:val="left"/>
        </w:tabs>
        <w:rPr>
          <w:sz w:val="20"/>
          <w:szCs w:val="20"/>
          <w:color w:val="auto"/>
        </w:rPr>
      </w:pPr>
      <w:r>
        <w:rPr>
          <w:rFonts w:ascii="Arial" w:cs="Arial" w:eastAsia="Arial" w:hAnsi="Arial"/>
          <w:sz w:val="20"/>
          <w:szCs w:val="20"/>
          <w:color w:val="auto"/>
        </w:rPr>
        <w:t>6.13</w:t>
      </w:r>
      <w:r>
        <w:rPr>
          <w:sz w:val="20"/>
          <w:szCs w:val="20"/>
          <w:color w:val="auto"/>
        </w:rPr>
        <w:tab/>
      </w:r>
      <w:r>
        <w:rPr>
          <w:rFonts w:ascii="Arial" w:cs="Arial" w:eastAsia="Arial" w:hAnsi="Arial"/>
          <w:sz w:val="18"/>
          <w:szCs w:val="18"/>
          <w:u w:val="single" w:color="auto"/>
          <w:color w:val="auto"/>
        </w:rPr>
        <w:t>ERISA Compliance</w:t>
      </w:r>
      <w:r>
        <w:rPr>
          <w:rFonts w:ascii="Arial" w:cs="Arial" w:eastAsia="Arial" w:hAnsi="Arial"/>
          <w:sz w:val="18"/>
          <w:szCs w:val="18"/>
          <w:color w:val="auto"/>
        </w:rPr>
        <w:t>.</w:t>
      </w:r>
    </w:p>
    <w:p>
      <w:pPr>
        <w:spacing w:after="0" w:line="270" w:lineRule="exact"/>
        <w:rPr>
          <w:sz w:val="20"/>
          <w:szCs w:val="20"/>
          <w:color w:val="auto"/>
        </w:rPr>
      </w:pPr>
    </w:p>
    <w:p>
      <w:pPr>
        <w:ind w:left="1700" w:hanging="395"/>
        <w:spacing w:after="0"/>
        <w:tabs>
          <w:tab w:leader="none" w:pos="1700" w:val="left"/>
        </w:tabs>
        <w:numPr>
          <w:ilvl w:val="0"/>
          <w:numId w:val="193"/>
        </w:numPr>
        <w:rPr>
          <w:rFonts w:ascii="Arial" w:cs="Arial" w:eastAsia="Arial" w:hAnsi="Arial"/>
          <w:sz w:val="18"/>
          <w:szCs w:val="18"/>
          <w:color w:val="auto"/>
        </w:rPr>
      </w:pPr>
      <w:r>
        <w:rPr>
          <w:rFonts w:ascii="Arial" w:cs="Arial" w:eastAsia="Arial" w:hAnsi="Arial"/>
          <w:sz w:val="18"/>
          <w:szCs w:val="18"/>
          <w:color w:val="auto"/>
        </w:rPr>
        <w:t>Each Plan of such Credit Party and its Subsidiaries is in compliance with the applicable provisions of ERISA, the Internal</w:t>
      </w:r>
    </w:p>
    <w:p>
      <w:pPr>
        <w:spacing w:after="0" w:line="76" w:lineRule="exact"/>
        <w:rPr>
          <w:rFonts w:ascii="Arial" w:cs="Arial" w:eastAsia="Arial" w:hAnsi="Arial"/>
          <w:sz w:val="18"/>
          <w:szCs w:val="18"/>
          <w:color w:val="auto"/>
        </w:rPr>
      </w:pPr>
    </w:p>
    <w:p>
      <w:pPr>
        <w:ind w:left="660"/>
        <w:spacing w:after="0" w:line="364" w:lineRule="auto"/>
        <w:rPr>
          <w:rFonts w:ascii="Arial" w:cs="Arial" w:eastAsia="Arial" w:hAnsi="Arial"/>
          <w:sz w:val="18"/>
          <w:szCs w:val="18"/>
          <w:color w:val="auto"/>
        </w:rPr>
      </w:pPr>
      <w:r>
        <w:rPr>
          <w:rFonts w:ascii="Arial" w:cs="Arial" w:eastAsia="Arial" w:hAnsi="Arial"/>
          <w:sz w:val="16"/>
          <w:szCs w:val="16"/>
          <w:color w:val="auto"/>
        </w:rPr>
        <w:t>Revenue Code and other federal or state Laws, except where a failure to be in compliance would not, individually or in the aggregate, reasonably be expected to have a Material Adverse Effect. Each Plan of such Credit Party and its Subsidiaries that is intended to qualify under Section 401(a) of the Internal Revenue Code has received a favorable determination letter from the IRS or an application for such a letter is currently pending before the IRS with respect thereto and, to the best knowledge of EWI, nothing has occurred that would prevent, or cause the loss of, such qualification. Except as would not, individually or in the aggregate, reasonably be expected to have a Material Adverse Effect, such Credit Party and each of its ERISA Affiliates have made all required contributions to each Plan of such Credit Party and its Subsidiaries subject to Section 412 of the Internal Revenue Code, and no application for a funding waiver or an extension of any amortization period pursuant to Section 412 of the Internal Revenue Code has been made with respect to such Plan.</w:t>
      </w:r>
    </w:p>
    <w:p>
      <w:pPr>
        <w:spacing w:after="0" w:line="144" w:lineRule="exact"/>
        <w:rPr>
          <w:rFonts w:ascii="Arial" w:cs="Arial" w:eastAsia="Arial" w:hAnsi="Arial"/>
          <w:sz w:val="18"/>
          <w:szCs w:val="18"/>
          <w:color w:val="auto"/>
        </w:rPr>
      </w:pPr>
    </w:p>
    <w:p>
      <w:pPr>
        <w:ind w:left="1720" w:hanging="415"/>
        <w:spacing w:after="0"/>
        <w:tabs>
          <w:tab w:leader="none" w:pos="1720" w:val="left"/>
        </w:tabs>
        <w:numPr>
          <w:ilvl w:val="0"/>
          <w:numId w:val="193"/>
        </w:numPr>
        <w:rPr>
          <w:rFonts w:ascii="Arial" w:cs="Arial" w:eastAsia="Arial" w:hAnsi="Arial"/>
          <w:sz w:val="19"/>
          <w:szCs w:val="19"/>
          <w:color w:val="auto"/>
        </w:rPr>
      </w:pPr>
      <w:r>
        <w:rPr>
          <w:rFonts w:ascii="Arial" w:cs="Arial" w:eastAsia="Arial" w:hAnsi="Arial"/>
          <w:sz w:val="19"/>
          <w:szCs w:val="19"/>
          <w:color w:val="auto"/>
        </w:rPr>
        <w:t>There are no pending or, to the best knowledge of EWI, threatened claims, actions or lawsuits, or action by any</w:t>
      </w:r>
    </w:p>
    <w:p>
      <w:pPr>
        <w:spacing w:after="0" w:line="65" w:lineRule="exact"/>
        <w:rPr>
          <w:rFonts w:ascii="Arial" w:cs="Arial" w:eastAsia="Arial" w:hAnsi="Arial"/>
          <w:sz w:val="19"/>
          <w:szCs w:val="19"/>
          <w:color w:val="auto"/>
        </w:rPr>
      </w:pPr>
    </w:p>
    <w:p>
      <w:pPr>
        <w:ind w:left="660" w:right="140"/>
        <w:spacing w:after="0" w:line="288" w:lineRule="auto"/>
        <w:rPr>
          <w:rFonts w:ascii="Arial" w:cs="Arial" w:eastAsia="Arial" w:hAnsi="Arial"/>
          <w:sz w:val="19"/>
          <w:szCs w:val="19"/>
          <w:color w:val="auto"/>
        </w:rPr>
      </w:pPr>
      <w:r>
        <w:rPr>
          <w:rFonts w:ascii="Arial" w:cs="Arial" w:eastAsia="Arial" w:hAnsi="Arial"/>
          <w:sz w:val="20"/>
          <w:szCs w:val="20"/>
          <w:color w:val="auto"/>
        </w:rPr>
        <w:t>Governmental Authority, with respect to any Plan of such Credit Party and its Subsidiaries that would be reasonably be expected to have a Material Adverse Effect. There has been no prohibited transaction or violation of the fiduciary responsibility rules with respect to any Plan of such Credit Party and its Subsidiaries that has resulted or would reasonably be expected to result in a Material Adverse Effect.</w:t>
      </w:r>
    </w:p>
    <w:p>
      <w:pPr>
        <w:spacing w:after="0" w:line="192" w:lineRule="exact"/>
        <w:rPr>
          <w:rFonts w:ascii="Arial" w:cs="Arial" w:eastAsia="Arial" w:hAnsi="Arial"/>
          <w:sz w:val="19"/>
          <w:szCs w:val="19"/>
          <w:color w:val="auto"/>
        </w:rPr>
      </w:pPr>
    </w:p>
    <w:p>
      <w:pPr>
        <w:ind w:left="1700" w:hanging="395"/>
        <w:spacing w:after="0"/>
        <w:tabs>
          <w:tab w:leader="none" w:pos="1700" w:val="left"/>
        </w:tabs>
        <w:numPr>
          <w:ilvl w:val="0"/>
          <w:numId w:val="193"/>
        </w:numPr>
        <w:rPr>
          <w:rFonts w:ascii="Arial" w:cs="Arial" w:eastAsia="Arial" w:hAnsi="Arial"/>
          <w:sz w:val="18"/>
          <w:szCs w:val="18"/>
          <w:color w:val="auto"/>
        </w:rPr>
      </w:pPr>
      <w:r>
        <w:rPr>
          <w:rFonts w:ascii="Arial" w:cs="Arial" w:eastAsia="Arial" w:hAnsi="Arial"/>
          <w:sz w:val="18"/>
          <w:szCs w:val="18"/>
          <w:color w:val="auto"/>
        </w:rPr>
        <w:t>Except as would not, individually or in the aggregate, reasonably be expected to have a Material Adverse Effect, (i) no</w:t>
      </w:r>
    </w:p>
    <w:p>
      <w:pPr>
        <w:spacing w:after="0" w:line="76" w:lineRule="exact"/>
        <w:rPr>
          <w:rFonts w:ascii="Arial" w:cs="Arial" w:eastAsia="Arial" w:hAnsi="Arial"/>
          <w:sz w:val="18"/>
          <w:szCs w:val="18"/>
          <w:color w:val="auto"/>
        </w:rPr>
      </w:pPr>
    </w:p>
    <w:p>
      <w:pPr>
        <w:ind w:left="660"/>
        <w:spacing w:after="0" w:line="284" w:lineRule="auto"/>
        <w:rPr>
          <w:rFonts w:ascii="Arial" w:cs="Arial" w:eastAsia="Arial" w:hAnsi="Arial"/>
          <w:sz w:val="18"/>
          <w:szCs w:val="18"/>
          <w:color w:val="auto"/>
        </w:rPr>
      </w:pPr>
      <w:r>
        <w:rPr>
          <w:rFonts w:ascii="Arial" w:cs="Arial" w:eastAsia="Arial" w:hAnsi="Arial"/>
          <w:sz w:val="20"/>
          <w:szCs w:val="20"/>
          <w:color w:val="auto"/>
        </w:rPr>
        <w:t>ERISA Event has occurred or is reasonably expected to occur with respect to such Credit Party and its Subsidiaries; (ii) no Pension Plan of such Credit Party and its Subsidiaries has any Unfunded Pension Liability; (iii) neither such Credit Party nor any of its ERISA Affiliates has incurred, or reasonably expects to incur, any liability under Title IV of ERISA with respect to any Pension Plan of such Credit Party and its Subsidiaries (other than premiums due and not delinquent under Section 4007 of ERISA); (iv) neither such Credit Party nor any of its ERISA Affiliates has incurred, or reasonably expects to incur, any liability (and no event has occurred that, with the giving of notice under Section 4219 of ERISA, would result in such liability) under Sections 4201 or 4243 of ERISA with respect to a Multiemployer Plan of such Credit Party and its Subsidiaries; and (v) neither Such Credit Party nor any of its ERISA Affiliates has engaged in a transaction that would reasonably be expected to subject such Credit Party and its Subsidiaries to Sections 4069 or 4212(c) of ERISA.</w:t>
      </w: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138</w:t>
      </w:r>
    </w:p>
    <w:p>
      <w:pPr>
        <w:spacing w:after="0" w:line="10" w:lineRule="exact"/>
        <w:rPr>
          <w:sz w:val="20"/>
          <w:szCs w:val="20"/>
          <w:color w:val="auto"/>
        </w:rPr>
      </w:pPr>
    </w:p>
    <w:p>
      <w:pPr>
        <w:spacing w:after="0"/>
        <w:rPr>
          <w:sz w:val="20"/>
          <w:szCs w:val="20"/>
          <w:color w:val="auto"/>
        </w:rPr>
      </w:pPr>
      <w:r>
        <w:rPr>
          <w:rFonts w:ascii="Arial" w:cs="Arial" w:eastAsia="Arial" w:hAnsi="Arial"/>
          <w:sz w:val="14"/>
          <w:szCs w:val="14"/>
          <w:color w:val="auto"/>
        </w:rPr>
        <w:t>CHAR1\1346423v</w:t>
      </w:r>
      <w:r>
        <w:rPr>
          <w:rFonts w:ascii="Arial" w:cs="Arial" w:eastAsia="Arial" w:hAnsi="Arial"/>
          <w:sz w:val="14"/>
          <w:szCs w:val="14"/>
          <w:color w:val="FF0000"/>
          <w:strike w:val="1"/>
        </w:rPr>
        <w:t>1</w:t>
      </w:r>
      <w:r>
        <w:rPr>
          <w:rFonts w:ascii="Arial" w:cs="Arial" w:eastAsia="Arial" w:hAnsi="Arial"/>
          <w:sz w:val="14"/>
          <w:szCs w:val="14"/>
          <w:u w:val="single" w:color="auto"/>
          <w:color w:val="0000FF"/>
        </w:rPr>
        <w:t>12</w:t>
      </w:r>
    </w:p>
    <w:p>
      <w:pPr>
        <w:sectPr>
          <w:pgSz w:w="11900" w:h="16838" w:orient="portrait"/>
          <w:cols w:equalWidth="0" w:num="1">
            <w:col w:w="11400"/>
          </w:cols>
          <w:pgMar w:left="240" w:top="609" w:right="259" w:bottom="1440" w:gutter="0" w:footer="0" w:header="0"/>
        </w:sectPr>
      </w:pPr>
    </w:p>
    <w:bookmarkStart w:id="190" w:name="page191"/>
    <w:bookmarkEnd w:id="190"/>
    <w:p>
      <w:pPr>
        <w:ind w:firstLine="648"/>
        <w:spacing w:after="0" w:line="322" w:lineRule="auto"/>
        <w:rPr>
          <w:sz w:val="20"/>
          <w:szCs w:val="20"/>
          <w:color w:val="auto"/>
        </w:rPr>
      </w:pPr>
      <w:r>
        <w:rPr>
          <w:rFonts w:ascii="Arial" w:cs="Arial" w:eastAsia="Arial" w:hAnsi="Arial"/>
          <w:sz w:val="18"/>
          <w:szCs w:val="18"/>
          <w:color w:val="auto"/>
        </w:rPr>
        <w:t xml:space="preserve">6.14 </w:t>
      </w:r>
      <w:r>
        <w:rPr>
          <w:rFonts w:ascii="Arial" w:cs="Arial" w:eastAsia="Arial" w:hAnsi="Arial"/>
          <w:sz w:val="18"/>
          <w:szCs w:val="18"/>
          <w:u w:val="single" w:color="auto"/>
          <w:color w:val="auto"/>
        </w:rPr>
        <w:t>Subsidiaries</w:t>
      </w:r>
      <w:r>
        <w:rPr>
          <w:rFonts w:ascii="Arial" w:cs="Arial" w:eastAsia="Arial" w:hAnsi="Arial"/>
          <w:sz w:val="18"/>
          <w:szCs w:val="18"/>
          <w:color w:val="auto"/>
        </w:rPr>
        <w:t xml:space="preserve">. As of the </w:t>
      </w:r>
      <w:r>
        <w:rPr>
          <w:rFonts w:ascii="Arial" w:cs="Arial" w:eastAsia="Arial" w:hAnsi="Arial"/>
          <w:sz w:val="18"/>
          <w:szCs w:val="18"/>
          <w:color w:val="FF0000"/>
          <w:strike w:val="1"/>
        </w:rPr>
        <w:t>Closing</w:t>
      </w:r>
      <w:r>
        <w:rPr>
          <w:rFonts w:ascii="Arial" w:cs="Arial" w:eastAsia="Arial" w:hAnsi="Arial"/>
          <w:sz w:val="18"/>
          <w:szCs w:val="18"/>
          <w:u w:val="single" w:color="auto"/>
          <w:color w:val="0000FF"/>
        </w:rPr>
        <w:t>Amendment No. 1 Effective</w:t>
      </w:r>
      <w:r>
        <w:rPr>
          <w:rFonts w:ascii="Arial" w:cs="Arial" w:eastAsia="Arial" w:hAnsi="Arial"/>
          <w:sz w:val="18"/>
          <w:szCs w:val="18"/>
          <w:color w:val="auto"/>
        </w:rPr>
        <w:t xml:space="preserve"> Date, set forth on </w:t>
      </w:r>
      <w:r>
        <w:rPr>
          <w:rFonts w:ascii="Arial" w:cs="Arial" w:eastAsia="Arial" w:hAnsi="Arial"/>
          <w:sz w:val="18"/>
          <w:szCs w:val="18"/>
          <w:u w:val="single" w:color="auto"/>
          <w:color w:val="auto"/>
        </w:rPr>
        <w:t>Schedule 6.14</w:t>
      </w:r>
      <w:r>
        <w:rPr>
          <w:rFonts w:ascii="Arial" w:cs="Arial" w:eastAsia="Arial" w:hAnsi="Arial"/>
          <w:sz w:val="18"/>
          <w:szCs w:val="18"/>
          <w:color w:val="auto"/>
        </w:rPr>
        <w:t xml:space="preserve">, is the jurisdiction of organization, classes of Capital Stock (including options, warrants, rights of subscription, conversion, exchangeability and other similar rights), and ownership and ownership percentages of each Subsidiary of such Credit Party. The outstanding Capital Stock of each Subsidiary of such Credit Party has been validly issued, is owned by such Credit Party free of Liens other than Permitted Liens; if any Subsidiary of such Credit Party is a corporation, the outstanding shares of Capital Stock of such Subsidiary have been validly issued and are fully paid and non-assessable; and except as identified on </w:t>
      </w:r>
      <w:r>
        <w:rPr>
          <w:rFonts w:ascii="Arial" w:cs="Arial" w:eastAsia="Arial" w:hAnsi="Arial"/>
          <w:sz w:val="18"/>
          <w:szCs w:val="18"/>
          <w:u w:val="single" w:color="auto"/>
          <w:color w:val="auto"/>
        </w:rPr>
        <w:t>Schedule 6.14</w:t>
      </w:r>
      <w:r>
        <w:rPr>
          <w:rFonts w:ascii="Arial" w:cs="Arial" w:eastAsia="Arial" w:hAnsi="Arial"/>
          <w:sz w:val="18"/>
          <w:szCs w:val="18"/>
          <w:color w:val="auto"/>
        </w:rPr>
        <w:t xml:space="preserve">, none of the outstanding shares of Capital Stock of any Subsidiary of such Credit Party are subject to any buy-sell, voting trust or other shareholder agreement. As of the </w:t>
      </w:r>
      <w:r>
        <w:rPr>
          <w:rFonts w:ascii="Arial" w:cs="Arial" w:eastAsia="Arial" w:hAnsi="Arial"/>
          <w:sz w:val="18"/>
          <w:szCs w:val="18"/>
          <w:color w:val="FF0000"/>
          <w:strike w:val="1"/>
        </w:rPr>
        <w:t>Closing</w:t>
      </w:r>
      <w:r>
        <w:rPr>
          <w:rFonts w:ascii="Arial" w:cs="Arial" w:eastAsia="Arial" w:hAnsi="Arial"/>
          <w:sz w:val="18"/>
          <w:szCs w:val="18"/>
          <w:u w:val="single" w:color="auto"/>
          <w:color w:val="0000FF"/>
        </w:rPr>
        <w:t>Amendment No. 1 Effective</w:t>
      </w:r>
      <w:r>
        <w:rPr>
          <w:rFonts w:ascii="Arial" w:cs="Arial" w:eastAsia="Arial" w:hAnsi="Arial"/>
          <w:sz w:val="18"/>
          <w:szCs w:val="18"/>
          <w:color w:val="auto"/>
        </w:rPr>
        <w:t xml:space="preserve"> Date, such Credit Party has no Subsidiaries other than those specifically disclosed on </w:t>
      </w:r>
      <w:r>
        <w:rPr>
          <w:rFonts w:ascii="Arial" w:cs="Arial" w:eastAsia="Arial" w:hAnsi="Arial"/>
          <w:sz w:val="18"/>
          <w:szCs w:val="18"/>
          <w:u w:val="single" w:color="auto"/>
          <w:color w:val="auto"/>
        </w:rPr>
        <w:t>Schedule 6.14</w:t>
      </w:r>
      <w:r>
        <w:rPr>
          <w:rFonts w:ascii="Arial" w:cs="Arial" w:eastAsia="Arial" w:hAnsi="Arial"/>
          <w:sz w:val="18"/>
          <w:szCs w:val="18"/>
          <w:color w:val="auto"/>
        </w:rPr>
        <w:t>.</w:t>
      </w:r>
    </w:p>
    <w:p>
      <w:pPr>
        <w:spacing w:after="0" w:line="169" w:lineRule="exact"/>
        <w:rPr>
          <w:sz w:val="20"/>
          <w:szCs w:val="20"/>
          <w:color w:val="auto"/>
        </w:rPr>
      </w:pPr>
    </w:p>
    <w:p>
      <w:pPr>
        <w:ind w:left="660"/>
        <w:spacing w:after="0"/>
        <w:tabs>
          <w:tab w:leader="none" w:pos="1160" w:val="left"/>
        </w:tabs>
        <w:rPr>
          <w:sz w:val="20"/>
          <w:szCs w:val="20"/>
          <w:color w:val="auto"/>
        </w:rPr>
      </w:pPr>
      <w:r>
        <w:rPr>
          <w:rFonts w:ascii="Arial" w:cs="Arial" w:eastAsia="Arial" w:hAnsi="Arial"/>
          <w:sz w:val="20"/>
          <w:szCs w:val="20"/>
          <w:color w:val="auto"/>
        </w:rPr>
        <w:t>6.15</w:t>
      </w:r>
      <w:r>
        <w:rPr>
          <w:sz w:val="20"/>
          <w:szCs w:val="20"/>
          <w:color w:val="auto"/>
        </w:rPr>
        <w:tab/>
      </w:r>
      <w:r>
        <w:rPr>
          <w:rFonts w:ascii="Arial" w:cs="Arial" w:eastAsia="Arial" w:hAnsi="Arial"/>
          <w:sz w:val="18"/>
          <w:szCs w:val="18"/>
          <w:u w:val="single" w:color="auto"/>
          <w:color w:val="auto"/>
        </w:rPr>
        <w:t>Margin Regulations; Investment Company Act</w:t>
      </w:r>
      <w:r>
        <w:rPr>
          <w:rFonts w:ascii="Arial" w:cs="Arial" w:eastAsia="Arial" w:hAnsi="Arial"/>
          <w:sz w:val="18"/>
          <w:szCs w:val="18"/>
          <w:color w:val="auto"/>
        </w:rPr>
        <w:t>.</w:t>
      </w:r>
    </w:p>
    <w:p>
      <w:pPr>
        <w:spacing w:after="0" w:line="270" w:lineRule="exact"/>
        <w:rPr>
          <w:sz w:val="20"/>
          <w:szCs w:val="20"/>
          <w:color w:val="auto"/>
        </w:rPr>
      </w:pPr>
    </w:p>
    <w:p>
      <w:pPr>
        <w:ind w:left="1700" w:hanging="395"/>
        <w:spacing w:after="0"/>
        <w:tabs>
          <w:tab w:leader="none" w:pos="1700" w:val="left"/>
        </w:tabs>
        <w:numPr>
          <w:ilvl w:val="0"/>
          <w:numId w:val="194"/>
        </w:numPr>
        <w:rPr>
          <w:rFonts w:ascii="Arial" w:cs="Arial" w:eastAsia="Arial" w:hAnsi="Arial"/>
          <w:sz w:val="18"/>
          <w:szCs w:val="18"/>
          <w:color w:val="auto"/>
        </w:rPr>
      </w:pPr>
      <w:r>
        <w:rPr>
          <w:rFonts w:ascii="Arial" w:cs="Arial" w:eastAsia="Arial" w:hAnsi="Arial"/>
          <w:sz w:val="18"/>
          <w:szCs w:val="18"/>
          <w:color w:val="auto"/>
        </w:rPr>
        <w:t>Such Credit Party is not engaged and will not engage, principally or as one of their important activities, in the business of</w:t>
      </w:r>
    </w:p>
    <w:p>
      <w:pPr>
        <w:spacing w:after="0" w:line="76" w:lineRule="exact"/>
        <w:rPr>
          <w:rFonts w:ascii="Arial" w:cs="Arial" w:eastAsia="Arial" w:hAnsi="Arial"/>
          <w:sz w:val="18"/>
          <w:szCs w:val="18"/>
          <w:color w:val="auto"/>
        </w:rPr>
      </w:pPr>
    </w:p>
    <w:p>
      <w:pPr>
        <w:ind w:left="660" w:right="120"/>
        <w:spacing w:after="0" w:line="303" w:lineRule="auto"/>
        <w:rPr>
          <w:rFonts w:ascii="Arial" w:cs="Arial" w:eastAsia="Arial" w:hAnsi="Arial"/>
          <w:sz w:val="18"/>
          <w:szCs w:val="18"/>
          <w:color w:val="auto"/>
        </w:rPr>
      </w:pPr>
      <w:r>
        <w:rPr>
          <w:rFonts w:ascii="Arial" w:cs="Arial" w:eastAsia="Arial" w:hAnsi="Arial"/>
          <w:sz w:val="20"/>
          <w:szCs w:val="20"/>
          <w:color w:val="auto"/>
        </w:rPr>
        <w:t>purchasing or carrying “margin stock” (within the meaning of Regulation U issued by the FRB), or extending credit for the purpose of purchasing or carrying margin stock.</w:t>
      </w:r>
    </w:p>
    <w:p>
      <w:pPr>
        <w:spacing w:after="0" w:line="175" w:lineRule="exact"/>
        <w:rPr>
          <w:rFonts w:ascii="Arial" w:cs="Arial" w:eastAsia="Arial" w:hAnsi="Arial"/>
          <w:sz w:val="18"/>
          <w:szCs w:val="18"/>
          <w:color w:val="auto"/>
        </w:rPr>
      </w:pPr>
    </w:p>
    <w:p>
      <w:pPr>
        <w:ind w:left="660" w:right="240" w:firstLine="645"/>
        <w:spacing w:after="0" w:line="317" w:lineRule="auto"/>
        <w:tabs>
          <w:tab w:leader="none" w:pos="1719" w:val="left"/>
        </w:tabs>
        <w:numPr>
          <w:ilvl w:val="0"/>
          <w:numId w:val="194"/>
        </w:numPr>
        <w:rPr>
          <w:rFonts w:ascii="Arial" w:cs="Arial" w:eastAsia="Arial" w:hAnsi="Arial"/>
          <w:sz w:val="20"/>
          <w:szCs w:val="20"/>
          <w:color w:val="auto"/>
        </w:rPr>
      </w:pPr>
      <w:r>
        <w:rPr>
          <w:rFonts w:ascii="Arial" w:cs="Arial" w:eastAsia="Arial" w:hAnsi="Arial"/>
          <w:sz w:val="20"/>
          <w:szCs w:val="20"/>
          <w:color w:val="auto"/>
        </w:rPr>
        <w:t>Neither such Credit Party, any Person Controlling such Credit Party, nor any of its Subsidiaries are or are required to be registered as an “investment company” under the Investment Company Act of 1940.</w:t>
      </w:r>
    </w:p>
    <w:p>
      <w:pPr>
        <w:spacing w:after="0" w:line="162" w:lineRule="exact"/>
        <w:rPr>
          <w:sz w:val="20"/>
          <w:szCs w:val="20"/>
          <w:color w:val="auto"/>
        </w:rPr>
      </w:pPr>
    </w:p>
    <w:p>
      <w:pPr>
        <w:ind w:right="80" w:firstLine="648"/>
        <w:spacing w:after="0" w:line="302" w:lineRule="auto"/>
        <w:rPr>
          <w:sz w:val="20"/>
          <w:szCs w:val="20"/>
          <w:color w:val="auto"/>
        </w:rPr>
      </w:pPr>
      <w:r>
        <w:rPr>
          <w:rFonts w:ascii="Arial" w:cs="Arial" w:eastAsia="Arial" w:hAnsi="Arial"/>
          <w:sz w:val="19"/>
          <w:szCs w:val="19"/>
          <w:color w:val="auto"/>
        </w:rPr>
        <w:t xml:space="preserve">6.16 </w:t>
      </w:r>
      <w:r>
        <w:rPr>
          <w:rFonts w:ascii="Arial" w:cs="Arial" w:eastAsia="Arial" w:hAnsi="Arial"/>
          <w:sz w:val="19"/>
          <w:szCs w:val="19"/>
          <w:u w:val="single" w:color="auto"/>
          <w:color w:val="auto"/>
        </w:rPr>
        <w:t>Disclosure</w:t>
      </w:r>
      <w:r>
        <w:rPr>
          <w:rFonts w:ascii="Arial" w:cs="Arial" w:eastAsia="Arial" w:hAnsi="Arial"/>
          <w:sz w:val="19"/>
          <w:szCs w:val="19"/>
          <w:color w:val="auto"/>
        </w:rPr>
        <w:t xml:space="preserve">. Such Credit Party has disclosed to the Administrative Agent and the Lenders all agreements, instruments and corporate or other restrictions to which it or any of its Subsidiaries is subject, and all other matters known to it, that, individually or in the aggregate, would reasonably be expected to result in a Material Adverse Effect. No report, financial statement, certificate or other information furnished (whether in writing or orally) by or on behalf of such Credit Party to the Administrative Agent or any Lender in connection with the transactions contemplated hereby and the negotiation of this Credit Agreement or delivered hereunder or under any other Credit Document (in each case, as modified or supplemented by other information so furnished) contains any material misstatement of fact or omits to state any material fact necessary to make the statements therein, in the light of the circumstances under which they were made, not misleading;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(a) with respect to projected financial information, such Credit Party represents only that such information was prepared in good faith based upon assumptions believed to be reasonable at the time and (b) with respect to general industry information, the foregoing representation is only to the best of such Credit Party’s knowledge.</w:t>
      </w:r>
    </w:p>
    <w:p>
      <w:pPr>
        <w:spacing w:after="0" w:line="181" w:lineRule="exact"/>
        <w:rPr>
          <w:sz w:val="20"/>
          <w:szCs w:val="20"/>
          <w:color w:val="auto"/>
        </w:rPr>
      </w:pPr>
    </w:p>
    <w:p>
      <w:pPr>
        <w:ind w:right="20" w:firstLine="648"/>
        <w:spacing w:after="0" w:line="290" w:lineRule="auto"/>
        <w:rPr>
          <w:sz w:val="20"/>
          <w:szCs w:val="20"/>
          <w:color w:val="auto"/>
        </w:rPr>
      </w:pPr>
      <w:r>
        <w:rPr>
          <w:rFonts w:ascii="Arial" w:cs="Arial" w:eastAsia="Arial" w:hAnsi="Arial"/>
          <w:sz w:val="20"/>
          <w:szCs w:val="20"/>
          <w:color w:val="auto"/>
        </w:rPr>
        <w:t xml:space="preserve">6.17 </w:t>
      </w:r>
      <w:r>
        <w:rPr>
          <w:rFonts w:ascii="Arial" w:cs="Arial" w:eastAsia="Arial" w:hAnsi="Arial"/>
          <w:sz w:val="20"/>
          <w:szCs w:val="20"/>
          <w:u w:val="single" w:color="auto"/>
          <w:color w:val="auto"/>
        </w:rPr>
        <w:t>Compliance with Laws</w:t>
      </w:r>
      <w:r>
        <w:rPr>
          <w:rFonts w:ascii="Arial" w:cs="Arial" w:eastAsia="Arial" w:hAnsi="Arial"/>
          <w:sz w:val="20"/>
          <w:szCs w:val="20"/>
          <w:color w:val="auto"/>
        </w:rPr>
        <w:t>. Such Credit Party and its Subsidiaries are in compliance in all material respects with the requirements of all Laws and all orders, writs, injunctions, settlements or other agreements with any Governmental Authority and decrees applicable to it or to its properties, except in such instances in which (a) such requirement of Law or order, writ, injunction or decree is being contested in good faith by appropriate proceedings diligently conducted or (b) the failure to comply therewith, either individually or in the aggregate, would not reasonably be expected to have a Material Adverse Effect.</w:t>
      </w:r>
    </w:p>
    <w:p>
      <w:pPr>
        <w:spacing w:after="0" w:line="200" w:lineRule="exact"/>
        <w:rPr>
          <w:sz w:val="20"/>
          <w:szCs w:val="20"/>
          <w:color w:val="auto"/>
        </w:rPr>
      </w:pP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139</w:t>
      </w:r>
    </w:p>
    <w:p>
      <w:pPr>
        <w:spacing w:after="0" w:line="10" w:lineRule="exact"/>
        <w:rPr>
          <w:sz w:val="20"/>
          <w:szCs w:val="20"/>
          <w:color w:val="auto"/>
        </w:rPr>
      </w:pPr>
    </w:p>
    <w:p>
      <w:pPr>
        <w:spacing w:after="0"/>
        <w:rPr>
          <w:sz w:val="20"/>
          <w:szCs w:val="20"/>
          <w:color w:val="auto"/>
        </w:rPr>
      </w:pPr>
      <w:r>
        <w:rPr>
          <w:rFonts w:ascii="Arial" w:cs="Arial" w:eastAsia="Arial" w:hAnsi="Arial"/>
          <w:sz w:val="14"/>
          <w:szCs w:val="14"/>
          <w:color w:val="auto"/>
        </w:rPr>
        <w:t>CHAR1\1346423v</w:t>
      </w:r>
      <w:r>
        <w:rPr>
          <w:rFonts w:ascii="Arial" w:cs="Arial" w:eastAsia="Arial" w:hAnsi="Arial"/>
          <w:sz w:val="14"/>
          <w:szCs w:val="14"/>
          <w:color w:val="FF0000"/>
          <w:strike w:val="1"/>
        </w:rPr>
        <w:t>1</w:t>
      </w:r>
      <w:r>
        <w:rPr>
          <w:rFonts w:ascii="Arial" w:cs="Arial" w:eastAsia="Arial" w:hAnsi="Arial"/>
          <w:sz w:val="14"/>
          <w:szCs w:val="14"/>
          <w:u w:val="single" w:color="auto"/>
          <w:color w:val="0000FF"/>
        </w:rPr>
        <w:t>12</w:t>
      </w:r>
    </w:p>
    <w:p>
      <w:pPr>
        <w:sectPr>
          <w:pgSz w:w="11900" w:h="16838" w:orient="portrait"/>
          <w:cols w:equalWidth="0" w:num="1">
            <w:col w:w="11420"/>
          </w:cols>
          <w:pgMar w:left="240" w:top="609" w:right="239" w:bottom="1440" w:gutter="0" w:footer="0" w:header="0"/>
        </w:sectPr>
      </w:pPr>
    </w:p>
    <w:bookmarkStart w:id="191" w:name="page192"/>
    <w:bookmarkEnd w:id="191"/>
    <w:p>
      <w:pPr>
        <w:ind w:left="660"/>
        <w:spacing w:after="0"/>
        <w:tabs>
          <w:tab w:leader="none" w:pos="1160" w:val="left"/>
        </w:tabs>
        <w:rPr>
          <w:sz w:val="20"/>
          <w:szCs w:val="20"/>
          <w:color w:val="auto"/>
        </w:rPr>
      </w:pPr>
      <w:r>
        <w:rPr>
          <w:rFonts w:ascii="Arial" w:cs="Arial" w:eastAsia="Arial" w:hAnsi="Arial"/>
          <w:sz w:val="20"/>
          <w:szCs w:val="20"/>
          <w:color w:val="auto"/>
        </w:rPr>
        <w:t>6.18</w:t>
      </w:r>
      <w:r>
        <w:rPr>
          <w:sz w:val="20"/>
          <w:szCs w:val="20"/>
          <w:color w:val="auto"/>
        </w:rPr>
        <w:tab/>
      </w:r>
      <w:r>
        <w:rPr>
          <w:rFonts w:ascii="Arial" w:cs="Arial" w:eastAsia="Arial" w:hAnsi="Arial"/>
          <w:sz w:val="18"/>
          <w:szCs w:val="18"/>
          <w:u w:val="single" w:color="auto"/>
          <w:color w:val="auto"/>
        </w:rPr>
        <w:t>Taxpayer Identification Number; Other Identifying Information</w:t>
      </w:r>
      <w:r>
        <w:rPr>
          <w:rFonts w:ascii="Arial" w:cs="Arial" w:eastAsia="Arial" w:hAnsi="Arial"/>
          <w:sz w:val="18"/>
          <w:szCs w:val="18"/>
          <w:color w:val="auto"/>
        </w:rPr>
        <w:t>. If such Credit Party is a Borrower, the true and correct U.S.</w:t>
      </w:r>
    </w:p>
    <w:p>
      <w:pPr>
        <w:spacing w:after="0" w:line="54" w:lineRule="exact"/>
        <w:rPr>
          <w:sz w:val="20"/>
          <w:szCs w:val="20"/>
          <w:color w:val="auto"/>
        </w:rPr>
      </w:pPr>
    </w:p>
    <w:p>
      <w:pPr>
        <w:spacing w:after="0"/>
        <w:rPr>
          <w:sz w:val="20"/>
          <w:szCs w:val="20"/>
          <w:color w:val="auto"/>
        </w:rPr>
      </w:pPr>
      <w:r>
        <w:rPr>
          <w:rFonts w:ascii="Arial" w:cs="Arial" w:eastAsia="Arial" w:hAnsi="Arial"/>
          <w:sz w:val="20"/>
          <w:szCs w:val="20"/>
          <w:color w:val="auto"/>
        </w:rPr>
        <w:t xml:space="preserve">taxpayer identification number, if any, of such Credit Party is set forth on </w:t>
      </w:r>
      <w:r>
        <w:rPr>
          <w:rFonts w:ascii="Arial" w:cs="Arial" w:eastAsia="Arial" w:hAnsi="Arial"/>
          <w:sz w:val="20"/>
          <w:szCs w:val="20"/>
          <w:u w:val="single" w:color="auto"/>
          <w:color w:val="auto"/>
        </w:rPr>
        <w:t>Schedule 6.18</w:t>
      </w:r>
      <w:r>
        <w:rPr>
          <w:rFonts w:ascii="Arial" w:cs="Arial" w:eastAsia="Arial" w:hAnsi="Arial"/>
          <w:sz w:val="20"/>
          <w:szCs w:val="20"/>
          <w:color w:val="auto"/>
        </w:rPr>
        <w:t>.</w:t>
      </w:r>
    </w:p>
    <w:p>
      <w:pPr>
        <w:spacing w:after="0" w:line="256" w:lineRule="exact"/>
        <w:rPr>
          <w:sz w:val="20"/>
          <w:szCs w:val="20"/>
          <w:color w:val="auto"/>
        </w:rPr>
      </w:pPr>
    </w:p>
    <w:p>
      <w:pPr>
        <w:ind w:right="140" w:firstLine="648"/>
        <w:spacing w:after="0" w:line="306" w:lineRule="auto"/>
        <w:rPr>
          <w:sz w:val="20"/>
          <w:szCs w:val="20"/>
          <w:color w:val="auto"/>
        </w:rPr>
      </w:pPr>
      <w:r>
        <w:rPr>
          <w:rFonts w:ascii="Arial" w:cs="Arial" w:eastAsia="Arial" w:hAnsi="Arial"/>
          <w:sz w:val="19"/>
          <w:szCs w:val="19"/>
          <w:color w:val="auto"/>
        </w:rPr>
        <w:t xml:space="preserve">6.19 </w:t>
      </w:r>
      <w:r>
        <w:rPr>
          <w:rFonts w:ascii="Arial" w:cs="Arial" w:eastAsia="Arial" w:hAnsi="Arial"/>
          <w:sz w:val="19"/>
          <w:szCs w:val="19"/>
          <w:u w:val="single" w:color="auto"/>
          <w:color w:val="auto"/>
        </w:rPr>
        <w:t>Solvency</w:t>
      </w:r>
      <w:r>
        <w:rPr>
          <w:rFonts w:ascii="Arial" w:cs="Arial" w:eastAsia="Arial" w:hAnsi="Arial"/>
          <w:sz w:val="19"/>
          <w:szCs w:val="19"/>
          <w:color w:val="auto"/>
        </w:rPr>
        <w:t>. Immediately after giving effect to the initial Credit Extensions made on the Closing Date, (a) the fair value of the assets of such Credit Party will exceed its debts and liabilities, subordinated, contingent or otherwise; (b) the present fair saleable value of the property of such Credit Party will be greater than the amount that will be required to pay the probable liability of its debts and other liabilities, subordinated, contingent or otherwise, as such debts and other liabilities become absolute and mature; and (c) such Credit Party will not have unreasonably small capital with which to conduct the business in which it is engaged as such business is now conducted and is proposed to be conducted following the Closing Date.</w:t>
      </w:r>
    </w:p>
    <w:p>
      <w:pPr>
        <w:spacing w:after="0" w:line="179" w:lineRule="exact"/>
        <w:rPr>
          <w:sz w:val="20"/>
          <w:szCs w:val="20"/>
          <w:color w:val="auto"/>
        </w:rPr>
      </w:pPr>
    </w:p>
    <w:p>
      <w:pPr>
        <w:ind w:firstLine="648"/>
        <w:spacing w:after="0" w:line="302" w:lineRule="auto"/>
        <w:rPr>
          <w:sz w:val="20"/>
          <w:szCs w:val="20"/>
          <w:color w:val="auto"/>
        </w:rPr>
      </w:pPr>
      <w:r>
        <w:rPr>
          <w:rFonts w:ascii="Arial" w:cs="Arial" w:eastAsia="Arial" w:hAnsi="Arial"/>
          <w:sz w:val="19"/>
          <w:szCs w:val="19"/>
          <w:color w:val="auto"/>
        </w:rPr>
        <w:t xml:space="preserve">6.20 </w:t>
      </w:r>
      <w:r>
        <w:rPr>
          <w:rFonts w:ascii="Arial" w:cs="Arial" w:eastAsia="Arial" w:hAnsi="Arial"/>
          <w:sz w:val="19"/>
          <w:szCs w:val="19"/>
          <w:u w:val="single" w:color="auto"/>
          <w:color w:val="auto"/>
        </w:rPr>
        <w:t>Intellectual Property; Licenses, Etc.</w:t>
      </w:r>
      <w:r>
        <w:rPr>
          <w:rFonts w:ascii="Arial" w:cs="Arial" w:eastAsia="Arial" w:hAnsi="Arial"/>
          <w:sz w:val="19"/>
          <w:szCs w:val="19"/>
          <w:color w:val="auto"/>
        </w:rPr>
        <w:t xml:space="preserve"> Such Credit Party and each of its Subsidiaries owns, or possesses the right to use, all of the trademarks, service marks, trade names, copyrights, patents, patent rights, franchises, licenses and other intellectual property rights (collectively, “</w:t>
      </w:r>
      <w:r>
        <w:rPr>
          <w:rFonts w:ascii="Arial" w:cs="Arial" w:eastAsia="Arial" w:hAnsi="Arial"/>
          <w:sz w:val="19"/>
          <w:szCs w:val="19"/>
          <w:u w:val="single" w:color="auto"/>
          <w:color w:val="auto"/>
        </w:rPr>
        <w:t>IP Rights</w:t>
      </w:r>
      <w:r>
        <w:rPr>
          <w:rFonts w:ascii="Arial" w:cs="Arial" w:eastAsia="Arial" w:hAnsi="Arial"/>
          <w:sz w:val="19"/>
          <w:szCs w:val="19"/>
          <w:color w:val="auto"/>
        </w:rPr>
        <w:t>”) that are reasonably necessary for the operation of their respective businesses, without conflict with the rights of any other Person, except where the failure to own or possess such right or the conflict with the rights of others, either individually or in the aggregate, would not reasonably be expected to have a Material Adverse Effect. To the best knowledge of such Credit Party, no slogan or other advertising device, product, process, method, substance, part or other material now employed, or now contemplated to be employed, by such Credit Party and its Subsidiaries infringes upon any rights held by any other Person, except where such infringement, either individually or in the aggregate, would not reasonably be expected to have a Material Adverse Effect. No claim or litigation regarding any of the foregoing is pending or, to the best knowledge of such Credit Party, threatened, that, either individually or in the aggregate, would reasonably be expected to have a Material Adverse Effect.</w:t>
      </w:r>
    </w:p>
    <w:p>
      <w:pPr>
        <w:spacing w:after="0" w:line="181" w:lineRule="exact"/>
        <w:rPr>
          <w:sz w:val="20"/>
          <w:szCs w:val="20"/>
          <w:color w:val="auto"/>
        </w:rPr>
      </w:pPr>
    </w:p>
    <w:p>
      <w:pPr>
        <w:ind w:left="660"/>
        <w:spacing w:after="0"/>
        <w:tabs>
          <w:tab w:leader="none" w:pos="1160" w:val="left"/>
        </w:tabs>
        <w:rPr>
          <w:sz w:val="20"/>
          <w:szCs w:val="20"/>
          <w:color w:val="auto"/>
        </w:rPr>
      </w:pPr>
      <w:r>
        <w:rPr>
          <w:rFonts w:ascii="Arial" w:cs="Arial" w:eastAsia="Arial" w:hAnsi="Arial"/>
          <w:sz w:val="20"/>
          <w:szCs w:val="20"/>
          <w:color w:val="auto"/>
        </w:rPr>
        <w:t>6.21</w:t>
      </w:r>
      <w:r>
        <w:rPr>
          <w:sz w:val="20"/>
          <w:szCs w:val="20"/>
          <w:color w:val="auto"/>
        </w:rPr>
        <w:tab/>
      </w:r>
      <w:r>
        <w:rPr>
          <w:rFonts w:ascii="Arial" w:cs="Arial" w:eastAsia="Arial" w:hAnsi="Arial"/>
          <w:sz w:val="16"/>
          <w:szCs w:val="16"/>
          <w:u w:val="single" w:color="auto"/>
          <w:color w:val="auto"/>
        </w:rPr>
        <w:t>Representations as to Foreign Obligors</w:t>
      </w:r>
      <w:r>
        <w:rPr>
          <w:rFonts w:ascii="Arial" w:cs="Arial" w:eastAsia="Arial" w:hAnsi="Arial"/>
          <w:sz w:val="16"/>
          <w:szCs w:val="16"/>
          <w:color w:val="auto"/>
        </w:rPr>
        <w:t>. Each of the Foreign Credit Parties and Foreign Obligors represents and warrants to the</w:t>
      </w:r>
    </w:p>
    <w:p>
      <w:pPr>
        <w:spacing w:after="0" w:line="54" w:lineRule="exact"/>
        <w:rPr>
          <w:sz w:val="20"/>
          <w:szCs w:val="20"/>
          <w:color w:val="auto"/>
        </w:rPr>
      </w:pPr>
    </w:p>
    <w:p>
      <w:pPr>
        <w:spacing w:after="0"/>
        <w:rPr>
          <w:sz w:val="20"/>
          <w:szCs w:val="20"/>
          <w:color w:val="auto"/>
        </w:rPr>
      </w:pPr>
      <w:r>
        <w:rPr>
          <w:rFonts w:ascii="Arial" w:cs="Arial" w:eastAsia="Arial" w:hAnsi="Arial"/>
          <w:sz w:val="20"/>
          <w:szCs w:val="20"/>
          <w:color w:val="auto"/>
        </w:rPr>
        <w:t>Administrative Agent and the Lenders that:</w:t>
      </w:r>
    </w:p>
    <w:p>
      <w:pPr>
        <w:spacing w:after="0" w:line="256" w:lineRule="exact"/>
        <w:rPr>
          <w:sz w:val="20"/>
          <w:szCs w:val="20"/>
          <w:color w:val="auto"/>
        </w:rPr>
      </w:pPr>
    </w:p>
    <w:p>
      <w:pPr>
        <w:ind w:left="1700" w:hanging="395"/>
        <w:spacing w:after="0"/>
        <w:tabs>
          <w:tab w:leader="none" w:pos="1700" w:val="left"/>
        </w:tabs>
        <w:numPr>
          <w:ilvl w:val="0"/>
          <w:numId w:val="195"/>
        </w:numPr>
        <w:rPr>
          <w:rFonts w:ascii="Arial" w:cs="Arial" w:eastAsia="Arial" w:hAnsi="Arial"/>
          <w:sz w:val="18"/>
          <w:szCs w:val="18"/>
          <w:color w:val="auto"/>
        </w:rPr>
      </w:pPr>
      <w:r>
        <w:rPr>
          <w:rFonts w:ascii="Arial" w:cs="Arial" w:eastAsia="Arial" w:hAnsi="Arial"/>
          <w:sz w:val="18"/>
          <w:szCs w:val="18"/>
          <w:color w:val="auto"/>
        </w:rPr>
        <w:t>Such Foreign Obligor is subject to civil and commercial Laws with respect to its obligations under this Credit Agreement</w:t>
      </w:r>
    </w:p>
    <w:p>
      <w:pPr>
        <w:spacing w:after="0" w:line="76" w:lineRule="exact"/>
        <w:rPr>
          <w:rFonts w:ascii="Arial" w:cs="Arial" w:eastAsia="Arial" w:hAnsi="Arial"/>
          <w:sz w:val="18"/>
          <w:szCs w:val="18"/>
          <w:color w:val="auto"/>
        </w:rPr>
      </w:pPr>
    </w:p>
    <w:p>
      <w:pPr>
        <w:ind w:left="660"/>
        <w:spacing w:after="0" w:line="323" w:lineRule="auto"/>
        <w:rPr>
          <w:rFonts w:ascii="Arial" w:cs="Arial" w:eastAsia="Arial" w:hAnsi="Arial"/>
          <w:sz w:val="18"/>
          <w:szCs w:val="18"/>
          <w:color w:val="auto"/>
        </w:rPr>
      </w:pPr>
      <w:r>
        <w:rPr>
          <w:rFonts w:ascii="Arial" w:cs="Arial" w:eastAsia="Arial" w:hAnsi="Arial"/>
          <w:sz w:val="18"/>
          <w:szCs w:val="18"/>
          <w:color w:val="auto"/>
        </w:rPr>
        <w:t>and the other Credit Documents to which it is a party (collectively as to such Foreign Obligor, the “</w:t>
      </w:r>
      <w:r>
        <w:rPr>
          <w:rFonts w:ascii="Arial" w:cs="Arial" w:eastAsia="Arial" w:hAnsi="Arial"/>
          <w:sz w:val="18"/>
          <w:szCs w:val="18"/>
          <w:u w:val="single" w:color="auto"/>
          <w:color w:val="auto"/>
        </w:rPr>
        <w:t>Applicable Foreign Obligor</w:t>
      </w:r>
      <w:r>
        <w:rPr>
          <w:rFonts w:ascii="Arial" w:cs="Arial" w:eastAsia="Arial" w:hAnsi="Arial"/>
          <w:sz w:val="18"/>
          <w:szCs w:val="18"/>
          <w:color w:val="auto"/>
        </w:rPr>
        <w:t xml:space="preserve"> </w:t>
      </w:r>
      <w:r>
        <w:rPr>
          <w:rFonts w:ascii="Arial" w:cs="Arial" w:eastAsia="Arial" w:hAnsi="Arial"/>
          <w:sz w:val="18"/>
          <w:szCs w:val="18"/>
          <w:u w:val="single" w:color="auto"/>
          <w:color w:val="auto"/>
        </w:rPr>
        <w:t>Documents</w:t>
      </w:r>
      <w:r>
        <w:rPr>
          <w:rFonts w:ascii="Arial" w:cs="Arial" w:eastAsia="Arial" w:hAnsi="Arial"/>
          <w:sz w:val="18"/>
          <w:szCs w:val="18"/>
          <w:color w:val="auto"/>
        </w:rPr>
        <w:t>”), and the execution, delivery and performance by such Foreign Obligor of the Applicable Foreign Obligor Documents constitute and will constitute private and commercial acts and not public or governmental acts. Neither such Foreign Obligor nor any of its property has any immunity from jurisdiction of any court or from any legal process (whether through service or notice, attachment prior to judgment, attachment in aid of execution, execution or otherwise) under the laws of the jurisdiction in which such Foreign Obligor is organized and existing in respect of its obligations under the Applicable Foreign Obligor Documents.</w:t>
      </w:r>
    </w:p>
    <w:p>
      <w:pPr>
        <w:spacing w:after="0" w:line="165" w:lineRule="exact"/>
        <w:rPr>
          <w:rFonts w:ascii="Arial" w:cs="Arial" w:eastAsia="Arial" w:hAnsi="Arial"/>
          <w:sz w:val="18"/>
          <w:szCs w:val="18"/>
          <w:color w:val="auto"/>
        </w:rPr>
      </w:pPr>
    </w:p>
    <w:p>
      <w:pPr>
        <w:ind w:left="1720" w:hanging="415"/>
        <w:spacing w:after="0"/>
        <w:tabs>
          <w:tab w:leader="none" w:pos="1720" w:val="left"/>
        </w:tabs>
        <w:numPr>
          <w:ilvl w:val="0"/>
          <w:numId w:val="195"/>
        </w:numPr>
        <w:rPr>
          <w:rFonts w:ascii="Arial" w:cs="Arial" w:eastAsia="Arial" w:hAnsi="Arial"/>
          <w:sz w:val="19"/>
          <w:szCs w:val="19"/>
          <w:color w:val="auto"/>
        </w:rPr>
      </w:pPr>
      <w:r>
        <w:rPr>
          <w:rFonts w:ascii="Arial" w:cs="Arial" w:eastAsia="Arial" w:hAnsi="Arial"/>
          <w:sz w:val="19"/>
          <w:szCs w:val="19"/>
          <w:color w:val="auto"/>
        </w:rPr>
        <w:t>The Applicable Foreign Obligor Documents are in proper legal form under the Laws of the jurisdiction in which such</w:t>
      </w:r>
    </w:p>
    <w:p>
      <w:pPr>
        <w:spacing w:after="0" w:line="65" w:lineRule="exact"/>
        <w:rPr>
          <w:rFonts w:ascii="Arial" w:cs="Arial" w:eastAsia="Arial" w:hAnsi="Arial"/>
          <w:sz w:val="19"/>
          <w:szCs w:val="19"/>
          <w:color w:val="auto"/>
        </w:rPr>
      </w:pPr>
    </w:p>
    <w:p>
      <w:pPr>
        <w:ind w:left="660" w:right="980"/>
        <w:spacing w:after="0" w:line="303" w:lineRule="auto"/>
        <w:rPr>
          <w:rFonts w:ascii="Arial" w:cs="Arial" w:eastAsia="Arial" w:hAnsi="Arial"/>
          <w:sz w:val="19"/>
          <w:szCs w:val="19"/>
          <w:color w:val="auto"/>
        </w:rPr>
      </w:pPr>
      <w:r>
        <w:rPr>
          <w:rFonts w:ascii="Arial" w:cs="Arial" w:eastAsia="Arial" w:hAnsi="Arial"/>
          <w:sz w:val="20"/>
          <w:szCs w:val="20"/>
          <w:color w:val="auto"/>
        </w:rPr>
        <w:t>Foreign Obligor is organized and existing for the enforcement thereof against such Foreign Obligor under the Laws of such jurisdiction, and to</w:t>
      </w:r>
    </w:p>
    <w:p>
      <w:pPr>
        <w:spacing w:after="0" w:line="392"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140</w:t>
      </w:r>
    </w:p>
    <w:p>
      <w:pPr>
        <w:spacing w:after="0" w:line="10" w:lineRule="exact"/>
        <w:rPr>
          <w:sz w:val="20"/>
          <w:szCs w:val="20"/>
          <w:color w:val="auto"/>
        </w:rPr>
      </w:pPr>
    </w:p>
    <w:p>
      <w:pPr>
        <w:spacing w:after="0"/>
        <w:rPr>
          <w:sz w:val="20"/>
          <w:szCs w:val="20"/>
          <w:color w:val="auto"/>
        </w:rPr>
      </w:pPr>
      <w:r>
        <w:rPr>
          <w:rFonts w:ascii="Arial" w:cs="Arial" w:eastAsia="Arial" w:hAnsi="Arial"/>
          <w:sz w:val="14"/>
          <w:szCs w:val="14"/>
          <w:color w:val="auto"/>
        </w:rPr>
        <w:t>CHAR1\1346423v</w:t>
      </w:r>
      <w:r>
        <w:rPr>
          <w:rFonts w:ascii="Arial" w:cs="Arial" w:eastAsia="Arial" w:hAnsi="Arial"/>
          <w:sz w:val="14"/>
          <w:szCs w:val="14"/>
          <w:color w:val="FF0000"/>
          <w:strike w:val="1"/>
        </w:rPr>
        <w:t>1</w:t>
      </w:r>
      <w:r>
        <w:rPr>
          <w:rFonts w:ascii="Arial" w:cs="Arial" w:eastAsia="Arial" w:hAnsi="Arial"/>
          <w:sz w:val="14"/>
          <w:szCs w:val="14"/>
          <w:u w:val="single" w:color="auto"/>
          <w:color w:val="0000FF"/>
        </w:rPr>
        <w:t>12</w:t>
      </w:r>
    </w:p>
    <w:p>
      <w:pPr>
        <w:sectPr>
          <w:pgSz w:w="11900" w:h="16838" w:orient="portrait"/>
          <w:cols w:equalWidth="0" w:num="1">
            <w:col w:w="11400"/>
          </w:cols>
          <w:pgMar w:left="240" w:top="609" w:right="259" w:bottom="1440" w:gutter="0" w:footer="0" w:header="0"/>
        </w:sectPr>
      </w:pPr>
    </w:p>
    <w:bookmarkStart w:id="192" w:name="page193"/>
    <w:bookmarkEnd w:id="192"/>
    <w:p>
      <w:pPr>
        <w:ind w:left="660" w:right="60"/>
        <w:spacing w:after="0" w:line="320" w:lineRule="auto"/>
        <w:rPr>
          <w:sz w:val="20"/>
          <w:szCs w:val="20"/>
          <w:color w:val="auto"/>
        </w:rPr>
      </w:pPr>
      <w:r>
        <w:rPr>
          <w:rFonts w:ascii="Arial" w:cs="Arial" w:eastAsia="Arial" w:hAnsi="Arial"/>
          <w:sz w:val="18"/>
          <w:szCs w:val="18"/>
          <w:color w:val="auto"/>
        </w:rPr>
        <w:t>ensure the legality, validity, enforceability, priority or admissibility in evidence of the Applicable Foreign Obligor Documents. It is not necessary to ensure the legality, validity, enforceability, priority or admissibility in evidence of the Applicable Foreign Obligor Documents that the Applicable Foreign Obligor Documents be filed, registered or recorded with, or executed or notarized before, any court or other authority in the jurisdiction in which such Foreign Obligor is organized and existing or that any registration charge or stamp or similar tax be paid on or in respect of the Applicable Foreign Obligor Documents or any other document, except for (i) any such filing, registration, recording, execution or notarization as has been made or is not required to be made until the Applicable Foreign Obligor Document or any other document is sought to be enforced, (ii) the requirement of notarization of those Foreign Pledge Agreement by which the shares in the German Obligor are pledged and (iii) any charge or tax as has been timely paid.</w:t>
      </w:r>
    </w:p>
    <w:p>
      <w:pPr>
        <w:spacing w:after="0" w:line="169" w:lineRule="exact"/>
        <w:rPr>
          <w:sz w:val="20"/>
          <w:szCs w:val="20"/>
          <w:color w:val="auto"/>
        </w:rPr>
      </w:pPr>
    </w:p>
    <w:p>
      <w:pPr>
        <w:ind w:left="1700" w:hanging="395"/>
        <w:spacing w:after="0"/>
        <w:tabs>
          <w:tab w:leader="none" w:pos="1700" w:val="left"/>
        </w:tabs>
        <w:numPr>
          <w:ilvl w:val="0"/>
          <w:numId w:val="196"/>
        </w:numPr>
        <w:rPr>
          <w:rFonts w:ascii="Arial" w:cs="Arial" w:eastAsia="Arial" w:hAnsi="Arial"/>
          <w:sz w:val="19"/>
          <w:szCs w:val="19"/>
          <w:color w:val="auto"/>
        </w:rPr>
      </w:pPr>
      <w:r>
        <w:rPr>
          <w:rFonts w:ascii="Arial" w:cs="Arial" w:eastAsia="Arial" w:hAnsi="Arial"/>
          <w:sz w:val="19"/>
          <w:szCs w:val="19"/>
          <w:color w:val="auto"/>
        </w:rPr>
        <w:t>There is no material tax, levy, impost, duty, fee, assessment or other governmental charge, or any deduction or</w:t>
      </w:r>
    </w:p>
    <w:p>
      <w:pPr>
        <w:spacing w:after="0" w:line="65" w:lineRule="exact"/>
        <w:rPr>
          <w:rFonts w:ascii="Arial" w:cs="Arial" w:eastAsia="Arial" w:hAnsi="Arial"/>
          <w:sz w:val="19"/>
          <w:szCs w:val="19"/>
          <w:color w:val="auto"/>
        </w:rPr>
      </w:pPr>
    </w:p>
    <w:p>
      <w:pPr>
        <w:ind w:left="660" w:right="80"/>
        <w:spacing w:after="0" w:line="288" w:lineRule="auto"/>
        <w:rPr>
          <w:rFonts w:ascii="Arial" w:cs="Arial" w:eastAsia="Arial" w:hAnsi="Arial"/>
          <w:sz w:val="19"/>
          <w:szCs w:val="19"/>
          <w:color w:val="auto"/>
        </w:rPr>
      </w:pPr>
      <w:r>
        <w:rPr>
          <w:rFonts w:ascii="Arial" w:cs="Arial" w:eastAsia="Arial" w:hAnsi="Arial"/>
          <w:sz w:val="20"/>
          <w:szCs w:val="20"/>
          <w:color w:val="auto"/>
        </w:rPr>
        <w:t>withholding, imposed by any Governmental Authority in or of the jurisdiction in which such Foreign Obligor is organized and existing either (i) on or by virtue of the execution or delivery of the Applicable Foreign Obligor Documents or (ii) on any payment to be made by such Foreign Obligor pursuant to the Applicable Foreign Obligor Documents, except as has been disclosed to the Administrative Agent.</w:t>
      </w:r>
    </w:p>
    <w:p>
      <w:pPr>
        <w:spacing w:after="0" w:line="192" w:lineRule="exact"/>
        <w:rPr>
          <w:rFonts w:ascii="Arial" w:cs="Arial" w:eastAsia="Arial" w:hAnsi="Arial"/>
          <w:sz w:val="19"/>
          <w:szCs w:val="19"/>
          <w:color w:val="auto"/>
        </w:rPr>
      </w:pPr>
    </w:p>
    <w:p>
      <w:pPr>
        <w:ind w:left="1720" w:hanging="415"/>
        <w:spacing w:after="0"/>
        <w:tabs>
          <w:tab w:leader="none" w:pos="1720" w:val="left"/>
        </w:tabs>
        <w:numPr>
          <w:ilvl w:val="0"/>
          <w:numId w:val="196"/>
        </w:numPr>
        <w:rPr>
          <w:rFonts w:ascii="Arial" w:cs="Arial" w:eastAsia="Arial" w:hAnsi="Arial"/>
          <w:sz w:val="19"/>
          <w:szCs w:val="19"/>
          <w:color w:val="auto"/>
        </w:rPr>
      </w:pPr>
      <w:r>
        <w:rPr>
          <w:rFonts w:ascii="Arial" w:cs="Arial" w:eastAsia="Arial" w:hAnsi="Arial"/>
          <w:sz w:val="19"/>
          <w:szCs w:val="19"/>
          <w:color w:val="auto"/>
        </w:rPr>
        <w:t>The execution, delivery and performance of the Applicable Foreign Obligor Documents executed by such Foreign</w:t>
      </w:r>
    </w:p>
    <w:p>
      <w:pPr>
        <w:spacing w:after="0" w:line="65" w:lineRule="exact"/>
        <w:rPr>
          <w:rFonts w:ascii="Arial" w:cs="Arial" w:eastAsia="Arial" w:hAnsi="Arial"/>
          <w:sz w:val="19"/>
          <w:szCs w:val="19"/>
          <w:color w:val="auto"/>
        </w:rPr>
      </w:pPr>
    </w:p>
    <w:p>
      <w:pPr>
        <w:ind w:left="660" w:right="20"/>
        <w:spacing w:after="0" w:line="288" w:lineRule="auto"/>
        <w:rPr>
          <w:rFonts w:ascii="Arial" w:cs="Arial" w:eastAsia="Arial" w:hAnsi="Arial"/>
          <w:sz w:val="19"/>
          <w:szCs w:val="19"/>
          <w:color w:val="auto"/>
        </w:rPr>
      </w:pPr>
      <w:r>
        <w:rPr>
          <w:rFonts w:ascii="Arial" w:cs="Arial" w:eastAsia="Arial" w:hAnsi="Arial"/>
          <w:sz w:val="20"/>
          <w:szCs w:val="20"/>
          <w:color w:val="auto"/>
        </w:rPr>
        <w:t>Obligor are, under applicable foreign exchange control regulations of the jurisdiction in which such Foreign Obligor is organized and existing, not subject to any notification or authorization except (i) such as have been made or obtained or (ii) such as cannot be made or obtained until a later date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any notification or authorization described in </w:t>
      </w:r>
      <w:r>
        <w:rPr>
          <w:rFonts w:ascii="Arial" w:cs="Arial" w:eastAsia="Arial" w:hAnsi="Arial"/>
          <w:sz w:val="20"/>
          <w:szCs w:val="20"/>
          <w:u w:val="single" w:color="auto"/>
          <w:color w:val="auto"/>
        </w:rPr>
        <w:t>clause (ii)</w:t>
      </w:r>
      <w:r>
        <w:rPr>
          <w:rFonts w:ascii="Arial" w:cs="Arial" w:eastAsia="Arial" w:hAnsi="Arial"/>
          <w:sz w:val="20"/>
          <w:szCs w:val="20"/>
          <w:color w:val="auto"/>
        </w:rPr>
        <w:t xml:space="preserve"> shall be made or obtained as soon as is reasonably practicable).</w:t>
      </w:r>
    </w:p>
    <w:p>
      <w:pPr>
        <w:spacing w:after="0" w:line="192" w:lineRule="exact"/>
        <w:rPr>
          <w:rFonts w:ascii="Arial" w:cs="Arial" w:eastAsia="Arial" w:hAnsi="Arial"/>
          <w:sz w:val="19"/>
          <w:szCs w:val="19"/>
          <w:color w:val="auto"/>
        </w:rPr>
      </w:pPr>
    </w:p>
    <w:p>
      <w:pPr>
        <w:ind w:left="1700" w:hanging="395"/>
        <w:spacing w:after="0"/>
        <w:tabs>
          <w:tab w:leader="none" w:pos="1700" w:val="left"/>
        </w:tabs>
        <w:numPr>
          <w:ilvl w:val="0"/>
          <w:numId w:val="196"/>
        </w:numPr>
        <w:rPr>
          <w:rFonts w:ascii="Arial" w:cs="Arial" w:eastAsia="Arial" w:hAnsi="Arial"/>
          <w:sz w:val="19"/>
          <w:szCs w:val="19"/>
          <w:color w:val="auto"/>
        </w:rPr>
      </w:pPr>
      <w:r>
        <w:rPr>
          <w:rFonts w:ascii="Arial" w:cs="Arial" w:eastAsia="Arial" w:hAnsi="Arial"/>
          <w:sz w:val="19"/>
          <w:szCs w:val="19"/>
          <w:color w:val="auto"/>
        </w:rPr>
        <w:t>If such Foreign Credit Party or Foreign Obligor is a Dutch Obligor, such Foreign Credit Party or Foreign Obligor has</w:t>
      </w:r>
    </w:p>
    <w:p>
      <w:pPr>
        <w:spacing w:after="0" w:line="65" w:lineRule="exact"/>
        <w:rPr>
          <w:rFonts w:ascii="Arial" w:cs="Arial" w:eastAsia="Arial" w:hAnsi="Arial"/>
          <w:sz w:val="19"/>
          <w:szCs w:val="19"/>
          <w:color w:val="auto"/>
        </w:rPr>
      </w:pPr>
    </w:p>
    <w:p>
      <w:pPr>
        <w:ind w:left="660" w:right="180"/>
        <w:spacing w:after="0" w:line="292" w:lineRule="auto"/>
        <w:rPr>
          <w:rFonts w:ascii="Arial" w:cs="Arial" w:eastAsia="Arial" w:hAnsi="Arial"/>
          <w:sz w:val="19"/>
          <w:szCs w:val="19"/>
          <w:color w:val="auto"/>
        </w:rPr>
      </w:pPr>
      <w:r>
        <w:rPr>
          <w:rFonts w:ascii="Arial" w:cs="Arial" w:eastAsia="Arial" w:hAnsi="Arial"/>
          <w:sz w:val="20"/>
          <w:szCs w:val="20"/>
          <w:color w:val="auto"/>
        </w:rPr>
        <w:t>given any works council (ondernemingsraad) that under the Works Councils Act (Wet op de ondernemingsraden) has the right to give advice in relation to the entry into and performance of the Credit Documents, the opportunity to give such advice and has obtained unconditional positive advice from such works council.</w:t>
      </w:r>
    </w:p>
    <w:p>
      <w:pPr>
        <w:spacing w:after="0" w:line="187" w:lineRule="exact"/>
        <w:rPr>
          <w:sz w:val="20"/>
          <w:szCs w:val="20"/>
          <w:color w:val="auto"/>
        </w:rPr>
      </w:pPr>
    </w:p>
    <w:p>
      <w:pPr>
        <w:ind w:left="660"/>
        <w:spacing w:after="0"/>
        <w:tabs>
          <w:tab w:leader="none" w:pos="1160" w:val="left"/>
        </w:tabs>
        <w:rPr>
          <w:sz w:val="20"/>
          <w:szCs w:val="20"/>
          <w:color w:val="auto"/>
        </w:rPr>
      </w:pPr>
      <w:r>
        <w:rPr>
          <w:rFonts w:ascii="Arial" w:cs="Arial" w:eastAsia="Arial" w:hAnsi="Arial"/>
          <w:sz w:val="20"/>
          <w:szCs w:val="20"/>
          <w:color w:val="auto"/>
        </w:rPr>
        <w:t>6.22</w:t>
      </w:r>
      <w:r>
        <w:rPr>
          <w:sz w:val="20"/>
          <w:szCs w:val="20"/>
          <w:color w:val="auto"/>
        </w:rPr>
        <w:tab/>
      </w:r>
      <w:r>
        <w:rPr>
          <w:rFonts w:ascii="Arial" w:cs="Arial" w:eastAsia="Arial" w:hAnsi="Arial"/>
          <w:sz w:val="18"/>
          <w:szCs w:val="18"/>
          <w:u w:val="single" w:color="auto"/>
          <w:color w:val="auto"/>
        </w:rPr>
        <w:t>Security Agreement</w:t>
      </w:r>
      <w:r>
        <w:rPr>
          <w:rFonts w:ascii="Arial" w:cs="Arial" w:eastAsia="Arial" w:hAnsi="Arial"/>
          <w:sz w:val="18"/>
          <w:szCs w:val="18"/>
          <w:color w:val="auto"/>
        </w:rPr>
        <w:t>.</w:t>
      </w:r>
    </w:p>
    <w:p>
      <w:pPr>
        <w:spacing w:after="0" w:line="270" w:lineRule="exact"/>
        <w:rPr>
          <w:sz w:val="20"/>
          <w:szCs w:val="20"/>
          <w:color w:val="auto"/>
        </w:rPr>
      </w:pPr>
    </w:p>
    <w:p>
      <w:pPr>
        <w:ind w:left="1700" w:hanging="395"/>
        <w:spacing w:after="0"/>
        <w:tabs>
          <w:tab w:leader="none" w:pos="1700" w:val="left"/>
        </w:tabs>
        <w:numPr>
          <w:ilvl w:val="0"/>
          <w:numId w:val="197"/>
        </w:numPr>
        <w:rPr>
          <w:rFonts w:ascii="Arial" w:cs="Arial" w:eastAsia="Arial" w:hAnsi="Arial"/>
          <w:sz w:val="18"/>
          <w:szCs w:val="18"/>
          <w:color w:val="auto"/>
        </w:rPr>
      </w:pPr>
      <w:r>
        <w:rPr>
          <w:rFonts w:ascii="Arial" w:cs="Arial" w:eastAsia="Arial" w:hAnsi="Arial"/>
          <w:sz w:val="18"/>
          <w:szCs w:val="18"/>
          <w:u w:val="single" w:color="auto"/>
          <w:color w:val="auto"/>
        </w:rPr>
        <w:t>Domestic Security Agreement</w:t>
      </w:r>
      <w:r>
        <w:rPr>
          <w:rFonts w:ascii="Arial" w:cs="Arial" w:eastAsia="Arial" w:hAnsi="Arial"/>
          <w:sz w:val="18"/>
          <w:szCs w:val="18"/>
          <w:color w:val="auto"/>
        </w:rPr>
        <w:t>. The Domestic Security Agreement is effective to create in favor of the Domestic Collateral</w:t>
      </w:r>
    </w:p>
    <w:p>
      <w:pPr>
        <w:spacing w:after="0" w:line="76" w:lineRule="exact"/>
        <w:rPr>
          <w:rFonts w:ascii="Arial" w:cs="Arial" w:eastAsia="Arial" w:hAnsi="Arial"/>
          <w:sz w:val="18"/>
          <w:szCs w:val="18"/>
          <w:color w:val="auto"/>
        </w:rPr>
      </w:pPr>
    </w:p>
    <w:p>
      <w:pPr>
        <w:ind w:left="660" w:right="100"/>
        <w:spacing w:after="0" w:line="286" w:lineRule="auto"/>
        <w:rPr>
          <w:rFonts w:ascii="Arial" w:cs="Arial" w:eastAsia="Arial" w:hAnsi="Arial"/>
          <w:sz w:val="18"/>
          <w:szCs w:val="18"/>
          <w:color w:val="auto"/>
        </w:rPr>
      </w:pPr>
      <w:r>
        <w:rPr>
          <w:rFonts w:ascii="Arial" w:cs="Arial" w:eastAsia="Arial" w:hAnsi="Arial"/>
          <w:sz w:val="20"/>
          <w:szCs w:val="20"/>
          <w:color w:val="auto"/>
        </w:rPr>
        <w:t>Agent, for the ratable benefit of the holders of the secured obligations identified therein, a legal, valid and enforceable security interest in the Collateral of such Credit Party identified therein in which a security interest may be created by execution of the Domestic Security Agreement under Article 9 of the UCC, except to the extent the enforceability thereof may be limited by applicable Debtor Relief Laws affecting creditors’ rights generally and by equitable principles of law (regardless of whether enforcement is sought in equity or at law) and, when UCC financing statements (or other appropriate notices) in appropriate form are duly filed at the locations identified in the Domestic Security Agreement, the</w:t>
      </w: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141</w:t>
      </w:r>
    </w:p>
    <w:p>
      <w:pPr>
        <w:spacing w:after="0" w:line="10" w:lineRule="exact"/>
        <w:rPr>
          <w:sz w:val="20"/>
          <w:szCs w:val="20"/>
          <w:color w:val="auto"/>
        </w:rPr>
      </w:pPr>
    </w:p>
    <w:p>
      <w:pPr>
        <w:spacing w:after="0"/>
        <w:rPr>
          <w:sz w:val="20"/>
          <w:szCs w:val="20"/>
          <w:color w:val="auto"/>
        </w:rPr>
      </w:pPr>
      <w:r>
        <w:rPr>
          <w:rFonts w:ascii="Arial" w:cs="Arial" w:eastAsia="Arial" w:hAnsi="Arial"/>
          <w:sz w:val="14"/>
          <w:szCs w:val="14"/>
          <w:color w:val="auto"/>
        </w:rPr>
        <w:t>CHAR1\1346423v</w:t>
      </w:r>
      <w:r>
        <w:rPr>
          <w:rFonts w:ascii="Arial" w:cs="Arial" w:eastAsia="Arial" w:hAnsi="Arial"/>
          <w:sz w:val="14"/>
          <w:szCs w:val="14"/>
          <w:color w:val="FF0000"/>
          <w:strike w:val="1"/>
        </w:rPr>
        <w:t>1</w:t>
      </w:r>
      <w:r>
        <w:rPr>
          <w:rFonts w:ascii="Arial" w:cs="Arial" w:eastAsia="Arial" w:hAnsi="Arial"/>
          <w:sz w:val="14"/>
          <w:szCs w:val="14"/>
          <w:u w:val="single" w:color="auto"/>
          <w:color w:val="0000FF"/>
        </w:rPr>
        <w:t>12</w:t>
      </w:r>
    </w:p>
    <w:p>
      <w:pPr>
        <w:sectPr>
          <w:pgSz w:w="11900" w:h="16838" w:orient="portrait"/>
          <w:cols w:equalWidth="0" w:num="1">
            <w:col w:w="11420"/>
          </w:cols>
          <w:pgMar w:left="240" w:top="609" w:right="239" w:bottom="1440" w:gutter="0" w:footer="0" w:header="0"/>
        </w:sectPr>
      </w:pPr>
    </w:p>
    <w:bookmarkStart w:id="193" w:name="page194"/>
    <w:bookmarkEnd w:id="193"/>
    <w:p>
      <w:pPr>
        <w:ind w:left="660" w:right="220"/>
        <w:spacing w:after="0" w:line="292" w:lineRule="auto"/>
        <w:rPr>
          <w:sz w:val="20"/>
          <w:szCs w:val="20"/>
          <w:color w:val="auto"/>
        </w:rPr>
      </w:pPr>
      <w:r>
        <w:rPr>
          <w:rFonts w:ascii="Arial" w:cs="Arial" w:eastAsia="Arial" w:hAnsi="Arial"/>
          <w:sz w:val="20"/>
          <w:szCs w:val="20"/>
          <w:color w:val="auto"/>
        </w:rPr>
        <w:t>Domestic Security Agreement shall create a fully perfected Lien on, and security interest in, all right, title and interest of the grantors thereunder in such Collateral to the extent such security interest can be perfected by filing under the UCC, in each case prior and superior in right to any other Lien (other than Permitted Liens).</w:t>
      </w:r>
    </w:p>
    <w:p>
      <w:pPr>
        <w:spacing w:after="0" w:line="187" w:lineRule="exact"/>
        <w:rPr>
          <w:sz w:val="20"/>
          <w:szCs w:val="20"/>
          <w:color w:val="auto"/>
        </w:rPr>
      </w:pPr>
    </w:p>
    <w:p>
      <w:pPr>
        <w:ind w:left="1720" w:hanging="415"/>
        <w:spacing w:after="0"/>
        <w:tabs>
          <w:tab w:leader="none" w:pos="1720" w:val="left"/>
        </w:tabs>
        <w:numPr>
          <w:ilvl w:val="0"/>
          <w:numId w:val="198"/>
        </w:numPr>
        <w:rPr>
          <w:rFonts w:ascii="Arial" w:cs="Arial" w:eastAsia="Arial" w:hAnsi="Arial"/>
          <w:sz w:val="18"/>
          <w:szCs w:val="18"/>
          <w:color w:val="auto"/>
        </w:rPr>
      </w:pPr>
      <w:r>
        <w:rPr>
          <w:rFonts w:ascii="Arial" w:cs="Arial" w:eastAsia="Arial" w:hAnsi="Arial"/>
          <w:sz w:val="18"/>
          <w:szCs w:val="18"/>
          <w:u w:val="single" w:color="auto"/>
          <w:color w:val="FF0000"/>
          <w:strike w:val="1"/>
        </w:rPr>
        <w:t>Foreign Security Agreement</w:t>
      </w:r>
      <w:r>
        <w:rPr>
          <w:rFonts w:ascii="Arial" w:cs="Arial" w:eastAsia="Arial" w:hAnsi="Arial"/>
          <w:sz w:val="18"/>
          <w:szCs w:val="18"/>
          <w:color w:val="FF0000"/>
          <w:strike w:val="1"/>
        </w:rPr>
        <w:t>. The Foreign Security Agreement is effective to create in favor of the Foreign Collateral</w:t>
      </w:r>
    </w:p>
    <w:p>
      <w:pPr>
        <w:spacing w:after="0" w:line="76" w:lineRule="exact"/>
        <w:rPr>
          <w:rFonts w:ascii="Arial" w:cs="Arial" w:eastAsia="Arial" w:hAnsi="Arial"/>
          <w:sz w:val="18"/>
          <w:szCs w:val="18"/>
          <w:color w:val="auto"/>
        </w:rPr>
      </w:pPr>
    </w:p>
    <w:p>
      <w:pPr>
        <w:ind w:left="660" w:right="240"/>
        <w:spacing w:after="0" w:line="321" w:lineRule="auto"/>
        <w:rPr>
          <w:rFonts w:ascii="Arial" w:cs="Arial" w:eastAsia="Arial" w:hAnsi="Arial"/>
          <w:sz w:val="18"/>
          <w:szCs w:val="18"/>
          <w:color w:val="auto"/>
        </w:rPr>
      </w:pPr>
      <w:r>
        <w:rPr>
          <w:rFonts w:ascii="Arial" w:cs="Arial" w:eastAsia="Arial" w:hAnsi="Arial"/>
          <w:sz w:val="18"/>
          <w:szCs w:val="18"/>
          <w:color w:val="FF0000"/>
          <w:strike w:val="1"/>
        </w:rPr>
        <w:t>Agent, for the ratable benefit of the holders of the secured obligations identified therein, a legal, valid and enforceable Lien in the Collateral of such Credit Party identified therein in which a Lien may be created by the execution of the Foreign Security Agreement under applicable law, except to the extent the enforceability thereof may be limited by applicable Debtor Relief Laws affecting creditors’ rights generally and by equitable principles of law (regardless of whether enforcement is sought in equity or at law) and, when appropriate notices and filings have been made in the appropriate jurisdictions, the Foreign Security Agreement shall create a fully perfected Lien on, and security interest in, all right, title and interest of the grantors thereunder in such Collateral, in each case prior and superior in right to any other Lien (other than Permitted Liens).</w:t>
      </w:r>
      <w:r>
        <w:rPr>
          <w:rFonts w:ascii="Arial" w:cs="Arial" w:eastAsia="Arial" w:hAnsi="Arial"/>
          <w:sz w:val="18"/>
          <w:szCs w:val="18"/>
          <w:u w:val="single" w:color="auto"/>
          <w:color w:val="0000FF"/>
          <w:strike w:val="1"/>
        </w:rPr>
        <w:t>[Intentionally Omitted].</w:t>
      </w:r>
    </w:p>
    <w:p>
      <w:pPr>
        <w:spacing w:after="0" w:line="168" w:lineRule="exact"/>
        <w:rPr>
          <w:rFonts w:ascii="Arial" w:cs="Arial" w:eastAsia="Arial" w:hAnsi="Arial"/>
          <w:sz w:val="18"/>
          <w:szCs w:val="18"/>
          <w:color w:val="auto"/>
        </w:rPr>
      </w:pPr>
    </w:p>
    <w:p>
      <w:pPr>
        <w:ind w:left="1700" w:hanging="395"/>
        <w:spacing w:after="0"/>
        <w:tabs>
          <w:tab w:leader="none" w:pos="1700" w:val="left"/>
        </w:tabs>
        <w:numPr>
          <w:ilvl w:val="0"/>
          <w:numId w:val="198"/>
        </w:numPr>
        <w:rPr>
          <w:rFonts w:ascii="Arial" w:cs="Arial" w:eastAsia="Arial" w:hAnsi="Arial"/>
          <w:sz w:val="19"/>
          <w:szCs w:val="19"/>
          <w:color w:val="auto"/>
        </w:rPr>
      </w:pPr>
      <w:r>
        <w:rPr>
          <w:rFonts w:ascii="Arial" w:cs="Arial" w:eastAsia="Arial" w:hAnsi="Arial"/>
          <w:sz w:val="19"/>
          <w:szCs w:val="19"/>
          <w:u w:val="single" w:color="auto"/>
          <w:color w:val="FF0000"/>
          <w:strike w:val="1"/>
        </w:rPr>
        <w:t>India Security Agreement</w:t>
      </w:r>
      <w:r>
        <w:rPr>
          <w:rFonts w:ascii="Arial" w:cs="Arial" w:eastAsia="Arial" w:hAnsi="Arial"/>
          <w:sz w:val="19"/>
          <w:szCs w:val="19"/>
          <w:color w:val="FF0000"/>
          <w:strike w:val="1"/>
        </w:rPr>
        <w:t>. The India Security Agreement, if any, is effective to create in favor of the India Collateral</w:t>
      </w:r>
    </w:p>
    <w:p>
      <w:pPr>
        <w:spacing w:after="0" w:line="65" w:lineRule="exact"/>
        <w:rPr>
          <w:rFonts w:ascii="Arial" w:cs="Arial" w:eastAsia="Arial" w:hAnsi="Arial"/>
          <w:sz w:val="19"/>
          <w:szCs w:val="19"/>
          <w:color w:val="auto"/>
        </w:rPr>
      </w:pPr>
    </w:p>
    <w:p>
      <w:pPr>
        <w:ind w:left="660"/>
        <w:spacing w:after="0" w:line="302" w:lineRule="auto"/>
        <w:rPr>
          <w:rFonts w:ascii="Arial" w:cs="Arial" w:eastAsia="Arial" w:hAnsi="Arial"/>
          <w:sz w:val="19"/>
          <w:szCs w:val="19"/>
          <w:color w:val="auto"/>
        </w:rPr>
      </w:pPr>
      <w:r>
        <w:rPr>
          <w:rFonts w:ascii="Arial" w:cs="Arial" w:eastAsia="Arial" w:hAnsi="Arial"/>
          <w:sz w:val="19"/>
          <w:szCs w:val="19"/>
          <w:color w:val="FF0000"/>
          <w:strike w:val="1"/>
        </w:rPr>
        <w:t>Agent, for the ratable benefit of the holders of the secured obligations identified therein, a legal, valid and enforceable Lien in the Collateral of such Credit Party identified therein in which a Lien may be created by the execution of the India Security Agreement under applicable law, except to the extent the enforceability thereof may be limited by applicable Debtor Relief Laws affecting creditors’ rights generally and by equitable principles of law (regardless of whether enforcement is sought in equity or at law) and, when appropriate notices and filings have been made in the appropriate jurisdictions, the India Security Agreement shall create a fully perfected Lien on, and security interest in, all right, title and interest of the grantors thereunder in such Collateral, in each case prior and superior in right to any other Lien (other than Permitted Liens).</w:t>
      </w:r>
      <w:r>
        <w:rPr>
          <w:rFonts w:ascii="Arial" w:cs="Arial" w:eastAsia="Arial" w:hAnsi="Arial"/>
          <w:sz w:val="19"/>
          <w:szCs w:val="19"/>
          <w:u w:val="single" w:color="auto"/>
          <w:color w:val="0000FF"/>
          <w:strike w:val="1"/>
        </w:rPr>
        <w:t>[Intentionally Omitted].</w:t>
      </w:r>
    </w:p>
    <w:p>
      <w:pPr>
        <w:spacing w:after="0" w:line="182" w:lineRule="exact"/>
        <w:rPr>
          <w:sz w:val="20"/>
          <w:szCs w:val="20"/>
          <w:color w:val="auto"/>
        </w:rPr>
      </w:pPr>
    </w:p>
    <w:p>
      <w:pPr>
        <w:ind w:left="660"/>
        <w:spacing w:after="0"/>
        <w:tabs>
          <w:tab w:leader="none" w:pos="1160" w:val="left"/>
        </w:tabs>
        <w:rPr>
          <w:sz w:val="20"/>
          <w:szCs w:val="20"/>
          <w:color w:val="auto"/>
        </w:rPr>
      </w:pPr>
      <w:r>
        <w:rPr>
          <w:rFonts w:ascii="Arial" w:cs="Arial" w:eastAsia="Arial" w:hAnsi="Arial"/>
          <w:sz w:val="20"/>
          <w:szCs w:val="20"/>
          <w:color w:val="auto"/>
        </w:rPr>
        <w:t>6.23</w:t>
      </w:r>
      <w:r>
        <w:rPr>
          <w:sz w:val="20"/>
          <w:szCs w:val="20"/>
          <w:color w:val="auto"/>
        </w:rPr>
        <w:tab/>
      </w:r>
      <w:r>
        <w:rPr>
          <w:rFonts w:ascii="Arial" w:cs="Arial" w:eastAsia="Arial" w:hAnsi="Arial"/>
          <w:sz w:val="16"/>
          <w:szCs w:val="16"/>
          <w:u w:val="single" w:color="auto"/>
          <w:color w:val="auto"/>
        </w:rPr>
        <w:t>Pledge Agreement</w:t>
      </w:r>
      <w:r>
        <w:rPr>
          <w:rFonts w:ascii="Arial" w:cs="Arial" w:eastAsia="Arial" w:hAnsi="Arial"/>
          <w:sz w:val="16"/>
          <w:szCs w:val="16"/>
          <w:color w:val="auto"/>
        </w:rPr>
        <w:t>.</w:t>
      </w:r>
    </w:p>
    <w:p>
      <w:pPr>
        <w:spacing w:after="0" w:line="270" w:lineRule="exact"/>
        <w:rPr>
          <w:sz w:val="20"/>
          <w:szCs w:val="20"/>
          <w:color w:val="auto"/>
        </w:rPr>
      </w:pPr>
    </w:p>
    <w:p>
      <w:pPr>
        <w:ind w:left="1700" w:hanging="395"/>
        <w:spacing w:after="0"/>
        <w:tabs>
          <w:tab w:leader="none" w:pos="1700" w:val="left"/>
        </w:tabs>
        <w:numPr>
          <w:ilvl w:val="0"/>
          <w:numId w:val="199"/>
        </w:numPr>
        <w:rPr>
          <w:rFonts w:ascii="Arial" w:cs="Arial" w:eastAsia="Arial" w:hAnsi="Arial"/>
          <w:sz w:val="18"/>
          <w:szCs w:val="18"/>
          <w:color w:val="auto"/>
        </w:rPr>
      </w:pPr>
      <w:r>
        <w:rPr>
          <w:rFonts w:ascii="Arial" w:cs="Arial" w:eastAsia="Arial" w:hAnsi="Arial"/>
          <w:sz w:val="18"/>
          <w:szCs w:val="18"/>
          <w:u w:val="single" w:color="auto"/>
          <w:color w:val="auto"/>
        </w:rPr>
        <w:t>Domestic Pledge Agreement</w:t>
      </w:r>
      <w:r>
        <w:rPr>
          <w:rFonts w:ascii="Arial" w:cs="Arial" w:eastAsia="Arial" w:hAnsi="Arial"/>
          <w:sz w:val="18"/>
          <w:szCs w:val="18"/>
          <w:color w:val="auto"/>
        </w:rPr>
        <w:t>. The Domestic Pledge Agreement is effective to create in favor of the Domestic Collateral</w:t>
      </w:r>
    </w:p>
    <w:p>
      <w:pPr>
        <w:spacing w:after="0" w:line="76" w:lineRule="exact"/>
        <w:rPr>
          <w:rFonts w:ascii="Arial" w:cs="Arial" w:eastAsia="Arial" w:hAnsi="Arial"/>
          <w:sz w:val="18"/>
          <w:szCs w:val="18"/>
          <w:color w:val="auto"/>
        </w:rPr>
      </w:pPr>
    </w:p>
    <w:p>
      <w:pPr>
        <w:ind w:left="660" w:right="20"/>
        <w:spacing w:after="0" w:line="301" w:lineRule="auto"/>
        <w:rPr>
          <w:rFonts w:ascii="Arial" w:cs="Arial" w:eastAsia="Arial" w:hAnsi="Arial"/>
          <w:sz w:val="18"/>
          <w:szCs w:val="18"/>
          <w:color w:val="auto"/>
        </w:rPr>
      </w:pPr>
      <w:r>
        <w:rPr>
          <w:rFonts w:ascii="Arial" w:cs="Arial" w:eastAsia="Arial" w:hAnsi="Arial"/>
          <w:sz w:val="19"/>
          <w:szCs w:val="19"/>
          <w:color w:val="auto"/>
        </w:rPr>
        <w:t>Agent, for the ratable benefit of the holders of the secured obligations identified therein, a legal, valid and enforceable security interest in the Collateral of such Credit Party identified therein in which a security interest may be created by execution of the Domestic Pledge Agreement under Article 9 of the UCC, except to the extent the enforceability thereof may be limited by applicable Debtor Relief Laws affecting creditors’ rights generally and by equitable principles of law (regardless of whether enforcement is sought in equity or at law) and the Domestic Pledge Agreement shall create a fully perfected Lien on, and security interest in, all right, title and interest of the pledgors thereunder in such Collateral, in each case prior and superior in right to any other Lien (other than Permitted Liens) (i) with respect to any such Collateral that is a “security” (as such term is defined in the UCC) and is evidenced by a certificate, when such Collateral is delivered to the Collateral Agent with duly</w:t>
      </w: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142</w:t>
      </w:r>
    </w:p>
    <w:p>
      <w:pPr>
        <w:spacing w:after="0" w:line="10" w:lineRule="exact"/>
        <w:rPr>
          <w:sz w:val="20"/>
          <w:szCs w:val="20"/>
          <w:color w:val="auto"/>
        </w:rPr>
      </w:pPr>
    </w:p>
    <w:p>
      <w:pPr>
        <w:spacing w:after="0"/>
        <w:rPr>
          <w:sz w:val="20"/>
          <w:szCs w:val="20"/>
          <w:color w:val="auto"/>
        </w:rPr>
      </w:pPr>
      <w:r>
        <w:rPr>
          <w:rFonts w:ascii="Arial" w:cs="Arial" w:eastAsia="Arial" w:hAnsi="Arial"/>
          <w:sz w:val="14"/>
          <w:szCs w:val="14"/>
          <w:color w:val="auto"/>
        </w:rPr>
        <w:t>CHAR1\1346423v</w:t>
      </w:r>
      <w:r>
        <w:rPr>
          <w:rFonts w:ascii="Arial" w:cs="Arial" w:eastAsia="Arial" w:hAnsi="Arial"/>
          <w:sz w:val="14"/>
          <w:szCs w:val="14"/>
          <w:color w:val="FF0000"/>
          <w:strike w:val="1"/>
        </w:rPr>
        <w:t>1</w:t>
      </w:r>
      <w:r>
        <w:rPr>
          <w:rFonts w:ascii="Arial" w:cs="Arial" w:eastAsia="Arial" w:hAnsi="Arial"/>
          <w:sz w:val="14"/>
          <w:szCs w:val="14"/>
          <w:u w:val="single" w:color="auto"/>
          <w:color w:val="0000FF"/>
        </w:rPr>
        <w:t>12</w:t>
      </w:r>
    </w:p>
    <w:p>
      <w:pPr>
        <w:sectPr>
          <w:pgSz w:w="11900" w:h="16838" w:orient="portrait"/>
          <w:cols w:equalWidth="0" w:num="1">
            <w:col w:w="11420"/>
          </w:cols>
          <w:pgMar w:left="240" w:top="609" w:right="239" w:bottom="1440" w:gutter="0" w:footer="0" w:header="0"/>
        </w:sectPr>
      </w:pPr>
    </w:p>
    <w:bookmarkStart w:id="194" w:name="page195"/>
    <w:bookmarkEnd w:id="194"/>
    <w:p>
      <w:pPr>
        <w:ind w:left="660"/>
        <w:spacing w:after="0" w:line="323" w:lineRule="auto"/>
        <w:rPr>
          <w:sz w:val="20"/>
          <w:szCs w:val="20"/>
          <w:color w:val="auto"/>
        </w:rPr>
      </w:pPr>
      <w:r>
        <w:rPr>
          <w:rFonts w:ascii="Arial" w:cs="Arial" w:eastAsia="Arial" w:hAnsi="Arial"/>
          <w:sz w:val="18"/>
          <w:szCs w:val="18"/>
          <w:color w:val="auto"/>
        </w:rPr>
        <w:t>executed stock powers with respect thereto, (ii) with respect to any such Collateral that is a “security” (as such term is defined in the UCC) but is not evidenced by a certificate, when UCC financing statements in appropriate form are filed in the appropriate filing offices in the jurisdiction of organization of the pledgor or when “control” (as such term is defined in the UCC) is established by the Collateral Agent over such interests in accordance with the provision of Section 8-106 of the UCC, or any successor provision, and (iii) with respect to any such Collateral that is not a “security” (as such term is defined in the UCC), when UCC financing statements in appropriate form are filed in the appropriate filing offices in the jurisdiction of organization of the pledgor.</w:t>
      </w:r>
    </w:p>
    <w:p>
      <w:pPr>
        <w:spacing w:after="0" w:line="165" w:lineRule="exact"/>
        <w:rPr>
          <w:sz w:val="20"/>
          <w:szCs w:val="20"/>
          <w:color w:val="auto"/>
        </w:rPr>
      </w:pPr>
    </w:p>
    <w:p>
      <w:pPr>
        <w:ind w:left="1720" w:hanging="415"/>
        <w:spacing w:after="0"/>
        <w:tabs>
          <w:tab w:leader="none" w:pos="1720" w:val="left"/>
        </w:tabs>
        <w:numPr>
          <w:ilvl w:val="0"/>
          <w:numId w:val="200"/>
        </w:numPr>
        <w:rPr>
          <w:rFonts w:ascii="Arial" w:cs="Arial" w:eastAsia="Arial" w:hAnsi="Arial"/>
          <w:sz w:val="18"/>
          <w:szCs w:val="18"/>
          <w:color w:val="auto"/>
        </w:rPr>
      </w:pPr>
      <w:r>
        <w:rPr>
          <w:rFonts w:ascii="Arial" w:cs="Arial" w:eastAsia="Arial" w:hAnsi="Arial"/>
          <w:sz w:val="18"/>
          <w:szCs w:val="18"/>
          <w:u w:val="single" w:color="auto"/>
          <w:color w:val="auto"/>
        </w:rPr>
        <w:t>Foreign Pledge Agreement</w:t>
      </w:r>
      <w:r>
        <w:rPr>
          <w:rFonts w:ascii="Arial" w:cs="Arial" w:eastAsia="Arial" w:hAnsi="Arial"/>
          <w:sz w:val="18"/>
          <w:szCs w:val="18"/>
          <w:color w:val="auto"/>
        </w:rPr>
        <w:t>. The Foreign Pledge Agreement is effective to create in favor of the Foreign Collateral Agent,</w:t>
      </w:r>
    </w:p>
    <w:p>
      <w:pPr>
        <w:spacing w:after="0" w:line="76" w:lineRule="exact"/>
        <w:rPr>
          <w:rFonts w:ascii="Arial" w:cs="Arial" w:eastAsia="Arial" w:hAnsi="Arial"/>
          <w:sz w:val="18"/>
          <w:szCs w:val="18"/>
          <w:color w:val="auto"/>
        </w:rPr>
      </w:pPr>
    </w:p>
    <w:p>
      <w:pPr>
        <w:ind w:left="660" w:right="20"/>
        <w:spacing w:after="0" w:line="323" w:lineRule="auto"/>
        <w:rPr>
          <w:rFonts w:ascii="Arial" w:cs="Arial" w:eastAsia="Arial" w:hAnsi="Arial"/>
          <w:sz w:val="18"/>
          <w:szCs w:val="18"/>
          <w:color w:val="auto"/>
        </w:rPr>
      </w:pPr>
      <w:r>
        <w:rPr>
          <w:rFonts w:ascii="Arial" w:cs="Arial" w:eastAsia="Arial" w:hAnsi="Arial"/>
          <w:sz w:val="18"/>
          <w:szCs w:val="18"/>
          <w:color w:val="auto"/>
        </w:rPr>
        <w:t>for the ratable benefit of the holders of the secured obligations identified therein, a legal, valid and enforceable Lien in the Collateral of such Credit Party identified therein in which a Lien may be created by the execution of the Foreign Pledge Agreement under applicable law, except to the extent the enforceability thereof may be limited by applicable Debtor Relief Laws affecting creditors’ rights generally and by equitable principles of law (regardless of whether enforcement is sought in equity or at law) and the Foreign Pledge Agreement shall create a fully perfected Lien on, and security interest in, all right, title and interest of the pledgors thereunder in such Collateral, in each case prior and superior in right to any other Lien (other than Permitted Liens).</w:t>
      </w:r>
    </w:p>
    <w:p>
      <w:pPr>
        <w:spacing w:after="0" w:line="165" w:lineRule="exact"/>
        <w:rPr>
          <w:rFonts w:ascii="Arial" w:cs="Arial" w:eastAsia="Arial" w:hAnsi="Arial"/>
          <w:sz w:val="18"/>
          <w:szCs w:val="18"/>
          <w:color w:val="auto"/>
        </w:rPr>
      </w:pPr>
    </w:p>
    <w:p>
      <w:pPr>
        <w:ind w:left="1700" w:hanging="395"/>
        <w:spacing w:after="0"/>
        <w:tabs>
          <w:tab w:leader="none" w:pos="1700" w:val="left"/>
        </w:tabs>
        <w:numPr>
          <w:ilvl w:val="0"/>
          <w:numId w:val="200"/>
        </w:numPr>
        <w:rPr>
          <w:rFonts w:ascii="Arial" w:cs="Arial" w:eastAsia="Arial" w:hAnsi="Arial"/>
          <w:sz w:val="18"/>
          <w:szCs w:val="18"/>
          <w:color w:val="auto"/>
        </w:rPr>
      </w:pPr>
      <w:r>
        <w:rPr>
          <w:rFonts w:ascii="Arial" w:cs="Arial" w:eastAsia="Arial" w:hAnsi="Arial"/>
          <w:sz w:val="18"/>
          <w:szCs w:val="18"/>
          <w:u w:val="single" w:color="auto"/>
          <w:color w:val="auto"/>
        </w:rPr>
        <w:t>India Pledge Agreement</w:t>
      </w:r>
      <w:r>
        <w:rPr>
          <w:rFonts w:ascii="Arial" w:cs="Arial" w:eastAsia="Arial" w:hAnsi="Arial"/>
          <w:sz w:val="18"/>
          <w:szCs w:val="18"/>
          <w:color w:val="auto"/>
        </w:rPr>
        <w:t>. The India Pledge Agreement, if any, is effective to create in favor of the India Collateral Agent,</w:t>
      </w:r>
    </w:p>
    <w:p>
      <w:pPr>
        <w:spacing w:after="0" w:line="76" w:lineRule="exact"/>
        <w:rPr>
          <w:rFonts w:ascii="Arial" w:cs="Arial" w:eastAsia="Arial" w:hAnsi="Arial"/>
          <w:sz w:val="18"/>
          <w:szCs w:val="18"/>
          <w:color w:val="auto"/>
        </w:rPr>
      </w:pPr>
    </w:p>
    <w:p>
      <w:pPr>
        <w:ind w:left="660" w:right="20"/>
        <w:spacing w:after="0" w:line="303" w:lineRule="auto"/>
        <w:rPr>
          <w:rFonts w:ascii="Arial" w:cs="Arial" w:eastAsia="Arial" w:hAnsi="Arial"/>
          <w:sz w:val="18"/>
          <w:szCs w:val="18"/>
          <w:color w:val="auto"/>
        </w:rPr>
      </w:pPr>
      <w:r>
        <w:rPr>
          <w:rFonts w:ascii="Arial" w:cs="Arial" w:eastAsia="Arial" w:hAnsi="Arial"/>
          <w:sz w:val="19"/>
          <w:szCs w:val="19"/>
          <w:color w:val="auto"/>
        </w:rPr>
        <w:t>for the ratable benefit of the holders of the secured obligations identified therein, a legal, valid and enforceable Lien in the Collateral of such Credit Party identified therein in which a Lien may be created by the execution of the India Pledge Agreement under applicable law, except to the extent the enforceability thereof may be limited by applicable Debtor Relief Laws affecting creditors’ rights generally and by equitable principles of law (regardless of whether enforcement is sought in equity or at law) and the India Pledge Agreement shall create a fully perfected Lien on, and security interest in, all right, title and interest of the pledgors thereunder in such Collateral, in each case prior and superior in right to any other Lien (other than Permitted Liens).</w:t>
      </w:r>
    </w:p>
    <w:p>
      <w:pPr>
        <w:spacing w:after="0" w:line="182" w:lineRule="exact"/>
        <w:rPr>
          <w:sz w:val="20"/>
          <w:szCs w:val="20"/>
          <w:color w:val="auto"/>
        </w:rPr>
      </w:pPr>
    </w:p>
    <w:p>
      <w:pPr>
        <w:ind w:right="320" w:firstLine="648"/>
        <w:spacing w:after="0" w:line="346" w:lineRule="auto"/>
        <w:rPr>
          <w:sz w:val="20"/>
          <w:szCs w:val="20"/>
          <w:color w:val="auto"/>
        </w:rPr>
      </w:pPr>
      <w:r>
        <w:rPr>
          <w:rFonts w:ascii="Arial" w:cs="Arial" w:eastAsia="Arial" w:hAnsi="Arial"/>
          <w:sz w:val="18"/>
          <w:szCs w:val="18"/>
          <w:color w:val="auto"/>
        </w:rPr>
        <w:t xml:space="preserve">6.24 </w:t>
      </w:r>
      <w:r>
        <w:rPr>
          <w:rFonts w:ascii="Arial" w:cs="Arial" w:eastAsia="Arial" w:hAnsi="Arial"/>
          <w:sz w:val="18"/>
          <w:szCs w:val="18"/>
          <w:u w:val="single" w:color="auto"/>
          <w:color w:val="0000FF"/>
        </w:rPr>
        <w:t>Sanctions. No Credit Party, nor any Subsidiary of a Credit Party, nor to the knowledge of the Credit Parties and their</w:t>
      </w:r>
      <w:r>
        <w:rPr>
          <w:rFonts w:ascii="Arial" w:cs="Arial" w:eastAsia="Arial" w:hAnsi="Arial"/>
          <w:sz w:val="18"/>
          <w:szCs w:val="18"/>
          <w:color w:val="auto"/>
        </w:rPr>
        <w:t xml:space="preserve"> </w:t>
      </w:r>
      <w:r>
        <w:rPr>
          <w:rFonts w:ascii="Arial" w:cs="Arial" w:eastAsia="Arial" w:hAnsi="Arial"/>
          <w:sz w:val="18"/>
          <w:szCs w:val="18"/>
          <w:u w:val="single" w:color="auto"/>
          <w:color w:val="0000FF"/>
        </w:rPr>
        <w:t>Subsidiaries, any director, officer, employee, agent, affiliate or representative thereof is an individual or entity currently the subject of any Sanctions, nor is any Credit Party or any Subsidiary of a Credit Party unlawfully located, organized or resident in a Designated Jurisdiction.</w:t>
      </w:r>
    </w:p>
    <w:p>
      <w:pPr>
        <w:spacing w:after="0" w:line="395" w:lineRule="exact"/>
        <w:rPr>
          <w:sz w:val="20"/>
          <w:szCs w:val="20"/>
          <w:color w:val="auto"/>
        </w:rPr>
      </w:pPr>
    </w:p>
    <w:p>
      <w:pPr>
        <w:jc w:val="center"/>
        <w:ind w:right="200"/>
        <w:spacing w:after="0"/>
        <w:rPr>
          <w:sz w:val="20"/>
          <w:szCs w:val="20"/>
          <w:color w:val="auto"/>
        </w:rPr>
      </w:pPr>
      <w:r>
        <w:rPr>
          <w:rFonts w:ascii="Arial" w:cs="Arial" w:eastAsia="Arial" w:hAnsi="Arial"/>
          <w:sz w:val="20"/>
          <w:szCs w:val="20"/>
          <w:b w:val="1"/>
          <w:bCs w:val="1"/>
          <w:color w:val="auto"/>
        </w:rPr>
        <w:t>ARTICLE VII</w:t>
      </w:r>
    </w:p>
    <w:p>
      <w:pPr>
        <w:spacing w:after="0" w:line="324" w:lineRule="exact"/>
        <w:rPr>
          <w:sz w:val="20"/>
          <w:szCs w:val="20"/>
          <w:color w:val="auto"/>
        </w:rPr>
      </w:pPr>
    </w:p>
    <w:p>
      <w:pPr>
        <w:jc w:val="center"/>
        <w:ind w:right="-39"/>
        <w:spacing w:after="0"/>
        <w:rPr>
          <w:sz w:val="20"/>
          <w:szCs w:val="20"/>
          <w:color w:val="auto"/>
        </w:rPr>
      </w:pPr>
      <w:r>
        <w:rPr>
          <w:rFonts w:ascii="Arial" w:cs="Arial" w:eastAsia="Arial" w:hAnsi="Arial"/>
          <w:sz w:val="20"/>
          <w:szCs w:val="20"/>
          <w:b w:val="1"/>
          <w:bCs w:val="1"/>
          <w:color w:val="auto"/>
        </w:rPr>
        <w:t>AFFIRMATIVE COVENANTS</w:t>
      </w:r>
    </w:p>
    <w:p>
      <w:pPr>
        <w:spacing w:after="0" w:line="235" w:lineRule="exact"/>
        <w:rPr>
          <w:sz w:val="20"/>
          <w:szCs w:val="20"/>
          <w:color w:val="auto"/>
        </w:rPr>
      </w:pPr>
    </w:p>
    <w:p>
      <w:pPr>
        <w:ind w:right="300" w:firstLine="648"/>
        <w:spacing w:after="0" w:line="260" w:lineRule="auto"/>
        <w:rPr>
          <w:sz w:val="20"/>
          <w:szCs w:val="20"/>
          <w:color w:val="auto"/>
        </w:rPr>
      </w:pPr>
      <w:r>
        <w:rPr>
          <w:rFonts w:ascii="Arial" w:cs="Arial" w:eastAsia="Arial" w:hAnsi="Arial"/>
          <w:sz w:val="20"/>
          <w:szCs w:val="20"/>
          <w:color w:val="auto"/>
        </w:rPr>
        <w:t xml:space="preserve">Until the Loan Obligations shall have been paid in full or otherwise satisfied, and the Commitments hereunder shall have expired or been terminated (and in the case of </w:t>
      </w:r>
      <w:r>
        <w:rPr>
          <w:rFonts w:ascii="Arial" w:cs="Arial" w:eastAsia="Arial" w:hAnsi="Arial"/>
          <w:sz w:val="20"/>
          <w:szCs w:val="20"/>
          <w:u w:val="single" w:color="auto"/>
          <w:color w:val="auto"/>
        </w:rPr>
        <w:t>Sections 7.13</w:t>
      </w:r>
      <w:r>
        <w:rPr>
          <w:rFonts w:ascii="Arial" w:cs="Arial" w:eastAsia="Arial" w:hAnsi="Arial"/>
          <w:sz w:val="20"/>
          <w:szCs w:val="20"/>
          <w:color w:val="auto"/>
        </w:rPr>
        <w:t xml:space="preserve">, </w:t>
      </w:r>
      <w:r>
        <w:rPr>
          <w:rFonts w:ascii="Arial" w:cs="Arial" w:eastAsia="Arial" w:hAnsi="Arial"/>
          <w:sz w:val="20"/>
          <w:szCs w:val="20"/>
          <w:u w:val="single" w:color="auto"/>
          <w:color w:val="auto"/>
        </w:rPr>
        <w:t>7.14</w:t>
      </w:r>
      <w:r>
        <w:rPr>
          <w:rFonts w:ascii="Arial" w:cs="Arial" w:eastAsia="Arial" w:hAnsi="Arial"/>
          <w:sz w:val="20"/>
          <w:szCs w:val="20"/>
          <w:color w:val="auto"/>
        </w:rPr>
        <w:t>,</w:t>
      </w:r>
    </w:p>
    <w:p>
      <w:pPr>
        <w:spacing w:after="0" w:line="200" w:lineRule="exact"/>
        <w:rPr>
          <w:sz w:val="20"/>
          <w:szCs w:val="20"/>
          <w:color w:val="auto"/>
        </w:rPr>
      </w:pPr>
    </w:p>
    <w:p>
      <w:pPr>
        <w:spacing w:after="0" w:line="220" w:lineRule="exact"/>
        <w:rPr>
          <w:sz w:val="20"/>
          <w:szCs w:val="20"/>
          <w:color w:val="auto"/>
        </w:rPr>
      </w:pPr>
    </w:p>
    <w:p>
      <w:pPr>
        <w:jc w:val="center"/>
        <w:ind w:right="-39"/>
        <w:spacing w:after="0"/>
        <w:rPr>
          <w:sz w:val="20"/>
          <w:szCs w:val="20"/>
          <w:color w:val="auto"/>
        </w:rPr>
      </w:pPr>
      <w:r>
        <w:rPr>
          <w:rFonts w:ascii="Arial" w:cs="Arial" w:eastAsia="Arial" w:hAnsi="Arial"/>
          <w:sz w:val="20"/>
          <w:szCs w:val="20"/>
          <w:color w:val="auto"/>
        </w:rPr>
        <w:t>143</w:t>
      </w:r>
    </w:p>
    <w:p>
      <w:pPr>
        <w:spacing w:after="0" w:line="10" w:lineRule="exact"/>
        <w:rPr>
          <w:sz w:val="20"/>
          <w:szCs w:val="20"/>
          <w:color w:val="auto"/>
        </w:rPr>
      </w:pPr>
    </w:p>
    <w:p>
      <w:pPr>
        <w:spacing w:after="0"/>
        <w:rPr>
          <w:sz w:val="20"/>
          <w:szCs w:val="20"/>
          <w:color w:val="auto"/>
        </w:rPr>
      </w:pPr>
      <w:r>
        <w:rPr>
          <w:rFonts w:ascii="Arial" w:cs="Arial" w:eastAsia="Arial" w:hAnsi="Arial"/>
          <w:sz w:val="14"/>
          <w:szCs w:val="14"/>
          <w:color w:val="auto"/>
        </w:rPr>
        <w:t>CHAR1\1346423v</w:t>
      </w:r>
      <w:r>
        <w:rPr>
          <w:rFonts w:ascii="Arial" w:cs="Arial" w:eastAsia="Arial" w:hAnsi="Arial"/>
          <w:sz w:val="14"/>
          <w:szCs w:val="14"/>
          <w:color w:val="FF0000"/>
          <w:strike w:val="1"/>
        </w:rPr>
        <w:t>1</w:t>
      </w:r>
      <w:r>
        <w:rPr>
          <w:rFonts w:ascii="Arial" w:cs="Arial" w:eastAsia="Arial" w:hAnsi="Arial"/>
          <w:sz w:val="14"/>
          <w:szCs w:val="14"/>
          <w:u w:val="single" w:color="auto"/>
          <w:color w:val="0000FF"/>
        </w:rPr>
        <w:t>12</w:t>
      </w:r>
    </w:p>
    <w:p>
      <w:pPr>
        <w:sectPr>
          <w:pgSz w:w="11900" w:h="16838" w:orient="portrait"/>
          <w:cols w:equalWidth="0" w:num="1">
            <w:col w:w="11400"/>
          </w:cols>
          <w:pgMar w:left="240" w:top="609" w:right="259" w:bottom="1440" w:gutter="0" w:footer="0" w:header="0"/>
        </w:sectPr>
      </w:pPr>
    </w:p>
    <w:bookmarkStart w:id="195" w:name="page196"/>
    <w:bookmarkEnd w:id="195"/>
    <w:p>
      <w:pPr>
        <w:ind w:right="160"/>
        <w:spacing w:after="0" w:line="260" w:lineRule="auto"/>
        <w:rPr>
          <w:sz w:val="20"/>
          <w:szCs w:val="20"/>
          <w:color w:val="auto"/>
        </w:rPr>
      </w:pPr>
      <w:r>
        <w:rPr>
          <w:rFonts w:ascii="Arial" w:cs="Arial" w:eastAsia="Arial" w:hAnsi="Arial"/>
          <w:sz w:val="20"/>
          <w:szCs w:val="20"/>
          <w:u w:val="single" w:color="auto"/>
          <w:color w:val="auto"/>
        </w:rPr>
        <w:t>7.15</w:t>
      </w:r>
      <w:r>
        <w:rPr>
          <w:rFonts w:ascii="Arial" w:cs="Arial" w:eastAsia="Arial" w:hAnsi="Arial"/>
          <w:sz w:val="20"/>
          <w:szCs w:val="20"/>
          <w:color w:val="auto"/>
        </w:rPr>
        <w:t xml:space="preserve"> and </w:t>
      </w:r>
      <w:r>
        <w:rPr>
          <w:rFonts w:ascii="Arial" w:cs="Arial" w:eastAsia="Arial" w:hAnsi="Arial"/>
          <w:sz w:val="20"/>
          <w:szCs w:val="20"/>
          <w:u w:val="single" w:color="auto"/>
          <w:color w:val="auto"/>
        </w:rPr>
        <w:t>7.16</w:t>
      </w:r>
      <w:r>
        <w:rPr>
          <w:rFonts w:ascii="Arial" w:cs="Arial" w:eastAsia="Arial" w:hAnsi="Arial"/>
          <w:sz w:val="20"/>
          <w:szCs w:val="20"/>
          <w:color w:val="auto"/>
        </w:rPr>
        <w:t xml:space="preserve">, subject to </w:t>
      </w:r>
      <w:r>
        <w:rPr>
          <w:rFonts w:ascii="Arial" w:cs="Arial" w:eastAsia="Arial" w:hAnsi="Arial"/>
          <w:sz w:val="20"/>
          <w:szCs w:val="20"/>
          <w:u w:val="single" w:color="auto"/>
          <w:color w:val="auto"/>
        </w:rPr>
        <w:t>Section 7.17</w:t>
      </w:r>
      <w:r>
        <w:rPr>
          <w:rFonts w:ascii="Arial" w:cs="Arial" w:eastAsia="Arial" w:hAnsi="Arial"/>
          <w:sz w:val="20"/>
          <w:szCs w:val="20"/>
          <w:color w:val="auto"/>
        </w:rPr>
        <w:t xml:space="preserve">), each of the Credit Parties will, and (except in the case of the covenants set forth in </w:t>
      </w:r>
      <w:r>
        <w:rPr>
          <w:rFonts w:ascii="Arial" w:cs="Arial" w:eastAsia="Arial" w:hAnsi="Arial"/>
          <w:sz w:val="20"/>
          <w:szCs w:val="20"/>
          <w:u w:val="single" w:color="auto"/>
          <w:color w:val="auto"/>
        </w:rPr>
        <w:t>Sections 7.01</w:t>
      </w:r>
      <w:r>
        <w:rPr>
          <w:rFonts w:ascii="Arial" w:cs="Arial" w:eastAsia="Arial" w:hAnsi="Arial"/>
          <w:sz w:val="20"/>
          <w:szCs w:val="20"/>
          <w:color w:val="auto"/>
        </w:rPr>
        <w:t xml:space="preserve">, </w:t>
      </w:r>
      <w:r>
        <w:rPr>
          <w:rFonts w:ascii="Arial" w:cs="Arial" w:eastAsia="Arial" w:hAnsi="Arial"/>
          <w:sz w:val="20"/>
          <w:szCs w:val="20"/>
          <w:u w:val="single" w:color="auto"/>
          <w:color w:val="auto"/>
        </w:rPr>
        <w:t>7.02</w:t>
      </w:r>
      <w:r>
        <w:rPr>
          <w:rFonts w:ascii="Arial" w:cs="Arial" w:eastAsia="Arial" w:hAnsi="Arial"/>
          <w:sz w:val="20"/>
          <w:szCs w:val="20"/>
          <w:color w:val="auto"/>
        </w:rPr>
        <w:t xml:space="preserve"> and </w:t>
      </w:r>
      <w:r>
        <w:rPr>
          <w:rFonts w:ascii="Arial" w:cs="Arial" w:eastAsia="Arial" w:hAnsi="Arial"/>
          <w:sz w:val="20"/>
          <w:szCs w:val="20"/>
          <w:u w:val="single" w:color="auto"/>
          <w:color w:val="auto"/>
        </w:rPr>
        <w:t>7.03</w:t>
      </w:r>
      <w:r>
        <w:rPr>
          <w:rFonts w:ascii="Arial" w:cs="Arial" w:eastAsia="Arial" w:hAnsi="Arial"/>
          <w:sz w:val="20"/>
          <w:szCs w:val="20"/>
          <w:color w:val="auto"/>
        </w:rPr>
        <w:t>) will cause each of its Subsidiaries to:</w:t>
      </w:r>
    </w:p>
    <w:p>
      <w:pPr>
        <w:spacing w:after="0" w:line="204" w:lineRule="exact"/>
        <w:rPr>
          <w:sz w:val="20"/>
          <w:szCs w:val="20"/>
          <w:color w:val="auto"/>
        </w:rPr>
      </w:pPr>
    </w:p>
    <w:p>
      <w:pPr>
        <w:ind w:right="160" w:firstLine="648"/>
        <w:spacing w:after="0" w:line="317" w:lineRule="auto"/>
        <w:rPr>
          <w:sz w:val="20"/>
          <w:szCs w:val="20"/>
          <w:color w:val="auto"/>
        </w:rPr>
      </w:pPr>
      <w:r>
        <w:rPr>
          <w:rFonts w:ascii="Arial" w:cs="Arial" w:eastAsia="Arial" w:hAnsi="Arial"/>
          <w:sz w:val="20"/>
          <w:szCs w:val="20"/>
          <w:color w:val="auto"/>
        </w:rPr>
        <w:t xml:space="preserve">7.01 </w:t>
      </w:r>
      <w:r>
        <w:rPr>
          <w:rFonts w:ascii="Arial" w:cs="Arial" w:eastAsia="Arial" w:hAnsi="Arial"/>
          <w:sz w:val="20"/>
          <w:szCs w:val="20"/>
          <w:u w:val="single" w:color="auto"/>
          <w:color w:val="auto"/>
        </w:rPr>
        <w:t>Financial Statements</w:t>
      </w:r>
      <w:r>
        <w:rPr>
          <w:rFonts w:ascii="Arial" w:cs="Arial" w:eastAsia="Arial" w:hAnsi="Arial"/>
          <w:sz w:val="20"/>
          <w:szCs w:val="20"/>
          <w:color w:val="auto"/>
        </w:rPr>
        <w:t>. Deliver to the Administrative Agent for further distribution to the Lenders, in form and detail reasonably satisfactory to the Administrative Agent and the Required Lenders:</w:t>
      </w:r>
    </w:p>
    <w:p>
      <w:pPr>
        <w:spacing w:after="0" w:line="162" w:lineRule="exact"/>
        <w:rPr>
          <w:sz w:val="20"/>
          <w:szCs w:val="20"/>
          <w:color w:val="auto"/>
        </w:rPr>
      </w:pPr>
    </w:p>
    <w:p>
      <w:pPr>
        <w:ind w:left="1700" w:hanging="395"/>
        <w:spacing w:after="0"/>
        <w:tabs>
          <w:tab w:leader="none" w:pos="1700" w:val="left"/>
        </w:tabs>
        <w:numPr>
          <w:ilvl w:val="0"/>
          <w:numId w:val="201"/>
        </w:numPr>
        <w:rPr>
          <w:rFonts w:ascii="Arial" w:cs="Arial" w:eastAsia="Arial" w:hAnsi="Arial"/>
          <w:sz w:val="18"/>
          <w:szCs w:val="18"/>
          <w:color w:val="auto"/>
        </w:rPr>
      </w:pPr>
      <w:r>
        <w:rPr>
          <w:rFonts w:ascii="Arial" w:cs="Arial" w:eastAsia="Arial" w:hAnsi="Arial"/>
          <w:sz w:val="18"/>
          <w:szCs w:val="18"/>
          <w:color w:val="auto"/>
        </w:rPr>
        <w:t>not later than the earlier of (i) the date such deliveries are required by the SEC and (ii) ninety days after the end of each</w:t>
      </w:r>
    </w:p>
    <w:p>
      <w:pPr>
        <w:spacing w:after="0" w:line="76" w:lineRule="exact"/>
        <w:rPr>
          <w:rFonts w:ascii="Arial" w:cs="Arial" w:eastAsia="Arial" w:hAnsi="Arial"/>
          <w:sz w:val="18"/>
          <w:szCs w:val="18"/>
          <w:color w:val="auto"/>
        </w:rPr>
      </w:pPr>
    </w:p>
    <w:p>
      <w:pPr>
        <w:ind w:left="660" w:right="20"/>
        <w:spacing w:after="0" w:line="321" w:lineRule="auto"/>
        <w:rPr>
          <w:rFonts w:ascii="Arial" w:cs="Arial" w:eastAsia="Arial" w:hAnsi="Arial"/>
          <w:sz w:val="18"/>
          <w:szCs w:val="18"/>
          <w:color w:val="auto"/>
        </w:rPr>
      </w:pPr>
      <w:r>
        <w:rPr>
          <w:rFonts w:ascii="Arial" w:cs="Arial" w:eastAsia="Arial" w:hAnsi="Arial"/>
          <w:sz w:val="18"/>
          <w:szCs w:val="18"/>
          <w:color w:val="auto"/>
        </w:rPr>
        <w:t>fiscal year of EWI, consolidated balance sheets of the Consolidated Group as at the end of such fiscal year (beginning with the fiscal year ending December 31, 2011), and the related consolidated statements of income or operations, shareholders’ equity and cash flows for such fiscal year, setting forth in each case in comparative form the figures for the previous fiscal year, all in reasonable detail and prepared in accordance with GAAP, such consolidated statements to be audited and accompanied by a report and opinion of an independent certified public accountant of nationally recognized standing reasonably acceptable to the Required Lenders, which report and opinion shall be prepared in accordance with generally accepted auditing standards and shall not be subject to any “going concern” or like qualification or exception or any qualification or exception as to the scope of such audit; and</w:t>
      </w:r>
    </w:p>
    <w:p>
      <w:pPr>
        <w:spacing w:after="0" w:line="168" w:lineRule="exact"/>
        <w:rPr>
          <w:rFonts w:ascii="Arial" w:cs="Arial" w:eastAsia="Arial" w:hAnsi="Arial"/>
          <w:sz w:val="18"/>
          <w:szCs w:val="18"/>
          <w:color w:val="auto"/>
        </w:rPr>
      </w:pPr>
    </w:p>
    <w:p>
      <w:pPr>
        <w:ind w:left="1720" w:hanging="415"/>
        <w:spacing w:after="0"/>
        <w:tabs>
          <w:tab w:leader="none" w:pos="1720" w:val="left"/>
        </w:tabs>
        <w:numPr>
          <w:ilvl w:val="0"/>
          <w:numId w:val="201"/>
        </w:numPr>
        <w:rPr>
          <w:rFonts w:ascii="Arial" w:cs="Arial" w:eastAsia="Arial" w:hAnsi="Arial"/>
          <w:sz w:val="18"/>
          <w:szCs w:val="18"/>
          <w:color w:val="auto"/>
        </w:rPr>
      </w:pPr>
      <w:r>
        <w:rPr>
          <w:rFonts w:ascii="Arial" w:cs="Arial" w:eastAsia="Arial" w:hAnsi="Arial"/>
          <w:sz w:val="18"/>
          <w:szCs w:val="18"/>
          <w:color w:val="auto"/>
        </w:rPr>
        <w:t>not later than (i) the date such deliveries are required by the SEC and (ii) forty-five days after the end of each of the first</w:t>
      </w:r>
    </w:p>
    <w:p>
      <w:pPr>
        <w:spacing w:after="0" w:line="76" w:lineRule="exact"/>
        <w:rPr>
          <w:rFonts w:ascii="Arial" w:cs="Arial" w:eastAsia="Arial" w:hAnsi="Arial"/>
          <w:sz w:val="18"/>
          <w:szCs w:val="18"/>
          <w:color w:val="auto"/>
        </w:rPr>
      </w:pPr>
    </w:p>
    <w:p>
      <w:pPr>
        <w:ind w:left="660"/>
        <w:spacing w:after="0" w:line="268" w:lineRule="exact"/>
        <w:rPr>
          <w:rFonts w:ascii="Arial" w:cs="Arial" w:eastAsia="Arial" w:hAnsi="Arial"/>
          <w:sz w:val="18"/>
          <w:szCs w:val="18"/>
          <w:color w:val="auto"/>
        </w:rPr>
      </w:pPr>
      <w:r>
        <w:rPr>
          <w:rFonts w:ascii="Arial" w:cs="Arial" w:eastAsia="Arial" w:hAnsi="Arial"/>
          <w:sz w:val="18"/>
          <w:szCs w:val="18"/>
          <w:color w:val="auto"/>
        </w:rPr>
        <w:t>three fiscal quarters of each fiscal year of EWI (beginning with the fiscal quarter ending after the Closing Date), consolidated balance sheets of the Consolidated Group as at the end of such fiscal quarter, and the related consolidated and consolidating statements of income or operations, shareholders’ equity and cash flows for such fiscal quarter and for the portion of EWI’s fiscal year then ended, setting forth in each case in comparative form the figures for the corresponding fiscal quarter of the previous fiscal year and the corresponding portion of the previous fiscal year, all in reasonable detail and certified by a Responsible Officer of EWI as fairly presenting in all material respects the financial condition, results of operations, shareholders’ equity and cash flows of the Consolidated Group in accordance with GAAP, subject only to normal year</w:t>
      </w:r>
      <w:r>
        <w:rPr>
          <w:rFonts w:ascii="MS PGothic" w:cs="MS PGothic" w:eastAsia="MS PGothic" w:hAnsi="MS PGothic"/>
          <w:sz w:val="18"/>
          <w:szCs w:val="18"/>
          <w:color w:val="auto"/>
        </w:rPr>
        <w:t>‑</w:t>
      </w:r>
      <w:r>
        <w:rPr>
          <w:rFonts w:ascii="Arial" w:cs="Arial" w:eastAsia="Arial" w:hAnsi="Arial"/>
          <w:sz w:val="18"/>
          <w:szCs w:val="18"/>
          <w:color w:val="auto"/>
        </w:rPr>
        <w:t>end audit adjustments and the absence of footnotes and such statements to be certified by a Responsible Officer of EWI to the effect that such statements are fairly stated in all material respects when considered in relation to the consolidated financial statements of EWI and its Subsidiaries.</w:t>
      </w:r>
    </w:p>
    <w:p>
      <w:pPr>
        <w:spacing w:after="0" w:line="240" w:lineRule="exact"/>
        <w:rPr>
          <w:rFonts w:ascii="Arial" w:cs="Arial" w:eastAsia="Arial" w:hAnsi="Arial"/>
          <w:sz w:val="18"/>
          <w:szCs w:val="18"/>
          <w:color w:val="auto"/>
        </w:rPr>
      </w:pPr>
    </w:p>
    <w:p>
      <w:pPr>
        <w:ind w:left="1700" w:hanging="395"/>
        <w:spacing w:after="0"/>
        <w:tabs>
          <w:tab w:leader="none" w:pos="1700" w:val="left"/>
        </w:tabs>
        <w:numPr>
          <w:ilvl w:val="0"/>
          <w:numId w:val="201"/>
        </w:numPr>
        <w:rPr>
          <w:rFonts w:ascii="Arial" w:cs="Arial" w:eastAsia="Arial" w:hAnsi="Arial"/>
          <w:sz w:val="20"/>
          <w:szCs w:val="20"/>
          <w:color w:val="auto"/>
        </w:rPr>
      </w:pPr>
      <w:r>
        <w:rPr>
          <w:rFonts w:ascii="Arial" w:cs="Arial" w:eastAsia="Arial" w:hAnsi="Arial"/>
          <w:sz w:val="20"/>
          <w:szCs w:val="20"/>
          <w:color w:val="auto"/>
        </w:rPr>
        <w:t>promptly after receipt, the results of an annual review conducted by a third party reasonably acceptable to the</w:t>
      </w:r>
    </w:p>
    <w:p>
      <w:pPr>
        <w:spacing w:after="0" w:line="53" w:lineRule="exact"/>
        <w:rPr>
          <w:rFonts w:ascii="Arial" w:cs="Arial" w:eastAsia="Arial" w:hAnsi="Arial"/>
          <w:sz w:val="20"/>
          <w:szCs w:val="20"/>
          <w:color w:val="auto"/>
        </w:rPr>
      </w:pPr>
    </w:p>
    <w:p>
      <w:pPr>
        <w:ind w:left="660" w:right="40"/>
        <w:spacing w:after="0" w:line="287" w:lineRule="auto"/>
        <w:rPr>
          <w:rFonts w:ascii="Arial" w:cs="Arial" w:eastAsia="Arial" w:hAnsi="Arial"/>
          <w:sz w:val="20"/>
          <w:szCs w:val="20"/>
          <w:color w:val="auto"/>
        </w:rPr>
      </w:pPr>
      <w:r>
        <w:rPr>
          <w:rFonts w:ascii="Arial" w:cs="Arial" w:eastAsia="Arial" w:hAnsi="Arial"/>
          <w:sz w:val="20"/>
          <w:szCs w:val="20"/>
          <w:color w:val="auto"/>
        </w:rPr>
        <w:t>Administrative Agent with respect to the anti-money laundering and (where applicable) bank secrecy (or similar) program of Continental Exchange Solutions, Inc. (on a consolidated basis including RIA Telecommunications of Canada, Inc.), RIA Italia SRL, Envia Telecomunicaciones, S.A. and RIA Financial Services Australia Pty. Ltd.; provided such reviews are required under the country/local jurisdiction where members of the Consolidated Group actively operate as money transmitters (or similar designation) or as mutually agreed by the Administrative Agent and EWI.</w:t>
      </w:r>
    </w:p>
    <w:p>
      <w:pPr>
        <w:spacing w:after="0" w:line="165" w:lineRule="exact"/>
        <w:rPr>
          <w:sz w:val="20"/>
          <w:szCs w:val="20"/>
          <w:color w:val="auto"/>
        </w:rPr>
      </w:pPr>
    </w:p>
    <w:p>
      <w:pPr>
        <w:ind w:right="20"/>
        <w:spacing w:after="0" w:line="260" w:lineRule="auto"/>
        <w:rPr>
          <w:sz w:val="20"/>
          <w:szCs w:val="20"/>
          <w:color w:val="auto"/>
        </w:rPr>
      </w:pPr>
      <w:r>
        <w:rPr>
          <w:rFonts w:ascii="Arial" w:cs="Arial" w:eastAsia="Arial" w:hAnsi="Arial"/>
          <w:sz w:val="20"/>
          <w:szCs w:val="20"/>
          <w:color w:val="auto"/>
        </w:rPr>
        <w:t xml:space="preserve">As to any information contained in materials furnished pursuant to </w:t>
      </w:r>
      <w:r>
        <w:rPr>
          <w:rFonts w:ascii="Arial" w:cs="Arial" w:eastAsia="Arial" w:hAnsi="Arial"/>
          <w:sz w:val="20"/>
          <w:szCs w:val="20"/>
          <w:u w:val="single" w:color="auto"/>
          <w:color w:val="auto"/>
        </w:rPr>
        <w:t>Section 7.02(d)</w:t>
      </w:r>
      <w:r>
        <w:rPr>
          <w:rFonts w:ascii="Arial" w:cs="Arial" w:eastAsia="Arial" w:hAnsi="Arial"/>
          <w:sz w:val="20"/>
          <w:szCs w:val="20"/>
          <w:color w:val="auto"/>
        </w:rPr>
        <w:t xml:space="preserve">, such Credit Party shall not be separately required to furnish such information under </w:t>
      </w:r>
      <w:r>
        <w:rPr>
          <w:rFonts w:ascii="Arial" w:cs="Arial" w:eastAsia="Arial" w:hAnsi="Arial"/>
          <w:sz w:val="20"/>
          <w:szCs w:val="20"/>
          <w:u w:val="single" w:color="auto"/>
          <w:color w:val="auto"/>
        </w:rPr>
        <w:t>clauses (a)</w:t>
      </w:r>
      <w:r>
        <w:rPr>
          <w:rFonts w:ascii="Arial" w:cs="Arial" w:eastAsia="Arial" w:hAnsi="Arial"/>
          <w:sz w:val="20"/>
          <w:szCs w:val="20"/>
          <w:color w:val="auto"/>
        </w:rPr>
        <w:t xml:space="preserve"> or </w:t>
      </w:r>
      <w:r>
        <w:rPr>
          <w:rFonts w:ascii="Arial" w:cs="Arial" w:eastAsia="Arial" w:hAnsi="Arial"/>
          <w:sz w:val="20"/>
          <w:szCs w:val="20"/>
          <w:u w:val="single" w:color="auto"/>
          <w:color w:val="auto"/>
        </w:rPr>
        <w:t>(b)</w:t>
      </w:r>
      <w:r>
        <w:rPr>
          <w:rFonts w:ascii="Arial" w:cs="Arial" w:eastAsia="Arial" w:hAnsi="Arial"/>
          <w:sz w:val="20"/>
          <w:szCs w:val="20"/>
          <w:color w:val="auto"/>
        </w:rPr>
        <w:t xml:space="preserve"> above, but the</w:t>
      </w:r>
    </w:p>
    <w:p>
      <w:pPr>
        <w:spacing w:after="0" w:line="200" w:lineRule="exact"/>
        <w:rPr>
          <w:sz w:val="20"/>
          <w:szCs w:val="20"/>
          <w:color w:val="auto"/>
        </w:rPr>
      </w:pPr>
    </w:p>
    <w:p>
      <w:pPr>
        <w:spacing w:after="0" w:line="220" w:lineRule="exact"/>
        <w:rPr>
          <w:sz w:val="20"/>
          <w:szCs w:val="20"/>
          <w:color w:val="auto"/>
        </w:rPr>
      </w:pPr>
    </w:p>
    <w:p>
      <w:pPr>
        <w:jc w:val="center"/>
        <w:ind w:right="-39"/>
        <w:spacing w:after="0"/>
        <w:rPr>
          <w:sz w:val="20"/>
          <w:szCs w:val="20"/>
          <w:color w:val="auto"/>
        </w:rPr>
      </w:pPr>
      <w:r>
        <w:rPr>
          <w:rFonts w:ascii="Arial" w:cs="Arial" w:eastAsia="Arial" w:hAnsi="Arial"/>
          <w:sz w:val="20"/>
          <w:szCs w:val="20"/>
          <w:color w:val="auto"/>
        </w:rPr>
        <w:t>144</w:t>
      </w:r>
    </w:p>
    <w:p>
      <w:pPr>
        <w:spacing w:after="0" w:line="10" w:lineRule="exact"/>
        <w:rPr>
          <w:sz w:val="20"/>
          <w:szCs w:val="20"/>
          <w:color w:val="auto"/>
        </w:rPr>
      </w:pPr>
    </w:p>
    <w:p>
      <w:pPr>
        <w:spacing w:after="0"/>
        <w:rPr>
          <w:sz w:val="20"/>
          <w:szCs w:val="20"/>
          <w:color w:val="auto"/>
        </w:rPr>
      </w:pPr>
      <w:r>
        <w:rPr>
          <w:rFonts w:ascii="Arial" w:cs="Arial" w:eastAsia="Arial" w:hAnsi="Arial"/>
          <w:sz w:val="14"/>
          <w:szCs w:val="14"/>
          <w:color w:val="auto"/>
        </w:rPr>
        <w:t>CHAR1\1346423v</w:t>
      </w:r>
      <w:r>
        <w:rPr>
          <w:rFonts w:ascii="Arial" w:cs="Arial" w:eastAsia="Arial" w:hAnsi="Arial"/>
          <w:sz w:val="14"/>
          <w:szCs w:val="14"/>
          <w:color w:val="FF0000"/>
          <w:strike w:val="1"/>
        </w:rPr>
        <w:t>1</w:t>
      </w:r>
      <w:r>
        <w:rPr>
          <w:rFonts w:ascii="Arial" w:cs="Arial" w:eastAsia="Arial" w:hAnsi="Arial"/>
          <w:sz w:val="14"/>
          <w:szCs w:val="14"/>
          <w:u w:val="single" w:color="auto"/>
          <w:color w:val="0000FF"/>
        </w:rPr>
        <w:t>12</w:t>
      </w:r>
    </w:p>
    <w:p>
      <w:pPr>
        <w:sectPr>
          <w:pgSz w:w="11900" w:h="16838" w:orient="portrait"/>
          <w:cols w:equalWidth="0" w:num="1">
            <w:col w:w="11380"/>
          </w:cols>
          <w:pgMar w:left="240" w:top="582" w:right="279" w:bottom="1440" w:gutter="0" w:footer="0" w:header="0"/>
        </w:sectPr>
      </w:pPr>
    </w:p>
    <w:bookmarkStart w:id="196" w:name="page197"/>
    <w:bookmarkEnd w:id="196"/>
    <w:p>
      <w:pPr>
        <w:spacing w:after="0"/>
        <w:rPr>
          <w:sz w:val="20"/>
          <w:szCs w:val="20"/>
          <w:color w:val="auto"/>
        </w:rPr>
      </w:pPr>
      <w:r>
        <w:rPr>
          <w:rFonts w:ascii="Arial" w:cs="Arial" w:eastAsia="Arial" w:hAnsi="Arial"/>
          <w:sz w:val="18"/>
          <w:szCs w:val="18"/>
          <w:color w:val="auto"/>
        </w:rPr>
        <w:t xml:space="preserve">foregoing shall not be in derogation of the obligation of such Credit Party to furnish the information and materials described in </w:t>
      </w:r>
      <w:r>
        <w:rPr>
          <w:rFonts w:ascii="Arial" w:cs="Arial" w:eastAsia="Arial" w:hAnsi="Arial"/>
          <w:sz w:val="18"/>
          <w:szCs w:val="18"/>
          <w:u w:val="single" w:color="auto"/>
          <w:color w:val="auto"/>
        </w:rPr>
        <w:t>clauses (a)</w:t>
      </w:r>
      <w:r>
        <w:rPr>
          <w:rFonts w:ascii="Arial" w:cs="Arial" w:eastAsia="Arial" w:hAnsi="Arial"/>
          <w:sz w:val="18"/>
          <w:szCs w:val="18"/>
          <w:color w:val="auto"/>
        </w:rPr>
        <w:t xml:space="preserve"> and</w:t>
      </w:r>
    </w:p>
    <w:p>
      <w:pPr>
        <w:spacing w:after="0" w:line="39" w:lineRule="exact"/>
        <w:rPr>
          <w:sz w:val="20"/>
          <w:szCs w:val="20"/>
          <w:color w:val="auto"/>
        </w:rPr>
      </w:pPr>
    </w:p>
    <w:p>
      <w:pPr>
        <w:ind w:left="280" w:hanging="272"/>
        <w:spacing w:after="0"/>
        <w:tabs>
          <w:tab w:leader="none" w:pos="280" w:val="left"/>
        </w:tabs>
        <w:numPr>
          <w:ilvl w:val="0"/>
          <w:numId w:val="202"/>
        </w:numPr>
        <w:rPr>
          <w:rFonts w:ascii="Arial" w:cs="Arial" w:eastAsia="Arial" w:hAnsi="Arial"/>
          <w:sz w:val="20"/>
          <w:szCs w:val="20"/>
          <w:u w:val="single" w:color="auto"/>
          <w:color w:val="auto"/>
        </w:rPr>
      </w:pPr>
      <w:r>
        <w:rPr>
          <w:rFonts w:ascii="Arial" w:cs="Arial" w:eastAsia="Arial" w:hAnsi="Arial"/>
          <w:sz w:val="20"/>
          <w:szCs w:val="20"/>
          <w:color w:val="auto"/>
        </w:rPr>
        <w:t>above at the times specified therein.</w:t>
      </w:r>
    </w:p>
    <w:p>
      <w:pPr>
        <w:spacing w:after="0" w:line="227" w:lineRule="exact"/>
        <w:rPr>
          <w:sz w:val="20"/>
          <w:szCs w:val="20"/>
          <w:color w:val="auto"/>
        </w:rPr>
      </w:pPr>
    </w:p>
    <w:p>
      <w:pPr>
        <w:ind w:right="280" w:firstLine="648"/>
        <w:spacing w:after="0" w:line="317" w:lineRule="auto"/>
        <w:rPr>
          <w:sz w:val="20"/>
          <w:szCs w:val="20"/>
          <w:color w:val="auto"/>
        </w:rPr>
      </w:pPr>
      <w:r>
        <w:rPr>
          <w:rFonts w:ascii="Arial" w:cs="Arial" w:eastAsia="Arial" w:hAnsi="Arial"/>
          <w:sz w:val="20"/>
          <w:szCs w:val="20"/>
          <w:color w:val="auto"/>
        </w:rPr>
        <w:t xml:space="preserve">7.02 </w:t>
      </w:r>
      <w:r>
        <w:rPr>
          <w:rFonts w:ascii="Arial" w:cs="Arial" w:eastAsia="Arial" w:hAnsi="Arial"/>
          <w:sz w:val="20"/>
          <w:szCs w:val="20"/>
          <w:u w:val="single" w:color="auto"/>
          <w:color w:val="auto"/>
        </w:rPr>
        <w:t>Certificates; Other Information</w:t>
      </w:r>
      <w:r>
        <w:rPr>
          <w:rFonts w:ascii="Arial" w:cs="Arial" w:eastAsia="Arial" w:hAnsi="Arial"/>
          <w:sz w:val="20"/>
          <w:szCs w:val="20"/>
          <w:color w:val="auto"/>
        </w:rPr>
        <w:t>. Deliver to the Administrative Agent for further distribution to the Lenders, in form and detail reasonably satisfactory to the Administrative Agent and the Required Lenders:</w:t>
      </w:r>
    </w:p>
    <w:p>
      <w:pPr>
        <w:spacing w:after="0" w:line="162" w:lineRule="exact"/>
        <w:rPr>
          <w:sz w:val="20"/>
          <w:szCs w:val="20"/>
          <w:color w:val="auto"/>
        </w:rPr>
      </w:pPr>
    </w:p>
    <w:p>
      <w:pPr>
        <w:ind w:left="1700" w:hanging="395"/>
        <w:spacing w:after="0"/>
        <w:tabs>
          <w:tab w:leader="none" w:pos="1700" w:val="left"/>
        </w:tabs>
        <w:numPr>
          <w:ilvl w:val="0"/>
          <w:numId w:val="203"/>
        </w:numPr>
        <w:rPr>
          <w:rFonts w:ascii="Arial" w:cs="Arial" w:eastAsia="Arial" w:hAnsi="Arial"/>
          <w:sz w:val="18"/>
          <w:szCs w:val="18"/>
          <w:color w:val="auto"/>
        </w:rPr>
      </w:pPr>
      <w:r>
        <w:rPr>
          <w:rFonts w:ascii="Arial" w:cs="Arial" w:eastAsia="Arial" w:hAnsi="Arial"/>
          <w:sz w:val="18"/>
          <w:szCs w:val="18"/>
          <w:color w:val="auto"/>
        </w:rPr>
        <w:t xml:space="preserve">concurrently with the delivery of the financial statements referred to in </w:t>
      </w:r>
      <w:r>
        <w:rPr>
          <w:rFonts w:ascii="Arial" w:cs="Arial" w:eastAsia="Arial" w:hAnsi="Arial"/>
          <w:sz w:val="18"/>
          <w:szCs w:val="18"/>
          <w:u w:val="single" w:color="auto"/>
          <w:color w:val="auto"/>
        </w:rPr>
        <w:t>Section 7.01(a)</w:t>
      </w:r>
      <w:r>
        <w:rPr>
          <w:rFonts w:ascii="Arial" w:cs="Arial" w:eastAsia="Arial" w:hAnsi="Arial"/>
          <w:sz w:val="18"/>
          <w:szCs w:val="18"/>
          <w:color w:val="auto"/>
        </w:rPr>
        <w:t>, a certificate of EWI’s independent</w:t>
      </w:r>
    </w:p>
    <w:p>
      <w:pPr>
        <w:spacing w:after="0" w:line="76" w:lineRule="exact"/>
        <w:rPr>
          <w:rFonts w:ascii="Arial" w:cs="Arial" w:eastAsia="Arial" w:hAnsi="Arial"/>
          <w:sz w:val="18"/>
          <w:szCs w:val="18"/>
          <w:color w:val="auto"/>
        </w:rPr>
      </w:pPr>
    </w:p>
    <w:p>
      <w:pPr>
        <w:ind w:left="660" w:right="300"/>
        <w:spacing w:after="0" w:line="292" w:lineRule="auto"/>
        <w:rPr>
          <w:rFonts w:ascii="Arial" w:cs="Arial" w:eastAsia="Arial" w:hAnsi="Arial"/>
          <w:sz w:val="18"/>
          <w:szCs w:val="18"/>
          <w:color w:val="auto"/>
        </w:rPr>
      </w:pPr>
      <w:r>
        <w:rPr>
          <w:rFonts w:ascii="Arial" w:cs="Arial" w:eastAsia="Arial" w:hAnsi="Arial"/>
          <w:sz w:val="20"/>
          <w:szCs w:val="20"/>
          <w:color w:val="auto"/>
        </w:rPr>
        <w:t>certified public accountant certifying such financial statements and stating that in making the examination necessary therefor no knowledge was obtained of any Default or Event of Default or, if any such Default or Event of Default shall exist, stating the nature and status of such event;</w:t>
      </w:r>
    </w:p>
    <w:p>
      <w:pPr>
        <w:spacing w:after="0" w:line="186" w:lineRule="exact"/>
        <w:rPr>
          <w:rFonts w:ascii="Arial" w:cs="Arial" w:eastAsia="Arial" w:hAnsi="Arial"/>
          <w:sz w:val="18"/>
          <w:szCs w:val="18"/>
          <w:color w:val="auto"/>
        </w:rPr>
      </w:pPr>
    </w:p>
    <w:p>
      <w:pPr>
        <w:ind w:left="1720" w:hanging="415"/>
        <w:spacing w:after="0"/>
        <w:tabs>
          <w:tab w:leader="none" w:pos="1720" w:val="left"/>
        </w:tabs>
        <w:numPr>
          <w:ilvl w:val="0"/>
          <w:numId w:val="203"/>
        </w:numPr>
        <w:rPr>
          <w:rFonts w:ascii="Arial" w:cs="Arial" w:eastAsia="Arial" w:hAnsi="Arial"/>
          <w:sz w:val="18"/>
          <w:szCs w:val="18"/>
          <w:color w:val="auto"/>
        </w:rPr>
      </w:pPr>
      <w:r>
        <w:rPr>
          <w:rFonts w:ascii="Arial" w:cs="Arial" w:eastAsia="Arial" w:hAnsi="Arial"/>
          <w:sz w:val="18"/>
          <w:szCs w:val="18"/>
          <w:color w:val="auto"/>
        </w:rPr>
        <w:t xml:space="preserve">concurrently with the delivery of the financial statements referred to in </w:t>
      </w:r>
      <w:r>
        <w:rPr>
          <w:rFonts w:ascii="Arial" w:cs="Arial" w:eastAsia="Arial" w:hAnsi="Arial"/>
          <w:sz w:val="18"/>
          <w:szCs w:val="18"/>
          <w:u w:val="single" w:color="auto"/>
          <w:color w:val="auto"/>
        </w:rPr>
        <w:t>Sections 7.01(a)</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(b)</w:t>
      </w:r>
      <w:r>
        <w:rPr>
          <w:rFonts w:ascii="Arial" w:cs="Arial" w:eastAsia="Arial" w:hAnsi="Arial"/>
          <w:sz w:val="18"/>
          <w:szCs w:val="18"/>
          <w:color w:val="auto"/>
        </w:rPr>
        <w:t>, (beginning with the fiscal</w:t>
      </w:r>
    </w:p>
    <w:p>
      <w:pPr>
        <w:spacing w:after="0" w:line="76" w:lineRule="exact"/>
        <w:rPr>
          <w:rFonts w:ascii="Arial" w:cs="Arial" w:eastAsia="Arial" w:hAnsi="Arial"/>
          <w:sz w:val="18"/>
          <w:szCs w:val="18"/>
          <w:color w:val="auto"/>
        </w:rPr>
      </w:pPr>
    </w:p>
    <w:p>
      <w:pPr>
        <w:ind w:left="660"/>
        <w:spacing w:after="0" w:line="321" w:lineRule="auto"/>
        <w:rPr>
          <w:rFonts w:ascii="Arial" w:cs="Arial" w:eastAsia="Arial" w:hAnsi="Arial"/>
          <w:sz w:val="18"/>
          <w:szCs w:val="18"/>
          <w:color w:val="auto"/>
        </w:rPr>
      </w:pPr>
      <w:r>
        <w:rPr>
          <w:rFonts w:ascii="Arial" w:cs="Arial" w:eastAsia="Arial" w:hAnsi="Arial"/>
          <w:sz w:val="18"/>
          <w:szCs w:val="18"/>
          <w:color w:val="auto"/>
        </w:rPr>
        <w:t>quarter ending after the Closing Date), a duly completed Compliance Certificate signed by a Responsible Officer of EWI (i) setting forth computations in reasonable detail satisfactory to the Administrative Agent demonstrating compliance with the financial covenants contained herein, (ii) certifying that no Default or Event of Default exists as of the date thereof (or the nature and extent thereof and proposed actions with respect thereto) and (iii) including a summary of all material changes in GAAP or in the consistent application thereof and material changes in accounting policies or financial reporting practices, the effect on the financial covenants resulting therefrom, and a reconciliation between calculation of the financial covenants (and determination of the applicable pricing level under the definition of “Applicable Percentage”) before and after giving effect to such changes;</w:t>
      </w:r>
    </w:p>
    <w:p>
      <w:pPr>
        <w:spacing w:after="0" w:line="168" w:lineRule="exact"/>
        <w:rPr>
          <w:rFonts w:ascii="Arial" w:cs="Arial" w:eastAsia="Arial" w:hAnsi="Arial"/>
          <w:sz w:val="18"/>
          <w:szCs w:val="18"/>
          <w:color w:val="auto"/>
        </w:rPr>
      </w:pPr>
    </w:p>
    <w:p>
      <w:pPr>
        <w:ind w:left="1700" w:hanging="395"/>
        <w:spacing w:after="0"/>
        <w:tabs>
          <w:tab w:leader="none" w:pos="1700" w:val="left"/>
        </w:tabs>
        <w:numPr>
          <w:ilvl w:val="0"/>
          <w:numId w:val="203"/>
        </w:numPr>
        <w:rPr>
          <w:rFonts w:ascii="Arial" w:cs="Arial" w:eastAsia="Arial" w:hAnsi="Arial"/>
          <w:sz w:val="18"/>
          <w:szCs w:val="18"/>
          <w:color w:val="auto"/>
        </w:rPr>
      </w:pPr>
      <w:r>
        <w:rPr>
          <w:rFonts w:ascii="Arial" w:cs="Arial" w:eastAsia="Arial" w:hAnsi="Arial"/>
          <w:sz w:val="18"/>
          <w:szCs w:val="18"/>
          <w:color w:val="auto"/>
        </w:rPr>
        <w:t>promptly after any request by the Administrative Agent or any Lender, copies of any detailed audit reports, management</w:t>
      </w:r>
    </w:p>
    <w:p>
      <w:pPr>
        <w:spacing w:after="0" w:line="76" w:lineRule="exact"/>
        <w:rPr>
          <w:rFonts w:ascii="Arial" w:cs="Arial" w:eastAsia="Arial" w:hAnsi="Arial"/>
          <w:sz w:val="18"/>
          <w:szCs w:val="18"/>
          <w:color w:val="auto"/>
        </w:rPr>
      </w:pPr>
    </w:p>
    <w:p>
      <w:pPr>
        <w:ind w:left="660" w:right="1000"/>
        <w:spacing w:after="0" w:line="363" w:lineRule="auto"/>
        <w:rPr>
          <w:rFonts w:ascii="Arial" w:cs="Arial" w:eastAsia="Arial" w:hAnsi="Arial"/>
          <w:sz w:val="18"/>
          <w:szCs w:val="18"/>
          <w:color w:val="auto"/>
        </w:rPr>
      </w:pPr>
      <w:r>
        <w:rPr>
          <w:rFonts w:ascii="Arial" w:cs="Arial" w:eastAsia="Arial" w:hAnsi="Arial"/>
          <w:sz w:val="18"/>
          <w:szCs w:val="18"/>
          <w:color w:val="auto"/>
        </w:rPr>
        <w:t>letters or recommendations submitted to the board of directors (or the audit committee of the board of directors) of EWI by independent accountants in connection with the accounts or books of EWI or any Subsidiary, or any audit of any of them;</w:t>
      </w:r>
    </w:p>
    <w:p>
      <w:pPr>
        <w:spacing w:after="0" w:line="130" w:lineRule="exact"/>
        <w:rPr>
          <w:rFonts w:ascii="Arial" w:cs="Arial" w:eastAsia="Arial" w:hAnsi="Arial"/>
          <w:sz w:val="18"/>
          <w:szCs w:val="18"/>
          <w:color w:val="auto"/>
        </w:rPr>
      </w:pPr>
    </w:p>
    <w:p>
      <w:pPr>
        <w:ind w:left="1720" w:hanging="415"/>
        <w:spacing w:after="0"/>
        <w:tabs>
          <w:tab w:leader="none" w:pos="1720" w:val="left"/>
        </w:tabs>
        <w:numPr>
          <w:ilvl w:val="0"/>
          <w:numId w:val="203"/>
        </w:numPr>
        <w:rPr>
          <w:rFonts w:ascii="Arial" w:cs="Arial" w:eastAsia="Arial" w:hAnsi="Arial"/>
          <w:sz w:val="19"/>
          <w:szCs w:val="19"/>
          <w:color w:val="auto"/>
        </w:rPr>
      </w:pPr>
      <w:r>
        <w:rPr>
          <w:rFonts w:ascii="Arial" w:cs="Arial" w:eastAsia="Arial" w:hAnsi="Arial"/>
          <w:sz w:val="19"/>
          <w:szCs w:val="19"/>
          <w:color w:val="auto"/>
        </w:rPr>
        <w:t>promptly after the same are available, notice of each annual report, proxy or financial statement or other report or</w:t>
      </w:r>
    </w:p>
    <w:p>
      <w:pPr>
        <w:spacing w:after="0" w:line="65" w:lineRule="exact"/>
        <w:rPr>
          <w:rFonts w:ascii="Arial" w:cs="Arial" w:eastAsia="Arial" w:hAnsi="Arial"/>
          <w:sz w:val="19"/>
          <w:szCs w:val="19"/>
          <w:color w:val="auto"/>
        </w:rPr>
      </w:pPr>
    </w:p>
    <w:p>
      <w:pPr>
        <w:ind w:left="660" w:right="20"/>
        <w:spacing w:after="0" w:line="292" w:lineRule="auto"/>
        <w:rPr>
          <w:rFonts w:ascii="Arial" w:cs="Arial" w:eastAsia="Arial" w:hAnsi="Arial"/>
          <w:sz w:val="19"/>
          <w:szCs w:val="19"/>
          <w:color w:val="auto"/>
        </w:rPr>
      </w:pPr>
      <w:r>
        <w:rPr>
          <w:rFonts w:ascii="Arial" w:cs="Arial" w:eastAsia="Arial" w:hAnsi="Arial"/>
          <w:sz w:val="20"/>
          <w:szCs w:val="20"/>
          <w:color w:val="auto"/>
        </w:rPr>
        <w:t>communication sent to the stockholders of EWI, and copies of all annual, regular, periodic and special reports and registration statements that EWI may file or be required to file with the SEC under Section 13 or 15(d) of the Securities Exchange Act of 1934, and not otherwise required to be delivered to the Administrative Agent pursuant hereto;</w:t>
      </w:r>
    </w:p>
    <w:p>
      <w:pPr>
        <w:spacing w:after="0" w:line="200" w:lineRule="exact"/>
        <w:rPr>
          <w:rFonts w:ascii="Arial" w:cs="Arial" w:eastAsia="Arial" w:hAnsi="Arial"/>
          <w:sz w:val="19"/>
          <w:szCs w:val="19"/>
          <w:color w:val="auto"/>
        </w:rPr>
      </w:pPr>
    </w:p>
    <w:p>
      <w:pPr>
        <w:spacing w:after="0" w:line="216" w:lineRule="exact"/>
        <w:rPr>
          <w:rFonts w:ascii="Arial" w:cs="Arial" w:eastAsia="Arial" w:hAnsi="Arial"/>
          <w:sz w:val="19"/>
          <w:szCs w:val="19"/>
          <w:color w:val="auto"/>
        </w:rPr>
      </w:pPr>
    </w:p>
    <w:p>
      <w:pPr>
        <w:ind w:left="1700" w:hanging="395"/>
        <w:spacing w:after="0"/>
        <w:tabs>
          <w:tab w:leader="none" w:pos="1700" w:val="left"/>
        </w:tabs>
        <w:numPr>
          <w:ilvl w:val="0"/>
          <w:numId w:val="203"/>
        </w:numPr>
        <w:rPr>
          <w:rFonts w:ascii="Arial" w:cs="Arial" w:eastAsia="Arial" w:hAnsi="Arial"/>
          <w:sz w:val="18"/>
          <w:szCs w:val="18"/>
          <w:color w:val="auto"/>
        </w:rPr>
      </w:pPr>
      <w:r>
        <w:rPr>
          <w:rFonts w:ascii="Arial" w:cs="Arial" w:eastAsia="Arial" w:hAnsi="Arial"/>
          <w:sz w:val="18"/>
          <w:szCs w:val="18"/>
          <w:color w:val="auto"/>
        </w:rPr>
        <w:t>promptly after the furnishing thereof, copies of any statement or report furnished to any holder of debt securities, the</w:t>
      </w:r>
    </w:p>
    <w:p>
      <w:pPr>
        <w:spacing w:after="0" w:line="76" w:lineRule="exact"/>
        <w:rPr>
          <w:rFonts w:ascii="Arial" w:cs="Arial" w:eastAsia="Arial" w:hAnsi="Arial"/>
          <w:sz w:val="18"/>
          <w:szCs w:val="18"/>
          <w:color w:val="auto"/>
        </w:rPr>
      </w:pPr>
    </w:p>
    <w:p>
      <w:pPr>
        <w:ind w:left="660" w:right="120"/>
        <w:spacing w:after="0" w:line="292" w:lineRule="auto"/>
        <w:rPr>
          <w:rFonts w:ascii="Arial" w:cs="Arial" w:eastAsia="Arial" w:hAnsi="Arial"/>
          <w:sz w:val="18"/>
          <w:szCs w:val="18"/>
          <w:color w:val="auto"/>
        </w:rPr>
      </w:pPr>
      <w:r>
        <w:rPr>
          <w:rFonts w:ascii="Arial" w:cs="Arial" w:eastAsia="Arial" w:hAnsi="Arial"/>
          <w:sz w:val="20"/>
          <w:szCs w:val="20"/>
          <w:color w:val="auto"/>
        </w:rPr>
        <w:t xml:space="preserve">outstanding principal balance of which exceeds the amount specified in </w:t>
      </w:r>
      <w:r>
        <w:rPr>
          <w:rFonts w:ascii="Arial" w:cs="Arial" w:eastAsia="Arial" w:hAnsi="Arial"/>
          <w:sz w:val="20"/>
          <w:szCs w:val="20"/>
          <w:u w:val="single" w:color="auto"/>
          <w:color w:val="auto"/>
        </w:rPr>
        <w:t>Section 9.01(e),</w:t>
      </w:r>
      <w:r>
        <w:rPr>
          <w:rFonts w:ascii="Arial" w:cs="Arial" w:eastAsia="Arial" w:hAnsi="Arial"/>
          <w:sz w:val="20"/>
          <w:szCs w:val="20"/>
          <w:color w:val="auto"/>
        </w:rPr>
        <w:t xml:space="preserve"> of such Credit Party or any of its Subsidiaries pursuant to the terms of any indenture, loan or credit or similar agreement and not otherwise required to be furnished to the Lenders pursuant to </w:t>
      </w:r>
      <w:r>
        <w:rPr>
          <w:rFonts w:ascii="Arial" w:cs="Arial" w:eastAsia="Arial" w:hAnsi="Arial"/>
          <w:sz w:val="20"/>
          <w:szCs w:val="20"/>
          <w:u w:val="single" w:color="auto"/>
          <w:color w:val="auto"/>
        </w:rPr>
        <w:t>Section 7.01</w:t>
      </w:r>
      <w:r>
        <w:rPr>
          <w:rFonts w:ascii="Arial" w:cs="Arial" w:eastAsia="Arial" w:hAnsi="Arial"/>
          <w:sz w:val="20"/>
          <w:szCs w:val="20"/>
          <w:color w:val="auto"/>
        </w:rPr>
        <w:t xml:space="preserve"> or any other clause of this </w:t>
      </w:r>
      <w:r>
        <w:rPr>
          <w:rFonts w:ascii="Arial" w:cs="Arial" w:eastAsia="Arial" w:hAnsi="Arial"/>
          <w:sz w:val="20"/>
          <w:szCs w:val="20"/>
          <w:u w:val="single" w:color="auto"/>
          <w:color w:val="auto"/>
        </w:rPr>
        <w:t>Section 7.02</w:t>
      </w:r>
      <w:r>
        <w:rPr>
          <w:rFonts w:ascii="Arial" w:cs="Arial" w:eastAsia="Arial" w:hAnsi="Arial"/>
          <w:sz w:val="20"/>
          <w:szCs w:val="20"/>
          <w:color w:val="auto"/>
        </w:rPr>
        <w:t>;</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145</w:t>
      </w:r>
    </w:p>
    <w:p>
      <w:pPr>
        <w:spacing w:after="0" w:line="10" w:lineRule="exact"/>
        <w:rPr>
          <w:sz w:val="20"/>
          <w:szCs w:val="20"/>
          <w:color w:val="auto"/>
        </w:rPr>
      </w:pPr>
    </w:p>
    <w:p>
      <w:pPr>
        <w:spacing w:after="0"/>
        <w:rPr>
          <w:sz w:val="20"/>
          <w:szCs w:val="20"/>
          <w:color w:val="auto"/>
        </w:rPr>
      </w:pPr>
      <w:r>
        <w:rPr>
          <w:rFonts w:ascii="Arial" w:cs="Arial" w:eastAsia="Arial" w:hAnsi="Arial"/>
          <w:sz w:val="14"/>
          <w:szCs w:val="14"/>
          <w:color w:val="auto"/>
        </w:rPr>
        <w:t>CHAR1\1346423v</w:t>
      </w:r>
      <w:r>
        <w:rPr>
          <w:rFonts w:ascii="Arial" w:cs="Arial" w:eastAsia="Arial" w:hAnsi="Arial"/>
          <w:sz w:val="14"/>
          <w:szCs w:val="14"/>
          <w:color w:val="FF0000"/>
          <w:strike w:val="1"/>
        </w:rPr>
        <w:t>1</w:t>
      </w:r>
      <w:r>
        <w:rPr>
          <w:rFonts w:ascii="Arial" w:cs="Arial" w:eastAsia="Arial" w:hAnsi="Arial"/>
          <w:sz w:val="14"/>
          <w:szCs w:val="14"/>
          <w:u w:val="single" w:color="auto"/>
          <w:color w:val="0000FF"/>
        </w:rPr>
        <w:t>12</w:t>
      </w:r>
    </w:p>
    <w:p>
      <w:pPr>
        <w:sectPr>
          <w:pgSz w:w="11900" w:h="16838" w:orient="portrait"/>
          <w:cols w:equalWidth="0" w:num="1">
            <w:col w:w="11400"/>
          </w:cols>
          <w:pgMar w:left="240" w:top="582" w:right="259" w:bottom="1440" w:gutter="0" w:footer="0" w:header="0"/>
        </w:sectPr>
      </w:pPr>
    </w:p>
    <w:bookmarkStart w:id="197" w:name="page198"/>
    <w:bookmarkEnd w:id="197"/>
    <w:p>
      <w:pPr>
        <w:ind w:left="1680" w:hanging="375"/>
        <w:spacing w:after="0"/>
        <w:tabs>
          <w:tab w:leader="none" w:pos="1680" w:val="left"/>
        </w:tabs>
        <w:numPr>
          <w:ilvl w:val="0"/>
          <w:numId w:val="204"/>
        </w:numPr>
        <w:rPr>
          <w:rFonts w:ascii="Arial" w:cs="Arial" w:eastAsia="Arial" w:hAnsi="Arial"/>
          <w:sz w:val="18"/>
          <w:szCs w:val="18"/>
          <w:color w:val="auto"/>
        </w:rPr>
      </w:pPr>
      <w:r>
        <w:rPr>
          <w:rFonts w:ascii="Arial" w:cs="Arial" w:eastAsia="Arial" w:hAnsi="Arial"/>
          <w:sz w:val="18"/>
          <w:szCs w:val="18"/>
          <w:color w:val="auto"/>
        </w:rPr>
        <w:t>promptly, and in any event within five Business Days after receipt thereof by such Credit Party or any of its Subsidiaries,</w:t>
      </w:r>
    </w:p>
    <w:p>
      <w:pPr>
        <w:spacing w:after="0" w:line="76" w:lineRule="exact"/>
        <w:rPr>
          <w:rFonts w:ascii="Arial" w:cs="Arial" w:eastAsia="Arial" w:hAnsi="Arial"/>
          <w:sz w:val="18"/>
          <w:szCs w:val="18"/>
          <w:color w:val="auto"/>
        </w:rPr>
      </w:pPr>
    </w:p>
    <w:p>
      <w:pPr>
        <w:jc w:val="both"/>
        <w:ind w:left="660" w:right="180"/>
        <w:spacing w:after="0" w:line="292" w:lineRule="auto"/>
        <w:rPr>
          <w:rFonts w:ascii="Arial" w:cs="Arial" w:eastAsia="Arial" w:hAnsi="Arial"/>
          <w:sz w:val="18"/>
          <w:szCs w:val="18"/>
          <w:color w:val="auto"/>
        </w:rPr>
      </w:pPr>
      <w:r>
        <w:rPr>
          <w:rFonts w:ascii="Arial" w:cs="Arial" w:eastAsia="Arial" w:hAnsi="Arial"/>
          <w:sz w:val="20"/>
          <w:szCs w:val="20"/>
          <w:color w:val="auto"/>
        </w:rPr>
        <w:t>copies of each notice or other correspondence received from the SEC (or comparable agency in any applicable non-U.S. jurisdiction) concerning any investigation or possible investigation or other inquiry by such agency regarding financial or other operational results of such Credit Party or any of its Subsidiaries; and</w:t>
      </w:r>
    </w:p>
    <w:p>
      <w:pPr>
        <w:spacing w:after="0" w:line="186" w:lineRule="exact"/>
        <w:rPr>
          <w:rFonts w:ascii="Arial" w:cs="Arial" w:eastAsia="Arial" w:hAnsi="Arial"/>
          <w:sz w:val="18"/>
          <w:szCs w:val="18"/>
          <w:color w:val="auto"/>
        </w:rPr>
      </w:pPr>
    </w:p>
    <w:p>
      <w:pPr>
        <w:ind w:left="1720" w:hanging="415"/>
        <w:spacing w:after="0"/>
        <w:tabs>
          <w:tab w:leader="none" w:pos="1720" w:val="left"/>
        </w:tabs>
        <w:numPr>
          <w:ilvl w:val="0"/>
          <w:numId w:val="204"/>
        </w:numPr>
        <w:rPr>
          <w:rFonts w:ascii="Arial" w:cs="Arial" w:eastAsia="Arial" w:hAnsi="Arial"/>
          <w:sz w:val="18"/>
          <w:szCs w:val="18"/>
          <w:color w:val="auto"/>
        </w:rPr>
      </w:pPr>
      <w:r>
        <w:rPr>
          <w:rFonts w:ascii="Arial" w:cs="Arial" w:eastAsia="Arial" w:hAnsi="Arial"/>
          <w:sz w:val="18"/>
          <w:szCs w:val="18"/>
          <w:color w:val="auto"/>
        </w:rPr>
        <w:t>promptly, such additional information regarding the business, financial or corporate affairs of such Credit Party or any of</w:t>
      </w:r>
    </w:p>
    <w:p>
      <w:pPr>
        <w:spacing w:after="0" w:line="76" w:lineRule="exact"/>
        <w:rPr>
          <w:rFonts w:ascii="Arial" w:cs="Arial" w:eastAsia="Arial" w:hAnsi="Arial"/>
          <w:sz w:val="18"/>
          <w:szCs w:val="18"/>
          <w:color w:val="auto"/>
        </w:rPr>
      </w:pPr>
    </w:p>
    <w:p>
      <w:pPr>
        <w:ind w:left="660" w:right="220"/>
        <w:spacing w:after="0" w:line="303" w:lineRule="auto"/>
        <w:rPr>
          <w:rFonts w:ascii="Arial" w:cs="Arial" w:eastAsia="Arial" w:hAnsi="Arial"/>
          <w:sz w:val="18"/>
          <w:szCs w:val="18"/>
          <w:color w:val="auto"/>
        </w:rPr>
      </w:pPr>
      <w:r>
        <w:rPr>
          <w:rFonts w:ascii="Arial" w:cs="Arial" w:eastAsia="Arial" w:hAnsi="Arial"/>
          <w:sz w:val="20"/>
          <w:szCs w:val="20"/>
          <w:color w:val="auto"/>
        </w:rPr>
        <w:t>its Subsidiaries, or compliance with the terms of the Credit Documents, as the Administrative Agent or any Lender may from time to time reasonably request.</w:t>
      </w:r>
    </w:p>
    <w:p>
      <w:pPr>
        <w:spacing w:after="0" w:line="149" w:lineRule="exact"/>
        <w:rPr>
          <w:sz w:val="20"/>
          <w:szCs w:val="20"/>
          <w:color w:val="auto"/>
        </w:rPr>
      </w:pPr>
    </w:p>
    <w:p>
      <w:pPr>
        <w:ind w:right="60" w:firstLine="648"/>
        <w:spacing w:after="0" w:line="231" w:lineRule="exact"/>
        <w:rPr>
          <w:sz w:val="20"/>
          <w:szCs w:val="20"/>
          <w:color w:val="auto"/>
        </w:rPr>
      </w:pPr>
      <w:r>
        <w:rPr>
          <w:rFonts w:ascii="Arial" w:cs="Arial" w:eastAsia="Arial" w:hAnsi="Arial"/>
          <w:sz w:val="18"/>
          <w:szCs w:val="18"/>
          <w:color w:val="auto"/>
        </w:rPr>
        <w:t xml:space="preserve">Documents required to be delivered pursuant to </w:t>
      </w:r>
      <w:r>
        <w:rPr>
          <w:rFonts w:ascii="Arial" w:cs="Arial" w:eastAsia="Arial" w:hAnsi="Arial"/>
          <w:sz w:val="18"/>
          <w:szCs w:val="18"/>
          <w:u w:val="single" w:color="auto"/>
          <w:color w:val="auto"/>
        </w:rPr>
        <w:t>Section 7.01(a)</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(b)</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Section 7.02(d)</w:t>
      </w:r>
      <w:r>
        <w:rPr>
          <w:rFonts w:ascii="Arial" w:cs="Arial" w:eastAsia="Arial" w:hAnsi="Arial"/>
          <w:sz w:val="18"/>
          <w:szCs w:val="18"/>
          <w:color w:val="auto"/>
        </w:rPr>
        <w:t xml:space="preserve"> (to the extent any such documents are included in materials otherwise filed with the SEC) may be delivered electronically and if so delivered, shall be deemed to have been delivered on the date (i) on which EWI posts such documents, or provides a link thereto on EWI’s website on the Internet at the website address listed on </w:t>
      </w:r>
      <w:r>
        <w:rPr>
          <w:rFonts w:ascii="Arial" w:cs="Arial" w:eastAsia="Arial" w:hAnsi="Arial"/>
          <w:sz w:val="18"/>
          <w:szCs w:val="18"/>
          <w:u w:val="single" w:color="auto"/>
          <w:color w:val="auto"/>
        </w:rPr>
        <w:t>Schedule 11.02</w:t>
      </w:r>
      <w:r>
        <w:rPr>
          <w:rFonts w:ascii="Arial" w:cs="Arial" w:eastAsia="Arial" w:hAnsi="Arial"/>
          <w:sz w:val="18"/>
          <w:szCs w:val="18"/>
          <w:color w:val="auto"/>
        </w:rPr>
        <w:t xml:space="preserve"> (as may be updated from time to time); or (ii) on which such documents are posted on EWI’s behalf on an Internet or intranet website, if any, to which each Lender and the Administrative Agent have access (whether a commercial, third</w:t>
      </w:r>
      <w:r>
        <w:rPr>
          <w:rFonts w:ascii="MS PGothic" w:cs="MS PGothic" w:eastAsia="MS PGothic" w:hAnsi="MS PGothic"/>
          <w:sz w:val="18"/>
          <w:szCs w:val="18"/>
          <w:color w:val="auto"/>
        </w:rPr>
        <w:t>‑</w:t>
      </w:r>
      <w:r>
        <w:rPr>
          <w:rFonts w:ascii="Arial" w:cs="Arial" w:eastAsia="Arial" w:hAnsi="Arial"/>
          <w:sz w:val="18"/>
          <w:szCs w:val="18"/>
          <w:color w:val="auto"/>
        </w:rPr>
        <w:t xml:space="preserve">party website or whether sponsored by the Administrative Agent);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(A) EWI shall deliver paper copies of such documents to the Administrative Agent or any Lender that requests EWI to deliver such paper copies until a written request to cease delivering paper copies is given by the Administrative Agent or such Lender and (B) EWI shall notify (which may be by facsimile or electronic mail) the Administrative Agent and each Lender of the posting of any such documents and provide to the Administrative Agent by electronic mail electronic versions (</w:t>
      </w:r>
      <w:r>
        <w:rPr>
          <w:rFonts w:ascii="Arial" w:cs="Arial" w:eastAsia="Arial" w:hAnsi="Arial"/>
          <w:sz w:val="18"/>
          <w:szCs w:val="18"/>
          <w:u w:val="single" w:color="auto"/>
          <w:color w:val="auto"/>
        </w:rPr>
        <w:t>i.e.</w:t>
      </w:r>
      <w:r>
        <w:rPr>
          <w:rFonts w:ascii="Arial" w:cs="Arial" w:eastAsia="Arial" w:hAnsi="Arial"/>
          <w:sz w:val="18"/>
          <w:szCs w:val="18"/>
          <w:color w:val="auto"/>
        </w:rPr>
        <w:t xml:space="preserve">, soft copies) of such documents. Notwithstanding anything contained herein, in every instance EWI shall be required to provide paper copies of the Compliance Certificates required by </w:t>
      </w:r>
      <w:r>
        <w:rPr>
          <w:rFonts w:ascii="Arial" w:cs="Arial" w:eastAsia="Arial" w:hAnsi="Arial"/>
          <w:sz w:val="18"/>
          <w:szCs w:val="18"/>
          <w:u w:val="single" w:color="auto"/>
          <w:color w:val="auto"/>
        </w:rPr>
        <w:t>Section 7.02(b)</w:t>
      </w:r>
      <w:r>
        <w:rPr>
          <w:rFonts w:ascii="Arial" w:cs="Arial" w:eastAsia="Arial" w:hAnsi="Arial"/>
          <w:sz w:val="18"/>
          <w:szCs w:val="18"/>
          <w:color w:val="auto"/>
        </w:rPr>
        <w:t xml:space="preserve"> to the Administrative Agent. Except for such Compliance Certificates, the Administrative Agent shall have no obligation to request the delivery or to maintain copies of the documents referred to above, and in any event shall have no responsibility to monitor compliance by EWI with any such request for delivery, and each Lender shall be solely responsible for requesting delivery by it or maintaining its copies of such documents.</w:t>
      </w:r>
    </w:p>
    <w:p>
      <w:pPr>
        <w:spacing w:after="0" w:line="207" w:lineRule="exact"/>
        <w:rPr>
          <w:sz w:val="20"/>
          <w:szCs w:val="20"/>
          <w:color w:val="auto"/>
        </w:rPr>
      </w:pPr>
    </w:p>
    <w:p>
      <w:pPr>
        <w:ind w:firstLine="567"/>
        <w:spacing w:after="0" w:line="255" w:lineRule="auto"/>
        <w:rPr>
          <w:sz w:val="20"/>
          <w:szCs w:val="20"/>
          <w:color w:val="auto"/>
        </w:rPr>
      </w:pPr>
      <w:r>
        <w:rPr>
          <w:rFonts w:ascii="Arial" w:cs="Arial" w:eastAsia="Arial" w:hAnsi="Arial"/>
          <w:sz w:val="19"/>
          <w:szCs w:val="19"/>
          <w:color w:val="auto"/>
        </w:rPr>
        <w:t>Such Credit Party hereby acknowledges that (a) the Administrative Agent and/or the Arranger will make available to the Lenders and the L/C Issuers materials and/or information provided by or on behalf of the Credit Parties hereunder (collectively, “</w:t>
      </w:r>
      <w:r>
        <w:rPr>
          <w:rFonts w:ascii="Arial" w:cs="Arial" w:eastAsia="Arial" w:hAnsi="Arial"/>
          <w:sz w:val="19"/>
          <w:szCs w:val="19"/>
          <w:u w:val="single" w:color="auto"/>
          <w:color w:val="auto"/>
        </w:rPr>
        <w:t>Credit Party Materials</w:t>
      </w:r>
      <w:r>
        <w:rPr>
          <w:rFonts w:ascii="Arial" w:cs="Arial" w:eastAsia="Arial" w:hAnsi="Arial"/>
          <w:sz w:val="19"/>
          <w:szCs w:val="19"/>
          <w:color w:val="auto"/>
        </w:rPr>
        <w:t>”) by posting the Credit Party Materials on IntraLinks or another similar electronic system (the “</w:t>
      </w:r>
      <w:r>
        <w:rPr>
          <w:rFonts w:ascii="Arial" w:cs="Arial" w:eastAsia="Arial" w:hAnsi="Arial"/>
          <w:sz w:val="19"/>
          <w:szCs w:val="19"/>
          <w:u w:val="single" w:color="auto"/>
          <w:color w:val="auto"/>
        </w:rPr>
        <w:t>Platform</w:t>
      </w:r>
      <w:r>
        <w:rPr>
          <w:rFonts w:ascii="Arial" w:cs="Arial" w:eastAsia="Arial" w:hAnsi="Arial"/>
          <w:sz w:val="19"/>
          <w:szCs w:val="19"/>
          <w:color w:val="auto"/>
        </w:rPr>
        <w:t>”) and (b) certain of the Lenders (each, a “</w:t>
      </w:r>
      <w:r>
        <w:rPr>
          <w:rFonts w:ascii="Arial" w:cs="Arial" w:eastAsia="Arial" w:hAnsi="Arial"/>
          <w:sz w:val="19"/>
          <w:szCs w:val="19"/>
          <w:u w:val="single" w:color="auto"/>
          <w:color w:val="auto"/>
        </w:rPr>
        <w:t>Public Lender</w:t>
      </w:r>
      <w:r>
        <w:rPr>
          <w:rFonts w:ascii="Arial" w:cs="Arial" w:eastAsia="Arial" w:hAnsi="Arial"/>
          <w:sz w:val="19"/>
          <w:szCs w:val="19"/>
          <w:color w:val="auto"/>
        </w:rPr>
        <w:t>”) may have personnel who do not wish to receive material non-public information with respect to the Credit Parties or their Affiliates, or the respective securities of any of the foregoing, and who may be engaged in investment and other market-related activities with respect to such Persons’ securities. Such Credit Party hereby agrees that (w) all Credit Party Materials that are to be made available to Public Lenders shall be clearly and conspicuously marked “PUBLIC” which, at a minimum, shall mean that the word “PUBLIC” shall appear prominently on the first page thereof; (x) by marking Credit Party Materials “PUBLIC,” such Credit Party shall be deemed to have authorized the Administrative Agent, the Arranger, the L/C Issuers and the Lenders to treat such Credit Party Materials as not containing any material non-public information with respect to such Credit Party or its securities for purposes of United States federal and state securities laws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xml:space="preserve">, that to the extent such Credit Party Materials constitute Information, they shall be treated as set forth in </w:t>
      </w:r>
      <w:r>
        <w:rPr>
          <w:rFonts w:ascii="Arial" w:cs="Arial" w:eastAsia="Arial" w:hAnsi="Arial"/>
          <w:sz w:val="19"/>
          <w:szCs w:val="19"/>
          <w:u w:val="single" w:color="auto"/>
          <w:color w:val="auto"/>
        </w:rPr>
        <w:t>Section 11.07</w:t>
      </w:r>
      <w:r>
        <w:rPr>
          <w:rFonts w:ascii="Arial" w:cs="Arial" w:eastAsia="Arial" w:hAnsi="Arial"/>
          <w:sz w:val="19"/>
          <w:szCs w:val="19"/>
          <w:color w:val="auto"/>
        </w:rPr>
        <w:t>); (y) all Credit Party Materials marked “PUBLIC” are permitted to be made available through a portion of the Platform designated “Public Investor;” and (z) the Administrative Agent and the Arranger shall be entitled</w:t>
      </w:r>
    </w:p>
    <w:p>
      <w:pPr>
        <w:spacing w:after="0" w:line="200" w:lineRule="exact"/>
        <w:rPr>
          <w:sz w:val="20"/>
          <w:szCs w:val="20"/>
          <w:color w:val="auto"/>
        </w:rPr>
      </w:pPr>
    </w:p>
    <w:p>
      <w:pPr>
        <w:spacing w:after="0" w:line="226"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146</w:t>
      </w:r>
    </w:p>
    <w:p>
      <w:pPr>
        <w:spacing w:after="0" w:line="10" w:lineRule="exact"/>
        <w:rPr>
          <w:sz w:val="20"/>
          <w:szCs w:val="20"/>
          <w:color w:val="auto"/>
        </w:rPr>
      </w:pPr>
    </w:p>
    <w:p>
      <w:pPr>
        <w:spacing w:after="0"/>
        <w:rPr>
          <w:sz w:val="20"/>
          <w:szCs w:val="20"/>
          <w:color w:val="auto"/>
        </w:rPr>
      </w:pPr>
      <w:r>
        <w:rPr>
          <w:rFonts w:ascii="Arial" w:cs="Arial" w:eastAsia="Arial" w:hAnsi="Arial"/>
          <w:sz w:val="14"/>
          <w:szCs w:val="14"/>
          <w:color w:val="auto"/>
        </w:rPr>
        <w:t>CHAR1\1346423v</w:t>
      </w:r>
      <w:r>
        <w:rPr>
          <w:rFonts w:ascii="Arial" w:cs="Arial" w:eastAsia="Arial" w:hAnsi="Arial"/>
          <w:sz w:val="14"/>
          <w:szCs w:val="14"/>
          <w:color w:val="FF0000"/>
          <w:strike w:val="1"/>
        </w:rPr>
        <w:t>1</w:t>
      </w:r>
      <w:r>
        <w:rPr>
          <w:rFonts w:ascii="Arial" w:cs="Arial" w:eastAsia="Arial" w:hAnsi="Arial"/>
          <w:sz w:val="14"/>
          <w:szCs w:val="14"/>
          <w:u w:val="single" w:color="auto"/>
          <w:color w:val="0000FF"/>
        </w:rPr>
        <w:t>12</w:t>
      </w:r>
    </w:p>
    <w:p>
      <w:pPr>
        <w:sectPr>
          <w:pgSz w:w="11900" w:h="16838" w:orient="portrait"/>
          <w:cols w:equalWidth="0" w:num="1">
            <w:col w:w="11400"/>
          </w:cols>
          <w:pgMar w:left="240" w:top="609" w:right="259" w:bottom="1440" w:gutter="0" w:footer="0" w:header="0"/>
        </w:sectPr>
      </w:pPr>
    </w:p>
    <w:bookmarkStart w:id="198" w:name="page199"/>
    <w:bookmarkEnd w:id="198"/>
    <w:p>
      <w:pPr>
        <w:ind w:right="60"/>
        <w:spacing w:after="0" w:line="260" w:lineRule="auto"/>
        <w:rPr>
          <w:sz w:val="20"/>
          <w:szCs w:val="20"/>
          <w:color w:val="auto"/>
        </w:rPr>
      </w:pPr>
      <w:r>
        <w:rPr>
          <w:rFonts w:ascii="Arial" w:cs="Arial" w:eastAsia="Arial" w:hAnsi="Arial"/>
          <w:sz w:val="20"/>
          <w:szCs w:val="20"/>
          <w:color w:val="auto"/>
        </w:rPr>
        <w:t>to treat any Credit Party Materials that are not marked “PUBLIC” as being suitable only for posting on a portion of the Platform not designated “Public Investor.”</w:t>
      </w:r>
    </w:p>
    <w:p>
      <w:pPr>
        <w:spacing w:after="0" w:line="204" w:lineRule="exact"/>
        <w:rPr>
          <w:sz w:val="20"/>
          <w:szCs w:val="20"/>
          <w:color w:val="auto"/>
        </w:rPr>
      </w:pPr>
    </w:p>
    <w:p>
      <w:pPr>
        <w:ind w:left="660"/>
        <w:spacing w:after="0"/>
        <w:tabs>
          <w:tab w:leader="none" w:pos="1160" w:val="left"/>
        </w:tabs>
        <w:rPr>
          <w:sz w:val="20"/>
          <w:szCs w:val="20"/>
          <w:color w:val="auto"/>
        </w:rPr>
      </w:pPr>
      <w:r>
        <w:rPr>
          <w:rFonts w:ascii="Arial" w:cs="Arial" w:eastAsia="Arial" w:hAnsi="Arial"/>
          <w:sz w:val="20"/>
          <w:szCs w:val="20"/>
          <w:color w:val="auto"/>
        </w:rPr>
        <w:t>7.03</w:t>
      </w:r>
      <w:r>
        <w:rPr>
          <w:sz w:val="20"/>
          <w:szCs w:val="20"/>
          <w:color w:val="auto"/>
        </w:rPr>
        <w:tab/>
      </w:r>
      <w:r>
        <w:rPr>
          <w:rFonts w:ascii="Arial" w:cs="Arial" w:eastAsia="Arial" w:hAnsi="Arial"/>
          <w:sz w:val="18"/>
          <w:szCs w:val="18"/>
          <w:u w:val="single" w:color="auto"/>
          <w:color w:val="auto"/>
        </w:rPr>
        <w:t>Notification</w:t>
      </w:r>
      <w:r>
        <w:rPr>
          <w:rFonts w:ascii="Arial" w:cs="Arial" w:eastAsia="Arial" w:hAnsi="Arial"/>
          <w:sz w:val="18"/>
          <w:szCs w:val="18"/>
          <w:color w:val="auto"/>
        </w:rPr>
        <w:t>. Deliver to the Administrative Agent for further distribution to the Lenders, promptly after a Responsible Officer of</w:t>
      </w:r>
    </w:p>
    <w:p>
      <w:pPr>
        <w:spacing w:after="0" w:line="54" w:lineRule="exact"/>
        <w:rPr>
          <w:sz w:val="20"/>
          <w:szCs w:val="20"/>
          <w:color w:val="auto"/>
        </w:rPr>
      </w:pPr>
    </w:p>
    <w:p>
      <w:pPr>
        <w:spacing w:after="0"/>
        <w:rPr>
          <w:sz w:val="20"/>
          <w:szCs w:val="20"/>
          <w:color w:val="auto"/>
        </w:rPr>
      </w:pPr>
      <w:r>
        <w:rPr>
          <w:rFonts w:ascii="Arial" w:cs="Arial" w:eastAsia="Arial" w:hAnsi="Arial"/>
          <w:sz w:val="20"/>
          <w:szCs w:val="20"/>
          <w:color w:val="auto"/>
        </w:rPr>
        <w:t>EWI obtains knowledge thereof, notice of any of the following:</w:t>
      </w:r>
    </w:p>
    <w:p>
      <w:pPr>
        <w:spacing w:after="0" w:line="256" w:lineRule="exact"/>
        <w:rPr>
          <w:sz w:val="20"/>
          <w:szCs w:val="20"/>
          <w:color w:val="auto"/>
        </w:rPr>
      </w:pPr>
    </w:p>
    <w:p>
      <w:pPr>
        <w:ind w:left="1700" w:hanging="395"/>
        <w:spacing w:after="0"/>
        <w:tabs>
          <w:tab w:leader="none" w:pos="1700" w:val="left"/>
        </w:tabs>
        <w:numPr>
          <w:ilvl w:val="0"/>
          <w:numId w:val="205"/>
        </w:numPr>
        <w:rPr>
          <w:rFonts w:ascii="Arial" w:cs="Arial" w:eastAsia="Arial" w:hAnsi="Arial"/>
          <w:sz w:val="20"/>
          <w:szCs w:val="20"/>
          <w:color w:val="auto"/>
        </w:rPr>
      </w:pPr>
      <w:r>
        <w:rPr>
          <w:rFonts w:ascii="Arial" w:cs="Arial" w:eastAsia="Arial" w:hAnsi="Arial"/>
          <w:sz w:val="20"/>
          <w:szCs w:val="20"/>
          <w:color w:val="auto"/>
        </w:rPr>
        <w:t>the occurrence of any Default or Event of Default;</w:t>
      </w:r>
    </w:p>
    <w:p>
      <w:pPr>
        <w:spacing w:after="0" w:line="269" w:lineRule="exact"/>
        <w:rPr>
          <w:rFonts w:ascii="Arial" w:cs="Arial" w:eastAsia="Arial" w:hAnsi="Arial"/>
          <w:sz w:val="20"/>
          <w:szCs w:val="20"/>
          <w:color w:val="auto"/>
        </w:rPr>
      </w:pPr>
    </w:p>
    <w:p>
      <w:pPr>
        <w:ind w:left="1720" w:hanging="415"/>
        <w:spacing w:after="0"/>
        <w:tabs>
          <w:tab w:leader="none" w:pos="1720" w:val="left"/>
        </w:tabs>
        <w:numPr>
          <w:ilvl w:val="0"/>
          <w:numId w:val="205"/>
        </w:numPr>
        <w:rPr>
          <w:rFonts w:ascii="Arial" w:cs="Arial" w:eastAsia="Arial" w:hAnsi="Arial"/>
          <w:sz w:val="18"/>
          <w:szCs w:val="18"/>
          <w:color w:val="auto"/>
        </w:rPr>
      </w:pPr>
      <w:r>
        <w:rPr>
          <w:rFonts w:ascii="Arial" w:cs="Arial" w:eastAsia="Arial" w:hAnsi="Arial"/>
          <w:sz w:val="18"/>
          <w:szCs w:val="18"/>
          <w:color w:val="auto"/>
        </w:rPr>
        <w:t>any matter that has resulted or would reasonably be expected to result in a Material Adverse Effect, including (i) breach or</w:t>
      </w:r>
    </w:p>
    <w:p>
      <w:pPr>
        <w:spacing w:after="0" w:line="76" w:lineRule="exact"/>
        <w:rPr>
          <w:rFonts w:ascii="Arial" w:cs="Arial" w:eastAsia="Arial" w:hAnsi="Arial"/>
          <w:sz w:val="18"/>
          <w:szCs w:val="18"/>
          <w:color w:val="auto"/>
        </w:rPr>
      </w:pPr>
    </w:p>
    <w:p>
      <w:pPr>
        <w:ind w:left="660" w:right="420"/>
        <w:spacing w:after="0" w:line="265" w:lineRule="exact"/>
        <w:rPr>
          <w:rFonts w:ascii="Arial" w:cs="Arial" w:eastAsia="Arial" w:hAnsi="Arial"/>
          <w:sz w:val="18"/>
          <w:szCs w:val="18"/>
          <w:color w:val="auto"/>
        </w:rPr>
      </w:pPr>
      <w:r>
        <w:rPr>
          <w:rFonts w:ascii="Arial" w:cs="Arial" w:eastAsia="Arial" w:hAnsi="Arial"/>
          <w:sz w:val="18"/>
          <w:szCs w:val="18"/>
          <w:color w:val="auto"/>
        </w:rPr>
        <w:t>non</w:t>
      </w:r>
      <w:r>
        <w:rPr>
          <w:rFonts w:ascii="MS PGothic" w:cs="MS PGothic" w:eastAsia="MS PGothic" w:hAnsi="MS PGothic"/>
          <w:sz w:val="18"/>
          <w:szCs w:val="18"/>
          <w:color w:val="auto"/>
        </w:rPr>
        <w:t>‑</w:t>
      </w:r>
      <w:r>
        <w:rPr>
          <w:rFonts w:ascii="Arial" w:cs="Arial" w:eastAsia="Arial" w:hAnsi="Arial"/>
          <w:sz w:val="18"/>
          <w:szCs w:val="18"/>
          <w:color w:val="auto"/>
        </w:rPr>
        <w:t>performance of, or any default under, a Contractual Obligation of such Credit Party or any of its Subsidiaries; (ii) any dispute, litigation, investigation, proceeding or suspension between such Credit Party or any of its Subsidiaries and any Governmental Authority; or (iii) the commencement of, or any material development in, any litigation, investigation or proceeding affecting such Credit Party or any of its Subsidiaries, including pursuant to any applicable Environmental Laws; and</w:t>
      </w:r>
    </w:p>
    <w:p>
      <w:pPr>
        <w:spacing w:after="0" w:line="237" w:lineRule="exact"/>
        <w:rPr>
          <w:rFonts w:ascii="Arial" w:cs="Arial" w:eastAsia="Arial" w:hAnsi="Arial"/>
          <w:sz w:val="18"/>
          <w:szCs w:val="18"/>
          <w:color w:val="auto"/>
        </w:rPr>
      </w:pPr>
    </w:p>
    <w:p>
      <w:pPr>
        <w:ind w:left="660" w:right="260" w:firstLine="645"/>
        <w:spacing w:after="0" w:line="317" w:lineRule="auto"/>
        <w:tabs>
          <w:tab w:leader="none" w:pos="1708" w:val="left"/>
        </w:tabs>
        <w:numPr>
          <w:ilvl w:val="0"/>
          <w:numId w:val="205"/>
        </w:numPr>
        <w:rPr>
          <w:rFonts w:ascii="Arial" w:cs="Arial" w:eastAsia="Arial" w:hAnsi="Arial"/>
          <w:sz w:val="20"/>
          <w:szCs w:val="20"/>
          <w:color w:val="auto"/>
        </w:rPr>
      </w:pPr>
      <w:r>
        <w:rPr>
          <w:rFonts w:ascii="Arial" w:cs="Arial" w:eastAsia="Arial" w:hAnsi="Arial"/>
          <w:sz w:val="20"/>
          <w:szCs w:val="20"/>
          <w:color w:val="auto"/>
        </w:rPr>
        <w:t>the occurrence of any ERISA Event with respect to any Credit Party or any of its Subsidiaries that would reasonably be expected to result in a Material Adverse Effect.</w:t>
      </w:r>
    </w:p>
    <w:p>
      <w:pPr>
        <w:spacing w:after="0" w:line="135" w:lineRule="exact"/>
        <w:rPr>
          <w:sz w:val="20"/>
          <w:szCs w:val="20"/>
          <w:color w:val="auto"/>
        </w:rPr>
      </w:pPr>
    </w:p>
    <w:p>
      <w:pPr>
        <w:ind w:firstLine="648"/>
        <w:spacing w:after="0" w:line="342" w:lineRule="auto"/>
        <w:rPr>
          <w:sz w:val="20"/>
          <w:szCs w:val="20"/>
          <w:color w:val="auto"/>
        </w:rPr>
      </w:pPr>
      <w:r>
        <w:rPr>
          <w:rFonts w:ascii="Arial" w:cs="Arial" w:eastAsia="Arial" w:hAnsi="Arial"/>
          <w:sz w:val="16"/>
          <w:szCs w:val="16"/>
          <w:color w:val="auto"/>
        </w:rPr>
        <w:t xml:space="preserve">Each notice pursuant to this Section shall be accompanied by a statement of a Responsible Officer of EWI setting forth details of the occurrence referred to therein and stating what EWI has taken and proposes to take with respect thereto. Each notice pursuant to </w:t>
      </w:r>
      <w:r>
        <w:rPr>
          <w:rFonts w:ascii="Arial" w:cs="Arial" w:eastAsia="Arial" w:hAnsi="Arial"/>
          <w:sz w:val="16"/>
          <w:szCs w:val="16"/>
          <w:u w:val="single" w:color="auto"/>
          <w:color w:val="auto"/>
        </w:rPr>
        <w:t>Section 7.03(a)</w:t>
      </w:r>
      <w:r>
        <w:rPr>
          <w:rFonts w:ascii="Arial" w:cs="Arial" w:eastAsia="Arial" w:hAnsi="Arial"/>
          <w:sz w:val="16"/>
          <w:szCs w:val="16"/>
          <w:color w:val="auto"/>
        </w:rPr>
        <w:t xml:space="preserve"> shall describe with particularity any and all provisions of this Credit Agreement and any other Credit Document that have been breached.</w:t>
      </w:r>
    </w:p>
    <w:p>
      <w:pPr>
        <w:spacing w:after="0" w:line="145" w:lineRule="exact"/>
        <w:rPr>
          <w:sz w:val="20"/>
          <w:szCs w:val="20"/>
          <w:color w:val="auto"/>
        </w:rPr>
      </w:pPr>
    </w:p>
    <w:p>
      <w:pPr>
        <w:ind w:firstLine="648"/>
        <w:spacing w:after="0" w:line="335" w:lineRule="auto"/>
        <w:rPr>
          <w:sz w:val="20"/>
          <w:szCs w:val="20"/>
          <w:color w:val="auto"/>
        </w:rPr>
      </w:pPr>
      <w:r>
        <w:rPr>
          <w:rFonts w:ascii="Arial" w:cs="Arial" w:eastAsia="Arial" w:hAnsi="Arial"/>
          <w:sz w:val="18"/>
          <w:szCs w:val="18"/>
          <w:color w:val="auto"/>
        </w:rPr>
        <w:t xml:space="preserve">7.04 </w:t>
      </w:r>
      <w:r>
        <w:rPr>
          <w:rFonts w:ascii="Arial" w:cs="Arial" w:eastAsia="Arial" w:hAnsi="Arial"/>
          <w:sz w:val="18"/>
          <w:szCs w:val="18"/>
          <w:u w:val="single" w:color="auto"/>
          <w:color w:val="auto"/>
        </w:rPr>
        <w:t>Payment of Obligations</w:t>
      </w:r>
      <w:r>
        <w:rPr>
          <w:rFonts w:ascii="Arial" w:cs="Arial" w:eastAsia="Arial" w:hAnsi="Arial"/>
          <w:sz w:val="18"/>
          <w:szCs w:val="18"/>
          <w:color w:val="auto"/>
        </w:rPr>
        <w:t>. Pay and discharge as the same shall become due and payable, all its obligations and liabilities, including all tax liabilities, assessments and governmental charges or levies upon it or its properties or assets, unless (i) the same are being contested in good faith by appropriate proceedings diligently conducted and adequate reserves in accordance with GAAP are being maintained or (ii) the failure to pay any such obligations and liabilities would not reasonably be expected to have a Material Adverse Effect.</w:t>
      </w:r>
    </w:p>
    <w:p>
      <w:pPr>
        <w:spacing w:after="0" w:line="154" w:lineRule="exact"/>
        <w:rPr>
          <w:sz w:val="20"/>
          <w:szCs w:val="20"/>
          <w:color w:val="auto"/>
        </w:rPr>
      </w:pPr>
    </w:p>
    <w:p>
      <w:pPr>
        <w:ind w:left="660"/>
        <w:spacing w:after="0"/>
        <w:tabs>
          <w:tab w:leader="none" w:pos="1160" w:val="left"/>
        </w:tabs>
        <w:rPr>
          <w:sz w:val="20"/>
          <w:szCs w:val="20"/>
          <w:color w:val="auto"/>
        </w:rPr>
      </w:pPr>
      <w:r>
        <w:rPr>
          <w:rFonts w:ascii="Arial" w:cs="Arial" w:eastAsia="Arial" w:hAnsi="Arial"/>
          <w:sz w:val="20"/>
          <w:szCs w:val="20"/>
          <w:color w:val="auto"/>
        </w:rPr>
        <w:t>7.05</w:t>
      </w:r>
      <w:r>
        <w:rPr>
          <w:sz w:val="20"/>
          <w:szCs w:val="20"/>
          <w:color w:val="auto"/>
        </w:rPr>
        <w:tab/>
      </w:r>
      <w:r>
        <w:rPr>
          <w:rFonts w:ascii="Arial" w:cs="Arial" w:eastAsia="Arial" w:hAnsi="Arial"/>
          <w:sz w:val="16"/>
          <w:szCs w:val="16"/>
          <w:u w:val="single" w:color="auto"/>
          <w:color w:val="auto"/>
        </w:rPr>
        <w:t>Preservation of Existence, Etc</w:t>
      </w:r>
      <w:r>
        <w:rPr>
          <w:rFonts w:ascii="Arial" w:cs="Arial" w:eastAsia="Arial" w:hAnsi="Arial"/>
          <w:sz w:val="16"/>
          <w:szCs w:val="16"/>
          <w:color w:val="auto"/>
        </w:rPr>
        <w:t>.</w:t>
      </w:r>
    </w:p>
    <w:p>
      <w:pPr>
        <w:spacing w:after="0" w:line="270" w:lineRule="exact"/>
        <w:rPr>
          <w:sz w:val="20"/>
          <w:szCs w:val="20"/>
          <w:color w:val="auto"/>
        </w:rPr>
      </w:pPr>
    </w:p>
    <w:p>
      <w:pPr>
        <w:ind w:left="1700" w:hanging="395"/>
        <w:spacing w:after="0"/>
        <w:tabs>
          <w:tab w:leader="none" w:pos="1700" w:val="left"/>
        </w:tabs>
        <w:numPr>
          <w:ilvl w:val="0"/>
          <w:numId w:val="206"/>
        </w:numPr>
        <w:rPr>
          <w:rFonts w:ascii="Arial" w:cs="Arial" w:eastAsia="Arial" w:hAnsi="Arial"/>
          <w:sz w:val="18"/>
          <w:szCs w:val="18"/>
          <w:color w:val="auto"/>
        </w:rPr>
      </w:pPr>
      <w:r>
        <w:rPr>
          <w:rFonts w:ascii="Arial" w:cs="Arial" w:eastAsia="Arial" w:hAnsi="Arial"/>
          <w:sz w:val="18"/>
          <w:szCs w:val="18"/>
          <w:color w:val="auto"/>
        </w:rPr>
        <w:t>Preserve, renew and maintain in full force and effect its legal existence and (where applicable) good standing under the</w:t>
      </w:r>
    </w:p>
    <w:p>
      <w:pPr>
        <w:spacing w:after="0" w:line="76" w:lineRule="exact"/>
        <w:rPr>
          <w:rFonts w:ascii="Arial" w:cs="Arial" w:eastAsia="Arial" w:hAnsi="Arial"/>
          <w:sz w:val="18"/>
          <w:szCs w:val="18"/>
          <w:color w:val="auto"/>
        </w:rPr>
      </w:pPr>
    </w:p>
    <w:p>
      <w:pPr>
        <w:ind w:left="660" w:right="200"/>
        <w:spacing w:after="0" w:line="267" w:lineRule="exact"/>
        <w:rPr>
          <w:rFonts w:ascii="Arial" w:cs="Arial" w:eastAsia="Arial" w:hAnsi="Arial"/>
          <w:sz w:val="18"/>
          <w:szCs w:val="18"/>
          <w:color w:val="auto"/>
        </w:rPr>
      </w:pPr>
      <w:r>
        <w:rPr>
          <w:rFonts w:ascii="Arial" w:cs="Arial" w:eastAsia="Arial" w:hAnsi="Arial"/>
          <w:sz w:val="18"/>
          <w:szCs w:val="18"/>
          <w:color w:val="auto"/>
        </w:rPr>
        <w:t xml:space="preserve">Laws of the jurisdiction of its organization (except in connection with a transaction permitted by </w:t>
      </w:r>
      <w:r>
        <w:rPr>
          <w:rFonts w:ascii="Arial" w:cs="Arial" w:eastAsia="Arial" w:hAnsi="Arial"/>
          <w:sz w:val="18"/>
          <w:szCs w:val="18"/>
          <w:u w:val="single" w:color="auto"/>
          <w:color w:val="auto"/>
        </w:rPr>
        <w:t>Section 8.04</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8.05</w:t>
      </w:r>
      <w:r>
        <w:rPr>
          <w:rFonts w:ascii="Arial" w:cs="Arial" w:eastAsia="Arial" w:hAnsi="Arial"/>
          <w:sz w:val="18"/>
          <w:szCs w:val="18"/>
          <w:color w:val="auto"/>
        </w:rPr>
        <w:t xml:space="preserve"> or where (other than with respect to the existence of a Borrower) failure to do so would not reasonably be expected to result in a Material Adverse Effect); (b) take all commercially reasonable action to maintain all rights, privileges, permits, licenses and franchises necessary or desirable in the normal conduct of its business, except to the extent that failure to do so could not reasonably be expected to have a Material Adverse Effect; and (c) preserve or renew all of its registered patents, trademarks, trade names and service marks, the non</w:t>
      </w:r>
      <w:r>
        <w:rPr>
          <w:rFonts w:ascii="MS PGothic" w:cs="MS PGothic" w:eastAsia="MS PGothic" w:hAnsi="MS PGothic"/>
          <w:sz w:val="18"/>
          <w:szCs w:val="18"/>
          <w:color w:val="auto"/>
        </w:rPr>
        <w:t>‑</w:t>
      </w:r>
      <w:r>
        <w:rPr>
          <w:rFonts w:ascii="Arial" w:cs="Arial" w:eastAsia="Arial" w:hAnsi="Arial"/>
          <w:sz w:val="18"/>
          <w:szCs w:val="18"/>
          <w:color w:val="auto"/>
        </w:rPr>
        <w:t>preservation of which would reasonably be expected to have a Material Adverse Effect.</w:t>
      </w:r>
    </w:p>
    <w:p>
      <w:pPr>
        <w:spacing w:after="0" w:line="200" w:lineRule="exact"/>
        <w:rPr>
          <w:sz w:val="20"/>
          <w:szCs w:val="20"/>
          <w:color w:val="auto"/>
        </w:rPr>
      </w:pPr>
    </w:p>
    <w:p>
      <w:pPr>
        <w:spacing w:after="0" w:line="254"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147</w:t>
      </w:r>
    </w:p>
    <w:p>
      <w:pPr>
        <w:spacing w:after="0" w:line="10" w:lineRule="exact"/>
        <w:rPr>
          <w:sz w:val="20"/>
          <w:szCs w:val="20"/>
          <w:color w:val="auto"/>
        </w:rPr>
      </w:pPr>
    </w:p>
    <w:p>
      <w:pPr>
        <w:spacing w:after="0"/>
        <w:rPr>
          <w:sz w:val="20"/>
          <w:szCs w:val="20"/>
          <w:color w:val="auto"/>
        </w:rPr>
      </w:pPr>
      <w:r>
        <w:rPr>
          <w:rFonts w:ascii="Arial" w:cs="Arial" w:eastAsia="Arial" w:hAnsi="Arial"/>
          <w:sz w:val="14"/>
          <w:szCs w:val="14"/>
          <w:color w:val="auto"/>
        </w:rPr>
        <w:t>CHAR1\1346423v</w:t>
      </w:r>
      <w:r>
        <w:rPr>
          <w:rFonts w:ascii="Arial" w:cs="Arial" w:eastAsia="Arial" w:hAnsi="Arial"/>
          <w:sz w:val="14"/>
          <w:szCs w:val="14"/>
          <w:color w:val="FF0000"/>
          <w:strike w:val="1"/>
        </w:rPr>
        <w:t>1</w:t>
      </w:r>
      <w:r>
        <w:rPr>
          <w:rFonts w:ascii="Arial" w:cs="Arial" w:eastAsia="Arial" w:hAnsi="Arial"/>
          <w:sz w:val="14"/>
          <w:szCs w:val="14"/>
          <w:u w:val="single" w:color="auto"/>
          <w:color w:val="0000FF"/>
        </w:rPr>
        <w:t>12</w:t>
      </w:r>
    </w:p>
    <w:p>
      <w:pPr>
        <w:sectPr>
          <w:pgSz w:w="11900" w:h="16838" w:orient="portrait"/>
          <w:cols w:equalWidth="0" w:num="1">
            <w:col w:w="11420"/>
          </w:cols>
          <w:pgMar w:left="240" w:top="582" w:right="239" w:bottom="1440" w:gutter="0" w:footer="0" w:header="0"/>
        </w:sectPr>
      </w:pPr>
    </w:p>
    <w:bookmarkStart w:id="199" w:name="page200"/>
    <w:bookmarkEnd w:id="199"/>
    <w:p>
      <w:pPr>
        <w:ind w:left="660"/>
        <w:spacing w:after="0"/>
        <w:tabs>
          <w:tab w:leader="none" w:pos="1160" w:val="left"/>
        </w:tabs>
        <w:rPr>
          <w:sz w:val="20"/>
          <w:szCs w:val="20"/>
          <w:color w:val="auto"/>
        </w:rPr>
      </w:pPr>
      <w:r>
        <w:rPr>
          <w:rFonts w:ascii="Arial" w:cs="Arial" w:eastAsia="Arial" w:hAnsi="Arial"/>
          <w:sz w:val="20"/>
          <w:szCs w:val="20"/>
          <w:color w:val="auto"/>
        </w:rPr>
        <w:t>7.06</w:t>
      </w:r>
      <w:r>
        <w:rPr>
          <w:sz w:val="20"/>
          <w:szCs w:val="20"/>
          <w:color w:val="auto"/>
        </w:rPr>
        <w:tab/>
      </w:r>
      <w:r>
        <w:rPr>
          <w:rFonts w:ascii="Arial" w:cs="Arial" w:eastAsia="Arial" w:hAnsi="Arial"/>
          <w:sz w:val="16"/>
          <w:szCs w:val="16"/>
          <w:u w:val="single" w:color="auto"/>
          <w:color w:val="auto"/>
        </w:rPr>
        <w:t>Maintenance of Properties</w:t>
      </w:r>
      <w:r>
        <w:rPr>
          <w:rFonts w:ascii="Arial" w:cs="Arial" w:eastAsia="Arial" w:hAnsi="Arial"/>
          <w:sz w:val="16"/>
          <w:szCs w:val="16"/>
          <w:color w:val="auto"/>
        </w:rPr>
        <w:t>.</w:t>
      </w:r>
    </w:p>
    <w:p>
      <w:pPr>
        <w:spacing w:after="0" w:line="270" w:lineRule="exact"/>
        <w:rPr>
          <w:sz w:val="20"/>
          <w:szCs w:val="20"/>
          <w:color w:val="auto"/>
        </w:rPr>
      </w:pPr>
    </w:p>
    <w:p>
      <w:pPr>
        <w:ind w:left="1700" w:hanging="395"/>
        <w:spacing w:after="0"/>
        <w:tabs>
          <w:tab w:leader="none" w:pos="1700" w:val="left"/>
        </w:tabs>
        <w:numPr>
          <w:ilvl w:val="0"/>
          <w:numId w:val="207"/>
        </w:numPr>
        <w:rPr>
          <w:rFonts w:ascii="Arial" w:cs="Arial" w:eastAsia="Arial" w:hAnsi="Arial"/>
          <w:sz w:val="16"/>
          <w:szCs w:val="16"/>
          <w:color w:val="auto"/>
        </w:rPr>
      </w:pPr>
      <w:r>
        <w:rPr>
          <w:rFonts w:ascii="Arial" w:cs="Arial" w:eastAsia="Arial" w:hAnsi="Arial"/>
          <w:sz w:val="16"/>
          <w:szCs w:val="16"/>
          <w:color w:val="auto"/>
        </w:rPr>
        <w:t>Maintain, preserve and protect all of its Property and equipment necessary in the operation of its business in good working</w:t>
      </w:r>
    </w:p>
    <w:p>
      <w:pPr>
        <w:spacing w:after="0" w:line="99" w:lineRule="exact"/>
        <w:rPr>
          <w:rFonts w:ascii="Arial" w:cs="Arial" w:eastAsia="Arial" w:hAnsi="Arial"/>
          <w:sz w:val="16"/>
          <w:szCs w:val="16"/>
          <w:color w:val="auto"/>
        </w:rPr>
      </w:pPr>
    </w:p>
    <w:p>
      <w:pPr>
        <w:ind w:left="660" w:right="60"/>
        <w:spacing w:after="0" w:line="288" w:lineRule="auto"/>
        <w:rPr>
          <w:rFonts w:ascii="Arial" w:cs="Arial" w:eastAsia="Arial" w:hAnsi="Arial"/>
          <w:sz w:val="16"/>
          <w:szCs w:val="16"/>
          <w:color w:val="auto"/>
        </w:rPr>
      </w:pPr>
      <w:r>
        <w:rPr>
          <w:rFonts w:ascii="Arial" w:cs="Arial" w:eastAsia="Arial" w:hAnsi="Arial"/>
          <w:sz w:val="20"/>
          <w:szCs w:val="20"/>
          <w:color w:val="auto"/>
        </w:rPr>
        <w:t>order and condition, ordinary wear and tear excepted unless (i) such Credit Party or Subsidiary of such Credit Party determines in good faith that the continued maintenance of such Property is no longer economically desirable, necessary or useful to its business, (ii) the Disposition of such Property is a Permitted Disposition or (iii) the failure to so maintain, preserve or protect such Property would not be expected to have a Material Adverse Effect;</w:t>
      </w:r>
    </w:p>
    <w:p>
      <w:pPr>
        <w:spacing w:after="0" w:line="192" w:lineRule="exact"/>
        <w:rPr>
          <w:rFonts w:ascii="Arial" w:cs="Arial" w:eastAsia="Arial" w:hAnsi="Arial"/>
          <w:sz w:val="16"/>
          <w:szCs w:val="16"/>
          <w:color w:val="auto"/>
        </w:rPr>
      </w:pPr>
    </w:p>
    <w:p>
      <w:pPr>
        <w:ind w:left="660" w:right="360" w:firstLine="645"/>
        <w:spacing w:after="0" w:line="317" w:lineRule="auto"/>
        <w:tabs>
          <w:tab w:leader="none" w:pos="1719" w:val="left"/>
        </w:tabs>
        <w:numPr>
          <w:ilvl w:val="0"/>
          <w:numId w:val="207"/>
        </w:numPr>
        <w:rPr>
          <w:rFonts w:ascii="Arial" w:cs="Arial" w:eastAsia="Arial" w:hAnsi="Arial"/>
          <w:sz w:val="20"/>
          <w:szCs w:val="20"/>
          <w:color w:val="auto"/>
        </w:rPr>
      </w:pPr>
      <w:r>
        <w:rPr>
          <w:rFonts w:ascii="Arial" w:cs="Arial" w:eastAsia="Arial" w:hAnsi="Arial"/>
          <w:sz w:val="20"/>
          <w:szCs w:val="20"/>
          <w:color w:val="auto"/>
        </w:rPr>
        <w:t>make all necessary repairs thereto and renewals and replacements thereof, except where the failure to do so would not reasonably be expected to have a Material Adverse Effect; and</w:t>
      </w:r>
    </w:p>
    <w:p>
      <w:pPr>
        <w:spacing w:after="0" w:line="162" w:lineRule="exact"/>
        <w:rPr>
          <w:rFonts w:ascii="Arial" w:cs="Arial" w:eastAsia="Arial" w:hAnsi="Arial"/>
          <w:sz w:val="20"/>
          <w:szCs w:val="20"/>
          <w:color w:val="auto"/>
        </w:rPr>
      </w:pPr>
    </w:p>
    <w:p>
      <w:pPr>
        <w:ind w:left="660" w:right="40" w:firstLine="645"/>
        <w:spacing w:after="0" w:line="317" w:lineRule="auto"/>
        <w:tabs>
          <w:tab w:leader="none" w:pos="1708" w:val="left"/>
        </w:tabs>
        <w:numPr>
          <w:ilvl w:val="0"/>
          <w:numId w:val="207"/>
        </w:numPr>
        <w:rPr>
          <w:rFonts w:ascii="Arial" w:cs="Arial" w:eastAsia="Arial" w:hAnsi="Arial"/>
          <w:sz w:val="20"/>
          <w:szCs w:val="20"/>
          <w:color w:val="auto"/>
        </w:rPr>
      </w:pPr>
      <w:r>
        <w:rPr>
          <w:rFonts w:ascii="Arial" w:cs="Arial" w:eastAsia="Arial" w:hAnsi="Arial"/>
          <w:sz w:val="20"/>
          <w:szCs w:val="20"/>
          <w:color w:val="auto"/>
        </w:rPr>
        <w:t>use the standard of care typical in the industry in the operation and maintenance of its facilities, except where failure to do so would not reasonably be expected to have a Material Adverse Effect.</w:t>
      </w:r>
    </w:p>
    <w:p>
      <w:pPr>
        <w:spacing w:after="0" w:line="162" w:lineRule="exact"/>
        <w:rPr>
          <w:sz w:val="20"/>
          <w:szCs w:val="20"/>
          <w:color w:val="auto"/>
        </w:rPr>
      </w:pPr>
    </w:p>
    <w:p>
      <w:pPr>
        <w:ind w:right="40" w:firstLine="648"/>
        <w:spacing w:after="0" w:line="303" w:lineRule="auto"/>
        <w:rPr>
          <w:sz w:val="20"/>
          <w:szCs w:val="20"/>
          <w:color w:val="auto"/>
        </w:rPr>
      </w:pPr>
      <w:r>
        <w:rPr>
          <w:rFonts w:ascii="Arial" w:cs="Arial" w:eastAsia="Arial" w:hAnsi="Arial"/>
          <w:sz w:val="19"/>
          <w:szCs w:val="19"/>
          <w:color w:val="auto"/>
        </w:rPr>
        <w:t xml:space="preserve">7.07 </w:t>
      </w:r>
      <w:r>
        <w:rPr>
          <w:rFonts w:ascii="Arial" w:cs="Arial" w:eastAsia="Arial" w:hAnsi="Arial"/>
          <w:sz w:val="19"/>
          <w:szCs w:val="19"/>
          <w:u w:val="single" w:color="auto"/>
          <w:color w:val="auto"/>
        </w:rPr>
        <w:t>Maintenance of Insurance</w:t>
      </w:r>
      <w:r>
        <w:rPr>
          <w:rFonts w:ascii="Arial" w:cs="Arial" w:eastAsia="Arial" w:hAnsi="Arial"/>
          <w:sz w:val="19"/>
          <w:szCs w:val="19"/>
          <w:color w:val="auto"/>
        </w:rPr>
        <w:t>. Maintain in full force and effect with financially sound and reputable insurance companies that are not Affiliates of the Borrowers, insurance with respect to its properties and business against loss or damage of the kinds customarily insured against by Persons engaged in the same or similar business, of such types and in such amounts (after giving effect to any self-insurance compatible with the following standards) as are customarily carried under similar circumstances by such other Persons. Such insurance shall identify the Collateral Agent as sole loss payee as its interest may appear, with respect to flood hazard and property insurance, and as additional insured, with respect to liability insurance and provide for not less than thirty days’ prior notice to the Collateral Agent of the cancellation of any such insurance. EWI will notify the Administrative Agent promptly after a Responsible Officer of EWI obtains knowledge of any cancellation, termination or lapse of any such insurance.</w:t>
      </w:r>
    </w:p>
    <w:p>
      <w:pPr>
        <w:spacing w:after="0" w:line="184" w:lineRule="exact"/>
        <w:rPr>
          <w:sz w:val="20"/>
          <w:szCs w:val="20"/>
          <w:color w:val="auto"/>
        </w:rPr>
      </w:pPr>
    </w:p>
    <w:p>
      <w:pPr>
        <w:ind w:right="80" w:firstLine="648"/>
        <w:spacing w:after="0" w:line="293" w:lineRule="auto"/>
        <w:rPr>
          <w:sz w:val="20"/>
          <w:szCs w:val="20"/>
          <w:color w:val="auto"/>
        </w:rPr>
      </w:pPr>
      <w:r>
        <w:rPr>
          <w:rFonts w:ascii="Arial" w:cs="Arial" w:eastAsia="Arial" w:hAnsi="Arial"/>
          <w:sz w:val="20"/>
          <w:szCs w:val="20"/>
          <w:color w:val="auto"/>
        </w:rPr>
        <w:t xml:space="preserve">7.08 </w:t>
      </w:r>
      <w:r>
        <w:rPr>
          <w:rFonts w:ascii="Arial" w:cs="Arial" w:eastAsia="Arial" w:hAnsi="Arial"/>
          <w:sz w:val="20"/>
          <w:szCs w:val="20"/>
          <w:u w:val="single" w:color="auto"/>
          <w:color w:val="auto"/>
        </w:rPr>
        <w:t>Compliance with Laws</w:t>
      </w:r>
      <w:r>
        <w:rPr>
          <w:rFonts w:ascii="Arial" w:cs="Arial" w:eastAsia="Arial" w:hAnsi="Arial"/>
          <w:sz w:val="20"/>
          <w:szCs w:val="20"/>
          <w:color w:val="auto"/>
        </w:rPr>
        <w:t>. Comply in all material respects with the requirements of all Laws and all orders, writs, injunctions and decrees applicable to it or to its business or property, except in such instances in which (i) such requirement of Law or order, writ, injunction or decree is being contested in good faith by appropriate proceedings diligently conducted; or (ii) the failure to comply therewith would not reasonably be expected to have a Material Adverse Effect.</w:t>
      </w:r>
    </w:p>
    <w:p>
      <w:pPr>
        <w:spacing w:after="0" w:line="187" w:lineRule="exact"/>
        <w:rPr>
          <w:sz w:val="20"/>
          <w:szCs w:val="20"/>
          <w:color w:val="auto"/>
        </w:rPr>
      </w:pPr>
    </w:p>
    <w:p>
      <w:pPr>
        <w:ind w:right="140" w:firstLine="648"/>
        <w:spacing w:after="0" w:line="293" w:lineRule="auto"/>
        <w:rPr>
          <w:sz w:val="20"/>
          <w:szCs w:val="20"/>
          <w:color w:val="auto"/>
        </w:rPr>
      </w:pPr>
      <w:r>
        <w:rPr>
          <w:rFonts w:ascii="Arial" w:cs="Arial" w:eastAsia="Arial" w:hAnsi="Arial"/>
          <w:sz w:val="20"/>
          <w:szCs w:val="20"/>
          <w:color w:val="auto"/>
        </w:rPr>
        <w:t xml:space="preserve">7.09 </w:t>
      </w:r>
      <w:r>
        <w:rPr>
          <w:rFonts w:ascii="Arial" w:cs="Arial" w:eastAsia="Arial" w:hAnsi="Arial"/>
          <w:sz w:val="20"/>
          <w:szCs w:val="20"/>
          <w:u w:val="single" w:color="auto"/>
          <w:color w:val="auto"/>
        </w:rPr>
        <w:t>Books and Records</w:t>
      </w:r>
      <w:r>
        <w:rPr>
          <w:rFonts w:ascii="Arial" w:cs="Arial" w:eastAsia="Arial" w:hAnsi="Arial"/>
          <w:sz w:val="20"/>
          <w:szCs w:val="20"/>
          <w:color w:val="auto"/>
        </w:rPr>
        <w:t>. Maintain (a) proper books of record and account, in which entries that are true and correct in all material respects shall be made in accordance with GAAP, of all financial transactions and matters involving its assets and business and (b) such books of record and account in material conformity with all applicable requirements of any Governmental Authority having regulatory jurisdiction over it.</w:t>
      </w:r>
    </w:p>
    <w:p>
      <w:pPr>
        <w:spacing w:after="0" w:line="187" w:lineRule="exact"/>
        <w:rPr>
          <w:sz w:val="20"/>
          <w:szCs w:val="20"/>
          <w:color w:val="auto"/>
        </w:rPr>
      </w:pPr>
    </w:p>
    <w:p>
      <w:pPr>
        <w:ind w:right="180" w:firstLine="648"/>
        <w:spacing w:after="0" w:line="317" w:lineRule="auto"/>
        <w:rPr>
          <w:sz w:val="20"/>
          <w:szCs w:val="20"/>
          <w:color w:val="auto"/>
        </w:rPr>
      </w:pPr>
      <w:r>
        <w:rPr>
          <w:rFonts w:ascii="Arial" w:cs="Arial" w:eastAsia="Arial" w:hAnsi="Arial"/>
          <w:sz w:val="20"/>
          <w:szCs w:val="20"/>
          <w:color w:val="auto"/>
        </w:rPr>
        <w:t xml:space="preserve">7.10 </w:t>
      </w:r>
      <w:r>
        <w:rPr>
          <w:rFonts w:ascii="Arial" w:cs="Arial" w:eastAsia="Arial" w:hAnsi="Arial"/>
          <w:sz w:val="20"/>
          <w:szCs w:val="20"/>
          <w:u w:val="single" w:color="auto"/>
          <w:color w:val="auto"/>
        </w:rPr>
        <w:t>Inspection Rights</w:t>
      </w:r>
      <w:r>
        <w:rPr>
          <w:rFonts w:ascii="Arial" w:cs="Arial" w:eastAsia="Arial" w:hAnsi="Arial"/>
          <w:sz w:val="20"/>
          <w:szCs w:val="20"/>
          <w:color w:val="auto"/>
        </w:rPr>
        <w:t>. With respect to such Credit Party and its Subsidiaries, permit representatives and independent contractors of the Administrative Agent and each Lender to visit and</w:t>
      </w:r>
    </w:p>
    <w:p>
      <w:pPr>
        <w:spacing w:after="0" w:line="378"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148</w:t>
      </w:r>
    </w:p>
    <w:p>
      <w:pPr>
        <w:spacing w:after="0" w:line="10" w:lineRule="exact"/>
        <w:rPr>
          <w:sz w:val="20"/>
          <w:szCs w:val="20"/>
          <w:color w:val="auto"/>
        </w:rPr>
      </w:pPr>
    </w:p>
    <w:p>
      <w:pPr>
        <w:spacing w:after="0"/>
        <w:rPr>
          <w:sz w:val="20"/>
          <w:szCs w:val="20"/>
          <w:color w:val="auto"/>
        </w:rPr>
      </w:pPr>
      <w:r>
        <w:rPr>
          <w:rFonts w:ascii="Arial" w:cs="Arial" w:eastAsia="Arial" w:hAnsi="Arial"/>
          <w:sz w:val="14"/>
          <w:szCs w:val="14"/>
          <w:color w:val="auto"/>
        </w:rPr>
        <w:t>CHAR1\1346423v</w:t>
      </w:r>
      <w:r>
        <w:rPr>
          <w:rFonts w:ascii="Arial" w:cs="Arial" w:eastAsia="Arial" w:hAnsi="Arial"/>
          <w:sz w:val="14"/>
          <w:szCs w:val="14"/>
          <w:color w:val="FF0000"/>
          <w:strike w:val="1"/>
        </w:rPr>
        <w:t>1</w:t>
      </w:r>
      <w:r>
        <w:rPr>
          <w:rFonts w:ascii="Arial" w:cs="Arial" w:eastAsia="Arial" w:hAnsi="Arial"/>
          <w:sz w:val="14"/>
          <w:szCs w:val="14"/>
          <w:u w:val="single" w:color="auto"/>
          <w:color w:val="0000FF"/>
        </w:rPr>
        <w:t>12</w:t>
      </w:r>
    </w:p>
    <w:p>
      <w:pPr>
        <w:sectPr>
          <w:pgSz w:w="11900" w:h="16838" w:orient="portrait"/>
          <w:cols w:equalWidth="0" w:num="1">
            <w:col w:w="11420"/>
          </w:cols>
          <w:pgMar w:left="240" w:top="609" w:right="239" w:bottom="1440" w:gutter="0" w:footer="0" w:header="0"/>
        </w:sectPr>
      </w:pPr>
    </w:p>
    <w:bookmarkStart w:id="200" w:name="page201"/>
    <w:bookmarkEnd w:id="200"/>
    <w:p>
      <w:pPr>
        <w:spacing w:after="0" w:line="300" w:lineRule="auto"/>
        <w:rPr>
          <w:sz w:val="20"/>
          <w:szCs w:val="20"/>
          <w:color w:val="auto"/>
        </w:rPr>
      </w:pPr>
      <w:r>
        <w:rPr>
          <w:rFonts w:ascii="Arial" w:cs="Arial" w:eastAsia="Arial" w:hAnsi="Arial"/>
          <w:sz w:val="19"/>
          <w:szCs w:val="19"/>
          <w:color w:val="auto"/>
        </w:rPr>
        <w:t xml:space="preserve">inspect any of their properties, to conduct field audits, to examine their corporate, financial, operating, statutory and regulatory compliance, audit and supervisory examination records, and make copies thereof or abstracts therefrom, and to discuss their affairs, finances, accounts, compliance programs and initiatives, audits, and supervisory examinations with their directors, officers, and independent public accountants, all at the expense of such Credit Party and at such reasonable times during normal business hours and as often as may be reasonably desired, upon reasonable advance notice to such Credit Party;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however, that so long as no Event of Default has occurred and is continuing such Credit Party’s obligation to pay the expenses of any of the foregoing will be limited to (A) one inspection per year (measured from the date of this Credit Agreement and each anniversary thereof) at the Administrative Agent’s discretion and (B) any further inspections resulting from the Administrative Agent’s good faith belief that conditions exist that could reasonably be expected to result in a Material Adverse Effect; </w:t>
      </w:r>
      <w:r>
        <w:rPr>
          <w:rFonts w:ascii="Arial" w:cs="Arial" w:eastAsia="Arial" w:hAnsi="Arial"/>
          <w:sz w:val="19"/>
          <w:szCs w:val="19"/>
          <w:u w:val="single" w:color="auto"/>
          <w:color w:val="auto"/>
        </w:rPr>
        <w:t>provided</w:t>
      </w:r>
      <w:r>
        <w:rPr>
          <w:rFonts w:ascii="Arial" w:cs="Arial" w:eastAsia="Arial" w:hAnsi="Arial"/>
          <w:sz w:val="19"/>
          <w:szCs w:val="19"/>
          <w:color w:val="auto"/>
        </w:rPr>
        <w:t>, further, that when an Event of Default exists the Administrative Agent or any Lender (or any of their respective representatives or independent contractors) may do any of the foregoing at the expense of the Borrowers at any time during normal business hours and without advance notice.</w:t>
      </w:r>
    </w:p>
    <w:p>
      <w:pPr>
        <w:spacing w:after="0" w:line="183" w:lineRule="exact"/>
        <w:rPr>
          <w:sz w:val="20"/>
          <w:szCs w:val="20"/>
          <w:color w:val="auto"/>
        </w:rPr>
      </w:pPr>
    </w:p>
    <w:p>
      <w:pPr>
        <w:ind w:right="340" w:firstLine="648"/>
        <w:spacing w:after="0" w:line="299" w:lineRule="auto"/>
        <w:rPr>
          <w:sz w:val="20"/>
          <w:szCs w:val="20"/>
          <w:color w:val="auto"/>
        </w:rPr>
      </w:pPr>
      <w:r>
        <w:rPr>
          <w:rFonts w:ascii="Arial" w:cs="Arial" w:eastAsia="Arial" w:hAnsi="Arial"/>
          <w:sz w:val="20"/>
          <w:szCs w:val="20"/>
          <w:color w:val="auto"/>
        </w:rPr>
        <w:t xml:space="preserve">7.11 </w:t>
      </w:r>
      <w:r>
        <w:rPr>
          <w:rFonts w:ascii="Arial" w:cs="Arial" w:eastAsia="Arial" w:hAnsi="Arial"/>
          <w:sz w:val="20"/>
          <w:szCs w:val="20"/>
          <w:u w:val="single" w:color="auto"/>
          <w:color w:val="auto"/>
        </w:rPr>
        <w:t>Use of Proceeds</w:t>
      </w:r>
      <w:r>
        <w:rPr>
          <w:rFonts w:ascii="Arial" w:cs="Arial" w:eastAsia="Arial" w:hAnsi="Arial"/>
          <w:sz w:val="20"/>
          <w:szCs w:val="20"/>
          <w:color w:val="auto"/>
        </w:rPr>
        <w:t>. Use the proceeds of the Credit Extensions to refinance the loans and obligations existing under the Existing Credit Agreement and for general corporate purposes not in contravention of any Law or of any Credit Document, including Permitted Acquisitions.</w:t>
      </w:r>
    </w:p>
    <w:p>
      <w:pPr>
        <w:spacing w:after="0" w:line="180" w:lineRule="exact"/>
        <w:rPr>
          <w:sz w:val="20"/>
          <w:szCs w:val="20"/>
          <w:color w:val="auto"/>
        </w:rPr>
      </w:pPr>
    </w:p>
    <w:p>
      <w:pPr>
        <w:ind w:firstLine="648"/>
        <w:spacing w:after="0" w:line="293" w:lineRule="auto"/>
        <w:rPr>
          <w:sz w:val="20"/>
          <w:szCs w:val="20"/>
          <w:color w:val="auto"/>
        </w:rPr>
      </w:pPr>
      <w:r>
        <w:rPr>
          <w:rFonts w:ascii="Arial" w:cs="Arial" w:eastAsia="Arial" w:hAnsi="Arial"/>
          <w:sz w:val="20"/>
          <w:szCs w:val="20"/>
          <w:color w:val="auto"/>
        </w:rPr>
        <w:t xml:space="preserve">7.12 </w:t>
      </w:r>
      <w:r>
        <w:rPr>
          <w:rFonts w:ascii="Arial" w:cs="Arial" w:eastAsia="Arial" w:hAnsi="Arial"/>
          <w:sz w:val="20"/>
          <w:szCs w:val="20"/>
          <w:u w:val="single" w:color="auto"/>
          <w:color w:val="auto"/>
        </w:rPr>
        <w:t>Approvals and Authorizations</w:t>
      </w:r>
      <w:r>
        <w:rPr>
          <w:rFonts w:ascii="Arial" w:cs="Arial" w:eastAsia="Arial" w:hAnsi="Arial"/>
          <w:sz w:val="20"/>
          <w:szCs w:val="20"/>
          <w:color w:val="auto"/>
        </w:rPr>
        <w:t>. Maintain all authorizations, consents, approvals and licenses from, exemptions of, and filings and registrations with, each Governmental Authority of the jurisdiction in which each Foreign Obligor is organized and existing, and all approvals and consents of each other Person in such jurisdiction, in each case that are required in connection with the Credit Documents to which it is a Party.</w:t>
      </w:r>
    </w:p>
    <w:p>
      <w:pPr>
        <w:spacing w:after="0" w:line="187" w:lineRule="exact"/>
        <w:rPr>
          <w:sz w:val="20"/>
          <w:szCs w:val="20"/>
          <w:color w:val="auto"/>
        </w:rPr>
      </w:pPr>
    </w:p>
    <w:p>
      <w:pPr>
        <w:ind w:left="660"/>
        <w:spacing w:after="0"/>
        <w:tabs>
          <w:tab w:leader="none" w:pos="1160" w:val="left"/>
        </w:tabs>
        <w:rPr>
          <w:sz w:val="20"/>
          <w:szCs w:val="20"/>
          <w:color w:val="auto"/>
        </w:rPr>
      </w:pPr>
      <w:r>
        <w:rPr>
          <w:rFonts w:ascii="Arial" w:cs="Arial" w:eastAsia="Arial" w:hAnsi="Arial"/>
          <w:sz w:val="20"/>
          <w:szCs w:val="20"/>
          <w:color w:val="auto"/>
        </w:rPr>
        <w:t>7.13</w:t>
      </w:r>
      <w:r>
        <w:rPr>
          <w:sz w:val="20"/>
          <w:szCs w:val="20"/>
          <w:color w:val="auto"/>
        </w:rPr>
        <w:tab/>
      </w:r>
      <w:r>
        <w:rPr>
          <w:rFonts w:ascii="Arial" w:cs="Arial" w:eastAsia="Arial" w:hAnsi="Arial"/>
          <w:sz w:val="16"/>
          <w:szCs w:val="16"/>
          <w:u w:val="single" w:color="auto"/>
          <w:color w:val="auto"/>
        </w:rPr>
        <w:t>Joinder of Subsidiaries as Guarantors</w:t>
      </w:r>
      <w:r>
        <w:rPr>
          <w:rFonts w:ascii="Arial" w:cs="Arial" w:eastAsia="Arial" w:hAnsi="Arial"/>
          <w:sz w:val="16"/>
          <w:szCs w:val="16"/>
          <w:color w:val="auto"/>
        </w:rPr>
        <w:t>.</w:t>
      </w:r>
    </w:p>
    <w:p>
      <w:pPr>
        <w:spacing w:after="0" w:line="270" w:lineRule="exact"/>
        <w:rPr>
          <w:sz w:val="20"/>
          <w:szCs w:val="20"/>
          <w:color w:val="auto"/>
        </w:rPr>
      </w:pPr>
    </w:p>
    <w:p>
      <w:pPr>
        <w:ind w:left="660" w:right="500" w:firstLine="645"/>
        <w:spacing w:after="0" w:line="317" w:lineRule="auto"/>
        <w:tabs>
          <w:tab w:leader="none" w:pos="1708" w:val="left"/>
        </w:tabs>
        <w:numPr>
          <w:ilvl w:val="0"/>
          <w:numId w:val="208"/>
        </w:numPr>
        <w:rPr>
          <w:rFonts w:ascii="Arial" w:cs="Arial" w:eastAsia="Arial" w:hAnsi="Arial"/>
          <w:sz w:val="20"/>
          <w:szCs w:val="20"/>
          <w:color w:val="auto"/>
        </w:rPr>
      </w:pPr>
      <w:r>
        <w:rPr>
          <w:rFonts w:ascii="Arial" w:cs="Arial" w:eastAsia="Arial" w:hAnsi="Arial"/>
          <w:sz w:val="20"/>
          <w:szCs w:val="20"/>
          <w:u w:val="single" w:color="auto"/>
          <w:color w:val="auto"/>
        </w:rPr>
        <w:t>Domestic Guarantors</w:t>
      </w:r>
      <w:r>
        <w:rPr>
          <w:rFonts w:ascii="Arial" w:cs="Arial" w:eastAsia="Arial" w:hAnsi="Arial"/>
          <w:sz w:val="20"/>
          <w:szCs w:val="20"/>
          <w:color w:val="auto"/>
        </w:rPr>
        <w:t>. If a Domestic Subsidiary that is not a Domestic Guarantor hereunder (each a “</w:t>
      </w:r>
      <w:r>
        <w:rPr>
          <w:rFonts w:ascii="Arial" w:cs="Arial" w:eastAsia="Arial" w:hAnsi="Arial"/>
          <w:sz w:val="20"/>
          <w:szCs w:val="20"/>
          <w:u w:val="single" w:color="auto"/>
          <w:color w:val="auto"/>
        </w:rPr>
        <w:t>Non-Guarantor</w:t>
      </w:r>
      <w:r>
        <w:rPr>
          <w:rFonts w:ascii="Arial" w:cs="Arial" w:eastAsia="Arial" w:hAnsi="Arial"/>
          <w:sz w:val="20"/>
          <w:szCs w:val="20"/>
          <w:color w:val="auto"/>
        </w:rPr>
        <w:t xml:space="preserve"> </w:t>
      </w:r>
      <w:r>
        <w:rPr>
          <w:rFonts w:ascii="Arial" w:cs="Arial" w:eastAsia="Arial" w:hAnsi="Arial"/>
          <w:sz w:val="20"/>
          <w:szCs w:val="20"/>
          <w:u w:val="single" w:color="auto"/>
          <w:color w:val="auto"/>
        </w:rPr>
        <w:t>Domestic Subsidiary</w:t>
      </w:r>
      <w:r>
        <w:rPr>
          <w:rFonts w:ascii="Arial" w:cs="Arial" w:eastAsia="Arial" w:hAnsi="Arial"/>
          <w:sz w:val="20"/>
          <w:szCs w:val="20"/>
          <w:color w:val="auto"/>
        </w:rPr>
        <w:t>”) shall at any time:</w:t>
      </w:r>
    </w:p>
    <w:p>
      <w:pPr>
        <w:spacing w:after="0" w:line="175" w:lineRule="exact"/>
        <w:rPr>
          <w:rFonts w:ascii="Arial" w:cs="Arial" w:eastAsia="Arial" w:hAnsi="Arial"/>
          <w:sz w:val="20"/>
          <w:szCs w:val="20"/>
          <w:color w:val="auto"/>
        </w:rPr>
      </w:pPr>
    </w:p>
    <w:p>
      <w:pPr>
        <w:ind w:left="1300" w:right="400" w:firstLine="653"/>
        <w:spacing w:after="0" w:line="367" w:lineRule="auto"/>
        <w:tabs>
          <w:tab w:leader="none" w:pos="2332" w:val="left"/>
        </w:tabs>
        <w:numPr>
          <w:ilvl w:val="1"/>
          <w:numId w:val="208"/>
        </w:numPr>
        <w:rPr>
          <w:rFonts w:ascii="Arial" w:cs="Arial" w:eastAsia="Arial" w:hAnsi="Arial"/>
          <w:sz w:val="19"/>
          <w:szCs w:val="19"/>
          <w:color w:val="auto"/>
        </w:rPr>
      </w:pPr>
      <w:r>
        <w:rPr>
          <w:rFonts w:ascii="Arial" w:cs="Arial" w:eastAsia="Arial" w:hAnsi="Arial"/>
          <w:sz w:val="18"/>
          <w:szCs w:val="18"/>
          <w:color w:val="auto"/>
        </w:rPr>
        <w:t xml:space="preserve">in any case (considered with its Subsidiaries on a consolidated basis) represent </w:t>
      </w:r>
      <w:r>
        <w:rPr>
          <w:rFonts w:ascii="Arial" w:cs="Arial" w:eastAsia="Arial" w:hAnsi="Arial"/>
          <w:sz w:val="18"/>
          <w:szCs w:val="18"/>
          <w:color w:val="FF0000"/>
          <w:strike w:val="1"/>
        </w:rPr>
        <w:t>more than 7.5% of the</w:t>
      </w:r>
      <w:r>
        <w:rPr>
          <w:rFonts w:ascii="Arial" w:cs="Arial" w:eastAsia="Arial" w:hAnsi="Arial"/>
          <w:sz w:val="18"/>
          <w:szCs w:val="18"/>
          <w:color w:val="auto"/>
        </w:rPr>
        <w:t xml:space="preserve"> </w:t>
      </w:r>
      <w:r>
        <w:rPr>
          <w:rFonts w:ascii="Arial" w:cs="Arial" w:eastAsia="Arial" w:hAnsi="Arial"/>
          <w:sz w:val="18"/>
          <w:szCs w:val="18"/>
          <w:color w:val="FF0000"/>
          <w:strike w:val="1"/>
        </w:rPr>
        <w:t>consolidated assets or account for</w:t>
      </w:r>
      <w:r>
        <w:rPr>
          <w:rFonts w:ascii="Arial" w:cs="Arial" w:eastAsia="Arial" w:hAnsi="Arial"/>
          <w:sz w:val="18"/>
          <w:szCs w:val="18"/>
          <w:color w:val="FF0000"/>
        </w:rPr>
        <w:t xml:space="preserve"> </w:t>
      </w:r>
      <w:r>
        <w:rPr>
          <w:rFonts w:ascii="Arial" w:cs="Arial" w:eastAsia="Arial" w:hAnsi="Arial"/>
          <w:sz w:val="18"/>
          <w:szCs w:val="18"/>
          <w:color w:val="000000"/>
        </w:rPr>
        <w:t>more than 7.5% of consolidated revenues for the Consolidated Group (in each such case</w:t>
      </w:r>
      <w:r>
        <w:rPr>
          <w:rFonts w:ascii="Arial" w:cs="Arial" w:eastAsia="Arial" w:hAnsi="Arial"/>
          <w:sz w:val="18"/>
          <w:szCs w:val="18"/>
          <w:color w:val="FF0000"/>
        </w:rPr>
        <w:t xml:space="preserve"> </w:t>
      </w:r>
      <w:r>
        <w:rPr>
          <w:rFonts w:ascii="Arial" w:cs="Arial" w:eastAsia="Arial" w:hAnsi="Arial"/>
          <w:sz w:val="18"/>
          <w:szCs w:val="18"/>
          <w:color w:val="000000"/>
        </w:rPr>
        <w:t>determined as of the end of each fiscal quarter for the period of four consecutive fiscal quarters then ended), or</w:t>
      </w:r>
    </w:p>
    <w:p>
      <w:pPr>
        <w:spacing w:after="0" w:line="153" w:lineRule="exact"/>
        <w:rPr>
          <w:rFonts w:ascii="Arial" w:cs="Arial" w:eastAsia="Arial" w:hAnsi="Arial"/>
          <w:sz w:val="19"/>
          <w:szCs w:val="19"/>
          <w:color w:val="auto"/>
        </w:rPr>
      </w:pPr>
    </w:p>
    <w:p>
      <w:pPr>
        <w:jc w:val="both"/>
        <w:ind w:left="1300" w:right="200" w:firstLine="653"/>
        <w:spacing w:after="0" w:line="367" w:lineRule="auto"/>
        <w:tabs>
          <w:tab w:leader="none" w:pos="2392" w:val="left"/>
        </w:tabs>
        <w:numPr>
          <w:ilvl w:val="1"/>
          <w:numId w:val="208"/>
        </w:numPr>
        <w:rPr>
          <w:rFonts w:ascii="Arial" w:cs="Arial" w:eastAsia="Arial" w:hAnsi="Arial"/>
          <w:sz w:val="19"/>
          <w:szCs w:val="19"/>
          <w:color w:val="auto"/>
        </w:rPr>
      </w:pPr>
      <w:r>
        <w:rPr>
          <w:rFonts w:ascii="Arial" w:cs="Arial" w:eastAsia="Arial" w:hAnsi="Arial"/>
          <w:sz w:val="18"/>
          <w:szCs w:val="18"/>
          <w:color w:val="auto"/>
        </w:rPr>
        <w:t xml:space="preserve">together with all other such Non-Guarantor Domestic Subsidiaries as a group, represent more than </w:t>
      </w:r>
      <w:r>
        <w:rPr>
          <w:rFonts w:ascii="Arial" w:cs="Arial" w:eastAsia="Arial" w:hAnsi="Arial"/>
          <w:sz w:val="18"/>
          <w:szCs w:val="18"/>
          <w:color w:val="FF0000"/>
          <w:strike w:val="1"/>
        </w:rPr>
        <w:t>20</w:t>
      </w:r>
      <w:r>
        <w:rPr>
          <w:rFonts w:ascii="Arial" w:cs="Arial" w:eastAsia="Arial" w:hAnsi="Arial"/>
          <w:sz w:val="18"/>
          <w:szCs w:val="18"/>
          <w:u w:val="single" w:color="auto"/>
          <w:color w:val="0000FF"/>
        </w:rPr>
        <w:t>27.5</w:t>
      </w:r>
      <w:r>
        <w:rPr>
          <w:rFonts w:ascii="Arial" w:cs="Arial" w:eastAsia="Arial" w:hAnsi="Arial"/>
          <w:sz w:val="18"/>
          <w:szCs w:val="18"/>
          <w:color w:val="auto"/>
        </w:rPr>
        <w:t xml:space="preserve">% of the consolidated </w:t>
      </w:r>
      <w:r>
        <w:rPr>
          <w:rFonts w:ascii="Arial" w:cs="Arial" w:eastAsia="Arial" w:hAnsi="Arial"/>
          <w:sz w:val="18"/>
          <w:szCs w:val="18"/>
          <w:color w:val="FF0000"/>
          <w:strike w:val="1"/>
        </w:rPr>
        <w:t>assets or account for more than 20% of the Consolidated</w:t>
      </w:r>
      <w:r>
        <w:rPr>
          <w:rFonts w:ascii="Arial" w:cs="Arial" w:eastAsia="Arial" w:hAnsi="Arial"/>
          <w:sz w:val="18"/>
          <w:szCs w:val="18"/>
          <w:color w:val="auto"/>
        </w:rPr>
        <w:t xml:space="preserve"> revenues for the Consolidated Group (in each such case determined as of the end of each fiscal quarter for the period of four consecutive fiscal quarters then ended),</w:t>
      </w:r>
    </w:p>
    <w:p>
      <w:pPr>
        <w:spacing w:after="0" w:line="113" w:lineRule="exact"/>
        <w:rPr>
          <w:sz w:val="20"/>
          <w:szCs w:val="20"/>
          <w:color w:val="auto"/>
        </w:rPr>
      </w:pPr>
    </w:p>
    <w:p>
      <w:pPr>
        <w:ind w:right="80"/>
        <w:spacing w:after="0" w:line="250" w:lineRule="auto"/>
        <w:rPr>
          <w:sz w:val="20"/>
          <w:szCs w:val="20"/>
          <w:color w:val="auto"/>
        </w:rPr>
      </w:pPr>
      <w:r>
        <w:rPr>
          <w:rFonts w:ascii="Arial" w:cs="Arial" w:eastAsia="Arial" w:hAnsi="Arial"/>
          <w:sz w:val="20"/>
          <w:szCs w:val="20"/>
          <w:color w:val="auto"/>
        </w:rPr>
        <w:t xml:space="preserve">then, in any such instance, EWI will, subject to the provisions hereof, promptly, but in any event within forty-five (45) days after the delivery date for annual and quarterly financial statements under </w:t>
      </w:r>
      <w:r>
        <w:rPr>
          <w:rFonts w:ascii="Arial" w:cs="Arial" w:eastAsia="Arial" w:hAnsi="Arial"/>
          <w:sz w:val="20"/>
          <w:szCs w:val="20"/>
          <w:u w:val="single" w:color="auto"/>
          <w:color w:val="auto"/>
        </w:rPr>
        <w:t>subsections (a)</w:t>
      </w:r>
      <w:r>
        <w:rPr>
          <w:rFonts w:ascii="Arial" w:cs="Arial" w:eastAsia="Arial" w:hAnsi="Arial"/>
          <w:sz w:val="20"/>
          <w:szCs w:val="20"/>
          <w:color w:val="auto"/>
        </w:rPr>
        <w:t xml:space="preserve"> and </w:t>
      </w:r>
      <w:r>
        <w:rPr>
          <w:rFonts w:ascii="Arial" w:cs="Arial" w:eastAsia="Arial" w:hAnsi="Arial"/>
          <w:sz w:val="20"/>
          <w:szCs w:val="20"/>
          <w:u w:val="single" w:color="auto"/>
          <w:color w:val="auto"/>
        </w:rPr>
        <w:t>(b)</w:t>
      </w:r>
      <w:r>
        <w:rPr>
          <w:rFonts w:ascii="Arial" w:cs="Arial" w:eastAsia="Arial" w:hAnsi="Arial"/>
          <w:sz w:val="20"/>
          <w:szCs w:val="20"/>
          <w:color w:val="auto"/>
        </w:rPr>
        <w:t xml:space="preserve"> of </w:t>
      </w:r>
      <w:r>
        <w:rPr>
          <w:rFonts w:ascii="Arial" w:cs="Arial" w:eastAsia="Arial" w:hAnsi="Arial"/>
          <w:sz w:val="20"/>
          <w:szCs w:val="20"/>
          <w:u w:val="single" w:color="auto"/>
          <w:color w:val="auto"/>
        </w:rPr>
        <w:t>Section 7.01</w:t>
      </w:r>
      <w:r>
        <w:rPr>
          <w:rFonts w:ascii="Arial" w:cs="Arial" w:eastAsia="Arial" w:hAnsi="Arial"/>
          <w:sz w:val="20"/>
          <w:szCs w:val="20"/>
          <w:color w:val="auto"/>
        </w:rPr>
        <w:t xml:space="preserve"> as to which a determination has been made that such a joinder is required (with</w:t>
      </w:r>
    </w:p>
    <w:p>
      <w:pPr>
        <w:spacing w:after="0" w:line="200" w:lineRule="exact"/>
        <w:rPr>
          <w:sz w:val="20"/>
          <w:szCs w:val="20"/>
          <w:color w:val="auto"/>
        </w:rPr>
      </w:pP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149</w:t>
      </w:r>
    </w:p>
    <w:p>
      <w:pPr>
        <w:spacing w:after="0" w:line="10" w:lineRule="exact"/>
        <w:rPr>
          <w:sz w:val="20"/>
          <w:szCs w:val="20"/>
          <w:color w:val="auto"/>
        </w:rPr>
      </w:pPr>
    </w:p>
    <w:p>
      <w:pPr>
        <w:spacing w:after="0"/>
        <w:rPr>
          <w:sz w:val="20"/>
          <w:szCs w:val="20"/>
          <w:color w:val="auto"/>
        </w:rPr>
      </w:pPr>
      <w:r>
        <w:rPr>
          <w:rFonts w:ascii="Arial" w:cs="Arial" w:eastAsia="Arial" w:hAnsi="Arial"/>
          <w:sz w:val="14"/>
          <w:szCs w:val="14"/>
          <w:color w:val="auto"/>
        </w:rPr>
        <w:t>CHAR1\1346423v</w:t>
      </w:r>
      <w:r>
        <w:rPr>
          <w:rFonts w:ascii="Arial" w:cs="Arial" w:eastAsia="Arial" w:hAnsi="Arial"/>
          <w:sz w:val="14"/>
          <w:szCs w:val="14"/>
          <w:color w:val="FF0000"/>
          <w:strike w:val="1"/>
        </w:rPr>
        <w:t>1</w:t>
      </w:r>
      <w:r>
        <w:rPr>
          <w:rFonts w:ascii="Arial" w:cs="Arial" w:eastAsia="Arial" w:hAnsi="Arial"/>
          <w:sz w:val="14"/>
          <w:szCs w:val="14"/>
          <w:u w:val="single" w:color="auto"/>
          <w:color w:val="0000FF"/>
        </w:rPr>
        <w:t>12</w:t>
      </w:r>
    </w:p>
    <w:p>
      <w:pPr>
        <w:sectPr>
          <w:pgSz w:w="11900" w:h="16838" w:orient="portrait"/>
          <w:cols w:equalWidth="0" w:num="1">
            <w:col w:w="11400"/>
          </w:cols>
          <w:pgMar w:left="240" w:top="609" w:right="259" w:bottom="1440" w:gutter="0" w:footer="0" w:header="0"/>
        </w:sectPr>
      </w:pPr>
    </w:p>
    <w:bookmarkStart w:id="201" w:name="page202"/>
    <w:bookmarkEnd w:id="201"/>
    <w:p>
      <w:pPr>
        <w:ind w:right="260"/>
        <w:spacing w:after="0" w:line="260" w:lineRule="auto"/>
        <w:rPr>
          <w:sz w:val="20"/>
          <w:szCs w:val="20"/>
          <w:color w:val="auto"/>
        </w:rPr>
      </w:pPr>
      <w:r>
        <w:rPr>
          <w:rFonts w:ascii="Arial" w:cs="Arial" w:eastAsia="Arial" w:hAnsi="Arial"/>
          <w:sz w:val="19"/>
          <w:szCs w:val="19"/>
          <w:color w:val="auto"/>
        </w:rPr>
        <w:t>extensions as may be deemed necessary or appropriate by the Administrative Agent in its discretion), cause the joinder of such Domestic Subsidiary as a Domestic Guarantor hereunder pursuant to a Joinder Agreement (or such other documentation reasonably acceptable to the Administrative Agent) accompanied by Organization Documents and favorable opinions of counsel to such Domestic Subsidiary, all in form and substance reasonably satisfactory to the Administrative Agent, such that after giving effect thereto the Non-Guarantor Domestic Subsidiaries will not, individually or as a group, exceed the foregoing threshold requirements.</w:t>
      </w:r>
    </w:p>
    <w:p>
      <w:pPr>
        <w:spacing w:after="0" w:line="208" w:lineRule="exact"/>
        <w:rPr>
          <w:sz w:val="20"/>
          <w:szCs w:val="20"/>
          <w:color w:val="auto"/>
        </w:rPr>
      </w:pPr>
    </w:p>
    <w:p>
      <w:pPr>
        <w:ind w:left="1720" w:hanging="415"/>
        <w:spacing w:after="0"/>
        <w:tabs>
          <w:tab w:leader="none" w:pos="1720" w:val="left"/>
        </w:tabs>
        <w:numPr>
          <w:ilvl w:val="0"/>
          <w:numId w:val="209"/>
        </w:numPr>
        <w:rPr>
          <w:rFonts w:ascii="Arial" w:cs="Arial" w:eastAsia="Arial" w:hAnsi="Arial"/>
          <w:sz w:val="19"/>
          <w:szCs w:val="19"/>
          <w:color w:val="auto"/>
        </w:rPr>
      </w:pPr>
      <w:r>
        <w:rPr>
          <w:rFonts w:ascii="Arial" w:cs="Arial" w:eastAsia="Arial" w:hAnsi="Arial"/>
          <w:sz w:val="19"/>
          <w:szCs w:val="19"/>
          <w:u w:val="single" w:color="auto"/>
          <w:color w:val="auto"/>
        </w:rPr>
        <w:t>Foreign Guarantors</w:t>
      </w:r>
      <w:r>
        <w:rPr>
          <w:rFonts w:ascii="Arial" w:cs="Arial" w:eastAsia="Arial" w:hAnsi="Arial"/>
          <w:sz w:val="19"/>
          <w:szCs w:val="19"/>
          <w:color w:val="auto"/>
        </w:rPr>
        <w:t xml:space="preserve">. EWI will cause each of the </w:t>
      </w:r>
      <w:r>
        <w:rPr>
          <w:rFonts w:ascii="Arial" w:cs="Arial" w:eastAsia="Arial" w:hAnsi="Arial"/>
          <w:sz w:val="19"/>
          <w:szCs w:val="19"/>
          <w:color w:val="FF0000"/>
          <w:strike w:val="1"/>
        </w:rPr>
        <w:t>Specified Material</w:t>
      </w:r>
      <w:r>
        <w:rPr>
          <w:rFonts w:ascii="Arial" w:cs="Arial" w:eastAsia="Arial" w:hAnsi="Arial"/>
          <w:sz w:val="19"/>
          <w:szCs w:val="19"/>
          <w:color w:val="auto"/>
        </w:rPr>
        <w:t xml:space="preserve"> Foreign </w:t>
      </w:r>
      <w:r>
        <w:rPr>
          <w:rFonts w:ascii="Arial" w:cs="Arial" w:eastAsia="Arial" w:hAnsi="Arial"/>
          <w:sz w:val="19"/>
          <w:szCs w:val="19"/>
          <w:color w:val="FF0000"/>
          <w:strike w:val="1"/>
        </w:rPr>
        <w:t>Subsidiaries</w:t>
      </w:r>
      <w:r>
        <w:rPr>
          <w:rFonts w:ascii="Arial" w:cs="Arial" w:eastAsia="Arial" w:hAnsi="Arial"/>
          <w:sz w:val="19"/>
          <w:szCs w:val="19"/>
          <w:u w:val="single" w:color="auto"/>
          <w:color w:val="0000FF"/>
        </w:rPr>
        <w:t>Borrowers</w:t>
      </w:r>
      <w:r>
        <w:rPr>
          <w:rFonts w:ascii="Arial" w:cs="Arial" w:eastAsia="Arial" w:hAnsi="Arial"/>
          <w:sz w:val="19"/>
          <w:szCs w:val="19"/>
          <w:color w:val="auto"/>
        </w:rPr>
        <w:t xml:space="preserve"> to be a Foreign</w:t>
      </w:r>
    </w:p>
    <w:p>
      <w:pPr>
        <w:spacing w:after="0" w:line="65" w:lineRule="exact"/>
        <w:rPr>
          <w:rFonts w:ascii="Arial" w:cs="Arial" w:eastAsia="Arial" w:hAnsi="Arial"/>
          <w:sz w:val="19"/>
          <w:szCs w:val="19"/>
          <w:color w:val="auto"/>
        </w:rPr>
      </w:pPr>
    </w:p>
    <w:p>
      <w:pPr>
        <w:ind w:left="660" w:right="40"/>
        <w:spacing w:after="0" w:line="292" w:lineRule="auto"/>
        <w:rPr>
          <w:rFonts w:ascii="Arial" w:cs="Arial" w:eastAsia="Arial" w:hAnsi="Arial"/>
          <w:sz w:val="19"/>
          <w:szCs w:val="19"/>
          <w:color w:val="auto"/>
        </w:rPr>
      </w:pPr>
      <w:r>
        <w:rPr>
          <w:rFonts w:ascii="Arial" w:cs="Arial" w:eastAsia="Arial" w:hAnsi="Arial"/>
          <w:sz w:val="20"/>
          <w:szCs w:val="20"/>
          <w:color w:val="auto"/>
        </w:rPr>
        <w:t>Guarantor hereunder in accordance with the provisions hereof, and in addition, if a Foreign Subsidiary (other than the India Borrower or a Foreign Subsidiary of the India Borrower) that is not a Foreign Guarantor hereunder (each a “</w:t>
      </w:r>
      <w:r>
        <w:rPr>
          <w:rFonts w:ascii="Arial" w:cs="Arial" w:eastAsia="Arial" w:hAnsi="Arial"/>
          <w:sz w:val="20"/>
          <w:szCs w:val="20"/>
          <w:u w:val="single" w:color="auto"/>
          <w:color w:val="auto"/>
        </w:rPr>
        <w:t>Non-Guarantor Foreign Subsidiary</w:t>
      </w:r>
      <w:r>
        <w:rPr>
          <w:rFonts w:ascii="Arial" w:cs="Arial" w:eastAsia="Arial" w:hAnsi="Arial"/>
          <w:sz w:val="20"/>
          <w:szCs w:val="20"/>
          <w:color w:val="auto"/>
        </w:rPr>
        <w:t>”) shall at any time:</w:t>
      </w:r>
    </w:p>
    <w:p>
      <w:pPr>
        <w:spacing w:after="0" w:line="200" w:lineRule="exact"/>
        <w:rPr>
          <w:rFonts w:ascii="Arial" w:cs="Arial" w:eastAsia="Arial" w:hAnsi="Arial"/>
          <w:sz w:val="19"/>
          <w:szCs w:val="19"/>
          <w:color w:val="auto"/>
        </w:rPr>
      </w:pPr>
    </w:p>
    <w:p>
      <w:pPr>
        <w:ind w:left="1300" w:right="100" w:firstLine="653"/>
        <w:spacing w:after="0" w:line="367" w:lineRule="auto"/>
        <w:tabs>
          <w:tab w:leader="none" w:pos="2332" w:val="left"/>
        </w:tabs>
        <w:numPr>
          <w:ilvl w:val="1"/>
          <w:numId w:val="209"/>
        </w:numPr>
        <w:rPr>
          <w:rFonts w:ascii="Arial" w:cs="Arial" w:eastAsia="Arial" w:hAnsi="Arial"/>
          <w:sz w:val="19"/>
          <w:szCs w:val="19"/>
          <w:color w:val="auto"/>
        </w:rPr>
      </w:pPr>
      <w:r>
        <w:rPr>
          <w:rFonts w:ascii="Arial" w:cs="Arial" w:eastAsia="Arial" w:hAnsi="Arial"/>
          <w:sz w:val="18"/>
          <w:szCs w:val="18"/>
          <w:color w:val="auto"/>
        </w:rPr>
        <w:t xml:space="preserve">in any case (considered with its Subsidiaries on a consolidated basis) represent more than 7.5% of </w:t>
      </w:r>
      <w:r>
        <w:rPr>
          <w:rFonts w:ascii="Arial" w:cs="Arial" w:eastAsia="Arial" w:hAnsi="Arial"/>
          <w:sz w:val="18"/>
          <w:szCs w:val="18"/>
          <w:color w:val="FF0000"/>
          <w:strike w:val="1"/>
        </w:rPr>
        <w:t>the</w:t>
      </w:r>
      <w:r>
        <w:rPr>
          <w:rFonts w:ascii="Arial" w:cs="Arial" w:eastAsia="Arial" w:hAnsi="Arial"/>
          <w:sz w:val="18"/>
          <w:szCs w:val="18"/>
          <w:color w:val="auto"/>
        </w:rPr>
        <w:t xml:space="preserve"> </w:t>
      </w:r>
      <w:r>
        <w:rPr>
          <w:rFonts w:ascii="Arial" w:cs="Arial" w:eastAsia="Arial" w:hAnsi="Arial"/>
          <w:sz w:val="18"/>
          <w:szCs w:val="18"/>
          <w:color w:val="FF0000"/>
          <w:strike w:val="1"/>
        </w:rPr>
        <w:t>consolidated assets or account for more than 7.5% of the</w:t>
      </w:r>
      <w:r>
        <w:rPr>
          <w:rFonts w:ascii="Arial" w:cs="Arial" w:eastAsia="Arial" w:hAnsi="Arial"/>
          <w:sz w:val="18"/>
          <w:szCs w:val="18"/>
          <w:color w:val="FF0000"/>
        </w:rPr>
        <w:t xml:space="preserve"> </w:t>
      </w:r>
      <w:r>
        <w:rPr>
          <w:rFonts w:ascii="Arial" w:cs="Arial" w:eastAsia="Arial" w:hAnsi="Arial"/>
          <w:sz w:val="18"/>
          <w:szCs w:val="18"/>
          <w:color w:val="000000"/>
        </w:rPr>
        <w:t>consolidated revenues for the Consolidated Group (in each such case</w:t>
      </w:r>
      <w:r>
        <w:rPr>
          <w:rFonts w:ascii="Arial" w:cs="Arial" w:eastAsia="Arial" w:hAnsi="Arial"/>
          <w:sz w:val="18"/>
          <w:szCs w:val="18"/>
          <w:color w:val="FF0000"/>
        </w:rPr>
        <w:t xml:space="preserve"> </w:t>
      </w:r>
      <w:r>
        <w:rPr>
          <w:rFonts w:ascii="Arial" w:cs="Arial" w:eastAsia="Arial" w:hAnsi="Arial"/>
          <w:sz w:val="18"/>
          <w:szCs w:val="18"/>
          <w:color w:val="000000"/>
        </w:rPr>
        <w:t>determined as of the end of each fiscal quarter for the period of four consecutive fiscal quarters then ended), or</w:t>
      </w:r>
    </w:p>
    <w:p>
      <w:pPr>
        <w:spacing w:after="0" w:line="153" w:lineRule="exact"/>
        <w:rPr>
          <w:rFonts w:ascii="Arial" w:cs="Arial" w:eastAsia="Arial" w:hAnsi="Arial"/>
          <w:sz w:val="19"/>
          <w:szCs w:val="19"/>
          <w:color w:val="auto"/>
        </w:rPr>
      </w:pPr>
    </w:p>
    <w:p>
      <w:pPr>
        <w:ind w:left="1300" w:right="220" w:firstLine="653"/>
        <w:spacing w:after="0" w:line="395" w:lineRule="auto"/>
        <w:tabs>
          <w:tab w:leader="none" w:pos="2392" w:val="left"/>
        </w:tabs>
        <w:numPr>
          <w:ilvl w:val="1"/>
          <w:numId w:val="209"/>
        </w:numPr>
        <w:rPr>
          <w:rFonts w:ascii="Arial" w:cs="Arial" w:eastAsia="Arial" w:hAnsi="Arial"/>
          <w:sz w:val="18"/>
          <w:szCs w:val="18"/>
          <w:color w:val="auto"/>
        </w:rPr>
      </w:pPr>
      <w:r>
        <w:rPr>
          <w:rFonts w:ascii="Arial" w:cs="Arial" w:eastAsia="Arial" w:hAnsi="Arial"/>
          <w:sz w:val="17"/>
          <w:szCs w:val="17"/>
          <w:color w:val="auto"/>
        </w:rPr>
        <w:t xml:space="preserve">together with all other such Non-Guarantor Foreign Subsidiaries as a group, represent more than </w:t>
      </w:r>
      <w:r>
        <w:rPr>
          <w:rFonts w:ascii="Arial" w:cs="Arial" w:eastAsia="Arial" w:hAnsi="Arial"/>
          <w:sz w:val="17"/>
          <w:szCs w:val="17"/>
          <w:color w:val="FF0000"/>
          <w:strike w:val="1"/>
        </w:rPr>
        <w:t>20% of the</w:t>
      </w:r>
      <w:r>
        <w:rPr>
          <w:rFonts w:ascii="Arial" w:cs="Arial" w:eastAsia="Arial" w:hAnsi="Arial"/>
          <w:sz w:val="17"/>
          <w:szCs w:val="17"/>
          <w:color w:val="auto"/>
        </w:rPr>
        <w:t xml:space="preserve"> </w:t>
      </w:r>
      <w:r>
        <w:rPr>
          <w:rFonts w:ascii="Arial" w:cs="Arial" w:eastAsia="Arial" w:hAnsi="Arial"/>
          <w:sz w:val="17"/>
          <w:szCs w:val="17"/>
          <w:color w:val="FF0000"/>
          <w:strike w:val="1"/>
        </w:rPr>
        <w:t>consolidated assets or account for more than 20% of the</w:t>
      </w:r>
      <w:r>
        <w:rPr>
          <w:rFonts w:ascii="Arial" w:cs="Arial" w:eastAsia="Arial" w:hAnsi="Arial"/>
          <w:sz w:val="17"/>
          <w:szCs w:val="17"/>
          <w:u w:val="single" w:color="auto"/>
          <w:color w:val="0000FF"/>
        </w:rPr>
        <w:t>27.5% of</w:t>
      </w:r>
      <w:r>
        <w:rPr>
          <w:rFonts w:ascii="Arial" w:cs="Arial" w:eastAsia="Arial" w:hAnsi="Arial"/>
          <w:sz w:val="17"/>
          <w:szCs w:val="17"/>
          <w:color w:val="FF0000"/>
        </w:rPr>
        <w:t xml:space="preserve"> </w:t>
      </w:r>
      <w:r>
        <w:rPr>
          <w:rFonts w:ascii="Arial" w:cs="Arial" w:eastAsia="Arial" w:hAnsi="Arial"/>
          <w:sz w:val="17"/>
          <w:szCs w:val="17"/>
          <w:color w:val="000000"/>
        </w:rPr>
        <w:t>consolidated revenues for the Consolidated Group (in each</w:t>
      </w:r>
      <w:r>
        <w:rPr>
          <w:rFonts w:ascii="Arial" w:cs="Arial" w:eastAsia="Arial" w:hAnsi="Arial"/>
          <w:sz w:val="17"/>
          <w:szCs w:val="17"/>
          <w:color w:val="FF0000"/>
        </w:rPr>
        <w:t xml:space="preserve"> </w:t>
      </w:r>
      <w:r>
        <w:rPr>
          <w:rFonts w:ascii="Arial" w:cs="Arial" w:eastAsia="Arial" w:hAnsi="Arial"/>
          <w:sz w:val="17"/>
          <w:szCs w:val="17"/>
          <w:color w:val="000000"/>
        </w:rPr>
        <w:t>such case determined as of the end of each fiscal quarter for the period of four consecutive fiscal quarters then ended);</w:t>
      </w:r>
    </w:p>
    <w:p>
      <w:pPr>
        <w:spacing w:after="0" w:line="96" w:lineRule="exact"/>
        <w:rPr>
          <w:sz w:val="20"/>
          <w:szCs w:val="20"/>
          <w:color w:val="auto"/>
        </w:rPr>
      </w:pPr>
    </w:p>
    <w:p>
      <w:pPr>
        <w:ind w:right="20"/>
        <w:spacing w:after="0" w:line="270" w:lineRule="auto"/>
        <w:rPr>
          <w:sz w:val="20"/>
          <w:szCs w:val="20"/>
          <w:color w:val="auto"/>
        </w:rPr>
      </w:pPr>
      <w:r>
        <w:rPr>
          <w:rFonts w:ascii="Arial" w:cs="Arial" w:eastAsia="Arial" w:hAnsi="Arial"/>
          <w:sz w:val="18"/>
          <w:szCs w:val="18"/>
          <w:color w:val="auto"/>
        </w:rPr>
        <w:t xml:space="preserve">then, in any such instance, EWI will, subject to the provisions hereof, promptly, but in any event within 120 days after the delivery date for annual and quarterly financial statements under </w:t>
      </w:r>
      <w:r>
        <w:rPr>
          <w:rFonts w:ascii="Arial" w:cs="Arial" w:eastAsia="Arial" w:hAnsi="Arial"/>
          <w:sz w:val="18"/>
          <w:szCs w:val="18"/>
          <w:u w:val="single" w:color="auto"/>
          <w:color w:val="auto"/>
        </w:rPr>
        <w:t>subsections (a)</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(b)</w:t>
      </w:r>
      <w:r>
        <w:rPr>
          <w:rFonts w:ascii="Arial" w:cs="Arial" w:eastAsia="Arial" w:hAnsi="Arial"/>
          <w:sz w:val="18"/>
          <w:szCs w:val="18"/>
          <w:color w:val="auto"/>
        </w:rPr>
        <w:t xml:space="preserve"> of </w:t>
      </w:r>
      <w:r>
        <w:rPr>
          <w:rFonts w:ascii="Arial" w:cs="Arial" w:eastAsia="Arial" w:hAnsi="Arial"/>
          <w:sz w:val="18"/>
          <w:szCs w:val="18"/>
          <w:u w:val="single" w:color="auto"/>
          <w:color w:val="auto"/>
        </w:rPr>
        <w:t>Section 7.01</w:t>
      </w:r>
      <w:r>
        <w:rPr>
          <w:rFonts w:ascii="Arial" w:cs="Arial" w:eastAsia="Arial" w:hAnsi="Arial"/>
          <w:sz w:val="18"/>
          <w:szCs w:val="18"/>
          <w:color w:val="auto"/>
        </w:rPr>
        <w:t xml:space="preserve"> as to which a determination has been made that such a joinder is required (with extensions as may be deemed necessary or appropriate by the Administrative Agent in its discretion), cause the joinder of such Foreign Subsidiary as a Foreign Guarantor hereunder by execution of a Joinder Agreement or Guaranty (or such other documentation reasonably acceptable to the Administrative Agent), in each case accompanied by Organization Documents and favorable opinions of counsel to such Foreign Subsidiary, all in form and substance reasonably satisfactory to the Administrative Agent, such that after giving effect thereto, such Non-Guarantor Foreign Subsidiaries will not, individually or as a group, exceed the foregoing threshold requirements;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in any such case, the Administrative Agent shall, in consultation with EWI, perform an analysis of the relative benefits associated with the prospective guaranty and where, in its reasonable discretion, the Administrative Agent shall make a determination, taking into account local custom and practice, that the costs, circumstances and requirements under local law associated with the guaranty outweigh the relative benefits of the guaranty then, in any such case, the guaranty shall not be required. For the avoidance of doubt, in no event will any guaranty provided by any Foreign Guarantor cover any of the Domestic Obligations.</w:t>
      </w:r>
    </w:p>
    <w:p>
      <w:pPr>
        <w:spacing w:after="0" w:line="204" w:lineRule="exact"/>
        <w:rPr>
          <w:sz w:val="20"/>
          <w:szCs w:val="20"/>
          <w:color w:val="auto"/>
        </w:rPr>
      </w:pPr>
    </w:p>
    <w:p>
      <w:pPr>
        <w:ind w:left="1700" w:hanging="395"/>
        <w:spacing w:after="0"/>
        <w:tabs>
          <w:tab w:leader="none" w:pos="1700" w:val="left"/>
        </w:tabs>
        <w:numPr>
          <w:ilvl w:val="0"/>
          <w:numId w:val="210"/>
        </w:numPr>
        <w:rPr>
          <w:rFonts w:ascii="Arial" w:cs="Arial" w:eastAsia="Arial" w:hAnsi="Arial"/>
          <w:sz w:val="18"/>
          <w:szCs w:val="18"/>
          <w:color w:val="auto"/>
        </w:rPr>
      </w:pPr>
      <w:r>
        <w:rPr>
          <w:rFonts w:ascii="Arial" w:cs="Arial" w:eastAsia="Arial" w:hAnsi="Arial"/>
          <w:sz w:val="18"/>
          <w:szCs w:val="18"/>
          <w:u w:val="single" w:color="auto"/>
          <w:color w:val="auto"/>
        </w:rPr>
        <w:t>India Obligations</w:t>
      </w:r>
      <w:r>
        <w:rPr>
          <w:rFonts w:ascii="Arial" w:cs="Arial" w:eastAsia="Arial" w:hAnsi="Arial"/>
          <w:sz w:val="18"/>
          <w:szCs w:val="18"/>
          <w:color w:val="auto"/>
        </w:rPr>
        <w:t>. In the case of any India Borrower and its Foreign Subsidiaries, where any Foreign Subsidiary of an</w:t>
      </w:r>
    </w:p>
    <w:p>
      <w:pPr>
        <w:spacing w:after="0" w:line="76" w:lineRule="exact"/>
        <w:rPr>
          <w:rFonts w:ascii="Arial" w:cs="Arial" w:eastAsia="Arial" w:hAnsi="Arial"/>
          <w:sz w:val="18"/>
          <w:szCs w:val="18"/>
          <w:color w:val="auto"/>
        </w:rPr>
      </w:pPr>
    </w:p>
    <w:p>
      <w:pPr>
        <w:ind w:left="660"/>
        <w:spacing w:after="0" w:line="303" w:lineRule="auto"/>
        <w:rPr>
          <w:rFonts w:ascii="Arial" w:cs="Arial" w:eastAsia="Arial" w:hAnsi="Arial"/>
          <w:sz w:val="18"/>
          <w:szCs w:val="18"/>
          <w:color w:val="auto"/>
        </w:rPr>
      </w:pPr>
      <w:r>
        <w:rPr>
          <w:rFonts w:ascii="Arial" w:cs="Arial" w:eastAsia="Arial" w:hAnsi="Arial"/>
          <w:sz w:val="20"/>
          <w:szCs w:val="20"/>
          <w:color w:val="auto"/>
        </w:rPr>
        <w:t>India Borrower is not a Guarantor hereunder (each a “</w:t>
      </w:r>
      <w:r>
        <w:rPr>
          <w:rFonts w:ascii="Arial" w:cs="Arial" w:eastAsia="Arial" w:hAnsi="Arial"/>
          <w:sz w:val="20"/>
          <w:szCs w:val="20"/>
          <w:u w:val="single" w:color="auto"/>
          <w:color w:val="auto"/>
        </w:rPr>
        <w:t>Non-Guarantor India Subsidiary</w:t>
      </w:r>
      <w:r>
        <w:rPr>
          <w:rFonts w:ascii="Arial" w:cs="Arial" w:eastAsia="Arial" w:hAnsi="Arial"/>
          <w:sz w:val="20"/>
          <w:szCs w:val="20"/>
          <w:color w:val="auto"/>
        </w:rPr>
        <w:t>”), such India Borrower shall cause the joinder of such Foreign Subsidiary as an India Guarantor hereunder pursuant to a Joinder Agreement (or such</w:t>
      </w:r>
    </w:p>
    <w:p>
      <w:pPr>
        <w:spacing w:after="0" w:line="392"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150</w:t>
      </w:r>
    </w:p>
    <w:p>
      <w:pPr>
        <w:spacing w:after="0" w:line="10" w:lineRule="exact"/>
        <w:rPr>
          <w:sz w:val="20"/>
          <w:szCs w:val="20"/>
          <w:color w:val="auto"/>
        </w:rPr>
      </w:pPr>
    </w:p>
    <w:p>
      <w:pPr>
        <w:spacing w:after="0"/>
        <w:rPr>
          <w:sz w:val="20"/>
          <w:szCs w:val="20"/>
          <w:color w:val="auto"/>
        </w:rPr>
      </w:pPr>
      <w:r>
        <w:rPr>
          <w:rFonts w:ascii="Arial" w:cs="Arial" w:eastAsia="Arial" w:hAnsi="Arial"/>
          <w:sz w:val="14"/>
          <w:szCs w:val="14"/>
          <w:color w:val="auto"/>
        </w:rPr>
        <w:t>CHAR1\1346423v</w:t>
      </w:r>
      <w:r>
        <w:rPr>
          <w:rFonts w:ascii="Arial" w:cs="Arial" w:eastAsia="Arial" w:hAnsi="Arial"/>
          <w:sz w:val="14"/>
          <w:szCs w:val="14"/>
          <w:color w:val="FF0000"/>
          <w:strike w:val="1"/>
        </w:rPr>
        <w:t>1</w:t>
      </w:r>
      <w:r>
        <w:rPr>
          <w:rFonts w:ascii="Arial" w:cs="Arial" w:eastAsia="Arial" w:hAnsi="Arial"/>
          <w:sz w:val="14"/>
          <w:szCs w:val="14"/>
          <w:u w:val="single" w:color="auto"/>
          <w:color w:val="0000FF"/>
        </w:rPr>
        <w:t>12</w:t>
      </w:r>
    </w:p>
    <w:p>
      <w:pPr>
        <w:sectPr>
          <w:pgSz w:w="11900" w:h="16838" w:orient="portrait"/>
          <w:cols w:equalWidth="0" w:num="1">
            <w:col w:w="11400"/>
          </w:cols>
          <w:pgMar w:left="240" w:top="582" w:right="259" w:bottom="1440" w:gutter="0" w:footer="0" w:header="0"/>
        </w:sectPr>
      </w:pPr>
    </w:p>
    <w:bookmarkStart w:id="202" w:name="page203"/>
    <w:bookmarkEnd w:id="202"/>
    <w:p>
      <w:pPr>
        <w:ind w:left="660" w:right="20"/>
        <w:spacing w:after="0" w:line="301" w:lineRule="auto"/>
        <w:rPr>
          <w:sz w:val="20"/>
          <w:szCs w:val="20"/>
          <w:color w:val="auto"/>
        </w:rPr>
      </w:pPr>
      <w:r>
        <w:rPr>
          <w:rFonts w:ascii="Arial" w:cs="Arial" w:eastAsia="Arial" w:hAnsi="Arial"/>
          <w:sz w:val="19"/>
          <w:szCs w:val="19"/>
          <w:color w:val="auto"/>
        </w:rPr>
        <w:t xml:space="preserve">other documentation reasonably acceptable to the Administrative Agent) accompanied by Organization Documents and favorable opinions of counsel to such Foreign Subsidiary, all in form and substance reasonably satisfactory to the Administrative Agent, such that after giving effect thereto, such Non-Guarantor India Subsidiary shall become an India Guarantor;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in any such case, the Administrative Agent shall, in consultation with EWI, perform an analysis of the relative benefits associated with the prospective guaranty and where, in its reasonable discretion, the Administrative Agent shall make a determination, taking into account local custom and practice, that the costs, circumstances and requirements under local law associated with the guaranty outweigh the relative benefits of the guaranty then, in any such case, the guaranty shall not be required. For the avoidance of doubt, in no event will any guaranty provided by any India Guarantor cover any of the Domestic Obligations or any of the Foreign Obligations that are not India Obligations.</w:t>
      </w:r>
    </w:p>
    <w:p>
      <w:pPr>
        <w:spacing w:after="0" w:line="181" w:lineRule="exact"/>
        <w:rPr>
          <w:sz w:val="20"/>
          <w:szCs w:val="20"/>
          <w:color w:val="auto"/>
        </w:rPr>
      </w:pPr>
    </w:p>
    <w:p>
      <w:pPr>
        <w:ind w:left="660"/>
        <w:spacing w:after="0"/>
        <w:tabs>
          <w:tab w:leader="none" w:pos="1160" w:val="left"/>
        </w:tabs>
        <w:rPr>
          <w:sz w:val="20"/>
          <w:szCs w:val="20"/>
          <w:color w:val="auto"/>
        </w:rPr>
      </w:pPr>
      <w:r>
        <w:rPr>
          <w:rFonts w:ascii="Arial" w:cs="Arial" w:eastAsia="Arial" w:hAnsi="Arial"/>
          <w:sz w:val="20"/>
          <w:szCs w:val="20"/>
          <w:color w:val="auto"/>
        </w:rPr>
        <w:t>7.14</w:t>
      </w:r>
      <w:r>
        <w:rPr>
          <w:sz w:val="20"/>
          <w:szCs w:val="20"/>
          <w:color w:val="auto"/>
        </w:rPr>
        <w:tab/>
      </w:r>
      <w:r>
        <w:rPr>
          <w:rFonts w:ascii="Arial" w:cs="Arial" w:eastAsia="Arial" w:hAnsi="Arial"/>
          <w:sz w:val="16"/>
          <w:szCs w:val="16"/>
          <w:u w:val="single" w:color="auto"/>
          <w:color w:val="auto"/>
        </w:rPr>
        <w:t>Pledge of Capital Stock</w:t>
      </w:r>
      <w:r>
        <w:rPr>
          <w:rFonts w:ascii="Arial" w:cs="Arial" w:eastAsia="Arial" w:hAnsi="Arial"/>
          <w:sz w:val="16"/>
          <w:szCs w:val="16"/>
          <w:color w:val="auto"/>
        </w:rPr>
        <w:t>.</w:t>
      </w:r>
    </w:p>
    <w:p>
      <w:pPr>
        <w:spacing w:after="0" w:line="270" w:lineRule="exact"/>
        <w:rPr>
          <w:sz w:val="20"/>
          <w:szCs w:val="20"/>
          <w:color w:val="auto"/>
        </w:rPr>
      </w:pPr>
    </w:p>
    <w:p>
      <w:pPr>
        <w:ind w:left="1700" w:hanging="395"/>
        <w:spacing w:after="0"/>
        <w:tabs>
          <w:tab w:leader="none" w:pos="1700" w:val="left"/>
        </w:tabs>
        <w:numPr>
          <w:ilvl w:val="0"/>
          <w:numId w:val="211"/>
        </w:numPr>
        <w:rPr>
          <w:rFonts w:ascii="Arial" w:cs="Arial" w:eastAsia="Arial" w:hAnsi="Arial"/>
          <w:sz w:val="20"/>
          <w:szCs w:val="20"/>
          <w:color w:val="auto"/>
        </w:rPr>
      </w:pPr>
      <w:r>
        <w:rPr>
          <w:rFonts w:ascii="Arial" w:cs="Arial" w:eastAsia="Arial" w:hAnsi="Arial"/>
          <w:sz w:val="20"/>
          <w:szCs w:val="20"/>
          <w:u w:val="single" w:color="auto"/>
          <w:color w:val="auto"/>
        </w:rPr>
        <w:t>Pledge</w:t>
      </w:r>
      <w:r>
        <w:rPr>
          <w:rFonts w:ascii="Arial" w:cs="Arial" w:eastAsia="Arial" w:hAnsi="Arial"/>
          <w:sz w:val="20"/>
          <w:szCs w:val="20"/>
          <w:color w:val="auto"/>
        </w:rPr>
        <w:t>. EWI will pledge or cause to be pledged to the Administrative Agent:</w:t>
      </w:r>
    </w:p>
    <w:p>
      <w:pPr>
        <w:spacing w:after="0" w:line="283" w:lineRule="exact"/>
        <w:rPr>
          <w:rFonts w:ascii="Arial" w:cs="Arial" w:eastAsia="Arial" w:hAnsi="Arial"/>
          <w:sz w:val="20"/>
          <w:szCs w:val="20"/>
          <w:color w:val="auto"/>
        </w:rPr>
      </w:pPr>
    </w:p>
    <w:p>
      <w:pPr>
        <w:ind w:left="1300" w:right="80" w:firstLine="653"/>
        <w:spacing w:after="0" w:line="356" w:lineRule="auto"/>
        <w:tabs>
          <w:tab w:leader="none" w:pos="2332" w:val="left"/>
        </w:tabs>
        <w:numPr>
          <w:ilvl w:val="1"/>
          <w:numId w:val="211"/>
        </w:numPr>
        <w:rPr>
          <w:rFonts w:ascii="Arial" w:cs="Arial" w:eastAsia="Arial" w:hAnsi="Arial"/>
          <w:sz w:val="19"/>
          <w:szCs w:val="19"/>
          <w:color w:val="auto"/>
        </w:rPr>
      </w:pPr>
      <w:r>
        <w:rPr>
          <w:rFonts w:ascii="Arial" w:cs="Arial" w:eastAsia="Arial" w:hAnsi="Arial"/>
          <w:sz w:val="18"/>
          <w:szCs w:val="18"/>
          <w:color w:val="auto"/>
        </w:rPr>
        <w:t>to secure the Obligations (including the Foreign Obligations and India Obligations), (A) 100% of the issued and outstanding Capital Stock of each Material Domestic Subsidiary, and (B) 65% (or, if less, the full amount owned) of the issued and outstanding Capital Stock of each Material First-Tier Foreign Subsidiary entitled to vote (within the meaning of Treas. Reg. Section 1.956-2(c)(2)) and 100% (or if less, the full amount owned) of the issued and outstanding Capital Stock of each Material First-Tier Foreign Subsidiary not entitled to vote (within the meaning of Treas. Reg. Section 1.956-2(c)(2)); and</w:t>
      </w:r>
    </w:p>
    <w:p>
      <w:pPr>
        <w:spacing w:after="0" w:line="162" w:lineRule="exact"/>
        <w:rPr>
          <w:rFonts w:ascii="Arial" w:cs="Arial" w:eastAsia="Arial" w:hAnsi="Arial"/>
          <w:sz w:val="19"/>
          <w:szCs w:val="19"/>
          <w:color w:val="auto"/>
        </w:rPr>
      </w:pPr>
    </w:p>
    <w:p>
      <w:pPr>
        <w:jc w:val="both"/>
        <w:ind w:left="1300" w:right="40" w:firstLine="653"/>
        <w:spacing w:after="0" w:line="311" w:lineRule="auto"/>
        <w:tabs>
          <w:tab w:leader="none" w:pos="2392" w:val="left"/>
        </w:tabs>
        <w:numPr>
          <w:ilvl w:val="1"/>
          <w:numId w:val="211"/>
        </w:numPr>
        <w:rPr>
          <w:rFonts w:ascii="Arial" w:cs="Arial" w:eastAsia="Arial" w:hAnsi="Arial"/>
          <w:sz w:val="22"/>
          <w:szCs w:val="22"/>
          <w:color w:val="auto"/>
        </w:rPr>
      </w:pPr>
      <w:r>
        <w:rPr>
          <w:rFonts w:ascii="Arial" w:cs="Arial" w:eastAsia="Arial" w:hAnsi="Arial"/>
          <w:sz w:val="20"/>
          <w:szCs w:val="20"/>
          <w:color w:val="auto"/>
        </w:rPr>
        <w:t>to secure the Foreign Obligations and the India Obligations, (A) the remaining 35% of the issued and outstanding Capital Stock of each Material First-Tier Foreign Subsidiary entitled to vote (within the meaning of Treas. Reg. Section 1.956-2(c)(2)), and (B) 100% of the issued and outstanding Capital Stock of each Material Foreign Subsidiary (other than First-Tier Foreign Subsidiaries);</w:t>
      </w:r>
    </w:p>
    <w:p>
      <w:pPr>
        <w:spacing w:after="0" w:line="156" w:lineRule="exact"/>
        <w:rPr>
          <w:sz w:val="20"/>
          <w:szCs w:val="20"/>
          <w:color w:val="auto"/>
        </w:rPr>
      </w:pPr>
    </w:p>
    <w:p>
      <w:pPr>
        <w:spacing w:after="0" w:line="272" w:lineRule="auto"/>
        <w:rPr>
          <w:sz w:val="20"/>
          <w:szCs w:val="20"/>
          <w:color w:val="auto"/>
        </w:rPr>
      </w:pP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requirement pursuant to </w:t>
      </w:r>
      <w:r>
        <w:rPr>
          <w:rFonts w:ascii="Arial" w:cs="Arial" w:eastAsia="Arial" w:hAnsi="Arial"/>
          <w:sz w:val="18"/>
          <w:szCs w:val="18"/>
          <w:u w:val="single" w:color="auto"/>
          <w:color w:val="auto"/>
        </w:rPr>
        <w:t>clause (a)(i)(B)</w:t>
      </w:r>
      <w:r>
        <w:rPr>
          <w:rFonts w:ascii="Arial" w:cs="Arial" w:eastAsia="Arial" w:hAnsi="Arial"/>
          <w:sz w:val="18"/>
          <w:szCs w:val="18"/>
          <w:color w:val="auto"/>
        </w:rPr>
        <w:t xml:space="preserve"> for the pledge of not more than 65% of the Capital Stock in each Material First-Tier Foreign Subsidiary entitled to vote to secure the Obligations is intended to avoid treatment of the undistributed earnings of a Foreign Subsidiary as a deemed dividend to its United States parent for United States federal income tax purposes. Accordingly, notwithstanding the provisions of </w:t>
      </w:r>
      <w:r>
        <w:rPr>
          <w:rFonts w:ascii="Arial" w:cs="Arial" w:eastAsia="Arial" w:hAnsi="Arial"/>
          <w:sz w:val="18"/>
          <w:szCs w:val="18"/>
          <w:u w:val="single" w:color="auto"/>
          <w:color w:val="auto"/>
        </w:rPr>
        <w:t>clauses (i)</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(ii)</w:t>
      </w:r>
      <w:r>
        <w:rPr>
          <w:rFonts w:ascii="Arial" w:cs="Arial" w:eastAsia="Arial" w:hAnsi="Arial"/>
          <w:sz w:val="18"/>
          <w:szCs w:val="18"/>
          <w:color w:val="auto"/>
        </w:rPr>
        <w:t xml:space="preserve"> above, such Credit Party shall, at the request of the Administrative Agent and after consultation with the Borrowers, pledge or cause to be pledged any greater percentage of its interest in a First-Tier Foreign Subsidiary that, as the result of a Change in Law, (1) would not reasonably be expected to cause the undistributed earnings of such Foreign Subsidiary to be treated as a deemed dividend to the United States parent of such Foreign Subsidiary, as determined for United States federal income tax purposes, and (2) would not otherwise reasonably be expected to result in material adverse tax consequences to such Foreign Subsidiary or its United States parent, to secure the Obligations, and shall pledge any remaining interests therein to secure the Foreign Obligations.</w:t>
      </w: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151</w:t>
      </w:r>
    </w:p>
    <w:p>
      <w:pPr>
        <w:spacing w:after="0" w:line="10" w:lineRule="exact"/>
        <w:rPr>
          <w:sz w:val="20"/>
          <w:szCs w:val="20"/>
          <w:color w:val="auto"/>
        </w:rPr>
      </w:pPr>
    </w:p>
    <w:p>
      <w:pPr>
        <w:spacing w:after="0"/>
        <w:rPr>
          <w:sz w:val="20"/>
          <w:szCs w:val="20"/>
          <w:color w:val="auto"/>
        </w:rPr>
      </w:pPr>
      <w:r>
        <w:rPr>
          <w:rFonts w:ascii="Arial" w:cs="Arial" w:eastAsia="Arial" w:hAnsi="Arial"/>
          <w:sz w:val="14"/>
          <w:szCs w:val="14"/>
          <w:color w:val="auto"/>
        </w:rPr>
        <w:t>CHAR1\1346423v</w:t>
      </w:r>
      <w:r>
        <w:rPr>
          <w:rFonts w:ascii="Arial" w:cs="Arial" w:eastAsia="Arial" w:hAnsi="Arial"/>
          <w:sz w:val="14"/>
          <w:szCs w:val="14"/>
          <w:color w:val="FF0000"/>
          <w:strike w:val="1"/>
        </w:rPr>
        <w:t>1</w:t>
      </w:r>
      <w:r>
        <w:rPr>
          <w:rFonts w:ascii="Arial" w:cs="Arial" w:eastAsia="Arial" w:hAnsi="Arial"/>
          <w:sz w:val="14"/>
          <w:szCs w:val="14"/>
          <w:u w:val="single" w:color="auto"/>
          <w:color w:val="0000FF"/>
        </w:rPr>
        <w:t>12</w:t>
      </w:r>
    </w:p>
    <w:p>
      <w:pPr>
        <w:sectPr>
          <w:pgSz w:w="11900" w:h="16838" w:orient="portrait"/>
          <w:cols w:equalWidth="0" w:num="1">
            <w:col w:w="11420"/>
          </w:cols>
          <w:pgMar w:left="240" w:top="609" w:right="239" w:bottom="1440" w:gutter="0" w:footer="0" w:header="0"/>
        </w:sectPr>
      </w:pPr>
    </w:p>
    <w:bookmarkStart w:id="203" w:name="page204"/>
    <w:bookmarkEnd w:id="203"/>
    <w:p>
      <w:pPr>
        <w:ind w:left="1720" w:hanging="415"/>
        <w:spacing w:after="0"/>
        <w:tabs>
          <w:tab w:leader="none" w:pos="1720" w:val="left"/>
        </w:tabs>
        <w:numPr>
          <w:ilvl w:val="0"/>
          <w:numId w:val="212"/>
        </w:numPr>
        <w:rPr>
          <w:rFonts w:ascii="Arial" w:cs="Arial" w:eastAsia="Arial" w:hAnsi="Arial"/>
          <w:sz w:val="18"/>
          <w:szCs w:val="18"/>
          <w:color w:val="auto"/>
        </w:rPr>
      </w:pPr>
      <w:r>
        <w:rPr>
          <w:rFonts w:ascii="Arial" w:cs="Arial" w:eastAsia="Arial" w:hAnsi="Arial"/>
          <w:sz w:val="18"/>
          <w:szCs w:val="18"/>
          <w:u w:val="single" w:color="auto"/>
          <w:color w:val="auto"/>
        </w:rPr>
        <w:t>Deliveries</w:t>
      </w:r>
      <w:r>
        <w:rPr>
          <w:rFonts w:ascii="Arial" w:cs="Arial" w:eastAsia="Arial" w:hAnsi="Arial"/>
          <w:sz w:val="18"/>
          <w:szCs w:val="18"/>
          <w:color w:val="auto"/>
        </w:rPr>
        <w:t>. In connection with the foregoing pledges, EWI will or will cause to be delivered to the Administrative Agent:</w:t>
      </w:r>
    </w:p>
    <w:p>
      <w:pPr>
        <w:spacing w:after="0" w:line="306" w:lineRule="exact"/>
        <w:rPr>
          <w:rFonts w:ascii="Arial" w:cs="Arial" w:eastAsia="Arial" w:hAnsi="Arial"/>
          <w:sz w:val="18"/>
          <w:szCs w:val="18"/>
          <w:color w:val="auto"/>
        </w:rPr>
      </w:pPr>
    </w:p>
    <w:p>
      <w:pPr>
        <w:ind w:left="1300" w:right="20" w:firstLine="653"/>
        <w:spacing w:after="0" w:line="328" w:lineRule="auto"/>
        <w:tabs>
          <w:tab w:leader="none" w:pos="2332" w:val="left"/>
        </w:tabs>
        <w:numPr>
          <w:ilvl w:val="1"/>
          <w:numId w:val="212"/>
        </w:numPr>
        <w:rPr>
          <w:rFonts w:ascii="Arial" w:cs="Arial" w:eastAsia="Arial" w:hAnsi="Arial"/>
          <w:sz w:val="21"/>
          <w:szCs w:val="21"/>
          <w:color w:val="auto"/>
        </w:rPr>
      </w:pPr>
      <w:r>
        <w:rPr>
          <w:rFonts w:ascii="Arial" w:cs="Arial" w:eastAsia="Arial" w:hAnsi="Arial"/>
          <w:sz w:val="19"/>
          <w:szCs w:val="19"/>
          <w:u w:val="single" w:color="auto"/>
          <w:color w:val="auto"/>
        </w:rPr>
        <w:t>Domestic Guarantors</w:t>
      </w:r>
      <w:r>
        <w:rPr>
          <w:rFonts w:ascii="Arial" w:cs="Arial" w:eastAsia="Arial" w:hAnsi="Arial"/>
          <w:sz w:val="19"/>
          <w:szCs w:val="19"/>
          <w:color w:val="auto"/>
        </w:rPr>
        <w:t>. The pledge of Capital Stock of the Material Domestic Subsidiaries will be made pursuant to a Pledge Agreement or pledge joinder agreement(s), together with such filings and deliveries necessary or appropriate to perfect the security interests therein (including, where appropriate, delivery of original share certificates evidencing the pledged interests and undated transfer powers executed in blank), and opinions of counsel relating thereto, all in form, substance and scope reasonably satisfactory to the Administrative Agent, and will be made (A) on the Closing Date, in the case of Material Domestic Subsidiaries existing on the Closing Date, and (B) otherwise within 45 days (with extensions as may be deemed necessary or appropriate by the Administrative Agent in its discretion) of formation or acquisition or the date when the subject interests are first required to be pledged hereunder.</w:t>
      </w:r>
    </w:p>
    <w:p>
      <w:pPr>
        <w:spacing w:after="0" w:line="186" w:lineRule="exact"/>
        <w:rPr>
          <w:rFonts w:ascii="Arial" w:cs="Arial" w:eastAsia="Arial" w:hAnsi="Arial"/>
          <w:sz w:val="21"/>
          <w:szCs w:val="21"/>
          <w:color w:val="auto"/>
        </w:rPr>
      </w:pPr>
    </w:p>
    <w:p>
      <w:pPr>
        <w:ind w:left="1300" w:right="20" w:firstLine="653"/>
        <w:spacing w:after="0" w:line="343" w:lineRule="auto"/>
        <w:tabs>
          <w:tab w:leader="none" w:pos="2392" w:val="left"/>
        </w:tabs>
        <w:numPr>
          <w:ilvl w:val="1"/>
          <w:numId w:val="212"/>
        </w:numPr>
        <w:rPr>
          <w:rFonts w:ascii="Arial" w:cs="Arial" w:eastAsia="Arial" w:hAnsi="Arial"/>
          <w:sz w:val="19"/>
          <w:szCs w:val="19"/>
          <w:color w:val="auto"/>
        </w:rPr>
      </w:pPr>
      <w:r>
        <w:rPr>
          <w:rFonts w:ascii="Arial" w:cs="Arial" w:eastAsia="Arial" w:hAnsi="Arial"/>
          <w:sz w:val="18"/>
          <w:szCs w:val="18"/>
          <w:u w:val="single" w:color="auto"/>
          <w:color w:val="auto"/>
        </w:rPr>
        <w:t>Foreign Guarantors</w:t>
      </w:r>
      <w:r>
        <w:rPr>
          <w:rFonts w:ascii="Arial" w:cs="Arial" w:eastAsia="Arial" w:hAnsi="Arial"/>
          <w:sz w:val="18"/>
          <w:szCs w:val="18"/>
          <w:color w:val="auto"/>
        </w:rPr>
        <w:t>. The pledge of Capital Stock of the Material Foreign Subsidiaries will be made pursuant to a Pledge Agreement or pledge joinder agreement(s), together with such filings and deliveries necessary or appropriate to perfect the security interests therein (including, where appropriate, notarization and recordation of local pledge agreements, parallel debt agreements and such other acts necessary or appropriate to give effect to the pledge under local law), and opinions of counsel relating thereto, all in form, substance and scope reasonably satisfactory to the Administrative Agent, and will be made</w:t>
      </w:r>
    </w:p>
    <w:p>
      <w:pPr>
        <w:spacing w:after="0" w:line="3" w:lineRule="exact"/>
        <w:rPr>
          <w:rFonts w:ascii="Arial" w:cs="Arial" w:eastAsia="Arial" w:hAnsi="Arial"/>
          <w:sz w:val="19"/>
          <w:szCs w:val="19"/>
          <w:color w:val="auto"/>
        </w:rPr>
      </w:pPr>
    </w:p>
    <w:p>
      <w:pPr>
        <w:ind w:left="1300" w:right="200"/>
        <w:spacing w:after="0" w:line="352" w:lineRule="auto"/>
        <w:rPr>
          <w:rFonts w:ascii="Arial" w:cs="Arial" w:eastAsia="Arial" w:hAnsi="Arial"/>
          <w:sz w:val="19"/>
          <w:szCs w:val="19"/>
          <w:color w:val="auto"/>
        </w:rPr>
      </w:pPr>
      <w:r>
        <w:rPr>
          <w:rFonts w:ascii="Arial" w:cs="Arial" w:eastAsia="Arial" w:hAnsi="Arial"/>
          <w:sz w:val="18"/>
          <w:szCs w:val="18"/>
          <w:color w:val="auto"/>
        </w:rPr>
        <w:t xml:space="preserve">(A) on the Closing Date, in the case of pledged interests in Material First-Tier Foreign Subsidiaries, and (B) otherwise within 120 days (with extensions as may be deemed necessary or appropriate by the Administrative Agent in its discretion) of formation, acquisition or the date when the subject interests are first required to be pledged hereunder;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Administrative Agent shall, in consultation with EWI, prepare an analysis of the relative benefits associated with the prospective pledge and where, in its reasonable discretion, the Administrative Agent shall make a determination, taking into account local custom and practice, that the costs, circumstances and requirements under local law associated with the pledge outweigh the relative benefits of the pledge, then in any such case the pledge will not be required.</w:t>
      </w:r>
    </w:p>
    <w:p>
      <w:pPr>
        <w:spacing w:after="0" w:line="157" w:lineRule="exact"/>
        <w:rPr>
          <w:sz w:val="20"/>
          <w:szCs w:val="20"/>
          <w:color w:val="auto"/>
        </w:rPr>
      </w:pPr>
    </w:p>
    <w:p>
      <w:pPr>
        <w:ind w:left="660"/>
        <w:spacing w:after="0"/>
        <w:tabs>
          <w:tab w:leader="none" w:pos="1160" w:val="left"/>
        </w:tabs>
        <w:rPr>
          <w:sz w:val="20"/>
          <w:szCs w:val="20"/>
          <w:color w:val="auto"/>
        </w:rPr>
      </w:pPr>
      <w:r>
        <w:rPr>
          <w:rFonts w:ascii="Arial" w:cs="Arial" w:eastAsia="Arial" w:hAnsi="Arial"/>
          <w:sz w:val="20"/>
          <w:szCs w:val="20"/>
          <w:color w:val="auto"/>
        </w:rPr>
        <w:t>7.15</w:t>
      </w:r>
      <w:r>
        <w:rPr>
          <w:sz w:val="20"/>
          <w:szCs w:val="20"/>
          <w:color w:val="auto"/>
        </w:rPr>
        <w:tab/>
      </w:r>
      <w:r>
        <w:rPr>
          <w:rFonts w:ascii="Arial" w:cs="Arial" w:eastAsia="Arial" w:hAnsi="Arial"/>
          <w:sz w:val="16"/>
          <w:szCs w:val="16"/>
          <w:u w:val="single" w:color="auto"/>
          <w:color w:val="auto"/>
        </w:rPr>
        <w:t>Pledge of Other Property</w:t>
      </w:r>
      <w:r>
        <w:rPr>
          <w:rFonts w:ascii="Arial" w:cs="Arial" w:eastAsia="Arial" w:hAnsi="Arial"/>
          <w:sz w:val="16"/>
          <w:szCs w:val="16"/>
          <w:color w:val="auto"/>
        </w:rPr>
        <w:t>.</w:t>
      </w:r>
    </w:p>
    <w:p>
      <w:pPr>
        <w:spacing w:after="0" w:line="270" w:lineRule="exact"/>
        <w:rPr>
          <w:sz w:val="20"/>
          <w:szCs w:val="20"/>
          <w:color w:val="auto"/>
        </w:rPr>
      </w:pPr>
    </w:p>
    <w:p>
      <w:pPr>
        <w:ind w:left="1700" w:hanging="395"/>
        <w:spacing w:after="0"/>
        <w:tabs>
          <w:tab w:leader="none" w:pos="1700" w:val="left"/>
        </w:tabs>
        <w:numPr>
          <w:ilvl w:val="0"/>
          <w:numId w:val="213"/>
        </w:numPr>
        <w:rPr>
          <w:rFonts w:ascii="Arial" w:cs="Arial" w:eastAsia="Arial" w:hAnsi="Arial"/>
          <w:sz w:val="18"/>
          <w:szCs w:val="18"/>
          <w:color w:val="auto"/>
        </w:rPr>
      </w:pPr>
      <w:r>
        <w:rPr>
          <w:rFonts w:ascii="Arial" w:cs="Arial" w:eastAsia="Arial" w:hAnsi="Arial"/>
          <w:sz w:val="18"/>
          <w:szCs w:val="18"/>
          <w:u w:val="single" w:color="auto"/>
          <w:color w:val="auto"/>
        </w:rPr>
        <w:t>Domestic Personal Property</w:t>
      </w:r>
      <w:r>
        <w:rPr>
          <w:rFonts w:ascii="Arial" w:cs="Arial" w:eastAsia="Arial" w:hAnsi="Arial"/>
          <w:sz w:val="18"/>
          <w:szCs w:val="18"/>
          <w:color w:val="auto"/>
        </w:rPr>
        <w:t>. The Obligations will be secured by a grant of a security interest in substantially all personal</w:t>
      </w:r>
    </w:p>
    <w:p>
      <w:pPr>
        <w:spacing w:after="0" w:line="76" w:lineRule="exact"/>
        <w:rPr>
          <w:rFonts w:ascii="Arial" w:cs="Arial" w:eastAsia="Arial" w:hAnsi="Arial"/>
          <w:sz w:val="18"/>
          <w:szCs w:val="18"/>
          <w:color w:val="auto"/>
        </w:rPr>
      </w:pPr>
    </w:p>
    <w:p>
      <w:pPr>
        <w:ind w:left="660"/>
        <w:spacing w:after="0" w:line="305" w:lineRule="auto"/>
        <w:rPr>
          <w:rFonts w:ascii="Arial" w:cs="Arial" w:eastAsia="Arial" w:hAnsi="Arial"/>
          <w:sz w:val="18"/>
          <w:szCs w:val="18"/>
          <w:color w:val="auto"/>
        </w:rPr>
      </w:pPr>
      <w:r>
        <w:rPr>
          <w:rFonts w:ascii="Arial" w:cs="Arial" w:eastAsia="Arial" w:hAnsi="Arial"/>
          <w:sz w:val="19"/>
          <w:szCs w:val="19"/>
          <w:color w:val="auto"/>
        </w:rPr>
        <w:t xml:space="preserve">property (including all accounts, contract rights, deposit accounts, chattel paper, insurance proceeds, inventory, investments and financial assets, general intangibles, intellectual property, licenses, machinery and equipment, but not the pledge of Capital Stock which shall be governed by the provisions of </w:t>
      </w:r>
      <w:r>
        <w:rPr>
          <w:rFonts w:ascii="Arial" w:cs="Arial" w:eastAsia="Arial" w:hAnsi="Arial"/>
          <w:sz w:val="19"/>
          <w:szCs w:val="19"/>
          <w:u w:val="single" w:color="auto"/>
          <w:color w:val="auto"/>
        </w:rPr>
        <w:t>Section 7.14</w:t>
      </w:r>
      <w:r>
        <w:rPr>
          <w:rFonts w:ascii="Arial" w:cs="Arial" w:eastAsia="Arial" w:hAnsi="Arial"/>
          <w:sz w:val="19"/>
          <w:szCs w:val="19"/>
          <w:color w:val="auto"/>
        </w:rPr>
        <w:t xml:space="preserve"> and the Pledge Agreements relating thereto) of the Domestic Credit Parties (the “</w:t>
      </w:r>
      <w:r>
        <w:rPr>
          <w:rFonts w:ascii="Arial" w:cs="Arial" w:eastAsia="Arial" w:hAnsi="Arial"/>
          <w:sz w:val="19"/>
          <w:szCs w:val="19"/>
          <w:u w:val="single" w:color="auto"/>
          <w:color w:val="auto"/>
        </w:rPr>
        <w:t>Domestic Grantors</w:t>
      </w:r>
      <w:r>
        <w:rPr>
          <w:rFonts w:ascii="Arial" w:cs="Arial" w:eastAsia="Arial" w:hAnsi="Arial"/>
          <w:sz w:val="19"/>
          <w:szCs w:val="19"/>
          <w:color w:val="auto"/>
        </w:rPr>
        <w:t>”) located in the United States in which a security interest may be created by the execution of the Domestic Security Agreement under Article 9 of the UCC and which may be perfected by filing financing</w:t>
      </w:r>
    </w:p>
    <w:p>
      <w:pPr>
        <w:spacing w:after="0" w:line="394"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152</w:t>
      </w:r>
    </w:p>
    <w:p>
      <w:pPr>
        <w:spacing w:after="0" w:line="10" w:lineRule="exact"/>
        <w:rPr>
          <w:sz w:val="20"/>
          <w:szCs w:val="20"/>
          <w:color w:val="auto"/>
        </w:rPr>
      </w:pPr>
    </w:p>
    <w:p>
      <w:pPr>
        <w:spacing w:after="0"/>
        <w:rPr>
          <w:sz w:val="20"/>
          <w:szCs w:val="20"/>
          <w:color w:val="auto"/>
        </w:rPr>
      </w:pPr>
      <w:r>
        <w:rPr>
          <w:rFonts w:ascii="Arial" w:cs="Arial" w:eastAsia="Arial" w:hAnsi="Arial"/>
          <w:sz w:val="14"/>
          <w:szCs w:val="14"/>
          <w:color w:val="auto"/>
        </w:rPr>
        <w:t>CHAR1\1346423v</w:t>
      </w:r>
      <w:r>
        <w:rPr>
          <w:rFonts w:ascii="Arial" w:cs="Arial" w:eastAsia="Arial" w:hAnsi="Arial"/>
          <w:sz w:val="14"/>
          <w:szCs w:val="14"/>
          <w:color w:val="FF0000"/>
          <w:strike w:val="1"/>
        </w:rPr>
        <w:t>1</w:t>
      </w:r>
      <w:r>
        <w:rPr>
          <w:rFonts w:ascii="Arial" w:cs="Arial" w:eastAsia="Arial" w:hAnsi="Arial"/>
          <w:sz w:val="14"/>
          <w:szCs w:val="14"/>
          <w:u w:val="single" w:color="auto"/>
          <w:color w:val="0000FF"/>
        </w:rPr>
        <w:t>12</w:t>
      </w:r>
    </w:p>
    <w:p>
      <w:pPr>
        <w:sectPr>
          <w:pgSz w:w="11900" w:h="16838" w:orient="portrait"/>
          <w:cols w:equalWidth="0" w:num="1">
            <w:col w:w="11420"/>
          </w:cols>
          <w:pgMar w:left="240" w:top="609" w:right="239" w:bottom="1440" w:gutter="0" w:footer="0" w:header="0"/>
        </w:sectPr>
      </w:pPr>
    </w:p>
    <w:bookmarkStart w:id="204" w:name="page205"/>
    <w:bookmarkEnd w:id="204"/>
    <w:p>
      <w:pPr>
        <w:ind w:left="660"/>
        <w:spacing w:after="0" w:line="317" w:lineRule="auto"/>
        <w:rPr>
          <w:sz w:val="20"/>
          <w:szCs w:val="20"/>
          <w:color w:val="auto"/>
        </w:rPr>
      </w:pPr>
      <w:r>
        <w:rPr>
          <w:rFonts w:ascii="Arial" w:cs="Arial" w:eastAsia="Arial" w:hAnsi="Arial"/>
          <w:sz w:val="18"/>
          <w:szCs w:val="18"/>
          <w:color w:val="auto"/>
        </w:rPr>
        <w:t>statements under the UCC or by filing notices of security interests in respect of intellectual property with the United States Copyright Office or the United States Patent and Trademark Office. The scope of the personal property covered by this subsection will not include Excluded Property. In connection with any grant of security interest under this subsection, there will be delivered to the Administrative Agent (A) on the Closing Date, in the case of Domestic Grantors existing on the Closing Date, and (B) within forty-five (45) days (with extensions as may be deemed necessary or appropriate by the Administrative Agent in its discretion) of formation, acquisition or the date when the subject interests are first required to be pledged hereunder, (i) a security agreement in form and substance reasonably satisfactory to the Administrative Agent, executed in multiple counterparts, (ii) notices of grant of security interest in respect of intellectual property with the United States Copyright Office or the United States Patent and Trademark Office reasonably satisfactory to the Administrative Agent, executed in multiple counterparts, (iii) such opinions of counsel as the Administrative Agent may deem necessary or appropriate, in form and substance reasonably satisfactory to the Administrative Agent, (iv) evidence of property insurance (consistent with the requirements for insurance hereunder) on personal property showing the Collateral Agent as loss payee (if insurance is provided by a commercial insurer), and (v) such other filings and deliveries as may be necessary or appropriate as determined by the Administrative Agent in its reasonable discretion.</w:t>
      </w:r>
    </w:p>
    <w:p>
      <w:pPr>
        <w:spacing w:after="0" w:line="173" w:lineRule="exact"/>
        <w:rPr>
          <w:sz w:val="20"/>
          <w:szCs w:val="20"/>
          <w:color w:val="auto"/>
        </w:rPr>
      </w:pPr>
    </w:p>
    <w:p>
      <w:pPr>
        <w:ind w:left="1720" w:hanging="415"/>
        <w:spacing w:after="0"/>
        <w:tabs>
          <w:tab w:leader="none" w:pos="1720" w:val="left"/>
        </w:tabs>
        <w:numPr>
          <w:ilvl w:val="0"/>
          <w:numId w:val="214"/>
        </w:numPr>
        <w:rPr>
          <w:rFonts w:ascii="Arial" w:cs="Arial" w:eastAsia="Arial" w:hAnsi="Arial"/>
          <w:sz w:val="18"/>
          <w:szCs w:val="18"/>
          <w:color w:val="auto"/>
        </w:rPr>
      </w:pPr>
      <w:r>
        <w:rPr>
          <w:rFonts w:ascii="Arial" w:cs="Arial" w:eastAsia="Arial" w:hAnsi="Arial"/>
          <w:sz w:val="18"/>
          <w:szCs w:val="18"/>
          <w:u w:val="single" w:color="auto"/>
          <w:color w:val="FF0000"/>
          <w:strike w:val="1"/>
        </w:rPr>
        <w:t>Foreign Personal Property</w:t>
      </w:r>
      <w:r>
        <w:rPr>
          <w:rFonts w:ascii="Arial" w:cs="Arial" w:eastAsia="Arial" w:hAnsi="Arial"/>
          <w:sz w:val="18"/>
          <w:szCs w:val="18"/>
          <w:color w:val="FF0000"/>
          <w:strike w:val="1"/>
        </w:rPr>
        <w:t>. Except as may be agreed by the Administrative Agent, the Foreign Obligations will be secured</w:t>
      </w:r>
    </w:p>
    <w:p>
      <w:pPr>
        <w:spacing w:after="0" w:line="76" w:lineRule="exact"/>
        <w:rPr>
          <w:rFonts w:ascii="Arial" w:cs="Arial" w:eastAsia="Arial" w:hAnsi="Arial"/>
          <w:sz w:val="18"/>
          <w:szCs w:val="18"/>
          <w:color w:val="auto"/>
        </w:rPr>
      </w:pPr>
    </w:p>
    <w:p>
      <w:pPr>
        <w:ind w:left="660" w:right="20"/>
        <w:spacing w:after="0" w:line="316" w:lineRule="auto"/>
        <w:rPr>
          <w:rFonts w:ascii="Arial" w:cs="Arial" w:eastAsia="Arial" w:hAnsi="Arial"/>
          <w:sz w:val="18"/>
          <w:szCs w:val="18"/>
          <w:color w:val="auto"/>
        </w:rPr>
      </w:pPr>
      <w:r>
        <w:rPr>
          <w:rFonts w:ascii="Arial" w:cs="Arial" w:eastAsia="Arial" w:hAnsi="Arial"/>
          <w:sz w:val="18"/>
          <w:szCs w:val="18"/>
          <w:color w:val="FF0000"/>
          <w:strike w:val="1"/>
        </w:rPr>
        <w:t>by a grant of a Lien in all material personal property (including all accounts, contract rights, deposit accounts, chattel paper, insurance proceeds, inventory, investments and financial assets, general intangibles, intellectual property, licenses, machinery and equipment, but not the pledge of Capital Stock which shall be governed by the provisions of Section 7.14 and the Pledge Agreements relating thereto) of the Foreign Credit Parties (other than the India Borrower or any Foreign Subsidiaries of the India Borrower) located outside the United States in which a Lien may be created by the execution of the Foreign Security Agreement under applicable Law with a fair value in excess of $5 million in any instance (or otherwise determined to be material in the reasonable discretion of the Administrative Agent). The scope of the Liens will contain exceptions and qualifications reasonably acceptable to the Administrative Agent, and will not include Excluded Property. Further, the Administrative Agent shall, in consultation with EWI, perform an analysis of the relative benefits associated with the prospective pledge and where, in its reasonable discretion, the Administrative Agent shall make a determination, taking into account local custom and practice, that the costs, circumstances and requirements under local law associated with the pledge outweigh the relative benefits of the Lien, then, in any such case, the Lien will not be required. In connection with the a grant of Liens under this subsection, there will be delivered to the Administrative Agent within 120 days (with extensions as may be deemed necessary or appropriate by the Administrative Agent in its discretion) of formation, acquisition or the date when the subject interests are first required to be pledged hereunder, (i) a security agreement in form and substance reasonably satisfactory to the Administrative Agent, executed in multiple counterparts, (ii) filings and notices of grant of Lien in respect of such personal property as may be necessary or appropriate to perfect the subject interests and otherwise reasonably satisfactory to the Administrative Agent, (iii) such opinions of</w:t>
      </w:r>
    </w:p>
    <w:p>
      <w:pPr>
        <w:spacing w:after="0" w:line="391"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153</w:t>
      </w:r>
    </w:p>
    <w:p>
      <w:pPr>
        <w:spacing w:after="0" w:line="10" w:lineRule="exact"/>
        <w:rPr>
          <w:sz w:val="20"/>
          <w:szCs w:val="20"/>
          <w:color w:val="auto"/>
        </w:rPr>
      </w:pPr>
    </w:p>
    <w:p>
      <w:pPr>
        <w:spacing w:after="0"/>
        <w:rPr>
          <w:sz w:val="20"/>
          <w:szCs w:val="20"/>
          <w:color w:val="auto"/>
        </w:rPr>
      </w:pPr>
      <w:r>
        <w:rPr>
          <w:rFonts w:ascii="Arial" w:cs="Arial" w:eastAsia="Arial" w:hAnsi="Arial"/>
          <w:sz w:val="14"/>
          <w:szCs w:val="14"/>
          <w:color w:val="auto"/>
        </w:rPr>
        <w:t>CHAR1\1346423v</w:t>
      </w:r>
      <w:r>
        <w:rPr>
          <w:rFonts w:ascii="Arial" w:cs="Arial" w:eastAsia="Arial" w:hAnsi="Arial"/>
          <w:sz w:val="14"/>
          <w:szCs w:val="14"/>
          <w:color w:val="FF0000"/>
          <w:strike w:val="1"/>
        </w:rPr>
        <w:t>1</w:t>
      </w:r>
      <w:r>
        <w:rPr>
          <w:rFonts w:ascii="Arial" w:cs="Arial" w:eastAsia="Arial" w:hAnsi="Arial"/>
          <w:sz w:val="14"/>
          <w:szCs w:val="14"/>
          <w:u w:val="single" w:color="auto"/>
          <w:color w:val="0000FF"/>
        </w:rPr>
        <w:t>12</w:t>
      </w:r>
    </w:p>
    <w:p>
      <w:pPr>
        <w:sectPr>
          <w:pgSz w:w="11900" w:h="16838" w:orient="portrait"/>
          <w:cols w:equalWidth="0" w:num="1">
            <w:col w:w="11420"/>
          </w:cols>
          <w:pgMar w:left="240" w:top="609" w:right="239" w:bottom="1440" w:gutter="0" w:footer="0" w:header="0"/>
        </w:sectPr>
      </w:pPr>
    </w:p>
    <w:bookmarkStart w:id="205" w:name="page206"/>
    <w:bookmarkEnd w:id="205"/>
    <w:p>
      <w:pPr>
        <w:ind w:left="660" w:right="120"/>
        <w:spacing w:after="0" w:line="286" w:lineRule="auto"/>
        <w:rPr>
          <w:sz w:val="20"/>
          <w:szCs w:val="20"/>
          <w:color w:val="auto"/>
        </w:rPr>
      </w:pPr>
      <w:r>
        <w:rPr>
          <w:rFonts w:ascii="Arial" w:cs="Arial" w:eastAsia="Arial" w:hAnsi="Arial"/>
          <w:sz w:val="20"/>
          <w:szCs w:val="20"/>
          <w:color w:val="FF0000"/>
          <w:strike w:val="1"/>
        </w:rPr>
        <w:t>counsel as the Administrative Agent may deem necessary or appropriate, in form and substance reasonably satisfactory to the Administrative Agent, (iv) evidence of property insurance (consistent with the requirements for insurance hereunder) on personal property showing the Collateral Agent and loss payee (if insurance is provided by a commercial insurer), and (v) such other deliveries as may be customary, necessary or appropriate in the subject jurisdiction as determined by the Administrative Agent in its reasonable discretion. For the avoidance of doubt, in no event will any Lien granted by any Foreign Credit Party secure any of the Domestic Obligations.</w:t>
      </w:r>
      <w:r>
        <w:rPr>
          <w:rFonts w:ascii="Arial" w:cs="Arial" w:eastAsia="Arial" w:hAnsi="Arial"/>
          <w:sz w:val="20"/>
          <w:szCs w:val="20"/>
          <w:u w:val="single" w:color="auto"/>
          <w:color w:val="0000FF"/>
          <w:strike w:val="1"/>
        </w:rPr>
        <w:t>[Intentionally Omitted].</w:t>
      </w:r>
    </w:p>
    <w:p>
      <w:pPr>
        <w:spacing w:after="0" w:line="192" w:lineRule="exact"/>
        <w:rPr>
          <w:sz w:val="20"/>
          <w:szCs w:val="20"/>
          <w:color w:val="auto"/>
        </w:rPr>
      </w:pPr>
    </w:p>
    <w:p>
      <w:pPr>
        <w:ind w:left="660"/>
        <w:spacing w:after="0"/>
        <w:tabs>
          <w:tab w:leader="none" w:pos="1160" w:val="left"/>
        </w:tabs>
        <w:rPr>
          <w:sz w:val="20"/>
          <w:szCs w:val="20"/>
          <w:color w:val="auto"/>
        </w:rPr>
      </w:pPr>
      <w:r>
        <w:rPr>
          <w:rFonts w:ascii="Arial" w:cs="Arial" w:eastAsia="Arial" w:hAnsi="Arial"/>
          <w:sz w:val="20"/>
          <w:szCs w:val="20"/>
          <w:color w:val="auto"/>
        </w:rPr>
        <w:t>7.16</w:t>
      </w:r>
      <w:r>
        <w:rPr>
          <w:sz w:val="20"/>
          <w:szCs w:val="20"/>
          <w:color w:val="auto"/>
        </w:rPr>
        <w:tab/>
      </w:r>
      <w:r>
        <w:rPr>
          <w:rFonts w:ascii="Arial" w:cs="Arial" w:eastAsia="Arial" w:hAnsi="Arial"/>
          <w:sz w:val="16"/>
          <w:szCs w:val="16"/>
          <w:u w:val="single" w:color="auto"/>
          <w:color w:val="auto"/>
        </w:rPr>
        <w:t>Further Assurances</w:t>
      </w:r>
      <w:r>
        <w:rPr>
          <w:rFonts w:ascii="Arial" w:cs="Arial" w:eastAsia="Arial" w:hAnsi="Arial"/>
          <w:sz w:val="16"/>
          <w:szCs w:val="16"/>
          <w:color w:val="auto"/>
        </w:rPr>
        <w:t>.</w:t>
      </w:r>
    </w:p>
    <w:p>
      <w:pPr>
        <w:spacing w:after="0" w:line="270" w:lineRule="exact"/>
        <w:rPr>
          <w:sz w:val="20"/>
          <w:szCs w:val="20"/>
          <w:color w:val="auto"/>
        </w:rPr>
      </w:pPr>
    </w:p>
    <w:p>
      <w:pPr>
        <w:ind w:left="1700" w:hanging="395"/>
        <w:spacing w:after="0"/>
        <w:tabs>
          <w:tab w:leader="none" w:pos="1700" w:val="left"/>
        </w:tabs>
        <w:numPr>
          <w:ilvl w:val="0"/>
          <w:numId w:val="215"/>
        </w:numPr>
        <w:rPr>
          <w:rFonts w:ascii="Arial" w:cs="Arial" w:eastAsia="Arial" w:hAnsi="Arial"/>
          <w:sz w:val="18"/>
          <w:szCs w:val="18"/>
          <w:color w:val="auto"/>
        </w:rPr>
      </w:pPr>
      <w:r>
        <w:rPr>
          <w:rFonts w:ascii="Arial" w:cs="Arial" w:eastAsia="Arial" w:hAnsi="Arial"/>
          <w:sz w:val="18"/>
          <w:szCs w:val="18"/>
          <w:u w:val="single" w:color="auto"/>
          <w:color w:val="auto"/>
        </w:rPr>
        <w:t>Delivery of Guaranties from Material Foreign Subsidiaries</w:t>
      </w:r>
      <w:r>
        <w:rPr>
          <w:rFonts w:ascii="Arial" w:cs="Arial" w:eastAsia="Arial" w:hAnsi="Arial"/>
          <w:sz w:val="18"/>
          <w:szCs w:val="18"/>
          <w:color w:val="auto"/>
        </w:rPr>
        <w:t>. Within 90 days of the Closing Date (or such later date as may</w:t>
      </w:r>
    </w:p>
    <w:p>
      <w:pPr>
        <w:spacing w:after="0" w:line="76" w:lineRule="exact"/>
        <w:rPr>
          <w:rFonts w:ascii="Arial" w:cs="Arial" w:eastAsia="Arial" w:hAnsi="Arial"/>
          <w:sz w:val="18"/>
          <w:szCs w:val="18"/>
          <w:color w:val="auto"/>
        </w:rPr>
      </w:pPr>
    </w:p>
    <w:p>
      <w:pPr>
        <w:ind w:left="660" w:right="220"/>
        <w:spacing w:after="0" w:line="287" w:lineRule="auto"/>
        <w:rPr>
          <w:rFonts w:ascii="Arial" w:cs="Arial" w:eastAsia="Arial" w:hAnsi="Arial"/>
          <w:sz w:val="18"/>
          <w:szCs w:val="18"/>
          <w:color w:val="auto"/>
        </w:rPr>
      </w:pPr>
      <w:r>
        <w:rPr>
          <w:rFonts w:ascii="Arial" w:cs="Arial" w:eastAsia="Arial" w:hAnsi="Arial"/>
          <w:sz w:val="20"/>
          <w:szCs w:val="20"/>
          <w:color w:val="auto"/>
        </w:rPr>
        <w:t xml:space="preserve">be acceptable to the Administrative Agent in its discretion), EWI will provide or cause to be provided, Guaranties from the Material Foreign Subsidiaries required hereunder (including as set forth on </w:t>
      </w:r>
      <w:r>
        <w:rPr>
          <w:rFonts w:ascii="Arial" w:cs="Arial" w:eastAsia="Arial" w:hAnsi="Arial"/>
          <w:sz w:val="20"/>
          <w:szCs w:val="20"/>
          <w:u w:val="single" w:color="auto"/>
          <w:color w:val="auto"/>
        </w:rPr>
        <w:t>Schedule 5.01</w:t>
      </w:r>
      <w:r>
        <w:rPr>
          <w:rFonts w:ascii="Arial" w:cs="Arial" w:eastAsia="Arial" w:hAnsi="Arial"/>
          <w:sz w:val="20"/>
          <w:szCs w:val="20"/>
          <w:color w:val="auto"/>
        </w:rPr>
        <w:t xml:space="preserve"> hereto) but which were not provided on the Closing Date, including conforming changes in respect of local law and related instruments, where necessary or appropriate under local law, and together with opinions of local counsel relating thereto, in form and substance acceptable to the Administrative Agent in its discretion.</w:t>
      </w:r>
    </w:p>
    <w:p>
      <w:pPr>
        <w:spacing w:after="0" w:line="191" w:lineRule="exact"/>
        <w:rPr>
          <w:rFonts w:ascii="Arial" w:cs="Arial" w:eastAsia="Arial" w:hAnsi="Arial"/>
          <w:sz w:val="18"/>
          <w:szCs w:val="18"/>
          <w:color w:val="auto"/>
        </w:rPr>
      </w:pPr>
    </w:p>
    <w:p>
      <w:pPr>
        <w:ind w:left="1720" w:hanging="415"/>
        <w:spacing w:after="0"/>
        <w:tabs>
          <w:tab w:leader="none" w:pos="1720" w:val="left"/>
        </w:tabs>
        <w:numPr>
          <w:ilvl w:val="0"/>
          <w:numId w:val="215"/>
        </w:numPr>
        <w:rPr>
          <w:rFonts w:ascii="Arial" w:cs="Arial" w:eastAsia="Arial" w:hAnsi="Arial"/>
          <w:sz w:val="19"/>
          <w:szCs w:val="19"/>
          <w:color w:val="auto"/>
        </w:rPr>
      </w:pPr>
      <w:r>
        <w:rPr>
          <w:rFonts w:ascii="Arial" w:cs="Arial" w:eastAsia="Arial" w:hAnsi="Arial"/>
          <w:sz w:val="19"/>
          <w:szCs w:val="19"/>
          <w:u w:val="single" w:color="auto"/>
          <w:color w:val="auto"/>
        </w:rPr>
        <w:t>Pledge of Material First-Tier Foreign Subsidiaries</w:t>
      </w:r>
      <w:r>
        <w:rPr>
          <w:rFonts w:ascii="Arial" w:cs="Arial" w:eastAsia="Arial" w:hAnsi="Arial"/>
          <w:sz w:val="19"/>
          <w:szCs w:val="19"/>
          <w:color w:val="auto"/>
        </w:rPr>
        <w:t>. Within 90 days of the Closing Date (or such later date as may be</w:t>
      </w:r>
    </w:p>
    <w:p>
      <w:pPr>
        <w:spacing w:after="0" w:line="65" w:lineRule="exact"/>
        <w:rPr>
          <w:rFonts w:ascii="Arial" w:cs="Arial" w:eastAsia="Arial" w:hAnsi="Arial"/>
          <w:sz w:val="19"/>
          <w:szCs w:val="19"/>
          <w:color w:val="auto"/>
        </w:rPr>
      </w:pPr>
    </w:p>
    <w:p>
      <w:pPr>
        <w:ind w:left="660" w:right="200"/>
        <w:spacing w:after="0" w:line="287" w:lineRule="auto"/>
        <w:rPr>
          <w:rFonts w:ascii="Arial" w:cs="Arial" w:eastAsia="Arial" w:hAnsi="Arial"/>
          <w:sz w:val="19"/>
          <w:szCs w:val="19"/>
          <w:color w:val="auto"/>
        </w:rPr>
      </w:pPr>
      <w:r>
        <w:rPr>
          <w:rFonts w:ascii="Arial" w:cs="Arial" w:eastAsia="Arial" w:hAnsi="Arial"/>
          <w:sz w:val="20"/>
          <w:szCs w:val="20"/>
          <w:color w:val="auto"/>
        </w:rPr>
        <w:t xml:space="preserve">acceptable to the Administrative Agent in its discretion), EWI will provide or cause to be provided, a pledge of those ownership interests in Material First-Tier Foreign Subsidiaries required to be pledged hereunder (including as set forth on </w:t>
      </w:r>
      <w:r>
        <w:rPr>
          <w:rFonts w:ascii="Arial" w:cs="Arial" w:eastAsia="Arial" w:hAnsi="Arial"/>
          <w:sz w:val="20"/>
          <w:szCs w:val="20"/>
          <w:u w:val="single" w:color="auto"/>
          <w:color w:val="auto"/>
        </w:rPr>
        <w:t>Schedule 5.01</w:t>
      </w:r>
      <w:r>
        <w:rPr>
          <w:rFonts w:ascii="Arial" w:cs="Arial" w:eastAsia="Arial" w:hAnsi="Arial"/>
          <w:sz w:val="20"/>
          <w:szCs w:val="20"/>
          <w:color w:val="auto"/>
        </w:rPr>
        <w:t xml:space="preserve"> hereto) but which were not provided on the Closing Date, including local pledge agreements and related instruments, where necessary or appropriate under local law, and together with opinions of local counsel relating thereto, in form and substance acceptable to the Administrative Agent in its discretion.</w:t>
      </w:r>
    </w:p>
    <w:p>
      <w:pPr>
        <w:spacing w:after="0" w:line="191" w:lineRule="exact"/>
        <w:rPr>
          <w:rFonts w:ascii="Arial" w:cs="Arial" w:eastAsia="Arial" w:hAnsi="Arial"/>
          <w:sz w:val="19"/>
          <w:szCs w:val="19"/>
          <w:color w:val="auto"/>
        </w:rPr>
      </w:pPr>
    </w:p>
    <w:p>
      <w:pPr>
        <w:ind w:left="1700" w:hanging="395"/>
        <w:spacing w:after="0"/>
        <w:tabs>
          <w:tab w:leader="none" w:pos="1700" w:val="left"/>
        </w:tabs>
        <w:numPr>
          <w:ilvl w:val="0"/>
          <w:numId w:val="215"/>
        </w:numPr>
        <w:rPr>
          <w:rFonts w:ascii="Arial" w:cs="Arial" w:eastAsia="Arial" w:hAnsi="Arial"/>
          <w:sz w:val="18"/>
          <w:szCs w:val="18"/>
          <w:color w:val="auto"/>
        </w:rPr>
      </w:pPr>
      <w:r>
        <w:rPr>
          <w:rFonts w:ascii="Arial" w:cs="Arial" w:eastAsia="Arial" w:hAnsi="Arial"/>
          <w:sz w:val="18"/>
          <w:szCs w:val="18"/>
          <w:u w:val="single" w:color="auto"/>
          <w:color w:val="auto"/>
        </w:rPr>
        <w:t>Pledge of Material Foreign Subsidiaries</w:t>
      </w:r>
      <w:r>
        <w:rPr>
          <w:rFonts w:ascii="Arial" w:cs="Arial" w:eastAsia="Arial" w:hAnsi="Arial"/>
          <w:sz w:val="18"/>
          <w:szCs w:val="18"/>
          <w:color w:val="auto"/>
        </w:rPr>
        <w:t>. Within 90 days of the Closing Date (or such later date as may be acceptable to</w:t>
      </w:r>
    </w:p>
    <w:p>
      <w:pPr>
        <w:spacing w:after="0" w:line="76" w:lineRule="exact"/>
        <w:rPr>
          <w:rFonts w:ascii="Arial" w:cs="Arial" w:eastAsia="Arial" w:hAnsi="Arial"/>
          <w:sz w:val="18"/>
          <w:szCs w:val="18"/>
          <w:color w:val="auto"/>
        </w:rPr>
      </w:pPr>
    </w:p>
    <w:p>
      <w:pPr>
        <w:ind w:left="660" w:right="60"/>
        <w:spacing w:after="0" w:line="287" w:lineRule="auto"/>
        <w:rPr>
          <w:rFonts w:ascii="Arial" w:cs="Arial" w:eastAsia="Arial" w:hAnsi="Arial"/>
          <w:sz w:val="18"/>
          <w:szCs w:val="18"/>
          <w:color w:val="auto"/>
        </w:rPr>
      </w:pPr>
      <w:r>
        <w:rPr>
          <w:rFonts w:ascii="Arial" w:cs="Arial" w:eastAsia="Arial" w:hAnsi="Arial"/>
          <w:sz w:val="20"/>
          <w:szCs w:val="20"/>
          <w:color w:val="auto"/>
        </w:rPr>
        <w:t xml:space="preserve">the Administrative Agent in its discretion), EWI will provide or cause to be provided, a pledge of those ownership interests in Material Foreign Subsidiaries (other than the Material First-Tier Foreign Subsidiaries) required to be pledged hereunder (including as set forth on </w:t>
      </w:r>
      <w:r>
        <w:rPr>
          <w:rFonts w:ascii="Arial" w:cs="Arial" w:eastAsia="Arial" w:hAnsi="Arial"/>
          <w:sz w:val="20"/>
          <w:szCs w:val="20"/>
          <w:u w:val="single" w:color="auto"/>
          <w:color w:val="auto"/>
        </w:rPr>
        <w:t>Schedule 5.01</w:t>
      </w:r>
      <w:r>
        <w:rPr>
          <w:rFonts w:ascii="Arial" w:cs="Arial" w:eastAsia="Arial" w:hAnsi="Arial"/>
          <w:sz w:val="20"/>
          <w:szCs w:val="20"/>
          <w:color w:val="auto"/>
        </w:rPr>
        <w:t xml:space="preserve"> hereto) but which were not provided on the Closing Date, including local pledge agreements and related instruments, where necessary or appropriate under local law, and together with opinions of local counsel relating thereto, in form and substance acceptable to the Administrative Agent in its discretion.</w:t>
      </w:r>
    </w:p>
    <w:p>
      <w:pPr>
        <w:spacing w:after="0" w:line="191" w:lineRule="exact"/>
        <w:rPr>
          <w:rFonts w:ascii="Arial" w:cs="Arial" w:eastAsia="Arial" w:hAnsi="Arial"/>
          <w:sz w:val="18"/>
          <w:szCs w:val="18"/>
          <w:color w:val="auto"/>
        </w:rPr>
      </w:pPr>
    </w:p>
    <w:p>
      <w:pPr>
        <w:ind w:left="1720" w:hanging="415"/>
        <w:spacing w:after="0"/>
        <w:tabs>
          <w:tab w:leader="none" w:pos="1720" w:val="left"/>
        </w:tabs>
        <w:numPr>
          <w:ilvl w:val="0"/>
          <w:numId w:val="215"/>
        </w:numPr>
        <w:rPr>
          <w:rFonts w:ascii="Arial" w:cs="Arial" w:eastAsia="Arial" w:hAnsi="Arial"/>
          <w:sz w:val="18"/>
          <w:szCs w:val="18"/>
          <w:color w:val="auto"/>
        </w:rPr>
      </w:pPr>
      <w:r>
        <w:rPr>
          <w:rFonts w:ascii="Arial" w:cs="Arial" w:eastAsia="Arial" w:hAnsi="Arial"/>
          <w:sz w:val="18"/>
          <w:szCs w:val="18"/>
          <w:u w:val="single" w:color="auto"/>
          <w:color w:val="FF0000"/>
          <w:strike w:val="1"/>
        </w:rPr>
        <w:t>Liens in Personal Property of Foreign Credit Parties</w:t>
      </w:r>
      <w:r>
        <w:rPr>
          <w:rFonts w:ascii="Arial" w:cs="Arial" w:eastAsia="Arial" w:hAnsi="Arial"/>
          <w:sz w:val="18"/>
          <w:szCs w:val="18"/>
          <w:color w:val="FF0000"/>
          <w:strike w:val="1"/>
        </w:rPr>
        <w:t>. Within 90 days of the Closing Date (or such later date as may be</w:t>
      </w:r>
    </w:p>
    <w:p>
      <w:pPr>
        <w:spacing w:after="0" w:line="76" w:lineRule="exact"/>
        <w:rPr>
          <w:rFonts w:ascii="Arial" w:cs="Arial" w:eastAsia="Arial" w:hAnsi="Arial"/>
          <w:sz w:val="18"/>
          <w:szCs w:val="18"/>
          <w:color w:val="auto"/>
        </w:rPr>
      </w:pPr>
    </w:p>
    <w:p>
      <w:pPr>
        <w:ind w:left="660"/>
        <w:spacing w:after="0" w:line="288" w:lineRule="auto"/>
        <w:rPr>
          <w:rFonts w:ascii="Arial" w:cs="Arial" w:eastAsia="Arial" w:hAnsi="Arial"/>
          <w:sz w:val="18"/>
          <w:szCs w:val="18"/>
          <w:color w:val="auto"/>
        </w:rPr>
      </w:pPr>
      <w:r>
        <w:rPr>
          <w:rFonts w:ascii="Arial" w:cs="Arial" w:eastAsia="Arial" w:hAnsi="Arial"/>
          <w:sz w:val="20"/>
          <w:szCs w:val="20"/>
          <w:color w:val="FF0000"/>
          <w:strike w:val="1"/>
        </w:rPr>
        <w:t xml:space="preserve">acceptable to the Administrative Agent in its discretion), EWI will provide or cause to be provided, Liens in material personal property of the Foreign Credit Parties required hereunder (including as set forth on </w:t>
      </w:r>
      <w:r>
        <w:rPr>
          <w:rFonts w:ascii="Arial" w:cs="Arial" w:eastAsia="Arial" w:hAnsi="Arial"/>
          <w:sz w:val="20"/>
          <w:szCs w:val="20"/>
          <w:u w:val="single" w:color="auto"/>
          <w:color w:val="FF0000"/>
          <w:strike w:val="1"/>
        </w:rPr>
        <w:t>Schedule 5.01</w:t>
      </w:r>
      <w:r>
        <w:rPr>
          <w:rFonts w:ascii="Arial" w:cs="Arial" w:eastAsia="Arial" w:hAnsi="Arial"/>
          <w:sz w:val="20"/>
          <w:szCs w:val="20"/>
          <w:color w:val="FF0000"/>
          <w:strike w:val="1"/>
        </w:rPr>
        <w:t xml:space="preserve"> hereto) but which were not provided on the Closing Date, including local security agreements and related instruments, where necessary or appropriate under local law, and together with opinions of local</w:t>
      </w:r>
    </w:p>
    <w:p>
      <w:pPr>
        <w:spacing w:after="0" w:line="200" w:lineRule="exact"/>
        <w:rPr>
          <w:sz w:val="20"/>
          <w:szCs w:val="20"/>
          <w:color w:val="auto"/>
        </w:rPr>
      </w:pP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154</w:t>
      </w:r>
    </w:p>
    <w:p>
      <w:pPr>
        <w:spacing w:after="0" w:line="10" w:lineRule="exact"/>
        <w:rPr>
          <w:sz w:val="20"/>
          <w:szCs w:val="20"/>
          <w:color w:val="auto"/>
        </w:rPr>
      </w:pPr>
    </w:p>
    <w:p>
      <w:pPr>
        <w:spacing w:after="0"/>
        <w:rPr>
          <w:sz w:val="20"/>
          <w:szCs w:val="20"/>
          <w:color w:val="auto"/>
        </w:rPr>
      </w:pPr>
      <w:r>
        <w:rPr>
          <w:rFonts w:ascii="Arial" w:cs="Arial" w:eastAsia="Arial" w:hAnsi="Arial"/>
          <w:sz w:val="14"/>
          <w:szCs w:val="14"/>
          <w:color w:val="auto"/>
        </w:rPr>
        <w:t>CHAR1\1346423v</w:t>
      </w:r>
      <w:r>
        <w:rPr>
          <w:rFonts w:ascii="Arial" w:cs="Arial" w:eastAsia="Arial" w:hAnsi="Arial"/>
          <w:sz w:val="14"/>
          <w:szCs w:val="14"/>
          <w:color w:val="FF0000"/>
          <w:strike w:val="1"/>
        </w:rPr>
        <w:t>1</w:t>
      </w:r>
      <w:r>
        <w:rPr>
          <w:rFonts w:ascii="Arial" w:cs="Arial" w:eastAsia="Arial" w:hAnsi="Arial"/>
          <w:sz w:val="14"/>
          <w:szCs w:val="14"/>
          <w:u w:val="single" w:color="auto"/>
          <w:color w:val="0000FF"/>
        </w:rPr>
        <w:t>12</w:t>
      </w:r>
    </w:p>
    <w:p>
      <w:pPr>
        <w:sectPr>
          <w:pgSz w:w="11900" w:h="16838" w:orient="portrait"/>
          <w:cols w:equalWidth="0" w:num="1">
            <w:col w:w="11400"/>
          </w:cols>
          <w:pgMar w:left="240" w:top="609" w:right="259" w:bottom="1440" w:gutter="0" w:footer="0" w:header="0"/>
        </w:sectPr>
      </w:pPr>
    </w:p>
    <w:bookmarkStart w:id="206" w:name="page207"/>
    <w:bookmarkEnd w:id="206"/>
    <w:p>
      <w:pPr>
        <w:ind w:left="660"/>
        <w:spacing w:after="0"/>
        <w:rPr>
          <w:sz w:val="20"/>
          <w:szCs w:val="20"/>
          <w:color w:val="auto"/>
        </w:rPr>
      </w:pPr>
      <w:r>
        <w:rPr>
          <w:rFonts w:ascii="Arial" w:cs="Arial" w:eastAsia="Arial" w:hAnsi="Arial"/>
          <w:sz w:val="19"/>
          <w:szCs w:val="19"/>
          <w:color w:val="FF0000"/>
          <w:strike w:val="1"/>
        </w:rPr>
        <w:t>counsel relating thereto, in form and substance acceptable to the Administrative Agent in its discretion.</w:t>
      </w:r>
      <w:r>
        <w:rPr>
          <w:rFonts w:ascii="Arial" w:cs="Arial" w:eastAsia="Arial" w:hAnsi="Arial"/>
          <w:sz w:val="19"/>
          <w:szCs w:val="19"/>
          <w:u w:val="single" w:color="auto"/>
          <w:color w:val="0000FF"/>
          <w:strike w:val="1"/>
        </w:rPr>
        <w:t>[Intentionally Omitted].</w:t>
      </w:r>
    </w:p>
    <w:p>
      <w:pPr>
        <w:spacing w:after="0" w:line="268" w:lineRule="exact"/>
        <w:rPr>
          <w:sz w:val="20"/>
          <w:szCs w:val="20"/>
          <w:color w:val="auto"/>
        </w:rPr>
      </w:pPr>
    </w:p>
    <w:p>
      <w:pPr>
        <w:ind w:left="1700" w:hanging="395"/>
        <w:spacing w:after="0"/>
        <w:tabs>
          <w:tab w:leader="none" w:pos="1700" w:val="left"/>
        </w:tabs>
        <w:numPr>
          <w:ilvl w:val="0"/>
          <w:numId w:val="216"/>
        </w:numPr>
        <w:rPr>
          <w:rFonts w:ascii="Arial" w:cs="Arial" w:eastAsia="Arial" w:hAnsi="Arial"/>
          <w:sz w:val="18"/>
          <w:szCs w:val="18"/>
          <w:color w:val="auto"/>
        </w:rPr>
      </w:pPr>
      <w:r>
        <w:rPr>
          <w:rFonts w:ascii="Arial" w:cs="Arial" w:eastAsia="Arial" w:hAnsi="Arial"/>
          <w:sz w:val="18"/>
          <w:szCs w:val="18"/>
          <w:u w:val="single" w:color="auto"/>
          <w:color w:val="auto"/>
        </w:rPr>
        <w:t>Amendments to Credit Agreement with Respect to the India Obligations</w:t>
      </w:r>
      <w:r>
        <w:rPr>
          <w:rFonts w:ascii="Arial" w:cs="Arial" w:eastAsia="Arial" w:hAnsi="Arial"/>
          <w:sz w:val="18"/>
          <w:szCs w:val="18"/>
          <w:color w:val="auto"/>
        </w:rPr>
        <w:t>. As soon as practicable, but in any event within</w:t>
      </w:r>
    </w:p>
    <w:p>
      <w:pPr>
        <w:spacing w:after="0" w:line="76" w:lineRule="exact"/>
        <w:rPr>
          <w:rFonts w:ascii="Arial" w:cs="Arial" w:eastAsia="Arial" w:hAnsi="Arial"/>
          <w:sz w:val="18"/>
          <w:szCs w:val="18"/>
          <w:color w:val="auto"/>
        </w:rPr>
      </w:pPr>
    </w:p>
    <w:p>
      <w:pPr>
        <w:ind w:left="660" w:right="20"/>
        <w:spacing w:after="0" w:line="308" w:lineRule="auto"/>
        <w:rPr>
          <w:rFonts w:ascii="Arial" w:cs="Arial" w:eastAsia="Arial" w:hAnsi="Arial"/>
          <w:sz w:val="18"/>
          <w:szCs w:val="18"/>
          <w:color w:val="auto"/>
        </w:rPr>
      </w:pPr>
      <w:r>
        <w:rPr>
          <w:rFonts w:ascii="Arial" w:cs="Arial" w:eastAsia="Arial" w:hAnsi="Arial"/>
          <w:sz w:val="19"/>
          <w:szCs w:val="19"/>
          <w:color w:val="auto"/>
        </w:rPr>
        <w:t>90 days of the Closing Date (or such later date as may be acceptable to the Administrative Agent in its discretion), EWI and the other Credit Parties will deliver duly executed counterparts to an amendment to this Credit Agreement that, in the reasonable judgment of local counsel in India upon consultation with the India Borrower’s local India counsel, are necessary or advisable to comply with the law of India (including any mandates or requirements of the Reserve Bank of India).</w:t>
      </w:r>
    </w:p>
    <w:p>
      <w:pPr>
        <w:spacing w:after="0" w:line="174" w:lineRule="exact"/>
        <w:rPr>
          <w:rFonts w:ascii="Arial" w:cs="Arial" w:eastAsia="Arial" w:hAnsi="Arial"/>
          <w:sz w:val="18"/>
          <w:szCs w:val="18"/>
          <w:color w:val="auto"/>
        </w:rPr>
      </w:pPr>
    </w:p>
    <w:p>
      <w:pPr>
        <w:ind w:left="1680" w:hanging="375"/>
        <w:spacing w:after="0"/>
        <w:tabs>
          <w:tab w:leader="none" w:pos="1680" w:val="left"/>
        </w:tabs>
        <w:numPr>
          <w:ilvl w:val="0"/>
          <w:numId w:val="216"/>
        </w:numPr>
        <w:rPr>
          <w:rFonts w:ascii="Arial" w:cs="Arial" w:eastAsia="Arial" w:hAnsi="Arial"/>
          <w:sz w:val="18"/>
          <w:szCs w:val="18"/>
          <w:color w:val="auto"/>
        </w:rPr>
      </w:pPr>
      <w:r>
        <w:rPr>
          <w:rFonts w:ascii="Arial" w:cs="Arial" w:eastAsia="Arial" w:hAnsi="Arial"/>
          <w:sz w:val="18"/>
          <w:szCs w:val="18"/>
          <w:u w:val="single" w:color="auto"/>
          <w:color w:val="auto"/>
        </w:rPr>
        <w:t>Process Agent Appointment Letter</w:t>
      </w:r>
      <w:r>
        <w:rPr>
          <w:rFonts w:ascii="Arial" w:cs="Arial" w:eastAsia="Arial" w:hAnsi="Arial"/>
          <w:sz w:val="18"/>
          <w:szCs w:val="18"/>
          <w:color w:val="auto"/>
        </w:rPr>
        <w:t>. Within 20 days of the Closing Date (or such later date as may be acceptable to the</w:t>
      </w:r>
    </w:p>
    <w:p>
      <w:pPr>
        <w:spacing w:after="0" w:line="76" w:lineRule="exact"/>
        <w:rPr>
          <w:rFonts w:ascii="Arial" w:cs="Arial" w:eastAsia="Arial" w:hAnsi="Arial"/>
          <w:sz w:val="18"/>
          <w:szCs w:val="18"/>
          <w:color w:val="auto"/>
        </w:rPr>
      </w:pPr>
    </w:p>
    <w:p>
      <w:pPr>
        <w:jc w:val="both"/>
        <w:ind w:left="660" w:right="60"/>
        <w:spacing w:after="0" w:line="314" w:lineRule="auto"/>
        <w:rPr>
          <w:rFonts w:ascii="Arial" w:cs="Arial" w:eastAsia="Arial" w:hAnsi="Arial"/>
          <w:sz w:val="18"/>
          <w:szCs w:val="18"/>
          <w:color w:val="auto"/>
        </w:rPr>
      </w:pPr>
      <w:r>
        <w:rPr>
          <w:rFonts w:ascii="Arial" w:cs="Arial" w:eastAsia="Arial" w:hAnsi="Arial"/>
          <w:sz w:val="19"/>
          <w:szCs w:val="19"/>
          <w:color w:val="auto"/>
        </w:rPr>
        <w:t>Administrative Agent in its discretion), each English Obligor will provide or cause to be provided, evidence that the relevant process agent has accepted its appointment, for such English Obligor, to acts as its agent for service of process in relation to the proceedings before the Courts of the State of New York in connection with any Credit Document.</w:t>
      </w:r>
    </w:p>
    <w:p>
      <w:pPr>
        <w:spacing w:after="0" w:line="169" w:lineRule="exact"/>
        <w:rPr>
          <w:sz w:val="20"/>
          <w:szCs w:val="20"/>
          <w:color w:val="auto"/>
        </w:rPr>
      </w:pPr>
    </w:p>
    <w:p>
      <w:pPr>
        <w:ind w:right="100" w:firstLine="648"/>
        <w:spacing w:after="0" w:line="288" w:lineRule="auto"/>
        <w:rPr>
          <w:sz w:val="20"/>
          <w:szCs w:val="20"/>
          <w:color w:val="auto"/>
        </w:rPr>
      </w:pPr>
      <w:r>
        <w:rPr>
          <w:rFonts w:ascii="Arial" w:cs="Arial" w:eastAsia="Arial" w:hAnsi="Arial"/>
          <w:sz w:val="20"/>
          <w:szCs w:val="20"/>
          <w:color w:val="auto"/>
        </w:rPr>
        <w:t xml:space="preserve">7.17 </w:t>
      </w:r>
      <w:r>
        <w:rPr>
          <w:rFonts w:ascii="Arial" w:cs="Arial" w:eastAsia="Arial" w:hAnsi="Arial"/>
          <w:sz w:val="20"/>
          <w:szCs w:val="20"/>
          <w:u w:val="single" w:color="auto"/>
          <w:color w:val="auto"/>
        </w:rPr>
        <w:t>Limitation on Guaranties, Liens and the Pledge of Capital Stock</w:t>
      </w:r>
      <w:r>
        <w:rPr>
          <w:rFonts w:ascii="Arial" w:cs="Arial" w:eastAsia="Arial" w:hAnsi="Arial"/>
          <w:sz w:val="20"/>
          <w:szCs w:val="20"/>
          <w:color w:val="auto"/>
        </w:rPr>
        <w:t xml:space="preserve">. Notwithstanding anything contained herein to the contrary, guaranties, Liens and the pledge of Capital Stock will not be required where they would (i) give rise to material adverse tax or regulatory consequences under applicable Law </w:t>
      </w:r>
      <w:r>
        <w:rPr>
          <w:rFonts w:ascii="Arial" w:cs="Arial" w:eastAsia="Arial" w:hAnsi="Arial"/>
          <w:sz w:val="20"/>
          <w:szCs w:val="20"/>
          <w:u w:val="single" w:color="auto"/>
          <w:color w:val="0000FF"/>
        </w:rPr>
        <w:t>that cannot be avoided by appropriate limitations on such guaranty, Lien or pledge of Capital Stock</w:t>
      </w:r>
      <w:r>
        <w:rPr>
          <w:rFonts w:ascii="Arial" w:cs="Arial" w:eastAsia="Arial" w:hAnsi="Arial"/>
          <w:sz w:val="20"/>
          <w:szCs w:val="20"/>
          <w:color w:val="auto"/>
        </w:rPr>
        <w:t xml:space="preserve"> (determined in the reasonable judgment of the Administrative Agent), (ii) with respect to joint ventures and non-wholly-owned Subsidiaries, require the consent of one or more third parties or (iii) relate to restricted cash or other funds that are held in trust and not the property of members of the Consolidated Group.</w:t>
      </w:r>
    </w:p>
    <w:p>
      <w:pPr>
        <w:spacing w:after="0" w:line="188" w:lineRule="exact"/>
        <w:rPr>
          <w:sz w:val="20"/>
          <w:szCs w:val="20"/>
          <w:color w:val="auto"/>
        </w:rPr>
      </w:pPr>
    </w:p>
    <w:p>
      <w:pPr>
        <w:jc w:val="center"/>
        <w:ind w:right="40"/>
        <w:spacing w:after="0"/>
        <w:rPr>
          <w:sz w:val="20"/>
          <w:szCs w:val="20"/>
          <w:color w:val="auto"/>
        </w:rPr>
      </w:pPr>
      <w:r>
        <w:rPr>
          <w:rFonts w:ascii="Arial" w:cs="Arial" w:eastAsia="Arial" w:hAnsi="Arial"/>
          <w:sz w:val="20"/>
          <w:szCs w:val="20"/>
          <w:b w:val="1"/>
          <w:bCs w:val="1"/>
          <w:color w:val="auto"/>
        </w:rPr>
        <w:t>ARTICLE VIII</w:t>
      </w:r>
    </w:p>
    <w:p>
      <w:pPr>
        <w:spacing w:after="0" w:line="324" w:lineRule="exact"/>
        <w:rPr>
          <w:sz w:val="20"/>
          <w:szCs w:val="20"/>
          <w:color w:val="auto"/>
        </w:rPr>
      </w:pPr>
    </w:p>
    <w:p>
      <w:pPr>
        <w:jc w:val="center"/>
        <w:ind w:right="-199"/>
        <w:spacing w:after="0"/>
        <w:rPr>
          <w:sz w:val="20"/>
          <w:szCs w:val="20"/>
          <w:color w:val="auto"/>
        </w:rPr>
      </w:pPr>
      <w:r>
        <w:rPr>
          <w:rFonts w:ascii="Arial" w:cs="Arial" w:eastAsia="Arial" w:hAnsi="Arial"/>
          <w:sz w:val="20"/>
          <w:szCs w:val="20"/>
          <w:b w:val="1"/>
          <w:bCs w:val="1"/>
          <w:color w:val="auto"/>
        </w:rPr>
        <w:t>NEGATIVE COVENANTS</w:t>
      </w:r>
    </w:p>
    <w:p>
      <w:pPr>
        <w:spacing w:after="0" w:line="235" w:lineRule="exact"/>
        <w:rPr>
          <w:sz w:val="20"/>
          <w:szCs w:val="20"/>
          <w:color w:val="auto"/>
        </w:rPr>
      </w:pPr>
    </w:p>
    <w:p>
      <w:pPr>
        <w:ind w:right="140" w:firstLine="648"/>
        <w:spacing w:after="0" w:line="316" w:lineRule="auto"/>
        <w:rPr>
          <w:sz w:val="20"/>
          <w:szCs w:val="20"/>
          <w:color w:val="auto"/>
        </w:rPr>
      </w:pPr>
      <w:r>
        <w:rPr>
          <w:rFonts w:ascii="Arial" w:cs="Arial" w:eastAsia="Arial" w:hAnsi="Arial"/>
          <w:sz w:val="18"/>
          <w:szCs w:val="18"/>
          <w:color w:val="auto"/>
        </w:rPr>
        <w:t>Until the Loan Obligations shall have been paid in full or otherwise satisfied, and the Commitments hereunder shall have expired or been terminated, each of the Credit Parties that is a party to this Credit Agreement will not, and will not permit any of its Subsidiaries to:</w:t>
      </w:r>
    </w:p>
    <w:p>
      <w:pPr>
        <w:spacing w:after="0" w:line="157" w:lineRule="exact"/>
        <w:rPr>
          <w:sz w:val="20"/>
          <w:szCs w:val="20"/>
          <w:color w:val="auto"/>
        </w:rPr>
      </w:pPr>
    </w:p>
    <w:p>
      <w:pPr>
        <w:ind w:right="340" w:firstLine="648"/>
        <w:spacing w:after="0" w:line="317" w:lineRule="auto"/>
        <w:rPr>
          <w:sz w:val="20"/>
          <w:szCs w:val="20"/>
          <w:color w:val="auto"/>
        </w:rPr>
      </w:pPr>
      <w:r>
        <w:rPr>
          <w:rFonts w:ascii="Arial" w:cs="Arial" w:eastAsia="Arial" w:hAnsi="Arial"/>
          <w:sz w:val="20"/>
          <w:szCs w:val="20"/>
          <w:color w:val="auto"/>
        </w:rPr>
        <w:t xml:space="preserve">8.01 </w:t>
      </w:r>
      <w:r>
        <w:rPr>
          <w:rFonts w:ascii="Arial" w:cs="Arial" w:eastAsia="Arial" w:hAnsi="Arial"/>
          <w:sz w:val="20"/>
          <w:szCs w:val="20"/>
          <w:u w:val="single" w:color="auto"/>
          <w:color w:val="auto"/>
        </w:rPr>
        <w:t>Liens</w:t>
      </w:r>
      <w:r>
        <w:rPr>
          <w:rFonts w:ascii="Arial" w:cs="Arial" w:eastAsia="Arial" w:hAnsi="Arial"/>
          <w:sz w:val="20"/>
          <w:szCs w:val="20"/>
          <w:color w:val="auto"/>
        </w:rPr>
        <w:t>. Create, incur, assume or suffer to exist any Lien upon any of its property, assets or revenues, whether now owned or hereafter acquired, other than the following:</w:t>
      </w:r>
    </w:p>
    <w:p>
      <w:pPr>
        <w:spacing w:after="0" w:line="162" w:lineRule="exact"/>
        <w:rPr>
          <w:sz w:val="20"/>
          <w:szCs w:val="20"/>
          <w:color w:val="auto"/>
        </w:rPr>
      </w:pPr>
    </w:p>
    <w:p>
      <w:pPr>
        <w:ind w:left="1700" w:hanging="395"/>
        <w:spacing w:after="0"/>
        <w:tabs>
          <w:tab w:leader="none" w:pos="1700" w:val="left"/>
        </w:tabs>
        <w:numPr>
          <w:ilvl w:val="0"/>
          <w:numId w:val="217"/>
        </w:numPr>
        <w:rPr>
          <w:rFonts w:ascii="Arial" w:cs="Arial" w:eastAsia="Arial" w:hAnsi="Arial"/>
          <w:sz w:val="20"/>
          <w:szCs w:val="20"/>
          <w:color w:val="auto"/>
        </w:rPr>
      </w:pPr>
      <w:r>
        <w:rPr>
          <w:rFonts w:ascii="Arial" w:cs="Arial" w:eastAsia="Arial" w:hAnsi="Arial"/>
          <w:sz w:val="20"/>
          <w:szCs w:val="20"/>
          <w:color w:val="auto"/>
        </w:rPr>
        <w:t>Liens pursuant to any Credit Document securing the Loan Obligations;</w:t>
      </w:r>
    </w:p>
    <w:p>
      <w:pPr>
        <w:spacing w:after="0" w:line="269" w:lineRule="exact"/>
        <w:rPr>
          <w:rFonts w:ascii="Arial" w:cs="Arial" w:eastAsia="Arial" w:hAnsi="Arial"/>
          <w:sz w:val="20"/>
          <w:szCs w:val="20"/>
          <w:color w:val="auto"/>
        </w:rPr>
      </w:pPr>
    </w:p>
    <w:p>
      <w:pPr>
        <w:ind w:left="1720" w:hanging="415"/>
        <w:spacing w:after="0"/>
        <w:tabs>
          <w:tab w:leader="none" w:pos="1720" w:val="left"/>
        </w:tabs>
        <w:numPr>
          <w:ilvl w:val="0"/>
          <w:numId w:val="217"/>
        </w:numPr>
        <w:rPr>
          <w:rFonts w:ascii="Arial" w:cs="Arial" w:eastAsia="Arial" w:hAnsi="Arial"/>
          <w:sz w:val="18"/>
          <w:szCs w:val="18"/>
          <w:color w:val="auto"/>
        </w:rPr>
      </w:pPr>
      <w:r>
        <w:rPr>
          <w:rFonts w:ascii="Arial" w:cs="Arial" w:eastAsia="Arial" w:hAnsi="Arial"/>
          <w:sz w:val="18"/>
          <w:szCs w:val="18"/>
          <w:color w:val="auto"/>
        </w:rPr>
        <w:t>Liens in favor of a Lender or an Affiliate of a Lender (or a Person who, at the time of the Swap Contract or Treasury</w:t>
      </w:r>
    </w:p>
    <w:p>
      <w:pPr>
        <w:spacing w:after="0" w:line="76" w:lineRule="exact"/>
        <w:rPr>
          <w:rFonts w:ascii="Arial" w:cs="Arial" w:eastAsia="Arial" w:hAnsi="Arial"/>
          <w:sz w:val="18"/>
          <w:szCs w:val="18"/>
          <w:color w:val="auto"/>
        </w:rPr>
      </w:pPr>
    </w:p>
    <w:p>
      <w:pPr>
        <w:ind w:left="660" w:right="300"/>
        <w:spacing w:after="0" w:line="314" w:lineRule="auto"/>
        <w:rPr>
          <w:rFonts w:ascii="Arial" w:cs="Arial" w:eastAsia="Arial" w:hAnsi="Arial"/>
          <w:sz w:val="18"/>
          <w:szCs w:val="18"/>
          <w:color w:val="auto"/>
        </w:rPr>
      </w:pPr>
      <w:r>
        <w:rPr>
          <w:rFonts w:ascii="Arial" w:cs="Arial" w:eastAsia="Arial" w:hAnsi="Arial"/>
          <w:sz w:val="19"/>
          <w:szCs w:val="19"/>
          <w:color w:val="auto"/>
        </w:rPr>
        <w:t xml:space="preserve">Management Agreement was entered into, was a Lender of an Affiliate of a Lender) securing a Swap Contract or Treasury Management Agreement permitted hereunder, but only to the extent that (i) the obligations under such Swap Contract or Treasury Management Agreement are permitted under </w:t>
      </w:r>
      <w:r>
        <w:rPr>
          <w:rFonts w:ascii="Arial" w:cs="Arial" w:eastAsia="Arial" w:hAnsi="Arial"/>
          <w:sz w:val="19"/>
          <w:szCs w:val="19"/>
          <w:u w:val="single" w:color="auto"/>
          <w:color w:val="auto"/>
        </w:rPr>
        <w:t>Section 8.03</w:t>
      </w:r>
      <w:r>
        <w:rPr>
          <w:rFonts w:ascii="Arial" w:cs="Arial" w:eastAsia="Arial" w:hAnsi="Arial"/>
          <w:sz w:val="19"/>
          <w:szCs w:val="19"/>
          <w:color w:val="auto"/>
        </w:rPr>
        <w:t>, (ii) such Liens are on the same</w:t>
      </w:r>
    </w:p>
    <w:p>
      <w:pPr>
        <w:spacing w:after="0" w:line="385" w:lineRule="exact"/>
        <w:rPr>
          <w:sz w:val="20"/>
          <w:szCs w:val="20"/>
          <w:color w:val="auto"/>
        </w:rPr>
      </w:pPr>
    </w:p>
    <w:p>
      <w:pPr>
        <w:jc w:val="center"/>
        <w:ind w:right="-199"/>
        <w:spacing w:after="0"/>
        <w:rPr>
          <w:sz w:val="20"/>
          <w:szCs w:val="20"/>
          <w:color w:val="auto"/>
        </w:rPr>
      </w:pPr>
      <w:r>
        <w:rPr>
          <w:rFonts w:ascii="Arial" w:cs="Arial" w:eastAsia="Arial" w:hAnsi="Arial"/>
          <w:sz w:val="20"/>
          <w:szCs w:val="20"/>
          <w:color w:val="auto"/>
        </w:rPr>
        <w:t>155</w:t>
      </w:r>
    </w:p>
    <w:p>
      <w:pPr>
        <w:spacing w:after="0" w:line="10" w:lineRule="exact"/>
        <w:rPr>
          <w:sz w:val="20"/>
          <w:szCs w:val="20"/>
          <w:color w:val="auto"/>
        </w:rPr>
      </w:pPr>
    </w:p>
    <w:p>
      <w:pPr>
        <w:spacing w:after="0"/>
        <w:rPr>
          <w:sz w:val="20"/>
          <w:szCs w:val="20"/>
          <w:color w:val="auto"/>
        </w:rPr>
      </w:pPr>
      <w:r>
        <w:rPr>
          <w:rFonts w:ascii="Arial" w:cs="Arial" w:eastAsia="Arial" w:hAnsi="Arial"/>
          <w:sz w:val="14"/>
          <w:szCs w:val="14"/>
          <w:color w:val="auto"/>
        </w:rPr>
        <w:t>CHAR1\1346423v</w:t>
      </w:r>
      <w:r>
        <w:rPr>
          <w:rFonts w:ascii="Arial" w:cs="Arial" w:eastAsia="Arial" w:hAnsi="Arial"/>
          <w:sz w:val="14"/>
          <w:szCs w:val="14"/>
          <w:color w:val="FF0000"/>
          <w:strike w:val="1"/>
        </w:rPr>
        <w:t>1</w:t>
      </w:r>
      <w:r>
        <w:rPr>
          <w:rFonts w:ascii="Arial" w:cs="Arial" w:eastAsia="Arial" w:hAnsi="Arial"/>
          <w:sz w:val="14"/>
          <w:szCs w:val="14"/>
          <w:u w:val="single" w:color="auto"/>
          <w:color w:val="0000FF"/>
        </w:rPr>
        <w:t>12</w:t>
      </w:r>
    </w:p>
    <w:p>
      <w:pPr>
        <w:sectPr>
          <w:pgSz w:w="11900" w:h="16838" w:orient="portrait"/>
          <w:cols w:equalWidth="0" w:num="1">
            <w:col w:w="11240"/>
          </w:cols>
          <w:pgMar w:left="240" w:top="609" w:right="419" w:bottom="1440" w:gutter="0" w:footer="0" w:header="0"/>
        </w:sectPr>
      </w:pPr>
    </w:p>
    <w:bookmarkStart w:id="207" w:name="page208"/>
    <w:bookmarkEnd w:id="207"/>
    <w:p>
      <w:pPr>
        <w:ind w:left="660" w:right="300"/>
        <w:spacing w:after="0" w:line="331" w:lineRule="auto"/>
        <w:rPr>
          <w:sz w:val="20"/>
          <w:szCs w:val="20"/>
          <w:color w:val="auto"/>
        </w:rPr>
      </w:pPr>
      <w:r>
        <w:rPr>
          <w:rFonts w:ascii="Arial" w:cs="Arial" w:eastAsia="Arial" w:hAnsi="Arial"/>
          <w:sz w:val="19"/>
          <w:szCs w:val="19"/>
          <w:color w:val="auto"/>
        </w:rPr>
        <w:t xml:space="preserve">collateral that secures the Loan Obligations and (iii) the obligations under such Swap Contract or Treasury Management Agreement and the Loan Obligations share pari passu (subject to </w:t>
      </w:r>
      <w:r>
        <w:rPr>
          <w:rFonts w:ascii="Arial" w:cs="Arial" w:eastAsia="Arial" w:hAnsi="Arial"/>
          <w:sz w:val="19"/>
          <w:szCs w:val="19"/>
          <w:u w:val="single" w:color="auto"/>
          <w:color w:val="auto"/>
        </w:rPr>
        <w:t>Section 9.03</w:t>
      </w:r>
      <w:r>
        <w:rPr>
          <w:rFonts w:ascii="Arial" w:cs="Arial" w:eastAsia="Arial" w:hAnsi="Arial"/>
          <w:sz w:val="19"/>
          <w:szCs w:val="19"/>
          <w:color w:val="auto"/>
        </w:rPr>
        <w:t>) in the collateral that is subject to such Liens;</w:t>
      </w:r>
    </w:p>
    <w:p>
      <w:pPr>
        <w:spacing w:after="0" w:line="154" w:lineRule="exact"/>
        <w:rPr>
          <w:sz w:val="20"/>
          <w:szCs w:val="20"/>
          <w:color w:val="auto"/>
        </w:rPr>
      </w:pPr>
    </w:p>
    <w:p>
      <w:pPr>
        <w:ind w:left="1700" w:hanging="395"/>
        <w:spacing w:after="0"/>
        <w:tabs>
          <w:tab w:leader="none" w:pos="1700" w:val="left"/>
        </w:tabs>
        <w:numPr>
          <w:ilvl w:val="0"/>
          <w:numId w:val="218"/>
        </w:numPr>
        <w:rPr>
          <w:rFonts w:ascii="Arial" w:cs="Arial" w:eastAsia="Arial" w:hAnsi="Arial"/>
          <w:sz w:val="20"/>
          <w:szCs w:val="20"/>
          <w:color w:val="auto"/>
        </w:rPr>
      </w:pPr>
      <w:r>
        <w:rPr>
          <w:rFonts w:ascii="Arial" w:cs="Arial" w:eastAsia="Arial" w:hAnsi="Arial"/>
          <w:sz w:val="20"/>
          <w:szCs w:val="20"/>
          <w:color w:val="auto"/>
        </w:rPr>
        <w:t xml:space="preserve">Liens existing on the </w:t>
      </w:r>
      <w:r>
        <w:rPr>
          <w:rFonts w:ascii="Arial" w:cs="Arial" w:eastAsia="Arial" w:hAnsi="Arial"/>
          <w:sz w:val="20"/>
          <w:szCs w:val="20"/>
          <w:color w:val="FF0000"/>
          <w:strike w:val="1"/>
        </w:rPr>
        <w:t>date hereof</w:t>
      </w:r>
      <w:r>
        <w:rPr>
          <w:rFonts w:ascii="Arial" w:cs="Arial" w:eastAsia="Arial" w:hAnsi="Arial"/>
          <w:sz w:val="20"/>
          <w:szCs w:val="20"/>
          <w:u w:val="single" w:color="auto"/>
          <w:color w:val="0000FF"/>
        </w:rPr>
        <w:t>Amendment No. 1 Effective Date</w:t>
      </w:r>
      <w:r>
        <w:rPr>
          <w:rFonts w:ascii="Arial" w:cs="Arial" w:eastAsia="Arial" w:hAnsi="Arial"/>
          <w:sz w:val="20"/>
          <w:szCs w:val="20"/>
          <w:color w:val="auto"/>
        </w:rPr>
        <w:t xml:space="preserve"> and listed on </w:t>
      </w:r>
      <w:r>
        <w:rPr>
          <w:rFonts w:ascii="Arial" w:cs="Arial" w:eastAsia="Arial" w:hAnsi="Arial"/>
          <w:sz w:val="20"/>
          <w:szCs w:val="20"/>
          <w:u w:val="single" w:color="auto"/>
          <w:color w:val="auto"/>
        </w:rPr>
        <w:t>Schedule 8.01;</w:t>
      </w:r>
    </w:p>
    <w:p>
      <w:pPr>
        <w:spacing w:after="0" w:line="269" w:lineRule="exact"/>
        <w:rPr>
          <w:rFonts w:ascii="Arial" w:cs="Arial" w:eastAsia="Arial" w:hAnsi="Arial"/>
          <w:sz w:val="20"/>
          <w:szCs w:val="20"/>
          <w:color w:val="auto"/>
        </w:rPr>
      </w:pPr>
    </w:p>
    <w:p>
      <w:pPr>
        <w:ind w:left="660" w:right="120" w:firstLine="645"/>
        <w:spacing w:after="0" w:line="456" w:lineRule="auto"/>
        <w:tabs>
          <w:tab w:leader="none" w:pos="1719" w:val="left"/>
        </w:tabs>
        <w:numPr>
          <w:ilvl w:val="0"/>
          <w:numId w:val="218"/>
        </w:numPr>
        <w:rPr>
          <w:rFonts w:ascii="Arial" w:cs="Arial" w:eastAsia="Arial" w:hAnsi="Arial"/>
          <w:sz w:val="16"/>
          <w:szCs w:val="16"/>
          <w:color w:val="auto"/>
        </w:rPr>
      </w:pPr>
      <w:r>
        <w:rPr>
          <w:rFonts w:ascii="Arial" w:cs="Arial" w:eastAsia="Arial" w:hAnsi="Arial"/>
          <w:sz w:val="16"/>
          <w:szCs w:val="16"/>
          <w:color w:val="auto"/>
        </w:rPr>
        <w:t>Liens for taxes not yet due or that are being contested in good faith and by appropriate proceedings diligently conducted, if adequate reserves with respect thereto are maintained on the books of the applicable Person in accordance with GAAP;</w:t>
      </w:r>
    </w:p>
    <w:p>
      <w:pPr>
        <w:spacing w:after="0" w:line="70" w:lineRule="exact"/>
        <w:rPr>
          <w:rFonts w:ascii="Arial" w:cs="Arial" w:eastAsia="Arial" w:hAnsi="Arial"/>
          <w:sz w:val="16"/>
          <w:szCs w:val="16"/>
          <w:color w:val="auto"/>
        </w:rPr>
      </w:pPr>
    </w:p>
    <w:p>
      <w:pPr>
        <w:ind w:left="1700" w:hanging="395"/>
        <w:spacing w:after="0"/>
        <w:tabs>
          <w:tab w:leader="none" w:pos="1700" w:val="left"/>
        </w:tabs>
        <w:numPr>
          <w:ilvl w:val="0"/>
          <w:numId w:val="218"/>
        </w:numPr>
        <w:rPr>
          <w:rFonts w:ascii="Arial" w:cs="Arial" w:eastAsia="Arial" w:hAnsi="Arial"/>
          <w:sz w:val="18"/>
          <w:szCs w:val="18"/>
          <w:color w:val="auto"/>
        </w:rPr>
      </w:pPr>
      <w:r>
        <w:rPr>
          <w:rFonts w:ascii="Arial" w:cs="Arial" w:eastAsia="Arial" w:hAnsi="Arial"/>
          <w:sz w:val="18"/>
          <w:szCs w:val="18"/>
          <w:color w:val="auto"/>
        </w:rPr>
        <w:t>Liens in favor of carriers, warehousemen, mechanics, materialmen, repairmen or other like Liens arising in the ordinary</w:t>
      </w:r>
    </w:p>
    <w:p>
      <w:pPr>
        <w:spacing w:after="0" w:line="76" w:lineRule="exact"/>
        <w:rPr>
          <w:rFonts w:ascii="Arial" w:cs="Arial" w:eastAsia="Arial" w:hAnsi="Arial"/>
          <w:sz w:val="18"/>
          <w:szCs w:val="18"/>
          <w:color w:val="auto"/>
        </w:rPr>
      </w:pPr>
    </w:p>
    <w:p>
      <w:pPr>
        <w:ind w:left="660"/>
        <w:spacing w:after="0" w:line="438" w:lineRule="auto"/>
        <w:rPr>
          <w:rFonts w:ascii="Arial" w:cs="Arial" w:eastAsia="Arial" w:hAnsi="Arial"/>
          <w:sz w:val="18"/>
          <w:szCs w:val="18"/>
          <w:color w:val="auto"/>
        </w:rPr>
      </w:pPr>
      <w:r>
        <w:rPr>
          <w:rFonts w:ascii="Arial" w:cs="Arial" w:eastAsia="Arial" w:hAnsi="Arial"/>
          <w:sz w:val="16"/>
          <w:szCs w:val="16"/>
          <w:color w:val="auto"/>
        </w:rPr>
        <w:t>course of business that are not overdue for a period of more than thirty days or that are being contested in good faith and by appropriate proceedings diligently conducted, if adequate reserves with respect thereto are maintained on the books of the applicable Person;</w:t>
      </w:r>
    </w:p>
    <w:p>
      <w:pPr>
        <w:spacing w:after="0" w:line="84" w:lineRule="exact"/>
        <w:rPr>
          <w:rFonts w:ascii="Arial" w:cs="Arial" w:eastAsia="Arial" w:hAnsi="Arial"/>
          <w:sz w:val="18"/>
          <w:szCs w:val="18"/>
          <w:color w:val="auto"/>
        </w:rPr>
      </w:pPr>
    </w:p>
    <w:p>
      <w:pPr>
        <w:ind w:left="660" w:right="340" w:firstLine="645"/>
        <w:spacing w:after="0" w:line="317" w:lineRule="auto"/>
        <w:tabs>
          <w:tab w:leader="none" w:pos="1686" w:val="left"/>
        </w:tabs>
        <w:numPr>
          <w:ilvl w:val="0"/>
          <w:numId w:val="218"/>
        </w:numPr>
        <w:rPr>
          <w:rFonts w:ascii="Arial" w:cs="Arial" w:eastAsia="Arial" w:hAnsi="Arial"/>
          <w:sz w:val="20"/>
          <w:szCs w:val="20"/>
          <w:color w:val="auto"/>
        </w:rPr>
      </w:pPr>
      <w:r>
        <w:rPr>
          <w:rFonts w:ascii="Arial" w:cs="Arial" w:eastAsia="Arial" w:hAnsi="Arial"/>
          <w:sz w:val="20"/>
          <w:szCs w:val="20"/>
          <w:color w:val="auto"/>
        </w:rPr>
        <w:t>Liens resulting from pledges or deposits in the ordinary course of business in connection with workers’ compensation, unemployment insurance and other social security legislation, other than any Lien imposed by ERISA;</w:t>
      </w:r>
    </w:p>
    <w:p>
      <w:pPr>
        <w:spacing w:after="0" w:line="162" w:lineRule="exact"/>
        <w:rPr>
          <w:rFonts w:ascii="Arial" w:cs="Arial" w:eastAsia="Arial" w:hAnsi="Arial"/>
          <w:sz w:val="20"/>
          <w:szCs w:val="20"/>
          <w:color w:val="auto"/>
        </w:rPr>
      </w:pPr>
    </w:p>
    <w:p>
      <w:pPr>
        <w:ind w:left="1720" w:hanging="415"/>
        <w:spacing w:after="0"/>
        <w:tabs>
          <w:tab w:leader="none" w:pos="1720" w:val="left"/>
        </w:tabs>
        <w:numPr>
          <w:ilvl w:val="0"/>
          <w:numId w:val="218"/>
        </w:numPr>
        <w:rPr>
          <w:rFonts w:ascii="Arial" w:cs="Arial" w:eastAsia="Arial" w:hAnsi="Arial"/>
          <w:sz w:val="18"/>
          <w:szCs w:val="18"/>
          <w:color w:val="auto"/>
        </w:rPr>
      </w:pPr>
      <w:r>
        <w:rPr>
          <w:rFonts w:ascii="Arial" w:cs="Arial" w:eastAsia="Arial" w:hAnsi="Arial"/>
          <w:sz w:val="18"/>
          <w:szCs w:val="18"/>
          <w:color w:val="auto"/>
        </w:rPr>
        <w:t>Liens resulting from (i) deposits to secure the performance of bids, trade contracts and leases (other than Indebtedness),</w:t>
      </w:r>
    </w:p>
    <w:p>
      <w:pPr>
        <w:spacing w:after="0" w:line="76" w:lineRule="exact"/>
        <w:rPr>
          <w:rFonts w:ascii="Arial" w:cs="Arial" w:eastAsia="Arial" w:hAnsi="Arial"/>
          <w:sz w:val="18"/>
          <w:szCs w:val="18"/>
          <w:color w:val="auto"/>
        </w:rPr>
      </w:pPr>
    </w:p>
    <w:p>
      <w:pPr>
        <w:ind w:left="660" w:right="420"/>
        <w:spacing w:after="0" w:line="292" w:lineRule="auto"/>
        <w:rPr>
          <w:rFonts w:ascii="Arial" w:cs="Arial" w:eastAsia="Arial" w:hAnsi="Arial"/>
          <w:sz w:val="18"/>
          <w:szCs w:val="18"/>
          <w:color w:val="auto"/>
        </w:rPr>
      </w:pPr>
      <w:r>
        <w:rPr>
          <w:rFonts w:ascii="Arial" w:cs="Arial" w:eastAsia="Arial" w:hAnsi="Arial"/>
          <w:sz w:val="20"/>
          <w:szCs w:val="20"/>
          <w:color w:val="auto"/>
        </w:rPr>
        <w:t>statutory obligations, surety and appeal bonds (other than bonds related to judgments or litigation), performance bonds and other obligations of a like nature incurred in the ordinary course of business or (ii) earnest money deposits or indemnification holdbacks made in connection with Permitted Acquisitions or Permitted Dispositions;</w:t>
      </w:r>
    </w:p>
    <w:p>
      <w:pPr>
        <w:spacing w:after="0" w:line="186" w:lineRule="exact"/>
        <w:rPr>
          <w:rFonts w:ascii="Arial" w:cs="Arial" w:eastAsia="Arial" w:hAnsi="Arial"/>
          <w:sz w:val="18"/>
          <w:szCs w:val="18"/>
          <w:color w:val="auto"/>
        </w:rPr>
      </w:pPr>
    </w:p>
    <w:p>
      <w:pPr>
        <w:ind w:left="1720" w:hanging="415"/>
        <w:spacing w:after="0" w:line="207" w:lineRule="exact"/>
        <w:tabs>
          <w:tab w:leader="none" w:pos="1720" w:val="left"/>
        </w:tabs>
        <w:numPr>
          <w:ilvl w:val="0"/>
          <w:numId w:val="218"/>
        </w:numPr>
        <w:rPr>
          <w:rFonts w:ascii="Arial" w:cs="Arial" w:eastAsia="Arial" w:hAnsi="Arial"/>
          <w:sz w:val="18"/>
          <w:szCs w:val="18"/>
          <w:color w:val="auto"/>
        </w:rPr>
      </w:pPr>
      <w:r>
        <w:rPr>
          <w:rFonts w:ascii="Arial" w:cs="Arial" w:eastAsia="Arial" w:hAnsi="Arial"/>
          <w:sz w:val="18"/>
          <w:szCs w:val="18"/>
          <w:color w:val="auto"/>
        </w:rPr>
        <w:t>Liens consisting of (i) easements, rights</w:t>
      </w:r>
      <w:r>
        <w:rPr>
          <w:rFonts w:ascii="MS PGothic" w:cs="MS PGothic" w:eastAsia="MS PGothic" w:hAnsi="MS PGothic"/>
          <w:sz w:val="18"/>
          <w:szCs w:val="18"/>
          <w:color w:val="auto"/>
        </w:rPr>
        <w:t>‑</w:t>
      </w:r>
      <w:r>
        <w:rPr>
          <w:rFonts w:ascii="Arial" w:cs="Arial" w:eastAsia="Arial" w:hAnsi="Arial"/>
          <w:sz w:val="18"/>
          <w:szCs w:val="18"/>
          <w:color w:val="auto"/>
        </w:rPr>
        <w:t>of</w:t>
      </w:r>
      <w:r>
        <w:rPr>
          <w:rFonts w:ascii="MS PGothic" w:cs="MS PGothic" w:eastAsia="MS PGothic" w:hAnsi="MS PGothic"/>
          <w:sz w:val="18"/>
          <w:szCs w:val="18"/>
          <w:color w:val="auto"/>
        </w:rPr>
        <w:t>‑</w:t>
      </w:r>
      <w:r>
        <w:rPr>
          <w:rFonts w:ascii="Arial" w:cs="Arial" w:eastAsia="Arial" w:hAnsi="Arial"/>
          <w:sz w:val="18"/>
          <w:szCs w:val="18"/>
          <w:color w:val="auto"/>
        </w:rPr>
        <w:t>way, restrictions and other similar encumbrances affecting real property that,</w:t>
      </w:r>
    </w:p>
    <w:p>
      <w:pPr>
        <w:spacing w:after="0" w:line="76" w:lineRule="exact"/>
        <w:rPr>
          <w:rFonts w:ascii="Arial" w:cs="Arial" w:eastAsia="Arial" w:hAnsi="Arial"/>
          <w:sz w:val="18"/>
          <w:szCs w:val="18"/>
          <w:color w:val="auto"/>
        </w:rPr>
      </w:pPr>
    </w:p>
    <w:p>
      <w:pPr>
        <w:jc w:val="both"/>
        <w:ind w:left="660" w:right="280"/>
        <w:spacing w:after="0" w:line="314" w:lineRule="auto"/>
        <w:rPr>
          <w:rFonts w:ascii="Arial" w:cs="Arial" w:eastAsia="Arial" w:hAnsi="Arial"/>
          <w:sz w:val="18"/>
          <w:szCs w:val="18"/>
          <w:color w:val="auto"/>
        </w:rPr>
      </w:pPr>
      <w:r>
        <w:rPr>
          <w:rFonts w:ascii="Arial" w:cs="Arial" w:eastAsia="Arial" w:hAnsi="Arial"/>
          <w:sz w:val="19"/>
          <w:szCs w:val="19"/>
          <w:color w:val="auto"/>
        </w:rPr>
        <w:t xml:space="preserve">in the aggregate, are not substantial in amount, or (ii) licenses, sublicenses, leases or subleases entered into in the ordinary course of business and in each case in </w:t>
      </w:r>
      <w:r>
        <w:rPr>
          <w:rFonts w:ascii="Arial" w:cs="Arial" w:eastAsia="Arial" w:hAnsi="Arial"/>
          <w:sz w:val="19"/>
          <w:szCs w:val="19"/>
          <w:u w:val="single" w:color="auto"/>
          <w:color w:val="auto"/>
        </w:rPr>
        <w:t>clauses (i) and (ii)</w:t>
      </w:r>
      <w:r>
        <w:rPr>
          <w:rFonts w:ascii="Arial" w:cs="Arial" w:eastAsia="Arial" w:hAnsi="Arial"/>
          <w:sz w:val="19"/>
          <w:szCs w:val="19"/>
          <w:color w:val="auto"/>
        </w:rPr>
        <w:t xml:space="preserve"> do not in any case materially detract from the value of the property subject thereto or materially interfere with the ordinary conduct of the business of the applicable Person;</w:t>
      </w:r>
    </w:p>
    <w:p>
      <w:pPr>
        <w:spacing w:after="0" w:line="168" w:lineRule="exact"/>
        <w:rPr>
          <w:rFonts w:ascii="Arial" w:cs="Arial" w:eastAsia="Arial" w:hAnsi="Arial"/>
          <w:sz w:val="18"/>
          <w:szCs w:val="18"/>
          <w:color w:val="auto"/>
        </w:rPr>
      </w:pPr>
    </w:p>
    <w:p>
      <w:pPr>
        <w:ind w:left="660" w:firstLine="645"/>
        <w:spacing w:after="0" w:line="317" w:lineRule="auto"/>
        <w:tabs>
          <w:tab w:leader="none" w:pos="1675" w:val="left"/>
        </w:tabs>
        <w:numPr>
          <w:ilvl w:val="0"/>
          <w:numId w:val="218"/>
        </w:numPr>
        <w:rPr>
          <w:rFonts w:ascii="Arial" w:cs="Arial" w:eastAsia="Arial" w:hAnsi="Arial"/>
          <w:sz w:val="20"/>
          <w:szCs w:val="20"/>
          <w:color w:val="auto"/>
        </w:rPr>
      </w:pPr>
      <w:r>
        <w:rPr>
          <w:rFonts w:ascii="Arial" w:cs="Arial" w:eastAsia="Arial" w:hAnsi="Arial"/>
          <w:sz w:val="20"/>
          <w:szCs w:val="20"/>
          <w:color w:val="auto"/>
        </w:rPr>
        <w:t xml:space="preserve">Liens securing judgments for the payment of money not constituting an Event of Default under </w:t>
      </w:r>
      <w:r>
        <w:rPr>
          <w:rFonts w:ascii="Arial" w:cs="Arial" w:eastAsia="Arial" w:hAnsi="Arial"/>
          <w:sz w:val="20"/>
          <w:szCs w:val="20"/>
          <w:u w:val="single" w:color="auto"/>
          <w:color w:val="auto"/>
        </w:rPr>
        <w:t>Section 9.01(h)</w:t>
      </w:r>
      <w:r>
        <w:rPr>
          <w:rFonts w:ascii="Arial" w:cs="Arial" w:eastAsia="Arial" w:hAnsi="Arial"/>
          <w:sz w:val="20"/>
          <w:szCs w:val="20"/>
          <w:color w:val="auto"/>
        </w:rPr>
        <w:t xml:space="preserve"> or securing appeal or other surety bonds related to such judgments;</w:t>
      </w:r>
    </w:p>
    <w:p>
      <w:pPr>
        <w:spacing w:after="0" w:line="162" w:lineRule="exact"/>
        <w:rPr>
          <w:rFonts w:ascii="Arial" w:cs="Arial" w:eastAsia="Arial" w:hAnsi="Arial"/>
          <w:sz w:val="20"/>
          <w:szCs w:val="20"/>
          <w:color w:val="auto"/>
        </w:rPr>
      </w:pPr>
    </w:p>
    <w:p>
      <w:pPr>
        <w:ind w:left="1680" w:hanging="375"/>
        <w:spacing w:after="0"/>
        <w:tabs>
          <w:tab w:leader="none" w:pos="1680" w:val="left"/>
        </w:tabs>
        <w:numPr>
          <w:ilvl w:val="0"/>
          <w:numId w:val="218"/>
        </w:numPr>
        <w:rPr>
          <w:rFonts w:ascii="Arial" w:cs="Arial" w:eastAsia="Arial" w:hAnsi="Arial"/>
          <w:sz w:val="18"/>
          <w:szCs w:val="18"/>
          <w:color w:val="auto"/>
        </w:rPr>
      </w:pPr>
      <w:r>
        <w:rPr>
          <w:rFonts w:ascii="Arial" w:cs="Arial" w:eastAsia="Arial" w:hAnsi="Arial"/>
          <w:sz w:val="18"/>
          <w:szCs w:val="18"/>
          <w:color w:val="auto"/>
        </w:rPr>
        <w:t>Liens securing, or in respect of, obligations under Capital Leases or Synthetic Leases and purchase money obligations for</w:t>
      </w:r>
    </w:p>
    <w:p>
      <w:pPr>
        <w:spacing w:after="0" w:line="76" w:lineRule="exact"/>
        <w:rPr>
          <w:rFonts w:ascii="Arial" w:cs="Arial" w:eastAsia="Arial" w:hAnsi="Arial"/>
          <w:sz w:val="18"/>
          <w:szCs w:val="18"/>
          <w:color w:val="auto"/>
        </w:rPr>
      </w:pPr>
    </w:p>
    <w:p>
      <w:pPr>
        <w:ind w:left="660" w:right="140"/>
        <w:spacing w:after="0" w:line="292" w:lineRule="auto"/>
        <w:rPr>
          <w:rFonts w:ascii="Arial" w:cs="Arial" w:eastAsia="Arial" w:hAnsi="Arial"/>
          <w:sz w:val="18"/>
          <w:szCs w:val="18"/>
          <w:color w:val="auto"/>
        </w:rPr>
      </w:pPr>
      <w:r>
        <w:rPr>
          <w:rFonts w:ascii="Arial" w:cs="Arial" w:eastAsia="Arial" w:hAnsi="Arial"/>
          <w:sz w:val="20"/>
          <w:szCs w:val="20"/>
          <w:color w:val="auto"/>
        </w:rPr>
        <w:t xml:space="preserve">fixed or capital assets;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(i) such Liens do not at any time encumber any property other than the property financed by such Indebtedness and (ii) the Indebtedness secured thereby does not exceed the cost or fair market value, whichever is lower, of the property being acquired on the date of acquisition;</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156</w:t>
      </w:r>
    </w:p>
    <w:p>
      <w:pPr>
        <w:spacing w:after="0" w:line="10" w:lineRule="exact"/>
        <w:rPr>
          <w:sz w:val="20"/>
          <w:szCs w:val="20"/>
          <w:color w:val="auto"/>
        </w:rPr>
      </w:pPr>
    </w:p>
    <w:p>
      <w:pPr>
        <w:spacing w:after="0"/>
        <w:rPr>
          <w:sz w:val="20"/>
          <w:szCs w:val="20"/>
          <w:color w:val="auto"/>
        </w:rPr>
      </w:pPr>
      <w:r>
        <w:rPr>
          <w:rFonts w:ascii="Arial" w:cs="Arial" w:eastAsia="Arial" w:hAnsi="Arial"/>
          <w:sz w:val="14"/>
          <w:szCs w:val="14"/>
          <w:color w:val="auto"/>
        </w:rPr>
        <w:t>CHAR1\1346423v</w:t>
      </w:r>
      <w:r>
        <w:rPr>
          <w:rFonts w:ascii="Arial" w:cs="Arial" w:eastAsia="Arial" w:hAnsi="Arial"/>
          <w:sz w:val="14"/>
          <w:szCs w:val="14"/>
          <w:color w:val="FF0000"/>
          <w:strike w:val="1"/>
        </w:rPr>
        <w:t>1</w:t>
      </w:r>
      <w:r>
        <w:rPr>
          <w:rFonts w:ascii="Arial" w:cs="Arial" w:eastAsia="Arial" w:hAnsi="Arial"/>
          <w:sz w:val="14"/>
          <w:szCs w:val="14"/>
          <w:u w:val="single" w:color="auto"/>
          <w:color w:val="0000FF"/>
        </w:rPr>
        <w:t>12</w:t>
      </w:r>
    </w:p>
    <w:p>
      <w:pPr>
        <w:sectPr>
          <w:pgSz w:w="11900" w:h="16838" w:orient="portrait"/>
          <w:cols w:equalWidth="0" w:num="1">
            <w:col w:w="11400"/>
          </w:cols>
          <w:pgMar w:left="240" w:top="609" w:right="259" w:bottom="1440" w:gutter="0" w:footer="0" w:header="0"/>
        </w:sectPr>
      </w:pPr>
    </w:p>
    <w:bookmarkStart w:id="208" w:name="page209"/>
    <w:bookmarkEnd w:id="208"/>
    <w:p>
      <w:pPr>
        <w:ind w:left="1720" w:hanging="415"/>
        <w:spacing w:after="0"/>
        <w:tabs>
          <w:tab w:leader="none" w:pos="1720" w:val="left"/>
        </w:tabs>
        <w:numPr>
          <w:ilvl w:val="0"/>
          <w:numId w:val="219"/>
        </w:numPr>
        <w:rPr>
          <w:rFonts w:ascii="Arial" w:cs="Arial" w:eastAsia="Arial" w:hAnsi="Arial"/>
          <w:sz w:val="18"/>
          <w:szCs w:val="18"/>
          <w:color w:val="auto"/>
        </w:rPr>
      </w:pPr>
      <w:r>
        <w:rPr>
          <w:rFonts w:ascii="Arial" w:cs="Arial" w:eastAsia="Arial" w:hAnsi="Arial"/>
          <w:sz w:val="18"/>
          <w:szCs w:val="18"/>
          <w:color w:val="auto"/>
        </w:rPr>
        <w:t xml:space="preserve">Liens </w:t>
      </w:r>
      <w:r>
        <w:rPr>
          <w:rFonts w:ascii="Arial" w:cs="Arial" w:eastAsia="Arial" w:hAnsi="Arial"/>
          <w:sz w:val="18"/>
          <w:szCs w:val="18"/>
          <w:color w:val="FF0000"/>
          <w:strike w:val="1"/>
        </w:rPr>
        <w:t>existing</w:t>
      </w:r>
      <w:r>
        <w:rPr>
          <w:rFonts w:ascii="Arial" w:cs="Arial" w:eastAsia="Arial" w:hAnsi="Arial"/>
          <w:sz w:val="18"/>
          <w:szCs w:val="18"/>
          <w:color w:val="auto"/>
        </w:rPr>
        <w:t xml:space="preserve"> on Property </w:t>
      </w:r>
      <w:r>
        <w:rPr>
          <w:rFonts w:ascii="Arial" w:cs="Arial" w:eastAsia="Arial" w:hAnsi="Arial"/>
          <w:sz w:val="18"/>
          <w:szCs w:val="18"/>
          <w:u w:val="single" w:color="auto"/>
          <w:color w:val="0000FF"/>
        </w:rPr>
        <w:t>that is the subject of an Acquisition permitted hereunder</w:t>
      </w:r>
      <w:r>
        <w:rPr>
          <w:rFonts w:ascii="Arial" w:cs="Arial" w:eastAsia="Arial" w:hAnsi="Arial"/>
          <w:sz w:val="18"/>
          <w:szCs w:val="18"/>
          <w:color w:val="auto"/>
        </w:rPr>
        <w:t xml:space="preserve"> at the time </w:t>
      </w:r>
      <w:r>
        <w:rPr>
          <w:rFonts w:ascii="Arial" w:cs="Arial" w:eastAsia="Arial" w:hAnsi="Arial"/>
          <w:sz w:val="18"/>
          <w:szCs w:val="18"/>
          <w:color w:val="FF0000"/>
          <w:strike w:val="1"/>
        </w:rPr>
        <w:t>it is Acquired by a member</w:t>
      </w:r>
    </w:p>
    <w:p>
      <w:pPr>
        <w:spacing w:after="0" w:line="76" w:lineRule="exact"/>
        <w:rPr>
          <w:rFonts w:ascii="Arial" w:cs="Arial" w:eastAsia="Arial" w:hAnsi="Arial"/>
          <w:sz w:val="18"/>
          <w:szCs w:val="18"/>
          <w:color w:val="auto"/>
        </w:rPr>
      </w:pPr>
    </w:p>
    <w:p>
      <w:pPr>
        <w:jc w:val="both"/>
        <w:ind w:left="660" w:right="180"/>
        <w:spacing w:after="0" w:line="292" w:lineRule="auto"/>
        <w:rPr>
          <w:rFonts w:ascii="Arial" w:cs="Arial" w:eastAsia="Arial" w:hAnsi="Arial"/>
          <w:sz w:val="18"/>
          <w:szCs w:val="18"/>
          <w:color w:val="auto"/>
        </w:rPr>
      </w:pPr>
      <w:r>
        <w:rPr>
          <w:rFonts w:ascii="Arial" w:cs="Arial" w:eastAsia="Arial" w:hAnsi="Arial"/>
          <w:sz w:val="20"/>
          <w:szCs w:val="20"/>
          <w:color w:val="auto"/>
        </w:rPr>
        <w:t xml:space="preserve">of the </w:t>
      </w:r>
      <w:r>
        <w:rPr>
          <w:rFonts w:ascii="Arial" w:cs="Arial" w:eastAsia="Arial" w:hAnsi="Arial"/>
          <w:sz w:val="20"/>
          <w:szCs w:val="20"/>
          <w:color w:val="FF0000"/>
          <w:strike w:val="1"/>
        </w:rPr>
        <w:t>Consolidated Group</w:t>
      </w:r>
      <w:r>
        <w:rPr>
          <w:rFonts w:ascii="Arial" w:cs="Arial" w:eastAsia="Arial" w:hAnsi="Arial"/>
          <w:sz w:val="20"/>
          <w:szCs w:val="20"/>
          <w:u w:val="single" w:color="auto"/>
          <w:color w:val="0000FF"/>
        </w:rPr>
        <w:t>Acquisition</w:t>
      </w:r>
      <w:r>
        <w:rPr>
          <w:rFonts w:ascii="Arial" w:cs="Arial" w:eastAsia="Arial" w:hAnsi="Arial"/>
          <w:sz w:val="20"/>
          <w:szCs w:val="20"/>
          <w:color w:val="auto"/>
        </w:rPr>
        <w:t xml:space="preserve"> (including, without limitation, Property Acquired in connection with a Permitted Acquisition); provided </w:t>
      </w:r>
      <w:r>
        <w:rPr>
          <w:rFonts w:ascii="Arial" w:cs="Arial" w:eastAsia="Arial" w:hAnsi="Arial"/>
          <w:sz w:val="20"/>
          <w:szCs w:val="20"/>
          <w:u w:val="single" w:color="auto"/>
          <w:color w:val="0000FF"/>
        </w:rPr>
        <w:t>that</w:t>
      </w:r>
      <w:r>
        <w:rPr>
          <w:rFonts w:ascii="Arial" w:cs="Arial" w:eastAsia="Arial" w:hAnsi="Arial"/>
          <w:sz w:val="20"/>
          <w:szCs w:val="20"/>
          <w:color w:val="auto"/>
        </w:rPr>
        <w:t xml:space="preserve"> such Liens </w:t>
      </w:r>
      <w:r>
        <w:rPr>
          <w:rFonts w:ascii="Arial" w:cs="Arial" w:eastAsia="Arial" w:hAnsi="Arial"/>
          <w:sz w:val="20"/>
          <w:szCs w:val="20"/>
          <w:color w:val="FF0000"/>
          <w:strike w:val="1"/>
        </w:rPr>
        <w:t>are not created in contemplation thereof and</w:t>
      </w:r>
      <w:r>
        <w:rPr>
          <w:rFonts w:ascii="Arial" w:cs="Arial" w:eastAsia="Arial" w:hAnsi="Arial"/>
          <w:sz w:val="20"/>
          <w:szCs w:val="20"/>
          <w:color w:val="auto"/>
        </w:rPr>
        <w:t xml:space="preserve"> do not extend to any </w:t>
      </w:r>
      <w:r>
        <w:rPr>
          <w:rFonts w:ascii="Arial" w:cs="Arial" w:eastAsia="Arial" w:hAnsi="Arial"/>
          <w:sz w:val="20"/>
          <w:szCs w:val="20"/>
          <w:u w:val="single" w:color="auto"/>
          <w:color w:val="0000FF"/>
        </w:rPr>
        <w:t>other</w:t>
      </w:r>
      <w:r>
        <w:rPr>
          <w:rFonts w:ascii="Arial" w:cs="Arial" w:eastAsia="Arial" w:hAnsi="Arial"/>
          <w:sz w:val="20"/>
          <w:szCs w:val="20"/>
          <w:color w:val="auto"/>
        </w:rPr>
        <w:t xml:space="preserve"> Property </w:t>
      </w:r>
      <w:r>
        <w:rPr>
          <w:rFonts w:ascii="Arial" w:cs="Arial" w:eastAsia="Arial" w:hAnsi="Arial"/>
          <w:sz w:val="20"/>
          <w:szCs w:val="20"/>
          <w:color w:val="FF0000"/>
          <w:strike w:val="1"/>
        </w:rPr>
        <w:t>of any other member of the</w:t>
      </w:r>
      <w:r>
        <w:rPr>
          <w:rFonts w:ascii="Arial" w:cs="Arial" w:eastAsia="Arial" w:hAnsi="Arial"/>
          <w:sz w:val="20"/>
          <w:szCs w:val="20"/>
          <w:color w:val="auto"/>
        </w:rPr>
        <w:t xml:space="preserve"> </w:t>
      </w:r>
      <w:r>
        <w:rPr>
          <w:rFonts w:ascii="Arial" w:cs="Arial" w:eastAsia="Arial" w:hAnsi="Arial"/>
          <w:sz w:val="20"/>
          <w:szCs w:val="20"/>
          <w:color w:val="FF0000"/>
          <w:strike w:val="1"/>
        </w:rPr>
        <w:t>Consolidated Group</w:t>
      </w:r>
      <w:r>
        <w:rPr>
          <w:rFonts w:ascii="Arial" w:cs="Arial" w:eastAsia="Arial" w:hAnsi="Arial"/>
          <w:sz w:val="20"/>
          <w:szCs w:val="20"/>
          <w:color w:val="000000"/>
        </w:rPr>
        <w:t>;</w:t>
      </w:r>
    </w:p>
    <w:p>
      <w:pPr>
        <w:spacing w:after="0" w:line="186" w:lineRule="exact"/>
        <w:rPr>
          <w:rFonts w:ascii="Arial" w:cs="Arial" w:eastAsia="Arial" w:hAnsi="Arial"/>
          <w:sz w:val="18"/>
          <w:szCs w:val="18"/>
          <w:color w:val="auto"/>
        </w:rPr>
      </w:pPr>
    </w:p>
    <w:p>
      <w:pPr>
        <w:ind w:left="1680" w:hanging="375"/>
        <w:spacing w:after="0"/>
        <w:tabs>
          <w:tab w:leader="none" w:pos="1680" w:val="left"/>
        </w:tabs>
        <w:numPr>
          <w:ilvl w:val="0"/>
          <w:numId w:val="219"/>
        </w:numPr>
        <w:rPr>
          <w:rFonts w:ascii="Arial" w:cs="Arial" w:eastAsia="Arial" w:hAnsi="Arial"/>
          <w:sz w:val="18"/>
          <w:szCs w:val="18"/>
          <w:color w:val="auto"/>
        </w:rPr>
      </w:pPr>
      <w:r>
        <w:rPr>
          <w:rFonts w:ascii="Arial" w:cs="Arial" w:eastAsia="Arial" w:hAnsi="Arial"/>
          <w:sz w:val="18"/>
          <w:szCs w:val="18"/>
          <w:color w:val="auto"/>
        </w:rPr>
        <w:t xml:space="preserve">Liens </w:t>
      </w:r>
      <w:r>
        <w:rPr>
          <w:rFonts w:ascii="Arial" w:cs="Arial" w:eastAsia="Arial" w:hAnsi="Arial"/>
          <w:sz w:val="18"/>
          <w:szCs w:val="18"/>
          <w:color w:val="FF0000"/>
          <w:strike w:val="1"/>
        </w:rPr>
        <w:t>resulting from</w:t>
      </w:r>
      <w:r>
        <w:rPr>
          <w:rFonts w:ascii="Arial" w:cs="Arial" w:eastAsia="Arial" w:hAnsi="Arial"/>
          <w:sz w:val="18"/>
          <w:szCs w:val="18"/>
          <w:u w:val="single" w:color="auto"/>
          <w:color w:val="0000FF"/>
        </w:rPr>
        <w:t>in (1)</w:t>
      </w:r>
      <w:r>
        <w:rPr>
          <w:rFonts w:ascii="Arial" w:cs="Arial" w:eastAsia="Arial" w:hAnsi="Arial"/>
          <w:sz w:val="18"/>
          <w:szCs w:val="18"/>
          <w:color w:val="auto"/>
        </w:rPr>
        <w:t xml:space="preserve"> cash deposited with banks that participate in the Consolidated Group’s ATM network in the</w:t>
      </w:r>
    </w:p>
    <w:p>
      <w:pPr>
        <w:spacing w:after="0" w:line="76" w:lineRule="exact"/>
        <w:rPr>
          <w:rFonts w:ascii="Arial" w:cs="Arial" w:eastAsia="Arial" w:hAnsi="Arial"/>
          <w:sz w:val="18"/>
          <w:szCs w:val="18"/>
          <w:color w:val="auto"/>
        </w:rPr>
      </w:pPr>
    </w:p>
    <w:p>
      <w:pPr>
        <w:ind w:left="660" w:right="100"/>
        <w:spacing w:after="0" w:line="325" w:lineRule="auto"/>
        <w:rPr>
          <w:rFonts w:ascii="Arial" w:cs="Arial" w:eastAsia="Arial" w:hAnsi="Arial"/>
          <w:sz w:val="18"/>
          <w:szCs w:val="18"/>
          <w:color w:val="auto"/>
        </w:rPr>
      </w:pPr>
      <w:r>
        <w:rPr>
          <w:rFonts w:ascii="Arial" w:cs="Arial" w:eastAsia="Arial" w:hAnsi="Arial"/>
          <w:sz w:val="18"/>
          <w:szCs w:val="18"/>
          <w:color w:val="auto"/>
        </w:rPr>
        <w:t xml:space="preserve">ordinary course of business to secure cash contributed by such banks for use in the ATM network </w:t>
      </w:r>
      <w:r>
        <w:rPr>
          <w:rFonts w:ascii="Arial" w:cs="Arial" w:eastAsia="Arial" w:hAnsi="Arial"/>
          <w:sz w:val="18"/>
          <w:szCs w:val="18"/>
          <w:color w:val="FF0000"/>
          <w:strike w:val="1"/>
        </w:rPr>
        <w:t>and</w:t>
      </w:r>
      <w:r>
        <w:rPr>
          <w:rFonts w:ascii="Arial" w:cs="Arial" w:eastAsia="Arial" w:hAnsi="Arial"/>
          <w:sz w:val="18"/>
          <w:szCs w:val="18"/>
          <w:u w:val="single" w:color="auto"/>
          <w:color w:val="0000FF"/>
        </w:rPr>
        <w:t>, (2) cash and currency supplied</w:t>
      </w:r>
      <w:r>
        <w:rPr>
          <w:rFonts w:ascii="Arial" w:cs="Arial" w:eastAsia="Arial" w:hAnsi="Arial"/>
          <w:sz w:val="18"/>
          <w:szCs w:val="18"/>
          <w:color w:val="auto"/>
        </w:rPr>
        <w:t xml:space="preserve"> </w:t>
      </w:r>
      <w:r>
        <w:rPr>
          <w:rFonts w:ascii="Arial" w:cs="Arial" w:eastAsia="Arial" w:hAnsi="Arial"/>
          <w:sz w:val="18"/>
          <w:szCs w:val="18"/>
          <w:u w:val="single" w:color="auto"/>
          <w:color w:val="0000FF"/>
        </w:rPr>
        <w:t>under arrangements that are excluded from the definition of Funded Debt and Indebtedness under clause (A) of the “For the avoidance of doubt” paragraph at the end of each such definition and/or any segregated bank accounts relating to the operation and settlement of the respective ATM network and (3)</w:t>
      </w:r>
      <w:r>
        <w:rPr>
          <w:rFonts w:ascii="Arial" w:cs="Arial" w:eastAsia="Arial" w:hAnsi="Arial"/>
          <w:sz w:val="18"/>
          <w:szCs w:val="18"/>
          <w:color w:val="0000FF"/>
        </w:rPr>
        <w:t xml:space="preserve"> </w:t>
      </w:r>
      <w:r>
        <w:rPr>
          <w:rFonts w:ascii="Arial" w:cs="Arial" w:eastAsia="Arial" w:hAnsi="Arial"/>
          <w:sz w:val="18"/>
          <w:szCs w:val="18"/>
          <w:color w:val="000000"/>
        </w:rPr>
        <w:t>cash deposited with vendors or suppliers of PIN’s or mobile phone time to members of the</w:t>
      </w:r>
      <w:r>
        <w:rPr>
          <w:rFonts w:ascii="Arial" w:cs="Arial" w:eastAsia="Arial" w:hAnsi="Arial"/>
          <w:sz w:val="18"/>
          <w:szCs w:val="18"/>
          <w:color w:val="0000FF"/>
        </w:rPr>
        <w:t xml:space="preserve"> </w:t>
      </w:r>
      <w:r>
        <w:rPr>
          <w:rFonts w:ascii="Arial" w:cs="Arial" w:eastAsia="Arial" w:hAnsi="Arial"/>
          <w:sz w:val="18"/>
          <w:szCs w:val="18"/>
          <w:color w:val="000000"/>
        </w:rPr>
        <w:t>Consolidated Group in the ordinary course of business to secure accounts payable to such vendors or suppliers;</w:t>
      </w:r>
    </w:p>
    <w:p>
      <w:pPr>
        <w:spacing w:after="0" w:line="165" w:lineRule="exact"/>
        <w:rPr>
          <w:rFonts w:ascii="Arial" w:cs="Arial" w:eastAsia="Arial" w:hAnsi="Arial"/>
          <w:sz w:val="18"/>
          <w:szCs w:val="18"/>
          <w:color w:val="auto"/>
        </w:rPr>
      </w:pPr>
    </w:p>
    <w:p>
      <w:pPr>
        <w:ind w:left="1780" w:hanging="475"/>
        <w:spacing w:after="0"/>
        <w:tabs>
          <w:tab w:leader="none" w:pos="1780" w:val="left"/>
        </w:tabs>
        <w:numPr>
          <w:ilvl w:val="0"/>
          <w:numId w:val="219"/>
        </w:numPr>
        <w:rPr>
          <w:rFonts w:ascii="Arial" w:cs="Arial" w:eastAsia="Arial" w:hAnsi="Arial"/>
          <w:sz w:val="18"/>
          <w:szCs w:val="18"/>
          <w:color w:val="auto"/>
        </w:rPr>
      </w:pPr>
      <w:r>
        <w:rPr>
          <w:rFonts w:ascii="Arial" w:cs="Arial" w:eastAsia="Arial" w:hAnsi="Arial"/>
          <w:sz w:val="18"/>
          <w:szCs w:val="18"/>
          <w:color w:val="auto"/>
        </w:rPr>
        <w:t xml:space="preserve">Liens or other rights granted (whether for the benefit of a single </w:t>
      </w:r>
      <w:r>
        <w:rPr>
          <w:rFonts w:ascii="Arial" w:cs="Arial" w:eastAsia="Arial" w:hAnsi="Arial"/>
          <w:sz w:val="18"/>
          <w:szCs w:val="18"/>
          <w:color w:val="FF0000"/>
          <w:strike w:val="1"/>
        </w:rPr>
        <w:t>provider</w:t>
      </w:r>
      <w:r>
        <w:rPr>
          <w:rFonts w:ascii="Arial" w:cs="Arial" w:eastAsia="Arial" w:hAnsi="Arial"/>
          <w:sz w:val="18"/>
          <w:szCs w:val="18"/>
          <w:u w:val="single" w:color="auto"/>
          <w:color w:val="0000FF"/>
        </w:rPr>
        <w:t>Person</w:t>
      </w:r>
      <w:r>
        <w:rPr>
          <w:rFonts w:ascii="Arial" w:cs="Arial" w:eastAsia="Arial" w:hAnsi="Arial"/>
          <w:sz w:val="18"/>
          <w:szCs w:val="18"/>
          <w:color w:val="auto"/>
        </w:rPr>
        <w:t xml:space="preserve"> or multiple </w:t>
      </w:r>
      <w:r>
        <w:rPr>
          <w:rFonts w:ascii="Arial" w:cs="Arial" w:eastAsia="Arial" w:hAnsi="Arial"/>
          <w:sz w:val="18"/>
          <w:szCs w:val="18"/>
          <w:color w:val="FF0000"/>
          <w:strike w:val="1"/>
        </w:rPr>
        <w:t>providers</w:t>
      </w:r>
      <w:r>
        <w:rPr>
          <w:rFonts w:ascii="Arial" w:cs="Arial" w:eastAsia="Arial" w:hAnsi="Arial"/>
          <w:sz w:val="18"/>
          <w:szCs w:val="18"/>
          <w:u w:val="single" w:color="auto"/>
          <w:color w:val="0000FF"/>
        </w:rPr>
        <w:t>Persons</w:t>
      </w:r>
      <w:r>
        <w:rPr>
          <w:rFonts w:ascii="Arial" w:cs="Arial" w:eastAsia="Arial" w:hAnsi="Arial"/>
          <w:sz w:val="18"/>
          <w:szCs w:val="18"/>
          <w:color w:val="auto"/>
        </w:rPr>
        <w:t>) to (1)</w:t>
      </w:r>
    </w:p>
    <w:p>
      <w:pPr>
        <w:spacing w:after="0" w:line="76" w:lineRule="exact"/>
        <w:rPr>
          <w:rFonts w:ascii="Arial" w:cs="Arial" w:eastAsia="Arial" w:hAnsi="Arial"/>
          <w:sz w:val="18"/>
          <w:szCs w:val="18"/>
          <w:color w:val="auto"/>
        </w:rPr>
      </w:pPr>
    </w:p>
    <w:p>
      <w:pPr>
        <w:ind w:left="660" w:right="60"/>
        <w:spacing w:after="0" w:line="305" w:lineRule="auto"/>
        <w:rPr>
          <w:rFonts w:ascii="Arial" w:cs="Arial" w:eastAsia="Arial" w:hAnsi="Arial"/>
          <w:sz w:val="18"/>
          <w:szCs w:val="18"/>
          <w:color w:val="auto"/>
        </w:rPr>
      </w:pPr>
      <w:r>
        <w:rPr>
          <w:rFonts w:ascii="Arial" w:cs="Arial" w:eastAsia="Arial" w:hAnsi="Arial"/>
          <w:sz w:val="19"/>
          <w:szCs w:val="19"/>
          <w:color w:val="auto"/>
        </w:rPr>
        <w:t xml:space="preserve">vendors or suppliers of products, content or services distributed or provided through processing networks of the Consolidated Group in the products, content or services supplied and proceeds thereof (including, without limitation, any trust accounts or restricted cash accounts associated with the purchase or sale of such products, content or services) or (2) </w:t>
      </w:r>
      <w:r>
        <w:rPr>
          <w:rFonts w:ascii="Arial" w:cs="Arial" w:eastAsia="Arial" w:hAnsi="Arial"/>
          <w:sz w:val="19"/>
          <w:szCs w:val="19"/>
          <w:u w:val="single" w:color="auto"/>
          <w:color w:val="0000FF"/>
        </w:rPr>
        <w:t>customers or</w:t>
      </w:r>
      <w:r>
        <w:rPr>
          <w:rFonts w:ascii="Arial" w:cs="Arial" w:eastAsia="Arial" w:hAnsi="Arial"/>
          <w:sz w:val="19"/>
          <w:szCs w:val="19"/>
          <w:color w:val="auto"/>
        </w:rPr>
        <w:t xml:space="preserve"> correspondent payout agents (including, without limitation, those arising from the deposit or prefunding of amounts</w:t>
      </w:r>
      <w:r>
        <w:rPr>
          <w:rFonts w:ascii="Arial" w:cs="Arial" w:eastAsia="Arial" w:hAnsi="Arial"/>
          <w:sz w:val="19"/>
          <w:szCs w:val="19"/>
          <w:color w:val="FF0000"/>
          <w:strike w:val="1"/>
        </w:rPr>
        <w:t>) to</w:t>
      </w:r>
      <w:r>
        <w:rPr>
          <w:rFonts w:ascii="Arial" w:cs="Arial" w:eastAsia="Arial" w:hAnsi="Arial"/>
          <w:sz w:val="19"/>
          <w:szCs w:val="19"/>
          <w:color w:val="auto"/>
        </w:rPr>
        <w:t xml:space="preserve"> </w:t>
      </w:r>
      <w:r>
        <w:rPr>
          <w:rFonts w:ascii="Arial" w:cs="Arial" w:eastAsia="Arial" w:hAnsi="Arial"/>
          <w:sz w:val="19"/>
          <w:szCs w:val="19"/>
          <w:u w:val="single" w:color="auto"/>
          <w:color w:val="0000FF"/>
        </w:rPr>
        <w:t>with or by a member of the Consolidated</w:t>
      </w:r>
      <w:r>
        <w:rPr>
          <w:rFonts w:ascii="Arial" w:cs="Arial" w:eastAsia="Arial" w:hAnsi="Arial"/>
          <w:sz w:val="19"/>
          <w:szCs w:val="19"/>
          <w:color w:val="auto"/>
        </w:rPr>
        <w:t xml:space="preserve"> </w:t>
      </w:r>
      <w:r>
        <w:rPr>
          <w:rFonts w:ascii="Arial" w:cs="Arial" w:eastAsia="Arial" w:hAnsi="Arial"/>
          <w:sz w:val="19"/>
          <w:szCs w:val="19"/>
          <w:u w:val="single" w:color="auto"/>
          <w:color w:val="0000FF"/>
        </w:rPr>
        <w:t>Group) to secure or</w:t>
      </w:r>
      <w:r>
        <w:rPr>
          <w:rFonts w:ascii="Arial" w:cs="Arial" w:eastAsia="Arial" w:hAnsi="Arial"/>
          <w:sz w:val="19"/>
          <w:szCs w:val="19"/>
          <w:color w:val="0000FF"/>
        </w:rPr>
        <w:t xml:space="preserve"> </w:t>
      </w:r>
      <w:r>
        <w:rPr>
          <w:rFonts w:ascii="Arial" w:cs="Arial" w:eastAsia="Arial" w:hAnsi="Arial"/>
          <w:sz w:val="19"/>
          <w:szCs w:val="19"/>
          <w:color w:val="000000"/>
        </w:rPr>
        <w:t>facilitate money transfers</w:t>
      </w:r>
      <w:r>
        <w:rPr>
          <w:rFonts w:ascii="Arial" w:cs="Arial" w:eastAsia="Arial" w:hAnsi="Arial"/>
          <w:sz w:val="19"/>
          <w:szCs w:val="19"/>
          <w:color w:val="0000FF"/>
        </w:rPr>
        <w:t xml:space="preserve"> </w:t>
      </w:r>
      <w:r>
        <w:rPr>
          <w:rFonts w:ascii="Arial" w:cs="Arial" w:eastAsia="Arial" w:hAnsi="Arial"/>
          <w:sz w:val="19"/>
          <w:szCs w:val="19"/>
          <w:u w:val="single" w:color="auto"/>
          <w:color w:val="0000FF"/>
        </w:rPr>
        <w:t>or foreign exchange transactions</w:t>
      </w:r>
      <w:r>
        <w:rPr>
          <w:rFonts w:ascii="Arial" w:cs="Arial" w:eastAsia="Arial" w:hAnsi="Arial"/>
          <w:sz w:val="19"/>
          <w:szCs w:val="19"/>
          <w:color w:val="000000"/>
        </w:rPr>
        <w:t>;</w:t>
      </w:r>
    </w:p>
    <w:p>
      <w:pPr>
        <w:spacing w:after="0" w:line="178" w:lineRule="exact"/>
        <w:rPr>
          <w:rFonts w:ascii="Arial" w:cs="Arial" w:eastAsia="Arial" w:hAnsi="Arial"/>
          <w:sz w:val="18"/>
          <w:szCs w:val="18"/>
          <w:color w:val="auto"/>
        </w:rPr>
      </w:pPr>
    </w:p>
    <w:p>
      <w:pPr>
        <w:ind w:left="1720" w:hanging="415"/>
        <w:spacing w:after="0"/>
        <w:tabs>
          <w:tab w:leader="none" w:pos="1720" w:val="left"/>
        </w:tabs>
        <w:numPr>
          <w:ilvl w:val="0"/>
          <w:numId w:val="219"/>
        </w:numPr>
        <w:rPr>
          <w:rFonts w:ascii="Arial" w:cs="Arial" w:eastAsia="Arial" w:hAnsi="Arial"/>
          <w:sz w:val="18"/>
          <w:szCs w:val="18"/>
          <w:color w:val="auto"/>
        </w:rPr>
      </w:pPr>
      <w:r>
        <w:rPr>
          <w:rFonts w:ascii="Arial" w:cs="Arial" w:eastAsia="Arial" w:hAnsi="Arial"/>
          <w:sz w:val="18"/>
          <w:szCs w:val="18"/>
          <w:color w:val="auto"/>
        </w:rPr>
        <w:t>Liens and customary rights of set-off, revocation, refund or chargeback and similar rights under deposit, disbursement or</w:t>
      </w:r>
    </w:p>
    <w:p>
      <w:pPr>
        <w:spacing w:after="0" w:line="76" w:lineRule="exact"/>
        <w:rPr>
          <w:rFonts w:ascii="Arial" w:cs="Arial" w:eastAsia="Arial" w:hAnsi="Arial"/>
          <w:sz w:val="18"/>
          <w:szCs w:val="18"/>
          <w:color w:val="auto"/>
        </w:rPr>
      </w:pPr>
    </w:p>
    <w:p>
      <w:pPr>
        <w:ind w:left="660" w:right="40"/>
        <w:spacing w:after="0" w:line="338" w:lineRule="auto"/>
        <w:rPr>
          <w:rFonts w:ascii="Arial" w:cs="Arial" w:eastAsia="Arial" w:hAnsi="Arial"/>
          <w:sz w:val="18"/>
          <w:szCs w:val="18"/>
          <w:color w:val="auto"/>
        </w:rPr>
      </w:pPr>
      <w:r>
        <w:rPr>
          <w:rFonts w:ascii="Arial" w:cs="Arial" w:eastAsia="Arial" w:hAnsi="Arial"/>
          <w:sz w:val="18"/>
          <w:szCs w:val="18"/>
          <w:color w:val="auto"/>
        </w:rPr>
        <w:t>concentration account agreements or under UCC (or comparable foreign Law) or otherwise arising by operation of Law in favor of any bank or other financial institution at which such Credit Party or its Subsidiaries maintains a deposit, disbursement or concentration account in the ordinary course of business and Liens arising due to any cash pooling, netting or composite accounting arrangements;</w:t>
      </w:r>
    </w:p>
    <w:p>
      <w:pPr>
        <w:spacing w:after="0" w:line="151" w:lineRule="exact"/>
        <w:rPr>
          <w:rFonts w:ascii="Arial" w:cs="Arial" w:eastAsia="Arial" w:hAnsi="Arial"/>
          <w:sz w:val="18"/>
          <w:szCs w:val="18"/>
          <w:color w:val="auto"/>
        </w:rPr>
      </w:pPr>
    </w:p>
    <w:p>
      <w:pPr>
        <w:ind w:left="660" w:right="200" w:firstLine="645"/>
        <w:spacing w:after="0" w:line="317" w:lineRule="auto"/>
        <w:tabs>
          <w:tab w:leader="none" w:pos="1719" w:val="left"/>
        </w:tabs>
        <w:numPr>
          <w:ilvl w:val="0"/>
          <w:numId w:val="219"/>
        </w:numPr>
        <w:rPr>
          <w:rFonts w:ascii="Arial" w:cs="Arial" w:eastAsia="Arial" w:hAnsi="Arial"/>
          <w:sz w:val="20"/>
          <w:szCs w:val="20"/>
          <w:color w:val="auto"/>
        </w:rPr>
      </w:pPr>
      <w:r>
        <w:rPr>
          <w:rFonts w:ascii="Arial" w:cs="Arial" w:eastAsia="Arial" w:hAnsi="Arial"/>
          <w:sz w:val="20"/>
          <w:szCs w:val="20"/>
          <w:color w:val="auto"/>
        </w:rPr>
        <w:t xml:space="preserve">Liens resulting from cash collateral in an aggregate amount of up to $75 million at any time to secure letters of credit or bank guarantees permitted by </w:t>
      </w:r>
      <w:r>
        <w:rPr>
          <w:rFonts w:ascii="Arial" w:cs="Arial" w:eastAsia="Arial" w:hAnsi="Arial"/>
          <w:sz w:val="20"/>
          <w:szCs w:val="20"/>
          <w:u w:val="single" w:color="auto"/>
          <w:color w:val="auto"/>
        </w:rPr>
        <w:t>Section 8.03(k)</w:t>
      </w:r>
      <w:r>
        <w:rPr>
          <w:rFonts w:ascii="Arial" w:cs="Arial" w:eastAsia="Arial" w:hAnsi="Arial"/>
          <w:sz w:val="20"/>
          <w:szCs w:val="20"/>
          <w:color w:val="auto"/>
        </w:rPr>
        <w:t>;</w:t>
      </w:r>
    </w:p>
    <w:p>
      <w:pPr>
        <w:spacing w:after="0" w:line="162" w:lineRule="exact"/>
        <w:rPr>
          <w:rFonts w:ascii="Arial" w:cs="Arial" w:eastAsia="Arial" w:hAnsi="Arial"/>
          <w:sz w:val="20"/>
          <w:szCs w:val="20"/>
          <w:color w:val="auto"/>
        </w:rPr>
      </w:pPr>
    </w:p>
    <w:p>
      <w:pPr>
        <w:ind w:left="1720" w:hanging="415"/>
        <w:spacing w:after="0"/>
        <w:tabs>
          <w:tab w:leader="none" w:pos="1720" w:val="left"/>
        </w:tabs>
        <w:numPr>
          <w:ilvl w:val="0"/>
          <w:numId w:val="219"/>
        </w:numPr>
        <w:rPr>
          <w:rFonts w:ascii="Arial" w:cs="Arial" w:eastAsia="Arial" w:hAnsi="Arial"/>
          <w:sz w:val="20"/>
          <w:szCs w:val="20"/>
          <w:color w:val="auto"/>
        </w:rPr>
      </w:pPr>
      <w:r>
        <w:rPr>
          <w:rFonts w:ascii="Arial" w:cs="Arial" w:eastAsia="Arial" w:hAnsi="Arial"/>
          <w:sz w:val="20"/>
          <w:szCs w:val="20"/>
          <w:color w:val="auto"/>
        </w:rPr>
        <w:t>Liens in Securitization Receivables in a Securitization Transaction permitted hereunder;</w:t>
      </w:r>
    </w:p>
    <w:p>
      <w:pPr>
        <w:spacing w:after="0" w:line="269" w:lineRule="exact"/>
        <w:rPr>
          <w:rFonts w:ascii="Arial" w:cs="Arial" w:eastAsia="Arial" w:hAnsi="Arial"/>
          <w:sz w:val="20"/>
          <w:szCs w:val="20"/>
          <w:color w:val="auto"/>
        </w:rPr>
      </w:pPr>
    </w:p>
    <w:p>
      <w:pPr>
        <w:ind w:left="1720" w:hanging="415"/>
        <w:spacing w:after="0"/>
        <w:tabs>
          <w:tab w:leader="none" w:pos="1720" w:val="left"/>
        </w:tabs>
        <w:numPr>
          <w:ilvl w:val="0"/>
          <w:numId w:val="219"/>
        </w:numPr>
        <w:rPr>
          <w:rFonts w:ascii="Arial" w:cs="Arial" w:eastAsia="Arial" w:hAnsi="Arial"/>
          <w:sz w:val="19"/>
          <w:szCs w:val="19"/>
          <w:color w:val="auto"/>
        </w:rPr>
      </w:pPr>
      <w:r>
        <w:rPr>
          <w:rFonts w:ascii="Arial" w:cs="Arial" w:eastAsia="Arial" w:hAnsi="Arial"/>
          <w:sz w:val="19"/>
          <w:szCs w:val="19"/>
          <w:color w:val="auto"/>
        </w:rPr>
        <w:t>Liens, as permitted under German law, resulting from property ownership transfers made for security purposes</w:t>
      </w:r>
    </w:p>
    <w:p>
      <w:pPr>
        <w:spacing w:after="0" w:line="65" w:lineRule="exact"/>
        <w:rPr>
          <w:rFonts w:ascii="Arial" w:cs="Arial" w:eastAsia="Arial" w:hAnsi="Arial"/>
          <w:sz w:val="19"/>
          <w:szCs w:val="19"/>
          <w:color w:val="auto"/>
        </w:rPr>
      </w:pPr>
    </w:p>
    <w:p>
      <w:pPr>
        <w:ind w:left="660" w:right="20"/>
        <w:spacing w:after="0" w:line="303" w:lineRule="auto"/>
        <w:rPr>
          <w:rFonts w:ascii="Arial" w:cs="Arial" w:eastAsia="Arial" w:hAnsi="Arial"/>
          <w:sz w:val="19"/>
          <w:szCs w:val="19"/>
          <w:color w:val="auto"/>
        </w:rPr>
      </w:pPr>
      <w:r>
        <w:rPr>
          <w:rFonts w:ascii="Arial" w:cs="Arial" w:eastAsia="Arial" w:hAnsi="Arial"/>
          <w:sz w:val="20"/>
          <w:szCs w:val="20"/>
          <w:color w:val="auto"/>
        </w:rPr>
        <w:t>(Sicherungseigentum), retention of title arrangements (Eigentumsvorbehalt) and assignments of claims, rights and receivables made for security purposes (Sicherungsabtretungen), in each case made in the ordinary course of business;</w:t>
      </w:r>
    </w:p>
    <w:p>
      <w:pPr>
        <w:spacing w:after="0" w:line="392"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157</w:t>
      </w:r>
    </w:p>
    <w:p>
      <w:pPr>
        <w:spacing w:after="0" w:line="10" w:lineRule="exact"/>
        <w:rPr>
          <w:sz w:val="20"/>
          <w:szCs w:val="20"/>
          <w:color w:val="auto"/>
        </w:rPr>
      </w:pPr>
    </w:p>
    <w:p>
      <w:pPr>
        <w:spacing w:after="0"/>
        <w:rPr>
          <w:sz w:val="20"/>
          <w:szCs w:val="20"/>
          <w:color w:val="auto"/>
        </w:rPr>
      </w:pPr>
      <w:r>
        <w:rPr>
          <w:rFonts w:ascii="Arial" w:cs="Arial" w:eastAsia="Arial" w:hAnsi="Arial"/>
          <w:sz w:val="14"/>
          <w:szCs w:val="14"/>
          <w:color w:val="auto"/>
        </w:rPr>
        <w:t>CHAR1\1346423v</w:t>
      </w:r>
      <w:r>
        <w:rPr>
          <w:rFonts w:ascii="Arial" w:cs="Arial" w:eastAsia="Arial" w:hAnsi="Arial"/>
          <w:sz w:val="14"/>
          <w:szCs w:val="14"/>
          <w:color w:val="FF0000"/>
          <w:strike w:val="1"/>
        </w:rPr>
        <w:t>1</w:t>
      </w:r>
      <w:r>
        <w:rPr>
          <w:rFonts w:ascii="Arial" w:cs="Arial" w:eastAsia="Arial" w:hAnsi="Arial"/>
          <w:sz w:val="14"/>
          <w:szCs w:val="14"/>
          <w:u w:val="single" w:color="auto"/>
          <w:color w:val="0000FF"/>
        </w:rPr>
        <w:t>12</w:t>
      </w:r>
    </w:p>
    <w:p>
      <w:pPr>
        <w:sectPr>
          <w:pgSz w:w="11900" w:h="16838" w:orient="portrait"/>
          <w:cols w:equalWidth="0" w:num="1">
            <w:col w:w="11400"/>
          </w:cols>
          <w:pgMar w:left="240" w:top="609" w:right="259" w:bottom="1440" w:gutter="0" w:footer="0" w:header="0"/>
        </w:sectPr>
      </w:pPr>
    </w:p>
    <w:bookmarkStart w:id="209" w:name="page210"/>
    <w:bookmarkEnd w:id="209"/>
    <w:p>
      <w:pPr>
        <w:ind w:left="1680" w:hanging="375"/>
        <w:spacing w:after="0"/>
        <w:tabs>
          <w:tab w:leader="none" w:pos="1680" w:val="left"/>
        </w:tabs>
        <w:numPr>
          <w:ilvl w:val="0"/>
          <w:numId w:val="220"/>
        </w:numPr>
        <w:rPr>
          <w:rFonts w:ascii="Arial" w:cs="Arial" w:eastAsia="Arial" w:hAnsi="Arial"/>
          <w:sz w:val="20"/>
          <w:szCs w:val="20"/>
          <w:color w:val="auto"/>
        </w:rPr>
      </w:pPr>
      <w:r>
        <w:rPr>
          <w:rFonts w:ascii="Arial" w:cs="Arial" w:eastAsia="Arial" w:hAnsi="Arial"/>
          <w:sz w:val="20"/>
          <w:szCs w:val="20"/>
          <w:color w:val="auto"/>
        </w:rPr>
        <w:t xml:space="preserve">Refinancing Liens with granted in respect of Liens permitted by </w:t>
      </w:r>
      <w:r>
        <w:rPr>
          <w:rFonts w:ascii="Arial" w:cs="Arial" w:eastAsia="Arial" w:hAnsi="Arial"/>
          <w:sz w:val="20"/>
          <w:szCs w:val="20"/>
          <w:u w:val="single" w:color="auto"/>
          <w:color w:val="auto"/>
        </w:rPr>
        <w:t>Sections 8.01(c)</w:t>
      </w:r>
      <w:r>
        <w:rPr>
          <w:rFonts w:ascii="Arial" w:cs="Arial" w:eastAsia="Arial" w:hAnsi="Arial"/>
          <w:sz w:val="20"/>
          <w:szCs w:val="20"/>
          <w:color w:val="auto"/>
        </w:rPr>
        <w:t xml:space="preserve">, </w:t>
      </w:r>
      <w:r>
        <w:rPr>
          <w:rFonts w:ascii="Arial" w:cs="Arial" w:eastAsia="Arial" w:hAnsi="Arial"/>
          <w:sz w:val="20"/>
          <w:szCs w:val="20"/>
          <w:u w:val="single" w:color="auto"/>
          <w:color w:val="auto"/>
        </w:rPr>
        <w:t>(j)</w:t>
      </w:r>
      <w:r>
        <w:rPr>
          <w:rFonts w:ascii="Arial" w:cs="Arial" w:eastAsia="Arial" w:hAnsi="Arial"/>
          <w:sz w:val="20"/>
          <w:szCs w:val="20"/>
          <w:color w:val="auto"/>
        </w:rPr>
        <w:t xml:space="preserve">, </w:t>
      </w:r>
      <w:r>
        <w:rPr>
          <w:rFonts w:ascii="Arial" w:cs="Arial" w:eastAsia="Arial" w:hAnsi="Arial"/>
          <w:sz w:val="20"/>
          <w:szCs w:val="20"/>
          <w:u w:val="single" w:color="auto"/>
          <w:color w:val="auto"/>
        </w:rPr>
        <w:t>(k)</w:t>
      </w:r>
      <w:r>
        <w:rPr>
          <w:rFonts w:ascii="Arial" w:cs="Arial" w:eastAsia="Arial" w:hAnsi="Arial"/>
          <w:sz w:val="20"/>
          <w:szCs w:val="20"/>
          <w:color w:val="auto"/>
        </w:rPr>
        <w:t xml:space="preserve">, </w:t>
      </w:r>
      <w:r>
        <w:rPr>
          <w:rFonts w:ascii="Arial" w:cs="Arial" w:eastAsia="Arial" w:hAnsi="Arial"/>
          <w:sz w:val="20"/>
          <w:szCs w:val="20"/>
          <w:u w:val="single" w:color="auto"/>
          <w:color w:val="auto"/>
        </w:rPr>
        <w:t>(r)</w:t>
      </w:r>
      <w:r>
        <w:rPr>
          <w:rFonts w:ascii="Arial" w:cs="Arial" w:eastAsia="Arial" w:hAnsi="Arial"/>
          <w:sz w:val="20"/>
          <w:szCs w:val="20"/>
          <w:color w:val="auto"/>
        </w:rPr>
        <w:t xml:space="preserve"> or </w:t>
      </w:r>
      <w:r>
        <w:rPr>
          <w:rFonts w:ascii="Arial" w:cs="Arial" w:eastAsia="Arial" w:hAnsi="Arial"/>
          <w:sz w:val="20"/>
          <w:szCs w:val="20"/>
          <w:u w:val="single" w:color="auto"/>
          <w:color w:val="auto"/>
        </w:rPr>
        <w:t>(s)</w:t>
      </w:r>
      <w:r>
        <w:rPr>
          <w:rFonts w:ascii="Arial" w:cs="Arial" w:eastAsia="Arial" w:hAnsi="Arial"/>
          <w:sz w:val="20"/>
          <w:szCs w:val="20"/>
          <w:color w:val="auto"/>
        </w:rPr>
        <w:t>; and</w:t>
      </w:r>
    </w:p>
    <w:p>
      <w:pPr>
        <w:spacing w:after="0" w:line="269" w:lineRule="exact"/>
        <w:rPr>
          <w:rFonts w:ascii="Arial" w:cs="Arial" w:eastAsia="Arial" w:hAnsi="Arial"/>
          <w:sz w:val="20"/>
          <w:szCs w:val="20"/>
          <w:color w:val="auto"/>
        </w:rPr>
      </w:pPr>
    </w:p>
    <w:p>
      <w:pPr>
        <w:ind w:left="1700" w:hanging="395"/>
        <w:spacing w:after="0"/>
        <w:tabs>
          <w:tab w:leader="none" w:pos="1700" w:val="left"/>
        </w:tabs>
        <w:numPr>
          <w:ilvl w:val="0"/>
          <w:numId w:val="220"/>
        </w:numPr>
        <w:rPr>
          <w:rFonts w:ascii="Arial" w:cs="Arial" w:eastAsia="Arial" w:hAnsi="Arial"/>
          <w:sz w:val="20"/>
          <w:szCs w:val="20"/>
          <w:color w:val="auto"/>
        </w:rPr>
      </w:pPr>
      <w:r>
        <w:rPr>
          <w:rFonts w:ascii="Arial" w:cs="Arial" w:eastAsia="Arial" w:hAnsi="Arial"/>
          <w:sz w:val="20"/>
          <w:szCs w:val="20"/>
          <w:color w:val="auto"/>
        </w:rPr>
        <w:t>other Liens securing aggregate Indebtedness of not more than $25 million at any time.</w:t>
      </w:r>
    </w:p>
    <w:p>
      <w:pPr>
        <w:spacing w:after="0" w:line="243" w:lineRule="exact"/>
        <w:rPr>
          <w:sz w:val="20"/>
          <w:szCs w:val="20"/>
          <w:color w:val="auto"/>
        </w:rPr>
      </w:pPr>
    </w:p>
    <w:p>
      <w:pPr>
        <w:ind w:right="20" w:firstLine="648"/>
        <w:spacing w:after="0" w:line="243" w:lineRule="auto"/>
        <w:rPr>
          <w:sz w:val="20"/>
          <w:szCs w:val="20"/>
          <w:color w:val="auto"/>
        </w:rPr>
      </w:pPr>
      <w:r>
        <w:rPr>
          <w:rFonts w:ascii="Arial" w:cs="Arial" w:eastAsia="Arial" w:hAnsi="Arial"/>
          <w:sz w:val="20"/>
          <w:szCs w:val="20"/>
          <w:color w:val="auto"/>
        </w:rPr>
        <w:t xml:space="preserve">For purposes of determining compliance with this </w:t>
      </w:r>
      <w:r>
        <w:rPr>
          <w:rFonts w:ascii="Arial" w:cs="Arial" w:eastAsia="Arial" w:hAnsi="Arial"/>
          <w:sz w:val="20"/>
          <w:szCs w:val="20"/>
          <w:u w:val="single" w:color="auto"/>
          <w:color w:val="auto"/>
        </w:rPr>
        <w:t>Section 8.01</w:t>
      </w:r>
      <w:r>
        <w:rPr>
          <w:rFonts w:ascii="Arial" w:cs="Arial" w:eastAsia="Arial" w:hAnsi="Arial"/>
          <w:sz w:val="20"/>
          <w:szCs w:val="20"/>
          <w:color w:val="auto"/>
        </w:rPr>
        <w:t xml:space="preserve">: (i) in the event that a Lien (or any portion thereof) meets the criteria of more than one of the categories of Liens permitted in this </w:t>
      </w:r>
      <w:r>
        <w:rPr>
          <w:rFonts w:ascii="Arial" w:cs="Arial" w:eastAsia="Arial" w:hAnsi="Arial"/>
          <w:sz w:val="20"/>
          <w:szCs w:val="20"/>
          <w:u w:val="single" w:color="auto"/>
          <w:color w:val="auto"/>
        </w:rPr>
        <w:t>Section 8.01</w:t>
      </w:r>
      <w:r>
        <w:rPr>
          <w:rFonts w:ascii="Arial" w:cs="Arial" w:eastAsia="Arial" w:hAnsi="Arial"/>
          <w:sz w:val="20"/>
          <w:szCs w:val="20"/>
          <w:color w:val="auto"/>
        </w:rPr>
        <w:t xml:space="preserve">, the relevant Credit Party or Subsidiary, in its sole discretion, may classify (and may from time to time thereafter reclassify) such Lien (or any portion thereof) and will only be required to include such Lien in one of the categories of Liens permitted in this </w:t>
      </w:r>
      <w:r>
        <w:rPr>
          <w:rFonts w:ascii="Arial" w:cs="Arial" w:eastAsia="Arial" w:hAnsi="Arial"/>
          <w:sz w:val="20"/>
          <w:szCs w:val="20"/>
          <w:u w:val="single" w:color="auto"/>
          <w:color w:val="auto"/>
        </w:rPr>
        <w:t>Section 8.01</w:t>
      </w:r>
      <w:r>
        <w:rPr>
          <w:rFonts w:ascii="Arial" w:cs="Arial" w:eastAsia="Arial" w:hAnsi="Arial"/>
          <w:sz w:val="20"/>
          <w:szCs w:val="20"/>
          <w:color w:val="auto"/>
        </w:rPr>
        <w:t xml:space="preserve">; and (ii) at the time of incurrence or upon any later reclassification, the relevant Credit Party or Subsidiary, in its sole discretion, may divide and classify a Lien in more than one of the categories of Liens permitted in this </w:t>
      </w:r>
      <w:r>
        <w:rPr>
          <w:rFonts w:ascii="Arial" w:cs="Arial" w:eastAsia="Arial" w:hAnsi="Arial"/>
          <w:sz w:val="20"/>
          <w:szCs w:val="20"/>
          <w:u w:val="single" w:color="auto"/>
          <w:color w:val="auto"/>
        </w:rPr>
        <w:t>Section 8.01</w:t>
      </w:r>
      <w:r>
        <w:rPr>
          <w:rFonts w:ascii="Arial" w:cs="Arial" w:eastAsia="Arial" w:hAnsi="Arial"/>
          <w:sz w:val="20"/>
          <w:szCs w:val="20"/>
          <w:color w:val="auto"/>
        </w:rPr>
        <w:t>.</w:t>
      </w:r>
    </w:p>
    <w:p>
      <w:pPr>
        <w:spacing w:after="0" w:line="197" w:lineRule="exact"/>
        <w:rPr>
          <w:sz w:val="20"/>
          <w:szCs w:val="20"/>
          <w:color w:val="auto"/>
        </w:rPr>
      </w:pPr>
    </w:p>
    <w:p>
      <w:pPr>
        <w:ind w:right="280" w:firstLine="648"/>
        <w:spacing w:after="0" w:line="342" w:lineRule="auto"/>
        <w:rPr>
          <w:sz w:val="20"/>
          <w:szCs w:val="20"/>
          <w:color w:val="auto"/>
        </w:rPr>
      </w:pPr>
      <w:r>
        <w:rPr>
          <w:rFonts w:ascii="Arial" w:cs="Arial" w:eastAsia="Arial" w:hAnsi="Arial"/>
          <w:sz w:val="16"/>
          <w:szCs w:val="16"/>
          <w:color w:val="FF0000"/>
          <w:strike w:val="1"/>
        </w:rPr>
        <w:t xml:space="preserve">For purposes of determining compliance with </w:t>
      </w:r>
      <w:r>
        <w:rPr>
          <w:rFonts w:ascii="Arial" w:cs="Arial" w:eastAsia="Arial" w:hAnsi="Arial"/>
          <w:sz w:val="16"/>
          <w:szCs w:val="16"/>
          <w:u w:val="single" w:color="auto"/>
          <w:color w:val="FF0000"/>
          <w:strike w:val="1"/>
        </w:rPr>
        <w:t>Section 8.01</w:t>
      </w:r>
      <w:r>
        <w:rPr>
          <w:rFonts w:ascii="Arial" w:cs="Arial" w:eastAsia="Arial" w:hAnsi="Arial"/>
          <w:sz w:val="16"/>
          <w:szCs w:val="16"/>
          <w:color w:val="FF0000"/>
          <w:strike w:val="1"/>
        </w:rPr>
        <w:t>, the U.S. dollar-equivalent amount of cash collateral or Indebtedness denominated in a foreign currency shall be calculated based on the relevant currency exchange rate in effect on the date such cash collateral was granted, or on the date such Indebtedness was incurred, in the case of term debt, or first committed, in the case of revolving credit debt.</w:t>
      </w:r>
    </w:p>
    <w:p>
      <w:pPr>
        <w:spacing w:after="0" w:line="145" w:lineRule="exact"/>
        <w:rPr>
          <w:sz w:val="20"/>
          <w:szCs w:val="20"/>
          <w:color w:val="auto"/>
        </w:rPr>
      </w:pPr>
    </w:p>
    <w:p>
      <w:pPr>
        <w:ind w:left="660"/>
        <w:spacing w:after="0"/>
        <w:tabs>
          <w:tab w:leader="none" w:pos="1160" w:val="left"/>
        </w:tabs>
        <w:rPr>
          <w:sz w:val="20"/>
          <w:szCs w:val="20"/>
          <w:color w:val="auto"/>
        </w:rPr>
      </w:pPr>
      <w:r>
        <w:rPr>
          <w:rFonts w:ascii="Arial" w:cs="Arial" w:eastAsia="Arial" w:hAnsi="Arial"/>
          <w:sz w:val="20"/>
          <w:szCs w:val="20"/>
          <w:color w:val="auto"/>
        </w:rPr>
        <w:t>8.02</w:t>
      </w:r>
      <w:r>
        <w:rPr>
          <w:sz w:val="20"/>
          <w:szCs w:val="20"/>
          <w:color w:val="auto"/>
        </w:rPr>
        <w:tab/>
      </w:r>
      <w:r>
        <w:rPr>
          <w:rFonts w:ascii="Arial" w:cs="Arial" w:eastAsia="Arial" w:hAnsi="Arial"/>
          <w:sz w:val="16"/>
          <w:szCs w:val="16"/>
          <w:u w:val="single" w:color="auto"/>
          <w:color w:val="auto"/>
        </w:rPr>
        <w:t>Investments</w:t>
      </w:r>
      <w:r>
        <w:rPr>
          <w:rFonts w:ascii="Arial" w:cs="Arial" w:eastAsia="Arial" w:hAnsi="Arial"/>
          <w:sz w:val="16"/>
          <w:szCs w:val="16"/>
          <w:color w:val="auto"/>
        </w:rPr>
        <w:t>. Make or permit to exist any Investments, except:</w:t>
      </w:r>
    </w:p>
    <w:p>
      <w:pPr>
        <w:spacing w:after="0" w:line="270" w:lineRule="exact"/>
        <w:rPr>
          <w:sz w:val="20"/>
          <w:szCs w:val="20"/>
          <w:color w:val="auto"/>
        </w:rPr>
      </w:pPr>
    </w:p>
    <w:p>
      <w:pPr>
        <w:ind w:left="1700" w:hanging="395"/>
        <w:spacing w:after="0"/>
        <w:tabs>
          <w:tab w:leader="none" w:pos="1700" w:val="left"/>
        </w:tabs>
        <w:numPr>
          <w:ilvl w:val="0"/>
          <w:numId w:val="221"/>
        </w:numPr>
        <w:rPr>
          <w:rFonts w:ascii="Arial" w:cs="Arial" w:eastAsia="Arial" w:hAnsi="Arial"/>
          <w:sz w:val="20"/>
          <w:szCs w:val="20"/>
          <w:color w:val="auto"/>
        </w:rPr>
      </w:pPr>
      <w:r>
        <w:rPr>
          <w:rFonts w:ascii="Arial" w:cs="Arial" w:eastAsia="Arial" w:hAnsi="Arial"/>
          <w:sz w:val="20"/>
          <w:szCs w:val="20"/>
          <w:color w:val="auto"/>
        </w:rPr>
        <w:t>Investments in cash and Cash Equivalents;</w:t>
      </w:r>
    </w:p>
    <w:p>
      <w:pPr>
        <w:spacing w:after="0" w:line="269" w:lineRule="exact"/>
        <w:rPr>
          <w:rFonts w:ascii="Arial" w:cs="Arial" w:eastAsia="Arial" w:hAnsi="Arial"/>
          <w:sz w:val="20"/>
          <w:szCs w:val="20"/>
          <w:color w:val="auto"/>
        </w:rPr>
      </w:pPr>
    </w:p>
    <w:p>
      <w:pPr>
        <w:ind w:left="1720" w:hanging="415"/>
        <w:spacing w:after="0"/>
        <w:tabs>
          <w:tab w:leader="none" w:pos="1720" w:val="left"/>
        </w:tabs>
        <w:numPr>
          <w:ilvl w:val="0"/>
          <w:numId w:val="221"/>
        </w:numPr>
        <w:rPr>
          <w:rFonts w:ascii="Arial" w:cs="Arial" w:eastAsia="Arial" w:hAnsi="Arial"/>
          <w:sz w:val="18"/>
          <w:szCs w:val="18"/>
          <w:color w:val="auto"/>
        </w:rPr>
      </w:pPr>
      <w:r>
        <w:rPr>
          <w:rFonts w:ascii="Arial" w:cs="Arial" w:eastAsia="Arial" w:hAnsi="Arial"/>
          <w:sz w:val="18"/>
          <w:szCs w:val="18"/>
          <w:color w:val="auto"/>
        </w:rPr>
        <w:t xml:space="preserve">Investments (including intercompany Investments) existing on the </w:t>
      </w:r>
      <w:r>
        <w:rPr>
          <w:rFonts w:ascii="Arial" w:cs="Arial" w:eastAsia="Arial" w:hAnsi="Arial"/>
          <w:sz w:val="18"/>
          <w:szCs w:val="18"/>
          <w:color w:val="FF0000"/>
          <w:strike w:val="1"/>
        </w:rPr>
        <w:t>date hereof</w:t>
      </w:r>
      <w:r>
        <w:rPr>
          <w:rFonts w:ascii="Arial" w:cs="Arial" w:eastAsia="Arial" w:hAnsi="Arial"/>
          <w:sz w:val="18"/>
          <w:szCs w:val="18"/>
          <w:u w:val="single" w:color="auto"/>
          <w:color w:val="0000FF"/>
        </w:rPr>
        <w:t>Amendment No. 1 Effective Date</w:t>
      </w:r>
      <w:r>
        <w:rPr>
          <w:rFonts w:ascii="Arial" w:cs="Arial" w:eastAsia="Arial" w:hAnsi="Arial"/>
          <w:sz w:val="18"/>
          <w:szCs w:val="18"/>
          <w:color w:val="auto"/>
        </w:rPr>
        <w:t xml:space="preserve"> and listed</w:t>
      </w:r>
    </w:p>
    <w:p>
      <w:pPr>
        <w:spacing w:after="0" w:line="76" w:lineRule="exact"/>
        <w:rPr>
          <w:rFonts w:ascii="Arial" w:cs="Arial" w:eastAsia="Arial" w:hAnsi="Arial"/>
          <w:sz w:val="18"/>
          <w:szCs w:val="18"/>
          <w:color w:val="auto"/>
        </w:rPr>
      </w:pPr>
    </w:p>
    <w:p>
      <w:pPr>
        <w:ind w:left="660" w:right="20"/>
        <w:spacing w:after="0" w:line="292" w:lineRule="auto"/>
        <w:rPr>
          <w:rFonts w:ascii="Arial" w:cs="Arial" w:eastAsia="Arial" w:hAnsi="Arial"/>
          <w:sz w:val="18"/>
          <w:szCs w:val="18"/>
          <w:color w:val="auto"/>
        </w:rPr>
      </w:pPr>
      <w:r>
        <w:rPr>
          <w:rFonts w:ascii="Arial" w:cs="Arial" w:eastAsia="Arial" w:hAnsi="Arial"/>
          <w:sz w:val="20"/>
          <w:szCs w:val="20"/>
          <w:color w:val="auto"/>
        </w:rPr>
        <w:t xml:space="preserve">on </w:t>
      </w:r>
      <w:r>
        <w:rPr>
          <w:rFonts w:ascii="Arial" w:cs="Arial" w:eastAsia="Arial" w:hAnsi="Arial"/>
          <w:sz w:val="20"/>
          <w:szCs w:val="20"/>
          <w:u w:val="single" w:color="auto"/>
          <w:color w:val="auto"/>
        </w:rPr>
        <w:t>Schedule 8.02</w:t>
      </w:r>
      <w:r>
        <w:rPr>
          <w:rFonts w:ascii="Arial" w:cs="Arial" w:eastAsia="Arial" w:hAnsi="Arial"/>
          <w:sz w:val="20"/>
          <w:szCs w:val="20"/>
          <w:color w:val="auto"/>
        </w:rPr>
        <w:t>, and extensions, renewals and, in the case of loans and advances, refinancings thereof, so long as no such extension, renewal or refinancing results in any increase in the principal amount thereof</w:t>
      </w:r>
      <w:r>
        <w:rPr>
          <w:rFonts w:ascii="Arial" w:cs="Arial" w:eastAsia="Arial" w:hAnsi="Arial"/>
          <w:sz w:val="20"/>
          <w:szCs w:val="20"/>
          <w:color w:val="FF0000"/>
          <w:strike w:val="1"/>
        </w:rPr>
        <w:t>, except for amounts referenced in clauses (i), (ii) and (iii)</w:t>
      </w:r>
      <w:r>
        <w:rPr>
          <w:rFonts w:ascii="Arial" w:cs="Arial" w:eastAsia="Arial" w:hAnsi="Arial"/>
          <w:sz w:val="20"/>
          <w:szCs w:val="20"/>
          <w:color w:val="auto"/>
        </w:rPr>
        <w:t xml:space="preserve"> </w:t>
      </w:r>
      <w:r>
        <w:rPr>
          <w:rFonts w:ascii="Arial" w:cs="Arial" w:eastAsia="Arial" w:hAnsi="Arial"/>
          <w:sz w:val="20"/>
          <w:szCs w:val="20"/>
          <w:color w:val="FF0000"/>
          <w:strike w:val="1"/>
        </w:rPr>
        <w:t>of the proviso in the next-to-last paragraph of this</w:t>
      </w:r>
      <w:r>
        <w:rPr>
          <w:rFonts w:ascii="Arial" w:cs="Arial" w:eastAsia="Arial" w:hAnsi="Arial"/>
          <w:sz w:val="20"/>
          <w:szCs w:val="20"/>
          <w:color w:val="FF0000"/>
        </w:rPr>
        <w:t xml:space="preserve"> </w:t>
      </w:r>
      <w:r>
        <w:rPr>
          <w:rFonts w:ascii="Arial" w:cs="Arial" w:eastAsia="Arial" w:hAnsi="Arial"/>
          <w:sz w:val="20"/>
          <w:szCs w:val="20"/>
          <w:u w:val="single" w:color="auto"/>
          <w:color w:val="FF0000"/>
          <w:strike w:val="1"/>
        </w:rPr>
        <w:t>Section 8.02</w:t>
      </w:r>
      <w:r>
        <w:rPr>
          <w:rFonts w:ascii="Arial" w:cs="Arial" w:eastAsia="Arial" w:hAnsi="Arial"/>
          <w:sz w:val="20"/>
          <w:szCs w:val="20"/>
          <w:color w:val="000000"/>
        </w:rPr>
        <w:t>;</w:t>
      </w:r>
    </w:p>
    <w:p>
      <w:pPr>
        <w:spacing w:after="0" w:line="186" w:lineRule="exact"/>
        <w:rPr>
          <w:rFonts w:ascii="Arial" w:cs="Arial" w:eastAsia="Arial" w:hAnsi="Arial"/>
          <w:sz w:val="18"/>
          <w:szCs w:val="18"/>
          <w:color w:val="auto"/>
        </w:rPr>
      </w:pPr>
    </w:p>
    <w:p>
      <w:pPr>
        <w:ind w:left="1700" w:hanging="395"/>
        <w:spacing w:after="0"/>
        <w:tabs>
          <w:tab w:leader="none" w:pos="1700" w:val="left"/>
        </w:tabs>
        <w:numPr>
          <w:ilvl w:val="0"/>
          <w:numId w:val="221"/>
        </w:numPr>
        <w:rPr>
          <w:rFonts w:ascii="Arial" w:cs="Arial" w:eastAsia="Arial" w:hAnsi="Arial"/>
          <w:sz w:val="18"/>
          <w:szCs w:val="18"/>
          <w:color w:val="auto"/>
        </w:rPr>
      </w:pPr>
      <w:r>
        <w:rPr>
          <w:rFonts w:ascii="Arial" w:cs="Arial" w:eastAsia="Arial" w:hAnsi="Arial"/>
          <w:sz w:val="18"/>
          <w:szCs w:val="18"/>
          <w:color w:val="auto"/>
        </w:rPr>
        <w:t>Investments, to the extent not prohibited by applicable Law, consisting of payroll advances or other advances to officers,</w:t>
      </w:r>
    </w:p>
    <w:p>
      <w:pPr>
        <w:spacing w:after="0" w:line="76" w:lineRule="exact"/>
        <w:rPr>
          <w:rFonts w:ascii="Arial" w:cs="Arial" w:eastAsia="Arial" w:hAnsi="Arial"/>
          <w:sz w:val="18"/>
          <w:szCs w:val="18"/>
          <w:color w:val="auto"/>
        </w:rPr>
      </w:pPr>
    </w:p>
    <w:p>
      <w:pPr>
        <w:ind w:left="660" w:right="140"/>
        <w:spacing w:after="0" w:line="331" w:lineRule="auto"/>
        <w:rPr>
          <w:rFonts w:ascii="Arial" w:cs="Arial" w:eastAsia="Arial" w:hAnsi="Arial"/>
          <w:sz w:val="18"/>
          <w:szCs w:val="18"/>
          <w:color w:val="auto"/>
        </w:rPr>
      </w:pPr>
      <w:r>
        <w:rPr>
          <w:rFonts w:ascii="Arial" w:cs="Arial" w:eastAsia="Arial" w:hAnsi="Arial"/>
          <w:sz w:val="19"/>
          <w:szCs w:val="19"/>
          <w:color w:val="auto"/>
        </w:rPr>
        <w:t>directors, managers, consultants and employees of the members of the Consolidated Group in an aggregate amount not to exceed $</w:t>
      </w:r>
      <w:r>
        <w:rPr>
          <w:rFonts w:ascii="Arial" w:cs="Arial" w:eastAsia="Arial" w:hAnsi="Arial"/>
          <w:sz w:val="19"/>
          <w:szCs w:val="19"/>
          <w:color w:val="FF0000"/>
          <w:strike w:val="1"/>
        </w:rPr>
        <w:t>2</w:t>
      </w:r>
      <w:r>
        <w:rPr>
          <w:rFonts w:ascii="Arial" w:cs="Arial" w:eastAsia="Arial" w:hAnsi="Arial"/>
          <w:sz w:val="19"/>
          <w:szCs w:val="19"/>
          <w:u w:val="single" w:color="auto"/>
          <w:color w:val="0000FF"/>
        </w:rPr>
        <w:t>5</w:t>
      </w:r>
      <w:r>
        <w:rPr>
          <w:rFonts w:ascii="Arial" w:cs="Arial" w:eastAsia="Arial" w:hAnsi="Arial"/>
          <w:sz w:val="19"/>
          <w:szCs w:val="19"/>
          <w:color w:val="auto"/>
        </w:rPr>
        <w:t xml:space="preserve"> million at any time outstanding, for travel, entertainment, relocation and analogous ordinary business purposes;</w:t>
      </w:r>
    </w:p>
    <w:p>
      <w:pPr>
        <w:spacing w:after="0" w:line="153" w:lineRule="exact"/>
        <w:rPr>
          <w:rFonts w:ascii="Arial" w:cs="Arial" w:eastAsia="Arial" w:hAnsi="Arial"/>
          <w:sz w:val="18"/>
          <w:szCs w:val="18"/>
          <w:color w:val="auto"/>
        </w:rPr>
      </w:pPr>
    </w:p>
    <w:p>
      <w:pPr>
        <w:ind w:left="1720" w:hanging="415"/>
        <w:spacing w:after="0"/>
        <w:tabs>
          <w:tab w:leader="none" w:pos="1720" w:val="left"/>
        </w:tabs>
        <w:numPr>
          <w:ilvl w:val="0"/>
          <w:numId w:val="221"/>
        </w:numPr>
        <w:rPr>
          <w:rFonts w:ascii="Arial" w:cs="Arial" w:eastAsia="Arial" w:hAnsi="Arial"/>
          <w:sz w:val="18"/>
          <w:szCs w:val="18"/>
          <w:color w:val="auto"/>
        </w:rPr>
      </w:pPr>
      <w:r>
        <w:rPr>
          <w:rFonts w:ascii="Arial" w:cs="Arial" w:eastAsia="Arial" w:hAnsi="Arial"/>
          <w:sz w:val="18"/>
          <w:szCs w:val="18"/>
          <w:color w:val="auto"/>
        </w:rPr>
        <w:t>Investments consisting of extensions of credit in the nature of accounts receivable or notes receivable arising from the</w:t>
      </w:r>
    </w:p>
    <w:p>
      <w:pPr>
        <w:spacing w:after="0" w:line="76" w:lineRule="exact"/>
        <w:rPr>
          <w:rFonts w:ascii="Arial" w:cs="Arial" w:eastAsia="Arial" w:hAnsi="Arial"/>
          <w:sz w:val="18"/>
          <w:szCs w:val="18"/>
          <w:color w:val="auto"/>
        </w:rPr>
      </w:pPr>
    </w:p>
    <w:p>
      <w:pPr>
        <w:ind w:left="660" w:right="400"/>
        <w:spacing w:after="0" w:line="331" w:lineRule="auto"/>
        <w:rPr>
          <w:rFonts w:ascii="Arial" w:cs="Arial" w:eastAsia="Arial" w:hAnsi="Arial"/>
          <w:sz w:val="18"/>
          <w:szCs w:val="18"/>
          <w:color w:val="auto"/>
        </w:rPr>
      </w:pPr>
      <w:r>
        <w:rPr>
          <w:rFonts w:ascii="Arial" w:cs="Arial" w:eastAsia="Arial" w:hAnsi="Arial"/>
          <w:sz w:val="19"/>
          <w:szCs w:val="19"/>
          <w:color w:val="auto"/>
        </w:rPr>
        <w:t>grant of trade credit in the ordinary course of business, and Investments received in satisfaction or partial satisfaction thereof from financially troubled account debtors to the extent reasonably necessary in order to prevent or limit loss;</w:t>
      </w:r>
    </w:p>
    <w:p>
      <w:pPr>
        <w:spacing w:after="0" w:line="153" w:lineRule="exact"/>
        <w:rPr>
          <w:rFonts w:ascii="Arial" w:cs="Arial" w:eastAsia="Arial" w:hAnsi="Arial"/>
          <w:sz w:val="18"/>
          <w:szCs w:val="18"/>
          <w:color w:val="auto"/>
        </w:rPr>
      </w:pPr>
    </w:p>
    <w:p>
      <w:pPr>
        <w:ind w:left="1700" w:hanging="395"/>
        <w:spacing w:after="0"/>
        <w:tabs>
          <w:tab w:leader="none" w:pos="1700" w:val="left"/>
        </w:tabs>
        <w:numPr>
          <w:ilvl w:val="0"/>
          <w:numId w:val="221"/>
        </w:numPr>
        <w:rPr>
          <w:rFonts w:ascii="Arial" w:cs="Arial" w:eastAsia="Arial" w:hAnsi="Arial"/>
          <w:sz w:val="20"/>
          <w:szCs w:val="20"/>
          <w:color w:val="auto"/>
        </w:rPr>
      </w:pPr>
      <w:r>
        <w:rPr>
          <w:rFonts w:ascii="Arial" w:cs="Arial" w:eastAsia="Arial" w:hAnsi="Arial"/>
          <w:sz w:val="20"/>
          <w:szCs w:val="20"/>
          <w:color w:val="auto"/>
        </w:rPr>
        <w:t>Investments by members of the Consolidated Group in and to:</w:t>
      </w:r>
    </w:p>
    <w:p>
      <w:pPr>
        <w:spacing w:after="0" w:line="283" w:lineRule="exact"/>
        <w:rPr>
          <w:rFonts w:ascii="Arial" w:cs="Arial" w:eastAsia="Arial" w:hAnsi="Arial"/>
          <w:sz w:val="20"/>
          <w:szCs w:val="20"/>
          <w:color w:val="auto"/>
        </w:rPr>
      </w:pPr>
    </w:p>
    <w:p>
      <w:pPr>
        <w:ind w:left="1300" w:right="180" w:firstLine="653"/>
        <w:spacing w:after="0" w:line="321" w:lineRule="auto"/>
        <w:tabs>
          <w:tab w:leader="none" w:pos="2332" w:val="left"/>
        </w:tabs>
        <w:numPr>
          <w:ilvl w:val="1"/>
          <w:numId w:val="221"/>
        </w:numPr>
        <w:rPr>
          <w:rFonts w:ascii="Arial" w:cs="Arial" w:eastAsia="Arial" w:hAnsi="Arial"/>
          <w:sz w:val="22"/>
          <w:szCs w:val="22"/>
          <w:color w:val="auto"/>
        </w:rPr>
      </w:pPr>
      <w:r>
        <w:rPr>
          <w:rFonts w:ascii="Arial" w:cs="Arial" w:eastAsia="Arial" w:hAnsi="Arial"/>
          <w:sz w:val="20"/>
          <w:szCs w:val="20"/>
          <w:color w:val="auto"/>
        </w:rPr>
        <w:t>EWI and its wholly-owned Subsidiaries (including Persons that would be wholly-owned Subsidiaries following such Investment) that are organized under the laws of an Approved Jurisdiction, without limit;</w:t>
      </w:r>
    </w:p>
    <w:p>
      <w:pPr>
        <w:spacing w:after="0" w:line="380" w:lineRule="exact"/>
        <w:rPr>
          <w:sz w:val="20"/>
          <w:szCs w:val="20"/>
          <w:color w:val="auto"/>
        </w:rPr>
      </w:pPr>
    </w:p>
    <w:p>
      <w:pPr>
        <w:jc w:val="center"/>
        <w:ind w:right="-59"/>
        <w:spacing w:after="0"/>
        <w:rPr>
          <w:sz w:val="20"/>
          <w:szCs w:val="20"/>
          <w:color w:val="auto"/>
        </w:rPr>
      </w:pPr>
      <w:r>
        <w:rPr>
          <w:rFonts w:ascii="Arial" w:cs="Arial" w:eastAsia="Arial" w:hAnsi="Arial"/>
          <w:sz w:val="20"/>
          <w:szCs w:val="20"/>
          <w:color w:val="auto"/>
        </w:rPr>
        <w:t>158</w:t>
      </w:r>
    </w:p>
    <w:p>
      <w:pPr>
        <w:spacing w:after="0" w:line="10" w:lineRule="exact"/>
        <w:rPr>
          <w:sz w:val="20"/>
          <w:szCs w:val="20"/>
          <w:color w:val="auto"/>
        </w:rPr>
      </w:pPr>
    </w:p>
    <w:p>
      <w:pPr>
        <w:spacing w:after="0"/>
        <w:rPr>
          <w:sz w:val="20"/>
          <w:szCs w:val="20"/>
          <w:color w:val="auto"/>
        </w:rPr>
      </w:pPr>
      <w:r>
        <w:rPr>
          <w:rFonts w:ascii="Arial" w:cs="Arial" w:eastAsia="Arial" w:hAnsi="Arial"/>
          <w:sz w:val="14"/>
          <w:szCs w:val="14"/>
          <w:color w:val="auto"/>
        </w:rPr>
        <w:t>CHAR1\1346423v</w:t>
      </w:r>
      <w:r>
        <w:rPr>
          <w:rFonts w:ascii="Arial" w:cs="Arial" w:eastAsia="Arial" w:hAnsi="Arial"/>
          <w:sz w:val="14"/>
          <w:szCs w:val="14"/>
          <w:color w:val="FF0000"/>
          <w:strike w:val="1"/>
        </w:rPr>
        <w:t>1</w:t>
      </w:r>
      <w:r>
        <w:rPr>
          <w:rFonts w:ascii="Arial" w:cs="Arial" w:eastAsia="Arial" w:hAnsi="Arial"/>
          <w:sz w:val="14"/>
          <w:szCs w:val="14"/>
          <w:u w:val="single" w:color="auto"/>
          <w:color w:val="0000FF"/>
        </w:rPr>
        <w:t>12</w:t>
      </w:r>
    </w:p>
    <w:p>
      <w:pPr>
        <w:sectPr>
          <w:pgSz w:w="11900" w:h="16838" w:orient="portrait"/>
          <w:cols w:equalWidth="0" w:num="1">
            <w:col w:w="11360"/>
          </w:cols>
          <w:pgMar w:left="240" w:top="609" w:right="299" w:bottom="1440" w:gutter="0" w:footer="0" w:header="0"/>
        </w:sectPr>
      </w:pPr>
    </w:p>
    <w:bookmarkStart w:id="210" w:name="page211"/>
    <w:bookmarkEnd w:id="210"/>
    <w:p>
      <w:pPr>
        <w:ind w:left="1300" w:right="300" w:firstLine="653"/>
        <w:spacing w:after="0" w:line="321" w:lineRule="auto"/>
        <w:tabs>
          <w:tab w:leader="none" w:pos="2392" w:val="left"/>
        </w:tabs>
        <w:numPr>
          <w:ilvl w:val="1"/>
          <w:numId w:val="222"/>
        </w:numPr>
        <w:rPr>
          <w:rFonts w:ascii="Arial" w:cs="Arial" w:eastAsia="Arial" w:hAnsi="Arial"/>
          <w:sz w:val="22"/>
          <w:szCs w:val="22"/>
          <w:color w:val="auto"/>
        </w:rPr>
      </w:pPr>
      <w:r>
        <w:rPr>
          <w:rFonts w:ascii="Arial" w:cs="Arial" w:eastAsia="Arial" w:hAnsi="Arial"/>
          <w:sz w:val="20"/>
          <w:szCs w:val="20"/>
          <w:color w:val="auto"/>
        </w:rPr>
        <w:t>non-wholly-owned Subsidiaries that are organized under the laws of an Approved Jurisdiction in an aggregate principal amount not to exceed $50 million at any time;</w:t>
      </w:r>
    </w:p>
    <w:p>
      <w:pPr>
        <w:spacing w:after="0" w:line="177" w:lineRule="exact"/>
        <w:rPr>
          <w:rFonts w:ascii="Arial" w:cs="Arial" w:eastAsia="Arial" w:hAnsi="Arial"/>
          <w:sz w:val="22"/>
          <w:szCs w:val="22"/>
          <w:color w:val="auto"/>
        </w:rPr>
      </w:pPr>
    </w:p>
    <w:p>
      <w:pPr>
        <w:ind w:left="1300" w:firstLine="653"/>
        <w:spacing w:after="0" w:line="321" w:lineRule="auto"/>
        <w:tabs>
          <w:tab w:leader="none" w:pos="2452" w:val="left"/>
        </w:tabs>
        <w:numPr>
          <w:ilvl w:val="1"/>
          <w:numId w:val="222"/>
        </w:numPr>
        <w:rPr>
          <w:rFonts w:ascii="Arial" w:cs="Arial" w:eastAsia="Arial" w:hAnsi="Arial"/>
          <w:sz w:val="22"/>
          <w:szCs w:val="22"/>
          <w:color w:val="auto"/>
        </w:rPr>
      </w:pPr>
      <w:r>
        <w:rPr>
          <w:rFonts w:ascii="Arial" w:cs="Arial" w:eastAsia="Arial" w:hAnsi="Arial"/>
          <w:sz w:val="20"/>
          <w:szCs w:val="20"/>
          <w:color w:val="auto"/>
        </w:rPr>
        <w:t>Subsidiaries that are not organized under the laws of an Approved Jurisdiction (other than China), whether or not wholly-owned, in an aggregate principal amount not to exceed $50 million at any time; and</w:t>
      </w:r>
    </w:p>
    <w:p>
      <w:pPr>
        <w:spacing w:after="0" w:line="177" w:lineRule="exact"/>
        <w:rPr>
          <w:rFonts w:ascii="Arial" w:cs="Arial" w:eastAsia="Arial" w:hAnsi="Arial"/>
          <w:sz w:val="22"/>
          <w:szCs w:val="22"/>
          <w:color w:val="auto"/>
        </w:rPr>
      </w:pPr>
    </w:p>
    <w:p>
      <w:pPr>
        <w:ind w:left="1300" w:right="180" w:firstLine="653"/>
        <w:spacing w:after="0" w:line="333" w:lineRule="auto"/>
        <w:tabs>
          <w:tab w:leader="none" w:pos="2440" w:val="left"/>
        </w:tabs>
        <w:numPr>
          <w:ilvl w:val="1"/>
          <w:numId w:val="222"/>
        </w:numPr>
        <w:rPr>
          <w:rFonts w:ascii="Arial" w:cs="Arial" w:eastAsia="Arial" w:hAnsi="Arial"/>
          <w:sz w:val="21"/>
          <w:szCs w:val="21"/>
          <w:color w:val="auto"/>
        </w:rPr>
      </w:pPr>
      <w:r>
        <w:rPr>
          <w:rFonts w:ascii="Arial" w:cs="Arial" w:eastAsia="Arial" w:hAnsi="Arial"/>
          <w:sz w:val="19"/>
          <w:szCs w:val="19"/>
          <w:color w:val="auto"/>
        </w:rPr>
        <w:t xml:space="preserve">Subsidiaries that are organized under the laws of the Peoples Republic of China, whether or not wholly-owned, in an aggregate principal amount not to exceed an amount at any time equal to the remainder of $50 million minus the aggregate amount of Indebtedness outstanding under </w:t>
      </w:r>
      <w:r>
        <w:rPr>
          <w:rFonts w:ascii="Arial" w:cs="Arial" w:eastAsia="Arial" w:hAnsi="Arial"/>
          <w:sz w:val="19"/>
          <w:szCs w:val="19"/>
          <w:u w:val="single" w:color="auto"/>
          <w:color w:val="auto"/>
        </w:rPr>
        <w:t>Sections 8.03(d)(ii)(A)</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8.03(q)(iii)</w:t>
      </w:r>
      <w:r>
        <w:rPr>
          <w:rFonts w:ascii="Arial" w:cs="Arial" w:eastAsia="Arial" w:hAnsi="Arial"/>
          <w:sz w:val="19"/>
          <w:szCs w:val="19"/>
          <w:color w:val="auto"/>
        </w:rPr>
        <w:t>;</w:t>
      </w:r>
    </w:p>
    <w:p>
      <w:pPr>
        <w:spacing w:after="0" w:line="166" w:lineRule="exact"/>
        <w:rPr>
          <w:rFonts w:ascii="Arial" w:cs="Arial" w:eastAsia="Arial" w:hAnsi="Arial"/>
          <w:sz w:val="21"/>
          <w:szCs w:val="21"/>
          <w:color w:val="auto"/>
        </w:rPr>
      </w:pPr>
    </w:p>
    <w:p>
      <w:pPr>
        <w:ind w:left="1680" w:hanging="375"/>
        <w:spacing w:after="0"/>
        <w:tabs>
          <w:tab w:leader="none" w:pos="1680" w:val="left"/>
        </w:tabs>
        <w:numPr>
          <w:ilvl w:val="0"/>
          <w:numId w:val="223"/>
        </w:numPr>
        <w:rPr>
          <w:rFonts w:ascii="Arial" w:cs="Arial" w:eastAsia="Arial" w:hAnsi="Arial"/>
          <w:sz w:val="20"/>
          <w:szCs w:val="20"/>
          <w:color w:val="auto"/>
        </w:rPr>
      </w:pPr>
      <w:r>
        <w:rPr>
          <w:rFonts w:ascii="Arial" w:cs="Arial" w:eastAsia="Arial" w:hAnsi="Arial"/>
          <w:sz w:val="20"/>
          <w:szCs w:val="20"/>
          <w:color w:val="auto"/>
        </w:rPr>
        <w:t xml:space="preserve">Investments resulting from Support Obligations permitted by </w:t>
      </w:r>
      <w:r>
        <w:rPr>
          <w:rFonts w:ascii="Arial" w:cs="Arial" w:eastAsia="Arial" w:hAnsi="Arial"/>
          <w:sz w:val="20"/>
          <w:szCs w:val="20"/>
          <w:u w:val="single" w:color="auto"/>
          <w:color w:val="auto"/>
        </w:rPr>
        <w:t>Section 8.03(m)</w:t>
      </w:r>
      <w:r>
        <w:rPr>
          <w:rFonts w:ascii="Arial" w:cs="Arial" w:eastAsia="Arial" w:hAnsi="Arial"/>
          <w:sz w:val="20"/>
          <w:szCs w:val="20"/>
          <w:color w:val="auto"/>
        </w:rPr>
        <w:t>;</w:t>
      </w:r>
    </w:p>
    <w:p>
      <w:pPr>
        <w:spacing w:after="0" w:line="269" w:lineRule="exact"/>
        <w:rPr>
          <w:rFonts w:ascii="Arial" w:cs="Arial" w:eastAsia="Arial" w:hAnsi="Arial"/>
          <w:sz w:val="20"/>
          <w:szCs w:val="20"/>
          <w:color w:val="auto"/>
        </w:rPr>
      </w:pPr>
    </w:p>
    <w:p>
      <w:pPr>
        <w:ind w:left="1720" w:hanging="415"/>
        <w:spacing w:after="0"/>
        <w:tabs>
          <w:tab w:leader="none" w:pos="1720" w:val="left"/>
        </w:tabs>
        <w:numPr>
          <w:ilvl w:val="0"/>
          <w:numId w:val="223"/>
        </w:numPr>
        <w:rPr>
          <w:rFonts w:ascii="Arial" w:cs="Arial" w:eastAsia="Arial" w:hAnsi="Arial"/>
          <w:sz w:val="18"/>
          <w:szCs w:val="18"/>
          <w:color w:val="auto"/>
        </w:rPr>
      </w:pPr>
      <w:r>
        <w:rPr>
          <w:rFonts w:ascii="Arial" w:cs="Arial" w:eastAsia="Arial" w:hAnsi="Arial"/>
          <w:sz w:val="18"/>
          <w:szCs w:val="18"/>
          <w:color w:val="auto"/>
        </w:rPr>
        <w:t>Investments made as part of, or acquired as a result of, Permitted Acquisitions, and extensions, renewals and, in the case</w:t>
      </w:r>
    </w:p>
    <w:p>
      <w:pPr>
        <w:spacing w:after="0" w:line="76" w:lineRule="exact"/>
        <w:rPr>
          <w:rFonts w:ascii="Arial" w:cs="Arial" w:eastAsia="Arial" w:hAnsi="Arial"/>
          <w:sz w:val="18"/>
          <w:szCs w:val="18"/>
          <w:color w:val="auto"/>
        </w:rPr>
      </w:pPr>
    </w:p>
    <w:p>
      <w:pPr>
        <w:ind w:left="660" w:right="80"/>
        <w:spacing w:after="0" w:line="288" w:lineRule="auto"/>
        <w:rPr>
          <w:rFonts w:ascii="Arial" w:cs="Arial" w:eastAsia="Arial" w:hAnsi="Arial"/>
          <w:sz w:val="18"/>
          <w:szCs w:val="18"/>
          <w:color w:val="auto"/>
        </w:rPr>
      </w:pPr>
      <w:r>
        <w:rPr>
          <w:rFonts w:ascii="Arial" w:cs="Arial" w:eastAsia="Arial" w:hAnsi="Arial"/>
          <w:sz w:val="20"/>
          <w:szCs w:val="20"/>
          <w:color w:val="auto"/>
        </w:rPr>
        <w:t xml:space="preserve">of loans and advances a part thereof, refinancings thereof, so long as in such case the refinancing is between the same parties and otherwise complies with the requirements hereunder, including the provisions of </w:t>
      </w:r>
      <w:r>
        <w:rPr>
          <w:rFonts w:ascii="Arial" w:cs="Arial" w:eastAsia="Arial" w:hAnsi="Arial"/>
          <w:sz w:val="20"/>
          <w:szCs w:val="20"/>
          <w:u w:val="single" w:color="auto"/>
          <w:color w:val="auto"/>
        </w:rPr>
        <w:t>Section 8.08</w:t>
      </w:r>
      <w:r>
        <w:rPr>
          <w:rFonts w:ascii="Arial" w:cs="Arial" w:eastAsia="Arial" w:hAnsi="Arial"/>
          <w:sz w:val="20"/>
          <w:szCs w:val="20"/>
          <w:color w:val="auto"/>
        </w:rPr>
        <w:t xml:space="preserve"> and so long as no such extension, renewal or refinancing results in any increase in the principal amount thereof, except for amounts referenced in clauses (i), (ii) and (iii) of the proviso in the next-to-last paragraph of this </w:t>
      </w:r>
      <w:r>
        <w:rPr>
          <w:rFonts w:ascii="Arial" w:cs="Arial" w:eastAsia="Arial" w:hAnsi="Arial"/>
          <w:sz w:val="20"/>
          <w:szCs w:val="20"/>
          <w:u w:val="single" w:color="auto"/>
          <w:color w:val="auto"/>
        </w:rPr>
        <w:t>Section 8.02</w:t>
      </w:r>
      <w:r>
        <w:rPr>
          <w:rFonts w:ascii="Arial" w:cs="Arial" w:eastAsia="Arial" w:hAnsi="Arial"/>
          <w:sz w:val="20"/>
          <w:szCs w:val="20"/>
          <w:color w:val="auto"/>
        </w:rPr>
        <w:t>;</w:t>
      </w:r>
    </w:p>
    <w:p>
      <w:pPr>
        <w:spacing w:after="0" w:line="192" w:lineRule="exact"/>
        <w:rPr>
          <w:rFonts w:ascii="Arial" w:cs="Arial" w:eastAsia="Arial" w:hAnsi="Arial"/>
          <w:sz w:val="18"/>
          <w:szCs w:val="18"/>
          <w:color w:val="auto"/>
        </w:rPr>
      </w:pPr>
    </w:p>
    <w:p>
      <w:pPr>
        <w:ind w:left="1720" w:hanging="415"/>
        <w:spacing w:after="0"/>
        <w:tabs>
          <w:tab w:leader="none" w:pos="1720" w:val="left"/>
        </w:tabs>
        <w:numPr>
          <w:ilvl w:val="0"/>
          <w:numId w:val="223"/>
        </w:numPr>
        <w:rPr>
          <w:rFonts w:ascii="Arial" w:cs="Arial" w:eastAsia="Arial" w:hAnsi="Arial"/>
          <w:sz w:val="18"/>
          <w:szCs w:val="18"/>
          <w:color w:val="auto"/>
        </w:rPr>
      </w:pPr>
      <w:r>
        <w:rPr>
          <w:rFonts w:ascii="Arial" w:cs="Arial" w:eastAsia="Arial" w:hAnsi="Arial"/>
          <w:sz w:val="18"/>
          <w:szCs w:val="18"/>
          <w:color w:val="auto"/>
        </w:rPr>
        <w:t>Investments in seller “take-back” notes and other non-cash consideration received in connection with a Disposition of</w:t>
      </w:r>
    </w:p>
    <w:p>
      <w:pPr>
        <w:spacing w:after="0" w:line="76" w:lineRule="exact"/>
        <w:rPr>
          <w:rFonts w:ascii="Arial" w:cs="Arial" w:eastAsia="Arial" w:hAnsi="Arial"/>
          <w:sz w:val="18"/>
          <w:szCs w:val="18"/>
          <w:color w:val="auto"/>
        </w:rPr>
      </w:pPr>
    </w:p>
    <w:p>
      <w:pPr>
        <w:ind w:left="660" w:right="100"/>
        <w:spacing w:after="0" w:line="303" w:lineRule="auto"/>
        <w:rPr>
          <w:rFonts w:ascii="Arial" w:cs="Arial" w:eastAsia="Arial" w:hAnsi="Arial"/>
          <w:sz w:val="18"/>
          <w:szCs w:val="18"/>
          <w:color w:val="auto"/>
        </w:rPr>
      </w:pPr>
      <w:r>
        <w:rPr>
          <w:rFonts w:ascii="Arial" w:cs="Arial" w:eastAsia="Arial" w:hAnsi="Arial"/>
          <w:sz w:val="20"/>
          <w:szCs w:val="20"/>
          <w:color w:val="auto"/>
        </w:rPr>
        <w:t>assets not prohibited by this Credit Agreement; provided that 75% of the aggregate amount of consideration given by the seller in such Disposition shall have cash or Cash Equivalents;</w:t>
      </w:r>
    </w:p>
    <w:p>
      <w:pPr>
        <w:spacing w:after="0" w:line="175" w:lineRule="exact"/>
        <w:rPr>
          <w:rFonts w:ascii="Arial" w:cs="Arial" w:eastAsia="Arial" w:hAnsi="Arial"/>
          <w:sz w:val="18"/>
          <w:szCs w:val="18"/>
          <w:color w:val="auto"/>
        </w:rPr>
      </w:pPr>
    </w:p>
    <w:p>
      <w:pPr>
        <w:ind w:left="660" w:right="380" w:firstLine="645"/>
        <w:spacing w:after="0" w:line="317" w:lineRule="auto"/>
        <w:tabs>
          <w:tab w:leader="none" w:pos="1675" w:val="left"/>
        </w:tabs>
        <w:numPr>
          <w:ilvl w:val="0"/>
          <w:numId w:val="223"/>
        </w:numPr>
        <w:rPr>
          <w:rFonts w:ascii="Arial" w:cs="Arial" w:eastAsia="Arial" w:hAnsi="Arial"/>
          <w:sz w:val="20"/>
          <w:szCs w:val="20"/>
          <w:color w:val="auto"/>
        </w:rPr>
      </w:pPr>
      <w:r>
        <w:rPr>
          <w:rFonts w:ascii="Arial" w:cs="Arial" w:eastAsia="Arial" w:hAnsi="Arial"/>
          <w:sz w:val="20"/>
          <w:szCs w:val="20"/>
          <w:color w:val="auto"/>
        </w:rPr>
        <w:t>Investments resulting from upfront payments, signing bonuses and similar payments to agents and guarantees of agent commissions, in each case in the ordinary course of business and consistent with past practice;</w:t>
      </w:r>
    </w:p>
    <w:p>
      <w:pPr>
        <w:spacing w:after="0" w:line="162" w:lineRule="exact"/>
        <w:rPr>
          <w:rFonts w:ascii="Arial" w:cs="Arial" w:eastAsia="Arial" w:hAnsi="Arial"/>
          <w:sz w:val="20"/>
          <w:szCs w:val="20"/>
          <w:color w:val="auto"/>
        </w:rPr>
      </w:pPr>
    </w:p>
    <w:p>
      <w:pPr>
        <w:ind w:left="1680" w:hanging="375"/>
        <w:spacing w:after="0"/>
        <w:tabs>
          <w:tab w:leader="none" w:pos="1680" w:val="left"/>
        </w:tabs>
        <w:numPr>
          <w:ilvl w:val="0"/>
          <w:numId w:val="223"/>
        </w:numPr>
        <w:rPr>
          <w:rFonts w:ascii="Arial" w:cs="Arial" w:eastAsia="Arial" w:hAnsi="Arial"/>
          <w:sz w:val="18"/>
          <w:szCs w:val="18"/>
          <w:color w:val="auto"/>
        </w:rPr>
      </w:pPr>
      <w:r>
        <w:rPr>
          <w:rFonts w:ascii="Arial" w:cs="Arial" w:eastAsia="Arial" w:hAnsi="Arial"/>
          <w:sz w:val="18"/>
          <w:szCs w:val="18"/>
          <w:color w:val="auto"/>
        </w:rPr>
        <w:t>Investments received in return for the contribution of all or any portion of the assets of, or the equity interests in, certain</w:t>
      </w:r>
    </w:p>
    <w:p>
      <w:pPr>
        <w:spacing w:after="0" w:line="76" w:lineRule="exact"/>
        <w:rPr>
          <w:rFonts w:ascii="Arial" w:cs="Arial" w:eastAsia="Arial" w:hAnsi="Arial"/>
          <w:sz w:val="18"/>
          <w:szCs w:val="18"/>
          <w:color w:val="auto"/>
        </w:rPr>
      </w:pPr>
    </w:p>
    <w:p>
      <w:pPr>
        <w:ind w:left="660" w:right="440"/>
        <w:spacing w:after="0" w:line="303" w:lineRule="auto"/>
        <w:rPr>
          <w:rFonts w:ascii="Arial" w:cs="Arial" w:eastAsia="Arial" w:hAnsi="Arial"/>
          <w:sz w:val="18"/>
          <w:szCs w:val="18"/>
          <w:color w:val="auto"/>
        </w:rPr>
      </w:pPr>
      <w:r>
        <w:rPr>
          <w:rFonts w:ascii="Arial" w:cs="Arial" w:eastAsia="Arial" w:hAnsi="Arial"/>
          <w:sz w:val="20"/>
          <w:szCs w:val="20"/>
          <w:color w:val="auto"/>
        </w:rPr>
        <w:t>Subsidiaries organized and operating in Spain (including Euronet Movilcarga, S.L. and Euronet Telerecarga, S.L.) to a non-wholly owned joint venture otherwise permitted hereunder;</w:t>
      </w:r>
    </w:p>
    <w:p>
      <w:pPr>
        <w:spacing w:after="0" w:line="175" w:lineRule="exact"/>
        <w:rPr>
          <w:rFonts w:ascii="Arial" w:cs="Arial" w:eastAsia="Arial" w:hAnsi="Arial"/>
          <w:sz w:val="18"/>
          <w:szCs w:val="18"/>
          <w:color w:val="auto"/>
        </w:rPr>
      </w:pPr>
    </w:p>
    <w:p>
      <w:pPr>
        <w:ind w:left="1720" w:hanging="415"/>
        <w:spacing w:after="0"/>
        <w:tabs>
          <w:tab w:leader="none" w:pos="1720" w:val="left"/>
        </w:tabs>
        <w:numPr>
          <w:ilvl w:val="0"/>
          <w:numId w:val="223"/>
        </w:numPr>
        <w:rPr>
          <w:rFonts w:ascii="Arial" w:cs="Arial" w:eastAsia="Arial" w:hAnsi="Arial"/>
          <w:sz w:val="18"/>
          <w:szCs w:val="18"/>
          <w:color w:val="auto"/>
        </w:rPr>
      </w:pPr>
      <w:r>
        <w:rPr>
          <w:rFonts w:ascii="Arial" w:cs="Arial" w:eastAsia="Arial" w:hAnsi="Arial"/>
          <w:sz w:val="18"/>
          <w:szCs w:val="18"/>
          <w:color w:val="auto"/>
        </w:rPr>
        <w:t xml:space="preserve">Refinancing Investments made in respect of Investments permitted by </w:t>
      </w:r>
      <w:r>
        <w:rPr>
          <w:rFonts w:ascii="Arial" w:cs="Arial" w:eastAsia="Arial" w:hAnsi="Arial"/>
          <w:sz w:val="18"/>
          <w:szCs w:val="18"/>
          <w:u w:val="single" w:color="auto"/>
          <w:color w:val="auto"/>
        </w:rPr>
        <w:t>Sections 8.02(h</w:t>
      </w:r>
      <w:r>
        <w:rPr>
          <w:rFonts w:ascii="Arial" w:cs="Arial" w:eastAsia="Arial" w:hAnsi="Arial"/>
          <w:sz w:val="18"/>
          <w:szCs w:val="18"/>
          <w:color w:val="auto"/>
        </w:rPr>
        <w:t>), (</w:t>
      </w:r>
      <w:r>
        <w:rPr>
          <w:rFonts w:ascii="Arial" w:cs="Arial" w:eastAsia="Arial" w:hAnsi="Arial"/>
          <w:sz w:val="18"/>
          <w:szCs w:val="18"/>
          <w:u w:val="single" w:color="auto"/>
          <w:color w:val="auto"/>
        </w:rPr>
        <w:t>j</w:t>
      </w:r>
      <w:r>
        <w:rPr>
          <w:rFonts w:ascii="Arial" w:cs="Arial" w:eastAsia="Arial" w:hAnsi="Arial"/>
          <w:sz w:val="18"/>
          <w:szCs w:val="18"/>
          <w:color w:val="auto"/>
        </w:rPr>
        <w:t>), (</w:t>
      </w:r>
      <w:r>
        <w:rPr>
          <w:rFonts w:ascii="Arial" w:cs="Arial" w:eastAsia="Arial" w:hAnsi="Arial"/>
          <w:sz w:val="18"/>
          <w:szCs w:val="18"/>
          <w:u w:val="single" w:color="auto"/>
          <w:color w:val="auto"/>
        </w:rPr>
        <w:t>k</w:t>
      </w:r>
      <w:r>
        <w:rPr>
          <w:rFonts w:ascii="Arial" w:cs="Arial" w:eastAsia="Arial" w:hAnsi="Arial"/>
          <w:sz w:val="18"/>
          <w:szCs w:val="18"/>
          <w:color w:val="auto"/>
        </w:rPr>
        <w:t>) or (</w:t>
      </w:r>
      <w:r>
        <w:rPr>
          <w:rFonts w:ascii="Arial" w:cs="Arial" w:eastAsia="Arial" w:hAnsi="Arial"/>
          <w:sz w:val="18"/>
          <w:szCs w:val="18"/>
          <w:u w:val="single" w:color="auto"/>
          <w:color w:val="auto"/>
        </w:rPr>
        <w:t>l</w:t>
      </w:r>
      <w:r>
        <w:rPr>
          <w:rFonts w:ascii="Arial" w:cs="Arial" w:eastAsia="Arial" w:hAnsi="Arial"/>
          <w:sz w:val="18"/>
          <w:szCs w:val="18"/>
          <w:color w:val="auto"/>
        </w:rPr>
        <w:t>), provided that in the</w:t>
      </w:r>
    </w:p>
    <w:p>
      <w:pPr>
        <w:spacing w:after="0" w:line="76" w:lineRule="exact"/>
        <w:rPr>
          <w:rFonts w:ascii="Arial" w:cs="Arial" w:eastAsia="Arial" w:hAnsi="Arial"/>
          <w:sz w:val="18"/>
          <w:szCs w:val="18"/>
          <w:color w:val="auto"/>
        </w:rPr>
      </w:pPr>
    </w:p>
    <w:p>
      <w:pPr>
        <w:ind w:left="660"/>
        <w:spacing w:after="0" w:line="303" w:lineRule="auto"/>
        <w:rPr>
          <w:rFonts w:ascii="Arial" w:cs="Arial" w:eastAsia="Arial" w:hAnsi="Arial"/>
          <w:sz w:val="18"/>
          <w:szCs w:val="18"/>
          <w:color w:val="auto"/>
        </w:rPr>
      </w:pPr>
      <w:r>
        <w:rPr>
          <w:rFonts w:ascii="Arial" w:cs="Arial" w:eastAsia="Arial" w:hAnsi="Arial"/>
          <w:sz w:val="20"/>
          <w:szCs w:val="20"/>
          <w:color w:val="auto"/>
        </w:rPr>
        <w:t>case of Refinancing Investment under (j), such Refinancing Investments remain in Subsidiaries, joint ventures or investments in entities organized and operating in Spain; and</w:t>
      </w:r>
    </w:p>
    <w:p>
      <w:pPr>
        <w:spacing w:after="0" w:line="175" w:lineRule="exact"/>
        <w:rPr>
          <w:rFonts w:ascii="Arial" w:cs="Arial" w:eastAsia="Arial" w:hAnsi="Arial"/>
          <w:sz w:val="18"/>
          <w:szCs w:val="18"/>
          <w:color w:val="auto"/>
        </w:rPr>
      </w:pPr>
    </w:p>
    <w:p>
      <w:pPr>
        <w:ind w:left="660" w:right="100" w:firstLine="645"/>
        <w:spacing w:after="0" w:line="317" w:lineRule="auto"/>
        <w:tabs>
          <w:tab w:leader="none" w:pos="1675" w:val="left"/>
        </w:tabs>
        <w:numPr>
          <w:ilvl w:val="0"/>
          <w:numId w:val="223"/>
        </w:numPr>
        <w:rPr>
          <w:rFonts w:ascii="Arial" w:cs="Arial" w:eastAsia="Arial" w:hAnsi="Arial"/>
          <w:sz w:val="20"/>
          <w:szCs w:val="20"/>
          <w:color w:val="auto"/>
        </w:rPr>
      </w:pPr>
      <w:r>
        <w:rPr>
          <w:rFonts w:ascii="Arial" w:cs="Arial" w:eastAsia="Arial" w:hAnsi="Arial"/>
          <w:sz w:val="20"/>
          <w:szCs w:val="20"/>
          <w:color w:val="auto"/>
        </w:rPr>
        <w:t>other Investments of a type not contemplated in the foregoing clauses of this Section in an aggregate principal amount not to exceed $75 million at any time.</w:t>
      </w:r>
    </w:p>
    <w:p>
      <w:pPr>
        <w:spacing w:after="0" w:line="378"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159</w:t>
      </w:r>
    </w:p>
    <w:p>
      <w:pPr>
        <w:spacing w:after="0" w:line="10" w:lineRule="exact"/>
        <w:rPr>
          <w:sz w:val="20"/>
          <w:szCs w:val="20"/>
          <w:color w:val="auto"/>
        </w:rPr>
      </w:pPr>
    </w:p>
    <w:p>
      <w:pPr>
        <w:spacing w:after="0"/>
        <w:rPr>
          <w:sz w:val="20"/>
          <w:szCs w:val="20"/>
          <w:color w:val="auto"/>
        </w:rPr>
      </w:pPr>
      <w:r>
        <w:rPr>
          <w:rFonts w:ascii="Arial" w:cs="Arial" w:eastAsia="Arial" w:hAnsi="Arial"/>
          <w:sz w:val="14"/>
          <w:szCs w:val="14"/>
          <w:color w:val="auto"/>
        </w:rPr>
        <w:t>CHAR1\1346423v</w:t>
      </w:r>
      <w:r>
        <w:rPr>
          <w:rFonts w:ascii="Arial" w:cs="Arial" w:eastAsia="Arial" w:hAnsi="Arial"/>
          <w:sz w:val="14"/>
          <w:szCs w:val="14"/>
          <w:color w:val="FF0000"/>
          <w:strike w:val="1"/>
        </w:rPr>
        <w:t>1</w:t>
      </w:r>
      <w:r>
        <w:rPr>
          <w:rFonts w:ascii="Arial" w:cs="Arial" w:eastAsia="Arial" w:hAnsi="Arial"/>
          <w:sz w:val="14"/>
          <w:szCs w:val="14"/>
          <w:u w:val="single" w:color="auto"/>
          <w:color w:val="0000FF"/>
        </w:rPr>
        <w:t>12</w:t>
      </w:r>
    </w:p>
    <w:p>
      <w:pPr>
        <w:sectPr>
          <w:pgSz w:w="11900" w:h="16838" w:orient="portrait"/>
          <w:cols w:equalWidth="0" w:num="1">
            <w:col w:w="11420"/>
          </w:cols>
          <w:pgMar w:left="240" w:top="622" w:right="239" w:bottom="1440" w:gutter="0" w:footer="0" w:header="0"/>
        </w:sectPr>
      </w:pPr>
    </w:p>
    <w:bookmarkStart w:id="211" w:name="page212"/>
    <w:bookmarkEnd w:id="211"/>
    <w:p>
      <w:pPr>
        <w:ind w:right="100" w:firstLine="648"/>
        <w:spacing w:after="0" w:line="259" w:lineRule="auto"/>
        <w:rPr>
          <w:sz w:val="20"/>
          <w:szCs w:val="20"/>
          <w:color w:val="auto"/>
        </w:rPr>
      </w:pPr>
      <w:r>
        <w:rPr>
          <w:rFonts w:ascii="Arial" w:cs="Arial" w:eastAsia="Arial" w:hAnsi="Arial"/>
          <w:sz w:val="19"/>
          <w:szCs w:val="19"/>
          <w:color w:val="auto"/>
        </w:rPr>
        <w:t xml:space="preserve">For purposes of determining compliance with this </w:t>
      </w:r>
      <w:r>
        <w:rPr>
          <w:rFonts w:ascii="Arial" w:cs="Arial" w:eastAsia="Arial" w:hAnsi="Arial"/>
          <w:sz w:val="19"/>
          <w:szCs w:val="19"/>
          <w:u w:val="single" w:color="auto"/>
          <w:color w:val="auto"/>
        </w:rPr>
        <w:t>Section 8.02</w:t>
      </w:r>
      <w:r>
        <w:rPr>
          <w:rFonts w:ascii="Arial" w:cs="Arial" w:eastAsia="Arial" w:hAnsi="Arial"/>
          <w:sz w:val="19"/>
          <w:szCs w:val="19"/>
          <w:color w:val="auto"/>
        </w:rPr>
        <w:t xml:space="preserve">, (i) in the event that an Investment (or any portion thereof) meets the criteria of more than one of the categories of Investments permitted in this </w:t>
      </w:r>
      <w:r>
        <w:rPr>
          <w:rFonts w:ascii="Arial" w:cs="Arial" w:eastAsia="Arial" w:hAnsi="Arial"/>
          <w:sz w:val="19"/>
          <w:szCs w:val="19"/>
          <w:u w:val="single" w:color="auto"/>
          <w:color w:val="auto"/>
        </w:rPr>
        <w:t>Section 8.02</w:t>
      </w:r>
      <w:r>
        <w:rPr>
          <w:rFonts w:ascii="Arial" w:cs="Arial" w:eastAsia="Arial" w:hAnsi="Arial"/>
          <w:sz w:val="19"/>
          <w:szCs w:val="19"/>
          <w:color w:val="auto"/>
        </w:rPr>
        <w:t xml:space="preserve">, the relevant Credit Party or Subsidiary, in its sole discretion, may classify (and may from time to time thereafter reclassify) such Investment (or any portion thereof) and will only be required to include such Investment in one of the categories of Investments permitted in this </w:t>
      </w:r>
      <w:r>
        <w:rPr>
          <w:rFonts w:ascii="Arial" w:cs="Arial" w:eastAsia="Arial" w:hAnsi="Arial"/>
          <w:sz w:val="19"/>
          <w:szCs w:val="19"/>
          <w:u w:val="single" w:color="auto"/>
          <w:color w:val="auto"/>
        </w:rPr>
        <w:t>Section 8.02</w:t>
      </w:r>
      <w:r>
        <w:rPr>
          <w:rFonts w:ascii="Arial" w:cs="Arial" w:eastAsia="Arial" w:hAnsi="Arial"/>
          <w:sz w:val="19"/>
          <w:szCs w:val="19"/>
          <w:color w:val="auto"/>
        </w:rPr>
        <w:t xml:space="preserve">; and (ii) at the time of incurrence or upon any later reclassification, the relevant Credit Party or Subsidiary, in its sole discretion, may divide and classify an Investment in more than one of the categories of Investments permitted in this </w:t>
      </w:r>
      <w:r>
        <w:rPr>
          <w:rFonts w:ascii="Arial" w:cs="Arial" w:eastAsia="Arial" w:hAnsi="Arial"/>
          <w:sz w:val="19"/>
          <w:szCs w:val="19"/>
          <w:u w:val="single" w:color="auto"/>
          <w:color w:val="auto"/>
        </w:rPr>
        <w:t>Section 8.02</w:t>
      </w:r>
      <w:r>
        <w:rPr>
          <w:rFonts w:ascii="Arial" w:cs="Arial" w:eastAsia="Arial" w:hAnsi="Arial"/>
          <w:sz w:val="19"/>
          <w:szCs w:val="19"/>
          <w:color w:val="auto"/>
        </w:rPr>
        <w:t>.</w:t>
      </w:r>
    </w:p>
    <w:p>
      <w:pPr>
        <w:spacing w:after="0" w:line="179" w:lineRule="exact"/>
        <w:rPr>
          <w:sz w:val="20"/>
          <w:szCs w:val="20"/>
          <w:color w:val="auto"/>
        </w:rPr>
      </w:pPr>
    </w:p>
    <w:p>
      <w:pPr>
        <w:ind w:right="500" w:firstLine="648"/>
        <w:spacing w:after="0" w:line="260" w:lineRule="auto"/>
        <w:rPr>
          <w:sz w:val="20"/>
          <w:szCs w:val="20"/>
          <w:color w:val="auto"/>
        </w:rPr>
      </w:pPr>
      <w:r>
        <w:rPr>
          <w:rFonts w:ascii="Arial" w:cs="Arial" w:eastAsia="Arial" w:hAnsi="Arial"/>
          <w:sz w:val="20"/>
          <w:szCs w:val="20"/>
          <w:color w:val="auto"/>
        </w:rPr>
        <w:t xml:space="preserve">Accrual of interest or dividends, the accretion of accreted value and the payment of interest or dividends in the form of additional Investments will not be deemed to be the making of an Investment for purposes of this </w:t>
      </w:r>
      <w:r>
        <w:rPr>
          <w:rFonts w:ascii="Arial" w:cs="Arial" w:eastAsia="Arial" w:hAnsi="Arial"/>
          <w:sz w:val="20"/>
          <w:szCs w:val="20"/>
          <w:u w:val="single" w:color="auto"/>
          <w:color w:val="auto"/>
        </w:rPr>
        <w:t>Section 8.02</w:t>
      </w:r>
      <w:r>
        <w:rPr>
          <w:rFonts w:ascii="Arial" w:cs="Arial" w:eastAsia="Arial" w:hAnsi="Arial"/>
          <w:sz w:val="20"/>
          <w:szCs w:val="20"/>
          <w:color w:val="auto"/>
        </w:rPr>
        <w:t>.</w:t>
      </w:r>
    </w:p>
    <w:p>
      <w:pPr>
        <w:spacing w:after="0" w:line="177" w:lineRule="exact"/>
        <w:rPr>
          <w:sz w:val="20"/>
          <w:szCs w:val="20"/>
          <w:color w:val="auto"/>
        </w:rPr>
      </w:pPr>
    </w:p>
    <w:p>
      <w:pPr>
        <w:ind w:firstLine="648"/>
        <w:spacing w:after="0" w:line="271" w:lineRule="auto"/>
        <w:rPr>
          <w:sz w:val="20"/>
          <w:szCs w:val="20"/>
          <w:color w:val="auto"/>
        </w:rPr>
      </w:pPr>
      <w:r>
        <w:rPr>
          <w:rFonts w:ascii="Arial" w:cs="Arial" w:eastAsia="Arial" w:hAnsi="Arial"/>
          <w:sz w:val="18"/>
          <w:szCs w:val="18"/>
          <w:color w:val="FF0000"/>
          <w:strike w:val="1"/>
        </w:rPr>
        <w:t xml:space="preserve">For purposes of determining compliance with any U.S. dollar-denominated restriction on the making of Investments, the U.S. dollar-equivalent amount of an Investment denominated in a foreign currency shall be calculated based on the relevant currency exchange rate in effect on the date such Investment was made, in the case of an Investment consisting of term debt, or first committed, in the case an Investment consisting of revolving credit debt; </w:t>
      </w:r>
      <w:r>
        <w:rPr>
          <w:rFonts w:ascii="Arial" w:cs="Arial" w:eastAsia="Arial" w:hAnsi="Arial"/>
          <w:sz w:val="18"/>
          <w:szCs w:val="18"/>
          <w:u w:val="single" w:color="auto"/>
          <w:color w:val="FF0000"/>
          <w:strike w:val="1"/>
        </w:rPr>
        <w:t>provided</w:t>
      </w:r>
      <w:r>
        <w:rPr>
          <w:rFonts w:ascii="Arial" w:cs="Arial" w:eastAsia="Arial" w:hAnsi="Arial"/>
          <w:sz w:val="18"/>
          <w:szCs w:val="18"/>
          <w:color w:val="FF0000"/>
          <w:strike w:val="1"/>
        </w:rPr>
        <w:t xml:space="preserve"> that if any Refinancing Investment otherwise permitted by </w:t>
      </w:r>
      <w:r>
        <w:rPr>
          <w:rFonts w:ascii="Arial" w:cs="Arial" w:eastAsia="Arial" w:hAnsi="Arial"/>
          <w:sz w:val="18"/>
          <w:szCs w:val="18"/>
          <w:u w:val="single" w:color="auto"/>
          <w:color w:val="FF0000"/>
          <w:strike w:val="1"/>
        </w:rPr>
        <w:t>Section 8.02(k)</w:t>
      </w:r>
      <w:r>
        <w:rPr>
          <w:rFonts w:ascii="Arial" w:cs="Arial" w:eastAsia="Arial" w:hAnsi="Arial"/>
          <w:sz w:val="18"/>
          <w:szCs w:val="18"/>
          <w:color w:val="FF0000"/>
          <w:strike w:val="1"/>
        </w:rPr>
        <w:t xml:space="preserve"> is denominated in the same foreign currency as the relevant Refinanced Investment and would cause the applicable U.S. dollar-denominated restriction to be exceeded if calculated at the relevant currency exchange rate in effect on the date of such refinancing, such U.S. dollar-denominated restriction shall be deemed not to have been exceeded so long as the principal amount of such Refinancing Investment does not exceed an amount equal to the sum of (i) the aggregate amount of the Refinanced Investment (including principal and accrued interest or dividends), (ii) prepayment fees or premiums, tender or consent fees and/or other reasonable costs and expenses directly related to the Refinanced Investment and (iii) reasonable fees, expenses and costs directly related to the entering into of the Refinancing Investment.</w:t>
      </w:r>
    </w:p>
    <w:p>
      <w:pPr>
        <w:spacing w:after="0" w:line="175" w:lineRule="exact"/>
        <w:rPr>
          <w:sz w:val="20"/>
          <w:szCs w:val="20"/>
          <w:color w:val="auto"/>
        </w:rPr>
      </w:pPr>
    </w:p>
    <w:p>
      <w:pPr>
        <w:ind w:right="100" w:firstLine="648"/>
        <w:spacing w:after="0" w:line="250" w:lineRule="auto"/>
        <w:rPr>
          <w:sz w:val="20"/>
          <w:szCs w:val="20"/>
          <w:color w:val="auto"/>
        </w:rPr>
      </w:pPr>
      <w:r>
        <w:rPr>
          <w:rFonts w:ascii="Arial" w:cs="Arial" w:eastAsia="Arial" w:hAnsi="Arial"/>
          <w:sz w:val="20"/>
          <w:szCs w:val="20"/>
          <w:color w:val="FF0000"/>
          <w:strike w:val="1"/>
        </w:rPr>
        <w:t>The principal amount of any Refinancing Investment denominated in a currency other than that in which the Refinanced Investment is denominated shall be calculated based on the currency exchange rate applicable to the currencies in which such Refinancing Investment and Refinanced Investment are denominated that is in effect on the date of such refinancing.</w:t>
      </w:r>
    </w:p>
    <w:p>
      <w:pPr>
        <w:spacing w:after="0" w:line="213" w:lineRule="exact"/>
        <w:rPr>
          <w:sz w:val="20"/>
          <w:szCs w:val="20"/>
          <w:color w:val="auto"/>
        </w:rPr>
      </w:pPr>
    </w:p>
    <w:p>
      <w:pPr>
        <w:ind w:left="660"/>
        <w:spacing w:after="0"/>
        <w:tabs>
          <w:tab w:leader="none" w:pos="1160" w:val="left"/>
        </w:tabs>
        <w:rPr>
          <w:sz w:val="20"/>
          <w:szCs w:val="20"/>
          <w:color w:val="auto"/>
        </w:rPr>
      </w:pPr>
      <w:r>
        <w:rPr>
          <w:rFonts w:ascii="Arial" w:cs="Arial" w:eastAsia="Arial" w:hAnsi="Arial"/>
          <w:sz w:val="20"/>
          <w:szCs w:val="20"/>
          <w:color w:val="auto"/>
        </w:rPr>
        <w:t>8.03</w:t>
      </w:r>
      <w:r>
        <w:rPr>
          <w:sz w:val="20"/>
          <w:szCs w:val="20"/>
          <w:color w:val="auto"/>
        </w:rPr>
        <w:tab/>
      </w:r>
      <w:r>
        <w:rPr>
          <w:rFonts w:ascii="Arial" w:cs="Arial" w:eastAsia="Arial" w:hAnsi="Arial"/>
          <w:sz w:val="16"/>
          <w:szCs w:val="16"/>
          <w:u w:val="single" w:color="auto"/>
          <w:color w:val="auto"/>
        </w:rPr>
        <w:t>Indebtedness</w:t>
      </w:r>
      <w:r>
        <w:rPr>
          <w:rFonts w:ascii="Arial" w:cs="Arial" w:eastAsia="Arial" w:hAnsi="Arial"/>
          <w:sz w:val="16"/>
          <w:szCs w:val="16"/>
          <w:color w:val="auto"/>
        </w:rPr>
        <w:t>. Create, incur, assume or suffer to exist any Indebtedness, except:</w:t>
      </w:r>
    </w:p>
    <w:p>
      <w:pPr>
        <w:spacing w:after="0" w:line="270" w:lineRule="exact"/>
        <w:rPr>
          <w:sz w:val="20"/>
          <w:szCs w:val="20"/>
          <w:color w:val="auto"/>
        </w:rPr>
      </w:pPr>
    </w:p>
    <w:p>
      <w:pPr>
        <w:ind w:left="1700" w:hanging="395"/>
        <w:spacing w:after="0"/>
        <w:tabs>
          <w:tab w:leader="none" w:pos="1700" w:val="left"/>
        </w:tabs>
        <w:numPr>
          <w:ilvl w:val="0"/>
          <w:numId w:val="224"/>
        </w:numPr>
        <w:rPr>
          <w:rFonts w:ascii="Arial" w:cs="Arial" w:eastAsia="Arial" w:hAnsi="Arial"/>
          <w:sz w:val="20"/>
          <w:szCs w:val="20"/>
          <w:color w:val="auto"/>
        </w:rPr>
      </w:pPr>
      <w:r>
        <w:rPr>
          <w:rFonts w:ascii="Arial" w:cs="Arial" w:eastAsia="Arial" w:hAnsi="Arial"/>
          <w:sz w:val="20"/>
          <w:szCs w:val="20"/>
          <w:color w:val="auto"/>
        </w:rPr>
        <w:t>Indebtedness under the Credit Documents;</w:t>
      </w:r>
    </w:p>
    <w:p>
      <w:pPr>
        <w:spacing w:after="0" w:line="269" w:lineRule="exact"/>
        <w:rPr>
          <w:rFonts w:ascii="Arial" w:cs="Arial" w:eastAsia="Arial" w:hAnsi="Arial"/>
          <w:sz w:val="20"/>
          <w:szCs w:val="20"/>
          <w:color w:val="auto"/>
        </w:rPr>
      </w:pPr>
    </w:p>
    <w:p>
      <w:pPr>
        <w:ind w:left="660" w:right="700" w:firstLine="645"/>
        <w:spacing w:after="0" w:line="346" w:lineRule="auto"/>
        <w:tabs>
          <w:tab w:leader="none" w:pos="1719" w:val="left"/>
        </w:tabs>
        <w:numPr>
          <w:ilvl w:val="0"/>
          <w:numId w:val="224"/>
        </w:numPr>
        <w:rPr>
          <w:rFonts w:ascii="Arial" w:cs="Arial" w:eastAsia="Arial" w:hAnsi="Arial"/>
          <w:sz w:val="19"/>
          <w:szCs w:val="19"/>
          <w:color w:val="auto"/>
        </w:rPr>
      </w:pPr>
      <w:r>
        <w:rPr>
          <w:rFonts w:ascii="Arial" w:cs="Arial" w:eastAsia="Arial" w:hAnsi="Arial"/>
          <w:sz w:val="19"/>
          <w:szCs w:val="19"/>
          <w:color w:val="auto"/>
        </w:rPr>
        <w:t xml:space="preserve">Indebtedness of EWI under </w:t>
      </w:r>
      <w:r>
        <w:rPr>
          <w:rFonts w:ascii="Arial" w:cs="Arial" w:eastAsia="Arial" w:hAnsi="Arial"/>
          <w:sz w:val="19"/>
          <w:szCs w:val="19"/>
          <w:color w:val="FF0000"/>
          <w:strike w:val="1"/>
        </w:rPr>
        <w:t>the Convertible Debentures</w:t>
      </w:r>
      <w:r>
        <w:rPr>
          <w:rFonts w:ascii="Arial" w:cs="Arial" w:eastAsia="Arial" w:hAnsi="Arial"/>
          <w:sz w:val="19"/>
          <w:szCs w:val="19"/>
          <w:u w:val="single" w:color="auto"/>
          <w:color w:val="0000FF"/>
        </w:rPr>
        <w:t>high yield notes, subordinated debt (including convertible</w:t>
      </w:r>
      <w:r>
        <w:rPr>
          <w:rFonts w:ascii="Arial" w:cs="Arial" w:eastAsia="Arial" w:hAnsi="Arial"/>
          <w:sz w:val="19"/>
          <w:szCs w:val="19"/>
          <w:color w:val="auto"/>
        </w:rPr>
        <w:t xml:space="preserve"> </w:t>
      </w:r>
      <w:r>
        <w:rPr>
          <w:rFonts w:ascii="Arial" w:cs="Arial" w:eastAsia="Arial" w:hAnsi="Arial"/>
          <w:sz w:val="19"/>
          <w:szCs w:val="19"/>
          <w:u w:val="single" w:color="auto"/>
          <w:color w:val="0000FF"/>
        </w:rPr>
        <w:t>debentures) and other unsecured indebtedness</w:t>
      </w:r>
      <w:r>
        <w:rPr>
          <w:rFonts w:ascii="Arial" w:cs="Arial" w:eastAsia="Arial" w:hAnsi="Arial"/>
          <w:sz w:val="19"/>
          <w:szCs w:val="19"/>
          <w:color w:val="0000FF"/>
        </w:rPr>
        <w:t xml:space="preserve"> </w:t>
      </w:r>
      <w:r>
        <w:rPr>
          <w:rFonts w:ascii="Arial" w:cs="Arial" w:eastAsia="Arial" w:hAnsi="Arial"/>
          <w:sz w:val="19"/>
          <w:szCs w:val="19"/>
          <w:color w:val="000000"/>
        </w:rPr>
        <w:t>in an aggregate principal amount of up to $</w:t>
      </w:r>
      <w:r>
        <w:rPr>
          <w:rFonts w:ascii="Arial" w:cs="Arial" w:eastAsia="Arial" w:hAnsi="Arial"/>
          <w:sz w:val="19"/>
          <w:szCs w:val="19"/>
          <w:color w:val="FF0000"/>
          <w:strike w:val="1"/>
        </w:rPr>
        <w:t>175</w:t>
      </w:r>
      <w:r>
        <w:rPr>
          <w:rFonts w:ascii="Arial" w:cs="Arial" w:eastAsia="Arial" w:hAnsi="Arial"/>
          <w:sz w:val="19"/>
          <w:szCs w:val="19"/>
          <w:u w:val="single" w:color="auto"/>
          <w:color w:val="0000FF"/>
        </w:rPr>
        <w:t>300</w:t>
      </w:r>
      <w:r>
        <w:rPr>
          <w:rFonts w:ascii="Arial" w:cs="Arial" w:eastAsia="Arial" w:hAnsi="Arial"/>
          <w:sz w:val="19"/>
          <w:szCs w:val="19"/>
          <w:color w:val="0000FF"/>
        </w:rPr>
        <w:t xml:space="preserve"> </w:t>
      </w:r>
      <w:r>
        <w:rPr>
          <w:rFonts w:ascii="Arial" w:cs="Arial" w:eastAsia="Arial" w:hAnsi="Arial"/>
          <w:sz w:val="19"/>
          <w:szCs w:val="19"/>
          <w:color w:val="000000"/>
        </w:rPr>
        <w:t>million;</w:t>
      </w:r>
    </w:p>
    <w:p>
      <w:pPr>
        <w:spacing w:after="0" w:line="139" w:lineRule="exact"/>
        <w:rPr>
          <w:rFonts w:ascii="Arial" w:cs="Arial" w:eastAsia="Arial" w:hAnsi="Arial"/>
          <w:sz w:val="19"/>
          <w:szCs w:val="19"/>
          <w:color w:val="auto"/>
        </w:rPr>
      </w:pPr>
    </w:p>
    <w:p>
      <w:pPr>
        <w:ind w:left="1700" w:hanging="395"/>
        <w:spacing w:after="0"/>
        <w:tabs>
          <w:tab w:leader="none" w:pos="1700" w:val="left"/>
        </w:tabs>
        <w:numPr>
          <w:ilvl w:val="0"/>
          <w:numId w:val="224"/>
        </w:numPr>
        <w:rPr>
          <w:rFonts w:ascii="Arial" w:cs="Arial" w:eastAsia="Arial" w:hAnsi="Arial"/>
          <w:sz w:val="20"/>
          <w:szCs w:val="20"/>
          <w:color w:val="auto"/>
        </w:rPr>
      </w:pPr>
      <w:r>
        <w:rPr>
          <w:rFonts w:ascii="Arial" w:cs="Arial" w:eastAsia="Arial" w:hAnsi="Arial"/>
          <w:sz w:val="20"/>
          <w:szCs w:val="20"/>
          <w:color w:val="auto"/>
        </w:rPr>
        <w:t xml:space="preserve">Indebtedness outstanding on the </w:t>
      </w:r>
      <w:r>
        <w:rPr>
          <w:rFonts w:ascii="Arial" w:cs="Arial" w:eastAsia="Arial" w:hAnsi="Arial"/>
          <w:sz w:val="20"/>
          <w:szCs w:val="20"/>
          <w:color w:val="FF0000"/>
          <w:strike w:val="1"/>
        </w:rPr>
        <w:t>date hereof</w:t>
      </w:r>
      <w:r>
        <w:rPr>
          <w:rFonts w:ascii="Arial" w:cs="Arial" w:eastAsia="Arial" w:hAnsi="Arial"/>
          <w:sz w:val="20"/>
          <w:szCs w:val="20"/>
          <w:u w:val="single" w:color="auto"/>
          <w:color w:val="0000FF"/>
        </w:rPr>
        <w:t>Amendment No, 1 Effective Date</w:t>
      </w:r>
      <w:r>
        <w:rPr>
          <w:rFonts w:ascii="Arial" w:cs="Arial" w:eastAsia="Arial" w:hAnsi="Arial"/>
          <w:sz w:val="20"/>
          <w:szCs w:val="20"/>
          <w:color w:val="auto"/>
        </w:rPr>
        <w:t xml:space="preserve"> and listed on </w:t>
      </w:r>
      <w:r>
        <w:rPr>
          <w:rFonts w:ascii="Arial" w:cs="Arial" w:eastAsia="Arial" w:hAnsi="Arial"/>
          <w:sz w:val="20"/>
          <w:szCs w:val="20"/>
          <w:u w:val="single" w:color="auto"/>
          <w:color w:val="auto"/>
        </w:rPr>
        <w:t>Schedule 8.03</w:t>
      </w:r>
      <w:r>
        <w:rPr>
          <w:rFonts w:ascii="Arial" w:cs="Arial" w:eastAsia="Arial" w:hAnsi="Arial"/>
          <w:sz w:val="20"/>
          <w:szCs w:val="20"/>
          <w:color w:val="auto"/>
        </w:rPr>
        <w:t>;</w:t>
      </w:r>
    </w:p>
    <w:p>
      <w:pPr>
        <w:spacing w:after="0" w:line="269" w:lineRule="exact"/>
        <w:rPr>
          <w:rFonts w:ascii="Arial" w:cs="Arial" w:eastAsia="Arial" w:hAnsi="Arial"/>
          <w:sz w:val="20"/>
          <w:szCs w:val="20"/>
          <w:color w:val="auto"/>
        </w:rPr>
      </w:pPr>
    </w:p>
    <w:p>
      <w:pPr>
        <w:ind w:left="1720" w:hanging="415"/>
        <w:spacing w:after="0"/>
        <w:tabs>
          <w:tab w:leader="none" w:pos="1720" w:val="left"/>
        </w:tabs>
        <w:numPr>
          <w:ilvl w:val="0"/>
          <w:numId w:val="224"/>
        </w:numPr>
        <w:rPr>
          <w:rFonts w:ascii="Arial" w:cs="Arial" w:eastAsia="Arial" w:hAnsi="Arial"/>
          <w:sz w:val="16"/>
          <w:szCs w:val="16"/>
          <w:color w:val="auto"/>
        </w:rPr>
      </w:pPr>
      <w:r>
        <w:rPr>
          <w:rFonts w:ascii="Arial" w:cs="Arial" w:eastAsia="Arial" w:hAnsi="Arial"/>
          <w:sz w:val="16"/>
          <w:szCs w:val="16"/>
          <w:color w:val="auto"/>
        </w:rPr>
        <w:t>Indebtedness under Capital Leases, Synthetic Lease obligations and purchase money obligations incurred to provide all or</w:t>
      </w:r>
    </w:p>
    <w:p>
      <w:pPr>
        <w:spacing w:after="0" w:line="99" w:lineRule="exact"/>
        <w:rPr>
          <w:rFonts w:ascii="Arial" w:cs="Arial" w:eastAsia="Arial" w:hAnsi="Arial"/>
          <w:sz w:val="16"/>
          <w:szCs w:val="16"/>
          <w:color w:val="auto"/>
        </w:rPr>
      </w:pPr>
    </w:p>
    <w:p>
      <w:pPr>
        <w:ind w:left="660" w:right="240"/>
        <w:spacing w:after="0" w:line="303" w:lineRule="auto"/>
        <w:rPr>
          <w:rFonts w:ascii="Arial" w:cs="Arial" w:eastAsia="Arial" w:hAnsi="Arial"/>
          <w:sz w:val="16"/>
          <w:szCs w:val="16"/>
          <w:color w:val="auto"/>
        </w:rPr>
      </w:pPr>
      <w:r>
        <w:rPr>
          <w:rFonts w:ascii="Arial" w:cs="Arial" w:eastAsia="Arial" w:hAnsi="Arial"/>
          <w:sz w:val="20"/>
          <w:szCs w:val="20"/>
          <w:color w:val="auto"/>
        </w:rPr>
        <w:t xml:space="preserve">a portion of the purchase price (or cost of construction or acquisition), in each case for capital assets,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(i) when incurred such Indebtedness shall not exceed the purchase price or cost of construction of the subject asset and</w:t>
      </w:r>
    </w:p>
    <w:p>
      <w:pPr>
        <w:spacing w:after="0" w:line="392" w:lineRule="exact"/>
        <w:rPr>
          <w:sz w:val="20"/>
          <w:szCs w:val="20"/>
          <w:color w:val="auto"/>
        </w:rPr>
      </w:pPr>
    </w:p>
    <w:p>
      <w:pPr>
        <w:jc w:val="center"/>
        <w:ind w:right="-39"/>
        <w:spacing w:after="0"/>
        <w:rPr>
          <w:sz w:val="20"/>
          <w:szCs w:val="20"/>
          <w:color w:val="auto"/>
        </w:rPr>
      </w:pPr>
      <w:r>
        <w:rPr>
          <w:rFonts w:ascii="Arial" w:cs="Arial" w:eastAsia="Arial" w:hAnsi="Arial"/>
          <w:sz w:val="20"/>
          <w:szCs w:val="20"/>
          <w:color w:val="auto"/>
        </w:rPr>
        <w:t>160</w:t>
      </w:r>
    </w:p>
    <w:p>
      <w:pPr>
        <w:spacing w:after="0" w:line="10" w:lineRule="exact"/>
        <w:rPr>
          <w:sz w:val="20"/>
          <w:szCs w:val="20"/>
          <w:color w:val="auto"/>
        </w:rPr>
      </w:pPr>
    </w:p>
    <w:p>
      <w:pPr>
        <w:spacing w:after="0"/>
        <w:rPr>
          <w:sz w:val="20"/>
          <w:szCs w:val="20"/>
          <w:color w:val="auto"/>
        </w:rPr>
      </w:pPr>
      <w:r>
        <w:rPr>
          <w:rFonts w:ascii="Arial" w:cs="Arial" w:eastAsia="Arial" w:hAnsi="Arial"/>
          <w:sz w:val="14"/>
          <w:szCs w:val="14"/>
          <w:color w:val="auto"/>
        </w:rPr>
        <w:t>CHAR1\1346423v</w:t>
      </w:r>
      <w:r>
        <w:rPr>
          <w:rFonts w:ascii="Arial" w:cs="Arial" w:eastAsia="Arial" w:hAnsi="Arial"/>
          <w:sz w:val="14"/>
          <w:szCs w:val="14"/>
          <w:color w:val="FF0000"/>
          <w:strike w:val="1"/>
        </w:rPr>
        <w:t>1</w:t>
      </w:r>
      <w:r>
        <w:rPr>
          <w:rFonts w:ascii="Arial" w:cs="Arial" w:eastAsia="Arial" w:hAnsi="Arial"/>
          <w:sz w:val="14"/>
          <w:szCs w:val="14"/>
          <w:u w:val="single" w:color="auto"/>
          <w:color w:val="0000FF"/>
        </w:rPr>
        <w:t>12</w:t>
      </w:r>
    </w:p>
    <w:p>
      <w:pPr>
        <w:sectPr>
          <w:pgSz w:w="11900" w:h="16838" w:orient="portrait"/>
          <w:cols w:equalWidth="0" w:num="1">
            <w:col w:w="11400"/>
          </w:cols>
          <w:pgMar w:left="240" w:top="582" w:right="259" w:bottom="1440" w:gutter="0" w:footer="0" w:header="0"/>
        </w:sectPr>
      </w:pPr>
    </w:p>
    <w:bookmarkStart w:id="212" w:name="page213"/>
    <w:bookmarkEnd w:id="212"/>
    <w:p>
      <w:pPr>
        <w:jc w:val="both"/>
        <w:ind w:left="660" w:right="300" w:hanging="4"/>
        <w:spacing w:after="0" w:line="352" w:lineRule="auto"/>
        <w:tabs>
          <w:tab w:leader="none" w:pos="951" w:val="left"/>
        </w:tabs>
        <w:numPr>
          <w:ilvl w:val="0"/>
          <w:numId w:val="225"/>
        </w:numPr>
        <w:rPr>
          <w:rFonts w:ascii="Arial" w:cs="Arial" w:eastAsia="Arial" w:hAnsi="Arial"/>
          <w:sz w:val="16"/>
          <w:szCs w:val="16"/>
          <w:color w:val="auto"/>
        </w:rPr>
      </w:pPr>
      <w:r>
        <w:rPr>
          <w:rFonts w:ascii="Arial" w:cs="Arial" w:eastAsia="Arial" w:hAnsi="Arial"/>
          <w:sz w:val="16"/>
          <w:szCs w:val="16"/>
          <w:color w:val="auto"/>
        </w:rPr>
        <w:t xml:space="preserve">the aggregate principal amount of all such Indebtedness shall not exceed (A) in the case of members of the Consolidated Group organized and operating in the Peoples Republic of China, an amount, at any time, equal to the remainder of $50 million minus the aggregate amount of Investments under </w:t>
      </w:r>
      <w:r>
        <w:rPr>
          <w:rFonts w:ascii="Arial" w:cs="Arial" w:eastAsia="Arial" w:hAnsi="Arial"/>
          <w:sz w:val="16"/>
          <w:szCs w:val="16"/>
          <w:u w:val="single" w:color="auto"/>
          <w:color w:val="auto"/>
        </w:rPr>
        <w:t>Section 8.02(e)(iv)</w:t>
      </w:r>
      <w:r>
        <w:rPr>
          <w:rFonts w:ascii="Arial" w:cs="Arial" w:eastAsia="Arial" w:hAnsi="Arial"/>
          <w:sz w:val="16"/>
          <w:szCs w:val="16"/>
          <w:color w:val="auto"/>
        </w:rPr>
        <w:t xml:space="preserve"> and the aggregate amount of Indebtedness outstanding under </w:t>
      </w:r>
      <w:r>
        <w:rPr>
          <w:rFonts w:ascii="Arial" w:cs="Arial" w:eastAsia="Arial" w:hAnsi="Arial"/>
          <w:sz w:val="16"/>
          <w:szCs w:val="16"/>
          <w:u w:val="single" w:color="auto"/>
          <w:color w:val="auto"/>
        </w:rPr>
        <w:t>Section</w:t>
      </w:r>
    </w:p>
    <w:p>
      <w:pPr>
        <w:ind w:left="660" w:right="380"/>
        <w:spacing w:after="0" w:line="303" w:lineRule="auto"/>
        <w:rPr>
          <w:rFonts w:ascii="Arial" w:cs="Arial" w:eastAsia="Arial" w:hAnsi="Arial"/>
          <w:sz w:val="16"/>
          <w:szCs w:val="16"/>
          <w:color w:val="auto"/>
        </w:rPr>
      </w:pPr>
      <w:r>
        <w:rPr>
          <w:rFonts w:ascii="Arial" w:cs="Arial" w:eastAsia="Arial" w:hAnsi="Arial"/>
          <w:sz w:val="20"/>
          <w:szCs w:val="20"/>
          <w:u w:val="single" w:color="auto"/>
          <w:color w:val="auto"/>
        </w:rPr>
        <w:t>8.03(q)(iii)</w:t>
      </w:r>
      <w:r>
        <w:rPr>
          <w:rFonts w:ascii="Arial" w:cs="Arial" w:eastAsia="Arial" w:hAnsi="Arial"/>
          <w:sz w:val="20"/>
          <w:szCs w:val="20"/>
          <w:color w:val="auto"/>
        </w:rPr>
        <w:t>, and (B) in the case of members of the Consolidated Group other than members that are organized and operating in the Peoples Republic of China, $60 million at any time;</w:t>
      </w:r>
    </w:p>
    <w:p>
      <w:pPr>
        <w:spacing w:after="0" w:line="175" w:lineRule="exact"/>
        <w:rPr>
          <w:rFonts w:ascii="Arial" w:cs="Arial" w:eastAsia="Arial" w:hAnsi="Arial"/>
          <w:sz w:val="16"/>
          <w:szCs w:val="16"/>
          <w:color w:val="auto"/>
        </w:rPr>
      </w:pPr>
    </w:p>
    <w:p>
      <w:pPr>
        <w:ind w:left="1700" w:hanging="395"/>
        <w:spacing w:after="0"/>
        <w:tabs>
          <w:tab w:leader="none" w:pos="1700" w:val="left"/>
        </w:tabs>
        <w:numPr>
          <w:ilvl w:val="1"/>
          <w:numId w:val="225"/>
        </w:numPr>
        <w:rPr>
          <w:rFonts w:ascii="Arial" w:cs="Arial" w:eastAsia="Arial" w:hAnsi="Arial"/>
          <w:sz w:val="18"/>
          <w:szCs w:val="18"/>
          <w:color w:val="auto"/>
        </w:rPr>
      </w:pPr>
      <w:r>
        <w:rPr>
          <w:rFonts w:ascii="Arial" w:cs="Arial" w:eastAsia="Arial" w:hAnsi="Arial"/>
          <w:sz w:val="18"/>
          <w:szCs w:val="18"/>
          <w:color w:val="auto"/>
        </w:rPr>
        <w:t>Indebtedness or other obligations (contingent or otherwise) of any member of the Consolidated Group existing or arising</w:t>
      </w:r>
    </w:p>
    <w:p>
      <w:pPr>
        <w:spacing w:after="0" w:line="76" w:lineRule="exact"/>
        <w:rPr>
          <w:rFonts w:ascii="Arial" w:cs="Arial" w:eastAsia="Arial" w:hAnsi="Arial"/>
          <w:sz w:val="18"/>
          <w:szCs w:val="18"/>
          <w:color w:val="auto"/>
        </w:rPr>
      </w:pPr>
    </w:p>
    <w:p>
      <w:pPr>
        <w:ind w:left="660" w:right="60"/>
        <w:spacing w:after="0" w:line="266" w:lineRule="exact"/>
        <w:rPr>
          <w:rFonts w:ascii="Arial" w:cs="Arial" w:eastAsia="Arial" w:hAnsi="Arial"/>
          <w:sz w:val="18"/>
          <w:szCs w:val="18"/>
          <w:color w:val="auto"/>
        </w:rPr>
      </w:pPr>
      <w:r>
        <w:rPr>
          <w:rFonts w:ascii="Arial" w:cs="Arial" w:eastAsia="Arial" w:hAnsi="Arial"/>
          <w:sz w:val="19"/>
          <w:szCs w:val="19"/>
          <w:color w:val="auto"/>
        </w:rPr>
        <w:t xml:space="preserve">under any Swap Contract,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(i) such obligations are entered into by such Person in the ordinary course of business for the purpose of directly mitigating risks associated with liabilities, commitments, investments, assets, or property held or reasonably anticipated by such Person, or changes in the value of securities issued by such Person, and not for purposes of speculation or taking a “market view” and (ii) such Swap Contract does not contain any provision exonerating the non</w:t>
      </w:r>
      <w:r>
        <w:rPr>
          <w:rFonts w:ascii="MS PGothic" w:cs="MS PGothic" w:eastAsia="MS PGothic" w:hAnsi="MS PGothic"/>
          <w:sz w:val="19"/>
          <w:szCs w:val="19"/>
          <w:color w:val="auto"/>
        </w:rPr>
        <w:t>‑</w:t>
      </w:r>
      <w:r>
        <w:rPr>
          <w:rFonts w:ascii="Arial" w:cs="Arial" w:eastAsia="Arial" w:hAnsi="Arial"/>
          <w:sz w:val="19"/>
          <w:szCs w:val="19"/>
          <w:color w:val="auto"/>
        </w:rPr>
        <w:t>defaulting party from its obligation to make payments on outstanding transactions to the defaulting party;</w:t>
      </w:r>
    </w:p>
    <w:p>
      <w:pPr>
        <w:spacing w:after="0" w:line="237" w:lineRule="exact"/>
        <w:rPr>
          <w:rFonts w:ascii="Arial" w:cs="Arial" w:eastAsia="Arial" w:hAnsi="Arial"/>
          <w:sz w:val="18"/>
          <w:szCs w:val="18"/>
          <w:color w:val="auto"/>
        </w:rPr>
      </w:pPr>
    </w:p>
    <w:p>
      <w:pPr>
        <w:ind w:left="1680" w:hanging="375"/>
        <w:spacing w:after="0"/>
        <w:tabs>
          <w:tab w:leader="none" w:pos="1680" w:val="left"/>
        </w:tabs>
        <w:numPr>
          <w:ilvl w:val="1"/>
          <w:numId w:val="225"/>
        </w:numPr>
        <w:rPr>
          <w:rFonts w:ascii="Arial" w:cs="Arial" w:eastAsia="Arial" w:hAnsi="Arial"/>
          <w:sz w:val="19"/>
          <w:szCs w:val="19"/>
          <w:color w:val="auto"/>
        </w:rPr>
      </w:pPr>
      <w:r>
        <w:rPr>
          <w:rFonts w:ascii="Arial" w:cs="Arial" w:eastAsia="Arial" w:hAnsi="Arial"/>
          <w:sz w:val="19"/>
          <w:szCs w:val="19"/>
          <w:color w:val="auto"/>
        </w:rPr>
        <w:t xml:space="preserve">intercompany Indebtedness among members of the Consolidated Group to the extent permitted by </w:t>
      </w:r>
      <w:r>
        <w:rPr>
          <w:rFonts w:ascii="Arial" w:cs="Arial" w:eastAsia="Arial" w:hAnsi="Arial"/>
          <w:sz w:val="19"/>
          <w:szCs w:val="19"/>
          <w:u w:val="single" w:color="auto"/>
          <w:color w:val="auto"/>
        </w:rPr>
        <w:t>Section 8.02</w:t>
      </w:r>
      <w:r>
        <w:rPr>
          <w:rFonts w:ascii="Arial" w:cs="Arial" w:eastAsia="Arial" w:hAnsi="Arial"/>
          <w:sz w:val="19"/>
          <w:szCs w:val="19"/>
          <w:color w:val="auto"/>
        </w:rPr>
        <w:t>;</w:t>
      </w:r>
    </w:p>
    <w:p>
      <w:pPr>
        <w:spacing w:after="0" w:line="281" w:lineRule="exact"/>
        <w:rPr>
          <w:rFonts w:ascii="Arial" w:cs="Arial" w:eastAsia="Arial" w:hAnsi="Arial"/>
          <w:sz w:val="19"/>
          <w:szCs w:val="19"/>
          <w:color w:val="auto"/>
        </w:rPr>
      </w:pPr>
    </w:p>
    <w:p>
      <w:pPr>
        <w:ind w:left="1720" w:hanging="415"/>
        <w:spacing w:after="0"/>
        <w:tabs>
          <w:tab w:leader="none" w:pos="1720" w:val="left"/>
        </w:tabs>
        <w:numPr>
          <w:ilvl w:val="1"/>
          <w:numId w:val="225"/>
        </w:numPr>
        <w:rPr>
          <w:rFonts w:ascii="Arial" w:cs="Arial" w:eastAsia="Arial" w:hAnsi="Arial"/>
          <w:sz w:val="20"/>
          <w:szCs w:val="20"/>
          <w:color w:val="auto"/>
        </w:rPr>
      </w:pPr>
      <w:r>
        <w:rPr>
          <w:rFonts w:ascii="Arial" w:cs="Arial" w:eastAsia="Arial" w:hAnsi="Arial"/>
          <w:sz w:val="20"/>
          <w:szCs w:val="20"/>
          <w:color w:val="auto"/>
        </w:rPr>
        <w:t>Indebtedness in respect of performance bonds and surety bonds incurred in the ordinary course of business;</w:t>
      </w:r>
    </w:p>
    <w:p>
      <w:pPr>
        <w:spacing w:after="0" w:line="269" w:lineRule="exact"/>
        <w:rPr>
          <w:rFonts w:ascii="Arial" w:cs="Arial" w:eastAsia="Arial" w:hAnsi="Arial"/>
          <w:sz w:val="20"/>
          <w:szCs w:val="20"/>
          <w:color w:val="auto"/>
        </w:rPr>
      </w:pPr>
    </w:p>
    <w:p>
      <w:pPr>
        <w:ind w:left="660" w:right="120" w:firstLine="645"/>
        <w:spacing w:after="0" w:line="317" w:lineRule="auto"/>
        <w:tabs>
          <w:tab w:leader="none" w:pos="1719" w:val="left"/>
        </w:tabs>
        <w:numPr>
          <w:ilvl w:val="1"/>
          <w:numId w:val="225"/>
        </w:numPr>
        <w:rPr>
          <w:rFonts w:ascii="Arial" w:cs="Arial" w:eastAsia="Arial" w:hAnsi="Arial"/>
          <w:sz w:val="20"/>
          <w:szCs w:val="20"/>
          <w:color w:val="auto"/>
        </w:rPr>
      </w:pPr>
      <w:r>
        <w:rPr>
          <w:rFonts w:ascii="Arial" w:cs="Arial" w:eastAsia="Arial" w:hAnsi="Arial"/>
          <w:sz w:val="20"/>
          <w:szCs w:val="20"/>
          <w:color w:val="auto"/>
        </w:rPr>
        <w:t>Indebtedness consisting of guarantees, indemnities or obligations in respect of purchase price adjustments in connection with the Acquisitions or Dispositions otherwise permitted hereunder;</w:t>
      </w:r>
    </w:p>
    <w:p>
      <w:pPr>
        <w:spacing w:after="0" w:line="162" w:lineRule="exact"/>
        <w:rPr>
          <w:rFonts w:ascii="Arial" w:cs="Arial" w:eastAsia="Arial" w:hAnsi="Arial"/>
          <w:sz w:val="20"/>
          <w:szCs w:val="20"/>
          <w:color w:val="auto"/>
        </w:rPr>
      </w:pPr>
    </w:p>
    <w:p>
      <w:pPr>
        <w:ind w:left="1680" w:hanging="375"/>
        <w:spacing w:after="0"/>
        <w:tabs>
          <w:tab w:leader="none" w:pos="1680" w:val="left"/>
        </w:tabs>
        <w:numPr>
          <w:ilvl w:val="1"/>
          <w:numId w:val="225"/>
        </w:numPr>
        <w:rPr>
          <w:rFonts w:ascii="Arial" w:cs="Arial" w:eastAsia="Arial" w:hAnsi="Arial"/>
          <w:sz w:val="16"/>
          <w:szCs w:val="16"/>
          <w:color w:val="auto"/>
        </w:rPr>
      </w:pPr>
      <w:r>
        <w:rPr>
          <w:rFonts w:ascii="Arial" w:cs="Arial" w:eastAsia="Arial" w:hAnsi="Arial"/>
          <w:sz w:val="16"/>
          <w:szCs w:val="16"/>
          <w:color w:val="auto"/>
        </w:rPr>
        <w:t>Indebtedness consisting of guaranties by EWI and other members of the Consolidated Group to secure the performance of</w:t>
      </w:r>
    </w:p>
    <w:p>
      <w:pPr>
        <w:spacing w:after="0" w:line="99" w:lineRule="exact"/>
        <w:rPr>
          <w:rFonts w:ascii="Arial" w:cs="Arial" w:eastAsia="Arial" w:hAnsi="Arial"/>
          <w:sz w:val="16"/>
          <w:szCs w:val="16"/>
          <w:color w:val="auto"/>
        </w:rPr>
      </w:pPr>
    </w:p>
    <w:p>
      <w:pPr>
        <w:ind w:left="660" w:right="320"/>
        <w:spacing w:after="0" w:line="303" w:lineRule="auto"/>
        <w:rPr>
          <w:rFonts w:ascii="Arial" w:cs="Arial" w:eastAsia="Arial" w:hAnsi="Arial"/>
          <w:sz w:val="16"/>
          <w:szCs w:val="16"/>
          <w:color w:val="auto"/>
        </w:rPr>
      </w:pPr>
      <w:r>
        <w:rPr>
          <w:rFonts w:ascii="Arial" w:cs="Arial" w:eastAsia="Arial" w:hAnsi="Arial"/>
          <w:sz w:val="20"/>
          <w:szCs w:val="20"/>
          <w:color w:val="auto"/>
        </w:rPr>
        <w:t>financial and contractual obligations of members of the Consolidated Group in the ordinary course of business consistent with past practice;</w:t>
      </w:r>
    </w:p>
    <w:p>
      <w:pPr>
        <w:spacing w:after="0" w:line="175" w:lineRule="exact"/>
        <w:rPr>
          <w:rFonts w:ascii="Arial" w:cs="Arial" w:eastAsia="Arial" w:hAnsi="Arial"/>
          <w:sz w:val="16"/>
          <w:szCs w:val="16"/>
          <w:color w:val="auto"/>
        </w:rPr>
      </w:pPr>
    </w:p>
    <w:p>
      <w:pPr>
        <w:ind w:left="660" w:right="500" w:firstLine="645"/>
        <w:spacing w:after="0" w:line="317" w:lineRule="auto"/>
        <w:tabs>
          <w:tab w:leader="none" w:pos="1675" w:val="left"/>
        </w:tabs>
        <w:numPr>
          <w:ilvl w:val="1"/>
          <w:numId w:val="225"/>
        </w:numPr>
        <w:rPr>
          <w:rFonts w:ascii="Arial" w:cs="Arial" w:eastAsia="Arial" w:hAnsi="Arial"/>
          <w:sz w:val="20"/>
          <w:szCs w:val="20"/>
          <w:color w:val="auto"/>
        </w:rPr>
      </w:pPr>
      <w:r>
        <w:rPr>
          <w:rFonts w:ascii="Arial" w:cs="Arial" w:eastAsia="Arial" w:hAnsi="Arial"/>
          <w:sz w:val="20"/>
          <w:szCs w:val="20"/>
          <w:color w:val="auto"/>
        </w:rPr>
        <w:t xml:space="preserve">Indebtedness </w:t>
      </w:r>
      <w:r>
        <w:rPr>
          <w:rFonts w:ascii="Arial" w:cs="Arial" w:eastAsia="Arial" w:hAnsi="Arial"/>
          <w:sz w:val="20"/>
          <w:szCs w:val="20"/>
          <w:color w:val="FF0000"/>
          <w:strike w:val="1"/>
        </w:rPr>
        <w:t>secured by Liens permitted by</w:t>
      </w:r>
      <w:r>
        <w:rPr>
          <w:rFonts w:ascii="Arial" w:cs="Arial" w:eastAsia="Arial" w:hAnsi="Arial"/>
          <w:sz w:val="20"/>
          <w:szCs w:val="20"/>
          <w:color w:val="auto"/>
        </w:rPr>
        <w:t xml:space="preserve"> </w:t>
      </w:r>
      <w:r>
        <w:rPr>
          <w:rFonts w:ascii="Arial" w:cs="Arial" w:eastAsia="Arial" w:hAnsi="Arial"/>
          <w:sz w:val="20"/>
          <w:szCs w:val="20"/>
          <w:u w:val="single" w:color="auto"/>
          <w:color w:val="FF0000"/>
          <w:strike w:val="1"/>
        </w:rPr>
        <w:t>Section 8.01(k)</w:t>
      </w:r>
      <w:r>
        <w:rPr>
          <w:rFonts w:ascii="Arial" w:cs="Arial" w:eastAsia="Arial" w:hAnsi="Arial"/>
          <w:sz w:val="20"/>
          <w:szCs w:val="20"/>
          <w:color w:val="auto"/>
        </w:rPr>
        <w:t xml:space="preserve"> </w:t>
      </w:r>
      <w:r>
        <w:rPr>
          <w:rFonts w:ascii="Arial" w:cs="Arial" w:eastAsia="Arial" w:hAnsi="Arial"/>
          <w:sz w:val="20"/>
          <w:szCs w:val="20"/>
          <w:color w:val="FF0000"/>
          <w:strike w:val="1"/>
        </w:rPr>
        <w:t>and any Refinancing Liens related thereto permitted by</w:t>
      </w:r>
      <w:r>
        <w:rPr>
          <w:rFonts w:ascii="Arial" w:cs="Arial" w:eastAsia="Arial" w:hAnsi="Arial"/>
          <w:sz w:val="20"/>
          <w:szCs w:val="20"/>
          <w:color w:val="auto"/>
        </w:rPr>
        <w:t xml:space="preserve"> </w:t>
      </w:r>
      <w:r>
        <w:rPr>
          <w:rFonts w:ascii="Arial" w:cs="Arial" w:eastAsia="Arial" w:hAnsi="Arial"/>
          <w:sz w:val="20"/>
          <w:szCs w:val="20"/>
          <w:u w:val="single" w:color="auto"/>
          <w:color w:val="FF0000"/>
          <w:strike w:val="1"/>
        </w:rPr>
        <w:t xml:space="preserve">Section 8.01(r) </w:t>
      </w:r>
      <w:r>
        <w:rPr>
          <w:rFonts w:ascii="Arial" w:cs="Arial" w:eastAsia="Arial" w:hAnsi="Arial"/>
          <w:sz w:val="20"/>
          <w:szCs w:val="20"/>
          <w:color w:val="FF0000"/>
          <w:strike w:val="1"/>
        </w:rPr>
        <w:t>and unsecured</w:t>
      </w:r>
      <w:r>
        <w:rPr>
          <w:rFonts w:ascii="Arial" w:cs="Arial" w:eastAsia="Arial" w:hAnsi="Arial"/>
          <w:sz w:val="20"/>
          <w:szCs w:val="20"/>
          <w:u w:val="single" w:color="auto"/>
          <w:color w:val="FF0000"/>
          <w:strike w:val="1"/>
        </w:rPr>
        <w:t xml:space="preserve"> </w:t>
      </w:r>
      <w:r>
        <w:rPr>
          <w:rFonts w:ascii="Arial" w:cs="Arial" w:eastAsia="Arial" w:hAnsi="Arial"/>
          <w:sz w:val="20"/>
          <w:szCs w:val="20"/>
          <w:u w:val="single" w:color="auto"/>
          <w:color w:val="0000FF"/>
          <w:strike w:val="1"/>
        </w:rPr>
        <w:t>that is:</w:t>
      </w:r>
    </w:p>
    <w:p>
      <w:pPr>
        <w:spacing w:after="0" w:line="162" w:lineRule="exact"/>
        <w:rPr>
          <w:rFonts w:ascii="Arial" w:cs="Arial" w:eastAsia="Arial" w:hAnsi="Arial"/>
          <w:sz w:val="20"/>
          <w:szCs w:val="20"/>
          <w:color w:val="auto"/>
        </w:rPr>
      </w:pPr>
    </w:p>
    <w:p>
      <w:pPr>
        <w:ind w:left="1300" w:right="180" w:firstLine="653"/>
        <w:spacing w:after="0" w:line="292" w:lineRule="auto"/>
        <w:tabs>
          <w:tab w:leader="none" w:pos="2333" w:val="left"/>
        </w:tabs>
        <w:numPr>
          <w:ilvl w:val="2"/>
          <w:numId w:val="225"/>
        </w:numPr>
        <w:rPr>
          <w:rFonts w:ascii="Arial" w:cs="Arial" w:eastAsia="Arial" w:hAnsi="Arial"/>
          <w:sz w:val="20"/>
          <w:szCs w:val="20"/>
          <w:color w:val="0000FF"/>
        </w:rPr>
      </w:pPr>
      <w:r>
        <w:rPr>
          <w:rFonts w:ascii="Arial" w:cs="Arial" w:eastAsia="Arial" w:hAnsi="Arial"/>
          <w:sz w:val="20"/>
          <w:szCs w:val="20"/>
          <w:color w:val="auto"/>
        </w:rPr>
        <w:t>Indebtedness acquired or assumed in connection with a Permitted Acquisition</w:t>
      </w:r>
      <w:r>
        <w:rPr>
          <w:rFonts w:ascii="Arial" w:cs="Arial" w:eastAsia="Arial" w:hAnsi="Arial"/>
          <w:sz w:val="20"/>
          <w:szCs w:val="20"/>
          <w:color w:val="FF0000"/>
          <w:strike w:val="1"/>
        </w:rPr>
        <w:t>;</w:t>
      </w:r>
      <w:r>
        <w:rPr>
          <w:rFonts w:ascii="Arial" w:cs="Arial" w:eastAsia="Arial" w:hAnsi="Arial"/>
          <w:sz w:val="20"/>
          <w:szCs w:val="20"/>
          <w:color w:val="auto"/>
        </w:rPr>
        <w:t xml:space="preserve"> </w:t>
      </w:r>
      <w:r>
        <w:rPr>
          <w:rFonts w:ascii="Arial" w:cs="Arial" w:eastAsia="Arial" w:hAnsi="Arial"/>
          <w:sz w:val="20"/>
          <w:szCs w:val="20"/>
          <w:u w:val="single" w:color="auto"/>
          <w:color w:val="FF0000"/>
          <w:strike w:val="1"/>
        </w:rPr>
        <w:t>provided</w:t>
      </w:r>
      <w:r>
        <w:rPr>
          <w:rFonts w:ascii="Arial" w:cs="Arial" w:eastAsia="Arial" w:hAnsi="Arial"/>
          <w:sz w:val="20"/>
          <w:szCs w:val="20"/>
          <w:color w:val="auto"/>
        </w:rPr>
        <w:t xml:space="preserve"> </w:t>
      </w:r>
      <w:r>
        <w:rPr>
          <w:rFonts w:ascii="Arial" w:cs="Arial" w:eastAsia="Arial" w:hAnsi="Arial"/>
          <w:sz w:val="20"/>
          <w:szCs w:val="20"/>
          <w:color w:val="FF0000"/>
          <w:strike w:val="1"/>
        </w:rPr>
        <w:t>that</w:t>
      </w:r>
      <w:r>
        <w:rPr>
          <w:rFonts w:ascii="Arial" w:cs="Arial" w:eastAsia="Arial" w:hAnsi="Arial"/>
          <w:sz w:val="20"/>
          <w:szCs w:val="20"/>
          <w:u w:val="single" w:color="auto"/>
          <w:color w:val="0000FF"/>
        </w:rPr>
        <w:t>, including secured</w:t>
      </w:r>
      <w:r>
        <w:rPr>
          <w:rFonts w:ascii="Arial" w:cs="Arial" w:eastAsia="Arial" w:hAnsi="Arial"/>
          <w:sz w:val="20"/>
          <w:szCs w:val="20"/>
          <w:color w:val="auto"/>
        </w:rPr>
        <w:t xml:space="preserve"> </w:t>
      </w:r>
      <w:r>
        <w:rPr>
          <w:rFonts w:ascii="Arial" w:cs="Arial" w:eastAsia="Arial" w:hAnsi="Arial"/>
          <w:sz w:val="20"/>
          <w:szCs w:val="20"/>
          <w:u w:val="single" w:color="auto"/>
          <w:color w:val="0000FF"/>
        </w:rPr>
        <w:t>indebtedness to the extent permitted under Section 8.01, so long as</w:t>
      </w:r>
      <w:r>
        <w:rPr>
          <w:rFonts w:ascii="Arial" w:cs="Arial" w:eastAsia="Arial" w:hAnsi="Arial"/>
          <w:sz w:val="20"/>
          <w:szCs w:val="20"/>
          <w:color w:val="0000FF"/>
        </w:rPr>
        <w:t xml:space="preserve"> </w:t>
      </w:r>
      <w:r>
        <w:rPr>
          <w:rFonts w:ascii="Arial" w:cs="Arial" w:eastAsia="Arial" w:hAnsi="Arial"/>
          <w:sz w:val="20"/>
          <w:szCs w:val="20"/>
          <w:color w:val="000000"/>
        </w:rPr>
        <w:t>such Indebtedness was not incurred in anticipation or</w:t>
      </w:r>
      <w:r>
        <w:rPr>
          <w:rFonts w:ascii="Arial" w:cs="Arial" w:eastAsia="Arial" w:hAnsi="Arial"/>
          <w:sz w:val="20"/>
          <w:szCs w:val="20"/>
          <w:color w:val="0000FF"/>
        </w:rPr>
        <w:t xml:space="preserve"> </w:t>
      </w:r>
      <w:r>
        <w:rPr>
          <w:rFonts w:ascii="Arial" w:cs="Arial" w:eastAsia="Arial" w:hAnsi="Arial"/>
          <w:sz w:val="20"/>
          <w:szCs w:val="20"/>
          <w:color w:val="000000"/>
        </w:rPr>
        <w:t xml:space="preserve">contemplation of </w:t>
      </w:r>
      <w:r>
        <w:rPr>
          <w:rFonts w:ascii="Arial" w:cs="Arial" w:eastAsia="Arial" w:hAnsi="Arial"/>
          <w:sz w:val="20"/>
          <w:szCs w:val="20"/>
          <w:color w:val="FF0000"/>
          <w:strike w:val="1"/>
        </w:rPr>
        <w:t>such Permitted Acquisition;</w:t>
      </w:r>
      <w:r>
        <w:rPr>
          <w:rFonts w:ascii="Arial" w:cs="Arial" w:eastAsia="Arial" w:hAnsi="Arial"/>
          <w:sz w:val="20"/>
          <w:szCs w:val="20"/>
          <w:u w:val="single" w:color="auto"/>
          <w:color w:val="0000FF"/>
        </w:rPr>
        <w:t>the acquisition, and</w:t>
      </w:r>
    </w:p>
    <w:p>
      <w:pPr>
        <w:spacing w:after="0" w:line="186" w:lineRule="exact"/>
        <w:rPr>
          <w:rFonts w:ascii="Arial" w:cs="Arial" w:eastAsia="Arial" w:hAnsi="Arial"/>
          <w:sz w:val="20"/>
          <w:szCs w:val="20"/>
          <w:color w:val="0000FF"/>
        </w:rPr>
      </w:pPr>
    </w:p>
    <w:p>
      <w:pPr>
        <w:ind w:left="1300" w:right="220" w:firstLine="653"/>
        <w:spacing w:after="0" w:line="338" w:lineRule="auto"/>
        <w:tabs>
          <w:tab w:leader="none" w:pos="2388" w:val="left"/>
        </w:tabs>
        <w:numPr>
          <w:ilvl w:val="2"/>
          <w:numId w:val="225"/>
        </w:numPr>
        <w:rPr>
          <w:rFonts w:ascii="Arial" w:cs="Arial" w:eastAsia="Arial" w:hAnsi="Arial"/>
          <w:sz w:val="18"/>
          <w:szCs w:val="18"/>
          <w:u w:val="single" w:color="auto"/>
          <w:color w:val="0000FF"/>
        </w:rPr>
      </w:pPr>
      <w:r>
        <w:rPr>
          <w:rFonts w:ascii="Arial" w:cs="Arial" w:eastAsia="Arial" w:hAnsi="Arial"/>
          <w:sz w:val="18"/>
          <w:szCs w:val="18"/>
          <w:u w:val="single" w:color="auto"/>
          <w:color w:val="0000FF"/>
        </w:rPr>
        <w:t>in addition to Indebtedness permitted under the foregoing subclause (i), Indebtedness incurred, acquired or assumed in connection with and in anticipation or contemplation of a Permitted Acquisition, subject, in each case under this subclause (ii), to demonstration after giving effect thereto on a Pro Forma Basis (A) of compliance 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1240155</wp:posOffset>
            </wp:positionH>
            <wp:positionV relativeFrom="paragraph">
              <wp:posOffset>-1075690</wp:posOffset>
            </wp:positionV>
            <wp:extent cx="244475"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244475" cy="8890"/>
                    </a:xfrm>
                    <a:prstGeom prst="rect">
                      <a:avLst/>
                    </a:prstGeom>
                    <a:noFill/>
                  </pic:spPr>
                </pic:pic>
              </a:graphicData>
            </a:graphic>
          </wp:anchor>
        </w:drawing>
      </w:r>
    </w:p>
    <w:p>
      <w:pPr>
        <w:spacing w:after="0" w:line="348" w:lineRule="exact"/>
        <w:rPr>
          <w:sz w:val="20"/>
          <w:szCs w:val="20"/>
          <w:color w:val="auto"/>
        </w:rPr>
      </w:pPr>
    </w:p>
    <w:p>
      <w:pPr>
        <w:jc w:val="center"/>
        <w:ind w:right="-79"/>
        <w:spacing w:after="0"/>
        <w:rPr>
          <w:sz w:val="20"/>
          <w:szCs w:val="20"/>
          <w:color w:val="auto"/>
        </w:rPr>
      </w:pPr>
      <w:r>
        <w:rPr>
          <w:rFonts w:ascii="Arial" w:cs="Arial" w:eastAsia="Arial" w:hAnsi="Arial"/>
          <w:sz w:val="20"/>
          <w:szCs w:val="20"/>
          <w:color w:val="auto"/>
        </w:rPr>
        <w:t>161</w:t>
      </w:r>
    </w:p>
    <w:p>
      <w:pPr>
        <w:spacing w:after="0" w:line="10" w:lineRule="exact"/>
        <w:rPr>
          <w:sz w:val="20"/>
          <w:szCs w:val="20"/>
          <w:color w:val="auto"/>
        </w:rPr>
      </w:pPr>
    </w:p>
    <w:p>
      <w:pPr>
        <w:spacing w:after="0"/>
        <w:rPr>
          <w:sz w:val="20"/>
          <w:szCs w:val="20"/>
          <w:color w:val="auto"/>
        </w:rPr>
      </w:pPr>
      <w:r>
        <w:rPr>
          <w:rFonts w:ascii="Arial" w:cs="Arial" w:eastAsia="Arial" w:hAnsi="Arial"/>
          <w:sz w:val="14"/>
          <w:szCs w:val="14"/>
          <w:color w:val="auto"/>
        </w:rPr>
        <w:t>CHAR1\1346423v</w:t>
      </w:r>
      <w:r>
        <w:rPr>
          <w:rFonts w:ascii="Arial" w:cs="Arial" w:eastAsia="Arial" w:hAnsi="Arial"/>
          <w:sz w:val="14"/>
          <w:szCs w:val="14"/>
          <w:color w:val="FF0000"/>
          <w:strike w:val="1"/>
        </w:rPr>
        <w:t>1</w:t>
      </w:r>
      <w:r>
        <w:rPr>
          <w:rFonts w:ascii="Arial" w:cs="Arial" w:eastAsia="Arial" w:hAnsi="Arial"/>
          <w:sz w:val="14"/>
          <w:szCs w:val="14"/>
          <w:u w:val="single" w:color="auto"/>
          <w:color w:val="0000FF"/>
        </w:rPr>
        <w:t>12</w:t>
      </w:r>
    </w:p>
    <w:p>
      <w:pPr>
        <w:sectPr>
          <w:pgSz w:w="11900" w:h="16838" w:orient="portrait"/>
          <w:cols w:equalWidth="0" w:num="1">
            <w:col w:w="11340"/>
          </w:cols>
          <w:pgMar w:left="240" w:top="609" w:right="319" w:bottom="1440" w:gutter="0" w:footer="0" w:header="0"/>
        </w:sectPr>
      </w:pPr>
    </w:p>
    <w:bookmarkStart w:id="213" w:name="page214"/>
    <w:bookmarkEnd w:id="213"/>
    <w:p>
      <w:pPr>
        <w:ind w:left="1300" w:right="20"/>
        <w:spacing w:after="0" w:line="303" w:lineRule="auto"/>
        <w:rPr>
          <w:sz w:val="20"/>
          <w:szCs w:val="20"/>
          <w:color w:val="auto"/>
        </w:rPr>
      </w:pPr>
      <w:r>
        <w:rPr>
          <w:rFonts w:ascii="Arial" w:cs="Arial" w:eastAsia="Arial" w:hAnsi="Arial"/>
          <w:sz w:val="20"/>
          <w:szCs w:val="20"/>
          <w:u w:val="single" w:color="auto"/>
          <w:color w:val="0000FF"/>
        </w:rPr>
        <w:t>the financial covenants under Section 8.12 and (B) that</w:t>
      </w:r>
      <w:r>
        <w:rPr>
          <w:rFonts w:ascii="Arial" w:cs="Arial" w:eastAsia="Arial" w:hAnsi="Arial"/>
          <w:sz w:val="20"/>
          <w:szCs w:val="20"/>
          <w:color w:val="0000FF"/>
        </w:rPr>
        <w:t xml:space="preserve"> </w:t>
      </w:r>
      <w:r>
        <w:rPr>
          <w:rFonts w:ascii="Arial" w:cs="Arial" w:eastAsia="Arial" w:hAnsi="Arial"/>
          <w:sz w:val="20"/>
          <w:szCs w:val="20"/>
          <w:color w:val="00C000"/>
        </w:rPr>
        <w:t>the Consolidated Total Leverage Ratio</w:t>
      </w:r>
      <w:r>
        <w:rPr>
          <w:rFonts w:ascii="Arial" w:cs="Arial" w:eastAsia="Arial" w:hAnsi="Arial"/>
          <w:sz w:val="20"/>
          <w:szCs w:val="20"/>
          <w:color w:val="0000FF"/>
        </w:rPr>
        <w:t xml:space="preserve"> </w:t>
      </w:r>
      <w:r>
        <w:rPr>
          <w:rFonts w:ascii="Arial" w:cs="Arial" w:eastAsia="Arial" w:hAnsi="Arial"/>
          <w:sz w:val="20"/>
          <w:szCs w:val="20"/>
          <w:u w:val="single" w:color="auto"/>
          <w:color w:val="0000FF"/>
        </w:rPr>
        <w:t>will be at least 0.50:1.0 less than</w:t>
      </w:r>
      <w:r>
        <w:rPr>
          <w:rFonts w:ascii="Arial" w:cs="Arial" w:eastAsia="Arial" w:hAnsi="Arial"/>
          <w:sz w:val="20"/>
          <w:szCs w:val="20"/>
          <w:color w:val="0000FF"/>
        </w:rPr>
        <w:t xml:space="preserve"> </w:t>
      </w:r>
      <w:r>
        <w:rPr>
          <w:rFonts w:ascii="Arial" w:cs="Arial" w:eastAsia="Arial" w:hAnsi="Arial"/>
          <w:sz w:val="20"/>
          <w:szCs w:val="20"/>
          <w:u w:val="single" w:color="auto"/>
          <w:color w:val="0000FF"/>
        </w:rPr>
        <w:t>(a half-</w:t>
      </w:r>
      <w:r>
        <w:rPr>
          <w:rFonts w:ascii="Arial" w:cs="Arial" w:eastAsia="Arial" w:hAnsi="Arial"/>
          <w:sz w:val="20"/>
          <w:szCs w:val="20"/>
          <w:u w:val="single" w:color="auto"/>
          <w:color w:val="00C000"/>
        </w:rPr>
        <w:t>turn inside) the maximum</w:t>
      </w:r>
      <w:r>
        <w:rPr>
          <w:rFonts w:ascii="Arial" w:cs="Arial" w:eastAsia="Arial" w:hAnsi="Arial"/>
          <w:sz w:val="20"/>
          <w:szCs w:val="20"/>
          <w:u w:val="single" w:color="auto"/>
          <w:color w:val="0000FF"/>
        </w:rPr>
        <w:t xml:space="preserve"> otherwise allowed under Section 8.12(a),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3596005</wp:posOffset>
            </wp:positionH>
            <wp:positionV relativeFrom="paragraph">
              <wp:posOffset>-237490</wp:posOffset>
            </wp:positionV>
            <wp:extent cx="2001520"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2001520" cy="8890"/>
                    </a:xfrm>
                    <a:prstGeom prst="rect">
                      <a:avLst/>
                    </a:prstGeom>
                    <a:noFill/>
                  </pic:spPr>
                </pic:pic>
              </a:graphicData>
            </a:graphic>
          </wp:anchor>
        </w:drawing>
      </w:r>
    </w:p>
    <w:p>
      <w:pPr>
        <w:spacing w:after="0" w:line="129" w:lineRule="exact"/>
        <w:rPr>
          <w:sz w:val="20"/>
          <w:szCs w:val="20"/>
          <w:color w:val="auto"/>
        </w:rPr>
      </w:pPr>
    </w:p>
    <w:p>
      <w:pPr>
        <w:ind w:left="660" w:right="160"/>
        <w:spacing w:after="0" w:line="260" w:lineRule="auto"/>
        <w:rPr>
          <w:sz w:val="20"/>
          <w:szCs w:val="20"/>
          <w:color w:val="auto"/>
        </w:rPr>
      </w:pPr>
      <w:r>
        <w:rPr>
          <w:rFonts w:ascii="Arial" w:cs="Arial" w:eastAsia="Arial" w:hAnsi="Arial"/>
          <w:sz w:val="20"/>
          <w:szCs w:val="20"/>
          <w:u w:val="single" w:color="auto"/>
          <w:color w:val="0000FF"/>
        </w:rPr>
        <w:t>and, in all such cases under this clause (j), Refinancing Indebtedness and Refinancing Liens relating thereto to the extent permitted by subsections (k) and (r) of Section 8.01;</w:t>
      </w:r>
    </w:p>
    <w:p>
      <w:pPr>
        <w:spacing w:after="0" w:line="245" w:lineRule="exact"/>
        <w:rPr>
          <w:sz w:val="20"/>
          <w:szCs w:val="20"/>
          <w:color w:val="auto"/>
        </w:rPr>
      </w:pPr>
    </w:p>
    <w:p>
      <w:pPr>
        <w:ind w:left="1720" w:hanging="415"/>
        <w:spacing w:after="0"/>
        <w:tabs>
          <w:tab w:leader="none" w:pos="1720" w:val="left"/>
        </w:tabs>
        <w:numPr>
          <w:ilvl w:val="1"/>
          <w:numId w:val="226"/>
        </w:numPr>
        <w:rPr>
          <w:rFonts w:ascii="Arial" w:cs="Arial" w:eastAsia="Arial" w:hAnsi="Arial"/>
          <w:sz w:val="18"/>
          <w:szCs w:val="18"/>
          <w:color w:val="auto"/>
        </w:rPr>
      </w:pPr>
      <w:r>
        <w:rPr>
          <w:rFonts w:ascii="Arial" w:cs="Arial" w:eastAsia="Arial" w:hAnsi="Arial"/>
          <w:sz w:val="18"/>
          <w:szCs w:val="18"/>
          <w:color w:val="auto"/>
        </w:rPr>
        <w:t>Indebtedness of up to $75 million at any time under letters of credit or bank guaranties (net of cash collateral provided</w:t>
      </w:r>
    </w:p>
    <w:p>
      <w:pPr>
        <w:spacing w:after="0" w:line="76" w:lineRule="exact"/>
        <w:rPr>
          <w:rFonts w:ascii="Arial" w:cs="Arial" w:eastAsia="Arial" w:hAnsi="Arial"/>
          <w:sz w:val="18"/>
          <w:szCs w:val="18"/>
          <w:color w:val="auto"/>
        </w:rPr>
      </w:pPr>
    </w:p>
    <w:p>
      <w:pPr>
        <w:ind w:left="660" w:right="240"/>
        <w:spacing w:after="0" w:line="303" w:lineRule="auto"/>
        <w:rPr>
          <w:rFonts w:ascii="Arial" w:cs="Arial" w:eastAsia="Arial" w:hAnsi="Arial"/>
          <w:sz w:val="18"/>
          <w:szCs w:val="18"/>
          <w:color w:val="auto"/>
        </w:rPr>
      </w:pPr>
      <w:r>
        <w:rPr>
          <w:rFonts w:ascii="Arial" w:cs="Arial" w:eastAsia="Arial" w:hAnsi="Arial"/>
          <w:sz w:val="20"/>
          <w:szCs w:val="20"/>
          <w:color w:val="auto"/>
        </w:rPr>
        <w:t>therefor) required by (1) vendors or suppliers of products, content or services distributed or provided through processing networks of the Consolidated Group or (2) correspondent payout agents to facilitate money transfers;</w:t>
      </w:r>
    </w:p>
    <w:p>
      <w:pPr>
        <w:spacing w:after="0" w:line="175" w:lineRule="exact"/>
        <w:rPr>
          <w:rFonts w:ascii="Arial" w:cs="Arial" w:eastAsia="Arial" w:hAnsi="Arial"/>
          <w:sz w:val="18"/>
          <w:szCs w:val="18"/>
          <w:color w:val="auto"/>
        </w:rPr>
      </w:pPr>
    </w:p>
    <w:p>
      <w:pPr>
        <w:ind w:left="1680" w:hanging="375"/>
        <w:spacing w:after="0"/>
        <w:tabs>
          <w:tab w:leader="none" w:pos="1680" w:val="left"/>
        </w:tabs>
        <w:numPr>
          <w:ilvl w:val="1"/>
          <w:numId w:val="226"/>
        </w:numPr>
        <w:rPr>
          <w:rFonts w:ascii="Arial" w:cs="Arial" w:eastAsia="Arial" w:hAnsi="Arial"/>
          <w:sz w:val="20"/>
          <w:szCs w:val="20"/>
          <w:color w:val="auto"/>
        </w:rPr>
      </w:pPr>
      <w:r>
        <w:rPr>
          <w:rFonts w:ascii="Arial" w:cs="Arial" w:eastAsia="Arial" w:hAnsi="Arial"/>
          <w:sz w:val="20"/>
          <w:szCs w:val="20"/>
          <w:color w:val="auto"/>
        </w:rPr>
        <w:t>Indebtedness of up to $75 million at any time in overdraft protection;</w:t>
      </w:r>
    </w:p>
    <w:p>
      <w:pPr>
        <w:spacing w:after="0" w:line="269" w:lineRule="exact"/>
        <w:rPr>
          <w:rFonts w:ascii="Arial" w:cs="Arial" w:eastAsia="Arial" w:hAnsi="Arial"/>
          <w:sz w:val="20"/>
          <w:szCs w:val="20"/>
          <w:color w:val="auto"/>
        </w:rPr>
      </w:pPr>
    </w:p>
    <w:p>
      <w:pPr>
        <w:ind w:left="1780" w:hanging="475"/>
        <w:spacing w:after="0"/>
        <w:tabs>
          <w:tab w:leader="none" w:pos="1780" w:val="left"/>
        </w:tabs>
        <w:numPr>
          <w:ilvl w:val="1"/>
          <w:numId w:val="226"/>
        </w:numPr>
        <w:rPr>
          <w:rFonts w:ascii="Arial" w:cs="Arial" w:eastAsia="Arial" w:hAnsi="Arial"/>
          <w:sz w:val="18"/>
          <w:szCs w:val="18"/>
          <w:color w:val="auto"/>
        </w:rPr>
      </w:pPr>
      <w:r>
        <w:rPr>
          <w:rFonts w:ascii="Arial" w:cs="Arial" w:eastAsia="Arial" w:hAnsi="Arial"/>
          <w:sz w:val="18"/>
          <w:szCs w:val="18"/>
          <w:color w:val="auto"/>
        </w:rPr>
        <w:t>Support Obligations by members of the Consolidated Group in respect of Indebtedness otherwise permitted hereunder,</w:t>
      </w:r>
    </w:p>
    <w:p>
      <w:pPr>
        <w:spacing w:after="0" w:line="76" w:lineRule="exact"/>
        <w:rPr>
          <w:rFonts w:ascii="Arial" w:cs="Arial" w:eastAsia="Arial" w:hAnsi="Arial"/>
          <w:sz w:val="18"/>
          <w:szCs w:val="18"/>
          <w:color w:val="auto"/>
        </w:rPr>
      </w:pPr>
    </w:p>
    <w:p>
      <w:pPr>
        <w:ind w:left="660" w:right="140"/>
        <w:spacing w:after="0" w:line="303" w:lineRule="auto"/>
        <w:rPr>
          <w:rFonts w:ascii="Arial" w:cs="Arial" w:eastAsia="Arial" w:hAnsi="Arial"/>
          <w:sz w:val="18"/>
          <w:szCs w:val="18"/>
          <w:color w:val="auto"/>
        </w:rPr>
      </w:pP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if the Support Obligations relate to Subordinated Debt, the Support Obligations relating thereto shall be subordinated on the same basis as the Subordinated Debt to which it relates;</w:t>
      </w:r>
    </w:p>
    <w:p>
      <w:pPr>
        <w:spacing w:after="0" w:line="175" w:lineRule="exact"/>
        <w:rPr>
          <w:rFonts w:ascii="Arial" w:cs="Arial" w:eastAsia="Arial" w:hAnsi="Arial"/>
          <w:sz w:val="18"/>
          <w:szCs w:val="18"/>
          <w:color w:val="auto"/>
        </w:rPr>
      </w:pPr>
    </w:p>
    <w:p>
      <w:pPr>
        <w:ind w:left="1720" w:hanging="415"/>
        <w:spacing w:after="0"/>
        <w:tabs>
          <w:tab w:leader="none" w:pos="1720" w:val="left"/>
        </w:tabs>
        <w:numPr>
          <w:ilvl w:val="1"/>
          <w:numId w:val="226"/>
        </w:numPr>
        <w:rPr>
          <w:rFonts w:ascii="Arial" w:cs="Arial" w:eastAsia="Arial" w:hAnsi="Arial"/>
          <w:sz w:val="19"/>
          <w:szCs w:val="19"/>
          <w:color w:val="auto"/>
        </w:rPr>
      </w:pPr>
      <w:r>
        <w:rPr>
          <w:rFonts w:ascii="Arial" w:cs="Arial" w:eastAsia="Arial" w:hAnsi="Arial"/>
          <w:sz w:val="19"/>
          <w:szCs w:val="19"/>
          <w:color w:val="auto"/>
        </w:rPr>
        <w:t>Indebtedness of up to $200 million in connection with a Securitization Transaction (but, for purposes hereof, without</w:t>
      </w:r>
    </w:p>
    <w:p>
      <w:pPr>
        <w:spacing w:after="0" w:line="65" w:lineRule="exact"/>
        <w:rPr>
          <w:rFonts w:ascii="Arial" w:cs="Arial" w:eastAsia="Arial" w:hAnsi="Arial"/>
          <w:sz w:val="19"/>
          <w:szCs w:val="19"/>
          <w:color w:val="auto"/>
        </w:rPr>
      </w:pPr>
    </w:p>
    <w:p>
      <w:pPr>
        <w:ind w:left="660"/>
        <w:spacing w:after="0" w:line="292" w:lineRule="auto"/>
        <w:rPr>
          <w:rFonts w:ascii="Arial" w:cs="Arial" w:eastAsia="Arial" w:hAnsi="Arial"/>
          <w:sz w:val="19"/>
          <w:szCs w:val="19"/>
          <w:color w:val="auto"/>
        </w:rPr>
      </w:pPr>
      <w:r>
        <w:rPr>
          <w:rFonts w:ascii="Arial" w:cs="Arial" w:eastAsia="Arial" w:hAnsi="Arial"/>
          <w:sz w:val="20"/>
          <w:szCs w:val="20"/>
          <w:color w:val="auto"/>
        </w:rPr>
        <w:t>regard to unfunded or undrawn commitments and which, in the case of a Securitization Transaction established to facilitate the issuance of letters of credit and bank guaranties, is without duplication for the letters of credit and bank guaranties issued in connection therewith);</w:t>
      </w:r>
    </w:p>
    <w:p>
      <w:pPr>
        <w:spacing w:after="0" w:line="186" w:lineRule="exact"/>
        <w:rPr>
          <w:rFonts w:ascii="Arial" w:cs="Arial" w:eastAsia="Arial" w:hAnsi="Arial"/>
          <w:sz w:val="19"/>
          <w:szCs w:val="19"/>
          <w:color w:val="auto"/>
        </w:rPr>
      </w:pPr>
    </w:p>
    <w:p>
      <w:pPr>
        <w:ind w:left="1720" w:hanging="415"/>
        <w:spacing w:after="0"/>
        <w:tabs>
          <w:tab w:leader="none" w:pos="1720" w:val="left"/>
        </w:tabs>
        <w:numPr>
          <w:ilvl w:val="1"/>
          <w:numId w:val="226"/>
        </w:numPr>
        <w:rPr>
          <w:rFonts w:ascii="Arial" w:cs="Arial" w:eastAsia="Arial" w:hAnsi="Arial"/>
          <w:sz w:val="18"/>
          <w:szCs w:val="18"/>
          <w:color w:val="auto"/>
        </w:rPr>
      </w:pPr>
      <w:r>
        <w:rPr>
          <w:rFonts w:ascii="Arial" w:cs="Arial" w:eastAsia="Arial" w:hAnsi="Arial"/>
          <w:sz w:val="18"/>
          <w:szCs w:val="18"/>
          <w:color w:val="auto"/>
        </w:rPr>
        <w:t xml:space="preserve">Indebtedness arising from the honoring by a bank </w:t>
      </w:r>
      <w:r>
        <w:rPr>
          <w:rFonts w:ascii="Arial" w:cs="Arial" w:eastAsia="Arial" w:hAnsi="Arial"/>
          <w:sz w:val="18"/>
          <w:szCs w:val="18"/>
          <w:color w:val="FF0000"/>
          <w:strike w:val="1"/>
        </w:rPr>
        <w:t>or other financial institution</w:t>
      </w:r>
      <w:r>
        <w:rPr>
          <w:rFonts w:ascii="Arial" w:cs="Arial" w:eastAsia="Arial" w:hAnsi="Arial"/>
          <w:sz w:val="18"/>
          <w:szCs w:val="18"/>
          <w:color w:val="auto"/>
        </w:rPr>
        <w:t xml:space="preserve"> of a check, draft, payment order or other</w:t>
      </w:r>
    </w:p>
    <w:p>
      <w:pPr>
        <w:spacing w:after="0" w:line="76" w:lineRule="exact"/>
        <w:rPr>
          <w:rFonts w:ascii="Arial" w:cs="Arial" w:eastAsia="Arial" w:hAnsi="Arial"/>
          <w:sz w:val="18"/>
          <w:szCs w:val="18"/>
          <w:color w:val="auto"/>
        </w:rPr>
      </w:pPr>
    </w:p>
    <w:p>
      <w:pPr>
        <w:ind w:left="660" w:right="700"/>
        <w:spacing w:after="0" w:line="338" w:lineRule="auto"/>
        <w:rPr>
          <w:rFonts w:ascii="Arial" w:cs="Arial" w:eastAsia="Arial" w:hAnsi="Arial"/>
          <w:sz w:val="18"/>
          <w:szCs w:val="18"/>
          <w:color w:val="auto"/>
        </w:rPr>
      </w:pPr>
      <w:r>
        <w:rPr>
          <w:rFonts w:ascii="Arial" w:cs="Arial" w:eastAsia="Arial" w:hAnsi="Arial"/>
          <w:sz w:val="18"/>
          <w:szCs w:val="18"/>
          <w:color w:val="auto"/>
        </w:rPr>
        <w:t xml:space="preserve">debit drawn or presented against insufficient funds in the ordinary course of business;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0000FF"/>
        </w:rPr>
        <w:t>(i) one or more</w:t>
      </w:r>
      <w:r>
        <w:rPr>
          <w:rFonts w:ascii="Arial" w:cs="Arial" w:eastAsia="Arial" w:hAnsi="Arial"/>
          <w:sz w:val="18"/>
          <w:szCs w:val="18"/>
          <w:color w:val="auto"/>
        </w:rPr>
        <w:t xml:space="preserve"> </w:t>
      </w:r>
      <w:r>
        <w:rPr>
          <w:rFonts w:ascii="Arial" w:cs="Arial" w:eastAsia="Arial" w:hAnsi="Arial"/>
          <w:sz w:val="18"/>
          <w:szCs w:val="18"/>
          <w:u w:val="single" w:color="auto"/>
          <w:color w:val="00C000"/>
        </w:rPr>
        <w:t>members of the</w:t>
      </w:r>
      <w:r>
        <w:rPr>
          <w:rFonts w:ascii="Arial" w:cs="Arial" w:eastAsia="Arial" w:hAnsi="Arial"/>
          <w:sz w:val="18"/>
          <w:szCs w:val="18"/>
          <w:color w:val="auto"/>
        </w:rPr>
        <w:t xml:space="preserve"> </w:t>
      </w:r>
      <w:r>
        <w:rPr>
          <w:rFonts w:ascii="Arial" w:cs="Arial" w:eastAsia="Arial" w:hAnsi="Arial"/>
          <w:sz w:val="18"/>
          <w:szCs w:val="18"/>
          <w:u w:val="single" w:color="auto"/>
          <w:color w:val="00C000"/>
        </w:rPr>
        <w:t xml:space="preserve">Consolidated Group </w:t>
      </w:r>
      <w:r>
        <w:rPr>
          <w:rFonts w:ascii="Arial" w:cs="Arial" w:eastAsia="Arial" w:hAnsi="Arial"/>
          <w:sz w:val="18"/>
          <w:szCs w:val="18"/>
          <w:u w:val="single" w:color="auto"/>
          <w:color w:val="0000FF"/>
        </w:rPr>
        <w:t>have deposits in other accounts at such bank in an aggregate amount at least equal to the amount of such</w:t>
      </w:r>
      <w:r>
        <w:rPr>
          <w:rFonts w:ascii="Arial" w:cs="Arial" w:eastAsia="Arial" w:hAnsi="Arial"/>
          <w:sz w:val="18"/>
          <w:szCs w:val="18"/>
          <w:u w:val="single" w:color="auto"/>
          <w:color w:val="00C000"/>
        </w:rPr>
        <w:t xml:space="preserve"> </w:t>
      </w:r>
      <w:r>
        <w:rPr>
          <w:rFonts w:ascii="Arial" w:cs="Arial" w:eastAsia="Arial" w:hAnsi="Arial"/>
          <w:sz w:val="18"/>
          <w:szCs w:val="18"/>
          <w:u w:val="single" w:color="auto"/>
          <w:color w:val="0000FF"/>
        </w:rPr>
        <w:t>Indebtedness or (ii)</w:t>
      </w:r>
      <w:r>
        <w:rPr>
          <w:rFonts w:ascii="Arial" w:cs="Arial" w:eastAsia="Arial" w:hAnsi="Arial"/>
          <w:sz w:val="18"/>
          <w:szCs w:val="18"/>
          <w:color w:val="0000FF"/>
        </w:rPr>
        <w:t xml:space="preserve"> </w:t>
      </w:r>
      <w:r>
        <w:rPr>
          <w:rFonts w:ascii="Arial" w:cs="Arial" w:eastAsia="Arial" w:hAnsi="Arial"/>
          <w:sz w:val="18"/>
          <w:szCs w:val="18"/>
          <w:color w:val="000000"/>
        </w:rPr>
        <w:t>such Indebtedness is extinguished within</w:t>
      </w:r>
      <w:r>
        <w:rPr>
          <w:rFonts w:ascii="Arial" w:cs="Arial" w:eastAsia="Arial" w:hAnsi="Arial"/>
          <w:sz w:val="18"/>
          <w:szCs w:val="18"/>
          <w:color w:val="0000FF"/>
        </w:rPr>
        <w:t xml:space="preserve"> </w:t>
      </w:r>
      <w:r>
        <w:rPr>
          <w:rFonts w:ascii="Arial" w:cs="Arial" w:eastAsia="Arial" w:hAnsi="Arial"/>
          <w:sz w:val="18"/>
          <w:szCs w:val="18"/>
          <w:color w:val="FF0000"/>
          <w:strike w:val="1"/>
        </w:rPr>
        <w:t>five</w:t>
      </w:r>
      <w:r>
        <w:rPr>
          <w:rFonts w:ascii="Arial" w:cs="Arial" w:eastAsia="Arial" w:hAnsi="Arial"/>
          <w:sz w:val="18"/>
          <w:szCs w:val="18"/>
          <w:u w:val="single" w:color="auto"/>
          <w:color w:val="0000FF"/>
        </w:rPr>
        <w:t>ten</w:t>
      </w:r>
      <w:r>
        <w:rPr>
          <w:rFonts w:ascii="Arial" w:cs="Arial" w:eastAsia="Arial" w:hAnsi="Arial"/>
          <w:sz w:val="18"/>
          <w:szCs w:val="18"/>
          <w:color w:val="0000FF"/>
        </w:rPr>
        <w:t xml:space="preserve"> </w:t>
      </w:r>
      <w:r>
        <w:rPr>
          <w:rFonts w:ascii="Arial" w:cs="Arial" w:eastAsia="Arial" w:hAnsi="Arial"/>
          <w:sz w:val="18"/>
          <w:szCs w:val="18"/>
          <w:color w:val="000000"/>
        </w:rPr>
        <w:t>Business Days of its incurrence;</w:t>
      </w:r>
    </w:p>
    <w:p>
      <w:pPr>
        <w:spacing w:after="0" w:line="151" w:lineRule="exact"/>
        <w:rPr>
          <w:rFonts w:ascii="Arial" w:cs="Arial" w:eastAsia="Arial" w:hAnsi="Arial"/>
          <w:sz w:val="18"/>
          <w:szCs w:val="18"/>
          <w:color w:val="auto"/>
        </w:rPr>
      </w:pPr>
    </w:p>
    <w:p>
      <w:pPr>
        <w:ind w:left="1720" w:hanging="415"/>
        <w:spacing w:after="0"/>
        <w:tabs>
          <w:tab w:leader="none" w:pos="1720" w:val="left"/>
        </w:tabs>
        <w:numPr>
          <w:ilvl w:val="1"/>
          <w:numId w:val="226"/>
        </w:numPr>
        <w:rPr>
          <w:rFonts w:ascii="Arial" w:cs="Arial" w:eastAsia="Arial" w:hAnsi="Arial"/>
          <w:sz w:val="18"/>
          <w:szCs w:val="18"/>
          <w:color w:val="auto"/>
        </w:rPr>
      </w:pPr>
      <w:r>
        <w:rPr>
          <w:rFonts w:ascii="Arial" w:cs="Arial" w:eastAsia="Arial" w:hAnsi="Arial"/>
          <w:sz w:val="18"/>
          <w:szCs w:val="18"/>
          <w:color w:val="auto"/>
        </w:rPr>
        <w:t>Indebtedness or other obligations (contingent or otherwise) of any member of the Consolidated Group existing or arising</w:t>
      </w:r>
    </w:p>
    <w:p>
      <w:pPr>
        <w:spacing w:after="0" w:line="76" w:lineRule="exact"/>
        <w:rPr>
          <w:rFonts w:ascii="Arial" w:cs="Arial" w:eastAsia="Arial" w:hAnsi="Arial"/>
          <w:sz w:val="18"/>
          <w:szCs w:val="18"/>
          <w:color w:val="auto"/>
        </w:rPr>
      </w:pPr>
    </w:p>
    <w:p>
      <w:pPr>
        <w:ind w:left="660" w:right="620" w:hanging="4"/>
        <w:spacing w:after="0" w:line="331" w:lineRule="auto"/>
        <w:tabs>
          <w:tab w:leader="none" w:pos="896" w:val="left"/>
        </w:tabs>
        <w:numPr>
          <w:ilvl w:val="0"/>
          <w:numId w:val="227"/>
        </w:numPr>
        <w:rPr>
          <w:rFonts w:ascii="Arial" w:cs="Arial" w:eastAsia="Arial" w:hAnsi="Arial"/>
          <w:sz w:val="19"/>
          <w:szCs w:val="19"/>
          <w:color w:val="auto"/>
        </w:rPr>
      </w:pPr>
      <w:r>
        <w:rPr>
          <w:rFonts w:ascii="Arial" w:cs="Arial" w:eastAsia="Arial" w:hAnsi="Arial"/>
          <w:sz w:val="19"/>
          <w:szCs w:val="19"/>
          <w:color w:val="auto"/>
        </w:rPr>
        <w:t>in respect of deposits or payments made by customers or clients in the ordinary course of business, (ii) as a result of any cash pooling, netting or composite accounting arrangement or (iii) under any Treasury Management Agreements;</w:t>
      </w:r>
    </w:p>
    <w:p>
      <w:pPr>
        <w:spacing w:after="0" w:line="153" w:lineRule="exact"/>
        <w:rPr>
          <w:rFonts w:ascii="Arial" w:cs="Arial" w:eastAsia="Arial" w:hAnsi="Arial"/>
          <w:sz w:val="19"/>
          <w:szCs w:val="19"/>
          <w:color w:val="auto"/>
        </w:rPr>
      </w:pPr>
    </w:p>
    <w:p>
      <w:pPr>
        <w:ind w:left="1720" w:hanging="415"/>
        <w:spacing w:after="0"/>
        <w:tabs>
          <w:tab w:leader="none" w:pos="1720" w:val="left"/>
        </w:tabs>
        <w:numPr>
          <w:ilvl w:val="1"/>
          <w:numId w:val="227"/>
        </w:numPr>
        <w:rPr>
          <w:rFonts w:ascii="Arial" w:cs="Arial" w:eastAsia="Arial" w:hAnsi="Arial"/>
          <w:sz w:val="18"/>
          <w:szCs w:val="18"/>
          <w:color w:val="auto"/>
        </w:rPr>
      </w:pPr>
      <w:r>
        <w:rPr>
          <w:rFonts w:ascii="Arial" w:cs="Arial" w:eastAsia="Arial" w:hAnsi="Arial"/>
          <w:sz w:val="18"/>
          <w:szCs w:val="18"/>
          <w:color w:val="auto"/>
        </w:rPr>
        <w:t>Indebtedness in an aggregate principal amount not to exceed (i) $10 million at any time, in the case of any member of the</w:t>
      </w:r>
    </w:p>
    <w:p>
      <w:pPr>
        <w:spacing w:after="0" w:line="76" w:lineRule="exact"/>
        <w:rPr>
          <w:rFonts w:ascii="Arial" w:cs="Arial" w:eastAsia="Arial" w:hAnsi="Arial"/>
          <w:sz w:val="18"/>
          <w:szCs w:val="18"/>
          <w:color w:val="auto"/>
        </w:rPr>
      </w:pPr>
    </w:p>
    <w:p>
      <w:pPr>
        <w:ind w:left="660" w:right="100"/>
        <w:spacing w:after="0" w:line="381" w:lineRule="auto"/>
        <w:rPr>
          <w:rFonts w:ascii="Arial" w:cs="Arial" w:eastAsia="Arial" w:hAnsi="Arial"/>
          <w:sz w:val="18"/>
          <w:szCs w:val="18"/>
          <w:color w:val="auto"/>
        </w:rPr>
      </w:pPr>
      <w:r>
        <w:rPr>
          <w:rFonts w:ascii="Arial" w:cs="Arial" w:eastAsia="Arial" w:hAnsi="Arial"/>
          <w:sz w:val="16"/>
          <w:szCs w:val="16"/>
          <w:color w:val="auto"/>
        </w:rPr>
        <w:t xml:space="preserve">Consolidated Group other than EWI and members of the Consolidated Group that are organized and operating in the Peoples Republic of China, (ii) $50 million at any time in the aggregate for all members of the Consolidated Group other than EWI and members of the Consolidated Group that are organized and operating in the Peoples Republic of China, and (iii) an amount, at any time, equal to the remainder of $50 million minus the aggregate amount of Investments under </w:t>
      </w:r>
      <w:r>
        <w:rPr>
          <w:rFonts w:ascii="Arial" w:cs="Arial" w:eastAsia="Arial" w:hAnsi="Arial"/>
          <w:sz w:val="16"/>
          <w:szCs w:val="16"/>
          <w:u w:val="single" w:color="auto"/>
          <w:color w:val="auto"/>
        </w:rPr>
        <w:t>Section 8.02(e)(iv)</w:t>
      </w:r>
      <w:r>
        <w:rPr>
          <w:rFonts w:ascii="Arial" w:cs="Arial" w:eastAsia="Arial" w:hAnsi="Arial"/>
          <w:sz w:val="16"/>
          <w:szCs w:val="16"/>
          <w:color w:val="auto"/>
        </w:rPr>
        <w:t xml:space="preserve"> and the aggregate amount of</w:t>
      </w:r>
    </w:p>
    <w:p>
      <w:pPr>
        <w:spacing w:after="0" w:line="344"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162</w:t>
      </w:r>
    </w:p>
    <w:p>
      <w:pPr>
        <w:spacing w:after="0" w:line="10" w:lineRule="exact"/>
        <w:rPr>
          <w:sz w:val="20"/>
          <w:szCs w:val="20"/>
          <w:color w:val="auto"/>
        </w:rPr>
      </w:pPr>
    </w:p>
    <w:p>
      <w:pPr>
        <w:spacing w:after="0"/>
        <w:rPr>
          <w:sz w:val="20"/>
          <w:szCs w:val="20"/>
          <w:color w:val="auto"/>
        </w:rPr>
      </w:pPr>
      <w:r>
        <w:rPr>
          <w:rFonts w:ascii="Arial" w:cs="Arial" w:eastAsia="Arial" w:hAnsi="Arial"/>
          <w:sz w:val="14"/>
          <w:szCs w:val="14"/>
          <w:color w:val="auto"/>
        </w:rPr>
        <w:t>CHAR1\1346423v</w:t>
      </w:r>
      <w:r>
        <w:rPr>
          <w:rFonts w:ascii="Arial" w:cs="Arial" w:eastAsia="Arial" w:hAnsi="Arial"/>
          <w:sz w:val="14"/>
          <w:szCs w:val="14"/>
          <w:color w:val="FF0000"/>
          <w:strike w:val="1"/>
        </w:rPr>
        <w:t>1</w:t>
      </w:r>
      <w:r>
        <w:rPr>
          <w:rFonts w:ascii="Arial" w:cs="Arial" w:eastAsia="Arial" w:hAnsi="Arial"/>
          <w:sz w:val="14"/>
          <w:szCs w:val="14"/>
          <w:u w:val="single" w:color="auto"/>
          <w:color w:val="0000FF"/>
        </w:rPr>
        <w:t>12</w:t>
      </w:r>
    </w:p>
    <w:p>
      <w:pPr>
        <w:sectPr>
          <w:pgSz w:w="11900" w:h="16838" w:orient="portrait"/>
          <w:cols w:equalWidth="0" w:num="1">
            <w:col w:w="11420"/>
          </w:cols>
          <w:pgMar w:left="240" w:top="609" w:right="239" w:bottom="1440" w:gutter="0" w:footer="0" w:header="0"/>
        </w:sectPr>
      </w:pPr>
    </w:p>
    <w:bookmarkStart w:id="214" w:name="page215"/>
    <w:bookmarkEnd w:id="214"/>
    <w:p>
      <w:pPr>
        <w:ind w:left="660" w:right="120"/>
        <w:spacing w:after="0" w:line="303" w:lineRule="auto"/>
        <w:rPr>
          <w:sz w:val="20"/>
          <w:szCs w:val="20"/>
          <w:color w:val="auto"/>
        </w:rPr>
      </w:pPr>
      <w:r>
        <w:rPr>
          <w:rFonts w:ascii="Arial" w:cs="Arial" w:eastAsia="Arial" w:hAnsi="Arial"/>
          <w:sz w:val="20"/>
          <w:szCs w:val="20"/>
          <w:color w:val="auto"/>
        </w:rPr>
        <w:t xml:space="preserve">Indebtedness outstanding under </w:t>
      </w:r>
      <w:r>
        <w:rPr>
          <w:rFonts w:ascii="Arial" w:cs="Arial" w:eastAsia="Arial" w:hAnsi="Arial"/>
          <w:sz w:val="20"/>
          <w:szCs w:val="20"/>
          <w:u w:val="single" w:color="auto"/>
          <w:color w:val="auto"/>
        </w:rPr>
        <w:t>Section 8.03(d)(ii)(A)</w:t>
      </w:r>
      <w:r>
        <w:rPr>
          <w:rFonts w:ascii="Arial" w:cs="Arial" w:eastAsia="Arial" w:hAnsi="Arial"/>
          <w:sz w:val="20"/>
          <w:szCs w:val="20"/>
          <w:color w:val="auto"/>
        </w:rPr>
        <w:t>, in the aggregate for all members of the Consolidated Group that are organized and operating in the Peoples Republic of China;</w:t>
      </w:r>
    </w:p>
    <w:p>
      <w:pPr>
        <w:spacing w:after="0" w:line="176" w:lineRule="exact"/>
        <w:rPr>
          <w:sz w:val="20"/>
          <w:szCs w:val="20"/>
          <w:color w:val="auto"/>
        </w:rPr>
      </w:pPr>
    </w:p>
    <w:p>
      <w:pPr>
        <w:ind w:left="1300"/>
        <w:spacing w:after="0"/>
        <w:tabs>
          <w:tab w:leader="none" w:pos="1660" w:val="left"/>
        </w:tabs>
        <w:rPr>
          <w:sz w:val="20"/>
          <w:szCs w:val="20"/>
          <w:color w:val="auto"/>
        </w:rPr>
      </w:pPr>
      <w:r>
        <w:rPr>
          <w:rFonts w:ascii="Arial" w:cs="Arial" w:eastAsia="Arial" w:hAnsi="Arial"/>
          <w:sz w:val="20"/>
          <w:szCs w:val="20"/>
          <w:color w:val="auto"/>
        </w:rPr>
        <w:t>(r)</w:t>
      </w:r>
      <w:r>
        <w:rPr>
          <w:sz w:val="20"/>
          <w:szCs w:val="20"/>
          <w:color w:val="auto"/>
        </w:rPr>
        <w:tab/>
      </w:r>
      <w:r>
        <w:rPr>
          <w:rFonts w:ascii="Arial" w:cs="Arial" w:eastAsia="Arial" w:hAnsi="Arial"/>
          <w:sz w:val="18"/>
          <w:szCs w:val="18"/>
          <w:color w:val="auto"/>
        </w:rPr>
        <w:t xml:space="preserve">Refinancing Indebtedness incurred in respect of Indebtedness under </w:t>
      </w:r>
      <w:r>
        <w:rPr>
          <w:rFonts w:ascii="Arial" w:cs="Arial" w:eastAsia="Arial" w:hAnsi="Arial"/>
          <w:sz w:val="18"/>
          <w:szCs w:val="18"/>
          <w:u w:val="single" w:color="auto"/>
          <w:color w:val="auto"/>
        </w:rPr>
        <w:t>Sections 8.03(b)</w:t>
      </w:r>
      <w:r>
        <w:rPr>
          <w:rFonts w:ascii="Arial" w:cs="Arial" w:eastAsia="Arial" w:hAnsi="Arial"/>
          <w:sz w:val="18"/>
          <w:szCs w:val="18"/>
          <w:color w:val="auto"/>
        </w:rPr>
        <w:t xml:space="preserve">, </w:t>
      </w:r>
      <w:r>
        <w:rPr>
          <w:rFonts w:ascii="Arial" w:cs="Arial" w:eastAsia="Arial" w:hAnsi="Arial"/>
          <w:sz w:val="18"/>
          <w:szCs w:val="18"/>
          <w:u w:val="single" w:color="auto"/>
          <w:color w:val="auto"/>
        </w:rPr>
        <w:t>(c)</w:t>
      </w:r>
      <w:r>
        <w:rPr>
          <w:rFonts w:ascii="Arial" w:cs="Arial" w:eastAsia="Arial" w:hAnsi="Arial"/>
          <w:sz w:val="18"/>
          <w:szCs w:val="18"/>
          <w:color w:val="auto"/>
        </w:rPr>
        <w:t xml:space="preserve">, </w:t>
      </w:r>
      <w:r>
        <w:rPr>
          <w:rFonts w:ascii="Arial" w:cs="Arial" w:eastAsia="Arial" w:hAnsi="Arial"/>
          <w:sz w:val="18"/>
          <w:szCs w:val="18"/>
          <w:u w:val="single" w:color="auto"/>
          <w:color w:val="auto"/>
        </w:rPr>
        <w:t>(d)</w:t>
      </w:r>
      <w:r>
        <w:rPr>
          <w:rFonts w:ascii="Arial" w:cs="Arial" w:eastAsia="Arial" w:hAnsi="Arial"/>
          <w:sz w:val="18"/>
          <w:szCs w:val="18"/>
          <w:color w:val="auto"/>
        </w:rPr>
        <w:t xml:space="preserve">, </w:t>
      </w:r>
      <w:r>
        <w:rPr>
          <w:rFonts w:ascii="Arial" w:cs="Arial" w:eastAsia="Arial" w:hAnsi="Arial"/>
          <w:sz w:val="18"/>
          <w:szCs w:val="18"/>
          <w:u w:val="single" w:color="auto"/>
          <w:color w:val="auto"/>
        </w:rPr>
        <w:t>(j)</w:t>
      </w:r>
      <w:r>
        <w:rPr>
          <w:rFonts w:ascii="Arial" w:cs="Arial" w:eastAsia="Arial" w:hAnsi="Arial"/>
          <w:sz w:val="18"/>
          <w:szCs w:val="18"/>
          <w:color w:val="auto"/>
        </w:rPr>
        <w:t xml:space="preserve">, </w:t>
      </w:r>
      <w:r>
        <w:rPr>
          <w:rFonts w:ascii="Arial" w:cs="Arial" w:eastAsia="Arial" w:hAnsi="Arial"/>
          <w:sz w:val="18"/>
          <w:szCs w:val="18"/>
          <w:u w:val="single" w:color="auto"/>
          <w:color w:val="auto"/>
        </w:rPr>
        <w:t>(k)</w:t>
      </w:r>
      <w:r>
        <w:rPr>
          <w:rFonts w:ascii="Arial" w:cs="Arial" w:eastAsia="Arial" w:hAnsi="Arial"/>
          <w:sz w:val="18"/>
          <w:szCs w:val="18"/>
          <w:color w:val="auto"/>
        </w:rPr>
        <w:t xml:space="preserve">, </w:t>
      </w:r>
      <w:r>
        <w:rPr>
          <w:rFonts w:ascii="Arial" w:cs="Arial" w:eastAsia="Arial" w:hAnsi="Arial"/>
          <w:sz w:val="18"/>
          <w:szCs w:val="18"/>
          <w:u w:val="single" w:color="auto"/>
          <w:color w:val="auto"/>
        </w:rPr>
        <w:t>(l)</w:t>
      </w:r>
      <w:r>
        <w:rPr>
          <w:rFonts w:ascii="Arial" w:cs="Arial" w:eastAsia="Arial" w:hAnsi="Arial"/>
          <w:sz w:val="18"/>
          <w:szCs w:val="18"/>
          <w:color w:val="auto"/>
        </w:rPr>
        <w:t xml:space="preserve">, </w:t>
      </w:r>
      <w:r>
        <w:rPr>
          <w:rFonts w:ascii="Arial" w:cs="Arial" w:eastAsia="Arial" w:hAnsi="Arial"/>
          <w:sz w:val="18"/>
          <w:szCs w:val="18"/>
          <w:u w:val="single" w:color="auto"/>
          <w:color w:val="auto"/>
        </w:rPr>
        <w:t>(q)</w:t>
      </w:r>
      <w:r>
        <w:rPr>
          <w:rFonts w:ascii="Arial" w:cs="Arial" w:eastAsia="Arial" w:hAnsi="Arial"/>
          <w:sz w:val="18"/>
          <w:szCs w:val="18"/>
          <w:color w:val="auto"/>
        </w:rPr>
        <w:t xml:space="preserve">, </w:t>
      </w:r>
      <w:r>
        <w:rPr>
          <w:rFonts w:ascii="Arial" w:cs="Arial" w:eastAsia="Arial" w:hAnsi="Arial"/>
          <w:sz w:val="18"/>
          <w:szCs w:val="18"/>
          <w:u w:val="single" w:color="auto"/>
          <w:color w:val="auto"/>
        </w:rPr>
        <w:t>(r)</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(s)</w:t>
      </w:r>
      <w:r>
        <w:rPr>
          <w:rFonts w:ascii="Arial" w:cs="Arial" w:eastAsia="Arial" w:hAnsi="Arial"/>
          <w:sz w:val="18"/>
          <w:szCs w:val="18"/>
          <w:color w:val="auto"/>
        </w:rPr>
        <w:t>;</w:t>
      </w:r>
    </w:p>
    <w:p>
      <w:pPr>
        <w:spacing w:after="0" w:line="54" w:lineRule="exact"/>
        <w:rPr>
          <w:sz w:val="20"/>
          <w:szCs w:val="20"/>
          <w:color w:val="auto"/>
        </w:rPr>
      </w:pPr>
    </w:p>
    <w:p>
      <w:pPr>
        <w:ind w:left="660"/>
        <w:spacing w:after="0"/>
        <w:rPr>
          <w:sz w:val="20"/>
          <w:szCs w:val="20"/>
          <w:color w:val="auto"/>
        </w:rPr>
      </w:pPr>
      <w:r>
        <w:rPr>
          <w:rFonts w:ascii="Arial" w:cs="Arial" w:eastAsia="Arial" w:hAnsi="Arial"/>
          <w:sz w:val="20"/>
          <w:szCs w:val="20"/>
          <w:color w:val="auto"/>
        </w:rPr>
        <w:t>and</w:t>
      </w:r>
    </w:p>
    <w:p>
      <w:pPr>
        <w:spacing w:after="0" w:line="256" w:lineRule="exact"/>
        <w:rPr>
          <w:sz w:val="20"/>
          <w:szCs w:val="20"/>
          <w:color w:val="auto"/>
        </w:rPr>
      </w:pPr>
    </w:p>
    <w:p>
      <w:pPr>
        <w:ind w:left="660" w:right="340" w:firstLine="645"/>
        <w:spacing w:after="0" w:line="317" w:lineRule="auto"/>
        <w:tabs>
          <w:tab w:leader="none" w:pos="1697" w:val="left"/>
        </w:tabs>
        <w:numPr>
          <w:ilvl w:val="0"/>
          <w:numId w:val="228"/>
        </w:numPr>
        <w:rPr>
          <w:rFonts w:ascii="Arial" w:cs="Arial" w:eastAsia="Arial" w:hAnsi="Arial"/>
          <w:sz w:val="20"/>
          <w:szCs w:val="20"/>
          <w:color w:val="auto"/>
        </w:rPr>
      </w:pPr>
      <w:r>
        <w:rPr>
          <w:rFonts w:ascii="Arial" w:cs="Arial" w:eastAsia="Arial" w:hAnsi="Arial"/>
          <w:sz w:val="20"/>
          <w:szCs w:val="20"/>
          <w:color w:val="auto"/>
        </w:rPr>
        <w:t xml:space="preserve">Indebtedness of EWI,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EWI can demonstrate that it will be in compliance with the financial covenants in </w:t>
      </w:r>
      <w:r>
        <w:rPr>
          <w:rFonts w:ascii="Arial" w:cs="Arial" w:eastAsia="Arial" w:hAnsi="Arial"/>
          <w:sz w:val="20"/>
          <w:szCs w:val="20"/>
          <w:u w:val="single" w:color="auto"/>
          <w:color w:val="auto"/>
        </w:rPr>
        <w:t>Section 8.12</w:t>
      </w:r>
      <w:r>
        <w:rPr>
          <w:rFonts w:ascii="Arial" w:cs="Arial" w:eastAsia="Arial" w:hAnsi="Arial"/>
          <w:sz w:val="20"/>
          <w:szCs w:val="20"/>
          <w:color w:val="auto"/>
        </w:rPr>
        <w:t xml:space="preserve"> after giving effect thereto on a Pro Forma Basis.</w:t>
      </w:r>
    </w:p>
    <w:p>
      <w:pPr>
        <w:spacing w:after="0" w:line="135" w:lineRule="exact"/>
        <w:rPr>
          <w:sz w:val="20"/>
          <w:szCs w:val="20"/>
          <w:color w:val="auto"/>
        </w:rPr>
      </w:pPr>
    </w:p>
    <w:p>
      <w:pPr>
        <w:ind w:firstLine="648"/>
        <w:spacing w:after="0" w:line="276" w:lineRule="auto"/>
        <w:rPr>
          <w:sz w:val="20"/>
          <w:szCs w:val="20"/>
          <w:color w:val="auto"/>
        </w:rPr>
      </w:pPr>
      <w:r>
        <w:rPr>
          <w:rFonts w:ascii="Arial" w:cs="Arial" w:eastAsia="Arial" w:hAnsi="Arial"/>
          <w:sz w:val="18"/>
          <w:szCs w:val="18"/>
          <w:color w:val="auto"/>
        </w:rPr>
        <w:t xml:space="preserve">For purposes of determining compliance with this </w:t>
      </w:r>
      <w:r>
        <w:rPr>
          <w:rFonts w:ascii="Arial" w:cs="Arial" w:eastAsia="Arial" w:hAnsi="Arial"/>
          <w:sz w:val="18"/>
          <w:szCs w:val="18"/>
          <w:u w:val="single" w:color="auto"/>
          <w:color w:val="auto"/>
        </w:rPr>
        <w:t>Section 8.03</w:t>
      </w:r>
      <w:r>
        <w:rPr>
          <w:rFonts w:ascii="Arial" w:cs="Arial" w:eastAsia="Arial" w:hAnsi="Arial"/>
          <w:sz w:val="18"/>
          <w:szCs w:val="18"/>
          <w:color w:val="auto"/>
        </w:rPr>
        <w:t xml:space="preserve">, (i) in the event that an item of Indebtedness (or any portion thereof) meets the criteria of more than one of the categories of Indebtedness permitted in this </w:t>
      </w:r>
      <w:r>
        <w:rPr>
          <w:rFonts w:ascii="Arial" w:cs="Arial" w:eastAsia="Arial" w:hAnsi="Arial"/>
          <w:sz w:val="18"/>
          <w:szCs w:val="18"/>
          <w:u w:val="single" w:color="auto"/>
          <w:color w:val="auto"/>
        </w:rPr>
        <w:t>Section 8.03</w:t>
      </w:r>
      <w:r>
        <w:rPr>
          <w:rFonts w:ascii="Arial" w:cs="Arial" w:eastAsia="Arial" w:hAnsi="Arial"/>
          <w:sz w:val="18"/>
          <w:szCs w:val="18"/>
          <w:color w:val="auto"/>
        </w:rPr>
        <w:t xml:space="preserve">, the relevant Credit Party or Subsidiary, in its sole discretion, may classify (and may from time to time thereafter reclassify) such item of Indebtedness (or any portion thereof) and will only be required to include such Indebtedness (or any portion thereof) in one of the categories of Indebtedness permitted in this </w:t>
      </w:r>
      <w:r>
        <w:rPr>
          <w:rFonts w:ascii="Arial" w:cs="Arial" w:eastAsia="Arial" w:hAnsi="Arial"/>
          <w:sz w:val="18"/>
          <w:szCs w:val="18"/>
          <w:u w:val="single" w:color="auto"/>
          <w:color w:val="auto"/>
        </w:rPr>
        <w:t>Section 8.03</w:t>
      </w:r>
      <w:r>
        <w:rPr>
          <w:rFonts w:ascii="Arial" w:cs="Arial" w:eastAsia="Arial" w:hAnsi="Arial"/>
          <w:sz w:val="18"/>
          <w:szCs w:val="18"/>
          <w:color w:val="auto"/>
        </w:rPr>
        <w:t xml:space="preserve">; and (ii) at the time of incurrence or upon any later reclassification, the relevant Credit Party or Subsidiary, in its sole discretion, may divide and classify an item of Indebtedness (or any portion thereof) in more than one of the categories of Indebtedness permitted in this </w:t>
      </w:r>
      <w:r>
        <w:rPr>
          <w:rFonts w:ascii="Arial" w:cs="Arial" w:eastAsia="Arial" w:hAnsi="Arial"/>
          <w:sz w:val="18"/>
          <w:szCs w:val="18"/>
          <w:u w:val="single" w:color="auto"/>
          <w:color w:val="auto"/>
        </w:rPr>
        <w:t>Section 8.03</w:t>
      </w:r>
      <w:r>
        <w:rPr>
          <w:rFonts w:ascii="Arial" w:cs="Arial" w:eastAsia="Arial" w:hAnsi="Arial"/>
          <w:sz w:val="18"/>
          <w:szCs w:val="18"/>
          <w:color w:val="auto"/>
        </w:rPr>
        <w:t>.</w:t>
      </w:r>
    </w:p>
    <w:p>
      <w:pPr>
        <w:spacing w:after="0" w:line="165" w:lineRule="exact"/>
        <w:rPr>
          <w:sz w:val="20"/>
          <w:szCs w:val="20"/>
          <w:color w:val="auto"/>
        </w:rPr>
      </w:pPr>
    </w:p>
    <w:p>
      <w:pPr>
        <w:ind w:right="60" w:firstLine="648"/>
        <w:spacing w:after="0" w:line="260" w:lineRule="auto"/>
        <w:rPr>
          <w:sz w:val="20"/>
          <w:szCs w:val="20"/>
          <w:color w:val="auto"/>
        </w:rPr>
      </w:pPr>
      <w:r>
        <w:rPr>
          <w:rFonts w:ascii="Arial" w:cs="Arial" w:eastAsia="Arial" w:hAnsi="Arial"/>
          <w:sz w:val="20"/>
          <w:szCs w:val="20"/>
          <w:color w:val="auto"/>
        </w:rPr>
        <w:t xml:space="preserve">Accrual of interest, the accretion of accreted value and the payment of interest or dividends in the form of additional Indebtedness will not be deemed to be an incurrence of Indebtedness for purposes of this </w:t>
      </w:r>
      <w:r>
        <w:rPr>
          <w:rFonts w:ascii="Arial" w:cs="Arial" w:eastAsia="Arial" w:hAnsi="Arial"/>
          <w:sz w:val="20"/>
          <w:szCs w:val="20"/>
          <w:u w:val="single" w:color="auto"/>
          <w:color w:val="auto"/>
        </w:rPr>
        <w:t>Section 8.03</w:t>
      </w:r>
      <w:r>
        <w:rPr>
          <w:rFonts w:ascii="Arial" w:cs="Arial" w:eastAsia="Arial" w:hAnsi="Arial"/>
          <w:sz w:val="20"/>
          <w:szCs w:val="20"/>
          <w:color w:val="auto"/>
        </w:rPr>
        <w:t>.</w:t>
      </w:r>
    </w:p>
    <w:p>
      <w:pPr>
        <w:spacing w:after="0" w:line="177" w:lineRule="exact"/>
        <w:rPr>
          <w:sz w:val="20"/>
          <w:szCs w:val="20"/>
          <w:color w:val="auto"/>
        </w:rPr>
      </w:pPr>
    </w:p>
    <w:p>
      <w:pPr>
        <w:ind w:right="60" w:firstLine="648"/>
        <w:spacing w:after="0" w:line="271" w:lineRule="auto"/>
        <w:rPr>
          <w:sz w:val="20"/>
          <w:szCs w:val="20"/>
          <w:color w:val="auto"/>
        </w:rPr>
      </w:pPr>
      <w:r>
        <w:rPr>
          <w:rFonts w:ascii="Arial" w:cs="Arial" w:eastAsia="Arial" w:hAnsi="Arial"/>
          <w:sz w:val="18"/>
          <w:szCs w:val="18"/>
          <w:color w:val="FF0000"/>
          <w:strike w:val="1"/>
        </w:rPr>
        <w:t xml:space="preserve">For purposes of determining compliance with any U.S. dollar-denominated restriction on the amount of any Indebtedness, the U.S. dollar-equivalent principal amount of Indebtedness denominated in a foreign currency shall be calculated based on the relevant currency exchange rate in effect on the date such Indebtedness was incurred, in the case of term debt, or first committed, in the case of revolving credit debt; </w:t>
      </w:r>
      <w:r>
        <w:rPr>
          <w:rFonts w:ascii="Arial" w:cs="Arial" w:eastAsia="Arial" w:hAnsi="Arial"/>
          <w:sz w:val="18"/>
          <w:szCs w:val="18"/>
          <w:u w:val="single" w:color="auto"/>
          <w:color w:val="FF0000"/>
          <w:strike w:val="1"/>
        </w:rPr>
        <w:t>provided</w:t>
      </w:r>
      <w:r>
        <w:rPr>
          <w:rFonts w:ascii="Arial" w:cs="Arial" w:eastAsia="Arial" w:hAnsi="Arial"/>
          <w:sz w:val="18"/>
          <w:szCs w:val="18"/>
          <w:color w:val="FF0000"/>
          <w:strike w:val="1"/>
        </w:rPr>
        <w:t xml:space="preserve"> that if any Refinancing Indebtedness otherwise permitted by </w:t>
      </w:r>
      <w:r>
        <w:rPr>
          <w:rFonts w:ascii="Arial" w:cs="Arial" w:eastAsia="Arial" w:hAnsi="Arial"/>
          <w:sz w:val="18"/>
          <w:szCs w:val="18"/>
          <w:u w:val="single" w:color="auto"/>
          <w:color w:val="FF0000"/>
          <w:strike w:val="1"/>
        </w:rPr>
        <w:t>Section 8.03(r)</w:t>
      </w:r>
      <w:r>
        <w:rPr>
          <w:rFonts w:ascii="Arial" w:cs="Arial" w:eastAsia="Arial" w:hAnsi="Arial"/>
          <w:sz w:val="18"/>
          <w:szCs w:val="18"/>
          <w:color w:val="FF0000"/>
          <w:strike w:val="1"/>
        </w:rPr>
        <w:t xml:space="preserve"> is denominated in the same foreign currency as the relevant Refinanced Debt and would cause the applicable U.S. dollar-denominated restriction to be exceeded if calculated at the relevant currency exchange rate in effect on the date of such refinancing, such U.S. dollar-denominated restriction shall be deemed not to have been exceeded so long as the principal amount of such Refinancing Indebtedness does not exceed an amount equal to the sum of (i) the aggregate amount of the Refinanced Debt (including principal and accrued interest), (ii) the aggregate amount of unused commitments under the Refinanced Debt, (iii) prepayment fees or premiums, tender or consent fees and/or other reasonable costs and expenses directly related to the Refinanced Debt and (iv) reasonable fees, expenses and costs directly related to the entering into of the Refinanced Debt.</w:t>
      </w:r>
    </w:p>
    <w:p>
      <w:pPr>
        <w:spacing w:after="0" w:line="175" w:lineRule="exact"/>
        <w:rPr>
          <w:sz w:val="20"/>
          <w:szCs w:val="20"/>
          <w:color w:val="auto"/>
        </w:rPr>
      </w:pPr>
    </w:p>
    <w:p>
      <w:pPr>
        <w:ind w:right="100" w:firstLine="648"/>
        <w:spacing w:after="0" w:line="250" w:lineRule="auto"/>
        <w:rPr>
          <w:sz w:val="20"/>
          <w:szCs w:val="20"/>
          <w:color w:val="auto"/>
        </w:rPr>
      </w:pPr>
      <w:r>
        <w:rPr>
          <w:rFonts w:ascii="Arial" w:cs="Arial" w:eastAsia="Arial" w:hAnsi="Arial"/>
          <w:sz w:val="20"/>
          <w:szCs w:val="20"/>
          <w:color w:val="FF0000"/>
          <w:strike w:val="1"/>
        </w:rPr>
        <w:t>The principal amount of any Refinancing Indebtedness denominated in a currency other than that in which the Refinanced Debt is denominated shall be calculated based on the currency exchange rate applicable to the currencies in which such Refinancing Indebtedness and Refinanced Debt are denominated that is in effect on the date of such refinancing.</w:t>
      </w:r>
    </w:p>
    <w:p>
      <w:pPr>
        <w:spacing w:after="0" w:line="213" w:lineRule="exact"/>
        <w:rPr>
          <w:sz w:val="20"/>
          <w:szCs w:val="20"/>
          <w:color w:val="auto"/>
        </w:rPr>
      </w:pPr>
    </w:p>
    <w:p>
      <w:pPr>
        <w:ind w:left="660"/>
        <w:spacing w:after="0"/>
        <w:tabs>
          <w:tab w:leader="none" w:pos="1160" w:val="left"/>
        </w:tabs>
        <w:rPr>
          <w:sz w:val="20"/>
          <w:szCs w:val="20"/>
          <w:color w:val="auto"/>
        </w:rPr>
      </w:pPr>
      <w:r>
        <w:rPr>
          <w:rFonts w:ascii="Arial" w:cs="Arial" w:eastAsia="Arial" w:hAnsi="Arial"/>
          <w:sz w:val="20"/>
          <w:szCs w:val="20"/>
          <w:color w:val="auto"/>
        </w:rPr>
        <w:t>8.04</w:t>
      </w:r>
      <w:r>
        <w:rPr>
          <w:sz w:val="20"/>
          <w:szCs w:val="20"/>
          <w:color w:val="auto"/>
        </w:rPr>
        <w:tab/>
      </w:r>
      <w:r>
        <w:rPr>
          <w:rFonts w:ascii="Arial" w:cs="Arial" w:eastAsia="Arial" w:hAnsi="Arial"/>
          <w:sz w:val="16"/>
          <w:szCs w:val="16"/>
          <w:u w:val="single" w:color="auto"/>
          <w:color w:val="auto"/>
        </w:rPr>
        <w:t>Mergers and Dissolutions</w:t>
      </w:r>
      <w:r>
        <w:rPr>
          <w:rFonts w:ascii="Arial" w:cs="Arial" w:eastAsia="Arial" w:hAnsi="Arial"/>
          <w:sz w:val="16"/>
          <w:szCs w:val="16"/>
          <w:color w:val="auto"/>
        </w:rPr>
        <w:t>.</w:t>
      </w:r>
    </w:p>
    <w:p>
      <w:pPr>
        <w:spacing w:after="0" w:line="270" w:lineRule="exact"/>
        <w:rPr>
          <w:sz w:val="20"/>
          <w:szCs w:val="20"/>
          <w:color w:val="auto"/>
        </w:rPr>
      </w:pPr>
    </w:p>
    <w:p>
      <w:pPr>
        <w:ind w:left="660" w:right="80" w:firstLine="645"/>
        <w:spacing w:after="0" w:line="317" w:lineRule="auto"/>
        <w:tabs>
          <w:tab w:leader="none" w:pos="1708" w:val="left"/>
        </w:tabs>
        <w:numPr>
          <w:ilvl w:val="0"/>
          <w:numId w:val="229"/>
        </w:numPr>
        <w:rPr>
          <w:rFonts w:ascii="Arial" w:cs="Arial" w:eastAsia="Arial" w:hAnsi="Arial"/>
          <w:sz w:val="20"/>
          <w:szCs w:val="20"/>
          <w:color w:val="auto"/>
        </w:rPr>
      </w:pPr>
      <w:r>
        <w:rPr>
          <w:rFonts w:ascii="Arial" w:cs="Arial" w:eastAsia="Arial" w:hAnsi="Arial"/>
          <w:sz w:val="20"/>
          <w:szCs w:val="20"/>
          <w:color w:val="auto"/>
        </w:rPr>
        <w:t xml:space="preserve">Enter into a transaction of merger or consolidation;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so long as no Default or Event of Default then exists or would result therefrom:</w:t>
      </w:r>
    </w:p>
    <w:p>
      <w:pPr>
        <w:spacing w:after="0" w:line="378" w:lineRule="exact"/>
        <w:rPr>
          <w:sz w:val="20"/>
          <w:szCs w:val="20"/>
          <w:color w:val="auto"/>
        </w:rPr>
      </w:pPr>
    </w:p>
    <w:p>
      <w:pPr>
        <w:jc w:val="center"/>
        <w:ind w:right="-79"/>
        <w:spacing w:after="0"/>
        <w:rPr>
          <w:sz w:val="20"/>
          <w:szCs w:val="20"/>
          <w:color w:val="auto"/>
        </w:rPr>
      </w:pPr>
      <w:r>
        <w:rPr>
          <w:rFonts w:ascii="Arial" w:cs="Arial" w:eastAsia="Arial" w:hAnsi="Arial"/>
          <w:sz w:val="20"/>
          <w:szCs w:val="20"/>
          <w:color w:val="auto"/>
        </w:rPr>
        <w:t>163</w:t>
      </w:r>
    </w:p>
    <w:p>
      <w:pPr>
        <w:spacing w:after="0" w:line="10" w:lineRule="exact"/>
        <w:rPr>
          <w:sz w:val="20"/>
          <w:szCs w:val="20"/>
          <w:color w:val="auto"/>
        </w:rPr>
      </w:pPr>
    </w:p>
    <w:p>
      <w:pPr>
        <w:spacing w:after="0"/>
        <w:rPr>
          <w:sz w:val="20"/>
          <w:szCs w:val="20"/>
          <w:color w:val="auto"/>
        </w:rPr>
      </w:pPr>
      <w:r>
        <w:rPr>
          <w:rFonts w:ascii="Arial" w:cs="Arial" w:eastAsia="Arial" w:hAnsi="Arial"/>
          <w:sz w:val="14"/>
          <w:szCs w:val="14"/>
          <w:color w:val="auto"/>
        </w:rPr>
        <w:t>CHAR1\1346423v</w:t>
      </w:r>
      <w:r>
        <w:rPr>
          <w:rFonts w:ascii="Arial" w:cs="Arial" w:eastAsia="Arial" w:hAnsi="Arial"/>
          <w:sz w:val="14"/>
          <w:szCs w:val="14"/>
          <w:color w:val="FF0000"/>
          <w:strike w:val="1"/>
        </w:rPr>
        <w:t>1</w:t>
      </w:r>
      <w:r>
        <w:rPr>
          <w:rFonts w:ascii="Arial" w:cs="Arial" w:eastAsia="Arial" w:hAnsi="Arial"/>
          <w:sz w:val="14"/>
          <w:szCs w:val="14"/>
          <w:u w:val="single" w:color="auto"/>
          <w:color w:val="0000FF"/>
        </w:rPr>
        <w:t>12</w:t>
      </w:r>
    </w:p>
    <w:p>
      <w:pPr>
        <w:sectPr>
          <w:pgSz w:w="11900" w:h="16838" w:orient="portrait"/>
          <w:cols w:equalWidth="0" w:num="1">
            <w:col w:w="11360"/>
          </w:cols>
          <w:pgMar w:left="240" w:top="609" w:right="299" w:bottom="1440" w:gutter="0" w:footer="0" w:header="0"/>
        </w:sectPr>
      </w:pPr>
    </w:p>
    <w:bookmarkStart w:id="215" w:name="page216"/>
    <w:bookmarkEnd w:id="215"/>
    <w:p>
      <w:pPr>
        <w:ind w:left="1300" w:firstLine="653"/>
        <w:spacing w:after="0" w:line="328" w:lineRule="auto"/>
        <w:tabs>
          <w:tab w:leader="none" w:pos="2332" w:val="left"/>
        </w:tabs>
        <w:numPr>
          <w:ilvl w:val="1"/>
          <w:numId w:val="230"/>
        </w:numPr>
        <w:rPr>
          <w:rFonts w:ascii="Arial" w:cs="Arial" w:eastAsia="Arial" w:hAnsi="Arial"/>
          <w:sz w:val="21"/>
          <w:szCs w:val="21"/>
          <w:color w:val="auto"/>
        </w:rPr>
      </w:pPr>
      <w:r>
        <w:rPr>
          <w:rFonts w:ascii="Arial" w:cs="Arial" w:eastAsia="Arial" w:hAnsi="Arial"/>
          <w:sz w:val="19"/>
          <w:szCs w:val="19"/>
          <w:color w:val="auto"/>
        </w:rPr>
        <w:t xml:space="preserve">EWI and other members of the Consolidated Group that are Domestic Subsidiaries may merge or consolidate with other members of the Consolidated Group,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(A) if EWI is a party to the merger or consolidation, it shall be the surviving entity, (B) if a Domestic Subsidiary that is a Borrower hereunder shall be a party to the merger or consolidation, then it shall be the surviving entity (unless EWI or another Domestic Subsidiary that is a Borrower is also a party to the merger or consolidation, in which case EWI or the other Domestic Subsidiary that is a Borrower shall be the surviving entity), and (C) if the transaction of merger or consolidation involves both a Domestic Subsidiary and a Foreign Subsidiary, then the Domestic Subsidiary shall be the surviving entity;</w:t>
      </w:r>
    </w:p>
    <w:p>
      <w:pPr>
        <w:spacing w:after="0" w:line="187" w:lineRule="exact"/>
        <w:rPr>
          <w:rFonts w:ascii="Arial" w:cs="Arial" w:eastAsia="Arial" w:hAnsi="Arial"/>
          <w:sz w:val="21"/>
          <w:szCs w:val="21"/>
          <w:color w:val="auto"/>
        </w:rPr>
      </w:pPr>
    </w:p>
    <w:p>
      <w:pPr>
        <w:ind w:left="1300" w:right="80" w:firstLine="653"/>
        <w:spacing w:after="0" w:line="362" w:lineRule="auto"/>
        <w:tabs>
          <w:tab w:leader="none" w:pos="2392" w:val="left"/>
        </w:tabs>
        <w:numPr>
          <w:ilvl w:val="1"/>
          <w:numId w:val="230"/>
        </w:numPr>
        <w:rPr>
          <w:rFonts w:ascii="Arial" w:cs="Arial" w:eastAsia="Arial" w:hAnsi="Arial"/>
          <w:sz w:val="18"/>
          <w:szCs w:val="18"/>
          <w:color w:val="auto"/>
        </w:rPr>
      </w:pPr>
      <w:r>
        <w:rPr>
          <w:rFonts w:ascii="Arial" w:cs="Arial" w:eastAsia="Arial" w:hAnsi="Arial"/>
          <w:sz w:val="17"/>
          <w:szCs w:val="17"/>
          <w:color w:val="auto"/>
        </w:rPr>
        <w:t xml:space="preserve">members of the Consolidated Group that are Foreign Subsidiaries may merge or consolidate with other members of the Consolidated Group,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(A) if EWI is a party to the merger or consolidation, it shall be the surviving entity,</w:t>
      </w:r>
    </w:p>
    <w:p>
      <w:pPr>
        <w:ind w:left="1300" w:right="100" w:firstLine="5"/>
        <w:spacing w:after="0" w:line="344" w:lineRule="auto"/>
        <w:tabs>
          <w:tab w:leader="none" w:pos="1613" w:val="left"/>
        </w:tabs>
        <w:numPr>
          <w:ilvl w:val="0"/>
          <w:numId w:val="231"/>
        </w:numPr>
        <w:rPr>
          <w:rFonts w:ascii="Arial" w:cs="Arial" w:eastAsia="Arial" w:hAnsi="Arial"/>
          <w:sz w:val="18"/>
          <w:szCs w:val="18"/>
          <w:color w:val="auto"/>
        </w:rPr>
      </w:pPr>
      <w:r>
        <w:rPr>
          <w:rFonts w:ascii="Arial" w:cs="Arial" w:eastAsia="Arial" w:hAnsi="Arial"/>
          <w:sz w:val="18"/>
          <w:szCs w:val="18"/>
          <w:color w:val="auto"/>
        </w:rPr>
        <w:t>if a Foreign Subsidiary that is a Borrower hereunder is a party to a merger or consolidation, then it shall be the surviving entity (unless EWI or a Domestic Subsidiary that is a Borrower are a party to the merger or consolidation, in which case EWI or the Domestic Subsidiary that is a Borrower shall be the surviving entity), (C) if the transaction of merger or consolidation involves both a Domestic Subsidiary and a Foreign Subsidiary, then the Domestic Subsidiary shall be the surviving entity, and</w:t>
      </w:r>
    </w:p>
    <w:p>
      <w:pPr>
        <w:spacing w:after="0" w:line="1" w:lineRule="exact"/>
        <w:rPr>
          <w:rFonts w:ascii="Arial" w:cs="Arial" w:eastAsia="Arial" w:hAnsi="Arial"/>
          <w:sz w:val="18"/>
          <w:szCs w:val="18"/>
          <w:color w:val="auto"/>
        </w:rPr>
      </w:pPr>
    </w:p>
    <w:p>
      <w:pPr>
        <w:ind w:left="1300" w:right="160" w:firstLine="5"/>
        <w:spacing w:after="0" w:line="320" w:lineRule="auto"/>
        <w:tabs>
          <w:tab w:leader="none" w:pos="1624" w:val="left"/>
        </w:tabs>
        <w:numPr>
          <w:ilvl w:val="0"/>
          <w:numId w:val="232"/>
        </w:numPr>
        <w:rPr>
          <w:rFonts w:ascii="Arial" w:cs="Arial" w:eastAsia="Arial" w:hAnsi="Arial"/>
          <w:sz w:val="20"/>
          <w:szCs w:val="20"/>
          <w:color w:val="auto"/>
        </w:rPr>
      </w:pPr>
      <w:r>
        <w:rPr>
          <w:rFonts w:ascii="Arial" w:cs="Arial" w:eastAsia="Arial" w:hAnsi="Arial"/>
          <w:sz w:val="20"/>
          <w:szCs w:val="20"/>
          <w:color w:val="auto"/>
        </w:rPr>
        <w:t>if the transaction of merger or consolidation involves two or more Foreign Subsidiaries and one or more of the Foreign Subsidiaries are organized under the laws of an Approved Jurisdiction, then the surviving entity shall be a Foreign Subsidiary that is organized under the laws of an Approved Jurisdiction; and</w:t>
      </w:r>
    </w:p>
    <w:p>
      <w:pPr>
        <w:spacing w:after="0" w:line="187" w:lineRule="exact"/>
        <w:rPr>
          <w:rFonts w:ascii="Arial" w:cs="Arial" w:eastAsia="Arial" w:hAnsi="Arial"/>
          <w:sz w:val="20"/>
          <w:szCs w:val="20"/>
          <w:color w:val="auto"/>
        </w:rPr>
      </w:pPr>
    </w:p>
    <w:p>
      <w:pPr>
        <w:ind w:left="1300" w:right="100" w:firstLine="653"/>
        <w:spacing w:after="0" w:line="359" w:lineRule="auto"/>
        <w:tabs>
          <w:tab w:leader="none" w:pos="2452" w:val="left"/>
        </w:tabs>
        <w:numPr>
          <w:ilvl w:val="1"/>
          <w:numId w:val="232"/>
        </w:numPr>
        <w:rPr>
          <w:rFonts w:ascii="Arial" w:cs="Arial" w:eastAsia="Arial" w:hAnsi="Arial"/>
          <w:sz w:val="19"/>
          <w:szCs w:val="19"/>
          <w:color w:val="auto"/>
        </w:rPr>
      </w:pPr>
      <w:r>
        <w:rPr>
          <w:rFonts w:ascii="Arial" w:cs="Arial" w:eastAsia="Arial" w:hAnsi="Arial"/>
          <w:sz w:val="18"/>
          <w:szCs w:val="18"/>
          <w:color w:val="auto"/>
        </w:rPr>
        <w:t xml:space="preserve">members of the Consolidated Group may merge or consolidate with Persons that are not members of the Consolidated Group,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(A) if EWI is a party to the merger or consolidation, it shall be the surviving entity, (B) if a Subsidiary of EWI that is a Borrower, Domestic or Foreign, is a party to the merger or consolidation, the Subsidiary that is a Borrower will be the surviving entity, and (C) the transaction shall be a Permitted Acquisition or a Permitted Disposition.</w:t>
      </w:r>
    </w:p>
    <w:p>
      <w:pPr>
        <w:spacing w:after="0" w:line="149" w:lineRule="exact"/>
        <w:rPr>
          <w:sz w:val="20"/>
          <w:szCs w:val="20"/>
          <w:color w:val="auto"/>
        </w:rPr>
      </w:pPr>
    </w:p>
    <w:p>
      <w:pPr>
        <w:ind w:left="660" w:right="280" w:firstLine="645"/>
        <w:spacing w:after="0" w:line="317" w:lineRule="auto"/>
        <w:tabs>
          <w:tab w:leader="none" w:pos="1719" w:val="left"/>
        </w:tabs>
        <w:numPr>
          <w:ilvl w:val="0"/>
          <w:numId w:val="233"/>
        </w:numPr>
        <w:rPr>
          <w:rFonts w:ascii="Arial" w:cs="Arial" w:eastAsia="Arial" w:hAnsi="Arial"/>
          <w:sz w:val="20"/>
          <w:szCs w:val="20"/>
          <w:color w:val="auto"/>
        </w:rPr>
      </w:pPr>
      <w:r>
        <w:rPr>
          <w:rFonts w:ascii="Arial" w:cs="Arial" w:eastAsia="Arial" w:hAnsi="Arial"/>
          <w:sz w:val="20"/>
          <w:szCs w:val="20"/>
          <w:color w:val="auto"/>
        </w:rPr>
        <w:t>Except for EWI and Subsidiaries that are Borrowers hereunder, members of the Consolidated Group may be dissolved, liquidated or otherwise have their existence terminated.</w:t>
      </w:r>
    </w:p>
    <w:p>
      <w:pPr>
        <w:spacing w:after="0" w:line="162" w:lineRule="exact"/>
        <w:rPr>
          <w:sz w:val="20"/>
          <w:szCs w:val="20"/>
          <w:color w:val="auto"/>
        </w:rPr>
      </w:pPr>
    </w:p>
    <w:p>
      <w:pPr>
        <w:ind w:left="660"/>
        <w:spacing w:after="0"/>
        <w:tabs>
          <w:tab w:leader="none" w:pos="1160" w:val="left"/>
        </w:tabs>
        <w:rPr>
          <w:sz w:val="20"/>
          <w:szCs w:val="20"/>
          <w:color w:val="auto"/>
        </w:rPr>
      </w:pPr>
      <w:r>
        <w:rPr>
          <w:rFonts w:ascii="Arial" w:cs="Arial" w:eastAsia="Arial" w:hAnsi="Arial"/>
          <w:sz w:val="20"/>
          <w:szCs w:val="20"/>
          <w:color w:val="auto"/>
        </w:rPr>
        <w:t>8.05</w:t>
      </w:r>
      <w:r>
        <w:rPr>
          <w:sz w:val="20"/>
          <w:szCs w:val="20"/>
          <w:color w:val="auto"/>
        </w:rPr>
        <w:tab/>
      </w:r>
      <w:r>
        <w:rPr>
          <w:rFonts w:ascii="Arial" w:cs="Arial" w:eastAsia="Arial" w:hAnsi="Arial"/>
          <w:sz w:val="18"/>
          <w:szCs w:val="18"/>
          <w:u w:val="single" w:color="auto"/>
          <w:color w:val="auto"/>
        </w:rPr>
        <w:t>Dispositions</w:t>
      </w:r>
      <w:r>
        <w:rPr>
          <w:rFonts w:ascii="Arial" w:cs="Arial" w:eastAsia="Arial" w:hAnsi="Arial"/>
          <w:sz w:val="18"/>
          <w:szCs w:val="18"/>
          <w:color w:val="auto"/>
        </w:rPr>
        <w:t>. Make or permit Dispositions, except for Permitted Dispositions.</w:t>
      </w:r>
    </w:p>
    <w:p>
      <w:pPr>
        <w:spacing w:after="0" w:line="270" w:lineRule="exact"/>
        <w:rPr>
          <w:sz w:val="20"/>
          <w:szCs w:val="20"/>
          <w:color w:val="auto"/>
        </w:rPr>
      </w:pPr>
    </w:p>
    <w:p>
      <w:pPr>
        <w:ind w:right="560" w:firstLine="648"/>
        <w:spacing w:after="0" w:line="317" w:lineRule="auto"/>
        <w:rPr>
          <w:sz w:val="20"/>
          <w:szCs w:val="20"/>
          <w:color w:val="auto"/>
        </w:rPr>
      </w:pPr>
      <w:r>
        <w:rPr>
          <w:rFonts w:ascii="Arial" w:cs="Arial" w:eastAsia="Arial" w:hAnsi="Arial"/>
          <w:sz w:val="20"/>
          <w:szCs w:val="20"/>
          <w:color w:val="auto"/>
        </w:rPr>
        <w:t xml:space="preserve">8.06 </w:t>
      </w:r>
      <w:r>
        <w:rPr>
          <w:rFonts w:ascii="Arial" w:cs="Arial" w:eastAsia="Arial" w:hAnsi="Arial"/>
          <w:sz w:val="20"/>
          <w:szCs w:val="20"/>
          <w:u w:val="single" w:color="auto"/>
          <w:color w:val="auto"/>
        </w:rPr>
        <w:t>Restricted Payments</w:t>
      </w:r>
      <w:r>
        <w:rPr>
          <w:rFonts w:ascii="Arial" w:cs="Arial" w:eastAsia="Arial" w:hAnsi="Arial"/>
          <w:sz w:val="20"/>
          <w:szCs w:val="20"/>
          <w:color w:val="auto"/>
        </w:rPr>
        <w:t>. EWI will not declare or make, directly or indirectly, any Restricted Payment, or incur any obligation (contingent or otherwise) to do so, except that:</w:t>
      </w:r>
    </w:p>
    <w:p>
      <w:pPr>
        <w:spacing w:after="0" w:line="162" w:lineRule="exact"/>
        <w:rPr>
          <w:sz w:val="20"/>
          <w:szCs w:val="20"/>
          <w:color w:val="auto"/>
        </w:rPr>
      </w:pPr>
    </w:p>
    <w:p>
      <w:pPr>
        <w:ind w:left="1700" w:hanging="395"/>
        <w:spacing w:after="0"/>
        <w:tabs>
          <w:tab w:leader="none" w:pos="1700" w:val="left"/>
        </w:tabs>
        <w:numPr>
          <w:ilvl w:val="0"/>
          <w:numId w:val="234"/>
        </w:numPr>
        <w:rPr>
          <w:rFonts w:ascii="Arial" w:cs="Arial" w:eastAsia="Arial" w:hAnsi="Arial"/>
          <w:sz w:val="18"/>
          <w:szCs w:val="18"/>
          <w:color w:val="auto"/>
        </w:rPr>
      </w:pPr>
      <w:r>
        <w:rPr>
          <w:rFonts w:ascii="Arial" w:cs="Arial" w:eastAsia="Arial" w:hAnsi="Arial"/>
          <w:sz w:val="18"/>
          <w:szCs w:val="18"/>
          <w:color w:val="auto"/>
        </w:rPr>
        <w:t>EWI may declare and make dividend payments or other distributions payable solely in its common stock or other equity</w:t>
      </w:r>
    </w:p>
    <w:p>
      <w:pPr>
        <w:spacing w:after="0" w:line="76"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Arial" w:cs="Arial" w:eastAsia="Arial" w:hAnsi="Arial"/>
          <w:sz w:val="20"/>
          <w:szCs w:val="20"/>
          <w:color w:val="auto"/>
        </w:rPr>
        <w:t>interests;</w:t>
      </w:r>
    </w:p>
    <w:p>
      <w:pPr>
        <w:spacing w:after="0" w:line="200" w:lineRule="exact"/>
        <w:rPr>
          <w:sz w:val="20"/>
          <w:szCs w:val="20"/>
          <w:color w:val="auto"/>
        </w:rPr>
      </w:pPr>
    </w:p>
    <w:p>
      <w:pPr>
        <w:spacing w:after="0" w:line="272" w:lineRule="exact"/>
        <w:rPr>
          <w:sz w:val="20"/>
          <w:szCs w:val="20"/>
          <w:color w:val="auto"/>
        </w:rPr>
      </w:pPr>
    </w:p>
    <w:p>
      <w:pPr>
        <w:jc w:val="center"/>
        <w:ind w:right="-39"/>
        <w:spacing w:after="0"/>
        <w:rPr>
          <w:sz w:val="20"/>
          <w:szCs w:val="20"/>
          <w:color w:val="auto"/>
        </w:rPr>
      </w:pPr>
      <w:r>
        <w:rPr>
          <w:rFonts w:ascii="Arial" w:cs="Arial" w:eastAsia="Arial" w:hAnsi="Arial"/>
          <w:sz w:val="20"/>
          <w:szCs w:val="20"/>
          <w:color w:val="auto"/>
        </w:rPr>
        <w:t>164</w:t>
      </w:r>
    </w:p>
    <w:p>
      <w:pPr>
        <w:spacing w:after="0" w:line="10" w:lineRule="exact"/>
        <w:rPr>
          <w:sz w:val="20"/>
          <w:szCs w:val="20"/>
          <w:color w:val="auto"/>
        </w:rPr>
      </w:pPr>
    </w:p>
    <w:p>
      <w:pPr>
        <w:spacing w:after="0"/>
        <w:rPr>
          <w:sz w:val="20"/>
          <w:szCs w:val="20"/>
          <w:color w:val="auto"/>
        </w:rPr>
      </w:pPr>
      <w:r>
        <w:rPr>
          <w:rFonts w:ascii="Arial" w:cs="Arial" w:eastAsia="Arial" w:hAnsi="Arial"/>
          <w:sz w:val="14"/>
          <w:szCs w:val="14"/>
          <w:color w:val="auto"/>
        </w:rPr>
        <w:t>CHAR1\1346423v</w:t>
      </w:r>
      <w:r>
        <w:rPr>
          <w:rFonts w:ascii="Arial" w:cs="Arial" w:eastAsia="Arial" w:hAnsi="Arial"/>
          <w:sz w:val="14"/>
          <w:szCs w:val="14"/>
          <w:color w:val="FF0000"/>
          <w:strike w:val="1"/>
        </w:rPr>
        <w:t>1</w:t>
      </w:r>
      <w:r>
        <w:rPr>
          <w:rFonts w:ascii="Arial" w:cs="Arial" w:eastAsia="Arial" w:hAnsi="Arial"/>
          <w:sz w:val="14"/>
          <w:szCs w:val="14"/>
          <w:u w:val="single" w:color="auto"/>
          <w:color w:val="0000FF"/>
        </w:rPr>
        <w:t>12</w:t>
      </w:r>
    </w:p>
    <w:p>
      <w:pPr>
        <w:sectPr>
          <w:pgSz w:w="11900" w:h="16838" w:orient="portrait"/>
          <w:cols w:equalWidth="0" w:num="1">
            <w:col w:w="11400"/>
          </w:cols>
          <w:pgMar w:left="240" w:top="622" w:right="259" w:bottom="1440" w:gutter="0" w:footer="0" w:header="0"/>
        </w:sectPr>
      </w:pPr>
    </w:p>
    <w:bookmarkStart w:id="216" w:name="page217"/>
    <w:bookmarkEnd w:id="216"/>
    <w:p>
      <w:pPr>
        <w:ind w:left="1720" w:hanging="415"/>
        <w:spacing w:after="0"/>
        <w:tabs>
          <w:tab w:leader="none" w:pos="1720" w:val="left"/>
        </w:tabs>
        <w:numPr>
          <w:ilvl w:val="0"/>
          <w:numId w:val="235"/>
        </w:numPr>
        <w:rPr>
          <w:rFonts w:ascii="Arial" w:cs="Arial" w:eastAsia="Arial" w:hAnsi="Arial"/>
          <w:sz w:val="16"/>
          <w:szCs w:val="16"/>
          <w:color w:val="auto"/>
        </w:rPr>
      </w:pPr>
      <w:r>
        <w:rPr>
          <w:rFonts w:ascii="Arial" w:cs="Arial" w:eastAsia="Arial" w:hAnsi="Arial"/>
          <w:sz w:val="16"/>
          <w:szCs w:val="16"/>
          <w:color w:val="auto"/>
        </w:rPr>
        <w:t>EWI may purchase, redeem or otherwise acquire shares of its common stock or other common equity interests or warrants</w:t>
      </w:r>
    </w:p>
    <w:p>
      <w:pPr>
        <w:spacing w:after="0" w:line="99" w:lineRule="exact"/>
        <w:rPr>
          <w:rFonts w:ascii="Arial" w:cs="Arial" w:eastAsia="Arial" w:hAnsi="Arial"/>
          <w:sz w:val="16"/>
          <w:szCs w:val="16"/>
          <w:color w:val="auto"/>
        </w:rPr>
      </w:pPr>
    </w:p>
    <w:p>
      <w:pPr>
        <w:ind w:left="660" w:right="680"/>
        <w:spacing w:after="0" w:line="303" w:lineRule="auto"/>
        <w:rPr>
          <w:rFonts w:ascii="Arial" w:cs="Arial" w:eastAsia="Arial" w:hAnsi="Arial"/>
          <w:sz w:val="16"/>
          <w:szCs w:val="16"/>
          <w:color w:val="auto"/>
        </w:rPr>
      </w:pPr>
      <w:r>
        <w:rPr>
          <w:rFonts w:ascii="Arial" w:cs="Arial" w:eastAsia="Arial" w:hAnsi="Arial"/>
          <w:sz w:val="20"/>
          <w:szCs w:val="20"/>
          <w:color w:val="auto"/>
        </w:rPr>
        <w:t>or options to acquire any such shares with the proceeds received from the substantially concurrent issuance of new shares of its common stock or other common equity interests;</w:t>
      </w:r>
    </w:p>
    <w:p>
      <w:pPr>
        <w:spacing w:after="0" w:line="175" w:lineRule="exact"/>
        <w:rPr>
          <w:rFonts w:ascii="Arial" w:cs="Arial" w:eastAsia="Arial" w:hAnsi="Arial"/>
          <w:sz w:val="16"/>
          <w:szCs w:val="16"/>
          <w:color w:val="auto"/>
        </w:rPr>
      </w:pPr>
    </w:p>
    <w:p>
      <w:pPr>
        <w:ind w:left="1700" w:hanging="395"/>
        <w:spacing w:after="0"/>
        <w:tabs>
          <w:tab w:leader="none" w:pos="1700" w:val="left"/>
        </w:tabs>
        <w:numPr>
          <w:ilvl w:val="0"/>
          <w:numId w:val="235"/>
        </w:numPr>
        <w:rPr>
          <w:rFonts w:ascii="Arial" w:cs="Arial" w:eastAsia="Arial" w:hAnsi="Arial"/>
          <w:sz w:val="19"/>
          <w:szCs w:val="19"/>
          <w:color w:val="auto"/>
        </w:rPr>
      </w:pPr>
      <w:r>
        <w:rPr>
          <w:rFonts w:ascii="Arial" w:cs="Arial" w:eastAsia="Arial" w:hAnsi="Arial"/>
          <w:sz w:val="19"/>
          <w:szCs w:val="19"/>
          <w:color w:val="auto"/>
        </w:rPr>
        <w:t>EWI may make payment on, in respect of, or in connection with (i) a stock incentive plan, stock option plan or other</w:t>
      </w:r>
    </w:p>
    <w:p>
      <w:pPr>
        <w:spacing w:after="0" w:line="65" w:lineRule="exact"/>
        <w:rPr>
          <w:rFonts w:ascii="Arial" w:cs="Arial" w:eastAsia="Arial" w:hAnsi="Arial"/>
          <w:sz w:val="19"/>
          <w:szCs w:val="19"/>
          <w:color w:val="auto"/>
        </w:rPr>
      </w:pPr>
    </w:p>
    <w:p>
      <w:pPr>
        <w:ind w:left="660" w:right="60"/>
        <w:spacing w:after="0" w:line="287" w:lineRule="auto"/>
        <w:rPr>
          <w:rFonts w:ascii="Arial" w:cs="Arial" w:eastAsia="Arial" w:hAnsi="Arial"/>
          <w:sz w:val="19"/>
          <w:szCs w:val="19"/>
          <w:color w:val="auto"/>
        </w:rPr>
      </w:pPr>
      <w:r>
        <w:rPr>
          <w:rFonts w:ascii="Arial" w:cs="Arial" w:eastAsia="Arial" w:hAnsi="Arial"/>
          <w:sz w:val="20"/>
          <w:szCs w:val="20"/>
          <w:color w:val="auto"/>
        </w:rPr>
        <w:t>equity-based compensation plan or arrangement or (ii) Capital Stock, options, warrants and other rights to acquire Capital Stock issued or granted in connection with any Permitted Acquisition (including, without limitation, the issuance of equity interests, including Capital Stock, as consideration in connection with any acquisition permitted hereunder, whether as original purchase consideration or in satisfaction of subsequent contingent consideration obligations, and the sale of equity interests, including Capital Stock, for the sole purpose of financing any acquisition permitted hereunder);</w:t>
      </w:r>
    </w:p>
    <w:p>
      <w:pPr>
        <w:spacing w:after="0" w:line="191" w:lineRule="exact"/>
        <w:rPr>
          <w:rFonts w:ascii="Arial" w:cs="Arial" w:eastAsia="Arial" w:hAnsi="Arial"/>
          <w:sz w:val="19"/>
          <w:szCs w:val="19"/>
          <w:color w:val="auto"/>
        </w:rPr>
      </w:pPr>
    </w:p>
    <w:p>
      <w:pPr>
        <w:ind w:left="1720" w:hanging="415"/>
        <w:spacing w:after="0"/>
        <w:tabs>
          <w:tab w:leader="none" w:pos="1720" w:val="left"/>
        </w:tabs>
        <w:numPr>
          <w:ilvl w:val="0"/>
          <w:numId w:val="235"/>
        </w:numPr>
        <w:rPr>
          <w:rFonts w:ascii="Arial" w:cs="Arial" w:eastAsia="Arial" w:hAnsi="Arial"/>
          <w:sz w:val="18"/>
          <w:szCs w:val="18"/>
          <w:color w:val="auto"/>
        </w:rPr>
      </w:pPr>
      <w:r>
        <w:rPr>
          <w:rFonts w:ascii="Arial" w:cs="Arial" w:eastAsia="Arial" w:hAnsi="Arial"/>
          <w:sz w:val="18"/>
          <w:szCs w:val="18"/>
          <w:color w:val="auto"/>
        </w:rPr>
        <w:t xml:space="preserve">EWI may make other Restricted Payments;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after giving effect thereto on a Pro Forma Basis, (i) no Default</w:t>
      </w:r>
    </w:p>
    <w:p>
      <w:pPr>
        <w:spacing w:after="0" w:line="76" w:lineRule="exact"/>
        <w:rPr>
          <w:rFonts w:ascii="Arial" w:cs="Arial" w:eastAsia="Arial" w:hAnsi="Arial"/>
          <w:sz w:val="18"/>
          <w:szCs w:val="18"/>
          <w:color w:val="auto"/>
        </w:rPr>
      </w:pPr>
    </w:p>
    <w:p>
      <w:pPr>
        <w:ind w:left="660" w:right="60"/>
        <w:spacing w:after="0" w:line="314" w:lineRule="auto"/>
        <w:rPr>
          <w:rFonts w:ascii="Arial" w:cs="Arial" w:eastAsia="Arial" w:hAnsi="Arial"/>
          <w:sz w:val="18"/>
          <w:szCs w:val="18"/>
          <w:color w:val="auto"/>
        </w:rPr>
      </w:pPr>
      <w:r>
        <w:rPr>
          <w:rFonts w:ascii="Arial" w:cs="Arial" w:eastAsia="Arial" w:hAnsi="Arial"/>
          <w:sz w:val="19"/>
          <w:szCs w:val="19"/>
          <w:color w:val="auto"/>
        </w:rPr>
        <w:t xml:space="preserve">or Event of Default shall exist, </w:t>
      </w:r>
      <w:r>
        <w:rPr>
          <w:rFonts w:ascii="Arial" w:cs="Arial" w:eastAsia="Arial" w:hAnsi="Arial"/>
          <w:sz w:val="19"/>
          <w:szCs w:val="19"/>
          <w:color w:val="FF0000"/>
          <w:strike w:val="1"/>
        </w:rPr>
        <w:t>(ii) each of</w:t>
      </w:r>
      <w:r>
        <w:rPr>
          <w:rFonts w:ascii="Arial" w:cs="Arial" w:eastAsia="Arial" w:hAnsi="Arial"/>
          <w:sz w:val="19"/>
          <w:szCs w:val="19"/>
          <w:color w:val="auto"/>
        </w:rPr>
        <w:t xml:space="preserve"> </w:t>
      </w:r>
      <w:r>
        <w:rPr>
          <w:rFonts w:ascii="Arial" w:cs="Arial" w:eastAsia="Arial" w:hAnsi="Arial"/>
          <w:sz w:val="19"/>
          <w:szCs w:val="19"/>
          <w:color w:val="00C000"/>
        </w:rPr>
        <w:t>the Consolidated Total Leverage Ratio</w:t>
      </w:r>
      <w:r>
        <w:rPr>
          <w:rFonts w:ascii="Arial" w:cs="Arial" w:eastAsia="Arial" w:hAnsi="Arial"/>
          <w:sz w:val="19"/>
          <w:szCs w:val="19"/>
          <w:color w:val="auto"/>
        </w:rPr>
        <w:t xml:space="preserve"> </w:t>
      </w:r>
      <w:r>
        <w:rPr>
          <w:rFonts w:ascii="Arial" w:cs="Arial" w:eastAsia="Arial" w:hAnsi="Arial"/>
          <w:sz w:val="19"/>
          <w:szCs w:val="19"/>
          <w:color w:val="FF0000"/>
          <w:strike w:val="1"/>
        </w:rPr>
        <w:t>and the Consolidated Senior Secured Leverage Ratio</w:t>
      </w:r>
      <w:r>
        <w:rPr>
          <w:rFonts w:ascii="Arial" w:cs="Arial" w:eastAsia="Arial" w:hAnsi="Arial"/>
          <w:sz w:val="19"/>
          <w:szCs w:val="19"/>
          <w:color w:val="auto"/>
        </w:rPr>
        <w:t xml:space="preserve"> </w:t>
      </w:r>
      <w:r>
        <w:rPr>
          <w:rFonts w:ascii="Arial" w:cs="Arial" w:eastAsia="Arial" w:hAnsi="Arial"/>
          <w:sz w:val="19"/>
          <w:szCs w:val="19"/>
          <w:color w:val="FF0000"/>
          <w:strike w:val="1"/>
        </w:rPr>
        <w:t xml:space="preserve">will be at least 0.25:1.00 lower than (or, one quarter </w:t>
      </w:r>
      <w:r>
        <w:rPr>
          <w:rFonts w:ascii="Arial" w:cs="Arial" w:eastAsia="Arial" w:hAnsi="Arial"/>
          <w:sz w:val="19"/>
          <w:szCs w:val="19"/>
          <w:color w:val="00C000"/>
          <w:strike w:val="1"/>
        </w:rPr>
        <w:t>turn inside) the maximum</w:t>
      </w:r>
      <w:r>
        <w:rPr>
          <w:rFonts w:ascii="Arial" w:cs="Arial" w:eastAsia="Arial" w:hAnsi="Arial"/>
          <w:sz w:val="19"/>
          <w:szCs w:val="19"/>
          <w:color w:val="FF0000"/>
          <w:strike w:val="1"/>
        </w:rPr>
        <w:t xml:space="preserve"> ratio permitted under </w:t>
      </w:r>
      <w:r>
        <w:rPr>
          <w:rFonts w:ascii="Arial" w:cs="Arial" w:eastAsia="Arial" w:hAnsi="Arial"/>
          <w:sz w:val="19"/>
          <w:szCs w:val="19"/>
          <w:u w:val="single" w:color="auto"/>
          <w:color w:val="FF0000"/>
          <w:strike w:val="1"/>
        </w:rPr>
        <w:t>Section 8.12(a)</w:t>
      </w:r>
      <w:r>
        <w:rPr>
          <w:rFonts w:ascii="Arial" w:cs="Arial" w:eastAsia="Arial" w:hAnsi="Arial"/>
          <w:sz w:val="19"/>
          <w:szCs w:val="19"/>
          <w:color w:val="FF0000"/>
          <w:strike w:val="1"/>
        </w:rPr>
        <w:t xml:space="preserve"> and </w:t>
      </w:r>
      <w:r>
        <w:rPr>
          <w:rFonts w:ascii="Arial" w:cs="Arial" w:eastAsia="Arial" w:hAnsi="Arial"/>
          <w:sz w:val="19"/>
          <w:szCs w:val="19"/>
          <w:u w:val="single" w:color="auto"/>
          <w:color w:val="FF0000"/>
          <w:strike w:val="1"/>
        </w:rPr>
        <w:t>(b)</w:t>
      </w:r>
      <w:r>
        <w:rPr>
          <w:rFonts w:ascii="Arial" w:cs="Arial" w:eastAsia="Arial" w:hAnsi="Arial"/>
          <w:sz w:val="19"/>
          <w:szCs w:val="19"/>
          <w:color w:val="FF0000"/>
          <w:strike w:val="1"/>
        </w:rPr>
        <w:t>, respectively, and (iii</w:t>
      </w:r>
      <w:r>
        <w:rPr>
          <w:rFonts w:ascii="Arial" w:cs="Arial" w:eastAsia="Arial" w:hAnsi="Arial"/>
          <w:sz w:val="19"/>
          <w:szCs w:val="19"/>
          <w:u w:val="single" w:color="auto"/>
          <w:color w:val="0000FF"/>
          <w:strike w:val="1"/>
        </w:rPr>
        <w:t>and (ii</w:t>
      </w:r>
      <w:r>
        <w:rPr>
          <w:rFonts w:ascii="Arial" w:cs="Arial" w:eastAsia="Arial" w:hAnsi="Arial"/>
          <w:sz w:val="19"/>
          <w:szCs w:val="19"/>
          <w:color w:val="000000"/>
          <w:strike w:val="1"/>
        </w:rPr>
        <w:t>) the Consolidated Group will have minimum Liquidity of at least $100 million; and</w:t>
      </w:r>
    </w:p>
    <w:p>
      <w:pPr>
        <w:spacing w:after="0" w:line="168" w:lineRule="exact"/>
        <w:rPr>
          <w:rFonts w:ascii="Arial" w:cs="Arial" w:eastAsia="Arial" w:hAnsi="Arial"/>
          <w:sz w:val="18"/>
          <w:szCs w:val="18"/>
          <w:color w:val="auto"/>
        </w:rPr>
      </w:pPr>
    </w:p>
    <w:p>
      <w:pPr>
        <w:ind w:left="660" w:right="640" w:firstLine="645"/>
        <w:spacing w:after="0" w:line="317" w:lineRule="auto"/>
        <w:tabs>
          <w:tab w:leader="none" w:pos="1708" w:val="left"/>
        </w:tabs>
        <w:numPr>
          <w:ilvl w:val="0"/>
          <w:numId w:val="235"/>
        </w:numPr>
        <w:rPr>
          <w:rFonts w:ascii="Arial" w:cs="Arial" w:eastAsia="Arial" w:hAnsi="Arial"/>
          <w:sz w:val="20"/>
          <w:szCs w:val="20"/>
          <w:color w:val="auto"/>
        </w:rPr>
      </w:pPr>
      <w:r>
        <w:rPr>
          <w:rFonts w:ascii="Arial" w:cs="Arial" w:eastAsia="Arial" w:hAnsi="Arial"/>
          <w:sz w:val="20"/>
          <w:szCs w:val="20"/>
          <w:color w:val="auto"/>
        </w:rPr>
        <w:t>EWI may make other Restricted Payments only with the prior written consent of the Administrative Agent and the Required Lenders.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2541905</wp:posOffset>
            </wp:positionH>
            <wp:positionV relativeFrom="paragraph">
              <wp:posOffset>-949325</wp:posOffset>
            </wp:positionV>
            <wp:extent cx="2001520" cy="8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2001520" cy="8890"/>
                    </a:xfrm>
                    <a:prstGeom prst="rect">
                      <a:avLst/>
                    </a:prstGeom>
                    <a:noFill/>
                  </pic:spPr>
                </pic:pic>
              </a:graphicData>
            </a:graphic>
          </wp:anchor>
        </w:drawing>
      </w:r>
    </w:p>
    <w:p>
      <w:pPr>
        <w:spacing w:after="0" w:line="142" w:lineRule="exact"/>
        <w:rPr>
          <w:sz w:val="20"/>
          <w:szCs w:val="20"/>
          <w:color w:val="auto"/>
        </w:rPr>
      </w:pPr>
    </w:p>
    <w:p>
      <w:pPr>
        <w:ind w:right="280" w:firstLine="648"/>
        <w:spacing w:after="0" w:line="299" w:lineRule="auto"/>
        <w:rPr>
          <w:sz w:val="20"/>
          <w:szCs w:val="20"/>
          <w:color w:val="auto"/>
        </w:rPr>
      </w:pPr>
      <w:r>
        <w:rPr>
          <w:rFonts w:ascii="Arial" w:cs="Arial" w:eastAsia="Arial" w:hAnsi="Arial"/>
          <w:sz w:val="20"/>
          <w:szCs w:val="20"/>
          <w:color w:val="auto"/>
        </w:rPr>
        <w:t xml:space="preserve">8.07 </w:t>
      </w:r>
      <w:r>
        <w:rPr>
          <w:rFonts w:ascii="Arial" w:cs="Arial" w:eastAsia="Arial" w:hAnsi="Arial"/>
          <w:sz w:val="20"/>
          <w:szCs w:val="20"/>
          <w:u w:val="single" w:color="auto"/>
          <w:color w:val="auto"/>
        </w:rPr>
        <w:t>Change in Nature of Business</w:t>
      </w:r>
      <w:r>
        <w:rPr>
          <w:rFonts w:ascii="Arial" w:cs="Arial" w:eastAsia="Arial" w:hAnsi="Arial"/>
          <w:sz w:val="20"/>
          <w:szCs w:val="20"/>
          <w:color w:val="auto"/>
        </w:rPr>
        <w:t xml:space="preserve">. Engage in any material line of business substantially different from those lines of business conducted by the Consolidated Group on the </w:t>
      </w:r>
      <w:r>
        <w:rPr>
          <w:rFonts w:ascii="Arial" w:cs="Arial" w:eastAsia="Arial" w:hAnsi="Arial"/>
          <w:sz w:val="20"/>
          <w:szCs w:val="20"/>
          <w:color w:val="FF0000"/>
          <w:strike w:val="1"/>
        </w:rPr>
        <w:t>date hereof</w:t>
      </w:r>
      <w:r>
        <w:rPr>
          <w:rFonts w:ascii="Arial" w:cs="Arial" w:eastAsia="Arial" w:hAnsi="Arial"/>
          <w:sz w:val="20"/>
          <w:szCs w:val="20"/>
          <w:u w:val="single" w:color="auto"/>
          <w:color w:val="0000FF"/>
        </w:rPr>
        <w:t>Amendment No. 1 Effective Date</w:t>
      </w:r>
      <w:r>
        <w:rPr>
          <w:rFonts w:ascii="Arial" w:cs="Arial" w:eastAsia="Arial" w:hAnsi="Arial"/>
          <w:sz w:val="20"/>
          <w:szCs w:val="20"/>
          <w:color w:val="auto"/>
        </w:rPr>
        <w:t xml:space="preserve"> or any business that is similar, reasonably related, incidental, complementary or ancillary thereto or any reasonable extension thereof.</w:t>
      </w:r>
    </w:p>
    <w:p>
      <w:pPr>
        <w:spacing w:after="0" w:line="180" w:lineRule="exact"/>
        <w:rPr>
          <w:sz w:val="20"/>
          <w:szCs w:val="20"/>
          <w:color w:val="auto"/>
        </w:rPr>
      </w:pPr>
    </w:p>
    <w:p>
      <w:pPr>
        <w:ind w:right="180" w:firstLine="648"/>
        <w:spacing w:after="0" w:line="346" w:lineRule="auto"/>
        <w:rPr>
          <w:sz w:val="20"/>
          <w:szCs w:val="20"/>
          <w:color w:val="auto"/>
        </w:rPr>
      </w:pPr>
      <w:r>
        <w:rPr>
          <w:rFonts w:ascii="Arial" w:cs="Arial" w:eastAsia="Arial" w:hAnsi="Arial"/>
          <w:sz w:val="18"/>
          <w:szCs w:val="18"/>
          <w:color w:val="auto"/>
        </w:rPr>
        <w:t xml:space="preserve">8.08 </w:t>
      </w:r>
      <w:r>
        <w:rPr>
          <w:rFonts w:ascii="Arial" w:cs="Arial" w:eastAsia="Arial" w:hAnsi="Arial"/>
          <w:sz w:val="18"/>
          <w:szCs w:val="18"/>
          <w:u w:val="single" w:color="auto"/>
          <w:color w:val="auto"/>
        </w:rPr>
        <w:t>Transactions with Affiliates</w:t>
      </w:r>
      <w:r>
        <w:rPr>
          <w:rFonts w:ascii="Arial" w:cs="Arial" w:eastAsia="Arial" w:hAnsi="Arial"/>
          <w:sz w:val="18"/>
          <w:szCs w:val="18"/>
          <w:color w:val="auto"/>
        </w:rPr>
        <w:t>. EWI will not, nor will it permit any of its Subsidiaries to, make payment to, or sell, lease, transfer or otherwise dispose of any of its properties or assets to, or purchase any property or assets from, or enter into or make or amend any transaction, contract, agreement, understanding, loan, advance or guarantee with, or for the benefit of any Affiliate, except:</w:t>
      </w:r>
    </w:p>
    <w:p>
      <w:pPr>
        <w:spacing w:after="0" w:line="145" w:lineRule="exact"/>
        <w:rPr>
          <w:sz w:val="20"/>
          <w:szCs w:val="20"/>
          <w:color w:val="auto"/>
        </w:rPr>
      </w:pPr>
    </w:p>
    <w:p>
      <w:pPr>
        <w:ind w:left="1700" w:hanging="395"/>
        <w:spacing w:after="0"/>
        <w:tabs>
          <w:tab w:leader="none" w:pos="1700" w:val="left"/>
        </w:tabs>
        <w:numPr>
          <w:ilvl w:val="0"/>
          <w:numId w:val="236"/>
        </w:numPr>
        <w:rPr>
          <w:rFonts w:ascii="Arial" w:cs="Arial" w:eastAsia="Arial" w:hAnsi="Arial"/>
          <w:sz w:val="18"/>
          <w:szCs w:val="18"/>
          <w:color w:val="auto"/>
        </w:rPr>
      </w:pPr>
      <w:r>
        <w:rPr>
          <w:rFonts w:ascii="Arial" w:cs="Arial" w:eastAsia="Arial" w:hAnsi="Arial"/>
          <w:sz w:val="18"/>
          <w:szCs w:val="18"/>
          <w:color w:val="auto"/>
        </w:rPr>
        <w:t>on terms not materially less favorable to EWI or such Subsidiary as EWI or such Subsidiary would obtain in comparable</w:t>
      </w:r>
    </w:p>
    <w:p>
      <w:pPr>
        <w:spacing w:after="0" w:line="76" w:lineRule="exact"/>
        <w:rPr>
          <w:rFonts w:ascii="Arial" w:cs="Arial" w:eastAsia="Arial" w:hAnsi="Arial"/>
          <w:sz w:val="18"/>
          <w:szCs w:val="18"/>
          <w:color w:val="auto"/>
        </w:rPr>
      </w:pPr>
    </w:p>
    <w:p>
      <w:pPr>
        <w:ind w:left="660" w:right="120"/>
        <w:spacing w:after="0" w:line="288" w:lineRule="auto"/>
        <w:rPr>
          <w:rFonts w:ascii="Arial" w:cs="Arial" w:eastAsia="Arial" w:hAnsi="Arial"/>
          <w:sz w:val="18"/>
          <w:szCs w:val="18"/>
          <w:color w:val="auto"/>
        </w:rPr>
      </w:pPr>
      <w:r>
        <w:rPr>
          <w:rFonts w:ascii="Arial" w:cs="Arial" w:eastAsia="Arial" w:hAnsi="Arial"/>
          <w:sz w:val="20"/>
          <w:szCs w:val="20"/>
          <w:color w:val="auto"/>
        </w:rPr>
        <w:t>arms length transaction, and in connection with such transaction or series of related transactions involving aggregate annual payments or consideration in excess of $10 million EWI delivers to the Administrative Agent a resolution adopted by the disinterested members of the board of directors of EWI approving such transaction and set forth in an officer’s certificate certifying that such transaction complies with this clause (a);</w:t>
      </w:r>
    </w:p>
    <w:p>
      <w:pPr>
        <w:spacing w:after="0" w:line="192" w:lineRule="exact"/>
        <w:rPr>
          <w:rFonts w:ascii="Arial" w:cs="Arial" w:eastAsia="Arial" w:hAnsi="Arial"/>
          <w:sz w:val="18"/>
          <w:szCs w:val="18"/>
          <w:color w:val="auto"/>
        </w:rPr>
      </w:pPr>
    </w:p>
    <w:p>
      <w:pPr>
        <w:ind w:left="1720" w:hanging="415"/>
        <w:spacing w:after="0"/>
        <w:tabs>
          <w:tab w:leader="none" w:pos="1720" w:val="left"/>
        </w:tabs>
        <w:numPr>
          <w:ilvl w:val="0"/>
          <w:numId w:val="236"/>
        </w:numPr>
        <w:rPr>
          <w:rFonts w:ascii="Arial" w:cs="Arial" w:eastAsia="Arial" w:hAnsi="Arial"/>
          <w:sz w:val="20"/>
          <w:szCs w:val="20"/>
          <w:color w:val="auto"/>
        </w:rPr>
      </w:pPr>
      <w:r>
        <w:rPr>
          <w:rFonts w:ascii="Arial" w:cs="Arial" w:eastAsia="Arial" w:hAnsi="Arial"/>
          <w:sz w:val="20"/>
          <w:szCs w:val="20"/>
          <w:color w:val="auto"/>
        </w:rPr>
        <w:t xml:space="preserve">any Restricted Payments permitted under </w:t>
      </w:r>
      <w:r>
        <w:rPr>
          <w:rFonts w:ascii="Arial" w:cs="Arial" w:eastAsia="Arial" w:hAnsi="Arial"/>
          <w:sz w:val="20"/>
          <w:szCs w:val="20"/>
          <w:u w:val="single" w:color="auto"/>
          <w:color w:val="auto"/>
        </w:rPr>
        <w:t>Section 8.06</w:t>
      </w:r>
      <w:r>
        <w:rPr>
          <w:rFonts w:ascii="Arial" w:cs="Arial" w:eastAsia="Arial" w:hAnsi="Arial"/>
          <w:sz w:val="20"/>
          <w:szCs w:val="20"/>
          <w:color w:val="auto"/>
        </w:rPr>
        <w:t>.;</w:t>
      </w:r>
    </w:p>
    <w:p>
      <w:pPr>
        <w:spacing w:after="0" w:line="200" w:lineRule="exact"/>
        <w:rPr>
          <w:sz w:val="20"/>
          <w:szCs w:val="20"/>
          <w:color w:val="auto"/>
        </w:rPr>
      </w:pPr>
    </w:p>
    <w:p>
      <w:pPr>
        <w:spacing w:after="0" w:line="286" w:lineRule="exact"/>
        <w:rPr>
          <w:sz w:val="20"/>
          <w:szCs w:val="20"/>
          <w:color w:val="auto"/>
        </w:rPr>
      </w:pPr>
    </w:p>
    <w:p>
      <w:pPr>
        <w:jc w:val="center"/>
        <w:ind w:right="-39"/>
        <w:spacing w:after="0"/>
        <w:rPr>
          <w:sz w:val="20"/>
          <w:szCs w:val="20"/>
          <w:color w:val="auto"/>
        </w:rPr>
      </w:pPr>
      <w:r>
        <w:rPr>
          <w:rFonts w:ascii="Arial" w:cs="Arial" w:eastAsia="Arial" w:hAnsi="Arial"/>
          <w:sz w:val="20"/>
          <w:szCs w:val="20"/>
          <w:color w:val="auto"/>
        </w:rPr>
        <w:t>165</w:t>
      </w:r>
    </w:p>
    <w:p>
      <w:pPr>
        <w:spacing w:after="0" w:line="10" w:lineRule="exact"/>
        <w:rPr>
          <w:sz w:val="20"/>
          <w:szCs w:val="20"/>
          <w:color w:val="auto"/>
        </w:rPr>
      </w:pPr>
    </w:p>
    <w:p>
      <w:pPr>
        <w:spacing w:after="0"/>
        <w:rPr>
          <w:sz w:val="20"/>
          <w:szCs w:val="20"/>
          <w:color w:val="auto"/>
        </w:rPr>
      </w:pPr>
      <w:r>
        <w:rPr>
          <w:rFonts w:ascii="Arial" w:cs="Arial" w:eastAsia="Arial" w:hAnsi="Arial"/>
          <w:sz w:val="14"/>
          <w:szCs w:val="14"/>
          <w:color w:val="auto"/>
        </w:rPr>
        <w:t>CHAR1\1346423v</w:t>
      </w:r>
      <w:r>
        <w:rPr>
          <w:rFonts w:ascii="Arial" w:cs="Arial" w:eastAsia="Arial" w:hAnsi="Arial"/>
          <w:sz w:val="14"/>
          <w:szCs w:val="14"/>
          <w:color w:val="FF0000"/>
          <w:strike w:val="1"/>
        </w:rPr>
        <w:t>1</w:t>
      </w:r>
      <w:r>
        <w:rPr>
          <w:rFonts w:ascii="Arial" w:cs="Arial" w:eastAsia="Arial" w:hAnsi="Arial"/>
          <w:sz w:val="14"/>
          <w:szCs w:val="14"/>
          <w:u w:val="single" w:color="auto"/>
          <w:color w:val="0000FF"/>
        </w:rPr>
        <w:t>12</w:t>
      </w:r>
    </w:p>
    <w:p>
      <w:pPr>
        <w:sectPr>
          <w:pgSz w:w="11900" w:h="16838" w:orient="portrait"/>
          <w:cols w:equalWidth="0" w:num="1">
            <w:col w:w="11400"/>
          </w:cols>
          <w:pgMar w:left="240" w:top="609" w:right="259" w:bottom="1440" w:gutter="0" w:footer="0" w:header="0"/>
        </w:sectPr>
      </w:pPr>
    </w:p>
    <w:bookmarkStart w:id="217" w:name="page218"/>
    <w:bookmarkEnd w:id="217"/>
    <w:p>
      <w:pPr>
        <w:ind w:left="660" w:firstLine="645"/>
        <w:spacing w:after="0" w:line="317" w:lineRule="auto"/>
        <w:tabs>
          <w:tab w:leader="none" w:pos="1708" w:val="left"/>
        </w:tabs>
        <w:numPr>
          <w:ilvl w:val="0"/>
          <w:numId w:val="237"/>
        </w:numPr>
        <w:rPr>
          <w:rFonts w:ascii="Arial" w:cs="Arial" w:eastAsia="Arial" w:hAnsi="Arial"/>
          <w:sz w:val="20"/>
          <w:szCs w:val="20"/>
          <w:color w:val="auto"/>
        </w:rPr>
      </w:pPr>
      <w:r>
        <w:rPr>
          <w:rFonts w:ascii="Arial" w:cs="Arial" w:eastAsia="Arial" w:hAnsi="Arial"/>
          <w:sz w:val="20"/>
          <w:szCs w:val="20"/>
          <w:color w:val="auto"/>
        </w:rPr>
        <w:t>reasonable and customary fees, expenses and indemnities provided in the ordinary course of business to officers, directors, managers, employees or consultants of EWI or any of its Subsidiaries;</w:t>
      </w:r>
    </w:p>
    <w:p>
      <w:pPr>
        <w:spacing w:after="0" w:line="162" w:lineRule="exact"/>
        <w:rPr>
          <w:rFonts w:ascii="Arial" w:cs="Arial" w:eastAsia="Arial" w:hAnsi="Arial"/>
          <w:sz w:val="20"/>
          <w:szCs w:val="20"/>
          <w:color w:val="auto"/>
        </w:rPr>
      </w:pPr>
    </w:p>
    <w:p>
      <w:pPr>
        <w:ind w:left="1720" w:hanging="415"/>
        <w:spacing w:after="0"/>
        <w:tabs>
          <w:tab w:leader="none" w:pos="1720" w:val="left"/>
        </w:tabs>
        <w:numPr>
          <w:ilvl w:val="0"/>
          <w:numId w:val="237"/>
        </w:numPr>
        <w:rPr>
          <w:rFonts w:ascii="Arial" w:cs="Arial" w:eastAsia="Arial" w:hAnsi="Arial"/>
          <w:sz w:val="19"/>
          <w:szCs w:val="19"/>
          <w:color w:val="auto"/>
        </w:rPr>
      </w:pPr>
      <w:r>
        <w:rPr>
          <w:rFonts w:ascii="Arial" w:cs="Arial" w:eastAsia="Arial" w:hAnsi="Arial"/>
          <w:sz w:val="19"/>
          <w:szCs w:val="19"/>
          <w:color w:val="auto"/>
        </w:rPr>
        <w:t>customary tax sharing agreements among EWI and its Subsidiaries entered into in the ordinary course of business;</w:t>
      </w:r>
    </w:p>
    <w:p>
      <w:pPr>
        <w:spacing w:after="0" w:line="281" w:lineRule="exact"/>
        <w:rPr>
          <w:rFonts w:ascii="Arial" w:cs="Arial" w:eastAsia="Arial" w:hAnsi="Arial"/>
          <w:sz w:val="19"/>
          <w:szCs w:val="19"/>
          <w:color w:val="auto"/>
        </w:rPr>
      </w:pPr>
    </w:p>
    <w:p>
      <w:pPr>
        <w:ind w:left="1700" w:hanging="395"/>
        <w:spacing w:after="0"/>
        <w:tabs>
          <w:tab w:leader="none" w:pos="1700" w:val="left"/>
        </w:tabs>
        <w:numPr>
          <w:ilvl w:val="0"/>
          <w:numId w:val="237"/>
        </w:numPr>
        <w:rPr>
          <w:rFonts w:ascii="Arial" w:cs="Arial" w:eastAsia="Arial" w:hAnsi="Arial"/>
          <w:sz w:val="20"/>
          <w:szCs w:val="20"/>
          <w:color w:val="auto"/>
        </w:rPr>
      </w:pPr>
      <w:r>
        <w:rPr>
          <w:rFonts w:ascii="Arial" w:cs="Arial" w:eastAsia="Arial" w:hAnsi="Arial"/>
          <w:sz w:val="20"/>
          <w:szCs w:val="20"/>
          <w:color w:val="auto"/>
        </w:rPr>
        <w:t>transactions expressly permitted hereunder or under the other Credit Documents;</w:t>
      </w:r>
    </w:p>
    <w:p>
      <w:pPr>
        <w:spacing w:after="0" w:line="269" w:lineRule="exact"/>
        <w:rPr>
          <w:rFonts w:ascii="Arial" w:cs="Arial" w:eastAsia="Arial" w:hAnsi="Arial"/>
          <w:sz w:val="20"/>
          <w:szCs w:val="20"/>
          <w:color w:val="auto"/>
        </w:rPr>
      </w:pPr>
    </w:p>
    <w:p>
      <w:pPr>
        <w:ind w:left="1680" w:hanging="375"/>
        <w:spacing w:after="0"/>
        <w:tabs>
          <w:tab w:leader="none" w:pos="1680" w:val="left"/>
        </w:tabs>
        <w:numPr>
          <w:ilvl w:val="0"/>
          <w:numId w:val="237"/>
        </w:numPr>
        <w:rPr>
          <w:rFonts w:ascii="Arial" w:cs="Arial" w:eastAsia="Arial" w:hAnsi="Arial"/>
          <w:sz w:val="20"/>
          <w:szCs w:val="20"/>
          <w:color w:val="auto"/>
        </w:rPr>
      </w:pPr>
      <w:r>
        <w:rPr>
          <w:rFonts w:ascii="Arial" w:cs="Arial" w:eastAsia="Arial" w:hAnsi="Arial"/>
          <w:sz w:val="20"/>
          <w:szCs w:val="20"/>
          <w:color w:val="auto"/>
        </w:rPr>
        <w:t>transactions among Credit Parties not expressly prohibited under this Credit Agreement;</w:t>
      </w:r>
    </w:p>
    <w:p>
      <w:pPr>
        <w:spacing w:after="0" w:line="269" w:lineRule="exact"/>
        <w:rPr>
          <w:rFonts w:ascii="Arial" w:cs="Arial" w:eastAsia="Arial" w:hAnsi="Arial"/>
          <w:sz w:val="20"/>
          <w:szCs w:val="20"/>
          <w:color w:val="auto"/>
        </w:rPr>
      </w:pPr>
    </w:p>
    <w:p>
      <w:pPr>
        <w:ind w:left="1720" w:hanging="415"/>
        <w:spacing w:after="0"/>
        <w:tabs>
          <w:tab w:leader="none" w:pos="1720" w:val="left"/>
        </w:tabs>
        <w:numPr>
          <w:ilvl w:val="0"/>
          <w:numId w:val="237"/>
        </w:numPr>
        <w:rPr>
          <w:rFonts w:ascii="Arial" w:cs="Arial" w:eastAsia="Arial" w:hAnsi="Arial"/>
          <w:sz w:val="20"/>
          <w:szCs w:val="20"/>
          <w:color w:val="auto"/>
        </w:rPr>
      </w:pPr>
      <w:r>
        <w:rPr>
          <w:rFonts w:ascii="Arial" w:cs="Arial" w:eastAsia="Arial" w:hAnsi="Arial"/>
          <w:sz w:val="20"/>
          <w:szCs w:val="20"/>
          <w:color w:val="auto"/>
        </w:rPr>
        <w:t>any transaction or series of transactions involving consideration of less than $1 million;</w:t>
      </w:r>
    </w:p>
    <w:p>
      <w:pPr>
        <w:spacing w:after="0" w:line="269" w:lineRule="exact"/>
        <w:rPr>
          <w:rFonts w:ascii="Arial" w:cs="Arial" w:eastAsia="Arial" w:hAnsi="Arial"/>
          <w:sz w:val="20"/>
          <w:szCs w:val="20"/>
          <w:color w:val="auto"/>
        </w:rPr>
      </w:pPr>
    </w:p>
    <w:p>
      <w:pPr>
        <w:ind w:left="1720" w:hanging="415"/>
        <w:spacing w:after="0"/>
        <w:tabs>
          <w:tab w:leader="none" w:pos="1720" w:val="left"/>
        </w:tabs>
        <w:numPr>
          <w:ilvl w:val="0"/>
          <w:numId w:val="237"/>
        </w:numPr>
        <w:rPr>
          <w:rFonts w:ascii="Arial" w:cs="Arial" w:eastAsia="Arial" w:hAnsi="Arial"/>
          <w:sz w:val="18"/>
          <w:szCs w:val="18"/>
          <w:color w:val="auto"/>
        </w:rPr>
      </w:pPr>
      <w:r>
        <w:rPr>
          <w:rFonts w:ascii="Arial" w:cs="Arial" w:eastAsia="Arial" w:hAnsi="Arial"/>
          <w:sz w:val="18"/>
          <w:szCs w:val="18"/>
          <w:color w:val="auto"/>
        </w:rPr>
        <w:t xml:space="preserve">transactions in existence as of the </w:t>
      </w:r>
      <w:r>
        <w:rPr>
          <w:rFonts w:ascii="Arial" w:cs="Arial" w:eastAsia="Arial" w:hAnsi="Arial"/>
          <w:sz w:val="18"/>
          <w:szCs w:val="18"/>
          <w:color w:val="FF0000"/>
          <w:strike w:val="1"/>
        </w:rPr>
        <w:t>Closing</w:t>
      </w:r>
      <w:r>
        <w:rPr>
          <w:rFonts w:ascii="Arial" w:cs="Arial" w:eastAsia="Arial" w:hAnsi="Arial"/>
          <w:sz w:val="18"/>
          <w:szCs w:val="18"/>
          <w:u w:val="single" w:color="auto"/>
          <w:color w:val="0000FF"/>
        </w:rPr>
        <w:t>Amendment No. 1 Effective</w:t>
      </w:r>
      <w:r>
        <w:rPr>
          <w:rFonts w:ascii="Arial" w:cs="Arial" w:eastAsia="Arial" w:hAnsi="Arial"/>
          <w:sz w:val="18"/>
          <w:szCs w:val="18"/>
          <w:color w:val="auto"/>
        </w:rPr>
        <w:t xml:space="preserve"> Date set forth in all material respects on </w:t>
      </w:r>
      <w:r>
        <w:rPr>
          <w:rFonts w:ascii="Arial" w:cs="Arial" w:eastAsia="Arial" w:hAnsi="Arial"/>
          <w:sz w:val="18"/>
          <w:szCs w:val="18"/>
          <w:u w:val="single" w:color="auto"/>
          <w:color w:val="auto"/>
        </w:rPr>
        <w:t>Schedule</w:t>
      </w:r>
    </w:p>
    <w:p>
      <w:pPr>
        <w:spacing w:after="0" w:line="76"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Arial" w:cs="Arial" w:eastAsia="Arial" w:hAnsi="Arial"/>
          <w:sz w:val="20"/>
          <w:szCs w:val="20"/>
          <w:u w:val="single" w:color="auto"/>
          <w:color w:val="auto"/>
        </w:rPr>
        <w:t>8.08</w:t>
      </w:r>
      <w:r>
        <w:rPr>
          <w:rFonts w:ascii="Arial" w:cs="Arial" w:eastAsia="Arial" w:hAnsi="Arial"/>
          <w:sz w:val="20"/>
          <w:szCs w:val="20"/>
          <w:color w:val="auto"/>
        </w:rPr>
        <w:t>;</w:t>
      </w:r>
    </w:p>
    <w:p>
      <w:pPr>
        <w:spacing w:after="0" w:line="256" w:lineRule="exact"/>
        <w:rPr>
          <w:rFonts w:ascii="Arial" w:cs="Arial" w:eastAsia="Arial" w:hAnsi="Arial"/>
          <w:sz w:val="18"/>
          <w:szCs w:val="18"/>
          <w:color w:val="auto"/>
        </w:rPr>
      </w:pPr>
    </w:p>
    <w:p>
      <w:pPr>
        <w:ind w:left="1680" w:hanging="375"/>
        <w:spacing w:after="0"/>
        <w:tabs>
          <w:tab w:leader="none" w:pos="1680" w:val="left"/>
        </w:tabs>
        <w:numPr>
          <w:ilvl w:val="0"/>
          <w:numId w:val="237"/>
        </w:numPr>
        <w:rPr>
          <w:rFonts w:ascii="Arial" w:cs="Arial" w:eastAsia="Arial" w:hAnsi="Arial"/>
          <w:sz w:val="18"/>
          <w:szCs w:val="18"/>
          <w:color w:val="auto"/>
        </w:rPr>
      </w:pPr>
      <w:r>
        <w:rPr>
          <w:rFonts w:ascii="Arial" w:cs="Arial" w:eastAsia="Arial" w:hAnsi="Arial"/>
          <w:sz w:val="18"/>
          <w:szCs w:val="18"/>
          <w:color w:val="auto"/>
        </w:rPr>
        <w:t>payments or loans (or cancellation of loans) to employees of EWI or any of its Subsidiaries and employment agreements,</w:t>
      </w:r>
    </w:p>
    <w:p>
      <w:pPr>
        <w:spacing w:after="0" w:line="76" w:lineRule="exact"/>
        <w:rPr>
          <w:rFonts w:ascii="Arial" w:cs="Arial" w:eastAsia="Arial" w:hAnsi="Arial"/>
          <w:sz w:val="18"/>
          <w:szCs w:val="18"/>
          <w:color w:val="auto"/>
        </w:rPr>
      </w:pPr>
    </w:p>
    <w:p>
      <w:pPr>
        <w:ind w:left="660" w:right="20"/>
        <w:spacing w:after="0" w:line="331" w:lineRule="auto"/>
        <w:rPr>
          <w:rFonts w:ascii="Arial" w:cs="Arial" w:eastAsia="Arial" w:hAnsi="Arial"/>
          <w:sz w:val="18"/>
          <w:szCs w:val="18"/>
          <w:color w:val="auto"/>
        </w:rPr>
      </w:pPr>
      <w:r>
        <w:rPr>
          <w:rFonts w:ascii="Arial" w:cs="Arial" w:eastAsia="Arial" w:hAnsi="Arial"/>
          <w:sz w:val="19"/>
          <w:szCs w:val="19"/>
          <w:color w:val="auto"/>
        </w:rPr>
        <w:t>stock option plans and other similar arrangements with such employees which, in each case, are approved by the disinterested members of the board of directors of EWI in good faith that are not otherwise prohibited by this Credit Agreement; and</w:t>
      </w:r>
    </w:p>
    <w:p>
      <w:pPr>
        <w:spacing w:after="0" w:line="153" w:lineRule="exact"/>
        <w:rPr>
          <w:rFonts w:ascii="Arial" w:cs="Arial" w:eastAsia="Arial" w:hAnsi="Arial"/>
          <w:sz w:val="18"/>
          <w:szCs w:val="18"/>
          <w:color w:val="auto"/>
        </w:rPr>
      </w:pPr>
    </w:p>
    <w:p>
      <w:pPr>
        <w:ind w:left="660" w:right="840" w:firstLine="645"/>
        <w:spacing w:after="0" w:line="317" w:lineRule="auto"/>
        <w:tabs>
          <w:tab w:leader="none" w:pos="1675" w:val="left"/>
        </w:tabs>
        <w:numPr>
          <w:ilvl w:val="0"/>
          <w:numId w:val="237"/>
        </w:numPr>
        <w:rPr>
          <w:rFonts w:ascii="Arial" w:cs="Arial" w:eastAsia="Arial" w:hAnsi="Arial"/>
          <w:sz w:val="20"/>
          <w:szCs w:val="20"/>
          <w:color w:val="auto"/>
        </w:rPr>
      </w:pPr>
      <w:r>
        <w:rPr>
          <w:rFonts w:ascii="Arial" w:cs="Arial" w:eastAsia="Arial" w:hAnsi="Arial"/>
          <w:sz w:val="20"/>
          <w:szCs w:val="20"/>
          <w:color w:val="auto"/>
        </w:rPr>
        <w:t>the payment of reasonable charges for travel in the ordinary course of business by any officer, director, manager, employee, agent, consultant, Affiliate or advisor of EWI or any of its Subsidiaries.</w:t>
      </w:r>
    </w:p>
    <w:p>
      <w:pPr>
        <w:spacing w:after="0" w:line="162" w:lineRule="exact"/>
        <w:rPr>
          <w:sz w:val="20"/>
          <w:szCs w:val="20"/>
          <w:color w:val="auto"/>
        </w:rPr>
      </w:pPr>
    </w:p>
    <w:p>
      <w:pPr>
        <w:ind w:left="660"/>
        <w:spacing w:after="0"/>
        <w:tabs>
          <w:tab w:leader="none" w:pos="1160" w:val="left"/>
        </w:tabs>
        <w:rPr>
          <w:sz w:val="20"/>
          <w:szCs w:val="20"/>
          <w:color w:val="auto"/>
        </w:rPr>
      </w:pPr>
      <w:r>
        <w:rPr>
          <w:rFonts w:ascii="Arial" w:cs="Arial" w:eastAsia="Arial" w:hAnsi="Arial"/>
          <w:sz w:val="20"/>
          <w:szCs w:val="20"/>
          <w:color w:val="auto"/>
        </w:rPr>
        <w:t>8.09</w:t>
      </w:r>
      <w:r>
        <w:rPr>
          <w:sz w:val="20"/>
          <w:szCs w:val="20"/>
          <w:color w:val="auto"/>
        </w:rPr>
        <w:tab/>
      </w:r>
      <w:r>
        <w:rPr>
          <w:rFonts w:ascii="Arial" w:cs="Arial" w:eastAsia="Arial" w:hAnsi="Arial"/>
          <w:sz w:val="18"/>
          <w:szCs w:val="18"/>
          <w:u w:val="single" w:color="auto"/>
          <w:color w:val="auto"/>
        </w:rPr>
        <w:t>Covenants Regarding Subordinated Debt</w:t>
      </w:r>
      <w:r>
        <w:rPr>
          <w:rFonts w:ascii="Arial" w:cs="Arial" w:eastAsia="Arial" w:hAnsi="Arial"/>
          <w:sz w:val="18"/>
          <w:szCs w:val="18"/>
          <w:color w:val="auto"/>
        </w:rPr>
        <w:t>. EWI will not, nor will it permit any other members of the Consolidated Group to:</w:t>
      </w:r>
    </w:p>
    <w:p>
      <w:pPr>
        <w:spacing w:after="0" w:line="270" w:lineRule="exact"/>
        <w:rPr>
          <w:sz w:val="20"/>
          <w:szCs w:val="20"/>
          <w:color w:val="auto"/>
        </w:rPr>
      </w:pPr>
    </w:p>
    <w:p>
      <w:pPr>
        <w:jc w:val="both"/>
        <w:ind w:left="660" w:right="820" w:firstLine="645"/>
        <w:spacing w:after="0" w:line="456" w:lineRule="auto"/>
        <w:tabs>
          <w:tab w:leader="none" w:pos="1708" w:val="left"/>
        </w:tabs>
        <w:numPr>
          <w:ilvl w:val="0"/>
          <w:numId w:val="238"/>
        </w:numPr>
        <w:rPr>
          <w:rFonts w:ascii="Arial" w:cs="Arial" w:eastAsia="Arial" w:hAnsi="Arial"/>
          <w:sz w:val="16"/>
          <w:szCs w:val="16"/>
          <w:color w:val="auto"/>
        </w:rPr>
      </w:pPr>
      <w:r>
        <w:rPr>
          <w:rFonts w:ascii="Arial" w:cs="Arial" w:eastAsia="Arial" w:hAnsi="Arial"/>
          <w:sz w:val="16"/>
          <w:szCs w:val="16"/>
          <w:color w:val="auto"/>
        </w:rPr>
        <w:t>amend, modify or waive, or permit the amendment, modification or waiver of, the indentures or other governing documents relating to any Subordinated Debt that would be adverse to the interests of the Lenders in any material respect; or</w:t>
      </w:r>
    </w:p>
    <w:p>
      <w:pPr>
        <w:spacing w:after="0" w:line="70" w:lineRule="exact"/>
        <w:rPr>
          <w:rFonts w:ascii="Arial" w:cs="Arial" w:eastAsia="Arial" w:hAnsi="Arial"/>
          <w:sz w:val="16"/>
          <w:szCs w:val="16"/>
          <w:color w:val="auto"/>
        </w:rPr>
      </w:pPr>
    </w:p>
    <w:p>
      <w:pPr>
        <w:ind w:left="1720" w:hanging="415"/>
        <w:spacing w:after="0"/>
        <w:tabs>
          <w:tab w:leader="none" w:pos="1720" w:val="left"/>
        </w:tabs>
        <w:numPr>
          <w:ilvl w:val="0"/>
          <w:numId w:val="238"/>
        </w:numPr>
        <w:rPr>
          <w:rFonts w:ascii="Arial" w:cs="Arial" w:eastAsia="Arial" w:hAnsi="Arial"/>
          <w:sz w:val="18"/>
          <w:szCs w:val="18"/>
          <w:color w:val="auto"/>
        </w:rPr>
      </w:pPr>
      <w:r>
        <w:rPr>
          <w:rFonts w:ascii="Arial" w:cs="Arial" w:eastAsia="Arial" w:hAnsi="Arial"/>
          <w:sz w:val="18"/>
          <w:szCs w:val="18"/>
          <w:color w:val="auto"/>
        </w:rPr>
        <w:t>make or offer to make any sinking fund payment, payment, prepayment, redemption, defeasance, purchase or acquisition</w:t>
      </w:r>
    </w:p>
    <w:p>
      <w:pPr>
        <w:spacing w:after="0" w:line="76" w:lineRule="exact"/>
        <w:rPr>
          <w:rFonts w:ascii="Arial" w:cs="Arial" w:eastAsia="Arial" w:hAnsi="Arial"/>
          <w:sz w:val="18"/>
          <w:szCs w:val="18"/>
          <w:color w:val="auto"/>
        </w:rPr>
      </w:pPr>
    </w:p>
    <w:p>
      <w:pPr>
        <w:ind w:left="660" w:right="260"/>
        <w:spacing w:after="0" w:line="331" w:lineRule="auto"/>
        <w:rPr>
          <w:rFonts w:ascii="Arial" w:cs="Arial" w:eastAsia="Arial" w:hAnsi="Arial"/>
          <w:sz w:val="18"/>
          <w:szCs w:val="18"/>
          <w:color w:val="auto"/>
        </w:rPr>
      </w:pPr>
      <w:r>
        <w:rPr>
          <w:rFonts w:ascii="Arial" w:cs="Arial" w:eastAsia="Arial" w:hAnsi="Arial"/>
          <w:sz w:val="19"/>
          <w:szCs w:val="19"/>
          <w:color w:val="auto"/>
        </w:rPr>
        <w:t>for value (including, without limitation, by way of depositing with the trustee with respect thereto money or securities before due for the purpose of paying when due) or otherwise segregate funds with respect to any Subordinated Debt, other than:</w:t>
      </w:r>
    </w:p>
    <w:p>
      <w:pPr>
        <w:spacing w:after="0" w:line="167" w:lineRule="exact"/>
        <w:rPr>
          <w:rFonts w:ascii="Arial" w:cs="Arial" w:eastAsia="Arial" w:hAnsi="Arial"/>
          <w:sz w:val="18"/>
          <w:szCs w:val="18"/>
          <w:color w:val="auto"/>
        </w:rPr>
      </w:pPr>
    </w:p>
    <w:p>
      <w:pPr>
        <w:ind w:left="2340" w:hanging="387"/>
        <w:spacing w:after="0"/>
        <w:tabs>
          <w:tab w:leader="none" w:pos="2340" w:val="left"/>
        </w:tabs>
        <w:numPr>
          <w:ilvl w:val="1"/>
          <w:numId w:val="238"/>
        </w:numPr>
        <w:rPr>
          <w:rFonts w:ascii="Arial" w:cs="Arial" w:eastAsia="Arial" w:hAnsi="Arial"/>
          <w:sz w:val="19"/>
          <w:szCs w:val="19"/>
          <w:color w:val="auto"/>
        </w:rPr>
      </w:pPr>
      <w:r>
        <w:rPr>
          <w:rFonts w:ascii="Arial" w:cs="Arial" w:eastAsia="Arial" w:hAnsi="Arial"/>
          <w:sz w:val="18"/>
          <w:szCs w:val="18"/>
          <w:color w:val="auto"/>
        </w:rPr>
        <w:t>regularly scheduled payments of principal and interest (including contingent interest, if any) required to be made</w:t>
      </w:r>
    </w:p>
    <w:p>
      <w:pPr>
        <w:spacing w:after="0" w:line="92" w:lineRule="exact"/>
        <w:rPr>
          <w:rFonts w:ascii="Arial" w:cs="Arial" w:eastAsia="Arial" w:hAnsi="Arial"/>
          <w:sz w:val="19"/>
          <w:szCs w:val="19"/>
          <w:color w:val="auto"/>
        </w:rPr>
      </w:pPr>
    </w:p>
    <w:p>
      <w:pPr>
        <w:ind w:left="1300"/>
        <w:spacing w:after="0"/>
        <w:rPr>
          <w:rFonts w:ascii="Arial" w:cs="Arial" w:eastAsia="Arial" w:hAnsi="Arial"/>
          <w:sz w:val="19"/>
          <w:szCs w:val="19"/>
          <w:color w:val="auto"/>
        </w:rPr>
      </w:pPr>
      <w:r>
        <w:rPr>
          <w:rFonts w:ascii="Arial" w:cs="Arial" w:eastAsia="Arial" w:hAnsi="Arial"/>
          <w:sz w:val="20"/>
          <w:szCs w:val="20"/>
          <w:color w:val="auto"/>
        </w:rPr>
        <w:t>in cash;</w:t>
      </w:r>
    </w:p>
    <w:p>
      <w:pPr>
        <w:spacing w:after="0" w:line="280" w:lineRule="exact"/>
        <w:rPr>
          <w:rFonts w:ascii="Arial" w:cs="Arial" w:eastAsia="Arial" w:hAnsi="Arial"/>
          <w:sz w:val="19"/>
          <w:szCs w:val="19"/>
          <w:color w:val="auto"/>
        </w:rPr>
      </w:pPr>
    </w:p>
    <w:p>
      <w:pPr>
        <w:ind w:left="2400" w:hanging="447"/>
        <w:spacing w:after="0"/>
        <w:tabs>
          <w:tab w:leader="none" w:pos="2400" w:val="left"/>
        </w:tabs>
        <w:numPr>
          <w:ilvl w:val="1"/>
          <w:numId w:val="238"/>
        </w:numPr>
        <w:rPr>
          <w:rFonts w:ascii="Arial" w:cs="Arial" w:eastAsia="Arial" w:hAnsi="Arial"/>
          <w:sz w:val="22"/>
          <w:szCs w:val="22"/>
          <w:color w:val="auto"/>
        </w:rPr>
      </w:pPr>
      <w:r>
        <w:rPr>
          <w:rFonts w:ascii="Arial" w:cs="Arial" w:eastAsia="Arial" w:hAnsi="Arial"/>
          <w:sz w:val="20"/>
          <w:szCs w:val="20"/>
          <w:color w:val="auto"/>
        </w:rPr>
        <w:t>conversions of the Subordinated Debt into common stock of EWI;</w:t>
      </w:r>
    </w:p>
    <w:p>
      <w:pPr>
        <w:spacing w:after="0" w:line="200" w:lineRule="exact"/>
        <w:rPr>
          <w:sz w:val="20"/>
          <w:szCs w:val="20"/>
          <w:color w:val="auto"/>
        </w:rPr>
      </w:pPr>
    </w:p>
    <w:p>
      <w:pPr>
        <w:spacing w:after="0" w:line="279"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166</w:t>
      </w:r>
    </w:p>
    <w:p>
      <w:pPr>
        <w:spacing w:after="0" w:line="10" w:lineRule="exact"/>
        <w:rPr>
          <w:sz w:val="20"/>
          <w:szCs w:val="20"/>
          <w:color w:val="auto"/>
        </w:rPr>
      </w:pPr>
    </w:p>
    <w:p>
      <w:pPr>
        <w:spacing w:after="0"/>
        <w:rPr>
          <w:sz w:val="20"/>
          <w:szCs w:val="20"/>
          <w:color w:val="auto"/>
        </w:rPr>
      </w:pPr>
      <w:r>
        <w:rPr>
          <w:rFonts w:ascii="Arial" w:cs="Arial" w:eastAsia="Arial" w:hAnsi="Arial"/>
          <w:sz w:val="14"/>
          <w:szCs w:val="14"/>
          <w:color w:val="auto"/>
        </w:rPr>
        <w:t>CHAR1\1346423v</w:t>
      </w:r>
      <w:r>
        <w:rPr>
          <w:rFonts w:ascii="Arial" w:cs="Arial" w:eastAsia="Arial" w:hAnsi="Arial"/>
          <w:sz w:val="14"/>
          <w:szCs w:val="14"/>
          <w:color w:val="FF0000"/>
          <w:strike w:val="1"/>
        </w:rPr>
        <w:t>1</w:t>
      </w:r>
      <w:r>
        <w:rPr>
          <w:rFonts w:ascii="Arial" w:cs="Arial" w:eastAsia="Arial" w:hAnsi="Arial"/>
          <w:sz w:val="14"/>
          <w:szCs w:val="14"/>
          <w:u w:val="single" w:color="auto"/>
          <w:color w:val="0000FF"/>
        </w:rPr>
        <w:t>12</w:t>
      </w:r>
    </w:p>
    <w:p>
      <w:pPr>
        <w:sectPr>
          <w:pgSz w:w="11900" w:h="16838" w:orient="portrait"/>
          <w:cols w:equalWidth="0" w:num="1">
            <w:col w:w="11420"/>
          </w:cols>
          <w:pgMar w:left="240" w:top="609" w:right="239" w:bottom="1440" w:gutter="0" w:footer="0" w:header="0"/>
        </w:sectPr>
      </w:pPr>
    </w:p>
    <w:bookmarkStart w:id="218" w:name="page219"/>
    <w:bookmarkEnd w:id="218"/>
    <w:p>
      <w:pPr>
        <w:ind w:left="1300" w:right="100" w:firstLine="653"/>
        <w:spacing w:after="0" w:line="331" w:lineRule="auto"/>
        <w:tabs>
          <w:tab w:leader="none" w:pos="2452" w:val="left"/>
        </w:tabs>
        <w:numPr>
          <w:ilvl w:val="1"/>
          <w:numId w:val="239"/>
        </w:numPr>
        <w:rPr>
          <w:rFonts w:ascii="Arial" w:cs="Arial" w:eastAsia="Arial" w:hAnsi="Arial"/>
          <w:sz w:val="21"/>
          <w:szCs w:val="21"/>
          <w:color w:val="auto"/>
        </w:rPr>
      </w:pPr>
      <w:r>
        <w:rPr>
          <w:rFonts w:ascii="Arial" w:cs="Arial" w:eastAsia="Arial" w:hAnsi="Arial"/>
          <w:sz w:val="19"/>
          <w:szCs w:val="19"/>
          <w:color w:val="auto"/>
        </w:rPr>
        <w:t>the redemption, retirement, repurchase, acquisition for value or payments of cash in connection with (A) exercise by the holder of the right to cause a repurchase the Subordinated Debt at the holders’ option generally, or (B) exercise by the holder of the right cause a repurchase of the Subordinated Debt at the holder’s option on a “change of control”, in each case in accordance with the terms of the indentures or other governing documents relating thereto;</w:t>
      </w:r>
    </w:p>
    <w:p>
      <w:pPr>
        <w:spacing w:after="0" w:line="181" w:lineRule="exact"/>
        <w:rPr>
          <w:rFonts w:ascii="Arial" w:cs="Arial" w:eastAsia="Arial" w:hAnsi="Arial"/>
          <w:sz w:val="21"/>
          <w:szCs w:val="21"/>
          <w:color w:val="auto"/>
        </w:rPr>
      </w:pPr>
    </w:p>
    <w:p>
      <w:pPr>
        <w:ind w:left="1300" w:right="120" w:firstLine="653"/>
        <w:spacing w:after="0" w:line="359" w:lineRule="auto"/>
        <w:tabs>
          <w:tab w:leader="none" w:pos="2440" w:val="left"/>
        </w:tabs>
        <w:numPr>
          <w:ilvl w:val="1"/>
          <w:numId w:val="239"/>
        </w:numPr>
        <w:rPr>
          <w:rFonts w:ascii="Arial" w:cs="Arial" w:eastAsia="Arial" w:hAnsi="Arial"/>
          <w:sz w:val="19"/>
          <w:szCs w:val="19"/>
          <w:color w:val="auto"/>
        </w:rPr>
      </w:pPr>
      <w:r>
        <w:rPr>
          <w:rFonts w:ascii="Arial" w:cs="Arial" w:eastAsia="Arial" w:hAnsi="Arial"/>
          <w:sz w:val="18"/>
          <w:szCs w:val="18"/>
          <w:color w:val="auto"/>
        </w:rPr>
        <w:t xml:space="preserve">the redemption, retirement, repurchase, or acquisition for value of the Subordinated Debt, at any time and from time to time, (A) in connection with a refinancing, refunding, renewal or extension of the Subordinated Debt otherwise permitted under </w:t>
      </w:r>
      <w:r>
        <w:rPr>
          <w:rFonts w:ascii="Arial" w:cs="Arial" w:eastAsia="Arial" w:hAnsi="Arial"/>
          <w:sz w:val="18"/>
          <w:szCs w:val="18"/>
          <w:u w:val="single" w:color="auto"/>
          <w:color w:val="auto"/>
        </w:rPr>
        <w:t>Section 8.03(r)</w:t>
      </w:r>
      <w:r>
        <w:rPr>
          <w:rFonts w:ascii="Arial" w:cs="Arial" w:eastAsia="Arial" w:hAnsi="Arial"/>
          <w:sz w:val="18"/>
          <w:szCs w:val="18"/>
          <w:color w:val="auto"/>
        </w:rPr>
        <w:t>, (B) in exchange for Capital Stock of EWI issued directly to the holders of the Subordinated Debt or (C) with the cash proceeds resulting from the issuance of Capital Stock of EWI permitted for such purpose hereunder;</w:t>
      </w:r>
    </w:p>
    <w:p>
      <w:pPr>
        <w:spacing w:after="0" w:line="162" w:lineRule="exact"/>
        <w:rPr>
          <w:rFonts w:ascii="Arial" w:cs="Arial" w:eastAsia="Arial" w:hAnsi="Arial"/>
          <w:sz w:val="19"/>
          <w:szCs w:val="19"/>
          <w:color w:val="auto"/>
        </w:rPr>
      </w:pPr>
    </w:p>
    <w:p>
      <w:pPr>
        <w:ind w:left="1300" w:right="120" w:firstLine="653"/>
        <w:spacing w:after="0" w:line="321" w:lineRule="auto"/>
        <w:tabs>
          <w:tab w:leader="none" w:pos="2380" w:val="left"/>
        </w:tabs>
        <w:numPr>
          <w:ilvl w:val="1"/>
          <w:numId w:val="239"/>
        </w:numPr>
        <w:rPr>
          <w:rFonts w:ascii="Arial" w:cs="Arial" w:eastAsia="Arial" w:hAnsi="Arial"/>
          <w:sz w:val="22"/>
          <w:szCs w:val="22"/>
          <w:color w:val="auto"/>
        </w:rPr>
      </w:pPr>
      <w:r>
        <w:rPr>
          <w:rFonts w:ascii="Arial" w:cs="Arial" w:eastAsia="Arial" w:hAnsi="Arial"/>
          <w:sz w:val="20"/>
          <w:szCs w:val="20"/>
          <w:color w:val="auto"/>
        </w:rPr>
        <w:t>payments on or in respect of cash redemption of fractional interests on exercise of rights of conversion under the Subordinated Debt; and</w:t>
      </w:r>
    </w:p>
    <w:p>
      <w:pPr>
        <w:spacing w:after="0" w:line="177" w:lineRule="exact"/>
        <w:rPr>
          <w:rFonts w:ascii="Arial" w:cs="Arial" w:eastAsia="Arial" w:hAnsi="Arial"/>
          <w:sz w:val="22"/>
          <w:szCs w:val="22"/>
          <w:color w:val="auto"/>
        </w:rPr>
      </w:pPr>
    </w:p>
    <w:p>
      <w:pPr>
        <w:ind w:left="2440" w:hanging="487"/>
        <w:spacing w:after="0"/>
        <w:tabs>
          <w:tab w:leader="none" w:pos="2440" w:val="left"/>
        </w:tabs>
        <w:numPr>
          <w:ilvl w:val="1"/>
          <w:numId w:val="239"/>
        </w:numPr>
        <w:rPr>
          <w:rFonts w:ascii="Arial" w:cs="Arial" w:eastAsia="Arial" w:hAnsi="Arial"/>
          <w:sz w:val="19"/>
          <w:szCs w:val="19"/>
          <w:color w:val="auto"/>
        </w:rPr>
      </w:pPr>
      <w:r>
        <w:rPr>
          <w:rFonts w:ascii="Arial" w:cs="Arial" w:eastAsia="Arial" w:hAnsi="Arial"/>
          <w:sz w:val="18"/>
          <w:szCs w:val="18"/>
          <w:color w:val="auto"/>
        </w:rPr>
        <w:t xml:space="preserve">any other such payment, prepayment, redemption, retirement, repurchase, or acquisition for value;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w:t>
      </w:r>
    </w:p>
    <w:p>
      <w:pPr>
        <w:spacing w:after="0" w:line="92" w:lineRule="exact"/>
        <w:rPr>
          <w:rFonts w:ascii="Arial" w:cs="Arial" w:eastAsia="Arial" w:hAnsi="Arial"/>
          <w:sz w:val="19"/>
          <w:szCs w:val="19"/>
          <w:color w:val="auto"/>
        </w:rPr>
      </w:pPr>
    </w:p>
    <w:p>
      <w:pPr>
        <w:ind w:left="1300" w:right="100" w:firstLine="5"/>
        <w:spacing w:after="0" w:line="315" w:lineRule="auto"/>
        <w:tabs>
          <w:tab w:leader="none" w:pos="1536" w:val="left"/>
        </w:tabs>
        <w:numPr>
          <w:ilvl w:val="0"/>
          <w:numId w:val="240"/>
        </w:numPr>
        <w:rPr>
          <w:rFonts w:ascii="Arial" w:cs="Arial" w:eastAsia="Arial" w:hAnsi="Arial"/>
          <w:sz w:val="20"/>
          <w:szCs w:val="20"/>
          <w:color w:val="auto"/>
        </w:rPr>
      </w:pPr>
      <w:r>
        <w:rPr>
          <w:rFonts w:ascii="Arial" w:cs="Arial" w:eastAsia="Arial" w:hAnsi="Arial"/>
          <w:sz w:val="20"/>
          <w:szCs w:val="20"/>
          <w:color w:val="auto"/>
        </w:rPr>
        <w:t xml:space="preserve">no Default or Event of Default shall exist immediately before or immediately after giving effect thereto on a Pro Forma Basis, and (ii) after giving effect thereto on a Pro Forma Basis, (A) </w:t>
      </w:r>
      <w:r>
        <w:rPr>
          <w:rFonts w:ascii="Arial" w:cs="Arial" w:eastAsia="Arial" w:hAnsi="Arial"/>
          <w:sz w:val="20"/>
          <w:szCs w:val="20"/>
          <w:color w:val="FF0000"/>
          <w:strike w:val="1"/>
        </w:rPr>
        <w:t>both</w:t>
      </w:r>
      <w:r>
        <w:rPr>
          <w:rFonts w:ascii="Arial" w:cs="Arial" w:eastAsia="Arial" w:hAnsi="Arial"/>
          <w:sz w:val="20"/>
          <w:szCs w:val="20"/>
          <w:color w:val="auto"/>
        </w:rPr>
        <w:t xml:space="preserve"> the Consolidated Total </w:t>
      </w:r>
      <w:r>
        <w:rPr>
          <w:rFonts w:ascii="Arial" w:cs="Arial" w:eastAsia="Arial" w:hAnsi="Arial"/>
          <w:sz w:val="20"/>
          <w:szCs w:val="20"/>
          <w:color w:val="FF0000"/>
          <w:strike w:val="1"/>
        </w:rPr>
        <w:t>Leverage Ratio and the</w:t>
      </w:r>
      <w:r>
        <w:rPr>
          <w:rFonts w:ascii="Arial" w:cs="Arial" w:eastAsia="Arial" w:hAnsi="Arial"/>
          <w:sz w:val="20"/>
          <w:szCs w:val="20"/>
          <w:color w:val="auto"/>
        </w:rPr>
        <w:t xml:space="preserve"> </w:t>
      </w:r>
      <w:r>
        <w:rPr>
          <w:rFonts w:ascii="Arial" w:cs="Arial" w:eastAsia="Arial" w:hAnsi="Arial"/>
          <w:sz w:val="20"/>
          <w:szCs w:val="20"/>
          <w:color w:val="FF0000"/>
          <w:strike w:val="1"/>
        </w:rPr>
        <w:t>Consolidated Senior Secured</w:t>
      </w:r>
      <w:r>
        <w:rPr>
          <w:rFonts w:ascii="Arial" w:cs="Arial" w:eastAsia="Arial" w:hAnsi="Arial"/>
          <w:sz w:val="20"/>
          <w:szCs w:val="20"/>
          <w:color w:val="FF0000"/>
        </w:rPr>
        <w:t xml:space="preserve"> </w:t>
      </w:r>
      <w:r>
        <w:rPr>
          <w:rFonts w:ascii="Arial" w:cs="Arial" w:eastAsia="Arial" w:hAnsi="Arial"/>
          <w:sz w:val="20"/>
          <w:szCs w:val="20"/>
          <w:color w:val="000000"/>
        </w:rPr>
        <w:t>Leverage Ratio will be at least 0.25:1.00 lower than (or, one quarter turn inside) the maximum</w:t>
      </w:r>
      <w:r>
        <w:rPr>
          <w:rFonts w:ascii="Arial" w:cs="Arial" w:eastAsia="Arial" w:hAnsi="Arial"/>
          <w:sz w:val="20"/>
          <w:szCs w:val="20"/>
          <w:color w:val="FF0000"/>
        </w:rPr>
        <w:t xml:space="preserve"> </w:t>
      </w:r>
      <w:r>
        <w:rPr>
          <w:rFonts w:ascii="Arial" w:cs="Arial" w:eastAsia="Arial" w:hAnsi="Arial"/>
          <w:sz w:val="20"/>
          <w:szCs w:val="20"/>
          <w:color w:val="000000"/>
        </w:rPr>
        <w:t xml:space="preserve">ratio permitted under </w:t>
      </w:r>
      <w:r>
        <w:rPr>
          <w:rFonts w:ascii="Arial" w:cs="Arial" w:eastAsia="Arial" w:hAnsi="Arial"/>
          <w:sz w:val="20"/>
          <w:szCs w:val="20"/>
          <w:u w:val="single" w:color="auto"/>
          <w:color w:val="000000"/>
        </w:rPr>
        <w:t>Section 8.12(a)</w:t>
      </w:r>
      <w:r>
        <w:rPr>
          <w:rFonts w:ascii="Arial" w:cs="Arial" w:eastAsia="Arial" w:hAnsi="Arial"/>
          <w:sz w:val="20"/>
          <w:szCs w:val="20"/>
          <w:color w:val="000000"/>
        </w:rPr>
        <w:t xml:space="preserve"> and </w:t>
      </w:r>
      <w:r>
        <w:rPr>
          <w:rFonts w:ascii="Arial" w:cs="Arial" w:eastAsia="Arial" w:hAnsi="Arial"/>
          <w:sz w:val="20"/>
          <w:szCs w:val="20"/>
          <w:u w:val="single" w:color="auto"/>
          <w:color w:val="000000"/>
        </w:rPr>
        <w:t>(b)</w:t>
      </w:r>
      <w:r>
        <w:rPr>
          <w:rFonts w:ascii="Arial" w:cs="Arial" w:eastAsia="Arial" w:hAnsi="Arial"/>
          <w:sz w:val="20"/>
          <w:szCs w:val="20"/>
          <w:color w:val="000000"/>
        </w:rPr>
        <w:t>, respectively, and (B) the Consolidated Group will have minimum Liquidity of at least $100 million.</w:t>
      </w:r>
    </w:p>
    <w:p>
      <w:pPr>
        <w:spacing w:after="0" w:line="179" w:lineRule="exact"/>
        <w:rPr>
          <w:sz w:val="20"/>
          <w:szCs w:val="20"/>
          <w:color w:val="auto"/>
        </w:rPr>
      </w:pPr>
    </w:p>
    <w:p>
      <w:pPr>
        <w:jc w:val="both"/>
        <w:ind w:right="80" w:firstLine="648"/>
        <w:spacing w:after="0" w:line="299" w:lineRule="auto"/>
        <w:rPr>
          <w:sz w:val="20"/>
          <w:szCs w:val="20"/>
          <w:color w:val="auto"/>
        </w:rPr>
      </w:pPr>
      <w:r>
        <w:rPr>
          <w:rFonts w:ascii="Arial" w:cs="Arial" w:eastAsia="Arial" w:hAnsi="Arial"/>
          <w:sz w:val="20"/>
          <w:szCs w:val="20"/>
          <w:color w:val="auto"/>
        </w:rPr>
        <w:t xml:space="preserve">8.10 </w:t>
      </w:r>
      <w:r>
        <w:rPr>
          <w:rFonts w:ascii="Arial" w:cs="Arial" w:eastAsia="Arial" w:hAnsi="Arial"/>
          <w:sz w:val="20"/>
          <w:szCs w:val="20"/>
          <w:u w:val="single" w:color="auto"/>
          <w:color w:val="auto"/>
        </w:rPr>
        <w:t>Subsidiary Dividend Restrictions</w:t>
      </w:r>
      <w:r>
        <w:rPr>
          <w:rFonts w:ascii="Arial" w:cs="Arial" w:eastAsia="Arial" w:hAnsi="Arial"/>
          <w:sz w:val="20"/>
          <w:szCs w:val="20"/>
          <w:color w:val="auto"/>
        </w:rPr>
        <w:t xml:space="preserve">. Other than this Credit Agreement </w:t>
      </w:r>
      <w:r>
        <w:rPr>
          <w:rFonts w:ascii="Arial" w:cs="Arial" w:eastAsia="Arial" w:hAnsi="Arial"/>
          <w:sz w:val="20"/>
          <w:szCs w:val="20"/>
          <w:color w:val="FF0000"/>
          <w:strike w:val="1"/>
        </w:rPr>
        <w:t>and the indentures or other governing documents relating to</w:t>
      </w:r>
      <w:r>
        <w:rPr>
          <w:rFonts w:ascii="Arial" w:cs="Arial" w:eastAsia="Arial" w:hAnsi="Arial"/>
          <w:sz w:val="20"/>
          <w:szCs w:val="20"/>
          <w:color w:val="auto"/>
        </w:rPr>
        <w:t xml:space="preserve"> </w:t>
      </w:r>
      <w:r>
        <w:rPr>
          <w:rFonts w:ascii="Arial" w:cs="Arial" w:eastAsia="Arial" w:hAnsi="Arial"/>
          <w:sz w:val="20"/>
          <w:szCs w:val="20"/>
          <w:color w:val="FF0000"/>
          <w:strike w:val="1"/>
        </w:rPr>
        <w:t>the Convertible Debentures</w:t>
      </w:r>
      <w:r>
        <w:rPr>
          <w:rFonts w:ascii="Arial" w:cs="Arial" w:eastAsia="Arial" w:hAnsi="Arial"/>
          <w:sz w:val="20"/>
          <w:szCs w:val="20"/>
          <w:color w:val="000000"/>
        </w:rPr>
        <w:t>, the Domestic Subsidiaries of EWI will not enter into any Contractual Obligation that limits the ability of any such</w:t>
      </w:r>
      <w:r>
        <w:rPr>
          <w:rFonts w:ascii="Arial" w:cs="Arial" w:eastAsia="Arial" w:hAnsi="Arial"/>
          <w:sz w:val="20"/>
          <w:szCs w:val="20"/>
          <w:color w:val="FF0000"/>
        </w:rPr>
        <w:t xml:space="preserve"> </w:t>
      </w:r>
      <w:r>
        <w:rPr>
          <w:rFonts w:ascii="Arial" w:cs="Arial" w:eastAsia="Arial" w:hAnsi="Arial"/>
          <w:sz w:val="20"/>
          <w:szCs w:val="20"/>
          <w:color w:val="000000"/>
        </w:rPr>
        <w:t>Domestic Subsidiary to declare or make dividend payments.</w:t>
      </w:r>
    </w:p>
    <w:p>
      <w:pPr>
        <w:spacing w:after="0" w:line="180" w:lineRule="exact"/>
        <w:rPr>
          <w:sz w:val="20"/>
          <w:szCs w:val="20"/>
          <w:color w:val="auto"/>
        </w:rPr>
      </w:pPr>
    </w:p>
    <w:p>
      <w:pPr>
        <w:jc w:val="both"/>
        <w:ind w:firstLine="648"/>
        <w:spacing w:after="0" w:line="299" w:lineRule="auto"/>
        <w:rPr>
          <w:sz w:val="20"/>
          <w:szCs w:val="20"/>
          <w:color w:val="auto"/>
        </w:rPr>
      </w:pPr>
      <w:r>
        <w:rPr>
          <w:rFonts w:ascii="Arial" w:cs="Arial" w:eastAsia="Arial" w:hAnsi="Arial"/>
          <w:sz w:val="20"/>
          <w:szCs w:val="20"/>
          <w:color w:val="auto"/>
        </w:rPr>
        <w:t xml:space="preserve">8.11 </w:t>
      </w:r>
      <w:r>
        <w:rPr>
          <w:rFonts w:ascii="Arial" w:cs="Arial" w:eastAsia="Arial" w:hAnsi="Arial"/>
          <w:sz w:val="20"/>
          <w:szCs w:val="20"/>
          <w:u w:val="single" w:color="auto"/>
          <w:color w:val="auto"/>
        </w:rPr>
        <w:t>Use of Proceeds</w:t>
      </w:r>
      <w:r>
        <w:rPr>
          <w:rFonts w:ascii="Arial" w:cs="Arial" w:eastAsia="Arial" w:hAnsi="Arial"/>
          <w:sz w:val="20"/>
          <w:szCs w:val="20"/>
          <w:color w:val="auto"/>
        </w:rPr>
        <w:t>. Use the proceeds of any Credit Extension, whether directly or indirectly, and whether immediately, incidentally or ultimately, to purchase or carry margin stock (within the meaning of Regulation U of the FRB) or to extend credit to others for the purpose of purchasing or carrying margin stock or to refund indebtedness originally incurred for such purpose.</w:t>
      </w:r>
    </w:p>
    <w:p>
      <w:pPr>
        <w:spacing w:after="0" w:line="180" w:lineRule="exact"/>
        <w:rPr>
          <w:sz w:val="20"/>
          <w:szCs w:val="20"/>
          <w:color w:val="auto"/>
        </w:rPr>
      </w:pPr>
    </w:p>
    <w:p>
      <w:pPr>
        <w:ind w:left="660"/>
        <w:spacing w:after="0"/>
        <w:tabs>
          <w:tab w:leader="none" w:pos="1160" w:val="left"/>
        </w:tabs>
        <w:rPr>
          <w:sz w:val="20"/>
          <w:szCs w:val="20"/>
          <w:color w:val="auto"/>
        </w:rPr>
      </w:pPr>
      <w:r>
        <w:rPr>
          <w:rFonts w:ascii="Arial" w:cs="Arial" w:eastAsia="Arial" w:hAnsi="Arial"/>
          <w:sz w:val="20"/>
          <w:szCs w:val="20"/>
          <w:color w:val="auto"/>
        </w:rPr>
        <w:t>8.12</w:t>
      </w:r>
      <w:r>
        <w:rPr>
          <w:sz w:val="20"/>
          <w:szCs w:val="20"/>
          <w:color w:val="auto"/>
        </w:rPr>
        <w:tab/>
      </w:r>
      <w:r>
        <w:rPr>
          <w:rFonts w:ascii="Arial" w:cs="Arial" w:eastAsia="Arial" w:hAnsi="Arial"/>
          <w:sz w:val="16"/>
          <w:szCs w:val="16"/>
          <w:u w:val="single" w:color="auto"/>
          <w:color w:val="auto"/>
        </w:rPr>
        <w:t>Financial Covenants</w:t>
      </w:r>
      <w:r>
        <w:rPr>
          <w:rFonts w:ascii="Arial" w:cs="Arial" w:eastAsia="Arial" w:hAnsi="Arial"/>
          <w:sz w:val="16"/>
          <w:szCs w:val="16"/>
          <w:color w:val="auto"/>
        </w:rPr>
        <w:t>.</w:t>
      </w:r>
    </w:p>
    <w:p>
      <w:pPr>
        <w:spacing w:after="0" w:line="270" w:lineRule="exact"/>
        <w:rPr>
          <w:sz w:val="20"/>
          <w:szCs w:val="20"/>
          <w:color w:val="auto"/>
        </w:rPr>
      </w:pPr>
    </w:p>
    <w:p>
      <w:pPr>
        <w:ind w:left="1700" w:hanging="395"/>
        <w:spacing w:after="0"/>
        <w:tabs>
          <w:tab w:leader="none" w:pos="1700" w:val="left"/>
        </w:tabs>
        <w:numPr>
          <w:ilvl w:val="0"/>
          <w:numId w:val="241"/>
        </w:numPr>
        <w:rPr>
          <w:rFonts w:ascii="Arial" w:cs="Arial" w:eastAsia="Arial" w:hAnsi="Arial"/>
          <w:sz w:val="18"/>
          <w:szCs w:val="18"/>
          <w:color w:val="auto"/>
        </w:rPr>
      </w:pPr>
      <w:r>
        <w:rPr>
          <w:rFonts w:ascii="Arial" w:cs="Arial" w:eastAsia="Arial" w:hAnsi="Arial"/>
          <w:sz w:val="18"/>
          <w:szCs w:val="18"/>
          <w:u w:val="single" w:color="auto"/>
          <w:color w:val="auto"/>
        </w:rPr>
        <w:t>Consolidated Total Leverage Ratio</w:t>
      </w:r>
      <w:r>
        <w:rPr>
          <w:rFonts w:ascii="Arial" w:cs="Arial" w:eastAsia="Arial" w:hAnsi="Arial"/>
          <w:sz w:val="18"/>
          <w:szCs w:val="18"/>
          <w:color w:val="auto"/>
        </w:rPr>
        <w:t>. As of the end of each fiscal quarter, permit the Consolidated Total Leverage Ratio to</w:t>
      </w:r>
    </w:p>
    <w:p>
      <w:pPr>
        <w:spacing w:after="0" w:line="76" w:lineRule="exact"/>
        <w:rPr>
          <w:rFonts w:ascii="Arial" w:cs="Arial" w:eastAsia="Arial" w:hAnsi="Arial"/>
          <w:sz w:val="18"/>
          <w:szCs w:val="18"/>
          <w:color w:val="auto"/>
        </w:rPr>
      </w:pPr>
    </w:p>
    <w:p>
      <w:pPr>
        <w:ind w:left="660" w:right="200"/>
        <w:spacing w:after="0" w:line="303" w:lineRule="auto"/>
        <w:rPr>
          <w:rFonts w:ascii="Arial" w:cs="Arial" w:eastAsia="Arial" w:hAnsi="Arial"/>
          <w:sz w:val="18"/>
          <w:szCs w:val="18"/>
          <w:color w:val="auto"/>
        </w:rPr>
      </w:pPr>
      <w:r>
        <w:rPr>
          <w:rFonts w:ascii="Arial" w:cs="Arial" w:eastAsia="Arial" w:hAnsi="Arial"/>
          <w:sz w:val="20"/>
          <w:szCs w:val="20"/>
          <w:color w:val="auto"/>
        </w:rPr>
        <w:t xml:space="preserve">be greater than 4.00:1.00;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for any period of four consecutive fiscal quarters following a Material Permitted Acquisition, the Consolidated Total Leverage Ratio will be not greater than 4.50:1.00.</w:t>
      </w:r>
    </w:p>
    <w:p>
      <w:pPr>
        <w:spacing w:after="0" w:line="39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167</w:t>
      </w:r>
    </w:p>
    <w:p>
      <w:pPr>
        <w:spacing w:after="0" w:line="10" w:lineRule="exact"/>
        <w:rPr>
          <w:sz w:val="20"/>
          <w:szCs w:val="20"/>
          <w:color w:val="auto"/>
        </w:rPr>
      </w:pPr>
    </w:p>
    <w:p>
      <w:pPr>
        <w:spacing w:after="0"/>
        <w:rPr>
          <w:sz w:val="20"/>
          <w:szCs w:val="20"/>
          <w:color w:val="auto"/>
        </w:rPr>
      </w:pPr>
      <w:r>
        <w:rPr>
          <w:rFonts w:ascii="Arial" w:cs="Arial" w:eastAsia="Arial" w:hAnsi="Arial"/>
          <w:sz w:val="14"/>
          <w:szCs w:val="14"/>
          <w:color w:val="auto"/>
        </w:rPr>
        <w:t>CHAR1\1346423v</w:t>
      </w:r>
      <w:r>
        <w:rPr>
          <w:rFonts w:ascii="Arial" w:cs="Arial" w:eastAsia="Arial" w:hAnsi="Arial"/>
          <w:sz w:val="14"/>
          <w:szCs w:val="14"/>
          <w:color w:val="FF0000"/>
          <w:strike w:val="1"/>
        </w:rPr>
        <w:t>1</w:t>
      </w:r>
      <w:r>
        <w:rPr>
          <w:rFonts w:ascii="Arial" w:cs="Arial" w:eastAsia="Arial" w:hAnsi="Arial"/>
          <w:sz w:val="14"/>
          <w:szCs w:val="14"/>
          <w:u w:val="single" w:color="auto"/>
          <w:color w:val="0000FF"/>
        </w:rPr>
        <w:t>12</w:t>
      </w:r>
    </w:p>
    <w:p>
      <w:pPr>
        <w:sectPr>
          <w:pgSz w:w="11900" w:h="16838" w:orient="portrait"/>
          <w:cols w:equalWidth="0" w:num="1">
            <w:col w:w="11420"/>
          </w:cols>
          <w:pgMar w:left="240" w:top="622" w:right="239" w:bottom="1440" w:gutter="0" w:footer="0" w:header="0"/>
        </w:sectPr>
      </w:pPr>
    </w:p>
    <w:bookmarkStart w:id="219" w:name="page220"/>
    <w:bookmarkEnd w:id="219"/>
    <w:p>
      <w:pPr>
        <w:ind w:left="660" w:firstLine="645"/>
        <w:spacing w:after="0" w:line="303" w:lineRule="auto"/>
        <w:tabs>
          <w:tab w:leader="none" w:pos="1737" w:val="left"/>
        </w:tabs>
        <w:numPr>
          <w:ilvl w:val="0"/>
          <w:numId w:val="242"/>
        </w:numPr>
        <w:rPr>
          <w:rFonts w:ascii="Arial" w:cs="Arial" w:eastAsia="Arial" w:hAnsi="Arial"/>
          <w:sz w:val="20"/>
          <w:szCs w:val="20"/>
          <w:color w:val="FF0000"/>
          <w:strike w:val="1"/>
        </w:rPr>
      </w:pPr>
      <w:r>
        <w:rPr>
          <w:rFonts w:ascii="Arial" w:cs="Arial" w:eastAsia="Arial" w:hAnsi="Arial"/>
          <w:sz w:val="20"/>
          <w:szCs w:val="20"/>
          <w:u w:val="single" w:color="auto"/>
          <w:color w:val="FF0000"/>
          <w:strike w:val="1"/>
        </w:rPr>
        <w:t>Consolidated Senior Secured Leverage Ratio</w:t>
      </w:r>
      <w:r>
        <w:rPr>
          <w:rFonts w:ascii="Arial" w:cs="Arial" w:eastAsia="Arial" w:hAnsi="Arial"/>
          <w:sz w:val="20"/>
          <w:szCs w:val="20"/>
          <w:color w:val="FF0000"/>
          <w:strike w:val="1"/>
        </w:rPr>
        <w:t>. As of the end of each fiscal quarter, permit the Consolidated Senior Secured</w:t>
      </w:r>
      <w:r>
        <w:rPr>
          <w:rFonts w:ascii="Arial" w:cs="Arial" w:eastAsia="Arial" w:hAnsi="Arial"/>
          <w:sz w:val="20"/>
          <w:szCs w:val="20"/>
          <w:u w:val="single" w:color="auto"/>
          <w:color w:val="FF0000"/>
          <w:strike w:val="1"/>
        </w:rPr>
        <w:t xml:space="preserve"> </w:t>
      </w:r>
      <w:r>
        <w:rPr>
          <w:rFonts w:ascii="Arial" w:cs="Arial" w:eastAsia="Arial" w:hAnsi="Arial"/>
          <w:sz w:val="20"/>
          <w:szCs w:val="20"/>
          <w:color w:val="FF0000"/>
          <w:strike w:val="1"/>
        </w:rPr>
        <w:t>Leverage Ratio to be greater than 3.00:1.00.</w:t>
      </w:r>
    </w:p>
    <w:p>
      <w:pPr>
        <w:spacing w:after="0" w:line="176" w:lineRule="exact"/>
        <w:rPr>
          <w:sz w:val="20"/>
          <w:szCs w:val="20"/>
          <w:color w:val="auto"/>
        </w:rPr>
      </w:pPr>
    </w:p>
    <w:p>
      <w:pPr>
        <w:ind w:left="660" w:firstLine="645"/>
        <w:spacing w:after="0" w:line="317" w:lineRule="auto"/>
        <w:tabs>
          <w:tab w:leader="none" w:pos="1719" w:val="left"/>
        </w:tabs>
        <w:numPr>
          <w:ilvl w:val="0"/>
          <w:numId w:val="243"/>
        </w:numPr>
        <w:rPr>
          <w:rFonts w:ascii="Arial" w:cs="Arial" w:eastAsia="Arial" w:hAnsi="Arial"/>
          <w:sz w:val="20"/>
          <w:szCs w:val="20"/>
          <w:color w:val="auto"/>
        </w:rPr>
      </w:pPr>
      <w:r>
        <w:rPr>
          <w:rFonts w:ascii="Arial" w:cs="Arial" w:eastAsia="Arial" w:hAnsi="Arial"/>
          <w:sz w:val="20"/>
          <w:szCs w:val="20"/>
          <w:color w:val="FF0000"/>
          <w:strike w:val="1"/>
        </w:rPr>
        <w:t>(c)</w:t>
      </w:r>
      <w:r>
        <w:rPr>
          <w:rFonts w:ascii="Arial" w:cs="Arial" w:eastAsia="Arial" w:hAnsi="Arial"/>
          <w:sz w:val="20"/>
          <w:szCs w:val="20"/>
          <w:color w:val="FF0000"/>
        </w:rPr>
        <w:t xml:space="preserve"> </w:t>
      </w:r>
      <w:r>
        <w:rPr>
          <w:rFonts w:ascii="Arial" w:cs="Arial" w:eastAsia="Arial" w:hAnsi="Arial"/>
          <w:sz w:val="20"/>
          <w:szCs w:val="20"/>
          <w:u w:val="single" w:color="auto"/>
          <w:color w:val="000000"/>
        </w:rPr>
        <w:t>Consolidated Fixed Charge Coverage Ratio</w:t>
      </w:r>
      <w:r>
        <w:rPr>
          <w:rFonts w:ascii="Arial" w:cs="Arial" w:eastAsia="Arial" w:hAnsi="Arial"/>
          <w:sz w:val="20"/>
          <w:szCs w:val="20"/>
          <w:color w:val="000000"/>
        </w:rPr>
        <w:t>. As of the end of each fiscal quarter, permit the Consolidated Fixed Charge</w:t>
      </w:r>
      <w:r>
        <w:rPr>
          <w:rFonts w:ascii="Arial" w:cs="Arial" w:eastAsia="Arial" w:hAnsi="Arial"/>
          <w:sz w:val="20"/>
          <w:szCs w:val="20"/>
          <w:color w:val="FF0000"/>
        </w:rPr>
        <w:t xml:space="preserve"> </w:t>
      </w:r>
      <w:r>
        <w:rPr>
          <w:rFonts w:ascii="Arial" w:cs="Arial" w:eastAsia="Arial" w:hAnsi="Arial"/>
          <w:sz w:val="20"/>
          <w:szCs w:val="20"/>
          <w:color w:val="000000"/>
        </w:rPr>
        <w:t>Coverage Ratio to be less than 1.50:1.00.</w:t>
      </w:r>
    </w:p>
    <w:p>
      <w:pPr>
        <w:spacing w:after="0" w:line="162" w:lineRule="exact"/>
        <w:rPr>
          <w:sz w:val="20"/>
          <w:szCs w:val="20"/>
          <w:color w:val="auto"/>
        </w:rPr>
      </w:pPr>
    </w:p>
    <w:p>
      <w:pPr>
        <w:ind w:right="20" w:firstLine="648"/>
        <w:spacing w:after="0" w:line="290" w:lineRule="auto"/>
        <w:rPr>
          <w:sz w:val="20"/>
          <w:szCs w:val="20"/>
          <w:color w:val="auto"/>
        </w:rPr>
      </w:pPr>
      <w:r>
        <w:rPr>
          <w:rFonts w:ascii="Arial" w:cs="Arial" w:eastAsia="Arial" w:hAnsi="Arial"/>
          <w:sz w:val="20"/>
          <w:szCs w:val="20"/>
          <w:color w:val="auto"/>
        </w:rPr>
        <w:t xml:space="preserve">8.13 </w:t>
      </w:r>
      <w:r>
        <w:rPr>
          <w:rFonts w:ascii="Arial" w:cs="Arial" w:eastAsia="Arial" w:hAnsi="Arial"/>
          <w:sz w:val="20"/>
          <w:szCs w:val="20"/>
          <w:u w:val="single" w:color="auto"/>
          <w:color w:val="0000FF"/>
        </w:rPr>
        <w:t>Sanctions. Directly or indirectly, use any Credit Extension or the proceeds of any Credit Extension, or lend, contribute or</w:t>
      </w:r>
      <w:r>
        <w:rPr>
          <w:rFonts w:ascii="Arial" w:cs="Arial" w:eastAsia="Arial" w:hAnsi="Arial"/>
          <w:sz w:val="20"/>
          <w:szCs w:val="20"/>
          <w:color w:val="auto"/>
        </w:rPr>
        <w:t xml:space="preserve"> </w:t>
      </w:r>
      <w:r>
        <w:rPr>
          <w:rFonts w:ascii="Arial" w:cs="Arial" w:eastAsia="Arial" w:hAnsi="Arial"/>
          <w:sz w:val="20"/>
          <w:szCs w:val="20"/>
          <w:u w:val="single" w:color="auto"/>
          <w:color w:val="0000FF"/>
        </w:rPr>
        <w:t>otherwise make available such Credit Extension or the proceeds of any Credit Extension to any Person, to unlawfully fund any activities of or business with any Person, or in any Designated Jurisdiction, that, at the time of such funding, is the subject of Sanctions, or in any other manner that will result in a violation by any Person (including any Person participating in the transaction, whether as Lender, Arranger, Administrative Agent, L/C Issuer, Swingline Lender, or otherwise) of Sanctions.</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ind w:right="220"/>
        <w:spacing w:after="0"/>
        <w:rPr>
          <w:sz w:val="20"/>
          <w:szCs w:val="20"/>
          <w:color w:val="auto"/>
        </w:rPr>
      </w:pPr>
      <w:r>
        <w:rPr>
          <w:rFonts w:ascii="Arial" w:cs="Arial" w:eastAsia="Arial" w:hAnsi="Arial"/>
          <w:sz w:val="20"/>
          <w:szCs w:val="20"/>
          <w:b w:val="1"/>
          <w:bCs w:val="1"/>
          <w:color w:val="auto"/>
        </w:rPr>
        <w:t>ARTICLE IX</w:t>
      </w:r>
    </w:p>
    <w:p>
      <w:pPr>
        <w:spacing w:after="0" w:line="324" w:lineRule="exact"/>
        <w:rPr>
          <w:sz w:val="20"/>
          <w:szCs w:val="20"/>
          <w:color w:val="auto"/>
        </w:rPr>
      </w:pPr>
    </w:p>
    <w:p>
      <w:pPr>
        <w:ind w:left="3880"/>
        <w:spacing w:after="0"/>
        <w:rPr>
          <w:sz w:val="20"/>
          <w:szCs w:val="20"/>
          <w:color w:val="auto"/>
        </w:rPr>
      </w:pPr>
      <w:r>
        <w:rPr>
          <w:rFonts w:ascii="Arial" w:cs="Arial" w:eastAsia="Arial" w:hAnsi="Arial"/>
          <w:sz w:val="20"/>
          <w:szCs w:val="20"/>
          <w:b w:val="1"/>
          <w:bCs w:val="1"/>
          <w:color w:val="auto"/>
        </w:rPr>
        <w:t>EVENTS OF DEFAULT AND REMEDIES</w:t>
      </w:r>
    </w:p>
    <w:p>
      <w:pPr>
        <w:spacing w:after="0" w:line="262" w:lineRule="exact"/>
        <w:rPr>
          <w:sz w:val="20"/>
          <w:szCs w:val="20"/>
          <w:color w:val="auto"/>
        </w:rPr>
      </w:pPr>
    </w:p>
    <w:p>
      <w:pPr>
        <w:ind w:left="660"/>
        <w:spacing w:after="0"/>
        <w:tabs>
          <w:tab w:leader="none" w:pos="1160" w:val="left"/>
        </w:tabs>
        <w:rPr>
          <w:sz w:val="20"/>
          <w:szCs w:val="20"/>
          <w:color w:val="auto"/>
        </w:rPr>
      </w:pPr>
      <w:r>
        <w:rPr>
          <w:rFonts w:ascii="Arial" w:cs="Arial" w:eastAsia="Arial" w:hAnsi="Arial"/>
          <w:sz w:val="20"/>
          <w:szCs w:val="20"/>
          <w:color w:val="auto"/>
        </w:rPr>
        <w:t>9.01</w:t>
      </w:r>
      <w:r>
        <w:rPr>
          <w:sz w:val="20"/>
          <w:szCs w:val="20"/>
          <w:color w:val="auto"/>
        </w:rPr>
        <w:tab/>
      </w:r>
      <w:r>
        <w:rPr>
          <w:rFonts w:ascii="Arial" w:cs="Arial" w:eastAsia="Arial" w:hAnsi="Arial"/>
          <w:sz w:val="18"/>
          <w:szCs w:val="18"/>
          <w:u w:val="single" w:color="auto"/>
          <w:color w:val="auto"/>
        </w:rPr>
        <w:t>Events of Default</w:t>
      </w:r>
      <w:r>
        <w:rPr>
          <w:rFonts w:ascii="Arial" w:cs="Arial" w:eastAsia="Arial" w:hAnsi="Arial"/>
          <w:sz w:val="18"/>
          <w:szCs w:val="18"/>
          <w:color w:val="auto"/>
        </w:rPr>
        <w:t>. Any of the following shall constitute an Event of Default:</w:t>
      </w:r>
    </w:p>
    <w:p>
      <w:pPr>
        <w:spacing w:after="0" w:line="270" w:lineRule="exact"/>
        <w:rPr>
          <w:sz w:val="20"/>
          <w:szCs w:val="20"/>
          <w:color w:val="auto"/>
        </w:rPr>
      </w:pPr>
    </w:p>
    <w:p>
      <w:pPr>
        <w:ind w:left="1700" w:hanging="395"/>
        <w:spacing w:after="0" w:line="219" w:lineRule="exact"/>
        <w:tabs>
          <w:tab w:leader="none" w:pos="1700" w:val="left"/>
        </w:tabs>
        <w:numPr>
          <w:ilvl w:val="1"/>
          <w:numId w:val="244"/>
        </w:numPr>
        <w:rPr>
          <w:rFonts w:ascii="Arial" w:cs="Arial" w:eastAsia="Arial" w:hAnsi="Arial"/>
          <w:sz w:val="19"/>
          <w:szCs w:val="19"/>
          <w:color w:val="auto"/>
        </w:rPr>
      </w:pPr>
      <w:r>
        <w:rPr>
          <w:rFonts w:ascii="Arial" w:cs="Arial" w:eastAsia="Arial" w:hAnsi="Arial"/>
          <w:sz w:val="19"/>
          <w:szCs w:val="19"/>
          <w:u w:val="single" w:color="auto"/>
          <w:color w:val="auto"/>
        </w:rPr>
        <w:t>Non</w:t>
      </w:r>
      <w:r>
        <w:rPr>
          <w:rFonts w:ascii="MS PGothic" w:cs="MS PGothic" w:eastAsia="MS PGothic" w:hAnsi="MS PGothic"/>
          <w:sz w:val="19"/>
          <w:szCs w:val="19"/>
          <w:u w:val="single" w:color="auto"/>
          <w:color w:val="auto"/>
        </w:rPr>
        <w:t>‑</w:t>
      </w:r>
      <w:r>
        <w:rPr>
          <w:rFonts w:ascii="Arial" w:cs="Arial" w:eastAsia="Arial" w:hAnsi="Arial"/>
          <w:sz w:val="19"/>
          <w:szCs w:val="19"/>
          <w:u w:val="single" w:color="auto"/>
          <w:color w:val="auto"/>
        </w:rPr>
        <w:t>Payment</w:t>
      </w:r>
      <w:r>
        <w:rPr>
          <w:rFonts w:ascii="Arial" w:cs="Arial" w:eastAsia="Arial" w:hAnsi="Arial"/>
          <w:sz w:val="19"/>
          <w:szCs w:val="19"/>
          <w:color w:val="auto"/>
        </w:rPr>
        <w:t>. Any Credit Party fails to pay (i) when and as required to be paid herein, and in the currency required</w:t>
      </w:r>
    </w:p>
    <w:p>
      <w:pPr>
        <w:spacing w:after="0" w:line="65" w:lineRule="exact"/>
        <w:rPr>
          <w:rFonts w:ascii="Arial" w:cs="Arial" w:eastAsia="Arial" w:hAnsi="Arial"/>
          <w:sz w:val="19"/>
          <w:szCs w:val="19"/>
          <w:color w:val="auto"/>
        </w:rPr>
      </w:pPr>
    </w:p>
    <w:p>
      <w:pPr>
        <w:ind w:left="660" w:right="140"/>
        <w:spacing w:after="0" w:line="314" w:lineRule="auto"/>
        <w:rPr>
          <w:rFonts w:ascii="Arial" w:cs="Arial" w:eastAsia="Arial" w:hAnsi="Arial"/>
          <w:sz w:val="19"/>
          <w:szCs w:val="19"/>
          <w:color w:val="auto"/>
        </w:rPr>
      </w:pPr>
      <w:r>
        <w:rPr>
          <w:rFonts w:ascii="Arial" w:cs="Arial" w:eastAsia="Arial" w:hAnsi="Arial"/>
          <w:sz w:val="19"/>
          <w:szCs w:val="19"/>
          <w:color w:val="auto"/>
        </w:rPr>
        <w:t>hereunder, any amount of principal of any Loan or any L/C Obligation, or (ii) within five (5) Business Days after the same becomes due, any interest on any Loan or on any L/C Obligation, or any fee due hereunder, or (iii) within five (5) Business Days after the same becomes due, any other amount payable hereunder or under any other Credit Document; or</w:t>
      </w:r>
    </w:p>
    <w:p>
      <w:pPr>
        <w:spacing w:after="0" w:line="168" w:lineRule="exact"/>
        <w:rPr>
          <w:rFonts w:ascii="Arial" w:cs="Arial" w:eastAsia="Arial" w:hAnsi="Arial"/>
          <w:sz w:val="19"/>
          <w:szCs w:val="19"/>
          <w:color w:val="auto"/>
        </w:rPr>
      </w:pPr>
    </w:p>
    <w:p>
      <w:pPr>
        <w:ind w:left="660" w:right="340" w:firstLine="645"/>
        <w:spacing w:after="0" w:line="317" w:lineRule="auto"/>
        <w:tabs>
          <w:tab w:leader="none" w:pos="1719" w:val="left"/>
        </w:tabs>
        <w:numPr>
          <w:ilvl w:val="1"/>
          <w:numId w:val="244"/>
        </w:numPr>
        <w:rPr>
          <w:rFonts w:ascii="Arial" w:cs="Arial" w:eastAsia="Arial" w:hAnsi="Arial"/>
          <w:sz w:val="20"/>
          <w:szCs w:val="20"/>
          <w:color w:val="auto"/>
        </w:rPr>
      </w:pPr>
      <w:r>
        <w:rPr>
          <w:rFonts w:ascii="Arial" w:cs="Arial" w:eastAsia="Arial" w:hAnsi="Arial"/>
          <w:sz w:val="20"/>
          <w:szCs w:val="20"/>
          <w:u w:val="single" w:color="auto"/>
          <w:color w:val="auto"/>
        </w:rPr>
        <w:t>Specific Covenants</w:t>
      </w:r>
      <w:r>
        <w:rPr>
          <w:rFonts w:ascii="Arial" w:cs="Arial" w:eastAsia="Arial" w:hAnsi="Arial"/>
          <w:sz w:val="20"/>
          <w:szCs w:val="20"/>
          <w:color w:val="auto"/>
        </w:rPr>
        <w:t xml:space="preserve">. Any Credit Party fails to perform or observe any term, covenant or agreement contained in any of </w:t>
      </w:r>
      <w:r>
        <w:rPr>
          <w:rFonts w:ascii="Arial" w:cs="Arial" w:eastAsia="Arial" w:hAnsi="Arial"/>
          <w:sz w:val="20"/>
          <w:szCs w:val="20"/>
          <w:u w:val="single" w:color="auto"/>
          <w:color w:val="auto"/>
        </w:rPr>
        <w:t>Section 7.03</w:t>
      </w:r>
      <w:r>
        <w:rPr>
          <w:rFonts w:ascii="Arial" w:cs="Arial" w:eastAsia="Arial" w:hAnsi="Arial"/>
          <w:sz w:val="20"/>
          <w:szCs w:val="20"/>
          <w:color w:val="auto"/>
        </w:rPr>
        <w:t xml:space="preserve"> or </w:t>
      </w:r>
      <w:r>
        <w:rPr>
          <w:rFonts w:ascii="Arial" w:cs="Arial" w:eastAsia="Arial" w:hAnsi="Arial"/>
          <w:sz w:val="20"/>
          <w:szCs w:val="20"/>
          <w:u w:val="single" w:color="auto"/>
          <w:color w:val="auto"/>
        </w:rPr>
        <w:t>Article VIII</w:t>
      </w:r>
      <w:r>
        <w:rPr>
          <w:rFonts w:ascii="Arial" w:cs="Arial" w:eastAsia="Arial" w:hAnsi="Arial"/>
          <w:sz w:val="20"/>
          <w:szCs w:val="20"/>
          <w:color w:val="auto"/>
        </w:rPr>
        <w:t>; or</w:t>
      </w:r>
    </w:p>
    <w:p>
      <w:pPr>
        <w:spacing w:after="0" w:line="162" w:lineRule="exact"/>
        <w:rPr>
          <w:rFonts w:ascii="Arial" w:cs="Arial" w:eastAsia="Arial" w:hAnsi="Arial"/>
          <w:sz w:val="20"/>
          <w:szCs w:val="20"/>
          <w:color w:val="auto"/>
        </w:rPr>
      </w:pPr>
    </w:p>
    <w:p>
      <w:pPr>
        <w:ind w:left="1700" w:hanging="395"/>
        <w:spacing w:after="0"/>
        <w:tabs>
          <w:tab w:leader="none" w:pos="1700" w:val="left"/>
        </w:tabs>
        <w:numPr>
          <w:ilvl w:val="1"/>
          <w:numId w:val="244"/>
        </w:numPr>
        <w:rPr>
          <w:rFonts w:ascii="Arial" w:cs="Arial" w:eastAsia="Arial" w:hAnsi="Arial"/>
          <w:sz w:val="18"/>
          <w:szCs w:val="18"/>
          <w:color w:val="auto"/>
        </w:rPr>
      </w:pPr>
      <w:r>
        <w:rPr>
          <w:rFonts w:ascii="Arial" w:cs="Arial" w:eastAsia="Arial" w:hAnsi="Arial"/>
          <w:sz w:val="18"/>
          <w:szCs w:val="18"/>
          <w:u w:val="single" w:color="auto"/>
          <w:color w:val="auto"/>
        </w:rPr>
        <w:t>Other Defaults</w:t>
      </w:r>
      <w:r>
        <w:rPr>
          <w:rFonts w:ascii="Arial" w:cs="Arial" w:eastAsia="Arial" w:hAnsi="Arial"/>
          <w:sz w:val="18"/>
          <w:szCs w:val="18"/>
          <w:color w:val="auto"/>
        </w:rPr>
        <w:t xml:space="preserve">. Any Credit Party fails to perform or observe any other covenant or agreement (not specified in </w:t>
      </w:r>
      <w:r>
        <w:rPr>
          <w:rFonts w:ascii="Arial" w:cs="Arial" w:eastAsia="Arial" w:hAnsi="Arial"/>
          <w:sz w:val="18"/>
          <w:szCs w:val="18"/>
          <w:u w:val="single" w:color="auto"/>
          <w:color w:val="auto"/>
        </w:rPr>
        <w:t>subsection</w:t>
      </w:r>
    </w:p>
    <w:p>
      <w:pPr>
        <w:spacing w:after="0" w:line="76" w:lineRule="exact"/>
        <w:rPr>
          <w:rFonts w:ascii="Arial" w:cs="Arial" w:eastAsia="Arial" w:hAnsi="Arial"/>
          <w:sz w:val="18"/>
          <w:szCs w:val="18"/>
          <w:color w:val="auto"/>
        </w:rPr>
      </w:pPr>
    </w:p>
    <w:p>
      <w:pPr>
        <w:ind w:left="660" w:right="300" w:hanging="4"/>
        <w:spacing w:after="0" w:line="303" w:lineRule="auto"/>
        <w:tabs>
          <w:tab w:leader="none" w:pos="929" w:val="left"/>
        </w:tabs>
        <w:numPr>
          <w:ilvl w:val="0"/>
          <w:numId w:val="245"/>
        </w:numPr>
        <w:rPr>
          <w:rFonts w:ascii="Arial" w:cs="Arial" w:eastAsia="Arial" w:hAnsi="Arial"/>
          <w:sz w:val="20"/>
          <w:szCs w:val="20"/>
          <w:u w:val="single" w:color="auto"/>
          <w:color w:val="auto"/>
        </w:rPr>
      </w:pPr>
      <w:r>
        <w:rPr>
          <w:rFonts w:ascii="Arial" w:cs="Arial" w:eastAsia="Arial" w:hAnsi="Arial"/>
          <w:sz w:val="20"/>
          <w:szCs w:val="20"/>
          <w:color w:val="auto"/>
        </w:rPr>
        <w:t xml:space="preserve">or </w:t>
      </w:r>
      <w:r>
        <w:rPr>
          <w:rFonts w:ascii="Arial" w:cs="Arial" w:eastAsia="Arial" w:hAnsi="Arial"/>
          <w:sz w:val="20"/>
          <w:szCs w:val="20"/>
          <w:u w:val="single" w:color="auto"/>
          <w:color w:val="auto"/>
        </w:rPr>
        <w:t>(b)</w:t>
      </w:r>
      <w:r>
        <w:rPr>
          <w:rFonts w:ascii="Arial" w:cs="Arial" w:eastAsia="Arial" w:hAnsi="Arial"/>
          <w:sz w:val="20"/>
          <w:szCs w:val="20"/>
          <w:color w:val="auto"/>
        </w:rPr>
        <w:t xml:space="preserve"> above) contained in any Credit Document on its part to be performed or observed and such failure continues for thirty (30) days after written notice from the Administrative Agent to EWI or such Credit Party; or</w:t>
      </w:r>
    </w:p>
    <w:p>
      <w:pPr>
        <w:spacing w:after="0" w:line="175" w:lineRule="exact"/>
        <w:rPr>
          <w:rFonts w:ascii="Arial" w:cs="Arial" w:eastAsia="Arial" w:hAnsi="Arial"/>
          <w:sz w:val="20"/>
          <w:szCs w:val="20"/>
          <w:u w:val="single" w:color="auto"/>
          <w:color w:val="auto"/>
        </w:rPr>
      </w:pPr>
    </w:p>
    <w:p>
      <w:pPr>
        <w:ind w:left="1720" w:hanging="415"/>
        <w:spacing w:after="0"/>
        <w:tabs>
          <w:tab w:leader="none" w:pos="1720" w:val="left"/>
        </w:tabs>
        <w:numPr>
          <w:ilvl w:val="1"/>
          <w:numId w:val="245"/>
        </w:numPr>
        <w:rPr>
          <w:rFonts w:ascii="Arial" w:cs="Arial" w:eastAsia="Arial" w:hAnsi="Arial"/>
          <w:sz w:val="16"/>
          <w:szCs w:val="16"/>
          <w:color w:val="auto"/>
        </w:rPr>
      </w:pPr>
      <w:r>
        <w:rPr>
          <w:rFonts w:ascii="Arial" w:cs="Arial" w:eastAsia="Arial" w:hAnsi="Arial"/>
          <w:sz w:val="16"/>
          <w:szCs w:val="16"/>
          <w:u w:val="single" w:color="auto"/>
          <w:color w:val="auto"/>
        </w:rPr>
        <w:t>Representations and Warranties</w:t>
      </w:r>
      <w:r>
        <w:rPr>
          <w:rFonts w:ascii="Arial" w:cs="Arial" w:eastAsia="Arial" w:hAnsi="Arial"/>
          <w:sz w:val="16"/>
          <w:szCs w:val="16"/>
          <w:color w:val="auto"/>
        </w:rPr>
        <w:t>. Any representation, warranty, certification or statement of fact made or deemed made by</w:t>
      </w:r>
    </w:p>
    <w:p>
      <w:pPr>
        <w:spacing w:after="0" w:line="99" w:lineRule="exact"/>
        <w:rPr>
          <w:rFonts w:ascii="Arial" w:cs="Arial" w:eastAsia="Arial" w:hAnsi="Arial"/>
          <w:sz w:val="16"/>
          <w:szCs w:val="16"/>
          <w:color w:val="auto"/>
        </w:rPr>
      </w:pPr>
    </w:p>
    <w:p>
      <w:pPr>
        <w:ind w:left="660" w:right="740"/>
        <w:spacing w:after="0" w:line="303" w:lineRule="auto"/>
        <w:rPr>
          <w:rFonts w:ascii="Arial" w:cs="Arial" w:eastAsia="Arial" w:hAnsi="Arial"/>
          <w:sz w:val="16"/>
          <w:szCs w:val="16"/>
          <w:color w:val="auto"/>
        </w:rPr>
      </w:pPr>
      <w:r>
        <w:rPr>
          <w:rFonts w:ascii="Arial" w:cs="Arial" w:eastAsia="Arial" w:hAnsi="Arial"/>
          <w:sz w:val="20"/>
          <w:szCs w:val="20"/>
          <w:color w:val="auto"/>
        </w:rPr>
        <w:t>or on behalf of any Credit Party herein, in any other Credit Document, or in any document delivered in connection herewith or therewith shall be false or misleading in any material respect when made or deemed made; or</w:t>
      </w:r>
    </w:p>
    <w:p>
      <w:pPr>
        <w:spacing w:after="0" w:line="175" w:lineRule="exact"/>
        <w:rPr>
          <w:rFonts w:ascii="Arial" w:cs="Arial" w:eastAsia="Arial" w:hAnsi="Arial"/>
          <w:sz w:val="16"/>
          <w:szCs w:val="16"/>
          <w:color w:val="auto"/>
        </w:rPr>
      </w:pPr>
    </w:p>
    <w:p>
      <w:pPr>
        <w:ind w:left="1700" w:hanging="395"/>
        <w:spacing w:after="0" w:line="207" w:lineRule="exact"/>
        <w:tabs>
          <w:tab w:leader="none" w:pos="1700" w:val="left"/>
        </w:tabs>
        <w:numPr>
          <w:ilvl w:val="1"/>
          <w:numId w:val="245"/>
        </w:numPr>
        <w:rPr>
          <w:rFonts w:ascii="Arial" w:cs="Arial" w:eastAsia="Arial" w:hAnsi="Arial"/>
          <w:sz w:val="18"/>
          <w:szCs w:val="18"/>
          <w:color w:val="auto"/>
        </w:rPr>
      </w:pPr>
      <w:r>
        <w:rPr>
          <w:rFonts w:ascii="Arial" w:cs="Arial" w:eastAsia="Arial" w:hAnsi="Arial"/>
          <w:sz w:val="18"/>
          <w:szCs w:val="18"/>
          <w:u w:val="single" w:color="auto"/>
          <w:color w:val="auto"/>
        </w:rPr>
        <w:t>Cross</w:t>
      </w:r>
      <w:r>
        <w:rPr>
          <w:rFonts w:ascii="MS PGothic" w:cs="MS PGothic" w:eastAsia="MS PGothic" w:hAnsi="MS PGothic"/>
          <w:sz w:val="18"/>
          <w:szCs w:val="18"/>
          <w:u w:val="single" w:color="auto"/>
          <w:color w:val="auto"/>
        </w:rPr>
        <w:t>‑</w:t>
      </w:r>
      <w:r>
        <w:rPr>
          <w:rFonts w:ascii="Arial" w:cs="Arial" w:eastAsia="Arial" w:hAnsi="Arial"/>
          <w:sz w:val="18"/>
          <w:szCs w:val="18"/>
          <w:u w:val="single" w:color="auto"/>
          <w:color w:val="auto"/>
        </w:rPr>
        <w:t>Default</w:t>
      </w:r>
      <w:r>
        <w:rPr>
          <w:rFonts w:ascii="Arial" w:cs="Arial" w:eastAsia="Arial" w:hAnsi="Arial"/>
          <w:sz w:val="18"/>
          <w:szCs w:val="18"/>
          <w:color w:val="auto"/>
        </w:rPr>
        <w:t>. (i) Any member of the Consolidated Group (A) fails (and such failure continues beyond any applicable</w:t>
      </w:r>
    </w:p>
    <w:p>
      <w:pPr>
        <w:spacing w:after="0" w:line="76" w:lineRule="exact"/>
        <w:rPr>
          <w:rFonts w:ascii="Arial" w:cs="Arial" w:eastAsia="Arial" w:hAnsi="Arial"/>
          <w:sz w:val="18"/>
          <w:szCs w:val="18"/>
          <w:color w:val="auto"/>
        </w:rPr>
      </w:pPr>
    </w:p>
    <w:p>
      <w:pPr>
        <w:ind w:left="660" w:right="20"/>
        <w:spacing w:after="0" w:line="303" w:lineRule="auto"/>
        <w:rPr>
          <w:rFonts w:ascii="Arial" w:cs="Arial" w:eastAsia="Arial" w:hAnsi="Arial"/>
          <w:sz w:val="18"/>
          <w:szCs w:val="18"/>
          <w:color w:val="auto"/>
        </w:rPr>
      </w:pPr>
      <w:r>
        <w:rPr>
          <w:rFonts w:ascii="Arial" w:cs="Arial" w:eastAsia="Arial" w:hAnsi="Arial"/>
          <w:sz w:val="20"/>
          <w:szCs w:val="20"/>
          <w:color w:val="auto"/>
        </w:rPr>
        <w:t>grace period and provided that any default or event of default resulting therefrom has not been cured or waived by the holder or holders of such</w:t>
      </w:r>
    </w:p>
    <w:p>
      <w:pPr>
        <w:spacing w:after="0" w:line="39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168</w:t>
      </w:r>
    </w:p>
    <w:p>
      <w:pPr>
        <w:spacing w:after="0" w:line="10" w:lineRule="exact"/>
        <w:rPr>
          <w:sz w:val="20"/>
          <w:szCs w:val="20"/>
          <w:color w:val="auto"/>
        </w:rPr>
      </w:pPr>
    </w:p>
    <w:p>
      <w:pPr>
        <w:spacing w:after="0"/>
        <w:rPr>
          <w:sz w:val="20"/>
          <w:szCs w:val="20"/>
          <w:color w:val="auto"/>
        </w:rPr>
      </w:pPr>
      <w:r>
        <w:rPr>
          <w:rFonts w:ascii="Arial" w:cs="Arial" w:eastAsia="Arial" w:hAnsi="Arial"/>
          <w:sz w:val="14"/>
          <w:szCs w:val="14"/>
          <w:color w:val="auto"/>
        </w:rPr>
        <w:t>CHAR1\1346423v</w:t>
      </w:r>
      <w:r>
        <w:rPr>
          <w:rFonts w:ascii="Arial" w:cs="Arial" w:eastAsia="Arial" w:hAnsi="Arial"/>
          <w:sz w:val="14"/>
          <w:szCs w:val="14"/>
          <w:color w:val="FF0000"/>
          <w:strike w:val="1"/>
        </w:rPr>
        <w:t>1</w:t>
      </w:r>
      <w:r>
        <w:rPr>
          <w:rFonts w:ascii="Arial" w:cs="Arial" w:eastAsia="Arial" w:hAnsi="Arial"/>
          <w:sz w:val="14"/>
          <w:szCs w:val="14"/>
          <w:u w:val="single" w:color="auto"/>
          <w:color w:val="0000FF"/>
        </w:rPr>
        <w:t>12</w:t>
      </w:r>
    </w:p>
    <w:p>
      <w:pPr>
        <w:sectPr>
          <w:pgSz w:w="11900" w:h="16838" w:orient="portrait"/>
          <w:cols w:equalWidth="0" w:num="1">
            <w:col w:w="11420"/>
          </w:cols>
          <w:pgMar w:left="240" w:top="609" w:right="239" w:bottom="1440" w:gutter="0" w:footer="0" w:header="0"/>
        </w:sectPr>
      </w:pPr>
    </w:p>
    <w:bookmarkStart w:id="220" w:name="page221"/>
    <w:bookmarkEnd w:id="220"/>
    <w:p>
      <w:pPr>
        <w:ind w:left="660"/>
        <w:spacing w:after="0" w:line="316" w:lineRule="auto"/>
        <w:rPr>
          <w:sz w:val="20"/>
          <w:szCs w:val="20"/>
          <w:color w:val="auto"/>
        </w:rPr>
      </w:pPr>
      <w:r>
        <w:rPr>
          <w:rFonts w:ascii="Arial" w:cs="Arial" w:eastAsia="Arial" w:hAnsi="Arial"/>
          <w:sz w:val="18"/>
          <w:szCs w:val="18"/>
          <w:color w:val="auto"/>
        </w:rPr>
        <w:t>Indebtedness or the beneficiary or beneficiaries of such Support Obligation) to make any payment when due (whether by scheduled maturity, required prepayment, acceleration, demand, or otherwise) in respect of any Indebtedness or Support Obligations (other than Indebtedness hereunder and Indebtedness under Swap Contracts) having an aggregate principal amount (including undrawn committed or available amounts and including amounts owing to all creditors under any combined or syndicated credit arrangement) of more than $</w:t>
      </w:r>
      <w:r>
        <w:rPr>
          <w:rFonts w:ascii="Arial" w:cs="Arial" w:eastAsia="Arial" w:hAnsi="Arial"/>
          <w:sz w:val="18"/>
          <w:szCs w:val="18"/>
          <w:color w:val="FF0000"/>
          <w:strike w:val="1"/>
        </w:rPr>
        <w:t>25</w:t>
      </w:r>
      <w:r>
        <w:rPr>
          <w:rFonts w:ascii="Arial" w:cs="Arial" w:eastAsia="Arial" w:hAnsi="Arial"/>
          <w:sz w:val="18"/>
          <w:szCs w:val="18"/>
          <w:u w:val="single" w:color="auto"/>
          <w:color w:val="0000FF"/>
        </w:rPr>
        <w:t>50</w:t>
      </w:r>
      <w:r>
        <w:rPr>
          <w:rFonts w:ascii="Arial" w:cs="Arial" w:eastAsia="Arial" w:hAnsi="Arial"/>
          <w:sz w:val="18"/>
          <w:szCs w:val="18"/>
          <w:color w:val="auto"/>
        </w:rPr>
        <w:t xml:space="preserve"> million, or (B) fails and such failure continues beyond any applicable grace period and provided that any default or event of default resulting therefrom has not been cured or waived by the holder or holders of such Indebtedness or the beneficiary or beneficiaries of such Support Obligation) to observe or perform any other agreement or condition relating to any such Indebtedness or Support Obligations or contained in any instrument or agreement evidencing, securing or relating thereto, or any other event occurs, the effect of which default or other event is to cause, or to permit the holder or holders of such Indebtedness or the beneficiary or beneficiaries of such Support Obligations (or a trustee or agent on behalf of such holder or holders or beneficiary or beneficiaries) to cause, with the giving of notice if required, such Indebtedness to be demanded or to become due or to be repurchased, prepaid, defeased or redeemed (automatically or otherwise), or an offer to repurchase, prepay, defease or redeem such Indebtedness to be made, prior to its stated maturity, or such Support Obligations to become payable or cash collateral in respect thereof to be demanded; or (ii) there occurs under any Swap Contract an Early Termination Date (as defined in such Swap Contract) resulting from (A) any event of default under such Swap Contract as to which EWI or any Subsidiary is the Defaulting Party (as defined in such Swap Contract) or (B) any Termination Event (as so defined) under such Swap Contract as to which EWI or any Subsidiary is an Affected Party (as so defined) and, in either event, such Early Termination Date is not rescinded or such Termination Event is not waived and the Swap Termination Value owed as a result thereof is greater than $</w:t>
      </w:r>
      <w:r>
        <w:rPr>
          <w:rFonts w:ascii="Arial" w:cs="Arial" w:eastAsia="Arial" w:hAnsi="Arial"/>
          <w:sz w:val="18"/>
          <w:szCs w:val="18"/>
          <w:color w:val="FF0000"/>
          <w:strike w:val="1"/>
        </w:rPr>
        <w:t>25</w:t>
      </w:r>
      <w:r>
        <w:rPr>
          <w:rFonts w:ascii="Arial" w:cs="Arial" w:eastAsia="Arial" w:hAnsi="Arial"/>
          <w:sz w:val="18"/>
          <w:szCs w:val="18"/>
          <w:u w:val="single" w:color="auto"/>
          <w:color w:val="0000FF"/>
        </w:rPr>
        <w:t>50</w:t>
      </w:r>
      <w:r>
        <w:rPr>
          <w:rFonts w:ascii="Arial" w:cs="Arial" w:eastAsia="Arial" w:hAnsi="Arial"/>
          <w:sz w:val="18"/>
          <w:szCs w:val="18"/>
          <w:color w:val="auto"/>
        </w:rPr>
        <w:t xml:space="preserve"> million; or</w:t>
      </w:r>
    </w:p>
    <w:p>
      <w:pPr>
        <w:spacing w:after="0" w:line="172" w:lineRule="exact"/>
        <w:rPr>
          <w:sz w:val="20"/>
          <w:szCs w:val="20"/>
          <w:color w:val="auto"/>
        </w:rPr>
      </w:pPr>
    </w:p>
    <w:p>
      <w:pPr>
        <w:ind w:left="1680" w:hanging="375"/>
        <w:spacing w:after="0"/>
        <w:tabs>
          <w:tab w:leader="none" w:pos="1680" w:val="left"/>
        </w:tabs>
        <w:numPr>
          <w:ilvl w:val="0"/>
          <w:numId w:val="246"/>
        </w:numPr>
        <w:rPr>
          <w:rFonts w:ascii="Arial" w:cs="Arial" w:eastAsia="Arial" w:hAnsi="Arial"/>
          <w:sz w:val="19"/>
          <w:szCs w:val="19"/>
          <w:color w:val="auto"/>
        </w:rPr>
      </w:pPr>
      <w:r>
        <w:rPr>
          <w:rFonts w:ascii="Arial" w:cs="Arial" w:eastAsia="Arial" w:hAnsi="Arial"/>
          <w:sz w:val="19"/>
          <w:szCs w:val="19"/>
          <w:u w:val="single" w:color="auto"/>
          <w:color w:val="auto"/>
        </w:rPr>
        <w:t>Insolvency Proceedings, Etc</w:t>
      </w:r>
      <w:r>
        <w:rPr>
          <w:rFonts w:ascii="Arial" w:cs="Arial" w:eastAsia="Arial" w:hAnsi="Arial"/>
          <w:sz w:val="19"/>
          <w:szCs w:val="19"/>
          <w:color w:val="auto"/>
        </w:rPr>
        <w:t>. Any member of the Consolidated Group institutes or consents to the institution of any</w:t>
      </w:r>
    </w:p>
    <w:p>
      <w:pPr>
        <w:spacing w:after="0" w:line="65" w:lineRule="exact"/>
        <w:rPr>
          <w:rFonts w:ascii="Arial" w:cs="Arial" w:eastAsia="Arial" w:hAnsi="Arial"/>
          <w:sz w:val="19"/>
          <w:szCs w:val="19"/>
          <w:color w:val="auto"/>
        </w:rPr>
      </w:pPr>
    </w:p>
    <w:p>
      <w:pPr>
        <w:ind w:left="660" w:right="200"/>
        <w:spacing w:after="0" w:line="302" w:lineRule="auto"/>
        <w:rPr>
          <w:rFonts w:ascii="Arial" w:cs="Arial" w:eastAsia="Arial" w:hAnsi="Arial"/>
          <w:sz w:val="19"/>
          <w:szCs w:val="19"/>
          <w:color w:val="auto"/>
        </w:rPr>
      </w:pPr>
      <w:r>
        <w:rPr>
          <w:rFonts w:ascii="Arial" w:cs="Arial" w:eastAsia="Arial" w:hAnsi="Arial"/>
          <w:sz w:val="19"/>
          <w:szCs w:val="19"/>
          <w:color w:val="auto"/>
        </w:rPr>
        <w:t>proceeding under any Debtor Relief Law, or makes an assignment for the benefit of creditors; or applies for or consents to the appointment of any receiver, trustee, custodian, conservator, liquidator, rehabilitator or similar officer for it or for all or any material part of its property; or any receiver, trustee, custodian, conservator, liquidator, rehabilitator or similar officer is appointed without the application or consent of such Person and the appointment continues undischarged or unstayed for sixty calendar days; or any proceeding under any Debtor Relief Law relating to any such Person or to all or any material part of its property is instituted without the consent of such Person and continues undismissed or unstayed for sixty (60) calendar days, or an order for relief is entered in any such proceeding; or</w:t>
      </w:r>
    </w:p>
    <w:p>
      <w:pPr>
        <w:spacing w:after="0" w:line="182" w:lineRule="exact"/>
        <w:rPr>
          <w:rFonts w:ascii="Arial" w:cs="Arial" w:eastAsia="Arial" w:hAnsi="Arial"/>
          <w:sz w:val="19"/>
          <w:szCs w:val="19"/>
          <w:color w:val="auto"/>
        </w:rPr>
      </w:pPr>
    </w:p>
    <w:p>
      <w:pPr>
        <w:ind w:left="1720" w:hanging="415"/>
        <w:spacing w:after="0"/>
        <w:tabs>
          <w:tab w:leader="none" w:pos="1720" w:val="left"/>
        </w:tabs>
        <w:numPr>
          <w:ilvl w:val="0"/>
          <w:numId w:val="246"/>
        </w:numPr>
        <w:rPr>
          <w:rFonts w:ascii="Arial" w:cs="Arial" w:eastAsia="Arial" w:hAnsi="Arial"/>
          <w:sz w:val="18"/>
          <w:szCs w:val="18"/>
          <w:color w:val="auto"/>
        </w:rPr>
      </w:pPr>
      <w:r>
        <w:rPr>
          <w:rFonts w:ascii="Arial" w:cs="Arial" w:eastAsia="Arial" w:hAnsi="Arial"/>
          <w:sz w:val="18"/>
          <w:szCs w:val="18"/>
          <w:u w:val="single" w:color="auto"/>
          <w:color w:val="auto"/>
        </w:rPr>
        <w:t>Inability to Pay Debts; Attachment</w:t>
      </w:r>
      <w:r>
        <w:rPr>
          <w:rFonts w:ascii="Arial" w:cs="Arial" w:eastAsia="Arial" w:hAnsi="Arial"/>
          <w:sz w:val="18"/>
          <w:szCs w:val="18"/>
          <w:color w:val="auto"/>
        </w:rPr>
        <w:t>. (i) Any member of the Consolidated Group becomes unable or admits in writing its</w:t>
      </w:r>
    </w:p>
    <w:p>
      <w:pPr>
        <w:spacing w:after="0" w:line="76" w:lineRule="exact"/>
        <w:rPr>
          <w:rFonts w:ascii="Arial" w:cs="Arial" w:eastAsia="Arial" w:hAnsi="Arial"/>
          <w:sz w:val="18"/>
          <w:szCs w:val="18"/>
          <w:color w:val="auto"/>
        </w:rPr>
      </w:pPr>
    </w:p>
    <w:p>
      <w:pPr>
        <w:jc w:val="both"/>
        <w:ind w:left="660" w:right="40"/>
        <w:spacing w:after="0" w:line="292" w:lineRule="auto"/>
        <w:rPr>
          <w:rFonts w:ascii="Arial" w:cs="Arial" w:eastAsia="Arial" w:hAnsi="Arial"/>
          <w:sz w:val="18"/>
          <w:szCs w:val="18"/>
          <w:color w:val="auto"/>
        </w:rPr>
      </w:pPr>
      <w:r>
        <w:rPr>
          <w:rFonts w:ascii="Arial" w:cs="Arial" w:eastAsia="Arial" w:hAnsi="Arial"/>
          <w:sz w:val="20"/>
          <w:szCs w:val="20"/>
          <w:color w:val="auto"/>
        </w:rPr>
        <w:t>inability or fails generally to pay its debts as they become due, or (ii) any writ or warrant of attachment or execution or similar process is issued or levied against all or any material part of the property of any such Person and is not released, vacated or fully bonded within forty-five (45) days after its issue or levy; or</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169</w:t>
      </w:r>
    </w:p>
    <w:p>
      <w:pPr>
        <w:spacing w:after="0" w:line="10" w:lineRule="exact"/>
        <w:rPr>
          <w:sz w:val="20"/>
          <w:szCs w:val="20"/>
          <w:color w:val="auto"/>
        </w:rPr>
      </w:pPr>
    </w:p>
    <w:p>
      <w:pPr>
        <w:spacing w:after="0"/>
        <w:rPr>
          <w:sz w:val="20"/>
          <w:szCs w:val="20"/>
          <w:color w:val="auto"/>
        </w:rPr>
      </w:pPr>
      <w:r>
        <w:rPr>
          <w:rFonts w:ascii="Arial" w:cs="Arial" w:eastAsia="Arial" w:hAnsi="Arial"/>
          <w:sz w:val="14"/>
          <w:szCs w:val="14"/>
          <w:color w:val="auto"/>
        </w:rPr>
        <w:t>CHAR1\1346423v</w:t>
      </w:r>
      <w:r>
        <w:rPr>
          <w:rFonts w:ascii="Arial" w:cs="Arial" w:eastAsia="Arial" w:hAnsi="Arial"/>
          <w:sz w:val="14"/>
          <w:szCs w:val="14"/>
          <w:color w:val="FF0000"/>
          <w:strike w:val="1"/>
        </w:rPr>
        <w:t>1</w:t>
      </w:r>
      <w:r>
        <w:rPr>
          <w:rFonts w:ascii="Arial" w:cs="Arial" w:eastAsia="Arial" w:hAnsi="Arial"/>
          <w:sz w:val="14"/>
          <w:szCs w:val="14"/>
          <w:u w:val="single" w:color="auto"/>
          <w:color w:val="0000FF"/>
        </w:rPr>
        <w:t>12</w:t>
      </w:r>
    </w:p>
    <w:p>
      <w:pPr>
        <w:sectPr>
          <w:pgSz w:w="11900" w:h="16838" w:orient="portrait"/>
          <w:cols w:equalWidth="0" w:num="1">
            <w:col w:w="11400"/>
          </w:cols>
          <w:pgMar w:left="240" w:top="609" w:right="259" w:bottom="1440" w:gutter="0" w:footer="0" w:header="0"/>
        </w:sectPr>
      </w:pPr>
    </w:p>
    <w:bookmarkStart w:id="221" w:name="page222"/>
    <w:bookmarkEnd w:id="221"/>
    <w:p>
      <w:pPr>
        <w:ind w:left="1720" w:hanging="415"/>
        <w:spacing w:after="0"/>
        <w:tabs>
          <w:tab w:leader="none" w:pos="1720" w:val="left"/>
        </w:tabs>
        <w:numPr>
          <w:ilvl w:val="1"/>
          <w:numId w:val="247"/>
        </w:numPr>
        <w:rPr>
          <w:rFonts w:ascii="Arial" w:cs="Arial" w:eastAsia="Arial" w:hAnsi="Arial"/>
          <w:sz w:val="18"/>
          <w:szCs w:val="18"/>
          <w:color w:val="auto"/>
        </w:rPr>
      </w:pPr>
      <w:r>
        <w:rPr>
          <w:rFonts w:ascii="Arial" w:cs="Arial" w:eastAsia="Arial" w:hAnsi="Arial"/>
          <w:sz w:val="18"/>
          <w:szCs w:val="18"/>
          <w:u w:val="single" w:color="auto"/>
          <w:color w:val="auto"/>
        </w:rPr>
        <w:t>Judgments</w:t>
      </w:r>
      <w:r>
        <w:rPr>
          <w:rFonts w:ascii="Arial" w:cs="Arial" w:eastAsia="Arial" w:hAnsi="Arial"/>
          <w:sz w:val="18"/>
          <w:szCs w:val="18"/>
          <w:color w:val="auto"/>
        </w:rPr>
        <w:t>. There is entered against any member of the Consolidated Group (i) a final judgment or order for the payment</w:t>
      </w:r>
    </w:p>
    <w:p>
      <w:pPr>
        <w:spacing w:after="0" w:line="76" w:lineRule="exact"/>
        <w:rPr>
          <w:rFonts w:ascii="Arial" w:cs="Arial" w:eastAsia="Arial" w:hAnsi="Arial"/>
          <w:sz w:val="18"/>
          <w:szCs w:val="18"/>
          <w:color w:val="auto"/>
        </w:rPr>
      </w:pPr>
    </w:p>
    <w:p>
      <w:pPr>
        <w:ind w:left="660"/>
        <w:spacing w:after="0" w:line="265" w:lineRule="exact"/>
        <w:rPr>
          <w:rFonts w:ascii="Arial" w:cs="Arial" w:eastAsia="Arial" w:hAnsi="Arial"/>
          <w:sz w:val="18"/>
          <w:szCs w:val="18"/>
          <w:color w:val="auto"/>
        </w:rPr>
      </w:pPr>
      <w:r>
        <w:rPr>
          <w:rFonts w:ascii="Arial" w:cs="Arial" w:eastAsia="Arial" w:hAnsi="Arial"/>
          <w:sz w:val="16"/>
          <w:szCs w:val="16"/>
          <w:color w:val="auto"/>
        </w:rPr>
        <w:t>of money in an aggregate amount (as to all such judgments or orders) exceeding $</w:t>
      </w:r>
      <w:r>
        <w:rPr>
          <w:rFonts w:ascii="Arial" w:cs="Arial" w:eastAsia="Arial" w:hAnsi="Arial"/>
          <w:sz w:val="16"/>
          <w:szCs w:val="16"/>
          <w:color w:val="FF0000"/>
          <w:strike w:val="1"/>
        </w:rPr>
        <w:t>25</w:t>
      </w:r>
      <w:r>
        <w:rPr>
          <w:rFonts w:ascii="Arial" w:cs="Arial" w:eastAsia="Arial" w:hAnsi="Arial"/>
          <w:sz w:val="16"/>
          <w:szCs w:val="16"/>
          <w:u w:val="single" w:color="auto"/>
          <w:color w:val="0000FF"/>
        </w:rPr>
        <w:t>50</w:t>
      </w:r>
      <w:r>
        <w:rPr>
          <w:rFonts w:ascii="Arial" w:cs="Arial" w:eastAsia="Arial" w:hAnsi="Arial"/>
          <w:sz w:val="16"/>
          <w:szCs w:val="16"/>
          <w:color w:val="auto"/>
        </w:rPr>
        <w:t xml:space="preserve"> million (to the extent not covered by independent third</w:t>
      </w:r>
      <w:r>
        <w:rPr>
          <w:rFonts w:ascii="MS PGothic" w:cs="MS PGothic" w:eastAsia="MS PGothic" w:hAnsi="MS PGothic"/>
          <w:sz w:val="16"/>
          <w:szCs w:val="16"/>
          <w:color w:val="auto"/>
        </w:rPr>
        <w:t>‑</w:t>
      </w:r>
      <w:r>
        <w:rPr>
          <w:rFonts w:ascii="Arial" w:cs="Arial" w:eastAsia="Arial" w:hAnsi="Arial"/>
          <w:sz w:val="16"/>
          <w:szCs w:val="16"/>
          <w:color w:val="auto"/>
        </w:rPr>
        <w:t>party insurance as to which the insurer does not dispute coverage), or (ii) any one or more non</w:t>
      </w:r>
      <w:r>
        <w:rPr>
          <w:rFonts w:ascii="MS PGothic" w:cs="MS PGothic" w:eastAsia="MS PGothic" w:hAnsi="MS PGothic"/>
          <w:sz w:val="16"/>
          <w:szCs w:val="16"/>
          <w:color w:val="auto"/>
        </w:rPr>
        <w:t>‑</w:t>
      </w:r>
      <w:r>
        <w:rPr>
          <w:rFonts w:ascii="Arial" w:cs="Arial" w:eastAsia="Arial" w:hAnsi="Arial"/>
          <w:sz w:val="16"/>
          <w:szCs w:val="16"/>
          <w:color w:val="auto"/>
        </w:rPr>
        <w:t>monetary final judgments that have, or would reasonably be expected to have, individually or in the aggregate, a Material Adverse Effect and, in either case, (A) enforcement proceedings are commenced by any creditor upon such judgment or order, or (B) there is a period of forty-five</w:t>
      </w:r>
    </w:p>
    <w:p>
      <w:pPr>
        <w:spacing w:after="0" w:line="22" w:lineRule="exact"/>
        <w:rPr>
          <w:rFonts w:ascii="Arial" w:cs="Arial" w:eastAsia="Arial" w:hAnsi="Arial"/>
          <w:sz w:val="18"/>
          <w:szCs w:val="18"/>
          <w:color w:val="auto"/>
        </w:rPr>
      </w:pPr>
    </w:p>
    <w:p>
      <w:pPr>
        <w:ind w:left="660" w:right="160" w:hanging="4"/>
        <w:spacing w:after="0" w:line="303" w:lineRule="auto"/>
        <w:tabs>
          <w:tab w:leader="none" w:pos="1039" w:val="left"/>
        </w:tabs>
        <w:numPr>
          <w:ilvl w:val="0"/>
          <w:numId w:val="248"/>
        </w:numPr>
        <w:rPr>
          <w:rFonts w:ascii="Arial" w:cs="Arial" w:eastAsia="Arial" w:hAnsi="Arial"/>
          <w:sz w:val="20"/>
          <w:szCs w:val="20"/>
          <w:color w:val="auto"/>
        </w:rPr>
      </w:pPr>
      <w:r>
        <w:rPr>
          <w:rFonts w:ascii="Arial" w:cs="Arial" w:eastAsia="Arial" w:hAnsi="Arial"/>
          <w:sz w:val="20"/>
          <w:szCs w:val="20"/>
          <w:color w:val="auto"/>
        </w:rPr>
        <w:t>consecutive days during which a stay of enforcement of such judgment (if not otherwise satisfied or discharged before the end of such period), by reason of a pending appeal or otherwise, is not in effect; or</w:t>
      </w:r>
    </w:p>
    <w:p>
      <w:pPr>
        <w:spacing w:after="0" w:line="175" w:lineRule="exact"/>
        <w:rPr>
          <w:rFonts w:ascii="Arial" w:cs="Arial" w:eastAsia="Arial" w:hAnsi="Arial"/>
          <w:sz w:val="20"/>
          <w:szCs w:val="20"/>
          <w:color w:val="auto"/>
        </w:rPr>
      </w:pPr>
    </w:p>
    <w:p>
      <w:pPr>
        <w:ind w:left="1680" w:hanging="375"/>
        <w:spacing w:after="0"/>
        <w:tabs>
          <w:tab w:leader="none" w:pos="1680" w:val="left"/>
        </w:tabs>
        <w:numPr>
          <w:ilvl w:val="1"/>
          <w:numId w:val="248"/>
        </w:numPr>
        <w:rPr>
          <w:rFonts w:ascii="Arial" w:cs="Arial" w:eastAsia="Arial" w:hAnsi="Arial"/>
          <w:sz w:val="19"/>
          <w:szCs w:val="19"/>
          <w:color w:val="auto"/>
        </w:rPr>
      </w:pPr>
      <w:r>
        <w:rPr>
          <w:rFonts w:ascii="Arial" w:cs="Arial" w:eastAsia="Arial" w:hAnsi="Arial"/>
          <w:sz w:val="19"/>
          <w:szCs w:val="19"/>
          <w:u w:val="single" w:color="auto"/>
          <w:color w:val="auto"/>
        </w:rPr>
        <w:t>ERISA</w:t>
      </w:r>
      <w:r>
        <w:rPr>
          <w:rFonts w:ascii="Arial" w:cs="Arial" w:eastAsia="Arial" w:hAnsi="Arial"/>
          <w:sz w:val="19"/>
          <w:szCs w:val="19"/>
          <w:color w:val="auto"/>
        </w:rPr>
        <w:t>. (i) An ERISA Event occurs with respect to a Pension Plan or Multiemployer Plan that has resulted or would</w:t>
      </w:r>
    </w:p>
    <w:p>
      <w:pPr>
        <w:spacing w:after="0" w:line="65" w:lineRule="exact"/>
        <w:rPr>
          <w:rFonts w:ascii="Arial" w:cs="Arial" w:eastAsia="Arial" w:hAnsi="Arial"/>
          <w:sz w:val="19"/>
          <w:szCs w:val="19"/>
          <w:color w:val="auto"/>
        </w:rPr>
      </w:pPr>
    </w:p>
    <w:p>
      <w:pPr>
        <w:ind w:left="660" w:right="200"/>
        <w:spacing w:after="0" w:line="308" w:lineRule="auto"/>
        <w:rPr>
          <w:rFonts w:ascii="Arial" w:cs="Arial" w:eastAsia="Arial" w:hAnsi="Arial"/>
          <w:sz w:val="19"/>
          <w:szCs w:val="19"/>
          <w:color w:val="auto"/>
        </w:rPr>
      </w:pPr>
      <w:r>
        <w:rPr>
          <w:rFonts w:ascii="Arial" w:cs="Arial" w:eastAsia="Arial" w:hAnsi="Arial"/>
          <w:sz w:val="19"/>
          <w:szCs w:val="19"/>
          <w:color w:val="auto"/>
        </w:rPr>
        <w:t>reasonably be expected to result in liability of a Credit Party under Title IV of ERISA to the Pension Plan, Multiemployer Plan or the PBGC in an aggregate amount in excess of $25 million, or (ii) a Credit Party or any ERISA Affiliate fails to pay when due, after the expiration of any applicable grace period, any installment payment with respect to its withdrawal liability under Section 4201 of ERISA under a Multiemployer Plan in an aggregate amount in excess of $25 million; or</w:t>
      </w:r>
    </w:p>
    <w:p>
      <w:pPr>
        <w:spacing w:after="0" w:line="175" w:lineRule="exact"/>
        <w:rPr>
          <w:sz w:val="20"/>
          <w:szCs w:val="20"/>
          <w:color w:val="auto"/>
        </w:rPr>
      </w:pPr>
    </w:p>
    <w:p>
      <w:pPr>
        <w:ind w:left="1680" w:hanging="375"/>
        <w:spacing w:after="0"/>
        <w:tabs>
          <w:tab w:leader="none" w:pos="1680" w:val="left"/>
        </w:tabs>
        <w:numPr>
          <w:ilvl w:val="0"/>
          <w:numId w:val="249"/>
        </w:numPr>
        <w:rPr>
          <w:rFonts w:ascii="Arial" w:cs="Arial" w:eastAsia="Arial" w:hAnsi="Arial"/>
          <w:sz w:val="18"/>
          <w:szCs w:val="18"/>
          <w:color w:val="auto"/>
        </w:rPr>
      </w:pPr>
      <w:r>
        <w:rPr>
          <w:rFonts w:ascii="Arial" w:cs="Arial" w:eastAsia="Arial" w:hAnsi="Arial"/>
          <w:sz w:val="18"/>
          <w:szCs w:val="18"/>
          <w:u w:val="single" w:color="auto"/>
          <w:color w:val="auto"/>
        </w:rPr>
        <w:t>Invalidity of Credit Documents</w:t>
      </w:r>
      <w:r>
        <w:rPr>
          <w:rFonts w:ascii="Arial" w:cs="Arial" w:eastAsia="Arial" w:hAnsi="Arial"/>
          <w:sz w:val="18"/>
          <w:szCs w:val="18"/>
          <w:color w:val="auto"/>
        </w:rPr>
        <w:t>. Any Credit Document, at any time after its execution and delivery and for any reason</w:t>
      </w:r>
    </w:p>
    <w:p>
      <w:pPr>
        <w:spacing w:after="0" w:line="76" w:lineRule="exact"/>
        <w:rPr>
          <w:rFonts w:ascii="Arial" w:cs="Arial" w:eastAsia="Arial" w:hAnsi="Arial"/>
          <w:sz w:val="18"/>
          <w:szCs w:val="18"/>
          <w:color w:val="auto"/>
        </w:rPr>
      </w:pPr>
    </w:p>
    <w:p>
      <w:pPr>
        <w:ind w:left="660" w:right="200"/>
        <w:spacing w:after="0" w:line="338" w:lineRule="auto"/>
        <w:rPr>
          <w:rFonts w:ascii="Arial" w:cs="Arial" w:eastAsia="Arial" w:hAnsi="Arial"/>
          <w:sz w:val="18"/>
          <w:szCs w:val="18"/>
          <w:color w:val="auto"/>
        </w:rPr>
      </w:pPr>
      <w:r>
        <w:rPr>
          <w:rFonts w:ascii="Arial" w:cs="Arial" w:eastAsia="Arial" w:hAnsi="Arial"/>
          <w:sz w:val="18"/>
          <w:szCs w:val="18"/>
          <w:color w:val="auto"/>
        </w:rPr>
        <w:t>other than as expressly permitted hereunder or satisfaction in full of all the Loan Obligations, ceases to be in full force and effect; or any Credit Party contests in any manner the validity or enforceability of any Credit Document; or any Credit Party denies that it has any or further liability or obligation under any Credit Document, or purports to revoke, terminate or rescind any Credit Document; or</w:t>
      </w:r>
    </w:p>
    <w:p>
      <w:pPr>
        <w:spacing w:after="0" w:line="151" w:lineRule="exact"/>
        <w:rPr>
          <w:rFonts w:ascii="Arial" w:cs="Arial" w:eastAsia="Arial" w:hAnsi="Arial"/>
          <w:sz w:val="18"/>
          <w:szCs w:val="18"/>
          <w:color w:val="auto"/>
        </w:rPr>
      </w:pPr>
    </w:p>
    <w:p>
      <w:pPr>
        <w:ind w:left="1720" w:hanging="415"/>
        <w:spacing w:after="0"/>
        <w:tabs>
          <w:tab w:leader="none" w:pos="1720" w:val="left"/>
        </w:tabs>
        <w:numPr>
          <w:ilvl w:val="0"/>
          <w:numId w:val="249"/>
        </w:numPr>
        <w:rPr>
          <w:rFonts w:ascii="Arial" w:cs="Arial" w:eastAsia="Arial" w:hAnsi="Arial"/>
          <w:sz w:val="20"/>
          <w:szCs w:val="20"/>
          <w:color w:val="auto"/>
        </w:rPr>
      </w:pPr>
      <w:r>
        <w:rPr>
          <w:rFonts w:ascii="Arial" w:cs="Arial" w:eastAsia="Arial" w:hAnsi="Arial"/>
          <w:sz w:val="20"/>
          <w:szCs w:val="20"/>
          <w:u w:val="single" w:color="auto"/>
          <w:color w:val="auto"/>
        </w:rPr>
        <w:t>Change of Control</w:t>
      </w:r>
      <w:r>
        <w:rPr>
          <w:rFonts w:ascii="Arial" w:cs="Arial" w:eastAsia="Arial" w:hAnsi="Arial"/>
          <w:sz w:val="20"/>
          <w:szCs w:val="20"/>
          <w:color w:val="auto"/>
        </w:rPr>
        <w:t>. There occurs any Change of Control.</w:t>
      </w:r>
    </w:p>
    <w:p>
      <w:pPr>
        <w:spacing w:after="0" w:line="270" w:lineRule="exact"/>
        <w:rPr>
          <w:sz w:val="20"/>
          <w:szCs w:val="20"/>
          <w:color w:val="auto"/>
        </w:rPr>
      </w:pPr>
    </w:p>
    <w:p>
      <w:pPr>
        <w:ind w:right="600" w:firstLine="648"/>
        <w:spacing w:after="0" w:line="317" w:lineRule="auto"/>
        <w:rPr>
          <w:sz w:val="20"/>
          <w:szCs w:val="20"/>
          <w:color w:val="auto"/>
        </w:rPr>
      </w:pPr>
      <w:r>
        <w:rPr>
          <w:rFonts w:ascii="Arial" w:cs="Arial" w:eastAsia="Arial" w:hAnsi="Arial"/>
          <w:sz w:val="20"/>
          <w:szCs w:val="20"/>
          <w:color w:val="auto"/>
        </w:rPr>
        <w:t xml:space="preserve">9.02 </w:t>
      </w:r>
      <w:r>
        <w:rPr>
          <w:rFonts w:ascii="Arial" w:cs="Arial" w:eastAsia="Arial" w:hAnsi="Arial"/>
          <w:sz w:val="20"/>
          <w:szCs w:val="20"/>
          <w:u w:val="single" w:color="auto"/>
          <w:color w:val="auto"/>
        </w:rPr>
        <w:t>Remedies Upon Event of Default</w:t>
      </w:r>
      <w:r>
        <w:rPr>
          <w:rFonts w:ascii="Arial" w:cs="Arial" w:eastAsia="Arial" w:hAnsi="Arial"/>
          <w:sz w:val="20"/>
          <w:szCs w:val="20"/>
          <w:color w:val="auto"/>
        </w:rPr>
        <w:t>. If any Event of Default occurs and is continuing, the Administrative Agent shall, at the request of, or may, with the consent of, the Required Lenders, take any or all of the following actions:</w:t>
      </w:r>
    </w:p>
    <w:p>
      <w:pPr>
        <w:spacing w:after="0" w:line="162" w:lineRule="exact"/>
        <w:rPr>
          <w:sz w:val="20"/>
          <w:szCs w:val="20"/>
          <w:color w:val="auto"/>
        </w:rPr>
      </w:pPr>
    </w:p>
    <w:p>
      <w:pPr>
        <w:ind w:left="660" w:right="780" w:firstLine="645"/>
        <w:spacing w:after="0" w:line="317" w:lineRule="auto"/>
        <w:tabs>
          <w:tab w:leader="none" w:pos="1708" w:val="left"/>
        </w:tabs>
        <w:numPr>
          <w:ilvl w:val="0"/>
          <w:numId w:val="250"/>
        </w:numPr>
        <w:rPr>
          <w:rFonts w:ascii="Arial" w:cs="Arial" w:eastAsia="Arial" w:hAnsi="Arial"/>
          <w:sz w:val="20"/>
          <w:szCs w:val="20"/>
          <w:color w:val="auto"/>
        </w:rPr>
      </w:pPr>
      <w:r>
        <w:rPr>
          <w:rFonts w:ascii="Arial" w:cs="Arial" w:eastAsia="Arial" w:hAnsi="Arial"/>
          <w:sz w:val="20"/>
          <w:szCs w:val="20"/>
          <w:color w:val="auto"/>
        </w:rPr>
        <w:t>declare the commitments of the Lenders to make Loans and the obligation of the L/C Issuers to make L/C Credit Extensions to be terminated, whereupon such commitments and obligation shall be terminated;</w:t>
      </w:r>
    </w:p>
    <w:p>
      <w:pPr>
        <w:spacing w:after="0" w:line="162" w:lineRule="exact"/>
        <w:rPr>
          <w:rFonts w:ascii="Arial" w:cs="Arial" w:eastAsia="Arial" w:hAnsi="Arial"/>
          <w:sz w:val="20"/>
          <w:szCs w:val="20"/>
          <w:color w:val="auto"/>
        </w:rPr>
      </w:pPr>
    </w:p>
    <w:p>
      <w:pPr>
        <w:ind w:left="1720" w:hanging="415"/>
        <w:spacing w:after="0"/>
        <w:tabs>
          <w:tab w:leader="none" w:pos="1720" w:val="left"/>
        </w:tabs>
        <w:numPr>
          <w:ilvl w:val="0"/>
          <w:numId w:val="250"/>
        </w:numPr>
        <w:rPr>
          <w:rFonts w:ascii="Arial" w:cs="Arial" w:eastAsia="Arial" w:hAnsi="Arial"/>
          <w:sz w:val="19"/>
          <w:szCs w:val="19"/>
          <w:color w:val="auto"/>
        </w:rPr>
      </w:pPr>
      <w:r>
        <w:rPr>
          <w:rFonts w:ascii="Arial" w:cs="Arial" w:eastAsia="Arial" w:hAnsi="Arial"/>
          <w:sz w:val="19"/>
          <w:szCs w:val="19"/>
          <w:color w:val="auto"/>
        </w:rPr>
        <w:t>declare the unpaid principal amount of all outstanding Loans, all interest accrued and unpaid thereon, and all other</w:t>
      </w:r>
    </w:p>
    <w:p>
      <w:pPr>
        <w:spacing w:after="0" w:line="65" w:lineRule="exact"/>
        <w:rPr>
          <w:rFonts w:ascii="Arial" w:cs="Arial" w:eastAsia="Arial" w:hAnsi="Arial"/>
          <w:sz w:val="19"/>
          <w:szCs w:val="19"/>
          <w:color w:val="auto"/>
        </w:rPr>
      </w:pPr>
    </w:p>
    <w:p>
      <w:pPr>
        <w:ind w:left="660" w:right="300"/>
        <w:spacing w:after="0" w:line="331" w:lineRule="auto"/>
        <w:rPr>
          <w:rFonts w:ascii="Arial" w:cs="Arial" w:eastAsia="Arial" w:hAnsi="Arial"/>
          <w:sz w:val="19"/>
          <w:szCs w:val="19"/>
          <w:color w:val="auto"/>
        </w:rPr>
      </w:pPr>
      <w:r>
        <w:rPr>
          <w:rFonts w:ascii="Arial" w:cs="Arial" w:eastAsia="Arial" w:hAnsi="Arial"/>
          <w:sz w:val="19"/>
          <w:szCs w:val="19"/>
          <w:color w:val="auto"/>
        </w:rPr>
        <w:t>amounts owing or payable hereunder or under any other Credit Document to be immediately due and payable, without presentment, demand, protest or other notice of any kind, all of which are hereby expressly waived by the Borrowers;</w:t>
      </w:r>
    </w:p>
    <w:p>
      <w:pPr>
        <w:spacing w:after="0" w:line="153" w:lineRule="exact"/>
        <w:rPr>
          <w:rFonts w:ascii="Arial" w:cs="Arial" w:eastAsia="Arial" w:hAnsi="Arial"/>
          <w:sz w:val="19"/>
          <w:szCs w:val="19"/>
          <w:color w:val="auto"/>
        </w:rPr>
      </w:pPr>
    </w:p>
    <w:p>
      <w:pPr>
        <w:ind w:left="660" w:right="340" w:firstLine="645"/>
        <w:spacing w:after="0" w:line="317" w:lineRule="auto"/>
        <w:tabs>
          <w:tab w:leader="none" w:pos="1708" w:val="left"/>
        </w:tabs>
        <w:numPr>
          <w:ilvl w:val="0"/>
          <w:numId w:val="250"/>
        </w:numPr>
        <w:rPr>
          <w:rFonts w:ascii="Arial" w:cs="Arial" w:eastAsia="Arial" w:hAnsi="Arial"/>
          <w:sz w:val="20"/>
          <w:szCs w:val="20"/>
          <w:color w:val="auto"/>
        </w:rPr>
      </w:pPr>
      <w:r>
        <w:rPr>
          <w:rFonts w:ascii="Arial" w:cs="Arial" w:eastAsia="Arial" w:hAnsi="Arial"/>
          <w:sz w:val="20"/>
          <w:szCs w:val="20"/>
          <w:color w:val="auto"/>
        </w:rPr>
        <w:t>require that the Borrowers Cash Collateralize their respective L/C Obligations (in each case, in an amount equal to the then Outstanding Amount thereof); and</w:t>
      </w:r>
    </w:p>
    <w:p>
      <w:pPr>
        <w:spacing w:after="0" w:line="378"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170</w:t>
      </w:r>
    </w:p>
    <w:p>
      <w:pPr>
        <w:spacing w:after="0" w:line="10" w:lineRule="exact"/>
        <w:rPr>
          <w:sz w:val="20"/>
          <w:szCs w:val="20"/>
          <w:color w:val="auto"/>
        </w:rPr>
      </w:pPr>
    </w:p>
    <w:p>
      <w:pPr>
        <w:spacing w:after="0"/>
        <w:rPr>
          <w:sz w:val="20"/>
          <w:szCs w:val="20"/>
          <w:color w:val="auto"/>
        </w:rPr>
      </w:pPr>
      <w:r>
        <w:rPr>
          <w:rFonts w:ascii="Arial" w:cs="Arial" w:eastAsia="Arial" w:hAnsi="Arial"/>
          <w:sz w:val="14"/>
          <w:szCs w:val="14"/>
          <w:color w:val="auto"/>
        </w:rPr>
        <w:t>CHAR1\1346423v</w:t>
      </w:r>
      <w:r>
        <w:rPr>
          <w:rFonts w:ascii="Arial" w:cs="Arial" w:eastAsia="Arial" w:hAnsi="Arial"/>
          <w:sz w:val="14"/>
          <w:szCs w:val="14"/>
          <w:color w:val="FF0000"/>
          <w:strike w:val="1"/>
        </w:rPr>
        <w:t>1</w:t>
      </w:r>
      <w:r>
        <w:rPr>
          <w:rFonts w:ascii="Arial" w:cs="Arial" w:eastAsia="Arial" w:hAnsi="Arial"/>
          <w:sz w:val="14"/>
          <w:szCs w:val="14"/>
          <w:u w:val="single" w:color="auto"/>
          <w:color w:val="0000FF"/>
        </w:rPr>
        <w:t>12</w:t>
      </w:r>
    </w:p>
    <w:p>
      <w:pPr>
        <w:sectPr>
          <w:pgSz w:w="11900" w:h="16838" w:orient="portrait"/>
          <w:cols w:equalWidth="0" w:num="1">
            <w:col w:w="11400"/>
          </w:cols>
          <w:pgMar w:left="240" w:top="609" w:right="259" w:bottom="1440" w:gutter="0" w:footer="0" w:header="0"/>
        </w:sectPr>
      </w:pPr>
    </w:p>
    <w:bookmarkStart w:id="222" w:name="page223"/>
    <w:bookmarkEnd w:id="222"/>
    <w:p>
      <w:pPr>
        <w:ind w:left="660" w:right="580" w:firstLine="645"/>
        <w:spacing w:after="0" w:line="317" w:lineRule="auto"/>
        <w:tabs>
          <w:tab w:leader="none" w:pos="1719" w:val="left"/>
        </w:tabs>
        <w:numPr>
          <w:ilvl w:val="0"/>
          <w:numId w:val="251"/>
        </w:numPr>
        <w:rPr>
          <w:rFonts w:ascii="Arial" w:cs="Arial" w:eastAsia="Arial" w:hAnsi="Arial"/>
          <w:sz w:val="20"/>
          <w:szCs w:val="20"/>
          <w:color w:val="auto"/>
        </w:rPr>
      </w:pPr>
      <w:r>
        <w:rPr>
          <w:rFonts w:ascii="Arial" w:cs="Arial" w:eastAsia="Arial" w:hAnsi="Arial"/>
          <w:sz w:val="20"/>
          <w:szCs w:val="20"/>
          <w:color w:val="auto"/>
        </w:rPr>
        <w:t>exercise on behalf of itself and the Lenders all rights and remedies available to it or to the Lenders under the Credit Documents or applicable Law;</w:t>
      </w:r>
    </w:p>
    <w:p>
      <w:pPr>
        <w:spacing w:after="0" w:line="135" w:lineRule="exact"/>
        <w:rPr>
          <w:sz w:val="20"/>
          <w:szCs w:val="20"/>
          <w:color w:val="auto"/>
        </w:rPr>
      </w:pPr>
    </w:p>
    <w:p>
      <w:pPr>
        <w:ind w:right="20"/>
        <w:spacing w:after="0" w:line="244" w:lineRule="auto"/>
        <w:rPr>
          <w:sz w:val="20"/>
          <w:szCs w:val="20"/>
          <w:color w:val="auto"/>
        </w:rPr>
      </w:pP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however, that upon the occurrence of an Event of Default under </w:t>
      </w:r>
      <w:r>
        <w:rPr>
          <w:rFonts w:ascii="Arial" w:cs="Arial" w:eastAsia="Arial" w:hAnsi="Arial"/>
          <w:sz w:val="20"/>
          <w:szCs w:val="20"/>
          <w:u w:val="single" w:color="auto"/>
          <w:color w:val="auto"/>
        </w:rPr>
        <w:t>Section 9.01(f)</w:t>
      </w:r>
      <w:r>
        <w:rPr>
          <w:rFonts w:ascii="Arial" w:cs="Arial" w:eastAsia="Arial" w:hAnsi="Arial"/>
          <w:sz w:val="20"/>
          <w:szCs w:val="20"/>
          <w:color w:val="auto"/>
        </w:rPr>
        <w:t>, the obligation of each Lender to make Loans and any obligation of each L/C Issuer to make L/C Credit Extensions shall automatically terminate, the unpaid principal amount of all outstanding Loans and all interest and other amounts as aforesaid shall automatically become due and payable, and the obligation of the Borrowers to Cash Collateralize the L/C Obligations as aforesaid shall automatically become effective, in each case without further act of the Administrative Agent or any Lender.</w:t>
      </w:r>
    </w:p>
    <w:p>
      <w:pPr>
        <w:spacing w:after="0" w:line="222" w:lineRule="exact"/>
        <w:rPr>
          <w:sz w:val="20"/>
          <w:szCs w:val="20"/>
          <w:color w:val="auto"/>
        </w:rPr>
      </w:pPr>
    </w:p>
    <w:p>
      <w:pPr>
        <w:jc w:val="both"/>
        <w:ind w:right="60" w:firstLine="648"/>
        <w:spacing w:after="0" w:line="346" w:lineRule="auto"/>
        <w:rPr>
          <w:sz w:val="20"/>
          <w:szCs w:val="20"/>
          <w:color w:val="auto"/>
        </w:rPr>
      </w:pPr>
      <w:r>
        <w:rPr>
          <w:rFonts w:ascii="Arial" w:cs="Arial" w:eastAsia="Arial" w:hAnsi="Arial"/>
          <w:sz w:val="18"/>
          <w:szCs w:val="18"/>
          <w:color w:val="auto"/>
        </w:rPr>
        <w:t xml:space="preserve">9.03 </w:t>
      </w:r>
      <w:r>
        <w:rPr>
          <w:rFonts w:ascii="Arial" w:cs="Arial" w:eastAsia="Arial" w:hAnsi="Arial"/>
          <w:sz w:val="18"/>
          <w:szCs w:val="18"/>
          <w:u w:val="single" w:color="auto"/>
          <w:color w:val="auto"/>
        </w:rPr>
        <w:t>Application of Funds</w:t>
      </w:r>
      <w:r>
        <w:rPr>
          <w:rFonts w:ascii="Arial" w:cs="Arial" w:eastAsia="Arial" w:hAnsi="Arial"/>
          <w:sz w:val="18"/>
          <w:szCs w:val="18"/>
          <w:color w:val="auto"/>
        </w:rPr>
        <w:t xml:space="preserve">. After the exercise of remedies provided for in </w:t>
      </w:r>
      <w:r>
        <w:rPr>
          <w:rFonts w:ascii="Arial" w:cs="Arial" w:eastAsia="Arial" w:hAnsi="Arial"/>
          <w:sz w:val="18"/>
          <w:szCs w:val="18"/>
          <w:u w:val="single" w:color="auto"/>
          <w:color w:val="auto"/>
        </w:rPr>
        <w:t>Section 9.02</w:t>
      </w:r>
      <w:r>
        <w:rPr>
          <w:rFonts w:ascii="Arial" w:cs="Arial" w:eastAsia="Arial" w:hAnsi="Arial"/>
          <w:sz w:val="18"/>
          <w:szCs w:val="18"/>
          <w:color w:val="auto"/>
        </w:rPr>
        <w:t xml:space="preserve"> (or after the Loans have automatically become immediately due and payable and the L/C Obligations have automatically been required to be Cash Collateralized as set forth in the proviso to </w:t>
      </w:r>
      <w:r>
        <w:rPr>
          <w:rFonts w:ascii="Arial" w:cs="Arial" w:eastAsia="Arial" w:hAnsi="Arial"/>
          <w:sz w:val="18"/>
          <w:szCs w:val="18"/>
          <w:u w:val="single" w:color="auto"/>
          <w:color w:val="auto"/>
        </w:rPr>
        <w:t>Section 9.02</w:t>
      </w:r>
      <w:r>
        <w:rPr>
          <w:rFonts w:ascii="Arial" w:cs="Arial" w:eastAsia="Arial" w:hAnsi="Arial"/>
          <w:sz w:val="18"/>
          <w:szCs w:val="18"/>
          <w:color w:val="auto"/>
        </w:rPr>
        <w:t>), any amounts received on account of the Obligations shall be applied by the Administrative Agent in the following order:</w:t>
      </w:r>
    </w:p>
    <w:p>
      <w:pPr>
        <w:spacing w:after="0" w:line="118" w:lineRule="exact"/>
        <w:rPr>
          <w:sz w:val="20"/>
          <w:szCs w:val="20"/>
          <w:color w:val="auto"/>
        </w:rPr>
      </w:pPr>
    </w:p>
    <w:p>
      <w:pPr>
        <w:ind w:left="660" w:right="140" w:firstLine="648"/>
        <w:spacing w:after="0" w:line="250" w:lineRule="auto"/>
        <w:rPr>
          <w:sz w:val="20"/>
          <w:szCs w:val="20"/>
          <w:color w:val="auto"/>
        </w:rPr>
      </w:pPr>
      <w:r>
        <w:rPr>
          <w:rFonts w:ascii="Arial" w:cs="Arial" w:eastAsia="Arial" w:hAnsi="Arial"/>
          <w:sz w:val="20"/>
          <w:szCs w:val="20"/>
          <w:u w:val="single" w:color="auto"/>
          <w:color w:val="auto"/>
        </w:rPr>
        <w:t>First</w:t>
      </w:r>
      <w:r>
        <w:rPr>
          <w:rFonts w:ascii="Arial" w:cs="Arial" w:eastAsia="Arial" w:hAnsi="Arial"/>
          <w:sz w:val="20"/>
          <w:szCs w:val="20"/>
          <w:color w:val="auto"/>
        </w:rPr>
        <w:t xml:space="preserve">, to payment of that portion of the Obligations constituting fees, indemnities, expenses and other amounts (including all reasonable fees, expenses and disbursements of any law firm or other counsel to the Administrative Agent and amounts payable under </w:t>
      </w:r>
      <w:r>
        <w:rPr>
          <w:rFonts w:ascii="Arial" w:cs="Arial" w:eastAsia="Arial" w:hAnsi="Arial"/>
          <w:sz w:val="20"/>
          <w:szCs w:val="20"/>
          <w:u w:val="single" w:color="auto"/>
          <w:color w:val="auto"/>
        </w:rPr>
        <w:t>Article III</w:t>
      </w:r>
      <w:r>
        <w:rPr>
          <w:rFonts w:ascii="Arial" w:cs="Arial" w:eastAsia="Arial" w:hAnsi="Arial"/>
          <w:sz w:val="20"/>
          <w:szCs w:val="20"/>
          <w:color w:val="auto"/>
        </w:rPr>
        <w:t>) payable to the Administrative Agent in its capacity as such;</w:t>
      </w:r>
    </w:p>
    <w:p>
      <w:pPr>
        <w:spacing w:after="0" w:line="186" w:lineRule="exact"/>
        <w:rPr>
          <w:sz w:val="20"/>
          <w:szCs w:val="20"/>
          <w:color w:val="auto"/>
        </w:rPr>
      </w:pPr>
    </w:p>
    <w:p>
      <w:pPr>
        <w:ind w:left="660" w:firstLine="648"/>
        <w:spacing w:after="0" w:line="282" w:lineRule="auto"/>
        <w:rPr>
          <w:sz w:val="20"/>
          <w:szCs w:val="20"/>
          <w:color w:val="auto"/>
        </w:rPr>
      </w:pPr>
      <w:r>
        <w:rPr>
          <w:rFonts w:ascii="Arial" w:cs="Arial" w:eastAsia="Arial" w:hAnsi="Arial"/>
          <w:sz w:val="18"/>
          <w:szCs w:val="18"/>
          <w:u w:val="single" w:color="auto"/>
          <w:color w:val="auto"/>
        </w:rPr>
        <w:t>Second</w:t>
      </w:r>
      <w:r>
        <w:rPr>
          <w:rFonts w:ascii="Arial" w:cs="Arial" w:eastAsia="Arial" w:hAnsi="Arial"/>
          <w:sz w:val="18"/>
          <w:szCs w:val="18"/>
          <w:color w:val="auto"/>
        </w:rPr>
        <w:t xml:space="preserve">, to payment of that portion of the Obligations constituting fees, indemnities and other amounts (other than principal and interest and Letter of Credit Fees) payable to the Lenders and the L/C Issuers (including all reasonable fees, expenses and disbursements of any law firm or other counsel to the respective Lenders and the respective L/C Issuers and amounts payable under </w:t>
      </w:r>
      <w:r>
        <w:rPr>
          <w:rFonts w:ascii="Arial" w:cs="Arial" w:eastAsia="Arial" w:hAnsi="Arial"/>
          <w:sz w:val="18"/>
          <w:szCs w:val="18"/>
          <w:u w:val="single" w:color="auto"/>
          <w:color w:val="auto"/>
        </w:rPr>
        <w:t>Article III</w:t>
      </w:r>
      <w:r>
        <w:rPr>
          <w:rFonts w:ascii="Arial" w:cs="Arial" w:eastAsia="Arial" w:hAnsi="Arial"/>
          <w:sz w:val="18"/>
          <w:szCs w:val="18"/>
          <w:color w:val="auto"/>
        </w:rPr>
        <w:t xml:space="preserve">), ratably among the Lenders in proportion to the amounts described in this clause </w:t>
      </w:r>
      <w:r>
        <w:rPr>
          <w:rFonts w:ascii="Arial" w:cs="Arial" w:eastAsia="Arial" w:hAnsi="Arial"/>
          <w:sz w:val="18"/>
          <w:szCs w:val="18"/>
          <w:u w:val="single" w:color="auto"/>
          <w:color w:val="auto"/>
        </w:rPr>
        <w:t>Second</w:t>
      </w:r>
      <w:r>
        <w:rPr>
          <w:rFonts w:ascii="Arial" w:cs="Arial" w:eastAsia="Arial" w:hAnsi="Arial"/>
          <w:sz w:val="18"/>
          <w:szCs w:val="18"/>
          <w:color w:val="auto"/>
        </w:rPr>
        <w:t xml:space="preserve"> payable to them;</w:t>
      </w:r>
    </w:p>
    <w:p>
      <w:pPr>
        <w:spacing w:after="0" w:line="162" w:lineRule="exact"/>
        <w:rPr>
          <w:sz w:val="20"/>
          <w:szCs w:val="20"/>
          <w:color w:val="auto"/>
        </w:rPr>
      </w:pPr>
    </w:p>
    <w:p>
      <w:pPr>
        <w:jc w:val="both"/>
        <w:ind w:left="660" w:right="240" w:firstLine="648"/>
        <w:spacing w:after="0" w:line="250" w:lineRule="auto"/>
        <w:rPr>
          <w:sz w:val="20"/>
          <w:szCs w:val="20"/>
          <w:color w:val="auto"/>
        </w:rPr>
      </w:pPr>
      <w:r>
        <w:rPr>
          <w:rFonts w:ascii="Arial" w:cs="Arial" w:eastAsia="Arial" w:hAnsi="Arial"/>
          <w:sz w:val="20"/>
          <w:szCs w:val="20"/>
          <w:u w:val="single" w:color="auto"/>
          <w:color w:val="auto"/>
        </w:rPr>
        <w:t>Third</w:t>
      </w:r>
      <w:r>
        <w:rPr>
          <w:rFonts w:ascii="Arial" w:cs="Arial" w:eastAsia="Arial" w:hAnsi="Arial"/>
          <w:sz w:val="20"/>
          <w:szCs w:val="20"/>
          <w:color w:val="auto"/>
        </w:rPr>
        <w:t xml:space="preserve">, to payment of that portion of the Obligations constituting accrued and unpaid Letter of Credit Fees and interest on the Loans, L/C Borrowings and other Obligations, ratably among the Lenders, the Swingline Lender and the L/C Issuers in proportion to the respective amounts described in this clause </w:t>
      </w:r>
      <w:r>
        <w:rPr>
          <w:rFonts w:ascii="Arial" w:cs="Arial" w:eastAsia="Arial" w:hAnsi="Arial"/>
          <w:sz w:val="20"/>
          <w:szCs w:val="20"/>
          <w:u w:val="single" w:color="auto"/>
          <w:color w:val="auto"/>
        </w:rPr>
        <w:t>Third</w:t>
      </w:r>
      <w:r>
        <w:rPr>
          <w:rFonts w:ascii="Arial" w:cs="Arial" w:eastAsia="Arial" w:hAnsi="Arial"/>
          <w:sz w:val="20"/>
          <w:szCs w:val="20"/>
          <w:color w:val="auto"/>
        </w:rPr>
        <w:t xml:space="preserve"> payable to them;</w:t>
      </w:r>
    </w:p>
    <w:p>
      <w:pPr>
        <w:spacing w:after="0" w:line="186" w:lineRule="exact"/>
        <w:rPr>
          <w:sz w:val="20"/>
          <w:szCs w:val="20"/>
          <w:color w:val="auto"/>
        </w:rPr>
      </w:pPr>
    </w:p>
    <w:p>
      <w:pPr>
        <w:ind w:left="660" w:right="20" w:firstLine="648"/>
        <w:spacing w:after="0" w:line="243" w:lineRule="auto"/>
        <w:rPr>
          <w:sz w:val="20"/>
          <w:szCs w:val="20"/>
          <w:color w:val="auto"/>
        </w:rPr>
      </w:pPr>
      <w:r>
        <w:rPr>
          <w:rFonts w:ascii="Arial" w:cs="Arial" w:eastAsia="Arial" w:hAnsi="Arial"/>
          <w:sz w:val="20"/>
          <w:szCs w:val="20"/>
          <w:u w:val="single" w:color="auto"/>
          <w:color w:val="auto"/>
        </w:rPr>
        <w:t>Fourth</w:t>
      </w:r>
      <w:r>
        <w:rPr>
          <w:rFonts w:ascii="Arial" w:cs="Arial" w:eastAsia="Arial" w:hAnsi="Arial"/>
          <w:sz w:val="20"/>
          <w:szCs w:val="20"/>
          <w:color w:val="auto"/>
        </w:rPr>
        <w:t xml:space="preserve">, to (a) payment of that portion of the Obligations constituting unpaid principal of the Loans and L/C Borrowings, (b) payment of breakage, termination or other amounts owing in respect of any Swap Contract between any Credit Party and any Lender, or any Affiliate of a Lender, to the extent such Swap Contract is permitted hereunder, (c) payments of amounts due under any Treasury Management Agreement between any Credit Party and any Lender, or any Affiliate of a Lender and (d) the Administrative Agent for the account of the applicable L/C Issuers, to Cash Collateralize that portion of the L/C Obligations comprised of the aggregate undrawn amount of Letters of Credit, ratably among such parties in proportion to the respective amounts described in this clause </w:t>
      </w:r>
      <w:r>
        <w:rPr>
          <w:rFonts w:ascii="Arial" w:cs="Arial" w:eastAsia="Arial" w:hAnsi="Arial"/>
          <w:sz w:val="20"/>
          <w:szCs w:val="20"/>
          <w:u w:val="single" w:color="auto"/>
          <w:color w:val="auto"/>
        </w:rPr>
        <w:t>Fourth</w:t>
      </w:r>
      <w:r>
        <w:rPr>
          <w:rFonts w:ascii="Arial" w:cs="Arial" w:eastAsia="Arial" w:hAnsi="Arial"/>
          <w:sz w:val="20"/>
          <w:szCs w:val="20"/>
          <w:color w:val="auto"/>
        </w:rPr>
        <w:t xml:space="preserve"> payable to them; and</w:t>
      </w:r>
    </w:p>
    <w:p>
      <w:pPr>
        <w:spacing w:after="0" w:line="193" w:lineRule="exact"/>
        <w:rPr>
          <w:sz w:val="20"/>
          <w:szCs w:val="20"/>
          <w:color w:val="auto"/>
        </w:rPr>
      </w:pPr>
    </w:p>
    <w:p>
      <w:pPr>
        <w:ind w:left="660" w:right="600" w:firstLine="648"/>
        <w:spacing w:after="0" w:line="260" w:lineRule="auto"/>
        <w:rPr>
          <w:sz w:val="20"/>
          <w:szCs w:val="20"/>
          <w:color w:val="auto"/>
        </w:rPr>
      </w:pPr>
      <w:r>
        <w:rPr>
          <w:rFonts w:ascii="Arial" w:cs="Arial" w:eastAsia="Arial" w:hAnsi="Arial"/>
          <w:sz w:val="20"/>
          <w:szCs w:val="20"/>
          <w:u w:val="single" w:color="auto"/>
          <w:color w:val="auto"/>
        </w:rPr>
        <w:t>Last</w:t>
      </w:r>
      <w:r>
        <w:rPr>
          <w:rFonts w:ascii="Arial" w:cs="Arial" w:eastAsia="Arial" w:hAnsi="Arial"/>
          <w:sz w:val="20"/>
          <w:szCs w:val="20"/>
          <w:color w:val="auto"/>
        </w:rPr>
        <w:t>, the balance, if any, after all of the Obligations have been indefeasibly paid in full, to the Borrowers or as otherwise required by Law.</w:t>
      </w:r>
    </w:p>
    <w:p>
      <w:pPr>
        <w:spacing w:after="0" w:line="177" w:lineRule="exact"/>
        <w:rPr>
          <w:sz w:val="20"/>
          <w:szCs w:val="20"/>
          <w:color w:val="auto"/>
        </w:rPr>
      </w:pPr>
    </w:p>
    <w:p>
      <w:pPr>
        <w:ind w:right="100"/>
        <w:spacing w:after="0" w:line="250" w:lineRule="auto"/>
        <w:rPr>
          <w:sz w:val="20"/>
          <w:szCs w:val="20"/>
          <w:color w:val="auto"/>
        </w:rPr>
      </w:pPr>
      <w:r>
        <w:rPr>
          <w:rFonts w:ascii="Arial" w:cs="Arial" w:eastAsia="Arial" w:hAnsi="Arial"/>
          <w:sz w:val="20"/>
          <w:szCs w:val="20"/>
          <w:color w:val="auto"/>
        </w:rPr>
        <w:t xml:space="preserve">Subject to </w:t>
      </w:r>
      <w:r>
        <w:rPr>
          <w:rFonts w:ascii="Arial" w:cs="Arial" w:eastAsia="Arial" w:hAnsi="Arial"/>
          <w:sz w:val="20"/>
          <w:szCs w:val="20"/>
          <w:u w:val="single" w:color="auto"/>
          <w:color w:val="auto"/>
        </w:rPr>
        <w:t>Section 2.03(c)</w:t>
      </w:r>
      <w:r>
        <w:rPr>
          <w:rFonts w:ascii="Arial" w:cs="Arial" w:eastAsia="Arial" w:hAnsi="Arial"/>
          <w:sz w:val="20"/>
          <w:szCs w:val="20"/>
          <w:color w:val="auto"/>
        </w:rPr>
        <w:t xml:space="preserve">, amounts used to Cash Collateralize the aggregate undrawn amount of Letters of Credit pursuant to clause </w:t>
      </w:r>
      <w:r>
        <w:rPr>
          <w:rFonts w:ascii="Arial" w:cs="Arial" w:eastAsia="Arial" w:hAnsi="Arial"/>
          <w:sz w:val="20"/>
          <w:szCs w:val="20"/>
          <w:u w:val="single" w:color="auto"/>
          <w:color w:val="auto"/>
        </w:rPr>
        <w:t>Fourth</w:t>
      </w:r>
      <w:r>
        <w:rPr>
          <w:rFonts w:ascii="Arial" w:cs="Arial" w:eastAsia="Arial" w:hAnsi="Arial"/>
          <w:sz w:val="20"/>
          <w:szCs w:val="20"/>
          <w:color w:val="auto"/>
        </w:rPr>
        <w:t xml:space="preserve"> above shall be applied to satisfy drawings under such Letters of Credit as they occur. If any amount remains on deposit as Cash Collateral after all Letters of Credit have either</w:t>
      </w: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171</w:t>
      </w:r>
    </w:p>
    <w:p>
      <w:pPr>
        <w:spacing w:after="0" w:line="10" w:lineRule="exact"/>
        <w:rPr>
          <w:sz w:val="20"/>
          <w:szCs w:val="20"/>
          <w:color w:val="auto"/>
        </w:rPr>
      </w:pPr>
    </w:p>
    <w:p>
      <w:pPr>
        <w:spacing w:after="0"/>
        <w:rPr>
          <w:sz w:val="20"/>
          <w:szCs w:val="20"/>
          <w:color w:val="auto"/>
        </w:rPr>
      </w:pPr>
      <w:r>
        <w:rPr>
          <w:rFonts w:ascii="Arial" w:cs="Arial" w:eastAsia="Arial" w:hAnsi="Arial"/>
          <w:sz w:val="14"/>
          <w:szCs w:val="14"/>
          <w:color w:val="auto"/>
        </w:rPr>
        <w:t>CHAR1\1346423v</w:t>
      </w:r>
      <w:r>
        <w:rPr>
          <w:rFonts w:ascii="Arial" w:cs="Arial" w:eastAsia="Arial" w:hAnsi="Arial"/>
          <w:sz w:val="14"/>
          <w:szCs w:val="14"/>
          <w:color w:val="FF0000"/>
          <w:strike w:val="1"/>
        </w:rPr>
        <w:t>1</w:t>
      </w:r>
      <w:r>
        <w:rPr>
          <w:rFonts w:ascii="Arial" w:cs="Arial" w:eastAsia="Arial" w:hAnsi="Arial"/>
          <w:sz w:val="14"/>
          <w:szCs w:val="14"/>
          <w:u w:val="single" w:color="auto"/>
          <w:color w:val="0000FF"/>
        </w:rPr>
        <w:t>12</w:t>
      </w:r>
    </w:p>
    <w:p>
      <w:pPr>
        <w:sectPr>
          <w:pgSz w:w="11900" w:h="16838" w:orient="portrait"/>
          <w:cols w:equalWidth="0" w:num="1">
            <w:col w:w="11420"/>
          </w:cols>
          <w:pgMar w:left="240" w:top="609" w:right="239" w:bottom="1440" w:gutter="0" w:footer="0" w:header="0"/>
        </w:sectPr>
      </w:pPr>
    </w:p>
    <w:bookmarkStart w:id="223" w:name="page224"/>
    <w:bookmarkEnd w:id="223"/>
    <w:p>
      <w:pPr>
        <w:ind w:right="40"/>
        <w:spacing w:after="0" w:line="246" w:lineRule="auto"/>
        <w:rPr>
          <w:sz w:val="20"/>
          <w:szCs w:val="20"/>
          <w:color w:val="auto"/>
        </w:rPr>
      </w:pPr>
      <w:r>
        <w:rPr>
          <w:rFonts w:ascii="Arial" w:cs="Arial" w:eastAsia="Arial" w:hAnsi="Arial"/>
          <w:sz w:val="20"/>
          <w:szCs w:val="20"/>
          <w:color w:val="auto"/>
        </w:rPr>
        <w:t xml:space="preserve">been fully drawn or expired, such remaining amount shall be applied to the other Obligations, if any, in the order set forth above. </w:t>
      </w:r>
      <w:r>
        <w:rPr>
          <w:rFonts w:ascii="Arial" w:cs="Arial" w:eastAsia="Arial" w:hAnsi="Arial"/>
          <w:sz w:val="20"/>
          <w:szCs w:val="20"/>
          <w:u w:val="single" w:color="auto"/>
          <w:color w:val="0000FF"/>
        </w:rPr>
        <w:t>Excluded</w:t>
      </w:r>
      <w:r>
        <w:rPr>
          <w:rFonts w:ascii="Arial" w:cs="Arial" w:eastAsia="Arial" w:hAnsi="Arial"/>
          <w:sz w:val="20"/>
          <w:szCs w:val="20"/>
          <w:color w:val="auto"/>
        </w:rPr>
        <w:t xml:space="preserve"> </w:t>
      </w:r>
      <w:r>
        <w:rPr>
          <w:rFonts w:ascii="Arial" w:cs="Arial" w:eastAsia="Arial" w:hAnsi="Arial"/>
          <w:sz w:val="20"/>
          <w:szCs w:val="20"/>
          <w:u w:val="single" w:color="auto"/>
          <w:color w:val="0000FF"/>
        </w:rPr>
        <w:t>Swap Obligations with respect to any Credit Party shall not be paid with amounts received from such Credit Party or such Credit Party’s assets, but appropriate adjustments shall be made with respect to payments from other Credit Parties to preserve the allocation to Obligations otherwise set forth above in this Section.</w:t>
      </w:r>
    </w:p>
    <w:p>
      <w:pPr>
        <w:spacing w:after="0" w:line="219" w:lineRule="exact"/>
        <w:rPr>
          <w:sz w:val="20"/>
          <w:szCs w:val="20"/>
          <w:color w:val="auto"/>
        </w:rPr>
      </w:pPr>
    </w:p>
    <w:p>
      <w:pPr>
        <w:ind w:left="660"/>
        <w:spacing w:after="0"/>
        <w:tabs>
          <w:tab w:leader="none" w:pos="1160" w:val="left"/>
        </w:tabs>
        <w:rPr>
          <w:sz w:val="20"/>
          <w:szCs w:val="20"/>
          <w:color w:val="auto"/>
        </w:rPr>
      </w:pPr>
      <w:r>
        <w:rPr>
          <w:rFonts w:ascii="Arial" w:cs="Arial" w:eastAsia="Arial" w:hAnsi="Arial"/>
          <w:sz w:val="20"/>
          <w:szCs w:val="20"/>
          <w:color w:val="auto"/>
        </w:rPr>
        <w:t>9.04</w:t>
      </w:r>
      <w:r>
        <w:rPr>
          <w:sz w:val="20"/>
          <w:szCs w:val="20"/>
          <w:color w:val="auto"/>
        </w:rPr>
        <w:tab/>
      </w:r>
      <w:r>
        <w:rPr>
          <w:rFonts w:ascii="Arial" w:cs="Arial" w:eastAsia="Arial" w:hAnsi="Arial"/>
          <w:sz w:val="18"/>
          <w:szCs w:val="18"/>
          <w:u w:val="single" w:color="auto"/>
          <w:color w:val="auto"/>
        </w:rPr>
        <w:t>Collection Allocation Mechanism</w:t>
      </w:r>
      <w:r>
        <w:rPr>
          <w:rFonts w:ascii="Arial" w:cs="Arial" w:eastAsia="Arial" w:hAnsi="Arial"/>
          <w:sz w:val="18"/>
          <w:szCs w:val="18"/>
          <w:color w:val="auto"/>
        </w:rPr>
        <w:t>.</w:t>
      </w:r>
    </w:p>
    <w:p>
      <w:pPr>
        <w:spacing w:after="0" w:line="270" w:lineRule="exact"/>
        <w:rPr>
          <w:sz w:val="20"/>
          <w:szCs w:val="20"/>
          <w:color w:val="auto"/>
        </w:rPr>
      </w:pPr>
    </w:p>
    <w:p>
      <w:pPr>
        <w:ind w:left="1700" w:hanging="395"/>
        <w:spacing w:after="0"/>
        <w:tabs>
          <w:tab w:leader="none" w:pos="1700" w:val="left"/>
        </w:tabs>
        <w:numPr>
          <w:ilvl w:val="0"/>
          <w:numId w:val="252"/>
        </w:numPr>
        <w:rPr>
          <w:rFonts w:ascii="Arial" w:cs="Arial" w:eastAsia="Arial" w:hAnsi="Arial"/>
          <w:sz w:val="18"/>
          <w:szCs w:val="18"/>
          <w:color w:val="auto"/>
        </w:rPr>
      </w:pPr>
      <w:r>
        <w:rPr>
          <w:rFonts w:ascii="Arial" w:cs="Arial" w:eastAsia="Arial" w:hAnsi="Arial"/>
          <w:sz w:val="18"/>
          <w:szCs w:val="18"/>
          <w:color w:val="auto"/>
        </w:rPr>
        <w:t>On the CAM Exchange Date, the Lenders shall automatically and without further action be deemed to have exchanged</w:t>
      </w:r>
    </w:p>
    <w:p>
      <w:pPr>
        <w:spacing w:after="0" w:line="76" w:lineRule="exact"/>
        <w:rPr>
          <w:rFonts w:ascii="Arial" w:cs="Arial" w:eastAsia="Arial" w:hAnsi="Arial"/>
          <w:sz w:val="18"/>
          <w:szCs w:val="18"/>
          <w:color w:val="auto"/>
        </w:rPr>
      </w:pPr>
    </w:p>
    <w:p>
      <w:pPr>
        <w:ind w:left="660" w:right="80"/>
        <w:spacing w:after="0" w:line="316" w:lineRule="auto"/>
        <w:rPr>
          <w:rFonts w:ascii="Arial" w:cs="Arial" w:eastAsia="Arial" w:hAnsi="Arial"/>
          <w:sz w:val="18"/>
          <w:szCs w:val="18"/>
          <w:color w:val="auto"/>
        </w:rPr>
      </w:pPr>
      <w:r>
        <w:rPr>
          <w:rFonts w:ascii="Arial" w:cs="Arial" w:eastAsia="Arial" w:hAnsi="Arial"/>
          <w:sz w:val="18"/>
          <w:szCs w:val="18"/>
          <w:color w:val="auto"/>
        </w:rPr>
        <w:t xml:space="preserve">interests in the Specified Obligations under the Tranches (and participation interests in Letters of Credit) such that, in lieu of the interest of each Lender in the Specified Obligations under each Tranche in which it shall participate as of such date (including the principal, reimbursement, interest and fee obligations of each Credit Party in respect of each such Tranche) and, if such Lender holds a Revolving Commitment as of such date, such Lender’s participation interests in Letters of Credit, such Lender shall own an interest equal to such Lender’s CAM Percentage in the Specified Obligations under each of the Tranches (including the principal, reimbursement, interest and fee obligations of each Credit Party in respect of each such Tranche) and hold a participation interest in each Letter of Credit equal to its CAM Percentage thereof. Each Lender, each Participant, each Credit Party and the Administrative Agent hereby consents and agrees to the CAM Exchange. Each Lender and each Credit Party hereby agrees from time to time to execute and deliver to the Administrative Agent all such promissory notes and other instruments and documents as the Administrative Agent shall reasonably request to evidence and confirm the respective interests and obligations of the Lenders after giving effect to the CAM Exchange, and each Lender agrees to surrender any promissory notes originally received by such Lender to the Administrative Agent against delivery of any promissory notes so executed and delivered;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the failure of any Credit Party to execute and deliver or of any Lender to accept any such promissory note, instrument or document shall not affect the validity or effectiveness of the CAM Exchange. On the CAM Exchange Date, each Lender whose funded Exposures after giving effect to the CAM Exchange shall exceed its funded Exposures before giving effect thereto shall pay to the Administrative Agent the amount of such excess in the applicable currency or currencies (or, if requested by the Administrative Agent, in Dollars), and the Administrative Agent shall pay to each of the Lenders, out of the amount so received by it, the amount by which such Lender’s funded Exposures before giving effect to the CAM Exchange exceeds such funded Exposures after giving effect to the CAM Exchange.</w:t>
      </w:r>
    </w:p>
    <w:p>
      <w:pPr>
        <w:spacing w:after="0" w:line="172" w:lineRule="exact"/>
        <w:rPr>
          <w:rFonts w:ascii="Arial" w:cs="Arial" w:eastAsia="Arial" w:hAnsi="Arial"/>
          <w:sz w:val="18"/>
          <w:szCs w:val="18"/>
          <w:color w:val="auto"/>
        </w:rPr>
      </w:pPr>
    </w:p>
    <w:p>
      <w:pPr>
        <w:ind w:left="1720" w:hanging="415"/>
        <w:spacing w:after="0"/>
        <w:tabs>
          <w:tab w:leader="none" w:pos="1720" w:val="left"/>
        </w:tabs>
        <w:numPr>
          <w:ilvl w:val="0"/>
          <w:numId w:val="252"/>
        </w:numPr>
        <w:rPr>
          <w:rFonts w:ascii="Arial" w:cs="Arial" w:eastAsia="Arial" w:hAnsi="Arial"/>
          <w:sz w:val="16"/>
          <w:szCs w:val="16"/>
          <w:color w:val="auto"/>
        </w:rPr>
      </w:pPr>
      <w:r>
        <w:rPr>
          <w:rFonts w:ascii="Arial" w:cs="Arial" w:eastAsia="Arial" w:hAnsi="Arial"/>
          <w:sz w:val="16"/>
          <w:szCs w:val="16"/>
          <w:color w:val="auto"/>
        </w:rPr>
        <w:t>Each Lender’s obligation to exchange its interests pursuant to the CAM Exchange shall be absolute and unconditional and</w:t>
      </w:r>
    </w:p>
    <w:p>
      <w:pPr>
        <w:spacing w:after="0" w:line="99" w:lineRule="exact"/>
        <w:rPr>
          <w:rFonts w:ascii="Arial" w:cs="Arial" w:eastAsia="Arial" w:hAnsi="Arial"/>
          <w:sz w:val="16"/>
          <w:szCs w:val="16"/>
          <w:color w:val="auto"/>
        </w:rPr>
      </w:pPr>
    </w:p>
    <w:p>
      <w:pPr>
        <w:ind w:left="660" w:right="80"/>
        <w:spacing w:after="0" w:line="329" w:lineRule="auto"/>
        <w:rPr>
          <w:rFonts w:ascii="Arial" w:cs="Arial" w:eastAsia="Arial" w:hAnsi="Arial"/>
          <w:sz w:val="16"/>
          <w:szCs w:val="16"/>
          <w:color w:val="auto"/>
        </w:rPr>
      </w:pPr>
      <w:r>
        <w:rPr>
          <w:rFonts w:ascii="Arial" w:cs="Arial" w:eastAsia="Arial" w:hAnsi="Arial"/>
          <w:sz w:val="18"/>
          <w:szCs w:val="18"/>
          <w:color w:val="auto"/>
        </w:rPr>
        <w:t>shall not be affected by any circumstance including, without limitation, (i) any setoff, counterclaim, recoupment, defense or other right which such Lender may have against any other Lender, any Credit Party or any other Person for any reason whatsoever, (ii) the occurrence or continuance of a Default, (iii) any adverse change in the condition (financial or otherwise) of any member of the Consolidated Group or any other Person, (iv) any breach of this Credit Agreement by any Credit Party, any Lender or any other</w:t>
      </w:r>
    </w:p>
    <w:p>
      <w:pPr>
        <w:spacing w:after="0" w:line="378" w:lineRule="exact"/>
        <w:rPr>
          <w:sz w:val="20"/>
          <w:szCs w:val="20"/>
          <w:color w:val="auto"/>
        </w:rPr>
      </w:pPr>
    </w:p>
    <w:p>
      <w:pPr>
        <w:jc w:val="center"/>
        <w:ind w:right="-39"/>
        <w:spacing w:after="0"/>
        <w:rPr>
          <w:sz w:val="20"/>
          <w:szCs w:val="20"/>
          <w:color w:val="auto"/>
        </w:rPr>
      </w:pPr>
      <w:r>
        <w:rPr>
          <w:rFonts w:ascii="Arial" w:cs="Arial" w:eastAsia="Arial" w:hAnsi="Arial"/>
          <w:sz w:val="20"/>
          <w:szCs w:val="20"/>
          <w:color w:val="auto"/>
        </w:rPr>
        <w:t>172</w:t>
      </w:r>
    </w:p>
    <w:p>
      <w:pPr>
        <w:spacing w:after="0" w:line="10" w:lineRule="exact"/>
        <w:rPr>
          <w:sz w:val="20"/>
          <w:szCs w:val="20"/>
          <w:color w:val="auto"/>
        </w:rPr>
      </w:pPr>
    </w:p>
    <w:p>
      <w:pPr>
        <w:spacing w:after="0"/>
        <w:rPr>
          <w:sz w:val="20"/>
          <w:szCs w:val="20"/>
          <w:color w:val="auto"/>
        </w:rPr>
      </w:pPr>
      <w:r>
        <w:rPr>
          <w:rFonts w:ascii="Arial" w:cs="Arial" w:eastAsia="Arial" w:hAnsi="Arial"/>
          <w:sz w:val="14"/>
          <w:szCs w:val="14"/>
          <w:color w:val="auto"/>
        </w:rPr>
        <w:t>CHAR1\1346423v</w:t>
      </w:r>
      <w:r>
        <w:rPr>
          <w:rFonts w:ascii="Arial" w:cs="Arial" w:eastAsia="Arial" w:hAnsi="Arial"/>
          <w:sz w:val="14"/>
          <w:szCs w:val="14"/>
          <w:color w:val="FF0000"/>
          <w:strike w:val="1"/>
        </w:rPr>
        <w:t>1</w:t>
      </w:r>
      <w:r>
        <w:rPr>
          <w:rFonts w:ascii="Arial" w:cs="Arial" w:eastAsia="Arial" w:hAnsi="Arial"/>
          <w:sz w:val="14"/>
          <w:szCs w:val="14"/>
          <w:u w:val="single" w:color="auto"/>
          <w:color w:val="0000FF"/>
        </w:rPr>
        <w:t>12</w:t>
      </w:r>
    </w:p>
    <w:p>
      <w:pPr>
        <w:sectPr>
          <w:pgSz w:w="11900" w:h="16838" w:orient="portrait"/>
          <w:cols w:equalWidth="0" w:num="1">
            <w:col w:w="11400"/>
          </w:cols>
          <w:pgMar w:left="240" w:top="582" w:right="259" w:bottom="1440" w:gutter="0" w:footer="0" w:header="0"/>
        </w:sectPr>
      </w:pPr>
    </w:p>
    <w:bookmarkStart w:id="224" w:name="page225"/>
    <w:bookmarkEnd w:id="224"/>
    <w:p>
      <w:pPr>
        <w:ind w:left="660"/>
        <w:spacing w:after="0"/>
        <w:rPr>
          <w:sz w:val="20"/>
          <w:szCs w:val="20"/>
          <w:color w:val="auto"/>
        </w:rPr>
      </w:pPr>
      <w:r>
        <w:rPr>
          <w:rFonts w:ascii="Arial" w:cs="Arial" w:eastAsia="Arial" w:hAnsi="Arial"/>
          <w:sz w:val="20"/>
          <w:szCs w:val="20"/>
          <w:color w:val="auto"/>
        </w:rPr>
        <w:t>Person, or (v) any other circumstance, happening or event whatsoever, whether or not similar to any of the foregoing.</w:t>
      </w:r>
    </w:p>
    <w:p>
      <w:pPr>
        <w:spacing w:after="0" w:line="250" w:lineRule="exact"/>
        <w:rPr>
          <w:sz w:val="20"/>
          <w:szCs w:val="20"/>
          <w:color w:val="auto"/>
        </w:rPr>
      </w:pPr>
    </w:p>
    <w:p>
      <w:pPr>
        <w:jc w:val="center"/>
        <w:ind w:right="200"/>
        <w:spacing w:after="0"/>
        <w:rPr>
          <w:sz w:val="20"/>
          <w:szCs w:val="20"/>
          <w:color w:val="auto"/>
        </w:rPr>
      </w:pPr>
      <w:r>
        <w:rPr>
          <w:rFonts w:ascii="Arial" w:cs="Arial" w:eastAsia="Arial" w:hAnsi="Arial"/>
          <w:sz w:val="20"/>
          <w:szCs w:val="20"/>
          <w:b w:val="1"/>
          <w:bCs w:val="1"/>
          <w:color w:val="auto"/>
        </w:rPr>
        <w:t>ARTICLE X</w:t>
      </w:r>
    </w:p>
    <w:p>
      <w:pPr>
        <w:spacing w:after="0" w:line="324" w:lineRule="exact"/>
        <w:rPr>
          <w:sz w:val="20"/>
          <w:szCs w:val="20"/>
          <w:color w:val="auto"/>
        </w:rPr>
      </w:pPr>
    </w:p>
    <w:p>
      <w:pPr>
        <w:ind w:left="3120"/>
        <w:spacing w:after="0"/>
        <w:rPr>
          <w:sz w:val="20"/>
          <w:szCs w:val="20"/>
          <w:color w:val="auto"/>
        </w:rPr>
      </w:pPr>
      <w:r>
        <w:rPr>
          <w:rFonts w:ascii="Arial" w:cs="Arial" w:eastAsia="Arial" w:hAnsi="Arial"/>
          <w:sz w:val="20"/>
          <w:szCs w:val="20"/>
          <w:b w:val="1"/>
          <w:bCs w:val="1"/>
          <w:color w:val="auto"/>
        </w:rPr>
        <w:t>ADMINISTRATIVE AGENT AND COLLATERAL AGENT</w:t>
      </w:r>
    </w:p>
    <w:p>
      <w:pPr>
        <w:spacing w:after="0" w:line="262" w:lineRule="exact"/>
        <w:rPr>
          <w:sz w:val="20"/>
          <w:szCs w:val="20"/>
          <w:color w:val="auto"/>
        </w:rPr>
      </w:pPr>
    </w:p>
    <w:p>
      <w:pPr>
        <w:ind w:left="660"/>
        <w:spacing w:after="0"/>
        <w:tabs>
          <w:tab w:leader="none" w:pos="1260" w:val="left"/>
        </w:tabs>
        <w:rPr>
          <w:sz w:val="20"/>
          <w:szCs w:val="20"/>
          <w:color w:val="auto"/>
        </w:rPr>
      </w:pPr>
      <w:r>
        <w:rPr>
          <w:rFonts w:ascii="Arial" w:cs="Arial" w:eastAsia="Arial" w:hAnsi="Arial"/>
          <w:sz w:val="20"/>
          <w:szCs w:val="20"/>
          <w:color w:val="auto"/>
        </w:rPr>
        <w:t>10.01</w:t>
      </w:r>
      <w:r>
        <w:rPr>
          <w:sz w:val="20"/>
          <w:szCs w:val="20"/>
          <w:color w:val="auto"/>
        </w:rPr>
        <w:tab/>
      </w:r>
      <w:r>
        <w:rPr>
          <w:rFonts w:ascii="Arial" w:cs="Arial" w:eastAsia="Arial" w:hAnsi="Arial"/>
          <w:sz w:val="18"/>
          <w:szCs w:val="18"/>
          <w:u w:val="single" w:color="auto"/>
          <w:color w:val="auto"/>
        </w:rPr>
        <w:t>Appointment and Authorization of Administrative Agent</w:t>
      </w:r>
      <w:r>
        <w:rPr>
          <w:rFonts w:ascii="Arial" w:cs="Arial" w:eastAsia="Arial" w:hAnsi="Arial"/>
          <w:sz w:val="18"/>
          <w:szCs w:val="18"/>
          <w:color w:val="auto"/>
        </w:rPr>
        <w:t>.</w:t>
      </w:r>
    </w:p>
    <w:p>
      <w:pPr>
        <w:spacing w:after="0" w:line="270" w:lineRule="exact"/>
        <w:rPr>
          <w:sz w:val="20"/>
          <w:szCs w:val="20"/>
          <w:color w:val="auto"/>
        </w:rPr>
      </w:pPr>
    </w:p>
    <w:p>
      <w:pPr>
        <w:ind w:left="1700" w:hanging="395"/>
        <w:spacing w:after="0"/>
        <w:tabs>
          <w:tab w:leader="none" w:pos="1700" w:val="left"/>
        </w:tabs>
        <w:numPr>
          <w:ilvl w:val="0"/>
          <w:numId w:val="253"/>
        </w:numPr>
        <w:rPr>
          <w:rFonts w:ascii="Arial" w:cs="Arial" w:eastAsia="Arial" w:hAnsi="Arial"/>
          <w:sz w:val="19"/>
          <w:szCs w:val="19"/>
          <w:color w:val="auto"/>
        </w:rPr>
      </w:pPr>
      <w:r>
        <w:rPr>
          <w:rFonts w:ascii="Arial" w:cs="Arial" w:eastAsia="Arial" w:hAnsi="Arial"/>
          <w:sz w:val="19"/>
          <w:szCs w:val="19"/>
          <w:color w:val="auto"/>
        </w:rPr>
        <w:t>Each of the Lenders and the L/C Issuers hereby irrevocably appoints Bank of America to act on its behalf as the</w:t>
      </w:r>
    </w:p>
    <w:p>
      <w:pPr>
        <w:spacing w:after="0" w:line="65" w:lineRule="exact"/>
        <w:rPr>
          <w:rFonts w:ascii="Arial" w:cs="Arial" w:eastAsia="Arial" w:hAnsi="Arial"/>
          <w:sz w:val="19"/>
          <w:szCs w:val="19"/>
          <w:color w:val="auto"/>
        </w:rPr>
      </w:pPr>
    </w:p>
    <w:p>
      <w:pPr>
        <w:ind w:left="660"/>
        <w:spacing w:after="0" w:line="325" w:lineRule="auto"/>
        <w:rPr>
          <w:rFonts w:ascii="Arial" w:cs="Arial" w:eastAsia="Arial" w:hAnsi="Arial"/>
          <w:sz w:val="19"/>
          <w:szCs w:val="19"/>
          <w:color w:val="auto"/>
        </w:rPr>
      </w:pPr>
      <w:r>
        <w:rPr>
          <w:rFonts w:ascii="Arial" w:cs="Arial" w:eastAsia="Arial" w:hAnsi="Arial"/>
          <w:sz w:val="18"/>
          <w:szCs w:val="18"/>
          <w:color w:val="auto"/>
        </w:rPr>
        <w:t>Administrative Agent hereunder and under the other Credit Documents and authorizes the Administrative Agent to take such actions on its behalf and to exercise such powers as are delegated to the Administrative Agent by the terms hereof or thereof, together with such actions and powers as are reasonably incidental thereto. The provisions of this Article are solely for the benefit of the Administrative Agent, the Lenders and the L/C Issuers, and neither any Borrower nor any other Credit Party shall have rights as a third party beneficiary of any of such provisions unless they or their Property are expressly referred to in this Article.</w:t>
      </w:r>
    </w:p>
    <w:p>
      <w:pPr>
        <w:spacing w:after="0" w:line="165" w:lineRule="exact"/>
        <w:rPr>
          <w:rFonts w:ascii="Arial" w:cs="Arial" w:eastAsia="Arial" w:hAnsi="Arial"/>
          <w:sz w:val="19"/>
          <w:szCs w:val="19"/>
          <w:color w:val="auto"/>
        </w:rPr>
      </w:pPr>
    </w:p>
    <w:p>
      <w:pPr>
        <w:ind w:left="1720" w:hanging="415"/>
        <w:spacing w:after="0"/>
        <w:tabs>
          <w:tab w:leader="none" w:pos="1720" w:val="left"/>
        </w:tabs>
        <w:numPr>
          <w:ilvl w:val="0"/>
          <w:numId w:val="253"/>
        </w:numPr>
        <w:rPr>
          <w:rFonts w:ascii="Arial" w:cs="Arial" w:eastAsia="Arial" w:hAnsi="Arial"/>
          <w:sz w:val="18"/>
          <w:szCs w:val="18"/>
          <w:color w:val="auto"/>
        </w:rPr>
      </w:pPr>
      <w:r>
        <w:rPr>
          <w:rFonts w:ascii="Arial" w:cs="Arial" w:eastAsia="Arial" w:hAnsi="Arial"/>
          <w:sz w:val="18"/>
          <w:szCs w:val="18"/>
          <w:color w:val="auto"/>
        </w:rPr>
        <w:t>Each Lender hereby irrevocably appoints, designates and authorizes the Collateral Agent to take such action on its behalf</w:t>
      </w:r>
    </w:p>
    <w:p>
      <w:pPr>
        <w:spacing w:after="0" w:line="76" w:lineRule="exact"/>
        <w:rPr>
          <w:rFonts w:ascii="Arial" w:cs="Arial" w:eastAsia="Arial" w:hAnsi="Arial"/>
          <w:sz w:val="18"/>
          <w:szCs w:val="18"/>
          <w:color w:val="auto"/>
        </w:rPr>
      </w:pPr>
    </w:p>
    <w:p>
      <w:pPr>
        <w:ind w:left="660"/>
        <w:spacing w:after="0" w:line="316" w:lineRule="auto"/>
        <w:rPr>
          <w:rFonts w:ascii="Arial" w:cs="Arial" w:eastAsia="Arial" w:hAnsi="Arial"/>
          <w:sz w:val="18"/>
          <w:szCs w:val="18"/>
          <w:color w:val="auto"/>
        </w:rPr>
      </w:pPr>
      <w:r>
        <w:rPr>
          <w:rFonts w:ascii="Arial" w:cs="Arial" w:eastAsia="Arial" w:hAnsi="Arial"/>
          <w:sz w:val="18"/>
          <w:szCs w:val="18"/>
          <w:color w:val="auto"/>
        </w:rPr>
        <w:t>under the provisions of this Credit Agreement and each Collateral Document and to exercise such powers and perform such duties as are expressly delegated to it by the terms of this Credit Agreement or any Collateral Document, together with such powers as are reasonably incidental thereto. Notwithstanding any provision to the contrary contained elsewhere herein or in any Collateral Document, the Collateral Agent shall not have any duties or responsibilities, except those expressly set forth herein or therein, nor shall the Collateral Agent have or be deemed to have any fiduciary relationship with any Lender or participant, and no implied covenants, functions, responsibilities, duties, obligations or liabilities shall be read into this Credit Agreement or any Collateral Document or otherwise exist against the Collateral Agent. Without limiting the generality of the foregoing sentence, the use of the term “agent” herein and in the Collateral Documents with reference to the Collateral Agent is not intended to connote any fiduciary or other implied (or express) obligations arising under agency doctrine of any applicable Law. Instead, such term is used merely as a matter of market custom, and is intended to create or reflect only an administrative relationship between independent contracting parties. The Collateral Agent shall act on behalf of the Lenders with respect to any Collateral and the Collateral Documents, and the Collateral Agent shall have all of the benefits and immunities (i) provided to the Administrative Agent under the Credit Documents with respect to any acts taken or omissions suffered by the Collateral Agent in connection with any Collateral or the Collateral Documents as fully as if the term “Administrative Agent” as used in such Credit Documents included the Collateral Agent with respect to such acts or omissions, and (ii) as additionally provided herein or in the Collateral Documents with respect to the Collateral Agent.</w:t>
      </w:r>
    </w:p>
    <w:p>
      <w:pPr>
        <w:spacing w:after="0" w:line="180" w:lineRule="exact"/>
        <w:rPr>
          <w:sz w:val="20"/>
          <w:szCs w:val="20"/>
          <w:color w:val="auto"/>
        </w:rPr>
      </w:pPr>
    </w:p>
    <w:p>
      <w:pPr>
        <w:ind w:right="180" w:firstLine="648"/>
        <w:spacing w:after="0" w:line="299" w:lineRule="auto"/>
        <w:rPr>
          <w:sz w:val="20"/>
          <w:szCs w:val="20"/>
          <w:color w:val="auto"/>
        </w:rPr>
      </w:pPr>
      <w:r>
        <w:rPr>
          <w:rFonts w:ascii="Arial" w:cs="Arial" w:eastAsia="Arial" w:hAnsi="Arial"/>
          <w:sz w:val="20"/>
          <w:szCs w:val="20"/>
          <w:color w:val="auto"/>
        </w:rPr>
        <w:t xml:space="preserve">10.02 </w:t>
      </w:r>
      <w:r>
        <w:rPr>
          <w:rFonts w:ascii="Arial" w:cs="Arial" w:eastAsia="Arial" w:hAnsi="Arial"/>
          <w:sz w:val="20"/>
          <w:szCs w:val="20"/>
          <w:u w:val="single" w:color="auto"/>
          <w:color w:val="auto"/>
        </w:rPr>
        <w:t>Rights as a Lender</w:t>
      </w:r>
      <w:r>
        <w:rPr>
          <w:rFonts w:ascii="Arial" w:cs="Arial" w:eastAsia="Arial" w:hAnsi="Arial"/>
          <w:sz w:val="20"/>
          <w:szCs w:val="20"/>
          <w:color w:val="auto"/>
        </w:rPr>
        <w:t>. The Person serving as the Administrative Agent hereunder shall have the same rights and powers in its capacity as a Lender as any other Lender and may exercise the same as though it were not the Administrative Agent and the term “Lender” or “Lenders” shall, unless</w:t>
      </w:r>
    </w:p>
    <w:p>
      <w:pPr>
        <w:spacing w:after="0" w:line="396"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173</w:t>
      </w:r>
    </w:p>
    <w:p>
      <w:pPr>
        <w:spacing w:after="0" w:line="10" w:lineRule="exact"/>
        <w:rPr>
          <w:sz w:val="20"/>
          <w:szCs w:val="20"/>
          <w:color w:val="auto"/>
        </w:rPr>
      </w:pPr>
    </w:p>
    <w:p>
      <w:pPr>
        <w:spacing w:after="0"/>
        <w:rPr>
          <w:sz w:val="20"/>
          <w:szCs w:val="20"/>
          <w:color w:val="auto"/>
        </w:rPr>
      </w:pPr>
      <w:r>
        <w:rPr>
          <w:rFonts w:ascii="Arial" w:cs="Arial" w:eastAsia="Arial" w:hAnsi="Arial"/>
          <w:sz w:val="14"/>
          <w:szCs w:val="14"/>
          <w:color w:val="auto"/>
        </w:rPr>
        <w:t>CHAR1\1346423v</w:t>
      </w:r>
      <w:r>
        <w:rPr>
          <w:rFonts w:ascii="Arial" w:cs="Arial" w:eastAsia="Arial" w:hAnsi="Arial"/>
          <w:sz w:val="14"/>
          <w:szCs w:val="14"/>
          <w:color w:val="FF0000"/>
          <w:strike w:val="1"/>
        </w:rPr>
        <w:t>1</w:t>
      </w:r>
      <w:r>
        <w:rPr>
          <w:rFonts w:ascii="Arial" w:cs="Arial" w:eastAsia="Arial" w:hAnsi="Arial"/>
          <w:sz w:val="14"/>
          <w:szCs w:val="14"/>
          <w:u w:val="single" w:color="auto"/>
          <w:color w:val="0000FF"/>
        </w:rPr>
        <w:t>12</w:t>
      </w:r>
    </w:p>
    <w:p>
      <w:pPr>
        <w:sectPr>
          <w:pgSz w:w="11900" w:h="16838" w:orient="portrait"/>
          <w:cols w:equalWidth="0" w:num="1">
            <w:col w:w="11400"/>
          </w:cols>
          <w:pgMar w:left="240" w:top="609" w:right="259" w:bottom="1440" w:gutter="0" w:footer="0" w:header="0"/>
        </w:sectPr>
      </w:pPr>
    </w:p>
    <w:bookmarkStart w:id="225" w:name="page226"/>
    <w:bookmarkEnd w:id="225"/>
    <w:p>
      <w:pPr>
        <w:ind w:right="20"/>
        <w:spacing w:after="0" w:line="325" w:lineRule="auto"/>
        <w:rPr>
          <w:sz w:val="20"/>
          <w:szCs w:val="20"/>
          <w:color w:val="auto"/>
        </w:rPr>
      </w:pPr>
      <w:r>
        <w:rPr>
          <w:rFonts w:ascii="Arial" w:cs="Arial" w:eastAsia="Arial" w:hAnsi="Arial"/>
          <w:sz w:val="18"/>
          <w:szCs w:val="18"/>
          <w:color w:val="auto"/>
        </w:rPr>
        <w:t xml:space="preserve">otherwise expressly indicated or unless the context otherwise requires, include the Person serving as the Administrative Agent hereunder in its individual capacity. Such Person and its Affiliates may accept deposits from, lend money to, </w:t>
      </w:r>
      <w:r>
        <w:rPr>
          <w:rFonts w:ascii="Arial" w:cs="Arial" w:eastAsia="Arial" w:hAnsi="Arial"/>
          <w:sz w:val="18"/>
          <w:szCs w:val="18"/>
          <w:u w:val="single" w:color="auto"/>
          <w:color w:val="0000FF"/>
        </w:rPr>
        <w:t>own securities of,</w:t>
      </w:r>
      <w:r>
        <w:rPr>
          <w:rFonts w:ascii="Arial" w:cs="Arial" w:eastAsia="Arial" w:hAnsi="Arial"/>
          <w:sz w:val="18"/>
          <w:szCs w:val="18"/>
          <w:color w:val="auto"/>
        </w:rPr>
        <w:t xml:space="preserve"> act as the financial advisor or in any other advisory capacity for and generally engage in any kind of </w:t>
      </w:r>
      <w:r>
        <w:rPr>
          <w:rFonts w:ascii="Arial" w:cs="Arial" w:eastAsia="Arial" w:hAnsi="Arial"/>
          <w:sz w:val="18"/>
          <w:szCs w:val="18"/>
          <w:u w:val="single" w:color="auto"/>
          <w:color w:val="0000FF"/>
        </w:rPr>
        <w:t>banking, trust, financial, advisory, underwriting or other</w:t>
      </w:r>
      <w:r>
        <w:rPr>
          <w:rFonts w:ascii="Arial" w:cs="Arial" w:eastAsia="Arial" w:hAnsi="Arial"/>
          <w:sz w:val="18"/>
          <w:szCs w:val="18"/>
          <w:color w:val="auto"/>
        </w:rPr>
        <w:t xml:space="preserve"> business with EWI or any Subsidiary or other Affiliate thereof as if such Person were not the Administrative Agent hereunder and without any duty to account therefor to the Lenders </w:t>
      </w:r>
      <w:r>
        <w:rPr>
          <w:rFonts w:ascii="Arial" w:cs="Arial" w:eastAsia="Arial" w:hAnsi="Arial"/>
          <w:sz w:val="18"/>
          <w:szCs w:val="18"/>
          <w:u w:val="single" w:color="auto"/>
          <w:color w:val="0000FF"/>
        </w:rPr>
        <w:t>or to provide notice to or consent of the Lenders with respect thereto</w:t>
      </w:r>
      <w:r>
        <w:rPr>
          <w:rFonts w:ascii="Arial" w:cs="Arial" w:eastAsia="Arial" w:hAnsi="Arial"/>
          <w:sz w:val="18"/>
          <w:szCs w:val="18"/>
          <w:color w:val="auto"/>
        </w:rPr>
        <w:t>.</w:t>
      </w:r>
    </w:p>
    <w:p>
      <w:pPr>
        <w:spacing w:after="0" w:line="165" w:lineRule="exact"/>
        <w:rPr>
          <w:sz w:val="20"/>
          <w:szCs w:val="20"/>
          <w:color w:val="auto"/>
        </w:rPr>
      </w:pPr>
    </w:p>
    <w:p>
      <w:pPr>
        <w:jc w:val="both"/>
        <w:ind w:right="400" w:firstLine="648"/>
        <w:spacing w:after="0" w:line="299" w:lineRule="auto"/>
        <w:rPr>
          <w:sz w:val="20"/>
          <w:szCs w:val="20"/>
          <w:color w:val="auto"/>
        </w:rPr>
      </w:pPr>
      <w:r>
        <w:rPr>
          <w:rFonts w:ascii="Arial" w:cs="Arial" w:eastAsia="Arial" w:hAnsi="Arial"/>
          <w:sz w:val="20"/>
          <w:szCs w:val="20"/>
          <w:color w:val="auto"/>
        </w:rPr>
        <w:t xml:space="preserve">10.03 </w:t>
      </w:r>
      <w:r>
        <w:rPr>
          <w:rFonts w:ascii="Arial" w:cs="Arial" w:eastAsia="Arial" w:hAnsi="Arial"/>
          <w:sz w:val="20"/>
          <w:szCs w:val="20"/>
          <w:u w:val="single" w:color="auto"/>
          <w:color w:val="auto"/>
        </w:rPr>
        <w:t>Exculpatory Provisions</w:t>
      </w:r>
      <w:r>
        <w:rPr>
          <w:rFonts w:ascii="Arial" w:cs="Arial" w:eastAsia="Arial" w:hAnsi="Arial"/>
          <w:sz w:val="20"/>
          <w:szCs w:val="20"/>
          <w:color w:val="auto"/>
        </w:rPr>
        <w:t>. The Administrative Agent shall not have any duties or obligations except those expressly set forth herein and in the other Credit Documents</w:t>
      </w:r>
      <w:r>
        <w:rPr>
          <w:rFonts w:ascii="Arial" w:cs="Arial" w:eastAsia="Arial" w:hAnsi="Arial"/>
          <w:sz w:val="20"/>
          <w:szCs w:val="20"/>
          <w:u w:val="single" w:color="auto"/>
          <w:color w:val="0000FF"/>
        </w:rPr>
        <w:t>, and its duties hereunder shall be administrative in nature</w:t>
      </w:r>
      <w:r>
        <w:rPr>
          <w:rFonts w:ascii="Arial" w:cs="Arial" w:eastAsia="Arial" w:hAnsi="Arial"/>
          <w:sz w:val="20"/>
          <w:szCs w:val="20"/>
          <w:color w:val="auto"/>
        </w:rPr>
        <w:t xml:space="preserve">. Without limiting the generality of the foregoing, the Administrative Agent </w:t>
      </w:r>
      <w:r>
        <w:rPr>
          <w:rFonts w:ascii="Arial" w:cs="Arial" w:eastAsia="Arial" w:hAnsi="Arial"/>
          <w:sz w:val="20"/>
          <w:szCs w:val="20"/>
          <w:u w:val="single" w:color="auto"/>
          <w:color w:val="0000FF"/>
        </w:rPr>
        <w:t>and its Related Parties</w:t>
      </w:r>
      <w:r>
        <w:rPr>
          <w:rFonts w:ascii="Arial" w:cs="Arial" w:eastAsia="Arial" w:hAnsi="Arial"/>
          <w:sz w:val="20"/>
          <w:szCs w:val="20"/>
          <w:color w:val="auto"/>
        </w:rPr>
        <w:t>:</w:t>
      </w:r>
    </w:p>
    <w:p>
      <w:pPr>
        <w:spacing w:after="0" w:line="180" w:lineRule="exact"/>
        <w:rPr>
          <w:sz w:val="20"/>
          <w:szCs w:val="20"/>
          <w:color w:val="auto"/>
        </w:rPr>
      </w:pPr>
    </w:p>
    <w:p>
      <w:pPr>
        <w:ind w:left="1700" w:hanging="395"/>
        <w:spacing w:after="0"/>
        <w:tabs>
          <w:tab w:leader="none" w:pos="1700" w:val="left"/>
        </w:tabs>
        <w:numPr>
          <w:ilvl w:val="0"/>
          <w:numId w:val="254"/>
        </w:numPr>
        <w:rPr>
          <w:rFonts w:ascii="Arial" w:cs="Arial" w:eastAsia="Arial" w:hAnsi="Arial"/>
          <w:sz w:val="19"/>
          <w:szCs w:val="19"/>
          <w:color w:val="auto"/>
        </w:rPr>
      </w:pPr>
      <w:r>
        <w:rPr>
          <w:rFonts w:ascii="Arial" w:cs="Arial" w:eastAsia="Arial" w:hAnsi="Arial"/>
          <w:sz w:val="19"/>
          <w:szCs w:val="19"/>
          <w:color w:val="auto"/>
        </w:rPr>
        <w:t>shall not be subject to any fiduciary or other implied duties, regardless of whether a Default has occurred and is</w:t>
      </w:r>
    </w:p>
    <w:p>
      <w:pPr>
        <w:spacing w:after="0" w:line="65" w:lineRule="exact"/>
        <w:rPr>
          <w:rFonts w:ascii="Arial" w:cs="Arial" w:eastAsia="Arial" w:hAnsi="Arial"/>
          <w:sz w:val="19"/>
          <w:szCs w:val="19"/>
          <w:color w:val="auto"/>
        </w:rPr>
      </w:pPr>
    </w:p>
    <w:p>
      <w:pPr>
        <w:ind w:left="660"/>
        <w:spacing w:after="0"/>
        <w:rPr>
          <w:rFonts w:ascii="Arial" w:cs="Arial" w:eastAsia="Arial" w:hAnsi="Arial"/>
          <w:sz w:val="19"/>
          <w:szCs w:val="19"/>
          <w:color w:val="auto"/>
        </w:rPr>
      </w:pPr>
      <w:r>
        <w:rPr>
          <w:rFonts w:ascii="Arial" w:cs="Arial" w:eastAsia="Arial" w:hAnsi="Arial"/>
          <w:sz w:val="20"/>
          <w:szCs w:val="20"/>
          <w:color w:val="auto"/>
        </w:rPr>
        <w:t>continuing;</w:t>
      </w:r>
    </w:p>
    <w:p>
      <w:pPr>
        <w:spacing w:after="0" w:line="256" w:lineRule="exact"/>
        <w:rPr>
          <w:rFonts w:ascii="Arial" w:cs="Arial" w:eastAsia="Arial" w:hAnsi="Arial"/>
          <w:sz w:val="19"/>
          <w:szCs w:val="19"/>
          <w:color w:val="auto"/>
        </w:rPr>
      </w:pPr>
    </w:p>
    <w:p>
      <w:pPr>
        <w:ind w:left="1720" w:hanging="415"/>
        <w:spacing w:after="0"/>
        <w:tabs>
          <w:tab w:leader="none" w:pos="1720" w:val="left"/>
        </w:tabs>
        <w:numPr>
          <w:ilvl w:val="0"/>
          <w:numId w:val="254"/>
        </w:numPr>
        <w:rPr>
          <w:rFonts w:ascii="Arial" w:cs="Arial" w:eastAsia="Arial" w:hAnsi="Arial"/>
          <w:sz w:val="18"/>
          <w:szCs w:val="18"/>
          <w:color w:val="auto"/>
        </w:rPr>
      </w:pPr>
      <w:r>
        <w:rPr>
          <w:rFonts w:ascii="Arial" w:cs="Arial" w:eastAsia="Arial" w:hAnsi="Arial"/>
          <w:sz w:val="18"/>
          <w:szCs w:val="18"/>
          <w:color w:val="auto"/>
        </w:rPr>
        <w:t>shall not have any duty to take any discretionary action or exercise any discretionary powers, except discretionary rights</w:t>
      </w:r>
    </w:p>
    <w:p>
      <w:pPr>
        <w:spacing w:after="0" w:line="76" w:lineRule="exact"/>
        <w:rPr>
          <w:rFonts w:ascii="Arial" w:cs="Arial" w:eastAsia="Arial" w:hAnsi="Arial"/>
          <w:sz w:val="18"/>
          <w:szCs w:val="18"/>
          <w:color w:val="auto"/>
        </w:rPr>
      </w:pPr>
    </w:p>
    <w:p>
      <w:pPr>
        <w:ind w:left="660" w:right="140"/>
        <w:spacing w:after="0" w:line="285" w:lineRule="auto"/>
        <w:rPr>
          <w:rFonts w:ascii="Arial" w:cs="Arial" w:eastAsia="Arial" w:hAnsi="Arial"/>
          <w:sz w:val="18"/>
          <w:szCs w:val="18"/>
          <w:color w:val="auto"/>
        </w:rPr>
      </w:pPr>
      <w:r>
        <w:rPr>
          <w:rFonts w:ascii="Arial" w:cs="Arial" w:eastAsia="Arial" w:hAnsi="Arial"/>
          <w:sz w:val="20"/>
          <w:szCs w:val="20"/>
          <w:color w:val="auto"/>
        </w:rPr>
        <w:t xml:space="preserve">and powers expressly contemplated hereby or by the other Credit Documents that the Administrative Agent is required to exercise as directed in writing by the Required Lenders (or such other number or percentage of the Lenders as shall be expressly provided for herein or in the other Credit Documents),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the Administrative Agent shall not be required to take any action that, in its opinion or the opinion of its counsel, may expose the Administrative Agent to liability or that is contrary to any Credit Document or applicable law</w:t>
      </w:r>
      <w:r>
        <w:rPr>
          <w:rFonts w:ascii="Arial" w:cs="Arial" w:eastAsia="Arial" w:hAnsi="Arial"/>
          <w:sz w:val="20"/>
          <w:szCs w:val="20"/>
          <w:u w:val="single" w:color="auto"/>
          <w:color w:val="0000FF"/>
        </w:rPr>
        <w:t>, including for the avoidance of doubt any action that may be in violation of the automatic stay under any Debtor Relief</w:t>
      </w:r>
      <w:r>
        <w:rPr>
          <w:rFonts w:ascii="Arial" w:cs="Arial" w:eastAsia="Arial" w:hAnsi="Arial"/>
          <w:sz w:val="20"/>
          <w:szCs w:val="20"/>
          <w:color w:val="auto"/>
        </w:rPr>
        <w:t xml:space="preserve"> </w:t>
      </w:r>
      <w:r>
        <w:rPr>
          <w:rFonts w:ascii="Arial" w:cs="Arial" w:eastAsia="Arial" w:hAnsi="Arial"/>
          <w:sz w:val="20"/>
          <w:szCs w:val="20"/>
          <w:u w:val="single" w:color="auto"/>
          <w:color w:val="0000FF"/>
        </w:rPr>
        <w:t>Law or that may effect a forfeiture modification or termination of property of a Defaulting Lender in violation of any Debtor Relief Law</w:t>
      </w:r>
      <w:r>
        <w:rPr>
          <w:rFonts w:ascii="Arial" w:cs="Arial" w:eastAsia="Arial" w:hAnsi="Arial"/>
          <w:sz w:val="20"/>
          <w:szCs w:val="20"/>
          <w:color w:val="000000"/>
        </w:rPr>
        <w:t>; and</w:t>
      </w:r>
    </w:p>
    <w:p>
      <w:pPr>
        <w:spacing w:after="0" w:line="195" w:lineRule="exact"/>
        <w:rPr>
          <w:rFonts w:ascii="Arial" w:cs="Arial" w:eastAsia="Arial" w:hAnsi="Arial"/>
          <w:sz w:val="18"/>
          <w:szCs w:val="18"/>
          <w:color w:val="auto"/>
        </w:rPr>
      </w:pPr>
    </w:p>
    <w:p>
      <w:pPr>
        <w:ind w:left="1700" w:hanging="395"/>
        <w:spacing w:after="0"/>
        <w:tabs>
          <w:tab w:leader="none" w:pos="1700" w:val="left"/>
        </w:tabs>
        <w:numPr>
          <w:ilvl w:val="0"/>
          <w:numId w:val="254"/>
        </w:numPr>
        <w:rPr>
          <w:rFonts w:ascii="Arial" w:cs="Arial" w:eastAsia="Arial" w:hAnsi="Arial"/>
          <w:sz w:val="19"/>
          <w:szCs w:val="19"/>
          <w:color w:val="auto"/>
        </w:rPr>
      </w:pPr>
      <w:r>
        <w:rPr>
          <w:rFonts w:ascii="Arial" w:cs="Arial" w:eastAsia="Arial" w:hAnsi="Arial"/>
          <w:sz w:val="19"/>
          <w:szCs w:val="19"/>
          <w:color w:val="auto"/>
        </w:rPr>
        <w:t xml:space="preserve">shall not, except as expressly set forth herein and in the other Credit Documents, have any duty </w:t>
      </w:r>
      <w:r>
        <w:rPr>
          <w:rFonts w:ascii="Arial" w:cs="Arial" w:eastAsia="Arial" w:hAnsi="Arial"/>
          <w:sz w:val="19"/>
          <w:szCs w:val="19"/>
          <w:u w:val="single" w:color="auto"/>
          <w:color w:val="0000FF"/>
        </w:rPr>
        <w:t>or responsibility</w:t>
      </w:r>
      <w:r>
        <w:rPr>
          <w:rFonts w:ascii="Arial" w:cs="Arial" w:eastAsia="Arial" w:hAnsi="Arial"/>
          <w:sz w:val="19"/>
          <w:szCs w:val="19"/>
          <w:color w:val="auto"/>
        </w:rPr>
        <w:t xml:space="preserve"> to</w:t>
      </w:r>
    </w:p>
    <w:p>
      <w:pPr>
        <w:spacing w:after="0" w:line="65" w:lineRule="exact"/>
        <w:rPr>
          <w:rFonts w:ascii="Arial" w:cs="Arial" w:eastAsia="Arial" w:hAnsi="Arial"/>
          <w:sz w:val="19"/>
          <w:szCs w:val="19"/>
          <w:color w:val="auto"/>
        </w:rPr>
      </w:pPr>
    </w:p>
    <w:p>
      <w:pPr>
        <w:ind w:left="660" w:right="60"/>
        <w:spacing w:after="0" w:line="303" w:lineRule="auto"/>
        <w:rPr>
          <w:rFonts w:ascii="Arial" w:cs="Arial" w:eastAsia="Arial" w:hAnsi="Arial"/>
          <w:sz w:val="19"/>
          <w:szCs w:val="19"/>
          <w:color w:val="auto"/>
        </w:rPr>
      </w:pPr>
      <w:r>
        <w:rPr>
          <w:rFonts w:ascii="Arial" w:cs="Arial" w:eastAsia="Arial" w:hAnsi="Arial"/>
          <w:sz w:val="20"/>
          <w:szCs w:val="20"/>
          <w:color w:val="auto"/>
        </w:rPr>
        <w:t>disclose, and shall not be liable for the failure to disclose, any information relating to EWI or any of its Affiliates that is communicated to or obtained by the Person serving as the Administrative Agent or any of its Affiliates in any capacity.</w:t>
      </w:r>
    </w:p>
    <w:p>
      <w:pPr>
        <w:spacing w:after="0" w:line="149" w:lineRule="exact"/>
        <w:rPr>
          <w:sz w:val="20"/>
          <w:szCs w:val="20"/>
          <w:color w:val="auto"/>
        </w:rPr>
      </w:pPr>
    </w:p>
    <w:p>
      <w:pPr>
        <w:ind w:firstLine="648"/>
        <w:spacing w:after="0" w:line="274" w:lineRule="auto"/>
        <w:rPr>
          <w:sz w:val="20"/>
          <w:szCs w:val="20"/>
          <w:color w:val="auto"/>
        </w:rPr>
      </w:pPr>
      <w:r>
        <w:rPr>
          <w:rFonts w:ascii="Arial" w:cs="Arial" w:eastAsia="Arial" w:hAnsi="Arial"/>
          <w:sz w:val="18"/>
          <w:szCs w:val="18"/>
          <w:color w:val="FF0000"/>
          <w:strike w:val="1"/>
        </w:rPr>
        <w:t>The</w:t>
      </w:r>
      <w:r>
        <w:rPr>
          <w:rFonts w:ascii="Arial" w:cs="Arial" w:eastAsia="Arial" w:hAnsi="Arial"/>
          <w:sz w:val="18"/>
          <w:szCs w:val="18"/>
          <w:u w:val="single" w:color="auto"/>
          <w:color w:val="0000FF"/>
        </w:rPr>
        <w:t>Neither the</w:t>
      </w:r>
      <w:r>
        <w:rPr>
          <w:rFonts w:ascii="Arial" w:cs="Arial" w:eastAsia="Arial" w:hAnsi="Arial"/>
          <w:sz w:val="18"/>
          <w:szCs w:val="18"/>
          <w:color w:val="FF0000"/>
        </w:rPr>
        <w:t xml:space="preserve"> </w:t>
      </w:r>
      <w:r>
        <w:rPr>
          <w:rFonts w:ascii="Arial" w:cs="Arial" w:eastAsia="Arial" w:hAnsi="Arial"/>
          <w:sz w:val="18"/>
          <w:szCs w:val="18"/>
          <w:color w:val="000000"/>
        </w:rPr>
        <w:t>Administrative Agent</w:t>
      </w:r>
      <w:r>
        <w:rPr>
          <w:rFonts w:ascii="Arial" w:cs="Arial" w:eastAsia="Arial" w:hAnsi="Arial"/>
          <w:sz w:val="18"/>
          <w:szCs w:val="18"/>
          <w:color w:val="FF0000"/>
        </w:rPr>
        <w:t xml:space="preserve"> </w:t>
      </w:r>
      <w:r>
        <w:rPr>
          <w:rFonts w:ascii="Arial" w:cs="Arial" w:eastAsia="Arial" w:hAnsi="Arial"/>
          <w:sz w:val="18"/>
          <w:szCs w:val="18"/>
          <w:u w:val="single" w:color="auto"/>
          <w:color w:val="0000FF"/>
        </w:rPr>
        <w:t>nor any of its Related Parties</w:t>
      </w:r>
      <w:r>
        <w:rPr>
          <w:rFonts w:ascii="Arial" w:cs="Arial" w:eastAsia="Arial" w:hAnsi="Arial"/>
          <w:sz w:val="18"/>
          <w:szCs w:val="18"/>
          <w:color w:val="FF0000"/>
        </w:rPr>
        <w:t xml:space="preserve"> </w:t>
      </w:r>
      <w:r>
        <w:rPr>
          <w:rFonts w:ascii="Arial" w:cs="Arial" w:eastAsia="Arial" w:hAnsi="Arial"/>
          <w:sz w:val="18"/>
          <w:szCs w:val="18"/>
          <w:color w:val="000000"/>
        </w:rPr>
        <w:t>shall</w:t>
      </w:r>
      <w:r>
        <w:rPr>
          <w:rFonts w:ascii="Arial" w:cs="Arial" w:eastAsia="Arial" w:hAnsi="Arial"/>
          <w:sz w:val="18"/>
          <w:szCs w:val="18"/>
          <w:color w:val="FF0000"/>
        </w:rPr>
        <w:t xml:space="preserve"> </w:t>
      </w:r>
      <w:r>
        <w:rPr>
          <w:rFonts w:ascii="Arial" w:cs="Arial" w:eastAsia="Arial" w:hAnsi="Arial"/>
          <w:sz w:val="18"/>
          <w:szCs w:val="18"/>
          <w:color w:val="FF0000"/>
          <w:strike w:val="1"/>
        </w:rPr>
        <w:t>not</w:t>
      </w:r>
      <w:r>
        <w:rPr>
          <w:rFonts w:ascii="Arial" w:cs="Arial" w:eastAsia="Arial" w:hAnsi="Arial"/>
          <w:sz w:val="18"/>
          <w:szCs w:val="18"/>
          <w:color w:val="FF0000"/>
        </w:rPr>
        <w:t xml:space="preserve"> </w:t>
      </w:r>
      <w:r>
        <w:rPr>
          <w:rFonts w:ascii="Arial" w:cs="Arial" w:eastAsia="Arial" w:hAnsi="Arial"/>
          <w:sz w:val="18"/>
          <w:szCs w:val="18"/>
          <w:color w:val="000000"/>
        </w:rPr>
        <w:t>be liable for any action taken or not taken by</w:t>
      </w:r>
      <w:r>
        <w:rPr>
          <w:rFonts w:ascii="Arial" w:cs="Arial" w:eastAsia="Arial" w:hAnsi="Arial"/>
          <w:sz w:val="18"/>
          <w:szCs w:val="18"/>
          <w:color w:val="FF0000"/>
        </w:rPr>
        <w:t xml:space="preserve"> </w:t>
      </w:r>
      <w:r>
        <w:rPr>
          <w:rFonts w:ascii="Arial" w:cs="Arial" w:eastAsia="Arial" w:hAnsi="Arial"/>
          <w:sz w:val="18"/>
          <w:szCs w:val="18"/>
          <w:color w:val="FF0000"/>
          <w:strike w:val="1"/>
        </w:rPr>
        <w:t>it</w:t>
      </w:r>
      <w:r>
        <w:rPr>
          <w:rFonts w:ascii="Arial" w:cs="Arial" w:eastAsia="Arial" w:hAnsi="Arial"/>
          <w:sz w:val="18"/>
          <w:szCs w:val="18"/>
          <w:u w:val="single" w:color="auto"/>
          <w:color w:val="0000FF"/>
        </w:rPr>
        <w:t>the</w:t>
      </w:r>
      <w:r>
        <w:rPr>
          <w:rFonts w:ascii="Arial" w:cs="Arial" w:eastAsia="Arial" w:hAnsi="Arial"/>
          <w:sz w:val="18"/>
          <w:szCs w:val="18"/>
          <w:color w:val="FF0000"/>
        </w:rPr>
        <w:t xml:space="preserve"> </w:t>
      </w:r>
      <w:r>
        <w:rPr>
          <w:rFonts w:ascii="Arial" w:cs="Arial" w:eastAsia="Arial" w:hAnsi="Arial"/>
          <w:sz w:val="18"/>
          <w:szCs w:val="18"/>
          <w:u w:val="single" w:color="auto"/>
          <w:color w:val="0000FF"/>
        </w:rPr>
        <w:t>Administrative Agent under or in connection with this Credit Agreement or any other Credit Document or the transactions contemplated hereby or thereby</w:t>
      </w:r>
      <w:r>
        <w:rPr>
          <w:rFonts w:ascii="Arial" w:cs="Arial" w:eastAsia="Arial" w:hAnsi="Arial"/>
          <w:sz w:val="18"/>
          <w:szCs w:val="18"/>
          <w:color w:val="0000FF"/>
        </w:rPr>
        <w:t xml:space="preserve"> </w:t>
      </w:r>
      <w:r>
        <w:rPr>
          <w:rFonts w:ascii="Arial" w:cs="Arial" w:eastAsia="Arial" w:hAnsi="Arial"/>
          <w:sz w:val="18"/>
          <w:szCs w:val="18"/>
          <w:color w:val="000000"/>
        </w:rPr>
        <w:t>(i) with the consent or at the request of the Required Lenders (or such other number or percentage of the Lenders as shall be</w:t>
      </w:r>
      <w:r>
        <w:rPr>
          <w:rFonts w:ascii="Arial" w:cs="Arial" w:eastAsia="Arial" w:hAnsi="Arial"/>
          <w:sz w:val="18"/>
          <w:szCs w:val="18"/>
          <w:color w:val="0000FF"/>
        </w:rPr>
        <w:t xml:space="preserve"> </w:t>
      </w:r>
      <w:r>
        <w:rPr>
          <w:rFonts w:ascii="Arial" w:cs="Arial" w:eastAsia="Arial" w:hAnsi="Arial"/>
          <w:sz w:val="18"/>
          <w:szCs w:val="18"/>
          <w:color w:val="000000"/>
        </w:rPr>
        <w:t xml:space="preserve">necessary, or as the Administrative Agent shall believe in good faith shall be necessary, under the circumstances as provided in </w:t>
      </w:r>
      <w:r>
        <w:rPr>
          <w:rFonts w:ascii="Arial" w:cs="Arial" w:eastAsia="Arial" w:hAnsi="Arial"/>
          <w:sz w:val="18"/>
          <w:szCs w:val="18"/>
          <w:u w:val="single" w:color="auto"/>
          <w:color w:val="000000"/>
        </w:rPr>
        <w:t>Sections 11.01</w:t>
      </w:r>
      <w:r>
        <w:rPr>
          <w:rFonts w:ascii="Arial" w:cs="Arial" w:eastAsia="Arial" w:hAnsi="Arial"/>
          <w:sz w:val="18"/>
          <w:szCs w:val="18"/>
          <w:color w:val="000000"/>
        </w:rPr>
        <w:t xml:space="preserve"> and </w:t>
      </w:r>
      <w:r>
        <w:rPr>
          <w:rFonts w:ascii="Arial" w:cs="Arial" w:eastAsia="Arial" w:hAnsi="Arial"/>
          <w:sz w:val="18"/>
          <w:szCs w:val="18"/>
          <w:u w:val="single" w:color="auto"/>
          <w:color w:val="000000"/>
        </w:rPr>
        <w:t>9.02</w:t>
      </w:r>
      <w:r>
        <w:rPr>
          <w:rFonts w:ascii="Arial" w:cs="Arial" w:eastAsia="Arial" w:hAnsi="Arial"/>
          <w:sz w:val="18"/>
          <w:szCs w:val="18"/>
          <w:color w:val="000000"/>
        </w:rPr>
        <w:t xml:space="preserve">) or (ii) in the absence of its own gross negligence or willful misconduct. </w:t>
      </w:r>
      <w:r>
        <w:rPr>
          <w:rFonts w:ascii="Arial" w:cs="Arial" w:eastAsia="Arial" w:hAnsi="Arial"/>
          <w:sz w:val="18"/>
          <w:szCs w:val="18"/>
          <w:u w:val="single" w:color="auto"/>
          <w:color w:val="0000FF"/>
        </w:rPr>
        <w:t>Any such action taken or failure to act pursuant to the</w:t>
      </w:r>
      <w:r>
        <w:rPr>
          <w:rFonts w:ascii="Arial" w:cs="Arial" w:eastAsia="Arial" w:hAnsi="Arial"/>
          <w:sz w:val="18"/>
          <w:szCs w:val="18"/>
          <w:color w:val="000000"/>
        </w:rPr>
        <w:t xml:space="preserve"> </w:t>
      </w:r>
      <w:r>
        <w:rPr>
          <w:rFonts w:ascii="Arial" w:cs="Arial" w:eastAsia="Arial" w:hAnsi="Arial"/>
          <w:sz w:val="18"/>
          <w:szCs w:val="18"/>
          <w:u w:val="single" w:color="auto"/>
          <w:color w:val="0000FF"/>
        </w:rPr>
        <w:t>foregoing shall be binding on all Lenders.</w:t>
      </w:r>
      <w:r>
        <w:rPr>
          <w:rFonts w:ascii="Arial" w:cs="Arial" w:eastAsia="Arial" w:hAnsi="Arial"/>
          <w:sz w:val="18"/>
          <w:szCs w:val="18"/>
          <w:color w:val="0000FF"/>
        </w:rPr>
        <w:t xml:space="preserve"> </w:t>
      </w:r>
      <w:r>
        <w:rPr>
          <w:rFonts w:ascii="Arial" w:cs="Arial" w:eastAsia="Arial" w:hAnsi="Arial"/>
          <w:sz w:val="18"/>
          <w:szCs w:val="18"/>
          <w:color w:val="000000"/>
        </w:rPr>
        <w:t>The Administrative Agent shall be deemed not to have knowledge of any Default unless and until</w:t>
      </w:r>
      <w:r>
        <w:rPr>
          <w:rFonts w:ascii="Arial" w:cs="Arial" w:eastAsia="Arial" w:hAnsi="Arial"/>
          <w:sz w:val="18"/>
          <w:szCs w:val="18"/>
          <w:color w:val="0000FF"/>
        </w:rPr>
        <w:t xml:space="preserve"> </w:t>
      </w:r>
      <w:r>
        <w:rPr>
          <w:rFonts w:ascii="Arial" w:cs="Arial" w:eastAsia="Arial" w:hAnsi="Arial"/>
          <w:sz w:val="18"/>
          <w:szCs w:val="18"/>
          <w:color w:val="000000"/>
        </w:rPr>
        <w:t xml:space="preserve">notice describing such Default is given </w:t>
      </w:r>
      <w:r>
        <w:rPr>
          <w:rFonts w:ascii="Arial" w:cs="Arial" w:eastAsia="Arial" w:hAnsi="Arial"/>
          <w:sz w:val="18"/>
          <w:szCs w:val="18"/>
          <w:u w:val="single" w:color="auto"/>
          <w:color w:val="0000FF"/>
        </w:rPr>
        <w:t>in writing</w:t>
      </w:r>
      <w:r>
        <w:rPr>
          <w:rFonts w:ascii="Arial" w:cs="Arial" w:eastAsia="Arial" w:hAnsi="Arial"/>
          <w:sz w:val="18"/>
          <w:szCs w:val="18"/>
          <w:color w:val="000000"/>
        </w:rPr>
        <w:t xml:space="preserve"> to the Administrative Agent by a Borrower, a Lender or an L/C Issuer.</w:t>
      </w:r>
    </w:p>
    <w:p>
      <w:pPr>
        <w:spacing w:after="0" w:line="169" w:lineRule="exact"/>
        <w:rPr>
          <w:sz w:val="20"/>
          <w:szCs w:val="20"/>
          <w:color w:val="auto"/>
        </w:rPr>
      </w:pPr>
    </w:p>
    <w:p>
      <w:pPr>
        <w:ind w:right="100" w:firstLine="648"/>
        <w:spacing w:after="0" w:line="250" w:lineRule="auto"/>
        <w:rPr>
          <w:sz w:val="20"/>
          <w:szCs w:val="20"/>
          <w:color w:val="auto"/>
        </w:rPr>
      </w:pPr>
      <w:r>
        <w:rPr>
          <w:rFonts w:ascii="Arial" w:cs="Arial" w:eastAsia="Arial" w:hAnsi="Arial"/>
          <w:sz w:val="20"/>
          <w:szCs w:val="20"/>
          <w:color w:val="FF0000"/>
          <w:strike w:val="1"/>
        </w:rPr>
        <w:t>The</w:t>
      </w:r>
      <w:r>
        <w:rPr>
          <w:rFonts w:ascii="Arial" w:cs="Arial" w:eastAsia="Arial" w:hAnsi="Arial"/>
          <w:sz w:val="20"/>
          <w:szCs w:val="20"/>
          <w:u w:val="single" w:color="auto"/>
          <w:color w:val="0000FF"/>
        </w:rPr>
        <w:t>Neither the</w:t>
      </w:r>
      <w:r>
        <w:rPr>
          <w:rFonts w:ascii="Arial" w:cs="Arial" w:eastAsia="Arial" w:hAnsi="Arial"/>
          <w:sz w:val="20"/>
          <w:szCs w:val="20"/>
          <w:color w:val="FF0000"/>
        </w:rPr>
        <w:t xml:space="preserve"> </w:t>
      </w:r>
      <w:r>
        <w:rPr>
          <w:rFonts w:ascii="Arial" w:cs="Arial" w:eastAsia="Arial" w:hAnsi="Arial"/>
          <w:sz w:val="20"/>
          <w:szCs w:val="20"/>
          <w:color w:val="000000"/>
        </w:rPr>
        <w:t>Administrative Agent</w:t>
      </w:r>
      <w:r>
        <w:rPr>
          <w:rFonts w:ascii="Arial" w:cs="Arial" w:eastAsia="Arial" w:hAnsi="Arial"/>
          <w:sz w:val="20"/>
          <w:szCs w:val="20"/>
          <w:color w:val="FF0000"/>
        </w:rPr>
        <w:t xml:space="preserve"> </w:t>
      </w:r>
      <w:r>
        <w:rPr>
          <w:rFonts w:ascii="Arial" w:cs="Arial" w:eastAsia="Arial" w:hAnsi="Arial"/>
          <w:sz w:val="20"/>
          <w:szCs w:val="20"/>
          <w:u w:val="single" w:color="auto"/>
          <w:color w:val="0000FF"/>
        </w:rPr>
        <w:t>nor any of its Related Parties</w:t>
      </w:r>
      <w:r>
        <w:rPr>
          <w:rFonts w:ascii="Arial" w:cs="Arial" w:eastAsia="Arial" w:hAnsi="Arial"/>
          <w:sz w:val="20"/>
          <w:szCs w:val="20"/>
          <w:color w:val="FF0000"/>
        </w:rPr>
        <w:t xml:space="preserve"> </w:t>
      </w:r>
      <w:r>
        <w:rPr>
          <w:rFonts w:ascii="Arial" w:cs="Arial" w:eastAsia="Arial" w:hAnsi="Arial"/>
          <w:sz w:val="20"/>
          <w:szCs w:val="20"/>
          <w:color w:val="000000"/>
        </w:rPr>
        <w:t>shall</w:t>
      </w:r>
      <w:r>
        <w:rPr>
          <w:rFonts w:ascii="Arial" w:cs="Arial" w:eastAsia="Arial" w:hAnsi="Arial"/>
          <w:sz w:val="20"/>
          <w:szCs w:val="20"/>
          <w:color w:val="FF0000"/>
        </w:rPr>
        <w:t xml:space="preserve"> </w:t>
      </w:r>
      <w:r>
        <w:rPr>
          <w:rFonts w:ascii="Arial" w:cs="Arial" w:eastAsia="Arial" w:hAnsi="Arial"/>
          <w:sz w:val="20"/>
          <w:szCs w:val="20"/>
          <w:color w:val="FF0000"/>
          <w:strike w:val="1"/>
        </w:rPr>
        <w:t>not</w:t>
      </w:r>
      <w:r>
        <w:rPr>
          <w:rFonts w:ascii="Arial" w:cs="Arial" w:eastAsia="Arial" w:hAnsi="Arial"/>
          <w:sz w:val="20"/>
          <w:szCs w:val="20"/>
          <w:color w:val="FF0000"/>
        </w:rPr>
        <w:t xml:space="preserve"> </w:t>
      </w:r>
      <w:r>
        <w:rPr>
          <w:rFonts w:ascii="Arial" w:cs="Arial" w:eastAsia="Arial" w:hAnsi="Arial"/>
          <w:sz w:val="20"/>
          <w:szCs w:val="20"/>
          <w:color w:val="000000"/>
        </w:rPr>
        <w:t>be responsible for or have any duty to ascertain or inquire</w:t>
      </w:r>
      <w:r>
        <w:rPr>
          <w:rFonts w:ascii="Arial" w:cs="Arial" w:eastAsia="Arial" w:hAnsi="Arial"/>
          <w:sz w:val="20"/>
          <w:szCs w:val="20"/>
          <w:color w:val="FF0000"/>
        </w:rPr>
        <w:t xml:space="preserve"> </w:t>
      </w:r>
      <w:r>
        <w:rPr>
          <w:rFonts w:ascii="Arial" w:cs="Arial" w:eastAsia="Arial" w:hAnsi="Arial"/>
          <w:sz w:val="20"/>
          <w:szCs w:val="20"/>
          <w:color w:val="000000"/>
        </w:rPr>
        <w:t>into (i) any statement, warranty or representation made in or in connection with this Credit Agreement or any other Credit Document, (ii) the contents of any certificate,</w:t>
      </w:r>
    </w:p>
    <w:p>
      <w:pPr>
        <w:spacing w:after="0" w:line="200" w:lineRule="exact"/>
        <w:rPr>
          <w:sz w:val="20"/>
          <w:szCs w:val="20"/>
          <w:color w:val="auto"/>
        </w:rPr>
      </w:pP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174</w:t>
      </w:r>
    </w:p>
    <w:p>
      <w:pPr>
        <w:spacing w:after="0" w:line="10" w:lineRule="exact"/>
        <w:rPr>
          <w:sz w:val="20"/>
          <w:szCs w:val="20"/>
          <w:color w:val="auto"/>
        </w:rPr>
      </w:pPr>
    </w:p>
    <w:p>
      <w:pPr>
        <w:spacing w:after="0"/>
        <w:rPr>
          <w:sz w:val="20"/>
          <w:szCs w:val="20"/>
          <w:color w:val="auto"/>
        </w:rPr>
      </w:pPr>
      <w:r>
        <w:rPr>
          <w:rFonts w:ascii="Arial" w:cs="Arial" w:eastAsia="Arial" w:hAnsi="Arial"/>
          <w:sz w:val="14"/>
          <w:szCs w:val="14"/>
          <w:color w:val="auto"/>
        </w:rPr>
        <w:t>CHAR1\1346423v</w:t>
      </w:r>
      <w:r>
        <w:rPr>
          <w:rFonts w:ascii="Arial" w:cs="Arial" w:eastAsia="Arial" w:hAnsi="Arial"/>
          <w:sz w:val="14"/>
          <w:szCs w:val="14"/>
          <w:color w:val="FF0000"/>
          <w:strike w:val="1"/>
        </w:rPr>
        <w:t>1</w:t>
      </w:r>
      <w:r>
        <w:rPr>
          <w:rFonts w:ascii="Arial" w:cs="Arial" w:eastAsia="Arial" w:hAnsi="Arial"/>
          <w:sz w:val="14"/>
          <w:szCs w:val="14"/>
          <w:u w:val="single" w:color="auto"/>
          <w:color w:val="0000FF"/>
        </w:rPr>
        <w:t>12</w:t>
      </w:r>
    </w:p>
    <w:p>
      <w:pPr>
        <w:sectPr>
          <w:pgSz w:w="11900" w:h="16838" w:orient="portrait"/>
          <w:cols w:equalWidth="0" w:num="1">
            <w:col w:w="11400"/>
          </w:cols>
          <w:pgMar w:left="240" w:top="609" w:right="259" w:bottom="1440" w:gutter="0" w:footer="0" w:header="0"/>
        </w:sectPr>
      </w:pPr>
    </w:p>
    <w:bookmarkStart w:id="226" w:name="page227"/>
    <w:bookmarkEnd w:id="226"/>
    <w:p>
      <w:pPr>
        <w:spacing w:after="0" w:line="243" w:lineRule="auto"/>
        <w:rPr>
          <w:sz w:val="20"/>
          <w:szCs w:val="20"/>
          <w:color w:val="auto"/>
        </w:rPr>
      </w:pPr>
      <w:r>
        <w:rPr>
          <w:rFonts w:ascii="Arial" w:cs="Arial" w:eastAsia="Arial" w:hAnsi="Arial"/>
          <w:sz w:val="20"/>
          <w:szCs w:val="20"/>
          <w:color w:val="auto"/>
        </w:rPr>
        <w:t xml:space="preserve">report or other document delivered hereunder or thereunder or in connection herewith or therewith, (iii) the performance or observance of any of the covenants, agreements or other terms or conditions set forth herein or therein or the occurrence of any Default, (iv) the validity, enforceability, effectiveness or genuineness of this Credit Agreement, any other Credit Document or any other agreement, instrument or document, or the creation, perfection or priority of any Lien purported to be created by the Collateral Documents, (v) the value or sufficiency of any Collateral, or (vi) the satisfaction of any condition set forth in </w:t>
      </w:r>
      <w:r>
        <w:rPr>
          <w:rFonts w:ascii="Arial" w:cs="Arial" w:eastAsia="Arial" w:hAnsi="Arial"/>
          <w:sz w:val="20"/>
          <w:szCs w:val="20"/>
          <w:u w:val="single" w:color="auto"/>
          <w:color w:val="auto"/>
        </w:rPr>
        <w:t>Article V</w:t>
      </w:r>
      <w:r>
        <w:rPr>
          <w:rFonts w:ascii="Arial" w:cs="Arial" w:eastAsia="Arial" w:hAnsi="Arial"/>
          <w:sz w:val="20"/>
          <w:szCs w:val="20"/>
          <w:color w:val="auto"/>
        </w:rPr>
        <w:t xml:space="preserve"> or elsewhere herein, other than to confirm receipt of items expressly required to be delivered to the Administrative Agent.</w:t>
      </w:r>
    </w:p>
    <w:p>
      <w:pPr>
        <w:spacing w:after="0" w:line="224" w:lineRule="exact"/>
        <w:rPr>
          <w:sz w:val="20"/>
          <w:szCs w:val="20"/>
          <w:color w:val="auto"/>
        </w:rPr>
      </w:pPr>
    </w:p>
    <w:p>
      <w:pPr>
        <w:ind w:right="40" w:firstLine="648"/>
        <w:spacing w:after="0" w:line="300" w:lineRule="auto"/>
        <w:rPr>
          <w:sz w:val="20"/>
          <w:szCs w:val="20"/>
          <w:color w:val="auto"/>
        </w:rPr>
      </w:pPr>
      <w:r>
        <w:rPr>
          <w:rFonts w:ascii="Arial" w:cs="Arial" w:eastAsia="Arial" w:hAnsi="Arial"/>
          <w:sz w:val="19"/>
          <w:szCs w:val="19"/>
          <w:color w:val="auto"/>
        </w:rPr>
        <w:t xml:space="preserve">10.04 </w:t>
      </w:r>
      <w:r>
        <w:rPr>
          <w:rFonts w:ascii="Arial" w:cs="Arial" w:eastAsia="Arial" w:hAnsi="Arial"/>
          <w:sz w:val="19"/>
          <w:szCs w:val="19"/>
          <w:u w:val="single" w:color="auto"/>
          <w:color w:val="auto"/>
        </w:rPr>
        <w:t>Reliance by Administrative Agent</w:t>
      </w:r>
      <w:r>
        <w:rPr>
          <w:rFonts w:ascii="Arial" w:cs="Arial" w:eastAsia="Arial" w:hAnsi="Arial"/>
          <w:sz w:val="19"/>
          <w:szCs w:val="19"/>
          <w:color w:val="auto"/>
        </w:rPr>
        <w:t xml:space="preserve">. The Administrative Agent shall be entitled to rely upon, </w:t>
      </w:r>
      <w:r>
        <w:rPr>
          <w:rFonts w:ascii="Arial" w:cs="Arial" w:eastAsia="Arial" w:hAnsi="Arial"/>
          <w:sz w:val="19"/>
          <w:szCs w:val="19"/>
          <w:u w:val="single" w:color="auto"/>
          <w:color w:val="0000FF"/>
        </w:rPr>
        <w:t>and shall be fully protected in</w:t>
      </w:r>
      <w:r>
        <w:rPr>
          <w:rFonts w:ascii="Arial" w:cs="Arial" w:eastAsia="Arial" w:hAnsi="Arial"/>
          <w:sz w:val="19"/>
          <w:szCs w:val="19"/>
          <w:color w:val="auto"/>
        </w:rPr>
        <w:t xml:space="preserve"> </w:t>
      </w:r>
      <w:r>
        <w:rPr>
          <w:rFonts w:ascii="Arial" w:cs="Arial" w:eastAsia="Arial" w:hAnsi="Arial"/>
          <w:sz w:val="19"/>
          <w:szCs w:val="19"/>
          <w:u w:val="single" w:color="auto"/>
          <w:color w:val="0000FF"/>
        </w:rPr>
        <w:t>relying</w:t>
      </w:r>
      <w:r>
        <w:rPr>
          <w:rFonts w:ascii="Arial" w:cs="Arial" w:eastAsia="Arial" w:hAnsi="Arial"/>
          <w:sz w:val="19"/>
          <w:szCs w:val="19"/>
          <w:color w:val="0000FF"/>
        </w:rPr>
        <w:t xml:space="preserve"> </w:t>
      </w:r>
      <w:r>
        <w:rPr>
          <w:rFonts w:ascii="Arial" w:cs="Arial" w:eastAsia="Arial" w:hAnsi="Arial"/>
          <w:sz w:val="19"/>
          <w:szCs w:val="19"/>
          <w:color w:val="000000"/>
        </w:rPr>
        <w:t>and shall not incur any liability for relying upon, any notice, request, certificate,</w:t>
      </w:r>
      <w:r>
        <w:rPr>
          <w:rFonts w:ascii="Arial" w:cs="Arial" w:eastAsia="Arial" w:hAnsi="Arial"/>
          <w:sz w:val="19"/>
          <w:szCs w:val="19"/>
          <w:color w:val="0000FF"/>
        </w:rPr>
        <w:t xml:space="preserve"> </w:t>
      </w:r>
      <w:r>
        <w:rPr>
          <w:rFonts w:ascii="Arial" w:cs="Arial" w:eastAsia="Arial" w:hAnsi="Arial"/>
          <w:sz w:val="19"/>
          <w:szCs w:val="19"/>
          <w:u w:val="single" w:color="auto"/>
          <w:color w:val="0000FF"/>
        </w:rPr>
        <w:t>communication,</w:t>
      </w:r>
      <w:r>
        <w:rPr>
          <w:rFonts w:ascii="Arial" w:cs="Arial" w:eastAsia="Arial" w:hAnsi="Arial"/>
          <w:sz w:val="19"/>
          <w:szCs w:val="19"/>
          <w:color w:val="0000FF"/>
        </w:rPr>
        <w:t xml:space="preserve"> </w:t>
      </w:r>
      <w:r>
        <w:rPr>
          <w:rFonts w:ascii="Arial" w:cs="Arial" w:eastAsia="Arial" w:hAnsi="Arial"/>
          <w:sz w:val="19"/>
          <w:szCs w:val="19"/>
          <w:color w:val="000000"/>
        </w:rPr>
        <w:t>consent, statement, instrument,</w:t>
      </w:r>
      <w:r>
        <w:rPr>
          <w:rFonts w:ascii="Arial" w:cs="Arial" w:eastAsia="Arial" w:hAnsi="Arial"/>
          <w:sz w:val="19"/>
          <w:szCs w:val="19"/>
          <w:color w:val="0000FF"/>
        </w:rPr>
        <w:t xml:space="preserve"> </w:t>
      </w:r>
      <w:r>
        <w:rPr>
          <w:rFonts w:ascii="Arial" w:cs="Arial" w:eastAsia="Arial" w:hAnsi="Arial"/>
          <w:sz w:val="19"/>
          <w:szCs w:val="19"/>
          <w:color w:val="000000"/>
        </w:rPr>
        <w:t xml:space="preserve">document or other writing (including any electronic message, Internet or intranet website posting or other distribution) believed by it to be genuine and to have been signed, sent or otherwise authenticated by the proper Person. </w:t>
      </w:r>
      <w:r>
        <w:rPr>
          <w:rFonts w:ascii="Arial" w:cs="Arial" w:eastAsia="Arial" w:hAnsi="Arial"/>
          <w:sz w:val="19"/>
          <w:szCs w:val="19"/>
          <w:u w:val="single" w:color="auto"/>
          <w:color w:val="0000FF"/>
        </w:rPr>
        <w:t>The Administrative Agent may presume that electronic</w:t>
      </w:r>
      <w:r>
        <w:rPr>
          <w:rFonts w:ascii="Arial" w:cs="Arial" w:eastAsia="Arial" w:hAnsi="Arial"/>
          <w:sz w:val="19"/>
          <w:szCs w:val="19"/>
          <w:color w:val="000000"/>
        </w:rPr>
        <w:t xml:space="preserve"> </w:t>
      </w:r>
      <w:r>
        <w:rPr>
          <w:rFonts w:ascii="Arial" w:cs="Arial" w:eastAsia="Arial" w:hAnsi="Arial"/>
          <w:sz w:val="19"/>
          <w:szCs w:val="19"/>
          <w:u w:val="single" w:color="auto"/>
          <w:color w:val="0000FF"/>
        </w:rPr>
        <w:t>messages received in accordance with Section 2.02(a) are genuine and to have been sent by the proper Person.</w:t>
      </w:r>
      <w:r>
        <w:rPr>
          <w:rFonts w:ascii="Arial" w:cs="Arial" w:eastAsia="Arial" w:hAnsi="Arial"/>
          <w:sz w:val="19"/>
          <w:szCs w:val="19"/>
          <w:color w:val="0000FF"/>
        </w:rPr>
        <w:t xml:space="preserve"> </w:t>
      </w:r>
      <w:r>
        <w:rPr>
          <w:rFonts w:ascii="Arial" w:cs="Arial" w:eastAsia="Arial" w:hAnsi="Arial"/>
          <w:sz w:val="19"/>
          <w:szCs w:val="19"/>
          <w:color w:val="000000"/>
        </w:rPr>
        <w:t>The Administrative Agent also</w:t>
      </w:r>
      <w:r>
        <w:rPr>
          <w:rFonts w:ascii="Arial" w:cs="Arial" w:eastAsia="Arial" w:hAnsi="Arial"/>
          <w:sz w:val="19"/>
          <w:szCs w:val="19"/>
          <w:color w:val="0000FF"/>
        </w:rPr>
        <w:t xml:space="preserve"> </w:t>
      </w:r>
      <w:r>
        <w:rPr>
          <w:rFonts w:ascii="Arial" w:cs="Arial" w:eastAsia="Arial" w:hAnsi="Arial"/>
          <w:sz w:val="19"/>
          <w:szCs w:val="19"/>
          <w:color w:val="000000"/>
        </w:rPr>
        <w:t xml:space="preserve">may rely upon any statement made to it orally or by telephone and believed by it to have been made by the proper Person, </w:t>
      </w:r>
      <w:r>
        <w:rPr>
          <w:rFonts w:ascii="Arial" w:cs="Arial" w:eastAsia="Arial" w:hAnsi="Arial"/>
          <w:sz w:val="19"/>
          <w:szCs w:val="19"/>
          <w:u w:val="single" w:color="auto"/>
          <w:color w:val="0000FF"/>
        </w:rPr>
        <w:t>and shall be fully</w:t>
      </w:r>
      <w:r>
        <w:rPr>
          <w:rFonts w:ascii="Arial" w:cs="Arial" w:eastAsia="Arial" w:hAnsi="Arial"/>
          <w:sz w:val="19"/>
          <w:szCs w:val="19"/>
          <w:color w:val="000000"/>
        </w:rPr>
        <w:t xml:space="preserve"> </w:t>
      </w:r>
      <w:r>
        <w:rPr>
          <w:rFonts w:ascii="Arial" w:cs="Arial" w:eastAsia="Arial" w:hAnsi="Arial"/>
          <w:sz w:val="19"/>
          <w:szCs w:val="19"/>
          <w:u w:val="single" w:color="auto"/>
          <w:color w:val="0000FF"/>
        </w:rPr>
        <w:t>protected in relying</w:t>
      </w:r>
      <w:r>
        <w:rPr>
          <w:rFonts w:ascii="Arial" w:cs="Arial" w:eastAsia="Arial" w:hAnsi="Arial"/>
          <w:sz w:val="19"/>
          <w:szCs w:val="19"/>
          <w:color w:val="0000FF"/>
        </w:rPr>
        <w:t xml:space="preserve"> </w:t>
      </w:r>
      <w:r>
        <w:rPr>
          <w:rFonts w:ascii="Arial" w:cs="Arial" w:eastAsia="Arial" w:hAnsi="Arial"/>
          <w:sz w:val="19"/>
          <w:szCs w:val="19"/>
          <w:color w:val="000000"/>
        </w:rPr>
        <w:t>and shall not incur any liability for relying thereon. In determining compliance with any condition hereunder to the making</w:t>
      </w:r>
      <w:r>
        <w:rPr>
          <w:rFonts w:ascii="Arial" w:cs="Arial" w:eastAsia="Arial" w:hAnsi="Arial"/>
          <w:sz w:val="19"/>
          <w:szCs w:val="19"/>
          <w:color w:val="0000FF"/>
        </w:rPr>
        <w:t xml:space="preserve"> </w:t>
      </w:r>
      <w:r>
        <w:rPr>
          <w:rFonts w:ascii="Arial" w:cs="Arial" w:eastAsia="Arial" w:hAnsi="Arial"/>
          <w:sz w:val="19"/>
          <w:szCs w:val="19"/>
          <w:color w:val="000000"/>
        </w:rPr>
        <w:t>of a Loan, or the issuance</w:t>
      </w:r>
      <w:r>
        <w:rPr>
          <w:rFonts w:ascii="Arial" w:cs="Arial" w:eastAsia="Arial" w:hAnsi="Arial"/>
          <w:sz w:val="19"/>
          <w:szCs w:val="19"/>
          <w:u w:val="single" w:color="auto"/>
          <w:color w:val="00C000"/>
        </w:rPr>
        <w:t>, extension, renewal or increase</w:t>
      </w:r>
      <w:r>
        <w:rPr>
          <w:rFonts w:ascii="Arial" w:cs="Arial" w:eastAsia="Arial" w:hAnsi="Arial"/>
          <w:sz w:val="19"/>
          <w:szCs w:val="19"/>
          <w:color w:val="000000"/>
        </w:rPr>
        <w:t xml:space="preserve"> of a Letter of Credit, that by its terms must be fulfilled to the satisfaction of a Lender or an L/C Issuer, the Administrative Agent may presume that such condition is satisfactory to such Lender or such L/C Issuer unless the Administrative Agent shall have received notice to the contrary from such Lender or such L/C Issuer prior to the making of such Loan or the issuance of such Letter of Credit. The Administrative Agent may consult with legal counsel (who may be counsel for the Borrowers), independent accountants and other experts selected by it, and shall not be liable for any action taken or not taken by it in accordance with the advice of any such counsel, accountants or experts.</w:t>
      </w:r>
    </w:p>
    <w:p>
      <w:pPr>
        <w:spacing w:after="0" w:line="191" w:lineRule="exact"/>
        <w:rPr>
          <w:sz w:val="20"/>
          <w:szCs w:val="20"/>
          <w:color w:val="auto"/>
        </w:rPr>
      </w:pPr>
    </w:p>
    <w:p>
      <w:pPr>
        <w:ind w:firstLine="648"/>
        <w:spacing w:after="0" w:line="270" w:lineRule="exact"/>
        <w:rPr>
          <w:sz w:val="20"/>
          <w:szCs w:val="20"/>
          <w:color w:val="auto"/>
        </w:rPr>
      </w:pPr>
      <w:r>
        <w:rPr>
          <w:rFonts w:ascii="Arial" w:cs="Arial" w:eastAsia="Arial" w:hAnsi="Arial"/>
          <w:sz w:val="18"/>
          <w:szCs w:val="18"/>
          <w:color w:val="auto"/>
        </w:rPr>
        <w:t xml:space="preserve">10.05 </w:t>
      </w:r>
      <w:r>
        <w:rPr>
          <w:rFonts w:ascii="Arial" w:cs="Arial" w:eastAsia="Arial" w:hAnsi="Arial"/>
          <w:sz w:val="18"/>
          <w:szCs w:val="18"/>
          <w:u w:val="single" w:color="auto"/>
          <w:color w:val="auto"/>
        </w:rPr>
        <w:t>Delegation of Duties</w:t>
      </w:r>
      <w:r>
        <w:rPr>
          <w:rFonts w:ascii="Arial" w:cs="Arial" w:eastAsia="Arial" w:hAnsi="Arial"/>
          <w:sz w:val="18"/>
          <w:szCs w:val="18"/>
          <w:color w:val="auto"/>
        </w:rPr>
        <w:t>. The Administrative Agent may perform any and all of its duties and exercise its rights and powers hereunder or under any other Credit Document by or through any one or more sub</w:t>
      </w:r>
      <w:r>
        <w:rPr>
          <w:rFonts w:ascii="MS PGothic" w:cs="MS PGothic" w:eastAsia="MS PGothic" w:hAnsi="MS PGothic"/>
          <w:sz w:val="18"/>
          <w:szCs w:val="18"/>
          <w:color w:val="auto"/>
        </w:rPr>
        <w:t>‑</w:t>
      </w:r>
      <w:r>
        <w:rPr>
          <w:rFonts w:ascii="Arial" w:cs="Arial" w:eastAsia="Arial" w:hAnsi="Arial"/>
          <w:sz w:val="18"/>
          <w:szCs w:val="18"/>
          <w:color w:val="auto"/>
        </w:rPr>
        <w:t>agents appointed by the Administrative Agent. The Administrative Agent and any such sub</w:t>
      </w:r>
      <w:r>
        <w:rPr>
          <w:rFonts w:ascii="MS PGothic" w:cs="MS PGothic" w:eastAsia="MS PGothic" w:hAnsi="MS PGothic"/>
          <w:sz w:val="18"/>
          <w:szCs w:val="18"/>
          <w:color w:val="auto"/>
        </w:rPr>
        <w:t>‑</w:t>
      </w:r>
      <w:r>
        <w:rPr>
          <w:rFonts w:ascii="Arial" w:cs="Arial" w:eastAsia="Arial" w:hAnsi="Arial"/>
          <w:sz w:val="18"/>
          <w:szCs w:val="18"/>
          <w:color w:val="auto"/>
        </w:rPr>
        <w:t>agent may perform any and all of its duties and exercise its rights and powers by or through their respective Related Parties. The exculpatory provisions of this Article shall apply to any such sub</w:t>
      </w:r>
      <w:r>
        <w:rPr>
          <w:rFonts w:ascii="MS PGothic" w:cs="MS PGothic" w:eastAsia="MS PGothic" w:hAnsi="MS PGothic"/>
          <w:sz w:val="18"/>
          <w:szCs w:val="18"/>
          <w:color w:val="auto"/>
        </w:rPr>
        <w:t>‑</w:t>
      </w:r>
      <w:r>
        <w:rPr>
          <w:rFonts w:ascii="Arial" w:cs="Arial" w:eastAsia="Arial" w:hAnsi="Arial"/>
          <w:sz w:val="18"/>
          <w:szCs w:val="18"/>
          <w:color w:val="auto"/>
        </w:rPr>
        <w:t>agent and to the Related Parties of the Administrative Agent and any such sub</w:t>
      </w:r>
      <w:r>
        <w:rPr>
          <w:rFonts w:ascii="MS PGothic" w:cs="MS PGothic" w:eastAsia="MS PGothic" w:hAnsi="MS PGothic"/>
          <w:sz w:val="18"/>
          <w:szCs w:val="18"/>
          <w:color w:val="auto"/>
        </w:rPr>
        <w:t>‑</w:t>
      </w:r>
      <w:r>
        <w:rPr>
          <w:rFonts w:ascii="Arial" w:cs="Arial" w:eastAsia="Arial" w:hAnsi="Arial"/>
          <w:sz w:val="18"/>
          <w:szCs w:val="18"/>
          <w:color w:val="auto"/>
        </w:rPr>
        <w:t xml:space="preserve">agent, and shall apply to their respective activities in connection with the syndication of the credit facilities provided for herein as well as activities as Administrative Agent. </w:t>
      </w:r>
      <w:r>
        <w:rPr>
          <w:rFonts w:ascii="Arial" w:cs="Arial" w:eastAsia="Arial" w:hAnsi="Arial"/>
          <w:sz w:val="18"/>
          <w:szCs w:val="18"/>
          <w:u w:val="single" w:color="auto"/>
          <w:color w:val="0000FF"/>
        </w:rPr>
        <w:t>The Administrative Agent shall not be responsible for the negligence</w:t>
      </w:r>
      <w:r>
        <w:rPr>
          <w:rFonts w:ascii="Arial" w:cs="Arial" w:eastAsia="Arial" w:hAnsi="Arial"/>
          <w:sz w:val="18"/>
          <w:szCs w:val="18"/>
          <w:color w:val="auto"/>
        </w:rPr>
        <w:t xml:space="preserve"> </w:t>
      </w:r>
      <w:r>
        <w:rPr>
          <w:rFonts w:ascii="Arial" w:cs="Arial" w:eastAsia="Arial" w:hAnsi="Arial"/>
          <w:sz w:val="18"/>
          <w:szCs w:val="18"/>
          <w:u w:val="single" w:color="auto"/>
          <w:color w:val="0000FF"/>
        </w:rPr>
        <w:t>or misconduct of any sub-agents except to the extent that a court of competent jurisdiction determines in a final and nonappealable judgment that the Administrative Agent acted with gross negligence or willful misconduct in the selection of such sub-agents.</w:t>
      </w:r>
    </w:p>
    <w:p>
      <w:pPr>
        <w:spacing w:after="0" w:line="238" w:lineRule="exact"/>
        <w:rPr>
          <w:sz w:val="20"/>
          <w:szCs w:val="20"/>
          <w:color w:val="auto"/>
        </w:rPr>
      </w:pPr>
    </w:p>
    <w:p>
      <w:pPr>
        <w:ind w:right="280" w:firstLine="648"/>
        <w:spacing w:after="0" w:line="313" w:lineRule="auto"/>
        <w:rPr>
          <w:sz w:val="20"/>
          <w:szCs w:val="20"/>
          <w:color w:val="auto"/>
        </w:rPr>
      </w:pPr>
      <w:r>
        <w:rPr>
          <w:rFonts w:ascii="Arial" w:cs="Arial" w:eastAsia="Arial" w:hAnsi="Arial"/>
          <w:sz w:val="19"/>
          <w:szCs w:val="19"/>
          <w:color w:val="auto"/>
        </w:rPr>
        <w:t xml:space="preserve">10.06 </w:t>
      </w:r>
      <w:r>
        <w:rPr>
          <w:rFonts w:ascii="Arial" w:cs="Arial" w:eastAsia="Arial" w:hAnsi="Arial"/>
          <w:sz w:val="19"/>
          <w:szCs w:val="19"/>
          <w:u w:val="single" w:color="auto"/>
          <w:color w:val="auto"/>
        </w:rPr>
        <w:t>Resignation of the Administrative Agent</w:t>
      </w:r>
      <w:r>
        <w:rPr>
          <w:rFonts w:ascii="Arial" w:cs="Arial" w:eastAsia="Arial" w:hAnsi="Arial"/>
          <w:sz w:val="19"/>
          <w:szCs w:val="19"/>
          <w:color w:val="auto"/>
        </w:rPr>
        <w:t>. The Administrative Agent may at any time give notice of its resignation to the Lenders, the L/C Issuers and the Borrowers. Upon receipt of any such notice of resignation, the Required Lenders shall have the right, in consultation with the Borrowers, to appoint a successor, which shall be a bank with an office in the United States, or an Affiliate of any such bank with an office in the United States. If no such successor shall have been so appointed by the</w:t>
      </w:r>
    </w:p>
    <w:p>
      <w:pPr>
        <w:spacing w:after="0" w:line="386"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175</w:t>
      </w:r>
    </w:p>
    <w:p>
      <w:pPr>
        <w:spacing w:after="0" w:line="10" w:lineRule="exact"/>
        <w:rPr>
          <w:sz w:val="20"/>
          <w:szCs w:val="20"/>
          <w:color w:val="auto"/>
        </w:rPr>
      </w:pPr>
    </w:p>
    <w:p>
      <w:pPr>
        <w:spacing w:after="0"/>
        <w:rPr>
          <w:sz w:val="20"/>
          <w:szCs w:val="20"/>
          <w:color w:val="auto"/>
        </w:rPr>
      </w:pPr>
      <w:r>
        <w:rPr>
          <w:rFonts w:ascii="Arial" w:cs="Arial" w:eastAsia="Arial" w:hAnsi="Arial"/>
          <w:sz w:val="14"/>
          <w:szCs w:val="14"/>
          <w:color w:val="auto"/>
        </w:rPr>
        <w:t>CHAR1\1346423v</w:t>
      </w:r>
      <w:r>
        <w:rPr>
          <w:rFonts w:ascii="Arial" w:cs="Arial" w:eastAsia="Arial" w:hAnsi="Arial"/>
          <w:sz w:val="14"/>
          <w:szCs w:val="14"/>
          <w:color w:val="FF0000"/>
          <w:strike w:val="1"/>
        </w:rPr>
        <w:t>1</w:t>
      </w:r>
      <w:r>
        <w:rPr>
          <w:rFonts w:ascii="Arial" w:cs="Arial" w:eastAsia="Arial" w:hAnsi="Arial"/>
          <w:sz w:val="14"/>
          <w:szCs w:val="14"/>
          <w:u w:val="single" w:color="auto"/>
          <w:color w:val="0000FF"/>
        </w:rPr>
        <w:t>12</w:t>
      </w:r>
    </w:p>
    <w:p>
      <w:pPr>
        <w:sectPr>
          <w:pgSz w:w="11900" w:h="16838" w:orient="portrait"/>
          <w:cols w:equalWidth="0" w:num="1">
            <w:col w:w="11400"/>
          </w:cols>
          <w:pgMar w:left="240" w:top="582" w:right="259" w:bottom="1440" w:gutter="0" w:footer="0" w:header="0"/>
        </w:sectPr>
      </w:pPr>
    </w:p>
    <w:bookmarkStart w:id="227" w:name="page228"/>
    <w:bookmarkEnd w:id="227"/>
    <w:p>
      <w:pPr>
        <w:ind w:right="20"/>
        <w:spacing w:after="0" w:line="352" w:lineRule="auto"/>
        <w:rPr>
          <w:sz w:val="20"/>
          <w:szCs w:val="20"/>
          <w:color w:val="auto"/>
        </w:rPr>
      </w:pPr>
      <w:r>
        <w:rPr>
          <w:rFonts w:ascii="Arial" w:cs="Arial" w:eastAsia="Arial" w:hAnsi="Arial"/>
          <w:sz w:val="16"/>
          <w:szCs w:val="16"/>
          <w:color w:val="auto"/>
        </w:rPr>
        <w:t xml:space="preserve">Required Lenders and shall have accepted such appointment within 30 days after the retiring Administrative Agent gives notice of its resignation, then the retiring Administrative Agent may on behalf of the Lenders and the L/C Issuers, appoint a successor Administrative Agent meeting the qualifications set forth above;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if the Administrative Agent shall notify the Borrowers and the Lenders that no qualifying Person has accepted such appointment, then such resignation shall nonetheless become effective in accordance with such notice and</w:t>
      </w:r>
    </w:p>
    <w:p>
      <w:pPr>
        <w:spacing w:after="0" w:line="1" w:lineRule="exact"/>
        <w:rPr>
          <w:sz w:val="20"/>
          <w:szCs w:val="20"/>
          <w:color w:val="auto"/>
        </w:rPr>
      </w:pPr>
    </w:p>
    <w:p>
      <w:pPr>
        <w:ind w:firstLine="8"/>
        <w:spacing w:after="0" w:line="269" w:lineRule="exact"/>
        <w:tabs>
          <w:tab w:leader="none" w:pos="280" w:val="left"/>
        </w:tabs>
        <w:numPr>
          <w:ilvl w:val="0"/>
          <w:numId w:val="255"/>
        </w:numPr>
        <w:rPr>
          <w:rFonts w:ascii="Arial" w:cs="Arial" w:eastAsia="Arial" w:hAnsi="Arial"/>
          <w:sz w:val="19"/>
          <w:szCs w:val="19"/>
          <w:color w:val="auto"/>
        </w:rPr>
      </w:pPr>
      <w:r>
        <w:rPr>
          <w:rFonts w:ascii="Arial" w:cs="Arial" w:eastAsia="Arial" w:hAnsi="Arial"/>
          <w:sz w:val="19"/>
          <w:szCs w:val="19"/>
          <w:color w:val="auto"/>
        </w:rPr>
        <w:t xml:space="preserve">the retiring Administrative Agent shall be discharged from its duties and obligations hereunder and under the other Credit Documents (except that in the case of any collateral security held by the Administrative Agent on behalf of the Lenders or the L/C Issuers under any of the Credit Documents, the retiring Administrative Agent shall continue to hold such collateral security until such time as a successor Administrative Agent is appointed) and (2) all payments, communications and determinations provided to be made by, to or through the Administrative Agent shall instead be made by or to each Lender and each L/C Issuer directly, until such time as the Required Lenders appoint a successor Administrative Agent as provided for above in this Section. Upon the acceptance of a successor’s appointment as Administrative Agent hereunder, such successor shall succeed to and become vested with all of the rights, powers, privileges and duties of the retiring (or retired) Administrative Agent, and the retiring Administrative Agent shall be discharged from all of its duties and obligations hereunder or under the other Credit Documents (if not already discharged therefrom as provided above in this Section). The fees payable by the Borrowers to a successor Administrative Agent shall be the same as those payable to its predecessor unless otherwise agreed between the Borrowers and such successor. After the retiring Administrative Agent’s resignation hereunder and under the other Credit Documents, the provisions of this Article and </w:t>
      </w:r>
      <w:r>
        <w:rPr>
          <w:rFonts w:ascii="Arial" w:cs="Arial" w:eastAsia="Arial" w:hAnsi="Arial"/>
          <w:sz w:val="19"/>
          <w:szCs w:val="19"/>
          <w:u w:val="single" w:color="auto"/>
          <w:color w:val="auto"/>
        </w:rPr>
        <w:t>Section 11.04</w:t>
      </w:r>
      <w:r>
        <w:rPr>
          <w:rFonts w:ascii="Arial" w:cs="Arial" w:eastAsia="Arial" w:hAnsi="Arial"/>
          <w:sz w:val="19"/>
          <w:szCs w:val="19"/>
          <w:color w:val="auto"/>
        </w:rPr>
        <w:t xml:space="preserve"> shall continue in effect for the benefit of such retiring Administrative Agent, its sub</w:t>
      </w:r>
      <w:r>
        <w:rPr>
          <w:rFonts w:ascii="MS PGothic" w:cs="MS PGothic" w:eastAsia="MS PGothic" w:hAnsi="MS PGothic"/>
          <w:sz w:val="19"/>
          <w:szCs w:val="19"/>
          <w:color w:val="auto"/>
        </w:rPr>
        <w:t>‑</w:t>
      </w:r>
      <w:r>
        <w:rPr>
          <w:rFonts w:ascii="Arial" w:cs="Arial" w:eastAsia="Arial" w:hAnsi="Arial"/>
          <w:sz w:val="19"/>
          <w:szCs w:val="19"/>
          <w:color w:val="auto"/>
        </w:rPr>
        <w:t>agents and their respective Related Parties in respect of any actions taken or omitted to be taken by any of them while the retiring Administrative Agent was acting as Administrative Agent.</w:t>
      </w:r>
    </w:p>
    <w:p>
      <w:pPr>
        <w:spacing w:after="0" w:line="211" w:lineRule="exact"/>
        <w:rPr>
          <w:sz w:val="20"/>
          <w:szCs w:val="20"/>
          <w:color w:val="auto"/>
        </w:rPr>
      </w:pPr>
    </w:p>
    <w:p>
      <w:pPr>
        <w:ind w:right="40" w:firstLine="648"/>
        <w:spacing w:after="0" w:line="243" w:lineRule="auto"/>
        <w:rPr>
          <w:sz w:val="20"/>
          <w:szCs w:val="20"/>
          <w:color w:val="auto"/>
        </w:rPr>
      </w:pPr>
      <w:r>
        <w:rPr>
          <w:rFonts w:ascii="Arial" w:cs="Arial" w:eastAsia="Arial" w:hAnsi="Arial"/>
          <w:sz w:val="20"/>
          <w:szCs w:val="20"/>
          <w:color w:val="auto"/>
        </w:rPr>
        <w:t>Any resignation by Bank of America as Administrative Agent pursuant to this Section shall also constitute its resignation as L/C Issuer and Swingline Lender. Upon the acceptance of a successor’s appointment as Administrative Agent hereunder, (a) such successor shall succeed to and become vested with all of the rights, powers, privileges and duties of the retiring L/C Issuer and Swingline Lender, (b) the retiring L/C Issuer and Swingline Lender shall be discharged from all of their respective duties and obligations hereunder or under the other Credit Documents, and (c) the successor L/C Issuer shall issue letters of credit in substitution for the Letters of Credit, if any, outstanding at the time of such succession or make other arrangement satisfactory to the retiring L/C Issuer to effectively assume the obligations of the retiring L/C Issuer with respect to such Letters of Credit.</w:t>
      </w:r>
    </w:p>
    <w:p>
      <w:pPr>
        <w:spacing w:after="0" w:line="220" w:lineRule="exact"/>
        <w:rPr>
          <w:sz w:val="20"/>
          <w:szCs w:val="20"/>
          <w:color w:val="auto"/>
        </w:rPr>
      </w:pPr>
    </w:p>
    <w:p>
      <w:pPr>
        <w:ind w:firstLine="648"/>
        <w:spacing w:after="0" w:line="305" w:lineRule="auto"/>
        <w:rPr>
          <w:sz w:val="20"/>
          <w:szCs w:val="20"/>
          <w:color w:val="auto"/>
        </w:rPr>
      </w:pPr>
      <w:r>
        <w:rPr>
          <w:rFonts w:ascii="Arial" w:cs="Arial" w:eastAsia="Arial" w:hAnsi="Arial"/>
          <w:sz w:val="19"/>
          <w:szCs w:val="19"/>
          <w:color w:val="auto"/>
        </w:rPr>
        <w:t xml:space="preserve">10.07 </w:t>
      </w:r>
      <w:r>
        <w:rPr>
          <w:rFonts w:ascii="Arial" w:cs="Arial" w:eastAsia="Arial" w:hAnsi="Arial"/>
          <w:sz w:val="19"/>
          <w:szCs w:val="19"/>
          <w:u w:val="single" w:color="auto"/>
          <w:color w:val="auto"/>
        </w:rPr>
        <w:t>Non-Reliance on Administrative Agent and Other Lenders</w:t>
      </w:r>
      <w:r>
        <w:rPr>
          <w:rFonts w:ascii="Arial" w:cs="Arial" w:eastAsia="Arial" w:hAnsi="Arial"/>
          <w:sz w:val="19"/>
          <w:szCs w:val="19"/>
          <w:color w:val="auto"/>
        </w:rPr>
        <w:t>. Each of the Lenders and the L/C Issuers acknowledges that it has, independently and without reliance upon the Administrative Agent or any other Lender or any of their Related Parties and based on such documents and information as it has deemed appropriate, made its own credit analysis and decision to enter into this Credit Agreement. Each of the Lender and the L/C Issuers also acknowledges that it will, independently and without reliance upon the Administrative Agent or any other Lender or any of their Related Parties and based on such documents and information as it shall from time to time deem appropriate, continue to make its own decisions in taking or not taking action under or based upon this Credit Agreement, any other Credit Document or any related agreement or any document furnished hereunder or thereunder.</w:t>
      </w:r>
    </w:p>
    <w:p>
      <w:pPr>
        <w:spacing w:after="0" w:line="393"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176</w:t>
      </w:r>
    </w:p>
    <w:p>
      <w:pPr>
        <w:spacing w:after="0" w:line="10" w:lineRule="exact"/>
        <w:rPr>
          <w:sz w:val="20"/>
          <w:szCs w:val="20"/>
          <w:color w:val="auto"/>
        </w:rPr>
      </w:pPr>
    </w:p>
    <w:p>
      <w:pPr>
        <w:spacing w:after="0"/>
        <w:rPr>
          <w:sz w:val="20"/>
          <w:szCs w:val="20"/>
          <w:color w:val="auto"/>
        </w:rPr>
      </w:pPr>
      <w:r>
        <w:rPr>
          <w:rFonts w:ascii="Arial" w:cs="Arial" w:eastAsia="Arial" w:hAnsi="Arial"/>
          <w:sz w:val="14"/>
          <w:szCs w:val="14"/>
          <w:color w:val="auto"/>
        </w:rPr>
        <w:t>CHAR1\1346423v</w:t>
      </w:r>
      <w:r>
        <w:rPr>
          <w:rFonts w:ascii="Arial" w:cs="Arial" w:eastAsia="Arial" w:hAnsi="Arial"/>
          <w:sz w:val="14"/>
          <w:szCs w:val="14"/>
          <w:color w:val="FF0000"/>
          <w:strike w:val="1"/>
        </w:rPr>
        <w:t>1</w:t>
      </w:r>
      <w:r>
        <w:rPr>
          <w:rFonts w:ascii="Arial" w:cs="Arial" w:eastAsia="Arial" w:hAnsi="Arial"/>
          <w:sz w:val="14"/>
          <w:szCs w:val="14"/>
          <w:u w:val="single" w:color="auto"/>
          <w:color w:val="0000FF"/>
        </w:rPr>
        <w:t>12</w:t>
      </w:r>
    </w:p>
    <w:p>
      <w:pPr>
        <w:sectPr>
          <w:pgSz w:w="11900" w:h="16838" w:orient="portrait"/>
          <w:cols w:equalWidth="0" w:num="1">
            <w:col w:w="11400"/>
          </w:cols>
          <w:pgMar w:left="240" w:top="609" w:right="259" w:bottom="1440" w:gutter="0" w:footer="0" w:header="0"/>
        </w:sectPr>
      </w:pPr>
    </w:p>
    <w:bookmarkStart w:id="228" w:name="page229"/>
    <w:bookmarkEnd w:id="228"/>
    <w:p>
      <w:pPr>
        <w:ind w:right="20" w:firstLine="648"/>
        <w:spacing w:after="0" w:line="293" w:lineRule="auto"/>
        <w:rPr>
          <w:sz w:val="20"/>
          <w:szCs w:val="20"/>
          <w:color w:val="auto"/>
        </w:rPr>
      </w:pPr>
      <w:r>
        <w:rPr>
          <w:rFonts w:ascii="Arial" w:cs="Arial" w:eastAsia="Arial" w:hAnsi="Arial"/>
          <w:sz w:val="20"/>
          <w:szCs w:val="20"/>
          <w:color w:val="auto"/>
        </w:rPr>
        <w:t xml:space="preserve">10.08 </w:t>
      </w:r>
      <w:r>
        <w:rPr>
          <w:rFonts w:ascii="Arial" w:cs="Arial" w:eastAsia="Arial" w:hAnsi="Arial"/>
          <w:sz w:val="20"/>
          <w:szCs w:val="20"/>
          <w:u w:val="single" w:color="auto"/>
          <w:color w:val="auto"/>
        </w:rPr>
        <w:t>No Other Duties</w:t>
      </w:r>
      <w:r>
        <w:rPr>
          <w:rFonts w:ascii="Arial" w:cs="Arial" w:eastAsia="Arial" w:hAnsi="Arial"/>
          <w:sz w:val="20"/>
          <w:szCs w:val="20"/>
          <w:color w:val="auto"/>
        </w:rPr>
        <w:t>. Anything herein to the contrary notwithstanding, none of the Joint Lead Arrangers, Joint Book Managers, Syndication Agents or Co-Documentation Agents listed on the cover page hereof shall have any powers, duties or responsibilities under this Credit Agreement or any of the other Credit Documents, except in their respective capacities, as applicable, as Administrative Agent, Lender or L/C Issuer hereunder.</w:t>
      </w:r>
    </w:p>
    <w:p>
      <w:pPr>
        <w:spacing w:after="0" w:line="187" w:lineRule="exact"/>
        <w:rPr>
          <w:sz w:val="20"/>
          <w:szCs w:val="20"/>
          <w:color w:val="auto"/>
        </w:rPr>
      </w:pPr>
    </w:p>
    <w:p>
      <w:pPr>
        <w:ind w:right="220" w:firstLine="648"/>
        <w:spacing w:after="0" w:line="335" w:lineRule="auto"/>
        <w:rPr>
          <w:sz w:val="20"/>
          <w:szCs w:val="20"/>
          <w:color w:val="auto"/>
        </w:rPr>
      </w:pPr>
      <w:r>
        <w:rPr>
          <w:rFonts w:ascii="Arial" w:cs="Arial" w:eastAsia="Arial" w:hAnsi="Arial"/>
          <w:sz w:val="18"/>
          <w:szCs w:val="18"/>
          <w:color w:val="auto"/>
        </w:rPr>
        <w:t xml:space="preserve">10.09 </w:t>
      </w:r>
      <w:r>
        <w:rPr>
          <w:rFonts w:ascii="Arial" w:cs="Arial" w:eastAsia="Arial" w:hAnsi="Arial"/>
          <w:sz w:val="18"/>
          <w:szCs w:val="18"/>
          <w:u w:val="single" w:color="auto"/>
          <w:color w:val="auto"/>
        </w:rPr>
        <w:t>Administrative Agent May File Proofs of Claim</w:t>
      </w:r>
      <w:r>
        <w:rPr>
          <w:rFonts w:ascii="Arial" w:cs="Arial" w:eastAsia="Arial" w:hAnsi="Arial"/>
          <w:sz w:val="18"/>
          <w:szCs w:val="18"/>
          <w:color w:val="auto"/>
        </w:rPr>
        <w:t>. In case of the pendency of any proceeding under any Debtor Relief Law or any other judicial proceeding relative to any Credit Party, the Administrative Agent (irrespective of whether the principal of any Loan or L/C Obligation shall then be due and payable as herein expressed or by declaration or otherwise and irrespective of whether the Administrative Agent shall have made any demand on the Borrowers) shall be entitled and empowered, by intervention in such proceeding or otherwise:</w:t>
      </w:r>
    </w:p>
    <w:p>
      <w:pPr>
        <w:spacing w:after="0" w:line="154" w:lineRule="exact"/>
        <w:rPr>
          <w:sz w:val="20"/>
          <w:szCs w:val="20"/>
          <w:color w:val="auto"/>
        </w:rPr>
      </w:pPr>
    </w:p>
    <w:p>
      <w:pPr>
        <w:ind w:left="1700" w:hanging="395"/>
        <w:spacing w:after="0"/>
        <w:tabs>
          <w:tab w:leader="none" w:pos="1700" w:val="left"/>
        </w:tabs>
        <w:numPr>
          <w:ilvl w:val="0"/>
          <w:numId w:val="256"/>
        </w:numPr>
        <w:rPr>
          <w:rFonts w:ascii="Arial" w:cs="Arial" w:eastAsia="Arial" w:hAnsi="Arial"/>
          <w:sz w:val="18"/>
          <w:szCs w:val="18"/>
          <w:color w:val="auto"/>
        </w:rPr>
      </w:pPr>
      <w:r>
        <w:rPr>
          <w:rFonts w:ascii="Arial" w:cs="Arial" w:eastAsia="Arial" w:hAnsi="Arial"/>
          <w:sz w:val="18"/>
          <w:szCs w:val="18"/>
          <w:color w:val="auto"/>
        </w:rPr>
        <w:t>to file and prove a claim for the whole amount of the principal and interest owing and unpaid in respect of the Loans, L/C</w:t>
      </w:r>
    </w:p>
    <w:p>
      <w:pPr>
        <w:spacing w:after="0" w:line="76" w:lineRule="exact"/>
        <w:rPr>
          <w:rFonts w:ascii="Arial" w:cs="Arial" w:eastAsia="Arial" w:hAnsi="Arial"/>
          <w:sz w:val="18"/>
          <w:szCs w:val="18"/>
          <w:color w:val="auto"/>
        </w:rPr>
      </w:pPr>
    </w:p>
    <w:p>
      <w:pPr>
        <w:ind w:left="660"/>
        <w:spacing w:after="0" w:line="286" w:lineRule="auto"/>
        <w:rPr>
          <w:rFonts w:ascii="Arial" w:cs="Arial" w:eastAsia="Arial" w:hAnsi="Arial"/>
          <w:sz w:val="18"/>
          <w:szCs w:val="18"/>
          <w:color w:val="auto"/>
        </w:rPr>
      </w:pPr>
      <w:r>
        <w:rPr>
          <w:rFonts w:ascii="Arial" w:cs="Arial" w:eastAsia="Arial" w:hAnsi="Arial"/>
          <w:sz w:val="20"/>
          <w:szCs w:val="20"/>
          <w:color w:val="auto"/>
        </w:rPr>
        <w:t xml:space="preserve">Obligations and all other Obligations (other than obligations under Swap Contracts or Treasury Management Agreements to which the Administrative Agent is not a party) that are owing and unpaid and to file such other documents as may be necessary or advisable in order to have the claims of the Lenders, the L/C Issuers and the Administrative Agent (including any claim for the reasonable compensation, expenses, disbursements and advances of the Lenders, the L/C Issuers and the Administrative Agent and their respective agents and counsel and all other amounts due the Lenders, the L/C Issuers and the Administrative Agent under </w:t>
      </w:r>
      <w:r>
        <w:rPr>
          <w:rFonts w:ascii="Arial" w:cs="Arial" w:eastAsia="Arial" w:hAnsi="Arial"/>
          <w:sz w:val="20"/>
          <w:szCs w:val="20"/>
          <w:u w:val="single" w:color="auto"/>
          <w:color w:val="auto"/>
        </w:rPr>
        <w:t>Sections 2.09</w:t>
      </w:r>
      <w:r>
        <w:rPr>
          <w:rFonts w:ascii="Arial" w:cs="Arial" w:eastAsia="Arial" w:hAnsi="Arial"/>
          <w:sz w:val="20"/>
          <w:szCs w:val="20"/>
          <w:color w:val="auto"/>
        </w:rPr>
        <w:t xml:space="preserve"> and </w:t>
      </w:r>
      <w:r>
        <w:rPr>
          <w:rFonts w:ascii="Arial" w:cs="Arial" w:eastAsia="Arial" w:hAnsi="Arial"/>
          <w:sz w:val="20"/>
          <w:szCs w:val="20"/>
          <w:u w:val="single" w:color="auto"/>
          <w:color w:val="auto"/>
        </w:rPr>
        <w:t>11.04</w:t>
      </w:r>
      <w:r>
        <w:rPr>
          <w:rFonts w:ascii="Arial" w:cs="Arial" w:eastAsia="Arial" w:hAnsi="Arial"/>
          <w:sz w:val="20"/>
          <w:szCs w:val="20"/>
          <w:color w:val="auto"/>
        </w:rPr>
        <w:t>) allowed in such judicial proceeding; and</w:t>
      </w:r>
    </w:p>
    <w:p>
      <w:pPr>
        <w:spacing w:after="0" w:line="192" w:lineRule="exact"/>
        <w:rPr>
          <w:rFonts w:ascii="Arial" w:cs="Arial" w:eastAsia="Arial" w:hAnsi="Arial"/>
          <w:sz w:val="18"/>
          <w:szCs w:val="18"/>
          <w:color w:val="auto"/>
        </w:rPr>
      </w:pPr>
    </w:p>
    <w:p>
      <w:pPr>
        <w:ind w:left="1720" w:hanging="415"/>
        <w:spacing w:after="0"/>
        <w:tabs>
          <w:tab w:leader="none" w:pos="1720" w:val="left"/>
        </w:tabs>
        <w:numPr>
          <w:ilvl w:val="0"/>
          <w:numId w:val="256"/>
        </w:numPr>
        <w:rPr>
          <w:rFonts w:ascii="Arial" w:cs="Arial" w:eastAsia="Arial" w:hAnsi="Arial"/>
          <w:sz w:val="18"/>
          <w:szCs w:val="18"/>
          <w:color w:val="auto"/>
        </w:rPr>
      </w:pPr>
      <w:r>
        <w:rPr>
          <w:rFonts w:ascii="Arial" w:cs="Arial" w:eastAsia="Arial" w:hAnsi="Arial"/>
          <w:sz w:val="18"/>
          <w:szCs w:val="18"/>
          <w:color w:val="auto"/>
        </w:rPr>
        <w:t>to collect and receive any monies or other property payable or deliverable on any such claims and to distribute the same;</w:t>
      </w:r>
    </w:p>
    <w:p>
      <w:pPr>
        <w:spacing w:after="0" w:line="266" w:lineRule="exact"/>
        <w:rPr>
          <w:sz w:val="20"/>
          <w:szCs w:val="20"/>
          <w:color w:val="auto"/>
        </w:rPr>
      </w:pPr>
    </w:p>
    <w:p>
      <w:pPr>
        <w:spacing w:after="0" w:line="260" w:lineRule="auto"/>
        <w:rPr>
          <w:sz w:val="20"/>
          <w:szCs w:val="20"/>
          <w:color w:val="auto"/>
        </w:rPr>
      </w:pPr>
      <w:r>
        <w:rPr>
          <w:rFonts w:ascii="Arial" w:cs="Arial" w:eastAsia="Arial" w:hAnsi="Arial"/>
          <w:sz w:val="19"/>
          <w:szCs w:val="19"/>
          <w:color w:val="auto"/>
        </w:rPr>
        <w:t xml:space="preserve">and any custodian, receiver, assignee, trustee, liquidator, sequestrator or other similar official in any such judicial proceeding is hereby authorized by each Lender and each L/C Issuer to make such payments to the Administrative Agent and, in the event that the Administrative Agent shall consent to the making of such payments directly to the Lenders and the L/C Issuers, to pay to the Administrative Agent any amount due for the reasonable compensation, expenses, disbursements and advances of the Administrative Agent and its agents and counsel, and any other amounts due the Administrative Agent under </w:t>
      </w:r>
      <w:r>
        <w:rPr>
          <w:rFonts w:ascii="Arial" w:cs="Arial" w:eastAsia="Arial" w:hAnsi="Arial"/>
          <w:sz w:val="19"/>
          <w:szCs w:val="19"/>
          <w:u w:val="single" w:color="auto"/>
          <w:color w:val="auto"/>
        </w:rPr>
        <w:t>Sections 2.09</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11.04</w:t>
      </w:r>
      <w:r>
        <w:rPr>
          <w:rFonts w:ascii="Arial" w:cs="Arial" w:eastAsia="Arial" w:hAnsi="Arial"/>
          <w:sz w:val="19"/>
          <w:szCs w:val="19"/>
          <w:color w:val="auto"/>
        </w:rPr>
        <w:t>.</w:t>
      </w:r>
    </w:p>
    <w:p>
      <w:pPr>
        <w:spacing w:after="0" w:line="181" w:lineRule="exact"/>
        <w:rPr>
          <w:sz w:val="20"/>
          <w:szCs w:val="20"/>
          <w:color w:val="auto"/>
        </w:rPr>
      </w:pPr>
    </w:p>
    <w:p>
      <w:pPr>
        <w:ind w:right="40" w:firstLine="648"/>
        <w:spacing w:after="0" w:line="246" w:lineRule="auto"/>
        <w:rPr>
          <w:sz w:val="20"/>
          <w:szCs w:val="20"/>
          <w:color w:val="auto"/>
        </w:rPr>
      </w:pPr>
      <w:r>
        <w:rPr>
          <w:rFonts w:ascii="Arial" w:cs="Arial" w:eastAsia="Arial" w:hAnsi="Arial"/>
          <w:sz w:val="20"/>
          <w:szCs w:val="20"/>
          <w:color w:val="auto"/>
        </w:rPr>
        <w:t>Nothing contained herein shall be deemed to authorize the Administrative Agent to authorize or consent to or accept or adopt on behalf of any Lender or any L/C Issuer any plan of reorganization, arrangement, adjustment or composition affecting the Obligations or the rights of any Lender or any L/C Issuer to authorize the Administrative Agent to vote in respect of the claim of any Lender or any L/C Issuer in any such proceeding.</w:t>
      </w:r>
    </w:p>
    <w:p>
      <w:pPr>
        <w:spacing w:after="0" w:line="219" w:lineRule="exact"/>
        <w:rPr>
          <w:sz w:val="20"/>
          <w:szCs w:val="20"/>
          <w:color w:val="auto"/>
        </w:rPr>
      </w:pPr>
    </w:p>
    <w:p>
      <w:pPr>
        <w:ind w:left="660"/>
        <w:spacing w:after="0"/>
        <w:tabs>
          <w:tab w:leader="none" w:pos="1260" w:val="left"/>
        </w:tabs>
        <w:rPr>
          <w:sz w:val="20"/>
          <w:szCs w:val="20"/>
          <w:color w:val="auto"/>
        </w:rPr>
      </w:pPr>
      <w:r>
        <w:rPr>
          <w:rFonts w:ascii="Arial" w:cs="Arial" w:eastAsia="Arial" w:hAnsi="Arial"/>
          <w:sz w:val="20"/>
          <w:szCs w:val="20"/>
          <w:color w:val="auto"/>
        </w:rPr>
        <w:t>10.10</w:t>
      </w:r>
      <w:r>
        <w:rPr>
          <w:sz w:val="20"/>
          <w:szCs w:val="20"/>
          <w:color w:val="auto"/>
        </w:rPr>
        <w:tab/>
      </w:r>
      <w:r>
        <w:rPr>
          <w:rFonts w:ascii="Arial" w:cs="Arial" w:eastAsia="Arial" w:hAnsi="Arial"/>
          <w:sz w:val="18"/>
          <w:szCs w:val="18"/>
          <w:u w:val="single" w:color="auto"/>
          <w:color w:val="auto"/>
        </w:rPr>
        <w:t>Collateral and Guaranty Matters</w:t>
      </w:r>
      <w:r>
        <w:rPr>
          <w:rFonts w:ascii="Arial" w:cs="Arial" w:eastAsia="Arial" w:hAnsi="Arial"/>
          <w:sz w:val="18"/>
          <w:szCs w:val="18"/>
          <w:color w:val="auto"/>
        </w:rPr>
        <w:t>. The Lenders and the L/C Issuers irrevocably authorize and direct the Administrative Agent,</w:t>
      </w:r>
    </w:p>
    <w:p>
      <w:pPr>
        <w:spacing w:after="0" w:line="270" w:lineRule="exact"/>
        <w:rPr>
          <w:sz w:val="20"/>
          <w:szCs w:val="20"/>
          <w:color w:val="auto"/>
        </w:rPr>
      </w:pPr>
    </w:p>
    <w:p>
      <w:pPr>
        <w:ind w:left="1700" w:hanging="395"/>
        <w:spacing w:after="0"/>
        <w:tabs>
          <w:tab w:leader="none" w:pos="1700" w:val="left"/>
        </w:tabs>
        <w:numPr>
          <w:ilvl w:val="0"/>
          <w:numId w:val="257"/>
        </w:numPr>
        <w:rPr>
          <w:rFonts w:ascii="Arial" w:cs="Arial" w:eastAsia="Arial" w:hAnsi="Arial"/>
          <w:sz w:val="18"/>
          <w:szCs w:val="18"/>
          <w:color w:val="auto"/>
        </w:rPr>
      </w:pPr>
      <w:r>
        <w:rPr>
          <w:rFonts w:ascii="Arial" w:cs="Arial" w:eastAsia="Arial" w:hAnsi="Arial"/>
          <w:sz w:val="18"/>
          <w:szCs w:val="18"/>
          <w:color w:val="auto"/>
        </w:rPr>
        <w:t>to release any Lien on any Property of any member of the Consolidated Group granted to or held by the Administrative</w:t>
      </w:r>
    </w:p>
    <w:p>
      <w:pPr>
        <w:spacing w:after="0" w:line="76" w:lineRule="exact"/>
        <w:rPr>
          <w:rFonts w:ascii="Arial" w:cs="Arial" w:eastAsia="Arial" w:hAnsi="Arial"/>
          <w:sz w:val="18"/>
          <w:szCs w:val="18"/>
          <w:color w:val="auto"/>
        </w:rPr>
      </w:pPr>
    </w:p>
    <w:p>
      <w:pPr>
        <w:ind w:left="660" w:right="260"/>
        <w:spacing w:after="0" w:line="303" w:lineRule="auto"/>
        <w:rPr>
          <w:rFonts w:ascii="Arial" w:cs="Arial" w:eastAsia="Arial" w:hAnsi="Arial"/>
          <w:sz w:val="18"/>
          <w:szCs w:val="18"/>
          <w:color w:val="auto"/>
        </w:rPr>
      </w:pPr>
      <w:r>
        <w:rPr>
          <w:rFonts w:ascii="Arial" w:cs="Arial" w:eastAsia="Arial" w:hAnsi="Arial"/>
          <w:sz w:val="20"/>
          <w:szCs w:val="20"/>
          <w:color w:val="auto"/>
        </w:rPr>
        <w:t>Agent under any Credit Document (i) upon termination of the Aggregate Commitments and payment in full of all Obligations (other than (A) contingent</w:t>
      </w:r>
    </w:p>
    <w:p>
      <w:pPr>
        <w:spacing w:after="0" w:line="392" w:lineRule="exact"/>
        <w:rPr>
          <w:sz w:val="20"/>
          <w:szCs w:val="20"/>
          <w:color w:val="auto"/>
        </w:rPr>
      </w:pPr>
    </w:p>
    <w:p>
      <w:pPr>
        <w:jc w:val="center"/>
        <w:ind w:right="-39"/>
        <w:spacing w:after="0"/>
        <w:rPr>
          <w:sz w:val="20"/>
          <w:szCs w:val="20"/>
          <w:color w:val="auto"/>
        </w:rPr>
      </w:pPr>
      <w:r>
        <w:rPr>
          <w:rFonts w:ascii="Arial" w:cs="Arial" w:eastAsia="Arial" w:hAnsi="Arial"/>
          <w:sz w:val="20"/>
          <w:szCs w:val="20"/>
          <w:color w:val="auto"/>
        </w:rPr>
        <w:t>177</w:t>
      </w:r>
    </w:p>
    <w:p>
      <w:pPr>
        <w:spacing w:after="0" w:line="10" w:lineRule="exact"/>
        <w:rPr>
          <w:sz w:val="20"/>
          <w:szCs w:val="20"/>
          <w:color w:val="auto"/>
        </w:rPr>
      </w:pPr>
    </w:p>
    <w:p>
      <w:pPr>
        <w:spacing w:after="0"/>
        <w:rPr>
          <w:sz w:val="20"/>
          <w:szCs w:val="20"/>
          <w:color w:val="auto"/>
        </w:rPr>
      </w:pPr>
      <w:r>
        <w:rPr>
          <w:rFonts w:ascii="Arial" w:cs="Arial" w:eastAsia="Arial" w:hAnsi="Arial"/>
          <w:sz w:val="14"/>
          <w:szCs w:val="14"/>
          <w:color w:val="auto"/>
        </w:rPr>
        <w:t>CHAR1\1346423v</w:t>
      </w:r>
      <w:r>
        <w:rPr>
          <w:rFonts w:ascii="Arial" w:cs="Arial" w:eastAsia="Arial" w:hAnsi="Arial"/>
          <w:sz w:val="14"/>
          <w:szCs w:val="14"/>
          <w:color w:val="FF0000"/>
          <w:strike w:val="1"/>
        </w:rPr>
        <w:t>1</w:t>
      </w:r>
      <w:r>
        <w:rPr>
          <w:rFonts w:ascii="Arial" w:cs="Arial" w:eastAsia="Arial" w:hAnsi="Arial"/>
          <w:sz w:val="14"/>
          <w:szCs w:val="14"/>
          <w:u w:val="single" w:color="auto"/>
          <w:color w:val="0000FF"/>
        </w:rPr>
        <w:t>12</w:t>
      </w:r>
    </w:p>
    <w:p>
      <w:pPr>
        <w:sectPr>
          <w:pgSz w:w="11900" w:h="16838" w:orient="portrait"/>
          <w:cols w:equalWidth="0" w:num="1">
            <w:col w:w="11400"/>
          </w:cols>
          <w:pgMar w:left="240" w:top="609" w:right="259" w:bottom="1440" w:gutter="0" w:footer="0" w:header="0"/>
        </w:sectPr>
      </w:pPr>
    </w:p>
    <w:bookmarkStart w:id="229" w:name="page230"/>
    <w:bookmarkEnd w:id="229"/>
    <w:p>
      <w:pPr>
        <w:ind w:left="660"/>
        <w:spacing w:after="0"/>
        <w:rPr>
          <w:sz w:val="20"/>
          <w:szCs w:val="20"/>
          <w:color w:val="auto"/>
        </w:rPr>
      </w:pPr>
      <w:r>
        <w:rPr>
          <w:rFonts w:ascii="Arial" w:cs="Arial" w:eastAsia="Arial" w:hAnsi="Arial"/>
          <w:sz w:val="18"/>
          <w:szCs w:val="18"/>
          <w:color w:val="auto"/>
        </w:rPr>
        <w:t xml:space="preserve">indemnification obligations, (B) Obligations described in </w:t>
      </w:r>
      <w:r>
        <w:rPr>
          <w:rFonts w:ascii="Arial" w:cs="Arial" w:eastAsia="Arial" w:hAnsi="Arial"/>
          <w:sz w:val="18"/>
          <w:szCs w:val="18"/>
          <w:u w:val="single" w:color="auto"/>
          <w:color w:val="auto"/>
        </w:rPr>
        <w:t>clause (b)</w:t>
      </w:r>
      <w:r>
        <w:rPr>
          <w:rFonts w:ascii="Arial" w:cs="Arial" w:eastAsia="Arial" w:hAnsi="Arial"/>
          <w:sz w:val="18"/>
          <w:szCs w:val="18"/>
          <w:color w:val="auto"/>
        </w:rPr>
        <w:t xml:space="preserve"> of the definition thereof, and (C) Obligations described in </w:t>
      </w:r>
      <w:r>
        <w:rPr>
          <w:rFonts w:ascii="Arial" w:cs="Arial" w:eastAsia="Arial" w:hAnsi="Arial"/>
          <w:sz w:val="18"/>
          <w:szCs w:val="18"/>
          <w:u w:val="single" w:color="auto"/>
          <w:color w:val="auto"/>
        </w:rPr>
        <w:t>clause</w:t>
      </w:r>
    </w:p>
    <w:p>
      <w:pPr>
        <w:spacing w:after="0" w:line="63" w:lineRule="exact"/>
        <w:rPr>
          <w:sz w:val="20"/>
          <w:szCs w:val="20"/>
          <w:color w:val="auto"/>
        </w:rPr>
      </w:pPr>
    </w:p>
    <w:p>
      <w:pPr>
        <w:ind w:left="660" w:right="200" w:hanging="4"/>
        <w:spacing w:after="0" w:line="292" w:lineRule="auto"/>
        <w:tabs>
          <w:tab w:leader="none" w:pos="929" w:val="left"/>
        </w:tabs>
        <w:numPr>
          <w:ilvl w:val="0"/>
          <w:numId w:val="258"/>
        </w:numPr>
        <w:rPr>
          <w:rFonts w:ascii="Arial" w:cs="Arial" w:eastAsia="Arial" w:hAnsi="Arial"/>
          <w:sz w:val="20"/>
          <w:szCs w:val="20"/>
          <w:u w:val="single" w:color="auto"/>
          <w:color w:val="auto"/>
        </w:rPr>
      </w:pPr>
      <w:r>
        <w:rPr>
          <w:rFonts w:ascii="Arial" w:cs="Arial" w:eastAsia="Arial" w:hAnsi="Arial"/>
          <w:sz w:val="20"/>
          <w:szCs w:val="20"/>
          <w:color w:val="auto"/>
        </w:rPr>
        <w:t xml:space="preserve">of the definition thereof) and the expiration or termination of all Letters of Credit, (ii) that is Disposed of or to be Disposed of as part of or in connection with any Permitted Disposition, or (iii) subject to </w:t>
      </w:r>
      <w:r>
        <w:rPr>
          <w:rFonts w:ascii="Arial" w:cs="Arial" w:eastAsia="Arial" w:hAnsi="Arial"/>
          <w:sz w:val="20"/>
          <w:szCs w:val="20"/>
          <w:u w:val="single" w:color="auto"/>
          <w:color w:val="auto"/>
        </w:rPr>
        <w:t>Section 11.01</w:t>
      </w:r>
      <w:r>
        <w:rPr>
          <w:rFonts w:ascii="Arial" w:cs="Arial" w:eastAsia="Arial" w:hAnsi="Arial"/>
          <w:sz w:val="20"/>
          <w:szCs w:val="20"/>
          <w:color w:val="auto"/>
        </w:rPr>
        <w:t>, if approved, authorized or ratified in writing by the Required Lenders;</w:t>
      </w:r>
    </w:p>
    <w:p>
      <w:pPr>
        <w:spacing w:after="0" w:line="186" w:lineRule="exact"/>
        <w:rPr>
          <w:rFonts w:ascii="Arial" w:cs="Arial" w:eastAsia="Arial" w:hAnsi="Arial"/>
          <w:sz w:val="20"/>
          <w:szCs w:val="20"/>
          <w:u w:val="single" w:color="auto"/>
          <w:color w:val="auto"/>
        </w:rPr>
      </w:pPr>
    </w:p>
    <w:p>
      <w:pPr>
        <w:ind w:left="1720" w:hanging="415"/>
        <w:spacing w:after="0"/>
        <w:tabs>
          <w:tab w:leader="none" w:pos="1720" w:val="left"/>
        </w:tabs>
        <w:numPr>
          <w:ilvl w:val="1"/>
          <w:numId w:val="258"/>
        </w:numPr>
        <w:rPr>
          <w:rFonts w:ascii="Arial" w:cs="Arial" w:eastAsia="Arial" w:hAnsi="Arial"/>
          <w:sz w:val="20"/>
          <w:szCs w:val="20"/>
          <w:color w:val="auto"/>
        </w:rPr>
      </w:pPr>
      <w:r>
        <w:rPr>
          <w:rFonts w:ascii="Arial" w:cs="Arial" w:eastAsia="Arial" w:hAnsi="Arial"/>
          <w:sz w:val="20"/>
          <w:szCs w:val="20"/>
          <w:color w:val="auto"/>
        </w:rPr>
        <w:t>to subordinate any Lien on any Property of any member of the Consolidated Group granted to or held by the</w:t>
      </w:r>
    </w:p>
    <w:p>
      <w:pPr>
        <w:spacing w:after="0" w:line="53" w:lineRule="exact"/>
        <w:rPr>
          <w:rFonts w:ascii="Arial" w:cs="Arial" w:eastAsia="Arial" w:hAnsi="Arial"/>
          <w:sz w:val="20"/>
          <w:szCs w:val="20"/>
          <w:color w:val="auto"/>
        </w:rPr>
      </w:pPr>
    </w:p>
    <w:p>
      <w:pPr>
        <w:ind w:left="660"/>
        <w:spacing w:after="0"/>
        <w:rPr>
          <w:rFonts w:ascii="Arial" w:cs="Arial" w:eastAsia="Arial" w:hAnsi="Arial"/>
          <w:sz w:val="20"/>
          <w:szCs w:val="20"/>
          <w:color w:val="auto"/>
        </w:rPr>
      </w:pPr>
      <w:r>
        <w:rPr>
          <w:rFonts w:ascii="Arial" w:cs="Arial" w:eastAsia="Arial" w:hAnsi="Arial"/>
          <w:sz w:val="18"/>
          <w:szCs w:val="18"/>
          <w:color w:val="auto"/>
        </w:rPr>
        <w:t xml:space="preserve">Administrative Agent under any Credit Document to the holder of any Lien on such Property that is permitted by </w:t>
      </w:r>
      <w:r>
        <w:rPr>
          <w:rFonts w:ascii="Arial" w:cs="Arial" w:eastAsia="Arial" w:hAnsi="Arial"/>
          <w:sz w:val="18"/>
          <w:szCs w:val="18"/>
          <w:u w:val="single" w:color="auto"/>
          <w:color w:val="auto"/>
        </w:rPr>
        <w:t>Section 8.01(c)</w:t>
      </w:r>
      <w:r>
        <w:rPr>
          <w:rFonts w:ascii="Arial" w:cs="Arial" w:eastAsia="Arial" w:hAnsi="Arial"/>
          <w:sz w:val="18"/>
          <w:szCs w:val="18"/>
          <w:color w:val="auto"/>
        </w:rPr>
        <w:t xml:space="preserve">, </w:t>
      </w:r>
      <w:r>
        <w:rPr>
          <w:rFonts w:ascii="Arial" w:cs="Arial" w:eastAsia="Arial" w:hAnsi="Arial"/>
          <w:sz w:val="18"/>
          <w:szCs w:val="18"/>
          <w:u w:val="single" w:color="auto"/>
          <w:color w:val="auto"/>
        </w:rPr>
        <w:t>(j)</w:t>
      </w:r>
      <w:r>
        <w:rPr>
          <w:rFonts w:ascii="Arial" w:cs="Arial" w:eastAsia="Arial" w:hAnsi="Arial"/>
          <w:sz w:val="18"/>
          <w:szCs w:val="18"/>
          <w:color w:val="auto"/>
        </w:rPr>
        <w:t xml:space="preserve"> or</w:t>
      </w:r>
    </w:p>
    <w:p>
      <w:pPr>
        <w:spacing w:after="0" w:line="63" w:lineRule="exact"/>
        <w:rPr>
          <w:rFonts w:ascii="Arial" w:cs="Arial" w:eastAsia="Arial" w:hAnsi="Arial"/>
          <w:sz w:val="20"/>
          <w:szCs w:val="20"/>
          <w:color w:val="auto"/>
        </w:rPr>
      </w:pPr>
    </w:p>
    <w:p>
      <w:pPr>
        <w:ind w:left="940" w:hanging="284"/>
        <w:spacing w:after="0"/>
        <w:tabs>
          <w:tab w:leader="none" w:pos="940" w:val="left"/>
        </w:tabs>
        <w:numPr>
          <w:ilvl w:val="0"/>
          <w:numId w:val="259"/>
        </w:numPr>
        <w:rPr>
          <w:rFonts w:ascii="Arial" w:cs="Arial" w:eastAsia="Arial" w:hAnsi="Arial"/>
          <w:sz w:val="20"/>
          <w:szCs w:val="20"/>
          <w:u w:val="single" w:color="auto"/>
          <w:color w:val="auto"/>
        </w:rPr>
      </w:pPr>
      <w:r>
        <w:rPr>
          <w:rFonts w:ascii="Arial" w:cs="Arial" w:eastAsia="Arial" w:hAnsi="Arial"/>
          <w:sz w:val="20"/>
          <w:szCs w:val="20"/>
          <w:color w:val="auto"/>
        </w:rPr>
        <w:t xml:space="preserve">or a Refinancing Lien relating thereto permitted under </w:t>
      </w:r>
      <w:r>
        <w:rPr>
          <w:rFonts w:ascii="Arial" w:cs="Arial" w:eastAsia="Arial" w:hAnsi="Arial"/>
          <w:sz w:val="20"/>
          <w:szCs w:val="20"/>
          <w:u w:val="single" w:color="auto"/>
          <w:color w:val="auto"/>
        </w:rPr>
        <w:t>Section 8.01(r)</w:t>
      </w:r>
      <w:r>
        <w:rPr>
          <w:rFonts w:ascii="Arial" w:cs="Arial" w:eastAsia="Arial" w:hAnsi="Arial"/>
          <w:sz w:val="20"/>
          <w:szCs w:val="20"/>
          <w:color w:val="auto"/>
        </w:rPr>
        <w:t>; and</w:t>
      </w:r>
    </w:p>
    <w:p>
      <w:pPr>
        <w:spacing w:after="0" w:line="256" w:lineRule="exact"/>
        <w:rPr>
          <w:rFonts w:ascii="Arial" w:cs="Arial" w:eastAsia="Arial" w:hAnsi="Arial"/>
          <w:sz w:val="20"/>
          <w:szCs w:val="20"/>
          <w:u w:val="single" w:color="auto"/>
          <w:color w:val="auto"/>
        </w:rPr>
      </w:pPr>
    </w:p>
    <w:p>
      <w:pPr>
        <w:ind w:left="660" w:right="460" w:firstLine="645"/>
        <w:spacing w:after="0" w:line="317" w:lineRule="auto"/>
        <w:tabs>
          <w:tab w:leader="none" w:pos="1708" w:val="left"/>
        </w:tabs>
        <w:numPr>
          <w:ilvl w:val="1"/>
          <w:numId w:val="259"/>
        </w:numPr>
        <w:rPr>
          <w:rFonts w:ascii="Arial" w:cs="Arial" w:eastAsia="Arial" w:hAnsi="Arial"/>
          <w:sz w:val="20"/>
          <w:szCs w:val="20"/>
          <w:color w:val="auto"/>
        </w:rPr>
      </w:pPr>
      <w:r>
        <w:rPr>
          <w:rFonts w:ascii="Arial" w:cs="Arial" w:eastAsia="Arial" w:hAnsi="Arial"/>
          <w:sz w:val="20"/>
          <w:szCs w:val="20"/>
          <w:color w:val="auto"/>
        </w:rPr>
        <w:t>to release any Subsidiary Guarantor from its obligations under the Subsidiary Guaranty if such Person ceases to be a Subsidiary as a result of a transaction permitted hereunder.</w:t>
      </w:r>
    </w:p>
    <w:p>
      <w:pPr>
        <w:spacing w:after="0" w:line="135" w:lineRule="exact"/>
        <w:rPr>
          <w:sz w:val="20"/>
          <w:szCs w:val="20"/>
          <w:color w:val="auto"/>
        </w:rPr>
      </w:pPr>
    </w:p>
    <w:p>
      <w:pPr>
        <w:ind w:right="140" w:firstLine="648"/>
        <w:spacing w:after="0" w:line="287" w:lineRule="auto"/>
        <w:rPr>
          <w:sz w:val="20"/>
          <w:szCs w:val="20"/>
          <w:color w:val="auto"/>
        </w:rPr>
      </w:pPr>
      <w:r>
        <w:rPr>
          <w:rFonts w:ascii="Arial" w:cs="Arial" w:eastAsia="Arial" w:hAnsi="Arial"/>
          <w:sz w:val="19"/>
          <w:szCs w:val="19"/>
          <w:color w:val="auto"/>
        </w:rPr>
        <w:t xml:space="preserve">Upon request by the Administrative Agent or any Credit Party at any time, the Required Lenders will confirm in writing the authority of the Administrative Agent to release any Guarantor from its obligations hereunder pursuant to this </w:t>
      </w:r>
      <w:r>
        <w:rPr>
          <w:rFonts w:ascii="Arial" w:cs="Arial" w:eastAsia="Arial" w:hAnsi="Arial"/>
          <w:sz w:val="19"/>
          <w:szCs w:val="19"/>
          <w:u w:val="single" w:color="auto"/>
          <w:color w:val="auto"/>
        </w:rPr>
        <w:t>Section 10.10</w:t>
      </w:r>
      <w:r>
        <w:rPr>
          <w:rFonts w:ascii="Arial" w:cs="Arial" w:eastAsia="Arial" w:hAnsi="Arial"/>
          <w:sz w:val="19"/>
          <w:szCs w:val="19"/>
          <w:color w:val="auto"/>
        </w:rPr>
        <w:t>.</w:t>
      </w:r>
    </w:p>
    <w:p>
      <w:pPr>
        <w:spacing w:after="0" w:line="180" w:lineRule="exact"/>
        <w:rPr>
          <w:sz w:val="20"/>
          <w:szCs w:val="20"/>
          <w:color w:val="auto"/>
        </w:rPr>
      </w:pPr>
    </w:p>
    <w:p>
      <w:pPr>
        <w:ind w:right="100" w:firstLine="648"/>
        <w:spacing w:after="0" w:line="302" w:lineRule="auto"/>
        <w:rPr>
          <w:sz w:val="20"/>
          <w:szCs w:val="20"/>
          <w:color w:val="auto"/>
        </w:rPr>
      </w:pPr>
      <w:r>
        <w:rPr>
          <w:rFonts w:ascii="Arial" w:cs="Arial" w:eastAsia="Arial" w:hAnsi="Arial"/>
          <w:sz w:val="19"/>
          <w:szCs w:val="19"/>
          <w:color w:val="auto"/>
        </w:rPr>
        <w:t xml:space="preserve">10.11 </w:t>
      </w:r>
      <w:r>
        <w:rPr>
          <w:rFonts w:ascii="Arial" w:cs="Arial" w:eastAsia="Arial" w:hAnsi="Arial"/>
          <w:sz w:val="19"/>
          <w:szCs w:val="19"/>
          <w:u w:val="single" w:color="auto"/>
          <w:color w:val="auto"/>
        </w:rPr>
        <w:t>Swap Contracts and Treasury Management Agreements</w:t>
      </w:r>
      <w:r>
        <w:rPr>
          <w:rFonts w:ascii="Arial" w:cs="Arial" w:eastAsia="Arial" w:hAnsi="Arial"/>
          <w:sz w:val="19"/>
          <w:szCs w:val="19"/>
          <w:color w:val="auto"/>
        </w:rPr>
        <w:t xml:space="preserve">. No Lender or any Affiliate of a Lender that is party to any Swap Contract or any Treasury Management Agreement permitted hereunder that obtains the benefits of </w:t>
      </w:r>
      <w:r>
        <w:rPr>
          <w:rFonts w:ascii="Arial" w:cs="Arial" w:eastAsia="Arial" w:hAnsi="Arial"/>
          <w:sz w:val="19"/>
          <w:szCs w:val="19"/>
          <w:u w:val="single" w:color="auto"/>
          <w:color w:val="auto"/>
        </w:rPr>
        <w:t>Section 9.03</w:t>
      </w:r>
      <w:r>
        <w:rPr>
          <w:rFonts w:ascii="Arial" w:cs="Arial" w:eastAsia="Arial" w:hAnsi="Arial"/>
          <w:sz w:val="19"/>
          <w:szCs w:val="19"/>
          <w:color w:val="auto"/>
        </w:rPr>
        <w:t xml:space="preserve"> or any Collateral by virtue of the provisions hereof or of any Collateral Document shall have any right to notice of any action or to consent to, direct or object to any action hereunder or under any other Credit Document or otherwise in respect of the Collateral (including the release or impairment of any Collateral) other than in its capacity as a Lender and, in such case, only to the extent expressly provided in the Credit Documents. Notwithstanding any other provision of this </w:t>
      </w:r>
      <w:r>
        <w:rPr>
          <w:rFonts w:ascii="Arial" w:cs="Arial" w:eastAsia="Arial" w:hAnsi="Arial"/>
          <w:sz w:val="19"/>
          <w:szCs w:val="19"/>
          <w:u w:val="single" w:color="auto"/>
          <w:color w:val="auto"/>
        </w:rPr>
        <w:t>Article X</w:t>
      </w:r>
      <w:r>
        <w:rPr>
          <w:rFonts w:ascii="Arial" w:cs="Arial" w:eastAsia="Arial" w:hAnsi="Arial"/>
          <w:sz w:val="19"/>
          <w:szCs w:val="19"/>
          <w:color w:val="auto"/>
        </w:rPr>
        <w:t xml:space="preserve"> to the contrary, the Administrative Agent shall not be required to verify the payment of, or that other satisfactory arrangements have been made with respect to, Obligations arising under Swap Contracts and Treasury Management Agreements unless the Administrative Agent has received written notice of such Obligations, together with such supporting documentation as the Administrative Agent may request, from the applicable Lender or Affiliate of a Lender that is party to such Swap Contract or such Treasury Management Agreement, as the case may be.</w:t>
      </w:r>
    </w:p>
    <w:p>
      <w:pPr>
        <w:spacing w:after="0" w:line="175" w:lineRule="exact"/>
        <w:rPr>
          <w:sz w:val="20"/>
          <w:szCs w:val="20"/>
          <w:color w:val="auto"/>
        </w:rPr>
      </w:pPr>
    </w:p>
    <w:p>
      <w:pPr>
        <w:jc w:val="center"/>
        <w:ind w:right="180"/>
        <w:spacing w:after="0"/>
        <w:rPr>
          <w:sz w:val="20"/>
          <w:szCs w:val="20"/>
          <w:color w:val="auto"/>
        </w:rPr>
      </w:pPr>
      <w:r>
        <w:rPr>
          <w:rFonts w:ascii="Arial" w:cs="Arial" w:eastAsia="Arial" w:hAnsi="Arial"/>
          <w:sz w:val="20"/>
          <w:szCs w:val="20"/>
          <w:b w:val="1"/>
          <w:bCs w:val="1"/>
          <w:color w:val="auto"/>
        </w:rPr>
        <w:t>ARTICLE XI</w:t>
      </w:r>
    </w:p>
    <w:p>
      <w:pPr>
        <w:spacing w:after="0" w:line="324" w:lineRule="exact"/>
        <w:rPr>
          <w:sz w:val="20"/>
          <w:szCs w:val="20"/>
          <w:color w:val="auto"/>
        </w:rPr>
      </w:pPr>
    </w:p>
    <w:p>
      <w:pPr>
        <w:jc w:val="center"/>
        <w:ind w:right="-59"/>
        <w:spacing w:after="0"/>
        <w:rPr>
          <w:sz w:val="20"/>
          <w:szCs w:val="20"/>
          <w:color w:val="auto"/>
        </w:rPr>
      </w:pPr>
      <w:r>
        <w:rPr>
          <w:rFonts w:ascii="Arial" w:cs="Arial" w:eastAsia="Arial" w:hAnsi="Arial"/>
          <w:sz w:val="20"/>
          <w:szCs w:val="20"/>
          <w:b w:val="1"/>
          <w:bCs w:val="1"/>
          <w:color w:val="auto"/>
        </w:rPr>
        <w:t>MISCELLANEOUS</w:t>
      </w:r>
    </w:p>
    <w:p>
      <w:pPr>
        <w:spacing w:after="0" w:line="262" w:lineRule="exact"/>
        <w:rPr>
          <w:sz w:val="20"/>
          <w:szCs w:val="20"/>
          <w:color w:val="auto"/>
        </w:rPr>
      </w:pPr>
    </w:p>
    <w:p>
      <w:pPr>
        <w:ind w:right="180" w:firstLine="648"/>
        <w:spacing w:after="0" w:line="288" w:lineRule="auto"/>
        <w:rPr>
          <w:sz w:val="20"/>
          <w:szCs w:val="20"/>
          <w:color w:val="auto"/>
        </w:rPr>
      </w:pPr>
      <w:r>
        <w:rPr>
          <w:rFonts w:ascii="Arial" w:cs="Arial" w:eastAsia="Arial" w:hAnsi="Arial"/>
          <w:sz w:val="20"/>
          <w:szCs w:val="20"/>
          <w:color w:val="auto"/>
        </w:rPr>
        <w:t xml:space="preserve">11.01 </w:t>
      </w:r>
      <w:r>
        <w:rPr>
          <w:rFonts w:ascii="Arial" w:cs="Arial" w:eastAsia="Arial" w:hAnsi="Arial"/>
          <w:sz w:val="20"/>
          <w:szCs w:val="20"/>
          <w:u w:val="single" w:color="auto"/>
          <w:color w:val="auto"/>
        </w:rPr>
        <w:t>Amendments, Etc.</w:t>
      </w:r>
      <w:r>
        <w:rPr>
          <w:rFonts w:ascii="Arial" w:cs="Arial" w:eastAsia="Arial" w:hAnsi="Arial"/>
          <w:sz w:val="20"/>
          <w:szCs w:val="20"/>
          <w:color w:val="auto"/>
        </w:rPr>
        <w:t xml:space="preserve"> Except as expressly provided hereinbelow, no amendment or waiver of, or any consent to deviation from, any provision of this Credit Agreement or any other Credit Document shall be effective unless in writing and signed by the Required Lenders (or by the Administrative Agent on behalf of the Required Lenders upon receipt of a consent and direction letter from the Required Lenders) and the applicable Borrowers and Credit Parties, as the case may be, and acknowledged by the Administrative Agent, and each such amendment, waiver or consent shall be effective only in the specific instance and for the specific purpose for which it is given;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w:t>
      </w:r>
      <w:r>
        <w:rPr>
          <w:rFonts w:ascii="Arial" w:cs="Arial" w:eastAsia="Arial" w:hAnsi="Arial"/>
          <w:sz w:val="20"/>
          <w:szCs w:val="20"/>
          <w:u w:val="single" w:color="auto"/>
          <w:color w:val="auto"/>
        </w:rPr>
        <w:t>however</w:t>
      </w:r>
      <w:r>
        <w:rPr>
          <w:rFonts w:ascii="Arial" w:cs="Arial" w:eastAsia="Arial" w:hAnsi="Arial"/>
          <w:sz w:val="20"/>
          <w:szCs w:val="20"/>
          <w:color w:val="auto"/>
        </w:rPr>
        <w:t>, that:</w:t>
      </w:r>
    </w:p>
    <w:p>
      <w:pPr>
        <w:spacing w:after="0" w:line="200" w:lineRule="exact"/>
        <w:rPr>
          <w:sz w:val="20"/>
          <w:szCs w:val="20"/>
          <w:color w:val="auto"/>
        </w:rPr>
      </w:pPr>
    </w:p>
    <w:p>
      <w:pPr>
        <w:spacing w:after="0" w:line="210" w:lineRule="exact"/>
        <w:rPr>
          <w:sz w:val="20"/>
          <w:szCs w:val="20"/>
          <w:color w:val="auto"/>
        </w:rPr>
      </w:pPr>
    </w:p>
    <w:p>
      <w:pPr>
        <w:jc w:val="center"/>
        <w:ind w:right="-59"/>
        <w:spacing w:after="0"/>
        <w:rPr>
          <w:sz w:val="20"/>
          <w:szCs w:val="20"/>
          <w:color w:val="auto"/>
        </w:rPr>
      </w:pPr>
      <w:r>
        <w:rPr>
          <w:rFonts w:ascii="Arial" w:cs="Arial" w:eastAsia="Arial" w:hAnsi="Arial"/>
          <w:sz w:val="20"/>
          <w:szCs w:val="20"/>
          <w:color w:val="auto"/>
        </w:rPr>
        <w:t>178</w:t>
      </w:r>
    </w:p>
    <w:p>
      <w:pPr>
        <w:spacing w:after="0" w:line="10" w:lineRule="exact"/>
        <w:rPr>
          <w:sz w:val="20"/>
          <w:szCs w:val="20"/>
          <w:color w:val="auto"/>
        </w:rPr>
      </w:pPr>
    </w:p>
    <w:p>
      <w:pPr>
        <w:spacing w:after="0"/>
        <w:rPr>
          <w:sz w:val="20"/>
          <w:szCs w:val="20"/>
          <w:color w:val="auto"/>
        </w:rPr>
      </w:pPr>
      <w:r>
        <w:rPr>
          <w:rFonts w:ascii="Arial" w:cs="Arial" w:eastAsia="Arial" w:hAnsi="Arial"/>
          <w:sz w:val="14"/>
          <w:szCs w:val="14"/>
          <w:color w:val="auto"/>
        </w:rPr>
        <w:t>CHAR1\1346423v</w:t>
      </w:r>
      <w:r>
        <w:rPr>
          <w:rFonts w:ascii="Arial" w:cs="Arial" w:eastAsia="Arial" w:hAnsi="Arial"/>
          <w:sz w:val="14"/>
          <w:szCs w:val="14"/>
          <w:color w:val="FF0000"/>
          <w:strike w:val="1"/>
        </w:rPr>
        <w:t>1</w:t>
      </w:r>
      <w:r>
        <w:rPr>
          <w:rFonts w:ascii="Arial" w:cs="Arial" w:eastAsia="Arial" w:hAnsi="Arial"/>
          <w:sz w:val="14"/>
          <w:szCs w:val="14"/>
          <w:u w:val="single" w:color="auto"/>
          <w:color w:val="0000FF"/>
        </w:rPr>
        <w:t>12</w:t>
      </w:r>
    </w:p>
    <w:p>
      <w:pPr>
        <w:sectPr>
          <w:pgSz w:w="11900" w:h="16838" w:orient="portrait"/>
          <w:cols w:equalWidth="0" w:num="1">
            <w:col w:w="11380"/>
          </w:cols>
          <w:pgMar w:left="240" w:top="609" w:right="279" w:bottom="1440" w:gutter="0" w:footer="0" w:header="0"/>
        </w:sectPr>
      </w:pPr>
    </w:p>
    <w:bookmarkStart w:id="230" w:name="page231"/>
    <w:bookmarkEnd w:id="230"/>
    <w:p>
      <w:pPr>
        <w:ind w:left="660" w:right="400" w:firstLine="645"/>
        <w:spacing w:after="0" w:line="379" w:lineRule="auto"/>
        <w:tabs>
          <w:tab w:leader="none" w:pos="1708" w:val="left"/>
        </w:tabs>
        <w:numPr>
          <w:ilvl w:val="0"/>
          <w:numId w:val="260"/>
        </w:numPr>
        <w:rPr>
          <w:rFonts w:ascii="Arial" w:cs="Arial" w:eastAsia="Arial" w:hAnsi="Arial"/>
          <w:sz w:val="18"/>
          <w:szCs w:val="18"/>
          <w:color w:val="auto"/>
        </w:rPr>
      </w:pPr>
      <w:r>
        <w:rPr>
          <w:rFonts w:ascii="Arial" w:cs="Arial" w:eastAsia="Arial" w:hAnsi="Arial"/>
          <w:sz w:val="18"/>
          <w:szCs w:val="18"/>
          <w:color w:val="auto"/>
        </w:rPr>
        <w:t>no such amendment, waiver or consent (however characterized) shall be effective without the written consent of each Lender directly affected thereby (whose consent shall be sufficient therefor without the consent of the Required Lenders) to:</w:t>
      </w:r>
    </w:p>
    <w:p>
      <w:pPr>
        <w:spacing w:after="0" w:line="129" w:lineRule="exact"/>
        <w:rPr>
          <w:rFonts w:ascii="Arial" w:cs="Arial" w:eastAsia="Arial" w:hAnsi="Arial"/>
          <w:sz w:val="18"/>
          <w:szCs w:val="18"/>
          <w:color w:val="auto"/>
        </w:rPr>
      </w:pPr>
    </w:p>
    <w:p>
      <w:pPr>
        <w:jc w:val="both"/>
        <w:ind w:left="1300" w:firstLine="653"/>
        <w:spacing w:after="0" w:line="311" w:lineRule="auto"/>
        <w:tabs>
          <w:tab w:leader="none" w:pos="2332" w:val="left"/>
        </w:tabs>
        <w:numPr>
          <w:ilvl w:val="1"/>
          <w:numId w:val="260"/>
        </w:numPr>
        <w:rPr>
          <w:rFonts w:ascii="Arial" w:cs="Arial" w:eastAsia="Arial" w:hAnsi="Arial"/>
          <w:sz w:val="22"/>
          <w:szCs w:val="22"/>
          <w:color w:val="auto"/>
        </w:rPr>
      </w:pPr>
      <w:r>
        <w:rPr>
          <w:rFonts w:ascii="Arial" w:cs="Arial" w:eastAsia="Arial" w:hAnsi="Arial"/>
          <w:sz w:val="20"/>
          <w:szCs w:val="20"/>
          <w:color w:val="auto"/>
        </w:rPr>
        <w:t xml:space="preserve">extend or increase the Commitment of any Lender (or reinstate any Commitment terminated pursuant to </w:t>
      </w:r>
      <w:r>
        <w:rPr>
          <w:rFonts w:ascii="Arial" w:cs="Arial" w:eastAsia="Arial" w:hAnsi="Arial"/>
          <w:sz w:val="20"/>
          <w:szCs w:val="20"/>
          <w:u w:val="single" w:color="auto"/>
          <w:color w:val="auto"/>
        </w:rPr>
        <w:t>Section</w:t>
      </w:r>
      <w:r>
        <w:rPr>
          <w:rFonts w:ascii="Arial" w:cs="Arial" w:eastAsia="Arial" w:hAnsi="Arial"/>
          <w:sz w:val="20"/>
          <w:szCs w:val="20"/>
          <w:color w:val="auto"/>
        </w:rPr>
        <w:t xml:space="preserve"> </w:t>
      </w:r>
      <w:r>
        <w:rPr>
          <w:rFonts w:ascii="Arial" w:cs="Arial" w:eastAsia="Arial" w:hAnsi="Arial"/>
          <w:sz w:val="20"/>
          <w:szCs w:val="20"/>
          <w:u w:val="single" w:color="auto"/>
          <w:color w:val="auto"/>
        </w:rPr>
        <w:t>9.02</w:t>
      </w:r>
      <w:r>
        <w:rPr>
          <w:rFonts w:ascii="Arial" w:cs="Arial" w:eastAsia="Arial" w:hAnsi="Arial"/>
          <w:sz w:val="20"/>
          <w:szCs w:val="20"/>
          <w:color w:val="auto"/>
        </w:rPr>
        <w:t xml:space="preserve">), without the written consent of such Lender (it being understood and agreed that amendment or waiver of any condition precedent set forth in </w:t>
      </w:r>
      <w:r>
        <w:rPr>
          <w:rFonts w:ascii="Arial" w:cs="Arial" w:eastAsia="Arial" w:hAnsi="Arial"/>
          <w:sz w:val="20"/>
          <w:szCs w:val="20"/>
          <w:u w:val="single" w:color="auto"/>
          <w:color w:val="auto"/>
        </w:rPr>
        <w:t>Section 5.02</w:t>
      </w:r>
      <w:r>
        <w:rPr>
          <w:rFonts w:ascii="Arial" w:cs="Arial" w:eastAsia="Arial" w:hAnsi="Arial"/>
          <w:sz w:val="20"/>
          <w:szCs w:val="20"/>
          <w:color w:val="auto"/>
        </w:rPr>
        <w:t xml:space="preserve"> or of any Default or Event of Default or a mandatory reduction in Commitments shall not be considered an extension or increase in Commitments for purposes hereof);</w:t>
      </w:r>
    </w:p>
    <w:p>
      <w:pPr>
        <w:spacing w:after="0" w:line="196" w:lineRule="exact"/>
        <w:rPr>
          <w:rFonts w:ascii="Arial" w:cs="Arial" w:eastAsia="Arial" w:hAnsi="Arial"/>
          <w:sz w:val="22"/>
          <w:szCs w:val="22"/>
          <w:color w:val="auto"/>
        </w:rPr>
      </w:pPr>
    </w:p>
    <w:p>
      <w:pPr>
        <w:ind w:left="1300" w:right="40" w:firstLine="653"/>
        <w:spacing w:after="0" w:line="331" w:lineRule="auto"/>
        <w:tabs>
          <w:tab w:leader="none" w:pos="2392" w:val="left"/>
        </w:tabs>
        <w:numPr>
          <w:ilvl w:val="1"/>
          <w:numId w:val="260"/>
        </w:numPr>
        <w:rPr>
          <w:rFonts w:ascii="Arial" w:cs="Arial" w:eastAsia="Arial" w:hAnsi="Arial"/>
          <w:sz w:val="21"/>
          <w:szCs w:val="21"/>
          <w:color w:val="auto"/>
        </w:rPr>
      </w:pPr>
      <w:r>
        <w:rPr>
          <w:rFonts w:ascii="Arial" w:cs="Arial" w:eastAsia="Arial" w:hAnsi="Arial"/>
          <w:sz w:val="19"/>
          <w:szCs w:val="19"/>
          <w:color w:val="auto"/>
        </w:rPr>
        <w:t>waive non-payment or postpone any date fixed by this Credit Agreement or any other Credit Document for any payment (excluding mandatory prepayments) of principal, interest, fees or other amount due to the Lenders (or any of them) or any scheduled reduction of Commitments hereunder or under any other Credit Document without the written consent of each Lender entitled to receive such payment or whose Commitments are to be reduced;</w:t>
      </w:r>
    </w:p>
    <w:p>
      <w:pPr>
        <w:spacing w:after="0" w:line="181" w:lineRule="exact"/>
        <w:rPr>
          <w:rFonts w:ascii="Arial" w:cs="Arial" w:eastAsia="Arial" w:hAnsi="Arial"/>
          <w:sz w:val="21"/>
          <w:szCs w:val="21"/>
          <w:color w:val="auto"/>
        </w:rPr>
      </w:pPr>
    </w:p>
    <w:p>
      <w:pPr>
        <w:ind w:left="1300" w:right="40" w:firstLine="653"/>
        <w:spacing w:after="0" w:line="328" w:lineRule="auto"/>
        <w:tabs>
          <w:tab w:leader="none" w:pos="2452" w:val="left"/>
        </w:tabs>
        <w:numPr>
          <w:ilvl w:val="1"/>
          <w:numId w:val="260"/>
        </w:numPr>
        <w:rPr>
          <w:rFonts w:ascii="Arial" w:cs="Arial" w:eastAsia="Arial" w:hAnsi="Arial"/>
          <w:sz w:val="21"/>
          <w:szCs w:val="21"/>
          <w:color w:val="auto"/>
        </w:rPr>
      </w:pPr>
      <w:r>
        <w:rPr>
          <w:rFonts w:ascii="Arial" w:cs="Arial" w:eastAsia="Arial" w:hAnsi="Arial"/>
          <w:sz w:val="19"/>
          <w:szCs w:val="19"/>
          <w:color w:val="auto"/>
        </w:rPr>
        <w:t xml:space="preserve">reduce the principal of, or the rate of interest specified herein on, any Loan or L/C Borrowing, or (subject to </w:t>
      </w:r>
      <w:r>
        <w:rPr>
          <w:rFonts w:ascii="Arial" w:cs="Arial" w:eastAsia="Arial" w:hAnsi="Arial"/>
          <w:sz w:val="19"/>
          <w:szCs w:val="19"/>
          <w:u w:val="single" w:color="auto"/>
          <w:color w:val="auto"/>
        </w:rPr>
        <w:t>clause (v)</w:t>
      </w:r>
      <w:r>
        <w:rPr>
          <w:rFonts w:ascii="Arial" w:cs="Arial" w:eastAsia="Arial" w:hAnsi="Arial"/>
          <w:sz w:val="19"/>
          <w:szCs w:val="19"/>
          <w:color w:val="auto"/>
        </w:rPr>
        <w:t xml:space="preserve"> of the last proviso of this </w:t>
      </w:r>
      <w:r>
        <w:rPr>
          <w:rFonts w:ascii="Arial" w:cs="Arial" w:eastAsia="Arial" w:hAnsi="Arial"/>
          <w:sz w:val="19"/>
          <w:szCs w:val="19"/>
          <w:u w:val="single" w:color="auto"/>
          <w:color w:val="auto"/>
        </w:rPr>
        <w:t>Section 11.01</w:t>
      </w:r>
      <w:r>
        <w:rPr>
          <w:rFonts w:ascii="Arial" w:cs="Arial" w:eastAsia="Arial" w:hAnsi="Arial"/>
          <w:sz w:val="19"/>
          <w:szCs w:val="19"/>
          <w:color w:val="auto"/>
        </w:rPr>
        <w:t xml:space="preserve">) any fees or other amounts payable hereunder or under any other Credit Document without the written consent of each Lender entitled to receive such amount; </w:t>
      </w:r>
      <w:r>
        <w:rPr>
          <w:rFonts w:ascii="Arial" w:cs="Arial" w:eastAsia="Arial" w:hAnsi="Arial"/>
          <w:sz w:val="19"/>
          <w:szCs w:val="19"/>
          <w:u w:val="single" w:color="auto"/>
          <w:color w:val="auto"/>
        </w:rPr>
        <w:t>provided</w:t>
      </w:r>
      <w:r>
        <w:rPr>
          <w:rFonts w:ascii="Arial" w:cs="Arial" w:eastAsia="Arial" w:hAnsi="Arial"/>
          <w:sz w:val="19"/>
          <w:szCs w:val="19"/>
          <w:color w:val="auto"/>
        </w:rPr>
        <w:t>, however, that only the consent of the Required Lenders shall be necessary (A) to amend the definition of “Default Rate” or to waive any obligation of the Borrowers to pay interest or Letter of Credit Fees at the Default Rate or (B) to amend any financial covenant hereunder (or any defined term used therein) even if the effect of such amendment would be to reduce the rate of interest on any Loan or L/C Borrowing or to reduce any fee payable hereunder;</w:t>
      </w:r>
    </w:p>
    <w:p>
      <w:pPr>
        <w:spacing w:after="0" w:line="185" w:lineRule="exact"/>
        <w:rPr>
          <w:rFonts w:ascii="Arial" w:cs="Arial" w:eastAsia="Arial" w:hAnsi="Arial"/>
          <w:sz w:val="21"/>
          <w:szCs w:val="21"/>
          <w:color w:val="auto"/>
        </w:rPr>
      </w:pPr>
    </w:p>
    <w:p>
      <w:pPr>
        <w:ind w:left="2440" w:hanging="487"/>
        <w:spacing w:after="0"/>
        <w:tabs>
          <w:tab w:leader="none" w:pos="2440" w:val="left"/>
        </w:tabs>
        <w:numPr>
          <w:ilvl w:val="1"/>
          <w:numId w:val="260"/>
        </w:numPr>
        <w:rPr>
          <w:rFonts w:ascii="Arial" w:cs="Arial" w:eastAsia="Arial" w:hAnsi="Arial"/>
          <w:sz w:val="22"/>
          <w:szCs w:val="22"/>
          <w:color w:val="auto"/>
        </w:rPr>
      </w:pPr>
      <w:r>
        <w:rPr>
          <w:rFonts w:ascii="Arial" w:cs="Arial" w:eastAsia="Arial" w:hAnsi="Arial"/>
          <w:sz w:val="20"/>
          <w:szCs w:val="20"/>
          <w:color w:val="auto"/>
        </w:rPr>
        <w:t xml:space="preserve">amend </w:t>
      </w:r>
      <w:r>
        <w:rPr>
          <w:rFonts w:ascii="Arial" w:cs="Arial" w:eastAsia="Arial" w:hAnsi="Arial"/>
          <w:sz w:val="20"/>
          <w:szCs w:val="20"/>
          <w:u w:val="single" w:color="auto"/>
          <w:color w:val="auto"/>
        </w:rPr>
        <w:t>Section 1.06</w:t>
      </w:r>
      <w:r>
        <w:rPr>
          <w:rFonts w:ascii="Arial" w:cs="Arial" w:eastAsia="Arial" w:hAnsi="Arial"/>
          <w:sz w:val="20"/>
          <w:szCs w:val="20"/>
          <w:color w:val="auto"/>
        </w:rPr>
        <w:t xml:space="preserve"> or the definition of “Alternative Currency”;</w:t>
      </w:r>
    </w:p>
    <w:p>
      <w:pPr>
        <w:spacing w:after="0" w:line="276" w:lineRule="exact"/>
        <w:rPr>
          <w:rFonts w:ascii="Arial" w:cs="Arial" w:eastAsia="Arial" w:hAnsi="Arial"/>
          <w:sz w:val="22"/>
          <w:szCs w:val="22"/>
          <w:color w:val="auto"/>
        </w:rPr>
      </w:pPr>
    </w:p>
    <w:p>
      <w:pPr>
        <w:ind w:left="1300" w:right="140" w:firstLine="653"/>
        <w:spacing w:after="0" w:line="312" w:lineRule="auto"/>
        <w:tabs>
          <w:tab w:leader="none" w:pos="2380" w:val="left"/>
        </w:tabs>
        <w:numPr>
          <w:ilvl w:val="1"/>
          <w:numId w:val="260"/>
        </w:numPr>
        <w:rPr>
          <w:rFonts w:ascii="Arial" w:cs="Arial" w:eastAsia="Arial" w:hAnsi="Arial"/>
          <w:sz w:val="22"/>
          <w:szCs w:val="22"/>
          <w:color w:val="auto"/>
        </w:rPr>
      </w:pPr>
      <w:r>
        <w:rPr>
          <w:rFonts w:ascii="Arial" w:cs="Arial" w:eastAsia="Arial" w:hAnsi="Arial"/>
          <w:sz w:val="20"/>
          <w:szCs w:val="20"/>
          <w:color w:val="auto"/>
        </w:rPr>
        <w:t xml:space="preserve">change any provision of this </w:t>
      </w:r>
      <w:r>
        <w:rPr>
          <w:rFonts w:ascii="Arial" w:cs="Arial" w:eastAsia="Arial" w:hAnsi="Arial"/>
          <w:sz w:val="20"/>
          <w:szCs w:val="20"/>
          <w:u w:val="single" w:color="auto"/>
          <w:color w:val="auto"/>
        </w:rPr>
        <w:t>Section 11.01(a)</w:t>
      </w:r>
      <w:r>
        <w:rPr>
          <w:rFonts w:ascii="Arial" w:cs="Arial" w:eastAsia="Arial" w:hAnsi="Arial"/>
          <w:sz w:val="20"/>
          <w:szCs w:val="20"/>
          <w:color w:val="auto"/>
        </w:rPr>
        <w:t xml:space="preserve"> or the definition of “Required Lenders” or any other provision hereof specifying the number or percentage of Lenders required to amend, waive or otherwise modify any rights hereunder or make any determination or grant any consent hereunder,</w:t>
      </w:r>
    </w:p>
    <w:p>
      <w:pPr>
        <w:spacing w:after="0" w:line="194" w:lineRule="exact"/>
        <w:rPr>
          <w:rFonts w:ascii="Arial" w:cs="Arial" w:eastAsia="Arial" w:hAnsi="Arial"/>
          <w:sz w:val="22"/>
          <w:szCs w:val="22"/>
          <w:color w:val="auto"/>
        </w:rPr>
      </w:pPr>
    </w:p>
    <w:p>
      <w:pPr>
        <w:ind w:left="1300" w:right="20" w:firstLine="653"/>
        <w:spacing w:after="0" w:line="321" w:lineRule="auto"/>
        <w:tabs>
          <w:tab w:leader="none" w:pos="2440" w:val="left"/>
        </w:tabs>
        <w:numPr>
          <w:ilvl w:val="1"/>
          <w:numId w:val="260"/>
        </w:numPr>
        <w:rPr>
          <w:rFonts w:ascii="Arial" w:cs="Arial" w:eastAsia="Arial" w:hAnsi="Arial"/>
          <w:sz w:val="22"/>
          <w:szCs w:val="22"/>
          <w:color w:val="auto"/>
        </w:rPr>
      </w:pPr>
      <w:r>
        <w:rPr>
          <w:rFonts w:ascii="Arial" w:cs="Arial" w:eastAsia="Arial" w:hAnsi="Arial"/>
          <w:sz w:val="20"/>
          <w:szCs w:val="20"/>
          <w:color w:val="auto"/>
        </w:rPr>
        <w:t>release all or substantially all of the Guarantors from their obligations under the Credit Documents (other than as provided herein or as appropriate in connection with transactions permitted hereunder), or</w:t>
      </w:r>
    </w:p>
    <w:p>
      <w:pPr>
        <w:spacing w:after="0" w:line="177" w:lineRule="exact"/>
        <w:rPr>
          <w:rFonts w:ascii="Arial" w:cs="Arial" w:eastAsia="Arial" w:hAnsi="Arial"/>
          <w:sz w:val="22"/>
          <w:szCs w:val="22"/>
          <w:color w:val="auto"/>
        </w:rPr>
      </w:pPr>
    </w:p>
    <w:p>
      <w:pPr>
        <w:ind w:left="1300" w:right="140" w:firstLine="653"/>
        <w:spacing w:after="0" w:line="351" w:lineRule="auto"/>
        <w:tabs>
          <w:tab w:leader="none" w:pos="2500" w:val="left"/>
        </w:tabs>
        <w:numPr>
          <w:ilvl w:val="1"/>
          <w:numId w:val="260"/>
        </w:numPr>
        <w:rPr>
          <w:rFonts w:ascii="Arial" w:cs="Arial" w:eastAsia="Arial" w:hAnsi="Arial"/>
          <w:sz w:val="21"/>
          <w:szCs w:val="21"/>
          <w:color w:val="auto"/>
        </w:rPr>
      </w:pPr>
      <w:r>
        <w:rPr>
          <w:rFonts w:ascii="Arial" w:cs="Arial" w:eastAsia="Arial" w:hAnsi="Arial"/>
          <w:sz w:val="19"/>
          <w:szCs w:val="19"/>
          <w:color w:val="auto"/>
        </w:rPr>
        <w:t xml:space="preserve">except in connection with a Disposition permitted under </w:t>
      </w:r>
      <w:r>
        <w:rPr>
          <w:rFonts w:ascii="Arial" w:cs="Arial" w:eastAsia="Arial" w:hAnsi="Arial"/>
          <w:sz w:val="19"/>
          <w:szCs w:val="19"/>
          <w:u w:val="single" w:color="auto"/>
          <w:color w:val="auto"/>
        </w:rPr>
        <w:t>Section 8.05</w:t>
      </w:r>
      <w:r>
        <w:rPr>
          <w:rFonts w:ascii="Arial" w:cs="Arial" w:eastAsia="Arial" w:hAnsi="Arial"/>
          <w:sz w:val="19"/>
          <w:szCs w:val="19"/>
          <w:color w:val="auto"/>
        </w:rPr>
        <w:t xml:space="preserve"> or as permitted by </w:t>
      </w:r>
      <w:r>
        <w:rPr>
          <w:rFonts w:ascii="Arial" w:cs="Arial" w:eastAsia="Arial" w:hAnsi="Arial"/>
          <w:sz w:val="19"/>
          <w:szCs w:val="19"/>
          <w:u w:val="single" w:color="auto"/>
          <w:color w:val="auto"/>
        </w:rPr>
        <w:t>Section 10.10</w:t>
      </w:r>
      <w:r>
        <w:rPr>
          <w:rFonts w:ascii="Arial" w:cs="Arial" w:eastAsia="Arial" w:hAnsi="Arial"/>
          <w:sz w:val="19"/>
          <w:szCs w:val="19"/>
          <w:color w:val="auto"/>
        </w:rPr>
        <w:t>, release all or substantially all of the Collateral without the written consent of each Lender directly affected thereby;</w:t>
      </w:r>
    </w:p>
    <w:p>
      <w:pPr>
        <w:spacing w:after="0" w:line="354" w:lineRule="exact"/>
        <w:rPr>
          <w:sz w:val="20"/>
          <w:szCs w:val="20"/>
          <w:color w:val="auto"/>
        </w:rPr>
      </w:pPr>
    </w:p>
    <w:p>
      <w:pPr>
        <w:jc w:val="center"/>
        <w:ind w:right="-39"/>
        <w:spacing w:after="0"/>
        <w:rPr>
          <w:sz w:val="20"/>
          <w:szCs w:val="20"/>
          <w:color w:val="auto"/>
        </w:rPr>
      </w:pPr>
      <w:r>
        <w:rPr>
          <w:rFonts w:ascii="Arial" w:cs="Arial" w:eastAsia="Arial" w:hAnsi="Arial"/>
          <w:sz w:val="20"/>
          <w:szCs w:val="20"/>
          <w:color w:val="auto"/>
        </w:rPr>
        <w:t>179</w:t>
      </w:r>
    </w:p>
    <w:p>
      <w:pPr>
        <w:spacing w:after="0" w:line="10" w:lineRule="exact"/>
        <w:rPr>
          <w:sz w:val="20"/>
          <w:szCs w:val="20"/>
          <w:color w:val="auto"/>
        </w:rPr>
      </w:pPr>
    </w:p>
    <w:p>
      <w:pPr>
        <w:spacing w:after="0"/>
        <w:rPr>
          <w:sz w:val="20"/>
          <w:szCs w:val="20"/>
          <w:color w:val="auto"/>
        </w:rPr>
      </w:pPr>
      <w:r>
        <w:rPr>
          <w:rFonts w:ascii="Arial" w:cs="Arial" w:eastAsia="Arial" w:hAnsi="Arial"/>
          <w:sz w:val="14"/>
          <w:szCs w:val="14"/>
          <w:color w:val="auto"/>
        </w:rPr>
        <w:t>CHAR1\1346423v</w:t>
      </w:r>
      <w:r>
        <w:rPr>
          <w:rFonts w:ascii="Arial" w:cs="Arial" w:eastAsia="Arial" w:hAnsi="Arial"/>
          <w:sz w:val="14"/>
          <w:szCs w:val="14"/>
          <w:color w:val="FF0000"/>
          <w:strike w:val="1"/>
        </w:rPr>
        <w:t>1</w:t>
      </w:r>
      <w:r>
        <w:rPr>
          <w:rFonts w:ascii="Arial" w:cs="Arial" w:eastAsia="Arial" w:hAnsi="Arial"/>
          <w:sz w:val="14"/>
          <w:szCs w:val="14"/>
          <w:u w:val="single" w:color="auto"/>
          <w:color w:val="0000FF"/>
        </w:rPr>
        <w:t>12</w:t>
      </w:r>
    </w:p>
    <w:p>
      <w:pPr>
        <w:sectPr>
          <w:pgSz w:w="11900" w:h="16838" w:orient="portrait"/>
          <w:cols w:equalWidth="0" w:num="1">
            <w:col w:w="11400"/>
          </w:cols>
          <w:pgMar w:left="240" w:top="609" w:right="259" w:bottom="1440" w:gutter="0" w:footer="0" w:header="0"/>
        </w:sectPr>
      </w:pPr>
    </w:p>
    <w:bookmarkStart w:id="231" w:name="page232"/>
    <w:bookmarkEnd w:id="231"/>
    <w:p>
      <w:pPr>
        <w:ind w:left="1720" w:hanging="415"/>
        <w:spacing w:after="0"/>
        <w:tabs>
          <w:tab w:leader="none" w:pos="1720" w:val="left"/>
        </w:tabs>
        <w:numPr>
          <w:ilvl w:val="0"/>
          <w:numId w:val="261"/>
        </w:numPr>
        <w:rPr>
          <w:rFonts w:ascii="Arial" w:cs="Arial" w:eastAsia="Arial" w:hAnsi="Arial"/>
          <w:sz w:val="20"/>
          <w:szCs w:val="20"/>
          <w:color w:val="auto"/>
        </w:rPr>
      </w:pPr>
      <w:r>
        <w:rPr>
          <w:rFonts w:ascii="Arial" w:cs="Arial" w:eastAsia="Arial" w:hAnsi="Arial"/>
          <w:sz w:val="20"/>
          <w:szCs w:val="20"/>
          <w:color w:val="auto"/>
        </w:rPr>
        <w:t>unless also signed by the Required USD Revolving Lenders, no such amendment, waiver or consent shall:</w:t>
      </w:r>
    </w:p>
    <w:p>
      <w:pPr>
        <w:spacing w:after="0" w:line="280" w:lineRule="exact"/>
        <w:rPr>
          <w:rFonts w:ascii="Arial" w:cs="Arial" w:eastAsia="Arial" w:hAnsi="Arial"/>
          <w:sz w:val="20"/>
          <w:szCs w:val="20"/>
          <w:color w:val="auto"/>
        </w:rPr>
      </w:pPr>
    </w:p>
    <w:p>
      <w:pPr>
        <w:ind w:left="2340" w:hanging="387"/>
        <w:spacing w:after="0"/>
        <w:tabs>
          <w:tab w:leader="none" w:pos="2340" w:val="left"/>
        </w:tabs>
        <w:numPr>
          <w:ilvl w:val="1"/>
          <w:numId w:val="261"/>
        </w:numPr>
        <w:rPr>
          <w:rFonts w:ascii="Arial" w:cs="Arial" w:eastAsia="Arial" w:hAnsi="Arial"/>
          <w:sz w:val="22"/>
          <w:szCs w:val="22"/>
          <w:color w:val="auto"/>
        </w:rPr>
      </w:pPr>
      <w:r>
        <w:rPr>
          <w:rFonts w:ascii="Arial" w:cs="Arial" w:eastAsia="Arial" w:hAnsi="Arial"/>
          <w:sz w:val="20"/>
          <w:szCs w:val="20"/>
          <w:color w:val="auto"/>
        </w:rPr>
        <w:t xml:space="preserve">waive any Default or Event of Default for purposes of </w:t>
      </w:r>
      <w:r>
        <w:rPr>
          <w:rFonts w:ascii="Arial" w:cs="Arial" w:eastAsia="Arial" w:hAnsi="Arial"/>
          <w:sz w:val="20"/>
          <w:szCs w:val="20"/>
          <w:u w:val="single" w:color="auto"/>
          <w:color w:val="auto"/>
        </w:rPr>
        <w:t>Section 5.02</w:t>
      </w:r>
      <w:r>
        <w:rPr>
          <w:rFonts w:ascii="Arial" w:cs="Arial" w:eastAsia="Arial" w:hAnsi="Arial"/>
          <w:sz w:val="20"/>
          <w:szCs w:val="20"/>
          <w:color w:val="auto"/>
        </w:rPr>
        <w:t>,</w:t>
      </w:r>
    </w:p>
    <w:p>
      <w:pPr>
        <w:spacing w:after="0" w:line="276" w:lineRule="exact"/>
        <w:rPr>
          <w:rFonts w:ascii="Arial" w:cs="Arial" w:eastAsia="Arial" w:hAnsi="Arial"/>
          <w:sz w:val="22"/>
          <w:szCs w:val="22"/>
          <w:color w:val="auto"/>
        </w:rPr>
      </w:pPr>
    </w:p>
    <w:p>
      <w:pPr>
        <w:ind w:left="1300" w:right="120" w:firstLine="653"/>
        <w:spacing w:after="0" w:line="321" w:lineRule="auto"/>
        <w:tabs>
          <w:tab w:leader="none" w:pos="2392" w:val="left"/>
        </w:tabs>
        <w:numPr>
          <w:ilvl w:val="1"/>
          <w:numId w:val="261"/>
        </w:numPr>
        <w:rPr>
          <w:rFonts w:ascii="Arial" w:cs="Arial" w:eastAsia="Arial" w:hAnsi="Arial"/>
          <w:sz w:val="22"/>
          <w:szCs w:val="22"/>
          <w:color w:val="auto"/>
        </w:rPr>
      </w:pPr>
      <w:r>
        <w:rPr>
          <w:rFonts w:ascii="Arial" w:cs="Arial" w:eastAsia="Arial" w:hAnsi="Arial"/>
          <w:sz w:val="20"/>
          <w:szCs w:val="20"/>
          <w:color w:val="auto"/>
        </w:rPr>
        <w:t xml:space="preserve">amend or waive any mandatory prepayment on Master Revolving Loan Obligations under </w:t>
      </w:r>
      <w:r>
        <w:rPr>
          <w:rFonts w:ascii="Arial" w:cs="Arial" w:eastAsia="Arial" w:hAnsi="Arial"/>
          <w:sz w:val="20"/>
          <w:szCs w:val="20"/>
          <w:u w:val="single" w:color="auto"/>
          <w:color w:val="auto"/>
        </w:rPr>
        <w:t>Section 2.06(b</w:t>
      </w:r>
      <w:r>
        <w:rPr>
          <w:rFonts w:ascii="Arial" w:cs="Arial" w:eastAsia="Arial" w:hAnsi="Arial"/>
          <w:sz w:val="20"/>
          <w:szCs w:val="20"/>
          <w:color w:val="auto"/>
        </w:rPr>
        <w:t xml:space="preserve">) or the manner of application thereof to the Master Revolving Loan Obligations under </w:t>
      </w:r>
      <w:r>
        <w:rPr>
          <w:rFonts w:ascii="Arial" w:cs="Arial" w:eastAsia="Arial" w:hAnsi="Arial"/>
          <w:sz w:val="20"/>
          <w:szCs w:val="20"/>
          <w:u w:val="single" w:color="auto"/>
          <w:color w:val="auto"/>
        </w:rPr>
        <w:t>Section 2.06(c</w:t>
      </w:r>
      <w:r>
        <w:rPr>
          <w:rFonts w:ascii="Arial" w:cs="Arial" w:eastAsia="Arial" w:hAnsi="Arial"/>
          <w:sz w:val="20"/>
          <w:szCs w:val="20"/>
          <w:color w:val="auto"/>
        </w:rPr>
        <w:t>), or</w:t>
      </w:r>
    </w:p>
    <w:p>
      <w:pPr>
        <w:spacing w:after="0" w:line="177" w:lineRule="exact"/>
        <w:rPr>
          <w:rFonts w:ascii="Arial" w:cs="Arial" w:eastAsia="Arial" w:hAnsi="Arial"/>
          <w:sz w:val="22"/>
          <w:szCs w:val="22"/>
          <w:color w:val="auto"/>
        </w:rPr>
      </w:pPr>
    </w:p>
    <w:p>
      <w:pPr>
        <w:ind w:left="1300" w:right="320" w:firstLine="653"/>
        <w:spacing w:after="0" w:line="312" w:lineRule="auto"/>
        <w:tabs>
          <w:tab w:leader="none" w:pos="2452" w:val="left"/>
        </w:tabs>
        <w:numPr>
          <w:ilvl w:val="1"/>
          <w:numId w:val="261"/>
        </w:numPr>
        <w:rPr>
          <w:rFonts w:ascii="Arial" w:cs="Arial" w:eastAsia="Arial" w:hAnsi="Arial"/>
          <w:sz w:val="22"/>
          <w:szCs w:val="22"/>
          <w:color w:val="auto"/>
        </w:rPr>
      </w:pPr>
      <w:r>
        <w:rPr>
          <w:rFonts w:ascii="Arial" w:cs="Arial" w:eastAsia="Arial" w:hAnsi="Arial"/>
          <w:sz w:val="20"/>
          <w:szCs w:val="20"/>
          <w:color w:val="auto"/>
        </w:rPr>
        <w:t xml:space="preserve">amend or waive the provisions of </w:t>
      </w:r>
      <w:r>
        <w:rPr>
          <w:rFonts w:ascii="Arial" w:cs="Arial" w:eastAsia="Arial" w:hAnsi="Arial"/>
          <w:sz w:val="20"/>
          <w:szCs w:val="20"/>
          <w:u w:val="single" w:color="auto"/>
          <w:color w:val="auto"/>
        </w:rPr>
        <w:t>Section 5.02</w:t>
      </w:r>
      <w:r>
        <w:rPr>
          <w:rFonts w:ascii="Arial" w:cs="Arial" w:eastAsia="Arial" w:hAnsi="Arial"/>
          <w:sz w:val="20"/>
          <w:szCs w:val="20"/>
          <w:color w:val="auto"/>
        </w:rPr>
        <w:t xml:space="preserve"> (Conditions to all Credit Extensions), </w:t>
      </w:r>
      <w:r>
        <w:rPr>
          <w:rFonts w:ascii="Arial" w:cs="Arial" w:eastAsia="Arial" w:hAnsi="Arial"/>
          <w:sz w:val="20"/>
          <w:szCs w:val="20"/>
          <w:u w:val="single" w:color="auto"/>
          <w:color w:val="auto"/>
        </w:rPr>
        <w:t>Section 7.13</w:t>
      </w:r>
      <w:r>
        <w:rPr>
          <w:rFonts w:ascii="Arial" w:cs="Arial" w:eastAsia="Arial" w:hAnsi="Arial"/>
          <w:sz w:val="20"/>
          <w:szCs w:val="20"/>
          <w:color w:val="auto"/>
        </w:rPr>
        <w:t xml:space="preserve"> (Joinder of Subsidiaries as Guarantors), </w:t>
      </w:r>
      <w:r>
        <w:rPr>
          <w:rFonts w:ascii="Arial" w:cs="Arial" w:eastAsia="Arial" w:hAnsi="Arial"/>
          <w:sz w:val="20"/>
          <w:szCs w:val="20"/>
          <w:u w:val="single" w:color="auto"/>
          <w:color w:val="auto"/>
        </w:rPr>
        <w:t>Article VIII</w:t>
      </w:r>
      <w:r>
        <w:rPr>
          <w:rFonts w:ascii="Arial" w:cs="Arial" w:eastAsia="Arial" w:hAnsi="Arial"/>
          <w:sz w:val="20"/>
          <w:szCs w:val="20"/>
          <w:color w:val="auto"/>
        </w:rPr>
        <w:t xml:space="preserve"> (Negative Covenants), </w:t>
      </w:r>
      <w:r>
        <w:rPr>
          <w:rFonts w:ascii="Arial" w:cs="Arial" w:eastAsia="Arial" w:hAnsi="Arial"/>
          <w:sz w:val="20"/>
          <w:szCs w:val="20"/>
          <w:u w:val="single" w:color="auto"/>
          <w:color w:val="auto"/>
        </w:rPr>
        <w:t>Article IX</w:t>
      </w:r>
      <w:r>
        <w:rPr>
          <w:rFonts w:ascii="Arial" w:cs="Arial" w:eastAsia="Arial" w:hAnsi="Arial"/>
          <w:sz w:val="20"/>
          <w:szCs w:val="20"/>
          <w:color w:val="auto"/>
        </w:rPr>
        <w:t xml:space="preserve"> (Events of Default and Remedies), this </w:t>
      </w:r>
      <w:r>
        <w:rPr>
          <w:rFonts w:ascii="Arial" w:cs="Arial" w:eastAsia="Arial" w:hAnsi="Arial"/>
          <w:sz w:val="20"/>
          <w:szCs w:val="20"/>
          <w:u w:val="single" w:color="auto"/>
          <w:color w:val="auto"/>
        </w:rPr>
        <w:t>Section</w:t>
      </w:r>
      <w:r>
        <w:rPr>
          <w:rFonts w:ascii="Arial" w:cs="Arial" w:eastAsia="Arial" w:hAnsi="Arial"/>
          <w:sz w:val="20"/>
          <w:szCs w:val="20"/>
          <w:color w:val="auto"/>
        </w:rPr>
        <w:t xml:space="preserve"> </w:t>
      </w:r>
      <w:r>
        <w:rPr>
          <w:rFonts w:ascii="Arial" w:cs="Arial" w:eastAsia="Arial" w:hAnsi="Arial"/>
          <w:sz w:val="20"/>
          <w:szCs w:val="20"/>
          <w:u w:val="single" w:color="auto"/>
          <w:color w:val="auto"/>
        </w:rPr>
        <w:t>11.01(b</w:t>
      </w:r>
      <w:r>
        <w:rPr>
          <w:rFonts w:ascii="Arial" w:cs="Arial" w:eastAsia="Arial" w:hAnsi="Arial"/>
          <w:sz w:val="20"/>
          <w:szCs w:val="20"/>
          <w:color w:val="auto"/>
        </w:rPr>
        <w:t>) or the definition of “Required USD Revolving Lenders”;</w:t>
      </w:r>
    </w:p>
    <w:p>
      <w:pPr>
        <w:spacing w:after="0" w:line="180" w:lineRule="exact"/>
        <w:rPr>
          <w:rFonts w:ascii="Arial" w:cs="Arial" w:eastAsia="Arial" w:hAnsi="Arial"/>
          <w:sz w:val="22"/>
          <w:szCs w:val="22"/>
          <w:color w:val="auto"/>
        </w:rPr>
      </w:pPr>
    </w:p>
    <w:p>
      <w:pPr>
        <w:ind w:left="1700" w:hanging="395"/>
        <w:spacing w:after="0"/>
        <w:tabs>
          <w:tab w:leader="none" w:pos="1700" w:val="left"/>
        </w:tabs>
        <w:numPr>
          <w:ilvl w:val="0"/>
          <w:numId w:val="261"/>
        </w:numPr>
        <w:rPr>
          <w:rFonts w:ascii="Arial" w:cs="Arial" w:eastAsia="Arial" w:hAnsi="Arial"/>
          <w:sz w:val="18"/>
          <w:szCs w:val="18"/>
          <w:color w:val="auto"/>
        </w:rPr>
      </w:pPr>
      <w:r>
        <w:rPr>
          <w:rFonts w:ascii="Arial" w:cs="Arial" w:eastAsia="Arial" w:hAnsi="Arial"/>
          <w:sz w:val="18"/>
          <w:szCs w:val="18"/>
          <w:color w:val="auto"/>
        </w:rPr>
        <w:t>unless also consented to in writing by the affected L/C Issuer, no such amendment, waiver or consent shall affect the</w:t>
      </w:r>
    </w:p>
    <w:p>
      <w:pPr>
        <w:spacing w:after="0" w:line="76" w:lineRule="exact"/>
        <w:rPr>
          <w:rFonts w:ascii="Arial" w:cs="Arial" w:eastAsia="Arial" w:hAnsi="Arial"/>
          <w:sz w:val="18"/>
          <w:szCs w:val="18"/>
          <w:color w:val="auto"/>
        </w:rPr>
      </w:pPr>
    </w:p>
    <w:p>
      <w:pPr>
        <w:ind w:left="660" w:right="140"/>
        <w:spacing w:after="0" w:line="303" w:lineRule="auto"/>
        <w:rPr>
          <w:rFonts w:ascii="Arial" w:cs="Arial" w:eastAsia="Arial" w:hAnsi="Arial"/>
          <w:sz w:val="18"/>
          <w:szCs w:val="18"/>
          <w:color w:val="auto"/>
        </w:rPr>
      </w:pPr>
      <w:r>
        <w:rPr>
          <w:rFonts w:ascii="Arial" w:cs="Arial" w:eastAsia="Arial" w:hAnsi="Arial"/>
          <w:sz w:val="20"/>
          <w:szCs w:val="20"/>
          <w:color w:val="auto"/>
        </w:rPr>
        <w:t>rights or duties of such L/C Issuer under this Credit Agreement or any Issuer Document relating to any Letter of Credit issued or to be issued by it;</w:t>
      </w:r>
    </w:p>
    <w:p>
      <w:pPr>
        <w:spacing w:after="0" w:line="175" w:lineRule="exact"/>
        <w:rPr>
          <w:rFonts w:ascii="Arial" w:cs="Arial" w:eastAsia="Arial" w:hAnsi="Arial"/>
          <w:sz w:val="18"/>
          <w:szCs w:val="18"/>
          <w:color w:val="auto"/>
        </w:rPr>
      </w:pPr>
    </w:p>
    <w:p>
      <w:pPr>
        <w:ind w:left="660" w:right="180" w:firstLine="645"/>
        <w:spacing w:after="0" w:line="317" w:lineRule="auto"/>
        <w:tabs>
          <w:tab w:leader="none" w:pos="1719" w:val="left"/>
        </w:tabs>
        <w:numPr>
          <w:ilvl w:val="0"/>
          <w:numId w:val="261"/>
        </w:numPr>
        <w:rPr>
          <w:rFonts w:ascii="Arial" w:cs="Arial" w:eastAsia="Arial" w:hAnsi="Arial"/>
          <w:sz w:val="20"/>
          <w:szCs w:val="20"/>
          <w:color w:val="auto"/>
        </w:rPr>
      </w:pPr>
      <w:r>
        <w:rPr>
          <w:rFonts w:ascii="Arial" w:cs="Arial" w:eastAsia="Arial" w:hAnsi="Arial"/>
          <w:sz w:val="20"/>
          <w:szCs w:val="20"/>
          <w:color w:val="auto"/>
        </w:rPr>
        <w:t>unless also consented to in writing by the affected Swingline Lender, no such amendment, waiver or consent shall affect the rights or duties of such Swingline Lender under this Credit Agreement;</w:t>
      </w:r>
    </w:p>
    <w:p>
      <w:pPr>
        <w:spacing w:after="0" w:line="162" w:lineRule="exact"/>
        <w:rPr>
          <w:rFonts w:ascii="Arial" w:cs="Arial" w:eastAsia="Arial" w:hAnsi="Arial"/>
          <w:sz w:val="20"/>
          <w:szCs w:val="20"/>
          <w:color w:val="auto"/>
        </w:rPr>
      </w:pPr>
    </w:p>
    <w:p>
      <w:pPr>
        <w:ind w:left="660" w:right="280" w:firstLine="645"/>
        <w:spacing w:after="0" w:line="346" w:lineRule="auto"/>
        <w:tabs>
          <w:tab w:leader="none" w:pos="1708" w:val="left"/>
        </w:tabs>
        <w:numPr>
          <w:ilvl w:val="0"/>
          <w:numId w:val="261"/>
        </w:numPr>
        <w:rPr>
          <w:rFonts w:ascii="Arial" w:cs="Arial" w:eastAsia="Arial" w:hAnsi="Arial"/>
          <w:sz w:val="19"/>
          <w:szCs w:val="19"/>
          <w:color w:val="auto"/>
        </w:rPr>
      </w:pPr>
      <w:r>
        <w:rPr>
          <w:rFonts w:ascii="Arial" w:cs="Arial" w:eastAsia="Arial" w:hAnsi="Arial"/>
          <w:sz w:val="19"/>
          <w:szCs w:val="19"/>
          <w:color w:val="auto"/>
        </w:rPr>
        <w:t>unless also consented to in writing by the Administrative Agent, no such amendment, waiver or consent shall affect the rights or duties of the Administrative Agent under this Credit Agreement or any other Credit Document; and</w:t>
      </w:r>
    </w:p>
    <w:p>
      <w:pPr>
        <w:spacing w:after="0" w:line="139" w:lineRule="exact"/>
        <w:rPr>
          <w:rFonts w:ascii="Arial" w:cs="Arial" w:eastAsia="Arial" w:hAnsi="Arial"/>
          <w:sz w:val="19"/>
          <w:szCs w:val="19"/>
          <w:color w:val="auto"/>
        </w:rPr>
      </w:pPr>
    </w:p>
    <w:p>
      <w:pPr>
        <w:ind w:left="1680" w:hanging="375"/>
        <w:spacing w:after="0"/>
        <w:tabs>
          <w:tab w:leader="none" w:pos="1680" w:val="left"/>
        </w:tabs>
        <w:numPr>
          <w:ilvl w:val="0"/>
          <w:numId w:val="261"/>
        </w:numPr>
        <w:rPr>
          <w:rFonts w:ascii="Arial" w:cs="Arial" w:eastAsia="Arial" w:hAnsi="Arial"/>
          <w:sz w:val="18"/>
          <w:szCs w:val="18"/>
          <w:color w:val="auto"/>
        </w:rPr>
      </w:pPr>
      <w:r>
        <w:rPr>
          <w:rFonts w:ascii="Arial" w:cs="Arial" w:eastAsia="Arial" w:hAnsi="Arial"/>
          <w:sz w:val="18"/>
          <w:szCs w:val="18"/>
          <w:color w:val="auto"/>
        </w:rPr>
        <w:t>unless also consented to in writing by the Domestic Collateral Agent or the Foreign Collateral Agent, respectively, no such</w:t>
      </w:r>
    </w:p>
    <w:p>
      <w:pPr>
        <w:spacing w:after="0" w:line="76" w:lineRule="exact"/>
        <w:rPr>
          <w:rFonts w:ascii="Arial" w:cs="Arial" w:eastAsia="Arial" w:hAnsi="Arial"/>
          <w:sz w:val="18"/>
          <w:szCs w:val="18"/>
          <w:color w:val="auto"/>
        </w:rPr>
      </w:pPr>
    </w:p>
    <w:p>
      <w:pPr>
        <w:ind w:left="660" w:right="620"/>
        <w:spacing w:after="0" w:line="303" w:lineRule="auto"/>
        <w:rPr>
          <w:rFonts w:ascii="Arial" w:cs="Arial" w:eastAsia="Arial" w:hAnsi="Arial"/>
          <w:sz w:val="18"/>
          <w:szCs w:val="18"/>
          <w:color w:val="auto"/>
        </w:rPr>
      </w:pPr>
      <w:r>
        <w:rPr>
          <w:rFonts w:ascii="Arial" w:cs="Arial" w:eastAsia="Arial" w:hAnsi="Arial"/>
          <w:sz w:val="20"/>
          <w:szCs w:val="20"/>
          <w:color w:val="auto"/>
        </w:rPr>
        <w:t>amendment, waiver or consent shall affect the rights or duties of the Domestic Collateral Agent or the Foreign Collateral Agent, respectively, under this Credit Agreement or any other Credit Document;</w:t>
      </w:r>
    </w:p>
    <w:p>
      <w:pPr>
        <w:spacing w:after="0" w:line="149" w:lineRule="exact"/>
        <w:rPr>
          <w:sz w:val="20"/>
          <w:szCs w:val="20"/>
          <w:color w:val="auto"/>
        </w:rPr>
      </w:pPr>
    </w:p>
    <w:p>
      <w:pPr>
        <w:ind w:right="80"/>
        <w:spacing w:after="0" w:line="271" w:lineRule="auto"/>
        <w:rPr>
          <w:sz w:val="20"/>
          <w:szCs w:val="20"/>
          <w:color w:val="auto"/>
        </w:rPr>
      </w:pP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however, that notwithstanding anything to the contrary contained herein, (i) no Defaulting Lender shall have any right to approve or disapprove any amendment, waiver or consent hereunder (any amendment, waiver or consent which by its terms requires the consent of all Lenders or each affected Lender may be effected with the consent of the applicable Lenders other than Defaulting Lenders), except that (A) the Commitment of such Lender may not be increased or extended without the consent of such Lender and (B) any waiver, amendment or modification requiring the consent of all Lenders or each affected Lender that by its terms affects any Defaulting Lender more adversely than other affected Lenders shall require the consent of such Defaulting Lender, (ii) each Lender is entitled to vote as such Lender sees fit on any bankruptcy or insolvency reorganization plan that affects the Loans, (iii) each Lender acknowledges that the provisions of Section 1126(c) of the Bankruptcy Code supersedes the unanimous consent provisions set forth herein, (iv) the Required Lenders may consent to allow a Credit Party to use cash collateral in the context of a bankruptcy or insolvency proceeding and any such determination shall be binding on all the Lenders, and (v) the Fee Letters may be amended, or rights or privileges thereunder waived, in a writing executed only by the parties thereto.</w:t>
      </w:r>
    </w:p>
    <w:p>
      <w:pPr>
        <w:spacing w:after="0" w:line="200" w:lineRule="exact"/>
        <w:rPr>
          <w:sz w:val="20"/>
          <w:szCs w:val="20"/>
          <w:color w:val="auto"/>
        </w:rPr>
      </w:pPr>
    </w:p>
    <w:p>
      <w:pPr>
        <w:spacing w:after="0" w:line="218"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180</w:t>
      </w:r>
    </w:p>
    <w:p>
      <w:pPr>
        <w:spacing w:after="0" w:line="10" w:lineRule="exact"/>
        <w:rPr>
          <w:sz w:val="20"/>
          <w:szCs w:val="20"/>
          <w:color w:val="auto"/>
        </w:rPr>
      </w:pPr>
    </w:p>
    <w:p>
      <w:pPr>
        <w:spacing w:after="0"/>
        <w:rPr>
          <w:sz w:val="20"/>
          <w:szCs w:val="20"/>
          <w:color w:val="auto"/>
        </w:rPr>
      </w:pPr>
      <w:r>
        <w:rPr>
          <w:rFonts w:ascii="Arial" w:cs="Arial" w:eastAsia="Arial" w:hAnsi="Arial"/>
          <w:sz w:val="14"/>
          <w:szCs w:val="14"/>
          <w:color w:val="auto"/>
        </w:rPr>
        <w:t>CHAR1\1346423v</w:t>
      </w:r>
      <w:r>
        <w:rPr>
          <w:rFonts w:ascii="Arial" w:cs="Arial" w:eastAsia="Arial" w:hAnsi="Arial"/>
          <w:sz w:val="14"/>
          <w:szCs w:val="14"/>
          <w:color w:val="FF0000"/>
          <w:strike w:val="1"/>
        </w:rPr>
        <w:t>1</w:t>
      </w:r>
      <w:r>
        <w:rPr>
          <w:rFonts w:ascii="Arial" w:cs="Arial" w:eastAsia="Arial" w:hAnsi="Arial"/>
          <w:sz w:val="14"/>
          <w:szCs w:val="14"/>
          <w:u w:val="single" w:color="auto"/>
          <w:color w:val="0000FF"/>
        </w:rPr>
        <w:t>12</w:t>
      </w:r>
    </w:p>
    <w:p>
      <w:pPr>
        <w:sectPr>
          <w:pgSz w:w="11900" w:h="16838" w:orient="portrait"/>
          <w:cols w:equalWidth="0" w:num="1">
            <w:col w:w="11420"/>
          </w:cols>
          <w:pgMar w:left="240" w:top="609" w:right="239" w:bottom="1440" w:gutter="0" w:footer="0" w:header="0"/>
        </w:sectPr>
      </w:pPr>
    </w:p>
    <w:bookmarkStart w:id="232" w:name="page233"/>
    <w:bookmarkEnd w:id="232"/>
    <w:p>
      <w:pPr>
        <w:spacing w:after="0" w:line="272" w:lineRule="auto"/>
        <w:rPr>
          <w:sz w:val="20"/>
          <w:szCs w:val="20"/>
          <w:color w:val="auto"/>
        </w:rPr>
      </w:pPr>
      <w:r>
        <w:rPr>
          <w:rFonts w:ascii="Arial" w:cs="Arial" w:eastAsia="Arial" w:hAnsi="Arial"/>
          <w:sz w:val="18"/>
          <w:szCs w:val="18"/>
          <w:color w:val="auto"/>
        </w:rPr>
        <w:t xml:space="preserve">Notwithstanding any provision herein to the contrary, this Credit Agreement may be amended (or amended and restated) with the written consent of the Credit Parties and the Administrative Agent for the Incremental Credit Facilities contemplated in </w:t>
      </w:r>
      <w:r>
        <w:rPr>
          <w:rFonts w:ascii="Arial" w:cs="Arial" w:eastAsia="Arial" w:hAnsi="Arial"/>
          <w:sz w:val="18"/>
          <w:szCs w:val="18"/>
          <w:u w:val="single" w:color="auto"/>
          <w:color w:val="auto"/>
        </w:rPr>
        <w:t>subsection (d)</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(e)</w:t>
      </w:r>
      <w:r>
        <w:rPr>
          <w:rFonts w:ascii="Arial" w:cs="Arial" w:eastAsia="Arial" w:hAnsi="Arial"/>
          <w:sz w:val="18"/>
          <w:szCs w:val="18"/>
          <w:color w:val="auto"/>
        </w:rPr>
        <w:t xml:space="preserve"> of </w:t>
      </w:r>
      <w:r>
        <w:rPr>
          <w:rFonts w:ascii="Arial" w:cs="Arial" w:eastAsia="Arial" w:hAnsi="Arial"/>
          <w:sz w:val="18"/>
          <w:szCs w:val="18"/>
          <w:u w:val="single" w:color="auto"/>
          <w:color w:val="auto"/>
        </w:rPr>
        <w:t>Section 2.01</w:t>
      </w:r>
      <w:r>
        <w:rPr>
          <w:rFonts w:ascii="Arial" w:cs="Arial" w:eastAsia="Arial" w:hAnsi="Arial"/>
          <w:sz w:val="18"/>
          <w:szCs w:val="18"/>
          <w:color w:val="auto"/>
        </w:rPr>
        <w:t>, and otherwise, with the written consent of the Required Lenders, the Administrative Agent and the Credit Parties (i) to add one or more additional revolving credit or term loan facilities to this Credit Agreement and to permit the extensions of credit and all related obligations and liabilities arising in connection therewith from time to time outstanding to share ratably (or on a basis subordinated to the existing facilities hereunder) in the benefits of this Credit Agreement and the other Credit Documents with the obligations and liabilities from time to time outstanding in respect of the existing facilities hereunder, and (ii) in connection with the foregoing, to permit, as deemed appropriate by the Administrative Agent and approved by the Required Lenders, the Lenders providing such additional credit facilities to participate in any required vote or action required to be approved by the Required Lenders or by any other number, percentage or class of Lenders hereunder.</w:t>
      </w:r>
    </w:p>
    <w:p>
      <w:pPr>
        <w:spacing w:after="0" w:line="171" w:lineRule="exact"/>
        <w:rPr>
          <w:sz w:val="20"/>
          <w:szCs w:val="20"/>
          <w:color w:val="auto"/>
        </w:rPr>
      </w:pPr>
    </w:p>
    <w:p>
      <w:pPr>
        <w:ind w:right="80"/>
        <w:spacing w:after="0" w:line="259" w:lineRule="auto"/>
        <w:rPr>
          <w:sz w:val="20"/>
          <w:szCs w:val="20"/>
          <w:color w:val="auto"/>
        </w:rPr>
      </w:pPr>
      <w:r>
        <w:rPr>
          <w:rFonts w:ascii="Arial" w:cs="Arial" w:eastAsia="Arial" w:hAnsi="Arial"/>
          <w:sz w:val="19"/>
          <w:szCs w:val="19"/>
          <w:color w:val="auto"/>
        </w:rPr>
        <w:t>Further, notwithstanding anything herein to the contrary, if following the Closing Date, the Administrative Agent and EWI shall have agreed in their sole and absolute discretion that there is an ambiguity, inconsistency, manifest error or any error or omission of a technical or immaterial nature, in each case, in any provision of the Credit Documents, then the Administrative Agent and EWI shall be permitted to amend such provision and such amendment shall become effective without any further action or consent of any other party to any Credit Documents if the same is not objected to in writing by the Required Lenders within ten Business Days following receipt of notice thereof (it being understood that the Administrative Agent has no obligation to agree to any such amendment).</w:t>
      </w:r>
    </w:p>
    <w:p>
      <w:pPr>
        <w:spacing w:after="0" w:line="206" w:lineRule="exact"/>
        <w:rPr>
          <w:sz w:val="20"/>
          <w:szCs w:val="20"/>
          <w:color w:val="auto"/>
        </w:rPr>
      </w:pPr>
    </w:p>
    <w:p>
      <w:pPr>
        <w:ind w:left="660"/>
        <w:spacing w:after="0"/>
        <w:tabs>
          <w:tab w:leader="none" w:pos="1260" w:val="left"/>
        </w:tabs>
        <w:rPr>
          <w:sz w:val="20"/>
          <w:szCs w:val="20"/>
          <w:color w:val="auto"/>
        </w:rPr>
      </w:pPr>
      <w:r>
        <w:rPr>
          <w:rFonts w:ascii="Arial" w:cs="Arial" w:eastAsia="Arial" w:hAnsi="Arial"/>
          <w:sz w:val="20"/>
          <w:szCs w:val="20"/>
          <w:color w:val="auto"/>
        </w:rPr>
        <w:t>11.02</w:t>
      </w:r>
      <w:r>
        <w:rPr>
          <w:sz w:val="20"/>
          <w:szCs w:val="20"/>
          <w:color w:val="auto"/>
        </w:rPr>
        <w:tab/>
      </w:r>
      <w:r>
        <w:rPr>
          <w:rFonts w:ascii="Arial" w:cs="Arial" w:eastAsia="Arial" w:hAnsi="Arial"/>
          <w:sz w:val="18"/>
          <w:szCs w:val="18"/>
          <w:u w:val="single" w:color="auto"/>
          <w:color w:val="auto"/>
        </w:rPr>
        <w:t>Notices; Effectiveness; Electronic Communication</w:t>
      </w:r>
      <w:r>
        <w:rPr>
          <w:rFonts w:ascii="Arial" w:cs="Arial" w:eastAsia="Arial" w:hAnsi="Arial"/>
          <w:sz w:val="18"/>
          <w:szCs w:val="18"/>
          <w:color w:val="auto"/>
        </w:rPr>
        <w:t>.</w:t>
      </w:r>
    </w:p>
    <w:p>
      <w:pPr>
        <w:spacing w:after="0" w:line="270" w:lineRule="exact"/>
        <w:rPr>
          <w:sz w:val="20"/>
          <w:szCs w:val="20"/>
          <w:color w:val="auto"/>
        </w:rPr>
      </w:pPr>
    </w:p>
    <w:p>
      <w:pPr>
        <w:ind w:left="1700" w:hanging="395"/>
        <w:spacing w:after="0"/>
        <w:tabs>
          <w:tab w:leader="none" w:pos="1700" w:val="left"/>
        </w:tabs>
        <w:numPr>
          <w:ilvl w:val="0"/>
          <w:numId w:val="262"/>
        </w:numPr>
        <w:rPr>
          <w:rFonts w:ascii="Arial" w:cs="Arial" w:eastAsia="Arial" w:hAnsi="Arial"/>
          <w:sz w:val="18"/>
          <w:szCs w:val="18"/>
          <w:color w:val="auto"/>
        </w:rPr>
      </w:pPr>
      <w:r>
        <w:rPr>
          <w:rFonts w:ascii="Arial" w:cs="Arial" w:eastAsia="Arial" w:hAnsi="Arial"/>
          <w:sz w:val="18"/>
          <w:szCs w:val="18"/>
          <w:u w:val="single" w:color="auto"/>
          <w:color w:val="auto"/>
        </w:rPr>
        <w:t>Notices Generally</w:t>
      </w:r>
      <w:r>
        <w:rPr>
          <w:rFonts w:ascii="Arial" w:cs="Arial" w:eastAsia="Arial" w:hAnsi="Arial"/>
          <w:sz w:val="18"/>
          <w:szCs w:val="18"/>
          <w:color w:val="auto"/>
        </w:rPr>
        <w:t>. Except in the case of notices and other communications expressly permitted to be given by telephone</w:t>
      </w:r>
    </w:p>
    <w:p>
      <w:pPr>
        <w:spacing w:after="0" w:line="76" w:lineRule="exact"/>
        <w:rPr>
          <w:rFonts w:ascii="Arial" w:cs="Arial" w:eastAsia="Arial" w:hAnsi="Arial"/>
          <w:sz w:val="18"/>
          <w:szCs w:val="18"/>
          <w:color w:val="auto"/>
        </w:rPr>
      </w:pPr>
    </w:p>
    <w:p>
      <w:pPr>
        <w:ind w:left="660" w:right="40"/>
        <w:spacing w:after="0" w:line="288" w:lineRule="auto"/>
        <w:rPr>
          <w:rFonts w:ascii="Arial" w:cs="Arial" w:eastAsia="Arial" w:hAnsi="Arial"/>
          <w:sz w:val="18"/>
          <w:szCs w:val="18"/>
          <w:color w:val="auto"/>
        </w:rPr>
      </w:pPr>
      <w:r>
        <w:rPr>
          <w:rFonts w:ascii="Arial" w:cs="Arial" w:eastAsia="Arial" w:hAnsi="Arial"/>
          <w:sz w:val="20"/>
          <w:szCs w:val="20"/>
          <w:color w:val="auto"/>
        </w:rPr>
        <w:t xml:space="preserve">(and except as provided in </w:t>
      </w:r>
      <w:r>
        <w:rPr>
          <w:rFonts w:ascii="Arial" w:cs="Arial" w:eastAsia="Arial" w:hAnsi="Arial"/>
          <w:sz w:val="20"/>
          <w:szCs w:val="20"/>
          <w:u w:val="single" w:color="auto"/>
          <w:color w:val="auto"/>
        </w:rPr>
        <w:t>subsection (b)</w:t>
      </w:r>
      <w:r>
        <w:rPr>
          <w:rFonts w:ascii="Arial" w:cs="Arial" w:eastAsia="Arial" w:hAnsi="Arial"/>
          <w:sz w:val="20"/>
          <w:szCs w:val="20"/>
          <w:color w:val="auto"/>
        </w:rPr>
        <w:t xml:space="preserve"> below), all notices and other communications provided for herein shall be in writing and shall be delivered by hand or overnight courier service, mailed by certified or registered mail or sent by telecopier as follows, and all notices and other communications expressly permitted hereunder to be given by telephone shall be made to the applicable telephone number, as follows:</w:t>
      </w:r>
    </w:p>
    <w:p>
      <w:pPr>
        <w:spacing w:after="0" w:line="206" w:lineRule="exact"/>
        <w:rPr>
          <w:rFonts w:ascii="Arial" w:cs="Arial" w:eastAsia="Arial" w:hAnsi="Arial"/>
          <w:sz w:val="18"/>
          <w:szCs w:val="18"/>
          <w:color w:val="auto"/>
        </w:rPr>
      </w:pPr>
    </w:p>
    <w:p>
      <w:pPr>
        <w:ind w:left="1300" w:right="20" w:firstLine="653"/>
        <w:spacing w:after="0" w:line="312" w:lineRule="auto"/>
        <w:tabs>
          <w:tab w:leader="none" w:pos="2332" w:val="left"/>
        </w:tabs>
        <w:numPr>
          <w:ilvl w:val="1"/>
          <w:numId w:val="262"/>
        </w:numPr>
        <w:rPr>
          <w:rFonts w:ascii="Arial" w:cs="Arial" w:eastAsia="Arial" w:hAnsi="Arial"/>
          <w:sz w:val="22"/>
          <w:szCs w:val="22"/>
          <w:color w:val="auto"/>
        </w:rPr>
      </w:pPr>
      <w:r>
        <w:rPr>
          <w:rFonts w:ascii="Arial" w:cs="Arial" w:eastAsia="Arial" w:hAnsi="Arial"/>
          <w:sz w:val="20"/>
          <w:szCs w:val="20"/>
          <w:color w:val="auto"/>
        </w:rPr>
        <w:t xml:space="preserve">if to any Credit Party, the Administrative Agent, any L/C Issuer or the Swingline Lender, to the address, telecopier number, electronic mail address or telephone number specified for such Person on </w:t>
      </w:r>
      <w:r>
        <w:rPr>
          <w:rFonts w:ascii="Arial" w:cs="Arial" w:eastAsia="Arial" w:hAnsi="Arial"/>
          <w:sz w:val="20"/>
          <w:szCs w:val="20"/>
          <w:u w:val="single" w:color="auto"/>
          <w:color w:val="auto"/>
        </w:rPr>
        <w:t>Schedule 11.02</w:t>
      </w:r>
      <w:r>
        <w:rPr>
          <w:rFonts w:ascii="Arial" w:cs="Arial" w:eastAsia="Arial" w:hAnsi="Arial"/>
          <w:sz w:val="20"/>
          <w:szCs w:val="20"/>
          <w:color w:val="auto"/>
        </w:rPr>
        <w:t xml:space="preserve"> (as </w:t>
      </w:r>
      <w:r>
        <w:rPr>
          <w:rFonts w:ascii="Arial" w:cs="Arial" w:eastAsia="Arial" w:hAnsi="Arial"/>
          <w:sz w:val="20"/>
          <w:szCs w:val="20"/>
          <w:u w:val="single" w:color="auto"/>
          <w:color w:val="0000FF"/>
        </w:rPr>
        <w:t>such schedule</w:t>
      </w:r>
      <w:r>
        <w:rPr>
          <w:rFonts w:ascii="Arial" w:cs="Arial" w:eastAsia="Arial" w:hAnsi="Arial"/>
          <w:sz w:val="20"/>
          <w:szCs w:val="20"/>
          <w:color w:val="auto"/>
        </w:rPr>
        <w:t xml:space="preserve"> may be updated from time to time); and</w:t>
      </w:r>
    </w:p>
    <w:p>
      <w:pPr>
        <w:spacing w:after="0" w:line="194" w:lineRule="exact"/>
        <w:rPr>
          <w:rFonts w:ascii="Arial" w:cs="Arial" w:eastAsia="Arial" w:hAnsi="Arial"/>
          <w:sz w:val="22"/>
          <w:szCs w:val="22"/>
          <w:color w:val="auto"/>
        </w:rPr>
      </w:pPr>
    </w:p>
    <w:p>
      <w:pPr>
        <w:jc w:val="both"/>
        <w:ind w:left="1300" w:right="20" w:firstLine="653"/>
        <w:spacing w:after="0" w:line="311" w:lineRule="auto"/>
        <w:tabs>
          <w:tab w:leader="none" w:pos="2392" w:val="left"/>
        </w:tabs>
        <w:numPr>
          <w:ilvl w:val="1"/>
          <w:numId w:val="262"/>
        </w:numPr>
        <w:rPr>
          <w:rFonts w:ascii="Arial" w:cs="Arial" w:eastAsia="Arial" w:hAnsi="Arial"/>
          <w:sz w:val="22"/>
          <w:szCs w:val="22"/>
          <w:color w:val="auto"/>
        </w:rPr>
      </w:pPr>
      <w:r>
        <w:rPr>
          <w:rFonts w:ascii="Arial" w:cs="Arial" w:eastAsia="Arial" w:hAnsi="Arial"/>
          <w:sz w:val="20"/>
          <w:szCs w:val="20"/>
          <w:color w:val="auto"/>
        </w:rPr>
        <w:t>if to any other Lender, to the address, telecopier number, electronic mail address or telephone number specified in its Administrative Questionnaire (including, as appropriate, notices delivered solely to the Person designated by a Lender on its Administrative Questionnaire then in effect for the delivery of notices that may contain material non-public information relating to the Credit Parties).</w:t>
      </w:r>
    </w:p>
    <w:p>
      <w:pPr>
        <w:spacing w:after="0" w:line="156" w:lineRule="exact"/>
        <w:rPr>
          <w:sz w:val="20"/>
          <w:szCs w:val="20"/>
          <w:color w:val="auto"/>
        </w:rPr>
      </w:pPr>
    </w:p>
    <w:p>
      <w:pPr>
        <w:jc w:val="both"/>
        <w:ind w:right="120"/>
        <w:spacing w:after="0" w:line="291" w:lineRule="auto"/>
        <w:rPr>
          <w:sz w:val="20"/>
          <w:szCs w:val="20"/>
          <w:color w:val="auto"/>
        </w:rPr>
      </w:pPr>
      <w:r>
        <w:rPr>
          <w:rFonts w:ascii="Arial" w:cs="Arial" w:eastAsia="Arial" w:hAnsi="Arial"/>
          <w:sz w:val="18"/>
          <w:szCs w:val="18"/>
          <w:color w:val="auto"/>
        </w:rPr>
        <w:t>Notices and other communications sent by hand or overnight courier service, or mailed by certified or registered mail, shall be deemed to have been given when received; notices and other communications sent by telecopier shall be deemed to have been given when sent (except that, if not given during normal business hours for the recipient, shall be deemed to have been given at the opening of business on the next</w:t>
      </w:r>
    </w:p>
    <w:p>
      <w:pPr>
        <w:spacing w:after="0" w:line="39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181</w:t>
      </w:r>
    </w:p>
    <w:p>
      <w:pPr>
        <w:spacing w:after="0" w:line="10" w:lineRule="exact"/>
        <w:rPr>
          <w:sz w:val="20"/>
          <w:szCs w:val="20"/>
          <w:color w:val="auto"/>
        </w:rPr>
      </w:pPr>
    </w:p>
    <w:p>
      <w:pPr>
        <w:spacing w:after="0"/>
        <w:rPr>
          <w:sz w:val="20"/>
          <w:szCs w:val="20"/>
          <w:color w:val="auto"/>
        </w:rPr>
      </w:pPr>
      <w:r>
        <w:rPr>
          <w:rFonts w:ascii="Arial" w:cs="Arial" w:eastAsia="Arial" w:hAnsi="Arial"/>
          <w:sz w:val="14"/>
          <w:szCs w:val="14"/>
          <w:color w:val="auto"/>
        </w:rPr>
        <w:t>CHAR1\1346423v</w:t>
      </w:r>
      <w:r>
        <w:rPr>
          <w:rFonts w:ascii="Arial" w:cs="Arial" w:eastAsia="Arial" w:hAnsi="Arial"/>
          <w:sz w:val="14"/>
          <w:szCs w:val="14"/>
          <w:color w:val="FF0000"/>
          <w:strike w:val="1"/>
        </w:rPr>
        <w:t>1</w:t>
      </w:r>
      <w:r>
        <w:rPr>
          <w:rFonts w:ascii="Arial" w:cs="Arial" w:eastAsia="Arial" w:hAnsi="Arial"/>
          <w:sz w:val="14"/>
          <w:szCs w:val="14"/>
          <w:u w:val="single" w:color="auto"/>
          <w:color w:val="0000FF"/>
        </w:rPr>
        <w:t>12</w:t>
      </w:r>
    </w:p>
    <w:p>
      <w:pPr>
        <w:sectPr>
          <w:pgSz w:w="11900" w:h="16838" w:orient="portrait"/>
          <w:cols w:equalWidth="0" w:num="1">
            <w:col w:w="11420"/>
          </w:cols>
          <w:pgMar w:left="240" w:top="582" w:right="239" w:bottom="1440" w:gutter="0" w:footer="0" w:header="0"/>
        </w:sectPr>
      </w:pPr>
    </w:p>
    <w:bookmarkStart w:id="233" w:name="page234"/>
    <w:bookmarkEnd w:id="233"/>
    <w:p>
      <w:pPr>
        <w:ind w:right="460"/>
        <w:spacing w:after="0" w:line="260" w:lineRule="auto"/>
        <w:rPr>
          <w:sz w:val="20"/>
          <w:szCs w:val="20"/>
          <w:color w:val="auto"/>
        </w:rPr>
      </w:pPr>
      <w:r>
        <w:rPr>
          <w:rFonts w:ascii="Arial" w:cs="Arial" w:eastAsia="Arial" w:hAnsi="Arial"/>
          <w:sz w:val="20"/>
          <w:szCs w:val="20"/>
          <w:color w:val="auto"/>
        </w:rPr>
        <w:t xml:space="preserve">Business Day for the recipient). Notices and other communications delivered through electronic communications to the extent provided in </w:t>
      </w:r>
      <w:r>
        <w:rPr>
          <w:rFonts w:ascii="Arial" w:cs="Arial" w:eastAsia="Arial" w:hAnsi="Arial"/>
          <w:sz w:val="20"/>
          <w:szCs w:val="20"/>
          <w:u w:val="single" w:color="auto"/>
          <w:color w:val="auto"/>
        </w:rPr>
        <w:t>subsection (b)</w:t>
      </w:r>
      <w:r>
        <w:rPr>
          <w:rFonts w:ascii="Arial" w:cs="Arial" w:eastAsia="Arial" w:hAnsi="Arial"/>
          <w:sz w:val="20"/>
          <w:szCs w:val="20"/>
          <w:color w:val="auto"/>
        </w:rPr>
        <w:t xml:space="preserve"> below, shall be effective as provided in such </w:t>
      </w:r>
      <w:r>
        <w:rPr>
          <w:rFonts w:ascii="Arial" w:cs="Arial" w:eastAsia="Arial" w:hAnsi="Arial"/>
          <w:sz w:val="20"/>
          <w:szCs w:val="20"/>
          <w:u w:val="single" w:color="auto"/>
          <w:color w:val="auto"/>
        </w:rPr>
        <w:t>subsection (b)</w:t>
      </w:r>
      <w:r>
        <w:rPr>
          <w:rFonts w:ascii="Arial" w:cs="Arial" w:eastAsia="Arial" w:hAnsi="Arial"/>
          <w:sz w:val="20"/>
          <w:szCs w:val="20"/>
          <w:color w:val="auto"/>
        </w:rPr>
        <w:t>.</w:t>
      </w:r>
    </w:p>
    <w:p>
      <w:pPr>
        <w:spacing w:after="0" w:line="204" w:lineRule="exact"/>
        <w:rPr>
          <w:sz w:val="20"/>
          <w:szCs w:val="20"/>
          <w:color w:val="auto"/>
        </w:rPr>
      </w:pPr>
    </w:p>
    <w:p>
      <w:pPr>
        <w:ind w:left="1720" w:hanging="415"/>
        <w:spacing w:after="0"/>
        <w:tabs>
          <w:tab w:leader="none" w:pos="1720" w:val="left"/>
        </w:tabs>
        <w:numPr>
          <w:ilvl w:val="0"/>
          <w:numId w:val="263"/>
        </w:numPr>
        <w:rPr>
          <w:rFonts w:ascii="Arial" w:cs="Arial" w:eastAsia="Arial" w:hAnsi="Arial"/>
          <w:sz w:val="18"/>
          <w:szCs w:val="18"/>
          <w:color w:val="auto"/>
        </w:rPr>
      </w:pPr>
      <w:r>
        <w:rPr>
          <w:rFonts w:ascii="Arial" w:cs="Arial" w:eastAsia="Arial" w:hAnsi="Arial"/>
          <w:sz w:val="18"/>
          <w:szCs w:val="18"/>
          <w:u w:val="single" w:color="auto"/>
          <w:color w:val="auto"/>
        </w:rPr>
        <w:t>Electronic Communications</w:t>
      </w:r>
      <w:r>
        <w:rPr>
          <w:rFonts w:ascii="Arial" w:cs="Arial" w:eastAsia="Arial" w:hAnsi="Arial"/>
          <w:sz w:val="18"/>
          <w:szCs w:val="18"/>
          <w:color w:val="auto"/>
        </w:rPr>
        <w:t>. Notices and other communications to the Lenders and the L/C Issuers hereunder may be</w:t>
      </w:r>
    </w:p>
    <w:p>
      <w:pPr>
        <w:spacing w:after="0" w:line="76" w:lineRule="exact"/>
        <w:rPr>
          <w:rFonts w:ascii="Arial" w:cs="Arial" w:eastAsia="Arial" w:hAnsi="Arial"/>
          <w:sz w:val="18"/>
          <w:szCs w:val="18"/>
          <w:color w:val="auto"/>
        </w:rPr>
      </w:pPr>
    </w:p>
    <w:p>
      <w:pPr>
        <w:ind w:left="660"/>
        <w:spacing w:after="0" w:line="267" w:lineRule="exact"/>
        <w:rPr>
          <w:rFonts w:ascii="Arial" w:cs="Arial" w:eastAsia="Arial" w:hAnsi="Arial"/>
          <w:sz w:val="18"/>
          <w:szCs w:val="18"/>
          <w:color w:val="auto"/>
        </w:rPr>
      </w:pPr>
      <w:r>
        <w:rPr>
          <w:rFonts w:ascii="Arial" w:cs="Arial" w:eastAsia="Arial" w:hAnsi="Arial"/>
          <w:sz w:val="19"/>
          <w:szCs w:val="19"/>
          <w:color w:val="auto"/>
        </w:rPr>
        <w:t>delivered or furnished by electronic communication (including e</w:t>
      </w:r>
      <w:r>
        <w:rPr>
          <w:rFonts w:ascii="MS PGothic" w:cs="MS PGothic" w:eastAsia="MS PGothic" w:hAnsi="MS PGothic"/>
          <w:sz w:val="19"/>
          <w:szCs w:val="19"/>
          <w:color w:val="auto"/>
        </w:rPr>
        <w:t>‑</w:t>
      </w:r>
      <w:r>
        <w:rPr>
          <w:rFonts w:ascii="Arial" w:cs="Arial" w:eastAsia="Arial" w:hAnsi="Arial"/>
          <w:sz w:val="19"/>
          <w:szCs w:val="19"/>
          <w:color w:val="auto"/>
        </w:rPr>
        <w:t xml:space="preserve">mail and Internet or intranet websites) pursuant to procedures approved by the Administrative Agent,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the foregoing shall not apply to notices to any Lender or any L/C Issuer pursuant to </w:t>
      </w:r>
      <w:r>
        <w:rPr>
          <w:rFonts w:ascii="Arial" w:cs="Arial" w:eastAsia="Arial" w:hAnsi="Arial"/>
          <w:sz w:val="19"/>
          <w:szCs w:val="19"/>
          <w:u w:val="single" w:color="auto"/>
          <w:color w:val="auto"/>
        </w:rPr>
        <w:t>Article II</w:t>
      </w:r>
      <w:r>
        <w:rPr>
          <w:rFonts w:ascii="Arial" w:cs="Arial" w:eastAsia="Arial" w:hAnsi="Arial"/>
          <w:sz w:val="19"/>
          <w:szCs w:val="19"/>
          <w:color w:val="auto"/>
        </w:rPr>
        <w:t xml:space="preserve"> if such Lender or such L/C Issuer, as applicable, has notified the Administrative Agent that it is incapable of receiving notices under such Article by electronic communication. The Administrative Agent or the any Borrower may, in its discretion, agree to accept notices and other communications to it hereunder by electronic communications pursuant to procedures approved by it,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approval of such procedures may be limited to particular notices or communications.</w:t>
      </w:r>
    </w:p>
    <w:p>
      <w:pPr>
        <w:spacing w:after="0" w:line="209" w:lineRule="exact"/>
        <w:rPr>
          <w:sz w:val="20"/>
          <w:szCs w:val="20"/>
          <w:color w:val="auto"/>
        </w:rPr>
      </w:pPr>
    </w:p>
    <w:p>
      <w:pPr>
        <w:ind w:right="20"/>
        <w:spacing w:after="0" w:line="258" w:lineRule="auto"/>
        <w:rPr>
          <w:sz w:val="20"/>
          <w:szCs w:val="20"/>
          <w:color w:val="auto"/>
        </w:rPr>
      </w:pPr>
      <w:r>
        <w:rPr>
          <w:rFonts w:ascii="Arial" w:cs="Arial" w:eastAsia="Arial" w:hAnsi="Arial"/>
          <w:sz w:val="19"/>
          <w:szCs w:val="19"/>
          <w:color w:val="auto"/>
        </w:rPr>
        <w:t xml:space="preserve">Unless the Administrative Agent otherwise prescribes, (i) notices and other communications sent to an e-mail address shall be deemed received upon the sender’s receipt of an acknowledgement from the intended recipient (such as by the “return receipt requested” function, as available, return e-mail or other written acknowledgement),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if such notice or other communication is not sent during the normal business hours of the recipient, such notice or communication shall be deemed to have been sent at the opening of business on the next business day for the recipient, and (ii) notices or communications posted to an Internet or intranet website shall be deemed received upon the deemed receipt by the intended recipient at its e-mail address as described in the foregoing </w:t>
      </w:r>
      <w:r>
        <w:rPr>
          <w:rFonts w:ascii="Arial" w:cs="Arial" w:eastAsia="Arial" w:hAnsi="Arial"/>
          <w:sz w:val="19"/>
          <w:szCs w:val="19"/>
          <w:u w:val="single" w:color="auto"/>
          <w:color w:val="auto"/>
        </w:rPr>
        <w:t>clause (i)</w:t>
      </w:r>
      <w:r>
        <w:rPr>
          <w:rFonts w:ascii="Arial" w:cs="Arial" w:eastAsia="Arial" w:hAnsi="Arial"/>
          <w:sz w:val="19"/>
          <w:szCs w:val="19"/>
          <w:color w:val="auto"/>
        </w:rPr>
        <w:t xml:space="preserve"> of notification that such notice or communication is available and identifying the website address therefor.</w:t>
      </w:r>
    </w:p>
    <w:p>
      <w:pPr>
        <w:spacing w:after="0" w:line="206" w:lineRule="exact"/>
        <w:rPr>
          <w:sz w:val="20"/>
          <w:szCs w:val="20"/>
          <w:color w:val="auto"/>
        </w:rPr>
      </w:pPr>
    </w:p>
    <w:p>
      <w:pPr>
        <w:ind w:left="1700" w:hanging="395"/>
        <w:spacing w:after="0"/>
        <w:tabs>
          <w:tab w:leader="none" w:pos="1700" w:val="left"/>
        </w:tabs>
        <w:numPr>
          <w:ilvl w:val="0"/>
          <w:numId w:val="264"/>
        </w:numPr>
        <w:rPr>
          <w:rFonts w:ascii="Arial" w:cs="Arial" w:eastAsia="Arial" w:hAnsi="Arial"/>
          <w:sz w:val="20"/>
          <w:szCs w:val="20"/>
          <w:color w:val="auto"/>
        </w:rPr>
      </w:pPr>
      <w:r>
        <w:rPr>
          <w:rFonts w:ascii="Arial" w:cs="Arial" w:eastAsia="Arial" w:hAnsi="Arial"/>
          <w:sz w:val="20"/>
          <w:szCs w:val="20"/>
          <w:u w:val="single" w:color="auto"/>
          <w:color w:val="auto"/>
        </w:rPr>
        <w:t>The Platform</w:t>
      </w:r>
      <w:r>
        <w:rPr>
          <w:rFonts w:ascii="Arial" w:cs="Arial" w:eastAsia="Arial" w:hAnsi="Arial"/>
          <w:sz w:val="20"/>
          <w:szCs w:val="20"/>
          <w:color w:val="auto"/>
        </w:rPr>
        <w:t>. THE PLATFORM IS PROVIDED “AS IS” AND “AS AVAILABLE.” THE AGENT PARTIES (AS</w:t>
      </w:r>
    </w:p>
    <w:p>
      <w:pPr>
        <w:spacing w:after="0" w:line="53" w:lineRule="exact"/>
        <w:rPr>
          <w:rFonts w:ascii="Arial" w:cs="Arial" w:eastAsia="Arial" w:hAnsi="Arial"/>
          <w:sz w:val="20"/>
          <w:szCs w:val="20"/>
          <w:color w:val="auto"/>
        </w:rPr>
      </w:pPr>
    </w:p>
    <w:p>
      <w:pPr>
        <w:ind w:left="660"/>
        <w:spacing w:after="0" w:line="269" w:lineRule="exact"/>
        <w:rPr>
          <w:rFonts w:ascii="Arial" w:cs="Arial" w:eastAsia="Arial" w:hAnsi="Arial"/>
          <w:sz w:val="20"/>
          <w:szCs w:val="20"/>
          <w:color w:val="auto"/>
        </w:rPr>
      </w:pPr>
      <w:r>
        <w:rPr>
          <w:rFonts w:ascii="Arial" w:cs="Arial" w:eastAsia="Arial" w:hAnsi="Arial"/>
          <w:sz w:val="19"/>
          <w:szCs w:val="19"/>
          <w:color w:val="auto"/>
        </w:rPr>
        <w:t>DEFINED BELOW) DO NOT WARRANT THE ACCURACY OR COMPLETENESS OF THE CREDIT PARTY MATERIALS OR THE ADEQUACY OF THE PLATFORM, AND EXPRESSLY DISCLAIM LIABILITY FOR ERRORS IN OR OMISSIONS FROM THE CREDIT PARTY MATERIALS. NO WARRANTY OF ANY KIND, EXPRESS, IMPLIED OR STATUTORY, INCLUDING ANY WARRANTY OF MERCHANTABILITY, FITNESS FOR A PARTICULAR PURPOSE, NON</w:t>
      </w:r>
      <w:r>
        <w:rPr>
          <w:rFonts w:ascii="MS PGothic" w:cs="MS PGothic" w:eastAsia="MS PGothic" w:hAnsi="MS PGothic"/>
          <w:sz w:val="19"/>
          <w:szCs w:val="19"/>
          <w:color w:val="auto"/>
        </w:rPr>
        <w:t>‑</w:t>
      </w:r>
      <w:r>
        <w:rPr>
          <w:rFonts w:ascii="Arial" w:cs="Arial" w:eastAsia="Arial" w:hAnsi="Arial"/>
          <w:sz w:val="19"/>
          <w:szCs w:val="19"/>
          <w:color w:val="auto"/>
        </w:rPr>
        <w:t>INFRINGEMENT OF THIRD PARTY RIGHTS OR FREEDOM FROM VIRUSES OR OTHER CODE DEFECTS, IS MADE BY ANY AGENT PARTY IN CONNECTION WITH THE CREDIT PARTY MATERIALS OR THE PLATFORM. In no event shall the Administrative Agent or any of its Related Parties (collectively, the “</w:t>
      </w:r>
      <w:r>
        <w:rPr>
          <w:rFonts w:ascii="Arial" w:cs="Arial" w:eastAsia="Arial" w:hAnsi="Arial"/>
          <w:sz w:val="19"/>
          <w:szCs w:val="19"/>
          <w:u w:val="single" w:color="auto"/>
          <w:color w:val="auto"/>
        </w:rPr>
        <w:t>Agent Parties</w:t>
      </w:r>
      <w:r>
        <w:rPr>
          <w:rFonts w:ascii="Arial" w:cs="Arial" w:eastAsia="Arial" w:hAnsi="Arial"/>
          <w:sz w:val="19"/>
          <w:szCs w:val="19"/>
          <w:color w:val="auto"/>
        </w:rPr>
        <w:t xml:space="preserve">”) have any liability to any Borrower or any other Credit Party, any Lender, any L/C Issuer or any other Person for losses, claims, damages, liabilities or expenses of any kind (whether in tort, contract or otherwise) arising out of any Borrower’s or any other Credit Party’s or the Administrative Agent’s transmission of Credit Party Materials through the Internet, except to the extent that such losses, claims, damages, liabilities or expenses are determined by a court of competent jurisdiction by a final and nonappealable judgment to have resulted from the gross negligence or willful misconduct of such Agent Party;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in no event shall any Agent Party have any liability to any Borrower or any other Credit Party, any Lender, any L/C Issuer or any other Person for indirect, special, incidental, consequential or punitive damages (as opposed to direct or actual damages).</w:t>
      </w:r>
    </w:p>
    <w:p>
      <w:pPr>
        <w:spacing w:after="0" w:line="200" w:lineRule="exact"/>
        <w:rPr>
          <w:sz w:val="20"/>
          <w:szCs w:val="20"/>
          <w:color w:val="auto"/>
        </w:rPr>
      </w:pPr>
    </w:p>
    <w:p>
      <w:pPr>
        <w:spacing w:after="0" w:line="254"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182</w:t>
      </w:r>
    </w:p>
    <w:p>
      <w:pPr>
        <w:spacing w:after="0" w:line="10" w:lineRule="exact"/>
        <w:rPr>
          <w:sz w:val="20"/>
          <w:szCs w:val="20"/>
          <w:color w:val="auto"/>
        </w:rPr>
      </w:pPr>
    </w:p>
    <w:p>
      <w:pPr>
        <w:spacing w:after="0"/>
        <w:rPr>
          <w:sz w:val="20"/>
          <w:szCs w:val="20"/>
          <w:color w:val="auto"/>
        </w:rPr>
      </w:pPr>
      <w:r>
        <w:rPr>
          <w:rFonts w:ascii="Arial" w:cs="Arial" w:eastAsia="Arial" w:hAnsi="Arial"/>
          <w:sz w:val="14"/>
          <w:szCs w:val="14"/>
          <w:color w:val="auto"/>
        </w:rPr>
        <w:t>CHAR1\1346423v</w:t>
      </w:r>
      <w:r>
        <w:rPr>
          <w:rFonts w:ascii="Arial" w:cs="Arial" w:eastAsia="Arial" w:hAnsi="Arial"/>
          <w:sz w:val="14"/>
          <w:szCs w:val="14"/>
          <w:color w:val="FF0000"/>
          <w:strike w:val="1"/>
        </w:rPr>
        <w:t>1</w:t>
      </w:r>
      <w:r>
        <w:rPr>
          <w:rFonts w:ascii="Arial" w:cs="Arial" w:eastAsia="Arial" w:hAnsi="Arial"/>
          <w:sz w:val="14"/>
          <w:szCs w:val="14"/>
          <w:u w:val="single" w:color="auto"/>
          <w:color w:val="0000FF"/>
        </w:rPr>
        <w:t>12</w:t>
      </w:r>
    </w:p>
    <w:p>
      <w:pPr>
        <w:sectPr>
          <w:pgSz w:w="11900" w:h="16838" w:orient="portrait"/>
          <w:cols w:equalWidth="0" w:num="1">
            <w:col w:w="11400"/>
          </w:cols>
          <w:pgMar w:left="240" w:top="582" w:right="259" w:bottom="1440" w:gutter="0" w:footer="0" w:header="0"/>
        </w:sectPr>
      </w:pPr>
    </w:p>
    <w:bookmarkStart w:id="234" w:name="page235"/>
    <w:bookmarkEnd w:id="234"/>
    <w:p>
      <w:pPr>
        <w:ind w:left="1720" w:hanging="415"/>
        <w:spacing w:after="0"/>
        <w:tabs>
          <w:tab w:leader="none" w:pos="1720" w:val="left"/>
        </w:tabs>
        <w:numPr>
          <w:ilvl w:val="1"/>
          <w:numId w:val="265"/>
        </w:numPr>
        <w:rPr>
          <w:rFonts w:ascii="Arial" w:cs="Arial" w:eastAsia="Arial" w:hAnsi="Arial"/>
          <w:sz w:val="18"/>
          <w:szCs w:val="18"/>
          <w:color w:val="auto"/>
        </w:rPr>
      </w:pPr>
      <w:r>
        <w:rPr>
          <w:rFonts w:ascii="Arial" w:cs="Arial" w:eastAsia="Arial" w:hAnsi="Arial"/>
          <w:sz w:val="18"/>
          <w:szCs w:val="18"/>
          <w:u w:val="single" w:color="auto"/>
          <w:color w:val="auto"/>
        </w:rPr>
        <w:t>Change of Address, Etc</w:t>
      </w:r>
      <w:r>
        <w:rPr>
          <w:rFonts w:ascii="Arial" w:cs="Arial" w:eastAsia="Arial" w:hAnsi="Arial"/>
          <w:sz w:val="18"/>
          <w:szCs w:val="18"/>
          <w:color w:val="auto"/>
        </w:rPr>
        <w:t>. Each of the Borrowers, the Administrative Agent, the L/C Issuers and the Swingline Lender may</w:t>
      </w:r>
    </w:p>
    <w:p>
      <w:pPr>
        <w:spacing w:after="0" w:line="76" w:lineRule="exact"/>
        <w:rPr>
          <w:rFonts w:ascii="Arial" w:cs="Arial" w:eastAsia="Arial" w:hAnsi="Arial"/>
          <w:sz w:val="18"/>
          <w:szCs w:val="18"/>
          <w:color w:val="auto"/>
        </w:rPr>
      </w:pPr>
    </w:p>
    <w:p>
      <w:pPr>
        <w:ind w:left="660" w:right="100"/>
        <w:spacing w:after="0" w:line="352" w:lineRule="auto"/>
        <w:rPr>
          <w:rFonts w:ascii="Arial" w:cs="Arial" w:eastAsia="Arial" w:hAnsi="Arial"/>
          <w:sz w:val="18"/>
          <w:szCs w:val="18"/>
          <w:color w:val="auto"/>
        </w:rPr>
      </w:pPr>
      <w:r>
        <w:rPr>
          <w:rFonts w:ascii="Arial" w:cs="Arial" w:eastAsia="Arial" w:hAnsi="Arial"/>
          <w:sz w:val="16"/>
          <w:szCs w:val="16"/>
          <w:color w:val="auto"/>
        </w:rPr>
        <w:t>change its address, telecopier or telephone number for notices and other communications hereunder by notice to the other parties hereto. Each other Lender may change its address, telecopier or telephone number for notices and other communications hereunder by notice to the Borrowers, the Administrative Agent, the L/C Issuers and the Swingline Lender. In addition, each Lender agrees to notify the Administrative Agent from time to time to ensure that the Administrative Agent has on record (i) an effective address, contact name, telephone number, telecopier number and electronic mail address to which notices and other communications may be sent and</w:t>
      </w:r>
    </w:p>
    <w:p>
      <w:pPr>
        <w:spacing w:after="0" w:line="1" w:lineRule="exact"/>
        <w:rPr>
          <w:rFonts w:ascii="Arial" w:cs="Arial" w:eastAsia="Arial" w:hAnsi="Arial"/>
          <w:sz w:val="18"/>
          <w:szCs w:val="18"/>
          <w:color w:val="auto"/>
        </w:rPr>
      </w:pPr>
    </w:p>
    <w:p>
      <w:pPr>
        <w:ind w:left="660" w:right="160" w:hanging="4"/>
        <w:spacing w:after="0" w:line="267" w:lineRule="exact"/>
        <w:tabs>
          <w:tab w:leader="none" w:pos="951" w:val="left"/>
        </w:tabs>
        <w:numPr>
          <w:ilvl w:val="0"/>
          <w:numId w:val="266"/>
        </w:numPr>
        <w:rPr>
          <w:rFonts w:ascii="Arial" w:cs="Arial" w:eastAsia="Arial" w:hAnsi="Arial"/>
          <w:sz w:val="16"/>
          <w:szCs w:val="16"/>
          <w:color w:val="auto"/>
        </w:rPr>
      </w:pPr>
      <w:r>
        <w:rPr>
          <w:rFonts w:ascii="Arial" w:cs="Arial" w:eastAsia="Arial" w:hAnsi="Arial"/>
          <w:sz w:val="16"/>
          <w:szCs w:val="16"/>
          <w:color w:val="auto"/>
        </w:rPr>
        <w:t>accurate wire instructions for such Lender. Furthermore, each Public Lender agrees to cause at least one individual at or on behalf of such Public Lender to at all times have selected the “Private Side Information” or similar designation on the content declaration screen of the Platform in order to enable such Public Lender or its delegate, in accordance with such Public Lender’s compliance procedures and applicable Law, including United States Federal and state securities Laws, to make reference to Credit Party Materials that are not made available through the “Public Side Information” portion of the Platform and that may contain material non</w:t>
      </w:r>
      <w:r>
        <w:rPr>
          <w:rFonts w:ascii="MS PGothic" w:cs="MS PGothic" w:eastAsia="MS PGothic" w:hAnsi="MS PGothic"/>
          <w:sz w:val="16"/>
          <w:szCs w:val="16"/>
          <w:color w:val="auto"/>
        </w:rPr>
        <w:t>‑</w:t>
      </w:r>
      <w:r>
        <w:rPr>
          <w:rFonts w:ascii="Arial" w:cs="Arial" w:eastAsia="Arial" w:hAnsi="Arial"/>
          <w:sz w:val="16"/>
          <w:szCs w:val="16"/>
          <w:color w:val="auto"/>
        </w:rPr>
        <w:t>public information with respect to any Credit Party or its securities for purposes of United States Federal or state securities laws.</w:t>
      </w:r>
    </w:p>
    <w:p>
      <w:pPr>
        <w:spacing w:after="0" w:line="236" w:lineRule="exact"/>
        <w:rPr>
          <w:rFonts w:ascii="Arial" w:cs="Arial" w:eastAsia="Arial" w:hAnsi="Arial"/>
          <w:sz w:val="16"/>
          <w:szCs w:val="16"/>
          <w:color w:val="auto"/>
        </w:rPr>
      </w:pPr>
    </w:p>
    <w:p>
      <w:pPr>
        <w:ind w:left="1700" w:hanging="395"/>
        <w:spacing w:after="0"/>
        <w:tabs>
          <w:tab w:leader="none" w:pos="1700" w:val="left"/>
        </w:tabs>
        <w:numPr>
          <w:ilvl w:val="1"/>
          <w:numId w:val="266"/>
        </w:numPr>
        <w:rPr>
          <w:rFonts w:ascii="Arial" w:cs="Arial" w:eastAsia="Arial" w:hAnsi="Arial"/>
          <w:sz w:val="18"/>
          <w:szCs w:val="18"/>
          <w:color w:val="auto"/>
        </w:rPr>
      </w:pPr>
      <w:r>
        <w:rPr>
          <w:rFonts w:ascii="Arial" w:cs="Arial" w:eastAsia="Arial" w:hAnsi="Arial"/>
          <w:sz w:val="18"/>
          <w:szCs w:val="18"/>
          <w:u w:val="single" w:color="auto"/>
          <w:color w:val="auto"/>
        </w:rPr>
        <w:t>Reliance by Administrative Agent, L/C Issuers and Lenders</w:t>
      </w:r>
      <w:r>
        <w:rPr>
          <w:rFonts w:ascii="Arial" w:cs="Arial" w:eastAsia="Arial" w:hAnsi="Arial"/>
          <w:sz w:val="18"/>
          <w:szCs w:val="18"/>
          <w:color w:val="auto"/>
        </w:rPr>
        <w:t>. The Administrative Agent, the L/C Issuers and the Lenders</w:t>
      </w:r>
    </w:p>
    <w:p>
      <w:pPr>
        <w:spacing w:after="0" w:line="76" w:lineRule="exact"/>
        <w:rPr>
          <w:rFonts w:ascii="Arial" w:cs="Arial" w:eastAsia="Arial" w:hAnsi="Arial"/>
          <w:sz w:val="18"/>
          <w:szCs w:val="18"/>
          <w:color w:val="auto"/>
        </w:rPr>
      </w:pPr>
    </w:p>
    <w:p>
      <w:pPr>
        <w:ind w:left="660" w:right="20"/>
        <w:spacing w:after="0" w:line="321" w:lineRule="auto"/>
        <w:rPr>
          <w:rFonts w:ascii="Arial" w:cs="Arial" w:eastAsia="Arial" w:hAnsi="Arial"/>
          <w:sz w:val="18"/>
          <w:szCs w:val="18"/>
          <w:color w:val="auto"/>
        </w:rPr>
      </w:pPr>
      <w:r>
        <w:rPr>
          <w:rFonts w:ascii="Arial" w:cs="Arial" w:eastAsia="Arial" w:hAnsi="Arial"/>
          <w:sz w:val="18"/>
          <w:szCs w:val="18"/>
          <w:color w:val="auto"/>
        </w:rPr>
        <w:t>shall be entitled to rely and act upon any notices (including telephonic Loan Notices and Swingline Loan Notices) purportedly given by or on behalf of any Borrower even if (i) such notices were not made in a manner specified herein, were incomplete or were not preceded or followed by any other form of notice specified herein, or (ii) the terms thereof, as understood by the recipient, varied from any confirmation thereof. Each Borrower shall indemnify the Administrative Agent, each L/C Issuer, each Lender and the Related Parties of each of them from all losses, costs, expenses and liabilities resulting from the reliance by such Person on each notice purportedly given by or on behalf of any Borrower. All telephonic notices to and other telephonic communications with the Administrative Agent may be recorded by the Administrative Agent, and each of the parties hereto hereby consents to such recording.</w:t>
      </w:r>
    </w:p>
    <w:p>
      <w:pPr>
        <w:spacing w:after="0" w:line="169" w:lineRule="exact"/>
        <w:rPr>
          <w:sz w:val="20"/>
          <w:szCs w:val="20"/>
          <w:color w:val="auto"/>
        </w:rPr>
      </w:pPr>
    </w:p>
    <w:p>
      <w:pPr>
        <w:ind w:right="100" w:firstLine="648"/>
        <w:spacing w:after="0" w:line="306" w:lineRule="auto"/>
        <w:rPr>
          <w:sz w:val="20"/>
          <w:szCs w:val="20"/>
          <w:color w:val="auto"/>
        </w:rPr>
      </w:pPr>
      <w:r>
        <w:rPr>
          <w:rFonts w:ascii="Arial" w:cs="Arial" w:eastAsia="Arial" w:hAnsi="Arial"/>
          <w:sz w:val="19"/>
          <w:szCs w:val="19"/>
          <w:color w:val="auto"/>
        </w:rPr>
        <w:t xml:space="preserve">11.03 </w:t>
      </w:r>
      <w:r>
        <w:rPr>
          <w:rFonts w:ascii="Arial" w:cs="Arial" w:eastAsia="Arial" w:hAnsi="Arial"/>
          <w:sz w:val="19"/>
          <w:szCs w:val="19"/>
          <w:u w:val="single" w:color="auto"/>
          <w:color w:val="auto"/>
        </w:rPr>
        <w:t>No Waiver; Cumulative Remedies; Enforcement</w:t>
      </w:r>
      <w:r>
        <w:rPr>
          <w:rFonts w:ascii="Arial" w:cs="Arial" w:eastAsia="Arial" w:hAnsi="Arial"/>
          <w:sz w:val="19"/>
          <w:szCs w:val="19"/>
          <w:color w:val="auto"/>
        </w:rPr>
        <w:t>. No failure by any Lender, any L/C Issuer, Swingline Lender or the Administrative Agent to exercise, and no delay by any such Person in exercising, any right, remedy, power or privilege hereunder or under any other Credit Document shall operate as a waiver thereof; nor shall any single or partial exercise of any right, remedy, power or privilege hereunder (including the imposition of the Default Rate) preclude any other or further exercise thereof or the exercise of any other right, remedy, power or privilege. The rights, remedies, powers and privileges herein provided and provided under each of the other Credit Documents are cumulative and not exclusive of any rights, remedies, powers and privileges provided by law.</w:t>
      </w:r>
    </w:p>
    <w:p>
      <w:pPr>
        <w:spacing w:after="0" w:line="152" w:lineRule="exact"/>
        <w:rPr>
          <w:sz w:val="20"/>
          <w:szCs w:val="20"/>
          <w:color w:val="auto"/>
        </w:rPr>
      </w:pPr>
    </w:p>
    <w:p>
      <w:pPr>
        <w:ind w:firstLine="648"/>
        <w:spacing w:after="0" w:line="263" w:lineRule="auto"/>
        <w:rPr>
          <w:sz w:val="20"/>
          <w:szCs w:val="20"/>
          <w:color w:val="auto"/>
        </w:rPr>
      </w:pPr>
      <w:r>
        <w:rPr>
          <w:rFonts w:ascii="Arial" w:cs="Arial" w:eastAsia="Arial" w:hAnsi="Arial"/>
          <w:sz w:val="19"/>
          <w:szCs w:val="19"/>
          <w:color w:val="auto"/>
        </w:rPr>
        <w:t xml:space="preserve">Notwithstanding anything to the contrary contained herein or in any other Credit Document, the authority to enforce rights and remedies hereunder and under the other Credit Documents against the Credit Parties or any of them shall be vested exclusively in, and all actions and proceedings at law in connection with such enforcement shall be instituted and maintained exclusively by, the Administrative Agent in accordance with </w:t>
      </w:r>
      <w:r>
        <w:rPr>
          <w:rFonts w:ascii="Arial" w:cs="Arial" w:eastAsia="Arial" w:hAnsi="Arial"/>
          <w:sz w:val="19"/>
          <w:szCs w:val="19"/>
          <w:u w:val="single" w:color="auto"/>
          <w:color w:val="auto"/>
        </w:rPr>
        <w:t>Section 9.02</w:t>
      </w:r>
      <w:r>
        <w:rPr>
          <w:rFonts w:ascii="Arial" w:cs="Arial" w:eastAsia="Arial" w:hAnsi="Arial"/>
          <w:sz w:val="19"/>
          <w:szCs w:val="19"/>
          <w:color w:val="auto"/>
        </w:rPr>
        <w:t xml:space="preserve"> for the benefit of all the Lenders and the L/C Issuers; </w:t>
      </w:r>
      <w:r>
        <w:rPr>
          <w:rFonts w:ascii="Arial" w:cs="Arial" w:eastAsia="Arial" w:hAnsi="Arial"/>
          <w:sz w:val="19"/>
          <w:szCs w:val="19"/>
          <w:u w:val="single" w:color="auto"/>
          <w:color w:val="auto"/>
        </w:rPr>
        <w:t>provided</w:t>
      </w:r>
      <w:r>
        <w:rPr>
          <w:rFonts w:ascii="Arial" w:cs="Arial" w:eastAsia="Arial" w:hAnsi="Arial"/>
          <w:sz w:val="19"/>
          <w:szCs w:val="19"/>
          <w:color w:val="auto"/>
        </w:rPr>
        <w:t>,</w:t>
      </w:r>
    </w:p>
    <w:p>
      <w:pPr>
        <w:spacing w:after="0" w:line="200" w:lineRule="exact"/>
        <w:rPr>
          <w:sz w:val="20"/>
          <w:szCs w:val="20"/>
          <w:color w:val="auto"/>
        </w:rPr>
      </w:pPr>
    </w:p>
    <w:p>
      <w:pPr>
        <w:spacing w:after="0" w:line="220"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183</w:t>
      </w:r>
    </w:p>
    <w:p>
      <w:pPr>
        <w:spacing w:after="0" w:line="10" w:lineRule="exact"/>
        <w:rPr>
          <w:sz w:val="20"/>
          <w:szCs w:val="20"/>
          <w:color w:val="auto"/>
        </w:rPr>
      </w:pPr>
    </w:p>
    <w:p>
      <w:pPr>
        <w:spacing w:after="0"/>
        <w:rPr>
          <w:sz w:val="20"/>
          <w:szCs w:val="20"/>
          <w:color w:val="auto"/>
        </w:rPr>
      </w:pPr>
      <w:r>
        <w:rPr>
          <w:rFonts w:ascii="Arial" w:cs="Arial" w:eastAsia="Arial" w:hAnsi="Arial"/>
          <w:sz w:val="14"/>
          <w:szCs w:val="14"/>
          <w:color w:val="auto"/>
        </w:rPr>
        <w:t>CHAR1\1346423v</w:t>
      </w:r>
      <w:r>
        <w:rPr>
          <w:rFonts w:ascii="Arial" w:cs="Arial" w:eastAsia="Arial" w:hAnsi="Arial"/>
          <w:sz w:val="14"/>
          <w:szCs w:val="14"/>
          <w:color w:val="FF0000"/>
          <w:strike w:val="1"/>
        </w:rPr>
        <w:t>1</w:t>
      </w:r>
      <w:r>
        <w:rPr>
          <w:rFonts w:ascii="Arial" w:cs="Arial" w:eastAsia="Arial" w:hAnsi="Arial"/>
          <w:sz w:val="14"/>
          <w:szCs w:val="14"/>
          <w:u w:val="single" w:color="auto"/>
          <w:color w:val="0000FF"/>
        </w:rPr>
        <w:t>12</w:t>
      </w:r>
    </w:p>
    <w:p>
      <w:pPr>
        <w:sectPr>
          <w:pgSz w:w="11900" w:h="16838" w:orient="portrait"/>
          <w:cols w:equalWidth="0" w:num="1">
            <w:col w:w="11420"/>
          </w:cols>
          <w:pgMar w:left="240" w:top="609" w:right="239" w:bottom="1440" w:gutter="0" w:footer="0" w:header="0"/>
        </w:sectPr>
      </w:pPr>
    </w:p>
    <w:bookmarkStart w:id="235" w:name="page236"/>
    <w:bookmarkEnd w:id="235"/>
    <w:p>
      <w:pPr>
        <w:ind w:right="80"/>
        <w:spacing w:after="0" w:line="271" w:lineRule="auto"/>
        <w:rPr>
          <w:sz w:val="20"/>
          <w:szCs w:val="20"/>
          <w:color w:val="auto"/>
        </w:rPr>
      </w:pPr>
      <w:r>
        <w:rPr>
          <w:rFonts w:ascii="Arial" w:cs="Arial" w:eastAsia="Arial" w:hAnsi="Arial"/>
          <w:sz w:val="18"/>
          <w:szCs w:val="18"/>
          <w:u w:val="single" w:color="auto"/>
          <w:color w:val="auto"/>
        </w:rPr>
        <w:t>however</w:t>
      </w:r>
      <w:r>
        <w:rPr>
          <w:rFonts w:ascii="Arial" w:cs="Arial" w:eastAsia="Arial" w:hAnsi="Arial"/>
          <w:sz w:val="18"/>
          <w:szCs w:val="18"/>
          <w:color w:val="auto"/>
        </w:rPr>
        <w:t xml:space="preserve">, that the foregoing shall not prohibit (a) the Administrative Agent from exercising on its own behalf the rights and remedies that inure to its benefit (solely in its capacity as Administrative Agent) hereunder and under the other Credit Documents, (b) the L/C Issuers or the Swingline Lenders from exercising the rights and remedies that inure to their benefit (solely in their capacity as L/C Issuer or Swingline Lender, as the case may be) hereunder and under the other Credit Documents, (c) any Lender from exercising setoff rights in accordance with </w:t>
      </w:r>
      <w:r>
        <w:rPr>
          <w:rFonts w:ascii="Arial" w:cs="Arial" w:eastAsia="Arial" w:hAnsi="Arial"/>
          <w:sz w:val="18"/>
          <w:szCs w:val="18"/>
          <w:u w:val="single" w:color="auto"/>
          <w:color w:val="auto"/>
        </w:rPr>
        <w:t>Section 11.08</w:t>
      </w:r>
      <w:r>
        <w:rPr>
          <w:rFonts w:ascii="Arial" w:cs="Arial" w:eastAsia="Arial" w:hAnsi="Arial"/>
          <w:sz w:val="18"/>
          <w:szCs w:val="18"/>
          <w:color w:val="auto"/>
        </w:rPr>
        <w:t xml:space="preserve"> (subject to the terms of </w:t>
      </w:r>
      <w:r>
        <w:rPr>
          <w:rFonts w:ascii="Arial" w:cs="Arial" w:eastAsia="Arial" w:hAnsi="Arial"/>
          <w:sz w:val="18"/>
          <w:szCs w:val="18"/>
          <w:u w:val="single" w:color="auto"/>
          <w:color w:val="auto"/>
        </w:rPr>
        <w:t>Section 2.12</w:t>
      </w:r>
      <w:r>
        <w:rPr>
          <w:rFonts w:ascii="Arial" w:cs="Arial" w:eastAsia="Arial" w:hAnsi="Arial"/>
          <w:sz w:val="18"/>
          <w:szCs w:val="18"/>
          <w:color w:val="auto"/>
        </w:rPr>
        <w:t xml:space="preserve">), or (d) any Lender from filing proofs of claim or appearing and filing pleadings on its own behalf during the pendency of a proceeding relative to any Credit Party under any Debtor Relief Law; and </w:t>
      </w:r>
      <w:r>
        <w:rPr>
          <w:rFonts w:ascii="Arial" w:cs="Arial" w:eastAsia="Arial" w:hAnsi="Arial"/>
          <w:sz w:val="18"/>
          <w:szCs w:val="18"/>
          <w:u w:val="single" w:color="auto"/>
          <w:color w:val="auto"/>
        </w:rPr>
        <w:t>provided further</w:t>
      </w:r>
      <w:r>
        <w:rPr>
          <w:rFonts w:ascii="Arial" w:cs="Arial" w:eastAsia="Arial" w:hAnsi="Arial"/>
          <w:sz w:val="18"/>
          <w:szCs w:val="18"/>
          <w:color w:val="auto"/>
        </w:rPr>
        <w:t xml:space="preserve">, that if at any time there is no Person acting as Administrative Agent hereunder and under the other Credit Documents, then (i) the Required Lenders shall have the rights otherwise ascribed to the Administrative Agent pursuant to </w:t>
      </w:r>
      <w:r>
        <w:rPr>
          <w:rFonts w:ascii="Arial" w:cs="Arial" w:eastAsia="Arial" w:hAnsi="Arial"/>
          <w:sz w:val="18"/>
          <w:szCs w:val="18"/>
          <w:u w:val="single" w:color="auto"/>
          <w:color w:val="auto"/>
        </w:rPr>
        <w:t>Section 9.02</w:t>
      </w:r>
      <w:r>
        <w:rPr>
          <w:rFonts w:ascii="Arial" w:cs="Arial" w:eastAsia="Arial" w:hAnsi="Arial"/>
          <w:sz w:val="18"/>
          <w:szCs w:val="18"/>
          <w:color w:val="auto"/>
        </w:rPr>
        <w:t xml:space="preserve"> and (ii) in addition to the matters set forth in </w:t>
      </w:r>
      <w:r>
        <w:rPr>
          <w:rFonts w:ascii="Arial" w:cs="Arial" w:eastAsia="Arial" w:hAnsi="Arial"/>
          <w:sz w:val="18"/>
          <w:szCs w:val="18"/>
          <w:u w:val="single" w:color="auto"/>
          <w:color w:val="auto"/>
        </w:rPr>
        <w:t>clauses (b)</w:t>
      </w:r>
      <w:r>
        <w:rPr>
          <w:rFonts w:ascii="Arial" w:cs="Arial" w:eastAsia="Arial" w:hAnsi="Arial"/>
          <w:sz w:val="18"/>
          <w:szCs w:val="18"/>
          <w:color w:val="auto"/>
        </w:rPr>
        <w:t xml:space="preserve">, </w:t>
      </w:r>
      <w:r>
        <w:rPr>
          <w:rFonts w:ascii="Arial" w:cs="Arial" w:eastAsia="Arial" w:hAnsi="Arial"/>
          <w:sz w:val="18"/>
          <w:szCs w:val="18"/>
          <w:u w:val="single" w:color="auto"/>
          <w:color w:val="auto"/>
        </w:rPr>
        <w:t>(c)</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(d)</w:t>
      </w:r>
      <w:r>
        <w:rPr>
          <w:rFonts w:ascii="Arial" w:cs="Arial" w:eastAsia="Arial" w:hAnsi="Arial"/>
          <w:sz w:val="18"/>
          <w:szCs w:val="18"/>
          <w:color w:val="auto"/>
        </w:rPr>
        <w:t xml:space="preserve"> of the preceding proviso and subject to </w:t>
      </w:r>
      <w:r>
        <w:rPr>
          <w:rFonts w:ascii="Arial" w:cs="Arial" w:eastAsia="Arial" w:hAnsi="Arial"/>
          <w:sz w:val="18"/>
          <w:szCs w:val="18"/>
          <w:u w:val="single" w:color="auto"/>
          <w:color w:val="auto"/>
        </w:rPr>
        <w:t>Section 2.12</w:t>
      </w:r>
      <w:r>
        <w:rPr>
          <w:rFonts w:ascii="Arial" w:cs="Arial" w:eastAsia="Arial" w:hAnsi="Arial"/>
          <w:sz w:val="18"/>
          <w:szCs w:val="18"/>
          <w:color w:val="auto"/>
        </w:rPr>
        <w:t>, any Lender may, with the consent of the Required Lenders, enforce any rights and remedies available to it and as authorized by the Required Lenders.</w:t>
      </w:r>
    </w:p>
    <w:p>
      <w:pPr>
        <w:spacing w:after="0" w:line="202" w:lineRule="exact"/>
        <w:rPr>
          <w:sz w:val="20"/>
          <w:szCs w:val="20"/>
          <w:color w:val="auto"/>
        </w:rPr>
      </w:pPr>
    </w:p>
    <w:p>
      <w:pPr>
        <w:ind w:left="660"/>
        <w:spacing w:after="0"/>
        <w:tabs>
          <w:tab w:leader="none" w:pos="1260" w:val="left"/>
        </w:tabs>
        <w:rPr>
          <w:sz w:val="20"/>
          <w:szCs w:val="20"/>
          <w:color w:val="auto"/>
        </w:rPr>
      </w:pPr>
      <w:r>
        <w:rPr>
          <w:rFonts w:ascii="Arial" w:cs="Arial" w:eastAsia="Arial" w:hAnsi="Arial"/>
          <w:sz w:val="20"/>
          <w:szCs w:val="20"/>
          <w:color w:val="auto"/>
        </w:rPr>
        <w:t>11.04</w:t>
      </w:r>
      <w:r>
        <w:rPr>
          <w:sz w:val="20"/>
          <w:szCs w:val="20"/>
          <w:color w:val="auto"/>
        </w:rPr>
        <w:tab/>
      </w:r>
      <w:r>
        <w:rPr>
          <w:rFonts w:ascii="Arial" w:cs="Arial" w:eastAsia="Arial" w:hAnsi="Arial"/>
          <w:sz w:val="16"/>
          <w:szCs w:val="16"/>
          <w:u w:val="single" w:color="auto"/>
          <w:color w:val="auto"/>
        </w:rPr>
        <w:t>Expenses; Indemnity; Damage Waiver</w:t>
      </w:r>
      <w:r>
        <w:rPr>
          <w:rFonts w:ascii="Arial" w:cs="Arial" w:eastAsia="Arial" w:hAnsi="Arial"/>
          <w:sz w:val="16"/>
          <w:szCs w:val="16"/>
          <w:color w:val="auto"/>
        </w:rPr>
        <w:t>.</w:t>
      </w:r>
    </w:p>
    <w:p>
      <w:pPr>
        <w:spacing w:after="0" w:line="270" w:lineRule="exact"/>
        <w:rPr>
          <w:sz w:val="20"/>
          <w:szCs w:val="20"/>
          <w:color w:val="auto"/>
        </w:rPr>
      </w:pPr>
    </w:p>
    <w:p>
      <w:pPr>
        <w:ind w:left="1700" w:hanging="395"/>
        <w:spacing w:after="0" w:line="207" w:lineRule="exact"/>
        <w:tabs>
          <w:tab w:leader="none" w:pos="1700" w:val="left"/>
        </w:tabs>
        <w:numPr>
          <w:ilvl w:val="0"/>
          <w:numId w:val="267"/>
        </w:numPr>
        <w:rPr>
          <w:rFonts w:ascii="Arial" w:cs="Arial" w:eastAsia="Arial" w:hAnsi="Arial"/>
          <w:sz w:val="18"/>
          <w:szCs w:val="18"/>
          <w:color w:val="auto"/>
        </w:rPr>
      </w:pPr>
      <w:r>
        <w:rPr>
          <w:rFonts w:ascii="Arial" w:cs="Arial" w:eastAsia="Arial" w:hAnsi="Arial"/>
          <w:sz w:val="18"/>
          <w:szCs w:val="18"/>
          <w:u w:val="single" w:color="auto"/>
          <w:color w:val="auto"/>
        </w:rPr>
        <w:t>Costs and Expenses</w:t>
      </w:r>
      <w:r>
        <w:rPr>
          <w:rFonts w:ascii="Arial" w:cs="Arial" w:eastAsia="Arial" w:hAnsi="Arial"/>
          <w:sz w:val="18"/>
          <w:szCs w:val="18"/>
          <w:color w:val="auto"/>
        </w:rPr>
        <w:t>. The Borrowers shall pay (i) all reasonable out</w:t>
      </w:r>
      <w:r>
        <w:rPr>
          <w:rFonts w:ascii="MS PGothic" w:cs="MS PGothic" w:eastAsia="MS PGothic" w:hAnsi="MS PGothic"/>
          <w:sz w:val="18"/>
          <w:szCs w:val="18"/>
          <w:color w:val="auto"/>
        </w:rPr>
        <w:t>‑</w:t>
      </w:r>
      <w:r>
        <w:rPr>
          <w:rFonts w:ascii="Arial" w:cs="Arial" w:eastAsia="Arial" w:hAnsi="Arial"/>
          <w:sz w:val="18"/>
          <w:szCs w:val="18"/>
          <w:color w:val="auto"/>
        </w:rPr>
        <w:t>of</w:t>
      </w:r>
      <w:r>
        <w:rPr>
          <w:rFonts w:ascii="MS PGothic" w:cs="MS PGothic" w:eastAsia="MS PGothic" w:hAnsi="MS PGothic"/>
          <w:sz w:val="18"/>
          <w:szCs w:val="18"/>
          <w:color w:val="auto"/>
        </w:rPr>
        <w:t>‑</w:t>
      </w:r>
      <w:r>
        <w:rPr>
          <w:rFonts w:ascii="Arial" w:cs="Arial" w:eastAsia="Arial" w:hAnsi="Arial"/>
          <w:sz w:val="18"/>
          <w:szCs w:val="18"/>
          <w:color w:val="auto"/>
        </w:rPr>
        <w:t>pocket expenses incurred by the Administrative</w:t>
      </w:r>
    </w:p>
    <w:p>
      <w:pPr>
        <w:spacing w:after="0" w:line="76" w:lineRule="exact"/>
        <w:rPr>
          <w:rFonts w:ascii="Arial" w:cs="Arial" w:eastAsia="Arial" w:hAnsi="Arial"/>
          <w:sz w:val="18"/>
          <w:szCs w:val="18"/>
          <w:color w:val="auto"/>
        </w:rPr>
      </w:pPr>
    </w:p>
    <w:p>
      <w:pPr>
        <w:ind w:left="660"/>
        <w:spacing w:after="0" w:line="269" w:lineRule="exact"/>
        <w:rPr>
          <w:rFonts w:ascii="Arial" w:cs="Arial" w:eastAsia="Arial" w:hAnsi="Arial"/>
          <w:sz w:val="18"/>
          <w:szCs w:val="18"/>
          <w:color w:val="auto"/>
        </w:rPr>
      </w:pPr>
      <w:r>
        <w:rPr>
          <w:rFonts w:ascii="Arial" w:cs="Arial" w:eastAsia="Arial" w:hAnsi="Arial"/>
          <w:sz w:val="18"/>
          <w:szCs w:val="18"/>
          <w:color w:val="auto"/>
        </w:rPr>
        <w:t>Agent, the Collateral Agent and their respective Affiliates (including the reasonable fees, charges and disbursements of Moore &amp; Van Allen, PLLC, as counsel to the Administrative Agent, the Collateral Agent and the Lenders and of special and local counsel to the Administrative Agent, the Collateral Agent and the Lenders; provided that the Administrative Agent, the Collateral Agent and the Lenders will not engage more than one counsel in each sovereign jurisdiction without EWI’s prior written consent), in connection with the syndication of the credit facilities provided for herein, the preparation, negotiation, execution, delivery and administration of this Credit Agreement and the other Credit Documents or any amendments, modifications or waivers of the provisions hereof or thereof (whether or not the transactions contemplated hereby or thereby shall be consummated), (ii) all reasonable out</w:t>
      </w:r>
      <w:r>
        <w:rPr>
          <w:rFonts w:ascii="MS PGothic" w:cs="MS PGothic" w:eastAsia="MS PGothic" w:hAnsi="MS PGothic"/>
          <w:sz w:val="18"/>
          <w:szCs w:val="18"/>
          <w:color w:val="auto"/>
        </w:rPr>
        <w:t>‑</w:t>
      </w:r>
      <w:r>
        <w:rPr>
          <w:rFonts w:ascii="Arial" w:cs="Arial" w:eastAsia="Arial" w:hAnsi="Arial"/>
          <w:sz w:val="18"/>
          <w:szCs w:val="18"/>
          <w:color w:val="auto"/>
        </w:rPr>
        <w:t>of</w:t>
      </w:r>
      <w:r>
        <w:rPr>
          <w:rFonts w:ascii="MS PGothic" w:cs="MS PGothic" w:eastAsia="MS PGothic" w:hAnsi="MS PGothic"/>
          <w:sz w:val="18"/>
          <w:szCs w:val="18"/>
          <w:color w:val="auto"/>
        </w:rPr>
        <w:t>‑</w:t>
      </w:r>
      <w:r>
        <w:rPr>
          <w:rFonts w:ascii="Arial" w:cs="Arial" w:eastAsia="Arial" w:hAnsi="Arial"/>
          <w:sz w:val="18"/>
          <w:szCs w:val="18"/>
          <w:color w:val="auto"/>
        </w:rPr>
        <w:t>pocket expenses incurred by any L/C Issuer in connection with the issuance, amendment, renewal or extension of any Letter of Credit or any demand for payment thereunder and (iii) all out</w:t>
      </w:r>
      <w:r>
        <w:rPr>
          <w:rFonts w:ascii="MS PGothic" w:cs="MS PGothic" w:eastAsia="MS PGothic" w:hAnsi="MS PGothic"/>
          <w:sz w:val="18"/>
          <w:szCs w:val="18"/>
          <w:color w:val="auto"/>
        </w:rPr>
        <w:t>‑</w:t>
      </w:r>
      <w:r>
        <w:rPr>
          <w:rFonts w:ascii="Arial" w:cs="Arial" w:eastAsia="Arial" w:hAnsi="Arial"/>
          <w:sz w:val="18"/>
          <w:szCs w:val="18"/>
          <w:color w:val="auto"/>
        </w:rPr>
        <w:t>of</w:t>
      </w:r>
      <w:r>
        <w:rPr>
          <w:rFonts w:ascii="MS PGothic" w:cs="MS PGothic" w:eastAsia="MS PGothic" w:hAnsi="MS PGothic"/>
          <w:sz w:val="18"/>
          <w:szCs w:val="18"/>
          <w:color w:val="auto"/>
        </w:rPr>
        <w:t>‑</w:t>
      </w:r>
      <w:r>
        <w:rPr>
          <w:rFonts w:ascii="Arial" w:cs="Arial" w:eastAsia="Arial" w:hAnsi="Arial"/>
          <w:sz w:val="18"/>
          <w:szCs w:val="18"/>
          <w:color w:val="auto"/>
        </w:rPr>
        <w:t>pocket expenses incurred by the Administrative Agent, the Collateral Agent, any Lender or any L/C Issuer (including the fees, charges and disbursements of any counsel for the Administrative Agent, the Collateral Agent, any Lender or any L/C Issuer (but limited to the reasonable fees and expenses of one outside law firm for the Administrative Agent, the Collateral Agent and the Lenders taken as a whole, and, if necessary and appropriate, one local counsel and one regulatory counsel for the Administrative Agent, the Collateral Agent and the Lenders taken as a whole in each appropriate jurisdiction, unless (x) the interests of the Administrative Agent, the Collateral Agent and the Lenders are sufficiently divergent, in which case additional counsel may be appointed, as necessary and appropriate, and (y) if the interests of any Lender or group of Lenders are distinctly or disproportionately affected, one additional counsel for each such Lender or group of Lenders)), in connection with the enforcement or protection of its rights (A) in connection with this Credit Agreement and the other Credit Documents, including its rights under this Section, or (B) in connection with the Loans made or Letters of Credit issued hereunder, including all such out</w:t>
      </w:r>
      <w:r>
        <w:rPr>
          <w:rFonts w:ascii="MS PGothic" w:cs="MS PGothic" w:eastAsia="MS PGothic" w:hAnsi="MS PGothic"/>
          <w:sz w:val="18"/>
          <w:szCs w:val="18"/>
          <w:color w:val="auto"/>
        </w:rPr>
        <w:t>‑</w:t>
      </w:r>
      <w:r>
        <w:rPr>
          <w:rFonts w:ascii="Arial" w:cs="Arial" w:eastAsia="Arial" w:hAnsi="Arial"/>
          <w:sz w:val="18"/>
          <w:szCs w:val="18"/>
          <w:color w:val="auto"/>
        </w:rPr>
        <w:t>of</w:t>
      </w:r>
      <w:r>
        <w:rPr>
          <w:rFonts w:ascii="MS PGothic" w:cs="MS PGothic" w:eastAsia="MS PGothic" w:hAnsi="MS PGothic"/>
          <w:sz w:val="18"/>
          <w:szCs w:val="18"/>
          <w:color w:val="auto"/>
        </w:rPr>
        <w:t>‑</w:t>
      </w:r>
      <w:r>
        <w:rPr>
          <w:rFonts w:ascii="Arial" w:cs="Arial" w:eastAsia="Arial" w:hAnsi="Arial"/>
          <w:sz w:val="18"/>
          <w:szCs w:val="18"/>
          <w:color w:val="auto"/>
        </w:rPr>
        <w:t>pocket expenses incurred during any workout, restructuring or related negotiations in respect of such Loans or Letters of Credit.</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184</w:t>
      </w:r>
    </w:p>
    <w:p>
      <w:pPr>
        <w:spacing w:after="0" w:line="10" w:lineRule="exact"/>
        <w:rPr>
          <w:sz w:val="20"/>
          <w:szCs w:val="20"/>
          <w:color w:val="auto"/>
        </w:rPr>
      </w:pPr>
    </w:p>
    <w:p>
      <w:pPr>
        <w:spacing w:after="0"/>
        <w:rPr>
          <w:sz w:val="20"/>
          <w:szCs w:val="20"/>
          <w:color w:val="auto"/>
        </w:rPr>
      </w:pPr>
      <w:r>
        <w:rPr>
          <w:rFonts w:ascii="Arial" w:cs="Arial" w:eastAsia="Arial" w:hAnsi="Arial"/>
          <w:sz w:val="14"/>
          <w:szCs w:val="14"/>
          <w:color w:val="auto"/>
        </w:rPr>
        <w:t>CHAR1\1346423v</w:t>
      </w:r>
      <w:r>
        <w:rPr>
          <w:rFonts w:ascii="Arial" w:cs="Arial" w:eastAsia="Arial" w:hAnsi="Arial"/>
          <w:sz w:val="14"/>
          <w:szCs w:val="14"/>
          <w:color w:val="FF0000"/>
          <w:strike w:val="1"/>
        </w:rPr>
        <w:t>1</w:t>
      </w:r>
      <w:r>
        <w:rPr>
          <w:rFonts w:ascii="Arial" w:cs="Arial" w:eastAsia="Arial" w:hAnsi="Arial"/>
          <w:sz w:val="14"/>
          <w:szCs w:val="14"/>
          <w:u w:val="single" w:color="auto"/>
          <w:color w:val="0000FF"/>
        </w:rPr>
        <w:t>12</w:t>
      </w:r>
    </w:p>
    <w:p>
      <w:pPr>
        <w:sectPr>
          <w:pgSz w:w="11900" w:h="16838" w:orient="portrait"/>
          <w:cols w:equalWidth="0" w:num="1">
            <w:col w:w="11420"/>
          </w:cols>
          <w:pgMar w:left="240" w:top="582" w:right="239" w:bottom="1440" w:gutter="0" w:footer="0" w:header="0"/>
        </w:sectPr>
      </w:pPr>
    </w:p>
    <w:bookmarkStart w:id="236" w:name="page237"/>
    <w:bookmarkEnd w:id="236"/>
    <w:p>
      <w:pPr>
        <w:ind w:left="1720" w:hanging="415"/>
        <w:spacing w:after="0"/>
        <w:tabs>
          <w:tab w:leader="none" w:pos="1720" w:val="left"/>
        </w:tabs>
        <w:numPr>
          <w:ilvl w:val="0"/>
          <w:numId w:val="268"/>
        </w:numPr>
        <w:rPr>
          <w:rFonts w:ascii="Arial" w:cs="Arial" w:eastAsia="Arial" w:hAnsi="Arial"/>
          <w:sz w:val="18"/>
          <w:szCs w:val="18"/>
          <w:color w:val="auto"/>
        </w:rPr>
      </w:pPr>
      <w:r>
        <w:rPr>
          <w:rFonts w:ascii="Arial" w:cs="Arial" w:eastAsia="Arial" w:hAnsi="Arial"/>
          <w:sz w:val="18"/>
          <w:szCs w:val="18"/>
          <w:u w:val="single" w:color="auto"/>
          <w:color w:val="auto"/>
        </w:rPr>
        <w:t>Indemnification by the Borrowers</w:t>
      </w:r>
      <w:r>
        <w:rPr>
          <w:rFonts w:ascii="Arial" w:cs="Arial" w:eastAsia="Arial" w:hAnsi="Arial"/>
          <w:sz w:val="18"/>
          <w:szCs w:val="18"/>
          <w:color w:val="auto"/>
        </w:rPr>
        <w:t>. The Borrowers shall indemnify the Administrative Agent (and any sub-agent thereof),</w:t>
      </w:r>
    </w:p>
    <w:p>
      <w:pPr>
        <w:spacing w:after="0" w:line="76" w:lineRule="exact"/>
        <w:rPr>
          <w:rFonts w:ascii="Arial" w:cs="Arial" w:eastAsia="Arial" w:hAnsi="Arial"/>
          <w:sz w:val="18"/>
          <w:szCs w:val="18"/>
          <w:color w:val="auto"/>
        </w:rPr>
      </w:pPr>
    </w:p>
    <w:p>
      <w:pPr>
        <w:ind w:left="660"/>
        <w:spacing w:after="0" w:line="315" w:lineRule="auto"/>
        <w:rPr>
          <w:rFonts w:ascii="Arial" w:cs="Arial" w:eastAsia="Arial" w:hAnsi="Arial"/>
          <w:sz w:val="18"/>
          <w:szCs w:val="18"/>
          <w:color w:val="auto"/>
        </w:rPr>
      </w:pPr>
      <w:r>
        <w:rPr>
          <w:rFonts w:ascii="Arial" w:cs="Arial" w:eastAsia="Arial" w:hAnsi="Arial"/>
          <w:sz w:val="18"/>
          <w:szCs w:val="18"/>
          <w:color w:val="auto"/>
        </w:rPr>
        <w:t>the Arrangers, the Collateral Agent, each Lender and each L/C Issuer, and each Related Party of any of the foregoing Persons (each such Person being called an “</w:t>
      </w:r>
      <w:r>
        <w:rPr>
          <w:rFonts w:ascii="Arial" w:cs="Arial" w:eastAsia="Arial" w:hAnsi="Arial"/>
          <w:sz w:val="18"/>
          <w:szCs w:val="18"/>
          <w:u w:val="single" w:color="auto"/>
          <w:color w:val="auto"/>
        </w:rPr>
        <w:t>Indemnitee</w:t>
      </w:r>
      <w:r>
        <w:rPr>
          <w:rFonts w:ascii="Arial" w:cs="Arial" w:eastAsia="Arial" w:hAnsi="Arial"/>
          <w:sz w:val="18"/>
          <w:szCs w:val="18"/>
          <w:color w:val="auto"/>
        </w:rPr>
        <w:t xml:space="preserve">”) against, and hold each Indemnitee harmless from, any and all losses, claims, damages, liabilities and related expenses (including the reasonable fees, charges and disbursements of any counsel for any Indemnitee, but limited to the reasonable fees and expenses of one outside law firm for the Administrative Agent, the Collateral Agent and the Lenders taken as a whole, and, if necessary and appropriate, one local counsel and one regulatory counsel for the Administrative Agent, the Collateral Agent and the Lenders taken as a whole in each appropriate jurisdiction, unless (i) the interests of the Administrative Agent, the Collateral Agent and the Lenders are sufficiently divergent, in which case additional counsel may be appointed, as necessary and appropriate, and (y) if the interests of any Lender or group of Lenders are distinctly or disproportionately affected, one additional counsel for each such Lender or group of Lenders), incurred by any Indemnitee or asserted against any Indemnitee by any third party or by any Borrower or any other Credit Party arising out of, in connection with, or as a result of (i) the execution or delivery of this Credit Agreement, any other Credit Document or any agreement or instrument contemplated hereby or thereby, the performance by the parties hereto of their respective obligations hereunder or thereunder or the consummation of the transactions contemplated hereby or thereby, or, in the case of the Administrative Agent (and any sub-agent thereof) and its Related Parties only, the administration of this Credit Agreement and the other Credit Documents, (ii) any Loan or Letter of Credit or the use or proposed use of the proceeds therefrom (including any refusal by an L/C Issuer to honor a demand for payment under a Letter of Credit if the documents presented in connection with such demand do not strictly comply with the terms of such Letter of Credit), (iii) any actual or alleged presence or release of Hazardous Materials on or from any property owned or operated by any Borrower or any of its Subsidiaries, or any Environmental Liability related in any way to any Borrower or any of its Subsidiaries, or (iv) any actual or prospective claim, litigation, investigation or proceeding relating to any of the foregoing, whether based on contract, tort or any other theory, whether brought by a third party or by any Borrower or any other Credit Party, and regardless of whether any Indemnitee is a party thereto;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such indemnity shall not, as to any Indemnitee, be available to the extent that such losses, claims, damages, liabilities or related expenses (x) are determined by a court of competent jurisdiction by final and nonappealable judgment to have resulted from the gross negligence or willful misconduct of, or material breach of a Credit Document by, such Indemnitee or (y) arise from disputes solely among Indemnitees, and in such event solely to the extent that the underlying dispute does not (1) arise as a result of an action, inaction or representation of, or information provided by or on behalf of the Consolidated Group or (2) relate to any such action by such Indemnitee in its capacity as Administrative Agent or Arrangers.</w:t>
      </w:r>
    </w:p>
    <w:p>
      <w:pPr>
        <w:spacing w:after="0" w:line="175" w:lineRule="exact"/>
        <w:rPr>
          <w:rFonts w:ascii="Arial" w:cs="Arial" w:eastAsia="Arial" w:hAnsi="Arial"/>
          <w:sz w:val="18"/>
          <w:szCs w:val="18"/>
          <w:color w:val="auto"/>
        </w:rPr>
      </w:pPr>
    </w:p>
    <w:p>
      <w:pPr>
        <w:ind w:left="1700" w:hanging="395"/>
        <w:spacing w:after="0"/>
        <w:tabs>
          <w:tab w:leader="none" w:pos="1700" w:val="left"/>
        </w:tabs>
        <w:numPr>
          <w:ilvl w:val="0"/>
          <w:numId w:val="268"/>
        </w:numPr>
        <w:rPr>
          <w:rFonts w:ascii="Arial" w:cs="Arial" w:eastAsia="Arial" w:hAnsi="Arial"/>
          <w:sz w:val="18"/>
          <w:szCs w:val="18"/>
          <w:color w:val="auto"/>
        </w:rPr>
      </w:pPr>
      <w:r>
        <w:rPr>
          <w:rFonts w:ascii="Arial" w:cs="Arial" w:eastAsia="Arial" w:hAnsi="Arial"/>
          <w:sz w:val="18"/>
          <w:szCs w:val="18"/>
          <w:u w:val="single" w:color="auto"/>
          <w:color w:val="auto"/>
        </w:rPr>
        <w:t>Reimbursement by Lenders</w:t>
      </w:r>
      <w:r>
        <w:rPr>
          <w:rFonts w:ascii="Arial" w:cs="Arial" w:eastAsia="Arial" w:hAnsi="Arial"/>
          <w:sz w:val="18"/>
          <w:szCs w:val="18"/>
          <w:color w:val="auto"/>
        </w:rPr>
        <w:t>. To the extent that any Borrower for any reason fails to indefeasibly pay any amount required</w:t>
      </w:r>
    </w:p>
    <w:p>
      <w:pPr>
        <w:spacing w:after="0" w:line="76" w:lineRule="exact"/>
        <w:rPr>
          <w:rFonts w:ascii="Arial" w:cs="Arial" w:eastAsia="Arial" w:hAnsi="Arial"/>
          <w:sz w:val="18"/>
          <w:szCs w:val="18"/>
          <w:color w:val="auto"/>
        </w:rPr>
      </w:pPr>
    </w:p>
    <w:p>
      <w:pPr>
        <w:ind w:left="660" w:right="140"/>
        <w:spacing w:after="0" w:line="292" w:lineRule="auto"/>
        <w:rPr>
          <w:rFonts w:ascii="Arial" w:cs="Arial" w:eastAsia="Arial" w:hAnsi="Arial"/>
          <w:sz w:val="18"/>
          <w:szCs w:val="18"/>
          <w:color w:val="auto"/>
        </w:rPr>
      </w:pPr>
      <w:r>
        <w:rPr>
          <w:rFonts w:ascii="Arial" w:cs="Arial" w:eastAsia="Arial" w:hAnsi="Arial"/>
          <w:sz w:val="20"/>
          <w:szCs w:val="20"/>
          <w:color w:val="auto"/>
        </w:rPr>
        <w:t xml:space="preserve">under </w:t>
      </w:r>
      <w:r>
        <w:rPr>
          <w:rFonts w:ascii="Arial" w:cs="Arial" w:eastAsia="Arial" w:hAnsi="Arial"/>
          <w:sz w:val="20"/>
          <w:szCs w:val="20"/>
          <w:u w:val="single" w:color="auto"/>
          <w:color w:val="auto"/>
        </w:rPr>
        <w:t>subsection (a)</w:t>
      </w:r>
      <w:r>
        <w:rPr>
          <w:rFonts w:ascii="Arial" w:cs="Arial" w:eastAsia="Arial" w:hAnsi="Arial"/>
          <w:sz w:val="20"/>
          <w:szCs w:val="20"/>
          <w:color w:val="auto"/>
        </w:rPr>
        <w:t xml:space="preserve"> or </w:t>
      </w:r>
      <w:r>
        <w:rPr>
          <w:rFonts w:ascii="Arial" w:cs="Arial" w:eastAsia="Arial" w:hAnsi="Arial"/>
          <w:sz w:val="20"/>
          <w:szCs w:val="20"/>
          <w:u w:val="single" w:color="auto"/>
          <w:color w:val="auto"/>
        </w:rPr>
        <w:t>(b)</w:t>
      </w:r>
      <w:r>
        <w:rPr>
          <w:rFonts w:ascii="Arial" w:cs="Arial" w:eastAsia="Arial" w:hAnsi="Arial"/>
          <w:sz w:val="20"/>
          <w:szCs w:val="20"/>
          <w:color w:val="auto"/>
        </w:rPr>
        <w:t xml:space="preserve"> of this Section to be paid by it to the Administrative Agent (or any sub-agent thereof), an L/C Issuer or any Related Party of any of the foregoing, each Lender severally agrees to pay to the Administrative Agent (or any such sub-agent), such L/C Issuer or such Related Party, as the case may be, such Lender’s pro rata</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185</w:t>
      </w:r>
    </w:p>
    <w:p>
      <w:pPr>
        <w:spacing w:after="0" w:line="10" w:lineRule="exact"/>
        <w:rPr>
          <w:sz w:val="20"/>
          <w:szCs w:val="20"/>
          <w:color w:val="auto"/>
        </w:rPr>
      </w:pPr>
    </w:p>
    <w:p>
      <w:pPr>
        <w:spacing w:after="0"/>
        <w:rPr>
          <w:sz w:val="20"/>
          <w:szCs w:val="20"/>
          <w:color w:val="auto"/>
        </w:rPr>
      </w:pPr>
      <w:r>
        <w:rPr>
          <w:rFonts w:ascii="Arial" w:cs="Arial" w:eastAsia="Arial" w:hAnsi="Arial"/>
          <w:sz w:val="14"/>
          <w:szCs w:val="14"/>
          <w:color w:val="auto"/>
        </w:rPr>
        <w:t>CHAR1\1346423v</w:t>
      </w:r>
      <w:r>
        <w:rPr>
          <w:rFonts w:ascii="Arial" w:cs="Arial" w:eastAsia="Arial" w:hAnsi="Arial"/>
          <w:sz w:val="14"/>
          <w:szCs w:val="14"/>
          <w:color w:val="FF0000"/>
          <w:strike w:val="1"/>
        </w:rPr>
        <w:t>1</w:t>
      </w:r>
      <w:r>
        <w:rPr>
          <w:rFonts w:ascii="Arial" w:cs="Arial" w:eastAsia="Arial" w:hAnsi="Arial"/>
          <w:sz w:val="14"/>
          <w:szCs w:val="14"/>
          <w:u w:val="single" w:color="auto"/>
          <w:color w:val="0000FF"/>
        </w:rPr>
        <w:t>12</w:t>
      </w:r>
    </w:p>
    <w:p>
      <w:pPr>
        <w:sectPr>
          <w:pgSz w:w="11900" w:h="16838" w:orient="portrait"/>
          <w:cols w:equalWidth="0" w:num="1">
            <w:col w:w="11420"/>
          </w:cols>
          <w:pgMar w:left="240" w:top="609" w:right="239" w:bottom="1440" w:gutter="0" w:footer="0" w:header="0"/>
        </w:sectPr>
      </w:pPr>
    </w:p>
    <w:bookmarkStart w:id="237" w:name="page238"/>
    <w:bookmarkEnd w:id="237"/>
    <w:p>
      <w:pPr>
        <w:ind w:left="660"/>
        <w:spacing w:after="0" w:line="303" w:lineRule="auto"/>
        <w:rPr>
          <w:sz w:val="20"/>
          <w:szCs w:val="20"/>
          <w:color w:val="auto"/>
        </w:rPr>
      </w:pPr>
      <w:r>
        <w:rPr>
          <w:rFonts w:ascii="Arial" w:cs="Arial" w:eastAsia="Arial" w:hAnsi="Arial"/>
          <w:sz w:val="19"/>
          <w:szCs w:val="19"/>
          <w:color w:val="auto"/>
        </w:rPr>
        <w:t xml:space="preserve">share (determined in each case as of the time that the applicable unreimbursed expense or indemnity payment is sought) of such unpaid amount,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the unreimbursed expense or indemnified loss, claim, damage, liability or related expense, as the case may be, was incurred by or asserted against the Administrative Agent (or any such sub-agent), the Collateral Agent or such L/C Issuer in its capacity as such, or against any Related Party of any of the foregoing acting for the Administrative Agent (or any such sub-agent), the Collateral Agent or an L/C Issuer in connection with such capacity. The obligations of the Lenders under this </w:t>
      </w:r>
      <w:r>
        <w:rPr>
          <w:rFonts w:ascii="Arial" w:cs="Arial" w:eastAsia="Arial" w:hAnsi="Arial"/>
          <w:sz w:val="19"/>
          <w:szCs w:val="19"/>
          <w:u w:val="single" w:color="auto"/>
          <w:color w:val="auto"/>
        </w:rPr>
        <w:t>subsection (c)</w:t>
      </w:r>
      <w:r>
        <w:rPr>
          <w:rFonts w:ascii="Arial" w:cs="Arial" w:eastAsia="Arial" w:hAnsi="Arial"/>
          <w:sz w:val="19"/>
          <w:szCs w:val="19"/>
          <w:color w:val="auto"/>
        </w:rPr>
        <w:t xml:space="preserve"> are subject to the provisions of </w:t>
      </w:r>
      <w:r>
        <w:rPr>
          <w:rFonts w:ascii="Arial" w:cs="Arial" w:eastAsia="Arial" w:hAnsi="Arial"/>
          <w:sz w:val="19"/>
          <w:szCs w:val="19"/>
          <w:u w:val="single" w:color="auto"/>
          <w:color w:val="auto"/>
        </w:rPr>
        <w:t>Section 2.11(d)</w:t>
      </w:r>
      <w:r>
        <w:rPr>
          <w:rFonts w:ascii="Arial" w:cs="Arial" w:eastAsia="Arial" w:hAnsi="Arial"/>
          <w:sz w:val="19"/>
          <w:szCs w:val="19"/>
          <w:color w:val="auto"/>
        </w:rPr>
        <w:t>.</w:t>
      </w:r>
    </w:p>
    <w:p>
      <w:pPr>
        <w:spacing w:after="0" w:line="182" w:lineRule="exact"/>
        <w:rPr>
          <w:sz w:val="20"/>
          <w:szCs w:val="20"/>
          <w:color w:val="auto"/>
        </w:rPr>
      </w:pPr>
    </w:p>
    <w:p>
      <w:pPr>
        <w:ind w:left="1720" w:hanging="415"/>
        <w:spacing w:after="0"/>
        <w:tabs>
          <w:tab w:leader="none" w:pos="1720" w:val="left"/>
        </w:tabs>
        <w:numPr>
          <w:ilvl w:val="0"/>
          <w:numId w:val="269"/>
        </w:numPr>
        <w:rPr>
          <w:rFonts w:ascii="Arial" w:cs="Arial" w:eastAsia="Arial" w:hAnsi="Arial"/>
          <w:sz w:val="19"/>
          <w:szCs w:val="19"/>
          <w:color w:val="auto"/>
        </w:rPr>
      </w:pPr>
      <w:r>
        <w:rPr>
          <w:rFonts w:ascii="Arial" w:cs="Arial" w:eastAsia="Arial" w:hAnsi="Arial"/>
          <w:sz w:val="19"/>
          <w:szCs w:val="19"/>
          <w:u w:val="single" w:color="auto"/>
          <w:color w:val="auto"/>
        </w:rPr>
        <w:t>Waiver of Consequential Damages, Etc.</w:t>
      </w:r>
      <w:r>
        <w:rPr>
          <w:rFonts w:ascii="Arial" w:cs="Arial" w:eastAsia="Arial" w:hAnsi="Arial"/>
          <w:sz w:val="19"/>
          <w:szCs w:val="19"/>
          <w:color w:val="auto"/>
        </w:rPr>
        <w:t xml:space="preserve"> Except as set forth in the last sentence of this Section, to the fullest extent</w:t>
      </w:r>
    </w:p>
    <w:p>
      <w:pPr>
        <w:spacing w:after="0" w:line="65" w:lineRule="exact"/>
        <w:rPr>
          <w:rFonts w:ascii="Arial" w:cs="Arial" w:eastAsia="Arial" w:hAnsi="Arial"/>
          <w:sz w:val="19"/>
          <w:szCs w:val="19"/>
          <w:color w:val="auto"/>
        </w:rPr>
      </w:pPr>
    </w:p>
    <w:p>
      <w:pPr>
        <w:ind w:left="660" w:right="20"/>
        <w:spacing w:after="0" w:line="300" w:lineRule="auto"/>
        <w:rPr>
          <w:rFonts w:ascii="Arial" w:cs="Arial" w:eastAsia="Arial" w:hAnsi="Arial"/>
          <w:sz w:val="19"/>
          <w:szCs w:val="19"/>
          <w:color w:val="auto"/>
        </w:rPr>
      </w:pPr>
      <w:r>
        <w:rPr>
          <w:rFonts w:ascii="Arial" w:cs="Arial" w:eastAsia="Arial" w:hAnsi="Arial"/>
          <w:sz w:val="19"/>
          <w:szCs w:val="19"/>
          <w:color w:val="auto"/>
        </w:rPr>
        <w:t xml:space="preserve">permitted by applicable law, the Borrowers shall not assert, and hereby waive, any claim against any Indemnitee, on any theory of liability, for special, indirect, consequential or punitive damages (as opposed to direct or actual damages) arising out of, in connection with, or as a result of, this Credit Agreement, any other Credit Document or any agreement or instrument contemplated hereby, the transactions contemplated hereby or thereby, any Loan or Letter of Credit or the use of the proceeds thereof. Except as set forth in the last sentence of this Section, no Indemnitee referred to in </w:t>
      </w:r>
      <w:r>
        <w:rPr>
          <w:rFonts w:ascii="Arial" w:cs="Arial" w:eastAsia="Arial" w:hAnsi="Arial"/>
          <w:sz w:val="19"/>
          <w:szCs w:val="19"/>
          <w:u w:val="single" w:color="auto"/>
          <w:color w:val="auto"/>
        </w:rPr>
        <w:t>subsection (b)</w:t>
      </w:r>
      <w:r>
        <w:rPr>
          <w:rFonts w:ascii="Arial" w:cs="Arial" w:eastAsia="Arial" w:hAnsi="Arial"/>
          <w:sz w:val="19"/>
          <w:szCs w:val="19"/>
          <w:color w:val="auto"/>
        </w:rPr>
        <w:t xml:space="preserve"> above shall be liable for any damages arising from the use by unintended recipients of any information or other materials distributed to such unintended recipients by such Indemnitee through telecommunications, electronic or other information transmission systems in connection with this Credit Agreement or the other Credit Documents or the transactions contemplated hereby or thereby other than for direct or actual damages resulting from the gross negligence or willful misconduct of or material breach of any Credit Document by, such Indemnitee as determined by a final and nonappealable judgment of a court of competent jurisdiction.</w:t>
      </w:r>
    </w:p>
    <w:p>
      <w:pPr>
        <w:spacing w:after="0" w:line="186" w:lineRule="exact"/>
        <w:rPr>
          <w:rFonts w:ascii="Arial" w:cs="Arial" w:eastAsia="Arial" w:hAnsi="Arial"/>
          <w:sz w:val="19"/>
          <w:szCs w:val="19"/>
          <w:color w:val="auto"/>
        </w:rPr>
      </w:pPr>
    </w:p>
    <w:p>
      <w:pPr>
        <w:ind w:left="1700" w:hanging="395"/>
        <w:spacing w:after="0"/>
        <w:tabs>
          <w:tab w:leader="none" w:pos="1700" w:val="left"/>
        </w:tabs>
        <w:numPr>
          <w:ilvl w:val="0"/>
          <w:numId w:val="269"/>
        </w:numPr>
        <w:rPr>
          <w:rFonts w:ascii="Arial" w:cs="Arial" w:eastAsia="Arial" w:hAnsi="Arial"/>
          <w:sz w:val="18"/>
          <w:szCs w:val="18"/>
          <w:color w:val="auto"/>
        </w:rPr>
      </w:pPr>
      <w:r>
        <w:rPr>
          <w:rFonts w:ascii="Arial" w:cs="Arial" w:eastAsia="Arial" w:hAnsi="Arial"/>
          <w:sz w:val="18"/>
          <w:szCs w:val="18"/>
          <w:u w:val="single" w:color="auto"/>
          <w:color w:val="auto"/>
        </w:rPr>
        <w:t>Payments</w:t>
      </w:r>
      <w:r>
        <w:rPr>
          <w:rFonts w:ascii="Arial" w:cs="Arial" w:eastAsia="Arial" w:hAnsi="Arial"/>
          <w:sz w:val="18"/>
          <w:szCs w:val="18"/>
          <w:color w:val="auto"/>
        </w:rPr>
        <w:t>. All amounts due under this Section shall be payable not later than ten Business Days after demand therefor.</w:t>
      </w:r>
    </w:p>
    <w:p>
      <w:pPr>
        <w:spacing w:after="0" w:line="292" w:lineRule="exact"/>
        <w:rPr>
          <w:rFonts w:ascii="Arial" w:cs="Arial" w:eastAsia="Arial" w:hAnsi="Arial"/>
          <w:sz w:val="18"/>
          <w:szCs w:val="18"/>
          <w:color w:val="auto"/>
        </w:rPr>
      </w:pPr>
    </w:p>
    <w:p>
      <w:pPr>
        <w:ind w:left="1680" w:hanging="375"/>
        <w:spacing w:after="0"/>
        <w:tabs>
          <w:tab w:leader="none" w:pos="1680" w:val="left"/>
        </w:tabs>
        <w:numPr>
          <w:ilvl w:val="0"/>
          <w:numId w:val="269"/>
        </w:numPr>
        <w:rPr>
          <w:rFonts w:ascii="Arial" w:cs="Arial" w:eastAsia="Arial" w:hAnsi="Arial"/>
          <w:sz w:val="18"/>
          <w:szCs w:val="18"/>
          <w:color w:val="auto"/>
        </w:rPr>
      </w:pPr>
      <w:r>
        <w:rPr>
          <w:rFonts w:ascii="Arial" w:cs="Arial" w:eastAsia="Arial" w:hAnsi="Arial"/>
          <w:sz w:val="18"/>
          <w:szCs w:val="18"/>
          <w:u w:val="single" w:color="auto"/>
          <w:color w:val="auto"/>
        </w:rPr>
        <w:t>Survival</w:t>
      </w:r>
      <w:r>
        <w:rPr>
          <w:rFonts w:ascii="Arial" w:cs="Arial" w:eastAsia="Arial" w:hAnsi="Arial"/>
          <w:sz w:val="18"/>
          <w:szCs w:val="18"/>
          <w:color w:val="auto"/>
        </w:rPr>
        <w:t>. The agreements in this Section shall survive the resignation of the Administrative Agent, any L/C Issuer and the</w:t>
      </w:r>
    </w:p>
    <w:p>
      <w:pPr>
        <w:spacing w:after="0" w:line="76" w:lineRule="exact"/>
        <w:rPr>
          <w:rFonts w:ascii="Arial" w:cs="Arial" w:eastAsia="Arial" w:hAnsi="Arial"/>
          <w:sz w:val="18"/>
          <w:szCs w:val="18"/>
          <w:color w:val="auto"/>
        </w:rPr>
      </w:pPr>
    </w:p>
    <w:p>
      <w:pPr>
        <w:ind w:left="660" w:right="220"/>
        <w:spacing w:after="0" w:line="303" w:lineRule="auto"/>
        <w:rPr>
          <w:rFonts w:ascii="Arial" w:cs="Arial" w:eastAsia="Arial" w:hAnsi="Arial"/>
          <w:sz w:val="18"/>
          <w:szCs w:val="18"/>
          <w:color w:val="auto"/>
        </w:rPr>
      </w:pPr>
      <w:r>
        <w:rPr>
          <w:rFonts w:ascii="Arial" w:cs="Arial" w:eastAsia="Arial" w:hAnsi="Arial"/>
          <w:sz w:val="20"/>
          <w:szCs w:val="20"/>
          <w:color w:val="auto"/>
        </w:rPr>
        <w:t>Swingline Lender, the replacement of any Lender, the termination of the Aggregate Commitments and the repayment, satisfaction or discharge of all the other obligations hereunder or under any of the other Credit Documents.</w:t>
      </w:r>
    </w:p>
    <w:p>
      <w:pPr>
        <w:spacing w:after="0" w:line="176" w:lineRule="exact"/>
        <w:rPr>
          <w:sz w:val="20"/>
          <w:szCs w:val="20"/>
          <w:color w:val="auto"/>
        </w:rPr>
      </w:pPr>
    </w:p>
    <w:p>
      <w:pPr>
        <w:ind w:firstLine="648"/>
        <w:spacing w:after="0" w:line="303" w:lineRule="auto"/>
        <w:rPr>
          <w:sz w:val="20"/>
          <w:szCs w:val="20"/>
          <w:color w:val="auto"/>
        </w:rPr>
      </w:pPr>
      <w:r>
        <w:rPr>
          <w:rFonts w:ascii="Arial" w:cs="Arial" w:eastAsia="Arial" w:hAnsi="Arial"/>
          <w:sz w:val="19"/>
          <w:szCs w:val="19"/>
          <w:color w:val="auto"/>
        </w:rPr>
        <w:t xml:space="preserve">11.05 </w:t>
      </w:r>
      <w:r>
        <w:rPr>
          <w:rFonts w:ascii="Arial" w:cs="Arial" w:eastAsia="Arial" w:hAnsi="Arial"/>
          <w:sz w:val="19"/>
          <w:szCs w:val="19"/>
          <w:u w:val="single" w:color="auto"/>
          <w:color w:val="auto"/>
        </w:rPr>
        <w:t>Payments Set Aside</w:t>
      </w:r>
      <w:r>
        <w:rPr>
          <w:rFonts w:ascii="Arial" w:cs="Arial" w:eastAsia="Arial" w:hAnsi="Arial"/>
          <w:sz w:val="19"/>
          <w:szCs w:val="19"/>
          <w:color w:val="auto"/>
        </w:rPr>
        <w:t>. To the extent that any payment by or on behalf of any Borrower is made to the Administrative Agent, any L/C Issuer or any Lender, or the Administrative Agent, any L/C Issuer or any Lender exercises its right of setoff, and such payment or the proceeds of such setoff or any part thereof is subsequently invalidated, declared to be fraudulent or preferential, set aside or required (including pursuant to any settlement entered into by the Administrative Agent, such L/C Issuer or such Lender in its discretion) to be repaid to a trustee, receiver or any other party, in connection with any proceeding under any Debtor Relief Law or otherwise, then (a) to the extent of such recovery, the obligation or part thereof originally intended to be satisfied shall be revived and continued in full force and effect as if such payment had not been made or such setoff had not occurred, and (b) each Lender and each L/C Issuer severally agrees to pay to the Administrative Agent on demand its applicable share</w:t>
      </w:r>
    </w:p>
    <w:p>
      <w:pPr>
        <w:spacing w:after="0" w:line="400" w:lineRule="exact"/>
        <w:rPr>
          <w:sz w:val="20"/>
          <w:szCs w:val="20"/>
          <w:color w:val="auto"/>
        </w:rPr>
      </w:pPr>
    </w:p>
    <w:p>
      <w:pPr>
        <w:jc w:val="center"/>
        <w:ind w:right="-59"/>
        <w:spacing w:after="0"/>
        <w:rPr>
          <w:sz w:val="20"/>
          <w:szCs w:val="20"/>
          <w:color w:val="auto"/>
        </w:rPr>
      </w:pPr>
      <w:r>
        <w:rPr>
          <w:rFonts w:ascii="Arial" w:cs="Arial" w:eastAsia="Arial" w:hAnsi="Arial"/>
          <w:sz w:val="20"/>
          <w:szCs w:val="20"/>
          <w:color w:val="auto"/>
        </w:rPr>
        <w:t>186</w:t>
      </w:r>
    </w:p>
    <w:p>
      <w:pPr>
        <w:spacing w:after="0" w:line="10" w:lineRule="exact"/>
        <w:rPr>
          <w:sz w:val="20"/>
          <w:szCs w:val="20"/>
          <w:color w:val="auto"/>
        </w:rPr>
      </w:pPr>
    </w:p>
    <w:p>
      <w:pPr>
        <w:spacing w:after="0"/>
        <w:rPr>
          <w:sz w:val="20"/>
          <w:szCs w:val="20"/>
          <w:color w:val="auto"/>
        </w:rPr>
      </w:pPr>
      <w:r>
        <w:rPr>
          <w:rFonts w:ascii="Arial" w:cs="Arial" w:eastAsia="Arial" w:hAnsi="Arial"/>
          <w:sz w:val="14"/>
          <w:szCs w:val="14"/>
          <w:color w:val="auto"/>
        </w:rPr>
        <w:t>CHAR1\1346423v</w:t>
      </w:r>
      <w:r>
        <w:rPr>
          <w:rFonts w:ascii="Arial" w:cs="Arial" w:eastAsia="Arial" w:hAnsi="Arial"/>
          <w:sz w:val="14"/>
          <w:szCs w:val="14"/>
          <w:color w:val="FF0000"/>
          <w:strike w:val="1"/>
        </w:rPr>
        <w:t>1</w:t>
      </w:r>
      <w:r>
        <w:rPr>
          <w:rFonts w:ascii="Arial" w:cs="Arial" w:eastAsia="Arial" w:hAnsi="Arial"/>
          <w:sz w:val="14"/>
          <w:szCs w:val="14"/>
          <w:u w:val="single" w:color="auto"/>
          <w:color w:val="0000FF"/>
        </w:rPr>
        <w:t>12</w:t>
      </w:r>
    </w:p>
    <w:p>
      <w:pPr>
        <w:sectPr>
          <w:pgSz w:w="11900" w:h="16838" w:orient="portrait"/>
          <w:cols w:equalWidth="0" w:num="1">
            <w:col w:w="11360"/>
          </w:cols>
          <w:pgMar w:left="240" w:top="609" w:right="299" w:bottom="1440" w:gutter="0" w:footer="0" w:header="0"/>
        </w:sectPr>
      </w:pPr>
    </w:p>
    <w:bookmarkStart w:id="238" w:name="page239"/>
    <w:bookmarkEnd w:id="238"/>
    <w:p>
      <w:pPr>
        <w:ind w:right="20"/>
        <w:spacing w:after="0" w:line="308" w:lineRule="auto"/>
        <w:rPr>
          <w:sz w:val="20"/>
          <w:szCs w:val="20"/>
          <w:color w:val="auto"/>
        </w:rPr>
      </w:pPr>
      <w:r>
        <w:rPr>
          <w:rFonts w:ascii="Arial" w:cs="Arial" w:eastAsia="Arial" w:hAnsi="Arial"/>
          <w:sz w:val="19"/>
          <w:szCs w:val="19"/>
          <w:color w:val="auto"/>
        </w:rPr>
        <w:t xml:space="preserve">(without duplication) of any amount so recovered from or repaid by the Administrative Agent, plus interest thereon from the date of such demand to the date such payment is made at a rate per annum equal to the applicable Overnight Rate from time to time in effect, in the applicable currency of such recovery or payment. The obligations of the Lenders and the L/C Issuers under </w:t>
      </w:r>
      <w:r>
        <w:rPr>
          <w:rFonts w:ascii="Arial" w:cs="Arial" w:eastAsia="Arial" w:hAnsi="Arial"/>
          <w:sz w:val="19"/>
          <w:szCs w:val="19"/>
          <w:u w:val="single" w:color="auto"/>
          <w:color w:val="auto"/>
        </w:rPr>
        <w:t>clause (b)</w:t>
      </w:r>
      <w:r>
        <w:rPr>
          <w:rFonts w:ascii="Arial" w:cs="Arial" w:eastAsia="Arial" w:hAnsi="Arial"/>
          <w:sz w:val="19"/>
          <w:szCs w:val="19"/>
          <w:color w:val="auto"/>
        </w:rPr>
        <w:t xml:space="preserve"> of the preceding sentence shall survive the payment in full of the Obligations and the termination of this Credit Agreement.</w:t>
      </w:r>
    </w:p>
    <w:p>
      <w:pPr>
        <w:spacing w:after="0" w:line="175" w:lineRule="exact"/>
        <w:rPr>
          <w:sz w:val="20"/>
          <w:szCs w:val="20"/>
          <w:color w:val="auto"/>
        </w:rPr>
      </w:pPr>
    </w:p>
    <w:p>
      <w:pPr>
        <w:ind w:left="660"/>
        <w:spacing w:after="0"/>
        <w:tabs>
          <w:tab w:leader="none" w:pos="1260" w:val="left"/>
        </w:tabs>
        <w:rPr>
          <w:sz w:val="20"/>
          <w:szCs w:val="20"/>
          <w:color w:val="auto"/>
        </w:rPr>
      </w:pPr>
      <w:r>
        <w:rPr>
          <w:rFonts w:ascii="Arial" w:cs="Arial" w:eastAsia="Arial" w:hAnsi="Arial"/>
          <w:sz w:val="20"/>
          <w:szCs w:val="20"/>
          <w:color w:val="auto"/>
        </w:rPr>
        <w:t>11.06</w:t>
      </w:r>
      <w:r>
        <w:rPr>
          <w:sz w:val="20"/>
          <w:szCs w:val="20"/>
          <w:color w:val="auto"/>
        </w:rPr>
        <w:tab/>
      </w:r>
      <w:r>
        <w:rPr>
          <w:rFonts w:ascii="Arial" w:cs="Arial" w:eastAsia="Arial" w:hAnsi="Arial"/>
          <w:sz w:val="16"/>
          <w:szCs w:val="16"/>
          <w:u w:val="single" w:color="auto"/>
          <w:color w:val="auto"/>
        </w:rPr>
        <w:t>Successors and Assigns</w:t>
      </w:r>
      <w:r>
        <w:rPr>
          <w:rFonts w:ascii="Arial" w:cs="Arial" w:eastAsia="Arial" w:hAnsi="Arial"/>
          <w:sz w:val="16"/>
          <w:szCs w:val="16"/>
          <w:color w:val="auto"/>
        </w:rPr>
        <w:t>.</w:t>
      </w:r>
    </w:p>
    <w:p>
      <w:pPr>
        <w:spacing w:after="0" w:line="270" w:lineRule="exact"/>
        <w:rPr>
          <w:sz w:val="20"/>
          <w:szCs w:val="20"/>
          <w:color w:val="auto"/>
        </w:rPr>
      </w:pPr>
    </w:p>
    <w:p>
      <w:pPr>
        <w:ind w:left="1700" w:hanging="395"/>
        <w:spacing w:after="0"/>
        <w:tabs>
          <w:tab w:leader="none" w:pos="1700" w:val="left"/>
        </w:tabs>
        <w:numPr>
          <w:ilvl w:val="1"/>
          <w:numId w:val="270"/>
        </w:numPr>
        <w:rPr>
          <w:rFonts w:ascii="Arial" w:cs="Arial" w:eastAsia="Arial" w:hAnsi="Arial"/>
          <w:sz w:val="18"/>
          <w:szCs w:val="18"/>
          <w:color w:val="auto"/>
        </w:rPr>
      </w:pPr>
      <w:r>
        <w:rPr>
          <w:rFonts w:ascii="Arial" w:cs="Arial" w:eastAsia="Arial" w:hAnsi="Arial"/>
          <w:sz w:val="18"/>
          <w:szCs w:val="18"/>
          <w:u w:val="single" w:color="auto"/>
          <w:color w:val="auto"/>
        </w:rPr>
        <w:t>Successors and Assigns Generally</w:t>
      </w:r>
      <w:r>
        <w:rPr>
          <w:rFonts w:ascii="Arial" w:cs="Arial" w:eastAsia="Arial" w:hAnsi="Arial"/>
          <w:sz w:val="18"/>
          <w:szCs w:val="18"/>
          <w:color w:val="auto"/>
        </w:rPr>
        <w:t>. The provisions of this Credit Agreement and the other Credit Documents shall be</w:t>
      </w:r>
    </w:p>
    <w:p>
      <w:pPr>
        <w:spacing w:after="0" w:line="76" w:lineRule="exact"/>
        <w:rPr>
          <w:rFonts w:ascii="Arial" w:cs="Arial" w:eastAsia="Arial" w:hAnsi="Arial"/>
          <w:sz w:val="18"/>
          <w:szCs w:val="18"/>
          <w:color w:val="auto"/>
        </w:rPr>
      </w:pPr>
    </w:p>
    <w:p>
      <w:pPr>
        <w:ind w:left="660" w:right="40"/>
        <w:spacing w:after="0" w:line="313" w:lineRule="auto"/>
        <w:rPr>
          <w:rFonts w:ascii="Arial" w:cs="Arial" w:eastAsia="Arial" w:hAnsi="Arial"/>
          <w:sz w:val="18"/>
          <w:szCs w:val="18"/>
          <w:color w:val="auto"/>
        </w:rPr>
      </w:pPr>
      <w:r>
        <w:rPr>
          <w:rFonts w:ascii="Arial" w:cs="Arial" w:eastAsia="Arial" w:hAnsi="Arial"/>
          <w:sz w:val="18"/>
          <w:szCs w:val="18"/>
          <w:color w:val="auto"/>
        </w:rPr>
        <w:t xml:space="preserve">binding upon and inure to the benefit of the parties hereto and thereto and their respective successors and assigns permitted hereby, except that neither any Borrower nor any other Credit Party may assign or otherwise transfer any of its rights or obligations hereunder without the prior written consent of the Administrative Agent and each Lender and no Lender may assign or otherwise transfer any of its rights or obligations hereunder except (i) to an Eligible Assignee in accordance with the provisions of </w:t>
      </w:r>
      <w:r>
        <w:rPr>
          <w:rFonts w:ascii="Arial" w:cs="Arial" w:eastAsia="Arial" w:hAnsi="Arial"/>
          <w:sz w:val="18"/>
          <w:szCs w:val="18"/>
          <w:u w:val="single" w:color="auto"/>
          <w:color w:val="auto"/>
        </w:rPr>
        <w:t>subsection (b)</w:t>
      </w:r>
      <w:r>
        <w:rPr>
          <w:rFonts w:ascii="Arial" w:cs="Arial" w:eastAsia="Arial" w:hAnsi="Arial"/>
          <w:sz w:val="18"/>
          <w:szCs w:val="18"/>
          <w:color w:val="auto"/>
        </w:rPr>
        <w:t xml:space="preserve"> of this Section,</w:t>
      </w:r>
    </w:p>
    <w:p>
      <w:pPr>
        <w:ind w:left="660" w:hanging="4"/>
        <w:spacing w:after="0" w:line="323" w:lineRule="auto"/>
        <w:tabs>
          <w:tab w:leader="none" w:pos="951" w:val="left"/>
        </w:tabs>
        <w:numPr>
          <w:ilvl w:val="0"/>
          <w:numId w:val="271"/>
        </w:numPr>
        <w:rPr>
          <w:rFonts w:ascii="Arial" w:cs="Arial" w:eastAsia="Arial" w:hAnsi="Arial"/>
          <w:sz w:val="18"/>
          <w:szCs w:val="18"/>
          <w:color w:val="auto"/>
        </w:rPr>
      </w:pPr>
      <w:r>
        <w:rPr>
          <w:rFonts w:ascii="Arial" w:cs="Arial" w:eastAsia="Arial" w:hAnsi="Arial"/>
          <w:sz w:val="18"/>
          <w:szCs w:val="18"/>
          <w:color w:val="auto"/>
        </w:rPr>
        <w:t xml:space="preserve">by way of participation in accordance with the provisions of </w:t>
      </w:r>
      <w:r>
        <w:rPr>
          <w:rFonts w:ascii="Arial" w:cs="Arial" w:eastAsia="Arial" w:hAnsi="Arial"/>
          <w:sz w:val="18"/>
          <w:szCs w:val="18"/>
          <w:u w:val="single" w:color="auto"/>
          <w:color w:val="auto"/>
        </w:rPr>
        <w:t>subsection (d)</w:t>
      </w:r>
      <w:r>
        <w:rPr>
          <w:rFonts w:ascii="Arial" w:cs="Arial" w:eastAsia="Arial" w:hAnsi="Arial"/>
          <w:sz w:val="18"/>
          <w:szCs w:val="18"/>
          <w:color w:val="auto"/>
        </w:rPr>
        <w:t xml:space="preserve"> of this Section, or (iii) by way of pledge or assignment of a security interest subject to the restrictions of </w:t>
      </w:r>
      <w:r>
        <w:rPr>
          <w:rFonts w:ascii="Arial" w:cs="Arial" w:eastAsia="Arial" w:hAnsi="Arial"/>
          <w:sz w:val="18"/>
          <w:szCs w:val="18"/>
          <w:u w:val="single" w:color="auto"/>
          <w:color w:val="auto"/>
        </w:rPr>
        <w:t>subsection (f)</w:t>
      </w:r>
      <w:r>
        <w:rPr>
          <w:rFonts w:ascii="Arial" w:cs="Arial" w:eastAsia="Arial" w:hAnsi="Arial"/>
          <w:sz w:val="18"/>
          <w:szCs w:val="18"/>
          <w:color w:val="auto"/>
        </w:rPr>
        <w:t xml:space="preserve"> of this Section (and any other attempted assignment or transfer by any party hereto shall be null and void). Nothing in this Credit Agreement, expressed or implied, shall be construed to confer upon any Person (other than the parties hereto, their respective successors and assigns permitted hereby, Participants to the extent provided in </w:t>
      </w:r>
      <w:r>
        <w:rPr>
          <w:rFonts w:ascii="Arial" w:cs="Arial" w:eastAsia="Arial" w:hAnsi="Arial"/>
          <w:sz w:val="18"/>
          <w:szCs w:val="18"/>
          <w:u w:val="single" w:color="auto"/>
          <w:color w:val="auto"/>
        </w:rPr>
        <w:t>subsection (d)</w:t>
      </w:r>
      <w:r>
        <w:rPr>
          <w:rFonts w:ascii="Arial" w:cs="Arial" w:eastAsia="Arial" w:hAnsi="Arial"/>
          <w:sz w:val="18"/>
          <w:szCs w:val="18"/>
          <w:color w:val="auto"/>
        </w:rPr>
        <w:t xml:space="preserve"> of this Section and, to the extent expressly contemplated hereby, the Related Parties of each of the Administrative Agent, the L/C Issuers and the Lenders) any legal or equitable right, remedy or claim under or by reason of this Credit Agreement.</w:t>
      </w:r>
    </w:p>
    <w:p>
      <w:pPr>
        <w:spacing w:after="0" w:line="165" w:lineRule="exact"/>
        <w:rPr>
          <w:rFonts w:ascii="Arial" w:cs="Arial" w:eastAsia="Arial" w:hAnsi="Arial"/>
          <w:sz w:val="18"/>
          <w:szCs w:val="18"/>
          <w:color w:val="auto"/>
        </w:rPr>
      </w:pPr>
    </w:p>
    <w:p>
      <w:pPr>
        <w:ind w:left="1720" w:hanging="415"/>
        <w:spacing w:after="0"/>
        <w:tabs>
          <w:tab w:leader="none" w:pos="1720" w:val="left"/>
        </w:tabs>
        <w:numPr>
          <w:ilvl w:val="1"/>
          <w:numId w:val="271"/>
        </w:numPr>
        <w:rPr>
          <w:rFonts w:ascii="Arial" w:cs="Arial" w:eastAsia="Arial" w:hAnsi="Arial"/>
          <w:sz w:val="18"/>
          <w:szCs w:val="18"/>
          <w:color w:val="auto"/>
        </w:rPr>
      </w:pPr>
      <w:r>
        <w:rPr>
          <w:rFonts w:ascii="Arial" w:cs="Arial" w:eastAsia="Arial" w:hAnsi="Arial"/>
          <w:sz w:val="18"/>
          <w:szCs w:val="18"/>
          <w:u w:val="single" w:color="auto"/>
          <w:color w:val="auto"/>
        </w:rPr>
        <w:t>Assignments by Lenders</w:t>
      </w:r>
      <w:r>
        <w:rPr>
          <w:rFonts w:ascii="Arial" w:cs="Arial" w:eastAsia="Arial" w:hAnsi="Arial"/>
          <w:sz w:val="18"/>
          <w:szCs w:val="18"/>
          <w:color w:val="auto"/>
        </w:rPr>
        <w:t>. Any Lender may at any time assign to one or more Eligible Assignees all or a portion of its</w:t>
      </w:r>
    </w:p>
    <w:p>
      <w:pPr>
        <w:spacing w:after="0" w:line="76" w:lineRule="exact"/>
        <w:rPr>
          <w:rFonts w:ascii="Arial" w:cs="Arial" w:eastAsia="Arial" w:hAnsi="Arial"/>
          <w:sz w:val="18"/>
          <w:szCs w:val="18"/>
          <w:color w:val="auto"/>
        </w:rPr>
      </w:pPr>
    </w:p>
    <w:p>
      <w:pPr>
        <w:ind w:left="660" w:right="20"/>
        <w:spacing w:after="0" w:line="292" w:lineRule="auto"/>
        <w:rPr>
          <w:rFonts w:ascii="Arial" w:cs="Arial" w:eastAsia="Arial" w:hAnsi="Arial"/>
          <w:sz w:val="18"/>
          <w:szCs w:val="18"/>
          <w:color w:val="auto"/>
        </w:rPr>
      </w:pPr>
      <w:r>
        <w:rPr>
          <w:rFonts w:ascii="Arial" w:cs="Arial" w:eastAsia="Arial" w:hAnsi="Arial"/>
          <w:sz w:val="20"/>
          <w:szCs w:val="20"/>
          <w:color w:val="auto"/>
        </w:rPr>
        <w:t xml:space="preserve">rights and obligations under this Credit Agreement and the other Credit Documents (including all or a portion of its Commitment and the Loans (including for purposes of this </w:t>
      </w:r>
      <w:r>
        <w:rPr>
          <w:rFonts w:ascii="Arial" w:cs="Arial" w:eastAsia="Arial" w:hAnsi="Arial"/>
          <w:sz w:val="20"/>
          <w:szCs w:val="20"/>
          <w:u w:val="single" w:color="auto"/>
          <w:color w:val="auto"/>
        </w:rPr>
        <w:t>subsection (b)</w:t>
      </w:r>
      <w:r>
        <w:rPr>
          <w:rFonts w:ascii="Arial" w:cs="Arial" w:eastAsia="Arial" w:hAnsi="Arial"/>
          <w:sz w:val="20"/>
          <w:szCs w:val="20"/>
          <w:color w:val="auto"/>
        </w:rPr>
        <w:t>, participations in L/C Obligations and in Swingline Loans) at the time owing to it); provided that any such assignment shall be subject to the following conditions:</w:t>
      </w:r>
    </w:p>
    <w:p>
      <w:pPr>
        <w:spacing w:after="0" w:line="197" w:lineRule="exact"/>
        <w:rPr>
          <w:rFonts w:ascii="Arial" w:cs="Arial" w:eastAsia="Arial" w:hAnsi="Arial"/>
          <w:sz w:val="18"/>
          <w:szCs w:val="18"/>
          <w:color w:val="auto"/>
        </w:rPr>
      </w:pPr>
    </w:p>
    <w:p>
      <w:pPr>
        <w:ind w:left="2340" w:hanging="387"/>
        <w:spacing w:after="0"/>
        <w:tabs>
          <w:tab w:leader="none" w:pos="2340" w:val="left"/>
        </w:tabs>
        <w:numPr>
          <w:ilvl w:val="2"/>
          <w:numId w:val="271"/>
        </w:numPr>
        <w:rPr>
          <w:rFonts w:ascii="Arial" w:cs="Arial" w:eastAsia="Arial" w:hAnsi="Arial"/>
          <w:sz w:val="22"/>
          <w:szCs w:val="22"/>
          <w:color w:val="auto"/>
        </w:rPr>
      </w:pPr>
      <w:r>
        <w:rPr>
          <w:rFonts w:ascii="Arial" w:cs="Arial" w:eastAsia="Arial" w:hAnsi="Arial"/>
          <w:sz w:val="20"/>
          <w:szCs w:val="20"/>
          <w:color w:val="auto"/>
        </w:rPr>
        <w:t>Minimum Amounts.</w:t>
      </w:r>
    </w:p>
    <w:p>
      <w:pPr>
        <w:spacing w:after="0" w:line="276" w:lineRule="exact"/>
        <w:rPr>
          <w:rFonts w:ascii="Arial" w:cs="Arial" w:eastAsia="Arial" w:hAnsi="Arial"/>
          <w:sz w:val="22"/>
          <w:szCs w:val="22"/>
          <w:color w:val="auto"/>
        </w:rPr>
      </w:pPr>
    </w:p>
    <w:p>
      <w:pPr>
        <w:ind w:left="1960" w:right="120" w:firstLine="641"/>
        <w:spacing w:after="0" w:line="312" w:lineRule="auto"/>
        <w:tabs>
          <w:tab w:leader="none" w:pos="3088" w:val="left"/>
        </w:tabs>
        <w:numPr>
          <w:ilvl w:val="3"/>
          <w:numId w:val="271"/>
        </w:numPr>
        <w:rPr>
          <w:rFonts w:ascii="Arial" w:cs="Arial" w:eastAsia="Arial" w:hAnsi="Arial"/>
          <w:sz w:val="22"/>
          <w:szCs w:val="22"/>
          <w:color w:val="auto"/>
        </w:rPr>
      </w:pPr>
      <w:r>
        <w:rPr>
          <w:rFonts w:ascii="Arial" w:cs="Arial" w:eastAsia="Arial" w:hAnsi="Arial"/>
          <w:sz w:val="20"/>
          <w:szCs w:val="20"/>
          <w:color w:val="auto"/>
        </w:rPr>
        <w:t>in the case of an assignment of the entire remaining amount of the assigning Lender’s Commitment and the related Loans at the time owing to it or in the case of an assignment to a Lender, an Affiliate of a Lender or an Approved Fund, no minimum amount need be assigned; and</w:t>
      </w:r>
    </w:p>
    <w:p>
      <w:pPr>
        <w:spacing w:after="0" w:line="194" w:lineRule="exact"/>
        <w:rPr>
          <w:rFonts w:ascii="Arial" w:cs="Arial" w:eastAsia="Arial" w:hAnsi="Arial"/>
          <w:sz w:val="22"/>
          <w:szCs w:val="22"/>
          <w:color w:val="auto"/>
        </w:rPr>
      </w:pPr>
    </w:p>
    <w:p>
      <w:pPr>
        <w:ind w:left="1960" w:right="440" w:firstLine="641"/>
        <w:spacing w:after="0" w:line="331" w:lineRule="auto"/>
        <w:tabs>
          <w:tab w:leader="none" w:pos="3076" w:val="left"/>
        </w:tabs>
        <w:numPr>
          <w:ilvl w:val="3"/>
          <w:numId w:val="271"/>
        </w:numPr>
        <w:rPr>
          <w:rFonts w:ascii="Arial" w:cs="Arial" w:eastAsia="Arial" w:hAnsi="Arial"/>
          <w:sz w:val="21"/>
          <w:szCs w:val="21"/>
          <w:color w:val="auto"/>
        </w:rPr>
      </w:pPr>
      <w:r>
        <w:rPr>
          <w:rFonts w:ascii="Arial" w:cs="Arial" w:eastAsia="Arial" w:hAnsi="Arial"/>
          <w:sz w:val="19"/>
          <w:szCs w:val="19"/>
          <w:color w:val="auto"/>
        </w:rPr>
        <w:t xml:space="preserve">in any case not described in </w:t>
      </w:r>
      <w:r>
        <w:rPr>
          <w:rFonts w:ascii="Arial" w:cs="Arial" w:eastAsia="Arial" w:hAnsi="Arial"/>
          <w:sz w:val="19"/>
          <w:szCs w:val="19"/>
          <w:u w:val="single" w:color="auto"/>
          <w:color w:val="auto"/>
        </w:rPr>
        <w:t>subsection (b)(i)(A)</w:t>
      </w:r>
      <w:r>
        <w:rPr>
          <w:rFonts w:ascii="Arial" w:cs="Arial" w:eastAsia="Arial" w:hAnsi="Arial"/>
          <w:sz w:val="19"/>
          <w:szCs w:val="19"/>
          <w:color w:val="auto"/>
        </w:rPr>
        <w:t xml:space="preserve"> of this Section, the aggregate amount of the Commitment (which for this purpose includes Loans outstanding thereunder) or, if the Commitment is not then in effect, the principal outstanding balance of the Loans of the assigning Lender subject to each such assignment, determined as of the date the Assignment and Assumption with</w:t>
      </w:r>
    </w:p>
    <w:p>
      <w:pPr>
        <w:spacing w:after="0" w:line="384"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187</w:t>
      </w:r>
    </w:p>
    <w:p>
      <w:pPr>
        <w:spacing w:after="0" w:line="10" w:lineRule="exact"/>
        <w:rPr>
          <w:sz w:val="20"/>
          <w:szCs w:val="20"/>
          <w:color w:val="auto"/>
        </w:rPr>
      </w:pPr>
    </w:p>
    <w:p>
      <w:pPr>
        <w:spacing w:after="0"/>
        <w:rPr>
          <w:sz w:val="20"/>
          <w:szCs w:val="20"/>
          <w:color w:val="auto"/>
        </w:rPr>
      </w:pPr>
      <w:r>
        <w:rPr>
          <w:rFonts w:ascii="Arial" w:cs="Arial" w:eastAsia="Arial" w:hAnsi="Arial"/>
          <w:sz w:val="14"/>
          <w:szCs w:val="14"/>
          <w:color w:val="auto"/>
        </w:rPr>
        <w:t>CHAR1\1346423v</w:t>
      </w:r>
      <w:r>
        <w:rPr>
          <w:rFonts w:ascii="Arial" w:cs="Arial" w:eastAsia="Arial" w:hAnsi="Arial"/>
          <w:sz w:val="14"/>
          <w:szCs w:val="14"/>
          <w:color w:val="FF0000"/>
          <w:strike w:val="1"/>
        </w:rPr>
        <w:t>1</w:t>
      </w:r>
      <w:r>
        <w:rPr>
          <w:rFonts w:ascii="Arial" w:cs="Arial" w:eastAsia="Arial" w:hAnsi="Arial"/>
          <w:sz w:val="14"/>
          <w:szCs w:val="14"/>
          <w:u w:val="single" w:color="auto"/>
          <w:color w:val="0000FF"/>
        </w:rPr>
        <w:t>12</w:t>
      </w:r>
    </w:p>
    <w:p>
      <w:pPr>
        <w:sectPr>
          <w:pgSz w:w="11900" w:h="16838" w:orient="portrait"/>
          <w:cols w:equalWidth="0" w:num="1">
            <w:col w:w="11400"/>
          </w:cols>
          <w:pgMar w:left="240" w:top="609" w:right="259" w:bottom="1440" w:gutter="0" w:footer="0" w:header="0"/>
        </w:sectPr>
      </w:pPr>
    </w:p>
    <w:bookmarkStart w:id="239" w:name="page240"/>
    <w:bookmarkEnd w:id="239"/>
    <w:p>
      <w:pPr>
        <w:ind w:left="1960"/>
        <w:spacing w:after="0" w:line="318" w:lineRule="auto"/>
        <w:rPr>
          <w:sz w:val="20"/>
          <w:szCs w:val="20"/>
          <w:color w:val="auto"/>
        </w:rPr>
      </w:pPr>
      <w:r>
        <w:rPr>
          <w:rFonts w:ascii="Arial" w:cs="Arial" w:eastAsia="Arial" w:hAnsi="Arial"/>
          <w:sz w:val="18"/>
          <w:szCs w:val="18"/>
          <w:color w:val="auto"/>
        </w:rPr>
        <w:t>respect to such assignment is delivered to the Administrative Agent or, if “Trade Date” is specified in the Assignment and Assumption, as of the Trade Date, shall not be less than $5 million, in the case of an assignment of revolving commitments (and the revolving loans relating thereto), and $5 million, in the case of an assignment of a term loan, unless (x) the revolving commitments (and the revolving loans relating thereto) and the term loan subject to such assignment is the full amount of the assignor’s interest therein, as applicable, or (y) each of the Administrative Agent and, so long as no Event of Default has occurred and is continuing, EWI otherwise consents (each such consent not to be unreasonably withheld or delayed); provided, however, that concurrent assignments to members of an Assignee Group and concurrent assignments from members of an Assignee Group to a single Eligible Assignee (or to an Eligible Assignee and members of its Assignee Group) will be treated as a single assignment for purposes of determining whether such minimum amount has been met; and</w:t>
      </w:r>
    </w:p>
    <w:p>
      <w:pPr>
        <w:spacing w:after="0" w:line="188" w:lineRule="exact"/>
        <w:rPr>
          <w:sz w:val="20"/>
          <w:szCs w:val="20"/>
          <w:color w:val="auto"/>
        </w:rPr>
      </w:pPr>
    </w:p>
    <w:p>
      <w:pPr>
        <w:ind w:left="1960" w:right="160" w:firstLine="641"/>
        <w:spacing w:after="0" w:line="333" w:lineRule="auto"/>
        <w:tabs>
          <w:tab w:leader="none" w:pos="3076" w:val="left"/>
        </w:tabs>
        <w:numPr>
          <w:ilvl w:val="2"/>
          <w:numId w:val="272"/>
        </w:numPr>
        <w:rPr>
          <w:rFonts w:ascii="Arial" w:cs="Arial" w:eastAsia="Arial" w:hAnsi="Arial"/>
          <w:sz w:val="21"/>
          <w:szCs w:val="21"/>
          <w:color w:val="auto"/>
        </w:rPr>
      </w:pPr>
      <w:r>
        <w:rPr>
          <w:rFonts w:ascii="Arial" w:cs="Arial" w:eastAsia="Arial" w:hAnsi="Arial"/>
          <w:sz w:val="19"/>
          <w:szCs w:val="19"/>
          <w:color w:val="auto"/>
        </w:rPr>
        <w:t>The value of the rights assigned or transferred must at least be EUR 50,000 (or its equivalent in other currencies) or, if the value is lower, the assignee or transferee qualifies as a professional market party under the terms of the Dutch Financial Supervision Act (Wet op het Financieel Toezicht).</w:t>
      </w:r>
    </w:p>
    <w:p>
      <w:pPr>
        <w:spacing w:after="0" w:line="179" w:lineRule="exact"/>
        <w:rPr>
          <w:rFonts w:ascii="Arial" w:cs="Arial" w:eastAsia="Arial" w:hAnsi="Arial"/>
          <w:sz w:val="21"/>
          <w:szCs w:val="21"/>
          <w:color w:val="auto"/>
        </w:rPr>
      </w:pPr>
    </w:p>
    <w:p>
      <w:pPr>
        <w:jc w:val="both"/>
        <w:ind w:left="1300" w:right="40" w:firstLine="653"/>
        <w:spacing w:after="0" w:line="363" w:lineRule="auto"/>
        <w:tabs>
          <w:tab w:leader="none" w:pos="2392" w:val="left"/>
        </w:tabs>
        <w:numPr>
          <w:ilvl w:val="1"/>
          <w:numId w:val="273"/>
        </w:numPr>
        <w:rPr>
          <w:rFonts w:ascii="Arial" w:cs="Arial" w:eastAsia="Arial" w:hAnsi="Arial"/>
          <w:sz w:val="18"/>
          <w:szCs w:val="18"/>
          <w:color w:val="auto"/>
        </w:rPr>
      </w:pPr>
      <w:r>
        <w:rPr>
          <w:rFonts w:ascii="Arial" w:cs="Arial" w:eastAsia="Arial" w:hAnsi="Arial"/>
          <w:sz w:val="17"/>
          <w:szCs w:val="17"/>
          <w:u w:val="single" w:color="auto"/>
          <w:color w:val="auto"/>
        </w:rPr>
        <w:t>Proportionate Amounts</w:t>
      </w:r>
      <w:r>
        <w:rPr>
          <w:rFonts w:ascii="Arial" w:cs="Arial" w:eastAsia="Arial" w:hAnsi="Arial"/>
          <w:sz w:val="17"/>
          <w:szCs w:val="17"/>
          <w:color w:val="auto"/>
        </w:rPr>
        <w:t xml:space="preserve">. Each partial assignment shall be made as an assignment of a proportionate part of all the assigning Lender’s rights and obligations under this Credit Agreement with respect to the Loans or the Commitment assigned, except that this </w:t>
      </w:r>
      <w:r>
        <w:rPr>
          <w:rFonts w:ascii="Arial" w:cs="Arial" w:eastAsia="Arial" w:hAnsi="Arial"/>
          <w:sz w:val="17"/>
          <w:szCs w:val="17"/>
          <w:u w:val="single" w:color="auto"/>
          <w:color w:val="auto"/>
        </w:rPr>
        <w:t>clause (ii)</w:t>
      </w:r>
      <w:r>
        <w:rPr>
          <w:rFonts w:ascii="Arial" w:cs="Arial" w:eastAsia="Arial" w:hAnsi="Arial"/>
          <w:sz w:val="17"/>
          <w:szCs w:val="17"/>
          <w:color w:val="auto"/>
        </w:rPr>
        <w:t xml:space="preserve"> shall not (A) apply to the Swingline Lender’s rights and obligations in respect of Swingline Loans or</w:t>
      </w:r>
    </w:p>
    <w:p>
      <w:pPr>
        <w:ind w:left="1300" w:right="80" w:firstLine="5"/>
        <w:spacing w:after="0" w:line="394" w:lineRule="auto"/>
        <w:tabs>
          <w:tab w:leader="none" w:pos="1613" w:val="left"/>
        </w:tabs>
        <w:numPr>
          <w:ilvl w:val="0"/>
          <w:numId w:val="274"/>
        </w:numPr>
        <w:rPr>
          <w:rFonts w:ascii="Arial" w:cs="Arial" w:eastAsia="Arial" w:hAnsi="Arial"/>
          <w:sz w:val="18"/>
          <w:szCs w:val="18"/>
          <w:color w:val="auto"/>
        </w:rPr>
      </w:pPr>
      <w:r>
        <w:rPr>
          <w:rFonts w:ascii="Arial" w:cs="Arial" w:eastAsia="Arial" w:hAnsi="Arial"/>
          <w:sz w:val="18"/>
          <w:szCs w:val="18"/>
          <w:color w:val="auto"/>
        </w:rPr>
        <w:t>prohibit any Lender from assigning all or a portion of its rights and obligations among its separate revolving commitments (and the revolving loans relating thereto) and term loans (and the commitments relating thereto) on a non-pro rata basis;</w:t>
      </w:r>
    </w:p>
    <w:p>
      <w:pPr>
        <w:spacing w:after="0" w:line="130" w:lineRule="exact"/>
        <w:rPr>
          <w:rFonts w:ascii="Arial" w:cs="Arial" w:eastAsia="Arial" w:hAnsi="Arial"/>
          <w:sz w:val="18"/>
          <w:szCs w:val="18"/>
          <w:color w:val="auto"/>
        </w:rPr>
      </w:pPr>
    </w:p>
    <w:p>
      <w:pPr>
        <w:ind w:left="1300" w:right="80" w:firstLine="653"/>
        <w:spacing w:after="0" w:line="321" w:lineRule="auto"/>
        <w:tabs>
          <w:tab w:leader="none" w:pos="2452" w:val="left"/>
        </w:tabs>
        <w:numPr>
          <w:ilvl w:val="1"/>
          <w:numId w:val="274"/>
        </w:numPr>
        <w:rPr>
          <w:rFonts w:ascii="Arial" w:cs="Arial" w:eastAsia="Arial" w:hAnsi="Arial"/>
          <w:sz w:val="22"/>
          <w:szCs w:val="22"/>
          <w:color w:val="auto"/>
        </w:rPr>
      </w:pPr>
      <w:r>
        <w:rPr>
          <w:rFonts w:ascii="Arial" w:cs="Arial" w:eastAsia="Arial" w:hAnsi="Arial"/>
          <w:sz w:val="20"/>
          <w:szCs w:val="20"/>
          <w:u w:val="single" w:color="auto"/>
          <w:color w:val="auto"/>
        </w:rPr>
        <w:t>Required Consents</w:t>
      </w:r>
      <w:r>
        <w:rPr>
          <w:rFonts w:ascii="Arial" w:cs="Arial" w:eastAsia="Arial" w:hAnsi="Arial"/>
          <w:sz w:val="20"/>
          <w:szCs w:val="20"/>
          <w:color w:val="auto"/>
        </w:rPr>
        <w:t xml:space="preserve">. No consent shall be required for any assignment except to the extent required by </w:t>
      </w:r>
      <w:r>
        <w:rPr>
          <w:rFonts w:ascii="Arial" w:cs="Arial" w:eastAsia="Arial" w:hAnsi="Arial"/>
          <w:sz w:val="20"/>
          <w:szCs w:val="20"/>
          <w:u w:val="single" w:color="auto"/>
          <w:color w:val="auto"/>
        </w:rPr>
        <w:t>subsection</w:t>
      </w:r>
      <w:r>
        <w:rPr>
          <w:rFonts w:ascii="Arial" w:cs="Arial" w:eastAsia="Arial" w:hAnsi="Arial"/>
          <w:sz w:val="20"/>
          <w:szCs w:val="20"/>
          <w:color w:val="auto"/>
        </w:rPr>
        <w:t xml:space="preserve"> </w:t>
      </w:r>
      <w:r>
        <w:rPr>
          <w:rFonts w:ascii="Arial" w:cs="Arial" w:eastAsia="Arial" w:hAnsi="Arial"/>
          <w:sz w:val="20"/>
          <w:szCs w:val="20"/>
          <w:u w:val="single" w:color="auto"/>
          <w:color w:val="auto"/>
        </w:rPr>
        <w:t>(b)(i)(B)</w:t>
      </w:r>
      <w:r>
        <w:rPr>
          <w:rFonts w:ascii="Arial" w:cs="Arial" w:eastAsia="Arial" w:hAnsi="Arial"/>
          <w:sz w:val="20"/>
          <w:szCs w:val="20"/>
          <w:color w:val="auto"/>
        </w:rPr>
        <w:t xml:space="preserve"> of this Section and, in addition:</w:t>
      </w:r>
    </w:p>
    <w:p>
      <w:pPr>
        <w:spacing w:after="0" w:line="177" w:lineRule="exact"/>
        <w:rPr>
          <w:rFonts w:ascii="Arial" w:cs="Arial" w:eastAsia="Arial" w:hAnsi="Arial"/>
          <w:sz w:val="22"/>
          <w:szCs w:val="22"/>
          <w:color w:val="auto"/>
        </w:rPr>
      </w:pPr>
    </w:p>
    <w:p>
      <w:pPr>
        <w:ind w:left="3080" w:hanging="479"/>
        <w:spacing w:after="0"/>
        <w:tabs>
          <w:tab w:leader="none" w:pos="3080" w:val="left"/>
        </w:tabs>
        <w:numPr>
          <w:ilvl w:val="2"/>
          <w:numId w:val="274"/>
        </w:numPr>
        <w:rPr>
          <w:rFonts w:ascii="Arial" w:cs="Arial" w:eastAsia="Arial" w:hAnsi="Arial"/>
          <w:sz w:val="19"/>
          <w:szCs w:val="19"/>
          <w:color w:val="auto"/>
        </w:rPr>
      </w:pPr>
      <w:r>
        <w:rPr>
          <w:rFonts w:ascii="Arial" w:cs="Arial" w:eastAsia="Arial" w:hAnsi="Arial"/>
          <w:sz w:val="18"/>
          <w:szCs w:val="18"/>
          <w:color w:val="auto"/>
        </w:rPr>
        <w:t>the consent of EWI (such consent not to be unreasonably withheld or delayed) shall be required unless</w:t>
      </w:r>
    </w:p>
    <w:p>
      <w:pPr>
        <w:spacing w:after="0" w:line="92" w:lineRule="exact"/>
        <w:rPr>
          <w:rFonts w:ascii="Arial" w:cs="Arial" w:eastAsia="Arial" w:hAnsi="Arial"/>
          <w:sz w:val="19"/>
          <w:szCs w:val="19"/>
          <w:color w:val="auto"/>
        </w:rPr>
      </w:pPr>
    </w:p>
    <w:p>
      <w:pPr>
        <w:jc w:val="both"/>
        <w:ind w:left="1960" w:right="280"/>
        <w:spacing w:after="0" w:line="317" w:lineRule="auto"/>
        <w:rPr>
          <w:rFonts w:ascii="Arial" w:cs="Arial" w:eastAsia="Arial" w:hAnsi="Arial"/>
          <w:sz w:val="19"/>
          <w:szCs w:val="19"/>
          <w:color w:val="auto"/>
        </w:rPr>
      </w:pPr>
      <w:r>
        <w:rPr>
          <w:rFonts w:ascii="Arial" w:cs="Arial" w:eastAsia="Arial" w:hAnsi="Arial"/>
          <w:sz w:val="20"/>
          <w:szCs w:val="20"/>
          <w:color w:val="auto"/>
        </w:rPr>
        <w:t>(1) an Event of Default has occurred and is continuing at the time of such assignment or (2) such assignment is to a Lender, an Affiliate of a Lender or an Approved Fund; provided that EWI shall be deemed to have consented to any such assignment unless it shall object thereto by written notice to the Administrative Agent within five (5) Business Days after having received notice thereof;</w:t>
      </w:r>
    </w:p>
    <w:p>
      <w:pPr>
        <w:spacing w:after="0" w:line="189" w:lineRule="exact"/>
        <w:rPr>
          <w:rFonts w:ascii="Arial" w:cs="Arial" w:eastAsia="Arial" w:hAnsi="Arial"/>
          <w:sz w:val="19"/>
          <w:szCs w:val="19"/>
          <w:color w:val="auto"/>
        </w:rPr>
      </w:pPr>
    </w:p>
    <w:p>
      <w:pPr>
        <w:ind w:left="1960" w:right="60" w:firstLine="641"/>
        <w:spacing w:after="0" w:line="321" w:lineRule="auto"/>
        <w:tabs>
          <w:tab w:leader="none" w:pos="3076" w:val="left"/>
        </w:tabs>
        <w:numPr>
          <w:ilvl w:val="2"/>
          <w:numId w:val="274"/>
        </w:numPr>
        <w:rPr>
          <w:rFonts w:ascii="Arial" w:cs="Arial" w:eastAsia="Arial" w:hAnsi="Arial"/>
          <w:sz w:val="22"/>
          <w:szCs w:val="22"/>
          <w:color w:val="auto"/>
        </w:rPr>
      </w:pPr>
      <w:r>
        <w:rPr>
          <w:rFonts w:ascii="Arial" w:cs="Arial" w:eastAsia="Arial" w:hAnsi="Arial"/>
          <w:sz w:val="20"/>
          <w:szCs w:val="20"/>
          <w:color w:val="auto"/>
        </w:rPr>
        <w:t>the consent of the Administrative Agent (such consent not to be unreasonably withheld or delayed) shall be required if such assignment is to a</w:t>
      </w:r>
    </w:p>
    <w:p>
      <w:pPr>
        <w:spacing w:after="0" w:line="380"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188</w:t>
      </w:r>
    </w:p>
    <w:p>
      <w:pPr>
        <w:spacing w:after="0" w:line="10" w:lineRule="exact"/>
        <w:rPr>
          <w:sz w:val="20"/>
          <w:szCs w:val="20"/>
          <w:color w:val="auto"/>
        </w:rPr>
      </w:pPr>
    </w:p>
    <w:p>
      <w:pPr>
        <w:spacing w:after="0"/>
        <w:rPr>
          <w:sz w:val="20"/>
          <w:szCs w:val="20"/>
          <w:color w:val="auto"/>
        </w:rPr>
      </w:pPr>
      <w:r>
        <w:rPr>
          <w:rFonts w:ascii="Arial" w:cs="Arial" w:eastAsia="Arial" w:hAnsi="Arial"/>
          <w:sz w:val="14"/>
          <w:szCs w:val="14"/>
          <w:color w:val="auto"/>
        </w:rPr>
        <w:t>CHAR1\1346423v</w:t>
      </w:r>
      <w:r>
        <w:rPr>
          <w:rFonts w:ascii="Arial" w:cs="Arial" w:eastAsia="Arial" w:hAnsi="Arial"/>
          <w:sz w:val="14"/>
          <w:szCs w:val="14"/>
          <w:color w:val="FF0000"/>
          <w:strike w:val="1"/>
        </w:rPr>
        <w:t>1</w:t>
      </w:r>
      <w:r>
        <w:rPr>
          <w:rFonts w:ascii="Arial" w:cs="Arial" w:eastAsia="Arial" w:hAnsi="Arial"/>
          <w:sz w:val="14"/>
          <w:szCs w:val="14"/>
          <w:u w:val="single" w:color="auto"/>
          <w:color w:val="0000FF"/>
        </w:rPr>
        <w:t>12</w:t>
      </w:r>
    </w:p>
    <w:p>
      <w:pPr>
        <w:sectPr>
          <w:pgSz w:w="11900" w:h="16838" w:orient="portrait"/>
          <w:cols w:equalWidth="0" w:num="1">
            <w:col w:w="11400"/>
          </w:cols>
          <w:pgMar w:left="240" w:top="609" w:right="259" w:bottom="1440" w:gutter="0" w:footer="0" w:header="0"/>
        </w:sectPr>
      </w:pPr>
    </w:p>
    <w:bookmarkStart w:id="240" w:name="page241"/>
    <w:bookmarkEnd w:id="240"/>
    <w:p>
      <w:pPr>
        <w:ind w:left="1960"/>
        <w:spacing w:after="0"/>
        <w:rPr>
          <w:sz w:val="20"/>
          <w:szCs w:val="20"/>
          <w:color w:val="auto"/>
        </w:rPr>
      </w:pPr>
      <w:r>
        <w:rPr>
          <w:rFonts w:ascii="Arial" w:cs="Arial" w:eastAsia="Arial" w:hAnsi="Arial"/>
          <w:sz w:val="20"/>
          <w:szCs w:val="20"/>
          <w:color w:val="auto"/>
        </w:rPr>
        <w:t>Person that is not a Lender, an Affiliate of such Lender or an Approved Fund with respect to such Lender;</w:t>
      </w:r>
    </w:p>
    <w:p>
      <w:pPr>
        <w:spacing w:after="0" w:line="270" w:lineRule="exact"/>
        <w:rPr>
          <w:sz w:val="20"/>
          <w:szCs w:val="20"/>
          <w:color w:val="auto"/>
        </w:rPr>
      </w:pPr>
    </w:p>
    <w:p>
      <w:pPr>
        <w:ind w:left="1960" w:right="100" w:firstLine="641"/>
        <w:spacing w:after="0" w:line="312" w:lineRule="auto"/>
        <w:tabs>
          <w:tab w:leader="none" w:pos="3076" w:val="left"/>
        </w:tabs>
        <w:numPr>
          <w:ilvl w:val="1"/>
          <w:numId w:val="275"/>
        </w:numPr>
        <w:rPr>
          <w:rFonts w:ascii="Arial" w:cs="Arial" w:eastAsia="Arial" w:hAnsi="Arial"/>
          <w:sz w:val="22"/>
          <w:szCs w:val="22"/>
          <w:color w:val="auto"/>
        </w:rPr>
      </w:pPr>
      <w:r>
        <w:rPr>
          <w:rFonts w:ascii="Arial" w:cs="Arial" w:eastAsia="Arial" w:hAnsi="Arial"/>
          <w:sz w:val="20"/>
          <w:szCs w:val="20"/>
          <w:color w:val="auto"/>
        </w:rPr>
        <w:t>the consent of the applicable L/C Issuer (such consent not to be unreasonably withheld or delayed) shall be required for any assignment that increases the obligation of the assignee to participate in exposure under one or more Letters of Credit (whether or not then outstanding); and</w:t>
      </w:r>
    </w:p>
    <w:p>
      <w:pPr>
        <w:spacing w:after="0" w:line="194" w:lineRule="exact"/>
        <w:rPr>
          <w:rFonts w:ascii="Arial" w:cs="Arial" w:eastAsia="Arial" w:hAnsi="Arial"/>
          <w:sz w:val="22"/>
          <w:szCs w:val="22"/>
          <w:color w:val="auto"/>
        </w:rPr>
      </w:pPr>
    </w:p>
    <w:p>
      <w:pPr>
        <w:ind w:left="1960" w:right="660" w:firstLine="641"/>
        <w:spacing w:after="0" w:line="397" w:lineRule="auto"/>
        <w:tabs>
          <w:tab w:leader="none" w:pos="3088" w:val="left"/>
        </w:tabs>
        <w:numPr>
          <w:ilvl w:val="1"/>
          <w:numId w:val="275"/>
        </w:numPr>
        <w:rPr>
          <w:rFonts w:ascii="Arial" w:cs="Arial" w:eastAsia="Arial" w:hAnsi="Arial"/>
          <w:sz w:val="19"/>
          <w:szCs w:val="19"/>
          <w:color w:val="auto"/>
        </w:rPr>
      </w:pPr>
      <w:r>
        <w:rPr>
          <w:rFonts w:ascii="Arial" w:cs="Arial" w:eastAsia="Arial" w:hAnsi="Arial"/>
          <w:sz w:val="18"/>
          <w:szCs w:val="18"/>
          <w:color w:val="auto"/>
        </w:rPr>
        <w:t>the consent of the applicable Swingline Lender (such consent not to be unreasonably withheld or delayed) shall be required for any assignment in respect of a Revolving Commitment relating thereto.</w:t>
      </w:r>
    </w:p>
    <w:p>
      <w:pPr>
        <w:spacing w:after="0" w:line="120" w:lineRule="exact"/>
        <w:rPr>
          <w:rFonts w:ascii="Arial" w:cs="Arial" w:eastAsia="Arial" w:hAnsi="Arial"/>
          <w:sz w:val="19"/>
          <w:szCs w:val="19"/>
          <w:color w:val="auto"/>
        </w:rPr>
      </w:pPr>
    </w:p>
    <w:p>
      <w:pPr>
        <w:ind w:left="1300" w:right="60" w:firstLine="653"/>
        <w:spacing w:after="0" w:line="330" w:lineRule="auto"/>
        <w:tabs>
          <w:tab w:leader="none" w:pos="2440" w:val="left"/>
        </w:tabs>
        <w:numPr>
          <w:ilvl w:val="0"/>
          <w:numId w:val="276"/>
        </w:numPr>
        <w:rPr>
          <w:rFonts w:ascii="Arial" w:cs="Arial" w:eastAsia="Arial" w:hAnsi="Arial"/>
          <w:sz w:val="21"/>
          <w:szCs w:val="21"/>
          <w:color w:val="auto"/>
        </w:rPr>
      </w:pPr>
      <w:r>
        <w:rPr>
          <w:rFonts w:ascii="Arial" w:cs="Arial" w:eastAsia="Arial" w:hAnsi="Arial"/>
          <w:sz w:val="19"/>
          <w:szCs w:val="19"/>
          <w:u w:val="single" w:color="auto"/>
          <w:color w:val="auto"/>
        </w:rPr>
        <w:t>Assignment and Assumption</w:t>
      </w:r>
      <w:r>
        <w:rPr>
          <w:rFonts w:ascii="Arial" w:cs="Arial" w:eastAsia="Arial" w:hAnsi="Arial"/>
          <w:sz w:val="19"/>
          <w:szCs w:val="19"/>
          <w:color w:val="auto"/>
        </w:rPr>
        <w:t xml:space="preserve">. The parties to each assignment shall execute and deliver to the Administrative Agent an Assignment and Assumption, together with a processing and recordation fee in the amount of $3,500 (other than an assignment pursuant to </w:t>
      </w:r>
      <w:r>
        <w:rPr>
          <w:rFonts w:ascii="Arial" w:cs="Arial" w:eastAsia="Arial" w:hAnsi="Arial"/>
          <w:sz w:val="19"/>
          <w:szCs w:val="19"/>
          <w:u w:val="single" w:color="auto"/>
          <w:color w:val="auto"/>
        </w:rPr>
        <w:t>Section 11.13</w:t>
      </w:r>
      <w:r>
        <w:rPr>
          <w:rFonts w:ascii="Arial" w:cs="Arial" w:eastAsia="Arial" w:hAnsi="Arial"/>
          <w:sz w:val="19"/>
          <w:szCs w:val="19"/>
          <w:color w:val="auto"/>
        </w:rPr>
        <w:t>); provided, however, that the Administrative Agent may, in its sole discretion, elect to waive such processing and recordation fee in the case of any assignment. The assignee, if it is not a Lender, shall deliver to the Administrative Agent an Administrative Questionnaire.</w:t>
      </w:r>
    </w:p>
    <w:p>
      <w:pPr>
        <w:spacing w:after="0" w:line="181" w:lineRule="exact"/>
        <w:rPr>
          <w:rFonts w:ascii="Arial" w:cs="Arial" w:eastAsia="Arial" w:hAnsi="Arial"/>
          <w:sz w:val="21"/>
          <w:szCs w:val="21"/>
          <w:color w:val="auto"/>
        </w:rPr>
      </w:pPr>
    </w:p>
    <w:p>
      <w:pPr>
        <w:ind w:left="1300" w:right="80" w:firstLine="653"/>
        <w:spacing w:after="0" w:line="367" w:lineRule="auto"/>
        <w:tabs>
          <w:tab w:leader="none" w:pos="2380" w:val="left"/>
        </w:tabs>
        <w:numPr>
          <w:ilvl w:val="0"/>
          <w:numId w:val="276"/>
        </w:numPr>
        <w:rPr>
          <w:rFonts w:ascii="Arial" w:cs="Arial" w:eastAsia="Arial" w:hAnsi="Arial"/>
          <w:sz w:val="19"/>
          <w:szCs w:val="19"/>
          <w:color w:val="auto"/>
        </w:rPr>
      </w:pPr>
      <w:r>
        <w:rPr>
          <w:rFonts w:ascii="Arial" w:cs="Arial" w:eastAsia="Arial" w:hAnsi="Arial"/>
          <w:sz w:val="18"/>
          <w:szCs w:val="18"/>
          <w:u w:val="single" w:color="auto"/>
          <w:color w:val="auto"/>
        </w:rPr>
        <w:t>No Assignment to Certain Persons</w:t>
      </w:r>
      <w:r>
        <w:rPr>
          <w:rFonts w:ascii="Arial" w:cs="Arial" w:eastAsia="Arial" w:hAnsi="Arial"/>
          <w:sz w:val="18"/>
          <w:szCs w:val="18"/>
          <w:color w:val="auto"/>
        </w:rPr>
        <w:t xml:space="preserve">. No such assignment shall be made to (A) any Borrower or any of their Affiliates or Subsidiaries, (B) any Defaulting Lender or an of its Affiliates or Subsidiaries, or any Person who, upon becoming a Lender hereunder, would constitute any of the foregoing Persons described in this </w:t>
      </w:r>
      <w:r>
        <w:rPr>
          <w:rFonts w:ascii="Arial" w:cs="Arial" w:eastAsia="Arial" w:hAnsi="Arial"/>
          <w:sz w:val="18"/>
          <w:szCs w:val="18"/>
          <w:u w:val="single" w:color="auto"/>
          <w:color w:val="auto"/>
        </w:rPr>
        <w:t>clause (B)</w:t>
      </w:r>
      <w:r>
        <w:rPr>
          <w:rFonts w:ascii="Arial" w:cs="Arial" w:eastAsia="Arial" w:hAnsi="Arial"/>
          <w:sz w:val="18"/>
          <w:szCs w:val="18"/>
          <w:color w:val="auto"/>
        </w:rPr>
        <w:t>, or (C) a natural person.</w:t>
      </w:r>
    </w:p>
    <w:p>
      <w:pPr>
        <w:spacing w:after="0" w:line="153" w:lineRule="exact"/>
        <w:rPr>
          <w:rFonts w:ascii="Arial" w:cs="Arial" w:eastAsia="Arial" w:hAnsi="Arial"/>
          <w:sz w:val="19"/>
          <w:szCs w:val="19"/>
          <w:color w:val="auto"/>
        </w:rPr>
      </w:pPr>
    </w:p>
    <w:p>
      <w:pPr>
        <w:ind w:left="1300" w:firstLine="653"/>
        <w:spacing w:after="0" w:line="348" w:lineRule="auto"/>
        <w:tabs>
          <w:tab w:leader="none" w:pos="2440" w:val="left"/>
        </w:tabs>
        <w:numPr>
          <w:ilvl w:val="0"/>
          <w:numId w:val="276"/>
        </w:numPr>
        <w:rPr>
          <w:rFonts w:ascii="Arial" w:cs="Arial" w:eastAsia="Arial" w:hAnsi="Arial"/>
          <w:sz w:val="19"/>
          <w:szCs w:val="19"/>
          <w:color w:val="auto"/>
        </w:rPr>
      </w:pPr>
      <w:r>
        <w:rPr>
          <w:rFonts w:ascii="Arial" w:cs="Arial" w:eastAsia="Arial" w:hAnsi="Arial"/>
          <w:sz w:val="18"/>
          <w:szCs w:val="18"/>
          <w:u w:val="single" w:color="auto"/>
          <w:color w:val="auto"/>
        </w:rPr>
        <w:t>Certain Additional Payments</w:t>
      </w:r>
      <w:r>
        <w:rPr>
          <w:rFonts w:ascii="Arial" w:cs="Arial" w:eastAsia="Arial" w:hAnsi="Arial"/>
          <w:sz w:val="18"/>
          <w:szCs w:val="18"/>
          <w:color w:val="auto"/>
        </w:rPr>
        <w:t>. In connection with any assignment of rights and obligations of any Defaulting Lender hereunder, no such assignment shall be effective unless and until, in addition to the other conditions thereto set forth herein, the parties to the assignment shall make such additional payments to the Administrative Agent in an aggregate amount sufficient, upon distribution thereof as appropriate (which may be outright payment, purchases by the assignee of participations or subparticipations, or other compensating actions, including funding, with the consent of the Borrowers and the Administrative Agent, the applicable pro rata share of Loans previously requested but not funded by the Defaulting Lender, to each of which the applicable assignee and assignor hereby irrevocably consent), to (x) pay and satisfy in full all payment liabilities then owed by such Defaulting Lender to the Administrative Agent or any Lender hereunder (and interest accrued thereon) and (y) acquire (and fund as appropriate) its full pro rata share of all Loans and participations in Letters of Credit and Swingline Loans in accordance with its Revolving Commitment Percentage. Notwithstanding the foregoing, in the event that any assignment of rights and obligations of any Defaulting Lender hereunder shall become effective under applicable Law without compliance with the provisions of this paragraph, then the assignee of such interest shall</w:t>
      </w:r>
    </w:p>
    <w:p>
      <w:pPr>
        <w:spacing w:after="0" w:line="379" w:lineRule="exact"/>
        <w:rPr>
          <w:sz w:val="20"/>
          <w:szCs w:val="20"/>
          <w:color w:val="auto"/>
        </w:rPr>
      </w:pPr>
    </w:p>
    <w:p>
      <w:pPr>
        <w:jc w:val="center"/>
        <w:ind w:right="-39"/>
        <w:spacing w:after="0"/>
        <w:rPr>
          <w:sz w:val="20"/>
          <w:szCs w:val="20"/>
          <w:color w:val="auto"/>
        </w:rPr>
      </w:pPr>
      <w:r>
        <w:rPr>
          <w:rFonts w:ascii="Arial" w:cs="Arial" w:eastAsia="Arial" w:hAnsi="Arial"/>
          <w:sz w:val="20"/>
          <w:szCs w:val="20"/>
          <w:color w:val="auto"/>
        </w:rPr>
        <w:t>189</w:t>
      </w:r>
    </w:p>
    <w:p>
      <w:pPr>
        <w:spacing w:after="0" w:line="10" w:lineRule="exact"/>
        <w:rPr>
          <w:sz w:val="20"/>
          <w:szCs w:val="20"/>
          <w:color w:val="auto"/>
        </w:rPr>
      </w:pPr>
    </w:p>
    <w:p>
      <w:pPr>
        <w:spacing w:after="0"/>
        <w:rPr>
          <w:sz w:val="20"/>
          <w:szCs w:val="20"/>
          <w:color w:val="auto"/>
        </w:rPr>
      </w:pPr>
      <w:r>
        <w:rPr>
          <w:rFonts w:ascii="Arial" w:cs="Arial" w:eastAsia="Arial" w:hAnsi="Arial"/>
          <w:sz w:val="14"/>
          <w:szCs w:val="14"/>
          <w:color w:val="auto"/>
        </w:rPr>
        <w:t>CHAR1\1346423v</w:t>
      </w:r>
      <w:r>
        <w:rPr>
          <w:rFonts w:ascii="Arial" w:cs="Arial" w:eastAsia="Arial" w:hAnsi="Arial"/>
          <w:sz w:val="14"/>
          <w:szCs w:val="14"/>
          <w:color w:val="FF0000"/>
          <w:strike w:val="1"/>
        </w:rPr>
        <w:t>1</w:t>
      </w:r>
      <w:r>
        <w:rPr>
          <w:rFonts w:ascii="Arial" w:cs="Arial" w:eastAsia="Arial" w:hAnsi="Arial"/>
          <w:sz w:val="14"/>
          <w:szCs w:val="14"/>
          <w:u w:val="single" w:color="auto"/>
          <w:color w:val="0000FF"/>
        </w:rPr>
        <w:t>12</w:t>
      </w:r>
    </w:p>
    <w:p>
      <w:pPr>
        <w:sectPr>
          <w:pgSz w:w="11900" w:h="16838" w:orient="portrait"/>
          <w:cols w:equalWidth="0" w:num="1">
            <w:col w:w="11400"/>
          </w:cols>
          <w:pgMar w:left="240" w:top="609" w:right="259" w:bottom="1440" w:gutter="0" w:footer="0" w:header="0"/>
        </w:sectPr>
      </w:pPr>
    </w:p>
    <w:bookmarkStart w:id="241" w:name="page242"/>
    <w:bookmarkEnd w:id="241"/>
    <w:p>
      <w:pPr>
        <w:jc w:val="center"/>
        <w:ind w:right="180"/>
        <w:spacing w:after="0"/>
        <w:rPr>
          <w:sz w:val="20"/>
          <w:szCs w:val="20"/>
          <w:color w:val="auto"/>
        </w:rPr>
      </w:pPr>
      <w:r>
        <w:rPr>
          <w:rFonts w:ascii="Arial" w:cs="Arial" w:eastAsia="Arial" w:hAnsi="Arial"/>
          <w:sz w:val="20"/>
          <w:szCs w:val="20"/>
          <w:color w:val="auto"/>
        </w:rPr>
        <w:t>be deemed to be a Defaulting Lender for all purposes of this Credit Agreement until such compliance occurs.</w:t>
      </w:r>
    </w:p>
    <w:p>
      <w:pPr>
        <w:spacing w:after="0" w:line="229" w:lineRule="exact"/>
        <w:rPr>
          <w:sz w:val="20"/>
          <w:szCs w:val="20"/>
          <w:color w:val="auto"/>
        </w:rPr>
      </w:pPr>
    </w:p>
    <w:p>
      <w:pPr>
        <w:spacing w:after="0" w:line="271" w:lineRule="auto"/>
        <w:rPr>
          <w:sz w:val="20"/>
          <w:szCs w:val="20"/>
          <w:color w:val="auto"/>
        </w:rPr>
      </w:pPr>
      <w:r>
        <w:rPr>
          <w:rFonts w:ascii="Arial" w:cs="Arial" w:eastAsia="Arial" w:hAnsi="Arial"/>
          <w:sz w:val="18"/>
          <w:szCs w:val="18"/>
          <w:color w:val="auto"/>
        </w:rPr>
        <w:t xml:space="preserve">Subject to acceptance and recording thereof by the Administrative Agent pursuant to </w:t>
      </w:r>
      <w:r>
        <w:rPr>
          <w:rFonts w:ascii="Arial" w:cs="Arial" w:eastAsia="Arial" w:hAnsi="Arial"/>
          <w:sz w:val="18"/>
          <w:szCs w:val="18"/>
          <w:u w:val="single" w:color="auto"/>
          <w:color w:val="auto"/>
        </w:rPr>
        <w:t>subsection (c)</w:t>
      </w:r>
      <w:r>
        <w:rPr>
          <w:rFonts w:ascii="Arial" w:cs="Arial" w:eastAsia="Arial" w:hAnsi="Arial"/>
          <w:sz w:val="18"/>
          <w:szCs w:val="18"/>
          <w:color w:val="auto"/>
        </w:rPr>
        <w:t xml:space="preserve"> of this Section, from and after the effective date specified in each Assignment and Assumption, the Eligible Assignee thereunder shall be a party to this Credit Agreement and, to the extent of the interest assigned by such Assignment and Assumption, have the rights and obligations of a Lender under this Credit Agreement, and the assigning Lender thereunder shall, to the extent of the interest assigned by such Assignment and Assumption, be released from its obligations under this Credit Agreement (and, in the case of an Assignment and Assumption covering all of the assigning Lender’s rights and obligations under this Credit Agreement, such Lender shall cease to be a party hereto) but shall continue to be entitled to the benefits of </w:t>
      </w:r>
      <w:r>
        <w:rPr>
          <w:rFonts w:ascii="Arial" w:cs="Arial" w:eastAsia="Arial" w:hAnsi="Arial"/>
          <w:sz w:val="18"/>
          <w:szCs w:val="18"/>
          <w:u w:val="single" w:color="auto"/>
          <w:color w:val="auto"/>
        </w:rPr>
        <w:t>Sections 3.01</w:t>
      </w:r>
      <w:r>
        <w:rPr>
          <w:rFonts w:ascii="Arial" w:cs="Arial" w:eastAsia="Arial" w:hAnsi="Arial"/>
          <w:sz w:val="18"/>
          <w:szCs w:val="18"/>
          <w:color w:val="auto"/>
        </w:rPr>
        <w:t xml:space="preserve">, </w:t>
      </w:r>
      <w:r>
        <w:rPr>
          <w:rFonts w:ascii="Arial" w:cs="Arial" w:eastAsia="Arial" w:hAnsi="Arial"/>
          <w:sz w:val="18"/>
          <w:szCs w:val="18"/>
          <w:u w:val="single" w:color="auto"/>
          <w:color w:val="auto"/>
        </w:rPr>
        <w:t>3.04</w:t>
      </w:r>
      <w:r>
        <w:rPr>
          <w:rFonts w:ascii="Arial" w:cs="Arial" w:eastAsia="Arial" w:hAnsi="Arial"/>
          <w:sz w:val="18"/>
          <w:szCs w:val="18"/>
          <w:color w:val="auto"/>
        </w:rPr>
        <w:t xml:space="preserve">, </w:t>
      </w:r>
      <w:r>
        <w:rPr>
          <w:rFonts w:ascii="Arial" w:cs="Arial" w:eastAsia="Arial" w:hAnsi="Arial"/>
          <w:sz w:val="18"/>
          <w:szCs w:val="18"/>
          <w:u w:val="single" w:color="auto"/>
          <w:color w:val="auto"/>
        </w:rPr>
        <w:t>3.05</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11.04</w:t>
      </w:r>
      <w:r>
        <w:rPr>
          <w:rFonts w:ascii="Arial" w:cs="Arial" w:eastAsia="Arial" w:hAnsi="Arial"/>
          <w:sz w:val="18"/>
          <w:szCs w:val="18"/>
          <w:color w:val="auto"/>
        </w:rPr>
        <w:t xml:space="preserve"> with respect to facts and circumstances occurring prior to the effective date of such assignment. Upon request, each applicable Borrower (at its expense) shall execute and deliver a Note to the assignee Lender. Any assignment or transfer by a Lender of rights or obligations under this Credit Agreement that does not comply with this subsection shall be treated for purposes of this Credit Agreement as a sale by such Lender of a participation in such rights and obligations in accordance with </w:t>
      </w:r>
      <w:r>
        <w:rPr>
          <w:rFonts w:ascii="Arial" w:cs="Arial" w:eastAsia="Arial" w:hAnsi="Arial"/>
          <w:sz w:val="18"/>
          <w:szCs w:val="18"/>
          <w:u w:val="single" w:color="auto"/>
          <w:color w:val="auto"/>
        </w:rPr>
        <w:t>subsection (d)</w:t>
      </w:r>
      <w:r>
        <w:rPr>
          <w:rFonts w:ascii="Arial" w:cs="Arial" w:eastAsia="Arial" w:hAnsi="Arial"/>
          <w:sz w:val="18"/>
          <w:szCs w:val="18"/>
          <w:color w:val="auto"/>
        </w:rPr>
        <w:t xml:space="preserve"> of this Section.</w:t>
      </w:r>
    </w:p>
    <w:p>
      <w:pPr>
        <w:spacing w:after="0" w:line="202" w:lineRule="exact"/>
        <w:rPr>
          <w:sz w:val="20"/>
          <w:szCs w:val="20"/>
          <w:color w:val="auto"/>
        </w:rPr>
      </w:pPr>
    </w:p>
    <w:p>
      <w:pPr>
        <w:ind w:left="1700" w:hanging="395"/>
        <w:spacing w:after="0"/>
        <w:tabs>
          <w:tab w:leader="none" w:pos="1700" w:val="left"/>
        </w:tabs>
        <w:numPr>
          <w:ilvl w:val="0"/>
          <w:numId w:val="277"/>
        </w:numPr>
        <w:rPr>
          <w:rFonts w:ascii="Arial" w:cs="Arial" w:eastAsia="Arial" w:hAnsi="Arial"/>
          <w:sz w:val="18"/>
          <w:szCs w:val="18"/>
          <w:color w:val="auto"/>
        </w:rPr>
      </w:pPr>
      <w:r>
        <w:rPr>
          <w:rFonts w:ascii="Arial" w:cs="Arial" w:eastAsia="Arial" w:hAnsi="Arial"/>
          <w:sz w:val="18"/>
          <w:szCs w:val="18"/>
          <w:u w:val="single" w:color="auto"/>
          <w:color w:val="auto"/>
        </w:rPr>
        <w:t>Register</w:t>
      </w:r>
      <w:r>
        <w:rPr>
          <w:rFonts w:ascii="Arial" w:cs="Arial" w:eastAsia="Arial" w:hAnsi="Arial"/>
          <w:sz w:val="18"/>
          <w:szCs w:val="18"/>
          <w:color w:val="auto"/>
        </w:rPr>
        <w:t>. The Administrative Agent, acting solely for this purpose as an agent of the Borrowers (and such agency being</w:t>
      </w:r>
    </w:p>
    <w:p>
      <w:pPr>
        <w:spacing w:after="0" w:line="76" w:lineRule="exact"/>
        <w:rPr>
          <w:rFonts w:ascii="Arial" w:cs="Arial" w:eastAsia="Arial" w:hAnsi="Arial"/>
          <w:sz w:val="18"/>
          <w:szCs w:val="18"/>
          <w:color w:val="auto"/>
        </w:rPr>
      </w:pPr>
    </w:p>
    <w:p>
      <w:pPr>
        <w:ind w:left="660" w:right="60"/>
        <w:spacing w:after="0" w:line="320" w:lineRule="auto"/>
        <w:rPr>
          <w:rFonts w:ascii="Arial" w:cs="Arial" w:eastAsia="Arial" w:hAnsi="Arial"/>
          <w:sz w:val="18"/>
          <w:szCs w:val="18"/>
          <w:color w:val="auto"/>
        </w:rPr>
      </w:pPr>
      <w:r>
        <w:rPr>
          <w:rFonts w:ascii="Arial" w:cs="Arial" w:eastAsia="Arial" w:hAnsi="Arial"/>
          <w:sz w:val="18"/>
          <w:szCs w:val="18"/>
          <w:color w:val="auto"/>
        </w:rPr>
        <w:t>solely for tax purposes), shall maintain at the Administrative Agent’s Office a copy of each Assignment and Assumption delivered to it and a register for the recordation of the names and addresses of the Lenders, and the Commitments of, and principal amounts of the Loans and L/C Obligations owing to, each Lender pursuant to the terms hereof from time to time (the “</w:t>
      </w:r>
      <w:r>
        <w:rPr>
          <w:rFonts w:ascii="Arial" w:cs="Arial" w:eastAsia="Arial" w:hAnsi="Arial"/>
          <w:sz w:val="18"/>
          <w:szCs w:val="18"/>
          <w:u w:val="single" w:color="auto"/>
          <w:color w:val="auto"/>
        </w:rPr>
        <w:t>Register</w:t>
      </w:r>
      <w:r>
        <w:rPr>
          <w:rFonts w:ascii="Arial" w:cs="Arial" w:eastAsia="Arial" w:hAnsi="Arial"/>
          <w:sz w:val="18"/>
          <w:szCs w:val="18"/>
          <w:color w:val="auto"/>
        </w:rPr>
        <w:t>”). The entries in the Register shall be conclusive, and the Borrowers, the Administrative Agent and the Lenders may treat each Person whose name is recorded in the Register pursuant to the terms hereof as a Lender hereunder for all purposes of this Credit Agreement, notwithstanding notice to the contrary. In addition, the Administrative Agent shall maintain on the Register information regarding the designation, and revocation of designation, of any Lender as a Defaulting Lender. The Register shall be available for inspection by any of the Borrowers, the L/C Issuers and the Lenders, at any reasonable time and from time to time upon reasonable prior notice.</w:t>
      </w:r>
    </w:p>
    <w:p>
      <w:pPr>
        <w:spacing w:after="0" w:line="169" w:lineRule="exact"/>
        <w:rPr>
          <w:rFonts w:ascii="Arial" w:cs="Arial" w:eastAsia="Arial" w:hAnsi="Arial"/>
          <w:sz w:val="18"/>
          <w:szCs w:val="18"/>
          <w:color w:val="auto"/>
        </w:rPr>
      </w:pPr>
    </w:p>
    <w:p>
      <w:pPr>
        <w:ind w:left="1720" w:hanging="415"/>
        <w:spacing w:after="0"/>
        <w:tabs>
          <w:tab w:leader="none" w:pos="1720" w:val="left"/>
        </w:tabs>
        <w:numPr>
          <w:ilvl w:val="0"/>
          <w:numId w:val="277"/>
        </w:numPr>
        <w:rPr>
          <w:rFonts w:ascii="Arial" w:cs="Arial" w:eastAsia="Arial" w:hAnsi="Arial"/>
          <w:sz w:val="18"/>
          <w:szCs w:val="18"/>
          <w:color w:val="auto"/>
        </w:rPr>
      </w:pPr>
      <w:r>
        <w:rPr>
          <w:rFonts w:ascii="Arial" w:cs="Arial" w:eastAsia="Arial" w:hAnsi="Arial"/>
          <w:sz w:val="18"/>
          <w:szCs w:val="18"/>
          <w:u w:val="single" w:color="auto"/>
          <w:color w:val="auto"/>
        </w:rPr>
        <w:t>Participations</w:t>
      </w:r>
      <w:r>
        <w:rPr>
          <w:rFonts w:ascii="Arial" w:cs="Arial" w:eastAsia="Arial" w:hAnsi="Arial"/>
          <w:sz w:val="18"/>
          <w:szCs w:val="18"/>
          <w:color w:val="auto"/>
        </w:rPr>
        <w:t>. Any Lender may at any time, without the consent of, or notice to, EWI or the other Credit Parties or the</w:t>
      </w:r>
    </w:p>
    <w:p>
      <w:pPr>
        <w:spacing w:after="0" w:line="76" w:lineRule="exact"/>
        <w:rPr>
          <w:rFonts w:ascii="Arial" w:cs="Arial" w:eastAsia="Arial" w:hAnsi="Arial"/>
          <w:sz w:val="18"/>
          <w:szCs w:val="18"/>
          <w:color w:val="auto"/>
        </w:rPr>
      </w:pPr>
    </w:p>
    <w:p>
      <w:pPr>
        <w:ind w:left="660" w:right="40"/>
        <w:spacing w:after="0" w:line="321" w:lineRule="auto"/>
        <w:rPr>
          <w:rFonts w:ascii="Arial" w:cs="Arial" w:eastAsia="Arial" w:hAnsi="Arial"/>
          <w:sz w:val="18"/>
          <w:szCs w:val="18"/>
          <w:color w:val="auto"/>
        </w:rPr>
      </w:pPr>
      <w:r>
        <w:rPr>
          <w:rFonts w:ascii="Arial" w:cs="Arial" w:eastAsia="Arial" w:hAnsi="Arial"/>
          <w:sz w:val="18"/>
          <w:szCs w:val="18"/>
          <w:color w:val="auto"/>
        </w:rPr>
        <w:t>Administrative Agent, sell participations to any Person (other than a natural person, a Defaulting Lender, any Borrower or any of their respective Affiliates or Subsidiaries) (each, a “</w:t>
      </w:r>
      <w:r>
        <w:rPr>
          <w:rFonts w:ascii="Arial" w:cs="Arial" w:eastAsia="Arial" w:hAnsi="Arial"/>
          <w:sz w:val="18"/>
          <w:szCs w:val="18"/>
          <w:u w:val="single" w:color="auto"/>
          <w:color w:val="auto"/>
        </w:rPr>
        <w:t>Participant</w:t>
      </w:r>
      <w:r>
        <w:rPr>
          <w:rFonts w:ascii="Arial" w:cs="Arial" w:eastAsia="Arial" w:hAnsi="Arial"/>
          <w:sz w:val="18"/>
          <w:szCs w:val="18"/>
          <w:color w:val="auto"/>
        </w:rPr>
        <w:t>”) in all or a portion of such Lender’s rights and/or obligations under this Credit Agreement (including all or a portion of its Commitment and/or the Loans (including such Lender’s participations in L/C Obligations and/or Swingline Loans) owing to it); provided that (i) such Lender’s obligations under this Credit Agreement shall remain unchanged, (ii) such Lender shall remain solely responsible to the other parties hereto for the performance of such obligations and (iii) the Borrowers, the Administrative Agent, the Lenders and the L/C Issuers shall continue to deal solely and directly with such Lender in connection with such Lender’s rights and obligations under this Credit Agreement.</w:t>
      </w:r>
    </w:p>
    <w:p>
      <w:pPr>
        <w:spacing w:after="0" w:line="38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190</w:t>
      </w:r>
    </w:p>
    <w:p>
      <w:pPr>
        <w:spacing w:after="0" w:line="10" w:lineRule="exact"/>
        <w:rPr>
          <w:sz w:val="20"/>
          <w:szCs w:val="20"/>
          <w:color w:val="auto"/>
        </w:rPr>
      </w:pPr>
    </w:p>
    <w:p>
      <w:pPr>
        <w:spacing w:after="0"/>
        <w:rPr>
          <w:sz w:val="20"/>
          <w:szCs w:val="20"/>
          <w:color w:val="auto"/>
        </w:rPr>
      </w:pPr>
      <w:r>
        <w:rPr>
          <w:rFonts w:ascii="Arial" w:cs="Arial" w:eastAsia="Arial" w:hAnsi="Arial"/>
          <w:sz w:val="14"/>
          <w:szCs w:val="14"/>
          <w:color w:val="auto"/>
        </w:rPr>
        <w:t>CHAR1\1346423v</w:t>
      </w:r>
      <w:r>
        <w:rPr>
          <w:rFonts w:ascii="Arial" w:cs="Arial" w:eastAsia="Arial" w:hAnsi="Arial"/>
          <w:sz w:val="14"/>
          <w:szCs w:val="14"/>
          <w:color w:val="FF0000"/>
          <w:strike w:val="1"/>
        </w:rPr>
        <w:t>1</w:t>
      </w:r>
      <w:r>
        <w:rPr>
          <w:rFonts w:ascii="Arial" w:cs="Arial" w:eastAsia="Arial" w:hAnsi="Arial"/>
          <w:sz w:val="14"/>
          <w:szCs w:val="14"/>
          <w:u w:val="single" w:color="auto"/>
          <w:color w:val="0000FF"/>
        </w:rPr>
        <w:t>12</w:t>
      </w:r>
    </w:p>
    <w:p>
      <w:pPr>
        <w:sectPr>
          <w:pgSz w:w="11900" w:h="16838" w:orient="portrait"/>
          <w:cols w:equalWidth="0" w:num="1">
            <w:col w:w="11420"/>
          </w:cols>
          <w:pgMar w:left="240" w:top="609" w:right="239" w:bottom="1440" w:gutter="0" w:footer="0" w:header="0"/>
        </w:sectPr>
      </w:pPr>
    </w:p>
    <w:bookmarkStart w:id="242" w:name="page243"/>
    <w:bookmarkEnd w:id="242"/>
    <w:p>
      <w:pPr>
        <w:ind w:right="40"/>
        <w:spacing w:after="0" w:line="257" w:lineRule="auto"/>
        <w:rPr>
          <w:sz w:val="20"/>
          <w:szCs w:val="20"/>
          <w:color w:val="auto"/>
        </w:rPr>
      </w:pPr>
      <w:r>
        <w:rPr>
          <w:rFonts w:ascii="Arial" w:cs="Arial" w:eastAsia="Arial" w:hAnsi="Arial"/>
          <w:sz w:val="19"/>
          <w:szCs w:val="19"/>
          <w:color w:val="auto"/>
        </w:rPr>
        <w:t xml:space="preserve">Any agreement or instrument pursuant to which a Lender sells such a participation shall provide that such Lender shall retain the sole right to enforce this Credit Agreement and to approve any amendment, modification or waiver of any provision of this Credit Agreement; provided that such agreement or instrument may provide that such Lender will not, without the consent of the Participant, agree to any amendment, waiver or other modification described in the first proviso of </w:t>
      </w:r>
      <w:r>
        <w:rPr>
          <w:rFonts w:ascii="Arial" w:cs="Arial" w:eastAsia="Arial" w:hAnsi="Arial"/>
          <w:sz w:val="19"/>
          <w:szCs w:val="19"/>
          <w:u w:val="single" w:color="auto"/>
          <w:color w:val="auto"/>
        </w:rPr>
        <w:t>Section 11.01</w:t>
      </w:r>
      <w:r>
        <w:rPr>
          <w:rFonts w:ascii="Arial" w:cs="Arial" w:eastAsia="Arial" w:hAnsi="Arial"/>
          <w:sz w:val="19"/>
          <w:szCs w:val="19"/>
          <w:color w:val="auto"/>
        </w:rPr>
        <w:t xml:space="preserve"> that affects such Participant. Subject to </w:t>
      </w:r>
      <w:r>
        <w:rPr>
          <w:rFonts w:ascii="Arial" w:cs="Arial" w:eastAsia="Arial" w:hAnsi="Arial"/>
          <w:sz w:val="19"/>
          <w:szCs w:val="19"/>
          <w:u w:val="single" w:color="auto"/>
          <w:color w:val="auto"/>
        </w:rPr>
        <w:t>subsection (e)</w:t>
      </w:r>
      <w:r>
        <w:rPr>
          <w:rFonts w:ascii="Arial" w:cs="Arial" w:eastAsia="Arial" w:hAnsi="Arial"/>
          <w:sz w:val="19"/>
          <w:szCs w:val="19"/>
          <w:color w:val="auto"/>
        </w:rPr>
        <w:t xml:space="preserve"> of this Section, each Borrower agrees that each Participant shall be entitled to the benefits of </w:t>
      </w:r>
      <w:r>
        <w:rPr>
          <w:rFonts w:ascii="Arial" w:cs="Arial" w:eastAsia="Arial" w:hAnsi="Arial"/>
          <w:sz w:val="19"/>
          <w:szCs w:val="19"/>
          <w:u w:val="single" w:color="auto"/>
          <w:color w:val="auto"/>
        </w:rPr>
        <w:t>Sections 3.01</w:t>
      </w:r>
      <w:r>
        <w:rPr>
          <w:rFonts w:ascii="Arial" w:cs="Arial" w:eastAsia="Arial" w:hAnsi="Arial"/>
          <w:sz w:val="19"/>
          <w:szCs w:val="19"/>
          <w:color w:val="auto"/>
        </w:rPr>
        <w:t xml:space="preserve">, </w:t>
      </w:r>
      <w:r>
        <w:rPr>
          <w:rFonts w:ascii="Arial" w:cs="Arial" w:eastAsia="Arial" w:hAnsi="Arial"/>
          <w:sz w:val="19"/>
          <w:szCs w:val="19"/>
          <w:u w:val="single" w:color="auto"/>
          <w:color w:val="auto"/>
        </w:rPr>
        <w:t>3.04</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3.05</w:t>
      </w:r>
      <w:r>
        <w:rPr>
          <w:rFonts w:ascii="Arial" w:cs="Arial" w:eastAsia="Arial" w:hAnsi="Arial"/>
          <w:sz w:val="19"/>
          <w:szCs w:val="19"/>
          <w:color w:val="auto"/>
        </w:rPr>
        <w:t xml:space="preserve"> to the same extent as if it were a Lender and had acquired its interest by assignment pursuant to </w:t>
      </w:r>
      <w:r>
        <w:rPr>
          <w:rFonts w:ascii="Arial" w:cs="Arial" w:eastAsia="Arial" w:hAnsi="Arial"/>
          <w:sz w:val="19"/>
          <w:szCs w:val="19"/>
          <w:u w:val="single" w:color="auto"/>
          <w:color w:val="auto"/>
        </w:rPr>
        <w:t>subsection (b)</w:t>
      </w:r>
      <w:r>
        <w:rPr>
          <w:rFonts w:ascii="Arial" w:cs="Arial" w:eastAsia="Arial" w:hAnsi="Arial"/>
          <w:sz w:val="19"/>
          <w:szCs w:val="19"/>
          <w:color w:val="auto"/>
        </w:rPr>
        <w:t xml:space="preserve"> of this Section. To the extent permitted by Law, each Participant also shall be entitled to the benefits of </w:t>
      </w:r>
      <w:r>
        <w:rPr>
          <w:rFonts w:ascii="Arial" w:cs="Arial" w:eastAsia="Arial" w:hAnsi="Arial"/>
          <w:sz w:val="19"/>
          <w:szCs w:val="19"/>
          <w:u w:val="single" w:color="auto"/>
          <w:color w:val="auto"/>
        </w:rPr>
        <w:t>Section 11.08</w:t>
      </w:r>
      <w:r>
        <w:rPr>
          <w:rFonts w:ascii="Arial" w:cs="Arial" w:eastAsia="Arial" w:hAnsi="Arial"/>
          <w:sz w:val="19"/>
          <w:szCs w:val="19"/>
          <w:color w:val="auto"/>
        </w:rPr>
        <w:t xml:space="preserve"> as though it were a Lender, provided such Participant agrees to be subject to </w:t>
      </w:r>
      <w:r>
        <w:rPr>
          <w:rFonts w:ascii="Arial" w:cs="Arial" w:eastAsia="Arial" w:hAnsi="Arial"/>
          <w:sz w:val="19"/>
          <w:szCs w:val="19"/>
          <w:u w:val="single" w:color="auto"/>
          <w:color w:val="auto"/>
        </w:rPr>
        <w:t>Section 2.12</w:t>
      </w:r>
      <w:r>
        <w:rPr>
          <w:rFonts w:ascii="Arial" w:cs="Arial" w:eastAsia="Arial" w:hAnsi="Arial"/>
          <w:sz w:val="19"/>
          <w:szCs w:val="19"/>
          <w:color w:val="auto"/>
        </w:rPr>
        <w:t xml:space="preserve"> as though it were a Lender.</w:t>
      </w:r>
    </w:p>
    <w:p>
      <w:pPr>
        <w:spacing w:after="0" w:line="208" w:lineRule="exact"/>
        <w:rPr>
          <w:sz w:val="20"/>
          <w:szCs w:val="20"/>
          <w:color w:val="auto"/>
        </w:rPr>
      </w:pPr>
    </w:p>
    <w:p>
      <w:pPr>
        <w:ind w:left="1700" w:hanging="395"/>
        <w:spacing w:after="0"/>
        <w:tabs>
          <w:tab w:leader="none" w:pos="1700" w:val="left"/>
        </w:tabs>
        <w:numPr>
          <w:ilvl w:val="0"/>
          <w:numId w:val="278"/>
        </w:numPr>
        <w:rPr>
          <w:rFonts w:ascii="Arial" w:cs="Arial" w:eastAsia="Arial" w:hAnsi="Arial"/>
          <w:sz w:val="18"/>
          <w:szCs w:val="18"/>
          <w:color w:val="auto"/>
        </w:rPr>
      </w:pPr>
      <w:r>
        <w:rPr>
          <w:rFonts w:ascii="Arial" w:cs="Arial" w:eastAsia="Arial" w:hAnsi="Arial"/>
          <w:sz w:val="18"/>
          <w:szCs w:val="18"/>
          <w:u w:val="single" w:color="auto"/>
          <w:color w:val="auto"/>
        </w:rPr>
        <w:t>Limitations on Participant Rights</w:t>
      </w:r>
      <w:r>
        <w:rPr>
          <w:rFonts w:ascii="Arial" w:cs="Arial" w:eastAsia="Arial" w:hAnsi="Arial"/>
          <w:sz w:val="18"/>
          <w:szCs w:val="18"/>
          <w:color w:val="auto"/>
        </w:rPr>
        <w:t xml:space="preserve">. A Participant shall not be entitled to receive any greater payment under </w:t>
      </w:r>
      <w:r>
        <w:rPr>
          <w:rFonts w:ascii="Arial" w:cs="Arial" w:eastAsia="Arial" w:hAnsi="Arial"/>
          <w:sz w:val="18"/>
          <w:szCs w:val="18"/>
          <w:u w:val="single" w:color="auto"/>
          <w:color w:val="auto"/>
        </w:rPr>
        <w:t>Section 3.01</w:t>
      </w:r>
      <w:r>
        <w:rPr>
          <w:rFonts w:ascii="Arial" w:cs="Arial" w:eastAsia="Arial" w:hAnsi="Arial"/>
          <w:sz w:val="18"/>
          <w:szCs w:val="18"/>
          <w:color w:val="auto"/>
        </w:rPr>
        <w:t xml:space="preserve"> or</w:t>
      </w:r>
    </w:p>
    <w:p>
      <w:pPr>
        <w:spacing w:after="0" w:line="76" w:lineRule="exact"/>
        <w:rPr>
          <w:rFonts w:ascii="Arial" w:cs="Arial" w:eastAsia="Arial" w:hAnsi="Arial"/>
          <w:sz w:val="18"/>
          <w:szCs w:val="18"/>
          <w:color w:val="auto"/>
        </w:rPr>
      </w:pPr>
    </w:p>
    <w:p>
      <w:pPr>
        <w:ind w:left="660" w:right="60"/>
        <w:spacing w:after="0" w:line="287" w:lineRule="auto"/>
        <w:rPr>
          <w:rFonts w:ascii="Arial" w:cs="Arial" w:eastAsia="Arial" w:hAnsi="Arial"/>
          <w:sz w:val="18"/>
          <w:szCs w:val="18"/>
          <w:color w:val="auto"/>
        </w:rPr>
      </w:pPr>
      <w:r>
        <w:rPr>
          <w:rFonts w:ascii="Arial" w:cs="Arial" w:eastAsia="Arial" w:hAnsi="Arial"/>
          <w:sz w:val="20"/>
          <w:szCs w:val="20"/>
          <w:u w:val="single" w:color="auto"/>
          <w:color w:val="auto"/>
        </w:rPr>
        <w:t>3.04</w:t>
      </w:r>
      <w:r>
        <w:rPr>
          <w:rFonts w:ascii="Arial" w:cs="Arial" w:eastAsia="Arial" w:hAnsi="Arial"/>
          <w:sz w:val="20"/>
          <w:szCs w:val="20"/>
          <w:color w:val="auto"/>
        </w:rPr>
        <w:t xml:space="preserve"> than the applicable Lender would have been entitled to receive with respect to the participation sold to such Participant, unless the sale of the participation to such Participant is made with each applicable Borrower’s prior written consent. A Participant that would be a Foreign Lender if it were a Lender shall not be entitled to the benefits of </w:t>
      </w:r>
      <w:r>
        <w:rPr>
          <w:rFonts w:ascii="Arial" w:cs="Arial" w:eastAsia="Arial" w:hAnsi="Arial"/>
          <w:sz w:val="20"/>
          <w:szCs w:val="20"/>
          <w:u w:val="single" w:color="auto"/>
          <w:color w:val="auto"/>
        </w:rPr>
        <w:t>Section 3.01</w:t>
      </w:r>
      <w:r>
        <w:rPr>
          <w:rFonts w:ascii="Arial" w:cs="Arial" w:eastAsia="Arial" w:hAnsi="Arial"/>
          <w:sz w:val="20"/>
          <w:szCs w:val="20"/>
          <w:color w:val="auto"/>
        </w:rPr>
        <w:t xml:space="preserve"> unless each applicable Borrower is notified of the participation sold to such Participant and such Participant agrees, for the benefit of each such Borrower, to comply with </w:t>
      </w:r>
      <w:r>
        <w:rPr>
          <w:rFonts w:ascii="Arial" w:cs="Arial" w:eastAsia="Arial" w:hAnsi="Arial"/>
          <w:sz w:val="20"/>
          <w:szCs w:val="20"/>
          <w:u w:val="single" w:color="auto"/>
          <w:color w:val="auto"/>
        </w:rPr>
        <w:t>Sections</w:t>
      </w:r>
      <w:r>
        <w:rPr>
          <w:rFonts w:ascii="Arial" w:cs="Arial" w:eastAsia="Arial" w:hAnsi="Arial"/>
          <w:sz w:val="20"/>
          <w:szCs w:val="20"/>
          <w:color w:val="auto"/>
        </w:rPr>
        <w:t xml:space="preserve"> </w:t>
      </w:r>
      <w:r>
        <w:rPr>
          <w:rFonts w:ascii="Arial" w:cs="Arial" w:eastAsia="Arial" w:hAnsi="Arial"/>
          <w:sz w:val="20"/>
          <w:szCs w:val="20"/>
          <w:u w:val="single" w:color="auto"/>
          <w:color w:val="auto"/>
        </w:rPr>
        <w:t>3.01(e)</w:t>
      </w:r>
      <w:r>
        <w:rPr>
          <w:rFonts w:ascii="Arial" w:cs="Arial" w:eastAsia="Arial" w:hAnsi="Arial"/>
          <w:sz w:val="20"/>
          <w:szCs w:val="20"/>
          <w:color w:val="auto"/>
        </w:rPr>
        <w:t xml:space="preserve"> and </w:t>
      </w:r>
      <w:r>
        <w:rPr>
          <w:rFonts w:ascii="Arial" w:cs="Arial" w:eastAsia="Arial" w:hAnsi="Arial"/>
          <w:sz w:val="20"/>
          <w:szCs w:val="20"/>
          <w:u w:val="single" w:color="auto"/>
          <w:color w:val="auto"/>
        </w:rPr>
        <w:t>3.06</w:t>
      </w:r>
      <w:r>
        <w:rPr>
          <w:rFonts w:ascii="Arial" w:cs="Arial" w:eastAsia="Arial" w:hAnsi="Arial"/>
          <w:sz w:val="20"/>
          <w:szCs w:val="20"/>
          <w:color w:val="auto"/>
        </w:rPr>
        <w:t xml:space="preserve"> as though it were a Lender.</w:t>
      </w:r>
    </w:p>
    <w:p>
      <w:pPr>
        <w:spacing w:after="0" w:line="191" w:lineRule="exact"/>
        <w:rPr>
          <w:rFonts w:ascii="Arial" w:cs="Arial" w:eastAsia="Arial" w:hAnsi="Arial"/>
          <w:sz w:val="18"/>
          <w:szCs w:val="18"/>
          <w:color w:val="auto"/>
        </w:rPr>
      </w:pPr>
    </w:p>
    <w:p>
      <w:pPr>
        <w:ind w:left="1680" w:hanging="375"/>
        <w:spacing w:after="0"/>
        <w:tabs>
          <w:tab w:leader="none" w:pos="1680" w:val="left"/>
        </w:tabs>
        <w:numPr>
          <w:ilvl w:val="0"/>
          <w:numId w:val="278"/>
        </w:numPr>
        <w:rPr>
          <w:rFonts w:ascii="Arial" w:cs="Arial" w:eastAsia="Arial" w:hAnsi="Arial"/>
          <w:sz w:val="18"/>
          <w:szCs w:val="18"/>
          <w:color w:val="auto"/>
        </w:rPr>
      </w:pPr>
      <w:r>
        <w:rPr>
          <w:rFonts w:ascii="Arial" w:cs="Arial" w:eastAsia="Arial" w:hAnsi="Arial"/>
          <w:sz w:val="18"/>
          <w:szCs w:val="18"/>
          <w:u w:val="single" w:color="auto"/>
          <w:color w:val="auto"/>
        </w:rPr>
        <w:t>Certain Pledges</w:t>
      </w:r>
      <w:r>
        <w:rPr>
          <w:rFonts w:ascii="Arial" w:cs="Arial" w:eastAsia="Arial" w:hAnsi="Arial"/>
          <w:sz w:val="18"/>
          <w:szCs w:val="18"/>
          <w:color w:val="auto"/>
        </w:rPr>
        <w:t>. Any Lender may at any time pledge or assign a security interest in all or any portion of its rights under</w:t>
      </w:r>
    </w:p>
    <w:p>
      <w:pPr>
        <w:spacing w:after="0" w:line="76" w:lineRule="exact"/>
        <w:rPr>
          <w:rFonts w:ascii="Arial" w:cs="Arial" w:eastAsia="Arial" w:hAnsi="Arial"/>
          <w:sz w:val="18"/>
          <w:szCs w:val="18"/>
          <w:color w:val="auto"/>
        </w:rPr>
      </w:pPr>
    </w:p>
    <w:p>
      <w:pPr>
        <w:ind w:left="660" w:right="100"/>
        <w:spacing w:after="0" w:line="314" w:lineRule="auto"/>
        <w:rPr>
          <w:rFonts w:ascii="Arial" w:cs="Arial" w:eastAsia="Arial" w:hAnsi="Arial"/>
          <w:sz w:val="18"/>
          <w:szCs w:val="18"/>
          <w:color w:val="auto"/>
        </w:rPr>
      </w:pPr>
      <w:r>
        <w:rPr>
          <w:rFonts w:ascii="Arial" w:cs="Arial" w:eastAsia="Arial" w:hAnsi="Arial"/>
          <w:sz w:val="19"/>
          <w:szCs w:val="19"/>
          <w:color w:val="auto"/>
        </w:rPr>
        <w:t>this Credit Agreement (including under its Note(s), if any) to secure obligations of such Lender, including any pledge or assignment to secure obligations to a Federal Reserve Bank; provided that no such pledge or assignment shall release such Lender from any of its obligations hereunder or substitute any such pledgee or assignee for such Lender as a party hereto.</w:t>
      </w:r>
    </w:p>
    <w:p>
      <w:pPr>
        <w:spacing w:after="0" w:line="168" w:lineRule="exact"/>
        <w:rPr>
          <w:rFonts w:ascii="Arial" w:cs="Arial" w:eastAsia="Arial" w:hAnsi="Arial"/>
          <w:sz w:val="18"/>
          <w:szCs w:val="18"/>
          <w:color w:val="auto"/>
        </w:rPr>
      </w:pPr>
    </w:p>
    <w:p>
      <w:pPr>
        <w:ind w:left="1720" w:hanging="415"/>
        <w:spacing w:after="0"/>
        <w:tabs>
          <w:tab w:leader="none" w:pos="1720" w:val="left"/>
        </w:tabs>
        <w:numPr>
          <w:ilvl w:val="0"/>
          <w:numId w:val="278"/>
        </w:numPr>
        <w:rPr>
          <w:rFonts w:ascii="Arial" w:cs="Arial" w:eastAsia="Arial" w:hAnsi="Arial"/>
          <w:sz w:val="19"/>
          <w:szCs w:val="19"/>
          <w:color w:val="auto"/>
        </w:rPr>
      </w:pPr>
      <w:r>
        <w:rPr>
          <w:rFonts w:ascii="Arial" w:cs="Arial" w:eastAsia="Arial" w:hAnsi="Arial"/>
          <w:sz w:val="19"/>
          <w:szCs w:val="19"/>
          <w:u w:val="single" w:color="auto"/>
          <w:color w:val="auto"/>
        </w:rPr>
        <w:t>Electronic Execution of Assignments</w:t>
      </w:r>
      <w:r>
        <w:rPr>
          <w:rFonts w:ascii="Arial" w:cs="Arial" w:eastAsia="Arial" w:hAnsi="Arial"/>
          <w:sz w:val="19"/>
          <w:szCs w:val="19"/>
          <w:color w:val="auto"/>
        </w:rPr>
        <w:t>. The words “execution,” “signed,” “signature,” and words of like import in any</w:t>
      </w:r>
    </w:p>
    <w:p>
      <w:pPr>
        <w:spacing w:after="0" w:line="65" w:lineRule="exact"/>
        <w:rPr>
          <w:rFonts w:ascii="Arial" w:cs="Arial" w:eastAsia="Arial" w:hAnsi="Arial"/>
          <w:sz w:val="19"/>
          <w:szCs w:val="19"/>
          <w:color w:val="auto"/>
        </w:rPr>
      </w:pPr>
    </w:p>
    <w:p>
      <w:pPr>
        <w:ind w:left="660" w:right="400"/>
        <w:spacing w:after="0" w:line="305" w:lineRule="auto"/>
        <w:rPr>
          <w:rFonts w:ascii="Arial" w:cs="Arial" w:eastAsia="Arial" w:hAnsi="Arial"/>
          <w:sz w:val="19"/>
          <w:szCs w:val="19"/>
          <w:color w:val="auto"/>
        </w:rPr>
      </w:pPr>
      <w:r>
        <w:rPr>
          <w:rFonts w:ascii="Arial" w:cs="Arial" w:eastAsia="Arial" w:hAnsi="Arial"/>
          <w:sz w:val="19"/>
          <w:szCs w:val="19"/>
          <w:color w:val="auto"/>
        </w:rPr>
        <w:t>Assignment and Assumption shall be deemed to include electronic signatures or the keeping of records in electronic form, each of which shall be of the same legal effect, validity or enforceability as a manually executed signature or the use of a paper-based recordkeeping system, as the case may be, to the extent and as provided for in any applicable law, including the Federal Electronic Signatures in Global and National Commerce Act, the New York State Electronic Signatures and Records Act, or any other similar state laws based on the Uniform Electronic Transactions Act.</w:t>
      </w:r>
    </w:p>
    <w:p>
      <w:pPr>
        <w:spacing w:after="0" w:line="178" w:lineRule="exact"/>
        <w:rPr>
          <w:rFonts w:ascii="Arial" w:cs="Arial" w:eastAsia="Arial" w:hAnsi="Arial"/>
          <w:sz w:val="19"/>
          <w:szCs w:val="19"/>
          <w:color w:val="auto"/>
        </w:rPr>
      </w:pPr>
    </w:p>
    <w:p>
      <w:pPr>
        <w:ind w:left="1720" w:hanging="415"/>
        <w:spacing w:after="0"/>
        <w:tabs>
          <w:tab w:leader="none" w:pos="1720" w:val="left"/>
        </w:tabs>
        <w:numPr>
          <w:ilvl w:val="0"/>
          <w:numId w:val="278"/>
        </w:numPr>
        <w:rPr>
          <w:rFonts w:ascii="Arial" w:cs="Arial" w:eastAsia="Arial" w:hAnsi="Arial"/>
          <w:sz w:val="18"/>
          <w:szCs w:val="18"/>
          <w:color w:val="auto"/>
        </w:rPr>
      </w:pPr>
      <w:r>
        <w:rPr>
          <w:rFonts w:ascii="Arial" w:cs="Arial" w:eastAsia="Arial" w:hAnsi="Arial"/>
          <w:sz w:val="18"/>
          <w:szCs w:val="18"/>
          <w:u w:val="single" w:color="auto"/>
          <w:color w:val="auto"/>
        </w:rPr>
        <w:t>Resignation as L/C Issuer or Swingline Lender after Assignment</w:t>
      </w:r>
      <w:r>
        <w:rPr>
          <w:rFonts w:ascii="Arial" w:cs="Arial" w:eastAsia="Arial" w:hAnsi="Arial"/>
          <w:sz w:val="18"/>
          <w:szCs w:val="18"/>
          <w:color w:val="auto"/>
        </w:rPr>
        <w:t>. Notwithstanding anything to the contrary contained</w:t>
      </w:r>
    </w:p>
    <w:p>
      <w:pPr>
        <w:spacing w:after="0" w:line="76" w:lineRule="exact"/>
        <w:rPr>
          <w:rFonts w:ascii="Arial" w:cs="Arial" w:eastAsia="Arial" w:hAnsi="Arial"/>
          <w:sz w:val="18"/>
          <w:szCs w:val="18"/>
          <w:color w:val="auto"/>
        </w:rPr>
      </w:pPr>
    </w:p>
    <w:p>
      <w:pPr>
        <w:ind w:left="660"/>
        <w:spacing w:after="0" w:line="286" w:lineRule="auto"/>
        <w:rPr>
          <w:rFonts w:ascii="Arial" w:cs="Arial" w:eastAsia="Arial" w:hAnsi="Arial"/>
          <w:sz w:val="18"/>
          <w:szCs w:val="18"/>
          <w:color w:val="auto"/>
        </w:rPr>
      </w:pPr>
      <w:r>
        <w:rPr>
          <w:rFonts w:ascii="Arial" w:cs="Arial" w:eastAsia="Arial" w:hAnsi="Arial"/>
          <w:sz w:val="20"/>
          <w:szCs w:val="20"/>
          <w:color w:val="auto"/>
        </w:rPr>
        <w:t xml:space="preserve">herein, if at any time Bank of America assigns all of its revolving commitments (and the revolving loans relating thereto) pursuant to </w:t>
      </w:r>
      <w:r>
        <w:rPr>
          <w:rFonts w:ascii="Arial" w:cs="Arial" w:eastAsia="Arial" w:hAnsi="Arial"/>
          <w:sz w:val="20"/>
          <w:szCs w:val="20"/>
          <w:u w:val="single" w:color="auto"/>
          <w:color w:val="auto"/>
        </w:rPr>
        <w:t>subsection (b)</w:t>
      </w:r>
      <w:r>
        <w:rPr>
          <w:rFonts w:ascii="Arial" w:cs="Arial" w:eastAsia="Arial" w:hAnsi="Arial"/>
          <w:sz w:val="20"/>
          <w:szCs w:val="20"/>
          <w:color w:val="auto"/>
        </w:rPr>
        <w:t xml:space="preserve"> above, Bank of America may, (i) upon thirty (30) days’ notice to the Borrowers and the Lenders, resign as L/C Issuer and/or (ii) upon thirty (30) days’ notice to the Borrowers, resign as Swingline Lender. In the event of any such resignation as L/C Issuer or Swingline Lender, the Borrowers shall be entitled to appoint from among the Lenders a successor L/C Issuer or Swingline Lender hereunder; </w:t>
      </w:r>
      <w:r>
        <w:rPr>
          <w:rFonts w:ascii="Arial" w:cs="Arial" w:eastAsia="Arial" w:hAnsi="Arial"/>
          <w:sz w:val="20"/>
          <w:szCs w:val="20"/>
          <w:u w:val="single" w:color="auto"/>
          <w:color w:val="auto"/>
        </w:rPr>
        <w:t>provided</w:t>
      </w:r>
      <w:r>
        <w:rPr>
          <w:rFonts w:ascii="Arial" w:cs="Arial" w:eastAsia="Arial" w:hAnsi="Arial"/>
          <w:sz w:val="20"/>
          <w:szCs w:val="20"/>
          <w:color w:val="auto"/>
        </w:rPr>
        <w:t>, however, that no failure by the Borrowers to appoint any such successor shall affect the resignation of Bank of America as L/C Issuer or Swingline Lender,</w:t>
      </w: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191</w:t>
      </w:r>
    </w:p>
    <w:p>
      <w:pPr>
        <w:spacing w:after="0" w:line="10" w:lineRule="exact"/>
        <w:rPr>
          <w:sz w:val="20"/>
          <w:szCs w:val="20"/>
          <w:color w:val="auto"/>
        </w:rPr>
      </w:pPr>
    </w:p>
    <w:p>
      <w:pPr>
        <w:spacing w:after="0"/>
        <w:rPr>
          <w:sz w:val="20"/>
          <w:szCs w:val="20"/>
          <w:color w:val="auto"/>
        </w:rPr>
      </w:pPr>
      <w:r>
        <w:rPr>
          <w:rFonts w:ascii="Arial" w:cs="Arial" w:eastAsia="Arial" w:hAnsi="Arial"/>
          <w:sz w:val="14"/>
          <w:szCs w:val="14"/>
          <w:color w:val="auto"/>
        </w:rPr>
        <w:t>CHAR1\1346423v</w:t>
      </w:r>
      <w:r>
        <w:rPr>
          <w:rFonts w:ascii="Arial" w:cs="Arial" w:eastAsia="Arial" w:hAnsi="Arial"/>
          <w:sz w:val="14"/>
          <w:szCs w:val="14"/>
          <w:color w:val="FF0000"/>
          <w:strike w:val="1"/>
        </w:rPr>
        <w:t>1</w:t>
      </w:r>
      <w:r>
        <w:rPr>
          <w:rFonts w:ascii="Arial" w:cs="Arial" w:eastAsia="Arial" w:hAnsi="Arial"/>
          <w:sz w:val="14"/>
          <w:szCs w:val="14"/>
          <w:u w:val="single" w:color="auto"/>
          <w:color w:val="0000FF"/>
        </w:rPr>
        <w:t>12</w:t>
      </w:r>
    </w:p>
    <w:p>
      <w:pPr>
        <w:sectPr>
          <w:pgSz w:w="11900" w:h="16838" w:orient="portrait"/>
          <w:cols w:equalWidth="0" w:num="1">
            <w:col w:w="11420"/>
          </w:cols>
          <w:pgMar w:left="240" w:top="582" w:right="239" w:bottom="1440" w:gutter="0" w:footer="0" w:header="0"/>
        </w:sectPr>
      </w:pPr>
    </w:p>
    <w:bookmarkStart w:id="243" w:name="page244"/>
    <w:bookmarkEnd w:id="243"/>
    <w:p>
      <w:pPr>
        <w:ind w:left="660"/>
        <w:spacing w:after="0" w:line="318" w:lineRule="auto"/>
        <w:rPr>
          <w:sz w:val="20"/>
          <w:szCs w:val="20"/>
          <w:color w:val="auto"/>
        </w:rPr>
      </w:pPr>
      <w:r>
        <w:rPr>
          <w:rFonts w:ascii="Arial" w:cs="Arial" w:eastAsia="Arial" w:hAnsi="Arial"/>
          <w:sz w:val="18"/>
          <w:szCs w:val="18"/>
          <w:color w:val="auto"/>
        </w:rPr>
        <w:t xml:space="preserve">as the case may be. If Bank of America resigns as L/C Issuer, it shall retain all the rights, powers, privileges and duties of an L/C Issuer hereunder with respect to all Letters of Credit issued by it outstanding as of the effective date of its resignation as L/C Issuer and all L/C Obligations with respect thereto (including the right to require the Lenders to make Base Rate Loans or fund risk participations in L/C Unreimbursed Amounts pursuant to </w:t>
      </w:r>
      <w:r>
        <w:rPr>
          <w:rFonts w:ascii="Arial" w:cs="Arial" w:eastAsia="Arial" w:hAnsi="Arial"/>
          <w:sz w:val="18"/>
          <w:szCs w:val="18"/>
          <w:u w:val="single" w:color="auto"/>
          <w:color w:val="auto"/>
        </w:rPr>
        <w:t>Section 2.03(c)</w:t>
      </w:r>
      <w:r>
        <w:rPr>
          <w:rFonts w:ascii="Arial" w:cs="Arial" w:eastAsia="Arial" w:hAnsi="Arial"/>
          <w:sz w:val="18"/>
          <w:szCs w:val="18"/>
          <w:color w:val="auto"/>
        </w:rPr>
        <w:t xml:space="preserve">). If Bank of America resigns as Swingline Lender, it shall retain all the rights of the Swingline Lender provided for hereunder with respect to Swingline Loans made by it and outstanding as of the effective date of such resignation, including the right to require the Lenders to make Base Rate Loans or fund risk participations in outstanding Swingline Loans pursuant to </w:t>
      </w:r>
      <w:r>
        <w:rPr>
          <w:rFonts w:ascii="Arial" w:cs="Arial" w:eastAsia="Arial" w:hAnsi="Arial"/>
          <w:sz w:val="18"/>
          <w:szCs w:val="18"/>
          <w:u w:val="single" w:color="auto"/>
          <w:color w:val="auto"/>
        </w:rPr>
        <w:t>Section 2.04(c)</w:t>
      </w:r>
      <w:r>
        <w:rPr>
          <w:rFonts w:ascii="Arial" w:cs="Arial" w:eastAsia="Arial" w:hAnsi="Arial"/>
          <w:sz w:val="18"/>
          <w:szCs w:val="18"/>
          <w:color w:val="auto"/>
        </w:rPr>
        <w:t>. Upon the appointment of a successor L/C Issuer and/or Swingline Lender, (a) such successor shall succeed to and become vested with all of the rights, powers, privileges and duties of the retiring L/C Issuer or Swingline Lender, as the case may be, and (b) any successor L/C Issuer shall issue letters of credit in substitution for the Letters of Credit, if any, outstanding at the time of such succession or make other arrangements satisfactory to Bank of America to effectively assume the obligations of Bank of America with respect to such Letters of Credit.</w:t>
      </w:r>
    </w:p>
    <w:p>
      <w:pPr>
        <w:spacing w:after="0" w:line="170" w:lineRule="exact"/>
        <w:rPr>
          <w:sz w:val="20"/>
          <w:szCs w:val="20"/>
          <w:color w:val="auto"/>
        </w:rPr>
      </w:pPr>
    </w:p>
    <w:p>
      <w:pPr>
        <w:ind w:right="60" w:firstLine="648"/>
        <w:spacing w:after="0" w:line="317" w:lineRule="auto"/>
        <w:rPr>
          <w:sz w:val="20"/>
          <w:szCs w:val="20"/>
          <w:color w:val="auto"/>
        </w:rPr>
      </w:pPr>
      <w:r>
        <w:rPr>
          <w:rFonts w:ascii="Arial" w:cs="Arial" w:eastAsia="Arial" w:hAnsi="Arial"/>
          <w:sz w:val="18"/>
          <w:szCs w:val="18"/>
          <w:color w:val="auto"/>
        </w:rPr>
        <w:t xml:space="preserve">11.07 </w:t>
      </w:r>
      <w:r>
        <w:rPr>
          <w:rFonts w:ascii="Arial" w:cs="Arial" w:eastAsia="Arial" w:hAnsi="Arial"/>
          <w:sz w:val="18"/>
          <w:szCs w:val="18"/>
          <w:u w:val="single" w:color="auto"/>
          <w:color w:val="auto"/>
        </w:rPr>
        <w:t>Treatment of Certain Information; Confidentiality</w:t>
      </w:r>
      <w:r>
        <w:rPr>
          <w:rFonts w:ascii="Arial" w:cs="Arial" w:eastAsia="Arial" w:hAnsi="Arial"/>
          <w:sz w:val="18"/>
          <w:szCs w:val="18"/>
          <w:color w:val="auto"/>
        </w:rPr>
        <w:t xml:space="preserve">. Each of the Administrative Agent, the Lenders and the L/C Issuers agrees to maintain the confidentiality of the Information (as defined below), except that Information may be disclosed (a) to its Affiliates and to its and its Affiliates’ respective partners, directors, officers, employees, agents, trustees, advisors and representatives (it being understood that the Persons to whom such disclosure is made will be informed of the confidential nature of such Information and instructed to keep such Information confidential), (b) to the extent requested by any regulatory authority purporting to have jurisdiction over it (including any self-regulatory authority, such as the National Association of Insurance Commissioners), (c) to the extent required by applicable laws or regulations or by any subpoena or similar legal process, (d) to any other party hereto, (e) in connection with the exercise of any remedies hereunder or under any other Credit Document or any action or proceeding relating to this Credit Agreement or any other Credit Document or the enforcement of rights hereunder or thereunder, (f) subject to an agreement containing provisions substantially the same as those of this Section, to (i) any assignee or pledgee under </w:t>
      </w:r>
      <w:r>
        <w:rPr>
          <w:rFonts w:ascii="Arial" w:cs="Arial" w:eastAsia="Arial" w:hAnsi="Arial"/>
          <w:sz w:val="18"/>
          <w:szCs w:val="18"/>
          <w:u w:val="single" w:color="auto"/>
          <w:color w:val="auto"/>
        </w:rPr>
        <w:t>Section 11.06(f)</w:t>
      </w:r>
      <w:r>
        <w:rPr>
          <w:rFonts w:ascii="Arial" w:cs="Arial" w:eastAsia="Arial" w:hAnsi="Arial"/>
          <w:sz w:val="18"/>
          <w:szCs w:val="18"/>
          <w:color w:val="auto"/>
        </w:rPr>
        <w:t xml:space="preserve"> of or Participant in, or any prospective assignee or pledgee under </w:t>
      </w:r>
      <w:r>
        <w:rPr>
          <w:rFonts w:ascii="Arial" w:cs="Arial" w:eastAsia="Arial" w:hAnsi="Arial"/>
          <w:sz w:val="18"/>
          <w:szCs w:val="18"/>
          <w:u w:val="single" w:color="auto"/>
          <w:color w:val="auto"/>
        </w:rPr>
        <w:t>Section 11.06(f)</w:t>
      </w:r>
      <w:r>
        <w:rPr>
          <w:rFonts w:ascii="Arial" w:cs="Arial" w:eastAsia="Arial" w:hAnsi="Arial"/>
          <w:sz w:val="18"/>
          <w:szCs w:val="18"/>
          <w:color w:val="auto"/>
        </w:rPr>
        <w:t xml:space="preserve"> of or Participant in, any of its rights or obligations under this Credit Agreement or any Eligible Assignee invited to become a Lender pursuant to </w:t>
      </w:r>
      <w:r>
        <w:rPr>
          <w:rFonts w:ascii="Arial" w:cs="Arial" w:eastAsia="Arial" w:hAnsi="Arial"/>
          <w:sz w:val="18"/>
          <w:szCs w:val="18"/>
          <w:u w:val="single" w:color="auto"/>
          <w:color w:val="auto"/>
        </w:rPr>
        <w:t>Section 2.01(d)</w:t>
      </w:r>
      <w:r>
        <w:rPr>
          <w:rFonts w:ascii="Arial" w:cs="Arial" w:eastAsia="Arial" w:hAnsi="Arial"/>
          <w:sz w:val="18"/>
          <w:szCs w:val="18"/>
          <w:color w:val="auto"/>
        </w:rPr>
        <w:t>, or (ii) any actual or prospective counterparty (or its advisors) to any swap or derivative transaction relating to any Borrower and its obligations, (g) with the consent of the applicable Borrower or (h) to the extent such Information (x) becomes publicly available other than as a result of a breach of this Section or (y) becomes available to the Administrative Agent, any Lender, any L/C Issuer or any of their respective Affiliates on a nonconfidential basis from a source other than the Borrowers.</w:t>
      </w:r>
    </w:p>
    <w:p>
      <w:pPr>
        <w:spacing w:after="0" w:line="153" w:lineRule="exact"/>
        <w:rPr>
          <w:sz w:val="20"/>
          <w:szCs w:val="20"/>
          <w:color w:val="auto"/>
        </w:rPr>
      </w:pPr>
    </w:p>
    <w:p>
      <w:pPr>
        <w:ind w:right="100" w:firstLine="648"/>
        <w:spacing w:after="0" w:line="278" w:lineRule="auto"/>
        <w:rPr>
          <w:sz w:val="20"/>
          <w:szCs w:val="20"/>
          <w:color w:val="auto"/>
        </w:rPr>
      </w:pPr>
      <w:r>
        <w:rPr>
          <w:rFonts w:ascii="Arial" w:cs="Arial" w:eastAsia="Arial" w:hAnsi="Arial"/>
          <w:sz w:val="18"/>
          <w:szCs w:val="18"/>
          <w:color w:val="auto"/>
        </w:rPr>
        <w:t>For purposes of this Section, “</w:t>
      </w:r>
      <w:r>
        <w:rPr>
          <w:rFonts w:ascii="Arial" w:cs="Arial" w:eastAsia="Arial" w:hAnsi="Arial"/>
          <w:sz w:val="18"/>
          <w:szCs w:val="18"/>
          <w:u w:val="single" w:color="auto"/>
          <w:color w:val="auto"/>
        </w:rPr>
        <w:t>Information</w:t>
      </w:r>
      <w:r>
        <w:rPr>
          <w:rFonts w:ascii="Arial" w:cs="Arial" w:eastAsia="Arial" w:hAnsi="Arial"/>
          <w:sz w:val="18"/>
          <w:szCs w:val="18"/>
          <w:color w:val="auto"/>
        </w:rPr>
        <w:t xml:space="preserve">” means all information received from EWI or any Subsidiary relating to EWI or any Subsidiary or any of their respective businesses, other than any such information that is available to the Administrative Agent, any Lender or any L/C Issuer on a nonconfidential basis prior to disclosure by EWI or any Subsidiary,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in the case of information received from EWI or any Subsidiary after the date hereof, such information is clearly identified at the time of delivery as confidential. Any Person required to maintain the confidentiality of Information as provided in this Section shall be considered to have complied with its obligation to do so if</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192</w:t>
      </w:r>
    </w:p>
    <w:p>
      <w:pPr>
        <w:spacing w:after="0" w:line="10" w:lineRule="exact"/>
        <w:rPr>
          <w:sz w:val="20"/>
          <w:szCs w:val="20"/>
          <w:color w:val="auto"/>
        </w:rPr>
      </w:pPr>
    </w:p>
    <w:p>
      <w:pPr>
        <w:spacing w:after="0"/>
        <w:rPr>
          <w:sz w:val="20"/>
          <w:szCs w:val="20"/>
          <w:color w:val="auto"/>
        </w:rPr>
      </w:pPr>
      <w:r>
        <w:rPr>
          <w:rFonts w:ascii="Arial" w:cs="Arial" w:eastAsia="Arial" w:hAnsi="Arial"/>
          <w:sz w:val="14"/>
          <w:szCs w:val="14"/>
          <w:color w:val="auto"/>
        </w:rPr>
        <w:t>CHAR1\1346423v</w:t>
      </w:r>
      <w:r>
        <w:rPr>
          <w:rFonts w:ascii="Arial" w:cs="Arial" w:eastAsia="Arial" w:hAnsi="Arial"/>
          <w:sz w:val="14"/>
          <w:szCs w:val="14"/>
          <w:color w:val="FF0000"/>
          <w:strike w:val="1"/>
        </w:rPr>
        <w:t>1</w:t>
      </w:r>
      <w:r>
        <w:rPr>
          <w:rFonts w:ascii="Arial" w:cs="Arial" w:eastAsia="Arial" w:hAnsi="Arial"/>
          <w:sz w:val="14"/>
          <w:szCs w:val="14"/>
          <w:u w:val="single" w:color="auto"/>
          <w:color w:val="0000FF"/>
        </w:rPr>
        <w:t>12</w:t>
      </w:r>
    </w:p>
    <w:p>
      <w:pPr>
        <w:sectPr>
          <w:pgSz w:w="11900" w:h="16838" w:orient="portrait"/>
          <w:cols w:equalWidth="0" w:num="1">
            <w:col w:w="11420"/>
          </w:cols>
          <w:pgMar w:left="240" w:top="609" w:right="239" w:bottom="1440" w:gutter="0" w:footer="0" w:header="0"/>
        </w:sectPr>
      </w:pPr>
    </w:p>
    <w:bookmarkStart w:id="244" w:name="page245"/>
    <w:bookmarkEnd w:id="244"/>
    <w:p>
      <w:pPr>
        <w:ind w:right="200"/>
        <w:spacing w:after="0" w:line="260" w:lineRule="auto"/>
        <w:rPr>
          <w:sz w:val="20"/>
          <w:szCs w:val="20"/>
          <w:color w:val="auto"/>
        </w:rPr>
      </w:pPr>
      <w:r>
        <w:rPr>
          <w:rFonts w:ascii="Arial" w:cs="Arial" w:eastAsia="Arial" w:hAnsi="Arial"/>
          <w:sz w:val="20"/>
          <w:szCs w:val="20"/>
          <w:color w:val="auto"/>
        </w:rPr>
        <w:t>such Person has exercised the same degree of care to maintain the confidentiality of such Information as such Person would accord to its own confidential information.</w:t>
      </w:r>
    </w:p>
    <w:p>
      <w:pPr>
        <w:spacing w:after="0" w:line="177" w:lineRule="exact"/>
        <w:rPr>
          <w:sz w:val="20"/>
          <w:szCs w:val="20"/>
          <w:color w:val="auto"/>
        </w:rPr>
      </w:pPr>
    </w:p>
    <w:p>
      <w:pPr>
        <w:ind w:left="660"/>
        <w:spacing w:after="0"/>
        <w:rPr>
          <w:sz w:val="20"/>
          <w:szCs w:val="20"/>
          <w:color w:val="auto"/>
        </w:rPr>
      </w:pPr>
      <w:r>
        <w:rPr>
          <w:rFonts w:ascii="Arial" w:cs="Arial" w:eastAsia="Arial" w:hAnsi="Arial"/>
          <w:sz w:val="19"/>
          <w:szCs w:val="19"/>
          <w:color w:val="auto"/>
        </w:rPr>
        <w:t>Each of the Administrative Agent, the Lenders and the L/C Issuers acknowledges that (a) the Information may include material</w:t>
      </w:r>
    </w:p>
    <w:p>
      <w:pPr>
        <w:spacing w:after="0" w:line="27" w:lineRule="exact"/>
        <w:rPr>
          <w:sz w:val="20"/>
          <w:szCs w:val="20"/>
          <w:color w:val="auto"/>
        </w:rPr>
      </w:pPr>
    </w:p>
    <w:p>
      <w:pPr>
        <w:spacing w:after="0" w:line="207" w:lineRule="exact"/>
        <w:rPr>
          <w:sz w:val="20"/>
          <w:szCs w:val="20"/>
          <w:color w:val="auto"/>
        </w:rPr>
      </w:pPr>
      <w:r>
        <w:rPr>
          <w:rFonts w:ascii="Arial" w:cs="Arial" w:eastAsia="Arial" w:hAnsi="Arial"/>
          <w:sz w:val="18"/>
          <w:szCs w:val="18"/>
          <w:color w:val="auto"/>
        </w:rPr>
        <w:t>non</w:t>
      </w:r>
      <w:r>
        <w:rPr>
          <w:rFonts w:ascii="MS PGothic" w:cs="MS PGothic" w:eastAsia="MS PGothic" w:hAnsi="MS PGothic"/>
          <w:sz w:val="18"/>
          <w:szCs w:val="18"/>
          <w:color w:val="auto"/>
        </w:rPr>
        <w:t>‑</w:t>
      </w:r>
      <w:r>
        <w:rPr>
          <w:rFonts w:ascii="Arial" w:cs="Arial" w:eastAsia="Arial" w:hAnsi="Arial"/>
          <w:sz w:val="18"/>
          <w:szCs w:val="18"/>
          <w:color w:val="auto"/>
        </w:rPr>
        <w:t>public information concerning EWI or any of its Subsidiaries, as the case may be, (b) it has developed compliance procedures regarding</w:t>
      </w:r>
    </w:p>
    <w:p>
      <w:pPr>
        <w:spacing w:after="0" w:line="23" w:lineRule="exact"/>
        <w:rPr>
          <w:sz w:val="20"/>
          <w:szCs w:val="20"/>
          <w:color w:val="auto"/>
        </w:rPr>
      </w:pPr>
    </w:p>
    <w:p>
      <w:pPr>
        <w:spacing w:after="0" w:line="219" w:lineRule="exact"/>
        <w:rPr>
          <w:sz w:val="20"/>
          <w:szCs w:val="20"/>
          <w:color w:val="auto"/>
        </w:rPr>
      </w:pPr>
      <w:r>
        <w:rPr>
          <w:rFonts w:ascii="Arial" w:cs="Arial" w:eastAsia="Arial" w:hAnsi="Arial"/>
          <w:sz w:val="19"/>
          <w:szCs w:val="19"/>
          <w:color w:val="auto"/>
        </w:rPr>
        <w:t>the use of material non</w:t>
      </w:r>
      <w:r>
        <w:rPr>
          <w:rFonts w:ascii="MS PGothic" w:cs="MS PGothic" w:eastAsia="MS PGothic" w:hAnsi="MS PGothic"/>
          <w:sz w:val="19"/>
          <w:szCs w:val="19"/>
          <w:color w:val="auto"/>
        </w:rPr>
        <w:t>‑</w:t>
      </w:r>
      <w:r>
        <w:rPr>
          <w:rFonts w:ascii="Arial" w:cs="Arial" w:eastAsia="Arial" w:hAnsi="Arial"/>
          <w:sz w:val="19"/>
          <w:szCs w:val="19"/>
          <w:color w:val="auto"/>
        </w:rPr>
        <w:t>public information and (c) it will handle such material non</w:t>
      </w:r>
      <w:r>
        <w:rPr>
          <w:rFonts w:ascii="MS PGothic" w:cs="MS PGothic" w:eastAsia="MS PGothic" w:hAnsi="MS PGothic"/>
          <w:sz w:val="19"/>
          <w:szCs w:val="19"/>
          <w:color w:val="auto"/>
        </w:rPr>
        <w:t>‑</w:t>
      </w:r>
      <w:r>
        <w:rPr>
          <w:rFonts w:ascii="Arial" w:cs="Arial" w:eastAsia="Arial" w:hAnsi="Arial"/>
          <w:sz w:val="19"/>
          <w:szCs w:val="19"/>
          <w:color w:val="auto"/>
        </w:rPr>
        <w:t>public information in accordance with applicable Law,</w:t>
      </w:r>
    </w:p>
    <w:p>
      <w:pPr>
        <w:spacing w:after="0" w:line="11" w:lineRule="exact"/>
        <w:rPr>
          <w:sz w:val="20"/>
          <w:szCs w:val="20"/>
          <w:color w:val="auto"/>
        </w:rPr>
      </w:pPr>
    </w:p>
    <w:p>
      <w:pPr>
        <w:spacing w:after="0"/>
        <w:rPr>
          <w:sz w:val="20"/>
          <w:szCs w:val="20"/>
          <w:color w:val="auto"/>
        </w:rPr>
      </w:pPr>
      <w:r>
        <w:rPr>
          <w:rFonts w:ascii="Arial" w:cs="Arial" w:eastAsia="Arial" w:hAnsi="Arial"/>
          <w:sz w:val="20"/>
          <w:szCs w:val="20"/>
          <w:color w:val="auto"/>
        </w:rPr>
        <w:t>including federal and state securities Laws.</w:t>
      </w:r>
    </w:p>
    <w:p>
      <w:pPr>
        <w:spacing w:after="0" w:line="227" w:lineRule="exact"/>
        <w:rPr>
          <w:sz w:val="20"/>
          <w:szCs w:val="20"/>
          <w:color w:val="auto"/>
        </w:rPr>
      </w:pPr>
    </w:p>
    <w:p>
      <w:pPr>
        <w:ind w:right="20" w:firstLine="648"/>
        <w:spacing w:after="0" w:line="317" w:lineRule="auto"/>
        <w:rPr>
          <w:sz w:val="20"/>
          <w:szCs w:val="20"/>
          <w:color w:val="auto"/>
        </w:rPr>
      </w:pPr>
      <w:r>
        <w:rPr>
          <w:rFonts w:ascii="Arial" w:cs="Arial" w:eastAsia="Arial" w:hAnsi="Arial"/>
          <w:sz w:val="18"/>
          <w:szCs w:val="18"/>
          <w:color w:val="auto"/>
        </w:rPr>
        <w:t xml:space="preserve">11.08 </w:t>
      </w:r>
      <w:r>
        <w:rPr>
          <w:rFonts w:ascii="Arial" w:cs="Arial" w:eastAsia="Arial" w:hAnsi="Arial"/>
          <w:sz w:val="18"/>
          <w:szCs w:val="18"/>
          <w:u w:val="single" w:color="auto"/>
          <w:color w:val="auto"/>
        </w:rPr>
        <w:t>Right of Setoff</w:t>
      </w:r>
      <w:r>
        <w:rPr>
          <w:rFonts w:ascii="Arial" w:cs="Arial" w:eastAsia="Arial" w:hAnsi="Arial"/>
          <w:sz w:val="18"/>
          <w:szCs w:val="18"/>
          <w:color w:val="auto"/>
        </w:rPr>
        <w:t xml:space="preserve">. If an Event of Default shall have occurred and be continuing, each Lender, each L/C Issuer and each of their respective Affiliates is hereby authorized at any time and from time to time, to the fullest extent permitted by applicable law, to set off and apply any and all deposits (general or special, time or demand, provisional or final, in whatever currency) at any time held and other obligations (in whatever currency) at any time owing by such Lender, such L/C Issuer or any such Affiliate to or for the credit or the account of any Borrower or any other Credit Party against any and all of the obligations of such Borrower or such Credit Party now or hereafter existing under this Credit Agreement or any other Credit Document to such Lender or such L/C Issuer, irrespective of whether or not such Lender or such L/C Issuer </w:t>
      </w:r>
      <w:r>
        <w:rPr>
          <w:rFonts w:ascii="Arial" w:cs="Arial" w:eastAsia="Arial" w:hAnsi="Arial"/>
          <w:sz w:val="18"/>
          <w:szCs w:val="18"/>
          <w:u w:val="single" w:color="auto"/>
          <w:color w:val="0000FF"/>
        </w:rPr>
        <w:t>or Affiliate</w:t>
      </w:r>
      <w:r>
        <w:rPr>
          <w:rFonts w:ascii="Arial" w:cs="Arial" w:eastAsia="Arial" w:hAnsi="Arial"/>
          <w:sz w:val="18"/>
          <w:szCs w:val="18"/>
          <w:color w:val="auto"/>
        </w:rPr>
        <w:t xml:space="preserve"> shall have made any demand under this Credit Agreement or any other Credit Document and although such obligations of such Borrower or such Credit Party may be contingent or unmatured</w:t>
      </w:r>
      <w:r>
        <w:rPr>
          <w:rFonts w:ascii="Arial" w:cs="Arial" w:eastAsia="Arial" w:hAnsi="Arial"/>
          <w:sz w:val="18"/>
          <w:szCs w:val="18"/>
          <w:u w:val="single" w:color="auto"/>
          <w:color w:val="0000FF"/>
        </w:rPr>
        <w:t>, secured or unsecured,</w:t>
      </w:r>
      <w:r>
        <w:rPr>
          <w:rFonts w:ascii="Arial" w:cs="Arial" w:eastAsia="Arial" w:hAnsi="Arial"/>
          <w:sz w:val="18"/>
          <w:szCs w:val="18"/>
          <w:color w:val="auto"/>
        </w:rPr>
        <w:t xml:space="preserve"> or are owed to a branch </w:t>
      </w:r>
      <w:r>
        <w:rPr>
          <w:rFonts w:ascii="Arial" w:cs="Arial" w:eastAsia="Arial" w:hAnsi="Arial"/>
          <w:sz w:val="18"/>
          <w:szCs w:val="18"/>
          <w:color w:val="FF0000"/>
          <w:strike w:val="1"/>
        </w:rPr>
        <w:t>or</w:t>
      </w:r>
      <w:r>
        <w:rPr>
          <w:rFonts w:ascii="Arial" w:cs="Arial" w:eastAsia="Arial" w:hAnsi="Arial"/>
          <w:sz w:val="18"/>
          <w:szCs w:val="18"/>
          <w:u w:val="single" w:color="auto"/>
          <w:color w:val="0000FF"/>
        </w:rPr>
        <w:t>,</w:t>
      </w:r>
      <w:r>
        <w:rPr>
          <w:rFonts w:ascii="Arial" w:cs="Arial" w:eastAsia="Arial" w:hAnsi="Arial"/>
          <w:sz w:val="18"/>
          <w:szCs w:val="18"/>
          <w:color w:val="auto"/>
        </w:rPr>
        <w:t xml:space="preserve"> office </w:t>
      </w:r>
      <w:r>
        <w:rPr>
          <w:rFonts w:ascii="Arial" w:cs="Arial" w:eastAsia="Arial" w:hAnsi="Arial"/>
          <w:sz w:val="18"/>
          <w:szCs w:val="18"/>
          <w:u w:val="single" w:color="auto"/>
          <w:color w:val="0000FF"/>
        </w:rPr>
        <w:t>or Affiliate</w:t>
      </w:r>
      <w:r>
        <w:rPr>
          <w:rFonts w:ascii="Arial" w:cs="Arial" w:eastAsia="Arial" w:hAnsi="Arial"/>
          <w:sz w:val="18"/>
          <w:szCs w:val="18"/>
          <w:color w:val="auto"/>
        </w:rPr>
        <w:t xml:space="preserve"> of such Lender or such L/C Issuer different from the branch </w:t>
      </w:r>
      <w:r>
        <w:rPr>
          <w:rFonts w:ascii="Arial" w:cs="Arial" w:eastAsia="Arial" w:hAnsi="Arial"/>
          <w:sz w:val="18"/>
          <w:szCs w:val="18"/>
          <w:color w:val="FF0000"/>
          <w:strike w:val="1"/>
        </w:rPr>
        <w:t>or</w:t>
      </w:r>
      <w:r>
        <w:rPr>
          <w:rFonts w:ascii="Arial" w:cs="Arial" w:eastAsia="Arial" w:hAnsi="Arial"/>
          <w:sz w:val="18"/>
          <w:szCs w:val="18"/>
          <w:u w:val="single" w:color="auto"/>
          <w:color w:val="0000FF"/>
        </w:rPr>
        <w:t>,</w:t>
      </w:r>
      <w:r>
        <w:rPr>
          <w:rFonts w:ascii="Arial" w:cs="Arial" w:eastAsia="Arial" w:hAnsi="Arial"/>
          <w:sz w:val="18"/>
          <w:szCs w:val="18"/>
          <w:color w:val="auto"/>
        </w:rPr>
        <w:t xml:space="preserve"> office </w:t>
      </w:r>
      <w:r>
        <w:rPr>
          <w:rFonts w:ascii="Arial" w:cs="Arial" w:eastAsia="Arial" w:hAnsi="Arial"/>
          <w:sz w:val="18"/>
          <w:szCs w:val="18"/>
          <w:u w:val="single" w:color="auto"/>
          <w:color w:val="0000FF"/>
        </w:rPr>
        <w:t>or Affiliate</w:t>
      </w:r>
      <w:r>
        <w:rPr>
          <w:rFonts w:ascii="Arial" w:cs="Arial" w:eastAsia="Arial" w:hAnsi="Arial"/>
          <w:sz w:val="18"/>
          <w:szCs w:val="18"/>
          <w:color w:val="auto"/>
        </w:rPr>
        <w:t xml:space="preserve"> holding such deposit or obligated on such indebtedness;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in the event that any Defaulting Lender shall exercise any such right of setoff, (x) all amounts so set off shall be paid over immediately to the Administrative Agent for further application in accordance with the provisions of </w:t>
      </w:r>
      <w:r>
        <w:rPr>
          <w:rFonts w:ascii="Arial" w:cs="Arial" w:eastAsia="Arial" w:hAnsi="Arial"/>
          <w:sz w:val="18"/>
          <w:szCs w:val="18"/>
          <w:u w:val="single" w:color="auto"/>
          <w:color w:val="auto"/>
        </w:rPr>
        <w:t>Section 2.17</w:t>
      </w:r>
      <w:r>
        <w:rPr>
          <w:rFonts w:ascii="Arial" w:cs="Arial" w:eastAsia="Arial" w:hAnsi="Arial"/>
          <w:sz w:val="18"/>
          <w:szCs w:val="18"/>
          <w:color w:val="auto"/>
        </w:rPr>
        <w:t xml:space="preserve"> and, pending such payment, shall be segregated by such Defaulting Lender from its other funds and deemed held in trust for the benefit of the Administrative Agent</w:t>
      </w:r>
      <w:r>
        <w:rPr>
          <w:rFonts w:ascii="Arial" w:cs="Arial" w:eastAsia="Arial" w:hAnsi="Arial"/>
          <w:sz w:val="18"/>
          <w:szCs w:val="18"/>
          <w:u w:val="single" w:color="auto"/>
          <w:color w:val="0000FF"/>
        </w:rPr>
        <w:t>, L/C</w:t>
      </w:r>
      <w:r>
        <w:rPr>
          <w:rFonts w:ascii="Arial" w:cs="Arial" w:eastAsia="Arial" w:hAnsi="Arial"/>
          <w:sz w:val="18"/>
          <w:szCs w:val="18"/>
          <w:color w:val="auto"/>
        </w:rPr>
        <w:t xml:space="preserve"> </w:t>
      </w:r>
      <w:r>
        <w:rPr>
          <w:rFonts w:ascii="Arial" w:cs="Arial" w:eastAsia="Arial" w:hAnsi="Arial"/>
          <w:sz w:val="18"/>
          <w:szCs w:val="18"/>
          <w:u w:val="single" w:color="auto"/>
          <w:color w:val="0000FF"/>
        </w:rPr>
        <w:t>Issuers</w:t>
      </w:r>
      <w:r>
        <w:rPr>
          <w:rFonts w:ascii="Arial" w:cs="Arial" w:eastAsia="Arial" w:hAnsi="Arial"/>
          <w:sz w:val="18"/>
          <w:szCs w:val="18"/>
          <w:color w:val="0000FF"/>
        </w:rPr>
        <w:t xml:space="preserve"> </w:t>
      </w:r>
      <w:r>
        <w:rPr>
          <w:rFonts w:ascii="Arial" w:cs="Arial" w:eastAsia="Arial" w:hAnsi="Arial"/>
          <w:sz w:val="18"/>
          <w:szCs w:val="18"/>
          <w:color w:val="000000"/>
        </w:rPr>
        <w:t>and the Lenders, and (y) the Defaulting Lender shall provide promptly to the Administrative Agent a statement describing in reasonable</w:t>
      </w:r>
      <w:r>
        <w:rPr>
          <w:rFonts w:ascii="Arial" w:cs="Arial" w:eastAsia="Arial" w:hAnsi="Arial"/>
          <w:sz w:val="18"/>
          <w:szCs w:val="18"/>
          <w:color w:val="0000FF"/>
        </w:rPr>
        <w:t xml:space="preserve"> </w:t>
      </w:r>
      <w:r>
        <w:rPr>
          <w:rFonts w:ascii="Arial" w:cs="Arial" w:eastAsia="Arial" w:hAnsi="Arial"/>
          <w:sz w:val="18"/>
          <w:szCs w:val="18"/>
          <w:color w:val="000000"/>
        </w:rPr>
        <w:t xml:space="preserve">detail the Obligations owing to such Defaulting Lender as to which it exercised such right of setoff. The rights of each Lender, </w:t>
      </w:r>
      <w:r>
        <w:rPr>
          <w:rFonts w:ascii="Arial" w:cs="Arial" w:eastAsia="Arial" w:hAnsi="Arial"/>
          <w:sz w:val="18"/>
          <w:szCs w:val="18"/>
          <w:color w:val="FF0000"/>
          <w:strike w:val="1"/>
        </w:rPr>
        <w:t>each</w:t>
      </w:r>
      <w:r>
        <w:rPr>
          <w:rFonts w:ascii="Arial" w:cs="Arial" w:eastAsia="Arial" w:hAnsi="Arial"/>
          <w:sz w:val="18"/>
          <w:szCs w:val="18"/>
          <w:color w:val="000000"/>
        </w:rPr>
        <w:t xml:space="preserve"> L/C Issuer and their respective Affiliates under this Section are in addition to other rights and remedies (including other rights of setoff) that such Lender, such L/C Issuer or their respective Affiliates may have. Each Lender and each L/C Issuer agrees to notify each applicable Borrower and the Administrative Agent promptly after any such setoff and application, </w:t>
      </w:r>
      <w:r>
        <w:rPr>
          <w:rFonts w:ascii="Arial" w:cs="Arial" w:eastAsia="Arial" w:hAnsi="Arial"/>
          <w:sz w:val="18"/>
          <w:szCs w:val="18"/>
          <w:u w:val="single" w:color="auto"/>
          <w:color w:val="000000"/>
        </w:rPr>
        <w:t>provided</w:t>
      </w:r>
      <w:r>
        <w:rPr>
          <w:rFonts w:ascii="Arial" w:cs="Arial" w:eastAsia="Arial" w:hAnsi="Arial"/>
          <w:sz w:val="18"/>
          <w:szCs w:val="18"/>
          <w:color w:val="000000"/>
        </w:rPr>
        <w:t xml:space="preserve"> that the failure to give such notice shall not affect the validity of such setoff and application.</w:t>
      </w:r>
    </w:p>
    <w:p>
      <w:pPr>
        <w:spacing w:after="0" w:line="170" w:lineRule="exact"/>
        <w:rPr>
          <w:sz w:val="20"/>
          <w:szCs w:val="20"/>
          <w:color w:val="auto"/>
        </w:rPr>
      </w:pPr>
    </w:p>
    <w:p>
      <w:pPr>
        <w:ind w:firstLine="648"/>
        <w:spacing w:after="0" w:line="305" w:lineRule="auto"/>
        <w:rPr>
          <w:sz w:val="20"/>
          <w:szCs w:val="20"/>
          <w:color w:val="auto"/>
        </w:rPr>
      </w:pPr>
      <w:r>
        <w:rPr>
          <w:rFonts w:ascii="Arial" w:cs="Arial" w:eastAsia="Arial" w:hAnsi="Arial"/>
          <w:sz w:val="19"/>
          <w:szCs w:val="19"/>
          <w:color w:val="auto"/>
        </w:rPr>
        <w:t xml:space="preserve">11.09 </w:t>
      </w:r>
      <w:r>
        <w:rPr>
          <w:rFonts w:ascii="Arial" w:cs="Arial" w:eastAsia="Arial" w:hAnsi="Arial"/>
          <w:sz w:val="19"/>
          <w:szCs w:val="19"/>
          <w:u w:val="single" w:color="auto"/>
          <w:color w:val="auto"/>
        </w:rPr>
        <w:t>Interest Rate Limitation</w:t>
      </w:r>
      <w:r>
        <w:rPr>
          <w:rFonts w:ascii="Arial" w:cs="Arial" w:eastAsia="Arial" w:hAnsi="Arial"/>
          <w:sz w:val="19"/>
          <w:szCs w:val="19"/>
          <w:color w:val="auto"/>
        </w:rPr>
        <w:t>. Notwithstanding anything to the contrary contained in any Credit Document, the interest paid or agreed to be paid under the Credit Documents shall not exceed the maximum rate of non-usurious interest permitted by applicable Law (the “</w:t>
      </w:r>
      <w:r>
        <w:rPr>
          <w:rFonts w:ascii="Arial" w:cs="Arial" w:eastAsia="Arial" w:hAnsi="Arial"/>
          <w:sz w:val="19"/>
          <w:szCs w:val="19"/>
          <w:u w:val="single" w:color="auto"/>
          <w:color w:val="auto"/>
        </w:rPr>
        <w:t>Maximum Rate</w:t>
      </w:r>
      <w:r>
        <w:rPr>
          <w:rFonts w:ascii="Arial" w:cs="Arial" w:eastAsia="Arial" w:hAnsi="Arial"/>
          <w:sz w:val="19"/>
          <w:szCs w:val="19"/>
          <w:color w:val="auto"/>
        </w:rPr>
        <w:t>”). If the Administrative Agent or any Lender shall receive interest in an amount that exceeds the Maximum Rate, the excess interest shall be applied to the principal of the Loans or, if it exceeds such unpaid principal, refunded to the applicable Borrower. In determining whether the interest contracted for, charged, or received by the Administrative Agent or a Lender exceeds the Maximum Rate, such Person may, to the extent permitted by applicable Law, (a) characterize any payment that is not principal as an expense, fee, or premium rather than interest, (b) exclude voluntary prepayments and the effects thereof, and (c)</w:t>
      </w:r>
    </w:p>
    <w:p>
      <w:pPr>
        <w:spacing w:after="0" w:line="393"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193</w:t>
      </w:r>
    </w:p>
    <w:p>
      <w:pPr>
        <w:spacing w:after="0" w:line="10" w:lineRule="exact"/>
        <w:rPr>
          <w:sz w:val="20"/>
          <w:szCs w:val="20"/>
          <w:color w:val="auto"/>
        </w:rPr>
      </w:pPr>
    </w:p>
    <w:p>
      <w:pPr>
        <w:spacing w:after="0"/>
        <w:rPr>
          <w:sz w:val="20"/>
          <w:szCs w:val="20"/>
          <w:color w:val="auto"/>
        </w:rPr>
      </w:pPr>
      <w:r>
        <w:rPr>
          <w:rFonts w:ascii="Arial" w:cs="Arial" w:eastAsia="Arial" w:hAnsi="Arial"/>
          <w:sz w:val="14"/>
          <w:szCs w:val="14"/>
          <w:color w:val="auto"/>
        </w:rPr>
        <w:t>CHAR1\1346423v</w:t>
      </w:r>
      <w:r>
        <w:rPr>
          <w:rFonts w:ascii="Arial" w:cs="Arial" w:eastAsia="Arial" w:hAnsi="Arial"/>
          <w:sz w:val="14"/>
          <w:szCs w:val="14"/>
          <w:color w:val="FF0000"/>
          <w:strike w:val="1"/>
        </w:rPr>
        <w:t>1</w:t>
      </w:r>
      <w:r>
        <w:rPr>
          <w:rFonts w:ascii="Arial" w:cs="Arial" w:eastAsia="Arial" w:hAnsi="Arial"/>
          <w:sz w:val="14"/>
          <w:szCs w:val="14"/>
          <w:u w:val="single" w:color="auto"/>
          <w:color w:val="0000FF"/>
        </w:rPr>
        <w:t>12</w:t>
      </w:r>
    </w:p>
    <w:p>
      <w:pPr>
        <w:sectPr>
          <w:pgSz w:w="11900" w:h="16838" w:orient="portrait"/>
          <w:cols w:equalWidth="0" w:num="1">
            <w:col w:w="11420"/>
          </w:cols>
          <w:pgMar w:left="240" w:top="582" w:right="239" w:bottom="1440" w:gutter="0" w:footer="0" w:header="0"/>
        </w:sectPr>
      </w:pPr>
    </w:p>
    <w:bookmarkStart w:id="245" w:name="page246"/>
    <w:bookmarkEnd w:id="245"/>
    <w:p>
      <w:pPr>
        <w:ind w:right="960"/>
        <w:spacing w:after="0" w:line="303" w:lineRule="auto"/>
        <w:rPr>
          <w:sz w:val="20"/>
          <w:szCs w:val="20"/>
          <w:color w:val="auto"/>
        </w:rPr>
      </w:pPr>
      <w:r>
        <w:rPr>
          <w:rFonts w:ascii="Arial" w:cs="Arial" w:eastAsia="Arial" w:hAnsi="Arial"/>
          <w:sz w:val="20"/>
          <w:szCs w:val="20"/>
          <w:color w:val="auto"/>
        </w:rPr>
        <w:t>amortize, prorate, allocate, and spread in equal or unequal parts the total amount of interest throughout the contemplated term of the Obligations hereunder.</w:t>
      </w:r>
    </w:p>
    <w:p>
      <w:pPr>
        <w:spacing w:after="0" w:line="176" w:lineRule="exact"/>
        <w:rPr>
          <w:sz w:val="20"/>
          <w:szCs w:val="20"/>
          <w:color w:val="auto"/>
        </w:rPr>
      </w:pPr>
    </w:p>
    <w:p>
      <w:pPr>
        <w:ind w:right="140" w:firstLine="648"/>
        <w:spacing w:after="0" w:line="303" w:lineRule="auto"/>
        <w:rPr>
          <w:sz w:val="20"/>
          <w:szCs w:val="20"/>
          <w:color w:val="auto"/>
        </w:rPr>
      </w:pPr>
      <w:r>
        <w:rPr>
          <w:rFonts w:ascii="Arial" w:cs="Arial" w:eastAsia="Arial" w:hAnsi="Arial"/>
          <w:sz w:val="19"/>
          <w:szCs w:val="19"/>
          <w:color w:val="auto"/>
        </w:rPr>
        <w:t xml:space="preserve">11.10 </w:t>
      </w:r>
      <w:r>
        <w:rPr>
          <w:rFonts w:ascii="Arial" w:cs="Arial" w:eastAsia="Arial" w:hAnsi="Arial"/>
          <w:sz w:val="19"/>
          <w:szCs w:val="19"/>
          <w:u w:val="single" w:color="auto"/>
          <w:color w:val="auto"/>
        </w:rPr>
        <w:t>Counterparts; Integration; Effectiveness</w:t>
      </w:r>
      <w:r>
        <w:rPr>
          <w:rFonts w:ascii="Arial" w:cs="Arial" w:eastAsia="Arial" w:hAnsi="Arial"/>
          <w:sz w:val="19"/>
          <w:szCs w:val="19"/>
          <w:color w:val="auto"/>
        </w:rPr>
        <w:t xml:space="preserve">. This Credit Agreement may be executed in counterparts (and by different parties hereto in different counterparts), each of which shall constitute an original, but all of which when taken together shall constitute a single contract. This Credit Agreement and the other Credit Documents constitute the entire contract among the parties relating to the subject matter hereof and supersede any and all previous agreements and understandings, oral or written, relating to the subject matter hereof. Except as provided in </w:t>
      </w:r>
      <w:r>
        <w:rPr>
          <w:rFonts w:ascii="Arial" w:cs="Arial" w:eastAsia="Arial" w:hAnsi="Arial"/>
          <w:sz w:val="19"/>
          <w:szCs w:val="19"/>
          <w:u w:val="single" w:color="auto"/>
          <w:color w:val="auto"/>
        </w:rPr>
        <w:t>Section 5.01</w:t>
      </w:r>
      <w:r>
        <w:rPr>
          <w:rFonts w:ascii="Arial" w:cs="Arial" w:eastAsia="Arial" w:hAnsi="Arial"/>
          <w:sz w:val="19"/>
          <w:szCs w:val="19"/>
          <w:color w:val="auto"/>
        </w:rPr>
        <w:t>, this Credit Agreement shall become effective when it shall have been executed by the Administrative Agent and when the Administrative Agent shall have received counterparts hereof that, when taken together, bear the signatures of each of the other parties hereto. Delivery of an executed counterpart of a signature page of this Credit Agreement by telecopy or electronic imaging means shall be effective as delivery of a manually executed counterpart of this Credit Agreement.</w:t>
      </w:r>
    </w:p>
    <w:p>
      <w:pPr>
        <w:spacing w:after="0" w:line="184" w:lineRule="exact"/>
        <w:rPr>
          <w:sz w:val="20"/>
          <w:szCs w:val="20"/>
          <w:color w:val="auto"/>
        </w:rPr>
      </w:pPr>
    </w:p>
    <w:p>
      <w:pPr>
        <w:ind w:firstLine="648"/>
        <w:spacing w:after="0" w:line="287" w:lineRule="auto"/>
        <w:rPr>
          <w:sz w:val="20"/>
          <w:szCs w:val="20"/>
          <w:color w:val="auto"/>
        </w:rPr>
      </w:pPr>
      <w:r>
        <w:rPr>
          <w:rFonts w:ascii="Arial" w:cs="Arial" w:eastAsia="Arial" w:hAnsi="Arial"/>
          <w:sz w:val="20"/>
          <w:szCs w:val="20"/>
          <w:color w:val="auto"/>
        </w:rPr>
        <w:t xml:space="preserve">11.11 </w:t>
      </w:r>
      <w:r>
        <w:rPr>
          <w:rFonts w:ascii="Arial" w:cs="Arial" w:eastAsia="Arial" w:hAnsi="Arial"/>
          <w:sz w:val="20"/>
          <w:szCs w:val="20"/>
          <w:u w:val="single" w:color="auto"/>
          <w:color w:val="auto"/>
        </w:rPr>
        <w:t>Survival of Representations and Warranties</w:t>
      </w:r>
      <w:r>
        <w:rPr>
          <w:rFonts w:ascii="Arial" w:cs="Arial" w:eastAsia="Arial" w:hAnsi="Arial"/>
          <w:sz w:val="20"/>
          <w:szCs w:val="20"/>
          <w:color w:val="auto"/>
        </w:rPr>
        <w:t>. All representations and warranties made hereunder and in any other Credit Document or other document delivered pursuant hereto or thereto or in connection herewith or therewith shall survive the execution and delivery hereof and thereof. Such representations and warranties have been or will be relied upon by the Administrative Agent and each Lender, regardless of any investigation made by the Administrative Agent or any Lender or on their behalf and notwithstanding that the Administrative Agent or any Lender may have had notice or knowledge of any Default at the time of any Credit Extension, and shall continue in full force and effect as long as any Loan or any other Obligation hereunder shall remain unpaid or unsatisfied or any Letter of Credit shall remain outstanding.</w:t>
      </w:r>
    </w:p>
    <w:p>
      <w:pPr>
        <w:spacing w:after="0" w:line="195" w:lineRule="exact"/>
        <w:rPr>
          <w:sz w:val="20"/>
          <w:szCs w:val="20"/>
          <w:color w:val="auto"/>
        </w:rPr>
      </w:pPr>
    </w:p>
    <w:p>
      <w:pPr>
        <w:ind w:right="40" w:firstLine="648"/>
        <w:spacing w:after="0" w:line="286" w:lineRule="auto"/>
        <w:rPr>
          <w:sz w:val="20"/>
          <w:szCs w:val="20"/>
          <w:color w:val="auto"/>
        </w:rPr>
      </w:pPr>
      <w:r>
        <w:rPr>
          <w:rFonts w:ascii="Arial" w:cs="Arial" w:eastAsia="Arial" w:hAnsi="Arial"/>
          <w:sz w:val="20"/>
          <w:szCs w:val="20"/>
          <w:color w:val="auto"/>
        </w:rPr>
        <w:t xml:space="preserve">11.12 </w:t>
      </w:r>
      <w:r>
        <w:rPr>
          <w:rFonts w:ascii="Arial" w:cs="Arial" w:eastAsia="Arial" w:hAnsi="Arial"/>
          <w:sz w:val="20"/>
          <w:szCs w:val="20"/>
          <w:u w:val="single" w:color="auto"/>
          <w:color w:val="auto"/>
        </w:rPr>
        <w:t>Severability</w:t>
      </w:r>
      <w:r>
        <w:rPr>
          <w:rFonts w:ascii="Arial" w:cs="Arial" w:eastAsia="Arial" w:hAnsi="Arial"/>
          <w:sz w:val="20"/>
          <w:szCs w:val="20"/>
          <w:color w:val="auto"/>
        </w:rPr>
        <w:t xml:space="preserve">. If any provision of this Credit Agreement or the other Credit Documents is held to be illegal, invalid or unenforceable, (a) the legality, validity and enforceability of the remaining provisions of this Credit Agreement and the other Credit Documents shall not be affected or impaired thereby and (b) the parties shall endeavor in good faith negotiations to replace the illegal, invalid or unenforceable provisions with valid provisions the economic effect of which comes as close as possible to that of the illegal, invalid or unenforceable provisions. The invalidity of a provision in a particular jurisdiction shall not invalidate or render unenforceable such provision in any other jurisdiction. Without limiting the foregoing provisions of this </w:t>
      </w:r>
      <w:r>
        <w:rPr>
          <w:rFonts w:ascii="Arial" w:cs="Arial" w:eastAsia="Arial" w:hAnsi="Arial"/>
          <w:sz w:val="20"/>
          <w:szCs w:val="20"/>
          <w:u w:val="single" w:color="auto"/>
          <w:color w:val="auto"/>
        </w:rPr>
        <w:t>Section 11.12</w:t>
      </w:r>
      <w:r>
        <w:rPr>
          <w:rFonts w:ascii="Arial" w:cs="Arial" w:eastAsia="Arial" w:hAnsi="Arial"/>
          <w:sz w:val="20"/>
          <w:szCs w:val="20"/>
          <w:color w:val="auto"/>
        </w:rPr>
        <w:t>, if and to the extent that the enforceability of any provisions in this Credit Agreement relating to Defaulting Lenders shall be limited by Debtor Relief Laws, as determined in good faith by the Administrative Agent, an L/C Issuer or a Swingline Lender, as applicable, then such provisions shall be deemed to be in effect only to the extent not so limited.</w:t>
      </w:r>
    </w:p>
    <w:p>
      <w:pPr>
        <w:spacing w:after="0" w:line="194" w:lineRule="exact"/>
        <w:rPr>
          <w:sz w:val="20"/>
          <w:szCs w:val="20"/>
          <w:color w:val="auto"/>
        </w:rPr>
      </w:pPr>
    </w:p>
    <w:p>
      <w:pPr>
        <w:ind w:right="100" w:firstLine="648"/>
        <w:spacing w:after="0" w:line="290" w:lineRule="auto"/>
        <w:rPr>
          <w:sz w:val="20"/>
          <w:szCs w:val="20"/>
          <w:color w:val="auto"/>
        </w:rPr>
      </w:pPr>
      <w:r>
        <w:rPr>
          <w:rFonts w:ascii="Arial" w:cs="Arial" w:eastAsia="Arial" w:hAnsi="Arial"/>
          <w:sz w:val="20"/>
          <w:szCs w:val="20"/>
          <w:color w:val="auto"/>
        </w:rPr>
        <w:t xml:space="preserve">11.13 </w:t>
      </w:r>
      <w:r>
        <w:rPr>
          <w:rFonts w:ascii="Arial" w:cs="Arial" w:eastAsia="Arial" w:hAnsi="Arial"/>
          <w:sz w:val="20"/>
          <w:szCs w:val="20"/>
          <w:u w:val="single" w:color="auto"/>
          <w:color w:val="auto"/>
        </w:rPr>
        <w:t>Replacement of Lenders</w:t>
      </w:r>
      <w:r>
        <w:rPr>
          <w:rFonts w:ascii="Arial" w:cs="Arial" w:eastAsia="Arial" w:hAnsi="Arial"/>
          <w:sz w:val="20"/>
          <w:szCs w:val="20"/>
          <w:color w:val="auto"/>
        </w:rPr>
        <w:t xml:space="preserve">. If </w:t>
      </w:r>
      <w:r>
        <w:rPr>
          <w:rFonts w:ascii="Arial" w:cs="Arial" w:eastAsia="Arial" w:hAnsi="Arial"/>
          <w:sz w:val="20"/>
          <w:szCs w:val="20"/>
          <w:color w:val="FF0000"/>
          <w:strike w:val="1"/>
        </w:rPr>
        <w:t>(a) any Lender requests compensation under</w:t>
      </w:r>
      <w:r>
        <w:rPr>
          <w:rFonts w:ascii="Arial" w:cs="Arial" w:eastAsia="Arial" w:hAnsi="Arial"/>
          <w:sz w:val="20"/>
          <w:szCs w:val="20"/>
          <w:color w:val="auto"/>
        </w:rPr>
        <w:t xml:space="preserve"> </w:t>
      </w:r>
      <w:r>
        <w:rPr>
          <w:rFonts w:ascii="Arial" w:cs="Arial" w:eastAsia="Arial" w:hAnsi="Arial"/>
          <w:sz w:val="20"/>
          <w:szCs w:val="20"/>
          <w:u w:val="single" w:color="auto"/>
          <w:color w:val="FF0000"/>
          <w:strike w:val="1"/>
        </w:rPr>
        <w:t>Section 3.04</w:t>
      </w:r>
      <w:r>
        <w:rPr>
          <w:rFonts w:ascii="Arial" w:cs="Arial" w:eastAsia="Arial" w:hAnsi="Arial"/>
          <w:sz w:val="20"/>
          <w:szCs w:val="20"/>
          <w:color w:val="FF0000"/>
          <w:strike w:val="1"/>
        </w:rPr>
        <w:t>, (b) any Borrower is required to pay any</w:t>
      </w:r>
      <w:r>
        <w:rPr>
          <w:rFonts w:ascii="Arial" w:cs="Arial" w:eastAsia="Arial" w:hAnsi="Arial"/>
          <w:sz w:val="20"/>
          <w:szCs w:val="20"/>
          <w:color w:val="auto"/>
        </w:rPr>
        <w:t xml:space="preserve"> </w:t>
      </w:r>
      <w:r>
        <w:rPr>
          <w:rFonts w:ascii="Arial" w:cs="Arial" w:eastAsia="Arial" w:hAnsi="Arial"/>
          <w:sz w:val="20"/>
          <w:szCs w:val="20"/>
          <w:color w:val="FF0000"/>
          <w:strike w:val="1"/>
        </w:rPr>
        <w:t xml:space="preserve">additional amount to any Lender or any Governmental Authority for the account of any Lender pursuant to </w:t>
      </w:r>
      <w:r>
        <w:rPr>
          <w:rFonts w:ascii="Arial" w:cs="Arial" w:eastAsia="Arial" w:hAnsi="Arial"/>
          <w:sz w:val="20"/>
          <w:szCs w:val="20"/>
          <w:u w:val="single" w:color="auto"/>
          <w:color w:val="FF0000"/>
          <w:strike w:val="1"/>
        </w:rPr>
        <w:t>Section 3.01</w:t>
      </w:r>
      <w:r>
        <w:rPr>
          <w:rFonts w:ascii="Arial" w:cs="Arial" w:eastAsia="Arial" w:hAnsi="Arial"/>
          <w:sz w:val="20"/>
          <w:szCs w:val="20"/>
          <w:color w:val="FF0000"/>
          <w:strike w:val="1"/>
        </w:rPr>
        <w:t>, (c) a Lender (a “</w:t>
      </w:r>
      <w:r>
        <w:rPr>
          <w:rFonts w:ascii="Arial" w:cs="Arial" w:eastAsia="Arial" w:hAnsi="Arial"/>
          <w:sz w:val="20"/>
          <w:szCs w:val="20"/>
          <w:u w:val="single" w:color="auto"/>
          <w:color w:val="FF0000"/>
          <w:strike w:val="1"/>
        </w:rPr>
        <w:t>Non-Consenting Lender</w:t>
      </w:r>
      <w:r>
        <w:rPr>
          <w:rFonts w:ascii="Arial" w:cs="Arial" w:eastAsia="Arial" w:hAnsi="Arial"/>
          <w:sz w:val="20"/>
          <w:szCs w:val="20"/>
          <w:color w:val="FF0000"/>
          <w:strike w:val="1"/>
        </w:rPr>
        <w:t>”) does not consent to a proposed amendment, consent, change, waiver, discharge or termination with respect to any Credit Document that has been approved by the Required Lenders (including, without limitation, by a failure to respond in writing to a proposed amendment by the date and time specified by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-441960</wp:posOffset>
            </wp:positionV>
            <wp:extent cx="7137400" cy="88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37400" cy="8890"/>
                    </a:xfrm>
                    <a:prstGeom prst="rect">
                      <a:avLst/>
                    </a:prstGeom>
                    <a:noFill/>
                  </pic:spPr>
                </pic:pic>
              </a:graphicData>
            </a:graphic>
          </wp:anchor>
        </w:drawing>
      </w: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194</w:t>
      </w:r>
    </w:p>
    <w:p>
      <w:pPr>
        <w:spacing w:after="0" w:line="10" w:lineRule="exact"/>
        <w:rPr>
          <w:sz w:val="20"/>
          <w:szCs w:val="20"/>
          <w:color w:val="auto"/>
        </w:rPr>
      </w:pPr>
    </w:p>
    <w:p>
      <w:pPr>
        <w:spacing w:after="0"/>
        <w:rPr>
          <w:sz w:val="20"/>
          <w:szCs w:val="20"/>
          <w:color w:val="auto"/>
        </w:rPr>
      </w:pPr>
      <w:r>
        <w:rPr>
          <w:rFonts w:ascii="Arial" w:cs="Arial" w:eastAsia="Arial" w:hAnsi="Arial"/>
          <w:sz w:val="14"/>
          <w:szCs w:val="14"/>
          <w:color w:val="auto"/>
        </w:rPr>
        <w:t>CHAR1\1346423v</w:t>
      </w:r>
      <w:r>
        <w:rPr>
          <w:rFonts w:ascii="Arial" w:cs="Arial" w:eastAsia="Arial" w:hAnsi="Arial"/>
          <w:sz w:val="14"/>
          <w:szCs w:val="14"/>
          <w:color w:val="FF0000"/>
          <w:strike w:val="1"/>
        </w:rPr>
        <w:t>1</w:t>
      </w:r>
      <w:r>
        <w:rPr>
          <w:rFonts w:ascii="Arial" w:cs="Arial" w:eastAsia="Arial" w:hAnsi="Arial"/>
          <w:sz w:val="14"/>
          <w:szCs w:val="14"/>
          <w:u w:val="single" w:color="auto"/>
          <w:color w:val="0000FF"/>
        </w:rPr>
        <w:t>12</w:t>
      </w:r>
    </w:p>
    <w:p>
      <w:pPr>
        <w:sectPr>
          <w:pgSz w:w="11900" w:h="16838" w:orient="portrait"/>
          <w:cols w:equalWidth="0" w:num="1">
            <w:col w:w="11420"/>
          </w:cols>
          <w:pgMar w:left="240" w:top="609" w:right="239" w:bottom="1440" w:gutter="0" w:footer="0" w:header="0"/>
        </w:sectPr>
      </w:pPr>
    </w:p>
    <w:bookmarkStart w:id="246" w:name="page247"/>
    <w:bookmarkEnd w:id="246"/>
    <w:p>
      <w:pPr>
        <w:spacing w:after="0"/>
        <w:rPr>
          <w:sz w:val="20"/>
          <w:szCs w:val="20"/>
          <w:color w:val="auto"/>
        </w:rPr>
      </w:pPr>
      <w:r>
        <w:rPr>
          <w:rFonts w:ascii="Arial" w:cs="Arial" w:eastAsia="Arial" w:hAnsi="Arial"/>
          <w:sz w:val="18"/>
          <w:szCs w:val="18"/>
          <w:color w:val="FF0000"/>
          <w:strike w:val="1"/>
        </w:rPr>
        <w:t xml:space="preserve">Administrative Agent) as provided in </w:t>
      </w:r>
      <w:r>
        <w:rPr>
          <w:rFonts w:ascii="Arial" w:cs="Arial" w:eastAsia="Arial" w:hAnsi="Arial"/>
          <w:sz w:val="18"/>
          <w:szCs w:val="18"/>
          <w:u w:val="single" w:color="auto"/>
          <w:color w:val="FF0000"/>
          <w:strike w:val="1"/>
        </w:rPr>
        <w:t>Section 11.01</w:t>
      </w:r>
      <w:r>
        <w:rPr>
          <w:rFonts w:ascii="Arial" w:cs="Arial" w:eastAsia="Arial" w:hAnsi="Arial"/>
          <w:sz w:val="18"/>
          <w:szCs w:val="18"/>
          <w:color w:val="FF0000"/>
          <w:strike w:val="1"/>
        </w:rPr>
        <w:t xml:space="preserve"> but requires unanimous consent of all Lenders or all Lenders of a particular class of loans,</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FF0000"/>
          <w:strike w:val="1"/>
        </w:rPr>
        <w:t>or (d)</w:t>
      </w:r>
      <w:r>
        <w:rPr>
          <w:rFonts w:ascii="Arial" w:cs="Arial" w:eastAsia="Arial" w:hAnsi="Arial"/>
          <w:sz w:val="18"/>
          <w:szCs w:val="18"/>
          <w:u w:val="single" w:color="auto"/>
          <w:color w:val="0000FF"/>
        </w:rPr>
        <w:t>the Borrowers are entitled to replace a Lender pursuant to the provisions of Section 3.06 or if</w:t>
      </w:r>
      <w:r>
        <w:rPr>
          <w:rFonts w:ascii="Arial" w:cs="Arial" w:eastAsia="Arial" w:hAnsi="Arial"/>
          <w:sz w:val="18"/>
          <w:szCs w:val="18"/>
          <w:color w:val="FF0000"/>
        </w:rPr>
        <w:t xml:space="preserve"> </w:t>
      </w:r>
      <w:r>
        <w:rPr>
          <w:rFonts w:ascii="Arial" w:cs="Arial" w:eastAsia="Arial" w:hAnsi="Arial"/>
          <w:sz w:val="18"/>
          <w:szCs w:val="18"/>
          <w:color w:val="000000"/>
        </w:rPr>
        <w:t>any Lender is a Defaulting Lender</w:t>
      </w:r>
      <w:r>
        <w:rPr>
          <w:rFonts w:ascii="Arial" w:cs="Arial" w:eastAsia="Arial" w:hAnsi="Arial"/>
          <w:sz w:val="18"/>
          <w:szCs w:val="18"/>
          <w:color w:val="FF0000"/>
        </w:rPr>
        <w:t xml:space="preserve"> </w:t>
      </w:r>
      <w:r>
        <w:rPr>
          <w:rFonts w:ascii="Arial" w:cs="Arial" w:eastAsia="Arial" w:hAnsi="Arial"/>
          <w:sz w:val="18"/>
          <w:szCs w:val="18"/>
          <w:u w:val="single" w:color="auto"/>
          <w:color w:val="0000FF"/>
        </w:rPr>
        <w:t>or a Non-</w:t>
      </w:r>
    </w:p>
    <w:p>
      <w:pPr>
        <w:spacing w:after="0" w:line="63" w:lineRule="exact"/>
        <w:rPr>
          <w:sz w:val="20"/>
          <w:szCs w:val="20"/>
          <w:color w:val="auto"/>
        </w:rPr>
      </w:pPr>
    </w:p>
    <w:p>
      <w:pPr>
        <w:ind w:right="300"/>
        <w:spacing w:after="0" w:line="352" w:lineRule="auto"/>
        <w:rPr>
          <w:sz w:val="20"/>
          <w:szCs w:val="20"/>
          <w:color w:val="auto"/>
        </w:rPr>
      </w:pPr>
      <w:r>
        <w:rPr>
          <w:rFonts w:ascii="Arial" w:cs="Arial" w:eastAsia="Arial" w:hAnsi="Arial"/>
          <w:sz w:val="16"/>
          <w:szCs w:val="16"/>
          <w:u w:val="single" w:color="auto"/>
          <w:color w:val="0000FF"/>
        </w:rPr>
        <w:t>Consenting Lender</w:t>
      </w:r>
      <w:r>
        <w:rPr>
          <w:rFonts w:ascii="Arial" w:cs="Arial" w:eastAsia="Arial" w:hAnsi="Arial"/>
          <w:sz w:val="16"/>
          <w:szCs w:val="16"/>
          <w:color w:val="000000"/>
        </w:rPr>
        <w:t>, then</w:t>
      </w:r>
      <w:r>
        <w:rPr>
          <w:rFonts w:ascii="Arial" w:cs="Arial" w:eastAsia="Arial" w:hAnsi="Arial"/>
          <w:sz w:val="16"/>
          <w:szCs w:val="16"/>
          <w:color w:val="0000FF"/>
        </w:rPr>
        <w:t xml:space="preserve"> </w:t>
      </w:r>
      <w:r>
        <w:rPr>
          <w:rFonts w:ascii="Arial" w:cs="Arial" w:eastAsia="Arial" w:hAnsi="Arial"/>
          <w:sz w:val="16"/>
          <w:szCs w:val="16"/>
          <w:color w:val="FF0000"/>
          <w:strike w:val="1"/>
        </w:rPr>
        <w:t>such Borrower</w:t>
      </w:r>
      <w:r>
        <w:rPr>
          <w:rFonts w:ascii="Arial" w:cs="Arial" w:eastAsia="Arial" w:hAnsi="Arial"/>
          <w:sz w:val="16"/>
          <w:szCs w:val="16"/>
          <w:u w:val="single" w:color="auto"/>
          <w:color w:val="0000FF"/>
        </w:rPr>
        <w:t>the Borrowers</w:t>
      </w:r>
      <w:r>
        <w:rPr>
          <w:rFonts w:ascii="Arial" w:cs="Arial" w:eastAsia="Arial" w:hAnsi="Arial"/>
          <w:sz w:val="16"/>
          <w:szCs w:val="16"/>
          <w:color w:val="0000FF"/>
        </w:rPr>
        <w:t xml:space="preserve"> </w:t>
      </w:r>
      <w:r>
        <w:rPr>
          <w:rFonts w:ascii="Arial" w:cs="Arial" w:eastAsia="Arial" w:hAnsi="Arial"/>
          <w:sz w:val="16"/>
          <w:szCs w:val="16"/>
          <w:color w:val="000000"/>
        </w:rPr>
        <w:t>may, at</w:t>
      </w:r>
      <w:r>
        <w:rPr>
          <w:rFonts w:ascii="Arial" w:cs="Arial" w:eastAsia="Arial" w:hAnsi="Arial"/>
          <w:sz w:val="16"/>
          <w:szCs w:val="16"/>
          <w:color w:val="0000FF"/>
        </w:rPr>
        <w:t xml:space="preserve"> </w:t>
      </w:r>
      <w:r>
        <w:rPr>
          <w:rFonts w:ascii="Arial" w:cs="Arial" w:eastAsia="Arial" w:hAnsi="Arial"/>
          <w:sz w:val="16"/>
          <w:szCs w:val="16"/>
          <w:color w:val="FF0000"/>
          <w:strike w:val="1"/>
        </w:rPr>
        <w:t>its</w:t>
      </w:r>
      <w:r>
        <w:rPr>
          <w:rFonts w:ascii="Arial" w:cs="Arial" w:eastAsia="Arial" w:hAnsi="Arial"/>
          <w:sz w:val="16"/>
          <w:szCs w:val="16"/>
          <w:u w:val="single" w:color="auto"/>
          <w:color w:val="0000FF"/>
        </w:rPr>
        <w:t>their</w:t>
      </w:r>
      <w:r>
        <w:rPr>
          <w:rFonts w:ascii="Arial" w:cs="Arial" w:eastAsia="Arial" w:hAnsi="Arial"/>
          <w:sz w:val="16"/>
          <w:szCs w:val="16"/>
          <w:color w:val="0000FF"/>
        </w:rPr>
        <w:t xml:space="preserve"> </w:t>
      </w:r>
      <w:r>
        <w:rPr>
          <w:rFonts w:ascii="Arial" w:cs="Arial" w:eastAsia="Arial" w:hAnsi="Arial"/>
          <w:sz w:val="16"/>
          <w:szCs w:val="16"/>
          <w:color w:val="000000"/>
        </w:rPr>
        <w:t>sole expense and effort, upon notice to such Lender and the</w:t>
      </w:r>
      <w:r>
        <w:rPr>
          <w:rFonts w:ascii="Arial" w:cs="Arial" w:eastAsia="Arial" w:hAnsi="Arial"/>
          <w:sz w:val="16"/>
          <w:szCs w:val="16"/>
          <w:color w:val="0000FF"/>
        </w:rPr>
        <w:t xml:space="preserve"> </w:t>
      </w:r>
      <w:r>
        <w:rPr>
          <w:rFonts w:ascii="Arial" w:cs="Arial" w:eastAsia="Arial" w:hAnsi="Arial"/>
          <w:sz w:val="16"/>
          <w:szCs w:val="16"/>
          <w:color w:val="000000"/>
        </w:rPr>
        <w:t xml:space="preserve">Administrative Agent, require such Lender to assign and delegate, </w:t>
      </w:r>
      <w:r>
        <w:rPr>
          <w:rFonts w:ascii="Arial" w:cs="Arial" w:eastAsia="Arial" w:hAnsi="Arial"/>
          <w:sz w:val="16"/>
          <w:szCs w:val="16"/>
          <w:u w:val="single" w:color="auto"/>
          <w:color w:val="0000FF"/>
        </w:rPr>
        <w:t>at par</w:t>
      </w:r>
      <w:r>
        <w:rPr>
          <w:rFonts w:ascii="Arial" w:cs="Arial" w:eastAsia="Arial" w:hAnsi="Arial"/>
          <w:sz w:val="16"/>
          <w:szCs w:val="16"/>
          <w:color w:val="000000"/>
        </w:rPr>
        <w:t xml:space="preserve"> without recourse (in accordance with and subject to the restrictions</w:t>
      </w:r>
    </w:p>
    <w:p>
      <w:pPr>
        <w:spacing w:after="0" w:line="1" w:lineRule="exact"/>
        <w:rPr>
          <w:sz w:val="20"/>
          <w:szCs w:val="20"/>
          <w:color w:val="auto"/>
        </w:rPr>
      </w:pPr>
    </w:p>
    <w:p>
      <w:pPr>
        <w:jc w:val="both"/>
        <w:spacing w:after="0" w:line="314" w:lineRule="auto"/>
        <w:rPr>
          <w:sz w:val="20"/>
          <w:szCs w:val="20"/>
          <w:color w:val="auto"/>
        </w:rPr>
      </w:pPr>
      <w:r>
        <w:rPr>
          <w:rFonts w:ascii="Arial" w:cs="Arial" w:eastAsia="Arial" w:hAnsi="Arial"/>
          <w:sz w:val="19"/>
          <w:szCs w:val="19"/>
          <w:color w:val="auto"/>
        </w:rPr>
        <w:t xml:space="preserve">contained in, and consents required by, </w:t>
      </w:r>
      <w:r>
        <w:rPr>
          <w:rFonts w:ascii="Arial" w:cs="Arial" w:eastAsia="Arial" w:hAnsi="Arial"/>
          <w:sz w:val="19"/>
          <w:szCs w:val="19"/>
          <w:u w:val="single" w:color="auto"/>
          <w:color w:val="auto"/>
        </w:rPr>
        <w:t>Section 11.06</w:t>
      </w:r>
      <w:r>
        <w:rPr>
          <w:rFonts w:ascii="Arial" w:cs="Arial" w:eastAsia="Arial" w:hAnsi="Arial"/>
          <w:sz w:val="19"/>
          <w:szCs w:val="19"/>
          <w:color w:val="auto"/>
        </w:rPr>
        <w:t xml:space="preserve">), all of its interests, rights </w:t>
      </w:r>
      <w:r>
        <w:rPr>
          <w:rFonts w:ascii="Arial" w:cs="Arial" w:eastAsia="Arial" w:hAnsi="Arial"/>
          <w:sz w:val="19"/>
          <w:szCs w:val="19"/>
          <w:u w:val="single" w:color="auto"/>
          <w:color w:val="0000FF"/>
        </w:rPr>
        <w:t>(other than its existing rights to payments, pursuant to Sections</w:t>
      </w:r>
      <w:r>
        <w:rPr>
          <w:rFonts w:ascii="Arial" w:cs="Arial" w:eastAsia="Arial" w:hAnsi="Arial"/>
          <w:sz w:val="19"/>
          <w:szCs w:val="19"/>
          <w:color w:val="auto"/>
        </w:rPr>
        <w:t xml:space="preserve"> </w:t>
      </w:r>
      <w:r>
        <w:rPr>
          <w:rFonts w:ascii="Arial" w:cs="Arial" w:eastAsia="Arial" w:hAnsi="Arial"/>
          <w:sz w:val="19"/>
          <w:szCs w:val="19"/>
          <w:u w:val="single" w:color="auto"/>
          <w:color w:val="0000FF"/>
        </w:rPr>
        <w:t>3.01 and 3.04)</w:t>
      </w:r>
      <w:r>
        <w:rPr>
          <w:rFonts w:ascii="Arial" w:cs="Arial" w:eastAsia="Arial" w:hAnsi="Arial"/>
          <w:sz w:val="19"/>
          <w:szCs w:val="19"/>
          <w:color w:val="0000FF"/>
        </w:rPr>
        <w:t xml:space="preserve"> </w:t>
      </w:r>
      <w:r>
        <w:rPr>
          <w:rFonts w:ascii="Arial" w:cs="Arial" w:eastAsia="Arial" w:hAnsi="Arial"/>
          <w:sz w:val="19"/>
          <w:szCs w:val="19"/>
          <w:color w:val="000000"/>
        </w:rPr>
        <w:t>and obligations under this Credit Agreement and the related Credit Documents to an</w:t>
      </w:r>
      <w:r>
        <w:rPr>
          <w:rFonts w:ascii="Arial" w:cs="Arial" w:eastAsia="Arial" w:hAnsi="Arial"/>
          <w:sz w:val="19"/>
          <w:szCs w:val="19"/>
          <w:color w:val="0000FF"/>
        </w:rPr>
        <w:t xml:space="preserve"> </w:t>
      </w:r>
      <w:r>
        <w:rPr>
          <w:rFonts w:ascii="Arial" w:cs="Arial" w:eastAsia="Arial" w:hAnsi="Arial"/>
          <w:sz w:val="19"/>
          <w:szCs w:val="19"/>
          <w:color w:val="FF0000"/>
          <w:strike w:val="1"/>
        </w:rPr>
        <w:t>assignee</w:t>
      </w:r>
      <w:r>
        <w:rPr>
          <w:rFonts w:ascii="Arial" w:cs="Arial" w:eastAsia="Arial" w:hAnsi="Arial"/>
          <w:sz w:val="19"/>
          <w:szCs w:val="19"/>
          <w:u w:val="single" w:color="auto"/>
          <w:color w:val="0000FF"/>
        </w:rPr>
        <w:t>Eligible Assignee</w:t>
      </w:r>
      <w:r>
        <w:rPr>
          <w:rFonts w:ascii="Arial" w:cs="Arial" w:eastAsia="Arial" w:hAnsi="Arial"/>
          <w:sz w:val="19"/>
          <w:szCs w:val="19"/>
          <w:color w:val="0000FF"/>
        </w:rPr>
        <w:t xml:space="preserve"> </w:t>
      </w:r>
      <w:r>
        <w:rPr>
          <w:rFonts w:ascii="Arial" w:cs="Arial" w:eastAsia="Arial" w:hAnsi="Arial"/>
          <w:sz w:val="19"/>
          <w:szCs w:val="19"/>
          <w:color w:val="000000"/>
        </w:rPr>
        <w:t>that shall assume</w:t>
      </w:r>
      <w:r>
        <w:rPr>
          <w:rFonts w:ascii="Arial" w:cs="Arial" w:eastAsia="Arial" w:hAnsi="Arial"/>
          <w:sz w:val="19"/>
          <w:szCs w:val="19"/>
          <w:color w:val="0000FF"/>
        </w:rPr>
        <w:t xml:space="preserve"> </w:t>
      </w:r>
      <w:r>
        <w:rPr>
          <w:rFonts w:ascii="Arial" w:cs="Arial" w:eastAsia="Arial" w:hAnsi="Arial"/>
          <w:sz w:val="19"/>
          <w:szCs w:val="19"/>
          <w:color w:val="000000"/>
        </w:rPr>
        <w:t xml:space="preserve">such obligations (which assignee may be another Lender, if a Lender accepts such assignment), </w:t>
      </w:r>
      <w:r>
        <w:rPr>
          <w:rFonts w:ascii="Arial" w:cs="Arial" w:eastAsia="Arial" w:hAnsi="Arial"/>
          <w:sz w:val="19"/>
          <w:szCs w:val="19"/>
          <w:u w:val="single" w:color="auto"/>
          <w:color w:val="000000"/>
        </w:rPr>
        <w:t>provided</w:t>
      </w:r>
      <w:r>
        <w:rPr>
          <w:rFonts w:ascii="Arial" w:cs="Arial" w:eastAsia="Arial" w:hAnsi="Arial"/>
          <w:sz w:val="19"/>
          <w:szCs w:val="19"/>
          <w:color w:val="000000"/>
        </w:rPr>
        <w:t xml:space="preserve"> that:</w:t>
      </w:r>
    </w:p>
    <w:p>
      <w:pPr>
        <w:spacing w:after="0" w:line="142" w:lineRule="exact"/>
        <w:rPr>
          <w:sz w:val="20"/>
          <w:szCs w:val="20"/>
          <w:color w:val="auto"/>
        </w:rPr>
      </w:pPr>
    </w:p>
    <w:p>
      <w:pPr>
        <w:ind w:left="660" w:right="280" w:firstLine="645"/>
        <w:spacing w:after="0" w:line="260" w:lineRule="auto"/>
        <w:tabs>
          <w:tab w:leader="none" w:pos="1544" w:val="left"/>
        </w:tabs>
        <w:numPr>
          <w:ilvl w:val="0"/>
          <w:numId w:val="279"/>
        </w:numPr>
        <w:rPr>
          <w:rFonts w:ascii="Arial" w:cs="Arial" w:eastAsia="Arial" w:hAnsi="Arial"/>
          <w:sz w:val="20"/>
          <w:szCs w:val="20"/>
          <w:color w:val="FF0000"/>
          <w:strike w:val="1"/>
        </w:rPr>
      </w:pPr>
      <w:r>
        <w:rPr>
          <w:rFonts w:ascii="Arial" w:cs="Arial" w:eastAsia="Arial" w:hAnsi="Arial"/>
          <w:sz w:val="20"/>
          <w:szCs w:val="20"/>
          <w:u w:val="single" w:color="auto"/>
          <w:color w:val="0000FF"/>
        </w:rPr>
        <w:t>(a)</w:t>
      </w:r>
      <w:r>
        <w:rPr>
          <w:rFonts w:ascii="Arial" w:cs="Arial" w:eastAsia="Arial" w:hAnsi="Arial"/>
          <w:sz w:val="20"/>
          <w:szCs w:val="20"/>
          <w:color w:val="0000FF"/>
        </w:rPr>
        <w:t xml:space="preserve"> </w:t>
      </w:r>
      <w:r>
        <w:rPr>
          <w:rFonts w:ascii="Arial" w:cs="Arial" w:eastAsia="Arial" w:hAnsi="Arial"/>
          <w:sz w:val="20"/>
          <w:szCs w:val="20"/>
          <w:color w:val="000000"/>
        </w:rPr>
        <w:t>the</w:t>
      </w:r>
      <w:r>
        <w:rPr>
          <w:rFonts w:ascii="Arial" w:cs="Arial" w:eastAsia="Arial" w:hAnsi="Arial"/>
          <w:sz w:val="20"/>
          <w:szCs w:val="20"/>
          <w:color w:val="0000FF"/>
        </w:rPr>
        <w:t xml:space="preserve"> </w:t>
      </w:r>
      <w:r>
        <w:rPr>
          <w:rFonts w:ascii="Arial" w:cs="Arial" w:eastAsia="Arial" w:hAnsi="Arial"/>
          <w:sz w:val="20"/>
          <w:szCs w:val="20"/>
          <w:color w:val="FF0000"/>
          <w:strike w:val="1"/>
        </w:rPr>
        <w:t>respective Borrower</w:t>
      </w:r>
      <w:r>
        <w:rPr>
          <w:rFonts w:ascii="Arial" w:cs="Arial" w:eastAsia="Arial" w:hAnsi="Arial"/>
          <w:sz w:val="20"/>
          <w:szCs w:val="20"/>
          <w:u w:val="single" w:color="auto"/>
          <w:color w:val="0000FF"/>
        </w:rPr>
        <w:t>Borrowers</w:t>
      </w:r>
      <w:r>
        <w:rPr>
          <w:rFonts w:ascii="Arial" w:cs="Arial" w:eastAsia="Arial" w:hAnsi="Arial"/>
          <w:sz w:val="20"/>
          <w:szCs w:val="20"/>
          <w:color w:val="0000FF"/>
        </w:rPr>
        <w:t xml:space="preserve"> </w:t>
      </w:r>
      <w:r>
        <w:rPr>
          <w:rFonts w:ascii="Arial" w:cs="Arial" w:eastAsia="Arial" w:hAnsi="Arial"/>
          <w:sz w:val="20"/>
          <w:szCs w:val="20"/>
          <w:color w:val="000000"/>
        </w:rPr>
        <w:t>shall have paid to the Administrative Agent the assignment fee</w:t>
      </w:r>
      <w:r>
        <w:rPr>
          <w:rFonts w:ascii="Arial" w:cs="Arial" w:eastAsia="Arial" w:hAnsi="Arial"/>
          <w:sz w:val="20"/>
          <w:szCs w:val="20"/>
          <w:u w:val="single" w:color="auto"/>
          <w:color w:val="0000FF"/>
        </w:rPr>
        <w:t>, if any,</w:t>
      </w:r>
      <w:r>
        <w:rPr>
          <w:rFonts w:ascii="Arial" w:cs="Arial" w:eastAsia="Arial" w:hAnsi="Arial"/>
          <w:sz w:val="20"/>
          <w:szCs w:val="20"/>
          <w:color w:val="0000FF"/>
        </w:rPr>
        <w:t xml:space="preserve"> </w:t>
      </w:r>
      <w:r>
        <w:rPr>
          <w:rFonts w:ascii="Arial" w:cs="Arial" w:eastAsia="Arial" w:hAnsi="Arial"/>
          <w:sz w:val="20"/>
          <w:szCs w:val="20"/>
          <w:color w:val="000000"/>
        </w:rPr>
        <w:t>specified in</w:t>
      </w:r>
      <w:r>
        <w:rPr>
          <w:rFonts w:ascii="Arial" w:cs="Arial" w:eastAsia="Arial" w:hAnsi="Arial"/>
          <w:sz w:val="20"/>
          <w:szCs w:val="20"/>
          <w:color w:val="0000FF"/>
        </w:rPr>
        <w:t xml:space="preserve"> </w:t>
      </w:r>
      <w:r>
        <w:rPr>
          <w:rFonts w:ascii="Arial" w:cs="Arial" w:eastAsia="Arial" w:hAnsi="Arial"/>
          <w:sz w:val="20"/>
          <w:szCs w:val="20"/>
          <w:u w:val="single" w:color="auto"/>
          <w:color w:val="000000"/>
        </w:rPr>
        <w:t>Section 11.06(b</w:t>
      </w:r>
      <w:r>
        <w:rPr>
          <w:rFonts w:ascii="Arial" w:cs="Arial" w:eastAsia="Arial" w:hAnsi="Arial"/>
          <w:sz w:val="20"/>
          <w:szCs w:val="20"/>
          <w:color w:val="000000"/>
        </w:rPr>
        <w:t>)</w:t>
      </w:r>
      <w:r>
        <w:rPr>
          <w:rFonts w:ascii="Arial" w:cs="Arial" w:eastAsia="Arial" w:hAnsi="Arial"/>
          <w:sz w:val="20"/>
          <w:szCs w:val="20"/>
          <w:u w:val="single" w:color="auto"/>
          <w:color w:val="FF0000"/>
          <w:strike w:val="1"/>
        </w:rPr>
        <w:t>(iv)</w:t>
      </w:r>
      <w:r>
        <w:rPr>
          <w:rFonts w:ascii="Arial" w:cs="Arial" w:eastAsia="Arial" w:hAnsi="Arial"/>
          <w:sz w:val="20"/>
          <w:szCs w:val="20"/>
          <w:u w:val="single" w:color="auto"/>
          <w:color w:val="0000FF"/>
        </w:rPr>
        <w:t>, unless waived by the Administrative Agent in its discretion</w:t>
      </w:r>
      <w:r>
        <w:rPr>
          <w:rFonts w:ascii="Arial" w:cs="Arial" w:eastAsia="Arial" w:hAnsi="Arial"/>
          <w:sz w:val="20"/>
          <w:szCs w:val="20"/>
          <w:color w:val="000000"/>
        </w:rPr>
        <w:t>;</w:t>
      </w:r>
    </w:p>
    <w:p>
      <w:pPr>
        <w:spacing w:after="0" w:line="190" w:lineRule="exact"/>
        <w:rPr>
          <w:rFonts w:ascii="Arial" w:cs="Arial" w:eastAsia="Arial" w:hAnsi="Arial"/>
          <w:sz w:val="20"/>
          <w:szCs w:val="20"/>
          <w:color w:val="FF0000"/>
          <w:strike w:val="1"/>
        </w:rPr>
      </w:pPr>
    </w:p>
    <w:p>
      <w:pPr>
        <w:ind w:left="660" w:right="80" w:firstLine="645"/>
        <w:spacing w:after="0" w:line="282" w:lineRule="auto"/>
        <w:tabs>
          <w:tab w:leader="none" w:pos="1599" w:val="left"/>
        </w:tabs>
        <w:numPr>
          <w:ilvl w:val="0"/>
          <w:numId w:val="279"/>
        </w:numPr>
        <w:rPr>
          <w:rFonts w:ascii="Arial" w:cs="Arial" w:eastAsia="Arial" w:hAnsi="Arial"/>
          <w:sz w:val="18"/>
          <w:szCs w:val="18"/>
          <w:color w:val="FF0000"/>
          <w:strike w:val="1"/>
        </w:rPr>
      </w:pPr>
      <w:r>
        <w:rPr>
          <w:rFonts w:ascii="Arial" w:cs="Arial" w:eastAsia="Arial" w:hAnsi="Arial"/>
          <w:sz w:val="18"/>
          <w:szCs w:val="18"/>
          <w:u w:val="single" w:color="auto"/>
          <w:color w:val="0000FF"/>
        </w:rPr>
        <w:t>(b)</w:t>
      </w:r>
      <w:r>
        <w:rPr>
          <w:rFonts w:ascii="Arial" w:cs="Arial" w:eastAsia="Arial" w:hAnsi="Arial"/>
          <w:sz w:val="18"/>
          <w:szCs w:val="18"/>
          <w:color w:val="0000FF"/>
        </w:rPr>
        <w:t xml:space="preserve"> </w:t>
      </w:r>
      <w:r>
        <w:rPr>
          <w:rFonts w:ascii="Arial" w:cs="Arial" w:eastAsia="Arial" w:hAnsi="Arial"/>
          <w:sz w:val="18"/>
          <w:szCs w:val="18"/>
          <w:color w:val="000000"/>
        </w:rPr>
        <w:t>such Lender shall have received payment of an amount equal to the outstanding principal of its Loans and</w:t>
      </w:r>
      <w:r>
        <w:rPr>
          <w:rFonts w:ascii="Arial" w:cs="Arial" w:eastAsia="Arial" w:hAnsi="Arial"/>
          <w:sz w:val="18"/>
          <w:szCs w:val="18"/>
          <w:color w:val="FF0000"/>
          <w:strike w:val="1"/>
        </w:rPr>
        <w:t>, with respect</w:t>
      </w:r>
      <w:r>
        <w:rPr>
          <w:rFonts w:ascii="Arial" w:cs="Arial" w:eastAsia="Arial" w:hAnsi="Arial"/>
          <w:sz w:val="18"/>
          <w:szCs w:val="18"/>
          <w:color w:val="0000FF"/>
        </w:rPr>
        <w:t xml:space="preserve"> </w:t>
      </w:r>
      <w:r>
        <w:rPr>
          <w:rFonts w:ascii="Arial" w:cs="Arial" w:eastAsia="Arial" w:hAnsi="Arial"/>
          <w:sz w:val="18"/>
          <w:szCs w:val="18"/>
          <w:color w:val="FF0000"/>
          <w:strike w:val="1"/>
        </w:rPr>
        <w:t>to Revolving Lenders,</w:t>
      </w:r>
      <w:r>
        <w:rPr>
          <w:rFonts w:ascii="Arial" w:cs="Arial" w:eastAsia="Arial" w:hAnsi="Arial"/>
          <w:sz w:val="18"/>
          <w:szCs w:val="18"/>
          <w:color w:val="FF0000"/>
        </w:rPr>
        <w:t xml:space="preserve"> </w:t>
      </w:r>
      <w:r>
        <w:rPr>
          <w:rFonts w:ascii="Arial" w:cs="Arial" w:eastAsia="Arial" w:hAnsi="Arial"/>
          <w:sz w:val="18"/>
          <w:szCs w:val="18"/>
          <w:color w:val="000000"/>
        </w:rPr>
        <w:t>L/C Advances, accrued interest thereon, accrued fees and all other amounts payable to it hereunder and under</w:t>
      </w:r>
      <w:r>
        <w:rPr>
          <w:rFonts w:ascii="Arial" w:cs="Arial" w:eastAsia="Arial" w:hAnsi="Arial"/>
          <w:sz w:val="18"/>
          <w:szCs w:val="18"/>
          <w:color w:val="FF0000"/>
        </w:rPr>
        <w:t xml:space="preserve"> </w:t>
      </w:r>
      <w:r>
        <w:rPr>
          <w:rFonts w:ascii="Arial" w:cs="Arial" w:eastAsia="Arial" w:hAnsi="Arial"/>
          <w:sz w:val="18"/>
          <w:szCs w:val="18"/>
          <w:color w:val="000000"/>
        </w:rPr>
        <w:t xml:space="preserve">the other Credit Documents (including any amounts under </w:t>
      </w:r>
      <w:r>
        <w:rPr>
          <w:rFonts w:ascii="Arial" w:cs="Arial" w:eastAsia="Arial" w:hAnsi="Arial"/>
          <w:sz w:val="18"/>
          <w:szCs w:val="18"/>
          <w:u w:val="single" w:color="auto"/>
          <w:color w:val="000000"/>
        </w:rPr>
        <w:t>Section 3.05</w:t>
      </w:r>
      <w:r>
        <w:rPr>
          <w:rFonts w:ascii="Arial" w:cs="Arial" w:eastAsia="Arial" w:hAnsi="Arial"/>
          <w:sz w:val="18"/>
          <w:szCs w:val="18"/>
          <w:color w:val="000000"/>
        </w:rPr>
        <w:t xml:space="preserve">) from the assignee (to the extent of such outstanding principal and accrued interest and fees) or the </w:t>
      </w:r>
      <w:r>
        <w:rPr>
          <w:rFonts w:ascii="Arial" w:cs="Arial" w:eastAsia="Arial" w:hAnsi="Arial"/>
          <w:sz w:val="18"/>
          <w:szCs w:val="18"/>
          <w:color w:val="FF0000"/>
          <w:strike w:val="1"/>
        </w:rPr>
        <w:t>applicable Borrower</w:t>
      </w:r>
      <w:r>
        <w:rPr>
          <w:rFonts w:ascii="Arial" w:cs="Arial" w:eastAsia="Arial" w:hAnsi="Arial"/>
          <w:sz w:val="18"/>
          <w:szCs w:val="18"/>
          <w:u w:val="single" w:color="auto"/>
          <w:color w:val="0000FF"/>
        </w:rPr>
        <w:t>Borrowers</w:t>
      </w:r>
      <w:r>
        <w:rPr>
          <w:rFonts w:ascii="Arial" w:cs="Arial" w:eastAsia="Arial" w:hAnsi="Arial"/>
          <w:sz w:val="18"/>
          <w:szCs w:val="18"/>
          <w:color w:val="000000"/>
        </w:rPr>
        <w:t xml:space="preserve"> (in the case of all other amounts);</w:t>
      </w:r>
    </w:p>
    <w:p>
      <w:pPr>
        <w:spacing w:after="0" w:line="175" w:lineRule="exact"/>
        <w:rPr>
          <w:rFonts w:ascii="Arial" w:cs="Arial" w:eastAsia="Arial" w:hAnsi="Arial"/>
          <w:sz w:val="18"/>
          <w:szCs w:val="18"/>
          <w:color w:val="FF0000"/>
          <w:strike w:val="1"/>
        </w:rPr>
      </w:pPr>
    </w:p>
    <w:p>
      <w:pPr>
        <w:ind w:left="660" w:right="40" w:firstLine="645"/>
        <w:spacing w:after="0" w:line="316" w:lineRule="auto"/>
        <w:tabs>
          <w:tab w:leader="none" w:pos="1654" w:val="left"/>
        </w:tabs>
        <w:numPr>
          <w:ilvl w:val="0"/>
          <w:numId w:val="279"/>
        </w:numPr>
        <w:rPr>
          <w:rFonts w:ascii="Arial" w:cs="Arial" w:eastAsia="Arial" w:hAnsi="Arial"/>
          <w:sz w:val="18"/>
          <w:szCs w:val="18"/>
          <w:color w:val="FF0000"/>
          <w:strike w:val="1"/>
        </w:rPr>
      </w:pPr>
      <w:r>
        <w:rPr>
          <w:rFonts w:ascii="Arial" w:cs="Arial" w:eastAsia="Arial" w:hAnsi="Arial"/>
          <w:sz w:val="18"/>
          <w:szCs w:val="18"/>
          <w:u w:val="single" w:color="auto"/>
          <w:color w:val="0000FF"/>
        </w:rPr>
        <w:t>(c)</w:t>
      </w:r>
      <w:r>
        <w:rPr>
          <w:rFonts w:ascii="Arial" w:cs="Arial" w:eastAsia="Arial" w:hAnsi="Arial"/>
          <w:sz w:val="18"/>
          <w:szCs w:val="18"/>
          <w:color w:val="0000FF"/>
        </w:rPr>
        <w:t xml:space="preserve"> </w:t>
      </w:r>
      <w:r>
        <w:rPr>
          <w:rFonts w:ascii="Arial" w:cs="Arial" w:eastAsia="Arial" w:hAnsi="Arial"/>
          <w:sz w:val="18"/>
          <w:szCs w:val="18"/>
          <w:color w:val="000000"/>
        </w:rPr>
        <w:t>in the case of any such assignment resulting from a claim for compensation under</w:t>
      </w:r>
      <w:r>
        <w:rPr>
          <w:rFonts w:ascii="Arial" w:cs="Arial" w:eastAsia="Arial" w:hAnsi="Arial"/>
          <w:sz w:val="18"/>
          <w:szCs w:val="18"/>
          <w:color w:val="0000FF"/>
        </w:rPr>
        <w:t xml:space="preserve"> </w:t>
      </w:r>
      <w:r>
        <w:rPr>
          <w:rFonts w:ascii="Arial" w:cs="Arial" w:eastAsia="Arial" w:hAnsi="Arial"/>
          <w:sz w:val="18"/>
          <w:szCs w:val="18"/>
          <w:u w:val="single" w:color="auto"/>
          <w:color w:val="000000"/>
        </w:rPr>
        <w:t>Section 3.04</w:t>
      </w:r>
      <w:r>
        <w:rPr>
          <w:rFonts w:ascii="Arial" w:cs="Arial" w:eastAsia="Arial" w:hAnsi="Arial"/>
          <w:sz w:val="18"/>
          <w:szCs w:val="18"/>
          <w:color w:val="0000FF"/>
        </w:rPr>
        <w:t xml:space="preserve"> </w:t>
      </w:r>
      <w:r>
        <w:rPr>
          <w:rFonts w:ascii="Arial" w:cs="Arial" w:eastAsia="Arial" w:hAnsi="Arial"/>
          <w:sz w:val="18"/>
          <w:szCs w:val="18"/>
          <w:color w:val="000000"/>
        </w:rPr>
        <w:t>or payments required to</w:t>
      </w:r>
      <w:r>
        <w:rPr>
          <w:rFonts w:ascii="Arial" w:cs="Arial" w:eastAsia="Arial" w:hAnsi="Arial"/>
          <w:sz w:val="18"/>
          <w:szCs w:val="18"/>
          <w:color w:val="0000FF"/>
        </w:rPr>
        <w:t xml:space="preserve"> </w:t>
      </w:r>
      <w:r>
        <w:rPr>
          <w:rFonts w:ascii="Arial" w:cs="Arial" w:eastAsia="Arial" w:hAnsi="Arial"/>
          <w:sz w:val="18"/>
          <w:szCs w:val="18"/>
          <w:color w:val="000000"/>
        </w:rPr>
        <w:t xml:space="preserve">be made pursuant to </w:t>
      </w:r>
      <w:r>
        <w:rPr>
          <w:rFonts w:ascii="Arial" w:cs="Arial" w:eastAsia="Arial" w:hAnsi="Arial"/>
          <w:sz w:val="18"/>
          <w:szCs w:val="18"/>
          <w:u w:val="single" w:color="auto"/>
          <w:color w:val="000000"/>
        </w:rPr>
        <w:t>Section 3.01</w:t>
      </w:r>
      <w:r>
        <w:rPr>
          <w:rFonts w:ascii="Arial" w:cs="Arial" w:eastAsia="Arial" w:hAnsi="Arial"/>
          <w:sz w:val="18"/>
          <w:szCs w:val="18"/>
          <w:color w:val="000000"/>
        </w:rPr>
        <w:t>, such assignment will result in a reduction in such compensation or payments thereafter;</w:t>
      </w:r>
    </w:p>
    <w:p>
      <w:pPr>
        <w:spacing w:after="0" w:line="143" w:lineRule="exact"/>
        <w:rPr>
          <w:rFonts w:ascii="Arial" w:cs="Arial" w:eastAsia="Arial" w:hAnsi="Arial"/>
          <w:sz w:val="18"/>
          <w:szCs w:val="18"/>
          <w:color w:val="FF0000"/>
          <w:strike w:val="1"/>
        </w:rPr>
      </w:pPr>
    </w:p>
    <w:p>
      <w:pPr>
        <w:ind w:left="1640" w:hanging="335"/>
        <w:spacing w:after="0"/>
        <w:tabs>
          <w:tab w:leader="none" w:pos="1640" w:val="left"/>
        </w:tabs>
        <w:numPr>
          <w:ilvl w:val="0"/>
          <w:numId w:val="279"/>
        </w:numPr>
        <w:rPr>
          <w:rFonts w:ascii="Arial" w:cs="Arial" w:eastAsia="Arial" w:hAnsi="Arial"/>
          <w:sz w:val="20"/>
          <w:szCs w:val="20"/>
          <w:color w:val="FF0000"/>
          <w:strike w:val="1"/>
        </w:rPr>
      </w:pPr>
      <w:r>
        <w:rPr>
          <w:rFonts w:ascii="Arial" w:cs="Arial" w:eastAsia="Arial" w:hAnsi="Arial"/>
          <w:sz w:val="20"/>
          <w:szCs w:val="20"/>
          <w:u w:val="single" w:color="auto"/>
          <w:color w:val="0000FF"/>
        </w:rPr>
        <w:t>(d)</w:t>
      </w:r>
      <w:r>
        <w:rPr>
          <w:rFonts w:ascii="Arial" w:cs="Arial" w:eastAsia="Arial" w:hAnsi="Arial"/>
          <w:sz w:val="20"/>
          <w:szCs w:val="20"/>
          <w:color w:val="0000FF"/>
        </w:rPr>
        <w:t xml:space="preserve"> </w:t>
      </w:r>
      <w:r>
        <w:rPr>
          <w:rFonts w:ascii="Arial" w:cs="Arial" w:eastAsia="Arial" w:hAnsi="Arial"/>
          <w:sz w:val="20"/>
          <w:szCs w:val="20"/>
          <w:color w:val="000000"/>
        </w:rPr>
        <w:t>such assignment does not conflict with applicable Laws;</w:t>
      </w:r>
      <w:r>
        <w:rPr>
          <w:rFonts w:ascii="Arial" w:cs="Arial" w:eastAsia="Arial" w:hAnsi="Arial"/>
          <w:sz w:val="20"/>
          <w:szCs w:val="20"/>
          <w:color w:val="0000FF"/>
        </w:rPr>
        <w:t xml:space="preserve"> </w:t>
      </w:r>
      <w:r>
        <w:rPr>
          <w:rFonts w:ascii="Arial" w:cs="Arial" w:eastAsia="Arial" w:hAnsi="Arial"/>
          <w:sz w:val="20"/>
          <w:szCs w:val="20"/>
          <w:color w:val="FF0000"/>
          <w:strike w:val="1"/>
        </w:rPr>
        <w:t>and</w:t>
      </w:r>
    </w:p>
    <w:p>
      <w:pPr>
        <w:spacing w:after="0" w:line="26" w:lineRule="exact"/>
        <w:rPr>
          <w:rFonts w:ascii="Arial" w:cs="Arial" w:eastAsia="Arial" w:hAnsi="Arial"/>
          <w:sz w:val="20"/>
          <w:szCs w:val="20"/>
          <w:color w:val="FF0000"/>
          <w:strike w:val="1"/>
        </w:rPr>
      </w:pPr>
    </w:p>
    <w:p>
      <w:pPr>
        <w:ind w:left="1300" w:right="20" w:firstLine="653"/>
        <w:spacing w:after="0" w:line="314" w:lineRule="auto"/>
        <w:tabs>
          <w:tab w:leader="none" w:pos="2377" w:val="left"/>
        </w:tabs>
        <w:numPr>
          <w:ilvl w:val="1"/>
          <w:numId w:val="279"/>
        </w:numPr>
        <w:rPr>
          <w:rFonts w:ascii="Arial" w:cs="Arial" w:eastAsia="Arial" w:hAnsi="Arial"/>
          <w:sz w:val="19"/>
          <w:szCs w:val="19"/>
          <w:color w:val="FF0000"/>
          <w:strike w:val="1"/>
        </w:rPr>
      </w:pPr>
      <w:r>
        <w:rPr>
          <w:rFonts w:ascii="Arial" w:cs="Arial" w:eastAsia="Arial" w:hAnsi="Arial"/>
          <w:sz w:val="19"/>
          <w:szCs w:val="19"/>
          <w:color w:val="FF0000"/>
          <w:strike w:val="1"/>
        </w:rPr>
        <w:t xml:space="preserve">in the case of any such </w:t>
      </w:r>
      <w:r>
        <w:rPr>
          <w:rFonts w:ascii="Arial" w:cs="Arial" w:eastAsia="Arial" w:hAnsi="Arial"/>
          <w:sz w:val="19"/>
          <w:szCs w:val="19"/>
          <w:color w:val="00C000"/>
          <w:strike w:val="1"/>
        </w:rPr>
        <w:t>assignment resulting from a</w:t>
      </w:r>
      <w:r>
        <w:rPr>
          <w:rFonts w:ascii="Arial" w:cs="Arial" w:eastAsia="Arial" w:hAnsi="Arial"/>
          <w:sz w:val="19"/>
          <w:szCs w:val="19"/>
          <w:color w:val="FF0000"/>
          <w:strike w:val="1"/>
        </w:rPr>
        <w:t xml:space="preserve"> Non-Consenting Lender’s failure to consent to a proposed amendment, consent change, waiver, discharge or termination with respect to any Credit Document, the applicable replacement bank or financial institution consents to the proposed change, waiver, discharge or termination;</w:t>
      </w:r>
    </w:p>
    <w:p>
      <w:pPr>
        <w:spacing w:after="0" w:line="371" w:lineRule="exact"/>
        <w:rPr>
          <w:sz w:val="20"/>
          <w:szCs w:val="20"/>
          <w:color w:val="auto"/>
        </w:rPr>
      </w:pPr>
    </w:p>
    <w:p>
      <w:pPr>
        <w:ind w:left="660" w:right="200" w:firstLine="645"/>
        <w:spacing w:after="0" w:line="276" w:lineRule="auto"/>
        <w:tabs>
          <w:tab w:leader="none" w:pos="1726" w:val="left"/>
        </w:tabs>
        <w:numPr>
          <w:ilvl w:val="0"/>
          <w:numId w:val="280"/>
        </w:numPr>
        <w:rPr>
          <w:rFonts w:ascii="Arial" w:cs="Arial" w:eastAsia="Arial" w:hAnsi="Arial"/>
          <w:sz w:val="18"/>
          <w:szCs w:val="18"/>
          <w:u w:val="single" w:color="auto"/>
          <w:color w:val="0000FF"/>
        </w:rPr>
      </w:pPr>
      <w:r>
        <w:rPr>
          <w:rFonts w:ascii="Arial" w:cs="Arial" w:eastAsia="Arial" w:hAnsi="Arial"/>
          <w:sz w:val="18"/>
          <w:szCs w:val="18"/>
          <w:u w:val="single" w:color="auto"/>
          <w:color w:val="0000FF"/>
        </w:rPr>
        <w:t xml:space="preserve">in the case of an </w:t>
      </w:r>
      <w:r>
        <w:rPr>
          <w:rFonts w:ascii="Arial" w:cs="Arial" w:eastAsia="Arial" w:hAnsi="Arial"/>
          <w:sz w:val="18"/>
          <w:szCs w:val="18"/>
          <w:u w:val="single" w:color="auto"/>
          <w:color w:val="00C000"/>
        </w:rPr>
        <w:t>assignment resulting from a</w:t>
      </w:r>
      <w:r>
        <w:rPr>
          <w:rFonts w:ascii="Arial" w:cs="Arial" w:eastAsia="Arial" w:hAnsi="Arial"/>
          <w:sz w:val="18"/>
          <w:szCs w:val="18"/>
          <w:u w:val="single" w:color="auto"/>
          <w:color w:val="0000FF"/>
        </w:rPr>
        <w:t xml:space="preserve"> Lender becoming a Non-Consenting Lender, the applicable assignee shall have consented to the applicable amendment, waiver or consent;</w:t>
      </w:r>
      <w:r>
        <w:rPr>
          <w:rFonts w:ascii="Arial" w:cs="Arial" w:eastAsia="Arial" w:hAnsi="Arial"/>
          <w:sz w:val="18"/>
          <w:szCs w:val="18"/>
          <w:color w:val="0000FF"/>
        </w:rPr>
        <w:t xml:space="preserve"> </w:t>
      </w:r>
      <w:r>
        <w:rPr>
          <w:rFonts w:ascii="Arial" w:cs="Arial" w:eastAsia="Arial" w:hAnsi="Arial"/>
          <w:sz w:val="18"/>
          <w:szCs w:val="18"/>
          <w:u w:val="single" w:color="auto"/>
          <w:color w:val="000000"/>
        </w:rPr>
        <w:t>provided</w:t>
      </w:r>
      <w:r>
        <w:rPr>
          <w:rFonts w:ascii="Arial" w:cs="Arial" w:eastAsia="Arial" w:hAnsi="Arial"/>
          <w:sz w:val="18"/>
          <w:szCs w:val="18"/>
          <w:color w:val="0000FF"/>
        </w:rPr>
        <w:t xml:space="preserve"> </w:t>
      </w:r>
      <w:r>
        <w:rPr>
          <w:rFonts w:ascii="Arial" w:cs="Arial" w:eastAsia="Arial" w:hAnsi="Arial"/>
          <w:sz w:val="18"/>
          <w:szCs w:val="18"/>
          <w:color w:val="000000"/>
        </w:rPr>
        <w:t>that the failure by such Non-Consenting Lender to execute</w:t>
      </w:r>
      <w:r>
        <w:rPr>
          <w:rFonts w:ascii="Arial" w:cs="Arial" w:eastAsia="Arial" w:hAnsi="Arial"/>
          <w:sz w:val="18"/>
          <w:szCs w:val="18"/>
          <w:color w:val="0000FF"/>
        </w:rPr>
        <w:t xml:space="preserve"> </w:t>
      </w:r>
      <w:r>
        <w:rPr>
          <w:rFonts w:ascii="Arial" w:cs="Arial" w:eastAsia="Arial" w:hAnsi="Arial"/>
          <w:sz w:val="18"/>
          <w:szCs w:val="18"/>
          <w:color w:val="000000"/>
        </w:rPr>
        <w:t>and deliver an Assignment and Assumption shall not impair the validity of the removal of such Non-Consenting Lender and the mandatory assignment of such Non-Consenting Lender’s Commitments and outstanding Loans and</w:t>
      </w:r>
      <w:r>
        <w:rPr>
          <w:rFonts w:ascii="Arial" w:cs="Arial" w:eastAsia="Arial" w:hAnsi="Arial"/>
          <w:sz w:val="18"/>
          <w:szCs w:val="18"/>
          <w:color w:val="FF0000"/>
          <w:strike w:val="1"/>
        </w:rPr>
        <w:t>, with respect to the Revolving</w:t>
      </w:r>
      <w:r>
        <w:rPr>
          <w:rFonts w:ascii="Arial" w:cs="Arial" w:eastAsia="Arial" w:hAnsi="Arial"/>
          <w:sz w:val="18"/>
          <w:szCs w:val="18"/>
          <w:color w:val="000000"/>
        </w:rPr>
        <w:t xml:space="preserve"> </w:t>
      </w:r>
      <w:r>
        <w:rPr>
          <w:rFonts w:ascii="Arial" w:cs="Arial" w:eastAsia="Arial" w:hAnsi="Arial"/>
          <w:sz w:val="18"/>
          <w:szCs w:val="18"/>
          <w:color w:val="FF0000"/>
          <w:strike w:val="1"/>
        </w:rPr>
        <w:t>Lenders,</w:t>
      </w:r>
      <w:r>
        <w:rPr>
          <w:rFonts w:ascii="Arial" w:cs="Arial" w:eastAsia="Arial" w:hAnsi="Arial"/>
          <w:sz w:val="18"/>
          <w:szCs w:val="18"/>
          <w:color w:val="FF0000"/>
        </w:rPr>
        <w:t xml:space="preserve"> </w:t>
      </w:r>
      <w:r>
        <w:rPr>
          <w:rFonts w:ascii="Arial" w:cs="Arial" w:eastAsia="Arial" w:hAnsi="Arial"/>
          <w:sz w:val="18"/>
          <w:szCs w:val="18"/>
          <w:color w:val="000000"/>
        </w:rPr>
        <w:t>participations in L/C Obligations</w:t>
      </w:r>
      <w:r>
        <w:rPr>
          <w:rFonts w:ascii="Arial" w:cs="Arial" w:eastAsia="Arial" w:hAnsi="Arial"/>
          <w:sz w:val="18"/>
          <w:szCs w:val="18"/>
          <w:color w:val="FF0000"/>
        </w:rPr>
        <w:t xml:space="preserve"> </w:t>
      </w:r>
      <w:r>
        <w:rPr>
          <w:rFonts w:ascii="Arial" w:cs="Arial" w:eastAsia="Arial" w:hAnsi="Arial"/>
          <w:sz w:val="18"/>
          <w:szCs w:val="18"/>
          <w:u w:val="single" w:color="auto"/>
          <w:color w:val="0000FF"/>
        </w:rPr>
        <w:t>and Swingline Loans</w:t>
      </w:r>
      <w:r>
        <w:rPr>
          <w:rFonts w:ascii="Arial" w:cs="Arial" w:eastAsia="Arial" w:hAnsi="Arial"/>
          <w:sz w:val="18"/>
          <w:szCs w:val="18"/>
          <w:color w:val="FF0000"/>
        </w:rPr>
        <w:t xml:space="preserve"> </w:t>
      </w:r>
      <w:r>
        <w:rPr>
          <w:rFonts w:ascii="Arial" w:cs="Arial" w:eastAsia="Arial" w:hAnsi="Arial"/>
          <w:sz w:val="18"/>
          <w:szCs w:val="18"/>
          <w:color w:val="000000"/>
        </w:rPr>
        <w:t>pursuant to this</w:t>
      </w:r>
      <w:r>
        <w:rPr>
          <w:rFonts w:ascii="Arial" w:cs="Arial" w:eastAsia="Arial" w:hAnsi="Arial"/>
          <w:sz w:val="18"/>
          <w:szCs w:val="18"/>
          <w:color w:val="FF0000"/>
        </w:rPr>
        <w:t xml:space="preserve"> </w:t>
      </w:r>
      <w:r>
        <w:rPr>
          <w:rFonts w:ascii="Arial" w:cs="Arial" w:eastAsia="Arial" w:hAnsi="Arial"/>
          <w:sz w:val="18"/>
          <w:szCs w:val="18"/>
          <w:u w:val="single" w:color="auto"/>
          <w:color w:val="000000"/>
        </w:rPr>
        <w:t>Section 11.13</w:t>
      </w:r>
      <w:r>
        <w:rPr>
          <w:rFonts w:ascii="Arial" w:cs="Arial" w:eastAsia="Arial" w:hAnsi="Arial"/>
          <w:sz w:val="18"/>
          <w:szCs w:val="18"/>
          <w:color w:val="FF0000"/>
        </w:rPr>
        <w:t xml:space="preserve"> </w:t>
      </w:r>
      <w:r>
        <w:rPr>
          <w:rFonts w:ascii="Arial" w:cs="Arial" w:eastAsia="Arial" w:hAnsi="Arial"/>
          <w:sz w:val="18"/>
          <w:szCs w:val="18"/>
          <w:color w:val="000000"/>
        </w:rPr>
        <w:t>shall nevertheless be effective without</w:t>
      </w:r>
      <w:r>
        <w:rPr>
          <w:rFonts w:ascii="Arial" w:cs="Arial" w:eastAsia="Arial" w:hAnsi="Arial"/>
          <w:sz w:val="18"/>
          <w:szCs w:val="18"/>
          <w:color w:val="FF0000"/>
        </w:rPr>
        <w:t xml:space="preserve"> </w:t>
      </w:r>
      <w:r>
        <w:rPr>
          <w:rFonts w:ascii="Arial" w:cs="Arial" w:eastAsia="Arial" w:hAnsi="Arial"/>
          <w:sz w:val="18"/>
          <w:szCs w:val="18"/>
          <w:color w:val="000000"/>
        </w:rPr>
        <w:t>the execution by such Non-Consenting Lender of an Assignment and Assumption.</w:t>
      </w:r>
    </w:p>
    <w:p>
      <w:pPr>
        <w:spacing w:after="0" w:line="179" w:lineRule="exact"/>
        <w:rPr>
          <w:sz w:val="20"/>
          <w:szCs w:val="20"/>
          <w:color w:val="auto"/>
        </w:rPr>
      </w:pPr>
    </w:p>
    <w:p>
      <w:pPr>
        <w:ind w:right="80"/>
        <w:spacing w:after="0" w:line="287" w:lineRule="auto"/>
        <w:rPr>
          <w:sz w:val="20"/>
          <w:szCs w:val="20"/>
          <w:color w:val="auto"/>
        </w:rPr>
      </w:pPr>
      <w:r>
        <w:rPr>
          <w:rFonts w:ascii="Arial" w:cs="Arial" w:eastAsia="Arial" w:hAnsi="Arial"/>
          <w:sz w:val="19"/>
          <w:szCs w:val="19"/>
          <w:color w:val="auto"/>
        </w:rPr>
        <w:t xml:space="preserve">A Lender shall not be required to make any such assignment or delegation if, prior thereto, as a result of a waiver by such Lender or otherwise, the circumstances entitling the </w:t>
      </w:r>
      <w:r>
        <w:rPr>
          <w:rFonts w:ascii="Arial" w:cs="Arial" w:eastAsia="Arial" w:hAnsi="Arial"/>
          <w:sz w:val="19"/>
          <w:szCs w:val="19"/>
          <w:color w:val="FF0000"/>
          <w:strike w:val="1"/>
        </w:rPr>
        <w:t>respective Borrower</w:t>
      </w:r>
      <w:r>
        <w:rPr>
          <w:rFonts w:ascii="Arial" w:cs="Arial" w:eastAsia="Arial" w:hAnsi="Arial"/>
          <w:sz w:val="19"/>
          <w:szCs w:val="19"/>
          <w:u w:val="single" w:color="auto"/>
          <w:color w:val="0000FF"/>
        </w:rPr>
        <w:t>Borrowers</w:t>
      </w:r>
      <w:r>
        <w:rPr>
          <w:rFonts w:ascii="Arial" w:cs="Arial" w:eastAsia="Arial" w:hAnsi="Arial"/>
          <w:sz w:val="19"/>
          <w:szCs w:val="19"/>
          <w:color w:val="auto"/>
        </w:rPr>
        <w:t xml:space="preserve"> to require such assignment and delegation cease to apply.</w:t>
      </w:r>
    </w:p>
    <w:p>
      <w:pPr>
        <w:spacing w:after="0" w:line="193" w:lineRule="exact"/>
        <w:rPr>
          <w:sz w:val="20"/>
          <w:szCs w:val="20"/>
          <w:color w:val="auto"/>
        </w:rPr>
      </w:pPr>
    </w:p>
    <w:p>
      <w:pPr>
        <w:ind w:left="660"/>
        <w:spacing w:after="0"/>
        <w:tabs>
          <w:tab w:leader="none" w:pos="1260" w:val="left"/>
        </w:tabs>
        <w:rPr>
          <w:sz w:val="20"/>
          <w:szCs w:val="20"/>
          <w:color w:val="auto"/>
        </w:rPr>
      </w:pPr>
      <w:r>
        <w:rPr>
          <w:rFonts w:ascii="Arial" w:cs="Arial" w:eastAsia="Arial" w:hAnsi="Arial"/>
          <w:sz w:val="20"/>
          <w:szCs w:val="20"/>
          <w:color w:val="auto"/>
        </w:rPr>
        <w:t>11.14</w:t>
      </w:r>
      <w:r>
        <w:rPr>
          <w:sz w:val="20"/>
          <w:szCs w:val="20"/>
          <w:color w:val="auto"/>
        </w:rPr>
        <w:tab/>
      </w:r>
      <w:r>
        <w:rPr>
          <w:rFonts w:ascii="Arial" w:cs="Arial" w:eastAsia="Arial" w:hAnsi="Arial"/>
          <w:sz w:val="18"/>
          <w:szCs w:val="18"/>
          <w:u w:val="single" w:color="auto"/>
          <w:color w:val="auto"/>
        </w:rPr>
        <w:t>Governing Law; Jurisdiction; Etc</w:t>
      </w:r>
      <w:r>
        <w:rPr>
          <w:rFonts w:ascii="Arial" w:cs="Arial" w:eastAsia="Arial" w:hAnsi="Arial"/>
          <w:sz w:val="18"/>
          <w:szCs w:val="18"/>
          <w:color w:val="auto"/>
        </w:rPr>
        <w:t>.</w:t>
      </w:r>
    </w:p>
    <w:p>
      <w:pPr>
        <w:spacing w:after="0" w:line="200" w:lineRule="exact"/>
        <w:rPr>
          <w:sz w:val="20"/>
          <w:szCs w:val="20"/>
          <w:color w:val="auto"/>
        </w:rPr>
      </w:pPr>
    </w:p>
    <w:p>
      <w:pPr>
        <w:spacing w:after="0" w:line="286"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195</w:t>
      </w:r>
    </w:p>
    <w:p>
      <w:pPr>
        <w:spacing w:after="0" w:line="10" w:lineRule="exact"/>
        <w:rPr>
          <w:sz w:val="20"/>
          <w:szCs w:val="20"/>
          <w:color w:val="auto"/>
        </w:rPr>
      </w:pPr>
    </w:p>
    <w:p>
      <w:pPr>
        <w:spacing w:after="0"/>
        <w:rPr>
          <w:sz w:val="20"/>
          <w:szCs w:val="20"/>
          <w:color w:val="auto"/>
        </w:rPr>
      </w:pPr>
      <w:r>
        <w:rPr>
          <w:rFonts w:ascii="Arial" w:cs="Arial" w:eastAsia="Arial" w:hAnsi="Arial"/>
          <w:sz w:val="14"/>
          <w:szCs w:val="14"/>
          <w:color w:val="auto"/>
        </w:rPr>
        <w:t>CHAR1\1346423v</w:t>
      </w:r>
      <w:r>
        <w:rPr>
          <w:rFonts w:ascii="Arial" w:cs="Arial" w:eastAsia="Arial" w:hAnsi="Arial"/>
          <w:sz w:val="14"/>
          <w:szCs w:val="14"/>
          <w:color w:val="FF0000"/>
          <w:strike w:val="1"/>
        </w:rPr>
        <w:t>1</w:t>
      </w:r>
      <w:r>
        <w:rPr>
          <w:rFonts w:ascii="Arial" w:cs="Arial" w:eastAsia="Arial" w:hAnsi="Arial"/>
          <w:sz w:val="14"/>
          <w:szCs w:val="14"/>
          <w:u w:val="single" w:color="auto"/>
          <w:color w:val="0000FF"/>
        </w:rPr>
        <w:t>12</w:t>
      </w:r>
    </w:p>
    <w:p>
      <w:pPr>
        <w:sectPr>
          <w:pgSz w:w="11900" w:h="16838" w:orient="portrait"/>
          <w:cols w:equalWidth="0" w:num="1">
            <w:col w:w="11400"/>
          </w:cols>
          <w:pgMar w:left="240" w:top="609" w:right="259" w:bottom="1440" w:gutter="0" w:footer="0" w:header="0"/>
        </w:sectPr>
      </w:pPr>
    </w:p>
    <w:bookmarkStart w:id="247" w:name="page248"/>
    <w:bookmarkEnd w:id="247"/>
    <w:p>
      <w:pPr>
        <w:ind w:left="1700" w:hanging="395"/>
        <w:spacing w:after="0"/>
        <w:tabs>
          <w:tab w:leader="none" w:pos="1700" w:val="left"/>
        </w:tabs>
        <w:numPr>
          <w:ilvl w:val="0"/>
          <w:numId w:val="281"/>
        </w:numPr>
        <w:rPr>
          <w:rFonts w:ascii="Arial" w:cs="Arial" w:eastAsia="Arial" w:hAnsi="Arial"/>
          <w:sz w:val="20"/>
          <w:szCs w:val="20"/>
          <w:color w:val="auto"/>
        </w:rPr>
      </w:pPr>
      <w:r>
        <w:rPr>
          <w:rFonts w:ascii="Arial" w:cs="Arial" w:eastAsia="Arial" w:hAnsi="Arial"/>
          <w:sz w:val="20"/>
          <w:szCs w:val="20"/>
          <w:u w:val="single" w:color="auto"/>
          <w:color w:val="auto"/>
        </w:rPr>
        <w:t>GOVERNING LAW</w:t>
      </w:r>
      <w:r>
        <w:rPr>
          <w:rFonts w:ascii="Arial" w:cs="Arial" w:eastAsia="Arial" w:hAnsi="Arial"/>
          <w:sz w:val="20"/>
          <w:szCs w:val="20"/>
          <w:color w:val="auto"/>
        </w:rPr>
        <w:t>. THIS CREDIT AGREEMENT SHALL BE GOVERNED BY, AND CONSTRUED IN</w:t>
      </w:r>
    </w:p>
    <w:p>
      <w:pPr>
        <w:spacing w:after="0" w:line="53" w:lineRule="exact"/>
        <w:rPr>
          <w:rFonts w:ascii="Arial" w:cs="Arial" w:eastAsia="Arial" w:hAnsi="Arial"/>
          <w:sz w:val="20"/>
          <w:szCs w:val="20"/>
          <w:color w:val="auto"/>
        </w:rPr>
      </w:pPr>
    </w:p>
    <w:p>
      <w:pPr>
        <w:ind w:left="660" w:right="100"/>
        <w:spacing w:after="0" w:line="286" w:lineRule="auto"/>
        <w:rPr>
          <w:rFonts w:ascii="Arial" w:cs="Arial" w:eastAsia="Arial" w:hAnsi="Arial"/>
          <w:sz w:val="20"/>
          <w:szCs w:val="20"/>
          <w:color w:val="auto"/>
        </w:rPr>
      </w:pPr>
      <w:r>
        <w:rPr>
          <w:rFonts w:ascii="Arial" w:cs="Arial" w:eastAsia="Arial" w:hAnsi="Arial"/>
          <w:sz w:val="20"/>
          <w:szCs w:val="20"/>
          <w:color w:val="auto"/>
        </w:rPr>
        <w:t>ACCORDANCE WITH, THE LAW OF THE STATE OF NEW YORK; provided however, that notwithstanding anything to the contrary contained herein, the India Obligations under this Credit Agreement shall be governed by, and construed in accordance with, the Laws of India, without reference to its conflict of laws principles, and to the extent any provisions of this Credit Agreement apply or relate to the India Obligations or any revolving credit or term loan facilities for the India Borrower or its Subsidiaries, such provisions shall be governed by, and construed in accordance with, the Laws of India, without reference to its conflict of laws principles.</w:t>
      </w:r>
    </w:p>
    <w:p>
      <w:pPr>
        <w:spacing w:after="0" w:line="192" w:lineRule="exact"/>
        <w:rPr>
          <w:rFonts w:ascii="Arial" w:cs="Arial" w:eastAsia="Arial" w:hAnsi="Arial"/>
          <w:sz w:val="20"/>
          <w:szCs w:val="20"/>
          <w:color w:val="auto"/>
        </w:rPr>
      </w:pPr>
    </w:p>
    <w:p>
      <w:pPr>
        <w:ind w:left="1720" w:hanging="415"/>
        <w:spacing w:after="0"/>
        <w:tabs>
          <w:tab w:leader="none" w:pos="1720" w:val="left"/>
        </w:tabs>
        <w:numPr>
          <w:ilvl w:val="0"/>
          <w:numId w:val="281"/>
        </w:numPr>
        <w:rPr>
          <w:rFonts w:ascii="Arial" w:cs="Arial" w:eastAsia="Arial" w:hAnsi="Arial"/>
          <w:sz w:val="20"/>
          <w:szCs w:val="20"/>
          <w:color w:val="auto"/>
        </w:rPr>
      </w:pPr>
      <w:r>
        <w:rPr>
          <w:rFonts w:ascii="Arial" w:cs="Arial" w:eastAsia="Arial" w:hAnsi="Arial"/>
          <w:sz w:val="20"/>
          <w:szCs w:val="20"/>
          <w:u w:val="single" w:color="auto"/>
          <w:color w:val="auto"/>
        </w:rPr>
        <w:t>SUBMISSION TO JURISDICTION</w:t>
      </w:r>
      <w:r>
        <w:rPr>
          <w:rFonts w:ascii="Arial" w:cs="Arial" w:eastAsia="Arial" w:hAnsi="Arial"/>
          <w:sz w:val="20"/>
          <w:szCs w:val="20"/>
          <w:color w:val="auto"/>
        </w:rPr>
        <w:t>. EACH OF THE BORROWERS AND OTHER CREDIT PARTIES</w:t>
      </w:r>
    </w:p>
    <w:p>
      <w:pPr>
        <w:spacing w:after="0" w:line="53" w:lineRule="exact"/>
        <w:rPr>
          <w:rFonts w:ascii="Arial" w:cs="Arial" w:eastAsia="Arial" w:hAnsi="Arial"/>
          <w:sz w:val="20"/>
          <w:szCs w:val="20"/>
          <w:color w:val="auto"/>
        </w:rPr>
      </w:pPr>
    </w:p>
    <w:p>
      <w:pPr>
        <w:ind w:left="660"/>
        <w:spacing w:after="0" w:line="299" w:lineRule="auto"/>
        <w:rPr>
          <w:rFonts w:ascii="Arial" w:cs="Arial" w:eastAsia="Arial" w:hAnsi="Arial"/>
          <w:sz w:val="20"/>
          <w:szCs w:val="20"/>
          <w:color w:val="auto"/>
        </w:rPr>
      </w:pPr>
      <w:r>
        <w:rPr>
          <w:rFonts w:ascii="Arial" w:cs="Arial" w:eastAsia="Arial" w:hAnsi="Arial"/>
          <w:sz w:val="19"/>
          <w:szCs w:val="19"/>
          <w:color w:val="auto"/>
        </w:rPr>
        <w:t>IRREVOCABLY AND UNCONDITIONALLY SUBMITS, FOR ITSELF AND ITS PROPERTY, TO THE NONEXCLUSIVE JURISDICTION OF THE COURTS OF THE STATE OF NEW YORK SITTING IN THE BOROUGH OF MANHATTAN AND OF THE UNITED STATES DISTRICT COURT FOR THE SOUTHERN DISTRICT OF SUCH STATE AND ANY APPELLATE COURT FROM ANY THEREOF, IN ANY ACTION OR PROCEEDING ARISING OUT OF OR RELATING TO THIS CREDIT AGREEMENT OR ANY OTHER CREDIT DOCUMENT, OR FOR RECOGNITION OR ENFORCEMENT OF ANY JUDGMENT, AND EACH OF THE PARTIES HERETO IRREVOCABLY AND UNCONDITIONALLY AGREES THAT ALL CLAIMS IN RESPECT OF ANY SUCH ACTION OR PROCEEDING MAY BE HEARD AND DETERMINED IN SUCH NEW YORK STATE COURT OR, TO THE FULLEST EXTENT PERMITTED BY APPLICABLE LAW, IN SUCH FEDERAL COURT. EACH OF THE PARTIES HERETO AGREES THAT A FINAL JUDGMENT IN ANY SUCH ACTION OR PROCEEDING SHALL BE CONCLUSIVE AND MAY BE ENFORCED IN OTHER JURISDICTIONS BY SUIT ON THE JUDGMENT OR IN ANY OTHER MANNER PROVIDED BY LAW. NOTHING IN THIS CREDIT AGREEMENT OR IN ANY OTHER CREDIT DOCUMENT SHALL AFFECT ANY RIGHT THAT THE ADMINISTRATIVE AGENT, ANY LENDER OR ANY L/C ISSUER MAY OTHERWISE HAVE TO BRING ANY ACTION OR PROCEEDING RELATING TO THIS CREDIT AGREEMENT OR ANY OTHER CREDIT DOCUMENT AGAINST ANY BORROWER OR ANY OTHER CREDIT PARTY OR ITS PROPERTIES IN THE COURTS/TRIBUNALS OF ANY JURISDICTION.</w:t>
      </w:r>
    </w:p>
    <w:p>
      <w:pPr>
        <w:spacing w:after="0" w:line="184" w:lineRule="exact"/>
        <w:rPr>
          <w:rFonts w:ascii="Arial" w:cs="Arial" w:eastAsia="Arial" w:hAnsi="Arial"/>
          <w:sz w:val="20"/>
          <w:szCs w:val="20"/>
          <w:color w:val="auto"/>
        </w:rPr>
      </w:pPr>
    </w:p>
    <w:p>
      <w:pPr>
        <w:ind w:left="1700" w:hanging="395"/>
        <w:spacing w:after="0"/>
        <w:tabs>
          <w:tab w:leader="none" w:pos="1700" w:val="left"/>
        </w:tabs>
        <w:numPr>
          <w:ilvl w:val="0"/>
          <w:numId w:val="281"/>
        </w:numPr>
        <w:rPr>
          <w:rFonts w:ascii="Arial" w:cs="Arial" w:eastAsia="Arial" w:hAnsi="Arial"/>
          <w:sz w:val="20"/>
          <w:szCs w:val="20"/>
          <w:color w:val="auto"/>
        </w:rPr>
      </w:pPr>
      <w:r>
        <w:rPr>
          <w:rFonts w:ascii="Arial" w:cs="Arial" w:eastAsia="Arial" w:hAnsi="Arial"/>
          <w:sz w:val="20"/>
          <w:szCs w:val="20"/>
          <w:u w:val="single" w:color="auto"/>
          <w:color w:val="auto"/>
        </w:rPr>
        <w:t>WAIVER OF VENUE</w:t>
      </w:r>
      <w:r>
        <w:rPr>
          <w:rFonts w:ascii="Arial" w:cs="Arial" w:eastAsia="Arial" w:hAnsi="Arial"/>
          <w:sz w:val="20"/>
          <w:szCs w:val="20"/>
          <w:color w:val="auto"/>
        </w:rPr>
        <w:t>. EACH OF THE BORROWERS AND OTHER CREDIT PARTIES IRREVOCABLY AND</w:t>
      </w:r>
    </w:p>
    <w:p>
      <w:pPr>
        <w:spacing w:after="0" w:line="53" w:lineRule="exact"/>
        <w:rPr>
          <w:rFonts w:ascii="Arial" w:cs="Arial" w:eastAsia="Arial" w:hAnsi="Arial"/>
          <w:sz w:val="20"/>
          <w:szCs w:val="20"/>
          <w:color w:val="auto"/>
        </w:rPr>
      </w:pPr>
    </w:p>
    <w:p>
      <w:pPr>
        <w:ind w:left="660" w:right="20"/>
        <w:spacing w:after="0" w:line="286" w:lineRule="auto"/>
        <w:rPr>
          <w:rFonts w:ascii="Arial" w:cs="Arial" w:eastAsia="Arial" w:hAnsi="Arial"/>
          <w:sz w:val="20"/>
          <w:szCs w:val="20"/>
          <w:color w:val="auto"/>
        </w:rPr>
      </w:pPr>
      <w:r>
        <w:rPr>
          <w:rFonts w:ascii="Arial" w:cs="Arial" w:eastAsia="Arial" w:hAnsi="Arial"/>
          <w:sz w:val="20"/>
          <w:szCs w:val="20"/>
          <w:color w:val="auto"/>
        </w:rPr>
        <w:t>UNCONDITIONALLY WAIVES, TO THE FULLEST EXTENT PERMITTED BY APPLICABLE LAW, ANY OBJECTION THAT IT MAY NOW OR HEREAFTER HAVE TO THE LAYING OF VENUE OF ANY ACTION OR PROCEEDING ARISING OUT OF OR RELATING TO THIS CREDIT AGREEMENT OR ANY OTHER CREDIT DOCUMENT IN ANY COURT REFERRED TO IN PARAGRAPH (B) OF THIS SECTION. EACH OF THE PARTIES HERETO HEREBY IRREVOCABLY WAIVES, TO THE FULLEST EXTENT PERMITTED BY APPLICABLE LAW, THE DEFENSE OF AN INCONVENIENT FORUM TO THE MAINTENANCE OF SUCH ACTION OR PROCEEDING IN ANY SUCH COURT.</w:t>
      </w:r>
    </w:p>
    <w:p>
      <w:pPr>
        <w:spacing w:after="0" w:line="200" w:lineRule="exact"/>
        <w:rPr>
          <w:sz w:val="20"/>
          <w:szCs w:val="20"/>
          <w:color w:val="auto"/>
        </w:rPr>
      </w:pPr>
    </w:p>
    <w:p>
      <w:pPr>
        <w:spacing w:after="0" w:line="208" w:lineRule="exact"/>
        <w:rPr>
          <w:sz w:val="20"/>
          <w:szCs w:val="20"/>
          <w:color w:val="auto"/>
        </w:rPr>
      </w:pPr>
    </w:p>
    <w:p>
      <w:pPr>
        <w:jc w:val="center"/>
        <w:ind w:right="-99"/>
        <w:spacing w:after="0"/>
        <w:rPr>
          <w:sz w:val="20"/>
          <w:szCs w:val="20"/>
          <w:color w:val="auto"/>
        </w:rPr>
      </w:pPr>
      <w:r>
        <w:rPr>
          <w:rFonts w:ascii="Arial" w:cs="Arial" w:eastAsia="Arial" w:hAnsi="Arial"/>
          <w:sz w:val="20"/>
          <w:szCs w:val="20"/>
          <w:color w:val="auto"/>
        </w:rPr>
        <w:t>196</w:t>
      </w:r>
    </w:p>
    <w:p>
      <w:pPr>
        <w:spacing w:after="0" w:line="10" w:lineRule="exact"/>
        <w:rPr>
          <w:sz w:val="20"/>
          <w:szCs w:val="20"/>
          <w:color w:val="auto"/>
        </w:rPr>
      </w:pPr>
    </w:p>
    <w:p>
      <w:pPr>
        <w:spacing w:after="0"/>
        <w:rPr>
          <w:sz w:val="20"/>
          <w:szCs w:val="20"/>
          <w:color w:val="auto"/>
        </w:rPr>
      </w:pPr>
      <w:r>
        <w:rPr>
          <w:rFonts w:ascii="Arial" w:cs="Arial" w:eastAsia="Arial" w:hAnsi="Arial"/>
          <w:sz w:val="14"/>
          <w:szCs w:val="14"/>
          <w:color w:val="auto"/>
        </w:rPr>
        <w:t>CHAR1\1346423v</w:t>
      </w:r>
      <w:r>
        <w:rPr>
          <w:rFonts w:ascii="Arial" w:cs="Arial" w:eastAsia="Arial" w:hAnsi="Arial"/>
          <w:sz w:val="14"/>
          <w:szCs w:val="14"/>
          <w:color w:val="FF0000"/>
          <w:strike w:val="1"/>
        </w:rPr>
        <w:t>1</w:t>
      </w:r>
      <w:r>
        <w:rPr>
          <w:rFonts w:ascii="Arial" w:cs="Arial" w:eastAsia="Arial" w:hAnsi="Arial"/>
          <w:sz w:val="14"/>
          <w:szCs w:val="14"/>
          <w:u w:val="single" w:color="auto"/>
          <w:color w:val="0000FF"/>
        </w:rPr>
        <w:t>12</w:t>
      </w:r>
    </w:p>
    <w:p>
      <w:pPr>
        <w:sectPr>
          <w:pgSz w:w="11900" w:h="16838" w:orient="portrait"/>
          <w:cols w:equalWidth="0" w:num="1">
            <w:col w:w="11340"/>
          </w:cols>
          <w:pgMar w:left="240" w:top="609" w:right="319" w:bottom="1440" w:gutter="0" w:footer="0" w:header="0"/>
        </w:sectPr>
      </w:pPr>
    </w:p>
    <w:bookmarkStart w:id="248" w:name="page249"/>
    <w:bookmarkEnd w:id="248"/>
    <w:p>
      <w:pPr>
        <w:ind w:left="1720" w:hanging="415"/>
        <w:spacing w:after="0"/>
        <w:tabs>
          <w:tab w:leader="none" w:pos="1720" w:val="left"/>
        </w:tabs>
        <w:numPr>
          <w:ilvl w:val="0"/>
          <w:numId w:val="282"/>
        </w:numPr>
        <w:rPr>
          <w:rFonts w:ascii="Arial" w:cs="Arial" w:eastAsia="Arial" w:hAnsi="Arial"/>
          <w:sz w:val="19"/>
          <w:szCs w:val="19"/>
          <w:color w:val="auto"/>
        </w:rPr>
      </w:pPr>
      <w:r>
        <w:rPr>
          <w:rFonts w:ascii="Arial" w:cs="Arial" w:eastAsia="Arial" w:hAnsi="Arial"/>
          <w:sz w:val="19"/>
          <w:szCs w:val="19"/>
          <w:u w:val="single" w:color="auto"/>
          <w:color w:val="auto"/>
        </w:rPr>
        <w:t>SERVICE OF PROCESS</w:t>
      </w:r>
      <w:r>
        <w:rPr>
          <w:rFonts w:ascii="Arial" w:cs="Arial" w:eastAsia="Arial" w:hAnsi="Arial"/>
          <w:sz w:val="19"/>
          <w:szCs w:val="19"/>
          <w:color w:val="auto"/>
        </w:rPr>
        <w:t>. EACH PARTY HERETO IRREVOCABLY CONSENTS TO SERVICE OF PROCESS IN</w:t>
      </w:r>
    </w:p>
    <w:p>
      <w:pPr>
        <w:spacing w:after="0" w:line="65" w:lineRule="exact"/>
        <w:rPr>
          <w:rFonts w:ascii="Arial" w:cs="Arial" w:eastAsia="Arial" w:hAnsi="Arial"/>
          <w:sz w:val="19"/>
          <w:szCs w:val="19"/>
          <w:color w:val="auto"/>
        </w:rPr>
      </w:pPr>
    </w:p>
    <w:p>
      <w:pPr>
        <w:ind w:left="660" w:right="340"/>
        <w:spacing w:after="0" w:line="292" w:lineRule="auto"/>
        <w:rPr>
          <w:rFonts w:ascii="Arial" w:cs="Arial" w:eastAsia="Arial" w:hAnsi="Arial"/>
          <w:sz w:val="19"/>
          <w:szCs w:val="19"/>
          <w:color w:val="auto"/>
        </w:rPr>
      </w:pPr>
      <w:r>
        <w:rPr>
          <w:rFonts w:ascii="Arial" w:cs="Arial" w:eastAsia="Arial" w:hAnsi="Arial"/>
          <w:sz w:val="20"/>
          <w:szCs w:val="20"/>
          <w:color w:val="auto"/>
        </w:rPr>
        <w:t xml:space="preserve">THE MANNER PROVIDED FOR NOTICES IN </w:t>
      </w:r>
      <w:r>
        <w:rPr>
          <w:rFonts w:ascii="Arial" w:cs="Arial" w:eastAsia="Arial" w:hAnsi="Arial"/>
          <w:sz w:val="20"/>
          <w:szCs w:val="20"/>
          <w:u w:val="single" w:color="auto"/>
          <w:color w:val="auto"/>
        </w:rPr>
        <w:t>SECTION 11.02</w:t>
      </w:r>
      <w:r>
        <w:rPr>
          <w:rFonts w:ascii="Arial" w:cs="Arial" w:eastAsia="Arial" w:hAnsi="Arial"/>
          <w:sz w:val="20"/>
          <w:szCs w:val="20"/>
          <w:color w:val="auto"/>
        </w:rPr>
        <w:t>. NOTHING IN THIS CREDIT AGREEMENT WILL AFFECT THE RIGHT OF ANY PARTY HERETO TO SERVE PROCESS IN ANY OTHER MANNER PERMITTED BY APPLICABLE LAW.</w:t>
      </w:r>
    </w:p>
    <w:p>
      <w:pPr>
        <w:spacing w:after="0" w:line="187" w:lineRule="exact"/>
        <w:rPr>
          <w:sz w:val="20"/>
          <w:szCs w:val="20"/>
          <w:color w:val="auto"/>
        </w:rPr>
      </w:pPr>
    </w:p>
    <w:p>
      <w:pPr>
        <w:ind w:right="20" w:firstLine="648"/>
        <w:spacing w:after="0" w:line="302" w:lineRule="auto"/>
        <w:rPr>
          <w:sz w:val="20"/>
          <w:szCs w:val="20"/>
          <w:color w:val="auto"/>
        </w:rPr>
      </w:pPr>
      <w:r>
        <w:rPr>
          <w:rFonts w:ascii="Arial" w:cs="Arial" w:eastAsia="Arial" w:hAnsi="Arial"/>
          <w:sz w:val="19"/>
          <w:szCs w:val="19"/>
          <w:color w:val="auto"/>
        </w:rPr>
        <w:t xml:space="preserve">11.15 </w:t>
      </w:r>
      <w:r>
        <w:rPr>
          <w:rFonts w:ascii="Arial" w:cs="Arial" w:eastAsia="Arial" w:hAnsi="Arial"/>
          <w:sz w:val="19"/>
          <w:szCs w:val="19"/>
          <w:u w:val="single" w:color="auto"/>
          <w:color w:val="auto"/>
        </w:rPr>
        <w:t>Waiver of Jury Trial</w:t>
      </w:r>
      <w:r>
        <w:rPr>
          <w:rFonts w:ascii="Arial" w:cs="Arial" w:eastAsia="Arial" w:hAnsi="Arial"/>
          <w:sz w:val="19"/>
          <w:szCs w:val="19"/>
          <w:color w:val="auto"/>
        </w:rPr>
        <w:t>. EACH PARTY HERETO HEREBY IRREVOCABLY WAIVES, TO THE FULLEST EXTENT PERMITTED BY APPLICABLE LAW, ANY RIGHT IT MAY HAVE TO A TRIAL BY JURY IN ANY LEGAL PROCEEDING DIRECTLY OR INDIRECTLY ARISING OUT OF OR RELATING TO THIS CREDIT AGREEMENT OR ANY OTHER CREDIT DOCUMENT OR THE TRANSACTIONS CONTEMPLATED HEREBY OR THEREBY (WHETHER BASED ON CONTRACT, TORT OR ANY OTHER THEORY). EACH PARTY HERETO (A) CERTIFIES THAT NO REPRESENTATIVE, AGENT OR ATTORNEY OF ANY OTHER PERSON HAS REPRESENTED, EXPRESSLY OR OTHERWISE, THAT SUCH OTHER PERSON WOULD NOT, IN THE EVENT OF LITIGATION, SEEK TO ENFORCE THE FOREGOING WAIVER AND (B) ACKNOWLEDGES THAT IT AND THE OTHER PARTIES HERETO HAVE BEEN INDUCED TO ENTER INTO THIS CREDIT AGREEMENT AND THE OTHER CREDIT DOCUMENTS BY, AMONG OTHER THINGS, THE MUTUAL WAIVERS AND CERTIFICATIONS IN THIS SECTION.</w:t>
      </w:r>
    </w:p>
    <w:p>
      <w:pPr>
        <w:spacing w:after="0" w:line="186" w:lineRule="exact"/>
        <w:rPr>
          <w:sz w:val="20"/>
          <w:szCs w:val="20"/>
          <w:color w:val="auto"/>
        </w:rPr>
      </w:pPr>
    </w:p>
    <w:p>
      <w:pPr>
        <w:ind w:firstLine="648"/>
        <w:spacing w:after="0" w:line="270" w:lineRule="exact"/>
        <w:rPr>
          <w:sz w:val="20"/>
          <w:szCs w:val="20"/>
          <w:color w:val="auto"/>
        </w:rPr>
      </w:pPr>
      <w:r>
        <w:rPr>
          <w:rFonts w:ascii="Arial" w:cs="Arial" w:eastAsia="Arial" w:hAnsi="Arial"/>
          <w:sz w:val="18"/>
          <w:szCs w:val="18"/>
          <w:color w:val="auto"/>
        </w:rPr>
        <w:t xml:space="preserve">11.16 </w:t>
      </w:r>
      <w:r>
        <w:rPr>
          <w:rFonts w:ascii="Arial" w:cs="Arial" w:eastAsia="Arial" w:hAnsi="Arial"/>
          <w:sz w:val="18"/>
          <w:szCs w:val="18"/>
          <w:u w:val="single" w:color="auto"/>
          <w:color w:val="auto"/>
        </w:rPr>
        <w:t>No Advisory or Fiduciary Responsibility</w:t>
      </w:r>
      <w:r>
        <w:rPr>
          <w:rFonts w:ascii="Arial" w:cs="Arial" w:eastAsia="Arial" w:hAnsi="Arial"/>
          <w:sz w:val="18"/>
          <w:szCs w:val="18"/>
          <w:color w:val="auto"/>
        </w:rPr>
        <w:t>. In connection with all aspects of each transaction contemplated hereby (including in connection with any amendment, waiver or other modification hereof or of any other Credit Document), each Borrower and each other Credit Party acknowledges and agrees, and acknowledges its Affiliates’ understanding, that: (i) (A) the arranging and other services regarding this Credit Agreement provided by the Administrative Agent and the Arranger are arm’s</w:t>
      </w:r>
      <w:r>
        <w:rPr>
          <w:rFonts w:ascii="MS PGothic" w:cs="MS PGothic" w:eastAsia="MS PGothic" w:hAnsi="MS PGothic"/>
          <w:sz w:val="18"/>
          <w:szCs w:val="18"/>
          <w:color w:val="auto"/>
        </w:rPr>
        <w:t>‑</w:t>
      </w:r>
      <w:r>
        <w:rPr>
          <w:rFonts w:ascii="Arial" w:cs="Arial" w:eastAsia="Arial" w:hAnsi="Arial"/>
          <w:sz w:val="18"/>
          <w:szCs w:val="18"/>
          <w:color w:val="auto"/>
        </w:rPr>
        <w:t>length commercial transactions between such Borrower, each other Credit Party and their respective Affiliates, on the one hand, and the Administrative Agent and the Arranger, on the other hand, (B) each of such Borrower and the other Credit Parties has consulted its own legal, accounting, regulatory and tax advisors to the extent it has deemed appropriate, and (C) such Borrower and each other Credit Party is capable of evaluating, and understands and accepts, the terms, risks and conditions of the transactions contemplated hereby and by the other Credit Documents; (ii) (A) the Administrative Agent and the Arranger each is and has been acting solely as a principal and, except as expressly agreed in writing by the relevant parties, has not been, is not, and will not be acting as an advisor, agent or fiduciary for such Borrower, any other Credit Party or any of their respective Affiliates, or any other Person and (B) neither the Administrative Agent nor the Arranger has any obligation to such Borrower, any other Credit Party or any of their respective Affiliates with respect to the transactions contemplated hereby except those obligations expressly set forth herein and in the other Credit Documents; and (iii) the Administrative Agent and the Arranger and their respective Affiliates may be engaged in a broad range of transactions that involve interests that differ from those of such Borrower, the other Credit Parties and their respective Affiliates, and neither the Administrative Agent nor the Arranger has any obligation to disclose any of such interests to any Borrower, any other Credit Party or any of their respective Affiliates. To the fullest extent permitted by law, each of the Borrowers and the other Credit Parties hereby waives and releases any claims that it may have against the Administrative Agent and the Arranger with respect</w:t>
      </w:r>
    </w:p>
    <w:p>
      <w:pPr>
        <w:spacing w:after="0" w:line="200" w:lineRule="exact"/>
        <w:rPr>
          <w:sz w:val="20"/>
          <w:szCs w:val="20"/>
          <w:color w:val="auto"/>
        </w:rPr>
      </w:pPr>
    </w:p>
    <w:p>
      <w:pPr>
        <w:spacing w:after="0" w:line="263"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197</w:t>
      </w:r>
    </w:p>
    <w:p>
      <w:pPr>
        <w:spacing w:after="0" w:line="10" w:lineRule="exact"/>
        <w:rPr>
          <w:sz w:val="20"/>
          <w:szCs w:val="20"/>
          <w:color w:val="auto"/>
        </w:rPr>
      </w:pPr>
    </w:p>
    <w:p>
      <w:pPr>
        <w:spacing w:after="0"/>
        <w:rPr>
          <w:sz w:val="20"/>
          <w:szCs w:val="20"/>
          <w:color w:val="auto"/>
        </w:rPr>
      </w:pPr>
      <w:r>
        <w:rPr>
          <w:rFonts w:ascii="Arial" w:cs="Arial" w:eastAsia="Arial" w:hAnsi="Arial"/>
          <w:sz w:val="14"/>
          <w:szCs w:val="14"/>
          <w:color w:val="auto"/>
        </w:rPr>
        <w:t>CHAR1\1346423v</w:t>
      </w:r>
      <w:r>
        <w:rPr>
          <w:rFonts w:ascii="Arial" w:cs="Arial" w:eastAsia="Arial" w:hAnsi="Arial"/>
          <w:sz w:val="14"/>
          <w:szCs w:val="14"/>
          <w:color w:val="FF0000"/>
          <w:strike w:val="1"/>
        </w:rPr>
        <w:t>1</w:t>
      </w:r>
      <w:r>
        <w:rPr>
          <w:rFonts w:ascii="Arial" w:cs="Arial" w:eastAsia="Arial" w:hAnsi="Arial"/>
          <w:sz w:val="14"/>
          <w:szCs w:val="14"/>
          <w:u w:val="single" w:color="auto"/>
          <w:color w:val="0000FF"/>
        </w:rPr>
        <w:t>12</w:t>
      </w:r>
    </w:p>
    <w:p>
      <w:pPr>
        <w:sectPr>
          <w:pgSz w:w="11900" w:h="16838" w:orient="portrait"/>
          <w:cols w:equalWidth="0" w:num="1">
            <w:col w:w="11400"/>
          </w:cols>
          <w:pgMar w:left="240" w:top="609" w:right="259" w:bottom="1440" w:gutter="0" w:footer="0" w:header="0"/>
        </w:sectPr>
      </w:pPr>
    </w:p>
    <w:bookmarkStart w:id="249" w:name="page250"/>
    <w:bookmarkEnd w:id="249"/>
    <w:p>
      <w:pPr>
        <w:spacing w:after="0"/>
        <w:rPr>
          <w:sz w:val="20"/>
          <w:szCs w:val="20"/>
          <w:color w:val="auto"/>
        </w:rPr>
      </w:pPr>
      <w:r>
        <w:rPr>
          <w:rFonts w:ascii="Arial" w:cs="Arial" w:eastAsia="Arial" w:hAnsi="Arial"/>
          <w:sz w:val="19"/>
          <w:szCs w:val="19"/>
          <w:color w:val="auto"/>
        </w:rPr>
        <w:t>to any breach or alleged breach of agency or fiduciary duty in connection with any aspect of any transaction contemplated hereby.</w:t>
      </w:r>
    </w:p>
    <w:p>
      <w:pPr>
        <w:spacing w:after="0" w:line="268" w:lineRule="exact"/>
        <w:rPr>
          <w:sz w:val="20"/>
          <w:szCs w:val="20"/>
          <w:color w:val="auto"/>
        </w:rPr>
      </w:pPr>
    </w:p>
    <w:p>
      <w:pPr>
        <w:ind w:firstLine="648"/>
        <w:spacing w:after="0" w:line="303" w:lineRule="auto"/>
        <w:rPr>
          <w:sz w:val="20"/>
          <w:szCs w:val="20"/>
          <w:color w:val="auto"/>
        </w:rPr>
      </w:pPr>
      <w:r>
        <w:rPr>
          <w:rFonts w:ascii="Arial" w:cs="Arial" w:eastAsia="Arial" w:hAnsi="Arial"/>
          <w:sz w:val="19"/>
          <w:szCs w:val="19"/>
          <w:color w:val="auto"/>
        </w:rPr>
        <w:t xml:space="preserve">11.17 </w:t>
      </w:r>
      <w:r>
        <w:rPr>
          <w:rFonts w:ascii="Arial" w:cs="Arial" w:eastAsia="Arial" w:hAnsi="Arial"/>
          <w:sz w:val="19"/>
          <w:szCs w:val="19"/>
          <w:u w:val="single" w:color="auto"/>
          <w:color w:val="auto"/>
        </w:rPr>
        <w:t>USA PATRIOT Act Notice.</w:t>
      </w:r>
      <w:r>
        <w:rPr>
          <w:rFonts w:ascii="Arial" w:cs="Arial" w:eastAsia="Arial" w:hAnsi="Arial"/>
          <w:sz w:val="19"/>
          <w:szCs w:val="19"/>
          <w:color w:val="auto"/>
        </w:rPr>
        <w:t xml:space="preserve"> Each Lender that is subject to the Patriot Act (as hereinafter defined) and the Administrative Agent (for itself and not on behalf of any Lender) hereby notifies the Credit Parties that pursuant to the requirements of the USA Patriot Act (Title III of Pub. L. 107-56 (signed into law October 26, 2001)) (the “</w:t>
      </w:r>
      <w:r>
        <w:rPr>
          <w:rFonts w:ascii="Arial" w:cs="Arial" w:eastAsia="Arial" w:hAnsi="Arial"/>
          <w:sz w:val="19"/>
          <w:szCs w:val="19"/>
          <w:u w:val="single" w:color="auto"/>
          <w:color w:val="auto"/>
        </w:rPr>
        <w:t>Patriot Act</w:t>
      </w:r>
      <w:r>
        <w:rPr>
          <w:rFonts w:ascii="Arial" w:cs="Arial" w:eastAsia="Arial" w:hAnsi="Arial"/>
          <w:sz w:val="19"/>
          <w:szCs w:val="19"/>
          <w:color w:val="auto"/>
        </w:rPr>
        <w:t>”), it is required to obtain, verify and record information that identifies the Credit Parties, which information includes the name and address of the Credit Parties and other information that will allow such Lender or the Administrative Agent, as applicable, to identify the Credit Parties in accordance with the Act. The Credit Parties shall, promptly following a request by the Administrative Agent or any Lender, provide all documentation and other information that the Administrative Agent or such Lender requests in order to comply with its ongoing obligations under applicable “know your customer” and anti-money laundering rules and regulations, including the Act.</w:t>
      </w:r>
    </w:p>
    <w:p>
      <w:pPr>
        <w:spacing w:after="0" w:line="184" w:lineRule="exact"/>
        <w:rPr>
          <w:sz w:val="20"/>
          <w:szCs w:val="20"/>
          <w:color w:val="auto"/>
        </w:rPr>
      </w:pPr>
    </w:p>
    <w:p>
      <w:pPr>
        <w:ind w:right="20" w:firstLine="648"/>
        <w:spacing w:after="0" w:line="318" w:lineRule="auto"/>
        <w:rPr>
          <w:sz w:val="20"/>
          <w:szCs w:val="20"/>
          <w:color w:val="auto"/>
        </w:rPr>
      </w:pPr>
      <w:r>
        <w:rPr>
          <w:rFonts w:ascii="Arial" w:cs="Arial" w:eastAsia="Arial" w:hAnsi="Arial"/>
          <w:sz w:val="18"/>
          <w:szCs w:val="18"/>
          <w:color w:val="auto"/>
        </w:rPr>
        <w:t xml:space="preserve">11.18 </w:t>
      </w:r>
      <w:r>
        <w:rPr>
          <w:rFonts w:ascii="Arial" w:cs="Arial" w:eastAsia="Arial" w:hAnsi="Arial"/>
          <w:sz w:val="18"/>
          <w:szCs w:val="18"/>
          <w:u w:val="single" w:color="auto"/>
          <w:color w:val="auto"/>
        </w:rPr>
        <w:t>Judgment Currency</w:t>
      </w:r>
      <w:r>
        <w:rPr>
          <w:rFonts w:ascii="Arial" w:cs="Arial" w:eastAsia="Arial" w:hAnsi="Arial"/>
          <w:sz w:val="18"/>
          <w:szCs w:val="18"/>
          <w:color w:val="auto"/>
        </w:rPr>
        <w:t>. If, for the purposes of obtaining judgment in any court, it is necessary to convert a sum due hereunder or any other Credit Document in one currency into another currency, the rate of exchange used shall be that at which in accordance with normal banking procedures the Administrative Agent could purchase the first currency with such other currency on the Business Day preceding that on which final judgment is given. The obligation of each Credit Party in respect of any such sum due from it to the Administrative Agent or any Lender hereunder or under the other Credit Documents shall, notwithstanding any judgment in a currency (the “</w:t>
      </w:r>
      <w:r>
        <w:rPr>
          <w:rFonts w:ascii="Arial" w:cs="Arial" w:eastAsia="Arial" w:hAnsi="Arial"/>
          <w:sz w:val="18"/>
          <w:szCs w:val="18"/>
          <w:u w:val="single" w:color="auto"/>
          <w:color w:val="auto"/>
        </w:rPr>
        <w:t>Judgment Currency</w:t>
      </w:r>
      <w:r>
        <w:rPr>
          <w:rFonts w:ascii="Arial" w:cs="Arial" w:eastAsia="Arial" w:hAnsi="Arial"/>
          <w:sz w:val="18"/>
          <w:szCs w:val="18"/>
          <w:color w:val="auto"/>
        </w:rPr>
        <w:t>”) other than that in which such sum is denominated in accordance with the applicable provisions of this Credit Agreement (the “</w:t>
      </w:r>
      <w:r>
        <w:rPr>
          <w:rFonts w:ascii="Arial" w:cs="Arial" w:eastAsia="Arial" w:hAnsi="Arial"/>
          <w:sz w:val="18"/>
          <w:szCs w:val="18"/>
          <w:u w:val="single" w:color="auto"/>
          <w:color w:val="auto"/>
        </w:rPr>
        <w:t>Agreement</w:t>
      </w:r>
      <w:r>
        <w:rPr>
          <w:rFonts w:ascii="Arial" w:cs="Arial" w:eastAsia="Arial" w:hAnsi="Arial"/>
          <w:sz w:val="18"/>
          <w:szCs w:val="18"/>
          <w:color w:val="auto"/>
        </w:rPr>
        <w:t xml:space="preserve"> </w:t>
      </w:r>
      <w:r>
        <w:rPr>
          <w:rFonts w:ascii="Arial" w:cs="Arial" w:eastAsia="Arial" w:hAnsi="Arial"/>
          <w:sz w:val="18"/>
          <w:szCs w:val="18"/>
          <w:u w:val="single" w:color="auto"/>
          <w:color w:val="auto"/>
        </w:rPr>
        <w:t>Currency</w:t>
      </w:r>
      <w:r>
        <w:rPr>
          <w:rFonts w:ascii="Arial" w:cs="Arial" w:eastAsia="Arial" w:hAnsi="Arial"/>
          <w:sz w:val="18"/>
          <w:szCs w:val="18"/>
          <w:color w:val="auto"/>
        </w:rPr>
        <w:t>”), be discharged only to the extent that on the Business Day following receipt by the Administrative Agent or such Lender, as the case may be, of any sum adjudged to be so due in the Judgment Currency, the Administrative Agent or such Lender, as the case may be, may in accordance with normal banking procedures purchase the Agreement Currency with the Judgment Currency. If the amount of the Agreement Currency so purchased is less than the sum originally due to the Administrative Agent or any Lender from any Borrower in the Agreement Currency, such Borrower agrees, as a separate obligation and notwithstanding any such judgment, to indemnify the Administrative Agent or such Lender, as the case may be, against such loss. If the amount of the Agreement Currency so purchased is greater than the sum originally due to the Administrative Agent or any Lender in such currency, the Administrative Agent or such Lender, as the case may be, agrees to return the amount of any excess to such Borrower (or to any other Person who may be entitled thereto under applicable law).</w:t>
      </w:r>
    </w:p>
    <w:p>
      <w:pPr>
        <w:spacing w:after="0" w:line="171" w:lineRule="exact"/>
        <w:rPr>
          <w:sz w:val="20"/>
          <w:szCs w:val="20"/>
          <w:color w:val="auto"/>
        </w:rPr>
      </w:pPr>
    </w:p>
    <w:p>
      <w:pPr>
        <w:ind w:right="80" w:firstLine="648"/>
        <w:spacing w:after="0" w:line="326" w:lineRule="auto"/>
        <w:rPr>
          <w:sz w:val="20"/>
          <w:szCs w:val="20"/>
          <w:color w:val="auto"/>
        </w:rPr>
      </w:pPr>
      <w:r>
        <w:rPr>
          <w:rFonts w:ascii="Arial" w:cs="Arial" w:eastAsia="Arial" w:hAnsi="Arial"/>
          <w:sz w:val="18"/>
          <w:szCs w:val="18"/>
          <w:color w:val="auto"/>
        </w:rPr>
        <w:t xml:space="preserve">11.19 </w:t>
      </w:r>
      <w:r>
        <w:rPr>
          <w:rFonts w:ascii="Arial" w:cs="Arial" w:eastAsia="Arial" w:hAnsi="Arial"/>
          <w:sz w:val="18"/>
          <w:szCs w:val="18"/>
          <w:u w:val="single" w:color="auto"/>
          <w:color w:val="auto"/>
        </w:rPr>
        <w:t>Electronic Execution of Assignments and Certain Other Documents</w:t>
      </w:r>
      <w:r>
        <w:rPr>
          <w:rFonts w:ascii="Arial" w:cs="Arial" w:eastAsia="Arial" w:hAnsi="Arial"/>
          <w:sz w:val="18"/>
          <w:szCs w:val="18"/>
          <w:color w:val="auto"/>
        </w:rPr>
        <w:t>. The words “execution,” “signed,” “signature,” and words of like import in any Assignment and Assumption or in any amendment or other modification hereof (including waivers and consents) shall be deemed to include electronic signatures or the keeping of records in electronic form, each of which shall be of the same legal effect, validity or enforceability as a manually executed signature or the use of a paper-based recordkeeping system, as the case may be, to the extent and as provided for in any applicable law, including the Federal Electronic Signatures in Global and National Commerce Act, the New York State Electronic Signatures and Records Act, or any other similar state laws based on the Uniform Electronic Transactions Act.</w:t>
      </w:r>
    </w:p>
    <w:p>
      <w:pPr>
        <w:spacing w:after="0" w:line="379"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198</w:t>
      </w:r>
    </w:p>
    <w:p>
      <w:pPr>
        <w:spacing w:after="0" w:line="10" w:lineRule="exact"/>
        <w:rPr>
          <w:sz w:val="20"/>
          <w:szCs w:val="20"/>
          <w:color w:val="auto"/>
        </w:rPr>
      </w:pPr>
    </w:p>
    <w:p>
      <w:pPr>
        <w:spacing w:after="0"/>
        <w:rPr>
          <w:sz w:val="20"/>
          <w:szCs w:val="20"/>
          <w:color w:val="auto"/>
        </w:rPr>
      </w:pPr>
      <w:r>
        <w:rPr>
          <w:rFonts w:ascii="Arial" w:cs="Arial" w:eastAsia="Arial" w:hAnsi="Arial"/>
          <w:sz w:val="14"/>
          <w:szCs w:val="14"/>
          <w:color w:val="auto"/>
        </w:rPr>
        <w:t>CHAR1\1346423v</w:t>
      </w:r>
      <w:r>
        <w:rPr>
          <w:rFonts w:ascii="Arial" w:cs="Arial" w:eastAsia="Arial" w:hAnsi="Arial"/>
          <w:sz w:val="14"/>
          <w:szCs w:val="14"/>
          <w:color w:val="FF0000"/>
          <w:strike w:val="1"/>
        </w:rPr>
        <w:t>1</w:t>
      </w:r>
      <w:r>
        <w:rPr>
          <w:rFonts w:ascii="Arial" w:cs="Arial" w:eastAsia="Arial" w:hAnsi="Arial"/>
          <w:sz w:val="14"/>
          <w:szCs w:val="14"/>
          <w:u w:val="single" w:color="auto"/>
          <w:color w:val="0000FF"/>
        </w:rPr>
        <w:t>12</w:t>
      </w:r>
    </w:p>
    <w:p>
      <w:pPr>
        <w:sectPr>
          <w:pgSz w:w="11900" w:h="16838" w:orient="portrait"/>
          <w:cols w:equalWidth="0" w:num="1">
            <w:col w:w="11400"/>
          </w:cols>
          <w:pgMar w:left="240" w:top="609" w:right="259" w:bottom="1440" w:gutter="0" w:footer="0" w:header="0"/>
        </w:sectPr>
      </w:pPr>
    </w:p>
    <w:bookmarkStart w:id="250" w:name="page251"/>
    <w:bookmarkEnd w:id="250"/>
    <w:p>
      <w:pPr>
        <w:ind w:right="220" w:firstLine="648"/>
        <w:spacing w:after="0" w:line="456" w:lineRule="auto"/>
        <w:rPr>
          <w:sz w:val="20"/>
          <w:szCs w:val="20"/>
          <w:color w:val="auto"/>
        </w:rPr>
      </w:pPr>
      <w:r>
        <w:rPr>
          <w:rFonts w:ascii="Arial" w:cs="Arial" w:eastAsia="Arial" w:hAnsi="Arial"/>
          <w:sz w:val="16"/>
          <w:szCs w:val="16"/>
          <w:color w:val="auto"/>
        </w:rPr>
        <w:t xml:space="preserve">11.20 </w:t>
      </w:r>
      <w:r>
        <w:rPr>
          <w:rFonts w:ascii="Arial" w:cs="Arial" w:eastAsia="Arial" w:hAnsi="Arial"/>
          <w:sz w:val="16"/>
          <w:szCs w:val="16"/>
          <w:u w:val="single" w:color="auto"/>
          <w:color w:val="auto"/>
        </w:rPr>
        <w:t>Designation as Senior Debt</w:t>
      </w:r>
      <w:r>
        <w:rPr>
          <w:rFonts w:ascii="Arial" w:cs="Arial" w:eastAsia="Arial" w:hAnsi="Arial"/>
          <w:sz w:val="16"/>
          <w:szCs w:val="16"/>
          <w:color w:val="auto"/>
        </w:rPr>
        <w:t>. All Obligations shall be “Designated Senior Debt” for purposes of and as defined in that certain Indenture dated as of October 4, 2005, between EWI and U.S. Bank National Association, as trustee, and all supplemental indentures thereto.</w:t>
      </w:r>
    </w:p>
    <w:p>
      <w:pPr>
        <w:spacing w:after="0" w:line="71" w:lineRule="exact"/>
        <w:rPr>
          <w:sz w:val="20"/>
          <w:szCs w:val="20"/>
          <w:color w:val="auto"/>
        </w:rPr>
      </w:pPr>
    </w:p>
    <w:p>
      <w:pPr>
        <w:ind w:right="40" w:firstLine="648"/>
        <w:spacing w:after="0" w:line="288" w:lineRule="auto"/>
        <w:rPr>
          <w:sz w:val="20"/>
          <w:szCs w:val="20"/>
          <w:color w:val="auto"/>
        </w:rPr>
      </w:pPr>
      <w:r>
        <w:rPr>
          <w:rFonts w:ascii="Arial" w:cs="Arial" w:eastAsia="Arial" w:hAnsi="Arial"/>
          <w:sz w:val="20"/>
          <w:szCs w:val="20"/>
          <w:color w:val="auto"/>
        </w:rPr>
        <w:t xml:space="preserve">11.21 </w:t>
      </w:r>
      <w:r>
        <w:rPr>
          <w:rFonts w:ascii="Arial" w:cs="Arial" w:eastAsia="Arial" w:hAnsi="Arial"/>
          <w:sz w:val="20"/>
          <w:szCs w:val="20"/>
          <w:u w:val="single" w:color="auto"/>
          <w:color w:val="auto"/>
        </w:rPr>
        <w:t>Limitations of the German Obligors’ Liability (Preservation of German Obligors’ share capital - Stammkapital)</w:t>
      </w:r>
      <w:r>
        <w:rPr>
          <w:rFonts w:ascii="Arial" w:cs="Arial" w:eastAsia="Arial" w:hAnsi="Arial"/>
          <w:sz w:val="20"/>
          <w:szCs w:val="20"/>
          <w:color w:val="auto"/>
        </w:rPr>
        <w:t>. To the extent a German Obligor is jointly and severally liable under this Credit Agreement and the Credit Documents for liabilities of other Borrowers which are direct or indirect shareholders of the respective German Obligor (“</w:t>
      </w:r>
      <w:r>
        <w:rPr>
          <w:rFonts w:ascii="Arial" w:cs="Arial" w:eastAsia="Arial" w:hAnsi="Arial"/>
          <w:sz w:val="20"/>
          <w:szCs w:val="20"/>
          <w:u w:val="single" w:color="auto"/>
          <w:color w:val="auto"/>
        </w:rPr>
        <w:t>German Obligor Shareholder</w:t>
      </w:r>
      <w:r>
        <w:rPr>
          <w:rFonts w:ascii="Arial" w:cs="Arial" w:eastAsia="Arial" w:hAnsi="Arial"/>
          <w:sz w:val="20"/>
          <w:szCs w:val="20"/>
          <w:color w:val="auto"/>
        </w:rPr>
        <w:t>”) or for liabilities of a German Obligor Shareholder’s affiliate within the meaning of §§ 15 et seq. German Stock Corporation Act (Aktiengesetz) (other than subsidiaries of the respective German Obligor) (such liability being referred to as “</w:t>
      </w:r>
      <w:r>
        <w:rPr>
          <w:rFonts w:ascii="Arial" w:cs="Arial" w:eastAsia="Arial" w:hAnsi="Arial"/>
          <w:sz w:val="20"/>
          <w:szCs w:val="20"/>
          <w:u w:val="single" w:color="auto"/>
          <w:color w:val="auto"/>
        </w:rPr>
        <w:t>Up-Stream Liabilities</w:t>
      </w:r>
      <w:r>
        <w:rPr>
          <w:rFonts w:ascii="Arial" w:cs="Arial" w:eastAsia="Arial" w:hAnsi="Arial"/>
          <w:sz w:val="20"/>
          <w:szCs w:val="20"/>
          <w:color w:val="auto"/>
        </w:rPr>
        <w:t>”) the respective German Obligor’s liability shall be subject to the following restrictions.</w:t>
      </w:r>
    </w:p>
    <w:p>
      <w:pPr>
        <w:spacing w:after="0" w:line="194" w:lineRule="exact"/>
        <w:rPr>
          <w:sz w:val="20"/>
          <w:szCs w:val="20"/>
          <w:color w:val="auto"/>
        </w:rPr>
      </w:pPr>
    </w:p>
    <w:p>
      <w:pPr>
        <w:ind w:left="1700" w:hanging="395"/>
        <w:spacing w:after="0"/>
        <w:tabs>
          <w:tab w:leader="none" w:pos="1700" w:val="left"/>
        </w:tabs>
        <w:numPr>
          <w:ilvl w:val="0"/>
          <w:numId w:val="283"/>
        </w:numPr>
        <w:rPr>
          <w:rFonts w:ascii="Arial" w:cs="Arial" w:eastAsia="Arial" w:hAnsi="Arial"/>
          <w:sz w:val="19"/>
          <w:szCs w:val="19"/>
          <w:color w:val="auto"/>
        </w:rPr>
      </w:pPr>
      <w:r>
        <w:rPr>
          <w:rFonts w:ascii="Arial" w:cs="Arial" w:eastAsia="Arial" w:hAnsi="Arial"/>
          <w:sz w:val="19"/>
          <w:szCs w:val="19"/>
          <w:u w:val="single" w:color="auto"/>
          <w:color w:val="auto"/>
        </w:rPr>
        <w:t>Limitation of Liability</w:t>
      </w:r>
      <w:r>
        <w:rPr>
          <w:rFonts w:ascii="Arial" w:cs="Arial" w:eastAsia="Arial" w:hAnsi="Arial"/>
          <w:sz w:val="19"/>
          <w:szCs w:val="19"/>
          <w:color w:val="auto"/>
        </w:rPr>
        <w:t>. The Administrative Agent and the Lenders agree not to assert and enforce any Up-Stream</w:t>
      </w:r>
    </w:p>
    <w:p>
      <w:pPr>
        <w:spacing w:after="0" w:line="65" w:lineRule="exact"/>
        <w:rPr>
          <w:rFonts w:ascii="Arial" w:cs="Arial" w:eastAsia="Arial" w:hAnsi="Arial"/>
          <w:sz w:val="19"/>
          <w:szCs w:val="19"/>
          <w:color w:val="auto"/>
        </w:rPr>
      </w:pPr>
    </w:p>
    <w:p>
      <w:pPr>
        <w:ind w:left="660" w:right="40"/>
        <w:spacing w:after="0" w:line="318" w:lineRule="auto"/>
        <w:rPr>
          <w:rFonts w:ascii="Arial" w:cs="Arial" w:eastAsia="Arial" w:hAnsi="Arial"/>
          <w:sz w:val="19"/>
          <w:szCs w:val="19"/>
          <w:color w:val="auto"/>
        </w:rPr>
      </w:pPr>
      <w:r>
        <w:rPr>
          <w:rFonts w:ascii="Arial" w:cs="Arial" w:eastAsia="Arial" w:hAnsi="Arial"/>
          <w:sz w:val="18"/>
          <w:szCs w:val="18"/>
          <w:color w:val="auto"/>
        </w:rPr>
        <w:t>Liabilities against the respective German Obligor to the extent that the enforcement of such liabilities against the respective German Obligor would result in (i) a reduction of the respective German Obligor’s Net Assets (Nettovermögen) (as defined in (b) below) to an amount less than its registered share capital (Stammkapital), or (ii) if the Net Assets had prior to such enforcement already fallen below the amount of the registered share capital, a further reduction of the Net Assets, and thereby affect the assets required for the statutory preservation of the German Obligor’s registered share capital according to §§ 30, 31 of the German Act on Limited Liability Companies (GmbHG). For the purpose of determining whether an enforcement of Up-Stream Liabilities results in one of the effects set out in this paragraph (a), any recourse claim (Rückgriffsanspruch) which the respective German Obligor has, or would acquire as a result of such enforcement, shall be taken into account to the extent that such recourse claim is valuable (werthaltig). To the extent that there is such valuable recourse claim, the restrictions on the assertion and enforcement of any Up-Stream Liability against the respective German Obligor set forth in this Section 11.21 shall not apply.</w:t>
      </w:r>
    </w:p>
    <w:p>
      <w:pPr>
        <w:spacing w:after="0" w:line="174" w:lineRule="exact"/>
        <w:rPr>
          <w:rFonts w:ascii="Arial" w:cs="Arial" w:eastAsia="Arial" w:hAnsi="Arial"/>
          <w:sz w:val="19"/>
          <w:szCs w:val="19"/>
          <w:color w:val="auto"/>
        </w:rPr>
      </w:pPr>
    </w:p>
    <w:p>
      <w:pPr>
        <w:ind w:left="1720" w:hanging="415"/>
        <w:spacing w:after="0"/>
        <w:tabs>
          <w:tab w:leader="none" w:pos="1720" w:val="left"/>
        </w:tabs>
        <w:numPr>
          <w:ilvl w:val="0"/>
          <w:numId w:val="283"/>
        </w:numPr>
        <w:rPr>
          <w:rFonts w:ascii="Arial" w:cs="Arial" w:eastAsia="Arial" w:hAnsi="Arial"/>
          <w:sz w:val="16"/>
          <w:szCs w:val="16"/>
          <w:color w:val="auto"/>
        </w:rPr>
      </w:pPr>
      <w:r>
        <w:rPr>
          <w:rFonts w:ascii="Arial" w:cs="Arial" w:eastAsia="Arial" w:hAnsi="Arial"/>
          <w:sz w:val="16"/>
          <w:szCs w:val="16"/>
          <w:u w:val="single" w:color="auto"/>
          <w:color w:val="auto"/>
        </w:rPr>
        <w:t>Determination of Net Asset’s Value</w:t>
      </w:r>
      <w:r>
        <w:rPr>
          <w:rFonts w:ascii="Arial" w:cs="Arial" w:eastAsia="Arial" w:hAnsi="Arial"/>
          <w:sz w:val="16"/>
          <w:szCs w:val="16"/>
          <w:color w:val="auto"/>
        </w:rPr>
        <w:t>. The value of the Net Assets (the “</w:t>
      </w:r>
      <w:r>
        <w:rPr>
          <w:rFonts w:ascii="Arial" w:cs="Arial" w:eastAsia="Arial" w:hAnsi="Arial"/>
          <w:sz w:val="16"/>
          <w:szCs w:val="16"/>
          <w:u w:val="single" w:color="auto"/>
          <w:color w:val="auto"/>
        </w:rPr>
        <w:t>Net Assets</w:t>
      </w:r>
      <w:r>
        <w:rPr>
          <w:rFonts w:ascii="Arial" w:cs="Arial" w:eastAsia="Arial" w:hAnsi="Arial"/>
          <w:sz w:val="16"/>
          <w:szCs w:val="16"/>
          <w:color w:val="auto"/>
        </w:rPr>
        <w:t>”) shall be determined by a balance sheet</w:t>
      </w:r>
    </w:p>
    <w:p>
      <w:pPr>
        <w:spacing w:after="0" w:line="99" w:lineRule="exact"/>
        <w:rPr>
          <w:rFonts w:ascii="Arial" w:cs="Arial" w:eastAsia="Arial" w:hAnsi="Arial"/>
          <w:sz w:val="16"/>
          <w:szCs w:val="16"/>
          <w:color w:val="auto"/>
        </w:rPr>
      </w:pPr>
    </w:p>
    <w:p>
      <w:pPr>
        <w:ind w:left="660" w:right="80"/>
        <w:spacing w:after="0" w:line="287" w:lineRule="auto"/>
        <w:rPr>
          <w:rFonts w:ascii="Arial" w:cs="Arial" w:eastAsia="Arial" w:hAnsi="Arial"/>
          <w:sz w:val="16"/>
          <w:szCs w:val="16"/>
          <w:color w:val="auto"/>
        </w:rPr>
      </w:pPr>
      <w:r>
        <w:rPr>
          <w:rFonts w:ascii="Arial" w:cs="Arial" w:eastAsia="Arial" w:hAnsi="Arial"/>
          <w:sz w:val="20"/>
          <w:szCs w:val="20"/>
          <w:color w:val="auto"/>
        </w:rPr>
        <w:t>prepared in accordance with generally accepted accounting principles in Germany and with the principles for ordinary bookkeeping and the preparation of balance sheets as they were consistently applied by the respective German Obligor in preparing its unconsolidated balance sheets (Jahresabschluss according to § 42 German Act on Limited Liability Companies, §§ 242, 264 of the German Commercial Code in previous years, save that for the determination of Net Assets the lower of the book value (Buchwert) and realization value (Liquidationswert) shall be relevant.</w:t>
      </w:r>
    </w:p>
    <w:p>
      <w:pPr>
        <w:spacing w:after="0" w:line="191" w:lineRule="exact"/>
        <w:rPr>
          <w:rFonts w:ascii="Arial" w:cs="Arial" w:eastAsia="Arial" w:hAnsi="Arial"/>
          <w:sz w:val="16"/>
          <w:szCs w:val="16"/>
          <w:color w:val="auto"/>
        </w:rPr>
      </w:pPr>
    </w:p>
    <w:p>
      <w:pPr>
        <w:ind w:left="1700" w:hanging="395"/>
        <w:spacing w:after="0"/>
        <w:tabs>
          <w:tab w:leader="none" w:pos="1700" w:val="left"/>
        </w:tabs>
        <w:numPr>
          <w:ilvl w:val="0"/>
          <w:numId w:val="283"/>
        </w:numPr>
        <w:rPr>
          <w:rFonts w:ascii="Arial" w:cs="Arial" w:eastAsia="Arial" w:hAnsi="Arial"/>
          <w:sz w:val="18"/>
          <w:szCs w:val="18"/>
          <w:color w:val="auto"/>
        </w:rPr>
      </w:pPr>
      <w:r>
        <w:rPr>
          <w:rFonts w:ascii="Arial" w:cs="Arial" w:eastAsia="Arial" w:hAnsi="Arial"/>
          <w:sz w:val="18"/>
          <w:szCs w:val="18"/>
          <w:u w:val="single" w:color="auto"/>
          <w:color w:val="auto"/>
        </w:rPr>
        <w:t>Realization of Assets</w:t>
      </w:r>
      <w:r>
        <w:rPr>
          <w:rFonts w:ascii="Arial" w:cs="Arial" w:eastAsia="Arial" w:hAnsi="Arial"/>
          <w:sz w:val="18"/>
          <w:szCs w:val="18"/>
          <w:color w:val="auto"/>
        </w:rPr>
        <w:t>. If the respective German Obligor is of the opinion that an enforcement of Up-Stream Liabilities</w:t>
      </w:r>
    </w:p>
    <w:p>
      <w:pPr>
        <w:spacing w:after="0" w:line="76" w:lineRule="exact"/>
        <w:rPr>
          <w:rFonts w:ascii="Arial" w:cs="Arial" w:eastAsia="Arial" w:hAnsi="Arial"/>
          <w:sz w:val="18"/>
          <w:szCs w:val="18"/>
          <w:color w:val="auto"/>
        </w:rPr>
      </w:pPr>
    </w:p>
    <w:p>
      <w:pPr>
        <w:jc w:val="both"/>
        <w:ind w:left="660" w:right="200"/>
        <w:spacing w:after="0" w:line="292" w:lineRule="auto"/>
        <w:rPr>
          <w:rFonts w:ascii="Arial" w:cs="Arial" w:eastAsia="Arial" w:hAnsi="Arial"/>
          <w:sz w:val="18"/>
          <w:szCs w:val="18"/>
          <w:color w:val="auto"/>
        </w:rPr>
      </w:pPr>
      <w:r>
        <w:rPr>
          <w:rFonts w:ascii="Arial" w:cs="Arial" w:eastAsia="Arial" w:hAnsi="Arial"/>
          <w:sz w:val="20"/>
          <w:szCs w:val="20"/>
          <w:color w:val="auto"/>
        </w:rPr>
        <w:t>against the respective German Obligor results in one of the effects described in (a) above, the respective German Obligor shall notify promptly, however, no later than one week after the Administrative Agent claims payment on any such liability against the respective German Obligor, the amount of the Net Assets to the Administrative Agent. If the</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199</w:t>
      </w:r>
    </w:p>
    <w:p>
      <w:pPr>
        <w:spacing w:after="0" w:line="10" w:lineRule="exact"/>
        <w:rPr>
          <w:sz w:val="20"/>
          <w:szCs w:val="20"/>
          <w:color w:val="auto"/>
        </w:rPr>
      </w:pPr>
    </w:p>
    <w:p>
      <w:pPr>
        <w:spacing w:after="0"/>
        <w:rPr>
          <w:sz w:val="20"/>
          <w:szCs w:val="20"/>
          <w:color w:val="auto"/>
        </w:rPr>
      </w:pPr>
      <w:r>
        <w:rPr>
          <w:rFonts w:ascii="Arial" w:cs="Arial" w:eastAsia="Arial" w:hAnsi="Arial"/>
          <w:sz w:val="14"/>
          <w:szCs w:val="14"/>
          <w:color w:val="auto"/>
        </w:rPr>
        <w:t>CHAR1\1346423v</w:t>
      </w:r>
      <w:r>
        <w:rPr>
          <w:rFonts w:ascii="Arial" w:cs="Arial" w:eastAsia="Arial" w:hAnsi="Arial"/>
          <w:sz w:val="14"/>
          <w:szCs w:val="14"/>
          <w:color w:val="FF0000"/>
          <w:strike w:val="1"/>
        </w:rPr>
        <w:t>1</w:t>
      </w:r>
      <w:r>
        <w:rPr>
          <w:rFonts w:ascii="Arial" w:cs="Arial" w:eastAsia="Arial" w:hAnsi="Arial"/>
          <w:sz w:val="14"/>
          <w:szCs w:val="14"/>
          <w:u w:val="single" w:color="auto"/>
          <w:color w:val="0000FF"/>
        </w:rPr>
        <w:t>12</w:t>
      </w:r>
    </w:p>
    <w:p>
      <w:pPr>
        <w:sectPr>
          <w:pgSz w:w="11900" w:h="16838" w:orient="portrait"/>
          <w:cols w:equalWidth="0" w:num="1">
            <w:col w:w="11420"/>
          </w:cols>
          <w:pgMar w:left="240" w:top="609" w:right="239" w:bottom="1440" w:gutter="0" w:footer="0" w:header="0"/>
        </w:sectPr>
      </w:pPr>
    </w:p>
    <w:bookmarkStart w:id="251" w:name="page252"/>
    <w:bookmarkEnd w:id="251"/>
    <w:p>
      <w:pPr>
        <w:ind w:left="660"/>
        <w:spacing w:after="0" w:line="317" w:lineRule="auto"/>
        <w:rPr>
          <w:sz w:val="20"/>
          <w:szCs w:val="20"/>
          <w:color w:val="auto"/>
        </w:rPr>
      </w:pPr>
      <w:r>
        <w:rPr>
          <w:rFonts w:ascii="Arial" w:cs="Arial" w:eastAsia="Arial" w:hAnsi="Arial"/>
          <w:sz w:val="18"/>
          <w:szCs w:val="18"/>
          <w:color w:val="auto"/>
        </w:rPr>
        <w:t>Administrative Agent disagrees with the amount of the Net Assets notified by the respective German Obligor, the Administrative Agent shall so notify the respective German Obligor within one week after receipt of the respective German Obligor’s notification of the Net Assets pursuant to the preceding sentence. In this case the Administrative Agent shall engage a firm of auditors of international standard and repute which shall proceed to review the accounts of the respective German Obligor in order to prepare an up to date balance sheet and to determine the Net Assets. Such balance sheet and determination of Net Assets shall be prepared in accordance with the principles set forth in (b) above. The Administrative Agent shall immediately notify the respective German Obligor of the engagement of the auditor. The cost of such engagement of the auditor shall be borne by the respective German Obligor. The Administrative Agent shall be entitled to request advance payment from the respective German Obligor for the cost of such engagement of the auditor. The respective German Obligor shall render the assistance required to facilitate the aforementioned review of accounts and shall allow full access to its books, accounts and other necessary company records. The Administrative Agent shall procure that the auditors forward the balance sheet and the determination of the Net Assets to the respective German Obligor and the Administrative Agent with a copy to EWI, immediately after their preparation. The Administrative Agent shall refrain from enforcing any Up-Stream Liabilities until the respective German Obligor has received the auditor’s balance sheet and the determination of the Net Assets, such determination being final and binding on the respective German Obligor, the Administrative Agent and the Lenders.</w:t>
      </w:r>
    </w:p>
    <w:p>
      <w:pPr>
        <w:spacing w:after="0" w:line="170" w:lineRule="exact"/>
        <w:rPr>
          <w:sz w:val="20"/>
          <w:szCs w:val="20"/>
          <w:color w:val="auto"/>
        </w:rPr>
      </w:pPr>
    </w:p>
    <w:p>
      <w:pPr>
        <w:ind w:left="1720" w:hanging="415"/>
        <w:spacing w:after="0"/>
        <w:tabs>
          <w:tab w:leader="none" w:pos="1720" w:val="left"/>
        </w:tabs>
        <w:numPr>
          <w:ilvl w:val="0"/>
          <w:numId w:val="284"/>
        </w:numPr>
        <w:rPr>
          <w:rFonts w:ascii="Arial" w:cs="Arial" w:eastAsia="Arial" w:hAnsi="Arial"/>
          <w:sz w:val="18"/>
          <w:szCs w:val="18"/>
          <w:color w:val="auto"/>
        </w:rPr>
      </w:pPr>
      <w:r>
        <w:rPr>
          <w:rFonts w:ascii="Arial" w:cs="Arial" w:eastAsia="Arial" w:hAnsi="Arial"/>
          <w:sz w:val="18"/>
          <w:szCs w:val="18"/>
          <w:u w:val="single" w:color="auto"/>
          <w:color w:val="auto"/>
        </w:rPr>
        <w:t>Realization of Assets</w:t>
      </w:r>
      <w:r>
        <w:rPr>
          <w:rFonts w:ascii="Arial" w:cs="Arial" w:eastAsia="Arial" w:hAnsi="Arial"/>
          <w:sz w:val="18"/>
          <w:szCs w:val="18"/>
          <w:color w:val="auto"/>
        </w:rPr>
        <w:t>. If the respective German Obligor is of the opinion that an enforcement of an Up-Stream Liability</w:t>
      </w:r>
    </w:p>
    <w:p>
      <w:pPr>
        <w:spacing w:after="0" w:line="76" w:lineRule="exact"/>
        <w:rPr>
          <w:rFonts w:ascii="Arial" w:cs="Arial" w:eastAsia="Arial" w:hAnsi="Arial"/>
          <w:sz w:val="18"/>
          <w:szCs w:val="18"/>
          <w:color w:val="auto"/>
        </w:rPr>
      </w:pPr>
    </w:p>
    <w:p>
      <w:pPr>
        <w:ind w:left="660" w:right="180"/>
        <w:spacing w:after="0" w:line="288" w:lineRule="auto"/>
        <w:rPr>
          <w:rFonts w:ascii="Arial" w:cs="Arial" w:eastAsia="Arial" w:hAnsi="Arial"/>
          <w:sz w:val="18"/>
          <w:szCs w:val="18"/>
          <w:color w:val="auto"/>
        </w:rPr>
      </w:pPr>
      <w:r>
        <w:rPr>
          <w:rFonts w:ascii="Arial" w:cs="Arial" w:eastAsia="Arial" w:hAnsi="Arial"/>
          <w:sz w:val="20"/>
          <w:szCs w:val="20"/>
          <w:color w:val="auto"/>
        </w:rPr>
        <w:t>results in one of the effects described in (a) above, the respective German Obligor shall, to the extent legally permitted and commercially justifiable, first realize any and all of its assets that are shown in its balance sheet with a book value that is significantly lower than its market value if such assets are not necessary for operating the respective German Obligor’s business (nicht betriebsnotwendig).</w:t>
      </w:r>
    </w:p>
    <w:p>
      <w:pPr>
        <w:spacing w:after="0" w:line="192" w:lineRule="exact"/>
        <w:rPr>
          <w:rFonts w:ascii="Arial" w:cs="Arial" w:eastAsia="Arial" w:hAnsi="Arial"/>
          <w:sz w:val="18"/>
          <w:szCs w:val="18"/>
          <w:color w:val="auto"/>
        </w:rPr>
      </w:pPr>
    </w:p>
    <w:p>
      <w:pPr>
        <w:ind w:left="1700" w:hanging="395"/>
        <w:spacing w:after="0"/>
        <w:tabs>
          <w:tab w:leader="none" w:pos="1700" w:val="left"/>
        </w:tabs>
        <w:numPr>
          <w:ilvl w:val="0"/>
          <w:numId w:val="284"/>
        </w:numPr>
        <w:rPr>
          <w:rFonts w:ascii="Arial" w:cs="Arial" w:eastAsia="Arial" w:hAnsi="Arial"/>
          <w:sz w:val="18"/>
          <w:szCs w:val="18"/>
          <w:color w:val="auto"/>
        </w:rPr>
      </w:pPr>
      <w:r>
        <w:rPr>
          <w:rFonts w:ascii="Arial" w:cs="Arial" w:eastAsia="Arial" w:hAnsi="Arial"/>
          <w:sz w:val="18"/>
          <w:szCs w:val="18"/>
          <w:u w:val="single" w:color="auto"/>
          <w:color w:val="auto"/>
        </w:rPr>
        <w:t>No Prejudice for Future Enforcement</w:t>
      </w:r>
      <w:r>
        <w:rPr>
          <w:rFonts w:ascii="Arial" w:cs="Arial" w:eastAsia="Arial" w:hAnsi="Arial"/>
          <w:sz w:val="18"/>
          <w:szCs w:val="18"/>
          <w:color w:val="auto"/>
        </w:rPr>
        <w:t>. No restriction of the assertion and enforcement of any Up-Stream Liability against</w:t>
      </w:r>
    </w:p>
    <w:p>
      <w:pPr>
        <w:spacing w:after="0" w:line="76" w:lineRule="exact"/>
        <w:rPr>
          <w:rFonts w:ascii="Arial" w:cs="Arial" w:eastAsia="Arial" w:hAnsi="Arial"/>
          <w:sz w:val="18"/>
          <w:szCs w:val="18"/>
          <w:color w:val="auto"/>
        </w:rPr>
      </w:pPr>
    </w:p>
    <w:p>
      <w:pPr>
        <w:ind w:left="660" w:right="260"/>
        <w:spacing w:after="0" w:line="292" w:lineRule="auto"/>
        <w:rPr>
          <w:rFonts w:ascii="Arial" w:cs="Arial" w:eastAsia="Arial" w:hAnsi="Arial"/>
          <w:sz w:val="18"/>
          <w:szCs w:val="18"/>
          <w:color w:val="auto"/>
        </w:rPr>
      </w:pPr>
      <w:r>
        <w:rPr>
          <w:rFonts w:ascii="Arial" w:cs="Arial" w:eastAsia="Arial" w:hAnsi="Arial"/>
          <w:sz w:val="20"/>
          <w:szCs w:val="20"/>
          <w:color w:val="auto"/>
        </w:rPr>
        <w:t>the respective German Obligor will prejudice the rights of the Administrative Agent to enforce any still outstanding Up-Stream Liability against the respective German Obligor in accordance with the terms of this Credit Agreement and the Credit Documents, to the extent a situation having the effects described in (a) above subsequently ceases to exist.</w:t>
      </w:r>
    </w:p>
    <w:p>
      <w:pPr>
        <w:spacing w:after="0" w:line="186" w:lineRule="exact"/>
        <w:rPr>
          <w:rFonts w:ascii="Arial" w:cs="Arial" w:eastAsia="Arial" w:hAnsi="Arial"/>
          <w:sz w:val="18"/>
          <w:szCs w:val="18"/>
          <w:color w:val="auto"/>
        </w:rPr>
      </w:pPr>
    </w:p>
    <w:p>
      <w:pPr>
        <w:ind w:left="1680" w:hanging="375"/>
        <w:spacing w:after="0"/>
        <w:tabs>
          <w:tab w:leader="none" w:pos="1680" w:val="left"/>
        </w:tabs>
        <w:numPr>
          <w:ilvl w:val="0"/>
          <w:numId w:val="284"/>
        </w:numPr>
        <w:rPr>
          <w:rFonts w:ascii="Arial" w:cs="Arial" w:eastAsia="Arial" w:hAnsi="Arial"/>
          <w:sz w:val="18"/>
          <w:szCs w:val="18"/>
          <w:color w:val="auto"/>
        </w:rPr>
      </w:pPr>
      <w:r>
        <w:rPr>
          <w:rFonts w:ascii="Arial" w:cs="Arial" w:eastAsia="Arial" w:hAnsi="Arial"/>
          <w:sz w:val="18"/>
          <w:szCs w:val="18"/>
          <w:u w:val="single" w:color="auto"/>
          <w:color w:val="auto"/>
        </w:rPr>
        <w:t>No Limitation in Case of Passed on Loan Proceeds</w:t>
      </w:r>
      <w:r>
        <w:rPr>
          <w:rFonts w:ascii="Arial" w:cs="Arial" w:eastAsia="Arial" w:hAnsi="Arial"/>
          <w:sz w:val="18"/>
          <w:szCs w:val="18"/>
          <w:color w:val="auto"/>
        </w:rPr>
        <w:t>. The restrictions on the assertion and enforcement of any Up-Stream</w:t>
      </w:r>
    </w:p>
    <w:p>
      <w:pPr>
        <w:spacing w:after="0" w:line="76" w:lineRule="exact"/>
        <w:rPr>
          <w:rFonts w:ascii="Arial" w:cs="Arial" w:eastAsia="Arial" w:hAnsi="Arial"/>
          <w:sz w:val="18"/>
          <w:szCs w:val="18"/>
          <w:color w:val="auto"/>
        </w:rPr>
      </w:pPr>
    </w:p>
    <w:p>
      <w:pPr>
        <w:ind w:left="660" w:right="60"/>
        <w:spacing w:after="0" w:line="288" w:lineRule="auto"/>
        <w:rPr>
          <w:rFonts w:ascii="Arial" w:cs="Arial" w:eastAsia="Arial" w:hAnsi="Arial"/>
          <w:sz w:val="18"/>
          <w:szCs w:val="18"/>
          <w:color w:val="auto"/>
        </w:rPr>
      </w:pPr>
      <w:r>
        <w:rPr>
          <w:rFonts w:ascii="Arial" w:cs="Arial" w:eastAsia="Arial" w:hAnsi="Arial"/>
          <w:sz w:val="20"/>
          <w:szCs w:val="20"/>
          <w:color w:val="auto"/>
        </w:rPr>
        <w:t xml:space="preserve">Liability against the respective German Obligor set forth in this </w:t>
      </w:r>
      <w:r>
        <w:rPr>
          <w:rFonts w:ascii="Arial" w:cs="Arial" w:eastAsia="Arial" w:hAnsi="Arial"/>
          <w:sz w:val="20"/>
          <w:szCs w:val="20"/>
          <w:u w:val="single" w:color="auto"/>
          <w:color w:val="auto"/>
        </w:rPr>
        <w:t>Section 11.21</w:t>
      </w:r>
      <w:r>
        <w:rPr>
          <w:rFonts w:ascii="Arial" w:cs="Arial" w:eastAsia="Arial" w:hAnsi="Arial"/>
          <w:sz w:val="20"/>
          <w:szCs w:val="20"/>
          <w:color w:val="auto"/>
        </w:rPr>
        <w:t xml:space="preserve"> shall not apply as far as the assertion and enforcement of such Up-Stream Liability pertains to proceeds of the Loans which were loaned or otherwise passed on to the respective German Obligor to the extent that such proceeds are still outstanding at the time of the enforcement of any Up-Stream Liability against the respective German Obligor.</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200</w:t>
      </w:r>
    </w:p>
    <w:p>
      <w:pPr>
        <w:spacing w:after="0" w:line="10" w:lineRule="exact"/>
        <w:rPr>
          <w:sz w:val="20"/>
          <w:szCs w:val="20"/>
          <w:color w:val="auto"/>
        </w:rPr>
      </w:pPr>
    </w:p>
    <w:p>
      <w:pPr>
        <w:spacing w:after="0"/>
        <w:rPr>
          <w:sz w:val="20"/>
          <w:szCs w:val="20"/>
          <w:color w:val="auto"/>
        </w:rPr>
      </w:pPr>
      <w:r>
        <w:rPr>
          <w:rFonts w:ascii="Arial" w:cs="Arial" w:eastAsia="Arial" w:hAnsi="Arial"/>
          <w:sz w:val="14"/>
          <w:szCs w:val="14"/>
          <w:color w:val="auto"/>
        </w:rPr>
        <w:t>CHAR1\1346423v</w:t>
      </w:r>
      <w:r>
        <w:rPr>
          <w:rFonts w:ascii="Arial" w:cs="Arial" w:eastAsia="Arial" w:hAnsi="Arial"/>
          <w:sz w:val="14"/>
          <w:szCs w:val="14"/>
          <w:color w:val="FF0000"/>
          <w:strike w:val="1"/>
        </w:rPr>
        <w:t>1</w:t>
      </w:r>
      <w:r>
        <w:rPr>
          <w:rFonts w:ascii="Arial" w:cs="Arial" w:eastAsia="Arial" w:hAnsi="Arial"/>
          <w:sz w:val="14"/>
          <w:szCs w:val="14"/>
          <w:u w:val="single" w:color="auto"/>
          <w:color w:val="0000FF"/>
        </w:rPr>
        <w:t>12</w:t>
      </w:r>
    </w:p>
    <w:p>
      <w:pPr>
        <w:sectPr>
          <w:pgSz w:w="11900" w:h="16838" w:orient="portrait"/>
          <w:cols w:equalWidth="0" w:num="1">
            <w:col w:w="11420"/>
          </w:cols>
          <w:pgMar w:left="240" w:top="609" w:right="239" w:bottom="1440" w:gutter="0" w:footer="0" w:header="0"/>
        </w:sectPr>
      </w:pPr>
    </w:p>
    <w:bookmarkStart w:id="252" w:name="page253"/>
    <w:bookmarkEnd w:id="252"/>
    <w:p>
      <w:pPr>
        <w:ind w:left="1720" w:hanging="415"/>
        <w:spacing w:after="0"/>
        <w:tabs>
          <w:tab w:leader="none" w:pos="1720" w:val="left"/>
        </w:tabs>
        <w:numPr>
          <w:ilvl w:val="0"/>
          <w:numId w:val="285"/>
        </w:numPr>
        <w:rPr>
          <w:rFonts w:ascii="Arial" w:cs="Arial" w:eastAsia="Arial" w:hAnsi="Arial"/>
          <w:sz w:val="19"/>
          <w:szCs w:val="19"/>
          <w:color w:val="auto"/>
        </w:rPr>
      </w:pPr>
      <w:r>
        <w:rPr>
          <w:rFonts w:ascii="Arial" w:cs="Arial" w:eastAsia="Arial" w:hAnsi="Arial"/>
          <w:sz w:val="19"/>
          <w:szCs w:val="19"/>
          <w:u w:val="single" w:color="auto"/>
          <w:color w:val="auto"/>
        </w:rPr>
        <w:t>No limitation in case of the existence of a profit and loss transfer agreement</w:t>
      </w:r>
      <w:r>
        <w:rPr>
          <w:rFonts w:ascii="Arial" w:cs="Arial" w:eastAsia="Arial" w:hAnsi="Arial"/>
          <w:sz w:val="19"/>
          <w:szCs w:val="19"/>
          <w:color w:val="auto"/>
        </w:rPr>
        <w:t>. The restrictions on the assertion and</w:t>
      </w:r>
    </w:p>
    <w:p>
      <w:pPr>
        <w:spacing w:after="0" w:line="65" w:lineRule="exact"/>
        <w:rPr>
          <w:rFonts w:ascii="Arial" w:cs="Arial" w:eastAsia="Arial" w:hAnsi="Arial"/>
          <w:sz w:val="19"/>
          <w:szCs w:val="19"/>
          <w:color w:val="auto"/>
        </w:rPr>
      </w:pPr>
    </w:p>
    <w:p>
      <w:pPr>
        <w:ind w:left="660"/>
        <w:spacing w:after="0" w:line="288" w:lineRule="auto"/>
        <w:rPr>
          <w:rFonts w:ascii="Arial" w:cs="Arial" w:eastAsia="Arial" w:hAnsi="Arial"/>
          <w:sz w:val="19"/>
          <w:szCs w:val="19"/>
          <w:color w:val="auto"/>
        </w:rPr>
      </w:pPr>
      <w:r>
        <w:rPr>
          <w:rFonts w:ascii="Arial" w:cs="Arial" w:eastAsia="Arial" w:hAnsi="Arial"/>
          <w:sz w:val="20"/>
          <w:szCs w:val="20"/>
          <w:color w:val="auto"/>
        </w:rPr>
        <w:t xml:space="preserve">enforcement of any Up-Stream Liability against the respective German Obligor set forth in this </w:t>
      </w:r>
      <w:r>
        <w:rPr>
          <w:rFonts w:ascii="Arial" w:cs="Arial" w:eastAsia="Arial" w:hAnsi="Arial"/>
          <w:sz w:val="20"/>
          <w:szCs w:val="20"/>
          <w:u w:val="single" w:color="auto"/>
          <w:color w:val="auto"/>
        </w:rPr>
        <w:t>Section 11.21</w:t>
      </w:r>
      <w:r>
        <w:rPr>
          <w:rFonts w:ascii="Arial" w:cs="Arial" w:eastAsia="Arial" w:hAnsi="Arial"/>
          <w:sz w:val="20"/>
          <w:szCs w:val="20"/>
          <w:color w:val="auto"/>
        </w:rPr>
        <w:t xml:space="preserve"> shall not apply if and as long as a domination and/or profit and loss agreement in accordance with § 291 of the German Stock Corporation Act (Aktiengesetz) exists with the respective German Obligor being the dominated entity (beherrschtes Unternehmen). For the avoidance of doubt, </w:t>
      </w:r>
      <w:r>
        <w:rPr>
          <w:rFonts w:ascii="Arial" w:cs="Arial" w:eastAsia="Arial" w:hAnsi="Arial"/>
          <w:sz w:val="20"/>
          <w:szCs w:val="20"/>
          <w:u w:val="single" w:color="auto"/>
          <w:color w:val="auto"/>
        </w:rPr>
        <w:t>Section</w:t>
      </w:r>
      <w:r>
        <w:rPr>
          <w:rFonts w:ascii="Arial" w:cs="Arial" w:eastAsia="Arial" w:hAnsi="Arial"/>
          <w:sz w:val="20"/>
          <w:szCs w:val="20"/>
          <w:color w:val="auto"/>
        </w:rPr>
        <w:t xml:space="preserve"> </w:t>
      </w:r>
      <w:r>
        <w:rPr>
          <w:rFonts w:ascii="Arial" w:cs="Arial" w:eastAsia="Arial" w:hAnsi="Arial"/>
          <w:sz w:val="20"/>
          <w:szCs w:val="20"/>
          <w:u w:val="single" w:color="auto"/>
          <w:color w:val="auto"/>
        </w:rPr>
        <w:t>11.22</w:t>
      </w:r>
      <w:r>
        <w:rPr>
          <w:rFonts w:ascii="Arial" w:cs="Arial" w:eastAsia="Arial" w:hAnsi="Arial"/>
          <w:sz w:val="20"/>
          <w:szCs w:val="20"/>
          <w:color w:val="auto"/>
        </w:rPr>
        <w:t xml:space="preserve"> shall remain unaffected.</w:t>
      </w:r>
    </w:p>
    <w:p>
      <w:pPr>
        <w:spacing w:after="0" w:line="192" w:lineRule="exact"/>
        <w:rPr>
          <w:rFonts w:ascii="Arial" w:cs="Arial" w:eastAsia="Arial" w:hAnsi="Arial"/>
          <w:sz w:val="19"/>
          <w:szCs w:val="19"/>
          <w:color w:val="auto"/>
        </w:rPr>
      </w:pPr>
    </w:p>
    <w:p>
      <w:pPr>
        <w:ind w:left="1720" w:hanging="415"/>
        <w:spacing w:after="0"/>
        <w:tabs>
          <w:tab w:leader="none" w:pos="1720" w:val="left"/>
        </w:tabs>
        <w:numPr>
          <w:ilvl w:val="0"/>
          <w:numId w:val="285"/>
        </w:numPr>
        <w:rPr>
          <w:rFonts w:ascii="Arial" w:cs="Arial" w:eastAsia="Arial" w:hAnsi="Arial"/>
          <w:sz w:val="19"/>
          <w:szCs w:val="19"/>
          <w:color w:val="auto"/>
        </w:rPr>
      </w:pPr>
      <w:r>
        <w:rPr>
          <w:rFonts w:ascii="Arial" w:cs="Arial" w:eastAsia="Arial" w:hAnsi="Arial"/>
          <w:sz w:val="19"/>
          <w:szCs w:val="19"/>
          <w:u w:val="single" w:color="auto"/>
          <w:color w:val="auto"/>
        </w:rPr>
        <w:t>Adjustment of Registered Share Capital</w:t>
      </w:r>
      <w:r>
        <w:rPr>
          <w:rFonts w:ascii="Arial" w:cs="Arial" w:eastAsia="Arial" w:hAnsi="Arial"/>
          <w:sz w:val="19"/>
          <w:szCs w:val="19"/>
          <w:color w:val="auto"/>
        </w:rPr>
        <w:t xml:space="preserve">. For the purposes of this </w:t>
      </w:r>
      <w:r>
        <w:rPr>
          <w:rFonts w:ascii="Arial" w:cs="Arial" w:eastAsia="Arial" w:hAnsi="Arial"/>
          <w:sz w:val="19"/>
          <w:szCs w:val="19"/>
          <w:u w:val="single" w:color="auto"/>
          <w:color w:val="auto"/>
        </w:rPr>
        <w:t>Section 11.21</w:t>
      </w:r>
      <w:r>
        <w:rPr>
          <w:rFonts w:ascii="Arial" w:cs="Arial" w:eastAsia="Arial" w:hAnsi="Arial"/>
          <w:sz w:val="19"/>
          <w:szCs w:val="19"/>
          <w:color w:val="auto"/>
        </w:rPr>
        <w:t xml:space="preserve"> the registered share capital of the</w:t>
      </w:r>
    </w:p>
    <w:p>
      <w:pPr>
        <w:spacing w:after="0" w:line="65" w:lineRule="exact"/>
        <w:rPr>
          <w:rFonts w:ascii="Arial" w:cs="Arial" w:eastAsia="Arial" w:hAnsi="Arial"/>
          <w:sz w:val="19"/>
          <w:szCs w:val="19"/>
          <w:color w:val="auto"/>
        </w:rPr>
      </w:pPr>
    </w:p>
    <w:p>
      <w:pPr>
        <w:ind w:left="660" w:right="20"/>
        <w:spacing w:after="0" w:line="287" w:lineRule="auto"/>
        <w:rPr>
          <w:rFonts w:ascii="Arial" w:cs="Arial" w:eastAsia="Arial" w:hAnsi="Arial"/>
          <w:sz w:val="19"/>
          <w:szCs w:val="19"/>
          <w:color w:val="auto"/>
        </w:rPr>
      </w:pPr>
      <w:r>
        <w:rPr>
          <w:rFonts w:ascii="Arial" w:cs="Arial" w:eastAsia="Arial" w:hAnsi="Arial"/>
          <w:sz w:val="20"/>
          <w:szCs w:val="20"/>
          <w:color w:val="auto"/>
        </w:rPr>
        <w:t>respective German Obligor shall be adjusted by deducting the amount of (a) any increase in the respective German Obligor’s registered share capital, resolved after the date of this Credit Agreement that (i) is made out of retained earnings (nominal capital increase — Kapitalerhöhung aus Gesellschaftmitteln) or (ii) is not fully paid up and (b) any loans provided to the respective German Obligor by a shareholder or a subsidiary of a shareholder if they are subordinated by an agreement in the sense of § 19 subsection 2 of the German Insolvency Code (Insolvenzordnung).</w:t>
      </w:r>
    </w:p>
    <w:p>
      <w:pPr>
        <w:spacing w:after="0" w:line="192" w:lineRule="exact"/>
        <w:rPr>
          <w:sz w:val="20"/>
          <w:szCs w:val="20"/>
          <w:color w:val="auto"/>
        </w:rPr>
      </w:pPr>
    </w:p>
    <w:p>
      <w:pPr>
        <w:ind w:right="60" w:firstLine="648"/>
        <w:spacing w:after="0" w:line="326" w:lineRule="auto"/>
        <w:rPr>
          <w:sz w:val="20"/>
          <w:szCs w:val="20"/>
          <w:color w:val="auto"/>
        </w:rPr>
      </w:pPr>
      <w:r>
        <w:rPr>
          <w:rFonts w:ascii="Arial" w:cs="Arial" w:eastAsia="Arial" w:hAnsi="Arial"/>
          <w:sz w:val="18"/>
          <w:szCs w:val="18"/>
          <w:color w:val="auto"/>
        </w:rPr>
        <w:t xml:space="preserve">11.22 </w:t>
      </w:r>
      <w:r>
        <w:rPr>
          <w:rFonts w:ascii="Arial" w:cs="Arial" w:eastAsia="Arial" w:hAnsi="Arial"/>
          <w:sz w:val="18"/>
          <w:szCs w:val="18"/>
          <w:u w:val="single" w:color="auto"/>
          <w:color w:val="auto"/>
        </w:rPr>
        <w:t>Limitations of the German Obligors’ Liability (Compliance with Regulatory Requirements)</w:t>
      </w:r>
      <w:r>
        <w:rPr>
          <w:rFonts w:ascii="Arial" w:cs="Arial" w:eastAsia="Arial" w:hAnsi="Arial"/>
          <w:sz w:val="18"/>
          <w:szCs w:val="18"/>
          <w:color w:val="auto"/>
        </w:rPr>
        <w:t>. This Section applies to transact Elektronische Zahlungssysteme GmbH and any other German Obligor which is in possession of a German payment institution license that is specifically subject to the limitations referenced herein. Any such German Obligor is obliged to maintain and to prove to the German Financial Services Supervisory Authority (</w:t>
      </w:r>
      <w:r>
        <w:rPr>
          <w:rFonts w:ascii="Arial" w:cs="Arial" w:eastAsia="Arial" w:hAnsi="Arial"/>
          <w:sz w:val="18"/>
          <w:szCs w:val="18"/>
          <w:i w:val="1"/>
          <w:iCs w:val="1"/>
          <w:color w:val="auto"/>
        </w:rPr>
        <w:t>Bundesanstalt für Finanzdienstleistungsaufsicht - BaFin</w:t>
      </w:r>
      <w:r>
        <w:rPr>
          <w:rFonts w:ascii="Arial" w:cs="Arial" w:eastAsia="Arial" w:hAnsi="Arial"/>
          <w:sz w:val="18"/>
          <w:szCs w:val="18"/>
          <w:color w:val="auto"/>
        </w:rPr>
        <w:t>) a certain mandatory minimum regulatory equity according to sec. 12 and sec. 9 No. 3c) of the Act Regarding the Supervision of Payment Services (</w:t>
      </w:r>
      <w:r>
        <w:rPr>
          <w:rFonts w:ascii="Arial" w:cs="Arial" w:eastAsia="Arial" w:hAnsi="Arial"/>
          <w:sz w:val="18"/>
          <w:szCs w:val="18"/>
          <w:i w:val="1"/>
          <w:iCs w:val="1"/>
          <w:color w:val="auto"/>
        </w:rPr>
        <w:t>Gesetz über die Beaufsichtigung von</w:t>
      </w:r>
      <w:r>
        <w:rPr>
          <w:rFonts w:ascii="Arial" w:cs="Arial" w:eastAsia="Arial" w:hAnsi="Arial"/>
          <w:sz w:val="18"/>
          <w:szCs w:val="18"/>
          <w:color w:val="auto"/>
        </w:rPr>
        <w:t xml:space="preserve"> </w:t>
      </w:r>
      <w:r>
        <w:rPr>
          <w:rFonts w:ascii="Arial" w:cs="Arial" w:eastAsia="Arial" w:hAnsi="Arial"/>
          <w:sz w:val="18"/>
          <w:szCs w:val="18"/>
          <w:i w:val="1"/>
          <w:iCs w:val="1"/>
          <w:color w:val="auto"/>
        </w:rPr>
        <w:t>Zahlungsdiensten – ZAG</w:t>
      </w:r>
      <w:r>
        <w:rPr>
          <w:rFonts w:ascii="Arial" w:cs="Arial" w:eastAsia="Arial" w:hAnsi="Arial"/>
          <w:sz w:val="18"/>
          <w:szCs w:val="18"/>
          <w:color w:val="auto"/>
        </w:rPr>
        <w:t>). The liability of any such German Obligor shall be subject to the following restrictions:</w:t>
      </w:r>
    </w:p>
    <w:p>
      <w:pPr>
        <w:spacing w:after="0" w:line="136" w:lineRule="exact"/>
        <w:rPr>
          <w:sz w:val="20"/>
          <w:szCs w:val="20"/>
          <w:color w:val="auto"/>
        </w:rPr>
      </w:pPr>
    </w:p>
    <w:p>
      <w:pPr>
        <w:ind w:right="40" w:firstLine="648"/>
        <w:spacing w:after="0" w:line="244" w:lineRule="auto"/>
        <w:rPr>
          <w:sz w:val="20"/>
          <w:szCs w:val="20"/>
          <w:color w:val="auto"/>
        </w:rPr>
      </w:pPr>
      <w:r>
        <w:rPr>
          <w:rFonts w:ascii="Arial" w:cs="Arial" w:eastAsia="Arial" w:hAnsi="Arial"/>
          <w:sz w:val="20"/>
          <w:szCs w:val="20"/>
          <w:color w:val="auto"/>
        </w:rPr>
        <w:t>The Administrative Agent and the Lenders agree not to assert and enforce any claims against such German Obligor, if and to the extent that the assertion or enforcement of such claims would lead to a non-conformance of the German Obligor with the capital maintenance requirements according to Sect. 12 ZAG in connection with the respective equity maintenance ordinance (</w:t>
      </w:r>
      <w:r>
        <w:rPr>
          <w:rFonts w:ascii="Arial" w:cs="Arial" w:eastAsia="Arial" w:hAnsi="Arial"/>
          <w:sz w:val="20"/>
          <w:szCs w:val="20"/>
          <w:i w:val="1"/>
          <w:iCs w:val="1"/>
          <w:color w:val="auto"/>
        </w:rPr>
        <w:t>ZAG-Instituts-Eigenkapitalverordnung – ZIEV</w:t>
      </w:r>
      <w:r>
        <w:rPr>
          <w:rFonts w:ascii="Arial" w:cs="Arial" w:eastAsia="Arial" w:hAnsi="Arial"/>
          <w:sz w:val="20"/>
          <w:szCs w:val="20"/>
          <w:color w:val="auto"/>
        </w:rPr>
        <w:t>) or the initial capital requirements according to Sect. 9 No. 3c ZAG, which such German Obligor is subject to</w:t>
      </w:r>
      <w:r>
        <w:rPr>
          <w:rFonts w:ascii="Arial" w:cs="Arial" w:eastAsia="Arial" w:hAnsi="Arial"/>
          <w:sz w:val="20"/>
          <w:szCs w:val="20"/>
          <w:i w:val="1"/>
          <w:iCs w:val="1"/>
          <w:color w:val="auto"/>
        </w:rPr>
        <w:t xml:space="preserve"> </w:t>
      </w:r>
      <w:r>
        <w:rPr>
          <w:rFonts w:ascii="Arial" w:cs="Arial" w:eastAsia="Arial" w:hAnsi="Arial"/>
          <w:sz w:val="20"/>
          <w:szCs w:val="20"/>
          <w:color w:val="auto"/>
        </w:rPr>
        <w:t>by law.</w:t>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ind w:right="-39"/>
        <w:spacing w:after="0"/>
        <w:rPr>
          <w:sz w:val="20"/>
          <w:szCs w:val="20"/>
          <w:color w:val="auto"/>
        </w:rPr>
      </w:pPr>
      <w:r>
        <w:rPr>
          <w:rFonts w:ascii="Arial" w:cs="Arial" w:eastAsia="Arial" w:hAnsi="Arial"/>
          <w:sz w:val="20"/>
          <w:szCs w:val="20"/>
          <w:color w:val="auto"/>
        </w:rPr>
        <w:t>[SIGNATURES ON FOLLOWING PAGES]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ind w:right="-39"/>
        <w:spacing w:after="0"/>
        <w:rPr>
          <w:sz w:val="20"/>
          <w:szCs w:val="20"/>
          <w:color w:val="auto"/>
        </w:rPr>
      </w:pPr>
      <w:r>
        <w:rPr>
          <w:rFonts w:ascii="Arial" w:cs="Arial" w:eastAsia="Arial" w:hAnsi="Arial"/>
          <w:sz w:val="20"/>
          <w:szCs w:val="20"/>
          <w:color w:val="auto"/>
        </w:rPr>
        <w:t>201</w:t>
      </w:r>
    </w:p>
    <w:p>
      <w:pPr>
        <w:spacing w:after="0" w:line="10" w:lineRule="exact"/>
        <w:rPr>
          <w:sz w:val="20"/>
          <w:szCs w:val="20"/>
          <w:color w:val="auto"/>
        </w:rPr>
      </w:pPr>
    </w:p>
    <w:p>
      <w:pPr>
        <w:spacing w:after="0"/>
        <w:rPr>
          <w:sz w:val="20"/>
          <w:szCs w:val="20"/>
          <w:color w:val="auto"/>
        </w:rPr>
      </w:pPr>
      <w:r>
        <w:rPr>
          <w:rFonts w:ascii="Arial" w:cs="Arial" w:eastAsia="Arial" w:hAnsi="Arial"/>
          <w:sz w:val="14"/>
          <w:szCs w:val="14"/>
          <w:color w:val="auto"/>
        </w:rPr>
        <w:t>CHAR1\1346423v</w:t>
      </w:r>
      <w:r>
        <w:rPr>
          <w:rFonts w:ascii="Arial" w:cs="Arial" w:eastAsia="Arial" w:hAnsi="Arial"/>
          <w:sz w:val="14"/>
          <w:szCs w:val="14"/>
          <w:color w:val="FF0000"/>
          <w:strike w:val="1"/>
        </w:rPr>
        <w:t>1</w:t>
      </w:r>
      <w:r>
        <w:rPr>
          <w:rFonts w:ascii="Arial" w:cs="Arial" w:eastAsia="Arial" w:hAnsi="Arial"/>
          <w:sz w:val="14"/>
          <w:szCs w:val="14"/>
          <w:u w:val="single" w:color="auto"/>
          <w:color w:val="0000FF"/>
        </w:rPr>
        <w:t>12</w:t>
      </w:r>
    </w:p>
    <w:p>
      <w:pPr>
        <w:sectPr>
          <w:pgSz w:w="11900" w:h="16838" w:orient="portrait"/>
          <w:cols w:equalWidth="0" w:num="1">
            <w:col w:w="11400"/>
          </w:cols>
          <w:pgMar w:left="240" w:top="609" w:right="259" w:bottom="1440" w:gutter="0" w:footer="0" w:header="0"/>
        </w:sectPr>
      </w:pPr>
    </w:p>
    <w:bookmarkStart w:id="253" w:name="page254"/>
    <w:bookmarkEnd w:id="253"/>
    <w:p>
      <w:pPr>
        <w:ind w:left="660"/>
        <w:spacing w:after="0"/>
        <w:rPr>
          <w:sz w:val="20"/>
          <w:szCs w:val="20"/>
          <w:color w:val="auto"/>
        </w:rPr>
      </w:pPr>
      <w:r>
        <w:rPr>
          <w:rFonts w:ascii="Arial" w:cs="Arial" w:eastAsia="Arial" w:hAnsi="Arial"/>
          <w:sz w:val="16"/>
          <w:szCs w:val="16"/>
          <w:color w:val="auto"/>
        </w:rPr>
        <w:t>IN WITNESS WHEREOF, the parties hereto have caused this Credit Agreement to be duly executed as of the date first above written.</w:t>
      </w:r>
    </w:p>
    <w:p>
      <w:pPr>
        <w:spacing w:after="0" w:line="200" w:lineRule="exact"/>
        <w:rPr>
          <w:sz w:val="20"/>
          <w:szCs w:val="20"/>
          <w:color w:val="auto"/>
        </w:rPr>
      </w:pPr>
    </w:p>
    <w:p>
      <w:pPr>
        <w:spacing w:after="0" w:line="272" w:lineRule="exact"/>
        <w:rPr>
          <w:sz w:val="20"/>
          <w:szCs w:val="20"/>
          <w:color w:val="auto"/>
        </w:rPr>
      </w:pPr>
    </w:p>
    <w:p>
      <w:pPr>
        <w:spacing w:after="0"/>
        <w:tabs>
          <w:tab w:leader="none" w:pos="3080" w:val="left"/>
        </w:tabs>
        <w:rPr>
          <w:sz w:val="20"/>
          <w:szCs w:val="20"/>
          <w:color w:val="auto"/>
        </w:rPr>
      </w:pPr>
      <w:r>
        <w:rPr>
          <w:rFonts w:ascii="Arial" w:cs="Arial" w:eastAsia="Arial" w:hAnsi="Arial"/>
          <w:sz w:val="20"/>
          <w:szCs w:val="20"/>
          <w:b w:val="1"/>
          <w:bCs w:val="1"/>
          <w:u w:val="single" w:color="auto"/>
          <w:color w:val="auto"/>
        </w:rPr>
        <w:t>DOMESTIC BORROWERS</w:t>
      </w:r>
      <w:r>
        <w:rPr>
          <w:rFonts w:ascii="Arial" w:cs="Arial" w:eastAsia="Arial" w:hAnsi="Arial"/>
          <w:sz w:val="20"/>
          <w:szCs w:val="20"/>
          <w:b w:val="1"/>
          <w:bCs w:val="1"/>
          <w:color w:val="auto"/>
        </w:rPr>
        <w:t>:</w:t>
      </w:r>
      <w:r>
        <w:rPr>
          <w:sz w:val="20"/>
          <w:szCs w:val="20"/>
          <w:color w:val="auto"/>
        </w:rPr>
        <w:tab/>
      </w:r>
      <w:r>
        <w:rPr>
          <w:rFonts w:ascii="Arial" w:cs="Arial" w:eastAsia="Arial" w:hAnsi="Arial"/>
          <w:sz w:val="20"/>
          <w:szCs w:val="20"/>
          <w:b w:val="1"/>
          <w:bCs w:val="1"/>
          <w:color w:val="auto"/>
        </w:rPr>
        <w:t>EURONET WORLDWIDE, INC.</w:t>
      </w:r>
    </w:p>
    <w:p>
      <w:pPr>
        <w:spacing w:after="0" w:line="200" w:lineRule="exact"/>
        <w:rPr>
          <w:sz w:val="20"/>
          <w:szCs w:val="20"/>
          <w:color w:val="auto"/>
        </w:rPr>
      </w:pPr>
    </w:p>
    <w:p>
      <w:pPr>
        <w:spacing w:after="0" w:line="238" w:lineRule="exact"/>
        <w:rPr>
          <w:sz w:val="20"/>
          <w:szCs w:val="20"/>
          <w:color w:val="auto"/>
        </w:rPr>
      </w:pPr>
    </w:p>
    <w:p>
      <w:pPr>
        <w:ind w:left="3900"/>
        <w:spacing w:after="0"/>
        <w:tabs>
          <w:tab w:leader="none" w:pos="4360" w:val="left"/>
        </w:tabs>
        <w:rPr>
          <w:sz w:val="20"/>
          <w:szCs w:val="20"/>
          <w:color w:val="auto"/>
        </w:rPr>
      </w:pPr>
      <w:r>
        <w:rPr>
          <w:rFonts w:ascii="Arial" w:cs="Arial" w:eastAsia="Arial" w:hAnsi="Arial"/>
          <w:sz w:val="20"/>
          <w:szCs w:val="20"/>
          <w:color w:val="auto"/>
        </w:rPr>
        <w:t>By:</w:t>
      </w:r>
      <w:r>
        <w:rPr>
          <w:sz w:val="20"/>
          <w:szCs w:val="20"/>
          <w:color w:val="auto"/>
        </w:rPr>
        <w:tab/>
      </w:r>
      <w:r>
        <w:rPr>
          <w:rFonts w:ascii="Arial" w:cs="Arial" w:eastAsia="Arial" w:hAnsi="Arial"/>
          <w:sz w:val="18"/>
          <w:szCs w:val="18"/>
          <w:color w:val="auto"/>
        </w:rPr>
        <w:t>/s/ Michael J. Brown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2656205</wp:posOffset>
            </wp:positionH>
            <wp:positionV relativeFrom="paragraph">
              <wp:posOffset>-14605</wp:posOffset>
            </wp:positionV>
            <wp:extent cx="1550035" cy="88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1550035" cy="8890"/>
                    </a:xfrm>
                    <a:prstGeom prst="rect">
                      <a:avLst/>
                    </a:prstGeom>
                    <a:noFill/>
                  </pic:spPr>
                </pic:pic>
              </a:graphicData>
            </a:graphic>
          </wp:anchor>
        </w:drawing>
      </w:r>
    </w:p>
    <w:p>
      <w:pPr>
        <w:ind w:left="3900"/>
        <w:spacing w:after="0"/>
        <w:tabs>
          <w:tab w:leader="none" w:pos="4600" w:val="left"/>
        </w:tabs>
        <w:rPr>
          <w:sz w:val="20"/>
          <w:szCs w:val="20"/>
          <w:color w:val="auto"/>
        </w:rPr>
      </w:pPr>
      <w:r>
        <w:rPr>
          <w:rFonts w:ascii="Arial" w:cs="Arial" w:eastAsia="Arial" w:hAnsi="Arial"/>
          <w:sz w:val="20"/>
          <w:szCs w:val="20"/>
          <w:color w:val="auto"/>
        </w:rPr>
        <w:t>Name:</w:t>
      </w:r>
      <w:r>
        <w:rPr>
          <w:sz w:val="20"/>
          <w:szCs w:val="20"/>
          <w:color w:val="auto"/>
        </w:rPr>
        <w:tab/>
      </w:r>
      <w:r>
        <w:rPr>
          <w:rFonts w:ascii="Arial" w:cs="Arial" w:eastAsia="Arial" w:hAnsi="Arial"/>
          <w:sz w:val="18"/>
          <w:szCs w:val="18"/>
          <w:color w:val="auto"/>
        </w:rPr>
        <w:t>Michael J. Brown</w:t>
      </w:r>
    </w:p>
    <w:p>
      <w:pPr>
        <w:ind w:left="3900"/>
        <w:spacing w:after="0"/>
        <w:tabs>
          <w:tab w:leader="none" w:pos="4500" w:val="left"/>
        </w:tabs>
        <w:rPr>
          <w:sz w:val="20"/>
          <w:szCs w:val="20"/>
          <w:color w:val="auto"/>
        </w:rPr>
      </w:pPr>
      <w:r>
        <w:rPr>
          <w:rFonts w:ascii="Arial" w:cs="Arial" w:eastAsia="Arial" w:hAnsi="Arial"/>
          <w:sz w:val="20"/>
          <w:szCs w:val="20"/>
          <w:color w:val="auto"/>
        </w:rPr>
        <w:t>Title:</w:t>
      </w:r>
      <w:r>
        <w:rPr>
          <w:sz w:val="20"/>
          <w:szCs w:val="20"/>
          <w:color w:val="auto"/>
        </w:rPr>
        <w:tab/>
      </w:r>
      <w:r>
        <w:rPr>
          <w:rFonts w:ascii="Arial" w:cs="Arial" w:eastAsia="Arial" w:hAnsi="Arial"/>
          <w:sz w:val="18"/>
          <w:szCs w:val="18"/>
          <w:color w:val="auto"/>
        </w:rPr>
        <w:t>Chief Executive Officer</w:t>
      </w:r>
    </w:p>
    <w:p>
      <w:pPr>
        <w:spacing w:after="0" w:line="194" w:lineRule="exact"/>
        <w:rPr>
          <w:sz w:val="20"/>
          <w:szCs w:val="20"/>
          <w:color w:val="auto"/>
        </w:rPr>
      </w:pPr>
    </w:p>
    <w:p>
      <w:pPr>
        <w:ind w:left="3900"/>
        <w:spacing w:after="0"/>
        <w:rPr>
          <w:sz w:val="20"/>
          <w:szCs w:val="20"/>
          <w:color w:val="auto"/>
        </w:rPr>
      </w:pPr>
      <w:r>
        <w:rPr>
          <w:rFonts w:ascii="Arial" w:cs="Arial" w:eastAsia="Arial" w:hAnsi="Arial"/>
          <w:sz w:val="20"/>
          <w:szCs w:val="20"/>
          <w:b w:val="1"/>
          <w:bCs w:val="1"/>
          <w:color w:val="auto"/>
        </w:rPr>
        <w:t>CONTINENTAL EXCHANGE SOLUTIONS, INC.</w:t>
      </w:r>
    </w:p>
    <w:p>
      <w:pPr>
        <w:spacing w:after="0" w:line="200" w:lineRule="exact"/>
        <w:rPr>
          <w:sz w:val="20"/>
          <w:szCs w:val="20"/>
          <w:color w:val="auto"/>
        </w:rPr>
      </w:pPr>
    </w:p>
    <w:p>
      <w:pPr>
        <w:spacing w:after="0" w:line="238" w:lineRule="exact"/>
        <w:rPr>
          <w:sz w:val="20"/>
          <w:szCs w:val="20"/>
          <w:color w:val="auto"/>
        </w:rPr>
      </w:pPr>
    </w:p>
    <w:p>
      <w:pPr>
        <w:ind w:left="3900"/>
        <w:spacing w:after="0"/>
        <w:tabs>
          <w:tab w:leader="none" w:pos="4360" w:val="left"/>
        </w:tabs>
        <w:rPr>
          <w:sz w:val="20"/>
          <w:szCs w:val="20"/>
          <w:color w:val="auto"/>
        </w:rPr>
      </w:pPr>
      <w:r>
        <w:rPr>
          <w:rFonts w:ascii="Arial" w:cs="Arial" w:eastAsia="Arial" w:hAnsi="Arial"/>
          <w:sz w:val="20"/>
          <w:szCs w:val="20"/>
          <w:color w:val="auto"/>
        </w:rPr>
        <w:t>By:</w:t>
      </w:r>
      <w:r>
        <w:rPr>
          <w:sz w:val="20"/>
          <w:szCs w:val="20"/>
          <w:color w:val="auto"/>
        </w:rPr>
        <w:tab/>
      </w:r>
      <w:r>
        <w:rPr>
          <w:rFonts w:ascii="Arial" w:cs="Arial" w:eastAsia="Arial" w:hAnsi="Arial"/>
          <w:sz w:val="18"/>
          <w:szCs w:val="18"/>
          <w:color w:val="auto"/>
        </w:rPr>
        <w:t>/s/ Medhi Mahdavi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2656205</wp:posOffset>
            </wp:positionH>
            <wp:positionV relativeFrom="paragraph">
              <wp:posOffset>-14605</wp:posOffset>
            </wp:positionV>
            <wp:extent cx="1459230" cy="88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1459230" cy="8890"/>
                    </a:xfrm>
                    <a:prstGeom prst="rect">
                      <a:avLst/>
                    </a:prstGeom>
                    <a:noFill/>
                  </pic:spPr>
                </pic:pic>
              </a:graphicData>
            </a:graphic>
          </wp:anchor>
        </w:drawing>
      </w:r>
    </w:p>
    <w:p>
      <w:pPr>
        <w:ind w:left="3900"/>
        <w:spacing w:after="0"/>
        <w:tabs>
          <w:tab w:leader="none" w:pos="4600" w:val="left"/>
        </w:tabs>
        <w:rPr>
          <w:sz w:val="20"/>
          <w:szCs w:val="20"/>
          <w:color w:val="auto"/>
        </w:rPr>
      </w:pPr>
      <w:r>
        <w:rPr>
          <w:rFonts w:ascii="Arial" w:cs="Arial" w:eastAsia="Arial" w:hAnsi="Arial"/>
          <w:sz w:val="20"/>
          <w:szCs w:val="20"/>
          <w:color w:val="auto"/>
        </w:rPr>
        <w:t>Name:</w:t>
      </w:r>
      <w:r>
        <w:rPr>
          <w:sz w:val="20"/>
          <w:szCs w:val="20"/>
          <w:color w:val="auto"/>
        </w:rPr>
        <w:tab/>
      </w:r>
      <w:r>
        <w:rPr>
          <w:rFonts w:ascii="Arial" w:cs="Arial" w:eastAsia="Arial" w:hAnsi="Arial"/>
          <w:sz w:val="18"/>
          <w:szCs w:val="18"/>
          <w:color w:val="auto"/>
        </w:rPr>
        <w:t>Medhi Mahdavi</w:t>
      </w:r>
    </w:p>
    <w:p>
      <w:pPr>
        <w:ind w:left="3900"/>
        <w:spacing w:after="0"/>
        <w:tabs>
          <w:tab w:leader="none" w:pos="4500" w:val="left"/>
        </w:tabs>
        <w:rPr>
          <w:sz w:val="20"/>
          <w:szCs w:val="20"/>
          <w:color w:val="auto"/>
        </w:rPr>
      </w:pPr>
      <w:r>
        <w:rPr>
          <w:rFonts w:ascii="Arial" w:cs="Arial" w:eastAsia="Arial" w:hAnsi="Arial"/>
          <w:sz w:val="20"/>
          <w:szCs w:val="20"/>
          <w:color w:val="auto"/>
        </w:rPr>
        <w:t>Title:</w:t>
      </w:r>
      <w:r>
        <w:rPr>
          <w:sz w:val="20"/>
          <w:szCs w:val="20"/>
          <w:color w:val="auto"/>
        </w:rPr>
        <w:tab/>
      </w:r>
      <w:r>
        <w:rPr>
          <w:rFonts w:ascii="Arial" w:cs="Arial" w:eastAsia="Arial" w:hAnsi="Arial"/>
          <w:sz w:val="18"/>
          <w:szCs w:val="18"/>
          <w:color w:val="auto"/>
        </w:rPr>
        <w:t>Chief Financial Officer</w:t>
      </w:r>
    </w:p>
    <w:p>
      <w:pPr>
        <w:spacing w:after="0" w:line="194" w:lineRule="exact"/>
        <w:rPr>
          <w:sz w:val="20"/>
          <w:szCs w:val="20"/>
          <w:color w:val="auto"/>
        </w:rPr>
      </w:pPr>
    </w:p>
    <w:p>
      <w:pPr>
        <w:ind w:left="3900"/>
        <w:spacing w:after="0"/>
        <w:rPr>
          <w:sz w:val="20"/>
          <w:szCs w:val="20"/>
          <w:color w:val="auto"/>
        </w:rPr>
      </w:pPr>
      <w:r>
        <w:rPr>
          <w:rFonts w:ascii="Arial" w:cs="Arial" w:eastAsia="Arial" w:hAnsi="Arial"/>
          <w:sz w:val="20"/>
          <w:szCs w:val="20"/>
          <w:b w:val="1"/>
          <w:bCs w:val="1"/>
          <w:color w:val="auto"/>
        </w:rPr>
        <w:t>RIA ENVIA, INC.</w:t>
      </w:r>
    </w:p>
    <w:p>
      <w:pPr>
        <w:spacing w:after="0" w:line="200" w:lineRule="exact"/>
        <w:rPr>
          <w:sz w:val="20"/>
          <w:szCs w:val="20"/>
          <w:color w:val="auto"/>
        </w:rPr>
      </w:pPr>
    </w:p>
    <w:p>
      <w:pPr>
        <w:spacing w:after="0" w:line="238" w:lineRule="exact"/>
        <w:rPr>
          <w:sz w:val="20"/>
          <w:szCs w:val="20"/>
          <w:color w:val="auto"/>
        </w:rPr>
      </w:pPr>
    </w:p>
    <w:p>
      <w:pPr>
        <w:ind w:left="3900"/>
        <w:spacing w:after="0"/>
        <w:tabs>
          <w:tab w:leader="none" w:pos="4360" w:val="left"/>
        </w:tabs>
        <w:rPr>
          <w:sz w:val="20"/>
          <w:szCs w:val="20"/>
          <w:color w:val="auto"/>
        </w:rPr>
      </w:pPr>
      <w:r>
        <w:rPr>
          <w:rFonts w:ascii="Arial" w:cs="Arial" w:eastAsia="Arial" w:hAnsi="Arial"/>
          <w:sz w:val="20"/>
          <w:szCs w:val="20"/>
          <w:color w:val="auto"/>
        </w:rPr>
        <w:t>By:</w:t>
      </w:r>
      <w:r>
        <w:rPr>
          <w:sz w:val="20"/>
          <w:szCs w:val="20"/>
          <w:color w:val="auto"/>
        </w:rPr>
        <w:tab/>
      </w:r>
      <w:r>
        <w:rPr>
          <w:rFonts w:ascii="Arial" w:cs="Arial" w:eastAsia="Arial" w:hAnsi="Arial"/>
          <w:sz w:val="18"/>
          <w:szCs w:val="18"/>
          <w:color w:val="auto"/>
        </w:rPr>
        <w:t>/s/ Medhi Mahdavi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2656205</wp:posOffset>
            </wp:positionH>
            <wp:positionV relativeFrom="paragraph">
              <wp:posOffset>-14605</wp:posOffset>
            </wp:positionV>
            <wp:extent cx="1459230" cy="88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1459230" cy="8890"/>
                    </a:xfrm>
                    <a:prstGeom prst="rect">
                      <a:avLst/>
                    </a:prstGeom>
                    <a:noFill/>
                  </pic:spPr>
                </pic:pic>
              </a:graphicData>
            </a:graphic>
          </wp:anchor>
        </w:drawing>
      </w:r>
    </w:p>
    <w:p>
      <w:pPr>
        <w:ind w:left="3900"/>
        <w:spacing w:after="0"/>
        <w:tabs>
          <w:tab w:leader="none" w:pos="4600" w:val="left"/>
        </w:tabs>
        <w:rPr>
          <w:sz w:val="20"/>
          <w:szCs w:val="20"/>
          <w:color w:val="auto"/>
        </w:rPr>
      </w:pPr>
      <w:r>
        <w:rPr>
          <w:rFonts w:ascii="Arial" w:cs="Arial" w:eastAsia="Arial" w:hAnsi="Arial"/>
          <w:sz w:val="20"/>
          <w:szCs w:val="20"/>
          <w:color w:val="auto"/>
        </w:rPr>
        <w:t>Name:</w:t>
      </w:r>
      <w:r>
        <w:rPr>
          <w:sz w:val="20"/>
          <w:szCs w:val="20"/>
          <w:color w:val="auto"/>
        </w:rPr>
        <w:tab/>
      </w:r>
      <w:r>
        <w:rPr>
          <w:rFonts w:ascii="Arial" w:cs="Arial" w:eastAsia="Arial" w:hAnsi="Arial"/>
          <w:sz w:val="18"/>
          <w:szCs w:val="18"/>
          <w:color w:val="auto"/>
        </w:rPr>
        <w:t>Medhi Mahdavi</w:t>
      </w:r>
    </w:p>
    <w:p>
      <w:pPr>
        <w:ind w:left="3900"/>
        <w:spacing w:after="0"/>
        <w:tabs>
          <w:tab w:leader="none" w:pos="4500" w:val="left"/>
        </w:tabs>
        <w:rPr>
          <w:sz w:val="20"/>
          <w:szCs w:val="20"/>
          <w:color w:val="auto"/>
        </w:rPr>
      </w:pPr>
      <w:r>
        <w:rPr>
          <w:rFonts w:ascii="Arial" w:cs="Arial" w:eastAsia="Arial" w:hAnsi="Arial"/>
          <w:sz w:val="20"/>
          <w:szCs w:val="20"/>
          <w:color w:val="auto"/>
        </w:rPr>
        <w:t>Title:</w:t>
      </w:r>
      <w:r>
        <w:rPr>
          <w:sz w:val="20"/>
          <w:szCs w:val="20"/>
          <w:color w:val="auto"/>
        </w:rPr>
        <w:tab/>
      </w:r>
      <w:r>
        <w:rPr>
          <w:rFonts w:ascii="Arial" w:cs="Arial" w:eastAsia="Arial" w:hAnsi="Arial"/>
          <w:sz w:val="18"/>
          <w:szCs w:val="18"/>
          <w:color w:val="auto"/>
        </w:rPr>
        <w:t>Chief Financial Officer</w:t>
      </w:r>
    </w:p>
    <w:p>
      <w:pPr>
        <w:spacing w:after="0" w:line="194" w:lineRule="exact"/>
        <w:rPr>
          <w:sz w:val="20"/>
          <w:szCs w:val="20"/>
          <w:color w:val="auto"/>
        </w:rPr>
      </w:pPr>
    </w:p>
    <w:p>
      <w:pPr>
        <w:spacing w:after="0"/>
        <w:tabs>
          <w:tab w:leader="none" w:pos="2980" w:val="left"/>
        </w:tabs>
        <w:rPr>
          <w:sz w:val="20"/>
          <w:szCs w:val="20"/>
          <w:color w:val="auto"/>
        </w:rPr>
      </w:pPr>
      <w:r>
        <w:rPr>
          <w:rFonts w:ascii="Arial" w:cs="Arial" w:eastAsia="Arial" w:hAnsi="Arial"/>
          <w:sz w:val="20"/>
          <w:szCs w:val="20"/>
          <w:b w:val="1"/>
          <w:bCs w:val="1"/>
          <w:u w:val="single" w:color="auto"/>
          <w:color w:val="auto"/>
        </w:rPr>
        <w:t>DOMESTIC GUARANTORS</w:t>
      </w:r>
      <w:r>
        <w:rPr>
          <w:rFonts w:ascii="Arial" w:cs="Arial" w:eastAsia="Arial" w:hAnsi="Arial"/>
          <w:sz w:val="20"/>
          <w:szCs w:val="20"/>
          <w:b w:val="1"/>
          <w:bCs w:val="1"/>
          <w:color w:val="auto"/>
        </w:rPr>
        <w:t>:</w:t>
      </w:r>
      <w:r>
        <w:rPr>
          <w:sz w:val="20"/>
          <w:szCs w:val="20"/>
          <w:color w:val="auto"/>
        </w:rPr>
        <w:tab/>
      </w:r>
      <w:r>
        <w:rPr>
          <w:rFonts w:ascii="Arial" w:cs="Arial" w:eastAsia="Arial" w:hAnsi="Arial"/>
          <w:sz w:val="20"/>
          <w:szCs w:val="20"/>
          <w:b w:val="1"/>
          <w:bCs w:val="1"/>
          <w:color w:val="auto"/>
        </w:rPr>
        <w:t>EURONET WORLDWIDE, INC.</w:t>
      </w:r>
    </w:p>
    <w:p>
      <w:pPr>
        <w:spacing w:after="0" w:line="200" w:lineRule="exact"/>
        <w:rPr>
          <w:sz w:val="20"/>
          <w:szCs w:val="20"/>
          <w:color w:val="auto"/>
        </w:rPr>
      </w:pPr>
    </w:p>
    <w:p>
      <w:pPr>
        <w:spacing w:after="0" w:line="238" w:lineRule="exact"/>
        <w:rPr>
          <w:sz w:val="20"/>
          <w:szCs w:val="20"/>
          <w:color w:val="auto"/>
        </w:rPr>
      </w:pPr>
    </w:p>
    <w:p>
      <w:pPr>
        <w:ind w:left="3900"/>
        <w:spacing w:after="0"/>
        <w:tabs>
          <w:tab w:leader="none" w:pos="4360" w:val="left"/>
        </w:tabs>
        <w:rPr>
          <w:sz w:val="20"/>
          <w:szCs w:val="20"/>
          <w:color w:val="auto"/>
        </w:rPr>
      </w:pPr>
      <w:r>
        <w:rPr>
          <w:rFonts w:ascii="Arial" w:cs="Arial" w:eastAsia="Arial" w:hAnsi="Arial"/>
          <w:sz w:val="20"/>
          <w:szCs w:val="20"/>
          <w:color w:val="auto"/>
        </w:rPr>
        <w:t>By:</w:t>
      </w:r>
      <w:r>
        <w:rPr>
          <w:sz w:val="20"/>
          <w:szCs w:val="20"/>
          <w:color w:val="auto"/>
        </w:rPr>
        <w:tab/>
      </w:r>
      <w:r>
        <w:rPr>
          <w:rFonts w:ascii="Arial" w:cs="Arial" w:eastAsia="Arial" w:hAnsi="Arial"/>
          <w:sz w:val="18"/>
          <w:szCs w:val="18"/>
          <w:color w:val="auto"/>
        </w:rPr>
        <w:t>/s/ Michael J. Brown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2656205</wp:posOffset>
            </wp:positionH>
            <wp:positionV relativeFrom="paragraph">
              <wp:posOffset>-14605</wp:posOffset>
            </wp:positionV>
            <wp:extent cx="1550035" cy="88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1550035" cy="8890"/>
                    </a:xfrm>
                    <a:prstGeom prst="rect">
                      <a:avLst/>
                    </a:prstGeom>
                    <a:noFill/>
                  </pic:spPr>
                </pic:pic>
              </a:graphicData>
            </a:graphic>
          </wp:anchor>
        </w:drawing>
      </w:r>
    </w:p>
    <w:p>
      <w:pPr>
        <w:ind w:left="3900"/>
        <w:spacing w:after="0"/>
        <w:tabs>
          <w:tab w:leader="none" w:pos="4600" w:val="left"/>
        </w:tabs>
        <w:rPr>
          <w:sz w:val="20"/>
          <w:szCs w:val="20"/>
          <w:color w:val="auto"/>
        </w:rPr>
      </w:pPr>
      <w:r>
        <w:rPr>
          <w:rFonts w:ascii="Arial" w:cs="Arial" w:eastAsia="Arial" w:hAnsi="Arial"/>
          <w:sz w:val="20"/>
          <w:szCs w:val="20"/>
          <w:color w:val="auto"/>
        </w:rPr>
        <w:t>Name:</w:t>
      </w:r>
      <w:r>
        <w:rPr>
          <w:sz w:val="20"/>
          <w:szCs w:val="20"/>
          <w:color w:val="auto"/>
        </w:rPr>
        <w:tab/>
      </w:r>
      <w:r>
        <w:rPr>
          <w:rFonts w:ascii="Arial" w:cs="Arial" w:eastAsia="Arial" w:hAnsi="Arial"/>
          <w:sz w:val="18"/>
          <w:szCs w:val="18"/>
          <w:color w:val="auto"/>
        </w:rPr>
        <w:t>Michael J. Brown</w:t>
      </w:r>
    </w:p>
    <w:p>
      <w:pPr>
        <w:ind w:left="3900"/>
        <w:spacing w:after="0"/>
        <w:tabs>
          <w:tab w:leader="none" w:pos="4500" w:val="left"/>
        </w:tabs>
        <w:rPr>
          <w:sz w:val="20"/>
          <w:szCs w:val="20"/>
          <w:color w:val="auto"/>
        </w:rPr>
      </w:pPr>
      <w:r>
        <w:rPr>
          <w:rFonts w:ascii="Arial" w:cs="Arial" w:eastAsia="Arial" w:hAnsi="Arial"/>
          <w:sz w:val="20"/>
          <w:szCs w:val="20"/>
          <w:color w:val="auto"/>
        </w:rPr>
        <w:t>Title:</w:t>
      </w:r>
      <w:r>
        <w:rPr>
          <w:sz w:val="20"/>
          <w:szCs w:val="20"/>
          <w:color w:val="auto"/>
        </w:rPr>
        <w:tab/>
      </w:r>
      <w:r>
        <w:rPr>
          <w:rFonts w:ascii="Arial" w:cs="Arial" w:eastAsia="Arial" w:hAnsi="Arial"/>
          <w:sz w:val="18"/>
          <w:szCs w:val="18"/>
          <w:color w:val="auto"/>
        </w:rPr>
        <w:t>Chief Executive Officer</w:t>
      </w:r>
    </w:p>
    <w:p>
      <w:pPr>
        <w:spacing w:after="0" w:line="194" w:lineRule="exact"/>
        <w:rPr>
          <w:sz w:val="20"/>
          <w:szCs w:val="20"/>
          <w:color w:val="auto"/>
        </w:rPr>
      </w:pPr>
    </w:p>
    <w:p>
      <w:pPr>
        <w:ind w:left="3900"/>
        <w:spacing w:after="0"/>
        <w:rPr>
          <w:sz w:val="20"/>
          <w:szCs w:val="20"/>
          <w:color w:val="auto"/>
        </w:rPr>
      </w:pPr>
      <w:r>
        <w:rPr>
          <w:rFonts w:ascii="Arial" w:cs="Arial" w:eastAsia="Arial" w:hAnsi="Arial"/>
          <w:sz w:val="20"/>
          <w:szCs w:val="20"/>
          <w:b w:val="1"/>
          <w:bCs w:val="1"/>
          <w:color w:val="auto"/>
        </w:rPr>
        <w:t>CONTINENTAL EXCHANGE SOLUTIONS, INC.</w:t>
      </w:r>
    </w:p>
    <w:p>
      <w:pPr>
        <w:spacing w:after="0" w:line="200" w:lineRule="exact"/>
        <w:rPr>
          <w:sz w:val="20"/>
          <w:szCs w:val="20"/>
          <w:color w:val="auto"/>
        </w:rPr>
      </w:pPr>
    </w:p>
    <w:p>
      <w:pPr>
        <w:spacing w:after="0" w:line="238" w:lineRule="exact"/>
        <w:rPr>
          <w:sz w:val="20"/>
          <w:szCs w:val="20"/>
          <w:color w:val="auto"/>
        </w:rPr>
      </w:pPr>
    </w:p>
    <w:p>
      <w:pPr>
        <w:ind w:left="3900"/>
        <w:spacing w:after="0"/>
        <w:tabs>
          <w:tab w:leader="none" w:pos="4360" w:val="left"/>
        </w:tabs>
        <w:rPr>
          <w:sz w:val="20"/>
          <w:szCs w:val="20"/>
          <w:color w:val="auto"/>
        </w:rPr>
      </w:pPr>
      <w:r>
        <w:rPr>
          <w:rFonts w:ascii="Arial" w:cs="Arial" w:eastAsia="Arial" w:hAnsi="Arial"/>
          <w:sz w:val="20"/>
          <w:szCs w:val="20"/>
          <w:color w:val="auto"/>
        </w:rPr>
        <w:t>By:</w:t>
      </w:r>
      <w:r>
        <w:rPr>
          <w:sz w:val="20"/>
          <w:szCs w:val="20"/>
          <w:color w:val="auto"/>
        </w:rPr>
        <w:tab/>
      </w:r>
      <w:r>
        <w:rPr>
          <w:rFonts w:ascii="Arial" w:cs="Arial" w:eastAsia="Arial" w:hAnsi="Arial"/>
          <w:sz w:val="18"/>
          <w:szCs w:val="18"/>
          <w:color w:val="auto"/>
        </w:rPr>
        <w:t>/s/ Medhi Mahdavi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2656205</wp:posOffset>
            </wp:positionH>
            <wp:positionV relativeFrom="paragraph">
              <wp:posOffset>-14605</wp:posOffset>
            </wp:positionV>
            <wp:extent cx="1459230" cy="88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1459230" cy="8890"/>
                    </a:xfrm>
                    <a:prstGeom prst="rect">
                      <a:avLst/>
                    </a:prstGeom>
                    <a:noFill/>
                  </pic:spPr>
                </pic:pic>
              </a:graphicData>
            </a:graphic>
          </wp:anchor>
        </w:drawing>
      </w:r>
    </w:p>
    <w:p>
      <w:pPr>
        <w:ind w:left="3900"/>
        <w:spacing w:after="0"/>
        <w:tabs>
          <w:tab w:leader="none" w:pos="4600" w:val="left"/>
        </w:tabs>
        <w:rPr>
          <w:sz w:val="20"/>
          <w:szCs w:val="20"/>
          <w:color w:val="auto"/>
        </w:rPr>
      </w:pPr>
      <w:r>
        <w:rPr>
          <w:rFonts w:ascii="Arial" w:cs="Arial" w:eastAsia="Arial" w:hAnsi="Arial"/>
          <w:sz w:val="20"/>
          <w:szCs w:val="20"/>
          <w:color w:val="auto"/>
        </w:rPr>
        <w:t>Name:</w:t>
      </w:r>
      <w:r>
        <w:rPr>
          <w:sz w:val="20"/>
          <w:szCs w:val="20"/>
          <w:color w:val="auto"/>
        </w:rPr>
        <w:tab/>
      </w:r>
      <w:r>
        <w:rPr>
          <w:rFonts w:ascii="Arial" w:cs="Arial" w:eastAsia="Arial" w:hAnsi="Arial"/>
          <w:sz w:val="18"/>
          <w:szCs w:val="18"/>
          <w:color w:val="auto"/>
        </w:rPr>
        <w:t>Medhi Mahdavi</w:t>
      </w:r>
    </w:p>
    <w:p>
      <w:pPr>
        <w:ind w:left="3900"/>
        <w:spacing w:after="0"/>
        <w:tabs>
          <w:tab w:leader="none" w:pos="4500" w:val="left"/>
        </w:tabs>
        <w:rPr>
          <w:sz w:val="20"/>
          <w:szCs w:val="20"/>
          <w:color w:val="auto"/>
        </w:rPr>
      </w:pPr>
      <w:r>
        <w:rPr>
          <w:rFonts w:ascii="Arial" w:cs="Arial" w:eastAsia="Arial" w:hAnsi="Arial"/>
          <w:sz w:val="20"/>
          <w:szCs w:val="20"/>
          <w:color w:val="auto"/>
        </w:rPr>
        <w:t>Title:</w:t>
      </w:r>
      <w:r>
        <w:rPr>
          <w:sz w:val="20"/>
          <w:szCs w:val="20"/>
          <w:color w:val="auto"/>
        </w:rPr>
        <w:tab/>
      </w:r>
      <w:r>
        <w:rPr>
          <w:rFonts w:ascii="Arial" w:cs="Arial" w:eastAsia="Arial" w:hAnsi="Arial"/>
          <w:sz w:val="18"/>
          <w:szCs w:val="18"/>
          <w:color w:val="auto"/>
        </w:rPr>
        <w:t>Chief Financial Officer</w:t>
      </w:r>
    </w:p>
    <w:p>
      <w:pPr>
        <w:spacing w:after="0" w:line="194" w:lineRule="exact"/>
        <w:rPr>
          <w:sz w:val="20"/>
          <w:szCs w:val="20"/>
          <w:color w:val="auto"/>
        </w:rPr>
      </w:pPr>
    </w:p>
    <w:p>
      <w:pPr>
        <w:ind w:left="3900"/>
        <w:spacing w:after="0"/>
        <w:rPr>
          <w:sz w:val="20"/>
          <w:szCs w:val="20"/>
          <w:color w:val="auto"/>
        </w:rPr>
      </w:pPr>
      <w:r>
        <w:rPr>
          <w:rFonts w:ascii="Arial" w:cs="Arial" w:eastAsia="Arial" w:hAnsi="Arial"/>
          <w:sz w:val="20"/>
          <w:szCs w:val="20"/>
          <w:b w:val="1"/>
          <w:bCs w:val="1"/>
          <w:color w:val="auto"/>
        </w:rPr>
        <w:t>EURONET USA, INC.</w:t>
      </w:r>
    </w:p>
    <w:p>
      <w:pPr>
        <w:spacing w:after="0" w:line="200" w:lineRule="exact"/>
        <w:rPr>
          <w:sz w:val="20"/>
          <w:szCs w:val="20"/>
          <w:color w:val="auto"/>
        </w:rPr>
      </w:pPr>
    </w:p>
    <w:p>
      <w:pPr>
        <w:spacing w:after="0" w:line="238" w:lineRule="exact"/>
        <w:rPr>
          <w:sz w:val="20"/>
          <w:szCs w:val="20"/>
          <w:color w:val="auto"/>
        </w:rPr>
      </w:pPr>
    </w:p>
    <w:p>
      <w:pPr>
        <w:ind w:left="3900"/>
        <w:spacing w:after="0"/>
        <w:tabs>
          <w:tab w:leader="none" w:pos="4360" w:val="left"/>
        </w:tabs>
        <w:rPr>
          <w:sz w:val="20"/>
          <w:szCs w:val="20"/>
          <w:color w:val="auto"/>
        </w:rPr>
      </w:pPr>
      <w:r>
        <w:rPr>
          <w:rFonts w:ascii="Arial" w:cs="Arial" w:eastAsia="Arial" w:hAnsi="Arial"/>
          <w:sz w:val="20"/>
          <w:szCs w:val="20"/>
          <w:color w:val="auto"/>
        </w:rPr>
        <w:t>By:</w:t>
      </w:r>
      <w:r>
        <w:rPr>
          <w:sz w:val="20"/>
          <w:szCs w:val="20"/>
          <w:color w:val="auto"/>
        </w:rPr>
        <w:tab/>
      </w:r>
      <w:r>
        <w:rPr>
          <w:rFonts w:ascii="Arial" w:cs="Arial" w:eastAsia="Arial" w:hAnsi="Arial"/>
          <w:sz w:val="18"/>
          <w:szCs w:val="18"/>
          <w:color w:val="auto"/>
        </w:rPr>
        <w:t>/s/ Rick L. Weller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2656205</wp:posOffset>
            </wp:positionH>
            <wp:positionV relativeFrom="paragraph">
              <wp:posOffset>-14605</wp:posOffset>
            </wp:positionV>
            <wp:extent cx="1393190" cy="88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1393190" cy="8890"/>
                    </a:xfrm>
                    <a:prstGeom prst="rect">
                      <a:avLst/>
                    </a:prstGeom>
                    <a:noFill/>
                  </pic:spPr>
                </pic:pic>
              </a:graphicData>
            </a:graphic>
          </wp:anchor>
        </w:drawing>
      </w:r>
    </w:p>
    <w:p>
      <w:pPr>
        <w:ind w:left="3900"/>
        <w:spacing w:after="0"/>
        <w:tabs>
          <w:tab w:leader="none" w:pos="4600" w:val="left"/>
        </w:tabs>
        <w:rPr>
          <w:sz w:val="20"/>
          <w:szCs w:val="20"/>
          <w:color w:val="auto"/>
        </w:rPr>
      </w:pPr>
      <w:r>
        <w:rPr>
          <w:rFonts w:ascii="Arial" w:cs="Arial" w:eastAsia="Arial" w:hAnsi="Arial"/>
          <w:sz w:val="20"/>
          <w:szCs w:val="20"/>
          <w:color w:val="auto"/>
        </w:rPr>
        <w:t>Name:</w:t>
      </w:r>
      <w:r>
        <w:rPr>
          <w:sz w:val="20"/>
          <w:szCs w:val="20"/>
          <w:color w:val="auto"/>
        </w:rPr>
        <w:tab/>
      </w:r>
      <w:r>
        <w:rPr>
          <w:rFonts w:ascii="Arial" w:cs="Arial" w:eastAsia="Arial" w:hAnsi="Arial"/>
          <w:sz w:val="18"/>
          <w:szCs w:val="18"/>
          <w:color w:val="auto"/>
        </w:rPr>
        <w:t>Rick L. Weller</w:t>
      </w:r>
    </w:p>
    <w:p>
      <w:pPr>
        <w:ind w:left="3900"/>
        <w:spacing w:after="0"/>
        <w:tabs>
          <w:tab w:leader="none" w:pos="4500" w:val="left"/>
        </w:tabs>
        <w:rPr>
          <w:sz w:val="20"/>
          <w:szCs w:val="20"/>
          <w:color w:val="auto"/>
        </w:rPr>
      </w:pPr>
      <w:r>
        <w:rPr>
          <w:rFonts w:ascii="Arial" w:cs="Arial" w:eastAsia="Arial" w:hAnsi="Arial"/>
          <w:sz w:val="20"/>
          <w:szCs w:val="20"/>
          <w:color w:val="auto"/>
        </w:rPr>
        <w:t>Title:</w:t>
      </w:r>
      <w:r>
        <w:rPr>
          <w:sz w:val="20"/>
          <w:szCs w:val="20"/>
          <w:color w:val="auto"/>
        </w:rPr>
        <w:tab/>
      </w:r>
      <w:r>
        <w:rPr>
          <w:rFonts w:ascii="Arial" w:cs="Arial" w:eastAsia="Arial" w:hAnsi="Arial"/>
          <w:sz w:val="16"/>
          <w:szCs w:val="16"/>
          <w:color w:val="auto"/>
        </w:rPr>
        <w:t>Executive Vice President</w:t>
      </w:r>
    </w:p>
    <w:p>
      <w:pPr>
        <w:spacing w:after="0" w:line="194" w:lineRule="exact"/>
        <w:rPr>
          <w:sz w:val="20"/>
          <w:szCs w:val="20"/>
          <w:color w:val="auto"/>
        </w:rPr>
      </w:pPr>
    </w:p>
    <w:p>
      <w:pPr>
        <w:ind w:left="3900"/>
        <w:spacing w:after="0"/>
        <w:rPr>
          <w:sz w:val="20"/>
          <w:szCs w:val="20"/>
          <w:color w:val="auto"/>
        </w:rPr>
      </w:pPr>
      <w:r>
        <w:rPr>
          <w:rFonts w:ascii="Arial" w:cs="Arial" w:eastAsia="Arial" w:hAnsi="Arial"/>
          <w:sz w:val="20"/>
          <w:szCs w:val="20"/>
          <w:b w:val="1"/>
          <w:bCs w:val="1"/>
          <w:color w:val="auto"/>
        </w:rPr>
        <w:t>PAYSPOT, INC.</w:t>
      </w:r>
    </w:p>
    <w:p>
      <w:pPr>
        <w:spacing w:after="0" w:line="200" w:lineRule="exact"/>
        <w:rPr>
          <w:sz w:val="20"/>
          <w:szCs w:val="20"/>
          <w:color w:val="auto"/>
        </w:rPr>
      </w:pPr>
    </w:p>
    <w:p>
      <w:pPr>
        <w:spacing w:after="0" w:line="238" w:lineRule="exact"/>
        <w:rPr>
          <w:sz w:val="20"/>
          <w:szCs w:val="20"/>
          <w:color w:val="auto"/>
        </w:rPr>
      </w:pPr>
    </w:p>
    <w:p>
      <w:pPr>
        <w:ind w:left="3900"/>
        <w:spacing w:after="0"/>
        <w:tabs>
          <w:tab w:leader="none" w:pos="4360" w:val="left"/>
        </w:tabs>
        <w:rPr>
          <w:sz w:val="20"/>
          <w:szCs w:val="20"/>
          <w:color w:val="auto"/>
        </w:rPr>
      </w:pPr>
      <w:r>
        <w:rPr>
          <w:rFonts w:ascii="Arial" w:cs="Arial" w:eastAsia="Arial" w:hAnsi="Arial"/>
          <w:sz w:val="20"/>
          <w:szCs w:val="20"/>
          <w:color w:val="auto"/>
        </w:rPr>
        <w:t>By:</w:t>
      </w:r>
      <w:r>
        <w:rPr>
          <w:sz w:val="20"/>
          <w:szCs w:val="20"/>
          <w:color w:val="auto"/>
        </w:rPr>
        <w:tab/>
      </w:r>
      <w:r>
        <w:rPr>
          <w:rFonts w:ascii="Arial" w:cs="Arial" w:eastAsia="Arial" w:hAnsi="Arial"/>
          <w:sz w:val="18"/>
          <w:szCs w:val="18"/>
          <w:color w:val="auto"/>
        </w:rPr>
        <w:t>/s/ Eric Mettemeyer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2656205</wp:posOffset>
            </wp:positionH>
            <wp:positionV relativeFrom="paragraph">
              <wp:posOffset>-14605</wp:posOffset>
            </wp:positionV>
            <wp:extent cx="1501140" cy="88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1501140" cy="8890"/>
                    </a:xfrm>
                    <a:prstGeom prst="rect">
                      <a:avLst/>
                    </a:prstGeom>
                    <a:noFill/>
                  </pic:spPr>
                </pic:pic>
              </a:graphicData>
            </a:graphic>
          </wp:anchor>
        </w:drawing>
      </w:r>
    </w:p>
    <w:p>
      <w:pPr>
        <w:ind w:left="3900"/>
        <w:spacing w:after="0"/>
        <w:tabs>
          <w:tab w:leader="none" w:pos="4600" w:val="left"/>
        </w:tabs>
        <w:rPr>
          <w:sz w:val="20"/>
          <w:szCs w:val="20"/>
          <w:color w:val="auto"/>
        </w:rPr>
      </w:pPr>
      <w:r>
        <w:rPr>
          <w:rFonts w:ascii="Arial" w:cs="Arial" w:eastAsia="Arial" w:hAnsi="Arial"/>
          <w:sz w:val="20"/>
          <w:szCs w:val="20"/>
          <w:color w:val="auto"/>
        </w:rPr>
        <w:t>Name:</w:t>
      </w:r>
      <w:r>
        <w:rPr>
          <w:sz w:val="20"/>
          <w:szCs w:val="20"/>
          <w:color w:val="auto"/>
        </w:rPr>
        <w:tab/>
      </w:r>
      <w:r>
        <w:rPr>
          <w:rFonts w:ascii="Arial" w:cs="Arial" w:eastAsia="Arial" w:hAnsi="Arial"/>
          <w:sz w:val="18"/>
          <w:szCs w:val="18"/>
          <w:color w:val="auto"/>
        </w:rPr>
        <w:t>Eric Mettemeyer</w:t>
      </w:r>
    </w:p>
    <w:p>
      <w:pPr>
        <w:ind w:left="3900"/>
        <w:spacing w:after="0"/>
        <w:tabs>
          <w:tab w:leader="none" w:pos="4500" w:val="left"/>
        </w:tabs>
        <w:rPr>
          <w:sz w:val="20"/>
          <w:szCs w:val="20"/>
          <w:color w:val="auto"/>
        </w:rPr>
      </w:pPr>
      <w:r>
        <w:rPr>
          <w:rFonts w:ascii="Arial" w:cs="Arial" w:eastAsia="Arial" w:hAnsi="Arial"/>
          <w:sz w:val="20"/>
          <w:szCs w:val="20"/>
          <w:color w:val="auto"/>
        </w:rPr>
        <w:t>Title:</w:t>
      </w:r>
      <w:r>
        <w:rPr>
          <w:sz w:val="20"/>
          <w:szCs w:val="20"/>
          <w:color w:val="auto"/>
        </w:rPr>
        <w:tab/>
      </w:r>
      <w:r>
        <w:rPr>
          <w:rFonts w:ascii="Arial" w:cs="Arial" w:eastAsia="Arial" w:hAnsi="Arial"/>
          <w:sz w:val="16"/>
          <w:szCs w:val="16"/>
          <w:color w:val="auto"/>
        </w:rPr>
        <w:t>President</w:t>
      </w:r>
    </w:p>
    <w:p>
      <w:pPr>
        <w:spacing w:after="0" w:line="200" w:lineRule="exact"/>
        <w:rPr>
          <w:sz w:val="20"/>
          <w:szCs w:val="20"/>
          <w:color w:val="auto"/>
        </w:rPr>
      </w:pPr>
    </w:p>
    <w:p>
      <w:pPr>
        <w:spacing w:after="0" w:line="210" w:lineRule="exact"/>
        <w:rPr>
          <w:sz w:val="20"/>
          <w:szCs w:val="20"/>
          <w:color w:val="auto"/>
        </w:rPr>
      </w:pPr>
    </w:p>
    <w:p>
      <w:pPr>
        <w:ind w:left="3900"/>
        <w:spacing w:after="0"/>
        <w:rPr>
          <w:sz w:val="20"/>
          <w:szCs w:val="20"/>
          <w:color w:val="auto"/>
        </w:rPr>
      </w:pPr>
      <w:r>
        <w:rPr>
          <w:rFonts w:ascii="Arial" w:cs="Arial" w:eastAsia="Arial" w:hAnsi="Arial"/>
          <w:sz w:val="20"/>
          <w:szCs w:val="20"/>
          <w:b w:val="1"/>
          <w:bCs w:val="1"/>
          <w:color w:val="auto"/>
        </w:rPr>
        <w:t>RIA ENVIA, INC.</w:t>
      </w:r>
    </w:p>
    <w:p>
      <w:pPr>
        <w:spacing w:after="0" w:line="200" w:lineRule="exact"/>
        <w:rPr>
          <w:sz w:val="20"/>
          <w:szCs w:val="20"/>
          <w:color w:val="auto"/>
        </w:rPr>
      </w:pPr>
    </w:p>
    <w:p>
      <w:pPr>
        <w:spacing w:after="0" w:line="238" w:lineRule="exact"/>
        <w:rPr>
          <w:sz w:val="20"/>
          <w:szCs w:val="20"/>
          <w:color w:val="auto"/>
        </w:rPr>
      </w:pPr>
    </w:p>
    <w:p>
      <w:pPr>
        <w:ind w:left="3900"/>
        <w:spacing w:after="0"/>
        <w:tabs>
          <w:tab w:leader="none" w:pos="4360" w:val="left"/>
        </w:tabs>
        <w:rPr>
          <w:sz w:val="20"/>
          <w:szCs w:val="20"/>
          <w:color w:val="auto"/>
        </w:rPr>
      </w:pPr>
      <w:r>
        <w:rPr>
          <w:rFonts w:ascii="Arial" w:cs="Arial" w:eastAsia="Arial" w:hAnsi="Arial"/>
          <w:sz w:val="20"/>
          <w:szCs w:val="20"/>
          <w:color w:val="auto"/>
        </w:rPr>
        <w:t>By:</w:t>
      </w:r>
      <w:r>
        <w:rPr>
          <w:sz w:val="20"/>
          <w:szCs w:val="20"/>
          <w:color w:val="auto"/>
        </w:rPr>
        <w:tab/>
      </w:r>
      <w:r>
        <w:rPr>
          <w:rFonts w:ascii="Arial" w:cs="Arial" w:eastAsia="Arial" w:hAnsi="Arial"/>
          <w:sz w:val="18"/>
          <w:szCs w:val="18"/>
          <w:color w:val="auto"/>
        </w:rPr>
        <w:t>/s/ Medhi Mahdavi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2656205</wp:posOffset>
            </wp:positionH>
            <wp:positionV relativeFrom="paragraph">
              <wp:posOffset>-14605</wp:posOffset>
            </wp:positionV>
            <wp:extent cx="1459230" cy="88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1459230" cy="8890"/>
                    </a:xfrm>
                    <a:prstGeom prst="rect">
                      <a:avLst/>
                    </a:prstGeom>
                    <a:noFill/>
                  </pic:spPr>
                </pic:pic>
              </a:graphicData>
            </a:graphic>
          </wp:anchor>
        </w:drawing>
      </w:r>
    </w:p>
    <w:p>
      <w:pPr>
        <w:ind w:left="3900"/>
        <w:spacing w:after="0"/>
        <w:tabs>
          <w:tab w:leader="none" w:pos="4600" w:val="left"/>
        </w:tabs>
        <w:rPr>
          <w:sz w:val="20"/>
          <w:szCs w:val="20"/>
          <w:color w:val="auto"/>
        </w:rPr>
      </w:pPr>
      <w:r>
        <w:rPr>
          <w:rFonts w:ascii="Arial" w:cs="Arial" w:eastAsia="Arial" w:hAnsi="Arial"/>
          <w:sz w:val="20"/>
          <w:szCs w:val="20"/>
          <w:color w:val="auto"/>
        </w:rPr>
        <w:t>Name:</w:t>
      </w:r>
      <w:r>
        <w:rPr>
          <w:sz w:val="20"/>
          <w:szCs w:val="20"/>
          <w:color w:val="auto"/>
        </w:rPr>
        <w:tab/>
      </w:r>
      <w:r>
        <w:rPr>
          <w:rFonts w:ascii="Arial" w:cs="Arial" w:eastAsia="Arial" w:hAnsi="Arial"/>
          <w:sz w:val="18"/>
          <w:szCs w:val="18"/>
          <w:color w:val="auto"/>
        </w:rPr>
        <w:t>Medhi Mahdavi</w:t>
      </w:r>
    </w:p>
    <w:p>
      <w:pPr>
        <w:sectPr>
          <w:pgSz w:w="11900" w:h="16838" w:orient="portrait"/>
          <w:cols w:equalWidth="0" w:num="1">
            <w:col w:w="11280"/>
          </w:cols>
          <w:pgMar w:left="240" w:top="798" w:right="379" w:bottom="1440" w:gutter="0" w:footer="0" w:header="0"/>
        </w:sectPr>
      </w:pPr>
    </w:p>
    <w:p>
      <w:pPr>
        <w:spacing w:after="0" w:line="225" w:lineRule="exact"/>
        <w:rPr>
          <w:sz w:val="20"/>
          <w:szCs w:val="20"/>
          <w:color w:val="auto"/>
        </w:rPr>
      </w:pPr>
    </w:p>
    <w:p>
      <w:pPr>
        <w:spacing w:after="0"/>
        <w:rPr>
          <w:sz w:val="20"/>
          <w:szCs w:val="20"/>
          <w:color w:val="auto"/>
        </w:rPr>
      </w:pPr>
      <w:r>
        <w:rPr>
          <w:rFonts w:ascii="Arial" w:cs="Arial" w:eastAsia="Arial" w:hAnsi="Arial"/>
          <w:sz w:val="13"/>
          <w:szCs w:val="13"/>
          <w:color w:val="auto"/>
        </w:rPr>
        <w:t>CHAR1\1346423v</w:t>
      </w:r>
      <w:r>
        <w:rPr>
          <w:rFonts w:ascii="Arial" w:cs="Arial" w:eastAsia="Arial" w:hAnsi="Arial"/>
          <w:sz w:val="13"/>
          <w:szCs w:val="13"/>
          <w:color w:val="FF0000"/>
          <w:strike w:val="1"/>
        </w:rPr>
        <w:t>1</w:t>
      </w:r>
      <w:r>
        <w:rPr>
          <w:rFonts w:ascii="Arial" w:cs="Arial" w:eastAsia="Arial" w:hAnsi="Arial"/>
          <w:sz w:val="13"/>
          <w:szCs w:val="13"/>
          <w:u w:val="single" w:color="auto"/>
          <w:color w:val="0000FF"/>
        </w:rPr>
        <w:t>12</w:t>
      </w:r>
    </w:p>
    <w:p>
      <w:pPr>
        <w:sectPr>
          <w:pgSz w:w="11900" w:h="16838" w:orient="portrait"/>
          <w:cols w:equalWidth="0" w:num="1">
            <w:col w:w="11280"/>
          </w:cols>
          <w:pgMar w:left="240" w:top="798" w:right="379" w:bottom="1440" w:gutter="0" w:footer="0" w:header="0"/>
          <w:type w:val="continuous"/>
        </w:sectPr>
      </w:pPr>
    </w:p>
    <w:bookmarkStart w:id="254" w:name="page255"/>
    <w:bookmarkEnd w:id="254"/>
    <w:p>
      <w:pPr>
        <w:jc w:val="center"/>
        <w:ind w:right="-40"/>
        <w:spacing w:after="0"/>
        <w:tabs>
          <w:tab w:leader="none" w:pos="180" w:val="left"/>
        </w:tabs>
        <w:rPr>
          <w:sz w:val="20"/>
          <w:szCs w:val="20"/>
          <w:color w:val="auto"/>
        </w:rPr>
      </w:pPr>
      <w:r>
        <w:rPr>
          <w:rFonts w:ascii="Arial" w:cs="Arial" w:eastAsia="Arial" w:hAnsi="Arial"/>
          <w:sz w:val="20"/>
          <w:szCs w:val="20"/>
          <w:color w:val="auto"/>
        </w:rPr>
        <w:t>Title:</w:t>
      </w:r>
      <w:r>
        <w:rPr>
          <w:sz w:val="20"/>
          <w:szCs w:val="20"/>
          <w:color w:val="auto"/>
        </w:rPr>
        <w:tab/>
      </w:r>
      <w:r>
        <w:rPr>
          <w:rFonts w:ascii="Arial" w:cs="Arial" w:eastAsia="Arial" w:hAnsi="Arial"/>
          <w:sz w:val="18"/>
          <w:szCs w:val="18"/>
          <w:color w:val="auto"/>
        </w:rPr>
        <w:t>Chief Financial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tabs>
          <w:tab w:leader="none" w:pos="2920" w:val="left"/>
        </w:tabs>
        <w:rPr>
          <w:sz w:val="20"/>
          <w:szCs w:val="20"/>
          <w:color w:val="auto"/>
        </w:rPr>
      </w:pPr>
      <w:r>
        <w:rPr>
          <w:rFonts w:ascii="Arial" w:cs="Arial" w:eastAsia="Arial" w:hAnsi="Arial"/>
          <w:sz w:val="20"/>
          <w:szCs w:val="20"/>
          <w:b w:val="1"/>
          <w:bCs w:val="1"/>
          <w:u w:val="single" w:color="auto"/>
          <w:color w:val="auto"/>
        </w:rPr>
        <w:t>FOREIGN BORROWERS</w:t>
      </w:r>
      <w:r>
        <w:rPr>
          <w:rFonts w:ascii="Arial" w:cs="Arial" w:eastAsia="Arial" w:hAnsi="Arial"/>
          <w:sz w:val="20"/>
          <w:szCs w:val="20"/>
          <w:b w:val="1"/>
          <w:bCs w:val="1"/>
          <w:color w:val="auto"/>
        </w:rPr>
        <w:t>:</w:t>
      </w:r>
      <w:r>
        <w:rPr>
          <w:sz w:val="20"/>
          <w:szCs w:val="20"/>
          <w:color w:val="auto"/>
        </w:rPr>
        <w:tab/>
      </w:r>
      <w:r>
        <w:rPr>
          <w:rFonts w:ascii="Arial" w:cs="Arial" w:eastAsia="Arial" w:hAnsi="Arial"/>
          <w:sz w:val="19"/>
          <w:szCs w:val="19"/>
          <w:b w:val="1"/>
          <w:bCs w:val="1"/>
          <w:color w:val="auto"/>
        </w:rPr>
        <w:t>EFT SERVICES HOLDINGS BV</w:t>
      </w:r>
    </w:p>
    <w:p>
      <w:pPr>
        <w:spacing w:after="0" w:line="222" w:lineRule="exact"/>
        <w:rPr>
          <w:sz w:val="20"/>
          <w:szCs w:val="20"/>
          <w:color w:val="auto"/>
        </w:rPr>
      </w:pPr>
    </w:p>
    <w:p>
      <w:pPr>
        <w:ind w:left="3900"/>
        <w:spacing w:after="0"/>
        <w:tabs>
          <w:tab w:leader="none" w:pos="4360" w:val="left"/>
        </w:tabs>
        <w:rPr>
          <w:sz w:val="20"/>
          <w:szCs w:val="20"/>
          <w:color w:val="auto"/>
        </w:rPr>
      </w:pPr>
      <w:r>
        <w:rPr>
          <w:rFonts w:ascii="Arial" w:cs="Arial" w:eastAsia="Arial" w:hAnsi="Arial"/>
          <w:sz w:val="20"/>
          <w:szCs w:val="20"/>
          <w:color w:val="auto"/>
        </w:rPr>
        <w:t>By:</w:t>
      </w:r>
      <w:r>
        <w:rPr>
          <w:sz w:val="20"/>
          <w:szCs w:val="20"/>
          <w:color w:val="auto"/>
        </w:rPr>
        <w:tab/>
      </w:r>
      <w:r>
        <w:rPr>
          <w:rFonts w:ascii="Arial" w:cs="Arial" w:eastAsia="Arial" w:hAnsi="Arial"/>
          <w:sz w:val="19"/>
          <w:szCs w:val="19"/>
          <w:color w:val="auto"/>
        </w:rPr>
        <w:t>EURONET WORLDWIDE, INC., its</w:t>
      </w:r>
    </w:p>
    <w:p>
      <w:pPr>
        <w:spacing w:after="0" w:line="16" w:lineRule="exact"/>
        <w:rPr>
          <w:sz w:val="20"/>
          <w:szCs w:val="20"/>
          <w:color w:val="auto"/>
        </w:rPr>
      </w:pPr>
    </w:p>
    <w:p>
      <w:pPr>
        <w:ind w:left="4540"/>
        <w:spacing w:after="0"/>
        <w:rPr>
          <w:sz w:val="20"/>
          <w:szCs w:val="20"/>
          <w:color w:val="auto"/>
        </w:rPr>
      </w:pPr>
      <w:r>
        <w:rPr>
          <w:rFonts w:ascii="Arial" w:cs="Arial" w:eastAsia="Arial" w:hAnsi="Arial"/>
          <w:sz w:val="20"/>
          <w:szCs w:val="20"/>
          <w:color w:val="auto"/>
        </w:rPr>
        <w:t>Managing Director</w:t>
      </w:r>
    </w:p>
    <w:p>
      <w:pPr>
        <w:spacing w:after="0" w:line="200" w:lineRule="exact"/>
        <w:rPr>
          <w:sz w:val="20"/>
          <w:szCs w:val="20"/>
          <w:color w:val="auto"/>
        </w:rPr>
      </w:pPr>
    </w:p>
    <w:p>
      <w:pPr>
        <w:ind w:left="4540"/>
        <w:spacing w:after="0"/>
        <w:tabs>
          <w:tab w:leader="none" w:pos="5000" w:val="left"/>
        </w:tabs>
        <w:rPr>
          <w:sz w:val="20"/>
          <w:szCs w:val="20"/>
          <w:color w:val="auto"/>
        </w:rPr>
      </w:pPr>
      <w:r>
        <w:rPr>
          <w:rFonts w:ascii="Arial" w:cs="Arial" w:eastAsia="Arial" w:hAnsi="Arial"/>
          <w:sz w:val="20"/>
          <w:szCs w:val="20"/>
          <w:color w:val="auto"/>
        </w:rPr>
        <w:t>By:</w:t>
      </w:r>
      <w:r>
        <w:rPr>
          <w:sz w:val="20"/>
          <w:szCs w:val="20"/>
          <w:color w:val="auto"/>
        </w:rPr>
        <w:tab/>
      </w:r>
      <w:r>
        <w:rPr>
          <w:rFonts w:ascii="Arial" w:cs="Arial" w:eastAsia="Arial" w:hAnsi="Arial"/>
          <w:sz w:val="18"/>
          <w:szCs w:val="18"/>
          <w:color w:val="auto"/>
        </w:rPr>
        <w:t>/s. Jeffrey B. Newman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3068320</wp:posOffset>
            </wp:positionH>
            <wp:positionV relativeFrom="paragraph">
              <wp:posOffset>-14605</wp:posOffset>
            </wp:positionV>
            <wp:extent cx="1502410" cy="88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1502410" cy="8890"/>
                    </a:xfrm>
                    <a:prstGeom prst="rect">
                      <a:avLst/>
                    </a:prstGeom>
                    <a:noFill/>
                  </pic:spPr>
                </pic:pic>
              </a:graphicData>
            </a:graphic>
          </wp:anchor>
        </w:drawing>
      </w:r>
    </w:p>
    <w:p>
      <w:pPr>
        <w:ind w:left="4540"/>
        <w:spacing w:after="0"/>
        <w:tabs>
          <w:tab w:leader="none" w:pos="5260" w:val="left"/>
        </w:tabs>
        <w:rPr>
          <w:sz w:val="20"/>
          <w:szCs w:val="20"/>
          <w:color w:val="auto"/>
        </w:rPr>
      </w:pPr>
      <w:r>
        <w:rPr>
          <w:rFonts w:ascii="Arial" w:cs="Arial" w:eastAsia="Arial" w:hAnsi="Arial"/>
          <w:sz w:val="20"/>
          <w:szCs w:val="20"/>
          <w:color w:val="auto"/>
        </w:rPr>
        <w:t>Name:</w:t>
        <w:tab/>
        <w:t>Jeffrey B. Newman</w:t>
      </w:r>
    </w:p>
    <w:p>
      <w:pPr>
        <w:ind w:left="4540"/>
        <w:spacing w:after="0"/>
        <w:tabs>
          <w:tab w:leader="none" w:pos="5140" w:val="left"/>
        </w:tabs>
        <w:rPr>
          <w:sz w:val="20"/>
          <w:szCs w:val="20"/>
          <w:color w:val="auto"/>
        </w:rPr>
      </w:pPr>
      <w:r>
        <w:rPr>
          <w:rFonts w:ascii="Arial" w:cs="Arial" w:eastAsia="Arial" w:hAnsi="Arial"/>
          <w:sz w:val="20"/>
          <w:szCs w:val="20"/>
          <w:color w:val="auto"/>
        </w:rPr>
        <w:t>Title:</w:t>
        <w:tab/>
        <w:t>Executive Vice President</w:t>
      </w:r>
    </w:p>
    <w:p>
      <w:pPr>
        <w:spacing w:after="0" w:line="194" w:lineRule="exact"/>
        <w:rPr>
          <w:sz w:val="20"/>
          <w:szCs w:val="20"/>
          <w:color w:val="auto"/>
        </w:rPr>
      </w:pPr>
    </w:p>
    <w:p>
      <w:pPr>
        <w:jc w:val="center"/>
        <w:ind w:right="59"/>
        <w:spacing w:after="0"/>
        <w:rPr>
          <w:sz w:val="20"/>
          <w:szCs w:val="20"/>
          <w:color w:val="auto"/>
        </w:rPr>
      </w:pPr>
      <w:r>
        <w:rPr>
          <w:rFonts w:ascii="Arial" w:cs="Arial" w:eastAsia="Arial" w:hAnsi="Arial"/>
          <w:sz w:val="20"/>
          <w:szCs w:val="20"/>
          <w:b w:val="1"/>
          <w:bCs w:val="1"/>
          <w:color w:val="auto"/>
        </w:rPr>
        <w:t>DELTA EURONET GmbH</w:t>
      </w:r>
      <w:r>
        <w:rPr>
          <w:rFonts w:ascii="Arial" w:cs="Arial" w:eastAsia="Arial" w:hAnsi="Arial"/>
          <w:sz w:val="25"/>
          <w:szCs w:val="25"/>
          <w:b w:val="1"/>
          <w:bCs w:val="1"/>
          <w:u w:val="single" w:color="auto"/>
          <w:color w:val="0000FF"/>
          <w:vertAlign w:val="superscript"/>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3981450</wp:posOffset>
            </wp:positionH>
            <wp:positionV relativeFrom="paragraph">
              <wp:posOffset>-47625</wp:posOffset>
            </wp:positionV>
            <wp:extent cx="28575" cy="88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28575" cy="8890"/>
                    </a:xfrm>
                    <a:prstGeom prst="rect">
                      <a:avLst/>
                    </a:prstGeom>
                    <a:noFill/>
                  </pic:spPr>
                </pic:pic>
              </a:graphicData>
            </a:graphic>
          </wp:anchor>
        </w:drawing>
      </w:r>
    </w:p>
    <w:p>
      <w:pPr>
        <w:spacing w:after="0" w:line="360" w:lineRule="exact"/>
        <w:rPr>
          <w:sz w:val="20"/>
          <w:szCs w:val="20"/>
          <w:color w:val="auto"/>
        </w:rPr>
      </w:pPr>
    </w:p>
    <w:p>
      <w:pPr>
        <w:ind w:left="3900"/>
        <w:spacing w:after="0"/>
        <w:tabs>
          <w:tab w:leader="none" w:pos="4360" w:val="left"/>
        </w:tabs>
        <w:rPr>
          <w:sz w:val="20"/>
          <w:szCs w:val="20"/>
          <w:color w:val="auto"/>
        </w:rPr>
      </w:pPr>
      <w:r>
        <w:rPr>
          <w:rFonts w:ascii="Arial" w:cs="Arial" w:eastAsia="Arial" w:hAnsi="Arial"/>
          <w:sz w:val="20"/>
          <w:szCs w:val="20"/>
          <w:color w:val="auto"/>
        </w:rPr>
        <w:t>By:</w:t>
      </w:r>
      <w:r>
        <w:rPr>
          <w:sz w:val="20"/>
          <w:szCs w:val="20"/>
          <w:color w:val="auto"/>
        </w:rPr>
        <w:tab/>
      </w:r>
      <w:r>
        <w:rPr>
          <w:rFonts w:ascii="Arial" w:cs="Arial" w:eastAsia="Arial" w:hAnsi="Arial"/>
          <w:sz w:val="18"/>
          <w:szCs w:val="18"/>
          <w:color w:val="auto"/>
        </w:rPr>
        <w:t>/s/ Rick L. Weller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2656205</wp:posOffset>
            </wp:positionH>
            <wp:positionV relativeFrom="paragraph">
              <wp:posOffset>-14605</wp:posOffset>
            </wp:positionV>
            <wp:extent cx="1393190" cy="88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1393190" cy="8890"/>
                    </a:xfrm>
                    <a:prstGeom prst="rect">
                      <a:avLst/>
                    </a:prstGeom>
                    <a:noFill/>
                  </pic:spPr>
                </pic:pic>
              </a:graphicData>
            </a:graphic>
          </wp:anchor>
        </w:drawing>
      </w:r>
    </w:p>
    <w:p>
      <w:pPr>
        <w:ind w:left="3900"/>
        <w:spacing w:after="0"/>
        <w:tabs>
          <w:tab w:leader="none" w:pos="4600" w:val="left"/>
        </w:tabs>
        <w:rPr>
          <w:sz w:val="20"/>
          <w:szCs w:val="20"/>
          <w:color w:val="auto"/>
        </w:rPr>
      </w:pPr>
      <w:r>
        <w:rPr>
          <w:rFonts w:ascii="Arial" w:cs="Arial" w:eastAsia="Arial" w:hAnsi="Arial"/>
          <w:sz w:val="20"/>
          <w:szCs w:val="20"/>
          <w:color w:val="auto"/>
        </w:rPr>
        <w:t>Name:</w:t>
      </w:r>
      <w:r>
        <w:rPr>
          <w:sz w:val="20"/>
          <w:szCs w:val="20"/>
          <w:color w:val="auto"/>
        </w:rPr>
        <w:tab/>
      </w:r>
      <w:r>
        <w:rPr>
          <w:rFonts w:ascii="Arial" w:cs="Arial" w:eastAsia="Arial" w:hAnsi="Arial"/>
          <w:sz w:val="18"/>
          <w:szCs w:val="18"/>
          <w:color w:val="auto"/>
        </w:rPr>
        <w:t>Rick L. Weller</w:t>
      </w:r>
    </w:p>
    <w:p>
      <w:pPr>
        <w:ind w:left="3900"/>
        <w:spacing w:after="0"/>
        <w:tabs>
          <w:tab w:leader="none" w:pos="4500" w:val="left"/>
        </w:tabs>
        <w:rPr>
          <w:sz w:val="20"/>
          <w:szCs w:val="20"/>
          <w:color w:val="auto"/>
        </w:rPr>
      </w:pPr>
      <w:r>
        <w:rPr>
          <w:rFonts w:ascii="Arial" w:cs="Arial" w:eastAsia="Arial" w:hAnsi="Arial"/>
          <w:sz w:val="20"/>
          <w:szCs w:val="20"/>
          <w:color w:val="auto"/>
        </w:rPr>
        <w:t>Title:</w:t>
      </w:r>
      <w:r>
        <w:rPr>
          <w:sz w:val="20"/>
          <w:szCs w:val="20"/>
          <w:color w:val="auto"/>
        </w:rPr>
        <w:tab/>
      </w:r>
      <w:r>
        <w:rPr>
          <w:rFonts w:ascii="Arial" w:cs="Arial" w:eastAsia="Arial" w:hAnsi="Arial"/>
          <w:sz w:val="18"/>
          <w:szCs w:val="18"/>
          <w:color w:val="auto"/>
        </w:rPr>
        <w:t>Director</w:t>
      </w:r>
    </w:p>
    <w:p>
      <w:pPr>
        <w:spacing w:after="0" w:line="194" w:lineRule="exact"/>
        <w:rPr>
          <w:sz w:val="20"/>
          <w:szCs w:val="20"/>
          <w:color w:val="auto"/>
        </w:rPr>
      </w:pPr>
    </w:p>
    <w:p>
      <w:pPr>
        <w:jc w:val="right"/>
        <w:ind w:right="2459"/>
        <w:spacing w:after="0"/>
        <w:rPr>
          <w:sz w:val="20"/>
          <w:szCs w:val="20"/>
          <w:color w:val="auto"/>
        </w:rPr>
      </w:pPr>
      <w:r>
        <w:rPr>
          <w:rFonts w:ascii="Arial" w:cs="Arial" w:eastAsia="Arial" w:hAnsi="Arial"/>
          <w:sz w:val="20"/>
          <w:szCs w:val="20"/>
          <w:b w:val="1"/>
          <w:bCs w:val="1"/>
          <w:color w:val="auto"/>
        </w:rPr>
        <w:t>E-PAY AUSTRALIA HOLDINGS PTY. LTD.</w:t>
      </w:r>
    </w:p>
    <w:p>
      <w:pPr>
        <w:spacing w:after="0" w:line="200" w:lineRule="exact"/>
        <w:rPr>
          <w:sz w:val="20"/>
          <w:szCs w:val="20"/>
          <w:color w:val="auto"/>
        </w:rPr>
      </w:pPr>
    </w:p>
    <w:p>
      <w:pPr>
        <w:spacing w:after="0" w:line="238" w:lineRule="exact"/>
        <w:rPr>
          <w:sz w:val="20"/>
          <w:szCs w:val="20"/>
          <w:color w:val="auto"/>
        </w:rPr>
      </w:pPr>
    </w:p>
    <w:p>
      <w:pPr>
        <w:ind w:left="3900"/>
        <w:spacing w:after="0"/>
        <w:tabs>
          <w:tab w:leader="none" w:pos="4360" w:val="left"/>
        </w:tabs>
        <w:rPr>
          <w:sz w:val="20"/>
          <w:szCs w:val="20"/>
          <w:color w:val="auto"/>
        </w:rPr>
      </w:pPr>
      <w:r>
        <w:rPr>
          <w:rFonts w:ascii="Arial" w:cs="Arial" w:eastAsia="Arial" w:hAnsi="Arial"/>
          <w:sz w:val="20"/>
          <w:szCs w:val="20"/>
          <w:color w:val="auto"/>
        </w:rPr>
        <w:t>By:</w:t>
      </w:r>
      <w:r>
        <w:rPr>
          <w:sz w:val="20"/>
          <w:szCs w:val="20"/>
          <w:color w:val="auto"/>
        </w:rPr>
        <w:tab/>
      </w:r>
      <w:r>
        <w:rPr>
          <w:rFonts w:ascii="Arial" w:cs="Arial" w:eastAsia="Arial" w:hAnsi="Arial"/>
          <w:sz w:val="18"/>
          <w:szCs w:val="18"/>
          <w:color w:val="auto"/>
        </w:rPr>
        <w:t>/s/ Eric Mettemeyer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2656205</wp:posOffset>
            </wp:positionH>
            <wp:positionV relativeFrom="paragraph">
              <wp:posOffset>-14605</wp:posOffset>
            </wp:positionV>
            <wp:extent cx="1501140" cy="88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1501140" cy="8890"/>
                    </a:xfrm>
                    <a:prstGeom prst="rect">
                      <a:avLst/>
                    </a:prstGeom>
                    <a:noFill/>
                  </pic:spPr>
                </pic:pic>
              </a:graphicData>
            </a:graphic>
          </wp:anchor>
        </w:drawing>
      </w:r>
    </w:p>
    <w:p>
      <w:pPr>
        <w:ind w:left="3900"/>
        <w:spacing w:after="0"/>
        <w:tabs>
          <w:tab w:leader="none" w:pos="4600" w:val="left"/>
        </w:tabs>
        <w:rPr>
          <w:sz w:val="20"/>
          <w:szCs w:val="20"/>
          <w:color w:val="auto"/>
        </w:rPr>
      </w:pPr>
      <w:r>
        <w:rPr>
          <w:rFonts w:ascii="Arial" w:cs="Arial" w:eastAsia="Arial" w:hAnsi="Arial"/>
          <w:sz w:val="20"/>
          <w:szCs w:val="20"/>
          <w:color w:val="auto"/>
        </w:rPr>
        <w:t>Name:</w:t>
      </w:r>
      <w:r>
        <w:rPr>
          <w:sz w:val="20"/>
          <w:szCs w:val="20"/>
          <w:color w:val="auto"/>
        </w:rPr>
        <w:tab/>
      </w:r>
      <w:r>
        <w:rPr>
          <w:rFonts w:ascii="Arial" w:cs="Arial" w:eastAsia="Arial" w:hAnsi="Arial"/>
          <w:sz w:val="18"/>
          <w:szCs w:val="18"/>
          <w:color w:val="auto"/>
        </w:rPr>
        <w:t>Eric Mettemeyer</w:t>
      </w:r>
    </w:p>
    <w:p>
      <w:pPr>
        <w:ind w:left="3900"/>
        <w:spacing w:after="0"/>
        <w:tabs>
          <w:tab w:leader="none" w:pos="4480" w:val="left"/>
        </w:tabs>
        <w:rPr>
          <w:sz w:val="20"/>
          <w:szCs w:val="20"/>
          <w:color w:val="auto"/>
        </w:rPr>
      </w:pPr>
      <w:r>
        <w:rPr>
          <w:rFonts w:ascii="Arial" w:cs="Arial" w:eastAsia="Arial" w:hAnsi="Arial"/>
          <w:sz w:val="20"/>
          <w:szCs w:val="20"/>
          <w:color w:val="auto"/>
        </w:rPr>
        <w:t>Title:</w:t>
      </w:r>
      <w:r>
        <w:rPr>
          <w:sz w:val="20"/>
          <w:szCs w:val="20"/>
          <w:color w:val="auto"/>
        </w:rPr>
        <w:tab/>
      </w:r>
      <w:r>
        <w:rPr>
          <w:rFonts w:ascii="Arial" w:cs="Arial" w:eastAsia="Arial" w:hAnsi="Arial"/>
          <w:sz w:val="18"/>
          <w:szCs w:val="18"/>
          <w:color w:val="auto"/>
        </w:rPr>
        <w:t>Authorized under Power of Attorney</w:t>
      </w:r>
    </w:p>
    <w:p>
      <w:pPr>
        <w:spacing w:after="0" w:line="200" w:lineRule="exact"/>
        <w:rPr>
          <w:sz w:val="20"/>
          <w:szCs w:val="20"/>
          <w:color w:val="auto"/>
        </w:rPr>
      </w:pPr>
    </w:p>
    <w:p>
      <w:pPr>
        <w:spacing w:after="0" w:line="210" w:lineRule="exact"/>
        <w:rPr>
          <w:sz w:val="20"/>
          <w:szCs w:val="20"/>
          <w:color w:val="auto"/>
        </w:rPr>
      </w:pPr>
    </w:p>
    <w:p>
      <w:pPr>
        <w:jc w:val="center"/>
        <w:ind w:right="239"/>
        <w:spacing w:after="0"/>
        <w:rPr>
          <w:sz w:val="20"/>
          <w:szCs w:val="20"/>
          <w:color w:val="auto"/>
        </w:rPr>
      </w:pPr>
      <w:r>
        <w:rPr>
          <w:rFonts w:ascii="Arial" w:cs="Arial" w:eastAsia="Arial" w:hAnsi="Arial"/>
          <w:sz w:val="20"/>
          <w:szCs w:val="20"/>
          <w:b w:val="1"/>
          <w:bCs w:val="1"/>
          <w:color w:val="auto"/>
        </w:rPr>
        <w:t>E-PAY HOLDINGS LTD</w:t>
      </w:r>
      <w:r>
        <w:rPr>
          <w:rFonts w:ascii="Arial" w:cs="Arial" w:eastAsia="Arial" w:hAnsi="Arial"/>
          <w:sz w:val="25"/>
          <w:szCs w:val="25"/>
          <w:b w:val="1"/>
          <w:bCs w:val="1"/>
          <w:u w:val="single" w:color="auto"/>
          <w:color w:val="0000FF"/>
          <w:vertAlign w:val="superscript"/>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3865245</wp:posOffset>
            </wp:positionH>
            <wp:positionV relativeFrom="paragraph">
              <wp:posOffset>-47625</wp:posOffset>
            </wp:positionV>
            <wp:extent cx="28575" cy="88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28575" cy="8890"/>
                    </a:xfrm>
                    <a:prstGeom prst="rect">
                      <a:avLst/>
                    </a:prstGeom>
                    <a:noFill/>
                  </pic:spPr>
                </pic:pic>
              </a:graphicData>
            </a:graphic>
          </wp:anchor>
        </w:drawing>
      </w:r>
    </w:p>
    <w:p>
      <w:pPr>
        <w:spacing w:after="0" w:line="360" w:lineRule="exact"/>
        <w:rPr>
          <w:sz w:val="20"/>
          <w:szCs w:val="20"/>
          <w:color w:val="auto"/>
        </w:rPr>
      </w:pPr>
    </w:p>
    <w:p>
      <w:pPr>
        <w:ind w:left="3900"/>
        <w:spacing w:after="0"/>
        <w:tabs>
          <w:tab w:leader="none" w:pos="4360" w:val="left"/>
        </w:tabs>
        <w:rPr>
          <w:sz w:val="20"/>
          <w:szCs w:val="20"/>
          <w:color w:val="auto"/>
        </w:rPr>
      </w:pPr>
      <w:r>
        <w:rPr>
          <w:rFonts w:ascii="Arial" w:cs="Arial" w:eastAsia="Arial" w:hAnsi="Arial"/>
          <w:sz w:val="20"/>
          <w:szCs w:val="20"/>
          <w:color w:val="auto"/>
        </w:rPr>
        <w:t>By:</w:t>
      </w:r>
      <w:r>
        <w:rPr>
          <w:sz w:val="20"/>
          <w:szCs w:val="20"/>
          <w:color w:val="auto"/>
        </w:rPr>
        <w:tab/>
      </w:r>
      <w:r>
        <w:rPr>
          <w:rFonts w:ascii="Arial" w:cs="Arial" w:eastAsia="Arial" w:hAnsi="Arial"/>
          <w:sz w:val="18"/>
          <w:szCs w:val="18"/>
          <w:color w:val="auto"/>
        </w:rPr>
        <w:t>/s/ Jeffrey B. Newman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2656205</wp:posOffset>
            </wp:positionH>
            <wp:positionV relativeFrom="paragraph">
              <wp:posOffset>-14605</wp:posOffset>
            </wp:positionV>
            <wp:extent cx="1631315" cy="88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1631315" cy="8890"/>
                    </a:xfrm>
                    <a:prstGeom prst="rect">
                      <a:avLst/>
                    </a:prstGeom>
                    <a:noFill/>
                  </pic:spPr>
                </pic:pic>
              </a:graphicData>
            </a:graphic>
          </wp:anchor>
        </w:drawing>
      </w:r>
    </w:p>
    <w:p>
      <w:pPr>
        <w:ind w:left="3900"/>
        <w:spacing w:after="0"/>
        <w:tabs>
          <w:tab w:leader="none" w:pos="4600" w:val="left"/>
        </w:tabs>
        <w:rPr>
          <w:sz w:val="20"/>
          <w:szCs w:val="20"/>
          <w:color w:val="auto"/>
        </w:rPr>
      </w:pPr>
      <w:r>
        <w:rPr>
          <w:rFonts w:ascii="Arial" w:cs="Arial" w:eastAsia="Arial" w:hAnsi="Arial"/>
          <w:sz w:val="20"/>
          <w:szCs w:val="20"/>
          <w:color w:val="auto"/>
        </w:rPr>
        <w:t>Name:</w:t>
      </w:r>
      <w:r>
        <w:rPr>
          <w:sz w:val="20"/>
          <w:szCs w:val="20"/>
          <w:color w:val="auto"/>
        </w:rPr>
        <w:tab/>
      </w:r>
      <w:r>
        <w:rPr>
          <w:rFonts w:ascii="Arial" w:cs="Arial" w:eastAsia="Arial" w:hAnsi="Arial"/>
          <w:sz w:val="18"/>
          <w:szCs w:val="18"/>
          <w:color w:val="auto"/>
        </w:rPr>
        <w:t>Jeffrey B. Newman</w:t>
      </w:r>
    </w:p>
    <w:p>
      <w:pPr>
        <w:ind w:left="3900"/>
        <w:spacing w:after="0"/>
        <w:tabs>
          <w:tab w:leader="none" w:pos="4500" w:val="left"/>
        </w:tabs>
        <w:rPr>
          <w:sz w:val="20"/>
          <w:szCs w:val="20"/>
          <w:color w:val="auto"/>
        </w:rPr>
      </w:pPr>
      <w:r>
        <w:rPr>
          <w:rFonts w:ascii="Arial" w:cs="Arial" w:eastAsia="Arial" w:hAnsi="Arial"/>
          <w:sz w:val="20"/>
          <w:szCs w:val="20"/>
          <w:color w:val="auto"/>
        </w:rPr>
        <w:t>Title:</w:t>
      </w:r>
      <w:r>
        <w:rPr>
          <w:sz w:val="20"/>
          <w:szCs w:val="20"/>
          <w:color w:val="auto"/>
        </w:rPr>
        <w:tab/>
      </w:r>
      <w:r>
        <w:rPr>
          <w:rFonts w:ascii="Arial" w:cs="Arial" w:eastAsia="Arial" w:hAnsi="Arial"/>
          <w:sz w:val="18"/>
          <w:szCs w:val="18"/>
          <w:color w:val="auto"/>
        </w:rPr>
        <w:t>Director</w:t>
      </w:r>
    </w:p>
    <w:p>
      <w:pPr>
        <w:spacing w:after="0" w:line="194" w:lineRule="exact"/>
        <w:rPr>
          <w:sz w:val="20"/>
          <w:szCs w:val="20"/>
          <w:color w:val="auto"/>
        </w:rPr>
      </w:pPr>
    </w:p>
    <w:p>
      <w:pPr>
        <w:ind w:left="3900"/>
        <w:spacing w:after="0"/>
        <w:rPr>
          <w:sz w:val="20"/>
          <w:szCs w:val="20"/>
          <w:color w:val="auto"/>
        </w:rPr>
      </w:pPr>
      <w:r>
        <w:rPr>
          <w:rFonts w:ascii="Arial" w:cs="Arial" w:eastAsia="Arial" w:hAnsi="Arial"/>
          <w:sz w:val="20"/>
          <w:szCs w:val="20"/>
          <w:b w:val="1"/>
          <w:bCs w:val="1"/>
          <w:color w:val="auto"/>
        </w:rPr>
        <w:t>RIA NETHERLANDS HOLDING B.V.</w:t>
      </w:r>
    </w:p>
    <w:p>
      <w:pPr>
        <w:spacing w:after="0" w:line="200" w:lineRule="exact"/>
        <w:rPr>
          <w:sz w:val="20"/>
          <w:szCs w:val="20"/>
          <w:color w:val="auto"/>
        </w:rPr>
      </w:pPr>
    </w:p>
    <w:p>
      <w:pPr>
        <w:spacing w:after="0" w:line="238" w:lineRule="exact"/>
        <w:rPr>
          <w:sz w:val="20"/>
          <w:szCs w:val="20"/>
          <w:color w:val="auto"/>
        </w:rPr>
      </w:pPr>
    </w:p>
    <w:p>
      <w:pPr>
        <w:ind w:left="3900"/>
        <w:spacing w:after="0"/>
        <w:tabs>
          <w:tab w:leader="none" w:pos="4360" w:val="left"/>
        </w:tabs>
        <w:rPr>
          <w:sz w:val="20"/>
          <w:szCs w:val="20"/>
          <w:color w:val="auto"/>
        </w:rPr>
      </w:pPr>
      <w:r>
        <w:rPr>
          <w:rFonts w:ascii="Arial" w:cs="Arial" w:eastAsia="Arial" w:hAnsi="Arial"/>
          <w:sz w:val="20"/>
          <w:szCs w:val="20"/>
          <w:color w:val="auto"/>
        </w:rPr>
        <w:t>By:</w:t>
      </w:r>
      <w:r>
        <w:rPr>
          <w:sz w:val="20"/>
          <w:szCs w:val="20"/>
          <w:color w:val="auto"/>
        </w:rPr>
        <w:tab/>
      </w:r>
      <w:r>
        <w:rPr>
          <w:rFonts w:ascii="Arial" w:cs="Arial" w:eastAsia="Arial" w:hAnsi="Arial"/>
          <w:sz w:val="16"/>
          <w:szCs w:val="16"/>
          <w:color w:val="auto"/>
        </w:rPr>
        <w:t>/s/ Sebastian Plubins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2656205</wp:posOffset>
            </wp:positionH>
            <wp:positionV relativeFrom="paragraph">
              <wp:posOffset>-14605</wp:posOffset>
            </wp:positionV>
            <wp:extent cx="1543050" cy="88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1543050" cy="8890"/>
                    </a:xfrm>
                    <a:prstGeom prst="rect">
                      <a:avLst/>
                    </a:prstGeom>
                    <a:noFill/>
                  </pic:spPr>
                </pic:pic>
              </a:graphicData>
            </a:graphic>
          </wp:anchor>
        </w:drawing>
      </w:r>
    </w:p>
    <w:p>
      <w:pPr>
        <w:ind w:left="3900"/>
        <w:spacing w:after="0"/>
        <w:tabs>
          <w:tab w:leader="none" w:pos="4600" w:val="left"/>
        </w:tabs>
        <w:rPr>
          <w:sz w:val="20"/>
          <w:szCs w:val="20"/>
          <w:color w:val="auto"/>
        </w:rPr>
      </w:pPr>
      <w:r>
        <w:rPr>
          <w:rFonts w:ascii="Arial" w:cs="Arial" w:eastAsia="Arial" w:hAnsi="Arial"/>
          <w:sz w:val="20"/>
          <w:szCs w:val="20"/>
          <w:color w:val="auto"/>
        </w:rPr>
        <w:t>Name:</w:t>
      </w:r>
      <w:r>
        <w:rPr>
          <w:sz w:val="20"/>
          <w:szCs w:val="20"/>
          <w:color w:val="auto"/>
        </w:rPr>
        <w:tab/>
      </w:r>
      <w:r>
        <w:rPr>
          <w:rFonts w:ascii="Arial" w:cs="Arial" w:eastAsia="Arial" w:hAnsi="Arial"/>
          <w:sz w:val="16"/>
          <w:szCs w:val="16"/>
          <w:color w:val="auto"/>
        </w:rPr>
        <w:t>Sebastian Plubins</w:t>
      </w:r>
    </w:p>
    <w:p>
      <w:pPr>
        <w:ind w:left="3900"/>
        <w:spacing w:after="0"/>
        <w:tabs>
          <w:tab w:leader="none" w:pos="4500" w:val="left"/>
        </w:tabs>
        <w:rPr>
          <w:sz w:val="20"/>
          <w:szCs w:val="20"/>
          <w:color w:val="auto"/>
        </w:rPr>
      </w:pPr>
      <w:r>
        <w:rPr>
          <w:rFonts w:ascii="Arial" w:cs="Arial" w:eastAsia="Arial" w:hAnsi="Arial"/>
          <w:sz w:val="20"/>
          <w:szCs w:val="20"/>
          <w:color w:val="auto"/>
        </w:rPr>
        <w:t>Title:</w:t>
      </w:r>
      <w:r>
        <w:rPr>
          <w:sz w:val="20"/>
          <w:szCs w:val="20"/>
          <w:color w:val="auto"/>
        </w:rPr>
        <w:tab/>
      </w:r>
      <w:r>
        <w:rPr>
          <w:rFonts w:ascii="Arial" w:cs="Arial" w:eastAsia="Arial" w:hAnsi="Arial"/>
          <w:sz w:val="18"/>
          <w:szCs w:val="18"/>
          <w:color w:val="auto"/>
        </w:rPr>
        <w:t>Director</w:t>
      </w:r>
    </w:p>
    <w:p>
      <w:pPr>
        <w:spacing w:after="0" w:line="194" w:lineRule="exact"/>
        <w:rPr>
          <w:sz w:val="20"/>
          <w:szCs w:val="20"/>
          <w:color w:val="auto"/>
        </w:rPr>
      </w:pPr>
    </w:p>
    <w:p>
      <w:pPr>
        <w:jc w:val="center"/>
        <w:ind w:right="-360"/>
        <w:spacing w:after="0"/>
        <w:tabs>
          <w:tab w:leader="none" w:pos="180" w:val="left"/>
        </w:tabs>
        <w:rPr>
          <w:sz w:val="20"/>
          <w:szCs w:val="20"/>
          <w:color w:val="auto"/>
        </w:rPr>
      </w:pPr>
      <w:r>
        <w:rPr>
          <w:rFonts w:ascii="Arial" w:cs="Arial" w:eastAsia="Arial" w:hAnsi="Arial"/>
          <w:sz w:val="20"/>
          <w:szCs w:val="20"/>
          <w:color w:val="auto"/>
        </w:rPr>
        <w:t>By:</w:t>
      </w:r>
      <w:r>
        <w:rPr>
          <w:sz w:val="20"/>
          <w:szCs w:val="20"/>
          <w:color w:val="auto"/>
        </w:rPr>
        <w:tab/>
      </w:r>
      <w:r>
        <w:rPr>
          <w:rFonts w:ascii="Arial" w:cs="Arial" w:eastAsia="Arial" w:hAnsi="Arial"/>
          <w:sz w:val="19"/>
          <w:szCs w:val="19"/>
          <w:b w:val="1"/>
          <w:bCs w:val="1"/>
          <w:color w:val="auto"/>
        </w:rPr>
        <w:t>EQUITY TRUST CO. N.V.</w:t>
      </w:r>
    </w:p>
    <w:p>
      <w:pPr>
        <w:spacing w:after="0" w:line="222" w:lineRule="exact"/>
        <w:rPr>
          <w:sz w:val="20"/>
          <w:szCs w:val="20"/>
          <w:color w:val="auto"/>
        </w:rPr>
      </w:pPr>
    </w:p>
    <w:p>
      <w:pPr>
        <w:ind w:left="4540"/>
        <w:spacing w:after="0"/>
        <w:tabs>
          <w:tab w:leader="none" w:pos="5000" w:val="left"/>
        </w:tabs>
        <w:rPr>
          <w:sz w:val="20"/>
          <w:szCs w:val="20"/>
          <w:color w:val="auto"/>
        </w:rPr>
      </w:pPr>
      <w:r>
        <w:rPr>
          <w:rFonts w:ascii="Arial" w:cs="Arial" w:eastAsia="Arial" w:hAnsi="Arial"/>
          <w:sz w:val="20"/>
          <w:szCs w:val="20"/>
          <w:color w:val="auto"/>
        </w:rPr>
        <w:t>By:</w:t>
      </w:r>
      <w:r>
        <w:rPr>
          <w:sz w:val="20"/>
          <w:szCs w:val="20"/>
          <w:color w:val="auto"/>
        </w:rPr>
        <w:tab/>
      </w:r>
      <w:r>
        <w:rPr>
          <w:rFonts w:ascii="Arial" w:cs="Arial" w:eastAsia="Arial" w:hAnsi="Arial"/>
          <w:sz w:val="16"/>
          <w:szCs w:val="16"/>
          <w:color w:val="auto"/>
        </w:rPr>
        <w:t>/s/ J.P. Everwijn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3068320</wp:posOffset>
            </wp:positionH>
            <wp:positionV relativeFrom="paragraph">
              <wp:posOffset>-14605</wp:posOffset>
            </wp:positionV>
            <wp:extent cx="1186815" cy="88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1186815" cy="8890"/>
                    </a:xfrm>
                    <a:prstGeom prst="rect">
                      <a:avLst/>
                    </a:prstGeom>
                    <a:noFill/>
                  </pic:spPr>
                </pic:pic>
              </a:graphicData>
            </a:graphic>
          </wp:anchor>
        </w:drawing>
      </w:r>
    </w:p>
    <w:p>
      <w:pPr>
        <w:ind w:left="4540"/>
        <w:spacing w:after="0"/>
        <w:tabs>
          <w:tab w:leader="none" w:pos="5260" w:val="left"/>
        </w:tabs>
        <w:rPr>
          <w:sz w:val="20"/>
          <w:szCs w:val="20"/>
          <w:color w:val="auto"/>
        </w:rPr>
      </w:pPr>
      <w:r>
        <w:rPr>
          <w:rFonts w:ascii="Arial" w:cs="Arial" w:eastAsia="Arial" w:hAnsi="Arial"/>
          <w:sz w:val="20"/>
          <w:szCs w:val="20"/>
          <w:color w:val="auto"/>
        </w:rPr>
        <w:t>Name:</w:t>
        <w:tab/>
        <w:t>J.P. Everwijn</w:t>
      </w:r>
    </w:p>
    <w:p>
      <w:pPr>
        <w:ind w:left="4540"/>
        <w:spacing w:after="0"/>
        <w:tabs>
          <w:tab w:leader="none" w:pos="5140" w:val="left"/>
        </w:tabs>
        <w:rPr>
          <w:sz w:val="20"/>
          <w:szCs w:val="20"/>
          <w:color w:val="auto"/>
        </w:rPr>
      </w:pPr>
      <w:r>
        <w:rPr>
          <w:rFonts w:ascii="Arial" w:cs="Arial" w:eastAsia="Arial" w:hAnsi="Arial"/>
          <w:sz w:val="20"/>
          <w:szCs w:val="20"/>
          <w:color w:val="auto"/>
        </w:rPr>
        <w:t>Title:</w:t>
        <w:tab/>
        <w:t>Proxyholder A</w:t>
      </w:r>
    </w:p>
    <w:p>
      <w:pPr>
        <w:spacing w:after="0" w:line="200" w:lineRule="exact"/>
        <w:rPr>
          <w:sz w:val="20"/>
          <w:szCs w:val="20"/>
          <w:color w:val="auto"/>
        </w:rPr>
      </w:pPr>
    </w:p>
    <w:p>
      <w:pPr>
        <w:ind w:left="4540"/>
        <w:spacing w:after="0"/>
        <w:tabs>
          <w:tab w:leader="none" w:pos="5000" w:val="left"/>
        </w:tabs>
        <w:rPr>
          <w:sz w:val="20"/>
          <w:szCs w:val="20"/>
          <w:color w:val="auto"/>
        </w:rPr>
      </w:pPr>
      <w:r>
        <w:rPr>
          <w:rFonts w:ascii="Arial" w:cs="Arial" w:eastAsia="Arial" w:hAnsi="Arial"/>
          <w:sz w:val="20"/>
          <w:szCs w:val="20"/>
          <w:color w:val="auto"/>
        </w:rPr>
        <w:t>By:</w:t>
      </w:r>
      <w:r>
        <w:rPr>
          <w:sz w:val="20"/>
          <w:szCs w:val="20"/>
          <w:color w:val="auto"/>
        </w:rPr>
        <w:tab/>
      </w:r>
      <w:r>
        <w:rPr>
          <w:rFonts w:ascii="Arial" w:cs="Arial" w:eastAsia="Arial" w:hAnsi="Arial"/>
          <w:sz w:val="16"/>
          <w:szCs w:val="16"/>
          <w:color w:val="auto"/>
        </w:rPr>
        <w:t>/s/ R.J. van Hiedel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3068320</wp:posOffset>
            </wp:positionH>
            <wp:positionV relativeFrom="paragraph">
              <wp:posOffset>-14605</wp:posOffset>
            </wp:positionV>
            <wp:extent cx="1302385" cy="88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1302385" cy="8890"/>
                    </a:xfrm>
                    <a:prstGeom prst="rect">
                      <a:avLst/>
                    </a:prstGeom>
                    <a:noFill/>
                  </pic:spPr>
                </pic:pic>
              </a:graphicData>
            </a:graphic>
          </wp:anchor>
        </w:drawing>
      </w:r>
    </w:p>
    <w:p>
      <w:pPr>
        <w:ind w:left="4540"/>
        <w:spacing w:after="0"/>
        <w:tabs>
          <w:tab w:leader="none" w:pos="5260" w:val="left"/>
        </w:tabs>
        <w:rPr>
          <w:sz w:val="20"/>
          <w:szCs w:val="20"/>
          <w:color w:val="auto"/>
        </w:rPr>
      </w:pPr>
      <w:r>
        <w:rPr>
          <w:rFonts w:ascii="Arial" w:cs="Arial" w:eastAsia="Arial" w:hAnsi="Arial"/>
          <w:sz w:val="20"/>
          <w:szCs w:val="20"/>
          <w:color w:val="auto"/>
        </w:rPr>
        <w:t>Name:</w:t>
        <w:tab/>
        <w:t>R.J. van Hiedel</w:t>
      </w:r>
    </w:p>
    <w:p>
      <w:pPr>
        <w:ind w:left="4540"/>
        <w:spacing w:after="0"/>
        <w:tabs>
          <w:tab w:leader="none" w:pos="5140" w:val="left"/>
        </w:tabs>
        <w:rPr>
          <w:sz w:val="20"/>
          <w:szCs w:val="20"/>
          <w:color w:val="auto"/>
        </w:rPr>
      </w:pPr>
      <w:r>
        <w:rPr>
          <w:rFonts w:ascii="Arial" w:cs="Arial" w:eastAsia="Arial" w:hAnsi="Arial"/>
          <w:sz w:val="20"/>
          <w:szCs w:val="20"/>
          <w:color w:val="auto"/>
        </w:rPr>
        <w:t>Title:</w:t>
        <w:tab/>
        <w:t>Proxyholder B</w:t>
      </w:r>
    </w:p>
    <w:p>
      <w:pPr>
        <w:spacing w:after="0" w:line="200" w:lineRule="exact"/>
        <w:rPr>
          <w:sz w:val="20"/>
          <w:szCs w:val="20"/>
          <w:color w:val="auto"/>
        </w:rPr>
      </w:pPr>
    </w:p>
    <w:p>
      <w:pPr>
        <w:spacing w:after="0" w:line="210" w:lineRule="exact"/>
        <w:rPr>
          <w:sz w:val="20"/>
          <w:szCs w:val="20"/>
          <w:color w:val="auto"/>
        </w:rPr>
      </w:pPr>
    </w:p>
    <w:p>
      <w:pPr>
        <w:spacing w:after="0"/>
        <w:tabs>
          <w:tab w:leader="none" w:pos="2680" w:val="left"/>
        </w:tabs>
        <w:rPr>
          <w:sz w:val="20"/>
          <w:szCs w:val="20"/>
          <w:color w:val="auto"/>
        </w:rPr>
      </w:pPr>
      <w:r>
        <w:rPr>
          <w:rFonts w:ascii="Arial" w:cs="Arial" w:eastAsia="Arial" w:hAnsi="Arial"/>
          <w:sz w:val="20"/>
          <w:szCs w:val="20"/>
          <w:b w:val="1"/>
          <w:bCs w:val="1"/>
          <w:u w:val="single" w:color="auto"/>
          <w:color w:val="auto"/>
        </w:rPr>
        <w:t>INDIA BORROWER</w:t>
      </w:r>
      <w:r>
        <w:rPr>
          <w:rFonts w:ascii="Arial" w:cs="Arial" w:eastAsia="Arial" w:hAnsi="Arial"/>
          <w:sz w:val="20"/>
          <w:szCs w:val="20"/>
          <w:b w:val="1"/>
          <w:bCs w:val="1"/>
          <w:color w:val="auto"/>
        </w:rPr>
        <w:t>:</w:t>
      </w:r>
      <w:r>
        <w:rPr>
          <w:sz w:val="20"/>
          <w:szCs w:val="20"/>
          <w:color w:val="auto"/>
        </w:rPr>
        <w:tab/>
      </w:r>
      <w:r>
        <w:rPr>
          <w:rFonts w:ascii="Arial" w:cs="Arial" w:eastAsia="Arial" w:hAnsi="Arial"/>
          <w:sz w:val="19"/>
          <w:szCs w:val="19"/>
          <w:b w:val="1"/>
          <w:bCs w:val="1"/>
          <w:color w:val="auto"/>
        </w:rPr>
        <w:t>EURONET SERVICES INDIA PVT LTD.</w:t>
      </w:r>
    </w:p>
    <w:p>
      <w:pPr>
        <w:sectPr>
          <w:pgSz w:w="11900" w:h="16838" w:orient="portrait"/>
          <w:cols w:equalWidth="0" w:num="1">
            <w:col w:w="10219"/>
          </w:cols>
          <w:pgMar w:left="240" w:top="582"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spacing w:after="0"/>
        <w:rPr>
          <w:sz w:val="20"/>
          <w:szCs w:val="20"/>
          <w:color w:val="auto"/>
        </w:rPr>
      </w:pPr>
      <w:r>
        <w:rPr>
          <w:rFonts w:ascii="Arial" w:cs="Arial" w:eastAsia="Arial" w:hAnsi="Arial"/>
          <w:sz w:val="13"/>
          <w:szCs w:val="13"/>
          <w:color w:val="auto"/>
        </w:rPr>
        <w:t>CHAR1\1346423v</w:t>
      </w:r>
      <w:r>
        <w:rPr>
          <w:rFonts w:ascii="Arial" w:cs="Arial" w:eastAsia="Arial" w:hAnsi="Arial"/>
          <w:sz w:val="13"/>
          <w:szCs w:val="13"/>
          <w:color w:val="FF0000"/>
          <w:strike w:val="1"/>
        </w:rPr>
        <w:t>1</w:t>
      </w:r>
      <w:r>
        <w:rPr>
          <w:rFonts w:ascii="Arial" w:cs="Arial" w:eastAsia="Arial" w:hAnsi="Arial"/>
          <w:sz w:val="13"/>
          <w:szCs w:val="13"/>
          <w:u w:val="single" w:color="auto"/>
          <w:color w:val="0000FF"/>
        </w:rPr>
        <w:t>12</w:t>
      </w:r>
    </w:p>
    <w:p>
      <w:pPr>
        <w:sectPr>
          <w:pgSz w:w="11900" w:h="16838" w:orient="portrait"/>
          <w:cols w:equalWidth="0" w:num="1">
            <w:col w:w="10219"/>
          </w:cols>
          <w:pgMar w:left="240" w:top="582" w:right="1440" w:bottom="1440" w:gutter="0" w:footer="0" w:header="0"/>
          <w:type w:val="continuous"/>
        </w:sectPr>
      </w:pPr>
    </w:p>
    <w:bookmarkStart w:id="255" w:name="page256"/>
    <w:bookmarkEnd w:id="255"/>
    <w:p>
      <w:pPr>
        <w:ind w:left="3900"/>
        <w:spacing w:after="0"/>
        <w:tabs>
          <w:tab w:leader="none" w:pos="4360" w:val="left"/>
        </w:tabs>
        <w:rPr>
          <w:sz w:val="20"/>
          <w:szCs w:val="20"/>
          <w:color w:val="auto"/>
        </w:rPr>
      </w:pPr>
      <w:r>
        <w:rPr>
          <w:rFonts w:ascii="Arial" w:cs="Arial" w:eastAsia="Arial" w:hAnsi="Arial"/>
          <w:sz w:val="20"/>
          <w:szCs w:val="20"/>
          <w:color w:val="auto"/>
        </w:rPr>
        <w:t>By:</w:t>
      </w:r>
      <w:r>
        <w:rPr>
          <w:sz w:val="20"/>
          <w:szCs w:val="20"/>
          <w:color w:val="auto"/>
        </w:rPr>
        <w:tab/>
      </w:r>
      <w:r>
        <w:rPr>
          <w:rFonts w:ascii="Arial" w:cs="Arial" w:eastAsia="Arial" w:hAnsi="Arial"/>
          <w:sz w:val="18"/>
          <w:szCs w:val="18"/>
          <w:color w:val="auto"/>
        </w:rPr>
        <w:t>/s/ Jeffrey B. Newman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2656205</wp:posOffset>
            </wp:positionH>
            <wp:positionV relativeFrom="paragraph">
              <wp:posOffset>-14605</wp:posOffset>
            </wp:positionV>
            <wp:extent cx="1631315" cy="88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1631315" cy="8890"/>
                    </a:xfrm>
                    <a:prstGeom prst="rect">
                      <a:avLst/>
                    </a:prstGeom>
                    <a:noFill/>
                  </pic:spPr>
                </pic:pic>
              </a:graphicData>
            </a:graphic>
          </wp:anchor>
        </w:drawing>
      </w:r>
    </w:p>
    <w:p>
      <w:pPr>
        <w:ind w:left="3900"/>
        <w:spacing w:after="0"/>
        <w:tabs>
          <w:tab w:leader="none" w:pos="4600" w:val="left"/>
        </w:tabs>
        <w:rPr>
          <w:sz w:val="20"/>
          <w:szCs w:val="20"/>
          <w:color w:val="auto"/>
        </w:rPr>
      </w:pPr>
      <w:r>
        <w:rPr>
          <w:rFonts w:ascii="Arial" w:cs="Arial" w:eastAsia="Arial" w:hAnsi="Arial"/>
          <w:sz w:val="20"/>
          <w:szCs w:val="20"/>
          <w:color w:val="auto"/>
        </w:rPr>
        <w:t>Name:</w:t>
      </w:r>
      <w:r>
        <w:rPr>
          <w:sz w:val="20"/>
          <w:szCs w:val="20"/>
          <w:color w:val="auto"/>
        </w:rPr>
        <w:tab/>
      </w:r>
      <w:r>
        <w:rPr>
          <w:rFonts w:ascii="Arial" w:cs="Arial" w:eastAsia="Arial" w:hAnsi="Arial"/>
          <w:sz w:val="18"/>
          <w:szCs w:val="18"/>
          <w:color w:val="auto"/>
        </w:rPr>
        <w:t>Jeffrey B. Newman</w:t>
      </w:r>
    </w:p>
    <w:p>
      <w:pPr>
        <w:ind w:left="3900"/>
        <w:spacing w:after="0"/>
        <w:tabs>
          <w:tab w:leader="none" w:pos="4500" w:val="left"/>
        </w:tabs>
        <w:rPr>
          <w:sz w:val="20"/>
          <w:szCs w:val="20"/>
          <w:color w:val="auto"/>
        </w:rPr>
      </w:pPr>
      <w:r>
        <w:rPr>
          <w:rFonts w:ascii="Arial" w:cs="Arial" w:eastAsia="Arial" w:hAnsi="Arial"/>
          <w:sz w:val="20"/>
          <w:szCs w:val="20"/>
          <w:color w:val="auto"/>
        </w:rPr>
        <w:t>Title:</w:t>
      </w:r>
      <w:r>
        <w:rPr>
          <w:sz w:val="20"/>
          <w:szCs w:val="20"/>
          <w:color w:val="auto"/>
        </w:rPr>
        <w:tab/>
      </w:r>
      <w:r>
        <w:rPr>
          <w:rFonts w:ascii="Arial" w:cs="Arial" w:eastAsia="Arial" w:hAnsi="Arial"/>
          <w:sz w:val="18"/>
          <w:szCs w:val="18"/>
          <w:color w:val="auto"/>
        </w:rPr>
        <w:t>Director</w:t>
      </w: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ADMINISTRATIVE AGENT</w:t>
      </w:r>
    </w:p>
    <w:p>
      <w:pPr>
        <w:spacing w:after="0" w:line="2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(FOR MASTER REVOLVING</w:t>
      </w:r>
    </w:p>
    <w:p>
      <w:pPr>
        <w:spacing w:after="0"/>
        <w:rPr>
          <w:sz w:val="20"/>
          <w:szCs w:val="20"/>
          <w:color w:val="auto"/>
        </w:rPr>
      </w:pPr>
      <w:r>
        <w:rPr>
          <w:rFonts w:ascii="Arial" w:cs="Arial" w:eastAsia="Arial" w:hAnsi="Arial"/>
          <w:sz w:val="20"/>
          <w:szCs w:val="20"/>
          <w:b w:val="1"/>
          <w:bCs w:val="1"/>
          <w:color w:val="auto"/>
        </w:rPr>
        <w:t>LOAN OBLIGATIONS AND</w:t>
      </w:r>
    </w:p>
    <w:p>
      <w:pPr>
        <w:spacing w:after="0"/>
        <w:tabs>
          <w:tab w:leader="none" w:pos="1660" w:val="left"/>
          <w:tab w:leader="none" w:pos="2320" w:val="left"/>
        </w:tabs>
        <w:rPr>
          <w:sz w:val="20"/>
          <w:szCs w:val="20"/>
          <w:color w:val="auto"/>
        </w:rPr>
      </w:pPr>
      <w:r>
        <w:rPr>
          <w:rFonts w:ascii="Arial" w:cs="Arial" w:eastAsia="Arial" w:hAnsi="Arial"/>
          <w:sz w:val="20"/>
          <w:szCs w:val="20"/>
          <w:b w:val="1"/>
          <w:bCs w:val="1"/>
          <w:color w:val="auto"/>
        </w:rPr>
        <w:t>TERM LOAN A)</w:t>
        <w:tab/>
        <w:t>:</w:t>
      </w:r>
      <w:r>
        <w:rPr>
          <w:sz w:val="20"/>
          <w:szCs w:val="20"/>
          <w:color w:val="auto"/>
        </w:rPr>
        <w:tab/>
      </w:r>
      <w:r>
        <w:rPr>
          <w:rFonts w:ascii="Arial" w:cs="Arial" w:eastAsia="Arial" w:hAnsi="Arial"/>
          <w:sz w:val="19"/>
          <w:szCs w:val="19"/>
          <w:b w:val="1"/>
          <w:bCs w:val="1"/>
          <w:color w:val="auto"/>
        </w:rPr>
        <w:t>BANK OF AMERICA, N.A.</w:t>
      </w:r>
      <w:r>
        <w:rPr>
          <w:rFonts w:ascii="Arial" w:cs="Arial" w:eastAsia="Arial" w:hAnsi="Arial"/>
          <w:sz w:val="19"/>
          <w:szCs w:val="19"/>
          <w:color w:val="auto"/>
        </w:rPr>
        <w:t>,</w:t>
      </w:r>
    </w:p>
    <w:p>
      <w:pPr>
        <w:jc w:val="center"/>
        <w:ind w:right="-99"/>
        <w:spacing w:after="0"/>
        <w:rPr>
          <w:sz w:val="20"/>
          <w:szCs w:val="20"/>
          <w:color w:val="auto"/>
        </w:rPr>
      </w:pPr>
      <w:r>
        <w:rPr>
          <w:rFonts w:ascii="Arial" w:cs="Arial" w:eastAsia="Arial" w:hAnsi="Arial"/>
          <w:sz w:val="20"/>
          <w:szCs w:val="20"/>
          <w:color w:val="auto"/>
        </w:rPr>
        <w:t>as Administrative Agent and Collateral Agent</w:t>
      </w:r>
    </w:p>
    <w:p>
      <w:pPr>
        <w:spacing w:after="0" w:line="200" w:lineRule="exact"/>
        <w:rPr>
          <w:sz w:val="20"/>
          <w:szCs w:val="20"/>
          <w:color w:val="auto"/>
        </w:rPr>
      </w:pPr>
    </w:p>
    <w:p>
      <w:pPr>
        <w:spacing w:after="0" w:line="216" w:lineRule="exact"/>
        <w:rPr>
          <w:sz w:val="20"/>
          <w:szCs w:val="20"/>
          <w:color w:val="auto"/>
        </w:rPr>
      </w:pPr>
    </w:p>
    <w:p>
      <w:pPr>
        <w:ind w:left="3900"/>
        <w:spacing w:after="0"/>
        <w:tabs>
          <w:tab w:leader="none" w:pos="4360" w:val="left"/>
        </w:tabs>
        <w:rPr>
          <w:sz w:val="20"/>
          <w:szCs w:val="20"/>
          <w:color w:val="auto"/>
        </w:rPr>
      </w:pPr>
      <w:r>
        <w:rPr>
          <w:rFonts w:ascii="Arial" w:cs="Arial" w:eastAsia="Arial" w:hAnsi="Arial"/>
          <w:sz w:val="20"/>
          <w:szCs w:val="20"/>
          <w:color w:val="auto"/>
        </w:rPr>
        <w:t>By:</w:t>
      </w:r>
      <w:r>
        <w:rPr>
          <w:sz w:val="20"/>
          <w:szCs w:val="20"/>
          <w:color w:val="auto"/>
        </w:rPr>
        <w:tab/>
      </w:r>
      <w:r>
        <w:rPr>
          <w:rFonts w:ascii="Arial" w:cs="Arial" w:eastAsia="Arial" w:hAnsi="Arial"/>
          <w:sz w:val="16"/>
          <w:szCs w:val="16"/>
          <w:color w:val="auto"/>
        </w:rPr>
        <w:t>/s/ Paley Chen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2656205</wp:posOffset>
            </wp:positionH>
            <wp:positionV relativeFrom="paragraph">
              <wp:posOffset>-14605</wp:posOffset>
            </wp:positionV>
            <wp:extent cx="1354455" cy="88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1354455" cy="8890"/>
                    </a:xfrm>
                    <a:prstGeom prst="rect">
                      <a:avLst/>
                    </a:prstGeom>
                    <a:noFill/>
                  </pic:spPr>
                </pic:pic>
              </a:graphicData>
            </a:graphic>
          </wp:anchor>
        </w:drawing>
      </w:r>
    </w:p>
    <w:p>
      <w:pPr>
        <w:ind w:left="3900"/>
        <w:spacing w:after="0"/>
        <w:tabs>
          <w:tab w:leader="none" w:pos="4600" w:val="left"/>
        </w:tabs>
        <w:rPr>
          <w:sz w:val="20"/>
          <w:szCs w:val="20"/>
          <w:color w:val="auto"/>
        </w:rPr>
      </w:pPr>
      <w:r>
        <w:rPr>
          <w:rFonts w:ascii="Arial" w:cs="Arial" w:eastAsia="Arial" w:hAnsi="Arial"/>
          <w:sz w:val="20"/>
          <w:szCs w:val="20"/>
          <w:color w:val="auto"/>
        </w:rPr>
        <w:t>Name:</w:t>
      </w:r>
      <w:r>
        <w:rPr>
          <w:sz w:val="20"/>
          <w:szCs w:val="20"/>
          <w:color w:val="auto"/>
        </w:rPr>
        <w:tab/>
      </w:r>
      <w:r>
        <w:rPr>
          <w:rFonts w:ascii="Arial" w:cs="Arial" w:eastAsia="Arial" w:hAnsi="Arial"/>
          <w:sz w:val="16"/>
          <w:szCs w:val="16"/>
          <w:color w:val="auto"/>
        </w:rPr>
        <w:t>Paley Chen</w:t>
      </w:r>
    </w:p>
    <w:p>
      <w:pPr>
        <w:ind w:left="3900"/>
        <w:spacing w:after="0"/>
        <w:tabs>
          <w:tab w:leader="none" w:pos="4480" w:val="left"/>
        </w:tabs>
        <w:rPr>
          <w:sz w:val="20"/>
          <w:szCs w:val="20"/>
          <w:color w:val="auto"/>
        </w:rPr>
      </w:pPr>
      <w:r>
        <w:rPr>
          <w:rFonts w:ascii="Arial" w:cs="Arial" w:eastAsia="Arial" w:hAnsi="Arial"/>
          <w:sz w:val="20"/>
          <w:szCs w:val="20"/>
          <w:color w:val="auto"/>
        </w:rPr>
        <w:t>Title:</w:t>
      </w:r>
      <w:r>
        <w:rPr>
          <w:sz w:val="20"/>
          <w:szCs w:val="20"/>
          <w:color w:val="auto"/>
        </w:rPr>
        <w:tab/>
      </w:r>
      <w:r>
        <w:rPr>
          <w:rFonts w:ascii="Arial" w:cs="Arial" w:eastAsia="Arial" w:hAnsi="Arial"/>
          <w:sz w:val="16"/>
          <w:szCs w:val="16"/>
          <w:color w:val="auto"/>
        </w:rPr>
        <w:t>Assistant Vice President</w:t>
      </w: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ADMINISTRATIVE AGENT</w:t>
      </w:r>
    </w:p>
    <w:p>
      <w:pPr>
        <w:spacing w:after="0" w:line="22" w:lineRule="exact"/>
        <w:rPr>
          <w:sz w:val="20"/>
          <w:szCs w:val="20"/>
          <w:color w:val="auto"/>
        </w:rPr>
      </w:pPr>
    </w:p>
    <w:p>
      <w:pPr>
        <w:ind w:left="3900" w:right="160" w:hanging="3889"/>
        <w:spacing w:after="0" w:line="244" w:lineRule="auto"/>
        <w:tabs>
          <w:tab w:leader="none" w:pos="3880" w:val="left"/>
        </w:tabs>
        <w:rPr>
          <w:sz w:val="20"/>
          <w:szCs w:val="20"/>
          <w:color w:val="auto"/>
        </w:rPr>
      </w:pPr>
      <w:r>
        <w:rPr>
          <w:rFonts w:ascii="Arial" w:cs="Arial" w:eastAsia="Arial" w:hAnsi="Arial"/>
          <w:sz w:val="20"/>
          <w:szCs w:val="20"/>
          <w:b w:val="1"/>
          <w:bCs w:val="1"/>
          <w:color w:val="auto"/>
        </w:rPr>
        <w:t>(FOR INDIA OBLIGATIONS):</w:t>
      </w:r>
      <w:r>
        <w:rPr>
          <w:sz w:val="20"/>
          <w:szCs w:val="20"/>
          <w:color w:val="auto"/>
        </w:rPr>
        <w:tab/>
      </w:r>
      <w:r>
        <w:rPr>
          <w:rFonts w:ascii="Arial" w:cs="Arial" w:eastAsia="Arial" w:hAnsi="Arial"/>
          <w:sz w:val="20"/>
          <w:szCs w:val="20"/>
          <w:b w:val="1"/>
          <w:bCs w:val="1"/>
          <w:color w:val="auto"/>
        </w:rPr>
        <w:t>BANK OF AMERICA, N.A.</w:t>
      </w:r>
      <w:r>
        <w:rPr>
          <w:rFonts w:ascii="Arial" w:cs="Arial" w:eastAsia="Arial" w:hAnsi="Arial"/>
          <w:sz w:val="20"/>
          <w:szCs w:val="20"/>
          <w:color w:val="auto"/>
        </w:rPr>
        <w:t>, acting through its Mumbai Branch, as Administrative Agent</w:t>
      </w:r>
      <w:r>
        <w:rPr>
          <w:rFonts w:ascii="Arial" w:cs="Arial" w:eastAsia="Arial" w:hAnsi="Arial"/>
          <w:sz w:val="20"/>
          <w:szCs w:val="20"/>
          <w:b w:val="1"/>
          <w:bCs w:val="1"/>
          <w:color w:val="auto"/>
        </w:rPr>
        <w:t xml:space="preserve"> </w:t>
      </w:r>
      <w:r>
        <w:rPr>
          <w:rFonts w:ascii="Arial" w:cs="Arial" w:eastAsia="Arial" w:hAnsi="Arial"/>
          <w:sz w:val="20"/>
          <w:szCs w:val="20"/>
          <w:color w:val="auto"/>
        </w:rPr>
        <w:t>for all India related credit facilities</w:t>
      </w:r>
    </w:p>
    <w:p>
      <w:pPr>
        <w:spacing w:after="0" w:line="200" w:lineRule="exact"/>
        <w:rPr>
          <w:sz w:val="20"/>
          <w:szCs w:val="20"/>
          <w:color w:val="auto"/>
        </w:rPr>
      </w:pPr>
    </w:p>
    <w:p>
      <w:pPr>
        <w:spacing w:after="0" w:line="208" w:lineRule="exact"/>
        <w:rPr>
          <w:sz w:val="20"/>
          <w:szCs w:val="20"/>
          <w:color w:val="auto"/>
        </w:rPr>
      </w:pPr>
    </w:p>
    <w:p>
      <w:pPr>
        <w:ind w:left="3900"/>
        <w:spacing w:after="0"/>
        <w:tabs>
          <w:tab w:leader="none" w:pos="4360" w:val="left"/>
        </w:tabs>
        <w:rPr>
          <w:sz w:val="20"/>
          <w:szCs w:val="20"/>
          <w:color w:val="auto"/>
        </w:rPr>
      </w:pPr>
      <w:r>
        <w:rPr>
          <w:rFonts w:ascii="Arial" w:cs="Arial" w:eastAsia="Arial" w:hAnsi="Arial"/>
          <w:sz w:val="20"/>
          <w:szCs w:val="20"/>
          <w:color w:val="auto"/>
        </w:rPr>
        <w:t>By:</w:t>
      </w:r>
      <w:r>
        <w:rPr>
          <w:sz w:val="20"/>
          <w:szCs w:val="20"/>
          <w:color w:val="auto"/>
        </w:rPr>
        <w:tab/>
      </w:r>
      <w:r>
        <w:rPr>
          <w:rFonts w:ascii="Arial" w:cs="Arial" w:eastAsia="Arial" w:hAnsi="Arial"/>
          <w:sz w:val="18"/>
          <w:szCs w:val="18"/>
          <w:color w:val="auto"/>
        </w:rPr>
        <w:t>/s/ Vineet Anurag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2656205</wp:posOffset>
            </wp:positionH>
            <wp:positionV relativeFrom="paragraph">
              <wp:posOffset>-14605</wp:posOffset>
            </wp:positionV>
            <wp:extent cx="1388745" cy="88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1388745" cy="8890"/>
                    </a:xfrm>
                    <a:prstGeom prst="rect">
                      <a:avLst/>
                    </a:prstGeom>
                    <a:noFill/>
                  </pic:spPr>
                </pic:pic>
              </a:graphicData>
            </a:graphic>
          </wp:anchor>
        </w:drawing>
      </w:r>
    </w:p>
    <w:p>
      <w:pPr>
        <w:ind w:left="3900"/>
        <w:spacing w:after="0"/>
        <w:tabs>
          <w:tab w:leader="none" w:pos="4600" w:val="left"/>
        </w:tabs>
        <w:rPr>
          <w:sz w:val="20"/>
          <w:szCs w:val="20"/>
          <w:color w:val="auto"/>
        </w:rPr>
      </w:pPr>
      <w:r>
        <w:rPr>
          <w:rFonts w:ascii="Arial" w:cs="Arial" w:eastAsia="Arial" w:hAnsi="Arial"/>
          <w:sz w:val="20"/>
          <w:szCs w:val="20"/>
          <w:color w:val="auto"/>
        </w:rPr>
        <w:t>Name:</w:t>
      </w:r>
      <w:r>
        <w:rPr>
          <w:sz w:val="20"/>
          <w:szCs w:val="20"/>
          <w:color w:val="auto"/>
        </w:rPr>
        <w:tab/>
      </w:r>
      <w:r>
        <w:rPr>
          <w:rFonts w:ascii="Arial" w:cs="Arial" w:eastAsia="Arial" w:hAnsi="Arial"/>
          <w:sz w:val="18"/>
          <w:szCs w:val="18"/>
          <w:color w:val="auto"/>
        </w:rPr>
        <w:t>Vineet Anurag</w:t>
      </w:r>
    </w:p>
    <w:p>
      <w:pPr>
        <w:ind w:left="3900"/>
        <w:spacing w:after="0"/>
        <w:tabs>
          <w:tab w:leader="none" w:pos="4500" w:val="left"/>
        </w:tabs>
        <w:rPr>
          <w:sz w:val="20"/>
          <w:szCs w:val="20"/>
          <w:color w:val="auto"/>
        </w:rPr>
      </w:pPr>
      <w:r>
        <w:rPr>
          <w:rFonts w:ascii="Arial" w:cs="Arial" w:eastAsia="Arial" w:hAnsi="Arial"/>
          <w:sz w:val="20"/>
          <w:szCs w:val="20"/>
          <w:color w:val="auto"/>
        </w:rPr>
        <w:t>Title:</w:t>
      </w:r>
      <w:r>
        <w:rPr>
          <w:sz w:val="20"/>
          <w:szCs w:val="20"/>
          <w:color w:val="auto"/>
        </w:rPr>
        <w:tab/>
      </w:r>
      <w:r>
        <w:rPr>
          <w:rFonts w:ascii="Arial" w:cs="Arial" w:eastAsia="Arial" w:hAnsi="Arial"/>
          <w:sz w:val="18"/>
          <w:szCs w:val="18"/>
          <w:color w:val="auto"/>
        </w:rPr>
        <w:t>Managing Director</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spacing w:after="0"/>
        <w:tabs>
          <w:tab w:leader="none" w:pos="1980" w:val="left"/>
        </w:tabs>
        <w:rPr>
          <w:sz w:val="20"/>
          <w:szCs w:val="20"/>
          <w:color w:val="auto"/>
        </w:rPr>
      </w:pPr>
      <w:r>
        <w:rPr>
          <w:rFonts w:ascii="Arial" w:cs="Arial" w:eastAsia="Arial" w:hAnsi="Arial"/>
          <w:sz w:val="20"/>
          <w:szCs w:val="20"/>
          <w:b w:val="1"/>
          <w:bCs w:val="1"/>
          <w:u w:val="single" w:color="auto"/>
          <w:color w:val="auto"/>
        </w:rPr>
        <w:t>LENDERS</w:t>
      </w:r>
      <w:r>
        <w:rPr>
          <w:rFonts w:ascii="Arial" w:cs="Arial" w:eastAsia="Arial" w:hAnsi="Arial"/>
          <w:sz w:val="20"/>
          <w:szCs w:val="20"/>
          <w:b w:val="1"/>
          <w:bCs w:val="1"/>
          <w:color w:val="auto"/>
        </w:rPr>
        <w:t>:</w:t>
      </w:r>
      <w:r>
        <w:rPr>
          <w:sz w:val="20"/>
          <w:szCs w:val="20"/>
          <w:color w:val="auto"/>
        </w:rPr>
        <w:tab/>
      </w:r>
      <w:r>
        <w:rPr>
          <w:rFonts w:ascii="Arial" w:cs="Arial" w:eastAsia="Arial" w:hAnsi="Arial"/>
          <w:sz w:val="19"/>
          <w:szCs w:val="19"/>
          <w:b w:val="1"/>
          <w:bCs w:val="1"/>
          <w:color w:val="auto"/>
        </w:rPr>
        <w:t>BANK OF AMERICA, N.A.</w:t>
      </w:r>
      <w:r>
        <w:rPr>
          <w:rFonts w:ascii="Arial" w:cs="Arial" w:eastAsia="Arial" w:hAnsi="Arial"/>
          <w:sz w:val="19"/>
          <w:szCs w:val="19"/>
          <w:color w:val="auto"/>
        </w:rPr>
        <w:t>,</w:t>
      </w:r>
    </w:p>
    <w:p>
      <w:pPr>
        <w:spacing w:after="0" w:line="22"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as USD L/C Issuer, USD Swingline Lender, European Swingline Lender and as a Lender</w:t>
      </w:r>
    </w:p>
    <w:p>
      <w:pPr>
        <w:spacing w:after="0" w:line="200" w:lineRule="exact"/>
        <w:rPr>
          <w:sz w:val="20"/>
          <w:szCs w:val="20"/>
          <w:color w:val="auto"/>
        </w:rPr>
      </w:pPr>
    </w:p>
    <w:p>
      <w:pPr>
        <w:spacing w:after="0" w:line="239" w:lineRule="exact"/>
        <w:rPr>
          <w:sz w:val="20"/>
          <w:szCs w:val="20"/>
          <w:color w:val="auto"/>
        </w:rPr>
      </w:pPr>
    </w:p>
    <w:p>
      <w:pPr>
        <w:ind w:left="3900"/>
        <w:spacing w:after="0"/>
        <w:tabs>
          <w:tab w:leader="none" w:pos="4360" w:val="left"/>
        </w:tabs>
        <w:rPr>
          <w:sz w:val="20"/>
          <w:szCs w:val="20"/>
          <w:color w:val="auto"/>
        </w:rPr>
      </w:pPr>
      <w:r>
        <w:rPr>
          <w:rFonts w:ascii="Arial" w:cs="Arial" w:eastAsia="Arial" w:hAnsi="Arial"/>
          <w:sz w:val="20"/>
          <w:szCs w:val="20"/>
          <w:color w:val="auto"/>
        </w:rPr>
        <w:t>By:</w:t>
      </w:r>
      <w:r>
        <w:rPr>
          <w:sz w:val="20"/>
          <w:szCs w:val="20"/>
          <w:color w:val="auto"/>
        </w:rPr>
        <w:tab/>
      </w:r>
      <w:r>
        <w:rPr>
          <w:rFonts w:ascii="Arial" w:cs="Arial" w:eastAsia="Arial" w:hAnsi="Arial"/>
          <w:sz w:val="16"/>
          <w:szCs w:val="16"/>
          <w:color w:val="auto"/>
        </w:rPr>
        <w:t>/s/ Jeffrey P. Yoakum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2656205</wp:posOffset>
            </wp:positionH>
            <wp:positionV relativeFrom="paragraph">
              <wp:posOffset>-14605</wp:posOffset>
            </wp:positionV>
            <wp:extent cx="1570355" cy="88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1570355" cy="8890"/>
                    </a:xfrm>
                    <a:prstGeom prst="rect">
                      <a:avLst/>
                    </a:prstGeom>
                    <a:noFill/>
                  </pic:spPr>
                </pic:pic>
              </a:graphicData>
            </a:graphic>
          </wp:anchor>
        </w:drawing>
      </w:r>
    </w:p>
    <w:p>
      <w:pPr>
        <w:ind w:left="3900"/>
        <w:spacing w:after="0"/>
        <w:tabs>
          <w:tab w:leader="none" w:pos="4600" w:val="left"/>
        </w:tabs>
        <w:rPr>
          <w:sz w:val="20"/>
          <w:szCs w:val="20"/>
          <w:color w:val="auto"/>
        </w:rPr>
      </w:pPr>
      <w:r>
        <w:rPr>
          <w:rFonts w:ascii="Arial" w:cs="Arial" w:eastAsia="Arial" w:hAnsi="Arial"/>
          <w:sz w:val="20"/>
          <w:szCs w:val="20"/>
          <w:color w:val="auto"/>
        </w:rPr>
        <w:t>Name:</w:t>
      </w:r>
      <w:r>
        <w:rPr>
          <w:sz w:val="20"/>
          <w:szCs w:val="20"/>
          <w:color w:val="auto"/>
        </w:rPr>
        <w:tab/>
      </w:r>
      <w:r>
        <w:rPr>
          <w:rFonts w:ascii="Arial" w:cs="Arial" w:eastAsia="Arial" w:hAnsi="Arial"/>
          <w:sz w:val="16"/>
          <w:szCs w:val="16"/>
          <w:color w:val="auto"/>
        </w:rPr>
        <w:t>Jeffrey P. Yoakum</w:t>
      </w:r>
    </w:p>
    <w:p>
      <w:pPr>
        <w:ind w:left="3900"/>
        <w:spacing w:after="0"/>
        <w:tabs>
          <w:tab w:leader="none" w:pos="4500" w:val="left"/>
        </w:tabs>
        <w:rPr>
          <w:sz w:val="20"/>
          <w:szCs w:val="20"/>
          <w:color w:val="auto"/>
        </w:rPr>
      </w:pPr>
      <w:r>
        <w:rPr>
          <w:rFonts w:ascii="Arial" w:cs="Arial" w:eastAsia="Arial" w:hAnsi="Arial"/>
          <w:sz w:val="20"/>
          <w:szCs w:val="20"/>
          <w:color w:val="auto"/>
        </w:rPr>
        <w:t>Title:</w:t>
      </w:r>
      <w:r>
        <w:rPr>
          <w:sz w:val="20"/>
          <w:szCs w:val="20"/>
          <w:color w:val="auto"/>
        </w:rPr>
        <w:tab/>
      </w:r>
      <w:r>
        <w:rPr>
          <w:rFonts w:ascii="Arial" w:cs="Arial" w:eastAsia="Arial" w:hAnsi="Arial"/>
          <w:sz w:val="16"/>
          <w:szCs w:val="16"/>
          <w:color w:val="auto"/>
        </w:rPr>
        <w:t>Senior Vice President</w:t>
      </w:r>
    </w:p>
    <w:p>
      <w:pPr>
        <w:spacing w:after="0" w:line="200" w:lineRule="exact"/>
        <w:rPr>
          <w:sz w:val="20"/>
          <w:szCs w:val="20"/>
          <w:color w:val="auto"/>
        </w:rPr>
      </w:pPr>
    </w:p>
    <w:p>
      <w:pPr>
        <w:spacing w:after="0" w:line="210" w:lineRule="exact"/>
        <w:rPr>
          <w:sz w:val="20"/>
          <w:szCs w:val="20"/>
          <w:color w:val="auto"/>
        </w:rPr>
      </w:pPr>
    </w:p>
    <w:p>
      <w:pPr>
        <w:ind w:left="3900"/>
        <w:spacing w:after="0" w:line="267" w:lineRule="auto"/>
        <w:rPr>
          <w:sz w:val="20"/>
          <w:szCs w:val="20"/>
          <w:color w:val="auto"/>
        </w:rPr>
      </w:pPr>
      <w:r>
        <w:rPr>
          <w:rFonts w:ascii="Arial" w:cs="Arial" w:eastAsia="Arial" w:hAnsi="Arial"/>
          <w:sz w:val="20"/>
          <w:szCs w:val="20"/>
          <w:b w:val="1"/>
          <w:bCs w:val="1"/>
          <w:color w:val="auto"/>
        </w:rPr>
        <w:t>BANK OF AMERICA, N.A.</w:t>
      </w:r>
      <w:r>
        <w:rPr>
          <w:rFonts w:ascii="Arial" w:cs="Arial" w:eastAsia="Arial" w:hAnsi="Arial"/>
          <w:sz w:val="20"/>
          <w:szCs w:val="20"/>
          <w:color w:val="auto"/>
        </w:rPr>
        <w:t>, acting through its Mumbai Branch, as India Revolving Lender</w:t>
      </w:r>
      <w:r>
        <w:rPr>
          <w:rFonts w:ascii="Arial" w:cs="Arial" w:eastAsia="Arial" w:hAnsi="Arial"/>
          <w:sz w:val="20"/>
          <w:szCs w:val="20"/>
          <w:b w:val="1"/>
          <w:bCs w:val="1"/>
          <w:color w:val="auto"/>
        </w:rPr>
        <w:t xml:space="preserve"> </w:t>
      </w:r>
      <w:r>
        <w:rPr>
          <w:rFonts w:ascii="Arial" w:cs="Arial" w:eastAsia="Arial" w:hAnsi="Arial"/>
          <w:sz w:val="20"/>
          <w:szCs w:val="20"/>
          <w:color w:val="auto"/>
        </w:rPr>
        <w:t>and India L/C Issuer</w:t>
      </w:r>
    </w:p>
    <w:p>
      <w:pPr>
        <w:spacing w:after="0" w:line="386" w:lineRule="exact"/>
        <w:rPr>
          <w:sz w:val="20"/>
          <w:szCs w:val="20"/>
          <w:color w:val="auto"/>
        </w:rPr>
      </w:pPr>
    </w:p>
    <w:p>
      <w:pPr>
        <w:ind w:left="3900"/>
        <w:spacing w:after="0"/>
        <w:tabs>
          <w:tab w:leader="none" w:pos="4360" w:val="left"/>
        </w:tabs>
        <w:rPr>
          <w:sz w:val="20"/>
          <w:szCs w:val="20"/>
          <w:color w:val="auto"/>
        </w:rPr>
      </w:pPr>
      <w:r>
        <w:rPr>
          <w:rFonts w:ascii="Arial" w:cs="Arial" w:eastAsia="Arial" w:hAnsi="Arial"/>
          <w:sz w:val="20"/>
          <w:szCs w:val="20"/>
          <w:color w:val="auto"/>
        </w:rPr>
        <w:t>By:</w:t>
      </w:r>
      <w:r>
        <w:rPr>
          <w:sz w:val="20"/>
          <w:szCs w:val="20"/>
          <w:color w:val="auto"/>
        </w:rPr>
        <w:tab/>
      </w:r>
      <w:r>
        <w:rPr>
          <w:rFonts w:ascii="Arial" w:cs="Arial" w:eastAsia="Arial" w:hAnsi="Arial"/>
          <w:sz w:val="18"/>
          <w:szCs w:val="18"/>
          <w:color w:val="auto"/>
        </w:rPr>
        <w:t>/s/ Vineet Anurag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2656205</wp:posOffset>
            </wp:positionH>
            <wp:positionV relativeFrom="paragraph">
              <wp:posOffset>-14605</wp:posOffset>
            </wp:positionV>
            <wp:extent cx="1388745" cy="88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1388745" cy="8890"/>
                    </a:xfrm>
                    <a:prstGeom prst="rect">
                      <a:avLst/>
                    </a:prstGeom>
                    <a:noFill/>
                  </pic:spPr>
                </pic:pic>
              </a:graphicData>
            </a:graphic>
          </wp:anchor>
        </w:drawing>
      </w:r>
    </w:p>
    <w:p>
      <w:pPr>
        <w:ind w:left="3900"/>
        <w:spacing w:after="0"/>
        <w:tabs>
          <w:tab w:leader="none" w:pos="4600" w:val="left"/>
        </w:tabs>
        <w:rPr>
          <w:sz w:val="20"/>
          <w:szCs w:val="20"/>
          <w:color w:val="auto"/>
        </w:rPr>
      </w:pPr>
      <w:r>
        <w:rPr>
          <w:rFonts w:ascii="Arial" w:cs="Arial" w:eastAsia="Arial" w:hAnsi="Arial"/>
          <w:sz w:val="20"/>
          <w:szCs w:val="20"/>
          <w:color w:val="auto"/>
        </w:rPr>
        <w:t>Name:</w:t>
      </w:r>
      <w:r>
        <w:rPr>
          <w:sz w:val="20"/>
          <w:szCs w:val="20"/>
          <w:color w:val="auto"/>
        </w:rPr>
        <w:tab/>
      </w:r>
      <w:r>
        <w:rPr>
          <w:rFonts w:ascii="Arial" w:cs="Arial" w:eastAsia="Arial" w:hAnsi="Arial"/>
          <w:sz w:val="18"/>
          <w:szCs w:val="18"/>
          <w:color w:val="auto"/>
        </w:rPr>
        <w:t>Vineet Anurag</w:t>
      </w:r>
    </w:p>
    <w:p>
      <w:pPr>
        <w:ind w:left="3900"/>
        <w:spacing w:after="0"/>
        <w:tabs>
          <w:tab w:leader="none" w:pos="4500" w:val="left"/>
        </w:tabs>
        <w:rPr>
          <w:sz w:val="20"/>
          <w:szCs w:val="20"/>
          <w:color w:val="auto"/>
        </w:rPr>
      </w:pPr>
      <w:r>
        <w:rPr>
          <w:rFonts w:ascii="Arial" w:cs="Arial" w:eastAsia="Arial" w:hAnsi="Arial"/>
          <w:sz w:val="20"/>
          <w:szCs w:val="20"/>
          <w:color w:val="auto"/>
        </w:rPr>
        <w:t>Title:</w:t>
      </w:r>
      <w:r>
        <w:rPr>
          <w:sz w:val="20"/>
          <w:szCs w:val="20"/>
          <w:color w:val="auto"/>
        </w:rPr>
        <w:tab/>
      </w:r>
      <w:r>
        <w:rPr>
          <w:rFonts w:ascii="Arial" w:cs="Arial" w:eastAsia="Arial" w:hAnsi="Arial"/>
          <w:sz w:val="18"/>
          <w:szCs w:val="18"/>
          <w:color w:val="auto"/>
        </w:rPr>
        <w:t>Managing Director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spacing w:after="0"/>
        <w:rPr>
          <w:sz w:val="20"/>
          <w:szCs w:val="20"/>
          <w:color w:val="auto"/>
        </w:rPr>
      </w:pPr>
      <w:r>
        <w:rPr>
          <w:rFonts w:ascii="Arial" w:cs="Arial" w:eastAsia="Arial" w:hAnsi="Arial"/>
          <w:sz w:val="14"/>
          <w:szCs w:val="14"/>
          <w:color w:val="auto"/>
        </w:rPr>
        <w:t>CHAR1\1346423v</w:t>
      </w:r>
      <w:r>
        <w:rPr>
          <w:rFonts w:ascii="Arial" w:cs="Arial" w:eastAsia="Arial" w:hAnsi="Arial"/>
          <w:sz w:val="14"/>
          <w:szCs w:val="14"/>
          <w:color w:val="FF0000"/>
          <w:strike w:val="1"/>
        </w:rPr>
        <w:t>1</w:t>
      </w:r>
      <w:r>
        <w:rPr>
          <w:rFonts w:ascii="Arial" w:cs="Arial" w:eastAsia="Arial" w:hAnsi="Arial"/>
          <w:sz w:val="14"/>
          <w:szCs w:val="14"/>
          <w:u w:val="single" w:color="auto"/>
          <w:color w:val="0000FF"/>
        </w:rPr>
        <w:t>12</w:t>
      </w:r>
    </w:p>
    <w:p>
      <w:pPr>
        <w:sectPr>
          <w:pgSz w:w="11900" w:h="16838" w:orient="portrait"/>
          <w:cols w:equalWidth="0" w:num="1">
            <w:col w:w="11320"/>
          </w:cols>
          <w:pgMar w:left="240" w:top="798" w:right="339" w:bottom="1440" w:gutter="0" w:footer="0" w:header="0"/>
        </w:sectPr>
      </w:pPr>
    </w:p>
    <w:bookmarkStart w:id="256" w:name="page257"/>
    <w:bookmarkEnd w:id="256"/>
    <w:p>
      <w:pPr>
        <w:ind w:left="3900"/>
        <w:spacing w:after="0"/>
        <w:rPr>
          <w:sz w:val="20"/>
          <w:szCs w:val="20"/>
          <w:color w:val="auto"/>
        </w:rPr>
      </w:pPr>
      <w:r>
        <w:rPr>
          <w:rFonts w:ascii="Arial" w:cs="Arial" w:eastAsia="Arial" w:hAnsi="Arial"/>
          <w:sz w:val="20"/>
          <w:szCs w:val="20"/>
          <w:b w:val="1"/>
          <w:bCs w:val="1"/>
          <w:color w:val="auto"/>
        </w:rPr>
        <w:t>U.S. BANK NATIONAL ASSOCIATION</w:t>
      </w:r>
    </w:p>
    <w:p>
      <w:pPr>
        <w:spacing w:after="0" w:line="200" w:lineRule="exact"/>
        <w:rPr>
          <w:sz w:val="20"/>
          <w:szCs w:val="20"/>
          <w:color w:val="auto"/>
        </w:rPr>
      </w:pPr>
    </w:p>
    <w:p>
      <w:pPr>
        <w:spacing w:after="0" w:line="238" w:lineRule="exact"/>
        <w:rPr>
          <w:sz w:val="20"/>
          <w:szCs w:val="20"/>
          <w:color w:val="auto"/>
        </w:rPr>
      </w:pPr>
    </w:p>
    <w:p>
      <w:pPr>
        <w:jc w:val="center"/>
        <w:ind w:right="339"/>
        <w:spacing w:after="0"/>
        <w:tabs>
          <w:tab w:leader="none" w:pos="180" w:val="left"/>
        </w:tabs>
        <w:rPr>
          <w:sz w:val="20"/>
          <w:szCs w:val="20"/>
          <w:color w:val="auto"/>
        </w:rPr>
      </w:pPr>
      <w:r>
        <w:rPr>
          <w:rFonts w:ascii="Arial" w:cs="Arial" w:eastAsia="Arial" w:hAnsi="Arial"/>
          <w:sz w:val="20"/>
          <w:szCs w:val="20"/>
          <w:color w:val="auto"/>
        </w:rPr>
        <w:t>By:</w:t>
      </w:r>
      <w:r>
        <w:rPr>
          <w:sz w:val="20"/>
          <w:szCs w:val="20"/>
          <w:color w:val="auto"/>
        </w:rPr>
        <w:tab/>
      </w:r>
      <w:r>
        <w:rPr>
          <w:rFonts w:ascii="Arial" w:cs="Arial" w:eastAsia="Arial" w:hAnsi="Arial"/>
          <w:sz w:val="16"/>
          <w:szCs w:val="16"/>
          <w:color w:val="auto"/>
        </w:rPr>
        <w:t>/s/ Gaylen J. Frazier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2656205</wp:posOffset>
            </wp:positionH>
            <wp:positionV relativeFrom="paragraph">
              <wp:posOffset>-14605</wp:posOffset>
            </wp:positionV>
            <wp:extent cx="1515110" cy="88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1515110" cy="8890"/>
                    </a:xfrm>
                    <a:prstGeom prst="rect">
                      <a:avLst/>
                    </a:prstGeom>
                    <a:noFill/>
                  </pic:spPr>
                </pic:pic>
              </a:graphicData>
            </a:graphic>
          </wp:anchor>
        </w:drawing>
      </w:r>
    </w:p>
    <w:p>
      <w:pPr>
        <w:spacing w:after="0" w:line="200" w:lineRule="exact"/>
        <w:rPr>
          <w:sz w:val="20"/>
          <w:szCs w:val="20"/>
          <w:color w:val="auto"/>
        </w:rPr>
      </w:pPr>
    </w:p>
    <w:p>
      <w:pPr>
        <w:spacing w:after="0" w:line="212" w:lineRule="exact"/>
        <w:rPr>
          <w:sz w:val="20"/>
          <w:szCs w:val="20"/>
          <w:color w:val="auto"/>
        </w:rPr>
      </w:pPr>
    </w:p>
    <w:p>
      <w:pPr>
        <w:ind w:left="3900"/>
        <w:spacing w:after="0"/>
        <w:tabs>
          <w:tab w:leader="none" w:pos="4600" w:val="left"/>
        </w:tabs>
        <w:rPr>
          <w:sz w:val="20"/>
          <w:szCs w:val="20"/>
          <w:color w:val="auto"/>
        </w:rPr>
      </w:pPr>
      <w:r>
        <w:rPr>
          <w:rFonts w:ascii="Arial" w:cs="Arial" w:eastAsia="Arial" w:hAnsi="Arial"/>
          <w:sz w:val="20"/>
          <w:szCs w:val="20"/>
          <w:color w:val="auto"/>
        </w:rPr>
        <w:t>Name:</w:t>
      </w:r>
      <w:r>
        <w:rPr>
          <w:sz w:val="20"/>
          <w:szCs w:val="20"/>
          <w:color w:val="auto"/>
        </w:rPr>
        <w:tab/>
      </w:r>
      <w:r>
        <w:rPr>
          <w:rFonts w:ascii="Arial" w:cs="Arial" w:eastAsia="Arial" w:hAnsi="Arial"/>
          <w:sz w:val="16"/>
          <w:szCs w:val="16"/>
          <w:color w:val="auto"/>
        </w:rPr>
        <w:t>Gaylen J. Frazier</w:t>
      </w:r>
    </w:p>
    <w:p>
      <w:pPr>
        <w:spacing w:after="0" w:line="16" w:lineRule="exact"/>
        <w:rPr>
          <w:sz w:val="20"/>
          <w:szCs w:val="20"/>
          <w:color w:val="auto"/>
        </w:rPr>
      </w:pPr>
    </w:p>
    <w:p>
      <w:pPr>
        <w:ind w:left="3900"/>
        <w:spacing w:after="0"/>
        <w:tabs>
          <w:tab w:leader="none" w:pos="4480" w:val="left"/>
        </w:tabs>
        <w:rPr>
          <w:sz w:val="20"/>
          <w:szCs w:val="20"/>
          <w:color w:val="auto"/>
        </w:rPr>
      </w:pPr>
      <w:r>
        <w:rPr>
          <w:rFonts w:ascii="Arial" w:cs="Arial" w:eastAsia="Arial" w:hAnsi="Arial"/>
          <w:sz w:val="20"/>
          <w:szCs w:val="20"/>
          <w:color w:val="auto"/>
        </w:rPr>
        <w:t>Title:</w:t>
      </w:r>
      <w:r>
        <w:rPr>
          <w:sz w:val="20"/>
          <w:szCs w:val="20"/>
          <w:color w:val="auto"/>
        </w:rPr>
        <w:tab/>
      </w:r>
      <w:r>
        <w:rPr>
          <w:rFonts w:ascii="Arial" w:cs="Arial" w:eastAsia="Arial" w:hAnsi="Arial"/>
          <w:sz w:val="16"/>
          <w:szCs w:val="16"/>
          <w:color w:val="auto"/>
        </w:rPr>
        <w:t>A.V.P.</w:t>
      </w:r>
    </w:p>
    <w:p>
      <w:pPr>
        <w:spacing w:after="0" w:line="200" w:lineRule="exact"/>
        <w:rPr>
          <w:sz w:val="20"/>
          <w:szCs w:val="20"/>
          <w:color w:val="auto"/>
        </w:rPr>
      </w:pPr>
    </w:p>
    <w:p>
      <w:pPr>
        <w:spacing w:after="0" w:line="210" w:lineRule="exact"/>
        <w:rPr>
          <w:sz w:val="20"/>
          <w:szCs w:val="20"/>
          <w:color w:val="auto"/>
        </w:rPr>
      </w:pPr>
    </w:p>
    <w:p>
      <w:pPr>
        <w:jc w:val="right"/>
        <w:ind w:right="2239"/>
        <w:spacing w:after="0"/>
        <w:rPr>
          <w:sz w:val="20"/>
          <w:szCs w:val="20"/>
          <w:color w:val="auto"/>
        </w:rPr>
      </w:pPr>
      <w:r>
        <w:rPr>
          <w:rFonts w:ascii="Arial" w:cs="Arial" w:eastAsia="Arial" w:hAnsi="Arial"/>
          <w:sz w:val="20"/>
          <w:szCs w:val="20"/>
          <w:b w:val="1"/>
          <w:bCs w:val="1"/>
          <w:color w:val="auto"/>
        </w:rPr>
        <w:t>BANK OF MONTREAL – LONDON BRANCH</w:t>
      </w:r>
    </w:p>
    <w:p>
      <w:pPr>
        <w:spacing w:after="0" w:line="200" w:lineRule="exact"/>
        <w:rPr>
          <w:sz w:val="20"/>
          <w:szCs w:val="20"/>
          <w:color w:val="auto"/>
        </w:rPr>
      </w:pPr>
    </w:p>
    <w:p>
      <w:pPr>
        <w:spacing w:after="0" w:line="238" w:lineRule="exact"/>
        <w:rPr>
          <w:sz w:val="20"/>
          <w:szCs w:val="20"/>
          <w:color w:val="auto"/>
        </w:rPr>
      </w:pPr>
    </w:p>
    <w:p>
      <w:pPr>
        <w:ind w:left="3900"/>
        <w:spacing w:after="0"/>
        <w:tabs>
          <w:tab w:leader="none" w:pos="4360" w:val="left"/>
        </w:tabs>
        <w:rPr>
          <w:sz w:val="20"/>
          <w:szCs w:val="20"/>
          <w:color w:val="auto"/>
        </w:rPr>
      </w:pPr>
      <w:r>
        <w:rPr>
          <w:rFonts w:ascii="Arial" w:cs="Arial" w:eastAsia="Arial" w:hAnsi="Arial"/>
          <w:sz w:val="20"/>
          <w:szCs w:val="20"/>
          <w:color w:val="auto"/>
        </w:rPr>
        <w:t>By:</w:t>
      </w:r>
      <w:r>
        <w:rPr>
          <w:sz w:val="20"/>
          <w:szCs w:val="20"/>
          <w:color w:val="auto"/>
        </w:rPr>
        <w:tab/>
      </w:r>
      <w:r>
        <w:rPr>
          <w:rFonts w:ascii="Arial" w:cs="Arial" w:eastAsia="Arial" w:hAnsi="Arial"/>
          <w:sz w:val="19"/>
          <w:szCs w:val="19"/>
          <w:color w:val="auto"/>
        </w:rPr>
        <w:t>/s/ A.L. Ebow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2656205</wp:posOffset>
            </wp:positionH>
            <wp:positionV relativeFrom="paragraph">
              <wp:posOffset>-14605</wp:posOffset>
            </wp:positionV>
            <wp:extent cx="1333500" cy="88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1333500" cy="8890"/>
                    </a:xfrm>
                    <a:prstGeom prst="rect">
                      <a:avLst/>
                    </a:prstGeom>
                    <a:noFill/>
                  </pic:spPr>
                </pic:pic>
              </a:graphicData>
            </a:graphic>
          </wp:anchor>
        </w:drawing>
      </w:r>
    </w:p>
    <w:p>
      <w:pPr>
        <w:ind w:left="3900"/>
        <w:spacing w:after="0"/>
        <w:tabs>
          <w:tab w:leader="none" w:pos="4600" w:val="left"/>
        </w:tabs>
        <w:rPr>
          <w:sz w:val="20"/>
          <w:szCs w:val="20"/>
          <w:color w:val="auto"/>
        </w:rPr>
      </w:pPr>
      <w:r>
        <w:rPr>
          <w:rFonts w:ascii="Arial" w:cs="Arial" w:eastAsia="Arial" w:hAnsi="Arial"/>
          <w:sz w:val="20"/>
          <w:szCs w:val="20"/>
          <w:color w:val="auto"/>
        </w:rPr>
        <w:t>Name:</w:t>
      </w:r>
      <w:r>
        <w:rPr>
          <w:sz w:val="20"/>
          <w:szCs w:val="20"/>
          <w:color w:val="auto"/>
        </w:rPr>
        <w:tab/>
      </w:r>
      <w:r>
        <w:rPr>
          <w:rFonts w:ascii="Arial" w:cs="Arial" w:eastAsia="Arial" w:hAnsi="Arial"/>
          <w:sz w:val="19"/>
          <w:szCs w:val="19"/>
          <w:color w:val="auto"/>
        </w:rPr>
        <w:t>A. L. Ebow</w:t>
      </w:r>
    </w:p>
    <w:p>
      <w:pPr>
        <w:ind w:left="3900"/>
        <w:spacing w:after="0"/>
        <w:tabs>
          <w:tab w:leader="none" w:pos="4500" w:val="left"/>
        </w:tabs>
        <w:rPr>
          <w:sz w:val="20"/>
          <w:szCs w:val="20"/>
          <w:color w:val="auto"/>
        </w:rPr>
      </w:pPr>
      <w:r>
        <w:rPr>
          <w:rFonts w:ascii="Arial" w:cs="Arial" w:eastAsia="Arial" w:hAnsi="Arial"/>
          <w:sz w:val="20"/>
          <w:szCs w:val="20"/>
          <w:color w:val="auto"/>
        </w:rPr>
        <w:t>Title:</w:t>
      </w:r>
      <w:r>
        <w:rPr>
          <w:sz w:val="20"/>
          <w:szCs w:val="20"/>
          <w:color w:val="auto"/>
        </w:rPr>
        <w:tab/>
      </w:r>
      <w:r>
        <w:rPr>
          <w:rFonts w:ascii="Arial" w:cs="Arial" w:eastAsia="Arial" w:hAnsi="Arial"/>
          <w:sz w:val="18"/>
          <w:szCs w:val="18"/>
          <w:color w:val="auto"/>
        </w:rPr>
        <w:t>Director</w:t>
      </w:r>
    </w:p>
    <w:p>
      <w:pPr>
        <w:spacing w:after="0" w:line="200" w:lineRule="exact"/>
        <w:rPr>
          <w:sz w:val="20"/>
          <w:szCs w:val="20"/>
          <w:color w:val="auto"/>
        </w:rPr>
      </w:pPr>
    </w:p>
    <w:p>
      <w:pPr>
        <w:ind w:left="3900"/>
        <w:spacing w:after="0"/>
        <w:tabs>
          <w:tab w:leader="none" w:pos="4360" w:val="left"/>
        </w:tabs>
        <w:rPr>
          <w:sz w:val="20"/>
          <w:szCs w:val="20"/>
          <w:color w:val="auto"/>
        </w:rPr>
      </w:pPr>
      <w:r>
        <w:rPr>
          <w:rFonts w:ascii="Arial" w:cs="Arial" w:eastAsia="Arial" w:hAnsi="Arial"/>
          <w:sz w:val="20"/>
          <w:szCs w:val="20"/>
          <w:color w:val="auto"/>
        </w:rPr>
        <w:t>By:</w:t>
      </w:r>
      <w:r>
        <w:rPr>
          <w:sz w:val="20"/>
          <w:szCs w:val="20"/>
          <w:color w:val="auto"/>
        </w:rPr>
        <w:tab/>
      </w:r>
      <w:r>
        <w:rPr>
          <w:rFonts w:ascii="Arial" w:cs="Arial" w:eastAsia="Arial" w:hAnsi="Arial"/>
          <w:sz w:val="18"/>
          <w:szCs w:val="18"/>
          <w:color w:val="auto"/>
        </w:rPr>
        <w:t>/s/ C. Sarillard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2656205</wp:posOffset>
            </wp:positionH>
            <wp:positionV relativeFrom="paragraph">
              <wp:posOffset>-14605</wp:posOffset>
            </wp:positionV>
            <wp:extent cx="1358265" cy="88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1358265" cy="8890"/>
                    </a:xfrm>
                    <a:prstGeom prst="rect">
                      <a:avLst/>
                    </a:prstGeom>
                    <a:noFill/>
                  </pic:spPr>
                </pic:pic>
              </a:graphicData>
            </a:graphic>
          </wp:anchor>
        </w:drawing>
      </w:r>
    </w:p>
    <w:p>
      <w:pPr>
        <w:ind w:left="3900"/>
        <w:spacing w:after="0"/>
        <w:tabs>
          <w:tab w:leader="none" w:pos="4600" w:val="left"/>
        </w:tabs>
        <w:rPr>
          <w:sz w:val="20"/>
          <w:szCs w:val="20"/>
          <w:color w:val="auto"/>
        </w:rPr>
      </w:pPr>
      <w:r>
        <w:rPr>
          <w:rFonts w:ascii="Arial" w:cs="Arial" w:eastAsia="Arial" w:hAnsi="Arial"/>
          <w:sz w:val="20"/>
          <w:szCs w:val="20"/>
          <w:color w:val="auto"/>
        </w:rPr>
        <w:t>Name:</w:t>
      </w:r>
      <w:r>
        <w:rPr>
          <w:sz w:val="20"/>
          <w:szCs w:val="20"/>
          <w:color w:val="auto"/>
        </w:rPr>
        <w:tab/>
      </w:r>
      <w:r>
        <w:rPr>
          <w:rFonts w:ascii="Arial" w:cs="Arial" w:eastAsia="Arial" w:hAnsi="Arial"/>
          <w:sz w:val="18"/>
          <w:szCs w:val="18"/>
          <w:color w:val="auto"/>
        </w:rPr>
        <w:t>C. Sarillard</w:t>
      </w:r>
    </w:p>
    <w:p>
      <w:pPr>
        <w:ind w:left="3900"/>
        <w:spacing w:after="0"/>
        <w:tabs>
          <w:tab w:leader="none" w:pos="4500" w:val="left"/>
        </w:tabs>
        <w:rPr>
          <w:sz w:val="20"/>
          <w:szCs w:val="20"/>
          <w:color w:val="auto"/>
        </w:rPr>
      </w:pPr>
      <w:r>
        <w:rPr>
          <w:rFonts w:ascii="Arial" w:cs="Arial" w:eastAsia="Arial" w:hAnsi="Arial"/>
          <w:sz w:val="20"/>
          <w:szCs w:val="20"/>
          <w:color w:val="auto"/>
        </w:rPr>
        <w:t>Title:</w:t>
      </w:r>
      <w:r>
        <w:rPr>
          <w:sz w:val="20"/>
          <w:szCs w:val="20"/>
          <w:color w:val="auto"/>
        </w:rPr>
        <w:tab/>
      </w:r>
      <w:r>
        <w:rPr>
          <w:rFonts w:ascii="Arial" w:cs="Arial" w:eastAsia="Arial" w:hAnsi="Arial"/>
          <w:sz w:val="18"/>
          <w:szCs w:val="18"/>
          <w:color w:val="auto"/>
        </w:rPr>
        <w:t>Managing Director</w:t>
      </w:r>
    </w:p>
    <w:p>
      <w:pPr>
        <w:spacing w:after="0" w:line="200" w:lineRule="exact"/>
        <w:rPr>
          <w:sz w:val="20"/>
          <w:szCs w:val="20"/>
          <w:color w:val="auto"/>
        </w:rPr>
      </w:pPr>
    </w:p>
    <w:p>
      <w:pPr>
        <w:spacing w:after="0" w:line="210" w:lineRule="exact"/>
        <w:rPr>
          <w:sz w:val="20"/>
          <w:szCs w:val="20"/>
          <w:color w:val="auto"/>
        </w:rPr>
      </w:pPr>
    </w:p>
    <w:p>
      <w:pPr>
        <w:jc w:val="center"/>
        <w:ind w:right="79"/>
        <w:spacing w:after="0"/>
        <w:rPr>
          <w:sz w:val="20"/>
          <w:szCs w:val="20"/>
          <w:color w:val="auto"/>
        </w:rPr>
      </w:pPr>
      <w:r>
        <w:rPr>
          <w:rFonts w:ascii="Arial" w:cs="Arial" w:eastAsia="Arial" w:hAnsi="Arial"/>
          <w:sz w:val="20"/>
          <w:szCs w:val="20"/>
          <w:b w:val="1"/>
          <w:bCs w:val="1"/>
          <w:color w:val="auto"/>
        </w:rPr>
        <w:t>BMO HARRIS BANK N.A.</w:t>
      </w:r>
    </w:p>
    <w:p>
      <w:pPr>
        <w:spacing w:after="0" w:line="200" w:lineRule="exact"/>
        <w:rPr>
          <w:sz w:val="20"/>
          <w:szCs w:val="20"/>
          <w:color w:val="auto"/>
        </w:rPr>
      </w:pPr>
    </w:p>
    <w:p>
      <w:pPr>
        <w:spacing w:after="0" w:line="238" w:lineRule="exact"/>
        <w:rPr>
          <w:sz w:val="20"/>
          <w:szCs w:val="20"/>
          <w:color w:val="auto"/>
        </w:rPr>
      </w:pPr>
    </w:p>
    <w:p>
      <w:pPr>
        <w:ind w:left="3900"/>
        <w:spacing w:after="0"/>
        <w:tabs>
          <w:tab w:leader="none" w:pos="4360" w:val="left"/>
        </w:tabs>
        <w:rPr>
          <w:sz w:val="20"/>
          <w:szCs w:val="20"/>
          <w:color w:val="auto"/>
        </w:rPr>
      </w:pPr>
      <w:r>
        <w:rPr>
          <w:rFonts w:ascii="Arial" w:cs="Arial" w:eastAsia="Arial" w:hAnsi="Arial"/>
          <w:sz w:val="20"/>
          <w:szCs w:val="20"/>
          <w:color w:val="auto"/>
        </w:rPr>
        <w:t>By:</w:t>
      </w:r>
      <w:r>
        <w:rPr>
          <w:sz w:val="20"/>
          <w:szCs w:val="20"/>
          <w:color w:val="auto"/>
        </w:rPr>
        <w:tab/>
      </w:r>
      <w:r>
        <w:rPr>
          <w:rFonts w:ascii="Arial" w:cs="Arial" w:eastAsia="Arial" w:hAnsi="Arial"/>
          <w:sz w:val="18"/>
          <w:szCs w:val="18"/>
          <w:color w:val="auto"/>
        </w:rPr>
        <w:t>/s/ Catherin Blessing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2656205</wp:posOffset>
            </wp:positionH>
            <wp:positionV relativeFrom="paragraph">
              <wp:posOffset>-14605</wp:posOffset>
            </wp:positionV>
            <wp:extent cx="1550035" cy="889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1550035" cy="8890"/>
                    </a:xfrm>
                    <a:prstGeom prst="rect">
                      <a:avLst/>
                    </a:prstGeom>
                    <a:noFill/>
                  </pic:spPr>
                </pic:pic>
              </a:graphicData>
            </a:graphic>
          </wp:anchor>
        </w:drawing>
      </w:r>
    </w:p>
    <w:p>
      <w:pPr>
        <w:ind w:left="3900"/>
        <w:spacing w:after="0"/>
        <w:tabs>
          <w:tab w:leader="none" w:pos="4600" w:val="left"/>
        </w:tabs>
        <w:rPr>
          <w:sz w:val="20"/>
          <w:szCs w:val="20"/>
          <w:color w:val="auto"/>
        </w:rPr>
      </w:pPr>
      <w:r>
        <w:rPr>
          <w:rFonts w:ascii="Arial" w:cs="Arial" w:eastAsia="Arial" w:hAnsi="Arial"/>
          <w:sz w:val="20"/>
          <w:szCs w:val="20"/>
          <w:color w:val="auto"/>
        </w:rPr>
        <w:t>Name:</w:t>
      </w:r>
      <w:r>
        <w:rPr>
          <w:sz w:val="20"/>
          <w:szCs w:val="20"/>
          <w:color w:val="auto"/>
        </w:rPr>
        <w:tab/>
      </w:r>
      <w:r>
        <w:rPr>
          <w:rFonts w:ascii="Arial" w:cs="Arial" w:eastAsia="Arial" w:hAnsi="Arial"/>
          <w:sz w:val="16"/>
          <w:szCs w:val="16"/>
          <w:color w:val="auto"/>
        </w:rPr>
        <w:t>Catherine Blessing</w:t>
      </w:r>
    </w:p>
    <w:p>
      <w:pPr>
        <w:ind w:left="3900"/>
        <w:spacing w:after="0"/>
        <w:tabs>
          <w:tab w:leader="none" w:pos="4500" w:val="left"/>
        </w:tabs>
        <w:rPr>
          <w:sz w:val="20"/>
          <w:szCs w:val="20"/>
          <w:color w:val="auto"/>
        </w:rPr>
      </w:pPr>
      <w:r>
        <w:rPr>
          <w:rFonts w:ascii="Arial" w:cs="Arial" w:eastAsia="Arial" w:hAnsi="Arial"/>
          <w:sz w:val="20"/>
          <w:szCs w:val="20"/>
          <w:color w:val="auto"/>
        </w:rPr>
        <w:t>Title:</w:t>
      </w:r>
      <w:r>
        <w:rPr>
          <w:sz w:val="20"/>
          <w:szCs w:val="20"/>
          <w:color w:val="auto"/>
        </w:rPr>
        <w:tab/>
      </w:r>
      <w:r>
        <w:rPr>
          <w:rFonts w:ascii="Arial" w:cs="Arial" w:eastAsia="Arial" w:hAnsi="Arial"/>
          <w:sz w:val="16"/>
          <w:szCs w:val="16"/>
          <w:color w:val="auto"/>
        </w:rPr>
        <w:t>Vice President</w:t>
      </w:r>
    </w:p>
    <w:p>
      <w:pPr>
        <w:spacing w:after="0" w:line="200" w:lineRule="exact"/>
        <w:rPr>
          <w:sz w:val="20"/>
          <w:szCs w:val="20"/>
          <w:color w:val="auto"/>
        </w:rPr>
      </w:pPr>
    </w:p>
    <w:p>
      <w:pPr>
        <w:spacing w:after="0" w:line="210" w:lineRule="exact"/>
        <w:rPr>
          <w:sz w:val="20"/>
          <w:szCs w:val="20"/>
          <w:color w:val="auto"/>
        </w:rPr>
      </w:pPr>
    </w:p>
    <w:p>
      <w:pPr>
        <w:ind w:left="3900"/>
        <w:spacing w:after="0"/>
        <w:rPr>
          <w:sz w:val="20"/>
          <w:szCs w:val="20"/>
          <w:color w:val="auto"/>
        </w:rPr>
      </w:pPr>
      <w:r>
        <w:rPr>
          <w:rFonts w:ascii="Arial" w:cs="Arial" w:eastAsia="Arial" w:hAnsi="Arial"/>
          <w:sz w:val="20"/>
          <w:szCs w:val="20"/>
          <w:b w:val="1"/>
          <w:bCs w:val="1"/>
          <w:color w:val="auto"/>
        </w:rPr>
        <w:t>COMPASS BANK</w:t>
      </w:r>
    </w:p>
    <w:p>
      <w:pPr>
        <w:spacing w:after="0" w:line="200" w:lineRule="exact"/>
        <w:rPr>
          <w:sz w:val="20"/>
          <w:szCs w:val="20"/>
          <w:color w:val="auto"/>
        </w:rPr>
      </w:pPr>
    </w:p>
    <w:p>
      <w:pPr>
        <w:spacing w:after="0" w:line="238" w:lineRule="exact"/>
        <w:rPr>
          <w:sz w:val="20"/>
          <w:szCs w:val="20"/>
          <w:color w:val="auto"/>
        </w:rPr>
      </w:pPr>
    </w:p>
    <w:p>
      <w:pPr>
        <w:ind w:left="3900"/>
        <w:spacing w:after="0"/>
        <w:tabs>
          <w:tab w:leader="none" w:pos="4360" w:val="left"/>
        </w:tabs>
        <w:rPr>
          <w:sz w:val="20"/>
          <w:szCs w:val="20"/>
          <w:color w:val="auto"/>
        </w:rPr>
      </w:pPr>
      <w:r>
        <w:rPr>
          <w:rFonts w:ascii="Arial" w:cs="Arial" w:eastAsia="Arial" w:hAnsi="Arial"/>
          <w:sz w:val="20"/>
          <w:szCs w:val="20"/>
          <w:color w:val="auto"/>
        </w:rPr>
        <w:t>By:</w:t>
      </w:r>
      <w:r>
        <w:rPr>
          <w:sz w:val="20"/>
          <w:szCs w:val="20"/>
          <w:color w:val="auto"/>
        </w:rPr>
        <w:tab/>
      </w:r>
      <w:r>
        <w:rPr>
          <w:rFonts w:ascii="Arial" w:cs="Arial" w:eastAsia="Arial" w:hAnsi="Arial"/>
          <w:sz w:val="16"/>
          <w:szCs w:val="16"/>
          <w:color w:val="auto"/>
        </w:rPr>
        <w:t>/s/ Darren Abrams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2656205</wp:posOffset>
            </wp:positionH>
            <wp:positionV relativeFrom="paragraph">
              <wp:posOffset>-14605</wp:posOffset>
            </wp:positionV>
            <wp:extent cx="1431290" cy="889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1431290" cy="8890"/>
                    </a:xfrm>
                    <a:prstGeom prst="rect">
                      <a:avLst/>
                    </a:prstGeom>
                    <a:noFill/>
                  </pic:spPr>
                </pic:pic>
              </a:graphicData>
            </a:graphic>
          </wp:anchor>
        </w:drawing>
      </w:r>
    </w:p>
    <w:p>
      <w:pPr>
        <w:ind w:left="3900"/>
        <w:spacing w:after="0"/>
        <w:tabs>
          <w:tab w:leader="none" w:pos="4600" w:val="left"/>
        </w:tabs>
        <w:rPr>
          <w:sz w:val="20"/>
          <w:szCs w:val="20"/>
          <w:color w:val="auto"/>
        </w:rPr>
      </w:pPr>
      <w:r>
        <w:rPr>
          <w:rFonts w:ascii="Arial" w:cs="Arial" w:eastAsia="Arial" w:hAnsi="Arial"/>
          <w:sz w:val="20"/>
          <w:szCs w:val="20"/>
          <w:color w:val="auto"/>
        </w:rPr>
        <w:t>Name:</w:t>
      </w:r>
      <w:r>
        <w:rPr>
          <w:sz w:val="20"/>
          <w:szCs w:val="20"/>
          <w:color w:val="auto"/>
        </w:rPr>
        <w:tab/>
      </w:r>
      <w:r>
        <w:rPr>
          <w:rFonts w:ascii="Arial" w:cs="Arial" w:eastAsia="Arial" w:hAnsi="Arial"/>
          <w:sz w:val="16"/>
          <w:szCs w:val="16"/>
          <w:color w:val="auto"/>
        </w:rPr>
        <w:t>Darren Abrams</w:t>
      </w:r>
    </w:p>
    <w:p>
      <w:pPr>
        <w:ind w:left="3900"/>
        <w:spacing w:after="0"/>
        <w:tabs>
          <w:tab w:leader="none" w:pos="4500" w:val="left"/>
        </w:tabs>
        <w:rPr>
          <w:sz w:val="20"/>
          <w:szCs w:val="20"/>
          <w:color w:val="auto"/>
        </w:rPr>
      </w:pPr>
      <w:r>
        <w:rPr>
          <w:rFonts w:ascii="Arial" w:cs="Arial" w:eastAsia="Arial" w:hAnsi="Arial"/>
          <w:sz w:val="20"/>
          <w:szCs w:val="20"/>
          <w:color w:val="auto"/>
        </w:rPr>
        <w:t>Title:</w:t>
      </w:r>
      <w:r>
        <w:rPr>
          <w:sz w:val="20"/>
          <w:szCs w:val="20"/>
          <w:color w:val="auto"/>
        </w:rPr>
        <w:tab/>
      </w:r>
      <w:r>
        <w:rPr>
          <w:rFonts w:ascii="Arial" w:cs="Arial" w:eastAsia="Arial" w:hAnsi="Arial"/>
          <w:sz w:val="16"/>
          <w:szCs w:val="16"/>
          <w:color w:val="auto"/>
        </w:rPr>
        <w:t>Vice President</w:t>
      </w:r>
    </w:p>
    <w:p>
      <w:pPr>
        <w:spacing w:after="0" w:line="200" w:lineRule="exact"/>
        <w:rPr>
          <w:sz w:val="20"/>
          <w:szCs w:val="20"/>
          <w:color w:val="auto"/>
        </w:rPr>
      </w:pPr>
    </w:p>
    <w:p>
      <w:pPr>
        <w:spacing w:after="0" w:line="210" w:lineRule="exact"/>
        <w:rPr>
          <w:sz w:val="20"/>
          <w:szCs w:val="20"/>
          <w:color w:val="auto"/>
        </w:rPr>
      </w:pPr>
    </w:p>
    <w:p>
      <w:pPr>
        <w:ind w:left="3900"/>
        <w:spacing w:after="0"/>
        <w:rPr>
          <w:sz w:val="20"/>
          <w:szCs w:val="20"/>
          <w:color w:val="auto"/>
        </w:rPr>
      </w:pPr>
      <w:r>
        <w:rPr>
          <w:rFonts w:ascii="Arial" w:cs="Arial" w:eastAsia="Arial" w:hAnsi="Arial"/>
          <w:sz w:val="20"/>
          <w:szCs w:val="20"/>
          <w:b w:val="1"/>
          <w:bCs w:val="1"/>
          <w:color w:val="auto"/>
        </w:rPr>
        <w:t>KEYBANK NATIONAL ASSOCIATION</w:t>
      </w:r>
    </w:p>
    <w:p>
      <w:pPr>
        <w:spacing w:after="0" w:line="200" w:lineRule="exact"/>
        <w:rPr>
          <w:sz w:val="20"/>
          <w:szCs w:val="20"/>
          <w:color w:val="auto"/>
        </w:rPr>
      </w:pPr>
    </w:p>
    <w:p>
      <w:pPr>
        <w:spacing w:after="0" w:line="238" w:lineRule="exact"/>
        <w:rPr>
          <w:sz w:val="20"/>
          <w:szCs w:val="20"/>
          <w:color w:val="auto"/>
        </w:rPr>
      </w:pPr>
    </w:p>
    <w:p>
      <w:pPr>
        <w:ind w:left="3900"/>
        <w:spacing w:after="0"/>
        <w:tabs>
          <w:tab w:leader="none" w:pos="4360" w:val="left"/>
        </w:tabs>
        <w:rPr>
          <w:sz w:val="20"/>
          <w:szCs w:val="20"/>
          <w:color w:val="auto"/>
        </w:rPr>
      </w:pPr>
      <w:r>
        <w:rPr>
          <w:rFonts w:ascii="Arial" w:cs="Arial" w:eastAsia="Arial" w:hAnsi="Arial"/>
          <w:sz w:val="20"/>
          <w:szCs w:val="20"/>
          <w:color w:val="auto"/>
        </w:rPr>
        <w:t>By:</w:t>
      </w:r>
      <w:r>
        <w:rPr>
          <w:sz w:val="20"/>
          <w:szCs w:val="20"/>
          <w:color w:val="auto"/>
        </w:rPr>
        <w:tab/>
      </w:r>
      <w:r>
        <w:rPr>
          <w:rFonts w:ascii="Arial" w:cs="Arial" w:eastAsia="Arial" w:hAnsi="Arial"/>
          <w:sz w:val="18"/>
          <w:szCs w:val="18"/>
          <w:color w:val="auto"/>
        </w:rPr>
        <w:t>/s/ Matthew A. Lambes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2656205</wp:posOffset>
            </wp:positionH>
            <wp:positionV relativeFrom="paragraph">
              <wp:posOffset>-14605</wp:posOffset>
            </wp:positionV>
            <wp:extent cx="1682750" cy="88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1682750" cy="8890"/>
                    </a:xfrm>
                    <a:prstGeom prst="rect">
                      <a:avLst/>
                    </a:prstGeom>
                    <a:noFill/>
                  </pic:spPr>
                </pic:pic>
              </a:graphicData>
            </a:graphic>
          </wp:anchor>
        </w:drawing>
      </w:r>
    </w:p>
    <w:p>
      <w:pPr>
        <w:ind w:left="3900"/>
        <w:spacing w:after="0"/>
        <w:tabs>
          <w:tab w:leader="none" w:pos="4600" w:val="left"/>
        </w:tabs>
        <w:rPr>
          <w:sz w:val="20"/>
          <w:szCs w:val="20"/>
          <w:color w:val="auto"/>
        </w:rPr>
      </w:pPr>
      <w:r>
        <w:rPr>
          <w:rFonts w:ascii="Arial" w:cs="Arial" w:eastAsia="Arial" w:hAnsi="Arial"/>
          <w:sz w:val="20"/>
          <w:szCs w:val="20"/>
          <w:color w:val="auto"/>
        </w:rPr>
        <w:t>Name:</w:t>
      </w:r>
      <w:r>
        <w:rPr>
          <w:sz w:val="20"/>
          <w:szCs w:val="20"/>
          <w:color w:val="auto"/>
        </w:rPr>
        <w:tab/>
      </w:r>
      <w:r>
        <w:rPr>
          <w:rFonts w:ascii="Arial" w:cs="Arial" w:eastAsia="Arial" w:hAnsi="Arial"/>
          <w:sz w:val="18"/>
          <w:szCs w:val="18"/>
          <w:color w:val="auto"/>
        </w:rPr>
        <w:t>Matthew A. Lambes</w:t>
      </w:r>
    </w:p>
    <w:p>
      <w:pPr>
        <w:ind w:left="3900"/>
        <w:spacing w:after="0"/>
        <w:tabs>
          <w:tab w:leader="none" w:pos="4500" w:val="left"/>
        </w:tabs>
        <w:rPr>
          <w:sz w:val="20"/>
          <w:szCs w:val="20"/>
          <w:color w:val="auto"/>
        </w:rPr>
      </w:pPr>
      <w:r>
        <w:rPr>
          <w:rFonts w:ascii="Arial" w:cs="Arial" w:eastAsia="Arial" w:hAnsi="Arial"/>
          <w:sz w:val="20"/>
          <w:szCs w:val="20"/>
          <w:color w:val="auto"/>
        </w:rPr>
        <w:t>Title:</w:t>
      </w:r>
      <w:r>
        <w:rPr>
          <w:sz w:val="20"/>
          <w:szCs w:val="20"/>
          <w:color w:val="auto"/>
        </w:rPr>
        <w:tab/>
      </w:r>
      <w:r>
        <w:rPr>
          <w:rFonts w:ascii="Arial" w:cs="Arial" w:eastAsia="Arial" w:hAnsi="Arial"/>
          <w:sz w:val="16"/>
          <w:szCs w:val="16"/>
          <w:color w:val="auto"/>
        </w:rPr>
        <w:t>Vice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spacing w:after="0"/>
        <w:rPr>
          <w:sz w:val="20"/>
          <w:szCs w:val="20"/>
          <w:color w:val="auto"/>
        </w:rPr>
      </w:pPr>
      <w:r>
        <w:rPr>
          <w:rFonts w:ascii="Arial" w:cs="Arial" w:eastAsia="Arial" w:hAnsi="Arial"/>
          <w:sz w:val="14"/>
          <w:szCs w:val="14"/>
          <w:color w:val="auto"/>
        </w:rPr>
        <w:t>CHAR1\1346423v</w:t>
      </w:r>
      <w:r>
        <w:rPr>
          <w:rFonts w:ascii="Arial" w:cs="Arial" w:eastAsia="Arial" w:hAnsi="Arial"/>
          <w:sz w:val="14"/>
          <w:szCs w:val="14"/>
          <w:color w:val="FF0000"/>
          <w:strike w:val="1"/>
        </w:rPr>
        <w:t>1</w:t>
      </w:r>
      <w:r>
        <w:rPr>
          <w:rFonts w:ascii="Arial" w:cs="Arial" w:eastAsia="Arial" w:hAnsi="Arial"/>
          <w:sz w:val="14"/>
          <w:szCs w:val="14"/>
          <w:u w:val="single" w:color="auto"/>
          <w:color w:val="0000FF"/>
        </w:rPr>
        <w:t>12</w:t>
      </w:r>
    </w:p>
    <w:p>
      <w:pPr>
        <w:sectPr>
          <w:pgSz w:w="11900" w:h="16838" w:orient="portrait"/>
          <w:cols w:equalWidth="0" w:num="1">
            <w:col w:w="10219"/>
          </w:cols>
          <w:pgMar w:left="240" w:top="576" w:right="1440" w:bottom="1440" w:gutter="0" w:footer="0" w:header="0"/>
        </w:sectPr>
      </w:pPr>
    </w:p>
    <w:bookmarkStart w:id="257" w:name="page258"/>
    <w:bookmarkEnd w:id="257"/>
    <w:p>
      <w:pPr>
        <w:jc w:val="center"/>
        <w:ind w:right="119"/>
        <w:spacing w:after="0"/>
        <w:rPr>
          <w:sz w:val="20"/>
          <w:szCs w:val="20"/>
          <w:color w:val="auto"/>
        </w:rPr>
      </w:pPr>
      <w:r>
        <w:rPr>
          <w:rFonts w:ascii="Arial" w:cs="Arial" w:eastAsia="Arial" w:hAnsi="Arial"/>
          <w:sz w:val="20"/>
          <w:szCs w:val="20"/>
          <w:b w:val="1"/>
          <w:bCs w:val="1"/>
          <w:color w:val="auto"/>
        </w:rPr>
        <w:t>LLOYDS TSB BANK PLC</w:t>
      </w:r>
    </w:p>
    <w:p>
      <w:pPr>
        <w:spacing w:after="0" w:line="200" w:lineRule="exact"/>
        <w:rPr>
          <w:sz w:val="20"/>
          <w:szCs w:val="20"/>
          <w:color w:val="auto"/>
        </w:rPr>
      </w:pPr>
    </w:p>
    <w:p>
      <w:pPr>
        <w:spacing w:after="0" w:line="238" w:lineRule="exact"/>
        <w:rPr>
          <w:sz w:val="20"/>
          <w:szCs w:val="20"/>
          <w:color w:val="auto"/>
        </w:rPr>
      </w:pPr>
    </w:p>
    <w:p>
      <w:pPr>
        <w:ind w:left="3900"/>
        <w:spacing w:after="0"/>
        <w:tabs>
          <w:tab w:leader="none" w:pos="4360" w:val="left"/>
        </w:tabs>
        <w:rPr>
          <w:sz w:val="20"/>
          <w:szCs w:val="20"/>
          <w:color w:val="auto"/>
        </w:rPr>
      </w:pPr>
      <w:r>
        <w:rPr>
          <w:rFonts w:ascii="Arial" w:cs="Arial" w:eastAsia="Arial" w:hAnsi="Arial"/>
          <w:sz w:val="20"/>
          <w:szCs w:val="20"/>
          <w:color w:val="auto"/>
        </w:rPr>
        <w:t>By:</w:t>
      </w:r>
      <w:r>
        <w:rPr>
          <w:sz w:val="20"/>
          <w:szCs w:val="20"/>
          <w:color w:val="auto"/>
        </w:rPr>
        <w:tab/>
      </w:r>
      <w:r>
        <w:rPr>
          <w:rFonts w:ascii="Arial" w:cs="Arial" w:eastAsia="Arial" w:hAnsi="Arial"/>
          <w:sz w:val="18"/>
          <w:szCs w:val="18"/>
          <w:color w:val="auto"/>
        </w:rPr>
        <w:t>/s/ Christian Hammerbeck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2656205</wp:posOffset>
            </wp:positionH>
            <wp:positionV relativeFrom="paragraph">
              <wp:posOffset>-14605</wp:posOffset>
            </wp:positionV>
            <wp:extent cx="1696720" cy="889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1696720" cy="8890"/>
                    </a:xfrm>
                    <a:prstGeom prst="rect">
                      <a:avLst/>
                    </a:prstGeom>
                    <a:noFill/>
                  </pic:spPr>
                </pic:pic>
              </a:graphicData>
            </a:graphic>
          </wp:anchor>
        </w:drawing>
      </w:r>
    </w:p>
    <w:p>
      <w:pPr>
        <w:ind w:left="3900"/>
        <w:spacing w:after="0"/>
        <w:tabs>
          <w:tab w:leader="none" w:pos="4600" w:val="left"/>
        </w:tabs>
        <w:rPr>
          <w:sz w:val="20"/>
          <w:szCs w:val="20"/>
          <w:color w:val="auto"/>
        </w:rPr>
      </w:pPr>
      <w:r>
        <w:rPr>
          <w:rFonts w:ascii="Arial" w:cs="Arial" w:eastAsia="Arial" w:hAnsi="Arial"/>
          <w:sz w:val="20"/>
          <w:szCs w:val="20"/>
          <w:color w:val="auto"/>
        </w:rPr>
        <w:t>Name:</w:t>
      </w:r>
      <w:r>
        <w:rPr>
          <w:sz w:val="20"/>
          <w:szCs w:val="20"/>
          <w:color w:val="auto"/>
        </w:rPr>
        <w:tab/>
      </w:r>
      <w:r>
        <w:rPr>
          <w:rFonts w:ascii="Arial" w:cs="Arial" w:eastAsia="Arial" w:hAnsi="Arial"/>
          <w:sz w:val="18"/>
          <w:szCs w:val="18"/>
          <w:color w:val="auto"/>
        </w:rPr>
        <w:t>Christian Hammerbeck</w:t>
      </w:r>
    </w:p>
    <w:p>
      <w:pPr>
        <w:ind w:left="3900"/>
        <w:spacing w:after="0"/>
        <w:tabs>
          <w:tab w:leader="none" w:pos="4500" w:val="left"/>
        </w:tabs>
        <w:rPr>
          <w:sz w:val="20"/>
          <w:szCs w:val="20"/>
          <w:color w:val="auto"/>
        </w:rPr>
      </w:pPr>
      <w:r>
        <w:rPr>
          <w:rFonts w:ascii="Arial" w:cs="Arial" w:eastAsia="Arial" w:hAnsi="Arial"/>
          <w:sz w:val="20"/>
          <w:szCs w:val="20"/>
          <w:color w:val="auto"/>
        </w:rPr>
        <w:t>Title:</w:t>
      </w:r>
      <w:r>
        <w:rPr>
          <w:sz w:val="20"/>
          <w:szCs w:val="20"/>
          <w:color w:val="auto"/>
        </w:rPr>
        <w:tab/>
      </w:r>
      <w:r>
        <w:rPr>
          <w:rFonts w:ascii="Arial" w:cs="Arial" w:eastAsia="Arial" w:hAnsi="Arial"/>
          <w:sz w:val="16"/>
          <w:szCs w:val="16"/>
          <w:color w:val="auto"/>
        </w:rPr>
        <w:t>Vice President</w:t>
      </w:r>
    </w:p>
    <w:p>
      <w:pPr>
        <w:spacing w:after="0" w:line="194" w:lineRule="exact"/>
        <w:rPr>
          <w:sz w:val="20"/>
          <w:szCs w:val="20"/>
          <w:color w:val="auto"/>
        </w:rPr>
      </w:pPr>
    </w:p>
    <w:p>
      <w:pPr>
        <w:jc w:val="center"/>
        <w:ind w:right="119"/>
        <w:spacing w:after="0"/>
        <w:rPr>
          <w:sz w:val="20"/>
          <w:szCs w:val="20"/>
          <w:color w:val="auto"/>
        </w:rPr>
      </w:pPr>
      <w:r>
        <w:rPr>
          <w:rFonts w:ascii="Arial" w:cs="Arial" w:eastAsia="Arial" w:hAnsi="Arial"/>
          <w:sz w:val="20"/>
          <w:szCs w:val="20"/>
          <w:b w:val="1"/>
          <w:bCs w:val="1"/>
          <w:color w:val="auto"/>
        </w:rPr>
        <w:t>LLOYDS TSB BANK PLC</w:t>
      </w:r>
    </w:p>
    <w:p>
      <w:pPr>
        <w:spacing w:after="0" w:line="200" w:lineRule="exact"/>
        <w:rPr>
          <w:sz w:val="20"/>
          <w:szCs w:val="20"/>
          <w:color w:val="auto"/>
        </w:rPr>
      </w:pPr>
    </w:p>
    <w:p>
      <w:pPr>
        <w:spacing w:after="0" w:line="238" w:lineRule="exact"/>
        <w:rPr>
          <w:sz w:val="20"/>
          <w:szCs w:val="20"/>
          <w:color w:val="auto"/>
        </w:rPr>
      </w:pPr>
    </w:p>
    <w:p>
      <w:pPr>
        <w:ind w:left="3900"/>
        <w:spacing w:after="0"/>
        <w:tabs>
          <w:tab w:leader="none" w:pos="4360" w:val="left"/>
        </w:tabs>
        <w:rPr>
          <w:sz w:val="20"/>
          <w:szCs w:val="20"/>
          <w:color w:val="auto"/>
        </w:rPr>
      </w:pPr>
      <w:r>
        <w:rPr>
          <w:rFonts w:ascii="Arial" w:cs="Arial" w:eastAsia="Arial" w:hAnsi="Arial"/>
          <w:sz w:val="20"/>
          <w:szCs w:val="20"/>
          <w:color w:val="auto"/>
        </w:rPr>
        <w:t>By:</w:t>
      </w:r>
      <w:r>
        <w:rPr>
          <w:sz w:val="20"/>
          <w:szCs w:val="20"/>
          <w:color w:val="auto"/>
        </w:rPr>
        <w:tab/>
      </w:r>
      <w:r>
        <w:rPr>
          <w:rFonts w:ascii="Arial" w:cs="Arial" w:eastAsia="Arial" w:hAnsi="Arial"/>
          <w:sz w:val="16"/>
          <w:szCs w:val="16"/>
          <w:color w:val="auto"/>
        </w:rPr>
        <w:t>/s/ Jonathan Eng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2656205</wp:posOffset>
            </wp:positionH>
            <wp:positionV relativeFrom="paragraph">
              <wp:posOffset>-14605</wp:posOffset>
            </wp:positionV>
            <wp:extent cx="1333500" cy="88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1333500" cy="8890"/>
                    </a:xfrm>
                    <a:prstGeom prst="rect">
                      <a:avLst/>
                    </a:prstGeom>
                    <a:noFill/>
                  </pic:spPr>
                </pic:pic>
              </a:graphicData>
            </a:graphic>
          </wp:anchor>
        </w:drawing>
      </w:r>
    </w:p>
    <w:p>
      <w:pPr>
        <w:ind w:left="3900"/>
        <w:spacing w:after="0"/>
        <w:tabs>
          <w:tab w:leader="none" w:pos="4600" w:val="left"/>
        </w:tabs>
        <w:rPr>
          <w:sz w:val="20"/>
          <w:szCs w:val="20"/>
          <w:color w:val="auto"/>
        </w:rPr>
      </w:pPr>
      <w:r>
        <w:rPr>
          <w:rFonts w:ascii="Arial" w:cs="Arial" w:eastAsia="Arial" w:hAnsi="Arial"/>
          <w:sz w:val="20"/>
          <w:szCs w:val="20"/>
          <w:color w:val="auto"/>
        </w:rPr>
        <w:t>Name:</w:t>
      </w:r>
      <w:r>
        <w:rPr>
          <w:sz w:val="20"/>
          <w:szCs w:val="20"/>
          <w:color w:val="auto"/>
        </w:rPr>
        <w:tab/>
      </w:r>
      <w:r>
        <w:rPr>
          <w:rFonts w:ascii="Arial" w:cs="Arial" w:eastAsia="Arial" w:hAnsi="Arial"/>
          <w:sz w:val="16"/>
          <w:szCs w:val="16"/>
          <w:color w:val="auto"/>
        </w:rPr>
        <w:t>Jonathan Eng</w:t>
      </w:r>
    </w:p>
    <w:p>
      <w:pPr>
        <w:ind w:left="3900"/>
        <w:spacing w:after="0"/>
        <w:tabs>
          <w:tab w:leader="none" w:pos="4500" w:val="left"/>
        </w:tabs>
        <w:rPr>
          <w:sz w:val="20"/>
          <w:szCs w:val="20"/>
          <w:color w:val="auto"/>
        </w:rPr>
      </w:pPr>
      <w:r>
        <w:rPr>
          <w:rFonts w:ascii="Arial" w:cs="Arial" w:eastAsia="Arial" w:hAnsi="Arial"/>
          <w:sz w:val="20"/>
          <w:szCs w:val="20"/>
          <w:color w:val="auto"/>
        </w:rPr>
        <w:t>Title:</w:t>
      </w:r>
      <w:r>
        <w:rPr>
          <w:sz w:val="20"/>
          <w:szCs w:val="20"/>
          <w:color w:val="auto"/>
        </w:rPr>
        <w:tab/>
      </w:r>
      <w:r>
        <w:rPr>
          <w:rFonts w:ascii="Arial" w:cs="Arial" w:eastAsia="Arial" w:hAnsi="Arial"/>
          <w:sz w:val="16"/>
          <w:szCs w:val="16"/>
          <w:color w:val="auto"/>
        </w:rPr>
        <w:t>Vice President</w:t>
      </w:r>
    </w:p>
    <w:p>
      <w:pPr>
        <w:spacing w:after="0" w:line="200" w:lineRule="exact"/>
        <w:rPr>
          <w:sz w:val="20"/>
          <w:szCs w:val="20"/>
          <w:color w:val="auto"/>
        </w:rPr>
      </w:pPr>
    </w:p>
    <w:p>
      <w:pPr>
        <w:spacing w:after="0" w:line="210" w:lineRule="exact"/>
        <w:rPr>
          <w:sz w:val="20"/>
          <w:szCs w:val="20"/>
          <w:color w:val="auto"/>
        </w:rPr>
      </w:pPr>
    </w:p>
    <w:p>
      <w:pPr>
        <w:ind w:left="3900"/>
        <w:spacing w:after="0"/>
        <w:rPr>
          <w:sz w:val="20"/>
          <w:szCs w:val="20"/>
          <w:color w:val="auto"/>
        </w:rPr>
      </w:pPr>
      <w:r>
        <w:rPr>
          <w:rFonts w:ascii="Arial" w:cs="Arial" w:eastAsia="Arial" w:hAnsi="Arial"/>
          <w:sz w:val="20"/>
          <w:szCs w:val="20"/>
          <w:b w:val="1"/>
          <w:bCs w:val="1"/>
          <w:color w:val="auto"/>
        </w:rPr>
        <w:t>BOKF, NA (the Bank of Kansas City)</w:t>
      </w:r>
    </w:p>
    <w:p>
      <w:pPr>
        <w:spacing w:after="0" w:line="200" w:lineRule="exact"/>
        <w:rPr>
          <w:sz w:val="20"/>
          <w:szCs w:val="20"/>
          <w:color w:val="auto"/>
        </w:rPr>
      </w:pPr>
    </w:p>
    <w:p>
      <w:pPr>
        <w:spacing w:after="0" w:line="238" w:lineRule="exact"/>
        <w:rPr>
          <w:sz w:val="20"/>
          <w:szCs w:val="20"/>
          <w:color w:val="auto"/>
        </w:rPr>
      </w:pPr>
    </w:p>
    <w:p>
      <w:pPr>
        <w:ind w:left="3900"/>
        <w:spacing w:after="0"/>
        <w:tabs>
          <w:tab w:leader="none" w:pos="4360" w:val="left"/>
        </w:tabs>
        <w:rPr>
          <w:sz w:val="20"/>
          <w:szCs w:val="20"/>
          <w:color w:val="auto"/>
        </w:rPr>
      </w:pPr>
      <w:r>
        <w:rPr>
          <w:rFonts w:ascii="Arial" w:cs="Arial" w:eastAsia="Arial" w:hAnsi="Arial"/>
          <w:sz w:val="20"/>
          <w:szCs w:val="20"/>
          <w:color w:val="auto"/>
        </w:rPr>
        <w:t>By:</w:t>
      </w:r>
      <w:r>
        <w:rPr>
          <w:sz w:val="20"/>
          <w:szCs w:val="20"/>
          <w:color w:val="auto"/>
        </w:rPr>
        <w:tab/>
      </w:r>
      <w:r>
        <w:rPr>
          <w:rFonts w:ascii="Arial" w:cs="Arial" w:eastAsia="Arial" w:hAnsi="Arial"/>
          <w:sz w:val="18"/>
          <w:szCs w:val="18"/>
          <w:color w:val="auto"/>
        </w:rPr>
        <w:t>/s/ Dennis Nicely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2656205</wp:posOffset>
            </wp:positionH>
            <wp:positionV relativeFrom="paragraph">
              <wp:posOffset>-14605</wp:posOffset>
            </wp:positionV>
            <wp:extent cx="1375410" cy="889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1375410" cy="8890"/>
                    </a:xfrm>
                    <a:prstGeom prst="rect">
                      <a:avLst/>
                    </a:prstGeom>
                    <a:noFill/>
                  </pic:spPr>
                </pic:pic>
              </a:graphicData>
            </a:graphic>
          </wp:anchor>
        </w:drawing>
      </w:r>
    </w:p>
    <w:p>
      <w:pPr>
        <w:ind w:left="3900"/>
        <w:spacing w:after="0"/>
        <w:tabs>
          <w:tab w:leader="none" w:pos="4600" w:val="left"/>
        </w:tabs>
        <w:rPr>
          <w:sz w:val="20"/>
          <w:szCs w:val="20"/>
          <w:color w:val="auto"/>
        </w:rPr>
      </w:pPr>
      <w:r>
        <w:rPr>
          <w:rFonts w:ascii="Arial" w:cs="Arial" w:eastAsia="Arial" w:hAnsi="Arial"/>
          <w:sz w:val="20"/>
          <w:szCs w:val="20"/>
          <w:color w:val="auto"/>
        </w:rPr>
        <w:t>Name:</w:t>
      </w:r>
      <w:r>
        <w:rPr>
          <w:sz w:val="20"/>
          <w:szCs w:val="20"/>
          <w:color w:val="auto"/>
        </w:rPr>
        <w:tab/>
      </w:r>
      <w:r>
        <w:rPr>
          <w:rFonts w:ascii="Arial" w:cs="Arial" w:eastAsia="Arial" w:hAnsi="Arial"/>
          <w:sz w:val="18"/>
          <w:szCs w:val="18"/>
          <w:color w:val="auto"/>
        </w:rPr>
        <w:t>Dennis Nicely</w:t>
      </w:r>
    </w:p>
    <w:p>
      <w:pPr>
        <w:ind w:left="3900"/>
        <w:spacing w:after="0"/>
        <w:tabs>
          <w:tab w:leader="none" w:pos="4500" w:val="left"/>
        </w:tabs>
        <w:rPr>
          <w:sz w:val="20"/>
          <w:szCs w:val="20"/>
          <w:color w:val="auto"/>
        </w:rPr>
      </w:pPr>
      <w:r>
        <w:rPr>
          <w:rFonts w:ascii="Arial" w:cs="Arial" w:eastAsia="Arial" w:hAnsi="Arial"/>
          <w:sz w:val="20"/>
          <w:szCs w:val="20"/>
          <w:color w:val="auto"/>
        </w:rPr>
        <w:t>Title:</w:t>
      </w:r>
      <w:r>
        <w:rPr>
          <w:sz w:val="20"/>
          <w:szCs w:val="20"/>
          <w:color w:val="auto"/>
        </w:rPr>
        <w:tab/>
      </w:r>
      <w:r>
        <w:rPr>
          <w:rFonts w:ascii="Arial" w:cs="Arial" w:eastAsia="Arial" w:hAnsi="Arial"/>
          <w:sz w:val="16"/>
          <w:szCs w:val="16"/>
          <w:color w:val="auto"/>
        </w:rPr>
        <w:t>Senior Vice President</w:t>
      </w:r>
    </w:p>
    <w:p>
      <w:pPr>
        <w:spacing w:after="0" w:line="200" w:lineRule="exact"/>
        <w:rPr>
          <w:sz w:val="20"/>
          <w:szCs w:val="20"/>
          <w:color w:val="auto"/>
        </w:rPr>
      </w:pPr>
    </w:p>
    <w:p>
      <w:pPr>
        <w:spacing w:after="0" w:line="210" w:lineRule="exact"/>
        <w:rPr>
          <w:sz w:val="20"/>
          <w:szCs w:val="20"/>
          <w:color w:val="auto"/>
        </w:rPr>
      </w:pPr>
    </w:p>
    <w:p>
      <w:pPr>
        <w:ind w:left="3900"/>
        <w:spacing w:after="0"/>
        <w:rPr>
          <w:sz w:val="20"/>
          <w:szCs w:val="20"/>
          <w:color w:val="auto"/>
        </w:rPr>
      </w:pPr>
      <w:r>
        <w:rPr>
          <w:rFonts w:ascii="Arial" w:cs="Arial" w:eastAsia="Arial" w:hAnsi="Arial"/>
          <w:sz w:val="20"/>
          <w:szCs w:val="20"/>
          <w:b w:val="1"/>
          <w:bCs w:val="1"/>
          <w:color w:val="auto"/>
        </w:rPr>
        <w:t>CITIZENS BANK &amp; TRUST COMPANY</w:t>
      </w:r>
    </w:p>
    <w:p>
      <w:pPr>
        <w:spacing w:after="0" w:line="200" w:lineRule="exact"/>
        <w:rPr>
          <w:sz w:val="20"/>
          <w:szCs w:val="20"/>
          <w:color w:val="auto"/>
        </w:rPr>
      </w:pPr>
    </w:p>
    <w:p>
      <w:pPr>
        <w:spacing w:after="0" w:line="238" w:lineRule="exact"/>
        <w:rPr>
          <w:sz w:val="20"/>
          <w:szCs w:val="20"/>
          <w:color w:val="auto"/>
        </w:rPr>
      </w:pPr>
    </w:p>
    <w:p>
      <w:pPr>
        <w:ind w:left="3900"/>
        <w:spacing w:after="0"/>
        <w:tabs>
          <w:tab w:leader="none" w:pos="4360" w:val="left"/>
        </w:tabs>
        <w:rPr>
          <w:sz w:val="20"/>
          <w:szCs w:val="20"/>
          <w:color w:val="auto"/>
        </w:rPr>
      </w:pPr>
      <w:r>
        <w:rPr>
          <w:rFonts w:ascii="Arial" w:cs="Arial" w:eastAsia="Arial" w:hAnsi="Arial"/>
          <w:sz w:val="20"/>
          <w:szCs w:val="20"/>
          <w:color w:val="auto"/>
        </w:rPr>
        <w:t>By:</w:t>
      </w:r>
      <w:r>
        <w:rPr>
          <w:sz w:val="20"/>
          <w:szCs w:val="20"/>
          <w:color w:val="auto"/>
        </w:rPr>
        <w:tab/>
      </w:r>
      <w:r>
        <w:rPr>
          <w:rFonts w:ascii="Arial" w:cs="Arial" w:eastAsia="Arial" w:hAnsi="Arial"/>
          <w:sz w:val="18"/>
          <w:szCs w:val="18"/>
          <w:color w:val="auto"/>
        </w:rPr>
        <w:t>/s/ Kelley Wilcox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2656205</wp:posOffset>
            </wp:positionH>
            <wp:positionV relativeFrom="paragraph">
              <wp:posOffset>-14605</wp:posOffset>
            </wp:positionV>
            <wp:extent cx="1384300" cy="889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1384300" cy="8890"/>
                    </a:xfrm>
                    <a:prstGeom prst="rect">
                      <a:avLst/>
                    </a:prstGeom>
                    <a:noFill/>
                  </pic:spPr>
                </pic:pic>
              </a:graphicData>
            </a:graphic>
          </wp:anchor>
        </w:drawing>
      </w:r>
    </w:p>
    <w:p>
      <w:pPr>
        <w:ind w:left="3900"/>
        <w:spacing w:after="0"/>
        <w:tabs>
          <w:tab w:leader="none" w:pos="4600" w:val="left"/>
        </w:tabs>
        <w:rPr>
          <w:sz w:val="20"/>
          <w:szCs w:val="20"/>
          <w:color w:val="auto"/>
        </w:rPr>
      </w:pPr>
      <w:r>
        <w:rPr>
          <w:rFonts w:ascii="Arial" w:cs="Arial" w:eastAsia="Arial" w:hAnsi="Arial"/>
          <w:sz w:val="20"/>
          <w:szCs w:val="20"/>
          <w:color w:val="auto"/>
        </w:rPr>
        <w:t>Name:</w:t>
      </w:r>
      <w:r>
        <w:rPr>
          <w:sz w:val="20"/>
          <w:szCs w:val="20"/>
          <w:color w:val="auto"/>
        </w:rPr>
        <w:tab/>
      </w:r>
      <w:r>
        <w:rPr>
          <w:rFonts w:ascii="Arial" w:cs="Arial" w:eastAsia="Arial" w:hAnsi="Arial"/>
          <w:sz w:val="19"/>
          <w:szCs w:val="19"/>
          <w:color w:val="auto"/>
        </w:rPr>
        <w:t>Kelley Wilcox</w:t>
      </w:r>
    </w:p>
    <w:p>
      <w:pPr>
        <w:ind w:left="3900"/>
        <w:spacing w:after="0"/>
        <w:tabs>
          <w:tab w:leader="none" w:pos="4500" w:val="left"/>
        </w:tabs>
        <w:rPr>
          <w:sz w:val="20"/>
          <w:szCs w:val="20"/>
          <w:color w:val="auto"/>
        </w:rPr>
      </w:pPr>
      <w:r>
        <w:rPr>
          <w:rFonts w:ascii="Arial" w:cs="Arial" w:eastAsia="Arial" w:hAnsi="Arial"/>
          <w:sz w:val="20"/>
          <w:szCs w:val="20"/>
          <w:color w:val="auto"/>
        </w:rPr>
        <w:t>Title:</w:t>
      </w:r>
      <w:r>
        <w:rPr>
          <w:sz w:val="20"/>
          <w:szCs w:val="20"/>
          <w:color w:val="auto"/>
        </w:rPr>
        <w:tab/>
      </w:r>
      <w:r>
        <w:rPr>
          <w:rFonts w:ascii="Arial" w:cs="Arial" w:eastAsia="Arial" w:hAnsi="Arial"/>
          <w:sz w:val="16"/>
          <w:szCs w:val="16"/>
          <w:color w:val="auto"/>
        </w:rPr>
        <w:t>Senior Vice President</w:t>
      </w:r>
    </w:p>
    <w:p>
      <w:pPr>
        <w:spacing w:after="0" w:line="200" w:lineRule="exact"/>
        <w:rPr>
          <w:sz w:val="20"/>
          <w:szCs w:val="20"/>
          <w:color w:val="auto"/>
        </w:rPr>
      </w:pPr>
    </w:p>
    <w:p>
      <w:pPr>
        <w:spacing w:after="0" w:line="210" w:lineRule="exact"/>
        <w:rPr>
          <w:sz w:val="20"/>
          <w:szCs w:val="20"/>
          <w:color w:val="auto"/>
        </w:rPr>
      </w:pPr>
    </w:p>
    <w:p>
      <w:pPr>
        <w:jc w:val="right"/>
        <w:ind w:right="1679"/>
        <w:spacing w:after="0"/>
        <w:rPr>
          <w:sz w:val="20"/>
          <w:szCs w:val="20"/>
          <w:color w:val="auto"/>
        </w:rPr>
      </w:pPr>
      <w:r>
        <w:rPr>
          <w:rFonts w:ascii="Arial" w:cs="Arial" w:eastAsia="Arial" w:hAnsi="Arial"/>
          <w:sz w:val="20"/>
          <w:szCs w:val="20"/>
          <w:b w:val="1"/>
          <w:bCs w:val="1"/>
          <w:color w:val="auto"/>
        </w:rPr>
        <w:t>WELLS FARGO BANK, NATIONAL ASSOCIATION</w:t>
      </w:r>
    </w:p>
    <w:p>
      <w:pPr>
        <w:spacing w:after="0" w:line="200" w:lineRule="exact"/>
        <w:rPr>
          <w:sz w:val="20"/>
          <w:szCs w:val="20"/>
          <w:color w:val="auto"/>
        </w:rPr>
      </w:pPr>
    </w:p>
    <w:p>
      <w:pPr>
        <w:spacing w:after="0" w:line="238" w:lineRule="exact"/>
        <w:rPr>
          <w:sz w:val="20"/>
          <w:szCs w:val="20"/>
          <w:color w:val="auto"/>
        </w:rPr>
      </w:pPr>
    </w:p>
    <w:p>
      <w:pPr>
        <w:ind w:left="3900"/>
        <w:spacing w:after="0"/>
        <w:tabs>
          <w:tab w:leader="none" w:pos="4360" w:val="left"/>
        </w:tabs>
        <w:rPr>
          <w:sz w:val="20"/>
          <w:szCs w:val="20"/>
          <w:color w:val="auto"/>
        </w:rPr>
      </w:pPr>
      <w:r>
        <w:rPr>
          <w:rFonts w:ascii="Arial" w:cs="Arial" w:eastAsia="Arial" w:hAnsi="Arial"/>
          <w:sz w:val="20"/>
          <w:szCs w:val="20"/>
          <w:color w:val="auto"/>
        </w:rPr>
        <w:t>By:</w:t>
      </w:r>
      <w:r>
        <w:rPr>
          <w:sz w:val="20"/>
          <w:szCs w:val="20"/>
          <w:color w:val="auto"/>
        </w:rPr>
        <w:tab/>
      </w:r>
      <w:r>
        <w:rPr>
          <w:rFonts w:ascii="Arial" w:cs="Arial" w:eastAsia="Arial" w:hAnsi="Arial"/>
          <w:sz w:val="18"/>
          <w:szCs w:val="18"/>
          <w:color w:val="auto"/>
        </w:rPr>
        <w:t>/s/ Ariana Fahrney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2656205</wp:posOffset>
            </wp:positionH>
            <wp:positionV relativeFrom="paragraph">
              <wp:posOffset>-14605</wp:posOffset>
            </wp:positionV>
            <wp:extent cx="1438275" cy="889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1438275" cy="8890"/>
                    </a:xfrm>
                    <a:prstGeom prst="rect">
                      <a:avLst/>
                    </a:prstGeom>
                    <a:noFill/>
                  </pic:spPr>
                </pic:pic>
              </a:graphicData>
            </a:graphic>
          </wp:anchor>
        </w:drawing>
      </w:r>
    </w:p>
    <w:p>
      <w:pPr>
        <w:ind w:left="3900"/>
        <w:spacing w:after="0"/>
        <w:tabs>
          <w:tab w:leader="none" w:pos="4600" w:val="left"/>
        </w:tabs>
        <w:rPr>
          <w:sz w:val="20"/>
          <w:szCs w:val="20"/>
          <w:color w:val="auto"/>
        </w:rPr>
      </w:pPr>
      <w:r>
        <w:rPr>
          <w:rFonts w:ascii="Arial" w:cs="Arial" w:eastAsia="Arial" w:hAnsi="Arial"/>
          <w:sz w:val="20"/>
          <w:szCs w:val="20"/>
          <w:color w:val="auto"/>
        </w:rPr>
        <w:t>Name:</w:t>
      </w:r>
      <w:r>
        <w:rPr>
          <w:sz w:val="20"/>
          <w:szCs w:val="20"/>
          <w:color w:val="auto"/>
        </w:rPr>
        <w:tab/>
      </w:r>
      <w:r>
        <w:rPr>
          <w:rFonts w:ascii="Arial" w:cs="Arial" w:eastAsia="Arial" w:hAnsi="Arial"/>
          <w:sz w:val="16"/>
          <w:szCs w:val="16"/>
          <w:color w:val="auto"/>
        </w:rPr>
        <w:t>Ariana Fahrney</w:t>
      </w:r>
    </w:p>
    <w:p>
      <w:pPr>
        <w:ind w:left="3900"/>
        <w:spacing w:after="0"/>
        <w:tabs>
          <w:tab w:leader="none" w:pos="4480" w:val="left"/>
        </w:tabs>
        <w:rPr>
          <w:sz w:val="20"/>
          <w:szCs w:val="20"/>
          <w:color w:val="auto"/>
        </w:rPr>
      </w:pPr>
      <w:r>
        <w:rPr>
          <w:rFonts w:ascii="Arial" w:cs="Arial" w:eastAsia="Arial" w:hAnsi="Arial"/>
          <w:sz w:val="20"/>
          <w:szCs w:val="20"/>
          <w:color w:val="auto"/>
        </w:rPr>
        <w:t>Title:</w:t>
      </w:r>
      <w:r>
        <w:rPr>
          <w:sz w:val="20"/>
          <w:szCs w:val="20"/>
          <w:color w:val="auto"/>
        </w:rPr>
        <w:tab/>
      </w:r>
      <w:r>
        <w:rPr>
          <w:rFonts w:ascii="Arial" w:cs="Arial" w:eastAsia="Arial" w:hAnsi="Arial"/>
          <w:sz w:val="16"/>
          <w:szCs w:val="16"/>
          <w:color w:val="auto"/>
        </w:rPr>
        <w:t>Assistant Vice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spacing w:after="0"/>
        <w:rPr>
          <w:sz w:val="20"/>
          <w:szCs w:val="20"/>
          <w:color w:val="auto"/>
        </w:rPr>
      </w:pPr>
      <w:r>
        <w:rPr>
          <w:rFonts w:ascii="Arial" w:cs="Arial" w:eastAsia="Arial" w:hAnsi="Arial"/>
          <w:sz w:val="14"/>
          <w:szCs w:val="14"/>
          <w:color w:val="auto"/>
        </w:rPr>
        <w:t>CHAR1\1346423v</w:t>
      </w:r>
      <w:r>
        <w:rPr>
          <w:rFonts w:ascii="Arial" w:cs="Arial" w:eastAsia="Arial" w:hAnsi="Arial"/>
          <w:sz w:val="14"/>
          <w:szCs w:val="14"/>
          <w:color w:val="FF0000"/>
          <w:strike w:val="1"/>
        </w:rPr>
        <w:t>1</w:t>
      </w:r>
      <w:r>
        <w:rPr>
          <w:rFonts w:ascii="Arial" w:cs="Arial" w:eastAsia="Arial" w:hAnsi="Arial"/>
          <w:sz w:val="14"/>
          <w:szCs w:val="14"/>
          <w:u w:val="single" w:color="auto"/>
          <w:color w:val="0000FF"/>
        </w:rPr>
        <w:t>12</w:t>
      </w:r>
    </w:p>
    <w:p>
      <w:pPr>
        <w:sectPr>
          <w:pgSz w:w="11900" w:h="16838" w:orient="portrait"/>
          <w:cols w:equalWidth="0" w:num="1">
            <w:col w:w="10219"/>
          </w:cols>
          <w:pgMar w:left="240" w:top="576" w:right="1440" w:bottom="1440" w:gutter="0" w:footer="0" w:header="0"/>
        </w:sectPr>
      </w:pPr>
    </w:p>
    <w:bookmarkStart w:id="258" w:name="page259"/>
    <w:bookmarkEnd w:id="258"/>
    <w:p>
      <w:pPr>
        <w:jc w:val="center"/>
        <w:ind w:right="-19"/>
        <w:spacing w:after="0"/>
        <w:rPr>
          <w:sz w:val="20"/>
          <w:szCs w:val="20"/>
          <w:color w:val="auto"/>
        </w:rPr>
      </w:pPr>
      <w:r>
        <w:rPr>
          <w:rFonts w:ascii="Arial" w:cs="Arial" w:eastAsia="Arial" w:hAnsi="Arial"/>
          <w:sz w:val="20"/>
          <w:szCs w:val="20"/>
          <w:u w:val="single" w:color="auto"/>
          <w:color w:val="FF0000"/>
          <w:strike w:val="1"/>
        </w:rPr>
        <w:t>Schedule 1.01</w:t>
      </w:r>
    </w:p>
    <w:p>
      <w:pPr>
        <w:spacing w:after="0" w:line="216"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FF0000"/>
          <w:strike w:val="1"/>
        </w:rPr>
        <w:t>MANDATORY COST FORMULAE</w:t>
      </w:r>
    </w:p>
    <w:p>
      <w:pPr>
        <w:spacing w:after="0" w:line="216" w:lineRule="exact"/>
        <w:rPr>
          <w:sz w:val="20"/>
          <w:szCs w:val="20"/>
          <w:color w:val="auto"/>
        </w:rPr>
      </w:pPr>
    </w:p>
    <w:p>
      <w:pPr>
        <w:ind w:left="660" w:hanging="652"/>
        <w:spacing w:after="0"/>
        <w:tabs>
          <w:tab w:leader="none" w:pos="660" w:val="left"/>
        </w:tabs>
        <w:numPr>
          <w:ilvl w:val="0"/>
          <w:numId w:val="286"/>
        </w:numPr>
        <w:rPr>
          <w:rFonts w:ascii="Arial" w:cs="Arial" w:eastAsia="Arial" w:hAnsi="Arial"/>
          <w:sz w:val="18"/>
          <w:szCs w:val="18"/>
          <w:color w:val="FF0000"/>
          <w:strike w:val="1"/>
        </w:rPr>
      </w:pPr>
      <w:r>
        <w:rPr>
          <w:rFonts w:ascii="Arial" w:cs="Arial" w:eastAsia="Arial" w:hAnsi="Arial"/>
          <w:sz w:val="18"/>
          <w:szCs w:val="18"/>
          <w:color w:val="FF0000"/>
          <w:strike w:val="1"/>
        </w:rPr>
        <w:t>The Mandatory Cost (to the extent applicable) is an addition to the interest rate to compensate Lenders for the cost of compliance with:</w:t>
      </w:r>
    </w:p>
    <w:p>
      <w:pPr>
        <w:spacing w:after="0" w:line="238" w:lineRule="exact"/>
        <w:rPr>
          <w:rFonts w:ascii="Arial" w:cs="Arial" w:eastAsia="Arial" w:hAnsi="Arial"/>
          <w:sz w:val="18"/>
          <w:szCs w:val="18"/>
          <w:color w:val="FF0000"/>
          <w:strike w:val="1"/>
        </w:rPr>
      </w:pPr>
    </w:p>
    <w:p>
      <w:pPr>
        <w:ind w:left="1300" w:right="140" w:hanging="644"/>
        <w:spacing w:after="0" w:line="260" w:lineRule="auto"/>
        <w:tabs>
          <w:tab w:leader="none" w:pos="1300" w:val="left"/>
        </w:tabs>
        <w:numPr>
          <w:ilvl w:val="1"/>
          <w:numId w:val="286"/>
        </w:numPr>
        <w:rPr>
          <w:rFonts w:ascii="Arial" w:cs="Arial" w:eastAsia="Arial" w:hAnsi="Arial"/>
          <w:sz w:val="20"/>
          <w:szCs w:val="20"/>
          <w:color w:val="FF0000"/>
          <w:strike w:val="1"/>
        </w:rPr>
      </w:pPr>
      <w:r>
        <w:rPr>
          <w:rFonts w:ascii="Arial" w:cs="Arial" w:eastAsia="Arial" w:hAnsi="Arial"/>
          <w:sz w:val="20"/>
          <w:szCs w:val="20"/>
          <w:color w:val="FF0000"/>
          <w:strike w:val="1"/>
        </w:rPr>
        <w:t>the requirements of the Bank of England and/or the Financial Services Authority (or, in either case, any other authority which replaces all or any of its functions); or</w:t>
      </w:r>
    </w:p>
    <w:p>
      <w:pPr>
        <w:spacing w:after="0" w:line="176" w:lineRule="exact"/>
        <w:rPr>
          <w:rFonts w:ascii="Arial" w:cs="Arial" w:eastAsia="Arial" w:hAnsi="Arial"/>
          <w:sz w:val="20"/>
          <w:szCs w:val="20"/>
          <w:color w:val="FF0000"/>
          <w:strike w:val="1"/>
        </w:rPr>
      </w:pPr>
    </w:p>
    <w:p>
      <w:pPr>
        <w:ind w:left="1300" w:hanging="644"/>
        <w:spacing w:after="0"/>
        <w:tabs>
          <w:tab w:leader="none" w:pos="1300" w:val="left"/>
        </w:tabs>
        <w:numPr>
          <w:ilvl w:val="1"/>
          <w:numId w:val="286"/>
        </w:numPr>
        <w:rPr>
          <w:rFonts w:ascii="Arial" w:cs="Arial" w:eastAsia="Arial" w:hAnsi="Arial"/>
          <w:sz w:val="20"/>
          <w:szCs w:val="20"/>
          <w:color w:val="FF0000"/>
          <w:strike w:val="1"/>
        </w:rPr>
      </w:pPr>
      <w:r>
        <w:rPr>
          <w:rFonts w:ascii="Arial" w:cs="Arial" w:eastAsia="Arial" w:hAnsi="Arial"/>
          <w:sz w:val="20"/>
          <w:szCs w:val="20"/>
          <w:color w:val="FF0000"/>
          <w:strike w:val="1"/>
        </w:rPr>
        <w:t>the requirements of the European Central Bank.</w:t>
      </w:r>
    </w:p>
    <w:p>
      <w:pPr>
        <w:spacing w:after="0" w:line="215" w:lineRule="exact"/>
        <w:rPr>
          <w:rFonts w:ascii="Arial" w:cs="Arial" w:eastAsia="Arial" w:hAnsi="Arial"/>
          <w:sz w:val="20"/>
          <w:szCs w:val="20"/>
          <w:color w:val="FF0000"/>
          <w:strike w:val="1"/>
        </w:rPr>
      </w:pPr>
    </w:p>
    <w:p>
      <w:pPr>
        <w:ind w:left="660" w:hanging="652"/>
        <w:spacing w:after="0" w:line="276" w:lineRule="auto"/>
        <w:tabs>
          <w:tab w:leader="none" w:pos="660" w:val="left"/>
        </w:tabs>
        <w:numPr>
          <w:ilvl w:val="0"/>
          <w:numId w:val="286"/>
        </w:numPr>
        <w:rPr>
          <w:rFonts w:ascii="Arial" w:cs="Arial" w:eastAsia="Arial" w:hAnsi="Arial"/>
          <w:sz w:val="18"/>
          <w:szCs w:val="18"/>
          <w:color w:val="FF0000"/>
          <w:strike w:val="1"/>
        </w:rPr>
      </w:pPr>
      <w:r>
        <w:rPr>
          <w:rFonts w:ascii="Arial" w:cs="Arial" w:eastAsia="Arial" w:hAnsi="Arial"/>
          <w:sz w:val="18"/>
          <w:szCs w:val="18"/>
          <w:color w:val="FF0000"/>
          <w:strike w:val="1"/>
        </w:rPr>
        <w:t>On the first day of each Interest Period (or as soon as practicable thereafter) the Administrative Agent shall calculate, as a percentage rate, a rate (the “</w:t>
      </w:r>
      <w:r>
        <w:rPr>
          <w:rFonts w:ascii="Arial" w:cs="Arial" w:eastAsia="Arial" w:hAnsi="Arial"/>
          <w:sz w:val="18"/>
          <w:szCs w:val="18"/>
          <w:u w:val="single" w:color="auto"/>
          <w:color w:val="FF0000"/>
          <w:strike w:val="1"/>
        </w:rPr>
        <w:t>Additional Cost Rate</w:t>
      </w:r>
      <w:r>
        <w:rPr>
          <w:rFonts w:ascii="Arial" w:cs="Arial" w:eastAsia="Arial" w:hAnsi="Arial"/>
          <w:sz w:val="18"/>
          <w:szCs w:val="18"/>
          <w:color w:val="FF0000"/>
          <w:strike w:val="1"/>
        </w:rPr>
        <w:t>”) for each Lender, in accordance with the paragraphs set out below. The Mandatory Cost will be calculated by the Administrative Agent as a weighted average of the Lenders’ Additional Cost Rates (weighted in proportion to the percentage participation of each Lender in the relevant Loan) and will be expressed as a percentage rate per annum. The Administrative Agent will, at the request of the Borrowers or any Lender, deliver to the Borrowers or such Lender as the case may be, a statement setting forth in reasonable detail the calculation of any Mandatory Cost.</w:t>
      </w:r>
    </w:p>
    <w:p>
      <w:pPr>
        <w:spacing w:after="0" w:line="165" w:lineRule="exact"/>
        <w:rPr>
          <w:rFonts w:ascii="Arial" w:cs="Arial" w:eastAsia="Arial" w:hAnsi="Arial"/>
          <w:sz w:val="18"/>
          <w:szCs w:val="18"/>
          <w:color w:val="FF0000"/>
          <w:strike w:val="1"/>
        </w:rPr>
      </w:pPr>
    </w:p>
    <w:p>
      <w:pPr>
        <w:ind w:left="660" w:hanging="652"/>
        <w:spacing w:after="0" w:line="282" w:lineRule="auto"/>
        <w:tabs>
          <w:tab w:leader="none" w:pos="660" w:val="left"/>
        </w:tabs>
        <w:numPr>
          <w:ilvl w:val="0"/>
          <w:numId w:val="286"/>
        </w:numPr>
        <w:rPr>
          <w:rFonts w:ascii="Arial" w:cs="Arial" w:eastAsia="Arial" w:hAnsi="Arial"/>
          <w:sz w:val="18"/>
          <w:szCs w:val="18"/>
          <w:color w:val="FF0000"/>
          <w:strike w:val="1"/>
        </w:rPr>
      </w:pPr>
      <w:r>
        <w:rPr>
          <w:rFonts w:ascii="Arial" w:cs="Arial" w:eastAsia="Arial" w:hAnsi="Arial"/>
          <w:sz w:val="18"/>
          <w:szCs w:val="18"/>
          <w:color w:val="FF0000"/>
          <w:strike w:val="1"/>
        </w:rPr>
        <w:t>The Additional Cost Rate for any Lender lending from a Lending Office in a Participating Member State will be the percentage notified by that Lender to the Administrative Agent. This percentage will be certified by such Lender in its notice to the Administrative Agent as the cost (expressed as a percentage of such Lender’s participation in all Loans made from such Lending Office) of complying with the minimum reserve requirements of the European Central Bank in respect of Loans made from that Lending Office.</w:t>
      </w:r>
    </w:p>
    <w:p>
      <w:pPr>
        <w:spacing w:after="0" w:line="161" w:lineRule="exact"/>
        <w:rPr>
          <w:rFonts w:ascii="Arial" w:cs="Arial" w:eastAsia="Arial" w:hAnsi="Arial"/>
          <w:sz w:val="18"/>
          <w:szCs w:val="18"/>
          <w:color w:val="FF0000"/>
          <w:strike w:val="1"/>
        </w:rPr>
      </w:pPr>
    </w:p>
    <w:p>
      <w:pPr>
        <w:ind w:left="660" w:right="1140" w:hanging="652"/>
        <w:spacing w:after="0" w:line="260" w:lineRule="auto"/>
        <w:tabs>
          <w:tab w:leader="none" w:pos="660" w:val="left"/>
        </w:tabs>
        <w:numPr>
          <w:ilvl w:val="0"/>
          <w:numId w:val="286"/>
        </w:numPr>
        <w:rPr>
          <w:rFonts w:ascii="Arial" w:cs="Arial" w:eastAsia="Arial" w:hAnsi="Arial"/>
          <w:sz w:val="20"/>
          <w:szCs w:val="20"/>
          <w:color w:val="FF0000"/>
          <w:strike w:val="1"/>
        </w:rPr>
      </w:pPr>
      <w:r>
        <w:rPr>
          <w:rFonts w:ascii="Arial" w:cs="Arial" w:eastAsia="Arial" w:hAnsi="Arial"/>
          <w:sz w:val="20"/>
          <w:szCs w:val="20"/>
          <w:color w:val="FF0000"/>
          <w:strike w:val="1"/>
        </w:rPr>
        <w:t>The Additional Cost Rate for any Lender lending from a Lending Office in the United Kingdom will be calculated by the Administrative Agent as follows:</w:t>
      </w:r>
    </w:p>
    <w:p>
      <w:pPr>
        <w:spacing w:after="0" w:line="176" w:lineRule="exact"/>
        <w:rPr>
          <w:rFonts w:ascii="Arial" w:cs="Arial" w:eastAsia="Arial" w:hAnsi="Arial"/>
          <w:sz w:val="20"/>
          <w:szCs w:val="20"/>
          <w:color w:val="FF0000"/>
          <w:strike w:val="1"/>
        </w:rPr>
      </w:pPr>
    </w:p>
    <w:p>
      <w:pPr>
        <w:ind w:left="1080" w:hanging="424"/>
        <w:spacing w:after="0"/>
        <w:tabs>
          <w:tab w:leader="none" w:pos="1080" w:val="left"/>
        </w:tabs>
        <w:numPr>
          <w:ilvl w:val="1"/>
          <w:numId w:val="286"/>
        </w:numPr>
        <w:rPr>
          <w:rFonts w:ascii="Arial" w:cs="Arial" w:eastAsia="Arial" w:hAnsi="Arial"/>
          <w:sz w:val="20"/>
          <w:szCs w:val="20"/>
          <w:color w:val="FF0000"/>
          <w:strike w:val="1"/>
        </w:rPr>
      </w:pPr>
      <w:r>
        <w:rPr>
          <w:rFonts w:ascii="Arial" w:cs="Arial" w:eastAsia="Arial" w:hAnsi="Arial"/>
          <w:sz w:val="20"/>
          <w:szCs w:val="20"/>
          <w:color w:val="FF0000"/>
          <w:strike w:val="1"/>
        </w:rPr>
        <w:t>in relation to any Loan in the lawful currency of the United Kingdom (“</w:t>
      </w:r>
      <w:r>
        <w:rPr>
          <w:rFonts w:ascii="Arial" w:cs="Arial" w:eastAsia="Arial" w:hAnsi="Arial"/>
          <w:sz w:val="20"/>
          <w:szCs w:val="20"/>
          <w:u w:val="single" w:color="auto"/>
          <w:color w:val="FF0000"/>
          <w:strike w:val="1"/>
        </w:rPr>
        <w:t>Sterling</w:t>
      </w:r>
      <w:r>
        <w:rPr>
          <w:rFonts w:ascii="Arial" w:cs="Arial" w:eastAsia="Arial" w:hAnsi="Arial"/>
          <w:sz w:val="20"/>
          <w:szCs w:val="20"/>
          <w:color w:val="FF0000"/>
          <w:strike w:val="1"/>
        </w:rPr>
        <w:t>” or “</w:t>
      </w:r>
      <w:r>
        <w:rPr>
          <w:rFonts w:ascii="Arial" w:cs="Arial" w:eastAsia="Arial" w:hAnsi="Arial"/>
          <w:sz w:val="20"/>
          <w:szCs w:val="20"/>
          <w:u w:val="single" w:color="auto"/>
          <w:color w:val="FF0000"/>
          <w:strike w:val="1"/>
        </w:rPr>
        <w:t>£</w:t>
      </w:r>
      <w:r>
        <w:rPr>
          <w:rFonts w:ascii="Arial" w:cs="Arial" w:eastAsia="Arial" w:hAnsi="Arial"/>
          <w:sz w:val="20"/>
          <w:szCs w:val="20"/>
          <w:color w:val="FF0000"/>
          <w:strike w:val="1"/>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1351280</wp:posOffset>
            </wp:positionH>
            <wp:positionV relativeFrom="paragraph">
              <wp:posOffset>241935</wp:posOffset>
            </wp:positionV>
            <wp:extent cx="1835150" cy="50609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1835150" cy="506095"/>
                    </a:xfrm>
                    <a:prstGeom prst="rect">
                      <a:avLst/>
                    </a:prstGeom>
                    <a:noFill/>
                  </pic:spPr>
                </pic:pic>
              </a:graphicData>
            </a:graphic>
          </wp:anchor>
        </w:drawing>
      </w:r>
    </w:p>
    <w:p>
      <w:pPr>
        <w:spacing w:after="0" w:line="292" w:lineRule="exact"/>
        <w:rPr>
          <w:sz w:val="20"/>
          <w:szCs w:val="20"/>
          <w:color w:val="auto"/>
        </w:rPr>
      </w:pPr>
    </w:p>
    <w:p>
      <w:pPr>
        <w:ind w:left="2160"/>
        <w:spacing w:after="0" w:line="230" w:lineRule="exact"/>
        <w:rPr>
          <w:sz w:val="20"/>
          <w:szCs w:val="20"/>
          <w:color w:val="auto"/>
        </w:rPr>
      </w:pPr>
      <w:r>
        <w:rPr>
          <w:rFonts w:ascii="Arial" w:cs="Arial" w:eastAsia="Arial" w:hAnsi="Arial"/>
          <w:sz w:val="20"/>
          <w:szCs w:val="20"/>
          <w:color w:val="FF0000"/>
          <w:strike w:val="1"/>
        </w:rPr>
        <w:t>AB+C(B</w:t>
      </w:r>
      <w:r>
        <w:rPr>
          <w:rFonts w:ascii="MS PGothic" w:cs="MS PGothic" w:eastAsia="MS PGothic" w:hAnsi="MS PGothic"/>
          <w:sz w:val="20"/>
          <w:szCs w:val="20"/>
          <w:color w:val="FF0000"/>
          <w:strike w:val="1"/>
        </w:rPr>
        <w:t>‑</w:t>
      </w:r>
      <w:r>
        <w:rPr>
          <w:rFonts w:ascii="Arial" w:cs="Arial" w:eastAsia="Arial" w:hAnsi="Arial"/>
          <w:sz w:val="20"/>
          <w:szCs w:val="20"/>
          <w:color w:val="FF0000"/>
          <w:strike w:val="1"/>
        </w:rPr>
        <w:t>D)+E x</w:t>
      </w:r>
    </w:p>
    <w:p>
      <w:pPr>
        <w:ind w:left="2160"/>
        <w:spacing w:after="0"/>
        <w:tabs>
          <w:tab w:leader="none" w:pos="3700" w:val="left"/>
        </w:tabs>
        <w:rPr>
          <w:sz w:val="20"/>
          <w:szCs w:val="20"/>
          <w:color w:val="auto"/>
        </w:rPr>
      </w:pPr>
      <w:r>
        <w:rPr>
          <w:rFonts w:ascii="Arial" w:cs="Arial" w:eastAsia="Arial" w:hAnsi="Arial"/>
          <w:sz w:val="26"/>
          <w:szCs w:val="26"/>
          <w:color w:val="FF0000"/>
          <w:strike w:val="1"/>
          <w:vertAlign w:val="subscript"/>
        </w:rPr>
        <w:t>0.01</w:t>
      </w:r>
      <w:r>
        <w:rPr>
          <w:sz w:val="20"/>
          <w:szCs w:val="20"/>
          <w:color w:val="auto"/>
        </w:rPr>
        <w:tab/>
      </w:r>
      <w:r>
        <w:rPr>
          <w:rFonts w:ascii="Arial" w:cs="Arial" w:eastAsia="Arial" w:hAnsi="Arial"/>
          <w:sz w:val="16"/>
          <w:szCs w:val="16"/>
          <w:color w:val="FF0000"/>
          <w:strike w:val="1"/>
        </w:rPr>
        <w:t>per cent per</w:t>
      </w:r>
    </w:p>
    <w:p>
      <w:pPr>
        <w:ind w:left="3720"/>
        <w:spacing w:after="0" w:line="194" w:lineRule="auto"/>
        <w:rPr>
          <w:sz w:val="20"/>
          <w:szCs w:val="20"/>
          <w:color w:val="auto"/>
        </w:rPr>
      </w:pPr>
      <w:r>
        <w:rPr>
          <w:rFonts w:ascii="Arial" w:cs="Arial" w:eastAsia="Arial" w:hAnsi="Arial"/>
          <w:sz w:val="16"/>
          <w:szCs w:val="16"/>
          <w:color w:val="FF0000"/>
          <w:strike w:val="1"/>
        </w:rPr>
        <w:t>annum</w:t>
      </w:r>
    </w:p>
    <w:p>
      <w:pPr>
        <w:ind w:left="2160"/>
        <w:spacing w:after="0" w:line="230" w:lineRule="exact"/>
        <w:rPr>
          <w:sz w:val="20"/>
          <w:szCs w:val="20"/>
          <w:color w:val="auto"/>
        </w:rPr>
      </w:pPr>
      <w:r>
        <w:rPr>
          <w:rFonts w:ascii="Arial" w:cs="Arial" w:eastAsia="Arial" w:hAnsi="Arial"/>
          <w:sz w:val="20"/>
          <w:szCs w:val="20"/>
          <w:color w:val="FF0000"/>
          <w:strike w:val="1"/>
        </w:rPr>
        <w:t xml:space="preserve">100 </w:t>
      </w:r>
      <w:r>
        <w:rPr>
          <w:rFonts w:ascii="MS PGothic" w:cs="MS PGothic" w:eastAsia="MS PGothic" w:hAnsi="MS PGothic"/>
          <w:sz w:val="20"/>
          <w:szCs w:val="20"/>
          <w:color w:val="FF0000"/>
          <w:strike w:val="1"/>
        </w:rPr>
        <w:t>‑</w:t>
      </w:r>
      <w:r>
        <w:rPr>
          <w:rFonts w:ascii="Arial" w:cs="Arial" w:eastAsia="Arial" w:hAnsi="Arial"/>
          <w:sz w:val="20"/>
          <w:szCs w:val="20"/>
          <w:color w:val="FF0000"/>
          <w:strike w:val="1"/>
        </w:rPr>
        <w:t xml:space="preserve"> (A+C)</w:t>
      </w:r>
    </w:p>
    <w:p>
      <w:pPr>
        <w:spacing w:after="0" w:line="240" w:lineRule="exact"/>
        <w:rPr>
          <w:sz w:val="20"/>
          <w:szCs w:val="20"/>
          <w:color w:val="auto"/>
        </w:rPr>
      </w:pPr>
    </w:p>
    <w:p>
      <w:pPr>
        <w:ind w:left="660"/>
        <w:spacing w:after="0"/>
        <w:tabs>
          <w:tab w:leader="none" w:pos="1060" w:val="left"/>
        </w:tabs>
        <w:rPr>
          <w:sz w:val="20"/>
          <w:szCs w:val="20"/>
          <w:color w:val="auto"/>
        </w:rPr>
      </w:pPr>
      <w:r>
        <w:rPr>
          <w:rFonts w:ascii="Arial" w:cs="Arial" w:eastAsia="Arial" w:hAnsi="Arial"/>
          <w:sz w:val="20"/>
          <w:szCs w:val="20"/>
          <w:color w:val="FF0000"/>
          <w:strike w:val="1"/>
        </w:rPr>
        <w:t>(b)</w:t>
      </w:r>
      <w:r>
        <w:rPr>
          <w:sz w:val="20"/>
          <w:szCs w:val="20"/>
          <w:color w:val="auto"/>
        </w:rPr>
        <w:tab/>
      </w:r>
      <w:r>
        <w:rPr>
          <w:rFonts w:ascii="Arial" w:cs="Arial" w:eastAsia="Arial" w:hAnsi="Arial"/>
          <w:sz w:val="18"/>
          <w:szCs w:val="18"/>
          <w:color w:val="FF0000"/>
          <w:strike w:val="1"/>
        </w:rPr>
        <w:t>in relation to any Loan in any currency other than Sterling: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1351280</wp:posOffset>
            </wp:positionH>
            <wp:positionV relativeFrom="paragraph">
              <wp:posOffset>241935</wp:posOffset>
            </wp:positionV>
            <wp:extent cx="1835150" cy="3600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1835150" cy="360045"/>
                    </a:xfrm>
                    <a:prstGeom prst="rect">
                      <a:avLst/>
                    </a:prstGeom>
                    <a:noFill/>
                  </pic:spPr>
                </pic:pic>
              </a:graphicData>
            </a:graphic>
          </wp:anchor>
        </w:drawing>
      </w:r>
    </w:p>
    <w:p>
      <w:pPr>
        <w:spacing w:after="0" w:line="371" w:lineRule="exact"/>
        <w:rPr>
          <w:sz w:val="20"/>
          <w:szCs w:val="20"/>
          <w:color w:val="auto"/>
        </w:rPr>
      </w:pPr>
    </w:p>
    <w:tbl>
      <w:tblPr>
        <w:tblLayout w:type="fixed"/>
        <w:tblInd w:w="0" w:type="dxa"/>
        <w:tblCellMar>
          <w:top w:w="0" w:type="dxa"/>
          <w:left w:w="0" w:type="dxa"/>
          <w:bottom w:w="0" w:type="dxa"/>
          <w:right w:w="0" w:type="dxa"/>
        </w:tblCellMar>
      </w:tblPr>
      <w:tr>
        <w:trPr>
          <w:trHeight w:val="257"/>
        </w:trPr>
        <w:tc>
          <w:tcPr>
            <w:tcW w:w="1140" w:type="dxa"/>
            <w:vAlign w:val="bottom"/>
          </w:tcPr>
          <w:p>
            <w:pPr>
              <w:spacing w:after="0"/>
              <w:rPr>
                <w:sz w:val="22"/>
                <w:szCs w:val="22"/>
                <w:color w:val="auto"/>
              </w:rPr>
            </w:pPr>
          </w:p>
        </w:tc>
        <w:tc>
          <w:tcPr>
            <w:tcW w:w="2140" w:type="dxa"/>
            <w:vAlign w:val="bottom"/>
          </w:tcPr>
          <w:p>
            <w:pPr>
              <w:ind w:left="1020"/>
              <w:spacing w:after="0"/>
              <w:rPr>
                <w:sz w:val="20"/>
                <w:szCs w:val="20"/>
                <w:color w:val="auto"/>
              </w:rPr>
            </w:pPr>
            <w:r>
              <w:rPr>
                <w:rFonts w:ascii="Arial" w:cs="Arial" w:eastAsia="Arial" w:hAnsi="Arial"/>
                <w:sz w:val="20"/>
                <w:szCs w:val="20"/>
                <w:color w:val="FF0000"/>
                <w:strike w:val="1"/>
              </w:rPr>
              <w:t>E x 0.01</w:t>
            </w:r>
          </w:p>
        </w:tc>
        <w:tc>
          <w:tcPr>
            <w:tcW w:w="8080" w:type="dxa"/>
            <w:vAlign w:val="bottom"/>
          </w:tcPr>
          <w:p>
            <w:pPr>
              <w:ind w:left="440"/>
              <w:spacing w:after="0"/>
              <w:rPr>
                <w:sz w:val="20"/>
                <w:szCs w:val="20"/>
                <w:color w:val="auto"/>
              </w:rPr>
            </w:pPr>
            <w:r>
              <w:rPr>
                <w:rFonts w:ascii="Arial" w:cs="Arial" w:eastAsia="Arial" w:hAnsi="Arial"/>
                <w:sz w:val="20"/>
                <w:szCs w:val="20"/>
                <w:color w:val="FF0000"/>
                <w:strike w:val="1"/>
              </w:rPr>
              <w:t>per cent per</w:t>
            </w:r>
          </w:p>
        </w:tc>
      </w:tr>
      <w:tr>
        <w:trPr>
          <w:trHeight w:val="277"/>
        </w:trPr>
        <w:tc>
          <w:tcPr>
            <w:tcW w:w="1140" w:type="dxa"/>
            <w:vAlign w:val="bottom"/>
          </w:tcPr>
          <w:p>
            <w:pPr>
              <w:spacing w:after="0"/>
              <w:rPr>
                <w:sz w:val="24"/>
                <w:szCs w:val="24"/>
                <w:color w:val="auto"/>
              </w:rPr>
            </w:pPr>
          </w:p>
        </w:tc>
        <w:tc>
          <w:tcPr>
            <w:tcW w:w="2140" w:type="dxa"/>
            <w:vAlign w:val="bottom"/>
          </w:tcPr>
          <w:p>
            <w:pPr>
              <w:ind w:left="1020"/>
              <w:spacing w:after="0"/>
              <w:rPr>
                <w:sz w:val="20"/>
                <w:szCs w:val="20"/>
                <w:color w:val="auto"/>
              </w:rPr>
            </w:pPr>
            <w:r>
              <w:rPr>
                <w:rFonts w:ascii="Arial" w:cs="Arial" w:eastAsia="Arial" w:hAnsi="Arial"/>
                <w:sz w:val="20"/>
                <w:szCs w:val="20"/>
                <w:color w:val="FF0000"/>
                <w:strike w:val="1"/>
              </w:rPr>
              <w:t>300</w:t>
            </w:r>
          </w:p>
        </w:tc>
        <w:tc>
          <w:tcPr>
            <w:tcW w:w="8080" w:type="dxa"/>
            <w:vAlign w:val="bottom"/>
          </w:tcPr>
          <w:p>
            <w:pPr>
              <w:ind w:left="440"/>
              <w:spacing w:after="0"/>
              <w:rPr>
                <w:sz w:val="20"/>
                <w:szCs w:val="20"/>
                <w:color w:val="auto"/>
              </w:rPr>
            </w:pPr>
            <w:r>
              <w:rPr>
                <w:rFonts w:ascii="Arial" w:cs="Arial" w:eastAsia="Arial" w:hAnsi="Arial"/>
                <w:sz w:val="20"/>
                <w:szCs w:val="20"/>
                <w:color w:val="FF0000"/>
                <w:strike w:val="1"/>
              </w:rPr>
              <w:t>annum</w:t>
            </w:r>
          </w:p>
        </w:tc>
      </w:tr>
      <w:tr>
        <w:trPr>
          <w:trHeight w:val="257"/>
        </w:trPr>
        <w:tc>
          <w:tcPr>
            <w:tcW w:w="1140" w:type="dxa"/>
            <w:vAlign w:val="bottom"/>
          </w:tcPr>
          <w:p>
            <w:pPr>
              <w:spacing w:after="0"/>
              <w:rPr>
                <w:sz w:val="20"/>
                <w:szCs w:val="20"/>
                <w:color w:val="auto"/>
              </w:rPr>
            </w:pPr>
            <w:r>
              <w:rPr>
                <w:rFonts w:ascii="Arial" w:cs="Arial" w:eastAsia="Arial" w:hAnsi="Arial"/>
                <w:sz w:val="20"/>
                <w:szCs w:val="20"/>
                <w:color w:val="FF0000"/>
                <w:strike w:val="1"/>
              </w:rPr>
              <w:t>Where:</w:t>
            </w:r>
          </w:p>
        </w:tc>
        <w:tc>
          <w:tcPr>
            <w:tcW w:w="2140" w:type="dxa"/>
            <w:vAlign w:val="bottom"/>
          </w:tcPr>
          <w:p>
            <w:pPr>
              <w:spacing w:after="0"/>
              <w:rPr>
                <w:sz w:val="22"/>
                <w:szCs w:val="22"/>
                <w:color w:val="auto"/>
              </w:rPr>
            </w:pPr>
          </w:p>
        </w:tc>
        <w:tc>
          <w:tcPr>
            <w:tcW w:w="8080" w:type="dxa"/>
            <w:vAlign w:val="bottom"/>
          </w:tcPr>
          <w:p>
            <w:pPr>
              <w:spacing w:after="0"/>
              <w:rPr>
                <w:sz w:val="22"/>
                <w:szCs w:val="22"/>
                <w:color w:val="auto"/>
              </w:rPr>
            </w:pPr>
          </w:p>
        </w:tc>
      </w:tr>
      <w:tr>
        <w:trPr>
          <w:trHeight w:val="425"/>
        </w:trPr>
        <w:tc>
          <w:tcPr>
            <w:tcW w:w="1140" w:type="dxa"/>
            <w:vAlign w:val="bottom"/>
          </w:tcPr>
          <w:p>
            <w:pPr>
              <w:ind w:left="660"/>
              <w:spacing w:after="0"/>
              <w:rPr>
                <w:sz w:val="20"/>
                <w:szCs w:val="20"/>
                <w:color w:val="auto"/>
              </w:rPr>
            </w:pPr>
            <w:r>
              <w:rPr>
                <w:rFonts w:ascii="Arial" w:cs="Arial" w:eastAsia="Arial" w:hAnsi="Arial"/>
                <w:sz w:val="20"/>
                <w:szCs w:val="20"/>
                <w:color w:val="FF0000"/>
                <w:strike w:val="1"/>
              </w:rPr>
              <w:t>“A”</w:t>
            </w:r>
          </w:p>
        </w:tc>
        <w:tc>
          <w:tcPr>
            <w:tcW w:w="10220" w:type="dxa"/>
            <w:vAlign w:val="bottom"/>
            <w:gridSpan w:val="2"/>
          </w:tcPr>
          <w:p>
            <w:pPr>
              <w:ind w:left="160"/>
              <w:spacing w:after="0"/>
              <w:rPr>
                <w:sz w:val="20"/>
                <w:szCs w:val="20"/>
                <w:color w:val="auto"/>
              </w:rPr>
            </w:pPr>
            <w:r>
              <w:rPr>
                <w:rFonts w:ascii="Arial" w:cs="Arial" w:eastAsia="Arial" w:hAnsi="Arial"/>
                <w:sz w:val="20"/>
                <w:szCs w:val="20"/>
                <w:color w:val="FF0000"/>
                <w:strike w:val="1"/>
                <w:w w:val="90"/>
              </w:rPr>
              <w:t>is the percentage of Eligible Liabilities (assuming these to be in excess of any stated minimum) which that Lender is from time</w:t>
            </w:r>
          </w:p>
        </w:tc>
      </w:tr>
      <w:tr>
        <w:trPr>
          <w:trHeight w:val="230"/>
        </w:trPr>
        <w:tc>
          <w:tcPr>
            <w:tcW w:w="1140" w:type="dxa"/>
            <w:vAlign w:val="bottom"/>
          </w:tcPr>
          <w:p>
            <w:pPr>
              <w:spacing w:after="0"/>
              <w:rPr>
                <w:sz w:val="19"/>
                <w:szCs w:val="19"/>
                <w:color w:val="auto"/>
              </w:rPr>
            </w:pPr>
          </w:p>
        </w:tc>
        <w:tc>
          <w:tcPr>
            <w:tcW w:w="10220" w:type="dxa"/>
            <w:vAlign w:val="bottom"/>
            <w:gridSpan w:val="2"/>
          </w:tcPr>
          <w:p>
            <w:pPr>
              <w:ind w:left="160"/>
              <w:spacing w:after="0"/>
              <w:rPr>
                <w:sz w:val="20"/>
                <w:szCs w:val="20"/>
                <w:color w:val="auto"/>
              </w:rPr>
            </w:pPr>
            <w:r>
              <w:rPr>
                <w:rFonts w:ascii="Arial" w:cs="Arial" w:eastAsia="Arial" w:hAnsi="Arial"/>
                <w:sz w:val="20"/>
                <w:szCs w:val="20"/>
                <w:color w:val="FF0000"/>
                <w:strike w:val="1"/>
                <w:w w:val="98"/>
              </w:rPr>
              <w:t>to time required to maintain as an interest free cash ratio deposit with the Bank of England to comply with cash ratio</w:t>
            </w:r>
          </w:p>
        </w:tc>
      </w:tr>
      <w:tr>
        <w:trPr>
          <w:trHeight w:val="250"/>
        </w:trPr>
        <w:tc>
          <w:tcPr>
            <w:tcW w:w="1140" w:type="dxa"/>
            <w:vAlign w:val="bottom"/>
          </w:tcPr>
          <w:p>
            <w:pPr>
              <w:spacing w:after="0"/>
              <w:rPr>
                <w:sz w:val="21"/>
                <w:szCs w:val="21"/>
                <w:color w:val="auto"/>
              </w:rPr>
            </w:pPr>
          </w:p>
        </w:tc>
        <w:tc>
          <w:tcPr>
            <w:tcW w:w="2140" w:type="dxa"/>
            <w:vAlign w:val="bottom"/>
          </w:tcPr>
          <w:p>
            <w:pPr>
              <w:ind w:left="160"/>
              <w:spacing w:after="0"/>
              <w:rPr>
                <w:sz w:val="20"/>
                <w:szCs w:val="20"/>
                <w:color w:val="auto"/>
              </w:rPr>
            </w:pPr>
            <w:r>
              <w:rPr>
                <w:rFonts w:ascii="Arial" w:cs="Arial" w:eastAsia="Arial" w:hAnsi="Arial"/>
                <w:sz w:val="20"/>
                <w:szCs w:val="20"/>
                <w:color w:val="FF0000"/>
                <w:strike w:val="1"/>
              </w:rPr>
              <w:t>requirements.</w:t>
            </w:r>
          </w:p>
        </w:tc>
        <w:tc>
          <w:tcPr>
            <w:tcW w:w="8080" w:type="dxa"/>
            <w:vAlign w:val="bottom"/>
          </w:tcPr>
          <w:p>
            <w:pPr>
              <w:spacing w:after="0"/>
              <w:rPr>
                <w:sz w:val="21"/>
                <w:szCs w:val="21"/>
                <w:color w:val="auto"/>
              </w:rPr>
            </w:pPr>
          </w:p>
        </w:tc>
      </w:tr>
    </w:tbl>
    <w:p>
      <w:pPr>
        <w:sectPr>
          <w:pgSz w:w="11900" w:h="16838" w:orient="portrait"/>
          <w:cols w:equalWidth="0" w:num="1">
            <w:col w:w="11400"/>
          </w:cols>
          <w:pgMar w:left="240" w:top="366" w:right="259" w:bottom="1440" w:gutter="0" w:footer="0" w:header="0"/>
        </w:sectPr>
      </w:pPr>
    </w:p>
    <w:bookmarkStart w:id="259" w:name="page260"/>
    <w:bookmarkEnd w:id="259"/>
    <w:p>
      <w:pPr>
        <w:ind w:left="652"/>
        <w:spacing w:after="0"/>
        <w:rPr>
          <w:sz w:val="20"/>
          <w:szCs w:val="20"/>
          <w:color w:val="auto"/>
        </w:rPr>
      </w:pPr>
      <w:r>
        <w:rPr>
          <w:rFonts w:ascii="Arial" w:cs="Arial" w:eastAsia="Arial" w:hAnsi="Arial"/>
          <w:sz w:val="20"/>
          <w:szCs w:val="20"/>
          <w:color w:val="FF0000"/>
          <w:strike w:val="1"/>
        </w:rPr>
        <w:t>“B”</w:t>
      </w:r>
    </w:p>
    <w:p>
      <w:pPr>
        <w:spacing w:after="0" w:line="20" w:lineRule="exact"/>
        <w:rPr>
          <w:sz w:val="20"/>
          <w:szCs w:val="20"/>
          <w:color w:val="auto"/>
        </w:rPr>
      </w:pPr>
      <w:r>
        <w:rPr>
          <w:sz w:val="20"/>
          <w:szCs w:val="20"/>
          <w:color w:val="auto"/>
        </w:rPr>
        <w:br w:type="column"/>
      </w:r>
    </w:p>
    <w:p>
      <w:pPr>
        <w:ind w:right="20"/>
        <w:spacing w:after="0" w:line="246" w:lineRule="auto"/>
        <w:rPr>
          <w:sz w:val="20"/>
          <w:szCs w:val="20"/>
          <w:color w:val="auto"/>
        </w:rPr>
      </w:pPr>
      <w:r>
        <w:rPr>
          <w:rFonts w:ascii="Arial" w:cs="Arial" w:eastAsia="Arial" w:hAnsi="Arial"/>
          <w:sz w:val="20"/>
          <w:szCs w:val="20"/>
          <w:color w:val="FF0000"/>
          <w:strike w:val="1"/>
        </w:rPr>
        <w:t xml:space="preserve">is the percentage rate of interest (excluding the Applicable Percentage, the Mandatory Cost and any interest charged on overdue amounts pursuant to the first sentence of </w:t>
      </w:r>
      <w:r>
        <w:rPr>
          <w:rFonts w:ascii="Arial" w:cs="Arial" w:eastAsia="Arial" w:hAnsi="Arial"/>
          <w:sz w:val="20"/>
          <w:szCs w:val="20"/>
          <w:u w:val="single" w:color="auto"/>
          <w:color w:val="FF0000"/>
          <w:strike w:val="1"/>
        </w:rPr>
        <w:t>Section 2.08(b)</w:t>
      </w:r>
      <w:r>
        <w:rPr>
          <w:rFonts w:ascii="Arial" w:cs="Arial" w:eastAsia="Arial" w:hAnsi="Arial"/>
          <w:sz w:val="20"/>
          <w:szCs w:val="20"/>
          <w:color w:val="FF0000"/>
          <w:strike w:val="1"/>
        </w:rPr>
        <w:t xml:space="preserve"> and, in the case of interest (other than on overdue amounts) charged at the Default Rate, without counting any increase in interest rate effected by the charging of the Default Rate) payable for the relevant Interest Period of such Loan.</w:t>
      </w:r>
    </w:p>
    <w:p>
      <w:pPr>
        <w:spacing w:after="0" w:line="192" w:lineRule="exact"/>
        <w:rPr>
          <w:sz w:val="20"/>
          <w:szCs w:val="20"/>
          <w:color w:val="auto"/>
        </w:rPr>
      </w:pPr>
    </w:p>
    <w:p>
      <w:pPr>
        <w:sectPr>
          <w:pgSz w:w="11900" w:h="16838" w:orient="portrait"/>
          <w:cols w:equalWidth="0" w:num="2">
            <w:col w:w="952" w:space="340"/>
            <w:col w:w="10100"/>
          </w:cols>
          <w:pgMar w:left="248" w:top="366" w:right="259" w:bottom="1440" w:gutter="0" w:footer="0" w:header="0"/>
        </w:sectPr>
      </w:pPr>
    </w:p>
    <w:p>
      <w:pPr>
        <w:ind w:left="652"/>
        <w:spacing w:after="0"/>
        <w:rPr>
          <w:sz w:val="20"/>
          <w:szCs w:val="20"/>
          <w:color w:val="auto"/>
        </w:rPr>
      </w:pPr>
      <w:r>
        <w:rPr>
          <w:rFonts w:ascii="Arial" w:cs="Arial" w:eastAsia="Arial" w:hAnsi="Arial"/>
          <w:sz w:val="20"/>
          <w:szCs w:val="20"/>
          <w:color w:val="FF0000"/>
          <w:strike w:val="1"/>
        </w:rPr>
        <w:t>“C”</w:t>
      </w:r>
    </w:p>
    <w:p>
      <w:pPr>
        <w:spacing w:after="0" w:line="20" w:lineRule="exact"/>
        <w:rPr>
          <w:sz w:val="20"/>
          <w:szCs w:val="20"/>
          <w:color w:val="auto"/>
        </w:rPr>
      </w:pPr>
      <w:r>
        <w:rPr>
          <w:sz w:val="20"/>
          <w:szCs w:val="20"/>
          <w:color w:val="auto"/>
        </w:rPr>
        <w:br w:type="column"/>
      </w:r>
    </w:p>
    <w:p>
      <w:pPr>
        <w:ind w:right="140"/>
        <w:spacing w:after="0" w:line="260" w:lineRule="auto"/>
        <w:rPr>
          <w:sz w:val="20"/>
          <w:szCs w:val="20"/>
          <w:color w:val="auto"/>
        </w:rPr>
      </w:pPr>
      <w:r>
        <w:rPr>
          <w:rFonts w:ascii="Arial" w:cs="Arial" w:eastAsia="Arial" w:hAnsi="Arial"/>
          <w:sz w:val="20"/>
          <w:szCs w:val="20"/>
          <w:color w:val="FF0000"/>
          <w:strike w:val="1"/>
        </w:rPr>
        <w:t>is the percentage (if any) of Eligible Liabilities which that Lender is required from time to time to maintain as interest bearing Special Deposits with the Bank of England.</w:t>
      </w:r>
    </w:p>
    <w:p>
      <w:pPr>
        <w:spacing w:after="0" w:line="177" w:lineRule="exact"/>
        <w:rPr>
          <w:sz w:val="20"/>
          <w:szCs w:val="20"/>
          <w:color w:val="auto"/>
        </w:rPr>
      </w:pPr>
    </w:p>
    <w:p>
      <w:pPr>
        <w:sectPr>
          <w:pgSz w:w="11900" w:h="16838" w:orient="portrait"/>
          <w:cols w:equalWidth="0" w:num="2">
            <w:col w:w="952" w:space="340"/>
            <w:col w:w="10100"/>
          </w:cols>
          <w:pgMar w:left="248" w:top="366" w:right="259" w:bottom="1440" w:gutter="0" w:footer="0" w:header="0"/>
          <w:type w:val="continuous"/>
        </w:sectPr>
      </w:pPr>
    </w:p>
    <w:p>
      <w:pPr>
        <w:ind w:left="652"/>
        <w:spacing w:after="0"/>
        <w:rPr>
          <w:sz w:val="20"/>
          <w:szCs w:val="20"/>
          <w:color w:val="auto"/>
        </w:rPr>
      </w:pPr>
      <w:r>
        <w:rPr>
          <w:rFonts w:ascii="Arial" w:cs="Arial" w:eastAsia="Arial" w:hAnsi="Arial"/>
          <w:sz w:val="20"/>
          <w:szCs w:val="20"/>
          <w:color w:val="FF0000"/>
          <w:strike w:val="1"/>
        </w:rPr>
        <w:t>“D”</w:t>
      </w:r>
    </w:p>
    <w:p>
      <w:pPr>
        <w:spacing w:after="0" w:line="20" w:lineRule="exact"/>
        <w:rPr>
          <w:sz w:val="20"/>
          <w:szCs w:val="20"/>
          <w:color w:val="auto"/>
        </w:rPr>
      </w:pPr>
      <w:r>
        <w:rPr>
          <w:sz w:val="20"/>
          <w:szCs w:val="20"/>
          <w:color w:val="auto"/>
        </w:rPr>
        <w:br w:type="column"/>
      </w:r>
    </w:p>
    <w:p>
      <w:pPr>
        <w:ind w:right="520"/>
        <w:spacing w:after="0" w:line="260" w:lineRule="auto"/>
        <w:rPr>
          <w:sz w:val="20"/>
          <w:szCs w:val="20"/>
          <w:color w:val="auto"/>
        </w:rPr>
      </w:pPr>
      <w:r>
        <w:rPr>
          <w:rFonts w:ascii="Arial" w:cs="Arial" w:eastAsia="Arial" w:hAnsi="Arial"/>
          <w:sz w:val="20"/>
          <w:szCs w:val="20"/>
          <w:color w:val="FF0000"/>
          <w:strike w:val="1"/>
        </w:rPr>
        <w:t>is the percentage rate per annum payable by the Bank of England to the Administrative Agent on interest bearing Special Deposits.</w:t>
      </w:r>
    </w:p>
    <w:p>
      <w:pPr>
        <w:spacing w:after="0" w:line="177" w:lineRule="exact"/>
        <w:rPr>
          <w:sz w:val="20"/>
          <w:szCs w:val="20"/>
          <w:color w:val="auto"/>
        </w:rPr>
      </w:pPr>
    </w:p>
    <w:p>
      <w:pPr>
        <w:sectPr>
          <w:pgSz w:w="11900" w:h="16838" w:orient="portrait"/>
          <w:cols w:equalWidth="0" w:num="2">
            <w:col w:w="972" w:space="320"/>
            <w:col w:w="10100"/>
          </w:cols>
          <w:pgMar w:left="248" w:top="366" w:right="259" w:bottom="1440" w:gutter="0" w:footer="0" w:header="0"/>
          <w:type w:val="continuous"/>
        </w:sectPr>
      </w:pPr>
    </w:p>
    <w:p>
      <w:pPr>
        <w:ind w:left="652"/>
        <w:spacing w:after="0"/>
        <w:rPr>
          <w:sz w:val="20"/>
          <w:szCs w:val="20"/>
          <w:color w:val="auto"/>
        </w:rPr>
      </w:pPr>
      <w:r>
        <w:rPr>
          <w:rFonts w:ascii="Arial" w:cs="Arial" w:eastAsia="Arial" w:hAnsi="Arial"/>
          <w:sz w:val="20"/>
          <w:szCs w:val="20"/>
          <w:color w:val="FF0000"/>
          <w:strike w:val="1"/>
        </w:rPr>
        <w:t>“E”</w:t>
      </w:r>
    </w:p>
    <w:p>
      <w:pPr>
        <w:spacing w:after="0" w:line="20" w:lineRule="exact"/>
        <w:rPr>
          <w:sz w:val="20"/>
          <w:szCs w:val="20"/>
          <w:color w:val="auto"/>
        </w:rPr>
      </w:pPr>
      <w:r>
        <w:rPr>
          <w:sz w:val="20"/>
          <w:szCs w:val="20"/>
          <w:color w:val="auto"/>
        </w:rPr>
        <w:br w:type="column"/>
      </w:r>
    </w:p>
    <w:p>
      <w:pPr>
        <w:ind w:right="120"/>
        <w:spacing w:after="0" w:line="250" w:lineRule="auto"/>
        <w:rPr>
          <w:sz w:val="20"/>
          <w:szCs w:val="20"/>
          <w:color w:val="auto"/>
        </w:rPr>
      </w:pPr>
      <w:r>
        <w:rPr>
          <w:rFonts w:ascii="Arial" w:cs="Arial" w:eastAsia="Arial" w:hAnsi="Arial"/>
          <w:sz w:val="20"/>
          <w:szCs w:val="20"/>
          <w:color w:val="FF0000"/>
          <w:strike w:val="1"/>
        </w:rPr>
        <w:t xml:space="preserve">is designed to compensate Lenders for amounts payable under the Fees Regulations and is calculated by the Administrative Agent as being the average of the most recent rates of charge supplied by the Lenders to the Administrative Agent pursuant to </w:t>
      </w:r>
      <w:r>
        <w:rPr>
          <w:rFonts w:ascii="Arial" w:cs="Arial" w:eastAsia="Arial" w:hAnsi="Arial"/>
          <w:sz w:val="20"/>
          <w:szCs w:val="20"/>
          <w:u w:val="single" w:color="auto"/>
          <w:color w:val="FF0000"/>
          <w:strike w:val="1"/>
        </w:rPr>
        <w:t xml:space="preserve">paragraph 7 </w:t>
      </w:r>
      <w:r>
        <w:rPr>
          <w:rFonts w:ascii="Arial" w:cs="Arial" w:eastAsia="Arial" w:hAnsi="Arial"/>
          <w:sz w:val="20"/>
          <w:szCs w:val="20"/>
          <w:color w:val="FF0000"/>
          <w:strike w:val="1"/>
        </w:rPr>
        <w:t>below and expressed in pounds per £1,000,000.</w:t>
      </w:r>
    </w:p>
    <w:p>
      <w:pPr>
        <w:spacing w:after="0" w:line="186" w:lineRule="exact"/>
        <w:rPr>
          <w:sz w:val="20"/>
          <w:szCs w:val="20"/>
          <w:color w:val="auto"/>
        </w:rPr>
      </w:pPr>
    </w:p>
    <w:p>
      <w:pPr>
        <w:sectPr>
          <w:pgSz w:w="11900" w:h="16838" w:orient="portrait"/>
          <w:cols w:equalWidth="0" w:num="2">
            <w:col w:w="952" w:space="340"/>
            <w:col w:w="10100"/>
          </w:cols>
          <w:pgMar w:left="248" w:top="366" w:right="259" w:bottom="1440" w:gutter="0" w:footer="0" w:header="0"/>
          <w:type w:val="continuous"/>
        </w:sectPr>
      </w:pPr>
    </w:p>
    <w:p>
      <w:pPr>
        <w:ind w:left="352" w:hanging="352"/>
        <w:spacing w:after="0"/>
        <w:tabs>
          <w:tab w:leader="none" w:pos="352" w:val="left"/>
        </w:tabs>
        <w:numPr>
          <w:ilvl w:val="0"/>
          <w:numId w:val="287"/>
        </w:numPr>
        <w:rPr>
          <w:rFonts w:ascii="Arial" w:cs="Arial" w:eastAsia="Arial" w:hAnsi="Arial"/>
          <w:sz w:val="20"/>
          <w:szCs w:val="20"/>
          <w:color w:val="FF0000"/>
          <w:strike w:val="1"/>
        </w:rPr>
      </w:pPr>
      <w:r>
        <w:rPr>
          <w:rFonts w:ascii="Arial" w:cs="Arial" w:eastAsia="Arial" w:hAnsi="Arial"/>
          <w:sz w:val="20"/>
          <w:szCs w:val="20"/>
          <w:color w:val="FF0000"/>
          <w:strike w:val="1"/>
        </w:rPr>
        <w:t>For the purposes of this Schedule:</w:t>
      </w:r>
    </w:p>
    <w:p>
      <w:pPr>
        <w:spacing w:after="0" w:line="215" w:lineRule="exact"/>
        <w:rPr>
          <w:rFonts w:ascii="Arial" w:cs="Arial" w:eastAsia="Arial" w:hAnsi="Arial"/>
          <w:sz w:val="20"/>
          <w:szCs w:val="20"/>
          <w:color w:val="FF0000"/>
          <w:strike w:val="1"/>
        </w:rPr>
      </w:pPr>
    </w:p>
    <w:p>
      <w:pPr>
        <w:ind w:left="1292" w:right="40" w:hanging="644"/>
        <w:spacing w:after="0" w:line="260" w:lineRule="auto"/>
        <w:tabs>
          <w:tab w:leader="none" w:pos="1292" w:val="left"/>
        </w:tabs>
        <w:numPr>
          <w:ilvl w:val="1"/>
          <w:numId w:val="287"/>
        </w:numPr>
        <w:rPr>
          <w:rFonts w:ascii="Arial" w:cs="Arial" w:eastAsia="Arial" w:hAnsi="Arial"/>
          <w:sz w:val="20"/>
          <w:szCs w:val="20"/>
          <w:color w:val="FF0000"/>
          <w:strike w:val="1"/>
        </w:rPr>
      </w:pPr>
      <w:r>
        <w:rPr>
          <w:rFonts w:ascii="Arial" w:cs="Arial" w:eastAsia="Arial" w:hAnsi="Arial"/>
          <w:sz w:val="20"/>
          <w:szCs w:val="20"/>
          <w:color w:val="FF0000"/>
          <w:strike w:val="1"/>
        </w:rPr>
        <w:t>“</w:t>
      </w:r>
      <w:r>
        <w:rPr>
          <w:rFonts w:ascii="Arial" w:cs="Arial" w:eastAsia="Arial" w:hAnsi="Arial"/>
          <w:sz w:val="20"/>
          <w:szCs w:val="20"/>
          <w:u w:val="single" w:color="auto"/>
          <w:color w:val="FF0000"/>
          <w:strike w:val="1"/>
        </w:rPr>
        <w:t>Eligible Liabilities</w:t>
      </w:r>
      <w:r>
        <w:rPr>
          <w:rFonts w:ascii="Arial" w:cs="Arial" w:eastAsia="Arial" w:hAnsi="Arial"/>
          <w:sz w:val="20"/>
          <w:szCs w:val="20"/>
          <w:color w:val="FF0000"/>
          <w:strike w:val="1"/>
        </w:rPr>
        <w:t>” and “</w:t>
      </w:r>
      <w:r>
        <w:rPr>
          <w:rFonts w:ascii="Arial" w:cs="Arial" w:eastAsia="Arial" w:hAnsi="Arial"/>
          <w:sz w:val="20"/>
          <w:szCs w:val="20"/>
          <w:u w:val="single" w:color="auto"/>
          <w:color w:val="FF0000"/>
          <w:strike w:val="1"/>
        </w:rPr>
        <w:t>Special Deposits</w:t>
      </w:r>
      <w:r>
        <w:rPr>
          <w:rFonts w:ascii="Arial" w:cs="Arial" w:eastAsia="Arial" w:hAnsi="Arial"/>
          <w:sz w:val="20"/>
          <w:szCs w:val="20"/>
          <w:color w:val="FF0000"/>
          <w:strike w:val="1"/>
        </w:rPr>
        <w:t>” have the meanings given to them from time to time under or pursuant to the Bank of England Act 1998 or (as may be appropriate) by the Bank of England;</w:t>
      </w:r>
    </w:p>
    <w:p>
      <w:pPr>
        <w:spacing w:after="0" w:line="176" w:lineRule="exact"/>
        <w:rPr>
          <w:rFonts w:ascii="Arial" w:cs="Arial" w:eastAsia="Arial" w:hAnsi="Arial"/>
          <w:sz w:val="20"/>
          <w:szCs w:val="20"/>
          <w:color w:val="FF0000"/>
          <w:strike w:val="1"/>
        </w:rPr>
      </w:pPr>
    </w:p>
    <w:p>
      <w:pPr>
        <w:ind w:left="1292" w:right="20" w:hanging="644"/>
        <w:spacing w:after="0" w:line="260" w:lineRule="auto"/>
        <w:tabs>
          <w:tab w:leader="none" w:pos="1292" w:val="left"/>
        </w:tabs>
        <w:numPr>
          <w:ilvl w:val="1"/>
          <w:numId w:val="287"/>
        </w:numPr>
        <w:rPr>
          <w:rFonts w:ascii="Arial" w:cs="Arial" w:eastAsia="Arial" w:hAnsi="Arial"/>
          <w:sz w:val="20"/>
          <w:szCs w:val="20"/>
          <w:color w:val="FF0000"/>
          <w:strike w:val="1"/>
        </w:rPr>
      </w:pPr>
      <w:r>
        <w:rPr>
          <w:rFonts w:ascii="Arial" w:cs="Arial" w:eastAsia="Arial" w:hAnsi="Arial"/>
          <w:sz w:val="20"/>
          <w:szCs w:val="20"/>
          <w:color w:val="FF0000"/>
          <w:strike w:val="1"/>
        </w:rPr>
        <w:t>“</w:t>
      </w:r>
      <w:r>
        <w:rPr>
          <w:rFonts w:ascii="Arial" w:cs="Arial" w:eastAsia="Arial" w:hAnsi="Arial"/>
          <w:sz w:val="20"/>
          <w:szCs w:val="20"/>
          <w:u w:val="single" w:color="auto"/>
          <w:color w:val="FF0000"/>
          <w:strike w:val="1"/>
        </w:rPr>
        <w:t>Fees Regulations</w:t>
      </w:r>
      <w:r>
        <w:rPr>
          <w:rFonts w:ascii="Arial" w:cs="Arial" w:eastAsia="Arial" w:hAnsi="Arial"/>
          <w:sz w:val="20"/>
          <w:szCs w:val="20"/>
          <w:color w:val="FF0000"/>
          <w:strike w:val="1"/>
        </w:rPr>
        <w:t>” means the FSA Supervision Manual or such other law or regulation as may be in force from time to time in respect of the payment of fees for the acceptance of deposits;</w:t>
      </w:r>
    </w:p>
    <w:p>
      <w:pPr>
        <w:spacing w:after="0" w:line="176" w:lineRule="exact"/>
        <w:rPr>
          <w:rFonts w:ascii="Arial" w:cs="Arial" w:eastAsia="Arial" w:hAnsi="Arial"/>
          <w:sz w:val="20"/>
          <w:szCs w:val="20"/>
          <w:color w:val="FF0000"/>
          <w:strike w:val="1"/>
        </w:rPr>
      </w:pPr>
    </w:p>
    <w:p>
      <w:pPr>
        <w:jc w:val="both"/>
        <w:ind w:left="1292" w:right="200" w:hanging="644"/>
        <w:spacing w:after="0" w:line="250" w:lineRule="auto"/>
        <w:tabs>
          <w:tab w:leader="none" w:pos="1292" w:val="left"/>
        </w:tabs>
        <w:numPr>
          <w:ilvl w:val="1"/>
          <w:numId w:val="287"/>
        </w:numPr>
        <w:rPr>
          <w:rFonts w:ascii="Arial" w:cs="Arial" w:eastAsia="Arial" w:hAnsi="Arial"/>
          <w:sz w:val="20"/>
          <w:szCs w:val="20"/>
          <w:color w:val="FF0000"/>
          <w:strike w:val="1"/>
        </w:rPr>
      </w:pPr>
      <w:r>
        <w:rPr>
          <w:rFonts w:ascii="Arial" w:cs="Arial" w:eastAsia="Arial" w:hAnsi="Arial"/>
          <w:sz w:val="20"/>
          <w:szCs w:val="20"/>
          <w:color w:val="FF0000"/>
          <w:strike w:val="1"/>
        </w:rPr>
        <w:t>“</w:t>
      </w:r>
      <w:r>
        <w:rPr>
          <w:rFonts w:ascii="Arial" w:cs="Arial" w:eastAsia="Arial" w:hAnsi="Arial"/>
          <w:sz w:val="20"/>
          <w:szCs w:val="20"/>
          <w:u w:val="single" w:color="auto"/>
          <w:color w:val="FF0000"/>
          <w:strike w:val="1"/>
        </w:rPr>
        <w:t>Fee Tariffs</w:t>
      </w:r>
      <w:r>
        <w:rPr>
          <w:rFonts w:ascii="Arial" w:cs="Arial" w:eastAsia="Arial" w:hAnsi="Arial"/>
          <w:sz w:val="20"/>
          <w:szCs w:val="20"/>
          <w:color w:val="FF0000"/>
          <w:strike w:val="1"/>
        </w:rPr>
        <w:t>” means the fee tariffs specified in the Fees Regulations under the activity group A.1 Deposit acceptors (ignoring any minimum fee or zero rated fee required pursuant to the Fees Regulations but taking into account any applicable discount rate); and</w:t>
      </w:r>
    </w:p>
    <w:p>
      <w:pPr>
        <w:spacing w:after="0" w:line="186" w:lineRule="exact"/>
        <w:rPr>
          <w:rFonts w:ascii="Arial" w:cs="Arial" w:eastAsia="Arial" w:hAnsi="Arial"/>
          <w:sz w:val="20"/>
          <w:szCs w:val="20"/>
          <w:color w:val="FF0000"/>
          <w:strike w:val="1"/>
        </w:rPr>
      </w:pPr>
    </w:p>
    <w:p>
      <w:pPr>
        <w:ind w:left="1292" w:hanging="644"/>
        <w:spacing w:after="0"/>
        <w:tabs>
          <w:tab w:leader="none" w:pos="1292" w:val="left"/>
        </w:tabs>
        <w:numPr>
          <w:ilvl w:val="1"/>
          <w:numId w:val="287"/>
        </w:numPr>
        <w:rPr>
          <w:rFonts w:ascii="Arial" w:cs="Arial" w:eastAsia="Arial" w:hAnsi="Arial"/>
          <w:sz w:val="20"/>
          <w:szCs w:val="20"/>
          <w:color w:val="FF0000"/>
          <w:strike w:val="1"/>
        </w:rPr>
      </w:pPr>
      <w:r>
        <w:rPr>
          <w:rFonts w:ascii="Arial" w:cs="Arial" w:eastAsia="Arial" w:hAnsi="Arial"/>
          <w:sz w:val="20"/>
          <w:szCs w:val="20"/>
          <w:color w:val="FF0000"/>
          <w:strike w:val="1"/>
        </w:rPr>
        <w:t>“</w:t>
      </w:r>
      <w:r>
        <w:rPr>
          <w:rFonts w:ascii="Arial" w:cs="Arial" w:eastAsia="Arial" w:hAnsi="Arial"/>
          <w:sz w:val="20"/>
          <w:szCs w:val="20"/>
          <w:u w:val="single" w:color="auto"/>
          <w:color w:val="FF0000"/>
          <w:strike w:val="1"/>
        </w:rPr>
        <w:t>Tariff Base</w:t>
      </w:r>
      <w:r>
        <w:rPr>
          <w:rFonts w:ascii="Arial" w:cs="Arial" w:eastAsia="Arial" w:hAnsi="Arial"/>
          <w:sz w:val="20"/>
          <w:szCs w:val="20"/>
          <w:color w:val="FF0000"/>
          <w:strike w:val="1"/>
        </w:rPr>
        <w:t>” has the meaning given to it in, and will be calculated in accordance with, the Fees Regulations.</w:t>
      </w:r>
    </w:p>
    <w:p>
      <w:pPr>
        <w:spacing w:after="0" w:line="215" w:lineRule="exact"/>
        <w:rPr>
          <w:rFonts w:ascii="Arial" w:cs="Arial" w:eastAsia="Arial" w:hAnsi="Arial"/>
          <w:sz w:val="20"/>
          <w:szCs w:val="20"/>
          <w:color w:val="FF0000"/>
          <w:strike w:val="1"/>
        </w:rPr>
      </w:pPr>
    </w:p>
    <w:p>
      <w:pPr>
        <w:ind w:left="652" w:right="120" w:hanging="652"/>
        <w:spacing w:after="0" w:line="250" w:lineRule="auto"/>
        <w:tabs>
          <w:tab w:leader="none" w:pos="652" w:val="left"/>
        </w:tabs>
        <w:numPr>
          <w:ilvl w:val="0"/>
          <w:numId w:val="287"/>
        </w:numPr>
        <w:rPr>
          <w:rFonts w:ascii="Arial" w:cs="Arial" w:eastAsia="Arial" w:hAnsi="Arial"/>
          <w:sz w:val="20"/>
          <w:szCs w:val="20"/>
          <w:color w:val="FF0000"/>
          <w:strike w:val="1"/>
        </w:rPr>
      </w:pPr>
      <w:r>
        <w:rPr>
          <w:rFonts w:ascii="Arial" w:cs="Arial" w:eastAsia="Arial" w:hAnsi="Arial"/>
          <w:sz w:val="20"/>
          <w:szCs w:val="20"/>
          <w:color w:val="FF0000"/>
          <w:strike w:val="1"/>
        </w:rPr>
        <w:t>In application of the above formulae, A, B, C and D will be included in the formulae as percentages (i.e. 5% will be included in the formula as 5 and not as 0.05). A negative result obtained by subtracting D from B shall be taken as zero. The resulting figures shall be rounded to four decimal places.</w:t>
      </w:r>
    </w:p>
    <w:p>
      <w:pPr>
        <w:spacing w:after="0" w:line="186" w:lineRule="exact"/>
        <w:rPr>
          <w:rFonts w:ascii="Arial" w:cs="Arial" w:eastAsia="Arial" w:hAnsi="Arial"/>
          <w:sz w:val="20"/>
          <w:szCs w:val="20"/>
          <w:color w:val="FF0000"/>
          <w:strike w:val="1"/>
        </w:rPr>
      </w:pPr>
    </w:p>
    <w:p>
      <w:pPr>
        <w:ind w:left="652" w:right="20" w:hanging="652"/>
        <w:spacing w:after="0" w:line="243" w:lineRule="auto"/>
        <w:tabs>
          <w:tab w:leader="none" w:pos="652" w:val="left"/>
        </w:tabs>
        <w:numPr>
          <w:ilvl w:val="0"/>
          <w:numId w:val="287"/>
        </w:numPr>
        <w:rPr>
          <w:rFonts w:ascii="Arial" w:cs="Arial" w:eastAsia="Arial" w:hAnsi="Arial"/>
          <w:sz w:val="20"/>
          <w:szCs w:val="20"/>
          <w:color w:val="FF0000"/>
          <w:strike w:val="1"/>
        </w:rPr>
      </w:pPr>
      <w:r>
        <w:rPr>
          <w:rFonts w:ascii="Arial" w:cs="Arial" w:eastAsia="Arial" w:hAnsi="Arial"/>
          <w:sz w:val="20"/>
          <w:szCs w:val="20"/>
          <w:color w:val="FF0000"/>
          <w:strike w:val="1"/>
        </w:rPr>
        <w:t>If requested by the Administrative Agent or the Company, each Lender with a Lending Office in the United Kingdom or a Participating Member State shall, as soon as practicable after publication by the Financial Services Authority, supply to the Administrative Agent and the Borrowers, the rate of charge payable by such Lender to the Financial Services Authority pursuant to the Fees Regulations in respect of the relevant financial year of the Financial Services Authority (calculated for this purpose by such Lender as being the average of the Fee Tariffs applicable to such Lender for that financial year) and expressed in pounds per £1,000,000 of the Tariff Base of such Lender.</w:t>
      </w:r>
    </w:p>
    <w:p>
      <w:pPr>
        <w:spacing w:after="0" w:line="196" w:lineRule="exact"/>
        <w:rPr>
          <w:rFonts w:ascii="Arial" w:cs="Arial" w:eastAsia="Arial" w:hAnsi="Arial"/>
          <w:sz w:val="20"/>
          <w:szCs w:val="20"/>
          <w:color w:val="FF0000"/>
          <w:strike w:val="1"/>
        </w:rPr>
      </w:pPr>
    </w:p>
    <w:p>
      <w:pPr>
        <w:ind w:left="652" w:right="20" w:hanging="652"/>
        <w:spacing w:after="0" w:line="250" w:lineRule="auto"/>
        <w:tabs>
          <w:tab w:leader="none" w:pos="652" w:val="left"/>
        </w:tabs>
        <w:numPr>
          <w:ilvl w:val="0"/>
          <w:numId w:val="287"/>
        </w:numPr>
        <w:rPr>
          <w:rFonts w:ascii="Arial" w:cs="Arial" w:eastAsia="Arial" w:hAnsi="Arial"/>
          <w:sz w:val="20"/>
          <w:szCs w:val="20"/>
          <w:color w:val="FF0000"/>
          <w:strike w:val="1"/>
        </w:rPr>
      </w:pPr>
      <w:r>
        <w:rPr>
          <w:rFonts w:ascii="Arial" w:cs="Arial" w:eastAsia="Arial" w:hAnsi="Arial"/>
          <w:sz w:val="20"/>
          <w:szCs w:val="20"/>
          <w:color w:val="FF0000"/>
          <w:strike w:val="1"/>
        </w:rPr>
        <w:t>Each Lender shall supply any information required by the Administrative Agent for the purpose of calculating its Additional Cost Rate. In particular, but without limitation, each Lender shall supply the following information in writing on or prior to the date on which it becomes a Lender:</w:t>
      </w:r>
    </w:p>
    <w:p>
      <w:pPr>
        <w:spacing w:after="0" w:line="186" w:lineRule="exact"/>
        <w:rPr>
          <w:rFonts w:ascii="Arial" w:cs="Arial" w:eastAsia="Arial" w:hAnsi="Arial"/>
          <w:sz w:val="20"/>
          <w:szCs w:val="20"/>
          <w:color w:val="FF0000"/>
          <w:strike w:val="1"/>
        </w:rPr>
      </w:pPr>
    </w:p>
    <w:p>
      <w:pPr>
        <w:ind w:left="1292" w:hanging="644"/>
        <w:spacing w:after="0" w:line="260" w:lineRule="auto"/>
        <w:tabs>
          <w:tab w:leader="none" w:pos="1292" w:val="left"/>
        </w:tabs>
        <w:numPr>
          <w:ilvl w:val="1"/>
          <w:numId w:val="287"/>
        </w:numPr>
        <w:rPr>
          <w:rFonts w:ascii="Arial" w:cs="Arial" w:eastAsia="Arial" w:hAnsi="Arial"/>
          <w:sz w:val="20"/>
          <w:szCs w:val="20"/>
          <w:color w:val="FF0000"/>
          <w:strike w:val="1"/>
        </w:rPr>
      </w:pPr>
      <w:r>
        <w:rPr>
          <w:rFonts w:ascii="Arial" w:cs="Arial" w:eastAsia="Arial" w:hAnsi="Arial"/>
          <w:sz w:val="20"/>
          <w:szCs w:val="20"/>
          <w:color w:val="FF0000"/>
          <w:strike w:val="1"/>
        </w:rPr>
        <w:t>its jurisdiction of incorporation and the jurisdiction of the Lending Office out of which it is making available its participation in the relevant Loan; and</w:t>
      </w:r>
    </w:p>
    <w:p>
      <w:pPr>
        <w:sectPr>
          <w:pgSz w:w="11900" w:h="16838" w:orient="portrait"/>
          <w:cols w:equalWidth="0" w:num="1">
            <w:col w:w="11392"/>
          </w:cols>
          <w:pgMar w:left="248" w:top="366" w:right="259" w:bottom="1440" w:gutter="0" w:footer="0" w:header="0"/>
          <w:type w:val="continuous"/>
        </w:sectPr>
      </w:pPr>
    </w:p>
    <w:bookmarkStart w:id="260" w:name="page261"/>
    <w:bookmarkEnd w:id="260"/>
    <w:p>
      <w:pPr>
        <w:ind w:left="1300" w:hanging="644"/>
        <w:spacing w:after="0"/>
        <w:tabs>
          <w:tab w:leader="none" w:pos="1300" w:val="left"/>
        </w:tabs>
        <w:numPr>
          <w:ilvl w:val="0"/>
          <w:numId w:val="288"/>
        </w:numPr>
        <w:rPr>
          <w:rFonts w:ascii="Arial" w:cs="Arial" w:eastAsia="Arial" w:hAnsi="Arial"/>
          <w:sz w:val="20"/>
          <w:szCs w:val="20"/>
          <w:color w:val="FF0000"/>
          <w:strike w:val="1"/>
        </w:rPr>
      </w:pPr>
      <w:r>
        <w:rPr>
          <w:rFonts w:ascii="Arial" w:cs="Arial" w:eastAsia="Arial" w:hAnsi="Arial"/>
          <w:sz w:val="20"/>
          <w:szCs w:val="20"/>
          <w:color w:val="FF0000"/>
          <w:strike w:val="1"/>
        </w:rPr>
        <w:t>any other information that the Administrative Agent may reasonably require for such purpose.</w:t>
      </w:r>
    </w:p>
    <w:p>
      <w:pPr>
        <w:spacing w:after="0" w:line="216" w:lineRule="exact"/>
        <w:rPr>
          <w:sz w:val="20"/>
          <w:szCs w:val="20"/>
          <w:color w:val="auto"/>
        </w:rPr>
      </w:pPr>
    </w:p>
    <w:p>
      <w:pPr>
        <w:ind w:right="740"/>
        <w:spacing w:after="0" w:line="260" w:lineRule="auto"/>
        <w:rPr>
          <w:sz w:val="20"/>
          <w:szCs w:val="20"/>
          <w:color w:val="auto"/>
        </w:rPr>
      </w:pPr>
      <w:r>
        <w:rPr>
          <w:rFonts w:ascii="Arial" w:cs="Arial" w:eastAsia="Arial" w:hAnsi="Arial"/>
          <w:sz w:val="20"/>
          <w:szCs w:val="20"/>
          <w:color w:val="FF0000"/>
          <w:strike w:val="1"/>
        </w:rPr>
        <w:t>Each Lender shall promptly notify the Administrative Agent in writing of any change to the information provided by it pursuant to this paragraph.</w:t>
      </w:r>
    </w:p>
    <w:p>
      <w:pPr>
        <w:spacing w:after="0" w:line="177" w:lineRule="exact"/>
        <w:rPr>
          <w:sz w:val="20"/>
          <w:szCs w:val="20"/>
          <w:color w:val="auto"/>
        </w:rPr>
      </w:pPr>
    </w:p>
    <w:p>
      <w:pPr>
        <w:ind w:left="660" w:right="160" w:hanging="652"/>
        <w:spacing w:after="0" w:line="244" w:lineRule="auto"/>
        <w:tabs>
          <w:tab w:leader="none" w:pos="660" w:val="left"/>
        </w:tabs>
        <w:numPr>
          <w:ilvl w:val="0"/>
          <w:numId w:val="289"/>
        </w:numPr>
        <w:rPr>
          <w:rFonts w:ascii="Arial" w:cs="Arial" w:eastAsia="Arial" w:hAnsi="Arial"/>
          <w:sz w:val="20"/>
          <w:szCs w:val="20"/>
          <w:color w:val="FF0000"/>
          <w:strike w:val="1"/>
        </w:rPr>
      </w:pPr>
      <w:r>
        <w:rPr>
          <w:rFonts w:ascii="Arial" w:cs="Arial" w:eastAsia="Arial" w:hAnsi="Arial"/>
          <w:sz w:val="20"/>
          <w:szCs w:val="20"/>
          <w:color w:val="FF0000"/>
          <w:strike w:val="1"/>
        </w:rPr>
        <w:t xml:space="preserve">The percentages or rates of charge of each Lender for the purpose of </w:t>
      </w:r>
      <w:r>
        <w:rPr>
          <w:rFonts w:ascii="Arial" w:cs="Arial" w:eastAsia="Arial" w:hAnsi="Arial"/>
          <w:sz w:val="20"/>
          <w:szCs w:val="20"/>
          <w:u w:val="single" w:color="auto"/>
          <w:color w:val="FF0000"/>
          <w:strike w:val="1"/>
        </w:rPr>
        <w:t>A</w:t>
      </w:r>
      <w:r>
        <w:rPr>
          <w:rFonts w:ascii="Arial" w:cs="Arial" w:eastAsia="Arial" w:hAnsi="Arial"/>
          <w:sz w:val="20"/>
          <w:szCs w:val="20"/>
          <w:color w:val="FF0000"/>
          <w:strike w:val="1"/>
        </w:rPr>
        <w:t xml:space="preserve">, </w:t>
      </w:r>
      <w:r>
        <w:rPr>
          <w:rFonts w:ascii="Arial" w:cs="Arial" w:eastAsia="Arial" w:hAnsi="Arial"/>
          <w:sz w:val="20"/>
          <w:szCs w:val="20"/>
          <w:u w:val="single" w:color="auto"/>
          <w:color w:val="FF0000"/>
          <w:strike w:val="1"/>
        </w:rPr>
        <w:t>C</w:t>
      </w:r>
      <w:r>
        <w:rPr>
          <w:rFonts w:ascii="Arial" w:cs="Arial" w:eastAsia="Arial" w:hAnsi="Arial"/>
          <w:sz w:val="20"/>
          <w:szCs w:val="20"/>
          <w:color w:val="FF0000"/>
          <w:strike w:val="1"/>
        </w:rPr>
        <w:t xml:space="preserve"> and </w:t>
      </w:r>
      <w:r>
        <w:rPr>
          <w:rFonts w:ascii="Arial" w:cs="Arial" w:eastAsia="Arial" w:hAnsi="Arial"/>
          <w:sz w:val="20"/>
          <w:szCs w:val="20"/>
          <w:u w:val="single" w:color="auto"/>
          <w:color w:val="FF0000"/>
          <w:strike w:val="1"/>
        </w:rPr>
        <w:t>E</w:t>
      </w:r>
      <w:r>
        <w:rPr>
          <w:rFonts w:ascii="Arial" w:cs="Arial" w:eastAsia="Arial" w:hAnsi="Arial"/>
          <w:sz w:val="20"/>
          <w:szCs w:val="20"/>
          <w:color w:val="FF0000"/>
          <w:strike w:val="1"/>
        </w:rPr>
        <w:t xml:space="preserve"> above shall be determined by the Administrative Agent based upon the information supplied to it pursuant to </w:t>
      </w:r>
      <w:r>
        <w:rPr>
          <w:rFonts w:ascii="Arial" w:cs="Arial" w:eastAsia="Arial" w:hAnsi="Arial"/>
          <w:sz w:val="20"/>
          <w:szCs w:val="20"/>
          <w:u w:val="single" w:color="auto"/>
          <w:color w:val="FF0000"/>
          <w:strike w:val="1"/>
        </w:rPr>
        <w:t>paragraphs 7</w:t>
      </w:r>
      <w:r>
        <w:rPr>
          <w:rFonts w:ascii="Arial" w:cs="Arial" w:eastAsia="Arial" w:hAnsi="Arial"/>
          <w:sz w:val="20"/>
          <w:szCs w:val="20"/>
          <w:color w:val="FF0000"/>
          <w:strike w:val="1"/>
        </w:rPr>
        <w:t xml:space="preserve"> and </w:t>
      </w:r>
      <w:r>
        <w:rPr>
          <w:rFonts w:ascii="Arial" w:cs="Arial" w:eastAsia="Arial" w:hAnsi="Arial"/>
          <w:sz w:val="20"/>
          <w:szCs w:val="20"/>
          <w:u w:val="single" w:color="auto"/>
          <w:color w:val="FF0000"/>
          <w:strike w:val="1"/>
        </w:rPr>
        <w:t>8</w:t>
      </w:r>
      <w:r>
        <w:rPr>
          <w:rFonts w:ascii="Arial" w:cs="Arial" w:eastAsia="Arial" w:hAnsi="Arial"/>
          <w:sz w:val="20"/>
          <w:szCs w:val="20"/>
          <w:color w:val="FF0000"/>
          <w:strike w:val="1"/>
        </w:rPr>
        <w:t xml:space="preserve"> above and on the assumption that, unless a Lender notifies the Administrative Agent to the contrary, each Lender’s obligations in relation to cash ratio deposits, Special Deposits and the Fees Regulations are the same as those of a typical bank from its jurisdiction of incorporation with a Lending Office in the same jurisdiction as such Lender’s Lending Office.</w:t>
      </w:r>
    </w:p>
    <w:p>
      <w:pPr>
        <w:spacing w:after="0" w:line="194" w:lineRule="exact"/>
        <w:rPr>
          <w:rFonts w:ascii="Arial" w:cs="Arial" w:eastAsia="Arial" w:hAnsi="Arial"/>
          <w:sz w:val="20"/>
          <w:szCs w:val="20"/>
          <w:color w:val="FF0000"/>
          <w:strike w:val="1"/>
        </w:rPr>
      </w:pPr>
    </w:p>
    <w:p>
      <w:pPr>
        <w:ind w:left="660" w:right="60" w:hanging="652"/>
        <w:spacing w:after="0" w:line="236" w:lineRule="exact"/>
        <w:tabs>
          <w:tab w:leader="none" w:pos="660" w:val="left"/>
        </w:tabs>
        <w:numPr>
          <w:ilvl w:val="0"/>
          <w:numId w:val="289"/>
        </w:numPr>
        <w:rPr>
          <w:rFonts w:ascii="Arial" w:cs="Arial" w:eastAsia="Arial" w:hAnsi="Arial"/>
          <w:sz w:val="20"/>
          <w:szCs w:val="20"/>
          <w:color w:val="FF0000"/>
          <w:strike w:val="1"/>
        </w:rPr>
      </w:pPr>
      <w:r>
        <w:rPr>
          <w:rFonts w:ascii="Arial" w:cs="Arial" w:eastAsia="Arial" w:hAnsi="Arial"/>
          <w:sz w:val="20"/>
          <w:szCs w:val="20"/>
          <w:color w:val="FF0000"/>
          <w:strike w:val="1"/>
        </w:rPr>
        <w:t>The Administrative Agent shall have no liability to any Person if such determination results in an Additional Cost Rate which over</w:t>
      </w:r>
      <w:r>
        <w:rPr>
          <w:rFonts w:ascii="MS PGothic" w:cs="MS PGothic" w:eastAsia="MS PGothic" w:hAnsi="MS PGothic"/>
          <w:sz w:val="20"/>
          <w:szCs w:val="20"/>
          <w:color w:val="FF0000"/>
          <w:strike w:val="1"/>
        </w:rPr>
        <w:t>‑</w:t>
      </w:r>
      <w:r>
        <w:rPr>
          <w:rFonts w:ascii="Arial" w:cs="Arial" w:eastAsia="Arial" w:hAnsi="Arial"/>
          <w:sz w:val="20"/>
          <w:szCs w:val="20"/>
          <w:color w:val="FF0000"/>
          <w:strike w:val="1"/>
        </w:rPr>
        <w:t xml:space="preserve"> or under</w:t>
      </w:r>
      <w:r>
        <w:rPr>
          <w:rFonts w:ascii="MS PGothic" w:cs="MS PGothic" w:eastAsia="MS PGothic" w:hAnsi="MS PGothic"/>
          <w:sz w:val="20"/>
          <w:szCs w:val="20"/>
          <w:color w:val="FF0000"/>
          <w:strike w:val="1"/>
        </w:rPr>
        <w:t>‑</w:t>
      </w:r>
      <w:r>
        <w:rPr>
          <w:rFonts w:ascii="Arial" w:cs="Arial" w:eastAsia="Arial" w:hAnsi="Arial"/>
          <w:sz w:val="20"/>
          <w:szCs w:val="20"/>
          <w:color w:val="FF0000"/>
          <w:strike w:val="1"/>
        </w:rPr>
        <w:t xml:space="preserve">compensates any Lender and shall be entitled to assume that the information provided by any Lender pursuant to </w:t>
      </w:r>
      <w:r>
        <w:rPr>
          <w:rFonts w:ascii="Arial" w:cs="Arial" w:eastAsia="Arial" w:hAnsi="Arial"/>
          <w:sz w:val="20"/>
          <w:szCs w:val="20"/>
          <w:u w:val="single" w:color="auto"/>
          <w:color w:val="FF0000"/>
          <w:strike w:val="1"/>
        </w:rPr>
        <w:t>paragraphs 3</w:t>
      </w:r>
      <w:r>
        <w:rPr>
          <w:rFonts w:ascii="Arial" w:cs="Arial" w:eastAsia="Arial" w:hAnsi="Arial"/>
          <w:sz w:val="20"/>
          <w:szCs w:val="20"/>
          <w:color w:val="FF0000"/>
          <w:strike w:val="1"/>
        </w:rPr>
        <w:t xml:space="preserve">, </w:t>
      </w:r>
      <w:r>
        <w:rPr>
          <w:rFonts w:ascii="Arial" w:cs="Arial" w:eastAsia="Arial" w:hAnsi="Arial"/>
          <w:sz w:val="20"/>
          <w:szCs w:val="20"/>
          <w:u w:val="single" w:color="auto"/>
          <w:color w:val="FF0000"/>
          <w:strike w:val="1"/>
        </w:rPr>
        <w:t>7</w:t>
      </w:r>
      <w:r>
        <w:rPr>
          <w:rFonts w:ascii="Arial" w:cs="Arial" w:eastAsia="Arial" w:hAnsi="Arial"/>
          <w:sz w:val="20"/>
          <w:szCs w:val="20"/>
          <w:color w:val="FF0000"/>
          <w:strike w:val="1"/>
        </w:rPr>
        <w:t xml:space="preserve"> and </w:t>
      </w:r>
      <w:r>
        <w:rPr>
          <w:rFonts w:ascii="Arial" w:cs="Arial" w:eastAsia="Arial" w:hAnsi="Arial"/>
          <w:sz w:val="20"/>
          <w:szCs w:val="20"/>
          <w:u w:val="single" w:color="auto"/>
          <w:color w:val="FF0000"/>
          <w:strike w:val="1"/>
        </w:rPr>
        <w:t>8</w:t>
      </w:r>
      <w:r>
        <w:rPr>
          <w:rFonts w:ascii="Arial" w:cs="Arial" w:eastAsia="Arial" w:hAnsi="Arial"/>
          <w:sz w:val="20"/>
          <w:szCs w:val="20"/>
          <w:color w:val="FF0000"/>
          <w:strike w:val="1"/>
        </w:rPr>
        <w:t xml:space="preserve"> above is true and correct in all respects.</w:t>
      </w:r>
    </w:p>
    <w:p>
      <w:pPr>
        <w:spacing w:after="0" w:line="197" w:lineRule="exact"/>
        <w:rPr>
          <w:rFonts w:ascii="Arial" w:cs="Arial" w:eastAsia="Arial" w:hAnsi="Arial"/>
          <w:sz w:val="20"/>
          <w:szCs w:val="20"/>
          <w:color w:val="FF0000"/>
          <w:strike w:val="1"/>
        </w:rPr>
      </w:pPr>
    </w:p>
    <w:p>
      <w:pPr>
        <w:ind w:left="660" w:right="60" w:hanging="652"/>
        <w:spacing w:after="0" w:line="250" w:lineRule="auto"/>
        <w:tabs>
          <w:tab w:leader="none" w:pos="660" w:val="left"/>
        </w:tabs>
        <w:numPr>
          <w:ilvl w:val="0"/>
          <w:numId w:val="289"/>
        </w:numPr>
        <w:rPr>
          <w:rFonts w:ascii="Arial" w:cs="Arial" w:eastAsia="Arial" w:hAnsi="Arial"/>
          <w:sz w:val="20"/>
          <w:szCs w:val="20"/>
          <w:color w:val="FF0000"/>
          <w:strike w:val="1"/>
        </w:rPr>
      </w:pPr>
      <w:r>
        <w:rPr>
          <w:rFonts w:ascii="Arial" w:cs="Arial" w:eastAsia="Arial" w:hAnsi="Arial"/>
          <w:sz w:val="20"/>
          <w:szCs w:val="20"/>
          <w:color w:val="FF0000"/>
          <w:strike w:val="1"/>
        </w:rPr>
        <w:t xml:space="preserve">The Administrative Agent shall distribute the additional amounts received as a result of the Mandatory Cost to the Lenders on the basis of the Additional Cost Rate for each Lender based on the information provided by each Lender pursuant to </w:t>
      </w:r>
      <w:r>
        <w:rPr>
          <w:rFonts w:ascii="Arial" w:cs="Arial" w:eastAsia="Arial" w:hAnsi="Arial"/>
          <w:sz w:val="20"/>
          <w:szCs w:val="20"/>
          <w:u w:val="single" w:color="auto"/>
          <w:color w:val="FF0000"/>
          <w:strike w:val="1"/>
        </w:rPr>
        <w:t>paragraphs 3</w:t>
      </w:r>
      <w:r>
        <w:rPr>
          <w:rFonts w:ascii="Arial" w:cs="Arial" w:eastAsia="Arial" w:hAnsi="Arial"/>
          <w:sz w:val="20"/>
          <w:szCs w:val="20"/>
          <w:color w:val="FF0000"/>
          <w:strike w:val="1"/>
        </w:rPr>
        <w:t xml:space="preserve">, </w:t>
      </w:r>
      <w:r>
        <w:rPr>
          <w:rFonts w:ascii="Arial" w:cs="Arial" w:eastAsia="Arial" w:hAnsi="Arial"/>
          <w:sz w:val="20"/>
          <w:szCs w:val="20"/>
          <w:u w:val="single" w:color="auto"/>
          <w:color w:val="FF0000"/>
          <w:strike w:val="1"/>
        </w:rPr>
        <w:t>7</w:t>
      </w:r>
      <w:r>
        <w:rPr>
          <w:rFonts w:ascii="Arial" w:cs="Arial" w:eastAsia="Arial" w:hAnsi="Arial"/>
          <w:sz w:val="20"/>
          <w:szCs w:val="20"/>
          <w:color w:val="FF0000"/>
          <w:strike w:val="1"/>
        </w:rPr>
        <w:t xml:space="preserve"> and </w:t>
      </w:r>
      <w:r>
        <w:rPr>
          <w:rFonts w:ascii="Arial" w:cs="Arial" w:eastAsia="Arial" w:hAnsi="Arial"/>
          <w:sz w:val="20"/>
          <w:szCs w:val="20"/>
          <w:u w:val="single" w:color="auto"/>
          <w:color w:val="FF0000"/>
          <w:strike w:val="1"/>
        </w:rPr>
        <w:t>8</w:t>
      </w:r>
      <w:r>
        <w:rPr>
          <w:rFonts w:ascii="Arial" w:cs="Arial" w:eastAsia="Arial" w:hAnsi="Arial"/>
          <w:sz w:val="20"/>
          <w:szCs w:val="20"/>
          <w:color w:val="FF0000"/>
          <w:strike w:val="1"/>
        </w:rPr>
        <w:t xml:space="preserve"> above.</w:t>
      </w:r>
    </w:p>
    <w:p>
      <w:pPr>
        <w:spacing w:after="0" w:line="186" w:lineRule="exact"/>
        <w:rPr>
          <w:rFonts w:ascii="Arial" w:cs="Arial" w:eastAsia="Arial" w:hAnsi="Arial"/>
          <w:sz w:val="20"/>
          <w:szCs w:val="20"/>
          <w:color w:val="FF0000"/>
          <w:strike w:val="1"/>
        </w:rPr>
      </w:pPr>
    </w:p>
    <w:p>
      <w:pPr>
        <w:ind w:left="660" w:right="200" w:hanging="652"/>
        <w:spacing w:after="0" w:line="316" w:lineRule="auto"/>
        <w:tabs>
          <w:tab w:leader="none" w:pos="660" w:val="left"/>
        </w:tabs>
        <w:numPr>
          <w:ilvl w:val="0"/>
          <w:numId w:val="289"/>
        </w:numPr>
        <w:rPr>
          <w:rFonts w:ascii="Arial" w:cs="Arial" w:eastAsia="Arial" w:hAnsi="Arial"/>
          <w:sz w:val="18"/>
          <w:szCs w:val="18"/>
          <w:color w:val="FF0000"/>
          <w:strike w:val="1"/>
        </w:rPr>
      </w:pPr>
      <w:r>
        <w:rPr>
          <w:rFonts w:ascii="Arial" w:cs="Arial" w:eastAsia="Arial" w:hAnsi="Arial"/>
          <w:sz w:val="18"/>
          <w:szCs w:val="18"/>
          <w:color w:val="FF0000"/>
          <w:strike w:val="1"/>
        </w:rPr>
        <w:t>Any determination by the Administrative Agent pursuant to this Schedule in relation to a formula, the Mandatory Cost, an Additional Cost Rate or any amount payable to a Lender shall, in the absence of manifest error, be conclusive and binding on all parties hereto.</w:t>
      </w:r>
    </w:p>
    <w:p>
      <w:pPr>
        <w:spacing w:after="0" w:line="130" w:lineRule="exact"/>
        <w:rPr>
          <w:rFonts w:ascii="Arial" w:cs="Arial" w:eastAsia="Arial" w:hAnsi="Arial"/>
          <w:sz w:val="18"/>
          <w:szCs w:val="18"/>
          <w:color w:val="FF0000"/>
          <w:strike w:val="1"/>
        </w:rPr>
      </w:pPr>
    </w:p>
    <w:p>
      <w:pPr>
        <w:ind w:left="720" w:hanging="432"/>
        <w:spacing w:after="0"/>
        <w:tabs>
          <w:tab w:leader="none" w:pos="720" w:val="left"/>
        </w:tabs>
        <w:numPr>
          <w:ilvl w:val="1"/>
          <w:numId w:val="289"/>
        </w:numPr>
        <w:rPr>
          <w:rFonts w:ascii="Arial" w:cs="Arial" w:eastAsia="Arial" w:hAnsi="Arial"/>
          <w:sz w:val="18"/>
          <w:szCs w:val="18"/>
          <w:color w:val="FF0000"/>
          <w:strike w:val="1"/>
        </w:rPr>
      </w:pPr>
      <w:r>
        <w:rPr>
          <w:rFonts w:ascii="Arial" w:cs="Arial" w:eastAsia="Arial" w:hAnsi="Arial"/>
          <w:sz w:val="18"/>
          <w:szCs w:val="18"/>
          <w:color w:val="FF0000"/>
          <w:strike w:val="1"/>
        </w:rPr>
        <w:t>The Administrative Agent may from time to time, after consultation with the Company and the Lenders, determine and notify to all</w:t>
      </w:r>
    </w:p>
    <w:p>
      <w:pPr>
        <w:spacing w:after="0" w:line="39" w:lineRule="exact"/>
        <w:rPr>
          <w:sz w:val="20"/>
          <w:szCs w:val="20"/>
          <w:color w:val="auto"/>
        </w:rPr>
      </w:pPr>
    </w:p>
    <w:p>
      <w:pPr>
        <w:jc w:val="center"/>
        <w:spacing w:after="0"/>
        <w:rPr>
          <w:sz w:val="20"/>
          <w:szCs w:val="20"/>
          <w:color w:val="auto"/>
        </w:rPr>
      </w:pPr>
      <w:r>
        <w:rPr>
          <w:rFonts w:ascii="Arial" w:cs="Arial" w:eastAsia="Arial" w:hAnsi="Arial"/>
          <w:sz w:val="19"/>
          <w:szCs w:val="19"/>
          <w:color w:val="FF0000"/>
          <w:strike w:val="1"/>
        </w:rPr>
        <w:t>parties any amendments which are required to be made to this Schedule in order to comply with any change in law, regulation or any</w:t>
      </w:r>
    </w:p>
    <w:p>
      <w:pPr>
        <w:spacing w:after="0" w:line="11" w:lineRule="exact"/>
        <w:rPr>
          <w:sz w:val="20"/>
          <w:szCs w:val="20"/>
          <w:color w:val="auto"/>
        </w:rPr>
      </w:pPr>
    </w:p>
    <w:p>
      <w:pPr>
        <w:jc w:val="center"/>
        <w:spacing w:after="0" w:line="241" w:lineRule="auto"/>
        <w:rPr>
          <w:sz w:val="20"/>
          <w:szCs w:val="20"/>
          <w:color w:val="auto"/>
        </w:rPr>
      </w:pPr>
      <w:r>
        <w:rPr>
          <w:rFonts w:ascii="Arial" w:cs="Arial" w:eastAsia="Arial" w:hAnsi="Arial"/>
          <w:sz w:val="20"/>
          <w:szCs w:val="20"/>
          <w:color w:val="FF0000"/>
          <w:strike w:val="1"/>
        </w:rPr>
        <w:t>requirements from time to time imposed by the Bank of England, the Financial Services Authority or the European Central Bank (or, in any case, any other authority which replaces all or any of its functions) and any such determination shall, in the absence of manifest error, be conclusive and binding on all parties hereto.</w:t>
      </w: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u w:val="single" w:color="auto"/>
          <w:color w:val="auto"/>
        </w:rPr>
        <w:t>Schedule 2.01 - Lenders and Commitments</w:t>
      </w:r>
    </w:p>
    <w:p>
      <w:pPr>
        <w:spacing w:after="0" w:line="63" w:lineRule="exact"/>
        <w:rPr>
          <w:sz w:val="20"/>
          <w:szCs w:val="20"/>
          <w:color w:val="auto"/>
        </w:rPr>
      </w:pPr>
    </w:p>
    <w:p>
      <w:pPr>
        <w:ind w:left="120" w:right="2840"/>
        <w:spacing w:after="0" w:line="253" w:lineRule="auto"/>
        <w:rPr>
          <w:sz w:val="20"/>
          <w:szCs w:val="20"/>
          <w:color w:val="auto"/>
        </w:rPr>
      </w:pPr>
      <w:r>
        <w:rPr>
          <w:rFonts w:ascii="Arial" w:cs="Arial" w:eastAsia="Arial" w:hAnsi="Arial"/>
          <w:sz w:val="14"/>
          <w:szCs w:val="14"/>
          <w:color w:val="auto"/>
        </w:rPr>
        <w:t>Euronet - After Giving Effect to Establishment of Incremental Revolving and Term Loan Commitments Pursuant to Amendment No. 1 dated April 2014</w:t>
      </w:r>
    </w:p>
    <w:p>
      <w:pPr>
        <w:spacing w:after="0" w:line="323"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15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80" w:type="dxa"/>
            <w:vAlign w:val="bottom"/>
          </w:tcPr>
          <w:p>
            <w:pPr>
              <w:jc w:val="center"/>
              <w:ind w:right="128"/>
              <w:spacing w:after="0"/>
              <w:rPr>
                <w:sz w:val="20"/>
                <w:szCs w:val="20"/>
                <w:color w:val="auto"/>
              </w:rPr>
            </w:pPr>
            <w:r>
              <w:rPr>
                <w:rFonts w:ascii="Arial" w:cs="Arial" w:eastAsia="Arial" w:hAnsi="Arial"/>
                <w:sz w:val="14"/>
                <w:szCs w:val="14"/>
                <w:color w:val="auto"/>
                <w:w w:val="88"/>
              </w:rPr>
              <w:t>European</w:t>
            </w:r>
          </w:p>
        </w:tc>
        <w:tc>
          <w:tcPr>
            <w:tcW w:w="114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82"/>
        </w:trPr>
        <w:tc>
          <w:tcPr>
            <w:tcW w:w="1580" w:type="dxa"/>
            <w:vAlign w:val="bottom"/>
          </w:tcPr>
          <w:p>
            <w:pPr>
              <w:spacing w:after="0"/>
              <w:rPr>
                <w:sz w:val="15"/>
                <w:szCs w:val="15"/>
                <w:color w:val="auto"/>
              </w:rPr>
            </w:pPr>
          </w:p>
        </w:tc>
        <w:tc>
          <w:tcPr>
            <w:tcW w:w="1240" w:type="dxa"/>
            <w:vAlign w:val="bottom"/>
          </w:tcPr>
          <w:p>
            <w:pPr>
              <w:jc w:val="right"/>
              <w:ind w:right="68"/>
              <w:spacing w:after="0"/>
              <w:rPr>
                <w:sz w:val="20"/>
                <w:szCs w:val="20"/>
                <w:color w:val="auto"/>
              </w:rPr>
            </w:pPr>
            <w:r>
              <w:rPr>
                <w:rFonts w:ascii="Arial" w:cs="Arial" w:eastAsia="Arial" w:hAnsi="Arial"/>
                <w:sz w:val="14"/>
                <w:szCs w:val="14"/>
                <w:color w:val="auto"/>
              </w:rPr>
              <w:t>USD Revolving</w:t>
            </w:r>
          </w:p>
        </w:tc>
        <w:tc>
          <w:tcPr>
            <w:tcW w:w="1080" w:type="dxa"/>
            <w:vAlign w:val="bottom"/>
          </w:tcPr>
          <w:p>
            <w:pPr>
              <w:spacing w:after="0"/>
              <w:rPr>
                <w:sz w:val="15"/>
                <w:szCs w:val="15"/>
                <w:color w:val="auto"/>
              </w:rPr>
            </w:pPr>
          </w:p>
        </w:tc>
        <w:tc>
          <w:tcPr>
            <w:tcW w:w="1180" w:type="dxa"/>
            <w:vAlign w:val="bottom"/>
          </w:tcPr>
          <w:p>
            <w:pPr>
              <w:jc w:val="center"/>
              <w:ind w:right="108"/>
              <w:spacing w:after="0"/>
              <w:rPr>
                <w:sz w:val="20"/>
                <w:szCs w:val="20"/>
                <w:color w:val="auto"/>
              </w:rPr>
            </w:pPr>
            <w:r>
              <w:rPr>
                <w:rFonts w:ascii="Arial" w:cs="Arial" w:eastAsia="Arial" w:hAnsi="Arial"/>
                <w:sz w:val="14"/>
                <w:szCs w:val="14"/>
                <w:color w:val="auto"/>
                <w:w w:val="97"/>
              </w:rPr>
              <w:t>Revolving</w:t>
            </w:r>
          </w:p>
        </w:tc>
        <w:tc>
          <w:tcPr>
            <w:tcW w:w="1140" w:type="dxa"/>
            <w:vAlign w:val="bottom"/>
          </w:tcPr>
          <w:p>
            <w:pPr>
              <w:spacing w:after="0"/>
              <w:rPr>
                <w:sz w:val="15"/>
                <w:szCs w:val="15"/>
                <w:color w:val="auto"/>
              </w:rPr>
            </w:pPr>
          </w:p>
        </w:tc>
        <w:tc>
          <w:tcPr>
            <w:tcW w:w="1460" w:type="dxa"/>
            <w:vAlign w:val="bottom"/>
          </w:tcPr>
          <w:p>
            <w:pPr>
              <w:jc w:val="right"/>
              <w:ind w:right="108"/>
              <w:spacing w:after="0"/>
              <w:rPr>
                <w:sz w:val="20"/>
                <w:szCs w:val="20"/>
                <w:color w:val="auto"/>
              </w:rPr>
            </w:pPr>
            <w:r>
              <w:rPr>
                <w:rFonts w:ascii="Arial" w:cs="Arial" w:eastAsia="Arial" w:hAnsi="Arial"/>
                <w:sz w:val="14"/>
                <w:szCs w:val="14"/>
                <w:color w:val="auto"/>
                <w:w w:val="98"/>
              </w:rPr>
              <w:t>Australian Revolving</w:t>
            </w:r>
          </w:p>
        </w:tc>
        <w:tc>
          <w:tcPr>
            <w:tcW w:w="1180" w:type="dxa"/>
            <w:vAlign w:val="bottom"/>
          </w:tcPr>
          <w:p>
            <w:pPr>
              <w:spacing w:after="0"/>
              <w:rPr>
                <w:sz w:val="15"/>
                <w:szCs w:val="15"/>
                <w:color w:val="auto"/>
              </w:rPr>
            </w:pPr>
          </w:p>
        </w:tc>
        <w:tc>
          <w:tcPr>
            <w:tcW w:w="1320" w:type="dxa"/>
            <w:vAlign w:val="bottom"/>
          </w:tcPr>
          <w:p>
            <w:pPr>
              <w:jc w:val="right"/>
              <w:ind w:right="148"/>
              <w:spacing w:after="0"/>
              <w:rPr>
                <w:sz w:val="20"/>
                <w:szCs w:val="20"/>
                <w:color w:val="auto"/>
              </w:rPr>
            </w:pPr>
            <w:r>
              <w:rPr>
                <w:rFonts w:ascii="Arial" w:cs="Arial" w:eastAsia="Arial" w:hAnsi="Arial"/>
                <w:sz w:val="14"/>
                <w:szCs w:val="14"/>
                <w:color w:val="auto"/>
                <w:w w:val="99"/>
              </w:rPr>
              <w:t>Master Revolving</w:t>
            </w:r>
          </w:p>
        </w:tc>
        <w:tc>
          <w:tcPr>
            <w:tcW w:w="1120" w:type="dxa"/>
            <w:vAlign w:val="bottom"/>
          </w:tcPr>
          <w:p>
            <w:pPr>
              <w:spacing w:after="0"/>
              <w:rPr>
                <w:sz w:val="15"/>
                <w:szCs w:val="15"/>
                <w:color w:val="auto"/>
              </w:rPr>
            </w:pPr>
          </w:p>
        </w:tc>
      </w:tr>
      <w:tr>
        <w:trPr>
          <w:trHeight w:val="276"/>
        </w:trPr>
        <w:tc>
          <w:tcPr>
            <w:tcW w:w="1580" w:type="dxa"/>
            <w:vAlign w:val="bottom"/>
          </w:tcPr>
          <w:p>
            <w:pPr>
              <w:spacing w:after="0"/>
              <w:rPr>
                <w:sz w:val="24"/>
                <w:szCs w:val="24"/>
                <w:color w:val="auto"/>
              </w:rPr>
            </w:pPr>
          </w:p>
        </w:tc>
        <w:tc>
          <w:tcPr>
            <w:tcW w:w="124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Commitments</w:t>
            </w:r>
          </w:p>
        </w:tc>
        <w:tc>
          <w:tcPr>
            <w:tcW w:w="108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color w:val="auto"/>
              </w:rPr>
              <w:t>Percent</w:t>
            </w:r>
          </w:p>
        </w:tc>
        <w:tc>
          <w:tcPr>
            <w:tcW w:w="1180" w:type="dxa"/>
            <w:vAlign w:val="bottom"/>
            <w:tcBorders>
              <w:bottom w:val="single" w:sz="8" w:color="auto"/>
            </w:tcBorders>
          </w:tcPr>
          <w:p>
            <w:pPr>
              <w:jc w:val="center"/>
              <w:ind w:right="128"/>
              <w:spacing w:after="0"/>
              <w:rPr>
                <w:sz w:val="20"/>
                <w:szCs w:val="20"/>
                <w:color w:val="auto"/>
              </w:rPr>
            </w:pPr>
            <w:r>
              <w:rPr>
                <w:rFonts w:ascii="Arial" w:cs="Arial" w:eastAsia="Arial" w:hAnsi="Arial"/>
                <w:sz w:val="14"/>
                <w:szCs w:val="14"/>
                <w:color w:val="auto"/>
                <w:w w:val="94"/>
              </w:rPr>
              <w:t>Commitments</w:t>
            </w:r>
          </w:p>
        </w:tc>
        <w:tc>
          <w:tcPr>
            <w:tcW w:w="1140" w:type="dxa"/>
            <w:vAlign w:val="bottom"/>
            <w:tcBorders>
              <w:bottom w:val="single" w:sz="8" w:color="auto"/>
            </w:tcBorders>
          </w:tcPr>
          <w:p>
            <w:pPr>
              <w:jc w:val="right"/>
              <w:ind w:right="348"/>
              <w:spacing w:after="0"/>
              <w:rPr>
                <w:sz w:val="20"/>
                <w:szCs w:val="20"/>
                <w:color w:val="auto"/>
              </w:rPr>
            </w:pPr>
            <w:r>
              <w:rPr>
                <w:rFonts w:ascii="Arial" w:cs="Arial" w:eastAsia="Arial" w:hAnsi="Arial"/>
                <w:sz w:val="14"/>
                <w:szCs w:val="14"/>
                <w:color w:val="auto"/>
              </w:rPr>
              <w:t>Percent</w:t>
            </w:r>
          </w:p>
        </w:tc>
        <w:tc>
          <w:tcPr>
            <w:tcW w:w="1460" w:type="dxa"/>
            <w:vAlign w:val="bottom"/>
            <w:tcBorders>
              <w:bottom w:val="single" w:sz="8" w:color="auto"/>
            </w:tcBorders>
          </w:tcPr>
          <w:p>
            <w:pPr>
              <w:jc w:val="right"/>
              <w:ind w:right="308"/>
              <w:spacing w:after="0"/>
              <w:rPr>
                <w:sz w:val="20"/>
                <w:szCs w:val="20"/>
                <w:color w:val="auto"/>
              </w:rPr>
            </w:pPr>
            <w:r>
              <w:rPr>
                <w:rFonts w:ascii="Arial" w:cs="Arial" w:eastAsia="Arial" w:hAnsi="Arial"/>
                <w:sz w:val="14"/>
                <w:szCs w:val="14"/>
                <w:color w:val="auto"/>
              </w:rPr>
              <w:t>Commitments</w:t>
            </w:r>
          </w:p>
        </w:tc>
        <w:tc>
          <w:tcPr>
            <w:tcW w:w="1180" w:type="dxa"/>
            <w:vAlign w:val="bottom"/>
            <w:tcBorders>
              <w:bottom w:val="single" w:sz="8" w:color="auto"/>
            </w:tcBorders>
          </w:tcPr>
          <w:p>
            <w:pPr>
              <w:jc w:val="right"/>
              <w:ind w:right="388"/>
              <w:spacing w:after="0"/>
              <w:rPr>
                <w:sz w:val="20"/>
                <w:szCs w:val="20"/>
                <w:color w:val="auto"/>
              </w:rPr>
            </w:pPr>
            <w:r>
              <w:rPr>
                <w:rFonts w:ascii="Arial" w:cs="Arial" w:eastAsia="Arial" w:hAnsi="Arial"/>
                <w:sz w:val="14"/>
                <w:szCs w:val="14"/>
                <w:color w:val="auto"/>
              </w:rPr>
              <w:t>Percent</w:t>
            </w:r>
          </w:p>
        </w:tc>
        <w:tc>
          <w:tcPr>
            <w:tcW w:w="132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color w:val="auto"/>
              </w:rPr>
              <w:t>Commitments</w:t>
            </w:r>
          </w:p>
        </w:tc>
        <w:tc>
          <w:tcPr>
            <w:tcW w:w="1120" w:type="dxa"/>
            <w:vAlign w:val="bottom"/>
            <w:tcBorders>
              <w:bottom w:val="single" w:sz="8" w:color="auto"/>
            </w:tcBorders>
          </w:tcPr>
          <w:p>
            <w:pPr>
              <w:jc w:val="right"/>
              <w:ind w:right="348"/>
              <w:spacing w:after="0"/>
              <w:rPr>
                <w:sz w:val="20"/>
                <w:szCs w:val="20"/>
                <w:color w:val="auto"/>
              </w:rPr>
            </w:pPr>
            <w:r>
              <w:rPr>
                <w:rFonts w:ascii="Arial" w:cs="Arial" w:eastAsia="Arial" w:hAnsi="Arial"/>
                <w:sz w:val="14"/>
                <w:szCs w:val="14"/>
                <w:color w:val="auto"/>
              </w:rPr>
              <w:t>Percent</w:t>
            </w:r>
          </w:p>
        </w:tc>
      </w:tr>
      <w:tr>
        <w:trPr>
          <w:trHeight w:val="190"/>
        </w:trPr>
        <w:tc>
          <w:tcPr>
            <w:tcW w:w="1580" w:type="dxa"/>
            <w:vAlign w:val="bottom"/>
          </w:tcPr>
          <w:p>
            <w:pPr>
              <w:spacing w:after="0"/>
              <w:rPr>
                <w:sz w:val="20"/>
                <w:szCs w:val="20"/>
                <w:color w:val="auto"/>
              </w:rPr>
            </w:pPr>
            <w:r>
              <w:rPr>
                <w:rFonts w:ascii="Arial" w:cs="Arial" w:eastAsia="Arial" w:hAnsi="Arial"/>
                <w:sz w:val="14"/>
                <w:szCs w:val="14"/>
                <w:color w:val="auto"/>
              </w:rPr>
              <w:t>Bank of America, N.A.</w:t>
            </w:r>
          </w:p>
        </w:tc>
        <w:tc>
          <w:tcPr>
            <w:tcW w:w="2320" w:type="dxa"/>
            <w:vAlign w:val="bottom"/>
            <w:gridSpan w:val="2"/>
          </w:tcPr>
          <w:p>
            <w:pPr>
              <w:jc w:val="right"/>
              <w:ind w:right="28"/>
              <w:spacing w:after="0"/>
              <w:rPr>
                <w:sz w:val="20"/>
                <w:szCs w:val="20"/>
                <w:color w:val="auto"/>
              </w:rPr>
            </w:pPr>
            <w:r>
              <w:rPr>
                <w:rFonts w:ascii="Arial" w:cs="Arial" w:eastAsia="Arial" w:hAnsi="Arial"/>
                <w:sz w:val="14"/>
                <w:szCs w:val="14"/>
                <w:color w:val="auto"/>
              </w:rPr>
              <w:t>$ 65,000,000.00 11.016949153%</w:t>
            </w:r>
          </w:p>
        </w:tc>
        <w:tc>
          <w:tcPr>
            <w:tcW w:w="1180" w:type="dxa"/>
            <w:vAlign w:val="bottom"/>
          </w:tcPr>
          <w:p>
            <w:pPr>
              <w:jc w:val="right"/>
              <w:ind w:right="68"/>
              <w:spacing w:after="0"/>
              <w:rPr>
                <w:sz w:val="20"/>
                <w:szCs w:val="20"/>
                <w:color w:val="auto"/>
              </w:rPr>
            </w:pPr>
            <w:r>
              <w:rPr>
                <w:rFonts w:ascii="Arial" w:cs="Arial" w:eastAsia="Arial" w:hAnsi="Arial"/>
                <w:sz w:val="14"/>
                <w:szCs w:val="14"/>
                <w:color w:val="auto"/>
              </w:rPr>
              <w:t>$ 57,500,000.00</w:t>
            </w:r>
          </w:p>
        </w:tc>
        <w:tc>
          <w:tcPr>
            <w:tcW w:w="1140" w:type="dxa"/>
            <w:vAlign w:val="bottom"/>
          </w:tcPr>
          <w:p>
            <w:pPr>
              <w:jc w:val="right"/>
              <w:spacing w:after="0"/>
              <w:rPr>
                <w:sz w:val="20"/>
                <w:szCs w:val="20"/>
                <w:color w:val="auto"/>
              </w:rPr>
            </w:pPr>
            <w:r>
              <w:rPr>
                <w:rFonts w:ascii="Arial" w:cs="Arial" w:eastAsia="Arial" w:hAnsi="Arial"/>
                <w:sz w:val="14"/>
                <w:szCs w:val="14"/>
                <w:color w:val="auto"/>
              </w:rPr>
              <w:t>12.486427796%</w:t>
            </w:r>
          </w:p>
        </w:tc>
        <w:tc>
          <w:tcPr>
            <w:tcW w:w="1460" w:type="dxa"/>
            <w:vAlign w:val="bottom"/>
          </w:tcPr>
          <w:p>
            <w:pPr>
              <w:jc w:val="right"/>
              <w:ind w:right="68"/>
              <w:spacing w:after="0"/>
              <w:rPr>
                <w:sz w:val="20"/>
                <w:szCs w:val="20"/>
                <w:color w:val="auto"/>
              </w:rPr>
            </w:pPr>
            <w:r>
              <w:rPr>
                <w:rFonts w:ascii="Arial" w:cs="Arial" w:eastAsia="Arial" w:hAnsi="Arial"/>
                <w:sz w:val="14"/>
                <w:szCs w:val="14"/>
                <w:color w:val="auto"/>
              </w:rPr>
              <w:t>$ 57,500,000.00</w:t>
            </w:r>
          </w:p>
        </w:tc>
        <w:tc>
          <w:tcPr>
            <w:tcW w:w="1180" w:type="dxa"/>
            <w:vAlign w:val="bottom"/>
          </w:tcPr>
          <w:p>
            <w:pPr>
              <w:jc w:val="right"/>
              <w:ind w:right="8"/>
              <w:spacing w:after="0"/>
              <w:rPr>
                <w:sz w:val="20"/>
                <w:szCs w:val="20"/>
                <w:color w:val="auto"/>
              </w:rPr>
            </w:pPr>
            <w:r>
              <w:rPr>
                <w:rFonts w:ascii="Arial" w:cs="Arial" w:eastAsia="Arial" w:hAnsi="Arial"/>
                <w:sz w:val="14"/>
                <w:szCs w:val="14"/>
                <w:color w:val="auto"/>
              </w:rPr>
              <w:t>13.068181818%</w:t>
            </w:r>
          </w:p>
        </w:tc>
        <w:tc>
          <w:tcPr>
            <w:tcW w:w="1320" w:type="dxa"/>
            <w:vAlign w:val="bottom"/>
          </w:tcPr>
          <w:p>
            <w:pPr>
              <w:jc w:val="right"/>
              <w:ind w:right="88"/>
              <w:spacing w:after="0"/>
              <w:rPr>
                <w:sz w:val="20"/>
                <w:szCs w:val="20"/>
                <w:color w:val="auto"/>
              </w:rPr>
            </w:pPr>
            <w:r>
              <w:rPr>
                <w:rFonts w:ascii="Arial" w:cs="Arial" w:eastAsia="Arial" w:hAnsi="Arial"/>
                <w:sz w:val="14"/>
                <w:szCs w:val="14"/>
                <w:color w:val="auto"/>
              </w:rPr>
              <w:t>$ 65,000,000.00</w:t>
            </w:r>
          </w:p>
        </w:tc>
        <w:tc>
          <w:tcPr>
            <w:tcW w:w="1120" w:type="dxa"/>
            <w:vAlign w:val="bottom"/>
          </w:tcPr>
          <w:p>
            <w:pPr>
              <w:jc w:val="right"/>
              <w:spacing w:after="0"/>
              <w:rPr>
                <w:sz w:val="20"/>
                <w:szCs w:val="20"/>
                <w:color w:val="auto"/>
              </w:rPr>
            </w:pPr>
            <w:r>
              <w:rPr>
                <w:rFonts w:ascii="Arial" w:cs="Arial" w:eastAsia="Arial" w:hAnsi="Arial"/>
                <w:sz w:val="14"/>
                <w:szCs w:val="14"/>
                <w:color w:val="auto"/>
              </w:rPr>
              <w:t>11.016949153%</w:t>
            </w:r>
          </w:p>
        </w:tc>
      </w:tr>
      <w:tr>
        <w:trPr>
          <w:trHeight w:val="169"/>
        </w:trPr>
        <w:tc>
          <w:tcPr>
            <w:tcW w:w="1580" w:type="dxa"/>
            <w:vAlign w:val="bottom"/>
          </w:tcPr>
          <w:p>
            <w:pPr>
              <w:spacing w:after="0"/>
              <w:rPr>
                <w:sz w:val="20"/>
                <w:szCs w:val="20"/>
                <w:color w:val="auto"/>
              </w:rPr>
            </w:pPr>
            <w:r>
              <w:rPr>
                <w:rFonts w:ascii="Arial" w:cs="Arial" w:eastAsia="Arial" w:hAnsi="Arial"/>
                <w:sz w:val="14"/>
                <w:szCs w:val="14"/>
                <w:color w:val="auto"/>
              </w:rPr>
              <w:t>U.S. Bank National</w:t>
            </w:r>
          </w:p>
        </w:tc>
        <w:tc>
          <w:tcPr>
            <w:tcW w:w="12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82"/>
        </w:trPr>
        <w:tc>
          <w:tcPr>
            <w:tcW w:w="1580" w:type="dxa"/>
            <w:vAlign w:val="bottom"/>
          </w:tcPr>
          <w:p>
            <w:pPr>
              <w:spacing w:after="0"/>
              <w:rPr>
                <w:sz w:val="20"/>
                <w:szCs w:val="20"/>
                <w:color w:val="auto"/>
              </w:rPr>
            </w:pPr>
            <w:r>
              <w:rPr>
                <w:rFonts w:ascii="Arial" w:cs="Arial" w:eastAsia="Arial" w:hAnsi="Arial"/>
                <w:sz w:val="14"/>
                <w:szCs w:val="14"/>
                <w:color w:val="auto"/>
              </w:rPr>
              <w:t>Association</w:t>
            </w:r>
          </w:p>
        </w:tc>
        <w:tc>
          <w:tcPr>
            <w:tcW w:w="1240" w:type="dxa"/>
            <w:vAlign w:val="bottom"/>
          </w:tcPr>
          <w:p>
            <w:pPr>
              <w:jc w:val="right"/>
              <w:spacing w:after="0"/>
              <w:rPr>
                <w:sz w:val="20"/>
                <w:szCs w:val="20"/>
                <w:color w:val="auto"/>
              </w:rPr>
            </w:pPr>
            <w:r>
              <w:rPr>
                <w:rFonts w:ascii="Arial" w:cs="Arial" w:eastAsia="Arial" w:hAnsi="Arial"/>
                <w:sz w:val="14"/>
                <w:szCs w:val="14"/>
                <w:color w:val="auto"/>
              </w:rPr>
              <w:t>65,000,000.00</w:t>
            </w:r>
          </w:p>
        </w:tc>
        <w:tc>
          <w:tcPr>
            <w:tcW w:w="1080" w:type="dxa"/>
            <w:vAlign w:val="bottom"/>
          </w:tcPr>
          <w:p>
            <w:pPr>
              <w:jc w:val="right"/>
              <w:ind w:right="28"/>
              <w:spacing w:after="0"/>
              <w:rPr>
                <w:sz w:val="20"/>
                <w:szCs w:val="20"/>
                <w:color w:val="auto"/>
              </w:rPr>
            </w:pPr>
            <w:r>
              <w:rPr>
                <w:rFonts w:ascii="Arial" w:cs="Arial" w:eastAsia="Arial" w:hAnsi="Arial"/>
                <w:sz w:val="14"/>
                <w:szCs w:val="14"/>
                <w:color w:val="auto"/>
                <w:w w:val="94"/>
              </w:rPr>
              <w:t>11.016949153%</w:t>
            </w:r>
          </w:p>
        </w:tc>
        <w:tc>
          <w:tcPr>
            <w:tcW w:w="1180" w:type="dxa"/>
            <w:vAlign w:val="bottom"/>
          </w:tcPr>
          <w:p>
            <w:pPr>
              <w:jc w:val="right"/>
              <w:ind w:right="68"/>
              <w:spacing w:after="0"/>
              <w:rPr>
                <w:sz w:val="20"/>
                <w:szCs w:val="20"/>
                <w:color w:val="auto"/>
              </w:rPr>
            </w:pPr>
            <w:r>
              <w:rPr>
                <w:rFonts w:ascii="Arial" w:cs="Arial" w:eastAsia="Arial" w:hAnsi="Arial"/>
                <w:sz w:val="14"/>
                <w:szCs w:val="14"/>
                <w:color w:val="auto"/>
              </w:rPr>
              <w:t>57,500,000.00</w:t>
            </w:r>
          </w:p>
        </w:tc>
        <w:tc>
          <w:tcPr>
            <w:tcW w:w="1140" w:type="dxa"/>
            <w:vAlign w:val="bottom"/>
          </w:tcPr>
          <w:p>
            <w:pPr>
              <w:jc w:val="right"/>
              <w:spacing w:after="0"/>
              <w:rPr>
                <w:sz w:val="20"/>
                <w:szCs w:val="20"/>
                <w:color w:val="auto"/>
              </w:rPr>
            </w:pPr>
            <w:r>
              <w:rPr>
                <w:rFonts w:ascii="Arial" w:cs="Arial" w:eastAsia="Arial" w:hAnsi="Arial"/>
                <w:sz w:val="14"/>
                <w:szCs w:val="14"/>
                <w:color w:val="auto"/>
              </w:rPr>
              <w:t>12.486427796%</w:t>
            </w:r>
          </w:p>
        </w:tc>
        <w:tc>
          <w:tcPr>
            <w:tcW w:w="1460" w:type="dxa"/>
            <w:vAlign w:val="bottom"/>
          </w:tcPr>
          <w:p>
            <w:pPr>
              <w:jc w:val="right"/>
              <w:ind w:right="68"/>
              <w:spacing w:after="0"/>
              <w:rPr>
                <w:sz w:val="20"/>
                <w:szCs w:val="20"/>
                <w:color w:val="auto"/>
              </w:rPr>
            </w:pPr>
            <w:r>
              <w:rPr>
                <w:rFonts w:ascii="Arial" w:cs="Arial" w:eastAsia="Arial" w:hAnsi="Arial"/>
                <w:sz w:val="14"/>
                <w:szCs w:val="14"/>
                <w:color w:val="auto"/>
              </w:rPr>
              <w:t>57,500,000.00</w:t>
            </w:r>
          </w:p>
        </w:tc>
        <w:tc>
          <w:tcPr>
            <w:tcW w:w="1180" w:type="dxa"/>
            <w:vAlign w:val="bottom"/>
          </w:tcPr>
          <w:p>
            <w:pPr>
              <w:jc w:val="right"/>
              <w:ind w:right="8"/>
              <w:spacing w:after="0"/>
              <w:rPr>
                <w:sz w:val="20"/>
                <w:szCs w:val="20"/>
                <w:color w:val="auto"/>
              </w:rPr>
            </w:pPr>
            <w:r>
              <w:rPr>
                <w:rFonts w:ascii="Arial" w:cs="Arial" w:eastAsia="Arial" w:hAnsi="Arial"/>
                <w:sz w:val="14"/>
                <w:szCs w:val="14"/>
                <w:color w:val="auto"/>
              </w:rPr>
              <w:t>13.068181818%</w:t>
            </w:r>
          </w:p>
        </w:tc>
        <w:tc>
          <w:tcPr>
            <w:tcW w:w="1320" w:type="dxa"/>
            <w:vAlign w:val="bottom"/>
          </w:tcPr>
          <w:p>
            <w:pPr>
              <w:jc w:val="right"/>
              <w:ind w:right="88"/>
              <w:spacing w:after="0"/>
              <w:rPr>
                <w:sz w:val="20"/>
                <w:szCs w:val="20"/>
                <w:color w:val="auto"/>
              </w:rPr>
            </w:pPr>
            <w:r>
              <w:rPr>
                <w:rFonts w:ascii="Arial" w:cs="Arial" w:eastAsia="Arial" w:hAnsi="Arial"/>
                <w:sz w:val="14"/>
                <w:szCs w:val="14"/>
                <w:color w:val="auto"/>
              </w:rPr>
              <w:t>$ 65,000,000.00</w:t>
            </w:r>
          </w:p>
        </w:tc>
        <w:tc>
          <w:tcPr>
            <w:tcW w:w="1120" w:type="dxa"/>
            <w:vAlign w:val="bottom"/>
          </w:tcPr>
          <w:p>
            <w:pPr>
              <w:jc w:val="right"/>
              <w:spacing w:after="0"/>
              <w:rPr>
                <w:sz w:val="20"/>
                <w:szCs w:val="20"/>
                <w:color w:val="auto"/>
              </w:rPr>
            </w:pPr>
            <w:r>
              <w:rPr>
                <w:rFonts w:ascii="Arial" w:cs="Arial" w:eastAsia="Arial" w:hAnsi="Arial"/>
                <w:sz w:val="14"/>
                <w:szCs w:val="14"/>
                <w:color w:val="auto"/>
              </w:rPr>
              <w:t>11.016949153%</w:t>
            </w:r>
          </w:p>
        </w:tc>
      </w:tr>
      <w:tr>
        <w:trPr>
          <w:trHeight w:val="270"/>
        </w:trPr>
        <w:tc>
          <w:tcPr>
            <w:tcW w:w="1580" w:type="dxa"/>
            <w:vAlign w:val="bottom"/>
          </w:tcPr>
          <w:p>
            <w:pPr>
              <w:spacing w:after="0"/>
              <w:rPr>
                <w:sz w:val="20"/>
                <w:szCs w:val="20"/>
                <w:color w:val="auto"/>
              </w:rPr>
            </w:pPr>
            <w:r>
              <w:rPr>
                <w:rFonts w:ascii="Arial" w:cs="Arial" w:eastAsia="Arial" w:hAnsi="Arial"/>
                <w:sz w:val="14"/>
                <w:szCs w:val="14"/>
                <w:color w:val="auto"/>
              </w:rPr>
              <w:t>BMO Harris Bank N.A.</w:t>
            </w:r>
          </w:p>
        </w:tc>
        <w:tc>
          <w:tcPr>
            <w:tcW w:w="1240" w:type="dxa"/>
            <w:vAlign w:val="bottom"/>
          </w:tcPr>
          <w:p>
            <w:pPr>
              <w:jc w:val="right"/>
              <w:spacing w:after="0"/>
              <w:rPr>
                <w:sz w:val="20"/>
                <w:szCs w:val="20"/>
                <w:color w:val="auto"/>
              </w:rPr>
            </w:pPr>
            <w:r>
              <w:rPr>
                <w:rFonts w:ascii="Arial" w:cs="Arial" w:eastAsia="Arial" w:hAnsi="Arial"/>
                <w:sz w:val="14"/>
                <w:szCs w:val="14"/>
                <w:color w:val="auto"/>
              </w:rPr>
              <w:t>65,000,000.00</w:t>
            </w:r>
          </w:p>
        </w:tc>
        <w:tc>
          <w:tcPr>
            <w:tcW w:w="1080" w:type="dxa"/>
            <w:vAlign w:val="bottom"/>
          </w:tcPr>
          <w:p>
            <w:pPr>
              <w:jc w:val="right"/>
              <w:ind w:right="28"/>
              <w:spacing w:after="0"/>
              <w:rPr>
                <w:sz w:val="20"/>
                <w:szCs w:val="20"/>
                <w:color w:val="auto"/>
              </w:rPr>
            </w:pPr>
            <w:r>
              <w:rPr>
                <w:rFonts w:ascii="Arial" w:cs="Arial" w:eastAsia="Arial" w:hAnsi="Arial"/>
                <w:sz w:val="14"/>
                <w:szCs w:val="14"/>
                <w:color w:val="auto"/>
                <w:w w:val="94"/>
              </w:rPr>
              <w:t>11.016949153%</w:t>
            </w:r>
          </w:p>
        </w:tc>
        <w:tc>
          <w:tcPr>
            <w:tcW w:w="118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146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1320" w:type="dxa"/>
            <w:vAlign w:val="bottom"/>
          </w:tcPr>
          <w:p>
            <w:pPr>
              <w:jc w:val="right"/>
              <w:ind w:right="88"/>
              <w:spacing w:after="0"/>
              <w:rPr>
                <w:sz w:val="20"/>
                <w:szCs w:val="20"/>
                <w:color w:val="auto"/>
              </w:rPr>
            </w:pPr>
            <w:r>
              <w:rPr>
                <w:rFonts w:ascii="Arial" w:cs="Arial" w:eastAsia="Arial" w:hAnsi="Arial"/>
                <w:sz w:val="14"/>
                <w:szCs w:val="14"/>
                <w:color w:val="auto"/>
              </w:rPr>
              <w:t>$ 65,000,000.00</w:t>
            </w:r>
          </w:p>
        </w:tc>
        <w:tc>
          <w:tcPr>
            <w:tcW w:w="1120" w:type="dxa"/>
            <w:vAlign w:val="bottom"/>
          </w:tcPr>
          <w:p>
            <w:pPr>
              <w:jc w:val="right"/>
              <w:spacing w:after="0"/>
              <w:rPr>
                <w:sz w:val="20"/>
                <w:szCs w:val="20"/>
                <w:color w:val="auto"/>
              </w:rPr>
            </w:pPr>
            <w:r>
              <w:rPr>
                <w:rFonts w:ascii="Arial" w:cs="Arial" w:eastAsia="Arial" w:hAnsi="Arial"/>
                <w:sz w:val="14"/>
                <w:szCs w:val="14"/>
                <w:color w:val="auto"/>
              </w:rPr>
              <w:t>11.016949153%</w:t>
            </w:r>
          </w:p>
        </w:tc>
      </w:tr>
      <w:tr>
        <w:trPr>
          <w:trHeight w:val="169"/>
        </w:trPr>
        <w:tc>
          <w:tcPr>
            <w:tcW w:w="1580" w:type="dxa"/>
            <w:vAlign w:val="bottom"/>
          </w:tcPr>
          <w:p>
            <w:pPr>
              <w:spacing w:after="0"/>
              <w:rPr>
                <w:sz w:val="20"/>
                <w:szCs w:val="20"/>
                <w:color w:val="auto"/>
              </w:rPr>
            </w:pPr>
            <w:r>
              <w:rPr>
                <w:rFonts w:ascii="Arial" w:cs="Arial" w:eastAsia="Arial" w:hAnsi="Arial"/>
                <w:sz w:val="14"/>
                <w:szCs w:val="14"/>
                <w:color w:val="auto"/>
              </w:rPr>
              <w:t>Bank of Montreal -</w:t>
            </w:r>
          </w:p>
        </w:tc>
        <w:tc>
          <w:tcPr>
            <w:tcW w:w="12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82"/>
        </w:trPr>
        <w:tc>
          <w:tcPr>
            <w:tcW w:w="1580" w:type="dxa"/>
            <w:vAlign w:val="bottom"/>
          </w:tcPr>
          <w:p>
            <w:pPr>
              <w:spacing w:after="0"/>
              <w:rPr>
                <w:sz w:val="20"/>
                <w:szCs w:val="20"/>
                <w:color w:val="auto"/>
              </w:rPr>
            </w:pPr>
            <w:r>
              <w:rPr>
                <w:rFonts w:ascii="Arial" w:cs="Arial" w:eastAsia="Arial" w:hAnsi="Arial"/>
                <w:sz w:val="14"/>
                <w:szCs w:val="14"/>
                <w:color w:val="auto"/>
              </w:rPr>
              <w:t>London</w:t>
            </w:r>
          </w:p>
        </w:tc>
        <w:tc>
          <w:tcPr>
            <w:tcW w:w="12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80" w:type="dxa"/>
            <w:vAlign w:val="bottom"/>
          </w:tcPr>
          <w:p>
            <w:pPr>
              <w:jc w:val="right"/>
              <w:ind w:right="68"/>
              <w:spacing w:after="0"/>
              <w:rPr>
                <w:sz w:val="20"/>
                <w:szCs w:val="20"/>
                <w:color w:val="auto"/>
              </w:rPr>
            </w:pPr>
            <w:r>
              <w:rPr>
                <w:rFonts w:ascii="Arial" w:cs="Arial" w:eastAsia="Arial" w:hAnsi="Arial"/>
                <w:sz w:val="14"/>
                <w:szCs w:val="14"/>
                <w:color w:val="auto"/>
              </w:rPr>
              <w:t>57,500,000.00</w:t>
            </w:r>
          </w:p>
        </w:tc>
        <w:tc>
          <w:tcPr>
            <w:tcW w:w="1140" w:type="dxa"/>
            <w:vAlign w:val="bottom"/>
          </w:tcPr>
          <w:p>
            <w:pPr>
              <w:jc w:val="right"/>
              <w:spacing w:after="0"/>
              <w:rPr>
                <w:sz w:val="20"/>
                <w:szCs w:val="20"/>
                <w:color w:val="auto"/>
              </w:rPr>
            </w:pPr>
            <w:r>
              <w:rPr>
                <w:rFonts w:ascii="Arial" w:cs="Arial" w:eastAsia="Arial" w:hAnsi="Arial"/>
                <w:sz w:val="14"/>
                <w:szCs w:val="14"/>
                <w:color w:val="auto"/>
              </w:rPr>
              <w:t>12.486427796%</w:t>
            </w:r>
          </w:p>
        </w:tc>
        <w:tc>
          <w:tcPr>
            <w:tcW w:w="1460" w:type="dxa"/>
            <w:vAlign w:val="bottom"/>
          </w:tcPr>
          <w:p>
            <w:pPr>
              <w:jc w:val="right"/>
              <w:ind w:right="68"/>
              <w:spacing w:after="0"/>
              <w:rPr>
                <w:sz w:val="20"/>
                <w:szCs w:val="20"/>
                <w:color w:val="auto"/>
              </w:rPr>
            </w:pPr>
            <w:r>
              <w:rPr>
                <w:rFonts w:ascii="Arial" w:cs="Arial" w:eastAsia="Arial" w:hAnsi="Arial"/>
                <w:sz w:val="14"/>
                <w:szCs w:val="14"/>
                <w:color w:val="auto"/>
              </w:rPr>
              <w:t>57,500,000.00</w:t>
            </w:r>
          </w:p>
        </w:tc>
        <w:tc>
          <w:tcPr>
            <w:tcW w:w="1180" w:type="dxa"/>
            <w:vAlign w:val="bottom"/>
          </w:tcPr>
          <w:p>
            <w:pPr>
              <w:jc w:val="right"/>
              <w:ind w:right="8"/>
              <w:spacing w:after="0"/>
              <w:rPr>
                <w:sz w:val="20"/>
                <w:szCs w:val="20"/>
                <w:color w:val="auto"/>
              </w:rPr>
            </w:pPr>
            <w:r>
              <w:rPr>
                <w:rFonts w:ascii="Arial" w:cs="Arial" w:eastAsia="Arial" w:hAnsi="Arial"/>
                <w:sz w:val="14"/>
                <w:szCs w:val="14"/>
                <w:color w:val="auto"/>
              </w:rPr>
              <w:t>13.068181818%</w:t>
            </w:r>
          </w:p>
        </w:tc>
        <w:tc>
          <w:tcPr>
            <w:tcW w:w="1320" w:type="dxa"/>
            <w:vAlign w:val="bottom"/>
          </w:tcPr>
          <w:p>
            <w:pPr>
              <w:spacing w:after="0"/>
              <w:rPr>
                <w:sz w:val="15"/>
                <w:szCs w:val="15"/>
                <w:color w:val="auto"/>
              </w:rPr>
            </w:pPr>
          </w:p>
        </w:tc>
        <w:tc>
          <w:tcPr>
            <w:tcW w:w="1120" w:type="dxa"/>
            <w:vAlign w:val="bottom"/>
          </w:tcPr>
          <w:p>
            <w:pPr>
              <w:spacing w:after="0"/>
              <w:rPr>
                <w:sz w:val="15"/>
                <w:szCs w:val="15"/>
                <w:color w:val="auto"/>
              </w:rPr>
            </w:pPr>
          </w:p>
        </w:tc>
      </w:tr>
      <w:tr>
        <w:trPr>
          <w:trHeight w:val="216"/>
        </w:trPr>
        <w:tc>
          <w:tcPr>
            <w:tcW w:w="1580" w:type="dxa"/>
            <w:vAlign w:val="bottom"/>
          </w:tcPr>
          <w:p>
            <w:pPr>
              <w:spacing w:after="0"/>
              <w:rPr>
                <w:sz w:val="20"/>
                <w:szCs w:val="20"/>
                <w:color w:val="auto"/>
              </w:rPr>
            </w:pPr>
            <w:r>
              <w:rPr>
                <w:rFonts w:ascii="Arial" w:cs="Arial" w:eastAsia="Arial" w:hAnsi="Arial"/>
                <w:sz w:val="14"/>
                <w:szCs w:val="14"/>
                <w:color w:val="auto"/>
              </w:rPr>
              <w:t>Wells Fargo Bank, N.A.</w:t>
            </w:r>
          </w:p>
        </w:tc>
        <w:tc>
          <w:tcPr>
            <w:tcW w:w="1240" w:type="dxa"/>
            <w:vAlign w:val="bottom"/>
          </w:tcPr>
          <w:p>
            <w:pPr>
              <w:jc w:val="right"/>
              <w:spacing w:after="0"/>
              <w:rPr>
                <w:sz w:val="20"/>
                <w:szCs w:val="20"/>
                <w:color w:val="auto"/>
              </w:rPr>
            </w:pPr>
            <w:r>
              <w:rPr>
                <w:rFonts w:ascii="Arial" w:cs="Arial" w:eastAsia="Arial" w:hAnsi="Arial"/>
                <w:sz w:val="14"/>
                <w:szCs w:val="14"/>
                <w:color w:val="auto"/>
              </w:rPr>
              <w:t>62,700,000.00</w:t>
            </w:r>
          </w:p>
        </w:tc>
        <w:tc>
          <w:tcPr>
            <w:tcW w:w="1080" w:type="dxa"/>
            <w:vAlign w:val="bottom"/>
          </w:tcPr>
          <w:p>
            <w:pPr>
              <w:jc w:val="right"/>
              <w:ind w:right="28"/>
              <w:spacing w:after="0"/>
              <w:rPr>
                <w:sz w:val="20"/>
                <w:szCs w:val="20"/>
                <w:color w:val="auto"/>
              </w:rPr>
            </w:pPr>
            <w:r>
              <w:rPr>
                <w:rFonts w:ascii="Arial" w:cs="Arial" w:eastAsia="Arial" w:hAnsi="Arial"/>
                <w:sz w:val="14"/>
                <w:szCs w:val="14"/>
                <w:color w:val="auto"/>
                <w:w w:val="94"/>
              </w:rPr>
              <w:t>10.627118644%</w:t>
            </w:r>
          </w:p>
        </w:tc>
        <w:tc>
          <w:tcPr>
            <w:tcW w:w="1180" w:type="dxa"/>
            <w:vAlign w:val="bottom"/>
          </w:tcPr>
          <w:p>
            <w:pPr>
              <w:jc w:val="right"/>
              <w:ind w:right="68"/>
              <w:spacing w:after="0"/>
              <w:rPr>
                <w:sz w:val="20"/>
                <w:szCs w:val="20"/>
                <w:color w:val="auto"/>
              </w:rPr>
            </w:pPr>
            <w:r>
              <w:rPr>
                <w:rFonts w:ascii="Arial" w:cs="Arial" w:eastAsia="Arial" w:hAnsi="Arial"/>
                <w:sz w:val="14"/>
                <w:szCs w:val="14"/>
                <w:color w:val="auto"/>
              </w:rPr>
              <w:t>52,500,000.00</w:t>
            </w:r>
          </w:p>
        </w:tc>
        <w:tc>
          <w:tcPr>
            <w:tcW w:w="1140" w:type="dxa"/>
            <w:vAlign w:val="bottom"/>
          </w:tcPr>
          <w:p>
            <w:pPr>
              <w:jc w:val="right"/>
              <w:spacing w:after="0"/>
              <w:rPr>
                <w:sz w:val="20"/>
                <w:szCs w:val="20"/>
                <w:color w:val="auto"/>
              </w:rPr>
            </w:pPr>
            <w:r>
              <w:rPr>
                <w:rFonts w:ascii="Arial" w:cs="Arial" w:eastAsia="Arial" w:hAnsi="Arial"/>
                <w:sz w:val="14"/>
                <w:szCs w:val="14"/>
                <w:color w:val="auto"/>
              </w:rPr>
              <w:t>11.400651466%</w:t>
            </w:r>
          </w:p>
        </w:tc>
        <w:tc>
          <w:tcPr>
            <w:tcW w:w="1460" w:type="dxa"/>
            <w:vAlign w:val="bottom"/>
          </w:tcPr>
          <w:p>
            <w:pPr>
              <w:jc w:val="right"/>
              <w:ind w:right="68"/>
              <w:spacing w:after="0"/>
              <w:rPr>
                <w:sz w:val="20"/>
                <w:szCs w:val="20"/>
                <w:color w:val="auto"/>
              </w:rPr>
            </w:pPr>
            <w:r>
              <w:rPr>
                <w:rFonts w:ascii="Arial" w:cs="Arial" w:eastAsia="Arial" w:hAnsi="Arial"/>
                <w:sz w:val="14"/>
                <w:szCs w:val="14"/>
                <w:color w:val="auto"/>
              </w:rPr>
              <w:t>52,500,000.00</w:t>
            </w:r>
          </w:p>
        </w:tc>
        <w:tc>
          <w:tcPr>
            <w:tcW w:w="1180" w:type="dxa"/>
            <w:vAlign w:val="bottom"/>
          </w:tcPr>
          <w:p>
            <w:pPr>
              <w:jc w:val="right"/>
              <w:ind w:right="8"/>
              <w:spacing w:after="0"/>
              <w:rPr>
                <w:sz w:val="20"/>
                <w:szCs w:val="20"/>
                <w:color w:val="auto"/>
              </w:rPr>
            </w:pPr>
            <w:r>
              <w:rPr>
                <w:rFonts w:ascii="Arial" w:cs="Arial" w:eastAsia="Arial" w:hAnsi="Arial"/>
                <w:sz w:val="14"/>
                <w:szCs w:val="14"/>
                <w:color w:val="auto"/>
              </w:rPr>
              <w:t>11.931818182%</w:t>
            </w:r>
          </w:p>
        </w:tc>
        <w:tc>
          <w:tcPr>
            <w:tcW w:w="1320" w:type="dxa"/>
            <w:vAlign w:val="bottom"/>
          </w:tcPr>
          <w:p>
            <w:pPr>
              <w:jc w:val="right"/>
              <w:ind w:right="88"/>
              <w:spacing w:after="0"/>
              <w:rPr>
                <w:sz w:val="20"/>
                <w:szCs w:val="20"/>
                <w:color w:val="auto"/>
              </w:rPr>
            </w:pPr>
            <w:r>
              <w:rPr>
                <w:rFonts w:ascii="Arial" w:cs="Arial" w:eastAsia="Arial" w:hAnsi="Arial"/>
                <w:sz w:val="14"/>
                <w:szCs w:val="14"/>
                <w:color w:val="auto"/>
              </w:rPr>
              <w:t>$ 62,700,000.00</w:t>
            </w:r>
          </w:p>
        </w:tc>
        <w:tc>
          <w:tcPr>
            <w:tcW w:w="1120" w:type="dxa"/>
            <w:vAlign w:val="bottom"/>
          </w:tcPr>
          <w:p>
            <w:pPr>
              <w:jc w:val="right"/>
              <w:spacing w:after="0"/>
              <w:rPr>
                <w:sz w:val="20"/>
                <w:szCs w:val="20"/>
                <w:color w:val="auto"/>
              </w:rPr>
            </w:pPr>
            <w:r>
              <w:rPr>
                <w:rFonts w:ascii="Arial" w:cs="Arial" w:eastAsia="Arial" w:hAnsi="Arial"/>
                <w:sz w:val="14"/>
                <w:szCs w:val="14"/>
                <w:color w:val="auto"/>
              </w:rPr>
              <w:t>10.627118644%</w:t>
            </w:r>
          </w:p>
        </w:tc>
      </w:tr>
      <w:tr>
        <w:trPr>
          <w:trHeight w:val="216"/>
        </w:trPr>
        <w:tc>
          <w:tcPr>
            <w:tcW w:w="1580" w:type="dxa"/>
            <w:vAlign w:val="bottom"/>
          </w:tcPr>
          <w:p>
            <w:pPr>
              <w:spacing w:after="0"/>
              <w:rPr>
                <w:sz w:val="20"/>
                <w:szCs w:val="20"/>
                <w:color w:val="auto"/>
              </w:rPr>
            </w:pPr>
            <w:r>
              <w:rPr>
                <w:rFonts w:ascii="Arial" w:cs="Arial" w:eastAsia="Arial" w:hAnsi="Arial"/>
                <w:sz w:val="14"/>
                <w:szCs w:val="14"/>
                <w:color w:val="auto"/>
              </w:rPr>
              <w:t>Compass Bank</w:t>
            </w:r>
          </w:p>
        </w:tc>
        <w:tc>
          <w:tcPr>
            <w:tcW w:w="1240" w:type="dxa"/>
            <w:vAlign w:val="bottom"/>
          </w:tcPr>
          <w:p>
            <w:pPr>
              <w:jc w:val="right"/>
              <w:spacing w:after="0"/>
              <w:rPr>
                <w:sz w:val="20"/>
                <w:szCs w:val="20"/>
                <w:color w:val="auto"/>
              </w:rPr>
            </w:pPr>
            <w:r>
              <w:rPr>
                <w:rFonts w:ascii="Arial" w:cs="Arial" w:eastAsia="Arial" w:hAnsi="Arial"/>
                <w:sz w:val="14"/>
                <w:szCs w:val="14"/>
                <w:color w:val="auto"/>
              </w:rPr>
              <w:t>65,000,000.00</w:t>
            </w:r>
          </w:p>
        </w:tc>
        <w:tc>
          <w:tcPr>
            <w:tcW w:w="1080" w:type="dxa"/>
            <w:vAlign w:val="bottom"/>
          </w:tcPr>
          <w:p>
            <w:pPr>
              <w:jc w:val="right"/>
              <w:ind w:right="28"/>
              <w:spacing w:after="0"/>
              <w:rPr>
                <w:sz w:val="20"/>
                <w:szCs w:val="20"/>
                <w:color w:val="auto"/>
              </w:rPr>
            </w:pPr>
            <w:r>
              <w:rPr>
                <w:rFonts w:ascii="Arial" w:cs="Arial" w:eastAsia="Arial" w:hAnsi="Arial"/>
                <w:sz w:val="14"/>
                <w:szCs w:val="14"/>
                <w:color w:val="auto"/>
                <w:w w:val="94"/>
              </w:rPr>
              <w:t>11.016949153%</w:t>
            </w:r>
          </w:p>
        </w:tc>
        <w:tc>
          <w:tcPr>
            <w:tcW w:w="1180" w:type="dxa"/>
            <w:vAlign w:val="bottom"/>
          </w:tcPr>
          <w:p>
            <w:pPr>
              <w:jc w:val="right"/>
              <w:ind w:right="68"/>
              <w:spacing w:after="0"/>
              <w:rPr>
                <w:sz w:val="20"/>
                <w:szCs w:val="20"/>
                <w:color w:val="auto"/>
              </w:rPr>
            </w:pPr>
            <w:r>
              <w:rPr>
                <w:rFonts w:ascii="Arial" w:cs="Arial" w:eastAsia="Arial" w:hAnsi="Arial"/>
                <w:sz w:val="14"/>
                <w:szCs w:val="14"/>
                <w:color w:val="auto"/>
              </w:rPr>
              <w:t>57,500,000.00</w:t>
            </w:r>
          </w:p>
        </w:tc>
        <w:tc>
          <w:tcPr>
            <w:tcW w:w="1140" w:type="dxa"/>
            <w:vAlign w:val="bottom"/>
          </w:tcPr>
          <w:p>
            <w:pPr>
              <w:jc w:val="right"/>
              <w:spacing w:after="0"/>
              <w:rPr>
                <w:sz w:val="20"/>
                <w:szCs w:val="20"/>
                <w:color w:val="auto"/>
              </w:rPr>
            </w:pPr>
            <w:r>
              <w:rPr>
                <w:rFonts w:ascii="Arial" w:cs="Arial" w:eastAsia="Arial" w:hAnsi="Arial"/>
                <w:sz w:val="14"/>
                <w:szCs w:val="14"/>
                <w:color w:val="auto"/>
              </w:rPr>
              <w:t>12.486427796%</w:t>
            </w:r>
          </w:p>
        </w:tc>
        <w:tc>
          <w:tcPr>
            <w:tcW w:w="1460" w:type="dxa"/>
            <w:vAlign w:val="bottom"/>
          </w:tcPr>
          <w:p>
            <w:pPr>
              <w:jc w:val="right"/>
              <w:ind w:right="68"/>
              <w:spacing w:after="0"/>
              <w:rPr>
                <w:sz w:val="20"/>
                <w:szCs w:val="20"/>
                <w:color w:val="auto"/>
              </w:rPr>
            </w:pPr>
            <w:r>
              <w:rPr>
                <w:rFonts w:ascii="Arial" w:cs="Arial" w:eastAsia="Arial" w:hAnsi="Arial"/>
                <w:sz w:val="14"/>
                <w:szCs w:val="14"/>
                <w:color w:val="auto"/>
              </w:rPr>
              <w:t>57,500,000.00</w:t>
            </w:r>
          </w:p>
        </w:tc>
        <w:tc>
          <w:tcPr>
            <w:tcW w:w="1180" w:type="dxa"/>
            <w:vAlign w:val="bottom"/>
          </w:tcPr>
          <w:p>
            <w:pPr>
              <w:jc w:val="right"/>
              <w:ind w:right="8"/>
              <w:spacing w:after="0"/>
              <w:rPr>
                <w:sz w:val="20"/>
                <w:szCs w:val="20"/>
                <w:color w:val="auto"/>
              </w:rPr>
            </w:pPr>
            <w:r>
              <w:rPr>
                <w:rFonts w:ascii="Arial" w:cs="Arial" w:eastAsia="Arial" w:hAnsi="Arial"/>
                <w:sz w:val="14"/>
                <w:szCs w:val="14"/>
                <w:color w:val="auto"/>
              </w:rPr>
              <w:t>13.068181818%</w:t>
            </w:r>
          </w:p>
        </w:tc>
        <w:tc>
          <w:tcPr>
            <w:tcW w:w="1320" w:type="dxa"/>
            <w:vAlign w:val="bottom"/>
          </w:tcPr>
          <w:p>
            <w:pPr>
              <w:jc w:val="right"/>
              <w:ind w:right="88"/>
              <w:spacing w:after="0"/>
              <w:rPr>
                <w:sz w:val="20"/>
                <w:szCs w:val="20"/>
                <w:color w:val="auto"/>
              </w:rPr>
            </w:pPr>
            <w:r>
              <w:rPr>
                <w:rFonts w:ascii="Arial" w:cs="Arial" w:eastAsia="Arial" w:hAnsi="Arial"/>
                <w:sz w:val="14"/>
                <w:szCs w:val="14"/>
                <w:color w:val="auto"/>
              </w:rPr>
              <w:t>$ 65,000,000.00</w:t>
            </w:r>
          </w:p>
        </w:tc>
        <w:tc>
          <w:tcPr>
            <w:tcW w:w="1120" w:type="dxa"/>
            <w:vAlign w:val="bottom"/>
          </w:tcPr>
          <w:p>
            <w:pPr>
              <w:jc w:val="right"/>
              <w:spacing w:after="0"/>
              <w:rPr>
                <w:sz w:val="20"/>
                <w:szCs w:val="20"/>
                <w:color w:val="auto"/>
              </w:rPr>
            </w:pPr>
            <w:r>
              <w:rPr>
                <w:rFonts w:ascii="Arial" w:cs="Arial" w:eastAsia="Arial" w:hAnsi="Arial"/>
                <w:sz w:val="14"/>
                <w:szCs w:val="14"/>
                <w:color w:val="auto"/>
              </w:rPr>
              <w:t>11.016949153%</w:t>
            </w:r>
          </w:p>
        </w:tc>
      </w:tr>
    </w:tbl>
    <w:p>
      <w:pPr>
        <w:sectPr>
          <w:pgSz w:w="11900" w:h="16838" w:orient="portrait"/>
          <w:cols w:equalWidth="0" w:num="1">
            <w:col w:w="11420"/>
          </w:cols>
          <w:pgMar w:left="240" w:top="366" w:right="239" w:bottom="1440" w:gutter="0" w:footer="0" w:header="0"/>
        </w:sectPr>
      </w:pPr>
    </w:p>
    <w:bookmarkStart w:id="261" w:name="page262"/>
    <w:bookmarkEnd w:id="26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580" w:type="dxa"/>
            <w:vAlign w:val="bottom"/>
          </w:tcPr>
          <w:p>
            <w:pPr>
              <w:spacing w:after="0"/>
              <w:rPr>
                <w:sz w:val="20"/>
                <w:szCs w:val="20"/>
                <w:color w:val="auto"/>
              </w:rPr>
            </w:pPr>
            <w:r>
              <w:rPr>
                <w:rFonts w:ascii="Arial" w:cs="Arial" w:eastAsia="Arial" w:hAnsi="Arial"/>
                <w:sz w:val="14"/>
                <w:szCs w:val="14"/>
                <w:color w:val="auto"/>
              </w:rPr>
              <w:t>KeyBank National</w:t>
            </w:r>
          </w:p>
        </w:tc>
        <w:tc>
          <w:tcPr>
            <w:tcW w:w="12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182"/>
        </w:trPr>
        <w:tc>
          <w:tcPr>
            <w:tcW w:w="1580" w:type="dxa"/>
            <w:vAlign w:val="bottom"/>
          </w:tcPr>
          <w:p>
            <w:pPr>
              <w:spacing w:after="0"/>
              <w:rPr>
                <w:sz w:val="20"/>
                <w:szCs w:val="20"/>
                <w:color w:val="auto"/>
              </w:rPr>
            </w:pPr>
            <w:r>
              <w:rPr>
                <w:rFonts w:ascii="Arial" w:cs="Arial" w:eastAsia="Arial" w:hAnsi="Arial"/>
                <w:sz w:val="14"/>
                <w:szCs w:val="14"/>
                <w:color w:val="auto"/>
              </w:rPr>
              <w:t>Association</w:t>
            </w:r>
          </w:p>
        </w:tc>
        <w:tc>
          <w:tcPr>
            <w:tcW w:w="1280" w:type="dxa"/>
            <w:vAlign w:val="bottom"/>
          </w:tcPr>
          <w:p>
            <w:pPr>
              <w:jc w:val="right"/>
              <w:spacing w:after="0"/>
              <w:rPr>
                <w:sz w:val="20"/>
                <w:szCs w:val="20"/>
                <w:color w:val="auto"/>
              </w:rPr>
            </w:pPr>
            <w:r>
              <w:rPr>
                <w:rFonts w:ascii="Arial" w:cs="Arial" w:eastAsia="Arial" w:hAnsi="Arial"/>
                <w:sz w:val="14"/>
                <w:szCs w:val="14"/>
                <w:color w:val="auto"/>
              </w:rPr>
              <w:t>59,100,000.00</w:t>
            </w:r>
          </w:p>
        </w:tc>
        <w:tc>
          <w:tcPr>
            <w:tcW w:w="1060" w:type="dxa"/>
            <w:vAlign w:val="bottom"/>
          </w:tcPr>
          <w:p>
            <w:pPr>
              <w:jc w:val="right"/>
              <w:spacing w:after="0"/>
              <w:rPr>
                <w:sz w:val="20"/>
                <w:szCs w:val="20"/>
                <w:color w:val="auto"/>
              </w:rPr>
            </w:pPr>
            <w:r>
              <w:rPr>
                <w:rFonts w:ascii="Arial" w:cs="Arial" w:eastAsia="Arial" w:hAnsi="Arial"/>
                <w:sz w:val="14"/>
                <w:szCs w:val="14"/>
                <w:color w:val="auto"/>
                <w:w w:val="98"/>
              </w:rPr>
              <w:t>10.016949153%</w:t>
            </w:r>
          </w:p>
        </w:tc>
        <w:tc>
          <w:tcPr>
            <w:tcW w:w="1200" w:type="dxa"/>
            <w:vAlign w:val="bottom"/>
          </w:tcPr>
          <w:p>
            <w:pPr>
              <w:jc w:val="right"/>
              <w:ind w:right="28"/>
              <w:spacing w:after="0"/>
              <w:rPr>
                <w:sz w:val="20"/>
                <w:szCs w:val="20"/>
                <w:color w:val="auto"/>
              </w:rPr>
            </w:pPr>
            <w:r>
              <w:rPr>
                <w:rFonts w:ascii="Arial" w:cs="Arial" w:eastAsia="Arial" w:hAnsi="Arial"/>
                <w:sz w:val="14"/>
                <w:szCs w:val="14"/>
                <w:color w:val="auto"/>
              </w:rPr>
              <w:t>34,500,000.00</w:t>
            </w:r>
          </w:p>
        </w:tc>
        <w:tc>
          <w:tcPr>
            <w:tcW w:w="1200" w:type="dxa"/>
            <w:vAlign w:val="bottom"/>
          </w:tcPr>
          <w:p>
            <w:pPr>
              <w:jc w:val="right"/>
              <w:spacing w:after="0"/>
              <w:rPr>
                <w:sz w:val="20"/>
                <w:szCs w:val="20"/>
                <w:color w:val="auto"/>
              </w:rPr>
            </w:pPr>
            <w:r>
              <w:rPr>
                <w:rFonts w:ascii="Arial" w:cs="Arial" w:eastAsia="Arial" w:hAnsi="Arial"/>
                <w:sz w:val="14"/>
                <w:szCs w:val="14"/>
                <w:color w:val="auto"/>
              </w:rPr>
              <w:t>7.491856678%</w:t>
            </w:r>
          </w:p>
        </w:tc>
        <w:tc>
          <w:tcPr>
            <w:tcW w:w="1340" w:type="dxa"/>
            <w:vAlign w:val="bottom"/>
          </w:tcPr>
          <w:p>
            <w:pPr>
              <w:jc w:val="right"/>
              <w:spacing w:after="0"/>
              <w:rPr>
                <w:sz w:val="20"/>
                <w:szCs w:val="20"/>
                <w:color w:val="auto"/>
              </w:rPr>
            </w:pPr>
            <w:r>
              <w:rPr>
                <w:rFonts w:ascii="Arial" w:cs="Arial" w:eastAsia="Arial" w:hAnsi="Arial"/>
                <w:sz w:val="14"/>
                <w:szCs w:val="14"/>
                <w:color w:val="auto"/>
              </w:rPr>
              <w:t>34,000,000.00</w:t>
            </w:r>
          </w:p>
        </w:tc>
        <w:tc>
          <w:tcPr>
            <w:tcW w:w="1260" w:type="dxa"/>
            <w:vAlign w:val="bottom"/>
          </w:tcPr>
          <w:p>
            <w:pPr>
              <w:jc w:val="right"/>
              <w:spacing w:after="0"/>
              <w:rPr>
                <w:sz w:val="20"/>
                <w:szCs w:val="20"/>
                <w:color w:val="auto"/>
              </w:rPr>
            </w:pPr>
            <w:r>
              <w:rPr>
                <w:rFonts w:ascii="Arial" w:cs="Arial" w:eastAsia="Arial" w:hAnsi="Arial"/>
                <w:sz w:val="14"/>
                <w:szCs w:val="14"/>
                <w:color w:val="auto"/>
              </w:rPr>
              <w:t>7.727272727%</w:t>
            </w:r>
          </w:p>
        </w:tc>
        <w:tc>
          <w:tcPr>
            <w:tcW w:w="1300" w:type="dxa"/>
            <w:vAlign w:val="bottom"/>
          </w:tcPr>
          <w:p>
            <w:pPr>
              <w:jc w:val="right"/>
              <w:ind w:right="48"/>
              <w:spacing w:after="0"/>
              <w:rPr>
                <w:sz w:val="20"/>
                <w:szCs w:val="20"/>
                <w:color w:val="auto"/>
              </w:rPr>
            </w:pPr>
            <w:r>
              <w:rPr>
                <w:rFonts w:ascii="Arial" w:cs="Arial" w:eastAsia="Arial" w:hAnsi="Arial"/>
                <w:sz w:val="14"/>
                <w:szCs w:val="14"/>
                <w:color w:val="auto"/>
              </w:rPr>
              <w:t>$ 59,100,000.00</w:t>
            </w:r>
          </w:p>
        </w:tc>
        <w:tc>
          <w:tcPr>
            <w:tcW w:w="1160" w:type="dxa"/>
            <w:vAlign w:val="bottom"/>
          </w:tcPr>
          <w:p>
            <w:pPr>
              <w:jc w:val="right"/>
              <w:spacing w:after="0"/>
              <w:rPr>
                <w:sz w:val="20"/>
                <w:szCs w:val="20"/>
                <w:color w:val="auto"/>
              </w:rPr>
            </w:pPr>
            <w:r>
              <w:rPr>
                <w:rFonts w:ascii="Arial" w:cs="Arial" w:eastAsia="Arial" w:hAnsi="Arial"/>
                <w:sz w:val="14"/>
                <w:szCs w:val="14"/>
                <w:color w:val="auto"/>
              </w:rPr>
              <w:t>10.016949153%</w:t>
            </w:r>
          </w:p>
        </w:tc>
      </w:tr>
      <w:tr>
        <w:trPr>
          <w:trHeight w:val="203"/>
        </w:trPr>
        <w:tc>
          <w:tcPr>
            <w:tcW w:w="1580" w:type="dxa"/>
            <w:vAlign w:val="bottom"/>
          </w:tcPr>
          <w:p>
            <w:pPr>
              <w:spacing w:after="0"/>
              <w:rPr>
                <w:sz w:val="20"/>
                <w:szCs w:val="20"/>
                <w:color w:val="auto"/>
              </w:rPr>
            </w:pPr>
            <w:r>
              <w:rPr>
                <w:rFonts w:ascii="Arial" w:cs="Arial" w:eastAsia="Arial" w:hAnsi="Arial"/>
                <w:sz w:val="14"/>
                <w:szCs w:val="14"/>
                <w:color w:val="auto"/>
              </w:rPr>
              <w:t>Regions Bank</w:t>
            </w:r>
          </w:p>
        </w:tc>
        <w:tc>
          <w:tcPr>
            <w:tcW w:w="1280" w:type="dxa"/>
            <w:vAlign w:val="bottom"/>
          </w:tcPr>
          <w:p>
            <w:pPr>
              <w:jc w:val="right"/>
              <w:spacing w:after="0"/>
              <w:rPr>
                <w:sz w:val="20"/>
                <w:szCs w:val="20"/>
                <w:color w:val="auto"/>
              </w:rPr>
            </w:pPr>
            <w:r>
              <w:rPr>
                <w:rFonts w:ascii="Arial" w:cs="Arial" w:eastAsia="Arial" w:hAnsi="Arial"/>
                <w:sz w:val="14"/>
                <w:szCs w:val="14"/>
                <w:color w:val="auto"/>
              </w:rPr>
              <w:t>59,100,000.00</w:t>
            </w:r>
          </w:p>
        </w:tc>
        <w:tc>
          <w:tcPr>
            <w:tcW w:w="1060" w:type="dxa"/>
            <w:vAlign w:val="bottom"/>
          </w:tcPr>
          <w:p>
            <w:pPr>
              <w:jc w:val="right"/>
              <w:spacing w:after="0"/>
              <w:rPr>
                <w:sz w:val="20"/>
                <w:szCs w:val="20"/>
                <w:color w:val="auto"/>
              </w:rPr>
            </w:pPr>
            <w:r>
              <w:rPr>
                <w:rFonts w:ascii="Arial" w:cs="Arial" w:eastAsia="Arial" w:hAnsi="Arial"/>
                <w:sz w:val="14"/>
                <w:szCs w:val="14"/>
                <w:color w:val="auto"/>
                <w:w w:val="98"/>
              </w:rPr>
              <w:t>10.016949153%</w:t>
            </w:r>
          </w:p>
        </w:tc>
        <w:tc>
          <w:tcPr>
            <w:tcW w:w="1200" w:type="dxa"/>
            <w:vAlign w:val="bottom"/>
          </w:tcPr>
          <w:p>
            <w:pPr>
              <w:jc w:val="right"/>
              <w:ind w:right="28"/>
              <w:spacing w:after="0"/>
              <w:rPr>
                <w:sz w:val="20"/>
                <w:szCs w:val="20"/>
                <w:color w:val="auto"/>
              </w:rPr>
            </w:pPr>
            <w:r>
              <w:rPr>
                <w:rFonts w:ascii="Arial" w:cs="Arial" w:eastAsia="Arial" w:hAnsi="Arial"/>
                <w:sz w:val="14"/>
                <w:szCs w:val="14"/>
                <w:color w:val="auto"/>
              </w:rPr>
              <w:t>34,500,000.00</w:t>
            </w:r>
          </w:p>
        </w:tc>
        <w:tc>
          <w:tcPr>
            <w:tcW w:w="1200" w:type="dxa"/>
            <w:vAlign w:val="bottom"/>
          </w:tcPr>
          <w:p>
            <w:pPr>
              <w:jc w:val="right"/>
              <w:spacing w:after="0"/>
              <w:rPr>
                <w:sz w:val="20"/>
                <w:szCs w:val="20"/>
                <w:color w:val="auto"/>
              </w:rPr>
            </w:pPr>
            <w:r>
              <w:rPr>
                <w:rFonts w:ascii="Arial" w:cs="Arial" w:eastAsia="Arial" w:hAnsi="Arial"/>
                <w:sz w:val="14"/>
                <w:szCs w:val="14"/>
                <w:color w:val="auto"/>
              </w:rPr>
              <w:t>7.491856678%</w:t>
            </w:r>
          </w:p>
        </w:tc>
        <w:tc>
          <w:tcPr>
            <w:tcW w:w="1340" w:type="dxa"/>
            <w:vAlign w:val="bottom"/>
          </w:tcPr>
          <w:p>
            <w:pPr>
              <w:jc w:val="right"/>
              <w:spacing w:after="0"/>
              <w:rPr>
                <w:sz w:val="20"/>
                <w:szCs w:val="20"/>
                <w:color w:val="auto"/>
              </w:rPr>
            </w:pPr>
            <w:r>
              <w:rPr>
                <w:rFonts w:ascii="Arial" w:cs="Arial" w:eastAsia="Arial" w:hAnsi="Arial"/>
                <w:sz w:val="14"/>
                <w:szCs w:val="14"/>
                <w:color w:val="auto"/>
              </w:rPr>
              <w:t>34,000,000.00</w:t>
            </w:r>
          </w:p>
        </w:tc>
        <w:tc>
          <w:tcPr>
            <w:tcW w:w="1260" w:type="dxa"/>
            <w:vAlign w:val="bottom"/>
          </w:tcPr>
          <w:p>
            <w:pPr>
              <w:jc w:val="right"/>
              <w:spacing w:after="0"/>
              <w:rPr>
                <w:sz w:val="20"/>
                <w:szCs w:val="20"/>
                <w:color w:val="auto"/>
              </w:rPr>
            </w:pPr>
            <w:r>
              <w:rPr>
                <w:rFonts w:ascii="Arial" w:cs="Arial" w:eastAsia="Arial" w:hAnsi="Arial"/>
                <w:sz w:val="14"/>
                <w:szCs w:val="14"/>
                <w:color w:val="auto"/>
              </w:rPr>
              <w:t>7.727272727%</w:t>
            </w:r>
          </w:p>
        </w:tc>
        <w:tc>
          <w:tcPr>
            <w:tcW w:w="1300" w:type="dxa"/>
            <w:vAlign w:val="bottom"/>
          </w:tcPr>
          <w:p>
            <w:pPr>
              <w:jc w:val="right"/>
              <w:ind w:right="48"/>
              <w:spacing w:after="0"/>
              <w:rPr>
                <w:sz w:val="20"/>
                <w:szCs w:val="20"/>
                <w:color w:val="auto"/>
              </w:rPr>
            </w:pPr>
            <w:r>
              <w:rPr>
                <w:rFonts w:ascii="Arial" w:cs="Arial" w:eastAsia="Arial" w:hAnsi="Arial"/>
                <w:sz w:val="14"/>
                <w:szCs w:val="14"/>
                <w:color w:val="auto"/>
              </w:rPr>
              <w:t>$ 59,100,000.00</w:t>
            </w:r>
          </w:p>
        </w:tc>
        <w:tc>
          <w:tcPr>
            <w:tcW w:w="1160" w:type="dxa"/>
            <w:vAlign w:val="bottom"/>
          </w:tcPr>
          <w:p>
            <w:pPr>
              <w:jc w:val="right"/>
              <w:spacing w:after="0"/>
              <w:rPr>
                <w:sz w:val="20"/>
                <w:szCs w:val="20"/>
                <w:color w:val="auto"/>
              </w:rPr>
            </w:pPr>
            <w:r>
              <w:rPr>
                <w:rFonts w:ascii="Arial" w:cs="Arial" w:eastAsia="Arial" w:hAnsi="Arial"/>
                <w:sz w:val="14"/>
                <w:szCs w:val="14"/>
                <w:color w:val="auto"/>
              </w:rPr>
              <w:t>10.016949153%</w:t>
            </w:r>
          </w:p>
        </w:tc>
      </w:tr>
      <w:tr>
        <w:trPr>
          <w:trHeight w:val="203"/>
        </w:trPr>
        <w:tc>
          <w:tcPr>
            <w:tcW w:w="1580" w:type="dxa"/>
            <w:vAlign w:val="bottom"/>
          </w:tcPr>
          <w:p>
            <w:pPr>
              <w:spacing w:after="0"/>
              <w:rPr>
                <w:sz w:val="20"/>
                <w:szCs w:val="20"/>
                <w:color w:val="auto"/>
              </w:rPr>
            </w:pPr>
            <w:r>
              <w:rPr>
                <w:rFonts w:ascii="Arial" w:cs="Arial" w:eastAsia="Arial" w:hAnsi="Arial"/>
                <w:sz w:val="14"/>
                <w:szCs w:val="14"/>
                <w:color w:val="auto"/>
              </w:rPr>
              <w:t>Barclays Bank</w:t>
            </w:r>
          </w:p>
        </w:tc>
        <w:tc>
          <w:tcPr>
            <w:tcW w:w="1280" w:type="dxa"/>
            <w:vAlign w:val="bottom"/>
          </w:tcPr>
          <w:p>
            <w:pPr>
              <w:jc w:val="right"/>
              <w:spacing w:after="0"/>
              <w:rPr>
                <w:sz w:val="20"/>
                <w:szCs w:val="20"/>
                <w:color w:val="auto"/>
              </w:rPr>
            </w:pPr>
            <w:r>
              <w:rPr>
                <w:rFonts w:ascii="Arial" w:cs="Arial" w:eastAsia="Arial" w:hAnsi="Arial"/>
                <w:sz w:val="14"/>
                <w:szCs w:val="14"/>
                <w:color w:val="auto"/>
              </w:rPr>
              <w:t>45,000,000.00</w:t>
            </w:r>
          </w:p>
        </w:tc>
        <w:tc>
          <w:tcPr>
            <w:tcW w:w="1060" w:type="dxa"/>
            <w:vAlign w:val="bottom"/>
          </w:tcPr>
          <w:p>
            <w:pPr>
              <w:jc w:val="right"/>
              <w:spacing w:after="0"/>
              <w:rPr>
                <w:sz w:val="20"/>
                <w:szCs w:val="20"/>
                <w:color w:val="auto"/>
              </w:rPr>
            </w:pPr>
            <w:r>
              <w:rPr>
                <w:rFonts w:ascii="Arial" w:cs="Arial" w:eastAsia="Arial" w:hAnsi="Arial"/>
                <w:sz w:val="14"/>
                <w:szCs w:val="14"/>
                <w:color w:val="auto"/>
              </w:rPr>
              <w:t>7.627118644%</w:t>
            </w:r>
          </w:p>
        </w:tc>
        <w:tc>
          <w:tcPr>
            <w:tcW w:w="1200" w:type="dxa"/>
            <w:vAlign w:val="bottom"/>
          </w:tcPr>
          <w:p>
            <w:pPr>
              <w:jc w:val="right"/>
              <w:ind w:right="28"/>
              <w:spacing w:after="0"/>
              <w:rPr>
                <w:sz w:val="20"/>
                <w:szCs w:val="20"/>
                <w:color w:val="auto"/>
              </w:rPr>
            </w:pPr>
            <w:r>
              <w:rPr>
                <w:rFonts w:ascii="Arial" w:cs="Arial" w:eastAsia="Arial" w:hAnsi="Arial"/>
                <w:sz w:val="14"/>
                <w:szCs w:val="14"/>
                <w:color w:val="auto"/>
              </w:rPr>
              <w:t>35,000,000.00</w:t>
            </w:r>
          </w:p>
        </w:tc>
        <w:tc>
          <w:tcPr>
            <w:tcW w:w="1200" w:type="dxa"/>
            <w:vAlign w:val="bottom"/>
          </w:tcPr>
          <w:p>
            <w:pPr>
              <w:jc w:val="right"/>
              <w:spacing w:after="0"/>
              <w:rPr>
                <w:sz w:val="20"/>
                <w:szCs w:val="20"/>
                <w:color w:val="auto"/>
              </w:rPr>
            </w:pPr>
            <w:r>
              <w:rPr>
                <w:rFonts w:ascii="Arial" w:cs="Arial" w:eastAsia="Arial" w:hAnsi="Arial"/>
                <w:sz w:val="14"/>
                <w:szCs w:val="14"/>
                <w:color w:val="auto"/>
              </w:rPr>
              <w:t>7.600434311%</w:t>
            </w:r>
          </w:p>
        </w:tc>
        <w:tc>
          <w:tcPr>
            <w:tcW w:w="1340" w:type="dxa"/>
            <w:vAlign w:val="bottom"/>
          </w:tcPr>
          <w:p>
            <w:pPr>
              <w:jc w:val="right"/>
              <w:spacing w:after="0"/>
              <w:rPr>
                <w:sz w:val="20"/>
                <w:szCs w:val="20"/>
                <w:color w:val="auto"/>
              </w:rPr>
            </w:pPr>
            <w:r>
              <w:rPr>
                <w:rFonts w:ascii="Arial" w:cs="Arial" w:eastAsia="Arial" w:hAnsi="Arial"/>
                <w:sz w:val="14"/>
                <w:szCs w:val="14"/>
                <w:color w:val="auto"/>
              </w:rPr>
              <w:t>35,000,000.00</w:t>
            </w:r>
          </w:p>
        </w:tc>
        <w:tc>
          <w:tcPr>
            <w:tcW w:w="1260" w:type="dxa"/>
            <w:vAlign w:val="bottom"/>
          </w:tcPr>
          <w:p>
            <w:pPr>
              <w:jc w:val="right"/>
              <w:spacing w:after="0"/>
              <w:rPr>
                <w:sz w:val="20"/>
                <w:szCs w:val="20"/>
                <w:color w:val="auto"/>
              </w:rPr>
            </w:pPr>
            <w:r>
              <w:rPr>
                <w:rFonts w:ascii="Arial" w:cs="Arial" w:eastAsia="Arial" w:hAnsi="Arial"/>
                <w:sz w:val="14"/>
                <w:szCs w:val="14"/>
                <w:color w:val="auto"/>
              </w:rPr>
              <w:t>7.954545455%</w:t>
            </w:r>
          </w:p>
        </w:tc>
        <w:tc>
          <w:tcPr>
            <w:tcW w:w="1300" w:type="dxa"/>
            <w:vAlign w:val="bottom"/>
          </w:tcPr>
          <w:p>
            <w:pPr>
              <w:jc w:val="right"/>
              <w:ind w:right="48"/>
              <w:spacing w:after="0"/>
              <w:rPr>
                <w:sz w:val="20"/>
                <w:szCs w:val="20"/>
                <w:color w:val="auto"/>
              </w:rPr>
            </w:pPr>
            <w:r>
              <w:rPr>
                <w:rFonts w:ascii="Arial" w:cs="Arial" w:eastAsia="Arial" w:hAnsi="Arial"/>
                <w:sz w:val="14"/>
                <w:szCs w:val="14"/>
                <w:color w:val="auto"/>
              </w:rPr>
              <w:t>$ 45,000,000.00</w:t>
            </w:r>
          </w:p>
        </w:tc>
        <w:tc>
          <w:tcPr>
            <w:tcW w:w="1160" w:type="dxa"/>
            <w:vAlign w:val="bottom"/>
          </w:tcPr>
          <w:p>
            <w:pPr>
              <w:jc w:val="right"/>
              <w:spacing w:after="0"/>
              <w:rPr>
                <w:sz w:val="20"/>
                <w:szCs w:val="20"/>
                <w:color w:val="auto"/>
              </w:rPr>
            </w:pPr>
            <w:r>
              <w:rPr>
                <w:rFonts w:ascii="Arial" w:cs="Arial" w:eastAsia="Arial" w:hAnsi="Arial"/>
                <w:sz w:val="14"/>
                <w:szCs w:val="14"/>
                <w:color w:val="auto"/>
              </w:rPr>
              <w:t>7.627118644%</w:t>
            </w:r>
          </w:p>
        </w:tc>
      </w:tr>
      <w:tr>
        <w:trPr>
          <w:trHeight w:val="203"/>
        </w:trPr>
        <w:tc>
          <w:tcPr>
            <w:tcW w:w="1580" w:type="dxa"/>
            <w:vAlign w:val="bottom"/>
          </w:tcPr>
          <w:p>
            <w:pPr>
              <w:spacing w:after="0"/>
              <w:rPr>
                <w:sz w:val="20"/>
                <w:szCs w:val="20"/>
                <w:color w:val="auto"/>
              </w:rPr>
            </w:pPr>
            <w:r>
              <w:rPr>
                <w:rFonts w:ascii="Arial" w:cs="Arial" w:eastAsia="Arial" w:hAnsi="Arial"/>
                <w:sz w:val="14"/>
                <w:szCs w:val="14"/>
                <w:color w:val="auto"/>
              </w:rPr>
              <w:t>Fifth Third Bank</w:t>
            </w:r>
          </w:p>
        </w:tc>
        <w:tc>
          <w:tcPr>
            <w:tcW w:w="1280" w:type="dxa"/>
            <w:vAlign w:val="bottom"/>
          </w:tcPr>
          <w:p>
            <w:pPr>
              <w:jc w:val="right"/>
              <w:spacing w:after="0"/>
              <w:rPr>
                <w:sz w:val="20"/>
                <w:szCs w:val="20"/>
                <w:color w:val="auto"/>
              </w:rPr>
            </w:pPr>
            <w:r>
              <w:rPr>
                <w:rFonts w:ascii="Arial" w:cs="Arial" w:eastAsia="Arial" w:hAnsi="Arial"/>
                <w:sz w:val="14"/>
                <w:szCs w:val="14"/>
                <w:color w:val="auto"/>
              </w:rPr>
              <w:t>22,500,000.00</w:t>
            </w:r>
          </w:p>
        </w:tc>
        <w:tc>
          <w:tcPr>
            <w:tcW w:w="1060" w:type="dxa"/>
            <w:vAlign w:val="bottom"/>
          </w:tcPr>
          <w:p>
            <w:pPr>
              <w:jc w:val="right"/>
              <w:spacing w:after="0"/>
              <w:rPr>
                <w:sz w:val="20"/>
                <w:szCs w:val="20"/>
                <w:color w:val="auto"/>
              </w:rPr>
            </w:pPr>
            <w:r>
              <w:rPr>
                <w:rFonts w:ascii="Arial" w:cs="Arial" w:eastAsia="Arial" w:hAnsi="Arial"/>
                <w:sz w:val="14"/>
                <w:szCs w:val="14"/>
                <w:color w:val="auto"/>
              </w:rPr>
              <w:t>3.813559322%</w:t>
            </w:r>
          </w:p>
        </w:tc>
        <w:tc>
          <w:tcPr>
            <w:tcW w:w="1200" w:type="dxa"/>
            <w:vAlign w:val="bottom"/>
          </w:tcPr>
          <w:p>
            <w:pPr>
              <w:jc w:val="right"/>
              <w:ind w:right="28"/>
              <w:spacing w:after="0"/>
              <w:rPr>
                <w:sz w:val="20"/>
                <w:szCs w:val="20"/>
                <w:color w:val="auto"/>
              </w:rPr>
            </w:pPr>
            <w:r>
              <w:rPr>
                <w:rFonts w:ascii="Arial" w:cs="Arial" w:eastAsia="Arial" w:hAnsi="Arial"/>
                <w:sz w:val="14"/>
                <w:szCs w:val="14"/>
                <w:color w:val="auto"/>
              </w:rPr>
              <w:t>20,000,000.00</w:t>
            </w:r>
          </w:p>
        </w:tc>
        <w:tc>
          <w:tcPr>
            <w:tcW w:w="1200" w:type="dxa"/>
            <w:vAlign w:val="bottom"/>
          </w:tcPr>
          <w:p>
            <w:pPr>
              <w:jc w:val="right"/>
              <w:spacing w:after="0"/>
              <w:rPr>
                <w:sz w:val="20"/>
                <w:szCs w:val="20"/>
                <w:color w:val="auto"/>
              </w:rPr>
            </w:pPr>
            <w:r>
              <w:rPr>
                <w:rFonts w:ascii="Arial" w:cs="Arial" w:eastAsia="Arial" w:hAnsi="Arial"/>
                <w:sz w:val="14"/>
                <w:szCs w:val="14"/>
                <w:color w:val="auto"/>
              </w:rPr>
              <w:t>4.343105320%</w:t>
            </w:r>
          </w:p>
        </w:tc>
        <w:tc>
          <w:tcPr>
            <w:tcW w:w="1340" w:type="dxa"/>
            <w:vAlign w:val="bottom"/>
          </w:tcPr>
          <w:p>
            <w:pPr>
              <w:jc w:val="right"/>
              <w:spacing w:after="0"/>
              <w:rPr>
                <w:sz w:val="20"/>
                <w:szCs w:val="20"/>
                <w:color w:val="auto"/>
              </w:rPr>
            </w:pPr>
            <w:r>
              <w:rPr>
                <w:rFonts w:ascii="Arial" w:cs="Arial" w:eastAsia="Arial" w:hAnsi="Arial"/>
                <w:sz w:val="14"/>
                <w:szCs w:val="14"/>
                <w:color w:val="auto"/>
              </w:rPr>
              <w:t>20,000,000.00</w:t>
            </w:r>
          </w:p>
        </w:tc>
        <w:tc>
          <w:tcPr>
            <w:tcW w:w="1260" w:type="dxa"/>
            <w:vAlign w:val="bottom"/>
          </w:tcPr>
          <w:p>
            <w:pPr>
              <w:jc w:val="right"/>
              <w:spacing w:after="0"/>
              <w:rPr>
                <w:sz w:val="20"/>
                <w:szCs w:val="20"/>
                <w:color w:val="auto"/>
              </w:rPr>
            </w:pPr>
            <w:r>
              <w:rPr>
                <w:rFonts w:ascii="Arial" w:cs="Arial" w:eastAsia="Arial" w:hAnsi="Arial"/>
                <w:sz w:val="14"/>
                <w:szCs w:val="14"/>
                <w:color w:val="auto"/>
              </w:rPr>
              <w:t>4.545454545%</w:t>
            </w:r>
          </w:p>
        </w:tc>
        <w:tc>
          <w:tcPr>
            <w:tcW w:w="1300" w:type="dxa"/>
            <w:vAlign w:val="bottom"/>
          </w:tcPr>
          <w:p>
            <w:pPr>
              <w:jc w:val="right"/>
              <w:ind w:right="48"/>
              <w:spacing w:after="0"/>
              <w:rPr>
                <w:sz w:val="20"/>
                <w:szCs w:val="20"/>
                <w:color w:val="auto"/>
              </w:rPr>
            </w:pPr>
            <w:r>
              <w:rPr>
                <w:rFonts w:ascii="Arial" w:cs="Arial" w:eastAsia="Arial" w:hAnsi="Arial"/>
                <w:sz w:val="14"/>
                <w:szCs w:val="14"/>
                <w:color w:val="auto"/>
              </w:rPr>
              <w:t>$ 22,500,000.00</w:t>
            </w:r>
          </w:p>
        </w:tc>
        <w:tc>
          <w:tcPr>
            <w:tcW w:w="1160" w:type="dxa"/>
            <w:vAlign w:val="bottom"/>
          </w:tcPr>
          <w:p>
            <w:pPr>
              <w:jc w:val="right"/>
              <w:spacing w:after="0"/>
              <w:rPr>
                <w:sz w:val="20"/>
                <w:szCs w:val="20"/>
                <w:color w:val="auto"/>
              </w:rPr>
            </w:pPr>
            <w:r>
              <w:rPr>
                <w:rFonts w:ascii="Arial" w:cs="Arial" w:eastAsia="Arial" w:hAnsi="Arial"/>
                <w:sz w:val="14"/>
                <w:szCs w:val="14"/>
                <w:color w:val="auto"/>
              </w:rPr>
              <w:t>3.813559322%</w:t>
            </w:r>
          </w:p>
        </w:tc>
      </w:tr>
      <w:tr>
        <w:trPr>
          <w:trHeight w:val="203"/>
        </w:trPr>
        <w:tc>
          <w:tcPr>
            <w:tcW w:w="1580" w:type="dxa"/>
            <w:vAlign w:val="bottom"/>
          </w:tcPr>
          <w:p>
            <w:pPr>
              <w:spacing w:after="0"/>
              <w:rPr>
                <w:sz w:val="20"/>
                <w:szCs w:val="20"/>
                <w:color w:val="auto"/>
              </w:rPr>
            </w:pPr>
            <w:r>
              <w:rPr>
                <w:rFonts w:ascii="Arial" w:cs="Arial" w:eastAsia="Arial" w:hAnsi="Arial"/>
                <w:sz w:val="14"/>
                <w:szCs w:val="14"/>
                <w:color w:val="auto"/>
              </w:rPr>
              <w:t>Lloyds Bank</w:t>
            </w:r>
          </w:p>
        </w:tc>
        <w:tc>
          <w:tcPr>
            <w:tcW w:w="1280" w:type="dxa"/>
            <w:vAlign w:val="bottom"/>
          </w:tcPr>
          <w:p>
            <w:pPr>
              <w:jc w:val="right"/>
              <w:spacing w:after="0"/>
              <w:rPr>
                <w:sz w:val="20"/>
                <w:szCs w:val="20"/>
                <w:color w:val="auto"/>
              </w:rPr>
            </w:pPr>
            <w:r>
              <w:rPr>
                <w:rFonts w:ascii="Arial" w:cs="Arial" w:eastAsia="Arial" w:hAnsi="Arial"/>
                <w:sz w:val="14"/>
                <w:szCs w:val="14"/>
                <w:color w:val="auto"/>
              </w:rPr>
              <w:t>25,000,000.00</w:t>
            </w:r>
          </w:p>
        </w:tc>
        <w:tc>
          <w:tcPr>
            <w:tcW w:w="1060" w:type="dxa"/>
            <w:vAlign w:val="bottom"/>
          </w:tcPr>
          <w:p>
            <w:pPr>
              <w:jc w:val="right"/>
              <w:spacing w:after="0"/>
              <w:rPr>
                <w:sz w:val="20"/>
                <w:szCs w:val="20"/>
                <w:color w:val="auto"/>
              </w:rPr>
            </w:pPr>
            <w:r>
              <w:rPr>
                <w:rFonts w:ascii="Arial" w:cs="Arial" w:eastAsia="Arial" w:hAnsi="Arial"/>
                <w:sz w:val="14"/>
                <w:szCs w:val="14"/>
                <w:color w:val="auto"/>
              </w:rPr>
              <w:t>4.237288136%</w:t>
            </w:r>
          </w:p>
        </w:tc>
        <w:tc>
          <w:tcPr>
            <w:tcW w:w="1200" w:type="dxa"/>
            <w:vAlign w:val="bottom"/>
          </w:tcPr>
          <w:p>
            <w:pPr>
              <w:jc w:val="right"/>
              <w:ind w:right="28"/>
              <w:spacing w:after="0"/>
              <w:rPr>
                <w:sz w:val="20"/>
                <w:szCs w:val="20"/>
                <w:color w:val="auto"/>
              </w:rPr>
            </w:pPr>
            <w:r>
              <w:rPr>
                <w:rFonts w:ascii="Arial" w:cs="Arial" w:eastAsia="Arial" w:hAnsi="Arial"/>
                <w:sz w:val="14"/>
                <w:szCs w:val="14"/>
                <w:color w:val="auto"/>
              </w:rPr>
              <w:t>25,000,000.00</w:t>
            </w:r>
          </w:p>
        </w:tc>
        <w:tc>
          <w:tcPr>
            <w:tcW w:w="1200" w:type="dxa"/>
            <w:vAlign w:val="bottom"/>
          </w:tcPr>
          <w:p>
            <w:pPr>
              <w:jc w:val="right"/>
              <w:spacing w:after="0"/>
              <w:rPr>
                <w:sz w:val="20"/>
                <w:szCs w:val="20"/>
                <w:color w:val="auto"/>
              </w:rPr>
            </w:pPr>
            <w:r>
              <w:rPr>
                <w:rFonts w:ascii="Arial" w:cs="Arial" w:eastAsia="Arial" w:hAnsi="Arial"/>
                <w:sz w:val="14"/>
                <w:szCs w:val="14"/>
                <w:color w:val="auto"/>
              </w:rPr>
              <w:t>5.428881650%</w:t>
            </w:r>
          </w:p>
        </w:tc>
        <w:tc>
          <w:tcPr>
            <w:tcW w:w="1340" w:type="dxa"/>
            <w:vAlign w:val="bottom"/>
          </w:tcPr>
          <w:p>
            <w:pPr>
              <w:jc w:val="right"/>
              <w:spacing w:after="0"/>
              <w:rPr>
                <w:sz w:val="20"/>
                <w:szCs w:val="20"/>
                <w:color w:val="auto"/>
              </w:rPr>
            </w:pPr>
            <w:r>
              <w:rPr>
                <w:rFonts w:ascii="Arial" w:cs="Arial" w:eastAsia="Arial" w:hAnsi="Arial"/>
                <w:sz w:val="14"/>
                <w:szCs w:val="14"/>
                <w:color w:val="auto"/>
              </w:rPr>
              <w:t>22,500,000.00</w:t>
            </w:r>
          </w:p>
        </w:tc>
        <w:tc>
          <w:tcPr>
            <w:tcW w:w="1260" w:type="dxa"/>
            <w:vAlign w:val="bottom"/>
          </w:tcPr>
          <w:p>
            <w:pPr>
              <w:jc w:val="right"/>
              <w:spacing w:after="0"/>
              <w:rPr>
                <w:sz w:val="20"/>
                <w:szCs w:val="20"/>
                <w:color w:val="auto"/>
              </w:rPr>
            </w:pPr>
            <w:r>
              <w:rPr>
                <w:rFonts w:ascii="Arial" w:cs="Arial" w:eastAsia="Arial" w:hAnsi="Arial"/>
                <w:sz w:val="14"/>
                <w:szCs w:val="14"/>
                <w:color w:val="auto"/>
              </w:rPr>
              <w:t>5.113636364%</w:t>
            </w:r>
          </w:p>
        </w:tc>
        <w:tc>
          <w:tcPr>
            <w:tcW w:w="1300" w:type="dxa"/>
            <w:vAlign w:val="bottom"/>
          </w:tcPr>
          <w:p>
            <w:pPr>
              <w:jc w:val="right"/>
              <w:ind w:right="48"/>
              <w:spacing w:after="0"/>
              <w:rPr>
                <w:sz w:val="20"/>
                <w:szCs w:val="20"/>
                <w:color w:val="auto"/>
              </w:rPr>
            </w:pPr>
            <w:r>
              <w:rPr>
                <w:rFonts w:ascii="Arial" w:cs="Arial" w:eastAsia="Arial" w:hAnsi="Arial"/>
                <w:sz w:val="14"/>
                <w:szCs w:val="14"/>
                <w:color w:val="auto"/>
              </w:rPr>
              <w:t>$ 25,000,000.00</w:t>
            </w:r>
          </w:p>
        </w:tc>
        <w:tc>
          <w:tcPr>
            <w:tcW w:w="1160" w:type="dxa"/>
            <w:vAlign w:val="bottom"/>
          </w:tcPr>
          <w:p>
            <w:pPr>
              <w:jc w:val="right"/>
              <w:spacing w:after="0"/>
              <w:rPr>
                <w:sz w:val="20"/>
                <w:szCs w:val="20"/>
                <w:color w:val="auto"/>
              </w:rPr>
            </w:pPr>
            <w:r>
              <w:rPr>
                <w:rFonts w:ascii="Arial" w:cs="Arial" w:eastAsia="Arial" w:hAnsi="Arial"/>
                <w:sz w:val="14"/>
                <w:szCs w:val="14"/>
                <w:color w:val="auto"/>
              </w:rPr>
              <w:t>4.237288136%</w:t>
            </w:r>
          </w:p>
        </w:tc>
      </w:tr>
      <w:tr>
        <w:trPr>
          <w:trHeight w:val="169"/>
        </w:trPr>
        <w:tc>
          <w:tcPr>
            <w:tcW w:w="1580" w:type="dxa"/>
            <w:vAlign w:val="bottom"/>
          </w:tcPr>
          <w:p>
            <w:pPr>
              <w:spacing w:after="0"/>
              <w:rPr>
                <w:sz w:val="20"/>
                <w:szCs w:val="20"/>
                <w:color w:val="auto"/>
              </w:rPr>
            </w:pPr>
            <w:r>
              <w:rPr>
                <w:rFonts w:ascii="Arial" w:cs="Arial" w:eastAsia="Arial" w:hAnsi="Arial"/>
                <w:sz w:val="14"/>
                <w:szCs w:val="14"/>
                <w:color w:val="auto"/>
              </w:rPr>
              <w:t>BOKF, NA (dba Bank of</w:t>
            </w:r>
          </w:p>
        </w:tc>
        <w:tc>
          <w:tcPr>
            <w:tcW w:w="12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182"/>
        </w:trPr>
        <w:tc>
          <w:tcPr>
            <w:tcW w:w="1580" w:type="dxa"/>
            <w:vAlign w:val="bottom"/>
          </w:tcPr>
          <w:p>
            <w:pPr>
              <w:spacing w:after="0"/>
              <w:rPr>
                <w:sz w:val="20"/>
                <w:szCs w:val="20"/>
                <w:color w:val="auto"/>
              </w:rPr>
            </w:pPr>
            <w:r>
              <w:rPr>
                <w:rFonts w:ascii="Arial" w:cs="Arial" w:eastAsia="Arial" w:hAnsi="Arial"/>
                <w:sz w:val="14"/>
                <w:szCs w:val="14"/>
                <w:color w:val="auto"/>
              </w:rPr>
              <w:t>Kansas City)</w:t>
            </w:r>
          </w:p>
        </w:tc>
        <w:tc>
          <w:tcPr>
            <w:tcW w:w="1280" w:type="dxa"/>
            <w:vAlign w:val="bottom"/>
          </w:tcPr>
          <w:p>
            <w:pPr>
              <w:jc w:val="right"/>
              <w:spacing w:after="0"/>
              <w:rPr>
                <w:sz w:val="20"/>
                <w:szCs w:val="20"/>
                <w:color w:val="auto"/>
              </w:rPr>
            </w:pPr>
            <w:r>
              <w:rPr>
                <w:rFonts w:ascii="Arial" w:cs="Arial" w:eastAsia="Arial" w:hAnsi="Arial"/>
                <w:sz w:val="14"/>
                <w:szCs w:val="14"/>
                <w:color w:val="auto"/>
              </w:rPr>
              <w:t>32,500,000.00</w:t>
            </w:r>
          </w:p>
        </w:tc>
        <w:tc>
          <w:tcPr>
            <w:tcW w:w="1060" w:type="dxa"/>
            <w:vAlign w:val="bottom"/>
          </w:tcPr>
          <w:p>
            <w:pPr>
              <w:jc w:val="right"/>
              <w:spacing w:after="0"/>
              <w:rPr>
                <w:sz w:val="20"/>
                <w:szCs w:val="20"/>
                <w:color w:val="auto"/>
              </w:rPr>
            </w:pPr>
            <w:r>
              <w:rPr>
                <w:rFonts w:ascii="Arial" w:cs="Arial" w:eastAsia="Arial" w:hAnsi="Arial"/>
                <w:sz w:val="14"/>
                <w:szCs w:val="14"/>
                <w:color w:val="auto"/>
              </w:rPr>
              <w:t>5.508474576%</w:t>
            </w:r>
          </w:p>
        </w:tc>
        <w:tc>
          <w:tcPr>
            <w:tcW w:w="1200" w:type="dxa"/>
            <w:vAlign w:val="bottom"/>
          </w:tcPr>
          <w:p>
            <w:pPr>
              <w:jc w:val="right"/>
              <w:ind w:right="28"/>
              <w:spacing w:after="0"/>
              <w:rPr>
                <w:sz w:val="20"/>
                <w:szCs w:val="20"/>
                <w:color w:val="auto"/>
              </w:rPr>
            </w:pPr>
            <w:r>
              <w:rPr>
                <w:rFonts w:ascii="Arial" w:cs="Arial" w:eastAsia="Arial" w:hAnsi="Arial"/>
                <w:sz w:val="14"/>
                <w:szCs w:val="14"/>
                <w:color w:val="auto"/>
              </w:rPr>
              <w:t>15,000,000.00</w:t>
            </w:r>
          </w:p>
        </w:tc>
        <w:tc>
          <w:tcPr>
            <w:tcW w:w="1200" w:type="dxa"/>
            <w:vAlign w:val="bottom"/>
          </w:tcPr>
          <w:p>
            <w:pPr>
              <w:jc w:val="right"/>
              <w:spacing w:after="0"/>
              <w:rPr>
                <w:sz w:val="20"/>
                <w:szCs w:val="20"/>
                <w:color w:val="auto"/>
              </w:rPr>
            </w:pPr>
            <w:r>
              <w:rPr>
                <w:rFonts w:ascii="Arial" w:cs="Arial" w:eastAsia="Arial" w:hAnsi="Arial"/>
                <w:sz w:val="14"/>
                <w:szCs w:val="14"/>
                <w:color w:val="auto"/>
              </w:rPr>
              <w:t>3.257328990%</w:t>
            </w:r>
          </w:p>
        </w:tc>
        <w:tc>
          <w:tcPr>
            <w:tcW w:w="134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300" w:type="dxa"/>
            <w:vAlign w:val="bottom"/>
          </w:tcPr>
          <w:p>
            <w:pPr>
              <w:jc w:val="right"/>
              <w:ind w:right="48"/>
              <w:spacing w:after="0"/>
              <w:rPr>
                <w:sz w:val="20"/>
                <w:szCs w:val="20"/>
                <w:color w:val="auto"/>
              </w:rPr>
            </w:pPr>
            <w:r>
              <w:rPr>
                <w:rFonts w:ascii="Arial" w:cs="Arial" w:eastAsia="Arial" w:hAnsi="Arial"/>
                <w:sz w:val="14"/>
                <w:szCs w:val="14"/>
                <w:color w:val="auto"/>
              </w:rPr>
              <w:t>$ 32,500,000.00</w:t>
            </w:r>
          </w:p>
        </w:tc>
        <w:tc>
          <w:tcPr>
            <w:tcW w:w="1160" w:type="dxa"/>
            <w:vAlign w:val="bottom"/>
          </w:tcPr>
          <w:p>
            <w:pPr>
              <w:jc w:val="right"/>
              <w:spacing w:after="0"/>
              <w:rPr>
                <w:sz w:val="20"/>
                <w:szCs w:val="20"/>
                <w:color w:val="auto"/>
              </w:rPr>
            </w:pPr>
            <w:r>
              <w:rPr>
                <w:rFonts w:ascii="Arial" w:cs="Arial" w:eastAsia="Arial" w:hAnsi="Arial"/>
                <w:sz w:val="14"/>
                <w:szCs w:val="14"/>
                <w:color w:val="auto"/>
              </w:rPr>
              <w:t>5.508474576%</w:t>
            </w:r>
          </w:p>
        </w:tc>
      </w:tr>
      <w:tr>
        <w:trPr>
          <w:trHeight w:val="203"/>
        </w:trPr>
        <w:tc>
          <w:tcPr>
            <w:tcW w:w="1580" w:type="dxa"/>
            <w:vAlign w:val="bottom"/>
          </w:tcPr>
          <w:p>
            <w:pPr>
              <w:spacing w:after="0"/>
              <w:rPr>
                <w:sz w:val="20"/>
                <w:szCs w:val="20"/>
                <w:color w:val="auto"/>
              </w:rPr>
            </w:pPr>
            <w:r>
              <w:rPr>
                <w:rFonts w:ascii="Arial" w:cs="Arial" w:eastAsia="Arial" w:hAnsi="Arial"/>
                <w:sz w:val="14"/>
                <w:szCs w:val="14"/>
                <w:color w:val="auto"/>
              </w:rPr>
              <w:t>The Bank of Nova Scotia</w:t>
            </w:r>
          </w:p>
        </w:tc>
        <w:tc>
          <w:tcPr>
            <w:tcW w:w="1280" w:type="dxa"/>
            <w:vAlign w:val="bottom"/>
          </w:tcPr>
          <w:p>
            <w:pPr>
              <w:jc w:val="right"/>
              <w:spacing w:after="0"/>
              <w:rPr>
                <w:sz w:val="20"/>
                <w:szCs w:val="20"/>
                <w:color w:val="auto"/>
              </w:rPr>
            </w:pPr>
            <w:r>
              <w:rPr>
                <w:rFonts w:ascii="Arial" w:cs="Arial" w:eastAsia="Arial" w:hAnsi="Arial"/>
                <w:sz w:val="14"/>
                <w:szCs w:val="14"/>
                <w:color w:val="auto"/>
              </w:rPr>
              <w:t>19,600,000.00</w:t>
            </w:r>
          </w:p>
        </w:tc>
        <w:tc>
          <w:tcPr>
            <w:tcW w:w="1060" w:type="dxa"/>
            <w:vAlign w:val="bottom"/>
          </w:tcPr>
          <w:p>
            <w:pPr>
              <w:jc w:val="right"/>
              <w:spacing w:after="0"/>
              <w:rPr>
                <w:sz w:val="20"/>
                <w:szCs w:val="20"/>
                <w:color w:val="auto"/>
              </w:rPr>
            </w:pPr>
            <w:r>
              <w:rPr>
                <w:rFonts w:ascii="Arial" w:cs="Arial" w:eastAsia="Arial" w:hAnsi="Arial"/>
                <w:sz w:val="14"/>
                <w:szCs w:val="14"/>
                <w:color w:val="auto"/>
              </w:rPr>
              <w:t>3.322033898%</w:t>
            </w:r>
          </w:p>
        </w:tc>
        <w:tc>
          <w:tcPr>
            <w:tcW w:w="1200" w:type="dxa"/>
            <w:vAlign w:val="bottom"/>
          </w:tcPr>
          <w:p>
            <w:pPr>
              <w:jc w:val="right"/>
              <w:ind w:right="28"/>
              <w:spacing w:after="0"/>
              <w:rPr>
                <w:sz w:val="20"/>
                <w:szCs w:val="20"/>
                <w:color w:val="auto"/>
              </w:rPr>
            </w:pPr>
            <w:r>
              <w:rPr>
                <w:rFonts w:ascii="Arial" w:cs="Arial" w:eastAsia="Arial" w:hAnsi="Arial"/>
                <w:sz w:val="14"/>
                <w:szCs w:val="14"/>
                <w:color w:val="auto"/>
              </w:rPr>
              <w:t>14,000,000.00</w:t>
            </w:r>
          </w:p>
        </w:tc>
        <w:tc>
          <w:tcPr>
            <w:tcW w:w="1200" w:type="dxa"/>
            <w:vAlign w:val="bottom"/>
          </w:tcPr>
          <w:p>
            <w:pPr>
              <w:jc w:val="right"/>
              <w:spacing w:after="0"/>
              <w:rPr>
                <w:sz w:val="20"/>
                <w:szCs w:val="20"/>
                <w:color w:val="auto"/>
              </w:rPr>
            </w:pPr>
            <w:r>
              <w:rPr>
                <w:rFonts w:ascii="Arial" w:cs="Arial" w:eastAsia="Arial" w:hAnsi="Arial"/>
                <w:sz w:val="14"/>
                <w:szCs w:val="14"/>
                <w:color w:val="auto"/>
              </w:rPr>
              <w:t>3.040173724%</w:t>
            </w:r>
          </w:p>
        </w:tc>
        <w:tc>
          <w:tcPr>
            <w:tcW w:w="1340" w:type="dxa"/>
            <w:vAlign w:val="bottom"/>
          </w:tcPr>
          <w:p>
            <w:pPr>
              <w:jc w:val="right"/>
              <w:spacing w:after="0"/>
              <w:rPr>
                <w:sz w:val="20"/>
                <w:szCs w:val="20"/>
                <w:color w:val="auto"/>
              </w:rPr>
            </w:pPr>
            <w:r>
              <w:rPr>
                <w:rFonts w:ascii="Arial" w:cs="Arial" w:eastAsia="Arial" w:hAnsi="Arial"/>
                <w:sz w:val="14"/>
                <w:szCs w:val="14"/>
                <w:color w:val="auto"/>
              </w:rPr>
              <w:t>12,000,000.00</w:t>
            </w:r>
          </w:p>
        </w:tc>
        <w:tc>
          <w:tcPr>
            <w:tcW w:w="1260" w:type="dxa"/>
            <w:vAlign w:val="bottom"/>
          </w:tcPr>
          <w:p>
            <w:pPr>
              <w:jc w:val="right"/>
              <w:spacing w:after="0"/>
              <w:rPr>
                <w:sz w:val="20"/>
                <w:szCs w:val="20"/>
                <w:color w:val="auto"/>
              </w:rPr>
            </w:pPr>
            <w:r>
              <w:rPr>
                <w:rFonts w:ascii="Arial" w:cs="Arial" w:eastAsia="Arial" w:hAnsi="Arial"/>
                <w:sz w:val="14"/>
                <w:szCs w:val="14"/>
                <w:color w:val="auto"/>
              </w:rPr>
              <w:t>2.727272727%</w:t>
            </w:r>
          </w:p>
        </w:tc>
        <w:tc>
          <w:tcPr>
            <w:tcW w:w="1300" w:type="dxa"/>
            <w:vAlign w:val="bottom"/>
          </w:tcPr>
          <w:p>
            <w:pPr>
              <w:jc w:val="right"/>
              <w:ind w:right="48"/>
              <w:spacing w:after="0"/>
              <w:rPr>
                <w:sz w:val="20"/>
                <w:szCs w:val="20"/>
                <w:color w:val="auto"/>
              </w:rPr>
            </w:pPr>
            <w:r>
              <w:rPr>
                <w:rFonts w:ascii="Arial" w:cs="Arial" w:eastAsia="Arial" w:hAnsi="Arial"/>
                <w:sz w:val="14"/>
                <w:szCs w:val="14"/>
                <w:color w:val="auto"/>
              </w:rPr>
              <w:t>$ 19,600,000.00</w:t>
            </w:r>
          </w:p>
        </w:tc>
        <w:tc>
          <w:tcPr>
            <w:tcW w:w="1160" w:type="dxa"/>
            <w:vAlign w:val="bottom"/>
          </w:tcPr>
          <w:p>
            <w:pPr>
              <w:jc w:val="right"/>
              <w:spacing w:after="0"/>
              <w:rPr>
                <w:sz w:val="20"/>
                <w:szCs w:val="20"/>
                <w:color w:val="auto"/>
              </w:rPr>
            </w:pPr>
            <w:r>
              <w:rPr>
                <w:rFonts w:ascii="Arial" w:cs="Arial" w:eastAsia="Arial" w:hAnsi="Arial"/>
                <w:sz w:val="14"/>
                <w:szCs w:val="14"/>
                <w:color w:val="auto"/>
              </w:rPr>
              <w:t>3.322033898%</w:t>
            </w:r>
          </w:p>
        </w:tc>
      </w:tr>
      <w:tr>
        <w:trPr>
          <w:trHeight w:val="276"/>
        </w:trPr>
        <w:tc>
          <w:tcPr>
            <w:tcW w:w="1580" w:type="dxa"/>
            <w:vAlign w:val="bottom"/>
          </w:tcPr>
          <w:p>
            <w:pPr>
              <w:spacing w:after="0"/>
              <w:rPr>
                <w:sz w:val="20"/>
                <w:szCs w:val="20"/>
                <w:color w:val="auto"/>
              </w:rPr>
            </w:pPr>
            <w:r>
              <w:rPr>
                <w:rFonts w:ascii="Arial" w:cs="Arial" w:eastAsia="Arial" w:hAnsi="Arial"/>
                <w:sz w:val="14"/>
                <w:szCs w:val="14"/>
                <w:color w:val="auto"/>
                <w:w w:val="97"/>
              </w:rPr>
              <w:t>Citizens Bank &amp; Trust Co.</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4,500,000.00</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0.762711864%</w:t>
            </w:r>
          </w:p>
        </w:tc>
        <w:tc>
          <w:tcPr>
            <w:tcW w:w="120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$ 4,500,000.00</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0.762711864%</w:t>
            </w:r>
          </w:p>
        </w:tc>
      </w:tr>
      <w:tr>
        <w:trPr>
          <w:trHeight w:val="244"/>
        </w:trPr>
        <w:tc>
          <w:tcPr>
            <w:tcW w:w="1580" w:type="dxa"/>
            <w:vAlign w:val="bottom"/>
          </w:tcPr>
          <w:p>
            <w:pPr>
              <w:spacing w:after="0"/>
              <w:rPr>
                <w:sz w:val="21"/>
                <w:szCs w:val="21"/>
                <w:color w:val="auto"/>
              </w:rPr>
            </w:pPr>
          </w:p>
        </w:tc>
        <w:tc>
          <w:tcPr>
            <w:tcW w:w="2340" w:type="dxa"/>
            <w:vAlign w:val="bottom"/>
            <w:gridSpan w:val="2"/>
          </w:tcPr>
          <w:p>
            <w:pPr>
              <w:jc w:val="right"/>
              <w:spacing w:after="0"/>
              <w:rPr>
                <w:sz w:val="20"/>
                <w:szCs w:val="20"/>
                <w:color w:val="auto"/>
              </w:rPr>
            </w:pPr>
            <w:r>
              <w:rPr>
                <w:rFonts w:ascii="Arial" w:cs="Arial" w:eastAsia="Arial" w:hAnsi="Arial"/>
                <w:sz w:val="14"/>
                <w:szCs w:val="14"/>
                <w:color w:val="auto"/>
              </w:rPr>
              <w:t>$ 590,000,000.00 100.000000000%</w:t>
            </w:r>
          </w:p>
        </w:tc>
        <w:tc>
          <w:tcPr>
            <w:tcW w:w="1200" w:type="dxa"/>
            <w:vAlign w:val="bottom"/>
          </w:tcPr>
          <w:p>
            <w:pPr>
              <w:jc w:val="right"/>
              <w:ind w:right="28"/>
              <w:spacing w:after="0"/>
              <w:rPr>
                <w:sz w:val="20"/>
                <w:szCs w:val="20"/>
                <w:color w:val="auto"/>
              </w:rPr>
            </w:pPr>
            <w:r>
              <w:rPr>
                <w:rFonts w:ascii="Arial" w:cs="Arial" w:eastAsia="Arial" w:hAnsi="Arial"/>
                <w:sz w:val="14"/>
                <w:szCs w:val="14"/>
                <w:color w:val="auto"/>
                <w:w w:val="99"/>
              </w:rPr>
              <w:t>$ 460,500,000.00</w:t>
            </w:r>
          </w:p>
        </w:tc>
        <w:tc>
          <w:tcPr>
            <w:tcW w:w="1200" w:type="dxa"/>
            <w:vAlign w:val="bottom"/>
          </w:tcPr>
          <w:p>
            <w:pPr>
              <w:jc w:val="right"/>
              <w:spacing w:after="0"/>
              <w:rPr>
                <w:sz w:val="20"/>
                <w:szCs w:val="20"/>
                <w:color w:val="auto"/>
              </w:rPr>
            </w:pPr>
            <w:r>
              <w:rPr>
                <w:rFonts w:ascii="Arial" w:cs="Arial" w:eastAsia="Arial" w:hAnsi="Arial"/>
                <w:sz w:val="14"/>
                <w:szCs w:val="14"/>
                <w:color w:val="auto"/>
              </w:rPr>
              <w:t>100.000000000%</w:t>
            </w:r>
          </w:p>
        </w:tc>
        <w:tc>
          <w:tcPr>
            <w:tcW w:w="1340" w:type="dxa"/>
            <w:vAlign w:val="bottom"/>
          </w:tcPr>
          <w:p>
            <w:pPr>
              <w:jc w:val="right"/>
              <w:spacing w:after="0"/>
              <w:rPr>
                <w:sz w:val="20"/>
                <w:szCs w:val="20"/>
                <w:color w:val="auto"/>
              </w:rPr>
            </w:pPr>
            <w:r>
              <w:rPr>
                <w:rFonts w:ascii="Arial" w:cs="Arial" w:eastAsia="Arial" w:hAnsi="Arial"/>
                <w:sz w:val="14"/>
                <w:szCs w:val="14"/>
                <w:color w:val="auto"/>
              </w:rPr>
              <w:t>$ 440,000,000.00</w:t>
            </w:r>
          </w:p>
        </w:tc>
        <w:tc>
          <w:tcPr>
            <w:tcW w:w="1260" w:type="dxa"/>
            <w:vAlign w:val="bottom"/>
          </w:tcPr>
          <w:p>
            <w:pPr>
              <w:jc w:val="right"/>
              <w:spacing w:after="0"/>
              <w:rPr>
                <w:sz w:val="20"/>
                <w:szCs w:val="20"/>
                <w:color w:val="auto"/>
              </w:rPr>
            </w:pPr>
            <w:r>
              <w:rPr>
                <w:rFonts w:ascii="Arial" w:cs="Arial" w:eastAsia="Arial" w:hAnsi="Arial"/>
                <w:sz w:val="14"/>
                <w:szCs w:val="14"/>
                <w:color w:val="auto"/>
              </w:rPr>
              <w:t>100.000000000%</w:t>
            </w:r>
          </w:p>
        </w:tc>
        <w:tc>
          <w:tcPr>
            <w:tcW w:w="1300" w:type="dxa"/>
            <w:vAlign w:val="bottom"/>
          </w:tcPr>
          <w:p>
            <w:pPr>
              <w:jc w:val="right"/>
              <w:ind w:right="48"/>
              <w:spacing w:after="0"/>
              <w:rPr>
                <w:sz w:val="20"/>
                <w:szCs w:val="20"/>
                <w:color w:val="auto"/>
              </w:rPr>
            </w:pPr>
            <w:r>
              <w:rPr>
                <w:rFonts w:ascii="Arial" w:cs="Arial" w:eastAsia="Arial" w:hAnsi="Arial"/>
                <w:sz w:val="14"/>
                <w:szCs w:val="14"/>
                <w:color w:val="auto"/>
              </w:rPr>
              <w:t>$ 590,000,000.00</w:t>
            </w:r>
          </w:p>
        </w:tc>
        <w:tc>
          <w:tcPr>
            <w:tcW w:w="1160" w:type="dxa"/>
            <w:vAlign w:val="bottom"/>
          </w:tcPr>
          <w:p>
            <w:pPr>
              <w:jc w:val="right"/>
              <w:spacing w:after="0"/>
              <w:rPr>
                <w:sz w:val="20"/>
                <w:szCs w:val="20"/>
                <w:color w:val="auto"/>
              </w:rPr>
            </w:pPr>
            <w:r>
              <w:rPr>
                <w:rFonts w:ascii="Arial" w:cs="Arial" w:eastAsia="Arial" w:hAnsi="Arial"/>
                <w:sz w:val="14"/>
                <w:szCs w:val="14"/>
                <w:color w:val="auto"/>
              </w:rPr>
              <w:t>100.000000000%</w:t>
            </w:r>
          </w:p>
        </w:tc>
      </w:tr>
      <w:tr>
        <w:trPr>
          <w:trHeight w:val="594"/>
        </w:trPr>
        <w:tc>
          <w:tcPr>
            <w:tcW w:w="15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0" w:type="dxa"/>
            <w:vAlign w:val="bottom"/>
          </w:tcPr>
          <w:p>
            <w:pPr>
              <w:jc w:val="center"/>
              <w:ind w:right="28"/>
              <w:spacing w:after="0"/>
              <w:rPr>
                <w:sz w:val="20"/>
                <w:szCs w:val="20"/>
                <w:color w:val="auto"/>
              </w:rPr>
            </w:pPr>
            <w:r>
              <w:rPr>
                <w:rFonts w:ascii="Arial" w:cs="Arial" w:eastAsia="Arial" w:hAnsi="Arial"/>
                <w:sz w:val="14"/>
                <w:szCs w:val="14"/>
                <w:color w:val="auto"/>
                <w:w w:val="96"/>
              </w:rPr>
              <w:t>Original Principal</w:t>
            </w:r>
          </w:p>
        </w:tc>
        <w:tc>
          <w:tcPr>
            <w:tcW w:w="1200" w:type="dxa"/>
            <w:vAlign w:val="bottom"/>
          </w:tcPr>
          <w:p>
            <w:pPr>
              <w:spacing w:after="0"/>
              <w:rPr>
                <w:sz w:val="24"/>
                <w:szCs w:val="24"/>
                <w:color w:val="auto"/>
              </w:rPr>
            </w:pPr>
          </w:p>
        </w:tc>
        <w:tc>
          <w:tcPr>
            <w:tcW w:w="1340" w:type="dxa"/>
            <w:vAlign w:val="bottom"/>
          </w:tcPr>
          <w:p>
            <w:pPr>
              <w:jc w:val="center"/>
              <w:spacing w:after="0"/>
              <w:rPr>
                <w:sz w:val="20"/>
                <w:szCs w:val="20"/>
                <w:color w:val="auto"/>
              </w:rPr>
            </w:pPr>
            <w:r>
              <w:rPr>
                <w:rFonts w:ascii="Arial" w:cs="Arial" w:eastAsia="Arial" w:hAnsi="Arial"/>
                <w:sz w:val="14"/>
                <w:szCs w:val="14"/>
                <w:color w:val="auto"/>
                <w:w w:val="96"/>
              </w:rPr>
              <w:t>Original Term Loan</w:t>
            </w:r>
          </w:p>
        </w:tc>
        <w:tc>
          <w:tcPr>
            <w:tcW w:w="1260" w:type="dxa"/>
            <w:vAlign w:val="bottom"/>
          </w:tcPr>
          <w:p>
            <w:pPr>
              <w:jc w:val="center"/>
              <w:spacing w:after="0"/>
              <w:rPr>
                <w:sz w:val="20"/>
                <w:szCs w:val="20"/>
                <w:color w:val="auto"/>
              </w:rPr>
            </w:pPr>
            <w:r>
              <w:rPr>
                <w:rFonts w:ascii="Arial" w:cs="Arial" w:eastAsia="Arial" w:hAnsi="Arial"/>
                <w:sz w:val="14"/>
                <w:szCs w:val="14"/>
                <w:color w:val="auto"/>
                <w:w w:val="91"/>
              </w:rPr>
              <w:t>Increase in Term</w:t>
            </w:r>
          </w:p>
        </w:tc>
        <w:tc>
          <w:tcPr>
            <w:tcW w:w="1300" w:type="dxa"/>
            <w:vAlign w:val="bottom"/>
          </w:tcPr>
          <w:p>
            <w:pPr>
              <w:jc w:val="center"/>
              <w:ind w:right="8"/>
              <w:spacing w:after="0"/>
              <w:rPr>
                <w:sz w:val="20"/>
                <w:szCs w:val="20"/>
                <w:color w:val="auto"/>
              </w:rPr>
            </w:pPr>
            <w:r>
              <w:rPr>
                <w:rFonts w:ascii="Arial" w:cs="Arial" w:eastAsia="Arial" w:hAnsi="Arial"/>
                <w:sz w:val="14"/>
                <w:szCs w:val="14"/>
                <w:color w:val="auto"/>
                <w:w w:val="93"/>
              </w:rPr>
              <w:t>Term Loan Balance</w:t>
            </w:r>
          </w:p>
        </w:tc>
        <w:tc>
          <w:tcPr>
            <w:tcW w:w="1160" w:type="dxa"/>
            <w:vAlign w:val="bottom"/>
          </w:tcPr>
          <w:p>
            <w:pPr>
              <w:spacing w:after="0"/>
              <w:rPr>
                <w:sz w:val="24"/>
                <w:szCs w:val="24"/>
                <w:color w:val="auto"/>
              </w:rPr>
            </w:pPr>
          </w:p>
        </w:tc>
      </w:tr>
      <w:tr>
        <w:trPr>
          <w:trHeight w:val="270"/>
        </w:trPr>
        <w:tc>
          <w:tcPr>
            <w:tcW w:w="1580" w:type="dxa"/>
            <w:vAlign w:val="bottom"/>
          </w:tcPr>
          <w:p>
            <w:pPr>
              <w:spacing w:after="0"/>
              <w:rPr>
                <w:sz w:val="23"/>
                <w:szCs w:val="23"/>
                <w:color w:val="auto"/>
              </w:rPr>
            </w:pPr>
          </w:p>
        </w:tc>
        <w:tc>
          <w:tcPr>
            <w:tcW w:w="1280" w:type="dxa"/>
            <w:vAlign w:val="bottom"/>
          </w:tcPr>
          <w:p>
            <w:pPr>
              <w:jc w:val="right"/>
              <w:ind w:right="108"/>
              <w:spacing w:after="0"/>
              <w:rPr>
                <w:sz w:val="20"/>
                <w:szCs w:val="20"/>
                <w:color w:val="auto"/>
              </w:rPr>
            </w:pPr>
            <w:r>
              <w:rPr>
                <w:rFonts w:ascii="Arial" w:cs="Arial" w:eastAsia="Arial" w:hAnsi="Arial"/>
                <w:sz w:val="14"/>
                <w:szCs w:val="14"/>
                <w:color w:val="auto"/>
              </w:rPr>
              <w:t>India Revolving</w:t>
            </w:r>
          </w:p>
        </w:tc>
        <w:tc>
          <w:tcPr>
            <w:tcW w:w="1060" w:type="dxa"/>
            <w:vAlign w:val="bottom"/>
          </w:tcPr>
          <w:p>
            <w:pPr>
              <w:spacing w:after="0"/>
              <w:rPr>
                <w:sz w:val="23"/>
                <w:szCs w:val="23"/>
                <w:color w:val="auto"/>
              </w:rPr>
            </w:pPr>
          </w:p>
        </w:tc>
        <w:tc>
          <w:tcPr>
            <w:tcW w:w="1200" w:type="dxa"/>
            <w:vAlign w:val="bottom"/>
          </w:tcPr>
          <w:p>
            <w:pPr>
              <w:jc w:val="center"/>
              <w:ind w:right="28"/>
              <w:spacing w:after="0"/>
              <w:rPr>
                <w:sz w:val="20"/>
                <w:szCs w:val="20"/>
                <w:color w:val="auto"/>
              </w:rPr>
            </w:pPr>
            <w:r>
              <w:rPr>
                <w:rFonts w:ascii="Arial" w:cs="Arial" w:eastAsia="Arial" w:hAnsi="Arial"/>
                <w:sz w:val="14"/>
                <w:szCs w:val="14"/>
                <w:color w:val="auto"/>
                <w:w w:val="97"/>
              </w:rPr>
              <w:t>Amount of</w:t>
            </w:r>
          </w:p>
        </w:tc>
        <w:tc>
          <w:tcPr>
            <w:tcW w:w="1200" w:type="dxa"/>
            <w:vAlign w:val="bottom"/>
          </w:tcPr>
          <w:p>
            <w:pPr>
              <w:spacing w:after="0"/>
              <w:rPr>
                <w:sz w:val="23"/>
                <w:szCs w:val="23"/>
                <w:color w:val="auto"/>
              </w:rPr>
            </w:pPr>
          </w:p>
        </w:tc>
        <w:tc>
          <w:tcPr>
            <w:tcW w:w="1340" w:type="dxa"/>
            <w:vAlign w:val="bottom"/>
          </w:tcPr>
          <w:p>
            <w:pPr>
              <w:jc w:val="center"/>
              <w:spacing w:after="0"/>
              <w:rPr>
                <w:sz w:val="20"/>
                <w:szCs w:val="20"/>
                <w:color w:val="auto"/>
              </w:rPr>
            </w:pPr>
            <w:r>
              <w:rPr>
                <w:rFonts w:ascii="Arial" w:cs="Arial" w:eastAsia="Arial" w:hAnsi="Arial"/>
                <w:sz w:val="14"/>
                <w:szCs w:val="14"/>
                <w:color w:val="auto"/>
                <w:w w:val="91"/>
              </w:rPr>
              <w:t>Balance on</w:t>
            </w:r>
          </w:p>
        </w:tc>
        <w:tc>
          <w:tcPr>
            <w:tcW w:w="1260" w:type="dxa"/>
            <w:vAlign w:val="bottom"/>
          </w:tcPr>
          <w:p>
            <w:pPr>
              <w:jc w:val="center"/>
              <w:spacing w:after="0"/>
              <w:rPr>
                <w:sz w:val="20"/>
                <w:szCs w:val="20"/>
                <w:color w:val="auto"/>
              </w:rPr>
            </w:pPr>
            <w:r>
              <w:rPr>
                <w:rFonts w:ascii="Arial" w:cs="Arial" w:eastAsia="Arial" w:hAnsi="Arial"/>
                <w:sz w:val="14"/>
                <w:szCs w:val="14"/>
                <w:color w:val="auto"/>
                <w:w w:val="93"/>
              </w:rPr>
              <w:t>Loan Commitments</w:t>
            </w:r>
          </w:p>
        </w:tc>
        <w:tc>
          <w:tcPr>
            <w:tcW w:w="1300" w:type="dxa"/>
            <w:vAlign w:val="bottom"/>
          </w:tcPr>
          <w:p>
            <w:pPr>
              <w:jc w:val="center"/>
              <w:ind w:right="28"/>
              <w:spacing w:after="0"/>
              <w:rPr>
                <w:sz w:val="20"/>
                <w:szCs w:val="20"/>
                <w:color w:val="auto"/>
              </w:rPr>
            </w:pPr>
            <w:r>
              <w:rPr>
                <w:rFonts w:ascii="Arial" w:cs="Arial" w:eastAsia="Arial" w:hAnsi="Arial"/>
                <w:sz w:val="14"/>
                <w:szCs w:val="14"/>
                <w:color w:val="auto"/>
                <w:w w:val="99"/>
              </w:rPr>
              <w:t>After Giving Effect</w:t>
            </w:r>
          </w:p>
        </w:tc>
        <w:tc>
          <w:tcPr>
            <w:tcW w:w="1160" w:type="dxa"/>
            <w:vAlign w:val="bottom"/>
          </w:tcPr>
          <w:p>
            <w:pPr>
              <w:spacing w:after="0"/>
              <w:rPr>
                <w:sz w:val="23"/>
                <w:szCs w:val="23"/>
                <w:color w:val="auto"/>
              </w:rPr>
            </w:pPr>
          </w:p>
        </w:tc>
      </w:tr>
      <w:tr>
        <w:trPr>
          <w:trHeight w:val="276"/>
        </w:trPr>
        <w:tc>
          <w:tcPr>
            <w:tcW w:w="1580" w:type="dxa"/>
            <w:vAlign w:val="bottom"/>
          </w:tcPr>
          <w:p>
            <w:pPr>
              <w:spacing w:after="0"/>
              <w:rPr>
                <w:sz w:val="24"/>
                <w:szCs w:val="24"/>
                <w:color w:val="auto"/>
              </w:rPr>
            </w:pPr>
          </w:p>
        </w:tc>
        <w:tc>
          <w:tcPr>
            <w:tcW w:w="128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color w:val="auto"/>
              </w:rPr>
              <w:t>Commitments</w:t>
            </w:r>
          </w:p>
        </w:tc>
        <w:tc>
          <w:tcPr>
            <w:tcW w:w="1060" w:type="dxa"/>
            <w:vAlign w:val="bottom"/>
            <w:tcBorders>
              <w:bottom w:val="single" w:sz="8" w:color="auto"/>
            </w:tcBorders>
          </w:tcPr>
          <w:p>
            <w:pPr>
              <w:jc w:val="right"/>
              <w:ind w:right="268"/>
              <w:spacing w:after="0"/>
              <w:rPr>
                <w:sz w:val="20"/>
                <w:szCs w:val="20"/>
                <w:color w:val="auto"/>
              </w:rPr>
            </w:pPr>
            <w:r>
              <w:rPr>
                <w:rFonts w:ascii="Arial" w:cs="Arial" w:eastAsia="Arial" w:hAnsi="Arial"/>
                <w:sz w:val="14"/>
                <w:szCs w:val="14"/>
                <w:color w:val="auto"/>
              </w:rPr>
              <w:t>Percent</w:t>
            </w:r>
          </w:p>
        </w:tc>
        <w:tc>
          <w:tcPr>
            <w:tcW w:w="1200" w:type="dxa"/>
            <w:vAlign w:val="bottom"/>
            <w:tcBorders>
              <w:bottom w:val="single" w:sz="8" w:color="auto"/>
            </w:tcBorders>
          </w:tcPr>
          <w:p>
            <w:pPr>
              <w:jc w:val="center"/>
              <w:ind w:right="28"/>
              <w:spacing w:after="0"/>
              <w:rPr>
                <w:sz w:val="20"/>
                <w:szCs w:val="20"/>
                <w:color w:val="auto"/>
              </w:rPr>
            </w:pPr>
            <w:r>
              <w:rPr>
                <w:rFonts w:ascii="Arial" w:cs="Arial" w:eastAsia="Arial" w:hAnsi="Arial"/>
                <w:sz w:val="14"/>
                <w:szCs w:val="14"/>
                <w:color w:val="auto"/>
                <w:w w:val="96"/>
              </w:rPr>
              <w:t>Term Loan A</w:t>
            </w:r>
          </w:p>
        </w:tc>
        <w:tc>
          <w:tcPr>
            <w:tcW w:w="1200" w:type="dxa"/>
            <w:vAlign w:val="bottom"/>
            <w:tcBorders>
              <w:bottom w:val="single" w:sz="8" w:color="auto"/>
            </w:tcBorders>
          </w:tcPr>
          <w:p>
            <w:pPr>
              <w:jc w:val="right"/>
              <w:ind w:right="368"/>
              <w:spacing w:after="0"/>
              <w:rPr>
                <w:sz w:val="20"/>
                <w:szCs w:val="20"/>
                <w:color w:val="auto"/>
              </w:rPr>
            </w:pPr>
            <w:r>
              <w:rPr>
                <w:rFonts w:ascii="Arial" w:cs="Arial" w:eastAsia="Arial" w:hAnsi="Arial"/>
                <w:sz w:val="14"/>
                <w:szCs w:val="14"/>
                <w:color w:val="auto"/>
              </w:rPr>
              <w:t>Percent</w:t>
            </w:r>
          </w:p>
        </w:tc>
        <w:tc>
          <w:tcPr>
            <w:tcW w:w="134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3"/>
              </w:rPr>
              <w:t>Amendment Date</w:t>
            </w:r>
          </w:p>
        </w:tc>
        <w:tc>
          <w:tcPr>
            <w:tcW w:w="126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2"/>
              </w:rPr>
              <w:t>Per Amendment</w:t>
            </w:r>
          </w:p>
        </w:tc>
        <w:tc>
          <w:tcPr>
            <w:tcW w:w="1300" w:type="dxa"/>
            <w:vAlign w:val="bottom"/>
            <w:tcBorders>
              <w:bottom w:val="single" w:sz="8" w:color="auto"/>
            </w:tcBorders>
          </w:tcPr>
          <w:p>
            <w:pPr>
              <w:jc w:val="center"/>
              <w:ind w:right="8"/>
              <w:spacing w:after="0"/>
              <w:rPr>
                <w:sz w:val="20"/>
                <w:szCs w:val="20"/>
                <w:color w:val="auto"/>
              </w:rPr>
            </w:pPr>
            <w:r>
              <w:rPr>
                <w:rFonts w:ascii="Arial" w:cs="Arial" w:eastAsia="Arial" w:hAnsi="Arial"/>
                <w:sz w:val="14"/>
                <w:szCs w:val="14"/>
                <w:color w:val="auto"/>
                <w:w w:val="89"/>
              </w:rPr>
              <w:t>to Increase</w:t>
            </w:r>
          </w:p>
        </w:tc>
        <w:tc>
          <w:tcPr>
            <w:tcW w:w="1160" w:type="dxa"/>
            <w:vAlign w:val="bottom"/>
            <w:tcBorders>
              <w:bottom w:val="single" w:sz="8" w:color="auto"/>
            </w:tcBorders>
          </w:tcPr>
          <w:p>
            <w:pPr>
              <w:jc w:val="right"/>
              <w:ind w:right="348"/>
              <w:spacing w:after="0"/>
              <w:rPr>
                <w:sz w:val="20"/>
                <w:szCs w:val="20"/>
                <w:color w:val="auto"/>
              </w:rPr>
            </w:pPr>
            <w:r>
              <w:rPr>
                <w:rFonts w:ascii="Arial" w:cs="Arial" w:eastAsia="Arial" w:hAnsi="Arial"/>
                <w:sz w:val="14"/>
                <w:szCs w:val="14"/>
                <w:color w:val="auto"/>
              </w:rPr>
              <w:t>Percent</w:t>
            </w:r>
          </w:p>
        </w:tc>
      </w:tr>
      <w:tr>
        <w:trPr>
          <w:trHeight w:val="190"/>
        </w:trPr>
        <w:tc>
          <w:tcPr>
            <w:tcW w:w="1580" w:type="dxa"/>
            <w:vAlign w:val="bottom"/>
          </w:tcPr>
          <w:p>
            <w:pPr>
              <w:spacing w:after="0"/>
              <w:rPr>
                <w:sz w:val="20"/>
                <w:szCs w:val="20"/>
                <w:color w:val="auto"/>
              </w:rPr>
            </w:pPr>
            <w:r>
              <w:rPr>
                <w:rFonts w:ascii="Arial" w:cs="Arial" w:eastAsia="Arial" w:hAnsi="Arial"/>
                <w:sz w:val="14"/>
                <w:szCs w:val="14"/>
                <w:color w:val="auto"/>
              </w:rPr>
              <w:t>Bank of America, N.A.</w:t>
            </w:r>
          </w:p>
        </w:tc>
        <w:tc>
          <w:tcPr>
            <w:tcW w:w="2340" w:type="dxa"/>
            <w:vAlign w:val="bottom"/>
            <w:gridSpan w:val="2"/>
          </w:tcPr>
          <w:p>
            <w:pPr>
              <w:jc w:val="right"/>
              <w:spacing w:after="0"/>
              <w:rPr>
                <w:sz w:val="20"/>
                <w:szCs w:val="20"/>
                <w:color w:val="auto"/>
              </w:rPr>
            </w:pPr>
            <w:r>
              <w:rPr>
                <w:rFonts w:ascii="Arial" w:cs="Arial" w:eastAsia="Arial" w:hAnsi="Arial"/>
                <w:sz w:val="14"/>
                <w:szCs w:val="14"/>
                <w:color w:val="auto"/>
              </w:rPr>
              <w:t>$ 10,000,000.00 100.000000000%</w:t>
            </w:r>
          </w:p>
        </w:tc>
        <w:tc>
          <w:tcPr>
            <w:tcW w:w="1200" w:type="dxa"/>
            <w:vAlign w:val="bottom"/>
          </w:tcPr>
          <w:p>
            <w:pPr>
              <w:jc w:val="right"/>
              <w:ind w:right="28"/>
              <w:spacing w:after="0"/>
              <w:rPr>
                <w:sz w:val="20"/>
                <w:szCs w:val="20"/>
                <w:color w:val="auto"/>
              </w:rPr>
            </w:pPr>
            <w:r>
              <w:rPr>
                <w:rFonts w:ascii="Arial" w:cs="Arial" w:eastAsia="Arial" w:hAnsi="Arial"/>
                <w:sz w:val="14"/>
                <w:szCs w:val="14"/>
                <w:color w:val="auto"/>
              </w:rPr>
              <w:t>$ 15,000,000.00</w:t>
            </w:r>
          </w:p>
        </w:tc>
        <w:tc>
          <w:tcPr>
            <w:tcW w:w="1200" w:type="dxa"/>
            <w:vAlign w:val="bottom"/>
          </w:tcPr>
          <w:p>
            <w:pPr>
              <w:jc w:val="right"/>
              <w:spacing w:after="0"/>
              <w:rPr>
                <w:sz w:val="20"/>
                <w:szCs w:val="20"/>
                <w:color w:val="auto"/>
              </w:rPr>
            </w:pPr>
            <w:r>
              <w:rPr>
                <w:rFonts w:ascii="Arial" w:cs="Arial" w:eastAsia="Arial" w:hAnsi="Arial"/>
                <w:sz w:val="14"/>
                <w:szCs w:val="14"/>
                <w:color w:val="auto"/>
              </w:rPr>
              <w:t>18.750000000%</w:t>
            </w:r>
          </w:p>
        </w:tc>
        <w:tc>
          <w:tcPr>
            <w:tcW w:w="1340" w:type="dxa"/>
            <w:vAlign w:val="bottom"/>
          </w:tcPr>
          <w:p>
            <w:pPr>
              <w:jc w:val="right"/>
              <w:spacing w:after="0"/>
              <w:rPr>
                <w:sz w:val="20"/>
                <w:szCs w:val="20"/>
                <w:color w:val="auto"/>
              </w:rPr>
            </w:pPr>
            <w:r>
              <w:rPr>
                <w:rFonts w:ascii="Arial" w:cs="Arial" w:eastAsia="Arial" w:hAnsi="Arial"/>
                <w:sz w:val="14"/>
                <w:szCs w:val="14"/>
                <w:color w:val="auto"/>
              </w:rPr>
              <w:t>$ 12,375,000.00</w:t>
            </w:r>
          </w:p>
        </w:tc>
        <w:tc>
          <w:tcPr>
            <w:tcW w:w="1260" w:type="dxa"/>
            <w:vAlign w:val="bottom"/>
          </w:tcPr>
          <w:p>
            <w:pPr>
              <w:jc w:val="right"/>
              <w:spacing w:after="0"/>
              <w:rPr>
                <w:sz w:val="20"/>
                <w:szCs w:val="20"/>
                <w:color w:val="auto"/>
              </w:rPr>
            </w:pPr>
            <w:r>
              <w:rPr>
                <w:rFonts w:ascii="Arial" w:cs="Arial" w:eastAsia="Arial" w:hAnsi="Arial"/>
                <w:sz w:val="14"/>
                <w:szCs w:val="14"/>
                <w:color w:val="auto"/>
              </w:rPr>
              <w:t>$ (375,000.00)</w:t>
            </w:r>
          </w:p>
        </w:tc>
        <w:tc>
          <w:tcPr>
            <w:tcW w:w="1300" w:type="dxa"/>
            <w:vAlign w:val="bottom"/>
          </w:tcPr>
          <w:p>
            <w:pPr>
              <w:jc w:val="right"/>
              <w:ind w:right="48"/>
              <w:spacing w:after="0"/>
              <w:rPr>
                <w:sz w:val="20"/>
                <w:szCs w:val="20"/>
                <w:color w:val="auto"/>
              </w:rPr>
            </w:pPr>
            <w:r>
              <w:rPr>
                <w:rFonts w:ascii="Arial" w:cs="Arial" w:eastAsia="Arial" w:hAnsi="Arial"/>
                <w:sz w:val="14"/>
                <w:szCs w:val="14"/>
                <w:color w:val="auto"/>
              </w:rPr>
              <w:t>$ 12,000,000.00</w:t>
            </w:r>
          </w:p>
        </w:tc>
        <w:tc>
          <w:tcPr>
            <w:tcW w:w="1160" w:type="dxa"/>
            <w:vAlign w:val="bottom"/>
          </w:tcPr>
          <w:p>
            <w:pPr>
              <w:jc w:val="right"/>
              <w:spacing w:after="0"/>
              <w:rPr>
                <w:sz w:val="20"/>
                <w:szCs w:val="20"/>
                <w:color w:val="auto"/>
              </w:rPr>
            </w:pPr>
            <w:r>
              <w:rPr>
                <w:rFonts w:ascii="Arial" w:cs="Arial" w:eastAsia="Arial" w:hAnsi="Arial"/>
                <w:sz w:val="14"/>
                <w:szCs w:val="14"/>
                <w:color w:val="auto"/>
              </w:rPr>
              <w:t>16.000000000%</w:t>
            </w:r>
          </w:p>
        </w:tc>
      </w:tr>
      <w:tr>
        <w:trPr>
          <w:trHeight w:val="169"/>
        </w:trPr>
        <w:tc>
          <w:tcPr>
            <w:tcW w:w="1580" w:type="dxa"/>
            <w:vAlign w:val="bottom"/>
          </w:tcPr>
          <w:p>
            <w:pPr>
              <w:spacing w:after="0"/>
              <w:rPr>
                <w:sz w:val="20"/>
                <w:szCs w:val="20"/>
                <w:color w:val="auto"/>
              </w:rPr>
            </w:pPr>
            <w:r>
              <w:rPr>
                <w:rFonts w:ascii="Arial" w:cs="Arial" w:eastAsia="Arial" w:hAnsi="Arial"/>
                <w:sz w:val="14"/>
                <w:szCs w:val="14"/>
                <w:color w:val="auto"/>
              </w:rPr>
              <w:t>U.S. Bank National</w:t>
            </w:r>
          </w:p>
        </w:tc>
        <w:tc>
          <w:tcPr>
            <w:tcW w:w="12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182"/>
        </w:trPr>
        <w:tc>
          <w:tcPr>
            <w:tcW w:w="1580" w:type="dxa"/>
            <w:vAlign w:val="bottom"/>
          </w:tcPr>
          <w:p>
            <w:pPr>
              <w:spacing w:after="0"/>
              <w:rPr>
                <w:sz w:val="20"/>
                <w:szCs w:val="20"/>
                <w:color w:val="auto"/>
              </w:rPr>
            </w:pPr>
            <w:r>
              <w:rPr>
                <w:rFonts w:ascii="Arial" w:cs="Arial" w:eastAsia="Arial" w:hAnsi="Arial"/>
                <w:sz w:val="14"/>
                <w:szCs w:val="14"/>
                <w:color w:val="auto"/>
              </w:rPr>
              <w:t>Association</w:t>
            </w:r>
          </w:p>
        </w:tc>
        <w:tc>
          <w:tcPr>
            <w:tcW w:w="12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200" w:type="dxa"/>
            <w:vAlign w:val="bottom"/>
          </w:tcPr>
          <w:p>
            <w:pPr>
              <w:jc w:val="right"/>
              <w:ind w:right="28"/>
              <w:spacing w:after="0"/>
              <w:rPr>
                <w:sz w:val="20"/>
                <w:szCs w:val="20"/>
                <w:color w:val="auto"/>
              </w:rPr>
            </w:pPr>
            <w:r>
              <w:rPr>
                <w:rFonts w:ascii="Arial" w:cs="Arial" w:eastAsia="Arial" w:hAnsi="Arial"/>
                <w:sz w:val="14"/>
                <w:szCs w:val="14"/>
                <w:color w:val="auto"/>
              </w:rPr>
              <w:t>14,000,000.00</w:t>
            </w:r>
          </w:p>
        </w:tc>
        <w:tc>
          <w:tcPr>
            <w:tcW w:w="1200" w:type="dxa"/>
            <w:vAlign w:val="bottom"/>
          </w:tcPr>
          <w:p>
            <w:pPr>
              <w:jc w:val="right"/>
              <w:spacing w:after="0"/>
              <w:rPr>
                <w:sz w:val="20"/>
                <w:szCs w:val="20"/>
                <w:color w:val="auto"/>
              </w:rPr>
            </w:pPr>
            <w:r>
              <w:rPr>
                <w:rFonts w:ascii="Arial" w:cs="Arial" w:eastAsia="Arial" w:hAnsi="Arial"/>
                <w:sz w:val="14"/>
                <w:szCs w:val="14"/>
                <w:color w:val="auto"/>
              </w:rPr>
              <w:t>17.500000000%</w:t>
            </w:r>
          </w:p>
        </w:tc>
        <w:tc>
          <w:tcPr>
            <w:tcW w:w="1340" w:type="dxa"/>
            <w:vAlign w:val="bottom"/>
          </w:tcPr>
          <w:p>
            <w:pPr>
              <w:jc w:val="right"/>
              <w:spacing w:after="0"/>
              <w:rPr>
                <w:sz w:val="20"/>
                <w:szCs w:val="20"/>
                <w:color w:val="auto"/>
              </w:rPr>
            </w:pPr>
            <w:r>
              <w:rPr>
                <w:rFonts w:ascii="Arial" w:cs="Arial" w:eastAsia="Arial" w:hAnsi="Arial"/>
                <w:sz w:val="14"/>
                <w:szCs w:val="14"/>
                <w:color w:val="auto"/>
              </w:rPr>
              <w:t>11,550,000.00</w:t>
            </w:r>
          </w:p>
        </w:tc>
        <w:tc>
          <w:tcPr>
            <w:tcW w:w="1260" w:type="dxa"/>
            <w:vAlign w:val="bottom"/>
          </w:tcPr>
          <w:p>
            <w:pPr>
              <w:jc w:val="right"/>
              <w:spacing w:after="0"/>
              <w:rPr>
                <w:sz w:val="20"/>
                <w:szCs w:val="20"/>
                <w:color w:val="auto"/>
              </w:rPr>
            </w:pPr>
            <w:r>
              <w:rPr>
                <w:rFonts w:ascii="Arial" w:cs="Arial" w:eastAsia="Arial" w:hAnsi="Arial"/>
                <w:sz w:val="14"/>
                <w:szCs w:val="14"/>
                <w:color w:val="auto"/>
              </w:rPr>
              <w:t>450,000.00</w:t>
            </w:r>
          </w:p>
        </w:tc>
        <w:tc>
          <w:tcPr>
            <w:tcW w:w="1300" w:type="dxa"/>
            <w:vAlign w:val="bottom"/>
          </w:tcPr>
          <w:p>
            <w:pPr>
              <w:jc w:val="right"/>
              <w:ind w:right="48"/>
              <w:spacing w:after="0"/>
              <w:rPr>
                <w:sz w:val="20"/>
                <w:szCs w:val="20"/>
                <w:color w:val="auto"/>
              </w:rPr>
            </w:pPr>
            <w:r>
              <w:rPr>
                <w:rFonts w:ascii="Arial" w:cs="Arial" w:eastAsia="Arial" w:hAnsi="Arial"/>
                <w:sz w:val="14"/>
                <w:szCs w:val="14"/>
                <w:color w:val="auto"/>
              </w:rPr>
              <w:t>12,000,000.00</w:t>
            </w:r>
          </w:p>
        </w:tc>
        <w:tc>
          <w:tcPr>
            <w:tcW w:w="1160" w:type="dxa"/>
            <w:vAlign w:val="bottom"/>
          </w:tcPr>
          <w:p>
            <w:pPr>
              <w:jc w:val="right"/>
              <w:spacing w:after="0"/>
              <w:rPr>
                <w:sz w:val="20"/>
                <w:szCs w:val="20"/>
                <w:color w:val="auto"/>
              </w:rPr>
            </w:pPr>
            <w:r>
              <w:rPr>
                <w:rFonts w:ascii="Arial" w:cs="Arial" w:eastAsia="Arial" w:hAnsi="Arial"/>
                <w:sz w:val="14"/>
                <w:szCs w:val="14"/>
                <w:color w:val="auto"/>
              </w:rPr>
              <w:t>16.000000000%</w:t>
            </w:r>
          </w:p>
        </w:tc>
      </w:tr>
      <w:tr>
        <w:trPr>
          <w:trHeight w:val="270"/>
        </w:trPr>
        <w:tc>
          <w:tcPr>
            <w:tcW w:w="1580" w:type="dxa"/>
            <w:vAlign w:val="bottom"/>
          </w:tcPr>
          <w:p>
            <w:pPr>
              <w:spacing w:after="0"/>
              <w:rPr>
                <w:sz w:val="20"/>
                <w:szCs w:val="20"/>
                <w:color w:val="auto"/>
              </w:rPr>
            </w:pPr>
            <w:r>
              <w:rPr>
                <w:rFonts w:ascii="Arial" w:cs="Arial" w:eastAsia="Arial" w:hAnsi="Arial"/>
                <w:sz w:val="14"/>
                <w:szCs w:val="14"/>
                <w:color w:val="auto"/>
              </w:rPr>
              <w:t>BMO Harris Bank N.A.</w:t>
            </w:r>
          </w:p>
        </w:tc>
        <w:tc>
          <w:tcPr>
            <w:tcW w:w="128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1200" w:type="dxa"/>
            <w:vAlign w:val="bottom"/>
          </w:tcPr>
          <w:p>
            <w:pPr>
              <w:jc w:val="right"/>
              <w:ind w:right="28"/>
              <w:spacing w:after="0"/>
              <w:rPr>
                <w:sz w:val="20"/>
                <w:szCs w:val="20"/>
                <w:color w:val="auto"/>
              </w:rPr>
            </w:pPr>
            <w:r>
              <w:rPr>
                <w:rFonts w:ascii="Arial" w:cs="Arial" w:eastAsia="Arial" w:hAnsi="Arial"/>
                <w:sz w:val="14"/>
                <w:szCs w:val="14"/>
                <w:color w:val="auto"/>
              </w:rPr>
              <w:t>11,500,000.00</w:t>
            </w:r>
          </w:p>
        </w:tc>
        <w:tc>
          <w:tcPr>
            <w:tcW w:w="1200" w:type="dxa"/>
            <w:vAlign w:val="bottom"/>
          </w:tcPr>
          <w:p>
            <w:pPr>
              <w:jc w:val="right"/>
              <w:spacing w:after="0"/>
              <w:rPr>
                <w:sz w:val="20"/>
                <w:szCs w:val="20"/>
                <w:color w:val="auto"/>
              </w:rPr>
            </w:pPr>
            <w:r>
              <w:rPr>
                <w:rFonts w:ascii="Arial" w:cs="Arial" w:eastAsia="Arial" w:hAnsi="Arial"/>
                <w:sz w:val="14"/>
                <w:szCs w:val="14"/>
                <w:color w:val="auto"/>
              </w:rPr>
              <w:t>14.375000000%</w:t>
            </w:r>
          </w:p>
        </w:tc>
        <w:tc>
          <w:tcPr>
            <w:tcW w:w="1340" w:type="dxa"/>
            <w:vAlign w:val="bottom"/>
          </w:tcPr>
          <w:p>
            <w:pPr>
              <w:jc w:val="right"/>
              <w:spacing w:after="0"/>
              <w:rPr>
                <w:sz w:val="20"/>
                <w:szCs w:val="20"/>
                <w:color w:val="auto"/>
              </w:rPr>
            </w:pPr>
            <w:r>
              <w:rPr>
                <w:rFonts w:ascii="Arial" w:cs="Arial" w:eastAsia="Arial" w:hAnsi="Arial"/>
                <w:sz w:val="14"/>
                <w:szCs w:val="14"/>
                <w:color w:val="auto"/>
              </w:rPr>
              <w:t>9,487,500.00</w:t>
            </w:r>
          </w:p>
        </w:tc>
        <w:tc>
          <w:tcPr>
            <w:tcW w:w="1260" w:type="dxa"/>
            <w:vAlign w:val="bottom"/>
          </w:tcPr>
          <w:p>
            <w:pPr>
              <w:jc w:val="right"/>
              <w:spacing w:after="0"/>
              <w:rPr>
                <w:sz w:val="20"/>
                <w:szCs w:val="20"/>
                <w:color w:val="auto"/>
              </w:rPr>
            </w:pPr>
            <w:r>
              <w:rPr>
                <w:rFonts w:ascii="Arial" w:cs="Arial" w:eastAsia="Arial" w:hAnsi="Arial"/>
                <w:sz w:val="14"/>
                <w:szCs w:val="14"/>
                <w:color w:val="auto"/>
              </w:rPr>
              <w:t>2,512,500.00</w:t>
            </w:r>
          </w:p>
        </w:tc>
        <w:tc>
          <w:tcPr>
            <w:tcW w:w="1300" w:type="dxa"/>
            <w:vAlign w:val="bottom"/>
          </w:tcPr>
          <w:p>
            <w:pPr>
              <w:jc w:val="right"/>
              <w:ind w:right="48"/>
              <w:spacing w:after="0"/>
              <w:rPr>
                <w:sz w:val="20"/>
                <w:szCs w:val="20"/>
                <w:color w:val="auto"/>
              </w:rPr>
            </w:pPr>
            <w:r>
              <w:rPr>
                <w:rFonts w:ascii="Arial" w:cs="Arial" w:eastAsia="Arial" w:hAnsi="Arial"/>
                <w:sz w:val="14"/>
                <w:szCs w:val="14"/>
                <w:color w:val="auto"/>
              </w:rPr>
              <w:t>12,000,000.00</w:t>
            </w:r>
          </w:p>
        </w:tc>
        <w:tc>
          <w:tcPr>
            <w:tcW w:w="1160" w:type="dxa"/>
            <w:vAlign w:val="bottom"/>
          </w:tcPr>
          <w:p>
            <w:pPr>
              <w:jc w:val="right"/>
              <w:spacing w:after="0"/>
              <w:rPr>
                <w:sz w:val="20"/>
                <w:szCs w:val="20"/>
                <w:color w:val="auto"/>
              </w:rPr>
            </w:pPr>
            <w:r>
              <w:rPr>
                <w:rFonts w:ascii="Arial" w:cs="Arial" w:eastAsia="Arial" w:hAnsi="Arial"/>
                <w:sz w:val="14"/>
                <w:szCs w:val="14"/>
                <w:color w:val="auto"/>
              </w:rPr>
              <w:t>16.000000000%</w:t>
            </w:r>
          </w:p>
        </w:tc>
      </w:tr>
      <w:tr>
        <w:trPr>
          <w:trHeight w:val="169"/>
        </w:trPr>
        <w:tc>
          <w:tcPr>
            <w:tcW w:w="1580" w:type="dxa"/>
            <w:vAlign w:val="bottom"/>
          </w:tcPr>
          <w:p>
            <w:pPr>
              <w:spacing w:after="0"/>
              <w:rPr>
                <w:sz w:val="20"/>
                <w:szCs w:val="20"/>
                <w:color w:val="auto"/>
              </w:rPr>
            </w:pPr>
            <w:r>
              <w:rPr>
                <w:rFonts w:ascii="Arial" w:cs="Arial" w:eastAsia="Arial" w:hAnsi="Arial"/>
                <w:sz w:val="14"/>
                <w:szCs w:val="14"/>
                <w:color w:val="auto"/>
              </w:rPr>
              <w:t>Bank of Montreal -</w:t>
            </w:r>
          </w:p>
        </w:tc>
        <w:tc>
          <w:tcPr>
            <w:tcW w:w="12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182"/>
        </w:trPr>
        <w:tc>
          <w:tcPr>
            <w:tcW w:w="1580" w:type="dxa"/>
            <w:vAlign w:val="bottom"/>
          </w:tcPr>
          <w:p>
            <w:pPr>
              <w:spacing w:after="0"/>
              <w:rPr>
                <w:sz w:val="20"/>
                <w:szCs w:val="20"/>
                <w:color w:val="auto"/>
              </w:rPr>
            </w:pPr>
            <w:r>
              <w:rPr>
                <w:rFonts w:ascii="Arial" w:cs="Arial" w:eastAsia="Arial" w:hAnsi="Arial"/>
                <w:sz w:val="14"/>
                <w:szCs w:val="14"/>
                <w:color w:val="auto"/>
              </w:rPr>
              <w:t>London</w:t>
            </w:r>
          </w:p>
        </w:tc>
        <w:tc>
          <w:tcPr>
            <w:tcW w:w="12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160" w:type="dxa"/>
            <w:vAlign w:val="bottom"/>
          </w:tcPr>
          <w:p>
            <w:pPr>
              <w:spacing w:after="0"/>
              <w:rPr>
                <w:sz w:val="15"/>
                <w:szCs w:val="15"/>
                <w:color w:val="auto"/>
              </w:rPr>
            </w:pPr>
          </w:p>
        </w:tc>
      </w:tr>
      <w:tr>
        <w:trPr>
          <w:trHeight w:val="270"/>
        </w:trPr>
        <w:tc>
          <w:tcPr>
            <w:tcW w:w="1580" w:type="dxa"/>
            <w:vAlign w:val="bottom"/>
          </w:tcPr>
          <w:p>
            <w:pPr>
              <w:spacing w:after="0"/>
              <w:rPr>
                <w:sz w:val="20"/>
                <w:szCs w:val="20"/>
                <w:color w:val="auto"/>
              </w:rPr>
            </w:pPr>
            <w:r>
              <w:rPr>
                <w:rFonts w:ascii="Arial" w:cs="Arial" w:eastAsia="Arial" w:hAnsi="Arial"/>
                <w:sz w:val="14"/>
                <w:szCs w:val="14"/>
                <w:color w:val="auto"/>
              </w:rPr>
              <w:t>Wells Fargo Bank, N.A.</w:t>
            </w:r>
          </w:p>
        </w:tc>
        <w:tc>
          <w:tcPr>
            <w:tcW w:w="128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1200" w:type="dxa"/>
            <w:vAlign w:val="bottom"/>
          </w:tcPr>
          <w:p>
            <w:pPr>
              <w:jc w:val="right"/>
              <w:ind w:right="28"/>
              <w:spacing w:after="0"/>
              <w:rPr>
                <w:sz w:val="20"/>
                <w:szCs w:val="20"/>
                <w:color w:val="auto"/>
              </w:rPr>
            </w:pPr>
            <w:r>
              <w:rPr>
                <w:rFonts w:ascii="Arial" w:cs="Arial" w:eastAsia="Arial" w:hAnsi="Arial"/>
                <w:sz w:val="14"/>
                <w:szCs w:val="14"/>
                <w:color w:val="auto"/>
              </w:rPr>
              <w:t>5,500,000.00</w:t>
            </w:r>
          </w:p>
        </w:tc>
        <w:tc>
          <w:tcPr>
            <w:tcW w:w="1200" w:type="dxa"/>
            <w:vAlign w:val="bottom"/>
          </w:tcPr>
          <w:p>
            <w:pPr>
              <w:jc w:val="right"/>
              <w:spacing w:after="0"/>
              <w:rPr>
                <w:sz w:val="20"/>
                <w:szCs w:val="20"/>
                <w:color w:val="auto"/>
              </w:rPr>
            </w:pPr>
            <w:r>
              <w:rPr>
                <w:rFonts w:ascii="Arial" w:cs="Arial" w:eastAsia="Arial" w:hAnsi="Arial"/>
                <w:sz w:val="14"/>
                <w:szCs w:val="14"/>
                <w:color w:val="auto"/>
              </w:rPr>
              <w:t>6.875000000%</w:t>
            </w:r>
          </w:p>
        </w:tc>
        <w:tc>
          <w:tcPr>
            <w:tcW w:w="1340" w:type="dxa"/>
            <w:vAlign w:val="bottom"/>
          </w:tcPr>
          <w:p>
            <w:pPr>
              <w:jc w:val="right"/>
              <w:spacing w:after="0"/>
              <w:rPr>
                <w:sz w:val="20"/>
                <w:szCs w:val="20"/>
                <w:color w:val="auto"/>
              </w:rPr>
            </w:pPr>
            <w:r>
              <w:rPr>
                <w:rFonts w:ascii="Arial" w:cs="Arial" w:eastAsia="Arial" w:hAnsi="Arial"/>
                <w:sz w:val="14"/>
                <w:szCs w:val="14"/>
                <w:color w:val="auto"/>
              </w:rPr>
              <w:t>4,537,500.00</w:t>
            </w:r>
          </w:p>
        </w:tc>
        <w:tc>
          <w:tcPr>
            <w:tcW w:w="1260" w:type="dxa"/>
            <w:vAlign w:val="bottom"/>
          </w:tcPr>
          <w:p>
            <w:pPr>
              <w:jc w:val="right"/>
              <w:spacing w:after="0"/>
              <w:rPr>
                <w:sz w:val="20"/>
                <w:szCs w:val="20"/>
                <w:color w:val="auto"/>
              </w:rPr>
            </w:pPr>
            <w:r>
              <w:rPr>
                <w:rFonts w:ascii="Arial" w:cs="Arial" w:eastAsia="Arial" w:hAnsi="Arial"/>
                <w:sz w:val="14"/>
                <w:szCs w:val="14"/>
                <w:color w:val="auto"/>
              </w:rPr>
              <w:t>2,762,500.00</w:t>
            </w:r>
          </w:p>
        </w:tc>
        <w:tc>
          <w:tcPr>
            <w:tcW w:w="1300" w:type="dxa"/>
            <w:vAlign w:val="bottom"/>
          </w:tcPr>
          <w:p>
            <w:pPr>
              <w:jc w:val="right"/>
              <w:ind w:right="48"/>
              <w:spacing w:after="0"/>
              <w:rPr>
                <w:sz w:val="20"/>
                <w:szCs w:val="20"/>
                <w:color w:val="auto"/>
              </w:rPr>
            </w:pPr>
            <w:r>
              <w:rPr>
                <w:rFonts w:ascii="Arial" w:cs="Arial" w:eastAsia="Arial" w:hAnsi="Arial"/>
                <w:sz w:val="14"/>
                <w:szCs w:val="14"/>
                <w:color w:val="auto"/>
              </w:rPr>
              <w:t>7,300,000.00</w:t>
            </w:r>
          </w:p>
        </w:tc>
        <w:tc>
          <w:tcPr>
            <w:tcW w:w="1160" w:type="dxa"/>
            <w:vAlign w:val="bottom"/>
          </w:tcPr>
          <w:p>
            <w:pPr>
              <w:jc w:val="right"/>
              <w:spacing w:after="0"/>
              <w:rPr>
                <w:sz w:val="20"/>
                <w:szCs w:val="20"/>
                <w:color w:val="auto"/>
              </w:rPr>
            </w:pPr>
            <w:r>
              <w:rPr>
                <w:rFonts w:ascii="Arial" w:cs="Arial" w:eastAsia="Arial" w:hAnsi="Arial"/>
                <w:sz w:val="14"/>
                <w:szCs w:val="14"/>
                <w:color w:val="auto"/>
              </w:rPr>
              <w:t>9.733333333%</w:t>
            </w:r>
          </w:p>
        </w:tc>
      </w:tr>
      <w:tr>
        <w:trPr>
          <w:trHeight w:val="270"/>
        </w:trPr>
        <w:tc>
          <w:tcPr>
            <w:tcW w:w="1580" w:type="dxa"/>
            <w:vAlign w:val="bottom"/>
          </w:tcPr>
          <w:p>
            <w:pPr>
              <w:spacing w:after="0"/>
              <w:rPr>
                <w:sz w:val="20"/>
                <w:szCs w:val="20"/>
                <w:color w:val="auto"/>
              </w:rPr>
            </w:pPr>
            <w:r>
              <w:rPr>
                <w:rFonts w:ascii="Arial" w:cs="Arial" w:eastAsia="Arial" w:hAnsi="Arial"/>
                <w:sz w:val="14"/>
                <w:szCs w:val="14"/>
                <w:color w:val="auto"/>
              </w:rPr>
              <w:t>Compass Bank</w:t>
            </w:r>
          </w:p>
        </w:tc>
        <w:tc>
          <w:tcPr>
            <w:tcW w:w="128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1200" w:type="dxa"/>
            <w:vAlign w:val="bottom"/>
          </w:tcPr>
          <w:p>
            <w:pPr>
              <w:jc w:val="right"/>
              <w:ind w:right="28"/>
              <w:spacing w:after="0"/>
              <w:rPr>
                <w:sz w:val="20"/>
                <w:szCs w:val="20"/>
                <w:color w:val="auto"/>
              </w:rPr>
            </w:pPr>
            <w:r>
              <w:rPr>
                <w:rFonts w:ascii="Arial" w:cs="Arial" w:eastAsia="Arial" w:hAnsi="Arial"/>
                <w:sz w:val="14"/>
                <w:szCs w:val="14"/>
                <w:color w:val="auto"/>
              </w:rPr>
              <w:t>11,500,000.00</w:t>
            </w:r>
          </w:p>
        </w:tc>
        <w:tc>
          <w:tcPr>
            <w:tcW w:w="1200" w:type="dxa"/>
            <w:vAlign w:val="bottom"/>
          </w:tcPr>
          <w:p>
            <w:pPr>
              <w:jc w:val="right"/>
              <w:spacing w:after="0"/>
              <w:rPr>
                <w:sz w:val="20"/>
                <w:szCs w:val="20"/>
                <w:color w:val="auto"/>
              </w:rPr>
            </w:pPr>
            <w:r>
              <w:rPr>
                <w:rFonts w:ascii="Arial" w:cs="Arial" w:eastAsia="Arial" w:hAnsi="Arial"/>
                <w:sz w:val="14"/>
                <w:szCs w:val="14"/>
                <w:color w:val="auto"/>
              </w:rPr>
              <w:t>14.375000000%</w:t>
            </w:r>
          </w:p>
        </w:tc>
        <w:tc>
          <w:tcPr>
            <w:tcW w:w="1340" w:type="dxa"/>
            <w:vAlign w:val="bottom"/>
          </w:tcPr>
          <w:p>
            <w:pPr>
              <w:jc w:val="right"/>
              <w:spacing w:after="0"/>
              <w:rPr>
                <w:sz w:val="20"/>
                <w:szCs w:val="20"/>
                <w:color w:val="auto"/>
              </w:rPr>
            </w:pPr>
            <w:r>
              <w:rPr>
                <w:rFonts w:ascii="Arial" w:cs="Arial" w:eastAsia="Arial" w:hAnsi="Arial"/>
                <w:sz w:val="14"/>
                <w:szCs w:val="14"/>
                <w:color w:val="auto"/>
              </w:rPr>
              <w:t>9,487,500.00</w:t>
            </w:r>
          </w:p>
        </w:tc>
        <w:tc>
          <w:tcPr>
            <w:tcW w:w="1260" w:type="dxa"/>
            <w:vAlign w:val="bottom"/>
          </w:tcPr>
          <w:p>
            <w:pPr>
              <w:jc w:val="right"/>
              <w:spacing w:after="0"/>
              <w:rPr>
                <w:sz w:val="20"/>
                <w:szCs w:val="20"/>
                <w:color w:val="auto"/>
              </w:rPr>
            </w:pPr>
            <w:r>
              <w:rPr>
                <w:rFonts w:ascii="Arial" w:cs="Arial" w:eastAsia="Arial" w:hAnsi="Arial"/>
                <w:sz w:val="14"/>
                <w:szCs w:val="14"/>
                <w:color w:val="auto"/>
              </w:rPr>
              <w:t>2,512,500.00</w:t>
            </w:r>
          </w:p>
        </w:tc>
        <w:tc>
          <w:tcPr>
            <w:tcW w:w="1300" w:type="dxa"/>
            <w:vAlign w:val="bottom"/>
          </w:tcPr>
          <w:p>
            <w:pPr>
              <w:jc w:val="right"/>
              <w:ind w:right="48"/>
              <w:spacing w:after="0"/>
              <w:rPr>
                <w:sz w:val="20"/>
                <w:szCs w:val="20"/>
                <w:color w:val="auto"/>
              </w:rPr>
            </w:pPr>
            <w:r>
              <w:rPr>
                <w:rFonts w:ascii="Arial" w:cs="Arial" w:eastAsia="Arial" w:hAnsi="Arial"/>
                <w:sz w:val="14"/>
                <w:szCs w:val="14"/>
                <w:color w:val="auto"/>
              </w:rPr>
              <w:t>12,000,000.00</w:t>
            </w:r>
          </w:p>
        </w:tc>
        <w:tc>
          <w:tcPr>
            <w:tcW w:w="1160" w:type="dxa"/>
            <w:vAlign w:val="bottom"/>
          </w:tcPr>
          <w:p>
            <w:pPr>
              <w:jc w:val="right"/>
              <w:spacing w:after="0"/>
              <w:rPr>
                <w:sz w:val="20"/>
                <w:szCs w:val="20"/>
                <w:color w:val="auto"/>
              </w:rPr>
            </w:pPr>
            <w:r>
              <w:rPr>
                <w:rFonts w:ascii="Arial" w:cs="Arial" w:eastAsia="Arial" w:hAnsi="Arial"/>
                <w:sz w:val="14"/>
                <w:szCs w:val="14"/>
                <w:color w:val="auto"/>
              </w:rPr>
              <w:t>16.000000000%</w:t>
            </w:r>
          </w:p>
        </w:tc>
      </w:tr>
      <w:tr>
        <w:trPr>
          <w:trHeight w:val="169"/>
        </w:trPr>
        <w:tc>
          <w:tcPr>
            <w:tcW w:w="1580" w:type="dxa"/>
            <w:vAlign w:val="bottom"/>
          </w:tcPr>
          <w:p>
            <w:pPr>
              <w:spacing w:after="0"/>
              <w:rPr>
                <w:sz w:val="20"/>
                <w:szCs w:val="20"/>
                <w:color w:val="auto"/>
              </w:rPr>
            </w:pPr>
            <w:r>
              <w:rPr>
                <w:rFonts w:ascii="Arial" w:cs="Arial" w:eastAsia="Arial" w:hAnsi="Arial"/>
                <w:sz w:val="14"/>
                <w:szCs w:val="14"/>
                <w:color w:val="auto"/>
              </w:rPr>
              <w:t>KeyBank National</w:t>
            </w:r>
          </w:p>
        </w:tc>
        <w:tc>
          <w:tcPr>
            <w:tcW w:w="12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182"/>
        </w:trPr>
        <w:tc>
          <w:tcPr>
            <w:tcW w:w="1580" w:type="dxa"/>
            <w:vAlign w:val="bottom"/>
          </w:tcPr>
          <w:p>
            <w:pPr>
              <w:spacing w:after="0"/>
              <w:rPr>
                <w:sz w:val="20"/>
                <w:szCs w:val="20"/>
                <w:color w:val="auto"/>
              </w:rPr>
            </w:pPr>
            <w:r>
              <w:rPr>
                <w:rFonts w:ascii="Arial" w:cs="Arial" w:eastAsia="Arial" w:hAnsi="Arial"/>
                <w:sz w:val="14"/>
                <w:szCs w:val="14"/>
                <w:color w:val="auto"/>
              </w:rPr>
              <w:t>Association</w:t>
            </w:r>
          </w:p>
        </w:tc>
        <w:tc>
          <w:tcPr>
            <w:tcW w:w="12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200" w:type="dxa"/>
            <w:vAlign w:val="bottom"/>
          </w:tcPr>
          <w:p>
            <w:pPr>
              <w:jc w:val="right"/>
              <w:ind w:right="28"/>
              <w:spacing w:after="0"/>
              <w:rPr>
                <w:sz w:val="20"/>
                <w:szCs w:val="20"/>
                <w:color w:val="auto"/>
              </w:rPr>
            </w:pPr>
            <w:r>
              <w:rPr>
                <w:rFonts w:ascii="Arial" w:cs="Arial" w:eastAsia="Arial" w:hAnsi="Arial"/>
                <w:sz w:val="14"/>
                <w:szCs w:val="14"/>
                <w:color w:val="auto"/>
              </w:rPr>
              <w:t>9,500,000.00</w:t>
            </w:r>
          </w:p>
        </w:tc>
        <w:tc>
          <w:tcPr>
            <w:tcW w:w="1200" w:type="dxa"/>
            <w:vAlign w:val="bottom"/>
          </w:tcPr>
          <w:p>
            <w:pPr>
              <w:jc w:val="right"/>
              <w:spacing w:after="0"/>
              <w:rPr>
                <w:sz w:val="20"/>
                <w:szCs w:val="20"/>
                <w:color w:val="auto"/>
              </w:rPr>
            </w:pPr>
            <w:r>
              <w:rPr>
                <w:rFonts w:ascii="Arial" w:cs="Arial" w:eastAsia="Arial" w:hAnsi="Arial"/>
                <w:sz w:val="14"/>
                <w:szCs w:val="14"/>
                <w:color w:val="auto"/>
              </w:rPr>
              <w:t>11.875000000%</w:t>
            </w:r>
          </w:p>
        </w:tc>
        <w:tc>
          <w:tcPr>
            <w:tcW w:w="1340" w:type="dxa"/>
            <w:vAlign w:val="bottom"/>
          </w:tcPr>
          <w:p>
            <w:pPr>
              <w:jc w:val="right"/>
              <w:spacing w:after="0"/>
              <w:rPr>
                <w:sz w:val="20"/>
                <w:szCs w:val="20"/>
                <w:color w:val="auto"/>
              </w:rPr>
            </w:pPr>
            <w:r>
              <w:rPr>
                <w:rFonts w:ascii="Arial" w:cs="Arial" w:eastAsia="Arial" w:hAnsi="Arial"/>
                <w:sz w:val="14"/>
                <w:szCs w:val="14"/>
                <w:color w:val="auto"/>
              </w:rPr>
              <w:t>7,837,500.00</w:t>
            </w:r>
          </w:p>
        </w:tc>
        <w:tc>
          <w:tcPr>
            <w:tcW w:w="1260" w:type="dxa"/>
            <w:vAlign w:val="bottom"/>
          </w:tcPr>
          <w:p>
            <w:pPr>
              <w:jc w:val="right"/>
              <w:spacing w:after="0"/>
              <w:rPr>
                <w:sz w:val="20"/>
                <w:szCs w:val="20"/>
                <w:color w:val="auto"/>
              </w:rPr>
            </w:pPr>
            <w:r>
              <w:rPr>
                <w:rFonts w:ascii="Arial" w:cs="Arial" w:eastAsia="Arial" w:hAnsi="Arial"/>
                <w:sz w:val="14"/>
                <w:szCs w:val="14"/>
                <w:color w:val="auto"/>
              </w:rPr>
              <w:t>(1,937,500.00)</w:t>
            </w:r>
          </w:p>
        </w:tc>
        <w:tc>
          <w:tcPr>
            <w:tcW w:w="1300" w:type="dxa"/>
            <w:vAlign w:val="bottom"/>
          </w:tcPr>
          <w:p>
            <w:pPr>
              <w:jc w:val="right"/>
              <w:ind w:right="48"/>
              <w:spacing w:after="0"/>
              <w:rPr>
                <w:sz w:val="20"/>
                <w:szCs w:val="20"/>
                <w:color w:val="auto"/>
              </w:rPr>
            </w:pPr>
            <w:r>
              <w:rPr>
                <w:rFonts w:ascii="Arial" w:cs="Arial" w:eastAsia="Arial" w:hAnsi="Arial"/>
                <w:sz w:val="14"/>
                <w:szCs w:val="14"/>
                <w:color w:val="auto"/>
              </w:rPr>
              <w:t>5,900,000.00</w:t>
            </w:r>
          </w:p>
        </w:tc>
        <w:tc>
          <w:tcPr>
            <w:tcW w:w="1160" w:type="dxa"/>
            <w:vAlign w:val="bottom"/>
          </w:tcPr>
          <w:p>
            <w:pPr>
              <w:jc w:val="right"/>
              <w:spacing w:after="0"/>
              <w:rPr>
                <w:sz w:val="20"/>
                <w:szCs w:val="20"/>
                <w:color w:val="auto"/>
              </w:rPr>
            </w:pPr>
            <w:r>
              <w:rPr>
                <w:rFonts w:ascii="Arial" w:cs="Arial" w:eastAsia="Arial" w:hAnsi="Arial"/>
                <w:sz w:val="14"/>
                <w:szCs w:val="14"/>
                <w:color w:val="auto"/>
              </w:rPr>
              <w:t>7.866666667%</w:t>
            </w:r>
          </w:p>
        </w:tc>
      </w:tr>
      <w:tr>
        <w:trPr>
          <w:trHeight w:val="270"/>
        </w:trPr>
        <w:tc>
          <w:tcPr>
            <w:tcW w:w="1580" w:type="dxa"/>
            <w:vAlign w:val="bottom"/>
          </w:tcPr>
          <w:p>
            <w:pPr>
              <w:spacing w:after="0"/>
              <w:rPr>
                <w:sz w:val="20"/>
                <w:szCs w:val="20"/>
                <w:color w:val="auto"/>
              </w:rPr>
            </w:pPr>
            <w:r>
              <w:rPr>
                <w:rFonts w:ascii="Arial" w:cs="Arial" w:eastAsia="Arial" w:hAnsi="Arial"/>
                <w:sz w:val="14"/>
                <w:szCs w:val="14"/>
                <w:color w:val="auto"/>
              </w:rPr>
              <w:t>Regions Bank</w:t>
            </w:r>
          </w:p>
        </w:tc>
        <w:tc>
          <w:tcPr>
            <w:tcW w:w="128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1340" w:type="dxa"/>
            <w:vAlign w:val="bottom"/>
          </w:tcPr>
          <w:p>
            <w:pPr>
              <w:spacing w:after="0"/>
              <w:rPr>
                <w:sz w:val="23"/>
                <w:szCs w:val="23"/>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5,900,000.00</w:t>
            </w:r>
          </w:p>
        </w:tc>
        <w:tc>
          <w:tcPr>
            <w:tcW w:w="1300" w:type="dxa"/>
            <w:vAlign w:val="bottom"/>
          </w:tcPr>
          <w:p>
            <w:pPr>
              <w:jc w:val="right"/>
              <w:ind w:right="48"/>
              <w:spacing w:after="0"/>
              <w:rPr>
                <w:sz w:val="20"/>
                <w:szCs w:val="20"/>
                <w:color w:val="auto"/>
              </w:rPr>
            </w:pPr>
            <w:r>
              <w:rPr>
                <w:rFonts w:ascii="Arial" w:cs="Arial" w:eastAsia="Arial" w:hAnsi="Arial"/>
                <w:sz w:val="14"/>
                <w:szCs w:val="14"/>
                <w:color w:val="auto"/>
              </w:rPr>
              <w:t>5,900,000.00</w:t>
            </w:r>
          </w:p>
        </w:tc>
        <w:tc>
          <w:tcPr>
            <w:tcW w:w="1160" w:type="dxa"/>
            <w:vAlign w:val="bottom"/>
          </w:tcPr>
          <w:p>
            <w:pPr>
              <w:jc w:val="right"/>
              <w:spacing w:after="0"/>
              <w:rPr>
                <w:sz w:val="20"/>
                <w:szCs w:val="20"/>
                <w:color w:val="auto"/>
              </w:rPr>
            </w:pPr>
            <w:r>
              <w:rPr>
                <w:rFonts w:ascii="Arial" w:cs="Arial" w:eastAsia="Arial" w:hAnsi="Arial"/>
                <w:sz w:val="14"/>
                <w:szCs w:val="14"/>
                <w:color w:val="auto"/>
              </w:rPr>
              <w:t>7.866666667%</w:t>
            </w:r>
          </w:p>
        </w:tc>
      </w:tr>
      <w:tr>
        <w:trPr>
          <w:trHeight w:val="270"/>
        </w:trPr>
        <w:tc>
          <w:tcPr>
            <w:tcW w:w="1580" w:type="dxa"/>
            <w:vAlign w:val="bottom"/>
          </w:tcPr>
          <w:p>
            <w:pPr>
              <w:spacing w:after="0"/>
              <w:rPr>
                <w:sz w:val="20"/>
                <w:szCs w:val="20"/>
                <w:color w:val="auto"/>
              </w:rPr>
            </w:pPr>
            <w:r>
              <w:rPr>
                <w:rFonts w:ascii="Arial" w:cs="Arial" w:eastAsia="Arial" w:hAnsi="Arial"/>
                <w:sz w:val="14"/>
                <w:szCs w:val="14"/>
                <w:color w:val="auto"/>
              </w:rPr>
              <w:t>Barclays Bank</w:t>
            </w:r>
          </w:p>
        </w:tc>
        <w:tc>
          <w:tcPr>
            <w:tcW w:w="128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134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1160" w:type="dxa"/>
            <w:vAlign w:val="bottom"/>
          </w:tcPr>
          <w:p>
            <w:pPr>
              <w:spacing w:after="0"/>
              <w:rPr>
                <w:sz w:val="23"/>
                <w:szCs w:val="23"/>
                <w:color w:val="auto"/>
              </w:rPr>
            </w:pPr>
          </w:p>
        </w:tc>
      </w:tr>
      <w:tr>
        <w:trPr>
          <w:trHeight w:val="270"/>
        </w:trPr>
        <w:tc>
          <w:tcPr>
            <w:tcW w:w="1580" w:type="dxa"/>
            <w:vAlign w:val="bottom"/>
          </w:tcPr>
          <w:p>
            <w:pPr>
              <w:spacing w:after="0"/>
              <w:rPr>
                <w:sz w:val="20"/>
                <w:szCs w:val="20"/>
                <w:color w:val="auto"/>
              </w:rPr>
            </w:pPr>
            <w:r>
              <w:rPr>
                <w:rFonts w:ascii="Arial" w:cs="Arial" w:eastAsia="Arial" w:hAnsi="Arial"/>
                <w:sz w:val="14"/>
                <w:szCs w:val="14"/>
                <w:color w:val="auto"/>
              </w:rPr>
              <w:t>Fifth Third Bank</w:t>
            </w:r>
          </w:p>
        </w:tc>
        <w:tc>
          <w:tcPr>
            <w:tcW w:w="128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1340" w:type="dxa"/>
            <w:vAlign w:val="bottom"/>
          </w:tcPr>
          <w:p>
            <w:pPr>
              <w:spacing w:after="0"/>
              <w:rPr>
                <w:sz w:val="23"/>
                <w:szCs w:val="23"/>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2,500,000.00</w:t>
            </w:r>
          </w:p>
        </w:tc>
        <w:tc>
          <w:tcPr>
            <w:tcW w:w="1300" w:type="dxa"/>
            <w:vAlign w:val="bottom"/>
          </w:tcPr>
          <w:p>
            <w:pPr>
              <w:jc w:val="right"/>
              <w:ind w:right="48"/>
              <w:spacing w:after="0"/>
              <w:rPr>
                <w:sz w:val="20"/>
                <w:szCs w:val="20"/>
                <w:color w:val="auto"/>
              </w:rPr>
            </w:pPr>
            <w:r>
              <w:rPr>
                <w:rFonts w:ascii="Arial" w:cs="Arial" w:eastAsia="Arial" w:hAnsi="Arial"/>
                <w:sz w:val="14"/>
                <w:szCs w:val="14"/>
                <w:color w:val="auto"/>
              </w:rPr>
              <w:t>2,500,000.00</w:t>
            </w:r>
          </w:p>
        </w:tc>
        <w:tc>
          <w:tcPr>
            <w:tcW w:w="1160" w:type="dxa"/>
            <w:vAlign w:val="bottom"/>
          </w:tcPr>
          <w:p>
            <w:pPr>
              <w:jc w:val="right"/>
              <w:spacing w:after="0"/>
              <w:rPr>
                <w:sz w:val="20"/>
                <w:szCs w:val="20"/>
                <w:color w:val="auto"/>
              </w:rPr>
            </w:pPr>
            <w:r>
              <w:rPr>
                <w:rFonts w:ascii="Arial" w:cs="Arial" w:eastAsia="Arial" w:hAnsi="Arial"/>
                <w:sz w:val="14"/>
                <w:szCs w:val="14"/>
                <w:color w:val="auto"/>
              </w:rPr>
              <w:t>3.333333333%</w:t>
            </w:r>
          </w:p>
        </w:tc>
      </w:tr>
      <w:tr>
        <w:trPr>
          <w:trHeight w:val="270"/>
        </w:trPr>
        <w:tc>
          <w:tcPr>
            <w:tcW w:w="1580" w:type="dxa"/>
            <w:vAlign w:val="bottom"/>
          </w:tcPr>
          <w:p>
            <w:pPr>
              <w:spacing w:after="0"/>
              <w:rPr>
                <w:sz w:val="20"/>
                <w:szCs w:val="20"/>
                <w:color w:val="auto"/>
              </w:rPr>
            </w:pPr>
            <w:r>
              <w:rPr>
                <w:rFonts w:ascii="Arial" w:cs="Arial" w:eastAsia="Arial" w:hAnsi="Arial"/>
                <w:sz w:val="14"/>
                <w:szCs w:val="14"/>
                <w:color w:val="auto"/>
              </w:rPr>
              <w:t>Lloyds Bank</w:t>
            </w:r>
          </w:p>
        </w:tc>
        <w:tc>
          <w:tcPr>
            <w:tcW w:w="128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1200" w:type="dxa"/>
            <w:vAlign w:val="bottom"/>
          </w:tcPr>
          <w:p>
            <w:pPr>
              <w:jc w:val="right"/>
              <w:ind w:right="28"/>
              <w:spacing w:after="0"/>
              <w:rPr>
                <w:sz w:val="20"/>
                <w:szCs w:val="20"/>
                <w:color w:val="auto"/>
              </w:rPr>
            </w:pPr>
            <w:r>
              <w:rPr>
                <w:rFonts w:ascii="Arial" w:cs="Arial" w:eastAsia="Arial" w:hAnsi="Arial"/>
                <w:sz w:val="14"/>
                <w:szCs w:val="14"/>
                <w:color w:val="auto"/>
              </w:rPr>
              <w:t>5,500,000.00</w:t>
            </w:r>
          </w:p>
        </w:tc>
        <w:tc>
          <w:tcPr>
            <w:tcW w:w="1200" w:type="dxa"/>
            <w:vAlign w:val="bottom"/>
          </w:tcPr>
          <w:p>
            <w:pPr>
              <w:jc w:val="right"/>
              <w:spacing w:after="0"/>
              <w:rPr>
                <w:sz w:val="20"/>
                <w:szCs w:val="20"/>
                <w:color w:val="auto"/>
              </w:rPr>
            </w:pPr>
            <w:r>
              <w:rPr>
                <w:rFonts w:ascii="Arial" w:cs="Arial" w:eastAsia="Arial" w:hAnsi="Arial"/>
                <w:sz w:val="14"/>
                <w:szCs w:val="14"/>
                <w:color w:val="auto"/>
              </w:rPr>
              <w:t>6.875000000%</w:t>
            </w:r>
          </w:p>
        </w:tc>
        <w:tc>
          <w:tcPr>
            <w:tcW w:w="1340" w:type="dxa"/>
            <w:vAlign w:val="bottom"/>
          </w:tcPr>
          <w:p>
            <w:pPr>
              <w:jc w:val="right"/>
              <w:spacing w:after="0"/>
              <w:rPr>
                <w:sz w:val="20"/>
                <w:szCs w:val="20"/>
                <w:color w:val="auto"/>
              </w:rPr>
            </w:pPr>
            <w:r>
              <w:rPr>
                <w:rFonts w:ascii="Arial" w:cs="Arial" w:eastAsia="Arial" w:hAnsi="Arial"/>
                <w:sz w:val="14"/>
                <w:szCs w:val="14"/>
                <w:color w:val="auto"/>
              </w:rPr>
              <w:t>4,537,500.00</w:t>
            </w:r>
          </w:p>
        </w:tc>
        <w:tc>
          <w:tcPr>
            <w:tcW w:w="1260" w:type="dxa"/>
            <w:vAlign w:val="bottom"/>
          </w:tcPr>
          <w:p>
            <w:pPr>
              <w:jc w:val="right"/>
              <w:spacing w:after="0"/>
              <w:rPr>
                <w:sz w:val="20"/>
                <w:szCs w:val="20"/>
                <w:color w:val="auto"/>
              </w:rPr>
            </w:pPr>
            <w:r>
              <w:rPr>
                <w:rFonts w:ascii="Arial" w:cs="Arial" w:eastAsia="Arial" w:hAnsi="Arial"/>
                <w:sz w:val="14"/>
                <w:szCs w:val="14"/>
                <w:color w:val="auto"/>
              </w:rPr>
              <w:t>(4,537,500.00)</w:t>
            </w:r>
          </w:p>
        </w:tc>
        <w:tc>
          <w:tcPr>
            <w:tcW w:w="1300" w:type="dxa"/>
            <w:vAlign w:val="bottom"/>
          </w:tcPr>
          <w:p>
            <w:pPr>
              <w:spacing w:after="0"/>
              <w:rPr>
                <w:sz w:val="23"/>
                <w:szCs w:val="23"/>
                <w:color w:val="auto"/>
              </w:rPr>
            </w:pPr>
          </w:p>
        </w:tc>
        <w:tc>
          <w:tcPr>
            <w:tcW w:w="1160" w:type="dxa"/>
            <w:vAlign w:val="bottom"/>
          </w:tcPr>
          <w:p>
            <w:pPr>
              <w:spacing w:after="0"/>
              <w:rPr>
                <w:sz w:val="23"/>
                <w:szCs w:val="23"/>
                <w:color w:val="auto"/>
              </w:rPr>
            </w:pPr>
          </w:p>
        </w:tc>
      </w:tr>
      <w:tr>
        <w:trPr>
          <w:trHeight w:val="169"/>
        </w:trPr>
        <w:tc>
          <w:tcPr>
            <w:tcW w:w="1580" w:type="dxa"/>
            <w:vAlign w:val="bottom"/>
          </w:tcPr>
          <w:p>
            <w:pPr>
              <w:spacing w:after="0"/>
              <w:rPr>
                <w:sz w:val="20"/>
                <w:szCs w:val="20"/>
                <w:color w:val="auto"/>
              </w:rPr>
            </w:pPr>
            <w:r>
              <w:rPr>
                <w:rFonts w:ascii="Arial" w:cs="Arial" w:eastAsia="Arial" w:hAnsi="Arial"/>
                <w:sz w:val="14"/>
                <w:szCs w:val="14"/>
                <w:color w:val="auto"/>
              </w:rPr>
              <w:t>BOKF, NA (dba Bank of</w:t>
            </w:r>
          </w:p>
        </w:tc>
        <w:tc>
          <w:tcPr>
            <w:tcW w:w="12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182"/>
        </w:trPr>
        <w:tc>
          <w:tcPr>
            <w:tcW w:w="1580" w:type="dxa"/>
            <w:vAlign w:val="bottom"/>
          </w:tcPr>
          <w:p>
            <w:pPr>
              <w:spacing w:after="0"/>
              <w:rPr>
                <w:sz w:val="20"/>
                <w:szCs w:val="20"/>
                <w:color w:val="auto"/>
              </w:rPr>
            </w:pPr>
            <w:r>
              <w:rPr>
                <w:rFonts w:ascii="Arial" w:cs="Arial" w:eastAsia="Arial" w:hAnsi="Arial"/>
                <w:sz w:val="14"/>
                <w:szCs w:val="14"/>
                <w:color w:val="auto"/>
              </w:rPr>
              <w:t>Kansas City)</w:t>
            </w:r>
          </w:p>
        </w:tc>
        <w:tc>
          <w:tcPr>
            <w:tcW w:w="12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200" w:type="dxa"/>
            <w:vAlign w:val="bottom"/>
          </w:tcPr>
          <w:p>
            <w:pPr>
              <w:jc w:val="right"/>
              <w:ind w:right="28"/>
              <w:spacing w:after="0"/>
              <w:rPr>
                <w:sz w:val="20"/>
                <w:szCs w:val="20"/>
                <w:color w:val="auto"/>
              </w:rPr>
            </w:pPr>
            <w:r>
              <w:rPr>
                <w:rFonts w:ascii="Arial" w:cs="Arial" w:eastAsia="Arial" w:hAnsi="Arial"/>
                <w:sz w:val="14"/>
                <w:szCs w:val="14"/>
                <w:color w:val="auto"/>
              </w:rPr>
              <w:t>5,000,000.00</w:t>
            </w:r>
          </w:p>
        </w:tc>
        <w:tc>
          <w:tcPr>
            <w:tcW w:w="1200" w:type="dxa"/>
            <w:vAlign w:val="bottom"/>
          </w:tcPr>
          <w:p>
            <w:pPr>
              <w:jc w:val="right"/>
              <w:spacing w:after="0"/>
              <w:rPr>
                <w:sz w:val="20"/>
                <w:szCs w:val="20"/>
                <w:color w:val="auto"/>
              </w:rPr>
            </w:pPr>
            <w:r>
              <w:rPr>
                <w:rFonts w:ascii="Arial" w:cs="Arial" w:eastAsia="Arial" w:hAnsi="Arial"/>
                <w:sz w:val="14"/>
                <w:szCs w:val="14"/>
                <w:color w:val="auto"/>
              </w:rPr>
              <w:t>6.250000000%</w:t>
            </w:r>
          </w:p>
        </w:tc>
        <w:tc>
          <w:tcPr>
            <w:tcW w:w="1340" w:type="dxa"/>
            <w:vAlign w:val="bottom"/>
          </w:tcPr>
          <w:p>
            <w:pPr>
              <w:jc w:val="right"/>
              <w:spacing w:after="0"/>
              <w:rPr>
                <w:sz w:val="20"/>
                <w:szCs w:val="20"/>
                <w:color w:val="auto"/>
              </w:rPr>
            </w:pPr>
            <w:r>
              <w:rPr>
                <w:rFonts w:ascii="Arial" w:cs="Arial" w:eastAsia="Arial" w:hAnsi="Arial"/>
                <w:sz w:val="14"/>
                <w:szCs w:val="14"/>
                <w:color w:val="auto"/>
              </w:rPr>
              <w:t>4,125,000.00</w:t>
            </w:r>
          </w:p>
        </w:tc>
        <w:tc>
          <w:tcPr>
            <w:tcW w:w="1260" w:type="dxa"/>
            <w:vAlign w:val="bottom"/>
          </w:tcPr>
          <w:p>
            <w:pPr>
              <w:jc w:val="right"/>
              <w:spacing w:after="0"/>
              <w:rPr>
                <w:sz w:val="20"/>
                <w:szCs w:val="20"/>
                <w:color w:val="auto"/>
              </w:rPr>
            </w:pPr>
            <w:r>
              <w:rPr>
                <w:rFonts w:ascii="Arial" w:cs="Arial" w:eastAsia="Arial" w:hAnsi="Arial"/>
                <w:sz w:val="14"/>
                <w:szCs w:val="14"/>
                <w:color w:val="auto"/>
              </w:rPr>
              <w:t>(1,625,000.00)</w:t>
            </w:r>
          </w:p>
        </w:tc>
        <w:tc>
          <w:tcPr>
            <w:tcW w:w="1300" w:type="dxa"/>
            <w:vAlign w:val="bottom"/>
          </w:tcPr>
          <w:p>
            <w:pPr>
              <w:jc w:val="right"/>
              <w:ind w:right="48"/>
              <w:spacing w:after="0"/>
              <w:rPr>
                <w:sz w:val="20"/>
                <w:szCs w:val="20"/>
                <w:color w:val="auto"/>
              </w:rPr>
            </w:pPr>
            <w:r>
              <w:rPr>
                <w:rFonts w:ascii="Arial" w:cs="Arial" w:eastAsia="Arial" w:hAnsi="Arial"/>
                <w:sz w:val="14"/>
                <w:szCs w:val="14"/>
                <w:color w:val="auto"/>
              </w:rPr>
              <w:t>2,500,000.00</w:t>
            </w:r>
          </w:p>
        </w:tc>
        <w:tc>
          <w:tcPr>
            <w:tcW w:w="1160" w:type="dxa"/>
            <w:vAlign w:val="bottom"/>
          </w:tcPr>
          <w:p>
            <w:pPr>
              <w:jc w:val="right"/>
              <w:spacing w:after="0"/>
              <w:rPr>
                <w:sz w:val="20"/>
                <w:szCs w:val="20"/>
                <w:color w:val="auto"/>
              </w:rPr>
            </w:pPr>
            <w:r>
              <w:rPr>
                <w:rFonts w:ascii="Arial" w:cs="Arial" w:eastAsia="Arial" w:hAnsi="Arial"/>
                <w:sz w:val="14"/>
                <w:szCs w:val="14"/>
                <w:color w:val="auto"/>
              </w:rPr>
              <w:t>3.333333333%</w:t>
            </w:r>
          </w:p>
        </w:tc>
      </w:tr>
      <w:tr>
        <w:trPr>
          <w:trHeight w:val="270"/>
        </w:trPr>
        <w:tc>
          <w:tcPr>
            <w:tcW w:w="1580" w:type="dxa"/>
            <w:vAlign w:val="bottom"/>
          </w:tcPr>
          <w:p>
            <w:pPr>
              <w:spacing w:after="0"/>
              <w:rPr>
                <w:sz w:val="20"/>
                <w:szCs w:val="20"/>
                <w:color w:val="auto"/>
              </w:rPr>
            </w:pPr>
            <w:r>
              <w:rPr>
                <w:rFonts w:ascii="Arial" w:cs="Arial" w:eastAsia="Arial" w:hAnsi="Arial"/>
                <w:sz w:val="14"/>
                <w:szCs w:val="14"/>
                <w:color w:val="auto"/>
              </w:rPr>
              <w:t>The Bank of Nova Scotia</w:t>
            </w:r>
          </w:p>
        </w:tc>
        <w:tc>
          <w:tcPr>
            <w:tcW w:w="128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1340" w:type="dxa"/>
            <w:vAlign w:val="bottom"/>
          </w:tcPr>
          <w:p>
            <w:pPr>
              <w:spacing w:after="0"/>
              <w:rPr>
                <w:sz w:val="23"/>
                <w:szCs w:val="23"/>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2,400,000.00</w:t>
            </w:r>
          </w:p>
        </w:tc>
        <w:tc>
          <w:tcPr>
            <w:tcW w:w="1300" w:type="dxa"/>
            <w:vAlign w:val="bottom"/>
          </w:tcPr>
          <w:p>
            <w:pPr>
              <w:jc w:val="right"/>
              <w:ind w:right="48"/>
              <w:spacing w:after="0"/>
              <w:rPr>
                <w:sz w:val="20"/>
                <w:szCs w:val="20"/>
                <w:color w:val="auto"/>
              </w:rPr>
            </w:pPr>
            <w:r>
              <w:rPr>
                <w:rFonts w:ascii="Arial" w:cs="Arial" w:eastAsia="Arial" w:hAnsi="Arial"/>
                <w:sz w:val="14"/>
                <w:szCs w:val="14"/>
                <w:color w:val="auto"/>
              </w:rPr>
              <w:t>2,400,000.00</w:t>
            </w:r>
          </w:p>
        </w:tc>
        <w:tc>
          <w:tcPr>
            <w:tcW w:w="1160" w:type="dxa"/>
            <w:vAlign w:val="bottom"/>
          </w:tcPr>
          <w:p>
            <w:pPr>
              <w:jc w:val="right"/>
              <w:spacing w:after="0"/>
              <w:rPr>
                <w:sz w:val="20"/>
                <w:szCs w:val="20"/>
                <w:color w:val="auto"/>
              </w:rPr>
            </w:pPr>
            <w:r>
              <w:rPr>
                <w:rFonts w:ascii="Arial" w:cs="Arial" w:eastAsia="Arial" w:hAnsi="Arial"/>
                <w:sz w:val="14"/>
                <w:szCs w:val="14"/>
                <w:color w:val="auto"/>
              </w:rPr>
              <w:t>3.200000000%</w:t>
            </w:r>
          </w:p>
        </w:tc>
      </w:tr>
      <w:tr>
        <w:trPr>
          <w:trHeight w:val="276"/>
        </w:trPr>
        <w:tc>
          <w:tcPr>
            <w:tcW w:w="1580" w:type="dxa"/>
            <w:vAlign w:val="bottom"/>
          </w:tcPr>
          <w:p>
            <w:pPr>
              <w:spacing w:after="0"/>
              <w:rPr>
                <w:sz w:val="20"/>
                <w:szCs w:val="20"/>
                <w:color w:val="auto"/>
              </w:rPr>
            </w:pPr>
            <w:r>
              <w:rPr>
                <w:rFonts w:ascii="Arial" w:cs="Arial" w:eastAsia="Arial" w:hAnsi="Arial"/>
                <w:sz w:val="14"/>
                <w:szCs w:val="14"/>
                <w:color w:val="auto"/>
                <w:w w:val="97"/>
              </w:rPr>
              <w:t>Citizens Bank &amp; Trust Co.</w:t>
            </w:r>
          </w:p>
        </w:tc>
        <w:tc>
          <w:tcPr>
            <w:tcW w:w="128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2,500,000.00</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3.125000000%</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2,062,500.00</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(1,562,500.00)</w:t>
            </w:r>
          </w:p>
        </w:tc>
        <w:tc>
          <w:tcPr>
            <w:tcW w:w="13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500,000.00</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0.666666667%</w:t>
            </w:r>
          </w:p>
        </w:tc>
      </w:tr>
      <w:tr>
        <w:trPr>
          <w:trHeight w:val="244"/>
        </w:trPr>
        <w:tc>
          <w:tcPr>
            <w:tcW w:w="1580" w:type="dxa"/>
            <w:vAlign w:val="bottom"/>
          </w:tcPr>
          <w:p>
            <w:pPr>
              <w:spacing w:after="0"/>
              <w:rPr>
                <w:sz w:val="21"/>
                <w:szCs w:val="21"/>
                <w:color w:val="auto"/>
              </w:rPr>
            </w:pPr>
          </w:p>
        </w:tc>
        <w:tc>
          <w:tcPr>
            <w:tcW w:w="2340" w:type="dxa"/>
            <w:vAlign w:val="bottom"/>
            <w:gridSpan w:val="2"/>
          </w:tcPr>
          <w:p>
            <w:pPr>
              <w:jc w:val="right"/>
              <w:spacing w:after="0"/>
              <w:rPr>
                <w:sz w:val="20"/>
                <w:szCs w:val="20"/>
                <w:color w:val="auto"/>
              </w:rPr>
            </w:pPr>
            <w:r>
              <w:rPr>
                <w:rFonts w:ascii="Arial" w:cs="Arial" w:eastAsia="Arial" w:hAnsi="Arial"/>
                <w:sz w:val="14"/>
                <w:szCs w:val="14"/>
                <w:color w:val="auto"/>
              </w:rPr>
              <w:t>$ 10,000,000.00 100.000000000%</w:t>
            </w:r>
          </w:p>
        </w:tc>
        <w:tc>
          <w:tcPr>
            <w:tcW w:w="1200" w:type="dxa"/>
            <w:vAlign w:val="bottom"/>
          </w:tcPr>
          <w:p>
            <w:pPr>
              <w:jc w:val="right"/>
              <w:ind w:right="28"/>
              <w:spacing w:after="0"/>
              <w:rPr>
                <w:sz w:val="20"/>
                <w:szCs w:val="20"/>
                <w:color w:val="auto"/>
              </w:rPr>
            </w:pPr>
            <w:r>
              <w:rPr>
                <w:rFonts w:ascii="Arial" w:cs="Arial" w:eastAsia="Arial" w:hAnsi="Arial"/>
                <w:sz w:val="14"/>
                <w:szCs w:val="14"/>
                <w:color w:val="auto"/>
              </w:rPr>
              <w:t>$ 80,000,000.00</w:t>
            </w:r>
          </w:p>
        </w:tc>
        <w:tc>
          <w:tcPr>
            <w:tcW w:w="1200" w:type="dxa"/>
            <w:vAlign w:val="bottom"/>
          </w:tcPr>
          <w:p>
            <w:pPr>
              <w:jc w:val="right"/>
              <w:spacing w:after="0"/>
              <w:rPr>
                <w:sz w:val="20"/>
                <w:szCs w:val="20"/>
                <w:color w:val="auto"/>
              </w:rPr>
            </w:pPr>
            <w:r>
              <w:rPr>
                <w:rFonts w:ascii="Arial" w:cs="Arial" w:eastAsia="Arial" w:hAnsi="Arial"/>
                <w:sz w:val="14"/>
                <w:szCs w:val="14"/>
                <w:color w:val="auto"/>
              </w:rPr>
              <w:t>100.000000000%</w:t>
            </w:r>
          </w:p>
        </w:tc>
        <w:tc>
          <w:tcPr>
            <w:tcW w:w="1340" w:type="dxa"/>
            <w:vAlign w:val="bottom"/>
          </w:tcPr>
          <w:p>
            <w:pPr>
              <w:jc w:val="right"/>
              <w:spacing w:after="0"/>
              <w:rPr>
                <w:sz w:val="20"/>
                <w:szCs w:val="20"/>
                <w:color w:val="auto"/>
              </w:rPr>
            </w:pPr>
            <w:r>
              <w:rPr>
                <w:rFonts w:ascii="Arial" w:cs="Arial" w:eastAsia="Arial" w:hAnsi="Arial"/>
                <w:sz w:val="14"/>
                <w:szCs w:val="14"/>
                <w:color w:val="auto"/>
              </w:rPr>
              <w:t>$ 66,000,000.00</w:t>
            </w:r>
          </w:p>
        </w:tc>
        <w:tc>
          <w:tcPr>
            <w:tcW w:w="1260" w:type="dxa"/>
            <w:vAlign w:val="bottom"/>
          </w:tcPr>
          <w:p>
            <w:pPr>
              <w:jc w:val="right"/>
              <w:spacing w:after="0"/>
              <w:rPr>
                <w:sz w:val="20"/>
                <w:szCs w:val="20"/>
                <w:color w:val="auto"/>
              </w:rPr>
            </w:pPr>
            <w:r>
              <w:rPr>
                <w:rFonts w:ascii="Arial" w:cs="Arial" w:eastAsia="Arial" w:hAnsi="Arial"/>
                <w:sz w:val="14"/>
                <w:szCs w:val="14"/>
                <w:color w:val="auto"/>
              </w:rPr>
              <w:t>$ 9,000,000.00</w:t>
            </w:r>
          </w:p>
        </w:tc>
        <w:tc>
          <w:tcPr>
            <w:tcW w:w="1300" w:type="dxa"/>
            <w:vAlign w:val="bottom"/>
          </w:tcPr>
          <w:p>
            <w:pPr>
              <w:jc w:val="right"/>
              <w:ind w:right="48"/>
              <w:spacing w:after="0"/>
              <w:rPr>
                <w:sz w:val="20"/>
                <w:szCs w:val="20"/>
                <w:color w:val="auto"/>
              </w:rPr>
            </w:pPr>
            <w:r>
              <w:rPr>
                <w:rFonts w:ascii="Arial" w:cs="Arial" w:eastAsia="Arial" w:hAnsi="Arial"/>
                <w:sz w:val="14"/>
                <w:szCs w:val="14"/>
                <w:color w:val="auto"/>
              </w:rPr>
              <w:t>$ 75,000,000.00</w:t>
            </w:r>
          </w:p>
        </w:tc>
        <w:tc>
          <w:tcPr>
            <w:tcW w:w="1160" w:type="dxa"/>
            <w:vAlign w:val="bottom"/>
          </w:tcPr>
          <w:p>
            <w:pPr>
              <w:jc w:val="right"/>
              <w:spacing w:after="0"/>
              <w:rPr>
                <w:sz w:val="20"/>
                <w:szCs w:val="20"/>
                <w:color w:val="auto"/>
              </w:rPr>
            </w:pPr>
            <w:r>
              <w:rPr>
                <w:rFonts w:ascii="Arial" w:cs="Arial" w:eastAsia="Arial" w:hAnsi="Arial"/>
                <w:sz w:val="14"/>
                <w:szCs w:val="14"/>
                <w:color w:val="auto"/>
              </w:rPr>
              <w:t>100.000000000%</w:t>
            </w:r>
          </w:p>
        </w:tc>
      </w:tr>
    </w:tbl>
    <w:p>
      <w:pPr>
        <w:spacing w:after="0" w:line="200" w:lineRule="exact"/>
        <w:rPr>
          <w:sz w:val="20"/>
          <w:szCs w:val="20"/>
          <w:color w:val="auto"/>
        </w:rPr>
      </w:pPr>
    </w:p>
    <w:p>
      <w:pPr>
        <w:spacing w:after="0" w:line="388"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u w:val="single" w:color="auto"/>
          <w:color w:val="auto"/>
        </w:rPr>
        <w:t>Schedule 2.03 - Existing Letters of Credit</w:t>
      </w:r>
    </w:p>
    <w:p>
      <w:pPr>
        <w:spacing w:after="0" w:line="54" w:lineRule="exact"/>
        <w:rPr>
          <w:sz w:val="20"/>
          <w:szCs w:val="20"/>
          <w:color w:val="auto"/>
        </w:rPr>
      </w:pPr>
    </w:p>
    <w:tbl>
      <w:tblPr>
        <w:tblLayout w:type="fixed"/>
        <w:tblInd w:w="140" w:type="dxa"/>
        <w:tblCellMar>
          <w:top w:w="0" w:type="dxa"/>
          <w:left w:w="0" w:type="dxa"/>
          <w:bottom w:w="0" w:type="dxa"/>
          <w:right w:w="0" w:type="dxa"/>
        </w:tblCellMar>
      </w:tblPr>
      <w:tr>
        <w:trPr>
          <w:trHeight w:val="270"/>
        </w:trPr>
        <w:tc>
          <w:tcPr>
            <w:tcW w:w="1160" w:type="dxa"/>
            <w:vAlign w:val="bottom"/>
            <w:shd w:val="clear" w:color="auto" w:fill="C0C0C0"/>
          </w:tcPr>
          <w:p>
            <w:pPr>
              <w:spacing w:after="0"/>
              <w:rPr>
                <w:sz w:val="23"/>
                <w:szCs w:val="23"/>
                <w:color w:val="auto"/>
              </w:rPr>
            </w:pPr>
          </w:p>
        </w:tc>
        <w:tc>
          <w:tcPr>
            <w:tcW w:w="840" w:type="dxa"/>
            <w:vAlign w:val="bottom"/>
            <w:shd w:val="clear" w:color="auto" w:fill="C0C0C0"/>
          </w:tcPr>
          <w:p>
            <w:pPr>
              <w:spacing w:after="0"/>
              <w:rPr>
                <w:sz w:val="23"/>
                <w:szCs w:val="23"/>
                <w:color w:val="auto"/>
              </w:rPr>
            </w:pPr>
          </w:p>
        </w:tc>
        <w:tc>
          <w:tcPr>
            <w:tcW w:w="1740" w:type="dxa"/>
            <w:vAlign w:val="bottom"/>
            <w:shd w:val="clear" w:color="auto" w:fill="C0C0C0"/>
          </w:tcPr>
          <w:p>
            <w:pPr>
              <w:spacing w:after="0"/>
              <w:rPr>
                <w:sz w:val="23"/>
                <w:szCs w:val="23"/>
                <w:color w:val="auto"/>
              </w:rPr>
            </w:pPr>
          </w:p>
        </w:tc>
        <w:tc>
          <w:tcPr>
            <w:tcW w:w="1540" w:type="dxa"/>
            <w:vAlign w:val="bottom"/>
            <w:shd w:val="clear" w:color="auto" w:fill="C0C0C0"/>
          </w:tcPr>
          <w:p>
            <w:pPr>
              <w:spacing w:after="0"/>
              <w:rPr>
                <w:sz w:val="23"/>
                <w:szCs w:val="23"/>
                <w:color w:val="auto"/>
              </w:rPr>
            </w:pPr>
          </w:p>
        </w:tc>
        <w:tc>
          <w:tcPr>
            <w:tcW w:w="2400" w:type="dxa"/>
            <w:vAlign w:val="bottom"/>
            <w:gridSpan w:val="2"/>
            <w:shd w:val="clear" w:color="auto" w:fill="C0C0C0"/>
          </w:tcPr>
          <w:p>
            <w:pPr>
              <w:jc w:val="right"/>
              <w:ind w:right="1019"/>
              <w:spacing w:after="0"/>
              <w:rPr>
                <w:sz w:val="20"/>
                <w:szCs w:val="20"/>
                <w:color w:val="auto"/>
              </w:rPr>
            </w:pPr>
            <w:r>
              <w:rPr>
                <w:rFonts w:ascii="Arial" w:cs="Arial" w:eastAsia="Arial" w:hAnsi="Arial"/>
                <w:sz w:val="16"/>
                <w:szCs w:val="16"/>
                <w:b w:val="1"/>
                <w:bCs w:val="1"/>
                <w:color w:val="auto"/>
                <w:w w:val="97"/>
              </w:rPr>
              <w:t>Bank Guarantees</w:t>
            </w:r>
          </w:p>
        </w:tc>
        <w:tc>
          <w:tcPr>
            <w:tcW w:w="2180" w:type="dxa"/>
            <w:vAlign w:val="bottom"/>
            <w:gridSpan w:val="4"/>
            <w:shd w:val="clear" w:color="auto" w:fill="C0C0C0"/>
          </w:tcPr>
          <w:p>
            <w:pPr>
              <w:jc w:val="center"/>
              <w:ind w:right="140"/>
              <w:spacing w:after="0"/>
              <w:rPr>
                <w:sz w:val="20"/>
                <w:szCs w:val="20"/>
                <w:color w:val="auto"/>
              </w:rPr>
            </w:pPr>
            <w:r>
              <w:rPr>
                <w:rFonts w:ascii="Arial" w:cs="Arial" w:eastAsia="Arial" w:hAnsi="Arial"/>
                <w:sz w:val="16"/>
                <w:szCs w:val="16"/>
                <w:b w:val="1"/>
                <w:bCs w:val="1"/>
                <w:color w:val="auto"/>
                <w:w w:val="93"/>
              </w:rPr>
              <w:t>Letters of Credit</w:t>
            </w:r>
          </w:p>
        </w:tc>
        <w:tc>
          <w:tcPr>
            <w:tcW w:w="1200" w:type="dxa"/>
            <w:vAlign w:val="bottom"/>
            <w:shd w:val="clear" w:color="auto" w:fill="C0C0C0"/>
          </w:tcPr>
          <w:p>
            <w:pPr>
              <w:jc w:val="right"/>
              <w:spacing w:after="0"/>
              <w:rPr>
                <w:sz w:val="20"/>
                <w:szCs w:val="20"/>
                <w:color w:val="auto"/>
              </w:rPr>
            </w:pPr>
            <w:r>
              <w:rPr>
                <w:rFonts w:ascii="Arial" w:cs="Arial" w:eastAsia="Arial" w:hAnsi="Arial"/>
                <w:sz w:val="16"/>
                <w:szCs w:val="16"/>
                <w:b w:val="1"/>
                <w:bCs w:val="1"/>
                <w:color w:val="auto"/>
              </w:rPr>
              <w:t>Total Bank</w:t>
            </w:r>
          </w:p>
        </w:tc>
      </w:tr>
      <w:tr>
        <w:trPr>
          <w:trHeight w:val="216"/>
        </w:trPr>
        <w:tc>
          <w:tcPr>
            <w:tcW w:w="1160" w:type="dxa"/>
            <w:vAlign w:val="bottom"/>
            <w:shd w:val="clear" w:color="auto" w:fill="C0C0C0"/>
          </w:tcPr>
          <w:p>
            <w:pPr>
              <w:spacing w:after="0"/>
              <w:rPr>
                <w:sz w:val="18"/>
                <w:szCs w:val="18"/>
                <w:color w:val="auto"/>
              </w:rPr>
            </w:pPr>
          </w:p>
        </w:tc>
        <w:tc>
          <w:tcPr>
            <w:tcW w:w="840" w:type="dxa"/>
            <w:vAlign w:val="bottom"/>
            <w:shd w:val="clear" w:color="auto" w:fill="C0C0C0"/>
          </w:tcPr>
          <w:p>
            <w:pPr>
              <w:spacing w:after="0"/>
              <w:rPr>
                <w:sz w:val="18"/>
                <w:szCs w:val="18"/>
                <w:color w:val="auto"/>
              </w:rPr>
            </w:pPr>
          </w:p>
        </w:tc>
        <w:tc>
          <w:tcPr>
            <w:tcW w:w="1740" w:type="dxa"/>
            <w:vAlign w:val="bottom"/>
            <w:shd w:val="clear" w:color="auto" w:fill="C0C0C0"/>
          </w:tcPr>
          <w:p>
            <w:pPr>
              <w:spacing w:after="0"/>
              <w:rPr>
                <w:sz w:val="18"/>
                <w:szCs w:val="18"/>
                <w:color w:val="auto"/>
              </w:rPr>
            </w:pPr>
          </w:p>
        </w:tc>
        <w:tc>
          <w:tcPr>
            <w:tcW w:w="1540" w:type="dxa"/>
            <w:vAlign w:val="bottom"/>
            <w:shd w:val="clear" w:color="auto" w:fill="C0C0C0"/>
          </w:tcPr>
          <w:p>
            <w:pPr>
              <w:spacing w:after="0"/>
              <w:rPr>
                <w:sz w:val="18"/>
                <w:szCs w:val="18"/>
                <w:color w:val="auto"/>
              </w:rPr>
            </w:pPr>
          </w:p>
        </w:tc>
        <w:tc>
          <w:tcPr>
            <w:tcW w:w="1040" w:type="dxa"/>
            <w:vAlign w:val="bottom"/>
            <w:shd w:val="clear" w:color="auto" w:fill="C0C0C0"/>
          </w:tcPr>
          <w:p>
            <w:pPr>
              <w:jc w:val="center"/>
              <w:spacing w:after="0"/>
              <w:rPr>
                <w:sz w:val="20"/>
                <w:szCs w:val="20"/>
                <w:color w:val="auto"/>
              </w:rPr>
            </w:pPr>
            <w:r>
              <w:rPr>
                <w:rFonts w:ascii="Arial" w:cs="Arial" w:eastAsia="Arial" w:hAnsi="Arial"/>
                <w:sz w:val="16"/>
                <w:szCs w:val="16"/>
                <w:b w:val="1"/>
                <w:bCs w:val="1"/>
                <w:color w:val="auto"/>
                <w:w w:val="94"/>
              </w:rPr>
              <w:t>Expiration</w:t>
            </w:r>
          </w:p>
        </w:tc>
        <w:tc>
          <w:tcPr>
            <w:tcW w:w="1360" w:type="dxa"/>
            <w:vAlign w:val="bottom"/>
            <w:shd w:val="clear" w:color="auto" w:fill="C0C0C0"/>
          </w:tcPr>
          <w:p>
            <w:pPr>
              <w:jc w:val="right"/>
              <w:spacing w:after="0"/>
              <w:rPr>
                <w:sz w:val="20"/>
                <w:szCs w:val="20"/>
                <w:color w:val="auto"/>
              </w:rPr>
            </w:pPr>
            <w:r>
              <w:rPr>
                <w:rFonts w:ascii="Arial" w:cs="Arial" w:eastAsia="Arial" w:hAnsi="Arial"/>
                <w:sz w:val="16"/>
                <w:szCs w:val="16"/>
                <w:b w:val="1"/>
                <w:bCs w:val="1"/>
                <w:color w:val="auto"/>
              </w:rPr>
              <w:t>Bank Guarantee</w:t>
            </w:r>
          </w:p>
        </w:tc>
        <w:tc>
          <w:tcPr>
            <w:tcW w:w="600" w:type="dxa"/>
            <w:vAlign w:val="bottom"/>
            <w:shd w:val="clear" w:color="auto" w:fill="C0C0C0"/>
          </w:tcPr>
          <w:p>
            <w:pPr>
              <w:spacing w:after="0"/>
              <w:rPr>
                <w:sz w:val="18"/>
                <w:szCs w:val="18"/>
                <w:color w:val="auto"/>
              </w:rPr>
            </w:pPr>
          </w:p>
        </w:tc>
        <w:tc>
          <w:tcPr>
            <w:tcW w:w="840" w:type="dxa"/>
            <w:vAlign w:val="bottom"/>
            <w:shd w:val="clear" w:color="auto" w:fill="C0C0C0"/>
          </w:tcPr>
          <w:p>
            <w:pPr>
              <w:jc w:val="center"/>
              <w:spacing w:after="0"/>
              <w:rPr>
                <w:sz w:val="20"/>
                <w:szCs w:val="20"/>
                <w:color w:val="auto"/>
              </w:rPr>
            </w:pPr>
            <w:r>
              <w:rPr>
                <w:rFonts w:ascii="Arial" w:cs="Arial" w:eastAsia="Arial" w:hAnsi="Arial"/>
                <w:sz w:val="16"/>
                <w:szCs w:val="16"/>
                <w:b w:val="1"/>
                <w:bCs w:val="1"/>
                <w:color w:val="auto"/>
                <w:w w:val="94"/>
              </w:rPr>
              <w:t>Expiration</w:t>
            </w:r>
          </w:p>
        </w:tc>
        <w:tc>
          <w:tcPr>
            <w:tcW w:w="740" w:type="dxa"/>
            <w:vAlign w:val="bottom"/>
            <w:gridSpan w:val="2"/>
            <w:shd w:val="clear" w:color="auto" w:fill="C0C0C0"/>
          </w:tcPr>
          <w:p>
            <w:pPr>
              <w:jc w:val="right"/>
              <w:ind w:right="140"/>
              <w:spacing w:after="0"/>
              <w:rPr>
                <w:sz w:val="20"/>
                <w:szCs w:val="20"/>
                <w:color w:val="auto"/>
              </w:rPr>
            </w:pPr>
            <w:r>
              <w:rPr>
                <w:rFonts w:ascii="Arial" w:cs="Arial" w:eastAsia="Arial" w:hAnsi="Arial"/>
                <w:sz w:val="16"/>
                <w:szCs w:val="16"/>
                <w:b w:val="1"/>
                <w:bCs w:val="1"/>
                <w:color w:val="auto"/>
              </w:rPr>
              <w:t>LOC</w:t>
            </w:r>
          </w:p>
        </w:tc>
        <w:tc>
          <w:tcPr>
            <w:tcW w:w="1200" w:type="dxa"/>
            <w:vAlign w:val="bottom"/>
            <w:shd w:val="clear" w:color="auto" w:fill="C0C0C0"/>
          </w:tcPr>
          <w:p>
            <w:pPr>
              <w:jc w:val="right"/>
              <w:spacing w:after="0"/>
              <w:rPr>
                <w:sz w:val="20"/>
                <w:szCs w:val="20"/>
                <w:color w:val="auto"/>
              </w:rPr>
            </w:pPr>
            <w:r>
              <w:rPr>
                <w:rFonts w:ascii="Arial" w:cs="Arial" w:eastAsia="Arial" w:hAnsi="Arial"/>
                <w:sz w:val="16"/>
                <w:szCs w:val="16"/>
                <w:b w:val="1"/>
                <w:bCs w:val="1"/>
                <w:color w:val="auto"/>
              </w:rPr>
              <w:t>Guarantee &amp;</w:t>
            </w:r>
          </w:p>
        </w:tc>
      </w:tr>
      <w:tr>
        <w:trPr>
          <w:trHeight w:val="223"/>
        </w:trPr>
        <w:tc>
          <w:tcPr>
            <w:tcW w:w="1160" w:type="dxa"/>
            <w:vAlign w:val="bottom"/>
            <w:tcBorders>
              <w:bottom w:val="single" w:sz="8" w:color="C0C0C0"/>
            </w:tcBorders>
            <w:shd w:val="clear" w:color="auto" w:fill="C0C0C0"/>
          </w:tcPr>
          <w:p>
            <w:pPr>
              <w:ind w:left="40"/>
              <w:spacing w:after="0"/>
              <w:rPr>
                <w:sz w:val="20"/>
                <w:szCs w:val="20"/>
                <w:color w:val="auto"/>
              </w:rPr>
            </w:pPr>
            <w:r>
              <w:rPr>
                <w:rFonts w:ascii="Arial" w:cs="Arial" w:eastAsia="Arial" w:hAnsi="Arial"/>
                <w:sz w:val="16"/>
                <w:szCs w:val="16"/>
                <w:b w:val="1"/>
                <w:bCs w:val="1"/>
                <w:color w:val="auto"/>
              </w:rPr>
              <w:t>Bank</w:t>
            </w:r>
          </w:p>
        </w:tc>
        <w:tc>
          <w:tcPr>
            <w:tcW w:w="840" w:type="dxa"/>
            <w:vAlign w:val="bottom"/>
            <w:tcBorders>
              <w:bottom w:val="single" w:sz="8" w:color="C0C0C0"/>
            </w:tcBorders>
            <w:shd w:val="clear" w:color="auto" w:fill="C0C0C0"/>
          </w:tcPr>
          <w:p>
            <w:pPr>
              <w:ind w:left="40"/>
              <w:spacing w:after="0"/>
              <w:rPr>
                <w:sz w:val="20"/>
                <w:szCs w:val="20"/>
                <w:color w:val="auto"/>
              </w:rPr>
            </w:pPr>
            <w:r>
              <w:rPr>
                <w:rFonts w:ascii="Arial" w:cs="Arial" w:eastAsia="Arial" w:hAnsi="Arial"/>
                <w:sz w:val="16"/>
                <w:szCs w:val="16"/>
                <w:b w:val="1"/>
                <w:bCs w:val="1"/>
                <w:color w:val="auto"/>
              </w:rPr>
              <w:t>Entity</w:t>
            </w:r>
          </w:p>
        </w:tc>
        <w:tc>
          <w:tcPr>
            <w:tcW w:w="1740" w:type="dxa"/>
            <w:vAlign w:val="bottom"/>
            <w:tcBorders>
              <w:bottom w:val="single" w:sz="8" w:color="C0C0C0"/>
            </w:tcBorders>
            <w:shd w:val="clear" w:color="auto" w:fill="C0C0C0"/>
          </w:tcPr>
          <w:p>
            <w:pPr>
              <w:ind w:left="380"/>
              <w:spacing w:after="0"/>
              <w:rPr>
                <w:sz w:val="20"/>
                <w:szCs w:val="20"/>
                <w:color w:val="auto"/>
              </w:rPr>
            </w:pPr>
            <w:r>
              <w:rPr>
                <w:rFonts w:ascii="Arial" w:cs="Arial" w:eastAsia="Arial" w:hAnsi="Arial"/>
                <w:sz w:val="16"/>
                <w:szCs w:val="16"/>
                <w:b w:val="1"/>
                <w:bCs w:val="1"/>
                <w:color w:val="auto"/>
              </w:rPr>
              <w:t>Beneficiary</w:t>
            </w:r>
          </w:p>
        </w:tc>
        <w:tc>
          <w:tcPr>
            <w:tcW w:w="1540" w:type="dxa"/>
            <w:vAlign w:val="bottom"/>
            <w:tcBorders>
              <w:bottom w:val="single" w:sz="8" w:color="C0C0C0"/>
            </w:tcBorders>
            <w:shd w:val="clear" w:color="auto" w:fill="C0C0C0"/>
          </w:tcPr>
          <w:p>
            <w:pPr>
              <w:ind w:left="580"/>
              <w:spacing w:after="0"/>
              <w:rPr>
                <w:sz w:val="20"/>
                <w:szCs w:val="20"/>
                <w:color w:val="auto"/>
              </w:rPr>
            </w:pPr>
            <w:r>
              <w:rPr>
                <w:rFonts w:ascii="Arial" w:cs="Arial" w:eastAsia="Arial" w:hAnsi="Arial"/>
                <w:sz w:val="16"/>
                <w:szCs w:val="16"/>
                <w:b w:val="1"/>
                <w:bCs w:val="1"/>
                <w:color w:val="auto"/>
                <w:w w:val="99"/>
              </w:rPr>
              <w:t>Bank Guar #</w:t>
            </w:r>
          </w:p>
        </w:tc>
        <w:tc>
          <w:tcPr>
            <w:tcW w:w="1040" w:type="dxa"/>
            <w:vAlign w:val="bottom"/>
            <w:tcBorders>
              <w:bottom w:val="single" w:sz="8" w:color="C0C0C0"/>
            </w:tcBorders>
            <w:shd w:val="clear" w:color="auto" w:fill="C0C0C0"/>
          </w:tcPr>
          <w:p>
            <w:pPr>
              <w:jc w:val="center"/>
              <w:spacing w:after="0"/>
              <w:rPr>
                <w:sz w:val="20"/>
                <w:szCs w:val="20"/>
                <w:color w:val="auto"/>
              </w:rPr>
            </w:pPr>
            <w:r>
              <w:rPr>
                <w:rFonts w:ascii="Arial" w:cs="Arial" w:eastAsia="Arial" w:hAnsi="Arial"/>
                <w:sz w:val="16"/>
                <w:szCs w:val="16"/>
                <w:b w:val="1"/>
                <w:bCs w:val="1"/>
                <w:color w:val="auto"/>
                <w:w w:val="97"/>
              </w:rPr>
              <w:t>Date</w:t>
            </w:r>
          </w:p>
        </w:tc>
        <w:tc>
          <w:tcPr>
            <w:tcW w:w="1360" w:type="dxa"/>
            <w:vAlign w:val="bottom"/>
            <w:tcBorders>
              <w:bottom w:val="single" w:sz="8" w:color="C0C0C0"/>
            </w:tcBorders>
            <w:shd w:val="clear" w:color="auto" w:fill="C0C0C0"/>
          </w:tcPr>
          <w:p>
            <w:pPr>
              <w:jc w:val="right"/>
              <w:spacing w:after="0"/>
              <w:rPr>
                <w:sz w:val="20"/>
                <w:szCs w:val="20"/>
                <w:color w:val="auto"/>
              </w:rPr>
            </w:pPr>
            <w:r>
              <w:rPr>
                <w:rFonts w:ascii="Arial" w:cs="Arial" w:eastAsia="Arial" w:hAnsi="Arial"/>
                <w:sz w:val="16"/>
                <w:szCs w:val="16"/>
                <w:b w:val="1"/>
                <w:bCs w:val="1"/>
                <w:color w:val="auto"/>
              </w:rPr>
              <w:t>Amount</w:t>
            </w:r>
          </w:p>
        </w:tc>
        <w:tc>
          <w:tcPr>
            <w:tcW w:w="600" w:type="dxa"/>
            <w:vAlign w:val="bottom"/>
            <w:tcBorders>
              <w:bottom w:val="single" w:sz="8" w:color="C0C0C0"/>
            </w:tcBorders>
            <w:shd w:val="clear" w:color="auto" w:fill="C0C0C0"/>
          </w:tcPr>
          <w:p>
            <w:pPr>
              <w:ind w:left="60"/>
              <w:spacing w:after="0"/>
              <w:rPr>
                <w:sz w:val="20"/>
                <w:szCs w:val="20"/>
                <w:color w:val="auto"/>
              </w:rPr>
            </w:pPr>
            <w:r>
              <w:rPr>
                <w:rFonts w:ascii="Arial" w:cs="Arial" w:eastAsia="Arial" w:hAnsi="Arial"/>
                <w:sz w:val="16"/>
                <w:szCs w:val="16"/>
                <w:b w:val="1"/>
                <w:bCs w:val="1"/>
                <w:color w:val="auto"/>
              </w:rPr>
              <w:t>LOC #</w:t>
            </w:r>
          </w:p>
        </w:tc>
        <w:tc>
          <w:tcPr>
            <w:tcW w:w="840" w:type="dxa"/>
            <w:vAlign w:val="bottom"/>
            <w:tcBorders>
              <w:bottom w:val="single" w:sz="8" w:color="C0C0C0"/>
            </w:tcBorders>
            <w:shd w:val="clear" w:color="auto" w:fill="C0C0C0"/>
          </w:tcPr>
          <w:p>
            <w:pPr>
              <w:jc w:val="center"/>
              <w:spacing w:after="0"/>
              <w:rPr>
                <w:sz w:val="20"/>
                <w:szCs w:val="20"/>
                <w:color w:val="auto"/>
              </w:rPr>
            </w:pPr>
            <w:r>
              <w:rPr>
                <w:rFonts w:ascii="Arial" w:cs="Arial" w:eastAsia="Arial" w:hAnsi="Arial"/>
                <w:sz w:val="16"/>
                <w:szCs w:val="16"/>
                <w:b w:val="1"/>
                <w:bCs w:val="1"/>
                <w:color w:val="auto"/>
                <w:w w:val="92"/>
              </w:rPr>
              <w:t>Date</w:t>
            </w:r>
          </w:p>
        </w:tc>
        <w:tc>
          <w:tcPr>
            <w:tcW w:w="740" w:type="dxa"/>
            <w:vAlign w:val="bottom"/>
            <w:tcBorders>
              <w:bottom w:val="single" w:sz="8" w:color="C0C0C0"/>
            </w:tcBorders>
            <w:gridSpan w:val="2"/>
            <w:shd w:val="clear" w:color="auto" w:fill="C0C0C0"/>
          </w:tcPr>
          <w:p>
            <w:pPr>
              <w:jc w:val="right"/>
              <w:ind w:right="140"/>
              <w:spacing w:after="0"/>
              <w:rPr>
                <w:sz w:val="20"/>
                <w:szCs w:val="20"/>
                <w:color w:val="auto"/>
              </w:rPr>
            </w:pPr>
            <w:r>
              <w:rPr>
                <w:rFonts w:ascii="Arial" w:cs="Arial" w:eastAsia="Arial" w:hAnsi="Arial"/>
                <w:sz w:val="16"/>
                <w:szCs w:val="16"/>
                <w:b w:val="1"/>
                <w:bCs w:val="1"/>
                <w:color w:val="auto"/>
                <w:w w:val="95"/>
              </w:rPr>
              <w:t>Amount</w:t>
            </w:r>
          </w:p>
        </w:tc>
        <w:tc>
          <w:tcPr>
            <w:tcW w:w="1200" w:type="dxa"/>
            <w:vAlign w:val="bottom"/>
            <w:tcBorders>
              <w:bottom w:val="single" w:sz="8" w:color="C0C0C0"/>
            </w:tcBorders>
            <w:shd w:val="clear" w:color="auto" w:fill="C0C0C0"/>
          </w:tcPr>
          <w:p>
            <w:pPr>
              <w:jc w:val="right"/>
              <w:spacing w:after="0"/>
              <w:rPr>
                <w:sz w:val="20"/>
                <w:szCs w:val="20"/>
                <w:color w:val="auto"/>
              </w:rPr>
            </w:pPr>
            <w:r>
              <w:rPr>
                <w:rFonts w:ascii="Arial" w:cs="Arial" w:eastAsia="Arial" w:hAnsi="Arial"/>
                <w:sz w:val="16"/>
                <w:szCs w:val="16"/>
                <w:b w:val="1"/>
                <w:bCs w:val="1"/>
                <w:color w:val="auto"/>
              </w:rPr>
              <w:t>LOC (USD)</w:t>
            </w:r>
          </w:p>
        </w:tc>
      </w:tr>
      <w:tr>
        <w:trPr>
          <w:trHeight w:val="20"/>
        </w:trPr>
        <w:tc>
          <w:tcPr>
            <w:tcW w:w="116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740" w:type="dxa"/>
            <w:vAlign w:val="bottom"/>
            <w:shd w:val="clear" w:color="auto" w:fill="000000"/>
          </w:tcPr>
          <w:p>
            <w:pPr>
              <w:spacing w:after="0" w:line="20" w:lineRule="exact"/>
              <w:rPr>
                <w:sz w:val="1"/>
                <w:szCs w:val="1"/>
                <w:color w:val="auto"/>
              </w:rPr>
            </w:pPr>
          </w:p>
        </w:tc>
        <w:tc>
          <w:tcPr>
            <w:tcW w:w="154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r>
    </w:tbl>
    <w:p>
      <w:pPr>
        <w:sectPr>
          <w:pgSz w:w="11900" w:h="16838" w:orient="portrait"/>
          <w:cols w:equalWidth="0" w:num="1">
            <w:col w:w="11380"/>
          </w:cols>
          <w:pgMar w:left="280" w:top="514" w:right="239" w:bottom="1440" w:gutter="0" w:footer="0" w:header="0"/>
        </w:sectPr>
      </w:pPr>
    </w:p>
    <w:bookmarkStart w:id="262" w:name="page263"/>
    <w:bookmarkEnd w:id="26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80" w:type="dxa"/>
            <w:vAlign w:val="bottom"/>
          </w:tcPr>
          <w:p>
            <w:pPr>
              <w:spacing w:after="0"/>
              <w:rPr>
                <w:sz w:val="14"/>
                <w:szCs w:val="14"/>
                <w:color w:val="auto"/>
              </w:rPr>
            </w:pPr>
          </w:p>
        </w:tc>
        <w:tc>
          <w:tcPr>
            <w:tcW w:w="1200" w:type="dxa"/>
            <w:vAlign w:val="bottom"/>
          </w:tcPr>
          <w:p>
            <w:pPr>
              <w:ind w:left="120"/>
              <w:spacing w:after="0"/>
              <w:rPr>
                <w:sz w:val="20"/>
                <w:szCs w:val="20"/>
                <w:color w:val="auto"/>
              </w:rPr>
            </w:pPr>
            <w:r>
              <w:rPr>
                <w:rFonts w:ascii="Arial" w:cs="Arial" w:eastAsia="Arial" w:hAnsi="Arial"/>
                <w:sz w:val="14"/>
                <w:szCs w:val="14"/>
                <w:color w:val="auto"/>
                <w:w w:val="99"/>
              </w:rPr>
              <w:t>Euronet Services</w:t>
            </w:r>
          </w:p>
        </w:tc>
        <w:tc>
          <w:tcPr>
            <w:tcW w:w="21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2"/>
        </w:trPr>
        <w:tc>
          <w:tcPr>
            <w:tcW w:w="1080" w:type="dxa"/>
            <w:vAlign w:val="bottom"/>
          </w:tcPr>
          <w:p>
            <w:pPr>
              <w:spacing w:after="0"/>
              <w:rPr>
                <w:sz w:val="20"/>
                <w:szCs w:val="20"/>
                <w:color w:val="auto"/>
              </w:rPr>
            </w:pPr>
            <w:r>
              <w:rPr>
                <w:rFonts w:ascii="Arial" w:cs="Arial" w:eastAsia="Arial" w:hAnsi="Arial"/>
                <w:sz w:val="14"/>
                <w:szCs w:val="14"/>
                <w:color w:val="auto"/>
              </w:rPr>
              <w:t>Bank of America</w:t>
            </w:r>
          </w:p>
        </w:tc>
        <w:tc>
          <w:tcPr>
            <w:tcW w:w="1200" w:type="dxa"/>
            <w:vAlign w:val="bottom"/>
          </w:tcPr>
          <w:p>
            <w:pPr>
              <w:ind w:left="120"/>
              <w:spacing w:after="0"/>
              <w:rPr>
                <w:sz w:val="20"/>
                <w:szCs w:val="20"/>
                <w:color w:val="auto"/>
              </w:rPr>
            </w:pPr>
            <w:r>
              <w:rPr>
                <w:rFonts w:ascii="Arial" w:cs="Arial" w:eastAsia="Arial" w:hAnsi="Arial"/>
                <w:sz w:val="14"/>
                <w:szCs w:val="14"/>
                <w:color w:val="auto"/>
              </w:rPr>
              <w:t>India Pvt. Ltd.</w:t>
            </w:r>
          </w:p>
        </w:tc>
        <w:tc>
          <w:tcPr>
            <w:tcW w:w="2100" w:type="dxa"/>
            <w:vAlign w:val="bottom"/>
          </w:tcPr>
          <w:p>
            <w:pPr>
              <w:ind w:left="120"/>
              <w:spacing w:after="0"/>
              <w:rPr>
                <w:sz w:val="20"/>
                <w:szCs w:val="20"/>
                <w:color w:val="auto"/>
              </w:rPr>
            </w:pPr>
            <w:r>
              <w:rPr>
                <w:rFonts w:ascii="Arial" w:cs="Arial" w:eastAsia="Arial" w:hAnsi="Arial"/>
                <w:sz w:val="14"/>
                <w:szCs w:val="14"/>
                <w:color w:val="auto"/>
              </w:rPr>
              <w:t>BSNL-Karnataka</w:t>
            </w:r>
          </w:p>
        </w:tc>
        <w:tc>
          <w:tcPr>
            <w:tcW w:w="980" w:type="dxa"/>
            <w:vAlign w:val="bottom"/>
          </w:tcPr>
          <w:p>
            <w:pPr>
              <w:jc w:val="center"/>
              <w:spacing w:after="0"/>
              <w:rPr>
                <w:sz w:val="20"/>
                <w:szCs w:val="20"/>
                <w:color w:val="auto"/>
              </w:rPr>
            </w:pPr>
            <w:r>
              <w:rPr>
                <w:rFonts w:ascii="Arial" w:cs="Arial" w:eastAsia="Arial" w:hAnsi="Arial"/>
                <w:sz w:val="14"/>
                <w:szCs w:val="14"/>
                <w:color w:val="auto"/>
                <w:w w:val="93"/>
              </w:rPr>
              <w:t>GT/107165/07</w:t>
            </w:r>
          </w:p>
        </w:tc>
        <w:tc>
          <w:tcPr>
            <w:tcW w:w="1080" w:type="dxa"/>
            <w:vAlign w:val="bottom"/>
          </w:tcPr>
          <w:p>
            <w:pPr>
              <w:jc w:val="center"/>
              <w:spacing w:after="0"/>
              <w:rPr>
                <w:sz w:val="20"/>
                <w:szCs w:val="20"/>
                <w:color w:val="auto"/>
              </w:rPr>
            </w:pPr>
            <w:r>
              <w:rPr>
                <w:rFonts w:ascii="Arial" w:cs="Arial" w:eastAsia="Arial" w:hAnsi="Arial"/>
                <w:sz w:val="14"/>
                <w:szCs w:val="14"/>
                <w:color w:val="auto"/>
                <w:w w:val="94"/>
              </w:rPr>
              <w:t>Open Ended GT</w:t>
            </w:r>
          </w:p>
        </w:tc>
        <w:tc>
          <w:tcPr>
            <w:tcW w:w="1280" w:type="dxa"/>
            <w:vAlign w:val="bottom"/>
          </w:tcPr>
          <w:p>
            <w:pPr>
              <w:ind w:left="60"/>
              <w:spacing w:after="0"/>
              <w:rPr>
                <w:sz w:val="20"/>
                <w:szCs w:val="20"/>
                <w:color w:val="auto"/>
              </w:rPr>
            </w:pPr>
            <w:r>
              <w:rPr>
                <w:rFonts w:ascii="Arial" w:cs="Arial" w:eastAsia="Arial" w:hAnsi="Arial"/>
                <w:sz w:val="14"/>
                <w:szCs w:val="14"/>
                <w:color w:val="auto"/>
              </w:rPr>
              <w:t>INR 100,000</w:t>
            </w:r>
          </w:p>
        </w:tc>
        <w:tc>
          <w:tcPr>
            <w:tcW w:w="720" w:type="dxa"/>
            <w:vAlign w:val="bottom"/>
          </w:tcPr>
          <w:p>
            <w:pPr>
              <w:jc w:val="right"/>
              <w:ind w:right="228"/>
              <w:spacing w:after="0"/>
              <w:rPr>
                <w:sz w:val="20"/>
                <w:szCs w:val="20"/>
                <w:color w:val="auto"/>
              </w:rPr>
            </w:pPr>
            <w:r>
              <w:rPr>
                <w:rFonts w:ascii="Arial" w:cs="Arial" w:eastAsia="Arial" w:hAnsi="Arial"/>
                <w:sz w:val="14"/>
                <w:szCs w:val="14"/>
                <w:color w:val="auto"/>
              </w:rPr>
              <w:t>0</w:t>
            </w:r>
          </w:p>
        </w:tc>
        <w:tc>
          <w:tcPr>
            <w:tcW w:w="720" w:type="dxa"/>
            <w:vAlign w:val="bottom"/>
          </w:tcPr>
          <w:p>
            <w:pPr>
              <w:jc w:val="right"/>
              <w:ind w:right="288"/>
              <w:spacing w:after="0"/>
              <w:rPr>
                <w:sz w:val="20"/>
                <w:szCs w:val="20"/>
                <w:color w:val="auto"/>
              </w:rPr>
            </w:pPr>
            <w:r>
              <w:rPr>
                <w:rFonts w:ascii="Arial" w:cs="Arial" w:eastAsia="Arial" w:hAnsi="Arial"/>
                <w:sz w:val="14"/>
                <w:szCs w:val="14"/>
                <w:color w:val="auto"/>
              </w:rPr>
              <w:t>0</w:t>
            </w:r>
          </w:p>
        </w:tc>
        <w:tc>
          <w:tcPr>
            <w:tcW w:w="580" w:type="dxa"/>
            <w:vAlign w:val="bottom"/>
          </w:tcPr>
          <w:p>
            <w:pPr>
              <w:jc w:val="right"/>
              <w:ind w:right="68"/>
              <w:spacing w:after="0"/>
              <w:rPr>
                <w:sz w:val="20"/>
                <w:szCs w:val="20"/>
                <w:color w:val="auto"/>
              </w:rPr>
            </w:pPr>
            <w:r>
              <w:rPr>
                <w:rFonts w:ascii="Arial" w:cs="Arial" w:eastAsia="Arial" w:hAnsi="Arial"/>
                <w:sz w:val="14"/>
                <w:szCs w:val="14"/>
                <w:color w:val="auto"/>
              </w:rPr>
              <w:t>0</w:t>
            </w:r>
          </w:p>
        </w:tc>
        <w:tc>
          <w:tcPr>
            <w:tcW w:w="1280" w:type="dxa"/>
            <w:vAlign w:val="bottom"/>
          </w:tcPr>
          <w:p>
            <w:pPr>
              <w:jc w:val="right"/>
              <w:spacing w:after="0"/>
              <w:rPr>
                <w:sz w:val="20"/>
                <w:szCs w:val="20"/>
                <w:color w:val="auto"/>
              </w:rPr>
            </w:pPr>
            <w:r>
              <w:rPr>
                <w:rFonts w:ascii="Arial" w:cs="Arial" w:eastAsia="Arial" w:hAnsi="Arial"/>
                <w:sz w:val="14"/>
                <w:szCs w:val="14"/>
                <w:color w:val="auto"/>
              </w:rPr>
              <w:t>1,595</w:t>
            </w:r>
          </w:p>
        </w:tc>
        <w:tc>
          <w:tcPr>
            <w:tcW w:w="0" w:type="dxa"/>
            <w:vAlign w:val="bottom"/>
          </w:tcPr>
          <w:p>
            <w:pPr>
              <w:spacing w:after="0"/>
              <w:rPr>
                <w:sz w:val="1"/>
                <w:szCs w:val="1"/>
                <w:color w:val="auto"/>
              </w:rPr>
            </w:pPr>
          </w:p>
        </w:tc>
      </w:tr>
      <w:tr>
        <w:trPr>
          <w:trHeight w:val="169"/>
        </w:trPr>
        <w:tc>
          <w:tcPr>
            <w:tcW w:w="1080" w:type="dxa"/>
            <w:vAlign w:val="bottom"/>
          </w:tcPr>
          <w:p>
            <w:pPr>
              <w:spacing w:after="0"/>
              <w:rPr>
                <w:sz w:val="14"/>
                <w:szCs w:val="14"/>
                <w:color w:val="auto"/>
              </w:rPr>
            </w:pPr>
          </w:p>
        </w:tc>
        <w:tc>
          <w:tcPr>
            <w:tcW w:w="1200" w:type="dxa"/>
            <w:vAlign w:val="bottom"/>
          </w:tcPr>
          <w:p>
            <w:pPr>
              <w:ind w:left="120"/>
              <w:spacing w:after="0"/>
              <w:rPr>
                <w:sz w:val="20"/>
                <w:szCs w:val="20"/>
                <w:color w:val="auto"/>
              </w:rPr>
            </w:pPr>
            <w:r>
              <w:rPr>
                <w:rFonts w:ascii="Arial" w:cs="Arial" w:eastAsia="Arial" w:hAnsi="Arial"/>
                <w:sz w:val="14"/>
                <w:szCs w:val="14"/>
                <w:color w:val="auto"/>
                <w:w w:val="99"/>
              </w:rPr>
              <w:t>Euronet Services</w:t>
            </w:r>
          </w:p>
        </w:tc>
        <w:tc>
          <w:tcPr>
            <w:tcW w:w="21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2"/>
        </w:trPr>
        <w:tc>
          <w:tcPr>
            <w:tcW w:w="1080" w:type="dxa"/>
            <w:vAlign w:val="bottom"/>
          </w:tcPr>
          <w:p>
            <w:pPr>
              <w:spacing w:after="0"/>
              <w:rPr>
                <w:sz w:val="20"/>
                <w:szCs w:val="20"/>
                <w:color w:val="auto"/>
              </w:rPr>
            </w:pPr>
            <w:r>
              <w:rPr>
                <w:rFonts w:ascii="Arial" w:cs="Arial" w:eastAsia="Arial" w:hAnsi="Arial"/>
                <w:sz w:val="14"/>
                <w:szCs w:val="14"/>
                <w:color w:val="auto"/>
              </w:rPr>
              <w:t>Bank of America</w:t>
            </w:r>
          </w:p>
        </w:tc>
        <w:tc>
          <w:tcPr>
            <w:tcW w:w="1200" w:type="dxa"/>
            <w:vAlign w:val="bottom"/>
          </w:tcPr>
          <w:p>
            <w:pPr>
              <w:ind w:left="120"/>
              <w:spacing w:after="0"/>
              <w:rPr>
                <w:sz w:val="20"/>
                <w:szCs w:val="20"/>
                <w:color w:val="auto"/>
              </w:rPr>
            </w:pPr>
            <w:r>
              <w:rPr>
                <w:rFonts w:ascii="Arial" w:cs="Arial" w:eastAsia="Arial" w:hAnsi="Arial"/>
                <w:sz w:val="14"/>
                <w:szCs w:val="14"/>
                <w:color w:val="auto"/>
              </w:rPr>
              <w:t>India Pvt. Ltd.</w:t>
            </w:r>
          </w:p>
        </w:tc>
        <w:tc>
          <w:tcPr>
            <w:tcW w:w="2100" w:type="dxa"/>
            <w:vAlign w:val="bottom"/>
          </w:tcPr>
          <w:p>
            <w:pPr>
              <w:ind w:left="120"/>
              <w:spacing w:after="0"/>
              <w:rPr>
                <w:sz w:val="20"/>
                <w:szCs w:val="20"/>
                <w:color w:val="auto"/>
              </w:rPr>
            </w:pPr>
            <w:r>
              <w:rPr>
                <w:rFonts w:ascii="Arial" w:cs="Arial" w:eastAsia="Arial" w:hAnsi="Arial"/>
                <w:sz w:val="14"/>
                <w:szCs w:val="14"/>
                <w:color w:val="auto"/>
              </w:rPr>
              <w:t>BSNL-Uttarpradesh East</w:t>
            </w:r>
          </w:p>
        </w:tc>
        <w:tc>
          <w:tcPr>
            <w:tcW w:w="980" w:type="dxa"/>
            <w:vAlign w:val="bottom"/>
          </w:tcPr>
          <w:p>
            <w:pPr>
              <w:jc w:val="center"/>
              <w:spacing w:after="0"/>
              <w:rPr>
                <w:sz w:val="20"/>
                <w:szCs w:val="20"/>
                <w:color w:val="auto"/>
              </w:rPr>
            </w:pPr>
            <w:r>
              <w:rPr>
                <w:rFonts w:ascii="Arial" w:cs="Arial" w:eastAsia="Arial" w:hAnsi="Arial"/>
                <w:sz w:val="14"/>
                <w:szCs w:val="14"/>
                <w:color w:val="auto"/>
                <w:w w:val="93"/>
              </w:rPr>
              <w:t>GT/107167/07</w:t>
            </w:r>
          </w:p>
        </w:tc>
        <w:tc>
          <w:tcPr>
            <w:tcW w:w="1080" w:type="dxa"/>
            <w:vAlign w:val="bottom"/>
          </w:tcPr>
          <w:p>
            <w:pPr>
              <w:jc w:val="center"/>
              <w:spacing w:after="0"/>
              <w:rPr>
                <w:sz w:val="20"/>
                <w:szCs w:val="20"/>
                <w:color w:val="auto"/>
              </w:rPr>
            </w:pPr>
            <w:r>
              <w:rPr>
                <w:rFonts w:ascii="Arial" w:cs="Arial" w:eastAsia="Arial" w:hAnsi="Arial"/>
                <w:sz w:val="14"/>
                <w:szCs w:val="14"/>
                <w:color w:val="auto"/>
                <w:w w:val="94"/>
              </w:rPr>
              <w:t>Open Ended GT</w:t>
            </w:r>
          </w:p>
        </w:tc>
        <w:tc>
          <w:tcPr>
            <w:tcW w:w="1280" w:type="dxa"/>
            <w:vAlign w:val="bottom"/>
          </w:tcPr>
          <w:p>
            <w:pPr>
              <w:ind w:left="60"/>
              <w:spacing w:after="0"/>
              <w:rPr>
                <w:sz w:val="20"/>
                <w:szCs w:val="20"/>
                <w:color w:val="auto"/>
              </w:rPr>
            </w:pPr>
            <w:r>
              <w:rPr>
                <w:rFonts w:ascii="Arial" w:cs="Arial" w:eastAsia="Arial" w:hAnsi="Arial"/>
                <w:sz w:val="14"/>
                <w:szCs w:val="14"/>
                <w:color w:val="auto"/>
              </w:rPr>
              <w:t>INR 100,000</w:t>
            </w:r>
          </w:p>
        </w:tc>
        <w:tc>
          <w:tcPr>
            <w:tcW w:w="720" w:type="dxa"/>
            <w:vAlign w:val="bottom"/>
          </w:tcPr>
          <w:p>
            <w:pPr>
              <w:jc w:val="right"/>
              <w:ind w:right="228"/>
              <w:spacing w:after="0"/>
              <w:rPr>
                <w:sz w:val="20"/>
                <w:szCs w:val="20"/>
                <w:color w:val="auto"/>
              </w:rPr>
            </w:pPr>
            <w:r>
              <w:rPr>
                <w:rFonts w:ascii="Arial" w:cs="Arial" w:eastAsia="Arial" w:hAnsi="Arial"/>
                <w:sz w:val="14"/>
                <w:szCs w:val="14"/>
                <w:color w:val="auto"/>
              </w:rPr>
              <w:t>0</w:t>
            </w:r>
          </w:p>
        </w:tc>
        <w:tc>
          <w:tcPr>
            <w:tcW w:w="720" w:type="dxa"/>
            <w:vAlign w:val="bottom"/>
          </w:tcPr>
          <w:p>
            <w:pPr>
              <w:jc w:val="right"/>
              <w:ind w:right="288"/>
              <w:spacing w:after="0"/>
              <w:rPr>
                <w:sz w:val="20"/>
                <w:szCs w:val="20"/>
                <w:color w:val="auto"/>
              </w:rPr>
            </w:pPr>
            <w:r>
              <w:rPr>
                <w:rFonts w:ascii="Arial" w:cs="Arial" w:eastAsia="Arial" w:hAnsi="Arial"/>
                <w:sz w:val="14"/>
                <w:szCs w:val="14"/>
                <w:color w:val="auto"/>
              </w:rPr>
              <w:t>0</w:t>
            </w:r>
          </w:p>
        </w:tc>
        <w:tc>
          <w:tcPr>
            <w:tcW w:w="580" w:type="dxa"/>
            <w:vAlign w:val="bottom"/>
          </w:tcPr>
          <w:p>
            <w:pPr>
              <w:jc w:val="right"/>
              <w:ind w:right="68"/>
              <w:spacing w:after="0"/>
              <w:rPr>
                <w:sz w:val="20"/>
                <w:szCs w:val="20"/>
                <w:color w:val="auto"/>
              </w:rPr>
            </w:pPr>
            <w:r>
              <w:rPr>
                <w:rFonts w:ascii="Arial" w:cs="Arial" w:eastAsia="Arial" w:hAnsi="Arial"/>
                <w:sz w:val="14"/>
                <w:szCs w:val="14"/>
                <w:color w:val="auto"/>
              </w:rPr>
              <w:t>0</w:t>
            </w:r>
          </w:p>
        </w:tc>
        <w:tc>
          <w:tcPr>
            <w:tcW w:w="1280" w:type="dxa"/>
            <w:vAlign w:val="bottom"/>
          </w:tcPr>
          <w:p>
            <w:pPr>
              <w:jc w:val="right"/>
              <w:spacing w:after="0"/>
              <w:rPr>
                <w:sz w:val="20"/>
                <w:szCs w:val="20"/>
                <w:color w:val="auto"/>
              </w:rPr>
            </w:pPr>
            <w:r>
              <w:rPr>
                <w:rFonts w:ascii="Arial" w:cs="Arial" w:eastAsia="Arial" w:hAnsi="Arial"/>
                <w:sz w:val="14"/>
                <w:szCs w:val="14"/>
                <w:color w:val="auto"/>
              </w:rPr>
              <w:t>1,595</w:t>
            </w:r>
          </w:p>
        </w:tc>
        <w:tc>
          <w:tcPr>
            <w:tcW w:w="0" w:type="dxa"/>
            <w:vAlign w:val="bottom"/>
          </w:tcPr>
          <w:p>
            <w:pPr>
              <w:spacing w:after="0"/>
              <w:rPr>
                <w:sz w:val="1"/>
                <w:szCs w:val="1"/>
                <w:color w:val="auto"/>
              </w:rPr>
            </w:pPr>
          </w:p>
        </w:tc>
      </w:tr>
      <w:tr>
        <w:trPr>
          <w:trHeight w:val="169"/>
        </w:trPr>
        <w:tc>
          <w:tcPr>
            <w:tcW w:w="1080" w:type="dxa"/>
            <w:vAlign w:val="bottom"/>
          </w:tcPr>
          <w:p>
            <w:pPr>
              <w:spacing w:after="0"/>
              <w:rPr>
                <w:sz w:val="14"/>
                <w:szCs w:val="14"/>
                <w:color w:val="auto"/>
              </w:rPr>
            </w:pPr>
          </w:p>
        </w:tc>
        <w:tc>
          <w:tcPr>
            <w:tcW w:w="1200" w:type="dxa"/>
            <w:vAlign w:val="bottom"/>
          </w:tcPr>
          <w:p>
            <w:pPr>
              <w:ind w:left="120"/>
              <w:spacing w:after="0"/>
              <w:rPr>
                <w:sz w:val="20"/>
                <w:szCs w:val="20"/>
                <w:color w:val="auto"/>
              </w:rPr>
            </w:pPr>
            <w:r>
              <w:rPr>
                <w:rFonts w:ascii="Arial" w:cs="Arial" w:eastAsia="Arial" w:hAnsi="Arial"/>
                <w:sz w:val="14"/>
                <w:szCs w:val="14"/>
                <w:color w:val="auto"/>
                <w:w w:val="99"/>
              </w:rPr>
              <w:t>Euronet Services</w:t>
            </w:r>
          </w:p>
        </w:tc>
        <w:tc>
          <w:tcPr>
            <w:tcW w:w="21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2"/>
        </w:trPr>
        <w:tc>
          <w:tcPr>
            <w:tcW w:w="1080" w:type="dxa"/>
            <w:vAlign w:val="bottom"/>
          </w:tcPr>
          <w:p>
            <w:pPr>
              <w:spacing w:after="0"/>
              <w:rPr>
                <w:sz w:val="20"/>
                <w:szCs w:val="20"/>
                <w:color w:val="auto"/>
              </w:rPr>
            </w:pPr>
            <w:r>
              <w:rPr>
                <w:rFonts w:ascii="Arial" w:cs="Arial" w:eastAsia="Arial" w:hAnsi="Arial"/>
                <w:sz w:val="14"/>
                <w:szCs w:val="14"/>
                <w:color w:val="auto"/>
              </w:rPr>
              <w:t>Bank of America</w:t>
            </w:r>
          </w:p>
        </w:tc>
        <w:tc>
          <w:tcPr>
            <w:tcW w:w="1200" w:type="dxa"/>
            <w:vAlign w:val="bottom"/>
          </w:tcPr>
          <w:p>
            <w:pPr>
              <w:ind w:left="120"/>
              <w:spacing w:after="0"/>
              <w:rPr>
                <w:sz w:val="20"/>
                <w:szCs w:val="20"/>
                <w:color w:val="auto"/>
              </w:rPr>
            </w:pPr>
            <w:r>
              <w:rPr>
                <w:rFonts w:ascii="Arial" w:cs="Arial" w:eastAsia="Arial" w:hAnsi="Arial"/>
                <w:sz w:val="14"/>
                <w:szCs w:val="14"/>
                <w:color w:val="auto"/>
              </w:rPr>
              <w:t>India Pvt. Ltd.</w:t>
            </w:r>
          </w:p>
        </w:tc>
        <w:tc>
          <w:tcPr>
            <w:tcW w:w="2100" w:type="dxa"/>
            <w:vAlign w:val="bottom"/>
          </w:tcPr>
          <w:p>
            <w:pPr>
              <w:ind w:left="120"/>
              <w:spacing w:after="0"/>
              <w:rPr>
                <w:sz w:val="20"/>
                <w:szCs w:val="20"/>
                <w:color w:val="auto"/>
              </w:rPr>
            </w:pPr>
            <w:r>
              <w:rPr>
                <w:rFonts w:ascii="Arial" w:cs="Arial" w:eastAsia="Arial" w:hAnsi="Arial"/>
                <w:sz w:val="14"/>
                <w:szCs w:val="14"/>
                <w:color w:val="auto"/>
              </w:rPr>
              <w:t>BSNL-Madhyapradesh</w:t>
            </w:r>
          </w:p>
        </w:tc>
        <w:tc>
          <w:tcPr>
            <w:tcW w:w="980" w:type="dxa"/>
            <w:vAlign w:val="bottom"/>
          </w:tcPr>
          <w:p>
            <w:pPr>
              <w:jc w:val="center"/>
              <w:spacing w:after="0"/>
              <w:rPr>
                <w:sz w:val="20"/>
                <w:szCs w:val="20"/>
                <w:color w:val="auto"/>
              </w:rPr>
            </w:pPr>
            <w:r>
              <w:rPr>
                <w:rFonts w:ascii="Arial" w:cs="Arial" w:eastAsia="Arial" w:hAnsi="Arial"/>
                <w:sz w:val="14"/>
                <w:szCs w:val="14"/>
                <w:color w:val="auto"/>
                <w:w w:val="93"/>
              </w:rPr>
              <w:t>GT/107172/07</w:t>
            </w:r>
          </w:p>
        </w:tc>
        <w:tc>
          <w:tcPr>
            <w:tcW w:w="1080" w:type="dxa"/>
            <w:vAlign w:val="bottom"/>
          </w:tcPr>
          <w:p>
            <w:pPr>
              <w:jc w:val="center"/>
              <w:spacing w:after="0"/>
              <w:rPr>
                <w:sz w:val="20"/>
                <w:szCs w:val="20"/>
                <w:color w:val="auto"/>
              </w:rPr>
            </w:pPr>
            <w:r>
              <w:rPr>
                <w:rFonts w:ascii="Arial" w:cs="Arial" w:eastAsia="Arial" w:hAnsi="Arial"/>
                <w:sz w:val="14"/>
                <w:szCs w:val="14"/>
                <w:color w:val="auto"/>
                <w:w w:val="94"/>
              </w:rPr>
              <w:t>Open Ended GT</w:t>
            </w:r>
          </w:p>
        </w:tc>
        <w:tc>
          <w:tcPr>
            <w:tcW w:w="1280" w:type="dxa"/>
            <w:vAlign w:val="bottom"/>
          </w:tcPr>
          <w:p>
            <w:pPr>
              <w:ind w:left="60"/>
              <w:spacing w:after="0"/>
              <w:rPr>
                <w:sz w:val="20"/>
                <w:szCs w:val="20"/>
                <w:color w:val="auto"/>
              </w:rPr>
            </w:pPr>
            <w:r>
              <w:rPr>
                <w:rFonts w:ascii="Arial" w:cs="Arial" w:eastAsia="Arial" w:hAnsi="Arial"/>
                <w:sz w:val="14"/>
                <w:szCs w:val="14"/>
                <w:color w:val="auto"/>
              </w:rPr>
              <w:t>INR 100,000</w:t>
            </w:r>
          </w:p>
        </w:tc>
        <w:tc>
          <w:tcPr>
            <w:tcW w:w="720" w:type="dxa"/>
            <w:vAlign w:val="bottom"/>
          </w:tcPr>
          <w:p>
            <w:pPr>
              <w:jc w:val="right"/>
              <w:ind w:right="228"/>
              <w:spacing w:after="0"/>
              <w:rPr>
                <w:sz w:val="20"/>
                <w:szCs w:val="20"/>
                <w:color w:val="auto"/>
              </w:rPr>
            </w:pPr>
            <w:r>
              <w:rPr>
                <w:rFonts w:ascii="Arial" w:cs="Arial" w:eastAsia="Arial" w:hAnsi="Arial"/>
                <w:sz w:val="14"/>
                <w:szCs w:val="14"/>
                <w:color w:val="auto"/>
              </w:rPr>
              <w:t>0</w:t>
            </w:r>
          </w:p>
        </w:tc>
        <w:tc>
          <w:tcPr>
            <w:tcW w:w="720" w:type="dxa"/>
            <w:vAlign w:val="bottom"/>
          </w:tcPr>
          <w:p>
            <w:pPr>
              <w:jc w:val="right"/>
              <w:ind w:right="288"/>
              <w:spacing w:after="0"/>
              <w:rPr>
                <w:sz w:val="20"/>
                <w:szCs w:val="20"/>
                <w:color w:val="auto"/>
              </w:rPr>
            </w:pPr>
            <w:r>
              <w:rPr>
                <w:rFonts w:ascii="Arial" w:cs="Arial" w:eastAsia="Arial" w:hAnsi="Arial"/>
                <w:sz w:val="14"/>
                <w:szCs w:val="14"/>
                <w:color w:val="auto"/>
              </w:rPr>
              <w:t>0</w:t>
            </w:r>
          </w:p>
        </w:tc>
        <w:tc>
          <w:tcPr>
            <w:tcW w:w="580" w:type="dxa"/>
            <w:vAlign w:val="bottom"/>
          </w:tcPr>
          <w:p>
            <w:pPr>
              <w:jc w:val="right"/>
              <w:ind w:right="68"/>
              <w:spacing w:after="0"/>
              <w:rPr>
                <w:sz w:val="20"/>
                <w:szCs w:val="20"/>
                <w:color w:val="auto"/>
              </w:rPr>
            </w:pPr>
            <w:r>
              <w:rPr>
                <w:rFonts w:ascii="Arial" w:cs="Arial" w:eastAsia="Arial" w:hAnsi="Arial"/>
                <w:sz w:val="14"/>
                <w:szCs w:val="14"/>
                <w:color w:val="auto"/>
              </w:rPr>
              <w:t>0</w:t>
            </w:r>
          </w:p>
        </w:tc>
        <w:tc>
          <w:tcPr>
            <w:tcW w:w="1280" w:type="dxa"/>
            <w:vAlign w:val="bottom"/>
          </w:tcPr>
          <w:p>
            <w:pPr>
              <w:jc w:val="right"/>
              <w:spacing w:after="0"/>
              <w:rPr>
                <w:sz w:val="20"/>
                <w:szCs w:val="20"/>
                <w:color w:val="auto"/>
              </w:rPr>
            </w:pPr>
            <w:r>
              <w:rPr>
                <w:rFonts w:ascii="Arial" w:cs="Arial" w:eastAsia="Arial" w:hAnsi="Arial"/>
                <w:sz w:val="14"/>
                <w:szCs w:val="14"/>
                <w:color w:val="auto"/>
              </w:rPr>
              <w:t>1,595</w:t>
            </w:r>
          </w:p>
        </w:tc>
        <w:tc>
          <w:tcPr>
            <w:tcW w:w="0" w:type="dxa"/>
            <w:vAlign w:val="bottom"/>
          </w:tcPr>
          <w:p>
            <w:pPr>
              <w:spacing w:after="0"/>
              <w:rPr>
                <w:sz w:val="1"/>
                <w:szCs w:val="1"/>
                <w:color w:val="auto"/>
              </w:rPr>
            </w:pPr>
          </w:p>
        </w:tc>
      </w:tr>
      <w:tr>
        <w:trPr>
          <w:trHeight w:val="169"/>
        </w:trPr>
        <w:tc>
          <w:tcPr>
            <w:tcW w:w="1080" w:type="dxa"/>
            <w:vAlign w:val="bottom"/>
          </w:tcPr>
          <w:p>
            <w:pPr>
              <w:spacing w:after="0"/>
              <w:rPr>
                <w:sz w:val="14"/>
                <w:szCs w:val="14"/>
                <w:color w:val="auto"/>
              </w:rPr>
            </w:pPr>
          </w:p>
        </w:tc>
        <w:tc>
          <w:tcPr>
            <w:tcW w:w="1200" w:type="dxa"/>
            <w:vAlign w:val="bottom"/>
          </w:tcPr>
          <w:p>
            <w:pPr>
              <w:ind w:left="120"/>
              <w:spacing w:after="0"/>
              <w:rPr>
                <w:sz w:val="20"/>
                <w:szCs w:val="20"/>
                <w:color w:val="auto"/>
              </w:rPr>
            </w:pPr>
            <w:r>
              <w:rPr>
                <w:rFonts w:ascii="Arial" w:cs="Arial" w:eastAsia="Arial" w:hAnsi="Arial"/>
                <w:sz w:val="14"/>
                <w:szCs w:val="14"/>
                <w:color w:val="auto"/>
                <w:w w:val="99"/>
              </w:rPr>
              <w:t>Euronet Services</w:t>
            </w:r>
          </w:p>
        </w:tc>
        <w:tc>
          <w:tcPr>
            <w:tcW w:w="21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2"/>
        </w:trPr>
        <w:tc>
          <w:tcPr>
            <w:tcW w:w="1080" w:type="dxa"/>
            <w:vAlign w:val="bottom"/>
          </w:tcPr>
          <w:p>
            <w:pPr>
              <w:spacing w:after="0"/>
              <w:rPr>
                <w:sz w:val="20"/>
                <w:szCs w:val="20"/>
                <w:color w:val="auto"/>
              </w:rPr>
            </w:pPr>
            <w:r>
              <w:rPr>
                <w:rFonts w:ascii="Arial" w:cs="Arial" w:eastAsia="Arial" w:hAnsi="Arial"/>
                <w:sz w:val="14"/>
                <w:szCs w:val="14"/>
                <w:color w:val="auto"/>
              </w:rPr>
              <w:t>Bank of America</w:t>
            </w:r>
          </w:p>
        </w:tc>
        <w:tc>
          <w:tcPr>
            <w:tcW w:w="1200" w:type="dxa"/>
            <w:vAlign w:val="bottom"/>
          </w:tcPr>
          <w:p>
            <w:pPr>
              <w:ind w:left="120"/>
              <w:spacing w:after="0"/>
              <w:rPr>
                <w:sz w:val="20"/>
                <w:szCs w:val="20"/>
                <w:color w:val="auto"/>
              </w:rPr>
            </w:pPr>
            <w:r>
              <w:rPr>
                <w:rFonts w:ascii="Arial" w:cs="Arial" w:eastAsia="Arial" w:hAnsi="Arial"/>
                <w:sz w:val="14"/>
                <w:szCs w:val="14"/>
                <w:color w:val="auto"/>
              </w:rPr>
              <w:t>India Pvt. Ltd.</w:t>
            </w:r>
          </w:p>
        </w:tc>
        <w:tc>
          <w:tcPr>
            <w:tcW w:w="2100" w:type="dxa"/>
            <w:vAlign w:val="bottom"/>
          </w:tcPr>
          <w:p>
            <w:pPr>
              <w:ind w:left="120"/>
              <w:spacing w:after="0"/>
              <w:rPr>
                <w:sz w:val="20"/>
                <w:szCs w:val="20"/>
                <w:color w:val="auto"/>
              </w:rPr>
            </w:pPr>
            <w:r>
              <w:rPr>
                <w:rFonts w:ascii="Arial" w:cs="Arial" w:eastAsia="Arial" w:hAnsi="Arial"/>
                <w:sz w:val="14"/>
                <w:szCs w:val="14"/>
                <w:color w:val="auto"/>
              </w:rPr>
              <w:t>BSNL-Gujarat</w:t>
            </w:r>
          </w:p>
        </w:tc>
        <w:tc>
          <w:tcPr>
            <w:tcW w:w="980" w:type="dxa"/>
            <w:vAlign w:val="bottom"/>
          </w:tcPr>
          <w:p>
            <w:pPr>
              <w:jc w:val="center"/>
              <w:spacing w:after="0"/>
              <w:rPr>
                <w:sz w:val="20"/>
                <w:szCs w:val="20"/>
                <w:color w:val="auto"/>
              </w:rPr>
            </w:pPr>
            <w:r>
              <w:rPr>
                <w:rFonts w:ascii="Arial" w:cs="Arial" w:eastAsia="Arial" w:hAnsi="Arial"/>
                <w:sz w:val="14"/>
                <w:szCs w:val="14"/>
                <w:color w:val="auto"/>
                <w:w w:val="93"/>
              </w:rPr>
              <w:t>GT/109261/12</w:t>
            </w:r>
          </w:p>
        </w:tc>
        <w:tc>
          <w:tcPr>
            <w:tcW w:w="1080" w:type="dxa"/>
            <w:vAlign w:val="bottom"/>
          </w:tcPr>
          <w:p>
            <w:pPr>
              <w:jc w:val="center"/>
              <w:spacing w:after="0"/>
              <w:rPr>
                <w:sz w:val="20"/>
                <w:szCs w:val="20"/>
                <w:color w:val="auto"/>
              </w:rPr>
            </w:pPr>
            <w:r>
              <w:rPr>
                <w:rFonts w:ascii="Arial" w:cs="Arial" w:eastAsia="Arial" w:hAnsi="Arial"/>
                <w:sz w:val="14"/>
                <w:szCs w:val="14"/>
                <w:color w:val="auto"/>
                <w:w w:val="95"/>
              </w:rPr>
              <w:t>03/31/16</w:t>
            </w:r>
          </w:p>
        </w:tc>
        <w:tc>
          <w:tcPr>
            <w:tcW w:w="1280" w:type="dxa"/>
            <w:vAlign w:val="bottom"/>
          </w:tcPr>
          <w:p>
            <w:pPr>
              <w:ind w:left="60"/>
              <w:spacing w:after="0"/>
              <w:rPr>
                <w:sz w:val="20"/>
                <w:szCs w:val="20"/>
                <w:color w:val="auto"/>
              </w:rPr>
            </w:pPr>
            <w:r>
              <w:rPr>
                <w:rFonts w:ascii="Arial" w:cs="Arial" w:eastAsia="Arial" w:hAnsi="Arial"/>
                <w:sz w:val="14"/>
                <w:szCs w:val="14"/>
                <w:color w:val="auto"/>
              </w:rPr>
              <w:t>INR 100,000</w:t>
            </w:r>
          </w:p>
        </w:tc>
        <w:tc>
          <w:tcPr>
            <w:tcW w:w="720" w:type="dxa"/>
            <w:vAlign w:val="bottom"/>
          </w:tcPr>
          <w:p>
            <w:pPr>
              <w:jc w:val="right"/>
              <w:ind w:right="228"/>
              <w:spacing w:after="0"/>
              <w:rPr>
                <w:sz w:val="20"/>
                <w:szCs w:val="20"/>
                <w:color w:val="auto"/>
              </w:rPr>
            </w:pPr>
            <w:r>
              <w:rPr>
                <w:rFonts w:ascii="Arial" w:cs="Arial" w:eastAsia="Arial" w:hAnsi="Arial"/>
                <w:sz w:val="14"/>
                <w:szCs w:val="14"/>
                <w:color w:val="auto"/>
              </w:rPr>
              <w:t>0</w:t>
            </w:r>
          </w:p>
        </w:tc>
        <w:tc>
          <w:tcPr>
            <w:tcW w:w="720" w:type="dxa"/>
            <w:vAlign w:val="bottom"/>
          </w:tcPr>
          <w:p>
            <w:pPr>
              <w:jc w:val="right"/>
              <w:ind w:right="288"/>
              <w:spacing w:after="0"/>
              <w:rPr>
                <w:sz w:val="20"/>
                <w:szCs w:val="20"/>
                <w:color w:val="auto"/>
              </w:rPr>
            </w:pPr>
            <w:r>
              <w:rPr>
                <w:rFonts w:ascii="Arial" w:cs="Arial" w:eastAsia="Arial" w:hAnsi="Arial"/>
                <w:sz w:val="14"/>
                <w:szCs w:val="14"/>
                <w:color w:val="auto"/>
              </w:rPr>
              <w:t>0</w:t>
            </w:r>
          </w:p>
        </w:tc>
        <w:tc>
          <w:tcPr>
            <w:tcW w:w="580" w:type="dxa"/>
            <w:vAlign w:val="bottom"/>
          </w:tcPr>
          <w:p>
            <w:pPr>
              <w:jc w:val="right"/>
              <w:ind w:right="68"/>
              <w:spacing w:after="0"/>
              <w:rPr>
                <w:sz w:val="20"/>
                <w:szCs w:val="20"/>
                <w:color w:val="auto"/>
              </w:rPr>
            </w:pPr>
            <w:r>
              <w:rPr>
                <w:rFonts w:ascii="Arial" w:cs="Arial" w:eastAsia="Arial" w:hAnsi="Arial"/>
                <w:sz w:val="14"/>
                <w:szCs w:val="14"/>
                <w:color w:val="auto"/>
              </w:rPr>
              <w:t>0</w:t>
            </w:r>
          </w:p>
        </w:tc>
        <w:tc>
          <w:tcPr>
            <w:tcW w:w="1280" w:type="dxa"/>
            <w:vAlign w:val="bottom"/>
          </w:tcPr>
          <w:p>
            <w:pPr>
              <w:jc w:val="right"/>
              <w:spacing w:after="0"/>
              <w:rPr>
                <w:sz w:val="20"/>
                <w:szCs w:val="20"/>
                <w:color w:val="auto"/>
              </w:rPr>
            </w:pPr>
            <w:r>
              <w:rPr>
                <w:rFonts w:ascii="Arial" w:cs="Arial" w:eastAsia="Arial" w:hAnsi="Arial"/>
                <w:sz w:val="14"/>
                <w:szCs w:val="14"/>
                <w:color w:val="auto"/>
              </w:rPr>
              <w:t>1,595</w:t>
            </w:r>
          </w:p>
        </w:tc>
        <w:tc>
          <w:tcPr>
            <w:tcW w:w="0" w:type="dxa"/>
            <w:vAlign w:val="bottom"/>
          </w:tcPr>
          <w:p>
            <w:pPr>
              <w:spacing w:after="0"/>
              <w:rPr>
                <w:sz w:val="1"/>
                <w:szCs w:val="1"/>
                <w:color w:val="auto"/>
              </w:rPr>
            </w:pPr>
          </w:p>
        </w:tc>
      </w:tr>
      <w:tr>
        <w:trPr>
          <w:trHeight w:val="169"/>
        </w:trPr>
        <w:tc>
          <w:tcPr>
            <w:tcW w:w="1080" w:type="dxa"/>
            <w:vAlign w:val="bottom"/>
          </w:tcPr>
          <w:p>
            <w:pPr>
              <w:spacing w:after="0"/>
              <w:rPr>
                <w:sz w:val="14"/>
                <w:szCs w:val="14"/>
                <w:color w:val="auto"/>
              </w:rPr>
            </w:pPr>
          </w:p>
        </w:tc>
        <w:tc>
          <w:tcPr>
            <w:tcW w:w="1200" w:type="dxa"/>
            <w:vAlign w:val="bottom"/>
          </w:tcPr>
          <w:p>
            <w:pPr>
              <w:ind w:left="120"/>
              <w:spacing w:after="0"/>
              <w:rPr>
                <w:sz w:val="20"/>
                <w:szCs w:val="20"/>
                <w:color w:val="auto"/>
              </w:rPr>
            </w:pPr>
            <w:r>
              <w:rPr>
                <w:rFonts w:ascii="Arial" w:cs="Arial" w:eastAsia="Arial" w:hAnsi="Arial"/>
                <w:sz w:val="14"/>
                <w:szCs w:val="14"/>
                <w:color w:val="auto"/>
                <w:w w:val="99"/>
              </w:rPr>
              <w:t>Euronet Services</w:t>
            </w:r>
          </w:p>
        </w:tc>
        <w:tc>
          <w:tcPr>
            <w:tcW w:w="21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2"/>
        </w:trPr>
        <w:tc>
          <w:tcPr>
            <w:tcW w:w="1080" w:type="dxa"/>
            <w:vAlign w:val="bottom"/>
          </w:tcPr>
          <w:p>
            <w:pPr>
              <w:spacing w:after="0"/>
              <w:rPr>
                <w:sz w:val="20"/>
                <w:szCs w:val="20"/>
                <w:color w:val="auto"/>
              </w:rPr>
            </w:pPr>
            <w:r>
              <w:rPr>
                <w:rFonts w:ascii="Arial" w:cs="Arial" w:eastAsia="Arial" w:hAnsi="Arial"/>
                <w:sz w:val="14"/>
                <w:szCs w:val="14"/>
                <w:color w:val="auto"/>
              </w:rPr>
              <w:t>Bank of America</w:t>
            </w:r>
          </w:p>
        </w:tc>
        <w:tc>
          <w:tcPr>
            <w:tcW w:w="1200" w:type="dxa"/>
            <w:vAlign w:val="bottom"/>
          </w:tcPr>
          <w:p>
            <w:pPr>
              <w:ind w:left="120"/>
              <w:spacing w:after="0"/>
              <w:rPr>
                <w:sz w:val="20"/>
                <w:szCs w:val="20"/>
                <w:color w:val="auto"/>
              </w:rPr>
            </w:pPr>
            <w:r>
              <w:rPr>
                <w:rFonts w:ascii="Arial" w:cs="Arial" w:eastAsia="Arial" w:hAnsi="Arial"/>
                <w:sz w:val="14"/>
                <w:szCs w:val="14"/>
                <w:color w:val="auto"/>
              </w:rPr>
              <w:t>India Pvt. Ltd.</w:t>
            </w:r>
          </w:p>
        </w:tc>
        <w:tc>
          <w:tcPr>
            <w:tcW w:w="2100" w:type="dxa"/>
            <w:vAlign w:val="bottom"/>
          </w:tcPr>
          <w:p>
            <w:pPr>
              <w:ind w:left="120"/>
              <w:spacing w:after="0"/>
              <w:rPr>
                <w:sz w:val="20"/>
                <w:szCs w:val="20"/>
                <w:color w:val="auto"/>
              </w:rPr>
            </w:pPr>
            <w:r>
              <w:rPr>
                <w:rFonts w:ascii="Arial" w:cs="Arial" w:eastAsia="Arial" w:hAnsi="Arial"/>
                <w:sz w:val="14"/>
                <w:szCs w:val="14"/>
                <w:color w:val="auto"/>
              </w:rPr>
              <w:t>BSNL Tamilnadu</w:t>
            </w:r>
          </w:p>
        </w:tc>
        <w:tc>
          <w:tcPr>
            <w:tcW w:w="980" w:type="dxa"/>
            <w:vAlign w:val="bottom"/>
          </w:tcPr>
          <w:p>
            <w:pPr>
              <w:jc w:val="center"/>
              <w:spacing w:after="0"/>
              <w:rPr>
                <w:sz w:val="20"/>
                <w:szCs w:val="20"/>
                <w:color w:val="auto"/>
              </w:rPr>
            </w:pPr>
            <w:r>
              <w:rPr>
                <w:rFonts w:ascii="Arial" w:cs="Arial" w:eastAsia="Arial" w:hAnsi="Arial"/>
                <w:sz w:val="14"/>
                <w:szCs w:val="14"/>
                <w:color w:val="auto"/>
                <w:w w:val="93"/>
              </w:rPr>
              <w:t>GT/109267/12</w:t>
            </w:r>
          </w:p>
        </w:tc>
        <w:tc>
          <w:tcPr>
            <w:tcW w:w="1080" w:type="dxa"/>
            <w:vAlign w:val="bottom"/>
          </w:tcPr>
          <w:p>
            <w:pPr>
              <w:jc w:val="center"/>
              <w:spacing w:after="0"/>
              <w:rPr>
                <w:sz w:val="20"/>
                <w:szCs w:val="20"/>
                <w:color w:val="auto"/>
              </w:rPr>
            </w:pPr>
            <w:r>
              <w:rPr>
                <w:rFonts w:ascii="Arial" w:cs="Arial" w:eastAsia="Arial" w:hAnsi="Arial"/>
                <w:sz w:val="14"/>
                <w:szCs w:val="14"/>
                <w:color w:val="auto"/>
                <w:w w:val="95"/>
              </w:rPr>
              <w:t>03/31/16</w:t>
            </w:r>
          </w:p>
        </w:tc>
        <w:tc>
          <w:tcPr>
            <w:tcW w:w="1280" w:type="dxa"/>
            <w:vAlign w:val="bottom"/>
          </w:tcPr>
          <w:p>
            <w:pPr>
              <w:ind w:left="60"/>
              <w:spacing w:after="0"/>
              <w:rPr>
                <w:sz w:val="20"/>
                <w:szCs w:val="20"/>
                <w:color w:val="auto"/>
              </w:rPr>
            </w:pPr>
            <w:r>
              <w:rPr>
                <w:rFonts w:ascii="Arial" w:cs="Arial" w:eastAsia="Arial" w:hAnsi="Arial"/>
                <w:sz w:val="14"/>
                <w:szCs w:val="14"/>
                <w:color w:val="auto"/>
              </w:rPr>
              <w:t>INR 100,000</w:t>
            </w:r>
          </w:p>
        </w:tc>
        <w:tc>
          <w:tcPr>
            <w:tcW w:w="720" w:type="dxa"/>
            <w:vAlign w:val="bottom"/>
          </w:tcPr>
          <w:p>
            <w:pPr>
              <w:jc w:val="right"/>
              <w:ind w:right="228"/>
              <w:spacing w:after="0"/>
              <w:rPr>
                <w:sz w:val="20"/>
                <w:szCs w:val="20"/>
                <w:color w:val="auto"/>
              </w:rPr>
            </w:pPr>
            <w:r>
              <w:rPr>
                <w:rFonts w:ascii="Arial" w:cs="Arial" w:eastAsia="Arial" w:hAnsi="Arial"/>
                <w:sz w:val="14"/>
                <w:szCs w:val="14"/>
                <w:color w:val="auto"/>
              </w:rPr>
              <w:t>0</w:t>
            </w:r>
          </w:p>
        </w:tc>
        <w:tc>
          <w:tcPr>
            <w:tcW w:w="720" w:type="dxa"/>
            <w:vAlign w:val="bottom"/>
          </w:tcPr>
          <w:p>
            <w:pPr>
              <w:jc w:val="right"/>
              <w:ind w:right="288"/>
              <w:spacing w:after="0"/>
              <w:rPr>
                <w:sz w:val="20"/>
                <w:szCs w:val="20"/>
                <w:color w:val="auto"/>
              </w:rPr>
            </w:pPr>
            <w:r>
              <w:rPr>
                <w:rFonts w:ascii="Arial" w:cs="Arial" w:eastAsia="Arial" w:hAnsi="Arial"/>
                <w:sz w:val="14"/>
                <w:szCs w:val="14"/>
                <w:color w:val="auto"/>
              </w:rPr>
              <w:t>0</w:t>
            </w:r>
          </w:p>
        </w:tc>
        <w:tc>
          <w:tcPr>
            <w:tcW w:w="580" w:type="dxa"/>
            <w:vAlign w:val="bottom"/>
          </w:tcPr>
          <w:p>
            <w:pPr>
              <w:jc w:val="right"/>
              <w:ind w:right="68"/>
              <w:spacing w:after="0"/>
              <w:rPr>
                <w:sz w:val="20"/>
                <w:szCs w:val="20"/>
                <w:color w:val="auto"/>
              </w:rPr>
            </w:pPr>
            <w:r>
              <w:rPr>
                <w:rFonts w:ascii="Arial" w:cs="Arial" w:eastAsia="Arial" w:hAnsi="Arial"/>
                <w:sz w:val="14"/>
                <w:szCs w:val="14"/>
                <w:color w:val="auto"/>
              </w:rPr>
              <w:t>0</w:t>
            </w:r>
          </w:p>
        </w:tc>
        <w:tc>
          <w:tcPr>
            <w:tcW w:w="1280" w:type="dxa"/>
            <w:vAlign w:val="bottom"/>
          </w:tcPr>
          <w:p>
            <w:pPr>
              <w:jc w:val="right"/>
              <w:spacing w:after="0"/>
              <w:rPr>
                <w:sz w:val="20"/>
                <w:szCs w:val="20"/>
                <w:color w:val="auto"/>
              </w:rPr>
            </w:pPr>
            <w:r>
              <w:rPr>
                <w:rFonts w:ascii="Arial" w:cs="Arial" w:eastAsia="Arial" w:hAnsi="Arial"/>
                <w:sz w:val="14"/>
                <w:szCs w:val="14"/>
                <w:color w:val="auto"/>
              </w:rPr>
              <w:t>1,595</w:t>
            </w:r>
          </w:p>
        </w:tc>
        <w:tc>
          <w:tcPr>
            <w:tcW w:w="0" w:type="dxa"/>
            <w:vAlign w:val="bottom"/>
          </w:tcPr>
          <w:p>
            <w:pPr>
              <w:spacing w:after="0"/>
              <w:rPr>
                <w:sz w:val="1"/>
                <w:szCs w:val="1"/>
                <w:color w:val="auto"/>
              </w:rPr>
            </w:pPr>
          </w:p>
        </w:tc>
      </w:tr>
      <w:tr>
        <w:trPr>
          <w:trHeight w:val="169"/>
        </w:trPr>
        <w:tc>
          <w:tcPr>
            <w:tcW w:w="1080" w:type="dxa"/>
            <w:vAlign w:val="bottom"/>
          </w:tcPr>
          <w:p>
            <w:pPr>
              <w:spacing w:after="0"/>
              <w:rPr>
                <w:sz w:val="14"/>
                <w:szCs w:val="14"/>
                <w:color w:val="auto"/>
              </w:rPr>
            </w:pPr>
          </w:p>
        </w:tc>
        <w:tc>
          <w:tcPr>
            <w:tcW w:w="1200" w:type="dxa"/>
            <w:vAlign w:val="bottom"/>
          </w:tcPr>
          <w:p>
            <w:pPr>
              <w:ind w:left="120"/>
              <w:spacing w:after="0"/>
              <w:rPr>
                <w:sz w:val="20"/>
                <w:szCs w:val="20"/>
                <w:color w:val="auto"/>
              </w:rPr>
            </w:pPr>
            <w:r>
              <w:rPr>
                <w:rFonts w:ascii="Arial" w:cs="Arial" w:eastAsia="Arial" w:hAnsi="Arial"/>
                <w:sz w:val="14"/>
                <w:szCs w:val="14"/>
                <w:color w:val="auto"/>
                <w:w w:val="99"/>
              </w:rPr>
              <w:t>Euronet Services</w:t>
            </w:r>
          </w:p>
        </w:tc>
        <w:tc>
          <w:tcPr>
            <w:tcW w:w="21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2"/>
        </w:trPr>
        <w:tc>
          <w:tcPr>
            <w:tcW w:w="1080" w:type="dxa"/>
            <w:vAlign w:val="bottom"/>
          </w:tcPr>
          <w:p>
            <w:pPr>
              <w:spacing w:after="0"/>
              <w:rPr>
                <w:sz w:val="20"/>
                <w:szCs w:val="20"/>
                <w:color w:val="auto"/>
              </w:rPr>
            </w:pPr>
            <w:r>
              <w:rPr>
                <w:rFonts w:ascii="Arial" w:cs="Arial" w:eastAsia="Arial" w:hAnsi="Arial"/>
                <w:sz w:val="14"/>
                <w:szCs w:val="14"/>
                <w:color w:val="auto"/>
              </w:rPr>
              <w:t>Bank of America</w:t>
            </w:r>
          </w:p>
        </w:tc>
        <w:tc>
          <w:tcPr>
            <w:tcW w:w="1200" w:type="dxa"/>
            <w:vAlign w:val="bottom"/>
          </w:tcPr>
          <w:p>
            <w:pPr>
              <w:ind w:left="120"/>
              <w:spacing w:after="0"/>
              <w:rPr>
                <w:sz w:val="20"/>
                <w:szCs w:val="20"/>
                <w:color w:val="auto"/>
              </w:rPr>
            </w:pPr>
            <w:r>
              <w:rPr>
                <w:rFonts w:ascii="Arial" w:cs="Arial" w:eastAsia="Arial" w:hAnsi="Arial"/>
                <w:sz w:val="14"/>
                <w:szCs w:val="14"/>
                <w:color w:val="auto"/>
              </w:rPr>
              <w:t>India Pvt. Ltd.</w:t>
            </w:r>
          </w:p>
        </w:tc>
        <w:tc>
          <w:tcPr>
            <w:tcW w:w="2100" w:type="dxa"/>
            <w:vAlign w:val="bottom"/>
          </w:tcPr>
          <w:p>
            <w:pPr>
              <w:ind w:left="120"/>
              <w:spacing w:after="0"/>
              <w:rPr>
                <w:sz w:val="20"/>
                <w:szCs w:val="20"/>
                <w:color w:val="auto"/>
              </w:rPr>
            </w:pPr>
            <w:r>
              <w:rPr>
                <w:rFonts w:ascii="Arial" w:cs="Arial" w:eastAsia="Arial" w:hAnsi="Arial"/>
                <w:sz w:val="14"/>
                <w:szCs w:val="14"/>
                <w:color w:val="auto"/>
              </w:rPr>
              <w:t>BSNL Lucknow</w:t>
            </w:r>
          </w:p>
        </w:tc>
        <w:tc>
          <w:tcPr>
            <w:tcW w:w="980" w:type="dxa"/>
            <w:vAlign w:val="bottom"/>
          </w:tcPr>
          <w:p>
            <w:pPr>
              <w:jc w:val="center"/>
              <w:spacing w:after="0"/>
              <w:rPr>
                <w:sz w:val="20"/>
                <w:szCs w:val="20"/>
                <w:color w:val="auto"/>
              </w:rPr>
            </w:pPr>
            <w:r>
              <w:rPr>
                <w:rFonts w:ascii="Arial" w:cs="Arial" w:eastAsia="Arial" w:hAnsi="Arial"/>
                <w:sz w:val="14"/>
                <w:szCs w:val="14"/>
                <w:color w:val="auto"/>
                <w:w w:val="93"/>
              </w:rPr>
              <w:t>GT/109268/12</w:t>
            </w:r>
          </w:p>
        </w:tc>
        <w:tc>
          <w:tcPr>
            <w:tcW w:w="1080" w:type="dxa"/>
            <w:vAlign w:val="bottom"/>
          </w:tcPr>
          <w:p>
            <w:pPr>
              <w:jc w:val="center"/>
              <w:spacing w:after="0"/>
              <w:rPr>
                <w:sz w:val="20"/>
                <w:szCs w:val="20"/>
                <w:color w:val="auto"/>
              </w:rPr>
            </w:pPr>
            <w:r>
              <w:rPr>
                <w:rFonts w:ascii="Arial" w:cs="Arial" w:eastAsia="Arial" w:hAnsi="Arial"/>
                <w:sz w:val="14"/>
                <w:szCs w:val="14"/>
                <w:color w:val="auto"/>
                <w:w w:val="95"/>
              </w:rPr>
              <w:t>03/31/16</w:t>
            </w:r>
          </w:p>
        </w:tc>
        <w:tc>
          <w:tcPr>
            <w:tcW w:w="1280" w:type="dxa"/>
            <w:vAlign w:val="bottom"/>
          </w:tcPr>
          <w:p>
            <w:pPr>
              <w:ind w:left="60"/>
              <w:spacing w:after="0"/>
              <w:rPr>
                <w:sz w:val="20"/>
                <w:szCs w:val="20"/>
                <w:color w:val="auto"/>
              </w:rPr>
            </w:pPr>
            <w:r>
              <w:rPr>
                <w:rFonts w:ascii="Arial" w:cs="Arial" w:eastAsia="Arial" w:hAnsi="Arial"/>
                <w:sz w:val="14"/>
                <w:szCs w:val="14"/>
                <w:color w:val="auto"/>
              </w:rPr>
              <w:t>INR 100,000</w:t>
            </w:r>
          </w:p>
        </w:tc>
        <w:tc>
          <w:tcPr>
            <w:tcW w:w="720" w:type="dxa"/>
            <w:vAlign w:val="bottom"/>
          </w:tcPr>
          <w:p>
            <w:pPr>
              <w:jc w:val="right"/>
              <w:ind w:right="228"/>
              <w:spacing w:after="0"/>
              <w:rPr>
                <w:sz w:val="20"/>
                <w:szCs w:val="20"/>
                <w:color w:val="auto"/>
              </w:rPr>
            </w:pPr>
            <w:r>
              <w:rPr>
                <w:rFonts w:ascii="Arial" w:cs="Arial" w:eastAsia="Arial" w:hAnsi="Arial"/>
                <w:sz w:val="14"/>
                <w:szCs w:val="14"/>
                <w:color w:val="auto"/>
              </w:rPr>
              <w:t>0</w:t>
            </w:r>
          </w:p>
        </w:tc>
        <w:tc>
          <w:tcPr>
            <w:tcW w:w="720" w:type="dxa"/>
            <w:vAlign w:val="bottom"/>
          </w:tcPr>
          <w:p>
            <w:pPr>
              <w:jc w:val="right"/>
              <w:ind w:right="288"/>
              <w:spacing w:after="0"/>
              <w:rPr>
                <w:sz w:val="20"/>
                <w:szCs w:val="20"/>
                <w:color w:val="auto"/>
              </w:rPr>
            </w:pPr>
            <w:r>
              <w:rPr>
                <w:rFonts w:ascii="Arial" w:cs="Arial" w:eastAsia="Arial" w:hAnsi="Arial"/>
                <w:sz w:val="14"/>
                <w:szCs w:val="14"/>
                <w:color w:val="auto"/>
              </w:rPr>
              <w:t>0</w:t>
            </w:r>
          </w:p>
        </w:tc>
        <w:tc>
          <w:tcPr>
            <w:tcW w:w="580" w:type="dxa"/>
            <w:vAlign w:val="bottom"/>
          </w:tcPr>
          <w:p>
            <w:pPr>
              <w:jc w:val="right"/>
              <w:ind w:right="68"/>
              <w:spacing w:after="0"/>
              <w:rPr>
                <w:sz w:val="20"/>
                <w:szCs w:val="20"/>
                <w:color w:val="auto"/>
              </w:rPr>
            </w:pPr>
            <w:r>
              <w:rPr>
                <w:rFonts w:ascii="Arial" w:cs="Arial" w:eastAsia="Arial" w:hAnsi="Arial"/>
                <w:sz w:val="14"/>
                <w:szCs w:val="14"/>
                <w:color w:val="auto"/>
              </w:rPr>
              <w:t>0</w:t>
            </w:r>
          </w:p>
        </w:tc>
        <w:tc>
          <w:tcPr>
            <w:tcW w:w="1280" w:type="dxa"/>
            <w:vAlign w:val="bottom"/>
          </w:tcPr>
          <w:p>
            <w:pPr>
              <w:jc w:val="right"/>
              <w:spacing w:after="0"/>
              <w:rPr>
                <w:sz w:val="20"/>
                <w:szCs w:val="20"/>
                <w:color w:val="auto"/>
              </w:rPr>
            </w:pPr>
            <w:r>
              <w:rPr>
                <w:rFonts w:ascii="Arial" w:cs="Arial" w:eastAsia="Arial" w:hAnsi="Arial"/>
                <w:sz w:val="14"/>
                <w:szCs w:val="14"/>
                <w:color w:val="auto"/>
              </w:rPr>
              <w:t>1,595</w:t>
            </w:r>
          </w:p>
        </w:tc>
        <w:tc>
          <w:tcPr>
            <w:tcW w:w="0" w:type="dxa"/>
            <w:vAlign w:val="bottom"/>
          </w:tcPr>
          <w:p>
            <w:pPr>
              <w:spacing w:after="0"/>
              <w:rPr>
                <w:sz w:val="1"/>
                <w:szCs w:val="1"/>
                <w:color w:val="auto"/>
              </w:rPr>
            </w:pPr>
          </w:p>
        </w:tc>
      </w:tr>
      <w:tr>
        <w:trPr>
          <w:trHeight w:val="169"/>
        </w:trPr>
        <w:tc>
          <w:tcPr>
            <w:tcW w:w="1080" w:type="dxa"/>
            <w:vAlign w:val="bottom"/>
          </w:tcPr>
          <w:p>
            <w:pPr>
              <w:spacing w:after="0"/>
              <w:rPr>
                <w:sz w:val="14"/>
                <w:szCs w:val="14"/>
                <w:color w:val="auto"/>
              </w:rPr>
            </w:pPr>
          </w:p>
        </w:tc>
        <w:tc>
          <w:tcPr>
            <w:tcW w:w="1200" w:type="dxa"/>
            <w:vAlign w:val="bottom"/>
          </w:tcPr>
          <w:p>
            <w:pPr>
              <w:ind w:left="120"/>
              <w:spacing w:after="0"/>
              <w:rPr>
                <w:sz w:val="20"/>
                <w:szCs w:val="20"/>
                <w:color w:val="auto"/>
              </w:rPr>
            </w:pPr>
            <w:r>
              <w:rPr>
                <w:rFonts w:ascii="Arial" w:cs="Arial" w:eastAsia="Arial" w:hAnsi="Arial"/>
                <w:sz w:val="14"/>
                <w:szCs w:val="14"/>
                <w:color w:val="auto"/>
                <w:w w:val="99"/>
              </w:rPr>
              <w:t>Euronet Services</w:t>
            </w:r>
          </w:p>
        </w:tc>
        <w:tc>
          <w:tcPr>
            <w:tcW w:w="21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2"/>
        </w:trPr>
        <w:tc>
          <w:tcPr>
            <w:tcW w:w="1080" w:type="dxa"/>
            <w:vAlign w:val="bottom"/>
          </w:tcPr>
          <w:p>
            <w:pPr>
              <w:spacing w:after="0"/>
              <w:rPr>
                <w:sz w:val="20"/>
                <w:szCs w:val="20"/>
                <w:color w:val="auto"/>
              </w:rPr>
            </w:pPr>
            <w:r>
              <w:rPr>
                <w:rFonts w:ascii="Arial" w:cs="Arial" w:eastAsia="Arial" w:hAnsi="Arial"/>
                <w:sz w:val="14"/>
                <w:szCs w:val="14"/>
                <w:color w:val="auto"/>
              </w:rPr>
              <w:t>Bank of America</w:t>
            </w:r>
          </w:p>
        </w:tc>
        <w:tc>
          <w:tcPr>
            <w:tcW w:w="1200" w:type="dxa"/>
            <w:vAlign w:val="bottom"/>
          </w:tcPr>
          <w:p>
            <w:pPr>
              <w:ind w:left="120"/>
              <w:spacing w:after="0"/>
              <w:rPr>
                <w:sz w:val="20"/>
                <w:szCs w:val="20"/>
                <w:color w:val="auto"/>
              </w:rPr>
            </w:pPr>
            <w:r>
              <w:rPr>
                <w:rFonts w:ascii="Arial" w:cs="Arial" w:eastAsia="Arial" w:hAnsi="Arial"/>
                <w:sz w:val="14"/>
                <w:szCs w:val="14"/>
                <w:color w:val="auto"/>
              </w:rPr>
              <w:t>India Pvt. Ltd.</w:t>
            </w:r>
          </w:p>
        </w:tc>
        <w:tc>
          <w:tcPr>
            <w:tcW w:w="2100" w:type="dxa"/>
            <w:vAlign w:val="bottom"/>
          </w:tcPr>
          <w:p>
            <w:pPr>
              <w:ind w:left="120"/>
              <w:spacing w:after="0"/>
              <w:rPr>
                <w:sz w:val="20"/>
                <w:szCs w:val="20"/>
                <w:color w:val="auto"/>
              </w:rPr>
            </w:pPr>
            <w:r>
              <w:rPr>
                <w:rFonts w:ascii="Arial" w:cs="Arial" w:eastAsia="Arial" w:hAnsi="Arial"/>
                <w:sz w:val="14"/>
                <w:szCs w:val="14"/>
                <w:color w:val="auto"/>
              </w:rPr>
              <w:t>BSNL Kerala</w:t>
            </w:r>
          </w:p>
        </w:tc>
        <w:tc>
          <w:tcPr>
            <w:tcW w:w="980" w:type="dxa"/>
            <w:vAlign w:val="bottom"/>
          </w:tcPr>
          <w:p>
            <w:pPr>
              <w:jc w:val="center"/>
              <w:spacing w:after="0"/>
              <w:rPr>
                <w:sz w:val="20"/>
                <w:szCs w:val="20"/>
                <w:color w:val="auto"/>
              </w:rPr>
            </w:pPr>
            <w:r>
              <w:rPr>
                <w:rFonts w:ascii="Arial" w:cs="Arial" w:eastAsia="Arial" w:hAnsi="Arial"/>
                <w:sz w:val="14"/>
                <w:szCs w:val="14"/>
                <w:color w:val="auto"/>
                <w:w w:val="93"/>
              </w:rPr>
              <w:t>GT/109269/12</w:t>
            </w:r>
          </w:p>
        </w:tc>
        <w:tc>
          <w:tcPr>
            <w:tcW w:w="1080" w:type="dxa"/>
            <w:vAlign w:val="bottom"/>
          </w:tcPr>
          <w:p>
            <w:pPr>
              <w:jc w:val="center"/>
              <w:spacing w:after="0"/>
              <w:rPr>
                <w:sz w:val="20"/>
                <w:szCs w:val="20"/>
                <w:color w:val="auto"/>
              </w:rPr>
            </w:pPr>
            <w:r>
              <w:rPr>
                <w:rFonts w:ascii="Arial" w:cs="Arial" w:eastAsia="Arial" w:hAnsi="Arial"/>
                <w:sz w:val="14"/>
                <w:szCs w:val="14"/>
                <w:color w:val="auto"/>
                <w:w w:val="95"/>
              </w:rPr>
              <w:t>03/31/16</w:t>
            </w:r>
          </w:p>
        </w:tc>
        <w:tc>
          <w:tcPr>
            <w:tcW w:w="1280" w:type="dxa"/>
            <w:vAlign w:val="bottom"/>
          </w:tcPr>
          <w:p>
            <w:pPr>
              <w:ind w:left="60"/>
              <w:spacing w:after="0"/>
              <w:rPr>
                <w:sz w:val="20"/>
                <w:szCs w:val="20"/>
                <w:color w:val="auto"/>
              </w:rPr>
            </w:pPr>
            <w:r>
              <w:rPr>
                <w:rFonts w:ascii="Arial" w:cs="Arial" w:eastAsia="Arial" w:hAnsi="Arial"/>
                <w:sz w:val="14"/>
                <w:szCs w:val="14"/>
                <w:color w:val="auto"/>
              </w:rPr>
              <w:t>INR 100,000</w:t>
            </w:r>
          </w:p>
        </w:tc>
        <w:tc>
          <w:tcPr>
            <w:tcW w:w="720" w:type="dxa"/>
            <w:vAlign w:val="bottom"/>
          </w:tcPr>
          <w:p>
            <w:pPr>
              <w:jc w:val="right"/>
              <w:ind w:right="228"/>
              <w:spacing w:after="0"/>
              <w:rPr>
                <w:sz w:val="20"/>
                <w:szCs w:val="20"/>
                <w:color w:val="auto"/>
              </w:rPr>
            </w:pPr>
            <w:r>
              <w:rPr>
                <w:rFonts w:ascii="Arial" w:cs="Arial" w:eastAsia="Arial" w:hAnsi="Arial"/>
                <w:sz w:val="14"/>
                <w:szCs w:val="14"/>
                <w:color w:val="auto"/>
              </w:rPr>
              <w:t>0</w:t>
            </w:r>
          </w:p>
        </w:tc>
        <w:tc>
          <w:tcPr>
            <w:tcW w:w="720" w:type="dxa"/>
            <w:vAlign w:val="bottom"/>
          </w:tcPr>
          <w:p>
            <w:pPr>
              <w:jc w:val="right"/>
              <w:ind w:right="288"/>
              <w:spacing w:after="0"/>
              <w:rPr>
                <w:sz w:val="20"/>
                <w:szCs w:val="20"/>
                <w:color w:val="auto"/>
              </w:rPr>
            </w:pPr>
            <w:r>
              <w:rPr>
                <w:rFonts w:ascii="Arial" w:cs="Arial" w:eastAsia="Arial" w:hAnsi="Arial"/>
                <w:sz w:val="14"/>
                <w:szCs w:val="14"/>
                <w:color w:val="auto"/>
              </w:rPr>
              <w:t>0</w:t>
            </w:r>
          </w:p>
        </w:tc>
        <w:tc>
          <w:tcPr>
            <w:tcW w:w="580" w:type="dxa"/>
            <w:vAlign w:val="bottom"/>
          </w:tcPr>
          <w:p>
            <w:pPr>
              <w:jc w:val="right"/>
              <w:ind w:right="68"/>
              <w:spacing w:after="0"/>
              <w:rPr>
                <w:sz w:val="20"/>
                <w:szCs w:val="20"/>
                <w:color w:val="auto"/>
              </w:rPr>
            </w:pPr>
            <w:r>
              <w:rPr>
                <w:rFonts w:ascii="Arial" w:cs="Arial" w:eastAsia="Arial" w:hAnsi="Arial"/>
                <w:sz w:val="14"/>
                <w:szCs w:val="14"/>
                <w:color w:val="auto"/>
              </w:rPr>
              <w:t>0</w:t>
            </w:r>
          </w:p>
        </w:tc>
        <w:tc>
          <w:tcPr>
            <w:tcW w:w="1280" w:type="dxa"/>
            <w:vAlign w:val="bottom"/>
          </w:tcPr>
          <w:p>
            <w:pPr>
              <w:jc w:val="right"/>
              <w:spacing w:after="0"/>
              <w:rPr>
                <w:sz w:val="20"/>
                <w:szCs w:val="20"/>
                <w:color w:val="auto"/>
              </w:rPr>
            </w:pPr>
            <w:r>
              <w:rPr>
                <w:rFonts w:ascii="Arial" w:cs="Arial" w:eastAsia="Arial" w:hAnsi="Arial"/>
                <w:sz w:val="14"/>
                <w:szCs w:val="14"/>
                <w:color w:val="auto"/>
              </w:rPr>
              <w:t>1,595</w:t>
            </w:r>
          </w:p>
        </w:tc>
        <w:tc>
          <w:tcPr>
            <w:tcW w:w="0" w:type="dxa"/>
            <w:vAlign w:val="bottom"/>
          </w:tcPr>
          <w:p>
            <w:pPr>
              <w:spacing w:after="0"/>
              <w:rPr>
                <w:sz w:val="1"/>
                <w:szCs w:val="1"/>
                <w:color w:val="auto"/>
              </w:rPr>
            </w:pPr>
          </w:p>
        </w:tc>
      </w:tr>
      <w:tr>
        <w:trPr>
          <w:trHeight w:val="169"/>
        </w:trPr>
        <w:tc>
          <w:tcPr>
            <w:tcW w:w="1080" w:type="dxa"/>
            <w:vAlign w:val="bottom"/>
          </w:tcPr>
          <w:p>
            <w:pPr>
              <w:spacing w:after="0"/>
              <w:rPr>
                <w:sz w:val="14"/>
                <w:szCs w:val="14"/>
                <w:color w:val="auto"/>
              </w:rPr>
            </w:pPr>
          </w:p>
        </w:tc>
        <w:tc>
          <w:tcPr>
            <w:tcW w:w="1200" w:type="dxa"/>
            <w:vAlign w:val="bottom"/>
          </w:tcPr>
          <w:p>
            <w:pPr>
              <w:ind w:left="120"/>
              <w:spacing w:after="0"/>
              <w:rPr>
                <w:sz w:val="20"/>
                <w:szCs w:val="20"/>
                <w:color w:val="auto"/>
              </w:rPr>
            </w:pPr>
            <w:r>
              <w:rPr>
                <w:rFonts w:ascii="Arial" w:cs="Arial" w:eastAsia="Arial" w:hAnsi="Arial"/>
                <w:sz w:val="14"/>
                <w:szCs w:val="14"/>
                <w:color w:val="auto"/>
                <w:w w:val="99"/>
              </w:rPr>
              <w:t>Euronet Services</w:t>
            </w:r>
          </w:p>
        </w:tc>
        <w:tc>
          <w:tcPr>
            <w:tcW w:w="21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2"/>
        </w:trPr>
        <w:tc>
          <w:tcPr>
            <w:tcW w:w="1080" w:type="dxa"/>
            <w:vAlign w:val="bottom"/>
          </w:tcPr>
          <w:p>
            <w:pPr>
              <w:spacing w:after="0"/>
              <w:rPr>
                <w:sz w:val="20"/>
                <w:szCs w:val="20"/>
                <w:color w:val="auto"/>
              </w:rPr>
            </w:pPr>
            <w:r>
              <w:rPr>
                <w:rFonts w:ascii="Arial" w:cs="Arial" w:eastAsia="Arial" w:hAnsi="Arial"/>
                <w:sz w:val="14"/>
                <w:szCs w:val="14"/>
                <w:color w:val="auto"/>
              </w:rPr>
              <w:t>Bank of America</w:t>
            </w:r>
          </w:p>
        </w:tc>
        <w:tc>
          <w:tcPr>
            <w:tcW w:w="1200" w:type="dxa"/>
            <w:vAlign w:val="bottom"/>
          </w:tcPr>
          <w:p>
            <w:pPr>
              <w:ind w:left="120"/>
              <w:spacing w:after="0"/>
              <w:rPr>
                <w:sz w:val="20"/>
                <w:szCs w:val="20"/>
                <w:color w:val="auto"/>
              </w:rPr>
            </w:pPr>
            <w:r>
              <w:rPr>
                <w:rFonts w:ascii="Arial" w:cs="Arial" w:eastAsia="Arial" w:hAnsi="Arial"/>
                <w:sz w:val="14"/>
                <w:szCs w:val="14"/>
                <w:color w:val="auto"/>
              </w:rPr>
              <w:t>India Pvt. Ltd.</w:t>
            </w:r>
          </w:p>
        </w:tc>
        <w:tc>
          <w:tcPr>
            <w:tcW w:w="2100" w:type="dxa"/>
            <w:vAlign w:val="bottom"/>
          </w:tcPr>
          <w:p>
            <w:pPr>
              <w:ind w:left="120"/>
              <w:spacing w:after="0"/>
              <w:rPr>
                <w:sz w:val="20"/>
                <w:szCs w:val="20"/>
                <w:color w:val="auto"/>
              </w:rPr>
            </w:pPr>
            <w:r>
              <w:rPr>
                <w:rFonts w:ascii="Arial" w:cs="Arial" w:eastAsia="Arial" w:hAnsi="Arial"/>
                <w:sz w:val="14"/>
                <w:szCs w:val="14"/>
                <w:color w:val="auto"/>
              </w:rPr>
              <w:t>BSNL Hyderabad</w:t>
            </w:r>
          </w:p>
        </w:tc>
        <w:tc>
          <w:tcPr>
            <w:tcW w:w="980" w:type="dxa"/>
            <w:vAlign w:val="bottom"/>
          </w:tcPr>
          <w:p>
            <w:pPr>
              <w:jc w:val="center"/>
              <w:spacing w:after="0"/>
              <w:rPr>
                <w:sz w:val="20"/>
                <w:szCs w:val="20"/>
                <w:color w:val="auto"/>
              </w:rPr>
            </w:pPr>
            <w:r>
              <w:rPr>
                <w:rFonts w:ascii="Arial" w:cs="Arial" w:eastAsia="Arial" w:hAnsi="Arial"/>
                <w:sz w:val="14"/>
                <w:szCs w:val="14"/>
                <w:color w:val="auto"/>
                <w:w w:val="93"/>
              </w:rPr>
              <w:t>GT/109270/12</w:t>
            </w:r>
          </w:p>
        </w:tc>
        <w:tc>
          <w:tcPr>
            <w:tcW w:w="1080" w:type="dxa"/>
            <w:vAlign w:val="bottom"/>
          </w:tcPr>
          <w:p>
            <w:pPr>
              <w:jc w:val="center"/>
              <w:spacing w:after="0"/>
              <w:rPr>
                <w:sz w:val="20"/>
                <w:szCs w:val="20"/>
                <w:color w:val="auto"/>
              </w:rPr>
            </w:pPr>
            <w:r>
              <w:rPr>
                <w:rFonts w:ascii="Arial" w:cs="Arial" w:eastAsia="Arial" w:hAnsi="Arial"/>
                <w:sz w:val="14"/>
                <w:szCs w:val="14"/>
                <w:color w:val="auto"/>
                <w:w w:val="95"/>
              </w:rPr>
              <w:t>03/31/16</w:t>
            </w:r>
          </w:p>
        </w:tc>
        <w:tc>
          <w:tcPr>
            <w:tcW w:w="1280" w:type="dxa"/>
            <w:vAlign w:val="bottom"/>
          </w:tcPr>
          <w:p>
            <w:pPr>
              <w:ind w:left="60"/>
              <w:spacing w:after="0"/>
              <w:rPr>
                <w:sz w:val="20"/>
                <w:szCs w:val="20"/>
                <w:color w:val="auto"/>
              </w:rPr>
            </w:pPr>
            <w:r>
              <w:rPr>
                <w:rFonts w:ascii="Arial" w:cs="Arial" w:eastAsia="Arial" w:hAnsi="Arial"/>
                <w:sz w:val="14"/>
                <w:szCs w:val="14"/>
                <w:color w:val="auto"/>
              </w:rPr>
              <w:t>INR 100,000</w:t>
            </w:r>
          </w:p>
        </w:tc>
        <w:tc>
          <w:tcPr>
            <w:tcW w:w="720" w:type="dxa"/>
            <w:vAlign w:val="bottom"/>
          </w:tcPr>
          <w:p>
            <w:pPr>
              <w:jc w:val="right"/>
              <w:ind w:right="228"/>
              <w:spacing w:after="0"/>
              <w:rPr>
                <w:sz w:val="20"/>
                <w:szCs w:val="20"/>
                <w:color w:val="auto"/>
              </w:rPr>
            </w:pPr>
            <w:r>
              <w:rPr>
                <w:rFonts w:ascii="Arial" w:cs="Arial" w:eastAsia="Arial" w:hAnsi="Arial"/>
                <w:sz w:val="14"/>
                <w:szCs w:val="14"/>
                <w:color w:val="auto"/>
              </w:rPr>
              <w:t>0</w:t>
            </w:r>
          </w:p>
        </w:tc>
        <w:tc>
          <w:tcPr>
            <w:tcW w:w="720" w:type="dxa"/>
            <w:vAlign w:val="bottom"/>
          </w:tcPr>
          <w:p>
            <w:pPr>
              <w:jc w:val="right"/>
              <w:ind w:right="288"/>
              <w:spacing w:after="0"/>
              <w:rPr>
                <w:sz w:val="20"/>
                <w:szCs w:val="20"/>
                <w:color w:val="auto"/>
              </w:rPr>
            </w:pPr>
            <w:r>
              <w:rPr>
                <w:rFonts w:ascii="Arial" w:cs="Arial" w:eastAsia="Arial" w:hAnsi="Arial"/>
                <w:sz w:val="14"/>
                <w:szCs w:val="14"/>
                <w:color w:val="auto"/>
              </w:rPr>
              <w:t>0</w:t>
            </w:r>
          </w:p>
        </w:tc>
        <w:tc>
          <w:tcPr>
            <w:tcW w:w="580" w:type="dxa"/>
            <w:vAlign w:val="bottom"/>
          </w:tcPr>
          <w:p>
            <w:pPr>
              <w:jc w:val="right"/>
              <w:ind w:right="68"/>
              <w:spacing w:after="0"/>
              <w:rPr>
                <w:sz w:val="20"/>
                <w:szCs w:val="20"/>
                <w:color w:val="auto"/>
              </w:rPr>
            </w:pPr>
            <w:r>
              <w:rPr>
                <w:rFonts w:ascii="Arial" w:cs="Arial" w:eastAsia="Arial" w:hAnsi="Arial"/>
                <w:sz w:val="14"/>
                <w:szCs w:val="14"/>
                <w:color w:val="auto"/>
              </w:rPr>
              <w:t>0</w:t>
            </w:r>
          </w:p>
        </w:tc>
        <w:tc>
          <w:tcPr>
            <w:tcW w:w="1280" w:type="dxa"/>
            <w:vAlign w:val="bottom"/>
          </w:tcPr>
          <w:p>
            <w:pPr>
              <w:jc w:val="right"/>
              <w:spacing w:after="0"/>
              <w:rPr>
                <w:sz w:val="20"/>
                <w:szCs w:val="20"/>
                <w:color w:val="auto"/>
              </w:rPr>
            </w:pPr>
            <w:r>
              <w:rPr>
                <w:rFonts w:ascii="Arial" w:cs="Arial" w:eastAsia="Arial" w:hAnsi="Arial"/>
                <w:sz w:val="14"/>
                <w:szCs w:val="14"/>
                <w:color w:val="auto"/>
              </w:rPr>
              <w:t>1,595</w:t>
            </w:r>
          </w:p>
        </w:tc>
        <w:tc>
          <w:tcPr>
            <w:tcW w:w="0" w:type="dxa"/>
            <w:vAlign w:val="bottom"/>
          </w:tcPr>
          <w:p>
            <w:pPr>
              <w:spacing w:after="0"/>
              <w:rPr>
                <w:sz w:val="1"/>
                <w:szCs w:val="1"/>
                <w:color w:val="auto"/>
              </w:rPr>
            </w:pPr>
          </w:p>
        </w:tc>
      </w:tr>
      <w:tr>
        <w:trPr>
          <w:trHeight w:val="169"/>
        </w:trPr>
        <w:tc>
          <w:tcPr>
            <w:tcW w:w="1080" w:type="dxa"/>
            <w:vAlign w:val="bottom"/>
          </w:tcPr>
          <w:p>
            <w:pPr>
              <w:spacing w:after="0"/>
              <w:rPr>
                <w:sz w:val="14"/>
                <w:szCs w:val="14"/>
                <w:color w:val="auto"/>
              </w:rPr>
            </w:pPr>
          </w:p>
        </w:tc>
        <w:tc>
          <w:tcPr>
            <w:tcW w:w="1200" w:type="dxa"/>
            <w:vAlign w:val="bottom"/>
          </w:tcPr>
          <w:p>
            <w:pPr>
              <w:ind w:left="120"/>
              <w:spacing w:after="0"/>
              <w:rPr>
                <w:sz w:val="20"/>
                <w:szCs w:val="20"/>
                <w:color w:val="auto"/>
              </w:rPr>
            </w:pPr>
            <w:r>
              <w:rPr>
                <w:rFonts w:ascii="Arial" w:cs="Arial" w:eastAsia="Arial" w:hAnsi="Arial"/>
                <w:sz w:val="14"/>
                <w:szCs w:val="14"/>
                <w:color w:val="auto"/>
                <w:w w:val="99"/>
              </w:rPr>
              <w:t>Euronet Services</w:t>
            </w:r>
          </w:p>
        </w:tc>
        <w:tc>
          <w:tcPr>
            <w:tcW w:w="21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2"/>
        </w:trPr>
        <w:tc>
          <w:tcPr>
            <w:tcW w:w="1080" w:type="dxa"/>
            <w:vAlign w:val="bottom"/>
          </w:tcPr>
          <w:p>
            <w:pPr>
              <w:spacing w:after="0"/>
              <w:rPr>
                <w:sz w:val="20"/>
                <w:szCs w:val="20"/>
                <w:color w:val="auto"/>
              </w:rPr>
            </w:pPr>
            <w:r>
              <w:rPr>
                <w:rFonts w:ascii="Arial" w:cs="Arial" w:eastAsia="Arial" w:hAnsi="Arial"/>
                <w:sz w:val="14"/>
                <w:szCs w:val="14"/>
                <w:color w:val="auto"/>
              </w:rPr>
              <w:t>Bank of America</w:t>
            </w:r>
          </w:p>
        </w:tc>
        <w:tc>
          <w:tcPr>
            <w:tcW w:w="1200" w:type="dxa"/>
            <w:vAlign w:val="bottom"/>
          </w:tcPr>
          <w:p>
            <w:pPr>
              <w:ind w:left="120"/>
              <w:spacing w:after="0"/>
              <w:rPr>
                <w:sz w:val="20"/>
                <w:szCs w:val="20"/>
                <w:color w:val="auto"/>
              </w:rPr>
            </w:pPr>
            <w:r>
              <w:rPr>
                <w:rFonts w:ascii="Arial" w:cs="Arial" w:eastAsia="Arial" w:hAnsi="Arial"/>
                <w:sz w:val="14"/>
                <w:szCs w:val="14"/>
                <w:color w:val="auto"/>
              </w:rPr>
              <w:t>India Pvt. Ltd.</w:t>
            </w:r>
          </w:p>
        </w:tc>
        <w:tc>
          <w:tcPr>
            <w:tcW w:w="2100" w:type="dxa"/>
            <w:vAlign w:val="bottom"/>
          </w:tcPr>
          <w:p>
            <w:pPr>
              <w:ind w:left="120"/>
              <w:spacing w:after="0"/>
              <w:rPr>
                <w:sz w:val="20"/>
                <w:szCs w:val="20"/>
                <w:color w:val="auto"/>
              </w:rPr>
            </w:pPr>
            <w:r>
              <w:rPr>
                <w:rFonts w:ascii="Arial" w:cs="Arial" w:eastAsia="Arial" w:hAnsi="Arial"/>
                <w:sz w:val="14"/>
                <w:szCs w:val="14"/>
                <w:color w:val="auto"/>
              </w:rPr>
              <w:t>BSNL Maharashtra</w:t>
            </w:r>
          </w:p>
        </w:tc>
        <w:tc>
          <w:tcPr>
            <w:tcW w:w="980" w:type="dxa"/>
            <w:vAlign w:val="bottom"/>
          </w:tcPr>
          <w:p>
            <w:pPr>
              <w:jc w:val="center"/>
              <w:spacing w:after="0"/>
              <w:rPr>
                <w:sz w:val="20"/>
                <w:szCs w:val="20"/>
                <w:color w:val="auto"/>
              </w:rPr>
            </w:pPr>
            <w:r>
              <w:rPr>
                <w:rFonts w:ascii="Arial" w:cs="Arial" w:eastAsia="Arial" w:hAnsi="Arial"/>
                <w:sz w:val="14"/>
                <w:szCs w:val="14"/>
                <w:color w:val="auto"/>
                <w:w w:val="93"/>
              </w:rPr>
              <w:t>GT/109303/12</w:t>
            </w:r>
          </w:p>
        </w:tc>
        <w:tc>
          <w:tcPr>
            <w:tcW w:w="1080" w:type="dxa"/>
            <w:vAlign w:val="bottom"/>
          </w:tcPr>
          <w:p>
            <w:pPr>
              <w:jc w:val="center"/>
              <w:spacing w:after="0"/>
              <w:rPr>
                <w:sz w:val="20"/>
                <w:szCs w:val="20"/>
                <w:color w:val="auto"/>
              </w:rPr>
            </w:pPr>
            <w:r>
              <w:rPr>
                <w:rFonts w:ascii="Arial" w:cs="Arial" w:eastAsia="Arial" w:hAnsi="Arial"/>
                <w:sz w:val="14"/>
                <w:szCs w:val="14"/>
                <w:color w:val="auto"/>
                <w:w w:val="95"/>
              </w:rPr>
              <w:t>03/31/16</w:t>
            </w:r>
          </w:p>
        </w:tc>
        <w:tc>
          <w:tcPr>
            <w:tcW w:w="1280" w:type="dxa"/>
            <w:vAlign w:val="bottom"/>
          </w:tcPr>
          <w:p>
            <w:pPr>
              <w:ind w:left="60"/>
              <w:spacing w:after="0"/>
              <w:rPr>
                <w:sz w:val="20"/>
                <w:szCs w:val="20"/>
                <w:color w:val="auto"/>
              </w:rPr>
            </w:pPr>
            <w:r>
              <w:rPr>
                <w:rFonts w:ascii="Arial" w:cs="Arial" w:eastAsia="Arial" w:hAnsi="Arial"/>
                <w:sz w:val="14"/>
                <w:szCs w:val="14"/>
                <w:color w:val="auto"/>
              </w:rPr>
              <w:t>INR 100,000</w:t>
            </w:r>
          </w:p>
        </w:tc>
        <w:tc>
          <w:tcPr>
            <w:tcW w:w="720" w:type="dxa"/>
            <w:vAlign w:val="bottom"/>
          </w:tcPr>
          <w:p>
            <w:pPr>
              <w:jc w:val="right"/>
              <w:ind w:right="228"/>
              <w:spacing w:after="0"/>
              <w:rPr>
                <w:sz w:val="20"/>
                <w:szCs w:val="20"/>
                <w:color w:val="auto"/>
              </w:rPr>
            </w:pPr>
            <w:r>
              <w:rPr>
                <w:rFonts w:ascii="Arial" w:cs="Arial" w:eastAsia="Arial" w:hAnsi="Arial"/>
                <w:sz w:val="14"/>
                <w:szCs w:val="14"/>
                <w:color w:val="auto"/>
              </w:rPr>
              <w:t>0</w:t>
            </w:r>
          </w:p>
        </w:tc>
        <w:tc>
          <w:tcPr>
            <w:tcW w:w="720" w:type="dxa"/>
            <w:vAlign w:val="bottom"/>
          </w:tcPr>
          <w:p>
            <w:pPr>
              <w:jc w:val="right"/>
              <w:ind w:right="288"/>
              <w:spacing w:after="0"/>
              <w:rPr>
                <w:sz w:val="20"/>
                <w:szCs w:val="20"/>
                <w:color w:val="auto"/>
              </w:rPr>
            </w:pPr>
            <w:r>
              <w:rPr>
                <w:rFonts w:ascii="Arial" w:cs="Arial" w:eastAsia="Arial" w:hAnsi="Arial"/>
                <w:sz w:val="14"/>
                <w:szCs w:val="14"/>
                <w:color w:val="auto"/>
              </w:rPr>
              <w:t>0</w:t>
            </w:r>
          </w:p>
        </w:tc>
        <w:tc>
          <w:tcPr>
            <w:tcW w:w="580" w:type="dxa"/>
            <w:vAlign w:val="bottom"/>
          </w:tcPr>
          <w:p>
            <w:pPr>
              <w:jc w:val="right"/>
              <w:ind w:right="68"/>
              <w:spacing w:after="0"/>
              <w:rPr>
                <w:sz w:val="20"/>
                <w:szCs w:val="20"/>
                <w:color w:val="auto"/>
              </w:rPr>
            </w:pPr>
            <w:r>
              <w:rPr>
                <w:rFonts w:ascii="Arial" w:cs="Arial" w:eastAsia="Arial" w:hAnsi="Arial"/>
                <w:sz w:val="14"/>
                <w:szCs w:val="14"/>
                <w:color w:val="auto"/>
              </w:rPr>
              <w:t>0</w:t>
            </w:r>
          </w:p>
        </w:tc>
        <w:tc>
          <w:tcPr>
            <w:tcW w:w="1280" w:type="dxa"/>
            <w:vAlign w:val="bottom"/>
          </w:tcPr>
          <w:p>
            <w:pPr>
              <w:jc w:val="right"/>
              <w:spacing w:after="0"/>
              <w:rPr>
                <w:sz w:val="20"/>
                <w:szCs w:val="20"/>
                <w:color w:val="auto"/>
              </w:rPr>
            </w:pPr>
            <w:r>
              <w:rPr>
                <w:rFonts w:ascii="Arial" w:cs="Arial" w:eastAsia="Arial" w:hAnsi="Arial"/>
                <w:sz w:val="14"/>
                <w:szCs w:val="14"/>
                <w:color w:val="auto"/>
              </w:rPr>
              <w:t>1,595</w:t>
            </w:r>
          </w:p>
        </w:tc>
        <w:tc>
          <w:tcPr>
            <w:tcW w:w="0" w:type="dxa"/>
            <w:vAlign w:val="bottom"/>
          </w:tcPr>
          <w:p>
            <w:pPr>
              <w:spacing w:after="0"/>
              <w:rPr>
                <w:sz w:val="1"/>
                <w:szCs w:val="1"/>
                <w:color w:val="auto"/>
              </w:rPr>
            </w:pPr>
          </w:p>
        </w:tc>
      </w:tr>
      <w:tr>
        <w:trPr>
          <w:trHeight w:val="169"/>
        </w:trPr>
        <w:tc>
          <w:tcPr>
            <w:tcW w:w="1080" w:type="dxa"/>
            <w:vAlign w:val="bottom"/>
          </w:tcPr>
          <w:p>
            <w:pPr>
              <w:spacing w:after="0"/>
              <w:rPr>
                <w:sz w:val="14"/>
                <w:szCs w:val="14"/>
                <w:color w:val="auto"/>
              </w:rPr>
            </w:pPr>
          </w:p>
        </w:tc>
        <w:tc>
          <w:tcPr>
            <w:tcW w:w="1200" w:type="dxa"/>
            <w:vAlign w:val="bottom"/>
          </w:tcPr>
          <w:p>
            <w:pPr>
              <w:ind w:left="120"/>
              <w:spacing w:after="0"/>
              <w:rPr>
                <w:sz w:val="20"/>
                <w:szCs w:val="20"/>
                <w:color w:val="auto"/>
              </w:rPr>
            </w:pPr>
            <w:r>
              <w:rPr>
                <w:rFonts w:ascii="Arial" w:cs="Arial" w:eastAsia="Arial" w:hAnsi="Arial"/>
                <w:sz w:val="14"/>
                <w:szCs w:val="14"/>
                <w:color w:val="auto"/>
                <w:w w:val="99"/>
              </w:rPr>
              <w:t>Euronet Services</w:t>
            </w:r>
          </w:p>
        </w:tc>
        <w:tc>
          <w:tcPr>
            <w:tcW w:w="2100" w:type="dxa"/>
            <w:vAlign w:val="bottom"/>
          </w:tcPr>
          <w:p>
            <w:pPr>
              <w:ind w:left="120"/>
              <w:spacing w:after="0"/>
              <w:rPr>
                <w:sz w:val="20"/>
                <w:szCs w:val="20"/>
                <w:color w:val="auto"/>
              </w:rPr>
            </w:pPr>
            <w:r>
              <w:rPr>
                <w:rFonts w:ascii="Arial" w:cs="Arial" w:eastAsia="Arial" w:hAnsi="Arial"/>
                <w:sz w:val="14"/>
                <w:szCs w:val="14"/>
                <w:color w:val="auto"/>
              </w:rPr>
              <w:t>E-Suvidha, Govt of Uttar</w:t>
            </w:r>
          </w:p>
        </w:tc>
        <w:tc>
          <w:tcPr>
            <w:tcW w:w="9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2"/>
        </w:trPr>
        <w:tc>
          <w:tcPr>
            <w:tcW w:w="1080" w:type="dxa"/>
            <w:vAlign w:val="bottom"/>
          </w:tcPr>
          <w:p>
            <w:pPr>
              <w:spacing w:after="0"/>
              <w:rPr>
                <w:sz w:val="20"/>
                <w:szCs w:val="20"/>
                <w:color w:val="auto"/>
              </w:rPr>
            </w:pPr>
            <w:r>
              <w:rPr>
                <w:rFonts w:ascii="Arial" w:cs="Arial" w:eastAsia="Arial" w:hAnsi="Arial"/>
                <w:sz w:val="14"/>
                <w:szCs w:val="14"/>
                <w:color w:val="auto"/>
              </w:rPr>
              <w:t>Bank of America</w:t>
            </w:r>
          </w:p>
        </w:tc>
        <w:tc>
          <w:tcPr>
            <w:tcW w:w="1200" w:type="dxa"/>
            <w:vAlign w:val="bottom"/>
          </w:tcPr>
          <w:p>
            <w:pPr>
              <w:ind w:left="120"/>
              <w:spacing w:after="0"/>
              <w:rPr>
                <w:sz w:val="20"/>
                <w:szCs w:val="20"/>
                <w:color w:val="auto"/>
              </w:rPr>
            </w:pPr>
            <w:r>
              <w:rPr>
                <w:rFonts w:ascii="Arial" w:cs="Arial" w:eastAsia="Arial" w:hAnsi="Arial"/>
                <w:sz w:val="14"/>
                <w:szCs w:val="14"/>
                <w:color w:val="auto"/>
              </w:rPr>
              <w:t>India Pvt. Ltd.</w:t>
            </w:r>
          </w:p>
        </w:tc>
        <w:tc>
          <w:tcPr>
            <w:tcW w:w="2100" w:type="dxa"/>
            <w:vAlign w:val="bottom"/>
          </w:tcPr>
          <w:p>
            <w:pPr>
              <w:ind w:left="120"/>
              <w:spacing w:after="0"/>
              <w:rPr>
                <w:sz w:val="20"/>
                <w:szCs w:val="20"/>
                <w:color w:val="auto"/>
              </w:rPr>
            </w:pPr>
            <w:r>
              <w:rPr>
                <w:rFonts w:ascii="Arial" w:cs="Arial" w:eastAsia="Arial" w:hAnsi="Arial"/>
                <w:sz w:val="14"/>
                <w:szCs w:val="14"/>
                <w:color w:val="auto"/>
              </w:rPr>
              <w:t>Pradesh</w:t>
            </w:r>
          </w:p>
        </w:tc>
        <w:tc>
          <w:tcPr>
            <w:tcW w:w="980" w:type="dxa"/>
            <w:vAlign w:val="bottom"/>
          </w:tcPr>
          <w:p>
            <w:pPr>
              <w:jc w:val="center"/>
              <w:spacing w:after="0"/>
              <w:rPr>
                <w:sz w:val="20"/>
                <w:szCs w:val="20"/>
                <w:color w:val="auto"/>
              </w:rPr>
            </w:pPr>
            <w:r>
              <w:rPr>
                <w:rFonts w:ascii="Arial" w:cs="Arial" w:eastAsia="Arial" w:hAnsi="Arial"/>
                <w:sz w:val="14"/>
                <w:szCs w:val="14"/>
                <w:color w:val="auto"/>
                <w:w w:val="93"/>
              </w:rPr>
              <w:t>GT/109284/12</w:t>
            </w:r>
          </w:p>
        </w:tc>
        <w:tc>
          <w:tcPr>
            <w:tcW w:w="1080" w:type="dxa"/>
            <w:vAlign w:val="bottom"/>
          </w:tcPr>
          <w:p>
            <w:pPr>
              <w:jc w:val="center"/>
              <w:spacing w:after="0"/>
              <w:rPr>
                <w:sz w:val="20"/>
                <w:szCs w:val="20"/>
                <w:color w:val="auto"/>
              </w:rPr>
            </w:pPr>
            <w:r>
              <w:rPr>
                <w:rFonts w:ascii="Arial" w:cs="Arial" w:eastAsia="Arial" w:hAnsi="Arial"/>
                <w:sz w:val="14"/>
                <w:szCs w:val="14"/>
                <w:color w:val="auto"/>
                <w:w w:val="95"/>
              </w:rPr>
              <w:t>11/22/14</w:t>
            </w:r>
          </w:p>
        </w:tc>
        <w:tc>
          <w:tcPr>
            <w:tcW w:w="1280" w:type="dxa"/>
            <w:vAlign w:val="bottom"/>
          </w:tcPr>
          <w:p>
            <w:pPr>
              <w:ind w:left="60"/>
              <w:spacing w:after="0"/>
              <w:rPr>
                <w:sz w:val="20"/>
                <w:szCs w:val="20"/>
                <w:color w:val="auto"/>
              </w:rPr>
            </w:pPr>
            <w:r>
              <w:rPr>
                <w:rFonts w:ascii="Arial" w:cs="Arial" w:eastAsia="Arial" w:hAnsi="Arial"/>
                <w:sz w:val="14"/>
                <w:szCs w:val="14"/>
                <w:color w:val="auto"/>
              </w:rPr>
              <w:t>INR 1,500,000</w:t>
            </w:r>
          </w:p>
        </w:tc>
        <w:tc>
          <w:tcPr>
            <w:tcW w:w="720" w:type="dxa"/>
            <w:vAlign w:val="bottom"/>
          </w:tcPr>
          <w:p>
            <w:pPr>
              <w:jc w:val="right"/>
              <w:ind w:right="228"/>
              <w:spacing w:after="0"/>
              <w:rPr>
                <w:sz w:val="20"/>
                <w:szCs w:val="20"/>
                <w:color w:val="auto"/>
              </w:rPr>
            </w:pPr>
            <w:r>
              <w:rPr>
                <w:rFonts w:ascii="Arial" w:cs="Arial" w:eastAsia="Arial" w:hAnsi="Arial"/>
                <w:sz w:val="14"/>
                <w:szCs w:val="14"/>
                <w:color w:val="auto"/>
              </w:rPr>
              <w:t>0</w:t>
            </w:r>
          </w:p>
        </w:tc>
        <w:tc>
          <w:tcPr>
            <w:tcW w:w="720" w:type="dxa"/>
            <w:vAlign w:val="bottom"/>
          </w:tcPr>
          <w:p>
            <w:pPr>
              <w:jc w:val="right"/>
              <w:ind w:right="288"/>
              <w:spacing w:after="0"/>
              <w:rPr>
                <w:sz w:val="20"/>
                <w:szCs w:val="20"/>
                <w:color w:val="auto"/>
              </w:rPr>
            </w:pPr>
            <w:r>
              <w:rPr>
                <w:rFonts w:ascii="Arial" w:cs="Arial" w:eastAsia="Arial" w:hAnsi="Arial"/>
                <w:sz w:val="14"/>
                <w:szCs w:val="14"/>
                <w:color w:val="auto"/>
              </w:rPr>
              <w:t>0</w:t>
            </w:r>
          </w:p>
        </w:tc>
        <w:tc>
          <w:tcPr>
            <w:tcW w:w="580" w:type="dxa"/>
            <w:vAlign w:val="bottom"/>
          </w:tcPr>
          <w:p>
            <w:pPr>
              <w:jc w:val="right"/>
              <w:ind w:right="68"/>
              <w:spacing w:after="0"/>
              <w:rPr>
                <w:sz w:val="20"/>
                <w:szCs w:val="20"/>
                <w:color w:val="auto"/>
              </w:rPr>
            </w:pPr>
            <w:r>
              <w:rPr>
                <w:rFonts w:ascii="Arial" w:cs="Arial" w:eastAsia="Arial" w:hAnsi="Arial"/>
                <w:sz w:val="14"/>
                <w:szCs w:val="14"/>
                <w:color w:val="auto"/>
              </w:rPr>
              <w:t>0</w:t>
            </w:r>
          </w:p>
        </w:tc>
        <w:tc>
          <w:tcPr>
            <w:tcW w:w="1280" w:type="dxa"/>
            <w:vAlign w:val="bottom"/>
          </w:tcPr>
          <w:p>
            <w:pPr>
              <w:jc w:val="right"/>
              <w:spacing w:after="0"/>
              <w:rPr>
                <w:sz w:val="20"/>
                <w:szCs w:val="20"/>
                <w:color w:val="auto"/>
              </w:rPr>
            </w:pPr>
            <w:r>
              <w:rPr>
                <w:rFonts w:ascii="Arial" w:cs="Arial" w:eastAsia="Arial" w:hAnsi="Arial"/>
                <w:sz w:val="14"/>
                <w:szCs w:val="14"/>
                <w:color w:val="auto"/>
              </w:rPr>
              <w:t>23,931</w:t>
            </w:r>
          </w:p>
        </w:tc>
        <w:tc>
          <w:tcPr>
            <w:tcW w:w="0" w:type="dxa"/>
            <w:vAlign w:val="bottom"/>
          </w:tcPr>
          <w:p>
            <w:pPr>
              <w:spacing w:after="0"/>
              <w:rPr>
                <w:sz w:val="1"/>
                <w:szCs w:val="1"/>
                <w:color w:val="auto"/>
              </w:rPr>
            </w:pPr>
          </w:p>
        </w:tc>
      </w:tr>
      <w:tr>
        <w:trPr>
          <w:trHeight w:val="169"/>
        </w:trPr>
        <w:tc>
          <w:tcPr>
            <w:tcW w:w="1080" w:type="dxa"/>
            <w:vAlign w:val="bottom"/>
          </w:tcPr>
          <w:p>
            <w:pPr>
              <w:spacing w:after="0"/>
              <w:rPr>
                <w:sz w:val="14"/>
                <w:szCs w:val="14"/>
                <w:color w:val="auto"/>
              </w:rPr>
            </w:pPr>
          </w:p>
        </w:tc>
        <w:tc>
          <w:tcPr>
            <w:tcW w:w="1200" w:type="dxa"/>
            <w:vAlign w:val="bottom"/>
          </w:tcPr>
          <w:p>
            <w:pPr>
              <w:ind w:left="120"/>
              <w:spacing w:after="0"/>
              <w:rPr>
                <w:sz w:val="20"/>
                <w:szCs w:val="20"/>
                <w:color w:val="auto"/>
              </w:rPr>
            </w:pPr>
            <w:r>
              <w:rPr>
                <w:rFonts w:ascii="Arial" w:cs="Arial" w:eastAsia="Arial" w:hAnsi="Arial"/>
                <w:sz w:val="14"/>
                <w:szCs w:val="14"/>
                <w:color w:val="auto"/>
                <w:w w:val="99"/>
              </w:rPr>
              <w:t>Euronet Services</w:t>
            </w:r>
          </w:p>
        </w:tc>
        <w:tc>
          <w:tcPr>
            <w:tcW w:w="21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2"/>
        </w:trPr>
        <w:tc>
          <w:tcPr>
            <w:tcW w:w="1080" w:type="dxa"/>
            <w:vAlign w:val="bottom"/>
          </w:tcPr>
          <w:p>
            <w:pPr>
              <w:spacing w:after="0"/>
              <w:rPr>
                <w:sz w:val="20"/>
                <w:szCs w:val="20"/>
                <w:color w:val="auto"/>
              </w:rPr>
            </w:pPr>
            <w:r>
              <w:rPr>
                <w:rFonts w:ascii="Arial" w:cs="Arial" w:eastAsia="Arial" w:hAnsi="Arial"/>
                <w:sz w:val="14"/>
                <w:szCs w:val="14"/>
                <w:color w:val="auto"/>
              </w:rPr>
              <w:t>Bank of America</w:t>
            </w:r>
          </w:p>
        </w:tc>
        <w:tc>
          <w:tcPr>
            <w:tcW w:w="1200" w:type="dxa"/>
            <w:vAlign w:val="bottom"/>
          </w:tcPr>
          <w:p>
            <w:pPr>
              <w:ind w:left="120"/>
              <w:spacing w:after="0"/>
              <w:rPr>
                <w:sz w:val="20"/>
                <w:szCs w:val="20"/>
                <w:color w:val="auto"/>
              </w:rPr>
            </w:pPr>
            <w:r>
              <w:rPr>
                <w:rFonts w:ascii="Arial" w:cs="Arial" w:eastAsia="Arial" w:hAnsi="Arial"/>
                <w:sz w:val="14"/>
                <w:szCs w:val="14"/>
                <w:color w:val="auto"/>
              </w:rPr>
              <w:t>India Pvt. Ltd.</w:t>
            </w:r>
          </w:p>
        </w:tc>
        <w:tc>
          <w:tcPr>
            <w:tcW w:w="2100" w:type="dxa"/>
            <w:vAlign w:val="bottom"/>
          </w:tcPr>
          <w:p>
            <w:pPr>
              <w:ind w:left="120"/>
              <w:spacing w:after="0"/>
              <w:rPr>
                <w:sz w:val="20"/>
                <w:szCs w:val="20"/>
                <w:color w:val="auto"/>
              </w:rPr>
            </w:pPr>
            <w:r>
              <w:rPr>
                <w:rFonts w:ascii="Arial" w:cs="Arial" w:eastAsia="Arial" w:hAnsi="Arial"/>
                <w:sz w:val="14"/>
                <w:szCs w:val="14"/>
                <w:color w:val="auto"/>
              </w:rPr>
              <w:t>BSNL UP West</w:t>
            </w:r>
          </w:p>
        </w:tc>
        <w:tc>
          <w:tcPr>
            <w:tcW w:w="980" w:type="dxa"/>
            <w:vAlign w:val="bottom"/>
          </w:tcPr>
          <w:p>
            <w:pPr>
              <w:jc w:val="center"/>
              <w:spacing w:after="0"/>
              <w:rPr>
                <w:sz w:val="20"/>
                <w:szCs w:val="20"/>
                <w:color w:val="auto"/>
              </w:rPr>
            </w:pPr>
            <w:r>
              <w:rPr>
                <w:rFonts w:ascii="Arial" w:cs="Arial" w:eastAsia="Arial" w:hAnsi="Arial"/>
                <w:sz w:val="14"/>
                <w:szCs w:val="14"/>
                <w:color w:val="auto"/>
                <w:w w:val="93"/>
              </w:rPr>
              <w:t>GT/109260/12</w:t>
            </w:r>
          </w:p>
        </w:tc>
        <w:tc>
          <w:tcPr>
            <w:tcW w:w="1080" w:type="dxa"/>
            <w:vAlign w:val="bottom"/>
          </w:tcPr>
          <w:p>
            <w:pPr>
              <w:jc w:val="center"/>
              <w:spacing w:after="0"/>
              <w:rPr>
                <w:sz w:val="20"/>
                <w:szCs w:val="20"/>
                <w:color w:val="auto"/>
              </w:rPr>
            </w:pPr>
            <w:r>
              <w:rPr>
                <w:rFonts w:ascii="Arial" w:cs="Arial" w:eastAsia="Arial" w:hAnsi="Arial"/>
                <w:sz w:val="14"/>
                <w:szCs w:val="14"/>
                <w:color w:val="auto"/>
                <w:w w:val="95"/>
              </w:rPr>
              <w:t>03/31/16</w:t>
            </w:r>
          </w:p>
        </w:tc>
        <w:tc>
          <w:tcPr>
            <w:tcW w:w="1280" w:type="dxa"/>
            <w:vAlign w:val="bottom"/>
          </w:tcPr>
          <w:p>
            <w:pPr>
              <w:ind w:left="60"/>
              <w:spacing w:after="0"/>
              <w:rPr>
                <w:sz w:val="20"/>
                <w:szCs w:val="20"/>
                <w:color w:val="auto"/>
              </w:rPr>
            </w:pPr>
            <w:r>
              <w:rPr>
                <w:rFonts w:ascii="Arial" w:cs="Arial" w:eastAsia="Arial" w:hAnsi="Arial"/>
                <w:sz w:val="14"/>
                <w:szCs w:val="14"/>
                <w:color w:val="auto"/>
              </w:rPr>
              <w:t>INR 100,000</w:t>
            </w:r>
          </w:p>
        </w:tc>
        <w:tc>
          <w:tcPr>
            <w:tcW w:w="720" w:type="dxa"/>
            <w:vAlign w:val="bottom"/>
          </w:tcPr>
          <w:p>
            <w:pPr>
              <w:jc w:val="right"/>
              <w:ind w:right="228"/>
              <w:spacing w:after="0"/>
              <w:rPr>
                <w:sz w:val="20"/>
                <w:szCs w:val="20"/>
                <w:color w:val="auto"/>
              </w:rPr>
            </w:pPr>
            <w:r>
              <w:rPr>
                <w:rFonts w:ascii="Arial" w:cs="Arial" w:eastAsia="Arial" w:hAnsi="Arial"/>
                <w:sz w:val="14"/>
                <w:szCs w:val="14"/>
                <w:color w:val="auto"/>
              </w:rPr>
              <w:t>0</w:t>
            </w:r>
          </w:p>
        </w:tc>
        <w:tc>
          <w:tcPr>
            <w:tcW w:w="720" w:type="dxa"/>
            <w:vAlign w:val="bottom"/>
          </w:tcPr>
          <w:p>
            <w:pPr>
              <w:jc w:val="right"/>
              <w:ind w:right="288"/>
              <w:spacing w:after="0"/>
              <w:rPr>
                <w:sz w:val="20"/>
                <w:szCs w:val="20"/>
                <w:color w:val="auto"/>
              </w:rPr>
            </w:pPr>
            <w:r>
              <w:rPr>
                <w:rFonts w:ascii="Arial" w:cs="Arial" w:eastAsia="Arial" w:hAnsi="Arial"/>
                <w:sz w:val="14"/>
                <w:szCs w:val="14"/>
                <w:color w:val="auto"/>
              </w:rPr>
              <w:t>0</w:t>
            </w:r>
          </w:p>
        </w:tc>
        <w:tc>
          <w:tcPr>
            <w:tcW w:w="580" w:type="dxa"/>
            <w:vAlign w:val="bottom"/>
          </w:tcPr>
          <w:p>
            <w:pPr>
              <w:jc w:val="right"/>
              <w:ind w:right="68"/>
              <w:spacing w:after="0"/>
              <w:rPr>
                <w:sz w:val="20"/>
                <w:szCs w:val="20"/>
                <w:color w:val="auto"/>
              </w:rPr>
            </w:pPr>
            <w:r>
              <w:rPr>
                <w:rFonts w:ascii="Arial" w:cs="Arial" w:eastAsia="Arial" w:hAnsi="Arial"/>
                <w:sz w:val="14"/>
                <w:szCs w:val="14"/>
                <w:color w:val="auto"/>
              </w:rPr>
              <w:t>0</w:t>
            </w:r>
          </w:p>
        </w:tc>
        <w:tc>
          <w:tcPr>
            <w:tcW w:w="1280" w:type="dxa"/>
            <w:vAlign w:val="bottom"/>
          </w:tcPr>
          <w:p>
            <w:pPr>
              <w:jc w:val="right"/>
              <w:spacing w:after="0"/>
              <w:rPr>
                <w:sz w:val="20"/>
                <w:szCs w:val="20"/>
                <w:color w:val="auto"/>
              </w:rPr>
            </w:pPr>
            <w:r>
              <w:rPr>
                <w:rFonts w:ascii="Arial" w:cs="Arial" w:eastAsia="Arial" w:hAnsi="Arial"/>
                <w:sz w:val="14"/>
                <w:szCs w:val="14"/>
                <w:color w:val="auto"/>
              </w:rPr>
              <w:t>1,595</w:t>
            </w:r>
          </w:p>
        </w:tc>
        <w:tc>
          <w:tcPr>
            <w:tcW w:w="0" w:type="dxa"/>
            <w:vAlign w:val="bottom"/>
          </w:tcPr>
          <w:p>
            <w:pPr>
              <w:spacing w:after="0"/>
              <w:rPr>
                <w:sz w:val="1"/>
                <w:szCs w:val="1"/>
                <w:color w:val="auto"/>
              </w:rPr>
            </w:pPr>
          </w:p>
        </w:tc>
      </w:tr>
      <w:tr>
        <w:trPr>
          <w:trHeight w:val="169"/>
        </w:trPr>
        <w:tc>
          <w:tcPr>
            <w:tcW w:w="1080" w:type="dxa"/>
            <w:vAlign w:val="bottom"/>
          </w:tcPr>
          <w:p>
            <w:pPr>
              <w:spacing w:after="0"/>
              <w:rPr>
                <w:sz w:val="14"/>
                <w:szCs w:val="14"/>
                <w:color w:val="auto"/>
              </w:rPr>
            </w:pPr>
          </w:p>
        </w:tc>
        <w:tc>
          <w:tcPr>
            <w:tcW w:w="1200" w:type="dxa"/>
            <w:vAlign w:val="bottom"/>
          </w:tcPr>
          <w:p>
            <w:pPr>
              <w:ind w:left="120"/>
              <w:spacing w:after="0"/>
              <w:rPr>
                <w:sz w:val="20"/>
                <w:szCs w:val="20"/>
                <w:color w:val="auto"/>
              </w:rPr>
            </w:pPr>
            <w:r>
              <w:rPr>
                <w:rFonts w:ascii="Arial" w:cs="Arial" w:eastAsia="Arial" w:hAnsi="Arial"/>
                <w:sz w:val="14"/>
                <w:szCs w:val="14"/>
                <w:color w:val="auto"/>
                <w:w w:val="99"/>
              </w:rPr>
              <w:t>Euronet Services</w:t>
            </w:r>
          </w:p>
        </w:tc>
        <w:tc>
          <w:tcPr>
            <w:tcW w:w="2100" w:type="dxa"/>
            <w:vAlign w:val="bottom"/>
          </w:tcPr>
          <w:p>
            <w:pPr>
              <w:ind w:left="120"/>
              <w:spacing w:after="0"/>
              <w:rPr>
                <w:sz w:val="20"/>
                <w:szCs w:val="20"/>
                <w:color w:val="auto"/>
              </w:rPr>
            </w:pPr>
            <w:r>
              <w:rPr>
                <w:rFonts w:ascii="Arial" w:cs="Arial" w:eastAsia="Arial" w:hAnsi="Arial"/>
                <w:sz w:val="14"/>
                <w:szCs w:val="14"/>
                <w:color w:val="auto"/>
              </w:rPr>
              <w:t>Deputy Commissioner -</w:t>
            </w:r>
          </w:p>
        </w:tc>
        <w:tc>
          <w:tcPr>
            <w:tcW w:w="9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2"/>
        </w:trPr>
        <w:tc>
          <w:tcPr>
            <w:tcW w:w="1080" w:type="dxa"/>
            <w:vAlign w:val="bottom"/>
          </w:tcPr>
          <w:p>
            <w:pPr>
              <w:spacing w:after="0"/>
              <w:rPr>
                <w:sz w:val="20"/>
                <w:szCs w:val="20"/>
                <w:color w:val="auto"/>
              </w:rPr>
            </w:pPr>
            <w:r>
              <w:rPr>
                <w:rFonts w:ascii="Arial" w:cs="Arial" w:eastAsia="Arial" w:hAnsi="Arial"/>
                <w:sz w:val="14"/>
                <w:szCs w:val="14"/>
                <w:color w:val="auto"/>
              </w:rPr>
              <w:t>Bank of America</w:t>
            </w:r>
          </w:p>
        </w:tc>
        <w:tc>
          <w:tcPr>
            <w:tcW w:w="1200" w:type="dxa"/>
            <w:vAlign w:val="bottom"/>
          </w:tcPr>
          <w:p>
            <w:pPr>
              <w:ind w:left="120"/>
              <w:spacing w:after="0"/>
              <w:rPr>
                <w:sz w:val="20"/>
                <w:szCs w:val="20"/>
                <w:color w:val="auto"/>
              </w:rPr>
            </w:pPr>
            <w:r>
              <w:rPr>
                <w:rFonts w:ascii="Arial" w:cs="Arial" w:eastAsia="Arial" w:hAnsi="Arial"/>
                <w:sz w:val="14"/>
                <w:szCs w:val="14"/>
                <w:color w:val="auto"/>
              </w:rPr>
              <w:t>India Pvt. Ltd.</w:t>
            </w:r>
          </w:p>
        </w:tc>
        <w:tc>
          <w:tcPr>
            <w:tcW w:w="2100" w:type="dxa"/>
            <w:vAlign w:val="bottom"/>
          </w:tcPr>
          <w:p>
            <w:pPr>
              <w:ind w:left="120"/>
              <w:spacing w:after="0"/>
              <w:rPr>
                <w:sz w:val="20"/>
                <w:szCs w:val="20"/>
                <w:color w:val="auto"/>
              </w:rPr>
            </w:pPr>
            <w:r>
              <w:rPr>
                <w:rFonts w:ascii="Arial" w:cs="Arial" w:eastAsia="Arial" w:hAnsi="Arial"/>
                <w:sz w:val="14"/>
                <w:szCs w:val="14"/>
                <w:color w:val="auto"/>
              </w:rPr>
              <w:t>Commercial Taxes, Ghaziabad</w:t>
            </w:r>
          </w:p>
        </w:tc>
        <w:tc>
          <w:tcPr>
            <w:tcW w:w="980" w:type="dxa"/>
            <w:vAlign w:val="bottom"/>
          </w:tcPr>
          <w:p>
            <w:pPr>
              <w:jc w:val="center"/>
              <w:spacing w:after="0"/>
              <w:rPr>
                <w:sz w:val="20"/>
                <w:szCs w:val="20"/>
                <w:color w:val="auto"/>
              </w:rPr>
            </w:pPr>
            <w:r>
              <w:rPr>
                <w:rFonts w:ascii="Arial" w:cs="Arial" w:eastAsia="Arial" w:hAnsi="Arial"/>
                <w:sz w:val="14"/>
                <w:szCs w:val="14"/>
                <w:color w:val="auto"/>
                <w:w w:val="93"/>
              </w:rPr>
              <w:t>GT/109318/12</w:t>
            </w:r>
          </w:p>
        </w:tc>
        <w:tc>
          <w:tcPr>
            <w:tcW w:w="1080" w:type="dxa"/>
            <w:vAlign w:val="bottom"/>
          </w:tcPr>
          <w:p>
            <w:pPr>
              <w:jc w:val="center"/>
              <w:spacing w:after="0"/>
              <w:rPr>
                <w:sz w:val="20"/>
                <w:szCs w:val="20"/>
                <w:color w:val="auto"/>
              </w:rPr>
            </w:pPr>
            <w:r>
              <w:rPr>
                <w:rFonts w:ascii="Arial" w:cs="Arial" w:eastAsia="Arial" w:hAnsi="Arial"/>
                <w:sz w:val="14"/>
                <w:szCs w:val="14"/>
                <w:color w:val="auto"/>
                <w:w w:val="95"/>
              </w:rPr>
              <w:t>12/09/17</w:t>
            </w:r>
          </w:p>
        </w:tc>
        <w:tc>
          <w:tcPr>
            <w:tcW w:w="1280" w:type="dxa"/>
            <w:vAlign w:val="bottom"/>
          </w:tcPr>
          <w:p>
            <w:pPr>
              <w:ind w:left="60"/>
              <w:spacing w:after="0"/>
              <w:rPr>
                <w:sz w:val="20"/>
                <w:szCs w:val="20"/>
                <w:color w:val="auto"/>
              </w:rPr>
            </w:pPr>
            <w:r>
              <w:rPr>
                <w:rFonts w:ascii="Arial" w:cs="Arial" w:eastAsia="Arial" w:hAnsi="Arial"/>
                <w:sz w:val="14"/>
                <w:szCs w:val="14"/>
                <w:color w:val="auto"/>
              </w:rPr>
              <w:t>INR 30,000</w:t>
            </w:r>
          </w:p>
        </w:tc>
        <w:tc>
          <w:tcPr>
            <w:tcW w:w="720" w:type="dxa"/>
            <w:vAlign w:val="bottom"/>
          </w:tcPr>
          <w:p>
            <w:pPr>
              <w:jc w:val="right"/>
              <w:ind w:right="228"/>
              <w:spacing w:after="0"/>
              <w:rPr>
                <w:sz w:val="20"/>
                <w:szCs w:val="20"/>
                <w:color w:val="auto"/>
              </w:rPr>
            </w:pPr>
            <w:r>
              <w:rPr>
                <w:rFonts w:ascii="Arial" w:cs="Arial" w:eastAsia="Arial" w:hAnsi="Arial"/>
                <w:sz w:val="14"/>
                <w:szCs w:val="14"/>
                <w:color w:val="auto"/>
              </w:rPr>
              <w:t>0</w:t>
            </w:r>
          </w:p>
        </w:tc>
        <w:tc>
          <w:tcPr>
            <w:tcW w:w="720" w:type="dxa"/>
            <w:vAlign w:val="bottom"/>
          </w:tcPr>
          <w:p>
            <w:pPr>
              <w:jc w:val="right"/>
              <w:ind w:right="288"/>
              <w:spacing w:after="0"/>
              <w:rPr>
                <w:sz w:val="20"/>
                <w:szCs w:val="20"/>
                <w:color w:val="auto"/>
              </w:rPr>
            </w:pPr>
            <w:r>
              <w:rPr>
                <w:rFonts w:ascii="Arial" w:cs="Arial" w:eastAsia="Arial" w:hAnsi="Arial"/>
                <w:sz w:val="14"/>
                <w:szCs w:val="14"/>
                <w:color w:val="auto"/>
              </w:rPr>
              <w:t>0</w:t>
            </w:r>
          </w:p>
        </w:tc>
        <w:tc>
          <w:tcPr>
            <w:tcW w:w="580" w:type="dxa"/>
            <w:vAlign w:val="bottom"/>
          </w:tcPr>
          <w:p>
            <w:pPr>
              <w:jc w:val="right"/>
              <w:ind w:right="68"/>
              <w:spacing w:after="0"/>
              <w:rPr>
                <w:sz w:val="20"/>
                <w:szCs w:val="20"/>
                <w:color w:val="auto"/>
              </w:rPr>
            </w:pPr>
            <w:r>
              <w:rPr>
                <w:rFonts w:ascii="Arial" w:cs="Arial" w:eastAsia="Arial" w:hAnsi="Arial"/>
                <w:sz w:val="14"/>
                <w:szCs w:val="14"/>
                <w:color w:val="auto"/>
              </w:rPr>
              <w:t>0</w:t>
            </w:r>
          </w:p>
        </w:tc>
        <w:tc>
          <w:tcPr>
            <w:tcW w:w="1280" w:type="dxa"/>
            <w:vAlign w:val="bottom"/>
          </w:tcPr>
          <w:p>
            <w:pPr>
              <w:jc w:val="right"/>
              <w:spacing w:after="0"/>
              <w:rPr>
                <w:sz w:val="20"/>
                <w:szCs w:val="20"/>
                <w:color w:val="auto"/>
              </w:rPr>
            </w:pPr>
            <w:r>
              <w:rPr>
                <w:rFonts w:ascii="Arial" w:cs="Arial" w:eastAsia="Arial" w:hAnsi="Arial"/>
                <w:sz w:val="14"/>
                <w:szCs w:val="14"/>
                <w:color w:val="auto"/>
              </w:rPr>
              <w:t>479</w:t>
            </w:r>
          </w:p>
        </w:tc>
        <w:tc>
          <w:tcPr>
            <w:tcW w:w="0" w:type="dxa"/>
            <w:vAlign w:val="bottom"/>
          </w:tcPr>
          <w:p>
            <w:pPr>
              <w:spacing w:after="0"/>
              <w:rPr>
                <w:sz w:val="1"/>
                <w:szCs w:val="1"/>
                <w:color w:val="auto"/>
              </w:rPr>
            </w:pPr>
          </w:p>
        </w:tc>
      </w:tr>
      <w:tr>
        <w:trPr>
          <w:trHeight w:val="169"/>
        </w:trPr>
        <w:tc>
          <w:tcPr>
            <w:tcW w:w="1080" w:type="dxa"/>
            <w:vAlign w:val="bottom"/>
          </w:tcPr>
          <w:p>
            <w:pPr>
              <w:spacing w:after="0"/>
              <w:rPr>
                <w:sz w:val="14"/>
                <w:szCs w:val="14"/>
                <w:color w:val="auto"/>
              </w:rPr>
            </w:pPr>
          </w:p>
        </w:tc>
        <w:tc>
          <w:tcPr>
            <w:tcW w:w="1200" w:type="dxa"/>
            <w:vAlign w:val="bottom"/>
          </w:tcPr>
          <w:p>
            <w:pPr>
              <w:ind w:left="120"/>
              <w:spacing w:after="0"/>
              <w:rPr>
                <w:sz w:val="20"/>
                <w:szCs w:val="20"/>
                <w:color w:val="auto"/>
              </w:rPr>
            </w:pPr>
            <w:r>
              <w:rPr>
                <w:rFonts w:ascii="Arial" w:cs="Arial" w:eastAsia="Arial" w:hAnsi="Arial"/>
                <w:sz w:val="14"/>
                <w:szCs w:val="14"/>
                <w:color w:val="auto"/>
                <w:w w:val="99"/>
              </w:rPr>
              <w:t>Euronet Services</w:t>
            </w:r>
          </w:p>
        </w:tc>
        <w:tc>
          <w:tcPr>
            <w:tcW w:w="2100" w:type="dxa"/>
            <w:vAlign w:val="bottom"/>
          </w:tcPr>
          <w:p>
            <w:pPr>
              <w:ind w:left="120"/>
              <w:spacing w:after="0"/>
              <w:rPr>
                <w:sz w:val="20"/>
                <w:szCs w:val="20"/>
                <w:color w:val="auto"/>
              </w:rPr>
            </w:pPr>
            <w:r>
              <w:rPr>
                <w:rFonts w:ascii="Arial" w:cs="Arial" w:eastAsia="Arial" w:hAnsi="Arial"/>
                <w:sz w:val="14"/>
                <w:szCs w:val="14"/>
                <w:color w:val="auto"/>
              </w:rPr>
              <w:t>The Assessing Authority, Sales</w:t>
            </w:r>
          </w:p>
        </w:tc>
        <w:tc>
          <w:tcPr>
            <w:tcW w:w="9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2"/>
        </w:trPr>
        <w:tc>
          <w:tcPr>
            <w:tcW w:w="1080" w:type="dxa"/>
            <w:vAlign w:val="bottom"/>
          </w:tcPr>
          <w:p>
            <w:pPr>
              <w:spacing w:after="0"/>
              <w:rPr>
                <w:sz w:val="20"/>
                <w:szCs w:val="20"/>
                <w:color w:val="auto"/>
              </w:rPr>
            </w:pPr>
            <w:r>
              <w:rPr>
                <w:rFonts w:ascii="Arial" w:cs="Arial" w:eastAsia="Arial" w:hAnsi="Arial"/>
                <w:sz w:val="14"/>
                <w:szCs w:val="14"/>
                <w:color w:val="auto"/>
              </w:rPr>
              <w:t>Bank of America</w:t>
            </w:r>
          </w:p>
        </w:tc>
        <w:tc>
          <w:tcPr>
            <w:tcW w:w="1200" w:type="dxa"/>
            <w:vAlign w:val="bottom"/>
          </w:tcPr>
          <w:p>
            <w:pPr>
              <w:ind w:left="120"/>
              <w:spacing w:after="0"/>
              <w:rPr>
                <w:sz w:val="20"/>
                <w:szCs w:val="20"/>
                <w:color w:val="auto"/>
              </w:rPr>
            </w:pPr>
            <w:r>
              <w:rPr>
                <w:rFonts w:ascii="Arial" w:cs="Arial" w:eastAsia="Arial" w:hAnsi="Arial"/>
                <w:sz w:val="14"/>
                <w:szCs w:val="14"/>
                <w:color w:val="auto"/>
              </w:rPr>
              <w:t>India Pvt. Ltd.</w:t>
            </w:r>
          </w:p>
        </w:tc>
        <w:tc>
          <w:tcPr>
            <w:tcW w:w="2100" w:type="dxa"/>
            <w:vAlign w:val="bottom"/>
          </w:tcPr>
          <w:p>
            <w:pPr>
              <w:ind w:left="120"/>
              <w:spacing w:after="0"/>
              <w:rPr>
                <w:sz w:val="20"/>
                <w:szCs w:val="20"/>
                <w:color w:val="auto"/>
              </w:rPr>
            </w:pPr>
            <w:r>
              <w:rPr>
                <w:rFonts w:ascii="Arial" w:cs="Arial" w:eastAsia="Arial" w:hAnsi="Arial"/>
                <w:sz w:val="14"/>
                <w:szCs w:val="14"/>
                <w:color w:val="auto"/>
              </w:rPr>
              <w:t>Tax Dept - Gurgaon</w:t>
            </w:r>
          </w:p>
        </w:tc>
        <w:tc>
          <w:tcPr>
            <w:tcW w:w="980" w:type="dxa"/>
            <w:vAlign w:val="bottom"/>
          </w:tcPr>
          <w:p>
            <w:pPr>
              <w:jc w:val="center"/>
              <w:spacing w:after="0"/>
              <w:rPr>
                <w:sz w:val="20"/>
                <w:szCs w:val="20"/>
                <w:color w:val="auto"/>
              </w:rPr>
            </w:pPr>
            <w:r>
              <w:rPr>
                <w:rFonts w:ascii="Arial" w:cs="Arial" w:eastAsia="Arial" w:hAnsi="Arial"/>
                <w:sz w:val="14"/>
                <w:szCs w:val="14"/>
                <w:color w:val="auto"/>
                <w:w w:val="93"/>
              </w:rPr>
              <w:t>GT/109314/12</w:t>
            </w:r>
          </w:p>
        </w:tc>
        <w:tc>
          <w:tcPr>
            <w:tcW w:w="1080" w:type="dxa"/>
            <w:vAlign w:val="bottom"/>
          </w:tcPr>
          <w:p>
            <w:pPr>
              <w:jc w:val="center"/>
              <w:spacing w:after="0"/>
              <w:rPr>
                <w:sz w:val="20"/>
                <w:szCs w:val="20"/>
                <w:color w:val="auto"/>
              </w:rPr>
            </w:pPr>
            <w:r>
              <w:rPr>
                <w:rFonts w:ascii="Arial" w:cs="Arial" w:eastAsia="Arial" w:hAnsi="Arial"/>
                <w:sz w:val="14"/>
                <w:szCs w:val="14"/>
                <w:color w:val="auto"/>
                <w:w w:val="95"/>
              </w:rPr>
              <w:t>12/05/14</w:t>
            </w:r>
          </w:p>
        </w:tc>
        <w:tc>
          <w:tcPr>
            <w:tcW w:w="1280" w:type="dxa"/>
            <w:vAlign w:val="bottom"/>
          </w:tcPr>
          <w:p>
            <w:pPr>
              <w:ind w:left="60"/>
              <w:spacing w:after="0"/>
              <w:rPr>
                <w:sz w:val="20"/>
                <w:szCs w:val="20"/>
                <w:color w:val="auto"/>
              </w:rPr>
            </w:pPr>
            <w:r>
              <w:rPr>
                <w:rFonts w:ascii="Arial" w:cs="Arial" w:eastAsia="Arial" w:hAnsi="Arial"/>
                <w:sz w:val="14"/>
                <w:szCs w:val="14"/>
                <w:color w:val="auto"/>
              </w:rPr>
              <w:t>INR 50,000</w:t>
            </w:r>
          </w:p>
        </w:tc>
        <w:tc>
          <w:tcPr>
            <w:tcW w:w="720" w:type="dxa"/>
            <w:vAlign w:val="bottom"/>
          </w:tcPr>
          <w:p>
            <w:pPr>
              <w:jc w:val="right"/>
              <w:ind w:right="228"/>
              <w:spacing w:after="0"/>
              <w:rPr>
                <w:sz w:val="20"/>
                <w:szCs w:val="20"/>
                <w:color w:val="auto"/>
              </w:rPr>
            </w:pPr>
            <w:r>
              <w:rPr>
                <w:rFonts w:ascii="Arial" w:cs="Arial" w:eastAsia="Arial" w:hAnsi="Arial"/>
                <w:sz w:val="14"/>
                <w:szCs w:val="14"/>
                <w:color w:val="auto"/>
              </w:rPr>
              <w:t>0</w:t>
            </w:r>
          </w:p>
        </w:tc>
        <w:tc>
          <w:tcPr>
            <w:tcW w:w="720" w:type="dxa"/>
            <w:vAlign w:val="bottom"/>
          </w:tcPr>
          <w:p>
            <w:pPr>
              <w:jc w:val="right"/>
              <w:ind w:right="288"/>
              <w:spacing w:after="0"/>
              <w:rPr>
                <w:sz w:val="20"/>
                <w:szCs w:val="20"/>
                <w:color w:val="auto"/>
              </w:rPr>
            </w:pPr>
            <w:r>
              <w:rPr>
                <w:rFonts w:ascii="Arial" w:cs="Arial" w:eastAsia="Arial" w:hAnsi="Arial"/>
                <w:sz w:val="14"/>
                <w:szCs w:val="14"/>
                <w:color w:val="auto"/>
              </w:rPr>
              <w:t>0</w:t>
            </w:r>
          </w:p>
        </w:tc>
        <w:tc>
          <w:tcPr>
            <w:tcW w:w="580" w:type="dxa"/>
            <w:vAlign w:val="bottom"/>
          </w:tcPr>
          <w:p>
            <w:pPr>
              <w:jc w:val="right"/>
              <w:ind w:right="68"/>
              <w:spacing w:after="0"/>
              <w:rPr>
                <w:sz w:val="20"/>
                <w:szCs w:val="20"/>
                <w:color w:val="auto"/>
              </w:rPr>
            </w:pPr>
            <w:r>
              <w:rPr>
                <w:rFonts w:ascii="Arial" w:cs="Arial" w:eastAsia="Arial" w:hAnsi="Arial"/>
                <w:sz w:val="14"/>
                <w:szCs w:val="14"/>
                <w:color w:val="auto"/>
              </w:rPr>
              <w:t>0</w:t>
            </w:r>
          </w:p>
        </w:tc>
        <w:tc>
          <w:tcPr>
            <w:tcW w:w="1280" w:type="dxa"/>
            <w:vAlign w:val="bottom"/>
          </w:tcPr>
          <w:p>
            <w:pPr>
              <w:jc w:val="right"/>
              <w:spacing w:after="0"/>
              <w:rPr>
                <w:sz w:val="20"/>
                <w:szCs w:val="20"/>
                <w:color w:val="auto"/>
              </w:rPr>
            </w:pPr>
            <w:r>
              <w:rPr>
                <w:rFonts w:ascii="Arial" w:cs="Arial" w:eastAsia="Arial" w:hAnsi="Arial"/>
                <w:sz w:val="14"/>
                <w:szCs w:val="14"/>
                <w:color w:val="auto"/>
              </w:rPr>
              <w:t>798</w:t>
            </w:r>
          </w:p>
        </w:tc>
        <w:tc>
          <w:tcPr>
            <w:tcW w:w="0" w:type="dxa"/>
            <w:vAlign w:val="bottom"/>
          </w:tcPr>
          <w:p>
            <w:pPr>
              <w:spacing w:after="0"/>
              <w:rPr>
                <w:sz w:val="1"/>
                <w:szCs w:val="1"/>
                <w:color w:val="auto"/>
              </w:rPr>
            </w:pPr>
          </w:p>
        </w:tc>
      </w:tr>
      <w:tr>
        <w:trPr>
          <w:trHeight w:val="169"/>
        </w:trPr>
        <w:tc>
          <w:tcPr>
            <w:tcW w:w="1080" w:type="dxa"/>
            <w:vAlign w:val="bottom"/>
          </w:tcPr>
          <w:p>
            <w:pPr>
              <w:spacing w:after="0"/>
              <w:rPr>
                <w:sz w:val="14"/>
                <w:szCs w:val="14"/>
                <w:color w:val="auto"/>
              </w:rPr>
            </w:pPr>
          </w:p>
        </w:tc>
        <w:tc>
          <w:tcPr>
            <w:tcW w:w="1200" w:type="dxa"/>
            <w:vAlign w:val="bottom"/>
          </w:tcPr>
          <w:p>
            <w:pPr>
              <w:ind w:left="120"/>
              <w:spacing w:after="0"/>
              <w:rPr>
                <w:sz w:val="20"/>
                <w:szCs w:val="20"/>
                <w:color w:val="auto"/>
              </w:rPr>
            </w:pPr>
            <w:r>
              <w:rPr>
                <w:rFonts w:ascii="Arial" w:cs="Arial" w:eastAsia="Arial" w:hAnsi="Arial"/>
                <w:sz w:val="14"/>
                <w:szCs w:val="14"/>
                <w:color w:val="auto"/>
                <w:w w:val="99"/>
              </w:rPr>
              <w:t>Euronet Services</w:t>
            </w:r>
          </w:p>
        </w:tc>
        <w:tc>
          <w:tcPr>
            <w:tcW w:w="2100" w:type="dxa"/>
            <w:vAlign w:val="bottom"/>
          </w:tcPr>
          <w:p>
            <w:pPr>
              <w:ind w:left="120"/>
              <w:spacing w:after="0"/>
              <w:rPr>
                <w:sz w:val="20"/>
                <w:szCs w:val="20"/>
                <w:color w:val="auto"/>
              </w:rPr>
            </w:pPr>
            <w:r>
              <w:rPr>
                <w:rFonts w:ascii="Arial" w:cs="Arial" w:eastAsia="Arial" w:hAnsi="Arial"/>
                <w:sz w:val="14"/>
                <w:szCs w:val="14"/>
                <w:color w:val="auto"/>
              </w:rPr>
              <w:t>The Assessing Authority, Sales</w:t>
            </w:r>
          </w:p>
        </w:tc>
        <w:tc>
          <w:tcPr>
            <w:tcW w:w="9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2"/>
        </w:trPr>
        <w:tc>
          <w:tcPr>
            <w:tcW w:w="1080" w:type="dxa"/>
            <w:vAlign w:val="bottom"/>
          </w:tcPr>
          <w:p>
            <w:pPr>
              <w:spacing w:after="0"/>
              <w:rPr>
                <w:sz w:val="20"/>
                <w:szCs w:val="20"/>
                <w:color w:val="auto"/>
              </w:rPr>
            </w:pPr>
            <w:r>
              <w:rPr>
                <w:rFonts w:ascii="Arial" w:cs="Arial" w:eastAsia="Arial" w:hAnsi="Arial"/>
                <w:sz w:val="14"/>
                <w:szCs w:val="14"/>
                <w:color w:val="auto"/>
              </w:rPr>
              <w:t>Bank of America</w:t>
            </w:r>
          </w:p>
        </w:tc>
        <w:tc>
          <w:tcPr>
            <w:tcW w:w="1200" w:type="dxa"/>
            <w:vAlign w:val="bottom"/>
          </w:tcPr>
          <w:p>
            <w:pPr>
              <w:ind w:left="120"/>
              <w:spacing w:after="0"/>
              <w:rPr>
                <w:sz w:val="20"/>
                <w:szCs w:val="20"/>
                <w:color w:val="auto"/>
              </w:rPr>
            </w:pPr>
            <w:r>
              <w:rPr>
                <w:rFonts w:ascii="Arial" w:cs="Arial" w:eastAsia="Arial" w:hAnsi="Arial"/>
                <w:sz w:val="14"/>
                <w:szCs w:val="14"/>
                <w:color w:val="auto"/>
              </w:rPr>
              <w:t>India Pvt. Ltd.</w:t>
            </w:r>
          </w:p>
        </w:tc>
        <w:tc>
          <w:tcPr>
            <w:tcW w:w="2100" w:type="dxa"/>
            <w:vAlign w:val="bottom"/>
          </w:tcPr>
          <w:p>
            <w:pPr>
              <w:ind w:left="120"/>
              <w:spacing w:after="0"/>
              <w:rPr>
                <w:sz w:val="20"/>
                <w:szCs w:val="20"/>
                <w:color w:val="auto"/>
              </w:rPr>
            </w:pPr>
            <w:r>
              <w:rPr>
                <w:rFonts w:ascii="Arial" w:cs="Arial" w:eastAsia="Arial" w:hAnsi="Arial"/>
                <w:sz w:val="14"/>
                <w:szCs w:val="14"/>
                <w:color w:val="auto"/>
              </w:rPr>
              <w:t>Tax Dept - Gurgaon</w:t>
            </w:r>
          </w:p>
        </w:tc>
        <w:tc>
          <w:tcPr>
            <w:tcW w:w="980" w:type="dxa"/>
            <w:vAlign w:val="bottom"/>
          </w:tcPr>
          <w:p>
            <w:pPr>
              <w:jc w:val="center"/>
              <w:spacing w:after="0"/>
              <w:rPr>
                <w:sz w:val="20"/>
                <w:szCs w:val="20"/>
                <w:color w:val="auto"/>
              </w:rPr>
            </w:pPr>
            <w:r>
              <w:rPr>
                <w:rFonts w:ascii="Arial" w:cs="Arial" w:eastAsia="Arial" w:hAnsi="Arial"/>
                <w:sz w:val="14"/>
                <w:szCs w:val="14"/>
                <w:color w:val="auto"/>
                <w:w w:val="93"/>
              </w:rPr>
              <w:t>GT/109350/12</w:t>
            </w:r>
          </w:p>
        </w:tc>
        <w:tc>
          <w:tcPr>
            <w:tcW w:w="1080" w:type="dxa"/>
            <w:vAlign w:val="bottom"/>
          </w:tcPr>
          <w:p>
            <w:pPr>
              <w:jc w:val="center"/>
              <w:spacing w:after="0"/>
              <w:rPr>
                <w:sz w:val="20"/>
                <w:szCs w:val="20"/>
                <w:color w:val="auto"/>
              </w:rPr>
            </w:pPr>
            <w:r>
              <w:rPr>
                <w:rFonts w:ascii="Arial" w:cs="Arial" w:eastAsia="Arial" w:hAnsi="Arial"/>
                <w:sz w:val="14"/>
                <w:szCs w:val="14"/>
                <w:color w:val="auto"/>
                <w:w w:val="95"/>
              </w:rPr>
              <w:t>12/05/14</w:t>
            </w:r>
          </w:p>
        </w:tc>
        <w:tc>
          <w:tcPr>
            <w:tcW w:w="1280" w:type="dxa"/>
            <w:vAlign w:val="bottom"/>
          </w:tcPr>
          <w:p>
            <w:pPr>
              <w:ind w:left="60"/>
              <w:spacing w:after="0"/>
              <w:rPr>
                <w:sz w:val="20"/>
                <w:szCs w:val="20"/>
                <w:color w:val="auto"/>
              </w:rPr>
            </w:pPr>
            <w:r>
              <w:rPr>
                <w:rFonts w:ascii="Arial" w:cs="Arial" w:eastAsia="Arial" w:hAnsi="Arial"/>
                <w:sz w:val="14"/>
                <w:szCs w:val="14"/>
                <w:color w:val="auto"/>
              </w:rPr>
              <w:t>INR 50,000</w:t>
            </w:r>
          </w:p>
        </w:tc>
        <w:tc>
          <w:tcPr>
            <w:tcW w:w="720" w:type="dxa"/>
            <w:vAlign w:val="bottom"/>
          </w:tcPr>
          <w:p>
            <w:pPr>
              <w:jc w:val="right"/>
              <w:ind w:right="228"/>
              <w:spacing w:after="0"/>
              <w:rPr>
                <w:sz w:val="20"/>
                <w:szCs w:val="20"/>
                <w:color w:val="auto"/>
              </w:rPr>
            </w:pPr>
            <w:r>
              <w:rPr>
                <w:rFonts w:ascii="Arial" w:cs="Arial" w:eastAsia="Arial" w:hAnsi="Arial"/>
                <w:sz w:val="14"/>
                <w:szCs w:val="14"/>
                <w:color w:val="auto"/>
              </w:rPr>
              <w:t>0</w:t>
            </w:r>
          </w:p>
        </w:tc>
        <w:tc>
          <w:tcPr>
            <w:tcW w:w="720" w:type="dxa"/>
            <w:vAlign w:val="bottom"/>
          </w:tcPr>
          <w:p>
            <w:pPr>
              <w:jc w:val="right"/>
              <w:ind w:right="288"/>
              <w:spacing w:after="0"/>
              <w:rPr>
                <w:sz w:val="20"/>
                <w:szCs w:val="20"/>
                <w:color w:val="auto"/>
              </w:rPr>
            </w:pPr>
            <w:r>
              <w:rPr>
                <w:rFonts w:ascii="Arial" w:cs="Arial" w:eastAsia="Arial" w:hAnsi="Arial"/>
                <w:sz w:val="14"/>
                <w:szCs w:val="14"/>
                <w:color w:val="auto"/>
              </w:rPr>
              <w:t>0</w:t>
            </w:r>
          </w:p>
        </w:tc>
        <w:tc>
          <w:tcPr>
            <w:tcW w:w="580" w:type="dxa"/>
            <w:vAlign w:val="bottom"/>
          </w:tcPr>
          <w:p>
            <w:pPr>
              <w:jc w:val="right"/>
              <w:ind w:right="68"/>
              <w:spacing w:after="0"/>
              <w:rPr>
                <w:sz w:val="20"/>
                <w:szCs w:val="20"/>
                <w:color w:val="auto"/>
              </w:rPr>
            </w:pPr>
            <w:r>
              <w:rPr>
                <w:rFonts w:ascii="Arial" w:cs="Arial" w:eastAsia="Arial" w:hAnsi="Arial"/>
                <w:sz w:val="14"/>
                <w:szCs w:val="14"/>
                <w:color w:val="auto"/>
              </w:rPr>
              <w:t>0</w:t>
            </w:r>
          </w:p>
        </w:tc>
        <w:tc>
          <w:tcPr>
            <w:tcW w:w="1280" w:type="dxa"/>
            <w:vAlign w:val="bottom"/>
          </w:tcPr>
          <w:p>
            <w:pPr>
              <w:jc w:val="right"/>
              <w:spacing w:after="0"/>
              <w:rPr>
                <w:sz w:val="20"/>
                <w:szCs w:val="20"/>
                <w:color w:val="auto"/>
              </w:rPr>
            </w:pPr>
            <w:r>
              <w:rPr>
                <w:rFonts w:ascii="Arial" w:cs="Arial" w:eastAsia="Arial" w:hAnsi="Arial"/>
                <w:sz w:val="14"/>
                <w:szCs w:val="14"/>
                <w:color w:val="auto"/>
              </w:rPr>
              <w:t>798</w:t>
            </w:r>
          </w:p>
        </w:tc>
        <w:tc>
          <w:tcPr>
            <w:tcW w:w="0" w:type="dxa"/>
            <w:vAlign w:val="bottom"/>
          </w:tcPr>
          <w:p>
            <w:pPr>
              <w:spacing w:after="0"/>
              <w:rPr>
                <w:sz w:val="1"/>
                <w:szCs w:val="1"/>
                <w:color w:val="auto"/>
              </w:rPr>
            </w:pPr>
          </w:p>
        </w:tc>
      </w:tr>
      <w:tr>
        <w:trPr>
          <w:trHeight w:val="169"/>
        </w:trPr>
        <w:tc>
          <w:tcPr>
            <w:tcW w:w="1080" w:type="dxa"/>
            <w:vAlign w:val="bottom"/>
          </w:tcPr>
          <w:p>
            <w:pPr>
              <w:spacing w:after="0"/>
              <w:rPr>
                <w:sz w:val="14"/>
                <w:szCs w:val="14"/>
                <w:color w:val="auto"/>
              </w:rPr>
            </w:pPr>
          </w:p>
        </w:tc>
        <w:tc>
          <w:tcPr>
            <w:tcW w:w="1200" w:type="dxa"/>
            <w:vAlign w:val="bottom"/>
          </w:tcPr>
          <w:p>
            <w:pPr>
              <w:ind w:left="120"/>
              <w:spacing w:after="0"/>
              <w:rPr>
                <w:sz w:val="20"/>
                <w:szCs w:val="20"/>
                <w:color w:val="auto"/>
              </w:rPr>
            </w:pPr>
            <w:r>
              <w:rPr>
                <w:rFonts w:ascii="Arial" w:cs="Arial" w:eastAsia="Arial" w:hAnsi="Arial"/>
                <w:sz w:val="14"/>
                <w:szCs w:val="14"/>
                <w:color w:val="auto"/>
                <w:w w:val="99"/>
              </w:rPr>
              <w:t>Euronet Services</w:t>
            </w:r>
          </w:p>
        </w:tc>
        <w:tc>
          <w:tcPr>
            <w:tcW w:w="2100" w:type="dxa"/>
            <w:vAlign w:val="bottom"/>
          </w:tcPr>
          <w:p>
            <w:pPr>
              <w:ind w:left="120"/>
              <w:spacing w:after="0"/>
              <w:rPr>
                <w:sz w:val="20"/>
                <w:szCs w:val="20"/>
                <w:color w:val="auto"/>
              </w:rPr>
            </w:pPr>
            <w:r>
              <w:rPr>
                <w:rFonts w:ascii="Arial" w:cs="Arial" w:eastAsia="Arial" w:hAnsi="Arial"/>
                <w:sz w:val="14"/>
                <w:szCs w:val="14"/>
                <w:color w:val="auto"/>
              </w:rPr>
              <w:t>Wipro Airport IT Services</w:t>
            </w:r>
          </w:p>
        </w:tc>
        <w:tc>
          <w:tcPr>
            <w:tcW w:w="9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2"/>
        </w:trPr>
        <w:tc>
          <w:tcPr>
            <w:tcW w:w="1080" w:type="dxa"/>
            <w:vAlign w:val="bottom"/>
          </w:tcPr>
          <w:p>
            <w:pPr>
              <w:spacing w:after="0"/>
              <w:rPr>
                <w:sz w:val="20"/>
                <w:szCs w:val="20"/>
                <w:color w:val="auto"/>
              </w:rPr>
            </w:pPr>
            <w:r>
              <w:rPr>
                <w:rFonts w:ascii="Arial" w:cs="Arial" w:eastAsia="Arial" w:hAnsi="Arial"/>
                <w:sz w:val="14"/>
                <w:szCs w:val="14"/>
                <w:color w:val="auto"/>
              </w:rPr>
              <w:t>Bank of America</w:t>
            </w:r>
          </w:p>
        </w:tc>
        <w:tc>
          <w:tcPr>
            <w:tcW w:w="1200" w:type="dxa"/>
            <w:vAlign w:val="bottom"/>
          </w:tcPr>
          <w:p>
            <w:pPr>
              <w:ind w:left="120"/>
              <w:spacing w:after="0"/>
              <w:rPr>
                <w:sz w:val="20"/>
                <w:szCs w:val="20"/>
                <w:color w:val="auto"/>
              </w:rPr>
            </w:pPr>
            <w:r>
              <w:rPr>
                <w:rFonts w:ascii="Arial" w:cs="Arial" w:eastAsia="Arial" w:hAnsi="Arial"/>
                <w:sz w:val="14"/>
                <w:szCs w:val="14"/>
                <w:color w:val="auto"/>
              </w:rPr>
              <w:t>India Pvt. Ltd.</w:t>
            </w:r>
          </w:p>
        </w:tc>
        <w:tc>
          <w:tcPr>
            <w:tcW w:w="2100" w:type="dxa"/>
            <w:vAlign w:val="bottom"/>
          </w:tcPr>
          <w:p>
            <w:pPr>
              <w:ind w:left="120"/>
              <w:spacing w:after="0"/>
              <w:rPr>
                <w:sz w:val="20"/>
                <w:szCs w:val="20"/>
                <w:color w:val="auto"/>
              </w:rPr>
            </w:pPr>
            <w:r>
              <w:rPr>
                <w:rFonts w:ascii="Arial" w:cs="Arial" w:eastAsia="Arial" w:hAnsi="Arial"/>
                <w:sz w:val="14"/>
                <w:szCs w:val="14"/>
                <w:color w:val="auto"/>
              </w:rPr>
              <w:t>Limited</w:t>
            </w:r>
          </w:p>
        </w:tc>
        <w:tc>
          <w:tcPr>
            <w:tcW w:w="980" w:type="dxa"/>
            <w:vAlign w:val="bottom"/>
          </w:tcPr>
          <w:p>
            <w:pPr>
              <w:jc w:val="center"/>
              <w:spacing w:after="0"/>
              <w:rPr>
                <w:sz w:val="20"/>
                <w:szCs w:val="20"/>
                <w:color w:val="auto"/>
              </w:rPr>
            </w:pPr>
            <w:r>
              <w:rPr>
                <w:rFonts w:ascii="Arial" w:cs="Arial" w:eastAsia="Arial" w:hAnsi="Arial"/>
                <w:sz w:val="14"/>
                <w:szCs w:val="14"/>
                <w:color w:val="auto"/>
                <w:w w:val="93"/>
              </w:rPr>
              <w:t>GT/108071/12</w:t>
            </w:r>
          </w:p>
        </w:tc>
        <w:tc>
          <w:tcPr>
            <w:tcW w:w="1080" w:type="dxa"/>
            <w:vAlign w:val="bottom"/>
          </w:tcPr>
          <w:p>
            <w:pPr>
              <w:jc w:val="center"/>
              <w:spacing w:after="0"/>
              <w:rPr>
                <w:sz w:val="20"/>
                <w:szCs w:val="20"/>
                <w:color w:val="auto"/>
              </w:rPr>
            </w:pPr>
            <w:r>
              <w:rPr>
                <w:rFonts w:ascii="Arial" w:cs="Arial" w:eastAsia="Arial" w:hAnsi="Arial"/>
                <w:sz w:val="14"/>
                <w:szCs w:val="14"/>
                <w:color w:val="auto"/>
                <w:w w:val="95"/>
              </w:rPr>
              <w:t>04/04/14</w:t>
            </w:r>
          </w:p>
        </w:tc>
        <w:tc>
          <w:tcPr>
            <w:tcW w:w="1280" w:type="dxa"/>
            <w:vAlign w:val="bottom"/>
          </w:tcPr>
          <w:p>
            <w:pPr>
              <w:ind w:left="60"/>
              <w:spacing w:after="0"/>
              <w:rPr>
                <w:sz w:val="20"/>
                <w:szCs w:val="20"/>
                <w:color w:val="auto"/>
              </w:rPr>
            </w:pPr>
            <w:r>
              <w:rPr>
                <w:rFonts w:ascii="Arial" w:cs="Arial" w:eastAsia="Arial" w:hAnsi="Arial"/>
                <w:sz w:val="14"/>
                <w:szCs w:val="14"/>
                <w:color w:val="auto"/>
              </w:rPr>
              <w:t>INR 41,700</w:t>
            </w:r>
          </w:p>
        </w:tc>
        <w:tc>
          <w:tcPr>
            <w:tcW w:w="720" w:type="dxa"/>
            <w:vAlign w:val="bottom"/>
          </w:tcPr>
          <w:p>
            <w:pPr>
              <w:jc w:val="right"/>
              <w:ind w:right="228"/>
              <w:spacing w:after="0"/>
              <w:rPr>
                <w:sz w:val="20"/>
                <w:szCs w:val="20"/>
                <w:color w:val="auto"/>
              </w:rPr>
            </w:pPr>
            <w:r>
              <w:rPr>
                <w:rFonts w:ascii="Arial" w:cs="Arial" w:eastAsia="Arial" w:hAnsi="Arial"/>
                <w:sz w:val="14"/>
                <w:szCs w:val="14"/>
                <w:color w:val="auto"/>
              </w:rPr>
              <w:t>0</w:t>
            </w:r>
          </w:p>
        </w:tc>
        <w:tc>
          <w:tcPr>
            <w:tcW w:w="720" w:type="dxa"/>
            <w:vAlign w:val="bottom"/>
          </w:tcPr>
          <w:p>
            <w:pPr>
              <w:jc w:val="right"/>
              <w:ind w:right="288"/>
              <w:spacing w:after="0"/>
              <w:rPr>
                <w:sz w:val="20"/>
                <w:szCs w:val="20"/>
                <w:color w:val="auto"/>
              </w:rPr>
            </w:pPr>
            <w:r>
              <w:rPr>
                <w:rFonts w:ascii="Arial" w:cs="Arial" w:eastAsia="Arial" w:hAnsi="Arial"/>
                <w:sz w:val="14"/>
                <w:szCs w:val="14"/>
                <w:color w:val="auto"/>
              </w:rPr>
              <w:t>0</w:t>
            </w:r>
          </w:p>
        </w:tc>
        <w:tc>
          <w:tcPr>
            <w:tcW w:w="580" w:type="dxa"/>
            <w:vAlign w:val="bottom"/>
          </w:tcPr>
          <w:p>
            <w:pPr>
              <w:jc w:val="right"/>
              <w:ind w:right="68"/>
              <w:spacing w:after="0"/>
              <w:rPr>
                <w:sz w:val="20"/>
                <w:szCs w:val="20"/>
                <w:color w:val="auto"/>
              </w:rPr>
            </w:pPr>
            <w:r>
              <w:rPr>
                <w:rFonts w:ascii="Arial" w:cs="Arial" w:eastAsia="Arial" w:hAnsi="Arial"/>
                <w:sz w:val="14"/>
                <w:szCs w:val="14"/>
                <w:color w:val="auto"/>
              </w:rPr>
              <w:t>0</w:t>
            </w:r>
          </w:p>
        </w:tc>
        <w:tc>
          <w:tcPr>
            <w:tcW w:w="1280" w:type="dxa"/>
            <w:vAlign w:val="bottom"/>
          </w:tcPr>
          <w:p>
            <w:pPr>
              <w:jc w:val="right"/>
              <w:spacing w:after="0"/>
              <w:rPr>
                <w:sz w:val="20"/>
                <w:szCs w:val="20"/>
                <w:color w:val="auto"/>
              </w:rPr>
            </w:pPr>
            <w:r>
              <w:rPr>
                <w:rFonts w:ascii="Arial" w:cs="Arial" w:eastAsia="Arial" w:hAnsi="Arial"/>
                <w:sz w:val="14"/>
                <w:szCs w:val="14"/>
                <w:color w:val="auto"/>
              </w:rPr>
              <w:t>665</w:t>
            </w:r>
          </w:p>
        </w:tc>
        <w:tc>
          <w:tcPr>
            <w:tcW w:w="0" w:type="dxa"/>
            <w:vAlign w:val="bottom"/>
          </w:tcPr>
          <w:p>
            <w:pPr>
              <w:spacing w:after="0"/>
              <w:rPr>
                <w:sz w:val="1"/>
                <w:szCs w:val="1"/>
                <w:color w:val="auto"/>
              </w:rPr>
            </w:pPr>
          </w:p>
        </w:tc>
      </w:tr>
      <w:tr>
        <w:trPr>
          <w:trHeight w:val="169"/>
        </w:trPr>
        <w:tc>
          <w:tcPr>
            <w:tcW w:w="1080" w:type="dxa"/>
            <w:vAlign w:val="bottom"/>
          </w:tcPr>
          <w:p>
            <w:pPr>
              <w:spacing w:after="0"/>
              <w:rPr>
                <w:sz w:val="14"/>
                <w:szCs w:val="14"/>
                <w:color w:val="auto"/>
              </w:rPr>
            </w:pPr>
          </w:p>
        </w:tc>
        <w:tc>
          <w:tcPr>
            <w:tcW w:w="1200" w:type="dxa"/>
            <w:vAlign w:val="bottom"/>
          </w:tcPr>
          <w:p>
            <w:pPr>
              <w:ind w:left="120"/>
              <w:spacing w:after="0"/>
              <w:rPr>
                <w:sz w:val="20"/>
                <w:szCs w:val="20"/>
                <w:color w:val="auto"/>
              </w:rPr>
            </w:pPr>
            <w:r>
              <w:rPr>
                <w:rFonts w:ascii="Arial" w:cs="Arial" w:eastAsia="Arial" w:hAnsi="Arial"/>
                <w:sz w:val="14"/>
                <w:szCs w:val="14"/>
                <w:color w:val="auto"/>
                <w:w w:val="99"/>
              </w:rPr>
              <w:t>Euronet Services</w:t>
            </w:r>
          </w:p>
        </w:tc>
        <w:tc>
          <w:tcPr>
            <w:tcW w:w="21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2"/>
        </w:trPr>
        <w:tc>
          <w:tcPr>
            <w:tcW w:w="1080" w:type="dxa"/>
            <w:vAlign w:val="bottom"/>
          </w:tcPr>
          <w:p>
            <w:pPr>
              <w:spacing w:after="0"/>
              <w:rPr>
                <w:sz w:val="20"/>
                <w:szCs w:val="20"/>
                <w:color w:val="auto"/>
              </w:rPr>
            </w:pPr>
            <w:r>
              <w:rPr>
                <w:rFonts w:ascii="Arial" w:cs="Arial" w:eastAsia="Arial" w:hAnsi="Arial"/>
                <w:sz w:val="14"/>
                <w:szCs w:val="14"/>
                <w:color w:val="auto"/>
              </w:rPr>
              <w:t>Bank of America</w:t>
            </w:r>
          </w:p>
        </w:tc>
        <w:tc>
          <w:tcPr>
            <w:tcW w:w="1200" w:type="dxa"/>
            <w:vAlign w:val="bottom"/>
          </w:tcPr>
          <w:p>
            <w:pPr>
              <w:ind w:left="120"/>
              <w:spacing w:after="0"/>
              <w:rPr>
                <w:sz w:val="20"/>
                <w:szCs w:val="20"/>
                <w:color w:val="auto"/>
              </w:rPr>
            </w:pPr>
            <w:r>
              <w:rPr>
                <w:rFonts w:ascii="Arial" w:cs="Arial" w:eastAsia="Arial" w:hAnsi="Arial"/>
                <w:sz w:val="14"/>
                <w:szCs w:val="14"/>
                <w:color w:val="auto"/>
              </w:rPr>
              <w:t>India Pvt. Ltd.</w:t>
            </w:r>
          </w:p>
        </w:tc>
        <w:tc>
          <w:tcPr>
            <w:tcW w:w="2100" w:type="dxa"/>
            <w:vAlign w:val="bottom"/>
          </w:tcPr>
          <w:p>
            <w:pPr>
              <w:ind w:left="120"/>
              <w:spacing w:after="0"/>
              <w:rPr>
                <w:sz w:val="20"/>
                <w:szCs w:val="20"/>
                <w:color w:val="auto"/>
              </w:rPr>
            </w:pPr>
            <w:r>
              <w:rPr>
                <w:rFonts w:ascii="Arial" w:cs="Arial" w:eastAsia="Arial" w:hAnsi="Arial"/>
                <w:sz w:val="14"/>
                <w:szCs w:val="14"/>
                <w:color w:val="auto"/>
              </w:rPr>
              <w:t>BSNL Punjab</w:t>
            </w:r>
          </w:p>
        </w:tc>
        <w:tc>
          <w:tcPr>
            <w:tcW w:w="980" w:type="dxa"/>
            <w:vAlign w:val="bottom"/>
          </w:tcPr>
          <w:p>
            <w:pPr>
              <w:jc w:val="center"/>
              <w:spacing w:after="0"/>
              <w:rPr>
                <w:sz w:val="20"/>
                <w:szCs w:val="20"/>
                <w:color w:val="auto"/>
              </w:rPr>
            </w:pPr>
            <w:r>
              <w:rPr>
                <w:rFonts w:ascii="Arial" w:cs="Arial" w:eastAsia="Arial" w:hAnsi="Arial"/>
                <w:sz w:val="14"/>
                <w:szCs w:val="14"/>
                <w:color w:val="auto"/>
                <w:w w:val="93"/>
              </w:rPr>
              <w:t>GT/109603/13</w:t>
            </w:r>
          </w:p>
        </w:tc>
        <w:tc>
          <w:tcPr>
            <w:tcW w:w="1080" w:type="dxa"/>
            <w:vAlign w:val="bottom"/>
          </w:tcPr>
          <w:p>
            <w:pPr>
              <w:jc w:val="center"/>
              <w:spacing w:after="0"/>
              <w:rPr>
                <w:sz w:val="20"/>
                <w:szCs w:val="20"/>
                <w:color w:val="auto"/>
              </w:rPr>
            </w:pPr>
            <w:r>
              <w:rPr>
                <w:rFonts w:ascii="Arial" w:cs="Arial" w:eastAsia="Arial" w:hAnsi="Arial"/>
                <w:sz w:val="14"/>
                <w:szCs w:val="14"/>
                <w:color w:val="auto"/>
                <w:w w:val="95"/>
              </w:rPr>
              <w:t>04/30/16</w:t>
            </w:r>
          </w:p>
        </w:tc>
        <w:tc>
          <w:tcPr>
            <w:tcW w:w="1280" w:type="dxa"/>
            <w:vAlign w:val="bottom"/>
          </w:tcPr>
          <w:p>
            <w:pPr>
              <w:ind w:left="60"/>
              <w:spacing w:after="0"/>
              <w:rPr>
                <w:sz w:val="20"/>
                <w:szCs w:val="20"/>
                <w:color w:val="auto"/>
              </w:rPr>
            </w:pPr>
            <w:r>
              <w:rPr>
                <w:rFonts w:ascii="Arial" w:cs="Arial" w:eastAsia="Arial" w:hAnsi="Arial"/>
                <w:sz w:val="14"/>
                <w:szCs w:val="14"/>
                <w:color w:val="auto"/>
              </w:rPr>
              <w:t>INR 100,000</w:t>
            </w:r>
          </w:p>
        </w:tc>
        <w:tc>
          <w:tcPr>
            <w:tcW w:w="720" w:type="dxa"/>
            <w:vAlign w:val="bottom"/>
          </w:tcPr>
          <w:p>
            <w:pPr>
              <w:jc w:val="right"/>
              <w:ind w:right="228"/>
              <w:spacing w:after="0"/>
              <w:rPr>
                <w:sz w:val="20"/>
                <w:szCs w:val="20"/>
                <w:color w:val="auto"/>
              </w:rPr>
            </w:pPr>
            <w:r>
              <w:rPr>
                <w:rFonts w:ascii="Arial" w:cs="Arial" w:eastAsia="Arial" w:hAnsi="Arial"/>
                <w:sz w:val="14"/>
                <w:szCs w:val="14"/>
                <w:color w:val="auto"/>
              </w:rPr>
              <w:t>0</w:t>
            </w:r>
          </w:p>
        </w:tc>
        <w:tc>
          <w:tcPr>
            <w:tcW w:w="720" w:type="dxa"/>
            <w:vAlign w:val="bottom"/>
          </w:tcPr>
          <w:p>
            <w:pPr>
              <w:jc w:val="right"/>
              <w:ind w:right="288"/>
              <w:spacing w:after="0"/>
              <w:rPr>
                <w:sz w:val="20"/>
                <w:szCs w:val="20"/>
                <w:color w:val="auto"/>
              </w:rPr>
            </w:pPr>
            <w:r>
              <w:rPr>
                <w:rFonts w:ascii="Arial" w:cs="Arial" w:eastAsia="Arial" w:hAnsi="Arial"/>
                <w:sz w:val="14"/>
                <w:szCs w:val="14"/>
                <w:color w:val="auto"/>
              </w:rPr>
              <w:t>0</w:t>
            </w:r>
          </w:p>
        </w:tc>
        <w:tc>
          <w:tcPr>
            <w:tcW w:w="580" w:type="dxa"/>
            <w:vAlign w:val="bottom"/>
          </w:tcPr>
          <w:p>
            <w:pPr>
              <w:jc w:val="right"/>
              <w:ind w:right="68"/>
              <w:spacing w:after="0"/>
              <w:rPr>
                <w:sz w:val="20"/>
                <w:szCs w:val="20"/>
                <w:color w:val="auto"/>
              </w:rPr>
            </w:pPr>
            <w:r>
              <w:rPr>
                <w:rFonts w:ascii="Arial" w:cs="Arial" w:eastAsia="Arial" w:hAnsi="Arial"/>
                <w:sz w:val="14"/>
                <w:szCs w:val="14"/>
                <w:color w:val="auto"/>
              </w:rPr>
              <w:t>0</w:t>
            </w:r>
          </w:p>
        </w:tc>
        <w:tc>
          <w:tcPr>
            <w:tcW w:w="1280" w:type="dxa"/>
            <w:vAlign w:val="bottom"/>
          </w:tcPr>
          <w:p>
            <w:pPr>
              <w:jc w:val="right"/>
              <w:spacing w:after="0"/>
              <w:rPr>
                <w:sz w:val="20"/>
                <w:szCs w:val="20"/>
                <w:color w:val="auto"/>
              </w:rPr>
            </w:pPr>
            <w:r>
              <w:rPr>
                <w:rFonts w:ascii="Arial" w:cs="Arial" w:eastAsia="Arial" w:hAnsi="Arial"/>
                <w:sz w:val="14"/>
                <w:szCs w:val="14"/>
                <w:color w:val="auto"/>
              </w:rPr>
              <w:t>1,595</w:t>
            </w:r>
          </w:p>
        </w:tc>
        <w:tc>
          <w:tcPr>
            <w:tcW w:w="0" w:type="dxa"/>
            <w:vAlign w:val="bottom"/>
          </w:tcPr>
          <w:p>
            <w:pPr>
              <w:spacing w:after="0"/>
              <w:rPr>
                <w:sz w:val="1"/>
                <w:szCs w:val="1"/>
                <w:color w:val="auto"/>
              </w:rPr>
            </w:pPr>
          </w:p>
        </w:tc>
      </w:tr>
      <w:tr>
        <w:trPr>
          <w:trHeight w:val="169"/>
        </w:trPr>
        <w:tc>
          <w:tcPr>
            <w:tcW w:w="1080" w:type="dxa"/>
            <w:vAlign w:val="bottom"/>
          </w:tcPr>
          <w:p>
            <w:pPr>
              <w:spacing w:after="0"/>
              <w:rPr>
                <w:sz w:val="14"/>
                <w:szCs w:val="14"/>
                <w:color w:val="auto"/>
              </w:rPr>
            </w:pPr>
          </w:p>
        </w:tc>
        <w:tc>
          <w:tcPr>
            <w:tcW w:w="1200" w:type="dxa"/>
            <w:vAlign w:val="bottom"/>
          </w:tcPr>
          <w:p>
            <w:pPr>
              <w:ind w:left="120"/>
              <w:spacing w:after="0"/>
              <w:rPr>
                <w:sz w:val="20"/>
                <w:szCs w:val="20"/>
                <w:color w:val="auto"/>
              </w:rPr>
            </w:pPr>
            <w:r>
              <w:rPr>
                <w:rFonts w:ascii="Arial" w:cs="Arial" w:eastAsia="Arial" w:hAnsi="Arial"/>
                <w:sz w:val="14"/>
                <w:szCs w:val="14"/>
                <w:color w:val="auto"/>
                <w:w w:val="99"/>
              </w:rPr>
              <w:t>Euronet Services</w:t>
            </w:r>
          </w:p>
        </w:tc>
        <w:tc>
          <w:tcPr>
            <w:tcW w:w="21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2"/>
        </w:trPr>
        <w:tc>
          <w:tcPr>
            <w:tcW w:w="1080" w:type="dxa"/>
            <w:vAlign w:val="bottom"/>
          </w:tcPr>
          <w:p>
            <w:pPr>
              <w:spacing w:after="0"/>
              <w:rPr>
                <w:sz w:val="20"/>
                <w:szCs w:val="20"/>
                <w:color w:val="auto"/>
              </w:rPr>
            </w:pPr>
            <w:r>
              <w:rPr>
                <w:rFonts w:ascii="Arial" w:cs="Arial" w:eastAsia="Arial" w:hAnsi="Arial"/>
                <w:sz w:val="14"/>
                <w:szCs w:val="14"/>
                <w:color w:val="auto"/>
              </w:rPr>
              <w:t>Bank of America</w:t>
            </w:r>
          </w:p>
        </w:tc>
        <w:tc>
          <w:tcPr>
            <w:tcW w:w="1200" w:type="dxa"/>
            <w:vAlign w:val="bottom"/>
          </w:tcPr>
          <w:p>
            <w:pPr>
              <w:ind w:left="120"/>
              <w:spacing w:after="0"/>
              <w:rPr>
                <w:sz w:val="20"/>
                <w:szCs w:val="20"/>
                <w:color w:val="auto"/>
              </w:rPr>
            </w:pPr>
            <w:r>
              <w:rPr>
                <w:rFonts w:ascii="Arial" w:cs="Arial" w:eastAsia="Arial" w:hAnsi="Arial"/>
                <w:sz w:val="14"/>
                <w:szCs w:val="14"/>
                <w:color w:val="auto"/>
              </w:rPr>
              <w:t>India Pvt. Ltd.</w:t>
            </w:r>
          </w:p>
        </w:tc>
        <w:tc>
          <w:tcPr>
            <w:tcW w:w="2100" w:type="dxa"/>
            <w:vAlign w:val="bottom"/>
          </w:tcPr>
          <w:p>
            <w:pPr>
              <w:ind w:left="120"/>
              <w:spacing w:after="0"/>
              <w:rPr>
                <w:sz w:val="20"/>
                <w:szCs w:val="20"/>
                <w:color w:val="auto"/>
              </w:rPr>
            </w:pPr>
            <w:r>
              <w:rPr>
                <w:rFonts w:ascii="Arial" w:cs="Arial" w:eastAsia="Arial" w:hAnsi="Arial"/>
                <w:sz w:val="14"/>
                <w:szCs w:val="14"/>
                <w:color w:val="auto"/>
              </w:rPr>
              <w:t>BSNL Madhya Pradesh</w:t>
            </w:r>
          </w:p>
        </w:tc>
        <w:tc>
          <w:tcPr>
            <w:tcW w:w="980" w:type="dxa"/>
            <w:vAlign w:val="bottom"/>
          </w:tcPr>
          <w:p>
            <w:pPr>
              <w:jc w:val="center"/>
              <w:spacing w:after="0"/>
              <w:rPr>
                <w:sz w:val="20"/>
                <w:szCs w:val="20"/>
                <w:color w:val="auto"/>
              </w:rPr>
            </w:pPr>
            <w:r>
              <w:rPr>
                <w:rFonts w:ascii="Arial" w:cs="Arial" w:eastAsia="Arial" w:hAnsi="Arial"/>
                <w:sz w:val="14"/>
                <w:szCs w:val="14"/>
                <w:color w:val="auto"/>
                <w:w w:val="93"/>
              </w:rPr>
              <w:t>GT/109604/13</w:t>
            </w:r>
          </w:p>
        </w:tc>
        <w:tc>
          <w:tcPr>
            <w:tcW w:w="1080" w:type="dxa"/>
            <w:vAlign w:val="bottom"/>
          </w:tcPr>
          <w:p>
            <w:pPr>
              <w:jc w:val="center"/>
              <w:spacing w:after="0"/>
              <w:rPr>
                <w:sz w:val="20"/>
                <w:szCs w:val="20"/>
                <w:color w:val="auto"/>
              </w:rPr>
            </w:pPr>
            <w:r>
              <w:rPr>
                <w:rFonts w:ascii="Arial" w:cs="Arial" w:eastAsia="Arial" w:hAnsi="Arial"/>
                <w:sz w:val="14"/>
                <w:szCs w:val="14"/>
                <w:color w:val="auto"/>
                <w:w w:val="95"/>
              </w:rPr>
              <w:t>12/31/16</w:t>
            </w:r>
          </w:p>
        </w:tc>
        <w:tc>
          <w:tcPr>
            <w:tcW w:w="1280" w:type="dxa"/>
            <w:vAlign w:val="bottom"/>
          </w:tcPr>
          <w:p>
            <w:pPr>
              <w:ind w:left="60"/>
              <w:spacing w:after="0"/>
              <w:rPr>
                <w:sz w:val="20"/>
                <w:szCs w:val="20"/>
                <w:color w:val="auto"/>
              </w:rPr>
            </w:pPr>
            <w:r>
              <w:rPr>
                <w:rFonts w:ascii="Arial" w:cs="Arial" w:eastAsia="Arial" w:hAnsi="Arial"/>
                <w:sz w:val="14"/>
                <w:szCs w:val="14"/>
                <w:color w:val="auto"/>
              </w:rPr>
              <w:t>INR 100,000</w:t>
            </w:r>
          </w:p>
        </w:tc>
        <w:tc>
          <w:tcPr>
            <w:tcW w:w="720" w:type="dxa"/>
            <w:vAlign w:val="bottom"/>
          </w:tcPr>
          <w:p>
            <w:pPr>
              <w:jc w:val="right"/>
              <w:ind w:right="228"/>
              <w:spacing w:after="0"/>
              <w:rPr>
                <w:sz w:val="20"/>
                <w:szCs w:val="20"/>
                <w:color w:val="auto"/>
              </w:rPr>
            </w:pPr>
            <w:r>
              <w:rPr>
                <w:rFonts w:ascii="Arial" w:cs="Arial" w:eastAsia="Arial" w:hAnsi="Arial"/>
                <w:sz w:val="14"/>
                <w:szCs w:val="14"/>
                <w:color w:val="auto"/>
              </w:rPr>
              <w:t>0</w:t>
            </w:r>
          </w:p>
        </w:tc>
        <w:tc>
          <w:tcPr>
            <w:tcW w:w="720" w:type="dxa"/>
            <w:vAlign w:val="bottom"/>
          </w:tcPr>
          <w:p>
            <w:pPr>
              <w:jc w:val="right"/>
              <w:ind w:right="288"/>
              <w:spacing w:after="0"/>
              <w:rPr>
                <w:sz w:val="20"/>
                <w:szCs w:val="20"/>
                <w:color w:val="auto"/>
              </w:rPr>
            </w:pPr>
            <w:r>
              <w:rPr>
                <w:rFonts w:ascii="Arial" w:cs="Arial" w:eastAsia="Arial" w:hAnsi="Arial"/>
                <w:sz w:val="14"/>
                <w:szCs w:val="14"/>
                <w:color w:val="auto"/>
              </w:rPr>
              <w:t>0</w:t>
            </w:r>
          </w:p>
        </w:tc>
        <w:tc>
          <w:tcPr>
            <w:tcW w:w="580" w:type="dxa"/>
            <w:vAlign w:val="bottom"/>
          </w:tcPr>
          <w:p>
            <w:pPr>
              <w:jc w:val="right"/>
              <w:ind w:right="68"/>
              <w:spacing w:after="0"/>
              <w:rPr>
                <w:sz w:val="20"/>
                <w:szCs w:val="20"/>
                <w:color w:val="auto"/>
              </w:rPr>
            </w:pPr>
            <w:r>
              <w:rPr>
                <w:rFonts w:ascii="Arial" w:cs="Arial" w:eastAsia="Arial" w:hAnsi="Arial"/>
                <w:sz w:val="14"/>
                <w:szCs w:val="14"/>
                <w:color w:val="auto"/>
              </w:rPr>
              <w:t>0</w:t>
            </w:r>
          </w:p>
        </w:tc>
        <w:tc>
          <w:tcPr>
            <w:tcW w:w="1280" w:type="dxa"/>
            <w:vAlign w:val="bottom"/>
          </w:tcPr>
          <w:p>
            <w:pPr>
              <w:jc w:val="right"/>
              <w:spacing w:after="0"/>
              <w:rPr>
                <w:sz w:val="20"/>
                <w:szCs w:val="20"/>
                <w:color w:val="auto"/>
              </w:rPr>
            </w:pPr>
            <w:r>
              <w:rPr>
                <w:rFonts w:ascii="Arial" w:cs="Arial" w:eastAsia="Arial" w:hAnsi="Arial"/>
                <w:sz w:val="14"/>
                <w:szCs w:val="14"/>
                <w:color w:val="auto"/>
              </w:rPr>
              <w:t>1,595</w:t>
            </w:r>
          </w:p>
        </w:tc>
        <w:tc>
          <w:tcPr>
            <w:tcW w:w="0" w:type="dxa"/>
            <w:vAlign w:val="bottom"/>
          </w:tcPr>
          <w:p>
            <w:pPr>
              <w:spacing w:after="0"/>
              <w:rPr>
                <w:sz w:val="1"/>
                <w:szCs w:val="1"/>
                <w:color w:val="auto"/>
              </w:rPr>
            </w:pPr>
          </w:p>
        </w:tc>
      </w:tr>
      <w:tr>
        <w:trPr>
          <w:trHeight w:val="169"/>
        </w:trPr>
        <w:tc>
          <w:tcPr>
            <w:tcW w:w="1080" w:type="dxa"/>
            <w:vAlign w:val="bottom"/>
          </w:tcPr>
          <w:p>
            <w:pPr>
              <w:spacing w:after="0"/>
              <w:rPr>
                <w:sz w:val="14"/>
                <w:szCs w:val="14"/>
                <w:color w:val="auto"/>
              </w:rPr>
            </w:pPr>
          </w:p>
        </w:tc>
        <w:tc>
          <w:tcPr>
            <w:tcW w:w="1200" w:type="dxa"/>
            <w:vAlign w:val="bottom"/>
          </w:tcPr>
          <w:p>
            <w:pPr>
              <w:ind w:left="120"/>
              <w:spacing w:after="0"/>
              <w:rPr>
                <w:sz w:val="20"/>
                <w:szCs w:val="20"/>
                <w:color w:val="auto"/>
              </w:rPr>
            </w:pPr>
            <w:r>
              <w:rPr>
                <w:rFonts w:ascii="Arial" w:cs="Arial" w:eastAsia="Arial" w:hAnsi="Arial"/>
                <w:sz w:val="14"/>
                <w:szCs w:val="14"/>
                <w:color w:val="auto"/>
                <w:w w:val="99"/>
              </w:rPr>
              <w:t>Euronet Services</w:t>
            </w:r>
          </w:p>
        </w:tc>
        <w:tc>
          <w:tcPr>
            <w:tcW w:w="21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2"/>
        </w:trPr>
        <w:tc>
          <w:tcPr>
            <w:tcW w:w="1080" w:type="dxa"/>
            <w:vAlign w:val="bottom"/>
          </w:tcPr>
          <w:p>
            <w:pPr>
              <w:spacing w:after="0"/>
              <w:rPr>
                <w:sz w:val="20"/>
                <w:szCs w:val="20"/>
                <w:color w:val="auto"/>
              </w:rPr>
            </w:pPr>
            <w:r>
              <w:rPr>
                <w:rFonts w:ascii="Arial" w:cs="Arial" w:eastAsia="Arial" w:hAnsi="Arial"/>
                <w:sz w:val="14"/>
                <w:szCs w:val="14"/>
                <w:color w:val="auto"/>
              </w:rPr>
              <w:t>Bank of America</w:t>
            </w:r>
          </w:p>
        </w:tc>
        <w:tc>
          <w:tcPr>
            <w:tcW w:w="1200" w:type="dxa"/>
            <w:vAlign w:val="bottom"/>
          </w:tcPr>
          <w:p>
            <w:pPr>
              <w:ind w:left="120"/>
              <w:spacing w:after="0"/>
              <w:rPr>
                <w:sz w:val="20"/>
                <w:szCs w:val="20"/>
                <w:color w:val="auto"/>
              </w:rPr>
            </w:pPr>
            <w:r>
              <w:rPr>
                <w:rFonts w:ascii="Arial" w:cs="Arial" w:eastAsia="Arial" w:hAnsi="Arial"/>
                <w:sz w:val="14"/>
                <w:szCs w:val="14"/>
                <w:color w:val="auto"/>
              </w:rPr>
              <w:t>India Pvt. Ltd.</w:t>
            </w:r>
          </w:p>
        </w:tc>
        <w:tc>
          <w:tcPr>
            <w:tcW w:w="2100" w:type="dxa"/>
            <w:vAlign w:val="bottom"/>
          </w:tcPr>
          <w:p>
            <w:pPr>
              <w:ind w:left="120"/>
              <w:spacing w:after="0"/>
              <w:rPr>
                <w:sz w:val="20"/>
                <w:szCs w:val="20"/>
                <w:color w:val="auto"/>
              </w:rPr>
            </w:pPr>
            <w:r>
              <w:rPr>
                <w:rFonts w:ascii="Arial" w:cs="Arial" w:eastAsia="Arial" w:hAnsi="Arial"/>
                <w:sz w:val="14"/>
                <w:szCs w:val="14"/>
                <w:color w:val="auto"/>
              </w:rPr>
              <w:t>Corporation Bank</w:t>
            </w:r>
          </w:p>
        </w:tc>
        <w:tc>
          <w:tcPr>
            <w:tcW w:w="980" w:type="dxa"/>
            <w:vAlign w:val="bottom"/>
          </w:tcPr>
          <w:p>
            <w:pPr>
              <w:jc w:val="center"/>
              <w:spacing w:after="0"/>
              <w:rPr>
                <w:sz w:val="20"/>
                <w:szCs w:val="20"/>
                <w:color w:val="auto"/>
              </w:rPr>
            </w:pPr>
            <w:r>
              <w:rPr>
                <w:rFonts w:ascii="Arial" w:cs="Arial" w:eastAsia="Arial" w:hAnsi="Arial"/>
                <w:sz w:val="14"/>
                <w:szCs w:val="14"/>
                <w:color w:val="auto"/>
                <w:w w:val="93"/>
              </w:rPr>
              <w:t>GT/109696/13</w:t>
            </w:r>
          </w:p>
        </w:tc>
        <w:tc>
          <w:tcPr>
            <w:tcW w:w="1080" w:type="dxa"/>
            <w:vAlign w:val="bottom"/>
          </w:tcPr>
          <w:p>
            <w:pPr>
              <w:jc w:val="center"/>
              <w:spacing w:after="0"/>
              <w:rPr>
                <w:sz w:val="20"/>
                <w:szCs w:val="20"/>
                <w:color w:val="auto"/>
              </w:rPr>
            </w:pPr>
            <w:r>
              <w:rPr>
                <w:rFonts w:ascii="Arial" w:cs="Arial" w:eastAsia="Arial" w:hAnsi="Arial"/>
                <w:sz w:val="14"/>
                <w:szCs w:val="14"/>
                <w:color w:val="auto"/>
                <w:w w:val="95"/>
              </w:rPr>
              <w:t>10/31/14</w:t>
            </w:r>
          </w:p>
        </w:tc>
        <w:tc>
          <w:tcPr>
            <w:tcW w:w="1280" w:type="dxa"/>
            <w:vAlign w:val="bottom"/>
          </w:tcPr>
          <w:p>
            <w:pPr>
              <w:ind w:left="60"/>
              <w:spacing w:after="0"/>
              <w:rPr>
                <w:sz w:val="20"/>
                <w:szCs w:val="20"/>
                <w:color w:val="auto"/>
              </w:rPr>
            </w:pPr>
            <w:r>
              <w:rPr>
                <w:rFonts w:ascii="Arial" w:cs="Arial" w:eastAsia="Arial" w:hAnsi="Arial"/>
                <w:sz w:val="14"/>
                <w:szCs w:val="14"/>
                <w:color w:val="auto"/>
              </w:rPr>
              <w:t>INR 5,000,000</w:t>
            </w:r>
          </w:p>
        </w:tc>
        <w:tc>
          <w:tcPr>
            <w:tcW w:w="720" w:type="dxa"/>
            <w:vAlign w:val="bottom"/>
          </w:tcPr>
          <w:p>
            <w:pPr>
              <w:jc w:val="right"/>
              <w:ind w:right="228"/>
              <w:spacing w:after="0"/>
              <w:rPr>
                <w:sz w:val="20"/>
                <w:szCs w:val="20"/>
                <w:color w:val="auto"/>
              </w:rPr>
            </w:pPr>
            <w:r>
              <w:rPr>
                <w:rFonts w:ascii="Arial" w:cs="Arial" w:eastAsia="Arial" w:hAnsi="Arial"/>
                <w:sz w:val="14"/>
                <w:szCs w:val="14"/>
                <w:color w:val="auto"/>
              </w:rPr>
              <w:t>0</w:t>
            </w:r>
          </w:p>
        </w:tc>
        <w:tc>
          <w:tcPr>
            <w:tcW w:w="720" w:type="dxa"/>
            <w:vAlign w:val="bottom"/>
          </w:tcPr>
          <w:p>
            <w:pPr>
              <w:jc w:val="right"/>
              <w:ind w:right="288"/>
              <w:spacing w:after="0"/>
              <w:rPr>
                <w:sz w:val="20"/>
                <w:szCs w:val="20"/>
                <w:color w:val="auto"/>
              </w:rPr>
            </w:pPr>
            <w:r>
              <w:rPr>
                <w:rFonts w:ascii="Arial" w:cs="Arial" w:eastAsia="Arial" w:hAnsi="Arial"/>
                <w:sz w:val="14"/>
                <w:szCs w:val="14"/>
                <w:color w:val="auto"/>
              </w:rPr>
              <w:t>0</w:t>
            </w:r>
          </w:p>
        </w:tc>
        <w:tc>
          <w:tcPr>
            <w:tcW w:w="580" w:type="dxa"/>
            <w:vAlign w:val="bottom"/>
          </w:tcPr>
          <w:p>
            <w:pPr>
              <w:jc w:val="right"/>
              <w:ind w:right="68"/>
              <w:spacing w:after="0"/>
              <w:rPr>
                <w:sz w:val="20"/>
                <w:szCs w:val="20"/>
                <w:color w:val="auto"/>
              </w:rPr>
            </w:pPr>
            <w:r>
              <w:rPr>
                <w:rFonts w:ascii="Arial" w:cs="Arial" w:eastAsia="Arial" w:hAnsi="Arial"/>
                <w:sz w:val="14"/>
                <w:szCs w:val="14"/>
                <w:color w:val="auto"/>
              </w:rPr>
              <w:t>0</w:t>
            </w:r>
          </w:p>
        </w:tc>
        <w:tc>
          <w:tcPr>
            <w:tcW w:w="1280" w:type="dxa"/>
            <w:vAlign w:val="bottom"/>
          </w:tcPr>
          <w:p>
            <w:pPr>
              <w:jc w:val="right"/>
              <w:spacing w:after="0"/>
              <w:rPr>
                <w:sz w:val="20"/>
                <w:szCs w:val="20"/>
                <w:color w:val="auto"/>
              </w:rPr>
            </w:pPr>
            <w:r>
              <w:rPr>
                <w:rFonts w:ascii="Arial" w:cs="Arial" w:eastAsia="Arial" w:hAnsi="Arial"/>
                <w:sz w:val="14"/>
                <w:szCs w:val="14"/>
                <w:color w:val="auto"/>
              </w:rPr>
              <w:t>79,770</w:t>
            </w:r>
          </w:p>
        </w:tc>
        <w:tc>
          <w:tcPr>
            <w:tcW w:w="0" w:type="dxa"/>
            <w:vAlign w:val="bottom"/>
          </w:tcPr>
          <w:p>
            <w:pPr>
              <w:spacing w:after="0"/>
              <w:rPr>
                <w:sz w:val="1"/>
                <w:szCs w:val="1"/>
                <w:color w:val="auto"/>
              </w:rPr>
            </w:pPr>
          </w:p>
        </w:tc>
      </w:tr>
      <w:tr>
        <w:trPr>
          <w:trHeight w:val="169"/>
        </w:trPr>
        <w:tc>
          <w:tcPr>
            <w:tcW w:w="1080" w:type="dxa"/>
            <w:vAlign w:val="bottom"/>
          </w:tcPr>
          <w:p>
            <w:pPr>
              <w:spacing w:after="0"/>
              <w:rPr>
                <w:sz w:val="14"/>
                <w:szCs w:val="14"/>
                <w:color w:val="auto"/>
              </w:rPr>
            </w:pPr>
          </w:p>
        </w:tc>
        <w:tc>
          <w:tcPr>
            <w:tcW w:w="1200" w:type="dxa"/>
            <w:vAlign w:val="bottom"/>
          </w:tcPr>
          <w:p>
            <w:pPr>
              <w:ind w:left="120"/>
              <w:spacing w:after="0"/>
              <w:rPr>
                <w:sz w:val="20"/>
                <w:szCs w:val="20"/>
                <w:color w:val="auto"/>
              </w:rPr>
            </w:pPr>
            <w:r>
              <w:rPr>
                <w:rFonts w:ascii="Arial" w:cs="Arial" w:eastAsia="Arial" w:hAnsi="Arial"/>
                <w:sz w:val="14"/>
                <w:szCs w:val="14"/>
                <w:color w:val="auto"/>
                <w:w w:val="99"/>
              </w:rPr>
              <w:t>Euronet Services</w:t>
            </w:r>
          </w:p>
        </w:tc>
        <w:tc>
          <w:tcPr>
            <w:tcW w:w="21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2"/>
        </w:trPr>
        <w:tc>
          <w:tcPr>
            <w:tcW w:w="1080" w:type="dxa"/>
            <w:vAlign w:val="bottom"/>
          </w:tcPr>
          <w:p>
            <w:pPr>
              <w:spacing w:after="0"/>
              <w:rPr>
                <w:sz w:val="20"/>
                <w:szCs w:val="20"/>
                <w:color w:val="auto"/>
              </w:rPr>
            </w:pPr>
            <w:r>
              <w:rPr>
                <w:rFonts w:ascii="Arial" w:cs="Arial" w:eastAsia="Arial" w:hAnsi="Arial"/>
                <w:sz w:val="14"/>
                <w:szCs w:val="14"/>
                <w:color w:val="auto"/>
              </w:rPr>
              <w:t>Bank of America</w:t>
            </w:r>
          </w:p>
        </w:tc>
        <w:tc>
          <w:tcPr>
            <w:tcW w:w="1200" w:type="dxa"/>
            <w:vAlign w:val="bottom"/>
          </w:tcPr>
          <w:p>
            <w:pPr>
              <w:ind w:left="120"/>
              <w:spacing w:after="0"/>
              <w:rPr>
                <w:sz w:val="20"/>
                <w:szCs w:val="20"/>
                <w:color w:val="auto"/>
              </w:rPr>
            </w:pPr>
            <w:r>
              <w:rPr>
                <w:rFonts w:ascii="Arial" w:cs="Arial" w:eastAsia="Arial" w:hAnsi="Arial"/>
                <w:sz w:val="14"/>
                <w:szCs w:val="14"/>
                <w:color w:val="auto"/>
              </w:rPr>
              <w:t>India Pvt. Ltd.</w:t>
            </w:r>
          </w:p>
        </w:tc>
        <w:tc>
          <w:tcPr>
            <w:tcW w:w="2100" w:type="dxa"/>
            <w:vAlign w:val="bottom"/>
          </w:tcPr>
          <w:p>
            <w:pPr>
              <w:ind w:left="120"/>
              <w:spacing w:after="0"/>
              <w:rPr>
                <w:sz w:val="20"/>
                <w:szCs w:val="20"/>
                <w:color w:val="auto"/>
              </w:rPr>
            </w:pPr>
            <w:r>
              <w:rPr>
                <w:rFonts w:ascii="Arial" w:cs="Arial" w:eastAsia="Arial" w:hAnsi="Arial"/>
                <w:sz w:val="14"/>
                <w:szCs w:val="14"/>
                <w:color w:val="auto"/>
              </w:rPr>
              <w:t>Oriental Bank of Commerce</w:t>
            </w:r>
          </w:p>
        </w:tc>
        <w:tc>
          <w:tcPr>
            <w:tcW w:w="980" w:type="dxa"/>
            <w:vAlign w:val="bottom"/>
          </w:tcPr>
          <w:p>
            <w:pPr>
              <w:jc w:val="center"/>
              <w:spacing w:after="0"/>
              <w:rPr>
                <w:sz w:val="20"/>
                <w:szCs w:val="20"/>
                <w:color w:val="auto"/>
              </w:rPr>
            </w:pPr>
            <w:r>
              <w:rPr>
                <w:rFonts w:ascii="Arial" w:cs="Arial" w:eastAsia="Arial" w:hAnsi="Arial"/>
                <w:sz w:val="14"/>
                <w:szCs w:val="14"/>
                <w:color w:val="auto"/>
                <w:w w:val="93"/>
              </w:rPr>
              <w:t>GT110159/14</w:t>
            </w:r>
          </w:p>
        </w:tc>
        <w:tc>
          <w:tcPr>
            <w:tcW w:w="1080" w:type="dxa"/>
            <w:vAlign w:val="bottom"/>
          </w:tcPr>
          <w:p>
            <w:pPr>
              <w:jc w:val="center"/>
              <w:spacing w:after="0"/>
              <w:rPr>
                <w:sz w:val="20"/>
                <w:szCs w:val="20"/>
                <w:color w:val="auto"/>
              </w:rPr>
            </w:pPr>
            <w:r>
              <w:rPr>
                <w:rFonts w:ascii="Arial" w:cs="Arial" w:eastAsia="Arial" w:hAnsi="Arial"/>
                <w:sz w:val="14"/>
                <w:szCs w:val="14"/>
                <w:color w:val="auto"/>
                <w:w w:val="95"/>
              </w:rPr>
              <w:t>10/15/14</w:t>
            </w:r>
          </w:p>
        </w:tc>
        <w:tc>
          <w:tcPr>
            <w:tcW w:w="1280" w:type="dxa"/>
            <w:vAlign w:val="bottom"/>
          </w:tcPr>
          <w:p>
            <w:pPr>
              <w:ind w:left="60"/>
              <w:spacing w:after="0"/>
              <w:rPr>
                <w:sz w:val="20"/>
                <w:szCs w:val="20"/>
                <w:color w:val="auto"/>
              </w:rPr>
            </w:pPr>
            <w:r>
              <w:rPr>
                <w:rFonts w:ascii="Arial" w:cs="Arial" w:eastAsia="Arial" w:hAnsi="Arial"/>
                <w:sz w:val="14"/>
                <w:szCs w:val="14"/>
                <w:color w:val="auto"/>
              </w:rPr>
              <w:t>INR 5,000,000</w:t>
            </w:r>
          </w:p>
        </w:tc>
        <w:tc>
          <w:tcPr>
            <w:tcW w:w="720" w:type="dxa"/>
            <w:vAlign w:val="bottom"/>
          </w:tcPr>
          <w:p>
            <w:pPr>
              <w:jc w:val="right"/>
              <w:ind w:right="228"/>
              <w:spacing w:after="0"/>
              <w:rPr>
                <w:sz w:val="20"/>
                <w:szCs w:val="20"/>
                <w:color w:val="auto"/>
              </w:rPr>
            </w:pPr>
            <w:r>
              <w:rPr>
                <w:rFonts w:ascii="Arial" w:cs="Arial" w:eastAsia="Arial" w:hAnsi="Arial"/>
                <w:sz w:val="14"/>
                <w:szCs w:val="14"/>
                <w:color w:val="auto"/>
              </w:rPr>
              <w:t>0</w:t>
            </w:r>
          </w:p>
        </w:tc>
        <w:tc>
          <w:tcPr>
            <w:tcW w:w="720" w:type="dxa"/>
            <w:vAlign w:val="bottom"/>
          </w:tcPr>
          <w:p>
            <w:pPr>
              <w:jc w:val="right"/>
              <w:ind w:right="288"/>
              <w:spacing w:after="0"/>
              <w:rPr>
                <w:sz w:val="20"/>
                <w:szCs w:val="20"/>
                <w:color w:val="auto"/>
              </w:rPr>
            </w:pPr>
            <w:r>
              <w:rPr>
                <w:rFonts w:ascii="Arial" w:cs="Arial" w:eastAsia="Arial" w:hAnsi="Arial"/>
                <w:sz w:val="14"/>
                <w:szCs w:val="14"/>
                <w:color w:val="auto"/>
              </w:rPr>
              <w:t>0</w:t>
            </w:r>
          </w:p>
        </w:tc>
        <w:tc>
          <w:tcPr>
            <w:tcW w:w="580" w:type="dxa"/>
            <w:vAlign w:val="bottom"/>
          </w:tcPr>
          <w:p>
            <w:pPr>
              <w:jc w:val="right"/>
              <w:ind w:right="68"/>
              <w:spacing w:after="0"/>
              <w:rPr>
                <w:sz w:val="20"/>
                <w:szCs w:val="20"/>
                <w:color w:val="auto"/>
              </w:rPr>
            </w:pPr>
            <w:r>
              <w:rPr>
                <w:rFonts w:ascii="Arial" w:cs="Arial" w:eastAsia="Arial" w:hAnsi="Arial"/>
                <w:sz w:val="14"/>
                <w:szCs w:val="14"/>
                <w:color w:val="auto"/>
              </w:rPr>
              <w:t>0</w:t>
            </w:r>
          </w:p>
        </w:tc>
        <w:tc>
          <w:tcPr>
            <w:tcW w:w="1280" w:type="dxa"/>
            <w:vAlign w:val="bottom"/>
          </w:tcPr>
          <w:p>
            <w:pPr>
              <w:jc w:val="right"/>
              <w:spacing w:after="0"/>
              <w:rPr>
                <w:sz w:val="20"/>
                <w:szCs w:val="20"/>
                <w:color w:val="auto"/>
              </w:rPr>
            </w:pPr>
            <w:r>
              <w:rPr>
                <w:rFonts w:ascii="Arial" w:cs="Arial" w:eastAsia="Arial" w:hAnsi="Arial"/>
                <w:sz w:val="14"/>
                <w:szCs w:val="14"/>
                <w:color w:val="auto"/>
              </w:rPr>
              <w:t>79,770</w:t>
            </w:r>
          </w:p>
        </w:tc>
        <w:tc>
          <w:tcPr>
            <w:tcW w:w="0" w:type="dxa"/>
            <w:vAlign w:val="bottom"/>
          </w:tcPr>
          <w:p>
            <w:pPr>
              <w:spacing w:after="0"/>
              <w:rPr>
                <w:sz w:val="1"/>
                <w:szCs w:val="1"/>
                <w:color w:val="auto"/>
              </w:rPr>
            </w:pPr>
          </w:p>
        </w:tc>
      </w:tr>
      <w:tr>
        <w:trPr>
          <w:trHeight w:val="169"/>
        </w:trPr>
        <w:tc>
          <w:tcPr>
            <w:tcW w:w="1080" w:type="dxa"/>
            <w:vAlign w:val="bottom"/>
          </w:tcPr>
          <w:p>
            <w:pPr>
              <w:spacing w:after="0"/>
              <w:rPr>
                <w:sz w:val="14"/>
                <w:szCs w:val="14"/>
                <w:color w:val="auto"/>
              </w:rPr>
            </w:pPr>
          </w:p>
        </w:tc>
        <w:tc>
          <w:tcPr>
            <w:tcW w:w="1200" w:type="dxa"/>
            <w:vAlign w:val="bottom"/>
          </w:tcPr>
          <w:p>
            <w:pPr>
              <w:ind w:left="120"/>
              <w:spacing w:after="0"/>
              <w:rPr>
                <w:sz w:val="20"/>
                <w:szCs w:val="20"/>
                <w:color w:val="auto"/>
              </w:rPr>
            </w:pPr>
            <w:r>
              <w:rPr>
                <w:rFonts w:ascii="Arial" w:cs="Arial" w:eastAsia="Arial" w:hAnsi="Arial"/>
                <w:sz w:val="14"/>
                <w:szCs w:val="14"/>
                <w:color w:val="auto"/>
                <w:w w:val="99"/>
              </w:rPr>
              <w:t>Euronet Services</w:t>
            </w:r>
          </w:p>
        </w:tc>
        <w:tc>
          <w:tcPr>
            <w:tcW w:w="2100" w:type="dxa"/>
            <w:vAlign w:val="bottom"/>
          </w:tcPr>
          <w:p>
            <w:pPr>
              <w:ind w:left="120"/>
              <w:spacing w:after="0"/>
              <w:rPr>
                <w:sz w:val="20"/>
                <w:szCs w:val="20"/>
                <w:color w:val="auto"/>
              </w:rPr>
            </w:pPr>
            <w:r>
              <w:rPr>
                <w:rFonts w:ascii="Arial" w:cs="Arial" w:eastAsia="Arial" w:hAnsi="Arial"/>
                <w:sz w:val="14"/>
                <w:szCs w:val="14"/>
                <w:color w:val="auto"/>
              </w:rPr>
              <w:t>Delhi International Airport</w:t>
            </w:r>
          </w:p>
        </w:tc>
        <w:tc>
          <w:tcPr>
            <w:tcW w:w="9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2"/>
        </w:trPr>
        <w:tc>
          <w:tcPr>
            <w:tcW w:w="1080" w:type="dxa"/>
            <w:vAlign w:val="bottom"/>
          </w:tcPr>
          <w:p>
            <w:pPr>
              <w:spacing w:after="0"/>
              <w:rPr>
                <w:sz w:val="20"/>
                <w:szCs w:val="20"/>
                <w:color w:val="auto"/>
              </w:rPr>
            </w:pPr>
            <w:r>
              <w:rPr>
                <w:rFonts w:ascii="Arial" w:cs="Arial" w:eastAsia="Arial" w:hAnsi="Arial"/>
                <w:sz w:val="14"/>
                <w:szCs w:val="14"/>
                <w:color w:val="auto"/>
              </w:rPr>
              <w:t>Bank of America</w:t>
            </w:r>
          </w:p>
        </w:tc>
        <w:tc>
          <w:tcPr>
            <w:tcW w:w="1200" w:type="dxa"/>
            <w:vAlign w:val="bottom"/>
          </w:tcPr>
          <w:p>
            <w:pPr>
              <w:ind w:left="120"/>
              <w:spacing w:after="0"/>
              <w:rPr>
                <w:sz w:val="20"/>
                <w:szCs w:val="20"/>
                <w:color w:val="auto"/>
              </w:rPr>
            </w:pPr>
            <w:r>
              <w:rPr>
                <w:rFonts w:ascii="Arial" w:cs="Arial" w:eastAsia="Arial" w:hAnsi="Arial"/>
                <w:sz w:val="14"/>
                <w:szCs w:val="14"/>
                <w:color w:val="auto"/>
              </w:rPr>
              <w:t>India Pvt. Ltd.</w:t>
            </w:r>
          </w:p>
        </w:tc>
        <w:tc>
          <w:tcPr>
            <w:tcW w:w="2100" w:type="dxa"/>
            <w:vAlign w:val="bottom"/>
          </w:tcPr>
          <w:p>
            <w:pPr>
              <w:ind w:left="120"/>
              <w:spacing w:after="0"/>
              <w:rPr>
                <w:sz w:val="20"/>
                <w:szCs w:val="20"/>
                <w:color w:val="auto"/>
              </w:rPr>
            </w:pPr>
            <w:r>
              <w:rPr>
                <w:rFonts w:ascii="Arial" w:cs="Arial" w:eastAsia="Arial" w:hAnsi="Arial"/>
                <w:sz w:val="14"/>
                <w:szCs w:val="14"/>
                <w:color w:val="auto"/>
              </w:rPr>
              <w:t>Private Limited</w:t>
            </w:r>
          </w:p>
        </w:tc>
        <w:tc>
          <w:tcPr>
            <w:tcW w:w="980" w:type="dxa"/>
            <w:vAlign w:val="bottom"/>
          </w:tcPr>
          <w:p>
            <w:pPr>
              <w:jc w:val="center"/>
              <w:spacing w:after="0"/>
              <w:rPr>
                <w:sz w:val="20"/>
                <w:szCs w:val="20"/>
                <w:color w:val="auto"/>
              </w:rPr>
            </w:pPr>
            <w:r>
              <w:rPr>
                <w:rFonts w:ascii="Arial" w:cs="Arial" w:eastAsia="Arial" w:hAnsi="Arial"/>
                <w:sz w:val="14"/>
                <w:szCs w:val="14"/>
                <w:color w:val="auto"/>
                <w:w w:val="93"/>
              </w:rPr>
              <w:t>GT109951/13</w:t>
            </w:r>
          </w:p>
        </w:tc>
        <w:tc>
          <w:tcPr>
            <w:tcW w:w="1080" w:type="dxa"/>
            <w:vAlign w:val="bottom"/>
          </w:tcPr>
          <w:p>
            <w:pPr>
              <w:jc w:val="center"/>
              <w:spacing w:after="0"/>
              <w:rPr>
                <w:sz w:val="20"/>
                <w:szCs w:val="20"/>
                <w:color w:val="auto"/>
              </w:rPr>
            </w:pPr>
            <w:r>
              <w:rPr>
                <w:rFonts w:ascii="Arial" w:cs="Arial" w:eastAsia="Arial" w:hAnsi="Arial"/>
                <w:sz w:val="14"/>
                <w:szCs w:val="14"/>
                <w:color w:val="auto"/>
                <w:w w:val="95"/>
              </w:rPr>
              <w:t>10/31/16</w:t>
            </w:r>
          </w:p>
        </w:tc>
        <w:tc>
          <w:tcPr>
            <w:tcW w:w="1280" w:type="dxa"/>
            <w:vAlign w:val="bottom"/>
          </w:tcPr>
          <w:p>
            <w:pPr>
              <w:ind w:left="60"/>
              <w:spacing w:after="0"/>
              <w:rPr>
                <w:sz w:val="20"/>
                <w:szCs w:val="20"/>
                <w:color w:val="auto"/>
              </w:rPr>
            </w:pPr>
            <w:r>
              <w:rPr>
                <w:rFonts w:ascii="Arial" w:cs="Arial" w:eastAsia="Arial" w:hAnsi="Arial"/>
                <w:sz w:val="14"/>
                <w:szCs w:val="14"/>
                <w:color w:val="auto"/>
              </w:rPr>
              <w:t>INR 5,185,667</w:t>
            </w:r>
          </w:p>
        </w:tc>
        <w:tc>
          <w:tcPr>
            <w:tcW w:w="720" w:type="dxa"/>
            <w:vAlign w:val="bottom"/>
          </w:tcPr>
          <w:p>
            <w:pPr>
              <w:jc w:val="right"/>
              <w:ind w:right="228"/>
              <w:spacing w:after="0"/>
              <w:rPr>
                <w:sz w:val="20"/>
                <w:szCs w:val="20"/>
                <w:color w:val="auto"/>
              </w:rPr>
            </w:pPr>
            <w:r>
              <w:rPr>
                <w:rFonts w:ascii="Arial" w:cs="Arial" w:eastAsia="Arial" w:hAnsi="Arial"/>
                <w:sz w:val="14"/>
                <w:szCs w:val="14"/>
                <w:color w:val="auto"/>
              </w:rPr>
              <w:t>0</w:t>
            </w:r>
          </w:p>
        </w:tc>
        <w:tc>
          <w:tcPr>
            <w:tcW w:w="720" w:type="dxa"/>
            <w:vAlign w:val="bottom"/>
          </w:tcPr>
          <w:p>
            <w:pPr>
              <w:jc w:val="right"/>
              <w:ind w:right="288"/>
              <w:spacing w:after="0"/>
              <w:rPr>
                <w:sz w:val="20"/>
                <w:szCs w:val="20"/>
                <w:color w:val="auto"/>
              </w:rPr>
            </w:pPr>
            <w:r>
              <w:rPr>
                <w:rFonts w:ascii="Arial" w:cs="Arial" w:eastAsia="Arial" w:hAnsi="Arial"/>
                <w:sz w:val="14"/>
                <w:szCs w:val="14"/>
                <w:color w:val="auto"/>
              </w:rPr>
              <w:t>0</w:t>
            </w:r>
          </w:p>
        </w:tc>
        <w:tc>
          <w:tcPr>
            <w:tcW w:w="580" w:type="dxa"/>
            <w:vAlign w:val="bottom"/>
          </w:tcPr>
          <w:p>
            <w:pPr>
              <w:jc w:val="right"/>
              <w:ind w:right="68"/>
              <w:spacing w:after="0"/>
              <w:rPr>
                <w:sz w:val="20"/>
                <w:szCs w:val="20"/>
                <w:color w:val="auto"/>
              </w:rPr>
            </w:pPr>
            <w:r>
              <w:rPr>
                <w:rFonts w:ascii="Arial" w:cs="Arial" w:eastAsia="Arial" w:hAnsi="Arial"/>
                <w:sz w:val="14"/>
                <w:szCs w:val="14"/>
                <w:color w:val="auto"/>
              </w:rPr>
              <w:t>0</w:t>
            </w:r>
          </w:p>
        </w:tc>
        <w:tc>
          <w:tcPr>
            <w:tcW w:w="1280" w:type="dxa"/>
            <w:vAlign w:val="bottom"/>
          </w:tcPr>
          <w:p>
            <w:pPr>
              <w:jc w:val="right"/>
              <w:spacing w:after="0"/>
              <w:rPr>
                <w:sz w:val="20"/>
                <w:szCs w:val="20"/>
                <w:color w:val="auto"/>
              </w:rPr>
            </w:pPr>
            <w:r>
              <w:rPr>
                <w:rFonts w:ascii="Arial" w:cs="Arial" w:eastAsia="Arial" w:hAnsi="Arial"/>
                <w:sz w:val="14"/>
                <w:szCs w:val="14"/>
                <w:color w:val="auto"/>
              </w:rPr>
              <w:t>82,732</w:t>
            </w:r>
          </w:p>
        </w:tc>
        <w:tc>
          <w:tcPr>
            <w:tcW w:w="0" w:type="dxa"/>
            <w:vAlign w:val="bottom"/>
          </w:tcPr>
          <w:p>
            <w:pPr>
              <w:spacing w:after="0"/>
              <w:rPr>
                <w:sz w:val="1"/>
                <w:szCs w:val="1"/>
                <w:color w:val="auto"/>
              </w:rPr>
            </w:pPr>
          </w:p>
        </w:tc>
      </w:tr>
      <w:tr>
        <w:trPr>
          <w:trHeight w:val="169"/>
        </w:trPr>
        <w:tc>
          <w:tcPr>
            <w:tcW w:w="1080" w:type="dxa"/>
            <w:vAlign w:val="bottom"/>
          </w:tcPr>
          <w:p>
            <w:pPr>
              <w:spacing w:after="0"/>
              <w:rPr>
                <w:sz w:val="14"/>
                <w:szCs w:val="14"/>
                <w:color w:val="auto"/>
              </w:rPr>
            </w:pPr>
          </w:p>
        </w:tc>
        <w:tc>
          <w:tcPr>
            <w:tcW w:w="1200" w:type="dxa"/>
            <w:vAlign w:val="bottom"/>
          </w:tcPr>
          <w:p>
            <w:pPr>
              <w:ind w:left="120"/>
              <w:spacing w:after="0"/>
              <w:rPr>
                <w:sz w:val="20"/>
                <w:szCs w:val="20"/>
                <w:color w:val="auto"/>
              </w:rPr>
            </w:pPr>
            <w:r>
              <w:rPr>
                <w:rFonts w:ascii="Arial" w:cs="Arial" w:eastAsia="Arial" w:hAnsi="Arial"/>
                <w:sz w:val="14"/>
                <w:szCs w:val="14"/>
                <w:color w:val="auto"/>
                <w:w w:val="99"/>
              </w:rPr>
              <w:t>Euronet Services</w:t>
            </w:r>
          </w:p>
        </w:tc>
        <w:tc>
          <w:tcPr>
            <w:tcW w:w="21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2"/>
        </w:trPr>
        <w:tc>
          <w:tcPr>
            <w:tcW w:w="1080" w:type="dxa"/>
            <w:vAlign w:val="bottom"/>
          </w:tcPr>
          <w:p>
            <w:pPr>
              <w:spacing w:after="0"/>
              <w:rPr>
                <w:sz w:val="20"/>
                <w:szCs w:val="20"/>
                <w:color w:val="auto"/>
              </w:rPr>
            </w:pPr>
            <w:r>
              <w:rPr>
                <w:rFonts w:ascii="Arial" w:cs="Arial" w:eastAsia="Arial" w:hAnsi="Arial"/>
                <w:sz w:val="14"/>
                <w:szCs w:val="14"/>
                <w:color w:val="auto"/>
              </w:rPr>
              <w:t>Bank of America</w:t>
            </w:r>
          </w:p>
        </w:tc>
        <w:tc>
          <w:tcPr>
            <w:tcW w:w="1200" w:type="dxa"/>
            <w:vAlign w:val="bottom"/>
          </w:tcPr>
          <w:p>
            <w:pPr>
              <w:ind w:left="120"/>
              <w:spacing w:after="0"/>
              <w:rPr>
                <w:sz w:val="20"/>
                <w:szCs w:val="20"/>
                <w:color w:val="auto"/>
              </w:rPr>
            </w:pPr>
            <w:r>
              <w:rPr>
                <w:rFonts w:ascii="Arial" w:cs="Arial" w:eastAsia="Arial" w:hAnsi="Arial"/>
                <w:sz w:val="14"/>
                <w:szCs w:val="14"/>
                <w:color w:val="auto"/>
              </w:rPr>
              <w:t>India Pvt. Ltd.</w:t>
            </w:r>
          </w:p>
        </w:tc>
        <w:tc>
          <w:tcPr>
            <w:tcW w:w="2100" w:type="dxa"/>
            <w:vAlign w:val="bottom"/>
          </w:tcPr>
          <w:p>
            <w:pPr>
              <w:ind w:left="120"/>
              <w:spacing w:after="0"/>
              <w:rPr>
                <w:sz w:val="20"/>
                <w:szCs w:val="20"/>
                <w:color w:val="auto"/>
              </w:rPr>
            </w:pPr>
            <w:r>
              <w:rPr>
                <w:rFonts w:ascii="Arial" w:cs="Arial" w:eastAsia="Arial" w:hAnsi="Arial"/>
                <w:sz w:val="14"/>
                <w:szCs w:val="14"/>
                <w:color w:val="auto"/>
              </w:rPr>
              <w:t>State Bank of India</w:t>
            </w:r>
          </w:p>
        </w:tc>
        <w:tc>
          <w:tcPr>
            <w:tcW w:w="980" w:type="dxa"/>
            <w:vAlign w:val="bottom"/>
          </w:tcPr>
          <w:p>
            <w:pPr>
              <w:jc w:val="center"/>
              <w:spacing w:after="0"/>
              <w:rPr>
                <w:sz w:val="20"/>
                <w:szCs w:val="20"/>
                <w:color w:val="auto"/>
              </w:rPr>
            </w:pPr>
            <w:r>
              <w:rPr>
                <w:rFonts w:ascii="Arial" w:cs="Arial" w:eastAsia="Arial" w:hAnsi="Arial"/>
                <w:sz w:val="14"/>
                <w:szCs w:val="14"/>
                <w:color w:val="auto"/>
                <w:w w:val="93"/>
              </w:rPr>
              <w:t>GT110081/14</w:t>
            </w:r>
          </w:p>
        </w:tc>
        <w:tc>
          <w:tcPr>
            <w:tcW w:w="1080" w:type="dxa"/>
            <w:vAlign w:val="bottom"/>
          </w:tcPr>
          <w:p>
            <w:pPr>
              <w:jc w:val="center"/>
              <w:spacing w:after="0"/>
              <w:rPr>
                <w:sz w:val="20"/>
                <w:szCs w:val="20"/>
                <w:color w:val="auto"/>
              </w:rPr>
            </w:pPr>
            <w:r>
              <w:rPr>
                <w:rFonts w:ascii="Arial" w:cs="Arial" w:eastAsia="Arial" w:hAnsi="Arial"/>
                <w:sz w:val="14"/>
                <w:szCs w:val="14"/>
                <w:color w:val="auto"/>
                <w:w w:val="95"/>
              </w:rPr>
              <w:t>09/15/14</w:t>
            </w:r>
          </w:p>
        </w:tc>
        <w:tc>
          <w:tcPr>
            <w:tcW w:w="1280" w:type="dxa"/>
            <w:vAlign w:val="bottom"/>
          </w:tcPr>
          <w:p>
            <w:pPr>
              <w:ind w:left="60"/>
              <w:spacing w:after="0"/>
              <w:rPr>
                <w:sz w:val="20"/>
                <w:szCs w:val="20"/>
                <w:color w:val="auto"/>
              </w:rPr>
            </w:pPr>
            <w:r>
              <w:rPr>
                <w:rFonts w:ascii="Arial" w:cs="Arial" w:eastAsia="Arial" w:hAnsi="Arial"/>
                <w:sz w:val="14"/>
                <w:szCs w:val="14"/>
                <w:color w:val="auto"/>
              </w:rPr>
              <w:t>INR 1,000,000</w:t>
            </w:r>
          </w:p>
        </w:tc>
        <w:tc>
          <w:tcPr>
            <w:tcW w:w="720" w:type="dxa"/>
            <w:vAlign w:val="bottom"/>
          </w:tcPr>
          <w:p>
            <w:pPr>
              <w:jc w:val="right"/>
              <w:ind w:right="228"/>
              <w:spacing w:after="0"/>
              <w:rPr>
                <w:sz w:val="20"/>
                <w:szCs w:val="20"/>
                <w:color w:val="auto"/>
              </w:rPr>
            </w:pPr>
            <w:r>
              <w:rPr>
                <w:rFonts w:ascii="Arial" w:cs="Arial" w:eastAsia="Arial" w:hAnsi="Arial"/>
                <w:sz w:val="14"/>
                <w:szCs w:val="14"/>
                <w:color w:val="auto"/>
              </w:rPr>
              <w:t>0</w:t>
            </w:r>
          </w:p>
        </w:tc>
        <w:tc>
          <w:tcPr>
            <w:tcW w:w="720" w:type="dxa"/>
            <w:vAlign w:val="bottom"/>
          </w:tcPr>
          <w:p>
            <w:pPr>
              <w:jc w:val="right"/>
              <w:ind w:right="288"/>
              <w:spacing w:after="0"/>
              <w:rPr>
                <w:sz w:val="20"/>
                <w:szCs w:val="20"/>
                <w:color w:val="auto"/>
              </w:rPr>
            </w:pPr>
            <w:r>
              <w:rPr>
                <w:rFonts w:ascii="Arial" w:cs="Arial" w:eastAsia="Arial" w:hAnsi="Arial"/>
                <w:sz w:val="14"/>
                <w:szCs w:val="14"/>
                <w:color w:val="auto"/>
              </w:rPr>
              <w:t>0</w:t>
            </w:r>
          </w:p>
        </w:tc>
        <w:tc>
          <w:tcPr>
            <w:tcW w:w="580" w:type="dxa"/>
            <w:vAlign w:val="bottom"/>
          </w:tcPr>
          <w:p>
            <w:pPr>
              <w:jc w:val="right"/>
              <w:ind w:right="68"/>
              <w:spacing w:after="0"/>
              <w:rPr>
                <w:sz w:val="20"/>
                <w:szCs w:val="20"/>
                <w:color w:val="auto"/>
              </w:rPr>
            </w:pPr>
            <w:r>
              <w:rPr>
                <w:rFonts w:ascii="Arial" w:cs="Arial" w:eastAsia="Arial" w:hAnsi="Arial"/>
                <w:sz w:val="14"/>
                <w:szCs w:val="14"/>
                <w:color w:val="auto"/>
              </w:rPr>
              <w:t>0</w:t>
            </w:r>
          </w:p>
        </w:tc>
        <w:tc>
          <w:tcPr>
            <w:tcW w:w="1280" w:type="dxa"/>
            <w:vAlign w:val="bottom"/>
          </w:tcPr>
          <w:p>
            <w:pPr>
              <w:jc w:val="right"/>
              <w:spacing w:after="0"/>
              <w:rPr>
                <w:sz w:val="20"/>
                <w:szCs w:val="20"/>
                <w:color w:val="auto"/>
              </w:rPr>
            </w:pPr>
            <w:r>
              <w:rPr>
                <w:rFonts w:ascii="Arial" w:cs="Arial" w:eastAsia="Arial" w:hAnsi="Arial"/>
                <w:sz w:val="14"/>
                <w:szCs w:val="14"/>
                <w:color w:val="auto"/>
              </w:rPr>
              <w:t>15,954</w:t>
            </w:r>
          </w:p>
        </w:tc>
        <w:tc>
          <w:tcPr>
            <w:tcW w:w="0" w:type="dxa"/>
            <w:vAlign w:val="bottom"/>
          </w:tcPr>
          <w:p>
            <w:pPr>
              <w:spacing w:after="0"/>
              <w:rPr>
                <w:sz w:val="1"/>
                <w:szCs w:val="1"/>
                <w:color w:val="auto"/>
              </w:rPr>
            </w:pPr>
          </w:p>
        </w:tc>
      </w:tr>
      <w:tr>
        <w:trPr>
          <w:trHeight w:val="169"/>
        </w:trPr>
        <w:tc>
          <w:tcPr>
            <w:tcW w:w="1080" w:type="dxa"/>
            <w:vAlign w:val="bottom"/>
          </w:tcPr>
          <w:p>
            <w:pPr>
              <w:spacing w:after="0"/>
              <w:rPr>
                <w:sz w:val="14"/>
                <w:szCs w:val="14"/>
                <w:color w:val="auto"/>
              </w:rPr>
            </w:pPr>
          </w:p>
        </w:tc>
        <w:tc>
          <w:tcPr>
            <w:tcW w:w="1200" w:type="dxa"/>
            <w:vAlign w:val="bottom"/>
          </w:tcPr>
          <w:p>
            <w:pPr>
              <w:ind w:left="120"/>
              <w:spacing w:after="0"/>
              <w:rPr>
                <w:sz w:val="20"/>
                <w:szCs w:val="20"/>
                <w:color w:val="auto"/>
              </w:rPr>
            </w:pPr>
            <w:r>
              <w:rPr>
                <w:rFonts w:ascii="Arial" w:cs="Arial" w:eastAsia="Arial" w:hAnsi="Arial"/>
                <w:sz w:val="14"/>
                <w:szCs w:val="14"/>
                <w:color w:val="auto"/>
                <w:w w:val="99"/>
              </w:rPr>
              <w:t>Euronet Services</w:t>
            </w:r>
          </w:p>
        </w:tc>
        <w:tc>
          <w:tcPr>
            <w:tcW w:w="2100" w:type="dxa"/>
            <w:vAlign w:val="bottom"/>
          </w:tcPr>
          <w:p>
            <w:pPr>
              <w:ind w:left="120"/>
              <w:spacing w:after="0"/>
              <w:rPr>
                <w:sz w:val="20"/>
                <w:szCs w:val="20"/>
                <w:color w:val="auto"/>
              </w:rPr>
            </w:pPr>
            <w:r>
              <w:rPr>
                <w:rFonts w:ascii="Arial" w:cs="Arial" w:eastAsia="Arial" w:hAnsi="Arial"/>
                <w:sz w:val="14"/>
                <w:szCs w:val="14"/>
                <w:color w:val="auto"/>
              </w:rPr>
              <w:t>Wipro Airport IT Services</w:t>
            </w:r>
          </w:p>
        </w:tc>
        <w:tc>
          <w:tcPr>
            <w:tcW w:w="9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2"/>
        </w:trPr>
        <w:tc>
          <w:tcPr>
            <w:tcW w:w="1080" w:type="dxa"/>
            <w:vAlign w:val="bottom"/>
          </w:tcPr>
          <w:p>
            <w:pPr>
              <w:spacing w:after="0"/>
              <w:rPr>
                <w:sz w:val="20"/>
                <w:szCs w:val="20"/>
                <w:color w:val="auto"/>
              </w:rPr>
            </w:pPr>
            <w:r>
              <w:rPr>
                <w:rFonts w:ascii="Arial" w:cs="Arial" w:eastAsia="Arial" w:hAnsi="Arial"/>
                <w:sz w:val="14"/>
                <w:szCs w:val="14"/>
                <w:color w:val="auto"/>
              </w:rPr>
              <w:t>Bank of America</w:t>
            </w:r>
          </w:p>
        </w:tc>
        <w:tc>
          <w:tcPr>
            <w:tcW w:w="1200" w:type="dxa"/>
            <w:vAlign w:val="bottom"/>
          </w:tcPr>
          <w:p>
            <w:pPr>
              <w:ind w:left="120"/>
              <w:spacing w:after="0"/>
              <w:rPr>
                <w:sz w:val="20"/>
                <w:szCs w:val="20"/>
                <w:color w:val="auto"/>
              </w:rPr>
            </w:pPr>
            <w:r>
              <w:rPr>
                <w:rFonts w:ascii="Arial" w:cs="Arial" w:eastAsia="Arial" w:hAnsi="Arial"/>
                <w:sz w:val="14"/>
                <w:szCs w:val="14"/>
                <w:color w:val="auto"/>
              </w:rPr>
              <w:t>India Pvt. Ltd.</w:t>
            </w:r>
          </w:p>
        </w:tc>
        <w:tc>
          <w:tcPr>
            <w:tcW w:w="2100" w:type="dxa"/>
            <w:vAlign w:val="bottom"/>
          </w:tcPr>
          <w:p>
            <w:pPr>
              <w:ind w:left="120"/>
              <w:spacing w:after="0"/>
              <w:rPr>
                <w:sz w:val="20"/>
                <w:szCs w:val="20"/>
                <w:color w:val="auto"/>
              </w:rPr>
            </w:pPr>
            <w:r>
              <w:rPr>
                <w:rFonts w:ascii="Arial" w:cs="Arial" w:eastAsia="Arial" w:hAnsi="Arial"/>
                <w:sz w:val="14"/>
                <w:szCs w:val="14"/>
                <w:color w:val="auto"/>
              </w:rPr>
              <w:t>Limited</w:t>
            </w:r>
          </w:p>
        </w:tc>
        <w:tc>
          <w:tcPr>
            <w:tcW w:w="980" w:type="dxa"/>
            <w:vAlign w:val="bottom"/>
          </w:tcPr>
          <w:p>
            <w:pPr>
              <w:jc w:val="center"/>
              <w:spacing w:after="0"/>
              <w:rPr>
                <w:sz w:val="20"/>
                <w:szCs w:val="20"/>
                <w:color w:val="auto"/>
              </w:rPr>
            </w:pPr>
            <w:r>
              <w:rPr>
                <w:rFonts w:ascii="Arial" w:cs="Arial" w:eastAsia="Arial" w:hAnsi="Arial"/>
                <w:sz w:val="14"/>
                <w:szCs w:val="14"/>
                <w:color w:val="auto"/>
                <w:w w:val="93"/>
              </w:rPr>
              <w:t>GT110031/13</w:t>
            </w:r>
          </w:p>
        </w:tc>
        <w:tc>
          <w:tcPr>
            <w:tcW w:w="1080" w:type="dxa"/>
            <w:vAlign w:val="bottom"/>
          </w:tcPr>
          <w:p>
            <w:pPr>
              <w:jc w:val="center"/>
              <w:spacing w:after="0"/>
              <w:rPr>
                <w:sz w:val="20"/>
                <w:szCs w:val="20"/>
                <w:color w:val="auto"/>
              </w:rPr>
            </w:pPr>
            <w:r>
              <w:rPr>
                <w:rFonts w:ascii="Arial" w:cs="Arial" w:eastAsia="Arial" w:hAnsi="Arial"/>
                <w:sz w:val="14"/>
                <w:szCs w:val="14"/>
                <w:color w:val="auto"/>
                <w:w w:val="95"/>
              </w:rPr>
              <w:t>12/06/14</w:t>
            </w:r>
          </w:p>
        </w:tc>
        <w:tc>
          <w:tcPr>
            <w:tcW w:w="1280" w:type="dxa"/>
            <w:vAlign w:val="bottom"/>
          </w:tcPr>
          <w:p>
            <w:pPr>
              <w:ind w:left="60"/>
              <w:spacing w:after="0"/>
              <w:rPr>
                <w:sz w:val="20"/>
                <w:szCs w:val="20"/>
                <w:color w:val="auto"/>
              </w:rPr>
            </w:pPr>
            <w:r>
              <w:rPr>
                <w:rFonts w:ascii="Arial" w:cs="Arial" w:eastAsia="Arial" w:hAnsi="Arial"/>
                <w:sz w:val="14"/>
                <w:szCs w:val="14"/>
                <w:color w:val="auto"/>
              </w:rPr>
              <w:t>INR 63,500</w:t>
            </w:r>
          </w:p>
        </w:tc>
        <w:tc>
          <w:tcPr>
            <w:tcW w:w="720" w:type="dxa"/>
            <w:vAlign w:val="bottom"/>
          </w:tcPr>
          <w:p>
            <w:pPr>
              <w:jc w:val="right"/>
              <w:ind w:right="228"/>
              <w:spacing w:after="0"/>
              <w:rPr>
                <w:sz w:val="20"/>
                <w:szCs w:val="20"/>
                <w:color w:val="auto"/>
              </w:rPr>
            </w:pPr>
            <w:r>
              <w:rPr>
                <w:rFonts w:ascii="Arial" w:cs="Arial" w:eastAsia="Arial" w:hAnsi="Arial"/>
                <w:sz w:val="14"/>
                <w:szCs w:val="14"/>
                <w:color w:val="auto"/>
              </w:rPr>
              <w:t>0</w:t>
            </w:r>
          </w:p>
        </w:tc>
        <w:tc>
          <w:tcPr>
            <w:tcW w:w="720" w:type="dxa"/>
            <w:vAlign w:val="bottom"/>
          </w:tcPr>
          <w:p>
            <w:pPr>
              <w:jc w:val="right"/>
              <w:ind w:right="288"/>
              <w:spacing w:after="0"/>
              <w:rPr>
                <w:sz w:val="20"/>
                <w:szCs w:val="20"/>
                <w:color w:val="auto"/>
              </w:rPr>
            </w:pPr>
            <w:r>
              <w:rPr>
                <w:rFonts w:ascii="Arial" w:cs="Arial" w:eastAsia="Arial" w:hAnsi="Arial"/>
                <w:sz w:val="14"/>
                <w:szCs w:val="14"/>
                <w:color w:val="auto"/>
              </w:rPr>
              <w:t>0</w:t>
            </w:r>
          </w:p>
        </w:tc>
        <w:tc>
          <w:tcPr>
            <w:tcW w:w="580" w:type="dxa"/>
            <w:vAlign w:val="bottom"/>
          </w:tcPr>
          <w:p>
            <w:pPr>
              <w:jc w:val="right"/>
              <w:ind w:right="68"/>
              <w:spacing w:after="0"/>
              <w:rPr>
                <w:sz w:val="20"/>
                <w:szCs w:val="20"/>
                <w:color w:val="auto"/>
              </w:rPr>
            </w:pPr>
            <w:r>
              <w:rPr>
                <w:rFonts w:ascii="Arial" w:cs="Arial" w:eastAsia="Arial" w:hAnsi="Arial"/>
                <w:sz w:val="14"/>
                <w:szCs w:val="14"/>
                <w:color w:val="auto"/>
              </w:rPr>
              <w:t>0</w:t>
            </w:r>
          </w:p>
        </w:tc>
        <w:tc>
          <w:tcPr>
            <w:tcW w:w="1280" w:type="dxa"/>
            <w:vAlign w:val="bottom"/>
          </w:tcPr>
          <w:p>
            <w:pPr>
              <w:jc w:val="right"/>
              <w:spacing w:after="0"/>
              <w:rPr>
                <w:sz w:val="20"/>
                <w:szCs w:val="20"/>
                <w:color w:val="auto"/>
              </w:rPr>
            </w:pPr>
            <w:r>
              <w:rPr>
                <w:rFonts w:ascii="Arial" w:cs="Arial" w:eastAsia="Arial" w:hAnsi="Arial"/>
                <w:sz w:val="14"/>
                <w:szCs w:val="14"/>
                <w:color w:val="auto"/>
              </w:rPr>
              <w:t>1,013</w:t>
            </w:r>
          </w:p>
        </w:tc>
        <w:tc>
          <w:tcPr>
            <w:tcW w:w="0" w:type="dxa"/>
            <w:vAlign w:val="bottom"/>
          </w:tcPr>
          <w:p>
            <w:pPr>
              <w:spacing w:after="0"/>
              <w:rPr>
                <w:sz w:val="1"/>
                <w:szCs w:val="1"/>
                <w:color w:val="auto"/>
              </w:rPr>
            </w:pPr>
          </w:p>
        </w:tc>
      </w:tr>
      <w:tr>
        <w:trPr>
          <w:trHeight w:val="169"/>
        </w:trPr>
        <w:tc>
          <w:tcPr>
            <w:tcW w:w="1080" w:type="dxa"/>
            <w:vAlign w:val="bottom"/>
          </w:tcPr>
          <w:p>
            <w:pPr>
              <w:spacing w:after="0"/>
              <w:rPr>
                <w:sz w:val="14"/>
                <w:szCs w:val="14"/>
                <w:color w:val="auto"/>
              </w:rPr>
            </w:pPr>
          </w:p>
        </w:tc>
        <w:tc>
          <w:tcPr>
            <w:tcW w:w="1200" w:type="dxa"/>
            <w:vAlign w:val="bottom"/>
          </w:tcPr>
          <w:p>
            <w:pPr>
              <w:ind w:left="120"/>
              <w:spacing w:after="0"/>
              <w:rPr>
                <w:sz w:val="20"/>
                <w:szCs w:val="20"/>
                <w:color w:val="auto"/>
              </w:rPr>
            </w:pPr>
            <w:r>
              <w:rPr>
                <w:rFonts w:ascii="Arial" w:cs="Arial" w:eastAsia="Arial" w:hAnsi="Arial"/>
                <w:sz w:val="14"/>
                <w:szCs w:val="14"/>
                <w:color w:val="auto"/>
                <w:w w:val="99"/>
              </w:rPr>
              <w:t>Euronet Services</w:t>
            </w:r>
          </w:p>
        </w:tc>
        <w:tc>
          <w:tcPr>
            <w:tcW w:w="2100" w:type="dxa"/>
            <w:vAlign w:val="bottom"/>
          </w:tcPr>
          <w:p>
            <w:pPr>
              <w:ind w:left="120"/>
              <w:spacing w:after="0"/>
              <w:rPr>
                <w:sz w:val="20"/>
                <w:szCs w:val="20"/>
                <w:color w:val="auto"/>
              </w:rPr>
            </w:pPr>
            <w:r>
              <w:rPr>
                <w:rFonts w:ascii="Arial" w:cs="Arial" w:eastAsia="Arial" w:hAnsi="Arial"/>
                <w:sz w:val="14"/>
                <w:szCs w:val="14"/>
                <w:color w:val="auto"/>
                <w:w w:val="96"/>
              </w:rPr>
              <w:t>National Payment Corporation of</w:t>
            </w:r>
          </w:p>
        </w:tc>
        <w:tc>
          <w:tcPr>
            <w:tcW w:w="9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8"/>
        </w:trPr>
        <w:tc>
          <w:tcPr>
            <w:tcW w:w="1080" w:type="dxa"/>
            <w:vAlign w:val="bottom"/>
          </w:tcPr>
          <w:p>
            <w:pPr>
              <w:spacing w:after="0"/>
              <w:rPr>
                <w:sz w:val="20"/>
                <w:szCs w:val="20"/>
                <w:color w:val="auto"/>
              </w:rPr>
            </w:pPr>
            <w:r>
              <w:rPr>
                <w:rFonts w:ascii="Arial" w:cs="Arial" w:eastAsia="Arial" w:hAnsi="Arial"/>
                <w:sz w:val="14"/>
                <w:szCs w:val="14"/>
                <w:color w:val="auto"/>
              </w:rPr>
              <w:t>Bank of America</w:t>
            </w:r>
          </w:p>
        </w:tc>
        <w:tc>
          <w:tcPr>
            <w:tcW w:w="1200" w:type="dxa"/>
            <w:vAlign w:val="bottom"/>
          </w:tcPr>
          <w:p>
            <w:pPr>
              <w:ind w:left="120"/>
              <w:spacing w:after="0"/>
              <w:rPr>
                <w:sz w:val="20"/>
                <w:szCs w:val="20"/>
                <w:color w:val="auto"/>
              </w:rPr>
            </w:pPr>
            <w:r>
              <w:rPr>
                <w:rFonts w:ascii="Arial" w:cs="Arial" w:eastAsia="Arial" w:hAnsi="Arial"/>
                <w:sz w:val="14"/>
                <w:szCs w:val="14"/>
                <w:color w:val="auto"/>
              </w:rPr>
              <w:t>India Pvt. Ltd.</w:t>
            </w:r>
          </w:p>
        </w:tc>
        <w:tc>
          <w:tcPr>
            <w:tcW w:w="2100" w:type="dxa"/>
            <w:vAlign w:val="bottom"/>
          </w:tcPr>
          <w:p>
            <w:pPr>
              <w:ind w:left="120"/>
              <w:spacing w:after="0"/>
              <w:rPr>
                <w:sz w:val="20"/>
                <w:szCs w:val="20"/>
                <w:color w:val="auto"/>
              </w:rPr>
            </w:pPr>
            <w:r>
              <w:rPr>
                <w:rFonts w:ascii="Arial" w:cs="Arial" w:eastAsia="Arial" w:hAnsi="Arial"/>
                <w:sz w:val="14"/>
                <w:szCs w:val="14"/>
                <w:color w:val="auto"/>
              </w:rPr>
              <w:t>India</w:t>
            </w:r>
          </w:p>
        </w:tc>
        <w:tc>
          <w:tcPr>
            <w:tcW w:w="980" w:type="dxa"/>
            <w:vAlign w:val="bottom"/>
          </w:tcPr>
          <w:p>
            <w:pPr>
              <w:jc w:val="center"/>
              <w:spacing w:after="0"/>
              <w:rPr>
                <w:sz w:val="20"/>
                <w:szCs w:val="20"/>
                <w:color w:val="auto"/>
              </w:rPr>
            </w:pPr>
            <w:r>
              <w:rPr>
                <w:rFonts w:ascii="Arial" w:cs="Arial" w:eastAsia="Arial" w:hAnsi="Arial"/>
                <w:sz w:val="14"/>
                <w:szCs w:val="14"/>
                <w:color w:val="auto"/>
                <w:w w:val="93"/>
              </w:rPr>
              <w:t>GT110046/13</w:t>
            </w:r>
          </w:p>
        </w:tc>
        <w:tc>
          <w:tcPr>
            <w:tcW w:w="1080" w:type="dxa"/>
            <w:vAlign w:val="bottom"/>
          </w:tcPr>
          <w:p>
            <w:pPr>
              <w:jc w:val="center"/>
              <w:spacing w:after="0"/>
              <w:rPr>
                <w:sz w:val="20"/>
                <w:szCs w:val="20"/>
                <w:color w:val="auto"/>
              </w:rPr>
            </w:pPr>
            <w:r>
              <w:rPr>
                <w:rFonts w:ascii="Arial" w:cs="Arial" w:eastAsia="Arial" w:hAnsi="Arial"/>
                <w:sz w:val="14"/>
                <w:szCs w:val="14"/>
                <w:color w:val="auto"/>
                <w:w w:val="95"/>
              </w:rPr>
              <w:t>06/30/14</w:t>
            </w:r>
          </w:p>
        </w:tc>
        <w:tc>
          <w:tcPr>
            <w:tcW w:w="1280" w:type="dxa"/>
            <w:vAlign w:val="bottom"/>
          </w:tcPr>
          <w:p>
            <w:pPr>
              <w:ind w:left="60"/>
              <w:spacing w:after="0"/>
              <w:rPr>
                <w:sz w:val="20"/>
                <w:szCs w:val="20"/>
                <w:color w:val="auto"/>
              </w:rPr>
            </w:pPr>
            <w:r>
              <w:rPr>
                <w:rFonts w:ascii="Arial" w:cs="Arial" w:eastAsia="Arial" w:hAnsi="Arial"/>
                <w:sz w:val="14"/>
                <w:szCs w:val="14"/>
                <w:color w:val="auto"/>
              </w:rPr>
              <w:t>INR 1,350,000</w:t>
            </w:r>
          </w:p>
        </w:tc>
        <w:tc>
          <w:tcPr>
            <w:tcW w:w="720" w:type="dxa"/>
            <w:vAlign w:val="bottom"/>
          </w:tcPr>
          <w:p>
            <w:pPr>
              <w:jc w:val="right"/>
              <w:ind w:right="228"/>
              <w:spacing w:after="0"/>
              <w:rPr>
                <w:sz w:val="20"/>
                <w:szCs w:val="20"/>
                <w:color w:val="auto"/>
              </w:rPr>
            </w:pPr>
            <w:r>
              <w:rPr>
                <w:rFonts w:ascii="Arial" w:cs="Arial" w:eastAsia="Arial" w:hAnsi="Arial"/>
                <w:sz w:val="14"/>
                <w:szCs w:val="14"/>
                <w:color w:val="auto"/>
              </w:rPr>
              <w:t>0</w:t>
            </w:r>
          </w:p>
        </w:tc>
        <w:tc>
          <w:tcPr>
            <w:tcW w:w="720" w:type="dxa"/>
            <w:vAlign w:val="bottom"/>
          </w:tcPr>
          <w:p>
            <w:pPr>
              <w:jc w:val="right"/>
              <w:ind w:right="288"/>
              <w:spacing w:after="0"/>
              <w:rPr>
                <w:sz w:val="20"/>
                <w:szCs w:val="20"/>
                <w:color w:val="auto"/>
              </w:rPr>
            </w:pPr>
            <w:r>
              <w:rPr>
                <w:rFonts w:ascii="Arial" w:cs="Arial" w:eastAsia="Arial" w:hAnsi="Arial"/>
                <w:sz w:val="14"/>
                <w:szCs w:val="14"/>
                <w:color w:val="auto"/>
              </w:rPr>
              <w:t>0</w:t>
            </w:r>
          </w:p>
        </w:tc>
        <w:tc>
          <w:tcPr>
            <w:tcW w:w="580" w:type="dxa"/>
            <w:vAlign w:val="bottom"/>
          </w:tcPr>
          <w:p>
            <w:pPr>
              <w:jc w:val="right"/>
              <w:ind w:right="68"/>
              <w:spacing w:after="0"/>
              <w:rPr>
                <w:sz w:val="20"/>
                <w:szCs w:val="20"/>
                <w:color w:val="auto"/>
              </w:rPr>
            </w:pPr>
            <w:r>
              <w:rPr>
                <w:rFonts w:ascii="Arial" w:cs="Arial" w:eastAsia="Arial" w:hAnsi="Arial"/>
                <w:sz w:val="14"/>
                <w:szCs w:val="14"/>
                <w:color w:val="auto"/>
              </w:rPr>
              <w:t>0</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21,538</w:t>
            </w:r>
          </w:p>
        </w:tc>
        <w:tc>
          <w:tcPr>
            <w:tcW w:w="0" w:type="dxa"/>
            <w:vAlign w:val="bottom"/>
          </w:tcPr>
          <w:p>
            <w:pPr>
              <w:spacing w:after="0"/>
              <w:rPr>
                <w:sz w:val="1"/>
                <w:szCs w:val="1"/>
                <w:color w:val="auto"/>
              </w:rPr>
            </w:pPr>
          </w:p>
        </w:tc>
      </w:tr>
      <w:tr>
        <w:trPr>
          <w:trHeight w:val="139"/>
        </w:trPr>
        <w:tc>
          <w:tcPr>
            <w:tcW w:w="1080" w:type="dxa"/>
            <w:vAlign w:val="bottom"/>
          </w:tcPr>
          <w:p>
            <w:pPr>
              <w:spacing w:after="0"/>
              <w:rPr>
                <w:sz w:val="12"/>
                <w:szCs w:val="12"/>
                <w:color w:val="auto"/>
              </w:rPr>
            </w:pPr>
          </w:p>
        </w:tc>
        <w:tc>
          <w:tcPr>
            <w:tcW w:w="1200" w:type="dxa"/>
            <w:vAlign w:val="bottom"/>
          </w:tcPr>
          <w:p>
            <w:pPr>
              <w:ind w:left="120"/>
              <w:spacing w:after="0" w:line="139" w:lineRule="exact"/>
              <w:rPr>
                <w:sz w:val="20"/>
                <w:szCs w:val="20"/>
                <w:color w:val="auto"/>
              </w:rPr>
            </w:pPr>
            <w:r>
              <w:rPr>
                <w:rFonts w:ascii="Arial" w:cs="Arial" w:eastAsia="Arial" w:hAnsi="Arial"/>
                <w:sz w:val="14"/>
                <w:szCs w:val="14"/>
                <w:b w:val="1"/>
                <w:bCs w:val="1"/>
                <w:color w:val="auto"/>
              </w:rPr>
              <w:t>Total Existing</w:t>
            </w:r>
          </w:p>
        </w:tc>
        <w:tc>
          <w:tcPr>
            <w:tcW w:w="21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8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326,593</w:t>
            </w:r>
          </w:p>
        </w:tc>
        <w:tc>
          <w:tcPr>
            <w:tcW w:w="0" w:type="dxa"/>
            <w:vAlign w:val="bottom"/>
          </w:tcPr>
          <w:p>
            <w:pPr>
              <w:spacing w:after="0"/>
              <w:rPr>
                <w:sz w:val="1"/>
                <w:szCs w:val="1"/>
                <w:color w:val="auto"/>
              </w:rPr>
            </w:pPr>
          </w:p>
        </w:tc>
      </w:tr>
      <w:tr>
        <w:trPr>
          <w:trHeight w:val="186"/>
        </w:trPr>
        <w:tc>
          <w:tcPr>
            <w:tcW w:w="1080" w:type="dxa"/>
            <w:vAlign w:val="bottom"/>
          </w:tcPr>
          <w:p>
            <w:pPr>
              <w:spacing w:after="0"/>
              <w:rPr>
                <w:sz w:val="16"/>
                <w:szCs w:val="16"/>
                <w:color w:val="auto"/>
              </w:rPr>
            </w:pPr>
          </w:p>
        </w:tc>
        <w:tc>
          <w:tcPr>
            <w:tcW w:w="1200" w:type="dxa"/>
            <w:vAlign w:val="bottom"/>
          </w:tcPr>
          <w:p>
            <w:pPr>
              <w:ind w:left="120"/>
              <w:spacing w:after="0"/>
              <w:rPr>
                <w:sz w:val="20"/>
                <w:szCs w:val="20"/>
                <w:color w:val="auto"/>
              </w:rPr>
            </w:pPr>
            <w:r>
              <w:rPr>
                <w:rFonts w:ascii="Arial" w:cs="Arial" w:eastAsia="Arial" w:hAnsi="Arial"/>
                <w:sz w:val="14"/>
                <w:szCs w:val="14"/>
                <w:b w:val="1"/>
                <w:bCs w:val="1"/>
                <w:color w:val="auto"/>
              </w:rPr>
              <w:t>India LC</w:t>
            </w:r>
          </w:p>
        </w:tc>
        <w:tc>
          <w:tcPr>
            <w:tcW w:w="21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2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bl>
    <w:p>
      <w:pPr>
        <w:sectPr>
          <w:pgSz w:w="11900" w:h="16838" w:orient="portrait"/>
          <w:cols w:equalWidth="0" w:num="1">
            <w:col w:w="11020"/>
          </w:cols>
          <w:pgMar w:left="460" w:top="514" w:right="419" w:bottom="1440" w:gutter="0" w:footer="0" w:header="0"/>
        </w:sectPr>
      </w:pPr>
    </w:p>
    <w:bookmarkStart w:id="263" w:name="page264"/>
    <w:bookmarkEnd w:id="26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60" w:type="dxa"/>
            <w:vAlign w:val="bottom"/>
          </w:tcPr>
          <w:p>
            <w:pPr>
              <w:spacing w:after="0"/>
              <w:rPr>
                <w:sz w:val="14"/>
                <w:szCs w:val="14"/>
                <w:color w:val="auto"/>
              </w:rPr>
            </w:pPr>
          </w:p>
        </w:tc>
        <w:tc>
          <w:tcPr>
            <w:tcW w:w="1240" w:type="dxa"/>
            <w:vAlign w:val="bottom"/>
          </w:tcPr>
          <w:p>
            <w:pPr>
              <w:ind w:left="100"/>
              <w:spacing w:after="0"/>
              <w:rPr>
                <w:sz w:val="20"/>
                <w:szCs w:val="20"/>
                <w:color w:val="auto"/>
              </w:rPr>
            </w:pPr>
            <w:r>
              <w:rPr>
                <w:rFonts w:ascii="Arial" w:cs="Arial" w:eastAsia="Arial" w:hAnsi="Arial"/>
                <w:sz w:val="14"/>
                <w:szCs w:val="14"/>
                <w:color w:val="auto"/>
              </w:rPr>
              <w:t>Euronet</w:t>
            </w:r>
          </w:p>
        </w:tc>
        <w:tc>
          <w:tcPr>
            <w:tcW w:w="20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49"/>
        </w:trPr>
        <w:tc>
          <w:tcPr>
            <w:tcW w:w="1060" w:type="dxa"/>
            <w:vAlign w:val="bottom"/>
          </w:tcPr>
          <w:p>
            <w:pPr>
              <w:spacing w:after="0"/>
              <w:rPr>
                <w:sz w:val="12"/>
                <w:szCs w:val="12"/>
                <w:color w:val="auto"/>
              </w:rPr>
            </w:pPr>
          </w:p>
        </w:tc>
        <w:tc>
          <w:tcPr>
            <w:tcW w:w="1240" w:type="dxa"/>
            <w:vAlign w:val="bottom"/>
          </w:tcPr>
          <w:p>
            <w:pPr>
              <w:ind w:left="100"/>
              <w:spacing w:after="0" w:line="149" w:lineRule="exact"/>
              <w:rPr>
                <w:sz w:val="20"/>
                <w:szCs w:val="20"/>
                <w:color w:val="auto"/>
              </w:rPr>
            </w:pPr>
            <w:r>
              <w:rPr>
                <w:rFonts w:ascii="Arial" w:cs="Arial" w:eastAsia="Arial" w:hAnsi="Arial"/>
                <w:sz w:val="14"/>
                <w:szCs w:val="14"/>
                <w:color w:val="auto"/>
              </w:rPr>
              <w:t>TeleRecarga,</w:t>
            </w:r>
          </w:p>
        </w:tc>
        <w:tc>
          <w:tcPr>
            <w:tcW w:w="20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80" w:type="dxa"/>
            <w:vAlign w:val="bottom"/>
          </w:tcPr>
          <w:p>
            <w:pPr>
              <w:jc w:val="right"/>
              <w:ind w:right="308"/>
              <w:spacing w:after="0" w:line="149" w:lineRule="exact"/>
              <w:rPr>
                <w:sz w:val="20"/>
                <w:szCs w:val="20"/>
                <w:color w:val="auto"/>
              </w:rPr>
            </w:pPr>
            <w:r>
              <w:rPr>
                <w:rFonts w:ascii="Arial" w:cs="Arial" w:eastAsia="Arial" w:hAnsi="Arial"/>
                <w:sz w:val="14"/>
                <w:szCs w:val="14"/>
                <w:color w:val="auto"/>
              </w:rPr>
              <w:t>EUR</w:t>
            </w:r>
          </w:p>
        </w:tc>
        <w:tc>
          <w:tcPr>
            <w:tcW w:w="1020" w:type="dxa"/>
            <w:vAlign w:val="bottom"/>
          </w:tcPr>
          <w:p>
            <w:pPr>
              <w:spacing w:after="0"/>
              <w:rPr>
                <w:sz w:val="12"/>
                <w:szCs w:val="12"/>
                <w:color w:val="auto"/>
              </w:rPr>
            </w:pPr>
          </w:p>
        </w:tc>
      </w:tr>
      <w:tr>
        <w:trPr>
          <w:trHeight w:val="182"/>
        </w:trPr>
        <w:tc>
          <w:tcPr>
            <w:tcW w:w="1060" w:type="dxa"/>
            <w:vAlign w:val="bottom"/>
          </w:tcPr>
          <w:p>
            <w:pPr>
              <w:spacing w:after="0"/>
              <w:rPr>
                <w:sz w:val="20"/>
                <w:szCs w:val="20"/>
                <w:color w:val="auto"/>
              </w:rPr>
            </w:pPr>
            <w:r>
              <w:rPr>
                <w:rFonts w:ascii="Arial" w:cs="Arial" w:eastAsia="Arial" w:hAnsi="Arial"/>
                <w:sz w:val="14"/>
                <w:szCs w:val="14"/>
                <w:color w:val="auto"/>
              </w:rPr>
              <w:t>Bank of America</w:t>
            </w:r>
          </w:p>
        </w:tc>
        <w:tc>
          <w:tcPr>
            <w:tcW w:w="1240" w:type="dxa"/>
            <w:vAlign w:val="bottom"/>
          </w:tcPr>
          <w:p>
            <w:pPr>
              <w:ind w:left="100"/>
              <w:spacing w:after="0"/>
              <w:rPr>
                <w:sz w:val="20"/>
                <w:szCs w:val="20"/>
                <w:color w:val="auto"/>
              </w:rPr>
            </w:pPr>
            <w:r>
              <w:rPr>
                <w:rFonts w:ascii="Arial" w:cs="Arial" w:eastAsia="Arial" w:hAnsi="Arial"/>
                <w:sz w:val="14"/>
                <w:szCs w:val="14"/>
                <w:color w:val="auto"/>
              </w:rPr>
              <w:t>S.L.U.</w:t>
            </w:r>
          </w:p>
        </w:tc>
        <w:tc>
          <w:tcPr>
            <w:tcW w:w="2040" w:type="dxa"/>
            <w:vAlign w:val="bottom"/>
          </w:tcPr>
          <w:p>
            <w:pPr>
              <w:ind w:left="60"/>
              <w:spacing w:after="0"/>
              <w:rPr>
                <w:sz w:val="20"/>
                <w:szCs w:val="20"/>
                <w:color w:val="auto"/>
              </w:rPr>
            </w:pPr>
            <w:r>
              <w:rPr>
                <w:rFonts w:ascii="Arial" w:cs="Arial" w:eastAsia="Arial" w:hAnsi="Arial"/>
                <w:sz w:val="14"/>
                <w:szCs w:val="14"/>
                <w:color w:val="auto"/>
              </w:rPr>
              <w:t>Vodafone España, S.A.U.</w:t>
            </w:r>
          </w:p>
        </w:tc>
        <w:tc>
          <w:tcPr>
            <w:tcW w:w="960" w:type="dxa"/>
            <w:vAlign w:val="bottom"/>
          </w:tcPr>
          <w:p>
            <w:pPr>
              <w:jc w:val="center"/>
              <w:ind w:right="48"/>
              <w:spacing w:after="0"/>
              <w:rPr>
                <w:sz w:val="20"/>
                <w:szCs w:val="20"/>
                <w:color w:val="auto"/>
              </w:rPr>
            </w:pPr>
            <w:r>
              <w:rPr>
                <w:rFonts w:ascii="Arial" w:cs="Arial" w:eastAsia="Arial" w:hAnsi="Arial"/>
                <w:sz w:val="14"/>
                <w:szCs w:val="14"/>
                <w:color w:val="auto"/>
              </w:rPr>
              <w:t>0</w:t>
            </w:r>
          </w:p>
        </w:tc>
        <w:tc>
          <w:tcPr>
            <w:tcW w:w="900" w:type="dxa"/>
            <w:vAlign w:val="bottom"/>
          </w:tcPr>
          <w:p>
            <w:pPr>
              <w:jc w:val="center"/>
              <w:spacing w:after="0"/>
              <w:rPr>
                <w:sz w:val="20"/>
                <w:szCs w:val="20"/>
                <w:color w:val="auto"/>
              </w:rPr>
            </w:pPr>
            <w:r>
              <w:rPr>
                <w:rFonts w:ascii="Arial" w:cs="Arial" w:eastAsia="Arial" w:hAnsi="Arial"/>
                <w:sz w:val="14"/>
                <w:szCs w:val="14"/>
                <w:color w:val="auto"/>
                <w:w w:val="95"/>
              </w:rPr>
              <w:t>12/31/14</w:t>
            </w:r>
          </w:p>
        </w:tc>
        <w:tc>
          <w:tcPr>
            <w:tcW w:w="1280" w:type="dxa"/>
            <w:vAlign w:val="bottom"/>
          </w:tcPr>
          <w:p>
            <w:pPr>
              <w:ind w:left="180"/>
              <w:spacing w:after="0"/>
              <w:rPr>
                <w:sz w:val="20"/>
                <w:szCs w:val="20"/>
                <w:color w:val="auto"/>
              </w:rPr>
            </w:pPr>
            <w:r>
              <w:rPr>
                <w:rFonts w:ascii="Arial" w:cs="Arial" w:eastAsia="Arial" w:hAnsi="Arial"/>
                <w:sz w:val="14"/>
                <w:szCs w:val="14"/>
                <w:color w:val="auto"/>
              </w:rPr>
              <w:t>EUR 700,000</w:t>
            </w:r>
          </w:p>
        </w:tc>
        <w:tc>
          <w:tcPr>
            <w:tcW w:w="780" w:type="dxa"/>
            <w:vAlign w:val="bottom"/>
          </w:tcPr>
          <w:p>
            <w:pPr>
              <w:jc w:val="right"/>
              <w:ind w:right="8"/>
              <w:spacing w:after="0"/>
              <w:rPr>
                <w:sz w:val="20"/>
                <w:szCs w:val="20"/>
                <w:color w:val="auto"/>
              </w:rPr>
            </w:pPr>
            <w:r>
              <w:rPr>
                <w:rFonts w:ascii="Arial" w:cs="Arial" w:eastAsia="Arial" w:hAnsi="Arial"/>
                <w:sz w:val="14"/>
                <w:szCs w:val="14"/>
                <w:color w:val="auto"/>
              </w:rPr>
              <w:t>3113767</w:t>
            </w:r>
          </w:p>
        </w:tc>
        <w:tc>
          <w:tcPr>
            <w:tcW w:w="640" w:type="dxa"/>
            <w:vAlign w:val="bottom"/>
          </w:tcPr>
          <w:p>
            <w:pPr>
              <w:jc w:val="right"/>
              <w:spacing w:after="0"/>
              <w:rPr>
                <w:sz w:val="20"/>
                <w:szCs w:val="20"/>
                <w:color w:val="auto"/>
              </w:rPr>
            </w:pPr>
            <w:r>
              <w:rPr>
                <w:rFonts w:ascii="Arial" w:cs="Arial" w:eastAsia="Arial" w:hAnsi="Arial"/>
                <w:sz w:val="14"/>
                <w:szCs w:val="14"/>
                <w:color w:val="auto"/>
              </w:rPr>
              <w:t>02/28/15</w:t>
            </w:r>
          </w:p>
        </w:tc>
        <w:tc>
          <w:tcPr>
            <w:tcW w:w="1080" w:type="dxa"/>
            <w:vAlign w:val="bottom"/>
          </w:tcPr>
          <w:p>
            <w:pPr>
              <w:jc w:val="right"/>
              <w:ind w:right="308"/>
              <w:spacing w:after="0"/>
              <w:rPr>
                <w:sz w:val="20"/>
                <w:szCs w:val="20"/>
                <w:color w:val="auto"/>
              </w:rPr>
            </w:pPr>
            <w:r>
              <w:rPr>
                <w:rFonts w:ascii="Arial" w:cs="Arial" w:eastAsia="Arial" w:hAnsi="Arial"/>
                <w:sz w:val="14"/>
                <w:szCs w:val="14"/>
                <w:color w:val="auto"/>
              </w:rPr>
              <w:t>700,000</w:t>
            </w:r>
          </w:p>
        </w:tc>
        <w:tc>
          <w:tcPr>
            <w:tcW w:w="1020" w:type="dxa"/>
            <w:vAlign w:val="bottom"/>
          </w:tcPr>
          <w:p>
            <w:pPr>
              <w:jc w:val="right"/>
              <w:spacing w:after="0"/>
              <w:rPr>
                <w:sz w:val="20"/>
                <w:szCs w:val="20"/>
                <w:color w:val="auto"/>
              </w:rPr>
            </w:pPr>
            <w:r>
              <w:rPr>
                <w:rFonts w:ascii="Arial" w:cs="Arial" w:eastAsia="Arial" w:hAnsi="Arial"/>
                <w:sz w:val="14"/>
                <w:szCs w:val="14"/>
                <w:color w:val="auto"/>
              </w:rPr>
              <w:t>945,910</w:t>
            </w:r>
          </w:p>
        </w:tc>
      </w:tr>
      <w:tr>
        <w:trPr>
          <w:trHeight w:val="169"/>
        </w:trPr>
        <w:tc>
          <w:tcPr>
            <w:tcW w:w="1060" w:type="dxa"/>
            <w:vAlign w:val="bottom"/>
          </w:tcPr>
          <w:p>
            <w:pPr>
              <w:spacing w:after="0"/>
              <w:rPr>
                <w:sz w:val="14"/>
                <w:szCs w:val="14"/>
                <w:color w:val="auto"/>
              </w:rPr>
            </w:pPr>
          </w:p>
        </w:tc>
        <w:tc>
          <w:tcPr>
            <w:tcW w:w="1240" w:type="dxa"/>
            <w:vAlign w:val="bottom"/>
          </w:tcPr>
          <w:p>
            <w:pPr>
              <w:ind w:left="100"/>
              <w:spacing w:after="0"/>
              <w:rPr>
                <w:sz w:val="20"/>
                <w:szCs w:val="20"/>
                <w:color w:val="auto"/>
              </w:rPr>
            </w:pPr>
            <w:r>
              <w:rPr>
                <w:rFonts w:ascii="Arial" w:cs="Arial" w:eastAsia="Arial" w:hAnsi="Arial"/>
                <w:sz w:val="14"/>
                <w:szCs w:val="14"/>
                <w:color w:val="auto"/>
              </w:rPr>
              <w:t>Euronet</w:t>
            </w:r>
          </w:p>
        </w:tc>
        <w:tc>
          <w:tcPr>
            <w:tcW w:w="20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49"/>
        </w:trPr>
        <w:tc>
          <w:tcPr>
            <w:tcW w:w="1060" w:type="dxa"/>
            <w:vAlign w:val="bottom"/>
          </w:tcPr>
          <w:p>
            <w:pPr>
              <w:spacing w:after="0"/>
              <w:rPr>
                <w:sz w:val="12"/>
                <w:szCs w:val="12"/>
                <w:color w:val="auto"/>
              </w:rPr>
            </w:pPr>
          </w:p>
        </w:tc>
        <w:tc>
          <w:tcPr>
            <w:tcW w:w="1240" w:type="dxa"/>
            <w:vAlign w:val="bottom"/>
          </w:tcPr>
          <w:p>
            <w:pPr>
              <w:ind w:left="100"/>
              <w:spacing w:after="0" w:line="149" w:lineRule="exact"/>
              <w:rPr>
                <w:sz w:val="20"/>
                <w:szCs w:val="20"/>
                <w:color w:val="auto"/>
              </w:rPr>
            </w:pPr>
            <w:r>
              <w:rPr>
                <w:rFonts w:ascii="Arial" w:cs="Arial" w:eastAsia="Arial" w:hAnsi="Arial"/>
                <w:sz w:val="14"/>
                <w:szCs w:val="14"/>
                <w:color w:val="auto"/>
              </w:rPr>
              <w:t>TeleRecarga,</w:t>
            </w:r>
          </w:p>
        </w:tc>
        <w:tc>
          <w:tcPr>
            <w:tcW w:w="2040" w:type="dxa"/>
            <w:vAlign w:val="bottom"/>
          </w:tcPr>
          <w:p>
            <w:pPr>
              <w:ind w:left="60"/>
              <w:spacing w:after="0" w:line="149" w:lineRule="exact"/>
              <w:rPr>
                <w:sz w:val="20"/>
                <w:szCs w:val="20"/>
                <w:color w:val="auto"/>
              </w:rPr>
            </w:pPr>
            <w:r>
              <w:rPr>
                <w:rFonts w:ascii="Arial" w:cs="Arial" w:eastAsia="Arial" w:hAnsi="Arial"/>
                <w:sz w:val="14"/>
                <w:szCs w:val="14"/>
                <w:color w:val="auto"/>
              </w:rPr>
              <w:t>Telefonica Móviles España,</w:t>
            </w:r>
          </w:p>
        </w:tc>
        <w:tc>
          <w:tcPr>
            <w:tcW w:w="9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80" w:type="dxa"/>
            <w:vAlign w:val="bottom"/>
          </w:tcPr>
          <w:p>
            <w:pPr>
              <w:jc w:val="right"/>
              <w:ind w:right="308"/>
              <w:spacing w:after="0" w:line="149" w:lineRule="exact"/>
              <w:rPr>
                <w:sz w:val="20"/>
                <w:szCs w:val="20"/>
                <w:color w:val="auto"/>
              </w:rPr>
            </w:pPr>
            <w:r>
              <w:rPr>
                <w:rFonts w:ascii="Arial" w:cs="Arial" w:eastAsia="Arial" w:hAnsi="Arial"/>
                <w:sz w:val="14"/>
                <w:szCs w:val="14"/>
                <w:color w:val="auto"/>
              </w:rPr>
              <w:t>EUR</w:t>
            </w:r>
          </w:p>
        </w:tc>
        <w:tc>
          <w:tcPr>
            <w:tcW w:w="1020" w:type="dxa"/>
            <w:vAlign w:val="bottom"/>
          </w:tcPr>
          <w:p>
            <w:pPr>
              <w:spacing w:after="0"/>
              <w:rPr>
                <w:sz w:val="12"/>
                <w:szCs w:val="12"/>
                <w:color w:val="auto"/>
              </w:rPr>
            </w:pPr>
          </w:p>
        </w:tc>
      </w:tr>
      <w:tr>
        <w:trPr>
          <w:trHeight w:val="182"/>
        </w:trPr>
        <w:tc>
          <w:tcPr>
            <w:tcW w:w="1060" w:type="dxa"/>
            <w:vAlign w:val="bottom"/>
          </w:tcPr>
          <w:p>
            <w:pPr>
              <w:spacing w:after="0"/>
              <w:rPr>
                <w:sz w:val="20"/>
                <w:szCs w:val="20"/>
                <w:color w:val="auto"/>
              </w:rPr>
            </w:pPr>
            <w:r>
              <w:rPr>
                <w:rFonts w:ascii="Arial" w:cs="Arial" w:eastAsia="Arial" w:hAnsi="Arial"/>
                <w:sz w:val="14"/>
                <w:szCs w:val="14"/>
                <w:color w:val="auto"/>
              </w:rPr>
              <w:t>Bank of America</w:t>
            </w:r>
          </w:p>
        </w:tc>
        <w:tc>
          <w:tcPr>
            <w:tcW w:w="1240" w:type="dxa"/>
            <w:vAlign w:val="bottom"/>
          </w:tcPr>
          <w:p>
            <w:pPr>
              <w:ind w:left="100"/>
              <w:spacing w:after="0"/>
              <w:rPr>
                <w:sz w:val="20"/>
                <w:szCs w:val="20"/>
                <w:color w:val="auto"/>
              </w:rPr>
            </w:pPr>
            <w:r>
              <w:rPr>
                <w:rFonts w:ascii="Arial" w:cs="Arial" w:eastAsia="Arial" w:hAnsi="Arial"/>
                <w:sz w:val="14"/>
                <w:szCs w:val="14"/>
                <w:color w:val="auto"/>
              </w:rPr>
              <w:t>S.L.U.</w:t>
            </w:r>
          </w:p>
        </w:tc>
        <w:tc>
          <w:tcPr>
            <w:tcW w:w="2040" w:type="dxa"/>
            <w:vAlign w:val="bottom"/>
          </w:tcPr>
          <w:p>
            <w:pPr>
              <w:ind w:left="60"/>
              <w:spacing w:after="0"/>
              <w:rPr>
                <w:sz w:val="20"/>
                <w:szCs w:val="20"/>
                <w:color w:val="auto"/>
              </w:rPr>
            </w:pPr>
            <w:r>
              <w:rPr>
                <w:rFonts w:ascii="Arial" w:cs="Arial" w:eastAsia="Arial" w:hAnsi="Arial"/>
                <w:sz w:val="14"/>
                <w:szCs w:val="14"/>
                <w:color w:val="auto"/>
              </w:rPr>
              <w:t>S.A. (a.k.a. Movistar)</w:t>
            </w:r>
          </w:p>
        </w:tc>
        <w:tc>
          <w:tcPr>
            <w:tcW w:w="960" w:type="dxa"/>
            <w:vAlign w:val="bottom"/>
          </w:tcPr>
          <w:p>
            <w:pPr>
              <w:jc w:val="center"/>
              <w:ind w:right="48"/>
              <w:spacing w:after="0"/>
              <w:rPr>
                <w:sz w:val="20"/>
                <w:szCs w:val="20"/>
                <w:color w:val="auto"/>
              </w:rPr>
            </w:pPr>
            <w:r>
              <w:rPr>
                <w:rFonts w:ascii="Arial" w:cs="Arial" w:eastAsia="Arial" w:hAnsi="Arial"/>
                <w:sz w:val="14"/>
                <w:szCs w:val="14"/>
                <w:color w:val="auto"/>
              </w:rPr>
              <w:t>0</w:t>
            </w:r>
          </w:p>
        </w:tc>
        <w:tc>
          <w:tcPr>
            <w:tcW w:w="900" w:type="dxa"/>
            <w:vAlign w:val="bottom"/>
          </w:tcPr>
          <w:p>
            <w:pPr>
              <w:jc w:val="center"/>
              <w:spacing w:after="0"/>
              <w:rPr>
                <w:sz w:val="20"/>
                <w:szCs w:val="20"/>
                <w:color w:val="auto"/>
              </w:rPr>
            </w:pPr>
            <w:r>
              <w:rPr>
                <w:rFonts w:ascii="Arial" w:cs="Arial" w:eastAsia="Arial" w:hAnsi="Arial"/>
                <w:sz w:val="14"/>
                <w:szCs w:val="14"/>
                <w:color w:val="auto"/>
                <w:w w:val="95"/>
              </w:rPr>
              <w:t>05/01/14</w:t>
            </w:r>
          </w:p>
        </w:tc>
        <w:tc>
          <w:tcPr>
            <w:tcW w:w="1280" w:type="dxa"/>
            <w:vAlign w:val="bottom"/>
          </w:tcPr>
          <w:p>
            <w:pPr>
              <w:ind w:left="180"/>
              <w:spacing w:after="0"/>
              <w:rPr>
                <w:sz w:val="20"/>
                <w:szCs w:val="20"/>
                <w:color w:val="auto"/>
              </w:rPr>
            </w:pPr>
            <w:r>
              <w:rPr>
                <w:rFonts w:ascii="Arial" w:cs="Arial" w:eastAsia="Arial" w:hAnsi="Arial"/>
                <w:sz w:val="14"/>
                <w:szCs w:val="14"/>
                <w:color w:val="auto"/>
              </w:rPr>
              <w:t>EUR 3,250,000</w:t>
            </w:r>
          </w:p>
        </w:tc>
        <w:tc>
          <w:tcPr>
            <w:tcW w:w="780" w:type="dxa"/>
            <w:vAlign w:val="bottom"/>
          </w:tcPr>
          <w:p>
            <w:pPr>
              <w:jc w:val="right"/>
              <w:spacing w:after="0"/>
              <w:rPr>
                <w:sz w:val="20"/>
                <w:szCs w:val="20"/>
                <w:color w:val="auto"/>
              </w:rPr>
            </w:pPr>
            <w:r>
              <w:rPr>
                <w:rFonts w:ascii="Arial" w:cs="Arial" w:eastAsia="Arial" w:hAnsi="Arial"/>
                <w:sz w:val="14"/>
                <w:szCs w:val="14"/>
                <w:color w:val="auto"/>
              </w:rPr>
              <w:t>3088844</w:t>
            </w:r>
          </w:p>
        </w:tc>
        <w:tc>
          <w:tcPr>
            <w:tcW w:w="640" w:type="dxa"/>
            <w:vAlign w:val="bottom"/>
          </w:tcPr>
          <w:p>
            <w:pPr>
              <w:jc w:val="right"/>
              <w:spacing w:after="0"/>
              <w:rPr>
                <w:sz w:val="20"/>
                <w:szCs w:val="20"/>
                <w:color w:val="auto"/>
              </w:rPr>
            </w:pPr>
            <w:r>
              <w:rPr>
                <w:rFonts w:ascii="Arial" w:cs="Arial" w:eastAsia="Arial" w:hAnsi="Arial"/>
                <w:sz w:val="14"/>
                <w:szCs w:val="14"/>
                <w:color w:val="auto"/>
              </w:rPr>
              <w:t>06/01/14</w:t>
            </w:r>
          </w:p>
        </w:tc>
        <w:tc>
          <w:tcPr>
            <w:tcW w:w="1080" w:type="dxa"/>
            <w:vAlign w:val="bottom"/>
          </w:tcPr>
          <w:p>
            <w:pPr>
              <w:jc w:val="right"/>
              <w:ind w:right="308"/>
              <w:spacing w:after="0"/>
              <w:rPr>
                <w:sz w:val="20"/>
                <w:szCs w:val="20"/>
                <w:color w:val="auto"/>
              </w:rPr>
            </w:pPr>
            <w:r>
              <w:rPr>
                <w:rFonts w:ascii="Arial" w:cs="Arial" w:eastAsia="Arial" w:hAnsi="Arial"/>
                <w:sz w:val="14"/>
                <w:szCs w:val="14"/>
                <w:color w:val="auto"/>
              </w:rPr>
              <w:t>3,250,000</w:t>
            </w:r>
          </w:p>
        </w:tc>
        <w:tc>
          <w:tcPr>
            <w:tcW w:w="1020" w:type="dxa"/>
            <w:vAlign w:val="bottom"/>
          </w:tcPr>
          <w:p>
            <w:pPr>
              <w:jc w:val="right"/>
              <w:spacing w:after="0"/>
              <w:rPr>
                <w:sz w:val="20"/>
                <w:szCs w:val="20"/>
                <w:color w:val="auto"/>
              </w:rPr>
            </w:pPr>
            <w:r>
              <w:rPr>
                <w:rFonts w:ascii="Arial" w:cs="Arial" w:eastAsia="Arial" w:hAnsi="Arial"/>
                <w:sz w:val="14"/>
                <w:szCs w:val="14"/>
                <w:color w:val="auto"/>
              </w:rPr>
              <w:t>4,391,725</w:t>
            </w:r>
          </w:p>
        </w:tc>
      </w:tr>
      <w:tr>
        <w:trPr>
          <w:trHeight w:val="169"/>
        </w:trPr>
        <w:tc>
          <w:tcPr>
            <w:tcW w:w="1060" w:type="dxa"/>
            <w:vAlign w:val="bottom"/>
          </w:tcPr>
          <w:p>
            <w:pPr>
              <w:spacing w:after="0"/>
              <w:rPr>
                <w:sz w:val="14"/>
                <w:szCs w:val="14"/>
                <w:color w:val="auto"/>
              </w:rPr>
            </w:pPr>
          </w:p>
        </w:tc>
        <w:tc>
          <w:tcPr>
            <w:tcW w:w="1240" w:type="dxa"/>
            <w:vAlign w:val="bottom"/>
          </w:tcPr>
          <w:p>
            <w:pPr>
              <w:ind w:left="100"/>
              <w:spacing w:after="0"/>
              <w:rPr>
                <w:sz w:val="20"/>
                <w:szCs w:val="20"/>
                <w:color w:val="auto"/>
              </w:rPr>
            </w:pPr>
            <w:r>
              <w:rPr>
                <w:rFonts w:ascii="Arial" w:cs="Arial" w:eastAsia="Arial" w:hAnsi="Arial"/>
                <w:sz w:val="14"/>
                <w:szCs w:val="14"/>
                <w:color w:val="auto"/>
              </w:rPr>
              <w:t>Euronet</w:t>
            </w:r>
          </w:p>
        </w:tc>
        <w:tc>
          <w:tcPr>
            <w:tcW w:w="20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49"/>
        </w:trPr>
        <w:tc>
          <w:tcPr>
            <w:tcW w:w="1060" w:type="dxa"/>
            <w:vAlign w:val="bottom"/>
          </w:tcPr>
          <w:p>
            <w:pPr>
              <w:spacing w:after="0"/>
              <w:rPr>
                <w:sz w:val="12"/>
                <w:szCs w:val="12"/>
                <w:color w:val="auto"/>
              </w:rPr>
            </w:pPr>
          </w:p>
        </w:tc>
        <w:tc>
          <w:tcPr>
            <w:tcW w:w="1240" w:type="dxa"/>
            <w:vAlign w:val="bottom"/>
          </w:tcPr>
          <w:p>
            <w:pPr>
              <w:ind w:left="100"/>
              <w:spacing w:after="0" w:line="149" w:lineRule="exact"/>
              <w:rPr>
                <w:sz w:val="20"/>
                <w:szCs w:val="20"/>
                <w:color w:val="auto"/>
              </w:rPr>
            </w:pPr>
            <w:r>
              <w:rPr>
                <w:rFonts w:ascii="Arial" w:cs="Arial" w:eastAsia="Arial" w:hAnsi="Arial"/>
                <w:sz w:val="14"/>
                <w:szCs w:val="14"/>
                <w:color w:val="auto"/>
              </w:rPr>
              <w:t>TeleRecarga,</w:t>
            </w:r>
          </w:p>
        </w:tc>
        <w:tc>
          <w:tcPr>
            <w:tcW w:w="2040" w:type="dxa"/>
            <w:vAlign w:val="bottom"/>
          </w:tcPr>
          <w:p>
            <w:pPr>
              <w:ind w:left="60"/>
              <w:spacing w:after="0" w:line="149" w:lineRule="exact"/>
              <w:rPr>
                <w:sz w:val="20"/>
                <w:szCs w:val="20"/>
                <w:color w:val="auto"/>
              </w:rPr>
            </w:pPr>
            <w:r>
              <w:rPr>
                <w:rFonts w:ascii="Arial" w:cs="Arial" w:eastAsia="Arial" w:hAnsi="Arial"/>
                <w:sz w:val="14"/>
                <w:szCs w:val="14"/>
                <w:color w:val="auto"/>
                <w:w w:val="97"/>
              </w:rPr>
              <w:t>France Telecom España, S.A.U.</w:t>
            </w:r>
          </w:p>
        </w:tc>
        <w:tc>
          <w:tcPr>
            <w:tcW w:w="9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80" w:type="dxa"/>
            <w:vAlign w:val="bottom"/>
          </w:tcPr>
          <w:p>
            <w:pPr>
              <w:jc w:val="right"/>
              <w:ind w:right="308"/>
              <w:spacing w:after="0" w:line="149" w:lineRule="exact"/>
              <w:rPr>
                <w:sz w:val="20"/>
                <w:szCs w:val="20"/>
                <w:color w:val="auto"/>
              </w:rPr>
            </w:pPr>
            <w:r>
              <w:rPr>
                <w:rFonts w:ascii="Arial" w:cs="Arial" w:eastAsia="Arial" w:hAnsi="Arial"/>
                <w:sz w:val="14"/>
                <w:szCs w:val="14"/>
                <w:color w:val="auto"/>
              </w:rPr>
              <w:t>EUR</w:t>
            </w:r>
          </w:p>
        </w:tc>
        <w:tc>
          <w:tcPr>
            <w:tcW w:w="1020" w:type="dxa"/>
            <w:vAlign w:val="bottom"/>
          </w:tcPr>
          <w:p>
            <w:pPr>
              <w:spacing w:after="0"/>
              <w:rPr>
                <w:sz w:val="12"/>
                <w:szCs w:val="12"/>
                <w:color w:val="auto"/>
              </w:rPr>
            </w:pPr>
          </w:p>
        </w:tc>
      </w:tr>
      <w:tr>
        <w:trPr>
          <w:trHeight w:val="182"/>
        </w:trPr>
        <w:tc>
          <w:tcPr>
            <w:tcW w:w="1060" w:type="dxa"/>
            <w:vAlign w:val="bottom"/>
          </w:tcPr>
          <w:p>
            <w:pPr>
              <w:spacing w:after="0"/>
              <w:rPr>
                <w:sz w:val="20"/>
                <w:szCs w:val="20"/>
                <w:color w:val="auto"/>
              </w:rPr>
            </w:pPr>
            <w:r>
              <w:rPr>
                <w:rFonts w:ascii="Arial" w:cs="Arial" w:eastAsia="Arial" w:hAnsi="Arial"/>
                <w:sz w:val="14"/>
                <w:szCs w:val="14"/>
                <w:color w:val="auto"/>
              </w:rPr>
              <w:t>Bank of America</w:t>
            </w:r>
          </w:p>
        </w:tc>
        <w:tc>
          <w:tcPr>
            <w:tcW w:w="1240" w:type="dxa"/>
            <w:vAlign w:val="bottom"/>
          </w:tcPr>
          <w:p>
            <w:pPr>
              <w:ind w:left="100"/>
              <w:spacing w:after="0"/>
              <w:rPr>
                <w:sz w:val="20"/>
                <w:szCs w:val="20"/>
                <w:color w:val="auto"/>
              </w:rPr>
            </w:pPr>
            <w:r>
              <w:rPr>
                <w:rFonts w:ascii="Arial" w:cs="Arial" w:eastAsia="Arial" w:hAnsi="Arial"/>
                <w:sz w:val="14"/>
                <w:szCs w:val="14"/>
                <w:color w:val="auto"/>
              </w:rPr>
              <w:t>S.L.U.</w:t>
            </w:r>
          </w:p>
        </w:tc>
        <w:tc>
          <w:tcPr>
            <w:tcW w:w="2040" w:type="dxa"/>
            <w:vAlign w:val="bottom"/>
          </w:tcPr>
          <w:p>
            <w:pPr>
              <w:ind w:left="60"/>
              <w:spacing w:after="0"/>
              <w:rPr>
                <w:sz w:val="20"/>
                <w:szCs w:val="20"/>
                <w:color w:val="auto"/>
              </w:rPr>
            </w:pPr>
            <w:r>
              <w:rPr>
                <w:rFonts w:ascii="Arial" w:cs="Arial" w:eastAsia="Arial" w:hAnsi="Arial"/>
                <w:sz w:val="14"/>
                <w:szCs w:val="14"/>
                <w:color w:val="auto"/>
                <w:w w:val="97"/>
              </w:rPr>
              <w:t>(a.k.a. Orange Espagne, S.A.U.)</w:t>
            </w:r>
          </w:p>
        </w:tc>
        <w:tc>
          <w:tcPr>
            <w:tcW w:w="960" w:type="dxa"/>
            <w:vAlign w:val="bottom"/>
          </w:tcPr>
          <w:p>
            <w:pPr>
              <w:jc w:val="center"/>
              <w:ind w:right="48"/>
              <w:spacing w:after="0"/>
              <w:rPr>
                <w:sz w:val="20"/>
                <w:szCs w:val="20"/>
                <w:color w:val="auto"/>
              </w:rPr>
            </w:pPr>
            <w:r>
              <w:rPr>
                <w:rFonts w:ascii="Arial" w:cs="Arial" w:eastAsia="Arial" w:hAnsi="Arial"/>
                <w:sz w:val="14"/>
                <w:szCs w:val="14"/>
                <w:color w:val="auto"/>
              </w:rPr>
              <w:t>0</w:t>
            </w:r>
          </w:p>
        </w:tc>
        <w:tc>
          <w:tcPr>
            <w:tcW w:w="900" w:type="dxa"/>
            <w:vAlign w:val="bottom"/>
          </w:tcPr>
          <w:p>
            <w:pPr>
              <w:jc w:val="center"/>
              <w:spacing w:after="0"/>
              <w:rPr>
                <w:sz w:val="20"/>
                <w:szCs w:val="20"/>
                <w:color w:val="auto"/>
              </w:rPr>
            </w:pPr>
            <w:r>
              <w:rPr>
                <w:rFonts w:ascii="Arial" w:cs="Arial" w:eastAsia="Arial" w:hAnsi="Arial"/>
                <w:sz w:val="14"/>
                <w:szCs w:val="14"/>
                <w:color w:val="auto"/>
                <w:w w:val="95"/>
              </w:rPr>
              <w:t>04/25/14</w:t>
            </w:r>
          </w:p>
        </w:tc>
        <w:tc>
          <w:tcPr>
            <w:tcW w:w="1280" w:type="dxa"/>
            <w:vAlign w:val="bottom"/>
          </w:tcPr>
          <w:p>
            <w:pPr>
              <w:ind w:left="180"/>
              <w:spacing w:after="0"/>
              <w:rPr>
                <w:sz w:val="20"/>
                <w:szCs w:val="20"/>
                <w:color w:val="auto"/>
              </w:rPr>
            </w:pPr>
            <w:r>
              <w:rPr>
                <w:rFonts w:ascii="Arial" w:cs="Arial" w:eastAsia="Arial" w:hAnsi="Arial"/>
                <w:sz w:val="14"/>
                <w:szCs w:val="14"/>
                <w:color w:val="auto"/>
              </w:rPr>
              <w:t>EUR 1,000,000</w:t>
            </w:r>
          </w:p>
        </w:tc>
        <w:tc>
          <w:tcPr>
            <w:tcW w:w="780" w:type="dxa"/>
            <w:vAlign w:val="bottom"/>
          </w:tcPr>
          <w:p>
            <w:pPr>
              <w:jc w:val="right"/>
              <w:spacing w:after="0"/>
              <w:rPr>
                <w:sz w:val="20"/>
                <w:szCs w:val="20"/>
                <w:color w:val="auto"/>
              </w:rPr>
            </w:pPr>
            <w:r>
              <w:rPr>
                <w:rFonts w:ascii="Arial" w:cs="Arial" w:eastAsia="Arial" w:hAnsi="Arial"/>
                <w:sz w:val="14"/>
                <w:szCs w:val="14"/>
                <w:color w:val="auto"/>
              </w:rPr>
              <w:t>3102189</w:t>
            </w:r>
          </w:p>
        </w:tc>
        <w:tc>
          <w:tcPr>
            <w:tcW w:w="640" w:type="dxa"/>
            <w:vAlign w:val="bottom"/>
          </w:tcPr>
          <w:p>
            <w:pPr>
              <w:jc w:val="right"/>
              <w:spacing w:after="0"/>
              <w:rPr>
                <w:sz w:val="20"/>
                <w:szCs w:val="20"/>
                <w:color w:val="auto"/>
              </w:rPr>
            </w:pPr>
            <w:r>
              <w:rPr>
                <w:rFonts w:ascii="Arial" w:cs="Arial" w:eastAsia="Arial" w:hAnsi="Arial"/>
                <w:sz w:val="14"/>
                <w:szCs w:val="14"/>
                <w:color w:val="auto"/>
              </w:rPr>
              <w:t>05/25/15</w:t>
            </w:r>
          </w:p>
        </w:tc>
        <w:tc>
          <w:tcPr>
            <w:tcW w:w="1080" w:type="dxa"/>
            <w:vAlign w:val="bottom"/>
          </w:tcPr>
          <w:p>
            <w:pPr>
              <w:jc w:val="right"/>
              <w:ind w:right="308"/>
              <w:spacing w:after="0"/>
              <w:rPr>
                <w:sz w:val="20"/>
                <w:szCs w:val="20"/>
                <w:color w:val="auto"/>
              </w:rPr>
            </w:pPr>
            <w:r>
              <w:rPr>
                <w:rFonts w:ascii="Arial" w:cs="Arial" w:eastAsia="Arial" w:hAnsi="Arial"/>
                <w:sz w:val="14"/>
                <w:szCs w:val="14"/>
                <w:color w:val="auto"/>
              </w:rPr>
              <w:t>1,000,000</w:t>
            </w:r>
          </w:p>
        </w:tc>
        <w:tc>
          <w:tcPr>
            <w:tcW w:w="1020" w:type="dxa"/>
            <w:vAlign w:val="bottom"/>
          </w:tcPr>
          <w:p>
            <w:pPr>
              <w:jc w:val="right"/>
              <w:spacing w:after="0"/>
              <w:rPr>
                <w:sz w:val="20"/>
                <w:szCs w:val="20"/>
                <w:color w:val="auto"/>
              </w:rPr>
            </w:pPr>
            <w:r>
              <w:rPr>
                <w:rFonts w:ascii="Arial" w:cs="Arial" w:eastAsia="Arial" w:hAnsi="Arial"/>
                <w:sz w:val="14"/>
                <w:szCs w:val="14"/>
                <w:color w:val="auto"/>
              </w:rPr>
              <w:t>1,351,300</w:t>
            </w:r>
          </w:p>
        </w:tc>
      </w:tr>
      <w:tr>
        <w:trPr>
          <w:trHeight w:val="169"/>
        </w:trPr>
        <w:tc>
          <w:tcPr>
            <w:tcW w:w="1060" w:type="dxa"/>
            <w:vAlign w:val="bottom"/>
          </w:tcPr>
          <w:p>
            <w:pPr>
              <w:spacing w:after="0"/>
              <w:rPr>
                <w:sz w:val="14"/>
                <w:szCs w:val="14"/>
                <w:color w:val="auto"/>
              </w:rPr>
            </w:pPr>
          </w:p>
        </w:tc>
        <w:tc>
          <w:tcPr>
            <w:tcW w:w="1240" w:type="dxa"/>
            <w:vAlign w:val="bottom"/>
          </w:tcPr>
          <w:p>
            <w:pPr>
              <w:ind w:left="100"/>
              <w:spacing w:after="0"/>
              <w:rPr>
                <w:sz w:val="20"/>
                <w:szCs w:val="20"/>
                <w:color w:val="auto"/>
              </w:rPr>
            </w:pPr>
            <w:r>
              <w:rPr>
                <w:rFonts w:ascii="Arial" w:cs="Arial" w:eastAsia="Arial" w:hAnsi="Arial"/>
                <w:sz w:val="14"/>
                <w:szCs w:val="14"/>
                <w:color w:val="auto"/>
              </w:rPr>
              <w:t>Euronet</w:t>
            </w:r>
          </w:p>
        </w:tc>
        <w:tc>
          <w:tcPr>
            <w:tcW w:w="20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49"/>
        </w:trPr>
        <w:tc>
          <w:tcPr>
            <w:tcW w:w="1060" w:type="dxa"/>
            <w:vAlign w:val="bottom"/>
          </w:tcPr>
          <w:p>
            <w:pPr>
              <w:spacing w:after="0"/>
              <w:rPr>
                <w:sz w:val="12"/>
                <w:szCs w:val="12"/>
                <w:color w:val="auto"/>
              </w:rPr>
            </w:pPr>
          </w:p>
        </w:tc>
        <w:tc>
          <w:tcPr>
            <w:tcW w:w="1240" w:type="dxa"/>
            <w:vAlign w:val="bottom"/>
          </w:tcPr>
          <w:p>
            <w:pPr>
              <w:ind w:left="100"/>
              <w:spacing w:after="0" w:line="149" w:lineRule="exact"/>
              <w:rPr>
                <w:sz w:val="20"/>
                <w:szCs w:val="20"/>
                <w:color w:val="auto"/>
              </w:rPr>
            </w:pPr>
            <w:r>
              <w:rPr>
                <w:rFonts w:ascii="Arial" w:cs="Arial" w:eastAsia="Arial" w:hAnsi="Arial"/>
                <w:sz w:val="14"/>
                <w:szCs w:val="14"/>
                <w:color w:val="auto"/>
              </w:rPr>
              <w:t>TeleRecarga,</w:t>
            </w:r>
          </w:p>
        </w:tc>
        <w:tc>
          <w:tcPr>
            <w:tcW w:w="2040" w:type="dxa"/>
            <w:vAlign w:val="bottom"/>
          </w:tcPr>
          <w:p>
            <w:pPr>
              <w:ind w:left="60"/>
              <w:spacing w:after="0" w:line="149" w:lineRule="exact"/>
              <w:rPr>
                <w:sz w:val="20"/>
                <w:szCs w:val="20"/>
                <w:color w:val="auto"/>
              </w:rPr>
            </w:pPr>
            <w:r>
              <w:rPr>
                <w:rFonts w:ascii="Arial" w:cs="Arial" w:eastAsia="Arial" w:hAnsi="Arial"/>
                <w:sz w:val="14"/>
                <w:szCs w:val="14"/>
                <w:color w:val="auto"/>
              </w:rPr>
              <w:t>Lebara Limited, Sucursal en</w:t>
            </w:r>
          </w:p>
        </w:tc>
        <w:tc>
          <w:tcPr>
            <w:tcW w:w="9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80" w:type="dxa"/>
            <w:vAlign w:val="bottom"/>
          </w:tcPr>
          <w:p>
            <w:pPr>
              <w:jc w:val="right"/>
              <w:ind w:right="308"/>
              <w:spacing w:after="0" w:line="149" w:lineRule="exact"/>
              <w:rPr>
                <w:sz w:val="20"/>
                <w:szCs w:val="20"/>
                <w:color w:val="auto"/>
              </w:rPr>
            </w:pPr>
            <w:r>
              <w:rPr>
                <w:rFonts w:ascii="Arial" w:cs="Arial" w:eastAsia="Arial" w:hAnsi="Arial"/>
                <w:sz w:val="14"/>
                <w:szCs w:val="14"/>
                <w:color w:val="auto"/>
              </w:rPr>
              <w:t>EUR</w:t>
            </w:r>
          </w:p>
        </w:tc>
        <w:tc>
          <w:tcPr>
            <w:tcW w:w="1020" w:type="dxa"/>
            <w:vAlign w:val="bottom"/>
          </w:tcPr>
          <w:p>
            <w:pPr>
              <w:spacing w:after="0"/>
              <w:rPr>
                <w:sz w:val="12"/>
                <w:szCs w:val="12"/>
                <w:color w:val="auto"/>
              </w:rPr>
            </w:pPr>
          </w:p>
        </w:tc>
      </w:tr>
      <w:tr>
        <w:trPr>
          <w:trHeight w:val="182"/>
        </w:trPr>
        <w:tc>
          <w:tcPr>
            <w:tcW w:w="1060" w:type="dxa"/>
            <w:vAlign w:val="bottom"/>
          </w:tcPr>
          <w:p>
            <w:pPr>
              <w:spacing w:after="0"/>
              <w:rPr>
                <w:sz w:val="20"/>
                <w:szCs w:val="20"/>
                <w:color w:val="auto"/>
              </w:rPr>
            </w:pPr>
            <w:r>
              <w:rPr>
                <w:rFonts w:ascii="Arial" w:cs="Arial" w:eastAsia="Arial" w:hAnsi="Arial"/>
                <w:sz w:val="14"/>
                <w:szCs w:val="14"/>
                <w:color w:val="auto"/>
              </w:rPr>
              <w:t>Bank of America</w:t>
            </w:r>
          </w:p>
        </w:tc>
        <w:tc>
          <w:tcPr>
            <w:tcW w:w="1240" w:type="dxa"/>
            <w:vAlign w:val="bottom"/>
          </w:tcPr>
          <w:p>
            <w:pPr>
              <w:ind w:left="100"/>
              <w:spacing w:after="0"/>
              <w:rPr>
                <w:sz w:val="20"/>
                <w:szCs w:val="20"/>
                <w:color w:val="auto"/>
              </w:rPr>
            </w:pPr>
            <w:r>
              <w:rPr>
                <w:rFonts w:ascii="Arial" w:cs="Arial" w:eastAsia="Arial" w:hAnsi="Arial"/>
                <w:sz w:val="14"/>
                <w:szCs w:val="14"/>
                <w:color w:val="auto"/>
              </w:rPr>
              <w:t>S.L.U.</w:t>
            </w:r>
          </w:p>
        </w:tc>
        <w:tc>
          <w:tcPr>
            <w:tcW w:w="2040" w:type="dxa"/>
            <w:vAlign w:val="bottom"/>
          </w:tcPr>
          <w:p>
            <w:pPr>
              <w:ind w:left="60"/>
              <w:spacing w:after="0"/>
              <w:rPr>
                <w:sz w:val="20"/>
                <w:szCs w:val="20"/>
                <w:color w:val="auto"/>
              </w:rPr>
            </w:pPr>
            <w:r>
              <w:rPr>
                <w:rFonts w:ascii="Arial" w:cs="Arial" w:eastAsia="Arial" w:hAnsi="Arial"/>
                <w:sz w:val="14"/>
                <w:szCs w:val="14"/>
                <w:color w:val="auto"/>
              </w:rPr>
              <w:t>España</w:t>
            </w:r>
          </w:p>
        </w:tc>
        <w:tc>
          <w:tcPr>
            <w:tcW w:w="960" w:type="dxa"/>
            <w:vAlign w:val="bottom"/>
          </w:tcPr>
          <w:p>
            <w:pPr>
              <w:jc w:val="center"/>
              <w:ind w:right="48"/>
              <w:spacing w:after="0"/>
              <w:rPr>
                <w:sz w:val="20"/>
                <w:szCs w:val="20"/>
                <w:color w:val="auto"/>
              </w:rPr>
            </w:pPr>
            <w:r>
              <w:rPr>
                <w:rFonts w:ascii="Arial" w:cs="Arial" w:eastAsia="Arial" w:hAnsi="Arial"/>
                <w:sz w:val="14"/>
                <w:szCs w:val="14"/>
                <w:color w:val="auto"/>
              </w:rPr>
              <w:t>0</w:t>
            </w:r>
          </w:p>
        </w:tc>
        <w:tc>
          <w:tcPr>
            <w:tcW w:w="900" w:type="dxa"/>
            <w:vAlign w:val="bottom"/>
          </w:tcPr>
          <w:p>
            <w:pPr>
              <w:jc w:val="center"/>
              <w:spacing w:after="0"/>
              <w:rPr>
                <w:sz w:val="20"/>
                <w:szCs w:val="20"/>
                <w:color w:val="auto"/>
              </w:rPr>
            </w:pPr>
            <w:r>
              <w:rPr>
                <w:rFonts w:ascii="Arial" w:cs="Arial" w:eastAsia="Arial" w:hAnsi="Arial"/>
                <w:sz w:val="14"/>
                <w:szCs w:val="14"/>
                <w:color w:val="auto"/>
                <w:w w:val="95"/>
              </w:rPr>
              <w:t>12/31/14</w:t>
            </w:r>
          </w:p>
        </w:tc>
        <w:tc>
          <w:tcPr>
            <w:tcW w:w="1280" w:type="dxa"/>
            <w:vAlign w:val="bottom"/>
          </w:tcPr>
          <w:p>
            <w:pPr>
              <w:ind w:left="180"/>
              <w:spacing w:after="0"/>
              <w:rPr>
                <w:sz w:val="20"/>
                <w:szCs w:val="20"/>
                <w:color w:val="auto"/>
              </w:rPr>
            </w:pPr>
            <w:r>
              <w:rPr>
                <w:rFonts w:ascii="Arial" w:cs="Arial" w:eastAsia="Arial" w:hAnsi="Arial"/>
                <w:sz w:val="14"/>
                <w:szCs w:val="14"/>
                <w:color w:val="auto"/>
              </w:rPr>
              <w:t>EUR 400,000</w:t>
            </w:r>
          </w:p>
        </w:tc>
        <w:tc>
          <w:tcPr>
            <w:tcW w:w="780" w:type="dxa"/>
            <w:vAlign w:val="bottom"/>
          </w:tcPr>
          <w:p>
            <w:pPr>
              <w:jc w:val="right"/>
              <w:spacing w:after="0"/>
              <w:rPr>
                <w:sz w:val="20"/>
                <w:szCs w:val="20"/>
                <w:color w:val="auto"/>
              </w:rPr>
            </w:pPr>
            <w:r>
              <w:rPr>
                <w:rFonts w:ascii="Arial" w:cs="Arial" w:eastAsia="Arial" w:hAnsi="Arial"/>
                <w:sz w:val="14"/>
                <w:szCs w:val="14"/>
                <w:color w:val="auto"/>
              </w:rPr>
              <w:t>3104159</w:t>
            </w:r>
          </w:p>
        </w:tc>
        <w:tc>
          <w:tcPr>
            <w:tcW w:w="640" w:type="dxa"/>
            <w:vAlign w:val="bottom"/>
          </w:tcPr>
          <w:p>
            <w:pPr>
              <w:jc w:val="right"/>
              <w:spacing w:after="0"/>
              <w:rPr>
                <w:sz w:val="20"/>
                <w:szCs w:val="20"/>
                <w:color w:val="auto"/>
              </w:rPr>
            </w:pPr>
            <w:r>
              <w:rPr>
                <w:rFonts w:ascii="Arial" w:cs="Arial" w:eastAsia="Arial" w:hAnsi="Arial"/>
                <w:sz w:val="14"/>
                <w:szCs w:val="14"/>
                <w:color w:val="auto"/>
              </w:rPr>
              <w:t>02/28/15</w:t>
            </w:r>
          </w:p>
        </w:tc>
        <w:tc>
          <w:tcPr>
            <w:tcW w:w="1080" w:type="dxa"/>
            <w:vAlign w:val="bottom"/>
          </w:tcPr>
          <w:p>
            <w:pPr>
              <w:jc w:val="right"/>
              <w:ind w:right="308"/>
              <w:spacing w:after="0"/>
              <w:rPr>
                <w:sz w:val="20"/>
                <w:szCs w:val="20"/>
                <w:color w:val="auto"/>
              </w:rPr>
            </w:pPr>
            <w:r>
              <w:rPr>
                <w:rFonts w:ascii="Arial" w:cs="Arial" w:eastAsia="Arial" w:hAnsi="Arial"/>
                <w:sz w:val="14"/>
                <w:szCs w:val="14"/>
                <w:color w:val="auto"/>
              </w:rPr>
              <w:t>400,000</w:t>
            </w:r>
          </w:p>
        </w:tc>
        <w:tc>
          <w:tcPr>
            <w:tcW w:w="1020" w:type="dxa"/>
            <w:vAlign w:val="bottom"/>
          </w:tcPr>
          <w:p>
            <w:pPr>
              <w:jc w:val="right"/>
              <w:spacing w:after="0"/>
              <w:rPr>
                <w:sz w:val="20"/>
                <w:szCs w:val="20"/>
                <w:color w:val="auto"/>
              </w:rPr>
            </w:pPr>
            <w:r>
              <w:rPr>
                <w:rFonts w:ascii="Arial" w:cs="Arial" w:eastAsia="Arial" w:hAnsi="Arial"/>
                <w:sz w:val="14"/>
                <w:szCs w:val="14"/>
                <w:color w:val="auto"/>
              </w:rPr>
              <w:t>540,520</w:t>
            </w:r>
          </w:p>
        </w:tc>
      </w:tr>
      <w:tr>
        <w:trPr>
          <w:trHeight w:val="169"/>
        </w:trPr>
        <w:tc>
          <w:tcPr>
            <w:tcW w:w="1060" w:type="dxa"/>
            <w:vAlign w:val="bottom"/>
          </w:tcPr>
          <w:p>
            <w:pPr>
              <w:spacing w:after="0"/>
              <w:rPr>
                <w:sz w:val="14"/>
                <w:szCs w:val="14"/>
                <w:color w:val="auto"/>
              </w:rPr>
            </w:pPr>
          </w:p>
        </w:tc>
        <w:tc>
          <w:tcPr>
            <w:tcW w:w="1240" w:type="dxa"/>
            <w:vAlign w:val="bottom"/>
          </w:tcPr>
          <w:p>
            <w:pPr>
              <w:ind w:left="100"/>
              <w:spacing w:after="0"/>
              <w:rPr>
                <w:sz w:val="20"/>
                <w:szCs w:val="20"/>
                <w:color w:val="auto"/>
              </w:rPr>
            </w:pPr>
            <w:r>
              <w:rPr>
                <w:rFonts w:ascii="Arial" w:cs="Arial" w:eastAsia="Arial" w:hAnsi="Arial"/>
                <w:sz w:val="14"/>
                <w:szCs w:val="14"/>
                <w:color w:val="auto"/>
              </w:rPr>
              <w:t>Euronet</w:t>
            </w:r>
          </w:p>
        </w:tc>
        <w:tc>
          <w:tcPr>
            <w:tcW w:w="20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49"/>
        </w:trPr>
        <w:tc>
          <w:tcPr>
            <w:tcW w:w="1060" w:type="dxa"/>
            <w:vAlign w:val="bottom"/>
          </w:tcPr>
          <w:p>
            <w:pPr>
              <w:spacing w:after="0"/>
              <w:rPr>
                <w:sz w:val="12"/>
                <w:szCs w:val="12"/>
                <w:color w:val="auto"/>
              </w:rPr>
            </w:pPr>
          </w:p>
        </w:tc>
        <w:tc>
          <w:tcPr>
            <w:tcW w:w="1240" w:type="dxa"/>
            <w:vAlign w:val="bottom"/>
          </w:tcPr>
          <w:p>
            <w:pPr>
              <w:ind w:left="100"/>
              <w:spacing w:after="0" w:line="149" w:lineRule="exact"/>
              <w:rPr>
                <w:sz w:val="20"/>
                <w:szCs w:val="20"/>
                <w:color w:val="auto"/>
              </w:rPr>
            </w:pPr>
            <w:r>
              <w:rPr>
                <w:rFonts w:ascii="Arial" w:cs="Arial" w:eastAsia="Arial" w:hAnsi="Arial"/>
                <w:sz w:val="14"/>
                <w:szCs w:val="14"/>
                <w:color w:val="auto"/>
              </w:rPr>
              <w:t>TeleRecarga,</w:t>
            </w:r>
          </w:p>
        </w:tc>
        <w:tc>
          <w:tcPr>
            <w:tcW w:w="20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80" w:type="dxa"/>
            <w:vAlign w:val="bottom"/>
          </w:tcPr>
          <w:p>
            <w:pPr>
              <w:jc w:val="right"/>
              <w:ind w:right="308"/>
              <w:spacing w:after="0" w:line="149" w:lineRule="exact"/>
              <w:rPr>
                <w:sz w:val="20"/>
                <w:szCs w:val="20"/>
                <w:color w:val="auto"/>
              </w:rPr>
            </w:pPr>
            <w:r>
              <w:rPr>
                <w:rFonts w:ascii="Arial" w:cs="Arial" w:eastAsia="Arial" w:hAnsi="Arial"/>
                <w:sz w:val="14"/>
                <w:szCs w:val="14"/>
                <w:color w:val="auto"/>
              </w:rPr>
              <w:t>EUR</w:t>
            </w:r>
          </w:p>
        </w:tc>
        <w:tc>
          <w:tcPr>
            <w:tcW w:w="1020" w:type="dxa"/>
            <w:vAlign w:val="bottom"/>
          </w:tcPr>
          <w:p>
            <w:pPr>
              <w:spacing w:after="0"/>
              <w:rPr>
                <w:sz w:val="12"/>
                <w:szCs w:val="12"/>
                <w:color w:val="auto"/>
              </w:rPr>
            </w:pPr>
          </w:p>
        </w:tc>
      </w:tr>
      <w:tr>
        <w:trPr>
          <w:trHeight w:val="182"/>
        </w:trPr>
        <w:tc>
          <w:tcPr>
            <w:tcW w:w="1060" w:type="dxa"/>
            <w:vAlign w:val="bottom"/>
          </w:tcPr>
          <w:p>
            <w:pPr>
              <w:spacing w:after="0"/>
              <w:rPr>
                <w:sz w:val="20"/>
                <w:szCs w:val="20"/>
                <w:color w:val="auto"/>
              </w:rPr>
            </w:pPr>
            <w:r>
              <w:rPr>
                <w:rFonts w:ascii="Arial" w:cs="Arial" w:eastAsia="Arial" w:hAnsi="Arial"/>
                <w:sz w:val="14"/>
                <w:szCs w:val="14"/>
                <w:color w:val="auto"/>
              </w:rPr>
              <w:t>Bank of America</w:t>
            </w:r>
          </w:p>
        </w:tc>
        <w:tc>
          <w:tcPr>
            <w:tcW w:w="1240" w:type="dxa"/>
            <w:vAlign w:val="bottom"/>
          </w:tcPr>
          <w:p>
            <w:pPr>
              <w:ind w:left="100"/>
              <w:spacing w:after="0"/>
              <w:rPr>
                <w:sz w:val="20"/>
                <w:szCs w:val="20"/>
                <w:color w:val="auto"/>
              </w:rPr>
            </w:pPr>
            <w:r>
              <w:rPr>
                <w:rFonts w:ascii="Arial" w:cs="Arial" w:eastAsia="Arial" w:hAnsi="Arial"/>
                <w:sz w:val="14"/>
                <w:szCs w:val="14"/>
                <w:color w:val="auto"/>
              </w:rPr>
              <w:t>S.L.U.</w:t>
            </w:r>
          </w:p>
        </w:tc>
        <w:tc>
          <w:tcPr>
            <w:tcW w:w="2040" w:type="dxa"/>
            <w:vAlign w:val="bottom"/>
          </w:tcPr>
          <w:p>
            <w:pPr>
              <w:ind w:left="60"/>
              <w:spacing w:after="0"/>
              <w:rPr>
                <w:sz w:val="20"/>
                <w:szCs w:val="20"/>
                <w:color w:val="auto"/>
              </w:rPr>
            </w:pPr>
            <w:r>
              <w:rPr>
                <w:rFonts w:ascii="Arial" w:cs="Arial" w:eastAsia="Arial" w:hAnsi="Arial"/>
                <w:sz w:val="14"/>
                <w:szCs w:val="14"/>
                <w:color w:val="auto"/>
              </w:rPr>
              <w:t>Digi Telecom Spain, SLU</w:t>
            </w:r>
          </w:p>
        </w:tc>
        <w:tc>
          <w:tcPr>
            <w:tcW w:w="960" w:type="dxa"/>
            <w:vAlign w:val="bottom"/>
          </w:tcPr>
          <w:p>
            <w:pPr>
              <w:jc w:val="center"/>
              <w:ind w:right="48"/>
              <w:spacing w:after="0"/>
              <w:rPr>
                <w:sz w:val="20"/>
                <w:szCs w:val="20"/>
                <w:color w:val="auto"/>
              </w:rPr>
            </w:pPr>
            <w:r>
              <w:rPr>
                <w:rFonts w:ascii="Arial" w:cs="Arial" w:eastAsia="Arial" w:hAnsi="Arial"/>
                <w:sz w:val="14"/>
                <w:szCs w:val="14"/>
                <w:color w:val="auto"/>
              </w:rPr>
              <w:t>0</w:t>
            </w:r>
          </w:p>
        </w:tc>
        <w:tc>
          <w:tcPr>
            <w:tcW w:w="900" w:type="dxa"/>
            <w:vAlign w:val="bottom"/>
          </w:tcPr>
          <w:p>
            <w:pPr>
              <w:jc w:val="center"/>
              <w:spacing w:after="0"/>
              <w:rPr>
                <w:sz w:val="20"/>
                <w:szCs w:val="20"/>
                <w:color w:val="auto"/>
              </w:rPr>
            </w:pPr>
            <w:r>
              <w:rPr>
                <w:rFonts w:ascii="Arial" w:cs="Arial" w:eastAsia="Arial" w:hAnsi="Arial"/>
                <w:sz w:val="14"/>
                <w:szCs w:val="14"/>
                <w:color w:val="auto"/>
                <w:w w:val="95"/>
              </w:rPr>
              <w:t>09/30/14</w:t>
            </w:r>
          </w:p>
        </w:tc>
        <w:tc>
          <w:tcPr>
            <w:tcW w:w="1280" w:type="dxa"/>
            <w:vAlign w:val="bottom"/>
          </w:tcPr>
          <w:p>
            <w:pPr>
              <w:ind w:left="180"/>
              <w:spacing w:after="0"/>
              <w:rPr>
                <w:sz w:val="20"/>
                <w:szCs w:val="20"/>
                <w:color w:val="auto"/>
              </w:rPr>
            </w:pPr>
            <w:r>
              <w:rPr>
                <w:rFonts w:ascii="Arial" w:cs="Arial" w:eastAsia="Arial" w:hAnsi="Arial"/>
                <w:sz w:val="14"/>
                <w:szCs w:val="14"/>
                <w:color w:val="auto"/>
              </w:rPr>
              <w:t>EUR 500,000</w:t>
            </w:r>
          </w:p>
        </w:tc>
        <w:tc>
          <w:tcPr>
            <w:tcW w:w="780" w:type="dxa"/>
            <w:vAlign w:val="bottom"/>
          </w:tcPr>
          <w:p>
            <w:pPr>
              <w:jc w:val="right"/>
              <w:spacing w:after="0"/>
              <w:rPr>
                <w:sz w:val="20"/>
                <w:szCs w:val="20"/>
                <w:color w:val="auto"/>
              </w:rPr>
            </w:pPr>
            <w:r>
              <w:rPr>
                <w:rFonts w:ascii="Arial" w:cs="Arial" w:eastAsia="Arial" w:hAnsi="Arial"/>
                <w:sz w:val="14"/>
                <w:szCs w:val="14"/>
                <w:color w:val="auto"/>
              </w:rPr>
              <w:t>3120399</w:t>
            </w:r>
          </w:p>
        </w:tc>
        <w:tc>
          <w:tcPr>
            <w:tcW w:w="640" w:type="dxa"/>
            <w:vAlign w:val="bottom"/>
          </w:tcPr>
          <w:p>
            <w:pPr>
              <w:jc w:val="right"/>
              <w:spacing w:after="0"/>
              <w:rPr>
                <w:sz w:val="20"/>
                <w:szCs w:val="20"/>
                <w:color w:val="auto"/>
              </w:rPr>
            </w:pPr>
            <w:r>
              <w:rPr>
                <w:rFonts w:ascii="Arial" w:cs="Arial" w:eastAsia="Arial" w:hAnsi="Arial"/>
                <w:sz w:val="14"/>
                <w:szCs w:val="14"/>
                <w:color w:val="auto"/>
              </w:rPr>
              <w:t>10/30/14</w:t>
            </w:r>
          </w:p>
        </w:tc>
        <w:tc>
          <w:tcPr>
            <w:tcW w:w="1080" w:type="dxa"/>
            <w:vAlign w:val="bottom"/>
          </w:tcPr>
          <w:p>
            <w:pPr>
              <w:jc w:val="right"/>
              <w:ind w:right="308"/>
              <w:spacing w:after="0"/>
              <w:rPr>
                <w:sz w:val="20"/>
                <w:szCs w:val="20"/>
                <w:color w:val="auto"/>
              </w:rPr>
            </w:pPr>
            <w:r>
              <w:rPr>
                <w:rFonts w:ascii="Arial" w:cs="Arial" w:eastAsia="Arial" w:hAnsi="Arial"/>
                <w:sz w:val="14"/>
                <w:szCs w:val="14"/>
                <w:color w:val="auto"/>
              </w:rPr>
              <w:t>500,000</w:t>
            </w:r>
          </w:p>
        </w:tc>
        <w:tc>
          <w:tcPr>
            <w:tcW w:w="1020" w:type="dxa"/>
            <w:vAlign w:val="bottom"/>
          </w:tcPr>
          <w:p>
            <w:pPr>
              <w:jc w:val="right"/>
              <w:spacing w:after="0"/>
              <w:rPr>
                <w:sz w:val="20"/>
                <w:szCs w:val="20"/>
                <w:color w:val="auto"/>
              </w:rPr>
            </w:pPr>
            <w:r>
              <w:rPr>
                <w:rFonts w:ascii="Arial" w:cs="Arial" w:eastAsia="Arial" w:hAnsi="Arial"/>
                <w:sz w:val="14"/>
                <w:szCs w:val="14"/>
                <w:color w:val="auto"/>
              </w:rPr>
              <w:t>675,650</w:t>
            </w:r>
          </w:p>
        </w:tc>
      </w:tr>
      <w:tr>
        <w:trPr>
          <w:trHeight w:val="169"/>
        </w:trPr>
        <w:tc>
          <w:tcPr>
            <w:tcW w:w="1060" w:type="dxa"/>
            <w:vAlign w:val="bottom"/>
          </w:tcPr>
          <w:p>
            <w:pPr>
              <w:spacing w:after="0"/>
              <w:rPr>
                <w:sz w:val="14"/>
                <w:szCs w:val="14"/>
                <w:color w:val="auto"/>
              </w:rPr>
            </w:pPr>
          </w:p>
        </w:tc>
        <w:tc>
          <w:tcPr>
            <w:tcW w:w="1240" w:type="dxa"/>
            <w:vAlign w:val="bottom"/>
          </w:tcPr>
          <w:p>
            <w:pPr>
              <w:ind w:left="100"/>
              <w:spacing w:after="0"/>
              <w:rPr>
                <w:sz w:val="20"/>
                <w:szCs w:val="20"/>
                <w:color w:val="auto"/>
              </w:rPr>
            </w:pPr>
            <w:r>
              <w:rPr>
                <w:rFonts w:ascii="Arial" w:cs="Arial" w:eastAsia="Arial" w:hAnsi="Arial"/>
                <w:sz w:val="14"/>
                <w:szCs w:val="14"/>
                <w:color w:val="auto"/>
              </w:rPr>
              <w:t>Euronet 360</w:t>
            </w:r>
          </w:p>
        </w:tc>
        <w:tc>
          <w:tcPr>
            <w:tcW w:w="20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80" w:type="dxa"/>
            <w:vAlign w:val="bottom"/>
          </w:tcPr>
          <w:p>
            <w:pPr>
              <w:jc w:val="right"/>
              <w:ind w:right="308"/>
              <w:spacing w:after="0"/>
              <w:rPr>
                <w:sz w:val="20"/>
                <w:szCs w:val="20"/>
                <w:color w:val="auto"/>
              </w:rPr>
            </w:pPr>
            <w:r>
              <w:rPr>
                <w:rFonts w:ascii="Arial" w:cs="Arial" w:eastAsia="Arial" w:hAnsi="Arial"/>
                <w:sz w:val="14"/>
                <w:szCs w:val="14"/>
                <w:color w:val="auto"/>
              </w:rPr>
              <w:t>EUR</w:t>
            </w:r>
          </w:p>
        </w:tc>
        <w:tc>
          <w:tcPr>
            <w:tcW w:w="1020" w:type="dxa"/>
            <w:vAlign w:val="bottom"/>
          </w:tcPr>
          <w:p>
            <w:pPr>
              <w:spacing w:after="0"/>
              <w:rPr>
                <w:sz w:val="14"/>
                <w:szCs w:val="14"/>
                <w:color w:val="auto"/>
              </w:rPr>
            </w:pPr>
          </w:p>
        </w:tc>
      </w:tr>
      <w:tr>
        <w:trPr>
          <w:trHeight w:val="182"/>
        </w:trPr>
        <w:tc>
          <w:tcPr>
            <w:tcW w:w="1060" w:type="dxa"/>
            <w:vAlign w:val="bottom"/>
          </w:tcPr>
          <w:p>
            <w:pPr>
              <w:spacing w:after="0"/>
              <w:rPr>
                <w:sz w:val="20"/>
                <w:szCs w:val="20"/>
                <w:color w:val="auto"/>
              </w:rPr>
            </w:pPr>
            <w:r>
              <w:rPr>
                <w:rFonts w:ascii="Arial" w:cs="Arial" w:eastAsia="Arial" w:hAnsi="Arial"/>
                <w:sz w:val="14"/>
                <w:szCs w:val="14"/>
                <w:color w:val="auto"/>
              </w:rPr>
              <w:t>Bank of America</w:t>
            </w:r>
          </w:p>
        </w:tc>
        <w:tc>
          <w:tcPr>
            <w:tcW w:w="1240" w:type="dxa"/>
            <w:vAlign w:val="bottom"/>
          </w:tcPr>
          <w:p>
            <w:pPr>
              <w:ind w:left="100"/>
              <w:spacing w:after="0"/>
              <w:rPr>
                <w:sz w:val="20"/>
                <w:szCs w:val="20"/>
                <w:color w:val="auto"/>
              </w:rPr>
            </w:pPr>
            <w:r>
              <w:rPr>
                <w:rFonts w:ascii="Arial" w:cs="Arial" w:eastAsia="Arial" w:hAnsi="Arial"/>
                <w:sz w:val="14"/>
                <w:szCs w:val="14"/>
                <w:color w:val="auto"/>
              </w:rPr>
              <w:t>Finance Limited</w:t>
            </w:r>
          </w:p>
        </w:tc>
        <w:tc>
          <w:tcPr>
            <w:tcW w:w="2040" w:type="dxa"/>
            <w:vAlign w:val="bottom"/>
          </w:tcPr>
          <w:p>
            <w:pPr>
              <w:ind w:left="60"/>
              <w:spacing w:after="0"/>
              <w:rPr>
                <w:sz w:val="20"/>
                <w:szCs w:val="20"/>
                <w:color w:val="auto"/>
              </w:rPr>
            </w:pPr>
            <w:r>
              <w:rPr>
                <w:rFonts w:ascii="Arial" w:cs="Arial" w:eastAsia="Arial" w:hAnsi="Arial"/>
                <w:sz w:val="14"/>
                <w:szCs w:val="14"/>
                <w:color w:val="auto"/>
              </w:rPr>
              <w:t>ADIF</w:t>
            </w:r>
          </w:p>
        </w:tc>
        <w:tc>
          <w:tcPr>
            <w:tcW w:w="960" w:type="dxa"/>
            <w:vAlign w:val="bottom"/>
          </w:tcPr>
          <w:p>
            <w:pPr>
              <w:jc w:val="center"/>
              <w:ind w:right="48"/>
              <w:spacing w:after="0"/>
              <w:rPr>
                <w:sz w:val="20"/>
                <w:szCs w:val="20"/>
                <w:color w:val="auto"/>
              </w:rPr>
            </w:pPr>
            <w:r>
              <w:rPr>
                <w:rFonts w:ascii="Arial" w:cs="Arial" w:eastAsia="Arial" w:hAnsi="Arial"/>
                <w:sz w:val="14"/>
                <w:szCs w:val="14"/>
                <w:color w:val="auto"/>
              </w:rPr>
              <w:t>0</w:t>
            </w:r>
          </w:p>
        </w:tc>
        <w:tc>
          <w:tcPr>
            <w:tcW w:w="900" w:type="dxa"/>
            <w:vAlign w:val="bottom"/>
          </w:tcPr>
          <w:p>
            <w:pPr>
              <w:jc w:val="center"/>
              <w:spacing w:after="0"/>
              <w:rPr>
                <w:sz w:val="20"/>
                <w:szCs w:val="20"/>
                <w:color w:val="auto"/>
              </w:rPr>
            </w:pPr>
            <w:r>
              <w:rPr>
                <w:rFonts w:ascii="Arial" w:cs="Arial" w:eastAsia="Arial" w:hAnsi="Arial"/>
                <w:sz w:val="14"/>
                <w:szCs w:val="14"/>
                <w:color w:val="auto"/>
              </w:rPr>
              <w:t>0</w:t>
            </w:r>
          </w:p>
        </w:tc>
        <w:tc>
          <w:tcPr>
            <w:tcW w:w="1280" w:type="dxa"/>
            <w:vAlign w:val="bottom"/>
          </w:tcPr>
          <w:p>
            <w:pPr>
              <w:jc w:val="right"/>
              <w:ind w:right="408"/>
              <w:spacing w:after="0"/>
              <w:rPr>
                <w:sz w:val="20"/>
                <w:szCs w:val="20"/>
                <w:color w:val="auto"/>
              </w:rPr>
            </w:pPr>
            <w:r>
              <w:rPr>
                <w:rFonts w:ascii="Arial" w:cs="Arial" w:eastAsia="Arial" w:hAnsi="Arial"/>
                <w:sz w:val="14"/>
                <w:szCs w:val="14"/>
                <w:color w:val="auto"/>
              </w:rPr>
              <w:t>0</w:t>
            </w:r>
          </w:p>
        </w:tc>
        <w:tc>
          <w:tcPr>
            <w:tcW w:w="780" w:type="dxa"/>
            <w:vAlign w:val="bottom"/>
          </w:tcPr>
          <w:p>
            <w:pPr>
              <w:jc w:val="right"/>
              <w:spacing w:after="0"/>
              <w:rPr>
                <w:sz w:val="20"/>
                <w:szCs w:val="20"/>
                <w:color w:val="auto"/>
              </w:rPr>
            </w:pPr>
            <w:r>
              <w:rPr>
                <w:rFonts w:ascii="Arial" w:cs="Arial" w:eastAsia="Arial" w:hAnsi="Arial"/>
                <w:sz w:val="14"/>
                <w:szCs w:val="14"/>
                <w:color w:val="auto"/>
              </w:rPr>
              <w:t>3104161</w:t>
            </w:r>
          </w:p>
        </w:tc>
        <w:tc>
          <w:tcPr>
            <w:tcW w:w="640" w:type="dxa"/>
            <w:vAlign w:val="bottom"/>
          </w:tcPr>
          <w:p>
            <w:pPr>
              <w:jc w:val="right"/>
              <w:spacing w:after="0"/>
              <w:rPr>
                <w:sz w:val="20"/>
                <w:szCs w:val="20"/>
                <w:color w:val="auto"/>
              </w:rPr>
            </w:pPr>
            <w:r>
              <w:rPr>
                <w:rFonts w:ascii="Arial" w:cs="Arial" w:eastAsia="Arial" w:hAnsi="Arial"/>
                <w:sz w:val="14"/>
                <w:szCs w:val="14"/>
                <w:color w:val="auto"/>
              </w:rPr>
              <w:t>02/07/15</w:t>
            </w:r>
          </w:p>
        </w:tc>
        <w:tc>
          <w:tcPr>
            <w:tcW w:w="1080" w:type="dxa"/>
            <w:vAlign w:val="bottom"/>
          </w:tcPr>
          <w:p>
            <w:pPr>
              <w:jc w:val="right"/>
              <w:ind w:right="308"/>
              <w:spacing w:after="0"/>
              <w:rPr>
                <w:sz w:val="20"/>
                <w:szCs w:val="20"/>
                <w:color w:val="auto"/>
              </w:rPr>
            </w:pPr>
            <w:r>
              <w:rPr>
                <w:rFonts w:ascii="Arial" w:cs="Arial" w:eastAsia="Arial" w:hAnsi="Arial"/>
                <w:sz w:val="14"/>
                <w:szCs w:val="14"/>
                <w:color w:val="auto"/>
              </w:rPr>
              <w:t>16,200</w:t>
            </w:r>
          </w:p>
        </w:tc>
        <w:tc>
          <w:tcPr>
            <w:tcW w:w="1020" w:type="dxa"/>
            <w:vAlign w:val="bottom"/>
          </w:tcPr>
          <w:p>
            <w:pPr>
              <w:jc w:val="right"/>
              <w:spacing w:after="0"/>
              <w:rPr>
                <w:sz w:val="20"/>
                <w:szCs w:val="20"/>
                <w:color w:val="auto"/>
              </w:rPr>
            </w:pPr>
            <w:r>
              <w:rPr>
                <w:rFonts w:ascii="Arial" w:cs="Arial" w:eastAsia="Arial" w:hAnsi="Arial"/>
                <w:sz w:val="14"/>
                <w:szCs w:val="14"/>
                <w:color w:val="auto"/>
              </w:rPr>
              <w:t>21,891</w:t>
            </w:r>
          </w:p>
        </w:tc>
      </w:tr>
      <w:tr>
        <w:trPr>
          <w:trHeight w:val="169"/>
        </w:trPr>
        <w:tc>
          <w:tcPr>
            <w:tcW w:w="1060" w:type="dxa"/>
            <w:vAlign w:val="bottom"/>
          </w:tcPr>
          <w:p>
            <w:pPr>
              <w:spacing w:after="0"/>
              <w:rPr>
                <w:sz w:val="14"/>
                <w:szCs w:val="14"/>
                <w:color w:val="auto"/>
              </w:rPr>
            </w:pPr>
          </w:p>
        </w:tc>
        <w:tc>
          <w:tcPr>
            <w:tcW w:w="1240" w:type="dxa"/>
            <w:vAlign w:val="bottom"/>
          </w:tcPr>
          <w:p>
            <w:pPr>
              <w:ind w:left="100"/>
              <w:spacing w:after="0"/>
              <w:rPr>
                <w:sz w:val="20"/>
                <w:szCs w:val="20"/>
                <w:color w:val="auto"/>
              </w:rPr>
            </w:pPr>
            <w:r>
              <w:rPr>
                <w:rFonts w:ascii="Arial" w:cs="Arial" w:eastAsia="Arial" w:hAnsi="Arial"/>
                <w:sz w:val="14"/>
                <w:szCs w:val="14"/>
                <w:color w:val="auto"/>
              </w:rPr>
              <w:t>Euronet 360</w:t>
            </w:r>
          </w:p>
        </w:tc>
        <w:tc>
          <w:tcPr>
            <w:tcW w:w="20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80" w:type="dxa"/>
            <w:vAlign w:val="bottom"/>
          </w:tcPr>
          <w:p>
            <w:pPr>
              <w:jc w:val="right"/>
              <w:ind w:right="308"/>
              <w:spacing w:after="0"/>
              <w:rPr>
                <w:sz w:val="20"/>
                <w:szCs w:val="20"/>
                <w:color w:val="auto"/>
              </w:rPr>
            </w:pPr>
            <w:r>
              <w:rPr>
                <w:rFonts w:ascii="Arial" w:cs="Arial" w:eastAsia="Arial" w:hAnsi="Arial"/>
                <w:sz w:val="14"/>
                <w:szCs w:val="14"/>
                <w:color w:val="auto"/>
              </w:rPr>
              <w:t>EUR</w:t>
            </w:r>
          </w:p>
        </w:tc>
        <w:tc>
          <w:tcPr>
            <w:tcW w:w="1020" w:type="dxa"/>
            <w:vAlign w:val="bottom"/>
          </w:tcPr>
          <w:p>
            <w:pPr>
              <w:spacing w:after="0"/>
              <w:rPr>
                <w:sz w:val="14"/>
                <w:szCs w:val="14"/>
                <w:color w:val="auto"/>
              </w:rPr>
            </w:pPr>
          </w:p>
        </w:tc>
      </w:tr>
      <w:tr>
        <w:trPr>
          <w:trHeight w:val="182"/>
        </w:trPr>
        <w:tc>
          <w:tcPr>
            <w:tcW w:w="1060" w:type="dxa"/>
            <w:vAlign w:val="bottom"/>
          </w:tcPr>
          <w:p>
            <w:pPr>
              <w:spacing w:after="0"/>
              <w:rPr>
                <w:sz w:val="20"/>
                <w:szCs w:val="20"/>
                <w:color w:val="auto"/>
              </w:rPr>
            </w:pPr>
            <w:r>
              <w:rPr>
                <w:rFonts w:ascii="Arial" w:cs="Arial" w:eastAsia="Arial" w:hAnsi="Arial"/>
                <w:sz w:val="14"/>
                <w:szCs w:val="14"/>
                <w:color w:val="auto"/>
              </w:rPr>
              <w:t>Bank of America</w:t>
            </w:r>
          </w:p>
        </w:tc>
        <w:tc>
          <w:tcPr>
            <w:tcW w:w="1240" w:type="dxa"/>
            <w:vAlign w:val="bottom"/>
          </w:tcPr>
          <w:p>
            <w:pPr>
              <w:ind w:left="100"/>
              <w:spacing w:after="0"/>
              <w:rPr>
                <w:sz w:val="20"/>
                <w:szCs w:val="20"/>
                <w:color w:val="auto"/>
              </w:rPr>
            </w:pPr>
            <w:r>
              <w:rPr>
                <w:rFonts w:ascii="Arial" w:cs="Arial" w:eastAsia="Arial" w:hAnsi="Arial"/>
                <w:sz w:val="14"/>
                <w:szCs w:val="14"/>
                <w:color w:val="auto"/>
              </w:rPr>
              <w:t>Finance Limited</w:t>
            </w:r>
          </w:p>
        </w:tc>
        <w:tc>
          <w:tcPr>
            <w:tcW w:w="2040" w:type="dxa"/>
            <w:vAlign w:val="bottom"/>
          </w:tcPr>
          <w:p>
            <w:pPr>
              <w:ind w:left="60"/>
              <w:spacing w:after="0"/>
              <w:rPr>
                <w:sz w:val="20"/>
                <w:szCs w:val="20"/>
                <w:color w:val="auto"/>
              </w:rPr>
            </w:pPr>
            <w:r>
              <w:rPr>
                <w:rFonts w:ascii="Arial" w:cs="Arial" w:eastAsia="Arial" w:hAnsi="Arial"/>
                <w:sz w:val="14"/>
                <w:szCs w:val="14"/>
                <w:color w:val="auto"/>
              </w:rPr>
              <w:t>Aena Aeropuertos, S.A.</w:t>
            </w:r>
          </w:p>
        </w:tc>
        <w:tc>
          <w:tcPr>
            <w:tcW w:w="960" w:type="dxa"/>
            <w:vAlign w:val="bottom"/>
          </w:tcPr>
          <w:p>
            <w:pPr>
              <w:jc w:val="center"/>
              <w:ind w:right="48"/>
              <w:spacing w:after="0"/>
              <w:rPr>
                <w:sz w:val="20"/>
                <w:szCs w:val="20"/>
                <w:color w:val="auto"/>
              </w:rPr>
            </w:pPr>
            <w:r>
              <w:rPr>
                <w:rFonts w:ascii="Arial" w:cs="Arial" w:eastAsia="Arial" w:hAnsi="Arial"/>
                <w:sz w:val="14"/>
                <w:szCs w:val="14"/>
                <w:color w:val="auto"/>
              </w:rPr>
              <w:t>0</w:t>
            </w:r>
          </w:p>
        </w:tc>
        <w:tc>
          <w:tcPr>
            <w:tcW w:w="900" w:type="dxa"/>
            <w:vAlign w:val="bottom"/>
          </w:tcPr>
          <w:p>
            <w:pPr>
              <w:jc w:val="center"/>
              <w:spacing w:after="0"/>
              <w:rPr>
                <w:sz w:val="20"/>
                <w:szCs w:val="20"/>
                <w:color w:val="auto"/>
              </w:rPr>
            </w:pPr>
            <w:r>
              <w:rPr>
                <w:rFonts w:ascii="Arial" w:cs="Arial" w:eastAsia="Arial" w:hAnsi="Arial"/>
                <w:sz w:val="14"/>
                <w:szCs w:val="14"/>
                <w:color w:val="auto"/>
              </w:rPr>
              <w:t>0</w:t>
            </w:r>
          </w:p>
        </w:tc>
        <w:tc>
          <w:tcPr>
            <w:tcW w:w="1280" w:type="dxa"/>
            <w:vAlign w:val="bottom"/>
          </w:tcPr>
          <w:p>
            <w:pPr>
              <w:jc w:val="right"/>
              <w:ind w:right="408"/>
              <w:spacing w:after="0"/>
              <w:rPr>
                <w:sz w:val="20"/>
                <w:szCs w:val="20"/>
                <w:color w:val="auto"/>
              </w:rPr>
            </w:pPr>
            <w:r>
              <w:rPr>
                <w:rFonts w:ascii="Arial" w:cs="Arial" w:eastAsia="Arial" w:hAnsi="Arial"/>
                <w:sz w:val="14"/>
                <w:szCs w:val="14"/>
                <w:color w:val="auto"/>
              </w:rPr>
              <w:t>0</w:t>
            </w:r>
          </w:p>
        </w:tc>
        <w:tc>
          <w:tcPr>
            <w:tcW w:w="780" w:type="dxa"/>
            <w:vAlign w:val="bottom"/>
          </w:tcPr>
          <w:p>
            <w:pPr>
              <w:jc w:val="right"/>
              <w:spacing w:after="0"/>
              <w:rPr>
                <w:sz w:val="20"/>
                <w:szCs w:val="20"/>
                <w:color w:val="auto"/>
              </w:rPr>
            </w:pPr>
            <w:r>
              <w:rPr>
                <w:rFonts w:ascii="Arial" w:cs="Arial" w:eastAsia="Arial" w:hAnsi="Arial"/>
                <w:sz w:val="14"/>
                <w:szCs w:val="14"/>
                <w:color w:val="auto"/>
              </w:rPr>
              <w:t>3104164</w:t>
            </w:r>
          </w:p>
        </w:tc>
        <w:tc>
          <w:tcPr>
            <w:tcW w:w="640" w:type="dxa"/>
            <w:vAlign w:val="bottom"/>
          </w:tcPr>
          <w:p>
            <w:pPr>
              <w:jc w:val="right"/>
              <w:spacing w:after="0"/>
              <w:rPr>
                <w:sz w:val="20"/>
                <w:szCs w:val="20"/>
                <w:color w:val="auto"/>
              </w:rPr>
            </w:pPr>
            <w:r>
              <w:rPr>
                <w:rFonts w:ascii="Arial" w:cs="Arial" w:eastAsia="Arial" w:hAnsi="Arial"/>
                <w:sz w:val="14"/>
                <w:szCs w:val="14"/>
                <w:color w:val="auto"/>
              </w:rPr>
              <w:t>01/28/15</w:t>
            </w:r>
          </w:p>
        </w:tc>
        <w:tc>
          <w:tcPr>
            <w:tcW w:w="1080" w:type="dxa"/>
            <w:vAlign w:val="bottom"/>
          </w:tcPr>
          <w:p>
            <w:pPr>
              <w:jc w:val="right"/>
              <w:ind w:right="308"/>
              <w:spacing w:after="0"/>
              <w:rPr>
                <w:sz w:val="20"/>
                <w:szCs w:val="20"/>
                <w:color w:val="auto"/>
              </w:rPr>
            </w:pPr>
            <w:r>
              <w:rPr>
                <w:rFonts w:ascii="Arial" w:cs="Arial" w:eastAsia="Arial" w:hAnsi="Arial"/>
                <w:sz w:val="14"/>
                <w:szCs w:val="14"/>
                <w:color w:val="auto"/>
              </w:rPr>
              <w:t>4,200</w:t>
            </w:r>
          </w:p>
        </w:tc>
        <w:tc>
          <w:tcPr>
            <w:tcW w:w="1020" w:type="dxa"/>
            <w:vAlign w:val="bottom"/>
          </w:tcPr>
          <w:p>
            <w:pPr>
              <w:jc w:val="right"/>
              <w:spacing w:after="0"/>
              <w:rPr>
                <w:sz w:val="20"/>
                <w:szCs w:val="20"/>
                <w:color w:val="auto"/>
              </w:rPr>
            </w:pPr>
            <w:r>
              <w:rPr>
                <w:rFonts w:ascii="Arial" w:cs="Arial" w:eastAsia="Arial" w:hAnsi="Arial"/>
                <w:sz w:val="14"/>
                <w:szCs w:val="14"/>
                <w:color w:val="auto"/>
              </w:rPr>
              <w:t>5,675</w:t>
            </w:r>
          </w:p>
        </w:tc>
      </w:tr>
      <w:tr>
        <w:trPr>
          <w:trHeight w:val="169"/>
        </w:trPr>
        <w:tc>
          <w:tcPr>
            <w:tcW w:w="1060" w:type="dxa"/>
            <w:vAlign w:val="bottom"/>
          </w:tcPr>
          <w:p>
            <w:pPr>
              <w:spacing w:after="0"/>
              <w:rPr>
                <w:sz w:val="14"/>
                <w:szCs w:val="14"/>
                <w:color w:val="auto"/>
              </w:rPr>
            </w:pPr>
          </w:p>
        </w:tc>
        <w:tc>
          <w:tcPr>
            <w:tcW w:w="1240" w:type="dxa"/>
            <w:vAlign w:val="bottom"/>
          </w:tcPr>
          <w:p>
            <w:pPr>
              <w:ind w:left="100"/>
              <w:spacing w:after="0"/>
              <w:rPr>
                <w:sz w:val="20"/>
                <w:szCs w:val="20"/>
                <w:color w:val="auto"/>
              </w:rPr>
            </w:pPr>
            <w:r>
              <w:rPr>
                <w:rFonts w:ascii="Arial" w:cs="Arial" w:eastAsia="Arial" w:hAnsi="Arial"/>
                <w:sz w:val="14"/>
                <w:szCs w:val="14"/>
                <w:color w:val="auto"/>
              </w:rPr>
              <w:t>Euronet 360</w:t>
            </w:r>
          </w:p>
        </w:tc>
        <w:tc>
          <w:tcPr>
            <w:tcW w:w="20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80" w:type="dxa"/>
            <w:vAlign w:val="bottom"/>
          </w:tcPr>
          <w:p>
            <w:pPr>
              <w:jc w:val="right"/>
              <w:ind w:right="308"/>
              <w:spacing w:after="0"/>
              <w:rPr>
                <w:sz w:val="20"/>
                <w:szCs w:val="20"/>
                <w:color w:val="auto"/>
              </w:rPr>
            </w:pPr>
            <w:r>
              <w:rPr>
                <w:rFonts w:ascii="Arial" w:cs="Arial" w:eastAsia="Arial" w:hAnsi="Arial"/>
                <w:sz w:val="14"/>
                <w:szCs w:val="14"/>
                <w:color w:val="auto"/>
              </w:rPr>
              <w:t>EUR</w:t>
            </w:r>
          </w:p>
        </w:tc>
        <w:tc>
          <w:tcPr>
            <w:tcW w:w="1020" w:type="dxa"/>
            <w:vAlign w:val="bottom"/>
          </w:tcPr>
          <w:p>
            <w:pPr>
              <w:spacing w:after="0"/>
              <w:rPr>
                <w:sz w:val="14"/>
                <w:szCs w:val="14"/>
                <w:color w:val="auto"/>
              </w:rPr>
            </w:pPr>
          </w:p>
        </w:tc>
      </w:tr>
      <w:tr>
        <w:trPr>
          <w:trHeight w:val="182"/>
        </w:trPr>
        <w:tc>
          <w:tcPr>
            <w:tcW w:w="1060" w:type="dxa"/>
            <w:vAlign w:val="bottom"/>
          </w:tcPr>
          <w:p>
            <w:pPr>
              <w:spacing w:after="0"/>
              <w:rPr>
                <w:sz w:val="20"/>
                <w:szCs w:val="20"/>
                <w:color w:val="auto"/>
              </w:rPr>
            </w:pPr>
            <w:r>
              <w:rPr>
                <w:rFonts w:ascii="Arial" w:cs="Arial" w:eastAsia="Arial" w:hAnsi="Arial"/>
                <w:sz w:val="14"/>
                <w:szCs w:val="14"/>
                <w:color w:val="auto"/>
              </w:rPr>
              <w:t>Bank of America</w:t>
            </w:r>
          </w:p>
        </w:tc>
        <w:tc>
          <w:tcPr>
            <w:tcW w:w="1240" w:type="dxa"/>
            <w:vAlign w:val="bottom"/>
          </w:tcPr>
          <w:p>
            <w:pPr>
              <w:ind w:left="100"/>
              <w:spacing w:after="0"/>
              <w:rPr>
                <w:sz w:val="20"/>
                <w:szCs w:val="20"/>
                <w:color w:val="auto"/>
              </w:rPr>
            </w:pPr>
            <w:r>
              <w:rPr>
                <w:rFonts w:ascii="Arial" w:cs="Arial" w:eastAsia="Arial" w:hAnsi="Arial"/>
                <w:sz w:val="14"/>
                <w:szCs w:val="14"/>
                <w:color w:val="auto"/>
              </w:rPr>
              <w:t>Finance Limited</w:t>
            </w:r>
          </w:p>
        </w:tc>
        <w:tc>
          <w:tcPr>
            <w:tcW w:w="2040" w:type="dxa"/>
            <w:vAlign w:val="bottom"/>
          </w:tcPr>
          <w:p>
            <w:pPr>
              <w:ind w:left="60"/>
              <w:spacing w:after="0"/>
              <w:rPr>
                <w:sz w:val="20"/>
                <w:szCs w:val="20"/>
                <w:color w:val="auto"/>
              </w:rPr>
            </w:pPr>
            <w:r>
              <w:rPr>
                <w:rFonts w:ascii="Arial" w:cs="Arial" w:eastAsia="Arial" w:hAnsi="Arial"/>
                <w:sz w:val="14"/>
                <w:szCs w:val="14"/>
                <w:color w:val="auto"/>
              </w:rPr>
              <w:t>Aena Aeropuertos, S.A.</w:t>
            </w:r>
          </w:p>
        </w:tc>
        <w:tc>
          <w:tcPr>
            <w:tcW w:w="960" w:type="dxa"/>
            <w:vAlign w:val="bottom"/>
          </w:tcPr>
          <w:p>
            <w:pPr>
              <w:jc w:val="center"/>
              <w:ind w:right="48"/>
              <w:spacing w:after="0"/>
              <w:rPr>
                <w:sz w:val="20"/>
                <w:szCs w:val="20"/>
                <w:color w:val="auto"/>
              </w:rPr>
            </w:pPr>
            <w:r>
              <w:rPr>
                <w:rFonts w:ascii="Arial" w:cs="Arial" w:eastAsia="Arial" w:hAnsi="Arial"/>
                <w:sz w:val="14"/>
                <w:szCs w:val="14"/>
                <w:color w:val="auto"/>
              </w:rPr>
              <w:t>0</w:t>
            </w:r>
          </w:p>
        </w:tc>
        <w:tc>
          <w:tcPr>
            <w:tcW w:w="900" w:type="dxa"/>
            <w:vAlign w:val="bottom"/>
          </w:tcPr>
          <w:p>
            <w:pPr>
              <w:jc w:val="center"/>
              <w:spacing w:after="0"/>
              <w:rPr>
                <w:sz w:val="20"/>
                <w:szCs w:val="20"/>
                <w:color w:val="auto"/>
              </w:rPr>
            </w:pPr>
            <w:r>
              <w:rPr>
                <w:rFonts w:ascii="Arial" w:cs="Arial" w:eastAsia="Arial" w:hAnsi="Arial"/>
                <w:sz w:val="14"/>
                <w:szCs w:val="14"/>
                <w:color w:val="auto"/>
              </w:rPr>
              <w:t>0</w:t>
            </w:r>
          </w:p>
        </w:tc>
        <w:tc>
          <w:tcPr>
            <w:tcW w:w="1280" w:type="dxa"/>
            <w:vAlign w:val="bottom"/>
          </w:tcPr>
          <w:p>
            <w:pPr>
              <w:jc w:val="right"/>
              <w:ind w:right="408"/>
              <w:spacing w:after="0"/>
              <w:rPr>
                <w:sz w:val="20"/>
                <w:szCs w:val="20"/>
                <w:color w:val="auto"/>
              </w:rPr>
            </w:pPr>
            <w:r>
              <w:rPr>
                <w:rFonts w:ascii="Arial" w:cs="Arial" w:eastAsia="Arial" w:hAnsi="Arial"/>
                <w:sz w:val="14"/>
                <w:szCs w:val="14"/>
                <w:color w:val="auto"/>
              </w:rPr>
              <w:t>0</w:t>
            </w:r>
          </w:p>
        </w:tc>
        <w:tc>
          <w:tcPr>
            <w:tcW w:w="780" w:type="dxa"/>
            <w:vAlign w:val="bottom"/>
          </w:tcPr>
          <w:p>
            <w:pPr>
              <w:jc w:val="right"/>
              <w:spacing w:after="0"/>
              <w:rPr>
                <w:sz w:val="20"/>
                <w:szCs w:val="20"/>
                <w:color w:val="auto"/>
              </w:rPr>
            </w:pPr>
            <w:r>
              <w:rPr>
                <w:rFonts w:ascii="Arial" w:cs="Arial" w:eastAsia="Arial" w:hAnsi="Arial"/>
                <w:sz w:val="14"/>
                <w:szCs w:val="14"/>
                <w:color w:val="auto"/>
              </w:rPr>
              <w:t>3104165</w:t>
            </w:r>
          </w:p>
        </w:tc>
        <w:tc>
          <w:tcPr>
            <w:tcW w:w="640" w:type="dxa"/>
            <w:vAlign w:val="bottom"/>
          </w:tcPr>
          <w:p>
            <w:pPr>
              <w:jc w:val="right"/>
              <w:spacing w:after="0"/>
              <w:rPr>
                <w:sz w:val="20"/>
                <w:szCs w:val="20"/>
                <w:color w:val="auto"/>
              </w:rPr>
            </w:pPr>
            <w:r>
              <w:rPr>
                <w:rFonts w:ascii="Arial" w:cs="Arial" w:eastAsia="Arial" w:hAnsi="Arial"/>
                <w:sz w:val="14"/>
                <w:szCs w:val="14"/>
                <w:color w:val="auto"/>
              </w:rPr>
              <w:t>01/28/15</w:t>
            </w:r>
          </w:p>
        </w:tc>
        <w:tc>
          <w:tcPr>
            <w:tcW w:w="1080" w:type="dxa"/>
            <w:vAlign w:val="bottom"/>
          </w:tcPr>
          <w:p>
            <w:pPr>
              <w:jc w:val="right"/>
              <w:ind w:right="308"/>
              <w:spacing w:after="0"/>
              <w:rPr>
                <w:sz w:val="20"/>
                <w:szCs w:val="20"/>
                <w:color w:val="auto"/>
              </w:rPr>
            </w:pPr>
            <w:r>
              <w:rPr>
                <w:rFonts w:ascii="Arial" w:cs="Arial" w:eastAsia="Arial" w:hAnsi="Arial"/>
                <w:sz w:val="14"/>
                <w:szCs w:val="14"/>
                <w:color w:val="auto"/>
              </w:rPr>
              <w:t>8,400</w:t>
            </w:r>
          </w:p>
        </w:tc>
        <w:tc>
          <w:tcPr>
            <w:tcW w:w="1020" w:type="dxa"/>
            <w:vAlign w:val="bottom"/>
          </w:tcPr>
          <w:p>
            <w:pPr>
              <w:jc w:val="right"/>
              <w:spacing w:after="0"/>
              <w:rPr>
                <w:sz w:val="20"/>
                <w:szCs w:val="20"/>
                <w:color w:val="auto"/>
              </w:rPr>
            </w:pPr>
            <w:r>
              <w:rPr>
                <w:rFonts w:ascii="Arial" w:cs="Arial" w:eastAsia="Arial" w:hAnsi="Arial"/>
                <w:sz w:val="14"/>
                <w:szCs w:val="14"/>
                <w:color w:val="auto"/>
              </w:rPr>
              <w:t>11,351</w:t>
            </w:r>
          </w:p>
        </w:tc>
      </w:tr>
      <w:tr>
        <w:trPr>
          <w:trHeight w:val="169"/>
        </w:trPr>
        <w:tc>
          <w:tcPr>
            <w:tcW w:w="1060" w:type="dxa"/>
            <w:vAlign w:val="bottom"/>
          </w:tcPr>
          <w:p>
            <w:pPr>
              <w:spacing w:after="0"/>
              <w:rPr>
                <w:sz w:val="14"/>
                <w:szCs w:val="14"/>
                <w:color w:val="auto"/>
              </w:rPr>
            </w:pPr>
          </w:p>
        </w:tc>
        <w:tc>
          <w:tcPr>
            <w:tcW w:w="1240" w:type="dxa"/>
            <w:vAlign w:val="bottom"/>
          </w:tcPr>
          <w:p>
            <w:pPr>
              <w:ind w:left="100"/>
              <w:spacing w:after="0"/>
              <w:rPr>
                <w:sz w:val="20"/>
                <w:szCs w:val="20"/>
                <w:color w:val="auto"/>
              </w:rPr>
            </w:pPr>
            <w:r>
              <w:rPr>
                <w:rFonts w:ascii="Arial" w:cs="Arial" w:eastAsia="Arial" w:hAnsi="Arial"/>
                <w:sz w:val="14"/>
                <w:szCs w:val="14"/>
                <w:color w:val="auto"/>
              </w:rPr>
              <w:t>Euronet Services</w:t>
            </w:r>
          </w:p>
        </w:tc>
        <w:tc>
          <w:tcPr>
            <w:tcW w:w="20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80" w:type="dxa"/>
            <w:vAlign w:val="bottom"/>
          </w:tcPr>
          <w:p>
            <w:pPr>
              <w:jc w:val="right"/>
              <w:ind w:right="308"/>
              <w:spacing w:after="0"/>
              <w:rPr>
                <w:sz w:val="20"/>
                <w:szCs w:val="20"/>
                <w:color w:val="auto"/>
              </w:rPr>
            </w:pPr>
            <w:r>
              <w:rPr>
                <w:rFonts w:ascii="Arial" w:cs="Arial" w:eastAsia="Arial" w:hAnsi="Arial"/>
                <w:sz w:val="14"/>
                <w:szCs w:val="14"/>
                <w:color w:val="auto"/>
              </w:rPr>
              <w:t>EUR</w:t>
            </w:r>
          </w:p>
        </w:tc>
        <w:tc>
          <w:tcPr>
            <w:tcW w:w="1020" w:type="dxa"/>
            <w:vAlign w:val="bottom"/>
          </w:tcPr>
          <w:p>
            <w:pPr>
              <w:spacing w:after="0"/>
              <w:rPr>
                <w:sz w:val="14"/>
                <w:szCs w:val="14"/>
                <w:color w:val="auto"/>
              </w:rPr>
            </w:pPr>
          </w:p>
        </w:tc>
      </w:tr>
      <w:tr>
        <w:trPr>
          <w:trHeight w:val="182"/>
        </w:trPr>
        <w:tc>
          <w:tcPr>
            <w:tcW w:w="1060" w:type="dxa"/>
            <w:vAlign w:val="bottom"/>
          </w:tcPr>
          <w:p>
            <w:pPr>
              <w:spacing w:after="0"/>
              <w:rPr>
                <w:sz w:val="20"/>
                <w:szCs w:val="20"/>
                <w:color w:val="auto"/>
              </w:rPr>
            </w:pPr>
            <w:r>
              <w:rPr>
                <w:rFonts w:ascii="Arial" w:cs="Arial" w:eastAsia="Arial" w:hAnsi="Arial"/>
                <w:sz w:val="14"/>
                <w:szCs w:val="14"/>
                <w:color w:val="auto"/>
              </w:rPr>
              <w:t>Bank of America</w:t>
            </w:r>
          </w:p>
        </w:tc>
        <w:tc>
          <w:tcPr>
            <w:tcW w:w="1240" w:type="dxa"/>
            <w:vAlign w:val="bottom"/>
          </w:tcPr>
          <w:p>
            <w:pPr>
              <w:ind w:left="100"/>
              <w:spacing w:after="0"/>
              <w:rPr>
                <w:sz w:val="20"/>
                <w:szCs w:val="20"/>
                <w:color w:val="auto"/>
              </w:rPr>
            </w:pPr>
            <w:r>
              <w:rPr>
                <w:rFonts w:ascii="Arial" w:cs="Arial" w:eastAsia="Arial" w:hAnsi="Arial"/>
                <w:sz w:val="14"/>
                <w:szCs w:val="14"/>
                <w:color w:val="auto"/>
              </w:rPr>
              <w:t>S.R.L.</w:t>
            </w:r>
          </w:p>
        </w:tc>
        <w:tc>
          <w:tcPr>
            <w:tcW w:w="2040" w:type="dxa"/>
            <w:vAlign w:val="bottom"/>
          </w:tcPr>
          <w:p>
            <w:pPr>
              <w:ind w:left="60"/>
              <w:spacing w:after="0"/>
              <w:rPr>
                <w:sz w:val="20"/>
                <w:szCs w:val="20"/>
                <w:color w:val="auto"/>
              </w:rPr>
            </w:pPr>
            <w:r>
              <w:rPr>
                <w:rFonts w:ascii="Arial" w:cs="Arial" w:eastAsia="Arial" w:hAnsi="Arial"/>
                <w:sz w:val="14"/>
                <w:szCs w:val="14"/>
                <w:color w:val="auto"/>
              </w:rPr>
              <w:t>Citibank Romania</w:t>
            </w:r>
          </w:p>
        </w:tc>
        <w:tc>
          <w:tcPr>
            <w:tcW w:w="960" w:type="dxa"/>
            <w:vAlign w:val="bottom"/>
          </w:tcPr>
          <w:p>
            <w:pPr>
              <w:jc w:val="center"/>
              <w:ind w:right="48"/>
              <w:spacing w:after="0"/>
              <w:rPr>
                <w:sz w:val="20"/>
                <w:szCs w:val="20"/>
                <w:color w:val="auto"/>
              </w:rPr>
            </w:pPr>
            <w:r>
              <w:rPr>
                <w:rFonts w:ascii="Arial" w:cs="Arial" w:eastAsia="Arial" w:hAnsi="Arial"/>
                <w:sz w:val="14"/>
                <w:szCs w:val="14"/>
                <w:color w:val="auto"/>
              </w:rPr>
              <w:t>0</w:t>
            </w:r>
          </w:p>
        </w:tc>
        <w:tc>
          <w:tcPr>
            <w:tcW w:w="900" w:type="dxa"/>
            <w:vAlign w:val="bottom"/>
          </w:tcPr>
          <w:p>
            <w:pPr>
              <w:jc w:val="center"/>
              <w:spacing w:after="0"/>
              <w:rPr>
                <w:sz w:val="20"/>
                <w:szCs w:val="20"/>
                <w:color w:val="auto"/>
              </w:rPr>
            </w:pPr>
            <w:r>
              <w:rPr>
                <w:rFonts w:ascii="Arial" w:cs="Arial" w:eastAsia="Arial" w:hAnsi="Arial"/>
                <w:sz w:val="14"/>
                <w:szCs w:val="14"/>
                <w:color w:val="auto"/>
              </w:rPr>
              <w:t>0</w:t>
            </w:r>
          </w:p>
        </w:tc>
        <w:tc>
          <w:tcPr>
            <w:tcW w:w="1280" w:type="dxa"/>
            <w:vAlign w:val="bottom"/>
          </w:tcPr>
          <w:p>
            <w:pPr>
              <w:jc w:val="right"/>
              <w:ind w:right="408"/>
              <w:spacing w:after="0"/>
              <w:rPr>
                <w:sz w:val="20"/>
                <w:szCs w:val="20"/>
                <w:color w:val="auto"/>
              </w:rPr>
            </w:pPr>
            <w:r>
              <w:rPr>
                <w:rFonts w:ascii="Arial" w:cs="Arial" w:eastAsia="Arial" w:hAnsi="Arial"/>
                <w:sz w:val="14"/>
                <w:szCs w:val="14"/>
                <w:color w:val="auto"/>
              </w:rPr>
              <w:t>0</w:t>
            </w:r>
          </w:p>
        </w:tc>
        <w:tc>
          <w:tcPr>
            <w:tcW w:w="780" w:type="dxa"/>
            <w:vAlign w:val="bottom"/>
          </w:tcPr>
          <w:p>
            <w:pPr>
              <w:jc w:val="right"/>
              <w:spacing w:after="0"/>
              <w:rPr>
                <w:sz w:val="20"/>
                <w:szCs w:val="20"/>
                <w:color w:val="auto"/>
              </w:rPr>
            </w:pPr>
            <w:r>
              <w:rPr>
                <w:rFonts w:ascii="Arial" w:cs="Arial" w:eastAsia="Arial" w:hAnsi="Arial"/>
                <w:sz w:val="14"/>
                <w:szCs w:val="14"/>
                <w:color w:val="auto"/>
              </w:rPr>
              <w:t>3062412</w:t>
            </w:r>
          </w:p>
        </w:tc>
        <w:tc>
          <w:tcPr>
            <w:tcW w:w="640" w:type="dxa"/>
            <w:vAlign w:val="bottom"/>
          </w:tcPr>
          <w:p>
            <w:pPr>
              <w:jc w:val="right"/>
              <w:spacing w:after="0"/>
              <w:rPr>
                <w:sz w:val="20"/>
                <w:szCs w:val="20"/>
                <w:color w:val="auto"/>
              </w:rPr>
            </w:pPr>
            <w:r>
              <w:rPr>
                <w:rFonts w:ascii="Arial" w:cs="Arial" w:eastAsia="Arial" w:hAnsi="Arial"/>
                <w:sz w:val="14"/>
                <w:szCs w:val="14"/>
                <w:color w:val="auto"/>
              </w:rPr>
              <w:t>12/10/14</w:t>
            </w:r>
          </w:p>
        </w:tc>
        <w:tc>
          <w:tcPr>
            <w:tcW w:w="1080" w:type="dxa"/>
            <w:vAlign w:val="bottom"/>
          </w:tcPr>
          <w:p>
            <w:pPr>
              <w:jc w:val="right"/>
              <w:ind w:right="308"/>
              <w:spacing w:after="0"/>
              <w:rPr>
                <w:sz w:val="20"/>
                <w:szCs w:val="20"/>
                <w:color w:val="auto"/>
              </w:rPr>
            </w:pPr>
            <w:r>
              <w:rPr>
                <w:rFonts w:ascii="Arial" w:cs="Arial" w:eastAsia="Arial" w:hAnsi="Arial"/>
                <w:sz w:val="14"/>
                <w:szCs w:val="14"/>
                <w:color w:val="auto"/>
              </w:rPr>
              <w:t>92,000</w:t>
            </w:r>
          </w:p>
        </w:tc>
        <w:tc>
          <w:tcPr>
            <w:tcW w:w="1020" w:type="dxa"/>
            <w:vAlign w:val="bottom"/>
          </w:tcPr>
          <w:p>
            <w:pPr>
              <w:jc w:val="right"/>
              <w:spacing w:after="0"/>
              <w:rPr>
                <w:sz w:val="20"/>
                <w:szCs w:val="20"/>
                <w:color w:val="auto"/>
              </w:rPr>
            </w:pPr>
            <w:r>
              <w:rPr>
                <w:rFonts w:ascii="Arial" w:cs="Arial" w:eastAsia="Arial" w:hAnsi="Arial"/>
                <w:sz w:val="14"/>
                <w:szCs w:val="14"/>
                <w:color w:val="auto"/>
              </w:rPr>
              <w:t>124,320</w:t>
            </w:r>
          </w:p>
        </w:tc>
      </w:tr>
      <w:tr>
        <w:trPr>
          <w:trHeight w:val="169"/>
        </w:trPr>
        <w:tc>
          <w:tcPr>
            <w:tcW w:w="1060" w:type="dxa"/>
            <w:vAlign w:val="bottom"/>
          </w:tcPr>
          <w:p>
            <w:pPr>
              <w:spacing w:after="0"/>
              <w:rPr>
                <w:sz w:val="14"/>
                <w:szCs w:val="14"/>
                <w:color w:val="auto"/>
              </w:rPr>
            </w:pPr>
          </w:p>
        </w:tc>
        <w:tc>
          <w:tcPr>
            <w:tcW w:w="1240" w:type="dxa"/>
            <w:vAlign w:val="bottom"/>
          </w:tcPr>
          <w:p>
            <w:pPr>
              <w:ind w:left="100"/>
              <w:spacing w:after="0"/>
              <w:rPr>
                <w:sz w:val="20"/>
                <w:szCs w:val="20"/>
                <w:color w:val="auto"/>
              </w:rPr>
            </w:pPr>
            <w:r>
              <w:rPr>
                <w:rFonts w:ascii="Arial" w:cs="Arial" w:eastAsia="Arial" w:hAnsi="Arial"/>
                <w:sz w:val="14"/>
                <w:szCs w:val="14"/>
                <w:color w:val="auto"/>
              </w:rPr>
              <w:t>Euronet Prepaid</w:t>
            </w:r>
          </w:p>
        </w:tc>
        <w:tc>
          <w:tcPr>
            <w:tcW w:w="20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80" w:type="dxa"/>
            <w:vAlign w:val="bottom"/>
          </w:tcPr>
          <w:p>
            <w:pPr>
              <w:jc w:val="right"/>
              <w:ind w:right="308"/>
              <w:spacing w:after="0"/>
              <w:rPr>
                <w:sz w:val="20"/>
                <w:szCs w:val="20"/>
                <w:color w:val="auto"/>
              </w:rPr>
            </w:pPr>
            <w:r>
              <w:rPr>
                <w:rFonts w:ascii="Arial" w:cs="Arial" w:eastAsia="Arial" w:hAnsi="Arial"/>
                <w:sz w:val="14"/>
                <w:szCs w:val="14"/>
                <w:color w:val="auto"/>
              </w:rPr>
              <w:t>EUR</w:t>
            </w:r>
          </w:p>
        </w:tc>
        <w:tc>
          <w:tcPr>
            <w:tcW w:w="1020" w:type="dxa"/>
            <w:vAlign w:val="bottom"/>
          </w:tcPr>
          <w:p>
            <w:pPr>
              <w:spacing w:after="0"/>
              <w:rPr>
                <w:sz w:val="14"/>
                <w:szCs w:val="14"/>
                <w:color w:val="auto"/>
              </w:rPr>
            </w:pPr>
          </w:p>
        </w:tc>
      </w:tr>
      <w:tr>
        <w:trPr>
          <w:trHeight w:val="182"/>
        </w:trPr>
        <w:tc>
          <w:tcPr>
            <w:tcW w:w="1060" w:type="dxa"/>
            <w:vAlign w:val="bottom"/>
          </w:tcPr>
          <w:p>
            <w:pPr>
              <w:spacing w:after="0"/>
              <w:rPr>
                <w:sz w:val="20"/>
                <w:szCs w:val="20"/>
                <w:color w:val="auto"/>
              </w:rPr>
            </w:pPr>
            <w:r>
              <w:rPr>
                <w:rFonts w:ascii="Arial" w:cs="Arial" w:eastAsia="Arial" w:hAnsi="Arial"/>
                <w:sz w:val="14"/>
                <w:szCs w:val="14"/>
                <w:color w:val="auto"/>
              </w:rPr>
              <w:t>Bank of America</w:t>
            </w:r>
          </w:p>
        </w:tc>
        <w:tc>
          <w:tcPr>
            <w:tcW w:w="1240" w:type="dxa"/>
            <w:vAlign w:val="bottom"/>
          </w:tcPr>
          <w:p>
            <w:pPr>
              <w:ind w:left="100"/>
              <w:spacing w:after="0"/>
              <w:rPr>
                <w:sz w:val="20"/>
                <w:szCs w:val="20"/>
                <w:color w:val="auto"/>
              </w:rPr>
            </w:pPr>
            <w:r>
              <w:rPr>
                <w:rFonts w:ascii="Arial" w:cs="Arial" w:eastAsia="Arial" w:hAnsi="Arial"/>
                <w:sz w:val="14"/>
                <w:szCs w:val="14"/>
                <w:color w:val="auto"/>
              </w:rPr>
              <w:t>Hellas Ltd.</w:t>
            </w:r>
          </w:p>
        </w:tc>
        <w:tc>
          <w:tcPr>
            <w:tcW w:w="2040" w:type="dxa"/>
            <w:vAlign w:val="bottom"/>
          </w:tcPr>
          <w:p>
            <w:pPr>
              <w:ind w:left="60"/>
              <w:spacing w:after="0"/>
              <w:rPr>
                <w:sz w:val="20"/>
                <w:szCs w:val="20"/>
                <w:color w:val="auto"/>
              </w:rPr>
            </w:pPr>
            <w:r>
              <w:rPr>
                <w:rFonts w:ascii="Arial" w:cs="Arial" w:eastAsia="Arial" w:hAnsi="Arial"/>
                <w:sz w:val="14"/>
                <w:szCs w:val="14"/>
                <w:color w:val="auto"/>
              </w:rPr>
              <w:t>Wind</w:t>
            </w:r>
          </w:p>
        </w:tc>
        <w:tc>
          <w:tcPr>
            <w:tcW w:w="960" w:type="dxa"/>
            <w:vAlign w:val="bottom"/>
          </w:tcPr>
          <w:p>
            <w:pPr>
              <w:jc w:val="center"/>
              <w:ind w:right="48"/>
              <w:spacing w:after="0"/>
              <w:rPr>
                <w:sz w:val="20"/>
                <w:szCs w:val="20"/>
                <w:color w:val="auto"/>
              </w:rPr>
            </w:pPr>
            <w:r>
              <w:rPr>
                <w:rFonts w:ascii="Arial" w:cs="Arial" w:eastAsia="Arial" w:hAnsi="Arial"/>
                <w:sz w:val="14"/>
                <w:szCs w:val="14"/>
                <w:color w:val="auto"/>
              </w:rPr>
              <w:t>0</w:t>
            </w:r>
          </w:p>
        </w:tc>
        <w:tc>
          <w:tcPr>
            <w:tcW w:w="900" w:type="dxa"/>
            <w:vAlign w:val="bottom"/>
          </w:tcPr>
          <w:p>
            <w:pPr>
              <w:jc w:val="center"/>
              <w:spacing w:after="0"/>
              <w:rPr>
                <w:sz w:val="20"/>
                <w:szCs w:val="20"/>
                <w:color w:val="auto"/>
              </w:rPr>
            </w:pPr>
            <w:r>
              <w:rPr>
                <w:rFonts w:ascii="Arial" w:cs="Arial" w:eastAsia="Arial" w:hAnsi="Arial"/>
                <w:sz w:val="14"/>
                <w:szCs w:val="14"/>
                <w:color w:val="auto"/>
              </w:rPr>
              <w:t>0</w:t>
            </w:r>
          </w:p>
        </w:tc>
        <w:tc>
          <w:tcPr>
            <w:tcW w:w="1280" w:type="dxa"/>
            <w:vAlign w:val="bottom"/>
          </w:tcPr>
          <w:p>
            <w:pPr>
              <w:jc w:val="right"/>
              <w:ind w:right="408"/>
              <w:spacing w:after="0"/>
              <w:rPr>
                <w:sz w:val="20"/>
                <w:szCs w:val="20"/>
                <w:color w:val="auto"/>
              </w:rPr>
            </w:pPr>
            <w:r>
              <w:rPr>
                <w:rFonts w:ascii="Arial" w:cs="Arial" w:eastAsia="Arial" w:hAnsi="Arial"/>
                <w:sz w:val="14"/>
                <w:szCs w:val="14"/>
                <w:color w:val="auto"/>
              </w:rPr>
              <w:t>0</w:t>
            </w:r>
          </w:p>
        </w:tc>
        <w:tc>
          <w:tcPr>
            <w:tcW w:w="780" w:type="dxa"/>
            <w:vAlign w:val="bottom"/>
          </w:tcPr>
          <w:p>
            <w:pPr>
              <w:jc w:val="right"/>
              <w:spacing w:after="0"/>
              <w:rPr>
                <w:sz w:val="20"/>
                <w:szCs w:val="20"/>
                <w:color w:val="auto"/>
              </w:rPr>
            </w:pPr>
            <w:r>
              <w:rPr>
                <w:rFonts w:ascii="Arial" w:cs="Arial" w:eastAsia="Arial" w:hAnsi="Arial"/>
                <w:sz w:val="14"/>
                <w:szCs w:val="14"/>
                <w:color w:val="auto"/>
              </w:rPr>
              <w:t>3095776</w:t>
            </w:r>
          </w:p>
        </w:tc>
        <w:tc>
          <w:tcPr>
            <w:tcW w:w="640" w:type="dxa"/>
            <w:vAlign w:val="bottom"/>
          </w:tcPr>
          <w:p>
            <w:pPr>
              <w:jc w:val="right"/>
              <w:spacing w:after="0"/>
              <w:rPr>
                <w:sz w:val="20"/>
                <w:szCs w:val="20"/>
                <w:color w:val="auto"/>
              </w:rPr>
            </w:pPr>
            <w:r>
              <w:rPr>
                <w:rFonts w:ascii="Arial" w:cs="Arial" w:eastAsia="Arial" w:hAnsi="Arial"/>
                <w:sz w:val="14"/>
                <w:szCs w:val="14"/>
                <w:color w:val="auto"/>
              </w:rPr>
              <w:t>08/24/14</w:t>
            </w:r>
          </w:p>
        </w:tc>
        <w:tc>
          <w:tcPr>
            <w:tcW w:w="1080" w:type="dxa"/>
            <w:vAlign w:val="bottom"/>
          </w:tcPr>
          <w:p>
            <w:pPr>
              <w:jc w:val="right"/>
              <w:ind w:right="308"/>
              <w:spacing w:after="0"/>
              <w:rPr>
                <w:sz w:val="20"/>
                <w:szCs w:val="20"/>
                <w:color w:val="auto"/>
              </w:rPr>
            </w:pPr>
            <w:r>
              <w:rPr>
                <w:rFonts w:ascii="Arial" w:cs="Arial" w:eastAsia="Arial" w:hAnsi="Arial"/>
                <w:sz w:val="14"/>
                <w:szCs w:val="14"/>
                <w:color w:val="auto"/>
              </w:rPr>
              <w:t>90,000</w:t>
            </w:r>
          </w:p>
        </w:tc>
        <w:tc>
          <w:tcPr>
            <w:tcW w:w="1020" w:type="dxa"/>
            <w:vAlign w:val="bottom"/>
          </w:tcPr>
          <w:p>
            <w:pPr>
              <w:jc w:val="right"/>
              <w:spacing w:after="0"/>
              <w:rPr>
                <w:sz w:val="20"/>
                <w:szCs w:val="20"/>
                <w:color w:val="auto"/>
              </w:rPr>
            </w:pPr>
            <w:r>
              <w:rPr>
                <w:rFonts w:ascii="Arial" w:cs="Arial" w:eastAsia="Arial" w:hAnsi="Arial"/>
                <w:sz w:val="14"/>
                <w:szCs w:val="14"/>
                <w:color w:val="auto"/>
              </w:rPr>
              <w:t>121,617</w:t>
            </w:r>
          </w:p>
        </w:tc>
      </w:tr>
      <w:tr>
        <w:trPr>
          <w:trHeight w:val="169"/>
        </w:trPr>
        <w:tc>
          <w:tcPr>
            <w:tcW w:w="1060" w:type="dxa"/>
            <w:vAlign w:val="bottom"/>
          </w:tcPr>
          <w:p>
            <w:pPr>
              <w:spacing w:after="0"/>
              <w:rPr>
                <w:sz w:val="14"/>
                <w:szCs w:val="14"/>
                <w:color w:val="auto"/>
              </w:rPr>
            </w:pPr>
          </w:p>
        </w:tc>
        <w:tc>
          <w:tcPr>
            <w:tcW w:w="1240" w:type="dxa"/>
            <w:vAlign w:val="bottom"/>
          </w:tcPr>
          <w:p>
            <w:pPr>
              <w:ind w:left="100"/>
              <w:spacing w:after="0"/>
              <w:rPr>
                <w:sz w:val="20"/>
                <w:szCs w:val="20"/>
                <w:color w:val="auto"/>
              </w:rPr>
            </w:pPr>
            <w:r>
              <w:rPr>
                <w:rFonts w:ascii="Arial" w:cs="Arial" w:eastAsia="Arial" w:hAnsi="Arial"/>
                <w:sz w:val="14"/>
                <w:szCs w:val="14"/>
                <w:color w:val="auto"/>
              </w:rPr>
              <w:t>Euronet Prepaid</w:t>
            </w:r>
          </w:p>
        </w:tc>
        <w:tc>
          <w:tcPr>
            <w:tcW w:w="20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80" w:type="dxa"/>
            <w:vAlign w:val="bottom"/>
          </w:tcPr>
          <w:p>
            <w:pPr>
              <w:jc w:val="right"/>
              <w:ind w:right="308"/>
              <w:spacing w:after="0"/>
              <w:rPr>
                <w:sz w:val="20"/>
                <w:szCs w:val="20"/>
                <w:color w:val="auto"/>
              </w:rPr>
            </w:pPr>
            <w:r>
              <w:rPr>
                <w:rFonts w:ascii="Arial" w:cs="Arial" w:eastAsia="Arial" w:hAnsi="Arial"/>
                <w:sz w:val="14"/>
                <w:szCs w:val="14"/>
                <w:color w:val="auto"/>
              </w:rPr>
              <w:t>EUR</w:t>
            </w:r>
          </w:p>
        </w:tc>
        <w:tc>
          <w:tcPr>
            <w:tcW w:w="1020" w:type="dxa"/>
            <w:vAlign w:val="bottom"/>
          </w:tcPr>
          <w:p>
            <w:pPr>
              <w:spacing w:after="0"/>
              <w:rPr>
                <w:sz w:val="14"/>
                <w:szCs w:val="14"/>
                <w:color w:val="auto"/>
              </w:rPr>
            </w:pPr>
          </w:p>
        </w:tc>
      </w:tr>
      <w:tr>
        <w:trPr>
          <w:trHeight w:val="182"/>
        </w:trPr>
        <w:tc>
          <w:tcPr>
            <w:tcW w:w="1060" w:type="dxa"/>
            <w:vAlign w:val="bottom"/>
          </w:tcPr>
          <w:p>
            <w:pPr>
              <w:spacing w:after="0"/>
              <w:rPr>
                <w:sz w:val="20"/>
                <w:szCs w:val="20"/>
                <w:color w:val="auto"/>
              </w:rPr>
            </w:pPr>
            <w:r>
              <w:rPr>
                <w:rFonts w:ascii="Arial" w:cs="Arial" w:eastAsia="Arial" w:hAnsi="Arial"/>
                <w:sz w:val="14"/>
                <w:szCs w:val="14"/>
                <w:color w:val="auto"/>
              </w:rPr>
              <w:t>Bank of America</w:t>
            </w:r>
          </w:p>
        </w:tc>
        <w:tc>
          <w:tcPr>
            <w:tcW w:w="1240" w:type="dxa"/>
            <w:vAlign w:val="bottom"/>
          </w:tcPr>
          <w:p>
            <w:pPr>
              <w:ind w:left="100"/>
              <w:spacing w:after="0"/>
              <w:rPr>
                <w:sz w:val="20"/>
                <w:szCs w:val="20"/>
                <w:color w:val="auto"/>
              </w:rPr>
            </w:pPr>
            <w:r>
              <w:rPr>
                <w:rFonts w:ascii="Arial" w:cs="Arial" w:eastAsia="Arial" w:hAnsi="Arial"/>
                <w:sz w:val="14"/>
                <w:szCs w:val="14"/>
                <w:color w:val="auto"/>
              </w:rPr>
              <w:t>Hellas Ltd.</w:t>
            </w:r>
          </w:p>
        </w:tc>
        <w:tc>
          <w:tcPr>
            <w:tcW w:w="2040" w:type="dxa"/>
            <w:vAlign w:val="bottom"/>
          </w:tcPr>
          <w:p>
            <w:pPr>
              <w:ind w:left="60"/>
              <w:spacing w:after="0"/>
              <w:rPr>
                <w:sz w:val="20"/>
                <w:szCs w:val="20"/>
                <w:color w:val="auto"/>
              </w:rPr>
            </w:pPr>
            <w:r>
              <w:rPr>
                <w:rFonts w:ascii="Arial" w:cs="Arial" w:eastAsia="Arial" w:hAnsi="Arial"/>
                <w:sz w:val="14"/>
                <w:szCs w:val="14"/>
                <w:color w:val="auto"/>
              </w:rPr>
              <w:t>Vodafone</w:t>
            </w:r>
          </w:p>
        </w:tc>
        <w:tc>
          <w:tcPr>
            <w:tcW w:w="960" w:type="dxa"/>
            <w:vAlign w:val="bottom"/>
          </w:tcPr>
          <w:p>
            <w:pPr>
              <w:jc w:val="center"/>
              <w:ind w:right="48"/>
              <w:spacing w:after="0"/>
              <w:rPr>
                <w:sz w:val="20"/>
                <w:szCs w:val="20"/>
                <w:color w:val="auto"/>
              </w:rPr>
            </w:pPr>
            <w:r>
              <w:rPr>
                <w:rFonts w:ascii="Arial" w:cs="Arial" w:eastAsia="Arial" w:hAnsi="Arial"/>
                <w:sz w:val="14"/>
                <w:szCs w:val="14"/>
                <w:color w:val="auto"/>
              </w:rPr>
              <w:t>0</w:t>
            </w:r>
          </w:p>
        </w:tc>
        <w:tc>
          <w:tcPr>
            <w:tcW w:w="900" w:type="dxa"/>
            <w:vAlign w:val="bottom"/>
          </w:tcPr>
          <w:p>
            <w:pPr>
              <w:jc w:val="center"/>
              <w:spacing w:after="0"/>
              <w:rPr>
                <w:sz w:val="20"/>
                <w:szCs w:val="20"/>
                <w:color w:val="auto"/>
              </w:rPr>
            </w:pPr>
            <w:r>
              <w:rPr>
                <w:rFonts w:ascii="Arial" w:cs="Arial" w:eastAsia="Arial" w:hAnsi="Arial"/>
                <w:sz w:val="14"/>
                <w:szCs w:val="14"/>
                <w:color w:val="auto"/>
              </w:rPr>
              <w:t>0</w:t>
            </w:r>
          </w:p>
        </w:tc>
        <w:tc>
          <w:tcPr>
            <w:tcW w:w="1280" w:type="dxa"/>
            <w:vAlign w:val="bottom"/>
          </w:tcPr>
          <w:p>
            <w:pPr>
              <w:jc w:val="right"/>
              <w:ind w:right="408"/>
              <w:spacing w:after="0"/>
              <w:rPr>
                <w:sz w:val="20"/>
                <w:szCs w:val="20"/>
                <w:color w:val="auto"/>
              </w:rPr>
            </w:pPr>
            <w:r>
              <w:rPr>
                <w:rFonts w:ascii="Arial" w:cs="Arial" w:eastAsia="Arial" w:hAnsi="Arial"/>
                <w:sz w:val="14"/>
                <w:szCs w:val="14"/>
                <w:color w:val="auto"/>
              </w:rPr>
              <w:t>0</w:t>
            </w:r>
          </w:p>
        </w:tc>
        <w:tc>
          <w:tcPr>
            <w:tcW w:w="780" w:type="dxa"/>
            <w:vAlign w:val="bottom"/>
          </w:tcPr>
          <w:p>
            <w:pPr>
              <w:jc w:val="right"/>
              <w:spacing w:after="0"/>
              <w:rPr>
                <w:sz w:val="20"/>
                <w:szCs w:val="20"/>
                <w:color w:val="auto"/>
              </w:rPr>
            </w:pPr>
            <w:r>
              <w:rPr>
                <w:rFonts w:ascii="Arial" w:cs="Arial" w:eastAsia="Arial" w:hAnsi="Arial"/>
                <w:sz w:val="14"/>
                <w:szCs w:val="14"/>
                <w:color w:val="auto"/>
              </w:rPr>
              <w:t>3095774</w:t>
            </w:r>
          </w:p>
        </w:tc>
        <w:tc>
          <w:tcPr>
            <w:tcW w:w="640" w:type="dxa"/>
            <w:vAlign w:val="bottom"/>
          </w:tcPr>
          <w:p>
            <w:pPr>
              <w:jc w:val="right"/>
              <w:spacing w:after="0"/>
              <w:rPr>
                <w:sz w:val="20"/>
                <w:szCs w:val="20"/>
                <w:color w:val="auto"/>
              </w:rPr>
            </w:pPr>
            <w:r>
              <w:rPr>
                <w:rFonts w:ascii="Arial" w:cs="Arial" w:eastAsia="Arial" w:hAnsi="Arial"/>
                <w:sz w:val="14"/>
                <w:szCs w:val="14"/>
                <w:color w:val="auto"/>
              </w:rPr>
              <w:t>08/24/14</w:t>
            </w:r>
          </w:p>
        </w:tc>
        <w:tc>
          <w:tcPr>
            <w:tcW w:w="1080" w:type="dxa"/>
            <w:vAlign w:val="bottom"/>
          </w:tcPr>
          <w:p>
            <w:pPr>
              <w:jc w:val="right"/>
              <w:ind w:right="308"/>
              <w:spacing w:after="0"/>
              <w:rPr>
                <w:sz w:val="20"/>
                <w:szCs w:val="20"/>
                <w:color w:val="auto"/>
              </w:rPr>
            </w:pPr>
            <w:r>
              <w:rPr>
                <w:rFonts w:ascii="Arial" w:cs="Arial" w:eastAsia="Arial" w:hAnsi="Arial"/>
                <w:sz w:val="14"/>
                <w:szCs w:val="14"/>
                <w:color w:val="auto"/>
              </w:rPr>
              <w:t>90,000</w:t>
            </w:r>
          </w:p>
        </w:tc>
        <w:tc>
          <w:tcPr>
            <w:tcW w:w="1020" w:type="dxa"/>
            <w:vAlign w:val="bottom"/>
          </w:tcPr>
          <w:p>
            <w:pPr>
              <w:jc w:val="right"/>
              <w:spacing w:after="0"/>
              <w:rPr>
                <w:sz w:val="20"/>
                <w:szCs w:val="20"/>
                <w:color w:val="auto"/>
              </w:rPr>
            </w:pPr>
            <w:r>
              <w:rPr>
                <w:rFonts w:ascii="Arial" w:cs="Arial" w:eastAsia="Arial" w:hAnsi="Arial"/>
                <w:sz w:val="14"/>
                <w:szCs w:val="14"/>
                <w:color w:val="auto"/>
              </w:rPr>
              <w:t>121,617</w:t>
            </w:r>
          </w:p>
        </w:tc>
      </w:tr>
      <w:tr>
        <w:trPr>
          <w:trHeight w:val="169"/>
        </w:trPr>
        <w:tc>
          <w:tcPr>
            <w:tcW w:w="1060" w:type="dxa"/>
            <w:vAlign w:val="bottom"/>
          </w:tcPr>
          <w:p>
            <w:pPr>
              <w:spacing w:after="0"/>
              <w:rPr>
                <w:sz w:val="14"/>
                <w:szCs w:val="14"/>
                <w:color w:val="auto"/>
              </w:rPr>
            </w:pPr>
          </w:p>
        </w:tc>
        <w:tc>
          <w:tcPr>
            <w:tcW w:w="1240" w:type="dxa"/>
            <w:vAlign w:val="bottom"/>
          </w:tcPr>
          <w:p>
            <w:pPr>
              <w:ind w:left="100"/>
              <w:spacing w:after="0"/>
              <w:rPr>
                <w:sz w:val="20"/>
                <w:szCs w:val="20"/>
                <w:color w:val="auto"/>
              </w:rPr>
            </w:pPr>
            <w:r>
              <w:rPr>
                <w:rFonts w:ascii="Arial" w:cs="Arial" w:eastAsia="Arial" w:hAnsi="Arial"/>
                <w:sz w:val="14"/>
                <w:szCs w:val="14"/>
                <w:color w:val="auto"/>
              </w:rPr>
              <w:t>Euronet Prepaid</w:t>
            </w:r>
          </w:p>
        </w:tc>
        <w:tc>
          <w:tcPr>
            <w:tcW w:w="20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80" w:type="dxa"/>
            <w:vAlign w:val="bottom"/>
          </w:tcPr>
          <w:p>
            <w:pPr>
              <w:jc w:val="right"/>
              <w:ind w:right="308"/>
              <w:spacing w:after="0"/>
              <w:rPr>
                <w:sz w:val="20"/>
                <w:szCs w:val="20"/>
                <w:color w:val="auto"/>
              </w:rPr>
            </w:pPr>
            <w:r>
              <w:rPr>
                <w:rFonts w:ascii="Arial" w:cs="Arial" w:eastAsia="Arial" w:hAnsi="Arial"/>
                <w:sz w:val="14"/>
                <w:szCs w:val="14"/>
                <w:color w:val="auto"/>
              </w:rPr>
              <w:t>EUR</w:t>
            </w:r>
          </w:p>
        </w:tc>
        <w:tc>
          <w:tcPr>
            <w:tcW w:w="1020" w:type="dxa"/>
            <w:vAlign w:val="bottom"/>
          </w:tcPr>
          <w:p>
            <w:pPr>
              <w:spacing w:after="0"/>
              <w:rPr>
                <w:sz w:val="14"/>
                <w:szCs w:val="14"/>
                <w:color w:val="auto"/>
              </w:rPr>
            </w:pPr>
          </w:p>
        </w:tc>
      </w:tr>
      <w:tr>
        <w:trPr>
          <w:trHeight w:val="182"/>
        </w:trPr>
        <w:tc>
          <w:tcPr>
            <w:tcW w:w="1060" w:type="dxa"/>
            <w:vAlign w:val="bottom"/>
          </w:tcPr>
          <w:p>
            <w:pPr>
              <w:spacing w:after="0"/>
              <w:rPr>
                <w:sz w:val="20"/>
                <w:szCs w:val="20"/>
                <w:color w:val="auto"/>
              </w:rPr>
            </w:pPr>
            <w:r>
              <w:rPr>
                <w:rFonts w:ascii="Arial" w:cs="Arial" w:eastAsia="Arial" w:hAnsi="Arial"/>
                <w:sz w:val="14"/>
                <w:szCs w:val="14"/>
                <w:color w:val="auto"/>
              </w:rPr>
              <w:t>Bank of America</w:t>
            </w:r>
          </w:p>
        </w:tc>
        <w:tc>
          <w:tcPr>
            <w:tcW w:w="1240" w:type="dxa"/>
            <w:vAlign w:val="bottom"/>
          </w:tcPr>
          <w:p>
            <w:pPr>
              <w:ind w:left="100"/>
              <w:spacing w:after="0"/>
              <w:rPr>
                <w:sz w:val="20"/>
                <w:szCs w:val="20"/>
                <w:color w:val="auto"/>
              </w:rPr>
            </w:pPr>
            <w:r>
              <w:rPr>
                <w:rFonts w:ascii="Arial" w:cs="Arial" w:eastAsia="Arial" w:hAnsi="Arial"/>
                <w:sz w:val="14"/>
                <w:szCs w:val="14"/>
                <w:color w:val="auto"/>
              </w:rPr>
              <w:t>Hellas Ltd.</w:t>
            </w:r>
          </w:p>
        </w:tc>
        <w:tc>
          <w:tcPr>
            <w:tcW w:w="2040" w:type="dxa"/>
            <w:vAlign w:val="bottom"/>
          </w:tcPr>
          <w:p>
            <w:pPr>
              <w:ind w:left="60"/>
              <w:spacing w:after="0"/>
              <w:rPr>
                <w:sz w:val="20"/>
                <w:szCs w:val="20"/>
                <w:color w:val="auto"/>
              </w:rPr>
            </w:pPr>
            <w:r>
              <w:rPr>
                <w:rFonts w:ascii="Arial" w:cs="Arial" w:eastAsia="Arial" w:hAnsi="Arial"/>
                <w:sz w:val="14"/>
                <w:szCs w:val="14"/>
                <w:color w:val="auto"/>
              </w:rPr>
              <w:t>Cosmote</w:t>
            </w:r>
          </w:p>
        </w:tc>
        <w:tc>
          <w:tcPr>
            <w:tcW w:w="960" w:type="dxa"/>
            <w:vAlign w:val="bottom"/>
          </w:tcPr>
          <w:p>
            <w:pPr>
              <w:jc w:val="center"/>
              <w:ind w:right="48"/>
              <w:spacing w:after="0"/>
              <w:rPr>
                <w:sz w:val="20"/>
                <w:szCs w:val="20"/>
                <w:color w:val="auto"/>
              </w:rPr>
            </w:pPr>
            <w:r>
              <w:rPr>
                <w:rFonts w:ascii="Arial" w:cs="Arial" w:eastAsia="Arial" w:hAnsi="Arial"/>
                <w:sz w:val="14"/>
                <w:szCs w:val="14"/>
                <w:color w:val="auto"/>
              </w:rPr>
              <w:t>0</w:t>
            </w:r>
          </w:p>
        </w:tc>
        <w:tc>
          <w:tcPr>
            <w:tcW w:w="900" w:type="dxa"/>
            <w:vAlign w:val="bottom"/>
          </w:tcPr>
          <w:p>
            <w:pPr>
              <w:jc w:val="center"/>
              <w:spacing w:after="0"/>
              <w:rPr>
                <w:sz w:val="20"/>
                <w:szCs w:val="20"/>
                <w:color w:val="auto"/>
              </w:rPr>
            </w:pPr>
            <w:r>
              <w:rPr>
                <w:rFonts w:ascii="Arial" w:cs="Arial" w:eastAsia="Arial" w:hAnsi="Arial"/>
                <w:sz w:val="14"/>
                <w:szCs w:val="14"/>
                <w:color w:val="auto"/>
              </w:rPr>
              <w:t>0</w:t>
            </w:r>
          </w:p>
        </w:tc>
        <w:tc>
          <w:tcPr>
            <w:tcW w:w="1280" w:type="dxa"/>
            <w:vAlign w:val="bottom"/>
          </w:tcPr>
          <w:p>
            <w:pPr>
              <w:jc w:val="right"/>
              <w:ind w:right="408"/>
              <w:spacing w:after="0"/>
              <w:rPr>
                <w:sz w:val="20"/>
                <w:szCs w:val="20"/>
                <w:color w:val="auto"/>
              </w:rPr>
            </w:pPr>
            <w:r>
              <w:rPr>
                <w:rFonts w:ascii="Arial" w:cs="Arial" w:eastAsia="Arial" w:hAnsi="Arial"/>
                <w:sz w:val="14"/>
                <w:szCs w:val="14"/>
                <w:color w:val="auto"/>
              </w:rPr>
              <w:t>0</w:t>
            </w:r>
          </w:p>
        </w:tc>
        <w:tc>
          <w:tcPr>
            <w:tcW w:w="780" w:type="dxa"/>
            <w:vAlign w:val="bottom"/>
          </w:tcPr>
          <w:p>
            <w:pPr>
              <w:jc w:val="right"/>
              <w:spacing w:after="0"/>
              <w:rPr>
                <w:sz w:val="20"/>
                <w:szCs w:val="20"/>
                <w:color w:val="auto"/>
              </w:rPr>
            </w:pPr>
            <w:r>
              <w:rPr>
                <w:rFonts w:ascii="Arial" w:cs="Arial" w:eastAsia="Arial" w:hAnsi="Arial"/>
                <w:sz w:val="14"/>
                <w:szCs w:val="14"/>
                <w:color w:val="auto"/>
              </w:rPr>
              <w:t>3095775</w:t>
            </w:r>
          </w:p>
        </w:tc>
        <w:tc>
          <w:tcPr>
            <w:tcW w:w="640" w:type="dxa"/>
            <w:vAlign w:val="bottom"/>
          </w:tcPr>
          <w:p>
            <w:pPr>
              <w:jc w:val="right"/>
              <w:spacing w:after="0"/>
              <w:rPr>
                <w:sz w:val="20"/>
                <w:szCs w:val="20"/>
                <w:color w:val="auto"/>
              </w:rPr>
            </w:pPr>
            <w:r>
              <w:rPr>
                <w:rFonts w:ascii="Arial" w:cs="Arial" w:eastAsia="Arial" w:hAnsi="Arial"/>
                <w:sz w:val="14"/>
                <w:szCs w:val="14"/>
                <w:color w:val="auto"/>
              </w:rPr>
              <w:t>08/24/14</w:t>
            </w:r>
          </w:p>
        </w:tc>
        <w:tc>
          <w:tcPr>
            <w:tcW w:w="1080" w:type="dxa"/>
            <w:vAlign w:val="bottom"/>
          </w:tcPr>
          <w:p>
            <w:pPr>
              <w:jc w:val="right"/>
              <w:ind w:right="308"/>
              <w:spacing w:after="0"/>
              <w:rPr>
                <w:sz w:val="20"/>
                <w:szCs w:val="20"/>
                <w:color w:val="auto"/>
              </w:rPr>
            </w:pPr>
            <w:r>
              <w:rPr>
                <w:rFonts w:ascii="Arial" w:cs="Arial" w:eastAsia="Arial" w:hAnsi="Arial"/>
                <w:sz w:val="14"/>
                <w:szCs w:val="14"/>
                <w:color w:val="auto"/>
              </w:rPr>
              <w:t>120,000</w:t>
            </w:r>
          </w:p>
        </w:tc>
        <w:tc>
          <w:tcPr>
            <w:tcW w:w="1020" w:type="dxa"/>
            <w:vAlign w:val="bottom"/>
          </w:tcPr>
          <w:p>
            <w:pPr>
              <w:jc w:val="right"/>
              <w:spacing w:after="0"/>
              <w:rPr>
                <w:sz w:val="20"/>
                <w:szCs w:val="20"/>
                <w:color w:val="auto"/>
              </w:rPr>
            </w:pPr>
            <w:r>
              <w:rPr>
                <w:rFonts w:ascii="Arial" w:cs="Arial" w:eastAsia="Arial" w:hAnsi="Arial"/>
                <w:sz w:val="14"/>
                <w:szCs w:val="14"/>
                <w:color w:val="auto"/>
              </w:rPr>
              <w:t>162,156</w:t>
            </w:r>
          </w:p>
        </w:tc>
      </w:tr>
      <w:tr>
        <w:trPr>
          <w:trHeight w:val="169"/>
        </w:trPr>
        <w:tc>
          <w:tcPr>
            <w:tcW w:w="1060" w:type="dxa"/>
            <w:vAlign w:val="bottom"/>
          </w:tcPr>
          <w:p>
            <w:pPr>
              <w:spacing w:after="0"/>
              <w:rPr>
                <w:sz w:val="14"/>
                <w:szCs w:val="14"/>
                <w:color w:val="auto"/>
              </w:rPr>
            </w:pPr>
          </w:p>
        </w:tc>
        <w:tc>
          <w:tcPr>
            <w:tcW w:w="1240" w:type="dxa"/>
            <w:vAlign w:val="bottom"/>
          </w:tcPr>
          <w:p>
            <w:pPr>
              <w:ind w:left="100"/>
              <w:spacing w:after="0"/>
              <w:rPr>
                <w:sz w:val="20"/>
                <w:szCs w:val="20"/>
                <w:color w:val="auto"/>
              </w:rPr>
            </w:pPr>
            <w:r>
              <w:rPr>
                <w:rFonts w:ascii="Arial" w:cs="Arial" w:eastAsia="Arial" w:hAnsi="Arial"/>
                <w:sz w:val="14"/>
                <w:szCs w:val="14"/>
                <w:color w:val="auto"/>
              </w:rPr>
              <w:t>Euronet Pay &amp;</w:t>
            </w:r>
          </w:p>
        </w:tc>
        <w:tc>
          <w:tcPr>
            <w:tcW w:w="20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49"/>
        </w:trPr>
        <w:tc>
          <w:tcPr>
            <w:tcW w:w="1060" w:type="dxa"/>
            <w:vAlign w:val="bottom"/>
          </w:tcPr>
          <w:p>
            <w:pPr>
              <w:spacing w:after="0"/>
              <w:rPr>
                <w:sz w:val="12"/>
                <w:szCs w:val="12"/>
                <w:color w:val="auto"/>
              </w:rPr>
            </w:pPr>
          </w:p>
        </w:tc>
        <w:tc>
          <w:tcPr>
            <w:tcW w:w="1240" w:type="dxa"/>
            <w:vAlign w:val="bottom"/>
          </w:tcPr>
          <w:p>
            <w:pPr>
              <w:ind w:left="100"/>
              <w:spacing w:after="0" w:line="149" w:lineRule="exact"/>
              <w:rPr>
                <w:sz w:val="20"/>
                <w:szCs w:val="20"/>
                <w:color w:val="auto"/>
              </w:rPr>
            </w:pPr>
            <w:r>
              <w:rPr>
                <w:rFonts w:ascii="Arial" w:cs="Arial" w:eastAsia="Arial" w:hAnsi="Arial"/>
                <w:sz w:val="14"/>
                <w:szCs w:val="14"/>
                <w:color w:val="auto"/>
              </w:rPr>
              <w:t>Transaction</w:t>
            </w:r>
          </w:p>
        </w:tc>
        <w:tc>
          <w:tcPr>
            <w:tcW w:w="20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80" w:type="dxa"/>
            <w:vAlign w:val="bottom"/>
          </w:tcPr>
          <w:p>
            <w:pPr>
              <w:jc w:val="right"/>
              <w:ind w:right="308"/>
              <w:spacing w:after="0" w:line="149" w:lineRule="exact"/>
              <w:rPr>
                <w:sz w:val="20"/>
                <w:szCs w:val="20"/>
                <w:color w:val="auto"/>
              </w:rPr>
            </w:pPr>
            <w:r>
              <w:rPr>
                <w:rFonts w:ascii="Arial" w:cs="Arial" w:eastAsia="Arial" w:hAnsi="Arial"/>
                <w:sz w:val="14"/>
                <w:szCs w:val="14"/>
                <w:color w:val="auto"/>
              </w:rPr>
              <w:t>EUR</w:t>
            </w:r>
          </w:p>
        </w:tc>
        <w:tc>
          <w:tcPr>
            <w:tcW w:w="1020" w:type="dxa"/>
            <w:vAlign w:val="bottom"/>
          </w:tcPr>
          <w:p>
            <w:pPr>
              <w:spacing w:after="0"/>
              <w:rPr>
                <w:sz w:val="12"/>
                <w:szCs w:val="12"/>
                <w:color w:val="auto"/>
              </w:rPr>
            </w:pPr>
          </w:p>
        </w:tc>
      </w:tr>
      <w:tr>
        <w:trPr>
          <w:trHeight w:val="182"/>
        </w:trPr>
        <w:tc>
          <w:tcPr>
            <w:tcW w:w="1060" w:type="dxa"/>
            <w:vAlign w:val="bottom"/>
          </w:tcPr>
          <w:p>
            <w:pPr>
              <w:spacing w:after="0"/>
              <w:rPr>
                <w:sz w:val="20"/>
                <w:szCs w:val="20"/>
                <w:color w:val="auto"/>
              </w:rPr>
            </w:pPr>
            <w:r>
              <w:rPr>
                <w:rFonts w:ascii="Arial" w:cs="Arial" w:eastAsia="Arial" w:hAnsi="Arial"/>
                <w:sz w:val="14"/>
                <w:szCs w:val="14"/>
                <w:color w:val="auto"/>
              </w:rPr>
              <w:t>Bank of America</w:t>
            </w:r>
          </w:p>
        </w:tc>
        <w:tc>
          <w:tcPr>
            <w:tcW w:w="1240" w:type="dxa"/>
            <w:vAlign w:val="bottom"/>
          </w:tcPr>
          <w:p>
            <w:pPr>
              <w:ind w:left="100"/>
              <w:spacing w:after="0"/>
              <w:rPr>
                <w:sz w:val="20"/>
                <w:szCs w:val="20"/>
                <w:color w:val="auto"/>
              </w:rPr>
            </w:pPr>
            <w:r>
              <w:rPr>
                <w:rFonts w:ascii="Arial" w:cs="Arial" w:eastAsia="Arial" w:hAnsi="Arial"/>
                <w:sz w:val="14"/>
                <w:szCs w:val="14"/>
                <w:color w:val="auto"/>
              </w:rPr>
              <w:t>Services S.R.L.</w:t>
            </w:r>
          </w:p>
        </w:tc>
        <w:tc>
          <w:tcPr>
            <w:tcW w:w="2040" w:type="dxa"/>
            <w:vAlign w:val="bottom"/>
          </w:tcPr>
          <w:p>
            <w:pPr>
              <w:ind w:left="60"/>
              <w:spacing w:after="0"/>
              <w:rPr>
                <w:sz w:val="20"/>
                <w:szCs w:val="20"/>
                <w:color w:val="auto"/>
              </w:rPr>
            </w:pPr>
            <w:r>
              <w:rPr>
                <w:rFonts w:ascii="Arial" w:cs="Arial" w:eastAsia="Arial" w:hAnsi="Arial"/>
                <w:sz w:val="14"/>
                <w:szCs w:val="14"/>
                <w:color w:val="auto"/>
              </w:rPr>
              <w:t>Reti Televisive Italiane S.p.A.</w:t>
            </w:r>
          </w:p>
        </w:tc>
        <w:tc>
          <w:tcPr>
            <w:tcW w:w="960" w:type="dxa"/>
            <w:vAlign w:val="bottom"/>
          </w:tcPr>
          <w:p>
            <w:pPr>
              <w:jc w:val="center"/>
              <w:ind w:right="48"/>
              <w:spacing w:after="0"/>
              <w:rPr>
                <w:sz w:val="20"/>
                <w:szCs w:val="20"/>
                <w:color w:val="auto"/>
              </w:rPr>
            </w:pPr>
            <w:r>
              <w:rPr>
                <w:rFonts w:ascii="Arial" w:cs="Arial" w:eastAsia="Arial" w:hAnsi="Arial"/>
                <w:sz w:val="14"/>
                <w:szCs w:val="14"/>
                <w:color w:val="auto"/>
                <w:w w:val="90"/>
              </w:rPr>
              <w:t>000850/13</w:t>
            </w:r>
          </w:p>
        </w:tc>
        <w:tc>
          <w:tcPr>
            <w:tcW w:w="900" w:type="dxa"/>
            <w:vAlign w:val="bottom"/>
          </w:tcPr>
          <w:p>
            <w:pPr>
              <w:jc w:val="center"/>
              <w:spacing w:after="0"/>
              <w:rPr>
                <w:sz w:val="20"/>
                <w:szCs w:val="20"/>
                <w:color w:val="auto"/>
              </w:rPr>
            </w:pPr>
            <w:r>
              <w:rPr>
                <w:rFonts w:ascii="Arial" w:cs="Arial" w:eastAsia="Arial" w:hAnsi="Arial"/>
                <w:sz w:val="14"/>
                <w:szCs w:val="14"/>
                <w:color w:val="auto"/>
                <w:w w:val="95"/>
              </w:rPr>
              <w:t>12/31/14</w:t>
            </w:r>
          </w:p>
        </w:tc>
        <w:tc>
          <w:tcPr>
            <w:tcW w:w="1280" w:type="dxa"/>
            <w:vAlign w:val="bottom"/>
          </w:tcPr>
          <w:p>
            <w:pPr>
              <w:ind w:left="180"/>
              <w:spacing w:after="0"/>
              <w:rPr>
                <w:sz w:val="20"/>
                <w:szCs w:val="20"/>
                <w:color w:val="auto"/>
              </w:rPr>
            </w:pPr>
            <w:r>
              <w:rPr>
                <w:rFonts w:ascii="Arial" w:cs="Arial" w:eastAsia="Arial" w:hAnsi="Arial"/>
                <w:sz w:val="14"/>
                <w:szCs w:val="14"/>
                <w:color w:val="auto"/>
              </w:rPr>
              <w:t>EUR 350,000</w:t>
            </w:r>
          </w:p>
        </w:tc>
        <w:tc>
          <w:tcPr>
            <w:tcW w:w="780" w:type="dxa"/>
            <w:vAlign w:val="bottom"/>
          </w:tcPr>
          <w:p>
            <w:pPr>
              <w:jc w:val="right"/>
              <w:spacing w:after="0"/>
              <w:rPr>
                <w:sz w:val="20"/>
                <w:szCs w:val="20"/>
                <w:color w:val="auto"/>
              </w:rPr>
            </w:pPr>
            <w:r>
              <w:rPr>
                <w:rFonts w:ascii="Arial" w:cs="Arial" w:eastAsia="Arial" w:hAnsi="Arial"/>
                <w:sz w:val="14"/>
                <w:szCs w:val="14"/>
                <w:color w:val="auto"/>
              </w:rPr>
              <w:t>3127075</w:t>
            </w:r>
          </w:p>
        </w:tc>
        <w:tc>
          <w:tcPr>
            <w:tcW w:w="640" w:type="dxa"/>
            <w:vAlign w:val="bottom"/>
          </w:tcPr>
          <w:p>
            <w:pPr>
              <w:jc w:val="right"/>
              <w:spacing w:after="0"/>
              <w:rPr>
                <w:sz w:val="20"/>
                <w:szCs w:val="20"/>
                <w:color w:val="auto"/>
              </w:rPr>
            </w:pPr>
            <w:r>
              <w:rPr>
                <w:rFonts w:ascii="Arial" w:cs="Arial" w:eastAsia="Arial" w:hAnsi="Arial"/>
                <w:sz w:val="14"/>
                <w:szCs w:val="14"/>
                <w:color w:val="auto"/>
              </w:rPr>
              <w:t>01/31/15</w:t>
            </w:r>
          </w:p>
        </w:tc>
        <w:tc>
          <w:tcPr>
            <w:tcW w:w="1080" w:type="dxa"/>
            <w:vAlign w:val="bottom"/>
          </w:tcPr>
          <w:p>
            <w:pPr>
              <w:jc w:val="right"/>
              <w:ind w:right="308"/>
              <w:spacing w:after="0"/>
              <w:rPr>
                <w:sz w:val="20"/>
                <w:szCs w:val="20"/>
                <w:color w:val="auto"/>
              </w:rPr>
            </w:pPr>
            <w:r>
              <w:rPr>
                <w:rFonts w:ascii="Arial" w:cs="Arial" w:eastAsia="Arial" w:hAnsi="Arial"/>
                <w:sz w:val="14"/>
                <w:szCs w:val="14"/>
                <w:color w:val="auto"/>
              </w:rPr>
              <w:t>350,000</w:t>
            </w:r>
          </w:p>
        </w:tc>
        <w:tc>
          <w:tcPr>
            <w:tcW w:w="1020" w:type="dxa"/>
            <w:vAlign w:val="bottom"/>
          </w:tcPr>
          <w:p>
            <w:pPr>
              <w:jc w:val="right"/>
              <w:spacing w:after="0"/>
              <w:rPr>
                <w:sz w:val="20"/>
                <w:szCs w:val="20"/>
                <w:color w:val="auto"/>
              </w:rPr>
            </w:pPr>
            <w:r>
              <w:rPr>
                <w:rFonts w:ascii="Arial" w:cs="Arial" w:eastAsia="Arial" w:hAnsi="Arial"/>
                <w:sz w:val="14"/>
                <w:szCs w:val="14"/>
                <w:color w:val="auto"/>
              </w:rPr>
              <w:t>472,955</w:t>
            </w:r>
          </w:p>
        </w:tc>
      </w:tr>
      <w:tr>
        <w:trPr>
          <w:trHeight w:val="169"/>
        </w:trPr>
        <w:tc>
          <w:tcPr>
            <w:tcW w:w="1060" w:type="dxa"/>
            <w:vAlign w:val="bottom"/>
          </w:tcPr>
          <w:p>
            <w:pPr>
              <w:spacing w:after="0"/>
              <w:rPr>
                <w:sz w:val="14"/>
                <w:szCs w:val="14"/>
                <w:color w:val="auto"/>
              </w:rPr>
            </w:pPr>
          </w:p>
        </w:tc>
        <w:tc>
          <w:tcPr>
            <w:tcW w:w="1240" w:type="dxa"/>
            <w:vAlign w:val="bottom"/>
          </w:tcPr>
          <w:p>
            <w:pPr>
              <w:ind w:left="100"/>
              <w:spacing w:after="0"/>
              <w:rPr>
                <w:sz w:val="20"/>
                <w:szCs w:val="20"/>
                <w:color w:val="auto"/>
              </w:rPr>
            </w:pPr>
            <w:r>
              <w:rPr>
                <w:rFonts w:ascii="Arial" w:cs="Arial" w:eastAsia="Arial" w:hAnsi="Arial"/>
                <w:sz w:val="14"/>
                <w:szCs w:val="14"/>
                <w:color w:val="auto"/>
                <w:w w:val="99"/>
              </w:rPr>
              <w:t>epay Australia Pty</w:t>
            </w:r>
          </w:p>
        </w:tc>
        <w:tc>
          <w:tcPr>
            <w:tcW w:w="20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80" w:type="dxa"/>
            <w:vAlign w:val="bottom"/>
          </w:tcPr>
          <w:p>
            <w:pPr>
              <w:jc w:val="right"/>
              <w:ind w:right="308"/>
              <w:spacing w:after="0"/>
              <w:rPr>
                <w:sz w:val="20"/>
                <w:szCs w:val="20"/>
                <w:color w:val="auto"/>
              </w:rPr>
            </w:pPr>
            <w:r>
              <w:rPr>
                <w:rFonts w:ascii="Arial" w:cs="Arial" w:eastAsia="Arial" w:hAnsi="Arial"/>
                <w:sz w:val="14"/>
                <w:szCs w:val="14"/>
                <w:color w:val="auto"/>
              </w:rPr>
              <w:t>AUD</w:t>
            </w:r>
          </w:p>
        </w:tc>
        <w:tc>
          <w:tcPr>
            <w:tcW w:w="1020" w:type="dxa"/>
            <w:vAlign w:val="bottom"/>
          </w:tcPr>
          <w:p>
            <w:pPr>
              <w:spacing w:after="0"/>
              <w:rPr>
                <w:sz w:val="14"/>
                <w:szCs w:val="14"/>
                <w:color w:val="auto"/>
              </w:rPr>
            </w:pPr>
          </w:p>
        </w:tc>
      </w:tr>
      <w:tr>
        <w:trPr>
          <w:trHeight w:val="182"/>
        </w:trPr>
        <w:tc>
          <w:tcPr>
            <w:tcW w:w="1060" w:type="dxa"/>
            <w:vAlign w:val="bottom"/>
          </w:tcPr>
          <w:p>
            <w:pPr>
              <w:spacing w:after="0"/>
              <w:rPr>
                <w:sz w:val="20"/>
                <w:szCs w:val="20"/>
                <w:color w:val="auto"/>
              </w:rPr>
            </w:pPr>
            <w:r>
              <w:rPr>
                <w:rFonts w:ascii="Arial" w:cs="Arial" w:eastAsia="Arial" w:hAnsi="Arial"/>
                <w:sz w:val="14"/>
                <w:szCs w:val="14"/>
                <w:color w:val="auto"/>
              </w:rPr>
              <w:t>Bank of America</w:t>
            </w:r>
          </w:p>
        </w:tc>
        <w:tc>
          <w:tcPr>
            <w:tcW w:w="1240" w:type="dxa"/>
            <w:vAlign w:val="bottom"/>
          </w:tcPr>
          <w:p>
            <w:pPr>
              <w:ind w:left="100"/>
              <w:spacing w:after="0"/>
              <w:rPr>
                <w:sz w:val="20"/>
                <w:szCs w:val="20"/>
                <w:color w:val="auto"/>
              </w:rPr>
            </w:pPr>
            <w:r>
              <w:rPr>
                <w:rFonts w:ascii="Arial" w:cs="Arial" w:eastAsia="Arial" w:hAnsi="Arial"/>
                <w:sz w:val="14"/>
                <w:szCs w:val="14"/>
                <w:color w:val="auto"/>
              </w:rPr>
              <w:t>Ltd</w:t>
            </w:r>
          </w:p>
        </w:tc>
        <w:tc>
          <w:tcPr>
            <w:tcW w:w="2040" w:type="dxa"/>
            <w:vAlign w:val="bottom"/>
          </w:tcPr>
          <w:p>
            <w:pPr>
              <w:ind w:left="60"/>
              <w:spacing w:after="0"/>
              <w:rPr>
                <w:sz w:val="20"/>
                <w:szCs w:val="20"/>
                <w:color w:val="auto"/>
              </w:rPr>
            </w:pPr>
            <w:r>
              <w:rPr>
                <w:rFonts w:ascii="Arial" w:cs="Arial" w:eastAsia="Arial" w:hAnsi="Arial"/>
                <w:sz w:val="14"/>
                <w:szCs w:val="14"/>
                <w:color w:val="auto"/>
              </w:rPr>
              <w:t>Optus Mobile Pty Ltd</w:t>
            </w:r>
          </w:p>
        </w:tc>
        <w:tc>
          <w:tcPr>
            <w:tcW w:w="960" w:type="dxa"/>
            <w:vAlign w:val="bottom"/>
          </w:tcPr>
          <w:p>
            <w:pPr>
              <w:jc w:val="center"/>
              <w:ind w:right="48"/>
              <w:spacing w:after="0"/>
              <w:rPr>
                <w:sz w:val="20"/>
                <w:szCs w:val="20"/>
                <w:color w:val="auto"/>
              </w:rPr>
            </w:pPr>
            <w:r>
              <w:rPr>
                <w:rFonts w:ascii="Arial" w:cs="Arial" w:eastAsia="Arial" w:hAnsi="Arial"/>
                <w:sz w:val="14"/>
                <w:szCs w:val="14"/>
                <w:color w:val="auto"/>
              </w:rPr>
              <w:t>0</w:t>
            </w:r>
          </w:p>
        </w:tc>
        <w:tc>
          <w:tcPr>
            <w:tcW w:w="900" w:type="dxa"/>
            <w:vAlign w:val="bottom"/>
          </w:tcPr>
          <w:p>
            <w:pPr>
              <w:jc w:val="center"/>
              <w:spacing w:after="0"/>
              <w:rPr>
                <w:sz w:val="20"/>
                <w:szCs w:val="20"/>
                <w:color w:val="auto"/>
              </w:rPr>
            </w:pPr>
            <w:r>
              <w:rPr>
                <w:rFonts w:ascii="Arial" w:cs="Arial" w:eastAsia="Arial" w:hAnsi="Arial"/>
                <w:sz w:val="14"/>
                <w:szCs w:val="14"/>
                <w:color w:val="auto"/>
              </w:rPr>
              <w:t>0</w:t>
            </w:r>
          </w:p>
        </w:tc>
        <w:tc>
          <w:tcPr>
            <w:tcW w:w="1280" w:type="dxa"/>
            <w:vAlign w:val="bottom"/>
          </w:tcPr>
          <w:p>
            <w:pPr>
              <w:jc w:val="right"/>
              <w:ind w:right="408"/>
              <w:spacing w:after="0"/>
              <w:rPr>
                <w:sz w:val="20"/>
                <w:szCs w:val="20"/>
                <w:color w:val="auto"/>
              </w:rPr>
            </w:pPr>
            <w:r>
              <w:rPr>
                <w:rFonts w:ascii="Arial" w:cs="Arial" w:eastAsia="Arial" w:hAnsi="Arial"/>
                <w:sz w:val="14"/>
                <w:szCs w:val="14"/>
                <w:color w:val="auto"/>
              </w:rPr>
              <w:t>0</w:t>
            </w:r>
          </w:p>
        </w:tc>
        <w:tc>
          <w:tcPr>
            <w:tcW w:w="780" w:type="dxa"/>
            <w:vAlign w:val="bottom"/>
          </w:tcPr>
          <w:p>
            <w:pPr>
              <w:jc w:val="right"/>
              <w:spacing w:after="0"/>
              <w:rPr>
                <w:sz w:val="20"/>
                <w:szCs w:val="20"/>
                <w:color w:val="auto"/>
              </w:rPr>
            </w:pPr>
            <w:r>
              <w:rPr>
                <w:rFonts w:ascii="Arial" w:cs="Arial" w:eastAsia="Arial" w:hAnsi="Arial"/>
                <w:sz w:val="14"/>
                <w:szCs w:val="14"/>
                <w:color w:val="auto"/>
              </w:rPr>
              <w:t>3095918</w:t>
            </w:r>
          </w:p>
        </w:tc>
        <w:tc>
          <w:tcPr>
            <w:tcW w:w="640" w:type="dxa"/>
            <w:vAlign w:val="bottom"/>
          </w:tcPr>
          <w:p>
            <w:pPr>
              <w:jc w:val="right"/>
              <w:spacing w:after="0"/>
              <w:rPr>
                <w:sz w:val="20"/>
                <w:szCs w:val="20"/>
                <w:color w:val="auto"/>
              </w:rPr>
            </w:pPr>
            <w:r>
              <w:rPr>
                <w:rFonts w:ascii="Arial" w:cs="Arial" w:eastAsia="Arial" w:hAnsi="Arial"/>
                <w:sz w:val="14"/>
                <w:szCs w:val="14"/>
                <w:color w:val="auto"/>
              </w:rPr>
              <w:t>09/25/14</w:t>
            </w:r>
          </w:p>
        </w:tc>
        <w:tc>
          <w:tcPr>
            <w:tcW w:w="1080" w:type="dxa"/>
            <w:vAlign w:val="bottom"/>
          </w:tcPr>
          <w:p>
            <w:pPr>
              <w:jc w:val="right"/>
              <w:ind w:right="308"/>
              <w:spacing w:after="0"/>
              <w:rPr>
                <w:sz w:val="20"/>
                <w:szCs w:val="20"/>
                <w:color w:val="auto"/>
              </w:rPr>
            </w:pPr>
            <w:r>
              <w:rPr>
                <w:rFonts w:ascii="Arial" w:cs="Arial" w:eastAsia="Arial" w:hAnsi="Arial"/>
                <w:sz w:val="14"/>
                <w:szCs w:val="14"/>
                <w:color w:val="auto"/>
                <w:w w:val="96"/>
              </w:rPr>
              <w:t>20,000,000</w:t>
            </w:r>
          </w:p>
        </w:tc>
        <w:tc>
          <w:tcPr>
            <w:tcW w:w="1020" w:type="dxa"/>
            <w:vAlign w:val="bottom"/>
          </w:tcPr>
          <w:p>
            <w:pPr>
              <w:jc w:val="right"/>
              <w:spacing w:after="0"/>
              <w:rPr>
                <w:sz w:val="20"/>
                <w:szCs w:val="20"/>
                <w:color w:val="auto"/>
              </w:rPr>
            </w:pPr>
            <w:r>
              <w:rPr>
                <w:rFonts w:ascii="Arial" w:cs="Arial" w:eastAsia="Arial" w:hAnsi="Arial"/>
                <w:sz w:val="14"/>
                <w:szCs w:val="14"/>
                <w:color w:val="auto"/>
              </w:rPr>
              <w:t>17,412,000</w:t>
            </w:r>
          </w:p>
        </w:tc>
      </w:tr>
      <w:tr>
        <w:trPr>
          <w:trHeight w:val="169"/>
        </w:trPr>
        <w:tc>
          <w:tcPr>
            <w:tcW w:w="1060" w:type="dxa"/>
            <w:vAlign w:val="bottom"/>
          </w:tcPr>
          <w:p>
            <w:pPr>
              <w:spacing w:after="0"/>
              <w:rPr>
                <w:sz w:val="14"/>
                <w:szCs w:val="14"/>
                <w:color w:val="auto"/>
              </w:rPr>
            </w:pPr>
          </w:p>
        </w:tc>
        <w:tc>
          <w:tcPr>
            <w:tcW w:w="1240" w:type="dxa"/>
            <w:vAlign w:val="bottom"/>
          </w:tcPr>
          <w:p>
            <w:pPr>
              <w:ind w:left="100"/>
              <w:spacing w:after="0"/>
              <w:rPr>
                <w:sz w:val="20"/>
                <w:szCs w:val="20"/>
                <w:color w:val="auto"/>
              </w:rPr>
            </w:pPr>
            <w:r>
              <w:rPr>
                <w:rFonts w:ascii="Arial" w:cs="Arial" w:eastAsia="Arial" w:hAnsi="Arial"/>
                <w:sz w:val="14"/>
                <w:szCs w:val="14"/>
                <w:color w:val="auto"/>
                <w:w w:val="99"/>
              </w:rPr>
              <w:t>epay Australia Pty</w:t>
            </w:r>
          </w:p>
        </w:tc>
        <w:tc>
          <w:tcPr>
            <w:tcW w:w="20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80" w:type="dxa"/>
            <w:vAlign w:val="bottom"/>
          </w:tcPr>
          <w:p>
            <w:pPr>
              <w:jc w:val="right"/>
              <w:ind w:right="308"/>
              <w:spacing w:after="0"/>
              <w:rPr>
                <w:sz w:val="20"/>
                <w:szCs w:val="20"/>
                <w:color w:val="auto"/>
              </w:rPr>
            </w:pPr>
            <w:r>
              <w:rPr>
                <w:rFonts w:ascii="Arial" w:cs="Arial" w:eastAsia="Arial" w:hAnsi="Arial"/>
                <w:sz w:val="14"/>
                <w:szCs w:val="14"/>
                <w:color w:val="auto"/>
              </w:rPr>
              <w:t>AUD</w:t>
            </w:r>
          </w:p>
        </w:tc>
        <w:tc>
          <w:tcPr>
            <w:tcW w:w="1020" w:type="dxa"/>
            <w:vAlign w:val="bottom"/>
          </w:tcPr>
          <w:p>
            <w:pPr>
              <w:spacing w:after="0"/>
              <w:rPr>
                <w:sz w:val="14"/>
                <w:szCs w:val="14"/>
                <w:color w:val="auto"/>
              </w:rPr>
            </w:pPr>
          </w:p>
        </w:tc>
      </w:tr>
      <w:tr>
        <w:trPr>
          <w:trHeight w:val="182"/>
        </w:trPr>
        <w:tc>
          <w:tcPr>
            <w:tcW w:w="1060" w:type="dxa"/>
            <w:vAlign w:val="bottom"/>
          </w:tcPr>
          <w:p>
            <w:pPr>
              <w:spacing w:after="0"/>
              <w:rPr>
                <w:sz w:val="20"/>
                <w:szCs w:val="20"/>
                <w:color w:val="auto"/>
              </w:rPr>
            </w:pPr>
            <w:r>
              <w:rPr>
                <w:rFonts w:ascii="Arial" w:cs="Arial" w:eastAsia="Arial" w:hAnsi="Arial"/>
                <w:sz w:val="14"/>
                <w:szCs w:val="14"/>
                <w:color w:val="auto"/>
              </w:rPr>
              <w:t>Bank of America</w:t>
            </w:r>
          </w:p>
        </w:tc>
        <w:tc>
          <w:tcPr>
            <w:tcW w:w="1240" w:type="dxa"/>
            <w:vAlign w:val="bottom"/>
          </w:tcPr>
          <w:p>
            <w:pPr>
              <w:ind w:left="100"/>
              <w:spacing w:after="0"/>
              <w:rPr>
                <w:sz w:val="20"/>
                <w:szCs w:val="20"/>
                <w:color w:val="auto"/>
              </w:rPr>
            </w:pPr>
            <w:r>
              <w:rPr>
                <w:rFonts w:ascii="Arial" w:cs="Arial" w:eastAsia="Arial" w:hAnsi="Arial"/>
                <w:sz w:val="14"/>
                <w:szCs w:val="14"/>
                <w:color w:val="auto"/>
              </w:rPr>
              <w:t>Ltd</w:t>
            </w:r>
          </w:p>
        </w:tc>
        <w:tc>
          <w:tcPr>
            <w:tcW w:w="2040" w:type="dxa"/>
            <w:vAlign w:val="bottom"/>
          </w:tcPr>
          <w:p>
            <w:pPr>
              <w:ind w:left="60"/>
              <w:spacing w:after="0"/>
              <w:rPr>
                <w:sz w:val="20"/>
                <w:szCs w:val="20"/>
                <w:color w:val="auto"/>
              </w:rPr>
            </w:pPr>
            <w:r>
              <w:rPr>
                <w:rFonts w:ascii="Arial" w:cs="Arial" w:eastAsia="Arial" w:hAnsi="Arial"/>
                <w:sz w:val="14"/>
                <w:szCs w:val="14"/>
                <w:color w:val="auto"/>
              </w:rPr>
              <w:t>Telstra Corporation Ltd</w:t>
            </w:r>
          </w:p>
        </w:tc>
        <w:tc>
          <w:tcPr>
            <w:tcW w:w="960" w:type="dxa"/>
            <w:vAlign w:val="bottom"/>
          </w:tcPr>
          <w:p>
            <w:pPr>
              <w:jc w:val="center"/>
              <w:ind w:right="48"/>
              <w:spacing w:after="0"/>
              <w:rPr>
                <w:sz w:val="20"/>
                <w:szCs w:val="20"/>
                <w:color w:val="auto"/>
              </w:rPr>
            </w:pPr>
            <w:r>
              <w:rPr>
                <w:rFonts w:ascii="Arial" w:cs="Arial" w:eastAsia="Arial" w:hAnsi="Arial"/>
                <w:sz w:val="14"/>
                <w:szCs w:val="14"/>
                <w:color w:val="auto"/>
              </w:rPr>
              <w:t>0</w:t>
            </w:r>
          </w:p>
        </w:tc>
        <w:tc>
          <w:tcPr>
            <w:tcW w:w="900" w:type="dxa"/>
            <w:vAlign w:val="bottom"/>
          </w:tcPr>
          <w:p>
            <w:pPr>
              <w:jc w:val="center"/>
              <w:spacing w:after="0"/>
              <w:rPr>
                <w:sz w:val="20"/>
                <w:szCs w:val="20"/>
                <w:color w:val="auto"/>
              </w:rPr>
            </w:pPr>
            <w:r>
              <w:rPr>
                <w:rFonts w:ascii="Arial" w:cs="Arial" w:eastAsia="Arial" w:hAnsi="Arial"/>
                <w:sz w:val="14"/>
                <w:szCs w:val="14"/>
                <w:color w:val="auto"/>
              </w:rPr>
              <w:t>0</w:t>
            </w:r>
          </w:p>
        </w:tc>
        <w:tc>
          <w:tcPr>
            <w:tcW w:w="1280" w:type="dxa"/>
            <w:vAlign w:val="bottom"/>
          </w:tcPr>
          <w:p>
            <w:pPr>
              <w:jc w:val="right"/>
              <w:ind w:right="408"/>
              <w:spacing w:after="0"/>
              <w:rPr>
                <w:sz w:val="20"/>
                <w:szCs w:val="20"/>
                <w:color w:val="auto"/>
              </w:rPr>
            </w:pPr>
            <w:r>
              <w:rPr>
                <w:rFonts w:ascii="Arial" w:cs="Arial" w:eastAsia="Arial" w:hAnsi="Arial"/>
                <w:sz w:val="14"/>
                <w:szCs w:val="14"/>
                <w:color w:val="auto"/>
              </w:rPr>
              <w:t>0</w:t>
            </w:r>
          </w:p>
        </w:tc>
        <w:tc>
          <w:tcPr>
            <w:tcW w:w="780" w:type="dxa"/>
            <w:vAlign w:val="bottom"/>
          </w:tcPr>
          <w:p>
            <w:pPr>
              <w:jc w:val="right"/>
              <w:spacing w:after="0"/>
              <w:rPr>
                <w:sz w:val="20"/>
                <w:szCs w:val="20"/>
                <w:color w:val="auto"/>
              </w:rPr>
            </w:pPr>
            <w:r>
              <w:rPr>
                <w:rFonts w:ascii="Arial" w:cs="Arial" w:eastAsia="Arial" w:hAnsi="Arial"/>
                <w:sz w:val="14"/>
                <w:szCs w:val="14"/>
                <w:color w:val="auto"/>
              </w:rPr>
              <w:t>3120397</w:t>
            </w:r>
          </w:p>
        </w:tc>
        <w:tc>
          <w:tcPr>
            <w:tcW w:w="640" w:type="dxa"/>
            <w:vAlign w:val="bottom"/>
          </w:tcPr>
          <w:p>
            <w:pPr>
              <w:jc w:val="right"/>
              <w:spacing w:after="0"/>
              <w:rPr>
                <w:sz w:val="20"/>
                <w:szCs w:val="20"/>
                <w:color w:val="auto"/>
              </w:rPr>
            </w:pPr>
            <w:r>
              <w:rPr>
                <w:rFonts w:ascii="Arial" w:cs="Arial" w:eastAsia="Arial" w:hAnsi="Arial"/>
                <w:sz w:val="14"/>
                <w:szCs w:val="14"/>
                <w:color w:val="auto"/>
              </w:rPr>
              <w:t>10/01/14</w:t>
            </w:r>
          </w:p>
        </w:tc>
        <w:tc>
          <w:tcPr>
            <w:tcW w:w="1080" w:type="dxa"/>
            <w:vAlign w:val="bottom"/>
          </w:tcPr>
          <w:p>
            <w:pPr>
              <w:jc w:val="right"/>
              <w:ind w:right="308"/>
              <w:spacing w:after="0"/>
              <w:rPr>
                <w:sz w:val="20"/>
                <w:szCs w:val="20"/>
                <w:color w:val="auto"/>
              </w:rPr>
            </w:pPr>
            <w:r>
              <w:rPr>
                <w:rFonts w:ascii="Arial" w:cs="Arial" w:eastAsia="Arial" w:hAnsi="Arial"/>
                <w:sz w:val="14"/>
                <w:szCs w:val="14"/>
                <w:color w:val="auto"/>
                <w:w w:val="96"/>
              </w:rPr>
              <w:t>10,000,000</w:t>
            </w:r>
          </w:p>
        </w:tc>
        <w:tc>
          <w:tcPr>
            <w:tcW w:w="1020" w:type="dxa"/>
            <w:vAlign w:val="bottom"/>
          </w:tcPr>
          <w:p>
            <w:pPr>
              <w:jc w:val="right"/>
              <w:spacing w:after="0"/>
              <w:rPr>
                <w:sz w:val="20"/>
                <w:szCs w:val="20"/>
                <w:color w:val="auto"/>
              </w:rPr>
            </w:pPr>
            <w:r>
              <w:rPr>
                <w:rFonts w:ascii="Arial" w:cs="Arial" w:eastAsia="Arial" w:hAnsi="Arial"/>
                <w:sz w:val="14"/>
                <w:szCs w:val="14"/>
                <w:color w:val="auto"/>
              </w:rPr>
              <w:t>8,706,000</w:t>
            </w:r>
          </w:p>
        </w:tc>
      </w:tr>
      <w:tr>
        <w:trPr>
          <w:trHeight w:val="169"/>
        </w:trPr>
        <w:tc>
          <w:tcPr>
            <w:tcW w:w="106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80" w:type="dxa"/>
            <w:vAlign w:val="bottom"/>
          </w:tcPr>
          <w:p>
            <w:pPr>
              <w:jc w:val="right"/>
              <w:ind w:right="308"/>
              <w:spacing w:after="0"/>
              <w:rPr>
                <w:sz w:val="20"/>
                <w:szCs w:val="20"/>
                <w:color w:val="auto"/>
              </w:rPr>
            </w:pPr>
            <w:r>
              <w:rPr>
                <w:rFonts w:ascii="Arial" w:cs="Arial" w:eastAsia="Arial" w:hAnsi="Arial"/>
                <w:sz w:val="14"/>
                <w:szCs w:val="14"/>
                <w:color w:val="auto"/>
              </w:rPr>
              <w:t>EUR</w:t>
            </w:r>
          </w:p>
        </w:tc>
        <w:tc>
          <w:tcPr>
            <w:tcW w:w="1020" w:type="dxa"/>
            <w:vAlign w:val="bottom"/>
          </w:tcPr>
          <w:p>
            <w:pPr>
              <w:spacing w:after="0"/>
              <w:rPr>
                <w:sz w:val="14"/>
                <w:szCs w:val="14"/>
                <w:color w:val="auto"/>
              </w:rPr>
            </w:pPr>
          </w:p>
        </w:tc>
      </w:tr>
      <w:tr>
        <w:trPr>
          <w:trHeight w:val="182"/>
        </w:trPr>
        <w:tc>
          <w:tcPr>
            <w:tcW w:w="1060" w:type="dxa"/>
            <w:vAlign w:val="bottom"/>
          </w:tcPr>
          <w:p>
            <w:pPr>
              <w:spacing w:after="0"/>
              <w:rPr>
                <w:sz w:val="20"/>
                <w:szCs w:val="20"/>
                <w:color w:val="auto"/>
              </w:rPr>
            </w:pPr>
            <w:r>
              <w:rPr>
                <w:rFonts w:ascii="Arial" w:cs="Arial" w:eastAsia="Arial" w:hAnsi="Arial"/>
                <w:sz w:val="14"/>
                <w:szCs w:val="14"/>
                <w:color w:val="auto"/>
              </w:rPr>
              <w:t>Bank of America</w:t>
            </w:r>
          </w:p>
        </w:tc>
        <w:tc>
          <w:tcPr>
            <w:tcW w:w="1240" w:type="dxa"/>
            <w:vAlign w:val="bottom"/>
          </w:tcPr>
          <w:p>
            <w:pPr>
              <w:ind w:left="100"/>
              <w:spacing w:after="0"/>
              <w:rPr>
                <w:sz w:val="20"/>
                <w:szCs w:val="20"/>
                <w:color w:val="auto"/>
              </w:rPr>
            </w:pPr>
            <w:r>
              <w:rPr>
                <w:rFonts w:ascii="Arial" w:cs="Arial" w:eastAsia="Arial" w:hAnsi="Arial"/>
                <w:sz w:val="14"/>
                <w:szCs w:val="14"/>
                <w:color w:val="auto"/>
              </w:rPr>
              <w:t>RIA Italia S.R.L.</w:t>
            </w:r>
          </w:p>
        </w:tc>
        <w:tc>
          <w:tcPr>
            <w:tcW w:w="2040" w:type="dxa"/>
            <w:vAlign w:val="bottom"/>
          </w:tcPr>
          <w:p>
            <w:pPr>
              <w:ind w:left="60"/>
              <w:spacing w:after="0"/>
              <w:rPr>
                <w:sz w:val="20"/>
                <w:szCs w:val="20"/>
                <w:color w:val="auto"/>
              </w:rPr>
            </w:pPr>
            <w:r>
              <w:rPr>
                <w:rFonts w:ascii="Arial" w:cs="Arial" w:eastAsia="Arial" w:hAnsi="Arial"/>
                <w:sz w:val="14"/>
                <w:szCs w:val="14"/>
                <w:color w:val="auto"/>
              </w:rPr>
              <w:t>Ares 2002 Spa</w:t>
            </w:r>
          </w:p>
        </w:tc>
        <w:tc>
          <w:tcPr>
            <w:tcW w:w="960" w:type="dxa"/>
            <w:vAlign w:val="bottom"/>
          </w:tcPr>
          <w:p>
            <w:pPr>
              <w:jc w:val="center"/>
              <w:ind w:right="48"/>
              <w:spacing w:after="0"/>
              <w:rPr>
                <w:sz w:val="20"/>
                <w:szCs w:val="20"/>
                <w:color w:val="auto"/>
              </w:rPr>
            </w:pPr>
            <w:r>
              <w:rPr>
                <w:rFonts w:ascii="Arial" w:cs="Arial" w:eastAsia="Arial" w:hAnsi="Arial"/>
                <w:sz w:val="14"/>
                <w:szCs w:val="14"/>
                <w:color w:val="auto"/>
              </w:rPr>
              <w:t>0</w:t>
            </w:r>
          </w:p>
        </w:tc>
        <w:tc>
          <w:tcPr>
            <w:tcW w:w="900" w:type="dxa"/>
            <w:vAlign w:val="bottom"/>
          </w:tcPr>
          <w:p>
            <w:pPr>
              <w:jc w:val="center"/>
              <w:spacing w:after="0"/>
              <w:rPr>
                <w:sz w:val="20"/>
                <w:szCs w:val="20"/>
                <w:color w:val="auto"/>
              </w:rPr>
            </w:pPr>
            <w:r>
              <w:rPr>
                <w:rFonts w:ascii="Arial" w:cs="Arial" w:eastAsia="Arial" w:hAnsi="Arial"/>
                <w:sz w:val="14"/>
                <w:szCs w:val="14"/>
                <w:color w:val="auto"/>
                <w:w w:val="95"/>
              </w:rPr>
              <w:t>07/23/14</w:t>
            </w:r>
          </w:p>
        </w:tc>
        <w:tc>
          <w:tcPr>
            <w:tcW w:w="1280" w:type="dxa"/>
            <w:vAlign w:val="bottom"/>
          </w:tcPr>
          <w:p>
            <w:pPr>
              <w:ind w:left="180"/>
              <w:spacing w:after="0"/>
              <w:rPr>
                <w:sz w:val="20"/>
                <w:szCs w:val="20"/>
                <w:color w:val="auto"/>
              </w:rPr>
            </w:pPr>
            <w:r>
              <w:rPr>
                <w:rFonts w:ascii="Arial" w:cs="Arial" w:eastAsia="Arial" w:hAnsi="Arial"/>
                <w:sz w:val="14"/>
                <w:szCs w:val="14"/>
                <w:color w:val="auto"/>
              </w:rPr>
              <w:t>EUR 108,000</w:t>
            </w:r>
          </w:p>
        </w:tc>
        <w:tc>
          <w:tcPr>
            <w:tcW w:w="780" w:type="dxa"/>
            <w:vAlign w:val="bottom"/>
          </w:tcPr>
          <w:p>
            <w:pPr>
              <w:jc w:val="right"/>
              <w:ind w:right="8"/>
              <w:spacing w:after="0"/>
              <w:rPr>
                <w:sz w:val="20"/>
                <w:szCs w:val="20"/>
                <w:color w:val="auto"/>
              </w:rPr>
            </w:pPr>
            <w:r>
              <w:rPr>
                <w:rFonts w:ascii="Arial" w:cs="Arial" w:eastAsia="Arial" w:hAnsi="Arial"/>
                <w:sz w:val="14"/>
                <w:szCs w:val="14"/>
                <w:color w:val="auto"/>
              </w:rPr>
              <w:t>3113705</w:t>
            </w:r>
          </w:p>
        </w:tc>
        <w:tc>
          <w:tcPr>
            <w:tcW w:w="640" w:type="dxa"/>
            <w:vAlign w:val="bottom"/>
          </w:tcPr>
          <w:p>
            <w:pPr>
              <w:jc w:val="right"/>
              <w:spacing w:after="0"/>
              <w:rPr>
                <w:sz w:val="20"/>
                <w:szCs w:val="20"/>
                <w:color w:val="auto"/>
              </w:rPr>
            </w:pPr>
            <w:r>
              <w:rPr>
                <w:rFonts w:ascii="Arial" w:cs="Arial" w:eastAsia="Arial" w:hAnsi="Arial"/>
                <w:sz w:val="14"/>
                <w:szCs w:val="14"/>
                <w:color w:val="auto"/>
              </w:rPr>
              <w:t>07/23/14</w:t>
            </w:r>
          </w:p>
        </w:tc>
        <w:tc>
          <w:tcPr>
            <w:tcW w:w="1080" w:type="dxa"/>
            <w:vAlign w:val="bottom"/>
          </w:tcPr>
          <w:p>
            <w:pPr>
              <w:jc w:val="right"/>
              <w:ind w:right="308"/>
              <w:spacing w:after="0"/>
              <w:rPr>
                <w:sz w:val="20"/>
                <w:szCs w:val="20"/>
                <w:color w:val="auto"/>
              </w:rPr>
            </w:pPr>
            <w:r>
              <w:rPr>
                <w:rFonts w:ascii="Arial" w:cs="Arial" w:eastAsia="Arial" w:hAnsi="Arial"/>
                <w:sz w:val="14"/>
                <w:szCs w:val="14"/>
                <w:color w:val="auto"/>
              </w:rPr>
              <w:t>108,000</w:t>
            </w:r>
          </w:p>
        </w:tc>
        <w:tc>
          <w:tcPr>
            <w:tcW w:w="1020" w:type="dxa"/>
            <w:vAlign w:val="bottom"/>
          </w:tcPr>
          <w:p>
            <w:pPr>
              <w:jc w:val="right"/>
              <w:spacing w:after="0"/>
              <w:rPr>
                <w:sz w:val="20"/>
                <w:szCs w:val="20"/>
                <w:color w:val="auto"/>
              </w:rPr>
            </w:pPr>
            <w:r>
              <w:rPr>
                <w:rFonts w:ascii="Arial" w:cs="Arial" w:eastAsia="Arial" w:hAnsi="Arial"/>
                <w:sz w:val="14"/>
                <w:szCs w:val="14"/>
                <w:color w:val="auto"/>
              </w:rPr>
              <w:t>145,940</w:t>
            </w:r>
          </w:p>
        </w:tc>
      </w:tr>
      <w:tr>
        <w:trPr>
          <w:trHeight w:val="169"/>
        </w:trPr>
        <w:tc>
          <w:tcPr>
            <w:tcW w:w="106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80" w:type="dxa"/>
            <w:vAlign w:val="bottom"/>
          </w:tcPr>
          <w:p>
            <w:pPr>
              <w:jc w:val="right"/>
              <w:ind w:right="308"/>
              <w:spacing w:after="0"/>
              <w:rPr>
                <w:sz w:val="20"/>
                <w:szCs w:val="20"/>
                <w:color w:val="auto"/>
              </w:rPr>
            </w:pPr>
            <w:r>
              <w:rPr>
                <w:rFonts w:ascii="Arial" w:cs="Arial" w:eastAsia="Arial" w:hAnsi="Arial"/>
                <w:sz w:val="14"/>
                <w:szCs w:val="14"/>
                <w:color w:val="auto"/>
              </w:rPr>
              <w:t>CAD</w:t>
            </w:r>
          </w:p>
        </w:tc>
        <w:tc>
          <w:tcPr>
            <w:tcW w:w="1020" w:type="dxa"/>
            <w:vAlign w:val="bottom"/>
          </w:tcPr>
          <w:p>
            <w:pPr>
              <w:spacing w:after="0"/>
              <w:rPr>
                <w:sz w:val="14"/>
                <w:szCs w:val="14"/>
                <w:color w:val="auto"/>
              </w:rPr>
            </w:pPr>
          </w:p>
        </w:tc>
      </w:tr>
      <w:tr>
        <w:trPr>
          <w:trHeight w:val="182"/>
        </w:trPr>
        <w:tc>
          <w:tcPr>
            <w:tcW w:w="1060" w:type="dxa"/>
            <w:vAlign w:val="bottom"/>
          </w:tcPr>
          <w:p>
            <w:pPr>
              <w:spacing w:after="0"/>
              <w:rPr>
                <w:sz w:val="20"/>
                <w:szCs w:val="20"/>
                <w:color w:val="auto"/>
              </w:rPr>
            </w:pPr>
            <w:r>
              <w:rPr>
                <w:rFonts w:ascii="Arial" w:cs="Arial" w:eastAsia="Arial" w:hAnsi="Arial"/>
                <w:sz w:val="14"/>
                <w:szCs w:val="14"/>
                <w:color w:val="auto"/>
              </w:rPr>
              <w:t>Bank of America</w:t>
            </w:r>
          </w:p>
        </w:tc>
        <w:tc>
          <w:tcPr>
            <w:tcW w:w="1240" w:type="dxa"/>
            <w:vAlign w:val="bottom"/>
          </w:tcPr>
          <w:p>
            <w:pPr>
              <w:ind w:left="100"/>
              <w:spacing w:after="0"/>
              <w:rPr>
                <w:sz w:val="20"/>
                <w:szCs w:val="20"/>
                <w:color w:val="auto"/>
              </w:rPr>
            </w:pPr>
            <w:r>
              <w:rPr>
                <w:rFonts w:ascii="Arial" w:cs="Arial" w:eastAsia="Arial" w:hAnsi="Arial"/>
                <w:sz w:val="14"/>
                <w:szCs w:val="14"/>
                <w:color w:val="auto"/>
              </w:rPr>
              <w:t>Gescoro Inc.</w:t>
            </w:r>
          </w:p>
        </w:tc>
        <w:tc>
          <w:tcPr>
            <w:tcW w:w="2040" w:type="dxa"/>
            <w:vAlign w:val="bottom"/>
          </w:tcPr>
          <w:p>
            <w:pPr>
              <w:ind w:left="60"/>
              <w:spacing w:after="0"/>
              <w:rPr>
                <w:sz w:val="20"/>
                <w:szCs w:val="20"/>
                <w:color w:val="auto"/>
              </w:rPr>
            </w:pPr>
            <w:r>
              <w:rPr>
                <w:rFonts w:ascii="Arial" w:cs="Arial" w:eastAsia="Arial" w:hAnsi="Arial"/>
                <w:sz w:val="14"/>
                <w:szCs w:val="14"/>
                <w:color w:val="auto"/>
              </w:rPr>
              <w:t>TD Bank</w:t>
            </w:r>
          </w:p>
        </w:tc>
        <w:tc>
          <w:tcPr>
            <w:tcW w:w="960" w:type="dxa"/>
            <w:vAlign w:val="bottom"/>
          </w:tcPr>
          <w:p>
            <w:pPr>
              <w:jc w:val="center"/>
              <w:ind w:right="48"/>
              <w:spacing w:after="0"/>
              <w:rPr>
                <w:sz w:val="20"/>
                <w:szCs w:val="20"/>
                <w:color w:val="auto"/>
              </w:rPr>
            </w:pPr>
            <w:r>
              <w:rPr>
                <w:rFonts w:ascii="Arial" w:cs="Arial" w:eastAsia="Arial" w:hAnsi="Arial"/>
                <w:sz w:val="14"/>
                <w:szCs w:val="14"/>
                <w:color w:val="auto"/>
              </w:rPr>
              <w:t>0</w:t>
            </w:r>
          </w:p>
        </w:tc>
        <w:tc>
          <w:tcPr>
            <w:tcW w:w="900" w:type="dxa"/>
            <w:vAlign w:val="bottom"/>
          </w:tcPr>
          <w:p>
            <w:pPr>
              <w:jc w:val="center"/>
              <w:spacing w:after="0"/>
              <w:rPr>
                <w:sz w:val="20"/>
                <w:szCs w:val="20"/>
                <w:color w:val="auto"/>
              </w:rPr>
            </w:pPr>
            <w:r>
              <w:rPr>
                <w:rFonts w:ascii="Arial" w:cs="Arial" w:eastAsia="Arial" w:hAnsi="Arial"/>
                <w:sz w:val="14"/>
                <w:szCs w:val="14"/>
                <w:color w:val="auto"/>
              </w:rPr>
              <w:t>0</w:t>
            </w:r>
          </w:p>
        </w:tc>
        <w:tc>
          <w:tcPr>
            <w:tcW w:w="1280" w:type="dxa"/>
            <w:vAlign w:val="bottom"/>
          </w:tcPr>
          <w:p>
            <w:pPr>
              <w:jc w:val="right"/>
              <w:ind w:right="408"/>
              <w:spacing w:after="0"/>
              <w:rPr>
                <w:sz w:val="20"/>
                <w:szCs w:val="20"/>
                <w:color w:val="auto"/>
              </w:rPr>
            </w:pPr>
            <w:r>
              <w:rPr>
                <w:rFonts w:ascii="Arial" w:cs="Arial" w:eastAsia="Arial" w:hAnsi="Arial"/>
                <w:sz w:val="14"/>
                <w:szCs w:val="14"/>
                <w:color w:val="auto"/>
              </w:rPr>
              <w:t>0</w:t>
            </w:r>
          </w:p>
        </w:tc>
        <w:tc>
          <w:tcPr>
            <w:tcW w:w="780" w:type="dxa"/>
            <w:vAlign w:val="bottom"/>
          </w:tcPr>
          <w:p>
            <w:pPr>
              <w:jc w:val="right"/>
              <w:spacing w:after="0"/>
              <w:rPr>
                <w:sz w:val="20"/>
                <w:szCs w:val="20"/>
                <w:color w:val="auto"/>
              </w:rPr>
            </w:pPr>
            <w:r>
              <w:rPr>
                <w:rFonts w:ascii="Arial" w:cs="Arial" w:eastAsia="Arial" w:hAnsi="Arial"/>
                <w:sz w:val="14"/>
                <w:szCs w:val="14"/>
                <w:color w:val="auto"/>
              </w:rPr>
              <w:t>3099681</w:t>
            </w:r>
          </w:p>
        </w:tc>
        <w:tc>
          <w:tcPr>
            <w:tcW w:w="640" w:type="dxa"/>
            <w:vAlign w:val="bottom"/>
          </w:tcPr>
          <w:p>
            <w:pPr>
              <w:jc w:val="right"/>
              <w:spacing w:after="0"/>
              <w:rPr>
                <w:sz w:val="20"/>
                <w:szCs w:val="20"/>
                <w:color w:val="auto"/>
              </w:rPr>
            </w:pPr>
            <w:r>
              <w:rPr>
                <w:rFonts w:ascii="Arial" w:cs="Arial" w:eastAsia="Arial" w:hAnsi="Arial"/>
                <w:sz w:val="14"/>
                <w:szCs w:val="14"/>
                <w:color w:val="auto"/>
              </w:rPr>
              <w:t>05/25/14</w:t>
            </w:r>
          </w:p>
        </w:tc>
        <w:tc>
          <w:tcPr>
            <w:tcW w:w="1080" w:type="dxa"/>
            <w:vAlign w:val="bottom"/>
          </w:tcPr>
          <w:p>
            <w:pPr>
              <w:jc w:val="right"/>
              <w:ind w:right="308"/>
              <w:spacing w:after="0"/>
              <w:rPr>
                <w:sz w:val="20"/>
                <w:szCs w:val="20"/>
                <w:color w:val="auto"/>
              </w:rPr>
            </w:pPr>
            <w:r>
              <w:rPr>
                <w:rFonts w:ascii="Arial" w:cs="Arial" w:eastAsia="Arial" w:hAnsi="Arial"/>
                <w:sz w:val="14"/>
                <w:szCs w:val="14"/>
                <w:color w:val="auto"/>
              </w:rPr>
              <w:t>250,000</w:t>
            </w:r>
          </w:p>
        </w:tc>
        <w:tc>
          <w:tcPr>
            <w:tcW w:w="1020" w:type="dxa"/>
            <w:vAlign w:val="bottom"/>
          </w:tcPr>
          <w:p>
            <w:pPr>
              <w:jc w:val="right"/>
              <w:spacing w:after="0"/>
              <w:rPr>
                <w:sz w:val="20"/>
                <w:szCs w:val="20"/>
                <w:color w:val="auto"/>
              </w:rPr>
            </w:pPr>
            <w:r>
              <w:rPr>
                <w:rFonts w:ascii="Arial" w:cs="Arial" w:eastAsia="Arial" w:hAnsi="Arial"/>
                <w:sz w:val="14"/>
                <w:szCs w:val="14"/>
                <w:color w:val="auto"/>
              </w:rPr>
              <w:t>222,975</w:t>
            </w:r>
          </w:p>
        </w:tc>
      </w:tr>
      <w:tr>
        <w:trPr>
          <w:trHeight w:val="169"/>
        </w:trPr>
        <w:tc>
          <w:tcPr>
            <w:tcW w:w="1060" w:type="dxa"/>
            <w:vAlign w:val="bottom"/>
          </w:tcPr>
          <w:p>
            <w:pPr>
              <w:spacing w:after="0"/>
              <w:rPr>
                <w:sz w:val="14"/>
                <w:szCs w:val="14"/>
                <w:color w:val="auto"/>
              </w:rPr>
            </w:pPr>
          </w:p>
        </w:tc>
        <w:tc>
          <w:tcPr>
            <w:tcW w:w="1240" w:type="dxa"/>
            <w:vAlign w:val="bottom"/>
          </w:tcPr>
          <w:p>
            <w:pPr>
              <w:ind w:left="100"/>
              <w:spacing w:after="0"/>
              <w:rPr>
                <w:sz w:val="20"/>
                <w:szCs w:val="20"/>
                <w:color w:val="auto"/>
              </w:rPr>
            </w:pPr>
            <w:r>
              <w:rPr>
                <w:rFonts w:ascii="Arial" w:cs="Arial" w:eastAsia="Arial" w:hAnsi="Arial"/>
                <w:sz w:val="14"/>
                <w:szCs w:val="14"/>
                <w:color w:val="auto"/>
              </w:rPr>
              <w:t>transact</w:t>
            </w:r>
          </w:p>
        </w:tc>
        <w:tc>
          <w:tcPr>
            <w:tcW w:w="20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49"/>
        </w:trPr>
        <w:tc>
          <w:tcPr>
            <w:tcW w:w="1060" w:type="dxa"/>
            <w:vAlign w:val="bottom"/>
          </w:tcPr>
          <w:p>
            <w:pPr>
              <w:spacing w:after="0"/>
              <w:rPr>
                <w:sz w:val="12"/>
                <w:szCs w:val="12"/>
                <w:color w:val="auto"/>
              </w:rPr>
            </w:pPr>
          </w:p>
        </w:tc>
        <w:tc>
          <w:tcPr>
            <w:tcW w:w="1240" w:type="dxa"/>
            <w:vAlign w:val="bottom"/>
          </w:tcPr>
          <w:p>
            <w:pPr>
              <w:ind w:left="100"/>
              <w:spacing w:after="0" w:line="149" w:lineRule="exact"/>
              <w:rPr>
                <w:sz w:val="20"/>
                <w:szCs w:val="20"/>
                <w:color w:val="auto"/>
              </w:rPr>
            </w:pPr>
            <w:r>
              <w:rPr>
                <w:rFonts w:ascii="Arial" w:cs="Arial" w:eastAsia="Arial" w:hAnsi="Arial"/>
                <w:sz w:val="14"/>
                <w:szCs w:val="14"/>
                <w:color w:val="auto"/>
              </w:rPr>
              <w:t>Elektronische</w:t>
            </w:r>
          </w:p>
        </w:tc>
        <w:tc>
          <w:tcPr>
            <w:tcW w:w="20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020" w:type="dxa"/>
            <w:vAlign w:val="bottom"/>
          </w:tcPr>
          <w:p>
            <w:pPr>
              <w:spacing w:after="0"/>
              <w:rPr>
                <w:sz w:val="12"/>
                <w:szCs w:val="12"/>
                <w:color w:val="auto"/>
              </w:rPr>
            </w:pPr>
          </w:p>
        </w:tc>
      </w:tr>
      <w:tr>
        <w:trPr>
          <w:trHeight w:val="149"/>
        </w:trPr>
        <w:tc>
          <w:tcPr>
            <w:tcW w:w="1060" w:type="dxa"/>
            <w:vAlign w:val="bottom"/>
          </w:tcPr>
          <w:p>
            <w:pPr>
              <w:spacing w:after="0"/>
              <w:rPr>
                <w:sz w:val="12"/>
                <w:szCs w:val="12"/>
                <w:color w:val="auto"/>
              </w:rPr>
            </w:pPr>
          </w:p>
        </w:tc>
        <w:tc>
          <w:tcPr>
            <w:tcW w:w="1240" w:type="dxa"/>
            <w:vAlign w:val="bottom"/>
          </w:tcPr>
          <w:p>
            <w:pPr>
              <w:ind w:left="100"/>
              <w:spacing w:after="0" w:line="149" w:lineRule="exact"/>
              <w:rPr>
                <w:sz w:val="20"/>
                <w:szCs w:val="20"/>
                <w:color w:val="auto"/>
              </w:rPr>
            </w:pPr>
            <w:r>
              <w:rPr>
                <w:rFonts w:ascii="Arial" w:cs="Arial" w:eastAsia="Arial" w:hAnsi="Arial"/>
                <w:sz w:val="14"/>
                <w:szCs w:val="14"/>
                <w:color w:val="auto"/>
              </w:rPr>
              <w:t>Zahlungssysteme</w:t>
            </w:r>
          </w:p>
        </w:tc>
        <w:tc>
          <w:tcPr>
            <w:tcW w:w="2040" w:type="dxa"/>
            <w:vAlign w:val="bottom"/>
          </w:tcPr>
          <w:p>
            <w:pPr>
              <w:ind w:left="60"/>
              <w:spacing w:after="0" w:line="149" w:lineRule="exact"/>
              <w:rPr>
                <w:sz w:val="20"/>
                <w:szCs w:val="20"/>
                <w:color w:val="auto"/>
              </w:rPr>
            </w:pPr>
            <w:r>
              <w:rPr>
                <w:rFonts w:ascii="Arial" w:cs="Arial" w:eastAsia="Arial" w:hAnsi="Arial"/>
                <w:sz w:val="14"/>
                <w:szCs w:val="14"/>
                <w:color w:val="auto"/>
              </w:rPr>
              <w:t>Amazon EU S.A.R.L. (non-</w:t>
            </w:r>
          </w:p>
        </w:tc>
        <w:tc>
          <w:tcPr>
            <w:tcW w:w="9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80" w:type="dxa"/>
            <w:vAlign w:val="bottom"/>
          </w:tcPr>
          <w:p>
            <w:pPr>
              <w:jc w:val="right"/>
              <w:ind w:right="308"/>
              <w:spacing w:after="0" w:line="149" w:lineRule="exact"/>
              <w:rPr>
                <w:sz w:val="20"/>
                <w:szCs w:val="20"/>
                <w:color w:val="auto"/>
              </w:rPr>
            </w:pPr>
            <w:r>
              <w:rPr>
                <w:rFonts w:ascii="Arial" w:cs="Arial" w:eastAsia="Arial" w:hAnsi="Arial"/>
                <w:sz w:val="14"/>
                <w:szCs w:val="14"/>
                <w:color w:val="auto"/>
              </w:rPr>
              <w:t>EUR</w:t>
            </w:r>
          </w:p>
        </w:tc>
        <w:tc>
          <w:tcPr>
            <w:tcW w:w="1020" w:type="dxa"/>
            <w:vAlign w:val="bottom"/>
          </w:tcPr>
          <w:p>
            <w:pPr>
              <w:spacing w:after="0"/>
              <w:rPr>
                <w:sz w:val="12"/>
                <w:szCs w:val="12"/>
                <w:color w:val="auto"/>
              </w:rPr>
            </w:pPr>
          </w:p>
        </w:tc>
      </w:tr>
      <w:tr>
        <w:trPr>
          <w:trHeight w:val="182"/>
        </w:trPr>
        <w:tc>
          <w:tcPr>
            <w:tcW w:w="1060" w:type="dxa"/>
            <w:vAlign w:val="bottom"/>
          </w:tcPr>
          <w:p>
            <w:pPr>
              <w:spacing w:after="0"/>
              <w:rPr>
                <w:sz w:val="20"/>
                <w:szCs w:val="20"/>
                <w:color w:val="auto"/>
              </w:rPr>
            </w:pPr>
            <w:r>
              <w:rPr>
                <w:rFonts w:ascii="Arial" w:cs="Arial" w:eastAsia="Arial" w:hAnsi="Arial"/>
                <w:sz w:val="14"/>
                <w:szCs w:val="14"/>
                <w:color w:val="auto"/>
              </w:rPr>
              <w:t>Bank of America</w:t>
            </w:r>
          </w:p>
        </w:tc>
        <w:tc>
          <w:tcPr>
            <w:tcW w:w="1240" w:type="dxa"/>
            <w:vAlign w:val="bottom"/>
          </w:tcPr>
          <w:p>
            <w:pPr>
              <w:ind w:left="100"/>
              <w:spacing w:after="0"/>
              <w:rPr>
                <w:sz w:val="20"/>
                <w:szCs w:val="20"/>
                <w:color w:val="auto"/>
              </w:rPr>
            </w:pPr>
            <w:r>
              <w:rPr>
                <w:rFonts w:ascii="Arial" w:cs="Arial" w:eastAsia="Arial" w:hAnsi="Arial"/>
                <w:sz w:val="14"/>
                <w:szCs w:val="14"/>
                <w:color w:val="auto"/>
              </w:rPr>
              <w:t>GmbH</w:t>
            </w:r>
          </w:p>
        </w:tc>
        <w:tc>
          <w:tcPr>
            <w:tcW w:w="2040" w:type="dxa"/>
            <w:vAlign w:val="bottom"/>
          </w:tcPr>
          <w:p>
            <w:pPr>
              <w:ind w:left="60"/>
              <w:spacing w:after="0"/>
              <w:rPr>
                <w:sz w:val="20"/>
                <w:szCs w:val="20"/>
                <w:color w:val="auto"/>
              </w:rPr>
            </w:pPr>
            <w:r>
              <w:rPr>
                <w:rFonts w:ascii="Arial" w:cs="Arial" w:eastAsia="Arial" w:hAnsi="Arial"/>
                <w:sz w:val="14"/>
                <w:szCs w:val="14"/>
                <w:color w:val="auto"/>
              </w:rPr>
              <w:t>peak)</w:t>
            </w:r>
          </w:p>
        </w:tc>
        <w:tc>
          <w:tcPr>
            <w:tcW w:w="960" w:type="dxa"/>
            <w:vAlign w:val="bottom"/>
          </w:tcPr>
          <w:p>
            <w:pPr>
              <w:jc w:val="center"/>
              <w:ind w:right="48"/>
              <w:spacing w:after="0"/>
              <w:rPr>
                <w:sz w:val="20"/>
                <w:szCs w:val="20"/>
                <w:color w:val="auto"/>
              </w:rPr>
            </w:pPr>
            <w:r>
              <w:rPr>
                <w:rFonts w:ascii="Arial" w:cs="Arial" w:eastAsia="Arial" w:hAnsi="Arial"/>
                <w:sz w:val="14"/>
                <w:szCs w:val="14"/>
                <w:color w:val="auto"/>
              </w:rPr>
              <w:t>0</w:t>
            </w:r>
          </w:p>
        </w:tc>
        <w:tc>
          <w:tcPr>
            <w:tcW w:w="900" w:type="dxa"/>
            <w:vAlign w:val="bottom"/>
          </w:tcPr>
          <w:p>
            <w:pPr>
              <w:jc w:val="center"/>
              <w:spacing w:after="0"/>
              <w:rPr>
                <w:sz w:val="20"/>
                <w:szCs w:val="20"/>
                <w:color w:val="auto"/>
              </w:rPr>
            </w:pPr>
            <w:r>
              <w:rPr>
                <w:rFonts w:ascii="Arial" w:cs="Arial" w:eastAsia="Arial" w:hAnsi="Arial"/>
                <w:sz w:val="14"/>
                <w:szCs w:val="14"/>
                <w:color w:val="auto"/>
              </w:rPr>
              <w:t>0</w:t>
            </w:r>
          </w:p>
        </w:tc>
        <w:tc>
          <w:tcPr>
            <w:tcW w:w="1280" w:type="dxa"/>
            <w:vAlign w:val="bottom"/>
          </w:tcPr>
          <w:p>
            <w:pPr>
              <w:jc w:val="right"/>
              <w:ind w:right="408"/>
              <w:spacing w:after="0"/>
              <w:rPr>
                <w:sz w:val="20"/>
                <w:szCs w:val="20"/>
                <w:color w:val="auto"/>
              </w:rPr>
            </w:pPr>
            <w:r>
              <w:rPr>
                <w:rFonts w:ascii="Arial" w:cs="Arial" w:eastAsia="Arial" w:hAnsi="Arial"/>
                <w:sz w:val="14"/>
                <w:szCs w:val="14"/>
                <w:color w:val="auto"/>
              </w:rPr>
              <w:t>0</w:t>
            </w:r>
          </w:p>
        </w:tc>
        <w:tc>
          <w:tcPr>
            <w:tcW w:w="780" w:type="dxa"/>
            <w:vAlign w:val="bottom"/>
          </w:tcPr>
          <w:p>
            <w:pPr>
              <w:jc w:val="right"/>
              <w:spacing w:after="0"/>
              <w:rPr>
                <w:sz w:val="20"/>
                <w:szCs w:val="20"/>
                <w:color w:val="auto"/>
              </w:rPr>
            </w:pPr>
            <w:r>
              <w:rPr>
                <w:rFonts w:ascii="Arial" w:cs="Arial" w:eastAsia="Arial" w:hAnsi="Arial"/>
                <w:sz w:val="14"/>
                <w:szCs w:val="14"/>
                <w:color w:val="auto"/>
              </w:rPr>
              <w:t>3104150</w:t>
            </w:r>
          </w:p>
        </w:tc>
        <w:tc>
          <w:tcPr>
            <w:tcW w:w="640" w:type="dxa"/>
            <w:vAlign w:val="bottom"/>
          </w:tcPr>
          <w:p>
            <w:pPr>
              <w:jc w:val="right"/>
              <w:spacing w:after="0"/>
              <w:rPr>
                <w:sz w:val="20"/>
                <w:szCs w:val="20"/>
                <w:color w:val="auto"/>
              </w:rPr>
            </w:pPr>
            <w:r>
              <w:rPr>
                <w:rFonts w:ascii="Arial" w:cs="Arial" w:eastAsia="Arial" w:hAnsi="Arial"/>
                <w:sz w:val="14"/>
                <w:szCs w:val="14"/>
                <w:color w:val="auto"/>
              </w:rPr>
              <w:t>11/21/14</w:t>
            </w:r>
          </w:p>
        </w:tc>
        <w:tc>
          <w:tcPr>
            <w:tcW w:w="1080" w:type="dxa"/>
            <w:vAlign w:val="bottom"/>
          </w:tcPr>
          <w:p>
            <w:pPr>
              <w:jc w:val="right"/>
              <w:ind w:right="308"/>
              <w:spacing w:after="0"/>
              <w:rPr>
                <w:sz w:val="20"/>
                <w:szCs w:val="20"/>
                <w:color w:val="auto"/>
              </w:rPr>
            </w:pPr>
            <w:r>
              <w:rPr>
                <w:rFonts w:ascii="Arial" w:cs="Arial" w:eastAsia="Arial" w:hAnsi="Arial"/>
                <w:sz w:val="14"/>
                <w:szCs w:val="14"/>
                <w:color w:val="auto"/>
              </w:rPr>
              <w:t>3,820,000</w:t>
            </w:r>
          </w:p>
        </w:tc>
        <w:tc>
          <w:tcPr>
            <w:tcW w:w="1020" w:type="dxa"/>
            <w:vAlign w:val="bottom"/>
          </w:tcPr>
          <w:p>
            <w:pPr>
              <w:jc w:val="right"/>
              <w:spacing w:after="0"/>
              <w:rPr>
                <w:sz w:val="20"/>
                <w:szCs w:val="20"/>
                <w:color w:val="auto"/>
              </w:rPr>
            </w:pPr>
            <w:r>
              <w:rPr>
                <w:rFonts w:ascii="Arial" w:cs="Arial" w:eastAsia="Arial" w:hAnsi="Arial"/>
                <w:sz w:val="14"/>
                <w:szCs w:val="14"/>
                <w:color w:val="auto"/>
              </w:rPr>
              <w:t>5,161,966</w:t>
            </w:r>
          </w:p>
        </w:tc>
      </w:tr>
      <w:tr>
        <w:trPr>
          <w:trHeight w:val="169"/>
        </w:trPr>
        <w:tc>
          <w:tcPr>
            <w:tcW w:w="106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80" w:type="dxa"/>
            <w:vAlign w:val="bottom"/>
          </w:tcPr>
          <w:p>
            <w:pPr>
              <w:jc w:val="right"/>
              <w:ind w:right="308"/>
              <w:spacing w:after="0"/>
              <w:rPr>
                <w:sz w:val="20"/>
                <w:szCs w:val="20"/>
                <w:color w:val="auto"/>
              </w:rPr>
            </w:pPr>
            <w:r>
              <w:rPr>
                <w:rFonts w:ascii="Arial" w:cs="Arial" w:eastAsia="Arial" w:hAnsi="Arial"/>
                <w:sz w:val="14"/>
                <w:szCs w:val="14"/>
                <w:color w:val="auto"/>
              </w:rPr>
              <w:t>EUR</w:t>
            </w:r>
          </w:p>
        </w:tc>
        <w:tc>
          <w:tcPr>
            <w:tcW w:w="1020" w:type="dxa"/>
            <w:vAlign w:val="bottom"/>
          </w:tcPr>
          <w:p>
            <w:pPr>
              <w:spacing w:after="0"/>
              <w:rPr>
                <w:sz w:val="14"/>
                <w:szCs w:val="14"/>
                <w:color w:val="auto"/>
              </w:rPr>
            </w:pPr>
          </w:p>
        </w:tc>
      </w:tr>
      <w:tr>
        <w:trPr>
          <w:trHeight w:val="182"/>
        </w:trPr>
        <w:tc>
          <w:tcPr>
            <w:tcW w:w="1060" w:type="dxa"/>
            <w:vAlign w:val="bottom"/>
          </w:tcPr>
          <w:p>
            <w:pPr>
              <w:spacing w:after="0"/>
              <w:rPr>
                <w:sz w:val="20"/>
                <w:szCs w:val="20"/>
                <w:color w:val="auto"/>
              </w:rPr>
            </w:pPr>
            <w:r>
              <w:rPr>
                <w:rFonts w:ascii="Arial" w:cs="Arial" w:eastAsia="Arial" w:hAnsi="Arial"/>
                <w:sz w:val="14"/>
                <w:szCs w:val="14"/>
                <w:color w:val="auto"/>
              </w:rPr>
              <w:t>Bank of America</w:t>
            </w:r>
          </w:p>
        </w:tc>
        <w:tc>
          <w:tcPr>
            <w:tcW w:w="1240" w:type="dxa"/>
            <w:vAlign w:val="bottom"/>
          </w:tcPr>
          <w:p>
            <w:pPr>
              <w:ind w:left="100"/>
              <w:spacing w:after="0"/>
              <w:rPr>
                <w:sz w:val="20"/>
                <w:szCs w:val="20"/>
                <w:color w:val="auto"/>
              </w:rPr>
            </w:pPr>
            <w:r>
              <w:rPr>
                <w:rFonts w:ascii="Arial" w:cs="Arial" w:eastAsia="Arial" w:hAnsi="Arial"/>
                <w:sz w:val="14"/>
                <w:szCs w:val="14"/>
                <w:color w:val="auto"/>
              </w:rPr>
              <w:t>cadooz GmbH</w:t>
            </w:r>
          </w:p>
        </w:tc>
        <w:tc>
          <w:tcPr>
            <w:tcW w:w="2040" w:type="dxa"/>
            <w:vAlign w:val="bottom"/>
          </w:tcPr>
          <w:p>
            <w:pPr>
              <w:ind w:left="60"/>
              <w:spacing w:after="0"/>
              <w:rPr>
                <w:sz w:val="20"/>
                <w:szCs w:val="20"/>
                <w:color w:val="auto"/>
              </w:rPr>
            </w:pPr>
            <w:r>
              <w:rPr>
                <w:rFonts w:ascii="Arial" w:cs="Arial" w:eastAsia="Arial" w:hAnsi="Arial"/>
                <w:sz w:val="14"/>
                <w:szCs w:val="14"/>
                <w:color w:val="auto"/>
              </w:rPr>
              <w:t>Amazon EU S.A.R.L.</w:t>
            </w:r>
          </w:p>
        </w:tc>
        <w:tc>
          <w:tcPr>
            <w:tcW w:w="960" w:type="dxa"/>
            <w:vAlign w:val="bottom"/>
          </w:tcPr>
          <w:p>
            <w:pPr>
              <w:jc w:val="center"/>
              <w:ind w:right="48"/>
              <w:spacing w:after="0"/>
              <w:rPr>
                <w:sz w:val="20"/>
                <w:szCs w:val="20"/>
                <w:color w:val="auto"/>
              </w:rPr>
            </w:pPr>
            <w:r>
              <w:rPr>
                <w:rFonts w:ascii="Arial" w:cs="Arial" w:eastAsia="Arial" w:hAnsi="Arial"/>
                <w:sz w:val="14"/>
                <w:szCs w:val="14"/>
                <w:color w:val="auto"/>
              </w:rPr>
              <w:t>0</w:t>
            </w:r>
          </w:p>
        </w:tc>
        <w:tc>
          <w:tcPr>
            <w:tcW w:w="900" w:type="dxa"/>
            <w:vAlign w:val="bottom"/>
          </w:tcPr>
          <w:p>
            <w:pPr>
              <w:jc w:val="center"/>
              <w:spacing w:after="0"/>
              <w:rPr>
                <w:sz w:val="20"/>
                <w:szCs w:val="20"/>
                <w:color w:val="auto"/>
              </w:rPr>
            </w:pPr>
            <w:r>
              <w:rPr>
                <w:rFonts w:ascii="Arial" w:cs="Arial" w:eastAsia="Arial" w:hAnsi="Arial"/>
                <w:sz w:val="14"/>
                <w:szCs w:val="14"/>
                <w:color w:val="auto"/>
              </w:rPr>
              <w:t>0</w:t>
            </w:r>
          </w:p>
        </w:tc>
        <w:tc>
          <w:tcPr>
            <w:tcW w:w="1280" w:type="dxa"/>
            <w:vAlign w:val="bottom"/>
          </w:tcPr>
          <w:p>
            <w:pPr>
              <w:jc w:val="right"/>
              <w:ind w:right="408"/>
              <w:spacing w:after="0"/>
              <w:rPr>
                <w:sz w:val="20"/>
                <w:szCs w:val="20"/>
                <w:color w:val="auto"/>
              </w:rPr>
            </w:pPr>
            <w:r>
              <w:rPr>
                <w:rFonts w:ascii="Arial" w:cs="Arial" w:eastAsia="Arial" w:hAnsi="Arial"/>
                <w:sz w:val="14"/>
                <w:szCs w:val="14"/>
                <w:color w:val="auto"/>
              </w:rPr>
              <w:t>0</w:t>
            </w:r>
          </w:p>
        </w:tc>
        <w:tc>
          <w:tcPr>
            <w:tcW w:w="780" w:type="dxa"/>
            <w:vAlign w:val="bottom"/>
          </w:tcPr>
          <w:p>
            <w:pPr>
              <w:jc w:val="right"/>
              <w:spacing w:after="0"/>
              <w:rPr>
                <w:sz w:val="20"/>
                <w:szCs w:val="20"/>
                <w:color w:val="auto"/>
              </w:rPr>
            </w:pPr>
            <w:r>
              <w:rPr>
                <w:rFonts w:ascii="Arial" w:cs="Arial" w:eastAsia="Arial" w:hAnsi="Arial"/>
                <w:sz w:val="14"/>
                <w:szCs w:val="14"/>
                <w:color w:val="auto"/>
              </w:rPr>
              <w:t>3120392</w:t>
            </w:r>
          </w:p>
        </w:tc>
        <w:tc>
          <w:tcPr>
            <w:tcW w:w="640" w:type="dxa"/>
            <w:vAlign w:val="bottom"/>
          </w:tcPr>
          <w:p>
            <w:pPr>
              <w:jc w:val="right"/>
              <w:spacing w:after="0"/>
              <w:rPr>
                <w:sz w:val="20"/>
                <w:szCs w:val="20"/>
                <w:color w:val="auto"/>
              </w:rPr>
            </w:pPr>
            <w:r>
              <w:rPr>
                <w:rFonts w:ascii="Arial" w:cs="Arial" w:eastAsia="Arial" w:hAnsi="Arial"/>
                <w:sz w:val="14"/>
                <w:szCs w:val="14"/>
                <w:color w:val="auto"/>
              </w:rPr>
              <w:t>06/13/14</w:t>
            </w:r>
          </w:p>
        </w:tc>
        <w:tc>
          <w:tcPr>
            <w:tcW w:w="1080" w:type="dxa"/>
            <w:vAlign w:val="bottom"/>
          </w:tcPr>
          <w:p>
            <w:pPr>
              <w:jc w:val="right"/>
              <w:ind w:right="308"/>
              <w:spacing w:after="0"/>
              <w:rPr>
                <w:sz w:val="20"/>
                <w:szCs w:val="20"/>
                <w:color w:val="auto"/>
              </w:rPr>
            </w:pPr>
            <w:r>
              <w:rPr>
                <w:rFonts w:ascii="Arial" w:cs="Arial" w:eastAsia="Arial" w:hAnsi="Arial"/>
                <w:sz w:val="14"/>
                <w:szCs w:val="14"/>
                <w:color w:val="auto"/>
              </w:rPr>
              <w:t>385,000</w:t>
            </w:r>
          </w:p>
        </w:tc>
        <w:tc>
          <w:tcPr>
            <w:tcW w:w="1020" w:type="dxa"/>
            <w:vAlign w:val="bottom"/>
          </w:tcPr>
          <w:p>
            <w:pPr>
              <w:jc w:val="right"/>
              <w:spacing w:after="0"/>
              <w:rPr>
                <w:sz w:val="20"/>
                <w:szCs w:val="20"/>
                <w:color w:val="auto"/>
              </w:rPr>
            </w:pPr>
            <w:r>
              <w:rPr>
                <w:rFonts w:ascii="Arial" w:cs="Arial" w:eastAsia="Arial" w:hAnsi="Arial"/>
                <w:sz w:val="14"/>
                <w:szCs w:val="14"/>
                <w:color w:val="auto"/>
              </w:rPr>
              <w:t>520,251</w:t>
            </w:r>
          </w:p>
        </w:tc>
      </w:tr>
      <w:tr>
        <w:trPr>
          <w:trHeight w:val="169"/>
        </w:trPr>
        <w:tc>
          <w:tcPr>
            <w:tcW w:w="1060" w:type="dxa"/>
            <w:vAlign w:val="bottom"/>
          </w:tcPr>
          <w:p>
            <w:pPr>
              <w:spacing w:after="0"/>
              <w:rPr>
                <w:sz w:val="14"/>
                <w:szCs w:val="14"/>
                <w:color w:val="auto"/>
              </w:rPr>
            </w:pPr>
          </w:p>
        </w:tc>
        <w:tc>
          <w:tcPr>
            <w:tcW w:w="1240" w:type="dxa"/>
            <w:vAlign w:val="bottom"/>
          </w:tcPr>
          <w:p>
            <w:pPr>
              <w:ind w:left="100"/>
              <w:spacing w:after="0"/>
              <w:rPr>
                <w:sz w:val="20"/>
                <w:szCs w:val="20"/>
                <w:color w:val="auto"/>
              </w:rPr>
            </w:pPr>
            <w:r>
              <w:rPr>
                <w:rFonts w:ascii="Arial" w:cs="Arial" w:eastAsia="Arial" w:hAnsi="Arial"/>
                <w:sz w:val="14"/>
                <w:szCs w:val="14"/>
                <w:color w:val="auto"/>
              </w:rPr>
              <w:t>Continental</w:t>
            </w:r>
          </w:p>
        </w:tc>
        <w:tc>
          <w:tcPr>
            <w:tcW w:w="20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49"/>
        </w:trPr>
        <w:tc>
          <w:tcPr>
            <w:tcW w:w="1060" w:type="dxa"/>
            <w:vAlign w:val="bottom"/>
          </w:tcPr>
          <w:p>
            <w:pPr>
              <w:spacing w:after="0"/>
              <w:rPr>
                <w:sz w:val="12"/>
                <w:szCs w:val="12"/>
                <w:color w:val="auto"/>
              </w:rPr>
            </w:pPr>
          </w:p>
        </w:tc>
        <w:tc>
          <w:tcPr>
            <w:tcW w:w="1240" w:type="dxa"/>
            <w:vAlign w:val="bottom"/>
          </w:tcPr>
          <w:p>
            <w:pPr>
              <w:ind w:left="100"/>
              <w:spacing w:after="0" w:line="149" w:lineRule="exact"/>
              <w:rPr>
                <w:sz w:val="20"/>
                <w:szCs w:val="20"/>
                <w:color w:val="auto"/>
              </w:rPr>
            </w:pPr>
            <w:r>
              <w:rPr>
                <w:rFonts w:ascii="Arial" w:cs="Arial" w:eastAsia="Arial" w:hAnsi="Arial"/>
                <w:sz w:val="14"/>
                <w:szCs w:val="14"/>
                <w:color w:val="auto"/>
              </w:rPr>
              <w:t>Exchange</w:t>
            </w:r>
          </w:p>
        </w:tc>
        <w:tc>
          <w:tcPr>
            <w:tcW w:w="20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80" w:type="dxa"/>
            <w:vAlign w:val="bottom"/>
          </w:tcPr>
          <w:p>
            <w:pPr>
              <w:jc w:val="right"/>
              <w:ind w:right="308"/>
              <w:spacing w:after="0" w:line="149" w:lineRule="exact"/>
              <w:rPr>
                <w:sz w:val="20"/>
                <w:szCs w:val="20"/>
                <w:color w:val="auto"/>
              </w:rPr>
            </w:pPr>
            <w:r>
              <w:rPr>
                <w:rFonts w:ascii="Arial" w:cs="Arial" w:eastAsia="Arial" w:hAnsi="Arial"/>
                <w:sz w:val="14"/>
                <w:szCs w:val="14"/>
                <w:color w:val="auto"/>
              </w:rPr>
              <w:t>USD</w:t>
            </w:r>
          </w:p>
        </w:tc>
        <w:tc>
          <w:tcPr>
            <w:tcW w:w="1020" w:type="dxa"/>
            <w:vAlign w:val="bottom"/>
          </w:tcPr>
          <w:p>
            <w:pPr>
              <w:spacing w:after="0"/>
              <w:rPr>
                <w:sz w:val="12"/>
                <w:szCs w:val="12"/>
                <w:color w:val="auto"/>
              </w:rPr>
            </w:pPr>
          </w:p>
        </w:tc>
      </w:tr>
      <w:tr>
        <w:trPr>
          <w:trHeight w:val="182"/>
        </w:trPr>
        <w:tc>
          <w:tcPr>
            <w:tcW w:w="1060" w:type="dxa"/>
            <w:vAlign w:val="bottom"/>
          </w:tcPr>
          <w:p>
            <w:pPr>
              <w:spacing w:after="0"/>
              <w:rPr>
                <w:sz w:val="20"/>
                <w:szCs w:val="20"/>
                <w:color w:val="auto"/>
              </w:rPr>
            </w:pPr>
            <w:r>
              <w:rPr>
                <w:rFonts w:ascii="Arial" w:cs="Arial" w:eastAsia="Arial" w:hAnsi="Arial"/>
                <w:sz w:val="14"/>
                <w:szCs w:val="14"/>
                <w:color w:val="auto"/>
              </w:rPr>
              <w:t>Bank of America</w:t>
            </w:r>
          </w:p>
        </w:tc>
        <w:tc>
          <w:tcPr>
            <w:tcW w:w="1240" w:type="dxa"/>
            <w:vAlign w:val="bottom"/>
          </w:tcPr>
          <w:p>
            <w:pPr>
              <w:ind w:left="100"/>
              <w:spacing w:after="0"/>
              <w:rPr>
                <w:sz w:val="20"/>
                <w:szCs w:val="20"/>
                <w:color w:val="auto"/>
              </w:rPr>
            </w:pPr>
            <w:r>
              <w:rPr>
                <w:rFonts w:ascii="Arial" w:cs="Arial" w:eastAsia="Arial" w:hAnsi="Arial"/>
                <w:sz w:val="14"/>
                <w:szCs w:val="14"/>
                <w:color w:val="auto"/>
              </w:rPr>
              <w:t>Solutions, Inc.</w:t>
            </w:r>
          </w:p>
        </w:tc>
        <w:tc>
          <w:tcPr>
            <w:tcW w:w="2040" w:type="dxa"/>
            <w:vAlign w:val="bottom"/>
          </w:tcPr>
          <w:p>
            <w:pPr>
              <w:ind w:left="60"/>
              <w:spacing w:after="0"/>
              <w:rPr>
                <w:sz w:val="20"/>
                <w:szCs w:val="20"/>
                <w:color w:val="auto"/>
              </w:rPr>
            </w:pPr>
            <w:r>
              <w:rPr>
                <w:rFonts w:ascii="Arial" w:cs="Arial" w:eastAsia="Arial" w:hAnsi="Arial"/>
                <w:sz w:val="14"/>
                <w:szCs w:val="14"/>
                <w:color w:val="auto"/>
              </w:rPr>
              <w:t>Banco Bolivariano</w:t>
            </w:r>
          </w:p>
        </w:tc>
        <w:tc>
          <w:tcPr>
            <w:tcW w:w="960" w:type="dxa"/>
            <w:vAlign w:val="bottom"/>
          </w:tcPr>
          <w:p>
            <w:pPr>
              <w:jc w:val="center"/>
              <w:ind w:right="48"/>
              <w:spacing w:after="0"/>
              <w:rPr>
                <w:sz w:val="20"/>
                <w:szCs w:val="20"/>
                <w:color w:val="auto"/>
              </w:rPr>
            </w:pPr>
            <w:r>
              <w:rPr>
                <w:rFonts w:ascii="Arial" w:cs="Arial" w:eastAsia="Arial" w:hAnsi="Arial"/>
                <w:sz w:val="14"/>
                <w:szCs w:val="14"/>
                <w:color w:val="auto"/>
              </w:rPr>
              <w:t>0</w:t>
            </w:r>
          </w:p>
        </w:tc>
        <w:tc>
          <w:tcPr>
            <w:tcW w:w="900" w:type="dxa"/>
            <w:vAlign w:val="bottom"/>
          </w:tcPr>
          <w:p>
            <w:pPr>
              <w:jc w:val="center"/>
              <w:spacing w:after="0"/>
              <w:rPr>
                <w:sz w:val="20"/>
                <w:szCs w:val="20"/>
                <w:color w:val="auto"/>
              </w:rPr>
            </w:pPr>
            <w:r>
              <w:rPr>
                <w:rFonts w:ascii="Arial" w:cs="Arial" w:eastAsia="Arial" w:hAnsi="Arial"/>
                <w:sz w:val="14"/>
                <w:szCs w:val="14"/>
                <w:color w:val="auto"/>
              </w:rPr>
              <w:t>0</w:t>
            </w:r>
          </w:p>
        </w:tc>
        <w:tc>
          <w:tcPr>
            <w:tcW w:w="1280" w:type="dxa"/>
            <w:vAlign w:val="bottom"/>
          </w:tcPr>
          <w:p>
            <w:pPr>
              <w:jc w:val="right"/>
              <w:ind w:right="408"/>
              <w:spacing w:after="0"/>
              <w:rPr>
                <w:sz w:val="20"/>
                <w:szCs w:val="20"/>
                <w:color w:val="auto"/>
              </w:rPr>
            </w:pPr>
            <w:r>
              <w:rPr>
                <w:rFonts w:ascii="Arial" w:cs="Arial" w:eastAsia="Arial" w:hAnsi="Arial"/>
                <w:sz w:val="14"/>
                <w:szCs w:val="14"/>
                <w:color w:val="auto"/>
              </w:rPr>
              <w:t>0</w:t>
            </w:r>
          </w:p>
        </w:tc>
        <w:tc>
          <w:tcPr>
            <w:tcW w:w="780" w:type="dxa"/>
            <w:vAlign w:val="bottom"/>
          </w:tcPr>
          <w:p>
            <w:pPr>
              <w:jc w:val="right"/>
              <w:spacing w:after="0"/>
              <w:rPr>
                <w:sz w:val="20"/>
                <w:szCs w:val="20"/>
                <w:color w:val="auto"/>
              </w:rPr>
            </w:pPr>
            <w:r>
              <w:rPr>
                <w:rFonts w:ascii="Arial" w:cs="Arial" w:eastAsia="Arial" w:hAnsi="Arial"/>
                <w:sz w:val="14"/>
                <w:szCs w:val="14"/>
                <w:color w:val="auto"/>
              </w:rPr>
              <w:t>3087748</w:t>
            </w:r>
          </w:p>
        </w:tc>
        <w:tc>
          <w:tcPr>
            <w:tcW w:w="640" w:type="dxa"/>
            <w:vAlign w:val="bottom"/>
          </w:tcPr>
          <w:p>
            <w:pPr>
              <w:jc w:val="right"/>
              <w:spacing w:after="0"/>
              <w:rPr>
                <w:sz w:val="20"/>
                <w:szCs w:val="20"/>
                <w:color w:val="auto"/>
              </w:rPr>
            </w:pPr>
            <w:r>
              <w:rPr>
                <w:rFonts w:ascii="Arial" w:cs="Arial" w:eastAsia="Arial" w:hAnsi="Arial"/>
                <w:sz w:val="14"/>
                <w:szCs w:val="14"/>
                <w:color w:val="auto"/>
              </w:rPr>
              <w:t>04/26/14</w:t>
            </w:r>
          </w:p>
        </w:tc>
        <w:tc>
          <w:tcPr>
            <w:tcW w:w="1080" w:type="dxa"/>
            <w:vAlign w:val="bottom"/>
          </w:tcPr>
          <w:p>
            <w:pPr>
              <w:jc w:val="right"/>
              <w:ind w:right="308"/>
              <w:spacing w:after="0"/>
              <w:rPr>
                <w:sz w:val="20"/>
                <w:szCs w:val="20"/>
                <w:color w:val="auto"/>
              </w:rPr>
            </w:pPr>
            <w:r>
              <w:rPr>
                <w:rFonts w:ascii="Arial" w:cs="Arial" w:eastAsia="Arial" w:hAnsi="Arial"/>
                <w:sz w:val="14"/>
                <w:szCs w:val="14"/>
                <w:color w:val="auto"/>
              </w:rPr>
              <w:t>100,000</w:t>
            </w:r>
          </w:p>
        </w:tc>
        <w:tc>
          <w:tcPr>
            <w:tcW w:w="1020" w:type="dxa"/>
            <w:vAlign w:val="bottom"/>
          </w:tcPr>
          <w:p>
            <w:pPr>
              <w:jc w:val="right"/>
              <w:spacing w:after="0"/>
              <w:rPr>
                <w:sz w:val="20"/>
                <w:szCs w:val="20"/>
                <w:color w:val="auto"/>
              </w:rPr>
            </w:pPr>
            <w:r>
              <w:rPr>
                <w:rFonts w:ascii="Arial" w:cs="Arial" w:eastAsia="Arial" w:hAnsi="Arial"/>
                <w:sz w:val="14"/>
                <w:szCs w:val="14"/>
                <w:color w:val="auto"/>
              </w:rPr>
              <w:t>100,000</w:t>
            </w:r>
          </w:p>
        </w:tc>
      </w:tr>
      <w:tr>
        <w:trPr>
          <w:trHeight w:val="169"/>
        </w:trPr>
        <w:tc>
          <w:tcPr>
            <w:tcW w:w="1060" w:type="dxa"/>
            <w:vAlign w:val="bottom"/>
          </w:tcPr>
          <w:p>
            <w:pPr>
              <w:spacing w:after="0"/>
              <w:rPr>
                <w:sz w:val="14"/>
                <w:szCs w:val="14"/>
                <w:color w:val="auto"/>
              </w:rPr>
            </w:pPr>
          </w:p>
        </w:tc>
        <w:tc>
          <w:tcPr>
            <w:tcW w:w="1240" w:type="dxa"/>
            <w:vAlign w:val="bottom"/>
          </w:tcPr>
          <w:p>
            <w:pPr>
              <w:ind w:left="100"/>
              <w:spacing w:after="0"/>
              <w:rPr>
                <w:sz w:val="20"/>
                <w:szCs w:val="20"/>
                <w:color w:val="auto"/>
              </w:rPr>
            </w:pPr>
            <w:r>
              <w:rPr>
                <w:rFonts w:ascii="Arial" w:cs="Arial" w:eastAsia="Arial" w:hAnsi="Arial"/>
                <w:sz w:val="14"/>
                <w:szCs w:val="14"/>
                <w:color w:val="auto"/>
              </w:rPr>
              <w:t>Continental</w:t>
            </w:r>
          </w:p>
        </w:tc>
        <w:tc>
          <w:tcPr>
            <w:tcW w:w="20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49"/>
        </w:trPr>
        <w:tc>
          <w:tcPr>
            <w:tcW w:w="1060" w:type="dxa"/>
            <w:vAlign w:val="bottom"/>
          </w:tcPr>
          <w:p>
            <w:pPr>
              <w:spacing w:after="0"/>
              <w:rPr>
                <w:sz w:val="12"/>
                <w:szCs w:val="12"/>
                <w:color w:val="auto"/>
              </w:rPr>
            </w:pPr>
          </w:p>
        </w:tc>
        <w:tc>
          <w:tcPr>
            <w:tcW w:w="1240" w:type="dxa"/>
            <w:vAlign w:val="bottom"/>
          </w:tcPr>
          <w:p>
            <w:pPr>
              <w:ind w:left="100"/>
              <w:spacing w:after="0" w:line="149" w:lineRule="exact"/>
              <w:rPr>
                <w:sz w:val="20"/>
                <w:szCs w:val="20"/>
                <w:color w:val="auto"/>
              </w:rPr>
            </w:pPr>
            <w:r>
              <w:rPr>
                <w:rFonts w:ascii="Arial" w:cs="Arial" w:eastAsia="Arial" w:hAnsi="Arial"/>
                <w:sz w:val="14"/>
                <w:szCs w:val="14"/>
                <w:color w:val="auto"/>
              </w:rPr>
              <w:t>Exchange</w:t>
            </w:r>
          </w:p>
        </w:tc>
        <w:tc>
          <w:tcPr>
            <w:tcW w:w="20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80" w:type="dxa"/>
            <w:vAlign w:val="bottom"/>
          </w:tcPr>
          <w:p>
            <w:pPr>
              <w:jc w:val="right"/>
              <w:ind w:right="308"/>
              <w:spacing w:after="0" w:line="149" w:lineRule="exact"/>
              <w:rPr>
                <w:sz w:val="20"/>
                <w:szCs w:val="20"/>
                <w:color w:val="auto"/>
              </w:rPr>
            </w:pPr>
            <w:r>
              <w:rPr>
                <w:rFonts w:ascii="Arial" w:cs="Arial" w:eastAsia="Arial" w:hAnsi="Arial"/>
                <w:sz w:val="14"/>
                <w:szCs w:val="14"/>
                <w:color w:val="auto"/>
              </w:rPr>
              <w:t>USD</w:t>
            </w:r>
          </w:p>
        </w:tc>
        <w:tc>
          <w:tcPr>
            <w:tcW w:w="1020" w:type="dxa"/>
            <w:vAlign w:val="bottom"/>
          </w:tcPr>
          <w:p>
            <w:pPr>
              <w:spacing w:after="0"/>
              <w:rPr>
                <w:sz w:val="12"/>
                <w:szCs w:val="12"/>
                <w:color w:val="auto"/>
              </w:rPr>
            </w:pPr>
          </w:p>
        </w:tc>
      </w:tr>
      <w:tr>
        <w:trPr>
          <w:trHeight w:val="182"/>
        </w:trPr>
        <w:tc>
          <w:tcPr>
            <w:tcW w:w="1060" w:type="dxa"/>
            <w:vAlign w:val="bottom"/>
          </w:tcPr>
          <w:p>
            <w:pPr>
              <w:spacing w:after="0"/>
              <w:rPr>
                <w:sz w:val="20"/>
                <w:szCs w:val="20"/>
                <w:color w:val="auto"/>
              </w:rPr>
            </w:pPr>
            <w:r>
              <w:rPr>
                <w:rFonts w:ascii="Arial" w:cs="Arial" w:eastAsia="Arial" w:hAnsi="Arial"/>
                <w:sz w:val="14"/>
                <w:szCs w:val="14"/>
                <w:color w:val="auto"/>
              </w:rPr>
              <w:t>Bank of America</w:t>
            </w:r>
          </w:p>
        </w:tc>
        <w:tc>
          <w:tcPr>
            <w:tcW w:w="1240" w:type="dxa"/>
            <w:vAlign w:val="bottom"/>
          </w:tcPr>
          <w:p>
            <w:pPr>
              <w:ind w:left="100"/>
              <w:spacing w:after="0"/>
              <w:rPr>
                <w:sz w:val="20"/>
                <w:szCs w:val="20"/>
                <w:color w:val="auto"/>
              </w:rPr>
            </w:pPr>
            <w:r>
              <w:rPr>
                <w:rFonts w:ascii="Arial" w:cs="Arial" w:eastAsia="Arial" w:hAnsi="Arial"/>
                <w:sz w:val="14"/>
                <w:szCs w:val="14"/>
                <w:color w:val="auto"/>
              </w:rPr>
              <w:t>Solutions, Inc.</w:t>
            </w:r>
          </w:p>
        </w:tc>
        <w:tc>
          <w:tcPr>
            <w:tcW w:w="2040" w:type="dxa"/>
            <w:vAlign w:val="bottom"/>
          </w:tcPr>
          <w:p>
            <w:pPr>
              <w:ind w:left="60"/>
              <w:spacing w:after="0"/>
              <w:rPr>
                <w:sz w:val="20"/>
                <w:szCs w:val="20"/>
                <w:color w:val="auto"/>
              </w:rPr>
            </w:pPr>
            <w:r>
              <w:rPr>
                <w:rFonts w:ascii="Arial" w:cs="Arial" w:eastAsia="Arial" w:hAnsi="Arial"/>
                <w:sz w:val="14"/>
                <w:szCs w:val="14"/>
                <w:color w:val="auto"/>
              </w:rPr>
              <w:t>Financiera Familiar S.A.E.C.A</w:t>
            </w:r>
          </w:p>
        </w:tc>
        <w:tc>
          <w:tcPr>
            <w:tcW w:w="960" w:type="dxa"/>
            <w:vAlign w:val="bottom"/>
          </w:tcPr>
          <w:p>
            <w:pPr>
              <w:jc w:val="center"/>
              <w:ind w:right="48"/>
              <w:spacing w:after="0"/>
              <w:rPr>
                <w:sz w:val="20"/>
                <w:szCs w:val="20"/>
                <w:color w:val="auto"/>
              </w:rPr>
            </w:pPr>
            <w:r>
              <w:rPr>
                <w:rFonts w:ascii="Arial" w:cs="Arial" w:eastAsia="Arial" w:hAnsi="Arial"/>
                <w:sz w:val="14"/>
                <w:szCs w:val="14"/>
                <w:color w:val="auto"/>
              </w:rPr>
              <w:t>0</w:t>
            </w:r>
          </w:p>
        </w:tc>
        <w:tc>
          <w:tcPr>
            <w:tcW w:w="900" w:type="dxa"/>
            <w:vAlign w:val="bottom"/>
          </w:tcPr>
          <w:p>
            <w:pPr>
              <w:jc w:val="center"/>
              <w:spacing w:after="0"/>
              <w:rPr>
                <w:sz w:val="20"/>
                <w:szCs w:val="20"/>
                <w:color w:val="auto"/>
              </w:rPr>
            </w:pPr>
            <w:r>
              <w:rPr>
                <w:rFonts w:ascii="Arial" w:cs="Arial" w:eastAsia="Arial" w:hAnsi="Arial"/>
                <w:sz w:val="14"/>
                <w:szCs w:val="14"/>
                <w:color w:val="auto"/>
              </w:rPr>
              <w:t>0</w:t>
            </w:r>
          </w:p>
        </w:tc>
        <w:tc>
          <w:tcPr>
            <w:tcW w:w="1280" w:type="dxa"/>
            <w:vAlign w:val="bottom"/>
          </w:tcPr>
          <w:p>
            <w:pPr>
              <w:jc w:val="right"/>
              <w:ind w:right="408"/>
              <w:spacing w:after="0"/>
              <w:rPr>
                <w:sz w:val="20"/>
                <w:szCs w:val="20"/>
                <w:color w:val="auto"/>
              </w:rPr>
            </w:pPr>
            <w:r>
              <w:rPr>
                <w:rFonts w:ascii="Arial" w:cs="Arial" w:eastAsia="Arial" w:hAnsi="Arial"/>
                <w:sz w:val="14"/>
                <w:szCs w:val="14"/>
                <w:color w:val="auto"/>
              </w:rPr>
              <w:t>0</w:t>
            </w:r>
          </w:p>
        </w:tc>
        <w:tc>
          <w:tcPr>
            <w:tcW w:w="780" w:type="dxa"/>
            <w:vAlign w:val="bottom"/>
          </w:tcPr>
          <w:p>
            <w:pPr>
              <w:jc w:val="right"/>
              <w:spacing w:after="0"/>
              <w:rPr>
                <w:sz w:val="20"/>
                <w:szCs w:val="20"/>
                <w:color w:val="auto"/>
              </w:rPr>
            </w:pPr>
            <w:r>
              <w:rPr>
                <w:rFonts w:ascii="Arial" w:cs="Arial" w:eastAsia="Arial" w:hAnsi="Arial"/>
                <w:sz w:val="14"/>
                <w:szCs w:val="14"/>
                <w:color w:val="auto"/>
              </w:rPr>
              <w:t>3097392</w:t>
            </w:r>
          </w:p>
        </w:tc>
        <w:tc>
          <w:tcPr>
            <w:tcW w:w="640" w:type="dxa"/>
            <w:vAlign w:val="bottom"/>
          </w:tcPr>
          <w:p>
            <w:pPr>
              <w:jc w:val="right"/>
              <w:spacing w:after="0"/>
              <w:rPr>
                <w:sz w:val="20"/>
                <w:szCs w:val="20"/>
                <w:color w:val="auto"/>
              </w:rPr>
            </w:pPr>
            <w:r>
              <w:rPr>
                <w:rFonts w:ascii="Arial" w:cs="Arial" w:eastAsia="Arial" w:hAnsi="Arial"/>
                <w:sz w:val="14"/>
                <w:szCs w:val="14"/>
                <w:color w:val="auto"/>
              </w:rPr>
              <w:t>10/21/14</w:t>
            </w:r>
          </w:p>
        </w:tc>
        <w:tc>
          <w:tcPr>
            <w:tcW w:w="1080" w:type="dxa"/>
            <w:vAlign w:val="bottom"/>
          </w:tcPr>
          <w:p>
            <w:pPr>
              <w:jc w:val="right"/>
              <w:ind w:right="308"/>
              <w:spacing w:after="0"/>
              <w:rPr>
                <w:sz w:val="20"/>
                <w:szCs w:val="20"/>
                <w:color w:val="auto"/>
              </w:rPr>
            </w:pPr>
            <w:r>
              <w:rPr>
                <w:rFonts w:ascii="Arial" w:cs="Arial" w:eastAsia="Arial" w:hAnsi="Arial"/>
                <w:sz w:val="14"/>
                <w:szCs w:val="14"/>
                <w:color w:val="auto"/>
              </w:rPr>
              <w:t>200,000</w:t>
            </w:r>
          </w:p>
        </w:tc>
        <w:tc>
          <w:tcPr>
            <w:tcW w:w="1020" w:type="dxa"/>
            <w:vAlign w:val="bottom"/>
          </w:tcPr>
          <w:p>
            <w:pPr>
              <w:jc w:val="right"/>
              <w:spacing w:after="0"/>
              <w:rPr>
                <w:sz w:val="20"/>
                <w:szCs w:val="20"/>
                <w:color w:val="auto"/>
              </w:rPr>
            </w:pPr>
            <w:r>
              <w:rPr>
                <w:rFonts w:ascii="Arial" w:cs="Arial" w:eastAsia="Arial" w:hAnsi="Arial"/>
                <w:sz w:val="14"/>
                <w:szCs w:val="14"/>
                <w:color w:val="auto"/>
              </w:rPr>
              <w:t>200,000</w:t>
            </w:r>
          </w:p>
        </w:tc>
      </w:tr>
      <w:tr>
        <w:trPr>
          <w:trHeight w:val="169"/>
        </w:trPr>
        <w:tc>
          <w:tcPr>
            <w:tcW w:w="1060" w:type="dxa"/>
            <w:vAlign w:val="bottom"/>
          </w:tcPr>
          <w:p>
            <w:pPr>
              <w:spacing w:after="0"/>
              <w:rPr>
                <w:sz w:val="14"/>
                <w:szCs w:val="14"/>
                <w:color w:val="auto"/>
              </w:rPr>
            </w:pPr>
          </w:p>
        </w:tc>
        <w:tc>
          <w:tcPr>
            <w:tcW w:w="1240" w:type="dxa"/>
            <w:vAlign w:val="bottom"/>
          </w:tcPr>
          <w:p>
            <w:pPr>
              <w:ind w:left="100"/>
              <w:spacing w:after="0"/>
              <w:rPr>
                <w:sz w:val="20"/>
                <w:szCs w:val="20"/>
                <w:color w:val="auto"/>
              </w:rPr>
            </w:pPr>
            <w:r>
              <w:rPr>
                <w:rFonts w:ascii="Arial" w:cs="Arial" w:eastAsia="Arial" w:hAnsi="Arial"/>
                <w:sz w:val="14"/>
                <w:szCs w:val="14"/>
                <w:color w:val="auto"/>
              </w:rPr>
              <w:t>Continental</w:t>
            </w:r>
          </w:p>
        </w:tc>
        <w:tc>
          <w:tcPr>
            <w:tcW w:w="20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49"/>
        </w:trPr>
        <w:tc>
          <w:tcPr>
            <w:tcW w:w="1060" w:type="dxa"/>
            <w:vAlign w:val="bottom"/>
          </w:tcPr>
          <w:p>
            <w:pPr>
              <w:spacing w:after="0"/>
              <w:rPr>
                <w:sz w:val="12"/>
                <w:szCs w:val="12"/>
                <w:color w:val="auto"/>
              </w:rPr>
            </w:pPr>
          </w:p>
        </w:tc>
        <w:tc>
          <w:tcPr>
            <w:tcW w:w="1240" w:type="dxa"/>
            <w:vAlign w:val="bottom"/>
          </w:tcPr>
          <w:p>
            <w:pPr>
              <w:ind w:left="100"/>
              <w:spacing w:after="0" w:line="149" w:lineRule="exact"/>
              <w:rPr>
                <w:sz w:val="20"/>
                <w:szCs w:val="20"/>
                <w:color w:val="auto"/>
              </w:rPr>
            </w:pPr>
            <w:r>
              <w:rPr>
                <w:rFonts w:ascii="Arial" w:cs="Arial" w:eastAsia="Arial" w:hAnsi="Arial"/>
                <w:sz w:val="14"/>
                <w:szCs w:val="14"/>
                <w:color w:val="auto"/>
              </w:rPr>
              <w:t>Exchange</w:t>
            </w:r>
          </w:p>
        </w:tc>
        <w:tc>
          <w:tcPr>
            <w:tcW w:w="20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80" w:type="dxa"/>
            <w:vAlign w:val="bottom"/>
          </w:tcPr>
          <w:p>
            <w:pPr>
              <w:jc w:val="right"/>
              <w:ind w:right="308"/>
              <w:spacing w:after="0" w:line="149" w:lineRule="exact"/>
              <w:rPr>
                <w:sz w:val="20"/>
                <w:szCs w:val="20"/>
                <w:color w:val="auto"/>
              </w:rPr>
            </w:pPr>
            <w:r>
              <w:rPr>
                <w:rFonts w:ascii="Arial" w:cs="Arial" w:eastAsia="Arial" w:hAnsi="Arial"/>
                <w:sz w:val="14"/>
                <w:szCs w:val="14"/>
                <w:color w:val="auto"/>
              </w:rPr>
              <w:t>USD</w:t>
            </w:r>
          </w:p>
        </w:tc>
        <w:tc>
          <w:tcPr>
            <w:tcW w:w="1020" w:type="dxa"/>
            <w:vAlign w:val="bottom"/>
          </w:tcPr>
          <w:p>
            <w:pPr>
              <w:spacing w:after="0"/>
              <w:rPr>
                <w:sz w:val="12"/>
                <w:szCs w:val="12"/>
                <w:color w:val="auto"/>
              </w:rPr>
            </w:pPr>
          </w:p>
        </w:tc>
      </w:tr>
      <w:tr>
        <w:trPr>
          <w:trHeight w:val="182"/>
        </w:trPr>
        <w:tc>
          <w:tcPr>
            <w:tcW w:w="1060" w:type="dxa"/>
            <w:vAlign w:val="bottom"/>
          </w:tcPr>
          <w:p>
            <w:pPr>
              <w:spacing w:after="0"/>
              <w:rPr>
                <w:sz w:val="20"/>
                <w:szCs w:val="20"/>
                <w:color w:val="auto"/>
              </w:rPr>
            </w:pPr>
            <w:r>
              <w:rPr>
                <w:rFonts w:ascii="Arial" w:cs="Arial" w:eastAsia="Arial" w:hAnsi="Arial"/>
                <w:sz w:val="14"/>
                <w:szCs w:val="14"/>
                <w:color w:val="auto"/>
              </w:rPr>
              <w:t>Bank of America</w:t>
            </w:r>
          </w:p>
        </w:tc>
        <w:tc>
          <w:tcPr>
            <w:tcW w:w="1240" w:type="dxa"/>
            <w:vAlign w:val="bottom"/>
          </w:tcPr>
          <w:p>
            <w:pPr>
              <w:ind w:left="100"/>
              <w:spacing w:after="0"/>
              <w:rPr>
                <w:sz w:val="20"/>
                <w:szCs w:val="20"/>
                <w:color w:val="auto"/>
              </w:rPr>
            </w:pPr>
            <w:r>
              <w:rPr>
                <w:rFonts w:ascii="Arial" w:cs="Arial" w:eastAsia="Arial" w:hAnsi="Arial"/>
                <w:sz w:val="14"/>
                <w:szCs w:val="14"/>
                <w:color w:val="auto"/>
              </w:rPr>
              <w:t>Solutions, Inc.</w:t>
            </w:r>
          </w:p>
        </w:tc>
        <w:tc>
          <w:tcPr>
            <w:tcW w:w="2040" w:type="dxa"/>
            <w:vAlign w:val="bottom"/>
          </w:tcPr>
          <w:p>
            <w:pPr>
              <w:ind w:left="60"/>
              <w:spacing w:after="0"/>
              <w:rPr>
                <w:sz w:val="20"/>
                <w:szCs w:val="20"/>
                <w:color w:val="auto"/>
              </w:rPr>
            </w:pPr>
            <w:r>
              <w:rPr>
                <w:rFonts w:ascii="Arial" w:cs="Arial" w:eastAsia="Arial" w:hAnsi="Arial"/>
                <w:sz w:val="14"/>
                <w:szCs w:val="14"/>
                <w:color w:val="auto"/>
              </w:rPr>
              <w:t>Allied Bank Limited</w:t>
            </w:r>
          </w:p>
        </w:tc>
        <w:tc>
          <w:tcPr>
            <w:tcW w:w="960" w:type="dxa"/>
            <w:vAlign w:val="bottom"/>
          </w:tcPr>
          <w:p>
            <w:pPr>
              <w:jc w:val="center"/>
              <w:ind w:right="48"/>
              <w:spacing w:after="0"/>
              <w:rPr>
                <w:sz w:val="20"/>
                <w:szCs w:val="20"/>
                <w:color w:val="auto"/>
              </w:rPr>
            </w:pPr>
            <w:r>
              <w:rPr>
                <w:rFonts w:ascii="Arial" w:cs="Arial" w:eastAsia="Arial" w:hAnsi="Arial"/>
                <w:sz w:val="14"/>
                <w:szCs w:val="14"/>
                <w:color w:val="auto"/>
              </w:rPr>
              <w:t>0</w:t>
            </w:r>
          </w:p>
        </w:tc>
        <w:tc>
          <w:tcPr>
            <w:tcW w:w="900" w:type="dxa"/>
            <w:vAlign w:val="bottom"/>
          </w:tcPr>
          <w:p>
            <w:pPr>
              <w:jc w:val="center"/>
              <w:spacing w:after="0"/>
              <w:rPr>
                <w:sz w:val="20"/>
                <w:szCs w:val="20"/>
                <w:color w:val="auto"/>
              </w:rPr>
            </w:pPr>
            <w:r>
              <w:rPr>
                <w:rFonts w:ascii="Arial" w:cs="Arial" w:eastAsia="Arial" w:hAnsi="Arial"/>
                <w:sz w:val="14"/>
                <w:szCs w:val="14"/>
                <w:color w:val="auto"/>
              </w:rPr>
              <w:t>0</w:t>
            </w:r>
          </w:p>
        </w:tc>
        <w:tc>
          <w:tcPr>
            <w:tcW w:w="1280" w:type="dxa"/>
            <w:vAlign w:val="bottom"/>
          </w:tcPr>
          <w:p>
            <w:pPr>
              <w:jc w:val="right"/>
              <w:ind w:right="408"/>
              <w:spacing w:after="0"/>
              <w:rPr>
                <w:sz w:val="20"/>
                <w:szCs w:val="20"/>
                <w:color w:val="auto"/>
              </w:rPr>
            </w:pPr>
            <w:r>
              <w:rPr>
                <w:rFonts w:ascii="Arial" w:cs="Arial" w:eastAsia="Arial" w:hAnsi="Arial"/>
                <w:sz w:val="14"/>
                <w:szCs w:val="14"/>
                <w:color w:val="auto"/>
              </w:rPr>
              <w:t>0</w:t>
            </w:r>
          </w:p>
        </w:tc>
        <w:tc>
          <w:tcPr>
            <w:tcW w:w="780" w:type="dxa"/>
            <w:vAlign w:val="bottom"/>
          </w:tcPr>
          <w:p>
            <w:pPr>
              <w:jc w:val="right"/>
              <w:spacing w:after="0"/>
              <w:rPr>
                <w:sz w:val="20"/>
                <w:szCs w:val="20"/>
                <w:color w:val="auto"/>
              </w:rPr>
            </w:pPr>
            <w:r>
              <w:rPr>
                <w:rFonts w:ascii="Arial" w:cs="Arial" w:eastAsia="Arial" w:hAnsi="Arial"/>
                <w:sz w:val="14"/>
                <w:szCs w:val="14"/>
                <w:color w:val="auto"/>
              </w:rPr>
              <w:t>3099026</w:t>
            </w:r>
          </w:p>
        </w:tc>
        <w:tc>
          <w:tcPr>
            <w:tcW w:w="640" w:type="dxa"/>
            <w:vAlign w:val="bottom"/>
          </w:tcPr>
          <w:p>
            <w:pPr>
              <w:jc w:val="right"/>
              <w:spacing w:after="0"/>
              <w:rPr>
                <w:sz w:val="20"/>
                <w:szCs w:val="20"/>
                <w:color w:val="auto"/>
              </w:rPr>
            </w:pPr>
            <w:r>
              <w:rPr>
                <w:rFonts w:ascii="Arial" w:cs="Arial" w:eastAsia="Arial" w:hAnsi="Arial"/>
                <w:sz w:val="14"/>
                <w:szCs w:val="14"/>
                <w:color w:val="auto"/>
              </w:rPr>
              <w:t>03/19/14</w:t>
            </w:r>
          </w:p>
        </w:tc>
        <w:tc>
          <w:tcPr>
            <w:tcW w:w="1080" w:type="dxa"/>
            <w:vAlign w:val="bottom"/>
          </w:tcPr>
          <w:p>
            <w:pPr>
              <w:jc w:val="right"/>
              <w:ind w:right="308"/>
              <w:spacing w:after="0"/>
              <w:rPr>
                <w:sz w:val="20"/>
                <w:szCs w:val="20"/>
                <w:color w:val="auto"/>
              </w:rPr>
            </w:pPr>
            <w:r>
              <w:rPr>
                <w:rFonts w:ascii="Arial" w:cs="Arial" w:eastAsia="Arial" w:hAnsi="Arial"/>
                <w:sz w:val="14"/>
                <w:szCs w:val="14"/>
                <w:color w:val="auto"/>
              </w:rPr>
              <w:t>30,000</w:t>
            </w:r>
          </w:p>
        </w:tc>
        <w:tc>
          <w:tcPr>
            <w:tcW w:w="1020" w:type="dxa"/>
            <w:vAlign w:val="bottom"/>
          </w:tcPr>
          <w:p>
            <w:pPr>
              <w:jc w:val="right"/>
              <w:spacing w:after="0"/>
              <w:rPr>
                <w:sz w:val="20"/>
                <w:szCs w:val="20"/>
                <w:color w:val="auto"/>
              </w:rPr>
            </w:pPr>
            <w:r>
              <w:rPr>
                <w:rFonts w:ascii="Arial" w:cs="Arial" w:eastAsia="Arial" w:hAnsi="Arial"/>
                <w:sz w:val="14"/>
                <w:szCs w:val="14"/>
                <w:color w:val="auto"/>
              </w:rPr>
              <w:t>30,000</w:t>
            </w:r>
          </w:p>
        </w:tc>
      </w:tr>
    </w:tbl>
    <w:p>
      <w:pPr>
        <w:sectPr>
          <w:pgSz w:w="11900" w:h="16838" w:orient="portrait"/>
          <w:cols w:equalWidth="0" w:num="1">
            <w:col w:w="11000"/>
          </w:cols>
          <w:pgMar w:left="460" w:top="946" w:right="439" w:bottom="1440" w:gutter="0" w:footer="0" w:header="0"/>
        </w:sectPr>
      </w:pPr>
    </w:p>
    <w:bookmarkStart w:id="264" w:name="page265"/>
    <w:bookmarkEnd w:id="26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20" w:type="dxa"/>
            <w:vAlign w:val="bottom"/>
          </w:tcPr>
          <w:p>
            <w:pPr>
              <w:spacing w:after="0"/>
              <w:rPr>
                <w:sz w:val="14"/>
                <w:szCs w:val="14"/>
                <w:color w:val="auto"/>
              </w:rPr>
            </w:pPr>
          </w:p>
        </w:tc>
        <w:tc>
          <w:tcPr>
            <w:tcW w:w="1120" w:type="dxa"/>
            <w:vAlign w:val="bottom"/>
          </w:tcPr>
          <w:p>
            <w:pPr>
              <w:ind w:left="100"/>
              <w:spacing w:after="0"/>
              <w:rPr>
                <w:sz w:val="20"/>
                <w:szCs w:val="20"/>
                <w:color w:val="auto"/>
              </w:rPr>
            </w:pPr>
            <w:r>
              <w:rPr>
                <w:rFonts w:ascii="Arial" w:cs="Arial" w:eastAsia="Arial" w:hAnsi="Arial"/>
                <w:sz w:val="14"/>
                <w:szCs w:val="14"/>
                <w:color w:val="auto"/>
              </w:rPr>
              <w:t>Continental</w:t>
            </w:r>
          </w:p>
        </w:tc>
        <w:tc>
          <w:tcPr>
            <w:tcW w:w="22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1120" w:type="dxa"/>
            <w:vAlign w:val="bottom"/>
          </w:tcPr>
          <w:p>
            <w:pPr>
              <w:spacing w:after="0"/>
              <w:rPr>
                <w:sz w:val="12"/>
                <w:szCs w:val="12"/>
                <w:color w:val="auto"/>
              </w:rPr>
            </w:pPr>
          </w:p>
        </w:tc>
        <w:tc>
          <w:tcPr>
            <w:tcW w:w="1120" w:type="dxa"/>
            <w:vAlign w:val="bottom"/>
          </w:tcPr>
          <w:p>
            <w:pPr>
              <w:ind w:left="100"/>
              <w:spacing w:after="0" w:line="149" w:lineRule="exact"/>
              <w:rPr>
                <w:sz w:val="20"/>
                <w:szCs w:val="20"/>
                <w:color w:val="auto"/>
              </w:rPr>
            </w:pPr>
            <w:r>
              <w:rPr>
                <w:rFonts w:ascii="Arial" w:cs="Arial" w:eastAsia="Arial" w:hAnsi="Arial"/>
                <w:sz w:val="14"/>
                <w:szCs w:val="14"/>
                <w:color w:val="auto"/>
              </w:rPr>
              <w:t>Exchange</w:t>
            </w:r>
          </w:p>
        </w:tc>
        <w:tc>
          <w:tcPr>
            <w:tcW w:w="22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760" w:type="dxa"/>
            <w:vAlign w:val="bottom"/>
          </w:tcPr>
          <w:p>
            <w:pPr>
              <w:jc w:val="right"/>
              <w:ind w:right="68"/>
              <w:spacing w:after="0" w:line="149" w:lineRule="exact"/>
              <w:rPr>
                <w:sz w:val="20"/>
                <w:szCs w:val="20"/>
                <w:color w:val="auto"/>
              </w:rPr>
            </w:pPr>
            <w:r>
              <w:rPr>
                <w:rFonts w:ascii="Arial" w:cs="Arial" w:eastAsia="Arial" w:hAnsi="Arial"/>
                <w:sz w:val="14"/>
                <w:szCs w:val="14"/>
                <w:color w:val="auto"/>
              </w:rPr>
              <w:t>USD</w:t>
            </w:r>
          </w:p>
        </w:tc>
        <w:tc>
          <w:tcPr>
            <w:tcW w:w="1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1120" w:type="dxa"/>
            <w:vAlign w:val="bottom"/>
          </w:tcPr>
          <w:p>
            <w:pPr>
              <w:ind w:left="40"/>
              <w:spacing w:after="0"/>
              <w:rPr>
                <w:sz w:val="20"/>
                <w:szCs w:val="20"/>
                <w:color w:val="auto"/>
              </w:rPr>
            </w:pPr>
            <w:r>
              <w:rPr>
                <w:rFonts w:ascii="Arial" w:cs="Arial" w:eastAsia="Arial" w:hAnsi="Arial"/>
                <w:sz w:val="14"/>
                <w:szCs w:val="14"/>
                <w:color w:val="auto"/>
              </w:rPr>
              <w:t>Bank of America</w:t>
            </w:r>
          </w:p>
        </w:tc>
        <w:tc>
          <w:tcPr>
            <w:tcW w:w="1120" w:type="dxa"/>
            <w:vAlign w:val="bottom"/>
          </w:tcPr>
          <w:p>
            <w:pPr>
              <w:ind w:left="100"/>
              <w:spacing w:after="0"/>
              <w:rPr>
                <w:sz w:val="20"/>
                <w:szCs w:val="20"/>
                <w:color w:val="auto"/>
              </w:rPr>
            </w:pPr>
            <w:r>
              <w:rPr>
                <w:rFonts w:ascii="Arial" w:cs="Arial" w:eastAsia="Arial" w:hAnsi="Arial"/>
                <w:sz w:val="14"/>
                <w:szCs w:val="14"/>
                <w:color w:val="auto"/>
              </w:rPr>
              <w:t>Solutions, Inc.</w:t>
            </w:r>
          </w:p>
        </w:tc>
        <w:tc>
          <w:tcPr>
            <w:tcW w:w="2220" w:type="dxa"/>
            <w:vAlign w:val="bottom"/>
          </w:tcPr>
          <w:p>
            <w:pPr>
              <w:ind w:left="180"/>
              <w:spacing w:after="0"/>
              <w:rPr>
                <w:sz w:val="20"/>
                <w:szCs w:val="20"/>
                <w:color w:val="auto"/>
              </w:rPr>
            </w:pPr>
            <w:r>
              <w:rPr>
                <w:rFonts w:ascii="Arial" w:cs="Arial" w:eastAsia="Arial" w:hAnsi="Arial"/>
                <w:sz w:val="14"/>
                <w:szCs w:val="14"/>
                <w:color w:val="auto"/>
              </w:rPr>
              <w:t>Jyske Bank</w:t>
            </w:r>
          </w:p>
        </w:tc>
        <w:tc>
          <w:tcPr>
            <w:tcW w:w="900" w:type="dxa"/>
            <w:vAlign w:val="bottom"/>
          </w:tcPr>
          <w:p>
            <w:pPr>
              <w:jc w:val="right"/>
              <w:ind w:right="408"/>
              <w:spacing w:after="0"/>
              <w:rPr>
                <w:sz w:val="20"/>
                <w:szCs w:val="20"/>
                <w:color w:val="auto"/>
              </w:rPr>
            </w:pPr>
            <w:r>
              <w:rPr>
                <w:rFonts w:ascii="Arial" w:cs="Arial" w:eastAsia="Arial" w:hAnsi="Arial"/>
                <w:sz w:val="14"/>
                <w:szCs w:val="14"/>
                <w:color w:val="auto"/>
              </w:rPr>
              <w:t>0</w:t>
            </w:r>
          </w:p>
        </w:tc>
        <w:tc>
          <w:tcPr>
            <w:tcW w:w="1100" w:type="dxa"/>
            <w:vAlign w:val="bottom"/>
          </w:tcPr>
          <w:p>
            <w:pPr>
              <w:jc w:val="right"/>
              <w:ind w:right="488"/>
              <w:spacing w:after="0"/>
              <w:rPr>
                <w:sz w:val="20"/>
                <w:szCs w:val="20"/>
                <w:color w:val="auto"/>
              </w:rPr>
            </w:pPr>
            <w:r>
              <w:rPr>
                <w:rFonts w:ascii="Arial" w:cs="Arial" w:eastAsia="Arial" w:hAnsi="Arial"/>
                <w:sz w:val="14"/>
                <w:szCs w:val="14"/>
                <w:color w:val="auto"/>
              </w:rPr>
              <w:t>0</w:t>
            </w:r>
          </w:p>
        </w:tc>
        <w:tc>
          <w:tcPr>
            <w:tcW w:w="960" w:type="dxa"/>
            <w:vAlign w:val="bottom"/>
          </w:tcPr>
          <w:p>
            <w:pPr>
              <w:jc w:val="right"/>
              <w:ind w:right="248"/>
              <w:spacing w:after="0"/>
              <w:rPr>
                <w:sz w:val="20"/>
                <w:szCs w:val="20"/>
                <w:color w:val="auto"/>
              </w:rPr>
            </w:pPr>
            <w:r>
              <w:rPr>
                <w:rFonts w:ascii="Arial" w:cs="Arial" w:eastAsia="Arial" w:hAnsi="Arial"/>
                <w:sz w:val="14"/>
                <w:szCs w:val="14"/>
                <w:color w:val="auto"/>
              </w:rPr>
              <w:t>0</w:t>
            </w:r>
          </w:p>
        </w:tc>
        <w:tc>
          <w:tcPr>
            <w:tcW w:w="980" w:type="dxa"/>
            <w:vAlign w:val="bottom"/>
          </w:tcPr>
          <w:p>
            <w:pPr>
              <w:jc w:val="center"/>
              <w:ind w:left="208"/>
              <w:spacing w:after="0"/>
              <w:rPr>
                <w:sz w:val="20"/>
                <w:szCs w:val="20"/>
                <w:color w:val="auto"/>
              </w:rPr>
            </w:pPr>
            <w:r>
              <w:rPr>
                <w:rFonts w:ascii="Arial" w:cs="Arial" w:eastAsia="Arial" w:hAnsi="Arial"/>
                <w:sz w:val="14"/>
                <w:szCs w:val="14"/>
                <w:color w:val="auto"/>
                <w:w w:val="91"/>
              </w:rPr>
              <w:t>3104148</w:t>
            </w:r>
          </w:p>
        </w:tc>
        <w:tc>
          <w:tcPr>
            <w:tcW w:w="620" w:type="dxa"/>
            <w:vAlign w:val="bottom"/>
          </w:tcPr>
          <w:p>
            <w:pPr>
              <w:jc w:val="right"/>
              <w:spacing w:after="0"/>
              <w:rPr>
                <w:sz w:val="20"/>
                <w:szCs w:val="20"/>
                <w:color w:val="auto"/>
              </w:rPr>
            </w:pPr>
            <w:r>
              <w:rPr>
                <w:rFonts w:ascii="Arial" w:cs="Arial" w:eastAsia="Arial" w:hAnsi="Arial"/>
                <w:sz w:val="14"/>
                <w:szCs w:val="14"/>
                <w:color w:val="auto"/>
                <w:w w:val="99"/>
              </w:rPr>
              <w:t>01/11/15</w:t>
            </w:r>
          </w:p>
        </w:tc>
        <w:tc>
          <w:tcPr>
            <w:tcW w:w="760" w:type="dxa"/>
            <w:vAlign w:val="bottom"/>
          </w:tcPr>
          <w:p>
            <w:pPr>
              <w:jc w:val="right"/>
              <w:ind w:right="68"/>
              <w:spacing w:after="0"/>
              <w:rPr>
                <w:sz w:val="20"/>
                <w:szCs w:val="20"/>
                <w:color w:val="auto"/>
              </w:rPr>
            </w:pPr>
            <w:r>
              <w:rPr>
                <w:rFonts w:ascii="Arial" w:cs="Arial" w:eastAsia="Arial" w:hAnsi="Arial"/>
                <w:sz w:val="14"/>
                <w:szCs w:val="14"/>
                <w:color w:val="auto"/>
              </w:rPr>
              <w:t>40,000</w:t>
            </w:r>
          </w:p>
        </w:tc>
        <w:tc>
          <w:tcPr>
            <w:tcW w:w="1280" w:type="dxa"/>
            <w:vAlign w:val="bottom"/>
          </w:tcPr>
          <w:p>
            <w:pPr>
              <w:jc w:val="right"/>
              <w:spacing w:after="0"/>
              <w:rPr>
                <w:sz w:val="20"/>
                <w:szCs w:val="20"/>
                <w:color w:val="auto"/>
              </w:rPr>
            </w:pPr>
            <w:r>
              <w:rPr>
                <w:rFonts w:ascii="Arial" w:cs="Arial" w:eastAsia="Arial" w:hAnsi="Arial"/>
                <w:sz w:val="14"/>
                <w:szCs w:val="14"/>
                <w:color w:val="auto"/>
              </w:rPr>
              <w:t>40,000</w:t>
            </w:r>
          </w:p>
        </w:tc>
        <w:tc>
          <w:tcPr>
            <w:tcW w:w="0" w:type="dxa"/>
            <w:vAlign w:val="bottom"/>
          </w:tcPr>
          <w:p>
            <w:pPr>
              <w:spacing w:after="0"/>
              <w:rPr>
                <w:sz w:val="1"/>
                <w:szCs w:val="1"/>
                <w:color w:val="auto"/>
              </w:rPr>
            </w:pPr>
          </w:p>
        </w:tc>
      </w:tr>
      <w:tr>
        <w:trPr>
          <w:trHeight w:val="169"/>
        </w:trPr>
        <w:tc>
          <w:tcPr>
            <w:tcW w:w="1120" w:type="dxa"/>
            <w:vAlign w:val="bottom"/>
          </w:tcPr>
          <w:p>
            <w:pPr>
              <w:spacing w:after="0"/>
              <w:rPr>
                <w:sz w:val="14"/>
                <w:szCs w:val="14"/>
                <w:color w:val="auto"/>
              </w:rPr>
            </w:pPr>
          </w:p>
        </w:tc>
        <w:tc>
          <w:tcPr>
            <w:tcW w:w="1120" w:type="dxa"/>
            <w:vAlign w:val="bottom"/>
          </w:tcPr>
          <w:p>
            <w:pPr>
              <w:ind w:left="100"/>
              <w:spacing w:after="0"/>
              <w:rPr>
                <w:sz w:val="20"/>
                <w:szCs w:val="20"/>
                <w:color w:val="auto"/>
              </w:rPr>
            </w:pPr>
            <w:r>
              <w:rPr>
                <w:rFonts w:ascii="Arial" w:cs="Arial" w:eastAsia="Arial" w:hAnsi="Arial"/>
                <w:sz w:val="14"/>
                <w:szCs w:val="14"/>
                <w:color w:val="auto"/>
              </w:rPr>
              <w:t>Continental</w:t>
            </w:r>
          </w:p>
        </w:tc>
        <w:tc>
          <w:tcPr>
            <w:tcW w:w="22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1120" w:type="dxa"/>
            <w:vAlign w:val="bottom"/>
          </w:tcPr>
          <w:p>
            <w:pPr>
              <w:spacing w:after="0"/>
              <w:rPr>
                <w:sz w:val="12"/>
                <w:szCs w:val="12"/>
                <w:color w:val="auto"/>
              </w:rPr>
            </w:pPr>
          </w:p>
        </w:tc>
        <w:tc>
          <w:tcPr>
            <w:tcW w:w="1120" w:type="dxa"/>
            <w:vAlign w:val="bottom"/>
          </w:tcPr>
          <w:p>
            <w:pPr>
              <w:ind w:left="100"/>
              <w:spacing w:after="0" w:line="149" w:lineRule="exact"/>
              <w:rPr>
                <w:sz w:val="20"/>
                <w:szCs w:val="20"/>
                <w:color w:val="auto"/>
              </w:rPr>
            </w:pPr>
            <w:r>
              <w:rPr>
                <w:rFonts w:ascii="Arial" w:cs="Arial" w:eastAsia="Arial" w:hAnsi="Arial"/>
                <w:sz w:val="14"/>
                <w:szCs w:val="14"/>
                <w:color w:val="auto"/>
              </w:rPr>
              <w:t>Exchange</w:t>
            </w:r>
          </w:p>
        </w:tc>
        <w:tc>
          <w:tcPr>
            <w:tcW w:w="22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760" w:type="dxa"/>
            <w:vAlign w:val="bottom"/>
          </w:tcPr>
          <w:p>
            <w:pPr>
              <w:jc w:val="right"/>
              <w:ind w:right="68"/>
              <w:spacing w:after="0" w:line="149" w:lineRule="exact"/>
              <w:rPr>
                <w:sz w:val="20"/>
                <w:szCs w:val="20"/>
                <w:color w:val="auto"/>
              </w:rPr>
            </w:pPr>
            <w:r>
              <w:rPr>
                <w:rFonts w:ascii="Arial" w:cs="Arial" w:eastAsia="Arial" w:hAnsi="Arial"/>
                <w:sz w:val="14"/>
                <w:szCs w:val="14"/>
                <w:color w:val="auto"/>
              </w:rPr>
              <w:t>USD</w:t>
            </w:r>
          </w:p>
        </w:tc>
        <w:tc>
          <w:tcPr>
            <w:tcW w:w="1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1120" w:type="dxa"/>
            <w:vAlign w:val="bottom"/>
          </w:tcPr>
          <w:p>
            <w:pPr>
              <w:ind w:left="40"/>
              <w:spacing w:after="0"/>
              <w:rPr>
                <w:sz w:val="20"/>
                <w:szCs w:val="20"/>
                <w:color w:val="auto"/>
              </w:rPr>
            </w:pPr>
            <w:r>
              <w:rPr>
                <w:rFonts w:ascii="Arial" w:cs="Arial" w:eastAsia="Arial" w:hAnsi="Arial"/>
                <w:sz w:val="14"/>
                <w:szCs w:val="14"/>
                <w:color w:val="auto"/>
              </w:rPr>
              <w:t>Bank of America</w:t>
            </w:r>
          </w:p>
        </w:tc>
        <w:tc>
          <w:tcPr>
            <w:tcW w:w="1120" w:type="dxa"/>
            <w:vAlign w:val="bottom"/>
          </w:tcPr>
          <w:p>
            <w:pPr>
              <w:ind w:left="100"/>
              <w:spacing w:after="0"/>
              <w:rPr>
                <w:sz w:val="20"/>
                <w:szCs w:val="20"/>
                <w:color w:val="auto"/>
              </w:rPr>
            </w:pPr>
            <w:r>
              <w:rPr>
                <w:rFonts w:ascii="Arial" w:cs="Arial" w:eastAsia="Arial" w:hAnsi="Arial"/>
                <w:sz w:val="14"/>
                <w:szCs w:val="14"/>
                <w:color w:val="auto"/>
              </w:rPr>
              <w:t>Solutions, Inc.</w:t>
            </w:r>
          </w:p>
        </w:tc>
        <w:tc>
          <w:tcPr>
            <w:tcW w:w="2220" w:type="dxa"/>
            <w:vAlign w:val="bottom"/>
          </w:tcPr>
          <w:p>
            <w:pPr>
              <w:ind w:left="180"/>
              <w:spacing w:after="0"/>
              <w:rPr>
                <w:sz w:val="20"/>
                <w:szCs w:val="20"/>
                <w:color w:val="auto"/>
              </w:rPr>
            </w:pPr>
            <w:r>
              <w:rPr>
                <w:rFonts w:ascii="Arial" w:cs="Arial" w:eastAsia="Arial" w:hAnsi="Arial"/>
                <w:sz w:val="14"/>
                <w:szCs w:val="14"/>
                <w:color w:val="auto"/>
              </w:rPr>
              <w:t>Standard Chartered Bank</w:t>
            </w:r>
          </w:p>
        </w:tc>
        <w:tc>
          <w:tcPr>
            <w:tcW w:w="900" w:type="dxa"/>
            <w:vAlign w:val="bottom"/>
          </w:tcPr>
          <w:p>
            <w:pPr>
              <w:jc w:val="right"/>
              <w:ind w:right="408"/>
              <w:spacing w:after="0"/>
              <w:rPr>
                <w:sz w:val="20"/>
                <w:szCs w:val="20"/>
                <w:color w:val="auto"/>
              </w:rPr>
            </w:pPr>
            <w:r>
              <w:rPr>
                <w:rFonts w:ascii="Arial" w:cs="Arial" w:eastAsia="Arial" w:hAnsi="Arial"/>
                <w:sz w:val="14"/>
                <w:szCs w:val="14"/>
                <w:color w:val="auto"/>
              </w:rPr>
              <w:t>0</w:t>
            </w:r>
          </w:p>
        </w:tc>
        <w:tc>
          <w:tcPr>
            <w:tcW w:w="1100" w:type="dxa"/>
            <w:vAlign w:val="bottom"/>
          </w:tcPr>
          <w:p>
            <w:pPr>
              <w:jc w:val="right"/>
              <w:ind w:right="488"/>
              <w:spacing w:after="0"/>
              <w:rPr>
                <w:sz w:val="20"/>
                <w:szCs w:val="20"/>
                <w:color w:val="auto"/>
              </w:rPr>
            </w:pPr>
            <w:r>
              <w:rPr>
                <w:rFonts w:ascii="Arial" w:cs="Arial" w:eastAsia="Arial" w:hAnsi="Arial"/>
                <w:sz w:val="14"/>
                <w:szCs w:val="14"/>
                <w:color w:val="auto"/>
              </w:rPr>
              <w:t>0</w:t>
            </w:r>
          </w:p>
        </w:tc>
        <w:tc>
          <w:tcPr>
            <w:tcW w:w="960" w:type="dxa"/>
            <w:vAlign w:val="bottom"/>
          </w:tcPr>
          <w:p>
            <w:pPr>
              <w:jc w:val="right"/>
              <w:ind w:right="248"/>
              <w:spacing w:after="0"/>
              <w:rPr>
                <w:sz w:val="20"/>
                <w:szCs w:val="20"/>
                <w:color w:val="auto"/>
              </w:rPr>
            </w:pPr>
            <w:r>
              <w:rPr>
                <w:rFonts w:ascii="Arial" w:cs="Arial" w:eastAsia="Arial" w:hAnsi="Arial"/>
                <w:sz w:val="14"/>
                <w:szCs w:val="14"/>
                <w:color w:val="auto"/>
              </w:rPr>
              <w:t>0</w:t>
            </w:r>
          </w:p>
        </w:tc>
        <w:tc>
          <w:tcPr>
            <w:tcW w:w="980" w:type="dxa"/>
            <w:vAlign w:val="bottom"/>
          </w:tcPr>
          <w:p>
            <w:pPr>
              <w:jc w:val="center"/>
              <w:ind w:left="208"/>
              <w:spacing w:after="0"/>
              <w:rPr>
                <w:sz w:val="20"/>
                <w:szCs w:val="20"/>
                <w:color w:val="auto"/>
              </w:rPr>
            </w:pPr>
            <w:r>
              <w:rPr>
                <w:rFonts w:ascii="Arial" w:cs="Arial" w:eastAsia="Arial" w:hAnsi="Arial"/>
                <w:sz w:val="14"/>
                <w:szCs w:val="14"/>
                <w:color w:val="auto"/>
                <w:w w:val="91"/>
              </w:rPr>
              <w:t>3104160</w:t>
            </w:r>
          </w:p>
        </w:tc>
        <w:tc>
          <w:tcPr>
            <w:tcW w:w="620" w:type="dxa"/>
            <w:vAlign w:val="bottom"/>
          </w:tcPr>
          <w:p>
            <w:pPr>
              <w:jc w:val="right"/>
              <w:spacing w:after="0"/>
              <w:rPr>
                <w:sz w:val="20"/>
                <w:szCs w:val="20"/>
                <w:color w:val="auto"/>
              </w:rPr>
            </w:pPr>
            <w:r>
              <w:rPr>
                <w:rFonts w:ascii="Arial" w:cs="Arial" w:eastAsia="Arial" w:hAnsi="Arial"/>
                <w:sz w:val="14"/>
                <w:szCs w:val="14"/>
                <w:color w:val="auto"/>
                <w:w w:val="99"/>
              </w:rPr>
              <w:t>12/09/14</w:t>
            </w:r>
          </w:p>
        </w:tc>
        <w:tc>
          <w:tcPr>
            <w:tcW w:w="760" w:type="dxa"/>
            <w:vAlign w:val="bottom"/>
          </w:tcPr>
          <w:p>
            <w:pPr>
              <w:jc w:val="right"/>
              <w:ind w:right="68"/>
              <w:spacing w:after="0"/>
              <w:rPr>
                <w:sz w:val="20"/>
                <w:szCs w:val="20"/>
                <w:color w:val="auto"/>
              </w:rPr>
            </w:pPr>
            <w:r>
              <w:rPr>
                <w:rFonts w:ascii="Arial" w:cs="Arial" w:eastAsia="Arial" w:hAnsi="Arial"/>
                <w:sz w:val="14"/>
                <w:szCs w:val="14"/>
                <w:color w:val="auto"/>
              </w:rPr>
              <w:t>25,000</w:t>
            </w:r>
          </w:p>
        </w:tc>
        <w:tc>
          <w:tcPr>
            <w:tcW w:w="1280" w:type="dxa"/>
            <w:vAlign w:val="bottom"/>
          </w:tcPr>
          <w:p>
            <w:pPr>
              <w:jc w:val="right"/>
              <w:spacing w:after="0"/>
              <w:rPr>
                <w:sz w:val="20"/>
                <w:szCs w:val="20"/>
                <w:color w:val="auto"/>
              </w:rPr>
            </w:pPr>
            <w:r>
              <w:rPr>
                <w:rFonts w:ascii="Arial" w:cs="Arial" w:eastAsia="Arial" w:hAnsi="Arial"/>
                <w:sz w:val="14"/>
                <w:szCs w:val="14"/>
                <w:color w:val="auto"/>
              </w:rPr>
              <w:t>25,000</w:t>
            </w:r>
          </w:p>
        </w:tc>
        <w:tc>
          <w:tcPr>
            <w:tcW w:w="0" w:type="dxa"/>
            <w:vAlign w:val="bottom"/>
          </w:tcPr>
          <w:p>
            <w:pPr>
              <w:spacing w:after="0"/>
              <w:rPr>
                <w:sz w:val="1"/>
                <w:szCs w:val="1"/>
                <w:color w:val="auto"/>
              </w:rPr>
            </w:pPr>
          </w:p>
        </w:tc>
      </w:tr>
      <w:tr>
        <w:trPr>
          <w:trHeight w:val="169"/>
        </w:trPr>
        <w:tc>
          <w:tcPr>
            <w:tcW w:w="1120" w:type="dxa"/>
            <w:vAlign w:val="bottom"/>
          </w:tcPr>
          <w:p>
            <w:pPr>
              <w:spacing w:after="0"/>
              <w:rPr>
                <w:sz w:val="14"/>
                <w:szCs w:val="14"/>
                <w:color w:val="auto"/>
              </w:rPr>
            </w:pPr>
          </w:p>
        </w:tc>
        <w:tc>
          <w:tcPr>
            <w:tcW w:w="1120" w:type="dxa"/>
            <w:vAlign w:val="bottom"/>
          </w:tcPr>
          <w:p>
            <w:pPr>
              <w:ind w:left="100"/>
              <w:spacing w:after="0"/>
              <w:rPr>
                <w:sz w:val="20"/>
                <w:szCs w:val="20"/>
                <w:color w:val="auto"/>
              </w:rPr>
            </w:pPr>
            <w:r>
              <w:rPr>
                <w:rFonts w:ascii="Arial" w:cs="Arial" w:eastAsia="Arial" w:hAnsi="Arial"/>
                <w:sz w:val="14"/>
                <w:szCs w:val="14"/>
                <w:color w:val="auto"/>
              </w:rPr>
              <w:t>Continental</w:t>
            </w:r>
          </w:p>
        </w:tc>
        <w:tc>
          <w:tcPr>
            <w:tcW w:w="22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1120" w:type="dxa"/>
            <w:vAlign w:val="bottom"/>
          </w:tcPr>
          <w:p>
            <w:pPr>
              <w:spacing w:after="0"/>
              <w:rPr>
                <w:sz w:val="12"/>
                <w:szCs w:val="12"/>
                <w:color w:val="auto"/>
              </w:rPr>
            </w:pPr>
          </w:p>
        </w:tc>
        <w:tc>
          <w:tcPr>
            <w:tcW w:w="1120" w:type="dxa"/>
            <w:vAlign w:val="bottom"/>
          </w:tcPr>
          <w:p>
            <w:pPr>
              <w:ind w:left="100"/>
              <w:spacing w:after="0" w:line="149" w:lineRule="exact"/>
              <w:rPr>
                <w:sz w:val="20"/>
                <w:szCs w:val="20"/>
                <w:color w:val="auto"/>
              </w:rPr>
            </w:pPr>
            <w:r>
              <w:rPr>
                <w:rFonts w:ascii="Arial" w:cs="Arial" w:eastAsia="Arial" w:hAnsi="Arial"/>
                <w:sz w:val="14"/>
                <w:szCs w:val="14"/>
                <w:color w:val="auto"/>
              </w:rPr>
              <w:t>Exchange</w:t>
            </w:r>
          </w:p>
        </w:tc>
        <w:tc>
          <w:tcPr>
            <w:tcW w:w="22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760" w:type="dxa"/>
            <w:vAlign w:val="bottom"/>
          </w:tcPr>
          <w:p>
            <w:pPr>
              <w:jc w:val="right"/>
              <w:ind w:right="68"/>
              <w:spacing w:after="0" w:line="149" w:lineRule="exact"/>
              <w:rPr>
                <w:sz w:val="20"/>
                <w:szCs w:val="20"/>
                <w:color w:val="auto"/>
              </w:rPr>
            </w:pPr>
            <w:r>
              <w:rPr>
                <w:rFonts w:ascii="Arial" w:cs="Arial" w:eastAsia="Arial" w:hAnsi="Arial"/>
                <w:sz w:val="14"/>
                <w:szCs w:val="14"/>
                <w:color w:val="auto"/>
              </w:rPr>
              <w:t>USD</w:t>
            </w:r>
          </w:p>
        </w:tc>
        <w:tc>
          <w:tcPr>
            <w:tcW w:w="1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1120" w:type="dxa"/>
            <w:vAlign w:val="bottom"/>
          </w:tcPr>
          <w:p>
            <w:pPr>
              <w:ind w:left="40"/>
              <w:spacing w:after="0"/>
              <w:rPr>
                <w:sz w:val="20"/>
                <w:szCs w:val="20"/>
                <w:color w:val="auto"/>
              </w:rPr>
            </w:pPr>
            <w:r>
              <w:rPr>
                <w:rFonts w:ascii="Arial" w:cs="Arial" w:eastAsia="Arial" w:hAnsi="Arial"/>
                <w:sz w:val="14"/>
                <w:szCs w:val="14"/>
                <w:color w:val="auto"/>
              </w:rPr>
              <w:t>Bank of America</w:t>
            </w:r>
          </w:p>
        </w:tc>
        <w:tc>
          <w:tcPr>
            <w:tcW w:w="1120" w:type="dxa"/>
            <w:vAlign w:val="bottom"/>
          </w:tcPr>
          <w:p>
            <w:pPr>
              <w:ind w:left="100"/>
              <w:spacing w:after="0"/>
              <w:rPr>
                <w:sz w:val="20"/>
                <w:szCs w:val="20"/>
                <w:color w:val="auto"/>
              </w:rPr>
            </w:pPr>
            <w:r>
              <w:rPr>
                <w:rFonts w:ascii="Arial" w:cs="Arial" w:eastAsia="Arial" w:hAnsi="Arial"/>
                <w:sz w:val="14"/>
                <w:szCs w:val="14"/>
                <w:color w:val="auto"/>
              </w:rPr>
              <w:t>Solutions, Inc.</w:t>
            </w:r>
          </w:p>
        </w:tc>
        <w:tc>
          <w:tcPr>
            <w:tcW w:w="2220" w:type="dxa"/>
            <w:vAlign w:val="bottom"/>
          </w:tcPr>
          <w:p>
            <w:pPr>
              <w:ind w:left="180"/>
              <w:spacing w:after="0"/>
              <w:rPr>
                <w:sz w:val="20"/>
                <w:szCs w:val="20"/>
                <w:color w:val="auto"/>
              </w:rPr>
            </w:pPr>
            <w:r>
              <w:rPr>
                <w:rFonts w:ascii="Arial" w:cs="Arial" w:eastAsia="Arial" w:hAnsi="Arial"/>
                <w:sz w:val="14"/>
                <w:szCs w:val="14"/>
                <w:color w:val="auto"/>
              </w:rPr>
              <w:t>Nations Trust Bank PLC</w:t>
            </w:r>
          </w:p>
        </w:tc>
        <w:tc>
          <w:tcPr>
            <w:tcW w:w="900" w:type="dxa"/>
            <w:vAlign w:val="bottom"/>
          </w:tcPr>
          <w:p>
            <w:pPr>
              <w:jc w:val="right"/>
              <w:ind w:right="408"/>
              <w:spacing w:after="0"/>
              <w:rPr>
                <w:sz w:val="20"/>
                <w:szCs w:val="20"/>
                <w:color w:val="auto"/>
              </w:rPr>
            </w:pPr>
            <w:r>
              <w:rPr>
                <w:rFonts w:ascii="Arial" w:cs="Arial" w:eastAsia="Arial" w:hAnsi="Arial"/>
                <w:sz w:val="14"/>
                <w:szCs w:val="14"/>
                <w:color w:val="auto"/>
              </w:rPr>
              <w:t>0</w:t>
            </w:r>
          </w:p>
        </w:tc>
        <w:tc>
          <w:tcPr>
            <w:tcW w:w="1100" w:type="dxa"/>
            <w:vAlign w:val="bottom"/>
          </w:tcPr>
          <w:p>
            <w:pPr>
              <w:jc w:val="right"/>
              <w:ind w:right="488"/>
              <w:spacing w:after="0"/>
              <w:rPr>
                <w:sz w:val="20"/>
                <w:szCs w:val="20"/>
                <w:color w:val="auto"/>
              </w:rPr>
            </w:pPr>
            <w:r>
              <w:rPr>
                <w:rFonts w:ascii="Arial" w:cs="Arial" w:eastAsia="Arial" w:hAnsi="Arial"/>
                <w:sz w:val="14"/>
                <w:szCs w:val="14"/>
                <w:color w:val="auto"/>
              </w:rPr>
              <w:t>0</w:t>
            </w:r>
          </w:p>
        </w:tc>
        <w:tc>
          <w:tcPr>
            <w:tcW w:w="960" w:type="dxa"/>
            <w:vAlign w:val="bottom"/>
          </w:tcPr>
          <w:p>
            <w:pPr>
              <w:jc w:val="right"/>
              <w:ind w:right="248"/>
              <w:spacing w:after="0"/>
              <w:rPr>
                <w:sz w:val="20"/>
                <w:szCs w:val="20"/>
                <w:color w:val="auto"/>
              </w:rPr>
            </w:pPr>
            <w:r>
              <w:rPr>
                <w:rFonts w:ascii="Arial" w:cs="Arial" w:eastAsia="Arial" w:hAnsi="Arial"/>
                <w:sz w:val="14"/>
                <w:szCs w:val="14"/>
                <w:color w:val="auto"/>
              </w:rPr>
              <w:t>0</w:t>
            </w:r>
          </w:p>
        </w:tc>
        <w:tc>
          <w:tcPr>
            <w:tcW w:w="980" w:type="dxa"/>
            <w:vAlign w:val="bottom"/>
          </w:tcPr>
          <w:p>
            <w:pPr>
              <w:jc w:val="center"/>
              <w:ind w:left="208"/>
              <w:spacing w:after="0"/>
              <w:rPr>
                <w:sz w:val="20"/>
                <w:szCs w:val="20"/>
                <w:color w:val="auto"/>
              </w:rPr>
            </w:pPr>
            <w:r>
              <w:rPr>
                <w:rFonts w:ascii="Arial" w:cs="Arial" w:eastAsia="Arial" w:hAnsi="Arial"/>
                <w:sz w:val="14"/>
                <w:szCs w:val="14"/>
                <w:color w:val="auto"/>
                <w:w w:val="91"/>
              </w:rPr>
              <w:t>3104151</w:t>
            </w:r>
          </w:p>
        </w:tc>
        <w:tc>
          <w:tcPr>
            <w:tcW w:w="620" w:type="dxa"/>
            <w:vAlign w:val="bottom"/>
          </w:tcPr>
          <w:p>
            <w:pPr>
              <w:jc w:val="right"/>
              <w:spacing w:after="0"/>
              <w:rPr>
                <w:sz w:val="20"/>
                <w:szCs w:val="20"/>
                <w:color w:val="auto"/>
              </w:rPr>
            </w:pPr>
            <w:r>
              <w:rPr>
                <w:rFonts w:ascii="Arial" w:cs="Arial" w:eastAsia="Arial" w:hAnsi="Arial"/>
                <w:sz w:val="14"/>
                <w:szCs w:val="14"/>
                <w:color w:val="auto"/>
                <w:w w:val="99"/>
              </w:rPr>
              <w:t>03/08/14</w:t>
            </w:r>
          </w:p>
        </w:tc>
        <w:tc>
          <w:tcPr>
            <w:tcW w:w="760" w:type="dxa"/>
            <w:vAlign w:val="bottom"/>
          </w:tcPr>
          <w:p>
            <w:pPr>
              <w:jc w:val="right"/>
              <w:ind w:right="68"/>
              <w:spacing w:after="0"/>
              <w:rPr>
                <w:sz w:val="20"/>
                <w:szCs w:val="20"/>
                <w:color w:val="auto"/>
              </w:rPr>
            </w:pPr>
            <w:r>
              <w:rPr>
                <w:rFonts w:ascii="Arial" w:cs="Arial" w:eastAsia="Arial" w:hAnsi="Arial"/>
                <w:sz w:val="14"/>
                <w:szCs w:val="14"/>
                <w:color w:val="auto"/>
              </w:rPr>
              <w:t>10,000</w:t>
            </w:r>
          </w:p>
        </w:tc>
        <w:tc>
          <w:tcPr>
            <w:tcW w:w="1280" w:type="dxa"/>
            <w:vAlign w:val="bottom"/>
          </w:tcPr>
          <w:p>
            <w:pPr>
              <w:jc w:val="right"/>
              <w:spacing w:after="0"/>
              <w:rPr>
                <w:sz w:val="20"/>
                <w:szCs w:val="20"/>
                <w:color w:val="auto"/>
              </w:rPr>
            </w:pPr>
            <w:r>
              <w:rPr>
                <w:rFonts w:ascii="Arial" w:cs="Arial" w:eastAsia="Arial" w:hAnsi="Arial"/>
                <w:sz w:val="14"/>
                <w:szCs w:val="14"/>
                <w:color w:val="auto"/>
              </w:rPr>
              <w:t>10,000</w:t>
            </w:r>
          </w:p>
        </w:tc>
        <w:tc>
          <w:tcPr>
            <w:tcW w:w="0" w:type="dxa"/>
            <w:vAlign w:val="bottom"/>
          </w:tcPr>
          <w:p>
            <w:pPr>
              <w:spacing w:after="0"/>
              <w:rPr>
                <w:sz w:val="1"/>
                <w:szCs w:val="1"/>
                <w:color w:val="auto"/>
              </w:rPr>
            </w:pPr>
          </w:p>
        </w:tc>
      </w:tr>
      <w:tr>
        <w:trPr>
          <w:trHeight w:val="169"/>
        </w:trPr>
        <w:tc>
          <w:tcPr>
            <w:tcW w:w="1120" w:type="dxa"/>
            <w:vAlign w:val="bottom"/>
          </w:tcPr>
          <w:p>
            <w:pPr>
              <w:spacing w:after="0"/>
              <w:rPr>
                <w:sz w:val="14"/>
                <w:szCs w:val="14"/>
                <w:color w:val="auto"/>
              </w:rPr>
            </w:pPr>
          </w:p>
        </w:tc>
        <w:tc>
          <w:tcPr>
            <w:tcW w:w="1120" w:type="dxa"/>
            <w:vAlign w:val="bottom"/>
          </w:tcPr>
          <w:p>
            <w:pPr>
              <w:ind w:left="100"/>
              <w:spacing w:after="0"/>
              <w:rPr>
                <w:sz w:val="20"/>
                <w:szCs w:val="20"/>
                <w:color w:val="auto"/>
              </w:rPr>
            </w:pPr>
            <w:r>
              <w:rPr>
                <w:rFonts w:ascii="Arial" w:cs="Arial" w:eastAsia="Arial" w:hAnsi="Arial"/>
                <w:sz w:val="14"/>
                <w:szCs w:val="14"/>
                <w:color w:val="auto"/>
              </w:rPr>
              <w:t>Continental</w:t>
            </w:r>
          </w:p>
        </w:tc>
        <w:tc>
          <w:tcPr>
            <w:tcW w:w="22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1120" w:type="dxa"/>
            <w:vAlign w:val="bottom"/>
          </w:tcPr>
          <w:p>
            <w:pPr>
              <w:spacing w:after="0"/>
              <w:rPr>
                <w:sz w:val="12"/>
                <w:szCs w:val="12"/>
                <w:color w:val="auto"/>
              </w:rPr>
            </w:pPr>
          </w:p>
        </w:tc>
        <w:tc>
          <w:tcPr>
            <w:tcW w:w="1120" w:type="dxa"/>
            <w:vAlign w:val="bottom"/>
          </w:tcPr>
          <w:p>
            <w:pPr>
              <w:ind w:left="100"/>
              <w:spacing w:after="0" w:line="149" w:lineRule="exact"/>
              <w:rPr>
                <w:sz w:val="20"/>
                <w:szCs w:val="20"/>
                <w:color w:val="auto"/>
              </w:rPr>
            </w:pPr>
            <w:r>
              <w:rPr>
                <w:rFonts w:ascii="Arial" w:cs="Arial" w:eastAsia="Arial" w:hAnsi="Arial"/>
                <w:sz w:val="14"/>
                <w:szCs w:val="14"/>
                <w:color w:val="auto"/>
              </w:rPr>
              <w:t>Exchange</w:t>
            </w:r>
          </w:p>
        </w:tc>
        <w:tc>
          <w:tcPr>
            <w:tcW w:w="22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760" w:type="dxa"/>
            <w:vAlign w:val="bottom"/>
          </w:tcPr>
          <w:p>
            <w:pPr>
              <w:jc w:val="right"/>
              <w:ind w:right="68"/>
              <w:spacing w:after="0" w:line="149" w:lineRule="exact"/>
              <w:rPr>
                <w:sz w:val="20"/>
                <w:szCs w:val="20"/>
                <w:color w:val="auto"/>
              </w:rPr>
            </w:pPr>
            <w:r>
              <w:rPr>
                <w:rFonts w:ascii="Arial" w:cs="Arial" w:eastAsia="Arial" w:hAnsi="Arial"/>
                <w:sz w:val="14"/>
                <w:szCs w:val="14"/>
                <w:color w:val="auto"/>
              </w:rPr>
              <w:t>USD</w:t>
            </w:r>
          </w:p>
        </w:tc>
        <w:tc>
          <w:tcPr>
            <w:tcW w:w="1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1120" w:type="dxa"/>
            <w:vAlign w:val="bottom"/>
          </w:tcPr>
          <w:p>
            <w:pPr>
              <w:ind w:left="40"/>
              <w:spacing w:after="0"/>
              <w:rPr>
                <w:sz w:val="20"/>
                <w:szCs w:val="20"/>
                <w:color w:val="auto"/>
              </w:rPr>
            </w:pPr>
            <w:r>
              <w:rPr>
                <w:rFonts w:ascii="Arial" w:cs="Arial" w:eastAsia="Arial" w:hAnsi="Arial"/>
                <w:sz w:val="14"/>
                <w:szCs w:val="14"/>
                <w:color w:val="auto"/>
              </w:rPr>
              <w:t>Bank of America</w:t>
            </w:r>
          </w:p>
        </w:tc>
        <w:tc>
          <w:tcPr>
            <w:tcW w:w="1120" w:type="dxa"/>
            <w:vAlign w:val="bottom"/>
          </w:tcPr>
          <w:p>
            <w:pPr>
              <w:ind w:left="100"/>
              <w:spacing w:after="0"/>
              <w:rPr>
                <w:sz w:val="20"/>
                <w:szCs w:val="20"/>
                <w:color w:val="auto"/>
              </w:rPr>
            </w:pPr>
            <w:r>
              <w:rPr>
                <w:rFonts w:ascii="Arial" w:cs="Arial" w:eastAsia="Arial" w:hAnsi="Arial"/>
                <w:sz w:val="14"/>
                <w:szCs w:val="14"/>
                <w:color w:val="auto"/>
              </w:rPr>
              <w:t>Solutions, Inc.</w:t>
            </w:r>
          </w:p>
        </w:tc>
        <w:tc>
          <w:tcPr>
            <w:tcW w:w="2220" w:type="dxa"/>
            <w:vAlign w:val="bottom"/>
          </w:tcPr>
          <w:p>
            <w:pPr>
              <w:ind w:left="180"/>
              <w:spacing w:after="0"/>
              <w:rPr>
                <w:sz w:val="20"/>
                <w:szCs w:val="20"/>
                <w:color w:val="auto"/>
              </w:rPr>
            </w:pPr>
            <w:r>
              <w:rPr>
                <w:rFonts w:ascii="Arial" w:cs="Arial" w:eastAsia="Arial" w:hAnsi="Arial"/>
                <w:sz w:val="14"/>
                <w:szCs w:val="14"/>
                <w:color w:val="auto"/>
              </w:rPr>
              <w:t>Janata Bank</w:t>
            </w:r>
          </w:p>
        </w:tc>
        <w:tc>
          <w:tcPr>
            <w:tcW w:w="900" w:type="dxa"/>
            <w:vAlign w:val="bottom"/>
          </w:tcPr>
          <w:p>
            <w:pPr>
              <w:jc w:val="right"/>
              <w:ind w:right="408"/>
              <w:spacing w:after="0"/>
              <w:rPr>
                <w:sz w:val="20"/>
                <w:szCs w:val="20"/>
                <w:color w:val="auto"/>
              </w:rPr>
            </w:pPr>
            <w:r>
              <w:rPr>
                <w:rFonts w:ascii="Arial" w:cs="Arial" w:eastAsia="Arial" w:hAnsi="Arial"/>
                <w:sz w:val="14"/>
                <w:szCs w:val="14"/>
                <w:color w:val="auto"/>
              </w:rPr>
              <w:t>0</w:t>
            </w:r>
          </w:p>
        </w:tc>
        <w:tc>
          <w:tcPr>
            <w:tcW w:w="1100" w:type="dxa"/>
            <w:vAlign w:val="bottom"/>
          </w:tcPr>
          <w:p>
            <w:pPr>
              <w:jc w:val="right"/>
              <w:ind w:right="488"/>
              <w:spacing w:after="0"/>
              <w:rPr>
                <w:sz w:val="20"/>
                <w:szCs w:val="20"/>
                <w:color w:val="auto"/>
              </w:rPr>
            </w:pPr>
            <w:r>
              <w:rPr>
                <w:rFonts w:ascii="Arial" w:cs="Arial" w:eastAsia="Arial" w:hAnsi="Arial"/>
                <w:sz w:val="14"/>
                <w:szCs w:val="14"/>
                <w:color w:val="auto"/>
              </w:rPr>
              <w:t>0</w:t>
            </w:r>
          </w:p>
        </w:tc>
        <w:tc>
          <w:tcPr>
            <w:tcW w:w="960" w:type="dxa"/>
            <w:vAlign w:val="bottom"/>
          </w:tcPr>
          <w:p>
            <w:pPr>
              <w:jc w:val="right"/>
              <w:ind w:right="248"/>
              <w:spacing w:after="0"/>
              <w:rPr>
                <w:sz w:val="20"/>
                <w:szCs w:val="20"/>
                <w:color w:val="auto"/>
              </w:rPr>
            </w:pPr>
            <w:r>
              <w:rPr>
                <w:rFonts w:ascii="Arial" w:cs="Arial" w:eastAsia="Arial" w:hAnsi="Arial"/>
                <w:sz w:val="14"/>
                <w:szCs w:val="14"/>
                <w:color w:val="auto"/>
              </w:rPr>
              <w:t>0</w:t>
            </w:r>
          </w:p>
        </w:tc>
        <w:tc>
          <w:tcPr>
            <w:tcW w:w="980" w:type="dxa"/>
            <w:vAlign w:val="bottom"/>
          </w:tcPr>
          <w:p>
            <w:pPr>
              <w:jc w:val="center"/>
              <w:ind w:left="208"/>
              <w:spacing w:after="0"/>
              <w:rPr>
                <w:sz w:val="20"/>
                <w:szCs w:val="20"/>
                <w:color w:val="auto"/>
              </w:rPr>
            </w:pPr>
            <w:r>
              <w:rPr>
                <w:rFonts w:ascii="Arial" w:cs="Arial" w:eastAsia="Arial" w:hAnsi="Arial"/>
                <w:sz w:val="14"/>
                <w:szCs w:val="14"/>
                <w:color w:val="auto"/>
                <w:w w:val="91"/>
              </w:rPr>
              <w:t>3104152</w:t>
            </w:r>
          </w:p>
        </w:tc>
        <w:tc>
          <w:tcPr>
            <w:tcW w:w="620" w:type="dxa"/>
            <w:vAlign w:val="bottom"/>
          </w:tcPr>
          <w:p>
            <w:pPr>
              <w:jc w:val="right"/>
              <w:spacing w:after="0"/>
              <w:rPr>
                <w:sz w:val="20"/>
                <w:szCs w:val="20"/>
                <w:color w:val="auto"/>
              </w:rPr>
            </w:pPr>
            <w:r>
              <w:rPr>
                <w:rFonts w:ascii="Arial" w:cs="Arial" w:eastAsia="Arial" w:hAnsi="Arial"/>
                <w:sz w:val="14"/>
                <w:szCs w:val="14"/>
                <w:color w:val="auto"/>
                <w:w w:val="99"/>
              </w:rPr>
              <w:t>03/19/15</w:t>
            </w:r>
          </w:p>
        </w:tc>
        <w:tc>
          <w:tcPr>
            <w:tcW w:w="760" w:type="dxa"/>
            <w:vAlign w:val="bottom"/>
          </w:tcPr>
          <w:p>
            <w:pPr>
              <w:jc w:val="right"/>
              <w:ind w:right="68"/>
              <w:spacing w:after="0"/>
              <w:rPr>
                <w:sz w:val="20"/>
                <w:szCs w:val="20"/>
                <w:color w:val="auto"/>
              </w:rPr>
            </w:pPr>
            <w:r>
              <w:rPr>
                <w:rFonts w:ascii="Arial" w:cs="Arial" w:eastAsia="Arial" w:hAnsi="Arial"/>
                <w:sz w:val="14"/>
                <w:szCs w:val="14"/>
                <w:color w:val="auto"/>
              </w:rPr>
              <w:t>25,000</w:t>
            </w:r>
          </w:p>
        </w:tc>
        <w:tc>
          <w:tcPr>
            <w:tcW w:w="1280" w:type="dxa"/>
            <w:vAlign w:val="bottom"/>
          </w:tcPr>
          <w:p>
            <w:pPr>
              <w:jc w:val="right"/>
              <w:spacing w:after="0"/>
              <w:rPr>
                <w:sz w:val="20"/>
                <w:szCs w:val="20"/>
                <w:color w:val="auto"/>
              </w:rPr>
            </w:pPr>
            <w:r>
              <w:rPr>
                <w:rFonts w:ascii="Arial" w:cs="Arial" w:eastAsia="Arial" w:hAnsi="Arial"/>
                <w:sz w:val="14"/>
                <w:szCs w:val="14"/>
                <w:color w:val="auto"/>
              </w:rPr>
              <w:t>25,000</w:t>
            </w:r>
          </w:p>
        </w:tc>
        <w:tc>
          <w:tcPr>
            <w:tcW w:w="0" w:type="dxa"/>
            <w:vAlign w:val="bottom"/>
          </w:tcPr>
          <w:p>
            <w:pPr>
              <w:spacing w:after="0"/>
              <w:rPr>
                <w:sz w:val="1"/>
                <w:szCs w:val="1"/>
                <w:color w:val="auto"/>
              </w:rPr>
            </w:pPr>
          </w:p>
        </w:tc>
      </w:tr>
      <w:tr>
        <w:trPr>
          <w:trHeight w:val="169"/>
        </w:trPr>
        <w:tc>
          <w:tcPr>
            <w:tcW w:w="1120" w:type="dxa"/>
            <w:vAlign w:val="bottom"/>
          </w:tcPr>
          <w:p>
            <w:pPr>
              <w:spacing w:after="0"/>
              <w:rPr>
                <w:sz w:val="14"/>
                <w:szCs w:val="14"/>
                <w:color w:val="auto"/>
              </w:rPr>
            </w:pPr>
          </w:p>
        </w:tc>
        <w:tc>
          <w:tcPr>
            <w:tcW w:w="1120" w:type="dxa"/>
            <w:vAlign w:val="bottom"/>
          </w:tcPr>
          <w:p>
            <w:pPr>
              <w:ind w:left="100"/>
              <w:spacing w:after="0"/>
              <w:rPr>
                <w:sz w:val="20"/>
                <w:szCs w:val="20"/>
                <w:color w:val="auto"/>
              </w:rPr>
            </w:pPr>
            <w:r>
              <w:rPr>
                <w:rFonts w:ascii="Arial" w:cs="Arial" w:eastAsia="Arial" w:hAnsi="Arial"/>
                <w:sz w:val="14"/>
                <w:szCs w:val="14"/>
                <w:color w:val="auto"/>
              </w:rPr>
              <w:t>Continental</w:t>
            </w:r>
          </w:p>
        </w:tc>
        <w:tc>
          <w:tcPr>
            <w:tcW w:w="22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1120" w:type="dxa"/>
            <w:vAlign w:val="bottom"/>
          </w:tcPr>
          <w:p>
            <w:pPr>
              <w:spacing w:after="0"/>
              <w:rPr>
                <w:sz w:val="12"/>
                <w:szCs w:val="12"/>
                <w:color w:val="auto"/>
              </w:rPr>
            </w:pPr>
          </w:p>
        </w:tc>
        <w:tc>
          <w:tcPr>
            <w:tcW w:w="1120" w:type="dxa"/>
            <w:vAlign w:val="bottom"/>
          </w:tcPr>
          <w:p>
            <w:pPr>
              <w:ind w:left="100"/>
              <w:spacing w:after="0" w:line="149" w:lineRule="exact"/>
              <w:rPr>
                <w:sz w:val="20"/>
                <w:szCs w:val="20"/>
                <w:color w:val="auto"/>
              </w:rPr>
            </w:pPr>
            <w:r>
              <w:rPr>
                <w:rFonts w:ascii="Arial" w:cs="Arial" w:eastAsia="Arial" w:hAnsi="Arial"/>
                <w:sz w:val="14"/>
                <w:szCs w:val="14"/>
                <w:color w:val="auto"/>
              </w:rPr>
              <w:t>Exchange</w:t>
            </w:r>
          </w:p>
        </w:tc>
        <w:tc>
          <w:tcPr>
            <w:tcW w:w="22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760" w:type="dxa"/>
            <w:vAlign w:val="bottom"/>
          </w:tcPr>
          <w:p>
            <w:pPr>
              <w:jc w:val="right"/>
              <w:ind w:right="68"/>
              <w:spacing w:after="0" w:line="149" w:lineRule="exact"/>
              <w:rPr>
                <w:sz w:val="20"/>
                <w:szCs w:val="20"/>
                <w:color w:val="auto"/>
              </w:rPr>
            </w:pPr>
            <w:r>
              <w:rPr>
                <w:rFonts w:ascii="Arial" w:cs="Arial" w:eastAsia="Arial" w:hAnsi="Arial"/>
                <w:sz w:val="14"/>
                <w:szCs w:val="14"/>
                <w:color w:val="auto"/>
              </w:rPr>
              <w:t>USD</w:t>
            </w:r>
          </w:p>
        </w:tc>
        <w:tc>
          <w:tcPr>
            <w:tcW w:w="1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1120" w:type="dxa"/>
            <w:vAlign w:val="bottom"/>
          </w:tcPr>
          <w:p>
            <w:pPr>
              <w:ind w:left="40"/>
              <w:spacing w:after="0"/>
              <w:rPr>
                <w:sz w:val="20"/>
                <w:szCs w:val="20"/>
                <w:color w:val="auto"/>
              </w:rPr>
            </w:pPr>
            <w:r>
              <w:rPr>
                <w:rFonts w:ascii="Arial" w:cs="Arial" w:eastAsia="Arial" w:hAnsi="Arial"/>
                <w:sz w:val="14"/>
                <w:szCs w:val="14"/>
                <w:color w:val="auto"/>
              </w:rPr>
              <w:t>Bank of America</w:t>
            </w:r>
          </w:p>
        </w:tc>
        <w:tc>
          <w:tcPr>
            <w:tcW w:w="1120" w:type="dxa"/>
            <w:vAlign w:val="bottom"/>
          </w:tcPr>
          <w:p>
            <w:pPr>
              <w:ind w:left="100"/>
              <w:spacing w:after="0"/>
              <w:rPr>
                <w:sz w:val="20"/>
                <w:szCs w:val="20"/>
                <w:color w:val="auto"/>
              </w:rPr>
            </w:pPr>
            <w:r>
              <w:rPr>
                <w:rFonts w:ascii="Arial" w:cs="Arial" w:eastAsia="Arial" w:hAnsi="Arial"/>
                <w:sz w:val="14"/>
                <w:szCs w:val="14"/>
                <w:color w:val="auto"/>
              </w:rPr>
              <w:t>Solutions, Inc.</w:t>
            </w:r>
          </w:p>
        </w:tc>
        <w:tc>
          <w:tcPr>
            <w:tcW w:w="2220" w:type="dxa"/>
            <w:vAlign w:val="bottom"/>
          </w:tcPr>
          <w:p>
            <w:pPr>
              <w:ind w:left="180"/>
              <w:spacing w:after="0"/>
              <w:rPr>
                <w:sz w:val="20"/>
                <w:szCs w:val="20"/>
                <w:color w:val="auto"/>
              </w:rPr>
            </w:pPr>
            <w:r>
              <w:rPr>
                <w:rFonts w:ascii="Arial" w:cs="Arial" w:eastAsia="Arial" w:hAnsi="Arial"/>
                <w:sz w:val="14"/>
                <w:szCs w:val="14"/>
                <w:color w:val="auto"/>
              </w:rPr>
              <w:t>Kotak Mahindra Bank</w:t>
            </w:r>
          </w:p>
        </w:tc>
        <w:tc>
          <w:tcPr>
            <w:tcW w:w="900" w:type="dxa"/>
            <w:vAlign w:val="bottom"/>
          </w:tcPr>
          <w:p>
            <w:pPr>
              <w:jc w:val="right"/>
              <w:ind w:right="408"/>
              <w:spacing w:after="0"/>
              <w:rPr>
                <w:sz w:val="20"/>
                <w:szCs w:val="20"/>
                <w:color w:val="auto"/>
              </w:rPr>
            </w:pPr>
            <w:r>
              <w:rPr>
                <w:rFonts w:ascii="Arial" w:cs="Arial" w:eastAsia="Arial" w:hAnsi="Arial"/>
                <w:sz w:val="14"/>
                <w:szCs w:val="14"/>
                <w:color w:val="auto"/>
              </w:rPr>
              <w:t>0</w:t>
            </w:r>
          </w:p>
        </w:tc>
        <w:tc>
          <w:tcPr>
            <w:tcW w:w="1100" w:type="dxa"/>
            <w:vAlign w:val="bottom"/>
          </w:tcPr>
          <w:p>
            <w:pPr>
              <w:jc w:val="right"/>
              <w:ind w:right="488"/>
              <w:spacing w:after="0"/>
              <w:rPr>
                <w:sz w:val="20"/>
                <w:szCs w:val="20"/>
                <w:color w:val="auto"/>
              </w:rPr>
            </w:pPr>
            <w:r>
              <w:rPr>
                <w:rFonts w:ascii="Arial" w:cs="Arial" w:eastAsia="Arial" w:hAnsi="Arial"/>
                <w:sz w:val="14"/>
                <w:szCs w:val="14"/>
                <w:color w:val="auto"/>
              </w:rPr>
              <w:t>0</w:t>
            </w:r>
          </w:p>
        </w:tc>
        <w:tc>
          <w:tcPr>
            <w:tcW w:w="960" w:type="dxa"/>
            <w:vAlign w:val="bottom"/>
          </w:tcPr>
          <w:p>
            <w:pPr>
              <w:jc w:val="right"/>
              <w:ind w:right="248"/>
              <w:spacing w:after="0"/>
              <w:rPr>
                <w:sz w:val="20"/>
                <w:szCs w:val="20"/>
                <w:color w:val="auto"/>
              </w:rPr>
            </w:pPr>
            <w:r>
              <w:rPr>
                <w:rFonts w:ascii="Arial" w:cs="Arial" w:eastAsia="Arial" w:hAnsi="Arial"/>
                <w:sz w:val="14"/>
                <w:szCs w:val="14"/>
                <w:color w:val="auto"/>
              </w:rPr>
              <w:t>0</w:t>
            </w:r>
          </w:p>
        </w:tc>
        <w:tc>
          <w:tcPr>
            <w:tcW w:w="980" w:type="dxa"/>
            <w:vAlign w:val="bottom"/>
          </w:tcPr>
          <w:p>
            <w:pPr>
              <w:jc w:val="center"/>
              <w:ind w:left="208"/>
              <w:spacing w:after="0"/>
              <w:rPr>
                <w:sz w:val="20"/>
                <w:szCs w:val="20"/>
                <w:color w:val="auto"/>
              </w:rPr>
            </w:pPr>
            <w:r>
              <w:rPr>
                <w:rFonts w:ascii="Arial" w:cs="Arial" w:eastAsia="Arial" w:hAnsi="Arial"/>
                <w:sz w:val="14"/>
                <w:szCs w:val="14"/>
                <w:color w:val="auto"/>
                <w:w w:val="91"/>
              </w:rPr>
              <w:t>3120393</w:t>
            </w:r>
          </w:p>
        </w:tc>
        <w:tc>
          <w:tcPr>
            <w:tcW w:w="620" w:type="dxa"/>
            <w:vAlign w:val="bottom"/>
          </w:tcPr>
          <w:p>
            <w:pPr>
              <w:jc w:val="right"/>
              <w:spacing w:after="0"/>
              <w:rPr>
                <w:sz w:val="20"/>
                <w:szCs w:val="20"/>
                <w:color w:val="auto"/>
              </w:rPr>
            </w:pPr>
            <w:r>
              <w:rPr>
                <w:rFonts w:ascii="Arial" w:cs="Arial" w:eastAsia="Arial" w:hAnsi="Arial"/>
                <w:sz w:val="14"/>
                <w:szCs w:val="14"/>
                <w:color w:val="auto"/>
                <w:w w:val="99"/>
              </w:rPr>
              <w:t>09/11/14</w:t>
            </w:r>
          </w:p>
        </w:tc>
        <w:tc>
          <w:tcPr>
            <w:tcW w:w="760" w:type="dxa"/>
            <w:vAlign w:val="bottom"/>
          </w:tcPr>
          <w:p>
            <w:pPr>
              <w:jc w:val="right"/>
              <w:ind w:right="68"/>
              <w:spacing w:after="0"/>
              <w:rPr>
                <w:sz w:val="20"/>
                <w:szCs w:val="20"/>
                <w:color w:val="auto"/>
              </w:rPr>
            </w:pPr>
            <w:r>
              <w:rPr>
                <w:rFonts w:ascii="Arial" w:cs="Arial" w:eastAsia="Arial" w:hAnsi="Arial"/>
                <w:sz w:val="14"/>
                <w:szCs w:val="14"/>
                <w:color w:val="auto"/>
              </w:rPr>
              <w:t>100,000</w:t>
            </w:r>
          </w:p>
        </w:tc>
        <w:tc>
          <w:tcPr>
            <w:tcW w:w="1280" w:type="dxa"/>
            <w:vAlign w:val="bottom"/>
          </w:tcPr>
          <w:p>
            <w:pPr>
              <w:jc w:val="right"/>
              <w:spacing w:after="0"/>
              <w:rPr>
                <w:sz w:val="20"/>
                <w:szCs w:val="20"/>
                <w:color w:val="auto"/>
              </w:rPr>
            </w:pPr>
            <w:r>
              <w:rPr>
                <w:rFonts w:ascii="Arial" w:cs="Arial" w:eastAsia="Arial" w:hAnsi="Arial"/>
                <w:sz w:val="14"/>
                <w:szCs w:val="14"/>
                <w:color w:val="auto"/>
              </w:rPr>
              <w:t>100,000</w:t>
            </w:r>
          </w:p>
        </w:tc>
        <w:tc>
          <w:tcPr>
            <w:tcW w:w="0" w:type="dxa"/>
            <w:vAlign w:val="bottom"/>
          </w:tcPr>
          <w:p>
            <w:pPr>
              <w:spacing w:after="0"/>
              <w:rPr>
                <w:sz w:val="1"/>
                <w:szCs w:val="1"/>
                <w:color w:val="auto"/>
              </w:rPr>
            </w:pPr>
          </w:p>
        </w:tc>
      </w:tr>
      <w:tr>
        <w:trPr>
          <w:trHeight w:val="169"/>
        </w:trPr>
        <w:tc>
          <w:tcPr>
            <w:tcW w:w="1120" w:type="dxa"/>
            <w:vAlign w:val="bottom"/>
          </w:tcPr>
          <w:p>
            <w:pPr>
              <w:spacing w:after="0"/>
              <w:rPr>
                <w:sz w:val="14"/>
                <w:szCs w:val="14"/>
                <w:color w:val="auto"/>
              </w:rPr>
            </w:pPr>
          </w:p>
        </w:tc>
        <w:tc>
          <w:tcPr>
            <w:tcW w:w="1120" w:type="dxa"/>
            <w:vAlign w:val="bottom"/>
          </w:tcPr>
          <w:p>
            <w:pPr>
              <w:ind w:left="100"/>
              <w:spacing w:after="0"/>
              <w:rPr>
                <w:sz w:val="20"/>
                <w:szCs w:val="20"/>
                <w:color w:val="auto"/>
              </w:rPr>
            </w:pPr>
            <w:r>
              <w:rPr>
                <w:rFonts w:ascii="Arial" w:cs="Arial" w:eastAsia="Arial" w:hAnsi="Arial"/>
                <w:sz w:val="14"/>
                <w:szCs w:val="14"/>
                <w:color w:val="auto"/>
              </w:rPr>
              <w:t>Continental</w:t>
            </w:r>
          </w:p>
        </w:tc>
        <w:tc>
          <w:tcPr>
            <w:tcW w:w="22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1120" w:type="dxa"/>
            <w:vAlign w:val="bottom"/>
          </w:tcPr>
          <w:p>
            <w:pPr>
              <w:spacing w:after="0"/>
              <w:rPr>
                <w:sz w:val="12"/>
                <w:szCs w:val="12"/>
                <w:color w:val="auto"/>
              </w:rPr>
            </w:pPr>
          </w:p>
        </w:tc>
        <w:tc>
          <w:tcPr>
            <w:tcW w:w="1120" w:type="dxa"/>
            <w:vAlign w:val="bottom"/>
          </w:tcPr>
          <w:p>
            <w:pPr>
              <w:ind w:left="100"/>
              <w:spacing w:after="0" w:line="149" w:lineRule="exact"/>
              <w:rPr>
                <w:sz w:val="20"/>
                <w:szCs w:val="20"/>
                <w:color w:val="auto"/>
              </w:rPr>
            </w:pPr>
            <w:r>
              <w:rPr>
                <w:rFonts w:ascii="Arial" w:cs="Arial" w:eastAsia="Arial" w:hAnsi="Arial"/>
                <w:sz w:val="14"/>
                <w:szCs w:val="14"/>
                <w:color w:val="auto"/>
              </w:rPr>
              <w:t>Exchange</w:t>
            </w:r>
          </w:p>
        </w:tc>
        <w:tc>
          <w:tcPr>
            <w:tcW w:w="22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760" w:type="dxa"/>
            <w:vAlign w:val="bottom"/>
          </w:tcPr>
          <w:p>
            <w:pPr>
              <w:jc w:val="right"/>
              <w:ind w:right="68"/>
              <w:spacing w:after="0" w:line="149" w:lineRule="exact"/>
              <w:rPr>
                <w:sz w:val="20"/>
                <w:szCs w:val="20"/>
                <w:color w:val="auto"/>
              </w:rPr>
            </w:pPr>
            <w:r>
              <w:rPr>
                <w:rFonts w:ascii="Arial" w:cs="Arial" w:eastAsia="Arial" w:hAnsi="Arial"/>
                <w:sz w:val="14"/>
                <w:szCs w:val="14"/>
                <w:color w:val="auto"/>
              </w:rPr>
              <w:t>USD</w:t>
            </w:r>
          </w:p>
        </w:tc>
        <w:tc>
          <w:tcPr>
            <w:tcW w:w="1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1120" w:type="dxa"/>
            <w:vAlign w:val="bottom"/>
          </w:tcPr>
          <w:p>
            <w:pPr>
              <w:ind w:left="40"/>
              <w:spacing w:after="0"/>
              <w:rPr>
                <w:sz w:val="20"/>
                <w:szCs w:val="20"/>
                <w:color w:val="auto"/>
              </w:rPr>
            </w:pPr>
            <w:r>
              <w:rPr>
                <w:rFonts w:ascii="Arial" w:cs="Arial" w:eastAsia="Arial" w:hAnsi="Arial"/>
                <w:sz w:val="14"/>
                <w:szCs w:val="14"/>
                <w:color w:val="auto"/>
              </w:rPr>
              <w:t>Bank of America</w:t>
            </w:r>
          </w:p>
        </w:tc>
        <w:tc>
          <w:tcPr>
            <w:tcW w:w="1120" w:type="dxa"/>
            <w:vAlign w:val="bottom"/>
          </w:tcPr>
          <w:p>
            <w:pPr>
              <w:ind w:left="100"/>
              <w:spacing w:after="0"/>
              <w:rPr>
                <w:sz w:val="20"/>
                <w:szCs w:val="20"/>
                <w:color w:val="auto"/>
              </w:rPr>
            </w:pPr>
            <w:r>
              <w:rPr>
                <w:rFonts w:ascii="Arial" w:cs="Arial" w:eastAsia="Arial" w:hAnsi="Arial"/>
                <w:sz w:val="14"/>
                <w:szCs w:val="14"/>
                <w:color w:val="auto"/>
              </w:rPr>
              <w:t>Solutions, Inc.</w:t>
            </w:r>
          </w:p>
        </w:tc>
        <w:tc>
          <w:tcPr>
            <w:tcW w:w="2220" w:type="dxa"/>
            <w:vAlign w:val="bottom"/>
          </w:tcPr>
          <w:p>
            <w:pPr>
              <w:ind w:left="180"/>
              <w:spacing w:after="0"/>
              <w:rPr>
                <w:sz w:val="20"/>
                <w:szCs w:val="20"/>
                <w:color w:val="auto"/>
              </w:rPr>
            </w:pPr>
            <w:r>
              <w:rPr>
                <w:rFonts w:ascii="Arial" w:cs="Arial" w:eastAsia="Arial" w:hAnsi="Arial"/>
                <w:sz w:val="14"/>
                <w:szCs w:val="14"/>
                <w:color w:val="auto"/>
              </w:rPr>
              <w:t>Standard Chartered Bank</w:t>
            </w:r>
          </w:p>
        </w:tc>
        <w:tc>
          <w:tcPr>
            <w:tcW w:w="900" w:type="dxa"/>
            <w:vAlign w:val="bottom"/>
          </w:tcPr>
          <w:p>
            <w:pPr>
              <w:jc w:val="right"/>
              <w:ind w:right="408"/>
              <w:spacing w:after="0"/>
              <w:rPr>
                <w:sz w:val="20"/>
                <w:szCs w:val="20"/>
                <w:color w:val="auto"/>
              </w:rPr>
            </w:pPr>
            <w:r>
              <w:rPr>
                <w:rFonts w:ascii="Arial" w:cs="Arial" w:eastAsia="Arial" w:hAnsi="Arial"/>
                <w:sz w:val="14"/>
                <w:szCs w:val="14"/>
                <w:color w:val="auto"/>
              </w:rPr>
              <w:t>0</w:t>
            </w:r>
          </w:p>
        </w:tc>
        <w:tc>
          <w:tcPr>
            <w:tcW w:w="1100" w:type="dxa"/>
            <w:vAlign w:val="bottom"/>
          </w:tcPr>
          <w:p>
            <w:pPr>
              <w:jc w:val="right"/>
              <w:ind w:right="488"/>
              <w:spacing w:after="0"/>
              <w:rPr>
                <w:sz w:val="20"/>
                <w:szCs w:val="20"/>
                <w:color w:val="auto"/>
              </w:rPr>
            </w:pPr>
            <w:r>
              <w:rPr>
                <w:rFonts w:ascii="Arial" w:cs="Arial" w:eastAsia="Arial" w:hAnsi="Arial"/>
                <w:sz w:val="14"/>
                <w:szCs w:val="14"/>
                <w:color w:val="auto"/>
              </w:rPr>
              <w:t>0</w:t>
            </w:r>
          </w:p>
        </w:tc>
        <w:tc>
          <w:tcPr>
            <w:tcW w:w="960" w:type="dxa"/>
            <w:vAlign w:val="bottom"/>
          </w:tcPr>
          <w:p>
            <w:pPr>
              <w:jc w:val="right"/>
              <w:ind w:right="248"/>
              <w:spacing w:after="0"/>
              <w:rPr>
                <w:sz w:val="20"/>
                <w:szCs w:val="20"/>
                <w:color w:val="auto"/>
              </w:rPr>
            </w:pPr>
            <w:r>
              <w:rPr>
                <w:rFonts w:ascii="Arial" w:cs="Arial" w:eastAsia="Arial" w:hAnsi="Arial"/>
                <w:sz w:val="14"/>
                <w:szCs w:val="14"/>
                <w:color w:val="auto"/>
              </w:rPr>
              <w:t>0</w:t>
            </w:r>
          </w:p>
        </w:tc>
        <w:tc>
          <w:tcPr>
            <w:tcW w:w="980" w:type="dxa"/>
            <w:vAlign w:val="bottom"/>
          </w:tcPr>
          <w:p>
            <w:pPr>
              <w:jc w:val="center"/>
              <w:ind w:left="208"/>
              <w:spacing w:after="0"/>
              <w:rPr>
                <w:sz w:val="20"/>
                <w:szCs w:val="20"/>
                <w:color w:val="auto"/>
              </w:rPr>
            </w:pPr>
            <w:r>
              <w:rPr>
                <w:rFonts w:ascii="Arial" w:cs="Arial" w:eastAsia="Arial" w:hAnsi="Arial"/>
                <w:sz w:val="14"/>
                <w:szCs w:val="14"/>
                <w:color w:val="auto"/>
                <w:w w:val="91"/>
              </w:rPr>
              <w:t>3120394</w:t>
            </w:r>
          </w:p>
        </w:tc>
        <w:tc>
          <w:tcPr>
            <w:tcW w:w="620" w:type="dxa"/>
            <w:vAlign w:val="bottom"/>
          </w:tcPr>
          <w:p>
            <w:pPr>
              <w:jc w:val="right"/>
              <w:spacing w:after="0"/>
              <w:rPr>
                <w:sz w:val="20"/>
                <w:szCs w:val="20"/>
                <w:color w:val="auto"/>
              </w:rPr>
            </w:pPr>
            <w:r>
              <w:rPr>
                <w:rFonts w:ascii="Arial" w:cs="Arial" w:eastAsia="Arial" w:hAnsi="Arial"/>
                <w:sz w:val="14"/>
                <w:szCs w:val="14"/>
                <w:color w:val="auto"/>
                <w:w w:val="99"/>
              </w:rPr>
              <w:t>05/30/14</w:t>
            </w:r>
          </w:p>
        </w:tc>
        <w:tc>
          <w:tcPr>
            <w:tcW w:w="760" w:type="dxa"/>
            <w:vAlign w:val="bottom"/>
          </w:tcPr>
          <w:p>
            <w:pPr>
              <w:jc w:val="right"/>
              <w:ind w:right="68"/>
              <w:spacing w:after="0"/>
              <w:rPr>
                <w:sz w:val="20"/>
                <w:szCs w:val="20"/>
                <w:color w:val="auto"/>
              </w:rPr>
            </w:pPr>
            <w:r>
              <w:rPr>
                <w:rFonts w:ascii="Arial" w:cs="Arial" w:eastAsia="Arial" w:hAnsi="Arial"/>
                <w:sz w:val="14"/>
                <w:szCs w:val="14"/>
                <w:color w:val="auto"/>
              </w:rPr>
              <w:t>25,000</w:t>
            </w:r>
          </w:p>
        </w:tc>
        <w:tc>
          <w:tcPr>
            <w:tcW w:w="1280" w:type="dxa"/>
            <w:vAlign w:val="bottom"/>
          </w:tcPr>
          <w:p>
            <w:pPr>
              <w:jc w:val="right"/>
              <w:spacing w:after="0"/>
              <w:rPr>
                <w:sz w:val="20"/>
                <w:szCs w:val="20"/>
                <w:color w:val="auto"/>
              </w:rPr>
            </w:pPr>
            <w:r>
              <w:rPr>
                <w:rFonts w:ascii="Arial" w:cs="Arial" w:eastAsia="Arial" w:hAnsi="Arial"/>
                <w:sz w:val="14"/>
                <w:szCs w:val="14"/>
                <w:color w:val="auto"/>
              </w:rPr>
              <w:t>25,000</w:t>
            </w:r>
          </w:p>
        </w:tc>
        <w:tc>
          <w:tcPr>
            <w:tcW w:w="0" w:type="dxa"/>
            <w:vAlign w:val="bottom"/>
          </w:tcPr>
          <w:p>
            <w:pPr>
              <w:spacing w:after="0"/>
              <w:rPr>
                <w:sz w:val="1"/>
                <w:szCs w:val="1"/>
                <w:color w:val="auto"/>
              </w:rPr>
            </w:pPr>
          </w:p>
        </w:tc>
      </w:tr>
      <w:tr>
        <w:trPr>
          <w:trHeight w:val="169"/>
        </w:trPr>
        <w:tc>
          <w:tcPr>
            <w:tcW w:w="1120" w:type="dxa"/>
            <w:vAlign w:val="bottom"/>
          </w:tcPr>
          <w:p>
            <w:pPr>
              <w:spacing w:after="0"/>
              <w:rPr>
                <w:sz w:val="14"/>
                <w:szCs w:val="14"/>
                <w:color w:val="auto"/>
              </w:rPr>
            </w:pPr>
          </w:p>
        </w:tc>
        <w:tc>
          <w:tcPr>
            <w:tcW w:w="1120" w:type="dxa"/>
            <w:vAlign w:val="bottom"/>
          </w:tcPr>
          <w:p>
            <w:pPr>
              <w:ind w:left="100"/>
              <w:spacing w:after="0"/>
              <w:rPr>
                <w:sz w:val="20"/>
                <w:szCs w:val="20"/>
                <w:color w:val="auto"/>
              </w:rPr>
            </w:pPr>
            <w:r>
              <w:rPr>
                <w:rFonts w:ascii="Arial" w:cs="Arial" w:eastAsia="Arial" w:hAnsi="Arial"/>
                <w:sz w:val="14"/>
                <w:szCs w:val="14"/>
                <w:color w:val="auto"/>
              </w:rPr>
              <w:t>Continental</w:t>
            </w:r>
          </w:p>
        </w:tc>
        <w:tc>
          <w:tcPr>
            <w:tcW w:w="22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1120" w:type="dxa"/>
            <w:vAlign w:val="bottom"/>
          </w:tcPr>
          <w:p>
            <w:pPr>
              <w:spacing w:after="0"/>
              <w:rPr>
                <w:sz w:val="12"/>
                <w:szCs w:val="12"/>
                <w:color w:val="auto"/>
              </w:rPr>
            </w:pPr>
          </w:p>
        </w:tc>
        <w:tc>
          <w:tcPr>
            <w:tcW w:w="1120" w:type="dxa"/>
            <w:vAlign w:val="bottom"/>
          </w:tcPr>
          <w:p>
            <w:pPr>
              <w:ind w:left="100"/>
              <w:spacing w:after="0" w:line="149" w:lineRule="exact"/>
              <w:rPr>
                <w:sz w:val="20"/>
                <w:szCs w:val="20"/>
                <w:color w:val="auto"/>
              </w:rPr>
            </w:pPr>
            <w:r>
              <w:rPr>
                <w:rFonts w:ascii="Arial" w:cs="Arial" w:eastAsia="Arial" w:hAnsi="Arial"/>
                <w:sz w:val="14"/>
                <w:szCs w:val="14"/>
                <w:color w:val="auto"/>
              </w:rPr>
              <w:t>Exchange</w:t>
            </w:r>
          </w:p>
        </w:tc>
        <w:tc>
          <w:tcPr>
            <w:tcW w:w="22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760" w:type="dxa"/>
            <w:vAlign w:val="bottom"/>
          </w:tcPr>
          <w:p>
            <w:pPr>
              <w:jc w:val="right"/>
              <w:ind w:right="68"/>
              <w:spacing w:after="0" w:line="149" w:lineRule="exact"/>
              <w:rPr>
                <w:sz w:val="20"/>
                <w:szCs w:val="20"/>
                <w:color w:val="auto"/>
              </w:rPr>
            </w:pPr>
            <w:r>
              <w:rPr>
                <w:rFonts w:ascii="Arial" w:cs="Arial" w:eastAsia="Arial" w:hAnsi="Arial"/>
                <w:sz w:val="14"/>
                <w:szCs w:val="14"/>
                <w:color w:val="auto"/>
              </w:rPr>
              <w:t>USD</w:t>
            </w:r>
          </w:p>
        </w:tc>
        <w:tc>
          <w:tcPr>
            <w:tcW w:w="1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1120" w:type="dxa"/>
            <w:vAlign w:val="bottom"/>
          </w:tcPr>
          <w:p>
            <w:pPr>
              <w:ind w:left="40"/>
              <w:spacing w:after="0"/>
              <w:rPr>
                <w:sz w:val="20"/>
                <w:szCs w:val="20"/>
                <w:color w:val="auto"/>
              </w:rPr>
            </w:pPr>
            <w:r>
              <w:rPr>
                <w:rFonts w:ascii="Arial" w:cs="Arial" w:eastAsia="Arial" w:hAnsi="Arial"/>
                <w:sz w:val="14"/>
                <w:szCs w:val="14"/>
                <w:color w:val="auto"/>
              </w:rPr>
              <w:t>Bank of America</w:t>
            </w:r>
          </w:p>
        </w:tc>
        <w:tc>
          <w:tcPr>
            <w:tcW w:w="1120" w:type="dxa"/>
            <w:vAlign w:val="bottom"/>
          </w:tcPr>
          <w:p>
            <w:pPr>
              <w:ind w:left="100"/>
              <w:spacing w:after="0"/>
              <w:rPr>
                <w:sz w:val="20"/>
                <w:szCs w:val="20"/>
                <w:color w:val="auto"/>
              </w:rPr>
            </w:pPr>
            <w:r>
              <w:rPr>
                <w:rFonts w:ascii="Arial" w:cs="Arial" w:eastAsia="Arial" w:hAnsi="Arial"/>
                <w:sz w:val="14"/>
                <w:szCs w:val="14"/>
                <w:color w:val="auto"/>
              </w:rPr>
              <w:t>Solutions, Inc.</w:t>
            </w:r>
          </w:p>
        </w:tc>
        <w:tc>
          <w:tcPr>
            <w:tcW w:w="2220" w:type="dxa"/>
            <w:vAlign w:val="bottom"/>
          </w:tcPr>
          <w:p>
            <w:pPr>
              <w:ind w:left="180"/>
              <w:spacing w:after="0"/>
              <w:rPr>
                <w:sz w:val="20"/>
                <w:szCs w:val="20"/>
                <w:color w:val="auto"/>
              </w:rPr>
            </w:pPr>
            <w:r>
              <w:rPr>
                <w:rFonts w:ascii="Arial" w:cs="Arial" w:eastAsia="Arial" w:hAnsi="Arial"/>
                <w:sz w:val="14"/>
                <w:szCs w:val="14"/>
                <w:color w:val="auto"/>
              </w:rPr>
              <w:t>Uttara Bank</w:t>
            </w:r>
          </w:p>
        </w:tc>
        <w:tc>
          <w:tcPr>
            <w:tcW w:w="900" w:type="dxa"/>
            <w:vAlign w:val="bottom"/>
          </w:tcPr>
          <w:p>
            <w:pPr>
              <w:jc w:val="right"/>
              <w:ind w:right="408"/>
              <w:spacing w:after="0"/>
              <w:rPr>
                <w:sz w:val="20"/>
                <w:szCs w:val="20"/>
                <w:color w:val="auto"/>
              </w:rPr>
            </w:pPr>
            <w:r>
              <w:rPr>
                <w:rFonts w:ascii="Arial" w:cs="Arial" w:eastAsia="Arial" w:hAnsi="Arial"/>
                <w:sz w:val="14"/>
                <w:szCs w:val="14"/>
                <w:color w:val="auto"/>
              </w:rPr>
              <w:t>0</w:t>
            </w:r>
          </w:p>
        </w:tc>
        <w:tc>
          <w:tcPr>
            <w:tcW w:w="1100" w:type="dxa"/>
            <w:vAlign w:val="bottom"/>
          </w:tcPr>
          <w:p>
            <w:pPr>
              <w:jc w:val="right"/>
              <w:ind w:right="488"/>
              <w:spacing w:after="0"/>
              <w:rPr>
                <w:sz w:val="20"/>
                <w:szCs w:val="20"/>
                <w:color w:val="auto"/>
              </w:rPr>
            </w:pPr>
            <w:r>
              <w:rPr>
                <w:rFonts w:ascii="Arial" w:cs="Arial" w:eastAsia="Arial" w:hAnsi="Arial"/>
                <w:sz w:val="14"/>
                <w:szCs w:val="14"/>
                <w:color w:val="auto"/>
              </w:rPr>
              <w:t>0</w:t>
            </w:r>
          </w:p>
        </w:tc>
        <w:tc>
          <w:tcPr>
            <w:tcW w:w="960" w:type="dxa"/>
            <w:vAlign w:val="bottom"/>
          </w:tcPr>
          <w:p>
            <w:pPr>
              <w:jc w:val="right"/>
              <w:ind w:right="248"/>
              <w:spacing w:after="0"/>
              <w:rPr>
                <w:sz w:val="20"/>
                <w:szCs w:val="20"/>
                <w:color w:val="auto"/>
              </w:rPr>
            </w:pPr>
            <w:r>
              <w:rPr>
                <w:rFonts w:ascii="Arial" w:cs="Arial" w:eastAsia="Arial" w:hAnsi="Arial"/>
                <w:sz w:val="14"/>
                <w:szCs w:val="14"/>
                <w:color w:val="auto"/>
              </w:rPr>
              <w:t>0</w:t>
            </w:r>
          </w:p>
        </w:tc>
        <w:tc>
          <w:tcPr>
            <w:tcW w:w="980" w:type="dxa"/>
            <w:vAlign w:val="bottom"/>
          </w:tcPr>
          <w:p>
            <w:pPr>
              <w:jc w:val="center"/>
              <w:ind w:left="208"/>
              <w:spacing w:after="0"/>
              <w:rPr>
                <w:sz w:val="20"/>
                <w:szCs w:val="20"/>
                <w:color w:val="auto"/>
              </w:rPr>
            </w:pPr>
            <w:r>
              <w:rPr>
                <w:rFonts w:ascii="Arial" w:cs="Arial" w:eastAsia="Arial" w:hAnsi="Arial"/>
                <w:sz w:val="14"/>
                <w:szCs w:val="14"/>
                <w:color w:val="auto"/>
                <w:w w:val="91"/>
              </w:rPr>
              <w:t>3120395</w:t>
            </w:r>
          </w:p>
        </w:tc>
        <w:tc>
          <w:tcPr>
            <w:tcW w:w="620" w:type="dxa"/>
            <w:vAlign w:val="bottom"/>
          </w:tcPr>
          <w:p>
            <w:pPr>
              <w:jc w:val="right"/>
              <w:spacing w:after="0"/>
              <w:rPr>
                <w:sz w:val="20"/>
                <w:szCs w:val="20"/>
                <w:color w:val="auto"/>
              </w:rPr>
            </w:pPr>
            <w:r>
              <w:rPr>
                <w:rFonts w:ascii="Arial" w:cs="Arial" w:eastAsia="Arial" w:hAnsi="Arial"/>
                <w:sz w:val="14"/>
                <w:szCs w:val="14"/>
                <w:color w:val="auto"/>
                <w:w w:val="99"/>
              </w:rPr>
              <w:t>08/18/14</w:t>
            </w:r>
          </w:p>
        </w:tc>
        <w:tc>
          <w:tcPr>
            <w:tcW w:w="760" w:type="dxa"/>
            <w:vAlign w:val="bottom"/>
          </w:tcPr>
          <w:p>
            <w:pPr>
              <w:jc w:val="right"/>
              <w:ind w:right="68"/>
              <w:spacing w:after="0"/>
              <w:rPr>
                <w:sz w:val="20"/>
                <w:szCs w:val="20"/>
                <w:color w:val="auto"/>
              </w:rPr>
            </w:pPr>
            <w:r>
              <w:rPr>
                <w:rFonts w:ascii="Arial" w:cs="Arial" w:eastAsia="Arial" w:hAnsi="Arial"/>
                <w:sz w:val="14"/>
                <w:szCs w:val="14"/>
                <w:color w:val="auto"/>
              </w:rPr>
              <w:t>25,000</w:t>
            </w:r>
          </w:p>
        </w:tc>
        <w:tc>
          <w:tcPr>
            <w:tcW w:w="1280" w:type="dxa"/>
            <w:vAlign w:val="bottom"/>
          </w:tcPr>
          <w:p>
            <w:pPr>
              <w:jc w:val="right"/>
              <w:spacing w:after="0"/>
              <w:rPr>
                <w:sz w:val="20"/>
                <w:szCs w:val="20"/>
                <w:color w:val="auto"/>
              </w:rPr>
            </w:pPr>
            <w:r>
              <w:rPr>
                <w:rFonts w:ascii="Arial" w:cs="Arial" w:eastAsia="Arial" w:hAnsi="Arial"/>
                <w:sz w:val="14"/>
                <w:szCs w:val="14"/>
                <w:color w:val="auto"/>
              </w:rPr>
              <w:t>25,000</w:t>
            </w:r>
          </w:p>
        </w:tc>
        <w:tc>
          <w:tcPr>
            <w:tcW w:w="0" w:type="dxa"/>
            <w:vAlign w:val="bottom"/>
          </w:tcPr>
          <w:p>
            <w:pPr>
              <w:spacing w:after="0"/>
              <w:rPr>
                <w:sz w:val="1"/>
                <w:szCs w:val="1"/>
                <w:color w:val="auto"/>
              </w:rPr>
            </w:pPr>
          </w:p>
        </w:tc>
      </w:tr>
      <w:tr>
        <w:trPr>
          <w:trHeight w:val="169"/>
        </w:trPr>
        <w:tc>
          <w:tcPr>
            <w:tcW w:w="1120" w:type="dxa"/>
            <w:vAlign w:val="bottom"/>
          </w:tcPr>
          <w:p>
            <w:pPr>
              <w:spacing w:after="0"/>
              <w:rPr>
                <w:sz w:val="14"/>
                <w:szCs w:val="14"/>
                <w:color w:val="auto"/>
              </w:rPr>
            </w:pPr>
          </w:p>
        </w:tc>
        <w:tc>
          <w:tcPr>
            <w:tcW w:w="1120" w:type="dxa"/>
            <w:vAlign w:val="bottom"/>
          </w:tcPr>
          <w:p>
            <w:pPr>
              <w:ind w:left="100"/>
              <w:spacing w:after="0"/>
              <w:rPr>
                <w:sz w:val="20"/>
                <w:szCs w:val="20"/>
                <w:color w:val="auto"/>
              </w:rPr>
            </w:pPr>
            <w:r>
              <w:rPr>
                <w:rFonts w:ascii="Arial" w:cs="Arial" w:eastAsia="Arial" w:hAnsi="Arial"/>
                <w:sz w:val="14"/>
                <w:szCs w:val="14"/>
                <w:color w:val="auto"/>
              </w:rPr>
              <w:t>Continental</w:t>
            </w:r>
          </w:p>
        </w:tc>
        <w:tc>
          <w:tcPr>
            <w:tcW w:w="22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1120" w:type="dxa"/>
            <w:vAlign w:val="bottom"/>
          </w:tcPr>
          <w:p>
            <w:pPr>
              <w:spacing w:after="0"/>
              <w:rPr>
                <w:sz w:val="12"/>
                <w:szCs w:val="12"/>
                <w:color w:val="auto"/>
              </w:rPr>
            </w:pPr>
          </w:p>
        </w:tc>
        <w:tc>
          <w:tcPr>
            <w:tcW w:w="1120" w:type="dxa"/>
            <w:vAlign w:val="bottom"/>
          </w:tcPr>
          <w:p>
            <w:pPr>
              <w:ind w:left="100"/>
              <w:spacing w:after="0" w:line="149" w:lineRule="exact"/>
              <w:rPr>
                <w:sz w:val="20"/>
                <w:szCs w:val="20"/>
                <w:color w:val="auto"/>
              </w:rPr>
            </w:pPr>
            <w:r>
              <w:rPr>
                <w:rFonts w:ascii="Arial" w:cs="Arial" w:eastAsia="Arial" w:hAnsi="Arial"/>
                <w:sz w:val="14"/>
                <w:szCs w:val="14"/>
                <w:color w:val="auto"/>
              </w:rPr>
              <w:t>Exchange</w:t>
            </w:r>
          </w:p>
        </w:tc>
        <w:tc>
          <w:tcPr>
            <w:tcW w:w="22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760" w:type="dxa"/>
            <w:vAlign w:val="bottom"/>
          </w:tcPr>
          <w:p>
            <w:pPr>
              <w:jc w:val="right"/>
              <w:ind w:right="68"/>
              <w:spacing w:after="0" w:line="149" w:lineRule="exact"/>
              <w:rPr>
                <w:sz w:val="20"/>
                <w:szCs w:val="20"/>
                <w:color w:val="auto"/>
              </w:rPr>
            </w:pPr>
            <w:r>
              <w:rPr>
                <w:rFonts w:ascii="Arial" w:cs="Arial" w:eastAsia="Arial" w:hAnsi="Arial"/>
                <w:sz w:val="14"/>
                <w:szCs w:val="14"/>
                <w:color w:val="auto"/>
              </w:rPr>
              <w:t>USD</w:t>
            </w:r>
          </w:p>
        </w:tc>
        <w:tc>
          <w:tcPr>
            <w:tcW w:w="1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1120" w:type="dxa"/>
            <w:vAlign w:val="bottom"/>
          </w:tcPr>
          <w:p>
            <w:pPr>
              <w:ind w:left="40"/>
              <w:spacing w:after="0"/>
              <w:rPr>
                <w:sz w:val="20"/>
                <w:szCs w:val="20"/>
                <w:color w:val="auto"/>
              </w:rPr>
            </w:pPr>
            <w:r>
              <w:rPr>
                <w:rFonts w:ascii="Arial" w:cs="Arial" w:eastAsia="Arial" w:hAnsi="Arial"/>
                <w:sz w:val="14"/>
                <w:szCs w:val="14"/>
                <w:color w:val="auto"/>
              </w:rPr>
              <w:t>Bank of America</w:t>
            </w:r>
          </w:p>
        </w:tc>
        <w:tc>
          <w:tcPr>
            <w:tcW w:w="1120" w:type="dxa"/>
            <w:vAlign w:val="bottom"/>
          </w:tcPr>
          <w:p>
            <w:pPr>
              <w:ind w:left="100"/>
              <w:spacing w:after="0"/>
              <w:rPr>
                <w:sz w:val="20"/>
                <w:szCs w:val="20"/>
                <w:color w:val="auto"/>
              </w:rPr>
            </w:pPr>
            <w:r>
              <w:rPr>
                <w:rFonts w:ascii="Arial" w:cs="Arial" w:eastAsia="Arial" w:hAnsi="Arial"/>
                <w:sz w:val="14"/>
                <w:szCs w:val="14"/>
                <w:color w:val="auto"/>
              </w:rPr>
              <w:t>Solutions, Inc.</w:t>
            </w:r>
          </w:p>
        </w:tc>
        <w:tc>
          <w:tcPr>
            <w:tcW w:w="2220" w:type="dxa"/>
            <w:vAlign w:val="bottom"/>
          </w:tcPr>
          <w:p>
            <w:pPr>
              <w:ind w:left="180"/>
              <w:spacing w:after="0"/>
              <w:rPr>
                <w:sz w:val="20"/>
                <w:szCs w:val="20"/>
                <w:color w:val="auto"/>
              </w:rPr>
            </w:pPr>
            <w:r>
              <w:rPr>
                <w:rFonts w:ascii="Arial" w:cs="Arial" w:eastAsia="Arial" w:hAnsi="Arial"/>
                <w:sz w:val="14"/>
                <w:szCs w:val="14"/>
                <w:color w:val="auto"/>
              </w:rPr>
              <w:t>Brac Bank</w:t>
            </w:r>
          </w:p>
        </w:tc>
        <w:tc>
          <w:tcPr>
            <w:tcW w:w="900" w:type="dxa"/>
            <w:vAlign w:val="bottom"/>
          </w:tcPr>
          <w:p>
            <w:pPr>
              <w:jc w:val="right"/>
              <w:ind w:right="408"/>
              <w:spacing w:after="0"/>
              <w:rPr>
                <w:sz w:val="20"/>
                <w:szCs w:val="20"/>
                <w:color w:val="auto"/>
              </w:rPr>
            </w:pPr>
            <w:r>
              <w:rPr>
                <w:rFonts w:ascii="Arial" w:cs="Arial" w:eastAsia="Arial" w:hAnsi="Arial"/>
                <w:sz w:val="14"/>
                <w:szCs w:val="14"/>
                <w:color w:val="auto"/>
              </w:rPr>
              <w:t>0</w:t>
            </w:r>
          </w:p>
        </w:tc>
        <w:tc>
          <w:tcPr>
            <w:tcW w:w="1100" w:type="dxa"/>
            <w:vAlign w:val="bottom"/>
          </w:tcPr>
          <w:p>
            <w:pPr>
              <w:jc w:val="right"/>
              <w:ind w:right="488"/>
              <w:spacing w:after="0"/>
              <w:rPr>
                <w:sz w:val="20"/>
                <w:szCs w:val="20"/>
                <w:color w:val="auto"/>
              </w:rPr>
            </w:pPr>
            <w:r>
              <w:rPr>
                <w:rFonts w:ascii="Arial" w:cs="Arial" w:eastAsia="Arial" w:hAnsi="Arial"/>
                <w:sz w:val="14"/>
                <w:szCs w:val="14"/>
                <w:color w:val="auto"/>
              </w:rPr>
              <w:t>0</w:t>
            </w:r>
          </w:p>
        </w:tc>
        <w:tc>
          <w:tcPr>
            <w:tcW w:w="960" w:type="dxa"/>
            <w:vAlign w:val="bottom"/>
          </w:tcPr>
          <w:p>
            <w:pPr>
              <w:jc w:val="right"/>
              <w:ind w:right="248"/>
              <w:spacing w:after="0"/>
              <w:rPr>
                <w:sz w:val="20"/>
                <w:szCs w:val="20"/>
                <w:color w:val="auto"/>
              </w:rPr>
            </w:pPr>
            <w:r>
              <w:rPr>
                <w:rFonts w:ascii="Arial" w:cs="Arial" w:eastAsia="Arial" w:hAnsi="Arial"/>
                <w:sz w:val="14"/>
                <w:szCs w:val="14"/>
                <w:color w:val="auto"/>
              </w:rPr>
              <w:t>0</w:t>
            </w:r>
          </w:p>
        </w:tc>
        <w:tc>
          <w:tcPr>
            <w:tcW w:w="980" w:type="dxa"/>
            <w:vAlign w:val="bottom"/>
          </w:tcPr>
          <w:p>
            <w:pPr>
              <w:jc w:val="center"/>
              <w:ind w:left="208"/>
              <w:spacing w:after="0"/>
              <w:rPr>
                <w:sz w:val="20"/>
                <w:szCs w:val="20"/>
                <w:color w:val="auto"/>
              </w:rPr>
            </w:pPr>
            <w:r>
              <w:rPr>
                <w:rFonts w:ascii="Arial" w:cs="Arial" w:eastAsia="Arial" w:hAnsi="Arial"/>
                <w:sz w:val="14"/>
                <w:szCs w:val="14"/>
                <w:color w:val="auto"/>
                <w:w w:val="91"/>
              </w:rPr>
              <w:t>3120396</w:t>
            </w:r>
          </w:p>
        </w:tc>
        <w:tc>
          <w:tcPr>
            <w:tcW w:w="620" w:type="dxa"/>
            <w:vAlign w:val="bottom"/>
          </w:tcPr>
          <w:p>
            <w:pPr>
              <w:jc w:val="right"/>
              <w:spacing w:after="0"/>
              <w:rPr>
                <w:sz w:val="20"/>
                <w:szCs w:val="20"/>
                <w:color w:val="auto"/>
              </w:rPr>
            </w:pPr>
            <w:r>
              <w:rPr>
                <w:rFonts w:ascii="Arial" w:cs="Arial" w:eastAsia="Arial" w:hAnsi="Arial"/>
                <w:sz w:val="14"/>
                <w:szCs w:val="14"/>
                <w:color w:val="auto"/>
                <w:w w:val="99"/>
              </w:rPr>
              <w:t>08/18/14</w:t>
            </w:r>
          </w:p>
        </w:tc>
        <w:tc>
          <w:tcPr>
            <w:tcW w:w="760" w:type="dxa"/>
            <w:vAlign w:val="bottom"/>
          </w:tcPr>
          <w:p>
            <w:pPr>
              <w:jc w:val="right"/>
              <w:ind w:right="68"/>
              <w:spacing w:after="0"/>
              <w:rPr>
                <w:sz w:val="20"/>
                <w:szCs w:val="20"/>
                <w:color w:val="auto"/>
              </w:rPr>
            </w:pPr>
            <w:r>
              <w:rPr>
                <w:rFonts w:ascii="Arial" w:cs="Arial" w:eastAsia="Arial" w:hAnsi="Arial"/>
                <w:sz w:val="14"/>
                <w:szCs w:val="14"/>
                <w:color w:val="auto"/>
              </w:rPr>
              <w:t>25,000</w:t>
            </w:r>
          </w:p>
        </w:tc>
        <w:tc>
          <w:tcPr>
            <w:tcW w:w="1280" w:type="dxa"/>
            <w:vAlign w:val="bottom"/>
          </w:tcPr>
          <w:p>
            <w:pPr>
              <w:jc w:val="right"/>
              <w:spacing w:after="0"/>
              <w:rPr>
                <w:sz w:val="20"/>
                <w:szCs w:val="20"/>
                <w:color w:val="auto"/>
              </w:rPr>
            </w:pPr>
            <w:r>
              <w:rPr>
                <w:rFonts w:ascii="Arial" w:cs="Arial" w:eastAsia="Arial" w:hAnsi="Arial"/>
                <w:sz w:val="14"/>
                <w:szCs w:val="14"/>
                <w:color w:val="auto"/>
              </w:rPr>
              <w:t>25,000</w:t>
            </w:r>
          </w:p>
        </w:tc>
        <w:tc>
          <w:tcPr>
            <w:tcW w:w="0" w:type="dxa"/>
            <w:vAlign w:val="bottom"/>
          </w:tcPr>
          <w:p>
            <w:pPr>
              <w:spacing w:after="0"/>
              <w:rPr>
                <w:sz w:val="1"/>
                <w:szCs w:val="1"/>
                <w:color w:val="auto"/>
              </w:rPr>
            </w:pPr>
          </w:p>
        </w:tc>
      </w:tr>
      <w:tr>
        <w:trPr>
          <w:trHeight w:val="169"/>
        </w:trPr>
        <w:tc>
          <w:tcPr>
            <w:tcW w:w="1120" w:type="dxa"/>
            <w:vAlign w:val="bottom"/>
          </w:tcPr>
          <w:p>
            <w:pPr>
              <w:spacing w:after="0"/>
              <w:rPr>
                <w:sz w:val="14"/>
                <w:szCs w:val="14"/>
                <w:color w:val="auto"/>
              </w:rPr>
            </w:pPr>
          </w:p>
        </w:tc>
        <w:tc>
          <w:tcPr>
            <w:tcW w:w="1120" w:type="dxa"/>
            <w:vAlign w:val="bottom"/>
          </w:tcPr>
          <w:p>
            <w:pPr>
              <w:ind w:left="100"/>
              <w:spacing w:after="0"/>
              <w:rPr>
                <w:sz w:val="20"/>
                <w:szCs w:val="20"/>
                <w:color w:val="auto"/>
              </w:rPr>
            </w:pPr>
            <w:r>
              <w:rPr>
                <w:rFonts w:ascii="Arial" w:cs="Arial" w:eastAsia="Arial" w:hAnsi="Arial"/>
                <w:sz w:val="14"/>
                <w:szCs w:val="14"/>
                <w:color w:val="auto"/>
              </w:rPr>
              <w:t>Continental</w:t>
            </w:r>
          </w:p>
        </w:tc>
        <w:tc>
          <w:tcPr>
            <w:tcW w:w="22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1120" w:type="dxa"/>
            <w:vAlign w:val="bottom"/>
          </w:tcPr>
          <w:p>
            <w:pPr>
              <w:spacing w:after="0"/>
              <w:rPr>
                <w:sz w:val="12"/>
                <w:szCs w:val="12"/>
                <w:color w:val="auto"/>
              </w:rPr>
            </w:pPr>
          </w:p>
        </w:tc>
        <w:tc>
          <w:tcPr>
            <w:tcW w:w="1120" w:type="dxa"/>
            <w:vAlign w:val="bottom"/>
          </w:tcPr>
          <w:p>
            <w:pPr>
              <w:ind w:left="100"/>
              <w:spacing w:after="0" w:line="149" w:lineRule="exact"/>
              <w:rPr>
                <w:sz w:val="20"/>
                <w:szCs w:val="20"/>
                <w:color w:val="auto"/>
              </w:rPr>
            </w:pPr>
            <w:r>
              <w:rPr>
                <w:rFonts w:ascii="Arial" w:cs="Arial" w:eastAsia="Arial" w:hAnsi="Arial"/>
                <w:sz w:val="14"/>
                <w:szCs w:val="14"/>
                <w:color w:val="auto"/>
              </w:rPr>
              <w:t>Exchange</w:t>
            </w:r>
          </w:p>
        </w:tc>
        <w:tc>
          <w:tcPr>
            <w:tcW w:w="22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760" w:type="dxa"/>
            <w:vAlign w:val="bottom"/>
          </w:tcPr>
          <w:p>
            <w:pPr>
              <w:jc w:val="right"/>
              <w:ind w:right="68"/>
              <w:spacing w:after="0" w:line="149" w:lineRule="exact"/>
              <w:rPr>
                <w:sz w:val="20"/>
                <w:szCs w:val="20"/>
                <w:color w:val="auto"/>
              </w:rPr>
            </w:pPr>
            <w:r>
              <w:rPr>
                <w:rFonts w:ascii="Arial" w:cs="Arial" w:eastAsia="Arial" w:hAnsi="Arial"/>
                <w:sz w:val="14"/>
                <w:szCs w:val="14"/>
                <w:color w:val="auto"/>
              </w:rPr>
              <w:t>USD</w:t>
            </w:r>
          </w:p>
        </w:tc>
        <w:tc>
          <w:tcPr>
            <w:tcW w:w="1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1120" w:type="dxa"/>
            <w:vAlign w:val="bottom"/>
          </w:tcPr>
          <w:p>
            <w:pPr>
              <w:ind w:left="40"/>
              <w:spacing w:after="0"/>
              <w:rPr>
                <w:sz w:val="20"/>
                <w:szCs w:val="20"/>
                <w:color w:val="auto"/>
              </w:rPr>
            </w:pPr>
            <w:r>
              <w:rPr>
                <w:rFonts w:ascii="Arial" w:cs="Arial" w:eastAsia="Arial" w:hAnsi="Arial"/>
                <w:sz w:val="14"/>
                <w:szCs w:val="14"/>
                <w:color w:val="auto"/>
              </w:rPr>
              <w:t>Bank of America</w:t>
            </w:r>
          </w:p>
        </w:tc>
        <w:tc>
          <w:tcPr>
            <w:tcW w:w="1120" w:type="dxa"/>
            <w:vAlign w:val="bottom"/>
          </w:tcPr>
          <w:p>
            <w:pPr>
              <w:ind w:left="100"/>
              <w:spacing w:after="0"/>
              <w:rPr>
                <w:sz w:val="20"/>
                <w:szCs w:val="20"/>
                <w:color w:val="auto"/>
              </w:rPr>
            </w:pPr>
            <w:r>
              <w:rPr>
                <w:rFonts w:ascii="Arial" w:cs="Arial" w:eastAsia="Arial" w:hAnsi="Arial"/>
                <w:sz w:val="14"/>
                <w:szCs w:val="14"/>
                <w:color w:val="auto"/>
              </w:rPr>
              <w:t>Solutions, Inc.</w:t>
            </w:r>
          </w:p>
        </w:tc>
        <w:tc>
          <w:tcPr>
            <w:tcW w:w="2220" w:type="dxa"/>
            <w:vAlign w:val="bottom"/>
          </w:tcPr>
          <w:p>
            <w:pPr>
              <w:ind w:left="180"/>
              <w:spacing w:after="0"/>
              <w:rPr>
                <w:sz w:val="20"/>
                <w:szCs w:val="20"/>
                <w:color w:val="auto"/>
              </w:rPr>
            </w:pPr>
            <w:r>
              <w:rPr>
                <w:rFonts w:ascii="Arial" w:cs="Arial" w:eastAsia="Arial" w:hAnsi="Arial"/>
                <w:sz w:val="14"/>
                <w:szCs w:val="14"/>
                <w:color w:val="auto"/>
              </w:rPr>
              <w:t>National Bank Limited</w:t>
            </w:r>
          </w:p>
        </w:tc>
        <w:tc>
          <w:tcPr>
            <w:tcW w:w="900" w:type="dxa"/>
            <w:vAlign w:val="bottom"/>
          </w:tcPr>
          <w:p>
            <w:pPr>
              <w:jc w:val="right"/>
              <w:ind w:right="408"/>
              <w:spacing w:after="0"/>
              <w:rPr>
                <w:sz w:val="20"/>
                <w:szCs w:val="20"/>
                <w:color w:val="auto"/>
              </w:rPr>
            </w:pPr>
            <w:r>
              <w:rPr>
                <w:rFonts w:ascii="Arial" w:cs="Arial" w:eastAsia="Arial" w:hAnsi="Arial"/>
                <w:sz w:val="14"/>
                <w:szCs w:val="14"/>
                <w:color w:val="auto"/>
              </w:rPr>
              <w:t>0</w:t>
            </w:r>
          </w:p>
        </w:tc>
        <w:tc>
          <w:tcPr>
            <w:tcW w:w="1100" w:type="dxa"/>
            <w:vAlign w:val="bottom"/>
          </w:tcPr>
          <w:p>
            <w:pPr>
              <w:jc w:val="right"/>
              <w:ind w:right="488"/>
              <w:spacing w:after="0"/>
              <w:rPr>
                <w:sz w:val="20"/>
                <w:szCs w:val="20"/>
                <w:color w:val="auto"/>
              </w:rPr>
            </w:pPr>
            <w:r>
              <w:rPr>
                <w:rFonts w:ascii="Arial" w:cs="Arial" w:eastAsia="Arial" w:hAnsi="Arial"/>
                <w:sz w:val="14"/>
                <w:szCs w:val="14"/>
                <w:color w:val="auto"/>
              </w:rPr>
              <w:t>0</w:t>
            </w:r>
          </w:p>
        </w:tc>
        <w:tc>
          <w:tcPr>
            <w:tcW w:w="960" w:type="dxa"/>
            <w:vAlign w:val="bottom"/>
          </w:tcPr>
          <w:p>
            <w:pPr>
              <w:jc w:val="right"/>
              <w:ind w:right="248"/>
              <w:spacing w:after="0"/>
              <w:rPr>
                <w:sz w:val="20"/>
                <w:szCs w:val="20"/>
                <w:color w:val="auto"/>
              </w:rPr>
            </w:pPr>
            <w:r>
              <w:rPr>
                <w:rFonts w:ascii="Arial" w:cs="Arial" w:eastAsia="Arial" w:hAnsi="Arial"/>
                <w:sz w:val="14"/>
                <w:szCs w:val="14"/>
                <w:color w:val="auto"/>
              </w:rPr>
              <w:t>0</w:t>
            </w:r>
          </w:p>
        </w:tc>
        <w:tc>
          <w:tcPr>
            <w:tcW w:w="980" w:type="dxa"/>
            <w:vAlign w:val="bottom"/>
          </w:tcPr>
          <w:p>
            <w:pPr>
              <w:jc w:val="center"/>
              <w:ind w:left="208"/>
              <w:spacing w:after="0"/>
              <w:rPr>
                <w:sz w:val="20"/>
                <w:szCs w:val="20"/>
                <w:color w:val="auto"/>
              </w:rPr>
            </w:pPr>
            <w:r>
              <w:rPr>
                <w:rFonts w:ascii="Arial" w:cs="Arial" w:eastAsia="Arial" w:hAnsi="Arial"/>
                <w:sz w:val="14"/>
                <w:szCs w:val="14"/>
                <w:color w:val="auto"/>
                <w:w w:val="91"/>
              </w:rPr>
              <w:t>3120400</w:t>
            </w:r>
          </w:p>
        </w:tc>
        <w:tc>
          <w:tcPr>
            <w:tcW w:w="620" w:type="dxa"/>
            <w:vAlign w:val="bottom"/>
          </w:tcPr>
          <w:p>
            <w:pPr>
              <w:jc w:val="right"/>
              <w:spacing w:after="0"/>
              <w:rPr>
                <w:sz w:val="20"/>
                <w:szCs w:val="20"/>
                <w:color w:val="auto"/>
              </w:rPr>
            </w:pPr>
            <w:r>
              <w:rPr>
                <w:rFonts w:ascii="Arial" w:cs="Arial" w:eastAsia="Arial" w:hAnsi="Arial"/>
                <w:sz w:val="14"/>
                <w:szCs w:val="14"/>
                <w:color w:val="auto"/>
                <w:w w:val="99"/>
              </w:rPr>
              <w:t>10/17/14</w:t>
            </w:r>
          </w:p>
        </w:tc>
        <w:tc>
          <w:tcPr>
            <w:tcW w:w="760" w:type="dxa"/>
            <w:vAlign w:val="bottom"/>
          </w:tcPr>
          <w:p>
            <w:pPr>
              <w:jc w:val="right"/>
              <w:ind w:right="68"/>
              <w:spacing w:after="0"/>
              <w:rPr>
                <w:sz w:val="20"/>
                <w:szCs w:val="20"/>
                <w:color w:val="auto"/>
              </w:rPr>
            </w:pPr>
            <w:r>
              <w:rPr>
                <w:rFonts w:ascii="Arial" w:cs="Arial" w:eastAsia="Arial" w:hAnsi="Arial"/>
                <w:sz w:val="14"/>
                <w:szCs w:val="14"/>
                <w:color w:val="auto"/>
              </w:rPr>
              <w:t>25,000</w:t>
            </w:r>
          </w:p>
        </w:tc>
        <w:tc>
          <w:tcPr>
            <w:tcW w:w="1280" w:type="dxa"/>
            <w:vAlign w:val="bottom"/>
          </w:tcPr>
          <w:p>
            <w:pPr>
              <w:jc w:val="right"/>
              <w:spacing w:after="0"/>
              <w:rPr>
                <w:sz w:val="20"/>
                <w:szCs w:val="20"/>
                <w:color w:val="auto"/>
              </w:rPr>
            </w:pPr>
            <w:r>
              <w:rPr>
                <w:rFonts w:ascii="Arial" w:cs="Arial" w:eastAsia="Arial" w:hAnsi="Arial"/>
                <w:sz w:val="14"/>
                <w:szCs w:val="14"/>
                <w:color w:val="auto"/>
              </w:rPr>
              <w:t>25,000</w:t>
            </w:r>
          </w:p>
        </w:tc>
        <w:tc>
          <w:tcPr>
            <w:tcW w:w="0" w:type="dxa"/>
            <w:vAlign w:val="bottom"/>
          </w:tcPr>
          <w:p>
            <w:pPr>
              <w:spacing w:after="0"/>
              <w:rPr>
                <w:sz w:val="1"/>
                <w:szCs w:val="1"/>
                <w:color w:val="auto"/>
              </w:rPr>
            </w:pPr>
          </w:p>
        </w:tc>
      </w:tr>
      <w:tr>
        <w:trPr>
          <w:trHeight w:val="169"/>
        </w:trPr>
        <w:tc>
          <w:tcPr>
            <w:tcW w:w="1120" w:type="dxa"/>
            <w:vAlign w:val="bottom"/>
          </w:tcPr>
          <w:p>
            <w:pPr>
              <w:spacing w:after="0"/>
              <w:rPr>
                <w:sz w:val="14"/>
                <w:szCs w:val="14"/>
                <w:color w:val="auto"/>
              </w:rPr>
            </w:pPr>
          </w:p>
        </w:tc>
        <w:tc>
          <w:tcPr>
            <w:tcW w:w="1120" w:type="dxa"/>
            <w:vAlign w:val="bottom"/>
          </w:tcPr>
          <w:p>
            <w:pPr>
              <w:ind w:left="100"/>
              <w:spacing w:after="0"/>
              <w:rPr>
                <w:sz w:val="20"/>
                <w:szCs w:val="20"/>
                <w:color w:val="auto"/>
              </w:rPr>
            </w:pPr>
            <w:r>
              <w:rPr>
                <w:rFonts w:ascii="Arial" w:cs="Arial" w:eastAsia="Arial" w:hAnsi="Arial"/>
                <w:sz w:val="14"/>
                <w:szCs w:val="14"/>
                <w:color w:val="auto"/>
              </w:rPr>
              <w:t>Continental</w:t>
            </w:r>
          </w:p>
        </w:tc>
        <w:tc>
          <w:tcPr>
            <w:tcW w:w="22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1120" w:type="dxa"/>
            <w:vAlign w:val="bottom"/>
          </w:tcPr>
          <w:p>
            <w:pPr>
              <w:spacing w:after="0"/>
              <w:rPr>
                <w:sz w:val="12"/>
                <w:szCs w:val="12"/>
                <w:color w:val="auto"/>
              </w:rPr>
            </w:pPr>
          </w:p>
        </w:tc>
        <w:tc>
          <w:tcPr>
            <w:tcW w:w="1120" w:type="dxa"/>
            <w:vAlign w:val="bottom"/>
          </w:tcPr>
          <w:p>
            <w:pPr>
              <w:ind w:left="100"/>
              <w:spacing w:after="0" w:line="149" w:lineRule="exact"/>
              <w:rPr>
                <w:sz w:val="20"/>
                <w:szCs w:val="20"/>
                <w:color w:val="auto"/>
              </w:rPr>
            </w:pPr>
            <w:r>
              <w:rPr>
                <w:rFonts w:ascii="Arial" w:cs="Arial" w:eastAsia="Arial" w:hAnsi="Arial"/>
                <w:sz w:val="14"/>
                <w:szCs w:val="14"/>
                <w:color w:val="auto"/>
              </w:rPr>
              <w:t>Exchange</w:t>
            </w:r>
          </w:p>
        </w:tc>
        <w:tc>
          <w:tcPr>
            <w:tcW w:w="2220" w:type="dxa"/>
            <w:vAlign w:val="bottom"/>
          </w:tcPr>
          <w:p>
            <w:pPr>
              <w:ind w:left="180"/>
              <w:spacing w:after="0" w:line="149" w:lineRule="exact"/>
              <w:rPr>
                <w:sz w:val="20"/>
                <w:szCs w:val="20"/>
                <w:color w:val="auto"/>
              </w:rPr>
            </w:pPr>
            <w:r>
              <w:rPr>
                <w:rFonts w:ascii="Arial" w:cs="Arial" w:eastAsia="Arial" w:hAnsi="Arial"/>
                <w:sz w:val="14"/>
                <w:szCs w:val="14"/>
                <w:color w:val="auto"/>
              </w:rPr>
              <w:t>National Credit &amp; Commerce</w:t>
            </w:r>
          </w:p>
        </w:tc>
        <w:tc>
          <w:tcPr>
            <w:tcW w:w="9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760" w:type="dxa"/>
            <w:vAlign w:val="bottom"/>
          </w:tcPr>
          <w:p>
            <w:pPr>
              <w:jc w:val="right"/>
              <w:ind w:right="68"/>
              <w:spacing w:after="0" w:line="149" w:lineRule="exact"/>
              <w:rPr>
                <w:sz w:val="20"/>
                <w:szCs w:val="20"/>
                <w:color w:val="auto"/>
              </w:rPr>
            </w:pPr>
            <w:r>
              <w:rPr>
                <w:rFonts w:ascii="Arial" w:cs="Arial" w:eastAsia="Arial" w:hAnsi="Arial"/>
                <w:sz w:val="14"/>
                <w:szCs w:val="14"/>
                <w:color w:val="auto"/>
              </w:rPr>
              <w:t>USD</w:t>
            </w:r>
          </w:p>
        </w:tc>
        <w:tc>
          <w:tcPr>
            <w:tcW w:w="1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1120" w:type="dxa"/>
            <w:vAlign w:val="bottom"/>
          </w:tcPr>
          <w:p>
            <w:pPr>
              <w:ind w:left="40"/>
              <w:spacing w:after="0"/>
              <w:rPr>
                <w:sz w:val="20"/>
                <w:szCs w:val="20"/>
                <w:color w:val="auto"/>
              </w:rPr>
            </w:pPr>
            <w:r>
              <w:rPr>
                <w:rFonts w:ascii="Arial" w:cs="Arial" w:eastAsia="Arial" w:hAnsi="Arial"/>
                <w:sz w:val="14"/>
                <w:szCs w:val="14"/>
                <w:color w:val="auto"/>
              </w:rPr>
              <w:t>Bank of America</w:t>
            </w:r>
          </w:p>
        </w:tc>
        <w:tc>
          <w:tcPr>
            <w:tcW w:w="1120" w:type="dxa"/>
            <w:vAlign w:val="bottom"/>
          </w:tcPr>
          <w:p>
            <w:pPr>
              <w:ind w:left="100"/>
              <w:spacing w:after="0"/>
              <w:rPr>
                <w:sz w:val="20"/>
                <w:szCs w:val="20"/>
                <w:color w:val="auto"/>
              </w:rPr>
            </w:pPr>
            <w:r>
              <w:rPr>
                <w:rFonts w:ascii="Arial" w:cs="Arial" w:eastAsia="Arial" w:hAnsi="Arial"/>
                <w:sz w:val="14"/>
                <w:szCs w:val="14"/>
                <w:color w:val="auto"/>
              </w:rPr>
              <w:t>Solutions, Inc.</w:t>
            </w:r>
          </w:p>
        </w:tc>
        <w:tc>
          <w:tcPr>
            <w:tcW w:w="2220" w:type="dxa"/>
            <w:vAlign w:val="bottom"/>
          </w:tcPr>
          <w:p>
            <w:pPr>
              <w:ind w:left="180"/>
              <w:spacing w:after="0"/>
              <w:rPr>
                <w:sz w:val="20"/>
                <w:szCs w:val="20"/>
                <w:color w:val="auto"/>
              </w:rPr>
            </w:pPr>
            <w:r>
              <w:rPr>
                <w:rFonts w:ascii="Arial" w:cs="Arial" w:eastAsia="Arial" w:hAnsi="Arial"/>
                <w:sz w:val="14"/>
                <w:szCs w:val="14"/>
                <w:color w:val="auto"/>
              </w:rPr>
              <w:t>Bank</w:t>
            </w:r>
          </w:p>
        </w:tc>
        <w:tc>
          <w:tcPr>
            <w:tcW w:w="900" w:type="dxa"/>
            <w:vAlign w:val="bottom"/>
          </w:tcPr>
          <w:p>
            <w:pPr>
              <w:jc w:val="right"/>
              <w:ind w:right="408"/>
              <w:spacing w:after="0"/>
              <w:rPr>
                <w:sz w:val="20"/>
                <w:szCs w:val="20"/>
                <w:color w:val="auto"/>
              </w:rPr>
            </w:pPr>
            <w:r>
              <w:rPr>
                <w:rFonts w:ascii="Arial" w:cs="Arial" w:eastAsia="Arial" w:hAnsi="Arial"/>
                <w:sz w:val="14"/>
                <w:szCs w:val="14"/>
                <w:color w:val="auto"/>
              </w:rPr>
              <w:t>0</w:t>
            </w:r>
          </w:p>
        </w:tc>
        <w:tc>
          <w:tcPr>
            <w:tcW w:w="1100" w:type="dxa"/>
            <w:vAlign w:val="bottom"/>
          </w:tcPr>
          <w:p>
            <w:pPr>
              <w:jc w:val="right"/>
              <w:ind w:right="488"/>
              <w:spacing w:after="0"/>
              <w:rPr>
                <w:sz w:val="20"/>
                <w:szCs w:val="20"/>
                <w:color w:val="auto"/>
              </w:rPr>
            </w:pPr>
            <w:r>
              <w:rPr>
                <w:rFonts w:ascii="Arial" w:cs="Arial" w:eastAsia="Arial" w:hAnsi="Arial"/>
                <w:sz w:val="14"/>
                <w:szCs w:val="14"/>
                <w:color w:val="auto"/>
              </w:rPr>
              <w:t>0</w:t>
            </w:r>
          </w:p>
        </w:tc>
        <w:tc>
          <w:tcPr>
            <w:tcW w:w="960" w:type="dxa"/>
            <w:vAlign w:val="bottom"/>
          </w:tcPr>
          <w:p>
            <w:pPr>
              <w:jc w:val="right"/>
              <w:ind w:right="248"/>
              <w:spacing w:after="0"/>
              <w:rPr>
                <w:sz w:val="20"/>
                <w:szCs w:val="20"/>
                <w:color w:val="auto"/>
              </w:rPr>
            </w:pPr>
            <w:r>
              <w:rPr>
                <w:rFonts w:ascii="Arial" w:cs="Arial" w:eastAsia="Arial" w:hAnsi="Arial"/>
                <w:sz w:val="14"/>
                <w:szCs w:val="14"/>
                <w:color w:val="auto"/>
              </w:rPr>
              <w:t>0</w:t>
            </w:r>
          </w:p>
        </w:tc>
        <w:tc>
          <w:tcPr>
            <w:tcW w:w="980" w:type="dxa"/>
            <w:vAlign w:val="bottom"/>
          </w:tcPr>
          <w:p>
            <w:pPr>
              <w:jc w:val="center"/>
              <w:ind w:left="208"/>
              <w:spacing w:after="0"/>
              <w:rPr>
                <w:sz w:val="20"/>
                <w:szCs w:val="20"/>
                <w:color w:val="auto"/>
              </w:rPr>
            </w:pPr>
            <w:r>
              <w:rPr>
                <w:rFonts w:ascii="Arial" w:cs="Arial" w:eastAsia="Arial" w:hAnsi="Arial"/>
                <w:sz w:val="14"/>
                <w:szCs w:val="14"/>
                <w:color w:val="auto"/>
                <w:w w:val="91"/>
              </w:rPr>
              <w:t>3120402</w:t>
            </w:r>
          </w:p>
        </w:tc>
        <w:tc>
          <w:tcPr>
            <w:tcW w:w="620" w:type="dxa"/>
            <w:vAlign w:val="bottom"/>
          </w:tcPr>
          <w:p>
            <w:pPr>
              <w:jc w:val="right"/>
              <w:spacing w:after="0"/>
              <w:rPr>
                <w:sz w:val="20"/>
                <w:szCs w:val="20"/>
                <w:color w:val="auto"/>
              </w:rPr>
            </w:pPr>
            <w:r>
              <w:rPr>
                <w:rFonts w:ascii="Arial" w:cs="Arial" w:eastAsia="Arial" w:hAnsi="Arial"/>
                <w:sz w:val="14"/>
                <w:szCs w:val="14"/>
                <w:color w:val="auto"/>
                <w:w w:val="99"/>
              </w:rPr>
              <w:t>11/17/14</w:t>
            </w:r>
          </w:p>
        </w:tc>
        <w:tc>
          <w:tcPr>
            <w:tcW w:w="760" w:type="dxa"/>
            <w:vAlign w:val="bottom"/>
          </w:tcPr>
          <w:p>
            <w:pPr>
              <w:jc w:val="right"/>
              <w:ind w:right="68"/>
              <w:spacing w:after="0"/>
              <w:rPr>
                <w:sz w:val="20"/>
                <w:szCs w:val="20"/>
                <w:color w:val="auto"/>
              </w:rPr>
            </w:pPr>
            <w:r>
              <w:rPr>
                <w:rFonts w:ascii="Arial" w:cs="Arial" w:eastAsia="Arial" w:hAnsi="Arial"/>
                <w:sz w:val="14"/>
                <w:szCs w:val="14"/>
                <w:color w:val="auto"/>
              </w:rPr>
              <w:t>25,000</w:t>
            </w:r>
          </w:p>
        </w:tc>
        <w:tc>
          <w:tcPr>
            <w:tcW w:w="1280" w:type="dxa"/>
            <w:vAlign w:val="bottom"/>
          </w:tcPr>
          <w:p>
            <w:pPr>
              <w:jc w:val="right"/>
              <w:spacing w:after="0"/>
              <w:rPr>
                <w:sz w:val="20"/>
                <w:szCs w:val="20"/>
                <w:color w:val="auto"/>
              </w:rPr>
            </w:pPr>
            <w:r>
              <w:rPr>
                <w:rFonts w:ascii="Arial" w:cs="Arial" w:eastAsia="Arial" w:hAnsi="Arial"/>
                <w:sz w:val="14"/>
                <w:szCs w:val="14"/>
                <w:color w:val="auto"/>
              </w:rPr>
              <w:t>25,000</w:t>
            </w:r>
          </w:p>
        </w:tc>
        <w:tc>
          <w:tcPr>
            <w:tcW w:w="0" w:type="dxa"/>
            <w:vAlign w:val="bottom"/>
          </w:tcPr>
          <w:p>
            <w:pPr>
              <w:spacing w:after="0"/>
              <w:rPr>
                <w:sz w:val="1"/>
                <w:szCs w:val="1"/>
                <w:color w:val="auto"/>
              </w:rPr>
            </w:pPr>
          </w:p>
        </w:tc>
      </w:tr>
      <w:tr>
        <w:trPr>
          <w:trHeight w:val="169"/>
        </w:trPr>
        <w:tc>
          <w:tcPr>
            <w:tcW w:w="1120" w:type="dxa"/>
            <w:vAlign w:val="bottom"/>
          </w:tcPr>
          <w:p>
            <w:pPr>
              <w:spacing w:after="0"/>
              <w:rPr>
                <w:sz w:val="14"/>
                <w:szCs w:val="14"/>
                <w:color w:val="auto"/>
              </w:rPr>
            </w:pPr>
          </w:p>
        </w:tc>
        <w:tc>
          <w:tcPr>
            <w:tcW w:w="1120" w:type="dxa"/>
            <w:vAlign w:val="bottom"/>
          </w:tcPr>
          <w:p>
            <w:pPr>
              <w:ind w:left="100"/>
              <w:spacing w:after="0"/>
              <w:rPr>
                <w:sz w:val="20"/>
                <w:szCs w:val="20"/>
                <w:color w:val="auto"/>
              </w:rPr>
            </w:pPr>
            <w:r>
              <w:rPr>
                <w:rFonts w:ascii="Arial" w:cs="Arial" w:eastAsia="Arial" w:hAnsi="Arial"/>
                <w:sz w:val="14"/>
                <w:szCs w:val="14"/>
                <w:color w:val="auto"/>
              </w:rPr>
              <w:t>Continental</w:t>
            </w:r>
          </w:p>
        </w:tc>
        <w:tc>
          <w:tcPr>
            <w:tcW w:w="22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1120" w:type="dxa"/>
            <w:vAlign w:val="bottom"/>
          </w:tcPr>
          <w:p>
            <w:pPr>
              <w:spacing w:after="0"/>
              <w:rPr>
                <w:sz w:val="12"/>
                <w:szCs w:val="12"/>
                <w:color w:val="auto"/>
              </w:rPr>
            </w:pPr>
          </w:p>
        </w:tc>
        <w:tc>
          <w:tcPr>
            <w:tcW w:w="1120" w:type="dxa"/>
            <w:vAlign w:val="bottom"/>
          </w:tcPr>
          <w:p>
            <w:pPr>
              <w:ind w:left="100"/>
              <w:spacing w:after="0" w:line="149" w:lineRule="exact"/>
              <w:rPr>
                <w:sz w:val="20"/>
                <w:szCs w:val="20"/>
                <w:color w:val="auto"/>
              </w:rPr>
            </w:pPr>
            <w:r>
              <w:rPr>
                <w:rFonts w:ascii="Arial" w:cs="Arial" w:eastAsia="Arial" w:hAnsi="Arial"/>
                <w:sz w:val="14"/>
                <w:szCs w:val="14"/>
                <w:color w:val="auto"/>
              </w:rPr>
              <w:t>Exchange</w:t>
            </w:r>
          </w:p>
        </w:tc>
        <w:tc>
          <w:tcPr>
            <w:tcW w:w="2220" w:type="dxa"/>
            <w:vAlign w:val="bottom"/>
          </w:tcPr>
          <w:p>
            <w:pPr>
              <w:ind w:left="180"/>
              <w:spacing w:after="0" w:line="149" w:lineRule="exact"/>
              <w:rPr>
                <w:sz w:val="20"/>
                <w:szCs w:val="20"/>
                <w:color w:val="auto"/>
              </w:rPr>
            </w:pPr>
            <w:r>
              <w:rPr>
                <w:rFonts w:ascii="Arial" w:cs="Arial" w:eastAsia="Arial" w:hAnsi="Arial"/>
                <w:sz w:val="14"/>
                <w:szCs w:val="14"/>
                <w:color w:val="auto"/>
              </w:rPr>
              <w:t>Cotacao Distribuidora De</w:t>
            </w:r>
          </w:p>
        </w:tc>
        <w:tc>
          <w:tcPr>
            <w:tcW w:w="9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760" w:type="dxa"/>
            <w:vAlign w:val="bottom"/>
          </w:tcPr>
          <w:p>
            <w:pPr>
              <w:jc w:val="right"/>
              <w:ind w:right="68"/>
              <w:spacing w:after="0" w:line="149" w:lineRule="exact"/>
              <w:rPr>
                <w:sz w:val="20"/>
                <w:szCs w:val="20"/>
                <w:color w:val="auto"/>
              </w:rPr>
            </w:pPr>
            <w:r>
              <w:rPr>
                <w:rFonts w:ascii="Arial" w:cs="Arial" w:eastAsia="Arial" w:hAnsi="Arial"/>
                <w:sz w:val="14"/>
                <w:szCs w:val="14"/>
                <w:color w:val="auto"/>
              </w:rPr>
              <w:t>USD</w:t>
            </w:r>
          </w:p>
        </w:tc>
        <w:tc>
          <w:tcPr>
            <w:tcW w:w="1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1120" w:type="dxa"/>
            <w:vAlign w:val="bottom"/>
          </w:tcPr>
          <w:p>
            <w:pPr>
              <w:ind w:left="40"/>
              <w:spacing w:after="0"/>
              <w:rPr>
                <w:sz w:val="20"/>
                <w:szCs w:val="20"/>
                <w:color w:val="auto"/>
              </w:rPr>
            </w:pPr>
            <w:r>
              <w:rPr>
                <w:rFonts w:ascii="Arial" w:cs="Arial" w:eastAsia="Arial" w:hAnsi="Arial"/>
                <w:sz w:val="14"/>
                <w:szCs w:val="14"/>
                <w:color w:val="auto"/>
              </w:rPr>
              <w:t>Bank of America</w:t>
            </w:r>
          </w:p>
        </w:tc>
        <w:tc>
          <w:tcPr>
            <w:tcW w:w="1120" w:type="dxa"/>
            <w:vAlign w:val="bottom"/>
          </w:tcPr>
          <w:p>
            <w:pPr>
              <w:ind w:left="100"/>
              <w:spacing w:after="0"/>
              <w:rPr>
                <w:sz w:val="20"/>
                <w:szCs w:val="20"/>
                <w:color w:val="auto"/>
              </w:rPr>
            </w:pPr>
            <w:r>
              <w:rPr>
                <w:rFonts w:ascii="Arial" w:cs="Arial" w:eastAsia="Arial" w:hAnsi="Arial"/>
                <w:sz w:val="14"/>
                <w:szCs w:val="14"/>
                <w:color w:val="auto"/>
              </w:rPr>
              <w:t>Solutions, Inc.</w:t>
            </w:r>
          </w:p>
        </w:tc>
        <w:tc>
          <w:tcPr>
            <w:tcW w:w="2220" w:type="dxa"/>
            <w:vAlign w:val="bottom"/>
          </w:tcPr>
          <w:p>
            <w:pPr>
              <w:ind w:left="180"/>
              <w:spacing w:after="0"/>
              <w:rPr>
                <w:sz w:val="20"/>
                <w:szCs w:val="20"/>
                <w:color w:val="auto"/>
              </w:rPr>
            </w:pPr>
            <w:r>
              <w:rPr>
                <w:rFonts w:ascii="Arial" w:cs="Arial" w:eastAsia="Arial" w:hAnsi="Arial"/>
                <w:sz w:val="14"/>
                <w:szCs w:val="14"/>
                <w:color w:val="auto"/>
              </w:rPr>
              <w:t>Titulos</w:t>
            </w:r>
          </w:p>
        </w:tc>
        <w:tc>
          <w:tcPr>
            <w:tcW w:w="900" w:type="dxa"/>
            <w:vAlign w:val="bottom"/>
          </w:tcPr>
          <w:p>
            <w:pPr>
              <w:jc w:val="right"/>
              <w:ind w:right="408"/>
              <w:spacing w:after="0"/>
              <w:rPr>
                <w:sz w:val="20"/>
                <w:szCs w:val="20"/>
                <w:color w:val="auto"/>
              </w:rPr>
            </w:pPr>
            <w:r>
              <w:rPr>
                <w:rFonts w:ascii="Arial" w:cs="Arial" w:eastAsia="Arial" w:hAnsi="Arial"/>
                <w:sz w:val="14"/>
                <w:szCs w:val="14"/>
                <w:color w:val="auto"/>
              </w:rPr>
              <w:t>0</w:t>
            </w:r>
          </w:p>
        </w:tc>
        <w:tc>
          <w:tcPr>
            <w:tcW w:w="1100" w:type="dxa"/>
            <w:vAlign w:val="bottom"/>
          </w:tcPr>
          <w:p>
            <w:pPr>
              <w:jc w:val="right"/>
              <w:ind w:right="488"/>
              <w:spacing w:after="0"/>
              <w:rPr>
                <w:sz w:val="20"/>
                <w:szCs w:val="20"/>
                <w:color w:val="auto"/>
              </w:rPr>
            </w:pPr>
            <w:r>
              <w:rPr>
                <w:rFonts w:ascii="Arial" w:cs="Arial" w:eastAsia="Arial" w:hAnsi="Arial"/>
                <w:sz w:val="14"/>
                <w:szCs w:val="14"/>
                <w:color w:val="auto"/>
              </w:rPr>
              <w:t>0</w:t>
            </w:r>
          </w:p>
        </w:tc>
        <w:tc>
          <w:tcPr>
            <w:tcW w:w="960" w:type="dxa"/>
            <w:vAlign w:val="bottom"/>
          </w:tcPr>
          <w:p>
            <w:pPr>
              <w:jc w:val="right"/>
              <w:ind w:right="248"/>
              <w:spacing w:after="0"/>
              <w:rPr>
                <w:sz w:val="20"/>
                <w:szCs w:val="20"/>
                <w:color w:val="auto"/>
              </w:rPr>
            </w:pPr>
            <w:r>
              <w:rPr>
                <w:rFonts w:ascii="Arial" w:cs="Arial" w:eastAsia="Arial" w:hAnsi="Arial"/>
                <w:sz w:val="14"/>
                <w:szCs w:val="14"/>
                <w:color w:val="auto"/>
              </w:rPr>
              <w:t>0</w:t>
            </w:r>
          </w:p>
        </w:tc>
        <w:tc>
          <w:tcPr>
            <w:tcW w:w="980" w:type="dxa"/>
            <w:vAlign w:val="bottom"/>
          </w:tcPr>
          <w:p>
            <w:pPr>
              <w:jc w:val="center"/>
              <w:ind w:left="208"/>
              <w:spacing w:after="0"/>
              <w:rPr>
                <w:sz w:val="20"/>
                <w:szCs w:val="20"/>
                <w:color w:val="auto"/>
              </w:rPr>
            </w:pPr>
            <w:r>
              <w:rPr>
                <w:rFonts w:ascii="Arial" w:cs="Arial" w:eastAsia="Arial" w:hAnsi="Arial"/>
                <w:sz w:val="14"/>
                <w:szCs w:val="14"/>
                <w:color w:val="auto"/>
                <w:w w:val="93"/>
              </w:rPr>
              <w:t>68100962</w:t>
            </w:r>
          </w:p>
        </w:tc>
        <w:tc>
          <w:tcPr>
            <w:tcW w:w="620" w:type="dxa"/>
            <w:vAlign w:val="bottom"/>
          </w:tcPr>
          <w:p>
            <w:pPr>
              <w:jc w:val="right"/>
              <w:spacing w:after="0"/>
              <w:rPr>
                <w:sz w:val="20"/>
                <w:szCs w:val="20"/>
                <w:color w:val="auto"/>
              </w:rPr>
            </w:pPr>
            <w:r>
              <w:rPr>
                <w:rFonts w:ascii="Arial" w:cs="Arial" w:eastAsia="Arial" w:hAnsi="Arial"/>
                <w:sz w:val="14"/>
                <w:szCs w:val="14"/>
                <w:color w:val="auto"/>
                <w:w w:val="99"/>
              </w:rPr>
              <w:t>12/20/14</w:t>
            </w:r>
          </w:p>
        </w:tc>
        <w:tc>
          <w:tcPr>
            <w:tcW w:w="760" w:type="dxa"/>
            <w:vAlign w:val="bottom"/>
          </w:tcPr>
          <w:p>
            <w:pPr>
              <w:jc w:val="right"/>
              <w:ind w:right="68"/>
              <w:spacing w:after="0"/>
              <w:rPr>
                <w:sz w:val="20"/>
                <w:szCs w:val="20"/>
                <w:color w:val="auto"/>
              </w:rPr>
            </w:pPr>
            <w:r>
              <w:rPr>
                <w:rFonts w:ascii="Arial" w:cs="Arial" w:eastAsia="Arial" w:hAnsi="Arial"/>
                <w:sz w:val="14"/>
                <w:szCs w:val="14"/>
                <w:color w:val="auto"/>
              </w:rPr>
              <w:t>350,000</w:t>
            </w:r>
          </w:p>
        </w:tc>
        <w:tc>
          <w:tcPr>
            <w:tcW w:w="1280" w:type="dxa"/>
            <w:vAlign w:val="bottom"/>
          </w:tcPr>
          <w:p>
            <w:pPr>
              <w:jc w:val="right"/>
              <w:spacing w:after="0"/>
              <w:rPr>
                <w:sz w:val="20"/>
                <w:szCs w:val="20"/>
                <w:color w:val="auto"/>
              </w:rPr>
            </w:pPr>
            <w:r>
              <w:rPr>
                <w:rFonts w:ascii="Arial" w:cs="Arial" w:eastAsia="Arial" w:hAnsi="Arial"/>
                <w:sz w:val="14"/>
                <w:szCs w:val="14"/>
                <w:color w:val="auto"/>
              </w:rPr>
              <w:t>350,000</w:t>
            </w:r>
          </w:p>
        </w:tc>
        <w:tc>
          <w:tcPr>
            <w:tcW w:w="0" w:type="dxa"/>
            <w:vAlign w:val="bottom"/>
          </w:tcPr>
          <w:p>
            <w:pPr>
              <w:spacing w:after="0"/>
              <w:rPr>
                <w:sz w:val="1"/>
                <w:szCs w:val="1"/>
                <w:color w:val="auto"/>
              </w:rPr>
            </w:pPr>
          </w:p>
        </w:tc>
      </w:tr>
      <w:tr>
        <w:trPr>
          <w:trHeight w:val="169"/>
        </w:trPr>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2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60" w:type="dxa"/>
            <w:vAlign w:val="bottom"/>
          </w:tcPr>
          <w:p>
            <w:pPr>
              <w:jc w:val="right"/>
              <w:ind w:right="68"/>
              <w:spacing w:after="0"/>
              <w:rPr>
                <w:sz w:val="20"/>
                <w:szCs w:val="20"/>
                <w:color w:val="auto"/>
              </w:rPr>
            </w:pPr>
            <w:r>
              <w:rPr>
                <w:rFonts w:ascii="Arial" w:cs="Arial" w:eastAsia="Arial" w:hAnsi="Arial"/>
                <w:sz w:val="14"/>
                <w:szCs w:val="14"/>
                <w:color w:val="auto"/>
              </w:rPr>
              <w:t>USD</w:t>
            </w:r>
          </w:p>
        </w:tc>
        <w:tc>
          <w:tcPr>
            <w:tcW w:w="1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8"/>
        </w:trPr>
        <w:tc>
          <w:tcPr>
            <w:tcW w:w="1120" w:type="dxa"/>
            <w:vAlign w:val="bottom"/>
          </w:tcPr>
          <w:p>
            <w:pPr>
              <w:ind w:left="40"/>
              <w:spacing w:after="0"/>
              <w:rPr>
                <w:sz w:val="20"/>
                <w:szCs w:val="20"/>
                <w:color w:val="auto"/>
              </w:rPr>
            </w:pPr>
            <w:r>
              <w:rPr>
                <w:rFonts w:ascii="Arial" w:cs="Arial" w:eastAsia="Arial" w:hAnsi="Arial"/>
                <w:sz w:val="14"/>
                <w:szCs w:val="14"/>
                <w:color w:val="auto"/>
              </w:rPr>
              <w:t>Bank of America</w:t>
            </w:r>
          </w:p>
        </w:tc>
        <w:tc>
          <w:tcPr>
            <w:tcW w:w="3340" w:type="dxa"/>
            <w:vAlign w:val="bottom"/>
            <w:gridSpan w:val="2"/>
          </w:tcPr>
          <w:p>
            <w:pPr>
              <w:ind w:left="100"/>
              <w:spacing w:after="0"/>
              <w:rPr>
                <w:sz w:val="20"/>
                <w:szCs w:val="20"/>
                <w:color w:val="auto"/>
              </w:rPr>
            </w:pPr>
            <w:r>
              <w:rPr>
                <w:rFonts w:ascii="Arial" w:cs="Arial" w:eastAsia="Arial" w:hAnsi="Arial"/>
                <w:sz w:val="14"/>
                <w:szCs w:val="14"/>
                <w:color w:val="auto"/>
              </w:rPr>
              <w:t>EFT Americas, Inc. DFS Group L.P.</w:t>
            </w:r>
          </w:p>
        </w:tc>
        <w:tc>
          <w:tcPr>
            <w:tcW w:w="900" w:type="dxa"/>
            <w:vAlign w:val="bottom"/>
          </w:tcPr>
          <w:p>
            <w:pPr>
              <w:jc w:val="right"/>
              <w:ind w:right="408"/>
              <w:spacing w:after="0"/>
              <w:rPr>
                <w:sz w:val="20"/>
                <w:szCs w:val="20"/>
                <w:color w:val="auto"/>
              </w:rPr>
            </w:pPr>
            <w:r>
              <w:rPr>
                <w:rFonts w:ascii="Arial" w:cs="Arial" w:eastAsia="Arial" w:hAnsi="Arial"/>
                <w:sz w:val="14"/>
                <w:szCs w:val="14"/>
                <w:color w:val="auto"/>
              </w:rPr>
              <w:t>0</w:t>
            </w:r>
          </w:p>
        </w:tc>
        <w:tc>
          <w:tcPr>
            <w:tcW w:w="1100" w:type="dxa"/>
            <w:vAlign w:val="bottom"/>
          </w:tcPr>
          <w:p>
            <w:pPr>
              <w:jc w:val="right"/>
              <w:ind w:right="488"/>
              <w:spacing w:after="0"/>
              <w:rPr>
                <w:sz w:val="20"/>
                <w:szCs w:val="20"/>
                <w:color w:val="auto"/>
              </w:rPr>
            </w:pPr>
            <w:r>
              <w:rPr>
                <w:rFonts w:ascii="Arial" w:cs="Arial" w:eastAsia="Arial" w:hAnsi="Arial"/>
                <w:sz w:val="14"/>
                <w:szCs w:val="14"/>
                <w:color w:val="auto"/>
              </w:rPr>
              <w:t>0</w:t>
            </w:r>
          </w:p>
        </w:tc>
        <w:tc>
          <w:tcPr>
            <w:tcW w:w="960" w:type="dxa"/>
            <w:vAlign w:val="bottom"/>
          </w:tcPr>
          <w:p>
            <w:pPr>
              <w:jc w:val="right"/>
              <w:ind w:right="248"/>
              <w:spacing w:after="0"/>
              <w:rPr>
                <w:sz w:val="20"/>
                <w:szCs w:val="20"/>
                <w:color w:val="auto"/>
              </w:rPr>
            </w:pPr>
            <w:r>
              <w:rPr>
                <w:rFonts w:ascii="Arial" w:cs="Arial" w:eastAsia="Arial" w:hAnsi="Arial"/>
                <w:sz w:val="14"/>
                <w:szCs w:val="14"/>
                <w:color w:val="auto"/>
              </w:rPr>
              <w:t>0</w:t>
            </w:r>
          </w:p>
        </w:tc>
        <w:tc>
          <w:tcPr>
            <w:tcW w:w="980" w:type="dxa"/>
            <w:vAlign w:val="bottom"/>
          </w:tcPr>
          <w:p>
            <w:pPr>
              <w:jc w:val="center"/>
              <w:ind w:left="208"/>
              <w:spacing w:after="0"/>
              <w:rPr>
                <w:sz w:val="20"/>
                <w:szCs w:val="20"/>
                <w:color w:val="auto"/>
              </w:rPr>
            </w:pPr>
            <w:r>
              <w:rPr>
                <w:rFonts w:ascii="Arial" w:cs="Arial" w:eastAsia="Arial" w:hAnsi="Arial"/>
                <w:sz w:val="14"/>
                <w:szCs w:val="14"/>
                <w:color w:val="auto"/>
                <w:w w:val="91"/>
              </w:rPr>
              <w:t>3120398</w:t>
            </w:r>
          </w:p>
        </w:tc>
        <w:tc>
          <w:tcPr>
            <w:tcW w:w="620" w:type="dxa"/>
            <w:vAlign w:val="bottom"/>
          </w:tcPr>
          <w:p>
            <w:pPr>
              <w:jc w:val="right"/>
              <w:spacing w:after="0"/>
              <w:rPr>
                <w:sz w:val="20"/>
                <w:szCs w:val="20"/>
                <w:color w:val="auto"/>
              </w:rPr>
            </w:pPr>
            <w:r>
              <w:rPr>
                <w:rFonts w:ascii="Arial" w:cs="Arial" w:eastAsia="Arial" w:hAnsi="Arial"/>
                <w:sz w:val="14"/>
                <w:szCs w:val="14"/>
                <w:color w:val="auto"/>
                <w:w w:val="99"/>
              </w:rPr>
              <w:t>09/30/14</w:t>
            </w:r>
          </w:p>
        </w:tc>
        <w:tc>
          <w:tcPr>
            <w:tcW w:w="760" w:type="dxa"/>
            <w:vAlign w:val="bottom"/>
          </w:tcPr>
          <w:p>
            <w:pPr>
              <w:jc w:val="right"/>
              <w:ind w:right="68"/>
              <w:spacing w:after="0"/>
              <w:rPr>
                <w:sz w:val="20"/>
                <w:szCs w:val="20"/>
                <w:color w:val="auto"/>
              </w:rPr>
            </w:pPr>
            <w:r>
              <w:rPr>
                <w:rFonts w:ascii="Arial" w:cs="Arial" w:eastAsia="Arial" w:hAnsi="Arial"/>
                <w:sz w:val="14"/>
                <w:szCs w:val="14"/>
                <w:color w:val="auto"/>
                <w:w w:val="96"/>
              </w:rPr>
              <w:t>3,000,000</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3,000,000</w:t>
            </w:r>
          </w:p>
        </w:tc>
        <w:tc>
          <w:tcPr>
            <w:tcW w:w="0" w:type="dxa"/>
            <w:vAlign w:val="bottom"/>
          </w:tcPr>
          <w:p>
            <w:pPr>
              <w:spacing w:after="0"/>
              <w:rPr>
                <w:sz w:val="1"/>
                <w:szCs w:val="1"/>
                <w:color w:val="auto"/>
              </w:rPr>
            </w:pPr>
          </w:p>
        </w:tc>
      </w:tr>
      <w:tr>
        <w:trPr>
          <w:trHeight w:val="139"/>
        </w:trPr>
        <w:tc>
          <w:tcPr>
            <w:tcW w:w="1120" w:type="dxa"/>
            <w:vAlign w:val="bottom"/>
          </w:tcPr>
          <w:p>
            <w:pPr>
              <w:spacing w:after="0"/>
              <w:rPr>
                <w:sz w:val="12"/>
                <w:szCs w:val="12"/>
                <w:color w:val="auto"/>
              </w:rPr>
            </w:pPr>
          </w:p>
        </w:tc>
        <w:tc>
          <w:tcPr>
            <w:tcW w:w="1120" w:type="dxa"/>
            <w:vAlign w:val="bottom"/>
          </w:tcPr>
          <w:p>
            <w:pPr>
              <w:ind w:left="100"/>
              <w:spacing w:after="0" w:line="139" w:lineRule="exact"/>
              <w:rPr>
                <w:sz w:val="20"/>
                <w:szCs w:val="20"/>
                <w:color w:val="auto"/>
              </w:rPr>
            </w:pPr>
            <w:r>
              <w:rPr>
                <w:rFonts w:ascii="Arial" w:cs="Arial" w:eastAsia="Arial" w:hAnsi="Arial"/>
                <w:sz w:val="14"/>
                <w:szCs w:val="14"/>
                <w:b w:val="1"/>
                <w:bCs w:val="1"/>
                <w:color w:val="auto"/>
              </w:rPr>
              <w:t>Total Existing</w:t>
            </w:r>
          </w:p>
        </w:tc>
        <w:tc>
          <w:tcPr>
            <w:tcW w:w="22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8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45,120,819</w:t>
            </w:r>
          </w:p>
        </w:tc>
        <w:tc>
          <w:tcPr>
            <w:tcW w:w="0" w:type="dxa"/>
            <w:vAlign w:val="bottom"/>
          </w:tcPr>
          <w:p>
            <w:pPr>
              <w:spacing w:after="0"/>
              <w:rPr>
                <w:sz w:val="1"/>
                <w:szCs w:val="1"/>
                <w:color w:val="auto"/>
              </w:rPr>
            </w:pPr>
          </w:p>
        </w:tc>
      </w:tr>
      <w:tr>
        <w:trPr>
          <w:trHeight w:val="186"/>
        </w:trPr>
        <w:tc>
          <w:tcPr>
            <w:tcW w:w="1120" w:type="dxa"/>
            <w:vAlign w:val="bottom"/>
          </w:tcPr>
          <w:p>
            <w:pPr>
              <w:spacing w:after="0"/>
              <w:rPr>
                <w:sz w:val="16"/>
                <w:szCs w:val="16"/>
                <w:color w:val="auto"/>
              </w:rPr>
            </w:pPr>
          </w:p>
        </w:tc>
        <w:tc>
          <w:tcPr>
            <w:tcW w:w="1120" w:type="dxa"/>
            <w:vAlign w:val="bottom"/>
          </w:tcPr>
          <w:p>
            <w:pPr>
              <w:ind w:left="100"/>
              <w:spacing w:after="0"/>
              <w:rPr>
                <w:sz w:val="20"/>
                <w:szCs w:val="20"/>
                <w:color w:val="auto"/>
              </w:rPr>
            </w:pPr>
            <w:r>
              <w:rPr>
                <w:rFonts w:ascii="Arial" w:cs="Arial" w:eastAsia="Arial" w:hAnsi="Arial"/>
                <w:sz w:val="14"/>
                <w:szCs w:val="14"/>
                <w:b w:val="1"/>
                <w:bCs w:val="1"/>
                <w:color w:val="auto"/>
              </w:rPr>
              <w:t>USD LCs</w:t>
            </w:r>
          </w:p>
        </w:tc>
        <w:tc>
          <w:tcPr>
            <w:tcW w:w="22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2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444"/>
        </w:trPr>
        <w:tc>
          <w:tcPr>
            <w:tcW w:w="1120" w:type="dxa"/>
            <w:vAlign w:val="bottom"/>
            <w:tcBorders>
              <w:bottom w:val="single" w:sz="8" w:color="C0C0C0"/>
            </w:tcBorders>
          </w:tcPr>
          <w:p>
            <w:pPr>
              <w:spacing w:after="0"/>
              <w:rPr>
                <w:sz w:val="24"/>
                <w:szCs w:val="24"/>
                <w:color w:val="auto"/>
              </w:rPr>
            </w:pPr>
          </w:p>
        </w:tc>
        <w:tc>
          <w:tcPr>
            <w:tcW w:w="1120" w:type="dxa"/>
            <w:vAlign w:val="bottom"/>
            <w:tcBorders>
              <w:bottom w:val="single" w:sz="8" w:color="C0C0C0"/>
            </w:tcBorders>
          </w:tcPr>
          <w:p>
            <w:pPr>
              <w:spacing w:after="0"/>
              <w:rPr>
                <w:sz w:val="24"/>
                <w:szCs w:val="24"/>
                <w:color w:val="auto"/>
              </w:rPr>
            </w:pPr>
          </w:p>
        </w:tc>
        <w:tc>
          <w:tcPr>
            <w:tcW w:w="2220" w:type="dxa"/>
            <w:vAlign w:val="bottom"/>
            <w:tcBorders>
              <w:bottom w:val="single" w:sz="8" w:color="C0C0C0"/>
            </w:tcBorders>
          </w:tcPr>
          <w:p>
            <w:pPr>
              <w:spacing w:after="0"/>
              <w:rPr>
                <w:sz w:val="24"/>
                <w:szCs w:val="24"/>
                <w:color w:val="auto"/>
              </w:rPr>
            </w:pPr>
          </w:p>
        </w:tc>
        <w:tc>
          <w:tcPr>
            <w:tcW w:w="900" w:type="dxa"/>
            <w:vAlign w:val="bottom"/>
            <w:tcBorders>
              <w:bottom w:val="single" w:sz="8" w:color="C0C0C0"/>
            </w:tcBorders>
          </w:tcPr>
          <w:p>
            <w:pPr>
              <w:spacing w:after="0"/>
              <w:rPr>
                <w:sz w:val="24"/>
                <w:szCs w:val="24"/>
                <w:color w:val="auto"/>
              </w:rPr>
            </w:pPr>
          </w:p>
        </w:tc>
        <w:tc>
          <w:tcPr>
            <w:tcW w:w="1100" w:type="dxa"/>
            <w:vAlign w:val="bottom"/>
            <w:tcBorders>
              <w:bottom w:val="single" w:sz="8" w:color="C0C0C0"/>
            </w:tcBorders>
          </w:tcPr>
          <w:p>
            <w:pPr>
              <w:spacing w:after="0"/>
              <w:rPr>
                <w:sz w:val="24"/>
                <w:szCs w:val="24"/>
                <w:color w:val="auto"/>
              </w:rPr>
            </w:pPr>
          </w:p>
        </w:tc>
        <w:tc>
          <w:tcPr>
            <w:tcW w:w="960" w:type="dxa"/>
            <w:vAlign w:val="bottom"/>
            <w:tcBorders>
              <w:bottom w:val="single" w:sz="8" w:color="C0C0C0"/>
            </w:tcBorders>
          </w:tcPr>
          <w:p>
            <w:pPr>
              <w:spacing w:after="0"/>
              <w:rPr>
                <w:sz w:val="24"/>
                <w:szCs w:val="24"/>
                <w:color w:val="auto"/>
              </w:rPr>
            </w:pPr>
          </w:p>
        </w:tc>
        <w:tc>
          <w:tcPr>
            <w:tcW w:w="980" w:type="dxa"/>
            <w:vAlign w:val="bottom"/>
            <w:tcBorders>
              <w:bottom w:val="single" w:sz="8" w:color="C0C0C0"/>
            </w:tcBorders>
          </w:tcPr>
          <w:p>
            <w:pPr>
              <w:spacing w:after="0"/>
              <w:rPr>
                <w:sz w:val="24"/>
                <w:szCs w:val="24"/>
                <w:color w:val="auto"/>
              </w:rPr>
            </w:pPr>
          </w:p>
        </w:tc>
        <w:tc>
          <w:tcPr>
            <w:tcW w:w="620" w:type="dxa"/>
            <w:vAlign w:val="bottom"/>
            <w:tcBorders>
              <w:bottom w:val="single" w:sz="8" w:color="C0C0C0"/>
            </w:tcBorders>
          </w:tcPr>
          <w:p>
            <w:pPr>
              <w:spacing w:after="0"/>
              <w:rPr>
                <w:sz w:val="24"/>
                <w:szCs w:val="24"/>
                <w:color w:val="auto"/>
              </w:rPr>
            </w:pPr>
          </w:p>
        </w:tc>
        <w:tc>
          <w:tcPr>
            <w:tcW w:w="760" w:type="dxa"/>
            <w:vAlign w:val="bottom"/>
            <w:tcBorders>
              <w:bottom w:val="single" w:sz="8" w:color="C0C0C0"/>
            </w:tcBorders>
          </w:tcPr>
          <w:p>
            <w:pPr>
              <w:spacing w:after="0"/>
              <w:rPr>
                <w:sz w:val="24"/>
                <w:szCs w:val="24"/>
                <w:color w:val="auto"/>
              </w:rPr>
            </w:pPr>
          </w:p>
        </w:tc>
        <w:tc>
          <w:tcPr>
            <w:tcW w:w="12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1120" w:type="dxa"/>
            <w:vAlign w:val="bottom"/>
            <w:tcBorders>
              <w:bottom w:val="single" w:sz="8" w:color="C0C0C0"/>
            </w:tcBorders>
            <w:shd w:val="clear" w:color="auto" w:fill="C0C0C0"/>
          </w:tcPr>
          <w:p>
            <w:pPr>
              <w:ind w:left="40"/>
              <w:spacing w:after="0"/>
              <w:rPr>
                <w:sz w:val="20"/>
                <w:szCs w:val="20"/>
                <w:color w:val="auto"/>
              </w:rPr>
            </w:pPr>
            <w:r>
              <w:rPr>
                <w:rFonts w:ascii="Arial" w:cs="Arial" w:eastAsia="Arial" w:hAnsi="Arial"/>
                <w:sz w:val="14"/>
                <w:szCs w:val="14"/>
                <w:b w:val="1"/>
                <w:bCs w:val="1"/>
                <w:color w:val="auto"/>
              </w:rPr>
              <w:t>Grand Total</w:t>
            </w:r>
          </w:p>
        </w:tc>
        <w:tc>
          <w:tcPr>
            <w:tcW w:w="1120" w:type="dxa"/>
            <w:vAlign w:val="bottom"/>
            <w:tcBorders>
              <w:bottom w:val="single" w:sz="8" w:color="C0C0C0"/>
            </w:tcBorders>
            <w:shd w:val="clear" w:color="auto" w:fill="C0C0C0"/>
          </w:tcPr>
          <w:p>
            <w:pPr>
              <w:spacing w:after="0"/>
              <w:rPr>
                <w:sz w:val="20"/>
                <w:szCs w:val="20"/>
                <w:color w:val="auto"/>
              </w:rPr>
            </w:pPr>
          </w:p>
        </w:tc>
        <w:tc>
          <w:tcPr>
            <w:tcW w:w="2220" w:type="dxa"/>
            <w:vAlign w:val="bottom"/>
            <w:tcBorders>
              <w:bottom w:val="single" w:sz="8" w:color="C0C0C0"/>
            </w:tcBorders>
            <w:shd w:val="clear" w:color="auto" w:fill="C0C0C0"/>
          </w:tcPr>
          <w:p>
            <w:pPr>
              <w:spacing w:after="0"/>
              <w:rPr>
                <w:sz w:val="20"/>
                <w:szCs w:val="20"/>
                <w:color w:val="auto"/>
              </w:rPr>
            </w:pPr>
          </w:p>
        </w:tc>
        <w:tc>
          <w:tcPr>
            <w:tcW w:w="900" w:type="dxa"/>
            <w:vAlign w:val="bottom"/>
            <w:tcBorders>
              <w:bottom w:val="single" w:sz="8" w:color="C0C0C0"/>
            </w:tcBorders>
            <w:shd w:val="clear" w:color="auto" w:fill="C0C0C0"/>
          </w:tcPr>
          <w:p>
            <w:pPr>
              <w:spacing w:after="0"/>
              <w:rPr>
                <w:sz w:val="20"/>
                <w:szCs w:val="20"/>
                <w:color w:val="auto"/>
              </w:rPr>
            </w:pPr>
          </w:p>
        </w:tc>
        <w:tc>
          <w:tcPr>
            <w:tcW w:w="1100" w:type="dxa"/>
            <w:vAlign w:val="bottom"/>
            <w:tcBorders>
              <w:bottom w:val="single" w:sz="8" w:color="C0C0C0"/>
            </w:tcBorders>
            <w:shd w:val="clear" w:color="auto" w:fill="C0C0C0"/>
          </w:tcPr>
          <w:p>
            <w:pPr>
              <w:spacing w:after="0"/>
              <w:rPr>
                <w:sz w:val="20"/>
                <w:szCs w:val="20"/>
                <w:color w:val="auto"/>
              </w:rPr>
            </w:pPr>
          </w:p>
        </w:tc>
        <w:tc>
          <w:tcPr>
            <w:tcW w:w="960" w:type="dxa"/>
            <w:vAlign w:val="bottom"/>
            <w:tcBorders>
              <w:bottom w:val="single" w:sz="8" w:color="C0C0C0"/>
            </w:tcBorders>
            <w:shd w:val="clear" w:color="auto" w:fill="C0C0C0"/>
          </w:tcPr>
          <w:p>
            <w:pPr>
              <w:spacing w:after="0"/>
              <w:rPr>
                <w:sz w:val="20"/>
                <w:szCs w:val="20"/>
                <w:color w:val="auto"/>
              </w:rPr>
            </w:pPr>
          </w:p>
        </w:tc>
        <w:tc>
          <w:tcPr>
            <w:tcW w:w="980" w:type="dxa"/>
            <w:vAlign w:val="bottom"/>
            <w:tcBorders>
              <w:bottom w:val="single" w:sz="8" w:color="C0C0C0"/>
            </w:tcBorders>
            <w:shd w:val="clear" w:color="auto" w:fill="C0C0C0"/>
          </w:tcPr>
          <w:p>
            <w:pPr>
              <w:spacing w:after="0"/>
              <w:rPr>
                <w:sz w:val="20"/>
                <w:szCs w:val="20"/>
                <w:color w:val="auto"/>
              </w:rPr>
            </w:pPr>
          </w:p>
        </w:tc>
        <w:tc>
          <w:tcPr>
            <w:tcW w:w="620" w:type="dxa"/>
            <w:vAlign w:val="bottom"/>
            <w:tcBorders>
              <w:bottom w:val="single" w:sz="8" w:color="C0C0C0"/>
            </w:tcBorders>
            <w:shd w:val="clear" w:color="auto" w:fill="C0C0C0"/>
          </w:tcPr>
          <w:p>
            <w:pPr>
              <w:spacing w:after="0"/>
              <w:rPr>
                <w:sz w:val="20"/>
                <w:szCs w:val="20"/>
                <w:color w:val="auto"/>
              </w:rPr>
            </w:pPr>
          </w:p>
        </w:tc>
        <w:tc>
          <w:tcPr>
            <w:tcW w:w="760" w:type="dxa"/>
            <w:vAlign w:val="bottom"/>
            <w:tcBorders>
              <w:bottom w:val="single" w:sz="8" w:color="C0C0C0"/>
            </w:tcBorders>
            <w:shd w:val="clear" w:color="auto" w:fill="C0C0C0"/>
          </w:tcPr>
          <w:p>
            <w:pPr>
              <w:spacing w:after="0"/>
              <w:rPr>
                <w:sz w:val="20"/>
                <w:szCs w:val="20"/>
                <w:color w:val="auto"/>
              </w:rPr>
            </w:pPr>
          </w:p>
        </w:tc>
        <w:tc>
          <w:tcPr>
            <w:tcW w:w="1280" w:type="dxa"/>
            <w:vAlign w:val="bottom"/>
            <w:tcBorders>
              <w:bottom w:val="single" w:sz="8" w:color="auto"/>
            </w:tcBorders>
            <w:shd w:val="clear" w:color="auto" w:fill="C0C0C0"/>
          </w:tcPr>
          <w:p>
            <w:pPr>
              <w:jc w:val="right"/>
              <w:spacing w:after="0"/>
              <w:rPr>
                <w:sz w:val="20"/>
                <w:szCs w:val="20"/>
                <w:color w:val="auto"/>
              </w:rPr>
            </w:pPr>
            <w:r>
              <w:rPr>
                <w:rFonts w:ascii="Arial" w:cs="Arial" w:eastAsia="Arial" w:hAnsi="Arial"/>
                <w:sz w:val="14"/>
                <w:szCs w:val="14"/>
                <w:b w:val="1"/>
                <w:bCs w:val="1"/>
                <w:color w:val="auto"/>
              </w:rPr>
              <w:t>$ 45,447,413</w:t>
            </w:r>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71" w:lineRule="exact"/>
        <w:rPr>
          <w:sz w:val="20"/>
          <w:szCs w:val="20"/>
          <w:color w:val="auto"/>
        </w:rPr>
      </w:pPr>
    </w:p>
    <w:p>
      <w:pPr>
        <w:ind w:left="3940"/>
        <w:spacing w:after="0"/>
        <w:rPr>
          <w:sz w:val="20"/>
          <w:szCs w:val="20"/>
          <w:color w:val="auto"/>
        </w:rPr>
      </w:pPr>
      <w:r>
        <w:rPr>
          <w:rFonts w:ascii="Arial" w:cs="Arial" w:eastAsia="Arial" w:hAnsi="Arial"/>
          <w:sz w:val="20"/>
          <w:szCs w:val="20"/>
          <w:b w:val="1"/>
          <w:bCs w:val="1"/>
          <w:u w:val="single" w:color="auto"/>
          <w:color w:val="auto"/>
        </w:rPr>
        <w:t>Schedule 2.14 - Designated Borrowers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311150</wp:posOffset>
            </wp:positionH>
            <wp:positionV relativeFrom="paragraph">
              <wp:posOffset>31115</wp:posOffset>
            </wp:positionV>
            <wp:extent cx="6405880" cy="18034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6405880" cy="180340"/>
                    </a:xfrm>
                    <a:prstGeom prst="rect">
                      <a:avLst/>
                    </a:prstGeom>
                    <a:noFill/>
                  </pic:spPr>
                </pic:pic>
              </a:graphicData>
            </a:graphic>
          </wp:anchor>
        </w:drawing>
      </w:r>
    </w:p>
    <w:p>
      <w:pPr>
        <w:spacing w:after="0" w:line="34" w:lineRule="exact"/>
        <w:rPr>
          <w:sz w:val="20"/>
          <w:szCs w:val="20"/>
          <w:color w:val="auto"/>
        </w:rPr>
      </w:pPr>
    </w:p>
    <w:p>
      <w:pPr>
        <w:ind w:left="520"/>
        <w:spacing w:after="0"/>
        <w:rPr>
          <w:sz w:val="20"/>
          <w:szCs w:val="20"/>
          <w:color w:val="auto"/>
        </w:rPr>
      </w:pPr>
      <w:r>
        <w:rPr>
          <w:rFonts w:ascii="Arial" w:cs="Arial" w:eastAsia="Arial" w:hAnsi="Arial"/>
          <w:sz w:val="20"/>
          <w:szCs w:val="20"/>
          <w:b w:val="1"/>
          <w:bCs w:val="1"/>
          <w:color w:val="auto"/>
        </w:rPr>
        <w:t>Designated Borrowers for Revolving Loans</w:t>
      </w:r>
    </w:p>
    <w:p>
      <w:pPr>
        <w:spacing w:after="0" w:line="36" w:lineRule="exact"/>
        <w:rPr>
          <w:sz w:val="20"/>
          <w:szCs w:val="20"/>
          <w:color w:val="auto"/>
        </w:rPr>
      </w:pPr>
    </w:p>
    <w:tbl>
      <w:tblPr>
        <w:tblLayout w:type="fixed"/>
        <w:tblInd w:w="520" w:type="dxa"/>
        <w:tblCellMar>
          <w:top w:w="0" w:type="dxa"/>
          <w:left w:w="0" w:type="dxa"/>
          <w:bottom w:w="0" w:type="dxa"/>
          <w:right w:w="0" w:type="dxa"/>
        </w:tblCellMar>
      </w:tblPr>
      <w:tr>
        <w:trPr>
          <w:trHeight w:val="230"/>
        </w:trPr>
        <w:tc>
          <w:tcPr>
            <w:tcW w:w="520" w:type="dxa"/>
            <w:vAlign w:val="bottom"/>
          </w:tcPr>
          <w:p>
            <w:pPr>
              <w:spacing w:after="0"/>
              <w:rPr>
                <w:sz w:val="19"/>
                <w:szCs w:val="19"/>
                <w:color w:val="auto"/>
              </w:rPr>
            </w:pPr>
          </w:p>
        </w:tc>
        <w:tc>
          <w:tcPr>
            <w:tcW w:w="27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80" w:type="dxa"/>
            <w:vAlign w:val="bottom"/>
            <w:gridSpan w:val="2"/>
          </w:tcPr>
          <w:p>
            <w:pPr>
              <w:jc w:val="right"/>
              <w:spacing w:after="0"/>
              <w:rPr>
                <w:sz w:val="20"/>
                <w:szCs w:val="20"/>
                <w:color w:val="auto"/>
              </w:rPr>
            </w:pPr>
            <w:r>
              <w:rPr>
                <w:rFonts w:ascii="Arial" w:cs="Arial" w:eastAsia="Arial" w:hAnsi="Arial"/>
                <w:sz w:val="20"/>
                <w:szCs w:val="20"/>
                <w:b w:val="1"/>
                <w:bCs w:val="1"/>
                <w:color w:val="auto"/>
                <w:w w:val="93"/>
              </w:rPr>
              <w:t>European</w:t>
            </w:r>
          </w:p>
        </w:tc>
        <w:tc>
          <w:tcPr>
            <w:tcW w:w="200" w:type="dxa"/>
            <w:vAlign w:val="bottom"/>
          </w:tcPr>
          <w:p>
            <w:pPr>
              <w:spacing w:after="0"/>
              <w:rPr>
                <w:sz w:val="19"/>
                <w:szCs w:val="19"/>
                <w:color w:val="auto"/>
              </w:rPr>
            </w:pPr>
          </w:p>
        </w:tc>
        <w:tc>
          <w:tcPr>
            <w:tcW w:w="1080" w:type="dxa"/>
            <w:vAlign w:val="bottom"/>
            <w:gridSpan w:val="3"/>
          </w:tcPr>
          <w:p>
            <w:pPr>
              <w:jc w:val="right"/>
              <w:ind w:right="140"/>
              <w:spacing w:after="0"/>
              <w:rPr>
                <w:sz w:val="20"/>
                <w:szCs w:val="20"/>
                <w:color w:val="auto"/>
              </w:rPr>
            </w:pPr>
            <w:r>
              <w:rPr>
                <w:rFonts w:ascii="Arial" w:cs="Arial" w:eastAsia="Arial" w:hAnsi="Arial"/>
                <w:sz w:val="20"/>
                <w:szCs w:val="20"/>
                <w:b w:val="1"/>
                <w:bCs w:val="1"/>
                <w:color w:val="auto"/>
                <w:w w:val="94"/>
              </w:rPr>
              <w:t>Australian</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20"/>
                <w:szCs w:val="20"/>
                <w:b w:val="1"/>
                <w:bCs w:val="1"/>
                <w:color w:val="auto"/>
              </w:rPr>
              <w:t>India</w:t>
            </w:r>
          </w:p>
        </w:tc>
        <w:tc>
          <w:tcPr>
            <w:tcW w:w="0" w:type="dxa"/>
            <w:vAlign w:val="bottom"/>
          </w:tcPr>
          <w:p>
            <w:pPr>
              <w:spacing w:after="0"/>
              <w:rPr>
                <w:sz w:val="1"/>
                <w:szCs w:val="1"/>
                <w:color w:val="auto"/>
              </w:rPr>
            </w:pPr>
          </w:p>
        </w:tc>
      </w:tr>
      <w:tr>
        <w:trPr>
          <w:trHeight w:val="20"/>
        </w:trPr>
        <w:tc>
          <w:tcPr>
            <w:tcW w:w="52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420" w:type="dxa"/>
            <w:vAlign w:val="bottom"/>
            <w:gridSpan w:val="3"/>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280" w:type="dxa"/>
            <w:vAlign w:val="bottom"/>
            <w:gridSpan w:val="2"/>
            <w:vMerge w:val="restart"/>
          </w:tcPr>
          <w:p>
            <w:pPr>
              <w:spacing w:after="0"/>
              <w:rPr>
                <w:sz w:val="20"/>
                <w:szCs w:val="20"/>
                <w:color w:val="auto"/>
              </w:rPr>
            </w:pPr>
            <w:r>
              <w:rPr>
                <w:rFonts w:ascii="Arial" w:cs="Arial" w:eastAsia="Arial" w:hAnsi="Arial"/>
                <w:sz w:val="20"/>
                <w:szCs w:val="20"/>
                <w:b w:val="1"/>
                <w:bCs w:val="1"/>
                <w:color w:val="auto"/>
              </w:rPr>
              <w:t>Entity</w:t>
            </w:r>
          </w:p>
        </w:tc>
        <w:tc>
          <w:tcPr>
            <w:tcW w:w="1740" w:type="dxa"/>
            <w:vAlign w:val="bottom"/>
            <w:gridSpan w:val="2"/>
            <w:vMerge w:val="restart"/>
          </w:tcPr>
          <w:p>
            <w:pPr>
              <w:spacing w:after="0"/>
              <w:rPr>
                <w:sz w:val="20"/>
                <w:szCs w:val="20"/>
                <w:color w:val="auto"/>
              </w:rPr>
            </w:pPr>
            <w:r>
              <w:rPr>
                <w:rFonts w:ascii="Arial" w:cs="Arial" w:eastAsia="Arial" w:hAnsi="Arial"/>
                <w:sz w:val="20"/>
                <w:szCs w:val="20"/>
                <w:b w:val="1"/>
                <w:bCs w:val="1"/>
                <w:color w:val="auto"/>
              </w:rPr>
              <w:t>Jurisdiction</w:t>
            </w:r>
          </w:p>
        </w:tc>
        <w:tc>
          <w:tcPr>
            <w:tcW w:w="2760" w:type="dxa"/>
            <w:vAlign w:val="bottom"/>
            <w:gridSpan w:val="6"/>
          </w:tcPr>
          <w:p>
            <w:pPr>
              <w:jc w:val="right"/>
              <w:spacing w:after="0" w:line="209" w:lineRule="exact"/>
              <w:rPr>
                <w:sz w:val="20"/>
                <w:szCs w:val="20"/>
                <w:color w:val="auto"/>
              </w:rPr>
            </w:pPr>
            <w:r>
              <w:rPr>
                <w:rFonts w:ascii="Arial" w:cs="Arial" w:eastAsia="Arial" w:hAnsi="Arial"/>
                <w:sz w:val="20"/>
                <w:szCs w:val="20"/>
                <w:b w:val="1"/>
                <w:bCs w:val="1"/>
                <w:color w:val="auto"/>
                <w:w w:val="91"/>
              </w:rPr>
              <w:t>USD Revolving Revolving Loan</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140"/>
              <w:spacing w:after="0" w:line="209" w:lineRule="exact"/>
              <w:rPr>
                <w:sz w:val="20"/>
                <w:szCs w:val="20"/>
                <w:color w:val="auto"/>
              </w:rPr>
            </w:pPr>
            <w:r>
              <w:rPr>
                <w:rFonts w:ascii="Arial" w:cs="Arial" w:eastAsia="Arial" w:hAnsi="Arial"/>
                <w:sz w:val="20"/>
                <w:szCs w:val="20"/>
                <w:b w:val="1"/>
                <w:bCs w:val="1"/>
                <w:color w:val="auto"/>
                <w:w w:val="85"/>
              </w:rPr>
              <w:t>Revolving</w:t>
            </w:r>
          </w:p>
        </w:tc>
        <w:tc>
          <w:tcPr>
            <w:tcW w:w="120" w:type="dxa"/>
            <w:vAlign w:val="bottom"/>
          </w:tcPr>
          <w:p>
            <w:pPr>
              <w:spacing w:after="0"/>
              <w:rPr>
                <w:sz w:val="18"/>
                <w:szCs w:val="18"/>
                <w:color w:val="auto"/>
              </w:rPr>
            </w:pPr>
          </w:p>
        </w:tc>
        <w:tc>
          <w:tcPr>
            <w:tcW w:w="860" w:type="dxa"/>
            <w:vAlign w:val="bottom"/>
            <w:gridSpan w:val="2"/>
          </w:tcPr>
          <w:p>
            <w:pPr>
              <w:jc w:val="right"/>
              <w:spacing w:after="0" w:line="209" w:lineRule="exact"/>
              <w:rPr>
                <w:sz w:val="20"/>
                <w:szCs w:val="20"/>
                <w:color w:val="auto"/>
              </w:rPr>
            </w:pPr>
            <w:r>
              <w:rPr>
                <w:rFonts w:ascii="Arial" w:cs="Arial" w:eastAsia="Arial" w:hAnsi="Arial"/>
                <w:sz w:val="20"/>
                <w:szCs w:val="20"/>
                <w:b w:val="1"/>
                <w:bCs w:val="1"/>
                <w:color w:val="auto"/>
                <w:w w:val="87"/>
              </w:rPr>
              <w:t>Revolving</w:t>
            </w:r>
          </w:p>
        </w:tc>
        <w:tc>
          <w:tcPr>
            <w:tcW w:w="0" w:type="dxa"/>
            <w:vAlign w:val="bottom"/>
          </w:tcPr>
          <w:p>
            <w:pPr>
              <w:spacing w:after="0"/>
              <w:rPr>
                <w:sz w:val="1"/>
                <w:szCs w:val="1"/>
                <w:color w:val="auto"/>
              </w:rPr>
            </w:pPr>
          </w:p>
        </w:tc>
      </w:tr>
      <w:tr>
        <w:trPr>
          <w:trHeight w:val="20"/>
        </w:trPr>
        <w:tc>
          <w:tcPr>
            <w:tcW w:w="3280" w:type="dxa"/>
            <w:vAlign w:val="bottom"/>
            <w:gridSpan w:val="2"/>
            <w:vMerge w:val="continue"/>
          </w:tcPr>
          <w:p>
            <w:pPr>
              <w:spacing w:after="0" w:line="20" w:lineRule="exact"/>
              <w:rPr>
                <w:sz w:val="1"/>
                <w:szCs w:val="1"/>
                <w:color w:val="auto"/>
              </w:rPr>
            </w:pPr>
          </w:p>
        </w:tc>
        <w:tc>
          <w:tcPr>
            <w:tcW w:w="1740" w:type="dxa"/>
            <w:vAlign w:val="bottom"/>
            <w:gridSpan w:val="2"/>
            <w:vMerge w:val="continue"/>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280" w:type="dxa"/>
            <w:vAlign w:val="bottom"/>
            <w:gridSpan w:val="2"/>
            <w:vMerge w:val="continue"/>
          </w:tcPr>
          <w:p>
            <w:pPr>
              <w:spacing w:after="0"/>
              <w:rPr>
                <w:sz w:val="18"/>
                <w:szCs w:val="18"/>
                <w:color w:val="auto"/>
              </w:rPr>
            </w:pPr>
          </w:p>
        </w:tc>
        <w:tc>
          <w:tcPr>
            <w:tcW w:w="1740" w:type="dxa"/>
            <w:vAlign w:val="bottom"/>
            <w:gridSpan w:val="2"/>
            <w:vMerge w:val="continue"/>
          </w:tcPr>
          <w:p>
            <w:pPr>
              <w:spacing w:after="0"/>
              <w:rPr>
                <w:sz w:val="18"/>
                <w:szCs w:val="18"/>
                <w:color w:val="auto"/>
              </w:rPr>
            </w:pPr>
          </w:p>
        </w:tc>
        <w:tc>
          <w:tcPr>
            <w:tcW w:w="1360" w:type="dxa"/>
            <w:vAlign w:val="bottom"/>
            <w:gridSpan w:val="2"/>
          </w:tcPr>
          <w:p>
            <w:pPr>
              <w:jc w:val="right"/>
              <w:spacing w:after="0" w:line="209" w:lineRule="exact"/>
              <w:rPr>
                <w:sz w:val="20"/>
                <w:szCs w:val="20"/>
                <w:color w:val="auto"/>
              </w:rPr>
            </w:pPr>
            <w:r>
              <w:rPr>
                <w:rFonts w:ascii="Arial" w:cs="Arial" w:eastAsia="Arial" w:hAnsi="Arial"/>
                <w:sz w:val="20"/>
                <w:szCs w:val="20"/>
                <w:b w:val="1"/>
                <w:bCs w:val="1"/>
                <w:color w:val="auto"/>
              </w:rPr>
              <w:t>Loan Limit</w:t>
            </w:r>
          </w:p>
        </w:tc>
        <w:tc>
          <w:tcPr>
            <w:tcW w:w="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80" w:type="dxa"/>
            <w:vAlign w:val="bottom"/>
          </w:tcPr>
          <w:p>
            <w:pPr>
              <w:jc w:val="right"/>
              <w:spacing w:after="0" w:line="209" w:lineRule="exact"/>
              <w:rPr>
                <w:sz w:val="20"/>
                <w:szCs w:val="20"/>
                <w:color w:val="auto"/>
              </w:rPr>
            </w:pPr>
            <w:r>
              <w:rPr>
                <w:rFonts w:ascii="Arial" w:cs="Arial" w:eastAsia="Arial" w:hAnsi="Arial"/>
                <w:sz w:val="20"/>
                <w:szCs w:val="20"/>
                <w:b w:val="1"/>
                <w:bCs w:val="1"/>
                <w:color w:val="auto"/>
                <w:w w:val="96"/>
              </w:rPr>
              <w:t>Limit</w:t>
            </w:r>
          </w:p>
        </w:tc>
        <w:tc>
          <w:tcPr>
            <w:tcW w:w="200" w:type="dxa"/>
            <w:vAlign w:val="bottom"/>
          </w:tcPr>
          <w:p>
            <w:pPr>
              <w:spacing w:after="0"/>
              <w:rPr>
                <w:sz w:val="18"/>
                <w:szCs w:val="18"/>
                <w:color w:val="auto"/>
              </w:rPr>
            </w:pPr>
          </w:p>
        </w:tc>
        <w:tc>
          <w:tcPr>
            <w:tcW w:w="1080" w:type="dxa"/>
            <w:vAlign w:val="bottom"/>
            <w:gridSpan w:val="3"/>
          </w:tcPr>
          <w:p>
            <w:pPr>
              <w:jc w:val="right"/>
              <w:ind w:right="140"/>
              <w:spacing w:after="0" w:line="209" w:lineRule="exact"/>
              <w:rPr>
                <w:sz w:val="20"/>
                <w:szCs w:val="20"/>
                <w:color w:val="auto"/>
              </w:rPr>
            </w:pPr>
            <w:r>
              <w:rPr>
                <w:rFonts w:ascii="Arial" w:cs="Arial" w:eastAsia="Arial" w:hAnsi="Arial"/>
                <w:sz w:val="20"/>
                <w:szCs w:val="20"/>
                <w:b w:val="1"/>
                <w:bCs w:val="1"/>
                <w:color w:val="auto"/>
                <w:w w:val="90"/>
              </w:rPr>
              <w:t>Loan Limit</w:t>
            </w:r>
          </w:p>
        </w:tc>
        <w:tc>
          <w:tcPr>
            <w:tcW w:w="980" w:type="dxa"/>
            <w:vAlign w:val="bottom"/>
            <w:gridSpan w:val="3"/>
          </w:tcPr>
          <w:p>
            <w:pPr>
              <w:jc w:val="right"/>
              <w:spacing w:after="0" w:line="209" w:lineRule="exact"/>
              <w:rPr>
                <w:sz w:val="20"/>
                <w:szCs w:val="20"/>
                <w:color w:val="auto"/>
              </w:rPr>
            </w:pPr>
            <w:r>
              <w:rPr>
                <w:rFonts w:ascii="Arial" w:cs="Arial" w:eastAsia="Arial" w:hAnsi="Arial"/>
                <w:sz w:val="20"/>
                <w:szCs w:val="20"/>
                <w:b w:val="1"/>
                <w:bCs w:val="1"/>
                <w:color w:val="auto"/>
                <w:w w:val="94"/>
              </w:rPr>
              <w:t>Loan Limit</w:t>
            </w:r>
          </w:p>
        </w:tc>
        <w:tc>
          <w:tcPr>
            <w:tcW w:w="0" w:type="dxa"/>
            <w:vAlign w:val="bottom"/>
          </w:tcPr>
          <w:p>
            <w:pPr>
              <w:spacing w:after="0"/>
              <w:rPr>
                <w:sz w:val="1"/>
                <w:szCs w:val="1"/>
                <w:color w:val="auto"/>
              </w:rPr>
            </w:pPr>
          </w:p>
        </w:tc>
      </w:tr>
      <w:tr>
        <w:trPr>
          <w:trHeight w:val="20"/>
        </w:trPr>
        <w:tc>
          <w:tcPr>
            <w:tcW w:w="520" w:type="dxa"/>
            <w:vAlign w:val="bottom"/>
            <w:shd w:val="clear" w:color="auto" w:fill="000000"/>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00" w:type="dxa"/>
            <w:vAlign w:val="bottom"/>
            <w:tcBorders>
              <w:right w:val="single" w:sz="8" w:color="auto"/>
            </w:tcBorders>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8"/>
        </w:trPr>
        <w:tc>
          <w:tcPr>
            <w:tcW w:w="3280" w:type="dxa"/>
            <w:vAlign w:val="bottom"/>
            <w:gridSpan w:val="2"/>
          </w:tcPr>
          <w:p>
            <w:pPr>
              <w:spacing w:after="0"/>
              <w:rPr>
                <w:sz w:val="20"/>
                <w:szCs w:val="20"/>
                <w:color w:val="auto"/>
              </w:rPr>
            </w:pPr>
            <w:r>
              <w:rPr>
                <w:rFonts w:ascii="Arial" w:cs="Arial" w:eastAsia="Arial" w:hAnsi="Arial"/>
                <w:sz w:val="20"/>
                <w:szCs w:val="20"/>
                <w:color w:val="auto"/>
              </w:rPr>
              <w:t>Euronet Worldwide, Inc.</w:t>
            </w:r>
          </w:p>
        </w:tc>
        <w:tc>
          <w:tcPr>
            <w:tcW w:w="1740" w:type="dxa"/>
            <w:vAlign w:val="bottom"/>
            <w:gridSpan w:val="2"/>
          </w:tcPr>
          <w:p>
            <w:pPr>
              <w:spacing w:after="0"/>
              <w:rPr>
                <w:sz w:val="20"/>
                <w:szCs w:val="20"/>
                <w:color w:val="auto"/>
              </w:rPr>
            </w:pPr>
            <w:r>
              <w:rPr>
                <w:rFonts w:ascii="Arial" w:cs="Arial" w:eastAsia="Arial" w:hAnsi="Arial"/>
                <w:sz w:val="20"/>
                <w:szCs w:val="20"/>
                <w:color w:val="auto"/>
              </w:rPr>
              <w:t>Delaware, USA</w:t>
            </w:r>
          </w:p>
        </w:tc>
        <w:tc>
          <w:tcPr>
            <w:tcW w:w="1360" w:type="dxa"/>
            <w:vAlign w:val="bottom"/>
            <w:gridSpan w:val="2"/>
          </w:tcPr>
          <w:p>
            <w:pPr>
              <w:jc w:val="right"/>
              <w:spacing w:after="0"/>
              <w:rPr>
                <w:sz w:val="20"/>
                <w:szCs w:val="20"/>
                <w:color w:val="auto"/>
              </w:rPr>
            </w:pPr>
            <w:r>
              <w:rPr>
                <w:rFonts w:ascii="Arial" w:cs="Arial" w:eastAsia="Arial" w:hAnsi="Arial"/>
                <w:sz w:val="20"/>
                <w:szCs w:val="20"/>
                <w:color w:val="auto"/>
              </w:rPr>
              <w:t>590,000,000</w:t>
            </w:r>
          </w:p>
        </w:tc>
        <w:tc>
          <w:tcPr>
            <w:tcW w:w="1400" w:type="dxa"/>
            <w:vAlign w:val="bottom"/>
            <w:gridSpan w:val="4"/>
          </w:tcPr>
          <w:p>
            <w:pPr>
              <w:jc w:val="right"/>
              <w:spacing w:after="0"/>
              <w:rPr>
                <w:sz w:val="20"/>
                <w:szCs w:val="20"/>
                <w:color w:val="auto"/>
              </w:rPr>
            </w:pPr>
            <w:r>
              <w:rPr>
                <w:rFonts w:ascii="Arial" w:cs="Arial" w:eastAsia="Arial" w:hAnsi="Arial"/>
                <w:sz w:val="20"/>
                <w:szCs w:val="20"/>
                <w:color w:val="auto"/>
              </w:rPr>
              <w:t>460,500,000</w:t>
            </w:r>
          </w:p>
        </w:tc>
        <w:tc>
          <w:tcPr>
            <w:tcW w:w="1280" w:type="dxa"/>
            <w:vAlign w:val="bottom"/>
            <w:gridSpan w:val="4"/>
          </w:tcPr>
          <w:p>
            <w:pPr>
              <w:jc w:val="right"/>
              <w:ind w:right="140"/>
              <w:spacing w:after="0"/>
              <w:rPr>
                <w:sz w:val="20"/>
                <w:szCs w:val="20"/>
                <w:color w:val="auto"/>
              </w:rPr>
            </w:pPr>
            <w:r>
              <w:rPr>
                <w:rFonts w:ascii="Arial" w:cs="Arial" w:eastAsia="Arial" w:hAnsi="Arial"/>
                <w:sz w:val="20"/>
                <w:szCs w:val="20"/>
                <w:color w:val="auto"/>
              </w:rPr>
              <w:t>440,000,000</w:t>
            </w:r>
          </w:p>
        </w:tc>
        <w:tc>
          <w:tcPr>
            <w:tcW w:w="980" w:type="dxa"/>
            <w:vAlign w:val="bottom"/>
            <w:gridSpan w:val="3"/>
          </w:tcPr>
          <w:p>
            <w:pPr>
              <w:jc w:val="right"/>
              <w:spacing w:after="0"/>
              <w:rPr>
                <w:sz w:val="20"/>
                <w:szCs w:val="20"/>
                <w:color w:val="auto"/>
              </w:rPr>
            </w:pPr>
            <w:r>
              <w:rPr>
                <w:rFonts w:ascii="Arial" w:cs="Arial" w:eastAsia="Arial" w:hAnsi="Arial"/>
                <w:sz w:val="20"/>
                <w:szCs w:val="20"/>
                <w:color w:val="auto"/>
              </w:rPr>
              <w:t>0</w:t>
            </w:r>
          </w:p>
        </w:tc>
        <w:tc>
          <w:tcPr>
            <w:tcW w:w="0" w:type="dxa"/>
            <w:vAlign w:val="bottom"/>
          </w:tcPr>
          <w:p>
            <w:pPr>
              <w:spacing w:after="0"/>
              <w:rPr>
                <w:sz w:val="1"/>
                <w:szCs w:val="1"/>
                <w:color w:val="auto"/>
              </w:rPr>
            </w:pPr>
          </w:p>
        </w:tc>
      </w:tr>
    </w:tbl>
    <w:p>
      <w:pPr>
        <w:sectPr>
          <w:pgSz w:w="11900" w:h="16838" w:orient="portrait"/>
          <w:cols w:equalWidth="0" w:num="1">
            <w:col w:w="11060"/>
          </w:cols>
          <w:pgMar w:left="420" w:top="514" w:right="419" w:bottom="1440" w:gutter="0" w:footer="0" w:header="0"/>
        </w:sectPr>
      </w:pPr>
    </w:p>
    <w:bookmarkStart w:id="265" w:name="page266"/>
    <w:bookmarkEnd w:id="265"/>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50"/>
        </w:trPr>
        <w:tc>
          <w:tcPr>
            <w:tcW w:w="40" w:type="dxa"/>
            <w:vAlign w:val="bottom"/>
          </w:tcPr>
          <w:p>
            <w:pPr>
              <w:spacing w:after="0"/>
              <w:rPr>
                <w:sz w:val="21"/>
                <w:szCs w:val="21"/>
                <w:color w:val="auto"/>
              </w:rPr>
            </w:pPr>
          </w:p>
        </w:tc>
        <w:tc>
          <w:tcPr>
            <w:tcW w:w="3280" w:type="dxa"/>
            <w:vAlign w:val="bottom"/>
            <w:gridSpan w:val="2"/>
          </w:tcPr>
          <w:p>
            <w:pPr>
              <w:spacing w:after="0"/>
              <w:rPr>
                <w:sz w:val="20"/>
                <w:szCs w:val="20"/>
                <w:color w:val="auto"/>
              </w:rPr>
            </w:pPr>
            <w:r>
              <w:rPr>
                <w:rFonts w:ascii="Arial" w:cs="Arial" w:eastAsia="Arial" w:hAnsi="Arial"/>
                <w:sz w:val="20"/>
                <w:szCs w:val="20"/>
                <w:color w:val="auto"/>
                <w:w w:val="99"/>
              </w:rPr>
              <w:t>Continental Exchange Solutions, Inc.</w:t>
            </w:r>
          </w:p>
        </w:tc>
        <w:tc>
          <w:tcPr>
            <w:tcW w:w="1780" w:type="dxa"/>
            <w:vAlign w:val="bottom"/>
            <w:gridSpan w:val="2"/>
          </w:tcPr>
          <w:p>
            <w:pPr>
              <w:spacing w:after="0"/>
              <w:rPr>
                <w:sz w:val="20"/>
                <w:szCs w:val="20"/>
                <w:color w:val="auto"/>
              </w:rPr>
            </w:pPr>
            <w:r>
              <w:rPr>
                <w:rFonts w:ascii="Arial" w:cs="Arial" w:eastAsia="Arial" w:hAnsi="Arial"/>
                <w:sz w:val="20"/>
                <w:szCs w:val="20"/>
                <w:color w:val="auto"/>
              </w:rPr>
              <w:t>Delaware, USA</w:t>
            </w:r>
          </w:p>
        </w:tc>
        <w:tc>
          <w:tcPr>
            <w:tcW w:w="1320" w:type="dxa"/>
            <w:vAlign w:val="bottom"/>
            <w:gridSpan w:val="2"/>
          </w:tcPr>
          <w:p>
            <w:pPr>
              <w:jc w:val="right"/>
              <w:spacing w:after="0"/>
              <w:rPr>
                <w:sz w:val="20"/>
                <w:szCs w:val="20"/>
                <w:color w:val="auto"/>
              </w:rPr>
            </w:pPr>
            <w:r>
              <w:rPr>
                <w:rFonts w:ascii="Arial" w:cs="Arial" w:eastAsia="Arial" w:hAnsi="Arial"/>
                <w:sz w:val="20"/>
                <w:szCs w:val="20"/>
                <w:color w:val="auto"/>
              </w:rPr>
              <w:t>590,000,000</w:t>
            </w:r>
          </w:p>
        </w:tc>
        <w:tc>
          <w:tcPr>
            <w:tcW w:w="1480" w:type="dxa"/>
            <w:vAlign w:val="bottom"/>
            <w:gridSpan w:val="5"/>
          </w:tcPr>
          <w:p>
            <w:pPr>
              <w:jc w:val="right"/>
              <w:ind w:right="80"/>
              <w:spacing w:after="0"/>
              <w:rPr>
                <w:sz w:val="20"/>
                <w:szCs w:val="20"/>
                <w:color w:val="auto"/>
              </w:rPr>
            </w:pPr>
            <w:r>
              <w:rPr>
                <w:rFonts w:ascii="Arial" w:cs="Arial" w:eastAsia="Arial" w:hAnsi="Arial"/>
                <w:sz w:val="20"/>
                <w:szCs w:val="20"/>
                <w:color w:val="auto"/>
              </w:rPr>
              <w:t>460,500,000</w:t>
            </w:r>
          </w:p>
        </w:tc>
        <w:tc>
          <w:tcPr>
            <w:tcW w:w="1180" w:type="dxa"/>
            <w:vAlign w:val="bottom"/>
          </w:tcPr>
          <w:p>
            <w:pPr>
              <w:jc w:val="right"/>
              <w:ind w:right="21"/>
              <w:spacing w:after="0"/>
              <w:rPr>
                <w:sz w:val="20"/>
                <w:szCs w:val="20"/>
                <w:color w:val="auto"/>
              </w:rPr>
            </w:pPr>
            <w:r>
              <w:rPr>
                <w:rFonts w:ascii="Arial" w:cs="Arial" w:eastAsia="Arial" w:hAnsi="Arial"/>
                <w:sz w:val="20"/>
                <w:szCs w:val="20"/>
                <w:color w:val="auto"/>
                <w:w w:val="93"/>
              </w:rPr>
              <w:t>440,000,000</w:t>
            </w:r>
          </w:p>
        </w:tc>
        <w:tc>
          <w:tcPr>
            <w:tcW w:w="1020" w:type="dxa"/>
            <w:vAlign w:val="bottom"/>
          </w:tcPr>
          <w:p>
            <w:pPr>
              <w:jc w:val="right"/>
              <w:spacing w:after="0"/>
              <w:rPr>
                <w:sz w:val="20"/>
                <w:szCs w:val="20"/>
                <w:color w:val="auto"/>
              </w:rPr>
            </w:pPr>
            <w:r>
              <w:rPr>
                <w:rFonts w:ascii="Arial" w:cs="Arial" w:eastAsia="Arial" w:hAnsi="Arial"/>
                <w:sz w:val="20"/>
                <w:szCs w:val="20"/>
                <w:color w:val="auto"/>
              </w:rPr>
              <w:t>0</w:t>
            </w:r>
          </w:p>
        </w:tc>
        <w:tc>
          <w:tcPr>
            <w:tcW w:w="0" w:type="dxa"/>
            <w:vAlign w:val="bottom"/>
          </w:tcPr>
          <w:p>
            <w:pPr>
              <w:spacing w:after="0"/>
              <w:rPr>
                <w:sz w:val="1"/>
                <w:szCs w:val="1"/>
                <w:color w:val="auto"/>
              </w:rPr>
            </w:pPr>
          </w:p>
        </w:tc>
      </w:tr>
      <w:tr>
        <w:trPr>
          <w:trHeight w:val="284"/>
        </w:trPr>
        <w:tc>
          <w:tcPr>
            <w:tcW w:w="40" w:type="dxa"/>
            <w:vAlign w:val="bottom"/>
          </w:tcPr>
          <w:p>
            <w:pPr>
              <w:spacing w:after="0"/>
              <w:rPr>
                <w:sz w:val="24"/>
                <w:szCs w:val="24"/>
                <w:color w:val="auto"/>
              </w:rPr>
            </w:pPr>
          </w:p>
        </w:tc>
        <w:tc>
          <w:tcPr>
            <w:tcW w:w="3280" w:type="dxa"/>
            <w:vAlign w:val="bottom"/>
            <w:gridSpan w:val="2"/>
          </w:tcPr>
          <w:p>
            <w:pPr>
              <w:spacing w:after="0"/>
              <w:rPr>
                <w:sz w:val="20"/>
                <w:szCs w:val="20"/>
                <w:color w:val="auto"/>
              </w:rPr>
            </w:pPr>
            <w:r>
              <w:rPr>
                <w:rFonts w:ascii="Arial" w:cs="Arial" w:eastAsia="Arial" w:hAnsi="Arial"/>
                <w:sz w:val="18"/>
                <w:szCs w:val="18"/>
                <w:color w:val="auto"/>
              </w:rPr>
              <w:t>RIA Envia, Inc.</w:t>
            </w:r>
          </w:p>
        </w:tc>
        <w:tc>
          <w:tcPr>
            <w:tcW w:w="1780" w:type="dxa"/>
            <w:vAlign w:val="bottom"/>
            <w:gridSpan w:val="2"/>
          </w:tcPr>
          <w:p>
            <w:pPr>
              <w:spacing w:after="0"/>
              <w:rPr>
                <w:sz w:val="20"/>
                <w:szCs w:val="20"/>
                <w:color w:val="auto"/>
              </w:rPr>
            </w:pPr>
            <w:r>
              <w:rPr>
                <w:rFonts w:ascii="Arial" w:cs="Arial" w:eastAsia="Arial" w:hAnsi="Arial"/>
                <w:sz w:val="20"/>
                <w:szCs w:val="20"/>
                <w:color w:val="auto"/>
              </w:rPr>
              <w:t>Delaware, USA</w:t>
            </w:r>
          </w:p>
        </w:tc>
        <w:tc>
          <w:tcPr>
            <w:tcW w:w="1320" w:type="dxa"/>
            <w:vAlign w:val="bottom"/>
            <w:gridSpan w:val="2"/>
          </w:tcPr>
          <w:p>
            <w:pPr>
              <w:jc w:val="right"/>
              <w:spacing w:after="0"/>
              <w:rPr>
                <w:sz w:val="20"/>
                <w:szCs w:val="20"/>
                <w:color w:val="auto"/>
              </w:rPr>
            </w:pPr>
            <w:r>
              <w:rPr>
                <w:rFonts w:ascii="Arial" w:cs="Arial" w:eastAsia="Arial" w:hAnsi="Arial"/>
                <w:sz w:val="20"/>
                <w:szCs w:val="20"/>
                <w:color w:val="auto"/>
              </w:rPr>
              <w:t>590,000,000</w:t>
            </w:r>
          </w:p>
        </w:tc>
        <w:tc>
          <w:tcPr>
            <w:tcW w:w="1480" w:type="dxa"/>
            <w:vAlign w:val="bottom"/>
            <w:gridSpan w:val="5"/>
          </w:tcPr>
          <w:p>
            <w:pPr>
              <w:jc w:val="right"/>
              <w:ind w:right="80"/>
              <w:spacing w:after="0"/>
              <w:rPr>
                <w:sz w:val="20"/>
                <w:szCs w:val="20"/>
                <w:color w:val="auto"/>
              </w:rPr>
            </w:pPr>
            <w:r>
              <w:rPr>
                <w:rFonts w:ascii="Arial" w:cs="Arial" w:eastAsia="Arial" w:hAnsi="Arial"/>
                <w:sz w:val="20"/>
                <w:szCs w:val="20"/>
                <w:color w:val="auto"/>
              </w:rPr>
              <w:t>460,500,000</w:t>
            </w:r>
          </w:p>
        </w:tc>
        <w:tc>
          <w:tcPr>
            <w:tcW w:w="1180" w:type="dxa"/>
            <w:vAlign w:val="bottom"/>
          </w:tcPr>
          <w:p>
            <w:pPr>
              <w:jc w:val="right"/>
              <w:ind w:right="21"/>
              <w:spacing w:after="0"/>
              <w:rPr>
                <w:sz w:val="20"/>
                <w:szCs w:val="20"/>
                <w:color w:val="auto"/>
              </w:rPr>
            </w:pPr>
            <w:r>
              <w:rPr>
                <w:rFonts w:ascii="Arial" w:cs="Arial" w:eastAsia="Arial" w:hAnsi="Arial"/>
                <w:sz w:val="20"/>
                <w:szCs w:val="20"/>
                <w:color w:val="auto"/>
                <w:w w:val="93"/>
              </w:rPr>
              <w:t>440,000,000</w:t>
            </w:r>
          </w:p>
        </w:tc>
        <w:tc>
          <w:tcPr>
            <w:tcW w:w="1020" w:type="dxa"/>
            <w:vAlign w:val="bottom"/>
          </w:tcPr>
          <w:p>
            <w:pPr>
              <w:jc w:val="right"/>
              <w:spacing w:after="0"/>
              <w:rPr>
                <w:sz w:val="20"/>
                <w:szCs w:val="20"/>
                <w:color w:val="auto"/>
              </w:rPr>
            </w:pPr>
            <w:r>
              <w:rPr>
                <w:rFonts w:ascii="Arial" w:cs="Arial" w:eastAsia="Arial" w:hAnsi="Arial"/>
                <w:sz w:val="20"/>
                <w:szCs w:val="20"/>
                <w:color w:val="auto"/>
              </w:rPr>
              <w:t>0</w:t>
            </w:r>
          </w:p>
        </w:tc>
        <w:tc>
          <w:tcPr>
            <w:tcW w:w="0" w:type="dxa"/>
            <w:vAlign w:val="bottom"/>
          </w:tcPr>
          <w:p>
            <w:pPr>
              <w:spacing w:after="0"/>
              <w:rPr>
                <w:sz w:val="1"/>
                <w:szCs w:val="1"/>
                <w:color w:val="auto"/>
              </w:rPr>
            </w:pPr>
          </w:p>
        </w:tc>
      </w:tr>
      <w:tr>
        <w:trPr>
          <w:trHeight w:val="284"/>
        </w:trPr>
        <w:tc>
          <w:tcPr>
            <w:tcW w:w="40" w:type="dxa"/>
            <w:vAlign w:val="bottom"/>
          </w:tcPr>
          <w:p>
            <w:pPr>
              <w:spacing w:after="0"/>
              <w:rPr>
                <w:sz w:val="24"/>
                <w:szCs w:val="24"/>
                <w:color w:val="auto"/>
              </w:rPr>
            </w:pPr>
          </w:p>
        </w:tc>
        <w:tc>
          <w:tcPr>
            <w:tcW w:w="3280" w:type="dxa"/>
            <w:vAlign w:val="bottom"/>
            <w:gridSpan w:val="2"/>
          </w:tcPr>
          <w:p>
            <w:pPr>
              <w:spacing w:after="0"/>
              <w:rPr>
                <w:sz w:val="20"/>
                <w:szCs w:val="20"/>
                <w:color w:val="auto"/>
              </w:rPr>
            </w:pPr>
            <w:r>
              <w:rPr>
                <w:rFonts w:ascii="Arial" w:cs="Arial" w:eastAsia="Arial" w:hAnsi="Arial"/>
                <w:sz w:val="20"/>
                <w:szCs w:val="20"/>
                <w:color w:val="auto"/>
              </w:rPr>
              <w:t>EFT Services Holding B.V.</w:t>
            </w:r>
          </w:p>
        </w:tc>
        <w:tc>
          <w:tcPr>
            <w:tcW w:w="1780" w:type="dxa"/>
            <w:vAlign w:val="bottom"/>
            <w:gridSpan w:val="2"/>
          </w:tcPr>
          <w:p>
            <w:pPr>
              <w:spacing w:after="0"/>
              <w:rPr>
                <w:sz w:val="20"/>
                <w:szCs w:val="20"/>
                <w:color w:val="auto"/>
              </w:rPr>
            </w:pPr>
            <w:r>
              <w:rPr>
                <w:rFonts w:ascii="Arial" w:cs="Arial" w:eastAsia="Arial" w:hAnsi="Arial"/>
                <w:sz w:val="20"/>
                <w:szCs w:val="20"/>
                <w:color w:val="auto"/>
              </w:rPr>
              <w:t>Netherlands</w:t>
            </w:r>
          </w:p>
        </w:tc>
        <w:tc>
          <w:tcPr>
            <w:tcW w:w="1320" w:type="dxa"/>
            <w:vAlign w:val="bottom"/>
            <w:gridSpan w:val="2"/>
          </w:tcPr>
          <w:p>
            <w:pPr>
              <w:jc w:val="right"/>
              <w:spacing w:after="0"/>
              <w:rPr>
                <w:sz w:val="20"/>
                <w:szCs w:val="20"/>
                <w:color w:val="auto"/>
              </w:rPr>
            </w:pPr>
            <w:r>
              <w:rPr>
                <w:rFonts w:ascii="Arial" w:cs="Arial" w:eastAsia="Arial" w:hAnsi="Arial"/>
                <w:sz w:val="20"/>
                <w:szCs w:val="20"/>
                <w:color w:val="auto"/>
              </w:rPr>
              <w:t>590,000,000</w:t>
            </w:r>
          </w:p>
        </w:tc>
        <w:tc>
          <w:tcPr>
            <w:tcW w:w="1480" w:type="dxa"/>
            <w:vAlign w:val="bottom"/>
            <w:gridSpan w:val="5"/>
          </w:tcPr>
          <w:p>
            <w:pPr>
              <w:jc w:val="right"/>
              <w:ind w:right="80"/>
              <w:spacing w:after="0"/>
              <w:rPr>
                <w:sz w:val="20"/>
                <w:szCs w:val="20"/>
                <w:color w:val="auto"/>
              </w:rPr>
            </w:pPr>
            <w:r>
              <w:rPr>
                <w:rFonts w:ascii="Arial" w:cs="Arial" w:eastAsia="Arial" w:hAnsi="Arial"/>
                <w:sz w:val="20"/>
                <w:szCs w:val="20"/>
                <w:color w:val="auto"/>
              </w:rPr>
              <w:t>460,500,000</w:t>
            </w:r>
          </w:p>
        </w:tc>
        <w:tc>
          <w:tcPr>
            <w:tcW w:w="1180" w:type="dxa"/>
            <w:vAlign w:val="bottom"/>
          </w:tcPr>
          <w:p>
            <w:pPr>
              <w:jc w:val="right"/>
              <w:ind w:right="21"/>
              <w:spacing w:after="0"/>
              <w:rPr>
                <w:sz w:val="20"/>
                <w:szCs w:val="20"/>
                <w:color w:val="auto"/>
              </w:rPr>
            </w:pPr>
            <w:r>
              <w:rPr>
                <w:rFonts w:ascii="Arial" w:cs="Arial" w:eastAsia="Arial" w:hAnsi="Arial"/>
                <w:sz w:val="20"/>
                <w:szCs w:val="20"/>
                <w:color w:val="auto"/>
                <w:w w:val="93"/>
              </w:rPr>
              <w:t>440,000,000</w:t>
            </w:r>
          </w:p>
        </w:tc>
        <w:tc>
          <w:tcPr>
            <w:tcW w:w="1020" w:type="dxa"/>
            <w:vAlign w:val="bottom"/>
          </w:tcPr>
          <w:p>
            <w:pPr>
              <w:jc w:val="right"/>
              <w:spacing w:after="0"/>
              <w:rPr>
                <w:sz w:val="20"/>
                <w:szCs w:val="20"/>
                <w:color w:val="auto"/>
              </w:rPr>
            </w:pPr>
            <w:r>
              <w:rPr>
                <w:rFonts w:ascii="Arial" w:cs="Arial" w:eastAsia="Arial" w:hAnsi="Arial"/>
                <w:sz w:val="20"/>
                <w:szCs w:val="20"/>
                <w:color w:val="auto"/>
              </w:rPr>
              <w:t>0</w:t>
            </w:r>
          </w:p>
        </w:tc>
        <w:tc>
          <w:tcPr>
            <w:tcW w:w="0" w:type="dxa"/>
            <w:vAlign w:val="bottom"/>
          </w:tcPr>
          <w:p>
            <w:pPr>
              <w:spacing w:after="0"/>
              <w:rPr>
                <w:sz w:val="1"/>
                <w:szCs w:val="1"/>
                <w:color w:val="auto"/>
              </w:rPr>
            </w:pPr>
          </w:p>
        </w:tc>
      </w:tr>
      <w:tr>
        <w:trPr>
          <w:trHeight w:val="284"/>
        </w:trPr>
        <w:tc>
          <w:tcPr>
            <w:tcW w:w="40" w:type="dxa"/>
            <w:vAlign w:val="bottom"/>
          </w:tcPr>
          <w:p>
            <w:pPr>
              <w:spacing w:after="0"/>
              <w:rPr>
                <w:sz w:val="24"/>
                <w:szCs w:val="24"/>
                <w:color w:val="auto"/>
              </w:rPr>
            </w:pPr>
          </w:p>
        </w:tc>
        <w:tc>
          <w:tcPr>
            <w:tcW w:w="3280" w:type="dxa"/>
            <w:vAlign w:val="bottom"/>
            <w:gridSpan w:val="2"/>
          </w:tcPr>
          <w:p>
            <w:pPr>
              <w:spacing w:after="0"/>
              <w:rPr>
                <w:sz w:val="20"/>
                <w:szCs w:val="20"/>
                <w:color w:val="auto"/>
              </w:rPr>
            </w:pPr>
            <w:r>
              <w:rPr>
                <w:rFonts w:ascii="Arial" w:cs="Arial" w:eastAsia="Arial" w:hAnsi="Arial"/>
                <w:sz w:val="20"/>
                <w:szCs w:val="20"/>
                <w:color w:val="auto"/>
              </w:rPr>
              <w:t>Ria Netherlands Holding B.V.</w:t>
            </w:r>
          </w:p>
        </w:tc>
        <w:tc>
          <w:tcPr>
            <w:tcW w:w="1780" w:type="dxa"/>
            <w:vAlign w:val="bottom"/>
            <w:gridSpan w:val="2"/>
          </w:tcPr>
          <w:p>
            <w:pPr>
              <w:spacing w:after="0"/>
              <w:rPr>
                <w:sz w:val="20"/>
                <w:szCs w:val="20"/>
                <w:color w:val="auto"/>
              </w:rPr>
            </w:pPr>
            <w:r>
              <w:rPr>
                <w:rFonts w:ascii="Arial" w:cs="Arial" w:eastAsia="Arial" w:hAnsi="Arial"/>
                <w:sz w:val="20"/>
                <w:szCs w:val="20"/>
                <w:color w:val="auto"/>
              </w:rPr>
              <w:t>Netherlands</w:t>
            </w:r>
          </w:p>
        </w:tc>
        <w:tc>
          <w:tcPr>
            <w:tcW w:w="1320" w:type="dxa"/>
            <w:vAlign w:val="bottom"/>
            <w:gridSpan w:val="2"/>
          </w:tcPr>
          <w:p>
            <w:pPr>
              <w:jc w:val="right"/>
              <w:spacing w:after="0"/>
              <w:rPr>
                <w:sz w:val="20"/>
                <w:szCs w:val="20"/>
                <w:color w:val="auto"/>
              </w:rPr>
            </w:pPr>
            <w:r>
              <w:rPr>
                <w:rFonts w:ascii="Arial" w:cs="Arial" w:eastAsia="Arial" w:hAnsi="Arial"/>
                <w:sz w:val="20"/>
                <w:szCs w:val="20"/>
                <w:color w:val="auto"/>
              </w:rPr>
              <w:t>590,000,000</w:t>
            </w:r>
          </w:p>
        </w:tc>
        <w:tc>
          <w:tcPr>
            <w:tcW w:w="1480" w:type="dxa"/>
            <w:vAlign w:val="bottom"/>
            <w:gridSpan w:val="5"/>
          </w:tcPr>
          <w:p>
            <w:pPr>
              <w:jc w:val="right"/>
              <w:ind w:right="80"/>
              <w:spacing w:after="0"/>
              <w:rPr>
                <w:sz w:val="20"/>
                <w:szCs w:val="20"/>
                <w:color w:val="auto"/>
              </w:rPr>
            </w:pPr>
            <w:r>
              <w:rPr>
                <w:rFonts w:ascii="Arial" w:cs="Arial" w:eastAsia="Arial" w:hAnsi="Arial"/>
                <w:sz w:val="20"/>
                <w:szCs w:val="20"/>
                <w:color w:val="auto"/>
              </w:rPr>
              <w:t>460,500,000</w:t>
            </w:r>
          </w:p>
        </w:tc>
        <w:tc>
          <w:tcPr>
            <w:tcW w:w="1180" w:type="dxa"/>
            <w:vAlign w:val="bottom"/>
          </w:tcPr>
          <w:p>
            <w:pPr>
              <w:jc w:val="right"/>
              <w:ind w:right="21"/>
              <w:spacing w:after="0"/>
              <w:rPr>
                <w:sz w:val="20"/>
                <w:szCs w:val="20"/>
                <w:color w:val="auto"/>
              </w:rPr>
            </w:pPr>
            <w:r>
              <w:rPr>
                <w:rFonts w:ascii="Arial" w:cs="Arial" w:eastAsia="Arial" w:hAnsi="Arial"/>
                <w:sz w:val="20"/>
                <w:szCs w:val="20"/>
                <w:color w:val="auto"/>
                <w:w w:val="93"/>
              </w:rPr>
              <w:t>440,000,000</w:t>
            </w: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4"/>
        </w:trPr>
        <w:tc>
          <w:tcPr>
            <w:tcW w:w="40" w:type="dxa"/>
            <w:vAlign w:val="bottom"/>
          </w:tcPr>
          <w:p>
            <w:pPr>
              <w:spacing w:after="0"/>
              <w:rPr>
                <w:sz w:val="24"/>
                <w:szCs w:val="24"/>
                <w:color w:val="auto"/>
              </w:rPr>
            </w:pPr>
          </w:p>
        </w:tc>
        <w:tc>
          <w:tcPr>
            <w:tcW w:w="3280" w:type="dxa"/>
            <w:vAlign w:val="bottom"/>
            <w:gridSpan w:val="2"/>
          </w:tcPr>
          <w:p>
            <w:pPr>
              <w:spacing w:after="0"/>
              <w:rPr>
                <w:sz w:val="20"/>
                <w:szCs w:val="20"/>
                <w:color w:val="auto"/>
              </w:rPr>
            </w:pPr>
            <w:r>
              <w:rPr>
                <w:rFonts w:ascii="Arial" w:cs="Arial" w:eastAsia="Arial" w:hAnsi="Arial"/>
                <w:sz w:val="20"/>
                <w:szCs w:val="20"/>
                <w:color w:val="auto"/>
              </w:rPr>
              <w:t>epay Australia Holdings Pty. Ltd.</w:t>
            </w:r>
          </w:p>
        </w:tc>
        <w:tc>
          <w:tcPr>
            <w:tcW w:w="1780" w:type="dxa"/>
            <w:vAlign w:val="bottom"/>
            <w:gridSpan w:val="2"/>
          </w:tcPr>
          <w:p>
            <w:pPr>
              <w:spacing w:after="0"/>
              <w:rPr>
                <w:sz w:val="20"/>
                <w:szCs w:val="20"/>
                <w:color w:val="auto"/>
              </w:rPr>
            </w:pPr>
            <w:r>
              <w:rPr>
                <w:rFonts w:ascii="Arial" w:cs="Arial" w:eastAsia="Arial" w:hAnsi="Arial"/>
                <w:sz w:val="20"/>
                <w:szCs w:val="20"/>
                <w:color w:val="auto"/>
              </w:rPr>
              <w:t>Australia</w:t>
            </w:r>
          </w:p>
        </w:tc>
        <w:tc>
          <w:tcPr>
            <w:tcW w:w="1320" w:type="dxa"/>
            <w:vAlign w:val="bottom"/>
            <w:gridSpan w:val="2"/>
          </w:tcPr>
          <w:p>
            <w:pPr>
              <w:jc w:val="right"/>
              <w:spacing w:after="0"/>
              <w:rPr>
                <w:sz w:val="20"/>
                <w:szCs w:val="20"/>
                <w:color w:val="auto"/>
              </w:rPr>
            </w:pPr>
            <w:r>
              <w:rPr>
                <w:rFonts w:ascii="Arial" w:cs="Arial" w:eastAsia="Arial" w:hAnsi="Arial"/>
                <w:sz w:val="20"/>
                <w:szCs w:val="20"/>
                <w:color w:val="auto"/>
              </w:rPr>
              <w:t>590,000,000</w:t>
            </w:r>
          </w:p>
        </w:tc>
        <w:tc>
          <w:tcPr>
            <w:tcW w:w="1480" w:type="dxa"/>
            <w:vAlign w:val="bottom"/>
            <w:gridSpan w:val="5"/>
          </w:tcPr>
          <w:p>
            <w:pPr>
              <w:jc w:val="right"/>
              <w:ind w:right="80"/>
              <w:spacing w:after="0"/>
              <w:rPr>
                <w:sz w:val="20"/>
                <w:szCs w:val="20"/>
                <w:color w:val="auto"/>
              </w:rPr>
            </w:pPr>
            <w:r>
              <w:rPr>
                <w:rFonts w:ascii="Arial" w:cs="Arial" w:eastAsia="Arial" w:hAnsi="Arial"/>
                <w:sz w:val="20"/>
                <w:szCs w:val="20"/>
                <w:color w:val="auto"/>
              </w:rPr>
              <w:t>460,500,000</w:t>
            </w:r>
          </w:p>
        </w:tc>
        <w:tc>
          <w:tcPr>
            <w:tcW w:w="1180" w:type="dxa"/>
            <w:vAlign w:val="bottom"/>
          </w:tcPr>
          <w:p>
            <w:pPr>
              <w:jc w:val="right"/>
              <w:ind w:right="21"/>
              <w:spacing w:after="0"/>
              <w:rPr>
                <w:sz w:val="20"/>
                <w:szCs w:val="20"/>
                <w:color w:val="auto"/>
              </w:rPr>
            </w:pPr>
            <w:r>
              <w:rPr>
                <w:rFonts w:ascii="Arial" w:cs="Arial" w:eastAsia="Arial" w:hAnsi="Arial"/>
                <w:sz w:val="20"/>
                <w:szCs w:val="20"/>
                <w:color w:val="auto"/>
                <w:w w:val="93"/>
              </w:rPr>
              <w:t>440,000,000</w:t>
            </w:r>
          </w:p>
        </w:tc>
        <w:tc>
          <w:tcPr>
            <w:tcW w:w="1020" w:type="dxa"/>
            <w:vAlign w:val="bottom"/>
          </w:tcPr>
          <w:p>
            <w:pPr>
              <w:jc w:val="right"/>
              <w:spacing w:after="0"/>
              <w:rPr>
                <w:sz w:val="20"/>
                <w:szCs w:val="20"/>
                <w:color w:val="auto"/>
              </w:rPr>
            </w:pPr>
            <w:r>
              <w:rPr>
                <w:rFonts w:ascii="Arial" w:cs="Arial" w:eastAsia="Arial" w:hAnsi="Arial"/>
                <w:sz w:val="20"/>
                <w:szCs w:val="20"/>
                <w:color w:val="auto"/>
              </w:rPr>
              <w:t>0</w:t>
            </w:r>
          </w:p>
        </w:tc>
        <w:tc>
          <w:tcPr>
            <w:tcW w:w="0" w:type="dxa"/>
            <w:vAlign w:val="bottom"/>
          </w:tcPr>
          <w:p>
            <w:pPr>
              <w:spacing w:after="0"/>
              <w:rPr>
                <w:sz w:val="1"/>
                <w:szCs w:val="1"/>
                <w:color w:val="auto"/>
              </w:rPr>
            </w:pPr>
          </w:p>
        </w:tc>
      </w:tr>
      <w:tr>
        <w:trPr>
          <w:trHeight w:val="284"/>
        </w:trPr>
        <w:tc>
          <w:tcPr>
            <w:tcW w:w="40" w:type="dxa"/>
            <w:vAlign w:val="bottom"/>
          </w:tcPr>
          <w:p>
            <w:pPr>
              <w:spacing w:after="0"/>
              <w:rPr>
                <w:sz w:val="24"/>
                <w:szCs w:val="24"/>
                <w:color w:val="auto"/>
              </w:rPr>
            </w:pPr>
          </w:p>
        </w:tc>
        <w:tc>
          <w:tcPr>
            <w:tcW w:w="3280" w:type="dxa"/>
            <w:vAlign w:val="bottom"/>
            <w:gridSpan w:val="2"/>
          </w:tcPr>
          <w:p>
            <w:pPr>
              <w:spacing w:after="0"/>
              <w:rPr>
                <w:sz w:val="20"/>
                <w:szCs w:val="20"/>
                <w:color w:val="auto"/>
              </w:rPr>
            </w:pPr>
            <w:r>
              <w:rPr>
                <w:rFonts w:ascii="Arial" w:cs="Arial" w:eastAsia="Arial" w:hAnsi="Arial"/>
                <w:sz w:val="20"/>
                <w:szCs w:val="20"/>
                <w:color w:val="auto"/>
              </w:rPr>
              <w:t>Euronet Services India Pvt. Ltd.</w:t>
            </w:r>
          </w:p>
        </w:tc>
        <w:tc>
          <w:tcPr>
            <w:tcW w:w="1780" w:type="dxa"/>
            <w:vAlign w:val="bottom"/>
            <w:gridSpan w:val="2"/>
          </w:tcPr>
          <w:p>
            <w:pPr>
              <w:spacing w:after="0"/>
              <w:rPr>
                <w:sz w:val="20"/>
                <w:szCs w:val="20"/>
                <w:color w:val="auto"/>
              </w:rPr>
            </w:pPr>
            <w:r>
              <w:rPr>
                <w:rFonts w:ascii="Arial" w:cs="Arial" w:eastAsia="Arial" w:hAnsi="Arial"/>
                <w:sz w:val="20"/>
                <w:szCs w:val="20"/>
                <w:color w:val="auto"/>
              </w:rPr>
              <w:t>India</w:t>
            </w:r>
          </w:p>
        </w:tc>
        <w:tc>
          <w:tcPr>
            <w:tcW w:w="1320" w:type="dxa"/>
            <w:vAlign w:val="bottom"/>
            <w:gridSpan w:val="2"/>
          </w:tcPr>
          <w:p>
            <w:pPr>
              <w:jc w:val="right"/>
              <w:spacing w:after="0"/>
              <w:rPr>
                <w:sz w:val="20"/>
                <w:szCs w:val="20"/>
                <w:color w:val="auto"/>
              </w:rPr>
            </w:pPr>
            <w:r>
              <w:rPr>
                <w:rFonts w:ascii="Arial" w:cs="Arial" w:eastAsia="Arial" w:hAnsi="Arial"/>
                <w:sz w:val="20"/>
                <w:szCs w:val="20"/>
                <w:color w:val="auto"/>
              </w:rPr>
              <w:t>0</w:t>
            </w:r>
          </w:p>
        </w:tc>
        <w:tc>
          <w:tcPr>
            <w:tcW w:w="1400" w:type="dxa"/>
            <w:vAlign w:val="bottom"/>
            <w:gridSpan w:val="4"/>
          </w:tcPr>
          <w:p>
            <w:pPr>
              <w:jc w:val="right"/>
              <w:spacing w:after="0"/>
              <w:rPr>
                <w:sz w:val="20"/>
                <w:szCs w:val="20"/>
                <w:color w:val="auto"/>
              </w:rPr>
            </w:pPr>
            <w:r>
              <w:rPr>
                <w:rFonts w:ascii="Arial" w:cs="Arial" w:eastAsia="Arial" w:hAnsi="Arial"/>
                <w:sz w:val="20"/>
                <w:szCs w:val="20"/>
                <w:color w:val="auto"/>
              </w:rPr>
              <w:t>0</w:t>
            </w:r>
          </w:p>
        </w:tc>
        <w:tc>
          <w:tcPr>
            <w:tcW w:w="80" w:type="dxa"/>
            <w:vAlign w:val="bottom"/>
          </w:tcPr>
          <w:p>
            <w:pPr>
              <w:spacing w:after="0"/>
              <w:rPr>
                <w:sz w:val="24"/>
                <w:szCs w:val="24"/>
                <w:color w:val="auto"/>
              </w:rPr>
            </w:pPr>
          </w:p>
        </w:tc>
        <w:tc>
          <w:tcPr>
            <w:tcW w:w="1180" w:type="dxa"/>
            <w:vAlign w:val="bottom"/>
          </w:tcPr>
          <w:p>
            <w:pPr>
              <w:jc w:val="right"/>
              <w:ind w:right="21"/>
              <w:spacing w:after="0"/>
              <w:rPr>
                <w:sz w:val="20"/>
                <w:szCs w:val="20"/>
                <w:color w:val="auto"/>
              </w:rPr>
            </w:pPr>
            <w:r>
              <w:rPr>
                <w:rFonts w:ascii="Arial" w:cs="Arial" w:eastAsia="Arial" w:hAnsi="Arial"/>
                <w:sz w:val="20"/>
                <w:szCs w:val="20"/>
                <w:color w:val="auto"/>
              </w:rPr>
              <w:t>0</w:t>
            </w:r>
          </w:p>
        </w:tc>
        <w:tc>
          <w:tcPr>
            <w:tcW w:w="1020" w:type="dxa"/>
            <w:vAlign w:val="bottom"/>
          </w:tcPr>
          <w:p>
            <w:pPr>
              <w:jc w:val="right"/>
              <w:spacing w:after="0"/>
              <w:rPr>
                <w:sz w:val="20"/>
                <w:szCs w:val="20"/>
                <w:color w:val="auto"/>
              </w:rPr>
            </w:pPr>
            <w:r>
              <w:rPr>
                <w:rFonts w:ascii="Arial" w:cs="Arial" w:eastAsia="Arial" w:hAnsi="Arial"/>
                <w:sz w:val="20"/>
                <w:szCs w:val="20"/>
                <w:color w:val="auto"/>
                <w:w w:val="97"/>
              </w:rPr>
              <w:t>10,000,000</w:t>
            </w:r>
          </w:p>
        </w:tc>
        <w:tc>
          <w:tcPr>
            <w:tcW w:w="0" w:type="dxa"/>
            <w:vAlign w:val="bottom"/>
          </w:tcPr>
          <w:p>
            <w:pPr>
              <w:spacing w:after="0"/>
              <w:rPr>
                <w:sz w:val="1"/>
                <w:szCs w:val="1"/>
                <w:color w:val="auto"/>
              </w:rPr>
            </w:pPr>
          </w:p>
        </w:tc>
      </w:tr>
      <w:tr>
        <w:trPr>
          <w:trHeight w:val="320"/>
        </w:trPr>
        <w:tc>
          <w:tcPr>
            <w:tcW w:w="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780" w:type="dxa"/>
            <w:vAlign w:val="bottom"/>
            <w:gridSpan w:val="2"/>
          </w:tcPr>
          <w:p>
            <w:pPr>
              <w:spacing w:after="0"/>
              <w:rPr>
                <w:sz w:val="24"/>
                <w:szCs w:val="24"/>
                <w:color w:val="auto"/>
              </w:rPr>
            </w:pPr>
          </w:p>
        </w:tc>
        <w:tc>
          <w:tcPr>
            <w:tcW w:w="7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40" w:type="dxa"/>
            <w:vAlign w:val="bottom"/>
            <w:tcBorders>
              <w:bottom w:val="single" w:sz="8" w:color="C0C0C0"/>
            </w:tcBorders>
            <w:shd w:val="clear" w:color="auto" w:fill="C0C0C0"/>
          </w:tcPr>
          <w:p>
            <w:pPr>
              <w:spacing w:after="0"/>
              <w:rPr>
                <w:sz w:val="22"/>
                <w:szCs w:val="22"/>
                <w:color w:val="auto"/>
              </w:rPr>
            </w:pPr>
          </w:p>
        </w:tc>
        <w:tc>
          <w:tcPr>
            <w:tcW w:w="5060" w:type="dxa"/>
            <w:vAlign w:val="bottom"/>
            <w:tcBorders>
              <w:bottom w:val="single" w:sz="8" w:color="C0C0C0"/>
            </w:tcBorders>
            <w:gridSpan w:val="4"/>
            <w:shd w:val="clear" w:color="auto" w:fill="C0C0C0"/>
          </w:tcPr>
          <w:p>
            <w:pPr>
              <w:spacing w:after="0"/>
              <w:rPr>
                <w:sz w:val="20"/>
                <w:szCs w:val="20"/>
                <w:color w:val="auto"/>
              </w:rPr>
            </w:pPr>
            <w:r>
              <w:rPr>
                <w:rFonts w:ascii="Arial" w:cs="Arial" w:eastAsia="Arial" w:hAnsi="Arial"/>
                <w:sz w:val="20"/>
                <w:szCs w:val="20"/>
                <w:b w:val="1"/>
                <w:bCs w:val="1"/>
                <w:color w:val="auto"/>
              </w:rPr>
              <w:t>Designated Borrowers for Swingline Loans:</w:t>
            </w:r>
          </w:p>
        </w:tc>
        <w:tc>
          <w:tcPr>
            <w:tcW w:w="340" w:type="dxa"/>
            <w:vAlign w:val="bottom"/>
            <w:tcBorders>
              <w:bottom w:val="single" w:sz="8" w:color="C0C0C0"/>
            </w:tcBorders>
            <w:shd w:val="clear" w:color="auto" w:fill="C0C0C0"/>
          </w:tcPr>
          <w:p>
            <w:pPr>
              <w:spacing w:after="0"/>
              <w:rPr>
                <w:sz w:val="22"/>
                <w:szCs w:val="22"/>
                <w:color w:val="auto"/>
              </w:rPr>
            </w:pPr>
          </w:p>
        </w:tc>
        <w:tc>
          <w:tcPr>
            <w:tcW w:w="980" w:type="dxa"/>
            <w:vAlign w:val="bottom"/>
            <w:tcBorders>
              <w:bottom w:val="single" w:sz="8" w:color="C0C0C0"/>
            </w:tcBorders>
            <w:shd w:val="clear" w:color="auto" w:fill="C0C0C0"/>
          </w:tcPr>
          <w:p>
            <w:pPr>
              <w:spacing w:after="0"/>
              <w:rPr>
                <w:sz w:val="22"/>
                <w:szCs w:val="22"/>
                <w:color w:val="auto"/>
              </w:rPr>
            </w:pPr>
          </w:p>
        </w:tc>
        <w:tc>
          <w:tcPr>
            <w:tcW w:w="80" w:type="dxa"/>
            <w:vAlign w:val="bottom"/>
            <w:tcBorders>
              <w:bottom w:val="single" w:sz="8" w:color="C0C0C0"/>
            </w:tcBorders>
            <w:shd w:val="clear" w:color="auto" w:fill="C0C0C0"/>
          </w:tcPr>
          <w:p>
            <w:pPr>
              <w:spacing w:after="0"/>
              <w:rPr>
                <w:sz w:val="22"/>
                <w:szCs w:val="22"/>
                <w:color w:val="auto"/>
              </w:rPr>
            </w:pPr>
          </w:p>
        </w:tc>
        <w:tc>
          <w:tcPr>
            <w:tcW w:w="440" w:type="dxa"/>
            <w:vAlign w:val="bottom"/>
            <w:tcBorders>
              <w:bottom w:val="single" w:sz="8" w:color="C0C0C0"/>
            </w:tcBorders>
            <w:shd w:val="clear" w:color="auto" w:fill="C0C0C0"/>
          </w:tcPr>
          <w:p>
            <w:pPr>
              <w:spacing w:after="0"/>
              <w:rPr>
                <w:sz w:val="22"/>
                <w:szCs w:val="22"/>
                <w:color w:val="auto"/>
              </w:rPr>
            </w:pPr>
          </w:p>
        </w:tc>
        <w:tc>
          <w:tcPr>
            <w:tcW w:w="400" w:type="dxa"/>
            <w:vAlign w:val="bottom"/>
            <w:tcBorders>
              <w:bottom w:val="single" w:sz="8" w:color="C0C0C0"/>
            </w:tcBorders>
            <w:shd w:val="clear" w:color="auto" w:fill="C0C0C0"/>
          </w:tcPr>
          <w:p>
            <w:pPr>
              <w:spacing w:after="0"/>
              <w:rPr>
                <w:sz w:val="22"/>
                <w:szCs w:val="22"/>
                <w:color w:val="auto"/>
              </w:rPr>
            </w:pPr>
          </w:p>
        </w:tc>
        <w:tc>
          <w:tcPr>
            <w:tcW w:w="480" w:type="dxa"/>
            <w:vAlign w:val="bottom"/>
            <w:tcBorders>
              <w:bottom w:val="single" w:sz="8" w:color="C0C0C0"/>
            </w:tcBorders>
            <w:shd w:val="clear" w:color="auto" w:fill="C0C0C0"/>
          </w:tcPr>
          <w:p>
            <w:pPr>
              <w:spacing w:after="0"/>
              <w:rPr>
                <w:sz w:val="22"/>
                <w:szCs w:val="22"/>
                <w:color w:val="auto"/>
              </w:rPr>
            </w:pPr>
          </w:p>
        </w:tc>
        <w:tc>
          <w:tcPr>
            <w:tcW w:w="80" w:type="dxa"/>
            <w:vAlign w:val="bottom"/>
            <w:tcBorders>
              <w:bottom w:val="single" w:sz="8" w:color="C0C0C0"/>
            </w:tcBorders>
            <w:shd w:val="clear" w:color="auto" w:fill="C0C0C0"/>
          </w:tcPr>
          <w:p>
            <w:pPr>
              <w:spacing w:after="0"/>
              <w:rPr>
                <w:sz w:val="22"/>
                <w:szCs w:val="22"/>
                <w:color w:val="auto"/>
              </w:rPr>
            </w:pPr>
          </w:p>
        </w:tc>
        <w:tc>
          <w:tcPr>
            <w:tcW w:w="1180" w:type="dxa"/>
            <w:vAlign w:val="bottom"/>
            <w:tcBorders>
              <w:bottom w:val="single" w:sz="8" w:color="C0C0C0"/>
            </w:tcBorders>
            <w:shd w:val="clear" w:color="auto" w:fill="C0C0C0"/>
          </w:tcPr>
          <w:p>
            <w:pPr>
              <w:spacing w:after="0"/>
              <w:rPr>
                <w:sz w:val="22"/>
                <w:szCs w:val="22"/>
                <w:color w:val="auto"/>
              </w:rPr>
            </w:pPr>
          </w:p>
        </w:tc>
        <w:tc>
          <w:tcPr>
            <w:tcW w:w="1020" w:type="dxa"/>
            <w:vAlign w:val="bottom"/>
            <w:tcBorders>
              <w:bottom w:val="single" w:sz="8" w:color="C0C0C0"/>
            </w:tcBorders>
            <w:shd w:val="clear" w:color="auto" w:fill="C0C0C0"/>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7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80" w:type="dxa"/>
            <w:vAlign w:val="bottom"/>
            <w:tcBorders>
              <w:bottom w:val="single" w:sz="8" w:color="auto"/>
            </w:tcBorders>
            <w:gridSpan w:val="2"/>
          </w:tcPr>
          <w:p>
            <w:pPr>
              <w:jc w:val="right"/>
              <w:spacing w:after="0" w:line="216" w:lineRule="exact"/>
              <w:rPr>
                <w:sz w:val="20"/>
                <w:szCs w:val="20"/>
                <w:color w:val="auto"/>
              </w:rPr>
            </w:pPr>
            <w:r>
              <w:rPr>
                <w:rFonts w:ascii="Arial" w:cs="Arial" w:eastAsia="Arial" w:hAnsi="Arial"/>
                <w:sz w:val="20"/>
                <w:szCs w:val="20"/>
                <w:b w:val="1"/>
                <w:bCs w:val="1"/>
                <w:color w:val="auto"/>
                <w:w w:val="93"/>
              </w:rPr>
              <w:t>European</w:t>
            </w:r>
          </w:p>
        </w:tc>
        <w:tc>
          <w:tcPr>
            <w:tcW w:w="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0" w:type="dxa"/>
            <w:vAlign w:val="bottom"/>
          </w:tcPr>
          <w:p>
            <w:pPr>
              <w:spacing w:after="0"/>
              <w:rPr>
                <w:sz w:val="18"/>
                <w:szCs w:val="18"/>
                <w:color w:val="auto"/>
              </w:rPr>
            </w:pPr>
          </w:p>
        </w:tc>
        <w:tc>
          <w:tcPr>
            <w:tcW w:w="3280" w:type="dxa"/>
            <w:vAlign w:val="bottom"/>
            <w:gridSpan w:val="2"/>
            <w:vMerge w:val="restart"/>
          </w:tcPr>
          <w:p>
            <w:pPr>
              <w:spacing w:after="0"/>
              <w:rPr>
                <w:sz w:val="20"/>
                <w:szCs w:val="20"/>
                <w:color w:val="auto"/>
              </w:rPr>
            </w:pPr>
            <w:r>
              <w:rPr>
                <w:rFonts w:ascii="Arial" w:cs="Arial" w:eastAsia="Arial" w:hAnsi="Arial"/>
                <w:sz w:val="20"/>
                <w:szCs w:val="20"/>
                <w:b w:val="1"/>
                <w:bCs w:val="1"/>
                <w:color w:val="auto"/>
              </w:rPr>
              <w:t>Entity</w:t>
            </w:r>
          </w:p>
        </w:tc>
        <w:tc>
          <w:tcPr>
            <w:tcW w:w="1780" w:type="dxa"/>
            <w:vAlign w:val="bottom"/>
            <w:gridSpan w:val="2"/>
            <w:vMerge w:val="restart"/>
          </w:tcPr>
          <w:p>
            <w:pPr>
              <w:spacing w:after="0"/>
              <w:rPr>
                <w:sz w:val="20"/>
                <w:szCs w:val="20"/>
                <w:color w:val="auto"/>
              </w:rPr>
            </w:pPr>
            <w:r>
              <w:rPr>
                <w:rFonts w:ascii="Arial" w:cs="Arial" w:eastAsia="Arial" w:hAnsi="Arial"/>
                <w:sz w:val="20"/>
                <w:szCs w:val="20"/>
                <w:b w:val="1"/>
                <w:bCs w:val="1"/>
                <w:color w:val="auto"/>
              </w:rPr>
              <w:t>Jurisdiction</w:t>
            </w:r>
          </w:p>
        </w:tc>
        <w:tc>
          <w:tcPr>
            <w:tcW w:w="2800" w:type="dxa"/>
            <w:vAlign w:val="bottom"/>
            <w:gridSpan w:val="7"/>
          </w:tcPr>
          <w:p>
            <w:pPr>
              <w:jc w:val="right"/>
              <w:ind w:right="80"/>
              <w:spacing w:after="0" w:line="209" w:lineRule="exact"/>
              <w:rPr>
                <w:sz w:val="20"/>
                <w:szCs w:val="20"/>
                <w:color w:val="auto"/>
              </w:rPr>
            </w:pPr>
            <w:r>
              <w:rPr>
                <w:rFonts w:ascii="Arial" w:cs="Arial" w:eastAsia="Arial" w:hAnsi="Arial"/>
                <w:sz w:val="20"/>
                <w:szCs w:val="20"/>
                <w:b w:val="1"/>
                <w:bCs w:val="1"/>
                <w:color w:val="auto"/>
                <w:w w:val="92"/>
              </w:rPr>
              <w:t>USD Swingline Swingline Loan</w:t>
            </w:r>
          </w:p>
        </w:tc>
        <w:tc>
          <w:tcPr>
            <w:tcW w:w="11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0" w:type="dxa"/>
            <w:vAlign w:val="bottom"/>
          </w:tcPr>
          <w:p>
            <w:pPr>
              <w:spacing w:after="0"/>
              <w:rPr>
                <w:sz w:val="18"/>
                <w:szCs w:val="18"/>
                <w:color w:val="auto"/>
              </w:rPr>
            </w:pPr>
          </w:p>
        </w:tc>
        <w:tc>
          <w:tcPr>
            <w:tcW w:w="3280" w:type="dxa"/>
            <w:vAlign w:val="bottom"/>
            <w:gridSpan w:val="2"/>
            <w:vMerge w:val="continue"/>
          </w:tcPr>
          <w:p>
            <w:pPr>
              <w:spacing w:after="0"/>
              <w:rPr>
                <w:sz w:val="18"/>
                <w:szCs w:val="18"/>
                <w:color w:val="auto"/>
              </w:rPr>
            </w:pPr>
          </w:p>
        </w:tc>
        <w:tc>
          <w:tcPr>
            <w:tcW w:w="1780" w:type="dxa"/>
            <w:vAlign w:val="bottom"/>
            <w:gridSpan w:val="2"/>
            <w:vMerge w:val="continue"/>
          </w:tcPr>
          <w:p>
            <w:pPr>
              <w:spacing w:after="0"/>
              <w:rPr>
                <w:sz w:val="18"/>
                <w:szCs w:val="18"/>
                <w:color w:val="auto"/>
              </w:rPr>
            </w:pPr>
          </w:p>
        </w:tc>
        <w:tc>
          <w:tcPr>
            <w:tcW w:w="1320" w:type="dxa"/>
            <w:vAlign w:val="bottom"/>
            <w:tcBorders>
              <w:top w:val="single" w:sz="8" w:color="auto"/>
            </w:tcBorders>
            <w:gridSpan w:val="2"/>
          </w:tcPr>
          <w:p>
            <w:pPr>
              <w:jc w:val="right"/>
              <w:spacing w:after="0" w:line="209" w:lineRule="exact"/>
              <w:rPr>
                <w:sz w:val="20"/>
                <w:szCs w:val="20"/>
                <w:color w:val="auto"/>
              </w:rPr>
            </w:pPr>
            <w:r>
              <w:rPr>
                <w:rFonts w:ascii="Arial" w:cs="Arial" w:eastAsia="Arial" w:hAnsi="Arial"/>
                <w:sz w:val="20"/>
                <w:szCs w:val="20"/>
                <w:b w:val="1"/>
                <w:bCs w:val="1"/>
                <w:color w:val="auto"/>
              </w:rPr>
              <w:t>Loan Limit</w:t>
            </w:r>
          </w:p>
        </w:tc>
        <w:tc>
          <w:tcPr>
            <w:tcW w:w="80" w:type="dxa"/>
            <w:vAlign w:val="bottom"/>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480" w:type="dxa"/>
            <w:vAlign w:val="bottom"/>
            <w:tcBorders>
              <w:top w:val="single" w:sz="8" w:color="auto"/>
            </w:tcBorders>
          </w:tcPr>
          <w:p>
            <w:pPr>
              <w:jc w:val="right"/>
              <w:spacing w:after="0" w:line="209" w:lineRule="exact"/>
              <w:rPr>
                <w:sz w:val="20"/>
                <w:szCs w:val="20"/>
                <w:color w:val="auto"/>
              </w:rPr>
            </w:pPr>
            <w:r>
              <w:rPr>
                <w:rFonts w:ascii="Arial" w:cs="Arial" w:eastAsia="Arial" w:hAnsi="Arial"/>
                <w:sz w:val="20"/>
                <w:szCs w:val="20"/>
                <w:b w:val="1"/>
                <w:bCs w:val="1"/>
                <w:color w:val="auto"/>
                <w:w w:val="96"/>
              </w:rPr>
              <w:t>Limit</w:t>
            </w:r>
          </w:p>
        </w:tc>
        <w:tc>
          <w:tcPr>
            <w:tcW w:w="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8"/>
        </w:trPr>
        <w:tc>
          <w:tcPr>
            <w:tcW w:w="40" w:type="dxa"/>
            <w:vAlign w:val="bottom"/>
          </w:tcPr>
          <w:p>
            <w:pPr>
              <w:spacing w:after="0"/>
              <w:rPr>
                <w:sz w:val="24"/>
                <w:szCs w:val="24"/>
                <w:color w:val="auto"/>
              </w:rPr>
            </w:pPr>
          </w:p>
        </w:tc>
        <w:tc>
          <w:tcPr>
            <w:tcW w:w="3280" w:type="dxa"/>
            <w:vAlign w:val="bottom"/>
            <w:gridSpan w:val="2"/>
          </w:tcPr>
          <w:p>
            <w:pPr>
              <w:spacing w:after="0"/>
              <w:rPr>
                <w:sz w:val="20"/>
                <w:szCs w:val="20"/>
                <w:color w:val="auto"/>
              </w:rPr>
            </w:pPr>
            <w:r>
              <w:rPr>
                <w:rFonts w:ascii="Arial" w:cs="Arial" w:eastAsia="Arial" w:hAnsi="Arial"/>
                <w:sz w:val="20"/>
                <w:szCs w:val="20"/>
                <w:color w:val="auto"/>
              </w:rPr>
              <w:t>Euronet Worldwide, Inc.</w:t>
            </w:r>
          </w:p>
        </w:tc>
        <w:tc>
          <w:tcPr>
            <w:tcW w:w="1780" w:type="dxa"/>
            <w:vAlign w:val="bottom"/>
            <w:gridSpan w:val="2"/>
          </w:tcPr>
          <w:p>
            <w:pPr>
              <w:spacing w:after="0"/>
              <w:rPr>
                <w:sz w:val="20"/>
                <w:szCs w:val="20"/>
                <w:color w:val="auto"/>
              </w:rPr>
            </w:pPr>
            <w:r>
              <w:rPr>
                <w:rFonts w:ascii="Arial" w:cs="Arial" w:eastAsia="Arial" w:hAnsi="Arial"/>
                <w:sz w:val="20"/>
                <w:szCs w:val="20"/>
                <w:color w:val="auto"/>
              </w:rPr>
              <w:t>Delaware, USA</w:t>
            </w:r>
          </w:p>
        </w:tc>
        <w:tc>
          <w:tcPr>
            <w:tcW w:w="1320" w:type="dxa"/>
            <w:vAlign w:val="bottom"/>
            <w:gridSpan w:val="2"/>
          </w:tcPr>
          <w:p>
            <w:pPr>
              <w:jc w:val="right"/>
              <w:spacing w:after="0"/>
              <w:rPr>
                <w:sz w:val="20"/>
                <w:szCs w:val="20"/>
                <w:color w:val="auto"/>
              </w:rPr>
            </w:pPr>
            <w:r>
              <w:rPr>
                <w:rFonts w:ascii="Arial" w:cs="Arial" w:eastAsia="Arial" w:hAnsi="Arial"/>
                <w:sz w:val="20"/>
                <w:szCs w:val="20"/>
                <w:color w:val="auto"/>
              </w:rPr>
              <w:t>25,000,000</w:t>
            </w:r>
          </w:p>
        </w:tc>
        <w:tc>
          <w:tcPr>
            <w:tcW w:w="1480" w:type="dxa"/>
            <w:vAlign w:val="bottom"/>
            <w:gridSpan w:val="5"/>
          </w:tcPr>
          <w:p>
            <w:pPr>
              <w:jc w:val="right"/>
              <w:ind w:right="80"/>
              <w:spacing w:after="0"/>
              <w:rPr>
                <w:sz w:val="20"/>
                <w:szCs w:val="20"/>
                <w:color w:val="auto"/>
              </w:rPr>
            </w:pPr>
            <w:r>
              <w:rPr>
                <w:rFonts w:ascii="Arial" w:cs="Arial" w:eastAsia="Arial" w:hAnsi="Arial"/>
                <w:sz w:val="20"/>
                <w:szCs w:val="20"/>
                <w:color w:val="auto"/>
              </w:rPr>
              <w:t>25,000,000</w:t>
            </w:r>
          </w:p>
        </w:tc>
        <w:tc>
          <w:tcPr>
            <w:tcW w:w="11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4"/>
        </w:trPr>
        <w:tc>
          <w:tcPr>
            <w:tcW w:w="40" w:type="dxa"/>
            <w:vAlign w:val="bottom"/>
          </w:tcPr>
          <w:p>
            <w:pPr>
              <w:spacing w:after="0"/>
              <w:rPr>
                <w:sz w:val="24"/>
                <w:szCs w:val="24"/>
                <w:color w:val="auto"/>
              </w:rPr>
            </w:pPr>
          </w:p>
        </w:tc>
        <w:tc>
          <w:tcPr>
            <w:tcW w:w="3280" w:type="dxa"/>
            <w:vAlign w:val="bottom"/>
            <w:gridSpan w:val="2"/>
          </w:tcPr>
          <w:p>
            <w:pPr>
              <w:spacing w:after="0"/>
              <w:rPr>
                <w:sz w:val="20"/>
                <w:szCs w:val="20"/>
                <w:color w:val="auto"/>
              </w:rPr>
            </w:pPr>
            <w:r>
              <w:rPr>
                <w:rFonts w:ascii="Arial" w:cs="Arial" w:eastAsia="Arial" w:hAnsi="Arial"/>
                <w:sz w:val="20"/>
                <w:szCs w:val="20"/>
                <w:color w:val="auto"/>
                <w:w w:val="99"/>
              </w:rPr>
              <w:t>Continental Exchange Solutions, Inc.</w:t>
            </w:r>
          </w:p>
        </w:tc>
        <w:tc>
          <w:tcPr>
            <w:tcW w:w="1780" w:type="dxa"/>
            <w:vAlign w:val="bottom"/>
            <w:gridSpan w:val="2"/>
          </w:tcPr>
          <w:p>
            <w:pPr>
              <w:spacing w:after="0"/>
              <w:rPr>
                <w:sz w:val="20"/>
                <w:szCs w:val="20"/>
                <w:color w:val="auto"/>
              </w:rPr>
            </w:pPr>
            <w:r>
              <w:rPr>
                <w:rFonts w:ascii="Arial" w:cs="Arial" w:eastAsia="Arial" w:hAnsi="Arial"/>
                <w:sz w:val="20"/>
                <w:szCs w:val="20"/>
                <w:color w:val="auto"/>
              </w:rPr>
              <w:t>Delaware, USA</w:t>
            </w:r>
          </w:p>
        </w:tc>
        <w:tc>
          <w:tcPr>
            <w:tcW w:w="1320" w:type="dxa"/>
            <w:vAlign w:val="bottom"/>
            <w:gridSpan w:val="2"/>
          </w:tcPr>
          <w:p>
            <w:pPr>
              <w:jc w:val="right"/>
              <w:spacing w:after="0"/>
              <w:rPr>
                <w:sz w:val="20"/>
                <w:szCs w:val="20"/>
                <w:color w:val="auto"/>
              </w:rPr>
            </w:pPr>
            <w:r>
              <w:rPr>
                <w:rFonts w:ascii="Arial" w:cs="Arial" w:eastAsia="Arial" w:hAnsi="Arial"/>
                <w:sz w:val="20"/>
                <w:szCs w:val="20"/>
                <w:color w:val="auto"/>
              </w:rPr>
              <w:t>25,000,000</w:t>
            </w:r>
          </w:p>
        </w:tc>
        <w:tc>
          <w:tcPr>
            <w:tcW w:w="1480" w:type="dxa"/>
            <w:vAlign w:val="bottom"/>
            <w:gridSpan w:val="5"/>
          </w:tcPr>
          <w:p>
            <w:pPr>
              <w:jc w:val="right"/>
              <w:ind w:right="80"/>
              <w:spacing w:after="0"/>
              <w:rPr>
                <w:sz w:val="20"/>
                <w:szCs w:val="20"/>
                <w:color w:val="auto"/>
              </w:rPr>
            </w:pPr>
            <w:r>
              <w:rPr>
                <w:rFonts w:ascii="Arial" w:cs="Arial" w:eastAsia="Arial" w:hAnsi="Arial"/>
                <w:sz w:val="20"/>
                <w:szCs w:val="20"/>
                <w:color w:val="auto"/>
              </w:rPr>
              <w:t>25,000,000</w:t>
            </w:r>
          </w:p>
        </w:tc>
        <w:tc>
          <w:tcPr>
            <w:tcW w:w="11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4"/>
        </w:trPr>
        <w:tc>
          <w:tcPr>
            <w:tcW w:w="40" w:type="dxa"/>
            <w:vAlign w:val="bottom"/>
          </w:tcPr>
          <w:p>
            <w:pPr>
              <w:spacing w:after="0"/>
              <w:rPr>
                <w:sz w:val="24"/>
                <w:szCs w:val="24"/>
                <w:color w:val="auto"/>
              </w:rPr>
            </w:pPr>
          </w:p>
        </w:tc>
        <w:tc>
          <w:tcPr>
            <w:tcW w:w="3280" w:type="dxa"/>
            <w:vAlign w:val="bottom"/>
            <w:gridSpan w:val="2"/>
          </w:tcPr>
          <w:p>
            <w:pPr>
              <w:spacing w:after="0"/>
              <w:rPr>
                <w:sz w:val="20"/>
                <w:szCs w:val="20"/>
                <w:color w:val="auto"/>
              </w:rPr>
            </w:pPr>
            <w:r>
              <w:rPr>
                <w:rFonts w:ascii="Arial" w:cs="Arial" w:eastAsia="Arial" w:hAnsi="Arial"/>
                <w:sz w:val="18"/>
                <w:szCs w:val="18"/>
                <w:color w:val="auto"/>
              </w:rPr>
              <w:t>RIA Envia, Inc.</w:t>
            </w:r>
          </w:p>
        </w:tc>
        <w:tc>
          <w:tcPr>
            <w:tcW w:w="1780" w:type="dxa"/>
            <w:vAlign w:val="bottom"/>
            <w:gridSpan w:val="2"/>
          </w:tcPr>
          <w:p>
            <w:pPr>
              <w:spacing w:after="0"/>
              <w:rPr>
                <w:sz w:val="20"/>
                <w:szCs w:val="20"/>
                <w:color w:val="auto"/>
              </w:rPr>
            </w:pPr>
            <w:r>
              <w:rPr>
                <w:rFonts w:ascii="Arial" w:cs="Arial" w:eastAsia="Arial" w:hAnsi="Arial"/>
                <w:sz w:val="20"/>
                <w:szCs w:val="20"/>
                <w:color w:val="auto"/>
              </w:rPr>
              <w:t>Delaware, USA</w:t>
            </w:r>
          </w:p>
        </w:tc>
        <w:tc>
          <w:tcPr>
            <w:tcW w:w="1320" w:type="dxa"/>
            <w:vAlign w:val="bottom"/>
            <w:gridSpan w:val="2"/>
          </w:tcPr>
          <w:p>
            <w:pPr>
              <w:jc w:val="right"/>
              <w:spacing w:after="0"/>
              <w:rPr>
                <w:sz w:val="20"/>
                <w:szCs w:val="20"/>
                <w:color w:val="auto"/>
              </w:rPr>
            </w:pPr>
            <w:r>
              <w:rPr>
                <w:rFonts w:ascii="Arial" w:cs="Arial" w:eastAsia="Arial" w:hAnsi="Arial"/>
                <w:sz w:val="20"/>
                <w:szCs w:val="20"/>
                <w:color w:val="auto"/>
              </w:rPr>
              <w:t>25,000,000</w:t>
            </w:r>
          </w:p>
        </w:tc>
        <w:tc>
          <w:tcPr>
            <w:tcW w:w="1480" w:type="dxa"/>
            <w:vAlign w:val="bottom"/>
            <w:gridSpan w:val="5"/>
          </w:tcPr>
          <w:p>
            <w:pPr>
              <w:jc w:val="right"/>
              <w:ind w:right="80"/>
              <w:spacing w:after="0"/>
              <w:rPr>
                <w:sz w:val="20"/>
                <w:szCs w:val="20"/>
                <w:color w:val="auto"/>
              </w:rPr>
            </w:pPr>
            <w:r>
              <w:rPr>
                <w:rFonts w:ascii="Arial" w:cs="Arial" w:eastAsia="Arial" w:hAnsi="Arial"/>
                <w:sz w:val="20"/>
                <w:szCs w:val="20"/>
                <w:color w:val="auto"/>
              </w:rPr>
              <w:t>25,000,000</w:t>
            </w:r>
          </w:p>
        </w:tc>
        <w:tc>
          <w:tcPr>
            <w:tcW w:w="11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4"/>
        </w:trPr>
        <w:tc>
          <w:tcPr>
            <w:tcW w:w="40" w:type="dxa"/>
            <w:vAlign w:val="bottom"/>
          </w:tcPr>
          <w:p>
            <w:pPr>
              <w:spacing w:after="0"/>
              <w:rPr>
                <w:sz w:val="24"/>
                <w:szCs w:val="24"/>
                <w:color w:val="auto"/>
              </w:rPr>
            </w:pPr>
          </w:p>
        </w:tc>
        <w:tc>
          <w:tcPr>
            <w:tcW w:w="3280" w:type="dxa"/>
            <w:vAlign w:val="bottom"/>
            <w:gridSpan w:val="2"/>
          </w:tcPr>
          <w:p>
            <w:pPr>
              <w:spacing w:after="0"/>
              <w:rPr>
                <w:sz w:val="20"/>
                <w:szCs w:val="20"/>
                <w:color w:val="auto"/>
              </w:rPr>
            </w:pPr>
            <w:r>
              <w:rPr>
                <w:rFonts w:ascii="Arial" w:cs="Arial" w:eastAsia="Arial" w:hAnsi="Arial"/>
                <w:sz w:val="20"/>
                <w:szCs w:val="20"/>
                <w:color w:val="auto"/>
              </w:rPr>
              <w:t>EFT Services Holding B.V.</w:t>
            </w:r>
          </w:p>
        </w:tc>
        <w:tc>
          <w:tcPr>
            <w:tcW w:w="1780" w:type="dxa"/>
            <w:vAlign w:val="bottom"/>
            <w:gridSpan w:val="2"/>
          </w:tcPr>
          <w:p>
            <w:pPr>
              <w:spacing w:after="0"/>
              <w:rPr>
                <w:sz w:val="20"/>
                <w:szCs w:val="20"/>
                <w:color w:val="auto"/>
              </w:rPr>
            </w:pPr>
            <w:r>
              <w:rPr>
                <w:rFonts w:ascii="Arial" w:cs="Arial" w:eastAsia="Arial" w:hAnsi="Arial"/>
                <w:sz w:val="20"/>
                <w:szCs w:val="20"/>
                <w:color w:val="auto"/>
              </w:rPr>
              <w:t>Netherlands</w:t>
            </w:r>
          </w:p>
        </w:tc>
        <w:tc>
          <w:tcPr>
            <w:tcW w:w="1320" w:type="dxa"/>
            <w:vAlign w:val="bottom"/>
            <w:gridSpan w:val="2"/>
          </w:tcPr>
          <w:p>
            <w:pPr>
              <w:jc w:val="right"/>
              <w:spacing w:after="0"/>
              <w:rPr>
                <w:sz w:val="20"/>
                <w:szCs w:val="20"/>
                <w:color w:val="auto"/>
              </w:rPr>
            </w:pPr>
            <w:r>
              <w:rPr>
                <w:rFonts w:ascii="Arial" w:cs="Arial" w:eastAsia="Arial" w:hAnsi="Arial"/>
                <w:sz w:val="20"/>
                <w:szCs w:val="20"/>
                <w:color w:val="auto"/>
              </w:rPr>
              <w:t>25,000,000</w:t>
            </w:r>
          </w:p>
        </w:tc>
        <w:tc>
          <w:tcPr>
            <w:tcW w:w="1480" w:type="dxa"/>
            <w:vAlign w:val="bottom"/>
            <w:gridSpan w:val="5"/>
          </w:tcPr>
          <w:p>
            <w:pPr>
              <w:jc w:val="right"/>
              <w:ind w:right="80"/>
              <w:spacing w:after="0"/>
              <w:rPr>
                <w:sz w:val="20"/>
                <w:szCs w:val="20"/>
                <w:color w:val="auto"/>
              </w:rPr>
            </w:pPr>
            <w:r>
              <w:rPr>
                <w:rFonts w:ascii="Arial" w:cs="Arial" w:eastAsia="Arial" w:hAnsi="Arial"/>
                <w:sz w:val="20"/>
                <w:szCs w:val="20"/>
                <w:color w:val="auto"/>
              </w:rPr>
              <w:t>25,000,000</w:t>
            </w:r>
          </w:p>
        </w:tc>
        <w:tc>
          <w:tcPr>
            <w:tcW w:w="11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4"/>
        </w:trPr>
        <w:tc>
          <w:tcPr>
            <w:tcW w:w="40" w:type="dxa"/>
            <w:vAlign w:val="bottom"/>
          </w:tcPr>
          <w:p>
            <w:pPr>
              <w:spacing w:after="0"/>
              <w:rPr>
                <w:sz w:val="24"/>
                <w:szCs w:val="24"/>
                <w:color w:val="auto"/>
              </w:rPr>
            </w:pPr>
          </w:p>
        </w:tc>
        <w:tc>
          <w:tcPr>
            <w:tcW w:w="3280" w:type="dxa"/>
            <w:vAlign w:val="bottom"/>
            <w:gridSpan w:val="2"/>
          </w:tcPr>
          <w:p>
            <w:pPr>
              <w:spacing w:after="0"/>
              <w:rPr>
                <w:sz w:val="20"/>
                <w:szCs w:val="20"/>
                <w:color w:val="auto"/>
              </w:rPr>
            </w:pPr>
            <w:r>
              <w:rPr>
                <w:rFonts w:ascii="Arial" w:cs="Arial" w:eastAsia="Arial" w:hAnsi="Arial"/>
                <w:sz w:val="20"/>
                <w:szCs w:val="20"/>
                <w:color w:val="auto"/>
              </w:rPr>
              <w:t>Ria Netherlands Holding B.V.</w:t>
            </w:r>
          </w:p>
        </w:tc>
        <w:tc>
          <w:tcPr>
            <w:tcW w:w="1780" w:type="dxa"/>
            <w:vAlign w:val="bottom"/>
            <w:gridSpan w:val="2"/>
          </w:tcPr>
          <w:p>
            <w:pPr>
              <w:spacing w:after="0"/>
              <w:rPr>
                <w:sz w:val="20"/>
                <w:szCs w:val="20"/>
                <w:color w:val="auto"/>
              </w:rPr>
            </w:pPr>
            <w:r>
              <w:rPr>
                <w:rFonts w:ascii="Arial" w:cs="Arial" w:eastAsia="Arial" w:hAnsi="Arial"/>
                <w:sz w:val="20"/>
                <w:szCs w:val="20"/>
                <w:color w:val="auto"/>
              </w:rPr>
              <w:t>Netherlands</w:t>
            </w:r>
          </w:p>
        </w:tc>
        <w:tc>
          <w:tcPr>
            <w:tcW w:w="1320" w:type="dxa"/>
            <w:vAlign w:val="bottom"/>
            <w:gridSpan w:val="2"/>
          </w:tcPr>
          <w:p>
            <w:pPr>
              <w:jc w:val="right"/>
              <w:spacing w:after="0"/>
              <w:rPr>
                <w:sz w:val="20"/>
                <w:szCs w:val="20"/>
                <w:color w:val="auto"/>
              </w:rPr>
            </w:pPr>
            <w:r>
              <w:rPr>
                <w:rFonts w:ascii="Arial" w:cs="Arial" w:eastAsia="Arial" w:hAnsi="Arial"/>
                <w:sz w:val="20"/>
                <w:szCs w:val="20"/>
                <w:color w:val="auto"/>
              </w:rPr>
              <w:t>25,000,000</w:t>
            </w:r>
          </w:p>
        </w:tc>
        <w:tc>
          <w:tcPr>
            <w:tcW w:w="1480" w:type="dxa"/>
            <w:vAlign w:val="bottom"/>
            <w:gridSpan w:val="5"/>
          </w:tcPr>
          <w:p>
            <w:pPr>
              <w:jc w:val="right"/>
              <w:ind w:right="80"/>
              <w:spacing w:after="0"/>
              <w:rPr>
                <w:sz w:val="20"/>
                <w:szCs w:val="20"/>
                <w:color w:val="auto"/>
              </w:rPr>
            </w:pPr>
            <w:r>
              <w:rPr>
                <w:rFonts w:ascii="Arial" w:cs="Arial" w:eastAsia="Arial" w:hAnsi="Arial"/>
                <w:sz w:val="20"/>
                <w:szCs w:val="20"/>
                <w:color w:val="auto"/>
              </w:rPr>
              <w:t>25,000,000</w:t>
            </w:r>
          </w:p>
        </w:tc>
        <w:tc>
          <w:tcPr>
            <w:tcW w:w="11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4"/>
        </w:trPr>
        <w:tc>
          <w:tcPr>
            <w:tcW w:w="40" w:type="dxa"/>
            <w:vAlign w:val="bottom"/>
          </w:tcPr>
          <w:p>
            <w:pPr>
              <w:spacing w:after="0"/>
              <w:rPr>
                <w:sz w:val="24"/>
                <w:szCs w:val="24"/>
                <w:color w:val="auto"/>
              </w:rPr>
            </w:pPr>
          </w:p>
        </w:tc>
        <w:tc>
          <w:tcPr>
            <w:tcW w:w="3280" w:type="dxa"/>
            <w:vAlign w:val="bottom"/>
            <w:gridSpan w:val="2"/>
          </w:tcPr>
          <w:p>
            <w:pPr>
              <w:spacing w:after="0"/>
              <w:rPr>
                <w:sz w:val="20"/>
                <w:szCs w:val="20"/>
                <w:color w:val="auto"/>
              </w:rPr>
            </w:pPr>
            <w:r>
              <w:rPr>
                <w:rFonts w:ascii="Arial" w:cs="Arial" w:eastAsia="Arial" w:hAnsi="Arial"/>
                <w:sz w:val="20"/>
                <w:szCs w:val="20"/>
                <w:color w:val="auto"/>
              </w:rPr>
              <w:t>epay Australia Holdings Pty. Ltd.</w:t>
            </w:r>
          </w:p>
        </w:tc>
        <w:tc>
          <w:tcPr>
            <w:tcW w:w="1780" w:type="dxa"/>
            <w:vAlign w:val="bottom"/>
            <w:gridSpan w:val="2"/>
          </w:tcPr>
          <w:p>
            <w:pPr>
              <w:spacing w:after="0"/>
              <w:rPr>
                <w:sz w:val="20"/>
                <w:szCs w:val="20"/>
                <w:color w:val="auto"/>
              </w:rPr>
            </w:pPr>
            <w:r>
              <w:rPr>
                <w:rFonts w:ascii="Arial" w:cs="Arial" w:eastAsia="Arial" w:hAnsi="Arial"/>
                <w:sz w:val="20"/>
                <w:szCs w:val="20"/>
                <w:color w:val="auto"/>
              </w:rPr>
              <w:t>Australia</w:t>
            </w:r>
          </w:p>
        </w:tc>
        <w:tc>
          <w:tcPr>
            <w:tcW w:w="1320" w:type="dxa"/>
            <w:vAlign w:val="bottom"/>
            <w:gridSpan w:val="2"/>
          </w:tcPr>
          <w:p>
            <w:pPr>
              <w:jc w:val="right"/>
              <w:spacing w:after="0"/>
              <w:rPr>
                <w:sz w:val="20"/>
                <w:szCs w:val="20"/>
                <w:color w:val="auto"/>
              </w:rPr>
            </w:pPr>
            <w:r>
              <w:rPr>
                <w:rFonts w:ascii="Arial" w:cs="Arial" w:eastAsia="Arial" w:hAnsi="Arial"/>
                <w:sz w:val="20"/>
                <w:szCs w:val="20"/>
                <w:color w:val="auto"/>
              </w:rPr>
              <w:t>25,000,000</w:t>
            </w:r>
          </w:p>
        </w:tc>
        <w:tc>
          <w:tcPr>
            <w:tcW w:w="1480" w:type="dxa"/>
            <w:vAlign w:val="bottom"/>
            <w:gridSpan w:val="5"/>
          </w:tcPr>
          <w:p>
            <w:pPr>
              <w:jc w:val="right"/>
              <w:ind w:right="80"/>
              <w:spacing w:after="0"/>
              <w:rPr>
                <w:sz w:val="20"/>
                <w:szCs w:val="20"/>
                <w:color w:val="auto"/>
              </w:rPr>
            </w:pPr>
            <w:r>
              <w:rPr>
                <w:rFonts w:ascii="Arial" w:cs="Arial" w:eastAsia="Arial" w:hAnsi="Arial"/>
                <w:sz w:val="20"/>
                <w:szCs w:val="20"/>
                <w:color w:val="auto"/>
              </w:rPr>
              <w:t>25,000,000</w:t>
            </w:r>
          </w:p>
        </w:tc>
        <w:tc>
          <w:tcPr>
            <w:tcW w:w="11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203200</wp:posOffset>
            </wp:positionV>
            <wp:extent cx="6405880" cy="18034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6405880" cy="180340"/>
                    </a:xfrm>
                    <a:prstGeom prst="rect">
                      <a:avLst/>
                    </a:prstGeom>
                    <a:noFill/>
                  </pic:spPr>
                </pic:pic>
              </a:graphicData>
            </a:graphic>
          </wp:anchor>
        </w:drawing>
      </w:r>
    </w:p>
    <w:p>
      <w:pPr>
        <w:spacing w:after="0" w:line="304" w:lineRule="exact"/>
        <w:rPr>
          <w:sz w:val="20"/>
          <w:szCs w:val="20"/>
          <w:color w:val="auto"/>
        </w:rPr>
      </w:pPr>
    </w:p>
    <w:p>
      <w:pPr>
        <w:ind w:left="40"/>
        <w:spacing w:after="0"/>
        <w:rPr>
          <w:sz w:val="20"/>
          <w:szCs w:val="20"/>
          <w:color w:val="auto"/>
        </w:rPr>
      </w:pPr>
      <w:r>
        <w:rPr>
          <w:rFonts w:ascii="Arial" w:cs="Arial" w:eastAsia="Arial" w:hAnsi="Arial"/>
          <w:sz w:val="20"/>
          <w:szCs w:val="20"/>
          <w:b w:val="1"/>
          <w:bCs w:val="1"/>
          <w:color w:val="auto"/>
        </w:rPr>
        <w:t>Designated Borrowers for Letters of Credit:</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3280" w:type="dxa"/>
            <w:vAlign w:val="bottom"/>
            <w:gridSpan w:val="2"/>
          </w:tcPr>
          <w:p>
            <w:pPr>
              <w:spacing w:after="0"/>
              <w:rPr>
                <w:sz w:val="20"/>
                <w:szCs w:val="20"/>
                <w:color w:val="auto"/>
              </w:rPr>
            </w:pPr>
            <w:r>
              <w:rPr>
                <w:rFonts w:ascii="Arial" w:cs="Arial" w:eastAsia="Arial" w:hAnsi="Arial"/>
                <w:sz w:val="20"/>
                <w:szCs w:val="20"/>
                <w:b w:val="1"/>
                <w:bCs w:val="1"/>
                <w:color w:val="auto"/>
              </w:rPr>
              <w:t>Entity</w:t>
            </w:r>
          </w:p>
        </w:tc>
        <w:tc>
          <w:tcPr>
            <w:tcW w:w="1680" w:type="dxa"/>
            <w:vAlign w:val="bottom"/>
            <w:gridSpan w:val="2"/>
          </w:tcPr>
          <w:p>
            <w:pPr>
              <w:spacing w:after="0"/>
              <w:rPr>
                <w:sz w:val="20"/>
                <w:szCs w:val="20"/>
                <w:color w:val="auto"/>
              </w:rPr>
            </w:pPr>
            <w:r>
              <w:rPr>
                <w:rFonts w:ascii="Arial" w:cs="Arial" w:eastAsia="Arial" w:hAnsi="Arial"/>
                <w:sz w:val="20"/>
                <w:szCs w:val="20"/>
                <w:b w:val="1"/>
                <w:bCs w:val="1"/>
                <w:color w:val="auto"/>
              </w:rPr>
              <w:t>Jurisdiction</w:t>
            </w:r>
          </w:p>
        </w:tc>
        <w:tc>
          <w:tcPr>
            <w:tcW w:w="2840" w:type="dxa"/>
            <w:vAlign w:val="bottom"/>
            <w:gridSpan w:val="2"/>
          </w:tcPr>
          <w:p>
            <w:pPr>
              <w:jc w:val="right"/>
              <w:spacing w:after="0"/>
              <w:rPr>
                <w:sz w:val="20"/>
                <w:szCs w:val="20"/>
                <w:color w:val="auto"/>
              </w:rPr>
            </w:pPr>
            <w:r>
              <w:rPr>
                <w:rFonts w:ascii="Arial" w:cs="Arial" w:eastAsia="Arial" w:hAnsi="Arial"/>
                <w:sz w:val="20"/>
                <w:szCs w:val="20"/>
                <w:b w:val="1"/>
                <w:bCs w:val="1"/>
                <w:color w:val="auto"/>
              </w:rPr>
              <w:t>USD LC Limit India LC Limit</w:t>
            </w:r>
          </w:p>
        </w:tc>
      </w:tr>
      <w:tr>
        <w:trPr>
          <w:trHeight w:val="48"/>
        </w:trPr>
        <w:tc>
          <w:tcPr>
            <w:tcW w:w="520" w:type="dxa"/>
            <w:vAlign w:val="bottom"/>
            <w:tcBorders>
              <w:top w:val="single" w:sz="8" w:color="auto"/>
            </w:tcBorders>
          </w:tcPr>
          <w:p>
            <w:pPr>
              <w:spacing w:after="0"/>
              <w:rPr>
                <w:sz w:val="4"/>
                <w:szCs w:val="4"/>
                <w:color w:val="auto"/>
              </w:rPr>
            </w:pPr>
          </w:p>
        </w:tc>
        <w:tc>
          <w:tcPr>
            <w:tcW w:w="2760" w:type="dxa"/>
            <w:vAlign w:val="bottom"/>
          </w:tcPr>
          <w:p>
            <w:pPr>
              <w:spacing w:after="0"/>
              <w:rPr>
                <w:sz w:val="4"/>
                <w:szCs w:val="4"/>
                <w:color w:val="auto"/>
              </w:rPr>
            </w:pPr>
          </w:p>
        </w:tc>
        <w:tc>
          <w:tcPr>
            <w:tcW w:w="1020" w:type="dxa"/>
            <w:vAlign w:val="bottom"/>
            <w:tcBorders>
              <w:top w:val="single" w:sz="8" w:color="auto"/>
            </w:tcBorders>
          </w:tcPr>
          <w:p>
            <w:pPr>
              <w:spacing w:after="0"/>
              <w:rPr>
                <w:sz w:val="4"/>
                <w:szCs w:val="4"/>
                <w:color w:val="auto"/>
              </w:rPr>
            </w:pPr>
          </w:p>
        </w:tc>
        <w:tc>
          <w:tcPr>
            <w:tcW w:w="660" w:type="dxa"/>
            <w:vAlign w:val="bottom"/>
          </w:tcPr>
          <w:p>
            <w:pPr>
              <w:spacing w:after="0"/>
              <w:rPr>
                <w:sz w:val="4"/>
                <w:szCs w:val="4"/>
                <w:color w:val="auto"/>
              </w:rPr>
            </w:pPr>
          </w:p>
        </w:tc>
        <w:tc>
          <w:tcPr>
            <w:tcW w:w="1660" w:type="dxa"/>
            <w:vAlign w:val="bottom"/>
            <w:tcBorders>
              <w:bottom w:val="single" w:sz="8" w:color="auto"/>
            </w:tcBorders>
          </w:tcPr>
          <w:p>
            <w:pPr>
              <w:spacing w:after="0"/>
              <w:rPr>
                <w:sz w:val="4"/>
                <w:szCs w:val="4"/>
                <w:color w:val="auto"/>
              </w:rPr>
            </w:pPr>
          </w:p>
        </w:tc>
        <w:tc>
          <w:tcPr>
            <w:tcW w:w="1180" w:type="dxa"/>
            <w:vAlign w:val="bottom"/>
            <w:tcBorders>
              <w:bottom w:val="single" w:sz="8" w:color="auto"/>
            </w:tcBorders>
          </w:tcPr>
          <w:p>
            <w:pPr>
              <w:spacing w:after="0"/>
              <w:rPr>
                <w:sz w:val="4"/>
                <w:szCs w:val="4"/>
                <w:color w:val="auto"/>
              </w:rPr>
            </w:pPr>
          </w:p>
        </w:tc>
      </w:tr>
      <w:tr>
        <w:trPr>
          <w:trHeight w:val="254"/>
        </w:trPr>
        <w:tc>
          <w:tcPr>
            <w:tcW w:w="3280" w:type="dxa"/>
            <w:vAlign w:val="bottom"/>
            <w:gridSpan w:val="2"/>
          </w:tcPr>
          <w:p>
            <w:pPr>
              <w:spacing w:after="0"/>
              <w:rPr>
                <w:sz w:val="20"/>
                <w:szCs w:val="20"/>
                <w:color w:val="auto"/>
              </w:rPr>
            </w:pPr>
            <w:r>
              <w:rPr>
                <w:rFonts w:ascii="Arial" w:cs="Arial" w:eastAsia="Arial" w:hAnsi="Arial"/>
                <w:sz w:val="20"/>
                <w:szCs w:val="20"/>
                <w:color w:val="auto"/>
              </w:rPr>
              <w:t>Euronet Worldwide, Inc.</w:t>
            </w:r>
          </w:p>
        </w:tc>
        <w:tc>
          <w:tcPr>
            <w:tcW w:w="1680" w:type="dxa"/>
            <w:vAlign w:val="bottom"/>
            <w:gridSpan w:val="2"/>
          </w:tcPr>
          <w:p>
            <w:pPr>
              <w:spacing w:after="0"/>
              <w:rPr>
                <w:sz w:val="20"/>
                <w:szCs w:val="20"/>
                <w:color w:val="auto"/>
              </w:rPr>
            </w:pPr>
            <w:r>
              <w:rPr>
                <w:rFonts w:ascii="Arial" w:cs="Arial" w:eastAsia="Arial" w:hAnsi="Arial"/>
                <w:sz w:val="20"/>
                <w:szCs w:val="20"/>
                <w:color w:val="auto"/>
              </w:rPr>
              <w:t>Delaware, USA</w:t>
            </w:r>
          </w:p>
        </w:tc>
        <w:tc>
          <w:tcPr>
            <w:tcW w:w="1660" w:type="dxa"/>
            <w:vAlign w:val="bottom"/>
          </w:tcPr>
          <w:p>
            <w:pPr>
              <w:jc w:val="right"/>
              <w:ind w:right="141"/>
              <w:spacing w:after="0"/>
              <w:rPr>
                <w:sz w:val="20"/>
                <w:szCs w:val="20"/>
                <w:color w:val="auto"/>
              </w:rPr>
            </w:pPr>
            <w:r>
              <w:rPr>
                <w:rFonts w:ascii="Arial" w:cs="Arial" w:eastAsia="Arial" w:hAnsi="Arial"/>
                <w:sz w:val="20"/>
                <w:szCs w:val="20"/>
                <w:color w:val="auto"/>
              </w:rPr>
              <w:t>200,000,000</w:t>
            </w:r>
          </w:p>
        </w:tc>
        <w:tc>
          <w:tcPr>
            <w:tcW w:w="1180" w:type="dxa"/>
            <w:vAlign w:val="bottom"/>
          </w:tcPr>
          <w:p>
            <w:pPr>
              <w:jc w:val="right"/>
              <w:spacing w:after="0"/>
              <w:rPr>
                <w:sz w:val="20"/>
                <w:szCs w:val="20"/>
                <w:color w:val="auto"/>
              </w:rPr>
            </w:pPr>
            <w:r>
              <w:rPr>
                <w:rFonts w:ascii="Arial" w:cs="Arial" w:eastAsia="Arial" w:hAnsi="Arial"/>
                <w:sz w:val="20"/>
                <w:szCs w:val="20"/>
                <w:color w:val="auto"/>
              </w:rPr>
              <w:t>0</w:t>
            </w:r>
          </w:p>
        </w:tc>
      </w:tr>
      <w:tr>
        <w:trPr>
          <w:trHeight w:val="284"/>
        </w:trPr>
        <w:tc>
          <w:tcPr>
            <w:tcW w:w="3280" w:type="dxa"/>
            <w:vAlign w:val="bottom"/>
            <w:gridSpan w:val="2"/>
          </w:tcPr>
          <w:p>
            <w:pPr>
              <w:spacing w:after="0"/>
              <w:rPr>
                <w:sz w:val="20"/>
                <w:szCs w:val="20"/>
                <w:color w:val="auto"/>
              </w:rPr>
            </w:pPr>
            <w:r>
              <w:rPr>
                <w:rFonts w:ascii="Arial" w:cs="Arial" w:eastAsia="Arial" w:hAnsi="Arial"/>
                <w:sz w:val="20"/>
                <w:szCs w:val="20"/>
                <w:color w:val="auto"/>
                <w:w w:val="99"/>
              </w:rPr>
              <w:t>Continental Exchange Solutions, Inc.</w:t>
            </w:r>
          </w:p>
        </w:tc>
        <w:tc>
          <w:tcPr>
            <w:tcW w:w="1680" w:type="dxa"/>
            <w:vAlign w:val="bottom"/>
            <w:gridSpan w:val="2"/>
          </w:tcPr>
          <w:p>
            <w:pPr>
              <w:spacing w:after="0"/>
              <w:rPr>
                <w:sz w:val="20"/>
                <w:szCs w:val="20"/>
                <w:color w:val="auto"/>
              </w:rPr>
            </w:pPr>
            <w:r>
              <w:rPr>
                <w:rFonts w:ascii="Arial" w:cs="Arial" w:eastAsia="Arial" w:hAnsi="Arial"/>
                <w:sz w:val="20"/>
                <w:szCs w:val="20"/>
                <w:color w:val="auto"/>
              </w:rPr>
              <w:t>Delaware, USA</w:t>
            </w:r>
          </w:p>
        </w:tc>
        <w:tc>
          <w:tcPr>
            <w:tcW w:w="1660" w:type="dxa"/>
            <w:vAlign w:val="bottom"/>
          </w:tcPr>
          <w:p>
            <w:pPr>
              <w:jc w:val="right"/>
              <w:ind w:right="141"/>
              <w:spacing w:after="0"/>
              <w:rPr>
                <w:sz w:val="20"/>
                <w:szCs w:val="20"/>
                <w:color w:val="auto"/>
              </w:rPr>
            </w:pPr>
            <w:r>
              <w:rPr>
                <w:rFonts w:ascii="Arial" w:cs="Arial" w:eastAsia="Arial" w:hAnsi="Arial"/>
                <w:sz w:val="20"/>
                <w:szCs w:val="20"/>
                <w:color w:val="auto"/>
              </w:rPr>
              <w:t>200,000,000</w:t>
            </w:r>
          </w:p>
        </w:tc>
        <w:tc>
          <w:tcPr>
            <w:tcW w:w="1180" w:type="dxa"/>
            <w:vAlign w:val="bottom"/>
          </w:tcPr>
          <w:p>
            <w:pPr>
              <w:jc w:val="right"/>
              <w:spacing w:after="0"/>
              <w:rPr>
                <w:sz w:val="20"/>
                <w:szCs w:val="20"/>
                <w:color w:val="auto"/>
              </w:rPr>
            </w:pPr>
            <w:r>
              <w:rPr>
                <w:rFonts w:ascii="Arial" w:cs="Arial" w:eastAsia="Arial" w:hAnsi="Arial"/>
                <w:sz w:val="20"/>
                <w:szCs w:val="20"/>
                <w:color w:val="auto"/>
              </w:rPr>
              <w:t>0</w:t>
            </w:r>
          </w:p>
        </w:tc>
      </w:tr>
      <w:tr>
        <w:trPr>
          <w:trHeight w:val="284"/>
        </w:trPr>
        <w:tc>
          <w:tcPr>
            <w:tcW w:w="3280" w:type="dxa"/>
            <w:vAlign w:val="bottom"/>
            <w:gridSpan w:val="2"/>
          </w:tcPr>
          <w:p>
            <w:pPr>
              <w:spacing w:after="0"/>
              <w:rPr>
                <w:sz w:val="20"/>
                <w:szCs w:val="20"/>
                <w:color w:val="auto"/>
              </w:rPr>
            </w:pPr>
            <w:r>
              <w:rPr>
                <w:rFonts w:ascii="Arial" w:cs="Arial" w:eastAsia="Arial" w:hAnsi="Arial"/>
                <w:sz w:val="18"/>
                <w:szCs w:val="18"/>
                <w:color w:val="auto"/>
              </w:rPr>
              <w:t>RIA Envia, Inc.</w:t>
            </w:r>
          </w:p>
        </w:tc>
        <w:tc>
          <w:tcPr>
            <w:tcW w:w="1680" w:type="dxa"/>
            <w:vAlign w:val="bottom"/>
            <w:gridSpan w:val="2"/>
          </w:tcPr>
          <w:p>
            <w:pPr>
              <w:spacing w:after="0"/>
              <w:rPr>
                <w:sz w:val="20"/>
                <w:szCs w:val="20"/>
                <w:color w:val="auto"/>
              </w:rPr>
            </w:pPr>
            <w:r>
              <w:rPr>
                <w:rFonts w:ascii="Arial" w:cs="Arial" w:eastAsia="Arial" w:hAnsi="Arial"/>
                <w:sz w:val="20"/>
                <w:szCs w:val="20"/>
                <w:color w:val="auto"/>
              </w:rPr>
              <w:t>Delaware, USA</w:t>
            </w:r>
          </w:p>
        </w:tc>
        <w:tc>
          <w:tcPr>
            <w:tcW w:w="1660" w:type="dxa"/>
            <w:vAlign w:val="bottom"/>
          </w:tcPr>
          <w:p>
            <w:pPr>
              <w:jc w:val="right"/>
              <w:ind w:right="141"/>
              <w:spacing w:after="0"/>
              <w:rPr>
                <w:sz w:val="20"/>
                <w:szCs w:val="20"/>
                <w:color w:val="auto"/>
              </w:rPr>
            </w:pPr>
            <w:r>
              <w:rPr>
                <w:rFonts w:ascii="Arial" w:cs="Arial" w:eastAsia="Arial" w:hAnsi="Arial"/>
                <w:sz w:val="20"/>
                <w:szCs w:val="20"/>
                <w:color w:val="auto"/>
              </w:rPr>
              <w:t>200,000,000</w:t>
            </w:r>
          </w:p>
        </w:tc>
        <w:tc>
          <w:tcPr>
            <w:tcW w:w="1180" w:type="dxa"/>
            <w:vAlign w:val="bottom"/>
          </w:tcPr>
          <w:p>
            <w:pPr>
              <w:jc w:val="right"/>
              <w:spacing w:after="0"/>
              <w:rPr>
                <w:sz w:val="20"/>
                <w:szCs w:val="20"/>
                <w:color w:val="auto"/>
              </w:rPr>
            </w:pPr>
            <w:r>
              <w:rPr>
                <w:rFonts w:ascii="Arial" w:cs="Arial" w:eastAsia="Arial" w:hAnsi="Arial"/>
                <w:sz w:val="20"/>
                <w:szCs w:val="20"/>
                <w:color w:val="auto"/>
              </w:rPr>
              <w:t>0</w:t>
            </w:r>
          </w:p>
        </w:tc>
      </w:tr>
      <w:tr>
        <w:trPr>
          <w:trHeight w:val="284"/>
        </w:trPr>
        <w:tc>
          <w:tcPr>
            <w:tcW w:w="3280" w:type="dxa"/>
            <w:vAlign w:val="bottom"/>
            <w:gridSpan w:val="2"/>
          </w:tcPr>
          <w:p>
            <w:pPr>
              <w:spacing w:after="0"/>
              <w:rPr>
                <w:sz w:val="20"/>
                <w:szCs w:val="20"/>
                <w:color w:val="auto"/>
              </w:rPr>
            </w:pPr>
            <w:r>
              <w:rPr>
                <w:rFonts w:ascii="Arial" w:cs="Arial" w:eastAsia="Arial" w:hAnsi="Arial"/>
                <w:sz w:val="20"/>
                <w:szCs w:val="20"/>
                <w:color w:val="auto"/>
              </w:rPr>
              <w:t>EFT Services Holding B.V.</w:t>
            </w:r>
          </w:p>
        </w:tc>
        <w:tc>
          <w:tcPr>
            <w:tcW w:w="1680" w:type="dxa"/>
            <w:vAlign w:val="bottom"/>
            <w:gridSpan w:val="2"/>
          </w:tcPr>
          <w:p>
            <w:pPr>
              <w:spacing w:after="0"/>
              <w:rPr>
                <w:sz w:val="20"/>
                <w:szCs w:val="20"/>
                <w:color w:val="auto"/>
              </w:rPr>
            </w:pPr>
            <w:r>
              <w:rPr>
                <w:rFonts w:ascii="Arial" w:cs="Arial" w:eastAsia="Arial" w:hAnsi="Arial"/>
                <w:sz w:val="20"/>
                <w:szCs w:val="20"/>
                <w:color w:val="auto"/>
              </w:rPr>
              <w:t>Netherlands</w:t>
            </w:r>
          </w:p>
        </w:tc>
        <w:tc>
          <w:tcPr>
            <w:tcW w:w="1660" w:type="dxa"/>
            <w:vAlign w:val="bottom"/>
          </w:tcPr>
          <w:p>
            <w:pPr>
              <w:jc w:val="right"/>
              <w:ind w:right="141"/>
              <w:spacing w:after="0"/>
              <w:rPr>
                <w:sz w:val="20"/>
                <w:szCs w:val="20"/>
                <w:color w:val="auto"/>
              </w:rPr>
            </w:pPr>
            <w:r>
              <w:rPr>
                <w:rFonts w:ascii="Arial" w:cs="Arial" w:eastAsia="Arial" w:hAnsi="Arial"/>
                <w:sz w:val="20"/>
                <w:szCs w:val="20"/>
                <w:color w:val="auto"/>
              </w:rPr>
              <w:t>200,000,000</w:t>
            </w:r>
          </w:p>
        </w:tc>
        <w:tc>
          <w:tcPr>
            <w:tcW w:w="1180" w:type="dxa"/>
            <w:vAlign w:val="bottom"/>
          </w:tcPr>
          <w:p>
            <w:pPr>
              <w:jc w:val="right"/>
              <w:spacing w:after="0"/>
              <w:rPr>
                <w:sz w:val="20"/>
                <w:szCs w:val="20"/>
                <w:color w:val="auto"/>
              </w:rPr>
            </w:pPr>
            <w:r>
              <w:rPr>
                <w:rFonts w:ascii="Arial" w:cs="Arial" w:eastAsia="Arial" w:hAnsi="Arial"/>
                <w:sz w:val="20"/>
                <w:szCs w:val="20"/>
                <w:color w:val="auto"/>
              </w:rPr>
              <w:t>0</w:t>
            </w:r>
          </w:p>
        </w:tc>
      </w:tr>
      <w:tr>
        <w:trPr>
          <w:trHeight w:val="284"/>
        </w:trPr>
        <w:tc>
          <w:tcPr>
            <w:tcW w:w="3280" w:type="dxa"/>
            <w:vAlign w:val="bottom"/>
            <w:gridSpan w:val="2"/>
          </w:tcPr>
          <w:p>
            <w:pPr>
              <w:spacing w:after="0"/>
              <w:rPr>
                <w:sz w:val="20"/>
                <w:szCs w:val="20"/>
                <w:color w:val="auto"/>
              </w:rPr>
            </w:pPr>
            <w:r>
              <w:rPr>
                <w:rFonts w:ascii="Arial" w:cs="Arial" w:eastAsia="Arial" w:hAnsi="Arial"/>
                <w:sz w:val="20"/>
                <w:szCs w:val="20"/>
                <w:color w:val="auto"/>
              </w:rPr>
              <w:t>Ria Netherlands Holding B.V.</w:t>
            </w:r>
          </w:p>
        </w:tc>
        <w:tc>
          <w:tcPr>
            <w:tcW w:w="1680" w:type="dxa"/>
            <w:vAlign w:val="bottom"/>
            <w:gridSpan w:val="2"/>
          </w:tcPr>
          <w:p>
            <w:pPr>
              <w:spacing w:after="0"/>
              <w:rPr>
                <w:sz w:val="20"/>
                <w:szCs w:val="20"/>
                <w:color w:val="auto"/>
              </w:rPr>
            </w:pPr>
            <w:r>
              <w:rPr>
                <w:rFonts w:ascii="Arial" w:cs="Arial" w:eastAsia="Arial" w:hAnsi="Arial"/>
                <w:sz w:val="20"/>
                <w:szCs w:val="20"/>
                <w:color w:val="auto"/>
              </w:rPr>
              <w:t>Netherlands</w:t>
            </w:r>
          </w:p>
        </w:tc>
        <w:tc>
          <w:tcPr>
            <w:tcW w:w="1660" w:type="dxa"/>
            <w:vAlign w:val="bottom"/>
          </w:tcPr>
          <w:p>
            <w:pPr>
              <w:jc w:val="right"/>
              <w:ind w:right="141"/>
              <w:spacing w:after="0"/>
              <w:rPr>
                <w:sz w:val="20"/>
                <w:szCs w:val="20"/>
                <w:color w:val="auto"/>
              </w:rPr>
            </w:pPr>
            <w:r>
              <w:rPr>
                <w:rFonts w:ascii="Arial" w:cs="Arial" w:eastAsia="Arial" w:hAnsi="Arial"/>
                <w:sz w:val="20"/>
                <w:szCs w:val="20"/>
                <w:color w:val="auto"/>
              </w:rPr>
              <w:t>200,000,000</w:t>
            </w:r>
          </w:p>
        </w:tc>
        <w:tc>
          <w:tcPr>
            <w:tcW w:w="1180" w:type="dxa"/>
            <w:vAlign w:val="bottom"/>
          </w:tcPr>
          <w:p>
            <w:pPr>
              <w:jc w:val="right"/>
              <w:spacing w:after="0"/>
              <w:rPr>
                <w:sz w:val="20"/>
                <w:szCs w:val="20"/>
                <w:color w:val="auto"/>
              </w:rPr>
            </w:pPr>
            <w:r>
              <w:rPr>
                <w:rFonts w:ascii="Arial" w:cs="Arial" w:eastAsia="Arial" w:hAnsi="Arial"/>
                <w:sz w:val="20"/>
                <w:szCs w:val="20"/>
                <w:color w:val="auto"/>
              </w:rPr>
              <w:t>0</w:t>
            </w:r>
          </w:p>
        </w:tc>
      </w:tr>
      <w:tr>
        <w:trPr>
          <w:trHeight w:val="284"/>
        </w:trPr>
        <w:tc>
          <w:tcPr>
            <w:tcW w:w="3280" w:type="dxa"/>
            <w:vAlign w:val="bottom"/>
            <w:gridSpan w:val="2"/>
          </w:tcPr>
          <w:p>
            <w:pPr>
              <w:spacing w:after="0"/>
              <w:rPr>
                <w:sz w:val="20"/>
                <w:szCs w:val="20"/>
                <w:color w:val="auto"/>
              </w:rPr>
            </w:pPr>
            <w:r>
              <w:rPr>
                <w:rFonts w:ascii="Arial" w:cs="Arial" w:eastAsia="Arial" w:hAnsi="Arial"/>
                <w:sz w:val="20"/>
                <w:szCs w:val="20"/>
                <w:color w:val="auto"/>
              </w:rPr>
              <w:t>epay Australia Holdings Pty Ltd</w:t>
            </w:r>
          </w:p>
        </w:tc>
        <w:tc>
          <w:tcPr>
            <w:tcW w:w="1680" w:type="dxa"/>
            <w:vAlign w:val="bottom"/>
            <w:gridSpan w:val="2"/>
          </w:tcPr>
          <w:p>
            <w:pPr>
              <w:spacing w:after="0"/>
              <w:rPr>
                <w:sz w:val="20"/>
                <w:szCs w:val="20"/>
                <w:color w:val="auto"/>
              </w:rPr>
            </w:pPr>
            <w:r>
              <w:rPr>
                <w:rFonts w:ascii="Arial" w:cs="Arial" w:eastAsia="Arial" w:hAnsi="Arial"/>
                <w:sz w:val="20"/>
                <w:szCs w:val="20"/>
                <w:color w:val="auto"/>
              </w:rPr>
              <w:t>Australia</w:t>
            </w:r>
          </w:p>
        </w:tc>
        <w:tc>
          <w:tcPr>
            <w:tcW w:w="1660" w:type="dxa"/>
            <w:vAlign w:val="bottom"/>
          </w:tcPr>
          <w:p>
            <w:pPr>
              <w:jc w:val="right"/>
              <w:ind w:right="141"/>
              <w:spacing w:after="0"/>
              <w:rPr>
                <w:sz w:val="20"/>
                <w:szCs w:val="20"/>
                <w:color w:val="auto"/>
              </w:rPr>
            </w:pPr>
            <w:r>
              <w:rPr>
                <w:rFonts w:ascii="Arial" w:cs="Arial" w:eastAsia="Arial" w:hAnsi="Arial"/>
                <w:sz w:val="20"/>
                <w:szCs w:val="20"/>
                <w:color w:val="auto"/>
              </w:rPr>
              <w:t>200,000,000</w:t>
            </w:r>
          </w:p>
        </w:tc>
        <w:tc>
          <w:tcPr>
            <w:tcW w:w="1180" w:type="dxa"/>
            <w:vAlign w:val="bottom"/>
          </w:tcPr>
          <w:p>
            <w:pPr>
              <w:jc w:val="right"/>
              <w:spacing w:after="0"/>
              <w:rPr>
                <w:sz w:val="20"/>
                <w:szCs w:val="20"/>
                <w:color w:val="auto"/>
              </w:rPr>
            </w:pPr>
            <w:r>
              <w:rPr>
                <w:rFonts w:ascii="Arial" w:cs="Arial" w:eastAsia="Arial" w:hAnsi="Arial"/>
                <w:sz w:val="20"/>
                <w:szCs w:val="20"/>
                <w:color w:val="auto"/>
              </w:rPr>
              <w:t>0</w:t>
            </w:r>
          </w:p>
        </w:tc>
      </w:tr>
      <w:tr>
        <w:trPr>
          <w:trHeight w:val="284"/>
        </w:trPr>
        <w:tc>
          <w:tcPr>
            <w:tcW w:w="3280" w:type="dxa"/>
            <w:vAlign w:val="bottom"/>
            <w:gridSpan w:val="2"/>
          </w:tcPr>
          <w:p>
            <w:pPr>
              <w:spacing w:after="0"/>
              <w:rPr>
                <w:sz w:val="20"/>
                <w:szCs w:val="20"/>
                <w:color w:val="auto"/>
              </w:rPr>
            </w:pPr>
            <w:r>
              <w:rPr>
                <w:rFonts w:ascii="Arial" w:cs="Arial" w:eastAsia="Arial" w:hAnsi="Arial"/>
                <w:sz w:val="20"/>
                <w:szCs w:val="20"/>
                <w:color w:val="auto"/>
              </w:rPr>
              <w:t>Euronet Services India Pvt. Ltd.</w:t>
            </w:r>
          </w:p>
        </w:tc>
        <w:tc>
          <w:tcPr>
            <w:tcW w:w="1680" w:type="dxa"/>
            <w:vAlign w:val="bottom"/>
            <w:gridSpan w:val="2"/>
          </w:tcPr>
          <w:p>
            <w:pPr>
              <w:spacing w:after="0"/>
              <w:rPr>
                <w:sz w:val="20"/>
                <w:szCs w:val="20"/>
                <w:color w:val="auto"/>
              </w:rPr>
            </w:pPr>
            <w:r>
              <w:rPr>
                <w:rFonts w:ascii="Arial" w:cs="Arial" w:eastAsia="Arial" w:hAnsi="Arial"/>
                <w:sz w:val="20"/>
                <w:szCs w:val="20"/>
                <w:color w:val="auto"/>
              </w:rPr>
              <w:t>India</w:t>
            </w:r>
          </w:p>
        </w:tc>
        <w:tc>
          <w:tcPr>
            <w:tcW w:w="1660" w:type="dxa"/>
            <w:vAlign w:val="bottom"/>
          </w:tcPr>
          <w:p>
            <w:pPr>
              <w:jc w:val="right"/>
              <w:ind w:right="141"/>
              <w:spacing w:after="0"/>
              <w:rPr>
                <w:sz w:val="20"/>
                <w:szCs w:val="20"/>
                <w:color w:val="auto"/>
              </w:rPr>
            </w:pPr>
            <w:r>
              <w:rPr>
                <w:rFonts w:ascii="Arial" w:cs="Arial" w:eastAsia="Arial" w:hAnsi="Arial"/>
                <w:sz w:val="20"/>
                <w:szCs w:val="20"/>
                <w:color w:val="auto"/>
              </w:rPr>
              <w:t>0</w:t>
            </w:r>
          </w:p>
        </w:tc>
        <w:tc>
          <w:tcPr>
            <w:tcW w:w="1180" w:type="dxa"/>
            <w:vAlign w:val="bottom"/>
          </w:tcPr>
          <w:p>
            <w:pPr>
              <w:jc w:val="right"/>
              <w:spacing w:after="0"/>
              <w:rPr>
                <w:sz w:val="20"/>
                <w:szCs w:val="20"/>
                <w:color w:val="auto"/>
              </w:rPr>
            </w:pPr>
            <w:r>
              <w:rPr>
                <w:rFonts w:ascii="Arial" w:cs="Arial" w:eastAsia="Arial" w:hAnsi="Arial"/>
                <w:sz w:val="20"/>
                <w:szCs w:val="20"/>
                <w:color w:val="auto"/>
              </w:rPr>
              <w:t>10,000,000</w:t>
            </w:r>
          </w:p>
        </w:tc>
      </w:tr>
    </w:tbl>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ind w:left="40"/>
        <w:spacing w:after="0"/>
        <w:rPr>
          <w:sz w:val="20"/>
          <w:szCs w:val="20"/>
          <w:color w:val="auto"/>
        </w:rPr>
      </w:pPr>
      <w:r>
        <w:rPr>
          <w:rFonts w:ascii="Arial" w:cs="Arial" w:eastAsia="Arial" w:hAnsi="Arial"/>
          <w:sz w:val="20"/>
          <w:szCs w:val="20"/>
          <w:color w:val="auto"/>
        </w:rPr>
        <w:t>*All limits presented in USD</w:t>
      </w:r>
    </w:p>
    <w:p>
      <w:pPr>
        <w:spacing w:after="0" w:line="237" w:lineRule="exact"/>
        <w:rPr>
          <w:sz w:val="20"/>
          <w:szCs w:val="20"/>
          <w:color w:val="auto"/>
        </w:rPr>
      </w:pPr>
    </w:p>
    <w:p>
      <w:pPr>
        <w:jc w:val="center"/>
        <w:spacing w:after="0"/>
        <w:rPr>
          <w:sz w:val="20"/>
          <w:szCs w:val="20"/>
          <w:color w:val="auto"/>
        </w:rPr>
      </w:pPr>
      <w:r>
        <w:rPr>
          <w:rFonts w:ascii="Arial" w:cs="Arial" w:eastAsia="Arial" w:hAnsi="Arial"/>
          <w:sz w:val="20"/>
          <w:szCs w:val="20"/>
          <w:b w:val="1"/>
          <w:bCs w:val="1"/>
          <w:u w:val="single" w:color="auto"/>
          <w:color w:val="auto"/>
        </w:rPr>
        <w:t>Schedule 5.01 - Schedule of Closing Deliverables</w:t>
      </w:r>
    </w:p>
    <w:p>
      <w:pPr>
        <w:spacing w:after="0" w:line="22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Not Applicable to Amended and Restated Agreement</w:t>
      </w:r>
    </w:p>
    <w:p>
      <w:pPr>
        <w:sectPr>
          <w:pgSz w:w="11900" w:h="16838" w:orient="portrait"/>
          <w:cols w:equalWidth="0" w:num="1">
            <w:col w:w="10100"/>
          </w:cols>
          <w:pgMar w:left="900" w:top="528" w:right="899" w:bottom="1440" w:gutter="0" w:footer="0" w:header="0"/>
        </w:sectPr>
      </w:pPr>
    </w:p>
    <w:bookmarkStart w:id="266" w:name="page267"/>
    <w:bookmarkEnd w:id="266"/>
    <w:p>
      <w:pPr>
        <w:jc w:val="center"/>
        <w:ind w:right="40"/>
        <w:spacing w:after="0"/>
        <w:rPr>
          <w:sz w:val="20"/>
          <w:szCs w:val="20"/>
          <w:color w:val="auto"/>
        </w:rPr>
      </w:pPr>
      <w:r>
        <w:rPr>
          <w:rFonts w:ascii="Arial" w:cs="Arial" w:eastAsia="Arial" w:hAnsi="Arial"/>
          <w:sz w:val="20"/>
          <w:szCs w:val="20"/>
          <w:b w:val="1"/>
          <w:bCs w:val="1"/>
          <w:color w:val="auto"/>
        </w:rPr>
        <w:t>Schedule 6.14 - Subsidiaries</w:t>
      </w:r>
    </w:p>
    <w:p>
      <w:pPr>
        <w:spacing w:after="0" w:line="49" w:lineRule="exact"/>
        <w:rPr>
          <w:sz w:val="20"/>
          <w:szCs w:val="20"/>
          <w:color w:val="auto"/>
        </w:rPr>
      </w:pPr>
    </w:p>
    <w:tbl>
      <w:tblPr>
        <w:tblLayout w:type="fixed"/>
        <w:tblInd w:w="10" w:type="dxa"/>
        <w:tblCellMar>
          <w:top w:w="0" w:type="dxa"/>
          <w:left w:w="0" w:type="dxa"/>
          <w:bottom w:w="0" w:type="dxa"/>
          <w:right w:w="0" w:type="dxa"/>
        </w:tblCellMar>
      </w:tblPr>
      <w:tr>
        <w:trPr>
          <w:trHeight w:val="234"/>
        </w:trPr>
        <w:tc>
          <w:tcPr>
            <w:tcW w:w="4540" w:type="dxa"/>
            <w:vAlign w:val="bottom"/>
            <w:tcBorders>
              <w:left w:val="single" w:sz="8" w:color="auto"/>
              <w:right w:val="single" w:sz="8" w:color="auto"/>
            </w:tcBorders>
            <w:shd w:val="clear" w:color="auto" w:fill="969696"/>
          </w:tcPr>
          <w:p>
            <w:pPr>
              <w:spacing w:after="0"/>
              <w:rPr>
                <w:sz w:val="20"/>
                <w:szCs w:val="20"/>
                <w:color w:val="auto"/>
              </w:rPr>
            </w:pPr>
          </w:p>
        </w:tc>
        <w:tc>
          <w:tcPr>
            <w:tcW w:w="2000" w:type="dxa"/>
            <w:vAlign w:val="bottom"/>
            <w:tcBorders>
              <w:right w:val="single" w:sz="8" w:color="auto"/>
            </w:tcBorders>
            <w:shd w:val="clear" w:color="auto" w:fill="969696"/>
          </w:tcPr>
          <w:p>
            <w:pPr>
              <w:ind w:left="360"/>
              <w:spacing w:after="0"/>
              <w:rPr>
                <w:sz w:val="20"/>
                <w:szCs w:val="20"/>
                <w:color w:val="auto"/>
              </w:rPr>
            </w:pPr>
            <w:r>
              <w:rPr>
                <w:rFonts w:ascii="Arial" w:cs="Arial" w:eastAsia="Arial" w:hAnsi="Arial"/>
                <w:sz w:val="20"/>
                <w:szCs w:val="20"/>
                <w:b w:val="1"/>
                <w:bCs w:val="1"/>
                <w:color w:val="auto"/>
              </w:rPr>
              <w:t>Jurisdiction of</w:t>
            </w:r>
          </w:p>
        </w:tc>
        <w:tc>
          <w:tcPr>
            <w:tcW w:w="2240" w:type="dxa"/>
            <w:vAlign w:val="bottom"/>
            <w:tcBorders>
              <w:right w:val="single" w:sz="8" w:color="auto"/>
            </w:tcBorders>
            <w:shd w:val="clear" w:color="auto" w:fill="969696"/>
          </w:tcPr>
          <w:p>
            <w:pPr>
              <w:spacing w:after="0"/>
              <w:rPr>
                <w:sz w:val="20"/>
                <w:szCs w:val="20"/>
                <w:color w:val="auto"/>
              </w:rPr>
            </w:pPr>
          </w:p>
        </w:tc>
        <w:tc>
          <w:tcPr>
            <w:tcW w:w="1620" w:type="dxa"/>
            <w:vAlign w:val="bottom"/>
            <w:tcBorders>
              <w:right w:val="single" w:sz="8" w:color="auto"/>
            </w:tcBorders>
            <w:shd w:val="clear" w:color="auto" w:fill="969696"/>
          </w:tcPr>
          <w:p>
            <w:pPr>
              <w:spacing w:after="0"/>
              <w:rPr>
                <w:sz w:val="20"/>
                <w:szCs w:val="20"/>
                <w:color w:val="auto"/>
              </w:rPr>
            </w:pPr>
          </w:p>
        </w:tc>
        <w:tc>
          <w:tcPr>
            <w:tcW w:w="1020" w:type="dxa"/>
            <w:vAlign w:val="bottom"/>
            <w:tcBorders>
              <w:right w:val="single" w:sz="8" w:color="auto"/>
            </w:tcBorders>
            <w:shd w:val="clear" w:color="auto" w:fill="969696"/>
          </w:tcPr>
          <w:p>
            <w:pPr>
              <w:ind w:left="20"/>
              <w:spacing w:after="0"/>
              <w:rPr>
                <w:sz w:val="20"/>
                <w:szCs w:val="20"/>
                <w:color w:val="auto"/>
              </w:rPr>
            </w:pPr>
            <w:r>
              <w:rPr>
                <w:rFonts w:ascii="Arial" w:cs="Arial" w:eastAsia="Arial" w:hAnsi="Arial"/>
                <w:sz w:val="20"/>
                <w:szCs w:val="20"/>
                <w:b w:val="1"/>
                <w:bCs w:val="1"/>
                <w:color w:val="auto"/>
                <w:w w:val="92"/>
              </w:rPr>
              <w:t>Ownership</w:t>
            </w:r>
          </w:p>
        </w:tc>
      </w:tr>
      <w:tr>
        <w:trPr>
          <w:trHeight w:val="284"/>
        </w:trPr>
        <w:tc>
          <w:tcPr>
            <w:tcW w:w="4540" w:type="dxa"/>
            <w:vAlign w:val="bottom"/>
            <w:tcBorders>
              <w:left w:val="single" w:sz="8" w:color="auto"/>
              <w:bottom w:val="single" w:sz="8" w:color="969696"/>
              <w:right w:val="single" w:sz="8" w:color="auto"/>
            </w:tcBorders>
            <w:shd w:val="clear" w:color="auto" w:fill="969696"/>
          </w:tcPr>
          <w:p>
            <w:pPr>
              <w:ind w:left="1420"/>
              <w:spacing w:after="0"/>
              <w:rPr>
                <w:sz w:val="20"/>
                <w:szCs w:val="20"/>
                <w:color w:val="auto"/>
              </w:rPr>
            </w:pPr>
            <w:r>
              <w:rPr>
                <w:rFonts w:ascii="Arial" w:cs="Arial" w:eastAsia="Arial" w:hAnsi="Arial"/>
                <w:sz w:val="20"/>
                <w:szCs w:val="20"/>
                <w:b w:val="1"/>
                <w:bCs w:val="1"/>
                <w:color w:val="auto"/>
              </w:rPr>
              <w:t>Name of Subsidiary</w:t>
            </w:r>
          </w:p>
        </w:tc>
        <w:tc>
          <w:tcPr>
            <w:tcW w:w="2000" w:type="dxa"/>
            <w:vAlign w:val="bottom"/>
            <w:tcBorders>
              <w:bottom w:val="single" w:sz="8" w:color="969696"/>
              <w:right w:val="single" w:sz="8" w:color="auto"/>
            </w:tcBorders>
            <w:shd w:val="clear" w:color="auto" w:fill="969696"/>
          </w:tcPr>
          <w:p>
            <w:pPr>
              <w:ind w:left="420"/>
              <w:spacing w:after="0"/>
              <w:rPr>
                <w:sz w:val="20"/>
                <w:szCs w:val="20"/>
                <w:color w:val="auto"/>
              </w:rPr>
            </w:pPr>
            <w:r>
              <w:rPr>
                <w:rFonts w:ascii="Arial" w:cs="Arial" w:eastAsia="Arial" w:hAnsi="Arial"/>
                <w:sz w:val="20"/>
                <w:szCs w:val="20"/>
                <w:b w:val="1"/>
                <w:bCs w:val="1"/>
                <w:color w:val="auto"/>
              </w:rPr>
              <w:t>Organization</w:t>
            </w:r>
          </w:p>
        </w:tc>
        <w:tc>
          <w:tcPr>
            <w:tcW w:w="2240" w:type="dxa"/>
            <w:vAlign w:val="bottom"/>
            <w:tcBorders>
              <w:bottom w:val="single" w:sz="8" w:color="969696"/>
              <w:right w:val="single" w:sz="8" w:color="auto"/>
            </w:tcBorders>
            <w:shd w:val="clear" w:color="auto" w:fill="969696"/>
          </w:tcPr>
          <w:p>
            <w:pPr>
              <w:ind w:left="80"/>
              <w:spacing w:after="0"/>
              <w:rPr>
                <w:sz w:val="20"/>
                <w:szCs w:val="20"/>
                <w:color w:val="auto"/>
              </w:rPr>
            </w:pPr>
            <w:r>
              <w:rPr>
                <w:rFonts w:ascii="Arial" w:cs="Arial" w:eastAsia="Arial" w:hAnsi="Arial"/>
                <w:sz w:val="20"/>
                <w:szCs w:val="20"/>
                <w:b w:val="1"/>
                <w:bCs w:val="1"/>
                <w:color w:val="auto"/>
                <w:w w:val="91"/>
              </w:rPr>
              <w:t>Classes of Capital Stock</w:t>
            </w:r>
          </w:p>
        </w:tc>
        <w:tc>
          <w:tcPr>
            <w:tcW w:w="1620" w:type="dxa"/>
            <w:vAlign w:val="bottom"/>
            <w:tcBorders>
              <w:bottom w:val="single" w:sz="8" w:color="969696"/>
              <w:right w:val="single" w:sz="8" w:color="auto"/>
            </w:tcBorders>
            <w:shd w:val="clear" w:color="auto" w:fill="969696"/>
          </w:tcPr>
          <w:p>
            <w:pPr>
              <w:jc w:val="right"/>
              <w:spacing w:after="0"/>
              <w:rPr>
                <w:sz w:val="20"/>
                <w:szCs w:val="20"/>
                <w:color w:val="auto"/>
              </w:rPr>
            </w:pPr>
            <w:r>
              <w:rPr>
                <w:rFonts w:ascii="Arial" w:cs="Arial" w:eastAsia="Arial" w:hAnsi="Arial"/>
                <w:sz w:val="20"/>
                <w:szCs w:val="20"/>
                <w:b w:val="1"/>
                <w:bCs w:val="1"/>
                <w:color w:val="auto"/>
                <w:w w:val="87"/>
              </w:rPr>
              <w:t>Ownership Shares</w:t>
            </w:r>
          </w:p>
        </w:tc>
        <w:tc>
          <w:tcPr>
            <w:tcW w:w="1020" w:type="dxa"/>
            <w:vAlign w:val="bottom"/>
            <w:tcBorders>
              <w:bottom w:val="single" w:sz="8" w:color="969696"/>
              <w:right w:val="single" w:sz="8" w:color="auto"/>
            </w:tcBorders>
            <w:shd w:val="clear" w:color="auto" w:fill="969696"/>
          </w:tcPr>
          <w:p>
            <w:pPr>
              <w:ind w:left="20"/>
              <w:spacing w:after="0"/>
              <w:rPr>
                <w:sz w:val="20"/>
                <w:szCs w:val="20"/>
                <w:color w:val="auto"/>
              </w:rPr>
            </w:pPr>
            <w:r>
              <w:rPr>
                <w:rFonts w:ascii="Arial" w:cs="Arial" w:eastAsia="Arial" w:hAnsi="Arial"/>
                <w:sz w:val="20"/>
                <w:szCs w:val="20"/>
                <w:b w:val="1"/>
                <w:bCs w:val="1"/>
                <w:color w:val="auto"/>
                <w:w w:val="88"/>
              </w:rPr>
              <w:t>Percentage</w:t>
            </w:r>
          </w:p>
        </w:tc>
      </w:tr>
      <w:tr>
        <w:trPr>
          <w:trHeight w:val="237"/>
        </w:trPr>
        <w:tc>
          <w:tcPr>
            <w:tcW w:w="4540" w:type="dxa"/>
            <w:vAlign w:val="bottom"/>
            <w:tcBorders>
              <w:top w:val="single" w:sz="8" w:color="auto"/>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EFT Services Holding B.V.</w:t>
            </w:r>
          </w:p>
        </w:tc>
        <w:tc>
          <w:tcPr>
            <w:tcW w:w="2000" w:type="dxa"/>
            <w:vAlign w:val="bottom"/>
            <w:tcBorders>
              <w:top w:val="single" w:sz="8" w:color="auto"/>
              <w:right w:val="single" w:sz="8" w:color="auto"/>
            </w:tcBorders>
          </w:tcPr>
          <w:p>
            <w:pPr>
              <w:spacing w:after="0"/>
              <w:rPr>
                <w:sz w:val="20"/>
                <w:szCs w:val="20"/>
                <w:color w:val="auto"/>
              </w:rPr>
            </w:pPr>
            <w:r>
              <w:rPr>
                <w:rFonts w:ascii="Arial" w:cs="Arial" w:eastAsia="Arial" w:hAnsi="Arial"/>
                <w:sz w:val="18"/>
                <w:szCs w:val="18"/>
                <w:color w:val="auto"/>
              </w:rPr>
              <w:t>Netherlands</w:t>
            </w:r>
          </w:p>
        </w:tc>
        <w:tc>
          <w:tcPr>
            <w:tcW w:w="2240" w:type="dxa"/>
            <w:vAlign w:val="bottom"/>
            <w:tcBorders>
              <w:top w:val="single" w:sz="8" w:color="auto"/>
              <w:right w:val="single" w:sz="8" w:color="auto"/>
            </w:tcBorders>
          </w:tcPr>
          <w:p>
            <w:pPr>
              <w:spacing w:after="0"/>
              <w:rPr>
                <w:sz w:val="20"/>
                <w:szCs w:val="20"/>
                <w:color w:val="auto"/>
              </w:rPr>
            </w:pPr>
            <w:r>
              <w:rPr>
                <w:rFonts w:ascii="Arial" w:cs="Arial" w:eastAsia="Arial" w:hAnsi="Arial"/>
                <w:sz w:val="18"/>
                <w:szCs w:val="18"/>
                <w:color w:val="auto"/>
              </w:rPr>
              <w:t>Common Stock</w:t>
            </w:r>
          </w:p>
        </w:tc>
        <w:tc>
          <w:tcPr>
            <w:tcW w:w="1620" w:type="dxa"/>
            <w:vAlign w:val="bottom"/>
            <w:tcBorders>
              <w:top w:val="single" w:sz="8" w:color="auto"/>
              <w:right w:val="single" w:sz="8" w:color="auto"/>
            </w:tcBorders>
          </w:tcPr>
          <w:p>
            <w:pPr>
              <w:jc w:val="right"/>
              <w:ind w:right="30"/>
              <w:spacing w:after="0"/>
              <w:rPr>
                <w:sz w:val="20"/>
                <w:szCs w:val="20"/>
                <w:color w:val="auto"/>
              </w:rPr>
            </w:pPr>
            <w:r>
              <w:rPr>
                <w:rFonts w:ascii="Arial" w:cs="Arial" w:eastAsia="Arial" w:hAnsi="Arial"/>
                <w:sz w:val="18"/>
                <w:szCs w:val="18"/>
                <w:color w:val="auto"/>
              </w:rPr>
              <w:t>402</w:t>
            </w:r>
          </w:p>
        </w:tc>
        <w:tc>
          <w:tcPr>
            <w:tcW w:w="102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100%</w:t>
            </w:r>
          </w:p>
        </w:tc>
      </w:tr>
      <w:tr>
        <w:trPr>
          <w:trHeight w:val="27"/>
        </w:trPr>
        <w:tc>
          <w:tcPr>
            <w:tcW w:w="4540" w:type="dxa"/>
            <w:vAlign w:val="bottom"/>
            <w:tcBorders>
              <w:left w:val="single" w:sz="8" w:color="auto"/>
              <w:bottom w:val="single" w:sz="8" w:color="auto"/>
              <w:right w:val="single" w:sz="8" w:color="auto"/>
            </w:tcBorders>
          </w:tcPr>
          <w:p>
            <w:pPr>
              <w:spacing w:after="0"/>
              <w:rPr>
                <w:sz w:val="2"/>
                <w:szCs w:val="2"/>
                <w:color w:val="auto"/>
              </w:rPr>
            </w:pPr>
          </w:p>
        </w:tc>
        <w:tc>
          <w:tcPr>
            <w:tcW w:w="2000" w:type="dxa"/>
            <w:vAlign w:val="bottom"/>
            <w:tcBorders>
              <w:bottom w:val="single" w:sz="8" w:color="auto"/>
              <w:right w:val="single" w:sz="8" w:color="auto"/>
            </w:tcBorders>
          </w:tcPr>
          <w:p>
            <w:pPr>
              <w:spacing w:after="0"/>
              <w:rPr>
                <w:sz w:val="2"/>
                <w:szCs w:val="2"/>
                <w:color w:val="auto"/>
              </w:rPr>
            </w:pPr>
          </w:p>
        </w:tc>
        <w:tc>
          <w:tcPr>
            <w:tcW w:w="2240" w:type="dxa"/>
            <w:vAlign w:val="bottom"/>
            <w:tcBorders>
              <w:bottom w:val="single" w:sz="8" w:color="auto"/>
              <w:right w:val="single" w:sz="8" w:color="auto"/>
            </w:tcBorders>
          </w:tcPr>
          <w:p>
            <w:pPr>
              <w:spacing w:after="0"/>
              <w:rPr>
                <w:sz w:val="2"/>
                <w:szCs w:val="2"/>
                <w:color w:val="auto"/>
              </w:rPr>
            </w:pPr>
          </w:p>
        </w:tc>
        <w:tc>
          <w:tcPr>
            <w:tcW w:w="1620" w:type="dxa"/>
            <w:vAlign w:val="bottom"/>
            <w:tcBorders>
              <w:bottom w:val="single" w:sz="8" w:color="auto"/>
              <w:right w:val="single" w:sz="8" w:color="auto"/>
            </w:tcBorders>
          </w:tcPr>
          <w:p>
            <w:pPr>
              <w:spacing w:after="0"/>
              <w:rPr>
                <w:sz w:val="2"/>
                <w:szCs w:val="2"/>
                <w:color w:val="auto"/>
              </w:rPr>
            </w:pPr>
          </w:p>
        </w:tc>
        <w:tc>
          <w:tcPr>
            <w:tcW w:w="1020" w:type="dxa"/>
            <w:vAlign w:val="bottom"/>
            <w:tcBorders>
              <w:bottom w:val="single" w:sz="8" w:color="auto"/>
              <w:right w:val="single" w:sz="8" w:color="auto"/>
            </w:tcBorders>
          </w:tcPr>
          <w:p>
            <w:pPr>
              <w:spacing w:after="0"/>
              <w:rPr>
                <w:sz w:val="2"/>
                <w:szCs w:val="2"/>
                <w:color w:val="auto"/>
              </w:rPr>
            </w:pPr>
          </w:p>
        </w:tc>
      </w:tr>
      <w:tr>
        <w:trPr>
          <w:trHeight w:val="237"/>
        </w:trPr>
        <w:tc>
          <w:tcPr>
            <w:tcW w:w="45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epay Australia Holdings Pty Ltd</w:t>
            </w:r>
          </w:p>
        </w:tc>
        <w:tc>
          <w:tcPr>
            <w:tcW w:w="200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Australia</w:t>
            </w:r>
          </w:p>
        </w:tc>
        <w:tc>
          <w:tcPr>
            <w:tcW w:w="224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Common Stock</w:t>
            </w:r>
          </w:p>
        </w:tc>
        <w:tc>
          <w:tcPr>
            <w:tcW w:w="1620" w:type="dxa"/>
            <w:vAlign w:val="bottom"/>
            <w:tcBorders>
              <w:right w:val="single" w:sz="8" w:color="auto"/>
            </w:tcBorders>
          </w:tcPr>
          <w:p>
            <w:pPr>
              <w:jc w:val="right"/>
              <w:ind w:right="30"/>
              <w:spacing w:after="0"/>
              <w:rPr>
                <w:sz w:val="20"/>
                <w:szCs w:val="20"/>
                <w:color w:val="auto"/>
              </w:rPr>
            </w:pPr>
            <w:r>
              <w:rPr>
                <w:rFonts w:ascii="Arial" w:cs="Arial" w:eastAsia="Arial" w:hAnsi="Arial"/>
                <w:sz w:val="18"/>
                <w:szCs w:val="18"/>
                <w:color w:val="auto"/>
              </w:rPr>
              <w:t>1</w:t>
            </w:r>
          </w:p>
        </w:tc>
        <w:tc>
          <w:tcPr>
            <w:tcW w:w="10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1"/>
              </w:rPr>
              <w:t>100%</w:t>
            </w:r>
          </w:p>
        </w:tc>
      </w:tr>
      <w:tr>
        <w:trPr>
          <w:trHeight w:val="27"/>
        </w:trPr>
        <w:tc>
          <w:tcPr>
            <w:tcW w:w="4540" w:type="dxa"/>
            <w:vAlign w:val="bottom"/>
            <w:tcBorders>
              <w:left w:val="single" w:sz="8" w:color="auto"/>
              <w:bottom w:val="single" w:sz="8" w:color="auto"/>
              <w:right w:val="single" w:sz="8" w:color="auto"/>
            </w:tcBorders>
          </w:tcPr>
          <w:p>
            <w:pPr>
              <w:spacing w:after="0"/>
              <w:rPr>
                <w:sz w:val="2"/>
                <w:szCs w:val="2"/>
                <w:color w:val="auto"/>
              </w:rPr>
            </w:pPr>
          </w:p>
        </w:tc>
        <w:tc>
          <w:tcPr>
            <w:tcW w:w="2000" w:type="dxa"/>
            <w:vAlign w:val="bottom"/>
            <w:tcBorders>
              <w:bottom w:val="single" w:sz="8" w:color="auto"/>
              <w:right w:val="single" w:sz="8" w:color="auto"/>
            </w:tcBorders>
          </w:tcPr>
          <w:p>
            <w:pPr>
              <w:spacing w:after="0"/>
              <w:rPr>
                <w:sz w:val="2"/>
                <w:szCs w:val="2"/>
                <w:color w:val="auto"/>
              </w:rPr>
            </w:pPr>
          </w:p>
        </w:tc>
        <w:tc>
          <w:tcPr>
            <w:tcW w:w="2240" w:type="dxa"/>
            <w:vAlign w:val="bottom"/>
            <w:tcBorders>
              <w:bottom w:val="single" w:sz="8" w:color="auto"/>
              <w:right w:val="single" w:sz="8" w:color="auto"/>
            </w:tcBorders>
          </w:tcPr>
          <w:p>
            <w:pPr>
              <w:spacing w:after="0"/>
              <w:rPr>
                <w:sz w:val="2"/>
                <w:szCs w:val="2"/>
                <w:color w:val="auto"/>
              </w:rPr>
            </w:pPr>
          </w:p>
        </w:tc>
        <w:tc>
          <w:tcPr>
            <w:tcW w:w="1620" w:type="dxa"/>
            <w:vAlign w:val="bottom"/>
            <w:tcBorders>
              <w:bottom w:val="single" w:sz="8" w:color="auto"/>
              <w:right w:val="single" w:sz="8" w:color="auto"/>
            </w:tcBorders>
          </w:tcPr>
          <w:p>
            <w:pPr>
              <w:spacing w:after="0"/>
              <w:rPr>
                <w:sz w:val="2"/>
                <w:szCs w:val="2"/>
                <w:color w:val="auto"/>
              </w:rPr>
            </w:pPr>
          </w:p>
        </w:tc>
        <w:tc>
          <w:tcPr>
            <w:tcW w:w="1020" w:type="dxa"/>
            <w:vAlign w:val="bottom"/>
            <w:tcBorders>
              <w:bottom w:val="single" w:sz="8" w:color="auto"/>
              <w:right w:val="single" w:sz="8" w:color="auto"/>
            </w:tcBorders>
          </w:tcPr>
          <w:p>
            <w:pPr>
              <w:spacing w:after="0"/>
              <w:rPr>
                <w:sz w:val="2"/>
                <w:szCs w:val="2"/>
                <w:color w:val="auto"/>
              </w:rPr>
            </w:pPr>
          </w:p>
        </w:tc>
      </w:tr>
      <w:tr>
        <w:trPr>
          <w:trHeight w:val="237"/>
        </w:trPr>
        <w:tc>
          <w:tcPr>
            <w:tcW w:w="45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epay Australia Pty Ltd</w:t>
            </w:r>
          </w:p>
        </w:tc>
        <w:tc>
          <w:tcPr>
            <w:tcW w:w="200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Australia</w:t>
            </w:r>
          </w:p>
        </w:tc>
        <w:tc>
          <w:tcPr>
            <w:tcW w:w="224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Common Stock</w:t>
            </w:r>
          </w:p>
        </w:tc>
        <w:tc>
          <w:tcPr>
            <w:tcW w:w="1620" w:type="dxa"/>
            <w:vAlign w:val="bottom"/>
            <w:tcBorders>
              <w:right w:val="single" w:sz="8" w:color="auto"/>
            </w:tcBorders>
          </w:tcPr>
          <w:p>
            <w:pPr>
              <w:jc w:val="right"/>
              <w:ind w:right="30"/>
              <w:spacing w:after="0"/>
              <w:rPr>
                <w:sz w:val="20"/>
                <w:szCs w:val="20"/>
                <w:color w:val="auto"/>
              </w:rPr>
            </w:pPr>
            <w:r>
              <w:rPr>
                <w:rFonts w:ascii="Arial" w:cs="Arial" w:eastAsia="Arial" w:hAnsi="Arial"/>
                <w:sz w:val="18"/>
                <w:szCs w:val="18"/>
                <w:color w:val="auto"/>
              </w:rPr>
              <w:t>738,227</w:t>
            </w:r>
          </w:p>
        </w:tc>
        <w:tc>
          <w:tcPr>
            <w:tcW w:w="10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1"/>
              </w:rPr>
              <w:t>100%</w:t>
            </w:r>
          </w:p>
        </w:tc>
      </w:tr>
      <w:tr>
        <w:trPr>
          <w:trHeight w:val="27"/>
        </w:trPr>
        <w:tc>
          <w:tcPr>
            <w:tcW w:w="4540" w:type="dxa"/>
            <w:vAlign w:val="bottom"/>
            <w:tcBorders>
              <w:left w:val="single" w:sz="8" w:color="auto"/>
              <w:bottom w:val="single" w:sz="8" w:color="auto"/>
              <w:right w:val="single" w:sz="8" w:color="auto"/>
            </w:tcBorders>
          </w:tcPr>
          <w:p>
            <w:pPr>
              <w:spacing w:after="0"/>
              <w:rPr>
                <w:sz w:val="2"/>
                <w:szCs w:val="2"/>
                <w:color w:val="auto"/>
              </w:rPr>
            </w:pPr>
          </w:p>
        </w:tc>
        <w:tc>
          <w:tcPr>
            <w:tcW w:w="2000" w:type="dxa"/>
            <w:vAlign w:val="bottom"/>
            <w:tcBorders>
              <w:bottom w:val="single" w:sz="8" w:color="auto"/>
              <w:right w:val="single" w:sz="8" w:color="auto"/>
            </w:tcBorders>
          </w:tcPr>
          <w:p>
            <w:pPr>
              <w:spacing w:after="0"/>
              <w:rPr>
                <w:sz w:val="2"/>
                <w:szCs w:val="2"/>
                <w:color w:val="auto"/>
              </w:rPr>
            </w:pPr>
          </w:p>
        </w:tc>
        <w:tc>
          <w:tcPr>
            <w:tcW w:w="2240" w:type="dxa"/>
            <w:vAlign w:val="bottom"/>
            <w:tcBorders>
              <w:bottom w:val="single" w:sz="8" w:color="auto"/>
              <w:right w:val="single" w:sz="8" w:color="auto"/>
            </w:tcBorders>
          </w:tcPr>
          <w:p>
            <w:pPr>
              <w:spacing w:after="0"/>
              <w:rPr>
                <w:sz w:val="2"/>
                <w:szCs w:val="2"/>
                <w:color w:val="auto"/>
              </w:rPr>
            </w:pPr>
          </w:p>
        </w:tc>
        <w:tc>
          <w:tcPr>
            <w:tcW w:w="1620" w:type="dxa"/>
            <w:vAlign w:val="bottom"/>
            <w:tcBorders>
              <w:bottom w:val="single" w:sz="8" w:color="auto"/>
              <w:right w:val="single" w:sz="8" w:color="auto"/>
            </w:tcBorders>
          </w:tcPr>
          <w:p>
            <w:pPr>
              <w:spacing w:after="0"/>
              <w:rPr>
                <w:sz w:val="2"/>
                <w:szCs w:val="2"/>
                <w:color w:val="auto"/>
              </w:rPr>
            </w:pPr>
          </w:p>
        </w:tc>
        <w:tc>
          <w:tcPr>
            <w:tcW w:w="1020" w:type="dxa"/>
            <w:vAlign w:val="bottom"/>
            <w:tcBorders>
              <w:bottom w:val="single" w:sz="8" w:color="auto"/>
              <w:right w:val="single" w:sz="8" w:color="auto"/>
            </w:tcBorders>
          </w:tcPr>
          <w:p>
            <w:pPr>
              <w:spacing w:after="0"/>
              <w:rPr>
                <w:sz w:val="2"/>
                <w:szCs w:val="2"/>
                <w:color w:val="auto"/>
              </w:rPr>
            </w:pPr>
          </w:p>
        </w:tc>
      </w:tr>
      <w:tr>
        <w:trPr>
          <w:trHeight w:val="237"/>
        </w:trPr>
        <w:tc>
          <w:tcPr>
            <w:tcW w:w="45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epay New Zealand Limited</w:t>
            </w:r>
          </w:p>
        </w:tc>
        <w:tc>
          <w:tcPr>
            <w:tcW w:w="200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New Zealand</w:t>
            </w:r>
          </w:p>
        </w:tc>
        <w:tc>
          <w:tcPr>
            <w:tcW w:w="224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Common Stock</w:t>
            </w:r>
          </w:p>
        </w:tc>
        <w:tc>
          <w:tcPr>
            <w:tcW w:w="1620" w:type="dxa"/>
            <w:vAlign w:val="bottom"/>
            <w:tcBorders>
              <w:right w:val="single" w:sz="8" w:color="auto"/>
            </w:tcBorders>
          </w:tcPr>
          <w:p>
            <w:pPr>
              <w:jc w:val="right"/>
              <w:ind w:right="30"/>
              <w:spacing w:after="0"/>
              <w:rPr>
                <w:sz w:val="20"/>
                <w:szCs w:val="20"/>
                <w:color w:val="auto"/>
              </w:rPr>
            </w:pPr>
            <w:r>
              <w:rPr>
                <w:rFonts w:ascii="Arial" w:cs="Arial" w:eastAsia="Arial" w:hAnsi="Arial"/>
                <w:sz w:val="18"/>
                <w:szCs w:val="18"/>
                <w:color w:val="auto"/>
              </w:rPr>
              <w:t>1</w:t>
            </w:r>
          </w:p>
        </w:tc>
        <w:tc>
          <w:tcPr>
            <w:tcW w:w="10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1"/>
              </w:rPr>
              <w:t>100%</w:t>
            </w:r>
          </w:p>
        </w:tc>
      </w:tr>
      <w:tr>
        <w:trPr>
          <w:trHeight w:val="27"/>
        </w:trPr>
        <w:tc>
          <w:tcPr>
            <w:tcW w:w="4540" w:type="dxa"/>
            <w:vAlign w:val="bottom"/>
            <w:tcBorders>
              <w:left w:val="single" w:sz="8" w:color="auto"/>
              <w:bottom w:val="single" w:sz="8" w:color="auto"/>
              <w:right w:val="single" w:sz="8" w:color="auto"/>
            </w:tcBorders>
          </w:tcPr>
          <w:p>
            <w:pPr>
              <w:spacing w:after="0"/>
              <w:rPr>
                <w:sz w:val="2"/>
                <w:szCs w:val="2"/>
                <w:color w:val="auto"/>
              </w:rPr>
            </w:pPr>
          </w:p>
        </w:tc>
        <w:tc>
          <w:tcPr>
            <w:tcW w:w="2000" w:type="dxa"/>
            <w:vAlign w:val="bottom"/>
            <w:tcBorders>
              <w:bottom w:val="single" w:sz="8" w:color="auto"/>
              <w:right w:val="single" w:sz="8" w:color="auto"/>
            </w:tcBorders>
          </w:tcPr>
          <w:p>
            <w:pPr>
              <w:spacing w:after="0"/>
              <w:rPr>
                <w:sz w:val="2"/>
                <w:szCs w:val="2"/>
                <w:color w:val="auto"/>
              </w:rPr>
            </w:pPr>
          </w:p>
        </w:tc>
        <w:tc>
          <w:tcPr>
            <w:tcW w:w="2240" w:type="dxa"/>
            <w:vAlign w:val="bottom"/>
            <w:tcBorders>
              <w:bottom w:val="single" w:sz="8" w:color="auto"/>
              <w:right w:val="single" w:sz="8" w:color="auto"/>
            </w:tcBorders>
          </w:tcPr>
          <w:p>
            <w:pPr>
              <w:spacing w:after="0"/>
              <w:rPr>
                <w:sz w:val="2"/>
                <w:szCs w:val="2"/>
                <w:color w:val="auto"/>
              </w:rPr>
            </w:pPr>
          </w:p>
        </w:tc>
        <w:tc>
          <w:tcPr>
            <w:tcW w:w="1620" w:type="dxa"/>
            <w:vAlign w:val="bottom"/>
            <w:tcBorders>
              <w:bottom w:val="single" w:sz="8" w:color="auto"/>
              <w:right w:val="single" w:sz="8" w:color="auto"/>
            </w:tcBorders>
          </w:tcPr>
          <w:p>
            <w:pPr>
              <w:spacing w:after="0"/>
              <w:rPr>
                <w:sz w:val="2"/>
                <w:szCs w:val="2"/>
                <w:color w:val="auto"/>
              </w:rPr>
            </w:pPr>
          </w:p>
        </w:tc>
        <w:tc>
          <w:tcPr>
            <w:tcW w:w="1020" w:type="dxa"/>
            <w:vAlign w:val="bottom"/>
            <w:tcBorders>
              <w:bottom w:val="single" w:sz="8" w:color="auto"/>
              <w:right w:val="single" w:sz="8" w:color="auto"/>
            </w:tcBorders>
          </w:tcPr>
          <w:p>
            <w:pPr>
              <w:spacing w:after="0"/>
              <w:rPr>
                <w:sz w:val="2"/>
                <w:szCs w:val="2"/>
                <w:color w:val="auto"/>
              </w:rPr>
            </w:pPr>
          </w:p>
        </w:tc>
      </w:tr>
      <w:tr>
        <w:trPr>
          <w:trHeight w:val="237"/>
        </w:trPr>
        <w:tc>
          <w:tcPr>
            <w:tcW w:w="45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RIA Financial Services New Zealand Limited</w:t>
            </w:r>
          </w:p>
        </w:tc>
        <w:tc>
          <w:tcPr>
            <w:tcW w:w="200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New Zealand</w:t>
            </w:r>
          </w:p>
        </w:tc>
        <w:tc>
          <w:tcPr>
            <w:tcW w:w="224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Common Stock</w:t>
            </w:r>
          </w:p>
        </w:tc>
        <w:tc>
          <w:tcPr>
            <w:tcW w:w="1620" w:type="dxa"/>
            <w:vAlign w:val="bottom"/>
            <w:tcBorders>
              <w:right w:val="single" w:sz="8" w:color="auto"/>
            </w:tcBorders>
          </w:tcPr>
          <w:p>
            <w:pPr>
              <w:jc w:val="right"/>
              <w:ind w:right="30"/>
              <w:spacing w:after="0"/>
              <w:rPr>
                <w:sz w:val="20"/>
                <w:szCs w:val="20"/>
                <w:color w:val="auto"/>
              </w:rPr>
            </w:pPr>
            <w:r>
              <w:rPr>
                <w:rFonts w:ascii="Arial" w:cs="Arial" w:eastAsia="Arial" w:hAnsi="Arial"/>
                <w:sz w:val="18"/>
                <w:szCs w:val="18"/>
                <w:color w:val="auto"/>
              </w:rPr>
              <w:t>100</w:t>
            </w:r>
          </w:p>
        </w:tc>
        <w:tc>
          <w:tcPr>
            <w:tcW w:w="10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1"/>
              </w:rPr>
              <w:t>100%</w:t>
            </w:r>
          </w:p>
        </w:tc>
      </w:tr>
      <w:tr>
        <w:trPr>
          <w:trHeight w:val="27"/>
        </w:trPr>
        <w:tc>
          <w:tcPr>
            <w:tcW w:w="4540" w:type="dxa"/>
            <w:vAlign w:val="bottom"/>
            <w:tcBorders>
              <w:left w:val="single" w:sz="8" w:color="auto"/>
              <w:bottom w:val="single" w:sz="8" w:color="auto"/>
              <w:right w:val="single" w:sz="8" w:color="auto"/>
            </w:tcBorders>
          </w:tcPr>
          <w:p>
            <w:pPr>
              <w:spacing w:after="0"/>
              <w:rPr>
                <w:sz w:val="2"/>
                <w:szCs w:val="2"/>
                <w:color w:val="auto"/>
              </w:rPr>
            </w:pPr>
          </w:p>
        </w:tc>
        <w:tc>
          <w:tcPr>
            <w:tcW w:w="2000" w:type="dxa"/>
            <w:vAlign w:val="bottom"/>
            <w:tcBorders>
              <w:bottom w:val="single" w:sz="8" w:color="auto"/>
              <w:right w:val="single" w:sz="8" w:color="auto"/>
            </w:tcBorders>
          </w:tcPr>
          <w:p>
            <w:pPr>
              <w:spacing w:after="0"/>
              <w:rPr>
                <w:sz w:val="2"/>
                <w:szCs w:val="2"/>
                <w:color w:val="auto"/>
              </w:rPr>
            </w:pPr>
          </w:p>
        </w:tc>
        <w:tc>
          <w:tcPr>
            <w:tcW w:w="2240" w:type="dxa"/>
            <w:vAlign w:val="bottom"/>
            <w:tcBorders>
              <w:bottom w:val="single" w:sz="8" w:color="auto"/>
              <w:right w:val="single" w:sz="8" w:color="auto"/>
            </w:tcBorders>
          </w:tcPr>
          <w:p>
            <w:pPr>
              <w:spacing w:after="0"/>
              <w:rPr>
                <w:sz w:val="2"/>
                <w:szCs w:val="2"/>
                <w:color w:val="auto"/>
              </w:rPr>
            </w:pPr>
          </w:p>
        </w:tc>
        <w:tc>
          <w:tcPr>
            <w:tcW w:w="1620" w:type="dxa"/>
            <w:vAlign w:val="bottom"/>
            <w:tcBorders>
              <w:bottom w:val="single" w:sz="8" w:color="auto"/>
              <w:right w:val="single" w:sz="8" w:color="auto"/>
            </w:tcBorders>
          </w:tcPr>
          <w:p>
            <w:pPr>
              <w:spacing w:after="0"/>
              <w:rPr>
                <w:sz w:val="2"/>
                <w:szCs w:val="2"/>
                <w:color w:val="auto"/>
              </w:rPr>
            </w:pPr>
          </w:p>
        </w:tc>
        <w:tc>
          <w:tcPr>
            <w:tcW w:w="1020" w:type="dxa"/>
            <w:vAlign w:val="bottom"/>
            <w:tcBorders>
              <w:bottom w:val="single" w:sz="8" w:color="auto"/>
              <w:right w:val="single" w:sz="8" w:color="auto"/>
            </w:tcBorders>
          </w:tcPr>
          <w:p>
            <w:pPr>
              <w:spacing w:after="0"/>
              <w:rPr>
                <w:sz w:val="2"/>
                <w:szCs w:val="2"/>
                <w:color w:val="auto"/>
              </w:rPr>
            </w:pPr>
          </w:p>
        </w:tc>
      </w:tr>
      <w:tr>
        <w:trPr>
          <w:trHeight w:val="237"/>
        </w:trPr>
        <w:tc>
          <w:tcPr>
            <w:tcW w:w="45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RIA Financial Services Australia Pty. Ltd.</w:t>
            </w:r>
          </w:p>
        </w:tc>
        <w:tc>
          <w:tcPr>
            <w:tcW w:w="200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Australia</w:t>
            </w:r>
          </w:p>
        </w:tc>
        <w:tc>
          <w:tcPr>
            <w:tcW w:w="224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Common Stock</w:t>
            </w:r>
          </w:p>
        </w:tc>
        <w:tc>
          <w:tcPr>
            <w:tcW w:w="1620" w:type="dxa"/>
            <w:vAlign w:val="bottom"/>
            <w:tcBorders>
              <w:right w:val="single" w:sz="8" w:color="auto"/>
            </w:tcBorders>
          </w:tcPr>
          <w:p>
            <w:pPr>
              <w:jc w:val="right"/>
              <w:ind w:right="30"/>
              <w:spacing w:after="0"/>
              <w:rPr>
                <w:sz w:val="20"/>
                <w:szCs w:val="20"/>
                <w:color w:val="auto"/>
              </w:rPr>
            </w:pPr>
            <w:r>
              <w:rPr>
                <w:rFonts w:ascii="Arial" w:cs="Arial" w:eastAsia="Arial" w:hAnsi="Arial"/>
                <w:sz w:val="18"/>
                <w:szCs w:val="18"/>
                <w:color w:val="auto"/>
              </w:rPr>
              <w:t>450,000</w:t>
            </w:r>
          </w:p>
        </w:tc>
        <w:tc>
          <w:tcPr>
            <w:tcW w:w="10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1"/>
              </w:rPr>
              <w:t>100%</w:t>
            </w:r>
          </w:p>
        </w:tc>
      </w:tr>
      <w:tr>
        <w:trPr>
          <w:trHeight w:val="27"/>
        </w:trPr>
        <w:tc>
          <w:tcPr>
            <w:tcW w:w="4540" w:type="dxa"/>
            <w:vAlign w:val="bottom"/>
            <w:tcBorders>
              <w:left w:val="single" w:sz="8" w:color="auto"/>
              <w:bottom w:val="single" w:sz="8" w:color="auto"/>
              <w:right w:val="single" w:sz="8" w:color="auto"/>
            </w:tcBorders>
          </w:tcPr>
          <w:p>
            <w:pPr>
              <w:spacing w:after="0"/>
              <w:rPr>
                <w:sz w:val="2"/>
                <w:szCs w:val="2"/>
                <w:color w:val="auto"/>
              </w:rPr>
            </w:pPr>
          </w:p>
        </w:tc>
        <w:tc>
          <w:tcPr>
            <w:tcW w:w="2000" w:type="dxa"/>
            <w:vAlign w:val="bottom"/>
            <w:tcBorders>
              <w:bottom w:val="single" w:sz="8" w:color="auto"/>
              <w:right w:val="single" w:sz="8" w:color="auto"/>
            </w:tcBorders>
          </w:tcPr>
          <w:p>
            <w:pPr>
              <w:spacing w:after="0"/>
              <w:rPr>
                <w:sz w:val="2"/>
                <w:szCs w:val="2"/>
                <w:color w:val="auto"/>
              </w:rPr>
            </w:pPr>
          </w:p>
        </w:tc>
        <w:tc>
          <w:tcPr>
            <w:tcW w:w="2240" w:type="dxa"/>
            <w:vAlign w:val="bottom"/>
            <w:tcBorders>
              <w:bottom w:val="single" w:sz="8" w:color="auto"/>
              <w:right w:val="single" w:sz="8" w:color="auto"/>
            </w:tcBorders>
          </w:tcPr>
          <w:p>
            <w:pPr>
              <w:spacing w:after="0"/>
              <w:rPr>
                <w:sz w:val="2"/>
                <w:szCs w:val="2"/>
                <w:color w:val="auto"/>
              </w:rPr>
            </w:pPr>
          </w:p>
        </w:tc>
        <w:tc>
          <w:tcPr>
            <w:tcW w:w="1620" w:type="dxa"/>
            <w:vAlign w:val="bottom"/>
            <w:tcBorders>
              <w:bottom w:val="single" w:sz="8" w:color="auto"/>
              <w:right w:val="single" w:sz="8" w:color="auto"/>
            </w:tcBorders>
          </w:tcPr>
          <w:p>
            <w:pPr>
              <w:spacing w:after="0"/>
              <w:rPr>
                <w:sz w:val="2"/>
                <w:szCs w:val="2"/>
                <w:color w:val="auto"/>
              </w:rPr>
            </w:pPr>
          </w:p>
        </w:tc>
        <w:tc>
          <w:tcPr>
            <w:tcW w:w="1020" w:type="dxa"/>
            <w:vAlign w:val="bottom"/>
            <w:tcBorders>
              <w:bottom w:val="single" w:sz="8" w:color="auto"/>
              <w:right w:val="single" w:sz="8" w:color="auto"/>
            </w:tcBorders>
          </w:tcPr>
          <w:p>
            <w:pPr>
              <w:spacing w:after="0"/>
              <w:rPr>
                <w:sz w:val="2"/>
                <w:szCs w:val="2"/>
                <w:color w:val="auto"/>
              </w:rPr>
            </w:pPr>
          </w:p>
        </w:tc>
      </w:tr>
      <w:tr>
        <w:trPr>
          <w:trHeight w:val="222"/>
        </w:trPr>
        <w:tc>
          <w:tcPr>
            <w:tcW w:w="4540" w:type="dxa"/>
            <w:vAlign w:val="bottom"/>
            <w:tcBorders>
              <w:left w:val="single" w:sz="8" w:color="auto"/>
              <w:right w:val="single" w:sz="8" w:color="auto"/>
            </w:tcBorders>
          </w:tcPr>
          <w:p>
            <w:pPr>
              <w:spacing w:after="0"/>
              <w:rPr>
                <w:sz w:val="19"/>
                <w:szCs w:val="19"/>
                <w:color w:val="auto"/>
              </w:rPr>
            </w:pPr>
          </w:p>
        </w:tc>
        <w:tc>
          <w:tcPr>
            <w:tcW w:w="2000" w:type="dxa"/>
            <w:vAlign w:val="bottom"/>
            <w:tcBorders>
              <w:right w:val="single" w:sz="8" w:color="auto"/>
            </w:tcBorders>
          </w:tcPr>
          <w:p>
            <w:pPr>
              <w:spacing w:after="0"/>
              <w:rPr>
                <w:sz w:val="19"/>
                <w:szCs w:val="19"/>
                <w:color w:val="auto"/>
              </w:rPr>
            </w:pPr>
          </w:p>
        </w:tc>
        <w:tc>
          <w:tcPr>
            <w:tcW w:w="224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Cumulative</w:t>
            </w:r>
          </w:p>
        </w:tc>
        <w:tc>
          <w:tcPr>
            <w:tcW w:w="1620" w:type="dxa"/>
            <w:vAlign w:val="bottom"/>
            <w:tcBorders>
              <w:right w:val="single" w:sz="8" w:color="auto"/>
            </w:tcBorders>
          </w:tcPr>
          <w:p>
            <w:pPr>
              <w:spacing w:after="0"/>
              <w:rPr>
                <w:sz w:val="19"/>
                <w:szCs w:val="19"/>
                <w:color w:val="auto"/>
              </w:rPr>
            </w:pPr>
          </w:p>
        </w:tc>
        <w:tc>
          <w:tcPr>
            <w:tcW w:w="1020" w:type="dxa"/>
            <w:vAlign w:val="bottom"/>
            <w:tcBorders>
              <w:right w:val="single" w:sz="8" w:color="auto"/>
            </w:tcBorders>
          </w:tcPr>
          <w:p>
            <w:pPr>
              <w:spacing w:after="0"/>
              <w:rPr>
                <w:sz w:val="19"/>
                <w:szCs w:val="19"/>
                <w:color w:val="auto"/>
              </w:rPr>
            </w:pPr>
          </w:p>
        </w:tc>
      </w:tr>
      <w:tr>
        <w:trPr>
          <w:trHeight w:val="230"/>
        </w:trPr>
        <w:tc>
          <w:tcPr>
            <w:tcW w:w="45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Pure Commerce Pty Limited</w:t>
            </w:r>
          </w:p>
        </w:tc>
        <w:tc>
          <w:tcPr>
            <w:tcW w:w="200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Australia</w:t>
            </w:r>
          </w:p>
        </w:tc>
        <w:tc>
          <w:tcPr>
            <w:tcW w:w="224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Preferred/Common</w:t>
            </w:r>
          </w:p>
        </w:tc>
        <w:tc>
          <w:tcPr>
            <w:tcW w:w="1620" w:type="dxa"/>
            <w:vAlign w:val="bottom"/>
            <w:tcBorders>
              <w:right w:val="single" w:sz="8" w:color="auto"/>
            </w:tcBorders>
          </w:tcPr>
          <w:p>
            <w:pPr>
              <w:jc w:val="right"/>
              <w:ind w:right="30"/>
              <w:spacing w:after="0"/>
              <w:rPr>
                <w:sz w:val="20"/>
                <w:szCs w:val="20"/>
                <w:color w:val="auto"/>
              </w:rPr>
            </w:pPr>
            <w:r>
              <w:rPr>
                <w:rFonts w:ascii="Arial" w:cs="Arial" w:eastAsia="Arial" w:hAnsi="Arial"/>
                <w:sz w:val="18"/>
                <w:szCs w:val="18"/>
                <w:color w:val="auto"/>
                <w:w w:val="98"/>
              </w:rPr>
              <w:t>552,339/6,162,352</w:t>
            </w:r>
          </w:p>
        </w:tc>
        <w:tc>
          <w:tcPr>
            <w:tcW w:w="10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1"/>
              </w:rPr>
              <w:t>100%</w:t>
            </w:r>
          </w:p>
        </w:tc>
      </w:tr>
      <w:tr>
        <w:trPr>
          <w:trHeight w:val="27"/>
        </w:trPr>
        <w:tc>
          <w:tcPr>
            <w:tcW w:w="4540" w:type="dxa"/>
            <w:vAlign w:val="bottom"/>
            <w:tcBorders>
              <w:left w:val="single" w:sz="8" w:color="auto"/>
              <w:bottom w:val="single" w:sz="8" w:color="auto"/>
              <w:right w:val="single" w:sz="8" w:color="auto"/>
            </w:tcBorders>
          </w:tcPr>
          <w:p>
            <w:pPr>
              <w:spacing w:after="0"/>
              <w:rPr>
                <w:sz w:val="2"/>
                <w:szCs w:val="2"/>
                <w:color w:val="auto"/>
              </w:rPr>
            </w:pPr>
          </w:p>
        </w:tc>
        <w:tc>
          <w:tcPr>
            <w:tcW w:w="2000" w:type="dxa"/>
            <w:vAlign w:val="bottom"/>
            <w:tcBorders>
              <w:bottom w:val="single" w:sz="8" w:color="auto"/>
              <w:right w:val="single" w:sz="8" w:color="auto"/>
            </w:tcBorders>
          </w:tcPr>
          <w:p>
            <w:pPr>
              <w:spacing w:after="0"/>
              <w:rPr>
                <w:sz w:val="2"/>
                <w:szCs w:val="2"/>
                <w:color w:val="auto"/>
              </w:rPr>
            </w:pPr>
          </w:p>
        </w:tc>
        <w:tc>
          <w:tcPr>
            <w:tcW w:w="2240" w:type="dxa"/>
            <w:vAlign w:val="bottom"/>
            <w:tcBorders>
              <w:bottom w:val="single" w:sz="8" w:color="auto"/>
              <w:right w:val="single" w:sz="8" w:color="auto"/>
            </w:tcBorders>
          </w:tcPr>
          <w:p>
            <w:pPr>
              <w:spacing w:after="0"/>
              <w:rPr>
                <w:sz w:val="2"/>
                <w:szCs w:val="2"/>
                <w:color w:val="auto"/>
              </w:rPr>
            </w:pPr>
          </w:p>
        </w:tc>
        <w:tc>
          <w:tcPr>
            <w:tcW w:w="1620" w:type="dxa"/>
            <w:vAlign w:val="bottom"/>
            <w:tcBorders>
              <w:bottom w:val="single" w:sz="8" w:color="auto"/>
              <w:right w:val="single" w:sz="8" w:color="auto"/>
            </w:tcBorders>
          </w:tcPr>
          <w:p>
            <w:pPr>
              <w:spacing w:after="0"/>
              <w:rPr>
                <w:sz w:val="2"/>
                <w:szCs w:val="2"/>
                <w:color w:val="auto"/>
              </w:rPr>
            </w:pPr>
          </w:p>
        </w:tc>
        <w:tc>
          <w:tcPr>
            <w:tcW w:w="1020" w:type="dxa"/>
            <w:vAlign w:val="bottom"/>
            <w:tcBorders>
              <w:bottom w:val="single" w:sz="8" w:color="auto"/>
              <w:right w:val="single" w:sz="8" w:color="auto"/>
            </w:tcBorders>
          </w:tcPr>
          <w:p>
            <w:pPr>
              <w:spacing w:after="0"/>
              <w:rPr>
                <w:sz w:val="2"/>
                <w:szCs w:val="2"/>
                <w:color w:val="auto"/>
              </w:rPr>
            </w:pPr>
          </w:p>
        </w:tc>
      </w:tr>
      <w:tr>
        <w:trPr>
          <w:trHeight w:val="237"/>
        </w:trPr>
        <w:tc>
          <w:tcPr>
            <w:tcW w:w="45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Pure Commerce (S) Pte. Ltd.</w:t>
            </w:r>
          </w:p>
        </w:tc>
        <w:tc>
          <w:tcPr>
            <w:tcW w:w="200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Singapore</w:t>
            </w:r>
          </w:p>
        </w:tc>
        <w:tc>
          <w:tcPr>
            <w:tcW w:w="224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Common Stock</w:t>
            </w:r>
          </w:p>
        </w:tc>
        <w:tc>
          <w:tcPr>
            <w:tcW w:w="1620" w:type="dxa"/>
            <w:vAlign w:val="bottom"/>
            <w:tcBorders>
              <w:right w:val="single" w:sz="8" w:color="auto"/>
            </w:tcBorders>
          </w:tcPr>
          <w:p>
            <w:pPr>
              <w:jc w:val="right"/>
              <w:ind w:right="30"/>
              <w:spacing w:after="0"/>
              <w:rPr>
                <w:sz w:val="20"/>
                <w:szCs w:val="20"/>
                <w:color w:val="auto"/>
              </w:rPr>
            </w:pPr>
            <w:r>
              <w:rPr>
                <w:rFonts w:ascii="Arial" w:cs="Arial" w:eastAsia="Arial" w:hAnsi="Arial"/>
                <w:sz w:val="18"/>
                <w:szCs w:val="18"/>
                <w:color w:val="auto"/>
              </w:rPr>
              <w:t>2</w:t>
            </w:r>
          </w:p>
        </w:tc>
        <w:tc>
          <w:tcPr>
            <w:tcW w:w="10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1"/>
              </w:rPr>
              <w:t>100%</w:t>
            </w:r>
          </w:p>
        </w:tc>
      </w:tr>
      <w:tr>
        <w:trPr>
          <w:trHeight w:val="27"/>
        </w:trPr>
        <w:tc>
          <w:tcPr>
            <w:tcW w:w="4540" w:type="dxa"/>
            <w:vAlign w:val="bottom"/>
            <w:tcBorders>
              <w:left w:val="single" w:sz="8" w:color="auto"/>
              <w:bottom w:val="single" w:sz="8" w:color="auto"/>
              <w:right w:val="single" w:sz="8" w:color="auto"/>
            </w:tcBorders>
          </w:tcPr>
          <w:p>
            <w:pPr>
              <w:spacing w:after="0"/>
              <w:rPr>
                <w:sz w:val="2"/>
                <w:szCs w:val="2"/>
                <w:color w:val="auto"/>
              </w:rPr>
            </w:pPr>
          </w:p>
        </w:tc>
        <w:tc>
          <w:tcPr>
            <w:tcW w:w="2000" w:type="dxa"/>
            <w:vAlign w:val="bottom"/>
            <w:tcBorders>
              <w:bottom w:val="single" w:sz="8" w:color="auto"/>
              <w:right w:val="single" w:sz="8" w:color="auto"/>
            </w:tcBorders>
          </w:tcPr>
          <w:p>
            <w:pPr>
              <w:spacing w:after="0"/>
              <w:rPr>
                <w:sz w:val="2"/>
                <w:szCs w:val="2"/>
                <w:color w:val="auto"/>
              </w:rPr>
            </w:pPr>
          </w:p>
        </w:tc>
        <w:tc>
          <w:tcPr>
            <w:tcW w:w="2240" w:type="dxa"/>
            <w:vAlign w:val="bottom"/>
            <w:tcBorders>
              <w:bottom w:val="single" w:sz="8" w:color="auto"/>
              <w:right w:val="single" w:sz="8" w:color="auto"/>
            </w:tcBorders>
          </w:tcPr>
          <w:p>
            <w:pPr>
              <w:spacing w:after="0"/>
              <w:rPr>
                <w:sz w:val="2"/>
                <w:szCs w:val="2"/>
                <w:color w:val="auto"/>
              </w:rPr>
            </w:pPr>
          </w:p>
        </w:tc>
        <w:tc>
          <w:tcPr>
            <w:tcW w:w="1620" w:type="dxa"/>
            <w:vAlign w:val="bottom"/>
            <w:tcBorders>
              <w:bottom w:val="single" w:sz="8" w:color="auto"/>
              <w:right w:val="single" w:sz="8" w:color="auto"/>
            </w:tcBorders>
          </w:tcPr>
          <w:p>
            <w:pPr>
              <w:spacing w:after="0"/>
              <w:rPr>
                <w:sz w:val="2"/>
                <w:szCs w:val="2"/>
                <w:color w:val="auto"/>
              </w:rPr>
            </w:pPr>
          </w:p>
        </w:tc>
        <w:tc>
          <w:tcPr>
            <w:tcW w:w="1020" w:type="dxa"/>
            <w:vAlign w:val="bottom"/>
            <w:tcBorders>
              <w:bottom w:val="single" w:sz="8" w:color="auto"/>
              <w:right w:val="single" w:sz="8" w:color="auto"/>
            </w:tcBorders>
          </w:tcPr>
          <w:p>
            <w:pPr>
              <w:spacing w:after="0"/>
              <w:rPr>
                <w:sz w:val="2"/>
                <w:szCs w:val="2"/>
                <w:color w:val="auto"/>
              </w:rPr>
            </w:pPr>
          </w:p>
        </w:tc>
      </w:tr>
      <w:tr>
        <w:trPr>
          <w:trHeight w:val="237"/>
        </w:trPr>
        <w:tc>
          <w:tcPr>
            <w:tcW w:w="45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Pure Commerce Shared Service Pte. Ltd.</w:t>
            </w:r>
          </w:p>
        </w:tc>
        <w:tc>
          <w:tcPr>
            <w:tcW w:w="200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Singapore</w:t>
            </w:r>
          </w:p>
        </w:tc>
        <w:tc>
          <w:tcPr>
            <w:tcW w:w="224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Common Stock</w:t>
            </w:r>
          </w:p>
        </w:tc>
        <w:tc>
          <w:tcPr>
            <w:tcW w:w="1620" w:type="dxa"/>
            <w:vAlign w:val="bottom"/>
            <w:tcBorders>
              <w:right w:val="single" w:sz="8" w:color="auto"/>
            </w:tcBorders>
          </w:tcPr>
          <w:p>
            <w:pPr>
              <w:jc w:val="right"/>
              <w:ind w:right="30"/>
              <w:spacing w:after="0"/>
              <w:rPr>
                <w:sz w:val="20"/>
                <w:szCs w:val="20"/>
                <w:color w:val="auto"/>
              </w:rPr>
            </w:pPr>
            <w:r>
              <w:rPr>
                <w:rFonts w:ascii="Arial" w:cs="Arial" w:eastAsia="Arial" w:hAnsi="Arial"/>
                <w:sz w:val="18"/>
                <w:szCs w:val="18"/>
                <w:color w:val="auto"/>
              </w:rPr>
              <w:t>2</w:t>
            </w:r>
          </w:p>
        </w:tc>
        <w:tc>
          <w:tcPr>
            <w:tcW w:w="10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1"/>
              </w:rPr>
              <w:t>100%</w:t>
            </w:r>
          </w:p>
        </w:tc>
      </w:tr>
      <w:tr>
        <w:trPr>
          <w:trHeight w:val="27"/>
        </w:trPr>
        <w:tc>
          <w:tcPr>
            <w:tcW w:w="4540" w:type="dxa"/>
            <w:vAlign w:val="bottom"/>
            <w:tcBorders>
              <w:left w:val="single" w:sz="8" w:color="auto"/>
              <w:bottom w:val="single" w:sz="8" w:color="auto"/>
              <w:right w:val="single" w:sz="8" w:color="auto"/>
            </w:tcBorders>
          </w:tcPr>
          <w:p>
            <w:pPr>
              <w:spacing w:after="0"/>
              <w:rPr>
                <w:sz w:val="2"/>
                <w:szCs w:val="2"/>
                <w:color w:val="auto"/>
              </w:rPr>
            </w:pPr>
          </w:p>
        </w:tc>
        <w:tc>
          <w:tcPr>
            <w:tcW w:w="2000" w:type="dxa"/>
            <w:vAlign w:val="bottom"/>
            <w:tcBorders>
              <w:bottom w:val="single" w:sz="8" w:color="auto"/>
              <w:right w:val="single" w:sz="8" w:color="auto"/>
            </w:tcBorders>
          </w:tcPr>
          <w:p>
            <w:pPr>
              <w:spacing w:after="0"/>
              <w:rPr>
                <w:sz w:val="2"/>
                <w:szCs w:val="2"/>
                <w:color w:val="auto"/>
              </w:rPr>
            </w:pPr>
          </w:p>
        </w:tc>
        <w:tc>
          <w:tcPr>
            <w:tcW w:w="2240" w:type="dxa"/>
            <w:vAlign w:val="bottom"/>
            <w:tcBorders>
              <w:bottom w:val="single" w:sz="8" w:color="auto"/>
              <w:right w:val="single" w:sz="8" w:color="auto"/>
            </w:tcBorders>
          </w:tcPr>
          <w:p>
            <w:pPr>
              <w:spacing w:after="0"/>
              <w:rPr>
                <w:sz w:val="2"/>
                <w:szCs w:val="2"/>
                <w:color w:val="auto"/>
              </w:rPr>
            </w:pPr>
          </w:p>
        </w:tc>
        <w:tc>
          <w:tcPr>
            <w:tcW w:w="1620" w:type="dxa"/>
            <w:vAlign w:val="bottom"/>
            <w:tcBorders>
              <w:bottom w:val="single" w:sz="8" w:color="auto"/>
              <w:right w:val="single" w:sz="8" w:color="auto"/>
            </w:tcBorders>
          </w:tcPr>
          <w:p>
            <w:pPr>
              <w:spacing w:after="0"/>
              <w:rPr>
                <w:sz w:val="2"/>
                <w:szCs w:val="2"/>
                <w:color w:val="auto"/>
              </w:rPr>
            </w:pPr>
          </w:p>
        </w:tc>
        <w:tc>
          <w:tcPr>
            <w:tcW w:w="1020" w:type="dxa"/>
            <w:vAlign w:val="bottom"/>
            <w:tcBorders>
              <w:bottom w:val="single" w:sz="8" w:color="auto"/>
              <w:right w:val="single" w:sz="8" w:color="auto"/>
            </w:tcBorders>
          </w:tcPr>
          <w:p>
            <w:pPr>
              <w:spacing w:after="0"/>
              <w:rPr>
                <w:sz w:val="2"/>
                <w:szCs w:val="2"/>
                <w:color w:val="auto"/>
              </w:rPr>
            </w:pPr>
          </w:p>
        </w:tc>
      </w:tr>
      <w:tr>
        <w:trPr>
          <w:trHeight w:val="237"/>
        </w:trPr>
        <w:tc>
          <w:tcPr>
            <w:tcW w:w="45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Pure Commerce Korea YH</w:t>
            </w:r>
          </w:p>
        </w:tc>
        <w:tc>
          <w:tcPr>
            <w:tcW w:w="200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South Korea</w:t>
            </w:r>
          </w:p>
        </w:tc>
        <w:tc>
          <w:tcPr>
            <w:tcW w:w="224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Common Stock</w:t>
            </w:r>
          </w:p>
        </w:tc>
        <w:tc>
          <w:tcPr>
            <w:tcW w:w="1620" w:type="dxa"/>
            <w:vAlign w:val="bottom"/>
            <w:tcBorders>
              <w:right w:val="single" w:sz="8" w:color="auto"/>
            </w:tcBorders>
          </w:tcPr>
          <w:p>
            <w:pPr>
              <w:jc w:val="right"/>
              <w:ind w:right="30"/>
              <w:spacing w:after="0"/>
              <w:rPr>
                <w:sz w:val="20"/>
                <w:szCs w:val="20"/>
                <w:color w:val="auto"/>
              </w:rPr>
            </w:pPr>
            <w:r>
              <w:rPr>
                <w:rFonts w:ascii="Arial" w:cs="Arial" w:eastAsia="Arial" w:hAnsi="Arial"/>
                <w:sz w:val="18"/>
                <w:szCs w:val="18"/>
                <w:color w:val="auto"/>
              </w:rPr>
              <w:t>5,000</w:t>
            </w:r>
          </w:p>
        </w:tc>
        <w:tc>
          <w:tcPr>
            <w:tcW w:w="10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1"/>
              </w:rPr>
              <w:t>100%</w:t>
            </w:r>
          </w:p>
        </w:tc>
      </w:tr>
      <w:tr>
        <w:trPr>
          <w:trHeight w:val="27"/>
        </w:trPr>
        <w:tc>
          <w:tcPr>
            <w:tcW w:w="4540" w:type="dxa"/>
            <w:vAlign w:val="bottom"/>
            <w:tcBorders>
              <w:left w:val="single" w:sz="8" w:color="auto"/>
              <w:bottom w:val="single" w:sz="8" w:color="auto"/>
              <w:right w:val="single" w:sz="8" w:color="auto"/>
            </w:tcBorders>
          </w:tcPr>
          <w:p>
            <w:pPr>
              <w:spacing w:after="0"/>
              <w:rPr>
                <w:sz w:val="2"/>
                <w:szCs w:val="2"/>
                <w:color w:val="auto"/>
              </w:rPr>
            </w:pPr>
          </w:p>
        </w:tc>
        <w:tc>
          <w:tcPr>
            <w:tcW w:w="2000" w:type="dxa"/>
            <w:vAlign w:val="bottom"/>
            <w:tcBorders>
              <w:bottom w:val="single" w:sz="8" w:color="auto"/>
              <w:right w:val="single" w:sz="8" w:color="auto"/>
            </w:tcBorders>
          </w:tcPr>
          <w:p>
            <w:pPr>
              <w:spacing w:after="0"/>
              <w:rPr>
                <w:sz w:val="2"/>
                <w:szCs w:val="2"/>
                <w:color w:val="auto"/>
              </w:rPr>
            </w:pPr>
          </w:p>
        </w:tc>
        <w:tc>
          <w:tcPr>
            <w:tcW w:w="2240" w:type="dxa"/>
            <w:vAlign w:val="bottom"/>
            <w:tcBorders>
              <w:bottom w:val="single" w:sz="8" w:color="auto"/>
              <w:right w:val="single" w:sz="8" w:color="auto"/>
            </w:tcBorders>
          </w:tcPr>
          <w:p>
            <w:pPr>
              <w:spacing w:after="0"/>
              <w:rPr>
                <w:sz w:val="2"/>
                <w:szCs w:val="2"/>
                <w:color w:val="auto"/>
              </w:rPr>
            </w:pPr>
          </w:p>
        </w:tc>
        <w:tc>
          <w:tcPr>
            <w:tcW w:w="1620" w:type="dxa"/>
            <w:vAlign w:val="bottom"/>
            <w:tcBorders>
              <w:bottom w:val="single" w:sz="8" w:color="auto"/>
              <w:right w:val="single" w:sz="8" w:color="auto"/>
            </w:tcBorders>
          </w:tcPr>
          <w:p>
            <w:pPr>
              <w:spacing w:after="0"/>
              <w:rPr>
                <w:sz w:val="2"/>
                <w:szCs w:val="2"/>
                <w:color w:val="auto"/>
              </w:rPr>
            </w:pPr>
          </w:p>
        </w:tc>
        <w:tc>
          <w:tcPr>
            <w:tcW w:w="1020" w:type="dxa"/>
            <w:vAlign w:val="bottom"/>
            <w:tcBorders>
              <w:bottom w:val="single" w:sz="8" w:color="auto"/>
              <w:right w:val="single" w:sz="8" w:color="auto"/>
            </w:tcBorders>
          </w:tcPr>
          <w:p>
            <w:pPr>
              <w:spacing w:after="0"/>
              <w:rPr>
                <w:sz w:val="2"/>
                <w:szCs w:val="2"/>
                <w:color w:val="auto"/>
              </w:rPr>
            </w:pPr>
          </w:p>
        </w:tc>
      </w:tr>
      <w:tr>
        <w:trPr>
          <w:trHeight w:val="237"/>
        </w:trPr>
        <w:tc>
          <w:tcPr>
            <w:tcW w:w="45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PFX Pty Ltd</w:t>
            </w:r>
          </w:p>
        </w:tc>
        <w:tc>
          <w:tcPr>
            <w:tcW w:w="200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Australia</w:t>
            </w:r>
          </w:p>
        </w:tc>
        <w:tc>
          <w:tcPr>
            <w:tcW w:w="224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Common Stock</w:t>
            </w:r>
          </w:p>
        </w:tc>
        <w:tc>
          <w:tcPr>
            <w:tcW w:w="1620" w:type="dxa"/>
            <w:vAlign w:val="bottom"/>
            <w:tcBorders>
              <w:right w:val="single" w:sz="8" w:color="auto"/>
            </w:tcBorders>
          </w:tcPr>
          <w:p>
            <w:pPr>
              <w:jc w:val="right"/>
              <w:ind w:right="30"/>
              <w:spacing w:after="0"/>
              <w:rPr>
                <w:sz w:val="20"/>
                <w:szCs w:val="20"/>
                <w:color w:val="auto"/>
              </w:rPr>
            </w:pPr>
            <w:r>
              <w:rPr>
                <w:rFonts w:ascii="Arial" w:cs="Arial" w:eastAsia="Arial" w:hAnsi="Arial"/>
                <w:sz w:val="18"/>
                <w:szCs w:val="18"/>
                <w:color w:val="auto"/>
              </w:rPr>
              <w:t>2</w:t>
            </w:r>
          </w:p>
        </w:tc>
        <w:tc>
          <w:tcPr>
            <w:tcW w:w="10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1"/>
              </w:rPr>
              <w:t>100%</w:t>
            </w:r>
          </w:p>
        </w:tc>
      </w:tr>
      <w:tr>
        <w:trPr>
          <w:trHeight w:val="27"/>
        </w:trPr>
        <w:tc>
          <w:tcPr>
            <w:tcW w:w="4540" w:type="dxa"/>
            <w:vAlign w:val="bottom"/>
            <w:tcBorders>
              <w:left w:val="single" w:sz="8" w:color="auto"/>
              <w:bottom w:val="single" w:sz="8" w:color="auto"/>
              <w:right w:val="single" w:sz="8" w:color="auto"/>
            </w:tcBorders>
          </w:tcPr>
          <w:p>
            <w:pPr>
              <w:spacing w:after="0"/>
              <w:rPr>
                <w:sz w:val="2"/>
                <w:szCs w:val="2"/>
                <w:color w:val="auto"/>
              </w:rPr>
            </w:pPr>
          </w:p>
        </w:tc>
        <w:tc>
          <w:tcPr>
            <w:tcW w:w="2000" w:type="dxa"/>
            <w:vAlign w:val="bottom"/>
            <w:tcBorders>
              <w:bottom w:val="single" w:sz="8" w:color="auto"/>
              <w:right w:val="single" w:sz="8" w:color="auto"/>
            </w:tcBorders>
          </w:tcPr>
          <w:p>
            <w:pPr>
              <w:spacing w:after="0"/>
              <w:rPr>
                <w:sz w:val="2"/>
                <w:szCs w:val="2"/>
                <w:color w:val="auto"/>
              </w:rPr>
            </w:pPr>
          </w:p>
        </w:tc>
        <w:tc>
          <w:tcPr>
            <w:tcW w:w="2240" w:type="dxa"/>
            <w:vAlign w:val="bottom"/>
            <w:tcBorders>
              <w:bottom w:val="single" w:sz="8" w:color="auto"/>
              <w:right w:val="single" w:sz="8" w:color="auto"/>
            </w:tcBorders>
          </w:tcPr>
          <w:p>
            <w:pPr>
              <w:spacing w:after="0"/>
              <w:rPr>
                <w:sz w:val="2"/>
                <w:szCs w:val="2"/>
                <w:color w:val="auto"/>
              </w:rPr>
            </w:pPr>
          </w:p>
        </w:tc>
        <w:tc>
          <w:tcPr>
            <w:tcW w:w="1620" w:type="dxa"/>
            <w:vAlign w:val="bottom"/>
            <w:tcBorders>
              <w:bottom w:val="single" w:sz="8" w:color="auto"/>
              <w:right w:val="single" w:sz="8" w:color="auto"/>
            </w:tcBorders>
          </w:tcPr>
          <w:p>
            <w:pPr>
              <w:spacing w:after="0"/>
              <w:rPr>
                <w:sz w:val="2"/>
                <w:szCs w:val="2"/>
                <w:color w:val="auto"/>
              </w:rPr>
            </w:pPr>
          </w:p>
        </w:tc>
        <w:tc>
          <w:tcPr>
            <w:tcW w:w="1020" w:type="dxa"/>
            <w:vAlign w:val="bottom"/>
            <w:tcBorders>
              <w:bottom w:val="single" w:sz="8" w:color="auto"/>
              <w:right w:val="single" w:sz="8" w:color="auto"/>
            </w:tcBorders>
          </w:tcPr>
          <w:p>
            <w:pPr>
              <w:spacing w:after="0"/>
              <w:rPr>
                <w:sz w:val="2"/>
                <w:szCs w:val="2"/>
                <w:color w:val="auto"/>
              </w:rPr>
            </w:pPr>
          </w:p>
        </w:tc>
      </w:tr>
      <w:tr>
        <w:trPr>
          <w:trHeight w:val="237"/>
        </w:trPr>
        <w:tc>
          <w:tcPr>
            <w:tcW w:w="45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Pure-Commerce Ltd</w:t>
            </w:r>
          </w:p>
        </w:tc>
        <w:tc>
          <w:tcPr>
            <w:tcW w:w="200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Isle of Man</w:t>
            </w:r>
          </w:p>
        </w:tc>
        <w:tc>
          <w:tcPr>
            <w:tcW w:w="224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Common Stock</w:t>
            </w:r>
          </w:p>
        </w:tc>
        <w:tc>
          <w:tcPr>
            <w:tcW w:w="1620" w:type="dxa"/>
            <w:vAlign w:val="bottom"/>
            <w:tcBorders>
              <w:right w:val="single" w:sz="8" w:color="auto"/>
            </w:tcBorders>
          </w:tcPr>
          <w:p>
            <w:pPr>
              <w:jc w:val="right"/>
              <w:ind w:right="30"/>
              <w:spacing w:after="0"/>
              <w:rPr>
                <w:sz w:val="20"/>
                <w:szCs w:val="20"/>
                <w:color w:val="auto"/>
              </w:rPr>
            </w:pPr>
            <w:r>
              <w:rPr>
                <w:rFonts w:ascii="Arial" w:cs="Arial" w:eastAsia="Arial" w:hAnsi="Arial"/>
                <w:sz w:val="18"/>
                <w:szCs w:val="18"/>
                <w:color w:val="auto"/>
              </w:rPr>
              <w:t>1</w:t>
            </w:r>
          </w:p>
        </w:tc>
        <w:tc>
          <w:tcPr>
            <w:tcW w:w="10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1"/>
              </w:rPr>
              <w:t>100%</w:t>
            </w:r>
          </w:p>
        </w:tc>
      </w:tr>
      <w:tr>
        <w:trPr>
          <w:trHeight w:val="27"/>
        </w:trPr>
        <w:tc>
          <w:tcPr>
            <w:tcW w:w="4540" w:type="dxa"/>
            <w:vAlign w:val="bottom"/>
            <w:tcBorders>
              <w:left w:val="single" w:sz="8" w:color="auto"/>
              <w:bottom w:val="single" w:sz="8" w:color="auto"/>
              <w:right w:val="single" w:sz="8" w:color="auto"/>
            </w:tcBorders>
          </w:tcPr>
          <w:p>
            <w:pPr>
              <w:spacing w:after="0"/>
              <w:rPr>
                <w:sz w:val="2"/>
                <w:szCs w:val="2"/>
                <w:color w:val="auto"/>
              </w:rPr>
            </w:pPr>
          </w:p>
        </w:tc>
        <w:tc>
          <w:tcPr>
            <w:tcW w:w="2000" w:type="dxa"/>
            <w:vAlign w:val="bottom"/>
            <w:tcBorders>
              <w:bottom w:val="single" w:sz="8" w:color="auto"/>
              <w:right w:val="single" w:sz="8" w:color="auto"/>
            </w:tcBorders>
          </w:tcPr>
          <w:p>
            <w:pPr>
              <w:spacing w:after="0"/>
              <w:rPr>
                <w:sz w:val="2"/>
                <w:szCs w:val="2"/>
                <w:color w:val="auto"/>
              </w:rPr>
            </w:pPr>
          </w:p>
        </w:tc>
        <w:tc>
          <w:tcPr>
            <w:tcW w:w="2240" w:type="dxa"/>
            <w:vAlign w:val="bottom"/>
            <w:tcBorders>
              <w:bottom w:val="single" w:sz="8" w:color="auto"/>
              <w:right w:val="single" w:sz="8" w:color="auto"/>
            </w:tcBorders>
          </w:tcPr>
          <w:p>
            <w:pPr>
              <w:spacing w:after="0"/>
              <w:rPr>
                <w:sz w:val="2"/>
                <w:szCs w:val="2"/>
                <w:color w:val="auto"/>
              </w:rPr>
            </w:pPr>
          </w:p>
        </w:tc>
        <w:tc>
          <w:tcPr>
            <w:tcW w:w="1620" w:type="dxa"/>
            <w:vAlign w:val="bottom"/>
            <w:tcBorders>
              <w:bottom w:val="single" w:sz="8" w:color="auto"/>
              <w:right w:val="single" w:sz="8" w:color="auto"/>
            </w:tcBorders>
          </w:tcPr>
          <w:p>
            <w:pPr>
              <w:spacing w:after="0"/>
              <w:rPr>
                <w:sz w:val="2"/>
                <w:szCs w:val="2"/>
                <w:color w:val="auto"/>
              </w:rPr>
            </w:pPr>
          </w:p>
        </w:tc>
        <w:tc>
          <w:tcPr>
            <w:tcW w:w="1020" w:type="dxa"/>
            <w:vAlign w:val="bottom"/>
            <w:tcBorders>
              <w:bottom w:val="single" w:sz="8" w:color="auto"/>
              <w:right w:val="single" w:sz="8" w:color="auto"/>
            </w:tcBorders>
          </w:tcPr>
          <w:p>
            <w:pPr>
              <w:spacing w:after="0"/>
              <w:rPr>
                <w:sz w:val="2"/>
                <w:szCs w:val="2"/>
                <w:color w:val="auto"/>
              </w:rPr>
            </w:pPr>
          </w:p>
        </w:tc>
      </w:tr>
      <w:tr>
        <w:trPr>
          <w:trHeight w:val="237"/>
        </w:trPr>
        <w:tc>
          <w:tcPr>
            <w:tcW w:w="45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Pure Processing Pte. Ltd.</w:t>
            </w:r>
          </w:p>
        </w:tc>
        <w:tc>
          <w:tcPr>
            <w:tcW w:w="200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Singapore</w:t>
            </w:r>
          </w:p>
        </w:tc>
        <w:tc>
          <w:tcPr>
            <w:tcW w:w="224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Common Stock</w:t>
            </w:r>
          </w:p>
        </w:tc>
        <w:tc>
          <w:tcPr>
            <w:tcW w:w="1620" w:type="dxa"/>
            <w:vAlign w:val="bottom"/>
            <w:tcBorders>
              <w:right w:val="single" w:sz="8" w:color="auto"/>
            </w:tcBorders>
          </w:tcPr>
          <w:p>
            <w:pPr>
              <w:jc w:val="right"/>
              <w:ind w:right="30"/>
              <w:spacing w:after="0"/>
              <w:rPr>
                <w:sz w:val="20"/>
                <w:szCs w:val="20"/>
                <w:color w:val="auto"/>
              </w:rPr>
            </w:pPr>
            <w:r>
              <w:rPr>
                <w:rFonts w:ascii="Arial" w:cs="Arial" w:eastAsia="Arial" w:hAnsi="Arial"/>
                <w:sz w:val="18"/>
                <w:szCs w:val="18"/>
                <w:color w:val="auto"/>
              </w:rPr>
              <w:t>2</w:t>
            </w:r>
          </w:p>
        </w:tc>
        <w:tc>
          <w:tcPr>
            <w:tcW w:w="10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1"/>
              </w:rPr>
              <w:t>100%</w:t>
            </w:r>
          </w:p>
        </w:tc>
      </w:tr>
      <w:tr>
        <w:trPr>
          <w:trHeight w:val="27"/>
        </w:trPr>
        <w:tc>
          <w:tcPr>
            <w:tcW w:w="4540" w:type="dxa"/>
            <w:vAlign w:val="bottom"/>
            <w:tcBorders>
              <w:left w:val="single" w:sz="8" w:color="auto"/>
              <w:bottom w:val="single" w:sz="8" w:color="auto"/>
              <w:right w:val="single" w:sz="8" w:color="auto"/>
            </w:tcBorders>
          </w:tcPr>
          <w:p>
            <w:pPr>
              <w:spacing w:after="0"/>
              <w:rPr>
                <w:sz w:val="2"/>
                <w:szCs w:val="2"/>
                <w:color w:val="auto"/>
              </w:rPr>
            </w:pPr>
          </w:p>
        </w:tc>
        <w:tc>
          <w:tcPr>
            <w:tcW w:w="2000" w:type="dxa"/>
            <w:vAlign w:val="bottom"/>
            <w:tcBorders>
              <w:bottom w:val="single" w:sz="8" w:color="auto"/>
              <w:right w:val="single" w:sz="8" w:color="auto"/>
            </w:tcBorders>
          </w:tcPr>
          <w:p>
            <w:pPr>
              <w:spacing w:after="0"/>
              <w:rPr>
                <w:sz w:val="2"/>
                <w:szCs w:val="2"/>
                <w:color w:val="auto"/>
              </w:rPr>
            </w:pPr>
          </w:p>
        </w:tc>
        <w:tc>
          <w:tcPr>
            <w:tcW w:w="2240" w:type="dxa"/>
            <w:vAlign w:val="bottom"/>
            <w:tcBorders>
              <w:bottom w:val="single" w:sz="8" w:color="auto"/>
              <w:right w:val="single" w:sz="8" w:color="auto"/>
            </w:tcBorders>
          </w:tcPr>
          <w:p>
            <w:pPr>
              <w:spacing w:after="0"/>
              <w:rPr>
                <w:sz w:val="2"/>
                <w:szCs w:val="2"/>
                <w:color w:val="auto"/>
              </w:rPr>
            </w:pPr>
          </w:p>
        </w:tc>
        <w:tc>
          <w:tcPr>
            <w:tcW w:w="1620" w:type="dxa"/>
            <w:vAlign w:val="bottom"/>
            <w:tcBorders>
              <w:bottom w:val="single" w:sz="8" w:color="auto"/>
              <w:right w:val="single" w:sz="8" w:color="auto"/>
            </w:tcBorders>
          </w:tcPr>
          <w:p>
            <w:pPr>
              <w:spacing w:after="0"/>
              <w:rPr>
                <w:sz w:val="2"/>
                <w:szCs w:val="2"/>
                <w:color w:val="auto"/>
              </w:rPr>
            </w:pPr>
          </w:p>
        </w:tc>
        <w:tc>
          <w:tcPr>
            <w:tcW w:w="1020" w:type="dxa"/>
            <w:vAlign w:val="bottom"/>
            <w:tcBorders>
              <w:bottom w:val="single" w:sz="8" w:color="auto"/>
              <w:right w:val="single" w:sz="8" w:color="auto"/>
            </w:tcBorders>
          </w:tcPr>
          <w:p>
            <w:pPr>
              <w:spacing w:after="0"/>
              <w:rPr>
                <w:sz w:val="2"/>
                <w:szCs w:val="2"/>
                <w:color w:val="auto"/>
              </w:rPr>
            </w:pPr>
          </w:p>
        </w:tc>
      </w:tr>
      <w:tr>
        <w:trPr>
          <w:trHeight w:val="237"/>
        </w:trPr>
        <w:tc>
          <w:tcPr>
            <w:tcW w:w="45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Pure Commerce Japan Pty Ltd</w:t>
            </w:r>
          </w:p>
        </w:tc>
        <w:tc>
          <w:tcPr>
            <w:tcW w:w="200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Australia</w:t>
            </w:r>
          </w:p>
        </w:tc>
        <w:tc>
          <w:tcPr>
            <w:tcW w:w="224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Common Stock</w:t>
            </w:r>
          </w:p>
        </w:tc>
        <w:tc>
          <w:tcPr>
            <w:tcW w:w="1620" w:type="dxa"/>
            <w:vAlign w:val="bottom"/>
            <w:tcBorders>
              <w:right w:val="single" w:sz="8" w:color="auto"/>
            </w:tcBorders>
          </w:tcPr>
          <w:p>
            <w:pPr>
              <w:jc w:val="right"/>
              <w:ind w:right="30"/>
              <w:spacing w:after="0"/>
              <w:rPr>
                <w:sz w:val="20"/>
                <w:szCs w:val="20"/>
                <w:color w:val="auto"/>
              </w:rPr>
            </w:pPr>
            <w:r>
              <w:rPr>
                <w:rFonts w:ascii="Arial" w:cs="Arial" w:eastAsia="Arial" w:hAnsi="Arial"/>
                <w:sz w:val="18"/>
                <w:szCs w:val="18"/>
                <w:color w:val="auto"/>
              </w:rPr>
              <w:t>2,500,100</w:t>
            </w:r>
          </w:p>
        </w:tc>
        <w:tc>
          <w:tcPr>
            <w:tcW w:w="10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1"/>
              </w:rPr>
              <w:t>100%</w:t>
            </w:r>
          </w:p>
        </w:tc>
      </w:tr>
      <w:tr>
        <w:trPr>
          <w:trHeight w:val="27"/>
        </w:trPr>
        <w:tc>
          <w:tcPr>
            <w:tcW w:w="4540" w:type="dxa"/>
            <w:vAlign w:val="bottom"/>
            <w:tcBorders>
              <w:left w:val="single" w:sz="8" w:color="auto"/>
              <w:bottom w:val="single" w:sz="8" w:color="auto"/>
              <w:right w:val="single" w:sz="8" w:color="auto"/>
            </w:tcBorders>
          </w:tcPr>
          <w:p>
            <w:pPr>
              <w:spacing w:after="0"/>
              <w:rPr>
                <w:sz w:val="2"/>
                <w:szCs w:val="2"/>
                <w:color w:val="auto"/>
              </w:rPr>
            </w:pPr>
          </w:p>
        </w:tc>
        <w:tc>
          <w:tcPr>
            <w:tcW w:w="2000" w:type="dxa"/>
            <w:vAlign w:val="bottom"/>
            <w:tcBorders>
              <w:bottom w:val="single" w:sz="8" w:color="auto"/>
              <w:right w:val="single" w:sz="8" w:color="auto"/>
            </w:tcBorders>
          </w:tcPr>
          <w:p>
            <w:pPr>
              <w:spacing w:after="0"/>
              <w:rPr>
                <w:sz w:val="2"/>
                <w:szCs w:val="2"/>
                <w:color w:val="auto"/>
              </w:rPr>
            </w:pPr>
          </w:p>
        </w:tc>
        <w:tc>
          <w:tcPr>
            <w:tcW w:w="2240" w:type="dxa"/>
            <w:vAlign w:val="bottom"/>
            <w:tcBorders>
              <w:bottom w:val="single" w:sz="8" w:color="auto"/>
              <w:right w:val="single" w:sz="8" w:color="auto"/>
            </w:tcBorders>
          </w:tcPr>
          <w:p>
            <w:pPr>
              <w:spacing w:after="0"/>
              <w:rPr>
                <w:sz w:val="2"/>
                <w:szCs w:val="2"/>
                <w:color w:val="auto"/>
              </w:rPr>
            </w:pPr>
          </w:p>
        </w:tc>
        <w:tc>
          <w:tcPr>
            <w:tcW w:w="1620" w:type="dxa"/>
            <w:vAlign w:val="bottom"/>
            <w:tcBorders>
              <w:bottom w:val="single" w:sz="8" w:color="auto"/>
              <w:right w:val="single" w:sz="8" w:color="auto"/>
            </w:tcBorders>
          </w:tcPr>
          <w:p>
            <w:pPr>
              <w:spacing w:after="0"/>
              <w:rPr>
                <w:sz w:val="2"/>
                <w:szCs w:val="2"/>
                <w:color w:val="auto"/>
              </w:rPr>
            </w:pPr>
          </w:p>
        </w:tc>
        <w:tc>
          <w:tcPr>
            <w:tcW w:w="1020" w:type="dxa"/>
            <w:vAlign w:val="bottom"/>
            <w:tcBorders>
              <w:bottom w:val="single" w:sz="8" w:color="auto"/>
              <w:right w:val="single" w:sz="8" w:color="auto"/>
            </w:tcBorders>
          </w:tcPr>
          <w:p>
            <w:pPr>
              <w:spacing w:after="0"/>
              <w:rPr>
                <w:sz w:val="2"/>
                <w:szCs w:val="2"/>
                <w:color w:val="auto"/>
              </w:rPr>
            </w:pPr>
          </w:p>
        </w:tc>
      </w:tr>
      <w:tr>
        <w:trPr>
          <w:trHeight w:val="237"/>
        </w:trPr>
        <w:tc>
          <w:tcPr>
            <w:tcW w:w="45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Telecomnet LLC</w:t>
            </w:r>
          </w:p>
        </w:tc>
        <w:tc>
          <w:tcPr>
            <w:tcW w:w="200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Delaware, USA</w:t>
            </w:r>
          </w:p>
        </w:tc>
        <w:tc>
          <w:tcPr>
            <w:tcW w:w="224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Member Interests</w:t>
            </w:r>
          </w:p>
        </w:tc>
        <w:tc>
          <w:tcPr>
            <w:tcW w:w="1620" w:type="dxa"/>
            <w:vAlign w:val="bottom"/>
            <w:tcBorders>
              <w:right w:val="single" w:sz="8" w:color="auto"/>
            </w:tcBorders>
          </w:tcPr>
          <w:p>
            <w:pPr>
              <w:jc w:val="right"/>
              <w:ind w:right="30"/>
              <w:spacing w:after="0"/>
              <w:rPr>
                <w:sz w:val="20"/>
                <w:szCs w:val="20"/>
                <w:color w:val="auto"/>
              </w:rPr>
            </w:pPr>
            <w:r>
              <w:rPr>
                <w:rFonts w:ascii="Arial" w:cs="Arial" w:eastAsia="Arial" w:hAnsi="Arial"/>
                <w:sz w:val="18"/>
                <w:szCs w:val="18"/>
                <w:color w:val="auto"/>
              </w:rPr>
              <w:t>0</w:t>
            </w:r>
          </w:p>
        </w:tc>
        <w:tc>
          <w:tcPr>
            <w:tcW w:w="10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1"/>
              </w:rPr>
              <w:t>100%</w:t>
            </w:r>
          </w:p>
        </w:tc>
      </w:tr>
      <w:tr>
        <w:trPr>
          <w:trHeight w:val="27"/>
        </w:trPr>
        <w:tc>
          <w:tcPr>
            <w:tcW w:w="4540" w:type="dxa"/>
            <w:vAlign w:val="bottom"/>
            <w:tcBorders>
              <w:left w:val="single" w:sz="8" w:color="auto"/>
              <w:bottom w:val="single" w:sz="8" w:color="auto"/>
              <w:right w:val="single" w:sz="8" w:color="auto"/>
            </w:tcBorders>
          </w:tcPr>
          <w:p>
            <w:pPr>
              <w:spacing w:after="0"/>
              <w:rPr>
                <w:sz w:val="2"/>
                <w:szCs w:val="2"/>
                <w:color w:val="auto"/>
              </w:rPr>
            </w:pPr>
          </w:p>
        </w:tc>
        <w:tc>
          <w:tcPr>
            <w:tcW w:w="2000" w:type="dxa"/>
            <w:vAlign w:val="bottom"/>
            <w:tcBorders>
              <w:bottom w:val="single" w:sz="8" w:color="auto"/>
              <w:right w:val="single" w:sz="8" w:color="auto"/>
            </w:tcBorders>
          </w:tcPr>
          <w:p>
            <w:pPr>
              <w:spacing w:after="0"/>
              <w:rPr>
                <w:sz w:val="2"/>
                <w:szCs w:val="2"/>
                <w:color w:val="auto"/>
              </w:rPr>
            </w:pPr>
          </w:p>
        </w:tc>
        <w:tc>
          <w:tcPr>
            <w:tcW w:w="2240" w:type="dxa"/>
            <w:vAlign w:val="bottom"/>
            <w:tcBorders>
              <w:bottom w:val="single" w:sz="8" w:color="auto"/>
              <w:right w:val="single" w:sz="8" w:color="auto"/>
            </w:tcBorders>
          </w:tcPr>
          <w:p>
            <w:pPr>
              <w:spacing w:after="0"/>
              <w:rPr>
                <w:sz w:val="2"/>
                <w:szCs w:val="2"/>
                <w:color w:val="auto"/>
              </w:rPr>
            </w:pPr>
          </w:p>
        </w:tc>
        <w:tc>
          <w:tcPr>
            <w:tcW w:w="1620" w:type="dxa"/>
            <w:vAlign w:val="bottom"/>
            <w:tcBorders>
              <w:bottom w:val="single" w:sz="8" w:color="auto"/>
              <w:right w:val="single" w:sz="8" w:color="auto"/>
            </w:tcBorders>
          </w:tcPr>
          <w:p>
            <w:pPr>
              <w:spacing w:after="0"/>
              <w:rPr>
                <w:sz w:val="2"/>
                <w:szCs w:val="2"/>
                <w:color w:val="auto"/>
              </w:rPr>
            </w:pPr>
          </w:p>
        </w:tc>
        <w:tc>
          <w:tcPr>
            <w:tcW w:w="1020" w:type="dxa"/>
            <w:vAlign w:val="bottom"/>
            <w:tcBorders>
              <w:bottom w:val="single" w:sz="8" w:color="auto"/>
              <w:right w:val="single" w:sz="8" w:color="auto"/>
            </w:tcBorders>
          </w:tcPr>
          <w:p>
            <w:pPr>
              <w:spacing w:after="0"/>
              <w:rPr>
                <w:sz w:val="2"/>
                <w:szCs w:val="2"/>
                <w:color w:val="auto"/>
              </w:rPr>
            </w:pPr>
          </w:p>
        </w:tc>
      </w:tr>
      <w:tr>
        <w:trPr>
          <w:trHeight w:val="237"/>
        </w:trPr>
        <w:tc>
          <w:tcPr>
            <w:tcW w:w="45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Telecom Net S.A. Logistica Digital</w:t>
            </w:r>
          </w:p>
        </w:tc>
        <w:tc>
          <w:tcPr>
            <w:tcW w:w="200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Brazil</w:t>
            </w:r>
          </w:p>
        </w:tc>
        <w:tc>
          <w:tcPr>
            <w:tcW w:w="224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Common Stock</w:t>
            </w:r>
          </w:p>
        </w:tc>
        <w:tc>
          <w:tcPr>
            <w:tcW w:w="1620" w:type="dxa"/>
            <w:vAlign w:val="bottom"/>
            <w:tcBorders>
              <w:right w:val="single" w:sz="8" w:color="auto"/>
            </w:tcBorders>
          </w:tcPr>
          <w:p>
            <w:pPr>
              <w:jc w:val="right"/>
              <w:ind w:right="30"/>
              <w:spacing w:after="0"/>
              <w:rPr>
                <w:sz w:val="20"/>
                <w:szCs w:val="20"/>
                <w:color w:val="auto"/>
              </w:rPr>
            </w:pPr>
            <w:r>
              <w:rPr>
                <w:rFonts w:ascii="Arial" w:cs="Arial" w:eastAsia="Arial" w:hAnsi="Arial"/>
                <w:sz w:val="18"/>
                <w:szCs w:val="18"/>
                <w:color w:val="auto"/>
              </w:rPr>
              <w:t>9,739,230</w:t>
            </w:r>
          </w:p>
        </w:tc>
        <w:tc>
          <w:tcPr>
            <w:tcW w:w="10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1"/>
              </w:rPr>
              <w:t>100%</w:t>
            </w:r>
          </w:p>
        </w:tc>
      </w:tr>
      <w:tr>
        <w:trPr>
          <w:trHeight w:val="27"/>
        </w:trPr>
        <w:tc>
          <w:tcPr>
            <w:tcW w:w="4540" w:type="dxa"/>
            <w:vAlign w:val="bottom"/>
            <w:tcBorders>
              <w:left w:val="single" w:sz="8" w:color="auto"/>
              <w:bottom w:val="single" w:sz="8" w:color="auto"/>
              <w:right w:val="single" w:sz="8" w:color="auto"/>
            </w:tcBorders>
          </w:tcPr>
          <w:p>
            <w:pPr>
              <w:spacing w:after="0"/>
              <w:rPr>
                <w:sz w:val="2"/>
                <w:szCs w:val="2"/>
                <w:color w:val="auto"/>
              </w:rPr>
            </w:pPr>
          </w:p>
        </w:tc>
        <w:tc>
          <w:tcPr>
            <w:tcW w:w="2000" w:type="dxa"/>
            <w:vAlign w:val="bottom"/>
            <w:tcBorders>
              <w:bottom w:val="single" w:sz="8" w:color="auto"/>
              <w:right w:val="single" w:sz="8" w:color="auto"/>
            </w:tcBorders>
          </w:tcPr>
          <w:p>
            <w:pPr>
              <w:spacing w:after="0"/>
              <w:rPr>
                <w:sz w:val="2"/>
                <w:szCs w:val="2"/>
                <w:color w:val="auto"/>
              </w:rPr>
            </w:pPr>
          </w:p>
        </w:tc>
        <w:tc>
          <w:tcPr>
            <w:tcW w:w="2240" w:type="dxa"/>
            <w:vAlign w:val="bottom"/>
            <w:tcBorders>
              <w:bottom w:val="single" w:sz="8" w:color="auto"/>
              <w:right w:val="single" w:sz="8" w:color="auto"/>
            </w:tcBorders>
          </w:tcPr>
          <w:p>
            <w:pPr>
              <w:spacing w:after="0"/>
              <w:rPr>
                <w:sz w:val="2"/>
                <w:szCs w:val="2"/>
                <w:color w:val="auto"/>
              </w:rPr>
            </w:pPr>
          </w:p>
        </w:tc>
        <w:tc>
          <w:tcPr>
            <w:tcW w:w="1620" w:type="dxa"/>
            <w:vAlign w:val="bottom"/>
            <w:tcBorders>
              <w:bottom w:val="single" w:sz="8" w:color="auto"/>
              <w:right w:val="single" w:sz="8" w:color="auto"/>
            </w:tcBorders>
          </w:tcPr>
          <w:p>
            <w:pPr>
              <w:spacing w:after="0"/>
              <w:rPr>
                <w:sz w:val="2"/>
                <w:szCs w:val="2"/>
                <w:color w:val="auto"/>
              </w:rPr>
            </w:pPr>
          </w:p>
        </w:tc>
        <w:tc>
          <w:tcPr>
            <w:tcW w:w="1020" w:type="dxa"/>
            <w:vAlign w:val="bottom"/>
            <w:tcBorders>
              <w:bottom w:val="single" w:sz="8" w:color="auto"/>
              <w:right w:val="single" w:sz="8" w:color="auto"/>
            </w:tcBorders>
          </w:tcPr>
          <w:p>
            <w:pPr>
              <w:spacing w:after="0"/>
              <w:rPr>
                <w:sz w:val="2"/>
                <w:szCs w:val="2"/>
                <w:color w:val="auto"/>
              </w:rPr>
            </w:pPr>
          </w:p>
        </w:tc>
      </w:tr>
      <w:tr>
        <w:trPr>
          <w:trHeight w:val="237"/>
        </w:trPr>
        <w:tc>
          <w:tcPr>
            <w:tcW w:w="45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Euronet Business Holdings S.L.U.</w:t>
            </w:r>
          </w:p>
        </w:tc>
        <w:tc>
          <w:tcPr>
            <w:tcW w:w="200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Spain</w:t>
            </w:r>
          </w:p>
        </w:tc>
        <w:tc>
          <w:tcPr>
            <w:tcW w:w="224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Common Stock</w:t>
            </w:r>
          </w:p>
        </w:tc>
        <w:tc>
          <w:tcPr>
            <w:tcW w:w="1620" w:type="dxa"/>
            <w:vAlign w:val="bottom"/>
            <w:tcBorders>
              <w:right w:val="single" w:sz="8" w:color="auto"/>
            </w:tcBorders>
          </w:tcPr>
          <w:p>
            <w:pPr>
              <w:jc w:val="right"/>
              <w:ind w:right="30"/>
              <w:spacing w:after="0"/>
              <w:rPr>
                <w:sz w:val="20"/>
                <w:szCs w:val="20"/>
                <w:color w:val="auto"/>
              </w:rPr>
            </w:pPr>
            <w:r>
              <w:rPr>
                <w:rFonts w:ascii="Arial" w:cs="Arial" w:eastAsia="Arial" w:hAnsi="Arial"/>
                <w:sz w:val="18"/>
                <w:szCs w:val="18"/>
                <w:color w:val="auto"/>
              </w:rPr>
              <w:t>501</w:t>
            </w:r>
          </w:p>
        </w:tc>
        <w:tc>
          <w:tcPr>
            <w:tcW w:w="10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1"/>
              </w:rPr>
              <w:t>100%</w:t>
            </w:r>
          </w:p>
        </w:tc>
      </w:tr>
      <w:tr>
        <w:trPr>
          <w:trHeight w:val="27"/>
        </w:trPr>
        <w:tc>
          <w:tcPr>
            <w:tcW w:w="4540" w:type="dxa"/>
            <w:vAlign w:val="bottom"/>
            <w:tcBorders>
              <w:left w:val="single" w:sz="8" w:color="auto"/>
              <w:bottom w:val="single" w:sz="8" w:color="auto"/>
              <w:right w:val="single" w:sz="8" w:color="auto"/>
            </w:tcBorders>
          </w:tcPr>
          <w:p>
            <w:pPr>
              <w:spacing w:after="0"/>
              <w:rPr>
                <w:sz w:val="2"/>
                <w:szCs w:val="2"/>
                <w:color w:val="auto"/>
              </w:rPr>
            </w:pPr>
          </w:p>
        </w:tc>
        <w:tc>
          <w:tcPr>
            <w:tcW w:w="2000" w:type="dxa"/>
            <w:vAlign w:val="bottom"/>
            <w:tcBorders>
              <w:bottom w:val="single" w:sz="8" w:color="auto"/>
              <w:right w:val="single" w:sz="8" w:color="auto"/>
            </w:tcBorders>
          </w:tcPr>
          <w:p>
            <w:pPr>
              <w:spacing w:after="0"/>
              <w:rPr>
                <w:sz w:val="2"/>
                <w:szCs w:val="2"/>
                <w:color w:val="auto"/>
              </w:rPr>
            </w:pPr>
          </w:p>
        </w:tc>
        <w:tc>
          <w:tcPr>
            <w:tcW w:w="2240" w:type="dxa"/>
            <w:vAlign w:val="bottom"/>
            <w:tcBorders>
              <w:bottom w:val="single" w:sz="8" w:color="auto"/>
              <w:right w:val="single" w:sz="8" w:color="auto"/>
            </w:tcBorders>
          </w:tcPr>
          <w:p>
            <w:pPr>
              <w:spacing w:after="0"/>
              <w:rPr>
                <w:sz w:val="2"/>
                <w:szCs w:val="2"/>
                <w:color w:val="auto"/>
              </w:rPr>
            </w:pPr>
          </w:p>
        </w:tc>
        <w:tc>
          <w:tcPr>
            <w:tcW w:w="1620" w:type="dxa"/>
            <w:vAlign w:val="bottom"/>
            <w:tcBorders>
              <w:bottom w:val="single" w:sz="8" w:color="auto"/>
              <w:right w:val="single" w:sz="8" w:color="auto"/>
            </w:tcBorders>
          </w:tcPr>
          <w:p>
            <w:pPr>
              <w:spacing w:after="0"/>
              <w:rPr>
                <w:sz w:val="2"/>
                <w:szCs w:val="2"/>
                <w:color w:val="auto"/>
              </w:rPr>
            </w:pPr>
          </w:p>
        </w:tc>
        <w:tc>
          <w:tcPr>
            <w:tcW w:w="1020" w:type="dxa"/>
            <w:vAlign w:val="bottom"/>
            <w:tcBorders>
              <w:bottom w:val="single" w:sz="8" w:color="auto"/>
              <w:right w:val="single" w:sz="8" w:color="auto"/>
            </w:tcBorders>
          </w:tcPr>
          <w:p>
            <w:pPr>
              <w:spacing w:after="0"/>
              <w:rPr>
                <w:sz w:val="2"/>
                <w:szCs w:val="2"/>
                <w:color w:val="auto"/>
              </w:rPr>
            </w:pPr>
          </w:p>
        </w:tc>
      </w:tr>
      <w:tr>
        <w:trPr>
          <w:trHeight w:val="237"/>
        </w:trPr>
        <w:tc>
          <w:tcPr>
            <w:tcW w:w="45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Euronet Telerecarga S.L.U.</w:t>
            </w:r>
          </w:p>
        </w:tc>
        <w:tc>
          <w:tcPr>
            <w:tcW w:w="200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Spain</w:t>
            </w:r>
          </w:p>
        </w:tc>
        <w:tc>
          <w:tcPr>
            <w:tcW w:w="224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Common Stock</w:t>
            </w:r>
          </w:p>
        </w:tc>
        <w:tc>
          <w:tcPr>
            <w:tcW w:w="1620" w:type="dxa"/>
            <w:vAlign w:val="bottom"/>
            <w:tcBorders>
              <w:right w:val="single" w:sz="8" w:color="auto"/>
            </w:tcBorders>
          </w:tcPr>
          <w:p>
            <w:pPr>
              <w:jc w:val="right"/>
              <w:ind w:right="30"/>
              <w:spacing w:after="0"/>
              <w:rPr>
                <w:sz w:val="20"/>
                <w:szCs w:val="20"/>
                <w:color w:val="auto"/>
              </w:rPr>
            </w:pPr>
            <w:r>
              <w:rPr>
                <w:rFonts w:ascii="Arial" w:cs="Arial" w:eastAsia="Arial" w:hAnsi="Arial"/>
                <w:sz w:val="18"/>
                <w:szCs w:val="18"/>
                <w:color w:val="auto"/>
              </w:rPr>
              <w:t>15,175,513</w:t>
            </w:r>
          </w:p>
        </w:tc>
        <w:tc>
          <w:tcPr>
            <w:tcW w:w="10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1"/>
              </w:rPr>
              <w:t>100%</w:t>
            </w:r>
          </w:p>
        </w:tc>
      </w:tr>
      <w:tr>
        <w:trPr>
          <w:trHeight w:val="27"/>
        </w:trPr>
        <w:tc>
          <w:tcPr>
            <w:tcW w:w="4540" w:type="dxa"/>
            <w:vAlign w:val="bottom"/>
            <w:tcBorders>
              <w:left w:val="single" w:sz="8" w:color="auto"/>
              <w:bottom w:val="single" w:sz="8" w:color="auto"/>
              <w:right w:val="single" w:sz="8" w:color="auto"/>
            </w:tcBorders>
          </w:tcPr>
          <w:p>
            <w:pPr>
              <w:spacing w:after="0"/>
              <w:rPr>
                <w:sz w:val="2"/>
                <w:szCs w:val="2"/>
                <w:color w:val="auto"/>
              </w:rPr>
            </w:pPr>
          </w:p>
        </w:tc>
        <w:tc>
          <w:tcPr>
            <w:tcW w:w="2000" w:type="dxa"/>
            <w:vAlign w:val="bottom"/>
            <w:tcBorders>
              <w:bottom w:val="single" w:sz="8" w:color="auto"/>
              <w:right w:val="single" w:sz="8" w:color="auto"/>
            </w:tcBorders>
          </w:tcPr>
          <w:p>
            <w:pPr>
              <w:spacing w:after="0"/>
              <w:rPr>
                <w:sz w:val="2"/>
                <w:szCs w:val="2"/>
                <w:color w:val="auto"/>
              </w:rPr>
            </w:pPr>
          </w:p>
        </w:tc>
        <w:tc>
          <w:tcPr>
            <w:tcW w:w="2240" w:type="dxa"/>
            <w:vAlign w:val="bottom"/>
            <w:tcBorders>
              <w:bottom w:val="single" w:sz="8" w:color="auto"/>
              <w:right w:val="single" w:sz="8" w:color="auto"/>
            </w:tcBorders>
          </w:tcPr>
          <w:p>
            <w:pPr>
              <w:spacing w:after="0"/>
              <w:rPr>
                <w:sz w:val="2"/>
                <w:szCs w:val="2"/>
                <w:color w:val="auto"/>
              </w:rPr>
            </w:pPr>
          </w:p>
        </w:tc>
        <w:tc>
          <w:tcPr>
            <w:tcW w:w="1620" w:type="dxa"/>
            <w:vAlign w:val="bottom"/>
            <w:tcBorders>
              <w:bottom w:val="single" w:sz="8" w:color="auto"/>
              <w:right w:val="single" w:sz="8" w:color="auto"/>
            </w:tcBorders>
          </w:tcPr>
          <w:p>
            <w:pPr>
              <w:spacing w:after="0"/>
              <w:rPr>
                <w:sz w:val="2"/>
                <w:szCs w:val="2"/>
                <w:color w:val="auto"/>
              </w:rPr>
            </w:pPr>
          </w:p>
        </w:tc>
        <w:tc>
          <w:tcPr>
            <w:tcW w:w="1020" w:type="dxa"/>
            <w:vAlign w:val="bottom"/>
            <w:tcBorders>
              <w:bottom w:val="single" w:sz="8" w:color="auto"/>
              <w:right w:val="single" w:sz="8" w:color="auto"/>
            </w:tcBorders>
          </w:tcPr>
          <w:p>
            <w:pPr>
              <w:spacing w:after="0"/>
              <w:rPr>
                <w:sz w:val="2"/>
                <w:szCs w:val="2"/>
                <w:color w:val="auto"/>
              </w:rPr>
            </w:pPr>
          </w:p>
        </w:tc>
      </w:tr>
      <w:tr>
        <w:trPr>
          <w:trHeight w:val="237"/>
        </w:trPr>
        <w:tc>
          <w:tcPr>
            <w:tcW w:w="45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Euronet Movilcarga S.L.</w:t>
            </w:r>
          </w:p>
        </w:tc>
        <w:tc>
          <w:tcPr>
            <w:tcW w:w="200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Spain</w:t>
            </w:r>
          </w:p>
        </w:tc>
        <w:tc>
          <w:tcPr>
            <w:tcW w:w="224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Common Stock</w:t>
            </w:r>
          </w:p>
        </w:tc>
        <w:tc>
          <w:tcPr>
            <w:tcW w:w="1620" w:type="dxa"/>
            <w:vAlign w:val="bottom"/>
            <w:tcBorders>
              <w:right w:val="single" w:sz="8" w:color="auto"/>
            </w:tcBorders>
          </w:tcPr>
          <w:p>
            <w:pPr>
              <w:jc w:val="right"/>
              <w:ind w:right="30"/>
              <w:spacing w:after="0"/>
              <w:rPr>
                <w:sz w:val="20"/>
                <w:szCs w:val="20"/>
                <w:color w:val="auto"/>
              </w:rPr>
            </w:pPr>
            <w:r>
              <w:rPr>
                <w:rFonts w:ascii="Arial" w:cs="Arial" w:eastAsia="Arial" w:hAnsi="Arial"/>
                <w:sz w:val="18"/>
                <w:szCs w:val="18"/>
                <w:color w:val="auto"/>
              </w:rPr>
              <w:t>5,000</w:t>
            </w:r>
          </w:p>
        </w:tc>
        <w:tc>
          <w:tcPr>
            <w:tcW w:w="10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4"/>
              </w:rPr>
              <w:t>80%</w:t>
            </w:r>
          </w:p>
        </w:tc>
      </w:tr>
      <w:tr>
        <w:trPr>
          <w:trHeight w:val="27"/>
        </w:trPr>
        <w:tc>
          <w:tcPr>
            <w:tcW w:w="4540" w:type="dxa"/>
            <w:vAlign w:val="bottom"/>
            <w:tcBorders>
              <w:left w:val="single" w:sz="8" w:color="auto"/>
              <w:bottom w:val="single" w:sz="8" w:color="auto"/>
              <w:right w:val="single" w:sz="8" w:color="auto"/>
            </w:tcBorders>
          </w:tcPr>
          <w:p>
            <w:pPr>
              <w:spacing w:after="0"/>
              <w:rPr>
                <w:sz w:val="2"/>
                <w:szCs w:val="2"/>
                <w:color w:val="auto"/>
              </w:rPr>
            </w:pPr>
          </w:p>
        </w:tc>
        <w:tc>
          <w:tcPr>
            <w:tcW w:w="2000" w:type="dxa"/>
            <w:vAlign w:val="bottom"/>
            <w:tcBorders>
              <w:bottom w:val="single" w:sz="8" w:color="auto"/>
              <w:right w:val="single" w:sz="8" w:color="auto"/>
            </w:tcBorders>
          </w:tcPr>
          <w:p>
            <w:pPr>
              <w:spacing w:after="0"/>
              <w:rPr>
                <w:sz w:val="2"/>
                <w:szCs w:val="2"/>
                <w:color w:val="auto"/>
              </w:rPr>
            </w:pPr>
          </w:p>
        </w:tc>
        <w:tc>
          <w:tcPr>
            <w:tcW w:w="2240" w:type="dxa"/>
            <w:vAlign w:val="bottom"/>
            <w:tcBorders>
              <w:bottom w:val="single" w:sz="8" w:color="auto"/>
              <w:right w:val="single" w:sz="8" w:color="auto"/>
            </w:tcBorders>
          </w:tcPr>
          <w:p>
            <w:pPr>
              <w:spacing w:after="0"/>
              <w:rPr>
                <w:sz w:val="2"/>
                <w:szCs w:val="2"/>
                <w:color w:val="auto"/>
              </w:rPr>
            </w:pPr>
          </w:p>
        </w:tc>
        <w:tc>
          <w:tcPr>
            <w:tcW w:w="1620" w:type="dxa"/>
            <w:vAlign w:val="bottom"/>
            <w:tcBorders>
              <w:bottom w:val="single" w:sz="8" w:color="auto"/>
              <w:right w:val="single" w:sz="8" w:color="auto"/>
            </w:tcBorders>
          </w:tcPr>
          <w:p>
            <w:pPr>
              <w:spacing w:after="0"/>
              <w:rPr>
                <w:sz w:val="2"/>
                <w:szCs w:val="2"/>
                <w:color w:val="auto"/>
              </w:rPr>
            </w:pPr>
          </w:p>
        </w:tc>
        <w:tc>
          <w:tcPr>
            <w:tcW w:w="1020" w:type="dxa"/>
            <w:vAlign w:val="bottom"/>
            <w:tcBorders>
              <w:bottom w:val="single" w:sz="8" w:color="auto"/>
              <w:right w:val="single" w:sz="8" w:color="auto"/>
            </w:tcBorders>
          </w:tcPr>
          <w:p>
            <w:pPr>
              <w:spacing w:after="0"/>
              <w:rPr>
                <w:sz w:val="2"/>
                <w:szCs w:val="2"/>
                <w:color w:val="auto"/>
              </w:rPr>
            </w:pPr>
          </w:p>
        </w:tc>
      </w:tr>
      <w:tr>
        <w:trPr>
          <w:trHeight w:val="237"/>
        </w:trPr>
        <w:tc>
          <w:tcPr>
            <w:tcW w:w="45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Ria Chile Servicios Financieros SpA</w:t>
            </w:r>
          </w:p>
        </w:tc>
        <w:tc>
          <w:tcPr>
            <w:tcW w:w="200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Chile</w:t>
            </w:r>
          </w:p>
        </w:tc>
        <w:tc>
          <w:tcPr>
            <w:tcW w:w="224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Common Stock</w:t>
            </w:r>
          </w:p>
        </w:tc>
        <w:tc>
          <w:tcPr>
            <w:tcW w:w="1620" w:type="dxa"/>
            <w:vAlign w:val="bottom"/>
            <w:tcBorders>
              <w:right w:val="single" w:sz="8" w:color="auto"/>
            </w:tcBorders>
          </w:tcPr>
          <w:p>
            <w:pPr>
              <w:jc w:val="right"/>
              <w:ind w:right="30"/>
              <w:spacing w:after="0"/>
              <w:rPr>
                <w:sz w:val="20"/>
                <w:szCs w:val="20"/>
                <w:color w:val="auto"/>
              </w:rPr>
            </w:pPr>
            <w:r>
              <w:rPr>
                <w:rFonts w:ascii="Arial" w:cs="Arial" w:eastAsia="Arial" w:hAnsi="Arial"/>
                <w:sz w:val="18"/>
                <w:szCs w:val="18"/>
                <w:color w:val="auto"/>
              </w:rPr>
              <w:t>10</w:t>
            </w:r>
          </w:p>
        </w:tc>
        <w:tc>
          <w:tcPr>
            <w:tcW w:w="10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1"/>
              </w:rPr>
              <w:t>100%</w:t>
            </w:r>
          </w:p>
        </w:tc>
      </w:tr>
      <w:tr>
        <w:trPr>
          <w:trHeight w:val="27"/>
        </w:trPr>
        <w:tc>
          <w:tcPr>
            <w:tcW w:w="4540" w:type="dxa"/>
            <w:vAlign w:val="bottom"/>
            <w:tcBorders>
              <w:left w:val="single" w:sz="8" w:color="auto"/>
              <w:bottom w:val="single" w:sz="8" w:color="auto"/>
              <w:right w:val="single" w:sz="8" w:color="auto"/>
            </w:tcBorders>
          </w:tcPr>
          <w:p>
            <w:pPr>
              <w:spacing w:after="0"/>
              <w:rPr>
                <w:sz w:val="2"/>
                <w:szCs w:val="2"/>
                <w:color w:val="auto"/>
              </w:rPr>
            </w:pPr>
          </w:p>
        </w:tc>
        <w:tc>
          <w:tcPr>
            <w:tcW w:w="2000" w:type="dxa"/>
            <w:vAlign w:val="bottom"/>
            <w:tcBorders>
              <w:bottom w:val="single" w:sz="8" w:color="auto"/>
              <w:right w:val="single" w:sz="8" w:color="auto"/>
            </w:tcBorders>
          </w:tcPr>
          <w:p>
            <w:pPr>
              <w:spacing w:after="0"/>
              <w:rPr>
                <w:sz w:val="2"/>
                <w:szCs w:val="2"/>
                <w:color w:val="auto"/>
              </w:rPr>
            </w:pPr>
          </w:p>
        </w:tc>
        <w:tc>
          <w:tcPr>
            <w:tcW w:w="2240" w:type="dxa"/>
            <w:vAlign w:val="bottom"/>
            <w:tcBorders>
              <w:bottom w:val="single" w:sz="8" w:color="auto"/>
              <w:right w:val="single" w:sz="8" w:color="auto"/>
            </w:tcBorders>
          </w:tcPr>
          <w:p>
            <w:pPr>
              <w:spacing w:after="0"/>
              <w:rPr>
                <w:sz w:val="2"/>
                <w:szCs w:val="2"/>
                <w:color w:val="auto"/>
              </w:rPr>
            </w:pPr>
          </w:p>
        </w:tc>
        <w:tc>
          <w:tcPr>
            <w:tcW w:w="1620" w:type="dxa"/>
            <w:vAlign w:val="bottom"/>
            <w:tcBorders>
              <w:bottom w:val="single" w:sz="8" w:color="auto"/>
              <w:right w:val="single" w:sz="8" w:color="auto"/>
            </w:tcBorders>
          </w:tcPr>
          <w:p>
            <w:pPr>
              <w:spacing w:after="0"/>
              <w:rPr>
                <w:sz w:val="2"/>
                <w:szCs w:val="2"/>
                <w:color w:val="auto"/>
              </w:rPr>
            </w:pPr>
          </w:p>
        </w:tc>
        <w:tc>
          <w:tcPr>
            <w:tcW w:w="1020" w:type="dxa"/>
            <w:vAlign w:val="bottom"/>
            <w:tcBorders>
              <w:bottom w:val="single" w:sz="8" w:color="auto"/>
              <w:right w:val="single" w:sz="8" w:color="auto"/>
            </w:tcBorders>
          </w:tcPr>
          <w:p>
            <w:pPr>
              <w:spacing w:after="0"/>
              <w:rPr>
                <w:sz w:val="2"/>
                <w:szCs w:val="2"/>
                <w:color w:val="auto"/>
              </w:rPr>
            </w:pPr>
          </w:p>
        </w:tc>
      </w:tr>
      <w:tr>
        <w:trPr>
          <w:trHeight w:val="237"/>
        </w:trPr>
        <w:tc>
          <w:tcPr>
            <w:tcW w:w="45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RIA Spain Holdings S.L.U.</w:t>
            </w:r>
          </w:p>
        </w:tc>
        <w:tc>
          <w:tcPr>
            <w:tcW w:w="200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Spain</w:t>
            </w:r>
          </w:p>
        </w:tc>
        <w:tc>
          <w:tcPr>
            <w:tcW w:w="224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Common Stock</w:t>
            </w:r>
          </w:p>
        </w:tc>
        <w:tc>
          <w:tcPr>
            <w:tcW w:w="1620" w:type="dxa"/>
            <w:vAlign w:val="bottom"/>
            <w:tcBorders>
              <w:right w:val="single" w:sz="8" w:color="auto"/>
            </w:tcBorders>
          </w:tcPr>
          <w:p>
            <w:pPr>
              <w:jc w:val="right"/>
              <w:ind w:right="30"/>
              <w:spacing w:after="0"/>
              <w:rPr>
                <w:sz w:val="20"/>
                <w:szCs w:val="20"/>
                <w:color w:val="auto"/>
              </w:rPr>
            </w:pPr>
            <w:r>
              <w:rPr>
                <w:rFonts w:ascii="Arial" w:cs="Arial" w:eastAsia="Arial" w:hAnsi="Arial"/>
                <w:sz w:val="18"/>
                <w:szCs w:val="18"/>
                <w:color w:val="auto"/>
              </w:rPr>
              <w:t>502</w:t>
            </w:r>
          </w:p>
        </w:tc>
        <w:tc>
          <w:tcPr>
            <w:tcW w:w="10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1"/>
              </w:rPr>
              <w:t>100%</w:t>
            </w:r>
          </w:p>
        </w:tc>
      </w:tr>
      <w:tr>
        <w:trPr>
          <w:trHeight w:val="27"/>
        </w:trPr>
        <w:tc>
          <w:tcPr>
            <w:tcW w:w="4540" w:type="dxa"/>
            <w:vAlign w:val="bottom"/>
            <w:tcBorders>
              <w:left w:val="single" w:sz="8" w:color="auto"/>
              <w:bottom w:val="single" w:sz="8" w:color="auto"/>
              <w:right w:val="single" w:sz="8" w:color="auto"/>
            </w:tcBorders>
          </w:tcPr>
          <w:p>
            <w:pPr>
              <w:spacing w:after="0"/>
              <w:rPr>
                <w:sz w:val="2"/>
                <w:szCs w:val="2"/>
                <w:color w:val="auto"/>
              </w:rPr>
            </w:pPr>
          </w:p>
        </w:tc>
        <w:tc>
          <w:tcPr>
            <w:tcW w:w="2000" w:type="dxa"/>
            <w:vAlign w:val="bottom"/>
            <w:tcBorders>
              <w:bottom w:val="single" w:sz="8" w:color="auto"/>
              <w:right w:val="single" w:sz="8" w:color="auto"/>
            </w:tcBorders>
          </w:tcPr>
          <w:p>
            <w:pPr>
              <w:spacing w:after="0"/>
              <w:rPr>
                <w:sz w:val="2"/>
                <w:szCs w:val="2"/>
                <w:color w:val="auto"/>
              </w:rPr>
            </w:pPr>
          </w:p>
        </w:tc>
        <w:tc>
          <w:tcPr>
            <w:tcW w:w="2240" w:type="dxa"/>
            <w:vAlign w:val="bottom"/>
            <w:tcBorders>
              <w:bottom w:val="single" w:sz="8" w:color="auto"/>
              <w:right w:val="single" w:sz="8" w:color="auto"/>
            </w:tcBorders>
          </w:tcPr>
          <w:p>
            <w:pPr>
              <w:spacing w:after="0"/>
              <w:rPr>
                <w:sz w:val="2"/>
                <w:szCs w:val="2"/>
                <w:color w:val="auto"/>
              </w:rPr>
            </w:pPr>
          </w:p>
        </w:tc>
        <w:tc>
          <w:tcPr>
            <w:tcW w:w="1620" w:type="dxa"/>
            <w:vAlign w:val="bottom"/>
            <w:tcBorders>
              <w:bottom w:val="single" w:sz="8" w:color="auto"/>
              <w:right w:val="single" w:sz="8" w:color="auto"/>
            </w:tcBorders>
          </w:tcPr>
          <w:p>
            <w:pPr>
              <w:spacing w:after="0"/>
              <w:rPr>
                <w:sz w:val="2"/>
                <w:szCs w:val="2"/>
                <w:color w:val="auto"/>
              </w:rPr>
            </w:pPr>
          </w:p>
        </w:tc>
        <w:tc>
          <w:tcPr>
            <w:tcW w:w="1020" w:type="dxa"/>
            <w:vAlign w:val="bottom"/>
            <w:tcBorders>
              <w:bottom w:val="single" w:sz="8" w:color="auto"/>
              <w:right w:val="single" w:sz="8" w:color="auto"/>
            </w:tcBorders>
          </w:tcPr>
          <w:p>
            <w:pPr>
              <w:spacing w:after="0"/>
              <w:rPr>
                <w:sz w:val="2"/>
                <w:szCs w:val="2"/>
                <w:color w:val="auto"/>
              </w:rPr>
            </w:pPr>
          </w:p>
        </w:tc>
      </w:tr>
      <w:tr>
        <w:trPr>
          <w:trHeight w:val="237"/>
        </w:trPr>
        <w:tc>
          <w:tcPr>
            <w:tcW w:w="45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RIA Payment Institution EP, S.A.U.</w:t>
            </w:r>
          </w:p>
        </w:tc>
        <w:tc>
          <w:tcPr>
            <w:tcW w:w="200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Spain</w:t>
            </w:r>
          </w:p>
        </w:tc>
        <w:tc>
          <w:tcPr>
            <w:tcW w:w="224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0</w:t>
            </w:r>
          </w:p>
        </w:tc>
        <w:tc>
          <w:tcPr>
            <w:tcW w:w="1620" w:type="dxa"/>
            <w:vAlign w:val="bottom"/>
            <w:tcBorders>
              <w:right w:val="single" w:sz="8" w:color="auto"/>
            </w:tcBorders>
          </w:tcPr>
          <w:p>
            <w:pPr>
              <w:jc w:val="right"/>
              <w:ind w:right="30"/>
              <w:spacing w:after="0"/>
              <w:rPr>
                <w:sz w:val="20"/>
                <w:szCs w:val="20"/>
                <w:color w:val="auto"/>
              </w:rPr>
            </w:pPr>
            <w:r>
              <w:rPr>
                <w:rFonts w:ascii="Arial" w:cs="Arial" w:eastAsia="Arial" w:hAnsi="Arial"/>
                <w:sz w:val="18"/>
                <w:szCs w:val="18"/>
                <w:color w:val="auto"/>
              </w:rPr>
              <w:t>0</w:t>
            </w:r>
          </w:p>
        </w:tc>
        <w:tc>
          <w:tcPr>
            <w:tcW w:w="10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1"/>
              </w:rPr>
              <w:t>100%</w:t>
            </w:r>
          </w:p>
        </w:tc>
      </w:tr>
      <w:tr>
        <w:trPr>
          <w:trHeight w:val="27"/>
        </w:trPr>
        <w:tc>
          <w:tcPr>
            <w:tcW w:w="4540" w:type="dxa"/>
            <w:vAlign w:val="bottom"/>
            <w:tcBorders>
              <w:left w:val="single" w:sz="8" w:color="auto"/>
              <w:bottom w:val="single" w:sz="8" w:color="auto"/>
              <w:right w:val="single" w:sz="8" w:color="auto"/>
            </w:tcBorders>
          </w:tcPr>
          <w:p>
            <w:pPr>
              <w:spacing w:after="0"/>
              <w:rPr>
                <w:sz w:val="2"/>
                <w:szCs w:val="2"/>
                <w:color w:val="auto"/>
              </w:rPr>
            </w:pPr>
          </w:p>
        </w:tc>
        <w:tc>
          <w:tcPr>
            <w:tcW w:w="2000" w:type="dxa"/>
            <w:vAlign w:val="bottom"/>
            <w:tcBorders>
              <w:bottom w:val="single" w:sz="8" w:color="auto"/>
              <w:right w:val="single" w:sz="8" w:color="auto"/>
            </w:tcBorders>
          </w:tcPr>
          <w:p>
            <w:pPr>
              <w:spacing w:after="0"/>
              <w:rPr>
                <w:sz w:val="2"/>
                <w:szCs w:val="2"/>
                <w:color w:val="auto"/>
              </w:rPr>
            </w:pPr>
          </w:p>
        </w:tc>
        <w:tc>
          <w:tcPr>
            <w:tcW w:w="2240" w:type="dxa"/>
            <w:vAlign w:val="bottom"/>
            <w:tcBorders>
              <w:bottom w:val="single" w:sz="8" w:color="auto"/>
              <w:right w:val="single" w:sz="8" w:color="auto"/>
            </w:tcBorders>
          </w:tcPr>
          <w:p>
            <w:pPr>
              <w:spacing w:after="0"/>
              <w:rPr>
                <w:sz w:val="2"/>
                <w:szCs w:val="2"/>
                <w:color w:val="auto"/>
              </w:rPr>
            </w:pPr>
          </w:p>
        </w:tc>
        <w:tc>
          <w:tcPr>
            <w:tcW w:w="1620" w:type="dxa"/>
            <w:vAlign w:val="bottom"/>
            <w:tcBorders>
              <w:bottom w:val="single" w:sz="8" w:color="auto"/>
              <w:right w:val="single" w:sz="8" w:color="auto"/>
            </w:tcBorders>
          </w:tcPr>
          <w:p>
            <w:pPr>
              <w:spacing w:after="0"/>
              <w:rPr>
                <w:sz w:val="2"/>
                <w:szCs w:val="2"/>
                <w:color w:val="auto"/>
              </w:rPr>
            </w:pPr>
          </w:p>
        </w:tc>
        <w:tc>
          <w:tcPr>
            <w:tcW w:w="1020" w:type="dxa"/>
            <w:vAlign w:val="bottom"/>
            <w:tcBorders>
              <w:bottom w:val="single" w:sz="8" w:color="auto"/>
              <w:right w:val="single" w:sz="8" w:color="auto"/>
            </w:tcBorders>
          </w:tcPr>
          <w:p>
            <w:pPr>
              <w:spacing w:after="0"/>
              <w:rPr>
                <w:sz w:val="2"/>
                <w:szCs w:val="2"/>
                <w:color w:val="auto"/>
              </w:rPr>
            </w:pPr>
          </w:p>
        </w:tc>
      </w:tr>
      <w:tr>
        <w:trPr>
          <w:trHeight w:val="237"/>
        </w:trPr>
        <w:tc>
          <w:tcPr>
            <w:tcW w:w="45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Delta Euronet GmbH</w:t>
            </w:r>
          </w:p>
        </w:tc>
        <w:tc>
          <w:tcPr>
            <w:tcW w:w="200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Germany</w:t>
            </w:r>
          </w:p>
        </w:tc>
        <w:tc>
          <w:tcPr>
            <w:tcW w:w="224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Common Stock</w:t>
            </w:r>
          </w:p>
        </w:tc>
        <w:tc>
          <w:tcPr>
            <w:tcW w:w="1620" w:type="dxa"/>
            <w:vAlign w:val="bottom"/>
            <w:tcBorders>
              <w:right w:val="single" w:sz="8" w:color="auto"/>
            </w:tcBorders>
          </w:tcPr>
          <w:p>
            <w:pPr>
              <w:jc w:val="right"/>
              <w:ind w:right="30"/>
              <w:spacing w:after="0"/>
              <w:rPr>
                <w:sz w:val="20"/>
                <w:szCs w:val="20"/>
                <w:color w:val="auto"/>
              </w:rPr>
            </w:pPr>
            <w:r>
              <w:rPr>
                <w:rFonts w:ascii="Arial" w:cs="Arial" w:eastAsia="Arial" w:hAnsi="Arial"/>
                <w:sz w:val="18"/>
                <w:szCs w:val="18"/>
                <w:color w:val="auto"/>
              </w:rPr>
              <w:t>1</w:t>
            </w:r>
          </w:p>
        </w:tc>
        <w:tc>
          <w:tcPr>
            <w:tcW w:w="10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1"/>
              </w:rPr>
              <w:t>100%</w:t>
            </w:r>
          </w:p>
        </w:tc>
      </w:tr>
      <w:tr>
        <w:trPr>
          <w:trHeight w:val="27"/>
        </w:trPr>
        <w:tc>
          <w:tcPr>
            <w:tcW w:w="4540" w:type="dxa"/>
            <w:vAlign w:val="bottom"/>
            <w:tcBorders>
              <w:left w:val="single" w:sz="8" w:color="auto"/>
              <w:bottom w:val="single" w:sz="8" w:color="auto"/>
              <w:right w:val="single" w:sz="8" w:color="auto"/>
            </w:tcBorders>
          </w:tcPr>
          <w:p>
            <w:pPr>
              <w:spacing w:after="0"/>
              <w:rPr>
                <w:sz w:val="2"/>
                <w:szCs w:val="2"/>
                <w:color w:val="auto"/>
              </w:rPr>
            </w:pPr>
          </w:p>
        </w:tc>
        <w:tc>
          <w:tcPr>
            <w:tcW w:w="2000" w:type="dxa"/>
            <w:vAlign w:val="bottom"/>
            <w:tcBorders>
              <w:bottom w:val="single" w:sz="8" w:color="auto"/>
              <w:right w:val="single" w:sz="8" w:color="auto"/>
            </w:tcBorders>
          </w:tcPr>
          <w:p>
            <w:pPr>
              <w:spacing w:after="0"/>
              <w:rPr>
                <w:sz w:val="2"/>
                <w:szCs w:val="2"/>
                <w:color w:val="auto"/>
              </w:rPr>
            </w:pPr>
          </w:p>
        </w:tc>
        <w:tc>
          <w:tcPr>
            <w:tcW w:w="2240" w:type="dxa"/>
            <w:vAlign w:val="bottom"/>
            <w:tcBorders>
              <w:bottom w:val="single" w:sz="8" w:color="auto"/>
              <w:right w:val="single" w:sz="8" w:color="auto"/>
            </w:tcBorders>
          </w:tcPr>
          <w:p>
            <w:pPr>
              <w:spacing w:after="0"/>
              <w:rPr>
                <w:sz w:val="2"/>
                <w:szCs w:val="2"/>
                <w:color w:val="auto"/>
              </w:rPr>
            </w:pPr>
          </w:p>
        </w:tc>
        <w:tc>
          <w:tcPr>
            <w:tcW w:w="1620" w:type="dxa"/>
            <w:vAlign w:val="bottom"/>
            <w:tcBorders>
              <w:bottom w:val="single" w:sz="8" w:color="auto"/>
              <w:right w:val="single" w:sz="8" w:color="auto"/>
            </w:tcBorders>
          </w:tcPr>
          <w:p>
            <w:pPr>
              <w:spacing w:after="0"/>
              <w:rPr>
                <w:sz w:val="2"/>
                <w:szCs w:val="2"/>
                <w:color w:val="auto"/>
              </w:rPr>
            </w:pPr>
          </w:p>
        </w:tc>
        <w:tc>
          <w:tcPr>
            <w:tcW w:w="1020" w:type="dxa"/>
            <w:vAlign w:val="bottom"/>
            <w:tcBorders>
              <w:bottom w:val="single" w:sz="8" w:color="auto"/>
              <w:right w:val="single" w:sz="8" w:color="auto"/>
            </w:tcBorders>
          </w:tcPr>
          <w:p>
            <w:pPr>
              <w:spacing w:after="0"/>
              <w:rPr>
                <w:sz w:val="2"/>
                <w:szCs w:val="2"/>
                <w:color w:val="auto"/>
              </w:rPr>
            </w:pPr>
          </w:p>
        </w:tc>
      </w:tr>
      <w:tr>
        <w:trPr>
          <w:trHeight w:val="237"/>
        </w:trPr>
        <w:tc>
          <w:tcPr>
            <w:tcW w:w="45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transact Elektronische Zahlungssysteme GmbH</w:t>
            </w:r>
          </w:p>
        </w:tc>
        <w:tc>
          <w:tcPr>
            <w:tcW w:w="200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Germany</w:t>
            </w:r>
          </w:p>
        </w:tc>
        <w:tc>
          <w:tcPr>
            <w:tcW w:w="224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Common Stock</w:t>
            </w:r>
          </w:p>
        </w:tc>
        <w:tc>
          <w:tcPr>
            <w:tcW w:w="1620" w:type="dxa"/>
            <w:vAlign w:val="bottom"/>
            <w:tcBorders>
              <w:right w:val="single" w:sz="8" w:color="auto"/>
            </w:tcBorders>
          </w:tcPr>
          <w:p>
            <w:pPr>
              <w:jc w:val="right"/>
              <w:ind w:right="30"/>
              <w:spacing w:after="0"/>
              <w:rPr>
                <w:sz w:val="20"/>
                <w:szCs w:val="20"/>
                <w:color w:val="auto"/>
              </w:rPr>
            </w:pPr>
            <w:r>
              <w:rPr>
                <w:rFonts w:ascii="Arial" w:cs="Arial" w:eastAsia="Arial" w:hAnsi="Arial"/>
                <w:sz w:val="18"/>
                <w:szCs w:val="18"/>
                <w:color w:val="auto"/>
              </w:rPr>
              <w:t>125,000</w:t>
            </w:r>
          </w:p>
        </w:tc>
        <w:tc>
          <w:tcPr>
            <w:tcW w:w="10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1"/>
              </w:rPr>
              <w:t>100%</w:t>
            </w:r>
          </w:p>
        </w:tc>
      </w:tr>
      <w:tr>
        <w:trPr>
          <w:trHeight w:val="27"/>
        </w:trPr>
        <w:tc>
          <w:tcPr>
            <w:tcW w:w="4540" w:type="dxa"/>
            <w:vAlign w:val="bottom"/>
            <w:tcBorders>
              <w:left w:val="single" w:sz="8" w:color="auto"/>
              <w:bottom w:val="single" w:sz="8" w:color="auto"/>
              <w:right w:val="single" w:sz="8" w:color="auto"/>
            </w:tcBorders>
          </w:tcPr>
          <w:p>
            <w:pPr>
              <w:spacing w:after="0"/>
              <w:rPr>
                <w:sz w:val="2"/>
                <w:szCs w:val="2"/>
                <w:color w:val="auto"/>
              </w:rPr>
            </w:pPr>
          </w:p>
        </w:tc>
        <w:tc>
          <w:tcPr>
            <w:tcW w:w="2000" w:type="dxa"/>
            <w:vAlign w:val="bottom"/>
            <w:tcBorders>
              <w:bottom w:val="single" w:sz="8" w:color="auto"/>
              <w:right w:val="single" w:sz="8" w:color="auto"/>
            </w:tcBorders>
          </w:tcPr>
          <w:p>
            <w:pPr>
              <w:spacing w:after="0"/>
              <w:rPr>
                <w:sz w:val="2"/>
                <w:szCs w:val="2"/>
                <w:color w:val="auto"/>
              </w:rPr>
            </w:pPr>
          </w:p>
        </w:tc>
        <w:tc>
          <w:tcPr>
            <w:tcW w:w="2240" w:type="dxa"/>
            <w:vAlign w:val="bottom"/>
            <w:tcBorders>
              <w:bottom w:val="single" w:sz="8" w:color="auto"/>
              <w:right w:val="single" w:sz="8" w:color="auto"/>
            </w:tcBorders>
          </w:tcPr>
          <w:p>
            <w:pPr>
              <w:spacing w:after="0"/>
              <w:rPr>
                <w:sz w:val="2"/>
                <w:szCs w:val="2"/>
                <w:color w:val="auto"/>
              </w:rPr>
            </w:pPr>
          </w:p>
        </w:tc>
        <w:tc>
          <w:tcPr>
            <w:tcW w:w="1620" w:type="dxa"/>
            <w:vAlign w:val="bottom"/>
            <w:tcBorders>
              <w:bottom w:val="single" w:sz="8" w:color="auto"/>
              <w:right w:val="single" w:sz="8" w:color="auto"/>
            </w:tcBorders>
          </w:tcPr>
          <w:p>
            <w:pPr>
              <w:spacing w:after="0"/>
              <w:rPr>
                <w:sz w:val="2"/>
                <w:szCs w:val="2"/>
                <w:color w:val="auto"/>
              </w:rPr>
            </w:pPr>
          </w:p>
        </w:tc>
        <w:tc>
          <w:tcPr>
            <w:tcW w:w="1020" w:type="dxa"/>
            <w:vAlign w:val="bottom"/>
            <w:tcBorders>
              <w:bottom w:val="single" w:sz="8" w:color="auto"/>
              <w:right w:val="single" w:sz="8" w:color="auto"/>
            </w:tcBorders>
          </w:tcPr>
          <w:p>
            <w:pPr>
              <w:spacing w:after="0"/>
              <w:rPr>
                <w:sz w:val="2"/>
                <w:szCs w:val="2"/>
                <w:color w:val="auto"/>
              </w:rPr>
            </w:pPr>
          </w:p>
        </w:tc>
      </w:tr>
      <w:tr>
        <w:trPr>
          <w:trHeight w:val="237"/>
        </w:trPr>
        <w:tc>
          <w:tcPr>
            <w:tcW w:w="45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Ria Deutschland GmbH</w:t>
            </w:r>
          </w:p>
        </w:tc>
        <w:tc>
          <w:tcPr>
            <w:tcW w:w="200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Germany</w:t>
            </w:r>
          </w:p>
        </w:tc>
        <w:tc>
          <w:tcPr>
            <w:tcW w:w="224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Common Stock</w:t>
            </w:r>
          </w:p>
        </w:tc>
        <w:tc>
          <w:tcPr>
            <w:tcW w:w="1620" w:type="dxa"/>
            <w:vAlign w:val="bottom"/>
            <w:tcBorders>
              <w:right w:val="single" w:sz="8" w:color="auto"/>
            </w:tcBorders>
          </w:tcPr>
          <w:p>
            <w:pPr>
              <w:jc w:val="right"/>
              <w:ind w:right="30"/>
              <w:spacing w:after="0"/>
              <w:rPr>
                <w:sz w:val="20"/>
                <w:szCs w:val="20"/>
                <w:color w:val="auto"/>
              </w:rPr>
            </w:pPr>
            <w:r>
              <w:rPr>
                <w:rFonts w:ascii="Arial" w:cs="Arial" w:eastAsia="Arial" w:hAnsi="Arial"/>
                <w:sz w:val="18"/>
                <w:szCs w:val="18"/>
                <w:color w:val="auto"/>
              </w:rPr>
              <w:t>25,000</w:t>
            </w:r>
          </w:p>
        </w:tc>
        <w:tc>
          <w:tcPr>
            <w:tcW w:w="10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1"/>
              </w:rPr>
              <w:t>100%</w:t>
            </w:r>
          </w:p>
        </w:tc>
      </w:tr>
      <w:tr>
        <w:trPr>
          <w:trHeight w:val="27"/>
        </w:trPr>
        <w:tc>
          <w:tcPr>
            <w:tcW w:w="4540" w:type="dxa"/>
            <w:vAlign w:val="bottom"/>
            <w:tcBorders>
              <w:left w:val="single" w:sz="8" w:color="auto"/>
              <w:bottom w:val="single" w:sz="8" w:color="auto"/>
              <w:right w:val="single" w:sz="8" w:color="auto"/>
            </w:tcBorders>
          </w:tcPr>
          <w:p>
            <w:pPr>
              <w:spacing w:after="0"/>
              <w:rPr>
                <w:sz w:val="2"/>
                <w:szCs w:val="2"/>
                <w:color w:val="auto"/>
              </w:rPr>
            </w:pPr>
          </w:p>
        </w:tc>
        <w:tc>
          <w:tcPr>
            <w:tcW w:w="2000" w:type="dxa"/>
            <w:vAlign w:val="bottom"/>
            <w:tcBorders>
              <w:bottom w:val="single" w:sz="8" w:color="auto"/>
              <w:right w:val="single" w:sz="8" w:color="auto"/>
            </w:tcBorders>
          </w:tcPr>
          <w:p>
            <w:pPr>
              <w:spacing w:after="0"/>
              <w:rPr>
                <w:sz w:val="2"/>
                <w:szCs w:val="2"/>
                <w:color w:val="auto"/>
              </w:rPr>
            </w:pPr>
          </w:p>
        </w:tc>
        <w:tc>
          <w:tcPr>
            <w:tcW w:w="2240" w:type="dxa"/>
            <w:vAlign w:val="bottom"/>
            <w:tcBorders>
              <w:bottom w:val="single" w:sz="8" w:color="auto"/>
              <w:right w:val="single" w:sz="8" w:color="auto"/>
            </w:tcBorders>
          </w:tcPr>
          <w:p>
            <w:pPr>
              <w:spacing w:after="0"/>
              <w:rPr>
                <w:sz w:val="2"/>
                <w:szCs w:val="2"/>
                <w:color w:val="auto"/>
              </w:rPr>
            </w:pPr>
          </w:p>
        </w:tc>
        <w:tc>
          <w:tcPr>
            <w:tcW w:w="1620" w:type="dxa"/>
            <w:vAlign w:val="bottom"/>
            <w:tcBorders>
              <w:bottom w:val="single" w:sz="8" w:color="auto"/>
              <w:right w:val="single" w:sz="8" w:color="auto"/>
            </w:tcBorders>
          </w:tcPr>
          <w:p>
            <w:pPr>
              <w:spacing w:after="0"/>
              <w:rPr>
                <w:sz w:val="2"/>
                <w:szCs w:val="2"/>
                <w:color w:val="auto"/>
              </w:rPr>
            </w:pPr>
          </w:p>
        </w:tc>
        <w:tc>
          <w:tcPr>
            <w:tcW w:w="1020" w:type="dxa"/>
            <w:vAlign w:val="bottom"/>
            <w:tcBorders>
              <w:bottom w:val="single" w:sz="8" w:color="auto"/>
              <w:right w:val="single" w:sz="8" w:color="auto"/>
            </w:tcBorders>
          </w:tcPr>
          <w:p>
            <w:pPr>
              <w:spacing w:after="0"/>
              <w:rPr>
                <w:sz w:val="2"/>
                <w:szCs w:val="2"/>
                <w:color w:val="auto"/>
              </w:rPr>
            </w:pPr>
          </w:p>
        </w:tc>
      </w:tr>
      <w:tr>
        <w:trPr>
          <w:trHeight w:val="237"/>
        </w:trPr>
        <w:tc>
          <w:tcPr>
            <w:tcW w:w="45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cadooz GmbH</w:t>
            </w:r>
          </w:p>
        </w:tc>
        <w:tc>
          <w:tcPr>
            <w:tcW w:w="200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Germany</w:t>
            </w:r>
          </w:p>
        </w:tc>
        <w:tc>
          <w:tcPr>
            <w:tcW w:w="224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0</w:t>
            </w:r>
          </w:p>
        </w:tc>
        <w:tc>
          <w:tcPr>
            <w:tcW w:w="1620" w:type="dxa"/>
            <w:vAlign w:val="bottom"/>
            <w:tcBorders>
              <w:right w:val="single" w:sz="8" w:color="auto"/>
            </w:tcBorders>
          </w:tcPr>
          <w:p>
            <w:pPr>
              <w:jc w:val="right"/>
              <w:ind w:right="30"/>
              <w:spacing w:after="0"/>
              <w:rPr>
                <w:sz w:val="20"/>
                <w:szCs w:val="20"/>
                <w:color w:val="auto"/>
              </w:rPr>
            </w:pPr>
            <w:r>
              <w:rPr>
                <w:rFonts w:ascii="Arial" w:cs="Arial" w:eastAsia="Arial" w:hAnsi="Arial"/>
                <w:sz w:val="18"/>
                <w:szCs w:val="18"/>
                <w:color w:val="auto"/>
              </w:rPr>
              <w:t>0</w:t>
            </w:r>
          </w:p>
        </w:tc>
        <w:tc>
          <w:tcPr>
            <w:tcW w:w="10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1"/>
              </w:rPr>
              <w:t>100%</w:t>
            </w:r>
          </w:p>
        </w:tc>
      </w:tr>
      <w:tr>
        <w:trPr>
          <w:trHeight w:val="27"/>
        </w:trPr>
        <w:tc>
          <w:tcPr>
            <w:tcW w:w="4540" w:type="dxa"/>
            <w:vAlign w:val="bottom"/>
            <w:tcBorders>
              <w:left w:val="single" w:sz="8" w:color="auto"/>
              <w:bottom w:val="single" w:sz="8" w:color="auto"/>
              <w:right w:val="single" w:sz="8" w:color="auto"/>
            </w:tcBorders>
          </w:tcPr>
          <w:p>
            <w:pPr>
              <w:spacing w:after="0"/>
              <w:rPr>
                <w:sz w:val="2"/>
                <w:szCs w:val="2"/>
                <w:color w:val="auto"/>
              </w:rPr>
            </w:pPr>
          </w:p>
        </w:tc>
        <w:tc>
          <w:tcPr>
            <w:tcW w:w="2000" w:type="dxa"/>
            <w:vAlign w:val="bottom"/>
            <w:tcBorders>
              <w:bottom w:val="single" w:sz="8" w:color="auto"/>
              <w:right w:val="single" w:sz="8" w:color="auto"/>
            </w:tcBorders>
          </w:tcPr>
          <w:p>
            <w:pPr>
              <w:spacing w:after="0"/>
              <w:rPr>
                <w:sz w:val="2"/>
                <w:szCs w:val="2"/>
                <w:color w:val="auto"/>
              </w:rPr>
            </w:pPr>
          </w:p>
        </w:tc>
        <w:tc>
          <w:tcPr>
            <w:tcW w:w="2240" w:type="dxa"/>
            <w:vAlign w:val="bottom"/>
            <w:tcBorders>
              <w:bottom w:val="single" w:sz="8" w:color="auto"/>
              <w:right w:val="single" w:sz="8" w:color="auto"/>
            </w:tcBorders>
          </w:tcPr>
          <w:p>
            <w:pPr>
              <w:spacing w:after="0"/>
              <w:rPr>
                <w:sz w:val="2"/>
                <w:szCs w:val="2"/>
                <w:color w:val="auto"/>
              </w:rPr>
            </w:pPr>
          </w:p>
        </w:tc>
        <w:tc>
          <w:tcPr>
            <w:tcW w:w="1620" w:type="dxa"/>
            <w:vAlign w:val="bottom"/>
            <w:tcBorders>
              <w:bottom w:val="single" w:sz="8" w:color="auto"/>
              <w:right w:val="single" w:sz="8" w:color="auto"/>
            </w:tcBorders>
          </w:tcPr>
          <w:p>
            <w:pPr>
              <w:spacing w:after="0"/>
              <w:rPr>
                <w:sz w:val="2"/>
                <w:szCs w:val="2"/>
                <w:color w:val="auto"/>
              </w:rPr>
            </w:pPr>
          </w:p>
        </w:tc>
        <w:tc>
          <w:tcPr>
            <w:tcW w:w="1020" w:type="dxa"/>
            <w:vAlign w:val="bottom"/>
            <w:tcBorders>
              <w:bottom w:val="single" w:sz="8" w:color="auto"/>
              <w:right w:val="single" w:sz="8" w:color="auto"/>
            </w:tcBorders>
          </w:tcPr>
          <w:p>
            <w:pPr>
              <w:spacing w:after="0"/>
              <w:rPr>
                <w:sz w:val="2"/>
                <w:szCs w:val="2"/>
                <w:color w:val="auto"/>
              </w:rPr>
            </w:pPr>
          </w:p>
        </w:tc>
      </w:tr>
      <w:tr>
        <w:trPr>
          <w:trHeight w:val="237"/>
        </w:trPr>
        <w:tc>
          <w:tcPr>
            <w:tcW w:w="45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cadooz rewards GmbH</w:t>
            </w:r>
          </w:p>
        </w:tc>
        <w:tc>
          <w:tcPr>
            <w:tcW w:w="200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Germany</w:t>
            </w:r>
          </w:p>
        </w:tc>
        <w:tc>
          <w:tcPr>
            <w:tcW w:w="224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0</w:t>
            </w:r>
          </w:p>
        </w:tc>
        <w:tc>
          <w:tcPr>
            <w:tcW w:w="1620" w:type="dxa"/>
            <w:vAlign w:val="bottom"/>
            <w:tcBorders>
              <w:right w:val="single" w:sz="8" w:color="auto"/>
            </w:tcBorders>
          </w:tcPr>
          <w:p>
            <w:pPr>
              <w:jc w:val="right"/>
              <w:ind w:right="30"/>
              <w:spacing w:after="0"/>
              <w:rPr>
                <w:sz w:val="20"/>
                <w:szCs w:val="20"/>
                <w:color w:val="auto"/>
              </w:rPr>
            </w:pPr>
            <w:r>
              <w:rPr>
                <w:rFonts w:ascii="Arial" w:cs="Arial" w:eastAsia="Arial" w:hAnsi="Arial"/>
                <w:sz w:val="18"/>
                <w:szCs w:val="18"/>
                <w:color w:val="auto"/>
              </w:rPr>
              <w:t>0</w:t>
            </w:r>
          </w:p>
        </w:tc>
        <w:tc>
          <w:tcPr>
            <w:tcW w:w="10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1"/>
              </w:rPr>
              <w:t>100%</w:t>
            </w:r>
          </w:p>
        </w:tc>
      </w:tr>
      <w:tr>
        <w:trPr>
          <w:trHeight w:val="27"/>
        </w:trPr>
        <w:tc>
          <w:tcPr>
            <w:tcW w:w="4540" w:type="dxa"/>
            <w:vAlign w:val="bottom"/>
            <w:tcBorders>
              <w:left w:val="single" w:sz="8" w:color="auto"/>
              <w:bottom w:val="single" w:sz="8" w:color="auto"/>
              <w:right w:val="single" w:sz="8" w:color="auto"/>
            </w:tcBorders>
          </w:tcPr>
          <w:p>
            <w:pPr>
              <w:spacing w:after="0"/>
              <w:rPr>
                <w:sz w:val="2"/>
                <w:szCs w:val="2"/>
                <w:color w:val="auto"/>
              </w:rPr>
            </w:pPr>
          </w:p>
        </w:tc>
        <w:tc>
          <w:tcPr>
            <w:tcW w:w="2000" w:type="dxa"/>
            <w:vAlign w:val="bottom"/>
            <w:tcBorders>
              <w:bottom w:val="single" w:sz="8" w:color="auto"/>
              <w:right w:val="single" w:sz="8" w:color="auto"/>
            </w:tcBorders>
          </w:tcPr>
          <w:p>
            <w:pPr>
              <w:spacing w:after="0"/>
              <w:rPr>
                <w:sz w:val="2"/>
                <w:szCs w:val="2"/>
                <w:color w:val="auto"/>
              </w:rPr>
            </w:pPr>
          </w:p>
        </w:tc>
        <w:tc>
          <w:tcPr>
            <w:tcW w:w="2240" w:type="dxa"/>
            <w:vAlign w:val="bottom"/>
            <w:tcBorders>
              <w:bottom w:val="single" w:sz="8" w:color="auto"/>
              <w:right w:val="single" w:sz="8" w:color="auto"/>
            </w:tcBorders>
          </w:tcPr>
          <w:p>
            <w:pPr>
              <w:spacing w:after="0"/>
              <w:rPr>
                <w:sz w:val="2"/>
                <w:szCs w:val="2"/>
                <w:color w:val="auto"/>
              </w:rPr>
            </w:pPr>
          </w:p>
        </w:tc>
        <w:tc>
          <w:tcPr>
            <w:tcW w:w="1620" w:type="dxa"/>
            <w:vAlign w:val="bottom"/>
            <w:tcBorders>
              <w:bottom w:val="single" w:sz="8" w:color="auto"/>
              <w:right w:val="single" w:sz="8" w:color="auto"/>
            </w:tcBorders>
          </w:tcPr>
          <w:p>
            <w:pPr>
              <w:spacing w:after="0"/>
              <w:rPr>
                <w:sz w:val="2"/>
                <w:szCs w:val="2"/>
                <w:color w:val="auto"/>
              </w:rPr>
            </w:pPr>
          </w:p>
        </w:tc>
        <w:tc>
          <w:tcPr>
            <w:tcW w:w="1020" w:type="dxa"/>
            <w:vAlign w:val="bottom"/>
            <w:tcBorders>
              <w:bottom w:val="single" w:sz="8" w:color="auto"/>
              <w:right w:val="single" w:sz="8" w:color="auto"/>
            </w:tcBorders>
          </w:tcPr>
          <w:p>
            <w:pPr>
              <w:spacing w:after="0"/>
              <w:rPr>
                <w:sz w:val="2"/>
                <w:szCs w:val="2"/>
                <w:color w:val="auto"/>
              </w:rPr>
            </w:pPr>
          </w:p>
        </w:tc>
      </w:tr>
      <w:tr>
        <w:trPr>
          <w:trHeight w:val="237"/>
        </w:trPr>
        <w:tc>
          <w:tcPr>
            <w:tcW w:w="45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cadooz GmbH</w:t>
            </w:r>
          </w:p>
        </w:tc>
        <w:tc>
          <w:tcPr>
            <w:tcW w:w="200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Austria</w:t>
            </w:r>
          </w:p>
        </w:tc>
        <w:tc>
          <w:tcPr>
            <w:tcW w:w="224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0</w:t>
            </w:r>
          </w:p>
        </w:tc>
        <w:tc>
          <w:tcPr>
            <w:tcW w:w="1620" w:type="dxa"/>
            <w:vAlign w:val="bottom"/>
            <w:tcBorders>
              <w:right w:val="single" w:sz="8" w:color="auto"/>
            </w:tcBorders>
          </w:tcPr>
          <w:p>
            <w:pPr>
              <w:jc w:val="right"/>
              <w:ind w:right="30"/>
              <w:spacing w:after="0"/>
              <w:rPr>
                <w:sz w:val="20"/>
                <w:szCs w:val="20"/>
                <w:color w:val="auto"/>
              </w:rPr>
            </w:pPr>
            <w:r>
              <w:rPr>
                <w:rFonts w:ascii="Arial" w:cs="Arial" w:eastAsia="Arial" w:hAnsi="Arial"/>
                <w:sz w:val="18"/>
                <w:szCs w:val="18"/>
                <w:color w:val="auto"/>
              </w:rPr>
              <w:t>0</w:t>
            </w:r>
          </w:p>
        </w:tc>
        <w:tc>
          <w:tcPr>
            <w:tcW w:w="10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1"/>
              </w:rPr>
              <w:t>100%</w:t>
            </w:r>
          </w:p>
        </w:tc>
      </w:tr>
      <w:tr>
        <w:trPr>
          <w:trHeight w:val="27"/>
        </w:trPr>
        <w:tc>
          <w:tcPr>
            <w:tcW w:w="4540" w:type="dxa"/>
            <w:vAlign w:val="bottom"/>
            <w:tcBorders>
              <w:left w:val="single" w:sz="8" w:color="auto"/>
              <w:bottom w:val="single" w:sz="8" w:color="auto"/>
              <w:right w:val="single" w:sz="8" w:color="auto"/>
            </w:tcBorders>
          </w:tcPr>
          <w:p>
            <w:pPr>
              <w:spacing w:after="0"/>
              <w:rPr>
                <w:sz w:val="2"/>
                <w:szCs w:val="2"/>
                <w:color w:val="auto"/>
              </w:rPr>
            </w:pPr>
          </w:p>
        </w:tc>
        <w:tc>
          <w:tcPr>
            <w:tcW w:w="2000" w:type="dxa"/>
            <w:vAlign w:val="bottom"/>
            <w:tcBorders>
              <w:bottom w:val="single" w:sz="8" w:color="auto"/>
              <w:right w:val="single" w:sz="8" w:color="auto"/>
            </w:tcBorders>
          </w:tcPr>
          <w:p>
            <w:pPr>
              <w:spacing w:after="0"/>
              <w:rPr>
                <w:sz w:val="2"/>
                <w:szCs w:val="2"/>
                <w:color w:val="auto"/>
              </w:rPr>
            </w:pPr>
          </w:p>
        </w:tc>
        <w:tc>
          <w:tcPr>
            <w:tcW w:w="2240" w:type="dxa"/>
            <w:vAlign w:val="bottom"/>
            <w:tcBorders>
              <w:bottom w:val="single" w:sz="8" w:color="auto"/>
              <w:right w:val="single" w:sz="8" w:color="auto"/>
            </w:tcBorders>
          </w:tcPr>
          <w:p>
            <w:pPr>
              <w:spacing w:after="0"/>
              <w:rPr>
                <w:sz w:val="2"/>
                <w:szCs w:val="2"/>
                <w:color w:val="auto"/>
              </w:rPr>
            </w:pPr>
          </w:p>
        </w:tc>
        <w:tc>
          <w:tcPr>
            <w:tcW w:w="1620" w:type="dxa"/>
            <w:vAlign w:val="bottom"/>
            <w:tcBorders>
              <w:bottom w:val="single" w:sz="8" w:color="auto"/>
              <w:right w:val="single" w:sz="8" w:color="auto"/>
            </w:tcBorders>
          </w:tcPr>
          <w:p>
            <w:pPr>
              <w:spacing w:after="0"/>
              <w:rPr>
                <w:sz w:val="2"/>
                <w:szCs w:val="2"/>
                <w:color w:val="auto"/>
              </w:rPr>
            </w:pPr>
          </w:p>
        </w:tc>
        <w:tc>
          <w:tcPr>
            <w:tcW w:w="1020" w:type="dxa"/>
            <w:vAlign w:val="bottom"/>
            <w:tcBorders>
              <w:bottom w:val="single" w:sz="8" w:color="auto"/>
              <w:right w:val="single" w:sz="8" w:color="auto"/>
            </w:tcBorders>
          </w:tcPr>
          <w:p>
            <w:pPr>
              <w:spacing w:after="0"/>
              <w:rPr>
                <w:sz w:val="2"/>
                <w:szCs w:val="2"/>
                <w:color w:val="auto"/>
              </w:rPr>
            </w:pPr>
          </w:p>
        </w:tc>
      </w:tr>
      <w:tr>
        <w:trPr>
          <w:trHeight w:val="237"/>
        </w:trPr>
        <w:tc>
          <w:tcPr>
            <w:tcW w:w="45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ATX Middle East FZC</w:t>
            </w:r>
          </w:p>
        </w:tc>
        <w:tc>
          <w:tcPr>
            <w:tcW w:w="200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United Arab Emirates</w:t>
            </w:r>
          </w:p>
        </w:tc>
        <w:tc>
          <w:tcPr>
            <w:tcW w:w="224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Common Stock</w:t>
            </w:r>
          </w:p>
        </w:tc>
        <w:tc>
          <w:tcPr>
            <w:tcW w:w="1620" w:type="dxa"/>
            <w:vAlign w:val="bottom"/>
            <w:tcBorders>
              <w:right w:val="single" w:sz="8" w:color="auto"/>
            </w:tcBorders>
          </w:tcPr>
          <w:p>
            <w:pPr>
              <w:jc w:val="right"/>
              <w:ind w:right="30"/>
              <w:spacing w:after="0"/>
              <w:rPr>
                <w:sz w:val="20"/>
                <w:szCs w:val="20"/>
                <w:color w:val="auto"/>
              </w:rPr>
            </w:pPr>
            <w:r>
              <w:rPr>
                <w:rFonts w:ascii="Arial" w:cs="Arial" w:eastAsia="Arial" w:hAnsi="Arial"/>
                <w:sz w:val="18"/>
                <w:szCs w:val="18"/>
                <w:color w:val="auto"/>
              </w:rPr>
              <w:t>765</w:t>
            </w:r>
          </w:p>
        </w:tc>
        <w:tc>
          <w:tcPr>
            <w:tcW w:w="10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4"/>
              </w:rPr>
              <w:t>51%</w:t>
            </w:r>
          </w:p>
        </w:tc>
      </w:tr>
      <w:tr>
        <w:trPr>
          <w:trHeight w:val="27"/>
        </w:trPr>
        <w:tc>
          <w:tcPr>
            <w:tcW w:w="4540" w:type="dxa"/>
            <w:vAlign w:val="bottom"/>
            <w:tcBorders>
              <w:left w:val="single" w:sz="8" w:color="auto"/>
              <w:bottom w:val="single" w:sz="8" w:color="auto"/>
              <w:right w:val="single" w:sz="8" w:color="auto"/>
            </w:tcBorders>
          </w:tcPr>
          <w:p>
            <w:pPr>
              <w:spacing w:after="0"/>
              <w:rPr>
                <w:sz w:val="2"/>
                <w:szCs w:val="2"/>
                <w:color w:val="auto"/>
              </w:rPr>
            </w:pPr>
          </w:p>
        </w:tc>
        <w:tc>
          <w:tcPr>
            <w:tcW w:w="2000" w:type="dxa"/>
            <w:vAlign w:val="bottom"/>
            <w:tcBorders>
              <w:bottom w:val="single" w:sz="8" w:color="auto"/>
              <w:right w:val="single" w:sz="8" w:color="auto"/>
            </w:tcBorders>
          </w:tcPr>
          <w:p>
            <w:pPr>
              <w:spacing w:after="0"/>
              <w:rPr>
                <w:sz w:val="2"/>
                <w:szCs w:val="2"/>
                <w:color w:val="auto"/>
              </w:rPr>
            </w:pPr>
          </w:p>
        </w:tc>
        <w:tc>
          <w:tcPr>
            <w:tcW w:w="2240" w:type="dxa"/>
            <w:vAlign w:val="bottom"/>
            <w:tcBorders>
              <w:bottom w:val="single" w:sz="8" w:color="auto"/>
              <w:right w:val="single" w:sz="8" w:color="auto"/>
            </w:tcBorders>
          </w:tcPr>
          <w:p>
            <w:pPr>
              <w:spacing w:after="0"/>
              <w:rPr>
                <w:sz w:val="2"/>
                <w:szCs w:val="2"/>
                <w:color w:val="auto"/>
              </w:rPr>
            </w:pPr>
          </w:p>
        </w:tc>
        <w:tc>
          <w:tcPr>
            <w:tcW w:w="1620" w:type="dxa"/>
            <w:vAlign w:val="bottom"/>
            <w:tcBorders>
              <w:bottom w:val="single" w:sz="8" w:color="auto"/>
              <w:right w:val="single" w:sz="8" w:color="auto"/>
            </w:tcBorders>
          </w:tcPr>
          <w:p>
            <w:pPr>
              <w:spacing w:after="0"/>
              <w:rPr>
                <w:sz w:val="2"/>
                <w:szCs w:val="2"/>
                <w:color w:val="auto"/>
              </w:rPr>
            </w:pPr>
          </w:p>
        </w:tc>
        <w:tc>
          <w:tcPr>
            <w:tcW w:w="1020" w:type="dxa"/>
            <w:vAlign w:val="bottom"/>
            <w:tcBorders>
              <w:bottom w:val="single" w:sz="8" w:color="auto"/>
              <w:right w:val="single" w:sz="8" w:color="auto"/>
            </w:tcBorders>
          </w:tcPr>
          <w:p>
            <w:pPr>
              <w:spacing w:after="0"/>
              <w:rPr>
                <w:sz w:val="2"/>
                <w:szCs w:val="2"/>
                <w:color w:val="auto"/>
              </w:rPr>
            </w:pPr>
          </w:p>
        </w:tc>
      </w:tr>
      <w:tr>
        <w:trPr>
          <w:trHeight w:val="237"/>
        </w:trPr>
        <w:tc>
          <w:tcPr>
            <w:tcW w:w="45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e-pay Holdings Ltd</w:t>
            </w:r>
          </w:p>
        </w:tc>
        <w:tc>
          <w:tcPr>
            <w:tcW w:w="200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United Kingdom</w:t>
            </w:r>
          </w:p>
        </w:tc>
        <w:tc>
          <w:tcPr>
            <w:tcW w:w="224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Common Stock</w:t>
            </w:r>
          </w:p>
        </w:tc>
        <w:tc>
          <w:tcPr>
            <w:tcW w:w="1620" w:type="dxa"/>
            <w:vAlign w:val="bottom"/>
            <w:tcBorders>
              <w:right w:val="single" w:sz="8" w:color="auto"/>
            </w:tcBorders>
          </w:tcPr>
          <w:p>
            <w:pPr>
              <w:jc w:val="right"/>
              <w:ind w:right="30"/>
              <w:spacing w:after="0"/>
              <w:rPr>
                <w:sz w:val="20"/>
                <w:szCs w:val="20"/>
                <w:color w:val="auto"/>
              </w:rPr>
            </w:pPr>
            <w:r>
              <w:rPr>
                <w:rFonts w:ascii="Arial" w:cs="Arial" w:eastAsia="Arial" w:hAnsi="Arial"/>
                <w:sz w:val="18"/>
                <w:szCs w:val="18"/>
                <w:color w:val="auto"/>
              </w:rPr>
              <w:t>1,000</w:t>
            </w:r>
          </w:p>
        </w:tc>
        <w:tc>
          <w:tcPr>
            <w:tcW w:w="10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1"/>
              </w:rPr>
              <w:t>100%</w:t>
            </w:r>
          </w:p>
        </w:tc>
      </w:tr>
      <w:tr>
        <w:trPr>
          <w:trHeight w:val="27"/>
        </w:trPr>
        <w:tc>
          <w:tcPr>
            <w:tcW w:w="4540" w:type="dxa"/>
            <w:vAlign w:val="bottom"/>
            <w:tcBorders>
              <w:left w:val="single" w:sz="8" w:color="auto"/>
              <w:bottom w:val="single" w:sz="8" w:color="auto"/>
              <w:right w:val="single" w:sz="8" w:color="auto"/>
            </w:tcBorders>
          </w:tcPr>
          <w:p>
            <w:pPr>
              <w:spacing w:after="0"/>
              <w:rPr>
                <w:sz w:val="2"/>
                <w:szCs w:val="2"/>
                <w:color w:val="auto"/>
              </w:rPr>
            </w:pPr>
          </w:p>
        </w:tc>
        <w:tc>
          <w:tcPr>
            <w:tcW w:w="2000" w:type="dxa"/>
            <w:vAlign w:val="bottom"/>
            <w:tcBorders>
              <w:bottom w:val="single" w:sz="8" w:color="auto"/>
              <w:right w:val="single" w:sz="8" w:color="auto"/>
            </w:tcBorders>
          </w:tcPr>
          <w:p>
            <w:pPr>
              <w:spacing w:after="0"/>
              <w:rPr>
                <w:sz w:val="2"/>
                <w:szCs w:val="2"/>
                <w:color w:val="auto"/>
              </w:rPr>
            </w:pPr>
          </w:p>
        </w:tc>
        <w:tc>
          <w:tcPr>
            <w:tcW w:w="2240" w:type="dxa"/>
            <w:vAlign w:val="bottom"/>
            <w:tcBorders>
              <w:bottom w:val="single" w:sz="8" w:color="auto"/>
              <w:right w:val="single" w:sz="8" w:color="auto"/>
            </w:tcBorders>
          </w:tcPr>
          <w:p>
            <w:pPr>
              <w:spacing w:after="0"/>
              <w:rPr>
                <w:sz w:val="2"/>
                <w:szCs w:val="2"/>
                <w:color w:val="auto"/>
              </w:rPr>
            </w:pPr>
          </w:p>
        </w:tc>
        <w:tc>
          <w:tcPr>
            <w:tcW w:w="1620" w:type="dxa"/>
            <w:vAlign w:val="bottom"/>
            <w:tcBorders>
              <w:bottom w:val="single" w:sz="8" w:color="auto"/>
              <w:right w:val="single" w:sz="8" w:color="auto"/>
            </w:tcBorders>
          </w:tcPr>
          <w:p>
            <w:pPr>
              <w:spacing w:after="0"/>
              <w:rPr>
                <w:sz w:val="2"/>
                <w:szCs w:val="2"/>
                <w:color w:val="auto"/>
              </w:rPr>
            </w:pPr>
          </w:p>
        </w:tc>
        <w:tc>
          <w:tcPr>
            <w:tcW w:w="1020" w:type="dxa"/>
            <w:vAlign w:val="bottom"/>
            <w:tcBorders>
              <w:bottom w:val="single" w:sz="8" w:color="auto"/>
              <w:right w:val="single" w:sz="8" w:color="auto"/>
            </w:tcBorders>
          </w:tcPr>
          <w:p>
            <w:pPr>
              <w:spacing w:after="0"/>
              <w:rPr>
                <w:sz w:val="2"/>
                <w:szCs w:val="2"/>
                <w:color w:val="auto"/>
              </w:rPr>
            </w:pPr>
          </w:p>
        </w:tc>
      </w:tr>
    </w:tbl>
    <w:p>
      <w:pPr>
        <w:sectPr>
          <w:pgSz w:w="11900" w:h="16838" w:orient="portrait"/>
          <w:cols w:equalWidth="0" w:num="1">
            <w:col w:w="11420"/>
          </w:cols>
          <w:pgMar w:left="260" w:top="1170" w:right="219" w:bottom="1440" w:gutter="0" w:footer="0" w:header="0"/>
        </w:sectPr>
      </w:pPr>
    </w:p>
    <w:bookmarkStart w:id="267" w:name="page268"/>
    <w:bookmarkEnd w:id="267"/>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57"/>
        </w:trPr>
        <w:tc>
          <w:tcPr>
            <w:tcW w:w="4560" w:type="dxa"/>
            <w:vAlign w:val="bottom"/>
            <w:tcBorders>
              <w:top w:val="single" w:sz="8" w:color="auto"/>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Euronet Software UK Ltd</w:t>
            </w:r>
          </w:p>
        </w:tc>
        <w:tc>
          <w:tcPr>
            <w:tcW w:w="200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United Kingdom</w:t>
            </w:r>
          </w:p>
        </w:tc>
        <w:tc>
          <w:tcPr>
            <w:tcW w:w="222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Common Stock</w:t>
            </w:r>
          </w:p>
        </w:tc>
        <w:tc>
          <w:tcPr>
            <w:tcW w:w="1640" w:type="dxa"/>
            <w:vAlign w:val="bottom"/>
            <w:tcBorders>
              <w:top w:val="single" w:sz="8" w:color="auto"/>
              <w:right w:val="single" w:sz="8" w:color="auto"/>
            </w:tcBorders>
          </w:tcPr>
          <w:p>
            <w:pPr>
              <w:jc w:val="right"/>
              <w:ind w:right="50"/>
              <w:spacing w:after="0"/>
              <w:rPr>
                <w:sz w:val="20"/>
                <w:szCs w:val="20"/>
                <w:color w:val="auto"/>
              </w:rPr>
            </w:pPr>
            <w:r>
              <w:rPr>
                <w:rFonts w:ascii="Arial" w:cs="Arial" w:eastAsia="Arial" w:hAnsi="Arial"/>
                <w:sz w:val="18"/>
                <w:szCs w:val="18"/>
                <w:color w:val="auto"/>
              </w:rPr>
              <w:t>1</w:t>
            </w:r>
          </w:p>
        </w:tc>
        <w:tc>
          <w:tcPr>
            <w:tcW w:w="100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100%</w:t>
            </w:r>
          </w:p>
        </w:tc>
      </w:tr>
      <w:tr>
        <w:trPr>
          <w:trHeight w:val="27"/>
        </w:trPr>
        <w:tc>
          <w:tcPr>
            <w:tcW w:w="4560" w:type="dxa"/>
            <w:vAlign w:val="bottom"/>
            <w:tcBorders>
              <w:left w:val="single" w:sz="8" w:color="auto"/>
              <w:bottom w:val="single" w:sz="8" w:color="auto"/>
              <w:right w:val="single" w:sz="8" w:color="auto"/>
            </w:tcBorders>
          </w:tcPr>
          <w:p>
            <w:pPr>
              <w:spacing w:after="0"/>
              <w:rPr>
                <w:sz w:val="2"/>
                <w:szCs w:val="2"/>
                <w:color w:val="auto"/>
              </w:rPr>
            </w:pPr>
          </w:p>
        </w:tc>
        <w:tc>
          <w:tcPr>
            <w:tcW w:w="2000" w:type="dxa"/>
            <w:vAlign w:val="bottom"/>
            <w:tcBorders>
              <w:bottom w:val="single" w:sz="8" w:color="auto"/>
              <w:right w:val="single" w:sz="8" w:color="auto"/>
            </w:tcBorders>
          </w:tcPr>
          <w:p>
            <w:pPr>
              <w:spacing w:after="0"/>
              <w:rPr>
                <w:sz w:val="2"/>
                <w:szCs w:val="2"/>
                <w:color w:val="auto"/>
              </w:rPr>
            </w:pPr>
          </w:p>
        </w:tc>
        <w:tc>
          <w:tcPr>
            <w:tcW w:w="2220" w:type="dxa"/>
            <w:vAlign w:val="bottom"/>
            <w:tcBorders>
              <w:bottom w:val="single" w:sz="8" w:color="auto"/>
              <w:right w:val="single" w:sz="8" w:color="auto"/>
            </w:tcBorders>
          </w:tcPr>
          <w:p>
            <w:pPr>
              <w:spacing w:after="0"/>
              <w:rPr>
                <w:sz w:val="2"/>
                <w:szCs w:val="2"/>
                <w:color w:val="auto"/>
              </w:rPr>
            </w:pPr>
          </w:p>
        </w:tc>
        <w:tc>
          <w:tcPr>
            <w:tcW w:w="1640" w:type="dxa"/>
            <w:vAlign w:val="bottom"/>
            <w:tcBorders>
              <w:bottom w:val="single" w:sz="8" w:color="auto"/>
              <w:right w:val="single" w:sz="8" w:color="auto"/>
            </w:tcBorders>
          </w:tcPr>
          <w:p>
            <w:pPr>
              <w:spacing w:after="0"/>
              <w:rPr>
                <w:sz w:val="2"/>
                <w:szCs w:val="2"/>
                <w:color w:val="auto"/>
              </w:rPr>
            </w:pPr>
          </w:p>
        </w:tc>
        <w:tc>
          <w:tcPr>
            <w:tcW w:w="1000" w:type="dxa"/>
            <w:vAlign w:val="bottom"/>
            <w:tcBorders>
              <w:bottom w:val="single" w:sz="8" w:color="auto"/>
              <w:right w:val="single" w:sz="8" w:color="auto"/>
            </w:tcBorders>
          </w:tcPr>
          <w:p>
            <w:pPr>
              <w:spacing w:after="0"/>
              <w:rPr>
                <w:sz w:val="2"/>
                <w:szCs w:val="2"/>
                <w:color w:val="auto"/>
              </w:rPr>
            </w:pPr>
          </w:p>
        </w:tc>
      </w:tr>
      <w:tr>
        <w:trPr>
          <w:trHeight w:val="237"/>
        </w:trPr>
        <w:tc>
          <w:tcPr>
            <w:tcW w:w="456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epay Ltd</w:t>
            </w:r>
          </w:p>
        </w:tc>
        <w:tc>
          <w:tcPr>
            <w:tcW w:w="20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United Kingdom</w:t>
            </w:r>
          </w:p>
        </w:tc>
        <w:tc>
          <w:tcPr>
            <w:tcW w:w="22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Common Stock</w:t>
            </w:r>
          </w:p>
        </w:tc>
        <w:tc>
          <w:tcPr>
            <w:tcW w:w="1640" w:type="dxa"/>
            <w:vAlign w:val="bottom"/>
            <w:tcBorders>
              <w:right w:val="single" w:sz="8" w:color="auto"/>
            </w:tcBorders>
          </w:tcPr>
          <w:p>
            <w:pPr>
              <w:jc w:val="right"/>
              <w:ind w:right="50"/>
              <w:spacing w:after="0"/>
              <w:rPr>
                <w:sz w:val="20"/>
                <w:szCs w:val="20"/>
                <w:color w:val="auto"/>
              </w:rPr>
            </w:pPr>
            <w:r>
              <w:rPr>
                <w:rFonts w:ascii="Arial" w:cs="Arial" w:eastAsia="Arial" w:hAnsi="Arial"/>
                <w:sz w:val="18"/>
                <w:szCs w:val="18"/>
                <w:color w:val="auto"/>
              </w:rPr>
              <w:t>738,227</w:t>
            </w:r>
          </w:p>
        </w:tc>
        <w:tc>
          <w:tcPr>
            <w:tcW w:w="10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1"/>
              </w:rPr>
              <w:t>100%</w:t>
            </w:r>
          </w:p>
        </w:tc>
      </w:tr>
      <w:tr>
        <w:trPr>
          <w:trHeight w:val="27"/>
        </w:trPr>
        <w:tc>
          <w:tcPr>
            <w:tcW w:w="4560" w:type="dxa"/>
            <w:vAlign w:val="bottom"/>
            <w:tcBorders>
              <w:left w:val="single" w:sz="8" w:color="auto"/>
              <w:bottom w:val="single" w:sz="8" w:color="auto"/>
              <w:right w:val="single" w:sz="8" w:color="auto"/>
            </w:tcBorders>
          </w:tcPr>
          <w:p>
            <w:pPr>
              <w:spacing w:after="0"/>
              <w:rPr>
                <w:sz w:val="2"/>
                <w:szCs w:val="2"/>
                <w:color w:val="auto"/>
              </w:rPr>
            </w:pPr>
          </w:p>
        </w:tc>
        <w:tc>
          <w:tcPr>
            <w:tcW w:w="2000" w:type="dxa"/>
            <w:vAlign w:val="bottom"/>
            <w:tcBorders>
              <w:bottom w:val="single" w:sz="8" w:color="auto"/>
              <w:right w:val="single" w:sz="8" w:color="auto"/>
            </w:tcBorders>
          </w:tcPr>
          <w:p>
            <w:pPr>
              <w:spacing w:after="0"/>
              <w:rPr>
                <w:sz w:val="2"/>
                <w:szCs w:val="2"/>
                <w:color w:val="auto"/>
              </w:rPr>
            </w:pPr>
          </w:p>
        </w:tc>
        <w:tc>
          <w:tcPr>
            <w:tcW w:w="2220" w:type="dxa"/>
            <w:vAlign w:val="bottom"/>
            <w:tcBorders>
              <w:bottom w:val="single" w:sz="8" w:color="auto"/>
              <w:right w:val="single" w:sz="8" w:color="auto"/>
            </w:tcBorders>
          </w:tcPr>
          <w:p>
            <w:pPr>
              <w:spacing w:after="0"/>
              <w:rPr>
                <w:sz w:val="2"/>
                <w:szCs w:val="2"/>
                <w:color w:val="auto"/>
              </w:rPr>
            </w:pPr>
          </w:p>
        </w:tc>
        <w:tc>
          <w:tcPr>
            <w:tcW w:w="1640" w:type="dxa"/>
            <w:vAlign w:val="bottom"/>
            <w:tcBorders>
              <w:bottom w:val="single" w:sz="8" w:color="auto"/>
              <w:right w:val="single" w:sz="8" w:color="auto"/>
            </w:tcBorders>
          </w:tcPr>
          <w:p>
            <w:pPr>
              <w:spacing w:after="0"/>
              <w:rPr>
                <w:sz w:val="2"/>
                <w:szCs w:val="2"/>
                <w:color w:val="auto"/>
              </w:rPr>
            </w:pPr>
          </w:p>
        </w:tc>
        <w:tc>
          <w:tcPr>
            <w:tcW w:w="1000" w:type="dxa"/>
            <w:vAlign w:val="bottom"/>
            <w:tcBorders>
              <w:bottom w:val="single" w:sz="8" w:color="auto"/>
              <w:right w:val="single" w:sz="8" w:color="auto"/>
            </w:tcBorders>
          </w:tcPr>
          <w:p>
            <w:pPr>
              <w:spacing w:after="0"/>
              <w:rPr>
                <w:sz w:val="2"/>
                <w:szCs w:val="2"/>
                <w:color w:val="auto"/>
              </w:rPr>
            </w:pPr>
          </w:p>
        </w:tc>
      </w:tr>
      <w:tr>
        <w:trPr>
          <w:trHeight w:val="237"/>
        </w:trPr>
        <w:tc>
          <w:tcPr>
            <w:tcW w:w="456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Omega Logic Ltd</w:t>
            </w:r>
          </w:p>
        </w:tc>
        <w:tc>
          <w:tcPr>
            <w:tcW w:w="20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United Kingdom</w:t>
            </w:r>
          </w:p>
        </w:tc>
        <w:tc>
          <w:tcPr>
            <w:tcW w:w="22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Common Stock</w:t>
            </w:r>
          </w:p>
        </w:tc>
        <w:tc>
          <w:tcPr>
            <w:tcW w:w="1640" w:type="dxa"/>
            <w:vAlign w:val="bottom"/>
            <w:tcBorders>
              <w:right w:val="single" w:sz="8" w:color="auto"/>
            </w:tcBorders>
          </w:tcPr>
          <w:p>
            <w:pPr>
              <w:jc w:val="right"/>
              <w:ind w:right="50"/>
              <w:spacing w:after="0"/>
              <w:rPr>
                <w:sz w:val="20"/>
                <w:szCs w:val="20"/>
                <w:color w:val="auto"/>
              </w:rPr>
            </w:pPr>
            <w:r>
              <w:rPr>
                <w:rFonts w:ascii="Arial" w:cs="Arial" w:eastAsia="Arial" w:hAnsi="Arial"/>
                <w:sz w:val="18"/>
                <w:szCs w:val="18"/>
                <w:color w:val="auto"/>
              </w:rPr>
              <w:t>40,469</w:t>
            </w:r>
          </w:p>
        </w:tc>
        <w:tc>
          <w:tcPr>
            <w:tcW w:w="10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1"/>
              </w:rPr>
              <w:t>100%</w:t>
            </w:r>
          </w:p>
        </w:tc>
      </w:tr>
      <w:tr>
        <w:trPr>
          <w:trHeight w:val="27"/>
        </w:trPr>
        <w:tc>
          <w:tcPr>
            <w:tcW w:w="4560" w:type="dxa"/>
            <w:vAlign w:val="bottom"/>
            <w:tcBorders>
              <w:left w:val="single" w:sz="8" w:color="auto"/>
              <w:bottom w:val="single" w:sz="8" w:color="auto"/>
              <w:right w:val="single" w:sz="8" w:color="auto"/>
            </w:tcBorders>
          </w:tcPr>
          <w:p>
            <w:pPr>
              <w:spacing w:after="0"/>
              <w:rPr>
                <w:sz w:val="2"/>
                <w:szCs w:val="2"/>
                <w:color w:val="auto"/>
              </w:rPr>
            </w:pPr>
          </w:p>
        </w:tc>
        <w:tc>
          <w:tcPr>
            <w:tcW w:w="2000" w:type="dxa"/>
            <w:vAlign w:val="bottom"/>
            <w:tcBorders>
              <w:bottom w:val="single" w:sz="8" w:color="auto"/>
              <w:right w:val="single" w:sz="8" w:color="auto"/>
            </w:tcBorders>
          </w:tcPr>
          <w:p>
            <w:pPr>
              <w:spacing w:after="0"/>
              <w:rPr>
                <w:sz w:val="2"/>
                <w:szCs w:val="2"/>
                <w:color w:val="auto"/>
              </w:rPr>
            </w:pPr>
          </w:p>
        </w:tc>
        <w:tc>
          <w:tcPr>
            <w:tcW w:w="2220" w:type="dxa"/>
            <w:vAlign w:val="bottom"/>
            <w:tcBorders>
              <w:bottom w:val="single" w:sz="8" w:color="auto"/>
              <w:right w:val="single" w:sz="8" w:color="auto"/>
            </w:tcBorders>
          </w:tcPr>
          <w:p>
            <w:pPr>
              <w:spacing w:after="0"/>
              <w:rPr>
                <w:sz w:val="2"/>
                <w:szCs w:val="2"/>
                <w:color w:val="auto"/>
              </w:rPr>
            </w:pPr>
          </w:p>
        </w:tc>
        <w:tc>
          <w:tcPr>
            <w:tcW w:w="1640" w:type="dxa"/>
            <w:vAlign w:val="bottom"/>
            <w:tcBorders>
              <w:bottom w:val="single" w:sz="8" w:color="auto"/>
              <w:right w:val="single" w:sz="8" w:color="auto"/>
            </w:tcBorders>
          </w:tcPr>
          <w:p>
            <w:pPr>
              <w:spacing w:after="0"/>
              <w:rPr>
                <w:sz w:val="2"/>
                <w:szCs w:val="2"/>
                <w:color w:val="auto"/>
              </w:rPr>
            </w:pPr>
          </w:p>
        </w:tc>
        <w:tc>
          <w:tcPr>
            <w:tcW w:w="1000" w:type="dxa"/>
            <w:vAlign w:val="bottom"/>
            <w:tcBorders>
              <w:bottom w:val="single" w:sz="8" w:color="auto"/>
              <w:right w:val="single" w:sz="8" w:color="auto"/>
            </w:tcBorders>
          </w:tcPr>
          <w:p>
            <w:pPr>
              <w:spacing w:after="0"/>
              <w:rPr>
                <w:sz w:val="2"/>
                <w:szCs w:val="2"/>
                <w:color w:val="auto"/>
              </w:rPr>
            </w:pPr>
          </w:p>
        </w:tc>
      </w:tr>
      <w:tr>
        <w:trPr>
          <w:trHeight w:val="237"/>
        </w:trPr>
        <w:tc>
          <w:tcPr>
            <w:tcW w:w="456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ATX Software Ltd</w:t>
            </w:r>
          </w:p>
        </w:tc>
        <w:tc>
          <w:tcPr>
            <w:tcW w:w="20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United Kingdom</w:t>
            </w:r>
          </w:p>
        </w:tc>
        <w:tc>
          <w:tcPr>
            <w:tcW w:w="22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Class A and B</w:t>
            </w:r>
          </w:p>
        </w:tc>
        <w:tc>
          <w:tcPr>
            <w:tcW w:w="1640" w:type="dxa"/>
            <w:vAlign w:val="bottom"/>
            <w:tcBorders>
              <w:right w:val="single" w:sz="8" w:color="auto"/>
            </w:tcBorders>
          </w:tcPr>
          <w:p>
            <w:pPr>
              <w:jc w:val="right"/>
              <w:ind w:right="50"/>
              <w:spacing w:after="0"/>
              <w:rPr>
                <w:sz w:val="20"/>
                <w:szCs w:val="20"/>
                <w:color w:val="auto"/>
              </w:rPr>
            </w:pPr>
            <w:r>
              <w:rPr>
                <w:rFonts w:ascii="Arial" w:cs="Arial" w:eastAsia="Arial" w:hAnsi="Arial"/>
                <w:sz w:val="18"/>
                <w:szCs w:val="18"/>
                <w:color w:val="auto"/>
              </w:rPr>
              <w:t>98 A, 102 B</w:t>
            </w:r>
          </w:p>
        </w:tc>
        <w:tc>
          <w:tcPr>
            <w:tcW w:w="10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1"/>
              </w:rPr>
              <w:t>100%</w:t>
            </w:r>
          </w:p>
        </w:tc>
      </w:tr>
      <w:tr>
        <w:trPr>
          <w:trHeight w:val="27"/>
        </w:trPr>
        <w:tc>
          <w:tcPr>
            <w:tcW w:w="4560" w:type="dxa"/>
            <w:vAlign w:val="bottom"/>
            <w:tcBorders>
              <w:left w:val="single" w:sz="8" w:color="auto"/>
              <w:bottom w:val="single" w:sz="8" w:color="auto"/>
              <w:right w:val="single" w:sz="8" w:color="auto"/>
            </w:tcBorders>
          </w:tcPr>
          <w:p>
            <w:pPr>
              <w:spacing w:after="0"/>
              <w:rPr>
                <w:sz w:val="2"/>
                <w:szCs w:val="2"/>
                <w:color w:val="auto"/>
              </w:rPr>
            </w:pPr>
          </w:p>
        </w:tc>
        <w:tc>
          <w:tcPr>
            <w:tcW w:w="2000" w:type="dxa"/>
            <w:vAlign w:val="bottom"/>
            <w:tcBorders>
              <w:bottom w:val="single" w:sz="8" w:color="auto"/>
              <w:right w:val="single" w:sz="8" w:color="auto"/>
            </w:tcBorders>
          </w:tcPr>
          <w:p>
            <w:pPr>
              <w:spacing w:after="0"/>
              <w:rPr>
                <w:sz w:val="2"/>
                <w:szCs w:val="2"/>
                <w:color w:val="auto"/>
              </w:rPr>
            </w:pPr>
          </w:p>
        </w:tc>
        <w:tc>
          <w:tcPr>
            <w:tcW w:w="2220" w:type="dxa"/>
            <w:vAlign w:val="bottom"/>
            <w:tcBorders>
              <w:bottom w:val="single" w:sz="8" w:color="auto"/>
              <w:right w:val="single" w:sz="8" w:color="auto"/>
            </w:tcBorders>
          </w:tcPr>
          <w:p>
            <w:pPr>
              <w:spacing w:after="0"/>
              <w:rPr>
                <w:sz w:val="2"/>
                <w:szCs w:val="2"/>
                <w:color w:val="auto"/>
              </w:rPr>
            </w:pPr>
          </w:p>
        </w:tc>
        <w:tc>
          <w:tcPr>
            <w:tcW w:w="1640" w:type="dxa"/>
            <w:vAlign w:val="bottom"/>
            <w:tcBorders>
              <w:bottom w:val="single" w:sz="8" w:color="auto"/>
              <w:right w:val="single" w:sz="8" w:color="auto"/>
            </w:tcBorders>
          </w:tcPr>
          <w:p>
            <w:pPr>
              <w:spacing w:after="0"/>
              <w:rPr>
                <w:sz w:val="2"/>
                <w:szCs w:val="2"/>
                <w:color w:val="auto"/>
              </w:rPr>
            </w:pPr>
          </w:p>
        </w:tc>
        <w:tc>
          <w:tcPr>
            <w:tcW w:w="1000" w:type="dxa"/>
            <w:vAlign w:val="bottom"/>
            <w:tcBorders>
              <w:bottom w:val="single" w:sz="8" w:color="auto"/>
              <w:right w:val="single" w:sz="8" w:color="auto"/>
            </w:tcBorders>
          </w:tcPr>
          <w:p>
            <w:pPr>
              <w:spacing w:after="0"/>
              <w:rPr>
                <w:sz w:val="2"/>
                <w:szCs w:val="2"/>
                <w:color w:val="auto"/>
              </w:rPr>
            </w:pPr>
          </w:p>
        </w:tc>
      </w:tr>
      <w:tr>
        <w:trPr>
          <w:trHeight w:val="237"/>
        </w:trPr>
        <w:tc>
          <w:tcPr>
            <w:tcW w:w="456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ATX Software Middle East FZ-LLC</w:t>
            </w:r>
          </w:p>
        </w:tc>
        <w:tc>
          <w:tcPr>
            <w:tcW w:w="20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United Arab Emirates</w:t>
            </w:r>
          </w:p>
        </w:tc>
        <w:tc>
          <w:tcPr>
            <w:tcW w:w="22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0</w:t>
            </w:r>
          </w:p>
        </w:tc>
        <w:tc>
          <w:tcPr>
            <w:tcW w:w="1640" w:type="dxa"/>
            <w:vAlign w:val="bottom"/>
            <w:tcBorders>
              <w:right w:val="single" w:sz="8" w:color="auto"/>
            </w:tcBorders>
          </w:tcPr>
          <w:p>
            <w:pPr>
              <w:jc w:val="right"/>
              <w:ind w:right="50"/>
              <w:spacing w:after="0"/>
              <w:rPr>
                <w:sz w:val="20"/>
                <w:szCs w:val="20"/>
                <w:color w:val="auto"/>
              </w:rPr>
            </w:pPr>
            <w:r>
              <w:rPr>
                <w:rFonts w:ascii="Arial" w:cs="Arial" w:eastAsia="Arial" w:hAnsi="Arial"/>
                <w:sz w:val="18"/>
                <w:szCs w:val="18"/>
                <w:color w:val="auto"/>
              </w:rPr>
              <w:t>0</w:t>
            </w:r>
          </w:p>
        </w:tc>
        <w:tc>
          <w:tcPr>
            <w:tcW w:w="10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1"/>
              </w:rPr>
              <w:t>100%</w:t>
            </w:r>
          </w:p>
        </w:tc>
      </w:tr>
      <w:tr>
        <w:trPr>
          <w:trHeight w:val="27"/>
        </w:trPr>
        <w:tc>
          <w:tcPr>
            <w:tcW w:w="4560" w:type="dxa"/>
            <w:vAlign w:val="bottom"/>
            <w:tcBorders>
              <w:left w:val="single" w:sz="8" w:color="auto"/>
              <w:bottom w:val="single" w:sz="8" w:color="auto"/>
              <w:right w:val="single" w:sz="8" w:color="auto"/>
            </w:tcBorders>
          </w:tcPr>
          <w:p>
            <w:pPr>
              <w:spacing w:after="0"/>
              <w:rPr>
                <w:sz w:val="2"/>
                <w:szCs w:val="2"/>
                <w:color w:val="auto"/>
              </w:rPr>
            </w:pPr>
          </w:p>
        </w:tc>
        <w:tc>
          <w:tcPr>
            <w:tcW w:w="2000" w:type="dxa"/>
            <w:vAlign w:val="bottom"/>
            <w:tcBorders>
              <w:bottom w:val="single" w:sz="8" w:color="auto"/>
              <w:right w:val="single" w:sz="8" w:color="auto"/>
            </w:tcBorders>
          </w:tcPr>
          <w:p>
            <w:pPr>
              <w:spacing w:after="0"/>
              <w:rPr>
                <w:sz w:val="2"/>
                <w:szCs w:val="2"/>
                <w:color w:val="auto"/>
              </w:rPr>
            </w:pPr>
          </w:p>
        </w:tc>
        <w:tc>
          <w:tcPr>
            <w:tcW w:w="2220" w:type="dxa"/>
            <w:vAlign w:val="bottom"/>
            <w:tcBorders>
              <w:bottom w:val="single" w:sz="8" w:color="auto"/>
              <w:right w:val="single" w:sz="8" w:color="auto"/>
            </w:tcBorders>
          </w:tcPr>
          <w:p>
            <w:pPr>
              <w:spacing w:after="0"/>
              <w:rPr>
                <w:sz w:val="2"/>
                <w:szCs w:val="2"/>
                <w:color w:val="auto"/>
              </w:rPr>
            </w:pPr>
          </w:p>
        </w:tc>
        <w:tc>
          <w:tcPr>
            <w:tcW w:w="1640" w:type="dxa"/>
            <w:vAlign w:val="bottom"/>
            <w:tcBorders>
              <w:bottom w:val="single" w:sz="8" w:color="auto"/>
              <w:right w:val="single" w:sz="8" w:color="auto"/>
            </w:tcBorders>
          </w:tcPr>
          <w:p>
            <w:pPr>
              <w:spacing w:after="0"/>
              <w:rPr>
                <w:sz w:val="2"/>
                <w:szCs w:val="2"/>
                <w:color w:val="auto"/>
              </w:rPr>
            </w:pPr>
          </w:p>
        </w:tc>
        <w:tc>
          <w:tcPr>
            <w:tcW w:w="1000" w:type="dxa"/>
            <w:vAlign w:val="bottom"/>
            <w:tcBorders>
              <w:bottom w:val="single" w:sz="8" w:color="auto"/>
              <w:right w:val="single" w:sz="8" w:color="auto"/>
            </w:tcBorders>
          </w:tcPr>
          <w:p>
            <w:pPr>
              <w:spacing w:after="0"/>
              <w:rPr>
                <w:sz w:val="2"/>
                <w:szCs w:val="2"/>
                <w:color w:val="auto"/>
              </w:rPr>
            </w:pPr>
          </w:p>
        </w:tc>
      </w:tr>
      <w:tr>
        <w:trPr>
          <w:trHeight w:val="237"/>
        </w:trPr>
        <w:tc>
          <w:tcPr>
            <w:tcW w:w="456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Euronet Payment Services Ltd</w:t>
            </w:r>
          </w:p>
        </w:tc>
        <w:tc>
          <w:tcPr>
            <w:tcW w:w="20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United Kingdom</w:t>
            </w:r>
          </w:p>
        </w:tc>
        <w:tc>
          <w:tcPr>
            <w:tcW w:w="22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Common Stock</w:t>
            </w:r>
          </w:p>
        </w:tc>
        <w:tc>
          <w:tcPr>
            <w:tcW w:w="1640" w:type="dxa"/>
            <w:vAlign w:val="bottom"/>
            <w:tcBorders>
              <w:right w:val="single" w:sz="8" w:color="auto"/>
            </w:tcBorders>
          </w:tcPr>
          <w:p>
            <w:pPr>
              <w:jc w:val="right"/>
              <w:ind w:right="50"/>
              <w:spacing w:after="0"/>
              <w:rPr>
                <w:sz w:val="20"/>
                <w:szCs w:val="20"/>
                <w:color w:val="auto"/>
              </w:rPr>
            </w:pPr>
            <w:r>
              <w:rPr>
                <w:rFonts w:ascii="Arial" w:cs="Arial" w:eastAsia="Arial" w:hAnsi="Arial"/>
                <w:sz w:val="18"/>
                <w:szCs w:val="18"/>
                <w:color w:val="auto"/>
              </w:rPr>
              <w:t>1</w:t>
            </w:r>
          </w:p>
        </w:tc>
        <w:tc>
          <w:tcPr>
            <w:tcW w:w="10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1"/>
              </w:rPr>
              <w:t>100%</w:t>
            </w:r>
          </w:p>
        </w:tc>
      </w:tr>
      <w:tr>
        <w:trPr>
          <w:trHeight w:val="27"/>
        </w:trPr>
        <w:tc>
          <w:tcPr>
            <w:tcW w:w="4560" w:type="dxa"/>
            <w:vAlign w:val="bottom"/>
            <w:tcBorders>
              <w:left w:val="single" w:sz="8" w:color="auto"/>
              <w:bottom w:val="single" w:sz="8" w:color="auto"/>
              <w:right w:val="single" w:sz="8" w:color="auto"/>
            </w:tcBorders>
          </w:tcPr>
          <w:p>
            <w:pPr>
              <w:spacing w:after="0"/>
              <w:rPr>
                <w:sz w:val="2"/>
                <w:szCs w:val="2"/>
                <w:color w:val="auto"/>
              </w:rPr>
            </w:pPr>
          </w:p>
        </w:tc>
        <w:tc>
          <w:tcPr>
            <w:tcW w:w="2000" w:type="dxa"/>
            <w:vAlign w:val="bottom"/>
            <w:tcBorders>
              <w:bottom w:val="single" w:sz="8" w:color="auto"/>
              <w:right w:val="single" w:sz="8" w:color="auto"/>
            </w:tcBorders>
          </w:tcPr>
          <w:p>
            <w:pPr>
              <w:spacing w:after="0"/>
              <w:rPr>
                <w:sz w:val="2"/>
                <w:szCs w:val="2"/>
                <w:color w:val="auto"/>
              </w:rPr>
            </w:pPr>
          </w:p>
        </w:tc>
        <w:tc>
          <w:tcPr>
            <w:tcW w:w="2220" w:type="dxa"/>
            <w:vAlign w:val="bottom"/>
            <w:tcBorders>
              <w:bottom w:val="single" w:sz="8" w:color="auto"/>
              <w:right w:val="single" w:sz="8" w:color="auto"/>
            </w:tcBorders>
          </w:tcPr>
          <w:p>
            <w:pPr>
              <w:spacing w:after="0"/>
              <w:rPr>
                <w:sz w:val="2"/>
                <w:szCs w:val="2"/>
                <w:color w:val="auto"/>
              </w:rPr>
            </w:pPr>
          </w:p>
        </w:tc>
        <w:tc>
          <w:tcPr>
            <w:tcW w:w="1640" w:type="dxa"/>
            <w:vAlign w:val="bottom"/>
            <w:tcBorders>
              <w:bottom w:val="single" w:sz="8" w:color="auto"/>
              <w:right w:val="single" w:sz="8" w:color="auto"/>
            </w:tcBorders>
          </w:tcPr>
          <w:p>
            <w:pPr>
              <w:spacing w:after="0"/>
              <w:rPr>
                <w:sz w:val="2"/>
                <w:szCs w:val="2"/>
                <w:color w:val="auto"/>
              </w:rPr>
            </w:pPr>
          </w:p>
        </w:tc>
        <w:tc>
          <w:tcPr>
            <w:tcW w:w="1000" w:type="dxa"/>
            <w:vAlign w:val="bottom"/>
            <w:tcBorders>
              <w:bottom w:val="single" w:sz="8" w:color="auto"/>
              <w:right w:val="single" w:sz="8" w:color="auto"/>
            </w:tcBorders>
          </w:tcPr>
          <w:p>
            <w:pPr>
              <w:spacing w:after="0"/>
              <w:rPr>
                <w:sz w:val="2"/>
                <w:szCs w:val="2"/>
                <w:color w:val="auto"/>
              </w:rPr>
            </w:pPr>
          </w:p>
        </w:tc>
      </w:tr>
      <w:tr>
        <w:trPr>
          <w:trHeight w:val="237"/>
        </w:trPr>
        <w:tc>
          <w:tcPr>
            <w:tcW w:w="456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Euronet 360 Finance Limited</w:t>
            </w:r>
          </w:p>
        </w:tc>
        <w:tc>
          <w:tcPr>
            <w:tcW w:w="20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United Kingdom</w:t>
            </w:r>
          </w:p>
        </w:tc>
        <w:tc>
          <w:tcPr>
            <w:tcW w:w="22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Common Stock</w:t>
            </w:r>
          </w:p>
        </w:tc>
        <w:tc>
          <w:tcPr>
            <w:tcW w:w="1640" w:type="dxa"/>
            <w:vAlign w:val="bottom"/>
            <w:tcBorders>
              <w:right w:val="single" w:sz="8" w:color="auto"/>
            </w:tcBorders>
          </w:tcPr>
          <w:p>
            <w:pPr>
              <w:jc w:val="right"/>
              <w:ind w:right="50"/>
              <w:spacing w:after="0"/>
              <w:rPr>
                <w:sz w:val="20"/>
                <w:szCs w:val="20"/>
                <w:color w:val="auto"/>
              </w:rPr>
            </w:pPr>
            <w:r>
              <w:rPr>
                <w:rFonts w:ascii="Arial" w:cs="Arial" w:eastAsia="Arial" w:hAnsi="Arial"/>
                <w:sz w:val="18"/>
                <w:szCs w:val="18"/>
                <w:color w:val="auto"/>
              </w:rPr>
              <w:t>1</w:t>
            </w:r>
          </w:p>
        </w:tc>
        <w:tc>
          <w:tcPr>
            <w:tcW w:w="10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1"/>
              </w:rPr>
              <w:t>100%</w:t>
            </w:r>
          </w:p>
        </w:tc>
      </w:tr>
      <w:tr>
        <w:trPr>
          <w:trHeight w:val="27"/>
        </w:trPr>
        <w:tc>
          <w:tcPr>
            <w:tcW w:w="4560" w:type="dxa"/>
            <w:vAlign w:val="bottom"/>
            <w:tcBorders>
              <w:left w:val="single" w:sz="8" w:color="auto"/>
              <w:bottom w:val="single" w:sz="8" w:color="auto"/>
              <w:right w:val="single" w:sz="8" w:color="auto"/>
            </w:tcBorders>
          </w:tcPr>
          <w:p>
            <w:pPr>
              <w:spacing w:after="0"/>
              <w:rPr>
                <w:sz w:val="2"/>
                <w:szCs w:val="2"/>
                <w:color w:val="auto"/>
              </w:rPr>
            </w:pPr>
          </w:p>
        </w:tc>
        <w:tc>
          <w:tcPr>
            <w:tcW w:w="2000" w:type="dxa"/>
            <w:vAlign w:val="bottom"/>
            <w:tcBorders>
              <w:bottom w:val="single" w:sz="8" w:color="auto"/>
              <w:right w:val="single" w:sz="8" w:color="auto"/>
            </w:tcBorders>
          </w:tcPr>
          <w:p>
            <w:pPr>
              <w:spacing w:after="0"/>
              <w:rPr>
                <w:sz w:val="2"/>
                <w:szCs w:val="2"/>
                <w:color w:val="auto"/>
              </w:rPr>
            </w:pPr>
          </w:p>
        </w:tc>
        <w:tc>
          <w:tcPr>
            <w:tcW w:w="2220" w:type="dxa"/>
            <w:vAlign w:val="bottom"/>
            <w:tcBorders>
              <w:bottom w:val="single" w:sz="8" w:color="auto"/>
              <w:right w:val="single" w:sz="8" w:color="auto"/>
            </w:tcBorders>
          </w:tcPr>
          <w:p>
            <w:pPr>
              <w:spacing w:after="0"/>
              <w:rPr>
                <w:sz w:val="2"/>
                <w:szCs w:val="2"/>
                <w:color w:val="auto"/>
              </w:rPr>
            </w:pPr>
          </w:p>
        </w:tc>
        <w:tc>
          <w:tcPr>
            <w:tcW w:w="1640" w:type="dxa"/>
            <w:vAlign w:val="bottom"/>
            <w:tcBorders>
              <w:bottom w:val="single" w:sz="8" w:color="auto"/>
              <w:right w:val="single" w:sz="8" w:color="auto"/>
            </w:tcBorders>
          </w:tcPr>
          <w:p>
            <w:pPr>
              <w:spacing w:after="0"/>
              <w:rPr>
                <w:sz w:val="2"/>
                <w:szCs w:val="2"/>
                <w:color w:val="auto"/>
              </w:rPr>
            </w:pPr>
          </w:p>
        </w:tc>
        <w:tc>
          <w:tcPr>
            <w:tcW w:w="1000" w:type="dxa"/>
            <w:vAlign w:val="bottom"/>
            <w:tcBorders>
              <w:bottom w:val="single" w:sz="8" w:color="auto"/>
              <w:right w:val="single" w:sz="8" w:color="auto"/>
            </w:tcBorders>
          </w:tcPr>
          <w:p>
            <w:pPr>
              <w:spacing w:after="0"/>
              <w:rPr>
                <w:sz w:val="2"/>
                <w:szCs w:val="2"/>
                <w:color w:val="auto"/>
              </w:rPr>
            </w:pPr>
          </w:p>
        </w:tc>
      </w:tr>
      <w:tr>
        <w:trPr>
          <w:trHeight w:val="237"/>
        </w:trPr>
        <w:tc>
          <w:tcPr>
            <w:tcW w:w="456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Universal Solution Providers FZ-LLC</w:t>
            </w:r>
          </w:p>
        </w:tc>
        <w:tc>
          <w:tcPr>
            <w:tcW w:w="20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United Arab Emirates</w:t>
            </w:r>
          </w:p>
        </w:tc>
        <w:tc>
          <w:tcPr>
            <w:tcW w:w="22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Common Stock</w:t>
            </w:r>
          </w:p>
        </w:tc>
        <w:tc>
          <w:tcPr>
            <w:tcW w:w="1640" w:type="dxa"/>
            <w:vAlign w:val="bottom"/>
            <w:tcBorders>
              <w:right w:val="single" w:sz="8" w:color="auto"/>
            </w:tcBorders>
          </w:tcPr>
          <w:p>
            <w:pPr>
              <w:jc w:val="right"/>
              <w:ind w:right="50"/>
              <w:spacing w:after="0"/>
              <w:rPr>
                <w:sz w:val="20"/>
                <w:szCs w:val="20"/>
                <w:color w:val="auto"/>
              </w:rPr>
            </w:pPr>
            <w:r>
              <w:rPr>
                <w:rFonts w:ascii="Arial" w:cs="Arial" w:eastAsia="Arial" w:hAnsi="Arial"/>
                <w:sz w:val="18"/>
                <w:szCs w:val="18"/>
                <w:color w:val="auto"/>
              </w:rPr>
              <w:t>100</w:t>
            </w:r>
          </w:p>
        </w:tc>
        <w:tc>
          <w:tcPr>
            <w:tcW w:w="10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8"/>
              </w:rPr>
              <w:t>51%</w:t>
            </w:r>
          </w:p>
        </w:tc>
      </w:tr>
      <w:tr>
        <w:trPr>
          <w:trHeight w:val="27"/>
        </w:trPr>
        <w:tc>
          <w:tcPr>
            <w:tcW w:w="4560" w:type="dxa"/>
            <w:vAlign w:val="bottom"/>
            <w:tcBorders>
              <w:left w:val="single" w:sz="8" w:color="auto"/>
              <w:bottom w:val="single" w:sz="8" w:color="auto"/>
              <w:right w:val="single" w:sz="8" w:color="auto"/>
            </w:tcBorders>
          </w:tcPr>
          <w:p>
            <w:pPr>
              <w:spacing w:after="0"/>
              <w:rPr>
                <w:sz w:val="2"/>
                <w:szCs w:val="2"/>
                <w:color w:val="auto"/>
              </w:rPr>
            </w:pPr>
          </w:p>
        </w:tc>
        <w:tc>
          <w:tcPr>
            <w:tcW w:w="2000" w:type="dxa"/>
            <w:vAlign w:val="bottom"/>
            <w:tcBorders>
              <w:bottom w:val="single" w:sz="8" w:color="auto"/>
              <w:right w:val="single" w:sz="8" w:color="auto"/>
            </w:tcBorders>
          </w:tcPr>
          <w:p>
            <w:pPr>
              <w:spacing w:after="0"/>
              <w:rPr>
                <w:sz w:val="2"/>
                <w:szCs w:val="2"/>
                <w:color w:val="auto"/>
              </w:rPr>
            </w:pPr>
          </w:p>
        </w:tc>
        <w:tc>
          <w:tcPr>
            <w:tcW w:w="2220" w:type="dxa"/>
            <w:vAlign w:val="bottom"/>
            <w:tcBorders>
              <w:bottom w:val="single" w:sz="8" w:color="auto"/>
              <w:right w:val="single" w:sz="8" w:color="auto"/>
            </w:tcBorders>
          </w:tcPr>
          <w:p>
            <w:pPr>
              <w:spacing w:after="0"/>
              <w:rPr>
                <w:sz w:val="2"/>
                <w:szCs w:val="2"/>
                <w:color w:val="auto"/>
              </w:rPr>
            </w:pPr>
          </w:p>
        </w:tc>
        <w:tc>
          <w:tcPr>
            <w:tcW w:w="1640" w:type="dxa"/>
            <w:vAlign w:val="bottom"/>
            <w:tcBorders>
              <w:bottom w:val="single" w:sz="8" w:color="auto"/>
              <w:right w:val="single" w:sz="8" w:color="auto"/>
            </w:tcBorders>
          </w:tcPr>
          <w:p>
            <w:pPr>
              <w:spacing w:after="0"/>
              <w:rPr>
                <w:sz w:val="2"/>
                <w:szCs w:val="2"/>
                <w:color w:val="auto"/>
              </w:rPr>
            </w:pPr>
          </w:p>
        </w:tc>
        <w:tc>
          <w:tcPr>
            <w:tcW w:w="1000" w:type="dxa"/>
            <w:vAlign w:val="bottom"/>
            <w:tcBorders>
              <w:bottom w:val="single" w:sz="8" w:color="auto"/>
              <w:right w:val="single" w:sz="8" w:color="auto"/>
            </w:tcBorders>
          </w:tcPr>
          <w:p>
            <w:pPr>
              <w:spacing w:after="0"/>
              <w:rPr>
                <w:sz w:val="2"/>
                <w:szCs w:val="2"/>
                <w:color w:val="auto"/>
              </w:rPr>
            </w:pPr>
          </w:p>
        </w:tc>
      </w:tr>
      <w:tr>
        <w:trPr>
          <w:trHeight w:val="237"/>
        </w:trPr>
        <w:tc>
          <w:tcPr>
            <w:tcW w:w="456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Euronet Services, Spol. s.r.o.</w:t>
            </w:r>
          </w:p>
        </w:tc>
        <w:tc>
          <w:tcPr>
            <w:tcW w:w="20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Czech Republic</w:t>
            </w:r>
          </w:p>
        </w:tc>
        <w:tc>
          <w:tcPr>
            <w:tcW w:w="22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Common Stock</w:t>
            </w:r>
          </w:p>
        </w:tc>
        <w:tc>
          <w:tcPr>
            <w:tcW w:w="1640" w:type="dxa"/>
            <w:vAlign w:val="bottom"/>
            <w:tcBorders>
              <w:right w:val="single" w:sz="8" w:color="auto"/>
            </w:tcBorders>
          </w:tcPr>
          <w:p>
            <w:pPr>
              <w:jc w:val="right"/>
              <w:ind w:right="50"/>
              <w:spacing w:after="0"/>
              <w:rPr>
                <w:sz w:val="20"/>
                <w:szCs w:val="20"/>
                <w:color w:val="auto"/>
              </w:rPr>
            </w:pPr>
            <w:r>
              <w:rPr>
                <w:rFonts w:ascii="Arial" w:cs="Arial" w:eastAsia="Arial" w:hAnsi="Arial"/>
                <w:sz w:val="18"/>
                <w:szCs w:val="18"/>
                <w:color w:val="auto"/>
              </w:rPr>
              <w:t>1</w:t>
            </w:r>
          </w:p>
        </w:tc>
        <w:tc>
          <w:tcPr>
            <w:tcW w:w="10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1"/>
              </w:rPr>
              <w:t>100%</w:t>
            </w:r>
          </w:p>
        </w:tc>
      </w:tr>
      <w:tr>
        <w:trPr>
          <w:trHeight w:val="27"/>
        </w:trPr>
        <w:tc>
          <w:tcPr>
            <w:tcW w:w="4560" w:type="dxa"/>
            <w:vAlign w:val="bottom"/>
            <w:tcBorders>
              <w:left w:val="single" w:sz="8" w:color="auto"/>
              <w:bottom w:val="single" w:sz="8" w:color="auto"/>
              <w:right w:val="single" w:sz="8" w:color="auto"/>
            </w:tcBorders>
          </w:tcPr>
          <w:p>
            <w:pPr>
              <w:spacing w:after="0"/>
              <w:rPr>
                <w:sz w:val="2"/>
                <w:szCs w:val="2"/>
                <w:color w:val="auto"/>
              </w:rPr>
            </w:pPr>
          </w:p>
        </w:tc>
        <w:tc>
          <w:tcPr>
            <w:tcW w:w="2000" w:type="dxa"/>
            <w:vAlign w:val="bottom"/>
            <w:tcBorders>
              <w:bottom w:val="single" w:sz="8" w:color="auto"/>
              <w:right w:val="single" w:sz="8" w:color="auto"/>
            </w:tcBorders>
          </w:tcPr>
          <w:p>
            <w:pPr>
              <w:spacing w:after="0"/>
              <w:rPr>
                <w:sz w:val="2"/>
                <w:szCs w:val="2"/>
                <w:color w:val="auto"/>
              </w:rPr>
            </w:pPr>
          </w:p>
        </w:tc>
        <w:tc>
          <w:tcPr>
            <w:tcW w:w="2220" w:type="dxa"/>
            <w:vAlign w:val="bottom"/>
            <w:tcBorders>
              <w:bottom w:val="single" w:sz="8" w:color="auto"/>
              <w:right w:val="single" w:sz="8" w:color="auto"/>
            </w:tcBorders>
          </w:tcPr>
          <w:p>
            <w:pPr>
              <w:spacing w:after="0"/>
              <w:rPr>
                <w:sz w:val="2"/>
                <w:szCs w:val="2"/>
                <w:color w:val="auto"/>
              </w:rPr>
            </w:pPr>
          </w:p>
        </w:tc>
        <w:tc>
          <w:tcPr>
            <w:tcW w:w="1640" w:type="dxa"/>
            <w:vAlign w:val="bottom"/>
            <w:tcBorders>
              <w:bottom w:val="single" w:sz="8" w:color="auto"/>
              <w:right w:val="single" w:sz="8" w:color="auto"/>
            </w:tcBorders>
          </w:tcPr>
          <w:p>
            <w:pPr>
              <w:spacing w:after="0"/>
              <w:rPr>
                <w:sz w:val="2"/>
                <w:szCs w:val="2"/>
                <w:color w:val="auto"/>
              </w:rPr>
            </w:pPr>
          </w:p>
        </w:tc>
        <w:tc>
          <w:tcPr>
            <w:tcW w:w="1000" w:type="dxa"/>
            <w:vAlign w:val="bottom"/>
            <w:tcBorders>
              <w:bottom w:val="single" w:sz="8" w:color="auto"/>
              <w:right w:val="single" w:sz="8" w:color="auto"/>
            </w:tcBorders>
          </w:tcPr>
          <w:p>
            <w:pPr>
              <w:spacing w:after="0"/>
              <w:rPr>
                <w:sz w:val="2"/>
                <w:szCs w:val="2"/>
                <w:color w:val="auto"/>
              </w:rPr>
            </w:pPr>
          </w:p>
        </w:tc>
      </w:tr>
      <w:tr>
        <w:trPr>
          <w:trHeight w:val="237"/>
        </w:trPr>
        <w:tc>
          <w:tcPr>
            <w:tcW w:w="456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epay Digital SAS</w:t>
            </w:r>
          </w:p>
        </w:tc>
        <w:tc>
          <w:tcPr>
            <w:tcW w:w="20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France</w:t>
            </w:r>
          </w:p>
        </w:tc>
        <w:tc>
          <w:tcPr>
            <w:tcW w:w="22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Common Stock</w:t>
            </w:r>
          </w:p>
        </w:tc>
        <w:tc>
          <w:tcPr>
            <w:tcW w:w="1640" w:type="dxa"/>
            <w:vAlign w:val="bottom"/>
            <w:tcBorders>
              <w:right w:val="single" w:sz="8" w:color="auto"/>
            </w:tcBorders>
          </w:tcPr>
          <w:p>
            <w:pPr>
              <w:jc w:val="right"/>
              <w:ind w:right="50"/>
              <w:spacing w:after="0"/>
              <w:rPr>
                <w:sz w:val="20"/>
                <w:szCs w:val="20"/>
                <w:color w:val="auto"/>
              </w:rPr>
            </w:pPr>
            <w:r>
              <w:rPr>
                <w:rFonts w:ascii="Arial" w:cs="Arial" w:eastAsia="Arial" w:hAnsi="Arial"/>
                <w:sz w:val="18"/>
                <w:szCs w:val="18"/>
                <w:color w:val="auto"/>
              </w:rPr>
              <w:t>500</w:t>
            </w:r>
          </w:p>
        </w:tc>
        <w:tc>
          <w:tcPr>
            <w:tcW w:w="10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1"/>
              </w:rPr>
              <w:t>100%</w:t>
            </w:r>
          </w:p>
        </w:tc>
      </w:tr>
      <w:tr>
        <w:trPr>
          <w:trHeight w:val="27"/>
        </w:trPr>
        <w:tc>
          <w:tcPr>
            <w:tcW w:w="4560" w:type="dxa"/>
            <w:vAlign w:val="bottom"/>
            <w:tcBorders>
              <w:left w:val="single" w:sz="8" w:color="auto"/>
              <w:bottom w:val="single" w:sz="8" w:color="auto"/>
              <w:right w:val="single" w:sz="8" w:color="auto"/>
            </w:tcBorders>
          </w:tcPr>
          <w:p>
            <w:pPr>
              <w:spacing w:after="0"/>
              <w:rPr>
                <w:sz w:val="2"/>
                <w:szCs w:val="2"/>
                <w:color w:val="auto"/>
              </w:rPr>
            </w:pPr>
          </w:p>
        </w:tc>
        <w:tc>
          <w:tcPr>
            <w:tcW w:w="2000" w:type="dxa"/>
            <w:vAlign w:val="bottom"/>
            <w:tcBorders>
              <w:bottom w:val="single" w:sz="8" w:color="auto"/>
              <w:right w:val="single" w:sz="8" w:color="auto"/>
            </w:tcBorders>
          </w:tcPr>
          <w:p>
            <w:pPr>
              <w:spacing w:after="0"/>
              <w:rPr>
                <w:sz w:val="2"/>
                <w:szCs w:val="2"/>
                <w:color w:val="auto"/>
              </w:rPr>
            </w:pPr>
          </w:p>
        </w:tc>
        <w:tc>
          <w:tcPr>
            <w:tcW w:w="2220" w:type="dxa"/>
            <w:vAlign w:val="bottom"/>
            <w:tcBorders>
              <w:bottom w:val="single" w:sz="8" w:color="auto"/>
              <w:right w:val="single" w:sz="8" w:color="auto"/>
            </w:tcBorders>
          </w:tcPr>
          <w:p>
            <w:pPr>
              <w:spacing w:after="0"/>
              <w:rPr>
                <w:sz w:val="2"/>
                <w:szCs w:val="2"/>
                <w:color w:val="auto"/>
              </w:rPr>
            </w:pPr>
          </w:p>
        </w:tc>
        <w:tc>
          <w:tcPr>
            <w:tcW w:w="1640" w:type="dxa"/>
            <w:vAlign w:val="bottom"/>
            <w:tcBorders>
              <w:bottom w:val="single" w:sz="8" w:color="auto"/>
              <w:right w:val="single" w:sz="8" w:color="auto"/>
            </w:tcBorders>
          </w:tcPr>
          <w:p>
            <w:pPr>
              <w:spacing w:after="0"/>
              <w:rPr>
                <w:sz w:val="2"/>
                <w:szCs w:val="2"/>
                <w:color w:val="auto"/>
              </w:rPr>
            </w:pPr>
          </w:p>
        </w:tc>
        <w:tc>
          <w:tcPr>
            <w:tcW w:w="1000" w:type="dxa"/>
            <w:vAlign w:val="bottom"/>
            <w:tcBorders>
              <w:bottom w:val="single" w:sz="8" w:color="auto"/>
              <w:right w:val="single" w:sz="8" w:color="auto"/>
            </w:tcBorders>
          </w:tcPr>
          <w:p>
            <w:pPr>
              <w:spacing w:after="0"/>
              <w:rPr>
                <w:sz w:val="2"/>
                <w:szCs w:val="2"/>
                <w:color w:val="auto"/>
              </w:rPr>
            </w:pPr>
          </w:p>
        </w:tc>
      </w:tr>
      <w:tr>
        <w:trPr>
          <w:trHeight w:val="237"/>
        </w:trPr>
        <w:tc>
          <w:tcPr>
            <w:tcW w:w="456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Euronet Services O.O.O.</w:t>
            </w:r>
          </w:p>
        </w:tc>
        <w:tc>
          <w:tcPr>
            <w:tcW w:w="20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Russia</w:t>
            </w:r>
          </w:p>
        </w:tc>
        <w:tc>
          <w:tcPr>
            <w:tcW w:w="22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Common Stock</w:t>
            </w:r>
          </w:p>
        </w:tc>
        <w:tc>
          <w:tcPr>
            <w:tcW w:w="1640" w:type="dxa"/>
            <w:vAlign w:val="bottom"/>
            <w:tcBorders>
              <w:right w:val="single" w:sz="8" w:color="auto"/>
            </w:tcBorders>
          </w:tcPr>
          <w:p>
            <w:pPr>
              <w:jc w:val="right"/>
              <w:ind w:right="50"/>
              <w:spacing w:after="0"/>
              <w:rPr>
                <w:sz w:val="20"/>
                <w:szCs w:val="20"/>
                <w:color w:val="auto"/>
              </w:rPr>
            </w:pPr>
            <w:r>
              <w:rPr>
                <w:rFonts w:ascii="Arial" w:cs="Arial" w:eastAsia="Arial" w:hAnsi="Arial"/>
                <w:sz w:val="18"/>
                <w:szCs w:val="18"/>
                <w:color w:val="auto"/>
              </w:rPr>
              <w:t>2</w:t>
            </w:r>
          </w:p>
        </w:tc>
        <w:tc>
          <w:tcPr>
            <w:tcW w:w="10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8"/>
              </w:rPr>
              <w:t>95%</w:t>
            </w:r>
          </w:p>
        </w:tc>
      </w:tr>
      <w:tr>
        <w:trPr>
          <w:trHeight w:val="27"/>
        </w:trPr>
        <w:tc>
          <w:tcPr>
            <w:tcW w:w="4560" w:type="dxa"/>
            <w:vAlign w:val="bottom"/>
            <w:tcBorders>
              <w:left w:val="single" w:sz="8" w:color="auto"/>
              <w:bottom w:val="single" w:sz="8" w:color="auto"/>
              <w:right w:val="single" w:sz="8" w:color="auto"/>
            </w:tcBorders>
          </w:tcPr>
          <w:p>
            <w:pPr>
              <w:spacing w:after="0"/>
              <w:rPr>
                <w:sz w:val="2"/>
                <w:szCs w:val="2"/>
                <w:color w:val="auto"/>
              </w:rPr>
            </w:pPr>
          </w:p>
        </w:tc>
        <w:tc>
          <w:tcPr>
            <w:tcW w:w="2000" w:type="dxa"/>
            <w:vAlign w:val="bottom"/>
            <w:tcBorders>
              <w:bottom w:val="single" w:sz="8" w:color="auto"/>
              <w:right w:val="single" w:sz="8" w:color="auto"/>
            </w:tcBorders>
          </w:tcPr>
          <w:p>
            <w:pPr>
              <w:spacing w:after="0"/>
              <w:rPr>
                <w:sz w:val="2"/>
                <w:szCs w:val="2"/>
                <w:color w:val="auto"/>
              </w:rPr>
            </w:pPr>
          </w:p>
        </w:tc>
        <w:tc>
          <w:tcPr>
            <w:tcW w:w="2220" w:type="dxa"/>
            <w:vAlign w:val="bottom"/>
            <w:tcBorders>
              <w:bottom w:val="single" w:sz="8" w:color="auto"/>
              <w:right w:val="single" w:sz="8" w:color="auto"/>
            </w:tcBorders>
          </w:tcPr>
          <w:p>
            <w:pPr>
              <w:spacing w:after="0"/>
              <w:rPr>
                <w:sz w:val="2"/>
                <w:szCs w:val="2"/>
                <w:color w:val="auto"/>
              </w:rPr>
            </w:pPr>
          </w:p>
        </w:tc>
        <w:tc>
          <w:tcPr>
            <w:tcW w:w="1640" w:type="dxa"/>
            <w:vAlign w:val="bottom"/>
            <w:tcBorders>
              <w:bottom w:val="single" w:sz="8" w:color="auto"/>
              <w:right w:val="single" w:sz="8" w:color="auto"/>
            </w:tcBorders>
          </w:tcPr>
          <w:p>
            <w:pPr>
              <w:spacing w:after="0"/>
              <w:rPr>
                <w:sz w:val="2"/>
                <w:szCs w:val="2"/>
                <w:color w:val="auto"/>
              </w:rPr>
            </w:pPr>
          </w:p>
        </w:tc>
        <w:tc>
          <w:tcPr>
            <w:tcW w:w="1000" w:type="dxa"/>
            <w:vAlign w:val="bottom"/>
            <w:tcBorders>
              <w:bottom w:val="single" w:sz="8" w:color="auto"/>
              <w:right w:val="single" w:sz="8" w:color="auto"/>
            </w:tcBorders>
          </w:tcPr>
          <w:p>
            <w:pPr>
              <w:spacing w:after="0"/>
              <w:rPr>
                <w:sz w:val="2"/>
                <w:szCs w:val="2"/>
                <w:color w:val="auto"/>
              </w:rPr>
            </w:pPr>
          </w:p>
        </w:tc>
      </w:tr>
      <w:tr>
        <w:trPr>
          <w:trHeight w:val="237"/>
        </w:trPr>
        <w:tc>
          <w:tcPr>
            <w:tcW w:w="456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Euronet Elektronik İşlem Hizmetleri Limited Şirketi</w:t>
            </w:r>
          </w:p>
        </w:tc>
        <w:tc>
          <w:tcPr>
            <w:tcW w:w="20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Turkey</w:t>
            </w:r>
          </w:p>
        </w:tc>
        <w:tc>
          <w:tcPr>
            <w:tcW w:w="22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Common Stock</w:t>
            </w:r>
          </w:p>
        </w:tc>
        <w:tc>
          <w:tcPr>
            <w:tcW w:w="1640" w:type="dxa"/>
            <w:vAlign w:val="bottom"/>
            <w:tcBorders>
              <w:right w:val="single" w:sz="8" w:color="auto"/>
            </w:tcBorders>
          </w:tcPr>
          <w:p>
            <w:pPr>
              <w:jc w:val="right"/>
              <w:ind w:right="50"/>
              <w:spacing w:after="0"/>
              <w:rPr>
                <w:sz w:val="20"/>
                <w:szCs w:val="20"/>
                <w:color w:val="auto"/>
              </w:rPr>
            </w:pPr>
            <w:r>
              <w:rPr>
                <w:rFonts w:ascii="Arial" w:cs="Arial" w:eastAsia="Arial" w:hAnsi="Arial"/>
                <w:sz w:val="18"/>
                <w:szCs w:val="18"/>
                <w:color w:val="auto"/>
              </w:rPr>
              <w:t>200</w:t>
            </w:r>
          </w:p>
        </w:tc>
        <w:tc>
          <w:tcPr>
            <w:tcW w:w="10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1"/>
              </w:rPr>
              <w:t>100%</w:t>
            </w:r>
          </w:p>
        </w:tc>
      </w:tr>
      <w:tr>
        <w:trPr>
          <w:trHeight w:val="27"/>
        </w:trPr>
        <w:tc>
          <w:tcPr>
            <w:tcW w:w="4560" w:type="dxa"/>
            <w:vAlign w:val="bottom"/>
            <w:tcBorders>
              <w:left w:val="single" w:sz="8" w:color="auto"/>
              <w:bottom w:val="single" w:sz="8" w:color="auto"/>
              <w:right w:val="single" w:sz="8" w:color="auto"/>
            </w:tcBorders>
          </w:tcPr>
          <w:p>
            <w:pPr>
              <w:spacing w:after="0"/>
              <w:rPr>
                <w:sz w:val="2"/>
                <w:szCs w:val="2"/>
                <w:color w:val="auto"/>
              </w:rPr>
            </w:pPr>
          </w:p>
        </w:tc>
        <w:tc>
          <w:tcPr>
            <w:tcW w:w="2000" w:type="dxa"/>
            <w:vAlign w:val="bottom"/>
            <w:tcBorders>
              <w:bottom w:val="single" w:sz="8" w:color="auto"/>
              <w:right w:val="single" w:sz="8" w:color="auto"/>
            </w:tcBorders>
          </w:tcPr>
          <w:p>
            <w:pPr>
              <w:spacing w:after="0"/>
              <w:rPr>
                <w:sz w:val="2"/>
                <w:szCs w:val="2"/>
                <w:color w:val="auto"/>
              </w:rPr>
            </w:pPr>
          </w:p>
        </w:tc>
        <w:tc>
          <w:tcPr>
            <w:tcW w:w="2220" w:type="dxa"/>
            <w:vAlign w:val="bottom"/>
            <w:tcBorders>
              <w:bottom w:val="single" w:sz="8" w:color="auto"/>
              <w:right w:val="single" w:sz="8" w:color="auto"/>
            </w:tcBorders>
          </w:tcPr>
          <w:p>
            <w:pPr>
              <w:spacing w:after="0"/>
              <w:rPr>
                <w:sz w:val="2"/>
                <w:szCs w:val="2"/>
                <w:color w:val="auto"/>
              </w:rPr>
            </w:pPr>
          </w:p>
        </w:tc>
        <w:tc>
          <w:tcPr>
            <w:tcW w:w="1640" w:type="dxa"/>
            <w:vAlign w:val="bottom"/>
            <w:tcBorders>
              <w:bottom w:val="single" w:sz="8" w:color="auto"/>
              <w:right w:val="single" w:sz="8" w:color="auto"/>
            </w:tcBorders>
          </w:tcPr>
          <w:p>
            <w:pPr>
              <w:spacing w:after="0"/>
              <w:rPr>
                <w:sz w:val="2"/>
                <w:szCs w:val="2"/>
                <w:color w:val="auto"/>
              </w:rPr>
            </w:pPr>
          </w:p>
        </w:tc>
        <w:tc>
          <w:tcPr>
            <w:tcW w:w="1000" w:type="dxa"/>
            <w:vAlign w:val="bottom"/>
            <w:tcBorders>
              <w:bottom w:val="single" w:sz="8" w:color="auto"/>
              <w:right w:val="single" w:sz="8" w:color="auto"/>
            </w:tcBorders>
          </w:tcPr>
          <w:p>
            <w:pPr>
              <w:spacing w:after="0"/>
              <w:rPr>
                <w:sz w:val="2"/>
                <w:szCs w:val="2"/>
                <w:color w:val="auto"/>
              </w:rPr>
            </w:pPr>
          </w:p>
        </w:tc>
      </w:tr>
      <w:tr>
        <w:trPr>
          <w:trHeight w:val="237"/>
        </w:trPr>
        <w:tc>
          <w:tcPr>
            <w:tcW w:w="456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Euronet Middle East W.L.L.</w:t>
            </w:r>
          </w:p>
        </w:tc>
        <w:tc>
          <w:tcPr>
            <w:tcW w:w="20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Bahrain</w:t>
            </w:r>
          </w:p>
        </w:tc>
        <w:tc>
          <w:tcPr>
            <w:tcW w:w="22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0</w:t>
            </w:r>
          </w:p>
        </w:tc>
        <w:tc>
          <w:tcPr>
            <w:tcW w:w="1640" w:type="dxa"/>
            <w:vAlign w:val="bottom"/>
            <w:tcBorders>
              <w:right w:val="single" w:sz="8" w:color="auto"/>
            </w:tcBorders>
          </w:tcPr>
          <w:p>
            <w:pPr>
              <w:jc w:val="right"/>
              <w:ind w:right="50"/>
              <w:spacing w:after="0"/>
              <w:rPr>
                <w:sz w:val="20"/>
                <w:szCs w:val="20"/>
                <w:color w:val="auto"/>
              </w:rPr>
            </w:pPr>
            <w:r>
              <w:rPr>
                <w:rFonts w:ascii="Arial" w:cs="Arial" w:eastAsia="Arial" w:hAnsi="Arial"/>
                <w:sz w:val="18"/>
                <w:szCs w:val="18"/>
                <w:color w:val="auto"/>
              </w:rPr>
              <w:t>0</w:t>
            </w:r>
          </w:p>
        </w:tc>
        <w:tc>
          <w:tcPr>
            <w:tcW w:w="10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1"/>
              </w:rPr>
              <w:t>100%</w:t>
            </w:r>
          </w:p>
        </w:tc>
      </w:tr>
      <w:tr>
        <w:trPr>
          <w:trHeight w:val="27"/>
        </w:trPr>
        <w:tc>
          <w:tcPr>
            <w:tcW w:w="4560" w:type="dxa"/>
            <w:vAlign w:val="bottom"/>
            <w:tcBorders>
              <w:left w:val="single" w:sz="8" w:color="auto"/>
              <w:bottom w:val="single" w:sz="8" w:color="auto"/>
              <w:right w:val="single" w:sz="8" w:color="auto"/>
            </w:tcBorders>
          </w:tcPr>
          <w:p>
            <w:pPr>
              <w:spacing w:after="0"/>
              <w:rPr>
                <w:sz w:val="2"/>
                <w:szCs w:val="2"/>
                <w:color w:val="auto"/>
              </w:rPr>
            </w:pPr>
          </w:p>
        </w:tc>
        <w:tc>
          <w:tcPr>
            <w:tcW w:w="2000" w:type="dxa"/>
            <w:vAlign w:val="bottom"/>
            <w:tcBorders>
              <w:bottom w:val="single" w:sz="8" w:color="auto"/>
              <w:right w:val="single" w:sz="8" w:color="auto"/>
            </w:tcBorders>
          </w:tcPr>
          <w:p>
            <w:pPr>
              <w:spacing w:after="0"/>
              <w:rPr>
                <w:sz w:val="2"/>
                <w:szCs w:val="2"/>
                <w:color w:val="auto"/>
              </w:rPr>
            </w:pPr>
          </w:p>
        </w:tc>
        <w:tc>
          <w:tcPr>
            <w:tcW w:w="2220" w:type="dxa"/>
            <w:vAlign w:val="bottom"/>
            <w:tcBorders>
              <w:bottom w:val="single" w:sz="8" w:color="auto"/>
              <w:right w:val="single" w:sz="8" w:color="auto"/>
            </w:tcBorders>
          </w:tcPr>
          <w:p>
            <w:pPr>
              <w:spacing w:after="0"/>
              <w:rPr>
                <w:sz w:val="2"/>
                <w:szCs w:val="2"/>
                <w:color w:val="auto"/>
              </w:rPr>
            </w:pPr>
          </w:p>
        </w:tc>
        <w:tc>
          <w:tcPr>
            <w:tcW w:w="1640" w:type="dxa"/>
            <w:vAlign w:val="bottom"/>
            <w:tcBorders>
              <w:bottom w:val="single" w:sz="8" w:color="auto"/>
              <w:right w:val="single" w:sz="8" w:color="auto"/>
            </w:tcBorders>
          </w:tcPr>
          <w:p>
            <w:pPr>
              <w:spacing w:after="0"/>
              <w:rPr>
                <w:sz w:val="2"/>
                <w:szCs w:val="2"/>
                <w:color w:val="auto"/>
              </w:rPr>
            </w:pPr>
          </w:p>
        </w:tc>
        <w:tc>
          <w:tcPr>
            <w:tcW w:w="1000" w:type="dxa"/>
            <w:vAlign w:val="bottom"/>
            <w:tcBorders>
              <w:bottom w:val="single" w:sz="8" w:color="auto"/>
              <w:right w:val="single" w:sz="8" w:color="auto"/>
            </w:tcBorders>
          </w:tcPr>
          <w:p>
            <w:pPr>
              <w:spacing w:after="0"/>
              <w:rPr>
                <w:sz w:val="2"/>
                <w:szCs w:val="2"/>
                <w:color w:val="auto"/>
              </w:rPr>
            </w:pPr>
          </w:p>
        </w:tc>
      </w:tr>
      <w:tr>
        <w:trPr>
          <w:trHeight w:val="237"/>
        </w:trPr>
        <w:tc>
          <w:tcPr>
            <w:tcW w:w="456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Euronet Services d.o.o.</w:t>
            </w:r>
          </w:p>
        </w:tc>
        <w:tc>
          <w:tcPr>
            <w:tcW w:w="20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Serbia</w:t>
            </w:r>
          </w:p>
        </w:tc>
        <w:tc>
          <w:tcPr>
            <w:tcW w:w="22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Member Interests</w:t>
            </w:r>
          </w:p>
        </w:tc>
        <w:tc>
          <w:tcPr>
            <w:tcW w:w="1640" w:type="dxa"/>
            <w:vAlign w:val="bottom"/>
            <w:tcBorders>
              <w:right w:val="single" w:sz="8" w:color="auto"/>
            </w:tcBorders>
          </w:tcPr>
          <w:p>
            <w:pPr>
              <w:jc w:val="right"/>
              <w:ind w:right="50"/>
              <w:spacing w:after="0"/>
              <w:rPr>
                <w:sz w:val="20"/>
                <w:szCs w:val="20"/>
                <w:color w:val="auto"/>
              </w:rPr>
            </w:pPr>
            <w:r>
              <w:rPr>
                <w:rFonts w:ascii="Arial" w:cs="Arial" w:eastAsia="Arial" w:hAnsi="Arial"/>
                <w:sz w:val="18"/>
                <w:szCs w:val="18"/>
                <w:color w:val="auto"/>
              </w:rPr>
              <w:t>1</w:t>
            </w:r>
          </w:p>
        </w:tc>
        <w:tc>
          <w:tcPr>
            <w:tcW w:w="10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1"/>
              </w:rPr>
              <w:t>100%</w:t>
            </w:r>
          </w:p>
        </w:tc>
      </w:tr>
      <w:tr>
        <w:trPr>
          <w:trHeight w:val="27"/>
        </w:trPr>
        <w:tc>
          <w:tcPr>
            <w:tcW w:w="4560" w:type="dxa"/>
            <w:vAlign w:val="bottom"/>
            <w:tcBorders>
              <w:left w:val="single" w:sz="8" w:color="auto"/>
              <w:bottom w:val="single" w:sz="8" w:color="auto"/>
              <w:right w:val="single" w:sz="8" w:color="auto"/>
            </w:tcBorders>
          </w:tcPr>
          <w:p>
            <w:pPr>
              <w:spacing w:after="0"/>
              <w:rPr>
                <w:sz w:val="2"/>
                <w:szCs w:val="2"/>
                <w:color w:val="auto"/>
              </w:rPr>
            </w:pPr>
          </w:p>
        </w:tc>
        <w:tc>
          <w:tcPr>
            <w:tcW w:w="2000" w:type="dxa"/>
            <w:vAlign w:val="bottom"/>
            <w:tcBorders>
              <w:bottom w:val="single" w:sz="8" w:color="auto"/>
              <w:right w:val="single" w:sz="8" w:color="auto"/>
            </w:tcBorders>
          </w:tcPr>
          <w:p>
            <w:pPr>
              <w:spacing w:after="0"/>
              <w:rPr>
                <w:sz w:val="2"/>
                <w:szCs w:val="2"/>
                <w:color w:val="auto"/>
              </w:rPr>
            </w:pPr>
          </w:p>
        </w:tc>
        <w:tc>
          <w:tcPr>
            <w:tcW w:w="2220" w:type="dxa"/>
            <w:vAlign w:val="bottom"/>
            <w:tcBorders>
              <w:bottom w:val="single" w:sz="8" w:color="auto"/>
              <w:right w:val="single" w:sz="8" w:color="auto"/>
            </w:tcBorders>
          </w:tcPr>
          <w:p>
            <w:pPr>
              <w:spacing w:after="0"/>
              <w:rPr>
                <w:sz w:val="2"/>
                <w:szCs w:val="2"/>
                <w:color w:val="auto"/>
              </w:rPr>
            </w:pPr>
          </w:p>
        </w:tc>
        <w:tc>
          <w:tcPr>
            <w:tcW w:w="1640" w:type="dxa"/>
            <w:vAlign w:val="bottom"/>
            <w:tcBorders>
              <w:bottom w:val="single" w:sz="8" w:color="auto"/>
              <w:right w:val="single" w:sz="8" w:color="auto"/>
            </w:tcBorders>
          </w:tcPr>
          <w:p>
            <w:pPr>
              <w:spacing w:after="0"/>
              <w:rPr>
                <w:sz w:val="2"/>
                <w:szCs w:val="2"/>
                <w:color w:val="auto"/>
              </w:rPr>
            </w:pPr>
          </w:p>
        </w:tc>
        <w:tc>
          <w:tcPr>
            <w:tcW w:w="1000" w:type="dxa"/>
            <w:vAlign w:val="bottom"/>
            <w:tcBorders>
              <w:bottom w:val="single" w:sz="8" w:color="auto"/>
              <w:right w:val="single" w:sz="8" w:color="auto"/>
            </w:tcBorders>
          </w:tcPr>
          <w:p>
            <w:pPr>
              <w:spacing w:after="0"/>
              <w:rPr>
                <w:sz w:val="2"/>
                <w:szCs w:val="2"/>
                <w:color w:val="auto"/>
              </w:rPr>
            </w:pPr>
          </w:p>
        </w:tc>
      </w:tr>
      <w:tr>
        <w:trPr>
          <w:trHeight w:val="237"/>
        </w:trPr>
        <w:tc>
          <w:tcPr>
            <w:tcW w:w="456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EFT-Usluge d.o.o.</w:t>
            </w:r>
          </w:p>
        </w:tc>
        <w:tc>
          <w:tcPr>
            <w:tcW w:w="20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Croatia</w:t>
            </w:r>
          </w:p>
        </w:tc>
        <w:tc>
          <w:tcPr>
            <w:tcW w:w="22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Common Stock</w:t>
            </w:r>
          </w:p>
        </w:tc>
        <w:tc>
          <w:tcPr>
            <w:tcW w:w="1640" w:type="dxa"/>
            <w:vAlign w:val="bottom"/>
            <w:tcBorders>
              <w:right w:val="single" w:sz="8" w:color="auto"/>
            </w:tcBorders>
          </w:tcPr>
          <w:p>
            <w:pPr>
              <w:jc w:val="right"/>
              <w:ind w:right="50"/>
              <w:spacing w:after="0"/>
              <w:rPr>
                <w:sz w:val="20"/>
                <w:szCs w:val="20"/>
                <w:color w:val="auto"/>
              </w:rPr>
            </w:pPr>
            <w:r>
              <w:rPr>
                <w:rFonts w:ascii="Arial" w:cs="Arial" w:eastAsia="Arial" w:hAnsi="Arial"/>
                <w:sz w:val="18"/>
                <w:szCs w:val="18"/>
                <w:color w:val="auto"/>
              </w:rPr>
              <w:t>1</w:t>
            </w:r>
          </w:p>
        </w:tc>
        <w:tc>
          <w:tcPr>
            <w:tcW w:w="10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1"/>
              </w:rPr>
              <w:t>100%</w:t>
            </w:r>
          </w:p>
        </w:tc>
      </w:tr>
      <w:tr>
        <w:trPr>
          <w:trHeight w:val="27"/>
        </w:trPr>
        <w:tc>
          <w:tcPr>
            <w:tcW w:w="4560" w:type="dxa"/>
            <w:vAlign w:val="bottom"/>
            <w:tcBorders>
              <w:left w:val="single" w:sz="8" w:color="auto"/>
              <w:bottom w:val="single" w:sz="8" w:color="auto"/>
              <w:right w:val="single" w:sz="8" w:color="auto"/>
            </w:tcBorders>
          </w:tcPr>
          <w:p>
            <w:pPr>
              <w:spacing w:after="0"/>
              <w:rPr>
                <w:sz w:val="2"/>
                <w:szCs w:val="2"/>
                <w:color w:val="auto"/>
              </w:rPr>
            </w:pPr>
          </w:p>
        </w:tc>
        <w:tc>
          <w:tcPr>
            <w:tcW w:w="2000" w:type="dxa"/>
            <w:vAlign w:val="bottom"/>
            <w:tcBorders>
              <w:bottom w:val="single" w:sz="8" w:color="auto"/>
              <w:right w:val="single" w:sz="8" w:color="auto"/>
            </w:tcBorders>
          </w:tcPr>
          <w:p>
            <w:pPr>
              <w:spacing w:after="0"/>
              <w:rPr>
                <w:sz w:val="2"/>
                <w:szCs w:val="2"/>
                <w:color w:val="auto"/>
              </w:rPr>
            </w:pPr>
          </w:p>
        </w:tc>
        <w:tc>
          <w:tcPr>
            <w:tcW w:w="2220" w:type="dxa"/>
            <w:vAlign w:val="bottom"/>
            <w:tcBorders>
              <w:bottom w:val="single" w:sz="8" w:color="auto"/>
              <w:right w:val="single" w:sz="8" w:color="auto"/>
            </w:tcBorders>
          </w:tcPr>
          <w:p>
            <w:pPr>
              <w:spacing w:after="0"/>
              <w:rPr>
                <w:sz w:val="2"/>
                <w:szCs w:val="2"/>
                <w:color w:val="auto"/>
              </w:rPr>
            </w:pPr>
          </w:p>
        </w:tc>
        <w:tc>
          <w:tcPr>
            <w:tcW w:w="1640" w:type="dxa"/>
            <w:vAlign w:val="bottom"/>
            <w:tcBorders>
              <w:bottom w:val="single" w:sz="8" w:color="auto"/>
              <w:right w:val="single" w:sz="8" w:color="auto"/>
            </w:tcBorders>
          </w:tcPr>
          <w:p>
            <w:pPr>
              <w:spacing w:after="0"/>
              <w:rPr>
                <w:sz w:val="2"/>
                <w:szCs w:val="2"/>
                <w:color w:val="auto"/>
              </w:rPr>
            </w:pPr>
          </w:p>
        </w:tc>
        <w:tc>
          <w:tcPr>
            <w:tcW w:w="1000" w:type="dxa"/>
            <w:vAlign w:val="bottom"/>
            <w:tcBorders>
              <w:bottom w:val="single" w:sz="8" w:color="auto"/>
              <w:right w:val="single" w:sz="8" w:color="auto"/>
            </w:tcBorders>
          </w:tcPr>
          <w:p>
            <w:pPr>
              <w:spacing w:after="0"/>
              <w:rPr>
                <w:sz w:val="2"/>
                <w:szCs w:val="2"/>
                <w:color w:val="auto"/>
              </w:rPr>
            </w:pPr>
          </w:p>
        </w:tc>
      </w:tr>
      <w:tr>
        <w:trPr>
          <w:trHeight w:val="237"/>
        </w:trPr>
        <w:tc>
          <w:tcPr>
            <w:tcW w:w="456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Euronet Services Slovakia, spol. s r.o.</w:t>
            </w:r>
          </w:p>
        </w:tc>
        <w:tc>
          <w:tcPr>
            <w:tcW w:w="20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Slovak Republic</w:t>
            </w:r>
          </w:p>
        </w:tc>
        <w:tc>
          <w:tcPr>
            <w:tcW w:w="22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Common Stock</w:t>
            </w:r>
          </w:p>
        </w:tc>
        <w:tc>
          <w:tcPr>
            <w:tcW w:w="1640" w:type="dxa"/>
            <w:vAlign w:val="bottom"/>
            <w:tcBorders>
              <w:right w:val="single" w:sz="8" w:color="auto"/>
            </w:tcBorders>
          </w:tcPr>
          <w:p>
            <w:pPr>
              <w:jc w:val="right"/>
              <w:ind w:right="50"/>
              <w:spacing w:after="0"/>
              <w:rPr>
                <w:sz w:val="20"/>
                <w:szCs w:val="20"/>
                <w:color w:val="auto"/>
              </w:rPr>
            </w:pPr>
            <w:r>
              <w:rPr>
                <w:rFonts w:ascii="Arial" w:cs="Arial" w:eastAsia="Arial" w:hAnsi="Arial"/>
                <w:sz w:val="18"/>
                <w:szCs w:val="18"/>
                <w:color w:val="auto"/>
              </w:rPr>
              <w:t>1</w:t>
            </w:r>
          </w:p>
        </w:tc>
        <w:tc>
          <w:tcPr>
            <w:tcW w:w="10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1"/>
              </w:rPr>
              <w:t>100%</w:t>
            </w:r>
          </w:p>
        </w:tc>
      </w:tr>
      <w:tr>
        <w:trPr>
          <w:trHeight w:val="27"/>
        </w:trPr>
        <w:tc>
          <w:tcPr>
            <w:tcW w:w="4560" w:type="dxa"/>
            <w:vAlign w:val="bottom"/>
            <w:tcBorders>
              <w:left w:val="single" w:sz="8" w:color="auto"/>
              <w:bottom w:val="single" w:sz="8" w:color="auto"/>
              <w:right w:val="single" w:sz="8" w:color="auto"/>
            </w:tcBorders>
          </w:tcPr>
          <w:p>
            <w:pPr>
              <w:spacing w:after="0"/>
              <w:rPr>
                <w:sz w:val="2"/>
                <w:szCs w:val="2"/>
                <w:color w:val="auto"/>
              </w:rPr>
            </w:pPr>
          </w:p>
        </w:tc>
        <w:tc>
          <w:tcPr>
            <w:tcW w:w="2000" w:type="dxa"/>
            <w:vAlign w:val="bottom"/>
            <w:tcBorders>
              <w:bottom w:val="single" w:sz="8" w:color="auto"/>
              <w:right w:val="single" w:sz="8" w:color="auto"/>
            </w:tcBorders>
          </w:tcPr>
          <w:p>
            <w:pPr>
              <w:spacing w:after="0"/>
              <w:rPr>
                <w:sz w:val="2"/>
                <w:szCs w:val="2"/>
                <w:color w:val="auto"/>
              </w:rPr>
            </w:pPr>
          </w:p>
        </w:tc>
        <w:tc>
          <w:tcPr>
            <w:tcW w:w="2220" w:type="dxa"/>
            <w:vAlign w:val="bottom"/>
            <w:tcBorders>
              <w:bottom w:val="single" w:sz="8" w:color="auto"/>
              <w:right w:val="single" w:sz="8" w:color="auto"/>
            </w:tcBorders>
          </w:tcPr>
          <w:p>
            <w:pPr>
              <w:spacing w:after="0"/>
              <w:rPr>
                <w:sz w:val="2"/>
                <w:szCs w:val="2"/>
                <w:color w:val="auto"/>
              </w:rPr>
            </w:pPr>
          </w:p>
        </w:tc>
        <w:tc>
          <w:tcPr>
            <w:tcW w:w="1640" w:type="dxa"/>
            <w:vAlign w:val="bottom"/>
            <w:tcBorders>
              <w:bottom w:val="single" w:sz="8" w:color="auto"/>
              <w:right w:val="single" w:sz="8" w:color="auto"/>
            </w:tcBorders>
          </w:tcPr>
          <w:p>
            <w:pPr>
              <w:spacing w:after="0"/>
              <w:rPr>
                <w:sz w:val="2"/>
                <w:szCs w:val="2"/>
                <w:color w:val="auto"/>
              </w:rPr>
            </w:pPr>
          </w:p>
        </w:tc>
        <w:tc>
          <w:tcPr>
            <w:tcW w:w="1000" w:type="dxa"/>
            <w:vAlign w:val="bottom"/>
            <w:tcBorders>
              <w:bottom w:val="single" w:sz="8" w:color="auto"/>
              <w:right w:val="single" w:sz="8" w:color="auto"/>
            </w:tcBorders>
          </w:tcPr>
          <w:p>
            <w:pPr>
              <w:spacing w:after="0"/>
              <w:rPr>
                <w:sz w:val="2"/>
                <w:szCs w:val="2"/>
                <w:color w:val="auto"/>
              </w:rPr>
            </w:pPr>
          </w:p>
        </w:tc>
      </w:tr>
      <w:tr>
        <w:trPr>
          <w:trHeight w:val="237"/>
        </w:trPr>
        <w:tc>
          <w:tcPr>
            <w:tcW w:w="456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Euronet Bulgaria EOOD</w:t>
            </w:r>
          </w:p>
        </w:tc>
        <w:tc>
          <w:tcPr>
            <w:tcW w:w="20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Bulgaria</w:t>
            </w:r>
          </w:p>
        </w:tc>
        <w:tc>
          <w:tcPr>
            <w:tcW w:w="22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Equity Interest</w:t>
            </w:r>
          </w:p>
        </w:tc>
        <w:tc>
          <w:tcPr>
            <w:tcW w:w="1640" w:type="dxa"/>
            <w:vAlign w:val="bottom"/>
            <w:tcBorders>
              <w:right w:val="single" w:sz="8" w:color="auto"/>
            </w:tcBorders>
          </w:tcPr>
          <w:p>
            <w:pPr>
              <w:jc w:val="right"/>
              <w:ind w:right="50"/>
              <w:spacing w:after="0"/>
              <w:rPr>
                <w:sz w:val="20"/>
                <w:szCs w:val="20"/>
                <w:color w:val="auto"/>
              </w:rPr>
            </w:pPr>
            <w:r>
              <w:rPr>
                <w:rFonts w:ascii="Arial" w:cs="Arial" w:eastAsia="Arial" w:hAnsi="Arial"/>
                <w:sz w:val="18"/>
                <w:szCs w:val="18"/>
                <w:color w:val="auto"/>
              </w:rPr>
              <w:t>1</w:t>
            </w:r>
          </w:p>
        </w:tc>
        <w:tc>
          <w:tcPr>
            <w:tcW w:w="10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1"/>
              </w:rPr>
              <w:t>100%</w:t>
            </w:r>
          </w:p>
        </w:tc>
      </w:tr>
      <w:tr>
        <w:trPr>
          <w:trHeight w:val="27"/>
        </w:trPr>
        <w:tc>
          <w:tcPr>
            <w:tcW w:w="4560" w:type="dxa"/>
            <w:vAlign w:val="bottom"/>
            <w:tcBorders>
              <w:left w:val="single" w:sz="8" w:color="auto"/>
              <w:bottom w:val="single" w:sz="8" w:color="auto"/>
              <w:right w:val="single" w:sz="8" w:color="auto"/>
            </w:tcBorders>
          </w:tcPr>
          <w:p>
            <w:pPr>
              <w:spacing w:after="0"/>
              <w:rPr>
                <w:sz w:val="2"/>
                <w:szCs w:val="2"/>
                <w:color w:val="auto"/>
              </w:rPr>
            </w:pPr>
          </w:p>
        </w:tc>
        <w:tc>
          <w:tcPr>
            <w:tcW w:w="2000" w:type="dxa"/>
            <w:vAlign w:val="bottom"/>
            <w:tcBorders>
              <w:bottom w:val="single" w:sz="8" w:color="auto"/>
              <w:right w:val="single" w:sz="8" w:color="auto"/>
            </w:tcBorders>
          </w:tcPr>
          <w:p>
            <w:pPr>
              <w:spacing w:after="0"/>
              <w:rPr>
                <w:sz w:val="2"/>
                <w:szCs w:val="2"/>
                <w:color w:val="auto"/>
              </w:rPr>
            </w:pPr>
          </w:p>
        </w:tc>
        <w:tc>
          <w:tcPr>
            <w:tcW w:w="2220" w:type="dxa"/>
            <w:vAlign w:val="bottom"/>
            <w:tcBorders>
              <w:bottom w:val="single" w:sz="8" w:color="auto"/>
              <w:right w:val="single" w:sz="8" w:color="auto"/>
            </w:tcBorders>
          </w:tcPr>
          <w:p>
            <w:pPr>
              <w:spacing w:after="0"/>
              <w:rPr>
                <w:sz w:val="2"/>
                <w:szCs w:val="2"/>
                <w:color w:val="auto"/>
              </w:rPr>
            </w:pPr>
          </w:p>
        </w:tc>
        <w:tc>
          <w:tcPr>
            <w:tcW w:w="1640" w:type="dxa"/>
            <w:vAlign w:val="bottom"/>
            <w:tcBorders>
              <w:bottom w:val="single" w:sz="8" w:color="auto"/>
              <w:right w:val="single" w:sz="8" w:color="auto"/>
            </w:tcBorders>
          </w:tcPr>
          <w:p>
            <w:pPr>
              <w:spacing w:after="0"/>
              <w:rPr>
                <w:sz w:val="2"/>
                <w:szCs w:val="2"/>
                <w:color w:val="auto"/>
              </w:rPr>
            </w:pPr>
          </w:p>
        </w:tc>
        <w:tc>
          <w:tcPr>
            <w:tcW w:w="1000" w:type="dxa"/>
            <w:vAlign w:val="bottom"/>
            <w:tcBorders>
              <w:bottom w:val="single" w:sz="8" w:color="auto"/>
              <w:right w:val="single" w:sz="8" w:color="auto"/>
            </w:tcBorders>
          </w:tcPr>
          <w:p>
            <w:pPr>
              <w:spacing w:after="0"/>
              <w:rPr>
                <w:sz w:val="2"/>
                <w:szCs w:val="2"/>
                <w:color w:val="auto"/>
              </w:rPr>
            </w:pPr>
          </w:p>
        </w:tc>
      </w:tr>
      <w:tr>
        <w:trPr>
          <w:trHeight w:val="237"/>
        </w:trPr>
        <w:tc>
          <w:tcPr>
            <w:tcW w:w="456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Euronet Polska Spółka z o.o.</w:t>
            </w:r>
          </w:p>
        </w:tc>
        <w:tc>
          <w:tcPr>
            <w:tcW w:w="20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Poland</w:t>
            </w:r>
          </w:p>
        </w:tc>
        <w:tc>
          <w:tcPr>
            <w:tcW w:w="22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Member Interests</w:t>
            </w:r>
          </w:p>
        </w:tc>
        <w:tc>
          <w:tcPr>
            <w:tcW w:w="1640" w:type="dxa"/>
            <w:vAlign w:val="bottom"/>
            <w:tcBorders>
              <w:right w:val="single" w:sz="8" w:color="auto"/>
            </w:tcBorders>
          </w:tcPr>
          <w:p>
            <w:pPr>
              <w:jc w:val="right"/>
              <w:ind w:right="50"/>
              <w:spacing w:after="0"/>
              <w:rPr>
                <w:sz w:val="20"/>
                <w:szCs w:val="20"/>
                <w:color w:val="auto"/>
              </w:rPr>
            </w:pPr>
            <w:r>
              <w:rPr>
                <w:rFonts w:ascii="Arial" w:cs="Arial" w:eastAsia="Arial" w:hAnsi="Arial"/>
                <w:sz w:val="18"/>
                <w:szCs w:val="18"/>
                <w:color w:val="auto"/>
              </w:rPr>
              <w:t>1</w:t>
            </w:r>
          </w:p>
        </w:tc>
        <w:tc>
          <w:tcPr>
            <w:tcW w:w="10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1"/>
              </w:rPr>
              <w:t>100%</w:t>
            </w:r>
          </w:p>
        </w:tc>
      </w:tr>
      <w:tr>
        <w:trPr>
          <w:trHeight w:val="27"/>
        </w:trPr>
        <w:tc>
          <w:tcPr>
            <w:tcW w:w="4560" w:type="dxa"/>
            <w:vAlign w:val="bottom"/>
            <w:tcBorders>
              <w:left w:val="single" w:sz="8" w:color="auto"/>
              <w:bottom w:val="single" w:sz="8" w:color="auto"/>
              <w:right w:val="single" w:sz="8" w:color="auto"/>
            </w:tcBorders>
          </w:tcPr>
          <w:p>
            <w:pPr>
              <w:spacing w:after="0"/>
              <w:rPr>
                <w:sz w:val="2"/>
                <w:szCs w:val="2"/>
                <w:color w:val="auto"/>
              </w:rPr>
            </w:pPr>
          </w:p>
        </w:tc>
        <w:tc>
          <w:tcPr>
            <w:tcW w:w="2000" w:type="dxa"/>
            <w:vAlign w:val="bottom"/>
            <w:tcBorders>
              <w:bottom w:val="single" w:sz="8" w:color="auto"/>
              <w:right w:val="single" w:sz="8" w:color="auto"/>
            </w:tcBorders>
          </w:tcPr>
          <w:p>
            <w:pPr>
              <w:spacing w:after="0"/>
              <w:rPr>
                <w:sz w:val="2"/>
                <w:szCs w:val="2"/>
                <w:color w:val="auto"/>
              </w:rPr>
            </w:pPr>
          </w:p>
        </w:tc>
        <w:tc>
          <w:tcPr>
            <w:tcW w:w="2220" w:type="dxa"/>
            <w:vAlign w:val="bottom"/>
            <w:tcBorders>
              <w:bottom w:val="single" w:sz="8" w:color="auto"/>
              <w:right w:val="single" w:sz="8" w:color="auto"/>
            </w:tcBorders>
          </w:tcPr>
          <w:p>
            <w:pPr>
              <w:spacing w:after="0"/>
              <w:rPr>
                <w:sz w:val="2"/>
                <w:szCs w:val="2"/>
                <w:color w:val="auto"/>
              </w:rPr>
            </w:pPr>
          </w:p>
        </w:tc>
        <w:tc>
          <w:tcPr>
            <w:tcW w:w="1640" w:type="dxa"/>
            <w:vAlign w:val="bottom"/>
            <w:tcBorders>
              <w:bottom w:val="single" w:sz="8" w:color="auto"/>
              <w:right w:val="single" w:sz="8" w:color="auto"/>
            </w:tcBorders>
          </w:tcPr>
          <w:p>
            <w:pPr>
              <w:spacing w:after="0"/>
              <w:rPr>
                <w:sz w:val="2"/>
                <w:szCs w:val="2"/>
                <w:color w:val="auto"/>
              </w:rPr>
            </w:pPr>
          </w:p>
        </w:tc>
        <w:tc>
          <w:tcPr>
            <w:tcW w:w="1000" w:type="dxa"/>
            <w:vAlign w:val="bottom"/>
            <w:tcBorders>
              <w:bottom w:val="single" w:sz="8" w:color="auto"/>
              <w:right w:val="single" w:sz="8" w:color="auto"/>
            </w:tcBorders>
          </w:tcPr>
          <w:p>
            <w:pPr>
              <w:spacing w:after="0"/>
              <w:rPr>
                <w:sz w:val="2"/>
                <w:szCs w:val="2"/>
                <w:color w:val="auto"/>
              </w:rPr>
            </w:pPr>
          </w:p>
        </w:tc>
      </w:tr>
      <w:tr>
        <w:trPr>
          <w:trHeight w:val="237"/>
        </w:trPr>
        <w:tc>
          <w:tcPr>
            <w:tcW w:w="456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Euronet Services Schweiz GmbH</w:t>
            </w:r>
          </w:p>
        </w:tc>
        <w:tc>
          <w:tcPr>
            <w:tcW w:w="20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Switzerland</w:t>
            </w:r>
          </w:p>
        </w:tc>
        <w:tc>
          <w:tcPr>
            <w:tcW w:w="22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Common Stock</w:t>
            </w:r>
          </w:p>
        </w:tc>
        <w:tc>
          <w:tcPr>
            <w:tcW w:w="1640" w:type="dxa"/>
            <w:vAlign w:val="bottom"/>
            <w:tcBorders>
              <w:right w:val="single" w:sz="8" w:color="auto"/>
            </w:tcBorders>
          </w:tcPr>
          <w:p>
            <w:pPr>
              <w:jc w:val="right"/>
              <w:ind w:right="50"/>
              <w:spacing w:after="0"/>
              <w:rPr>
                <w:sz w:val="20"/>
                <w:szCs w:val="20"/>
                <w:color w:val="auto"/>
              </w:rPr>
            </w:pPr>
            <w:r>
              <w:rPr>
                <w:rFonts w:ascii="Arial" w:cs="Arial" w:eastAsia="Arial" w:hAnsi="Arial"/>
                <w:sz w:val="18"/>
                <w:szCs w:val="18"/>
                <w:color w:val="auto"/>
              </w:rPr>
              <w:t>100</w:t>
            </w:r>
          </w:p>
        </w:tc>
        <w:tc>
          <w:tcPr>
            <w:tcW w:w="10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1"/>
              </w:rPr>
              <w:t>100%</w:t>
            </w:r>
          </w:p>
        </w:tc>
      </w:tr>
      <w:tr>
        <w:trPr>
          <w:trHeight w:val="27"/>
        </w:trPr>
        <w:tc>
          <w:tcPr>
            <w:tcW w:w="4560" w:type="dxa"/>
            <w:vAlign w:val="bottom"/>
            <w:tcBorders>
              <w:left w:val="single" w:sz="8" w:color="auto"/>
              <w:bottom w:val="single" w:sz="8" w:color="auto"/>
              <w:right w:val="single" w:sz="8" w:color="auto"/>
            </w:tcBorders>
          </w:tcPr>
          <w:p>
            <w:pPr>
              <w:spacing w:after="0"/>
              <w:rPr>
                <w:sz w:val="2"/>
                <w:szCs w:val="2"/>
                <w:color w:val="auto"/>
              </w:rPr>
            </w:pPr>
          </w:p>
        </w:tc>
        <w:tc>
          <w:tcPr>
            <w:tcW w:w="2000" w:type="dxa"/>
            <w:vAlign w:val="bottom"/>
            <w:tcBorders>
              <w:bottom w:val="single" w:sz="8" w:color="auto"/>
              <w:right w:val="single" w:sz="8" w:color="auto"/>
            </w:tcBorders>
          </w:tcPr>
          <w:p>
            <w:pPr>
              <w:spacing w:after="0"/>
              <w:rPr>
                <w:sz w:val="2"/>
                <w:szCs w:val="2"/>
                <w:color w:val="auto"/>
              </w:rPr>
            </w:pPr>
          </w:p>
        </w:tc>
        <w:tc>
          <w:tcPr>
            <w:tcW w:w="2220" w:type="dxa"/>
            <w:vAlign w:val="bottom"/>
            <w:tcBorders>
              <w:bottom w:val="single" w:sz="8" w:color="auto"/>
              <w:right w:val="single" w:sz="8" w:color="auto"/>
            </w:tcBorders>
          </w:tcPr>
          <w:p>
            <w:pPr>
              <w:spacing w:after="0"/>
              <w:rPr>
                <w:sz w:val="2"/>
                <w:szCs w:val="2"/>
                <w:color w:val="auto"/>
              </w:rPr>
            </w:pPr>
          </w:p>
        </w:tc>
        <w:tc>
          <w:tcPr>
            <w:tcW w:w="1640" w:type="dxa"/>
            <w:vAlign w:val="bottom"/>
            <w:tcBorders>
              <w:bottom w:val="single" w:sz="8" w:color="auto"/>
              <w:right w:val="single" w:sz="8" w:color="auto"/>
            </w:tcBorders>
          </w:tcPr>
          <w:p>
            <w:pPr>
              <w:spacing w:after="0"/>
              <w:rPr>
                <w:sz w:val="2"/>
                <w:szCs w:val="2"/>
                <w:color w:val="auto"/>
              </w:rPr>
            </w:pPr>
          </w:p>
        </w:tc>
        <w:tc>
          <w:tcPr>
            <w:tcW w:w="1000" w:type="dxa"/>
            <w:vAlign w:val="bottom"/>
            <w:tcBorders>
              <w:bottom w:val="single" w:sz="8" w:color="auto"/>
              <w:right w:val="single" w:sz="8" w:color="auto"/>
            </w:tcBorders>
          </w:tcPr>
          <w:p>
            <w:pPr>
              <w:spacing w:after="0"/>
              <w:rPr>
                <w:sz w:val="2"/>
                <w:szCs w:val="2"/>
                <w:color w:val="auto"/>
              </w:rPr>
            </w:pPr>
          </w:p>
        </w:tc>
      </w:tr>
      <w:tr>
        <w:trPr>
          <w:trHeight w:val="237"/>
        </w:trPr>
        <w:tc>
          <w:tcPr>
            <w:tcW w:w="456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Euronet Services India Pvt. Ltd.</w:t>
            </w:r>
          </w:p>
        </w:tc>
        <w:tc>
          <w:tcPr>
            <w:tcW w:w="20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India</w:t>
            </w:r>
          </w:p>
        </w:tc>
        <w:tc>
          <w:tcPr>
            <w:tcW w:w="22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Common Stock</w:t>
            </w:r>
          </w:p>
        </w:tc>
        <w:tc>
          <w:tcPr>
            <w:tcW w:w="1640" w:type="dxa"/>
            <w:vAlign w:val="bottom"/>
            <w:tcBorders>
              <w:right w:val="single" w:sz="8" w:color="auto"/>
            </w:tcBorders>
          </w:tcPr>
          <w:p>
            <w:pPr>
              <w:jc w:val="right"/>
              <w:ind w:right="50"/>
              <w:spacing w:after="0"/>
              <w:rPr>
                <w:sz w:val="20"/>
                <w:szCs w:val="20"/>
                <w:color w:val="auto"/>
              </w:rPr>
            </w:pPr>
            <w:r>
              <w:rPr>
                <w:rFonts w:ascii="Arial" w:cs="Arial" w:eastAsia="Arial" w:hAnsi="Arial"/>
                <w:sz w:val="18"/>
                <w:szCs w:val="18"/>
                <w:color w:val="auto"/>
              </w:rPr>
              <w:t>2,127,320</w:t>
            </w:r>
          </w:p>
        </w:tc>
        <w:tc>
          <w:tcPr>
            <w:tcW w:w="10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1"/>
              </w:rPr>
              <w:t>100%</w:t>
            </w:r>
          </w:p>
        </w:tc>
      </w:tr>
      <w:tr>
        <w:trPr>
          <w:trHeight w:val="27"/>
        </w:trPr>
        <w:tc>
          <w:tcPr>
            <w:tcW w:w="4560" w:type="dxa"/>
            <w:vAlign w:val="bottom"/>
            <w:tcBorders>
              <w:left w:val="single" w:sz="8" w:color="auto"/>
              <w:bottom w:val="single" w:sz="8" w:color="auto"/>
              <w:right w:val="single" w:sz="8" w:color="auto"/>
            </w:tcBorders>
          </w:tcPr>
          <w:p>
            <w:pPr>
              <w:spacing w:after="0"/>
              <w:rPr>
                <w:sz w:val="2"/>
                <w:szCs w:val="2"/>
                <w:color w:val="auto"/>
              </w:rPr>
            </w:pPr>
          </w:p>
        </w:tc>
        <w:tc>
          <w:tcPr>
            <w:tcW w:w="2000" w:type="dxa"/>
            <w:vAlign w:val="bottom"/>
            <w:tcBorders>
              <w:bottom w:val="single" w:sz="8" w:color="auto"/>
              <w:right w:val="single" w:sz="8" w:color="auto"/>
            </w:tcBorders>
          </w:tcPr>
          <w:p>
            <w:pPr>
              <w:spacing w:after="0"/>
              <w:rPr>
                <w:sz w:val="2"/>
                <w:szCs w:val="2"/>
                <w:color w:val="auto"/>
              </w:rPr>
            </w:pPr>
          </w:p>
        </w:tc>
        <w:tc>
          <w:tcPr>
            <w:tcW w:w="2220" w:type="dxa"/>
            <w:vAlign w:val="bottom"/>
            <w:tcBorders>
              <w:bottom w:val="single" w:sz="8" w:color="auto"/>
              <w:right w:val="single" w:sz="8" w:color="auto"/>
            </w:tcBorders>
          </w:tcPr>
          <w:p>
            <w:pPr>
              <w:spacing w:after="0"/>
              <w:rPr>
                <w:sz w:val="2"/>
                <w:szCs w:val="2"/>
                <w:color w:val="auto"/>
              </w:rPr>
            </w:pPr>
          </w:p>
        </w:tc>
        <w:tc>
          <w:tcPr>
            <w:tcW w:w="1640" w:type="dxa"/>
            <w:vAlign w:val="bottom"/>
            <w:tcBorders>
              <w:bottom w:val="single" w:sz="8" w:color="auto"/>
              <w:right w:val="single" w:sz="8" w:color="auto"/>
            </w:tcBorders>
          </w:tcPr>
          <w:p>
            <w:pPr>
              <w:spacing w:after="0"/>
              <w:rPr>
                <w:sz w:val="2"/>
                <w:szCs w:val="2"/>
                <w:color w:val="auto"/>
              </w:rPr>
            </w:pPr>
          </w:p>
        </w:tc>
        <w:tc>
          <w:tcPr>
            <w:tcW w:w="1000" w:type="dxa"/>
            <w:vAlign w:val="bottom"/>
            <w:tcBorders>
              <w:bottom w:val="single" w:sz="8" w:color="auto"/>
              <w:right w:val="single" w:sz="8" w:color="auto"/>
            </w:tcBorders>
          </w:tcPr>
          <w:p>
            <w:pPr>
              <w:spacing w:after="0"/>
              <w:rPr>
                <w:sz w:val="2"/>
                <w:szCs w:val="2"/>
                <w:color w:val="auto"/>
              </w:rPr>
            </w:pPr>
          </w:p>
        </w:tc>
      </w:tr>
      <w:tr>
        <w:trPr>
          <w:trHeight w:val="237"/>
        </w:trPr>
        <w:tc>
          <w:tcPr>
            <w:tcW w:w="456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RIA Money Transfer Services Pvt. Ltd.</w:t>
            </w:r>
          </w:p>
        </w:tc>
        <w:tc>
          <w:tcPr>
            <w:tcW w:w="20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India</w:t>
            </w:r>
          </w:p>
        </w:tc>
        <w:tc>
          <w:tcPr>
            <w:tcW w:w="22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Common Stock</w:t>
            </w:r>
          </w:p>
        </w:tc>
        <w:tc>
          <w:tcPr>
            <w:tcW w:w="1640" w:type="dxa"/>
            <w:vAlign w:val="bottom"/>
            <w:tcBorders>
              <w:right w:val="single" w:sz="8" w:color="auto"/>
            </w:tcBorders>
          </w:tcPr>
          <w:p>
            <w:pPr>
              <w:jc w:val="right"/>
              <w:ind w:right="50"/>
              <w:spacing w:after="0"/>
              <w:rPr>
                <w:sz w:val="20"/>
                <w:szCs w:val="20"/>
                <w:color w:val="auto"/>
              </w:rPr>
            </w:pPr>
            <w:r>
              <w:rPr>
                <w:rFonts w:ascii="Arial" w:cs="Arial" w:eastAsia="Arial" w:hAnsi="Arial"/>
                <w:sz w:val="18"/>
                <w:szCs w:val="18"/>
                <w:color w:val="auto"/>
              </w:rPr>
              <w:t>30,000,000</w:t>
            </w:r>
          </w:p>
        </w:tc>
        <w:tc>
          <w:tcPr>
            <w:tcW w:w="10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1"/>
              </w:rPr>
              <w:t>100%</w:t>
            </w:r>
          </w:p>
        </w:tc>
      </w:tr>
      <w:tr>
        <w:trPr>
          <w:trHeight w:val="27"/>
        </w:trPr>
        <w:tc>
          <w:tcPr>
            <w:tcW w:w="4560" w:type="dxa"/>
            <w:vAlign w:val="bottom"/>
            <w:tcBorders>
              <w:left w:val="single" w:sz="8" w:color="auto"/>
              <w:bottom w:val="single" w:sz="8" w:color="auto"/>
              <w:right w:val="single" w:sz="8" w:color="auto"/>
            </w:tcBorders>
          </w:tcPr>
          <w:p>
            <w:pPr>
              <w:spacing w:after="0"/>
              <w:rPr>
                <w:sz w:val="2"/>
                <w:szCs w:val="2"/>
                <w:color w:val="auto"/>
              </w:rPr>
            </w:pPr>
          </w:p>
        </w:tc>
        <w:tc>
          <w:tcPr>
            <w:tcW w:w="2000" w:type="dxa"/>
            <w:vAlign w:val="bottom"/>
            <w:tcBorders>
              <w:bottom w:val="single" w:sz="8" w:color="auto"/>
              <w:right w:val="single" w:sz="8" w:color="auto"/>
            </w:tcBorders>
          </w:tcPr>
          <w:p>
            <w:pPr>
              <w:spacing w:after="0"/>
              <w:rPr>
                <w:sz w:val="2"/>
                <w:szCs w:val="2"/>
                <w:color w:val="auto"/>
              </w:rPr>
            </w:pPr>
          </w:p>
        </w:tc>
        <w:tc>
          <w:tcPr>
            <w:tcW w:w="2220" w:type="dxa"/>
            <w:vAlign w:val="bottom"/>
            <w:tcBorders>
              <w:bottom w:val="single" w:sz="8" w:color="auto"/>
              <w:right w:val="single" w:sz="8" w:color="auto"/>
            </w:tcBorders>
          </w:tcPr>
          <w:p>
            <w:pPr>
              <w:spacing w:after="0"/>
              <w:rPr>
                <w:sz w:val="2"/>
                <w:szCs w:val="2"/>
                <w:color w:val="auto"/>
              </w:rPr>
            </w:pPr>
          </w:p>
        </w:tc>
        <w:tc>
          <w:tcPr>
            <w:tcW w:w="1640" w:type="dxa"/>
            <w:vAlign w:val="bottom"/>
            <w:tcBorders>
              <w:bottom w:val="single" w:sz="8" w:color="auto"/>
              <w:right w:val="single" w:sz="8" w:color="auto"/>
            </w:tcBorders>
          </w:tcPr>
          <w:p>
            <w:pPr>
              <w:spacing w:after="0"/>
              <w:rPr>
                <w:sz w:val="2"/>
                <w:szCs w:val="2"/>
                <w:color w:val="auto"/>
              </w:rPr>
            </w:pPr>
          </w:p>
        </w:tc>
        <w:tc>
          <w:tcPr>
            <w:tcW w:w="1000" w:type="dxa"/>
            <w:vAlign w:val="bottom"/>
            <w:tcBorders>
              <w:bottom w:val="single" w:sz="8" w:color="auto"/>
              <w:right w:val="single" w:sz="8" w:color="auto"/>
            </w:tcBorders>
          </w:tcPr>
          <w:p>
            <w:pPr>
              <w:spacing w:after="0"/>
              <w:rPr>
                <w:sz w:val="2"/>
                <w:szCs w:val="2"/>
                <w:color w:val="auto"/>
              </w:rPr>
            </w:pPr>
          </w:p>
        </w:tc>
      </w:tr>
      <w:tr>
        <w:trPr>
          <w:trHeight w:val="237"/>
        </w:trPr>
        <w:tc>
          <w:tcPr>
            <w:tcW w:w="456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Euronet Services Malaysia Sdn. Bhd.</w:t>
            </w:r>
          </w:p>
        </w:tc>
        <w:tc>
          <w:tcPr>
            <w:tcW w:w="20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Malaysia</w:t>
            </w:r>
          </w:p>
        </w:tc>
        <w:tc>
          <w:tcPr>
            <w:tcW w:w="22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0</w:t>
            </w:r>
          </w:p>
        </w:tc>
        <w:tc>
          <w:tcPr>
            <w:tcW w:w="1640" w:type="dxa"/>
            <w:vAlign w:val="bottom"/>
            <w:tcBorders>
              <w:right w:val="single" w:sz="8" w:color="auto"/>
            </w:tcBorders>
          </w:tcPr>
          <w:p>
            <w:pPr>
              <w:jc w:val="right"/>
              <w:ind w:right="50"/>
              <w:spacing w:after="0"/>
              <w:rPr>
                <w:sz w:val="20"/>
                <w:szCs w:val="20"/>
                <w:color w:val="auto"/>
              </w:rPr>
            </w:pPr>
            <w:r>
              <w:rPr>
                <w:rFonts w:ascii="Arial" w:cs="Arial" w:eastAsia="Arial" w:hAnsi="Arial"/>
                <w:sz w:val="18"/>
                <w:szCs w:val="18"/>
                <w:color w:val="auto"/>
              </w:rPr>
              <w:t>0</w:t>
            </w:r>
          </w:p>
        </w:tc>
        <w:tc>
          <w:tcPr>
            <w:tcW w:w="10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1"/>
              </w:rPr>
              <w:t>100%</w:t>
            </w:r>
          </w:p>
        </w:tc>
      </w:tr>
      <w:tr>
        <w:trPr>
          <w:trHeight w:val="27"/>
        </w:trPr>
        <w:tc>
          <w:tcPr>
            <w:tcW w:w="4560" w:type="dxa"/>
            <w:vAlign w:val="bottom"/>
            <w:tcBorders>
              <w:left w:val="single" w:sz="8" w:color="auto"/>
              <w:bottom w:val="single" w:sz="8" w:color="auto"/>
              <w:right w:val="single" w:sz="8" w:color="auto"/>
            </w:tcBorders>
          </w:tcPr>
          <w:p>
            <w:pPr>
              <w:spacing w:after="0"/>
              <w:rPr>
                <w:sz w:val="2"/>
                <w:szCs w:val="2"/>
                <w:color w:val="auto"/>
              </w:rPr>
            </w:pPr>
          </w:p>
        </w:tc>
        <w:tc>
          <w:tcPr>
            <w:tcW w:w="2000" w:type="dxa"/>
            <w:vAlign w:val="bottom"/>
            <w:tcBorders>
              <w:bottom w:val="single" w:sz="8" w:color="auto"/>
              <w:right w:val="single" w:sz="8" w:color="auto"/>
            </w:tcBorders>
          </w:tcPr>
          <w:p>
            <w:pPr>
              <w:spacing w:after="0"/>
              <w:rPr>
                <w:sz w:val="2"/>
                <w:szCs w:val="2"/>
                <w:color w:val="auto"/>
              </w:rPr>
            </w:pPr>
          </w:p>
        </w:tc>
        <w:tc>
          <w:tcPr>
            <w:tcW w:w="2220" w:type="dxa"/>
            <w:vAlign w:val="bottom"/>
            <w:tcBorders>
              <w:bottom w:val="single" w:sz="8" w:color="auto"/>
              <w:right w:val="single" w:sz="8" w:color="auto"/>
            </w:tcBorders>
          </w:tcPr>
          <w:p>
            <w:pPr>
              <w:spacing w:after="0"/>
              <w:rPr>
                <w:sz w:val="2"/>
                <w:szCs w:val="2"/>
                <w:color w:val="auto"/>
              </w:rPr>
            </w:pPr>
          </w:p>
        </w:tc>
        <w:tc>
          <w:tcPr>
            <w:tcW w:w="1640" w:type="dxa"/>
            <w:vAlign w:val="bottom"/>
            <w:tcBorders>
              <w:bottom w:val="single" w:sz="8" w:color="auto"/>
              <w:right w:val="single" w:sz="8" w:color="auto"/>
            </w:tcBorders>
          </w:tcPr>
          <w:p>
            <w:pPr>
              <w:spacing w:after="0"/>
              <w:rPr>
                <w:sz w:val="2"/>
                <w:szCs w:val="2"/>
                <w:color w:val="auto"/>
              </w:rPr>
            </w:pPr>
          </w:p>
        </w:tc>
        <w:tc>
          <w:tcPr>
            <w:tcW w:w="1000" w:type="dxa"/>
            <w:vAlign w:val="bottom"/>
            <w:tcBorders>
              <w:bottom w:val="single" w:sz="8" w:color="auto"/>
              <w:right w:val="single" w:sz="8" w:color="auto"/>
            </w:tcBorders>
          </w:tcPr>
          <w:p>
            <w:pPr>
              <w:spacing w:after="0"/>
              <w:rPr>
                <w:sz w:val="2"/>
                <w:szCs w:val="2"/>
                <w:color w:val="auto"/>
              </w:rPr>
            </w:pPr>
          </w:p>
        </w:tc>
      </w:tr>
      <w:tr>
        <w:trPr>
          <w:trHeight w:val="237"/>
        </w:trPr>
        <w:tc>
          <w:tcPr>
            <w:tcW w:w="456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Euronet Banktechnikai Szolgaltato Kft.</w:t>
            </w:r>
          </w:p>
        </w:tc>
        <w:tc>
          <w:tcPr>
            <w:tcW w:w="20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Hungary</w:t>
            </w:r>
          </w:p>
        </w:tc>
        <w:tc>
          <w:tcPr>
            <w:tcW w:w="22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Equity Interest</w:t>
            </w:r>
          </w:p>
        </w:tc>
        <w:tc>
          <w:tcPr>
            <w:tcW w:w="1640" w:type="dxa"/>
            <w:vAlign w:val="bottom"/>
            <w:tcBorders>
              <w:right w:val="single" w:sz="8" w:color="auto"/>
            </w:tcBorders>
          </w:tcPr>
          <w:p>
            <w:pPr>
              <w:jc w:val="right"/>
              <w:ind w:right="50"/>
              <w:spacing w:after="0"/>
              <w:rPr>
                <w:sz w:val="20"/>
                <w:szCs w:val="20"/>
                <w:color w:val="auto"/>
              </w:rPr>
            </w:pPr>
            <w:r>
              <w:rPr>
                <w:rFonts w:ascii="Arial" w:cs="Arial" w:eastAsia="Arial" w:hAnsi="Arial"/>
                <w:sz w:val="18"/>
                <w:szCs w:val="18"/>
                <w:color w:val="auto"/>
              </w:rPr>
              <w:t>1</w:t>
            </w:r>
          </w:p>
        </w:tc>
        <w:tc>
          <w:tcPr>
            <w:tcW w:w="10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1"/>
              </w:rPr>
              <w:t>100%</w:t>
            </w:r>
          </w:p>
        </w:tc>
      </w:tr>
      <w:tr>
        <w:trPr>
          <w:trHeight w:val="27"/>
        </w:trPr>
        <w:tc>
          <w:tcPr>
            <w:tcW w:w="4560" w:type="dxa"/>
            <w:vAlign w:val="bottom"/>
            <w:tcBorders>
              <w:left w:val="single" w:sz="8" w:color="auto"/>
              <w:bottom w:val="single" w:sz="8" w:color="auto"/>
              <w:right w:val="single" w:sz="8" w:color="auto"/>
            </w:tcBorders>
          </w:tcPr>
          <w:p>
            <w:pPr>
              <w:spacing w:after="0"/>
              <w:rPr>
                <w:sz w:val="2"/>
                <w:szCs w:val="2"/>
                <w:color w:val="auto"/>
              </w:rPr>
            </w:pPr>
          </w:p>
        </w:tc>
        <w:tc>
          <w:tcPr>
            <w:tcW w:w="2000" w:type="dxa"/>
            <w:vAlign w:val="bottom"/>
            <w:tcBorders>
              <w:bottom w:val="single" w:sz="8" w:color="auto"/>
              <w:right w:val="single" w:sz="8" w:color="auto"/>
            </w:tcBorders>
          </w:tcPr>
          <w:p>
            <w:pPr>
              <w:spacing w:after="0"/>
              <w:rPr>
                <w:sz w:val="2"/>
                <w:szCs w:val="2"/>
                <w:color w:val="auto"/>
              </w:rPr>
            </w:pPr>
          </w:p>
        </w:tc>
        <w:tc>
          <w:tcPr>
            <w:tcW w:w="2220" w:type="dxa"/>
            <w:vAlign w:val="bottom"/>
            <w:tcBorders>
              <w:bottom w:val="single" w:sz="8" w:color="auto"/>
              <w:right w:val="single" w:sz="8" w:color="auto"/>
            </w:tcBorders>
          </w:tcPr>
          <w:p>
            <w:pPr>
              <w:spacing w:after="0"/>
              <w:rPr>
                <w:sz w:val="2"/>
                <w:szCs w:val="2"/>
                <w:color w:val="auto"/>
              </w:rPr>
            </w:pPr>
          </w:p>
        </w:tc>
        <w:tc>
          <w:tcPr>
            <w:tcW w:w="1640" w:type="dxa"/>
            <w:vAlign w:val="bottom"/>
            <w:tcBorders>
              <w:bottom w:val="single" w:sz="8" w:color="auto"/>
              <w:right w:val="single" w:sz="8" w:color="auto"/>
            </w:tcBorders>
          </w:tcPr>
          <w:p>
            <w:pPr>
              <w:spacing w:after="0"/>
              <w:rPr>
                <w:sz w:val="2"/>
                <w:szCs w:val="2"/>
                <w:color w:val="auto"/>
              </w:rPr>
            </w:pPr>
          </w:p>
        </w:tc>
        <w:tc>
          <w:tcPr>
            <w:tcW w:w="1000" w:type="dxa"/>
            <w:vAlign w:val="bottom"/>
            <w:tcBorders>
              <w:bottom w:val="single" w:sz="8" w:color="auto"/>
              <w:right w:val="single" w:sz="8" w:color="auto"/>
            </w:tcBorders>
          </w:tcPr>
          <w:p>
            <w:pPr>
              <w:spacing w:after="0"/>
              <w:rPr>
                <w:sz w:val="2"/>
                <w:szCs w:val="2"/>
                <w:color w:val="auto"/>
              </w:rPr>
            </w:pPr>
          </w:p>
        </w:tc>
      </w:tr>
      <w:tr>
        <w:trPr>
          <w:trHeight w:val="237"/>
        </w:trPr>
        <w:tc>
          <w:tcPr>
            <w:tcW w:w="456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Euronet Services Kft.</w:t>
            </w:r>
          </w:p>
        </w:tc>
        <w:tc>
          <w:tcPr>
            <w:tcW w:w="20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Hungary</w:t>
            </w:r>
          </w:p>
        </w:tc>
        <w:tc>
          <w:tcPr>
            <w:tcW w:w="22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Equity Interest</w:t>
            </w:r>
          </w:p>
        </w:tc>
        <w:tc>
          <w:tcPr>
            <w:tcW w:w="1640" w:type="dxa"/>
            <w:vAlign w:val="bottom"/>
            <w:tcBorders>
              <w:right w:val="single" w:sz="8" w:color="auto"/>
            </w:tcBorders>
          </w:tcPr>
          <w:p>
            <w:pPr>
              <w:jc w:val="right"/>
              <w:ind w:right="50"/>
              <w:spacing w:after="0"/>
              <w:rPr>
                <w:sz w:val="20"/>
                <w:szCs w:val="20"/>
                <w:color w:val="auto"/>
              </w:rPr>
            </w:pPr>
            <w:r>
              <w:rPr>
                <w:rFonts w:ascii="Arial" w:cs="Arial" w:eastAsia="Arial" w:hAnsi="Arial"/>
                <w:sz w:val="18"/>
                <w:szCs w:val="18"/>
                <w:color w:val="auto"/>
              </w:rPr>
              <w:t>1</w:t>
            </w:r>
          </w:p>
        </w:tc>
        <w:tc>
          <w:tcPr>
            <w:tcW w:w="10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1"/>
              </w:rPr>
              <w:t>100%</w:t>
            </w:r>
          </w:p>
        </w:tc>
      </w:tr>
      <w:tr>
        <w:trPr>
          <w:trHeight w:val="27"/>
        </w:trPr>
        <w:tc>
          <w:tcPr>
            <w:tcW w:w="4560" w:type="dxa"/>
            <w:vAlign w:val="bottom"/>
            <w:tcBorders>
              <w:left w:val="single" w:sz="8" w:color="auto"/>
              <w:bottom w:val="single" w:sz="8" w:color="auto"/>
              <w:right w:val="single" w:sz="8" w:color="auto"/>
            </w:tcBorders>
          </w:tcPr>
          <w:p>
            <w:pPr>
              <w:spacing w:after="0"/>
              <w:rPr>
                <w:sz w:val="2"/>
                <w:szCs w:val="2"/>
                <w:color w:val="auto"/>
              </w:rPr>
            </w:pPr>
          </w:p>
        </w:tc>
        <w:tc>
          <w:tcPr>
            <w:tcW w:w="2000" w:type="dxa"/>
            <w:vAlign w:val="bottom"/>
            <w:tcBorders>
              <w:bottom w:val="single" w:sz="8" w:color="auto"/>
              <w:right w:val="single" w:sz="8" w:color="auto"/>
            </w:tcBorders>
          </w:tcPr>
          <w:p>
            <w:pPr>
              <w:spacing w:after="0"/>
              <w:rPr>
                <w:sz w:val="2"/>
                <w:szCs w:val="2"/>
                <w:color w:val="auto"/>
              </w:rPr>
            </w:pPr>
          </w:p>
        </w:tc>
        <w:tc>
          <w:tcPr>
            <w:tcW w:w="2220" w:type="dxa"/>
            <w:vAlign w:val="bottom"/>
            <w:tcBorders>
              <w:bottom w:val="single" w:sz="8" w:color="auto"/>
              <w:right w:val="single" w:sz="8" w:color="auto"/>
            </w:tcBorders>
          </w:tcPr>
          <w:p>
            <w:pPr>
              <w:spacing w:after="0"/>
              <w:rPr>
                <w:sz w:val="2"/>
                <w:szCs w:val="2"/>
                <w:color w:val="auto"/>
              </w:rPr>
            </w:pPr>
          </w:p>
        </w:tc>
        <w:tc>
          <w:tcPr>
            <w:tcW w:w="1640" w:type="dxa"/>
            <w:vAlign w:val="bottom"/>
            <w:tcBorders>
              <w:bottom w:val="single" w:sz="8" w:color="auto"/>
              <w:right w:val="single" w:sz="8" w:color="auto"/>
            </w:tcBorders>
          </w:tcPr>
          <w:p>
            <w:pPr>
              <w:spacing w:after="0"/>
              <w:rPr>
                <w:sz w:val="2"/>
                <w:szCs w:val="2"/>
                <w:color w:val="auto"/>
              </w:rPr>
            </w:pPr>
          </w:p>
        </w:tc>
        <w:tc>
          <w:tcPr>
            <w:tcW w:w="1000" w:type="dxa"/>
            <w:vAlign w:val="bottom"/>
            <w:tcBorders>
              <w:bottom w:val="single" w:sz="8" w:color="auto"/>
              <w:right w:val="single" w:sz="8" w:color="auto"/>
            </w:tcBorders>
          </w:tcPr>
          <w:p>
            <w:pPr>
              <w:spacing w:after="0"/>
              <w:rPr>
                <w:sz w:val="2"/>
                <w:szCs w:val="2"/>
                <w:color w:val="auto"/>
              </w:rPr>
            </w:pPr>
          </w:p>
        </w:tc>
      </w:tr>
      <w:tr>
        <w:trPr>
          <w:trHeight w:val="237"/>
        </w:trPr>
        <w:tc>
          <w:tcPr>
            <w:tcW w:w="456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XBA Szolgaltato Kft.</w:t>
            </w:r>
          </w:p>
        </w:tc>
        <w:tc>
          <w:tcPr>
            <w:tcW w:w="20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Hungary</w:t>
            </w:r>
          </w:p>
        </w:tc>
        <w:tc>
          <w:tcPr>
            <w:tcW w:w="22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Equity Interest</w:t>
            </w:r>
          </w:p>
        </w:tc>
        <w:tc>
          <w:tcPr>
            <w:tcW w:w="1640" w:type="dxa"/>
            <w:vAlign w:val="bottom"/>
            <w:tcBorders>
              <w:right w:val="single" w:sz="8" w:color="auto"/>
            </w:tcBorders>
          </w:tcPr>
          <w:p>
            <w:pPr>
              <w:jc w:val="right"/>
              <w:ind w:right="50"/>
              <w:spacing w:after="0"/>
              <w:rPr>
                <w:sz w:val="20"/>
                <w:szCs w:val="20"/>
                <w:color w:val="auto"/>
              </w:rPr>
            </w:pPr>
            <w:r>
              <w:rPr>
                <w:rFonts w:ascii="Arial" w:cs="Arial" w:eastAsia="Arial" w:hAnsi="Arial"/>
                <w:sz w:val="18"/>
                <w:szCs w:val="18"/>
                <w:color w:val="auto"/>
              </w:rPr>
              <w:t>1</w:t>
            </w:r>
          </w:p>
        </w:tc>
        <w:tc>
          <w:tcPr>
            <w:tcW w:w="10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1"/>
              </w:rPr>
              <w:t>100%</w:t>
            </w:r>
          </w:p>
        </w:tc>
      </w:tr>
      <w:tr>
        <w:trPr>
          <w:trHeight w:val="27"/>
        </w:trPr>
        <w:tc>
          <w:tcPr>
            <w:tcW w:w="4560" w:type="dxa"/>
            <w:vAlign w:val="bottom"/>
            <w:tcBorders>
              <w:left w:val="single" w:sz="8" w:color="auto"/>
              <w:bottom w:val="single" w:sz="8" w:color="auto"/>
              <w:right w:val="single" w:sz="8" w:color="auto"/>
            </w:tcBorders>
          </w:tcPr>
          <w:p>
            <w:pPr>
              <w:spacing w:after="0"/>
              <w:rPr>
                <w:sz w:val="2"/>
                <w:szCs w:val="2"/>
                <w:color w:val="auto"/>
              </w:rPr>
            </w:pPr>
          </w:p>
        </w:tc>
        <w:tc>
          <w:tcPr>
            <w:tcW w:w="2000" w:type="dxa"/>
            <w:vAlign w:val="bottom"/>
            <w:tcBorders>
              <w:bottom w:val="single" w:sz="8" w:color="auto"/>
              <w:right w:val="single" w:sz="8" w:color="auto"/>
            </w:tcBorders>
          </w:tcPr>
          <w:p>
            <w:pPr>
              <w:spacing w:after="0"/>
              <w:rPr>
                <w:sz w:val="2"/>
                <w:szCs w:val="2"/>
                <w:color w:val="auto"/>
              </w:rPr>
            </w:pPr>
          </w:p>
        </w:tc>
        <w:tc>
          <w:tcPr>
            <w:tcW w:w="2220" w:type="dxa"/>
            <w:vAlign w:val="bottom"/>
            <w:tcBorders>
              <w:bottom w:val="single" w:sz="8" w:color="auto"/>
              <w:right w:val="single" w:sz="8" w:color="auto"/>
            </w:tcBorders>
          </w:tcPr>
          <w:p>
            <w:pPr>
              <w:spacing w:after="0"/>
              <w:rPr>
                <w:sz w:val="2"/>
                <w:szCs w:val="2"/>
                <w:color w:val="auto"/>
              </w:rPr>
            </w:pPr>
          </w:p>
        </w:tc>
        <w:tc>
          <w:tcPr>
            <w:tcW w:w="1640" w:type="dxa"/>
            <w:vAlign w:val="bottom"/>
            <w:tcBorders>
              <w:bottom w:val="single" w:sz="8" w:color="auto"/>
              <w:right w:val="single" w:sz="8" w:color="auto"/>
            </w:tcBorders>
          </w:tcPr>
          <w:p>
            <w:pPr>
              <w:spacing w:after="0"/>
              <w:rPr>
                <w:sz w:val="2"/>
                <w:szCs w:val="2"/>
                <w:color w:val="auto"/>
              </w:rPr>
            </w:pPr>
          </w:p>
        </w:tc>
        <w:tc>
          <w:tcPr>
            <w:tcW w:w="1000" w:type="dxa"/>
            <w:vAlign w:val="bottom"/>
            <w:tcBorders>
              <w:bottom w:val="single" w:sz="8" w:color="auto"/>
              <w:right w:val="single" w:sz="8" w:color="auto"/>
            </w:tcBorders>
          </w:tcPr>
          <w:p>
            <w:pPr>
              <w:spacing w:after="0"/>
              <w:rPr>
                <w:sz w:val="2"/>
                <w:szCs w:val="2"/>
                <w:color w:val="auto"/>
              </w:rPr>
            </w:pPr>
          </w:p>
        </w:tc>
      </w:tr>
      <w:tr>
        <w:trPr>
          <w:trHeight w:val="237"/>
        </w:trPr>
        <w:tc>
          <w:tcPr>
            <w:tcW w:w="456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Euronet Services S.R.L.</w:t>
            </w:r>
          </w:p>
        </w:tc>
        <w:tc>
          <w:tcPr>
            <w:tcW w:w="20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Romania</w:t>
            </w:r>
          </w:p>
        </w:tc>
        <w:tc>
          <w:tcPr>
            <w:tcW w:w="22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Common Stock</w:t>
            </w:r>
          </w:p>
        </w:tc>
        <w:tc>
          <w:tcPr>
            <w:tcW w:w="1640" w:type="dxa"/>
            <w:vAlign w:val="bottom"/>
            <w:tcBorders>
              <w:right w:val="single" w:sz="8" w:color="auto"/>
            </w:tcBorders>
          </w:tcPr>
          <w:p>
            <w:pPr>
              <w:jc w:val="right"/>
              <w:ind w:right="50"/>
              <w:spacing w:after="0"/>
              <w:rPr>
                <w:sz w:val="20"/>
                <w:szCs w:val="20"/>
                <w:color w:val="auto"/>
              </w:rPr>
            </w:pPr>
            <w:r>
              <w:rPr>
                <w:rFonts w:ascii="Arial" w:cs="Arial" w:eastAsia="Arial" w:hAnsi="Arial"/>
                <w:sz w:val="18"/>
                <w:szCs w:val="18"/>
                <w:color w:val="auto"/>
              </w:rPr>
              <w:t>100</w:t>
            </w:r>
          </w:p>
        </w:tc>
        <w:tc>
          <w:tcPr>
            <w:tcW w:w="10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1"/>
              </w:rPr>
              <w:t>100%</w:t>
            </w:r>
          </w:p>
        </w:tc>
      </w:tr>
      <w:tr>
        <w:trPr>
          <w:trHeight w:val="27"/>
        </w:trPr>
        <w:tc>
          <w:tcPr>
            <w:tcW w:w="4560" w:type="dxa"/>
            <w:vAlign w:val="bottom"/>
            <w:tcBorders>
              <w:left w:val="single" w:sz="8" w:color="auto"/>
              <w:bottom w:val="single" w:sz="8" w:color="auto"/>
              <w:right w:val="single" w:sz="8" w:color="auto"/>
            </w:tcBorders>
          </w:tcPr>
          <w:p>
            <w:pPr>
              <w:spacing w:after="0"/>
              <w:rPr>
                <w:sz w:val="2"/>
                <w:szCs w:val="2"/>
                <w:color w:val="auto"/>
              </w:rPr>
            </w:pPr>
          </w:p>
        </w:tc>
        <w:tc>
          <w:tcPr>
            <w:tcW w:w="2000" w:type="dxa"/>
            <w:vAlign w:val="bottom"/>
            <w:tcBorders>
              <w:bottom w:val="single" w:sz="8" w:color="auto"/>
              <w:right w:val="single" w:sz="8" w:color="auto"/>
            </w:tcBorders>
          </w:tcPr>
          <w:p>
            <w:pPr>
              <w:spacing w:after="0"/>
              <w:rPr>
                <w:sz w:val="2"/>
                <w:szCs w:val="2"/>
                <w:color w:val="auto"/>
              </w:rPr>
            </w:pPr>
          </w:p>
        </w:tc>
        <w:tc>
          <w:tcPr>
            <w:tcW w:w="2220" w:type="dxa"/>
            <w:vAlign w:val="bottom"/>
            <w:tcBorders>
              <w:bottom w:val="single" w:sz="8" w:color="auto"/>
              <w:right w:val="single" w:sz="8" w:color="auto"/>
            </w:tcBorders>
          </w:tcPr>
          <w:p>
            <w:pPr>
              <w:spacing w:after="0"/>
              <w:rPr>
                <w:sz w:val="2"/>
                <w:szCs w:val="2"/>
                <w:color w:val="auto"/>
              </w:rPr>
            </w:pPr>
          </w:p>
        </w:tc>
        <w:tc>
          <w:tcPr>
            <w:tcW w:w="1640" w:type="dxa"/>
            <w:vAlign w:val="bottom"/>
            <w:tcBorders>
              <w:bottom w:val="single" w:sz="8" w:color="auto"/>
              <w:right w:val="single" w:sz="8" w:color="auto"/>
            </w:tcBorders>
          </w:tcPr>
          <w:p>
            <w:pPr>
              <w:spacing w:after="0"/>
              <w:rPr>
                <w:sz w:val="2"/>
                <w:szCs w:val="2"/>
                <w:color w:val="auto"/>
              </w:rPr>
            </w:pPr>
          </w:p>
        </w:tc>
        <w:tc>
          <w:tcPr>
            <w:tcW w:w="1000" w:type="dxa"/>
            <w:vAlign w:val="bottom"/>
            <w:tcBorders>
              <w:bottom w:val="single" w:sz="8" w:color="auto"/>
              <w:right w:val="single" w:sz="8" w:color="auto"/>
            </w:tcBorders>
          </w:tcPr>
          <w:p>
            <w:pPr>
              <w:spacing w:after="0"/>
              <w:rPr>
                <w:sz w:val="2"/>
                <w:szCs w:val="2"/>
                <w:color w:val="auto"/>
              </w:rPr>
            </w:pPr>
          </w:p>
        </w:tc>
      </w:tr>
      <w:tr>
        <w:trPr>
          <w:trHeight w:val="237"/>
        </w:trPr>
        <w:tc>
          <w:tcPr>
            <w:tcW w:w="456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Smart PayNetWork SA</w:t>
            </w:r>
          </w:p>
        </w:tc>
        <w:tc>
          <w:tcPr>
            <w:tcW w:w="20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Romania</w:t>
            </w:r>
          </w:p>
        </w:tc>
        <w:tc>
          <w:tcPr>
            <w:tcW w:w="22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Common Stock</w:t>
            </w:r>
          </w:p>
        </w:tc>
        <w:tc>
          <w:tcPr>
            <w:tcW w:w="1640" w:type="dxa"/>
            <w:vAlign w:val="bottom"/>
            <w:tcBorders>
              <w:right w:val="single" w:sz="8" w:color="auto"/>
            </w:tcBorders>
          </w:tcPr>
          <w:p>
            <w:pPr>
              <w:jc w:val="right"/>
              <w:ind w:right="50"/>
              <w:spacing w:after="0"/>
              <w:rPr>
                <w:sz w:val="20"/>
                <w:szCs w:val="20"/>
                <w:color w:val="auto"/>
              </w:rPr>
            </w:pPr>
            <w:r>
              <w:rPr>
                <w:rFonts w:ascii="Arial" w:cs="Arial" w:eastAsia="Arial" w:hAnsi="Arial"/>
                <w:sz w:val="18"/>
                <w:szCs w:val="18"/>
                <w:color w:val="auto"/>
              </w:rPr>
              <w:t>313,030</w:t>
            </w:r>
          </w:p>
        </w:tc>
        <w:tc>
          <w:tcPr>
            <w:tcW w:w="10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1"/>
              </w:rPr>
              <w:t>100%</w:t>
            </w:r>
          </w:p>
        </w:tc>
      </w:tr>
      <w:tr>
        <w:trPr>
          <w:trHeight w:val="27"/>
        </w:trPr>
        <w:tc>
          <w:tcPr>
            <w:tcW w:w="4560" w:type="dxa"/>
            <w:vAlign w:val="bottom"/>
            <w:tcBorders>
              <w:left w:val="single" w:sz="8" w:color="auto"/>
              <w:bottom w:val="single" w:sz="8" w:color="auto"/>
              <w:right w:val="single" w:sz="8" w:color="auto"/>
            </w:tcBorders>
          </w:tcPr>
          <w:p>
            <w:pPr>
              <w:spacing w:after="0"/>
              <w:rPr>
                <w:sz w:val="2"/>
                <w:szCs w:val="2"/>
                <w:color w:val="auto"/>
              </w:rPr>
            </w:pPr>
          </w:p>
        </w:tc>
        <w:tc>
          <w:tcPr>
            <w:tcW w:w="2000" w:type="dxa"/>
            <w:vAlign w:val="bottom"/>
            <w:tcBorders>
              <w:bottom w:val="single" w:sz="8" w:color="auto"/>
              <w:right w:val="single" w:sz="8" w:color="auto"/>
            </w:tcBorders>
          </w:tcPr>
          <w:p>
            <w:pPr>
              <w:spacing w:after="0"/>
              <w:rPr>
                <w:sz w:val="2"/>
                <w:szCs w:val="2"/>
                <w:color w:val="auto"/>
              </w:rPr>
            </w:pPr>
          </w:p>
        </w:tc>
        <w:tc>
          <w:tcPr>
            <w:tcW w:w="2220" w:type="dxa"/>
            <w:vAlign w:val="bottom"/>
            <w:tcBorders>
              <w:bottom w:val="single" w:sz="8" w:color="auto"/>
              <w:right w:val="single" w:sz="8" w:color="auto"/>
            </w:tcBorders>
          </w:tcPr>
          <w:p>
            <w:pPr>
              <w:spacing w:after="0"/>
              <w:rPr>
                <w:sz w:val="2"/>
                <w:szCs w:val="2"/>
                <w:color w:val="auto"/>
              </w:rPr>
            </w:pPr>
          </w:p>
        </w:tc>
        <w:tc>
          <w:tcPr>
            <w:tcW w:w="1640" w:type="dxa"/>
            <w:vAlign w:val="bottom"/>
            <w:tcBorders>
              <w:bottom w:val="single" w:sz="8" w:color="auto"/>
              <w:right w:val="single" w:sz="8" w:color="auto"/>
            </w:tcBorders>
          </w:tcPr>
          <w:p>
            <w:pPr>
              <w:spacing w:after="0"/>
              <w:rPr>
                <w:sz w:val="2"/>
                <w:szCs w:val="2"/>
                <w:color w:val="auto"/>
              </w:rPr>
            </w:pPr>
          </w:p>
        </w:tc>
        <w:tc>
          <w:tcPr>
            <w:tcW w:w="1000" w:type="dxa"/>
            <w:vAlign w:val="bottom"/>
            <w:tcBorders>
              <w:bottom w:val="single" w:sz="8" w:color="auto"/>
              <w:right w:val="single" w:sz="8" w:color="auto"/>
            </w:tcBorders>
          </w:tcPr>
          <w:p>
            <w:pPr>
              <w:spacing w:after="0"/>
              <w:rPr>
                <w:sz w:val="2"/>
                <w:szCs w:val="2"/>
                <w:color w:val="auto"/>
              </w:rPr>
            </w:pPr>
          </w:p>
        </w:tc>
      </w:tr>
      <w:tr>
        <w:trPr>
          <w:trHeight w:val="237"/>
        </w:trPr>
        <w:tc>
          <w:tcPr>
            <w:tcW w:w="456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Euronet Pay and Transaction Services S.R.L.</w:t>
            </w:r>
          </w:p>
        </w:tc>
        <w:tc>
          <w:tcPr>
            <w:tcW w:w="20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Italy</w:t>
            </w:r>
          </w:p>
        </w:tc>
        <w:tc>
          <w:tcPr>
            <w:tcW w:w="22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Member Interests</w:t>
            </w:r>
          </w:p>
        </w:tc>
        <w:tc>
          <w:tcPr>
            <w:tcW w:w="1640" w:type="dxa"/>
            <w:vAlign w:val="bottom"/>
            <w:tcBorders>
              <w:right w:val="single" w:sz="8" w:color="auto"/>
            </w:tcBorders>
          </w:tcPr>
          <w:p>
            <w:pPr>
              <w:jc w:val="right"/>
              <w:ind w:right="50"/>
              <w:spacing w:after="0"/>
              <w:rPr>
                <w:sz w:val="20"/>
                <w:szCs w:val="20"/>
                <w:color w:val="auto"/>
              </w:rPr>
            </w:pPr>
            <w:r>
              <w:rPr>
                <w:rFonts w:ascii="Arial" w:cs="Arial" w:eastAsia="Arial" w:hAnsi="Arial"/>
                <w:sz w:val="18"/>
                <w:szCs w:val="18"/>
                <w:color w:val="auto"/>
              </w:rPr>
              <w:t>1</w:t>
            </w:r>
          </w:p>
        </w:tc>
        <w:tc>
          <w:tcPr>
            <w:tcW w:w="10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1"/>
              </w:rPr>
              <w:t>100%</w:t>
            </w:r>
          </w:p>
        </w:tc>
      </w:tr>
      <w:tr>
        <w:trPr>
          <w:trHeight w:val="27"/>
        </w:trPr>
        <w:tc>
          <w:tcPr>
            <w:tcW w:w="4560" w:type="dxa"/>
            <w:vAlign w:val="bottom"/>
            <w:tcBorders>
              <w:left w:val="single" w:sz="8" w:color="auto"/>
              <w:bottom w:val="single" w:sz="8" w:color="auto"/>
              <w:right w:val="single" w:sz="8" w:color="auto"/>
            </w:tcBorders>
          </w:tcPr>
          <w:p>
            <w:pPr>
              <w:spacing w:after="0"/>
              <w:rPr>
                <w:sz w:val="2"/>
                <w:szCs w:val="2"/>
                <w:color w:val="auto"/>
              </w:rPr>
            </w:pPr>
          </w:p>
        </w:tc>
        <w:tc>
          <w:tcPr>
            <w:tcW w:w="2000" w:type="dxa"/>
            <w:vAlign w:val="bottom"/>
            <w:tcBorders>
              <w:bottom w:val="single" w:sz="8" w:color="auto"/>
              <w:right w:val="single" w:sz="8" w:color="auto"/>
            </w:tcBorders>
          </w:tcPr>
          <w:p>
            <w:pPr>
              <w:spacing w:after="0"/>
              <w:rPr>
                <w:sz w:val="2"/>
                <w:szCs w:val="2"/>
                <w:color w:val="auto"/>
              </w:rPr>
            </w:pPr>
          </w:p>
        </w:tc>
        <w:tc>
          <w:tcPr>
            <w:tcW w:w="2220" w:type="dxa"/>
            <w:vAlign w:val="bottom"/>
            <w:tcBorders>
              <w:bottom w:val="single" w:sz="8" w:color="auto"/>
              <w:right w:val="single" w:sz="8" w:color="auto"/>
            </w:tcBorders>
          </w:tcPr>
          <w:p>
            <w:pPr>
              <w:spacing w:after="0"/>
              <w:rPr>
                <w:sz w:val="2"/>
                <w:szCs w:val="2"/>
                <w:color w:val="auto"/>
              </w:rPr>
            </w:pPr>
          </w:p>
        </w:tc>
        <w:tc>
          <w:tcPr>
            <w:tcW w:w="1640" w:type="dxa"/>
            <w:vAlign w:val="bottom"/>
            <w:tcBorders>
              <w:bottom w:val="single" w:sz="8" w:color="auto"/>
              <w:right w:val="single" w:sz="8" w:color="auto"/>
            </w:tcBorders>
          </w:tcPr>
          <w:p>
            <w:pPr>
              <w:spacing w:after="0"/>
              <w:rPr>
                <w:sz w:val="2"/>
                <w:szCs w:val="2"/>
                <w:color w:val="auto"/>
              </w:rPr>
            </w:pPr>
          </w:p>
        </w:tc>
        <w:tc>
          <w:tcPr>
            <w:tcW w:w="1000" w:type="dxa"/>
            <w:vAlign w:val="bottom"/>
            <w:tcBorders>
              <w:bottom w:val="single" w:sz="8" w:color="auto"/>
              <w:right w:val="single" w:sz="8" w:color="auto"/>
            </w:tcBorders>
          </w:tcPr>
          <w:p>
            <w:pPr>
              <w:spacing w:after="0"/>
              <w:rPr>
                <w:sz w:val="2"/>
                <w:szCs w:val="2"/>
                <w:color w:val="auto"/>
              </w:rPr>
            </w:pPr>
          </w:p>
        </w:tc>
      </w:tr>
      <w:tr>
        <w:trPr>
          <w:trHeight w:val="237"/>
        </w:trPr>
        <w:tc>
          <w:tcPr>
            <w:tcW w:w="456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RIA Italia S.R.L.</w:t>
            </w:r>
          </w:p>
        </w:tc>
        <w:tc>
          <w:tcPr>
            <w:tcW w:w="20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Italy</w:t>
            </w:r>
          </w:p>
        </w:tc>
        <w:tc>
          <w:tcPr>
            <w:tcW w:w="22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Member Interests</w:t>
            </w:r>
          </w:p>
        </w:tc>
        <w:tc>
          <w:tcPr>
            <w:tcW w:w="1640" w:type="dxa"/>
            <w:vAlign w:val="bottom"/>
            <w:tcBorders>
              <w:right w:val="single" w:sz="8" w:color="auto"/>
            </w:tcBorders>
          </w:tcPr>
          <w:p>
            <w:pPr>
              <w:jc w:val="right"/>
              <w:ind w:right="50"/>
              <w:spacing w:after="0"/>
              <w:rPr>
                <w:sz w:val="20"/>
                <w:szCs w:val="20"/>
                <w:color w:val="auto"/>
              </w:rPr>
            </w:pPr>
            <w:r>
              <w:rPr>
                <w:rFonts w:ascii="Arial" w:cs="Arial" w:eastAsia="Arial" w:hAnsi="Arial"/>
                <w:sz w:val="18"/>
                <w:szCs w:val="18"/>
                <w:color w:val="auto"/>
              </w:rPr>
              <w:t>1</w:t>
            </w:r>
          </w:p>
        </w:tc>
        <w:tc>
          <w:tcPr>
            <w:tcW w:w="10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1"/>
              </w:rPr>
              <w:t>100%</w:t>
            </w:r>
          </w:p>
        </w:tc>
      </w:tr>
      <w:tr>
        <w:trPr>
          <w:trHeight w:val="27"/>
        </w:trPr>
        <w:tc>
          <w:tcPr>
            <w:tcW w:w="4560" w:type="dxa"/>
            <w:vAlign w:val="bottom"/>
            <w:tcBorders>
              <w:left w:val="single" w:sz="8" w:color="auto"/>
              <w:bottom w:val="single" w:sz="8" w:color="auto"/>
              <w:right w:val="single" w:sz="8" w:color="auto"/>
            </w:tcBorders>
          </w:tcPr>
          <w:p>
            <w:pPr>
              <w:spacing w:after="0"/>
              <w:rPr>
                <w:sz w:val="2"/>
                <w:szCs w:val="2"/>
                <w:color w:val="auto"/>
              </w:rPr>
            </w:pPr>
          </w:p>
        </w:tc>
        <w:tc>
          <w:tcPr>
            <w:tcW w:w="2000" w:type="dxa"/>
            <w:vAlign w:val="bottom"/>
            <w:tcBorders>
              <w:bottom w:val="single" w:sz="8" w:color="auto"/>
              <w:right w:val="single" w:sz="8" w:color="auto"/>
            </w:tcBorders>
          </w:tcPr>
          <w:p>
            <w:pPr>
              <w:spacing w:after="0"/>
              <w:rPr>
                <w:sz w:val="2"/>
                <w:szCs w:val="2"/>
                <w:color w:val="auto"/>
              </w:rPr>
            </w:pPr>
          </w:p>
        </w:tc>
        <w:tc>
          <w:tcPr>
            <w:tcW w:w="2220" w:type="dxa"/>
            <w:vAlign w:val="bottom"/>
            <w:tcBorders>
              <w:bottom w:val="single" w:sz="8" w:color="auto"/>
              <w:right w:val="single" w:sz="8" w:color="auto"/>
            </w:tcBorders>
          </w:tcPr>
          <w:p>
            <w:pPr>
              <w:spacing w:after="0"/>
              <w:rPr>
                <w:sz w:val="2"/>
                <w:szCs w:val="2"/>
                <w:color w:val="auto"/>
              </w:rPr>
            </w:pPr>
          </w:p>
        </w:tc>
        <w:tc>
          <w:tcPr>
            <w:tcW w:w="1640" w:type="dxa"/>
            <w:vAlign w:val="bottom"/>
            <w:tcBorders>
              <w:bottom w:val="single" w:sz="8" w:color="auto"/>
              <w:right w:val="single" w:sz="8" w:color="auto"/>
            </w:tcBorders>
          </w:tcPr>
          <w:p>
            <w:pPr>
              <w:spacing w:after="0"/>
              <w:rPr>
                <w:sz w:val="2"/>
                <w:szCs w:val="2"/>
                <w:color w:val="auto"/>
              </w:rPr>
            </w:pPr>
          </w:p>
        </w:tc>
        <w:tc>
          <w:tcPr>
            <w:tcW w:w="1000" w:type="dxa"/>
            <w:vAlign w:val="bottom"/>
            <w:tcBorders>
              <w:bottom w:val="single" w:sz="8" w:color="auto"/>
              <w:right w:val="single" w:sz="8" w:color="auto"/>
            </w:tcBorders>
          </w:tcPr>
          <w:p>
            <w:pPr>
              <w:spacing w:after="0"/>
              <w:rPr>
                <w:sz w:val="2"/>
                <w:szCs w:val="2"/>
                <w:color w:val="auto"/>
              </w:rPr>
            </w:pPr>
          </w:p>
        </w:tc>
      </w:tr>
      <w:tr>
        <w:trPr>
          <w:trHeight w:val="237"/>
        </w:trPr>
        <w:tc>
          <w:tcPr>
            <w:tcW w:w="456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Euronet Card Services S.A.</w:t>
            </w:r>
          </w:p>
        </w:tc>
        <w:tc>
          <w:tcPr>
            <w:tcW w:w="20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Greece</w:t>
            </w:r>
          </w:p>
        </w:tc>
        <w:tc>
          <w:tcPr>
            <w:tcW w:w="22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Common Stock</w:t>
            </w:r>
          </w:p>
        </w:tc>
        <w:tc>
          <w:tcPr>
            <w:tcW w:w="1640" w:type="dxa"/>
            <w:vAlign w:val="bottom"/>
            <w:tcBorders>
              <w:right w:val="single" w:sz="8" w:color="auto"/>
            </w:tcBorders>
          </w:tcPr>
          <w:p>
            <w:pPr>
              <w:jc w:val="right"/>
              <w:ind w:right="50"/>
              <w:spacing w:after="0"/>
              <w:rPr>
                <w:sz w:val="20"/>
                <w:szCs w:val="20"/>
                <w:color w:val="auto"/>
              </w:rPr>
            </w:pPr>
            <w:r>
              <w:rPr>
                <w:rFonts w:ascii="Arial" w:cs="Arial" w:eastAsia="Arial" w:hAnsi="Arial"/>
                <w:sz w:val="18"/>
                <w:szCs w:val="18"/>
                <w:color w:val="auto"/>
              </w:rPr>
              <w:t>6,000</w:t>
            </w:r>
          </w:p>
        </w:tc>
        <w:tc>
          <w:tcPr>
            <w:tcW w:w="10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1"/>
              </w:rPr>
              <w:t>100%</w:t>
            </w:r>
          </w:p>
        </w:tc>
      </w:tr>
      <w:tr>
        <w:trPr>
          <w:trHeight w:val="27"/>
        </w:trPr>
        <w:tc>
          <w:tcPr>
            <w:tcW w:w="4560" w:type="dxa"/>
            <w:vAlign w:val="bottom"/>
            <w:tcBorders>
              <w:left w:val="single" w:sz="8" w:color="auto"/>
              <w:bottom w:val="single" w:sz="8" w:color="auto"/>
              <w:right w:val="single" w:sz="8" w:color="auto"/>
            </w:tcBorders>
          </w:tcPr>
          <w:p>
            <w:pPr>
              <w:spacing w:after="0"/>
              <w:rPr>
                <w:sz w:val="2"/>
                <w:szCs w:val="2"/>
                <w:color w:val="auto"/>
              </w:rPr>
            </w:pPr>
          </w:p>
        </w:tc>
        <w:tc>
          <w:tcPr>
            <w:tcW w:w="2000" w:type="dxa"/>
            <w:vAlign w:val="bottom"/>
            <w:tcBorders>
              <w:bottom w:val="single" w:sz="8" w:color="auto"/>
              <w:right w:val="single" w:sz="8" w:color="auto"/>
            </w:tcBorders>
          </w:tcPr>
          <w:p>
            <w:pPr>
              <w:spacing w:after="0"/>
              <w:rPr>
                <w:sz w:val="2"/>
                <w:szCs w:val="2"/>
                <w:color w:val="auto"/>
              </w:rPr>
            </w:pPr>
          </w:p>
        </w:tc>
        <w:tc>
          <w:tcPr>
            <w:tcW w:w="2220" w:type="dxa"/>
            <w:vAlign w:val="bottom"/>
            <w:tcBorders>
              <w:bottom w:val="single" w:sz="8" w:color="auto"/>
              <w:right w:val="single" w:sz="8" w:color="auto"/>
            </w:tcBorders>
          </w:tcPr>
          <w:p>
            <w:pPr>
              <w:spacing w:after="0"/>
              <w:rPr>
                <w:sz w:val="2"/>
                <w:szCs w:val="2"/>
                <w:color w:val="auto"/>
              </w:rPr>
            </w:pPr>
          </w:p>
        </w:tc>
        <w:tc>
          <w:tcPr>
            <w:tcW w:w="1640" w:type="dxa"/>
            <w:vAlign w:val="bottom"/>
            <w:tcBorders>
              <w:bottom w:val="single" w:sz="8" w:color="auto"/>
              <w:right w:val="single" w:sz="8" w:color="auto"/>
            </w:tcBorders>
          </w:tcPr>
          <w:p>
            <w:pPr>
              <w:spacing w:after="0"/>
              <w:rPr>
                <w:sz w:val="2"/>
                <w:szCs w:val="2"/>
                <w:color w:val="auto"/>
              </w:rPr>
            </w:pPr>
          </w:p>
        </w:tc>
        <w:tc>
          <w:tcPr>
            <w:tcW w:w="1000" w:type="dxa"/>
            <w:vAlign w:val="bottom"/>
            <w:tcBorders>
              <w:bottom w:val="single" w:sz="8" w:color="auto"/>
              <w:right w:val="single" w:sz="8" w:color="auto"/>
            </w:tcBorders>
          </w:tcPr>
          <w:p>
            <w:pPr>
              <w:spacing w:after="0"/>
              <w:rPr>
                <w:sz w:val="2"/>
                <w:szCs w:val="2"/>
                <w:color w:val="auto"/>
              </w:rPr>
            </w:pPr>
          </w:p>
        </w:tc>
      </w:tr>
      <w:tr>
        <w:trPr>
          <w:trHeight w:val="237"/>
        </w:trPr>
        <w:tc>
          <w:tcPr>
            <w:tcW w:w="456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Euronet Prepaid Hellas Ltd.</w:t>
            </w:r>
          </w:p>
        </w:tc>
        <w:tc>
          <w:tcPr>
            <w:tcW w:w="20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Greece</w:t>
            </w:r>
          </w:p>
        </w:tc>
        <w:tc>
          <w:tcPr>
            <w:tcW w:w="22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Common Stock</w:t>
            </w:r>
          </w:p>
        </w:tc>
        <w:tc>
          <w:tcPr>
            <w:tcW w:w="1640" w:type="dxa"/>
            <w:vAlign w:val="bottom"/>
            <w:tcBorders>
              <w:right w:val="single" w:sz="8" w:color="auto"/>
            </w:tcBorders>
          </w:tcPr>
          <w:p>
            <w:pPr>
              <w:jc w:val="right"/>
              <w:ind w:right="50"/>
              <w:spacing w:after="0"/>
              <w:rPr>
                <w:sz w:val="20"/>
                <w:szCs w:val="20"/>
                <w:color w:val="auto"/>
              </w:rPr>
            </w:pPr>
            <w:r>
              <w:rPr>
                <w:rFonts w:ascii="Arial" w:cs="Arial" w:eastAsia="Arial" w:hAnsi="Arial"/>
                <w:sz w:val="18"/>
                <w:szCs w:val="18"/>
                <w:color w:val="auto"/>
              </w:rPr>
              <w:t>600</w:t>
            </w:r>
          </w:p>
        </w:tc>
        <w:tc>
          <w:tcPr>
            <w:tcW w:w="10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1"/>
              </w:rPr>
              <w:t>100%</w:t>
            </w:r>
          </w:p>
        </w:tc>
      </w:tr>
      <w:tr>
        <w:trPr>
          <w:trHeight w:val="27"/>
        </w:trPr>
        <w:tc>
          <w:tcPr>
            <w:tcW w:w="4560" w:type="dxa"/>
            <w:vAlign w:val="bottom"/>
            <w:tcBorders>
              <w:left w:val="single" w:sz="8" w:color="auto"/>
              <w:bottom w:val="single" w:sz="8" w:color="auto"/>
              <w:right w:val="single" w:sz="8" w:color="auto"/>
            </w:tcBorders>
          </w:tcPr>
          <w:p>
            <w:pPr>
              <w:spacing w:after="0"/>
              <w:rPr>
                <w:sz w:val="2"/>
                <w:szCs w:val="2"/>
                <w:color w:val="auto"/>
              </w:rPr>
            </w:pPr>
          </w:p>
        </w:tc>
        <w:tc>
          <w:tcPr>
            <w:tcW w:w="2000" w:type="dxa"/>
            <w:vAlign w:val="bottom"/>
            <w:tcBorders>
              <w:bottom w:val="single" w:sz="8" w:color="auto"/>
              <w:right w:val="single" w:sz="8" w:color="auto"/>
            </w:tcBorders>
          </w:tcPr>
          <w:p>
            <w:pPr>
              <w:spacing w:after="0"/>
              <w:rPr>
                <w:sz w:val="2"/>
                <w:szCs w:val="2"/>
                <w:color w:val="auto"/>
              </w:rPr>
            </w:pPr>
          </w:p>
        </w:tc>
        <w:tc>
          <w:tcPr>
            <w:tcW w:w="2220" w:type="dxa"/>
            <w:vAlign w:val="bottom"/>
            <w:tcBorders>
              <w:bottom w:val="single" w:sz="8" w:color="auto"/>
              <w:right w:val="single" w:sz="8" w:color="auto"/>
            </w:tcBorders>
          </w:tcPr>
          <w:p>
            <w:pPr>
              <w:spacing w:after="0"/>
              <w:rPr>
                <w:sz w:val="2"/>
                <w:szCs w:val="2"/>
                <w:color w:val="auto"/>
              </w:rPr>
            </w:pPr>
          </w:p>
        </w:tc>
        <w:tc>
          <w:tcPr>
            <w:tcW w:w="1640" w:type="dxa"/>
            <w:vAlign w:val="bottom"/>
            <w:tcBorders>
              <w:bottom w:val="single" w:sz="8" w:color="auto"/>
              <w:right w:val="single" w:sz="8" w:color="auto"/>
            </w:tcBorders>
          </w:tcPr>
          <w:p>
            <w:pPr>
              <w:spacing w:after="0"/>
              <w:rPr>
                <w:sz w:val="2"/>
                <w:szCs w:val="2"/>
                <w:color w:val="auto"/>
              </w:rPr>
            </w:pPr>
          </w:p>
        </w:tc>
        <w:tc>
          <w:tcPr>
            <w:tcW w:w="1000" w:type="dxa"/>
            <w:vAlign w:val="bottom"/>
            <w:tcBorders>
              <w:bottom w:val="single" w:sz="8" w:color="auto"/>
              <w:right w:val="single" w:sz="8" w:color="auto"/>
            </w:tcBorders>
          </w:tcPr>
          <w:p>
            <w:pPr>
              <w:spacing w:after="0"/>
              <w:rPr>
                <w:sz w:val="2"/>
                <w:szCs w:val="2"/>
                <w:color w:val="auto"/>
              </w:rPr>
            </w:pPr>
          </w:p>
        </w:tc>
      </w:tr>
      <w:tr>
        <w:trPr>
          <w:trHeight w:val="237"/>
        </w:trPr>
        <w:tc>
          <w:tcPr>
            <w:tcW w:w="456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Euronet Middle East, Africa &amp; Pakistan LLC</w:t>
            </w:r>
          </w:p>
        </w:tc>
        <w:tc>
          <w:tcPr>
            <w:tcW w:w="20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Egypt</w:t>
            </w:r>
          </w:p>
        </w:tc>
        <w:tc>
          <w:tcPr>
            <w:tcW w:w="22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Common Stock</w:t>
            </w:r>
          </w:p>
        </w:tc>
        <w:tc>
          <w:tcPr>
            <w:tcW w:w="1640" w:type="dxa"/>
            <w:vAlign w:val="bottom"/>
            <w:tcBorders>
              <w:right w:val="single" w:sz="8" w:color="auto"/>
            </w:tcBorders>
          </w:tcPr>
          <w:p>
            <w:pPr>
              <w:jc w:val="right"/>
              <w:ind w:right="50"/>
              <w:spacing w:after="0"/>
              <w:rPr>
                <w:sz w:val="20"/>
                <w:szCs w:val="20"/>
                <w:color w:val="auto"/>
              </w:rPr>
            </w:pPr>
            <w:r>
              <w:rPr>
                <w:rFonts w:ascii="Arial" w:cs="Arial" w:eastAsia="Arial" w:hAnsi="Arial"/>
                <w:sz w:val="18"/>
                <w:szCs w:val="18"/>
                <w:color w:val="auto"/>
              </w:rPr>
              <w:t>200</w:t>
            </w:r>
          </w:p>
        </w:tc>
        <w:tc>
          <w:tcPr>
            <w:tcW w:w="10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1"/>
              </w:rPr>
              <w:t>100%</w:t>
            </w:r>
          </w:p>
        </w:tc>
      </w:tr>
      <w:tr>
        <w:trPr>
          <w:trHeight w:val="27"/>
        </w:trPr>
        <w:tc>
          <w:tcPr>
            <w:tcW w:w="4560" w:type="dxa"/>
            <w:vAlign w:val="bottom"/>
            <w:tcBorders>
              <w:left w:val="single" w:sz="8" w:color="auto"/>
              <w:bottom w:val="single" w:sz="8" w:color="auto"/>
              <w:right w:val="single" w:sz="8" w:color="auto"/>
            </w:tcBorders>
          </w:tcPr>
          <w:p>
            <w:pPr>
              <w:spacing w:after="0"/>
              <w:rPr>
                <w:sz w:val="2"/>
                <w:szCs w:val="2"/>
                <w:color w:val="auto"/>
              </w:rPr>
            </w:pPr>
          </w:p>
        </w:tc>
        <w:tc>
          <w:tcPr>
            <w:tcW w:w="2000" w:type="dxa"/>
            <w:vAlign w:val="bottom"/>
            <w:tcBorders>
              <w:bottom w:val="single" w:sz="8" w:color="auto"/>
              <w:right w:val="single" w:sz="8" w:color="auto"/>
            </w:tcBorders>
          </w:tcPr>
          <w:p>
            <w:pPr>
              <w:spacing w:after="0"/>
              <w:rPr>
                <w:sz w:val="2"/>
                <w:szCs w:val="2"/>
                <w:color w:val="auto"/>
              </w:rPr>
            </w:pPr>
          </w:p>
        </w:tc>
        <w:tc>
          <w:tcPr>
            <w:tcW w:w="2220" w:type="dxa"/>
            <w:vAlign w:val="bottom"/>
            <w:tcBorders>
              <w:bottom w:val="single" w:sz="8" w:color="auto"/>
              <w:right w:val="single" w:sz="8" w:color="auto"/>
            </w:tcBorders>
          </w:tcPr>
          <w:p>
            <w:pPr>
              <w:spacing w:after="0"/>
              <w:rPr>
                <w:sz w:val="2"/>
                <w:szCs w:val="2"/>
                <w:color w:val="auto"/>
              </w:rPr>
            </w:pPr>
          </w:p>
        </w:tc>
        <w:tc>
          <w:tcPr>
            <w:tcW w:w="1640" w:type="dxa"/>
            <w:vAlign w:val="bottom"/>
            <w:tcBorders>
              <w:bottom w:val="single" w:sz="8" w:color="auto"/>
              <w:right w:val="single" w:sz="8" w:color="auto"/>
            </w:tcBorders>
          </w:tcPr>
          <w:p>
            <w:pPr>
              <w:spacing w:after="0"/>
              <w:rPr>
                <w:sz w:val="2"/>
                <w:szCs w:val="2"/>
                <w:color w:val="auto"/>
              </w:rPr>
            </w:pPr>
          </w:p>
        </w:tc>
        <w:tc>
          <w:tcPr>
            <w:tcW w:w="1000" w:type="dxa"/>
            <w:vAlign w:val="bottom"/>
            <w:tcBorders>
              <w:bottom w:val="single" w:sz="8" w:color="auto"/>
              <w:right w:val="single" w:sz="8" w:color="auto"/>
            </w:tcBorders>
          </w:tcPr>
          <w:p>
            <w:pPr>
              <w:spacing w:after="0"/>
              <w:rPr>
                <w:sz w:val="2"/>
                <w:szCs w:val="2"/>
                <w:color w:val="auto"/>
              </w:rPr>
            </w:pPr>
          </w:p>
        </w:tc>
      </w:tr>
      <w:tr>
        <w:trPr>
          <w:trHeight w:val="237"/>
        </w:trPr>
        <w:tc>
          <w:tcPr>
            <w:tcW w:w="456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Euronet Asia Holdings Limited</w:t>
            </w:r>
          </w:p>
        </w:tc>
        <w:tc>
          <w:tcPr>
            <w:tcW w:w="20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Hong Kong SAR, China</w:t>
            </w:r>
          </w:p>
        </w:tc>
        <w:tc>
          <w:tcPr>
            <w:tcW w:w="22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Ordinary Shares</w:t>
            </w:r>
          </w:p>
        </w:tc>
        <w:tc>
          <w:tcPr>
            <w:tcW w:w="1640" w:type="dxa"/>
            <w:vAlign w:val="bottom"/>
            <w:tcBorders>
              <w:right w:val="single" w:sz="8" w:color="auto"/>
            </w:tcBorders>
          </w:tcPr>
          <w:p>
            <w:pPr>
              <w:jc w:val="right"/>
              <w:ind w:right="50"/>
              <w:spacing w:after="0"/>
              <w:rPr>
                <w:sz w:val="20"/>
                <w:szCs w:val="20"/>
                <w:color w:val="auto"/>
              </w:rPr>
            </w:pPr>
            <w:r>
              <w:rPr>
                <w:rFonts w:ascii="Arial" w:cs="Arial" w:eastAsia="Arial" w:hAnsi="Arial"/>
                <w:sz w:val="18"/>
                <w:szCs w:val="18"/>
                <w:color w:val="auto"/>
              </w:rPr>
              <w:t>5,850,001</w:t>
            </w:r>
          </w:p>
        </w:tc>
        <w:tc>
          <w:tcPr>
            <w:tcW w:w="10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1"/>
              </w:rPr>
              <w:t>100%</w:t>
            </w:r>
          </w:p>
        </w:tc>
      </w:tr>
      <w:tr>
        <w:trPr>
          <w:trHeight w:val="27"/>
        </w:trPr>
        <w:tc>
          <w:tcPr>
            <w:tcW w:w="4560" w:type="dxa"/>
            <w:vAlign w:val="bottom"/>
            <w:tcBorders>
              <w:left w:val="single" w:sz="8" w:color="auto"/>
              <w:bottom w:val="single" w:sz="8" w:color="auto"/>
              <w:right w:val="single" w:sz="8" w:color="auto"/>
            </w:tcBorders>
          </w:tcPr>
          <w:p>
            <w:pPr>
              <w:spacing w:after="0"/>
              <w:rPr>
                <w:sz w:val="2"/>
                <w:szCs w:val="2"/>
                <w:color w:val="auto"/>
              </w:rPr>
            </w:pPr>
          </w:p>
        </w:tc>
        <w:tc>
          <w:tcPr>
            <w:tcW w:w="2000" w:type="dxa"/>
            <w:vAlign w:val="bottom"/>
            <w:tcBorders>
              <w:bottom w:val="single" w:sz="8" w:color="auto"/>
              <w:right w:val="single" w:sz="8" w:color="auto"/>
            </w:tcBorders>
          </w:tcPr>
          <w:p>
            <w:pPr>
              <w:spacing w:after="0"/>
              <w:rPr>
                <w:sz w:val="2"/>
                <w:szCs w:val="2"/>
                <w:color w:val="auto"/>
              </w:rPr>
            </w:pPr>
          </w:p>
        </w:tc>
        <w:tc>
          <w:tcPr>
            <w:tcW w:w="2220" w:type="dxa"/>
            <w:vAlign w:val="bottom"/>
            <w:tcBorders>
              <w:bottom w:val="single" w:sz="8" w:color="auto"/>
              <w:right w:val="single" w:sz="8" w:color="auto"/>
            </w:tcBorders>
          </w:tcPr>
          <w:p>
            <w:pPr>
              <w:spacing w:after="0"/>
              <w:rPr>
                <w:sz w:val="2"/>
                <w:szCs w:val="2"/>
                <w:color w:val="auto"/>
              </w:rPr>
            </w:pPr>
          </w:p>
        </w:tc>
        <w:tc>
          <w:tcPr>
            <w:tcW w:w="1640" w:type="dxa"/>
            <w:vAlign w:val="bottom"/>
            <w:tcBorders>
              <w:bottom w:val="single" w:sz="8" w:color="auto"/>
              <w:right w:val="single" w:sz="8" w:color="auto"/>
            </w:tcBorders>
          </w:tcPr>
          <w:p>
            <w:pPr>
              <w:spacing w:after="0"/>
              <w:rPr>
                <w:sz w:val="2"/>
                <w:szCs w:val="2"/>
                <w:color w:val="auto"/>
              </w:rPr>
            </w:pPr>
          </w:p>
        </w:tc>
        <w:tc>
          <w:tcPr>
            <w:tcW w:w="1000" w:type="dxa"/>
            <w:vAlign w:val="bottom"/>
            <w:tcBorders>
              <w:bottom w:val="single" w:sz="8" w:color="auto"/>
              <w:right w:val="single" w:sz="8" w:color="auto"/>
            </w:tcBorders>
          </w:tcPr>
          <w:p>
            <w:pPr>
              <w:spacing w:after="0"/>
              <w:rPr>
                <w:sz w:val="2"/>
                <w:szCs w:val="2"/>
                <w:color w:val="auto"/>
              </w:rPr>
            </w:pPr>
          </w:p>
        </w:tc>
      </w:tr>
      <w:tr>
        <w:trPr>
          <w:trHeight w:val="222"/>
        </w:trPr>
        <w:tc>
          <w:tcPr>
            <w:tcW w:w="456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w w:val="93"/>
              </w:rPr>
              <w:t>Jiayintong (Beijing) Technology Development Co. Ltd. d.b.a.</w:t>
            </w:r>
          </w:p>
        </w:tc>
        <w:tc>
          <w:tcPr>
            <w:tcW w:w="2000" w:type="dxa"/>
            <w:vAlign w:val="bottom"/>
            <w:tcBorders>
              <w:right w:val="single" w:sz="8" w:color="auto"/>
            </w:tcBorders>
          </w:tcPr>
          <w:p>
            <w:pPr>
              <w:spacing w:after="0"/>
              <w:rPr>
                <w:sz w:val="19"/>
                <w:szCs w:val="19"/>
                <w:color w:val="auto"/>
              </w:rPr>
            </w:pPr>
          </w:p>
        </w:tc>
        <w:tc>
          <w:tcPr>
            <w:tcW w:w="2220" w:type="dxa"/>
            <w:vAlign w:val="bottom"/>
            <w:tcBorders>
              <w:right w:val="single" w:sz="8" w:color="auto"/>
            </w:tcBorders>
          </w:tcPr>
          <w:p>
            <w:pPr>
              <w:spacing w:after="0"/>
              <w:rPr>
                <w:sz w:val="19"/>
                <w:szCs w:val="19"/>
                <w:color w:val="auto"/>
              </w:rPr>
            </w:pPr>
          </w:p>
        </w:tc>
        <w:tc>
          <w:tcPr>
            <w:tcW w:w="1640" w:type="dxa"/>
            <w:vAlign w:val="bottom"/>
            <w:tcBorders>
              <w:right w:val="single" w:sz="8" w:color="auto"/>
            </w:tcBorders>
          </w:tcPr>
          <w:p>
            <w:pPr>
              <w:spacing w:after="0"/>
              <w:rPr>
                <w:sz w:val="19"/>
                <w:szCs w:val="19"/>
                <w:color w:val="auto"/>
              </w:rPr>
            </w:pPr>
          </w:p>
        </w:tc>
        <w:tc>
          <w:tcPr>
            <w:tcW w:w="1000" w:type="dxa"/>
            <w:vAlign w:val="bottom"/>
            <w:tcBorders>
              <w:right w:val="single" w:sz="8" w:color="auto"/>
            </w:tcBorders>
          </w:tcPr>
          <w:p>
            <w:pPr>
              <w:spacing w:after="0"/>
              <w:rPr>
                <w:sz w:val="19"/>
                <w:szCs w:val="19"/>
                <w:color w:val="auto"/>
              </w:rPr>
            </w:pPr>
          </w:p>
        </w:tc>
      </w:tr>
      <w:tr>
        <w:trPr>
          <w:trHeight w:val="230"/>
        </w:trPr>
        <w:tc>
          <w:tcPr>
            <w:tcW w:w="456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Euronet China</w:t>
            </w:r>
          </w:p>
        </w:tc>
        <w:tc>
          <w:tcPr>
            <w:tcW w:w="20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w w:val="91"/>
              </w:rPr>
              <w:t>Peoples Republic of China</w:t>
            </w:r>
          </w:p>
        </w:tc>
        <w:tc>
          <w:tcPr>
            <w:tcW w:w="22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Equity Interest</w:t>
            </w:r>
          </w:p>
        </w:tc>
        <w:tc>
          <w:tcPr>
            <w:tcW w:w="1640" w:type="dxa"/>
            <w:vAlign w:val="bottom"/>
            <w:tcBorders>
              <w:right w:val="single" w:sz="8" w:color="auto"/>
            </w:tcBorders>
          </w:tcPr>
          <w:p>
            <w:pPr>
              <w:jc w:val="right"/>
              <w:ind w:right="50"/>
              <w:spacing w:after="0"/>
              <w:rPr>
                <w:sz w:val="20"/>
                <w:szCs w:val="20"/>
                <w:color w:val="auto"/>
              </w:rPr>
            </w:pPr>
            <w:r>
              <w:rPr>
                <w:rFonts w:ascii="Arial" w:cs="Arial" w:eastAsia="Arial" w:hAnsi="Arial"/>
                <w:sz w:val="18"/>
                <w:szCs w:val="18"/>
                <w:color w:val="auto"/>
              </w:rPr>
              <w:t>2</w:t>
            </w:r>
          </w:p>
        </w:tc>
        <w:tc>
          <w:tcPr>
            <w:tcW w:w="10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8"/>
              </w:rPr>
              <w:t>75%</w:t>
            </w:r>
          </w:p>
        </w:tc>
      </w:tr>
      <w:tr>
        <w:trPr>
          <w:trHeight w:val="27"/>
        </w:trPr>
        <w:tc>
          <w:tcPr>
            <w:tcW w:w="4560" w:type="dxa"/>
            <w:vAlign w:val="bottom"/>
            <w:tcBorders>
              <w:left w:val="single" w:sz="8" w:color="auto"/>
              <w:bottom w:val="single" w:sz="8" w:color="auto"/>
              <w:right w:val="single" w:sz="8" w:color="auto"/>
            </w:tcBorders>
          </w:tcPr>
          <w:p>
            <w:pPr>
              <w:spacing w:after="0"/>
              <w:rPr>
                <w:sz w:val="2"/>
                <w:szCs w:val="2"/>
                <w:color w:val="auto"/>
              </w:rPr>
            </w:pPr>
          </w:p>
        </w:tc>
        <w:tc>
          <w:tcPr>
            <w:tcW w:w="2000" w:type="dxa"/>
            <w:vAlign w:val="bottom"/>
            <w:tcBorders>
              <w:bottom w:val="single" w:sz="8" w:color="auto"/>
              <w:right w:val="single" w:sz="8" w:color="auto"/>
            </w:tcBorders>
          </w:tcPr>
          <w:p>
            <w:pPr>
              <w:spacing w:after="0"/>
              <w:rPr>
                <w:sz w:val="2"/>
                <w:szCs w:val="2"/>
                <w:color w:val="auto"/>
              </w:rPr>
            </w:pPr>
          </w:p>
        </w:tc>
        <w:tc>
          <w:tcPr>
            <w:tcW w:w="2220" w:type="dxa"/>
            <w:vAlign w:val="bottom"/>
            <w:tcBorders>
              <w:bottom w:val="single" w:sz="8" w:color="auto"/>
              <w:right w:val="single" w:sz="8" w:color="auto"/>
            </w:tcBorders>
          </w:tcPr>
          <w:p>
            <w:pPr>
              <w:spacing w:after="0"/>
              <w:rPr>
                <w:sz w:val="2"/>
                <w:szCs w:val="2"/>
                <w:color w:val="auto"/>
              </w:rPr>
            </w:pPr>
          </w:p>
        </w:tc>
        <w:tc>
          <w:tcPr>
            <w:tcW w:w="1640" w:type="dxa"/>
            <w:vAlign w:val="bottom"/>
            <w:tcBorders>
              <w:bottom w:val="single" w:sz="8" w:color="auto"/>
              <w:right w:val="single" w:sz="8" w:color="auto"/>
            </w:tcBorders>
          </w:tcPr>
          <w:p>
            <w:pPr>
              <w:spacing w:after="0"/>
              <w:rPr>
                <w:sz w:val="2"/>
                <w:szCs w:val="2"/>
                <w:color w:val="auto"/>
              </w:rPr>
            </w:pPr>
          </w:p>
        </w:tc>
        <w:tc>
          <w:tcPr>
            <w:tcW w:w="1000" w:type="dxa"/>
            <w:vAlign w:val="bottom"/>
            <w:tcBorders>
              <w:bottom w:val="single" w:sz="8" w:color="auto"/>
              <w:right w:val="single" w:sz="8" w:color="auto"/>
            </w:tcBorders>
          </w:tcPr>
          <w:p>
            <w:pPr>
              <w:spacing w:after="0"/>
              <w:rPr>
                <w:sz w:val="2"/>
                <w:szCs w:val="2"/>
                <w:color w:val="auto"/>
              </w:rPr>
            </w:pPr>
          </w:p>
        </w:tc>
      </w:tr>
      <w:tr>
        <w:trPr>
          <w:trHeight w:val="222"/>
        </w:trPr>
        <w:tc>
          <w:tcPr>
            <w:tcW w:w="456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w w:val="96"/>
              </w:rPr>
              <w:t>epay (Shanghai) Technology Development Co., Ltd. d.b.a.</w:t>
            </w:r>
          </w:p>
        </w:tc>
        <w:tc>
          <w:tcPr>
            <w:tcW w:w="2000" w:type="dxa"/>
            <w:vAlign w:val="bottom"/>
            <w:tcBorders>
              <w:right w:val="single" w:sz="8" w:color="auto"/>
            </w:tcBorders>
          </w:tcPr>
          <w:p>
            <w:pPr>
              <w:spacing w:after="0"/>
              <w:rPr>
                <w:sz w:val="19"/>
                <w:szCs w:val="19"/>
                <w:color w:val="auto"/>
              </w:rPr>
            </w:pPr>
          </w:p>
        </w:tc>
        <w:tc>
          <w:tcPr>
            <w:tcW w:w="2220" w:type="dxa"/>
            <w:vAlign w:val="bottom"/>
            <w:tcBorders>
              <w:right w:val="single" w:sz="8" w:color="auto"/>
            </w:tcBorders>
          </w:tcPr>
          <w:p>
            <w:pPr>
              <w:spacing w:after="0"/>
              <w:rPr>
                <w:sz w:val="19"/>
                <w:szCs w:val="19"/>
                <w:color w:val="auto"/>
              </w:rPr>
            </w:pPr>
          </w:p>
        </w:tc>
        <w:tc>
          <w:tcPr>
            <w:tcW w:w="1640" w:type="dxa"/>
            <w:vAlign w:val="bottom"/>
            <w:tcBorders>
              <w:right w:val="single" w:sz="8" w:color="auto"/>
            </w:tcBorders>
          </w:tcPr>
          <w:p>
            <w:pPr>
              <w:spacing w:after="0"/>
              <w:rPr>
                <w:sz w:val="19"/>
                <w:szCs w:val="19"/>
                <w:color w:val="auto"/>
              </w:rPr>
            </w:pPr>
          </w:p>
        </w:tc>
        <w:tc>
          <w:tcPr>
            <w:tcW w:w="1000" w:type="dxa"/>
            <w:vAlign w:val="bottom"/>
            <w:tcBorders>
              <w:right w:val="single" w:sz="8" w:color="auto"/>
            </w:tcBorders>
          </w:tcPr>
          <w:p>
            <w:pPr>
              <w:spacing w:after="0"/>
              <w:rPr>
                <w:sz w:val="19"/>
                <w:szCs w:val="19"/>
                <w:color w:val="auto"/>
              </w:rPr>
            </w:pPr>
          </w:p>
        </w:tc>
      </w:tr>
      <w:tr>
        <w:trPr>
          <w:trHeight w:val="230"/>
        </w:trPr>
        <w:tc>
          <w:tcPr>
            <w:tcW w:w="456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epay China</w:t>
            </w:r>
          </w:p>
        </w:tc>
        <w:tc>
          <w:tcPr>
            <w:tcW w:w="20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w w:val="91"/>
              </w:rPr>
              <w:t>Peoples Republic of China</w:t>
            </w:r>
          </w:p>
        </w:tc>
        <w:tc>
          <w:tcPr>
            <w:tcW w:w="22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Equity Interest</w:t>
            </w:r>
          </w:p>
        </w:tc>
        <w:tc>
          <w:tcPr>
            <w:tcW w:w="1640" w:type="dxa"/>
            <w:vAlign w:val="bottom"/>
            <w:tcBorders>
              <w:right w:val="single" w:sz="8" w:color="auto"/>
            </w:tcBorders>
          </w:tcPr>
          <w:p>
            <w:pPr>
              <w:jc w:val="right"/>
              <w:ind w:right="50"/>
              <w:spacing w:after="0"/>
              <w:rPr>
                <w:sz w:val="20"/>
                <w:szCs w:val="20"/>
                <w:color w:val="auto"/>
              </w:rPr>
            </w:pPr>
            <w:r>
              <w:rPr>
                <w:rFonts w:ascii="Arial" w:cs="Arial" w:eastAsia="Arial" w:hAnsi="Arial"/>
                <w:sz w:val="18"/>
                <w:szCs w:val="18"/>
                <w:color w:val="auto"/>
              </w:rPr>
              <w:t>1</w:t>
            </w:r>
          </w:p>
        </w:tc>
        <w:tc>
          <w:tcPr>
            <w:tcW w:w="10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1"/>
              </w:rPr>
              <w:t>100%</w:t>
            </w:r>
          </w:p>
        </w:tc>
      </w:tr>
      <w:tr>
        <w:trPr>
          <w:trHeight w:val="27"/>
        </w:trPr>
        <w:tc>
          <w:tcPr>
            <w:tcW w:w="4560" w:type="dxa"/>
            <w:vAlign w:val="bottom"/>
            <w:tcBorders>
              <w:left w:val="single" w:sz="8" w:color="auto"/>
              <w:bottom w:val="single" w:sz="8" w:color="auto"/>
              <w:right w:val="single" w:sz="8" w:color="auto"/>
            </w:tcBorders>
          </w:tcPr>
          <w:p>
            <w:pPr>
              <w:spacing w:after="0"/>
              <w:rPr>
                <w:sz w:val="2"/>
                <w:szCs w:val="2"/>
                <w:color w:val="auto"/>
              </w:rPr>
            </w:pPr>
          </w:p>
        </w:tc>
        <w:tc>
          <w:tcPr>
            <w:tcW w:w="2000" w:type="dxa"/>
            <w:vAlign w:val="bottom"/>
            <w:tcBorders>
              <w:bottom w:val="single" w:sz="8" w:color="auto"/>
              <w:right w:val="single" w:sz="8" w:color="auto"/>
            </w:tcBorders>
          </w:tcPr>
          <w:p>
            <w:pPr>
              <w:spacing w:after="0"/>
              <w:rPr>
                <w:sz w:val="2"/>
                <w:szCs w:val="2"/>
                <w:color w:val="auto"/>
              </w:rPr>
            </w:pPr>
          </w:p>
        </w:tc>
        <w:tc>
          <w:tcPr>
            <w:tcW w:w="2220" w:type="dxa"/>
            <w:vAlign w:val="bottom"/>
            <w:tcBorders>
              <w:bottom w:val="single" w:sz="8" w:color="auto"/>
              <w:right w:val="single" w:sz="8" w:color="auto"/>
            </w:tcBorders>
          </w:tcPr>
          <w:p>
            <w:pPr>
              <w:spacing w:after="0"/>
              <w:rPr>
                <w:sz w:val="2"/>
                <w:szCs w:val="2"/>
                <w:color w:val="auto"/>
              </w:rPr>
            </w:pPr>
          </w:p>
        </w:tc>
        <w:tc>
          <w:tcPr>
            <w:tcW w:w="1640" w:type="dxa"/>
            <w:vAlign w:val="bottom"/>
            <w:tcBorders>
              <w:bottom w:val="single" w:sz="8" w:color="auto"/>
              <w:right w:val="single" w:sz="8" w:color="auto"/>
            </w:tcBorders>
          </w:tcPr>
          <w:p>
            <w:pPr>
              <w:spacing w:after="0"/>
              <w:rPr>
                <w:sz w:val="2"/>
                <w:szCs w:val="2"/>
                <w:color w:val="auto"/>
              </w:rPr>
            </w:pPr>
          </w:p>
        </w:tc>
        <w:tc>
          <w:tcPr>
            <w:tcW w:w="1000" w:type="dxa"/>
            <w:vAlign w:val="bottom"/>
            <w:tcBorders>
              <w:bottom w:val="single" w:sz="8" w:color="auto"/>
              <w:right w:val="single" w:sz="8" w:color="auto"/>
            </w:tcBorders>
          </w:tcPr>
          <w:p>
            <w:pPr>
              <w:spacing w:after="0"/>
              <w:rPr>
                <w:sz w:val="2"/>
                <w:szCs w:val="2"/>
                <w:color w:val="auto"/>
              </w:rPr>
            </w:pPr>
          </w:p>
        </w:tc>
      </w:tr>
      <w:tr>
        <w:trPr>
          <w:trHeight w:val="237"/>
        </w:trPr>
        <w:tc>
          <w:tcPr>
            <w:tcW w:w="456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"Euronet Ukraine" Limited Liability Company</w:t>
            </w:r>
          </w:p>
        </w:tc>
        <w:tc>
          <w:tcPr>
            <w:tcW w:w="20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Ukraine</w:t>
            </w:r>
          </w:p>
        </w:tc>
        <w:tc>
          <w:tcPr>
            <w:tcW w:w="22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0</w:t>
            </w:r>
          </w:p>
        </w:tc>
        <w:tc>
          <w:tcPr>
            <w:tcW w:w="1640" w:type="dxa"/>
            <w:vAlign w:val="bottom"/>
            <w:tcBorders>
              <w:right w:val="single" w:sz="8" w:color="auto"/>
            </w:tcBorders>
          </w:tcPr>
          <w:p>
            <w:pPr>
              <w:jc w:val="right"/>
              <w:ind w:right="50"/>
              <w:spacing w:after="0"/>
              <w:rPr>
                <w:sz w:val="20"/>
                <w:szCs w:val="20"/>
                <w:color w:val="auto"/>
              </w:rPr>
            </w:pPr>
            <w:r>
              <w:rPr>
                <w:rFonts w:ascii="Arial" w:cs="Arial" w:eastAsia="Arial" w:hAnsi="Arial"/>
                <w:sz w:val="18"/>
                <w:szCs w:val="18"/>
                <w:color w:val="auto"/>
              </w:rPr>
              <w:t>0</w:t>
            </w:r>
          </w:p>
        </w:tc>
        <w:tc>
          <w:tcPr>
            <w:tcW w:w="10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1"/>
              </w:rPr>
              <w:t>100%</w:t>
            </w:r>
          </w:p>
        </w:tc>
      </w:tr>
      <w:tr>
        <w:trPr>
          <w:trHeight w:val="27"/>
        </w:trPr>
        <w:tc>
          <w:tcPr>
            <w:tcW w:w="4560" w:type="dxa"/>
            <w:vAlign w:val="bottom"/>
            <w:tcBorders>
              <w:left w:val="single" w:sz="8" w:color="auto"/>
              <w:bottom w:val="single" w:sz="8" w:color="auto"/>
              <w:right w:val="single" w:sz="8" w:color="auto"/>
            </w:tcBorders>
          </w:tcPr>
          <w:p>
            <w:pPr>
              <w:spacing w:after="0"/>
              <w:rPr>
                <w:sz w:val="2"/>
                <w:szCs w:val="2"/>
                <w:color w:val="auto"/>
              </w:rPr>
            </w:pPr>
          </w:p>
        </w:tc>
        <w:tc>
          <w:tcPr>
            <w:tcW w:w="2000" w:type="dxa"/>
            <w:vAlign w:val="bottom"/>
            <w:tcBorders>
              <w:bottom w:val="single" w:sz="8" w:color="auto"/>
              <w:right w:val="single" w:sz="8" w:color="auto"/>
            </w:tcBorders>
          </w:tcPr>
          <w:p>
            <w:pPr>
              <w:spacing w:after="0"/>
              <w:rPr>
                <w:sz w:val="2"/>
                <w:szCs w:val="2"/>
                <w:color w:val="auto"/>
              </w:rPr>
            </w:pPr>
          </w:p>
        </w:tc>
        <w:tc>
          <w:tcPr>
            <w:tcW w:w="2220" w:type="dxa"/>
            <w:vAlign w:val="bottom"/>
            <w:tcBorders>
              <w:bottom w:val="single" w:sz="8" w:color="auto"/>
              <w:right w:val="single" w:sz="8" w:color="auto"/>
            </w:tcBorders>
          </w:tcPr>
          <w:p>
            <w:pPr>
              <w:spacing w:after="0"/>
              <w:rPr>
                <w:sz w:val="2"/>
                <w:szCs w:val="2"/>
                <w:color w:val="auto"/>
              </w:rPr>
            </w:pPr>
          </w:p>
        </w:tc>
        <w:tc>
          <w:tcPr>
            <w:tcW w:w="1640" w:type="dxa"/>
            <w:vAlign w:val="bottom"/>
            <w:tcBorders>
              <w:bottom w:val="single" w:sz="8" w:color="auto"/>
              <w:right w:val="single" w:sz="8" w:color="auto"/>
            </w:tcBorders>
          </w:tcPr>
          <w:p>
            <w:pPr>
              <w:spacing w:after="0"/>
              <w:rPr>
                <w:sz w:val="2"/>
                <w:szCs w:val="2"/>
                <w:color w:val="auto"/>
              </w:rPr>
            </w:pPr>
          </w:p>
        </w:tc>
        <w:tc>
          <w:tcPr>
            <w:tcW w:w="1000" w:type="dxa"/>
            <w:vAlign w:val="bottom"/>
            <w:tcBorders>
              <w:bottom w:val="single" w:sz="8" w:color="auto"/>
              <w:right w:val="single" w:sz="8" w:color="auto"/>
            </w:tcBorders>
          </w:tcPr>
          <w:p>
            <w:pPr>
              <w:spacing w:after="0"/>
              <w:rPr>
                <w:sz w:val="2"/>
                <w:szCs w:val="2"/>
                <w:color w:val="auto"/>
              </w:rPr>
            </w:pPr>
          </w:p>
        </w:tc>
      </w:tr>
      <w:tr>
        <w:trPr>
          <w:trHeight w:val="237"/>
        </w:trPr>
        <w:tc>
          <w:tcPr>
            <w:tcW w:w="456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EFT Americas Inc.</w:t>
            </w:r>
          </w:p>
        </w:tc>
        <w:tc>
          <w:tcPr>
            <w:tcW w:w="20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Delaware, USA</w:t>
            </w:r>
          </w:p>
        </w:tc>
        <w:tc>
          <w:tcPr>
            <w:tcW w:w="22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Common Stock</w:t>
            </w:r>
          </w:p>
        </w:tc>
        <w:tc>
          <w:tcPr>
            <w:tcW w:w="1640" w:type="dxa"/>
            <w:vAlign w:val="bottom"/>
            <w:tcBorders>
              <w:right w:val="single" w:sz="8" w:color="auto"/>
            </w:tcBorders>
          </w:tcPr>
          <w:p>
            <w:pPr>
              <w:jc w:val="right"/>
              <w:ind w:right="50"/>
              <w:spacing w:after="0"/>
              <w:rPr>
                <w:sz w:val="20"/>
                <w:szCs w:val="20"/>
                <w:color w:val="auto"/>
              </w:rPr>
            </w:pPr>
            <w:r>
              <w:rPr>
                <w:rFonts w:ascii="Arial" w:cs="Arial" w:eastAsia="Arial" w:hAnsi="Arial"/>
                <w:sz w:val="18"/>
                <w:szCs w:val="18"/>
                <w:color w:val="auto"/>
              </w:rPr>
              <w:t>100</w:t>
            </w:r>
          </w:p>
        </w:tc>
        <w:tc>
          <w:tcPr>
            <w:tcW w:w="10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1"/>
              </w:rPr>
              <w:t>100%</w:t>
            </w:r>
          </w:p>
        </w:tc>
      </w:tr>
      <w:tr>
        <w:trPr>
          <w:trHeight w:val="27"/>
        </w:trPr>
        <w:tc>
          <w:tcPr>
            <w:tcW w:w="4560" w:type="dxa"/>
            <w:vAlign w:val="bottom"/>
            <w:tcBorders>
              <w:left w:val="single" w:sz="8" w:color="auto"/>
              <w:bottom w:val="single" w:sz="8" w:color="auto"/>
              <w:right w:val="single" w:sz="8" w:color="auto"/>
            </w:tcBorders>
          </w:tcPr>
          <w:p>
            <w:pPr>
              <w:spacing w:after="0"/>
              <w:rPr>
                <w:sz w:val="2"/>
                <w:szCs w:val="2"/>
                <w:color w:val="auto"/>
              </w:rPr>
            </w:pPr>
          </w:p>
        </w:tc>
        <w:tc>
          <w:tcPr>
            <w:tcW w:w="2000" w:type="dxa"/>
            <w:vAlign w:val="bottom"/>
            <w:tcBorders>
              <w:bottom w:val="single" w:sz="8" w:color="auto"/>
              <w:right w:val="single" w:sz="8" w:color="auto"/>
            </w:tcBorders>
          </w:tcPr>
          <w:p>
            <w:pPr>
              <w:spacing w:after="0"/>
              <w:rPr>
                <w:sz w:val="2"/>
                <w:szCs w:val="2"/>
                <w:color w:val="auto"/>
              </w:rPr>
            </w:pPr>
          </w:p>
        </w:tc>
        <w:tc>
          <w:tcPr>
            <w:tcW w:w="2220" w:type="dxa"/>
            <w:vAlign w:val="bottom"/>
            <w:tcBorders>
              <w:bottom w:val="single" w:sz="8" w:color="auto"/>
              <w:right w:val="single" w:sz="8" w:color="auto"/>
            </w:tcBorders>
          </w:tcPr>
          <w:p>
            <w:pPr>
              <w:spacing w:after="0"/>
              <w:rPr>
                <w:sz w:val="2"/>
                <w:szCs w:val="2"/>
                <w:color w:val="auto"/>
              </w:rPr>
            </w:pPr>
          </w:p>
        </w:tc>
        <w:tc>
          <w:tcPr>
            <w:tcW w:w="1640" w:type="dxa"/>
            <w:vAlign w:val="bottom"/>
            <w:tcBorders>
              <w:bottom w:val="single" w:sz="8" w:color="auto"/>
              <w:right w:val="single" w:sz="8" w:color="auto"/>
            </w:tcBorders>
          </w:tcPr>
          <w:p>
            <w:pPr>
              <w:spacing w:after="0"/>
              <w:rPr>
                <w:sz w:val="2"/>
                <w:szCs w:val="2"/>
                <w:color w:val="auto"/>
              </w:rPr>
            </w:pPr>
          </w:p>
        </w:tc>
        <w:tc>
          <w:tcPr>
            <w:tcW w:w="1000" w:type="dxa"/>
            <w:vAlign w:val="bottom"/>
            <w:tcBorders>
              <w:bottom w:val="single" w:sz="8" w:color="auto"/>
              <w:right w:val="single" w:sz="8" w:color="auto"/>
            </w:tcBorders>
          </w:tcPr>
          <w:p>
            <w:pPr>
              <w:spacing w:after="0"/>
              <w:rPr>
                <w:sz w:val="2"/>
                <w:szCs w:val="2"/>
                <w:color w:val="auto"/>
              </w:rPr>
            </w:pPr>
          </w:p>
        </w:tc>
      </w:tr>
    </w:tbl>
    <w:p>
      <w:pPr>
        <w:sectPr>
          <w:pgSz w:w="11900" w:h="16838" w:orient="portrait"/>
          <w:cols w:equalWidth="0" w:num="1">
            <w:col w:w="11420"/>
          </w:cols>
          <w:pgMar w:left="260" w:top="498" w:right="219" w:bottom="1440" w:gutter="0" w:footer="0" w:header="0"/>
        </w:sectPr>
      </w:pPr>
    </w:p>
    <w:bookmarkStart w:id="268" w:name="page269"/>
    <w:bookmarkEnd w:id="268"/>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57"/>
        </w:trPr>
        <w:tc>
          <w:tcPr>
            <w:tcW w:w="4580" w:type="dxa"/>
            <w:vAlign w:val="bottom"/>
            <w:tcBorders>
              <w:top w:val="single" w:sz="8" w:color="auto"/>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EWI Foreign Holdings Limited</w:t>
            </w:r>
          </w:p>
        </w:tc>
        <w:tc>
          <w:tcPr>
            <w:tcW w:w="2000" w:type="dxa"/>
            <w:vAlign w:val="bottom"/>
            <w:tcBorders>
              <w:top w:val="single" w:sz="8" w:color="auto"/>
              <w:right w:val="single" w:sz="8" w:color="auto"/>
            </w:tcBorders>
          </w:tcPr>
          <w:p>
            <w:pPr>
              <w:spacing w:after="0"/>
              <w:rPr>
                <w:sz w:val="20"/>
                <w:szCs w:val="20"/>
                <w:color w:val="auto"/>
              </w:rPr>
            </w:pPr>
            <w:r>
              <w:rPr>
                <w:rFonts w:ascii="Arial" w:cs="Arial" w:eastAsia="Arial" w:hAnsi="Arial"/>
                <w:sz w:val="18"/>
                <w:szCs w:val="18"/>
                <w:color w:val="auto"/>
              </w:rPr>
              <w:t>Cyprus</w:t>
            </w:r>
          </w:p>
        </w:tc>
        <w:tc>
          <w:tcPr>
            <w:tcW w:w="2200" w:type="dxa"/>
            <w:vAlign w:val="bottom"/>
            <w:tcBorders>
              <w:top w:val="single" w:sz="8" w:color="auto"/>
              <w:right w:val="single" w:sz="8" w:color="auto"/>
            </w:tcBorders>
          </w:tcPr>
          <w:p>
            <w:pPr>
              <w:spacing w:after="0"/>
              <w:rPr>
                <w:sz w:val="20"/>
                <w:szCs w:val="20"/>
                <w:color w:val="auto"/>
              </w:rPr>
            </w:pPr>
            <w:r>
              <w:rPr>
                <w:rFonts w:ascii="Arial" w:cs="Arial" w:eastAsia="Arial" w:hAnsi="Arial"/>
                <w:sz w:val="18"/>
                <w:szCs w:val="18"/>
                <w:color w:val="auto"/>
              </w:rPr>
              <w:t>Common Stock</w:t>
            </w:r>
          </w:p>
        </w:tc>
        <w:tc>
          <w:tcPr>
            <w:tcW w:w="1640" w:type="dxa"/>
            <w:vAlign w:val="bottom"/>
            <w:tcBorders>
              <w:top w:val="single" w:sz="8" w:color="auto"/>
              <w:right w:val="single" w:sz="8" w:color="auto"/>
            </w:tcBorders>
          </w:tcPr>
          <w:p>
            <w:pPr>
              <w:jc w:val="right"/>
              <w:ind w:right="50"/>
              <w:spacing w:after="0"/>
              <w:rPr>
                <w:sz w:val="20"/>
                <w:szCs w:val="20"/>
                <w:color w:val="auto"/>
              </w:rPr>
            </w:pPr>
            <w:r>
              <w:rPr>
                <w:rFonts w:ascii="Arial" w:cs="Arial" w:eastAsia="Arial" w:hAnsi="Arial"/>
                <w:sz w:val="18"/>
                <w:szCs w:val="18"/>
                <w:color w:val="auto"/>
              </w:rPr>
              <w:t>65,000</w:t>
            </w:r>
          </w:p>
        </w:tc>
        <w:tc>
          <w:tcPr>
            <w:tcW w:w="100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100%</w:t>
            </w:r>
          </w:p>
        </w:tc>
      </w:tr>
      <w:tr>
        <w:trPr>
          <w:trHeight w:val="27"/>
        </w:trPr>
        <w:tc>
          <w:tcPr>
            <w:tcW w:w="4580" w:type="dxa"/>
            <w:vAlign w:val="bottom"/>
            <w:tcBorders>
              <w:left w:val="single" w:sz="8" w:color="auto"/>
              <w:bottom w:val="single" w:sz="8" w:color="auto"/>
              <w:right w:val="single" w:sz="8" w:color="auto"/>
            </w:tcBorders>
          </w:tcPr>
          <w:p>
            <w:pPr>
              <w:spacing w:after="0"/>
              <w:rPr>
                <w:sz w:val="2"/>
                <w:szCs w:val="2"/>
                <w:color w:val="auto"/>
              </w:rPr>
            </w:pPr>
          </w:p>
        </w:tc>
        <w:tc>
          <w:tcPr>
            <w:tcW w:w="2000" w:type="dxa"/>
            <w:vAlign w:val="bottom"/>
            <w:tcBorders>
              <w:bottom w:val="single" w:sz="8" w:color="auto"/>
              <w:right w:val="single" w:sz="8" w:color="auto"/>
            </w:tcBorders>
          </w:tcPr>
          <w:p>
            <w:pPr>
              <w:spacing w:after="0"/>
              <w:rPr>
                <w:sz w:val="2"/>
                <w:szCs w:val="2"/>
                <w:color w:val="auto"/>
              </w:rPr>
            </w:pPr>
          </w:p>
        </w:tc>
        <w:tc>
          <w:tcPr>
            <w:tcW w:w="2200" w:type="dxa"/>
            <w:vAlign w:val="bottom"/>
            <w:tcBorders>
              <w:bottom w:val="single" w:sz="8" w:color="auto"/>
              <w:right w:val="single" w:sz="8" w:color="auto"/>
            </w:tcBorders>
          </w:tcPr>
          <w:p>
            <w:pPr>
              <w:spacing w:after="0"/>
              <w:rPr>
                <w:sz w:val="2"/>
                <w:szCs w:val="2"/>
                <w:color w:val="auto"/>
              </w:rPr>
            </w:pPr>
          </w:p>
        </w:tc>
        <w:tc>
          <w:tcPr>
            <w:tcW w:w="1640" w:type="dxa"/>
            <w:vAlign w:val="bottom"/>
            <w:tcBorders>
              <w:bottom w:val="single" w:sz="8" w:color="auto"/>
              <w:right w:val="single" w:sz="8" w:color="auto"/>
            </w:tcBorders>
          </w:tcPr>
          <w:p>
            <w:pPr>
              <w:spacing w:after="0"/>
              <w:rPr>
                <w:sz w:val="2"/>
                <w:szCs w:val="2"/>
                <w:color w:val="auto"/>
              </w:rPr>
            </w:pPr>
          </w:p>
        </w:tc>
        <w:tc>
          <w:tcPr>
            <w:tcW w:w="1000" w:type="dxa"/>
            <w:vAlign w:val="bottom"/>
            <w:tcBorders>
              <w:bottom w:val="single" w:sz="8" w:color="auto"/>
              <w:right w:val="single" w:sz="8" w:color="auto"/>
            </w:tcBorders>
          </w:tcPr>
          <w:p>
            <w:pPr>
              <w:spacing w:after="0"/>
              <w:rPr>
                <w:sz w:val="2"/>
                <w:szCs w:val="2"/>
                <w:color w:val="auto"/>
              </w:rPr>
            </w:pPr>
          </w:p>
        </w:tc>
      </w:tr>
      <w:tr>
        <w:trPr>
          <w:trHeight w:val="237"/>
        </w:trPr>
        <w:tc>
          <w:tcPr>
            <w:tcW w:w="45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Euronet USA Inc.</w:t>
            </w:r>
          </w:p>
        </w:tc>
        <w:tc>
          <w:tcPr>
            <w:tcW w:w="200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Arkansas, U.S.A.</w:t>
            </w:r>
          </w:p>
        </w:tc>
        <w:tc>
          <w:tcPr>
            <w:tcW w:w="220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Common Stock</w:t>
            </w:r>
          </w:p>
        </w:tc>
        <w:tc>
          <w:tcPr>
            <w:tcW w:w="1640" w:type="dxa"/>
            <w:vAlign w:val="bottom"/>
            <w:tcBorders>
              <w:right w:val="single" w:sz="8" w:color="auto"/>
            </w:tcBorders>
          </w:tcPr>
          <w:p>
            <w:pPr>
              <w:jc w:val="right"/>
              <w:ind w:right="50"/>
              <w:spacing w:after="0"/>
              <w:rPr>
                <w:sz w:val="20"/>
                <w:szCs w:val="20"/>
                <w:color w:val="auto"/>
              </w:rPr>
            </w:pPr>
            <w:r>
              <w:rPr>
                <w:rFonts w:ascii="Arial" w:cs="Arial" w:eastAsia="Arial" w:hAnsi="Arial"/>
                <w:sz w:val="18"/>
                <w:szCs w:val="18"/>
                <w:color w:val="auto"/>
              </w:rPr>
              <w:t>100</w:t>
            </w:r>
          </w:p>
        </w:tc>
        <w:tc>
          <w:tcPr>
            <w:tcW w:w="10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1"/>
              </w:rPr>
              <w:t>100%</w:t>
            </w:r>
          </w:p>
        </w:tc>
      </w:tr>
      <w:tr>
        <w:trPr>
          <w:trHeight w:val="27"/>
        </w:trPr>
        <w:tc>
          <w:tcPr>
            <w:tcW w:w="4580" w:type="dxa"/>
            <w:vAlign w:val="bottom"/>
            <w:tcBorders>
              <w:left w:val="single" w:sz="8" w:color="auto"/>
              <w:bottom w:val="single" w:sz="8" w:color="auto"/>
              <w:right w:val="single" w:sz="8" w:color="auto"/>
            </w:tcBorders>
          </w:tcPr>
          <w:p>
            <w:pPr>
              <w:spacing w:after="0"/>
              <w:rPr>
                <w:sz w:val="2"/>
                <w:szCs w:val="2"/>
                <w:color w:val="auto"/>
              </w:rPr>
            </w:pPr>
          </w:p>
        </w:tc>
        <w:tc>
          <w:tcPr>
            <w:tcW w:w="2000" w:type="dxa"/>
            <w:vAlign w:val="bottom"/>
            <w:tcBorders>
              <w:bottom w:val="single" w:sz="8" w:color="auto"/>
              <w:right w:val="single" w:sz="8" w:color="auto"/>
            </w:tcBorders>
          </w:tcPr>
          <w:p>
            <w:pPr>
              <w:spacing w:after="0"/>
              <w:rPr>
                <w:sz w:val="2"/>
                <w:szCs w:val="2"/>
                <w:color w:val="auto"/>
              </w:rPr>
            </w:pPr>
          </w:p>
        </w:tc>
        <w:tc>
          <w:tcPr>
            <w:tcW w:w="2200" w:type="dxa"/>
            <w:vAlign w:val="bottom"/>
            <w:tcBorders>
              <w:bottom w:val="single" w:sz="8" w:color="auto"/>
              <w:right w:val="single" w:sz="8" w:color="auto"/>
            </w:tcBorders>
          </w:tcPr>
          <w:p>
            <w:pPr>
              <w:spacing w:after="0"/>
              <w:rPr>
                <w:sz w:val="2"/>
                <w:szCs w:val="2"/>
                <w:color w:val="auto"/>
              </w:rPr>
            </w:pPr>
          </w:p>
        </w:tc>
        <w:tc>
          <w:tcPr>
            <w:tcW w:w="1640" w:type="dxa"/>
            <w:vAlign w:val="bottom"/>
            <w:tcBorders>
              <w:bottom w:val="single" w:sz="8" w:color="auto"/>
              <w:right w:val="single" w:sz="8" w:color="auto"/>
            </w:tcBorders>
          </w:tcPr>
          <w:p>
            <w:pPr>
              <w:spacing w:after="0"/>
              <w:rPr>
                <w:sz w:val="2"/>
                <w:szCs w:val="2"/>
                <w:color w:val="auto"/>
              </w:rPr>
            </w:pPr>
          </w:p>
        </w:tc>
        <w:tc>
          <w:tcPr>
            <w:tcW w:w="1000" w:type="dxa"/>
            <w:vAlign w:val="bottom"/>
            <w:tcBorders>
              <w:bottom w:val="single" w:sz="8" w:color="auto"/>
              <w:right w:val="single" w:sz="8" w:color="auto"/>
            </w:tcBorders>
          </w:tcPr>
          <w:p>
            <w:pPr>
              <w:spacing w:after="0"/>
              <w:rPr>
                <w:sz w:val="2"/>
                <w:szCs w:val="2"/>
                <w:color w:val="auto"/>
              </w:rPr>
            </w:pPr>
          </w:p>
        </w:tc>
      </w:tr>
      <w:tr>
        <w:trPr>
          <w:trHeight w:val="237"/>
        </w:trPr>
        <w:tc>
          <w:tcPr>
            <w:tcW w:w="45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Euronet Pakistan Holdings, Inc.</w:t>
            </w:r>
          </w:p>
        </w:tc>
        <w:tc>
          <w:tcPr>
            <w:tcW w:w="200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Delaware, USA</w:t>
            </w:r>
          </w:p>
        </w:tc>
        <w:tc>
          <w:tcPr>
            <w:tcW w:w="220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Common Stock</w:t>
            </w:r>
          </w:p>
        </w:tc>
        <w:tc>
          <w:tcPr>
            <w:tcW w:w="1640" w:type="dxa"/>
            <w:vAlign w:val="bottom"/>
            <w:tcBorders>
              <w:right w:val="single" w:sz="8" w:color="auto"/>
            </w:tcBorders>
          </w:tcPr>
          <w:p>
            <w:pPr>
              <w:jc w:val="right"/>
              <w:ind w:right="50"/>
              <w:spacing w:after="0"/>
              <w:rPr>
                <w:sz w:val="20"/>
                <w:szCs w:val="20"/>
                <w:color w:val="auto"/>
              </w:rPr>
            </w:pPr>
            <w:r>
              <w:rPr>
                <w:rFonts w:ascii="Arial" w:cs="Arial" w:eastAsia="Arial" w:hAnsi="Arial"/>
                <w:sz w:val="18"/>
                <w:szCs w:val="18"/>
                <w:color w:val="auto"/>
              </w:rPr>
              <w:t>100</w:t>
            </w:r>
          </w:p>
        </w:tc>
        <w:tc>
          <w:tcPr>
            <w:tcW w:w="10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1"/>
              </w:rPr>
              <w:t>100%</w:t>
            </w:r>
          </w:p>
        </w:tc>
      </w:tr>
      <w:tr>
        <w:trPr>
          <w:trHeight w:val="27"/>
        </w:trPr>
        <w:tc>
          <w:tcPr>
            <w:tcW w:w="4580" w:type="dxa"/>
            <w:vAlign w:val="bottom"/>
            <w:tcBorders>
              <w:left w:val="single" w:sz="8" w:color="auto"/>
              <w:bottom w:val="single" w:sz="8" w:color="auto"/>
              <w:right w:val="single" w:sz="8" w:color="auto"/>
            </w:tcBorders>
          </w:tcPr>
          <w:p>
            <w:pPr>
              <w:spacing w:after="0"/>
              <w:rPr>
                <w:sz w:val="2"/>
                <w:szCs w:val="2"/>
                <w:color w:val="auto"/>
              </w:rPr>
            </w:pPr>
          </w:p>
        </w:tc>
        <w:tc>
          <w:tcPr>
            <w:tcW w:w="2000" w:type="dxa"/>
            <w:vAlign w:val="bottom"/>
            <w:tcBorders>
              <w:bottom w:val="single" w:sz="8" w:color="auto"/>
              <w:right w:val="single" w:sz="8" w:color="auto"/>
            </w:tcBorders>
          </w:tcPr>
          <w:p>
            <w:pPr>
              <w:spacing w:after="0"/>
              <w:rPr>
                <w:sz w:val="2"/>
                <w:szCs w:val="2"/>
                <w:color w:val="auto"/>
              </w:rPr>
            </w:pPr>
          </w:p>
        </w:tc>
        <w:tc>
          <w:tcPr>
            <w:tcW w:w="2200" w:type="dxa"/>
            <w:vAlign w:val="bottom"/>
            <w:tcBorders>
              <w:bottom w:val="single" w:sz="8" w:color="auto"/>
              <w:right w:val="single" w:sz="8" w:color="auto"/>
            </w:tcBorders>
          </w:tcPr>
          <w:p>
            <w:pPr>
              <w:spacing w:after="0"/>
              <w:rPr>
                <w:sz w:val="2"/>
                <w:szCs w:val="2"/>
                <w:color w:val="auto"/>
              </w:rPr>
            </w:pPr>
          </w:p>
        </w:tc>
        <w:tc>
          <w:tcPr>
            <w:tcW w:w="1640" w:type="dxa"/>
            <w:vAlign w:val="bottom"/>
            <w:tcBorders>
              <w:bottom w:val="single" w:sz="8" w:color="auto"/>
              <w:right w:val="single" w:sz="8" w:color="auto"/>
            </w:tcBorders>
          </w:tcPr>
          <w:p>
            <w:pPr>
              <w:spacing w:after="0"/>
              <w:rPr>
                <w:sz w:val="2"/>
                <w:szCs w:val="2"/>
                <w:color w:val="auto"/>
              </w:rPr>
            </w:pPr>
          </w:p>
        </w:tc>
        <w:tc>
          <w:tcPr>
            <w:tcW w:w="1000" w:type="dxa"/>
            <w:vAlign w:val="bottom"/>
            <w:tcBorders>
              <w:bottom w:val="single" w:sz="8" w:color="auto"/>
              <w:right w:val="single" w:sz="8" w:color="auto"/>
            </w:tcBorders>
          </w:tcPr>
          <w:p>
            <w:pPr>
              <w:spacing w:after="0"/>
              <w:rPr>
                <w:sz w:val="2"/>
                <w:szCs w:val="2"/>
                <w:color w:val="auto"/>
              </w:rPr>
            </w:pPr>
          </w:p>
        </w:tc>
      </w:tr>
      <w:tr>
        <w:trPr>
          <w:trHeight w:val="237"/>
        </w:trPr>
        <w:tc>
          <w:tcPr>
            <w:tcW w:w="45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Euronet Pakistan (Pvt.) Limited</w:t>
            </w:r>
          </w:p>
        </w:tc>
        <w:tc>
          <w:tcPr>
            <w:tcW w:w="200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Pakistan</w:t>
            </w:r>
          </w:p>
        </w:tc>
        <w:tc>
          <w:tcPr>
            <w:tcW w:w="220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Common Stock</w:t>
            </w:r>
          </w:p>
        </w:tc>
        <w:tc>
          <w:tcPr>
            <w:tcW w:w="1640" w:type="dxa"/>
            <w:vAlign w:val="bottom"/>
            <w:tcBorders>
              <w:right w:val="single" w:sz="8" w:color="auto"/>
            </w:tcBorders>
          </w:tcPr>
          <w:p>
            <w:pPr>
              <w:jc w:val="right"/>
              <w:ind w:right="50"/>
              <w:spacing w:after="0"/>
              <w:rPr>
                <w:sz w:val="20"/>
                <w:szCs w:val="20"/>
                <w:color w:val="auto"/>
              </w:rPr>
            </w:pPr>
            <w:r>
              <w:rPr>
                <w:rFonts w:ascii="Arial" w:cs="Arial" w:eastAsia="Arial" w:hAnsi="Arial"/>
                <w:sz w:val="18"/>
                <w:szCs w:val="18"/>
                <w:color w:val="auto"/>
              </w:rPr>
              <w:t>0</w:t>
            </w:r>
          </w:p>
        </w:tc>
        <w:tc>
          <w:tcPr>
            <w:tcW w:w="10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8"/>
              </w:rPr>
              <w:t>70%</w:t>
            </w:r>
          </w:p>
        </w:tc>
      </w:tr>
      <w:tr>
        <w:trPr>
          <w:trHeight w:val="27"/>
        </w:trPr>
        <w:tc>
          <w:tcPr>
            <w:tcW w:w="4580" w:type="dxa"/>
            <w:vAlign w:val="bottom"/>
            <w:tcBorders>
              <w:left w:val="single" w:sz="8" w:color="auto"/>
              <w:bottom w:val="single" w:sz="8" w:color="auto"/>
              <w:right w:val="single" w:sz="8" w:color="auto"/>
            </w:tcBorders>
          </w:tcPr>
          <w:p>
            <w:pPr>
              <w:spacing w:after="0"/>
              <w:rPr>
                <w:sz w:val="2"/>
                <w:szCs w:val="2"/>
                <w:color w:val="auto"/>
              </w:rPr>
            </w:pPr>
          </w:p>
        </w:tc>
        <w:tc>
          <w:tcPr>
            <w:tcW w:w="2000" w:type="dxa"/>
            <w:vAlign w:val="bottom"/>
            <w:tcBorders>
              <w:bottom w:val="single" w:sz="8" w:color="auto"/>
              <w:right w:val="single" w:sz="8" w:color="auto"/>
            </w:tcBorders>
          </w:tcPr>
          <w:p>
            <w:pPr>
              <w:spacing w:after="0"/>
              <w:rPr>
                <w:sz w:val="2"/>
                <w:szCs w:val="2"/>
                <w:color w:val="auto"/>
              </w:rPr>
            </w:pPr>
          </w:p>
        </w:tc>
        <w:tc>
          <w:tcPr>
            <w:tcW w:w="2200" w:type="dxa"/>
            <w:vAlign w:val="bottom"/>
            <w:tcBorders>
              <w:bottom w:val="single" w:sz="8" w:color="auto"/>
              <w:right w:val="single" w:sz="8" w:color="auto"/>
            </w:tcBorders>
          </w:tcPr>
          <w:p>
            <w:pPr>
              <w:spacing w:after="0"/>
              <w:rPr>
                <w:sz w:val="2"/>
                <w:szCs w:val="2"/>
                <w:color w:val="auto"/>
              </w:rPr>
            </w:pPr>
          </w:p>
        </w:tc>
        <w:tc>
          <w:tcPr>
            <w:tcW w:w="1640" w:type="dxa"/>
            <w:vAlign w:val="bottom"/>
            <w:tcBorders>
              <w:bottom w:val="single" w:sz="8" w:color="auto"/>
              <w:right w:val="single" w:sz="8" w:color="auto"/>
            </w:tcBorders>
          </w:tcPr>
          <w:p>
            <w:pPr>
              <w:spacing w:after="0"/>
              <w:rPr>
                <w:sz w:val="2"/>
                <w:szCs w:val="2"/>
                <w:color w:val="auto"/>
              </w:rPr>
            </w:pPr>
          </w:p>
        </w:tc>
        <w:tc>
          <w:tcPr>
            <w:tcW w:w="1000" w:type="dxa"/>
            <w:vAlign w:val="bottom"/>
            <w:tcBorders>
              <w:bottom w:val="single" w:sz="8" w:color="auto"/>
              <w:right w:val="single" w:sz="8" w:color="auto"/>
            </w:tcBorders>
          </w:tcPr>
          <w:p>
            <w:pPr>
              <w:spacing w:after="0"/>
              <w:rPr>
                <w:sz w:val="2"/>
                <w:szCs w:val="2"/>
                <w:color w:val="auto"/>
              </w:rPr>
            </w:pPr>
          </w:p>
        </w:tc>
      </w:tr>
      <w:tr>
        <w:trPr>
          <w:trHeight w:val="237"/>
        </w:trPr>
        <w:tc>
          <w:tcPr>
            <w:tcW w:w="45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PaySpot, Inc.</w:t>
            </w:r>
          </w:p>
        </w:tc>
        <w:tc>
          <w:tcPr>
            <w:tcW w:w="200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Delaware, USA</w:t>
            </w:r>
          </w:p>
        </w:tc>
        <w:tc>
          <w:tcPr>
            <w:tcW w:w="220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Common Stock</w:t>
            </w:r>
          </w:p>
        </w:tc>
        <w:tc>
          <w:tcPr>
            <w:tcW w:w="1640" w:type="dxa"/>
            <w:vAlign w:val="bottom"/>
            <w:tcBorders>
              <w:right w:val="single" w:sz="8" w:color="auto"/>
            </w:tcBorders>
          </w:tcPr>
          <w:p>
            <w:pPr>
              <w:jc w:val="right"/>
              <w:ind w:right="50"/>
              <w:spacing w:after="0"/>
              <w:rPr>
                <w:sz w:val="20"/>
                <w:szCs w:val="20"/>
                <w:color w:val="auto"/>
              </w:rPr>
            </w:pPr>
            <w:r>
              <w:rPr>
                <w:rFonts w:ascii="Arial" w:cs="Arial" w:eastAsia="Arial" w:hAnsi="Arial"/>
                <w:sz w:val="18"/>
                <w:szCs w:val="18"/>
                <w:color w:val="auto"/>
              </w:rPr>
              <w:t>1</w:t>
            </w:r>
          </w:p>
        </w:tc>
        <w:tc>
          <w:tcPr>
            <w:tcW w:w="10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1"/>
              </w:rPr>
              <w:t>100%</w:t>
            </w:r>
          </w:p>
        </w:tc>
      </w:tr>
      <w:tr>
        <w:trPr>
          <w:trHeight w:val="27"/>
        </w:trPr>
        <w:tc>
          <w:tcPr>
            <w:tcW w:w="4580" w:type="dxa"/>
            <w:vAlign w:val="bottom"/>
            <w:tcBorders>
              <w:left w:val="single" w:sz="8" w:color="auto"/>
              <w:bottom w:val="single" w:sz="8" w:color="auto"/>
              <w:right w:val="single" w:sz="8" w:color="auto"/>
            </w:tcBorders>
          </w:tcPr>
          <w:p>
            <w:pPr>
              <w:spacing w:after="0"/>
              <w:rPr>
                <w:sz w:val="2"/>
                <w:szCs w:val="2"/>
                <w:color w:val="auto"/>
              </w:rPr>
            </w:pPr>
          </w:p>
        </w:tc>
        <w:tc>
          <w:tcPr>
            <w:tcW w:w="2000" w:type="dxa"/>
            <w:vAlign w:val="bottom"/>
            <w:tcBorders>
              <w:bottom w:val="single" w:sz="8" w:color="auto"/>
              <w:right w:val="single" w:sz="8" w:color="auto"/>
            </w:tcBorders>
          </w:tcPr>
          <w:p>
            <w:pPr>
              <w:spacing w:after="0"/>
              <w:rPr>
                <w:sz w:val="2"/>
                <w:szCs w:val="2"/>
                <w:color w:val="auto"/>
              </w:rPr>
            </w:pPr>
          </w:p>
        </w:tc>
        <w:tc>
          <w:tcPr>
            <w:tcW w:w="2200" w:type="dxa"/>
            <w:vAlign w:val="bottom"/>
            <w:tcBorders>
              <w:bottom w:val="single" w:sz="8" w:color="auto"/>
              <w:right w:val="single" w:sz="8" w:color="auto"/>
            </w:tcBorders>
          </w:tcPr>
          <w:p>
            <w:pPr>
              <w:spacing w:after="0"/>
              <w:rPr>
                <w:sz w:val="2"/>
                <w:szCs w:val="2"/>
                <w:color w:val="auto"/>
              </w:rPr>
            </w:pPr>
          </w:p>
        </w:tc>
        <w:tc>
          <w:tcPr>
            <w:tcW w:w="1640" w:type="dxa"/>
            <w:vAlign w:val="bottom"/>
            <w:tcBorders>
              <w:bottom w:val="single" w:sz="8" w:color="auto"/>
              <w:right w:val="single" w:sz="8" w:color="auto"/>
            </w:tcBorders>
          </w:tcPr>
          <w:p>
            <w:pPr>
              <w:spacing w:after="0"/>
              <w:rPr>
                <w:sz w:val="2"/>
                <w:szCs w:val="2"/>
                <w:color w:val="auto"/>
              </w:rPr>
            </w:pPr>
          </w:p>
        </w:tc>
        <w:tc>
          <w:tcPr>
            <w:tcW w:w="1000" w:type="dxa"/>
            <w:vAlign w:val="bottom"/>
            <w:tcBorders>
              <w:bottom w:val="single" w:sz="8" w:color="auto"/>
              <w:right w:val="single" w:sz="8" w:color="auto"/>
            </w:tcBorders>
          </w:tcPr>
          <w:p>
            <w:pPr>
              <w:spacing w:after="0"/>
              <w:rPr>
                <w:sz w:val="2"/>
                <w:szCs w:val="2"/>
                <w:color w:val="auto"/>
              </w:rPr>
            </w:pPr>
          </w:p>
        </w:tc>
      </w:tr>
      <w:tr>
        <w:trPr>
          <w:trHeight w:val="237"/>
        </w:trPr>
        <w:tc>
          <w:tcPr>
            <w:tcW w:w="45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RIA Envia Financial Services Belgium SPRL</w:t>
            </w:r>
          </w:p>
        </w:tc>
        <w:tc>
          <w:tcPr>
            <w:tcW w:w="200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Belgium</w:t>
            </w:r>
          </w:p>
        </w:tc>
        <w:tc>
          <w:tcPr>
            <w:tcW w:w="220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Registered Capital</w:t>
            </w:r>
          </w:p>
        </w:tc>
        <w:tc>
          <w:tcPr>
            <w:tcW w:w="1640" w:type="dxa"/>
            <w:vAlign w:val="bottom"/>
            <w:tcBorders>
              <w:right w:val="single" w:sz="8" w:color="auto"/>
            </w:tcBorders>
          </w:tcPr>
          <w:p>
            <w:pPr>
              <w:jc w:val="right"/>
              <w:ind w:right="50"/>
              <w:spacing w:after="0"/>
              <w:rPr>
                <w:sz w:val="20"/>
                <w:szCs w:val="20"/>
                <w:color w:val="auto"/>
              </w:rPr>
            </w:pPr>
            <w:r>
              <w:rPr>
                <w:rFonts w:ascii="Arial" w:cs="Arial" w:eastAsia="Arial" w:hAnsi="Arial"/>
                <w:sz w:val="18"/>
                <w:szCs w:val="18"/>
                <w:color w:val="auto"/>
              </w:rPr>
              <w:t>3,560</w:t>
            </w:r>
          </w:p>
        </w:tc>
        <w:tc>
          <w:tcPr>
            <w:tcW w:w="10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1"/>
              </w:rPr>
              <w:t>100%</w:t>
            </w:r>
          </w:p>
        </w:tc>
      </w:tr>
      <w:tr>
        <w:trPr>
          <w:trHeight w:val="27"/>
        </w:trPr>
        <w:tc>
          <w:tcPr>
            <w:tcW w:w="4580" w:type="dxa"/>
            <w:vAlign w:val="bottom"/>
            <w:tcBorders>
              <w:left w:val="single" w:sz="8" w:color="auto"/>
              <w:bottom w:val="single" w:sz="8" w:color="auto"/>
              <w:right w:val="single" w:sz="8" w:color="auto"/>
            </w:tcBorders>
          </w:tcPr>
          <w:p>
            <w:pPr>
              <w:spacing w:after="0"/>
              <w:rPr>
                <w:sz w:val="2"/>
                <w:szCs w:val="2"/>
                <w:color w:val="auto"/>
              </w:rPr>
            </w:pPr>
          </w:p>
        </w:tc>
        <w:tc>
          <w:tcPr>
            <w:tcW w:w="2000" w:type="dxa"/>
            <w:vAlign w:val="bottom"/>
            <w:tcBorders>
              <w:bottom w:val="single" w:sz="8" w:color="auto"/>
              <w:right w:val="single" w:sz="8" w:color="auto"/>
            </w:tcBorders>
          </w:tcPr>
          <w:p>
            <w:pPr>
              <w:spacing w:after="0"/>
              <w:rPr>
                <w:sz w:val="2"/>
                <w:szCs w:val="2"/>
                <w:color w:val="auto"/>
              </w:rPr>
            </w:pPr>
          </w:p>
        </w:tc>
        <w:tc>
          <w:tcPr>
            <w:tcW w:w="2200" w:type="dxa"/>
            <w:vAlign w:val="bottom"/>
            <w:tcBorders>
              <w:bottom w:val="single" w:sz="8" w:color="auto"/>
              <w:right w:val="single" w:sz="8" w:color="auto"/>
            </w:tcBorders>
          </w:tcPr>
          <w:p>
            <w:pPr>
              <w:spacing w:after="0"/>
              <w:rPr>
                <w:sz w:val="2"/>
                <w:szCs w:val="2"/>
                <w:color w:val="auto"/>
              </w:rPr>
            </w:pPr>
          </w:p>
        </w:tc>
        <w:tc>
          <w:tcPr>
            <w:tcW w:w="1640" w:type="dxa"/>
            <w:vAlign w:val="bottom"/>
            <w:tcBorders>
              <w:bottom w:val="single" w:sz="8" w:color="auto"/>
              <w:right w:val="single" w:sz="8" w:color="auto"/>
            </w:tcBorders>
          </w:tcPr>
          <w:p>
            <w:pPr>
              <w:spacing w:after="0"/>
              <w:rPr>
                <w:sz w:val="2"/>
                <w:szCs w:val="2"/>
                <w:color w:val="auto"/>
              </w:rPr>
            </w:pPr>
          </w:p>
        </w:tc>
        <w:tc>
          <w:tcPr>
            <w:tcW w:w="1000" w:type="dxa"/>
            <w:vAlign w:val="bottom"/>
            <w:tcBorders>
              <w:bottom w:val="single" w:sz="8" w:color="auto"/>
              <w:right w:val="single" w:sz="8" w:color="auto"/>
            </w:tcBorders>
          </w:tcPr>
          <w:p>
            <w:pPr>
              <w:spacing w:after="0"/>
              <w:rPr>
                <w:sz w:val="2"/>
                <w:szCs w:val="2"/>
                <w:color w:val="auto"/>
              </w:rPr>
            </w:pPr>
          </w:p>
        </w:tc>
      </w:tr>
      <w:tr>
        <w:trPr>
          <w:trHeight w:val="237"/>
        </w:trPr>
        <w:tc>
          <w:tcPr>
            <w:tcW w:w="45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RIA Envia, Inc.</w:t>
            </w:r>
          </w:p>
        </w:tc>
        <w:tc>
          <w:tcPr>
            <w:tcW w:w="200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Delaware, USA</w:t>
            </w:r>
          </w:p>
        </w:tc>
        <w:tc>
          <w:tcPr>
            <w:tcW w:w="220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Common Stock</w:t>
            </w:r>
          </w:p>
        </w:tc>
        <w:tc>
          <w:tcPr>
            <w:tcW w:w="1640" w:type="dxa"/>
            <w:vAlign w:val="bottom"/>
            <w:tcBorders>
              <w:right w:val="single" w:sz="8" w:color="auto"/>
            </w:tcBorders>
          </w:tcPr>
          <w:p>
            <w:pPr>
              <w:jc w:val="right"/>
              <w:ind w:right="50"/>
              <w:spacing w:after="0"/>
              <w:rPr>
                <w:sz w:val="20"/>
                <w:szCs w:val="20"/>
                <w:color w:val="auto"/>
              </w:rPr>
            </w:pPr>
            <w:r>
              <w:rPr>
                <w:rFonts w:ascii="Arial" w:cs="Arial" w:eastAsia="Arial" w:hAnsi="Arial"/>
                <w:sz w:val="18"/>
                <w:szCs w:val="18"/>
                <w:color w:val="auto"/>
              </w:rPr>
              <w:t>10,000</w:t>
            </w:r>
          </w:p>
        </w:tc>
        <w:tc>
          <w:tcPr>
            <w:tcW w:w="10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1"/>
              </w:rPr>
              <w:t>100%</w:t>
            </w:r>
          </w:p>
        </w:tc>
      </w:tr>
      <w:tr>
        <w:trPr>
          <w:trHeight w:val="27"/>
        </w:trPr>
        <w:tc>
          <w:tcPr>
            <w:tcW w:w="4580" w:type="dxa"/>
            <w:vAlign w:val="bottom"/>
            <w:tcBorders>
              <w:left w:val="single" w:sz="8" w:color="auto"/>
              <w:bottom w:val="single" w:sz="8" w:color="auto"/>
              <w:right w:val="single" w:sz="8" w:color="auto"/>
            </w:tcBorders>
          </w:tcPr>
          <w:p>
            <w:pPr>
              <w:spacing w:after="0"/>
              <w:rPr>
                <w:sz w:val="2"/>
                <w:szCs w:val="2"/>
                <w:color w:val="auto"/>
              </w:rPr>
            </w:pPr>
          </w:p>
        </w:tc>
        <w:tc>
          <w:tcPr>
            <w:tcW w:w="2000" w:type="dxa"/>
            <w:vAlign w:val="bottom"/>
            <w:tcBorders>
              <w:bottom w:val="single" w:sz="8" w:color="auto"/>
              <w:right w:val="single" w:sz="8" w:color="auto"/>
            </w:tcBorders>
          </w:tcPr>
          <w:p>
            <w:pPr>
              <w:spacing w:after="0"/>
              <w:rPr>
                <w:sz w:val="2"/>
                <w:szCs w:val="2"/>
                <w:color w:val="auto"/>
              </w:rPr>
            </w:pPr>
          </w:p>
        </w:tc>
        <w:tc>
          <w:tcPr>
            <w:tcW w:w="2200" w:type="dxa"/>
            <w:vAlign w:val="bottom"/>
            <w:tcBorders>
              <w:bottom w:val="single" w:sz="8" w:color="auto"/>
              <w:right w:val="single" w:sz="8" w:color="auto"/>
            </w:tcBorders>
          </w:tcPr>
          <w:p>
            <w:pPr>
              <w:spacing w:after="0"/>
              <w:rPr>
                <w:sz w:val="2"/>
                <w:szCs w:val="2"/>
                <w:color w:val="auto"/>
              </w:rPr>
            </w:pPr>
          </w:p>
        </w:tc>
        <w:tc>
          <w:tcPr>
            <w:tcW w:w="1640" w:type="dxa"/>
            <w:vAlign w:val="bottom"/>
            <w:tcBorders>
              <w:bottom w:val="single" w:sz="8" w:color="auto"/>
              <w:right w:val="single" w:sz="8" w:color="auto"/>
            </w:tcBorders>
          </w:tcPr>
          <w:p>
            <w:pPr>
              <w:spacing w:after="0"/>
              <w:rPr>
                <w:sz w:val="2"/>
                <w:szCs w:val="2"/>
                <w:color w:val="auto"/>
              </w:rPr>
            </w:pPr>
          </w:p>
        </w:tc>
        <w:tc>
          <w:tcPr>
            <w:tcW w:w="1000" w:type="dxa"/>
            <w:vAlign w:val="bottom"/>
            <w:tcBorders>
              <w:bottom w:val="single" w:sz="8" w:color="auto"/>
              <w:right w:val="single" w:sz="8" w:color="auto"/>
            </w:tcBorders>
          </w:tcPr>
          <w:p>
            <w:pPr>
              <w:spacing w:after="0"/>
              <w:rPr>
                <w:sz w:val="2"/>
                <w:szCs w:val="2"/>
                <w:color w:val="auto"/>
              </w:rPr>
            </w:pPr>
          </w:p>
        </w:tc>
      </w:tr>
      <w:tr>
        <w:trPr>
          <w:trHeight w:val="237"/>
        </w:trPr>
        <w:tc>
          <w:tcPr>
            <w:tcW w:w="45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Ria Netherlands Holding B.V.</w:t>
            </w:r>
          </w:p>
        </w:tc>
        <w:tc>
          <w:tcPr>
            <w:tcW w:w="200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Netherlands</w:t>
            </w:r>
          </w:p>
        </w:tc>
        <w:tc>
          <w:tcPr>
            <w:tcW w:w="220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Ordinary Shares</w:t>
            </w:r>
          </w:p>
        </w:tc>
        <w:tc>
          <w:tcPr>
            <w:tcW w:w="1640" w:type="dxa"/>
            <w:vAlign w:val="bottom"/>
            <w:tcBorders>
              <w:right w:val="single" w:sz="8" w:color="auto"/>
            </w:tcBorders>
          </w:tcPr>
          <w:p>
            <w:pPr>
              <w:jc w:val="right"/>
              <w:ind w:right="50"/>
              <w:spacing w:after="0"/>
              <w:rPr>
                <w:sz w:val="20"/>
                <w:szCs w:val="20"/>
                <w:color w:val="auto"/>
              </w:rPr>
            </w:pPr>
            <w:r>
              <w:rPr>
                <w:rFonts w:ascii="Arial" w:cs="Arial" w:eastAsia="Arial" w:hAnsi="Arial"/>
                <w:sz w:val="18"/>
                <w:szCs w:val="18"/>
                <w:color w:val="auto"/>
              </w:rPr>
              <w:t>18,000</w:t>
            </w:r>
          </w:p>
        </w:tc>
        <w:tc>
          <w:tcPr>
            <w:tcW w:w="10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1"/>
              </w:rPr>
              <w:t>100%</w:t>
            </w:r>
          </w:p>
        </w:tc>
      </w:tr>
      <w:tr>
        <w:trPr>
          <w:trHeight w:val="27"/>
        </w:trPr>
        <w:tc>
          <w:tcPr>
            <w:tcW w:w="4580" w:type="dxa"/>
            <w:vAlign w:val="bottom"/>
            <w:tcBorders>
              <w:left w:val="single" w:sz="8" w:color="auto"/>
              <w:bottom w:val="single" w:sz="8" w:color="auto"/>
              <w:right w:val="single" w:sz="8" w:color="auto"/>
            </w:tcBorders>
          </w:tcPr>
          <w:p>
            <w:pPr>
              <w:spacing w:after="0"/>
              <w:rPr>
                <w:sz w:val="2"/>
                <w:szCs w:val="2"/>
                <w:color w:val="auto"/>
              </w:rPr>
            </w:pPr>
          </w:p>
        </w:tc>
        <w:tc>
          <w:tcPr>
            <w:tcW w:w="2000" w:type="dxa"/>
            <w:vAlign w:val="bottom"/>
            <w:tcBorders>
              <w:bottom w:val="single" w:sz="8" w:color="auto"/>
              <w:right w:val="single" w:sz="8" w:color="auto"/>
            </w:tcBorders>
          </w:tcPr>
          <w:p>
            <w:pPr>
              <w:spacing w:after="0"/>
              <w:rPr>
                <w:sz w:val="2"/>
                <w:szCs w:val="2"/>
                <w:color w:val="auto"/>
              </w:rPr>
            </w:pPr>
          </w:p>
        </w:tc>
        <w:tc>
          <w:tcPr>
            <w:tcW w:w="2200" w:type="dxa"/>
            <w:vAlign w:val="bottom"/>
            <w:tcBorders>
              <w:bottom w:val="single" w:sz="8" w:color="auto"/>
              <w:right w:val="single" w:sz="8" w:color="auto"/>
            </w:tcBorders>
          </w:tcPr>
          <w:p>
            <w:pPr>
              <w:spacing w:after="0"/>
              <w:rPr>
                <w:sz w:val="2"/>
                <w:szCs w:val="2"/>
                <w:color w:val="auto"/>
              </w:rPr>
            </w:pPr>
          </w:p>
        </w:tc>
        <w:tc>
          <w:tcPr>
            <w:tcW w:w="1640" w:type="dxa"/>
            <w:vAlign w:val="bottom"/>
            <w:tcBorders>
              <w:bottom w:val="single" w:sz="8" w:color="auto"/>
              <w:right w:val="single" w:sz="8" w:color="auto"/>
            </w:tcBorders>
          </w:tcPr>
          <w:p>
            <w:pPr>
              <w:spacing w:after="0"/>
              <w:rPr>
                <w:sz w:val="2"/>
                <w:szCs w:val="2"/>
                <w:color w:val="auto"/>
              </w:rPr>
            </w:pPr>
          </w:p>
        </w:tc>
        <w:tc>
          <w:tcPr>
            <w:tcW w:w="1000" w:type="dxa"/>
            <w:vAlign w:val="bottom"/>
            <w:tcBorders>
              <w:bottom w:val="single" w:sz="8" w:color="auto"/>
              <w:right w:val="single" w:sz="8" w:color="auto"/>
            </w:tcBorders>
          </w:tcPr>
          <w:p>
            <w:pPr>
              <w:spacing w:after="0"/>
              <w:rPr>
                <w:sz w:val="2"/>
                <w:szCs w:val="2"/>
                <w:color w:val="auto"/>
              </w:rPr>
            </w:pPr>
          </w:p>
        </w:tc>
      </w:tr>
      <w:tr>
        <w:trPr>
          <w:trHeight w:val="237"/>
        </w:trPr>
        <w:tc>
          <w:tcPr>
            <w:tcW w:w="45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RIA Financial Services Norway AS</w:t>
            </w:r>
          </w:p>
        </w:tc>
        <w:tc>
          <w:tcPr>
            <w:tcW w:w="200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Norway</w:t>
            </w:r>
          </w:p>
        </w:tc>
        <w:tc>
          <w:tcPr>
            <w:tcW w:w="220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Ordinary Shares</w:t>
            </w:r>
          </w:p>
        </w:tc>
        <w:tc>
          <w:tcPr>
            <w:tcW w:w="1640" w:type="dxa"/>
            <w:vAlign w:val="bottom"/>
            <w:tcBorders>
              <w:right w:val="single" w:sz="8" w:color="auto"/>
            </w:tcBorders>
          </w:tcPr>
          <w:p>
            <w:pPr>
              <w:jc w:val="right"/>
              <w:ind w:right="50"/>
              <w:spacing w:after="0"/>
              <w:rPr>
                <w:sz w:val="20"/>
                <w:szCs w:val="20"/>
                <w:color w:val="auto"/>
              </w:rPr>
            </w:pPr>
            <w:r>
              <w:rPr>
                <w:rFonts w:ascii="Arial" w:cs="Arial" w:eastAsia="Arial" w:hAnsi="Arial"/>
                <w:sz w:val="18"/>
                <w:szCs w:val="18"/>
                <w:color w:val="auto"/>
              </w:rPr>
              <w:t>1,000</w:t>
            </w:r>
          </w:p>
        </w:tc>
        <w:tc>
          <w:tcPr>
            <w:tcW w:w="10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1"/>
              </w:rPr>
              <w:t>100%</w:t>
            </w:r>
          </w:p>
        </w:tc>
      </w:tr>
      <w:tr>
        <w:trPr>
          <w:trHeight w:val="27"/>
        </w:trPr>
        <w:tc>
          <w:tcPr>
            <w:tcW w:w="4580" w:type="dxa"/>
            <w:vAlign w:val="bottom"/>
            <w:tcBorders>
              <w:left w:val="single" w:sz="8" w:color="auto"/>
              <w:bottom w:val="single" w:sz="8" w:color="auto"/>
              <w:right w:val="single" w:sz="8" w:color="auto"/>
            </w:tcBorders>
          </w:tcPr>
          <w:p>
            <w:pPr>
              <w:spacing w:after="0"/>
              <w:rPr>
                <w:sz w:val="2"/>
                <w:szCs w:val="2"/>
                <w:color w:val="auto"/>
              </w:rPr>
            </w:pPr>
          </w:p>
        </w:tc>
        <w:tc>
          <w:tcPr>
            <w:tcW w:w="2000" w:type="dxa"/>
            <w:vAlign w:val="bottom"/>
            <w:tcBorders>
              <w:bottom w:val="single" w:sz="8" w:color="auto"/>
              <w:right w:val="single" w:sz="8" w:color="auto"/>
            </w:tcBorders>
          </w:tcPr>
          <w:p>
            <w:pPr>
              <w:spacing w:after="0"/>
              <w:rPr>
                <w:sz w:val="2"/>
                <w:szCs w:val="2"/>
                <w:color w:val="auto"/>
              </w:rPr>
            </w:pPr>
          </w:p>
        </w:tc>
        <w:tc>
          <w:tcPr>
            <w:tcW w:w="2200" w:type="dxa"/>
            <w:vAlign w:val="bottom"/>
            <w:tcBorders>
              <w:bottom w:val="single" w:sz="8" w:color="auto"/>
              <w:right w:val="single" w:sz="8" w:color="auto"/>
            </w:tcBorders>
          </w:tcPr>
          <w:p>
            <w:pPr>
              <w:spacing w:after="0"/>
              <w:rPr>
                <w:sz w:val="2"/>
                <w:szCs w:val="2"/>
                <w:color w:val="auto"/>
              </w:rPr>
            </w:pPr>
          </w:p>
        </w:tc>
        <w:tc>
          <w:tcPr>
            <w:tcW w:w="1640" w:type="dxa"/>
            <w:vAlign w:val="bottom"/>
            <w:tcBorders>
              <w:bottom w:val="single" w:sz="8" w:color="auto"/>
              <w:right w:val="single" w:sz="8" w:color="auto"/>
            </w:tcBorders>
          </w:tcPr>
          <w:p>
            <w:pPr>
              <w:spacing w:after="0"/>
              <w:rPr>
                <w:sz w:val="2"/>
                <w:szCs w:val="2"/>
                <w:color w:val="auto"/>
              </w:rPr>
            </w:pPr>
          </w:p>
        </w:tc>
        <w:tc>
          <w:tcPr>
            <w:tcW w:w="1000" w:type="dxa"/>
            <w:vAlign w:val="bottom"/>
            <w:tcBorders>
              <w:bottom w:val="single" w:sz="8" w:color="auto"/>
              <w:right w:val="single" w:sz="8" w:color="auto"/>
            </w:tcBorders>
          </w:tcPr>
          <w:p>
            <w:pPr>
              <w:spacing w:after="0"/>
              <w:rPr>
                <w:sz w:val="2"/>
                <w:szCs w:val="2"/>
                <w:color w:val="auto"/>
              </w:rPr>
            </w:pPr>
          </w:p>
        </w:tc>
      </w:tr>
      <w:tr>
        <w:trPr>
          <w:trHeight w:val="237"/>
        </w:trPr>
        <w:tc>
          <w:tcPr>
            <w:tcW w:w="45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RIA Financial Services, Denmark ApS</w:t>
            </w:r>
          </w:p>
        </w:tc>
        <w:tc>
          <w:tcPr>
            <w:tcW w:w="200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Denmark</w:t>
            </w:r>
          </w:p>
        </w:tc>
        <w:tc>
          <w:tcPr>
            <w:tcW w:w="220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Common Stock</w:t>
            </w:r>
          </w:p>
        </w:tc>
        <w:tc>
          <w:tcPr>
            <w:tcW w:w="1640" w:type="dxa"/>
            <w:vAlign w:val="bottom"/>
            <w:tcBorders>
              <w:right w:val="single" w:sz="8" w:color="auto"/>
            </w:tcBorders>
          </w:tcPr>
          <w:p>
            <w:pPr>
              <w:jc w:val="right"/>
              <w:ind w:right="50"/>
              <w:spacing w:after="0"/>
              <w:rPr>
                <w:sz w:val="20"/>
                <w:szCs w:val="20"/>
                <w:color w:val="auto"/>
              </w:rPr>
            </w:pPr>
            <w:r>
              <w:rPr>
                <w:rFonts w:ascii="Arial" w:cs="Arial" w:eastAsia="Arial" w:hAnsi="Arial"/>
                <w:sz w:val="18"/>
                <w:szCs w:val="18"/>
                <w:color w:val="auto"/>
              </w:rPr>
              <w:t>80,000</w:t>
            </w:r>
          </w:p>
        </w:tc>
        <w:tc>
          <w:tcPr>
            <w:tcW w:w="10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1"/>
              </w:rPr>
              <w:t>100%</w:t>
            </w:r>
          </w:p>
        </w:tc>
      </w:tr>
      <w:tr>
        <w:trPr>
          <w:trHeight w:val="27"/>
        </w:trPr>
        <w:tc>
          <w:tcPr>
            <w:tcW w:w="4580" w:type="dxa"/>
            <w:vAlign w:val="bottom"/>
            <w:tcBorders>
              <w:left w:val="single" w:sz="8" w:color="auto"/>
              <w:bottom w:val="single" w:sz="8" w:color="auto"/>
              <w:right w:val="single" w:sz="8" w:color="auto"/>
            </w:tcBorders>
          </w:tcPr>
          <w:p>
            <w:pPr>
              <w:spacing w:after="0"/>
              <w:rPr>
                <w:sz w:val="2"/>
                <w:szCs w:val="2"/>
                <w:color w:val="auto"/>
              </w:rPr>
            </w:pPr>
          </w:p>
        </w:tc>
        <w:tc>
          <w:tcPr>
            <w:tcW w:w="2000" w:type="dxa"/>
            <w:vAlign w:val="bottom"/>
            <w:tcBorders>
              <w:bottom w:val="single" w:sz="8" w:color="auto"/>
              <w:right w:val="single" w:sz="8" w:color="auto"/>
            </w:tcBorders>
          </w:tcPr>
          <w:p>
            <w:pPr>
              <w:spacing w:after="0"/>
              <w:rPr>
                <w:sz w:val="2"/>
                <w:szCs w:val="2"/>
                <w:color w:val="auto"/>
              </w:rPr>
            </w:pPr>
          </w:p>
        </w:tc>
        <w:tc>
          <w:tcPr>
            <w:tcW w:w="2200" w:type="dxa"/>
            <w:vAlign w:val="bottom"/>
            <w:tcBorders>
              <w:bottom w:val="single" w:sz="8" w:color="auto"/>
              <w:right w:val="single" w:sz="8" w:color="auto"/>
            </w:tcBorders>
          </w:tcPr>
          <w:p>
            <w:pPr>
              <w:spacing w:after="0"/>
              <w:rPr>
                <w:sz w:val="2"/>
                <w:szCs w:val="2"/>
                <w:color w:val="auto"/>
              </w:rPr>
            </w:pPr>
          </w:p>
        </w:tc>
        <w:tc>
          <w:tcPr>
            <w:tcW w:w="1640" w:type="dxa"/>
            <w:vAlign w:val="bottom"/>
            <w:tcBorders>
              <w:bottom w:val="single" w:sz="8" w:color="auto"/>
              <w:right w:val="single" w:sz="8" w:color="auto"/>
            </w:tcBorders>
          </w:tcPr>
          <w:p>
            <w:pPr>
              <w:spacing w:after="0"/>
              <w:rPr>
                <w:sz w:val="2"/>
                <w:szCs w:val="2"/>
                <w:color w:val="auto"/>
              </w:rPr>
            </w:pPr>
          </w:p>
        </w:tc>
        <w:tc>
          <w:tcPr>
            <w:tcW w:w="1000" w:type="dxa"/>
            <w:vAlign w:val="bottom"/>
            <w:tcBorders>
              <w:bottom w:val="single" w:sz="8" w:color="auto"/>
              <w:right w:val="single" w:sz="8" w:color="auto"/>
            </w:tcBorders>
          </w:tcPr>
          <w:p>
            <w:pPr>
              <w:spacing w:after="0"/>
              <w:rPr>
                <w:sz w:val="2"/>
                <w:szCs w:val="2"/>
                <w:color w:val="auto"/>
              </w:rPr>
            </w:pPr>
          </w:p>
        </w:tc>
      </w:tr>
      <w:tr>
        <w:trPr>
          <w:trHeight w:val="237"/>
        </w:trPr>
        <w:tc>
          <w:tcPr>
            <w:tcW w:w="45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RIA Financial Services Netherlands B.V.</w:t>
            </w:r>
          </w:p>
        </w:tc>
        <w:tc>
          <w:tcPr>
            <w:tcW w:w="200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Netherlands</w:t>
            </w:r>
          </w:p>
        </w:tc>
        <w:tc>
          <w:tcPr>
            <w:tcW w:w="220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Common Stock</w:t>
            </w:r>
          </w:p>
        </w:tc>
        <w:tc>
          <w:tcPr>
            <w:tcW w:w="1640" w:type="dxa"/>
            <w:vAlign w:val="bottom"/>
            <w:tcBorders>
              <w:right w:val="single" w:sz="8" w:color="auto"/>
            </w:tcBorders>
          </w:tcPr>
          <w:p>
            <w:pPr>
              <w:jc w:val="right"/>
              <w:ind w:right="50"/>
              <w:spacing w:after="0"/>
              <w:rPr>
                <w:sz w:val="20"/>
                <w:szCs w:val="20"/>
                <w:color w:val="auto"/>
              </w:rPr>
            </w:pPr>
            <w:r>
              <w:rPr>
                <w:rFonts w:ascii="Arial" w:cs="Arial" w:eastAsia="Arial" w:hAnsi="Arial"/>
                <w:sz w:val="18"/>
                <w:szCs w:val="18"/>
                <w:color w:val="auto"/>
              </w:rPr>
              <w:t>0</w:t>
            </w:r>
          </w:p>
        </w:tc>
        <w:tc>
          <w:tcPr>
            <w:tcW w:w="10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1"/>
              </w:rPr>
              <w:t>100%</w:t>
            </w:r>
          </w:p>
        </w:tc>
      </w:tr>
      <w:tr>
        <w:trPr>
          <w:trHeight w:val="27"/>
        </w:trPr>
        <w:tc>
          <w:tcPr>
            <w:tcW w:w="4580" w:type="dxa"/>
            <w:vAlign w:val="bottom"/>
            <w:tcBorders>
              <w:left w:val="single" w:sz="8" w:color="auto"/>
              <w:bottom w:val="single" w:sz="8" w:color="auto"/>
              <w:right w:val="single" w:sz="8" w:color="auto"/>
            </w:tcBorders>
          </w:tcPr>
          <w:p>
            <w:pPr>
              <w:spacing w:after="0"/>
              <w:rPr>
                <w:sz w:val="2"/>
                <w:szCs w:val="2"/>
                <w:color w:val="auto"/>
              </w:rPr>
            </w:pPr>
          </w:p>
        </w:tc>
        <w:tc>
          <w:tcPr>
            <w:tcW w:w="2000" w:type="dxa"/>
            <w:vAlign w:val="bottom"/>
            <w:tcBorders>
              <w:bottom w:val="single" w:sz="8" w:color="auto"/>
              <w:right w:val="single" w:sz="8" w:color="auto"/>
            </w:tcBorders>
          </w:tcPr>
          <w:p>
            <w:pPr>
              <w:spacing w:after="0"/>
              <w:rPr>
                <w:sz w:val="2"/>
                <w:szCs w:val="2"/>
                <w:color w:val="auto"/>
              </w:rPr>
            </w:pPr>
          </w:p>
        </w:tc>
        <w:tc>
          <w:tcPr>
            <w:tcW w:w="2200" w:type="dxa"/>
            <w:vAlign w:val="bottom"/>
            <w:tcBorders>
              <w:bottom w:val="single" w:sz="8" w:color="auto"/>
              <w:right w:val="single" w:sz="8" w:color="auto"/>
            </w:tcBorders>
          </w:tcPr>
          <w:p>
            <w:pPr>
              <w:spacing w:after="0"/>
              <w:rPr>
                <w:sz w:val="2"/>
                <w:szCs w:val="2"/>
                <w:color w:val="auto"/>
              </w:rPr>
            </w:pPr>
          </w:p>
        </w:tc>
        <w:tc>
          <w:tcPr>
            <w:tcW w:w="1640" w:type="dxa"/>
            <w:vAlign w:val="bottom"/>
            <w:tcBorders>
              <w:bottom w:val="single" w:sz="8" w:color="auto"/>
              <w:right w:val="single" w:sz="8" w:color="auto"/>
            </w:tcBorders>
          </w:tcPr>
          <w:p>
            <w:pPr>
              <w:spacing w:after="0"/>
              <w:rPr>
                <w:sz w:val="2"/>
                <w:szCs w:val="2"/>
                <w:color w:val="auto"/>
              </w:rPr>
            </w:pPr>
          </w:p>
        </w:tc>
        <w:tc>
          <w:tcPr>
            <w:tcW w:w="1000" w:type="dxa"/>
            <w:vAlign w:val="bottom"/>
            <w:tcBorders>
              <w:bottom w:val="single" w:sz="8" w:color="auto"/>
              <w:right w:val="single" w:sz="8" w:color="auto"/>
            </w:tcBorders>
          </w:tcPr>
          <w:p>
            <w:pPr>
              <w:spacing w:after="0"/>
              <w:rPr>
                <w:sz w:val="2"/>
                <w:szCs w:val="2"/>
                <w:color w:val="auto"/>
              </w:rPr>
            </w:pPr>
          </w:p>
        </w:tc>
      </w:tr>
      <w:tr>
        <w:trPr>
          <w:trHeight w:val="237"/>
        </w:trPr>
        <w:tc>
          <w:tcPr>
            <w:tcW w:w="45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Continental Exchange Solutions, Inc.</w:t>
            </w:r>
          </w:p>
        </w:tc>
        <w:tc>
          <w:tcPr>
            <w:tcW w:w="200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Delaware, USA</w:t>
            </w:r>
          </w:p>
        </w:tc>
        <w:tc>
          <w:tcPr>
            <w:tcW w:w="220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Common Stock</w:t>
            </w:r>
          </w:p>
        </w:tc>
        <w:tc>
          <w:tcPr>
            <w:tcW w:w="1640" w:type="dxa"/>
            <w:vAlign w:val="bottom"/>
            <w:tcBorders>
              <w:right w:val="single" w:sz="8" w:color="auto"/>
            </w:tcBorders>
          </w:tcPr>
          <w:p>
            <w:pPr>
              <w:jc w:val="right"/>
              <w:ind w:right="50"/>
              <w:spacing w:after="0"/>
              <w:rPr>
                <w:sz w:val="20"/>
                <w:szCs w:val="20"/>
                <w:color w:val="auto"/>
              </w:rPr>
            </w:pPr>
            <w:r>
              <w:rPr>
                <w:rFonts w:ascii="Arial" w:cs="Arial" w:eastAsia="Arial" w:hAnsi="Arial"/>
                <w:sz w:val="18"/>
                <w:szCs w:val="18"/>
                <w:color w:val="auto"/>
              </w:rPr>
              <w:t>200</w:t>
            </w:r>
          </w:p>
        </w:tc>
        <w:tc>
          <w:tcPr>
            <w:tcW w:w="10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1"/>
              </w:rPr>
              <w:t>100%</w:t>
            </w:r>
          </w:p>
        </w:tc>
      </w:tr>
      <w:tr>
        <w:trPr>
          <w:trHeight w:val="27"/>
        </w:trPr>
        <w:tc>
          <w:tcPr>
            <w:tcW w:w="4580" w:type="dxa"/>
            <w:vAlign w:val="bottom"/>
            <w:tcBorders>
              <w:left w:val="single" w:sz="8" w:color="auto"/>
              <w:bottom w:val="single" w:sz="8" w:color="auto"/>
              <w:right w:val="single" w:sz="8" w:color="auto"/>
            </w:tcBorders>
          </w:tcPr>
          <w:p>
            <w:pPr>
              <w:spacing w:after="0"/>
              <w:rPr>
                <w:sz w:val="2"/>
                <w:szCs w:val="2"/>
                <w:color w:val="auto"/>
              </w:rPr>
            </w:pPr>
          </w:p>
        </w:tc>
        <w:tc>
          <w:tcPr>
            <w:tcW w:w="2000" w:type="dxa"/>
            <w:vAlign w:val="bottom"/>
            <w:tcBorders>
              <w:bottom w:val="single" w:sz="8" w:color="auto"/>
              <w:right w:val="single" w:sz="8" w:color="auto"/>
            </w:tcBorders>
          </w:tcPr>
          <w:p>
            <w:pPr>
              <w:spacing w:after="0"/>
              <w:rPr>
                <w:sz w:val="2"/>
                <w:szCs w:val="2"/>
                <w:color w:val="auto"/>
              </w:rPr>
            </w:pPr>
          </w:p>
        </w:tc>
        <w:tc>
          <w:tcPr>
            <w:tcW w:w="2200" w:type="dxa"/>
            <w:vAlign w:val="bottom"/>
            <w:tcBorders>
              <w:bottom w:val="single" w:sz="8" w:color="auto"/>
              <w:right w:val="single" w:sz="8" w:color="auto"/>
            </w:tcBorders>
          </w:tcPr>
          <w:p>
            <w:pPr>
              <w:spacing w:after="0"/>
              <w:rPr>
                <w:sz w:val="2"/>
                <w:szCs w:val="2"/>
                <w:color w:val="auto"/>
              </w:rPr>
            </w:pPr>
          </w:p>
        </w:tc>
        <w:tc>
          <w:tcPr>
            <w:tcW w:w="1640" w:type="dxa"/>
            <w:vAlign w:val="bottom"/>
            <w:tcBorders>
              <w:bottom w:val="single" w:sz="8" w:color="auto"/>
              <w:right w:val="single" w:sz="8" w:color="auto"/>
            </w:tcBorders>
          </w:tcPr>
          <w:p>
            <w:pPr>
              <w:spacing w:after="0"/>
              <w:rPr>
                <w:sz w:val="2"/>
                <w:szCs w:val="2"/>
                <w:color w:val="auto"/>
              </w:rPr>
            </w:pPr>
          </w:p>
        </w:tc>
        <w:tc>
          <w:tcPr>
            <w:tcW w:w="1000" w:type="dxa"/>
            <w:vAlign w:val="bottom"/>
            <w:tcBorders>
              <w:bottom w:val="single" w:sz="8" w:color="auto"/>
              <w:right w:val="single" w:sz="8" w:color="auto"/>
            </w:tcBorders>
          </w:tcPr>
          <w:p>
            <w:pPr>
              <w:spacing w:after="0"/>
              <w:rPr>
                <w:sz w:val="2"/>
                <w:szCs w:val="2"/>
                <w:color w:val="auto"/>
              </w:rPr>
            </w:pPr>
          </w:p>
        </w:tc>
      </w:tr>
      <w:tr>
        <w:trPr>
          <w:trHeight w:val="237"/>
        </w:trPr>
        <w:tc>
          <w:tcPr>
            <w:tcW w:w="45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Continental Payment Solutions, Inc.</w:t>
            </w:r>
          </w:p>
        </w:tc>
        <w:tc>
          <w:tcPr>
            <w:tcW w:w="200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California, USA</w:t>
            </w:r>
          </w:p>
        </w:tc>
        <w:tc>
          <w:tcPr>
            <w:tcW w:w="220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Common Stock</w:t>
            </w:r>
          </w:p>
        </w:tc>
        <w:tc>
          <w:tcPr>
            <w:tcW w:w="1640" w:type="dxa"/>
            <w:vAlign w:val="bottom"/>
            <w:tcBorders>
              <w:right w:val="single" w:sz="8" w:color="auto"/>
            </w:tcBorders>
          </w:tcPr>
          <w:p>
            <w:pPr>
              <w:jc w:val="right"/>
              <w:ind w:right="50"/>
              <w:spacing w:after="0"/>
              <w:rPr>
                <w:sz w:val="20"/>
                <w:szCs w:val="20"/>
                <w:color w:val="auto"/>
              </w:rPr>
            </w:pPr>
            <w:r>
              <w:rPr>
                <w:rFonts w:ascii="Arial" w:cs="Arial" w:eastAsia="Arial" w:hAnsi="Arial"/>
                <w:sz w:val="18"/>
                <w:szCs w:val="18"/>
                <w:color w:val="auto"/>
              </w:rPr>
              <w:t>200</w:t>
            </w:r>
          </w:p>
        </w:tc>
        <w:tc>
          <w:tcPr>
            <w:tcW w:w="10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1"/>
              </w:rPr>
              <w:t>100%</w:t>
            </w:r>
          </w:p>
        </w:tc>
      </w:tr>
      <w:tr>
        <w:trPr>
          <w:trHeight w:val="27"/>
        </w:trPr>
        <w:tc>
          <w:tcPr>
            <w:tcW w:w="4580" w:type="dxa"/>
            <w:vAlign w:val="bottom"/>
            <w:tcBorders>
              <w:left w:val="single" w:sz="8" w:color="auto"/>
              <w:bottom w:val="single" w:sz="8" w:color="auto"/>
              <w:right w:val="single" w:sz="8" w:color="auto"/>
            </w:tcBorders>
          </w:tcPr>
          <w:p>
            <w:pPr>
              <w:spacing w:after="0"/>
              <w:rPr>
                <w:sz w:val="2"/>
                <w:szCs w:val="2"/>
                <w:color w:val="auto"/>
              </w:rPr>
            </w:pPr>
          </w:p>
        </w:tc>
        <w:tc>
          <w:tcPr>
            <w:tcW w:w="2000" w:type="dxa"/>
            <w:vAlign w:val="bottom"/>
            <w:tcBorders>
              <w:bottom w:val="single" w:sz="8" w:color="auto"/>
              <w:right w:val="single" w:sz="8" w:color="auto"/>
            </w:tcBorders>
          </w:tcPr>
          <w:p>
            <w:pPr>
              <w:spacing w:after="0"/>
              <w:rPr>
                <w:sz w:val="2"/>
                <w:szCs w:val="2"/>
                <w:color w:val="auto"/>
              </w:rPr>
            </w:pPr>
          </w:p>
        </w:tc>
        <w:tc>
          <w:tcPr>
            <w:tcW w:w="2200" w:type="dxa"/>
            <w:vAlign w:val="bottom"/>
            <w:tcBorders>
              <w:bottom w:val="single" w:sz="8" w:color="auto"/>
              <w:right w:val="single" w:sz="8" w:color="auto"/>
            </w:tcBorders>
          </w:tcPr>
          <w:p>
            <w:pPr>
              <w:spacing w:after="0"/>
              <w:rPr>
                <w:sz w:val="2"/>
                <w:szCs w:val="2"/>
                <w:color w:val="auto"/>
              </w:rPr>
            </w:pPr>
          </w:p>
        </w:tc>
        <w:tc>
          <w:tcPr>
            <w:tcW w:w="1640" w:type="dxa"/>
            <w:vAlign w:val="bottom"/>
            <w:tcBorders>
              <w:bottom w:val="single" w:sz="8" w:color="auto"/>
              <w:right w:val="single" w:sz="8" w:color="auto"/>
            </w:tcBorders>
          </w:tcPr>
          <w:p>
            <w:pPr>
              <w:spacing w:after="0"/>
              <w:rPr>
                <w:sz w:val="2"/>
                <w:szCs w:val="2"/>
                <w:color w:val="auto"/>
              </w:rPr>
            </w:pPr>
          </w:p>
        </w:tc>
        <w:tc>
          <w:tcPr>
            <w:tcW w:w="1000" w:type="dxa"/>
            <w:vAlign w:val="bottom"/>
            <w:tcBorders>
              <w:bottom w:val="single" w:sz="8" w:color="auto"/>
              <w:right w:val="single" w:sz="8" w:color="auto"/>
            </w:tcBorders>
          </w:tcPr>
          <w:p>
            <w:pPr>
              <w:spacing w:after="0"/>
              <w:rPr>
                <w:sz w:val="2"/>
                <w:szCs w:val="2"/>
                <w:color w:val="auto"/>
              </w:rPr>
            </w:pPr>
          </w:p>
        </w:tc>
      </w:tr>
      <w:tr>
        <w:trPr>
          <w:trHeight w:val="237"/>
        </w:trPr>
        <w:tc>
          <w:tcPr>
            <w:tcW w:w="45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RIA Telecommunications of Canada Inc.</w:t>
            </w:r>
          </w:p>
        </w:tc>
        <w:tc>
          <w:tcPr>
            <w:tcW w:w="200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Canada</w:t>
            </w:r>
          </w:p>
        </w:tc>
        <w:tc>
          <w:tcPr>
            <w:tcW w:w="220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Common Stock</w:t>
            </w:r>
          </w:p>
        </w:tc>
        <w:tc>
          <w:tcPr>
            <w:tcW w:w="1640" w:type="dxa"/>
            <w:vAlign w:val="bottom"/>
            <w:tcBorders>
              <w:right w:val="single" w:sz="8" w:color="auto"/>
            </w:tcBorders>
          </w:tcPr>
          <w:p>
            <w:pPr>
              <w:jc w:val="right"/>
              <w:ind w:right="50"/>
              <w:spacing w:after="0"/>
              <w:rPr>
                <w:sz w:val="20"/>
                <w:szCs w:val="20"/>
                <w:color w:val="auto"/>
              </w:rPr>
            </w:pPr>
            <w:r>
              <w:rPr>
                <w:rFonts w:ascii="Arial" w:cs="Arial" w:eastAsia="Arial" w:hAnsi="Arial"/>
                <w:sz w:val="18"/>
                <w:szCs w:val="18"/>
                <w:color w:val="auto"/>
              </w:rPr>
              <w:t>4,500,100</w:t>
            </w:r>
          </w:p>
        </w:tc>
        <w:tc>
          <w:tcPr>
            <w:tcW w:w="10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1"/>
              </w:rPr>
              <w:t>100%</w:t>
            </w:r>
          </w:p>
        </w:tc>
      </w:tr>
      <w:tr>
        <w:trPr>
          <w:trHeight w:val="27"/>
        </w:trPr>
        <w:tc>
          <w:tcPr>
            <w:tcW w:w="4580" w:type="dxa"/>
            <w:vAlign w:val="bottom"/>
            <w:tcBorders>
              <w:left w:val="single" w:sz="8" w:color="auto"/>
              <w:bottom w:val="single" w:sz="8" w:color="auto"/>
              <w:right w:val="single" w:sz="8" w:color="auto"/>
            </w:tcBorders>
          </w:tcPr>
          <w:p>
            <w:pPr>
              <w:spacing w:after="0"/>
              <w:rPr>
                <w:sz w:val="2"/>
                <w:szCs w:val="2"/>
                <w:color w:val="auto"/>
              </w:rPr>
            </w:pPr>
          </w:p>
        </w:tc>
        <w:tc>
          <w:tcPr>
            <w:tcW w:w="2000" w:type="dxa"/>
            <w:vAlign w:val="bottom"/>
            <w:tcBorders>
              <w:bottom w:val="single" w:sz="8" w:color="auto"/>
              <w:right w:val="single" w:sz="8" w:color="auto"/>
            </w:tcBorders>
          </w:tcPr>
          <w:p>
            <w:pPr>
              <w:spacing w:after="0"/>
              <w:rPr>
                <w:sz w:val="2"/>
                <w:szCs w:val="2"/>
                <w:color w:val="auto"/>
              </w:rPr>
            </w:pPr>
          </w:p>
        </w:tc>
        <w:tc>
          <w:tcPr>
            <w:tcW w:w="2200" w:type="dxa"/>
            <w:vAlign w:val="bottom"/>
            <w:tcBorders>
              <w:bottom w:val="single" w:sz="8" w:color="auto"/>
              <w:right w:val="single" w:sz="8" w:color="auto"/>
            </w:tcBorders>
          </w:tcPr>
          <w:p>
            <w:pPr>
              <w:spacing w:after="0"/>
              <w:rPr>
                <w:sz w:val="2"/>
                <w:szCs w:val="2"/>
                <w:color w:val="auto"/>
              </w:rPr>
            </w:pPr>
          </w:p>
        </w:tc>
        <w:tc>
          <w:tcPr>
            <w:tcW w:w="1640" w:type="dxa"/>
            <w:vAlign w:val="bottom"/>
            <w:tcBorders>
              <w:bottom w:val="single" w:sz="8" w:color="auto"/>
              <w:right w:val="single" w:sz="8" w:color="auto"/>
            </w:tcBorders>
          </w:tcPr>
          <w:p>
            <w:pPr>
              <w:spacing w:after="0"/>
              <w:rPr>
                <w:sz w:val="2"/>
                <w:szCs w:val="2"/>
                <w:color w:val="auto"/>
              </w:rPr>
            </w:pPr>
          </w:p>
        </w:tc>
        <w:tc>
          <w:tcPr>
            <w:tcW w:w="1000" w:type="dxa"/>
            <w:vAlign w:val="bottom"/>
            <w:tcBorders>
              <w:bottom w:val="single" w:sz="8" w:color="auto"/>
              <w:right w:val="single" w:sz="8" w:color="auto"/>
            </w:tcBorders>
          </w:tcPr>
          <w:p>
            <w:pPr>
              <w:spacing w:after="0"/>
              <w:rPr>
                <w:sz w:val="2"/>
                <w:szCs w:val="2"/>
                <w:color w:val="auto"/>
              </w:rPr>
            </w:pPr>
          </w:p>
        </w:tc>
      </w:tr>
      <w:tr>
        <w:trPr>
          <w:trHeight w:val="237"/>
        </w:trPr>
        <w:tc>
          <w:tcPr>
            <w:tcW w:w="45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Gescoro Inc.</w:t>
            </w:r>
          </w:p>
        </w:tc>
        <w:tc>
          <w:tcPr>
            <w:tcW w:w="200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Canada</w:t>
            </w:r>
          </w:p>
        </w:tc>
        <w:tc>
          <w:tcPr>
            <w:tcW w:w="220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Common Stock</w:t>
            </w:r>
          </w:p>
        </w:tc>
        <w:tc>
          <w:tcPr>
            <w:tcW w:w="1640" w:type="dxa"/>
            <w:vAlign w:val="bottom"/>
            <w:tcBorders>
              <w:right w:val="single" w:sz="8" w:color="auto"/>
            </w:tcBorders>
          </w:tcPr>
          <w:p>
            <w:pPr>
              <w:jc w:val="right"/>
              <w:ind w:right="50"/>
              <w:spacing w:after="0"/>
              <w:rPr>
                <w:sz w:val="20"/>
                <w:szCs w:val="20"/>
                <w:color w:val="auto"/>
              </w:rPr>
            </w:pPr>
            <w:r>
              <w:rPr>
                <w:rFonts w:ascii="Arial" w:cs="Arial" w:eastAsia="Arial" w:hAnsi="Arial"/>
                <w:sz w:val="18"/>
                <w:szCs w:val="18"/>
                <w:color w:val="auto"/>
              </w:rPr>
              <w:t>1,000</w:t>
            </w:r>
          </w:p>
        </w:tc>
        <w:tc>
          <w:tcPr>
            <w:tcW w:w="10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1"/>
              </w:rPr>
              <w:t>100%</w:t>
            </w:r>
          </w:p>
        </w:tc>
      </w:tr>
      <w:tr>
        <w:trPr>
          <w:trHeight w:val="27"/>
        </w:trPr>
        <w:tc>
          <w:tcPr>
            <w:tcW w:w="4580" w:type="dxa"/>
            <w:vAlign w:val="bottom"/>
            <w:tcBorders>
              <w:left w:val="single" w:sz="8" w:color="auto"/>
              <w:bottom w:val="single" w:sz="8" w:color="auto"/>
              <w:right w:val="single" w:sz="8" w:color="auto"/>
            </w:tcBorders>
          </w:tcPr>
          <w:p>
            <w:pPr>
              <w:spacing w:after="0"/>
              <w:rPr>
                <w:sz w:val="2"/>
                <w:szCs w:val="2"/>
                <w:color w:val="auto"/>
              </w:rPr>
            </w:pPr>
          </w:p>
        </w:tc>
        <w:tc>
          <w:tcPr>
            <w:tcW w:w="2000" w:type="dxa"/>
            <w:vAlign w:val="bottom"/>
            <w:tcBorders>
              <w:bottom w:val="single" w:sz="8" w:color="auto"/>
              <w:right w:val="single" w:sz="8" w:color="auto"/>
            </w:tcBorders>
          </w:tcPr>
          <w:p>
            <w:pPr>
              <w:spacing w:after="0"/>
              <w:rPr>
                <w:sz w:val="2"/>
                <w:szCs w:val="2"/>
                <w:color w:val="auto"/>
              </w:rPr>
            </w:pPr>
          </w:p>
        </w:tc>
        <w:tc>
          <w:tcPr>
            <w:tcW w:w="2200" w:type="dxa"/>
            <w:vAlign w:val="bottom"/>
            <w:tcBorders>
              <w:bottom w:val="single" w:sz="8" w:color="auto"/>
              <w:right w:val="single" w:sz="8" w:color="auto"/>
            </w:tcBorders>
          </w:tcPr>
          <w:p>
            <w:pPr>
              <w:spacing w:after="0"/>
              <w:rPr>
                <w:sz w:val="2"/>
                <w:szCs w:val="2"/>
                <w:color w:val="auto"/>
              </w:rPr>
            </w:pPr>
          </w:p>
        </w:tc>
        <w:tc>
          <w:tcPr>
            <w:tcW w:w="1640" w:type="dxa"/>
            <w:vAlign w:val="bottom"/>
            <w:tcBorders>
              <w:bottom w:val="single" w:sz="8" w:color="auto"/>
              <w:right w:val="single" w:sz="8" w:color="auto"/>
            </w:tcBorders>
          </w:tcPr>
          <w:p>
            <w:pPr>
              <w:spacing w:after="0"/>
              <w:rPr>
                <w:sz w:val="2"/>
                <w:szCs w:val="2"/>
                <w:color w:val="auto"/>
              </w:rPr>
            </w:pPr>
          </w:p>
        </w:tc>
        <w:tc>
          <w:tcPr>
            <w:tcW w:w="1000" w:type="dxa"/>
            <w:vAlign w:val="bottom"/>
            <w:tcBorders>
              <w:bottom w:val="single" w:sz="8" w:color="auto"/>
              <w:right w:val="single" w:sz="8" w:color="auto"/>
            </w:tcBorders>
          </w:tcPr>
          <w:p>
            <w:pPr>
              <w:spacing w:after="0"/>
              <w:rPr>
                <w:sz w:val="2"/>
                <w:szCs w:val="2"/>
                <w:color w:val="auto"/>
              </w:rPr>
            </w:pPr>
          </w:p>
        </w:tc>
      </w:tr>
      <w:tr>
        <w:trPr>
          <w:trHeight w:val="237"/>
        </w:trPr>
        <w:tc>
          <w:tcPr>
            <w:tcW w:w="45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RIA Telecommunications of New York, Inc.</w:t>
            </w:r>
          </w:p>
        </w:tc>
        <w:tc>
          <w:tcPr>
            <w:tcW w:w="200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New York, USA</w:t>
            </w:r>
          </w:p>
        </w:tc>
        <w:tc>
          <w:tcPr>
            <w:tcW w:w="220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Common Stock</w:t>
            </w:r>
          </w:p>
        </w:tc>
        <w:tc>
          <w:tcPr>
            <w:tcW w:w="1640" w:type="dxa"/>
            <w:vAlign w:val="bottom"/>
            <w:tcBorders>
              <w:right w:val="single" w:sz="8" w:color="auto"/>
            </w:tcBorders>
          </w:tcPr>
          <w:p>
            <w:pPr>
              <w:jc w:val="right"/>
              <w:ind w:right="50"/>
              <w:spacing w:after="0"/>
              <w:rPr>
                <w:sz w:val="20"/>
                <w:szCs w:val="20"/>
                <w:color w:val="auto"/>
              </w:rPr>
            </w:pPr>
            <w:r>
              <w:rPr>
                <w:rFonts w:ascii="Arial" w:cs="Arial" w:eastAsia="Arial" w:hAnsi="Arial"/>
                <w:sz w:val="18"/>
                <w:szCs w:val="18"/>
                <w:color w:val="auto"/>
              </w:rPr>
              <w:t>400</w:t>
            </w:r>
          </w:p>
        </w:tc>
        <w:tc>
          <w:tcPr>
            <w:tcW w:w="10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1"/>
              </w:rPr>
              <w:t>100%</w:t>
            </w:r>
          </w:p>
        </w:tc>
      </w:tr>
      <w:tr>
        <w:trPr>
          <w:trHeight w:val="27"/>
        </w:trPr>
        <w:tc>
          <w:tcPr>
            <w:tcW w:w="4580" w:type="dxa"/>
            <w:vAlign w:val="bottom"/>
            <w:tcBorders>
              <w:left w:val="single" w:sz="8" w:color="auto"/>
              <w:bottom w:val="single" w:sz="8" w:color="auto"/>
              <w:right w:val="single" w:sz="8" w:color="auto"/>
            </w:tcBorders>
          </w:tcPr>
          <w:p>
            <w:pPr>
              <w:spacing w:after="0"/>
              <w:rPr>
                <w:sz w:val="2"/>
                <w:szCs w:val="2"/>
                <w:color w:val="auto"/>
              </w:rPr>
            </w:pPr>
          </w:p>
        </w:tc>
        <w:tc>
          <w:tcPr>
            <w:tcW w:w="2000" w:type="dxa"/>
            <w:vAlign w:val="bottom"/>
            <w:tcBorders>
              <w:bottom w:val="single" w:sz="8" w:color="auto"/>
              <w:right w:val="single" w:sz="8" w:color="auto"/>
            </w:tcBorders>
          </w:tcPr>
          <w:p>
            <w:pPr>
              <w:spacing w:after="0"/>
              <w:rPr>
                <w:sz w:val="2"/>
                <w:szCs w:val="2"/>
                <w:color w:val="auto"/>
              </w:rPr>
            </w:pPr>
          </w:p>
        </w:tc>
        <w:tc>
          <w:tcPr>
            <w:tcW w:w="2200" w:type="dxa"/>
            <w:vAlign w:val="bottom"/>
            <w:tcBorders>
              <w:bottom w:val="single" w:sz="8" w:color="auto"/>
              <w:right w:val="single" w:sz="8" w:color="auto"/>
            </w:tcBorders>
          </w:tcPr>
          <w:p>
            <w:pPr>
              <w:spacing w:after="0"/>
              <w:rPr>
                <w:sz w:val="2"/>
                <w:szCs w:val="2"/>
                <w:color w:val="auto"/>
              </w:rPr>
            </w:pPr>
          </w:p>
        </w:tc>
        <w:tc>
          <w:tcPr>
            <w:tcW w:w="1640" w:type="dxa"/>
            <w:vAlign w:val="bottom"/>
            <w:tcBorders>
              <w:bottom w:val="single" w:sz="8" w:color="auto"/>
              <w:right w:val="single" w:sz="8" w:color="auto"/>
            </w:tcBorders>
          </w:tcPr>
          <w:p>
            <w:pPr>
              <w:spacing w:after="0"/>
              <w:rPr>
                <w:sz w:val="2"/>
                <w:szCs w:val="2"/>
                <w:color w:val="auto"/>
              </w:rPr>
            </w:pPr>
          </w:p>
        </w:tc>
        <w:tc>
          <w:tcPr>
            <w:tcW w:w="1000" w:type="dxa"/>
            <w:vAlign w:val="bottom"/>
            <w:tcBorders>
              <w:bottom w:val="single" w:sz="8" w:color="auto"/>
              <w:right w:val="single" w:sz="8" w:color="auto"/>
            </w:tcBorders>
          </w:tcPr>
          <w:p>
            <w:pPr>
              <w:spacing w:after="0"/>
              <w:rPr>
                <w:sz w:val="2"/>
                <w:szCs w:val="2"/>
                <w:color w:val="auto"/>
              </w:rPr>
            </w:pPr>
          </w:p>
        </w:tc>
      </w:tr>
      <w:tr>
        <w:trPr>
          <w:trHeight w:val="237"/>
        </w:trPr>
        <w:tc>
          <w:tcPr>
            <w:tcW w:w="45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RIA Financial Services Ltd</w:t>
            </w:r>
          </w:p>
        </w:tc>
        <w:tc>
          <w:tcPr>
            <w:tcW w:w="200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United Kingdom</w:t>
            </w:r>
          </w:p>
        </w:tc>
        <w:tc>
          <w:tcPr>
            <w:tcW w:w="220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Common Stock</w:t>
            </w:r>
          </w:p>
        </w:tc>
        <w:tc>
          <w:tcPr>
            <w:tcW w:w="1640" w:type="dxa"/>
            <w:vAlign w:val="bottom"/>
            <w:tcBorders>
              <w:right w:val="single" w:sz="8" w:color="auto"/>
            </w:tcBorders>
          </w:tcPr>
          <w:p>
            <w:pPr>
              <w:jc w:val="right"/>
              <w:ind w:right="50"/>
              <w:spacing w:after="0"/>
              <w:rPr>
                <w:sz w:val="20"/>
                <w:szCs w:val="20"/>
                <w:color w:val="auto"/>
              </w:rPr>
            </w:pPr>
            <w:r>
              <w:rPr>
                <w:rFonts w:ascii="Arial" w:cs="Arial" w:eastAsia="Arial" w:hAnsi="Arial"/>
                <w:sz w:val="18"/>
                <w:szCs w:val="18"/>
                <w:color w:val="auto"/>
              </w:rPr>
              <w:t>1,000</w:t>
            </w:r>
          </w:p>
        </w:tc>
        <w:tc>
          <w:tcPr>
            <w:tcW w:w="10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1"/>
              </w:rPr>
              <w:t>100%</w:t>
            </w:r>
          </w:p>
        </w:tc>
      </w:tr>
      <w:tr>
        <w:trPr>
          <w:trHeight w:val="27"/>
        </w:trPr>
        <w:tc>
          <w:tcPr>
            <w:tcW w:w="4580" w:type="dxa"/>
            <w:vAlign w:val="bottom"/>
            <w:tcBorders>
              <w:left w:val="single" w:sz="8" w:color="auto"/>
              <w:bottom w:val="single" w:sz="8" w:color="auto"/>
              <w:right w:val="single" w:sz="8" w:color="auto"/>
            </w:tcBorders>
          </w:tcPr>
          <w:p>
            <w:pPr>
              <w:spacing w:after="0"/>
              <w:rPr>
                <w:sz w:val="2"/>
                <w:szCs w:val="2"/>
                <w:color w:val="auto"/>
              </w:rPr>
            </w:pPr>
          </w:p>
        </w:tc>
        <w:tc>
          <w:tcPr>
            <w:tcW w:w="2000" w:type="dxa"/>
            <w:vAlign w:val="bottom"/>
            <w:tcBorders>
              <w:bottom w:val="single" w:sz="8" w:color="auto"/>
              <w:right w:val="single" w:sz="8" w:color="auto"/>
            </w:tcBorders>
          </w:tcPr>
          <w:p>
            <w:pPr>
              <w:spacing w:after="0"/>
              <w:rPr>
                <w:sz w:val="2"/>
                <w:szCs w:val="2"/>
                <w:color w:val="auto"/>
              </w:rPr>
            </w:pPr>
          </w:p>
        </w:tc>
        <w:tc>
          <w:tcPr>
            <w:tcW w:w="2200" w:type="dxa"/>
            <w:vAlign w:val="bottom"/>
            <w:tcBorders>
              <w:bottom w:val="single" w:sz="8" w:color="auto"/>
              <w:right w:val="single" w:sz="8" w:color="auto"/>
            </w:tcBorders>
          </w:tcPr>
          <w:p>
            <w:pPr>
              <w:spacing w:after="0"/>
              <w:rPr>
                <w:sz w:val="2"/>
                <w:szCs w:val="2"/>
                <w:color w:val="auto"/>
              </w:rPr>
            </w:pPr>
          </w:p>
        </w:tc>
        <w:tc>
          <w:tcPr>
            <w:tcW w:w="1640" w:type="dxa"/>
            <w:vAlign w:val="bottom"/>
            <w:tcBorders>
              <w:bottom w:val="single" w:sz="8" w:color="auto"/>
              <w:right w:val="single" w:sz="8" w:color="auto"/>
            </w:tcBorders>
          </w:tcPr>
          <w:p>
            <w:pPr>
              <w:spacing w:after="0"/>
              <w:rPr>
                <w:sz w:val="2"/>
                <w:szCs w:val="2"/>
                <w:color w:val="auto"/>
              </w:rPr>
            </w:pPr>
          </w:p>
        </w:tc>
        <w:tc>
          <w:tcPr>
            <w:tcW w:w="1000" w:type="dxa"/>
            <w:vAlign w:val="bottom"/>
            <w:tcBorders>
              <w:bottom w:val="single" w:sz="8" w:color="auto"/>
              <w:right w:val="single" w:sz="8" w:color="auto"/>
            </w:tcBorders>
          </w:tcPr>
          <w:p>
            <w:pPr>
              <w:spacing w:after="0"/>
              <w:rPr>
                <w:sz w:val="2"/>
                <w:szCs w:val="2"/>
                <w:color w:val="auto"/>
              </w:rPr>
            </w:pPr>
          </w:p>
        </w:tc>
      </w:tr>
      <w:tr>
        <w:trPr>
          <w:trHeight w:val="237"/>
        </w:trPr>
        <w:tc>
          <w:tcPr>
            <w:tcW w:w="45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RIA Financial Services Ireland Limited</w:t>
            </w:r>
          </w:p>
        </w:tc>
        <w:tc>
          <w:tcPr>
            <w:tcW w:w="200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Ireland</w:t>
            </w:r>
          </w:p>
        </w:tc>
        <w:tc>
          <w:tcPr>
            <w:tcW w:w="220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w:t>
            </w:r>
          </w:p>
        </w:tc>
        <w:tc>
          <w:tcPr>
            <w:tcW w:w="1640" w:type="dxa"/>
            <w:vAlign w:val="bottom"/>
            <w:tcBorders>
              <w:right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10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1"/>
              </w:rPr>
              <w:t>100%</w:t>
            </w:r>
          </w:p>
        </w:tc>
      </w:tr>
      <w:tr>
        <w:trPr>
          <w:trHeight w:val="27"/>
        </w:trPr>
        <w:tc>
          <w:tcPr>
            <w:tcW w:w="4580" w:type="dxa"/>
            <w:vAlign w:val="bottom"/>
            <w:tcBorders>
              <w:left w:val="single" w:sz="8" w:color="auto"/>
              <w:bottom w:val="single" w:sz="8" w:color="auto"/>
              <w:right w:val="single" w:sz="8" w:color="auto"/>
            </w:tcBorders>
          </w:tcPr>
          <w:p>
            <w:pPr>
              <w:spacing w:after="0"/>
              <w:rPr>
                <w:sz w:val="2"/>
                <w:szCs w:val="2"/>
                <w:color w:val="auto"/>
              </w:rPr>
            </w:pPr>
          </w:p>
        </w:tc>
        <w:tc>
          <w:tcPr>
            <w:tcW w:w="2000" w:type="dxa"/>
            <w:vAlign w:val="bottom"/>
            <w:tcBorders>
              <w:bottom w:val="single" w:sz="8" w:color="auto"/>
              <w:right w:val="single" w:sz="8" w:color="auto"/>
            </w:tcBorders>
          </w:tcPr>
          <w:p>
            <w:pPr>
              <w:spacing w:after="0"/>
              <w:rPr>
                <w:sz w:val="2"/>
                <w:szCs w:val="2"/>
                <w:color w:val="auto"/>
              </w:rPr>
            </w:pPr>
          </w:p>
        </w:tc>
        <w:tc>
          <w:tcPr>
            <w:tcW w:w="2200" w:type="dxa"/>
            <w:vAlign w:val="bottom"/>
            <w:tcBorders>
              <w:bottom w:val="single" w:sz="8" w:color="auto"/>
              <w:right w:val="single" w:sz="8" w:color="auto"/>
            </w:tcBorders>
          </w:tcPr>
          <w:p>
            <w:pPr>
              <w:spacing w:after="0"/>
              <w:rPr>
                <w:sz w:val="2"/>
                <w:szCs w:val="2"/>
                <w:color w:val="auto"/>
              </w:rPr>
            </w:pPr>
          </w:p>
        </w:tc>
        <w:tc>
          <w:tcPr>
            <w:tcW w:w="1640" w:type="dxa"/>
            <w:vAlign w:val="bottom"/>
            <w:tcBorders>
              <w:bottom w:val="single" w:sz="8" w:color="auto"/>
              <w:right w:val="single" w:sz="8" w:color="auto"/>
            </w:tcBorders>
          </w:tcPr>
          <w:p>
            <w:pPr>
              <w:spacing w:after="0"/>
              <w:rPr>
                <w:sz w:val="2"/>
                <w:szCs w:val="2"/>
                <w:color w:val="auto"/>
              </w:rPr>
            </w:pPr>
          </w:p>
        </w:tc>
        <w:tc>
          <w:tcPr>
            <w:tcW w:w="1000" w:type="dxa"/>
            <w:vAlign w:val="bottom"/>
            <w:tcBorders>
              <w:bottom w:val="single" w:sz="8" w:color="auto"/>
              <w:right w:val="single" w:sz="8" w:color="auto"/>
            </w:tcBorders>
          </w:tcPr>
          <w:p>
            <w:pPr>
              <w:spacing w:after="0"/>
              <w:rPr>
                <w:sz w:val="2"/>
                <w:szCs w:val="2"/>
                <w:color w:val="auto"/>
              </w:rPr>
            </w:pPr>
          </w:p>
        </w:tc>
      </w:tr>
      <w:tr>
        <w:trPr>
          <w:trHeight w:val="237"/>
        </w:trPr>
        <w:tc>
          <w:tcPr>
            <w:tcW w:w="45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RIA Financial Services Sweden AB</w:t>
            </w:r>
          </w:p>
        </w:tc>
        <w:tc>
          <w:tcPr>
            <w:tcW w:w="200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Sweden</w:t>
            </w:r>
          </w:p>
        </w:tc>
        <w:tc>
          <w:tcPr>
            <w:tcW w:w="220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w:t>
            </w:r>
          </w:p>
        </w:tc>
        <w:tc>
          <w:tcPr>
            <w:tcW w:w="1640" w:type="dxa"/>
            <w:vAlign w:val="bottom"/>
            <w:tcBorders>
              <w:right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10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1"/>
              </w:rPr>
              <w:t>100%</w:t>
            </w:r>
          </w:p>
        </w:tc>
      </w:tr>
      <w:tr>
        <w:trPr>
          <w:trHeight w:val="27"/>
        </w:trPr>
        <w:tc>
          <w:tcPr>
            <w:tcW w:w="4580" w:type="dxa"/>
            <w:vAlign w:val="bottom"/>
            <w:tcBorders>
              <w:left w:val="single" w:sz="8" w:color="auto"/>
              <w:bottom w:val="single" w:sz="8" w:color="auto"/>
              <w:right w:val="single" w:sz="8" w:color="auto"/>
            </w:tcBorders>
          </w:tcPr>
          <w:p>
            <w:pPr>
              <w:spacing w:after="0"/>
              <w:rPr>
                <w:sz w:val="2"/>
                <w:szCs w:val="2"/>
                <w:color w:val="auto"/>
              </w:rPr>
            </w:pPr>
          </w:p>
        </w:tc>
        <w:tc>
          <w:tcPr>
            <w:tcW w:w="2000" w:type="dxa"/>
            <w:vAlign w:val="bottom"/>
            <w:tcBorders>
              <w:bottom w:val="single" w:sz="8" w:color="auto"/>
              <w:right w:val="single" w:sz="8" w:color="auto"/>
            </w:tcBorders>
          </w:tcPr>
          <w:p>
            <w:pPr>
              <w:spacing w:after="0"/>
              <w:rPr>
                <w:sz w:val="2"/>
                <w:szCs w:val="2"/>
                <w:color w:val="auto"/>
              </w:rPr>
            </w:pPr>
          </w:p>
        </w:tc>
        <w:tc>
          <w:tcPr>
            <w:tcW w:w="2200" w:type="dxa"/>
            <w:vAlign w:val="bottom"/>
            <w:tcBorders>
              <w:bottom w:val="single" w:sz="8" w:color="auto"/>
              <w:right w:val="single" w:sz="8" w:color="auto"/>
            </w:tcBorders>
          </w:tcPr>
          <w:p>
            <w:pPr>
              <w:spacing w:after="0"/>
              <w:rPr>
                <w:sz w:val="2"/>
                <w:szCs w:val="2"/>
                <w:color w:val="auto"/>
              </w:rPr>
            </w:pPr>
          </w:p>
        </w:tc>
        <w:tc>
          <w:tcPr>
            <w:tcW w:w="1640" w:type="dxa"/>
            <w:vAlign w:val="bottom"/>
            <w:tcBorders>
              <w:bottom w:val="single" w:sz="8" w:color="auto"/>
              <w:right w:val="single" w:sz="8" w:color="auto"/>
            </w:tcBorders>
          </w:tcPr>
          <w:p>
            <w:pPr>
              <w:spacing w:after="0"/>
              <w:rPr>
                <w:sz w:val="2"/>
                <w:szCs w:val="2"/>
                <w:color w:val="auto"/>
              </w:rPr>
            </w:pPr>
          </w:p>
        </w:tc>
        <w:tc>
          <w:tcPr>
            <w:tcW w:w="1000" w:type="dxa"/>
            <w:vAlign w:val="bottom"/>
            <w:tcBorders>
              <w:bottom w:val="single" w:sz="8" w:color="auto"/>
              <w:right w:val="single" w:sz="8" w:color="auto"/>
            </w:tcBorders>
          </w:tcPr>
          <w:p>
            <w:pPr>
              <w:spacing w:after="0"/>
              <w:rPr>
                <w:sz w:val="2"/>
                <w:szCs w:val="2"/>
                <w:color w:val="auto"/>
              </w:rPr>
            </w:pPr>
          </w:p>
        </w:tc>
      </w:tr>
      <w:tr>
        <w:trPr>
          <w:trHeight w:val="237"/>
        </w:trPr>
        <w:tc>
          <w:tcPr>
            <w:tcW w:w="45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RIA France SAS</w:t>
            </w:r>
          </w:p>
        </w:tc>
        <w:tc>
          <w:tcPr>
            <w:tcW w:w="200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France</w:t>
            </w:r>
          </w:p>
        </w:tc>
        <w:tc>
          <w:tcPr>
            <w:tcW w:w="220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Common Stock</w:t>
            </w:r>
          </w:p>
        </w:tc>
        <w:tc>
          <w:tcPr>
            <w:tcW w:w="1640" w:type="dxa"/>
            <w:vAlign w:val="bottom"/>
            <w:tcBorders>
              <w:right w:val="single" w:sz="8" w:color="auto"/>
            </w:tcBorders>
          </w:tcPr>
          <w:p>
            <w:pPr>
              <w:jc w:val="right"/>
              <w:ind w:right="50"/>
              <w:spacing w:after="0"/>
              <w:rPr>
                <w:sz w:val="20"/>
                <w:szCs w:val="20"/>
                <w:color w:val="auto"/>
              </w:rPr>
            </w:pPr>
            <w:r>
              <w:rPr>
                <w:rFonts w:ascii="Arial" w:cs="Arial" w:eastAsia="Arial" w:hAnsi="Arial"/>
                <w:sz w:val="18"/>
                <w:szCs w:val="18"/>
                <w:color w:val="auto"/>
              </w:rPr>
              <w:t>2,900</w:t>
            </w:r>
          </w:p>
        </w:tc>
        <w:tc>
          <w:tcPr>
            <w:tcW w:w="10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1"/>
              </w:rPr>
              <w:t>100%</w:t>
            </w:r>
          </w:p>
        </w:tc>
      </w:tr>
      <w:tr>
        <w:trPr>
          <w:trHeight w:val="27"/>
        </w:trPr>
        <w:tc>
          <w:tcPr>
            <w:tcW w:w="4580" w:type="dxa"/>
            <w:vAlign w:val="bottom"/>
            <w:tcBorders>
              <w:left w:val="single" w:sz="8" w:color="auto"/>
              <w:bottom w:val="single" w:sz="8" w:color="auto"/>
              <w:right w:val="single" w:sz="8" w:color="auto"/>
            </w:tcBorders>
          </w:tcPr>
          <w:p>
            <w:pPr>
              <w:spacing w:after="0"/>
              <w:rPr>
                <w:sz w:val="2"/>
                <w:szCs w:val="2"/>
                <w:color w:val="auto"/>
              </w:rPr>
            </w:pPr>
          </w:p>
        </w:tc>
        <w:tc>
          <w:tcPr>
            <w:tcW w:w="2000" w:type="dxa"/>
            <w:vAlign w:val="bottom"/>
            <w:tcBorders>
              <w:bottom w:val="single" w:sz="8" w:color="auto"/>
              <w:right w:val="single" w:sz="8" w:color="auto"/>
            </w:tcBorders>
          </w:tcPr>
          <w:p>
            <w:pPr>
              <w:spacing w:after="0"/>
              <w:rPr>
                <w:sz w:val="2"/>
                <w:szCs w:val="2"/>
                <w:color w:val="auto"/>
              </w:rPr>
            </w:pPr>
          </w:p>
        </w:tc>
        <w:tc>
          <w:tcPr>
            <w:tcW w:w="2200" w:type="dxa"/>
            <w:vAlign w:val="bottom"/>
            <w:tcBorders>
              <w:bottom w:val="single" w:sz="8" w:color="auto"/>
              <w:right w:val="single" w:sz="8" w:color="auto"/>
            </w:tcBorders>
          </w:tcPr>
          <w:p>
            <w:pPr>
              <w:spacing w:after="0"/>
              <w:rPr>
                <w:sz w:val="2"/>
                <w:szCs w:val="2"/>
                <w:color w:val="auto"/>
              </w:rPr>
            </w:pPr>
          </w:p>
        </w:tc>
        <w:tc>
          <w:tcPr>
            <w:tcW w:w="1640" w:type="dxa"/>
            <w:vAlign w:val="bottom"/>
            <w:tcBorders>
              <w:bottom w:val="single" w:sz="8" w:color="auto"/>
              <w:right w:val="single" w:sz="8" w:color="auto"/>
            </w:tcBorders>
          </w:tcPr>
          <w:p>
            <w:pPr>
              <w:spacing w:after="0"/>
              <w:rPr>
                <w:sz w:val="2"/>
                <w:szCs w:val="2"/>
                <w:color w:val="auto"/>
              </w:rPr>
            </w:pPr>
          </w:p>
        </w:tc>
        <w:tc>
          <w:tcPr>
            <w:tcW w:w="1000" w:type="dxa"/>
            <w:vAlign w:val="bottom"/>
            <w:tcBorders>
              <w:bottom w:val="single" w:sz="8" w:color="auto"/>
              <w:right w:val="single" w:sz="8" w:color="auto"/>
            </w:tcBorders>
          </w:tcPr>
          <w:p>
            <w:pPr>
              <w:spacing w:after="0"/>
              <w:rPr>
                <w:sz w:val="2"/>
                <w:szCs w:val="2"/>
                <w:color w:val="auto"/>
              </w:rPr>
            </w:pPr>
          </w:p>
        </w:tc>
      </w:tr>
      <w:tr>
        <w:trPr>
          <w:trHeight w:val="237"/>
        </w:trPr>
        <w:tc>
          <w:tcPr>
            <w:tcW w:w="45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RIA Financial Services AG</w:t>
            </w:r>
          </w:p>
        </w:tc>
        <w:tc>
          <w:tcPr>
            <w:tcW w:w="200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Switzerland</w:t>
            </w:r>
          </w:p>
        </w:tc>
        <w:tc>
          <w:tcPr>
            <w:tcW w:w="220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Common Stock</w:t>
            </w:r>
          </w:p>
        </w:tc>
        <w:tc>
          <w:tcPr>
            <w:tcW w:w="1640" w:type="dxa"/>
            <w:vAlign w:val="bottom"/>
            <w:tcBorders>
              <w:right w:val="single" w:sz="8" w:color="auto"/>
            </w:tcBorders>
          </w:tcPr>
          <w:p>
            <w:pPr>
              <w:jc w:val="right"/>
              <w:ind w:right="50"/>
              <w:spacing w:after="0"/>
              <w:rPr>
                <w:sz w:val="20"/>
                <w:szCs w:val="20"/>
                <w:color w:val="auto"/>
              </w:rPr>
            </w:pPr>
            <w:r>
              <w:rPr>
                <w:rFonts w:ascii="Arial" w:cs="Arial" w:eastAsia="Arial" w:hAnsi="Arial"/>
                <w:sz w:val="18"/>
                <w:szCs w:val="18"/>
                <w:color w:val="auto"/>
              </w:rPr>
              <w:t>1,000</w:t>
            </w:r>
          </w:p>
        </w:tc>
        <w:tc>
          <w:tcPr>
            <w:tcW w:w="10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1"/>
              </w:rPr>
              <w:t>100%</w:t>
            </w:r>
          </w:p>
        </w:tc>
      </w:tr>
      <w:tr>
        <w:trPr>
          <w:trHeight w:val="27"/>
        </w:trPr>
        <w:tc>
          <w:tcPr>
            <w:tcW w:w="4580" w:type="dxa"/>
            <w:vAlign w:val="bottom"/>
            <w:tcBorders>
              <w:left w:val="single" w:sz="8" w:color="auto"/>
              <w:bottom w:val="single" w:sz="8" w:color="auto"/>
              <w:right w:val="single" w:sz="8" w:color="auto"/>
            </w:tcBorders>
          </w:tcPr>
          <w:p>
            <w:pPr>
              <w:spacing w:after="0"/>
              <w:rPr>
                <w:sz w:val="2"/>
                <w:szCs w:val="2"/>
                <w:color w:val="auto"/>
              </w:rPr>
            </w:pPr>
          </w:p>
        </w:tc>
        <w:tc>
          <w:tcPr>
            <w:tcW w:w="2000" w:type="dxa"/>
            <w:vAlign w:val="bottom"/>
            <w:tcBorders>
              <w:bottom w:val="single" w:sz="8" w:color="auto"/>
              <w:right w:val="single" w:sz="8" w:color="auto"/>
            </w:tcBorders>
          </w:tcPr>
          <w:p>
            <w:pPr>
              <w:spacing w:after="0"/>
              <w:rPr>
                <w:sz w:val="2"/>
                <w:szCs w:val="2"/>
                <w:color w:val="auto"/>
              </w:rPr>
            </w:pPr>
          </w:p>
        </w:tc>
        <w:tc>
          <w:tcPr>
            <w:tcW w:w="2200" w:type="dxa"/>
            <w:vAlign w:val="bottom"/>
            <w:tcBorders>
              <w:bottom w:val="single" w:sz="8" w:color="auto"/>
              <w:right w:val="single" w:sz="8" w:color="auto"/>
            </w:tcBorders>
          </w:tcPr>
          <w:p>
            <w:pPr>
              <w:spacing w:after="0"/>
              <w:rPr>
                <w:sz w:val="2"/>
                <w:szCs w:val="2"/>
                <w:color w:val="auto"/>
              </w:rPr>
            </w:pPr>
          </w:p>
        </w:tc>
        <w:tc>
          <w:tcPr>
            <w:tcW w:w="1640" w:type="dxa"/>
            <w:vAlign w:val="bottom"/>
            <w:tcBorders>
              <w:bottom w:val="single" w:sz="8" w:color="auto"/>
              <w:right w:val="single" w:sz="8" w:color="auto"/>
            </w:tcBorders>
          </w:tcPr>
          <w:p>
            <w:pPr>
              <w:spacing w:after="0"/>
              <w:rPr>
                <w:sz w:val="2"/>
                <w:szCs w:val="2"/>
                <w:color w:val="auto"/>
              </w:rPr>
            </w:pPr>
          </w:p>
        </w:tc>
        <w:tc>
          <w:tcPr>
            <w:tcW w:w="1000" w:type="dxa"/>
            <w:vAlign w:val="bottom"/>
            <w:tcBorders>
              <w:bottom w:val="single" w:sz="8" w:color="auto"/>
              <w:right w:val="single" w:sz="8" w:color="auto"/>
            </w:tcBorders>
          </w:tcPr>
          <w:p>
            <w:pPr>
              <w:spacing w:after="0"/>
              <w:rPr>
                <w:sz w:val="2"/>
                <w:szCs w:val="2"/>
                <w:color w:val="auto"/>
              </w:rPr>
            </w:pPr>
          </w:p>
        </w:tc>
      </w:tr>
      <w:tr>
        <w:trPr>
          <w:trHeight w:val="237"/>
        </w:trPr>
        <w:tc>
          <w:tcPr>
            <w:tcW w:w="45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RIA Envia Financial Services GmbH</w:t>
            </w:r>
          </w:p>
        </w:tc>
        <w:tc>
          <w:tcPr>
            <w:tcW w:w="200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Germany</w:t>
            </w:r>
          </w:p>
        </w:tc>
        <w:tc>
          <w:tcPr>
            <w:tcW w:w="220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Common Stock</w:t>
            </w:r>
          </w:p>
        </w:tc>
        <w:tc>
          <w:tcPr>
            <w:tcW w:w="1640" w:type="dxa"/>
            <w:vAlign w:val="bottom"/>
            <w:tcBorders>
              <w:right w:val="single" w:sz="8" w:color="auto"/>
            </w:tcBorders>
          </w:tcPr>
          <w:p>
            <w:pPr>
              <w:jc w:val="right"/>
              <w:ind w:right="50"/>
              <w:spacing w:after="0"/>
              <w:rPr>
                <w:sz w:val="20"/>
                <w:szCs w:val="20"/>
                <w:color w:val="auto"/>
              </w:rPr>
            </w:pPr>
            <w:r>
              <w:rPr>
                <w:rFonts w:ascii="Arial" w:cs="Arial" w:eastAsia="Arial" w:hAnsi="Arial"/>
                <w:sz w:val="18"/>
                <w:szCs w:val="18"/>
                <w:color w:val="auto"/>
              </w:rPr>
              <w:t>1</w:t>
            </w:r>
          </w:p>
        </w:tc>
        <w:tc>
          <w:tcPr>
            <w:tcW w:w="10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1"/>
              </w:rPr>
              <w:t>100%</w:t>
            </w:r>
          </w:p>
        </w:tc>
      </w:tr>
      <w:tr>
        <w:trPr>
          <w:trHeight w:val="27"/>
        </w:trPr>
        <w:tc>
          <w:tcPr>
            <w:tcW w:w="4580" w:type="dxa"/>
            <w:vAlign w:val="bottom"/>
            <w:tcBorders>
              <w:left w:val="single" w:sz="8" w:color="auto"/>
              <w:bottom w:val="single" w:sz="8" w:color="auto"/>
              <w:right w:val="single" w:sz="8" w:color="auto"/>
            </w:tcBorders>
          </w:tcPr>
          <w:p>
            <w:pPr>
              <w:spacing w:after="0"/>
              <w:rPr>
                <w:sz w:val="2"/>
                <w:szCs w:val="2"/>
                <w:color w:val="auto"/>
              </w:rPr>
            </w:pPr>
          </w:p>
        </w:tc>
        <w:tc>
          <w:tcPr>
            <w:tcW w:w="2000" w:type="dxa"/>
            <w:vAlign w:val="bottom"/>
            <w:tcBorders>
              <w:bottom w:val="single" w:sz="8" w:color="auto"/>
              <w:right w:val="single" w:sz="8" w:color="auto"/>
            </w:tcBorders>
          </w:tcPr>
          <w:p>
            <w:pPr>
              <w:spacing w:after="0"/>
              <w:rPr>
                <w:sz w:val="2"/>
                <w:szCs w:val="2"/>
                <w:color w:val="auto"/>
              </w:rPr>
            </w:pPr>
          </w:p>
        </w:tc>
        <w:tc>
          <w:tcPr>
            <w:tcW w:w="2200" w:type="dxa"/>
            <w:vAlign w:val="bottom"/>
            <w:tcBorders>
              <w:bottom w:val="single" w:sz="8" w:color="auto"/>
              <w:right w:val="single" w:sz="8" w:color="auto"/>
            </w:tcBorders>
          </w:tcPr>
          <w:p>
            <w:pPr>
              <w:spacing w:after="0"/>
              <w:rPr>
                <w:sz w:val="2"/>
                <w:szCs w:val="2"/>
                <w:color w:val="auto"/>
              </w:rPr>
            </w:pPr>
          </w:p>
        </w:tc>
        <w:tc>
          <w:tcPr>
            <w:tcW w:w="1640" w:type="dxa"/>
            <w:vAlign w:val="bottom"/>
            <w:tcBorders>
              <w:bottom w:val="single" w:sz="8" w:color="auto"/>
              <w:right w:val="single" w:sz="8" w:color="auto"/>
            </w:tcBorders>
          </w:tcPr>
          <w:p>
            <w:pPr>
              <w:spacing w:after="0"/>
              <w:rPr>
                <w:sz w:val="2"/>
                <w:szCs w:val="2"/>
                <w:color w:val="auto"/>
              </w:rPr>
            </w:pPr>
          </w:p>
        </w:tc>
        <w:tc>
          <w:tcPr>
            <w:tcW w:w="1000" w:type="dxa"/>
            <w:vAlign w:val="bottom"/>
            <w:tcBorders>
              <w:bottom w:val="single" w:sz="8" w:color="auto"/>
              <w:right w:val="single" w:sz="8" w:color="auto"/>
            </w:tcBorders>
          </w:tcPr>
          <w:p>
            <w:pPr>
              <w:spacing w:after="0"/>
              <w:rPr>
                <w:sz w:val="2"/>
                <w:szCs w:val="2"/>
                <w:color w:val="auto"/>
              </w:rPr>
            </w:pPr>
          </w:p>
        </w:tc>
      </w:tr>
      <w:tr>
        <w:trPr>
          <w:trHeight w:val="237"/>
        </w:trPr>
        <w:tc>
          <w:tcPr>
            <w:tcW w:w="45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Ria Money Transfer, S.A. de C.V.</w:t>
            </w:r>
          </w:p>
        </w:tc>
        <w:tc>
          <w:tcPr>
            <w:tcW w:w="200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Mexico</w:t>
            </w:r>
          </w:p>
        </w:tc>
        <w:tc>
          <w:tcPr>
            <w:tcW w:w="220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Common Stock</w:t>
            </w:r>
          </w:p>
        </w:tc>
        <w:tc>
          <w:tcPr>
            <w:tcW w:w="1640" w:type="dxa"/>
            <w:vAlign w:val="bottom"/>
            <w:tcBorders>
              <w:right w:val="single" w:sz="8" w:color="auto"/>
            </w:tcBorders>
          </w:tcPr>
          <w:p>
            <w:pPr>
              <w:jc w:val="right"/>
              <w:ind w:right="50"/>
              <w:spacing w:after="0"/>
              <w:rPr>
                <w:sz w:val="20"/>
                <w:szCs w:val="20"/>
                <w:color w:val="auto"/>
              </w:rPr>
            </w:pPr>
            <w:r>
              <w:rPr>
                <w:rFonts w:ascii="Arial" w:cs="Arial" w:eastAsia="Arial" w:hAnsi="Arial"/>
                <w:sz w:val="18"/>
                <w:szCs w:val="18"/>
                <w:color w:val="auto"/>
              </w:rPr>
              <w:t>50</w:t>
            </w:r>
          </w:p>
        </w:tc>
        <w:tc>
          <w:tcPr>
            <w:tcW w:w="10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1"/>
              </w:rPr>
              <w:t>100%</w:t>
            </w:r>
          </w:p>
        </w:tc>
      </w:tr>
      <w:tr>
        <w:trPr>
          <w:trHeight w:val="27"/>
        </w:trPr>
        <w:tc>
          <w:tcPr>
            <w:tcW w:w="4580" w:type="dxa"/>
            <w:vAlign w:val="bottom"/>
            <w:tcBorders>
              <w:left w:val="single" w:sz="8" w:color="auto"/>
              <w:bottom w:val="single" w:sz="8" w:color="auto"/>
              <w:right w:val="single" w:sz="8" w:color="auto"/>
            </w:tcBorders>
          </w:tcPr>
          <w:p>
            <w:pPr>
              <w:spacing w:after="0"/>
              <w:rPr>
                <w:sz w:val="2"/>
                <w:szCs w:val="2"/>
                <w:color w:val="auto"/>
              </w:rPr>
            </w:pPr>
          </w:p>
        </w:tc>
        <w:tc>
          <w:tcPr>
            <w:tcW w:w="2000" w:type="dxa"/>
            <w:vAlign w:val="bottom"/>
            <w:tcBorders>
              <w:bottom w:val="single" w:sz="8" w:color="auto"/>
              <w:right w:val="single" w:sz="8" w:color="auto"/>
            </w:tcBorders>
          </w:tcPr>
          <w:p>
            <w:pPr>
              <w:spacing w:after="0"/>
              <w:rPr>
                <w:sz w:val="2"/>
                <w:szCs w:val="2"/>
                <w:color w:val="auto"/>
              </w:rPr>
            </w:pPr>
          </w:p>
        </w:tc>
        <w:tc>
          <w:tcPr>
            <w:tcW w:w="2200" w:type="dxa"/>
            <w:vAlign w:val="bottom"/>
            <w:tcBorders>
              <w:bottom w:val="single" w:sz="8" w:color="auto"/>
              <w:right w:val="single" w:sz="8" w:color="auto"/>
            </w:tcBorders>
          </w:tcPr>
          <w:p>
            <w:pPr>
              <w:spacing w:after="0"/>
              <w:rPr>
                <w:sz w:val="2"/>
                <w:szCs w:val="2"/>
                <w:color w:val="auto"/>
              </w:rPr>
            </w:pPr>
          </w:p>
        </w:tc>
        <w:tc>
          <w:tcPr>
            <w:tcW w:w="1640" w:type="dxa"/>
            <w:vAlign w:val="bottom"/>
            <w:tcBorders>
              <w:bottom w:val="single" w:sz="8" w:color="auto"/>
              <w:right w:val="single" w:sz="8" w:color="auto"/>
            </w:tcBorders>
          </w:tcPr>
          <w:p>
            <w:pPr>
              <w:spacing w:after="0"/>
              <w:rPr>
                <w:sz w:val="2"/>
                <w:szCs w:val="2"/>
                <w:color w:val="auto"/>
              </w:rPr>
            </w:pPr>
          </w:p>
        </w:tc>
        <w:tc>
          <w:tcPr>
            <w:tcW w:w="1000" w:type="dxa"/>
            <w:vAlign w:val="bottom"/>
            <w:tcBorders>
              <w:bottom w:val="single" w:sz="8" w:color="auto"/>
              <w:right w:val="single" w:sz="8" w:color="auto"/>
            </w:tcBorders>
          </w:tcPr>
          <w:p>
            <w:pPr>
              <w:spacing w:after="0"/>
              <w:rPr>
                <w:sz w:val="2"/>
                <w:szCs w:val="2"/>
                <w:color w:val="auto"/>
              </w:rPr>
            </w:pPr>
          </w:p>
        </w:tc>
      </w:tr>
      <w:tr>
        <w:trPr>
          <w:trHeight w:val="237"/>
        </w:trPr>
        <w:tc>
          <w:tcPr>
            <w:tcW w:w="45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RIA de la Hispaniola, C.porA</w:t>
            </w:r>
          </w:p>
        </w:tc>
        <w:tc>
          <w:tcPr>
            <w:tcW w:w="200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Dominican Republic</w:t>
            </w:r>
          </w:p>
        </w:tc>
        <w:tc>
          <w:tcPr>
            <w:tcW w:w="220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Common Stock Class A</w:t>
            </w:r>
          </w:p>
        </w:tc>
        <w:tc>
          <w:tcPr>
            <w:tcW w:w="1640" w:type="dxa"/>
            <w:vAlign w:val="bottom"/>
            <w:tcBorders>
              <w:right w:val="single" w:sz="8" w:color="auto"/>
            </w:tcBorders>
          </w:tcPr>
          <w:p>
            <w:pPr>
              <w:jc w:val="right"/>
              <w:ind w:right="50"/>
              <w:spacing w:after="0"/>
              <w:rPr>
                <w:sz w:val="20"/>
                <w:szCs w:val="20"/>
                <w:color w:val="auto"/>
              </w:rPr>
            </w:pPr>
            <w:r>
              <w:rPr>
                <w:rFonts w:ascii="Arial" w:cs="Arial" w:eastAsia="Arial" w:hAnsi="Arial"/>
                <w:sz w:val="18"/>
                <w:szCs w:val="18"/>
                <w:color w:val="auto"/>
              </w:rPr>
              <w:t>130,318</w:t>
            </w:r>
          </w:p>
        </w:tc>
        <w:tc>
          <w:tcPr>
            <w:tcW w:w="10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1"/>
              </w:rPr>
              <w:t>100%</w:t>
            </w:r>
          </w:p>
        </w:tc>
      </w:tr>
      <w:tr>
        <w:trPr>
          <w:trHeight w:val="27"/>
        </w:trPr>
        <w:tc>
          <w:tcPr>
            <w:tcW w:w="4580" w:type="dxa"/>
            <w:vAlign w:val="bottom"/>
            <w:tcBorders>
              <w:left w:val="single" w:sz="8" w:color="auto"/>
              <w:bottom w:val="single" w:sz="8" w:color="auto"/>
              <w:right w:val="single" w:sz="8" w:color="auto"/>
            </w:tcBorders>
          </w:tcPr>
          <w:p>
            <w:pPr>
              <w:spacing w:after="0"/>
              <w:rPr>
                <w:sz w:val="2"/>
                <w:szCs w:val="2"/>
                <w:color w:val="auto"/>
              </w:rPr>
            </w:pPr>
          </w:p>
        </w:tc>
        <w:tc>
          <w:tcPr>
            <w:tcW w:w="2000" w:type="dxa"/>
            <w:vAlign w:val="bottom"/>
            <w:tcBorders>
              <w:bottom w:val="single" w:sz="8" w:color="auto"/>
              <w:right w:val="single" w:sz="8" w:color="auto"/>
            </w:tcBorders>
          </w:tcPr>
          <w:p>
            <w:pPr>
              <w:spacing w:after="0"/>
              <w:rPr>
                <w:sz w:val="2"/>
                <w:szCs w:val="2"/>
                <w:color w:val="auto"/>
              </w:rPr>
            </w:pPr>
          </w:p>
        </w:tc>
        <w:tc>
          <w:tcPr>
            <w:tcW w:w="2200" w:type="dxa"/>
            <w:vAlign w:val="bottom"/>
            <w:tcBorders>
              <w:bottom w:val="single" w:sz="8" w:color="auto"/>
              <w:right w:val="single" w:sz="8" w:color="auto"/>
            </w:tcBorders>
          </w:tcPr>
          <w:p>
            <w:pPr>
              <w:spacing w:after="0"/>
              <w:rPr>
                <w:sz w:val="2"/>
                <w:szCs w:val="2"/>
                <w:color w:val="auto"/>
              </w:rPr>
            </w:pPr>
          </w:p>
        </w:tc>
        <w:tc>
          <w:tcPr>
            <w:tcW w:w="1640" w:type="dxa"/>
            <w:vAlign w:val="bottom"/>
            <w:tcBorders>
              <w:bottom w:val="single" w:sz="8" w:color="auto"/>
              <w:right w:val="single" w:sz="8" w:color="auto"/>
            </w:tcBorders>
          </w:tcPr>
          <w:p>
            <w:pPr>
              <w:spacing w:after="0"/>
              <w:rPr>
                <w:sz w:val="2"/>
                <w:szCs w:val="2"/>
                <w:color w:val="auto"/>
              </w:rPr>
            </w:pPr>
          </w:p>
        </w:tc>
        <w:tc>
          <w:tcPr>
            <w:tcW w:w="1000" w:type="dxa"/>
            <w:vAlign w:val="bottom"/>
            <w:tcBorders>
              <w:bottom w:val="single" w:sz="8" w:color="auto"/>
              <w:right w:val="single" w:sz="8" w:color="auto"/>
            </w:tcBorders>
          </w:tcPr>
          <w:p>
            <w:pPr>
              <w:spacing w:after="0"/>
              <w:rPr>
                <w:sz w:val="2"/>
                <w:szCs w:val="2"/>
                <w:color w:val="auto"/>
              </w:rPr>
            </w:pPr>
          </w:p>
        </w:tc>
      </w:tr>
      <w:tr>
        <w:trPr>
          <w:trHeight w:val="237"/>
        </w:trPr>
        <w:tc>
          <w:tcPr>
            <w:tcW w:w="45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RIA Financial Services Puerto Rico, Inc.</w:t>
            </w:r>
          </w:p>
        </w:tc>
        <w:tc>
          <w:tcPr>
            <w:tcW w:w="200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Puerto Rico</w:t>
            </w:r>
          </w:p>
        </w:tc>
        <w:tc>
          <w:tcPr>
            <w:tcW w:w="220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Common Stock</w:t>
            </w:r>
          </w:p>
        </w:tc>
        <w:tc>
          <w:tcPr>
            <w:tcW w:w="1640" w:type="dxa"/>
            <w:vAlign w:val="bottom"/>
            <w:tcBorders>
              <w:right w:val="single" w:sz="8" w:color="auto"/>
            </w:tcBorders>
          </w:tcPr>
          <w:p>
            <w:pPr>
              <w:jc w:val="right"/>
              <w:ind w:right="50"/>
              <w:spacing w:after="0"/>
              <w:rPr>
                <w:sz w:val="20"/>
                <w:szCs w:val="20"/>
                <w:color w:val="auto"/>
              </w:rPr>
            </w:pPr>
            <w:r>
              <w:rPr>
                <w:rFonts w:ascii="Arial" w:cs="Arial" w:eastAsia="Arial" w:hAnsi="Arial"/>
                <w:sz w:val="18"/>
                <w:szCs w:val="18"/>
                <w:color w:val="auto"/>
              </w:rPr>
              <w:t>100</w:t>
            </w:r>
          </w:p>
        </w:tc>
        <w:tc>
          <w:tcPr>
            <w:tcW w:w="10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1"/>
              </w:rPr>
              <w:t>100%</w:t>
            </w:r>
          </w:p>
        </w:tc>
      </w:tr>
      <w:tr>
        <w:trPr>
          <w:trHeight w:val="27"/>
        </w:trPr>
        <w:tc>
          <w:tcPr>
            <w:tcW w:w="4580" w:type="dxa"/>
            <w:vAlign w:val="bottom"/>
            <w:tcBorders>
              <w:left w:val="single" w:sz="8" w:color="auto"/>
              <w:bottom w:val="single" w:sz="8" w:color="auto"/>
              <w:right w:val="single" w:sz="8" w:color="auto"/>
            </w:tcBorders>
          </w:tcPr>
          <w:p>
            <w:pPr>
              <w:spacing w:after="0"/>
              <w:rPr>
                <w:sz w:val="2"/>
                <w:szCs w:val="2"/>
                <w:color w:val="auto"/>
              </w:rPr>
            </w:pPr>
          </w:p>
        </w:tc>
        <w:tc>
          <w:tcPr>
            <w:tcW w:w="2000" w:type="dxa"/>
            <w:vAlign w:val="bottom"/>
            <w:tcBorders>
              <w:bottom w:val="single" w:sz="8" w:color="auto"/>
              <w:right w:val="single" w:sz="8" w:color="auto"/>
            </w:tcBorders>
          </w:tcPr>
          <w:p>
            <w:pPr>
              <w:spacing w:after="0"/>
              <w:rPr>
                <w:sz w:val="2"/>
                <w:szCs w:val="2"/>
                <w:color w:val="auto"/>
              </w:rPr>
            </w:pPr>
          </w:p>
        </w:tc>
        <w:tc>
          <w:tcPr>
            <w:tcW w:w="2200" w:type="dxa"/>
            <w:vAlign w:val="bottom"/>
            <w:tcBorders>
              <w:bottom w:val="single" w:sz="8" w:color="auto"/>
              <w:right w:val="single" w:sz="8" w:color="auto"/>
            </w:tcBorders>
          </w:tcPr>
          <w:p>
            <w:pPr>
              <w:spacing w:after="0"/>
              <w:rPr>
                <w:sz w:val="2"/>
                <w:szCs w:val="2"/>
                <w:color w:val="auto"/>
              </w:rPr>
            </w:pPr>
          </w:p>
        </w:tc>
        <w:tc>
          <w:tcPr>
            <w:tcW w:w="1640" w:type="dxa"/>
            <w:vAlign w:val="bottom"/>
            <w:tcBorders>
              <w:bottom w:val="single" w:sz="8" w:color="auto"/>
              <w:right w:val="single" w:sz="8" w:color="auto"/>
            </w:tcBorders>
          </w:tcPr>
          <w:p>
            <w:pPr>
              <w:spacing w:after="0"/>
              <w:rPr>
                <w:sz w:val="2"/>
                <w:szCs w:val="2"/>
                <w:color w:val="auto"/>
              </w:rPr>
            </w:pPr>
          </w:p>
        </w:tc>
        <w:tc>
          <w:tcPr>
            <w:tcW w:w="1000" w:type="dxa"/>
            <w:vAlign w:val="bottom"/>
            <w:tcBorders>
              <w:bottom w:val="single" w:sz="8" w:color="auto"/>
              <w:right w:val="single" w:sz="8" w:color="auto"/>
            </w:tcBorders>
          </w:tcPr>
          <w:p>
            <w:pPr>
              <w:spacing w:after="0"/>
              <w:rPr>
                <w:sz w:val="2"/>
                <w:szCs w:val="2"/>
                <w:color w:val="auto"/>
              </w:rPr>
            </w:pPr>
          </w:p>
        </w:tc>
      </w:tr>
      <w:tr>
        <w:trPr>
          <w:trHeight w:val="237"/>
        </w:trPr>
        <w:tc>
          <w:tcPr>
            <w:tcW w:w="45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RIA de Centroamérica, S.A. de C.V.</w:t>
            </w:r>
          </w:p>
        </w:tc>
        <w:tc>
          <w:tcPr>
            <w:tcW w:w="200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El Salvador</w:t>
            </w:r>
          </w:p>
        </w:tc>
        <w:tc>
          <w:tcPr>
            <w:tcW w:w="220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Common Stock</w:t>
            </w:r>
          </w:p>
        </w:tc>
        <w:tc>
          <w:tcPr>
            <w:tcW w:w="1640" w:type="dxa"/>
            <w:vAlign w:val="bottom"/>
            <w:tcBorders>
              <w:right w:val="single" w:sz="8" w:color="auto"/>
            </w:tcBorders>
          </w:tcPr>
          <w:p>
            <w:pPr>
              <w:jc w:val="right"/>
              <w:ind w:right="50"/>
              <w:spacing w:after="0"/>
              <w:rPr>
                <w:sz w:val="20"/>
                <w:szCs w:val="20"/>
                <w:color w:val="auto"/>
              </w:rPr>
            </w:pPr>
            <w:r>
              <w:rPr>
                <w:rFonts w:ascii="Arial" w:cs="Arial" w:eastAsia="Arial" w:hAnsi="Arial"/>
                <w:sz w:val="18"/>
                <w:szCs w:val="18"/>
                <w:color w:val="auto"/>
              </w:rPr>
              <w:t>1,000</w:t>
            </w:r>
          </w:p>
        </w:tc>
        <w:tc>
          <w:tcPr>
            <w:tcW w:w="10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1"/>
              </w:rPr>
              <w:t>100%</w:t>
            </w:r>
          </w:p>
        </w:tc>
      </w:tr>
      <w:tr>
        <w:trPr>
          <w:trHeight w:val="27"/>
        </w:trPr>
        <w:tc>
          <w:tcPr>
            <w:tcW w:w="4580" w:type="dxa"/>
            <w:vAlign w:val="bottom"/>
            <w:tcBorders>
              <w:left w:val="single" w:sz="8" w:color="auto"/>
              <w:bottom w:val="single" w:sz="8" w:color="auto"/>
              <w:right w:val="single" w:sz="8" w:color="auto"/>
            </w:tcBorders>
          </w:tcPr>
          <w:p>
            <w:pPr>
              <w:spacing w:after="0"/>
              <w:rPr>
                <w:sz w:val="2"/>
                <w:szCs w:val="2"/>
                <w:color w:val="auto"/>
              </w:rPr>
            </w:pPr>
          </w:p>
        </w:tc>
        <w:tc>
          <w:tcPr>
            <w:tcW w:w="2000" w:type="dxa"/>
            <w:vAlign w:val="bottom"/>
            <w:tcBorders>
              <w:bottom w:val="single" w:sz="8" w:color="auto"/>
              <w:right w:val="single" w:sz="8" w:color="auto"/>
            </w:tcBorders>
          </w:tcPr>
          <w:p>
            <w:pPr>
              <w:spacing w:after="0"/>
              <w:rPr>
                <w:sz w:val="2"/>
                <w:szCs w:val="2"/>
                <w:color w:val="auto"/>
              </w:rPr>
            </w:pPr>
          </w:p>
        </w:tc>
        <w:tc>
          <w:tcPr>
            <w:tcW w:w="2200" w:type="dxa"/>
            <w:vAlign w:val="bottom"/>
            <w:tcBorders>
              <w:bottom w:val="single" w:sz="8" w:color="auto"/>
              <w:right w:val="single" w:sz="8" w:color="auto"/>
            </w:tcBorders>
          </w:tcPr>
          <w:p>
            <w:pPr>
              <w:spacing w:after="0"/>
              <w:rPr>
                <w:sz w:val="2"/>
                <w:szCs w:val="2"/>
                <w:color w:val="auto"/>
              </w:rPr>
            </w:pPr>
          </w:p>
        </w:tc>
        <w:tc>
          <w:tcPr>
            <w:tcW w:w="1640" w:type="dxa"/>
            <w:vAlign w:val="bottom"/>
            <w:tcBorders>
              <w:bottom w:val="single" w:sz="8" w:color="auto"/>
              <w:right w:val="single" w:sz="8" w:color="auto"/>
            </w:tcBorders>
          </w:tcPr>
          <w:p>
            <w:pPr>
              <w:spacing w:after="0"/>
              <w:rPr>
                <w:sz w:val="2"/>
                <w:szCs w:val="2"/>
                <w:color w:val="auto"/>
              </w:rPr>
            </w:pPr>
          </w:p>
        </w:tc>
        <w:tc>
          <w:tcPr>
            <w:tcW w:w="1000" w:type="dxa"/>
            <w:vAlign w:val="bottom"/>
            <w:tcBorders>
              <w:bottom w:val="single" w:sz="8" w:color="auto"/>
              <w:right w:val="single" w:sz="8" w:color="auto"/>
            </w:tcBorders>
          </w:tcPr>
          <w:p>
            <w:pPr>
              <w:spacing w:after="0"/>
              <w:rPr>
                <w:sz w:val="2"/>
                <w:szCs w:val="2"/>
                <w:color w:val="auto"/>
              </w:rPr>
            </w:pPr>
          </w:p>
        </w:tc>
      </w:tr>
    </w:tbl>
    <w:p>
      <w:pPr>
        <w:sectPr>
          <w:pgSz w:w="11900" w:h="16838" w:orient="portrait"/>
          <w:cols w:equalWidth="0" w:num="1">
            <w:col w:w="11420"/>
          </w:cols>
          <w:pgMar w:left="260" w:top="498" w:right="219" w:bottom="1440" w:gutter="0" w:footer="0" w:header="0"/>
        </w:sectPr>
      </w:pPr>
    </w:p>
    <w:bookmarkStart w:id="269" w:name="page270"/>
    <w:bookmarkEnd w:id="269"/>
    <w:p>
      <w:pPr>
        <w:ind w:left="780"/>
        <w:spacing w:after="0"/>
        <w:rPr>
          <w:sz w:val="20"/>
          <w:szCs w:val="20"/>
          <w:color w:val="auto"/>
        </w:rPr>
      </w:pPr>
      <w:r>
        <w:rPr>
          <w:rFonts w:ascii="Arial" w:cs="Arial" w:eastAsia="Arial" w:hAnsi="Arial"/>
          <w:sz w:val="20"/>
          <w:szCs w:val="20"/>
          <w:b w:val="1"/>
          <w:bCs w:val="1"/>
          <w:u w:val="single" w:color="auto"/>
          <w:color w:val="auto"/>
        </w:rPr>
        <w:drawing>
          <wp:anchor simplePos="0" relativeHeight="251657728" behindDoc="1" locked="0" layoutInCell="0" allowOverlap="1">
            <wp:simplePos x="0" y="0"/>
            <wp:positionH relativeFrom="page">
              <wp:posOffset>157480</wp:posOffset>
            </wp:positionH>
            <wp:positionV relativeFrom="page">
              <wp:posOffset>328930</wp:posOffset>
            </wp:positionV>
            <wp:extent cx="3610610" cy="19748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3610610" cy="197485"/>
                    </a:xfrm>
                    <a:prstGeom prst="rect">
                      <a:avLst/>
                    </a:prstGeom>
                    <a:noFill/>
                  </pic:spPr>
                </pic:pic>
              </a:graphicData>
            </a:graphic>
          </wp:anchor>
        </w:drawing>
        <w:t>Schedule 6.18 - Taxpayer Identification Numbers</w:t>
      </w:r>
    </w:p>
    <w:p>
      <w:pPr>
        <w:spacing w:after="0" w:line="49" w:lineRule="exact"/>
        <w:rPr>
          <w:sz w:val="20"/>
          <w:szCs w:val="20"/>
          <w:color w:val="auto"/>
        </w:rPr>
      </w:pPr>
    </w:p>
    <w:tbl>
      <w:tblPr>
        <w:tblLayout w:type="fixed"/>
        <w:tblInd w:w="10" w:type="dxa"/>
        <w:tblCellMar>
          <w:top w:w="0" w:type="dxa"/>
          <w:left w:w="0" w:type="dxa"/>
          <w:bottom w:w="0" w:type="dxa"/>
          <w:right w:w="0" w:type="dxa"/>
        </w:tblCellMar>
      </w:tblPr>
      <w:tr>
        <w:trPr>
          <w:trHeight w:val="253"/>
        </w:trPr>
        <w:tc>
          <w:tcPr>
            <w:tcW w:w="3160" w:type="dxa"/>
            <w:vAlign w:val="bottom"/>
            <w:tcBorders>
              <w:left w:val="single" w:sz="8" w:color="969696"/>
              <w:right w:val="single" w:sz="8" w:color="969696"/>
            </w:tcBorders>
            <w:shd w:val="clear" w:color="auto" w:fill="969696"/>
          </w:tcPr>
          <w:p>
            <w:pPr>
              <w:spacing w:after="0"/>
              <w:rPr>
                <w:sz w:val="22"/>
                <w:szCs w:val="22"/>
                <w:color w:val="auto"/>
              </w:rPr>
            </w:pPr>
          </w:p>
        </w:tc>
        <w:tc>
          <w:tcPr>
            <w:tcW w:w="2540" w:type="dxa"/>
            <w:vAlign w:val="bottom"/>
            <w:shd w:val="clear" w:color="auto" w:fill="969696"/>
          </w:tcPr>
          <w:p>
            <w:pPr>
              <w:jc w:val="center"/>
              <w:spacing w:after="0"/>
              <w:rPr>
                <w:sz w:val="20"/>
                <w:szCs w:val="20"/>
                <w:color w:val="auto"/>
              </w:rPr>
            </w:pPr>
            <w:r>
              <w:rPr>
                <w:rFonts w:ascii="Arial" w:cs="Arial" w:eastAsia="Arial" w:hAnsi="Arial"/>
                <w:sz w:val="20"/>
                <w:szCs w:val="20"/>
                <w:color w:val="auto"/>
                <w:w w:val="91"/>
              </w:rPr>
              <w:t>U.S. Taxpayer Identification</w:t>
            </w:r>
          </w:p>
        </w:tc>
        <w:tc>
          <w:tcPr>
            <w:tcW w:w="20" w:type="dxa"/>
            <w:vAlign w:val="bottom"/>
          </w:tcPr>
          <w:p>
            <w:pPr>
              <w:spacing w:after="0"/>
              <w:rPr>
                <w:sz w:val="22"/>
                <w:szCs w:val="22"/>
                <w:color w:val="auto"/>
              </w:rPr>
            </w:pPr>
          </w:p>
        </w:tc>
      </w:tr>
      <w:tr>
        <w:trPr>
          <w:trHeight w:val="273"/>
        </w:trPr>
        <w:tc>
          <w:tcPr>
            <w:tcW w:w="3160" w:type="dxa"/>
            <w:vAlign w:val="bottom"/>
            <w:tcBorders>
              <w:left w:val="single" w:sz="8" w:color="969696"/>
              <w:bottom w:val="single" w:sz="8" w:color="969696"/>
              <w:right w:val="single" w:sz="8" w:color="969696"/>
            </w:tcBorders>
            <w:shd w:val="clear" w:color="auto" w:fill="969696"/>
          </w:tcPr>
          <w:p>
            <w:pPr>
              <w:ind w:left="1100"/>
              <w:spacing w:after="0"/>
              <w:rPr>
                <w:sz w:val="20"/>
                <w:szCs w:val="20"/>
                <w:color w:val="auto"/>
              </w:rPr>
            </w:pPr>
            <w:r>
              <w:rPr>
                <w:rFonts w:ascii="Arial" w:cs="Arial" w:eastAsia="Arial" w:hAnsi="Arial"/>
                <w:sz w:val="20"/>
                <w:szCs w:val="20"/>
                <w:color w:val="auto"/>
              </w:rPr>
              <w:t>Credit Party</w:t>
            </w:r>
          </w:p>
        </w:tc>
        <w:tc>
          <w:tcPr>
            <w:tcW w:w="2540" w:type="dxa"/>
            <w:vAlign w:val="bottom"/>
            <w:tcBorders>
              <w:bottom w:val="single" w:sz="8" w:color="969696"/>
            </w:tcBorders>
            <w:shd w:val="clear" w:color="auto" w:fill="969696"/>
          </w:tcPr>
          <w:p>
            <w:pPr>
              <w:jc w:val="center"/>
              <w:spacing w:after="0"/>
              <w:rPr>
                <w:sz w:val="20"/>
                <w:szCs w:val="20"/>
                <w:color w:val="auto"/>
              </w:rPr>
            </w:pPr>
            <w:r>
              <w:rPr>
                <w:rFonts w:ascii="Arial" w:cs="Arial" w:eastAsia="Arial" w:hAnsi="Arial"/>
                <w:sz w:val="20"/>
                <w:szCs w:val="20"/>
                <w:color w:val="auto"/>
                <w:w w:val="89"/>
              </w:rPr>
              <w:t>Number</w:t>
            </w:r>
          </w:p>
        </w:tc>
        <w:tc>
          <w:tcPr>
            <w:tcW w:w="20" w:type="dxa"/>
            <w:vAlign w:val="bottom"/>
          </w:tcPr>
          <w:p>
            <w:pPr>
              <w:spacing w:after="0"/>
              <w:rPr>
                <w:sz w:val="23"/>
                <w:szCs w:val="23"/>
                <w:color w:val="auto"/>
              </w:rPr>
            </w:pPr>
          </w:p>
        </w:tc>
      </w:tr>
      <w:tr>
        <w:trPr>
          <w:trHeight w:val="254"/>
        </w:trPr>
        <w:tc>
          <w:tcPr>
            <w:tcW w:w="3160" w:type="dxa"/>
            <w:vAlign w:val="bottom"/>
            <w:tcBorders>
              <w:top w:val="single" w:sz="8" w:color="auto"/>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w w:val="94"/>
              </w:rPr>
              <w:t>Continental Exchange Solutions, Inc.</w:t>
            </w:r>
          </w:p>
        </w:tc>
        <w:tc>
          <w:tcPr>
            <w:tcW w:w="2540" w:type="dxa"/>
            <w:vAlign w:val="bottom"/>
            <w:tcBorders>
              <w:top w:val="single" w:sz="8" w:color="auto"/>
            </w:tcBorders>
          </w:tcPr>
          <w:p>
            <w:pPr>
              <w:jc w:val="center"/>
              <w:spacing w:after="0"/>
              <w:rPr>
                <w:sz w:val="20"/>
                <w:szCs w:val="20"/>
                <w:color w:val="auto"/>
              </w:rPr>
            </w:pPr>
            <w:r>
              <w:rPr>
                <w:rFonts w:ascii="Arial" w:cs="Arial" w:eastAsia="Arial" w:hAnsi="Arial"/>
                <w:sz w:val="20"/>
                <w:szCs w:val="20"/>
                <w:color w:val="auto"/>
                <w:w w:val="89"/>
              </w:rPr>
              <w:t>22-2829900</w:t>
            </w:r>
          </w:p>
        </w:tc>
        <w:tc>
          <w:tcPr>
            <w:tcW w:w="20" w:type="dxa"/>
            <w:vAlign w:val="bottom"/>
            <w:tcBorders>
              <w:top w:val="single" w:sz="8" w:color="auto"/>
            </w:tcBorders>
            <w:shd w:val="clear" w:color="auto" w:fill="000000"/>
          </w:tcPr>
          <w:p>
            <w:pPr>
              <w:spacing w:after="0"/>
              <w:rPr>
                <w:sz w:val="22"/>
                <w:szCs w:val="22"/>
                <w:color w:val="auto"/>
              </w:rPr>
            </w:pPr>
          </w:p>
        </w:tc>
      </w:tr>
      <w:tr>
        <w:trPr>
          <w:trHeight w:val="23"/>
        </w:trPr>
        <w:tc>
          <w:tcPr>
            <w:tcW w:w="3160" w:type="dxa"/>
            <w:vAlign w:val="bottom"/>
            <w:tcBorders>
              <w:left w:val="single" w:sz="8" w:color="auto"/>
              <w:bottom w:val="single" w:sz="8" w:color="auto"/>
              <w:right w:val="single" w:sz="8" w:color="auto"/>
            </w:tcBorders>
          </w:tcPr>
          <w:p>
            <w:pPr>
              <w:spacing w:after="0"/>
              <w:rPr>
                <w:sz w:val="2"/>
                <w:szCs w:val="2"/>
                <w:color w:val="auto"/>
              </w:rPr>
            </w:pPr>
          </w:p>
        </w:tc>
        <w:tc>
          <w:tcPr>
            <w:tcW w:w="25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shd w:val="clear" w:color="auto" w:fill="000000"/>
          </w:tcPr>
          <w:p>
            <w:pPr>
              <w:spacing w:after="0"/>
              <w:rPr>
                <w:sz w:val="2"/>
                <w:szCs w:val="2"/>
                <w:color w:val="auto"/>
              </w:rPr>
            </w:pPr>
          </w:p>
        </w:tc>
      </w:tr>
      <w:tr>
        <w:trPr>
          <w:trHeight w:val="254"/>
        </w:trPr>
        <w:tc>
          <w:tcPr>
            <w:tcW w:w="316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EFT Services Holding B.V.</w:t>
            </w:r>
          </w:p>
        </w:tc>
        <w:tc>
          <w:tcPr>
            <w:tcW w:w="2540" w:type="dxa"/>
            <w:vAlign w:val="bottom"/>
          </w:tcPr>
          <w:p>
            <w:pPr>
              <w:jc w:val="center"/>
              <w:spacing w:after="0"/>
              <w:rPr>
                <w:sz w:val="20"/>
                <w:szCs w:val="20"/>
                <w:color w:val="auto"/>
              </w:rPr>
            </w:pPr>
            <w:r>
              <w:rPr>
                <w:rFonts w:ascii="Arial" w:cs="Arial" w:eastAsia="Arial" w:hAnsi="Arial"/>
                <w:sz w:val="20"/>
                <w:szCs w:val="20"/>
                <w:color w:val="auto"/>
                <w:w w:val="88"/>
              </w:rPr>
              <w:t>98-1119152</w:t>
            </w:r>
          </w:p>
        </w:tc>
        <w:tc>
          <w:tcPr>
            <w:tcW w:w="20" w:type="dxa"/>
            <w:vAlign w:val="bottom"/>
            <w:shd w:val="clear" w:color="auto" w:fill="000000"/>
          </w:tcPr>
          <w:p>
            <w:pPr>
              <w:spacing w:after="0"/>
              <w:rPr>
                <w:sz w:val="22"/>
                <w:szCs w:val="22"/>
                <w:color w:val="auto"/>
              </w:rPr>
            </w:pPr>
          </w:p>
        </w:tc>
      </w:tr>
      <w:tr>
        <w:trPr>
          <w:trHeight w:val="23"/>
        </w:trPr>
        <w:tc>
          <w:tcPr>
            <w:tcW w:w="3160" w:type="dxa"/>
            <w:vAlign w:val="bottom"/>
            <w:tcBorders>
              <w:left w:val="single" w:sz="8" w:color="auto"/>
              <w:bottom w:val="single" w:sz="8" w:color="auto"/>
              <w:right w:val="single" w:sz="8" w:color="auto"/>
            </w:tcBorders>
          </w:tcPr>
          <w:p>
            <w:pPr>
              <w:spacing w:after="0"/>
              <w:rPr>
                <w:sz w:val="2"/>
                <w:szCs w:val="2"/>
                <w:color w:val="auto"/>
              </w:rPr>
            </w:pPr>
          </w:p>
        </w:tc>
        <w:tc>
          <w:tcPr>
            <w:tcW w:w="25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shd w:val="clear" w:color="auto" w:fill="000000"/>
          </w:tcPr>
          <w:p>
            <w:pPr>
              <w:spacing w:after="0"/>
              <w:rPr>
                <w:sz w:val="2"/>
                <w:szCs w:val="2"/>
                <w:color w:val="auto"/>
              </w:rPr>
            </w:pPr>
          </w:p>
        </w:tc>
      </w:tr>
      <w:tr>
        <w:trPr>
          <w:trHeight w:val="254"/>
        </w:trPr>
        <w:tc>
          <w:tcPr>
            <w:tcW w:w="316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epay Australia Holdings Pty. Ltd.</w:t>
            </w:r>
          </w:p>
        </w:tc>
        <w:tc>
          <w:tcPr>
            <w:tcW w:w="2540" w:type="dxa"/>
            <w:vAlign w:val="bottom"/>
          </w:tcPr>
          <w:p>
            <w:pPr>
              <w:jc w:val="center"/>
              <w:spacing w:after="0"/>
              <w:rPr>
                <w:sz w:val="20"/>
                <w:szCs w:val="20"/>
                <w:color w:val="auto"/>
              </w:rPr>
            </w:pPr>
            <w:r>
              <w:rPr>
                <w:rFonts w:ascii="Arial" w:cs="Arial" w:eastAsia="Arial" w:hAnsi="Arial"/>
                <w:sz w:val="20"/>
                <w:szCs w:val="20"/>
                <w:color w:val="auto"/>
                <w:w w:val="89"/>
              </w:rPr>
              <w:t>98-0588229</w:t>
            </w:r>
          </w:p>
        </w:tc>
        <w:tc>
          <w:tcPr>
            <w:tcW w:w="20" w:type="dxa"/>
            <w:vAlign w:val="bottom"/>
            <w:shd w:val="clear" w:color="auto" w:fill="000000"/>
          </w:tcPr>
          <w:p>
            <w:pPr>
              <w:spacing w:after="0"/>
              <w:rPr>
                <w:sz w:val="22"/>
                <w:szCs w:val="22"/>
                <w:color w:val="auto"/>
              </w:rPr>
            </w:pPr>
          </w:p>
        </w:tc>
      </w:tr>
      <w:tr>
        <w:trPr>
          <w:trHeight w:val="23"/>
        </w:trPr>
        <w:tc>
          <w:tcPr>
            <w:tcW w:w="3160" w:type="dxa"/>
            <w:vAlign w:val="bottom"/>
            <w:tcBorders>
              <w:left w:val="single" w:sz="8" w:color="auto"/>
              <w:bottom w:val="single" w:sz="8" w:color="auto"/>
              <w:right w:val="single" w:sz="8" w:color="auto"/>
            </w:tcBorders>
          </w:tcPr>
          <w:p>
            <w:pPr>
              <w:spacing w:after="0"/>
              <w:rPr>
                <w:sz w:val="2"/>
                <w:szCs w:val="2"/>
                <w:color w:val="auto"/>
              </w:rPr>
            </w:pPr>
          </w:p>
        </w:tc>
        <w:tc>
          <w:tcPr>
            <w:tcW w:w="25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shd w:val="clear" w:color="auto" w:fill="000000"/>
          </w:tcPr>
          <w:p>
            <w:pPr>
              <w:spacing w:after="0"/>
              <w:rPr>
                <w:sz w:val="2"/>
                <w:szCs w:val="2"/>
                <w:color w:val="auto"/>
              </w:rPr>
            </w:pPr>
          </w:p>
        </w:tc>
      </w:tr>
      <w:tr>
        <w:trPr>
          <w:trHeight w:val="254"/>
        </w:trPr>
        <w:tc>
          <w:tcPr>
            <w:tcW w:w="316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Euronet Services India Pvt. Ltd.</w:t>
            </w:r>
          </w:p>
        </w:tc>
        <w:tc>
          <w:tcPr>
            <w:tcW w:w="2540" w:type="dxa"/>
            <w:vAlign w:val="bottom"/>
          </w:tcPr>
          <w:p>
            <w:pPr>
              <w:jc w:val="center"/>
              <w:spacing w:after="0"/>
              <w:rPr>
                <w:sz w:val="20"/>
                <w:szCs w:val="20"/>
                <w:color w:val="auto"/>
              </w:rPr>
            </w:pPr>
            <w:r>
              <w:rPr>
                <w:rFonts w:ascii="Arial" w:cs="Arial" w:eastAsia="Arial" w:hAnsi="Arial"/>
                <w:sz w:val="20"/>
                <w:szCs w:val="20"/>
                <w:color w:val="auto"/>
                <w:w w:val="89"/>
              </w:rPr>
              <w:t>98-1042731</w:t>
            </w:r>
          </w:p>
        </w:tc>
        <w:tc>
          <w:tcPr>
            <w:tcW w:w="20" w:type="dxa"/>
            <w:vAlign w:val="bottom"/>
            <w:shd w:val="clear" w:color="auto" w:fill="000000"/>
          </w:tcPr>
          <w:p>
            <w:pPr>
              <w:spacing w:after="0"/>
              <w:rPr>
                <w:sz w:val="22"/>
                <w:szCs w:val="22"/>
                <w:color w:val="auto"/>
              </w:rPr>
            </w:pPr>
          </w:p>
        </w:tc>
      </w:tr>
      <w:tr>
        <w:trPr>
          <w:trHeight w:val="23"/>
        </w:trPr>
        <w:tc>
          <w:tcPr>
            <w:tcW w:w="3160" w:type="dxa"/>
            <w:vAlign w:val="bottom"/>
            <w:tcBorders>
              <w:left w:val="single" w:sz="8" w:color="auto"/>
              <w:bottom w:val="single" w:sz="8" w:color="auto"/>
              <w:right w:val="single" w:sz="8" w:color="auto"/>
            </w:tcBorders>
          </w:tcPr>
          <w:p>
            <w:pPr>
              <w:spacing w:after="0"/>
              <w:rPr>
                <w:sz w:val="2"/>
                <w:szCs w:val="2"/>
                <w:color w:val="auto"/>
              </w:rPr>
            </w:pPr>
          </w:p>
        </w:tc>
        <w:tc>
          <w:tcPr>
            <w:tcW w:w="25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shd w:val="clear" w:color="auto" w:fill="000000"/>
          </w:tcPr>
          <w:p>
            <w:pPr>
              <w:spacing w:after="0"/>
              <w:rPr>
                <w:sz w:val="2"/>
                <w:szCs w:val="2"/>
                <w:color w:val="auto"/>
              </w:rPr>
            </w:pPr>
          </w:p>
        </w:tc>
      </w:tr>
      <w:tr>
        <w:trPr>
          <w:trHeight w:val="254"/>
        </w:trPr>
        <w:tc>
          <w:tcPr>
            <w:tcW w:w="316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Euronet Worldwide, Inc.</w:t>
            </w:r>
          </w:p>
        </w:tc>
        <w:tc>
          <w:tcPr>
            <w:tcW w:w="2540" w:type="dxa"/>
            <w:vAlign w:val="bottom"/>
          </w:tcPr>
          <w:p>
            <w:pPr>
              <w:jc w:val="center"/>
              <w:spacing w:after="0"/>
              <w:rPr>
                <w:sz w:val="20"/>
                <w:szCs w:val="20"/>
                <w:color w:val="auto"/>
              </w:rPr>
            </w:pPr>
            <w:r>
              <w:rPr>
                <w:rFonts w:ascii="Arial" w:cs="Arial" w:eastAsia="Arial" w:hAnsi="Arial"/>
                <w:sz w:val="20"/>
                <w:szCs w:val="20"/>
                <w:color w:val="auto"/>
                <w:w w:val="89"/>
              </w:rPr>
              <w:t>74-2806888</w:t>
            </w:r>
          </w:p>
        </w:tc>
        <w:tc>
          <w:tcPr>
            <w:tcW w:w="20" w:type="dxa"/>
            <w:vAlign w:val="bottom"/>
            <w:shd w:val="clear" w:color="auto" w:fill="000000"/>
          </w:tcPr>
          <w:p>
            <w:pPr>
              <w:spacing w:after="0"/>
              <w:rPr>
                <w:sz w:val="22"/>
                <w:szCs w:val="22"/>
                <w:color w:val="auto"/>
              </w:rPr>
            </w:pPr>
          </w:p>
        </w:tc>
      </w:tr>
      <w:tr>
        <w:trPr>
          <w:trHeight w:val="23"/>
        </w:trPr>
        <w:tc>
          <w:tcPr>
            <w:tcW w:w="3160" w:type="dxa"/>
            <w:vAlign w:val="bottom"/>
            <w:tcBorders>
              <w:left w:val="single" w:sz="8" w:color="auto"/>
              <w:bottom w:val="single" w:sz="8" w:color="auto"/>
              <w:right w:val="single" w:sz="8" w:color="auto"/>
            </w:tcBorders>
          </w:tcPr>
          <w:p>
            <w:pPr>
              <w:spacing w:after="0"/>
              <w:rPr>
                <w:sz w:val="2"/>
                <w:szCs w:val="2"/>
                <w:color w:val="auto"/>
              </w:rPr>
            </w:pPr>
          </w:p>
        </w:tc>
        <w:tc>
          <w:tcPr>
            <w:tcW w:w="25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shd w:val="clear" w:color="auto" w:fill="000000"/>
          </w:tcPr>
          <w:p>
            <w:pPr>
              <w:spacing w:after="0"/>
              <w:rPr>
                <w:sz w:val="2"/>
                <w:szCs w:val="2"/>
                <w:color w:val="auto"/>
              </w:rPr>
            </w:pPr>
          </w:p>
        </w:tc>
      </w:tr>
      <w:tr>
        <w:trPr>
          <w:trHeight w:val="254"/>
        </w:trPr>
        <w:tc>
          <w:tcPr>
            <w:tcW w:w="316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RIA Envia, Inc.</w:t>
            </w:r>
          </w:p>
        </w:tc>
        <w:tc>
          <w:tcPr>
            <w:tcW w:w="2540" w:type="dxa"/>
            <w:vAlign w:val="bottom"/>
          </w:tcPr>
          <w:p>
            <w:pPr>
              <w:jc w:val="center"/>
              <w:spacing w:after="0"/>
              <w:rPr>
                <w:sz w:val="20"/>
                <w:szCs w:val="20"/>
                <w:color w:val="auto"/>
              </w:rPr>
            </w:pPr>
            <w:r>
              <w:rPr>
                <w:rFonts w:ascii="Arial" w:cs="Arial" w:eastAsia="Arial" w:hAnsi="Arial"/>
                <w:sz w:val="20"/>
                <w:szCs w:val="20"/>
                <w:color w:val="auto"/>
                <w:w w:val="89"/>
              </w:rPr>
              <w:t>56-1241779</w:t>
            </w:r>
          </w:p>
        </w:tc>
        <w:tc>
          <w:tcPr>
            <w:tcW w:w="20" w:type="dxa"/>
            <w:vAlign w:val="bottom"/>
            <w:shd w:val="clear" w:color="auto" w:fill="000000"/>
          </w:tcPr>
          <w:p>
            <w:pPr>
              <w:spacing w:after="0"/>
              <w:rPr>
                <w:sz w:val="22"/>
                <w:szCs w:val="22"/>
                <w:color w:val="auto"/>
              </w:rPr>
            </w:pPr>
          </w:p>
        </w:tc>
      </w:tr>
      <w:tr>
        <w:trPr>
          <w:trHeight w:val="23"/>
        </w:trPr>
        <w:tc>
          <w:tcPr>
            <w:tcW w:w="3160" w:type="dxa"/>
            <w:vAlign w:val="bottom"/>
            <w:tcBorders>
              <w:left w:val="single" w:sz="8" w:color="auto"/>
              <w:bottom w:val="single" w:sz="8" w:color="auto"/>
              <w:right w:val="single" w:sz="8" w:color="auto"/>
            </w:tcBorders>
          </w:tcPr>
          <w:p>
            <w:pPr>
              <w:spacing w:after="0"/>
              <w:rPr>
                <w:sz w:val="2"/>
                <w:szCs w:val="2"/>
                <w:color w:val="auto"/>
              </w:rPr>
            </w:pPr>
          </w:p>
        </w:tc>
        <w:tc>
          <w:tcPr>
            <w:tcW w:w="25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shd w:val="clear" w:color="auto" w:fill="000000"/>
          </w:tcPr>
          <w:p>
            <w:pPr>
              <w:spacing w:after="0"/>
              <w:rPr>
                <w:sz w:val="2"/>
                <w:szCs w:val="2"/>
                <w:color w:val="auto"/>
              </w:rPr>
            </w:pPr>
          </w:p>
        </w:tc>
      </w:tr>
      <w:tr>
        <w:trPr>
          <w:trHeight w:val="254"/>
        </w:trPr>
        <w:tc>
          <w:tcPr>
            <w:tcW w:w="316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Ria Netherlands Holding B.V.</w:t>
            </w:r>
          </w:p>
        </w:tc>
        <w:tc>
          <w:tcPr>
            <w:tcW w:w="2540" w:type="dxa"/>
            <w:vAlign w:val="bottom"/>
          </w:tcPr>
          <w:p>
            <w:pPr>
              <w:jc w:val="center"/>
              <w:spacing w:after="0"/>
              <w:rPr>
                <w:sz w:val="20"/>
                <w:szCs w:val="20"/>
                <w:color w:val="auto"/>
              </w:rPr>
            </w:pPr>
            <w:r>
              <w:rPr>
                <w:rFonts w:ascii="Arial" w:cs="Arial" w:eastAsia="Arial" w:hAnsi="Arial"/>
                <w:sz w:val="20"/>
                <w:szCs w:val="20"/>
                <w:color w:val="auto"/>
                <w:w w:val="96"/>
              </w:rPr>
              <w:t>NONE</w:t>
            </w:r>
          </w:p>
        </w:tc>
        <w:tc>
          <w:tcPr>
            <w:tcW w:w="20" w:type="dxa"/>
            <w:vAlign w:val="bottom"/>
            <w:shd w:val="clear" w:color="auto" w:fill="000000"/>
          </w:tcPr>
          <w:p>
            <w:pPr>
              <w:spacing w:after="0"/>
              <w:rPr>
                <w:sz w:val="22"/>
                <w:szCs w:val="22"/>
                <w:color w:val="auto"/>
              </w:rPr>
            </w:pPr>
          </w:p>
        </w:tc>
      </w:tr>
      <w:tr>
        <w:trPr>
          <w:trHeight w:val="23"/>
        </w:trPr>
        <w:tc>
          <w:tcPr>
            <w:tcW w:w="3160" w:type="dxa"/>
            <w:vAlign w:val="bottom"/>
            <w:tcBorders>
              <w:left w:val="single" w:sz="8" w:color="auto"/>
              <w:bottom w:val="single" w:sz="8" w:color="auto"/>
              <w:right w:val="single" w:sz="8" w:color="auto"/>
            </w:tcBorders>
          </w:tcPr>
          <w:p>
            <w:pPr>
              <w:spacing w:after="0"/>
              <w:rPr>
                <w:sz w:val="2"/>
                <w:szCs w:val="2"/>
                <w:color w:val="auto"/>
              </w:rPr>
            </w:pPr>
          </w:p>
        </w:tc>
        <w:tc>
          <w:tcPr>
            <w:tcW w:w="25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shd w:val="clear" w:color="auto" w:fill="000000"/>
          </w:tcPr>
          <w:p>
            <w:pPr>
              <w:spacing w:after="0"/>
              <w:rPr>
                <w:sz w:val="2"/>
                <w:szCs w:val="2"/>
                <w:color w:val="auto"/>
              </w:rPr>
            </w:pPr>
          </w:p>
        </w:tc>
      </w:tr>
    </w:tbl>
    <w:p>
      <w:pPr>
        <w:sectPr>
          <w:pgSz w:w="11900" w:h="16838" w:orient="portrait"/>
          <w:cols w:equalWidth="0" w:num="1">
            <w:col w:w="10219"/>
          </w:cols>
          <w:pgMar w:left="240" w:top="535" w:right="1440" w:bottom="1440" w:gutter="0" w:footer="0" w:header="0"/>
        </w:sectPr>
      </w:pPr>
    </w:p>
    <w:bookmarkStart w:id="270" w:name="page271"/>
    <w:bookmarkEnd w:id="270"/>
    <w:p>
      <w:pPr>
        <w:jc w:val="center"/>
        <w:ind w:right="20"/>
        <w:spacing w:after="0"/>
        <w:rPr>
          <w:sz w:val="20"/>
          <w:szCs w:val="20"/>
          <w:color w:val="auto"/>
        </w:rPr>
      </w:pPr>
      <w:r>
        <w:rPr>
          <w:rFonts w:ascii="Arial" w:cs="Arial" w:eastAsia="Arial" w:hAnsi="Arial"/>
          <w:sz w:val="18"/>
          <w:szCs w:val="18"/>
          <w:b w:val="1"/>
          <w:bCs w:val="1"/>
          <w:u w:val="single" w:color="auto"/>
          <w:color w:val="auto"/>
        </w:rPr>
        <w:t>Schedule 8.01 - Existing Liens</w:t>
      </w:r>
    </w:p>
    <w:p>
      <w:pPr>
        <w:spacing w:after="0" w:line="3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0" w:type="dxa"/>
            <w:vAlign w:val="bottom"/>
            <w:tcBorders>
              <w:top w:val="single" w:sz="8" w:color="auto"/>
            </w:tcBorders>
            <w:shd w:val="clear" w:color="auto" w:fill="C0C0C0"/>
          </w:tcPr>
          <w:p>
            <w:pPr>
              <w:spacing w:after="0"/>
              <w:rPr>
                <w:sz w:val="20"/>
                <w:szCs w:val="20"/>
                <w:color w:val="auto"/>
              </w:rPr>
            </w:pPr>
          </w:p>
        </w:tc>
        <w:tc>
          <w:tcPr>
            <w:tcW w:w="2500" w:type="dxa"/>
            <w:vAlign w:val="bottom"/>
            <w:tcBorders>
              <w:top w:val="single" w:sz="8" w:color="auto"/>
            </w:tcBorders>
            <w:shd w:val="clear" w:color="auto" w:fill="C0C0C0"/>
          </w:tcPr>
          <w:p>
            <w:pPr>
              <w:spacing w:after="0"/>
              <w:rPr>
                <w:sz w:val="20"/>
                <w:szCs w:val="20"/>
                <w:color w:val="auto"/>
              </w:rPr>
            </w:pPr>
          </w:p>
        </w:tc>
        <w:tc>
          <w:tcPr>
            <w:tcW w:w="420" w:type="dxa"/>
            <w:vAlign w:val="bottom"/>
            <w:tcBorders>
              <w:top w:val="single" w:sz="8" w:color="auto"/>
            </w:tcBorders>
            <w:shd w:val="clear" w:color="auto" w:fill="C0C0C0"/>
          </w:tcPr>
          <w:p>
            <w:pPr>
              <w:spacing w:after="0"/>
              <w:rPr>
                <w:sz w:val="20"/>
                <w:szCs w:val="20"/>
                <w:color w:val="auto"/>
              </w:rPr>
            </w:pPr>
          </w:p>
        </w:tc>
        <w:tc>
          <w:tcPr>
            <w:tcW w:w="1480" w:type="dxa"/>
            <w:vAlign w:val="bottom"/>
            <w:tcBorders>
              <w:top w:val="single" w:sz="8" w:color="auto"/>
            </w:tcBorders>
            <w:shd w:val="clear" w:color="auto" w:fill="C0C0C0"/>
          </w:tcPr>
          <w:p>
            <w:pPr>
              <w:spacing w:after="0"/>
              <w:rPr>
                <w:sz w:val="20"/>
                <w:szCs w:val="20"/>
                <w:color w:val="auto"/>
              </w:rPr>
            </w:pPr>
          </w:p>
        </w:tc>
        <w:tc>
          <w:tcPr>
            <w:tcW w:w="1700" w:type="dxa"/>
            <w:vAlign w:val="bottom"/>
            <w:tcBorders>
              <w:top w:val="single" w:sz="8" w:color="auto"/>
            </w:tcBorders>
            <w:shd w:val="clear" w:color="auto" w:fill="C0C0C0"/>
          </w:tcPr>
          <w:p>
            <w:pPr>
              <w:spacing w:after="0"/>
              <w:rPr>
                <w:sz w:val="20"/>
                <w:szCs w:val="20"/>
                <w:color w:val="auto"/>
              </w:rPr>
            </w:pPr>
          </w:p>
        </w:tc>
        <w:tc>
          <w:tcPr>
            <w:tcW w:w="1840" w:type="dxa"/>
            <w:vAlign w:val="bottom"/>
            <w:tcBorders>
              <w:top w:val="single" w:sz="8" w:color="auto"/>
            </w:tcBorders>
            <w:shd w:val="clear" w:color="auto" w:fill="C0C0C0"/>
          </w:tcPr>
          <w:p>
            <w:pPr>
              <w:ind w:left="340"/>
              <w:spacing w:after="0"/>
              <w:rPr>
                <w:sz w:val="20"/>
                <w:szCs w:val="20"/>
                <w:color w:val="auto"/>
              </w:rPr>
            </w:pPr>
            <w:r>
              <w:rPr>
                <w:rFonts w:ascii="Arial" w:cs="Arial" w:eastAsia="Arial" w:hAnsi="Arial"/>
                <w:sz w:val="18"/>
                <w:szCs w:val="18"/>
                <w:b w:val="1"/>
                <w:bCs w:val="1"/>
                <w:color w:val="auto"/>
              </w:rPr>
              <w:t>Property Subject</w:t>
            </w:r>
          </w:p>
        </w:tc>
        <w:tc>
          <w:tcPr>
            <w:tcW w:w="2140" w:type="dxa"/>
            <w:vAlign w:val="bottom"/>
            <w:tcBorders>
              <w:top w:val="single" w:sz="8" w:color="auto"/>
            </w:tcBorders>
            <w:shd w:val="clear" w:color="auto" w:fill="C0C0C0"/>
          </w:tcPr>
          <w:p>
            <w:pPr>
              <w:jc w:val="right"/>
              <w:ind w:right="538"/>
              <w:spacing w:after="0"/>
              <w:rPr>
                <w:sz w:val="20"/>
                <w:szCs w:val="20"/>
                <w:color w:val="auto"/>
              </w:rPr>
            </w:pPr>
            <w:r>
              <w:rPr>
                <w:rFonts w:ascii="Arial" w:cs="Arial" w:eastAsia="Arial" w:hAnsi="Arial"/>
                <w:sz w:val="18"/>
                <w:szCs w:val="18"/>
                <w:b w:val="1"/>
                <w:bCs w:val="1"/>
                <w:color w:val="auto"/>
              </w:rPr>
              <w:t>Amount Secured</w:t>
            </w:r>
          </w:p>
        </w:tc>
        <w:tc>
          <w:tcPr>
            <w:tcW w:w="1300" w:type="dxa"/>
            <w:vAlign w:val="bottom"/>
            <w:tcBorders>
              <w:top w:val="single" w:sz="8" w:color="auto"/>
            </w:tcBorders>
            <w:shd w:val="clear" w:color="auto" w:fill="C0C0C0"/>
          </w:tcPr>
          <w:p>
            <w:pPr>
              <w:spacing w:after="0"/>
              <w:rPr>
                <w:sz w:val="20"/>
                <w:szCs w:val="20"/>
                <w:color w:val="auto"/>
              </w:rPr>
            </w:pPr>
          </w:p>
        </w:tc>
      </w:tr>
      <w:tr>
        <w:trPr>
          <w:trHeight w:val="266"/>
        </w:trPr>
        <w:tc>
          <w:tcPr>
            <w:tcW w:w="20" w:type="dxa"/>
            <w:vAlign w:val="bottom"/>
            <w:tcBorders>
              <w:bottom w:val="single" w:sz="8" w:color="C0C0C0"/>
            </w:tcBorders>
            <w:shd w:val="clear" w:color="auto" w:fill="C0C0C0"/>
          </w:tcPr>
          <w:p>
            <w:pPr>
              <w:spacing w:after="0"/>
              <w:rPr>
                <w:sz w:val="22"/>
                <w:szCs w:val="22"/>
                <w:color w:val="auto"/>
              </w:rPr>
            </w:pPr>
          </w:p>
        </w:tc>
        <w:tc>
          <w:tcPr>
            <w:tcW w:w="2920" w:type="dxa"/>
            <w:vAlign w:val="bottom"/>
            <w:tcBorders>
              <w:bottom w:val="single" w:sz="8" w:color="C0C0C0"/>
            </w:tcBorders>
            <w:gridSpan w:val="2"/>
            <w:shd w:val="clear" w:color="auto" w:fill="C0C0C0"/>
          </w:tcPr>
          <w:p>
            <w:pPr>
              <w:spacing w:after="0"/>
              <w:rPr>
                <w:sz w:val="20"/>
                <w:szCs w:val="20"/>
                <w:color w:val="auto"/>
              </w:rPr>
            </w:pPr>
            <w:r>
              <w:rPr>
                <w:rFonts w:ascii="Arial" w:cs="Arial" w:eastAsia="Arial" w:hAnsi="Arial"/>
                <w:sz w:val="18"/>
                <w:szCs w:val="18"/>
                <w:b w:val="1"/>
                <w:bCs w:val="1"/>
                <w:color w:val="auto"/>
              </w:rPr>
              <w:t>Debtor Name</w:t>
            </w:r>
          </w:p>
        </w:tc>
        <w:tc>
          <w:tcPr>
            <w:tcW w:w="1480" w:type="dxa"/>
            <w:vAlign w:val="bottom"/>
            <w:tcBorders>
              <w:bottom w:val="single" w:sz="8" w:color="C0C0C0"/>
            </w:tcBorders>
            <w:shd w:val="clear" w:color="auto" w:fill="C0C0C0"/>
          </w:tcPr>
          <w:p>
            <w:pPr>
              <w:ind w:left="100"/>
              <w:spacing w:after="0"/>
              <w:rPr>
                <w:sz w:val="20"/>
                <w:szCs w:val="20"/>
                <w:color w:val="auto"/>
              </w:rPr>
            </w:pPr>
            <w:r>
              <w:rPr>
                <w:rFonts w:ascii="Arial" w:cs="Arial" w:eastAsia="Arial" w:hAnsi="Arial"/>
                <w:sz w:val="18"/>
                <w:szCs w:val="18"/>
                <w:b w:val="1"/>
                <w:bCs w:val="1"/>
                <w:color w:val="auto"/>
              </w:rPr>
              <w:t>Creditor Name</w:t>
            </w:r>
          </w:p>
        </w:tc>
        <w:tc>
          <w:tcPr>
            <w:tcW w:w="1700" w:type="dxa"/>
            <w:vAlign w:val="bottom"/>
            <w:tcBorders>
              <w:bottom w:val="single" w:sz="8" w:color="C0C0C0"/>
            </w:tcBorders>
            <w:shd w:val="clear" w:color="auto" w:fill="C0C0C0"/>
          </w:tcPr>
          <w:p>
            <w:pPr>
              <w:ind w:left="80"/>
              <w:spacing w:after="0"/>
              <w:rPr>
                <w:sz w:val="20"/>
                <w:szCs w:val="20"/>
                <w:color w:val="auto"/>
              </w:rPr>
            </w:pPr>
            <w:r>
              <w:rPr>
                <w:rFonts w:ascii="Arial" w:cs="Arial" w:eastAsia="Arial" w:hAnsi="Arial"/>
                <w:sz w:val="18"/>
                <w:szCs w:val="18"/>
                <w:b w:val="1"/>
                <w:bCs w:val="1"/>
                <w:color w:val="auto"/>
              </w:rPr>
              <w:t>Type of Credit</w:t>
            </w:r>
          </w:p>
        </w:tc>
        <w:tc>
          <w:tcPr>
            <w:tcW w:w="1840" w:type="dxa"/>
            <w:vAlign w:val="bottom"/>
            <w:tcBorders>
              <w:bottom w:val="single" w:sz="8" w:color="C0C0C0"/>
            </w:tcBorders>
            <w:shd w:val="clear" w:color="auto" w:fill="C0C0C0"/>
          </w:tcPr>
          <w:p>
            <w:pPr>
              <w:ind w:left="340"/>
              <w:spacing w:after="0"/>
              <w:rPr>
                <w:sz w:val="20"/>
                <w:szCs w:val="20"/>
                <w:color w:val="auto"/>
              </w:rPr>
            </w:pPr>
            <w:r>
              <w:rPr>
                <w:rFonts w:ascii="Arial" w:cs="Arial" w:eastAsia="Arial" w:hAnsi="Arial"/>
                <w:sz w:val="18"/>
                <w:szCs w:val="18"/>
                <w:b w:val="1"/>
                <w:bCs w:val="1"/>
                <w:color w:val="auto"/>
              </w:rPr>
              <w:t>to Lien</w:t>
            </w:r>
          </w:p>
        </w:tc>
        <w:tc>
          <w:tcPr>
            <w:tcW w:w="3440" w:type="dxa"/>
            <w:vAlign w:val="bottom"/>
            <w:tcBorders>
              <w:bottom w:val="single" w:sz="8" w:color="C0C0C0"/>
            </w:tcBorders>
            <w:gridSpan w:val="2"/>
            <w:shd w:val="clear" w:color="auto" w:fill="C0C0C0"/>
          </w:tcPr>
          <w:p>
            <w:pPr>
              <w:jc w:val="right"/>
              <w:spacing w:after="0"/>
              <w:rPr>
                <w:sz w:val="20"/>
                <w:szCs w:val="20"/>
                <w:color w:val="auto"/>
              </w:rPr>
            </w:pPr>
            <w:r>
              <w:rPr>
                <w:rFonts w:ascii="Arial" w:cs="Arial" w:eastAsia="Arial" w:hAnsi="Arial"/>
                <w:sz w:val="18"/>
                <w:szCs w:val="18"/>
                <w:b w:val="1"/>
                <w:bCs w:val="1"/>
                <w:color w:val="auto"/>
                <w:w w:val="97"/>
              </w:rPr>
              <w:t>(Local Currency) Amount Secured (USD)</w:t>
            </w:r>
          </w:p>
        </w:tc>
      </w:tr>
      <w:tr>
        <w:trPr>
          <w:trHeight w:val="196"/>
        </w:trPr>
        <w:tc>
          <w:tcPr>
            <w:tcW w:w="20" w:type="dxa"/>
            <w:vAlign w:val="bottom"/>
            <w:tcBorders>
              <w:top w:val="single" w:sz="8" w:color="auto"/>
            </w:tcBorders>
          </w:tcPr>
          <w:p>
            <w:pPr>
              <w:spacing w:after="0"/>
              <w:rPr>
                <w:sz w:val="17"/>
                <w:szCs w:val="17"/>
                <w:color w:val="auto"/>
              </w:rPr>
            </w:pPr>
          </w:p>
        </w:tc>
        <w:tc>
          <w:tcPr>
            <w:tcW w:w="2920" w:type="dxa"/>
            <w:vAlign w:val="bottom"/>
            <w:tcBorders>
              <w:top w:val="single" w:sz="8" w:color="auto"/>
            </w:tcBorders>
            <w:gridSpan w:val="2"/>
          </w:tcPr>
          <w:p>
            <w:pPr>
              <w:spacing w:after="0" w:line="196" w:lineRule="exact"/>
              <w:rPr>
                <w:sz w:val="20"/>
                <w:szCs w:val="20"/>
                <w:color w:val="auto"/>
              </w:rPr>
            </w:pPr>
            <w:r>
              <w:rPr>
                <w:rFonts w:ascii="Arial" w:cs="Arial" w:eastAsia="Arial" w:hAnsi="Arial"/>
                <w:sz w:val="18"/>
                <w:szCs w:val="18"/>
                <w:b w:val="1"/>
                <w:bCs w:val="1"/>
                <w:i w:val="1"/>
                <w:iCs w:val="1"/>
                <w:color w:val="auto"/>
              </w:rPr>
              <w:t>Bank Guarantee Cash Collateral:</w:t>
            </w:r>
          </w:p>
        </w:tc>
        <w:tc>
          <w:tcPr>
            <w:tcW w:w="1480" w:type="dxa"/>
            <w:vAlign w:val="bottom"/>
            <w:tcBorders>
              <w:top w:val="single" w:sz="8" w:color="auto"/>
            </w:tcBorders>
          </w:tcPr>
          <w:p>
            <w:pPr>
              <w:spacing w:after="0"/>
              <w:rPr>
                <w:sz w:val="17"/>
                <w:szCs w:val="17"/>
                <w:color w:val="auto"/>
              </w:rPr>
            </w:pPr>
          </w:p>
        </w:tc>
        <w:tc>
          <w:tcPr>
            <w:tcW w:w="1700" w:type="dxa"/>
            <w:vAlign w:val="bottom"/>
            <w:tcBorders>
              <w:top w:val="single" w:sz="8" w:color="auto"/>
            </w:tcBorders>
          </w:tcPr>
          <w:p>
            <w:pPr>
              <w:spacing w:after="0"/>
              <w:rPr>
                <w:sz w:val="17"/>
                <w:szCs w:val="17"/>
                <w:color w:val="auto"/>
              </w:rPr>
            </w:pPr>
          </w:p>
        </w:tc>
        <w:tc>
          <w:tcPr>
            <w:tcW w:w="1840" w:type="dxa"/>
            <w:vAlign w:val="bottom"/>
            <w:tcBorders>
              <w:top w:val="single" w:sz="8" w:color="auto"/>
            </w:tcBorders>
          </w:tcPr>
          <w:p>
            <w:pPr>
              <w:spacing w:after="0"/>
              <w:rPr>
                <w:sz w:val="17"/>
                <w:szCs w:val="17"/>
                <w:color w:val="auto"/>
              </w:rPr>
            </w:pPr>
          </w:p>
        </w:tc>
        <w:tc>
          <w:tcPr>
            <w:tcW w:w="2140" w:type="dxa"/>
            <w:vAlign w:val="bottom"/>
            <w:tcBorders>
              <w:top w:val="single" w:sz="8" w:color="auto"/>
            </w:tcBorders>
          </w:tcPr>
          <w:p>
            <w:pPr>
              <w:spacing w:after="0"/>
              <w:rPr>
                <w:sz w:val="17"/>
                <w:szCs w:val="17"/>
                <w:color w:val="auto"/>
              </w:rPr>
            </w:pPr>
          </w:p>
        </w:tc>
        <w:tc>
          <w:tcPr>
            <w:tcW w:w="1300" w:type="dxa"/>
            <w:vAlign w:val="bottom"/>
            <w:tcBorders>
              <w:top w:val="single" w:sz="8" w:color="auto"/>
            </w:tcBorders>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250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r>
      <w:tr>
        <w:trPr>
          <w:trHeight w:val="767"/>
        </w:trPr>
        <w:tc>
          <w:tcPr>
            <w:tcW w:w="20" w:type="dxa"/>
            <w:vAlign w:val="bottom"/>
          </w:tcPr>
          <w:p>
            <w:pPr>
              <w:spacing w:after="0"/>
              <w:rPr>
                <w:sz w:val="24"/>
                <w:szCs w:val="24"/>
                <w:color w:val="auto"/>
              </w:rPr>
            </w:pPr>
          </w:p>
        </w:tc>
        <w:tc>
          <w:tcPr>
            <w:tcW w:w="2920" w:type="dxa"/>
            <w:vAlign w:val="bottom"/>
            <w:gridSpan w:val="2"/>
          </w:tcPr>
          <w:p>
            <w:pPr>
              <w:spacing w:after="0"/>
              <w:rPr>
                <w:sz w:val="20"/>
                <w:szCs w:val="20"/>
                <w:color w:val="auto"/>
              </w:rPr>
            </w:pPr>
            <w:r>
              <w:rPr>
                <w:rFonts w:ascii="Arial" w:cs="Arial" w:eastAsia="Arial" w:hAnsi="Arial"/>
                <w:sz w:val="16"/>
                <w:szCs w:val="16"/>
                <w:color w:val="auto"/>
              </w:rPr>
              <w:t>transact Elektronische Zahlungssysteme</w:t>
            </w:r>
          </w:p>
        </w:tc>
        <w:tc>
          <w:tcPr>
            <w:tcW w:w="148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214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206"/>
        </w:trPr>
        <w:tc>
          <w:tcPr>
            <w:tcW w:w="20" w:type="dxa"/>
            <w:vAlign w:val="bottom"/>
          </w:tcPr>
          <w:p>
            <w:pPr>
              <w:spacing w:after="0"/>
              <w:rPr>
                <w:sz w:val="17"/>
                <w:szCs w:val="17"/>
                <w:color w:val="auto"/>
              </w:rPr>
            </w:pPr>
          </w:p>
        </w:tc>
        <w:tc>
          <w:tcPr>
            <w:tcW w:w="2920" w:type="dxa"/>
            <w:vAlign w:val="bottom"/>
            <w:gridSpan w:val="2"/>
          </w:tcPr>
          <w:p>
            <w:pPr>
              <w:spacing w:after="0"/>
              <w:rPr>
                <w:sz w:val="20"/>
                <w:szCs w:val="20"/>
                <w:color w:val="auto"/>
              </w:rPr>
            </w:pPr>
            <w:r>
              <w:rPr>
                <w:rFonts w:ascii="Arial" w:cs="Arial" w:eastAsia="Arial" w:hAnsi="Arial"/>
                <w:sz w:val="16"/>
                <w:szCs w:val="16"/>
                <w:color w:val="auto"/>
              </w:rPr>
              <w:t>GmbH</w:t>
            </w:r>
          </w:p>
        </w:tc>
        <w:tc>
          <w:tcPr>
            <w:tcW w:w="1480" w:type="dxa"/>
            <w:vAlign w:val="bottom"/>
          </w:tcPr>
          <w:p>
            <w:pPr>
              <w:ind w:left="100"/>
              <w:spacing w:after="0"/>
              <w:rPr>
                <w:sz w:val="20"/>
                <w:szCs w:val="20"/>
                <w:color w:val="auto"/>
              </w:rPr>
            </w:pPr>
            <w:r>
              <w:rPr>
                <w:rFonts w:ascii="Arial" w:cs="Arial" w:eastAsia="Arial" w:hAnsi="Arial"/>
                <w:sz w:val="16"/>
                <w:szCs w:val="16"/>
                <w:color w:val="auto"/>
              </w:rPr>
              <w:t>Commerzbank</w:t>
            </w:r>
          </w:p>
        </w:tc>
        <w:tc>
          <w:tcPr>
            <w:tcW w:w="1700" w:type="dxa"/>
            <w:vAlign w:val="bottom"/>
          </w:tcPr>
          <w:p>
            <w:pPr>
              <w:ind w:left="80"/>
              <w:spacing w:after="0"/>
              <w:rPr>
                <w:sz w:val="20"/>
                <w:szCs w:val="20"/>
                <w:color w:val="auto"/>
              </w:rPr>
            </w:pPr>
            <w:r>
              <w:rPr>
                <w:rFonts w:ascii="Arial" w:cs="Arial" w:eastAsia="Arial" w:hAnsi="Arial"/>
                <w:sz w:val="16"/>
                <w:szCs w:val="16"/>
                <w:color w:val="auto"/>
              </w:rPr>
              <w:t>Bank Guarantee/LC</w:t>
            </w:r>
          </w:p>
        </w:tc>
        <w:tc>
          <w:tcPr>
            <w:tcW w:w="1840" w:type="dxa"/>
            <w:vAlign w:val="bottom"/>
          </w:tcPr>
          <w:p>
            <w:pPr>
              <w:ind w:left="340"/>
              <w:spacing w:after="0"/>
              <w:rPr>
                <w:sz w:val="20"/>
                <w:szCs w:val="20"/>
                <w:color w:val="auto"/>
              </w:rPr>
            </w:pPr>
            <w:r>
              <w:rPr>
                <w:rFonts w:ascii="Arial" w:cs="Arial" w:eastAsia="Arial" w:hAnsi="Arial"/>
                <w:sz w:val="16"/>
                <w:szCs w:val="16"/>
                <w:color w:val="auto"/>
              </w:rPr>
              <w:t>Cash Collateral</w:t>
            </w:r>
          </w:p>
        </w:tc>
        <w:tc>
          <w:tcPr>
            <w:tcW w:w="2140" w:type="dxa"/>
            <w:vAlign w:val="bottom"/>
          </w:tcPr>
          <w:p>
            <w:pPr>
              <w:jc w:val="right"/>
              <w:ind w:right="538"/>
              <w:spacing w:after="0"/>
              <w:rPr>
                <w:sz w:val="20"/>
                <w:szCs w:val="20"/>
                <w:color w:val="auto"/>
              </w:rPr>
            </w:pPr>
            <w:r>
              <w:rPr>
                <w:rFonts w:ascii="Arial" w:cs="Arial" w:eastAsia="Arial" w:hAnsi="Arial"/>
                <w:sz w:val="16"/>
                <w:szCs w:val="16"/>
                <w:color w:val="auto"/>
              </w:rPr>
              <w:t>EUR 28,000</w:t>
            </w:r>
          </w:p>
        </w:tc>
        <w:tc>
          <w:tcPr>
            <w:tcW w:w="1300" w:type="dxa"/>
            <w:vAlign w:val="bottom"/>
          </w:tcPr>
          <w:p>
            <w:pPr>
              <w:jc w:val="right"/>
              <w:spacing w:after="0"/>
              <w:rPr>
                <w:sz w:val="20"/>
                <w:szCs w:val="20"/>
                <w:color w:val="auto"/>
              </w:rPr>
            </w:pPr>
            <w:r>
              <w:rPr>
                <w:rFonts w:ascii="Arial" w:cs="Arial" w:eastAsia="Arial" w:hAnsi="Arial"/>
                <w:sz w:val="16"/>
                <w:szCs w:val="16"/>
                <w:color w:val="auto"/>
              </w:rPr>
              <w:t>37,836</w:t>
            </w:r>
          </w:p>
        </w:tc>
      </w:tr>
      <w:tr>
        <w:trPr>
          <w:trHeight w:val="253"/>
        </w:trPr>
        <w:tc>
          <w:tcPr>
            <w:tcW w:w="20" w:type="dxa"/>
            <w:vAlign w:val="bottom"/>
          </w:tcPr>
          <w:p>
            <w:pPr>
              <w:spacing w:after="0"/>
              <w:rPr>
                <w:sz w:val="21"/>
                <w:szCs w:val="21"/>
                <w:color w:val="auto"/>
              </w:rPr>
            </w:pPr>
          </w:p>
        </w:tc>
        <w:tc>
          <w:tcPr>
            <w:tcW w:w="2920" w:type="dxa"/>
            <w:vAlign w:val="bottom"/>
            <w:gridSpan w:val="2"/>
          </w:tcPr>
          <w:p>
            <w:pPr>
              <w:spacing w:after="0"/>
              <w:rPr>
                <w:sz w:val="20"/>
                <w:szCs w:val="20"/>
                <w:color w:val="auto"/>
              </w:rPr>
            </w:pPr>
            <w:r>
              <w:rPr>
                <w:rFonts w:ascii="Arial" w:cs="Arial" w:eastAsia="Arial" w:hAnsi="Arial"/>
                <w:sz w:val="16"/>
                <w:szCs w:val="16"/>
                <w:color w:val="auto"/>
              </w:rPr>
              <w:t>transact Elektronische Zahlungssysteme</w:t>
            </w:r>
          </w:p>
        </w:tc>
        <w:tc>
          <w:tcPr>
            <w:tcW w:w="1480" w:type="dxa"/>
            <w:vAlign w:val="bottom"/>
          </w:tcPr>
          <w:p>
            <w:pPr>
              <w:spacing w:after="0"/>
              <w:rPr>
                <w:sz w:val="21"/>
                <w:szCs w:val="21"/>
                <w:color w:val="auto"/>
              </w:rPr>
            </w:pPr>
          </w:p>
        </w:tc>
        <w:tc>
          <w:tcPr>
            <w:tcW w:w="1700" w:type="dxa"/>
            <w:vAlign w:val="bottom"/>
          </w:tcPr>
          <w:p>
            <w:pPr>
              <w:spacing w:after="0"/>
              <w:rPr>
                <w:sz w:val="21"/>
                <w:szCs w:val="21"/>
                <w:color w:val="auto"/>
              </w:rPr>
            </w:pPr>
          </w:p>
        </w:tc>
        <w:tc>
          <w:tcPr>
            <w:tcW w:w="1840" w:type="dxa"/>
            <w:vAlign w:val="bottom"/>
          </w:tcPr>
          <w:p>
            <w:pPr>
              <w:spacing w:after="0"/>
              <w:rPr>
                <w:sz w:val="21"/>
                <w:szCs w:val="21"/>
                <w:color w:val="auto"/>
              </w:rPr>
            </w:pPr>
          </w:p>
        </w:tc>
        <w:tc>
          <w:tcPr>
            <w:tcW w:w="2140" w:type="dxa"/>
            <w:vAlign w:val="bottom"/>
          </w:tcPr>
          <w:p>
            <w:pPr>
              <w:spacing w:after="0"/>
              <w:rPr>
                <w:sz w:val="21"/>
                <w:szCs w:val="21"/>
                <w:color w:val="auto"/>
              </w:rPr>
            </w:pPr>
          </w:p>
        </w:tc>
        <w:tc>
          <w:tcPr>
            <w:tcW w:w="1300" w:type="dxa"/>
            <w:vAlign w:val="bottom"/>
          </w:tcPr>
          <w:p>
            <w:pPr>
              <w:spacing w:after="0"/>
              <w:rPr>
                <w:sz w:val="21"/>
                <w:szCs w:val="21"/>
                <w:color w:val="auto"/>
              </w:rPr>
            </w:pPr>
          </w:p>
        </w:tc>
      </w:tr>
      <w:tr>
        <w:trPr>
          <w:trHeight w:val="206"/>
        </w:trPr>
        <w:tc>
          <w:tcPr>
            <w:tcW w:w="20" w:type="dxa"/>
            <w:vAlign w:val="bottom"/>
          </w:tcPr>
          <w:p>
            <w:pPr>
              <w:spacing w:after="0"/>
              <w:rPr>
                <w:sz w:val="17"/>
                <w:szCs w:val="17"/>
                <w:color w:val="auto"/>
              </w:rPr>
            </w:pPr>
          </w:p>
        </w:tc>
        <w:tc>
          <w:tcPr>
            <w:tcW w:w="2920" w:type="dxa"/>
            <w:vAlign w:val="bottom"/>
            <w:gridSpan w:val="2"/>
          </w:tcPr>
          <w:p>
            <w:pPr>
              <w:spacing w:after="0"/>
              <w:rPr>
                <w:sz w:val="20"/>
                <w:szCs w:val="20"/>
                <w:color w:val="auto"/>
              </w:rPr>
            </w:pPr>
            <w:r>
              <w:rPr>
                <w:rFonts w:ascii="Arial" w:cs="Arial" w:eastAsia="Arial" w:hAnsi="Arial"/>
                <w:sz w:val="16"/>
                <w:szCs w:val="16"/>
                <w:color w:val="auto"/>
              </w:rPr>
              <w:t>GmbH</w:t>
            </w:r>
          </w:p>
        </w:tc>
        <w:tc>
          <w:tcPr>
            <w:tcW w:w="1480" w:type="dxa"/>
            <w:vAlign w:val="bottom"/>
          </w:tcPr>
          <w:p>
            <w:pPr>
              <w:ind w:left="100"/>
              <w:spacing w:after="0"/>
              <w:rPr>
                <w:sz w:val="20"/>
                <w:szCs w:val="20"/>
                <w:color w:val="auto"/>
              </w:rPr>
            </w:pPr>
            <w:r>
              <w:rPr>
                <w:rFonts w:ascii="Arial" w:cs="Arial" w:eastAsia="Arial" w:hAnsi="Arial"/>
                <w:sz w:val="16"/>
                <w:szCs w:val="16"/>
                <w:color w:val="auto"/>
              </w:rPr>
              <w:t>Commerzbank</w:t>
            </w:r>
          </w:p>
        </w:tc>
        <w:tc>
          <w:tcPr>
            <w:tcW w:w="1700" w:type="dxa"/>
            <w:vAlign w:val="bottom"/>
          </w:tcPr>
          <w:p>
            <w:pPr>
              <w:ind w:left="80"/>
              <w:spacing w:after="0"/>
              <w:rPr>
                <w:sz w:val="20"/>
                <w:szCs w:val="20"/>
                <w:color w:val="auto"/>
              </w:rPr>
            </w:pPr>
            <w:r>
              <w:rPr>
                <w:rFonts w:ascii="Arial" w:cs="Arial" w:eastAsia="Arial" w:hAnsi="Arial"/>
                <w:sz w:val="16"/>
                <w:szCs w:val="16"/>
                <w:color w:val="auto"/>
              </w:rPr>
              <w:t>Bank Guarantee/LC</w:t>
            </w:r>
          </w:p>
        </w:tc>
        <w:tc>
          <w:tcPr>
            <w:tcW w:w="1840" w:type="dxa"/>
            <w:vAlign w:val="bottom"/>
          </w:tcPr>
          <w:p>
            <w:pPr>
              <w:ind w:left="340"/>
              <w:spacing w:after="0"/>
              <w:rPr>
                <w:sz w:val="20"/>
                <w:szCs w:val="20"/>
                <w:color w:val="auto"/>
              </w:rPr>
            </w:pPr>
            <w:r>
              <w:rPr>
                <w:rFonts w:ascii="Arial" w:cs="Arial" w:eastAsia="Arial" w:hAnsi="Arial"/>
                <w:sz w:val="16"/>
                <w:szCs w:val="16"/>
                <w:color w:val="auto"/>
              </w:rPr>
              <w:t>Cash Collateral</w:t>
            </w:r>
          </w:p>
        </w:tc>
        <w:tc>
          <w:tcPr>
            <w:tcW w:w="2140" w:type="dxa"/>
            <w:vAlign w:val="bottom"/>
          </w:tcPr>
          <w:p>
            <w:pPr>
              <w:jc w:val="right"/>
              <w:ind w:right="538"/>
              <w:spacing w:after="0"/>
              <w:rPr>
                <w:sz w:val="20"/>
                <w:szCs w:val="20"/>
                <w:color w:val="auto"/>
              </w:rPr>
            </w:pPr>
            <w:r>
              <w:rPr>
                <w:rFonts w:ascii="Arial" w:cs="Arial" w:eastAsia="Arial" w:hAnsi="Arial"/>
                <w:sz w:val="16"/>
                <w:szCs w:val="16"/>
                <w:color w:val="auto"/>
              </w:rPr>
              <w:t>EUR 249,158</w:t>
            </w:r>
          </w:p>
        </w:tc>
        <w:tc>
          <w:tcPr>
            <w:tcW w:w="1300" w:type="dxa"/>
            <w:vAlign w:val="bottom"/>
          </w:tcPr>
          <w:p>
            <w:pPr>
              <w:jc w:val="right"/>
              <w:spacing w:after="0"/>
              <w:rPr>
                <w:sz w:val="20"/>
                <w:szCs w:val="20"/>
                <w:color w:val="auto"/>
              </w:rPr>
            </w:pPr>
            <w:r>
              <w:rPr>
                <w:rFonts w:ascii="Arial" w:cs="Arial" w:eastAsia="Arial" w:hAnsi="Arial"/>
                <w:sz w:val="16"/>
                <w:szCs w:val="16"/>
                <w:color w:val="auto"/>
              </w:rPr>
              <w:t>336,687</w:t>
            </w:r>
          </w:p>
        </w:tc>
      </w:tr>
      <w:tr>
        <w:trPr>
          <w:trHeight w:val="253"/>
        </w:trPr>
        <w:tc>
          <w:tcPr>
            <w:tcW w:w="20" w:type="dxa"/>
            <w:vAlign w:val="bottom"/>
          </w:tcPr>
          <w:p>
            <w:pPr>
              <w:spacing w:after="0"/>
              <w:rPr>
                <w:sz w:val="21"/>
                <w:szCs w:val="21"/>
                <w:color w:val="auto"/>
              </w:rPr>
            </w:pPr>
          </w:p>
        </w:tc>
        <w:tc>
          <w:tcPr>
            <w:tcW w:w="2920" w:type="dxa"/>
            <w:vAlign w:val="bottom"/>
            <w:gridSpan w:val="2"/>
          </w:tcPr>
          <w:p>
            <w:pPr>
              <w:spacing w:after="0"/>
              <w:rPr>
                <w:sz w:val="20"/>
                <w:szCs w:val="20"/>
                <w:color w:val="auto"/>
              </w:rPr>
            </w:pPr>
            <w:r>
              <w:rPr>
                <w:rFonts w:ascii="Arial" w:cs="Arial" w:eastAsia="Arial" w:hAnsi="Arial"/>
                <w:sz w:val="16"/>
                <w:szCs w:val="16"/>
                <w:color w:val="auto"/>
              </w:rPr>
              <w:t>transact Elektronische Zahlungssysteme</w:t>
            </w:r>
          </w:p>
        </w:tc>
        <w:tc>
          <w:tcPr>
            <w:tcW w:w="1480" w:type="dxa"/>
            <w:vAlign w:val="bottom"/>
          </w:tcPr>
          <w:p>
            <w:pPr>
              <w:spacing w:after="0"/>
              <w:rPr>
                <w:sz w:val="21"/>
                <w:szCs w:val="21"/>
                <w:color w:val="auto"/>
              </w:rPr>
            </w:pPr>
          </w:p>
        </w:tc>
        <w:tc>
          <w:tcPr>
            <w:tcW w:w="1700" w:type="dxa"/>
            <w:vAlign w:val="bottom"/>
          </w:tcPr>
          <w:p>
            <w:pPr>
              <w:spacing w:after="0"/>
              <w:rPr>
                <w:sz w:val="21"/>
                <w:szCs w:val="21"/>
                <w:color w:val="auto"/>
              </w:rPr>
            </w:pPr>
          </w:p>
        </w:tc>
        <w:tc>
          <w:tcPr>
            <w:tcW w:w="1840" w:type="dxa"/>
            <w:vAlign w:val="bottom"/>
          </w:tcPr>
          <w:p>
            <w:pPr>
              <w:spacing w:after="0"/>
              <w:rPr>
                <w:sz w:val="21"/>
                <w:szCs w:val="21"/>
                <w:color w:val="auto"/>
              </w:rPr>
            </w:pPr>
          </w:p>
        </w:tc>
        <w:tc>
          <w:tcPr>
            <w:tcW w:w="2140" w:type="dxa"/>
            <w:vAlign w:val="bottom"/>
          </w:tcPr>
          <w:p>
            <w:pPr>
              <w:spacing w:after="0"/>
              <w:rPr>
                <w:sz w:val="21"/>
                <w:szCs w:val="21"/>
                <w:color w:val="auto"/>
              </w:rPr>
            </w:pPr>
          </w:p>
        </w:tc>
        <w:tc>
          <w:tcPr>
            <w:tcW w:w="1300" w:type="dxa"/>
            <w:vAlign w:val="bottom"/>
          </w:tcPr>
          <w:p>
            <w:pPr>
              <w:spacing w:after="0"/>
              <w:rPr>
                <w:sz w:val="21"/>
                <w:szCs w:val="21"/>
                <w:color w:val="auto"/>
              </w:rPr>
            </w:pPr>
          </w:p>
        </w:tc>
      </w:tr>
      <w:tr>
        <w:trPr>
          <w:trHeight w:val="206"/>
        </w:trPr>
        <w:tc>
          <w:tcPr>
            <w:tcW w:w="20" w:type="dxa"/>
            <w:vAlign w:val="bottom"/>
          </w:tcPr>
          <w:p>
            <w:pPr>
              <w:spacing w:after="0"/>
              <w:rPr>
                <w:sz w:val="17"/>
                <w:szCs w:val="17"/>
                <w:color w:val="auto"/>
              </w:rPr>
            </w:pPr>
          </w:p>
        </w:tc>
        <w:tc>
          <w:tcPr>
            <w:tcW w:w="2920" w:type="dxa"/>
            <w:vAlign w:val="bottom"/>
            <w:gridSpan w:val="2"/>
          </w:tcPr>
          <w:p>
            <w:pPr>
              <w:spacing w:after="0"/>
              <w:rPr>
                <w:sz w:val="20"/>
                <w:szCs w:val="20"/>
                <w:color w:val="auto"/>
              </w:rPr>
            </w:pPr>
            <w:r>
              <w:rPr>
                <w:rFonts w:ascii="Arial" w:cs="Arial" w:eastAsia="Arial" w:hAnsi="Arial"/>
                <w:sz w:val="16"/>
                <w:szCs w:val="16"/>
                <w:color w:val="auto"/>
              </w:rPr>
              <w:t>GmbH</w:t>
            </w:r>
          </w:p>
        </w:tc>
        <w:tc>
          <w:tcPr>
            <w:tcW w:w="1480" w:type="dxa"/>
            <w:vAlign w:val="bottom"/>
          </w:tcPr>
          <w:p>
            <w:pPr>
              <w:ind w:left="100"/>
              <w:spacing w:after="0"/>
              <w:rPr>
                <w:sz w:val="20"/>
                <w:szCs w:val="20"/>
                <w:color w:val="auto"/>
              </w:rPr>
            </w:pPr>
            <w:r>
              <w:rPr>
                <w:rFonts w:ascii="Arial" w:cs="Arial" w:eastAsia="Arial" w:hAnsi="Arial"/>
                <w:sz w:val="16"/>
                <w:szCs w:val="16"/>
                <w:color w:val="auto"/>
              </w:rPr>
              <w:t>Commerzbank</w:t>
            </w:r>
          </w:p>
        </w:tc>
        <w:tc>
          <w:tcPr>
            <w:tcW w:w="1700" w:type="dxa"/>
            <w:vAlign w:val="bottom"/>
          </w:tcPr>
          <w:p>
            <w:pPr>
              <w:ind w:left="80"/>
              <w:spacing w:after="0"/>
              <w:rPr>
                <w:sz w:val="20"/>
                <w:szCs w:val="20"/>
                <w:color w:val="auto"/>
              </w:rPr>
            </w:pPr>
            <w:r>
              <w:rPr>
                <w:rFonts w:ascii="Arial" w:cs="Arial" w:eastAsia="Arial" w:hAnsi="Arial"/>
                <w:sz w:val="16"/>
                <w:szCs w:val="16"/>
                <w:color w:val="auto"/>
              </w:rPr>
              <w:t>Bank Guarantee/LC</w:t>
            </w:r>
          </w:p>
        </w:tc>
        <w:tc>
          <w:tcPr>
            <w:tcW w:w="1840" w:type="dxa"/>
            <w:vAlign w:val="bottom"/>
          </w:tcPr>
          <w:p>
            <w:pPr>
              <w:ind w:left="340"/>
              <w:spacing w:after="0"/>
              <w:rPr>
                <w:sz w:val="20"/>
                <w:szCs w:val="20"/>
                <w:color w:val="auto"/>
              </w:rPr>
            </w:pPr>
            <w:r>
              <w:rPr>
                <w:rFonts w:ascii="Arial" w:cs="Arial" w:eastAsia="Arial" w:hAnsi="Arial"/>
                <w:sz w:val="16"/>
                <w:szCs w:val="16"/>
                <w:color w:val="auto"/>
              </w:rPr>
              <w:t>Cash Collateral</w:t>
            </w:r>
          </w:p>
        </w:tc>
        <w:tc>
          <w:tcPr>
            <w:tcW w:w="2140" w:type="dxa"/>
            <w:vAlign w:val="bottom"/>
          </w:tcPr>
          <w:p>
            <w:pPr>
              <w:jc w:val="right"/>
              <w:ind w:right="538"/>
              <w:spacing w:after="0"/>
              <w:rPr>
                <w:sz w:val="20"/>
                <w:szCs w:val="20"/>
                <w:color w:val="auto"/>
              </w:rPr>
            </w:pPr>
            <w:r>
              <w:rPr>
                <w:rFonts w:ascii="Arial" w:cs="Arial" w:eastAsia="Arial" w:hAnsi="Arial"/>
                <w:sz w:val="16"/>
                <w:szCs w:val="16"/>
                <w:color w:val="auto"/>
              </w:rPr>
              <w:t>EUR 49,742</w:t>
            </w:r>
          </w:p>
        </w:tc>
        <w:tc>
          <w:tcPr>
            <w:tcW w:w="1300" w:type="dxa"/>
            <w:vAlign w:val="bottom"/>
          </w:tcPr>
          <w:p>
            <w:pPr>
              <w:jc w:val="right"/>
              <w:spacing w:after="0"/>
              <w:rPr>
                <w:sz w:val="20"/>
                <w:szCs w:val="20"/>
                <w:color w:val="auto"/>
              </w:rPr>
            </w:pPr>
            <w:r>
              <w:rPr>
                <w:rFonts w:ascii="Arial" w:cs="Arial" w:eastAsia="Arial" w:hAnsi="Arial"/>
                <w:sz w:val="16"/>
                <w:szCs w:val="16"/>
                <w:color w:val="auto"/>
              </w:rPr>
              <w:t>67,216</w:t>
            </w:r>
          </w:p>
        </w:tc>
      </w:tr>
      <w:tr>
        <w:trPr>
          <w:trHeight w:val="253"/>
        </w:trPr>
        <w:tc>
          <w:tcPr>
            <w:tcW w:w="20" w:type="dxa"/>
            <w:vAlign w:val="bottom"/>
          </w:tcPr>
          <w:p>
            <w:pPr>
              <w:spacing w:after="0"/>
              <w:rPr>
                <w:sz w:val="21"/>
                <w:szCs w:val="21"/>
                <w:color w:val="auto"/>
              </w:rPr>
            </w:pPr>
          </w:p>
        </w:tc>
        <w:tc>
          <w:tcPr>
            <w:tcW w:w="2920" w:type="dxa"/>
            <w:vAlign w:val="bottom"/>
            <w:gridSpan w:val="2"/>
          </w:tcPr>
          <w:p>
            <w:pPr>
              <w:spacing w:after="0"/>
              <w:rPr>
                <w:sz w:val="20"/>
                <w:szCs w:val="20"/>
                <w:color w:val="auto"/>
              </w:rPr>
            </w:pPr>
            <w:r>
              <w:rPr>
                <w:rFonts w:ascii="Arial" w:cs="Arial" w:eastAsia="Arial" w:hAnsi="Arial"/>
                <w:sz w:val="16"/>
                <w:szCs w:val="16"/>
                <w:color w:val="auto"/>
              </w:rPr>
              <w:t>transact Elektronische Zahlungssysteme</w:t>
            </w:r>
          </w:p>
        </w:tc>
        <w:tc>
          <w:tcPr>
            <w:tcW w:w="1480" w:type="dxa"/>
            <w:vAlign w:val="bottom"/>
          </w:tcPr>
          <w:p>
            <w:pPr>
              <w:ind w:left="100"/>
              <w:spacing w:after="0"/>
              <w:rPr>
                <w:sz w:val="20"/>
                <w:szCs w:val="20"/>
                <w:color w:val="auto"/>
              </w:rPr>
            </w:pPr>
            <w:r>
              <w:rPr>
                <w:rFonts w:ascii="Arial" w:cs="Arial" w:eastAsia="Arial" w:hAnsi="Arial"/>
                <w:sz w:val="16"/>
                <w:szCs w:val="16"/>
                <w:color w:val="auto"/>
              </w:rPr>
              <w:t>Kreissparkasse</w:t>
            </w:r>
          </w:p>
        </w:tc>
        <w:tc>
          <w:tcPr>
            <w:tcW w:w="1700" w:type="dxa"/>
            <w:vAlign w:val="bottom"/>
          </w:tcPr>
          <w:p>
            <w:pPr>
              <w:spacing w:after="0"/>
              <w:rPr>
                <w:sz w:val="21"/>
                <w:szCs w:val="21"/>
                <w:color w:val="auto"/>
              </w:rPr>
            </w:pPr>
          </w:p>
        </w:tc>
        <w:tc>
          <w:tcPr>
            <w:tcW w:w="1840" w:type="dxa"/>
            <w:vAlign w:val="bottom"/>
          </w:tcPr>
          <w:p>
            <w:pPr>
              <w:spacing w:after="0"/>
              <w:rPr>
                <w:sz w:val="21"/>
                <w:szCs w:val="21"/>
                <w:color w:val="auto"/>
              </w:rPr>
            </w:pPr>
          </w:p>
        </w:tc>
        <w:tc>
          <w:tcPr>
            <w:tcW w:w="2140" w:type="dxa"/>
            <w:vAlign w:val="bottom"/>
          </w:tcPr>
          <w:p>
            <w:pPr>
              <w:spacing w:after="0"/>
              <w:rPr>
                <w:sz w:val="21"/>
                <w:szCs w:val="21"/>
                <w:color w:val="auto"/>
              </w:rPr>
            </w:pPr>
          </w:p>
        </w:tc>
        <w:tc>
          <w:tcPr>
            <w:tcW w:w="1300" w:type="dxa"/>
            <w:vAlign w:val="bottom"/>
          </w:tcPr>
          <w:p>
            <w:pPr>
              <w:spacing w:after="0"/>
              <w:rPr>
                <w:sz w:val="21"/>
                <w:szCs w:val="21"/>
                <w:color w:val="auto"/>
              </w:rPr>
            </w:pPr>
          </w:p>
        </w:tc>
      </w:tr>
      <w:tr>
        <w:trPr>
          <w:trHeight w:val="206"/>
        </w:trPr>
        <w:tc>
          <w:tcPr>
            <w:tcW w:w="20" w:type="dxa"/>
            <w:vAlign w:val="bottom"/>
          </w:tcPr>
          <w:p>
            <w:pPr>
              <w:spacing w:after="0"/>
              <w:rPr>
                <w:sz w:val="17"/>
                <w:szCs w:val="17"/>
                <w:color w:val="auto"/>
              </w:rPr>
            </w:pPr>
          </w:p>
        </w:tc>
        <w:tc>
          <w:tcPr>
            <w:tcW w:w="2920" w:type="dxa"/>
            <w:vAlign w:val="bottom"/>
            <w:gridSpan w:val="2"/>
          </w:tcPr>
          <w:p>
            <w:pPr>
              <w:spacing w:after="0"/>
              <w:rPr>
                <w:sz w:val="20"/>
                <w:szCs w:val="20"/>
                <w:color w:val="auto"/>
              </w:rPr>
            </w:pPr>
            <w:r>
              <w:rPr>
                <w:rFonts w:ascii="Arial" w:cs="Arial" w:eastAsia="Arial" w:hAnsi="Arial"/>
                <w:sz w:val="16"/>
                <w:szCs w:val="16"/>
                <w:color w:val="auto"/>
              </w:rPr>
              <w:t>GmbH</w:t>
            </w:r>
          </w:p>
        </w:tc>
        <w:tc>
          <w:tcPr>
            <w:tcW w:w="1480" w:type="dxa"/>
            <w:vAlign w:val="bottom"/>
          </w:tcPr>
          <w:p>
            <w:pPr>
              <w:ind w:left="100"/>
              <w:spacing w:after="0"/>
              <w:rPr>
                <w:sz w:val="20"/>
                <w:szCs w:val="20"/>
                <w:color w:val="auto"/>
              </w:rPr>
            </w:pPr>
            <w:r>
              <w:rPr>
                <w:rFonts w:ascii="Arial" w:cs="Arial" w:eastAsia="Arial" w:hAnsi="Arial"/>
                <w:sz w:val="16"/>
                <w:szCs w:val="16"/>
                <w:color w:val="auto"/>
                <w:w w:val="96"/>
              </w:rPr>
              <w:t>München-Starnberg</w:t>
            </w:r>
          </w:p>
        </w:tc>
        <w:tc>
          <w:tcPr>
            <w:tcW w:w="1700" w:type="dxa"/>
            <w:vAlign w:val="bottom"/>
          </w:tcPr>
          <w:p>
            <w:pPr>
              <w:ind w:left="80"/>
              <w:spacing w:after="0"/>
              <w:rPr>
                <w:sz w:val="20"/>
                <w:szCs w:val="20"/>
                <w:color w:val="auto"/>
              </w:rPr>
            </w:pPr>
            <w:r>
              <w:rPr>
                <w:rFonts w:ascii="Arial" w:cs="Arial" w:eastAsia="Arial" w:hAnsi="Arial"/>
                <w:sz w:val="16"/>
                <w:szCs w:val="16"/>
                <w:color w:val="auto"/>
              </w:rPr>
              <w:t>Bank Guarantee/LC</w:t>
            </w:r>
          </w:p>
        </w:tc>
        <w:tc>
          <w:tcPr>
            <w:tcW w:w="1840" w:type="dxa"/>
            <w:vAlign w:val="bottom"/>
          </w:tcPr>
          <w:p>
            <w:pPr>
              <w:ind w:left="340"/>
              <w:spacing w:after="0"/>
              <w:rPr>
                <w:sz w:val="20"/>
                <w:szCs w:val="20"/>
                <w:color w:val="auto"/>
              </w:rPr>
            </w:pPr>
            <w:r>
              <w:rPr>
                <w:rFonts w:ascii="Arial" w:cs="Arial" w:eastAsia="Arial" w:hAnsi="Arial"/>
                <w:sz w:val="16"/>
                <w:szCs w:val="16"/>
                <w:color w:val="auto"/>
              </w:rPr>
              <w:t>Cash Collateral</w:t>
            </w:r>
          </w:p>
        </w:tc>
        <w:tc>
          <w:tcPr>
            <w:tcW w:w="2140" w:type="dxa"/>
            <w:vAlign w:val="bottom"/>
          </w:tcPr>
          <w:p>
            <w:pPr>
              <w:jc w:val="right"/>
              <w:ind w:right="538"/>
              <w:spacing w:after="0"/>
              <w:rPr>
                <w:sz w:val="20"/>
                <w:szCs w:val="20"/>
                <w:color w:val="auto"/>
              </w:rPr>
            </w:pPr>
            <w:r>
              <w:rPr>
                <w:rFonts w:ascii="Arial" w:cs="Arial" w:eastAsia="Arial" w:hAnsi="Arial"/>
                <w:sz w:val="16"/>
                <w:szCs w:val="16"/>
                <w:color w:val="auto"/>
              </w:rPr>
              <w:t>EUR 65,211</w:t>
            </w:r>
          </w:p>
        </w:tc>
        <w:tc>
          <w:tcPr>
            <w:tcW w:w="1300" w:type="dxa"/>
            <w:vAlign w:val="bottom"/>
          </w:tcPr>
          <w:p>
            <w:pPr>
              <w:jc w:val="right"/>
              <w:spacing w:after="0"/>
              <w:rPr>
                <w:sz w:val="20"/>
                <w:szCs w:val="20"/>
                <w:color w:val="auto"/>
              </w:rPr>
            </w:pPr>
            <w:r>
              <w:rPr>
                <w:rFonts w:ascii="Arial" w:cs="Arial" w:eastAsia="Arial" w:hAnsi="Arial"/>
                <w:sz w:val="16"/>
                <w:szCs w:val="16"/>
                <w:color w:val="auto"/>
              </w:rPr>
              <w:t>88,120</w:t>
            </w:r>
          </w:p>
        </w:tc>
      </w:tr>
      <w:tr>
        <w:trPr>
          <w:trHeight w:val="253"/>
        </w:trPr>
        <w:tc>
          <w:tcPr>
            <w:tcW w:w="20" w:type="dxa"/>
            <w:vAlign w:val="bottom"/>
          </w:tcPr>
          <w:p>
            <w:pPr>
              <w:spacing w:after="0"/>
              <w:rPr>
                <w:sz w:val="21"/>
                <w:szCs w:val="21"/>
                <w:color w:val="auto"/>
              </w:rPr>
            </w:pPr>
          </w:p>
        </w:tc>
        <w:tc>
          <w:tcPr>
            <w:tcW w:w="2920" w:type="dxa"/>
            <w:vAlign w:val="bottom"/>
            <w:gridSpan w:val="2"/>
          </w:tcPr>
          <w:p>
            <w:pPr>
              <w:spacing w:after="0"/>
              <w:rPr>
                <w:sz w:val="20"/>
                <w:szCs w:val="20"/>
                <w:color w:val="auto"/>
              </w:rPr>
            </w:pPr>
            <w:r>
              <w:rPr>
                <w:rFonts w:ascii="Arial" w:cs="Arial" w:eastAsia="Arial" w:hAnsi="Arial"/>
                <w:sz w:val="16"/>
                <w:szCs w:val="16"/>
                <w:color w:val="auto"/>
              </w:rPr>
              <w:t>transact Elektronische Zahlungssysteme</w:t>
            </w:r>
          </w:p>
        </w:tc>
        <w:tc>
          <w:tcPr>
            <w:tcW w:w="1480" w:type="dxa"/>
            <w:vAlign w:val="bottom"/>
          </w:tcPr>
          <w:p>
            <w:pPr>
              <w:ind w:left="100"/>
              <w:spacing w:after="0"/>
              <w:rPr>
                <w:sz w:val="20"/>
                <w:szCs w:val="20"/>
                <w:color w:val="auto"/>
              </w:rPr>
            </w:pPr>
            <w:r>
              <w:rPr>
                <w:rFonts w:ascii="Arial" w:cs="Arial" w:eastAsia="Arial" w:hAnsi="Arial"/>
                <w:sz w:val="16"/>
                <w:szCs w:val="16"/>
                <w:color w:val="auto"/>
              </w:rPr>
              <w:t>Kreissparkasse</w:t>
            </w:r>
          </w:p>
        </w:tc>
        <w:tc>
          <w:tcPr>
            <w:tcW w:w="1700" w:type="dxa"/>
            <w:vAlign w:val="bottom"/>
          </w:tcPr>
          <w:p>
            <w:pPr>
              <w:spacing w:after="0"/>
              <w:rPr>
                <w:sz w:val="21"/>
                <w:szCs w:val="21"/>
                <w:color w:val="auto"/>
              </w:rPr>
            </w:pPr>
          </w:p>
        </w:tc>
        <w:tc>
          <w:tcPr>
            <w:tcW w:w="1840" w:type="dxa"/>
            <w:vAlign w:val="bottom"/>
          </w:tcPr>
          <w:p>
            <w:pPr>
              <w:spacing w:after="0"/>
              <w:rPr>
                <w:sz w:val="21"/>
                <w:szCs w:val="21"/>
                <w:color w:val="auto"/>
              </w:rPr>
            </w:pPr>
          </w:p>
        </w:tc>
        <w:tc>
          <w:tcPr>
            <w:tcW w:w="2140" w:type="dxa"/>
            <w:vAlign w:val="bottom"/>
          </w:tcPr>
          <w:p>
            <w:pPr>
              <w:spacing w:after="0"/>
              <w:rPr>
                <w:sz w:val="21"/>
                <w:szCs w:val="21"/>
                <w:color w:val="auto"/>
              </w:rPr>
            </w:pPr>
          </w:p>
        </w:tc>
        <w:tc>
          <w:tcPr>
            <w:tcW w:w="1300" w:type="dxa"/>
            <w:vAlign w:val="bottom"/>
          </w:tcPr>
          <w:p>
            <w:pPr>
              <w:spacing w:after="0"/>
              <w:rPr>
                <w:sz w:val="21"/>
                <w:szCs w:val="21"/>
                <w:color w:val="auto"/>
              </w:rPr>
            </w:pPr>
          </w:p>
        </w:tc>
      </w:tr>
      <w:tr>
        <w:trPr>
          <w:trHeight w:val="206"/>
        </w:trPr>
        <w:tc>
          <w:tcPr>
            <w:tcW w:w="20" w:type="dxa"/>
            <w:vAlign w:val="bottom"/>
          </w:tcPr>
          <w:p>
            <w:pPr>
              <w:spacing w:after="0"/>
              <w:rPr>
                <w:sz w:val="17"/>
                <w:szCs w:val="17"/>
                <w:color w:val="auto"/>
              </w:rPr>
            </w:pPr>
          </w:p>
        </w:tc>
        <w:tc>
          <w:tcPr>
            <w:tcW w:w="2920" w:type="dxa"/>
            <w:vAlign w:val="bottom"/>
            <w:gridSpan w:val="2"/>
          </w:tcPr>
          <w:p>
            <w:pPr>
              <w:spacing w:after="0"/>
              <w:rPr>
                <w:sz w:val="20"/>
                <w:szCs w:val="20"/>
                <w:color w:val="auto"/>
              </w:rPr>
            </w:pPr>
            <w:r>
              <w:rPr>
                <w:rFonts w:ascii="Arial" w:cs="Arial" w:eastAsia="Arial" w:hAnsi="Arial"/>
                <w:sz w:val="16"/>
                <w:szCs w:val="16"/>
                <w:color w:val="auto"/>
              </w:rPr>
              <w:t>GmbH</w:t>
            </w:r>
          </w:p>
        </w:tc>
        <w:tc>
          <w:tcPr>
            <w:tcW w:w="1480" w:type="dxa"/>
            <w:vAlign w:val="bottom"/>
          </w:tcPr>
          <w:p>
            <w:pPr>
              <w:ind w:left="100"/>
              <w:spacing w:after="0"/>
              <w:rPr>
                <w:sz w:val="20"/>
                <w:szCs w:val="20"/>
                <w:color w:val="auto"/>
              </w:rPr>
            </w:pPr>
            <w:r>
              <w:rPr>
                <w:rFonts w:ascii="Arial" w:cs="Arial" w:eastAsia="Arial" w:hAnsi="Arial"/>
                <w:sz w:val="16"/>
                <w:szCs w:val="16"/>
                <w:color w:val="auto"/>
                <w:w w:val="96"/>
              </w:rPr>
              <w:t>München-Starnberg</w:t>
            </w:r>
          </w:p>
        </w:tc>
        <w:tc>
          <w:tcPr>
            <w:tcW w:w="1700" w:type="dxa"/>
            <w:vAlign w:val="bottom"/>
          </w:tcPr>
          <w:p>
            <w:pPr>
              <w:ind w:left="80"/>
              <w:spacing w:after="0"/>
              <w:rPr>
                <w:sz w:val="20"/>
                <w:szCs w:val="20"/>
                <w:color w:val="auto"/>
              </w:rPr>
            </w:pPr>
            <w:r>
              <w:rPr>
                <w:rFonts w:ascii="Arial" w:cs="Arial" w:eastAsia="Arial" w:hAnsi="Arial"/>
                <w:sz w:val="16"/>
                <w:szCs w:val="16"/>
                <w:color w:val="auto"/>
              </w:rPr>
              <w:t>Bank Guarantee/LC</w:t>
            </w:r>
          </w:p>
        </w:tc>
        <w:tc>
          <w:tcPr>
            <w:tcW w:w="1840" w:type="dxa"/>
            <w:vAlign w:val="bottom"/>
          </w:tcPr>
          <w:p>
            <w:pPr>
              <w:ind w:left="340"/>
              <w:spacing w:after="0"/>
              <w:rPr>
                <w:sz w:val="20"/>
                <w:szCs w:val="20"/>
                <w:color w:val="auto"/>
              </w:rPr>
            </w:pPr>
            <w:r>
              <w:rPr>
                <w:rFonts w:ascii="Arial" w:cs="Arial" w:eastAsia="Arial" w:hAnsi="Arial"/>
                <w:sz w:val="16"/>
                <w:szCs w:val="16"/>
                <w:color w:val="auto"/>
              </w:rPr>
              <w:t>Cash Collateral</w:t>
            </w:r>
          </w:p>
        </w:tc>
        <w:tc>
          <w:tcPr>
            <w:tcW w:w="2140" w:type="dxa"/>
            <w:vAlign w:val="bottom"/>
          </w:tcPr>
          <w:p>
            <w:pPr>
              <w:jc w:val="right"/>
              <w:ind w:right="538"/>
              <w:spacing w:after="0"/>
              <w:rPr>
                <w:sz w:val="20"/>
                <w:szCs w:val="20"/>
                <w:color w:val="auto"/>
              </w:rPr>
            </w:pPr>
            <w:r>
              <w:rPr>
                <w:rFonts w:ascii="Arial" w:cs="Arial" w:eastAsia="Arial" w:hAnsi="Arial"/>
                <w:sz w:val="16"/>
                <w:szCs w:val="16"/>
                <w:color w:val="auto"/>
              </w:rPr>
              <w:t>EUR 13,479</w:t>
            </w:r>
          </w:p>
        </w:tc>
        <w:tc>
          <w:tcPr>
            <w:tcW w:w="1300" w:type="dxa"/>
            <w:vAlign w:val="bottom"/>
          </w:tcPr>
          <w:p>
            <w:pPr>
              <w:jc w:val="right"/>
              <w:spacing w:after="0"/>
              <w:rPr>
                <w:sz w:val="20"/>
                <w:szCs w:val="20"/>
                <w:color w:val="auto"/>
              </w:rPr>
            </w:pPr>
            <w:r>
              <w:rPr>
                <w:rFonts w:ascii="Arial" w:cs="Arial" w:eastAsia="Arial" w:hAnsi="Arial"/>
                <w:sz w:val="16"/>
                <w:szCs w:val="16"/>
                <w:color w:val="auto"/>
              </w:rPr>
              <w:t>18,214</w:t>
            </w:r>
          </w:p>
        </w:tc>
      </w:tr>
      <w:tr>
        <w:trPr>
          <w:trHeight w:val="257"/>
        </w:trPr>
        <w:tc>
          <w:tcPr>
            <w:tcW w:w="20" w:type="dxa"/>
            <w:vAlign w:val="bottom"/>
          </w:tcPr>
          <w:p>
            <w:pPr>
              <w:spacing w:after="0"/>
              <w:rPr>
                <w:sz w:val="22"/>
                <w:szCs w:val="22"/>
                <w:color w:val="auto"/>
              </w:rPr>
            </w:pPr>
          </w:p>
        </w:tc>
        <w:tc>
          <w:tcPr>
            <w:tcW w:w="2920" w:type="dxa"/>
            <w:vAlign w:val="bottom"/>
            <w:gridSpan w:val="2"/>
          </w:tcPr>
          <w:p>
            <w:pPr>
              <w:spacing w:after="0"/>
              <w:rPr>
                <w:sz w:val="20"/>
                <w:szCs w:val="20"/>
                <w:color w:val="auto"/>
              </w:rPr>
            </w:pPr>
            <w:r>
              <w:rPr>
                <w:rFonts w:ascii="Arial" w:cs="Arial" w:eastAsia="Arial" w:hAnsi="Arial"/>
                <w:sz w:val="16"/>
                <w:szCs w:val="16"/>
                <w:color w:val="auto"/>
              </w:rPr>
              <w:t>epay New Zealand Limited</w:t>
            </w:r>
          </w:p>
        </w:tc>
        <w:tc>
          <w:tcPr>
            <w:tcW w:w="1480" w:type="dxa"/>
            <w:vAlign w:val="bottom"/>
          </w:tcPr>
          <w:p>
            <w:pPr>
              <w:ind w:left="100"/>
              <w:spacing w:after="0"/>
              <w:rPr>
                <w:sz w:val="20"/>
                <w:szCs w:val="20"/>
                <w:color w:val="auto"/>
              </w:rPr>
            </w:pPr>
            <w:r>
              <w:rPr>
                <w:rFonts w:ascii="Arial" w:cs="Arial" w:eastAsia="Arial" w:hAnsi="Arial"/>
                <w:sz w:val="16"/>
                <w:szCs w:val="16"/>
                <w:color w:val="auto"/>
              </w:rPr>
              <w:t>Westpac</w:t>
            </w:r>
          </w:p>
        </w:tc>
        <w:tc>
          <w:tcPr>
            <w:tcW w:w="1700" w:type="dxa"/>
            <w:vAlign w:val="bottom"/>
          </w:tcPr>
          <w:p>
            <w:pPr>
              <w:ind w:left="80"/>
              <w:spacing w:after="0"/>
              <w:rPr>
                <w:sz w:val="20"/>
                <w:szCs w:val="20"/>
                <w:color w:val="auto"/>
              </w:rPr>
            </w:pPr>
            <w:r>
              <w:rPr>
                <w:rFonts w:ascii="Arial" w:cs="Arial" w:eastAsia="Arial" w:hAnsi="Arial"/>
                <w:sz w:val="16"/>
                <w:szCs w:val="16"/>
                <w:color w:val="auto"/>
              </w:rPr>
              <w:t>Bank Guarantee/LC</w:t>
            </w:r>
          </w:p>
        </w:tc>
        <w:tc>
          <w:tcPr>
            <w:tcW w:w="1840" w:type="dxa"/>
            <w:vAlign w:val="bottom"/>
          </w:tcPr>
          <w:p>
            <w:pPr>
              <w:ind w:left="340"/>
              <w:spacing w:after="0"/>
              <w:rPr>
                <w:sz w:val="20"/>
                <w:szCs w:val="20"/>
                <w:color w:val="auto"/>
              </w:rPr>
            </w:pPr>
            <w:r>
              <w:rPr>
                <w:rFonts w:ascii="Arial" w:cs="Arial" w:eastAsia="Arial" w:hAnsi="Arial"/>
                <w:sz w:val="16"/>
                <w:szCs w:val="16"/>
                <w:color w:val="auto"/>
              </w:rPr>
              <w:t>Cash Collateral</w:t>
            </w:r>
          </w:p>
        </w:tc>
        <w:tc>
          <w:tcPr>
            <w:tcW w:w="2140" w:type="dxa"/>
            <w:vAlign w:val="bottom"/>
          </w:tcPr>
          <w:p>
            <w:pPr>
              <w:jc w:val="right"/>
              <w:ind w:right="538"/>
              <w:spacing w:after="0"/>
              <w:rPr>
                <w:sz w:val="20"/>
                <w:szCs w:val="20"/>
                <w:color w:val="auto"/>
              </w:rPr>
            </w:pPr>
            <w:r>
              <w:rPr>
                <w:rFonts w:ascii="Arial" w:cs="Arial" w:eastAsia="Arial" w:hAnsi="Arial"/>
                <w:sz w:val="16"/>
                <w:szCs w:val="16"/>
                <w:color w:val="auto"/>
              </w:rPr>
              <w:t>NZD 2,000,000</w:t>
            </w:r>
          </w:p>
        </w:tc>
        <w:tc>
          <w:tcPr>
            <w:tcW w:w="1300" w:type="dxa"/>
            <w:vAlign w:val="bottom"/>
          </w:tcPr>
          <w:p>
            <w:pPr>
              <w:jc w:val="right"/>
              <w:spacing w:after="0"/>
              <w:rPr>
                <w:sz w:val="20"/>
                <w:szCs w:val="20"/>
                <w:color w:val="auto"/>
              </w:rPr>
            </w:pPr>
            <w:r>
              <w:rPr>
                <w:rFonts w:ascii="Arial" w:cs="Arial" w:eastAsia="Arial" w:hAnsi="Arial"/>
                <w:sz w:val="16"/>
                <w:szCs w:val="16"/>
                <w:color w:val="auto"/>
              </w:rPr>
              <w:t>1,614,800</w:t>
            </w:r>
          </w:p>
        </w:tc>
      </w:tr>
      <w:tr>
        <w:trPr>
          <w:trHeight w:val="257"/>
        </w:trPr>
        <w:tc>
          <w:tcPr>
            <w:tcW w:w="20" w:type="dxa"/>
            <w:vAlign w:val="bottom"/>
          </w:tcPr>
          <w:p>
            <w:pPr>
              <w:spacing w:after="0"/>
              <w:rPr>
                <w:sz w:val="22"/>
                <w:szCs w:val="22"/>
                <w:color w:val="auto"/>
              </w:rPr>
            </w:pPr>
          </w:p>
        </w:tc>
        <w:tc>
          <w:tcPr>
            <w:tcW w:w="2920" w:type="dxa"/>
            <w:vAlign w:val="bottom"/>
            <w:gridSpan w:val="2"/>
          </w:tcPr>
          <w:p>
            <w:pPr>
              <w:spacing w:after="0"/>
              <w:rPr>
                <w:sz w:val="20"/>
                <w:szCs w:val="20"/>
                <w:color w:val="auto"/>
              </w:rPr>
            </w:pPr>
            <w:r>
              <w:rPr>
                <w:rFonts w:ascii="Arial" w:cs="Arial" w:eastAsia="Arial" w:hAnsi="Arial"/>
                <w:sz w:val="16"/>
                <w:szCs w:val="16"/>
                <w:color w:val="auto"/>
              </w:rPr>
              <w:t>epay Australia Pty Ltd</w:t>
            </w:r>
          </w:p>
        </w:tc>
        <w:tc>
          <w:tcPr>
            <w:tcW w:w="1480" w:type="dxa"/>
            <w:vAlign w:val="bottom"/>
          </w:tcPr>
          <w:p>
            <w:pPr>
              <w:ind w:left="100"/>
              <w:spacing w:after="0"/>
              <w:rPr>
                <w:sz w:val="20"/>
                <w:szCs w:val="20"/>
                <w:color w:val="auto"/>
              </w:rPr>
            </w:pPr>
            <w:r>
              <w:rPr>
                <w:rFonts w:ascii="Arial" w:cs="Arial" w:eastAsia="Arial" w:hAnsi="Arial"/>
                <w:sz w:val="16"/>
                <w:szCs w:val="16"/>
                <w:color w:val="auto"/>
              </w:rPr>
              <w:t>Westpac</w:t>
            </w:r>
          </w:p>
        </w:tc>
        <w:tc>
          <w:tcPr>
            <w:tcW w:w="1700" w:type="dxa"/>
            <w:vAlign w:val="bottom"/>
          </w:tcPr>
          <w:p>
            <w:pPr>
              <w:ind w:left="80"/>
              <w:spacing w:after="0"/>
              <w:rPr>
                <w:sz w:val="20"/>
                <w:szCs w:val="20"/>
                <w:color w:val="auto"/>
              </w:rPr>
            </w:pPr>
            <w:r>
              <w:rPr>
                <w:rFonts w:ascii="Arial" w:cs="Arial" w:eastAsia="Arial" w:hAnsi="Arial"/>
                <w:sz w:val="16"/>
                <w:szCs w:val="16"/>
                <w:color w:val="auto"/>
              </w:rPr>
              <w:t>Bank Guarantee/LC</w:t>
            </w:r>
          </w:p>
        </w:tc>
        <w:tc>
          <w:tcPr>
            <w:tcW w:w="1840" w:type="dxa"/>
            <w:vAlign w:val="bottom"/>
          </w:tcPr>
          <w:p>
            <w:pPr>
              <w:ind w:left="340"/>
              <w:spacing w:after="0"/>
              <w:rPr>
                <w:sz w:val="20"/>
                <w:szCs w:val="20"/>
                <w:color w:val="auto"/>
              </w:rPr>
            </w:pPr>
            <w:r>
              <w:rPr>
                <w:rFonts w:ascii="Arial" w:cs="Arial" w:eastAsia="Arial" w:hAnsi="Arial"/>
                <w:sz w:val="16"/>
                <w:szCs w:val="16"/>
                <w:color w:val="auto"/>
              </w:rPr>
              <w:t>Cash Collateral</w:t>
            </w:r>
          </w:p>
        </w:tc>
        <w:tc>
          <w:tcPr>
            <w:tcW w:w="2140" w:type="dxa"/>
            <w:vAlign w:val="bottom"/>
          </w:tcPr>
          <w:p>
            <w:pPr>
              <w:jc w:val="right"/>
              <w:ind w:right="538"/>
              <w:spacing w:after="0"/>
              <w:rPr>
                <w:sz w:val="20"/>
                <w:szCs w:val="20"/>
                <w:color w:val="auto"/>
              </w:rPr>
            </w:pPr>
            <w:r>
              <w:rPr>
                <w:rFonts w:ascii="Arial" w:cs="Arial" w:eastAsia="Arial" w:hAnsi="Arial"/>
                <w:sz w:val="16"/>
                <w:szCs w:val="16"/>
                <w:color w:val="auto"/>
              </w:rPr>
              <w:t>AUD 156,375</w:t>
            </w:r>
          </w:p>
        </w:tc>
        <w:tc>
          <w:tcPr>
            <w:tcW w:w="1300" w:type="dxa"/>
            <w:vAlign w:val="bottom"/>
          </w:tcPr>
          <w:p>
            <w:pPr>
              <w:jc w:val="right"/>
              <w:spacing w:after="0"/>
              <w:rPr>
                <w:sz w:val="20"/>
                <w:szCs w:val="20"/>
                <w:color w:val="auto"/>
              </w:rPr>
            </w:pPr>
            <w:r>
              <w:rPr>
                <w:rFonts w:ascii="Arial" w:cs="Arial" w:eastAsia="Arial" w:hAnsi="Arial"/>
                <w:sz w:val="16"/>
                <w:szCs w:val="16"/>
                <w:color w:val="auto"/>
              </w:rPr>
              <w:t>136,140</w:t>
            </w:r>
          </w:p>
        </w:tc>
      </w:tr>
      <w:tr>
        <w:trPr>
          <w:trHeight w:val="257"/>
        </w:trPr>
        <w:tc>
          <w:tcPr>
            <w:tcW w:w="20" w:type="dxa"/>
            <w:vAlign w:val="bottom"/>
          </w:tcPr>
          <w:p>
            <w:pPr>
              <w:spacing w:after="0"/>
              <w:rPr>
                <w:sz w:val="22"/>
                <w:szCs w:val="22"/>
                <w:color w:val="auto"/>
              </w:rPr>
            </w:pPr>
          </w:p>
        </w:tc>
        <w:tc>
          <w:tcPr>
            <w:tcW w:w="2920" w:type="dxa"/>
            <w:vAlign w:val="bottom"/>
            <w:gridSpan w:val="2"/>
          </w:tcPr>
          <w:p>
            <w:pPr>
              <w:spacing w:after="0"/>
              <w:rPr>
                <w:sz w:val="20"/>
                <w:szCs w:val="20"/>
                <w:color w:val="auto"/>
              </w:rPr>
            </w:pPr>
            <w:r>
              <w:rPr>
                <w:rFonts w:ascii="Arial" w:cs="Arial" w:eastAsia="Arial" w:hAnsi="Arial"/>
                <w:sz w:val="16"/>
                <w:szCs w:val="16"/>
                <w:color w:val="auto"/>
                <w:w w:val="99"/>
              </w:rPr>
              <w:t>RIA Financial Services Australia Pty. Ltd.</w:t>
            </w:r>
          </w:p>
        </w:tc>
        <w:tc>
          <w:tcPr>
            <w:tcW w:w="1480" w:type="dxa"/>
            <w:vAlign w:val="bottom"/>
          </w:tcPr>
          <w:p>
            <w:pPr>
              <w:ind w:left="100"/>
              <w:spacing w:after="0"/>
              <w:rPr>
                <w:sz w:val="20"/>
                <w:szCs w:val="20"/>
                <w:color w:val="auto"/>
              </w:rPr>
            </w:pPr>
            <w:r>
              <w:rPr>
                <w:rFonts w:ascii="Arial" w:cs="Arial" w:eastAsia="Arial" w:hAnsi="Arial"/>
                <w:sz w:val="16"/>
                <w:szCs w:val="16"/>
                <w:color w:val="auto"/>
              </w:rPr>
              <w:t>Westpac</w:t>
            </w:r>
          </w:p>
        </w:tc>
        <w:tc>
          <w:tcPr>
            <w:tcW w:w="1700" w:type="dxa"/>
            <w:vAlign w:val="bottom"/>
          </w:tcPr>
          <w:p>
            <w:pPr>
              <w:ind w:left="80"/>
              <w:spacing w:after="0"/>
              <w:rPr>
                <w:sz w:val="20"/>
                <w:szCs w:val="20"/>
                <w:color w:val="auto"/>
              </w:rPr>
            </w:pPr>
            <w:r>
              <w:rPr>
                <w:rFonts w:ascii="Arial" w:cs="Arial" w:eastAsia="Arial" w:hAnsi="Arial"/>
                <w:sz w:val="16"/>
                <w:szCs w:val="16"/>
                <w:color w:val="auto"/>
              </w:rPr>
              <w:t>Bank Guarantee/LC</w:t>
            </w:r>
          </w:p>
        </w:tc>
        <w:tc>
          <w:tcPr>
            <w:tcW w:w="1840" w:type="dxa"/>
            <w:vAlign w:val="bottom"/>
          </w:tcPr>
          <w:p>
            <w:pPr>
              <w:ind w:left="340"/>
              <w:spacing w:after="0"/>
              <w:rPr>
                <w:sz w:val="20"/>
                <w:szCs w:val="20"/>
                <w:color w:val="auto"/>
              </w:rPr>
            </w:pPr>
            <w:r>
              <w:rPr>
                <w:rFonts w:ascii="Arial" w:cs="Arial" w:eastAsia="Arial" w:hAnsi="Arial"/>
                <w:sz w:val="16"/>
                <w:szCs w:val="16"/>
                <w:color w:val="auto"/>
              </w:rPr>
              <w:t>Cash Collateral</w:t>
            </w:r>
          </w:p>
        </w:tc>
        <w:tc>
          <w:tcPr>
            <w:tcW w:w="2140" w:type="dxa"/>
            <w:vAlign w:val="bottom"/>
          </w:tcPr>
          <w:p>
            <w:pPr>
              <w:jc w:val="right"/>
              <w:ind w:right="538"/>
              <w:spacing w:after="0"/>
              <w:rPr>
                <w:sz w:val="20"/>
                <w:szCs w:val="20"/>
                <w:color w:val="auto"/>
              </w:rPr>
            </w:pPr>
            <w:r>
              <w:rPr>
                <w:rFonts w:ascii="Arial" w:cs="Arial" w:eastAsia="Arial" w:hAnsi="Arial"/>
                <w:sz w:val="16"/>
                <w:szCs w:val="16"/>
                <w:color w:val="auto"/>
              </w:rPr>
              <w:t>AUD 9,075</w:t>
            </w:r>
          </w:p>
        </w:tc>
        <w:tc>
          <w:tcPr>
            <w:tcW w:w="1300" w:type="dxa"/>
            <w:vAlign w:val="bottom"/>
          </w:tcPr>
          <w:p>
            <w:pPr>
              <w:jc w:val="right"/>
              <w:spacing w:after="0"/>
              <w:rPr>
                <w:sz w:val="20"/>
                <w:szCs w:val="20"/>
                <w:color w:val="auto"/>
              </w:rPr>
            </w:pPr>
            <w:r>
              <w:rPr>
                <w:rFonts w:ascii="Arial" w:cs="Arial" w:eastAsia="Arial" w:hAnsi="Arial"/>
                <w:sz w:val="16"/>
                <w:szCs w:val="16"/>
                <w:color w:val="auto"/>
              </w:rPr>
              <w:t>7,901</w:t>
            </w:r>
          </w:p>
        </w:tc>
      </w:tr>
      <w:tr>
        <w:trPr>
          <w:trHeight w:val="257"/>
        </w:trPr>
        <w:tc>
          <w:tcPr>
            <w:tcW w:w="20" w:type="dxa"/>
            <w:vAlign w:val="bottom"/>
          </w:tcPr>
          <w:p>
            <w:pPr>
              <w:spacing w:after="0"/>
              <w:rPr>
                <w:sz w:val="22"/>
                <w:szCs w:val="22"/>
                <w:color w:val="auto"/>
              </w:rPr>
            </w:pPr>
          </w:p>
        </w:tc>
        <w:tc>
          <w:tcPr>
            <w:tcW w:w="2920" w:type="dxa"/>
            <w:vAlign w:val="bottom"/>
            <w:gridSpan w:val="2"/>
          </w:tcPr>
          <w:p>
            <w:pPr>
              <w:spacing w:after="0"/>
              <w:rPr>
                <w:sz w:val="20"/>
                <w:szCs w:val="20"/>
                <w:color w:val="auto"/>
              </w:rPr>
            </w:pPr>
            <w:r>
              <w:rPr>
                <w:rFonts w:ascii="Arial" w:cs="Arial" w:eastAsia="Arial" w:hAnsi="Arial"/>
                <w:sz w:val="16"/>
                <w:szCs w:val="16"/>
                <w:color w:val="auto"/>
                <w:w w:val="94"/>
              </w:rPr>
              <w:t>Euronet Pay &amp; Transaction Services S.R.L.</w:t>
            </w:r>
          </w:p>
        </w:tc>
        <w:tc>
          <w:tcPr>
            <w:tcW w:w="1480" w:type="dxa"/>
            <w:vAlign w:val="bottom"/>
          </w:tcPr>
          <w:p>
            <w:pPr>
              <w:ind w:left="100"/>
              <w:spacing w:after="0"/>
              <w:rPr>
                <w:sz w:val="20"/>
                <w:szCs w:val="20"/>
                <w:color w:val="auto"/>
              </w:rPr>
            </w:pPr>
            <w:r>
              <w:rPr>
                <w:rFonts w:ascii="Arial" w:cs="Arial" w:eastAsia="Arial" w:hAnsi="Arial"/>
                <w:sz w:val="16"/>
                <w:szCs w:val="16"/>
                <w:color w:val="auto"/>
              </w:rPr>
              <w:t>UniCredit</w:t>
            </w:r>
          </w:p>
        </w:tc>
        <w:tc>
          <w:tcPr>
            <w:tcW w:w="1700" w:type="dxa"/>
            <w:vAlign w:val="bottom"/>
          </w:tcPr>
          <w:p>
            <w:pPr>
              <w:ind w:left="80"/>
              <w:spacing w:after="0"/>
              <w:rPr>
                <w:sz w:val="20"/>
                <w:szCs w:val="20"/>
                <w:color w:val="auto"/>
              </w:rPr>
            </w:pPr>
            <w:r>
              <w:rPr>
                <w:rFonts w:ascii="Arial" w:cs="Arial" w:eastAsia="Arial" w:hAnsi="Arial"/>
                <w:sz w:val="16"/>
                <w:szCs w:val="16"/>
                <w:color w:val="auto"/>
              </w:rPr>
              <w:t>Bank Guarantee/LC</w:t>
            </w:r>
          </w:p>
        </w:tc>
        <w:tc>
          <w:tcPr>
            <w:tcW w:w="1840" w:type="dxa"/>
            <w:vAlign w:val="bottom"/>
          </w:tcPr>
          <w:p>
            <w:pPr>
              <w:ind w:left="340"/>
              <w:spacing w:after="0"/>
              <w:rPr>
                <w:sz w:val="20"/>
                <w:szCs w:val="20"/>
                <w:color w:val="auto"/>
              </w:rPr>
            </w:pPr>
            <w:r>
              <w:rPr>
                <w:rFonts w:ascii="Arial" w:cs="Arial" w:eastAsia="Arial" w:hAnsi="Arial"/>
                <w:sz w:val="16"/>
                <w:szCs w:val="16"/>
                <w:color w:val="auto"/>
              </w:rPr>
              <w:t>Cash Collateral</w:t>
            </w:r>
          </w:p>
        </w:tc>
        <w:tc>
          <w:tcPr>
            <w:tcW w:w="2140" w:type="dxa"/>
            <w:vAlign w:val="bottom"/>
          </w:tcPr>
          <w:p>
            <w:pPr>
              <w:jc w:val="right"/>
              <w:ind w:right="538"/>
              <w:spacing w:after="0"/>
              <w:rPr>
                <w:sz w:val="20"/>
                <w:szCs w:val="20"/>
                <w:color w:val="auto"/>
              </w:rPr>
            </w:pPr>
            <w:r>
              <w:rPr>
                <w:rFonts w:ascii="Arial" w:cs="Arial" w:eastAsia="Arial" w:hAnsi="Arial"/>
                <w:sz w:val="16"/>
                <w:szCs w:val="16"/>
                <w:color w:val="auto"/>
              </w:rPr>
              <w:t>EUR 240,000</w:t>
            </w:r>
          </w:p>
        </w:tc>
        <w:tc>
          <w:tcPr>
            <w:tcW w:w="1300" w:type="dxa"/>
            <w:vAlign w:val="bottom"/>
          </w:tcPr>
          <w:p>
            <w:pPr>
              <w:jc w:val="right"/>
              <w:spacing w:after="0"/>
              <w:rPr>
                <w:sz w:val="20"/>
                <w:szCs w:val="20"/>
                <w:color w:val="auto"/>
              </w:rPr>
            </w:pPr>
            <w:r>
              <w:rPr>
                <w:rFonts w:ascii="Arial" w:cs="Arial" w:eastAsia="Arial" w:hAnsi="Arial"/>
                <w:sz w:val="16"/>
                <w:szCs w:val="16"/>
                <w:color w:val="auto"/>
              </w:rPr>
              <w:t>324,312</w:t>
            </w:r>
          </w:p>
        </w:tc>
      </w:tr>
      <w:tr>
        <w:trPr>
          <w:trHeight w:val="257"/>
        </w:trPr>
        <w:tc>
          <w:tcPr>
            <w:tcW w:w="20" w:type="dxa"/>
            <w:vAlign w:val="bottom"/>
          </w:tcPr>
          <w:p>
            <w:pPr>
              <w:spacing w:after="0"/>
              <w:rPr>
                <w:sz w:val="22"/>
                <w:szCs w:val="22"/>
                <w:color w:val="auto"/>
              </w:rPr>
            </w:pPr>
          </w:p>
        </w:tc>
        <w:tc>
          <w:tcPr>
            <w:tcW w:w="2920" w:type="dxa"/>
            <w:vAlign w:val="bottom"/>
            <w:gridSpan w:val="2"/>
          </w:tcPr>
          <w:p>
            <w:pPr>
              <w:spacing w:after="0"/>
              <w:rPr>
                <w:sz w:val="20"/>
                <w:szCs w:val="20"/>
                <w:color w:val="auto"/>
              </w:rPr>
            </w:pPr>
            <w:r>
              <w:rPr>
                <w:rFonts w:ascii="Arial" w:cs="Arial" w:eastAsia="Arial" w:hAnsi="Arial"/>
                <w:sz w:val="16"/>
                <w:szCs w:val="16"/>
                <w:color w:val="auto"/>
                <w:w w:val="94"/>
              </w:rPr>
              <w:t>Euronet Pay &amp; Transaction Services S.R.L.</w:t>
            </w:r>
          </w:p>
        </w:tc>
        <w:tc>
          <w:tcPr>
            <w:tcW w:w="1480" w:type="dxa"/>
            <w:vAlign w:val="bottom"/>
          </w:tcPr>
          <w:p>
            <w:pPr>
              <w:ind w:left="100"/>
              <w:spacing w:after="0"/>
              <w:rPr>
                <w:sz w:val="20"/>
                <w:szCs w:val="20"/>
                <w:color w:val="auto"/>
              </w:rPr>
            </w:pPr>
            <w:r>
              <w:rPr>
                <w:rFonts w:ascii="Arial" w:cs="Arial" w:eastAsia="Arial" w:hAnsi="Arial"/>
                <w:sz w:val="16"/>
                <w:szCs w:val="16"/>
                <w:color w:val="auto"/>
              </w:rPr>
              <w:t>UniCredit</w:t>
            </w:r>
          </w:p>
        </w:tc>
        <w:tc>
          <w:tcPr>
            <w:tcW w:w="1700" w:type="dxa"/>
            <w:vAlign w:val="bottom"/>
          </w:tcPr>
          <w:p>
            <w:pPr>
              <w:ind w:left="80"/>
              <w:spacing w:after="0"/>
              <w:rPr>
                <w:sz w:val="20"/>
                <w:szCs w:val="20"/>
                <w:color w:val="auto"/>
              </w:rPr>
            </w:pPr>
            <w:r>
              <w:rPr>
                <w:rFonts w:ascii="Arial" w:cs="Arial" w:eastAsia="Arial" w:hAnsi="Arial"/>
                <w:sz w:val="16"/>
                <w:szCs w:val="16"/>
                <w:color w:val="auto"/>
              </w:rPr>
              <w:t>Bank Guarantee/LC</w:t>
            </w:r>
          </w:p>
        </w:tc>
        <w:tc>
          <w:tcPr>
            <w:tcW w:w="1840" w:type="dxa"/>
            <w:vAlign w:val="bottom"/>
          </w:tcPr>
          <w:p>
            <w:pPr>
              <w:ind w:left="340"/>
              <w:spacing w:after="0"/>
              <w:rPr>
                <w:sz w:val="20"/>
                <w:szCs w:val="20"/>
                <w:color w:val="auto"/>
              </w:rPr>
            </w:pPr>
            <w:r>
              <w:rPr>
                <w:rFonts w:ascii="Arial" w:cs="Arial" w:eastAsia="Arial" w:hAnsi="Arial"/>
                <w:sz w:val="16"/>
                <w:szCs w:val="16"/>
                <w:color w:val="auto"/>
              </w:rPr>
              <w:t>Cash Collateral</w:t>
            </w:r>
          </w:p>
        </w:tc>
        <w:tc>
          <w:tcPr>
            <w:tcW w:w="2140" w:type="dxa"/>
            <w:vAlign w:val="bottom"/>
          </w:tcPr>
          <w:p>
            <w:pPr>
              <w:jc w:val="right"/>
              <w:ind w:right="538"/>
              <w:spacing w:after="0"/>
              <w:rPr>
                <w:sz w:val="20"/>
                <w:szCs w:val="20"/>
                <w:color w:val="auto"/>
              </w:rPr>
            </w:pPr>
            <w:r>
              <w:rPr>
                <w:rFonts w:ascii="Arial" w:cs="Arial" w:eastAsia="Arial" w:hAnsi="Arial"/>
                <w:sz w:val="16"/>
                <w:szCs w:val="16"/>
                <w:color w:val="auto"/>
              </w:rPr>
              <w:t>EUR 1,090,000</w:t>
            </w:r>
          </w:p>
        </w:tc>
        <w:tc>
          <w:tcPr>
            <w:tcW w:w="1300" w:type="dxa"/>
            <w:vAlign w:val="bottom"/>
          </w:tcPr>
          <w:p>
            <w:pPr>
              <w:jc w:val="right"/>
              <w:spacing w:after="0"/>
              <w:rPr>
                <w:sz w:val="20"/>
                <w:szCs w:val="20"/>
                <w:color w:val="auto"/>
              </w:rPr>
            </w:pPr>
            <w:r>
              <w:rPr>
                <w:rFonts w:ascii="Arial" w:cs="Arial" w:eastAsia="Arial" w:hAnsi="Arial"/>
                <w:sz w:val="16"/>
                <w:szCs w:val="16"/>
                <w:color w:val="auto"/>
              </w:rPr>
              <w:t>1,472,917</w:t>
            </w:r>
          </w:p>
        </w:tc>
      </w:tr>
      <w:tr>
        <w:trPr>
          <w:trHeight w:val="257"/>
        </w:trPr>
        <w:tc>
          <w:tcPr>
            <w:tcW w:w="20" w:type="dxa"/>
            <w:vAlign w:val="bottom"/>
          </w:tcPr>
          <w:p>
            <w:pPr>
              <w:spacing w:after="0"/>
              <w:rPr>
                <w:sz w:val="22"/>
                <w:szCs w:val="22"/>
                <w:color w:val="auto"/>
              </w:rPr>
            </w:pPr>
          </w:p>
        </w:tc>
        <w:tc>
          <w:tcPr>
            <w:tcW w:w="2920" w:type="dxa"/>
            <w:vAlign w:val="bottom"/>
            <w:gridSpan w:val="2"/>
          </w:tcPr>
          <w:p>
            <w:pPr>
              <w:spacing w:after="0"/>
              <w:rPr>
                <w:sz w:val="20"/>
                <w:szCs w:val="20"/>
                <w:color w:val="auto"/>
              </w:rPr>
            </w:pPr>
            <w:r>
              <w:rPr>
                <w:rFonts w:ascii="Arial" w:cs="Arial" w:eastAsia="Arial" w:hAnsi="Arial"/>
                <w:sz w:val="16"/>
                <w:szCs w:val="16"/>
                <w:color w:val="auto"/>
                <w:w w:val="94"/>
              </w:rPr>
              <w:t>Euronet Pay &amp; Transaction Services S.R.L.</w:t>
            </w:r>
          </w:p>
        </w:tc>
        <w:tc>
          <w:tcPr>
            <w:tcW w:w="1480" w:type="dxa"/>
            <w:vAlign w:val="bottom"/>
          </w:tcPr>
          <w:p>
            <w:pPr>
              <w:ind w:left="100"/>
              <w:spacing w:after="0"/>
              <w:rPr>
                <w:sz w:val="20"/>
                <w:szCs w:val="20"/>
                <w:color w:val="auto"/>
              </w:rPr>
            </w:pPr>
            <w:r>
              <w:rPr>
                <w:rFonts w:ascii="Arial" w:cs="Arial" w:eastAsia="Arial" w:hAnsi="Arial"/>
                <w:sz w:val="16"/>
                <w:szCs w:val="16"/>
                <w:color w:val="auto"/>
              </w:rPr>
              <w:t>UniCredit</w:t>
            </w:r>
          </w:p>
        </w:tc>
        <w:tc>
          <w:tcPr>
            <w:tcW w:w="1700" w:type="dxa"/>
            <w:vAlign w:val="bottom"/>
          </w:tcPr>
          <w:p>
            <w:pPr>
              <w:ind w:left="80"/>
              <w:spacing w:after="0"/>
              <w:rPr>
                <w:sz w:val="20"/>
                <w:szCs w:val="20"/>
                <w:color w:val="auto"/>
              </w:rPr>
            </w:pPr>
            <w:r>
              <w:rPr>
                <w:rFonts w:ascii="Arial" w:cs="Arial" w:eastAsia="Arial" w:hAnsi="Arial"/>
                <w:sz w:val="16"/>
                <w:szCs w:val="16"/>
                <w:color w:val="auto"/>
              </w:rPr>
              <w:t>Bank Guarantee/LC</w:t>
            </w:r>
          </w:p>
        </w:tc>
        <w:tc>
          <w:tcPr>
            <w:tcW w:w="1840" w:type="dxa"/>
            <w:vAlign w:val="bottom"/>
          </w:tcPr>
          <w:p>
            <w:pPr>
              <w:ind w:left="340"/>
              <w:spacing w:after="0"/>
              <w:rPr>
                <w:sz w:val="20"/>
                <w:szCs w:val="20"/>
                <w:color w:val="auto"/>
              </w:rPr>
            </w:pPr>
            <w:r>
              <w:rPr>
                <w:rFonts w:ascii="Arial" w:cs="Arial" w:eastAsia="Arial" w:hAnsi="Arial"/>
                <w:sz w:val="16"/>
                <w:szCs w:val="16"/>
                <w:color w:val="auto"/>
              </w:rPr>
              <w:t>Cash Collateral</w:t>
            </w:r>
          </w:p>
        </w:tc>
        <w:tc>
          <w:tcPr>
            <w:tcW w:w="2140" w:type="dxa"/>
            <w:vAlign w:val="bottom"/>
          </w:tcPr>
          <w:p>
            <w:pPr>
              <w:jc w:val="right"/>
              <w:ind w:right="538"/>
              <w:spacing w:after="0"/>
              <w:rPr>
                <w:sz w:val="20"/>
                <w:szCs w:val="20"/>
                <w:color w:val="auto"/>
              </w:rPr>
            </w:pPr>
            <w:r>
              <w:rPr>
                <w:rFonts w:ascii="Arial" w:cs="Arial" w:eastAsia="Arial" w:hAnsi="Arial"/>
                <w:sz w:val="16"/>
                <w:szCs w:val="16"/>
                <w:color w:val="auto"/>
              </w:rPr>
              <w:t>EUR 175,000</w:t>
            </w:r>
          </w:p>
        </w:tc>
        <w:tc>
          <w:tcPr>
            <w:tcW w:w="1300" w:type="dxa"/>
            <w:vAlign w:val="bottom"/>
          </w:tcPr>
          <w:p>
            <w:pPr>
              <w:jc w:val="right"/>
              <w:spacing w:after="0"/>
              <w:rPr>
                <w:sz w:val="20"/>
                <w:szCs w:val="20"/>
                <w:color w:val="auto"/>
              </w:rPr>
            </w:pPr>
            <w:r>
              <w:rPr>
                <w:rFonts w:ascii="Arial" w:cs="Arial" w:eastAsia="Arial" w:hAnsi="Arial"/>
                <w:sz w:val="16"/>
                <w:szCs w:val="16"/>
                <w:color w:val="auto"/>
              </w:rPr>
              <w:t>236,478</w:t>
            </w:r>
          </w:p>
        </w:tc>
      </w:tr>
      <w:tr>
        <w:trPr>
          <w:trHeight w:val="257"/>
        </w:trPr>
        <w:tc>
          <w:tcPr>
            <w:tcW w:w="20" w:type="dxa"/>
            <w:vAlign w:val="bottom"/>
          </w:tcPr>
          <w:p>
            <w:pPr>
              <w:spacing w:after="0"/>
              <w:rPr>
                <w:sz w:val="22"/>
                <w:szCs w:val="22"/>
                <w:color w:val="auto"/>
              </w:rPr>
            </w:pPr>
          </w:p>
        </w:tc>
        <w:tc>
          <w:tcPr>
            <w:tcW w:w="2920" w:type="dxa"/>
            <w:vAlign w:val="bottom"/>
            <w:gridSpan w:val="2"/>
          </w:tcPr>
          <w:p>
            <w:pPr>
              <w:spacing w:after="0"/>
              <w:rPr>
                <w:sz w:val="20"/>
                <w:szCs w:val="20"/>
                <w:color w:val="auto"/>
              </w:rPr>
            </w:pPr>
            <w:r>
              <w:rPr>
                <w:rFonts w:ascii="Arial" w:cs="Arial" w:eastAsia="Arial" w:hAnsi="Arial"/>
                <w:sz w:val="16"/>
                <w:szCs w:val="16"/>
                <w:color w:val="auto"/>
                <w:w w:val="94"/>
              </w:rPr>
              <w:t>Euronet Pay &amp; Transaction Services S.R.L.</w:t>
            </w:r>
          </w:p>
        </w:tc>
        <w:tc>
          <w:tcPr>
            <w:tcW w:w="1480" w:type="dxa"/>
            <w:vAlign w:val="bottom"/>
          </w:tcPr>
          <w:p>
            <w:pPr>
              <w:ind w:left="100"/>
              <w:spacing w:after="0"/>
              <w:rPr>
                <w:sz w:val="20"/>
                <w:szCs w:val="20"/>
                <w:color w:val="auto"/>
              </w:rPr>
            </w:pPr>
            <w:r>
              <w:rPr>
                <w:rFonts w:ascii="Arial" w:cs="Arial" w:eastAsia="Arial" w:hAnsi="Arial"/>
                <w:sz w:val="16"/>
                <w:szCs w:val="16"/>
                <w:color w:val="auto"/>
              </w:rPr>
              <w:t>UniCredit</w:t>
            </w:r>
          </w:p>
        </w:tc>
        <w:tc>
          <w:tcPr>
            <w:tcW w:w="1700" w:type="dxa"/>
            <w:vAlign w:val="bottom"/>
          </w:tcPr>
          <w:p>
            <w:pPr>
              <w:ind w:left="80"/>
              <w:spacing w:after="0"/>
              <w:rPr>
                <w:sz w:val="20"/>
                <w:szCs w:val="20"/>
                <w:color w:val="auto"/>
              </w:rPr>
            </w:pPr>
            <w:r>
              <w:rPr>
                <w:rFonts w:ascii="Arial" w:cs="Arial" w:eastAsia="Arial" w:hAnsi="Arial"/>
                <w:sz w:val="16"/>
                <w:szCs w:val="16"/>
                <w:color w:val="auto"/>
              </w:rPr>
              <w:t>Bank Guarantee/LC</w:t>
            </w:r>
          </w:p>
        </w:tc>
        <w:tc>
          <w:tcPr>
            <w:tcW w:w="1840" w:type="dxa"/>
            <w:vAlign w:val="bottom"/>
          </w:tcPr>
          <w:p>
            <w:pPr>
              <w:ind w:left="340"/>
              <w:spacing w:after="0"/>
              <w:rPr>
                <w:sz w:val="20"/>
                <w:szCs w:val="20"/>
                <w:color w:val="auto"/>
              </w:rPr>
            </w:pPr>
            <w:r>
              <w:rPr>
                <w:rFonts w:ascii="Arial" w:cs="Arial" w:eastAsia="Arial" w:hAnsi="Arial"/>
                <w:sz w:val="16"/>
                <w:szCs w:val="16"/>
                <w:color w:val="auto"/>
              </w:rPr>
              <w:t>Cash Collateral</w:t>
            </w:r>
          </w:p>
        </w:tc>
        <w:tc>
          <w:tcPr>
            <w:tcW w:w="2140" w:type="dxa"/>
            <w:vAlign w:val="bottom"/>
          </w:tcPr>
          <w:p>
            <w:pPr>
              <w:jc w:val="right"/>
              <w:ind w:right="538"/>
              <w:spacing w:after="0"/>
              <w:rPr>
                <w:sz w:val="20"/>
                <w:szCs w:val="20"/>
                <w:color w:val="auto"/>
              </w:rPr>
            </w:pPr>
            <w:r>
              <w:rPr>
                <w:rFonts w:ascii="Arial" w:cs="Arial" w:eastAsia="Arial" w:hAnsi="Arial"/>
                <w:sz w:val="16"/>
                <w:szCs w:val="16"/>
                <w:color w:val="auto"/>
              </w:rPr>
              <w:t>EUR 175,000</w:t>
            </w:r>
          </w:p>
        </w:tc>
        <w:tc>
          <w:tcPr>
            <w:tcW w:w="1300" w:type="dxa"/>
            <w:vAlign w:val="bottom"/>
          </w:tcPr>
          <w:p>
            <w:pPr>
              <w:jc w:val="right"/>
              <w:spacing w:after="0"/>
              <w:rPr>
                <w:sz w:val="20"/>
                <w:szCs w:val="20"/>
                <w:color w:val="auto"/>
              </w:rPr>
            </w:pPr>
            <w:r>
              <w:rPr>
                <w:rFonts w:ascii="Arial" w:cs="Arial" w:eastAsia="Arial" w:hAnsi="Arial"/>
                <w:sz w:val="16"/>
                <w:szCs w:val="16"/>
                <w:color w:val="auto"/>
              </w:rPr>
              <w:t>236,478</w:t>
            </w:r>
          </w:p>
        </w:tc>
      </w:tr>
      <w:tr>
        <w:trPr>
          <w:trHeight w:val="257"/>
        </w:trPr>
        <w:tc>
          <w:tcPr>
            <w:tcW w:w="20" w:type="dxa"/>
            <w:vAlign w:val="bottom"/>
          </w:tcPr>
          <w:p>
            <w:pPr>
              <w:spacing w:after="0"/>
              <w:rPr>
                <w:sz w:val="22"/>
                <w:szCs w:val="22"/>
                <w:color w:val="auto"/>
              </w:rPr>
            </w:pPr>
          </w:p>
        </w:tc>
        <w:tc>
          <w:tcPr>
            <w:tcW w:w="2920" w:type="dxa"/>
            <w:vAlign w:val="bottom"/>
            <w:gridSpan w:val="2"/>
          </w:tcPr>
          <w:p>
            <w:pPr>
              <w:spacing w:after="0"/>
              <w:rPr>
                <w:sz w:val="20"/>
                <w:szCs w:val="20"/>
                <w:color w:val="auto"/>
              </w:rPr>
            </w:pPr>
            <w:r>
              <w:rPr>
                <w:rFonts w:ascii="Arial" w:cs="Arial" w:eastAsia="Arial" w:hAnsi="Arial"/>
                <w:sz w:val="16"/>
                <w:szCs w:val="16"/>
                <w:color w:val="auto"/>
                <w:w w:val="94"/>
              </w:rPr>
              <w:t>Euronet Pay &amp; Transaction Services S.R.L.</w:t>
            </w:r>
          </w:p>
        </w:tc>
        <w:tc>
          <w:tcPr>
            <w:tcW w:w="1480" w:type="dxa"/>
            <w:vAlign w:val="bottom"/>
          </w:tcPr>
          <w:p>
            <w:pPr>
              <w:ind w:left="100"/>
              <w:spacing w:after="0"/>
              <w:rPr>
                <w:sz w:val="20"/>
                <w:szCs w:val="20"/>
                <w:color w:val="auto"/>
              </w:rPr>
            </w:pPr>
            <w:r>
              <w:rPr>
                <w:rFonts w:ascii="Arial" w:cs="Arial" w:eastAsia="Arial" w:hAnsi="Arial"/>
                <w:sz w:val="16"/>
                <w:szCs w:val="16"/>
                <w:color w:val="auto"/>
              </w:rPr>
              <w:t>UniCredit</w:t>
            </w:r>
          </w:p>
        </w:tc>
        <w:tc>
          <w:tcPr>
            <w:tcW w:w="1700" w:type="dxa"/>
            <w:vAlign w:val="bottom"/>
          </w:tcPr>
          <w:p>
            <w:pPr>
              <w:ind w:left="80"/>
              <w:spacing w:after="0"/>
              <w:rPr>
                <w:sz w:val="20"/>
                <w:szCs w:val="20"/>
                <w:color w:val="auto"/>
              </w:rPr>
            </w:pPr>
            <w:r>
              <w:rPr>
                <w:rFonts w:ascii="Arial" w:cs="Arial" w:eastAsia="Arial" w:hAnsi="Arial"/>
                <w:sz w:val="16"/>
                <w:szCs w:val="16"/>
                <w:color w:val="auto"/>
              </w:rPr>
              <w:t>Bank Guarantee/LC</w:t>
            </w:r>
          </w:p>
        </w:tc>
        <w:tc>
          <w:tcPr>
            <w:tcW w:w="1840" w:type="dxa"/>
            <w:vAlign w:val="bottom"/>
          </w:tcPr>
          <w:p>
            <w:pPr>
              <w:ind w:left="340"/>
              <w:spacing w:after="0"/>
              <w:rPr>
                <w:sz w:val="20"/>
                <w:szCs w:val="20"/>
                <w:color w:val="auto"/>
              </w:rPr>
            </w:pPr>
            <w:r>
              <w:rPr>
                <w:rFonts w:ascii="Arial" w:cs="Arial" w:eastAsia="Arial" w:hAnsi="Arial"/>
                <w:sz w:val="16"/>
                <w:szCs w:val="16"/>
                <w:color w:val="auto"/>
              </w:rPr>
              <w:t>Cash Collateral</w:t>
            </w:r>
          </w:p>
        </w:tc>
        <w:tc>
          <w:tcPr>
            <w:tcW w:w="2140" w:type="dxa"/>
            <w:vAlign w:val="bottom"/>
          </w:tcPr>
          <w:p>
            <w:pPr>
              <w:jc w:val="right"/>
              <w:ind w:right="538"/>
              <w:spacing w:after="0"/>
              <w:rPr>
                <w:sz w:val="20"/>
                <w:szCs w:val="20"/>
                <w:color w:val="auto"/>
              </w:rPr>
            </w:pPr>
            <w:r>
              <w:rPr>
                <w:rFonts w:ascii="Arial" w:cs="Arial" w:eastAsia="Arial" w:hAnsi="Arial"/>
                <w:sz w:val="16"/>
                <w:szCs w:val="16"/>
                <w:color w:val="auto"/>
              </w:rPr>
              <w:t>EUR 30,000</w:t>
            </w:r>
          </w:p>
        </w:tc>
        <w:tc>
          <w:tcPr>
            <w:tcW w:w="1300" w:type="dxa"/>
            <w:vAlign w:val="bottom"/>
          </w:tcPr>
          <w:p>
            <w:pPr>
              <w:jc w:val="right"/>
              <w:spacing w:after="0"/>
              <w:rPr>
                <w:sz w:val="20"/>
                <w:szCs w:val="20"/>
                <w:color w:val="auto"/>
              </w:rPr>
            </w:pPr>
            <w:r>
              <w:rPr>
                <w:rFonts w:ascii="Arial" w:cs="Arial" w:eastAsia="Arial" w:hAnsi="Arial"/>
                <w:sz w:val="16"/>
                <w:szCs w:val="16"/>
                <w:color w:val="auto"/>
              </w:rPr>
              <w:t>40,539</w:t>
            </w:r>
          </w:p>
        </w:tc>
      </w:tr>
      <w:tr>
        <w:trPr>
          <w:trHeight w:val="257"/>
        </w:trPr>
        <w:tc>
          <w:tcPr>
            <w:tcW w:w="20" w:type="dxa"/>
            <w:vAlign w:val="bottom"/>
          </w:tcPr>
          <w:p>
            <w:pPr>
              <w:spacing w:after="0"/>
              <w:rPr>
                <w:sz w:val="22"/>
                <w:szCs w:val="22"/>
                <w:color w:val="auto"/>
              </w:rPr>
            </w:pPr>
          </w:p>
        </w:tc>
        <w:tc>
          <w:tcPr>
            <w:tcW w:w="2920" w:type="dxa"/>
            <w:vAlign w:val="bottom"/>
            <w:gridSpan w:val="2"/>
          </w:tcPr>
          <w:p>
            <w:pPr>
              <w:spacing w:after="0"/>
              <w:rPr>
                <w:sz w:val="20"/>
                <w:szCs w:val="20"/>
                <w:color w:val="auto"/>
              </w:rPr>
            </w:pPr>
            <w:r>
              <w:rPr>
                <w:rFonts w:ascii="Arial" w:cs="Arial" w:eastAsia="Arial" w:hAnsi="Arial"/>
                <w:sz w:val="16"/>
                <w:szCs w:val="16"/>
                <w:color w:val="auto"/>
                <w:w w:val="94"/>
              </w:rPr>
              <w:t>Euronet Pay &amp; Transaction Services S.R.L.</w:t>
            </w:r>
          </w:p>
        </w:tc>
        <w:tc>
          <w:tcPr>
            <w:tcW w:w="1480" w:type="dxa"/>
            <w:vAlign w:val="bottom"/>
          </w:tcPr>
          <w:p>
            <w:pPr>
              <w:ind w:left="100"/>
              <w:spacing w:after="0"/>
              <w:rPr>
                <w:sz w:val="20"/>
                <w:szCs w:val="20"/>
                <w:color w:val="auto"/>
              </w:rPr>
            </w:pPr>
            <w:r>
              <w:rPr>
                <w:rFonts w:ascii="Arial" w:cs="Arial" w:eastAsia="Arial" w:hAnsi="Arial"/>
                <w:sz w:val="16"/>
                <w:szCs w:val="16"/>
                <w:color w:val="auto"/>
              </w:rPr>
              <w:t>UniCredit</w:t>
            </w:r>
          </w:p>
        </w:tc>
        <w:tc>
          <w:tcPr>
            <w:tcW w:w="1700" w:type="dxa"/>
            <w:vAlign w:val="bottom"/>
          </w:tcPr>
          <w:p>
            <w:pPr>
              <w:ind w:left="80"/>
              <w:spacing w:after="0"/>
              <w:rPr>
                <w:sz w:val="20"/>
                <w:szCs w:val="20"/>
                <w:color w:val="auto"/>
              </w:rPr>
            </w:pPr>
            <w:r>
              <w:rPr>
                <w:rFonts w:ascii="Arial" w:cs="Arial" w:eastAsia="Arial" w:hAnsi="Arial"/>
                <w:sz w:val="16"/>
                <w:szCs w:val="16"/>
                <w:color w:val="auto"/>
              </w:rPr>
              <w:t>Bank Guarantee/LC</w:t>
            </w:r>
          </w:p>
        </w:tc>
        <w:tc>
          <w:tcPr>
            <w:tcW w:w="1840" w:type="dxa"/>
            <w:vAlign w:val="bottom"/>
          </w:tcPr>
          <w:p>
            <w:pPr>
              <w:ind w:left="340"/>
              <w:spacing w:after="0"/>
              <w:rPr>
                <w:sz w:val="20"/>
                <w:szCs w:val="20"/>
                <w:color w:val="auto"/>
              </w:rPr>
            </w:pPr>
            <w:r>
              <w:rPr>
                <w:rFonts w:ascii="Arial" w:cs="Arial" w:eastAsia="Arial" w:hAnsi="Arial"/>
                <w:sz w:val="16"/>
                <w:szCs w:val="16"/>
                <w:color w:val="auto"/>
              </w:rPr>
              <w:t>Cash Collateral</w:t>
            </w:r>
          </w:p>
        </w:tc>
        <w:tc>
          <w:tcPr>
            <w:tcW w:w="2140" w:type="dxa"/>
            <w:vAlign w:val="bottom"/>
          </w:tcPr>
          <w:p>
            <w:pPr>
              <w:jc w:val="right"/>
              <w:ind w:right="538"/>
              <w:spacing w:after="0"/>
              <w:rPr>
                <w:sz w:val="20"/>
                <w:szCs w:val="20"/>
                <w:color w:val="auto"/>
              </w:rPr>
            </w:pPr>
            <w:r>
              <w:rPr>
                <w:rFonts w:ascii="Arial" w:cs="Arial" w:eastAsia="Arial" w:hAnsi="Arial"/>
                <w:sz w:val="16"/>
                <w:szCs w:val="16"/>
                <w:color w:val="auto"/>
              </w:rPr>
              <w:t>EUR 30,000</w:t>
            </w:r>
          </w:p>
        </w:tc>
        <w:tc>
          <w:tcPr>
            <w:tcW w:w="1300" w:type="dxa"/>
            <w:vAlign w:val="bottom"/>
          </w:tcPr>
          <w:p>
            <w:pPr>
              <w:jc w:val="right"/>
              <w:spacing w:after="0"/>
              <w:rPr>
                <w:sz w:val="20"/>
                <w:szCs w:val="20"/>
                <w:color w:val="auto"/>
              </w:rPr>
            </w:pPr>
            <w:r>
              <w:rPr>
                <w:rFonts w:ascii="Arial" w:cs="Arial" w:eastAsia="Arial" w:hAnsi="Arial"/>
                <w:sz w:val="16"/>
                <w:szCs w:val="16"/>
                <w:color w:val="auto"/>
              </w:rPr>
              <w:t>40,539</w:t>
            </w:r>
          </w:p>
        </w:tc>
      </w:tr>
      <w:tr>
        <w:trPr>
          <w:trHeight w:val="257"/>
        </w:trPr>
        <w:tc>
          <w:tcPr>
            <w:tcW w:w="20" w:type="dxa"/>
            <w:vAlign w:val="bottom"/>
          </w:tcPr>
          <w:p>
            <w:pPr>
              <w:spacing w:after="0"/>
              <w:rPr>
                <w:sz w:val="22"/>
                <w:szCs w:val="22"/>
                <w:color w:val="auto"/>
              </w:rPr>
            </w:pPr>
          </w:p>
        </w:tc>
        <w:tc>
          <w:tcPr>
            <w:tcW w:w="2920" w:type="dxa"/>
            <w:vAlign w:val="bottom"/>
            <w:gridSpan w:val="2"/>
          </w:tcPr>
          <w:p>
            <w:pPr>
              <w:spacing w:after="0"/>
              <w:rPr>
                <w:sz w:val="20"/>
                <w:szCs w:val="20"/>
                <w:color w:val="auto"/>
              </w:rPr>
            </w:pPr>
            <w:r>
              <w:rPr>
                <w:rFonts w:ascii="Arial" w:cs="Arial" w:eastAsia="Arial" w:hAnsi="Arial"/>
                <w:sz w:val="16"/>
                <w:szCs w:val="16"/>
                <w:color w:val="auto"/>
                <w:w w:val="94"/>
              </w:rPr>
              <w:t>Euronet Pay &amp; Transaction Services S.R.L.</w:t>
            </w:r>
          </w:p>
        </w:tc>
        <w:tc>
          <w:tcPr>
            <w:tcW w:w="1480" w:type="dxa"/>
            <w:vAlign w:val="bottom"/>
          </w:tcPr>
          <w:p>
            <w:pPr>
              <w:ind w:left="100"/>
              <w:spacing w:after="0"/>
              <w:rPr>
                <w:sz w:val="20"/>
                <w:szCs w:val="20"/>
                <w:color w:val="auto"/>
              </w:rPr>
            </w:pPr>
            <w:r>
              <w:rPr>
                <w:rFonts w:ascii="Arial" w:cs="Arial" w:eastAsia="Arial" w:hAnsi="Arial"/>
                <w:sz w:val="16"/>
                <w:szCs w:val="16"/>
                <w:color w:val="auto"/>
              </w:rPr>
              <w:t>UniCredit</w:t>
            </w:r>
          </w:p>
        </w:tc>
        <w:tc>
          <w:tcPr>
            <w:tcW w:w="1700" w:type="dxa"/>
            <w:vAlign w:val="bottom"/>
          </w:tcPr>
          <w:p>
            <w:pPr>
              <w:ind w:left="80"/>
              <w:spacing w:after="0"/>
              <w:rPr>
                <w:sz w:val="20"/>
                <w:szCs w:val="20"/>
                <w:color w:val="auto"/>
              </w:rPr>
            </w:pPr>
            <w:r>
              <w:rPr>
                <w:rFonts w:ascii="Arial" w:cs="Arial" w:eastAsia="Arial" w:hAnsi="Arial"/>
                <w:sz w:val="16"/>
                <w:szCs w:val="16"/>
                <w:color w:val="auto"/>
              </w:rPr>
              <w:t>Bank Guarantee/LC</w:t>
            </w:r>
          </w:p>
        </w:tc>
        <w:tc>
          <w:tcPr>
            <w:tcW w:w="1840" w:type="dxa"/>
            <w:vAlign w:val="bottom"/>
          </w:tcPr>
          <w:p>
            <w:pPr>
              <w:ind w:left="340"/>
              <w:spacing w:after="0"/>
              <w:rPr>
                <w:sz w:val="20"/>
                <w:szCs w:val="20"/>
                <w:color w:val="auto"/>
              </w:rPr>
            </w:pPr>
            <w:r>
              <w:rPr>
                <w:rFonts w:ascii="Arial" w:cs="Arial" w:eastAsia="Arial" w:hAnsi="Arial"/>
                <w:sz w:val="16"/>
                <w:szCs w:val="16"/>
                <w:color w:val="auto"/>
              </w:rPr>
              <w:t>Cash Collateral</w:t>
            </w:r>
          </w:p>
        </w:tc>
        <w:tc>
          <w:tcPr>
            <w:tcW w:w="2140" w:type="dxa"/>
            <w:vAlign w:val="bottom"/>
          </w:tcPr>
          <w:p>
            <w:pPr>
              <w:jc w:val="right"/>
              <w:ind w:right="538"/>
              <w:spacing w:after="0"/>
              <w:rPr>
                <w:sz w:val="20"/>
                <w:szCs w:val="20"/>
                <w:color w:val="auto"/>
              </w:rPr>
            </w:pPr>
            <w:r>
              <w:rPr>
                <w:rFonts w:ascii="Arial" w:cs="Arial" w:eastAsia="Arial" w:hAnsi="Arial"/>
                <w:sz w:val="16"/>
                <w:szCs w:val="16"/>
                <w:color w:val="auto"/>
              </w:rPr>
              <w:t>EUR 60,000</w:t>
            </w:r>
          </w:p>
        </w:tc>
        <w:tc>
          <w:tcPr>
            <w:tcW w:w="1300" w:type="dxa"/>
            <w:vAlign w:val="bottom"/>
          </w:tcPr>
          <w:p>
            <w:pPr>
              <w:jc w:val="right"/>
              <w:spacing w:after="0"/>
              <w:rPr>
                <w:sz w:val="20"/>
                <w:szCs w:val="20"/>
                <w:color w:val="auto"/>
              </w:rPr>
            </w:pPr>
            <w:r>
              <w:rPr>
                <w:rFonts w:ascii="Arial" w:cs="Arial" w:eastAsia="Arial" w:hAnsi="Arial"/>
                <w:sz w:val="16"/>
                <w:szCs w:val="16"/>
                <w:color w:val="auto"/>
              </w:rPr>
              <w:t>81,078</w:t>
            </w:r>
          </w:p>
        </w:tc>
      </w:tr>
      <w:tr>
        <w:trPr>
          <w:trHeight w:val="253"/>
        </w:trPr>
        <w:tc>
          <w:tcPr>
            <w:tcW w:w="20" w:type="dxa"/>
            <w:vAlign w:val="bottom"/>
          </w:tcPr>
          <w:p>
            <w:pPr>
              <w:spacing w:after="0"/>
              <w:rPr>
                <w:sz w:val="21"/>
                <w:szCs w:val="21"/>
                <w:color w:val="auto"/>
              </w:rPr>
            </w:pPr>
          </w:p>
        </w:tc>
        <w:tc>
          <w:tcPr>
            <w:tcW w:w="25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480" w:type="dxa"/>
            <w:vAlign w:val="bottom"/>
          </w:tcPr>
          <w:p>
            <w:pPr>
              <w:ind w:left="100"/>
              <w:spacing w:after="0"/>
              <w:rPr>
                <w:sz w:val="20"/>
                <w:szCs w:val="20"/>
                <w:color w:val="auto"/>
              </w:rPr>
            </w:pPr>
            <w:r>
              <w:rPr>
                <w:rFonts w:ascii="Arial" w:cs="Arial" w:eastAsia="Arial" w:hAnsi="Arial"/>
                <w:sz w:val="16"/>
                <w:szCs w:val="16"/>
                <w:color w:val="auto"/>
              </w:rPr>
              <w:t>Catalunya Banc,</w:t>
            </w:r>
          </w:p>
        </w:tc>
        <w:tc>
          <w:tcPr>
            <w:tcW w:w="1700" w:type="dxa"/>
            <w:vAlign w:val="bottom"/>
          </w:tcPr>
          <w:p>
            <w:pPr>
              <w:spacing w:after="0"/>
              <w:rPr>
                <w:sz w:val="21"/>
                <w:szCs w:val="21"/>
                <w:color w:val="auto"/>
              </w:rPr>
            </w:pPr>
          </w:p>
        </w:tc>
        <w:tc>
          <w:tcPr>
            <w:tcW w:w="1840" w:type="dxa"/>
            <w:vAlign w:val="bottom"/>
          </w:tcPr>
          <w:p>
            <w:pPr>
              <w:spacing w:after="0"/>
              <w:rPr>
                <w:sz w:val="21"/>
                <w:szCs w:val="21"/>
                <w:color w:val="auto"/>
              </w:rPr>
            </w:pPr>
          </w:p>
        </w:tc>
        <w:tc>
          <w:tcPr>
            <w:tcW w:w="2140" w:type="dxa"/>
            <w:vAlign w:val="bottom"/>
          </w:tcPr>
          <w:p>
            <w:pPr>
              <w:spacing w:after="0"/>
              <w:rPr>
                <w:sz w:val="21"/>
                <w:szCs w:val="21"/>
                <w:color w:val="auto"/>
              </w:rPr>
            </w:pPr>
          </w:p>
        </w:tc>
        <w:tc>
          <w:tcPr>
            <w:tcW w:w="1300" w:type="dxa"/>
            <w:vAlign w:val="bottom"/>
          </w:tcPr>
          <w:p>
            <w:pPr>
              <w:spacing w:after="0"/>
              <w:rPr>
                <w:sz w:val="21"/>
                <w:szCs w:val="21"/>
                <w:color w:val="auto"/>
              </w:rPr>
            </w:pPr>
          </w:p>
        </w:tc>
      </w:tr>
      <w:tr>
        <w:trPr>
          <w:trHeight w:val="206"/>
        </w:trPr>
        <w:tc>
          <w:tcPr>
            <w:tcW w:w="20" w:type="dxa"/>
            <w:vAlign w:val="bottom"/>
          </w:tcPr>
          <w:p>
            <w:pPr>
              <w:spacing w:after="0"/>
              <w:rPr>
                <w:sz w:val="17"/>
                <w:szCs w:val="17"/>
                <w:color w:val="auto"/>
              </w:rPr>
            </w:pPr>
          </w:p>
        </w:tc>
        <w:tc>
          <w:tcPr>
            <w:tcW w:w="2920" w:type="dxa"/>
            <w:vAlign w:val="bottom"/>
            <w:gridSpan w:val="2"/>
          </w:tcPr>
          <w:p>
            <w:pPr>
              <w:spacing w:after="0"/>
              <w:rPr>
                <w:sz w:val="20"/>
                <w:szCs w:val="20"/>
                <w:color w:val="auto"/>
              </w:rPr>
            </w:pPr>
            <w:r>
              <w:rPr>
                <w:rFonts w:ascii="Arial" w:cs="Arial" w:eastAsia="Arial" w:hAnsi="Arial"/>
                <w:sz w:val="16"/>
                <w:szCs w:val="16"/>
                <w:color w:val="auto"/>
              </w:rPr>
              <w:t>RIA Payment Institution EP, S.A.U.</w:t>
            </w:r>
          </w:p>
        </w:tc>
        <w:tc>
          <w:tcPr>
            <w:tcW w:w="1480" w:type="dxa"/>
            <w:vAlign w:val="bottom"/>
          </w:tcPr>
          <w:p>
            <w:pPr>
              <w:ind w:left="100"/>
              <w:spacing w:after="0"/>
              <w:rPr>
                <w:sz w:val="20"/>
                <w:szCs w:val="20"/>
                <w:color w:val="auto"/>
              </w:rPr>
            </w:pPr>
            <w:r>
              <w:rPr>
                <w:rFonts w:ascii="Arial" w:cs="Arial" w:eastAsia="Arial" w:hAnsi="Arial"/>
                <w:sz w:val="16"/>
                <w:szCs w:val="16"/>
                <w:color w:val="auto"/>
              </w:rPr>
              <w:t>S.A.</w:t>
            </w:r>
          </w:p>
        </w:tc>
        <w:tc>
          <w:tcPr>
            <w:tcW w:w="1700" w:type="dxa"/>
            <w:vAlign w:val="bottom"/>
          </w:tcPr>
          <w:p>
            <w:pPr>
              <w:ind w:left="80"/>
              <w:spacing w:after="0"/>
              <w:rPr>
                <w:sz w:val="20"/>
                <w:szCs w:val="20"/>
                <w:color w:val="auto"/>
              </w:rPr>
            </w:pPr>
            <w:r>
              <w:rPr>
                <w:rFonts w:ascii="Arial" w:cs="Arial" w:eastAsia="Arial" w:hAnsi="Arial"/>
                <w:sz w:val="16"/>
                <w:szCs w:val="16"/>
                <w:color w:val="auto"/>
              </w:rPr>
              <w:t>Bank Guarantee/LC</w:t>
            </w:r>
          </w:p>
        </w:tc>
        <w:tc>
          <w:tcPr>
            <w:tcW w:w="1840" w:type="dxa"/>
            <w:vAlign w:val="bottom"/>
          </w:tcPr>
          <w:p>
            <w:pPr>
              <w:ind w:left="340"/>
              <w:spacing w:after="0"/>
              <w:rPr>
                <w:sz w:val="20"/>
                <w:szCs w:val="20"/>
                <w:color w:val="auto"/>
              </w:rPr>
            </w:pPr>
            <w:r>
              <w:rPr>
                <w:rFonts w:ascii="Arial" w:cs="Arial" w:eastAsia="Arial" w:hAnsi="Arial"/>
                <w:sz w:val="16"/>
                <w:szCs w:val="16"/>
                <w:color w:val="auto"/>
              </w:rPr>
              <w:t>Cash Collateral</w:t>
            </w:r>
          </w:p>
        </w:tc>
        <w:tc>
          <w:tcPr>
            <w:tcW w:w="2140" w:type="dxa"/>
            <w:vAlign w:val="bottom"/>
          </w:tcPr>
          <w:p>
            <w:pPr>
              <w:jc w:val="right"/>
              <w:ind w:right="538"/>
              <w:spacing w:after="0"/>
              <w:rPr>
                <w:sz w:val="20"/>
                <w:szCs w:val="20"/>
                <w:color w:val="auto"/>
              </w:rPr>
            </w:pPr>
            <w:r>
              <w:rPr>
                <w:rFonts w:ascii="Arial" w:cs="Arial" w:eastAsia="Arial" w:hAnsi="Arial"/>
                <w:sz w:val="16"/>
                <w:szCs w:val="16"/>
                <w:color w:val="auto"/>
              </w:rPr>
              <w:t>EUR 79,200</w:t>
            </w:r>
          </w:p>
        </w:tc>
        <w:tc>
          <w:tcPr>
            <w:tcW w:w="1300" w:type="dxa"/>
            <w:vAlign w:val="bottom"/>
          </w:tcPr>
          <w:p>
            <w:pPr>
              <w:jc w:val="right"/>
              <w:spacing w:after="0"/>
              <w:rPr>
                <w:sz w:val="20"/>
                <w:szCs w:val="20"/>
                <w:color w:val="auto"/>
              </w:rPr>
            </w:pPr>
            <w:r>
              <w:rPr>
                <w:rFonts w:ascii="Arial" w:cs="Arial" w:eastAsia="Arial" w:hAnsi="Arial"/>
                <w:sz w:val="16"/>
                <w:szCs w:val="16"/>
                <w:color w:val="auto"/>
              </w:rPr>
              <w:t>107,023</w:t>
            </w:r>
          </w:p>
        </w:tc>
      </w:tr>
    </w:tbl>
    <w:p>
      <w:pPr>
        <w:sectPr>
          <w:pgSz w:w="11900" w:h="16838" w:orient="portrait"/>
          <w:cols w:equalWidth="0" w:num="1">
            <w:col w:w="11400"/>
          </w:cols>
          <w:pgMar w:left="260" w:top="527" w:right="239" w:bottom="1440" w:gutter="0" w:footer="0" w:header="0"/>
        </w:sectPr>
      </w:pPr>
    </w:p>
    <w:bookmarkStart w:id="271" w:name="page272"/>
    <w:bookmarkEnd w:id="27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2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720" w:type="dxa"/>
            <w:vAlign w:val="bottom"/>
          </w:tcPr>
          <w:p>
            <w:pPr>
              <w:ind w:left="340"/>
              <w:spacing w:after="0"/>
              <w:rPr>
                <w:sz w:val="20"/>
                <w:szCs w:val="20"/>
                <w:color w:val="auto"/>
              </w:rPr>
            </w:pPr>
            <w:r>
              <w:rPr>
                <w:rFonts w:ascii="Arial" w:cs="Arial" w:eastAsia="Arial" w:hAnsi="Arial"/>
                <w:sz w:val="16"/>
                <w:szCs w:val="16"/>
                <w:color w:val="auto"/>
              </w:rPr>
              <w:t>Catalunya Banc,</w:t>
            </w:r>
          </w:p>
        </w:tc>
        <w:tc>
          <w:tcPr>
            <w:tcW w:w="168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920" w:type="dxa"/>
            <w:vAlign w:val="bottom"/>
          </w:tcPr>
          <w:p>
            <w:pPr>
              <w:spacing w:after="0"/>
              <w:rPr>
                <w:sz w:val="17"/>
                <w:szCs w:val="17"/>
                <w:color w:val="auto"/>
              </w:rPr>
            </w:pPr>
          </w:p>
        </w:tc>
      </w:tr>
      <w:tr>
        <w:trPr>
          <w:trHeight w:val="206"/>
        </w:trPr>
        <w:tc>
          <w:tcPr>
            <w:tcW w:w="20" w:type="dxa"/>
            <w:vAlign w:val="bottom"/>
          </w:tcPr>
          <w:p>
            <w:pPr>
              <w:spacing w:after="0"/>
              <w:rPr>
                <w:sz w:val="17"/>
                <w:szCs w:val="17"/>
                <w:color w:val="auto"/>
              </w:rPr>
            </w:pPr>
          </w:p>
        </w:tc>
        <w:tc>
          <w:tcPr>
            <w:tcW w:w="2680" w:type="dxa"/>
            <w:vAlign w:val="bottom"/>
            <w:gridSpan w:val="2"/>
          </w:tcPr>
          <w:p>
            <w:pPr>
              <w:spacing w:after="0"/>
              <w:rPr>
                <w:sz w:val="20"/>
                <w:szCs w:val="20"/>
                <w:color w:val="auto"/>
              </w:rPr>
            </w:pPr>
            <w:r>
              <w:rPr>
                <w:rFonts w:ascii="Arial" w:cs="Arial" w:eastAsia="Arial" w:hAnsi="Arial"/>
                <w:sz w:val="16"/>
                <w:szCs w:val="16"/>
                <w:color w:val="auto"/>
              </w:rPr>
              <w:t>RIA Payment Institution EP, S.A.U.</w:t>
            </w:r>
          </w:p>
        </w:tc>
        <w:tc>
          <w:tcPr>
            <w:tcW w:w="1720" w:type="dxa"/>
            <w:vAlign w:val="bottom"/>
          </w:tcPr>
          <w:p>
            <w:pPr>
              <w:ind w:left="340"/>
              <w:spacing w:after="0"/>
              <w:rPr>
                <w:sz w:val="20"/>
                <w:szCs w:val="20"/>
                <w:color w:val="auto"/>
              </w:rPr>
            </w:pPr>
            <w:r>
              <w:rPr>
                <w:rFonts w:ascii="Arial" w:cs="Arial" w:eastAsia="Arial" w:hAnsi="Arial"/>
                <w:sz w:val="16"/>
                <w:szCs w:val="16"/>
                <w:color w:val="auto"/>
              </w:rPr>
              <w:t>S.A.</w:t>
            </w:r>
          </w:p>
        </w:tc>
        <w:tc>
          <w:tcPr>
            <w:tcW w:w="1680" w:type="dxa"/>
            <w:vAlign w:val="bottom"/>
          </w:tcPr>
          <w:p>
            <w:pPr>
              <w:ind w:left="60"/>
              <w:spacing w:after="0"/>
              <w:rPr>
                <w:sz w:val="20"/>
                <w:szCs w:val="20"/>
                <w:color w:val="auto"/>
              </w:rPr>
            </w:pPr>
            <w:r>
              <w:rPr>
                <w:rFonts w:ascii="Arial" w:cs="Arial" w:eastAsia="Arial" w:hAnsi="Arial"/>
                <w:sz w:val="16"/>
                <w:szCs w:val="16"/>
                <w:color w:val="auto"/>
              </w:rPr>
              <w:t>Bank Guarantee/LC</w:t>
            </w:r>
          </w:p>
        </w:tc>
        <w:tc>
          <w:tcPr>
            <w:tcW w:w="1840" w:type="dxa"/>
            <w:vAlign w:val="bottom"/>
          </w:tcPr>
          <w:p>
            <w:pPr>
              <w:ind w:left="340"/>
              <w:spacing w:after="0"/>
              <w:rPr>
                <w:sz w:val="20"/>
                <w:szCs w:val="20"/>
                <w:color w:val="auto"/>
              </w:rPr>
            </w:pPr>
            <w:r>
              <w:rPr>
                <w:rFonts w:ascii="Arial" w:cs="Arial" w:eastAsia="Arial" w:hAnsi="Arial"/>
                <w:sz w:val="16"/>
                <w:szCs w:val="16"/>
                <w:color w:val="auto"/>
              </w:rPr>
              <w:t>Cash Collateral</w:t>
            </w:r>
          </w:p>
        </w:tc>
        <w:tc>
          <w:tcPr>
            <w:tcW w:w="1540" w:type="dxa"/>
            <w:vAlign w:val="bottom"/>
          </w:tcPr>
          <w:p>
            <w:pPr>
              <w:jc w:val="right"/>
              <w:spacing w:after="0"/>
              <w:rPr>
                <w:sz w:val="20"/>
                <w:szCs w:val="20"/>
                <w:color w:val="auto"/>
              </w:rPr>
            </w:pPr>
            <w:r>
              <w:rPr>
                <w:rFonts w:ascii="Arial" w:cs="Arial" w:eastAsia="Arial" w:hAnsi="Arial"/>
                <w:sz w:val="16"/>
                <w:szCs w:val="16"/>
                <w:color w:val="auto"/>
              </w:rPr>
              <w:t>EUR 30,000</w:t>
            </w:r>
          </w:p>
        </w:tc>
        <w:tc>
          <w:tcPr>
            <w:tcW w:w="1920" w:type="dxa"/>
            <w:vAlign w:val="bottom"/>
          </w:tcPr>
          <w:p>
            <w:pPr>
              <w:jc w:val="right"/>
              <w:spacing w:after="0"/>
              <w:rPr>
                <w:sz w:val="20"/>
                <w:szCs w:val="20"/>
                <w:color w:val="auto"/>
              </w:rPr>
            </w:pPr>
            <w:r>
              <w:rPr>
                <w:rFonts w:ascii="Arial" w:cs="Arial" w:eastAsia="Arial" w:hAnsi="Arial"/>
                <w:sz w:val="16"/>
                <w:szCs w:val="16"/>
                <w:color w:val="auto"/>
              </w:rPr>
              <w:t>40,539</w:t>
            </w:r>
          </w:p>
        </w:tc>
      </w:tr>
      <w:tr>
        <w:trPr>
          <w:trHeight w:val="253"/>
        </w:trPr>
        <w:tc>
          <w:tcPr>
            <w:tcW w:w="20" w:type="dxa"/>
            <w:vAlign w:val="bottom"/>
          </w:tcPr>
          <w:p>
            <w:pPr>
              <w:spacing w:after="0"/>
              <w:rPr>
                <w:sz w:val="21"/>
                <w:szCs w:val="21"/>
                <w:color w:val="auto"/>
              </w:rPr>
            </w:pPr>
          </w:p>
        </w:tc>
        <w:tc>
          <w:tcPr>
            <w:tcW w:w="17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720" w:type="dxa"/>
            <w:vAlign w:val="bottom"/>
          </w:tcPr>
          <w:p>
            <w:pPr>
              <w:ind w:left="340"/>
              <w:spacing w:after="0"/>
              <w:rPr>
                <w:sz w:val="20"/>
                <w:szCs w:val="20"/>
                <w:color w:val="auto"/>
              </w:rPr>
            </w:pPr>
            <w:r>
              <w:rPr>
                <w:rFonts w:ascii="Arial" w:cs="Arial" w:eastAsia="Arial" w:hAnsi="Arial"/>
                <w:sz w:val="16"/>
                <w:szCs w:val="16"/>
                <w:color w:val="auto"/>
              </w:rPr>
              <w:t>Catalunya Banc,</w:t>
            </w:r>
          </w:p>
        </w:tc>
        <w:tc>
          <w:tcPr>
            <w:tcW w:w="1680" w:type="dxa"/>
            <w:vAlign w:val="bottom"/>
          </w:tcPr>
          <w:p>
            <w:pPr>
              <w:spacing w:after="0"/>
              <w:rPr>
                <w:sz w:val="21"/>
                <w:szCs w:val="21"/>
                <w:color w:val="auto"/>
              </w:rPr>
            </w:pPr>
          </w:p>
        </w:tc>
        <w:tc>
          <w:tcPr>
            <w:tcW w:w="1840" w:type="dxa"/>
            <w:vAlign w:val="bottom"/>
          </w:tcPr>
          <w:p>
            <w:pPr>
              <w:spacing w:after="0"/>
              <w:rPr>
                <w:sz w:val="21"/>
                <w:szCs w:val="21"/>
                <w:color w:val="auto"/>
              </w:rPr>
            </w:pPr>
          </w:p>
        </w:tc>
        <w:tc>
          <w:tcPr>
            <w:tcW w:w="1540" w:type="dxa"/>
            <w:vAlign w:val="bottom"/>
          </w:tcPr>
          <w:p>
            <w:pPr>
              <w:spacing w:after="0"/>
              <w:rPr>
                <w:sz w:val="21"/>
                <w:szCs w:val="21"/>
                <w:color w:val="auto"/>
              </w:rPr>
            </w:pPr>
          </w:p>
        </w:tc>
        <w:tc>
          <w:tcPr>
            <w:tcW w:w="1920" w:type="dxa"/>
            <w:vAlign w:val="bottom"/>
          </w:tcPr>
          <w:p>
            <w:pPr>
              <w:spacing w:after="0"/>
              <w:rPr>
                <w:sz w:val="21"/>
                <w:szCs w:val="21"/>
                <w:color w:val="auto"/>
              </w:rPr>
            </w:pPr>
          </w:p>
        </w:tc>
      </w:tr>
      <w:tr>
        <w:trPr>
          <w:trHeight w:val="206"/>
        </w:trPr>
        <w:tc>
          <w:tcPr>
            <w:tcW w:w="20" w:type="dxa"/>
            <w:vAlign w:val="bottom"/>
          </w:tcPr>
          <w:p>
            <w:pPr>
              <w:spacing w:after="0"/>
              <w:rPr>
                <w:sz w:val="17"/>
                <w:szCs w:val="17"/>
                <w:color w:val="auto"/>
              </w:rPr>
            </w:pPr>
          </w:p>
        </w:tc>
        <w:tc>
          <w:tcPr>
            <w:tcW w:w="2680" w:type="dxa"/>
            <w:vAlign w:val="bottom"/>
            <w:gridSpan w:val="2"/>
          </w:tcPr>
          <w:p>
            <w:pPr>
              <w:spacing w:after="0"/>
              <w:rPr>
                <w:sz w:val="20"/>
                <w:szCs w:val="20"/>
                <w:color w:val="auto"/>
              </w:rPr>
            </w:pPr>
            <w:r>
              <w:rPr>
                <w:rFonts w:ascii="Arial" w:cs="Arial" w:eastAsia="Arial" w:hAnsi="Arial"/>
                <w:sz w:val="16"/>
                <w:szCs w:val="16"/>
                <w:color w:val="auto"/>
              </w:rPr>
              <w:t>RIA Payment Institution EP, S.A.U.</w:t>
            </w:r>
          </w:p>
        </w:tc>
        <w:tc>
          <w:tcPr>
            <w:tcW w:w="1720" w:type="dxa"/>
            <w:vAlign w:val="bottom"/>
          </w:tcPr>
          <w:p>
            <w:pPr>
              <w:ind w:left="340"/>
              <w:spacing w:after="0"/>
              <w:rPr>
                <w:sz w:val="20"/>
                <w:szCs w:val="20"/>
                <w:color w:val="auto"/>
              </w:rPr>
            </w:pPr>
            <w:r>
              <w:rPr>
                <w:rFonts w:ascii="Arial" w:cs="Arial" w:eastAsia="Arial" w:hAnsi="Arial"/>
                <w:sz w:val="16"/>
                <w:szCs w:val="16"/>
                <w:color w:val="auto"/>
              </w:rPr>
              <w:t>S.A.</w:t>
            </w:r>
          </w:p>
        </w:tc>
        <w:tc>
          <w:tcPr>
            <w:tcW w:w="1680" w:type="dxa"/>
            <w:vAlign w:val="bottom"/>
          </w:tcPr>
          <w:p>
            <w:pPr>
              <w:ind w:left="60"/>
              <w:spacing w:after="0"/>
              <w:rPr>
                <w:sz w:val="20"/>
                <w:szCs w:val="20"/>
                <w:color w:val="auto"/>
              </w:rPr>
            </w:pPr>
            <w:r>
              <w:rPr>
                <w:rFonts w:ascii="Arial" w:cs="Arial" w:eastAsia="Arial" w:hAnsi="Arial"/>
                <w:sz w:val="16"/>
                <w:szCs w:val="16"/>
                <w:color w:val="auto"/>
              </w:rPr>
              <w:t>Bank Guarantee/LC</w:t>
            </w:r>
          </w:p>
        </w:tc>
        <w:tc>
          <w:tcPr>
            <w:tcW w:w="1840" w:type="dxa"/>
            <w:vAlign w:val="bottom"/>
          </w:tcPr>
          <w:p>
            <w:pPr>
              <w:ind w:left="340"/>
              <w:spacing w:after="0"/>
              <w:rPr>
                <w:sz w:val="20"/>
                <w:szCs w:val="20"/>
                <w:color w:val="auto"/>
              </w:rPr>
            </w:pPr>
            <w:r>
              <w:rPr>
                <w:rFonts w:ascii="Arial" w:cs="Arial" w:eastAsia="Arial" w:hAnsi="Arial"/>
                <w:sz w:val="16"/>
                <w:szCs w:val="16"/>
                <w:color w:val="auto"/>
              </w:rPr>
              <w:t>Cash Collateral</w:t>
            </w:r>
          </w:p>
        </w:tc>
        <w:tc>
          <w:tcPr>
            <w:tcW w:w="1540" w:type="dxa"/>
            <w:vAlign w:val="bottom"/>
          </w:tcPr>
          <w:p>
            <w:pPr>
              <w:jc w:val="right"/>
              <w:spacing w:after="0"/>
              <w:rPr>
                <w:sz w:val="20"/>
                <w:szCs w:val="20"/>
                <w:color w:val="auto"/>
              </w:rPr>
            </w:pPr>
            <w:r>
              <w:rPr>
                <w:rFonts w:ascii="Arial" w:cs="Arial" w:eastAsia="Arial" w:hAnsi="Arial"/>
                <w:sz w:val="16"/>
                <w:szCs w:val="16"/>
                <w:color w:val="auto"/>
              </w:rPr>
              <w:t>EUR 21,000</w:t>
            </w:r>
          </w:p>
        </w:tc>
        <w:tc>
          <w:tcPr>
            <w:tcW w:w="1920" w:type="dxa"/>
            <w:vAlign w:val="bottom"/>
          </w:tcPr>
          <w:p>
            <w:pPr>
              <w:jc w:val="right"/>
              <w:spacing w:after="0"/>
              <w:rPr>
                <w:sz w:val="20"/>
                <w:szCs w:val="20"/>
                <w:color w:val="auto"/>
              </w:rPr>
            </w:pPr>
            <w:r>
              <w:rPr>
                <w:rFonts w:ascii="Arial" w:cs="Arial" w:eastAsia="Arial" w:hAnsi="Arial"/>
                <w:sz w:val="16"/>
                <w:szCs w:val="16"/>
                <w:color w:val="auto"/>
              </w:rPr>
              <w:t>28,377</w:t>
            </w:r>
          </w:p>
        </w:tc>
      </w:tr>
      <w:tr>
        <w:trPr>
          <w:trHeight w:val="253"/>
        </w:trPr>
        <w:tc>
          <w:tcPr>
            <w:tcW w:w="20" w:type="dxa"/>
            <w:vAlign w:val="bottom"/>
          </w:tcPr>
          <w:p>
            <w:pPr>
              <w:spacing w:after="0"/>
              <w:rPr>
                <w:sz w:val="21"/>
                <w:szCs w:val="21"/>
                <w:color w:val="auto"/>
              </w:rPr>
            </w:pPr>
          </w:p>
        </w:tc>
        <w:tc>
          <w:tcPr>
            <w:tcW w:w="17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720" w:type="dxa"/>
            <w:vAlign w:val="bottom"/>
          </w:tcPr>
          <w:p>
            <w:pPr>
              <w:ind w:left="340"/>
              <w:spacing w:after="0"/>
              <w:rPr>
                <w:sz w:val="20"/>
                <w:szCs w:val="20"/>
                <w:color w:val="auto"/>
              </w:rPr>
            </w:pPr>
            <w:r>
              <w:rPr>
                <w:rFonts w:ascii="Arial" w:cs="Arial" w:eastAsia="Arial" w:hAnsi="Arial"/>
                <w:sz w:val="16"/>
                <w:szCs w:val="16"/>
                <w:color w:val="auto"/>
              </w:rPr>
              <w:t>Australia and New</w:t>
            </w:r>
          </w:p>
        </w:tc>
        <w:tc>
          <w:tcPr>
            <w:tcW w:w="1680" w:type="dxa"/>
            <w:vAlign w:val="bottom"/>
          </w:tcPr>
          <w:p>
            <w:pPr>
              <w:spacing w:after="0"/>
              <w:rPr>
                <w:sz w:val="21"/>
                <w:szCs w:val="21"/>
                <w:color w:val="auto"/>
              </w:rPr>
            </w:pPr>
          </w:p>
        </w:tc>
        <w:tc>
          <w:tcPr>
            <w:tcW w:w="1840" w:type="dxa"/>
            <w:vAlign w:val="bottom"/>
          </w:tcPr>
          <w:p>
            <w:pPr>
              <w:spacing w:after="0"/>
              <w:rPr>
                <w:sz w:val="21"/>
                <w:szCs w:val="21"/>
                <w:color w:val="auto"/>
              </w:rPr>
            </w:pPr>
          </w:p>
        </w:tc>
        <w:tc>
          <w:tcPr>
            <w:tcW w:w="1540" w:type="dxa"/>
            <w:vAlign w:val="bottom"/>
          </w:tcPr>
          <w:p>
            <w:pPr>
              <w:spacing w:after="0"/>
              <w:rPr>
                <w:sz w:val="21"/>
                <w:szCs w:val="21"/>
                <w:color w:val="auto"/>
              </w:rPr>
            </w:pPr>
          </w:p>
        </w:tc>
        <w:tc>
          <w:tcPr>
            <w:tcW w:w="1920" w:type="dxa"/>
            <w:vAlign w:val="bottom"/>
          </w:tcPr>
          <w:p>
            <w:pPr>
              <w:spacing w:after="0"/>
              <w:rPr>
                <w:sz w:val="21"/>
                <w:szCs w:val="21"/>
                <w:color w:val="auto"/>
              </w:rPr>
            </w:pPr>
          </w:p>
        </w:tc>
      </w:tr>
      <w:tr>
        <w:trPr>
          <w:trHeight w:val="206"/>
        </w:trPr>
        <w:tc>
          <w:tcPr>
            <w:tcW w:w="20" w:type="dxa"/>
            <w:vAlign w:val="bottom"/>
          </w:tcPr>
          <w:p>
            <w:pPr>
              <w:spacing w:after="0"/>
              <w:rPr>
                <w:sz w:val="17"/>
                <w:szCs w:val="17"/>
                <w:color w:val="auto"/>
              </w:rPr>
            </w:pPr>
          </w:p>
        </w:tc>
        <w:tc>
          <w:tcPr>
            <w:tcW w:w="2680" w:type="dxa"/>
            <w:vAlign w:val="bottom"/>
            <w:gridSpan w:val="2"/>
          </w:tcPr>
          <w:p>
            <w:pPr>
              <w:spacing w:after="0"/>
              <w:rPr>
                <w:sz w:val="20"/>
                <w:szCs w:val="20"/>
                <w:color w:val="auto"/>
              </w:rPr>
            </w:pPr>
            <w:r>
              <w:rPr>
                <w:rFonts w:ascii="Arial" w:cs="Arial" w:eastAsia="Arial" w:hAnsi="Arial"/>
                <w:sz w:val="16"/>
                <w:szCs w:val="16"/>
                <w:color w:val="auto"/>
              </w:rPr>
              <w:t>Pure Commerce Pty Ltd</w:t>
            </w:r>
          </w:p>
        </w:tc>
        <w:tc>
          <w:tcPr>
            <w:tcW w:w="1720" w:type="dxa"/>
            <w:vAlign w:val="bottom"/>
          </w:tcPr>
          <w:p>
            <w:pPr>
              <w:ind w:left="340"/>
              <w:spacing w:after="0"/>
              <w:rPr>
                <w:sz w:val="20"/>
                <w:szCs w:val="20"/>
                <w:color w:val="auto"/>
              </w:rPr>
            </w:pPr>
            <w:r>
              <w:rPr>
                <w:rFonts w:ascii="Arial" w:cs="Arial" w:eastAsia="Arial" w:hAnsi="Arial"/>
                <w:sz w:val="16"/>
                <w:szCs w:val="16"/>
                <w:color w:val="auto"/>
              </w:rPr>
              <w:t>Zealand Banking</w:t>
            </w:r>
          </w:p>
        </w:tc>
        <w:tc>
          <w:tcPr>
            <w:tcW w:w="1680" w:type="dxa"/>
            <w:vAlign w:val="bottom"/>
          </w:tcPr>
          <w:p>
            <w:pPr>
              <w:ind w:left="60"/>
              <w:spacing w:after="0"/>
              <w:rPr>
                <w:sz w:val="20"/>
                <w:szCs w:val="20"/>
                <w:color w:val="auto"/>
              </w:rPr>
            </w:pPr>
            <w:r>
              <w:rPr>
                <w:rFonts w:ascii="Arial" w:cs="Arial" w:eastAsia="Arial" w:hAnsi="Arial"/>
                <w:sz w:val="16"/>
                <w:szCs w:val="16"/>
                <w:color w:val="auto"/>
              </w:rPr>
              <w:t>Bank Guarantee/LC</w:t>
            </w:r>
          </w:p>
        </w:tc>
        <w:tc>
          <w:tcPr>
            <w:tcW w:w="1840" w:type="dxa"/>
            <w:vAlign w:val="bottom"/>
          </w:tcPr>
          <w:p>
            <w:pPr>
              <w:ind w:left="340"/>
              <w:spacing w:after="0"/>
              <w:rPr>
                <w:sz w:val="20"/>
                <w:szCs w:val="20"/>
                <w:color w:val="auto"/>
              </w:rPr>
            </w:pPr>
            <w:r>
              <w:rPr>
                <w:rFonts w:ascii="Arial" w:cs="Arial" w:eastAsia="Arial" w:hAnsi="Arial"/>
                <w:sz w:val="16"/>
                <w:szCs w:val="16"/>
                <w:color w:val="auto"/>
              </w:rPr>
              <w:t>Cash Collateral</w:t>
            </w:r>
          </w:p>
        </w:tc>
        <w:tc>
          <w:tcPr>
            <w:tcW w:w="1540" w:type="dxa"/>
            <w:vAlign w:val="bottom"/>
          </w:tcPr>
          <w:p>
            <w:pPr>
              <w:jc w:val="right"/>
              <w:spacing w:after="0"/>
              <w:rPr>
                <w:sz w:val="20"/>
                <w:szCs w:val="20"/>
                <w:color w:val="auto"/>
              </w:rPr>
            </w:pPr>
            <w:r>
              <w:rPr>
                <w:rFonts w:ascii="Arial" w:cs="Arial" w:eastAsia="Arial" w:hAnsi="Arial"/>
                <w:sz w:val="16"/>
                <w:szCs w:val="16"/>
                <w:color w:val="auto"/>
              </w:rPr>
              <w:t>AUD 38,016</w:t>
            </w:r>
          </w:p>
        </w:tc>
        <w:tc>
          <w:tcPr>
            <w:tcW w:w="1920" w:type="dxa"/>
            <w:vAlign w:val="bottom"/>
          </w:tcPr>
          <w:p>
            <w:pPr>
              <w:jc w:val="right"/>
              <w:spacing w:after="0"/>
              <w:rPr>
                <w:sz w:val="20"/>
                <w:szCs w:val="20"/>
                <w:color w:val="auto"/>
              </w:rPr>
            </w:pPr>
            <w:r>
              <w:rPr>
                <w:rFonts w:ascii="Arial" w:cs="Arial" w:eastAsia="Arial" w:hAnsi="Arial"/>
                <w:sz w:val="16"/>
                <w:szCs w:val="16"/>
                <w:color w:val="auto"/>
              </w:rPr>
              <w:t>33,097</w:t>
            </w:r>
          </w:p>
        </w:tc>
      </w:tr>
      <w:tr>
        <w:trPr>
          <w:trHeight w:val="253"/>
        </w:trPr>
        <w:tc>
          <w:tcPr>
            <w:tcW w:w="20" w:type="dxa"/>
            <w:vAlign w:val="bottom"/>
          </w:tcPr>
          <w:p>
            <w:pPr>
              <w:spacing w:after="0"/>
              <w:rPr>
                <w:sz w:val="21"/>
                <w:szCs w:val="21"/>
                <w:color w:val="auto"/>
              </w:rPr>
            </w:pPr>
          </w:p>
        </w:tc>
        <w:tc>
          <w:tcPr>
            <w:tcW w:w="17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720" w:type="dxa"/>
            <w:vAlign w:val="bottom"/>
          </w:tcPr>
          <w:p>
            <w:pPr>
              <w:ind w:left="340"/>
              <w:spacing w:after="0"/>
              <w:rPr>
                <w:sz w:val="20"/>
                <w:szCs w:val="20"/>
                <w:color w:val="auto"/>
              </w:rPr>
            </w:pPr>
            <w:r>
              <w:rPr>
                <w:rFonts w:ascii="Arial" w:cs="Arial" w:eastAsia="Arial" w:hAnsi="Arial"/>
                <w:sz w:val="16"/>
                <w:szCs w:val="16"/>
                <w:color w:val="auto"/>
              </w:rPr>
              <w:t>Luzerner</w:t>
            </w:r>
          </w:p>
        </w:tc>
        <w:tc>
          <w:tcPr>
            <w:tcW w:w="1680" w:type="dxa"/>
            <w:vAlign w:val="bottom"/>
          </w:tcPr>
          <w:p>
            <w:pPr>
              <w:spacing w:after="0"/>
              <w:rPr>
                <w:sz w:val="21"/>
                <w:szCs w:val="21"/>
                <w:color w:val="auto"/>
              </w:rPr>
            </w:pPr>
          </w:p>
        </w:tc>
        <w:tc>
          <w:tcPr>
            <w:tcW w:w="1840" w:type="dxa"/>
            <w:vAlign w:val="bottom"/>
          </w:tcPr>
          <w:p>
            <w:pPr>
              <w:spacing w:after="0"/>
              <w:rPr>
                <w:sz w:val="21"/>
                <w:szCs w:val="21"/>
                <w:color w:val="auto"/>
              </w:rPr>
            </w:pPr>
          </w:p>
        </w:tc>
        <w:tc>
          <w:tcPr>
            <w:tcW w:w="1540" w:type="dxa"/>
            <w:vAlign w:val="bottom"/>
          </w:tcPr>
          <w:p>
            <w:pPr>
              <w:spacing w:after="0"/>
              <w:rPr>
                <w:sz w:val="21"/>
                <w:szCs w:val="21"/>
                <w:color w:val="auto"/>
              </w:rPr>
            </w:pPr>
          </w:p>
        </w:tc>
        <w:tc>
          <w:tcPr>
            <w:tcW w:w="1920" w:type="dxa"/>
            <w:vAlign w:val="bottom"/>
          </w:tcPr>
          <w:p>
            <w:pPr>
              <w:spacing w:after="0"/>
              <w:rPr>
                <w:sz w:val="21"/>
                <w:szCs w:val="21"/>
                <w:color w:val="auto"/>
              </w:rPr>
            </w:pPr>
          </w:p>
        </w:tc>
      </w:tr>
      <w:tr>
        <w:trPr>
          <w:trHeight w:val="206"/>
        </w:trPr>
        <w:tc>
          <w:tcPr>
            <w:tcW w:w="20" w:type="dxa"/>
            <w:vAlign w:val="bottom"/>
          </w:tcPr>
          <w:p>
            <w:pPr>
              <w:spacing w:after="0"/>
              <w:rPr>
                <w:sz w:val="17"/>
                <w:szCs w:val="17"/>
                <w:color w:val="auto"/>
              </w:rPr>
            </w:pPr>
          </w:p>
        </w:tc>
        <w:tc>
          <w:tcPr>
            <w:tcW w:w="2680" w:type="dxa"/>
            <w:vAlign w:val="bottom"/>
            <w:gridSpan w:val="2"/>
          </w:tcPr>
          <w:p>
            <w:pPr>
              <w:spacing w:after="0"/>
              <w:rPr>
                <w:sz w:val="20"/>
                <w:szCs w:val="20"/>
                <w:color w:val="auto"/>
              </w:rPr>
            </w:pPr>
            <w:r>
              <w:rPr>
                <w:rFonts w:ascii="Arial" w:cs="Arial" w:eastAsia="Arial" w:hAnsi="Arial"/>
                <w:sz w:val="16"/>
                <w:szCs w:val="16"/>
                <w:color w:val="auto"/>
              </w:rPr>
              <w:t>RIA Financial Services AG</w:t>
            </w:r>
          </w:p>
        </w:tc>
        <w:tc>
          <w:tcPr>
            <w:tcW w:w="1720" w:type="dxa"/>
            <w:vAlign w:val="bottom"/>
          </w:tcPr>
          <w:p>
            <w:pPr>
              <w:ind w:left="340"/>
              <w:spacing w:after="0"/>
              <w:rPr>
                <w:sz w:val="20"/>
                <w:szCs w:val="20"/>
                <w:color w:val="auto"/>
              </w:rPr>
            </w:pPr>
            <w:r>
              <w:rPr>
                <w:rFonts w:ascii="Arial" w:cs="Arial" w:eastAsia="Arial" w:hAnsi="Arial"/>
                <w:sz w:val="16"/>
                <w:szCs w:val="16"/>
                <w:color w:val="auto"/>
              </w:rPr>
              <w:t>Kantonalbank</w:t>
            </w:r>
          </w:p>
        </w:tc>
        <w:tc>
          <w:tcPr>
            <w:tcW w:w="1680" w:type="dxa"/>
            <w:vAlign w:val="bottom"/>
          </w:tcPr>
          <w:p>
            <w:pPr>
              <w:ind w:left="60"/>
              <w:spacing w:after="0"/>
              <w:rPr>
                <w:sz w:val="20"/>
                <w:szCs w:val="20"/>
                <w:color w:val="auto"/>
              </w:rPr>
            </w:pPr>
            <w:r>
              <w:rPr>
                <w:rFonts w:ascii="Arial" w:cs="Arial" w:eastAsia="Arial" w:hAnsi="Arial"/>
                <w:sz w:val="16"/>
                <w:szCs w:val="16"/>
                <w:color w:val="auto"/>
              </w:rPr>
              <w:t>Bank Guarantee/LC</w:t>
            </w:r>
          </w:p>
        </w:tc>
        <w:tc>
          <w:tcPr>
            <w:tcW w:w="1840" w:type="dxa"/>
            <w:vAlign w:val="bottom"/>
          </w:tcPr>
          <w:p>
            <w:pPr>
              <w:ind w:left="340"/>
              <w:spacing w:after="0"/>
              <w:rPr>
                <w:sz w:val="20"/>
                <w:szCs w:val="20"/>
                <w:color w:val="auto"/>
              </w:rPr>
            </w:pPr>
            <w:r>
              <w:rPr>
                <w:rFonts w:ascii="Arial" w:cs="Arial" w:eastAsia="Arial" w:hAnsi="Arial"/>
                <w:sz w:val="16"/>
                <w:szCs w:val="16"/>
                <w:color w:val="auto"/>
              </w:rPr>
              <w:t>Cash Collateral</w:t>
            </w:r>
          </w:p>
        </w:tc>
        <w:tc>
          <w:tcPr>
            <w:tcW w:w="1540" w:type="dxa"/>
            <w:vAlign w:val="bottom"/>
          </w:tcPr>
          <w:p>
            <w:pPr>
              <w:jc w:val="right"/>
              <w:spacing w:after="0"/>
              <w:rPr>
                <w:sz w:val="20"/>
                <w:szCs w:val="20"/>
                <w:color w:val="auto"/>
              </w:rPr>
            </w:pPr>
            <w:r>
              <w:rPr>
                <w:rFonts w:ascii="Arial" w:cs="Arial" w:eastAsia="Arial" w:hAnsi="Arial"/>
                <w:sz w:val="16"/>
                <w:szCs w:val="16"/>
                <w:color w:val="auto"/>
              </w:rPr>
              <w:t>CHF 10,000</w:t>
            </w:r>
          </w:p>
        </w:tc>
        <w:tc>
          <w:tcPr>
            <w:tcW w:w="1920" w:type="dxa"/>
            <w:vAlign w:val="bottom"/>
          </w:tcPr>
          <w:p>
            <w:pPr>
              <w:jc w:val="right"/>
              <w:spacing w:after="0"/>
              <w:rPr>
                <w:sz w:val="20"/>
                <w:szCs w:val="20"/>
                <w:color w:val="auto"/>
              </w:rPr>
            </w:pPr>
            <w:r>
              <w:rPr>
                <w:rFonts w:ascii="Arial" w:cs="Arial" w:eastAsia="Arial" w:hAnsi="Arial"/>
                <w:sz w:val="16"/>
                <w:szCs w:val="16"/>
                <w:color w:val="auto"/>
              </w:rPr>
              <w:t>11,061</w:t>
            </w:r>
          </w:p>
        </w:tc>
      </w:tr>
      <w:tr>
        <w:trPr>
          <w:trHeight w:val="533"/>
        </w:trPr>
        <w:tc>
          <w:tcPr>
            <w:tcW w:w="20" w:type="dxa"/>
            <w:vAlign w:val="bottom"/>
            <w:tcBorders>
              <w:bottom w:val="single" w:sz="8" w:color="C0C0C0"/>
            </w:tcBorders>
          </w:tcPr>
          <w:p>
            <w:pPr>
              <w:spacing w:after="0"/>
              <w:rPr>
                <w:sz w:val="24"/>
                <w:szCs w:val="24"/>
                <w:color w:val="auto"/>
              </w:rPr>
            </w:pPr>
          </w:p>
        </w:tc>
        <w:tc>
          <w:tcPr>
            <w:tcW w:w="1700" w:type="dxa"/>
            <w:vAlign w:val="bottom"/>
            <w:tcBorders>
              <w:bottom w:val="single" w:sz="8" w:color="C0C0C0"/>
            </w:tcBorders>
          </w:tcPr>
          <w:p>
            <w:pPr>
              <w:spacing w:after="0"/>
              <w:rPr>
                <w:sz w:val="24"/>
                <w:szCs w:val="24"/>
                <w:color w:val="auto"/>
              </w:rPr>
            </w:pPr>
          </w:p>
        </w:tc>
        <w:tc>
          <w:tcPr>
            <w:tcW w:w="980" w:type="dxa"/>
            <w:vAlign w:val="bottom"/>
            <w:tcBorders>
              <w:bottom w:val="single" w:sz="8" w:color="C0C0C0"/>
            </w:tcBorders>
          </w:tcPr>
          <w:p>
            <w:pPr>
              <w:spacing w:after="0"/>
              <w:rPr>
                <w:sz w:val="24"/>
                <w:szCs w:val="24"/>
                <w:color w:val="auto"/>
              </w:rPr>
            </w:pPr>
          </w:p>
        </w:tc>
        <w:tc>
          <w:tcPr>
            <w:tcW w:w="1720" w:type="dxa"/>
            <w:vAlign w:val="bottom"/>
            <w:tcBorders>
              <w:bottom w:val="single" w:sz="8" w:color="C0C0C0"/>
            </w:tcBorders>
          </w:tcPr>
          <w:p>
            <w:pPr>
              <w:spacing w:after="0"/>
              <w:rPr>
                <w:sz w:val="24"/>
                <w:szCs w:val="24"/>
                <w:color w:val="auto"/>
              </w:rPr>
            </w:pPr>
          </w:p>
        </w:tc>
        <w:tc>
          <w:tcPr>
            <w:tcW w:w="1680" w:type="dxa"/>
            <w:vAlign w:val="bottom"/>
            <w:tcBorders>
              <w:bottom w:val="single" w:sz="8" w:color="C0C0C0"/>
            </w:tcBorders>
          </w:tcPr>
          <w:p>
            <w:pPr>
              <w:spacing w:after="0"/>
              <w:rPr>
                <w:sz w:val="24"/>
                <w:szCs w:val="24"/>
                <w:color w:val="auto"/>
              </w:rPr>
            </w:pPr>
          </w:p>
        </w:tc>
        <w:tc>
          <w:tcPr>
            <w:tcW w:w="1840" w:type="dxa"/>
            <w:vAlign w:val="bottom"/>
            <w:tcBorders>
              <w:bottom w:val="single" w:sz="8" w:color="C0C0C0"/>
            </w:tcBorders>
          </w:tcPr>
          <w:p>
            <w:pPr>
              <w:spacing w:after="0"/>
              <w:rPr>
                <w:sz w:val="24"/>
                <w:szCs w:val="24"/>
                <w:color w:val="auto"/>
              </w:rPr>
            </w:pPr>
          </w:p>
        </w:tc>
        <w:tc>
          <w:tcPr>
            <w:tcW w:w="1540" w:type="dxa"/>
            <w:vAlign w:val="bottom"/>
            <w:tcBorders>
              <w:bottom w:val="single" w:sz="8" w:color="C0C0C0"/>
            </w:tcBorders>
          </w:tcPr>
          <w:p>
            <w:pPr>
              <w:spacing w:after="0"/>
              <w:rPr>
                <w:sz w:val="24"/>
                <w:szCs w:val="24"/>
                <w:color w:val="auto"/>
              </w:rPr>
            </w:pPr>
          </w:p>
        </w:tc>
        <w:tc>
          <w:tcPr>
            <w:tcW w:w="1920" w:type="dxa"/>
            <w:vAlign w:val="bottom"/>
            <w:tcBorders>
              <w:bottom w:val="single" w:sz="8" w:color="auto"/>
            </w:tcBorders>
          </w:tcPr>
          <w:p>
            <w:pPr>
              <w:spacing w:after="0"/>
              <w:rPr>
                <w:sz w:val="24"/>
                <w:szCs w:val="24"/>
                <w:color w:val="auto"/>
              </w:rPr>
            </w:pPr>
          </w:p>
        </w:tc>
      </w:tr>
      <w:tr>
        <w:trPr>
          <w:trHeight w:val="264"/>
        </w:trPr>
        <w:tc>
          <w:tcPr>
            <w:tcW w:w="20" w:type="dxa"/>
            <w:vAlign w:val="bottom"/>
            <w:tcBorders>
              <w:bottom w:val="single" w:sz="8" w:color="C0C0C0"/>
            </w:tcBorders>
            <w:shd w:val="clear" w:color="auto" w:fill="C0C0C0"/>
          </w:tcPr>
          <w:p>
            <w:pPr>
              <w:spacing w:after="0"/>
              <w:rPr>
                <w:sz w:val="22"/>
                <w:szCs w:val="22"/>
                <w:color w:val="auto"/>
              </w:rPr>
            </w:pPr>
          </w:p>
        </w:tc>
        <w:tc>
          <w:tcPr>
            <w:tcW w:w="2680" w:type="dxa"/>
            <w:vAlign w:val="bottom"/>
            <w:tcBorders>
              <w:bottom w:val="single" w:sz="8" w:color="C0C0C0"/>
            </w:tcBorders>
            <w:gridSpan w:val="2"/>
            <w:shd w:val="clear" w:color="auto" w:fill="C0C0C0"/>
          </w:tcPr>
          <w:p>
            <w:pPr>
              <w:spacing w:after="0"/>
              <w:rPr>
                <w:sz w:val="20"/>
                <w:szCs w:val="20"/>
                <w:color w:val="auto"/>
              </w:rPr>
            </w:pPr>
            <w:r>
              <w:rPr>
                <w:rFonts w:ascii="Arial" w:cs="Arial" w:eastAsia="Arial" w:hAnsi="Arial"/>
                <w:sz w:val="18"/>
                <w:szCs w:val="18"/>
                <w:b w:val="1"/>
                <w:bCs w:val="1"/>
                <w:color w:val="auto"/>
              </w:rPr>
              <w:t>Total Cash Collateral</w:t>
            </w:r>
          </w:p>
        </w:tc>
        <w:tc>
          <w:tcPr>
            <w:tcW w:w="1720" w:type="dxa"/>
            <w:vAlign w:val="bottom"/>
            <w:tcBorders>
              <w:bottom w:val="single" w:sz="8" w:color="C0C0C0"/>
            </w:tcBorders>
            <w:shd w:val="clear" w:color="auto" w:fill="C0C0C0"/>
          </w:tcPr>
          <w:p>
            <w:pPr>
              <w:spacing w:after="0"/>
              <w:rPr>
                <w:sz w:val="22"/>
                <w:szCs w:val="22"/>
                <w:color w:val="auto"/>
              </w:rPr>
            </w:pPr>
          </w:p>
        </w:tc>
        <w:tc>
          <w:tcPr>
            <w:tcW w:w="1680" w:type="dxa"/>
            <w:vAlign w:val="bottom"/>
            <w:tcBorders>
              <w:bottom w:val="single" w:sz="8" w:color="C0C0C0"/>
            </w:tcBorders>
            <w:shd w:val="clear" w:color="auto" w:fill="C0C0C0"/>
          </w:tcPr>
          <w:p>
            <w:pPr>
              <w:spacing w:after="0"/>
              <w:rPr>
                <w:sz w:val="22"/>
                <w:szCs w:val="22"/>
                <w:color w:val="auto"/>
              </w:rPr>
            </w:pPr>
          </w:p>
        </w:tc>
        <w:tc>
          <w:tcPr>
            <w:tcW w:w="1840" w:type="dxa"/>
            <w:vAlign w:val="bottom"/>
            <w:tcBorders>
              <w:bottom w:val="single" w:sz="8" w:color="C0C0C0"/>
            </w:tcBorders>
            <w:shd w:val="clear" w:color="auto" w:fill="C0C0C0"/>
          </w:tcPr>
          <w:p>
            <w:pPr>
              <w:spacing w:after="0"/>
              <w:rPr>
                <w:sz w:val="22"/>
                <w:szCs w:val="22"/>
                <w:color w:val="auto"/>
              </w:rPr>
            </w:pPr>
          </w:p>
        </w:tc>
        <w:tc>
          <w:tcPr>
            <w:tcW w:w="1540" w:type="dxa"/>
            <w:vAlign w:val="bottom"/>
            <w:tcBorders>
              <w:bottom w:val="single" w:sz="8" w:color="C0C0C0"/>
            </w:tcBorders>
            <w:shd w:val="clear" w:color="auto" w:fill="C0C0C0"/>
          </w:tcPr>
          <w:p>
            <w:pPr>
              <w:spacing w:after="0"/>
              <w:rPr>
                <w:sz w:val="22"/>
                <w:szCs w:val="22"/>
                <w:color w:val="auto"/>
              </w:rPr>
            </w:pPr>
          </w:p>
        </w:tc>
        <w:tc>
          <w:tcPr>
            <w:tcW w:w="1920" w:type="dxa"/>
            <w:vAlign w:val="bottom"/>
            <w:tcBorders>
              <w:bottom w:val="single" w:sz="8" w:color="C0C0C0"/>
            </w:tcBorders>
            <w:shd w:val="clear" w:color="auto" w:fill="C0C0C0"/>
          </w:tcPr>
          <w:p>
            <w:pPr>
              <w:jc w:val="right"/>
              <w:spacing w:after="0"/>
              <w:rPr>
                <w:sz w:val="20"/>
                <w:szCs w:val="20"/>
                <w:color w:val="auto"/>
              </w:rPr>
            </w:pPr>
            <w:r>
              <w:rPr>
                <w:rFonts w:ascii="Arial" w:cs="Arial" w:eastAsia="Arial" w:hAnsi="Arial"/>
                <w:sz w:val="18"/>
                <w:szCs w:val="18"/>
                <w:b w:val="1"/>
                <w:bCs w:val="1"/>
                <w:color w:val="auto"/>
              </w:rPr>
              <w:t>$ 4,959,352</w:t>
            </w:r>
          </w:p>
        </w:tc>
      </w:tr>
      <w:tr>
        <w:trPr>
          <w:trHeight w:val="696"/>
        </w:trPr>
        <w:tc>
          <w:tcPr>
            <w:tcW w:w="20" w:type="dxa"/>
            <w:vAlign w:val="bottom"/>
          </w:tcPr>
          <w:p>
            <w:pPr>
              <w:spacing w:after="0"/>
              <w:rPr>
                <w:sz w:val="24"/>
                <w:szCs w:val="24"/>
                <w:color w:val="auto"/>
              </w:rPr>
            </w:pPr>
          </w:p>
        </w:tc>
        <w:tc>
          <w:tcPr>
            <w:tcW w:w="2680" w:type="dxa"/>
            <w:vAlign w:val="bottom"/>
            <w:gridSpan w:val="2"/>
          </w:tcPr>
          <w:p>
            <w:pPr>
              <w:spacing w:after="0"/>
              <w:rPr>
                <w:sz w:val="20"/>
                <w:szCs w:val="20"/>
                <w:color w:val="auto"/>
              </w:rPr>
            </w:pPr>
            <w:r>
              <w:rPr>
                <w:rFonts w:ascii="Arial" w:cs="Arial" w:eastAsia="Arial" w:hAnsi="Arial"/>
                <w:sz w:val="18"/>
                <w:szCs w:val="18"/>
                <w:b w:val="1"/>
                <w:bCs w:val="1"/>
                <w:i w:val="1"/>
                <w:iCs w:val="1"/>
                <w:color w:val="auto"/>
              </w:rPr>
              <w:t>Other Cash Collateral:</w:t>
            </w:r>
          </w:p>
        </w:tc>
        <w:tc>
          <w:tcPr>
            <w:tcW w:w="172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920" w:type="dxa"/>
            <w:vAlign w:val="bottom"/>
            <w:tcBorders>
              <w:top w:val="single" w:sz="8" w:color="auto"/>
            </w:tcBorders>
          </w:tcPr>
          <w:p>
            <w:pPr>
              <w:spacing w:after="0"/>
              <w:rPr>
                <w:sz w:val="24"/>
                <w:szCs w:val="24"/>
                <w:color w:val="auto"/>
              </w:rPr>
            </w:pPr>
          </w:p>
        </w:tc>
      </w:tr>
      <w:tr>
        <w:trPr>
          <w:trHeight w:val="20"/>
        </w:trPr>
        <w:tc>
          <w:tcPr>
            <w:tcW w:w="20" w:type="dxa"/>
            <w:vAlign w:val="bottom"/>
          </w:tcPr>
          <w:p>
            <w:pPr>
              <w:spacing w:after="0" w:line="20" w:lineRule="exact"/>
              <w:rPr>
                <w:sz w:val="1"/>
                <w:szCs w:val="1"/>
                <w:color w:val="auto"/>
              </w:rPr>
            </w:pPr>
          </w:p>
        </w:tc>
        <w:tc>
          <w:tcPr>
            <w:tcW w:w="1700" w:type="dxa"/>
            <w:vAlign w:val="bottom"/>
            <w:shd w:val="clear" w:color="auto" w:fill="000000"/>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r>
      <w:tr>
        <w:trPr>
          <w:trHeight w:val="790"/>
        </w:trPr>
        <w:tc>
          <w:tcPr>
            <w:tcW w:w="20" w:type="dxa"/>
            <w:vAlign w:val="bottom"/>
          </w:tcPr>
          <w:p>
            <w:pPr>
              <w:spacing w:after="0"/>
              <w:rPr>
                <w:sz w:val="24"/>
                <w:szCs w:val="24"/>
                <w:color w:val="auto"/>
              </w:rPr>
            </w:pPr>
          </w:p>
        </w:tc>
        <w:tc>
          <w:tcPr>
            <w:tcW w:w="2680" w:type="dxa"/>
            <w:vAlign w:val="bottom"/>
            <w:gridSpan w:val="2"/>
          </w:tcPr>
          <w:p>
            <w:pPr>
              <w:spacing w:after="0"/>
              <w:rPr>
                <w:sz w:val="20"/>
                <w:szCs w:val="20"/>
                <w:color w:val="auto"/>
              </w:rPr>
            </w:pPr>
            <w:r>
              <w:rPr>
                <w:rFonts w:ascii="Arial" w:cs="Arial" w:eastAsia="Arial" w:hAnsi="Arial"/>
                <w:sz w:val="18"/>
                <w:szCs w:val="18"/>
                <w:color w:val="auto"/>
              </w:rPr>
              <w:t>Bankomat 24/Euronet sp. z o.o.</w:t>
            </w:r>
          </w:p>
        </w:tc>
        <w:tc>
          <w:tcPr>
            <w:tcW w:w="1720" w:type="dxa"/>
            <w:vAlign w:val="bottom"/>
          </w:tcPr>
          <w:p>
            <w:pPr>
              <w:ind w:left="340"/>
              <w:spacing w:after="0"/>
              <w:rPr>
                <w:sz w:val="20"/>
                <w:szCs w:val="20"/>
                <w:color w:val="auto"/>
              </w:rPr>
            </w:pPr>
            <w:r>
              <w:rPr>
                <w:rFonts w:ascii="Arial" w:cs="Arial" w:eastAsia="Arial" w:hAnsi="Arial"/>
                <w:sz w:val="18"/>
                <w:szCs w:val="18"/>
                <w:color w:val="auto"/>
                <w:w w:val="99"/>
              </w:rPr>
              <w:t>Various locations</w:t>
            </w:r>
          </w:p>
        </w:tc>
        <w:tc>
          <w:tcPr>
            <w:tcW w:w="1680" w:type="dxa"/>
            <w:vAlign w:val="bottom"/>
          </w:tcPr>
          <w:p>
            <w:pPr>
              <w:ind w:left="60"/>
              <w:spacing w:after="0"/>
              <w:rPr>
                <w:sz w:val="20"/>
                <w:szCs w:val="20"/>
                <w:color w:val="auto"/>
              </w:rPr>
            </w:pPr>
            <w:r>
              <w:rPr>
                <w:rFonts w:ascii="Arial" w:cs="Arial" w:eastAsia="Arial" w:hAnsi="Arial"/>
                <w:sz w:val="18"/>
                <w:szCs w:val="18"/>
                <w:color w:val="auto"/>
              </w:rPr>
              <w:t>Other</w:t>
            </w:r>
          </w:p>
        </w:tc>
        <w:tc>
          <w:tcPr>
            <w:tcW w:w="1840" w:type="dxa"/>
            <w:vAlign w:val="bottom"/>
          </w:tcPr>
          <w:p>
            <w:pPr>
              <w:ind w:left="340"/>
              <w:spacing w:after="0"/>
              <w:rPr>
                <w:sz w:val="20"/>
                <w:szCs w:val="20"/>
                <w:color w:val="auto"/>
              </w:rPr>
            </w:pPr>
            <w:r>
              <w:rPr>
                <w:rFonts w:ascii="Arial" w:cs="Arial" w:eastAsia="Arial" w:hAnsi="Arial"/>
                <w:sz w:val="18"/>
                <w:szCs w:val="18"/>
                <w:color w:val="auto"/>
              </w:rPr>
              <w:t>Cash Collateral</w:t>
            </w:r>
          </w:p>
        </w:tc>
        <w:tc>
          <w:tcPr>
            <w:tcW w:w="1540" w:type="dxa"/>
            <w:vAlign w:val="bottom"/>
          </w:tcPr>
          <w:p>
            <w:pPr>
              <w:jc w:val="right"/>
              <w:spacing w:after="0"/>
              <w:rPr>
                <w:sz w:val="20"/>
                <w:szCs w:val="20"/>
                <w:color w:val="auto"/>
              </w:rPr>
            </w:pPr>
            <w:r>
              <w:rPr>
                <w:rFonts w:ascii="Arial" w:cs="Arial" w:eastAsia="Arial" w:hAnsi="Arial"/>
                <w:sz w:val="18"/>
                <w:szCs w:val="18"/>
                <w:color w:val="auto"/>
              </w:rPr>
              <w:t>PLN 2,663,261</w:t>
            </w:r>
          </w:p>
        </w:tc>
        <w:tc>
          <w:tcPr>
            <w:tcW w:w="1920" w:type="dxa"/>
            <w:vAlign w:val="bottom"/>
          </w:tcPr>
          <w:p>
            <w:pPr>
              <w:jc w:val="right"/>
              <w:spacing w:after="0"/>
              <w:rPr>
                <w:sz w:val="20"/>
                <w:szCs w:val="20"/>
                <w:color w:val="auto"/>
              </w:rPr>
            </w:pPr>
            <w:r>
              <w:rPr>
                <w:rFonts w:ascii="Arial" w:cs="Arial" w:eastAsia="Arial" w:hAnsi="Arial"/>
                <w:sz w:val="18"/>
                <w:szCs w:val="18"/>
                <w:color w:val="auto"/>
              </w:rPr>
              <w:t>846,501</w:t>
            </w:r>
          </w:p>
        </w:tc>
      </w:tr>
      <w:tr>
        <w:trPr>
          <w:trHeight w:val="270"/>
        </w:trPr>
        <w:tc>
          <w:tcPr>
            <w:tcW w:w="20" w:type="dxa"/>
            <w:vAlign w:val="bottom"/>
          </w:tcPr>
          <w:p>
            <w:pPr>
              <w:spacing w:after="0"/>
              <w:rPr>
                <w:sz w:val="23"/>
                <w:szCs w:val="23"/>
                <w:color w:val="auto"/>
              </w:rPr>
            </w:pPr>
          </w:p>
        </w:tc>
        <w:tc>
          <w:tcPr>
            <w:tcW w:w="2680" w:type="dxa"/>
            <w:vAlign w:val="bottom"/>
            <w:gridSpan w:val="2"/>
          </w:tcPr>
          <w:p>
            <w:pPr>
              <w:spacing w:after="0"/>
              <w:rPr>
                <w:sz w:val="20"/>
                <w:szCs w:val="20"/>
                <w:color w:val="auto"/>
              </w:rPr>
            </w:pPr>
            <w:r>
              <w:rPr>
                <w:rFonts w:ascii="Arial" w:cs="Arial" w:eastAsia="Arial" w:hAnsi="Arial"/>
                <w:sz w:val="18"/>
                <w:szCs w:val="18"/>
                <w:color w:val="auto"/>
              </w:rPr>
              <w:t>Euronet 360 Finance Limited</w:t>
            </w:r>
          </w:p>
        </w:tc>
        <w:tc>
          <w:tcPr>
            <w:tcW w:w="1720" w:type="dxa"/>
            <w:vAlign w:val="bottom"/>
          </w:tcPr>
          <w:p>
            <w:pPr>
              <w:ind w:left="340"/>
              <w:spacing w:after="0"/>
              <w:rPr>
                <w:sz w:val="20"/>
                <w:szCs w:val="20"/>
                <w:color w:val="auto"/>
              </w:rPr>
            </w:pPr>
            <w:r>
              <w:rPr>
                <w:rFonts w:ascii="Arial" w:cs="Arial" w:eastAsia="Arial" w:hAnsi="Arial"/>
                <w:sz w:val="18"/>
                <w:szCs w:val="18"/>
                <w:color w:val="auto"/>
              </w:rPr>
              <w:t>Deutsche Bank</w:t>
            </w:r>
          </w:p>
        </w:tc>
        <w:tc>
          <w:tcPr>
            <w:tcW w:w="1680" w:type="dxa"/>
            <w:vAlign w:val="bottom"/>
          </w:tcPr>
          <w:p>
            <w:pPr>
              <w:ind w:left="60"/>
              <w:spacing w:after="0"/>
              <w:rPr>
                <w:sz w:val="20"/>
                <w:szCs w:val="20"/>
                <w:color w:val="auto"/>
              </w:rPr>
            </w:pPr>
            <w:r>
              <w:rPr>
                <w:rFonts w:ascii="Arial" w:cs="Arial" w:eastAsia="Arial" w:hAnsi="Arial"/>
                <w:sz w:val="18"/>
                <w:szCs w:val="18"/>
                <w:color w:val="auto"/>
              </w:rPr>
              <w:t>Other</w:t>
            </w:r>
          </w:p>
        </w:tc>
        <w:tc>
          <w:tcPr>
            <w:tcW w:w="1840" w:type="dxa"/>
            <w:vAlign w:val="bottom"/>
          </w:tcPr>
          <w:p>
            <w:pPr>
              <w:ind w:left="340"/>
              <w:spacing w:after="0"/>
              <w:rPr>
                <w:sz w:val="20"/>
                <w:szCs w:val="20"/>
                <w:color w:val="auto"/>
              </w:rPr>
            </w:pPr>
            <w:r>
              <w:rPr>
                <w:rFonts w:ascii="Arial" w:cs="Arial" w:eastAsia="Arial" w:hAnsi="Arial"/>
                <w:sz w:val="18"/>
                <w:szCs w:val="18"/>
                <w:color w:val="auto"/>
              </w:rPr>
              <w:t>Cash Collateral</w:t>
            </w:r>
          </w:p>
        </w:tc>
        <w:tc>
          <w:tcPr>
            <w:tcW w:w="1540" w:type="dxa"/>
            <w:vAlign w:val="bottom"/>
          </w:tcPr>
          <w:p>
            <w:pPr>
              <w:jc w:val="right"/>
              <w:spacing w:after="0"/>
              <w:rPr>
                <w:sz w:val="20"/>
                <w:szCs w:val="20"/>
                <w:color w:val="auto"/>
              </w:rPr>
            </w:pPr>
            <w:r>
              <w:rPr>
                <w:rFonts w:ascii="Arial" w:cs="Arial" w:eastAsia="Arial" w:hAnsi="Arial"/>
                <w:sz w:val="18"/>
                <w:szCs w:val="18"/>
                <w:color w:val="auto"/>
              </w:rPr>
              <w:t>EUR 3,000,000</w:t>
            </w:r>
          </w:p>
        </w:tc>
        <w:tc>
          <w:tcPr>
            <w:tcW w:w="1920" w:type="dxa"/>
            <w:vAlign w:val="bottom"/>
          </w:tcPr>
          <w:p>
            <w:pPr>
              <w:jc w:val="right"/>
              <w:spacing w:after="0"/>
              <w:rPr>
                <w:sz w:val="20"/>
                <w:szCs w:val="20"/>
                <w:color w:val="auto"/>
              </w:rPr>
            </w:pPr>
            <w:r>
              <w:rPr>
                <w:rFonts w:ascii="Arial" w:cs="Arial" w:eastAsia="Arial" w:hAnsi="Arial"/>
                <w:sz w:val="18"/>
                <w:szCs w:val="18"/>
                <w:color w:val="auto"/>
              </w:rPr>
              <w:t>4,053,900</w:t>
            </w:r>
          </w:p>
        </w:tc>
      </w:tr>
      <w:tr>
        <w:trPr>
          <w:trHeight w:val="256"/>
        </w:trPr>
        <w:tc>
          <w:tcPr>
            <w:tcW w:w="20" w:type="dxa"/>
            <w:vAlign w:val="bottom"/>
          </w:tcPr>
          <w:p>
            <w:pPr>
              <w:spacing w:after="0"/>
              <w:rPr>
                <w:sz w:val="22"/>
                <w:szCs w:val="22"/>
                <w:color w:val="auto"/>
              </w:rPr>
            </w:pPr>
          </w:p>
        </w:tc>
        <w:tc>
          <w:tcPr>
            <w:tcW w:w="170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720" w:type="dxa"/>
            <w:vAlign w:val="bottom"/>
          </w:tcPr>
          <w:p>
            <w:pPr>
              <w:ind w:left="340"/>
              <w:spacing w:after="0"/>
              <w:rPr>
                <w:sz w:val="20"/>
                <w:szCs w:val="20"/>
                <w:color w:val="auto"/>
              </w:rPr>
            </w:pPr>
            <w:r>
              <w:rPr>
                <w:rFonts w:ascii="Arial" w:cs="Arial" w:eastAsia="Arial" w:hAnsi="Arial"/>
                <w:sz w:val="18"/>
                <w:szCs w:val="18"/>
                <w:color w:val="auto"/>
              </w:rPr>
              <w:t>ECE Project</w:t>
            </w:r>
          </w:p>
        </w:tc>
        <w:tc>
          <w:tcPr>
            <w:tcW w:w="1680" w:type="dxa"/>
            <w:vAlign w:val="bottom"/>
          </w:tcPr>
          <w:p>
            <w:pPr>
              <w:spacing w:after="0"/>
              <w:rPr>
                <w:sz w:val="22"/>
                <w:szCs w:val="22"/>
                <w:color w:val="auto"/>
              </w:rPr>
            </w:pPr>
          </w:p>
        </w:tc>
        <w:tc>
          <w:tcPr>
            <w:tcW w:w="1840" w:type="dxa"/>
            <w:vAlign w:val="bottom"/>
          </w:tcPr>
          <w:p>
            <w:pPr>
              <w:spacing w:after="0"/>
              <w:rPr>
                <w:sz w:val="22"/>
                <w:szCs w:val="22"/>
                <w:color w:val="auto"/>
              </w:rPr>
            </w:pPr>
          </w:p>
        </w:tc>
        <w:tc>
          <w:tcPr>
            <w:tcW w:w="1540" w:type="dxa"/>
            <w:vAlign w:val="bottom"/>
          </w:tcPr>
          <w:p>
            <w:pPr>
              <w:spacing w:after="0"/>
              <w:rPr>
                <w:sz w:val="22"/>
                <w:szCs w:val="22"/>
                <w:color w:val="auto"/>
              </w:rPr>
            </w:pPr>
          </w:p>
        </w:tc>
        <w:tc>
          <w:tcPr>
            <w:tcW w:w="1920" w:type="dxa"/>
            <w:vAlign w:val="bottom"/>
          </w:tcPr>
          <w:p>
            <w:pPr>
              <w:spacing w:after="0"/>
              <w:rPr>
                <w:sz w:val="22"/>
                <w:szCs w:val="22"/>
                <w:color w:val="auto"/>
              </w:rPr>
            </w:pPr>
          </w:p>
        </w:tc>
      </w:tr>
      <w:tr>
        <w:trPr>
          <w:trHeight w:val="230"/>
        </w:trPr>
        <w:tc>
          <w:tcPr>
            <w:tcW w:w="20" w:type="dxa"/>
            <w:vAlign w:val="bottom"/>
          </w:tcPr>
          <w:p>
            <w:pPr>
              <w:spacing w:after="0"/>
              <w:rPr>
                <w:sz w:val="20"/>
                <w:szCs w:val="20"/>
                <w:color w:val="auto"/>
              </w:rPr>
            </w:pPr>
          </w:p>
        </w:tc>
        <w:tc>
          <w:tcPr>
            <w:tcW w:w="2680" w:type="dxa"/>
            <w:vAlign w:val="bottom"/>
            <w:gridSpan w:val="2"/>
          </w:tcPr>
          <w:p>
            <w:pPr>
              <w:spacing w:after="0"/>
              <w:rPr>
                <w:sz w:val="20"/>
                <w:szCs w:val="20"/>
                <w:color w:val="auto"/>
              </w:rPr>
            </w:pPr>
            <w:r>
              <w:rPr>
                <w:rFonts w:ascii="Arial" w:cs="Arial" w:eastAsia="Arial" w:hAnsi="Arial"/>
                <w:sz w:val="18"/>
                <w:szCs w:val="18"/>
                <w:color w:val="auto"/>
              </w:rPr>
              <w:t>Euronet Banktechnikai Kft</w:t>
            </w:r>
          </w:p>
        </w:tc>
        <w:tc>
          <w:tcPr>
            <w:tcW w:w="1720" w:type="dxa"/>
            <w:vAlign w:val="bottom"/>
          </w:tcPr>
          <w:p>
            <w:pPr>
              <w:ind w:left="340"/>
              <w:spacing w:after="0"/>
              <w:rPr>
                <w:sz w:val="20"/>
                <w:szCs w:val="20"/>
                <w:color w:val="auto"/>
              </w:rPr>
            </w:pPr>
            <w:r>
              <w:rPr>
                <w:rFonts w:ascii="Arial" w:cs="Arial" w:eastAsia="Arial" w:hAnsi="Arial"/>
                <w:sz w:val="18"/>
                <w:szCs w:val="18"/>
                <w:color w:val="auto"/>
              </w:rPr>
              <w:t>Management Kft</w:t>
            </w:r>
          </w:p>
        </w:tc>
        <w:tc>
          <w:tcPr>
            <w:tcW w:w="1680" w:type="dxa"/>
            <w:vAlign w:val="bottom"/>
          </w:tcPr>
          <w:p>
            <w:pPr>
              <w:ind w:left="60"/>
              <w:spacing w:after="0"/>
              <w:rPr>
                <w:sz w:val="20"/>
                <w:szCs w:val="20"/>
                <w:color w:val="auto"/>
              </w:rPr>
            </w:pPr>
            <w:r>
              <w:rPr>
                <w:rFonts w:ascii="Arial" w:cs="Arial" w:eastAsia="Arial" w:hAnsi="Arial"/>
                <w:sz w:val="18"/>
                <w:szCs w:val="18"/>
                <w:color w:val="auto"/>
              </w:rPr>
              <w:t>Other</w:t>
            </w:r>
          </w:p>
        </w:tc>
        <w:tc>
          <w:tcPr>
            <w:tcW w:w="1840" w:type="dxa"/>
            <w:vAlign w:val="bottom"/>
          </w:tcPr>
          <w:p>
            <w:pPr>
              <w:ind w:left="340"/>
              <w:spacing w:after="0"/>
              <w:rPr>
                <w:sz w:val="20"/>
                <w:szCs w:val="20"/>
                <w:color w:val="auto"/>
              </w:rPr>
            </w:pPr>
            <w:r>
              <w:rPr>
                <w:rFonts w:ascii="Arial" w:cs="Arial" w:eastAsia="Arial" w:hAnsi="Arial"/>
                <w:sz w:val="18"/>
                <w:szCs w:val="18"/>
                <w:color w:val="auto"/>
              </w:rPr>
              <w:t>Cash Collateral</w:t>
            </w:r>
          </w:p>
        </w:tc>
        <w:tc>
          <w:tcPr>
            <w:tcW w:w="1540" w:type="dxa"/>
            <w:vAlign w:val="bottom"/>
          </w:tcPr>
          <w:p>
            <w:pPr>
              <w:jc w:val="right"/>
              <w:spacing w:after="0"/>
              <w:rPr>
                <w:sz w:val="20"/>
                <w:szCs w:val="20"/>
                <w:color w:val="auto"/>
              </w:rPr>
            </w:pPr>
            <w:r>
              <w:rPr>
                <w:rFonts w:ascii="Arial" w:cs="Arial" w:eastAsia="Arial" w:hAnsi="Arial"/>
                <w:sz w:val="18"/>
                <w:szCs w:val="18"/>
                <w:color w:val="auto"/>
              </w:rPr>
              <w:t>EUR 1,620</w:t>
            </w:r>
          </w:p>
        </w:tc>
        <w:tc>
          <w:tcPr>
            <w:tcW w:w="1920" w:type="dxa"/>
            <w:vAlign w:val="bottom"/>
          </w:tcPr>
          <w:p>
            <w:pPr>
              <w:jc w:val="right"/>
              <w:spacing w:after="0"/>
              <w:rPr>
                <w:sz w:val="20"/>
                <w:szCs w:val="20"/>
                <w:color w:val="auto"/>
              </w:rPr>
            </w:pPr>
            <w:r>
              <w:rPr>
                <w:rFonts w:ascii="Arial" w:cs="Arial" w:eastAsia="Arial" w:hAnsi="Arial"/>
                <w:sz w:val="18"/>
                <w:szCs w:val="18"/>
                <w:color w:val="auto"/>
              </w:rPr>
              <w:t>2,189</w:t>
            </w:r>
          </w:p>
        </w:tc>
      </w:tr>
      <w:tr>
        <w:trPr>
          <w:trHeight w:val="256"/>
        </w:trPr>
        <w:tc>
          <w:tcPr>
            <w:tcW w:w="20" w:type="dxa"/>
            <w:vAlign w:val="bottom"/>
          </w:tcPr>
          <w:p>
            <w:pPr>
              <w:spacing w:after="0"/>
              <w:rPr>
                <w:sz w:val="22"/>
                <w:szCs w:val="22"/>
                <w:color w:val="auto"/>
              </w:rPr>
            </w:pPr>
          </w:p>
        </w:tc>
        <w:tc>
          <w:tcPr>
            <w:tcW w:w="170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720" w:type="dxa"/>
            <w:vAlign w:val="bottom"/>
          </w:tcPr>
          <w:p>
            <w:pPr>
              <w:ind w:left="340"/>
              <w:spacing w:after="0"/>
              <w:rPr>
                <w:sz w:val="20"/>
                <w:szCs w:val="20"/>
                <w:color w:val="auto"/>
              </w:rPr>
            </w:pPr>
            <w:r>
              <w:rPr>
                <w:rFonts w:ascii="Arial" w:cs="Arial" w:eastAsia="Arial" w:hAnsi="Arial"/>
                <w:sz w:val="18"/>
                <w:szCs w:val="18"/>
                <w:color w:val="auto"/>
              </w:rPr>
              <w:t>ECE Project</w:t>
            </w:r>
          </w:p>
        </w:tc>
        <w:tc>
          <w:tcPr>
            <w:tcW w:w="1680" w:type="dxa"/>
            <w:vAlign w:val="bottom"/>
          </w:tcPr>
          <w:p>
            <w:pPr>
              <w:spacing w:after="0"/>
              <w:rPr>
                <w:sz w:val="22"/>
                <w:szCs w:val="22"/>
                <w:color w:val="auto"/>
              </w:rPr>
            </w:pPr>
          </w:p>
        </w:tc>
        <w:tc>
          <w:tcPr>
            <w:tcW w:w="1840" w:type="dxa"/>
            <w:vAlign w:val="bottom"/>
          </w:tcPr>
          <w:p>
            <w:pPr>
              <w:spacing w:after="0"/>
              <w:rPr>
                <w:sz w:val="22"/>
                <w:szCs w:val="22"/>
                <w:color w:val="auto"/>
              </w:rPr>
            </w:pPr>
          </w:p>
        </w:tc>
        <w:tc>
          <w:tcPr>
            <w:tcW w:w="1540" w:type="dxa"/>
            <w:vAlign w:val="bottom"/>
          </w:tcPr>
          <w:p>
            <w:pPr>
              <w:spacing w:after="0"/>
              <w:rPr>
                <w:sz w:val="22"/>
                <w:szCs w:val="22"/>
                <w:color w:val="auto"/>
              </w:rPr>
            </w:pPr>
          </w:p>
        </w:tc>
        <w:tc>
          <w:tcPr>
            <w:tcW w:w="1920" w:type="dxa"/>
            <w:vAlign w:val="bottom"/>
          </w:tcPr>
          <w:p>
            <w:pPr>
              <w:spacing w:after="0"/>
              <w:rPr>
                <w:sz w:val="22"/>
                <w:szCs w:val="22"/>
                <w:color w:val="auto"/>
              </w:rPr>
            </w:pPr>
          </w:p>
        </w:tc>
      </w:tr>
      <w:tr>
        <w:trPr>
          <w:trHeight w:val="230"/>
        </w:trPr>
        <w:tc>
          <w:tcPr>
            <w:tcW w:w="20" w:type="dxa"/>
            <w:vAlign w:val="bottom"/>
          </w:tcPr>
          <w:p>
            <w:pPr>
              <w:spacing w:after="0"/>
              <w:rPr>
                <w:sz w:val="20"/>
                <w:szCs w:val="20"/>
                <w:color w:val="auto"/>
              </w:rPr>
            </w:pPr>
          </w:p>
        </w:tc>
        <w:tc>
          <w:tcPr>
            <w:tcW w:w="2680" w:type="dxa"/>
            <w:vAlign w:val="bottom"/>
            <w:gridSpan w:val="2"/>
          </w:tcPr>
          <w:p>
            <w:pPr>
              <w:spacing w:after="0"/>
              <w:rPr>
                <w:sz w:val="20"/>
                <w:szCs w:val="20"/>
                <w:color w:val="auto"/>
              </w:rPr>
            </w:pPr>
            <w:r>
              <w:rPr>
                <w:rFonts w:ascii="Arial" w:cs="Arial" w:eastAsia="Arial" w:hAnsi="Arial"/>
                <w:sz w:val="18"/>
                <w:szCs w:val="18"/>
                <w:color w:val="auto"/>
              </w:rPr>
              <w:t>Euronet Banktechnikai Kft</w:t>
            </w:r>
          </w:p>
        </w:tc>
        <w:tc>
          <w:tcPr>
            <w:tcW w:w="1720" w:type="dxa"/>
            <w:vAlign w:val="bottom"/>
          </w:tcPr>
          <w:p>
            <w:pPr>
              <w:ind w:left="340"/>
              <w:spacing w:after="0"/>
              <w:rPr>
                <w:sz w:val="20"/>
                <w:szCs w:val="20"/>
                <w:color w:val="auto"/>
              </w:rPr>
            </w:pPr>
            <w:r>
              <w:rPr>
                <w:rFonts w:ascii="Arial" w:cs="Arial" w:eastAsia="Arial" w:hAnsi="Arial"/>
                <w:sz w:val="18"/>
                <w:szCs w:val="18"/>
                <w:color w:val="auto"/>
              </w:rPr>
              <w:t>Management Kft</w:t>
            </w:r>
          </w:p>
        </w:tc>
        <w:tc>
          <w:tcPr>
            <w:tcW w:w="1680" w:type="dxa"/>
            <w:vAlign w:val="bottom"/>
          </w:tcPr>
          <w:p>
            <w:pPr>
              <w:ind w:left="60"/>
              <w:spacing w:after="0"/>
              <w:rPr>
                <w:sz w:val="20"/>
                <w:szCs w:val="20"/>
                <w:color w:val="auto"/>
              </w:rPr>
            </w:pPr>
            <w:r>
              <w:rPr>
                <w:rFonts w:ascii="Arial" w:cs="Arial" w:eastAsia="Arial" w:hAnsi="Arial"/>
                <w:sz w:val="18"/>
                <w:szCs w:val="18"/>
                <w:color w:val="auto"/>
              </w:rPr>
              <w:t>Other</w:t>
            </w:r>
          </w:p>
        </w:tc>
        <w:tc>
          <w:tcPr>
            <w:tcW w:w="1840" w:type="dxa"/>
            <w:vAlign w:val="bottom"/>
          </w:tcPr>
          <w:p>
            <w:pPr>
              <w:ind w:left="340"/>
              <w:spacing w:after="0"/>
              <w:rPr>
                <w:sz w:val="20"/>
                <w:szCs w:val="20"/>
                <w:color w:val="auto"/>
              </w:rPr>
            </w:pPr>
            <w:r>
              <w:rPr>
                <w:rFonts w:ascii="Arial" w:cs="Arial" w:eastAsia="Arial" w:hAnsi="Arial"/>
                <w:sz w:val="18"/>
                <w:szCs w:val="18"/>
                <w:color w:val="auto"/>
              </w:rPr>
              <w:t>Cash Collateral</w:t>
            </w:r>
          </w:p>
        </w:tc>
        <w:tc>
          <w:tcPr>
            <w:tcW w:w="1540" w:type="dxa"/>
            <w:vAlign w:val="bottom"/>
          </w:tcPr>
          <w:p>
            <w:pPr>
              <w:jc w:val="right"/>
              <w:spacing w:after="0"/>
              <w:rPr>
                <w:sz w:val="20"/>
                <w:szCs w:val="20"/>
                <w:color w:val="auto"/>
              </w:rPr>
            </w:pPr>
            <w:r>
              <w:rPr>
                <w:rFonts w:ascii="Arial" w:cs="Arial" w:eastAsia="Arial" w:hAnsi="Arial"/>
                <w:sz w:val="18"/>
                <w:szCs w:val="18"/>
                <w:color w:val="auto"/>
              </w:rPr>
              <w:t>EUR 1,620</w:t>
            </w:r>
          </w:p>
        </w:tc>
        <w:tc>
          <w:tcPr>
            <w:tcW w:w="1920" w:type="dxa"/>
            <w:vAlign w:val="bottom"/>
          </w:tcPr>
          <w:p>
            <w:pPr>
              <w:jc w:val="right"/>
              <w:spacing w:after="0"/>
              <w:rPr>
                <w:sz w:val="20"/>
                <w:szCs w:val="20"/>
                <w:color w:val="auto"/>
              </w:rPr>
            </w:pPr>
            <w:r>
              <w:rPr>
                <w:rFonts w:ascii="Arial" w:cs="Arial" w:eastAsia="Arial" w:hAnsi="Arial"/>
                <w:sz w:val="18"/>
                <w:szCs w:val="18"/>
                <w:color w:val="auto"/>
              </w:rPr>
              <w:t>2,189</w:t>
            </w:r>
          </w:p>
        </w:tc>
      </w:tr>
      <w:tr>
        <w:trPr>
          <w:trHeight w:val="256"/>
        </w:trPr>
        <w:tc>
          <w:tcPr>
            <w:tcW w:w="20" w:type="dxa"/>
            <w:vAlign w:val="bottom"/>
          </w:tcPr>
          <w:p>
            <w:pPr>
              <w:spacing w:after="0"/>
              <w:rPr>
                <w:sz w:val="22"/>
                <w:szCs w:val="22"/>
                <w:color w:val="auto"/>
              </w:rPr>
            </w:pPr>
          </w:p>
        </w:tc>
        <w:tc>
          <w:tcPr>
            <w:tcW w:w="170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720" w:type="dxa"/>
            <w:vAlign w:val="bottom"/>
          </w:tcPr>
          <w:p>
            <w:pPr>
              <w:ind w:left="340"/>
              <w:spacing w:after="0"/>
              <w:rPr>
                <w:sz w:val="20"/>
                <w:szCs w:val="20"/>
                <w:color w:val="auto"/>
              </w:rPr>
            </w:pPr>
            <w:r>
              <w:rPr>
                <w:rFonts w:ascii="Arial" w:cs="Arial" w:eastAsia="Arial" w:hAnsi="Arial"/>
                <w:sz w:val="18"/>
                <w:szCs w:val="18"/>
                <w:color w:val="auto"/>
                <w:w w:val="91"/>
              </w:rPr>
              <w:t>Fusion Befektetési</w:t>
            </w:r>
          </w:p>
        </w:tc>
        <w:tc>
          <w:tcPr>
            <w:tcW w:w="1680" w:type="dxa"/>
            <w:vAlign w:val="bottom"/>
          </w:tcPr>
          <w:p>
            <w:pPr>
              <w:spacing w:after="0"/>
              <w:rPr>
                <w:sz w:val="22"/>
                <w:szCs w:val="22"/>
                <w:color w:val="auto"/>
              </w:rPr>
            </w:pPr>
          </w:p>
        </w:tc>
        <w:tc>
          <w:tcPr>
            <w:tcW w:w="1840" w:type="dxa"/>
            <w:vAlign w:val="bottom"/>
          </w:tcPr>
          <w:p>
            <w:pPr>
              <w:spacing w:after="0"/>
              <w:rPr>
                <w:sz w:val="22"/>
                <w:szCs w:val="22"/>
                <w:color w:val="auto"/>
              </w:rPr>
            </w:pPr>
          </w:p>
        </w:tc>
        <w:tc>
          <w:tcPr>
            <w:tcW w:w="1540" w:type="dxa"/>
            <w:vAlign w:val="bottom"/>
          </w:tcPr>
          <w:p>
            <w:pPr>
              <w:spacing w:after="0"/>
              <w:rPr>
                <w:sz w:val="22"/>
                <w:szCs w:val="22"/>
                <w:color w:val="auto"/>
              </w:rPr>
            </w:pPr>
          </w:p>
        </w:tc>
        <w:tc>
          <w:tcPr>
            <w:tcW w:w="1920" w:type="dxa"/>
            <w:vAlign w:val="bottom"/>
          </w:tcPr>
          <w:p>
            <w:pPr>
              <w:spacing w:after="0"/>
              <w:rPr>
                <w:sz w:val="22"/>
                <w:szCs w:val="22"/>
                <w:color w:val="auto"/>
              </w:rPr>
            </w:pPr>
          </w:p>
        </w:tc>
      </w:tr>
      <w:tr>
        <w:trPr>
          <w:trHeight w:val="230"/>
        </w:trPr>
        <w:tc>
          <w:tcPr>
            <w:tcW w:w="20" w:type="dxa"/>
            <w:vAlign w:val="bottom"/>
          </w:tcPr>
          <w:p>
            <w:pPr>
              <w:spacing w:after="0"/>
              <w:rPr>
                <w:sz w:val="20"/>
                <w:szCs w:val="20"/>
                <w:color w:val="auto"/>
              </w:rPr>
            </w:pPr>
          </w:p>
        </w:tc>
        <w:tc>
          <w:tcPr>
            <w:tcW w:w="2680" w:type="dxa"/>
            <w:vAlign w:val="bottom"/>
            <w:gridSpan w:val="2"/>
          </w:tcPr>
          <w:p>
            <w:pPr>
              <w:spacing w:after="0"/>
              <w:rPr>
                <w:sz w:val="20"/>
                <w:szCs w:val="20"/>
                <w:color w:val="auto"/>
              </w:rPr>
            </w:pPr>
            <w:r>
              <w:rPr>
                <w:rFonts w:ascii="Arial" w:cs="Arial" w:eastAsia="Arial" w:hAnsi="Arial"/>
                <w:sz w:val="18"/>
                <w:szCs w:val="18"/>
                <w:color w:val="auto"/>
              </w:rPr>
              <w:t>Euronet Banktechnikai Kft</w:t>
            </w:r>
          </w:p>
        </w:tc>
        <w:tc>
          <w:tcPr>
            <w:tcW w:w="1720" w:type="dxa"/>
            <w:vAlign w:val="bottom"/>
          </w:tcPr>
          <w:p>
            <w:pPr>
              <w:ind w:left="340"/>
              <w:spacing w:after="0"/>
              <w:rPr>
                <w:sz w:val="20"/>
                <w:szCs w:val="20"/>
                <w:color w:val="auto"/>
              </w:rPr>
            </w:pPr>
            <w:r>
              <w:rPr>
                <w:rFonts w:ascii="Arial" w:cs="Arial" w:eastAsia="Arial" w:hAnsi="Arial"/>
                <w:sz w:val="18"/>
                <w:szCs w:val="18"/>
                <w:color w:val="auto"/>
              </w:rPr>
              <w:t>ZRt.</w:t>
            </w:r>
          </w:p>
        </w:tc>
        <w:tc>
          <w:tcPr>
            <w:tcW w:w="1680" w:type="dxa"/>
            <w:vAlign w:val="bottom"/>
          </w:tcPr>
          <w:p>
            <w:pPr>
              <w:ind w:left="60"/>
              <w:spacing w:after="0"/>
              <w:rPr>
                <w:sz w:val="20"/>
                <w:szCs w:val="20"/>
                <w:color w:val="auto"/>
              </w:rPr>
            </w:pPr>
            <w:r>
              <w:rPr>
                <w:rFonts w:ascii="Arial" w:cs="Arial" w:eastAsia="Arial" w:hAnsi="Arial"/>
                <w:sz w:val="18"/>
                <w:szCs w:val="18"/>
                <w:color w:val="auto"/>
              </w:rPr>
              <w:t>Other</w:t>
            </w:r>
          </w:p>
        </w:tc>
        <w:tc>
          <w:tcPr>
            <w:tcW w:w="1840" w:type="dxa"/>
            <w:vAlign w:val="bottom"/>
          </w:tcPr>
          <w:p>
            <w:pPr>
              <w:ind w:left="340"/>
              <w:spacing w:after="0"/>
              <w:rPr>
                <w:sz w:val="20"/>
                <w:szCs w:val="20"/>
                <w:color w:val="auto"/>
              </w:rPr>
            </w:pPr>
            <w:r>
              <w:rPr>
                <w:rFonts w:ascii="Arial" w:cs="Arial" w:eastAsia="Arial" w:hAnsi="Arial"/>
                <w:sz w:val="18"/>
                <w:szCs w:val="18"/>
                <w:color w:val="auto"/>
              </w:rPr>
              <w:t>Cash Collateral</w:t>
            </w:r>
          </w:p>
        </w:tc>
        <w:tc>
          <w:tcPr>
            <w:tcW w:w="1540" w:type="dxa"/>
            <w:vAlign w:val="bottom"/>
          </w:tcPr>
          <w:p>
            <w:pPr>
              <w:jc w:val="right"/>
              <w:spacing w:after="0"/>
              <w:rPr>
                <w:sz w:val="20"/>
                <w:szCs w:val="20"/>
                <w:color w:val="auto"/>
              </w:rPr>
            </w:pPr>
            <w:r>
              <w:rPr>
                <w:rFonts w:ascii="Arial" w:cs="Arial" w:eastAsia="Arial" w:hAnsi="Arial"/>
                <w:sz w:val="18"/>
                <w:szCs w:val="18"/>
                <w:color w:val="auto"/>
              </w:rPr>
              <w:t>HUF 780,000</w:t>
            </w:r>
          </w:p>
        </w:tc>
        <w:tc>
          <w:tcPr>
            <w:tcW w:w="1920" w:type="dxa"/>
            <w:vAlign w:val="bottom"/>
          </w:tcPr>
          <w:p>
            <w:pPr>
              <w:jc w:val="right"/>
              <w:spacing w:after="0"/>
              <w:rPr>
                <w:sz w:val="20"/>
                <w:szCs w:val="20"/>
                <w:color w:val="auto"/>
              </w:rPr>
            </w:pPr>
            <w:r>
              <w:rPr>
                <w:rFonts w:ascii="Arial" w:cs="Arial" w:eastAsia="Arial" w:hAnsi="Arial"/>
                <w:sz w:val="18"/>
                <w:szCs w:val="18"/>
                <w:color w:val="auto"/>
              </w:rPr>
              <w:t>3,362</w:t>
            </w:r>
          </w:p>
        </w:tc>
      </w:tr>
      <w:tr>
        <w:trPr>
          <w:trHeight w:val="256"/>
        </w:trPr>
        <w:tc>
          <w:tcPr>
            <w:tcW w:w="20" w:type="dxa"/>
            <w:vAlign w:val="bottom"/>
          </w:tcPr>
          <w:p>
            <w:pPr>
              <w:spacing w:after="0"/>
              <w:rPr>
                <w:sz w:val="22"/>
                <w:szCs w:val="22"/>
                <w:color w:val="auto"/>
              </w:rPr>
            </w:pPr>
          </w:p>
        </w:tc>
        <w:tc>
          <w:tcPr>
            <w:tcW w:w="170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720" w:type="dxa"/>
            <w:vAlign w:val="bottom"/>
          </w:tcPr>
          <w:p>
            <w:pPr>
              <w:ind w:left="340"/>
              <w:spacing w:after="0"/>
              <w:rPr>
                <w:sz w:val="20"/>
                <w:szCs w:val="20"/>
                <w:color w:val="auto"/>
              </w:rPr>
            </w:pPr>
            <w:r>
              <w:rPr>
                <w:rFonts w:ascii="Arial" w:cs="Arial" w:eastAsia="Arial" w:hAnsi="Arial"/>
                <w:sz w:val="18"/>
                <w:szCs w:val="18"/>
                <w:color w:val="auto"/>
              </w:rPr>
              <w:t>Múzeum krt -</w:t>
            </w:r>
          </w:p>
        </w:tc>
        <w:tc>
          <w:tcPr>
            <w:tcW w:w="1680" w:type="dxa"/>
            <w:vAlign w:val="bottom"/>
          </w:tcPr>
          <w:p>
            <w:pPr>
              <w:spacing w:after="0"/>
              <w:rPr>
                <w:sz w:val="22"/>
                <w:szCs w:val="22"/>
                <w:color w:val="auto"/>
              </w:rPr>
            </w:pPr>
          </w:p>
        </w:tc>
        <w:tc>
          <w:tcPr>
            <w:tcW w:w="1840" w:type="dxa"/>
            <w:vAlign w:val="bottom"/>
          </w:tcPr>
          <w:p>
            <w:pPr>
              <w:spacing w:after="0"/>
              <w:rPr>
                <w:sz w:val="22"/>
                <w:szCs w:val="22"/>
                <w:color w:val="auto"/>
              </w:rPr>
            </w:pPr>
          </w:p>
        </w:tc>
        <w:tc>
          <w:tcPr>
            <w:tcW w:w="1540" w:type="dxa"/>
            <w:vAlign w:val="bottom"/>
          </w:tcPr>
          <w:p>
            <w:pPr>
              <w:spacing w:after="0"/>
              <w:rPr>
                <w:sz w:val="22"/>
                <w:szCs w:val="22"/>
                <w:color w:val="auto"/>
              </w:rPr>
            </w:pPr>
          </w:p>
        </w:tc>
        <w:tc>
          <w:tcPr>
            <w:tcW w:w="1920" w:type="dxa"/>
            <w:vAlign w:val="bottom"/>
          </w:tcPr>
          <w:p>
            <w:pPr>
              <w:spacing w:after="0"/>
              <w:rPr>
                <w:sz w:val="22"/>
                <w:szCs w:val="22"/>
                <w:color w:val="auto"/>
              </w:rPr>
            </w:pPr>
          </w:p>
        </w:tc>
      </w:tr>
      <w:tr>
        <w:trPr>
          <w:trHeight w:val="230"/>
        </w:trPr>
        <w:tc>
          <w:tcPr>
            <w:tcW w:w="20" w:type="dxa"/>
            <w:vAlign w:val="bottom"/>
          </w:tcPr>
          <w:p>
            <w:pPr>
              <w:spacing w:after="0"/>
              <w:rPr>
                <w:sz w:val="20"/>
                <w:szCs w:val="20"/>
                <w:color w:val="auto"/>
              </w:rPr>
            </w:pPr>
          </w:p>
        </w:tc>
        <w:tc>
          <w:tcPr>
            <w:tcW w:w="2680" w:type="dxa"/>
            <w:vAlign w:val="bottom"/>
            <w:gridSpan w:val="2"/>
          </w:tcPr>
          <w:p>
            <w:pPr>
              <w:spacing w:after="0"/>
              <w:rPr>
                <w:sz w:val="20"/>
                <w:szCs w:val="20"/>
                <w:color w:val="auto"/>
              </w:rPr>
            </w:pPr>
            <w:r>
              <w:rPr>
                <w:rFonts w:ascii="Arial" w:cs="Arial" w:eastAsia="Arial" w:hAnsi="Arial"/>
                <w:sz w:val="18"/>
                <w:szCs w:val="18"/>
                <w:color w:val="auto"/>
              </w:rPr>
              <w:t>Euronet Banktechnikai Kft</w:t>
            </w:r>
          </w:p>
        </w:tc>
        <w:tc>
          <w:tcPr>
            <w:tcW w:w="1720" w:type="dxa"/>
            <w:vAlign w:val="bottom"/>
          </w:tcPr>
          <w:p>
            <w:pPr>
              <w:ind w:left="340"/>
              <w:spacing w:after="0"/>
              <w:rPr>
                <w:sz w:val="20"/>
                <w:szCs w:val="20"/>
                <w:color w:val="auto"/>
              </w:rPr>
            </w:pPr>
            <w:r>
              <w:rPr>
                <w:rFonts w:ascii="Arial" w:cs="Arial" w:eastAsia="Arial" w:hAnsi="Arial"/>
                <w:sz w:val="18"/>
                <w:szCs w:val="18"/>
                <w:color w:val="auto"/>
              </w:rPr>
              <w:t>Társasház</w:t>
            </w:r>
          </w:p>
        </w:tc>
        <w:tc>
          <w:tcPr>
            <w:tcW w:w="1680" w:type="dxa"/>
            <w:vAlign w:val="bottom"/>
          </w:tcPr>
          <w:p>
            <w:pPr>
              <w:ind w:left="60"/>
              <w:spacing w:after="0"/>
              <w:rPr>
                <w:sz w:val="20"/>
                <w:szCs w:val="20"/>
                <w:color w:val="auto"/>
              </w:rPr>
            </w:pPr>
            <w:r>
              <w:rPr>
                <w:rFonts w:ascii="Arial" w:cs="Arial" w:eastAsia="Arial" w:hAnsi="Arial"/>
                <w:sz w:val="18"/>
                <w:szCs w:val="18"/>
                <w:color w:val="auto"/>
              </w:rPr>
              <w:t>Other</w:t>
            </w:r>
          </w:p>
        </w:tc>
        <w:tc>
          <w:tcPr>
            <w:tcW w:w="1840" w:type="dxa"/>
            <w:vAlign w:val="bottom"/>
          </w:tcPr>
          <w:p>
            <w:pPr>
              <w:ind w:left="340"/>
              <w:spacing w:after="0"/>
              <w:rPr>
                <w:sz w:val="20"/>
                <w:szCs w:val="20"/>
                <w:color w:val="auto"/>
              </w:rPr>
            </w:pPr>
            <w:r>
              <w:rPr>
                <w:rFonts w:ascii="Arial" w:cs="Arial" w:eastAsia="Arial" w:hAnsi="Arial"/>
                <w:sz w:val="18"/>
                <w:szCs w:val="18"/>
                <w:color w:val="auto"/>
              </w:rPr>
              <w:t>Cash Collateral</w:t>
            </w:r>
          </w:p>
        </w:tc>
        <w:tc>
          <w:tcPr>
            <w:tcW w:w="1540" w:type="dxa"/>
            <w:vAlign w:val="bottom"/>
          </w:tcPr>
          <w:p>
            <w:pPr>
              <w:jc w:val="right"/>
              <w:spacing w:after="0"/>
              <w:rPr>
                <w:sz w:val="20"/>
                <w:szCs w:val="20"/>
                <w:color w:val="auto"/>
              </w:rPr>
            </w:pPr>
            <w:r>
              <w:rPr>
                <w:rFonts w:ascii="Arial" w:cs="Arial" w:eastAsia="Arial" w:hAnsi="Arial"/>
                <w:sz w:val="18"/>
                <w:szCs w:val="18"/>
                <w:color w:val="auto"/>
              </w:rPr>
              <w:t>HUF 75,000</w:t>
            </w:r>
          </w:p>
        </w:tc>
        <w:tc>
          <w:tcPr>
            <w:tcW w:w="1920" w:type="dxa"/>
            <w:vAlign w:val="bottom"/>
          </w:tcPr>
          <w:p>
            <w:pPr>
              <w:jc w:val="right"/>
              <w:spacing w:after="0"/>
              <w:rPr>
                <w:sz w:val="20"/>
                <w:szCs w:val="20"/>
                <w:color w:val="auto"/>
              </w:rPr>
            </w:pPr>
            <w:r>
              <w:rPr>
                <w:rFonts w:ascii="Arial" w:cs="Arial" w:eastAsia="Arial" w:hAnsi="Arial"/>
                <w:sz w:val="18"/>
                <w:szCs w:val="18"/>
                <w:color w:val="auto"/>
              </w:rPr>
              <w:t>323</w:t>
            </w:r>
          </w:p>
        </w:tc>
      </w:tr>
      <w:tr>
        <w:trPr>
          <w:trHeight w:val="256"/>
        </w:trPr>
        <w:tc>
          <w:tcPr>
            <w:tcW w:w="20" w:type="dxa"/>
            <w:vAlign w:val="bottom"/>
          </w:tcPr>
          <w:p>
            <w:pPr>
              <w:spacing w:after="0"/>
              <w:rPr>
                <w:sz w:val="22"/>
                <w:szCs w:val="22"/>
                <w:color w:val="auto"/>
              </w:rPr>
            </w:pPr>
          </w:p>
        </w:tc>
        <w:tc>
          <w:tcPr>
            <w:tcW w:w="170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720" w:type="dxa"/>
            <w:vAlign w:val="bottom"/>
          </w:tcPr>
          <w:p>
            <w:pPr>
              <w:ind w:left="340"/>
              <w:spacing w:after="0"/>
              <w:rPr>
                <w:sz w:val="20"/>
                <w:szCs w:val="20"/>
                <w:color w:val="auto"/>
              </w:rPr>
            </w:pPr>
            <w:r>
              <w:rPr>
                <w:rFonts w:ascii="Arial" w:cs="Arial" w:eastAsia="Arial" w:hAnsi="Arial"/>
                <w:sz w:val="18"/>
                <w:szCs w:val="18"/>
                <w:color w:val="auto"/>
              </w:rPr>
              <w:t>Budai Arany-Sas</w:t>
            </w:r>
          </w:p>
        </w:tc>
        <w:tc>
          <w:tcPr>
            <w:tcW w:w="1680" w:type="dxa"/>
            <w:vAlign w:val="bottom"/>
          </w:tcPr>
          <w:p>
            <w:pPr>
              <w:spacing w:after="0"/>
              <w:rPr>
                <w:sz w:val="22"/>
                <w:szCs w:val="22"/>
                <w:color w:val="auto"/>
              </w:rPr>
            </w:pPr>
          </w:p>
        </w:tc>
        <w:tc>
          <w:tcPr>
            <w:tcW w:w="1840" w:type="dxa"/>
            <w:vAlign w:val="bottom"/>
          </w:tcPr>
          <w:p>
            <w:pPr>
              <w:spacing w:after="0"/>
              <w:rPr>
                <w:sz w:val="22"/>
                <w:szCs w:val="22"/>
                <w:color w:val="auto"/>
              </w:rPr>
            </w:pPr>
          </w:p>
        </w:tc>
        <w:tc>
          <w:tcPr>
            <w:tcW w:w="1540" w:type="dxa"/>
            <w:vAlign w:val="bottom"/>
          </w:tcPr>
          <w:p>
            <w:pPr>
              <w:spacing w:after="0"/>
              <w:rPr>
                <w:sz w:val="22"/>
                <w:szCs w:val="22"/>
                <w:color w:val="auto"/>
              </w:rPr>
            </w:pPr>
          </w:p>
        </w:tc>
        <w:tc>
          <w:tcPr>
            <w:tcW w:w="1920" w:type="dxa"/>
            <w:vAlign w:val="bottom"/>
          </w:tcPr>
          <w:p>
            <w:pPr>
              <w:spacing w:after="0"/>
              <w:rPr>
                <w:sz w:val="22"/>
                <w:szCs w:val="22"/>
                <w:color w:val="auto"/>
              </w:rPr>
            </w:pPr>
          </w:p>
        </w:tc>
      </w:tr>
      <w:tr>
        <w:trPr>
          <w:trHeight w:val="230"/>
        </w:trPr>
        <w:tc>
          <w:tcPr>
            <w:tcW w:w="20" w:type="dxa"/>
            <w:vAlign w:val="bottom"/>
          </w:tcPr>
          <w:p>
            <w:pPr>
              <w:spacing w:after="0"/>
              <w:rPr>
                <w:sz w:val="20"/>
                <w:szCs w:val="20"/>
                <w:color w:val="auto"/>
              </w:rPr>
            </w:pPr>
          </w:p>
        </w:tc>
        <w:tc>
          <w:tcPr>
            <w:tcW w:w="2680" w:type="dxa"/>
            <w:vAlign w:val="bottom"/>
            <w:gridSpan w:val="2"/>
          </w:tcPr>
          <w:p>
            <w:pPr>
              <w:spacing w:after="0"/>
              <w:rPr>
                <w:sz w:val="20"/>
                <w:szCs w:val="20"/>
                <w:color w:val="auto"/>
              </w:rPr>
            </w:pPr>
            <w:r>
              <w:rPr>
                <w:rFonts w:ascii="Arial" w:cs="Arial" w:eastAsia="Arial" w:hAnsi="Arial"/>
                <w:sz w:val="18"/>
                <w:szCs w:val="18"/>
                <w:color w:val="auto"/>
              </w:rPr>
              <w:t>Euronet Banktechnikai Kft</w:t>
            </w:r>
          </w:p>
        </w:tc>
        <w:tc>
          <w:tcPr>
            <w:tcW w:w="1720" w:type="dxa"/>
            <w:vAlign w:val="bottom"/>
          </w:tcPr>
          <w:p>
            <w:pPr>
              <w:ind w:left="340"/>
              <w:spacing w:after="0"/>
              <w:rPr>
                <w:sz w:val="20"/>
                <w:szCs w:val="20"/>
                <w:color w:val="auto"/>
              </w:rPr>
            </w:pPr>
            <w:r>
              <w:rPr>
                <w:rFonts w:ascii="Arial" w:cs="Arial" w:eastAsia="Arial" w:hAnsi="Arial"/>
                <w:sz w:val="18"/>
                <w:szCs w:val="18"/>
                <w:color w:val="auto"/>
                <w:w w:val="99"/>
              </w:rPr>
              <w:t>Gyógyszerész Bt</w:t>
            </w:r>
          </w:p>
        </w:tc>
        <w:tc>
          <w:tcPr>
            <w:tcW w:w="1680" w:type="dxa"/>
            <w:vAlign w:val="bottom"/>
          </w:tcPr>
          <w:p>
            <w:pPr>
              <w:ind w:left="60"/>
              <w:spacing w:after="0"/>
              <w:rPr>
                <w:sz w:val="20"/>
                <w:szCs w:val="20"/>
                <w:color w:val="auto"/>
              </w:rPr>
            </w:pPr>
            <w:r>
              <w:rPr>
                <w:rFonts w:ascii="Arial" w:cs="Arial" w:eastAsia="Arial" w:hAnsi="Arial"/>
                <w:sz w:val="18"/>
                <w:szCs w:val="18"/>
                <w:color w:val="auto"/>
              </w:rPr>
              <w:t>Other</w:t>
            </w:r>
          </w:p>
        </w:tc>
        <w:tc>
          <w:tcPr>
            <w:tcW w:w="1840" w:type="dxa"/>
            <w:vAlign w:val="bottom"/>
          </w:tcPr>
          <w:p>
            <w:pPr>
              <w:ind w:left="340"/>
              <w:spacing w:after="0"/>
              <w:rPr>
                <w:sz w:val="20"/>
                <w:szCs w:val="20"/>
                <w:color w:val="auto"/>
              </w:rPr>
            </w:pPr>
            <w:r>
              <w:rPr>
                <w:rFonts w:ascii="Arial" w:cs="Arial" w:eastAsia="Arial" w:hAnsi="Arial"/>
                <w:sz w:val="18"/>
                <w:szCs w:val="18"/>
                <w:color w:val="auto"/>
              </w:rPr>
              <w:t>Cash Collateral</w:t>
            </w:r>
          </w:p>
        </w:tc>
        <w:tc>
          <w:tcPr>
            <w:tcW w:w="1540" w:type="dxa"/>
            <w:vAlign w:val="bottom"/>
          </w:tcPr>
          <w:p>
            <w:pPr>
              <w:jc w:val="right"/>
              <w:spacing w:after="0"/>
              <w:rPr>
                <w:sz w:val="20"/>
                <w:szCs w:val="20"/>
                <w:color w:val="auto"/>
              </w:rPr>
            </w:pPr>
            <w:r>
              <w:rPr>
                <w:rFonts w:ascii="Arial" w:cs="Arial" w:eastAsia="Arial" w:hAnsi="Arial"/>
                <w:sz w:val="18"/>
                <w:szCs w:val="18"/>
                <w:color w:val="auto"/>
              </w:rPr>
              <w:t>HUF 127,000</w:t>
            </w:r>
          </w:p>
        </w:tc>
        <w:tc>
          <w:tcPr>
            <w:tcW w:w="1920" w:type="dxa"/>
            <w:vAlign w:val="bottom"/>
          </w:tcPr>
          <w:p>
            <w:pPr>
              <w:jc w:val="right"/>
              <w:spacing w:after="0"/>
              <w:rPr>
                <w:sz w:val="20"/>
                <w:szCs w:val="20"/>
                <w:color w:val="auto"/>
              </w:rPr>
            </w:pPr>
            <w:r>
              <w:rPr>
                <w:rFonts w:ascii="Arial" w:cs="Arial" w:eastAsia="Arial" w:hAnsi="Arial"/>
                <w:sz w:val="18"/>
                <w:szCs w:val="18"/>
                <w:color w:val="auto"/>
              </w:rPr>
              <w:t>547</w:t>
            </w:r>
          </w:p>
        </w:tc>
      </w:tr>
      <w:tr>
        <w:trPr>
          <w:trHeight w:val="256"/>
        </w:trPr>
        <w:tc>
          <w:tcPr>
            <w:tcW w:w="20" w:type="dxa"/>
            <w:vAlign w:val="bottom"/>
          </w:tcPr>
          <w:p>
            <w:pPr>
              <w:spacing w:after="0"/>
              <w:rPr>
                <w:sz w:val="22"/>
                <w:szCs w:val="22"/>
                <w:color w:val="auto"/>
              </w:rPr>
            </w:pPr>
          </w:p>
        </w:tc>
        <w:tc>
          <w:tcPr>
            <w:tcW w:w="170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720" w:type="dxa"/>
            <w:vAlign w:val="bottom"/>
          </w:tcPr>
          <w:p>
            <w:pPr>
              <w:ind w:left="340"/>
              <w:spacing w:after="0"/>
              <w:rPr>
                <w:sz w:val="20"/>
                <w:szCs w:val="20"/>
                <w:color w:val="auto"/>
              </w:rPr>
            </w:pPr>
            <w:r>
              <w:rPr>
                <w:rFonts w:ascii="Arial" w:cs="Arial" w:eastAsia="Arial" w:hAnsi="Arial"/>
                <w:sz w:val="18"/>
                <w:szCs w:val="18"/>
                <w:color w:val="auto"/>
              </w:rPr>
              <w:t>OPC Asset</w:t>
            </w:r>
          </w:p>
        </w:tc>
        <w:tc>
          <w:tcPr>
            <w:tcW w:w="1680" w:type="dxa"/>
            <w:vAlign w:val="bottom"/>
          </w:tcPr>
          <w:p>
            <w:pPr>
              <w:spacing w:after="0"/>
              <w:rPr>
                <w:sz w:val="22"/>
                <w:szCs w:val="22"/>
                <w:color w:val="auto"/>
              </w:rPr>
            </w:pPr>
          </w:p>
        </w:tc>
        <w:tc>
          <w:tcPr>
            <w:tcW w:w="1840" w:type="dxa"/>
            <w:vAlign w:val="bottom"/>
          </w:tcPr>
          <w:p>
            <w:pPr>
              <w:spacing w:after="0"/>
              <w:rPr>
                <w:sz w:val="22"/>
                <w:szCs w:val="22"/>
                <w:color w:val="auto"/>
              </w:rPr>
            </w:pPr>
          </w:p>
        </w:tc>
        <w:tc>
          <w:tcPr>
            <w:tcW w:w="1540" w:type="dxa"/>
            <w:vAlign w:val="bottom"/>
          </w:tcPr>
          <w:p>
            <w:pPr>
              <w:spacing w:after="0"/>
              <w:rPr>
                <w:sz w:val="22"/>
                <w:szCs w:val="22"/>
                <w:color w:val="auto"/>
              </w:rPr>
            </w:pPr>
          </w:p>
        </w:tc>
        <w:tc>
          <w:tcPr>
            <w:tcW w:w="1920" w:type="dxa"/>
            <w:vAlign w:val="bottom"/>
          </w:tcPr>
          <w:p>
            <w:pPr>
              <w:spacing w:after="0"/>
              <w:rPr>
                <w:sz w:val="22"/>
                <w:szCs w:val="22"/>
                <w:color w:val="auto"/>
              </w:rPr>
            </w:pPr>
          </w:p>
        </w:tc>
      </w:tr>
      <w:tr>
        <w:trPr>
          <w:trHeight w:val="230"/>
        </w:trPr>
        <w:tc>
          <w:tcPr>
            <w:tcW w:w="20" w:type="dxa"/>
            <w:vAlign w:val="bottom"/>
          </w:tcPr>
          <w:p>
            <w:pPr>
              <w:spacing w:after="0"/>
              <w:rPr>
                <w:sz w:val="20"/>
                <w:szCs w:val="20"/>
                <w:color w:val="auto"/>
              </w:rPr>
            </w:pPr>
          </w:p>
        </w:tc>
        <w:tc>
          <w:tcPr>
            <w:tcW w:w="2680" w:type="dxa"/>
            <w:vAlign w:val="bottom"/>
            <w:gridSpan w:val="2"/>
          </w:tcPr>
          <w:p>
            <w:pPr>
              <w:spacing w:after="0"/>
              <w:rPr>
                <w:sz w:val="20"/>
                <w:szCs w:val="20"/>
                <w:color w:val="auto"/>
              </w:rPr>
            </w:pPr>
            <w:r>
              <w:rPr>
                <w:rFonts w:ascii="Arial" w:cs="Arial" w:eastAsia="Arial" w:hAnsi="Arial"/>
                <w:sz w:val="18"/>
                <w:szCs w:val="18"/>
                <w:color w:val="auto"/>
              </w:rPr>
              <w:t>Euronet Services India Pvt. Ltd.</w:t>
            </w:r>
          </w:p>
        </w:tc>
        <w:tc>
          <w:tcPr>
            <w:tcW w:w="3400" w:type="dxa"/>
            <w:vAlign w:val="bottom"/>
            <w:gridSpan w:val="2"/>
          </w:tcPr>
          <w:p>
            <w:pPr>
              <w:ind w:left="340"/>
              <w:spacing w:after="0"/>
              <w:rPr>
                <w:sz w:val="20"/>
                <w:szCs w:val="20"/>
                <w:color w:val="auto"/>
              </w:rPr>
            </w:pPr>
            <w:r>
              <w:rPr>
                <w:rFonts w:ascii="Arial" w:cs="Arial" w:eastAsia="Arial" w:hAnsi="Arial"/>
                <w:sz w:val="18"/>
                <w:szCs w:val="18"/>
                <w:color w:val="auto"/>
              </w:rPr>
              <w:t>Solutions Pvt. Ltd. Other</w:t>
            </w:r>
          </w:p>
        </w:tc>
        <w:tc>
          <w:tcPr>
            <w:tcW w:w="1840" w:type="dxa"/>
            <w:vAlign w:val="bottom"/>
          </w:tcPr>
          <w:p>
            <w:pPr>
              <w:ind w:left="340"/>
              <w:spacing w:after="0"/>
              <w:rPr>
                <w:sz w:val="20"/>
                <w:szCs w:val="20"/>
                <w:color w:val="auto"/>
              </w:rPr>
            </w:pPr>
            <w:r>
              <w:rPr>
                <w:rFonts w:ascii="Arial" w:cs="Arial" w:eastAsia="Arial" w:hAnsi="Arial"/>
                <w:sz w:val="18"/>
                <w:szCs w:val="18"/>
                <w:color w:val="auto"/>
              </w:rPr>
              <w:t>Cash Collateral</w:t>
            </w:r>
          </w:p>
        </w:tc>
        <w:tc>
          <w:tcPr>
            <w:tcW w:w="1540" w:type="dxa"/>
            <w:vAlign w:val="bottom"/>
          </w:tcPr>
          <w:p>
            <w:pPr>
              <w:jc w:val="right"/>
              <w:spacing w:after="0"/>
              <w:rPr>
                <w:sz w:val="20"/>
                <w:szCs w:val="20"/>
                <w:color w:val="auto"/>
              </w:rPr>
            </w:pPr>
            <w:r>
              <w:rPr>
                <w:rFonts w:ascii="Arial" w:cs="Arial" w:eastAsia="Arial" w:hAnsi="Arial"/>
                <w:sz w:val="18"/>
                <w:szCs w:val="18"/>
                <w:color w:val="auto"/>
              </w:rPr>
              <w:t>INR 386,677</w:t>
            </w:r>
          </w:p>
        </w:tc>
        <w:tc>
          <w:tcPr>
            <w:tcW w:w="1920" w:type="dxa"/>
            <w:vAlign w:val="bottom"/>
          </w:tcPr>
          <w:p>
            <w:pPr>
              <w:jc w:val="right"/>
              <w:spacing w:after="0"/>
              <w:rPr>
                <w:sz w:val="20"/>
                <w:szCs w:val="20"/>
                <w:color w:val="auto"/>
              </w:rPr>
            </w:pPr>
            <w:r>
              <w:rPr>
                <w:rFonts w:ascii="Arial" w:cs="Arial" w:eastAsia="Arial" w:hAnsi="Arial"/>
                <w:sz w:val="18"/>
                <w:szCs w:val="18"/>
                <w:color w:val="auto"/>
              </w:rPr>
              <w:t>6,169</w:t>
            </w:r>
          </w:p>
        </w:tc>
      </w:tr>
      <w:tr>
        <w:trPr>
          <w:trHeight w:val="256"/>
        </w:trPr>
        <w:tc>
          <w:tcPr>
            <w:tcW w:w="20" w:type="dxa"/>
            <w:vAlign w:val="bottom"/>
          </w:tcPr>
          <w:p>
            <w:pPr>
              <w:spacing w:after="0"/>
              <w:rPr>
                <w:sz w:val="22"/>
                <w:szCs w:val="22"/>
                <w:color w:val="auto"/>
              </w:rPr>
            </w:pPr>
          </w:p>
        </w:tc>
        <w:tc>
          <w:tcPr>
            <w:tcW w:w="170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720" w:type="dxa"/>
            <w:vAlign w:val="bottom"/>
          </w:tcPr>
          <w:p>
            <w:pPr>
              <w:ind w:left="340"/>
              <w:spacing w:after="0"/>
              <w:rPr>
                <w:sz w:val="20"/>
                <w:szCs w:val="20"/>
                <w:color w:val="auto"/>
              </w:rPr>
            </w:pPr>
            <w:r>
              <w:rPr>
                <w:rFonts w:ascii="Arial" w:cs="Arial" w:eastAsia="Arial" w:hAnsi="Arial"/>
                <w:sz w:val="18"/>
                <w:szCs w:val="18"/>
                <w:color w:val="auto"/>
              </w:rPr>
              <w:t>OPC Asset</w:t>
            </w:r>
          </w:p>
        </w:tc>
        <w:tc>
          <w:tcPr>
            <w:tcW w:w="1680" w:type="dxa"/>
            <w:vAlign w:val="bottom"/>
          </w:tcPr>
          <w:p>
            <w:pPr>
              <w:spacing w:after="0"/>
              <w:rPr>
                <w:sz w:val="22"/>
                <w:szCs w:val="22"/>
                <w:color w:val="auto"/>
              </w:rPr>
            </w:pPr>
          </w:p>
        </w:tc>
        <w:tc>
          <w:tcPr>
            <w:tcW w:w="1840" w:type="dxa"/>
            <w:vAlign w:val="bottom"/>
          </w:tcPr>
          <w:p>
            <w:pPr>
              <w:spacing w:after="0"/>
              <w:rPr>
                <w:sz w:val="22"/>
                <w:szCs w:val="22"/>
                <w:color w:val="auto"/>
              </w:rPr>
            </w:pPr>
          </w:p>
        </w:tc>
        <w:tc>
          <w:tcPr>
            <w:tcW w:w="1540" w:type="dxa"/>
            <w:vAlign w:val="bottom"/>
          </w:tcPr>
          <w:p>
            <w:pPr>
              <w:spacing w:after="0"/>
              <w:rPr>
                <w:sz w:val="22"/>
                <w:szCs w:val="22"/>
                <w:color w:val="auto"/>
              </w:rPr>
            </w:pPr>
          </w:p>
        </w:tc>
        <w:tc>
          <w:tcPr>
            <w:tcW w:w="1920" w:type="dxa"/>
            <w:vAlign w:val="bottom"/>
          </w:tcPr>
          <w:p>
            <w:pPr>
              <w:spacing w:after="0"/>
              <w:rPr>
                <w:sz w:val="22"/>
                <w:szCs w:val="22"/>
                <w:color w:val="auto"/>
              </w:rPr>
            </w:pPr>
          </w:p>
        </w:tc>
      </w:tr>
      <w:tr>
        <w:trPr>
          <w:trHeight w:val="230"/>
        </w:trPr>
        <w:tc>
          <w:tcPr>
            <w:tcW w:w="20" w:type="dxa"/>
            <w:vAlign w:val="bottom"/>
          </w:tcPr>
          <w:p>
            <w:pPr>
              <w:spacing w:after="0"/>
              <w:rPr>
                <w:sz w:val="20"/>
                <w:szCs w:val="20"/>
                <w:color w:val="auto"/>
              </w:rPr>
            </w:pPr>
          </w:p>
        </w:tc>
        <w:tc>
          <w:tcPr>
            <w:tcW w:w="2680" w:type="dxa"/>
            <w:vAlign w:val="bottom"/>
            <w:gridSpan w:val="2"/>
          </w:tcPr>
          <w:p>
            <w:pPr>
              <w:spacing w:after="0"/>
              <w:rPr>
                <w:sz w:val="20"/>
                <w:szCs w:val="20"/>
                <w:color w:val="auto"/>
              </w:rPr>
            </w:pPr>
            <w:r>
              <w:rPr>
                <w:rFonts w:ascii="Arial" w:cs="Arial" w:eastAsia="Arial" w:hAnsi="Arial"/>
                <w:sz w:val="18"/>
                <w:szCs w:val="18"/>
                <w:color w:val="auto"/>
              </w:rPr>
              <w:t>Euronet Services India Pvt. Ltd.</w:t>
            </w:r>
          </w:p>
        </w:tc>
        <w:tc>
          <w:tcPr>
            <w:tcW w:w="3400" w:type="dxa"/>
            <w:vAlign w:val="bottom"/>
            <w:gridSpan w:val="2"/>
          </w:tcPr>
          <w:p>
            <w:pPr>
              <w:ind w:left="340"/>
              <w:spacing w:after="0"/>
              <w:rPr>
                <w:sz w:val="20"/>
                <w:szCs w:val="20"/>
                <w:color w:val="auto"/>
              </w:rPr>
            </w:pPr>
            <w:r>
              <w:rPr>
                <w:rFonts w:ascii="Arial" w:cs="Arial" w:eastAsia="Arial" w:hAnsi="Arial"/>
                <w:sz w:val="18"/>
                <w:szCs w:val="18"/>
                <w:color w:val="auto"/>
              </w:rPr>
              <w:t>Solutions Pvt. Ltd. Other</w:t>
            </w:r>
          </w:p>
        </w:tc>
        <w:tc>
          <w:tcPr>
            <w:tcW w:w="1840" w:type="dxa"/>
            <w:vAlign w:val="bottom"/>
          </w:tcPr>
          <w:p>
            <w:pPr>
              <w:ind w:left="340"/>
              <w:spacing w:after="0"/>
              <w:rPr>
                <w:sz w:val="20"/>
                <w:szCs w:val="20"/>
                <w:color w:val="auto"/>
              </w:rPr>
            </w:pPr>
            <w:r>
              <w:rPr>
                <w:rFonts w:ascii="Arial" w:cs="Arial" w:eastAsia="Arial" w:hAnsi="Arial"/>
                <w:sz w:val="18"/>
                <w:szCs w:val="18"/>
                <w:color w:val="auto"/>
              </w:rPr>
              <w:t>Cash Collateral</w:t>
            </w:r>
          </w:p>
        </w:tc>
        <w:tc>
          <w:tcPr>
            <w:tcW w:w="1540" w:type="dxa"/>
            <w:vAlign w:val="bottom"/>
          </w:tcPr>
          <w:p>
            <w:pPr>
              <w:jc w:val="right"/>
              <w:spacing w:after="0"/>
              <w:rPr>
                <w:sz w:val="20"/>
                <w:szCs w:val="20"/>
                <w:color w:val="auto"/>
              </w:rPr>
            </w:pPr>
            <w:r>
              <w:rPr>
                <w:rFonts w:ascii="Arial" w:cs="Arial" w:eastAsia="Arial" w:hAnsi="Arial"/>
                <w:sz w:val="18"/>
                <w:szCs w:val="18"/>
                <w:color w:val="auto"/>
              </w:rPr>
              <w:t>INR 1,543,177</w:t>
            </w:r>
          </w:p>
        </w:tc>
        <w:tc>
          <w:tcPr>
            <w:tcW w:w="1920" w:type="dxa"/>
            <w:vAlign w:val="bottom"/>
          </w:tcPr>
          <w:p>
            <w:pPr>
              <w:jc w:val="right"/>
              <w:spacing w:after="0"/>
              <w:rPr>
                <w:sz w:val="20"/>
                <w:szCs w:val="20"/>
                <w:color w:val="auto"/>
              </w:rPr>
            </w:pPr>
            <w:r>
              <w:rPr>
                <w:rFonts w:ascii="Arial" w:cs="Arial" w:eastAsia="Arial" w:hAnsi="Arial"/>
                <w:sz w:val="18"/>
                <w:szCs w:val="18"/>
                <w:color w:val="auto"/>
              </w:rPr>
              <w:t>24,620</w:t>
            </w:r>
          </w:p>
        </w:tc>
      </w:tr>
      <w:tr>
        <w:trPr>
          <w:trHeight w:val="256"/>
        </w:trPr>
        <w:tc>
          <w:tcPr>
            <w:tcW w:w="20" w:type="dxa"/>
            <w:vAlign w:val="bottom"/>
          </w:tcPr>
          <w:p>
            <w:pPr>
              <w:spacing w:after="0"/>
              <w:rPr>
                <w:sz w:val="22"/>
                <w:szCs w:val="22"/>
                <w:color w:val="auto"/>
              </w:rPr>
            </w:pPr>
          </w:p>
        </w:tc>
        <w:tc>
          <w:tcPr>
            <w:tcW w:w="170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720" w:type="dxa"/>
            <w:vAlign w:val="bottom"/>
          </w:tcPr>
          <w:p>
            <w:pPr>
              <w:ind w:left="340"/>
              <w:spacing w:after="0"/>
              <w:rPr>
                <w:sz w:val="20"/>
                <w:szCs w:val="20"/>
                <w:color w:val="auto"/>
              </w:rPr>
            </w:pPr>
            <w:r>
              <w:rPr>
                <w:rFonts w:ascii="Arial" w:cs="Arial" w:eastAsia="Arial" w:hAnsi="Arial"/>
                <w:sz w:val="18"/>
                <w:szCs w:val="18"/>
                <w:color w:val="auto"/>
              </w:rPr>
              <w:t>OPC Asset</w:t>
            </w:r>
          </w:p>
        </w:tc>
        <w:tc>
          <w:tcPr>
            <w:tcW w:w="1680" w:type="dxa"/>
            <w:vAlign w:val="bottom"/>
          </w:tcPr>
          <w:p>
            <w:pPr>
              <w:spacing w:after="0"/>
              <w:rPr>
                <w:sz w:val="22"/>
                <w:szCs w:val="22"/>
                <w:color w:val="auto"/>
              </w:rPr>
            </w:pPr>
          </w:p>
        </w:tc>
        <w:tc>
          <w:tcPr>
            <w:tcW w:w="1840" w:type="dxa"/>
            <w:vAlign w:val="bottom"/>
          </w:tcPr>
          <w:p>
            <w:pPr>
              <w:spacing w:after="0"/>
              <w:rPr>
                <w:sz w:val="22"/>
                <w:szCs w:val="22"/>
                <w:color w:val="auto"/>
              </w:rPr>
            </w:pPr>
          </w:p>
        </w:tc>
        <w:tc>
          <w:tcPr>
            <w:tcW w:w="1540" w:type="dxa"/>
            <w:vAlign w:val="bottom"/>
          </w:tcPr>
          <w:p>
            <w:pPr>
              <w:spacing w:after="0"/>
              <w:rPr>
                <w:sz w:val="22"/>
                <w:szCs w:val="22"/>
                <w:color w:val="auto"/>
              </w:rPr>
            </w:pPr>
          </w:p>
        </w:tc>
        <w:tc>
          <w:tcPr>
            <w:tcW w:w="1920" w:type="dxa"/>
            <w:vAlign w:val="bottom"/>
          </w:tcPr>
          <w:p>
            <w:pPr>
              <w:spacing w:after="0"/>
              <w:rPr>
                <w:sz w:val="22"/>
                <w:szCs w:val="22"/>
                <w:color w:val="auto"/>
              </w:rPr>
            </w:pPr>
          </w:p>
        </w:tc>
      </w:tr>
      <w:tr>
        <w:trPr>
          <w:trHeight w:val="230"/>
        </w:trPr>
        <w:tc>
          <w:tcPr>
            <w:tcW w:w="20" w:type="dxa"/>
            <w:vAlign w:val="bottom"/>
          </w:tcPr>
          <w:p>
            <w:pPr>
              <w:spacing w:after="0"/>
              <w:rPr>
                <w:sz w:val="20"/>
                <w:szCs w:val="20"/>
                <w:color w:val="auto"/>
              </w:rPr>
            </w:pPr>
          </w:p>
        </w:tc>
        <w:tc>
          <w:tcPr>
            <w:tcW w:w="2680" w:type="dxa"/>
            <w:vAlign w:val="bottom"/>
            <w:gridSpan w:val="2"/>
          </w:tcPr>
          <w:p>
            <w:pPr>
              <w:spacing w:after="0"/>
              <w:rPr>
                <w:sz w:val="20"/>
                <w:szCs w:val="20"/>
                <w:color w:val="auto"/>
              </w:rPr>
            </w:pPr>
            <w:r>
              <w:rPr>
                <w:rFonts w:ascii="Arial" w:cs="Arial" w:eastAsia="Arial" w:hAnsi="Arial"/>
                <w:sz w:val="18"/>
                <w:szCs w:val="18"/>
                <w:color w:val="auto"/>
              </w:rPr>
              <w:t>Euronet Services India Pvt. Ltd.</w:t>
            </w:r>
          </w:p>
        </w:tc>
        <w:tc>
          <w:tcPr>
            <w:tcW w:w="3400" w:type="dxa"/>
            <w:vAlign w:val="bottom"/>
            <w:gridSpan w:val="2"/>
          </w:tcPr>
          <w:p>
            <w:pPr>
              <w:ind w:left="340"/>
              <w:spacing w:after="0"/>
              <w:rPr>
                <w:sz w:val="20"/>
                <w:szCs w:val="20"/>
                <w:color w:val="auto"/>
              </w:rPr>
            </w:pPr>
            <w:r>
              <w:rPr>
                <w:rFonts w:ascii="Arial" w:cs="Arial" w:eastAsia="Arial" w:hAnsi="Arial"/>
                <w:sz w:val="18"/>
                <w:szCs w:val="18"/>
                <w:color w:val="auto"/>
              </w:rPr>
              <w:t>Solutions Pvt. Ltd. Other</w:t>
            </w:r>
          </w:p>
        </w:tc>
        <w:tc>
          <w:tcPr>
            <w:tcW w:w="1840" w:type="dxa"/>
            <w:vAlign w:val="bottom"/>
          </w:tcPr>
          <w:p>
            <w:pPr>
              <w:ind w:left="340"/>
              <w:spacing w:after="0"/>
              <w:rPr>
                <w:sz w:val="20"/>
                <w:szCs w:val="20"/>
                <w:color w:val="auto"/>
              </w:rPr>
            </w:pPr>
            <w:r>
              <w:rPr>
                <w:rFonts w:ascii="Arial" w:cs="Arial" w:eastAsia="Arial" w:hAnsi="Arial"/>
                <w:sz w:val="18"/>
                <w:szCs w:val="18"/>
                <w:color w:val="auto"/>
              </w:rPr>
              <w:t>Cash Collateral</w:t>
            </w:r>
          </w:p>
        </w:tc>
        <w:tc>
          <w:tcPr>
            <w:tcW w:w="1540" w:type="dxa"/>
            <w:vAlign w:val="bottom"/>
          </w:tcPr>
          <w:p>
            <w:pPr>
              <w:jc w:val="right"/>
              <w:spacing w:after="0"/>
              <w:rPr>
                <w:sz w:val="20"/>
                <w:szCs w:val="20"/>
                <w:color w:val="auto"/>
              </w:rPr>
            </w:pPr>
            <w:r>
              <w:rPr>
                <w:rFonts w:ascii="Arial" w:cs="Arial" w:eastAsia="Arial" w:hAnsi="Arial"/>
                <w:sz w:val="18"/>
                <w:szCs w:val="18"/>
                <w:color w:val="auto"/>
              </w:rPr>
              <w:t>INR 145,508</w:t>
            </w:r>
          </w:p>
        </w:tc>
        <w:tc>
          <w:tcPr>
            <w:tcW w:w="1920" w:type="dxa"/>
            <w:vAlign w:val="bottom"/>
          </w:tcPr>
          <w:p>
            <w:pPr>
              <w:jc w:val="right"/>
              <w:spacing w:after="0"/>
              <w:rPr>
                <w:sz w:val="20"/>
                <w:szCs w:val="20"/>
                <w:color w:val="auto"/>
              </w:rPr>
            </w:pPr>
            <w:r>
              <w:rPr>
                <w:rFonts w:ascii="Arial" w:cs="Arial" w:eastAsia="Arial" w:hAnsi="Arial"/>
                <w:sz w:val="18"/>
                <w:szCs w:val="18"/>
                <w:color w:val="auto"/>
              </w:rPr>
              <w:t>2,321</w:t>
            </w:r>
          </w:p>
        </w:tc>
      </w:tr>
      <w:tr>
        <w:trPr>
          <w:trHeight w:val="256"/>
        </w:trPr>
        <w:tc>
          <w:tcPr>
            <w:tcW w:w="20" w:type="dxa"/>
            <w:vAlign w:val="bottom"/>
          </w:tcPr>
          <w:p>
            <w:pPr>
              <w:spacing w:after="0"/>
              <w:rPr>
                <w:sz w:val="22"/>
                <w:szCs w:val="22"/>
                <w:color w:val="auto"/>
              </w:rPr>
            </w:pPr>
          </w:p>
        </w:tc>
        <w:tc>
          <w:tcPr>
            <w:tcW w:w="170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720" w:type="dxa"/>
            <w:vAlign w:val="bottom"/>
          </w:tcPr>
          <w:p>
            <w:pPr>
              <w:ind w:left="340"/>
              <w:spacing w:after="0"/>
              <w:rPr>
                <w:sz w:val="20"/>
                <w:szCs w:val="20"/>
                <w:color w:val="auto"/>
              </w:rPr>
            </w:pPr>
            <w:r>
              <w:rPr>
                <w:rFonts w:ascii="Arial" w:cs="Arial" w:eastAsia="Arial" w:hAnsi="Arial"/>
                <w:sz w:val="18"/>
                <w:szCs w:val="18"/>
                <w:color w:val="auto"/>
              </w:rPr>
              <w:t>OPC Asset</w:t>
            </w:r>
          </w:p>
        </w:tc>
        <w:tc>
          <w:tcPr>
            <w:tcW w:w="1680" w:type="dxa"/>
            <w:vAlign w:val="bottom"/>
          </w:tcPr>
          <w:p>
            <w:pPr>
              <w:spacing w:after="0"/>
              <w:rPr>
                <w:sz w:val="22"/>
                <w:szCs w:val="22"/>
                <w:color w:val="auto"/>
              </w:rPr>
            </w:pPr>
          </w:p>
        </w:tc>
        <w:tc>
          <w:tcPr>
            <w:tcW w:w="1840" w:type="dxa"/>
            <w:vAlign w:val="bottom"/>
          </w:tcPr>
          <w:p>
            <w:pPr>
              <w:spacing w:after="0"/>
              <w:rPr>
                <w:sz w:val="22"/>
                <w:szCs w:val="22"/>
                <w:color w:val="auto"/>
              </w:rPr>
            </w:pPr>
          </w:p>
        </w:tc>
        <w:tc>
          <w:tcPr>
            <w:tcW w:w="1540" w:type="dxa"/>
            <w:vAlign w:val="bottom"/>
          </w:tcPr>
          <w:p>
            <w:pPr>
              <w:spacing w:after="0"/>
              <w:rPr>
                <w:sz w:val="22"/>
                <w:szCs w:val="22"/>
                <w:color w:val="auto"/>
              </w:rPr>
            </w:pPr>
          </w:p>
        </w:tc>
        <w:tc>
          <w:tcPr>
            <w:tcW w:w="1920" w:type="dxa"/>
            <w:vAlign w:val="bottom"/>
          </w:tcPr>
          <w:p>
            <w:pPr>
              <w:spacing w:after="0"/>
              <w:rPr>
                <w:sz w:val="22"/>
                <w:szCs w:val="22"/>
                <w:color w:val="auto"/>
              </w:rPr>
            </w:pPr>
          </w:p>
        </w:tc>
      </w:tr>
      <w:tr>
        <w:trPr>
          <w:trHeight w:val="230"/>
        </w:trPr>
        <w:tc>
          <w:tcPr>
            <w:tcW w:w="20" w:type="dxa"/>
            <w:vAlign w:val="bottom"/>
          </w:tcPr>
          <w:p>
            <w:pPr>
              <w:spacing w:after="0"/>
              <w:rPr>
                <w:sz w:val="20"/>
                <w:szCs w:val="20"/>
                <w:color w:val="auto"/>
              </w:rPr>
            </w:pPr>
          </w:p>
        </w:tc>
        <w:tc>
          <w:tcPr>
            <w:tcW w:w="2680" w:type="dxa"/>
            <w:vAlign w:val="bottom"/>
            <w:gridSpan w:val="2"/>
          </w:tcPr>
          <w:p>
            <w:pPr>
              <w:spacing w:after="0"/>
              <w:rPr>
                <w:sz w:val="20"/>
                <w:szCs w:val="20"/>
                <w:color w:val="auto"/>
              </w:rPr>
            </w:pPr>
            <w:r>
              <w:rPr>
                <w:rFonts w:ascii="Arial" w:cs="Arial" w:eastAsia="Arial" w:hAnsi="Arial"/>
                <w:sz w:val="18"/>
                <w:szCs w:val="18"/>
                <w:color w:val="auto"/>
              </w:rPr>
              <w:t>Euronet Services India Pvt. Ltd.</w:t>
            </w:r>
          </w:p>
        </w:tc>
        <w:tc>
          <w:tcPr>
            <w:tcW w:w="3400" w:type="dxa"/>
            <w:vAlign w:val="bottom"/>
            <w:gridSpan w:val="2"/>
          </w:tcPr>
          <w:p>
            <w:pPr>
              <w:ind w:left="340"/>
              <w:spacing w:after="0"/>
              <w:rPr>
                <w:sz w:val="20"/>
                <w:szCs w:val="20"/>
                <w:color w:val="auto"/>
              </w:rPr>
            </w:pPr>
            <w:r>
              <w:rPr>
                <w:rFonts w:ascii="Arial" w:cs="Arial" w:eastAsia="Arial" w:hAnsi="Arial"/>
                <w:sz w:val="18"/>
                <w:szCs w:val="18"/>
                <w:color w:val="auto"/>
              </w:rPr>
              <w:t>Solutions Pvt. Ltd. Other</w:t>
            </w:r>
          </w:p>
        </w:tc>
        <w:tc>
          <w:tcPr>
            <w:tcW w:w="1840" w:type="dxa"/>
            <w:vAlign w:val="bottom"/>
          </w:tcPr>
          <w:p>
            <w:pPr>
              <w:ind w:left="340"/>
              <w:spacing w:after="0"/>
              <w:rPr>
                <w:sz w:val="20"/>
                <w:szCs w:val="20"/>
                <w:color w:val="auto"/>
              </w:rPr>
            </w:pPr>
            <w:r>
              <w:rPr>
                <w:rFonts w:ascii="Arial" w:cs="Arial" w:eastAsia="Arial" w:hAnsi="Arial"/>
                <w:sz w:val="18"/>
                <w:szCs w:val="18"/>
                <w:color w:val="auto"/>
              </w:rPr>
              <w:t>Cash Collateral</w:t>
            </w:r>
          </w:p>
        </w:tc>
        <w:tc>
          <w:tcPr>
            <w:tcW w:w="1540" w:type="dxa"/>
            <w:vAlign w:val="bottom"/>
          </w:tcPr>
          <w:p>
            <w:pPr>
              <w:jc w:val="right"/>
              <w:spacing w:after="0"/>
              <w:rPr>
                <w:sz w:val="20"/>
                <w:szCs w:val="20"/>
                <w:color w:val="auto"/>
              </w:rPr>
            </w:pPr>
            <w:r>
              <w:rPr>
                <w:rFonts w:ascii="Arial" w:cs="Arial" w:eastAsia="Arial" w:hAnsi="Arial"/>
                <w:sz w:val="18"/>
                <w:szCs w:val="18"/>
                <w:color w:val="auto"/>
              </w:rPr>
              <w:t>INR 1,434,832</w:t>
            </w:r>
          </w:p>
        </w:tc>
        <w:tc>
          <w:tcPr>
            <w:tcW w:w="1920" w:type="dxa"/>
            <w:vAlign w:val="bottom"/>
          </w:tcPr>
          <w:p>
            <w:pPr>
              <w:jc w:val="right"/>
              <w:spacing w:after="0"/>
              <w:rPr>
                <w:sz w:val="20"/>
                <w:szCs w:val="20"/>
                <w:color w:val="auto"/>
              </w:rPr>
            </w:pPr>
            <w:r>
              <w:rPr>
                <w:rFonts w:ascii="Arial" w:cs="Arial" w:eastAsia="Arial" w:hAnsi="Arial"/>
                <w:sz w:val="18"/>
                <w:szCs w:val="18"/>
                <w:color w:val="auto"/>
              </w:rPr>
              <w:t>22,891</w:t>
            </w:r>
          </w:p>
        </w:tc>
      </w:tr>
    </w:tbl>
    <w:p>
      <w:pPr>
        <w:sectPr>
          <w:pgSz w:w="11900" w:h="16838" w:orient="portrait"/>
          <w:cols w:equalWidth="0" w:num="1">
            <w:col w:w="11400"/>
          </w:cols>
          <w:pgMar w:left="260" w:top="535" w:right="239" w:bottom="1440" w:gutter="0" w:footer="0" w:header="0"/>
        </w:sectPr>
      </w:pPr>
    </w:p>
    <w:bookmarkStart w:id="272" w:name="page273"/>
    <w:bookmarkEnd w:id="27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660" w:type="dxa"/>
            <w:vAlign w:val="bottom"/>
          </w:tcPr>
          <w:p>
            <w:pPr>
              <w:spacing w:after="0"/>
              <w:rPr>
                <w:sz w:val="18"/>
                <w:szCs w:val="18"/>
                <w:color w:val="auto"/>
              </w:rPr>
            </w:pPr>
          </w:p>
        </w:tc>
        <w:tc>
          <w:tcPr>
            <w:tcW w:w="2260" w:type="dxa"/>
            <w:vAlign w:val="bottom"/>
          </w:tcPr>
          <w:p>
            <w:pPr>
              <w:ind w:left="360"/>
              <w:spacing w:after="0"/>
              <w:rPr>
                <w:sz w:val="20"/>
                <w:szCs w:val="20"/>
                <w:color w:val="auto"/>
              </w:rPr>
            </w:pPr>
            <w:r>
              <w:rPr>
                <w:rFonts w:ascii="Arial" w:cs="Arial" w:eastAsia="Arial" w:hAnsi="Arial"/>
                <w:sz w:val="18"/>
                <w:szCs w:val="18"/>
                <w:color w:val="auto"/>
                <w:w w:val="92"/>
              </w:rPr>
              <w:t>OPC Asset Solutions Pvt.</w:t>
            </w:r>
          </w:p>
        </w:tc>
        <w:tc>
          <w:tcPr>
            <w:tcW w:w="118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230"/>
        </w:trPr>
        <w:tc>
          <w:tcPr>
            <w:tcW w:w="2660" w:type="dxa"/>
            <w:vAlign w:val="bottom"/>
          </w:tcPr>
          <w:p>
            <w:pPr>
              <w:spacing w:after="0"/>
              <w:rPr>
                <w:sz w:val="20"/>
                <w:szCs w:val="20"/>
                <w:color w:val="auto"/>
              </w:rPr>
            </w:pPr>
            <w:r>
              <w:rPr>
                <w:rFonts w:ascii="Arial" w:cs="Arial" w:eastAsia="Arial" w:hAnsi="Arial"/>
                <w:sz w:val="18"/>
                <w:szCs w:val="18"/>
                <w:color w:val="auto"/>
              </w:rPr>
              <w:t>Euronet Services India Pvt. Ltd.</w:t>
            </w:r>
          </w:p>
        </w:tc>
        <w:tc>
          <w:tcPr>
            <w:tcW w:w="2260" w:type="dxa"/>
            <w:vAlign w:val="bottom"/>
          </w:tcPr>
          <w:p>
            <w:pPr>
              <w:ind w:left="360"/>
              <w:spacing w:after="0"/>
              <w:rPr>
                <w:sz w:val="20"/>
                <w:szCs w:val="20"/>
                <w:color w:val="auto"/>
              </w:rPr>
            </w:pPr>
            <w:r>
              <w:rPr>
                <w:rFonts w:ascii="Arial" w:cs="Arial" w:eastAsia="Arial" w:hAnsi="Arial"/>
                <w:sz w:val="18"/>
                <w:szCs w:val="18"/>
                <w:color w:val="auto"/>
              </w:rPr>
              <w:t>Ltd.</w:t>
            </w:r>
          </w:p>
        </w:tc>
        <w:tc>
          <w:tcPr>
            <w:tcW w:w="1180" w:type="dxa"/>
            <w:vAlign w:val="bottom"/>
          </w:tcPr>
          <w:p>
            <w:pPr>
              <w:ind w:left="20"/>
              <w:spacing w:after="0"/>
              <w:rPr>
                <w:sz w:val="20"/>
                <w:szCs w:val="20"/>
                <w:color w:val="auto"/>
              </w:rPr>
            </w:pPr>
            <w:r>
              <w:rPr>
                <w:rFonts w:ascii="Arial" w:cs="Arial" w:eastAsia="Arial" w:hAnsi="Arial"/>
                <w:sz w:val="18"/>
                <w:szCs w:val="18"/>
                <w:color w:val="auto"/>
              </w:rPr>
              <w:t>Other</w:t>
            </w:r>
          </w:p>
        </w:tc>
        <w:tc>
          <w:tcPr>
            <w:tcW w:w="2340" w:type="dxa"/>
            <w:vAlign w:val="bottom"/>
          </w:tcPr>
          <w:p>
            <w:pPr>
              <w:ind w:left="760"/>
              <w:spacing w:after="0"/>
              <w:rPr>
                <w:sz w:val="20"/>
                <w:szCs w:val="20"/>
                <w:color w:val="auto"/>
              </w:rPr>
            </w:pPr>
            <w:r>
              <w:rPr>
                <w:rFonts w:ascii="Arial" w:cs="Arial" w:eastAsia="Arial" w:hAnsi="Arial"/>
                <w:sz w:val="18"/>
                <w:szCs w:val="18"/>
                <w:color w:val="auto"/>
              </w:rPr>
              <w:t>Cash Collateral</w:t>
            </w:r>
          </w:p>
        </w:tc>
        <w:tc>
          <w:tcPr>
            <w:tcW w:w="1900" w:type="dxa"/>
            <w:vAlign w:val="bottom"/>
          </w:tcPr>
          <w:p>
            <w:pPr>
              <w:jc w:val="right"/>
              <w:ind w:right="410"/>
              <w:spacing w:after="0"/>
              <w:rPr>
                <w:sz w:val="20"/>
                <w:szCs w:val="20"/>
                <w:color w:val="auto"/>
              </w:rPr>
            </w:pPr>
            <w:r>
              <w:rPr>
                <w:rFonts w:ascii="Arial" w:cs="Arial" w:eastAsia="Arial" w:hAnsi="Arial"/>
                <w:sz w:val="18"/>
                <w:szCs w:val="18"/>
                <w:color w:val="auto"/>
              </w:rPr>
              <w:t>INR 202,379</w:t>
            </w:r>
          </w:p>
        </w:tc>
        <w:tc>
          <w:tcPr>
            <w:tcW w:w="1000" w:type="dxa"/>
            <w:vAlign w:val="bottom"/>
          </w:tcPr>
          <w:p>
            <w:pPr>
              <w:jc w:val="right"/>
              <w:spacing w:after="0"/>
              <w:rPr>
                <w:sz w:val="20"/>
                <w:szCs w:val="20"/>
                <w:color w:val="auto"/>
              </w:rPr>
            </w:pPr>
            <w:r>
              <w:rPr>
                <w:rFonts w:ascii="Arial" w:cs="Arial" w:eastAsia="Arial" w:hAnsi="Arial"/>
                <w:sz w:val="18"/>
                <w:szCs w:val="18"/>
                <w:color w:val="auto"/>
              </w:rPr>
              <w:t>3,229</w:t>
            </w:r>
          </w:p>
        </w:tc>
      </w:tr>
      <w:tr>
        <w:trPr>
          <w:trHeight w:val="270"/>
        </w:trPr>
        <w:tc>
          <w:tcPr>
            <w:tcW w:w="2660" w:type="dxa"/>
            <w:vAlign w:val="bottom"/>
          </w:tcPr>
          <w:p>
            <w:pPr>
              <w:spacing w:after="0"/>
              <w:rPr>
                <w:sz w:val="20"/>
                <w:szCs w:val="20"/>
                <w:color w:val="auto"/>
              </w:rPr>
            </w:pPr>
            <w:r>
              <w:rPr>
                <w:rFonts w:ascii="Arial" w:cs="Arial" w:eastAsia="Arial" w:hAnsi="Arial"/>
                <w:sz w:val="18"/>
                <w:szCs w:val="18"/>
                <w:color w:val="auto"/>
              </w:rPr>
              <w:t>Pure Commerce PTY LTD</w:t>
            </w:r>
          </w:p>
        </w:tc>
        <w:tc>
          <w:tcPr>
            <w:tcW w:w="2260" w:type="dxa"/>
            <w:vAlign w:val="bottom"/>
          </w:tcPr>
          <w:p>
            <w:pPr>
              <w:ind w:left="360"/>
              <w:spacing w:after="0"/>
              <w:rPr>
                <w:sz w:val="20"/>
                <w:szCs w:val="20"/>
                <w:color w:val="auto"/>
              </w:rPr>
            </w:pPr>
            <w:r>
              <w:rPr>
                <w:rFonts w:ascii="Arial" w:cs="Arial" w:eastAsia="Arial" w:hAnsi="Arial"/>
                <w:sz w:val="18"/>
                <w:szCs w:val="18"/>
                <w:color w:val="auto"/>
              </w:rPr>
              <w:t>ANZ</w:t>
            </w:r>
          </w:p>
        </w:tc>
        <w:tc>
          <w:tcPr>
            <w:tcW w:w="1180" w:type="dxa"/>
            <w:vAlign w:val="bottom"/>
          </w:tcPr>
          <w:p>
            <w:pPr>
              <w:ind w:left="20"/>
              <w:spacing w:after="0"/>
              <w:rPr>
                <w:sz w:val="20"/>
                <w:szCs w:val="20"/>
                <w:color w:val="auto"/>
              </w:rPr>
            </w:pPr>
            <w:r>
              <w:rPr>
                <w:rFonts w:ascii="Arial" w:cs="Arial" w:eastAsia="Arial" w:hAnsi="Arial"/>
                <w:sz w:val="18"/>
                <w:szCs w:val="18"/>
                <w:color w:val="auto"/>
              </w:rPr>
              <w:t>Other</w:t>
            </w:r>
          </w:p>
        </w:tc>
        <w:tc>
          <w:tcPr>
            <w:tcW w:w="2340" w:type="dxa"/>
            <w:vAlign w:val="bottom"/>
          </w:tcPr>
          <w:p>
            <w:pPr>
              <w:ind w:left="760"/>
              <w:spacing w:after="0"/>
              <w:rPr>
                <w:sz w:val="20"/>
                <w:szCs w:val="20"/>
                <w:color w:val="auto"/>
              </w:rPr>
            </w:pPr>
            <w:r>
              <w:rPr>
                <w:rFonts w:ascii="Arial" w:cs="Arial" w:eastAsia="Arial" w:hAnsi="Arial"/>
                <w:sz w:val="18"/>
                <w:szCs w:val="18"/>
                <w:color w:val="auto"/>
              </w:rPr>
              <w:t>Cash Collateral</w:t>
            </w:r>
          </w:p>
        </w:tc>
        <w:tc>
          <w:tcPr>
            <w:tcW w:w="1900" w:type="dxa"/>
            <w:vAlign w:val="bottom"/>
          </w:tcPr>
          <w:p>
            <w:pPr>
              <w:jc w:val="right"/>
              <w:ind w:right="410"/>
              <w:spacing w:after="0"/>
              <w:rPr>
                <w:sz w:val="20"/>
                <w:szCs w:val="20"/>
                <w:color w:val="auto"/>
              </w:rPr>
            </w:pPr>
            <w:r>
              <w:rPr>
                <w:rFonts w:ascii="Arial" w:cs="Arial" w:eastAsia="Arial" w:hAnsi="Arial"/>
                <w:sz w:val="16"/>
                <w:szCs w:val="16"/>
                <w:color w:val="auto"/>
              </w:rPr>
              <w:t>AUD 38,016</w:t>
            </w:r>
          </w:p>
        </w:tc>
        <w:tc>
          <w:tcPr>
            <w:tcW w:w="1000" w:type="dxa"/>
            <w:vAlign w:val="bottom"/>
          </w:tcPr>
          <w:p>
            <w:pPr>
              <w:jc w:val="right"/>
              <w:spacing w:after="0"/>
              <w:rPr>
                <w:sz w:val="20"/>
                <w:szCs w:val="20"/>
                <w:color w:val="auto"/>
              </w:rPr>
            </w:pPr>
            <w:r>
              <w:rPr>
                <w:rFonts w:ascii="Arial" w:cs="Arial" w:eastAsia="Arial" w:hAnsi="Arial"/>
                <w:sz w:val="18"/>
                <w:szCs w:val="18"/>
                <w:color w:val="auto"/>
              </w:rPr>
              <w:t>33,097</w:t>
            </w:r>
          </w:p>
        </w:tc>
      </w:tr>
      <w:tr>
        <w:trPr>
          <w:trHeight w:val="256"/>
        </w:trPr>
        <w:tc>
          <w:tcPr>
            <w:tcW w:w="2660" w:type="dxa"/>
            <w:vAlign w:val="bottom"/>
          </w:tcPr>
          <w:p>
            <w:pPr>
              <w:spacing w:after="0"/>
              <w:rPr>
                <w:sz w:val="22"/>
                <w:szCs w:val="22"/>
                <w:color w:val="auto"/>
              </w:rPr>
            </w:pPr>
          </w:p>
        </w:tc>
        <w:tc>
          <w:tcPr>
            <w:tcW w:w="2260" w:type="dxa"/>
            <w:vAlign w:val="bottom"/>
          </w:tcPr>
          <w:p>
            <w:pPr>
              <w:ind w:left="360"/>
              <w:spacing w:after="0"/>
              <w:rPr>
                <w:sz w:val="20"/>
                <w:szCs w:val="20"/>
                <w:color w:val="auto"/>
              </w:rPr>
            </w:pPr>
            <w:r>
              <w:rPr>
                <w:rFonts w:ascii="Arial" w:cs="Arial" w:eastAsia="Arial" w:hAnsi="Arial"/>
                <w:sz w:val="18"/>
                <w:szCs w:val="18"/>
                <w:color w:val="auto"/>
              </w:rPr>
              <w:t>Stadt Art</w:t>
            </w:r>
          </w:p>
        </w:tc>
        <w:tc>
          <w:tcPr>
            <w:tcW w:w="1180" w:type="dxa"/>
            <w:vAlign w:val="bottom"/>
          </w:tcPr>
          <w:p>
            <w:pPr>
              <w:spacing w:after="0"/>
              <w:rPr>
                <w:sz w:val="22"/>
                <w:szCs w:val="22"/>
                <w:color w:val="auto"/>
              </w:rPr>
            </w:pPr>
          </w:p>
        </w:tc>
        <w:tc>
          <w:tcPr>
            <w:tcW w:w="2340" w:type="dxa"/>
            <w:vAlign w:val="bottom"/>
          </w:tcPr>
          <w:p>
            <w:pPr>
              <w:spacing w:after="0"/>
              <w:rPr>
                <w:sz w:val="22"/>
                <w:szCs w:val="22"/>
                <w:color w:val="auto"/>
              </w:rPr>
            </w:pPr>
          </w:p>
        </w:tc>
        <w:tc>
          <w:tcPr>
            <w:tcW w:w="1900" w:type="dxa"/>
            <w:vAlign w:val="bottom"/>
          </w:tcPr>
          <w:p>
            <w:pPr>
              <w:spacing w:after="0"/>
              <w:rPr>
                <w:sz w:val="22"/>
                <w:szCs w:val="22"/>
                <w:color w:val="auto"/>
              </w:rPr>
            </w:pPr>
          </w:p>
        </w:tc>
        <w:tc>
          <w:tcPr>
            <w:tcW w:w="1000" w:type="dxa"/>
            <w:vAlign w:val="bottom"/>
          </w:tcPr>
          <w:p>
            <w:pPr>
              <w:spacing w:after="0"/>
              <w:rPr>
                <w:sz w:val="22"/>
                <w:szCs w:val="22"/>
                <w:color w:val="auto"/>
              </w:rPr>
            </w:pPr>
          </w:p>
        </w:tc>
      </w:tr>
      <w:tr>
        <w:trPr>
          <w:trHeight w:val="216"/>
        </w:trPr>
        <w:tc>
          <w:tcPr>
            <w:tcW w:w="2660" w:type="dxa"/>
            <w:vAlign w:val="bottom"/>
          </w:tcPr>
          <w:p>
            <w:pPr>
              <w:spacing w:after="0"/>
              <w:rPr>
                <w:sz w:val="18"/>
                <w:szCs w:val="18"/>
                <w:color w:val="auto"/>
              </w:rPr>
            </w:pPr>
          </w:p>
        </w:tc>
        <w:tc>
          <w:tcPr>
            <w:tcW w:w="2260" w:type="dxa"/>
            <w:vAlign w:val="bottom"/>
          </w:tcPr>
          <w:p>
            <w:pPr>
              <w:ind w:left="360"/>
              <w:spacing w:after="0"/>
              <w:rPr>
                <w:sz w:val="20"/>
                <w:szCs w:val="20"/>
                <w:color w:val="auto"/>
              </w:rPr>
            </w:pPr>
            <w:r>
              <w:rPr>
                <w:rFonts w:ascii="Arial" w:cs="Arial" w:eastAsia="Arial" w:hAnsi="Arial"/>
                <w:sz w:val="18"/>
                <w:szCs w:val="18"/>
                <w:color w:val="auto"/>
              </w:rPr>
              <w:t>Hausverwaltung</w:t>
            </w:r>
          </w:p>
        </w:tc>
        <w:tc>
          <w:tcPr>
            <w:tcW w:w="118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230"/>
        </w:trPr>
        <w:tc>
          <w:tcPr>
            <w:tcW w:w="2660" w:type="dxa"/>
            <w:vAlign w:val="bottom"/>
          </w:tcPr>
          <w:p>
            <w:pPr>
              <w:spacing w:after="0"/>
              <w:rPr>
                <w:sz w:val="20"/>
                <w:szCs w:val="20"/>
                <w:color w:val="auto"/>
              </w:rPr>
            </w:pPr>
            <w:r>
              <w:rPr>
                <w:rFonts w:ascii="Arial" w:cs="Arial" w:eastAsia="Arial" w:hAnsi="Arial"/>
                <w:sz w:val="18"/>
                <w:szCs w:val="18"/>
                <w:color w:val="auto"/>
              </w:rPr>
              <w:t>Ria Deutschland GmbH</w:t>
            </w:r>
          </w:p>
        </w:tc>
        <w:tc>
          <w:tcPr>
            <w:tcW w:w="2260" w:type="dxa"/>
            <w:vAlign w:val="bottom"/>
          </w:tcPr>
          <w:p>
            <w:pPr>
              <w:ind w:left="360"/>
              <w:spacing w:after="0"/>
              <w:rPr>
                <w:sz w:val="20"/>
                <w:szCs w:val="20"/>
                <w:color w:val="auto"/>
              </w:rPr>
            </w:pPr>
            <w:r>
              <w:rPr>
                <w:rFonts w:ascii="Arial" w:cs="Arial" w:eastAsia="Arial" w:hAnsi="Arial"/>
                <w:sz w:val="18"/>
                <w:szCs w:val="18"/>
                <w:color w:val="auto"/>
              </w:rPr>
              <w:t>GmbH/J.-P. Heinrichs</w:t>
            </w:r>
          </w:p>
        </w:tc>
        <w:tc>
          <w:tcPr>
            <w:tcW w:w="1180" w:type="dxa"/>
            <w:vAlign w:val="bottom"/>
          </w:tcPr>
          <w:p>
            <w:pPr>
              <w:ind w:left="20"/>
              <w:spacing w:after="0"/>
              <w:rPr>
                <w:sz w:val="20"/>
                <w:szCs w:val="20"/>
                <w:color w:val="auto"/>
              </w:rPr>
            </w:pPr>
            <w:r>
              <w:rPr>
                <w:rFonts w:ascii="Arial" w:cs="Arial" w:eastAsia="Arial" w:hAnsi="Arial"/>
                <w:sz w:val="18"/>
                <w:szCs w:val="18"/>
                <w:color w:val="auto"/>
              </w:rPr>
              <w:t>Other</w:t>
            </w:r>
          </w:p>
        </w:tc>
        <w:tc>
          <w:tcPr>
            <w:tcW w:w="2340" w:type="dxa"/>
            <w:vAlign w:val="bottom"/>
          </w:tcPr>
          <w:p>
            <w:pPr>
              <w:ind w:left="760"/>
              <w:spacing w:after="0"/>
              <w:rPr>
                <w:sz w:val="20"/>
                <w:szCs w:val="20"/>
                <w:color w:val="auto"/>
              </w:rPr>
            </w:pPr>
            <w:r>
              <w:rPr>
                <w:rFonts w:ascii="Arial" w:cs="Arial" w:eastAsia="Arial" w:hAnsi="Arial"/>
                <w:sz w:val="18"/>
                <w:szCs w:val="18"/>
                <w:color w:val="auto"/>
              </w:rPr>
              <w:t>Cash Collateral</w:t>
            </w:r>
          </w:p>
        </w:tc>
        <w:tc>
          <w:tcPr>
            <w:tcW w:w="1900" w:type="dxa"/>
            <w:vAlign w:val="bottom"/>
          </w:tcPr>
          <w:p>
            <w:pPr>
              <w:jc w:val="right"/>
              <w:ind w:right="410"/>
              <w:spacing w:after="0"/>
              <w:rPr>
                <w:sz w:val="20"/>
                <w:szCs w:val="20"/>
                <w:color w:val="auto"/>
              </w:rPr>
            </w:pPr>
            <w:r>
              <w:rPr>
                <w:rFonts w:ascii="Arial" w:cs="Arial" w:eastAsia="Arial" w:hAnsi="Arial"/>
                <w:sz w:val="18"/>
                <w:szCs w:val="18"/>
                <w:color w:val="auto"/>
              </w:rPr>
              <w:t>EUR 4,041</w:t>
            </w:r>
          </w:p>
        </w:tc>
        <w:tc>
          <w:tcPr>
            <w:tcW w:w="1000" w:type="dxa"/>
            <w:vAlign w:val="bottom"/>
          </w:tcPr>
          <w:p>
            <w:pPr>
              <w:jc w:val="right"/>
              <w:spacing w:after="0"/>
              <w:rPr>
                <w:sz w:val="20"/>
                <w:szCs w:val="20"/>
                <w:color w:val="auto"/>
              </w:rPr>
            </w:pPr>
            <w:r>
              <w:rPr>
                <w:rFonts w:ascii="Arial" w:cs="Arial" w:eastAsia="Arial" w:hAnsi="Arial"/>
                <w:sz w:val="18"/>
                <w:szCs w:val="18"/>
                <w:color w:val="auto"/>
              </w:rPr>
              <w:t>5,460</w:t>
            </w:r>
          </w:p>
        </w:tc>
      </w:tr>
      <w:tr>
        <w:trPr>
          <w:trHeight w:val="256"/>
        </w:trPr>
        <w:tc>
          <w:tcPr>
            <w:tcW w:w="2660" w:type="dxa"/>
            <w:vAlign w:val="bottom"/>
          </w:tcPr>
          <w:p>
            <w:pPr>
              <w:spacing w:after="0"/>
              <w:rPr>
                <w:sz w:val="22"/>
                <w:szCs w:val="22"/>
                <w:color w:val="auto"/>
              </w:rPr>
            </w:pPr>
          </w:p>
        </w:tc>
        <w:tc>
          <w:tcPr>
            <w:tcW w:w="2260" w:type="dxa"/>
            <w:vAlign w:val="bottom"/>
          </w:tcPr>
          <w:p>
            <w:pPr>
              <w:ind w:left="360"/>
              <w:spacing w:after="0"/>
              <w:rPr>
                <w:sz w:val="20"/>
                <w:szCs w:val="20"/>
                <w:color w:val="auto"/>
              </w:rPr>
            </w:pPr>
            <w:r>
              <w:rPr>
                <w:rFonts w:ascii="Arial" w:cs="Arial" w:eastAsia="Arial" w:hAnsi="Arial"/>
                <w:sz w:val="18"/>
                <w:szCs w:val="18"/>
                <w:color w:val="auto"/>
              </w:rPr>
              <w:t>Stadt Art</w:t>
            </w:r>
          </w:p>
        </w:tc>
        <w:tc>
          <w:tcPr>
            <w:tcW w:w="1180" w:type="dxa"/>
            <w:vAlign w:val="bottom"/>
          </w:tcPr>
          <w:p>
            <w:pPr>
              <w:spacing w:after="0"/>
              <w:rPr>
                <w:sz w:val="22"/>
                <w:szCs w:val="22"/>
                <w:color w:val="auto"/>
              </w:rPr>
            </w:pPr>
          </w:p>
        </w:tc>
        <w:tc>
          <w:tcPr>
            <w:tcW w:w="2340" w:type="dxa"/>
            <w:vAlign w:val="bottom"/>
          </w:tcPr>
          <w:p>
            <w:pPr>
              <w:spacing w:after="0"/>
              <w:rPr>
                <w:sz w:val="22"/>
                <w:szCs w:val="22"/>
                <w:color w:val="auto"/>
              </w:rPr>
            </w:pPr>
          </w:p>
        </w:tc>
        <w:tc>
          <w:tcPr>
            <w:tcW w:w="1900" w:type="dxa"/>
            <w:vAlign w:val="bottom"/>
          </w:tcPr>
          <w:p>
            <w:pPr>
              <w:spacing w:after="0"/>
              <w:rPr>
                <w:sz w:val="22"/>
                <w:szCs w:val="22"/>
                <w:color w:val="auto"/>
              </w:rPr>
            </w:pPr>
          </w:p>
        </w:tc>
        <w:tc>
          <w:tcPr>
            <w:tcW w:w="1000" w:type="dxa"/>
            <w:vAlign w:val="bottom"/>
          </w:tcPr>
          <w:p>
            <w:pPr>
              <w:spacing w:after="0"/>
              <w:rPr>
                <w:sz w:val="22"/>
                <w:szCs w:val="22"/>
                <w:color w:val="auto"/>
              </w:rPr>
            </w:pPr>
          </w:p>
        </w:tc>
      </w:tr>
      <w:tr>
        <w:trPr>
          <w:trHeight w:val="216"/>
        </w:trPr>
        <w:tc>
          <w:tcPr>
            <w:tcW w:w="2660" w:type="dxa"/>
            <w:vAlign w:val="bottom"/>
          </w:tcPr>
          <w:p>
            <w:pPr>
              <w:spacing w:after="0"/>
              <w:rPr>
                <w:sz w:val="18"/>
                <w:szCs w:val="18"/>
                <w:color w:val="auto"/>
              </w:rPr>
            </w:pPr>
          </w:p>
        </w:tc>
        <w:tc>
          <w:tcPr>
            <w:tcW w:w="2260" w:type="dxa"/>
            <w:vAlign w:val="bottom"/>
          </w:tcPr>
          <w:p>
            <w:pPr>
              <w:ind w:left="360"/>
              <w:spacing w:after="0"/>
              <w:rPr>
                <w:sz w:val="20"/>
                <w:szCs w:val="20"/>
                <w:color w:val="auto"/>
              </w:rPr>
            </w:pPr>
            <w:r>
              <w:rPr>
                <w:rFonts w:ascii="Arial" w:cs="Arial" w:eastAsia="Arial" w:hAnsi="Arial"/>
                <w:sz w:val="18"/>
                <w:szCs w:val="18"/>
                <w:color w:val="auto"/>
              </w:rPr>
              <w:t>Hausverwaltung</w:t>
            </w:r>
          </w:p>
        </w:tc>
        <w:tc>
          <w:tcPr>
            <w:tcW w:w="118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230"/>
        </w:trPr>
        <w:tc>
          <w:tcPr>
            <w:tcW w:w="2660" w:type="dxa"/>
            <w:vAlign w:val="bottom"/>
          </w:tcPr>
          <w:p>
            <w:pPr>
              <w:spacing w:after="0"/>
              <w:rPr>
                <w:sz w:val="20"/>
                <w:szCs w:val="20"/>
                <w:color w:val="auto"/>
              </w:rPr>
            </w:pPr>
            <w:r>
              <w:rPr>
                <w:rFonts w:ascii="Arial" w:cs="Arial" w:eastAsia="Arial" w:hAnsi="Arial"/>
                <w:sz w:val="18"/>
                <w:szCs w:val="18"/>
                <w:color w:val="auto"/>
              </w:rPr>
              <w:t>Ria Deutschland GmbH</w:t>
            </w:r>
          </w:p>
        </w:tc>
        <w:tc>
          <w:tcPr>
            <w:tcW w:w="2260" w:type="dxa"/>
            <w:vAlign w:val="bottom"/>
          </w:tcPr>
          <w:p>
            <w:pPr>
              <w:ind w:left="360"/>
              <w:spacing w:after="0"/>
              <w:rPr>
                <w:sz w:val="20"/>
                <w:szCs w:val="20"/>
                <w:color w:val="auto"/>
              </w:rPr>
            </w:pPr>
            <w:r>
              <w:rPr>
                <w:rFonts w:ascii="Arial" w:cs="Arial" w:eastAsia="Arial" w:hAnsi="Arial"/>
                <w:sz w:val="18"/>
                <w:szCs w:val="18"/>
                <w:color w:val="auto"/>
              </w:rPr>
              <w:t>GmbH/J.-P. Heinrichs</w:t>
            </w:r>
          </w:p>
        </w:tc>
        <w:tc>
          <w:tcPr>
            <w:tcW w:w="1180" w:type="dxa"/>
            <w:vAlign w:val="bottom"/>
          </w:tcPr>
          <w:p>
            <w:pPr>
              <w:ind w:left="20"/>
              <w:spacing w:after="0"/>
              <w:rPr>
                <w:sz w:val="20"/>
                <w:szCs w:val="20"/>
                <w:color w:val="auto"/>
              </w:rPr>
            </w:pPr>
            <w:r>
              <w:rPr>
                <w:rFonts w:ascii="Arial" w:cs="Arial" w:eastAsia="Arial" w:hAnsi="Arial"/>
                <w:sz w:val="18"/>
                <w:szCs w:val="18"/>
                <w:color w:val="auto"/>
              </w:rPr>
              <w:t>Other</w:t>
            </w:r>
          </w:p>
        </w:tc>
        <w:tc>
          <w:tcPr>
            <w:tcW w:w="2340" w:type="dxa"/>
            <w:vAlign w:val="bottom"/>
          </w:tcPr>
          <w:p>
            <w:pPr>
              <w:ind w:left="760"/>
              <w:spacing w:after="0"/>
              <w:rPr>
                <w:sz w:val="20"/>
                <w:szCs w:val="20"/>
                <w:color w:val="auto"/>
              </w:rPr>
            </w:pPr>
            <w:r>
              <w:rPr>
                <w:rFonts w:ascii="Arial" w:cs="Arial" w:eastAsia="Arial" w:hAnsi="Arial"/>
                <w:sz w:val="18"/>
                <w:szCs w:val="18"/>
                <w:color w:val="auto"/>
              </w:rPr>
              <w:t>Cash Collateral</w:t>
            </w:r>
          </w:p>
        </w:tc>
        <w:tc>
          <w:tcPr>
            <w:tcW w:w="1900" w:type="dxa"/>
            <w:vAlign w:val="bottom"/>
          </w:tcPr>
          <w:p>
            <w:pPr>
              <w:jc w:val="right"/>
              <w:ind w:right="410"/>
              <w:spacing w:after="0"/>
              <w:rPr>
                <w:sz w:val="20"/>
                <w:szCs w:val="20"/>
                <w:color w:val="auto"/>
              </w:rPr>
            </w:pPr>
            <w:r>
              <w:rPr>
                <w:rFonts w:ascii="Arial" w:cs="Arial" w:eastAsia="Arial" w:hAnsi="Arial"/>
                <w:sz w:val="18"/>
                <w:szCs w:val="18"/>
                <w:color w:val="auto"/>
              </w:rPr>
              <w:t>EUR 1,000</w:t>
            </w:r>
          </w:p>
        </w:tc>
        <w:tc>
          <w:tcPr>
            <w:tcW w:w="1000" w:type="dxa"/>
            <w:vAlign w:val="bottom"/>
          </w:tcPr>
          <w:p>
            <w:pPr>
              <w:jc w:val="right"/>
              <w:spacing w:after="0"/>
              <w:rPr>
                <w:sz w:val="20"/>
                <w:szCs w:val="20"/>
                <w:color w:val="auto"/>
              </w:rPr>
            </w:pPr>
            <w:r>
              <w:rPr>
                <w:rFonts w:ascii="Arial" w:cs="Arial" w:eastAsia="Arial" w:hAnsi="Arial"/>
                <w:sz w:val="18"/>
                <w:szCs w:val="18"/>
                <w:color w:val="auto"/>
              </w:rPr>
              <w:t>1,351</w:t>
            </w:r>
          </w:p>
        </w:tc>
      </w:tr>
      <w:tr>
        <w:trPr>
          <w:trHeight w:val="256"/>
        </w:trPr>
        <w:tc>
          <w:tcPr>
            <w:tcW w:w="2660" w:type="dxa"/>
            <w:vAlign w:val="bottom"/>
          </w:tcPr>
          <w:p>
            <w:pPr>
              <w:spacing w:after="0"/>
              <w:rPr>
                <w:sz w:val="22"/>
                <w:szCs w:val="22"/>
                <w:color w:val="auto"/>
              </w:rPr>
            </w:pPr>
          </w:p>
        </w:tc>
        <w:tc>
          <w:tcPr>
            <w:tcW w:w="2260" w:type="dxa"/>
            <w:vAlign w:val="bottom"/>
          </w:tcPr>
          <w:p>
            <w:pPr>
              <w:ind w:left="360"/>
              <w:spacing w:after="0"/>
              <w:rPr>
                <w:sz w:val="20"/>
                <w:szCs w:val="20"/>
                <w:color w:val="auto"/>
              </w:rPr>
            </w:pPr>
            <w:r>
              <w:rPr>
                <w:rFonts w:ascii="Arial" w:cs="Arial" w:eastAsia="Arial" w:hAnsi="Arial"/>
                <w:sz w:val="18"/>
                <w:szCs w:val="18"/>
                <w:color w:val="auto"/>
              </w:rPr>
              <w:t>Nestle</w:t>
            </w:r>
          </w:p>
        </w:tc>
        <w:tc>
          <w:tcPr>
            <w:tcW w:w="1180" w:type="dxa"/>
            <w:vAlign w:val="bottom"/>
          </w:tcPr>
          <w:p>
            <w:pPr>
              <w:spacing w:after="0"/>
              <w:rPr>
                <w:sz w:val="22"/>
                <w:szCs w:val="22"/>
                <w:color w:val="auto"/>
              </w:rPr>
            </w:pPr>
          </w:p>
        </w:tc>
        <w:tc>
          <w:tcPr>
            <w:tcW w:w="2340" w:type="dxa"/>
            <w:vAlign w:val="bottom"/>
          </w:tcPr>
          <w:p>
            <w:pPr>
              <w:spacing w:after="0"/>
              <w:rPr>
                <w:sz w:val="22"/>
                <w:szCs w:val="22"/>
                <w:color w:val="auto"/>
              </w:rPr>
            </w:pPr>
          </w:p>
        </w:tc>
        <w:tc>
          <w:tcPr>
            <w:tcW w:w="1900" w:type="dxa"/>
            <w:vAlign w:val="bottom"/>
          </w:tcPr>
          <w:p>
            <w:pPr>
              <w:spacing w:after="0"/>
              <w:rPr>
                <w:sz w:val="22"/>
                <w:szCs w:val="22"/>
                <w:color w:val="auto"/>
              </w:rPr>
            </w:pPr>
          </w:p>
        </w:tc>
        <w:tc>
          <w:tcPr>
            <w:tcW w:w="1000" w:type="dxa"/>
            <w:vAlign w:val="bottom"/>
          </w:tcPr>
          <w:p>
            <w:pPr>
              <w:spacing w:after="0"/>
              <w:rPr>
                <w:sz w:val="22"/>
                <w:szCs w:val="22"/>
                <w:color w:val="auto"/>
              </w:rPr>
            </w:pPr>
          </w:p>
        </w:tc>
      </w:tr>
      <w:tr>
        <w:trPr>
          <w:trHeight w:val="216"/>
        </w:trPr>
        <w:tc>
          <w:tcPr>
            <w:tcW w:w="2660" w:type="dxa"/>
            <w:vAlign w:val="bottom"/>
          </w:tcPr>
          <w:p>
            <w:pPr>
              <w:spacing w:after="0"/>
              <w:rPr>
                <w:sz w:val="18"/>
                <w:szCs w:val="18"/>
                <w:color w:val="auto"/>
              </w:rPr>
            </w:pPr>
          </w:p>
        </w:tc>
        <w:tc>
          <w:tcPr>
            <w:tcW w:w="2260" w:type="dxa"/>
            <w:vAlign w:val="bottom"/>
          </w:tcPr>
          <w:p>
            <w:pPr>
              <w:ind w:left="360"/>
              <w:spacing w:after="0"/>
              <w:rPr>
                <w:sz w:val="20"/>
                <w:szCs w:val="20"/>
                <w:color w:val="auto"/>
              </w:rPr>
            </w:pPr>
            <w:r>
              <w:rPr>
                <w:rFonts w:ascii="Arial" w:cs="Arial" w:eastAsia="Arial" w:hAnsi="Arial"/>
                <w:sz w:val="18"/>
                <w:szCs w:val="18"/>
                <w:color w:val="auto"/>
                <w:w w:val="97"/>
              </w:rPr>
              <w:t>Pensionskasse/Wexford</w:t>
            </w:r>
          </w:p>
        </w:tc>
        <w:tc>
          <w:tcPr>
            <w:tcW w:w="118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230"/>
        </w:trPr>
        <w:tc>
          <w:tcPr>
            <w:tcW w:w="2660" w:type="dxa"/>
            <w:vAlign w:val="bottom"/>
          </w:tcPr>
          <w:p>
            <w:pPr>
              <w:spacing w:after="0"/>
              <w:rPr>
                <w:sz w:val="20"/>
                <w:szCs w:val="20"/>
                <w:color w:val="auto"/>
              </w:rPr>
            </w:pPr>
            <w:r>
              <w:rPr>
                <w:rFonts w:ascii="Arial" w:cs="Arial" w:eastAsia="Arial" w:hAnsi="Arial"/>
                <w:sz w:val="18"/>
                <w:szCs w:val="18"/>
                <w:color w:val="auto"/>
              </w:rPr>
              <w:t>Ria Deutschland GmbH</w:t>
            </w:r>
          </w:p>
        </w:tc>
        <w:tc>
          <w:tcPr>
            <w:tcW w:w="2260" w:type="dxa"/>
            <w:vAlign w:val="bottom"/>
          </w:tcPr>
          <w:p>
            <w:pPr>
              <w:ind w:left="360"/>
              <w:spacing w:after="0"/>
              <w:rPr>
                <w:sz w:val="20"/>
                <w:szCs w:val="20"/>
                <w:color w:val="auto"/>
              </w:rPr>
            </w:pPr>
            <w:r>
              <w:rPr>
                <w:rFonts w:ascii="Arial" w:cs="Arial" w:eastAsia="Arial" w:hAnsi="Arial"/>
                <w:sz w:val="18"/>
                <w:szCs w:val="18"/>
                <w:color w:val="auto"/>
              </w:rPr>
              <w:t>Immobilien mbH</w:t>
            </w:r>
          </w:p>
        </w:tc>
        <w:tc>
          <w:tcPr>
            <w:tcW w:w="1180" w:type="dxa"/>
            <w:vAlign w:val="bottom"/>
          </w:tcPr>
          <w:p>
            <w:pPr>
              <w:ind w:left="20"/>
              <w:spacing w:after="0"/>
              <w:rPr>
                <w:sz w:val="20"/>
                <w:szCs w:val="20"/>
                <w:color w:val="auto"/>
              </w:rPr>
            </w:pPr>
            <w:r>
              <w:rPr>
                <w:rFonts w:ascii="Arial" w:cs="Arial" w:eastAsia="Arial" w:hAnsi="Arial"/>
                <w:sz w:val="18"/>
                <w:szCs w:val="18"/>
                <w:color w:val="auto"/>
              </w:rPr>
              <w:t>Other</w:t>
            </w:r>
          </w:p>
        </w:tc>
        <w:tc>
          <w:tcPr>
            <w:tcW w:w="2340" w:type="dxa"/>
            <w:vAlign w:val="bottom"/>
          </w:tcPr>
          <w:p>
            <w:pPr>
              <w:ind w:left="760"/>
              <w:spacing w:after="0"/>
              <w:rPr>
                <w:sz w:val="20"/>
                <w:szCs w:val="20"/>
                <w:color w:val="auto"/>
              </w:rPr>
            </w:pPr>
            <w:r>
              <w:rPr>
                <w:rFonts w:ascii="Arial" w:cs="Arial" w:eastAsia="Arial" w:hAnsi="Arial"/>
                <w:sz w:val="18"/>
                <w:szCs w:val="18"/>
                <w:color w:val="auto"/>
              </w:rPr>
              <w:t>Cash Collateral</w:t>
            </w:r>
          </w:p>
        </w:tc>
        <w:tc>
          <w:tcPr>
            <w:tcW w:w="1900" w:type="dxa"/>
            <w:vAlign w:val="bottom"/>
          </w:tcPr>
          <w:p>
            <w:pPr>
              <w:jc w:val="right"/>
              <w:ind w:right="410"/>
              <w:spacing w:after="0"/>
              <w:rPr>
                <w:sz w:val="20"/>
                <w:szCs w:val="20"/>
                <w:color w:val="auto"/>
              </w:rPr>
            </w:pPr>
            <w:r>
              <w:rPr>
                <w:rFonts w:ascii="Arial" w:cs="Arial" w:eastAsia="Arial" w:hAnsi="Arial"/>
                <w:sz w:val="18"/>
                <w:szCs w:val="18"/>
                <w:color w:val="auto"/>
              </w:rPr>
              <w:t>EUR 11,040</w:t>
            </w:r>
          </w:p>
        </w:tc>
        <w:tc>
          <w:tcPr>
            <w:tcW w:w="1000" w:type="dxa"/>
            <w:vAlign w:val="bottom"/>
          </w:tcPr>
          <w:p>
            <w:pPr>
              <w:jc w:val="right"/>
              <w:spacing w:after="0"/>
              <w:rPr>
                <w:sz w:val="20"/>
                <w:szCs w:val="20"/>
                <w:color w:val="auto"/>
              </w:rPr>
            </w:pPr>
            <w:r>
              <w:rPr>
                <w:rFonts w:ascii="Arial" w:cs="Arial" w:eastAsia="Arial" w:hAnsi="Arial"/>
                <w:sz w:val="18"/>
                <w:szCs w:val="18"/>
                <w:color w:val="auto"/>
              </w:rPr>
              <w:t>14,918</w:t>
            </w:r>
          </w:p>
        </w:tc>
      </w:tr>
      <w:tr>
        <w:trPr>
          <w:trHeight w:val="256"/>
        </w:trPr>
        <w:tc>
          <w:tcPr>
            <w:tcW w:w="2660" w:type="dxa"/>
            <w:vAlign w:val="bottom"/>
          </w:tcPr>
          <w:p>
            <w:pPr>
              <w:spacing w:after="0"/>
              <w:rPr>
                <w:sz w:val="22"/>
                <w:szCs w:val="22"/>
                <w:color w:val="auto"/>
              </w:rPr>
            </w:pPr>
          </w:p>
        </w:tc>
        <w:tc>
          <w:tcPr>
            <w:tcW w:w="2260" w:type="dxa"/>
            <w:vAlign w:val="bottom"/>
          </w:tcPr>
          <w:p>
            <w:pPr>
              <w:ind w:left="360"/>
              <w:spacing w:after="0"/>
              <w:rPr>
                <w:sz w:val="20"/>
                <w:szCs w:val="20"/>
                <w:color w:val="auto"/>
              </w:rPr>
            </w:pPr>
            <w:r>
              <w:rPr>
                <w:rFonts w:ascii="Arial" w:cs="Arial" w:eastAsia="Arial" w:hAnsi="Arial"/>
                <w:sz w:val="18"/>
                <w:szCs w:val="18"/>
                <w:color w:val="auto"/>
                <w:w w:val="90"/>
              </w:rPr>
              <w:t>Grundstücksgemeinschaft</w:t>
            </w:r>
          </w:p>
        </w:tc>
        <w:tc>
          <w:tcPr>
            <w:tcW w:w="1180" w:type="dxa"/>
            <w:vAlign w:val="bottom"/>
          </w:tcPr>
          <w:p>
            <w:pPr>
              <w:spacing w:after="0"/>
              <w:rPr>
                <w:sz w:val="22"/>
                <w:szCs w:val="22"/>
                <w:color w:val="auto"/>
              </w:rPr>
            </w:pPr>
          </w:p>
        </w:tc>
        <w:tc>
          <w:tcPr>
            <w:tcW w:w="2340" w:type="dxa"/>
            <w:vAlign w:val="bottom"/>
          </w:tcPr>
          <w:p>
            <w:pPr>
              <w:spacing w:after="0"/>
              <w:rPr>
                <w:sz w:val="22"/>
                <w:szCs w:val="22"/>
                <w:color w:val="auto"/>
              </w:rPr>
            </w:pPr>
          </w:p>
        </w:tc>
        <w:tc>
          <w:tcPr>
            <w:tcW w:w="1900" w:type="dxa"/>
            <w:vAlign w:val="bottom"/>
          </w:tcPr>
          <w:p>
            <w:pPr>
              <w:spacing w:after="0"/>
              <w:rPr>
                <w:sz w:val="22"/>
                <w:szCs w:val="22"/>
                <w:color w:val="auto"/>
              </w:rPr>
            </w:pPr>
          </w:p>
        </w:tc>
        <w:tc>
          <w:tcPr>
            <w:tcW w:w="1000" w:type="dxa"/>
            <w:vAlign w:val="bottom"/>
          </w:tcPr>
          <w:p>
            <w:pPr>
              <w:spacing w:after="0"/>
              <w:rPr>
                <w:sz w:val="22"/>
                <w:szCs w:val="22"/>
                <w:color w:val="auto"/>
              </w:rPr>
            </w:pPr>
          </w:p>
        </w:tc>
      </w:tr>
      <w:tr>
        <w:trPr>
          <w:trHeight w:val="230"/>
        </w:trPr>
        <w:tc>
          <w:tcPr>
            <w:tcW w:w="2660" w:type="dxa"/>
            <w:vAlign w:val="bottom"/>
          </w:tcPr>
          <w:p>
            <w:pPr>
              <w:spacing w:after="0"/>
              <w:rPr>
                <w:sz w:val="20"/>
                <w:szCs w:val="20"/>
                <w:color w:val="auto"/>
              </w:rPr>
            </w:pPr>
            <w:r>
              <w:rPr>
                <w:rFonts w:ascii="Arial" w:cs="Arial" w:eastAsia="Arial" w:hAnsi="Arial"/>
                <w:sz w:val="18"/>
                <w:szCs w:val="18"/>
                <w:color w:val="auto"/>
              </w:rPr>
              <w:t>Ria Deutschland GmbH</w:t>
            </w:r>
          </w:p>
        </w:tc>
        <w:tc>
          <w:tcPr>
            <w:tcW w:w="2260" w:type="dxa"/>
            <w:vAlign w:val="bottom"/>
          </w:tcPr>
          <w:p>
            <w:pPr>
              <w:ind w:left="360"/>
              <w:spacing w:after="0"/>
              <w:rPr>
                <w:sz w:val="20"/>
                <w:szCs w:val="20"/>
                <w:color w:val="auto"/>
              </w:rPr>
            </w:pPr>
            <w:r>
              <w:rPr>
                <w:rFonts w:ascii="Arial" w:cs="Arial" w:eastAsia="Arial" w:hAnsi="Arial"/>
                <w:sz w:val="18"/>
                <w:szCs w:val="18"/>
                <w:color w:val="auto"/>
              </w:rPr>
              <w:t>Stegmann</w:t>
            </w:r>
          </w:p>
        </w:tc>
        <w:tc>
          <w:tcPr>
            <w:tcW w:w="1180" w:type="dxa"/>
            <w:vAlign w:val="bottom"/>
          </w:tcPr>
          <w:p>
            <w:pPr>
              <w:ind w:left="20"/>
              <w:spacing w:after="0"/>
              <w:rPr>
                <w:sz w:val="20"/>
                <w:szCs w:val="20"/>
                <w:color w:val="auto"/>
              </w:rPr>
            </w:pPr>
            <w:r>
              <w:rPr>
                <w:rFonts w:ascii="Arial" w:cs="Arial" w:eastAsia="Arial" w:hAnsi="Arial"/>
                <w:sz w:val="18"/>
                <w:szCs w:val="18"/>
                <w:color w:val="auto"/>
              </w:rPr>
              <w:t>Other</w:t>
            </w:r>
          </w:p>
        </w:tc>
        <w:tc>
          <w:tcPr>
            <w:tcW w:w="2340" w:type="dxa"/>
            <w:vAlign w:val="bottom"/>
          </w:tcPr>
          <w:p>
            <w:pPr>
              <w:ind w:left="760"/>
              <w:spacing w:after="0"/>
              <w:rPr>
                <w:sz w:val="20"/>
                <w:szCs w:val="20"/>
                <w:color w:val="auto"/>
              </w:rPr>
            </w:pPr>
            <w:r>
              <w:rPr>
                <w:rFonts w:ascii="Arial" w:cs="Arial" w:eastAsia="Arial" w:hAnsi="Arial"/>
                <w:sz w:val="18"/>
                <w:szCs w:val="18"/>
                <w:color w:val="auto"/>
              </w:rPr>
              <w:t>Cash Collateral</w:t>
            </w:r>
          </w:p>
        </w:tc>
        <w:tc>
          <w:tcPr>
            <w:tcW w:w="1900" w:type="dxa"/>
            <w:vAlign w:val="bottom"/>
          </w:tcPr>
          <w:p>
            <w:pPr>
              <w:jc w:val="right"/>
              <w:ind w:right="410"/>
              <w:spacing w:after="0"/>
              <w:rPr>
                <w:sz w:val="20"/>
                <w:szCs w:val="20"/>
                <w:color w:val="auto"/>
              </w:rPr>
            </w:pPr>
            <w:r>
              <w:rPr>
                <w:rFonts w:ascii="Arial" w:cs="Arial" w:eastAsia="Arial" w:hAnsi="Arial"/>
                <w:sz w:val="18"/>
                <w:szCs w:val="18"/>
                <w:color w:val="auto"/>
              </w:rPr>
              <w:t>EUR 14,700</w:t>
            </w:r>
          </w:p>
        </w:tc>
        <w:tc>
          <w:tcPr>
            <w:tcW w:w="1000" w:type="dxa"/>
            <w:vAlign w:val="bottom"/>
          </w:tcPr>
          <w:p>
            <w:pPr>
              <w:jc w:val="right"/>
              <w:spacing w:after="0"/>
              <w:rPr>
                <w:sz w:val="20"/>
                <w:szCs w:val="20"/>
                <w:color w:val="auto"/>
              </w:rPr>
            </w:pPr>
            <w:r>
              <w:rPr>
                <w:rFonts w:ascii="Arial" w:cs="Arial" w:eastAsia="Arial" w:hAnsi="Arial"/>
                <w:sz w:val="18"/>
                <w:szCs w:val="18"/>
                <w:color w:val="auto"/>
              </w:rPr>
              <w:t>19,864</w:t>
            </w:r>
          </w:p>
        </w:tc>
      </w:tr>
      <w:tr>
        <w:trPr>
          <w:trHeight w:val="256"/>
        </w:trPr>
        <w:tc>
          <w:tcPr>
            <w:tcW w:w="2660" w:type="dxa"/>
            <w:vAlign w:val="bottom"/>
          </w:tcPr>
          <w:p>
            <w:pPr>
              <w:spacing w:after="0"/>
              <w:rPr>
                <w:sz w:val="22"/>
                <w:szCs w:val="22"/>
                <w:color w:val="auto"/>
              </w:rPr>
            </w:pPr>
          </w:p>
        </w:tc>
        <w:tc>
          <w:tcPr>
            <w:tcW w:w="2260" w:type="dxa"/>
            <w:vAlign w:val="bottom"/>
          </w:tcPr>
          <w:p>
            <w:pPr>
              <w:ind w:left="360"/>
              <w:spacing w:after="0"/>
              <w:rPr>
                <w:sz w:val="20"/>
                <w:szCs w:val="20"/>
                <w:color w:val="auto"/>
              </w:rPr>
            </w:pPr>
            <w:r>
              <w:rPr>
                <w:rFonts w:ascii="Arial" w:cs="Arial" w:eastAsia="Arial" w:hAnsi="Arial"/>
                <w:sz w:val="18"/>
                <w:szCs w:val="18"/>
                <w:color w:val="auto"/>
              </w:rPr>
              <w:t>Goldbeck &amp; Uhde</w:t>
            </w:r>
          </w:p>
        </w:tc>
        <w:tc>
          <w:tcPr>
            <w:tcW w:w="1180" w:type="dxa"/>
            <w:vAlign w:val="bottom"/>
          </w:tcPr>
          <w:p>
            <w:pPr>
              <w:spacing w:after="0"/>
              <w:rPr>
                <w:sz w:val="22"/>
                <w:szCs w:val="22"/>
                <w:color w:val="auto"/>
              </w:rPr>
            </w:pPr>
          </w:p>
        </w:tc>
        <w:tc>
          <w:tcPr>
            <w:tcW w:w="2340" w:type="dxa"/>
            <w:vAlign w:val="bottom"/>
          </w:tcPr>
          <w:p>
            <w:pPr>
              <w:spacing w:after="0"/>
              <w:rPr>
                <w:sz w:val="22"/>
                <w:szCs w:val="22"/>
                <w:color w:val="auto"/>
              </w:rPr>
            </w:pPr>
          </w:p>
        </w:tc>
        <w:tc>
          <w:tcPr>
            <w:tcW w:w="1900" w:type="dxa"/>
            <w:vAlign w:val="bottom"/>
          </w:tcPr>
          <w:p>
            <w:pPr>
              <w:spacing w:after="0"/>
              <w:rPr>
                <w:sz w:val="22"/>
                <w:szCs w:val="22"/>
                <w:color w:val="auto"/>
              </w:rPr>
            </w:pPr>
          </w:p>
        </w:tc>
        <w:tc>
          <w:tcPr>
            <w:tcW w:w="1000" w:type="dxa"/>
            <w:vAlign w:val="bottom"/>
          </w:tcPr>
          <w:p>
            <w:pPr>
              <w:spacing w:after="0"/>
              <w:rPr>
                <w:sz w:val="22"/>
                <w:szCs w:val="22"/>
                <w:color w:val="auto"/>
              </w:rPr>
            </w:pPr>
          </w:p>
        </w:tc>
      </w:tr>
      <w:tr>
        <w:trPr>
          <w:trHeight w:val="230"/>
        </w:trPr>
        <w:tc>
          <w:tcPr>
            <w:tcW w:w="2660" w:type="dxa"/>
            <w:vAlign w:val="bottom"/>
          </w:tcPr>
          <w:p>
            <w:pPr>
              <w:spacing w:after="0"/>
              <w:rPr>
                <w:sz w:val="20"/>
                <w:szCs w:val="20"/>
                <w:color w:val="auto"/>
              </w:rPr>
            </w:pPr>
            <w:r>
              <w:rPr>
                <w:rFonts w:ascii="Arial" w:cs="Arial" w:eastAsia="Arial" w:hAnsi="Arial"/>
                <w:sz w:val="18"/>
                <w:szCs w:val="18"/>
                <w:color w:val="auto"/>
              </w:rPr>
              <w:t>Ria Deutschland GmbH</w:t>
            </w:r>
          </w:p>
        </w:tc>
        <w:tc>
          <w:tcPr>
            <w:tcW w:w="2260" w:type="dxa"/>
            <w:vAlign w:val="bottom"/>
          </w:tcPr>
          <w:p>
            <w:pPr>
              <w:ind w:left="360"/>
              <w:spacing w:after="0"/>
              <w:rPr>
                <w:sz w:val="20"/>
                <w:szCs w:val="20"/>
                <w:color w:val="auto"/>
              </w:rPr>
            </w:pPr>
            <w:r>
              <w:rPr>
                <w:rFonts w:ascii="Arial" w:cs="Arial" w:eastAsia="Arial" w:hAnsi="Arial"/>
                <w:sz w:val="18"/>
                <w:szCs w:val="18"/>
                <w:color w:val="auto"/>
              </w:rPr>
              <w:t>Immobilienfonds</w:t>
            </w:r>
          </w:p>
        </w:tc>
        <w:tc>
          <w:tcPr>
            <w:tcW w:w="1180" w:type="dxa"/>
            <w:vAlign w:val="bottom"/>
          </w:tcPr>
          <w:p>
            <w:pPr>
              <w:ind w:left="20"/>
              <w:spacing w:after="0"/>
              <w:rPr>
                <w:sz w:val="20"/>
                <w:szCs w:val="20"/>
                <w:color w:val="auto"/>
              </w:rPr>
            </w:pPr>
            <w:r>
              <w:rPr>
                <w:rFonts w:ascii="Arial" w:cs="Arial" w:eastAsia="Arial" w:hAnsi="Arial"/>
                <w:sz w:val="18"/>
                <w:szCs w:val="18"/>
                <w:color w:val="auto"/>
              </w:rPr>
              <w:t>Other</w:t>
            </w:r>
          </w:p>
        </w:tc>
        <w:tc>
          <w:tcPr>
            <w:tcW w:w="2340" w:type="dxa"/>
            <w:vAlign w:val="bottom"/>
          </w:tcPr>
          <w:p>
            <w:pPr>
              <w:ind w:left="760"/>
              <w:spacing w:after="0"/>
              <w:rPr>
                <w:sz w:val="20"/>
                <w:szCs w:val="20"/>
                <w:color w:val="auto"/>
              </w:rPr>
            </w:pPr>
            <w:r>
              <w:rPr>
                <w:rFonts w:ascii="Arial" w:cs="Arial" w:eastAsia="Arial" w:hAnsi="Arial"/>
                <w:sz w:val="18"/>
                <w:szCs w:val="18"/>
                <w:color w:val="auto"/>
              </w:rPr>
              <w:t>Cash Collateral</w:t>
            </w:r>
          </w:p>
        </w:tc>
        <w:tc>
          <w:tcPr>
            <w:tcW w:w="1900" w:type="dxa"/>
            <w:vAlign w:val="bottom"/>
          </w:tcPr>
          <w:p>
            <w:pPr>
              <w:jc w:val="right"/>
              <w:ind w:right="410"/>
              <w:spacing w:after="0"/>
              <w:rPr>
                <w:sz w:val="20"/>
                <w:szCs w:val="20"/>
                <w:color w:val="auto"/>
              </w:rPr>
            </w:pPr>
            <w:r>
              <w:rPr>
                <w:rFonts w:ascii="Arial" w:cs="Arial" w:eastAsia="Arial" w:hAnsi="Arial"/>
                <w:sz w:val="18"/>
                <w:szCs w:val="18"/>
                <w:color w:val="auto"/>
              </w:rPr>
              <w:t>EUR 5,355</w:t>
            </w:r>
          </w:p>
        </w:tc>
        <w:tc>
          <w:tcPr>
            <w:tcW w:w="1000" w:type="dxa"/>
            <w:vAlign w:val="bottom"/>
          </w:tcPr>
          <w:p>
            <w:pPr>
              <w:jc w:val="right"/>
              <w:spacing w:after="0"/>
              <w:rPr>
                <w:sz w:val="20"/>
                <w:szCs w:val="20"/>
                <w:color w:val="auto"/>
              </w:rPr>
            </w:pPr>
            <w:r>
              <w:rPr>
                <w:rFonts w:ascii="Arial" w:cs="Arial" w:eastAsia="Arial" w:hAnsi="Arial"/>
                <w:sz w:val="18"/>
                <w:szCs w:val="18"/>
                <w:color w:val="auto"/>
              </w:rPr>
              <w:t>7,236</w:t>
            </w:r>
          </w:p>
        </w:tc>
      </w:tr>
      <w:tr>
        <w:trPr>
          <w:trHeight w:val="270"/>
        </w:trPr>
        <w:tc>
          <w:tcPr>
            <w:tcW w:w="2660" w:type="dxa"/>
            <w:vAlign w:val="bottom"/>
          </w:tcPr>
          <w:p>
            <w:pPr>
              <w:spacing w:after="0"/>
              <w:rPr>
                <w:sz w:val="20"/>
                <w:szCs w:val="20"/>
                <w:color w:val="auto"/>
              </w:rPr>
            </w:pPr>
            <w:r>
              <w:rPr>
                <w:rFonts w:ascii="Arial" w:cs="Arial" w:eastAsia="Arial" w:hAnsi="Arial"/>
                <w:sz w:val="18"/>
                <w:szCs w:val="18"/>
                <w:color w:val="auto"/>
              </w:rPr>
              <w:t>Ria Deutschland GmbH</w:t>
            </w:r>
          </w:p>
        </w:tc>
        <w:tc>
          <w:tcPr>
            <w:tcW w:w="2260" w:type="dxa"/>
            <w:vAlign w:val="bottom"/>
          </w:tcPr>
          <w:p>
            <w:pPr>
              <w:ind w:left="360"/>
              <w:spacing w:after="0"/>
              <w:rPr>
                <w:sz w:val="20"/>
                <w:szCs w:val="20"/>
                <w:color w:val="auto"/>
              </w:rPr>
            </w:pPr>
            <w:r>
              <w:rPr>
                <w:rFonts w:ascii="Arial" w:cs="Arial" w:eastAsia="Arial" w:hAnsi="Arial"/>
                <w:sz w:val="18"/>
                <w:szCs w:val="18"/>
                <w:color w:val="auto"/>
              </w:rPr>
              <w:t>Rheinbahn AG</w:t>
            </w:r>
          </w:p>
        </w:tc>
        <w:tc>
          <w:tcPr>
            <w:tcW w:w="1180" w:type="dxa"/>
            <w:vAlign w:val="bottom"/>
          </w:tcPr>
          <w:p>
            <w:pPr>
              <w:ind w:left="20"/>
              <w:spacing w:after="0"/>
              <w:rPr>
                <w:sz w:val="20"/>
                <w:szCs w:val="20"/>
                <w:color w:val="auto"/>
              </w:rPr>
            </w:pPr>
            <w:r>
              <w:rPr>
                <w:rFonts w:ascii="Arial" w:cs="Arial" w:eastAsia="Arial" w:hAnsi="Arial"/>
                <w:sz w:val="18"/>
                <w:szCs w:val="18"/>
                <w:color w:val="auto"/>
              </w:rPr>
              <w:t>Other</w:t>
            </w:r>
          </w:p>
        </w:tc>
        <w:tc>
          <w:tcPr>
            <w:tcW w:w="2340" w:type="dxa"/>
            <w:vAlign w:val="bottom"/>
          </w:tcPr>
          <w:p>
            <w:pPr>
              <w:ind w:left="760"/>
              <w:spacing w:after="0"/>
              <w:rPr>
                <w:sz w:val="20"/>
                <w:szCs w:val="20"/>
                <w:color w:val="auto"/>
              </w:rPr>
            </w:pPr>
            <w:r>
              <w:rPr>
                <w:rFonts w:ascii="Arial" w:cs="Arial" w:eastAsia="Arial" w:hAnsi="Arial"/>
                <w:sz w:val="18"/>
                <w:szCs w:val="18"/>
                <w:color w:val="auto"/>
              </w:rPr>
              <w:t>Cash Collateral</w:t>
            </w:r>
          </w:p>
        </w:tc>
        <w:tc>
          <w:tcPr>
            <w:tcW w:w="1900" w:type="dxa"/>
            <w:vAlign w:val="bottom"/>
          </w:tcPr>
          <w:p>
            <w:pPr>
              <w:jc w:val="right"/>
              <w:ind w:right="410"/>
              <w:spacing w:after="0"/>
              <w:rPr>
                <w:sz w:val="20"/>
                <w:szCs w:val="20"/>
                <w:color w:val="auto"/>
              </w:rPr>
            </w:pPr>
            <w:r>
              <w:rPr>
                <w:rFonts w:ascii="Arial" w:cs="Arial" w:eastAsia="Arial" w:hAnsi="Arial"/>
                <w:sz w:val="18"/>
                <w:szCs w:val="18"/>
                <w:color w:val="auto"/>
              </w:rPr>
              <w:t>EUR 8,484</w:t>
            </w:r>
          </w:p>
        </w:tc>
        <w:tc>
          <w:tcPr>
            <w:tcW w:w="1000" w:type="dxa"/>
            <w:vAlign w:val="bottom"/>
          </w:tcPr>
          <w:p>
            <w:pPr>
              <w:jc w:val="right"/>
              <w:spacing w:after="0"/>
              <w:rPr>
                <w:sz w:val="20"/>
                <w:szCs w:val="20"/>
                <w:color w:val="auto"/>
              </w:rPr>
            </w:pPr>
            <w:r>
              <w:rPr>
                <w:rFonts w:ascii="Arial" w:cs="Arial" w:eastAsia="Arial" w:hAnsi="Arial"/>
                <w:sz w:val="18"/>
                <w:szCs w:val="18"/>
                <w:color w:val="auto"/>
              </w:rPr>
              <w:t>11,464</w:t>
            </w:r>
          </w:p>
        </w:tc>
      </w:tr>
      <w:tr>
        <w:trPr>
          <w:trHeight w:val="256"/>
        </w:trPr>
        <w:tc>
          <w:tcPr>
            <w:tcW w:w="2660" w:type="dxa"/>
            <w:vAlign w:val="bottom"/>
          </w:tcPr>
          <w:p>
            <w:pPr>
              <w:spacing w:after="0"/>
              <w:rPr>
                <w:sz w:val="22"/>
                <w:szCs w:val="22"/>
                <w:color w:val="auto"/>
              </w:rPr>
            </w:pPr>
          </w:p>
        </w:tc>
        <w:tc>
          <w:tcPr>
            <w:tcW w:w="2260" w:type="dxa"/>
            <w:vAlign w:val="bottom"/>
          </w:tcPr>
          <w:p>
            <w:pPr>
              <w:ind w:left="360"/>
              <w:spacing w:after="0"/>
              <w:rPr>
                <w:sz w:val="20"/>
                <w:szCs w:val="20"/>
                <w:color w:val="auto"/>
              </w:rPr>
            </w:pPr>
            <w:r>
              <w:rPr>
                <w:rFonts w:ascii="Arial" w:cs="Arial" w:eastAsia="Arial" w:hAnsi="Arial"/>
                <w:sz w:val="18"/>
                <w:szCs w:val="18"/>
                <w:color w:val="auto"/>
              </w:rPr>
              <w:t>DIAG GmbH &amp; Co. KG</w:t>
            </w:r>
          </w:p>
        </w:tc>
        <w:tc>
          <w:tcPr>
            <w:tcW w:w="1180" w:type="dxa"/>
            <w:vAlign w:val="bottom"/>
          </w:tcPr>
          <w:p>
            <w:pPr>
              <w:spacing w:after="0"/>
              <w:rPr>
                <w:sz w:val="22"/>
                <w:szCs w:val="22"/>
                <w:color w:val="auto"/>
              </w:rPr>
            </w:pPr>
          </w:p>
        </w:tc>
        <w:tc>
          <w:tcPr>
            <w:tcW w:w="2340" w:type="dxa"/>
            <w:vAlign w:val="bottom"/>
          </w:tcPr>
          <w:p>
            <w:pPr>
              <w:spacing w:after="0"/>
              <w:rPr>
                <w:sz w:val="22"/>
                <w:szCs w:val="22"/>
                <w:color w:val="auto"/>
              </w:rPr>
            </w:pPr>
          </w:p>
        </w:tc>
        <w:tc>
          <w:tcPr>
            <w:tcW w:w="1900" w:type="dxa"/>
            <w:vAlign w:val="bottom"/>
          </w:tcPr>
          <w:p>
            <w:pPr>
              <w:spacing w:after="0"/>
              <w:rPr>
                <w:sz w:val="22"/>
                <w:szCs w:val="22"/>
                <w:color w:val="auto"/>
              </w:rPr>
            </w:pPr>
          </w:p>
        </w:tc>
        <w:tc>
          <w:tcPr>
            <w:tcW w:w="1000" w:type="dxa"/>
            <w:vAlign w:val="bottom"/>
          </w:tcPr>
          <w:p>
            <w:pPr>
              <w:spacing w:after="0"/>
              <w:rPr>
                <w:sz w:val="22"/>
                <w:szCs w:val="22"/>
                <w:color w:val="auto"/>
              </w:rPr>
            </w:pPr>
          </w:p>
        </w:tc>
      </w:tr>
      <w:tr>
        <w:trPr>
          <w:trHeight w:val="230"/>
        </w:trPr>
        <w:tc>
          <w:tcPr>
            <w:tcW w:w="2660" w:type="dxa"/>
            <w:vAlign w:val="bottom"/>
          </w:tcPr>
          <w:p>
            <w:pPr>
              <w:spacing w:after="0"/>
              <w:rPr>
                <w:sz w:val="20"/>
                <w:szCs w:val="20"/>
                <w:color w:val="auto"/>
              </w:rPr>
            </w:pPr>
            <w:r>
              <w:rPr>
                <w:rFonts w:ascii="Arial" w:cs="Arial" w:eastAsia="Arial" w:hAnsi="Arial"/>
                <w:sz w:val="18"/>
                <w:szCs w:val="18"/>
                <w:color w:val="auto"/>
              </w:rPr>
              <w:t>Ria Deutschland GmbH</w:t>
            </w:r>
          </w:p>
        </w:tc>
        <w:tc>
          <w:tcPr>
            <w:tcW w:w="2260" w:type="dxa"/>
            <w:vAlign w:val="bottom"/>
          </w:tcPr>
          <w:p>
            <w:pPr>
              <w:ind w:left="360"/>
              <w:spacing w:after="0"/>
              <w:rPr>
                <w:sz w:val="20"/>
                <w:szCs w:val="20"/>
                <w:color w:val="auto"/>
              </w:rPr>
            </w:pPr>
            <w:r>
              <w:rPr>
                <w:rFonts w:ascii="Arial" w:cs="Arial" w:eastAsia="Arial" w:hAnsi="Arial"/>
                <w:sz w:val="18"/>
                <w:szCs w:val="18"/>
                <w:color w:val="auto"/>
              </w:rPr>
              <w:t>II</w:t>
            </w:r>
          </w:p>
        </w:tc>
        <w:tc>
          <w:tcPr>
            <w:tcW w:w="1180" w:type="dxa"/>
            <w:vAlign w:val="bottom"/>
          </w:tcPr>
          <w:p>
            <w:pPr>
              <w:ind w:left="20"/>
              <w:spacing w:after="0"/>
              <w:rPr>
                <w:sz w:val="20"/>
                <w:szCs w:val="20"/>
                <w:color w:val="auto"/>
              </w:rPr>
            </w:pPr>
            <w:r>
              <w:rPr>
                <w:rFonts w:ascii="Arial" w:cs="Arial" w:eastAsia="Arial" w:hAnsi="Arial"/>
                <w:sz w:val="18"/>
                <w:szCs w:val="18"/>
                <w:color w:val="auto"/>
              </w:rPr>
              <w:t>Other</w:t>
            </w:r>
          </w:p>
        </w:tc>
        <w:tc>
          <w:tcPr>
            <w:tcW w:w="2340" w:type="dxa"/>
            <w:vAlign w:val="bottom"/>
          </w:tcPr>
          <w:p>
            <w:pPr>
              <w:ind w:left="760"/>
              <w:spacing w:after="0"/>
              <w:rPr>
                <w:sz w:val="20"/>
                <w:szCs w:val="20"/>
                <w:color w:val="auto"/>
              </w:rPr>
            </w:pPr>
            <w:r>
              <w:rPr>
                <w:rFonts w:ascii="Arial" w:cs="Arial" w:eastAsia="Arial" w:hAnsi="Arial"/>
                <w:sz w:val="18"/>
                <w:szCs w:val="18"/>
                <w:color w:val="auto"/>
              </w:rPr>
              <w:t>Cash Collateral</w:t>
            </w:r>
          </w:p>
        </w:tc>
        <w:tc>
          <w:tcPr>
            <w:tcW w:w="1900" w:type="dxa"/>
            <w:vAlign w:val="bottom"/>
          </w:tcPr>
          <w:p>
            <w:pPr>
              <w:jc w:val="right"/>
              <w:ind w:right="410"/>
              <w:spacing w:after="0"/>
              <w:rPr>
                <w:sz w:val="20"/>
                <w:szCs w:val="20"/>
                <w:color w:val="auto"/>
              </w:rPr>
            </w:pPr>
            <w:r>
              <w:rPr>
                <w:rFonts w:ascii="Arial" w:cs="Arial" w:eastAsia="Arial" w:hAnsi="Arial"/>
                <w:sz w:val="18"/>
                <w:szCs w:val="18"/>
                <w:color w:val="auto"/>
              </w:rPr>
              <w:t>EUR 6,825</w:t>
            </w:r>
          </w:p>
        </w:tc>
        <w:tc>
          <w:tcPr>
            <w:tcW w:w="1000" w:type="dxa"/>
            <w:vAlign w:val="bottom"/>
          </w:tcPr>
          <w:p>
            <w:pPr>
              <w:jc w:val="right"/>
              <w:spacing w:after="0"/>
              <w:rPr>
                <w:sz w:val="20"/>
                <w:szCs w:val="20"/>
                <w:color w:val="auto"/>
              </w:rPr>
            </w:pPr>
            <w:r>
              <w:rPr>
                <w:rFonts w:ascii="Arial" w:cs="Arial" w:eastAsia="Arial" w:hAnsi="Arial"/>
                <w:sz w:val="18"/>
                <w:szCs w:val="18"/>
                <w:color w:val="auto"/>
              </w:rPr>
              <w:t>9,222</w:t>
            </w:r>
          </w:p>
        </w:tc>
      </w:tr>
      <w:tr>
        <w:trPr>
          <w:trHeight w:val="270"/>
        </w:trPr>
        <w:tc>
          <w:tcPr>
            <w:tcW w:w="2660" w:type="dxa"/>
            <w:vAlign w:val="bottom"/>
          </w:tcPr>
          <w:p>
            <w:pPr>
              <w:spacing w:after="0"/>
              <w:rPr>
                <w:sz w:val="20"/>
                <w:szCs w:val="20"/>
                <w:color w:val="auto"/>
              </w:rPr>
            </w:pPr>
            <w:r>
              <w:rPr>
                <w:rFonts w:ascii="Arial" w:cs="Arial" w:eastAsia="Arial" w:hAnsi="Arial"/>
                <w:sz w:val="18"/>
                <w:szCs w:val="18"/>
                <w:color w:val="auto"/>
              </w:rPr>
              <w:t>Ria Deutschland GmbH</w:t>
            </w:r>
          </w:p>
        </w:tc>
        <w:tc>
          <w:tcPr>
            <w:tcW w:w="2260" w:type="dxa"/>
            <w:vAlign w:val="bottom"/>
          </w:tcPr>
          <w:p>
            <w:pPr>
              <w:ind w:left="360"/>
              <w:spacing w:after="0"/>
              <w:rPr>
                <w:sz w:val="20"/>
                <w:szCs w:val="20"/>
                <w:color w:val="auto"/>
              </w:rPr>
            </w:pPr>
            <w:r>
              <w:rPr>
                <w:rFonts w:ascii="Arial" w:cs="Arial" w:eastAsia="Arial" w:hAnsi="Arial"/>
                <w:sz w:val="18"/>
                <w:szCs w:val="18"/>
                <w:color w:val="auto"/>
              </w:rPr>
              <w:t>Elisabeth Haag</w:t>
            </w:r>
          </w:p>
        </w:tc>
        <w:tc>
          <w:tcPr>
            <w:tcW w:w="1180" w:type="dxa"/>
            <w:vAlign w:val="bottom"/>
          </w:tcPr>
          <w:p>
            <w:pPr>
              <w:ind w:left="20"/>
              <w:spacing w:after="0"/>
              <w:rPr>
                <w:sz w:val="20"/>
                <w:szCs w:val="20"/>
                <w:color w:val="auto"/>
              </w:rPr>
            </w:pPr>
            <w:r>
              <w:rPr>
                <w:rFonts w:ascii="Arial" w:cs="Arial" w:eastAsia="Arial" w:hAnsi="Arial"/>
                <w:sz w:val="18"/>
                <w:szCs w:val="18"/>
                <w:color w:val="auto"/>
              </w:rPr>
              <w:t>Other</w:t>
            </w:r>
          </w:p>
        </w:tc>
        <w:tc>
          <w:tcPr>
            <w:tcW w:w="2340" w:type="dxa"/>
            <w:vAlign w:val="bottom"/>
          </w:tcPr>
          <w:p>
            <w:pPr>
              <w:ind w:left="760"/>
              <w:spacing w:after="0"/>
              <w:rPr>
                <w:sz w:val="20"/>
                <w:szCs w:val="20"/>
                <w:color w:val="auto"/>
              </w:rPr>
            </w:pPr>
            <w:r>
              <w:rPr>
                <w:rFonts w:ascii="Arial" w:cs="Arial" w:eastAsia="Arial" w:hAnsi="Arial"/>
                <w:sz w:val="18"/>
                <w:szCs w:val="18"/>
                <w:color w:val="auto"/>
              </w:rPr>
              <w:t>Cash Collateral</w:t>
            </w:r>
          </w:p>
        </w:tc>
        <w:tc>
          <w:tcPr>
            <w:tcW w:w="1900" w:type="dxa"/>
            <w:vAlign w:val="bottom"/>
          </w:tcPr>
          <w:p>
            <w:pPr>
              <w:jc w:val="right"/>
              <w:ind w:right="410"/>
              <w:spacing w:after="0"/>
              <w:rPr>
                <w:sz w:val="20"/>
                <w:szCs w:val="20"/>
                <w:color w:val="auto"/>
              </w:rPr>
            </w:pPr>
            <w:r>
              <w:rPr>
                <w:rFonts w:ascii="Arial" w:cs="Arial" w:eastAsia="Arial" w:hAnsi="Arial"/>
                <w:sz w:val="18"/>
                <w:szCs w:val="18"/>
                <w:color w:val="auto"/>
              </w:rPr>
              <w:t>EUR 4,500</w:t>
            </w:r>
          </w:p>
        </w:tc>
        <w:tc>
          <w:tcPr>
            <w:tcW w:w="1000" w:type="dxa"/>
            <w:vAlign w:val="bottom"/>
          </w:tcPr>
          <w:p>
            <w:pPr>
              <w:jc w:val="right"/>
              <w:spacing w:after="0"/>
              <w:rPr>
                <w:sz w:val="20"/>
                <w:szCs w:val="20"/>
                <w:color w:val="auto"/>
              </w:rPr>
            </w:pPr>
            <w:r>
              <w:rPr>
                <w:rFonts w:ascii="Arial" w:cs="Arial" w:eastAsia="Arial" w:hAnsi="Arial"/>
                <w:sz w:val="18"/>
                <w:szCs w:val="18"/>
                <w:color w:val="auto"/>
              </w:rPr>
              <w:t>6,081</w:t>
            </w:r>
          </w:p>
        </w:tc>
      </w:tr>
      <w:tr>
        <w:trPr>
          <w:trHeight w:val="256"/>
        </w:trPr>
        <w:tc>
          <w:tcPr>
            <w:tcW w:w="2660" w:type="dxa"/>
            <w:vAlign w:val="bottom"/>
          </w:tcPr>
          <w:p>
            <w:pPr>
              <w:spacing w:after="0"/>
              <w:rPr>
                <w:sz w:val="22"/>
                <w:szCs w:val="22"/>
                <w:color w:val="auto"/>
              </w:rPr>
            </w:pPr>
          </w:p>
        </w:tc>
        <w:tc>
          <w:tcPr>
            <w:tcW w:w="2260" w:type="dxa"/>
            <w:vAlign w:val="bottom"/>
          </w:tcPr>
          <w:p>
            <w:pPr>
              <w:ind w:left="360"/>
              <w:spacing w:after="0"/>
              <w:rPr>
                <w:sz w:val="20"/>
                <w:szCs w:val="20"/>
                <w:color w:val="auto"/>
              </w:rPr>
            </w:pPr>
            <w:r>
              <w:rPr>
                <w:rFonts w:ascii="Arial" w:cs="Arial" w:eastAsia="Arial" w:hAnsi="Arial"/>
                <w:sz w:val="18"/>
                <w:szCs w:val="18"/>
                <w:color w:val="auto"/>
              </w:rPr>
              <w:t>Rokeach &amp; Suesskind</w:t>
            </w:r>
          </w:p>
        </w:tc>
        <w:tc>
          <w:tcPr>
            <w:tcW w:w="1180" w:type="dxa"/>
            <w:vAlign w:val="bottom"/>
          </w:tcPr>
          <w:p>
            <w:pPr>
              <w:spacing w:after="0"/>
              <w:rPr>
                <w:sz w:val="22"/>
                <w:szCs w:val="22"/>
                <w:color w:val="auto"/>
              </w:rPr>
            </w:pPr>
          </w:p>
        </w:tc>
        <w:tc>
          <w:tcPr>
            <w:tcW w:w="2340" w:type="dxa"/>
            <w:vAlign w:val="bottom"/>
          </w:tcPr>
          <w:p>
            <w:pPr>
              <w:spacing w:after="0"/>
              <w:rPr>
                <w:sz w:val="22"/>
                <w:szCs w:val="22"/>
                <w:color w:val="auto"/>
              </w:rPr>
            </w:pPr>
          </w:p>
        </w:tc>
        <w:tc>
          <w:tcPr>
            <w:tcW w:w="1900" w:type="dxa"/>
            <w:vAlign w:val="bottom"/>
          </w:tcPr>
          <w:p>
            <w:pPr>
              <w:spacing w:after="0"/>
              <w:rPr>
                <w:sz w:val="22"/>
                <w:szCs w:val="22"/>
                <w:color w:val="auto"/>
              </w:rPr>
            </w:pPr>
          </w:p>
        </w:tc>
        <w:tc>
          <w:tcPr>
            <w:tcW w:w="1000" w:type="dxa"/>
            <w:vAlign w:val="bottom"/>
          </w:tcPr>
          <w:p>
            <w:pPr>
              <w:spacing w:after="0"/>
              <w:rPr>
                <w:sz w:val="22"/>
                <w:szCs w:val="22"/>
                <w:color w:val="auto"/>
              </w:rPr>
            </w:pPr>
          </w:p>
        </w:tc>
      </w:tr>
      <w:tr>
        <w:trPr>
          <w:trHeight w:val="230"/>
        </w:trPr>
        <w:tc>
          <w:tcPr>
            <w:tcW w:w="2660" w:type="dxa"/>
            <w:vAlign w:val="bottom"/>
          </w:tcPr>
          <w:p>
            <w:pPr>
              <w:spacing w:after="0"/>
              <w:rPr>
                <w:sz w:val="20"/>
                <w:szCs w:val="20"/>
                <w:color w:val="auto"/>
              </w:rPr>
            </w:pPr>
            <w:r>
              <w:rPr>
                <w:rFonts w:ascii="Arial" w:cs="Arial" w:eastAsia="Arial" w:hAnsi="Arial"/>
                <w:sz w:val="18"/>
                <w:szCs w:val="18"/>
                <w:color w:val="auto"/>
              </w:rPr>
              <w:t>Ria Deutschland GmbH</w:t>
            </w:r>
          </w:p>
        </w:tc>
        <w:tc>
          <w:tcPr>
            <w:tcW w:w="2260" w:type="dxa"/>
            <w:vAlign w:val="bottom"/>
          </w:tcPr>
          <w:p>
            <w:pPr>
              <w:ind w:left="360"/>
              <w:spacing w:after="0"/>
              <w:rPr>
                <w:sz w:val="20"/>
                <w:szCs w:val="20"/>
                <w:color w:val="auto"/>
              </w:rPr>
            </w:pPr>
            <w:r>
              <w:rPr>
                <w:rFonts w:ascii="Arial" w:cs="Arial" w:eastAsia="Arial" w:hAnsi="Arial"/>
                <w:sz w:val="18"/>
                <w:szCs w:val="18"/>
                <w:color w:val="auto"/>
              </w:rPr>
              <w:t>Immobilien KG</w:t>
            </w:r>
          </w:p>
        </w:tc>
        <w:tc>
          <w:tcPr>
            <w:tcW w:w="1180" w:type="dxa"/>
            <w:vAlign w:val="bottom"/>
          </w:tcPr>
          <w:p>
            <w:pPr>
              <w:ind w:left="20"/>
              <w:spacing w:after="0"/>
              <w:rPr>
                <w:sz w:val="20"/>
                <w:szCs w:val="20"/>
                <w:color w:val="auto"/>
              </w:rPr>
            </w:pPr>
            <w:r>
              <w:rPr>
                <w:rFonts w:ascii="Arial" w:cs="Arial" w:eastAsia="Arial" w:hAnsi="Arial"/>
                <w:sz w:val="18"/>
                <w:szCs w:val="18"/>
                <w:color w:val="auto"/>
              </w:rPr>
              <w:t>Other</w:t>
            </w:r>
          </w:p>
        </w:tc>
        <w:tc>
          <w:tcPr>
            <w:tcW w:w="2340" w:type="dxa"/>
            <w:vAlign w:val="bottom"/>
          </w:tcPr>
          <w:p>
            <w:pPr>
              <w:ind w:left="760"/>
              <w:spacing w:after="0"/>
              <w:rPr>
                <w:sz w:val="20"/>
                <w:szCs w:val="20"/>
                <w:color w:val="auto"/>
              </w:rPr>
            </w:pPr>
            <w:r>
              <w:rPr>
                <w:rFonts w:ascii="Arial" w:cs="Arial" w:eastAsia="Arial" w:hAnsi="Arial"/>
                <w:sz w:val="18"/>
                <w:szCs w:val="18"/>
                <w:color w:val="auto"/>
              </w:rPr>
              <w:t>Cash Collateral</w:t>
            </w:r>
          </w:p>
        </w:tc>
        <w:tc>
          <w:tcPr>
            <w:tcW w:w="1900" w:type="dxa"/>
            <w:vAlign w:val="bottom"/>
          </w:tcPr>
          <w:p>
            <w:pPr>
              <w:jc w:val="right"/>
              <w:ind w:right="410"/>
              <w:spacing w:after="0"/>
              <w:rPr>
                <w:sz w:val="20"/>
                <w:szCs w:val="20"/>
                <w:color w:val="auto"/>
              </w:rPr>
            </w:pPr>
            <w:r>
              <w:rPr>
                <w:rFonts w:ascii="Arial" w:cs="Arial" w:eastAsia="Arial" w:hAnsi="Arial"/>
                <w:sz w:val="18"/>
                <w:szCs w:val="18"/>
                <w:color w:val="auto"/>
              </w:rPr>
              <w:t>EUR 8,400</w:t>
            </w:r>
          </w:p>
        </w:tc>
        <w:tc>
          <w:tcPr>
            <w:tcW w:w="1000" w:type="dxa"/>
            <w:vAlign w:val="bottom"/>
          </w:tcPr>
          <w:p>
            <w:pPr>
              <w:jc w:val="right"/>
              <w:spacing w:after="0"/>
              <w:rPr>
                <w:sz w:val="20"/>
                <w:szCs w:val="20"/>
                <w:color w:val="auto"/>
              </w:rPr>
            </w:pPr>
            <w:r>
              <w:rPr>
                <w:rFonts w:ascii="Arial" w:cs="Arial" w:eastAsia="Arial" w:hAnsi="Arial"/>
                <w:sz w:val="18"/>
                <w:szCs w:val="18"/>
                <w:color w:val="auto"/>
              </w:rPr>
              <w:t>11,351</w:t>
            </w:r>
          </w:p>
        </w:tc>
      </w:tr>
      <w:tr>
        <w:trPr>
          <w:trHeight w:val="256"/>
        </w:trPr>
        <w:tc>
          <w:tcPr>
            <w:tcW w:w="2660" w:type="dxa"/>
            <w:vAlign w:val="bottom"/>
          </w:tcPr>
          <w:p>
            <w:pPr>
              <w:spacing w:after="0"/>
              <w:rPr>
                <w:sz w:val="22"/>
                <w:szCs w:val="22"/>
                <w:color w:val="auto"/>
              </w:rPr>
            </w:pPr>
          </w:p>
        </w:tc>
        <w:tc>
          <w:tcPr>
            <w:tcW w:w="2260" w:type="dxa"/>
            <w:vAlign w:val="bottom"/>
          </w:tcPr>
          <w:p>
            <w:pPr>
              <w:ind w:left="360"/>
              <w:spacing w:after="0"/>
              <w:rPr>
                <w:sz w:val="20"/>
                <w:szCs w:val="20"/>
                <w:color w:val="auto"/>
              </w:rPr>
            </w:pPr>
            <w:r>
              <w:rPr>
                <w:rFonts w:ascii="Arial" w:cs="Arial" w:eastAsia="Arial" w:hAnsi="Arial"/>
                <w:sz w:val="18"/>
                <w:szCs w:val="18"/>
                <w:color w:val="auto"/>
              </w:rPr>
              <w:t>Erbengemeinschaft</w:t>
            </w:r>
          </w:p>
        </w:tc>
        <w:tc>
          <w:tcPr>
            <w:tcW w:w="1180" w:type="dxa"/>
            <w:vAlign w:val="bottom"/>
          </w:tcPr>
          <w:p>
            <w:pPr>
              <w:spacing w:after="0"/>
              <w:rPr>
                <w:sz w:val="22"/>
                <w:szCs w:val="22"/>
                <w:color w:val="auto"/>
              </w:rPr>
            </w:pPr>
          </w:p>
        </w:tc>
        <w:tc>
          <w:tcPr>
            <w:tcW w:w="2340" w:type="dxa"/>
            <w:vAlign w:val="bottom"/>
          </w:tcPr>
          <w:p>
            <w:pPr>
              <w:spacing w:after="0"/>
              <w:rPr>
                <w:sz w:val="22"/>
                <w:szCs w:val="22"/>
                <w:color w:val="auto"/>
              </w:rPr>
            </w:pPr>
          </w:p>
        </w:tc>
        <w:tc>
          <w:tcPr>
            <w:tcW w:w="1900" w:type="dxa"/>
            <w:vAlign w:val="bottom"/>
          </w:tcPr>
          <w:p>
            <w:pPr>
              <w:spacing w:after="0"/>
              <w:rPr>
                <w:sz w:val="22"/>
                <w:szCs w:val="22"/>
                <w:color w:val="auto"/>
              </w:rPr>
            </w:pPr>
          </w:p>
        </w:tc>
        <w:tc>
          <w:tcPr>
            <w:tcW w:w="1000" w:type="dxa"/>
            <w:vAlign w:val="bottom"/>
          </w:tcPr>
          <w:p>
            <w:pPr>
              <w:spacing w:after="0"/>
              <w:rPr>
                <w:sz w:val="22"/>
                <w:szCs w:val="22"/>
                <w:color w:val="auto"/>
              </w:rPr>
            </w:pPr>
          </w:p>
        </w:tc>
      </w:tr>
      <w:tr>
        <w:trPr>
          <w:trHeight w:val="230"/>
        </w:trPr>
        <w:tc>
          <w:tcPr>
            <w:tcW w:w="2660" w:type="dxa"/>
            <w:vAlign w:val="bottom"/>
          </w:tcPr>
          <w:p>
            <w:pPr>
              <w:spacing w:after="0"/>
              <w:rPr>
                <w:sz w:val="20"/>
                <w:szCs w:val="20"/>
                <w:color w:val="auto"/>
              </w:rPr>
            </w:pPr>
            <w:r>
              <w:rPr>
                <w:rFonts w:ascii="Arial" w:cs="Arial" w:eastAsia="Arial" w:hAnsi="Arial"/>
                <w:sz w:val="18"/>
                <w:szCs w:val="18"/>
                <w:color w:val="auto"/>
              </w:rPr>
              <w:t>Ria Deutschland GmbH</w:t>
            </w:r>
          </w:p>
        </w:tc>
        <w:tc>
          <w:tcPr>
            <w:tcW w:w="2260" w:type="dxa"/>
            <w:vAlign w:val="bottom"/>
          </w:tcPr>
          <w:p>
            <w:pPr>
              <w:ind w:left="360"/>
              <w:spacing w:after="0"/>
              <w:rPr>
                <w:sz w:val="20"/>
                <w:szCs w:val="20"/>
                <w:color w:val="auto"/>
              </w:rPr>
            </w:pPr>
            <w:r>
              <w:rPr>
                <w:rFonts w:ascii="Arial" w:cs="Arial" w:eastAsia="Arial" w:hAnsi="Arial"/>
                <w:sz w:val="18"/>
                <w:szCs w:val="18"/>
                <w:color w:val="auto"/>
              </w:rPr>
              <w:t>Graebner</w:t>
            </w:r>
          </w:p>
        </w:tc>
        <w:tc>
          <w:tcPr>
            <w:tcW w:w="1180" w:type="dxa"/>
            <w:vAlign w:val="bottom"/>
          </w:tcPr>
          <w:p>
            <w:pPr>
              <w:ind w:left="20"/>
              <w:spacing w:after="0"/>
              <w:rPr>
                <w:sz w:val="20"/>
                <w:szCs w:val="20"/>
                <w:color w:val="auto"/>
              </w:rPr>
            </w:pPr>
            <w:r>
              <w:rPr>
                <w:rFonts w:ascii="Arial" w:cs="Arial" w:eastAsia="Arial" w:hAnsi="Arial"/>
                <w:sz w:val="18"/>
                <w:szCs w:val="18"/>
                <w:color w:val="auto"/>
              </w:rPr>
              <w:t>Other</w:t>
            </w:r>
          </w:p>
        </w:tc>
        <w:tc>
          <w:tcPr>
            <w:tcW w:w="2340" w:type="dxa"/>
            <w:vAlign w:val="bottom"/>
          </w:tcPr>
          <w:p>
            <w:pPr>
              <w:ind w:left="760"/>
              <w:spacing w:after="0"/>
              <w:rPr>
                <w:sz w:val="20"/>
                <w:szCs w:val="20"/>
                <w:color w:val="auto"/>
              </w:rPr>
            </w:pPr>
            <w:r>
              <w:rPr>
                <w:rFonts w:ascii="Arial" w:cs="Arial" w:eastAsia="Arial" w:hAnsi="Arial"/>
                <w:sz w:val="18"/>
                <w:szCs w:val="18"/>
                <w:color w:val="auto"/>
              </w:rPr>
              <w:t>Cash Collateral</w:t>
            </w:r>
          </w:p>
        </w:tc>
        <w:tc>
          <w:tcPr>
            <w:tcW w:w="1900" w:type="dxa"/>
            <w:vAlign w:val="bottom"/>
          </w:tcPr>
          <w:p>
            <w:pPr>
              <w:jc w:val="right"/>
              <w:ind w:right="410"/>
              <w:spacing w:after="0"/>
              <w:rPr>
                <w:sz w:val="20"/>
                <w:szCs w:val="20"/>
                <w:color w:val="auto"/>
              </w:rPr>
            </w:pPr>
            <w:r>
              <w:rPr>
                <w:rFonts w:ascii="Arial" w:cs="Arial" w:eastAsia="Arial" w:hAnsi="Arial"/>
                <w:sz w:val="18"/>
                <w:szCs w:val="18"/>
                <w:color w:val="auto"/>
              </w:rPr>
              <w:t>EUR 4,050</w:t>
            </w:r>
          </w:p>
        </w:tc>
        <w:tc>
          <w:tcPr>
            <w:tcW w:w="1000" w:type="dxa"/>
            <w:vAlign w:val="bottom"/>
          </w:tcPr>
          <w:p>
            <w:pPr>
              <w:jc w:val="right"/>
              <w:spacing w:after="0"/>
              <w:rPr>
                <w:sz w:val="20"/>
                <w:szCs w:val="20"/>
                <w:color w:val="auto"/>
              </w:rPr>
            </w:pPr>
            <w:r>
              <w:rPr>
                <w:rFonts w:ascii="Arial" w:cs="Arial" w:eastAsia="Arial" w:hAnsi="Arial"/>
                <w:sz w:val="18"/>
                <w:szCs w:val="18"/>
                <w:color w:val="auto"/>
              </w:rPr>
              <w:t>5,473</w:t>
            </w:r>
          </w:p>
        </w:tc>
      </w:tr>
      <w:tr>
        <w:trPr>
          <w:trHeight w:val="270"/>
        </w:trPr>
        <w:tc>
          <w:tcPr>
            <w:tcW w:w="2660" w:type="dxa"/>
            <w:vAlign w:val="bottom"/>
          </w:tcPr>
          <w:p>
            <w:pPr>
              <w:spacing w:after="0"/>
              <w:rPr>
                <w:sz w:val="20"/>
                <w:szCs w:val="20"/>
                <w:color w:val="auto"/>
              </w:rPr>
            </w:pPr>
            <w:r>
              <w:rPr>
                <w:rFonts w:ascii="Arial" w:cs="Arial" w:eastAsia="Arial" w:hAnsi="Arial"/>
                <w:sz w:val="18"/>
                <w:szCs w:val="18"/>
                <w:color w:val="auto"/>
              </w:rPr>
              <w:t>Ria Deutschland GmbH</w:t>
            </w:r>
          </w:p>
        </w:tc>
        <w:tc>
          <w:tcPr>
            <w:tcW w:w="2260" w:type="dxa"/>
            <w:vAlign w:val="bottom"/>
          </w:tcPr>
          <w:p>
            <w:pPr>
              <w:ind w:left="360"/>
              <w:spacing w:after="0"/>
              <w:rPr>
                <w:sz w:val="20"/>
                <w:szCs w:val="20"/>
                <w:color w:val="auto"/>
              </w:rPr>
            </w:pPr>
            <w:r>
              <w:rPr>
                <w:rFonts w:ascii="Arial" w:cs="Arial" w:eastAsia="Arial" w:hAnsi="Arial"/>
                <w:sz w:val="18"/>
                <w:szCs w:val="18"/>
                <w:color w:val="auto"/>
              </w:rPr>
              <w:t>Toni Schenkel</w:t>
            </w:r>
          </w:p>
        </w:tc>
        <w:tc>
          <w:tcPr>
            <w:tcW w:w="1180" w:type="dxa"/>
            <w:vAlign w:val="bottom"/>
          </w:tcPr>
          <w:p>
            <w:pPr>
              <w:ind w:left="20"/>
              <w:spacing w:after="0"/>
              <w:rPr>
                <w:sz w:val="20"/>
                <w:szCs w:val="20"/>
                <w:color w:val="auto"/>
              </w:rPr>
            </w:pPr>
            <w:r>
              <w:rPr>
                <w:rFonts w:ascii="Arial" w:cs="Arial" w:eastAsia="Arial" w:hAnsi="Arial"/>
                <w:sz w:val="18"/>
                <w:szCs w:val="18"/>
                <w:color w:val="auto"/>
              </w:rPr>
              <w:t>Other</w:t>
            </w:r>
          </w:p>
        </w:tc>
        <w:tc>
          <w:tcPr>
            <w:tcW w:w="2340" w:type="dxa"/>
            <w:vAlign w:val="bottom"/>
          </w:tcPr>
          <w:p>
            <w:pPr>
              <w:ind w:left="760"/>
              <w:spacing w:after="0"/>
              <w:rPr>
                <w:sz w:val="20"/>
                <w:szCs w:val="20"/>
                <w:color w:val="auto"/>
              </w:rPr>
            </w:pPr>
            <w:r>
              <w:rPr>
                <w:rFonts w:ascii="Arial" w:cs="Arial" w:eastAsia="Arial" w:hAnsi="Arial"/>
                <w:sz w:val="18"/>
                <w:szCs w:val="18"/>
                <w:color w:val="auto"/>
              </w:rPr>
              <w:t>Cash Collateral</w:t>
            </w:r>
          </w:p>
        </w:tc>
        <w:tc>
          <w:tcPr>
            <w:tcW w:w="1900" w:type="dxa"/>
            <w:vAlign w:val="bottom"/>
          </w:tcPr>
          <w:p>
            <w:pPr>
              <w:jc w:val="right"/>
              <w:ind w:right="410"/>
              <w:spacing w:after="0"/>
              <w:rPr>
                <w:sz w:val="20"/>
                <w:szCs w:val="20"/>
                <w:color w:val="auto"/>
              </w:rPr>
            </w:pPr>
            <w:r>
              <w:rPr>
                <w:rFonts w:ascii="Arial" w:cs="Arial" w:eastAsia="Arial" w:hAnsi="Arial"/>
                <w:sz w:val="18"/>
                <w:szCs w:val="18"/>
                <w:color w:val="auto"/>
              </w:rPr>
              <w:t>EUR 3,500</w:t>
            </w:r>
          </w:p>
        </w:tc>
        <w:tc>
          <w:tcPr>
            <w:tcW w:w="1000" w:type="dxa"/>
            <w:vAlign w:val="bottom"/>
          </w:tcPr>
          <w:p>
            <w:pPr>
              <w:jc w:val="right"/>
              <w:spacing w:after="0"/>
              <w:rPr>
                <w:sz w:val="20"/>
                <w:szCs w:val="20"/>
                <w:color w:val="auto"/>
              </w:rPr>
            </w:pPr>
            <w:r>
              <w:rPr>
                <w:rFonts w:ascii="Arial" w:cs="Arial" w:eastAsia="Arial" w:hAnsi="Arial"/>
                <w:sz w:val="18"/>
                <w:szCs w:val="18"/>
                <w:color w:val="auto"/>
              </w:rPr>
              <w:t>4,730</w:t>
            </w:r>
          </w:p>
        </w:tc>
      </w:tr>
      <w:tr>
        <w:trPr>
          <w:trHeight w:val="256"/>
        </w:trPr>
        <w:tc>
          <w:tcPr>
            <w:tcW w:w="2660" w:type="dxa"/>
            <w:vAlign w:val="bottom"/>
          </w:tcPr>
          <w:p>
            <w:pPr>
              <w:spacing w:after="0"/>
              <w:rPr>
                <w:sz w:val="22"/>
                <w:szCs w:val="22"/>
                <w:color w:val="auto"/>
              </w:rPr>
            </w:pPr>
          </w:p>
        </w:tc>
        <w:tc>
          <w:tcPr>
            <w:tcW w:w="2260" w:type="dxa"/>
            <w:vAlign w:val="bottom"/>
          </w:tcPr>
          <w:p>
            <w:pPr>
              <w:ind w:left="360"/>
              <w:spacing w:after="0"/>
              <w:rPr>
                <w:sz w:val="20"/>
                <w:szCs w:val="20"/>
                <w:color w:val="auto"/>
              </w:rPr>
            </w:pPr>
            <w:r>
              <w:rPr>
                <w:rFonts w:ascii="Arial" w:cs="Arial" w:eastAsia="Arial" w:hAnsi="Arial"/>
                <w:sz w:val="18"/>
                <w:szCs w:val="18"/>
                <w:color w:val="auto"/>
              </w:rPr>
              <w:t>Aachener</w:t>
            </w:r>
          </w:p>
        </w:tc>
        <w:tc>
          <w:tcPr>
            <w:tcW w:w="1180" w:type="dxa"/>
            <w:vAlign w:val="bottom"/>
          </w:tcPr>
          <w:p>
            <w:pPr>
              <w:spacing w:after="0"/>
              <w:rPr>
                <w:sz w:val="22"/>
                <w:szCs w:val="22"/>
                <w:color w:val="auto"/>
              </w:rPr>
            </w:pPr>
          </w:p>
        </w:tc>
        <w:tc>
          <w:tcPr>
            <w:tcW w:w="2340" w:type="dxa"/>
            <w:vAlign w:val="bottom"/>
          </w:tcPr>
          <w:p>
            <w:pPr>
              <w:spacing w:after="0"/>
              <w:rPr>
                <w:sz w:val="22"/>
                <w:szCs w:val="22"/>
                <w:color w:val="auto"/>
              </w:rPr>
            </w:pPr>
          </w:p>
        </w:tc>
        <w:tc>
          <w:tcPr>
            <w:tcW w:w="1900" w:type="dxa"/>
            <w:vAlign w:val="bottom"/>
          </w:tcPr>
          <w:p>
            <w:pPr>
              <w:spacing w:after="0"/>
              <w:rPr>
                <w:sz w:val="22"/>
                <w:szCs w:val="22"/>
                <w:color w:val="auto"/>
              </w:rPr>
            </w:pPr>
          </w:p>
        </w:tc>
        <w:tc>
          <w:tcPr>
            <w:tcW w:w="1000" w:type="dxa"/>
            <w:vAlign w:val="bottom"/>
          </w:tcPr>
          <w:p>
            <w:pPr>
              <w:spacing w:after="0"/>
              <w:rPr>
                <w:sz w:val="22"/>
                <w:szCs w:val="22"/>
                <w:color w:val="auto"/>
              </w:rPr>
            </w:pPr>
          </w:p>
        </w:tc>
      </w:tr>
      <w:tr>
        <w:trPr>
          <w:trHeight w:val="230"/>
        </w:trPr>
        <w:tc>
          <w:tcPr>
            <w:tcW w:w="2660" w:type="dxa"/>
            <w:vAlign w:val="bottom"/>
          </w:tcPr>
          <w:p>
            <w:pPr>
              <w:spacing w:after="0"/>
              <w:rPr>
                <w:sz w:val="20"/>
                <w:szCs w:val="20"/>
                <w:color w:val="auto"/>
              </w:rPr>
            </w:pPr>
            <w:r>
              <w:rPr>
                <w:rFonts w:ascii="Arial" w:cs="Arial" w:eastAsia="Arial" w:hAnsi="Arial"/>
                <w:sz w:val="18"/>
                <w:szCs w:val="18"/>
                <w:color w:val="auto"/>
              </w:rPr>
              <w:t>Ria Deutschland GmbH</w:t>
            </w:r>
          </w:p>
        </w:tc>
        <w:tc>
          <w:tcPr>
            <w:tcW w:w="2260" w:type="dxa"/>
            <w:vAlign w:val="bottom"/>
          </w:tcPr>
          <w:p>
            <w:pPr>
              <w:ind w:left="360"/>
              <w:spacing w:after="0"/>
              <w:rPr>
                <w:sz w:val="20"/>
                <w:szCs w:val="20"/>
                <w:color w:val="auto"/>
              </w:rPr>
            </w:pPr>
            <w:r>
              <w:rPr>
                <w:rFonts w:ascii="Arial" w:cs="Arial" w:eastAsia="Arial" w:hAnsi="Arial"/>
                <w:sz w:val="18"/>
                <w:szCs w:val="18"/>
                <w:color w:val="auto"/>
              </w:rPr>
              <w:t>Grundvermoegen</w:t>
            </w:r>
          </w:p>
        </w:tc>
        <w:tc>
          <w:tcPr>
            <w:tcW w:w="1180" w:type="dxa"/>
            <w:vAlign w:val="bottom"/>
          </w:tcPr>
          <w:p>
            <w:pPr>
              <w:ind w:left="20"/>
              <w:spacing w:after="0"/>
              <w:rPr>
                <w:sz w:val="20"/>
                <w:szCs w:val="20"/>
                <w:color w:val="auto"/>
              </w:rPr>
            </w:pPr>
            <w:r>
              <w:rPr>
                <w:rFonts w:ascii="Arial" w:cs="Arial" w:eastAsia="Arial" w:hAnsi="Arial"/>
                <w:sz w:val="18"/>
                <w:szCs w:val="18"/>
                <w:color w:val="auto"/>
              </w:rPr>
              <w:t>Other</w:t>
            </w:r>
          </w:p>
        </w:tc>
        <w:tc>
          <w:tcPr>
            <w:tcW w:w="2340" w:type="dxa"/>
            <w:vAlign w:val="bottom"/>
          </w:tcPr>
          <w:p>
            <w:pPr>
              <w:ind w:left="760"/>
              <w:spacing w:after="0"/>
              <w:rPr>
                <w:sz w:val="20"/>
                <w:szCs w:val="20"/>
                <w:color w:val="auto"/>
              </w:rPr>
            </w:pPr>
            <w:r>
              <w:rPr>
                <w:rFonts w:ascii="Arial" w:cs="Arial" w:eastAsia="Arial" w:hAnsi="Arial"/>
                <w:sz w:val="18"/>
                <w:szCs w:val="18"/>
                <w:color w:val="auto"/>
              </w:rPr>
              <w:t>Cash Collateral</w:t>
            </w:r>
          </w:p>
        </w:tc>
        <w:tc>
          <w:tcPr>
            <w:tcW w:w="1900" w:type="dxa"/>
            <w:vAlign w:val="bottom"/>
          </w:tcPr>
          <w:p>
            <w:pPr>
              <w:jc w:val="right"/>
              <w:ind w:right="410"/>
              <w:spacing w:after="0"/>
              <w:rPr>
                <w:sz w:val="20"/>
                <w:szCs w:val="20"/>
                <w:color w:val="auto"/>
              </w:rPr>
            </w:pPr>
            <w:r>
              <w:rPr>
                <w:rFonts w:ascii="Arial" w:cs="Arial" w:eastAsia="Arial" w:hAnsi="Arial"/>
                <w:sz w:val="18"/>
                <w:szCs w:val="18"/>
                <w:color w:val="auto"/>
              </w:rPr>
              <w:t>EUR 6,426</w:t>
            </w:r>
          </w:p>
        </w:tc>
        <w:tc>
          <w:tcPr>
            <w:tcW w:w="1000" w:type="dxa"/>
            <w:vAlign w:val="bottom"/>
          </w:tcPr>
          <w:p>
            <w:pPr>
              <w:jc w:val="right"/>
              <w:spacing w:after="0"/>
              <w:rPr>
                <w:sz w:val="20"/>
                <w:szCs w:val="20"/>
                <w:color w:val="auto"/>
              </w:rPr>
            </w:pPr>
            <w:r>
              <w:rPr>
                <w:rFonts w:ascii="Arial" w:cs="Arial" w:eastAsia="Arial" w:hAnsi="Arial"/>
                <w:sz w:val="18"/>
                <w:szCs w:val="18"/>
                <w:color w:val="auto"/>
              </w:rPr>
              <w:t>8,683</w:t>
            </w:r>
          </w:p>
        </w:tc>
      </w:tr>
      <w:tr>
        <w:trPr>
          <w:trHeight w:val="256"/>
        </w:trPr>
        <w:tc>
          <w:tcPr>
            <w:tcW w:w="2660" w:type="dxa"/>
            <w:vAlign w:val="bottom"/>
          </w:tcPr>
          <w:p>
            <w:pPr>
              <w:spacing w:after="0"/>
              <w:rPr>
                <w:sz w:val="22"/>
                <w:szCs w:val="22"/>
                <w:color w:val="auto"/>
              </w:rPr>
            </w:pPr>
          </w:p>
        </w:tc>
        <w:tc>
          <w:tcPr>
            <w:tcW w:w="2260" w:type="dxa"/>
            <w:vAlign w:val="bottom"/>
          </w:tcPr>
          <w:p>
            <w:pPr>
              <w:ind w:left="360"/>
              <w:spacing w:after="0"/>
              <w:rPr>
                <w:sz w:val="20"/>
                <w:szCs w:val="20"/>
                <w:color w:val="auto"/>
              </w:rPr>
            </w:pPr>
            <w:r>
              <w:rPr>
                <w:rFonts w:ascii="Arial" w:cs="Arial" w:eastAsia="Arial" w:hAnsi="Arial"/>
                <w:sz w:val="18"/>
                <w:szCs w:val="18"/>
                <w:color w:val="auto"/>
              </w:rPr>
              <w:t>Real,- SB-Warenhaus</w:t>
            </w:r>
          </w:p>
        </w:tc>
        <w:tc>
          <w:tcPr>
            <w:tcW w:w="1180" w:type="dxa"/>
            <w:vAlign w:val="bottom"/>
          </w:tcPr>
          <w:p>
            <w:pPr>
              <w:spacing w:after="0"/>
              <w:rPr>
                <w:sz w:val="22"/>
                <w:szCs w:val="22"/>
                <w:color w:val="auto"/>
              </w:rPr>
            </w:pPr>
          </w:p>
        </w:tc>
        <w:tc>
          <w:tcPr>
            <w:tcW w:w="2340" w:type="dxa"/>
            <w:vAlign w:val="bottom"/>
          </w:tcPr>
          <w:p>
            <w:pPr>
              <w:spacing w:after="0"/>
              <w:rPr>
                <w:sz w:val="22"/>
                <w:szCs w:val="22"/>
                <w:color w:val="auto"/>
              </w:rPr>
            </w:pPr>
          </w:p>
        </w:tc>
        <w:tc>
          <w:tcPr>
            <w:tcW w:w="1900" w:type="dxa"/>
            <w:vAlign w:val="bottom"/>
          </w:tcPr>
          <w:p>
            <w:pPr>
              <w:spacing w:after="0"/>
              <w:rPr>
                <w:sz w:val="22"/>
                <w:szCs w:val="22"/>
                <w:color w:val="auto"/>
              </w:rPr>
            </w:pPr>
          </w:p>
        </w:tc>
        <w:tc>
          <w:tcPr>
            <w:tcW w:w="1000" w:type="dxa"/>
            <w:vAlign w:val="bottom"/>
          </w:tcPr>
          <w:p>
            <w:pPr>
              <w:spacing w:after="0"/>
              <w:rPr>
                <w:sz w:val="22"/>
                <w:szCs w:val="22"/>
                <w:color w:val="auto"/>
              </w:rPr>
            </w:pPr>
          </w:p>
        </w:tc>
      </w:tr>
      <w:tr>
        <w:trPr>
          <w:trHeight w:val="230"/>
        </w:trPr>
        <w:tc>
          <w:tcPr>
            <w:tcW w:w="2660" w:type="dxa"/>
            <w:vAlign w:val="bottom"/>
          </w:tcPr>
          <w:p>
            <w:pPr>
              <w:spacing w:after="0"/>
              <w:rPr>
                <w:sz w:val="20"/>
                <w:szCs w:val="20"/>
                <w:color w:val="auto"/>
              </w:rPr>
            </w:pPr>
            <w:r>
              <w:rPr>
                <w:rFonts w:ascii="Arial" w:cs="Arial" w:eastAsia="Arial" w:hAnsi="Arial"/>
                <w:sz w:val="18"/>
                <w:szCs w:val="18"/>
                <w:color w:val="auto"/>
              </w:rPr>
              <w:t>Ria Deutschland GmbH</w:t>
            </w:r>
          </w:p>
        </w:tc>
        <w:tc>
          <w:tcPr>
            <w:tcW w:w="2260" w:type="dxa"/>
            <w:vAlign w:val="bottom"/>
          </w:tcPr>
          <w:p>
            <w:pPr>
              <w:ind w:left="360"/>
              <w:spacing w:after="0"/>
              <w:rPr>
                <w:sz w:val="20"/>
                <w:szCs w:val="20"/>
                <w:color w:val="auto"/>
              </w:rPr>
            </w:pPr>
            <w:r>
              <w:rPr>
                <w:rFonts w:ascii="Arial" w:cs="Arial" w:eastAsia="Arial" w:hAnsi="Arial"/>
                <w:sz w:val="18"/>
                <w:szCs w:val="18"/>
                <w:color w:val="auto"/>
              </w:rPr>
              <w:t>GmbH</w:t>
            </w:r>
          </w:p>
        </w:tc>
        <w:tc>
          <w:tcPr>
            <w:tcW w:w="1180" w:type="dxa"/>
            <w:vAlign w:val="bottom"/>
          </w:tcPr>
          <w:p>
            <w:pPr>
              <w:ind w:left="20"/>
              <w:spacing w:after="0"/>
              <w:rPr>
                <w:sz w:val="20"/>
                <w:szCs w:val="20"/>
                <w:color w:val="auto"/>
              </w:rPr>
            </w:pPr>
            <w:r>
              <w:rPr>
                <w:rFonts w:ascii="Arial" w:cs="Arial" w:eastAsia="Arial" w:hAnsi="Arial"/>
                <w:sz w:val="18"/>
                <w:szCs w:val="18"/>
                <w:color w:val="auto"/>
              </w:rPr>
              <w:t>Other</w:t>
            </w:r>
          </w:p>
        </w:tc>
        <w:tc>
          <w:tcPr>
            <w:tcW w:w="2340" w:type="dxa"/>
            <w:vAlign w:val="bottom"/>
          </w:tcPr>
          <w:p>
            <w:pPr>
              <w:ind w:left="760"/>
              <w:spacing w:after="0"/>
              <w:rPr>
                <w:sz w:val="20"/>
                <w:szCs w:val="20"/>
                <w:color w:val="auto"/>
              </w:rPr>
            </w:pPr>
            <w:r>
              <w:rPr>
                <w:rFonts w:ascii="Arial" w:cs="Arial" w:eastAsia="Arial" w:hAnsi="Arial"/>
                <w:sz w:val="18"/>
                <w:szCs w:val="18"/>
                <w:color w:val="auto"/>
              </w:rPr>
              <w:t>Cash Collateral</w:t>
            </w:r>
          </w:p>
        </w:tc>
        <w:tc>
          <w:tcPr>
            <w:tcW w:w="1900" w:type="dxa"/>
            <w:vAlign w:val="bottom"/>
          </w:tcPr>
          <w:p>
            <w:pPr>
              <w:jc w:val="right"/>
              <w:ind w:right="410"/>
              <w:spacing w:after="0"/>
              <w:rPr>
                <w:sz w:val="20"/>
                <w:szCs w:val="20"/>
                <w:color w:val="auto"/>
              </w:rPr>
            </w:pPr>
            <w:r>
              <w:rPr>
                <w:rFonts w:ascii="Arial" w:cs="Arial" w:eastAsia="Arial" w:hAnsi="Arial"/>
                <w:sz w:val="18"/>
                <w:szCs w:val="18"/>
                <w:color w:val="auto"/>
              </w:rPr>
              <w:t>EUR 2,000</w:t>
            </w:r>
          </w:p>
        </w:tc>
        <w:tc>
          <w:tcPr>
            <w:tcW w:w="1000" w:type="dxa"/>
            <w:vAlign w:val="bottom"/>
          </w:tcPr>
          <w:p>
            <w:pPr>
              <w:jc w:val="right"/>
              <w:spacing w:after="0"/>
              <w:rPr>
                <w:sz w:val="20"/>
                <w:szCs w:val="20"/>
                <w:color w:val="auto"/>
              </w:rPr>
            </w:pPr>
            <w:r>
              <w:rPr>
                <w:rFonts w:ascii="Arial" w:cs="Arial" w:eastAsia="Arial" w:hAnsi="Arial"/>
                <w:sz w:val="18"/>
                <w:szCs w:val="18"/>
                <w:color w:val="auto"/>
              </w:rPr>
              <w:t>2,703</w:t>
            </w:r>
          </w:p>
        </w:tc>
      </w:tr>
      <w:tr>
        <w:trPr>
          <w:trHeight w:val="256"/>
        </w:trPr>
        <w:tc>
          <w:tcPr>
            <w:tcW w:w="2660" w:type="dxa"/>
            <w:vAlign w:val="bottom"/>
          </w:tcPr>
          <w:p>
            <w:pPr>
              <w:spacing w:after="0"/>
              <w:rPr>
                <w:sz w:val="22"/>
                <w:szCs w:val="22"/>
                <w:color w:val="auto"/>
              </w:rPr>
            </w:pPr>
          </w:p>
        </w:tc>
        <w:tc>
          <w:tcPr>
            <w:tcW w:w="2260" w:type="dxa"/>
            <w:vAlign w:val="bottom"/>
          </w:tcPr>
          <w:p>
            <w:pPr>
              <w:ind w:left="360"/>
              <w:spacing w:after="0"/>
              <w:rPr>
                <w:sz w:val="20"/>
                <w:szCs w:val="20"/>
                <w:color w:val="auto"/>
              </w:rPr>
            </w:pPr>
            <w:r>
              <w:rPr>
                <w:rFonts w:ascii="Arial" w:cs="Arial" w:eastAsia="Arial" w:hAnsi="Arial"/>
                <w:sz w:val="18"/>
                <w:szCs w:val="18"/>
                <w:color w:val="auto"/>
              </w:rPr>
              <w:t>Internet Cafe</w:t>
            </w:r>
          </w:p>
        </w:tc>
        <w:tc>
          <w:tcPr>
            <w:tcW w:w="1180" w:type="dxa"/>
            <w:vAlign w:val="bottom"/>
          </w:tcPr>
          <w:p>
            <w:pPr>
              <w:spacing w:after="0"/>
              <w:rPr>
                <w:sz w:val="22"/>
                <w:szCs w:val="22"/>
                <w:color w:val="auto"/>
              </w:rPr>
            </w:pPr>
          </w:p>
        </w:tc>
        <w:tc>
          <w:tcPr>
            <w:tcW w:w="2340" w:type="dxa"/>
            <w:vAlign w:val="bottom"/>
          </w:tcPr>
          <w:p>
            <w:pPr>
              <w:spacing w:after="0"/>
              <w:rPr>
                <w:sz w:val="22"/>
                <w:szCs w:val="22"/>
                <w:color w:val="auto"/>
              </w:rPr>
            </w:pPr>
          </w:p>
        </w:tc>
        <w:tc>
          <w:tcPr>
            <w:tcW w:w="1900" w:type="dxa"/>
            <w:vAlign w:val="bottom"/>
          </w:tcPr>
          <w:p>
            <w:pPr>
              <w:spacing w:after="0"/>
              <w:rPr>
                <w:sz w:val="22"/>
                <w:szCs w:val="22"/>
                <w:color w:val="auto"/>
              </w:rPr>
            </w:pPr>
          </w:p>
        </w:tc>
        <w:tc>
          <w:tcPr>
            <w:tcW w:w="1000" w:type="dxa"/>
            <w:vAlign w:val="bottom"/>
          </w:tcPr>
          <w:p>
            <w:pPr>
              <w:spacing w:after="0"/>
              <w:rPr>
                <w:sz w:val="22"/>
                <w:szCs w:val="22"/>
                <w:color w:val="auto"/>
              </w:rPr>
            </w:pPr>
          </w:p>
        </w:tc>
      </w:tr>
      <w:tr>
        <w:trPr>
          <w:trHeight w:val="230"/>
        </w:trPr>
        <w:tc>
          <w:tcPr>
            <w:tcW w:w="2660" w:type="dxa"/>
            <w:vAlign w:val="bottom"/>
          </w:tcPr>
          <w:p>
            <w:pPr>
              <w:spacing w:after="0"/>
              <w:rPr>
                <w:sz w:val="20"/>
                <w:szCs w:val="20"/>
                <w:color w:val="auto"/>
              </w:rPr>
            </w:pPr>
            <w:r>
              <w:rPr>
                <w:rFonts w:ascii="Arial" w:cs="Arial" w:eastAsia="Arial" w:hAnsi="Arial"/>
                <w:sz w:val="18"/>
                <w:szCs w:val="18"/>
                <w:color w:val="auto"/>
              </w:rPr>
              <w:t>Ria Deutschland GmbH</w:t>
            </w:r>
          </w:p>
        </w:tc>
        <w:tc>
          <w:tcPr>
            <w:tcW w:w="2260" w:type="dxa"/>
            <w:vAlign w:val="bottom"/>
          </w:tcPr>
          <w:p>
            <w:pPr>
              <w:ind w:left="360"/>
              <w:spacing w:after="0"/>
              <w:rPr>
                <w:sz w:val="20"/>
                <w:szCs w:val="20"/>
                <w:color w:val="auto"/>
              </w:rPr>
            </w:pPr>
            <w:r>
              <w:rPr>
                <w:rFonts w:ascii="Arial" w:cs="Arial" w:eastAsia="Arial" w:hAnsi="Arial"/>
                <w:sz w:val="18"/>
                <w:szCs w:val="18"/>
                <w:color w:val="auto"/>
              </w:rPr>
              <w:t>Muensterplatz</w:t>
            </w:r>
          </w:p>
        </w:tc>
        <w:tc>
          <w:tcPr>
            <w:tcW w:w="1180" w:type="dxa"/>
            <w:vAlign w:val="bottom"/>
          </w:tcPr>
          <w:p>
            <w:pPr>
              <w:ind w:left="20"/>
              <w:spacing w:after="0"/>
              <w:rPr>
                <w:sz w:val="20"/>
                <w:szCs w:val="20"/>
                <w:color w:val="auto"/>
              </w:rPr>
            </w:pPr>
            <w:r>
              <w:rPr>
                <w:rFonts w:ascii="Arial" w:cs="Arial" w:eastAsia="Arial" w:hAnsi="Arial"/>
                <w:sz w:val="18"/>
                <w:szCs w:val="18"/>
                <w:color w:val="auto"/>
              </w:rPr>
              <w:t>Other</w:t>
            </w:r>
          </w:p>
        </w:tc>
        <w:tc>
          <w:tcPr>
            <w:tcW w:w="2340" w:type="dxa"/>
            <w:vAlign w:val="bottom"/>
          </w:tcPr>
          <w:p>
            <w:pPr>
              <w:ind w:left="760"/>
              <w:spacing w:after="0"/>
              <w:rPr>
                <w:sz w:val="20"/>
                <w:szCs w:val="20"/>
                <w:color w:val="auto"/>
              </w:rPr>
            </w:pPr>
            <w:r>
              <w:rPr>
                <w:rFonts w:ascii="Arial" w:cs="Arial" w:eastAsia="Arial" w:hAnsi="Arial"/>
                <w:sz w:val="18"/>
                <w:szCs w:val="18"/>
                <w:color w:val="auto"/>
              </w:rPr>
              <w:t>Cash Collateral</w:t>
            </w:r>
          </w:p>
        </w:tc>
        <w:tc>
          <w:tcPr>
            <w:tcW w:w="1900" w:type="dxa"/>
            <w:vAlign w:val="bottom"/>
          </w:tcPr>
          <w:p>
            <w:pPr>
              <w:jc w:val="right"/>
              <w:ind w:right="410"/>
              <w:spacing w:after="0"/>
              <w:rPr>
                <w:sz w:val="20"/>
                <w:szCs w:val="20"/>
                <w:color w:val="auto"/>
              </w:rPr>
            </w:pPr>
            <w:r>
              <w:rPr>
                <w:rFonts w:ascii="Arial" w:cs="Arial" w:eastAsia="Arial" w:hAnsi="Arial"/>
                <w:sz w:val="18"/>
                <w:szCs w:val="18"/>
                <w:color w:val="auto"/>
              </w:rPr>
              <w:t>EUR 2,400</w:t>
            </w:r>
          </w:p>
        </w:tc>
        <w:tc>
          <w:tcPr>
            <w:tcW w:w="1000" w:type="dxa"/>
            <w:vAlign w:val="bottom"/>
          </w:tcPr>
          <w:p>
            <w:pPr>
              <w:jc w:val="right"/>
              <w:spacing w:after="0"/>
              <w:rPr>
                <w:sz w:val="20"/>
                <w:szCs w:val="20"/>
                <w:color w:val="auto"/>
              </w:rPr>
            </w:pPr>
            <w:r>
              <w:rPr>
                <w:rFonts w:ascii="Arial" w:cs="Arial" w:eastAsia="Arial" w:hAnsi="Arial"/>
                <w:sz w:val="18"/>
                <w:szCs w:val="18"/>
                <w:color w:val="auto"/>
              </w:rPr>
              <w:t>3,243</w:t>
            </w:r>
          </w:p>
        </w:tc>
      </w:tr>
      <w:tr>
        <w:trPr>
          <w:trHeight w:val="270"/>
        </w:trPr>
        <w:tc>
          <w:tcPr>
            <w:tcW w:w="2660" w:type="dxa"/>
            <w:vAlign w:val="bottom"/>
          </w:tcPr>
          <w:p>
            <w:pPr>
              <w:spacing w:after="0"/>
              <w:rPr>
                <w:sz w:val="20"/>
                <w:szCs w:val="20"/>
                <w:color w:val="auto"/>
              </w:rPr>
            </w:pPr>
            <w:r>
              <w:rPr>
                <w:rFonts w:ascii="Arial" w:cs="Arial" w:eastAsia="Arial" w:hAnsi="Arial"/>
                <w:sz w:val="18"/>
                <w:szCs w:val="18"/>
                <w:color w:val="auto"/>
              </w:rPr>
              <w:t>Ria Deutschland GmbH</w:t>
            </w:r>
          </w:p>
        </w:tc>
        <w:tc>
          <w:tcPr>
            <w:tcW w:w="2260" w:type="dxa"/>
            <w:vAlign w:val="bottom"/>
          </w:tcPr>
          <w:p>
            <w:pPr>
              <w:ind w:left="360"/>
              <w:spacing w:after="0"/>
              <w:rPr>
                <w:sz w:val="20"/>
                <w:szCs w:val="20"/>
                <w:color w:val="auto"/>
              </w:rPr>
            </w:pPr>
            <w:r>
              <w:rPr>
                <w:rFonts w:ascii="Arial" w:cs="Arial" w:eastAsia="Arial" w:hAnsi="Arial"/>
                <w:sz w:val="18"/>
                <w:szCs w:val="18"/>
                <w:color w:val="auto"/>
              </w:rPr>
              <w:t>Eike Land-Reinhard</w:t>
            </w:r>
          </w:p>
        </w:tc>
        <w:tc>
          <w:tcPr>
            <w:tcW w:w="1180" w:type="dxa"/>
            <w:vAlign w:val="bottom"/>
          </w:tcPr>
          <w:p>
            <w:pPr>
              <w:ind w:left="20"/>
              <w:spacing w:after="0"/>
              <w:rPr>
                <w:sz w:val="20"/>
                <w:szCs w:val="20"/>
                <w:color w:val="auto"/>
              </w:rPr>
            </w:pPr>
            <w:r>
              <w:rPr>
                <w:rFonts w:ascii="Arial" w:cs="Arial" w:eastAsia="Arial" w:hAnsi="Arial"/>
                <w:sz w:val="18"/>
                <w:szCs w:val="18"/>
                <w:color w:val="auto"/>
              </w:rPr>
              <w:t>Other</w:t>
            </w:r>
          </w:p>
        </w:tc>
        <w:tc>
          <w:tcPr>
            <w:tcW w:w="2340" w:type="dxa"/>
            <w:vAlign w:val="bottom"/>
          </w:tcPr>
          <w:p>
            <w:pPr>
              <w:ind w:left="760"/>
              <w:spacing w:after="0"/>
              <w:rPr>
                <w:sz w:val="20"/>
                <w:szCs w:val="20"/>
                <w:color w:val="auto"/>
              </w:rPr>
            </w:pPr>
            <w:r>
              <w:rPr>
                <w:rFonts w:ascii="Arial" w:cs="Arial" w:eastAsia="Arial" w:hAnsi="Arial"/>
                <w:sz w:val="18"/>
                <w:szCs w:val="18"/>
                <w:color w:val="auto"/>
              </w:rPr>
              <w:t>Cash Collateral</w:t>
            </w:r>
          </w:p>
        </w:tc>
        <w:tc>
          <w:tcPr>
            <w:tcW w:w="1900" w:type="dxa"/>
            <w:vAlign w:val="bottom"/>
          </w:tcPr>
          <w:p>
            <w:pPr>
              <w:jc w:val="right"/>
              <w:ind w:right="410"/>
              <w:spacing w:after="0"/>
              <w:rPr>
                <w:sz w:val="20"/>
                <w:szCs w:val="20"/>
                <w:color w:val="auto"/>
              </w:rPr>
            </w:pPr>
            <w:r>
              <w:rPr>
                <w:rFonts w:ascii="Arial" w:cs="Arial" w:eastAsia="Arial" w:hAnsi="Arial"/>
                <w:sz w:val="18"/>
                <w:szCs w:val="18"/>
                <w:color w:val="auto"/>
              </w:rPr>
              <w:t>EUR 4,920</w:t>
            </w:r>
          </w:p>
        </w:tc>
        <w:tc>
          <w:tcPr>
            <w:tcW w:w="1000" w:type="dxa"/>
            <w:vAlign w:val="bottom"/>
          </w:tcPr>
          <w:p>
            <w:pPr>
              <w:jc w:val="right"/>
              <w:spacing w:after="0"/>
              <w:rPr>
                <w:sz w:val="20"/>
                <w:szCs w:val="20"/>
                <w:color w:val="auto"/>
              </w:rPr>
            </w:pPr>
            <w:r>
              <w:rPr>
                <w:rFonts w:ascii="Arial" w:cs="Arial" w:eastAsia="Arial" w:hAnsi="Arial"/>
                <w:sz w:val="18"/>
                <w:szCs w:val="18"/>
                <w:color w:val="auto"/>
              </w:rPr>
              <w:t>6,648</w:t>
            </w:r>
          </w:p>
        </w:tc>
      </w:tr>
      <w:tr>
        <w:trPr>
          <w:trHeight w:val="270"/>
        </w:trPr>
        <w:tc>
          <w:tcPr>
            <w:tcW w:w="2660" w:type="dxa"/>
            <w:vAlign w:val="bottom"/>
          </w:tcPr>
          <w:p>
            <w:pPr>
              <w:spacing w:after="0"/>
              <w:rPr>
                <w:sz w:val="20"/>
                <w:szCs w:val="20"/>
                <w:color w:val="auto"/>
              </w:rPr>
            </w:pPr>
            <w:r>
              <w:rPr>
                <w:rFonts w:ascii="Arial" w:cs="Arial" w:eastAsia="Arial" w:hAnsi="Arial"/>
                <w:sz w:val="18"/>
                <w:szCs w:val="18"/>
                <w:color w:val="auto"/>
              </w:rPr>
              <w:t>Ria Deutschland GmbH</w:t>
            </w:r>
          </w:p>
        </w:tc>
        <w:tc>
          <w:tcPr>
            <w:tcW w:w="2260" w:type="dxa"/>
            <w:vAlign w:val="bottom"/>
          </w:tcPr>
          <w:p>
            <w:pPr>
              <w:ind w:left="360"/>
              <w:spacing w:after="0"/>
              <w:rPr>
                <w:sz w:val="20"/>
                <w:szCs w:val="20"/>
                <w:color w:val="auto"/>
              </w:rPr>
            </w:pPr>
            <w:r>
              <w:rPr>
                <w:rFonts w:ascii="Arial" w:cs="Arial" w:eastAsia="Arial" w:hAnsi="Arial"/>
                <w:sz w:val="18"/>
                <w:szCs w:val="18"/>
                <w:color w:val="auto"/>
              </w:rPr>
              <w:t>Eike Land-Reinhard</w:t>
            </w:r>
          </w:p>
        </w:tc>
        <w:tc>
          <w:tcPr>
            <w:tcW w:w="1180" w:type="dxa"/>
            <w:vAlign w:val="bottom"/>
          </w:tcPr>
          <w:p>
            <w:pPr>
              <w:ind w:left="20"/>
              <w:spacing w:after="0"/>
              <w:rPr>
                <w:sz w:val="20"/>
                <w:szCs w:val="20"/>
                <w:color w:val="auto"/>
              </w:rPr>
            </w:pPr>
            <w:r>
              <w:rPr>
                <w:rFonts w:ascii="Arial" w:cs="Arial" w:eastAsia="Arial" w:hAnsi="Arial"/>
                <w:sz w:val="18"/>
                <w:szCs w:val="18"/>
                <w:color w:val="auto"/>
              </w:rPr>
              <w:t>Other</w:t>
            </w:r>
          </w:p>
        </w:tc>
        <w:tc>
          <w:tcPr>
            <w:tcW w:w="2340" w:type="dxa"/>
            <w:vAlign w:val="bottom"/>
          </w:tcPr>
          <w:p>
            <w:pPr>
              <w:ind w:left="760"/>
              <w:spacing w:after="0"/>
              <w:rPr>
                <w:sz w:val="20"/>
                <w:szCs w:val="20"/>
                <w:color w:val="auto"/>
              </w:rPr>
            </w:pPr>
            <w:r>
              <w:rPr>
                <w:rFonts w:ascii="Arial" w:cs="Arial" w:eastAsia="Arial" w:hAnsi="Arial"/>
                <w:sz w:val="18"/>
                <w:szCs w:val="18"/>
                <w:color w:val="auto"/>
              </w:rPr>
              <w:t>Cash Collateral</w:t>
            </w:r>
          </w:p>
        </w:tc>
        <w:tc>
          <w:tcPr>
            <w:tcW w:w="1900" w:type="dxa"/>
            <w:vAlign w:val="bottom"/>
          </w:tcPr>
          <w:p>
            <w:pPr>
              <w:jc w:val="right"/>
              <w:ind w:right="410"/>
              <w:spacing w:after="0"/>
              <w:rPr>
                <w:sz w:val="20"/>
                <w:szCs w:val="20"/>
                <w:color w:val="auto"/>
              </w:rPr>
            </w:pPr>
            <w:r>
              <w:rPr>
                <w:rFonts w:ascii="Arial" w:cs="Arial" w:eastAsia="Arial" w:hAnsi="Arial"/>
                <w:sz w:val="18"/>
                <w:szCs w:val="18"/>
                <w:color w:val="auto"/>
              </w:rPr>
              <w:t>EUR 100</w:t>
            </w:r>
          </w:p>
        </w:tc>
        <w:tc>
          <w:tcPr>
            <w:tcW w:w="1000" w:type="dxa"/>
            <w:vAlign w:val="bottom"/>
          </w:tcPr>
          <w:p>
            <w:pPr>
              <w:jc w:val="right"/>
              <w:spacing w:after="0"/>
              <w:rPr>
                <w:sz w:val="20"/>
                <w:szCs w:val="20"/>
                <w:color w:val="auto"/>
              </w:rPr>
            </w:pPr>
            <w:r>
              <w:rPr>
                <w:rFonts w:ascii="Arial" w:cs="Arial" w:eastAsia="Arial" w:hAnsi="Arial"/>
                <w:sz w:val="18"/>
                <w:szCs w:val="18"/>
                <w:color w:val="auto"/>
              </w:rPr>
              <w:t>135</w:t>
            </w:r>
          </w:p>
        </w:tc>
      </w:tr>
      <w:tr>
        <w:trPr>
          <w:trHeight w:val="256"/>
        </w:trPr>
        <w:tc>
          <w:tcPr>
            <w:tcW w:w="2660" w:type="dxa"/>
            <w:vAlign w:val="bottom"/>
          </w:tcPr>
          <w:p>
            <w:pPr>
              <w:spacing w:after="0"/>
              <w:rPr>
                <w:sz w:val="22"/>
                <w:szCs w:val="22"/>
                <w:color w:val="auto"/>
              </w:rPr>
            </w:pPr>
          </w:p>
        </w:tc>
        <w:tc>
          <w:tcPr>
            <w:tcW w:w="2260" w:type="dxa"/>
            <w:vAlign w:val="bottom"/>
          </w:tcPr>
          <w:p>
            <w:pPr>
              <w:ind w:left="360"/>
              <w:spacing w:after="0"/>
              <w:rPr>
                <w:sz w:val="20"/>
                <w:szCs w:val="20"/>
                <w:color w:val="auto"/>
              </w:rPr>
            </w:pPr>
            <w:r>
              <w:rPr>
                <w:rFonts w:ascii="Arial" w:cs="Arial" w:eastAsia="Arial" w:hAnsi="Arial"/>
                <w:sz w:val="18"/>
                <w:szCs w:val="18"/>
                <w:color w:val="auto"/>
              </w:rPr>
              <w:t>Contact Point Internet</w:t>
            </w:r>
          </w:p>
        </w:tc>
        <w:tc>
          <w:tcPr>
            <w:tcW w:w="1180" w:type="dxa"/>
            <w:vAlign w:val="bottom"/>
          </w:tcPr>
          <w:p>
            <w:pPr>
              <w:spacing w:after="0"/>
              <w:rPr>
                <w:sz w:val="22"/>
                <w:szCs w:val="22"/>
                <w:color w:val="auto"/>
              </w:rPr>
            </w:pPr>
          </w:p>
        </w:tc>
        <w:tc>
          <w:tcPr>
            <w:tcW w:w="2340" w:type="dxa"/>
            <w:vAlign w:val="bottom"/>
          </w:tcPr>
          <w:p>
            <w:pPr>
              <w:spacing w:after="0"/>
              <w:rPr>
                <w:sz w:val="22"/>
                <w:szCs w:val="22"/>
                <w:color w:val="auto"/>
              </w:rPr>
            </w:pPr>
          </w:p>
        </w:tc>
        <w:tc>
          <w:tcPr>
            <w:tcW w:w="1900" w:type="dxa"/>
            <w:vAlign w:val="bottom"/>
          </w:tcPr>
          <w:p>
            <w:pPr>
              <w:spacing w:after="0"/>
              <w:rPr>
                <w:sz w:val="22"/>
                <w:szCs w:val="22"/>
                <w:color w:val="auto"/>
              </w:rPr>
            </w:pPr>
          </w:p>
        </w:tc>
        <w:tc>
          <w:tcPr>
            <w:tcW w:w="1000" w:type="dxa"/>
            <w:vAlign w:val="bottom"/>
          </w:tcPr>
          <w:p>
            <w:pPr>
              <w:spacing w:after="0"/>
              <w:rPr>
                <w:sz w:val="22"/>
                <w:szCs w:val="22"/>
                <w:color w:val="auto"/>
              </w:rPr>
            </w:pPr>
          </w:p>
        </w:tc>
      </w:tr>
      <w:tr>
        <w:trPr>
          <w:trHeight w:val="230"/>
        </w:trPr>
        <w:tc>
          <w:tcPr>
            <w:tcW w:w="2660" w:type="dxa"/>
            <w:vAlign w:val="bottom"/>
          </w:tcPr>
          <w:p>
            <w:pPr>
              <w:spacing w:after="0"/>
              <w:rPr>
                <w:sz w:val="20"/>
                <w:szCs w:val="20"/>
                <w:color w:val="auto"/>
              </w:rPr>
            </w:pPr>
            <w:r>
              <w:rPr>
                <w:rFonts w:ascii="Arial" w:cs="Arial" w:eastAsia="Arial" w:hAnsi="Arial"/>
                <w:sz w:val="18"/>
                <w:szCs w:val="18"/>
                <w:color w:val="auto"/>
              </w:rPr>
              <w:t>Ria Deutschland GmbH</w:t>
            </w:r>
          </w:p>
        </w:tc>
        <w:tc>
          <w:tcPr>
            <w:tcW w:w="2260" w:type="dxa"/>
            <w:vAlign w:val="bottom"/>
          </w:tcPr>
          <w:p>
            <w:pPr>
              <w:ind w:left="360"/>
              <w:spacing w:after="0"/>
              <w:rPr>
                <w:sz w:val="20"/>
                <w:szCs w:val="20"/>
                <w:color w:val="auto"/>
              </w:rPr>
            </w:pPr>
            <w:r>
              <w:rPr>
                <w:rFonts w:ascii="Arial" w:cs="Arial" w:eastAsia="Arial" w:hAnsi="Arial"/>
                <w:sz w:val="18"/>
                <w:szCs w:val="18"/>
                <w:color w:val="auto"/>
              </w:rPr>
              <w:t>Cafe</w:t>
            </w:r>
          </w:p>
        </w:tc>
        <w:tc>
          <w:tcPr>
            <w:tcW w:w="1180" w:type="dxa"/>
            <w:vAlign w:val="bottom"/>
          </w:tcPr>
          <w:p>
            <w:pPr>
              <w:ind w:left="20"/>
              <w:spacing w:after="0"/>
              <w:rPr>
                <w:sz w:val="20"/>
                <w:szCs w:val="20"/>
                <w:color w:val="auto"/>
              </w:rPr>
            </w:pPr>
            <w:r>
              <w:rPr>
                <w:rFonts w:ascii="Arial" w:cs="Arial" w:eastAsia="Arial" w:hAnsi="Arial"/>
                <w:sz w:val="18"/>
                <w:szCs w:val="18"/>
                <w:color w:val="auto"/>
              </w:rPr>
              <w:t>Other</w:t>
            </w:r>
          </w:p>
        </w:tc>
        <w:tc>
          <w:tcPr>
            <w:tcW w:w="2340" w:type="dxa"/>
            <w:vAlign w:val="bottom"/>
          </w:tcPr>
          <w:p>
            <w:pPr>
              <w:ind w:left="760"/>
              <w:spacing w:after="0"/>
              <w:rPr>
                <w:sz w:val="20"/>
                <w:szCs w:val="20"/>
                <w:color w:val="auto"/>
              </w:rPr>
            </w:pPr>
            <w:r>
              <w:rPr>
                <w:rFonts w:ascii="Arial" w:cs="Arial" w:eastAsia="Arial" w:hAnsi="Arial"/>
                <w:sz w:val="18"/>
                <w:szCs w:val="18"/>
                <w:color w:val="auto"/>
              </w:rPr>
              <w:t>Cash Collateral</w:t>
            </w:r>
          </w:p>
        </w:tc>
        <w:tc>
          <w:tcPr>
            <w:tcW w:w="1900" w:type="dxa"/>
            <w:vAlign w:val="bottom"/>
          </w:tcPr>
          <w:p>
            <w:pPr>
              <w:jc w:val="right"/>
              <w:ind w:right="410"/>
              <w:spacing w:after="0"/>
              <w:rPr>
                <w:sz w:val="20"/>
                <w:szCs w:val="20"/>
                <w:color w:val="auto"/>
              </w:rPr>
            </w:pPr>
            <w:r>
              <w:rPr>
                <w:rFonts w:ascii="Arial" w:cs="Arial" w:eastAsia="Arial" w:hAnsi="Arial"/>
                <w:sz w:val="18"/>
                <w:szCs w:val="18"/>
                <w:color w:val="auto"/>
              </w:rPr>
              <w:t>EUR 800</w:t>
            </w:r>
          </w:p>
        </w:tc>
        <w:tc>
          <w:tcPr>
            <w:tcW w:w="1000" w:type="dxa"/>
            <w:vAlign w:val="bottom"/>
          </w:tcPr>
          <w:p>
            <w:pPr>
              <w:jc w:val="right"/>
              <w:spacing w:after="0"/>
              <w:rPr>
                <w:sz w:val="20"/>
                <w:szCs w:val="20"/>
                <w:color w:val="auto"/>
              </w:rPr>
            </w:pPr>
            <w:r>
              <w:rPr>
                <w:rFonts w:ascii="Arial" w:cs="Arial" w:eastAsia="Arial" w:hAnsi="Arial"/>
                <w:sz w:val="18"/>
                <w:szCs w:val="18"/>
                <w:color w:val="auto"/>
              </w:rPr>
              <w:t>1,081</w:t>
            </w:r>
          </w:p>
        </w:tc>
      </w:tr>
      <w:tr>
        <w:trPr>
          <w:trHeight w:val="256"/>
        </w:trPr>
        <w:tc>
          <w:tcPr>
            <w:tcW w:w="2660" w:type="dxa"/>
            <w:vAlign w:val="bottom"/>
          </w:tcPr>
          <w:p>
            <w:pPr>
              <w:spacing w:after="0"/>
              <w:rPr>
                <w:sz w:val="22"/>
                <w:szCs w:val="22"/>
                <w:color w:val="auto"/>
              </w:rPr>
            </w:pPr>
          </w:p>
        </w:tc>
        <w:tc>
          <w:tcPr>
            <w:tcW w:w="2260" w:type="dxa"/>
            <w:vAlign w:val="bottom"/>
          </w:tcPr>
          <w:p>
            <w:pPr>
              <w:ind w:left="360"/>
              <w:spacing w:after="0"/>
              <w:rPr>
                <w:sz w:val="20"/>
                <w:szCs w:val="20"/>
                <w:color w:val="auto"/>
              </w:rPr>
            </w:pPr>
            <w:r>
              <w:rPr>
                <w:rFonts w:ascii="Arial" w:cs="Arial" w:eastAsia="Arial" w:hAnsi="Arial"/>
                <w:sz w:val="18"/>
                <w:szCs w:val="18"/>
                <w:color w:val="auto"/>
              </w:rPr>
              <w:t>Neues Kreuzberger</w:t>
            </w:r>
          </w:p>
        </w:tc>
        <w:tc>
          <w:tcPr>
            <w:tcW w:w="1180" w:type="dxa"/>
            <w:vAlign w:val="bottom"/>
          </w:tcPr>
          <w:p>
            <w:pPr>
              <w:spacing w:after="0"/>
              <w:rPr>
                <w:sz w:val="22"/>
                <w:szCs w:val="22"/>
                <w:color w:val="auto"/>
              </w:rPr>
            </w:pPr>
          </w:p>
        </w:tc>
        <w:tc>
          <w:tcPr>
            <w:tcW w:w="2340" w:type="dxa"/>
            <w:vAlign w:val="bottom"/>
          </w:tcPr>
          <w:p>
            <w:pPr>
              <w:spacing w:after="0"/>
              <w:rPr>
                <w:sz w:val="22"/>
                <w:szCs w:val="22"/>
                <w:color w:val="auto"/>
              </w:rPr>
            </w:pPr>
          </w:p>
        </w:tc>
        <w:tc>
          <w:tcPr>
            <w:tcW w:w="1900" w:type="dxa"/>
            <w:vAlign w:val="bottom"/>
          </w:tcPr>
          <w:p>
            <w:pPr>
              <w:spacing w:after="0"/>
              <w:rPr>
                <w:sz w:val="22"/>
                <w:szCs w:val="22"/>
                <w:color w:val="auto"/>
              </w:rPr>
            </w:pPr>
          </w:p>
        </w:tc>
        <w:tc>
          <w:tcPr>
            <w:tcW w:w="1000" w:type="dxa"/>
            <w:vAlign w:val="bottom"/>
          </w:tcPr>
          <w:p>
            <w:pPr>
              <w:spacing w:after="0"/>
              <w:rPr>
                <w:sz w:val="22"/>
                <w:szCs w:val="22"/>
                <w:color w:val="auto"/>
              </w:rPr>
            </w:pPr>
          </w:p>
        </w:tc>
      </w:tr>
      <w:tr>
        <w:trPr>
          <w:trHeight w:val="216"/>
        </w:trPr>
        <w:tc>
          <w:tcPr>
            <w:tcW w:w="2660" w:type="dxa"/>
            <w:vAlign w:val="bottom"/>
          </w:tcPr>
          <w:p>
            <w:pPr>
              <w:spacing w:after="0"/>
              <w:rPr>
                <w:sz w:val="18"/>
                <w:szCs w:val="18"/>
                <w:color w:val="auto"/>
              </w:rPr>
            </w:pPr>
          </w:p>
        </w:tc>
        <w:tc>
          <w:tcPr>
            <w:tcW w:w="2260" w:type="dxa"/>
            <w:vAlign w:val="bottom"/>
          </w:tcPr>
          <w:p>
            <w:pPr>
              <w:ind w:left="360"/>
              <w:spacing w:after="0"/>
              <w:rPr>
                <w:sz w:val="20"/>
                <w:szCs w:val="20"/>
                <w:color w:val="auto"/>
              </w:rPr>
            </w:pPr>
            <w:r>
              <w:rPr>
                <w:rFonts w:ascii="Arial" w:cs="Arial" w:eastAsia="Arial" w:hAnsi="Arial"/>
                <w:sz w:val="18"/>
                <w:szCs w:val="18"/>
                <w:color w:val="auto"/>
              </w:rPr>
              <w:t>Zentrum KG (Kremer</w:t>
            </w:r>
          </w:p>
        </w:tc>
        <w:tc>
          <w:tcPr>
            <w:tcW w:w="118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216"/>
        </w:trPr>
        <w:tc>
          <w:tcPr>
            <w:tcW w:w="2660" w:type="dxa"/>
            <w:vAlign w:val="bottom"/>
          </w:tcPr>
          <w:p>
            <w:pPr>
              <w:spacing w:after="0"/>
              <w:rPr>
                <w:sz w:val="18"/>
                <w:szCs w:val="18"/>
                <w:color w:val="auto"/>
              </w:rPr>
            </w:pPr>
          </w:p>
        </w:tc>
        <w:tc>
          <w:tcPr>
            <w:tcW w:w="2260" w:type="dxa"/>
            <w:vAlign w:val="bottom"/>
          </w:tcPr>
          <w:p>
            <w:pPr>
              <w:ind w:left="360"/>
              <w:spacing w:after="0"/>
              <w:rPr>
                <w:sz w:val="20"/>
                <w:szCs w:val="20"/>
                <w:color w:val="auto"/>
              </w:rPr>
            </w:pPr>
            <w:r>
              <w:rPr>
                <w:rFonts w:ascii="Arial" w:cs="Arial" w:eastAsia="Arial" w:hAnsi="Arial"/>
                <w:sz w:val="18"/>
                <w:szCs w:val="18"/>
                <w:color w:val="auto"/>
              </w:rPr>
              <w:t>Hausverwaltungen</w:t>
            </w:r>
          </w:p>
        </w:tc>
        <w:tc>
          <w:tcPr>
            <w:tcW w:w="118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230"/>
        </w:trPr>
        <w:tc>
          <w:tcPr>
            <w:tcW w:w="2660" w:type="dxa"/>
            <w:vAlign w:val="bottom"/>
          </w:tcPr>
          <w:p>
            <w:pPr>
              <w:spacing w:after="0"/>
              <w:rPr>
                <w:sz w:val="20"/>
                <w:szCs w:val="20"/>
                <w:color w:val="auto"/>
              </w:rPr>
            </w:pPr>
            <w:r>
              <w:rPr>
                <w:rFonts w:ascii="Arial" w:cs="Arial" w:eastAsia="Arial" w:hAnsi="Arial"/>
                <w:sz w:val="18"/>
                <w:szCs w:val="18"/>
                <w:color w:val="auto"/>
              </w:rPr>
              <w:t>Ria Deutschland GmbH</w:t>
            </w:r>
          </w:p>
        </w:tc>
        <w:tc>
          <w:tcPr>
            <w:tcW w:w="2260" w:type="dxa"/>
            <w:vAlign w:val="bottom"/>
          </w:tcPr>
          <w:p>
            <w:pPr>
              <w:ind w:left="360"/>
              <w:spacing w:after="0"/>
              <w:rPr>
                <w:sz w:val="20"/>
                <w:szCs w:val="20"/>
                <w:color w:val="auto"/>
              </w:rPr>
            </w:pPr>
            <w:r>
              <w:rPr>
                <w:rFonts w:ascii="Arial" w:cs="Arial" w:eastAsia="Arial" w:hAnsi="Arial"/>
                <w:sz w:val="18"/>
                <w:szCs w:val="18"/>
                <w:color w:val="auto"/>
              </w:rPr>
              <w:t>GmbH)</w:t>
            </w:r>
          </w:p>
        </w:tc>
        <w:tc>
          <w:tcPr>
            <w:tcW w:w="1180" w:type="dxa"/>
            <w:vAlign w:val="bottom"/>
          </w:tcPr>
          <w:p>
            <w:pPr>
              <w:ind w:left="20"/>
              <w:spacing w:after="0"/>
              <w:rPr>
                <w:sz w:val="20"/>
                <w:szCs w:val="20"/>
                <w:color w:val="auto"/>
              </w:rPr>
            </w:pPr>
            <w:r>
              <w:rPr>
                <w:rFonts w:ascii="Arial" w:cs="Arial" w:eastAsia="Arial" w:hAnsi="Arial"/>
                <w:sz w:val="18"/>
                <w:szCs w:val="18"/>
                <w:color w:val="auto"/>
              </w:rPr>
              <w:t>Other</w:t>
            </w:r>
          </w:p>
        </w:tc>
        <w:tc>
          <w:tcPr>
            <w:tcW w:w="2340" w:type="dxa"/>
            <w:vAlign w:val="bottom"/>
          </w:tcPr>
          <w:p>
            <w:pPr>
              <w:ind w:left="760"/>
              <w:spacing w:after="0"/>
              <w:rPr>
                <w:sz w:val="20"/>
                <w:szCs w:val="20"/>
                <w:color w:val="auto"/>
              </w:rPr>
            </w:pPr>
            <w:r>
              <w:rPr>
                <w:rFonts w:ascii="Arial" w:cs="Arial" w:eastAsia="Arial" w:hAnsi="Arial"/>
                <w:sz w:val="18"/>
                <w:szCs w:val="18"/>
                <w:color w:val="auto"/>
              </w:rPr>
              <w:t>Cash Collateral</w:t>
            </w:r>
          </w:p>
        </w:tc>
        <w:tc>
          <w:tcPr>
            <w:tcW w:w="1900" w:type="dxa"/>
            <w:vAlign w:val="bottom"/>
          </w:tcPr>
          <w:p>
            <w:pPr>
              <w:jc w:val="right"/>
              <w:ind w:right="410"/>
              <w:spacing w:after="0"/>
              <w:rPr>
                <w:sz w:val="20"/>
                <w:szCs w:val="20"/>
                <w:color w:val="auto"/>
              </w:rPr>
            </w:pPr>
            <w:r>
              <w:rPr>
                <w:rFonts w:ascii="Arial" w:cs="Arial" w:eastAsia="Arial" w:hAnsi="Arial"/>
                <w:sz w:val="18"/>
                <w:szCs w:val="18"/>
                <w:color w:val="auto"/>
              </w:rPr>
              <w:t>EUR 4,680</w:t>
            </w:r>
          </w:p>
        </w:tc>
        <w:tc>
          <w:tcPr>
            <w:tcW w:w="1000" w:type="dxa"/>
            <w:vAlign w:val="bottom"/>
          </w:tcPr>
          <w:p>
            <w:pPr>
              <w:jc w:val="right"/>
              <w:spacing w:after="0"/>
              <w:rPr>
                <w:sz w:val="20"/>
                <w:szCs w:val="20"/>
                <w:color w:val="auto"/>
              </w:rPr>
            </w:pPr>
            <w:r>
              <w:rPr>
                <w:rFonts w:ascii="Arial" w:cs="Arial" w:eastAsia="Arial" w:hAnsi="Arial"/>
                <w:sz w:val="18"/>
                <w:szCs w:val="18"/>
                <w:color w:val="auto"/>
              </w:rPr>
              <w:t>6,325</w:t>
            </w:r>
          </w:p>
        </w:tc>
      </w:tr>
    </w:tbl>
    <w:p>
      <w:pPr>
        <w:sectPr>
          <w:pgSz w:w="11900" w:h="16838" w:orient="portrait"/>
          <w:cols w:equalWidth="0" w:num="1">
            <w:col w:w="11340"/>
          </w:cols>
          <w:pgMar w:left="280" w:top="531" w:right="279" w:bottom="1440" w:gutter="0" w:footer="0" w:header="0"/>
        </w:sectPr>
      </w:pPr>
    </w:p>
    <w:bookmarkStart w:id="273" w:name="page274"/>
    <w:bookmarkEnd w:id="27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1580" w:type="dxa"/>
            <w:vAlign w:val="bottom"/>
          </w:tcPr>
          <w:p>
            <w:pPr>
              <w:ind w:left="180"/>
              <w:spacing w:after="0"/>
              <w:rPr>
                <w:sz w:val="20"/>
                <w:szCs w:val="20"/>
                <w:color w:val="auto"/>
              </w:rPr>
            </w:pPr>
            <w:r>
              <w:rPr>
                <w:rFonts w:ascii="Arial" w:cs="Arial" w:eastAsia="Arial" w:hAnsi="Arial"/>
                <w:sz w:val="18"/>
                <w:szCs w:val="18"/>
                <w:color w:val="auto"/>
              </w:rPr>
              <w:t>SelfStorage-Dein</w:t>
            </w:r>
          </w:p>
        </w:tc>
        <w:tc>
          <w:tcPr>
            <w:tcW w:w="160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040" w:type="dxa"/>
            <w:vAlign w:val="bottom"/>
            <w:gridSpan w:val="3"/>
          </w:tcPr>
          <w:p>
            <w:pPr>
              <w:ind w:left="20"/>
              <w:spacing w:after="0"/>
              <w:rPr>
                <w:sz w:val="20"/>
                <w:szCs w:val="20"/>
                <w:color w:val="auto"/>
              </w:rPr>
            </w:pPr>
            <w:r>
              <w:rPr>
                <w:rFonts w:ascii="Arial" w:cs="Arial" w:eastAsia="Arial" w:hAnsi="Arial"/>
                <w:sz w:val="18"/>
                <w:szCs w:val="18"/>
                <w:color w:val="auto"/>
              </w:rPr>
              <w:t>Ria Deutschland GmbH</w:t>
            </w:r>
          </w:p>
        </w:tc>
        <w:tc>
          <w:tcPr>
            <w:tcW w:w="1580" w:type="dxa"/>
            <w:vAlign w:val="bottom"/>
          </w:tcPr>
          <w:p>
            <w:pPr>
              <w:ind w:left="180"/>
              <w:spacing w:after="0"/>
              <w:rPr>
                <w:sz w:val="20"/>
                <w:szCs w:val="20"/>
                <w:color w:val="auto"/>
              </w:rPr>
            </w:pPr>
            <w:r>
              <w:rPr>
                <w:rFonts w:ascii="Arial" w:cs="Arial" w:eastAsia="Arial" w:hAnsi="Arial"/>
                <w:sz w:val="18"/>
                <w:szCs w:val="18"/>
                <w:color w:val="auto"/>
                <w:w w:val="95"/>
              </w:rPr>
              <w:t>Lagerraum GmbH</w:t>
            </w:r>
          </w:p>
        </w:tc>
        <w:tc>
          <w:tcPr>
            <w:tcW w:w="1600" w:type="dxa"/>
            <w:vAlign w:val="bottom"/>
          </w:tcPr>
          <w:p>
            <w:pPr>
              <w:ind w:left="80"/>
              <w:spacing w:after="0"/>
              <w:rPr>
                <w:sz w:val="20"/>
                <w:szCs w:val="20"/>
                <w:color w:val="auto"/>
              </w:rPr>
            </w:pPr>
            <w:r>
              <w:rPr>
                <w:rFonts w:ascii="Arial" w:cs="Arial" w:eastAsia="Arial" w:hAnsi="Arial"/>
                <w:sz w:val="18"/>
                <w:szCs w:val="18"/>
                <w:color w:val="auto"/>
              </w:rPr>
              <w:t>Other</w:t>
            </w:r>
          </w:p>
        </w:tc>
        <w:tc>
          <w:tcPr>
            <w:tcW w:w="1980" w:type="dxa"/>
            <w:vAlign w:val="bottom"/>
          </w:tcPr>
          <w:p>
            <w:pPr>
              <w:ind w:left="520"/>
              <w:spacing w:after="0"/>
              <w:rPr>
                <w:sz w:val="20"/>
                <w:szCs w:val="20"/>
                <w:color w:val="auto"/>
              </w:rPr>
            </w:pPr>
            <w:r>
              <w:rPr>
                <w:rFonts w:ascii="Arial" w:cs="Arial" w:eastAsia="Arial" w:hAnsi="Arial"/>
                <w:sz w:val="18"/>
                <w:szCs w:val="18"/>
                <w:color w:val="auto"/>
              </w:rPr>
              <w:t>Cash Collateral</w:t>
            </w:r>
          </w:p>
        </w:tc>
        <w:tc>
          <w:tcPr>
            <w:tcW w:w="1700" w:type="dxa"/>
            <w:vAlign w:val="bottom"/>
          </w:tcPr>
          <w:p>
            <w:pPr>
              <w:jc w:val="right"/>
              <w:spacing w:after="0"/>
              <w:rPr>
                <w:sz w:val="20"/>
                <w:szCs w:val="20"/>
                <w:color w:val="auto"/>
              </w:rPr>
            </w:pPr>
            <w:r>
              <w:rPr>
                <w:rFonts w:ascii="Arial" w:cs="Arial" w:eastAsia="Arial" w:hAnsi="Arial"/>
                <w:sz w:val="18"/>
                <w:szCs w:val="18"/>
                <w:color w:val="auto"/>
              </w:rPr>
              <w:t>EUR 178</w:t>
            </w:r>
          </w:p>
        </w:tc>
        <w:tc>
          <w:tcPr>
            <w:tcW w:w="1500" w:type="dxa"/>
            <w:vAlign w:val="bottom"/>
          </w:tcPr>
          <w:p>
            <w:pPr>
              <w:jc w:val="right"/>
              <w:spacing w:after="0"/>
              <w:rPr>
                <w:sz w:val="20"/>
                <w:szCs w:val="20"/>
                <w:color w:val="auto"/>
              </w:rPr>
            </w:pPr>
            <w:r>
              <w:rPr>
                <w:rFonts w:ascii="Arial" w:cs="Arial" w:eastAsia="Arial" w:hAnsi="Arial"/>
                <w:sz w:val="18"/>
                <w:szCs w:val="18"/>
                <w:color w:val="auto"/>
              </w:rPr>
              <w:t>241</w:t>
            </w: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880" w:type="dxa"/>
            <w:vAlign w:val="bottom"/>
          </w:tcPr>
          <w:p>
            <w:pPr>
              <w:spacing w:after="0"/>
              <w:rPr>
                <w:sz w:val="22"/>
                <w:szCs w:val="22"/>
                <w:color w:val="auto"/>
              </w:rPr>
            </w:pPr>
          </w:p>
        </w:tc>
        <w:tc>
          <w:tcPr>
            <w:tcW w:w="1580" w:type="dxa"/>
            <w:vAlign w:val="bottom"/>
          </w:tcPr>
          <w:p>
            <w:pPr>
              <w:ind w:left="180"/>
              <w:spacing w:after="0"/>
              <w:rPr>
                <w:sz w:val="20"/>
                <w:szCs w:val="20"/>
                <w:color w:val="auto"/>
              </w:rPr>
            </w:pPr>
            <w:r>
              <w:rPr>
                <w:rFonts w:ascii="Arial" w:cs="Arial" w:eastAsia="Arial" w:hAnsi="Arial"/>
                <w:sz w:val="18"/>
                <w:szCs w:val="18"/>
                <w:color w:val="auto"/>
              </w:rPr>
              <w:t>SelfStorage-Dein</w:t>
            </w:r>
          </w:p>
        </w:tc>
        <w:tc>
          <w:tcPr>
            <w:tcW w:w="1600" w:type="dxa"/>
            <w:vAlign w:val="bottom"/>
          </w:tcPr>
          <w:p>
            <w:pPr>
              <w:spacing w:after="0"/>
              <w:rPr>
                <w:sz w:val="22"/>
                <w:szCs w:val="22"/>
                <w:color w:val="auto"/>
              </w:rPr>
            </w:pPr>
          </w:p>
        </w:tc>
        <w:tc>
          <w:tcPr>
            <w:tcW w:w="1980" w:type="dxa"/>
            <w:vAlign w:val="bottom"/>
          </w:tcPr>
          <w:p>
            <w:pPr>
              <w:spacing w:after="0"/>
              <w:rPr>
                <w:sz w:val="22"/>
                <w:szCs w:val="22"/>
                <w:color w:val="auto"/>
              </w:rPr>
            </w:pPr>
          </w:p>
        </w:tc>
        <w:tc>
          <w:tcPr>
            <w:tcW w:w="1700" w:type="dxa"/>
            <w:vAlign w:val="bottom"/>
          </w:tcPr>
          <w:p>
            <w:pPr>
              <w:spacing w:after="0"/>
              <w:rPr>
                <w:sz w:val="22"/>
                <w:szCs w:val="22"/>
                <w:color w:val="auto"/>
              </w:rPr>
            </w:pPr>
          </w:p>
        </w:tc>
        <w:tc>
          <w:tcPr>
            <w:tcW w:w="15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3040" w:type="dxa"/>
            <w:vAlign w:val="bottom"/>
            <w:gridSpan w:val="3"/>
          </w:tcPr>
          <w:p>
            <w:pPr>
              <w:ind w:left="20"/>
              <w:spacing w:after="0"/>
              <w:rPr>
                <w:sz w:val="20"/>
                <w:szCs w:val="20"/>
                <w:color w:val="auto"/>
              </w:rPr>
            </w:pPr>
            <w:r>
              <w:rPr>
                <w:rFonts w:ascii="Arial" w:cs="Arial" w:eastAsia="Arial" w:hAnsi="Arial"/>
                <w:sz w:val="18"/>
                <w:szCs w:val="18"/>
                <w:color w:val="auto"/>
              </w:rPr>
              <w:t>Ria Deutschland GmbH</w:t>
            </w:r>
          </w:p>
        </w:tc>
        <w:tc>
          <w:tcPr>
            <w:tcW w:w="1580" w:type="dxa"/>
            <w:vAlign w:val="bottom"/>
          </w:tcPr>
          <w:p>
            <w:pPr>
              <w:ind w:left="180"/>
              <w:spacing w:after="0"/>
              <w:rPr>
                <w:sz w:val="20"/>
                <w:szCs w:val="20"/>
                <w:color w:val="auto"/>
              </w:rPr>
            </w:pPr>
            <w:r>
              <w:rPr>
                <w:rFonts w:ascii="Arial" w:cs="Arial" w:eastAsia="Arial" w:hAnsi="Arial"/>
                <w:sz w:val="18"/>
                <w:szCs w:val="18"/>
                <w:color w:val="auto"/>
                <w:w w:val="95"/>
              </w:rPr>
              <w:t>Lagerraum GmbH</w:t>
            </w:r>
          </w:p>
        </w:tc>
        <w:tc>
          <w:tcPr>
            <w:tcW w:w="1600" w:type="dxa"/>
            <w:vAlign w:val="bottom"/>
          </w:tcPr>
          <w:p>
            <w:pPr>
              <w:ind w:left="80"/>
              <w:spacing w:after="0"/>
              <w:rPr>
                <w:sz w:val="20"/>
                <w:szCs w:val="20"/>
                <w:color w:val="auto"/>
              </w:rPr>
            </w:pPr>
            <w:r>
              <w:rPr>
                <w:rFonts w:ascii="Arial" w:cs="Arial" w:eastAsia="Arial" w:hAnsi="Arial"/>
                <w:sz w:val="18"/>
                <w:szCs w:val="18"/>
                <w:color w:val="auto"/>
              </w:rPr>
              <w:t>Other</w:t>
            </w:r>
          </w:p>
        </w:tc>
        <w:tc>
          <w:tcPr>
            <w:tcW w:w="1980" w:type="dxa"/>
            <w:vAlign w:val="bottom"/>
          </w:tcPr>
          <w:p>
            <w:pPr>
              <w:ind w:left="520"/>
              <w:spacing w:after="0"/>
              <w:rPr>
                <w:sz w:val="20"/>
                <w:szCs w:val="20"/>
                <w:color w:val="auto"/>
              </w:rPr>
            </w:pPr>
            <w:r>
              <w:rPr>
                <w:rFonts w:ascii="Arial" w:cs="Arial" w:eastAsia="Arial" w:hAnsi="Arial"/>
                <w:sz w:val="18"/>
                <w:szCs w:val="18"/>
                <w:color w:val="auto"/>
              </w:rPr>
              <w:t>Cash Collateral</w:t>
            </w:r>
          </w:p>
        </w:tc>
        <w:tc>
          <w:tcPr>
            <w:tcW w:w="1700" w:type="dxa"/>
            <w:vAlign w:val="bottom"/>
          </w:tcPr>
          <w:p>
            <w:pPr>
              <w:jc w:val="right"/>
              <w:spacing w:after="0"/>
              <w:rPr>
                <w:sz w:val="20"/>
                <w:szCs w:val="20"/>
                <w:color w:val="auto"/>
              </w:rPr>
            </w:pPr>
            <w:r>
              <w:rPr>
                <w:rFonts w:ascii="Arial" w:cs="Arial" w:eastAsia="Arial" w:hAnsi="Arial"/>
                <w:sz w:val="18"/>
                <w:szCs w:val="18"/>
                <w:color w:val="auto"/>
              </w:rPr>
              <w:t>EUR 383</w:t>
            </w:r>
          </w:p>
        </w:tc>
        <w:tc>
          <w:tcPr>
            <w:tcW w:w="1500" w:type="dxa"/>
            <w:vAlign w:val="bottom"/>
          </w:tcPr>
          <w:p>
            <w:pPr>
              <w:jc w:val="right"/>
              <w:spacing w:after="0"/>
              <w:rPr>
                <w:sz w:val="20"/>
                <w:szCs w:val="20"/>
                <w:color w:val="auto"/>
              </w:rPr>
            </w:pPr>
            <w:r>
              <w:rPr>
                <w:rFonts w:ascii="Arial" w:cs="Arial" w:eastAsia="Arial" w:hAnsi="Arial"/>
                <w:sz w:val="18"/>
                <w:szCs w:val="18"/>
                <w:color w:val="auto"/>
              </w:rPr>
              <w:t>517</w:t>
            </w:r>
          </w:p>
        </w:tc>
        <w:tc>
          <w:tcPr>
            <w:tcW w:w="0" w:type="dxa"/>
            <w:vAlign w:val="bottom"/>
          </w:tcPr>
          <w:p>
            <w:pPr>
              <w:spacing w:after="0"/>
              <w:rPr>
                <w:sz w:val="1"/>
                <w:szCs w:val="1"/>
                <w:color w:val="auto"/>
              </w:rPr>
            </w:pPr>
          </w:p>
        </w:tc>
      </w:tr>
      <w:tr>
        <w:trPr>
          <w:trHeight w:val="27"/>
        </w:trPr>
        <w:tc>
          <w:tcPr>
            <w:tcW w:w="20" w:type="dxa"/>
            <w:vAlign w:val="bottom"/>
            <w:tcBorders>
              <w:bottom w:val="single" w:sz="8" w:color="C0C0C0"/>
            </w:tcBorders>
          </w:tcPr>
          <w:p>
            <w:pPr>
              <w:spacing w:after="0"/>
              <w:rPr>
                <w:sz w:val="2"/>
                <w:szCs w:val="2"/>
                <w:color w:val="auto"/>
              </w:rPr>
            </w:pPr>
          </w:p>
        </w:tc>
        <w:tc>
          <w:tcPr>
            <w:tcW w:w="1140" w:type="dxa"/>
            <w:vAlign w:val="bottom"/>
            <w:tcBorders>
              <w:bottom w:val="single" w:sz="8" w:color="C0C0C0"/>
            </w:tcBorders>
          </w:tcPr>
          <w:p>
            <w:pPr>
              <w:spacing w:after="0"/>
              <w:rPr>
                <w:sz w:val="2"/>
                <w:szCs w:val="2"/>
                <w:color w:val="auto"/>
              </w:rPr>
            </w:pPr>
          </w:p>
        </w:tc>
        <w:tc>
          <w:tcPr>
            <w:tcW w:w="1880" w:type="dxa"/>
            <w:vAlign w:val="bottom"/>
            <w:tcBorders>
              <w:bottom w:val="single" w:sz="8" w:color="C0C0C0"/>
            </w:tcBorders>
          </w:tcPr>
          <w:p>
            <w:pPr>
              <w:spacing w:after="0"/>
              <w:rPr>
                <w:sz w:val="2"/>
                <w:szCs w:val="2"/>
                <w:color w:val="auto"/>
              </w:rPr>
            </w:pPr>
          </w:p>
        </w:tc>
        <w:tc>
          <w:tcPr>
            <w:tcW w:w="1580" w:type="dxa"/>
            <w:vAlign w:val="bottom"/>
            <w:tcBorders>
              <w:bottom w:val="single" w:sz="8" w:color="C0C0C0"/>
            </w:tcBorders>
          </w:tcPr>
          <w:p>
            <w:pPr>
              <w:spacing w:after="0"/>
              <w:rPr>
                <w:sz w:val="2"/>
                <w:szCs w:val="2"/>
                <w:color w:val="auto"/>
              </w:rPr>
            </w:pPr>
          </w:p>
        </w:tc>
        <w:tc>
          <w:tcPr>
            <w:tcW w:w="1600" w:type="dxa"/>
            <w:vAlign w:val="bottom"/>
            <w:tcBorders>
              <w:bottom w:val="single" w:sz="8" w:color="C0C0C0"/>
            </w:tcBorders>
          </w:tcPr>
          <w:p>
            <w:pPr>
              <w:spacing w:after="0"/>
              <w:rPr>
                <w:sz w:val="2"/>
                <w:szCs w:val="2"/>
                <w:color w:val="auto"/>
              </w:rPr>
            </w:pPr>
          </w:p>
        </w:tc>
        <w:tc>
          <w:tcPr>
            <w:tcW w:w="1980" w:type="dxa"/>
            <w:vAlign w:val="bottom"/>
            <w:tcBorders>
              <w:bottom w:val="single" w:sz="8" w:color="C0C0C0"/>
            </w:tcBorders>
          </w:tcPr>
          <w:p>
            <w:pPr>
              <w:spacing w:after="0"/>
              <w:rPr>
                <w:sz w:val="2"/>
                <w:szCs w:val="2"/>
                <w:color w:val="auto"/>
              </w:rPr>
            </w:pPr>
          </w:p>
        </w:tc>
        <w:tc>
          <w:tcPr>
            <w:tcW w:w="1700" w:type="dxa"/>
            <w:vAlign w:val="bottom"/>
            <w:tcBorders>
              <w:bottom w:val="single" w:sz="8" w:color="C0C0C0"/>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3040" w:type="dxa"/>
            <w:vAlign w:val="bottom"/>
            <w:tcBorders>
              <w:bottom w:val="single" w:sz="8" w:color="C0C0C0"/>
            </w:tcBorders>
            <w:gridSpan w:val="3"/>
            <w:shd w:val="clear" w:color="auto" w:fill="C0C0C0"/>
          </w:tcPr>
          <w:p>
            <w:pPr>
              <w:ind w:left="20"/>
              <w:spacing w:after="0"/>
              <w:rPr>
                <w:sz w:val="20"/>
                <w:szCs w:val="20"/>
                <w:color w:val="auto"/>
              </w:rPr>
            </w:pPr>
            <w:r>
              <w:rPr>
                <w:rFonts w:ascii="Arial" w:cs="Arial" w:eastAsia="Arial" w:hAnsi="Arial"/>
                <w:sz w:val="18"/>
                <w:szCs w:val="18"/>
                <w:b w:val="1"/>
                <w:bCs w:val="1"/>
                <w:color w:val="auto"/>
              </w:rPr>
              <w:t>Total Other Cash Collateral</w:t>
            </w:r>
          </w:p>
        </w:tc>
        <w:tc>
          <w:tcPr>
            <w:tcW w:w="1580" w:type="dxa"/>
            <w:vAlign w:val="bottom"/>
            <w:tcBorders>
              <w:bottom w:val="single" w:sz="8" w:color="C0C0C0"/>
            </w:tcBorders>
            <w:shd w:val="clear" w:color="auto" w:fill="C0C0C0"/>
          </w:tcPr>
          <w:p>
            <w:pPr>
              <w:spacing w:after="0"/>
              <w:rPr>
                <w:sz w:val="22"/>
                <w:szCs w:val="22"/>
                <w:color w:val="auto"/>
              </w:rPr>
            </w:pPr>
          </w:p>
        </w:tc>
        <w:tc>
          <w:tcPr>
            <w:tcW w:w="1600" w:type="dxa"/>
            <w:vAlign w:val="bottom"/>
            <w:tcBorders>
              <w:bottom w:val="single" w:sz="8" w:color="C0C0C0"/>
            </w:tcBorders>
            <w:shd w:val="clear" w:color="auto" w:fill="C0C0C0"/>
          </w:tcPr>
          <w:p>
            <w:pPr>
              <w:spacing w:after="0"/>
              <w:rPr>
                <w:sz w:val="22"/>
                <w:szCs w:val="22"/>
                <w:color w:val="auto"/>
              </w:rPr>
            </w:pPr>
          </w:p>
        </w:tc>
        <w:tc>
          <w:tcPr>
            <w:tcW w:w="1980" w:type="dxa"/>
            <w:vAlign w:val="bottom"/>
            <w:tcBorders>
              <w:bottom w:val="single" w:sz="8" w:color="C0C0C0"/>
            </w:tcBorders>
            <w:shd w:val="clear" w:color="auto" w:fill="C0C0C0"/>
          </w:tcPr>
          <w:p>
            <w:pPr>
              <w:spacing w:after="0"/>
              <w:rPr>
                <w:sz w:val="22"/>
                <w:szCs w:val="22"/>
                <w:color w:val="auto"/>
              </w:rPr>
            </w:pPr>
          </w:p>
        </w:tc>
        <w:tc>
          <w:tcPr>
            <w:tcW w:w="1700" w:type="dxa"/>
            <w:vAlign w:val="bottom"/>
            <w:tcBorders>
              <w:bottom w:val="single" w:sz="8" w:color="C0C0C0"/>
            </w:tcBorders>
            <w:shd w:val="clear" w:color="auto" w:fill="C0C0C0"/>
          </w:tcPr>
          <w:p>
            <w:pPr>
              <w:spacing w:after="0"/>
              <w:rPr>
                <w:sz w:val="22"/>
                <w:szCs w:val="22"/>
                <w:color w:val="auto"/>
              </w:rPr>
            </w:pPr>
          </w:p>
        </w:tc>
        <w:tc>
          <w:tcPr>
            <w:tcW w:w="1500" w:type="dxa"/>
            <w:vAlign w:val="bottom"/>
            <w:tcBorders>
              <w:bottom w:val="single" w:sz="8" w:color="C0C0C0"/>
            </w:tcBorders>
            <w:shd w:val="clear" w:color="auto" w:fill="C0C0C0"/>
          </w:tcPr>
          <w:p>
            <w:pPr>
              <w:jc w:val="right"/>
              <w:spacing w:after="0"/>
              <w:rPr>
                <w:sz w:val="20"/>
                <w:szCs w:val="20"/>
                <w:color w:val="auto"/>
              </w:rPr>
            </w:pPr>
            <w:r>
              <w:rPr>
                <w:rFonts w:ascii="Arial" w:cs="Arial" w:eastAsia="Arial" w:hAnsi="Arial"/>
                <w:sz w:val="18"/>
                <w:szCs w:val="18"/>
                <w:b w:val="1"/>
                <w:bCs w:val="1"/>
                <w:color w:val="auto"/>
              </w:rPr>
              <w:t>$ 5,128,067</w:t>
            </w:r>
          </w:p>
        </w:tc>
        <w:tc>
          <w:tcPr>
            <w:tcW w:w="0" w:type="dxa"/>
            <w:vAlign w:val="bottom"/>
          </w:tcPr>
          <w:p>
            <w:pPr>
              <w:spacing w:after="0"/>
              <w:rPr>
                <w:sz w:val="1"/>
                <w:szCs w:val="1"/>
                <w:color w:val="auto"/>
              </w:rPr>
            </w:pPr>
          </w:p>
        </w:tc>
      </w:tr>
      <w:tr>
        <w:trPr>
          <w:trHeight w:val="696"/>
        </w:trPr>
        <w:tc>
          <w:tcPr>
            <w:tcW w:w="3040" w:type="dxa"/>
            <w:vAlign w:val="bottom"/>
            <w:gridSpan w:val="3"/>
          </w:tcPr>
          <w:p>
            <w:pPr>
              <w:ind w:left="20"/>
              <w:spacing w:after="0"/>
              <w:rPr>
                <w:sz w:val="20"/>
                <w:szCs w:val="20"/>
                <w:color w:val="auto"/>
              </w:rPr>
            </w:pPr>
            <w:r>
              <w:rPr>
                <w:rFonts w:ascii="Arial" w:cs="Arial" w:eastAsia="Arial" w:hAnsi="Arial"/>
                <w:sz w:val="18"/>
                <w:szCs w:val="18"/>
                <w:b w:val="1"/>
                <w:bCs w:val="1"/>
                <w:i w:val="1"/>
                <w:iCs w:val="1"/>
                <w:color w:val="auto"/>
              </w:rPr>
              <w:t>Capital Leases:</w:t>
            </w:r>
          </w:p>
        </w:tc>
        <w:tc>
          <w:tcPr>
            <w:tcW w:w="158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150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776"/>
        </w:trPr>
        <w:tc>
          <w:tcPr>
            <w:tcW w:w="20" w:type="dxa"/>
            <w:vAlign w:val="bottom"/>
          </w:tcPr>
          <w:p>
            <w:pPr>
              <w:spacing w:after="0"/>
              <w:rPr>
                <w:sz w:val="24"/>
                <w:szCs w:val="24"/>
                <w:color w:val="auto"/>
              </w:rPr>
            </w:pPr>
          </w:p>
        </w:tc>
        <w:tc>
          <w:tcPr>
            <w:tcW w:w="1140" w:type="dxa"/>
            <w:vAlign w:val="bottom"/>
            <w:tcBorders>
              <w:top w:val="single" w:sz="8" w:color="auto"/>
            </w:tcBorders>
          </w:tcPr>
          <w:p>
            <w:pPr>
              <w:spacing w:after="0"/>
              <w:rPr>
                <w:sz w:val="24"/>
                <w:szCs w:val="24"/>
                <w:color w:val="auto"/>
              </w:rPr>
            </w:pPr>
          </w:p>
        </w:tc>
        <w:tc>
          <w:tcPr>
            <w:tcW w:w="1880" w:type="dxa"/>
            <w:vAlign w:val="bottom"/>
          </w:tcPr>
          <w:p>
            <w:pPr>
              <w:spacing w:after="0"/>
              <w:rPr>
                <w:sz w:val="24"/>
                <w:szCs w:val="24"/>
                <w:color w:val="auto"/>
              </w:rPr>
            </w:pPr>
          </w:p>
        </w:tc>
        <w:tc>
          <w:tcPr>
            <w:tcW w:w="1580" w:type="dxa"/>
            <w:vAlign w:val="bottom"/>
          </w:tcPr>
          <w:p>
            <w:pPr>
              <w:ind w:left="180"/>
              <w:spacing w:after="0"/>
              <w:rPr>
                <w:sz w:val="20"/>
                <w:szCs w:val="20"/>
                <w:color w:val="auto"/>
              </w:rPr>
            </w:pPr>
            <w:r>
              <w:rPr>
                <w:rFonts w:ascii="Arial" w:cs="Arial" w:eastAsia="Arial" w:hAnsi="Arial"/>
                <w:sz w:val="18"/>
                <w:szCs w:val="18"/>
                <w:color w:val="auto"/>
              </w:rPr>
              <w:t>Ikon Financial</w:t>
            </w:r>
          </w:p>
        </w:tc>
        <w:tc>
          <w:tcPr>
            <w:tcW w:w="160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3040" w:type="dxa"/>
            <w:vAlign w:val="bottom"/>
            <w:gridSpan w:val="3"/>
          </w:tcPr>
          <w:p>
            <w:pPr>
              <w:ind w:left="20"/>
              <w:spacing w:after="0"/>
              <w:rPr>
                <w:sz w:val="20"/>
                <w:szCs w:val="20"/>
                <w:color w:val="auto"/>
              </w:rPr>
            </w:pPr>
            <w:r>
              <w:rPr>
                <w:rFonts w:ascii="Arial" w:cs="Arial" w:eastAsia="Arial" w:hAnsi="Arial"/>
                <w:sz w:val="18"/>
                <w:szCs w:val="18"/>
                <w:color w:val="auto"/>
              </w:rPr>
              <w:t>Euronet Worldwide, Inc.</w:t>
            </w:r>
          </w:p>
        </w:tc>
        <w:tc>
          <w:tcPr>
            <w:tcW w:w="1580" w:type="dxa"/>
            <w:vAlign w:val="bottom"/>
          </w:tcPr>
          <w:p>
            <w:pPr>
              <w:ind w:left="180"/>
              <w:spacing w:after="0"/>
              <w:rPr>
                <w:sz w:val="20"/>
                <w:szCs w:val="20"/>
                <w:color w:val="auto"/>
              </w:rPr>
            </w:pPr>
            <w:r>
              <w:rPr>
                <w:rFonts w:ascii="Arial" w:cs="Arial" w:eastAsia="Arial" w:hAnsi="Arial"/>
                <w:sz w:val="18"/>
                <w:szCs w:val="18"/>
                <w:color w:val="auto"/>
              </w:rPr>
              <w:t>Services</w:t>
            </w:r>
          </w:p>
        </w:tc>
        <w:tc>
          <w:tcPr>
            <w:tcW w:w="1600" w:type="dxa"/>
            <w:vAlign w:val="bottom"/>
          </w:tcPr>
          <w:p>
            <w:pPr>
              <w:ind w:left="80"/>
              <w:spacing w:after="0"/>
              <w:rPr>
                <w:sz w:val="20"/>
                <w:szCs w:val="20"/>
                <w:color w:val="auto"/>
              </w:rPr>
            </w:pPr>
            <w:r>
              <w:rPr>
                <w:rFonts w:ascii="Arial" w:cs="Arial" w:eastAsia="Arial" w:hAnsi="Arial"/>
                <w:sz w:val="18"/>
                <w:szCs w:val="18"/>
                <w:color w:val="auto"/>
              </w:rPr>
              <w:t>Capital Lease</w:t>
            </w:r>
          </w:p>
        </w:tc>
        <w:tc>
          <w:tcPr>
            <w:tcW w:w="1980" w:type="dxa"/>
            <w:vAlign w:val="bottom"/>
          </w:tcPr>
          <w:p>
            <w:pPr>
              <w:ind w:left="520"/>
              <w:spacing w:after="0"/>
              <w:rPr>
                <w:sz w:val="20"/>
                <w:szCs w:val="20"/>
                <w:color w:val="auto"/>
              </w:rPr>
            </w:pPr>
            <w:r>
              <w:rPr>
                <w:rFonts w:ascii="Arial" w:cs="Arial" w:eastAsia="Arial" w:hAnsi="Arial"/>
                <w:sz w:val="18"/>
                <w:szCs w:val="18"/>
                <w:color w:val="auto"/>
              </w:rPr>
              <w:t>Copier</w:t>
            </w:r>
          </w:p>
        </w:tc>
        <w:tc>
          <w:tcPr>
            <w:tcW w:w="1700" w:type="dxa"/>
            <w:vAlign w:val="bottom"/>
          </w:tcPr>
          <w:p>
            <w:pPr>
              <w:jc w:val="right"/>
              <w:spacing w:after="0"/>
              <w:rPr>
                <w:sz w:val="20"/>
                <w:szCs w:val="20"/>
                <w:color w:val="auto"/>
              </w:rPr>
            </w:pPr>
            <w:r>
              <w:rPr>
                <w:rFonts w:ascii="Arial" w:cs="Arial" w:eastAsia="Arial" w:hAnsi="Arial"/>
                <w:sz w:val="18"/>
                <w:szCs w:val="18"/>
                <w:color w:val="auto"/>
              </w:rPr>
              <w:t>USD 34,088</w:t>
            </w:r>
          </w:p>
        </w:tc>
        <w:tc>
          <w:tcPr>
            <w:tcW w:w="1500" w:type="dxa"/>
            <w:vAlign w:val="bottom"/>
          </w:tcPr>
          <w:p>
            <w:pPr>
              <w:jc w:val="right"/>
              <w:spacing w:after="0"/>
              <w:rPr>
                <w:sz w:val="20"/>
                <w:szCs w:val="20"/>
                <w:color w:val="auto"/>
              </w:rPr>
            </w:pPr>
            <w:r>
              <w:rPr>
                <w:rFonts w:ascii="Arial" w:cs="Arial" w:eastAsia="Arial" w:hAnsi="Arial"/>
                <w:sz w:val="18"/>
                <w:szCs w:val="18"/>
                <w:color w:val="auto"/>
              </w:rPr>
              <w:t>34,088</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88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980" w:type="dxa"/>
            <w:vAlign w:val="bottom"/>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040" w:type="dxa"/>
            <w:vAlign w:val="bottom"/>
            <w:gridSpan w:val="3"/>
          </w:tcPr>
          <w:p>
            <w:pPr>
              <w:ind w:left="20"/>
              <w:spacing w:after="0"/>
              <w:rPr>
                <w:sz w:val="20"/>
                <w:szCs w:val="20"/>
                <w:color w:val="auto"/>
              </w:rPr>
            </w:pPr>
            <w:r>
              <w:rPr>
                <w:rFonts w:ascii="Arial" w:cs="Arial" w:eastAsia="Arial" w:hAnsi="Arial"/>
                <w:sz w:val="18"/>
                <w:szCs w:val="18"/>
                <w:b w:val="1"/>
                <w:bCs w:val="1"/>
                <w:color w:val="auto"/>
              </w:rPr>
              <w:t>Euronet Worldwide, Inc. Total</w:t>
            </w:r>
          </w:p>
        </w:tc>
        <w:tc>
          <w:tcPr>
            <w:tcW w:w="158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1980" w:type="dxa"/>
            <w:vAlign w:val="bottom"/>
          </w:tcPr>
          <w:p>
            <w:pPr>
              <w:spacing w:after="0"/>
              <w:rPr>
                <w:sz w:val="20"/>
                <w:szCs w:val="20"/>
                <w:color w:val="auto"/>
              </w:rPr>
            </w:pPr>
          </w:p>
        </w:tc>
        <w:tc>
          <w:tcPr>
            <w:tcW w:w="1700" w:type="dxa"/>
            <w:vAlign w:val="bottom"/>
          </w:tcPr>
          <w:p>
            <w:pPr>
              <w:jc w:val="right"/>
              <w:spacing w:after="0"/>
              <w:rPr>
                <w:sz w:val="20"/>
                <w:szCs w:val="20"/>
                <w:color w:val="auto"/>
              </w:rPr>
            </w:pPr>
            <w:r>
              <w:rPr>
                <w:rFonts w:ascii="Arial" w:cs="Arial" w:eastAsia="Arial" w:hAnsi="Arial"/>
                <w:sz w:val="18"/>
                <w:szCs w:val="18"/>
                <w:b w:val="1"/>
                <w:bCs w:val="1"/>
                <w:color w:val="auto"/>
              </w:rPr>
              <w:t>USD 34,088</w:t>
            </w:r>
          </w:p>
        </w:tc>
        <w:tc>
          <w:tcPr>
            <w:tcW w:w="1500" w:type="dxa"/>
            <w:vAlign w:val="bottom"/>
          </w:tcPr>
          <w:p>
            <w:pPr>
              <w:jc w:val="right"/>
              <w:spacing w:after="0"/>
              <w:rPr>
                <w:sz w:val="20"/>
                <w:szCs w:val="20"/>
                <w:color w:val="auto"/>
              </w:rPr>
            </w:pPr>
            <w:r>
              <w:rPr>
                <w:rFonts w:ascii="Arial" w:cs="Arial" w:eastAsia="Arial" w:hAnsi="Arial"/>
                <w:sz w:val="18"/>
                <w:szCs w:val="18"/>
                <w:b w:val="1"/>
                <w:bCs w:val="1"/>
                <w:color w:val="auto"/>
              </w:rPr>
              <w:t>34,088</w:t>
            </w:r>
          </w:p>
        </w:tc>
        <w:tc>
          <w:tcPr>
            <w:tcW w:w="0" w:type="dxa"/>
            <w:vAlign w:val="bottom"/>
          </w:tcPr>
          <w:p>
            <w:pPr>
              <w:spacing w:after="0"/>
              <w:rPr>
                <w:sz w:val="1"/>
                <w:szCs w:val="1"/>
                <w:color w:val="auto"/>
              </w:rPr>
            </w:pPr>
          </w:p>
        </w:tc>
      </w:tr>
      <w:tr>
        <w:trPr>
          <w:trHeight w:val="755"/>
        </w:trPr>
        <w:tc>
          <w:tcPr>
            <w:tcW w:w="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1580" w:type="dxa"/>
            <w:vAlign w:val="bottom"/>
          </w:tcPr>
          <w:p>
            <w:pPr>
              <w:ind w:left="180"/>
              <w:spacing w:after="0"/>
              <w:rPr>
                <w:sz w:val="20"/>
                <w:szCs w:val="20"/>
                <w:color w:val="auto"/>
              </w:rPr>
            </w:pPr>
            <w:r>
              <w:rPr>
                <w:rFonts w:ascii="Arial" w:cs="Arial" w:eastAsia="Arial" w:hAnsi="Arial"/>
                <w:sz w:val="18"/>
                <w:szCs w:val="18"/>
                <w:color w:val="auto"/>
              </w:rPr>
              <w:t>Ikon Financial</w:t>
            </w:r>
          </w:p>
        </w:tc>
        <w:tc>
          <w:tcPr>
            <w:tcW w:w="160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3040" w:type="dxa"/>
            <w:vAlign w:val="bottom"/>
            <w:gridSpan w:val="3"/>
          </w:tcPr>
          <w:p>
            <w:pPr>
              <w:ind w:left="20"/>
              <w:spacing w:after="0"/>
              <w:rPr>
                <w:sz w:val="20"/>
                <w:szCs w:val="20"/>
                <w:color w:val="auto"/>
              </w:rPr>
            </w:pPr>
            <w:r>
              <w:rPr>
                <w:rFonts w:ascii="Arial" w:cs="Arial" w:eastAsia="Arial" w:hAnsi="Arial"/>
                <w:sz w:val="18"/>
                <w:szCs w:val="18"/>
                <w:color w:val="auto"/>
              </w:rPr>
              <w:t>Payspot, Inc.</w:t>
            </w:r>
          </w:p>
        </w:tc>
        <w:tc>
          <w:tcPr>
            <w:tcW w:w="1580" w:type="dxa"/>
            <w:vAlign w:val="bottom"/>
          </w:tcPr>
          <w:p>
            <w:pPr>
              <w:ind w:left="180"/>
              <w:spacing w:after="0"/>
              <w:rPr>
                <w:sz w:val="20"/>
                <w:szCs w:val="20"/>
                <w:color w:val="auto"/>
              </w:rPr>
            </w:pPr>
            <w:r>
              <w:rPr>
                <w:rFonts w:ascii="Arial" w:cs="Arial" w:eastAsia="Arial" w:hAnsi="Arial"/>
                <w:sz w:val="18"/>
                <w:szCs w:val="18"/>
                <w:color w:val="auto"/>
              </w:rPr>
              <w:t>Services</w:t>
            </w:r>
          </w:p>
        </w:tc>
        <w:tc>
          <w:tcPr>
            <w:tcW w:w="1600" w:type="dxa"/>
            <w:vAlign w:val="bottom"/>
          </w:tcPr>
          <w:p>
            <w:pPr>
              <w:ind w:left="80"/>
              <w:spacing w:after="0"/>
              <w:rPr>
                <w:sz w:val="20"/>
                <w:szCs w:val="20"/>
                <w:color w:val="auto"/>
              </w:rPr>
            </w:pPr>
            <w:r>
              <w:rPr>
                <w:rFonts w:ascii="Arial" w:cs="Arial" w:eastAsia="Arial" w:hAnsi="Arial"/>
                <w:sz w:val="18"/>
                <w:szCs w:val="18"/>
                <w:color w:val="auto"/>
              </w:rPr>
              <w:t>Capital Lease</w:t>
            </w:r>
          </w:p>
        </w:tc>
        <w:tc>
          <w:tcPr>
            <w:tcW w:w="1980" w:type="dxa"/>
            <w:vAlign w:val="bottom"/>
          </w:tcPr>
          <w:p>
            <w:pPr>
              <w:ind w:left="520"/>
              <w:spacing w:after="0"/>
              <w:rPr>
                <w:sz w:val="20"/>
                <w:szCs w:val="20"/>
                <w:color w:val="auto"/>
              </w:rPr>
            </w:pPr>
            <w:r>
              <w:rPr>
                <w:rFonts w:ascii="Arial" w:cs="Arial" w:eastAsia="Arial" w:hAnsi="Arial"/>
                <w:sz w:val="18"/>
                <w:szCs w:val="18"/>
                <w:color w:val="auto"/>
              </w:rPr>
              <w:t>Copier</w:t>
            </w:r>
          </w:p>
        </w:tc>
        <w:tc>
          <w:tcPr>
            <w:tcW w:w="1700" w:type="dxa"/>
            <w:vAlign w:val="bottom"/>
          </w:tcPr>
          <w:p>
            <w:pPr>
              <w:jc w:val="right"/>
              <w:spacing w:after="0"/>
              <w:rPr>
                <w:sz w:val="20"/>
                <w:szCs w:val="20"/>
                <w:color w:val="auto"/>
              </w:rPr>
            </w:pPr>
            <w:r>
              <w:rPr>
                <w:rFonts w:ascii="Arial" w:cs="Arial" w:eastAsia="Arial" w:hAnsi="Arial"/>
                <w:sz w:val="18"/>
                <w:szCs w:val="18"/>
                <w:color w:val="auto"/>
              </w:rPr>
              <w:t>USD 36,220</w:t>
            </w:r>
          </w:p>
        </w:tc>
        <w:tc>
          <w:tcPr>
            <w:tcW w:w="1500" w:type="dxa"/>
            <w:vAlign w:val="bottom"/>
          </w:tcPr>
          <w:p>
            <w:pPr>
              <w:jc w:val="right"/>
              <w:spacing w:after="0"/>
              <w:rPr>
                <w:sz w:val="20"/>
                <w:szCs w:val="20"/>
                <w:color w:val="auto"/>
              </w:rPr>
            </w:pPr>
            <w:r>
              <w:rPr>
                <w:rFonts w:ascii="Arial" w:cs="Arial" w:eastAsia="Arial" w:hAnsi="Arial"/>
                <w:sz w:val="18"/>
                <w:szCs w:val="18"/>
                <w:color w:val="auto"/>
              </w:rPr>
              <w:t>36,220</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88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980" w:type="dxa"/>
            <w:vAlign w:val="bottom"/>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040" w:type="dxa"/>
            <w:vAlign w:val="bottom"/>
            <w:gridSpan w:val="3"/>
          </w:tcPr>
          <w:p>
            <w:pPr>
              <w:ind w:left="20"/>
              <w:spacing w:after="0"/>
              <w:rPr>
                <w:sz w:val="20"/>
                <w:szCs w:val="20"/>
                <w:color w:val="auto"/>
              </w:rPr>
            </w:pPr>
            <w:r>
              <w:rPr>
                <w:rFonts w:ascii="Arial" w:cs="Arial" w:eastAsia="Arial" w:hAnsi="Arial"/>
                <w:sz w:val="18"/>
                <w:szCs w:val="18"/>
                <w:b w:val="1"/>
                <w:bCs w:val="1"/>
                <w:color w:val="auto"/>
              </w:rPr>
              <w:t>Payspot, Inc. Total</w:t>
            </w:r>
          </w:p>
        </w:tc>
        <w:tc>
          <w:tcPr>
            <w:tcW w:w="158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1980" w:type="dxa"/>
            <w:vAlign w:val="bottom"/>
          </w:tcPr>
          <w:p>
            <w:pPr>
              <w:spacing w:after="0"/>
              <w:rPr>
                <w:sz w:val="20"/>
                <w:szCs w:val="20"/>
                <w:color w:val="auto"/>
              </w:rPr>
            </w:pPr>
          </w:p>
        </w:tc>
        <w:tc>
          <w:tcPr>
            <w:tcW w:w="1700" w:type="dxa"/>
            <w:vAlign w:val="bottom"/>
          </w:tcPr>
          <w:p>
            <w:pPr>
              <w:jc w:val="right"/>
              <w:spacing w:after="0"/>
              <w:rPr>
                <w:sz w:val="20"/>
                <w:szCs w:val="20"/>
                <w:color w:val="auto"/>
              </w:rPr>
            </w:pPr>
            <w:r>
              <w:rPr>
                <w:rFonts w:ascii="Arial" w:cs="Arial" w:eastAsia="Arial" w:hAnsi="Arial"/>
                <w:sz w:val="18"/>
                <w:szCs w:val="18"/>
                <w:b w:val="1"/>
                <w:bCs w:val="1"/>
                <w:color w:val="auto"/>
              </w:rPr>
              <w:t>USD 36,220</w:t>
            </w:r>
          </w:p>
        </w:tc>
        <w:tc>
          <w:tcPr>
            <w:tcW w:w="1500" w:type="dxa"/>
            <w:vAlign w:val="bottom"/>
          </w:tcPr>
          <w:p>
            <w:pPr>
              <w:jc w:val="right"/>
              <w:spacing w:after="0"/>
              <w:rPr>
                <w:sz w:val="20"/>
                <w:szCs w:val="20"/>
                <w:color w:val="auto"/>
              </w:rPr>
            </w:pPr>
            <w:r>
              <w:rPr>
                <w:rFonts w:ascii="Arial" w:cs="Arial" w:eastAsia="Arial" w:hAnsi="Arial"/>
                <w:sz w:val="18"/>
                <w:szCs w:val="18"/>
                <w:b w:val="1"/>
                <w:bCs w:val="1"/>
                <w:color w:val="auto"/>
              </w:rPr>
              <w:t>36,220</w:t>
            </w:r>
          </w:p>
        </w:tc>
        <w:tc>
          <w:tcPr>
            <w:tcW w:w="0" w:type="dxa"/>
            <w:vAlign w:val="bottom"/>
          </w:tcPr>
          <w:p>
            <w:pPr>
              <w:spacing w:after="0"/>
              <w:rPr>
                <w:sz w:val="1"/>
                <w:szCs w:val="1"/>
                <w:color w:val="auto"/>
              </w:rPr>
            </w:pPr>
          </w:p>
        </w:tc>
      </w:tr>
      <w:tr>
        <w:trPr>
          <w:trHeight w:val="755"/>
        </w:trPr>
        <w:tc>
          <w:tcPr>
            <w:tcW w:w="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1580" w:type="dxa"/>
            <w:vAlign w:val="bottom"/>
          </w:tcPr>
          <w:p>
            <w:pPr>
              <w:ind w:left="180"/>
              <w:spacing w:after="0"/>
              <w:rPr>
                <w:sz w:val="20"/>
                <w:szCs w:val="20"/>
                <w:color w:val="auto"/>
              </w:rPr>
            </w:pPr>
            <w:r>
              <w:rPr>
                <w:rFonts w:ascii="Arial" w:cs="Arial" w:eastAsia="Arial" w:hAnsi="Arial"/>
                <w:sz w:val="18"/>
                <w:szCs w:val="18"/>
                <w:color w:val="auto"/>
              </w:rPr>
              <w:t>Enterprise Fleet</w:t>
            </w:r>
          </w:p>
        </w:tc>
        <w:tc>
          <w:tcPr>
            <w:tcW w:w="160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3040" w:type="dxa"/>
            <w:vAlign w:val="bottom"/>
            <w:gridSpan w:val="3"/>
          </w:tcPr>
          <w:p>
            <w:pPr>
              <w:ind w:left="20"/>
              <w:spacing w:after="0"/>
              <w:rPr>
                <w:sz w:val="20"/>
                <w:szCs w:val="20"/>
                <w:color w:val="auto"/>
              </w:rPr>
            </w:pPr>
            <w:r>
              <w:rPr>
                <w:rFonts w:ascii="Arial" w:cs="Arial" w:eastAsia="Arial" w:hAnsi="Arial"/>
                <w:sz w:val="18"/>
                <w:szCs w:val="18"/>
                <w:color w:val="auto"/>
              </w:rPr>
              <w:t>Continental Exchange Solutions, Inc.</w:t>
            </w:r>
          </w:p>
        </w:tc>
        <w:tc>
          <w:tcPr>
            <w:tcW w:w="1580" w:type="dxa"/>
            <w:vAlign w:val="bottom"/>
          </w:tcPr>
          <w:p>
            <w:pPr>
              <w:ind w:left="180"/>
              <w:spacing w:after="0"/>
              <w:rPr>
                <w:sz w:val="20"/>
                <w:szCs w:val="20"/>
                <w:color w:val="auto"/>
              </w:rPr>
            </w:pPr>
            <w:r>
              <w:rPr>
                <w:rFonts w:ascii="Arial" w:cs="Arial" w:eastAsia="Arial" w:hAnsi="Arial"/>
                <w:sz w:val="18"/>
                <w:szCs w:val="18"/>
                <w:color w:val="auto"/>
              </w:rPr>
              <w:t>Services</w:t>
            </w:r>
          </w:p>
        </w:tc>
        <w:tc>
          <w:tcPr>
            <w:tcW w:w="1600" w:type="dxa"/>
            <w:vAlign w:val="bottom"/>
          </w:tcPr>
          <w:p>
            <w:pPr>
              <w:ind w:left="80"/>
              <w:spacing w:after="0"/>
              <w:rPr>
                <w:sz w:val="20"/>
                <w:szCs w:val="20"/>
                <w:color w:val="auto"/>
              </w:rPr>
            </w:pPr>
            <w:r>
              <w:rPr>
                <w:rFonts w:ascii="Arial" w:cs="Arial" w:eastAsia="Arial" w:hAnsi="Arial"/>
                <w:sz w:val="18"/>
                <w:szCs w:val="18"/>
                <w:color w:val="auto"/>
              </w:rPr>
              <w:t>Capital Lease</w:t>
            </w:r>
          </w:p>
        </w:tc>
        <w:tc>
          <w:tcPr>
            <w:tcW w:w="1980" w:type="dxa"/>
            <w:vAlign w:val="bottom"/>
          </w:tcPr>
          <w:p>
            <w:pPr>
              <w:ind w:left="520"/>
              <w:spacing w:after="0"/>
              <w:rPr>
                <w:sz w:val="20"/>
                <w:szCs w:val="20"/>
                <w:color w:val="auto"/>
              </w:rPr>
            </w:pPr>
            <w:r>
              <w:rPr>
                <w:rFonts w:ascii="Arial" w:cs="Arial" w:eastAsia="Arial" w:hAnsi="Arial"/>
                <w:sz w:val="18"/>
                <w:szCs w:val="18"/>
                <w:color w:val="auto"/>
              </w:rPr>
              <w:t>Cars</w:t>
            </w:r>
          </w:p>
        </w:tc>
        <w:tc>
          <w:tcPr>
            <w:tcW w:w="1700" w:type="dxa"/>
            <w:vAlign w:val="bottom"/>
          </w:tcPr>
          <w:p>
            <w:pPr>
              <w:jc w:val="right"/>
              <w:spacing w:after="0"/>
              <w:rPr>
                <w:sz w:val="20"/>
                <w:szCs w:val="20"/>
                <w:color w:val="auto"/>
              </w:rPr>
            </w:pPr>
            <w:r>
              <w:rPr>
                <w:rFonts w:ascii="Arial" w:cs="Arial" w:eastAsia="Arial" w:hAnsi="Arial"/>
                <w:sz w:val="18"/>
                <w:szCs w:val="18"/>
                <w:color w:val="auto"/>
              </w:rPr>
              <w:t>USD 438,214</w:t>
            </w:r>
          </w:p>
        </w:tc>
        <w:tc>
          <w:tcPr>
            <w:tcW w:w="1500" w:type="dxa"/>
            <w:vAlign w:val="bottom"/>
          </w:tcPr>
          <w:p>
            <w:pPr>
              <w:jc w:val="right"/>
              <w:spacing w:after="0"/>
              <w:rPr>
                <w:sz w:val="20"/>
                <w:szCs w:val="20"/>
                <w:color w:val="auto"/>
              </w:rPr>
            </w:pPr>
            <w:r>
              <w:rPr>
                <w:rFonts w:ascii="Arial" w:cs="Arial" w:eastAsia="Arial" w:hAnsi="Arial"/>
                <w:sz w:val="18"/>
                <w:szCs w:val="18"/>
                <w:color w:val="auto"/>
              </w:rPr>
              <w:t>438,214</w:t>
            </w:r>
          </w:p>
        </w:tc>
        <w:tc>
          <w:tcPr>
            <w:tcW w:w="0" w:type="dxa"/>
            <w:vAlign w:val="bottom"/>
          </w:tcPr>
          <w:p>
            <w:pPr>
              <w:spacing w:after="0"/>
              <w:rPr>
                <w:sz w:val="1"/>
                <w:szCs w:val="1"/>
                <w:color w:val="auto"/>
              </w:rPr>
            </w:pPr>
          </w:p>
        </w:tc>
      </w:tr>
      <w:tr>
        <w:trPr>
          <w:trHeight w:val="27"/>
        </w:trPr>
        <w:tc>
          <w:tcPr>
            <w:tcW w:w="3040" w:type="dxa"/>
            <w:vAlign w:val="bottom"/>
            <w:gridSpan w:val="3"/>
            <w:vMerge w:val="restart"/>
          </w:tcPr>
          <w:p>
            <w:pPr>
              <w:ind w:left="20"/>
              <w:spacing w:after="0"/>
              <w:rPr>
                <w:sz w:val="20"/>
                <w:szCs w:val="20"/>
                <w:color w:val="auto"/>
              </w:rPr>
            </w:pPr>
            <w:r>
              <w:rPr>
                <w:rFonts w:ascii="Arial" w:cs="Arial" w:eastAsia="Arial" w:hAnsi="Arial"/>
                <w:sz w:val="18"/>
                <w:szCs w:val="18"/>
                <w:b w:val="1"/>
                <w:bCs w:val="1"/>
                <w:color w:val="auto"/>
                <w:w w:val="94"/>
              </w:rPr>
              <w:t>Continental Exchange Solutions, Inc.</w:t>
            </w:r>
          </w:p>
        </w:tc>
        <w:tc>
          <w:tcPr>
            <w:tcW w:w="158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980" w:type="dxa"/>
            <w:vAlign w:val="bottom"/>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5"/>
        </w:trPr>
        <w:tc>
          <w:tcPr>
            <w:tcW w:w="3040" w:type="dxa"/>
            <w:vAlign w:val="bottom"/>
            <w:gridSpan w:val="3"/>
            <w:vMerge w:val="continue"/>
          </w:tcPr>
          <w:p>
            <w:pPr>
              <w:spacing w:after="0"/>
              <w:rPr>
                <w:sz w:val="17"/>
                <w:szCs w:val="17"/>
                <w:color w:val="auto"/>
              </w:rPr>
            </w:pPr>
          </w:p>
        </w:tc>
        <w:tc>
          <w:tcPr>
            <w:tcW w:w="158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98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040" w:type="dxa"/>
            <w:vAlign w:val="bottom"/>
            <w:gridSpan w:val="3"/>
          </w:tcPr>
          <w:p>
            <w:pPr>
              <w:ind w:left="20"/>
              <w:spacing w:after="0"/>
              <w:rPr>
                <w:sz w:val="20"/>
                <w:szCs w:val="20"/>
                <w:color w:val="auto"/>
              </w:rPr>
            </w:pPr>
            <w:r>
              <w:rPr>
                <w:rFonts w:ascii="Arial" w:cs="Arial" w:eastAsia="Arial" w:hAnsi="Arial"/>
                <w:sz w:val="18"/>
                <w:szCs w:val="18"/>
                <w:b w:val="1"/>
                <w:bCs w:val="1"/>
                <w:color w:val="auto"/>
              </w:rPr>
              <w:t>Total</w:t>
            </w:r>
          </w:p>
        </w:tc>
        <w:tc>
          <w:tcPr>
            <w:tcW w:w="158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1980" w:type="dxa"/>
            <w:vAlign w:val="bottom"/>
          </w:tcPr>
          <w:p>
            <w:pPr>
              <w:spacing w:after="0"/>
              <w:rPr>
                <w:sz w:val="20"/>
                <w:szCs w:val="20"/>
                <w:color w:val="auto"/>
              </w:rPr>
            </w:pPr>
          </w:p>
        </w:tc>
        <w:tc>
          <w:tcPr>
            <w:tcW w:w="1700" w:type="dxa"/>
            <w:vAlign w:val="bottom"/>
          </w:tcPr>
          <w:p>
            <w:pPr>
              <w:jc w:val="right"/>
              <w:spacing w:after="0"/>
              <w:rPr>
                <w:sz w:val="20"/>
                <w:szCs w:val="20"/>
                <w:color w:val="auto"/>
              </w:rPr>
            </w:pPr>
            <w:r>
              <w:rPr>
                <w:rFonts w:ascii="Arial" w:cs="Arial" w:eastAsia="Arial" w:hAnsi="Arial"/>
                <w:sz w:val="18"/>
                <w:szCs w:val="18"/>
                <w:b w:val="1"/>
                <w:bCs w:val="1"/>
                <w:color w:val="auto"/>
              </w:rPr>
              <w:t>USD 438,214</w:t>
            </w:r>
          </w:p>
        </w:tc>
        <w:tc>
          <w:tcPr>
            <w:tcW w:w="1500" w:type="dxa"/>
            <w:vAlign w:val="bottom"/>
          </w:tcPr>
          <w:p>
            <w:pPr>
              <w:jc w:val="right"/>
              <w:spacing w:after="0"/>
              <w:rPr>
                <w:sz w:val="20"/>
                <w:szCs w:val="20"/>
                <w:color w:val="auto"/>
              </w:rPr>
            </w:pPr>
            <w:r>
              <w:rPr>
                <w:rFonts w:ascii="Arial" w:cs="Arial" w:eastAsia="Arial" w:hAnsi="Arial"/>
                <w:sz w:val="18"/>
                <w:szCs w:val="18"/>
                <w:b w:val="1"/>
                <w:bCs w:val="1"/>
                <w:color w:val="auto"/>
              </w:rPr>
              <w:t>438,214</w:t>
            </w:r>
          </w:p>
        </w:tc>
        <w:tc>
          <w:tcPr>
            <w:tcW w:w="0" w:type="dxa"/>
            <w:vAlign w:val="bottom"/>
          </w:tcPr>
          <w:p>
            <w:pPr>
              <w:spacing w:after="0"/>
              <w:rPr>
                <w:sz w:val="1"/>
                <w:szCs w:val="1"/>
                <w:color w:val="auto"/>
              </w:rPr>
            </w:pPr>
          </w:p>
        </w:tc>
      </w:tr>
      <w:tr>
        <w:trPr>
          <w:trHeight w:val="783"/>
        </w:trPr>
        <w:tc>
          <w:tcPr>
            <w:tcW w:w="3040" w:type="dxa"/>
            <w:vAlign w:val="bottom"/>
            <w:gridSpan w:val="3"/>
          </w:tcPr>
          <w:p>
            <w:pPr>
              <w:ind w:left="20"/>
              <w:spacing w:after="0"/>
              <w:rPr>
                <w:sz w:val="20"/>
                <w:szCs w:val="20"/>
                <w:color w:val="auto"/>
              </w:rPr>
            </w:pPr>
            <w:r>
              <w:rPr>
                <w:rFonts w:ascii="Arial" w:cs="Arial" w:eastAsia="Arial" w:hAnsi="Arial"/>
                <w:sz w:val="18"/>
                <w:szCs w:val="18"/>
                <w:color w:val="auto"/>
              </w:rPr>
              <w:t>Euronet Services d.o.o.</w:t>
            </w:r>
          </w:p>
        </w:tc>
        <w:tc>
          <w:tcPr>
            <w:tcW w:w="1580" w:type="dxa"/>
            <w:vAlign w:val="bottom"/>
          </w:tcPr>
          <w:p>
            <w:pPr>
              <w:ind w:left="180"/>
              <w:spacing w:after="0"/>
              <w:rPr>
                <w:sz w:val="20"/>
                <w:szCs w:val="20"/>
                <w:color w:val="auto"/>
              </w:rPr>
            </w:pPr>
            <w:r>
              <w:rPr>
                <w:rFonts w:ascii="Arial" w:cs="Arial" w:eastAsia="Arial" w:hAnsi="Arial"/>
                <w:sz w:val="18"/>
                <w:szCs w:val="18"/>
                <w:color w:val="auto"/>
              </w:rPr>
              <w:t>S-Leasing</w:t>
            </w:r>
          </w:p>
        </w:tc>
        <w:tc>
          <w:tcPr>
            <w:tcW w:w="1600" w:type="dxa"/>
            <w:vAlign w:val="bottom"/>
          </w:tcPr>
          <w:p>
            <w:pPr>
              <w:ind w:left="80"/>
              <w:spacing w:after="0"/>
              <w:rPr>
                <w:sz w:val="20"/>
                <w:szCs w:val="20"/>
                <w:color w:val="auto"/>
              </w:rPr>
            </w:pPr>
            <w:r>
              <w:rPr>
                <w:rFonts w:ascii="Arial" w:cs="Arial" w:eastAsia="Arial" w:hAnsi="Arial"/>
                <w:sz w:val="18"/>
                <w:szCs w:val="18"/>
                <w:color w:val="auto"/>
              </w:rPr>
              <w:t>Capital Lease</w:t>
            </w:r>
          </w:p>
        </w:tc>
        <w:tc>
          <w:tcPr>
            <w:tcW w:w="1980" w:type="dxa"/>
            <w:vAlign w:val="bottom"/>
          </w:tcPr>
          <w:p>
            <w:pPr>
              <w:ind w:left="540"/>
              <w:spacing w:after="0"/>
              <w:rPr>
                <w:sz w:val="20"/>
                <w:szCs w:val="20"/>
                <w:color w:val="auto"/>
              </w:rPr>
            </w:pPr>
            <w:r>
              <w:rPr>
                <w:rFonts w:ascii="Arial" w:cs="Arial" w:eastAsia="Arial" w:hAnsi="Arial"/>
                <w:sz w:val="18"/>
                <w:szCs w:val="18"/>
                <w:color w:val="auto"/>
              </w:rPr>
              <w:t>Car</w:t>
            </w:r>
          </w:p>
        </w:tc>
        <w:tc>
          <w:tcPr>
            <w:tcW w:w="1700" w:type="dxa"/>
            <w:vAlign w:val="bottom"/>
          </w:tcPr>
          <w:p>
            <w:pPr>
              <w:jc w:val="right"/>
              <w:spacing w:after="0"/>
              <w:rPr>
                <w:sz w:val="20"/>
                <w:szCs w:val="20"/>
                <w:color w:val="auto"/>
              </w:rPr>
            </w:pPr>
            <w:r>
              <w:rPr>
                <w:rFonts w:ascii="Arial" w:cs="Arial" w:eastAsia="Arial" w:hAnsi="Arial"/>
                <w:sz w:val="18"/>
                <w:szCs w:val="18"/>
                <w:color w:val="auto"/>
              </w:rPr>
              <w:t>RSD 1,276,540</w:t>
            </w:r>
          </w:p>
        </w:tc>
        <w:tc>
          <w:tcPr>
            <w:tcW w:w="1500" w:type="dxa"/>
            <w:vAlign w:val="bottom"/>
          </w:tcPr>
          <w:p>
            <w:pPr>
              <w:jc w:val="right"/>
              <w:spacing w:after="0"/>
              <w:rPr>
                <w:sz w:val="20"/>
                <w:szCs w:val="20"/>
                <w:color w:val="auto"/>
              </w:rPr>
            </w:pPr>
            <w:r>
              <w:rPr>
                <w:rFonts w:ascii="Arial" w:cs="Arial" w:eastAsia="Arial" w:hAnsi="Arial"/>
                <w:sz w:val="18"/>
                <w:szCs w:val="18"/>
                <w:color w:val="auto"/>
              </w:rPr>
              <w:t>14,918</w:t>
            </w:r>
          </w:p>
        </w:tc>
        <w:tc>
          <w:tcPr>
            <w:tcW w:w="0" w:type="dxa"/>
            <w:vAlign w:val="bottom"/>
          </w:tcPr>
          <w:p>
            <w:pPr>
              <w:spacing w:after="0"/>
              <w:rPr>
                <w:sz w:val="1"/>
                <w:szCs w:val="1"/>
                <w:color w:val="auto"/>
              </w:rPr>
            </w:pPr>
          </w:p>
        </w:tc>
      </w:tr>
      <w:tr>
        <w:trPr>
          <w:trHeight w:val="284"/>
        </w:trPr>
        <w:tc>
          <w:tcPr>
            <w:tcW w:w="3040" w:type="dxa"/>
            <w:vAlign w:val="bottom"/>
            <w:gridSpan w:val="3"/>
          </w:tcPr>
          <w:p>
            <w:pPr>
              <w:ind w:left="20"/>
              <w:spacing w:after="0"/>
              <w:rPr>
                <w:sz w:val="20"/>
                <w:szCs w:val="20"/>
                <w:color w:val="auto"/>
              </w:rPr>
            </w:pPr>
            <w:r>
              <w:rPr>
                <w:rFonts w:ascii="Arial" w:cs="Arial" w:eastAsia="Arial" w:hAnsi="Arial"/>
                <w:sz w:val="18"/>
                <w:szCs w:val="18"/>
                <w:color w:val="auto"/>
              </w:rPr>
              <w:t>Euronet Services d.o.o.</w:t>
            </w:r>
          </w:p>
        </w:tc>
        <w:tc>
          <w:tcPr>
            <w:tcW w:w="1580" w:type="dxa"/>
            <w:vAlign w:val="bottom"/>
          </w:tcPr>
          <w:p>
            <w:pPr>
              <w:ind w:left="180"/>
              <w:spacing w:after="0"/>
              <w:rPr>
                <w:sz w:val="20"/>
                <w:szCs w:val="20"/>
                <w:color w:val="auto"/>
              </w:rPr>
            </w:pPr>
            <w:r>
              <w:rPr>
                <w:rFonts w:ascii="Arial" w:cs="Arial" w:eastAsia="Arial" w:hAnsi="Arial"/>
                <w:sz w:val="18"/>
                <w:szCs w:val="18"/>
                <w:color w:val="auto"/>
              </w:rPr>
              <w:t>S-Leasing</w:t>
            </w:r>
          </w:p>
        </w:tc>
        <w:tc>
          <w:tcPr>
            <w:tcW w:w="1600" w:type="dxa"/>
            <w:vAlign w:val="bottom"/>
          </w:tcPr>
          <w:p>
            <w:pPr>
              <w:ind w:left="80"/>
              <w:spacing w:after="0"/>
              <w:rPr>
                <w:sz w:val="20"/>
                <w:szCs w:val="20"/>
                <w:color w:val="auto"/>
              </w:rPr>
            </w:pPr>
            <w:r>
              <w:rPr>
                <w:rFonts w:ascii="Arial" w:cs="Arial" w:eastAsia="Arial" w:hAnsi="Arial"/>
                <w:sz w:val="18"/>
                <w:szCs w:val="18"/>
                <w:color w:val="auto"/>
              </w:rPr>
              <w:t>Capital Lease</w:t>
            </w:r>
          </w:p>
        </w:tc>
        <w:tc>
          <w:tcPr>
            <w:tcW w:w="1980" w:type="dxa"/>
            <w:vAlign w:val="bottom"/>
          </w:tcPr>
          <w:p>
            <w:pPr>
              <w:ind w:left="540"/>
              <w:spacing w:after="0"/>
              <w:rPr>
                <w:sz w:val="20"/>
                <w:szCs w:val="20"/>
                <w:color w:val="auto"/>
              </w:rPr>
            </w:pPr>
            <w:r>
              <w:rPr>
                <w:rFonts w:ascii="Arial" w:cs="Arial" w:eastAsia="Arial" w:hAnsi="Arial"/>
                <w:sz w:val="18"/>
                <w:szCs w:val="18"/>
                <w:color w:val="auto"/>
              </w:rPr>
              <w:t>Car</w:t>
            </w:r>
          </w:p>
        </w:tc>
        <w:tc>
          <w:tcPr>
            <w:tcW w:w="1700" w:type="dxa"/>
            <w:vAlign w:val="bottom"/>
          </w:tcPr>
          <w:p>
            <w:pPr>
              <w:jc w:val="right"/>
              <w:spacing w:after="0"/>
              <w:rPr>
                <w:sz w:val="20"/>
                <w:szCs w:val="20"/>
                <w:color w:val="auto"/>
              </w:rPr>
            </w:pPr>
            <w:r>
              <w:rPr>
                <w:rFonts w:ascii="Arial" w:cs="Arial" w:eastAsia="Arial" w:hAnsi="Arial"/>
                <w:sz w:val="18"/>
                <w:szCs w:val="18"/>
                <w:color w:val="auto"/>
              </w:rPr>
              <w:t>RSD 2,270,761</w:t>
            </w:r>
          </w:p>
        </w:tc>
        <w:tc>
          <w:tcPr>
            <w:tcW w:w="1500" w:type="dxa"/>
            <w:vAlign w:val="bottom"/>
          </w:tcPr>
          <w:p>
            <w:pPr>
              <w:jc w:val="right"/>
              <w:spacing w:after="0"/>
              <w:rPr>
                <w:sz w:val="20"/>
                <w:szCs w:val="20"/>
                <w:color w:val="auto"/>
              </w:rPr>
            </w:pPr>
            <w:r>
              <w:rPr>
                <w:rFonts w:ascii="Arial" w:cs="Arial" w:eastAsia="Arial" w:hAnsi="Arial"/>
                <w:sz w:val="18"/>
                <w:szCs w:val="18"/>
                <w:color w:val="auto"/>
              </w:rPr>
              <w:t>26,536</w:t>
            </w:r>
          </w:p>
        </w:tc>
        <w:tc>
          <w:tcPr>
            <w:tcW w:w="0" w:type="dxa"/>
            <w:vAlign w:val="bottom"/>
          </w:tcPr>
          <w:p>
            <w:pPr>
              <w:spacing w:after="0"/>
              <w:rPr>
                <w:sz w:val="1"/>
                <w:szCs w:val="1"/>
                <w:color w:val="auto"/>
              </w:rPr>
            </w:pPr>
          </w:p>
        </w:tc>
      </w:tr>
      <w:tr>
        <w:trPr>
          <w:trHeight w:val="284"/>
        </w:trPr>
        <w:tc>
          <w:tcPr>
            <w:tcW w:w="3040" w:type="dxa"/>
            <w:vAlign w:val="bottom"/>
            <w:gridSpan w:val="3"/>
          </w:tcPr>
          <w:p>
            <w:pPr>
              <w:ind w:left="20"/>
              <w:spacing w:after="0"/>
              <w:rPr>
                <w:sz w:val="20"/>
                <w:szCs w:val="20"/>
                <w:color w:val="auto"/>
              </w:rPr>
            </w:pPr>
            <w:r>
              <w:rPr>
                <w:rFonts w:ascii="Arial" w:cs="Arial" w:eastAsia="Arial" w:hAnsi="Arial"/>
                <w:sz w:val="18"/>
                <w:szCs w:val="18"/>
                <w:color w:val="auto"/>
              </w:rPr>
              <w:t>Euronet Services d.o.o.</w:t>
            </w:r>
          </w:p>
        </w:tc>
        <w:tc>
          <w:tcPr>
            <w:tcW w:w="1580" w:type="dxa"/>
            <w:vAlign w:val="bottom"/>
          </w:tcPr>
          <w:p>
            <w:pPr>
              <w:ind w:left="180"/>
              <w:spacing w:after="0"/>
              <w:rPr>
                <w:sz w:val="20"/>
                <w:szCs w:val="20"/>
                <w:color w:val="auto"/>
              </w:rPr>
            </w:pPr>
            <w:r>
              <w:rPr>
                <w:rFonts w:ascii="Arial" w:cs="Arial" w:eastAsia="Arial" w:hAnsi="Arial"/>
                <w:sz w:val="18"/>
                <w:szCs w:val="18"/>
                <w:color w:val="auto"/>
              </w:rPr>
              <w:t>S-Leasing</w:t>
            </w:r>
          </w:p>
        </w:tc>
        <w:tc>
          <w:tcPr>
            <w:tcW w:w="1600" w:type="dxa"/>
            <w:vAlign w:val="bottom"/>
          </w:tcPr>
          <w:p>
            <w:pPr>
              <w:ind w:left="80"/>
              <w:spacing w:after="0"/>
              <w:rPr>
                <w:sz w:val="20"/>
                <w:szCs w:val="20"/>
                <w:color w:val="auto"/>
              </w:rPr>
            </w:pPr>
            <w:r>
              <w:rPr>
                <w:rFonts w:ascii="Arial" w:cs="Arial" w:eastAsia="Arial" w:hAnsi="Arial"/>
                <w:sz w:val="18"/>
                <w:szCs w:val="18"/>
                <w:color w:val="auto"/>
              </w:rPr>
              <w:t>Capital Lease</w:t>
            </w:r>
          </w:p>
        </w:tc>
        <w:tc>
          <w:tcPr>
            <w:tcW w:w="1980" w:type="dxa"/>
            <w:vAlign w:val="bottom"/>
          </w:tcPr>
          <w:p>
            <w:pPr>
              <w:ind w:left="540"/>
              <w:spacing w:after="0"/>
              <w:rPr>
                <w:sz w:val="20"/>
                <w:szCs w:val="20"/>
                <w:color w:val="auto"/>
              </w:rPr>
            </w:pPr>
            <w:r>
              <w:rPr>
                <w:rFonts w:ascii="Arial" w:cs="Arial" w:eastAsia="Arial" w:hAnsi="Arial"/>
                <w:sz w:val="18"/>
                <w:szCs w:val="18"/>
                <w:color w:val="auto"/>
              </w:rPr>
              <w:t>Car</w:t>
            </w:r>
          </w:p>
        </w:tc>
        <w:tc>
          <w:tcPr>
            <w:tcW w:w="1700" w:type="dxa"/>
            <w:vAlign w:val="bottom"/>
          </w:tcPr>
          <w:p>
            <w:pPr>
              <w:jc w:val="right"/>
              <w:spacing w:after="0"/>
              <w:rPr>
                <w:sz w:val="20"/>
                <w:szCs w:val="20"/>
                <w:color w:val="auto"/>
              </w:rPr>
            </w:pPr>
            <w:r>
              <w:rPr>
                <w:rFonts w:ascii="Arial" w:cs="Arial" w:eastAsia="Arial" w:hAnsi="Arial"/>
                <w:sz w:val="18"/>
                <w:szCs w:val="18"/>
                <w:color w:val="auto"/>
              </w:rPr>
              <w:t>RSD 462,543</w:t>
            </w:r>
          </w:p>
        </w:tc>
        <w:tc>
          <w:tcPr>
            <w:tcW w:w="1500" w:type="dxa"/>
            <w:vAlign w:val="bottom"/>
          </w:tcPr>
          <w:p>
            <w:pPr>
              <w:jc w:val="right"/>
              <w:spacing w:after="0"/>
              <w:rPr>
                <w:sz w:val="20"/>
                <w:szCs w:val="20"/>
                <w:color w:val="auto"/>
              </w:rPr>
            </w:pPr>
            <w:r>
              <w:rPr>
                <w:rFonts w:ascii="Arial" w:cs="Arial" w:eastAsia="Arial" w:hAnsi="Arial"/>
                <w:sz w:val="18"/>
                <w:szCs w:val="18"/>
                <w:color w:val="auto"/>
              </w:rPr>
              <w:t>5,405</w:t>
            </w:r>
          </w:p>
        </w:tc>
        <w:tc>
          <w:tcPr>
            <w:tcW w:w="0" w:type="dxa"/>
            <w:vAlign w:val="bottom"/>
          </w:tcPr>
          <w:p>
            <w:pPr>
              <w:spacing w:after="0"/>
              <w:rPr>
                <w:sz w:val="1"/>
                <w:szCs w:val="1"/>
                <w:color w:val="auto"/>
              </w:rPr>
            </w:pPr>
          </w:p>
        </w:tc>
      </w:tr>
      <w:tr>
        <w:trPr>
          <w:trHeight w:val="284"/>
        </w:trPr>
        <w:tc>
          <w:tcPr>
            <w:tcW w:w="3040" w:type="dxa"/>
            <w:vAlign w:val="bottom"/>
            <w:gridSpan w:val="3"/>
          </w:tcPr>
          <w:p>
            <w:pPr>
              <w:ind w:left="20"/>
              <w:spacing w:after="0"/>
              <w:rPr>
                <w:sz w:val="20"/>
                <w:szCs w:val="20"/>
                <w:color w:val="auto"/>
              </w:rPr>
            </w:pPr>
            <w:r>
              <w:rPr>
                <w:rFonts w:ascii="Arial" w:cs="Arial" w:eastAsia="Arial" w:hAnsi="Arial"/>
                <w:sz w:val="18"/>
                <w:szCs w:val="18"/>
                <w:color w:val="auto"/>
              </w:rPr>
              <w:t>Euronet Services d.o.o.</w:t>
            </w:r>
          </w:p>
        </w:tc>
        <w:tc>
          <w:tcPr>
            <w:tcW w:w="1580" w:type="dxa"/>
            <w:vAlign w:val="bottom"/>
          </w:tcPr>
          <w:p>
            <w:pPr>
              <w:ind w:left="180"/>
              <w:spacing w:after="0"/>
              <w:rPr>
                <w:sz w:val="20"/>
                <w:szCs w:val="20"/>
                <w:color w:val="auto"/>
              </w:rPr>
            </w:pPr>
            <w:r>
              <w:rPr>
                <w:rFonts w:ascii="Arial" w:cs="Arial" w:eastAsia="Arial" w:hAnsi="Arial"/>
                <w:sz w:val="18"/>
                <w:szCs w:val="18"/>
                <w:color w:val="auto"/>
              </w:rPr>
              <w:t>S-Leasing</w:t>
            </w:r>
          </w:p>
        </w:tc>
        <w:tc>
          <w:tcPr>
            <w:tcW w:w="1600" w:type="dxa"/>
            <w:vAlign w:val="bottom"/>
          </w:tcPr>
          <w:p>
            <w:pPr>
              <w:ind w:left="80"/>
              <w:spacing w:after="0"/>
              <w:rPr>
                <w:sz w:val="20"/>
                <w:szCs w:val="20"/>
                <w:color w:val="auto"/>
              </w:rPr>
            </w:pPr>
            <w:r>
              <w:rPr>
                <w:rFonts w:ascii="Arial" w:cs="Arial" w:eastAsia="Arial" w:hAnsi="Arial"/>
                <w:sz w:val="18"/>
                <w:szCs w:val="18"/>
                <w:color w:val="auto"/>
              </w:rPr>
              <w:t>Capital Lease</w:t>
            </w:r>
          </w:p>
        </w:tc>
        <w:tc>
          <w:tcPr>
            <w:tcW w:w="1980" w:type="dxa"/>
            <w:vAlign w:val="bottom"/>
          </w:tcPr>
          <w:p>
            <w:pPr>
              <w:ind w:left="540"/>
              <w:spacing w:after="0"/>
              <w:rPr>
                <w:sz w:val="20"/>
                <w:szCs w:val="20"/>
                <w:color w:val="auto"/>
              </w:rPr>
            </w:pPr>
            <w:r>
              <w:rPr>
                <w:rFonts w:ascii="Arial" w:cs="Arial" w:eastAsia="Arial" w:hAnsi="Arial"/>
                <w:sz w:val="18"/>
                <w:szCs w:val="18"/>
                <w:color w:val="auto"/>
              </w:rPr>
              <w:t>Car</w:t>
            </w:r>
          </w:p>
        </w:tc>
        <w:tc>
          <w:tcPr>
            <w:tcW w:w="1700" w:type="dxa"/>
            <w:vAlign w:val="bottom"/>
          </w:tcPr>
          <w:p>
            <w:pPr>
              <w:jc w:val="right"/>
              <w:spacing w:after="0"/>
              <w:rPr>
                <w:sz w:val="20"/>
                <w:szCs w:val="20"/>
                <w:color w:val="auto"/>
              </w:rPr>
            </w:pPr>
            <w:r>
              <w:rPr>
                <w:rFonts w:ascii="Arial" w:cs="Arial" w:eastAsia="Arial" w:hAnsi="Arial"/>
                <w:sz w:val="18"/>
                <w:szCs w:val="18"/>
                <w:color w:val="auto"/>
              </w:rPr>
              <w:t>RSD 462,543</w:t>
            </w:r>
          </w:p>
        </w:tc>
        <w:tc>
          <w:tcPr>
            <w:tcW w:w="1500" w:type="dxa"/>
            <w:vAlign w:val="bottom"/>
          </w:tcPr>
          <w:p>
            <w:pPr>
              <w:jc w:val="right"/>
              <w:spacing w:after="0"/>
              <w:rPr>
                <w:sz w:val="20"/>
                <w:szCs w:val="20"/>
                <w:color w:val="auto"/>
              </w:rPr>
            </w:pPr>
            <w:r>
              <w:rPr>
                <w:rFonts w:ascii="Arial" w:cs="Arial" w:eastAsia="Arial" w:hAnsi="Arial"/>
                <w:sz w:val="18"/>
                <w:szCs w:val="18"/>
                <w:color w:val="auto"/>
              </w:rPr>
              <w:t>5,405</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88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980" w:type="dxa"/>
            <w:vAlign w:val="bottom"/>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040" w:type="dxa"/>
            <w:vAlign w:val="bottom"/>
            <w:gridSpan w:val="3"/>
          </w:tcPr>
          <w:p>
            <w:pPr>
              <w:ind w:left="20"/>
              <w:spacing w:after="0"/>
              <w:rPr>
                <w:sz w:val="20"/>
                <w:szCs w:val="20"/>
                <w:color w:val="auto"/>
              </w:rPr>
            </w:pPr>
            <w:r>
              <w:rPr>
                <w:rFonts w:ascii="Arial" w:cs="Arial" w:eastAsia="Arial" w:hAnsi="Arial"/>
                <w:sz w:val="18"/>
                <w:szCs w:val="18"/>
                <w:b w:val="1"/>
                <w:bCs w:val="1"/>
                <w:color w:val="auto"/>
              </w:rPr>
              <w:t>Euronet Services d.o.o. Total</w:t>
            </w:r>
          </w:p>
        </w:tc>
        <w:tc>
          <w:tcPr>
            <w:tcW w:w="158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1980" w:type="dxa"/>
            <w:vAlign w:val="bottom"/>
          </w:tcPr>
          <w:p>
            <w:pPr>
              <w:spacing w:after="0"/>
              <w:rPr>
                <w:sz w:val="20"/>
                <w:szCs w:val="20"/>
                <w:color w:val="auto"/>
              </w:rPr>
            </w:pPr>
          </w:p>
        </w:tc>
        <w:tc>
          <w:tcPr>
            <w:tcW w:w="1700" w:type="dxa"/>
            <w:vAlign w:val="bottom"/>
          </w:tcPr>
          <w:p>
            <w:pPr>
              <w:jc w:val="right"/>
              <w:spacing w:after="0"/>
              <w:rPr>
                <w:sz w:val="20"/>
                <w:szCs w:val="20"/>
                <w:color w:val="auto"/>
              </w:rPr>
            </w:pPr>
            <w:r>
              <w:rPr>
                <w:rFonts w:ascii="Arial" w:cs="Arial" w:eastAsia="Arial" w:hAnsi="Arial"/>
                <w:sz w:val="18"/>
                <w:szCs w:val="18"/>
                <w:b w:val="1"/>
                <w:bCs w:val="1"/>
                <w:color w:val="auto"/>
              </w:rPr>
              <w:t>RSD 4,472,388</w:t>
            </w:r>
          </w:p>
        </w:tc>
        <w:tc>
          <w:tcPr>
            <w:tcW w:w="1500" w:type="dxa"/>
            <w:vAlign w:val="bottom"/>
          </w:tcPr>
          <w:p>
            <w:pPr>
              <w:jc w:val="right"/>
              <w:spacing w:after="0"/>
              <w:rPr>
                <w:sz w:val="20"/>
                <w:szCs w:val="20"/>
                <w:color w:val="auto"/>
              </w:rPr>
            </w:pPr>
            <w:r>
              <w:rPr>
                <w:rFonts w:ascii="Arial" w:cs="Arial" w:eastAsia="Arial" w:hAnsi="Arial"/>
                <w:sz w:val="18"/>
                <w:szCs w:val="18"/>
                <w:b w:val="1"/>
                <w:bCs w:val="1"/>
                <w:color w:val="auto"/>
              </w:rPr>
              <w:t>52,265</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4271645</wp:posOffset>
            </wp:positionH>
            <wp:positionV relativeFrom="paragraph">
              <wp:posOffset>-882650</wp:posOffset>
            </wp:positionV>
            <wp:extent cx="943610" cy="72898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943610" cy="728980"/>
                    </a:xfrm>
                    <a:prstGeom prst="rect">
                      <a:avLst/>
                    </a:prstGeom>
                    <a:noFill/>
                  </pic:spPr>
                </pic:pic>
              </a:graphicData>
            </a:graphic>
          </wp:anchor>
        </w:drawing>
      </w:r>
    </w:p>
    <w:p>
      <w:pPr>
        <w:sectPr>
          <w:pgSz w:w="11900" w:h="16838" w:orient="portrait"/>
          <w:cols w:equalWidth="0" w:num="1">
            <w:col w:w="11400"/>
          </w:cols>
          <w:pgMar w:left="260" w:top="531" w:right="239" w:bottom="1440" w:gutter="0" w:footer="0" w:header="0"/>
        </w:sectPr>
      </w:pPr>
    </w:p>
    <w:bookmarkStart w:id="274" w:name="page275"/>
    <w:bookmarkEnd w:id="274"/>
    <w:tbl>
      <w:tblPr>
        <w:tblLayout w:type="fixed"/>
        <w:tblInd w:w="0" w:type="dxa"/>
        <w:tblCellMar>
          <w:top w:w="0" w:type="dxa"/>
          <w:left w:w="0" w:type="dxa"/>
          <w:bottom w:w="0" w:type="dxa"/>
          <w:right w:w="0" w:type="dxa"/>
        </w:tblCellMar>
      </w:tblPr>
      <w:tr>
        <w:trPr>
          <w:trHeight w:val="216"/>
        </w:trPr>
        <w:tc>
          <w:tcPr>
            <w:tcW w:w="2760" w:type="dxa"/>
            <w:vAlign w:val="bottom"/>
          </w:tcPr>
          <w:p>
            <w:pPr>
              <w:spacing w:after="0"/>
              <w:rPr>
                <w:sz w:val="18"/>
                <w:szCs w:val="18"/>
                <w:color w:val="auto"/>
              </w:rPr>
            </w:pPr>
          </w:p>
        </w:tc>
        <w:tc>
          <w:tcPr>
            <w:tcW w:w="1840" w:type="dxa"/>
            <w:vAlign w:val="bottom"/>
          </w:tcPr>
          <w:p>
            <w:pPr>
              <w:ind w:left="440"/>
              <w:spacing w:after="0"/>
              <w:rPr>
                <w:sz w:val="20"/>
                <w:szCs w:val="20"/>
                <w:color w:val="auto"/>
              </w:rPr>
            </w:pPr>
            <w:r>
              <w:rPr>
                <w:rFonts w:ascii="Arial" w:cs="Arial" w:eastAsia="Arial" w:hAnsi="Arial"/>
                <w:sz w:val="18"/>
                <w:szCs w:val="18"/>
                <w:color w:val="auto"/>
              </w:rPr>
              <w:t>OPC Asset</w:t>
            </w:r>
          </w:p>
        </w:tc>
        <w:tc>
          <w:tcPr>
            <w:tcW w:w="1600" w:type="dxa"/>
            <w:vAlign w:val="bottom"/>
          </w:tcPr>
          <w:p>
            <w:pPr>
              <w:spacing w:after="0"/>
              <w:rPr>
                <w:sz w:val="18"/>
                <w:szCs w:val="18"/>
                <w:color w:val="auto"/>
              </w:rPr>
            </w:pPr>
          </w:p>
        </w:tc>
        <w:tc>
          <w:tcPr>
            <w:tcW w:w="2180" w:type="dxa"/>
            <w:vAlign w:val="bottom"/>
          </w:tcPr>
          <w:p>
            <w:pPr>
              <w:ind w:left="520"/>
              <w:spacing w:after="0"/>
              <w:rPr>
                <w:sz w:val="20"/>
                <w:szCs w:val="20"/>
                <w:color w:val="auto"/>
              </w:rPr>
            </w:pPr>
            <w:r>
              <w:rPr>
                <w:rFonts w:ascii="Arial" w:cs="Arial" w:eastAsia="Arial" w:hAnsi="Arial"/>
                <w:sz w:val="18"/>
                <w:szCs w:val="18"/>
                <w:color w:val="auto"/>
              </w:rPr>
              <w:t>ATM/other related</w:t>
            </w:r>
          </w:p>
        </w:tc>
        <w:tc>
          <w:tcPr>
            <w:tcW w:w="192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230"/>
        </w:trPr>
        <w:tc>
          <w:tcPr>
            <w:tcW w:w="2760" w:type="dxa"/>
            <w:vAlign w:val="bottom"/>
          </w:tcPr>
          <w:p>
            <w:pPr>
              <w:spacing w:after="0"/>
              <w:rPr>
                <w:sz w:val="20"/>
                <w:szCs w:val="20"/>
                <w:color w:val="auto"/>
              </w:rPr>
            </w:pPr>
            <w:r>
              <w:rPr>
                <w:rFonts w:ascii="Arial" w:cs="Arial" w:eastAsia="Arial" w:hAnsi="Arial"/>
                <w:sz w:val="18"/>
                <w:szCs w:val="18"/>
                <w:color w:val="auto"/>
              </w:rPr>
              <w:t>Euronet Services India Pvt. Ltd.</w:t>
            </w:r>
          </w:p>
        </w:tc>
        <w:tc>
          <w:tcPr>
            <w:tcW w:w="1840" w:type="dxa"/>
            <w:vAlign w:val="bottom"/>
          </w:tcPr>
          <w:p>
            <w:pPr>
              <w:ind w:left="440"/>
              <w:spacing w:after="0"/>
              <w:rPr>
                <w:sz w:val="20"/>
                <w:szCs w:val="20"/>
                <w:color w:val="auto"/>
              </w:rPr>
            </w:pPr>
            <w:r>
              <w:rPr>
                <w:rFonts w:ascii="Arial" w:cs="Arial" w:eastAsia="Arial" w:hAnsi="Arial"/>
                <w:sz w:val="18"/>
                <w:szCs w:val="18"/>
                <w:color w:val="auto"/>
                <w:w w:val="98"/>
              </w:rPr>
              <w:t>Solutions Pvt. Ltd</w:t>
            </w:r>
          </w:p>
        </w:tc>
        <w:tc>
          <w:tcPr>
            <w:tcW w:w="1600" w:type="dxa"/>
            <w:vAlign w:val="bottom"/>
          </w:tcPr>
          <w:p>
            <w:pPr>
              <w:ind w:left="80"/>
              <w:spacing w:after="0"/>
              <w:rPr>
                <w:sz w:val="20"/>
                <w:szCs w:val="20"/>
                <w:color w:val="auto"/>
              </w:rPr>
            </w:pPr>
            <w:r>
              <w:rPr>
                <w:rFonts w:ascii="Arial" w:cs="Arial" w:eastAsia="Arial" w:hAnsi="Arial"/>
                <w:sz w:val="18"/>
                <w:szCs w:val="18"/>
                <w:color w:val="auto"/>
              </w:rPr>
              <w:t>Capital Lease</w:t>
            </w:r>
          </w:p>
        </w:tc>
        <w:tc>
          <w:tcPr>
            <w:tcW w:w="2180" w:type="dxa"/>
            <w:vAlign w:val="bottom"/>
          </w:tcPr>
          <w:p>
            <w:pPr>
              <w:ind w:left="520"/>
              <w:spacing w:after="0"/>
              <w:rPr>
                <w:sz w:val="20"/>
                <w:szCs w:val="20"/>
                <w:color w:val="auto"/>
              </w:rPr>
            </w:pPr>
            <w:r>
              <w:rPr>
                <w:rFonts w:ascii="Arial" w:cs="Arial" w:eastAsia="Arial" w:hAnsi="Arial"/>
                <w:sz w:val="18"/>
                <w:szCs w:val="18"/>
                <w:color w:val="auto"/>
              </w:rPr>
              <w:t>assets</w:t>
            </w:r>
          </w:p>
        </w:tc>
        <w:tc>
          <w:tcPr>
            <w:tcW w:w="1920" w:type="dxa"/>
            <w:vAlign w:val="bottom"/>
          </w:tcPr>
          <w:p>
            <w:pPr>
              <w:jc w:val="right"/>
              <w:ind w:right="370"/>
              <w:spacing w:after="0"/>
              <w:rPr>
                <w:sz w:val="20"/>
                <w:szCs w:val="20"/>
                <w:color w:val="auto"/>
              </w:rPr>
            </w:pPr>
            <w:r>
              <w:rPr>
                <w:rFonts w:ascii="Arial" w:cs="Arial" w:eastAsia="Arial" w:hAnsi="Arial"/>
                <w:sz w:val="18"/>
                <w:szCs w:val="18"/>
                <w:color w:val="auto"/>
              </w:rPr>
              <w:t>INR 1,107</w:t>
            </w:r>
          </w:p>
        </w:tc>
        <w:tc>
          <w:tcPr>
            <w:tcW w:w="104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269"/>
        </w:trPr>
        <w:tc>
          <w:tcPr>
            <w:tcW w:w="2760" w:type="dxa"/>
            <w:vAlign w:val="bottom"/>
          </w:tcPr>
          <w:p>
            <w:pPr>
              <w:spacing w:after="0"/>
              <w:rPr>
                <w:sz w:val="23"/>
                <w:szCs w:val="23"/>
                <w:color w:val="auto"/>
              </w:rPr>
            </w:pPr>
          </w:p>
        </w:tc>
        <w:tc>
          <w:tcPr>
            <w:tcW w:w="1840" w:type="dxa"/>
            <w:vAlign w:val="bottom"/>
          </w:tcPr>
          <w:p>
            <w:pPr>
              <w:ind w:left="440"/>
              <w:spacing w:after="0"/>
              <w:rPr>
                <w:sz w:val="20"/>
                <w:szCs w:val="20"/>
                <w:color w:val="auto"/>
              </w:rPr>
            </w:pPr>
            <w:r>
              <w:rPr>
                <w:rFonts w:ascii="Arial" w:cs="Arial" w:eastAsia="Arial" w:hAnsi="Arial"/>
                <w:sz w:val="18"/>
                <w:szCs w:val="18"/>
                <w:color w:val="auto"/>
              </w:rPr>
              <w:t>OPC Asset</w:t>
            </w:r>
          </w:p>
        </w:tc>
        <w:tc>
          <w:tcPr>
            <w:tcW w:w="1600" w:type="dxa"/>
            <w:vAlign w:val="bottom"/>
          </w:tcPr>
          <w:p>
            <w:pPr>
              <w:spacing w:after="0"/>
              <w:rPr>
                <w:sz w:val="23"/>
                <w:szCs w:val="23"/>
                <w:color w:val="auto"/>
              </w:rPr>
            </w:pPr>
          </w:p>
        </w:tc>
        <w:tc>
          <w:tcPr>
            <w:tcW w:w="2180" w:type="dxa"/>
            <w:vAlign w:val="bottom"/>
          </w:tcPr>
          <w:p>
            <w:pPr>
              <w:ind w:left="520"/>
              <w:spacing w:after="0"/>
              <w:rPr>
                <w:sz w:val="20"/>
                <w:szCs w:val="20"/>
                <w:color w:val="auto"/>
              </w:rPr>
            </w:pPr>
            <w:r>
              <w:rPr>
                <w:rFonts w:ascii="Arial" w:cs="Arial" w:eastAsia="Arial" w:hAnsi="Arial"/>
                <w:sz w:val="18"/>
                <w:szCs w:val="18"/>
                <w:color w:val="auto"/>
              </w:rPr>
              <w:t>ATM/other related</w:t>
            </w:r>
          </w:p>
        </w:tc>
        <w:tc>
          <w:tcPr>
            <w:tcW w:w="1920" w:type="dxa"/>
            <w:vAlign w:val="bottom"/>
          </w:tcPr>
          <w:p>
            <w:pPr>
              <w:spacing w:after="0"/>
              <w:rPr>
                <w:sz w:val="23"/>
                <w:szCs w:val="23"/>
                <w:color w:val="auto"/>
              </w:rPr>
            </w:pPr>
          </w:p>
        </w:tc>
        <w:tc>
          <w:tcPr>
            <w:tcW w:w="1040" w:type="dxa"/>
            <w:vAlign w:val="bottom"/>
          </w:tcPr>
          <w:p>
            <w:pPr>
              <w:spacing w:after="0"/>
              <w:rPr>
                <w:sz w:val="23"/>
                <w:szCs w:val="23"/>
                <w:color w:val="auto"/>
              </w:rPr>
            </w:pPr>
          </w:p>
        </w:tc>
      </w:tr>
      <w:tr>
        <w:trPr>
          <w:trHeight w:val="230"/>
        </w:trPr>
        <w:tc>
          <w:tcPr>
            <w:tcW w:w="2760" w:type="dxa"/>
            <w:vAlign w:val="bottom"/>
          </w:tcPr>
          <w:p>
            <w:pPr>
              <w:spacing w:after="0"/>
              <w:rPr>
                <w:sz w:val="20"/>
                <w:szCs w:val="20"/>
                <w:color w:val="auto"/>
              </w:rPr>
            </w:pPr>
            <w:r>
              <w:rPr>
                <w:rFonts w:ascii="Arial" w:cs="Arial" w:eastAsia="Arial" w:hAnsi="Arial"/>
                <w:sz w:val="18"/>
                <w:szCs w:val="18"/>
                <w:color w:val="auto"/>
              </w:rPr>
              <w:t>Euronet Services India Pvt. Ltd.</w:t>
            </w:r>
          </w:p>
        </w:tc>
        <w:tc>
          <w:tcPr>
            <w:tcW w:w="1840" w:type="dxa"/>
            <w:vAlign w:val="bottom"/>
          </w:tcPr>
          <w:p>
            <w:pPr>
              <w:ind w:left="440"/>
              <w:spacing w:after="0"/>
              <w:rPr>
                <w:sz w:val="20"/>
                <w:szCs w:val="20"/>
                <w:color w:val="auto"/>
              </w:rPr>
            </w:pPr>
            <w:r>
              <w:rPr>
                <w:rFonts w:ascii="Arial" w:cs="Arial" w:eastAsia="Arial" w:hAnsi="Arial"/>
                <w:sz w:val="18"/>
                <w:szCs w:val="18"/>
                <w:color w:val="auto"/>
                <w:w w:val="98"/>
              </w:rPr>
              <w:t>Solutions Pvt. Ltd</w:t>
            </w:r>
          </w:p>
        </w:tc>
        <w:tc>
          <w:tcPr>
            <w:tcW w:w="1600" w:type="dxa"/>
            <w:vAlign w:val="bottom"/>
          </w:tcPr>
          <w:p>
            <w:pPr>
              <w:ind w:left="80"/>
              <w:spacing w:after="0"/>
              <w:rPr>
                <w:sz w:val="20"/>
                <w:szCs w:val="20"/>
                <w:color w:val="auto"/>
              </w:rPr>
            </w:pPr>
            <w:r>
              <w:rPr>
                <w:rFonts w:ascii="Arial" w:cs="Arial" w:eastAsia="Arial" w:hAnsi="Arial"/>
                <w:sz w:val="18"/>
                <w:szCs w:val="18"/>
                <w:color w:val="auto"/>
              </w:rPr>
              <w:t>Capital Lease</w:t>
            </w:r>
          </w:p>
        </w:tc>
        <w:tc>
          <w:tcPr>
            <w:tcW w:w="2180" w:type="dxa"/>
            <w:vAlign w:val="bottom"/>
          </w:tcPr>
          <w:p>
            <w:pPr>
              <w:ind w:left="520"/>
              <w:spacing w:after="0"/>
              <w:rPr>
                <w:sz w:val="20"/>
                <w:szCs w:val="20"/>
                <w:color w:val="auto"/>
              </w:rPr>
            </w:pPr>
            <w:r>
              <w:rPr>
                <w:rFonts w:ascii="Arial" w:cs="Arial" w:eastAsia="Arial" w:hAnsi="Arial"/>
                <w:sz w:val="18"/>
                <w:szCs w:val="18"/>
                <w:color w:val="auto"/>
              </w:rPr>
              <w:t>assets</w:t>
            </w:r>
          </w:p>
        </w:tc>
        <w:tc>
          <w:tcPr>
            <w:tcW w:w="1920" w:type="dxa"/>
            <w:vAlign w:val="bottom"/>
          </w:tcPr>
          <w:p>
            <w:pPr>
              <w:jc w:val="right"/>
              <w:ind w:right="370"/>
              <w:spacing w:after="0"/>
              <w:rPr>
                <w:sz w:val="20"/>
                <w:szCs w:val="20"/>
                <w:color w:val="auto"/>
              </w:rPr>
            </w:pPr>
            <w:r>
              <w:rPr>
                <w:rFonts w:ascii="Arial" w:cs="Arial" w:eastAsia="Arial" w:hAnsi="Arial"/>
                <w:sz w:val="18"/>
                <w:szCs w:val="18"/>
                <w:color w:val="auto"/>
              </w:rPr>
              <w:t>INR 16,862</w:t>
            </w:r>
          </w:p>
        </w:tc>
        <w:tc>
          <w:tcPr>
            <w:tcW w:w="1040" w:type="dxa"/>
            <w:vAlign w:val="bottom"/>
          </w:tcPr>
          <w:p>
            <w:pPr>
              <w:jc w:val="right"/>
              <w:spacing w:after="0"/>
              <w:rPr>
                <w:sz w:val="20"/>
                <w:szCs w:val="20"/>
                <w:color w:val="auto"/>
              </w:rPr>
            </w:pPr>
            <w:r>
              <w:rPr>
                <w:rFonts w:ascii="Arial" w:cs="Arial" w:eastAsia="Arial" w:hAnsi="Arial"/>
                <w:sz w:val="18"/>
                <w:szCs w:val="18"/>
                <w:color w:val="auto"/>
              </w:rPr>
              <w:t>269</w:t>
            </w:r>
          </w:p>
        </w:tc>
      </w:tr>
      <w:tr>
        <w:trPr>
          <w:trHeight w:val="269"/>
        </w:trPr>
        <w:tc>
          <w:tcPr>
            <w:tcW w:w="2760" w:type="dxa"/>
            <w:vAlign w:val="bottom"/>
          </w:tcPr>
          <w:p>
            <w:pPr>
              <w:spacing w:after="0"/>
              <w:rPr>
                <w:sz w:val="23"/>
                <w:szCs w:val="23"/>
                <w:color w:val="auto"/>
              </w:rPr>
            </w:pPr>
          </w:p>
        </w:tc>
        <w:tc>
          <w:tcPr>
            <w:tcW w:w="1840" w:type="dxa"/>
            <w:vAlign w:val="bottom"/>
          </w:tcPr>
          <w:p>
            <w:pPr>
              <w:ind w:left="440"/>
              <w:spacing w:after="0"/>
              <w:rPr>
                <w:sz w:val="20"/>
                <w:szCs w:val="20"/>
                <w:color w:val="auto"/>
              </w:rPr>
            </w:pPr>
            <w:r>
              <w:rPr>
                <w:rFonts w:ascii="Arial" w:cs="Arial" w:eastAsia="Arial" w:hAnsi="Arial"/>
                <w:sz w:val="18"/>
                <w:szCs w:val="18"/>
                <w:color w:val="auto"/>
              </w:rPr>
              <w:t>OPC Asset</w:t>
            </w:r>
          </w:p>
        </w:tc>
        <w:tc>
          <w:tcPr>
            <w:tcW w:w="1600" w:type="dxa"/>
            <w:vAlign w:val="bottom"/>
          </w:tcPr>
          <w:p>
            <w:pPr>
              <w:spacing w:after="0"/>
              <w:rPr>
                <w:sz w:val="23"/>
                <w:szCs w:val="23"/>
                <w:color w:val="auto"/>
              </w:rPr>
            </w:pPr>
          </w:p>
        </w:tc>
        <w:tc>
          <w:tcPr>
            <w:tcW w:w="2180" w:type="dxa"/>
            <w:vAlign w:val="bottom"/>
          </w:tcPr>
          <w:p>
            <w:pPr>
              <w:ind w:left="520"/>
              <w:spacing w:after="0"/>
              <w:rPr>
                <w:sz w:val="20"/>
                <w:szCs w:val="20"/>
                <w:color w:val="auto"/>
              </w:rPr>
            </w:pPr>
            <w:r>
              <w:rPr>
                <w:rFonts w:ascii="Arial" w:cs="Arial" w:eastAsia="Arial" w:hAnsi="Arial"/>
                <w:sz w:val="18"/>
                <w:szCs w:val="18"/>
                <w:color w:val="auto"/>
              </w:rPr>
              <w:t>ATM/other related</w:t>
            </w:r>
          </w:p>
        </w:tc>
        <w:tc>
          <w:tcPr>
            <w:tcW w:w="1920" w:type="dxa"/>
            <w:vAlign w:val="bottom"/>
          </w:tcPr>
          <w:p>
            <w:pPr>
              <w:spacing w:after="0"/>
              <w:rPr>
                <w:sz w:val="23"/>
                <w:szCs w:val="23"/>
                <w:color w:val="auto"/>
              </w:rPr>
            </w:pPr>
          </w:p>
        </w:tc>
        <w:tc>
          <w:tcPr>
            <w:tcW w:w="1040" w:type="dxa"/>
            <w:vAlign w:val="bottom"/>
          </w:tcPr>
          <w:p>
            <w:pPr>
              <w:spacing w:after="0"/>
              <w:rPr>
                <w:sz w:val="23"/>
                <w:szCs w:val="23"/>
                <w:color w:val="auto"/>
              </w:rPr>
            </w:pPr>
          </w:p>
        </w:tc>
      </w:tr>
      <w:tr>
        <w:trPr>
          <w:trHeight w:val="230"/>
        </w:trPr>
        <w:tc>
          <w:tcPr>
            <w:tcW w:w="2760" w:type="dxa"/>
            <w:vAlign w:val="bottom"/>
          </w:tcPr>
          <w:p>
            <w:pPr>
              <w:spacing w:after="0"/>
              <w:rPr>
                <w:sz w:val="20"/>
                <w:szCs w:val="20"/>
                <w:color w:val="auto"/>
              </w:rPr>
            </w:pPr>
            <w:r>
              <w:rPr>
                <w:rFonts w:ascii="Arial" w:cs="Arial" w:eastAsia="Arial" w:hAnsi="Arial"/>
                <w:sz w:val="18"/>
                <w:szCs w:val="18"/>
                <w:color w:val="auto"/>
              </w:rPr>
              <w:t>Euronet Services India Pvt. Ltd.</w:t>
            </w:r>
          </w:p>
        </w:tc>
        <w:tc>
          <w:tcPr>
            <w:tcW w:w="1840" w:type="dxa"/>
            <w:vAlign w:val="bottom"/>
          </w:tcPr>
          <w:p>
            <w:pPr>
              <w:ind w:left="440"/>
              <w:spacing w:after="0"/>
              <w:rPr>
                <w:sz w:val="20"/>
                <w:szCs w:val="20"/>
                <w:color w:val="auto"/>
              </w:rPr>
            </w:pPr>
            <w:r>
              <w:rPr>
                <w:rFonts w:ascii="Arial" w:cs="Arial" w:eastAsia="Arial" w:hAnsi="Arial"/>
                <w:sz w:val="18"/>
                <w:szCs w:val="18"/>
                <w:color w:val="auto"/>
                <w:w w:val="98"/>
              </w:rPr>
              <w:t>Solutions Pvt. Ltd</w:t>
            </w:r>
          </w:p>
        </w:tc>
        <w:tc>
          <w:tcPr>
            <w:tcW w:w="1600" w:type="dxa"/>
            <w:vAlign w:val="bottom"/>
          </w:tcPr>
          <w:p>
            <w:pPr>
              <w:ind w:left="80"/>
              <w:spacing w:after="0"/>
              <w:rPr>
                <w:sz w:val="20"/>
                <w:szCs w:val="20"/>
                <w:color w:val="auto"/>
              </w:rPr>
            </w:pPr>
            <w:r>
              <w:rPr>
                <w:rFonts w:ascii="Arial" w:cs="Arial" w:eastAsia="Arial" w:hAnsi="Arial"/>
                <w:sz w:val="18"/>
                <w:szCs w:val="18"/>
                <w:color w:val="auto"/>
              </w:rPr>
              <w:t>Capital Lease</w:t>
            </w:r>
          </w:p>
        </w:tc>
        <w:tc>
          <w:tcPr>
            <w:tcW w:w="2180" w:type="dxa"/>
            <w:vAlign w:val="bottom"/>
          </w:tcPr>
          <w:p>
            <w:pPr>
              <w:ind w:left="520"/>
              <w:spacing w:after="0"/>
              <w:rPr>
                <w:sz w:val="20"/>
                <w:szCs w:val="20"/>
                <w:color w:val="auto"/>
              </w:rPr>
            </w:pPr>
            <w:r>
              <w:rPr>
                <w:rFonts w:ascii="Arial" w:cs="Arial" w:eastAsia="Arial" w:hAnsi="Arial"/>
                <w:sz w:val="18"/>
                <w:szCs w:val="18"/>
                <w:color w:val="auto"/>
              </w:rPr>
              <w:t>assets</w:t>
            </w:r>
          </w:p>
        </w:tc>
        <w:tc>
          <w:tcPr>
            <w:tcW w:w="1920" w:type="dxa"/>
            <w:vAlign w:val="bottom"/>
          </w:tcPr>
          <w:p>
            <w:pPr>
              <w:jc w:val="right"/>
              <w:ind w:right="370"/>
              <w:spacing w:after="0"/>
              <w:rPr>
                <w:sz w:val="20"/>
                <w:szCs w:val="20"/>
                <w:color w:val="auto"/>
              </w:rPr>
            </w:pPr>
            <w:r>
              <w:rPr>
                <w:rFonts w:ascii="Arial" w:cs="Arial" w:eastAsia="Arial" w:hAnsi="Arial"/>
                <w:sz w:val="18"/>
                <w:szCs w:val="18"/>
                <w:color w:val="auto"/>
              </w:rPr>
              <w:t>INR 53,618</w:t>
            </w:r>
          </w:p>
        </w:tc>
        <w:tc>
          <w:tcPr>
            <w:tcW w:w="1040" w:type="dxa"/>
            <w:vAlign w:val="bottom"/>
          </w:tcPr>
          <w:p>
            <w:pPr>
              <w:jc w:val="right"/>
              <w:spacing w:after="0"/>
              <w:rPr>
                <w:sz w:val="20"/>
                <w:szCs w:val="20"/>
                <w:color w:val="auto"/>
              </w:rPr>
            </w:pPr>
            <w:r>
              <w:rPr>
                <w:rFonts w:ascii="Arial" w:cs="Arial" w:eastAsia="Arial" w:hAnsi="Arial"/>
                <w:sz w:val="18"/>
                <w:szCs w:val="18"/>
                <w:color w:val="auto"/>
              </w:rPr>
              <w:t>855</w:t>
            </w:r>
          </w:p>
        </w:tc>
      </w:tr>
      <w:tr>
        <w:trPr>
          <w:trHeight w:val="269"/>
        </w:trPr>
        <w:tc>
          <w:tcPr>
            <w:tcW w:w="2760" w:type="dxa"/>
            <w:vAlign w:val="bottom"/>
          </w:tcPr>
          <w:p>
            <w:pPr>
              <w:spacing w:after="0"/>
              <w:rPr>
                <w:sz w:val="23"/>
                <w:szCs w:val="23"/>
                <w:color w:val="auto"/>
              </w:rPr>
            </w:pPr>
          </w:p>
        </w:tc>
        <w:tc>
          <w:tcPr>
            <w:tcW w:w="1840" w:type="dxa"/>
            <w:vAlign w:val="bottom"/>
          </w:tcPr>
          <w:p>
            <w:pPr>
              <w:ind w:left="440"/>
              <w:spacing w:after="0"/>
              <w:rPr>
                <w:sz w:val="20"/>
                <w:szCs w:val="20"/>
                <w:color w:val="auto"/>
              </w:rPr>
            </w:pPr>
            <w:r>
              <w:rPr>
                <w:rFonts w:ascii="Arial" w:cs="Arial" w:eastAsia="Arial" w:hAnsi="Arial"/>
                <w:sz w:val="18"/>
                <w:szCs w:val="18"/>
                <w:color w:val="auto"/>
              </w:rPr>
              <w:t>OPC Asset</w:t>
            </w:r>
          </w:p>
        </w:tc>
        <w:tc>
          <w:tcPr>
            <w:tcW w:w="1600" w:type="dxa"/>
            <w:vAlign w:val="bottom"/>
          </w:tcPr>
          <w:p>
            <w:pPr>
              <w:spacing w:after="0"/>
              <w:rPr>
                <w:sz w:val="23"/>
                <w:szCs w:val="23"/>
                <w:color w:val="auto"/>
              </w:rPr>
            </w:pPr>
          </w:p>
        </w:tc>
        <w:tc>
          <w:tcPr>
            <w:tcW w:w="2180" w:type="dxa"/>
            <w:vAlign w:val="bottom"/>
          </w:tcPr>
          <w:p>
            <w:pPr>
              <w:ind w:left="520"/>
              <w:spacing w:after="0"/>
              <w:rPr>
                <w:sz w:val="20"/>
                <w:szCs w:val="20"/>
                <w:color w:val="auto"/>
              </w:rPr>
            </w:pPr>
            <w:r>
              <w:rPr>
                <w:rFonts w:ascii="Arial" w:cs="Arial" w:eastAsia="Arial" w:hAnsi="Arial"/>
                <w:sz w:val="18"/>
                <w:szCs w:val="18"/>
                <w:color w:val="auto"/>
              </w:rPr>
              <w:t>ATM/other related</w:t>
            </w:r>
          </w:p>
        </w:tc>
        <w:tc>
          <w:tcPr>
            <w:tcW w:w="1920" w:type="dxa"/>
            <w:vAlign w:val="bottom"/>
          </w:tcPr>
          <w:p>
            <w:pPr>
              <w:spacing w:after="0"/>
              <w:rPr>
                <w:sz w:val="23"/>
                <w:szCs w:val="23"/>
                <w:color w:val="auto"/>
              </w:rPr>
            </w:pPr>
          </w:p>
        </w:tc>
        <w:tc>
          <w:tcPr>
            <w:tcW w:w="1040" w:type="dxa"/>
            <w:vAlign w:val="bottom"/>
          </w:tcPr>
          <w:p>
            <w:pPr>
              <w:spacing w:after="0"/>
              <w:rPr>
                <w:sz w:val="23"/>
                <w:szCs w:val="23"/>
                <w:color w:val="auto"/>
              </w:rPr>
            </w:pPr>
          </w:p>
        </w:tc>
      </w:tr>
      <w:tr>
        <w:trPr>
          <w:trHeight w:val="230"/>
        </w:trPr>
        <w:tc>
          <w:tcPr>
            <w:tcW w:w="2760" w:type="dxa"/>
            <w:vAlign w:val="bottom"/>
          </w:tcPr>
          <w:p>
            <w:pPr>
              <w:spacing w:after="0"/>
              <w:rPr>
                <w:sz w:val="20"/>
                <w:szCs w:val="20"/>
                <w:color w:val="auto"/>
              </w:rPr>
            </w:pPr>
            <w:r>
              <w:rPr>
                <w:rFonts w:ascii="Arial" w:cs="Arial" w:eastAsia="Arial" w:hAnsi="Arial"/>
                <w:sz w:val="18"/>
                <w:szCs w:val="18"/>
                <w:color w:val="auto"/>
              </w:rPr>
              <w:t>Euronet Services India Pvt. Ltd.</w:t>
            </w:r>
          </w:p>
        </w:tc>
        <w:tc>
          <w:tcPr>
            <w:tcW w:w="1840" w:type="dxa"/>
            <w:vAlign w:val="bottom"/>
          </w:tcPr>
          <w:p>
            <w:pPr>
              <w:ind w:left="440"/>
              <w:spacing w:after="0"/>
              <w:rPr>
                <w:sz w:val="20"/>
                <w:szCs w:val="20"/>
                <w:color w:val="auto"/>
              </w:rPr>
            </w:pPr>
            <w:r>
              <w:rPr>
                <w:rFonts w:ascii="Arial" w:cs="Arial" w:eastAsia="Arial" w:hAnsi="Arial"/>
                <w:sz w:val="18"/>
                <w:szCs w:val="18"/>
                <w:color w:val="auto"/>
                <w:w w:val="98"/>
              </w:rPr>
              <w:t>Solutions Pvt. Ltd</w:t>
            </w:r>
          </w:p>
        </w:tc>
        <w:tc>
          <w:tcPr>
            <w:tcW w:w="1600" w:type="dxa"/>
            <w:vAlign w:val="bottom"/>
          </w:tcPr>
          <w:p>
            <w:pPr>
              <w:ind w:left="80"/>
              <w:spacing w:after="0"/>
              <w:rPr>
                <w:sz w:val="20"/>
                <w:szCs w:val="20"/>
                <w:color w:val="auto"/>
              </w:rPr>
            </w:pPr>
            <w:r>
              <w:rPr>
                <w:rFonts w:ascii="Arial" w:cs="Arial" w:eastAsia="Arial" w:hAnsi="Arial"/>
                <w:sz w:val="18"/>
                <w:szCs w:val="18"/>
                <w:color w:val="auto"/>
              </w:rPr>
              <w:t>Capital Lease</w:t>
            </w:r>
          </w:p>
        </w:tc>
        <w:tc>
          <w:tcPr>
            <w:tcW w:w="2180" w:type="dxa"/>
            <w:vAlign w:val="bottom"/>
          </w:tcPr>
          <w:p>
            <w:pPr>
              <w:ind w:left="520"/>
              <w:spacing w:after="0"/>
              <w:rPr>
                <w:sz w:val="20"/>
                <w:szCs w:val="20"/>
                <w:color w:val="auto"/>
              </w:rPr>
            </w:pPr>
            <w:r>
              <w:rPr>
                <w:rFonts w:ascii="Arial" w:cs="Arial" w:eastAsia="Arial" w:hAnsi="Arial"/>
                <w:sz w:val="18"/>
                <w:szCs w:val="18"/>
                <w:color w:val="auto"/>
              </w:rPr>
              <w:t>assets</w:t>
            </w:r>
          </w:p>
        </w:tc>
        <w:tc>
          <w:tcPr>
            <w:tcW w:w="1920" w:type="dxa"/>
            <w:vAlign w:val="bottom"/>
          </w:tcPr>
          <w:p>
            <w:pPr>
              <w:jc w:val="right"/>
              <w:ind w:right="370"/>
              <w:spacing w:after="0"/>
              <w:rPr>
                <w:sz w:val="20"/>
                <w:szCs w:val="20"/>
                <w:color w:val="auto"/>
              </w:rPr>
            </w:pPr>
            <w:r>
              <w:rPr>
                <w:rFonts w:ascii="Arial" w:cs="Arial" w:eastAsia="Arial" w:hAnsi="Arial"/>
                <w:sz w:val="18"/>
                <w:szCs w:val="18"/>
                <w:color w:val="auto"/>
              </w:rPr>
              <w:t>INR 7,712</w:t>
            </w:r>
          </w:p>
        </w:tc>
        <w:tc>
          <w:tcPr>
            <w:tcW w:w="1040" w:type="dxa"/>
            <w:vAlign w:val="bottom"/>
          </w:tcPr>
          <w:p>
            <w:pPr>
              <w:jc w:val="right"/>
              <w:spacing w:after="0"/>
              <w:rPr>
                <w:sz w:val="20"/>
                <w:szCs w:val="20"/>
                <w:color w:val="auto"/>
              </w:rPr>
            </w:pPr>
            <w:r>
              <w:rPr>
                <w:rFonts w:ascii="Arial" w:cs="Arial" w:eastAsia="Arial" w:hAnsi="Arial"/>
                <w:sz w:val="18"/>
                <w:szCs w:val="18"/>
                <w:color w:val="auto"/>
              </w:rPr>
              <w:t>123</w:t>
            </w:r>
          </w:p>
        </w:tc>
      </w:tr>
      <w:tr>
        <w:trPr>
          <w:trHeight w:val="269"/>
        </w:trPr>
        <w:tc>
          <w:tcPr>
            <w:tcW w:w="2760" w:type="dxa"/>
            <w:vAlign w:val="bottom"/>
          </w:tcPr>
          <w:p>
            <w:pPr>
              <w:spacing w:after="0"/>
              <w:rPr>
                <w:sz w:val="23"/>
                <w:szCs w:val="23"/>
                <w:color w:val="auto"/>
              </w:rPr>
            </w:pPr>
          </w:p>
        </w:tc>
        <w:tc>
          <w:tcPr>
            <w:tcW w:w="1840" w:type="dxa"/>
            <w:vAlign w:val="bottom"/>
          </w:tcPr>
          <w:p>
            <w:pPr>
              <w:ind w:left="440"/>
              <w:spacing w:after="0"/>
              <w:rPr>
                <w:sz w:val="20"/>
                <w:szCs w:val="20"/>
                <w:color w:val="auto"/>
              </w:rPr>
            </w:pPr>
            <w:r>
              <w:rPr>
                <w:rFonts w:ascii="Arial" w:cs="Arial" w:eastAsia="Arial" w:hAnsi="Arial"/>
                <w:sz w:val="18"/>
                <w:szCs w:val="18"/>
                <w:color w:val="auto"/>
              </w:rPr>
              <w:t>OPC Asset</w:t>
            </w:r>
          </w:p>
        </w:tc>
        <w:tc>
          <w:tcPr>
            <w:tcW w:w="1600" w:type="dxa"/>
            <w:vAlign w:val="bottom"/>
          </w:tcPr>
          <w:p>
            <w:pPr>
              <w:spacing w:after="0"/>
              <w:rPr>
                <w:sz w:val="23"/>
                <w:szCs w:val="23"/>
                <w:color w:val="auto"/>
              </w:rPr>
            </w:pPr>
          </w:p>
        </w:tc>
        <w:tc>
          <w:tcPr>
            <w:tcW w:w="2180" w:type="dxa"/>
            <w:vAlign w:val="bottom"/>
          </w:tcPr>
          <w:p>
            <w:pPr>
              <w:ind w:left="520"/>
              <w:spacing w:after="0"/>
              <w:rPr>
                <w:sz w:val="20"/>
                <w:szCs w:val="20"/>
                <w:color w:val="auto"/>
              </w:rPr>
            </w:pPr>
            <w:r>
              <w:rPr>
                <w:rFonts w:ascii="Arial" w:cs="Arial" w:eastAsia="Arial" w:hAnsi="Arial"/>
                <w:sz w:val="18"/>
                <w:szCs w:val="18"/>
                <w:color w:val="auto"/>
              </w:rPr>
              <w:t>ATM/other related</w:t>
            </w:r>
          </w:p>
        </w:tc>
        <w:tc>
          <w:tcPr>
            <w:tcW w:w="1920" w:type="dxa"/>
            <w:vAlign w:val="bottom"/>
          </w:tcPr>
          <w:p>
            <w:pPr>
              <w:spacing w:after="0"/>
              <w:rPr>
                <w:sz w:val="23"/>
                <w:szCs w:val="23"/>
                <w:color w:val="auto"/>
              </w:rPr>
            </w:pPr>
          </w:p>
        </w:tc>
        <w:tc>
          <w:tcPr>
            <w:tcW w:w="1040" w:type="dxa"/>
            <w:vAlign w:val="bottom"/>
          </w:tcPr>
          <w:p>
            <w:pPr>
              <w:spacing w:after="0"/>
              <w:rPr>
                <w:sz w:val="23"/>
                <w:szCs w:val="23"/>
                <w:color w:val="auto"/>
              </w:rPr>
            </w:pPr>
          </w:p>
        </w:tc>
      </w:tr>
      <w:tr>
        <w:trPr>
          <w:trHeight w:val="230"/>
        </w:trPr>
        <w:tc>
          <w:tcPr>
            <w:tcW w:w="2760" w:type="dxa"/>
            <w:vAlign w:val="bottom"/>
          </w:tcPr>
          <w:p>
            <w:pPr>
              <w:spacing w:after="0"/>
              <w:rPr>
                <w:sz w:val="20"/>
                <w:szCs w:val="20"/>
                <w:color w:val="auto"/>
              </w:rPr>
            </w:pPr>
            <w:r>
              <w:rPr>
                <w:rFonts w:ascii="Arial" w:cs="Arial" w:eastAsia="Arial" w:hAnsi="Arial"/>
                <w:sz w:val="18"/>
                <w:szCs w:val="18"/>
                <w:color w:val="auto"/>
              </w:rPr>
              <w:t>Euronet Services India Pvt. Ltd.</w:t>
            </w:r>
          </w:p>
        </w:tc>
        <w:tc>
          <w:tcPr>
            <w:tcW w:w="1840" w:type="dxa"/>
            <w:vAlign w:val="bottom"/>
          </w:tcPr>
          <w:p>
            <w:pPr>
              <w:ind w:left="440"/>
              <w:spacing w:after="0"/>
              <w:rPr>
                <w:sz w:val="20"/>
                <w:szCs w:val="20"/>
                <w:color w:val="auto"/>
              </w:rPr>
            </w:pPr>
            <w:r>
              <w:rPr>
                <w:rFonts w:ascii="Arial" w:cs="Arial" w:eastAsia="Arial" w:hAnsi="Arial"/>
                <w:sz w:val="18"/>
                <w:szCs w:val="18"/>
                <w:color w:val="auto"/>
                <w:w w:val="98"/>
              </w:rPr>
              <w:t>Solutions Pvt. Ltd</w:t>
            </w:r>
          </w:p>
        </w:tc>
        <w:tc>
          <w:tcPr>
            <w:tcW w:w="1600" w:type="dxa"/>
            <w:vAlign w:val="bottom"/>
          </w:tcPr>
          <w:p>
            <w:pPr>
              <w:ind w:left="80"/>
              <w:spacing w:after="0"/>
              <w:rPr>
                <w:sz w:val="20"/>
                <w:szCs w:val="20"/>
                <w:color w:val="auto"/>
              </w:rPr>
            </w:pPr>
            <w:r>
              <w:rPr>
                <w:rFonts w:ascii="Arial" w:cs="Arial" w:eastAsia="Arial" w:hAnsi="Arial"/>
                <w:sz w:val="18"/>
                <w:szCs w:val="18"/>
                <w:color w:val="auto"/>
              </w:rPr>
              <w:t>Capital Lease</w:t>
            </w:r>
          </w:p>
        </w:tc>
        <w:tc>
          <w:tcPr>
            <w:tcW w:w="2180" w:type="dxa"/>
            <w:vAlign w:val="bottom"/>
          </w:tcPr>
          <w:p>
            <w:pPr>
              <w:ind w:left="520"/>
              <w:spacing w:after="0"/>
              <w:rPr>
                <w:sz w:val="20"/>
                <w:szCs w:val="20"/>
                <w:color w:val="auto"/>
              </w:rPr>
            </w:pPr>
            <w:r>
              <w:rPr>
                <w:rFonts w:ascii="Arial" w:cs="Arial" w:eastAsia="Arial" w:hAnsi="Arial"/>
                <w:sz w:val="18"/>
                <w:szCs w:val="18"/>
                <w:color w:val="auto"/>
              </w:rPr>
              <w:t>assets</w:t>
            </w:r>
          </w:p>
        </w:tc>
        <w:tc>
          <w:tcPr>
            <w:tcW w:w="1920" w:type="dxa"/>
            <w:vAlign w:val="bottom"/>
          </w:tcPr>
          <w:p>
            <w:pPr>
              <w:jc w:val="right"/>
              <w:ind w:right="370"/>
              <w:spacing w:after="0"/>
              <w:rPr>
                <w:sz w:val="20"/>
                <w:szCs w:val="20"/>
                <w:color w:val="auto"/>
              </w:rPr>
            </w:pPr>
            <w:r>
              <w:rPr>
                <w:rFonts w:ascii="Arial" w:cs="Arial" w:eastAsia="Arial" w:hAnsi="Arial"/>
                <w:sz w:val="18"/>
                <w:szCs w:val="18"/>
                <w:color w:val="auto"/>
              </w:rPr>
              <w:t>INR 37,459</w:t>
            </w:r>
          </w:p>
        </w:tc>
        <w:tc>
          <w:tcPr>
            <w:tcW w:w="1040" w:type="dxa"/>
            <w:vAlign w:val="bottom"/>
          </w:tcPr>
          <w:p>
            <w:pPr>
              <w:jc w:val="right"/>
              <w:spacing w:after="0"/>
              <w:rPr>
                <w:sz w:val="20"/>
                <w:szCs w:val="20"/>
                <w:color w:val="auto"/>
              </w:rPr>
            </w:pPr>
            <w:r>
              <w:rPr>
                <w:rFonts w:ascii="Arial" w:cs="Arial" w:eastAsia="Arial" w:hAnsi="Arial"/>
                <w:sz w:val="18"/>
                <w:szCs w:val="18"/>
                <w:color w:val="auto"/>
              </w:rPr>
              <w:t>598</w:t>
            </w:r>
          </w:p>
        </w:tc>
      </w:tr>
      <w:tr>
        <w:trPr>
          <w:trHeight w:val="269"/>
        </w:trPr>
        <w:tc>
          <w:tcPr>
            <w:tcW w:w="2760" w:type="dxa"/>
            <w:vAlign w:val="bottom"/>
          </w:tcPr>
          <w:p>
            <w:pPr>
              <w:spacing w:after="0"/>
              <w:rPr>
                <w:sz w:val="23"/>
                <w:szCs w:val="23"/>
                <w:color w:val="auto"/>
              </w:rPr>
            </w:pPr>
          </w:p>
        </w:tc>
        <w:tc>
          <w:tcPr>
            <w:tcW w:w="1840" w:type="dxa"/>
            <w:vAlign w:val="bottom"/>
          </w:tcPr>
          <w:p>
            <w:pPr>
              <w:ind w:left="440"/>
              <w:spacing w:after="0"/>
              <w:rPr>
                <w:sz w:val="20"/>
                <w:szCs w:val="20"/>
                <w:color w:val="auto"/>
              </w:rPr>
            </w:pPr>
            <w:r>
              <w:rPr>
                <w:rFonts w:ascii="Arial" w:cs="Arial" w:eastAsia="Arial" w:hAnsi="Arial"/>
                <w:sz w:val="18"/>
                <w:szCs w:val="18"/>
                <w:color w:val="auto"/>
              </w:rPr>
              <w:t>OPC Asset</w:t>
            </w:r>
          </w:p>
        </w:tc>
        <w:tc>
          <w:tcPr>
            <w:tcW w:w="1600" w:type="dxa"/>
            <w:vAlign w:val="bottom"/>
          </w:tcPr>
          <w:p>
            <w:pPr>
              <w:spacing w:after="0"/>
              <w:rPr>
                <w:sz w:val="23"/>
                <w:szCs w:val="23"/>
                <w:color w:val="auto"/>
              </w:rPr>
            </w:pPr>
          </w:p>
        </w:tc>
        <w:tc>
          <w:tcPr>
            <w:tcW w:w="2180" w:type="dxa"/>
            <w:vAlign w:val="bottom"/>
          </w:tcPr>
          <w:p>
            <w:pPr>
              <w:ind w:left="520"/>
              <w:spacing w:after="0"/>
              <w:rPr>
                <w:sz w:val="20"/>
                <w:szCs w:val="20"/>
                <w:color w:val="auto"/>
              </w:rPr>
            </w:pPr>
            <w:r>
              <w:rPr>
                <w:rFonts w:ascii="Arial" w:cs="Arial" w:eastAsia="Arial" w:hAnsi="Arial"/>
                <w:sz w:val="18"/>
                <w:szCs w:val="18"/>
                <w:color w:val="auto"/>
              </w:rPr>
              <w:t>ATM/other related</w:t>
            </w:r>
          </w:p>
        </w:tc>
        <w:tc>
          <w:tcPr>
            <w:tcW w:w="1920" w:type="dxa"/>
            <w:vAlign w:val="bottom"/>
          </w:tcPr>
          <w:p>
            <w:pPr>
              <w:spacing w:after="0"/>
              <w:rPr>
                <w:sz w:val="23"/>
                <w:szCs w:val="23"/>
                <w:color w:val="auto"/>
              </w:rPr>
            </w:pPr>
          </w:p>
        </w:tc>
        <w:tc>
          <w:tcPr>
            <w:tcW w:w="1040" w:type="dxa"/>
            <w:vAlign w:val="bottom"/>
          </w:tcPr>
          <w:p>
            <w:pPr>
              <w:spacing w:after="0"/>
              <w:rPr>
                <w:sz w:val="23"/>
                <w:szCs w:val="23"/>
                <w:color w:val="auto"/>
              </w:rPr>
            </w:pPr>
          </w:p>
        </w:tc>
      </w:tr>
      <w:tr>
        <w:trPr>
          <w:trHeight w:val="230"/>
        </w:trPr>
        <w:tc>
          <w:tcPr>
            <w:tcW w:w="2760" w:type="dxa"/>
            <w:vAlign w:val="bottom"/>
          </w:tcPr>
          <w:p>
            <w:pPr>
              <w:spacing w:after="0"/>
              <w:rPr>
                <w:sz w:val="20"/>
                <w:szCs w:val="20"/>
                <w:color w:val="auto"/>
              </w:rPr>
            </w:pPr>
            <w:r>
              <w:rPr>
                <w:rFonts w:ascii="Arial" w:cs="Arial" w:eastAsia="Arial" w:hAnsi="Arial"/>
                <w:sz w:val="18"/>
                <w:szCs w:val="18"/>
                <w:color w:val="auto"/>
              </w:rPr>
              <w:t>Euronet Services India Pvt. Ltd.</w:t>
            </w:r>
          </w:p>
        </w:tc>
        <w:tc>
          <w:tcPr>
            <w:tcW w:w="1840" w:type="dxa"/>
            <w:vAlign w:val="bottom"/>
          </w:tcPr>
          <w:p>
            <w:pPr>
              <w:ind w:left="440"/>
              <w:spacing w:after="0"/>
              <w:rPr>
                <w:sz w:val="20"/>
                <w:szCs w:val="20"/>
                <w:color w:val="auto"/>
              </w:rPr>
            </w:pPr>
            <w:r>
              <w:rPr>
                <w:rFonts w:ascii="Arial" w:cs="Arial" w:eastAsia="Arial" w:hAnsi="Arial"/>
                <w:sz w:val="18"/>
                <w:szCs w:val="18"/>
                <w:color w:val="auto"/>
                <w:w w:val="98"/>
              </w:rPr>
              <w:t>Solutions Pvt. Ltd</w:t>
            </w:r>
          </w:p>
        </w:tc>
        <w:tc>
          <w:tcPr>
            <w:tcW w:w="1600" w:type="dxa"/>
            <w:vAlign w:val="bottom"/>
          </w:tcPr>
          <w:p>
            <w:pPr>
              <w:ind w:left="80"/>
              <w:spacing w:after="0"/>
              <w:rPr>
                <w:sz w:val="20"/>
                <w:szCs w:val="20"/>
                <w:color w:val="auto"/>
              </w:rPr>
            </w:pPr>
            <w:r>
              <w:rPr>
                <w:rFonts w:ascii="Arial" w:cs="Arial" w:eastAsia="Arial" w:hAnsi="Arial"/>
                <w:sz w:val="18"/>
                <w:szCs w:val="18"/>
                <w:color w:val="auto"/>
              </w:rPr>
              <w:t>Capital Lease</w:t>
            </w:r>
          </w:p>
        </w:tc>
        <w:tc>
          <w:tcPr>
            <w:tcW w:w="2180" w:type="dxa"/>
            <w:vAlign w:val="bottom"/>
          </w:tcPr>
          <w:p>
            <w:pPr>
              <w:ind w:left="520"/>
              <w:spacing w:after="0"/>
              <w:rPr>
                <w:sz w:val="20"/>
                <w:szCs w:val="20"/>
                <w:color w:val="auto"/>
              </w:rPr>
            </w:pPr>
            <w:r>
              <w:rPr>
                <w:rFonts w:ascii="Arial" w:cs="Arial" w:eastAsia="Arial" w:hAnsi="Arial"/>
                <w:sz w:val="18"/>
                <w:szCs w:val="18"/>
                <w:color w:val="auto"/>
              </w:rPr>
              <w:t>assets</w:t>
            </w:r>
          </w:p>
        </w:tc>
        <w:tc>
          <w:tcPr>
            <w:tcW w:w="1920" w:type="dxa"/>
            <w:vAlign w:val="bottom"/>
          </w:tcPr>
          <w:p>
            <w:pPr>
              <w:jc w:val="right"/>
              <w:ind w:right="370"/>
              <w:spacing w:after="0"/>
              <w:rPr>
                <w:sz w:val="20"/>
                <w:szCs w:val="20"/>
                <w:color w:val="auto"/>
              </w:rPr>
            </w:pPr>
            <w:r>
              <w:rPr>
                <w:rFonts w:ascii="Arial" w:cs="Arial" w:eastAsia="Arial" w:hAnsi="Arial"/>
                <w:sz w:val="18"/>
                <w:szCs w:val="18"/>
                <w:color w:val="auto"/>
              </w:rPr>
              <w:t>INR 118,105</w:t>
            </w:r>
          </w:p>
        </w:tc>
        <w:tc>
          <w:tcPr>
            <w:tcW w:w="1040" w:type="dxa"/>
            <w:vAlign w:val="bottom"/>
          </w:tcPr>
          <w:p>
            <w:pPr>
              <w:jc w:val="right"/>
              <w:spacing w:after="0"/>
              <w:rPr>
                <w:sz w:val="20"/>
                <w:szCs w:val="20"/>
                <w:color w:val="auto"/>
              </w:rPr>
            </w:pPr>
            <w:r>
              <w:rPr>
                <w:rFonts w:ascii="Arial" w:cs="Arial" w:eastAsia="Arial" w:hAnsi="Arial"/>
                <w:sz w:val="18"/>
                <w:szCs w:val="18"/>
                <w:color w:val="auto"/>
              </w:rPr>
              <w:t>1,884</w:t>
            </w:r>
          </w:p>
        </w:tc>
      </w:tr>
      <w:tr>
        <w:trPr>
          <w:trHeight w:val="269"/>
        </w:trPr>
        <w:tc>
          <w:tcPr>
            <w:tcW w:w="2760" w:type="dxa"/>
            <w:vAlign w:val="bottom"/>
          </w:tcPr>
          <w:p>
            <w:pPr>
              <w:spacing w:after="0"/>
              <w:rPr>
                <w:sz w:val="23"/>
                <w:szCs w:val="23"/>
                <w:color w:val="auto"/>
              </w:rPr>
            </w:pPr>
          </w:p>
        </w:tc>
        <w:tc>
          <w:tcPr>
            <w:tcW w:w="1840" w:type="dxa"/>
            <w:vAlign w:val="bottom"/>
          </w:tcPr>
          <w:p>
            <w:pPr>
              <w:ind w:left="440"/>
              <w:spacing w:after="0"/>
              <w:rPr>
                <w:sz w:val="20"/>
                <w:szCs w:val="20"/>
                <w:color w:val="auto"/>
              </w:rPr>
            </w:pPr>
            <w:r>
              <w:rPr>
                <w:rFonts w:ascii="Arial" w:cs="Arial" w:eastAsia="Arial" w:hAnsi="Arial"/>
                <w:sz w:val="18"/>
                <w:szCs w:val="18"/>
                <w:color w:val="auto"/>
              </w:rPr>
              <w:t>OPC Asset</w:t>
            </w:r>
          </w:p>
        </w:tc>
        <w:tc>
          <w:tcPr>
            <w:tcW w:w="1600" w:type="dxa"/>
            <w:vAlign w:val="bottom"/>
          </w:tcPr>
          <w:p>
            <w:pPr>
              <w:spacing w:after="0"/>
              <w:rPr>
                <w:sz w:val="23"/>
                <w:szCs w:val="23"/>
                <w:color w:val="auto"/>
              </w:rPr>
            </w:pPr>
          </w:p>
        </w:tc>
        <w:tc>
          <w:tcPr>
            <w:tcW w:w="2180" w:type="dxa"/>
            <w:vAlign w:val="bottom"/>
          </w:tcPr>
          <w:p>
            <w:pPr>
              <w:ind w:left="520"/>
              <w:spacing w:after="0"/>
              <w:rPr>
                <w:sz w:val="20"/>
                <w:szCs w:val="20"/>
                <w:color w:val="auto"/>
              </w:rPr>
            </w:pPr>
            <w:r>
              <w:rPr>
                <w:rFonts w:ascii="Arial" w:cs="Arial" w:eastAsia="Arial" w:hAnsi="Arial"/>
                <w:sz w:val="18"/>
                <w:szCs w:val="18"/>
                <w:color w:val="auto"/>
              </w:rPr>
              <w:t>ATM/other related</w:t>
            </w:r>
          </w:p>
        </w:tc>
        <w:tc>
          <w:tcPr>
            <w:tcW w:w="1920" w:type="dxa"/>
            <w:vAlign w:val="bottom"/>
          </w:tcPr>
          <w:p>
            <w:pPr>
              <w:spacing w:after="0"/>
              <w:rPr>
                <w:sz w:val="23"/>
                <w:szCs w:val="23"/>
                <w:color w:val="auto"/>
              </w:rPr>
            </w:pPr>
          </w:p>
        </w:tc>
        <w:tc>
          <w:tcPr>
            <w:tcW w:w="1040" w:type="dxa"/>
            <w:vAlign w:val="bottom"/>
          </w:tcPr>
          <w:p>
            <w:pPr>
              <w:spacing w:after="0"/>
              <w:rPr>
                <w:sz w:val="23"/>
                <w:szCs w:val="23"/>
                <w:color w:val="auto"/>
              </w:rPr>
            </w:pPr>
          </w:p>
        </w:tc>
      </w:tr>
      <w:tr>
        <w:trPr>
          <w:trHeight w:val="230"/>
        </w:trPr>
        <w:tc>
          <w:tcPr>
            <w:tcW w:w="2760" w:type="dxa"/>
            <w:vAlign w:val="bottom"/>
          </w:tcPr>
          <w:p>
            <w:pPr>
              <w:spacing w:after="0"/>
              <w:rPr>
                <w:sz w:val="20"/>
                <w:szCs w:val="20"/>
                <w:color w:val="auto"/>
              </w:rPr>
            </w:pPr>
            <w:r>
              <w:rPr>
                <w:rFonts w:ascii="Arial" w:cs="Arial" w:eastAsia="Arial" w:hAnsi="Arial"/>
                <w:sz w:val="18"/>
                <w:szCs w:val="18"/>
                <w:color w:val="auto"/>
              </w:rPr>
              <w:t>Euronet Services India Pvt. Ltd.</w:t>
            </w:r>
          </w:p>
        </w:tc>
        <w:tc>
          <w:tcPr>
            <w:tcW w:w="1840" w:type="dxa"/>
            <w:vAlign w:val="bottom"/>
          </w:tcPr>
          <w:p>
            <w:pPr>
              <w:ind w:left="440"/>
              <w:spacing w:after="0"/>
              <w:rPr>
                <w:sz w:val="20"/>
                <w:szCs w:val="20"/>
                <w:color w:val="auto"/>
              </w:rPr>
            </w:pPr>
            <w:r>
              <w:rPr>
                <w:rFonts w:ascii="Arial" w:cs="Arial" w:eastAsia="Arial" w:hAnsi="Arial"/>
                <w:sz w:val="18"/>
                <w:szCs w:val="18"/>
                <w:color w:val="auto"/>
                <w:w w:val="98"/>
              </w:rPr>
              <w:t>Solutions Pvt. Ltd</w:t>
            </w:r>
          </w:p>
        </w:tc>
        <w:tc>
          <w:tcPr>
            <w:tcW w:w="1600" w:type="dxa"/>
            <w:vAlign w:val="bottom"/>
          </w:tcPr>
          <w:p>
            <w:pPr>
              <w:ind w:left="80"/>
              <w:spacing w:after="0"/>
              <w:rPr>
                <w:sz w:val="20"/>
                <w:szCs w:val="20"/>
                <w:color w:val="auto"/>
              </w:rPr>
            </w:pPr>
            <w:r>
              <w:rPr>
                <w:rFonts w:ascii="Arial" w:cs="Arial" w:eastAsia="Arial" w:hAnsi="Arial"/>
                <w:sz w:val="18"/>
                <w:szCs w:val="18"/>
                <w:color w:val="auto"/>
              </w:rPr>
              <w:t>Capital Lease</w:t>
            </w:r>
          </w:p>
        </w:tc>
        <w:tc>
          <w:tcPr>
            <w:tcW w:w="2180" w:type="dxa"/>
            <w:vAlign w:val="bottom"/>
          </w:tcPr>
          <w:p>
            <w:pPr>
              <w:ind w:left="520"/>
              <w:spacing w:after="0"/>
              <w:rPr>
                <w:sz w:val="20"/>
                <w:szCs w:val="20"/>
                <w:color w:val="auto"/>
              </w:rPr>
            </w:pPr>
            <w:r>
              <w:rPr>
                <w:rFonts w:ascii="Arial" w:cs="Arial" w:eastAsia="Arial" w:hAnsi="Arial"/>
                <w:sz w:val="18"/>
                <w:szCs w:val="18"/>
                <w:color w:val="auto"/>
              </w:rPr>
              <w:t>assets</w:t>
            </w:r>
          </w:p>
        </w:tc>
        <w:tc>
          <w:tcPr>
            <w:tcW w:w="1920" w:type="dxa"/>
            <w:vAlign w:val="bottom"/>
          </w:tcPr>
          <w:p>
            <w:pPr>
              <w:jc w:val="right"/>
              <w:ind w:right="370"/>
              <w:spacing w:after="0"/>
              <w:rPr>
                <w:sz w:val="20"/>
                <w:szCs w:val="20"/>
                <w:color w:val="auto"/>
              </w:rPr>
            </w:pPr>
            <w:r>
              <w:rPr>
                <w:rFonts w:ascii="Arial" w:cs="Arial" w:eastAsia="Arial" w:hAnsi="Arial"/>
                <w:sz w:val="18"/>
                <w:szCs w:val="18"/>
                <w:color w:val="auto"/>
              </w:rPr>
              <w:t>INR 10,957</w:t>
            </w:r>
          </w:p>
        </w:tc>
        <w:tc>
          <w:tcPr>
            <w:tcW w:w="1040" w:type="dxa"/>
            <w:vAlign w:val="bottom"/>
          </w:tcPr>
          <w:p>
            <w:pPr>
              <w:jc w:val="right"/>
              <w:spacing w:after="0"/>
              <w:rPr>
                <w:sz w:val="20"/>
                <w:szCs w:val="20"/>
                <w:color w:val="auto"/>
              </w:rPr>
            </w:pPr>
            <w:r>
              <w:rPr>
                <w:rFonts w:ascii="Arial" w:cs="Arial" w:eastAsia="Arial" w:hAnsi="Arial"/>
                <w:sz w:val="18"/>
                <w:szCs w:val="18"/>
                <w:color w:val="auto"/>
              </w:rPr>
              <w:t>175</w:t>
            </w:r>
          </w:p>
        </w:tc>
      </w:tr>
      <w:tr>
        <w:trPr>
          <w:trHeight w:val="269"/>
        </w:trPr>
        <w:tc>
          <w:tcPr>
            <w:tcW w:w="2760" w:type="dxa"/>
            <w:vAlign w:val="bottom"/>
          </w:tcPr>
          <w:p>
            <w:pPr>
              <w:spacing w:after="0"/>
              <w:rPr>
                <w:sz w:val="23"/>
                <w:szCs w:val="23"/>
                <w:color w:val="auto"/>
              </w:rPr>
            </w:pPr>
          </w:p>
        </w:tc>
        <w:tc>
          <w:tcPr>
            <w:tcW w:w="1840" w:type="dxa"/>
            <w:vAlign w:val="bottom"/>
          </w:tcPr>
          <w:p>
            <w:pPr>
              <w:ind w:left="440"/>
              <w:spacing w:after="0"/>
              <w:rPr>
                <w:sz w:val="20"/>
                <w:szCs w:val="20"/>
                <w:color w:val="auto"/>
              </w:rPr>
            </w:pPr>
            <w:r>
              <w:rPr>
                <w:rFonts w:ascii="Arial" w:cs="Arial" w:eastAsia="Arial" w:hAnsi="Arial"/>
                <w:sz w:val="18"/>
                <w:szCs w:val="18"/>
                <w:color w:val="auto"/>
              </w:rPr>
              <w:t>OPC Asset</w:t>
            </w:r>
          </w:p>
        </w:tc>
        <w:tc>
          <w:tcPr>
            <w:tcW w:w="1600" w:type="dxa"/>
            <w:vAlign w:val="bottom"/>
          </w:tcPr>
          <w:p>
            <w:pPr>
              <w:spacing w:after="0"/>
              <w:rPr>
                <w:sz w:val="23"/>
                <w:szCs w:val="23"/>
                <w:color w:val="auto"/>
              </w:rPr>
            </w:pPr>
          </w:p>
        </w:tc>
        <w:tc>
          <w:tcPr>
            <w:tcW w:w="2180" w:type="dxa"/>
            <w:vAlign w:val="bottom"/>
          </w:tcPr>
          <w:p>
            <w:pPr>
              <w:ind w:left="520"/>
              <w:spacing w:after="0"/>
              <w:rPr>
                <w:sz w:val="20"/>
                <w:szCs w:val="20"/>
                <w:color w:val="auto"/>
              </w:rPr>
            </w:pPr>
            <w:r>
              <w:rPr>
                <w:rFonts w:ascii="Arial" w:cs="Arial" w:eastAsia="Arial" w:hAnsi="Arial"/>
                <w:sz w:val="18"/>
                <w:szCs w:val="18"/>
                <w:color w:val="auto"/>
              </w:rPr>
              <w:t>ATM/other related</w:t>
            </w:r>
          </w:p>
        </w:tc>
        <w:tc>
          <w:tcPr>
            <w:tcW w:w="1920" w:type="dxa"/>
            <w:vAlign w:val="bottom"/>
          </w:tcPr>
          <w:p>
            <w:pPr>
              <w:spacing w:after="0"/>
              <w:rPr>
                <w:sz w:val="23"/>
                <w:szCs w:val="23"/>
                <w:color w:val="auto"/>
              </w:rPr>
            </w:pPr>
          </w:p>
        </w:tc>
        <w:tc>
          <w:tcPr>
            <w:tcW w:w="1040" w:type="dxa"/>
            <w:vAlign w:val="bottom"/>
          </w:tcPr>
          <w:p>
            <w:pPr>
              <w:spacing w:after="0"/>
              <w:rPr>
                <w:sz w:val="23"/>
                <w:szCs w:val="23"/>
                <w:color w:val="auto"/>
              </w:rPr>
            </w:pPr>
          </w:p>
        </w:tc>
      </w:tr>
      <w:tr>
        <w:trPr>
          <w:trHeight w:val="230"/>
        </w:trPr>
        <w:tc>
          <w:tcPr>
            <w:tcW w:w="2760" w:type="dxa"/>
            <w:vAlign w:val="bottom"/>
          </w:tcPr>
          <w:p>
            <w:pPr>
              <w:spacing w:after="0"/>
              <w:rPr>
                <w:sz w:val="20"/>
                <w:szCs w:val="20"/>
                <w:color w:val="auto"/>
              </w:rPr>
            </w:pPr>
            <w:r>
              <w:rPr>
                <w:rFonts w:ascii="Arial" w:cs="Arial" w:eastAsia="Arial" w:hAnsi="Arial"/>
                <w:sz w:val="18"/>
                <w:szCs w:val="18"/>
                <w:color w:val="auto"/>
              </w:rPr>
              <w:t>Euronet Services India Pvt. Ltd.</w:t>
            </w:r>
          </w:p>
        </w:tc>
        <w:tc>
          <w:tcPr>
            <w:tcW w:w="1840" w:type="dxa"/>
            <w:vAlign w:val="bottom"/>
          </w:tcPr>
          <w:p>
            <w:pPr>
              <w:ind w:left="440"/>
              <w:spacing w:after="0"/>
              <w:rPr>
                <w:sz w:val="20"/>
                <w:szCs w:val="20"/>
                <w:color w:val="auto"/>
              </w:rPr>
            </w:pPr>
            <w:r>
              <w:rPr>
                <w:rFonts w:ascii="Arial" w:cs="Arial" w:eastAsia="Arial" w:hAnsi="Arial"/>
                <w:sz w:val="18"/>
                <w:szCs w:val="18"/>
                <w:color w:val="auto"/>
                <w:w w:val="98"/>
              </w:rPr>
              <w:t>Solutions Pvt. Ltd</w:t>
            </w:r>
          </w:p>
        </w:tc>
        <w:tc>
          <w:tcPr>
            <w:tcW w:w="1600" w:type="dxa"/>
            <w:vAlign w:val="bottom"/>
          </w:tcPr>
          <w:p>
            <w:pPr>
              <w:ind w:left="80"/>
              <w:spacing w:after="0"/>
              <w:rPr>
                <w:sz w:val="20"/>
                <w:szCs w:val="20"/>
                <w:color w:val="auto"/>
              </w:rPr>
            </w:pPr>
            <w:r>
              <w:rPr>
                <w:rFonts w:ascii="Arial" w:cs="Arial" w:eastAsia="Arial" w:hAnsi="Arial"/>
                <w:sz w:val="18"/>
                <w:szCs w:val="18"/>
                <w:color w:val="auto"/>
              </w:rPr>
              <w:t>Capital Lease</w:t>
            </w:r>
          </w:p>
        </w:tc>
        <w:tc>
          <w:tcPr>
            <w:tcW w:w="2180" w:type="dxa"/>
            <w:vAlign w:val="bottom"/>
          </w:tcPr>
          <w:p>
            <w:pPr>
              <w:ind w:left="520"/>
              <w:spacing w:after="0"/>
              <w:rPr>
                <w:sz w:val="20"/>
                <w:szCs w:val="20"/>
                <w:color w:val="auto"/>
              </w:rPr>
            </w:pPr>
            <w:r>
              <w:rPr>
                <w:rFonts w:ascii="Arial" w:cs="Arial" w:eastAsia="Arial" w:hAnsi="Arial"/>
                <w:sz w:val="18"/>
                <w:szCs w:val="18"/>
                <w:color w:val="auto"/>
              </w:rPr>
              <w:t>assets</w:t>
            </w:r>
          </w:p>
        </w:tc>
        <w:tc>
          <w:tcPr>
            <w:tcW w:w="1920" w:type="dxa"/>
            <w:vAlign w:val="bottom"/>
          </w:tcPr>
          <w:p>
            <w:pPr>
              <w:jc w:val="right"/>
              <w:ind w:right="370"/>
              <w:spacing w:after="0"/>
              <w:rPr>
                <w:sz w:val="20"/>
                <w:szCs w:val="20"/>
                <w:color w:val="auto"/>
              </w:rPr>
            </w:pPr>
            <w:r>
              <w:rPr>
                <w:rFonts w:ascii="Arial" w:cs="Arial" w:eastAsia="Arial" w:hAnsi="Arial"/>
                <w:sz w:val="18"/>
                <w:szCs w:val="18"/>
                <w:color w:val="auto"/>
              </w:rPr>
              <w:t>INR 66,390</w:t>
            </w:r>
          </w:p>
        </w:tc>
        <w:tc>
          <w:tcPr>
            <w:tcW w:w="1040" w:type="dxa"/>
            <w:vAlign w:val="bottom"/>
          </w:tcPr>
          <w:p>
            <w:pPr>
              <w:jc w:val="right"/>
              <w:spacing w:after="0"/>
              <w:rPr>
                <w:sz w:val="20"/>
                <w:szCs w:val="20"/>
                <w:color w:val="auto"/>
              </w:rPr>
            </w:pPr>
            <w:r>
              <w:rPr>
                <w:rFonts w:ascii="Arial" w:cs="Arial" w:eastAsia="Arial" w:hAnsi="Arial"/>
                <w:sz w:val="18"/>
                <w:szCs w:val="18"/>
                <w:color w:val="auto"/>
              </w:rPr>
              <w:t>1,059</w:t>
            </w:r>
          </w:p>
        </w:tc>
      </w:tr>
      <w:tr>
        <w:trPr>
          <w:trHeight w:val="269"/>
        </w:trPr>
        <w:tc>
          <w:tcPr>
            <w:tcW w:w="2760" w:type="dxa"/>
            <w:vAlign w:val="bottom"/>
          </w:tcPr>
          <w:p>
            <w:pPr>
              <w:spacing w:after="0"/>
              <w:rPr>
                <w:sz w:val="23"/>
                <w:szCs w:val="23"/>
                <w:color w:val="auto"/>
              </w:rPr>
            </w:pPr>
          </w:p>
        </w:tc>
        <w:tc>
          <w:tcPr>
            <w:tcW w:w="1840" w:type="dxa"/>
            <w:vAlign w:val="bottom"/>
          </w:tcPr>
          <w:p>
            <w:pPr>
              <w:ind w:left="440"/>
              <w:spacing w:after="0"/>
              <w:rPr>
                <w:sz w:val="20"/>
                <w:szCs w:val="20"/>
                <w:color w:val="auto"/>
              </w:rPr>
            </w:pPr>
            <w:r>
              <w:rPr>
                <w:rFonts w:ascii="Arial" w:cs="Arial" w:eastAsia="Arial" w:hAnsi="Arial"/>
                <w:sz w:val="18"/>
                <w:szCs w:val="18"/>
                <w:color w:val="auto"/>
              </w:rPr>
              <w:t>OPC Asset</w:t>
            </w:r>
          </w:p>
        </w:tc>
        <w:tc>
          <w:tcPr>
            <w:tcW w:w="1600" w:type="dxa"/>
            <w:vAlign w:val="bottom"/>
          </w:tcPr>
          <w:p>
            <w:pPr>
              <w:spacing w:after="0"/>
              <w:rPr>
                <w:sz w:val="23"/>
                <w:szCs w:val="23"/>
                <w:color w:val="auto"/>
              </w:rPr>
            </w:pPr>
          </w:p>
        </w:tc>
        <w:tc>
          <w:tcPr>
            <w:tcW w:w="2180" w:type="dxa"/>
            <w:vAlign w:val="bottom"/>
          </w:tcPr>
          <w:p>
            <w:pPr>
              <w:ind w:left="520"/>
              <w:spacing w:after="0"/>
              <w:rPr>
                <w:sz w:val="20"/>
                <w:szCs w:val="20"/>
                <w:color w:val="auto"/>
              </w:rPr>
            </w:pPr>
            <w:r>
              <w:rPr>
                <w:rFonts w:ascii="Arial" w:cs="Arial" w:eastAsia="Arial" w:hAnsi="Arial"/>
                <w:sz w:val="18"/>
                <w:szCs w:val="18"/>
                <w:color w:val="auto"/>
              </w:rPr>
              <w:t>ATM/other related</w:t>
            </w:r>
          </w:p>
        </w:tc>
        <w:tc>
          <w:tcPr>
            <w:tcW w:w="1920" w:type="dxa"/>
            <w:vAlign w:val="bottom"/>
          </w:tcPr>
          <w:p>
            <w:pPr>
              <w:spacing w:after="0"/>
              <w:rPr>
                <w:sz w:val="23"/>
                <w:szCs w:val="23"/>
                <w:color w:val="auto"/>
              </w:rPr>
            </w:pPr>
          </w:p>
        </w:tc>
        <w:tc>
          <w:tcPr>
            <w:tcW w:w="1040" w:type="dxa"/>
            <w:vAlign w:val="bottom"/>
          </w:tcPr>
          <w:p>
            <w:pPr>
              <w:spacing w:after="0"/>
              <w:rPr>
                <w:sz w:val="23"/>
                <w:szCs w:val="23"/>
                <w:color w:val="auto"/>
              </w:rPr>
            </w:pPr>
          </w:p>
        </w:tc>
      </w:tr>
      <w:tr>
        <w:trPr>
          <w:trHeight w:val="230"/>
        </w:trPr>
        <w:tc>
          <w:tcPr>
            <w:tcW w:w="2760" w:type="dxa"/>
            <w:vAlign w:val="bottom"/>
          </w:tcPr>
          <w:p>
            <w:pPr>
              <w:spacing w:after="0"/>
              <w:rPr>
                <w:sz w:val="20"/>
                <w:szCs w:val="20"/>
                <w:color w:val="auto"/>
              </w:rPr>
            </w:pPr>
            <w:r>
              <w:rPr>
                <w:rFonts w:ascii="Arial" w:cs="Arial" w:eastAsia="Arial" w:hAnsi="Arial"/>
                <w:sz w:val="18"/>
                <w:szCs w:val="18"/>
                <w:color w:val="auto"/>
              </w:rPr>
              <w:t>Euronet Services India Pvt. Ltd.</w:t>
            </w:r>
          </w:p>
        </w:tc>
        <w:tc>
          <w:tcPr>
            <w:tcW w:w="1840" w:type="dxa"/>
            <w:vAlign w:val="bottom"/>
          </w:tcPr>
          <w:p>
            <w:pPr>
              <w:ind w:left="440"/>
              <w:spacing w:after="0"/>
              <w:rPr>
                <w:sz w:val="20"/>
                <w:szCs w:val="20"/>
                <w:color w:val="auto"/>
              </w:rPr>
            </w:pPr>
            <w:r>
              <w:rPr>
                <w:rFonts w:ascii="Arial" w:cs="Arial" w:eastAsia="Arial" w:hAnsi="Arial"/>
                <w:sz w:val="18"/>
                <w:szCs w:val="18"/>
                <w:color w:val="auto"/>
                <w:w w:val="98"/>
              </w:rPr>
              <w:t>Solutions Pvt. Ltd</w:t>
            </w:r>
          </w:p>
        </w:tc>
        <w:tc>
          <w:tcPr>
            <w:tcW w:w="1600" w:type="dxa"/>
            <w:vAlign w:val="bottom"/>
          </w:tcPr>
          <w:p>
            <w:pPr>
              <w:ind w:left="80"/>
              <w:spacing w:after="0"/>
              <w:rPr>
                <w:sz w:val="20"/>
                <w:szCs w:val="20"/>
                <w:color w:val="auto"/>
              </w:rPr>
            </w:pPr>
            <w:r>
              <w:rPr>
                <w:rFonts w:ascii="Arial" w:cs="Arial" w:eastAsia="Arial" w:hAnsi="Arial"/>
                <w:sz w:val="18"/>
                <w:szCs w:val="18"/>
                <w:color w:val="auto"/>
              </w:rPr>
              <w:t>Capital Lease</w:t>
            </w:r>
          </w:p>
        </w:tc>
        <w:tc>
          <w:tcPr>
            <w:tcW w:w="2180" w:type="dxa"/>
            <w:vAlign w:val="bottom"/>
          </w:tcPr>
          <w:p>
            <w:pPr>
              <w:ind w:left="520"/>
              <w:spacing w:after="0"/>
              <w:rPr>
                <w:sz w:val="20"/>
                <w:szCs w:val="20"/>
                <w:color w:val="auto"/>
              </w:rPr>
            </w:pPr>
            <w:r>
              <w:rPr>
                <w:rFonts w:ascii="Arial" w:cs="Arial" w:eastAsia="Arial" w:hAnsi="Arial"/>
                <w:sz w:val="18"/>
                <w:szCs w:val="18"/>
                <w:color w:val="auto"/>
              </w:rPr>
              <w:t>assets</w:t>
            </w:r>
          </w:p>
        </w:tc>
        <w:tc>
          <w:tcPr>
            <w:tcW w:w="1920" w:type="dxa"/>
            <w:vAlign w:val="bottom"/>
          </w:tcPr>
          <w:p>
            <w:pPr>
              <w:jc w:val="right"/>
              <w:ind w:right="370"/>
              <w:spacing w:after="0"/>
              <w:rPr>
                <w:sz w:val="20"/>
                <w:szCs w:val="20"/>
                <w:color w:val="auto"/>
              </w:rPr>
            </w:pPr>
            <w:r>
              <w:rPr>
                <w:rFonts w:ascii="Arial" w:cs="Arial" w:eastAsia="Arial" w:hAnsi="Arial"/>
                <w:sz w:val="18"/>
                <w:szCs w:val="18"/>
                <w:color w:val="auto"/>
              </w:rPr>
              <w:t>INR 6,678</w:t>
            </w:r>
          </w:p>
        </w:tc>
        <w:tc>
          <w:tcPr>
            <w:tcW w:w="1040" w:type="dxa"/>
            <w:vAlign w:val="bottom"/>
          </w:tcPr>
          <w:p>
            <w:pPr>
              <w:jc w:val="right"/>
              <w:spacing w:after="0"/>
              <w:rPr>
                <w:sz w:val="20"/>
                <w:szCs w:val="20"/>
                <w:color w:val="auto"/>
              </w:rPr>
            </w:pPr>
            <w:r>
              <w:rPr>
                <w:rFonts w:ascii="Arial" w:cs="Arial" w:eastAsia="Arial" w:hAnsi="Arial"/>
                <w:sz w:val="18"/>
                <w:szCs w:val="18"/>
                <w:color w:val="auto"/>
              </w:rPr>
              <w:t>107</w:t>
            </w:r>
          </w:p>
        </w:tc>
      </w:tr>
      <w:tr>
        <w:trPr>
          <w:trHeight w:val="269"/>
        </w:trPr>
        <w:tc>
          <w:tcPr>
            <w:tcW w:w="2760" w:type="dxa"/>
            <w:vAlign w:val="bottom"/>
          </w:tcPr>
          <w:p>
            <w:pPr>
              <w:spacing w:after="0"/>
              <w:rPr>
                <w:sz w:val="23"/>
                <w:szCs w:val="23"/>
                <w:color w:val="auto"/>
              </w:rPr>
            </w:pPr>
          </w:p>
        </w:tc>
        <w:tc>
          <w:tcPr>
            <w:tcW w:w="1840" w:type="dxa"/>
            <w:vAlign w:val="bottom"/>
          </w:tcPr>
          <w:p>
            <w:pPr>
              <w:ind w:left="440"/>
              <w:spacing w:after="0"/>
              <w:rPr>
                <w:sz w:val="20"/>
                <w:szCs w:val="20"/>
                <w:color w:val="auto"/>
              </w:rPr>
            </w:pPr>
            <w:r>
              <w:rPr>
                <w:rFonts w:ascii="Arial" w:cs="Arial" w:eastAsia="Arial" w:hAnsi="Arial"/>
                <w:sz w:val="18"/>
                <w:szCs w:val="18"/>
                <w:color w:val="auto"/>
              </w:rPr>
              <w:t>OPC Asset</w:t>
            </w:r>
          </w:p>
        </w:tc>
        <w:tc>
          <w:tcPr>
            <w:tcW w:w="1600" w:type="dxa"/>
            <w:vAlign w:val="bottom"/>
          </w:tcPr>
          <w:p>
            <w:pPr>
              <w:spacing w:after="0"/>
              <w:rPr>
                <w:sz w:val="23"/>
                <w:szCs w:val="23"/>
                <w:color w:val="auto"/>
              </w:rPr>
            </w:pPr>
          </w:p>
        </w:tc>
        <w:tc>
          <w:tcPr>
            <w:tcW w:w="2180" w:type="dxa"/>
            <w:vAlign w:val="bottom"/>
          </w:tcPr>
          <w:p>
            <w:pPr>
              <w:ind w:left="520"/>
              <w:spacing w:after="0"/>
              <w:rPr>
                <w:sz w:val="20"/>
                <w:szCs w:val="20"/>
                <w:color w:val="auto"/>
              </w:rPr>
            </w:pPr>
            <w:r>
              <w:rPr>
                <w:rFonts w:ascii="Arial" w:cs="Arial" w:eastAsia="Arial" w:hAnsi="Arial"/>
                <w:sz w:val="18"/>
                <w:szCs w:val="18"/>
                <w:color w:val="auto"/>
              </w:rPr>
              <w:t>ATM/other related</w:t>
            </w:r>
          </w:p>
        </w:tc>
        <w:tc>
          <w:tcPr>
            <w:tcW w:w="1920" w:type="dxa"/>
            <w:vAlign w:val="bottom"/>
          </w:tcPr>
          <w:p>
            <w:pPr>
              <w:spacing w:after="0"/>
              <w:rPr>
                <w:sz w:val="23"/>
                <w:szCs w:val="23"/>
                <w:color w:val="auto"/>
              </w:rPr>
            </w:pPr>
          </w:p>
        </w:tc>
        <w:tc>
          <w:tcPr>
            <w:tcW w:w="1040" w:type="dxa"/>
            <w:vAlign w:val="bottom"/>
          </w:tcPr>
          <w:p>
            <w:pPr>
              <w:spacing w:after="0"/>
              <w:rPr>
                <w:sz w:val="23"/>
                <w:szCs w:val="23"/>
                <w:color w:val="auto"/>
              </w:rPr>
            </w:pPr>
          </w:p>
        </w:tc>
      </w:tr>
      <w:tr>
        <w:trPr>
          <w:trHeight w:val="230"/>
        </w:trPr>
        <w:tc>
          <w:tcPr>
            <w:tcW w:w="2760" w:type="dxa"/>
            <w:vAlign w:val="bottom"/>
          </w:tcPr>
          <w:p>
            <w:pPr>
              <w:spacing w:after="0"/>
              <w:rPr>
                <w:sz w:val="20"/>
                <w:szCs w:val="20"/>
                <w:color w:val="auto"/>
              </w:rPr>
            </w:pPr>
            <w:r>
              <w:rPr>
                <w:rFonts w:ascii="Arial" w:cs="Arial" w:eastAsia="Arial" w:hAnsi="Arial"/>
                <w:sz w:val="18"/>
                <w:szCs w:val="18"/>
                <w:color w:val="auto"/>
              </w:rPr>
              <w:t>Euronet Services India Pvt. Ltd.</w:t>
            </w:r>
          </w:p>
        </w:tc>
        <w:tc>
          <w:tcPr>
            <w:tcW w:w="1840" w:type="dxa"/>
            <w:vAlign w:val="bottom"/>
          </w:tcPr>
          <w:p>
            <w:pPr>
              <w:ind w:left="440"/>
              <w:spacing w:after="0"/>
              <w:rPr>
                <w:sz w:val="20"/>
                <w:szCs w:val="20"/>
                <w:color w:val="auto"/>
              </w:rPr>
            </w:pPr>
            <w:r>
              <w:rPr>
                <w:rFonts w:ascii="Arial" w:cs="Arial" w:eastAsia="Arial" w:hAnsi="Arial"/>
                <w:sz w:val="18"/>
                <w:szCs w:val="18"/>
                <w:color w:val="auto"/>
                <w:w w:val="98"/>
              </w:rPr>
              <w:t>Solutions Pvt. Ltd</w:t>
            </w:r>
          </w:p>
        </w:tc>
        <w:tc>
          <w:tcPr>
            <w:tcW w:w="1600" w:type="dxa"/>
            <w:vAlign w:val="bottom"/>
          </w:tcPr>
          <w:p>
            <w:pPr>
              <w:ind w:left="80"/>
              <w:spacing w:after="0"/>
              <w:rPr>
                <w:sz w:val="20"/>
                <w:szCs w:val="20"/>
                <w:color w:val="auto"/>
              </w:rPr>
            </w:pPr>
            <w:r>
              <w:rPr>
                <w:rFonts w:ascii="Arial" w:cs="Arial" w:eastAsia="Arial" w:hAnsi="Arial"/>
                <w:sz w:val="18"/>
                <w:szCs w:val="18"/>
                <w:color w:val="auto"/>
              </w:rPr>
              <w:t>Capital Lease</w:t>
            </w:r>
          </w:p>
        </w:tc>
        <w:tc>
          <w:tcPr>
            <w:tcW w:w="2180" w:type="dxa"/>
            <w:vAlign w:val="bottom"/>
          </w:tcPr>
          <w:p>
            <w:pPr>
              <w:ind w:left="520"/>
              <w:spacing w:after="0"/>
              <w:rPr>
                <w:sz w:val="20"/>
                <w:szCs w:val="20"/>
                <w:color w:val="auto"/>
              </w:rPr>
            </w:pPr>
            <w:r>
              <w:rPr>
                <w:rFonts w:ascii="Arial" w:cs="Arial" w:eastAsia="Arial" w:hAnsi="Arial"/>
                <w:sz w:val="18"/>
                <w:szCs w:val="18"/>
                <w:color w:val="auto"/>
              </w:rPr>
              <w:t>assets</w:t>
            </w:r>
          </w:p>
        </w:tc>
        <w:tc>
          <w:tcPr>
            <w:tcW w:w="1920" w:type="dxa"/>
            <w:vAlign w:val="bottom"/>
          </w:tcPr>
          <w:p>
            <w:pPr>
              <w:jc w:val="right"/>
              <w:ind w:right="370"/>
              <w:spacing w:after="0"/>
              <w:rPr>
                <w:sz w:val="20"/>
                <w:szCs w:val="20"/>
                <w:color w:val="auto"/>
              </w:rPr>
            </w:pPr>
            <w:r>
              <w:rPr>
                <w:rFonts w:ascii="Arial" w:cs="Arial" w:eastAsia="Arial" w:hAnsi="Arial"/>
                <w:sz w:val="18"/>
                <w:szCs w:val="18"/>
                <w:color w:val="auto"/>
              </w:rPr>
              <w:t>INR 45,071</w:t>
            </w:r>
          </w:p>
        </w:tc>
        <w:tc>
          <w:tcPr>
            <w:tcW w:w="1040" w:type="dxa"/>
            <w:vAlign w:val="bottom"/>
          </w:tcPr>
          <w:p>
            <w:pPr>
              <w:jc w:val="right"/>
              <w:spacing w:after="0"/>
              <w:rPr>
                <w:sz w:val="20"/>
                <w:szCs w:val="20"/>
                <w:color w:val="auto"/>
              </w:rPr>
            </w:pPr>
            <w:r>
              <w:rPr>
                <w:rFonts w:ascii="Arial" w:cs="Arial" w:eastAsia="Arial" w:hAnsi="Arial"/>
                <w:sz w:val="18"/>
                <w:szCs w:val="18"/>
                <w:color w:val="auto"/>
              </w:rPr>
              <w:t>719</w:t>
            </w:r>
          </w:p>
        </w:tc>
      </w:tr>
      <w:tr>
        <w:trPr>
          <w:trHeight w:val="269"/>
        </w:trPr>
        <w:tc>
          <w:tcPr>
            <w:tcW w:w="2760" w:type="dxa"/>
            <w:vAlign w:val="bottom"/>
          </w:tcPr>
          <w:p>
            <w:pPr>
              <w:spacing w:after="0"/>
              <w:rPr>
                <w:sz w:val="23"/>
                <w:szCs w:val="23"/>
                <w:color w:val="auto"/>
              </w:rPr>
            </w:pPr>
          </w:p>
        </w:tc>
        <w:tc>
          <w:tcPr>
            <w:tcW w:w="1840" w:type="dxa"/>
            <w:vAlign w:val="bottom"/>
          </w:tcPr>
          <w:p>
            <w:pPr>
              <w:ind w:left="440"/>
              <w:spacing w:after="0"/>
              <w:rPr>
                <w:sz w:val="20"/>
                <w:szCs w:val="20"/>
                <w:color w:val="auto"/>
              </w:rPr>
            </w:pPr>
            <w:r>
              <w:rPr>
                <w:rFonts w:ascii="Arial" w:cs="Arial" w:eastAsia="Arial" w:hAnsi="Arial"/>
                <w:sz w:val="18"/>
                <w:szCs w:val="18"/>
                <w:color w:val="auto"/>
              </w:rPr>
              <w:t>OPC Asset</w:t>
            </w:r>
          </w:p>
        </w:tc>
        <w:tc>
          <w:tcPr>
            <w:tcW w:w="1600" w:type="dxa"/>
            <w:vAlign w:val="bottom"/>
          </w:tcPr>
          <w:p>
            <w:pPr>
              <w:spacing w:after="0"/>
              <w:rPr>
                <w:sz w:val="23"/>
                <w:szCs w:val="23"/>
                <w:color w:val="auto"/>
              </w:rPr>
            </w:pPr>
          </w:p>
        </w:tc>
        <w:tc>
          <w:tcPr>
            <w:tcW w:w="2180" w:type="dxa"/>
            <w:vAlign w:val="bottom"/>
          </w:tcPr>
          <w:p>
            <w:pPr>
              <w:ind w:left="520"/>
              <w:spacing w:after="0"/>
              <w:rPr>
                <w:sz w:val="20"/>
                <w:szCs w:val="20"/>
                <w:color w:val="auto"/>
              </w:rPr>
            </w:pPr>
            <w:r>
              <w:rPr>
                <w:rFonts w:ascii="Arial" w:cs="Arial" w:eastAsia="Arial" w:hAnsi="Arial"/>
                <w:sz w:val="18"/>
                <w:szCs w:val="18"/>
                <w:color w:val="auto"/>
              </w:rPr>
              <w:t>ATM/other related</w:t>
            </w:r>
          </w:p>
        </w:tc>
        <w:tc>
          <w:tcPr>
            <w:tcW w:w="1920" w:type="dxa"/>
            <w:vAlign w:val="bottom"/>
          </w:tcPr>
          <w:p>
            <w:pPr>
              <w:spacing w:after="0"/>
              <w:rPr>
                <w:sz w:val="23"/>
                <w:szCs w:val="23"/>
                <w:color w:val="auto"/>
              </w:rPr>
            </w:pPr>
          </w:p>
        </w:tc>
        <w:tc>
          <w:tcPr>
            <w:tcW w:w="1040" w:type="dxa"/>
            <w:vAlign w:val="bottom"/>
          </w:tcPr>
          <w:p>
            <w:pPr>
              <w:spacing w:after="0"/>
              <w:rPr>
                <w:sz w:val="23"/>
                <w:szCs w:val="23"/>
                <w:color w:val="auto"/>
              </w:rPr>
            </w:pPr>
          </w:p>
        </w:tc>
      </w:tr>
      <w:tr>
        <w:trPr>
          <w:trHeight w:val="230"/>
        </w:trPr>
        <w:tc>
          <w:tcPr>
            <w:tcW w:w="2760" w:type="dxa"/>
            <w:vAlign w:val="bottom"/>
          </w:tcPr>
          <w:p>
            <w:pPr>
              <w:spacing w:after="0"/>
              <w:rPr>
                <w:sz w:val="20"/>
                <w:szCs w:val="20"/>
                <w:color w:val="auto"/>
              </w:rPr>
            </w:pPr>
            <w:r>
              <w:rPr>
                <w:rFonts w:ascii="Arial" w:cs="Arial" w:eastAsia="Arial" w:hAnsi="Arial"/>
                <w:sz w:val="18"/>
                <w:szCs w:val="18"/>
                <w:color w:val="auto"/>
              </w:rPr>
              <w:t>Euronet Services India Pvt. Ltd.</w:t>
            </w:r>
          </w:p>
        </w:tc>
        <w:tc>
          <w:tcPr>
            <w:tcW w:w="1840" w:type="dxa"/>
            <w:vAlign w:val="bottom"/>
          </w:tcPr>
          <w:p>
            <w:pPr>
              <w:ind w:left="440"/>
              <w:spacing w:after="0"/>
              <w:rPr>
                <w:sz w:val="20"/>
                <w:szCs w:val="20"/>
                <w:color w:val="auto"/>
              </w:rPr>
            </w:pPr>
            <w:r>
              <w:rPr>
                <w:rFonts w:ascii="Arial" w:cs="Arial" w:eastAsia="Arial" w:hAnsi="Arial"/>
                <w:sz w:val="18"/>
                <w:szCs w:val="18"/>
                <w:color w:val="auto"/>
                <w:w w:val="98"/>
              </w:rPr>
              <w:t>Solutions Pvt. Ltd</w:t>
            </w:r>
          </w:p>
        </w:tc>
        <w:tc>
          <w:tcPr>
            <w:tcW w:w="1600" w:type="dxa"/>
            <w:vAlign w:val="bottom"/>
          </w:tcPr>
          <w:p>
            <w:pPr>
              <w:ind w:left="80"/>
              <w:spacing w:after="0"/>
              <w:rPr>
                <w:sz w:val="20"/>
                <w:szCs w:val="20"/>
                <w:color w:val="auto"/>
              </w:rPr>
            </w:pPr>
            <w:r>
              <w:rPr>
                <w:rFonts w:ascii="Arial" w:cs="Arial" w:eastAsia="Arial" w:hAnsi="Arial"/>
                <w:sz w:val="18"/>
                <w:szCs w:val="18"/>
                <w:color w:val="auto"/>
              </w:rPr>
              <w:t>Capital Lease</w:t>
            </w:r>
          </w:p>
        </w:tc>
        <w:tc>
          <w:tcPr>
            <w:tcW w:w="2180" w:type="dxa"/>
            <w:vAlign w:val="bottom"/>
          </w:tcPr>
          <w:p>
            <w:pPr>
              <w:ind w:left="520"/>
              <w:spacing w:after="0"/>
              <w:rPr>
                <w:sz w:val="20"/>
                <w:szCs w:val="20"/>
                <w:color w:val="auto"/>
              </w:rPr>
            </w:pPr>
            <w:r>
              <w:rPr>
                <w:rFonts w:ascii="Arial" w:cs="Arial" w:eastAsia="Arial" w:hAnsi="Arial"/>
                <w:sz w:val="18"/>
                <w:szCs w:val="18"/>
                <w:color w:val="auto"/>
              </w:rPr>
              <w:t>assets</w:t>
            </w:r>
          </w:p>
        </w:tc>
        <w:tc>
          <w:tcPr>
            <w:tcW w:w="1920" w:type="dxa"/>
            <w:vAlign w:val="bottom"/>
          </w:tcPr>
          <w:p>
            <w:pPr>
              <w:jc w:val="right"/>
              <w:ind w:right="370"/>
              <w:spacing w:after="0"/>
              <w:rPr>
                <w:sz w:val="20"/>
                <w:szCs w:val="20"/>
                <w:color w:val="auto"/>
              </w:rPr>
            </w:pPr>
            <w:r>
              <w:rPr>
                <w:rFonts w:ascii="Arial" w:cs="Arial" w:eastAsia="Arial" w:hAnsi="Arial"/>
                <w:sz w:val="18"/>
                <w:szCs w:val="18"/>
                <w:color w:val="auto"/>
              </w:rPr>
              <w:t>INR 53,589</w:t>
            </w:r>
          </w:p>
        </w:tc>
        <w:tc>
          <w:tcPr>
            <w:tcW w:w="1040" w:type="dxa"/>
            <w:vAlign w:val="bottom"/>
          </w:tcPr>
          <w:p>
            <w:pPr>
              <w:jc w:val="right"/>
              <w:spacing w:after="0"/>
              <w:rPr>
                <w:sz w:val="20"/>
                <w:szCs w:val="20"/>
                <w:color w:val="auto"/>
              </w:rPr>
            </w:pPr>
            <w:r>
              <w:rPr>
                <w:rFonts w:ascii="Arial" w:cs="Arial" w:eastAsia="Arial" w:hAnsi="Arial"/>
                <w:sz w:val="18"/>
                <w:szCs w:val="18"/>
                <w:color w:val="auto"/>
              </w:rPr>
              <w:t>855</w:t>
            </w:r>
          </w:p>
        </w:tc>
      </w:tr>
      <w:tr>
        <w:trPr>
          <w:trHeight w:val="269"/>
        </w:trPr>
        <w:tc>
          <w:tcPr>
            <w:tcW w:w="2760" w:type="dxa"/>
            <w:vAlign w:val="bottom"/>
          </w:tcPr>
          <w:p>
            <w:pPr>
              <w:spacing w:after="0"/>
              <w:rPr>
                <w:sz w:val="23"/>
                <w:szCs w:val="23"/>
                <w:color w:val="auto"/>
              </w:rPr>
            </w:pPr>
          </w:p>
        </w:tc>
        <w:tc>
          <w:tcPr>
            <w:tcW w:w="1840" w:type="dxa"/>
            <w:vAlign w:val="bottom"/>
          </w:tcPr>
          <w:p>
            <w:pPr>
              <w:ind w:left="440"/>
              <w:spacing w:after="0"/>
              <w:rPr>
                <w:sz w:val="20"/>
                <w:szCs w:val="20"/>
                <w:color w:val="auto"/>
              </w:rPr>
            </w:pPr>
            <w:r>
              <w:rPr>
                <w:rFonts w:ascii="Arial" w:cs="Arial" w:eastAsia="Arial" w:hAnsi="Arial"/>
                <w:sz w:val="18"/>
                <w:szCs w:val="18"/>
                <w:color w:val="auto"/>
              </w:rPr>
              <w:t>OPC Asset</w:t>
            </w:r>
          </w:p>
        </w:tc>
        <w:tc>
          <w:tcPr>
            <w:tcW w:w="1600" w:type="dxa"/>
            <w:vAlign w:val="bottom"/>
          </w:tcPr>
          <w:p>
            <w:pPr>
              <w:spacing w:after="0"/>
              <w:rPr>
                <w:sz w:val="23"/>
                <w:szCs w:val="23"/>
                <w:color w:val="auto"/>
              </w:rPr>
            </w:pPr>
          </w:p>
        </w:tc>
        <w:tc>
          <w:tcPr>
            <w:tcW w:w="2180" w:type="dxa"/>
            <w:vAlign w:val="bottom"/>
          </w:tcPr>
          <w:p>
            <w:pPr>
              <w:ind w:left="520"/>
              <w:spacing w:after="0"/>
              <w:rPr>
                <w:sz w:val="20"/>
                <w:szCs w:val="20"/>
                <w:color w:val="auto"/>
              </w:rPr>
            </w:pPr>
            <w:r>
              <w:rPr>
                <w:rFonts w:ascii="Arial" w:cs="Arial" w:eastAsia="Arial" w:hAnsi="Arial"/>
                <w:sz w:val="18"/>
                <w:szCs w:val="18"/>
                <w:color w:val="auto"/>
              </w:rPr>
              <w:t>ATM/other related</w:t>
            </w:r>
          </w:p>
        </w:tc>
        <w:tc>
          <w:tcPr>
            <w:tcW w:w="1920" w:type="dxa"/>
            <w:vAlign w:val="bottom"/>
          </w:tcPr>
          <w:p>
            <w:pPr>
              <w:spacing w:after="0"/>
              <w:rPr>
                <w:sz w:val="23"/>
                <w:szCs w:val="23"/>
                <w:color w:val="auto"/>
              </w:rPr>
            </w:pPr>
          </w:p>
        </w:tc>
        <w:tc>
          <w:tcPr>
            <w:tcW w:w="1040" w:type="dxa"/>
            <w:vAlign w:val="bottom"/>
          </w:tcPr>
          <w:p>
            <w:pPr>
              <w:spacing w:after="0"/>
              <w:rPr>
                <w:sz w:val="23"/>
                <w:szCs w:val="23"/>
                <w:color w:val="auto"/>
              </w:rPr>
            </w:pPr>
          </w:p>
        </w:tc>
      </w:tr>
      <w:tr>
        <w:trPr>
          <w:trHeight w:val="230"/>
        </w:trPr>
        <w:tc>
          <w:tcPr>
            <w:tcW w:w="2760" w:type="dxa"/>
            <w:vAlign w:val="bottom"/>
          </w:tcPr>
          <w:p>
            <w:pPr>
              <w:spacing w:after="0"/>
              <w:rPr>
                <w:sz w:val="20"/>
                <w:szCs w:val="20"/>
                <w:color w:val="auto"/>
              </w:rPr>
            </w:pPr>
            <w:r>
              <w:rPr>
                <w:rFonts w:ascii="Arial" w:cs="Arial" w:eastAsia="Arial" w:hAnsi="Arial"/>
                <w:sz w:val="18"/>
                <w:szCs w:val="18"/>
                <w:color w:val="auto"/>
              </w:rPr>
              <w:t>Euronet Services India Pvt. Ltd.</w:t>
            </w:r>
          </w:p>
        </w:tc>
        <w:tc>
          <w:tcPr>
            <w:tcW w:w="1840" w:type="dxa"/>
            <w:vAlign w:val="bottom"/>
          </w:tcPr>
          <w:p>
            <w:pPr>
              <w:ind w:left="440"/>
              <w:spacing w:after="0"/>
              <w:rPr>
                <w:sz w:val="20"/>
                <w:szCs w:val="20"/>
                <w:color w:val="auto"/>
              </w:rPr>
            </w:pPr>
            <w:r>
              <w:rPr>
                <w:rFonts w:ascii="Arial" w:cs="Arial" w:eastAsia="Arial" w:hAnsi="Arial"/>
                <w:sz w:val="18"/>
                <w:szCs w:val="18"/>
                <w:color w:val="auto"/>
                <w:w w:val="98"/>
              </w:rPr>
              <w:t>Solutions Pvt. Ltd</w:t>
            </w:r>
          </w:p>
        </w:tc>
        <w:tc>
          <w:tcPr>
            <w:tcW w:w="1600" w:type="dxa"/>
            <w:vAlign w:val="bottom"/>
          </w:tcPr>
          <w:p>
            <w:pPr>
              <w:ind w:left="80"/>
              <w:spacing w:after="0"/>
              <w:rPr>
                <w:sz w:val="20"/>
                <w:szCs w:val="20"/>
                <w:color w:val="auto"/>
              </w:rPr>
            </w:pPr>
            <w:r>
              <w:rPr>
                <w:rFonts w:ascii="Arial" w:cs="Arial" w:eastAsia="Arial" w:hAnsi="Arial"/>
                <w:sz w:val="18"/>
                <w:szCs w:val="18"/>
                <w:color w:val="auto"/>
              </w:rPr>
              <w:t>Capital Lease</w:t>
            </w:r>
          </w:p>
        </w:tc>
        <w:tc>
          <w:tcPr>
            <w:tcW w:w="2180" w:type="dxa"/>
            <w:vAlign w:val="bottom"/>
          </w:tcPr>
          <w:p>
            <w:pPr>
              <w:ind w:left="520"/>
              <w:spacing w:after="0"/>
              <w:rPr>
                <w:sz w:val="20"/>
                <w:szCs w:val="20"/>
                <w:color w:val="auto"/>
              </w:rPr>
            </w:pPr>
            <w:r>
              <w:rPr>
                <w:rFonts w:ascii="Arial" w:cs="Arial" w:eastAsia="Arial" w:hAnsi="Arial"/>
                <w:sz w:val="18"/>
                <w:szCs w:val="18"/>
                <w:color w:val="auto"/>
              </w:rPr>
              <w:t>assets</w:t>
            </w:r>
          </w:p>
        </w:tc>
        <w:tc>
          <w:tcPr>
            <w:tcW w:w="1920" w:type="dxa"/>
            <w:vAlign w:val="bottom"/>
          </w:tcPr>
          <w:p>
            <w:pPr>
              <w:jc w:val="right"/>
              <w:ind w:right="370"/>
              <w:spacing w:after="0"/>
              <w:rPr>
                <w:sz w:val="20"/>
                <w:szCs w:val="20"/>
                <w:color w:val="auto"/>
              </w:rPr>
            </w:pPr>
            <w:r>
              <w:rPr>
                <w:rFonts w:ascii="Arial" w:cs="Arial" w:eastAsia="Arial" w:hAnsi="Arial"/>
                <w:sz w:val="18"/>
                <w:szCs w:val="18"/>
                <w:color w:val="auto"/>
              </w:rPr>
              <w:t>INR 76,685</w:t>
            </w:r>
          </w:p>
        </w:tc>
        <w:tc>
          <w:tcPr>
            <w:tcW w:w="1040" w:type="dxa"/>
            <w:vAlign w:val="bottom"/>
          </w:tcPr>
          <w:p>
            <w:pPr>
              <w:jc w:val="right"/>
              <w:spacing w:after="0"/>
              <w:rPr>
                <w:sz w:val="20"/>
                <w:szCs w:val="20"/>
                <w:color w:val="auto"/>
              </w:rPr>
            </w:pPr>
            <w:r>
              <w:rPr>
                <w:rFonts w:ascii="Arial" w:cs="Arial" w:eastAsia="Arial" w:hAnsi="Arial"/>
                <w:sz w:val="18"/>
                <w:szCs w:val="18"/>
                <w:color w:val="auto"/>
              </w:rPr>
              <w:t>1,223</w:t>
            </w:r>
          </w:p>
        </w:tc>
      </w:tr>
      <w:tr>
        <w:trPr>
          <w:trHeight w:val="269"/>
        </w:trPr>
        <w:tc>
          <w:tcPr>
            <w:tcW w:w="2760" w:type="dxa"/>
            <w:vAlign w:val="bottom"/>
          </w:tcPr>
          <w:p>
            <w:pPr>
              <w:spacing w:after="0"/>
              <w:rPr>
                <w:sz w:val="23"/>
                <w:szCs w:val="23"/>
                <w:color w:val="auto"/>
              </w:rPr>
            </w:pPr>
          </w:p>
        </w:tc>
        <w:tc>
          <w:tcPr>
            <w:tcW w:w="1840" w:type="dxa"/>
            <w:vAlign w:val="bottom"/>
          </w:tcPr>
          <w:p>
            <w:pPr>
              <w:ind w:left="440"/>
              <w:spacing w:after="0"/>
              <w:rPr>
                <w:sz w:val="20"/>
                <w:szCs w:val="20"/>
                <w:color w:val="auto"/>
              </w:rPr>
            </w:pPr>
            <w:r>
              <w:rPr>
                <w:rFonts w:ascii="Arial" w:cs="Arial" w:eastAsia="Arial" w:hAnsi="Arial"/>
                <w:sz w:val="18"/>
                <w:szCs w:val="18"/>
                <w:color w:val="auto"/>
              </w:rPr>
              <w:t>OPC Asset</w:t>
            </w:r>
          </w:p>
        </w:tc>
        <w:tc>
          <w:tcPr>
            <w:tcW w:w="1600" w:type="dxa"/>
            <w:vAlign w:val="bottom"/>
          </w:tcPr>
          <w:p>
            <w:pPr>
              <w:spacing w:after="0"/>
              <w:rPr>
                <w:sz w:val="23"/>
                <w:szCs w:val="23"/>
                <w:color w:val="auto"/>
              </w:rPr>
            </w:pPr>
          </w:p>
        </w:tc>
        <w:tc>
          <w:tcPr>
            <w:tcW w:w="2180" w:type="dxa"/>
            <w:vAlign w:val="bottom"/>
          </w:tcPr>
          <w:p>
            <w:pPr>
              <w:ind w:left="520"/>
              <w:spacing w:after="0"/>
              <w:rPr>
                <w:sz w:val="20"/>
                <w:szCs w:val="20"/>
                <w:color w:val="auto"/>
              </w:rPr>
            </w:pPr>
            <w:r>
              <w:rPr>
                <w:rFonts w:ascii="Arial" w:cs="Arial" w:eastAsia="Arial" w:hAnsi="Arial"/>
                <w:sz w:val="18"/>
                <w:szCs w:val="18"/>
                <w:color w:val="auto"/>
              </w:rPr>
              <w:t>ATM/other related</w:t>
            </w:r>
          </w:p>
        </w:tc>
        <w:tc>
          <w:tcPr>
            <w:tcW w:w="1920" w:type="dxa"/>
            <w:vAlign w:val="bottom"/>
          </w:tcPr>
          <w:p>
            <w:pPr>
              <w:spacing w:after="0"/>
              <w:rPr>
                <w:sz w:val="23"/>
                <w:szCs w:val="23"/>
                <w:color w:val="auto"/>
              </w:rPr>
            </w:pPr>
          </w:p>
        </w:tc>
        <w:tc>
          <w:tcPr>
            <w:tcW w:w="1040" w:type="dxa"/>
            <w:vAlign w:val="bottom"/>
          </w:tcPr>
          <w:p>
            <w:pPr>
              <w:spacing w:after="0"/>
              <w:rPr>
                <w:sz w:val="23"/>
                <w:szCs w:val="23"/>
                <w:color w:val="auto"/>
              </w:rPr>
            </w:pPr>
          </w:p>
        </w:tc>
      </w:tr>
      <w:tr>
        <w:trPr>
          <w:trHeight w:val="230"/>
        </w:trPr>
        <w:tc>
          <w:tcPr>
            <w:tcW w:w="2760" w:type="dxa"/>
            <w:vAlign w:val="bottom"/>
          </w:tcPr>
          <w:p>
            <w:pPr>
              <w:spacing w:after="0"/>
              <w:rPr>
                <w:sz w:val="20"/>
                <w:szCs w:val="20"/>
                <w:color w:val="auto"/>
              </w:rPr>
            </w:pPr>
            <w:r>
              <w:rPr>
                <w:rFonts w:ascii="Arial" w:cs="Arial" w:eastAsia="Arial" w:hAnsi="Arial"/>
                <w:sz w:val="18"/>
                <w:szCs w:val="18"/>
                <w:color w:val="auto"/>
              </w:rPr>
              <w:t>Euronet Services India Pvt. Ltd.</w:t>
            </w:r>
          </w:p>
        </w:tc>
        <w:tc>
          <w:tcPr>
            <w:tcW w:w="1840" w:type="dxa"/>
            <w:vAlign w:val="bottom"/>
          </w:tcPr>
          <w:p>
            <w:pPr>
              <w:ind w:left="440"/>
              <w:spacing w:after="0"/>
              <w:rPr>
                <w:sz w:val="20"/>
                <w:szCs w:val="20"/>
                <w:color w:val="auto"/>
              </w:rPr>
            </w:pPr>
            <w:r>
              <w:rPr>
                <w:rFonts w:ascii="Arial" w:cs="Arial" w:eastAsia="Arial" w:hAnsi="Arial"/>
                <w:sz w:val="18"/>
                <w:szCs w:val="18"/>
                <w:color w:val="auto"/>
                <w:w w:val="98"/>
              </w:rPr>
              <w:t>Solutions Pvt. Ltd</w:t>
            </w:r>
          </w:p>
        </w:tc>
        <w:tc>
          <w:tcPr>
            <w:tcW w:w="1600" w:type="dxa"/>
            <w:vAlign w:val="bottom"/>
          </w:tcPr>
          <w:p>
            <w:pPr>
              <w:ind w:left="80"/>
              <w:spacing w:after="0"/>
              <w:rPr>
                <w:sz w:val="20"/>
                <w:szCs w:val="20"/>
                <w:color w:val="auto"/>
              </w:rPr>
            </w:pPr>
            <w:r>
              <w:rPr>
                <w:rFonts w:ascii="Arial" w:cs="Arial" w:eastAsia="Arial" w:hAnsi="Arial"/>
                <w:sz w:val="18"/>
                <w:szCs w:val="18"/>
                <w:color w:val="auto"/>
              </w:rPr>
              <w:t>Capital Lease</w:t>
            </w:r>
          </w:p>
        </w:tc>
        <w:tc>
          <w:tcPr>
            <w:tcW w:w="2180" w:type="dxa"/>
            <w:vAlign w:val="bottom"/>
          </w:tcPr>
          <w:p>
            <w:pPr>
              <w:ind w:left="520"/>
              <w:spacing w:after="0"/>
              <w:rPr>
                <w:sz w:val="20"/>
                <w:szCs w:val="20"/>
                <w:color w:val="auto"/>
              </w:rPr>
            </w:pPr>
            <w:r>
              <w:rPr>
                <w:rFonts w:ascii="Arial" w:cs="Arial" w:eastAsia="Arial" w:hAnsi="Arial"/>
                <w:sz w:val="18"/>
                <w:szCs w:val="18"/>
                <w:color w:val="auto"/>
              </w:rPr>
              <w:t>assets</w:t>
            </w:r>
          </w:p>
        </w:tc>
        <w:tc>
          <w:tcPr>
            <w:tcW w:w="1920" w:type="dxa"/>
            <w:vAlign w:val="bottom"/>
          </w:tcPr>
          <w:p>
            <w:pPr>
              <w:jc w:val="right"/>
              <w:ind w:right="370"/>
              <w:spacing w:after="0"/>
              <w:rPr>
                <w:sz w:val="20"/>
                <w:szCs w:val="20"/>
                <w:color w:val="auto"/>
              </w:rPr>
            </w:pPr>
            <w:r>
              <w:rPr>
                <w:rFonts w:ascii="Arial" w:cs="Arial" w:eastAsia="Arial" w:hAnsi="Arial"/>
                <w:sz w:val="18"/>
                <w:szCs w:val="18"/>
                <w:color w:val="auto"/>
              </w:rPr>
              <w:t>INR 161,304</w:t>
            </w:r>
          </w:p>
        </w:tc>
        <w:tc>
          <w:tcPr>
            <w:tcW w:w="1040" w:type="dxa"/>
            <w:vAlign w:val="bottom"/>
          </w:tcPr>
          <w:p>
            <w:pPr>
              <w:jc w:val="right"/>
              <w:spacing w:after="0"/>
              <w:rPr>
                <w:sz w:val="20"/>
                <w:szCs w:val="20"/>
                <w:color w:val="auto"/>
              </w:rPr>
            </w:pPr>
            <w:r>
              <w:rPr>
                <w:rFonts w:ascii="Arial" w:cs="Arial" w:eastAsia="Arial" w:hAnsi="Arial"/>
                <w:sz w:val="18"/>
                <w:szCs w:val="18"/>
                <w:color w:val="auto"/>
              </w:rPr>
              <w:t>2,573</w:t>
            </w:r>
          </w:p>
        </w:tc>
      </w:tr>
      <w:tr>
        <w:trPr>
          <w:trHeight w:val="269"/>
        </w:trPr>
        <w:tc>
          <w:tcPr>
            <w:tcW w:w="2760" w:type="dxa"/>
            <w:vAlign w:val="bottom"/>
          </w:tcPr>
          <w:p>
            <w:pPr>
              <w:spacing w:after="0"/>
              <w:rPr>
                <w:sz w:val="23"/>
                <w:szCs w:val="23"/>
                <w:color w:val="auto"/>
              </w:rPr>
            </w:pPr>
          </w:p>
        </w:tc>
        <w:tc>
          <w:tcPr>
            <w:tcW w:w="1840" w:type="dxa"/>
            <w:vAlign w:val="bottom"/>
          </w:tcPr>
          <w:p>
            <w:pPr>
              <w:ind w:left="440"/>
              <w:spacing w:after="0"/>
              <w:rPr>
                <w:sz w:val="20"/>
                <w:szCs w:val="20"/>
                <w:color w:val="auto"/>
              </w:rPr>
            </w:pPr>
            <w:r>
              <w:rPr>
                <w:rFonts w:ascii="Arial" w:cs="Arial" w:eastAsia="Arial" w:hAnsi="Arial"/>
                <w:sz w:val="18"/>
                <w:szCs w:val="18"/>
                <w:color w:val="auto"/>
              </w:rPr>
              <w:t>OPC Asset</w:t>
            </w:r>
          </w:p>
        </w:tc>
        <w:tc>
          <w:tcPr>
            <w:tcW w:w="1600" w:type="dxa"/>
            <w:vAlign w:val="bottom"/>
          </w:tcPr>
          <w:p>
            <w:pPr>
              <w:spacing w:after="0"/>
              <w:rPr>
                <w:sz w:val="23"/>
                <w:szCs w:val="23"/>
                <w:color w:val="auto"/>
              </w:rPr>
            </w:pPr>
          </w:p>
        </w:tc>
        <w:tc>
          <w:tcPr>
            <w:tcW w:w="2180" w:type="dxa"/>
            <w:vAlign w:val="bottom"/>
          </w:tcPr>
          <w:p>
            <w:pPr>
              <w:ind w:left="520"/>
              <w:spacing w:after="0"/>
              <w:rPr>
                <w:sz w:val="20"/>
                <w:szCs w:val="20"/>
                <w:color w:val="auto"/>
              </w:rPr>
            </w:pPr>
            <w:r>
              <w:rPr>
                <w:rFonts w:ascii="Arial" w:cs="Arial" w:eastAsia="Arial" w:hAnsi="Arial"/>
                <w:sz w:val="18"/>
                <w:szCs w:val="18"/>
                <w:color w:val="auto"/>
              </w:rPr>
              <w:t>ATM/other related</w:t>
            </w:r>
          </w:p>
        </w:tc>
        <w:tc>
          <w:tcPr>
            <w:tcW w:w="1920" w:type="dxa"/>
            <w:vAlign w:val="bottom"/>
          </w:tcPr>
          <w:p>
            <w:pPr>
              <w:spacing w:after="0"/>
              <w:rPr>
                <w:sz w:val="23"/>
                <w:szCs w:val="23"/>
                <w:color w:val="auto"/>
              </w:rPr>
            </w:pPr>
          </w:p>
        </w:tc>
        <w:tc>
          <w:tcPr>
            <w:tcW w:w="1040" w:type="dxa"/>
            <w:vAlign w:val="bottom"/>
          </w:tcPr>
          <w:p>
            <w:pPr>
              <w:spacing w:after="0"/>
              <w:rPr>
                <w:sz w:val="23"/>
                <w:szCs w:val="23"/>
                <w:color w:val="auto"/>
              </w:rPr>
            </w:pPr>
          </w:p>
        </w:tc>
      </w:tr>
      <w:tr>
        <w:trPr>
          <w:trHeight w:val="230"/>
        </w:trPr>
        <w:tc>
          <w:tcPr>
            <w:tcW w:w="2760" w:type="dxa"/>
            <w:vAlign w:val="bottom"/>
          </w:tcPr>
          <w:p>
            <w:pPr>
              <w:spacing w:after="0"/>
              <w:rPr>
                <w:sz w:val="20"/>
                <w:szCs w:val="20"/>
                <w:color w:val="auto"/>
              </w:rPr>
            </w:pPr>
            <w:r>
              <w:rPr>
                <w:rFonts w:ascii="Arial" w:cs="Arial" w:eastAsia="Arial" w:hAnsi="Arial"/>
                <w:sz w:val="18"/>
                <w:szCs w:val="18"/>
                <w:color w:val="auto"/>
              </w:rPr>
              <w:t>Euronet Services India Pvt. Ltd.</w:t>
            </w:r>
          </w:p>
        </w:tc>
        <w:tc>
          <w:tcPr>
            <w:tcW w:w="1840" w:type="dxa"/>
            <w:vAlign w:val="bottom"/>
          </w:tcPr>
          <w:p>
            <w:pPr>
              <w:ind w:left="440"/>
              <w:spacing w:after="0"/>
              <w:rPr>
                <w:sz w:val="20"/>
                <w:szCs w:val="20"/>
                <w:color w:val="auto"/>
              </w:rPr>
            </w:pPr>
            <w:r>
              <w:rPr>
                <w:rFonts w:ascii="Arial" w:cs="Arial" w:eastAsia="Arial" w:hAnsi="Arial"/>
                <w:sz w:val="18"/>
                <w:szCs w:val="18"/>
                <w:color w:val="auto"/>
                <w:w w:val="98"/>
              </w:rPr>
              <w:t>Solutions Pvt. Ltd</w:t>
            </w:r>
          </w:p>
        </w:tc>
        <w:tc>
          <w:tcPr>
            <w:tcW w:w="1600" w:type="dxa"/>
            <w:vAlign w:val="bottom"/>
          </w:tcPr>
          <w:p>
            <w:pPr>
              <w:ind w:left="80"/>
              <w:spacing w:after="0"/>
              <w:rPr>
                <w:sz w:val="20"/>
                <w:szCs w:val="20"/>
                <w:color w:val="auto"/>
              </w:rPr>
            </w:pPr>
            <w:r>
              <w:rPr>
                <w:rFonts w:ascii="Arial" w:cs="Arial" w:eastAsia="Arial" w:hAnsi="Arial"/>
                <w:sz w:val="18"/>
                <w:szCs w:val="18"/>
                <w:color w:val="auto"/>
              </w:rPr>
              <w:t>Capital Lease</w:t>
            </w:r>
          </w:p>
        </w:tc>
        <w:tc>
          <w:tcPr>
            <w:tcW w:w="2180" w:type="dxa"/>
            <w:vAlign w:val="bottom"/>
          </w:tcPr>
          <w:p>
            <w:pPr>
              <w:ind w:left="520"/>
              <w:spacing w:after="0"/>
              <w:rPr>
                <w:sz w:val="20"/>
                <w:szCs w:val="20"/>
                <w:color w:val="auto"/>
              </w:rPr>
            </w:pPr>
            <w:r>
              <w:rPr>
                <w:rFonts w:ascii="Arial" w:cs="Arial" w:eastAsia="Arial" w:hAnsi="Arial"/>
                <w:sz w:val="18"/>
                <w:szCs w:val="18"/>
                <w:color w:val="auto"/>
              </w:rPr>
              <w:t>assets</w:t>
            </w:r>
          </w:p>
        </w:tc>
        <w:tc>
          <w:tcPr>
            <w:tcW w:w="1920" w:type="dxa"/>
            <w:vAlign w:val="bottom"/>
          </w:tcPr>
          <w:p>
            <w:pPr>
              <w:jc w:val="right"/>
              <w:ind w:right="370"/>
              <w:spacing w:after="0"/>
              <w:rPr>
                <w:sz w:val="20"/>
                <w:szCs w:val="20"/>
                <w:color w:val="auto"/>
              </w:rPr>
            </w:pPr>
            <w:r>
              <w:rPr>
                <w:rFonts w:ascii="Arial" w:cs="Arial" w:eastAsia="Arial" w:hAnsi="Arial"/>
                <w:sz w:val="18"/>
                <w:szCs w:val="18"/>
                <w:color w:val="auto"/>
              </w:rPr>
              <w:t>INR 71,578</w:t>
            </w:r>
          </w:p>
        </w:tc>
        <w:tc>
          <w:tcPr>
            <w:tcW w:w="1040" w:type="dxa"/>
            <w:vAlign w:val="bottom"/>
          </w:tcPr>
          <w:p>
            <w:pPr>
              <w:jc w:val="right"/>
              <w:spacing w:after="0"/>
              <w:rPr>
                <w:sz w:val="20"/>
                <w:szCs w:val="20"/>
                <w:color w:val="auto"/>
              </w:rPr>
            </w:pPr>
            <w:r>
              <w:rPr>
                <w:rFonts w:ascii="Arial" w:cs="Arial" w:eastAsia="Arial" w:hAnsi="Arial"/>
                <w:sz w:val="18"/>
                <w:szCs w:val="18"/>
                <w:color w:val="auto"/>
              </w:rPr>
              <w:t>1,142</w:t>
            </w:r>
          </w:p>
        </w:tc>
      </w:tr>
      <w:tr>
        <w:trPr>
          <w:trHeight w:val="269"/>
        </w:trPr>
        <w:tc>
          <w:tcPr>
            <w:tcW w:w="2760" w:type="dxa"/>
            <w:vAlign w:val="bottom"/>
          </w:tcPr>
          <w:p>
            <w:pPr>
              <w:spacing w:after="0"/>
              <w:rPr>
                <w:sz w:val="23"/>
                <w:szCs w:val="23"/>
                <w:color w:val="auto"/>
              </w:rPr>
            </w:pPr>
          </w:p>
        </w:tc>
        <w:tc>
          <w:tcPr>
            <w:tcW w:w="1840" w:type="dxa"/>
            <w:vAlign w:val="bottom"/>
          </w:tcPr>
          <w:p>
            <w:pPr>
              <w:ind w:left="440"/>
              <w:spacing w:after="0"/>
              <w:rPr>
                <w:sz w:val="20"/>
                <w:szCs w:val="20"/>
                <w:color w:val="auto"/>
              </w:rPr>
            </w:pPr>
            <w:r>
              <w:rPr>
                <w:rFonts w:ascii="Arial" w:cs="Arial" w:eastAsia="Arial" w:hAnsi="Arial"/>
                <w:sz w:val="18"/>
                <w:szCs w:val="18"/>
                <w:color w:val="auto"/>
              </w:rPr>
              <w:t>OPC Asset</w:t>
            </w:r>
          </w:p>
        </w:tc>
        <w:tc>
          <w:tcPr>
            <w:tcW w:w="1600" w:type="dxa"/>
            <w:vAlign w:val="bottom"/>
          </w:tcPr>
          <w:p>
            <w:pPr>
              <w:spacing w:after="0"/>
              <w:rPr>
                <w:sz w:val="23"/>
                <w:szCs w:val="23"/>
                <w:color w:val="auto"/>
              </w:rPr>
            </w:pPr>
          </w:p>
        </w:tc>
        <w:tc>
          <w:tcPr>
            <w:tcW w:w="2180" w:type="dxa"/>
            <w:vAlign w:val="bottom"/>
          </w:tcPr>
          <w:p>
            <w:pPr>
              <w:ind w:left="520"/>
              <w:spacing w:after="0"/>
              <w:rPr>
                <w:sz w:val="20"/>
                <w:szCs w:val="20"/>
                <w:color w:val="auto"/>
              </w:rPr>
            </w:pPr>
            <w:r>
              <w:rPr>
                <w:rFonts w:ascii="Arial" w:cs="Arial" w:eastAsia="Arial" w:hAnsi="Arial"/>
                <w:sz w:val="18"/>
                <w:szCs w:val="18"/>
                <w:color w:val="auto"/>
              </w:rPr>
              <w:t>ATM/other related</w:t>
            </w:r>
          </w:p>
        </w:tc>
        <w:tc>
          <w:tcPr>
            <w:tcW w:w="1920" w:type="dxa"/>
            <w:vAlign w:val="bottom"/>
          </w:tcPr>
          <w:p>
            <w:pPr>
              <w:spacing w:after="0"/>
              <w:rPr>
                <w:sz w:val="23"/>
                <w:szCs w:val="23"/>
                <w:color w:val="auto"/>
              </w:rPr>
            </w:pPr>
          </w:p>
        </w:tc>
        <w:tc>
          <w:tcPr>
            <w:tcW w:w="1040" w:type="dxa"/>
            <w:vAlign w:val="bottom"/>
          </w:tcPr>
          <w:p>
            <w:pPr>
              <w:spacing w:after="0"/>
              <w:rPr>
                <w:sz w:val="23"/>
                <w:szCs w:val="23"/>
                <w:color w:val="auto"/>
              </w:rPr>
            </w:pPr>
          </w:p>
        </w:tc>
      </w:tr>
      <w:tr>
        <w:trPr>
          <w:trHeight w:val="230"/>
        </w:trPr>
        <w:tc>
          <w:tcPr>
            <w:tcW w:w="2760" w:type="dxa"/>
            <w:vAlign w:val="bottom"/>
          </w:tcPr>
          <w:p>
            <w:pPr>
              <w:spacing w:after="0"/>
              <w:rPr>
                <w:sz w:val="20"/>
                <w:szCs w:val="20"/>
                <w:color w:val="auto"/>
              </w:rPr>
            </w:pPr>
            <w:r>
              <w:rPr>
                <w:rFonts w:ascii="Arial" w:cs="Arial" w:eastAsia="Arial" w:hAnsi="Arial"/>
                <w:sz w:val="18"/>
                <w:szCs w:val="18"/>
                <w:color w:val="auto"/>
              </w:rPr>
              <w:t>Euronet Services India Pvt. Ltd.</w:t>
            </w:r>
          </w:p>
        </w:tc>
        <w:tc>
          <w:tcPr>
            <w:tcW w:w="1840" w:type="dxa"/>
            <w:vAlign w:val="bottom"/>
          </w:tcPr>
          <w:p>
            <w:pPr>
              <w:ind w:left="440"/>
              <w:spacing w:after="0"/>
              <w:rPr>
                <w:sz w:val="20"/>
                <w:szCs w:val="20"/>
                <w:color w:val="auto"/>
              </w:rPr>
            </w:pPr>
            <w:r>
              <w:rPr>
                <w:rFonts w:ascii="Arial" w:cs="Arial" w:eastAsia="Arial" w:hAnsi="Arial"/>
                <w:sz w:val="18"/>
                <w:szCs w:val="18"/>
                <w:color w:val="auto"/>
                <w:w w:val="98"/>
              </w:rPr>
              <w:t>Solutions Pvt. Ltd</w:t>
            </w:r>
          </w:p>
        </w:tc>
        <w:tc>
          <w:tcPr>
            <w:tcW w:w="1600" w:type="dxa"/>
            <w:vAlign w:val="bottom"/>
          </w:tcPr>
          <w:p>
            <w:pPr>
              <w:ind w:left="80"/>
              <w:spacing w:after="0"/>
              <w:rPr>
                <w:sz w:val="20"/>
                <w:szCs w:val="20"/>
                <w:color w:val="auto"/>
              </w:rPr>
            </w:pPr>
            <w:r>
              <w:rPr>
                <w:rFonts w:ascii="Arial" w:cs="Arial" w:eastAsia="Arial" w:hAnsi="Arial"/>
                <w:sz w:val="18"/>
                <w:szCs w:val="18"/>
                <w:color w:val="auto"/>
              </w:rPr>
              <w:t>Capital Lease</w:t>
            </w:r>
          </w:p>
        </w:tc>
        <w:tc>
          <w:tcPr>
            <w:tcW w:w="2180" w:type="dxa"/>
            <w:vAlign w:val="bottom"/>
          </w:tcPr>
          <w:p>
            <w:pPr>
              <w:ind w:left="520"/>
              <w:spacing w:after="0"/>
              <w:rPr>
                <w:sz w:val="20"/>
                <w:szCs w:val="20"/>
                <w:color w:val="auto"/>
              </w:rPr>
            </w:pPr>
            <w:r>
              <w:rPr>
                <w:rFonts w:ascii="Arial" w:cs="Arial" w:eastAsia="Arial" w:hAnsi="Arial"/>
                <w:sz w:val="18"/>
                <w:szCs w:val="18"/>
                <w:color w:val="auto"/>
              </w:rPr>
              <w:t>assets</w:t>
            </w:r>
          </w:p>
        </w:tc>
        <w:tc>
          <w:tcPr>
            <w:tcW w:w="1920" w:type="dxa"/>
            <w:vAlign w:val="bottom"/>
          </w:tcPr>
          <w:p>
            <w:pPr>
              <w:jc w:val="right"/>
              <w:ind w:right="370"/>
              <w:spacing w:after="0"/>
              <w:rPr>
                <w:sz w:val="20"/>
                <w:szCs w:val="20"/>
                <w:color w:val="auto"/>
              </w:rPr>
            </w:pPr>
            <w:r>
              <w:rPr>
                <w:rFonts w:ascii="Arial" w:cs="Arial" w:eastAsia="Arial" w:hAnsi="Arial"/>
                <w:sz w:val="18"/>
                <w:szCs w:val="18"/>
                <w:color w:val="auto"/>
              </w:rPr>
              <w:t>INR 94,714</w:t>
            </w:r>
          </w:p>
        </w:tc>
        <w:tc>
          <w:tcPr>
            <w:tcW w:w="1040" w:type="dxa"/>
            <w:vAlign w:val="bottom"/>
          </w:tcPr>
          <w:p>
            <w:pPr>
              <w:jc w:val="right"/>
              <w:spacing w:after="0"/>
              <w:rPr>
                <w:sz w:val="20"/>
                <w:szCs w:val="20"/>
                <w:color w:val="auto"/>
              </w:rPr>
            </w:pPr>
            <w:r>
              <w:rPr>
                <w:rFonts w:ascii="Arial" w:cs="Arial" w:eastAsia="Arial" w:hAnsi="Arial"/>
                <w:sz w:val="18"/>
                <w:szCs w:val="18"/>
                <w:color w:val="auto"/>
              </w:rPr>
              <w:t>1,511</w:t>
            </w:r>
          </w:p>
        </w:tc>
      </w:tr>
      <w:tr>
        <w:trPr>
          <w:trHeight w:val="269"/>
        </w:trPr>
        <w:tc>
          <w:tcPr>
            <w:tcW w:w="2760" w:type="dxa"/>
            <w:vAlign w:val="bottom"/>
          </w:tcPr>
          <w:p>
            <w:pPr>
              <w:spacing w:after="0"/>
              <w:rPr>
                <w:sz w:val="23"/>
                <w:szCs w:val="23"/>
                <w:color w:val="auto"/>
              </w:rPr>
            </w:pPr>
          </w:p>
        </w:tc>
        <w:tc>
          <w:tcPr>
            <w:tcW w:w="1840" w:type="dxa"/>
            <w:vAlign w:val="bottom"/>
          </w:tcPr>
          <w:p>
            <w:pPr>
              <w:ind w:left="440"/>
              <w:spacing w:after="0"/>
              <w:rPr>
                <w:sz w:val="20"/>
                <w:szCs w:val="20"/>
                <w:color w:val="auto"/>
              </w:rPr>
            </w:pPr>
            <w:r>
              <w:rPr>
                <w:rFonts w:ascii="Arial" w:cs="Arial" w:eastAsia="Arial" w:hAnsi="Arial"/>
                <w:sz w:val="18"/>
                <w:szCs w:val="18"/>
                <w:color w:val="auto"/>
              </w:rPr>
              <w:t>OPC Asset</w:t>
            </w:r>
          </w:p>
        </w:tc>
        <w:tc>
          <w:tcPr>
            <w:tcW w:w="1600" w:type="dxa"/>
            <w:vAlign w:val="bottom"/>
          </w:tcPr>
          <w:p>
            <w:pPr>
              <w:spacing w:after="0"/>
              <w:rPr>
                <w:sz w:val="23"/>
                <w:szCs w:val="23"/>
                <w:color w:val="auto"/>
              </w:rPr>
            </w:pPr>
          </w:p>
        </w:tc>
        <w:tc>
          <w:tcPr>
            <w:tcW w:w="2180" w:type="dxa"/>
            <w:vAlign w:val="bottom"/>
          </w:tcPr>
          <w:p>
            <w:pPr>
              <w:ind w:left="520"/>
              <w:spacing w:after="0"/>
              <w:rPr>
                <w:sz w:val="20"/>
                <w:szCs w:val="20"/>
                <w:color w:val="auto"/>
              </w:rPr>
            </w:pPr>
            <w:r>
              <w:rPr>
                <w:rFonts w:ascii="Arial" w:cs="Arial" w:eastAsia="Arial" w:hAnsi="Arial"/>
                <w:sz w:val="18"/>
                <w:szCs w:val="18"/>
                <w:color w:val="auto"/>
              </w:rPr>
              <w:t>ATM/other related</w:t>
            </w:r>
          </w:p>
        </w:tc>
        <w:tc>
          <w:tcPr>
            <w:tcW w:w="1920" w:type="dxa"/>
            <w:vAlign w:val="bottom"/>
          </w:tcPr>
          <w:p>
            <w:pPr>
              <w:spacing w:after="0"/>
              <w:rPr>
                <w:sz w:val="23"/>
                <w:szCs w:val="23"/>
                <w:color w:val="auto"/>
              </w:rPr>
            </w:pPr>
          </w:p>
        </w:tc>
        <w:tc>
          <w:tcPr>
            <w:tcW w:w="1040" w:type="dxa"/>
            <w:vAlign w:val="bottom"/>
          </w:tcPr>
          <w:p>
            <w:pPr>
              <w:spacing w:after="0"/>
              <w:rPr>
                <w:sz w:val="23"/>
                <w:szCs w:val="23"/>
                <w:color w:val="auto"/>
              </w:rPr>
            </w:pPr>
          </w:p>
        </w:tc>
      </w:tr>
      <w:tr>
        <w:trPr>
          <w:trHeight w:val="230"/>
        </w:trPr>
        <w:tc>
          <w:tcPr>
            <w:tcW w:w="2760" w:type="dxa"/>
            <w:vAlign w:val="bottom"/>
          </w:tcPr>
          <w:p>
            <w:pPr>
              <w:spacing w:after="0"/>
              <w:rPr>
                <w:sz w:val="20"/>
                <w:szCs w:val="20"/>
                <w:color w:val="auto"/>
              </w:rPr>
            </w:pPr>
            <w:r>
              <w:rPr>
                <w:rFonts w:ascii="Arial" w:cs="Arial" w:eastAsia="Arial" w:hAnsi="Arial"/>
                <w:sz w:val="18"/>
                <w:szCs w:val="18"/>
                <w:color w:val="auto"/>
              </w:rPr>
              <w:t>Euronet Services India Pvt. Ltd.</w:t>
            </w:r>
          </w:p>
        </w:tc>
        <w:tc>
          <w:tcPr>
            <w:tcW w:w="1840" w:type="dxa"/>
            <w:vAlign w:val="bottom"/>
          </w:tcPr>
          <w:p>
            <w:pPr>
              <w:ind w:left="440"/>
              <w:spacing w:after="0"/>
              <w:rPr>
                <w:sz w:val="20"/>
                <w:szCs w:val="20"/>
                <w:color w:val="auto"/>
              </w:rPr>
            </w:pPr>
            <w:r>
              <w:rPr>
                <w:rFonts w:ascii="Arial" w:cs="Arial" w:eastAsia="Arial" w:hAnsi="Arial"/>
                <w:sz w:val="18"/>
                <w:szCs w:val="18"/>
                <w:color w:val="auto"/>
                <w:w w:val="98"/>
              </w:rPr>
              <w:t>Solutions Pvt. Ltd</w:t>
            </w:r>
          </w:p>
        </w:tc>
        <w:tc>
          <w:tcPr>
            <w:tcW w:w="1600" w:type="dxa"/>
            <w:vAlign w:val="bottom"/>
          </w:tcPr>
          <w:p>
            <w:pPr>
              <w:ind w:left="80"/>
              <w:spacing w:after="0"/>
              <w:rPr>
                <w:sz w:val="20"/>
                <w:szCs w:val="20"/>
                <w:color w:val="auto"/>
              </w:rPr>
            </w:pPr>
            <w:r>
              <w:rPr>
                <w:rFonts w:ascii="Arial" w:cs="Arial" w:eastAsia="Arial" w:hAnsi="Arial"/>
                <w:sz w:val="18"/>
                <w:szCs w:val="18"/>
                <w:color w:val="auto"/>
              </w:rPr>
              <w:t>Capital Lease</w:t>
            </w:r>
          </w:p>
        </w:tc>
        <w:tc>
          <w:tcPr>
            <w:tcW w:w="2180" w:type="dxa"/>
            <w:vAlign w:val="bottom"/>
          </w:tcPr>
          <w:p>
            <w:pPr>
              <w:ind w:left="520"/>
              <w:spacing w:after="0"/>
              <w:rPr>
                <w:sz w:val="20"/>
                <w:szCs w:val="20"/>
                <w:color w:val="auto"/>
              </w:rPr>
            </w:pPr>
            <w:r>
              <w:rPr>
                <w:rFonts w:ascii="Arial" w:cs="Arial" w:eastAsia="Arial" w:hAnsi="Arial"/>
                <w:sz w:val="18"/>
                <w:szCs w:val="18"/>
                <w:color w:val="auto"/>
              </w:rPr>
              <w:t>assets</w:t>
            </w:r>
          </w:p>
        </w:tc>
        <w:tc>
          <w:tcPr>
            <w:tcW w:w="1920" w:type="dxa"/>
            <w:vAlign w:val="bottom"/>
          </w:tcPr>
          <w:p>
            <w:pPr>
              <w:jc w:val="right"/>
              <w:ind w:right="370"/>
              <w:spacing w:after="0"/>
              <w:rPr>
                <w:sz w:val="20"/>
                <w:szCs w:val="20"/>
                <w:color w:val="auto"/>
              </w:rPr>
            </w:pPr>
            <w:r>
              <w:rPr>
                <w:rFonts w:ascii="Arial" w:cs="Arial" w:eastAsia="Arial" w:hAnsi="Arial"/>
                <w:sz w:val="18"/>
                <w:szCs w:val="18"/>
                <w:color w:val="auto"/>
              </w:rPr>
              <w:t>INR 15,238</w:t>
            </w:r>
          </w:p>
        </w:tc>
        <w:tc>
          <w:tcPr>
            <w:tcW w:w="1040" w:type="dxa"/>
            <w:vAlign w:val="bottom"/>
          </w:tcPr>
          <w:p>
            <w:pPr>
              <w:jc w:val="right"/>
              <w:spacing w:after="0"/>
              <w:rPr>
                <w:sz w:val="20"/>
                <w:szCs w:val="20"/>
                <w:color w:val="auto"/>
              </w:rPr>
            </w:pPr>
            <w:r>
              <w:rPr>
                <w:rFonts w:ascii="Arial" w:cs="Arial" w:eastAsia="Arial" w:hAnsi="Arial"/>
                <w:sz w:val="18"/>
                <w:szCs w:val="18"/>
                <w:color w:val="auto"/>
              </w:rPr>
              <w:t>243</w:t>
            </w:r>
          </w:p>
        </w:tc>
      </w:tr>
      <w:tr>
        <w:trPr>
          <w:trHeight w:val="269"/>
        </w:trPr>
        <w:tc>
          <w:tcPr>
            <w:tcW w:w="2760" w:type="dxa"/>
            <w:vAlign w:val="bottom"/>
          </w:tcPr>
          <w:p>
            <w:pPr>
              <w:spacing w:after="0"/>
              <w:rPr>
                <w:sz w:val="23"/>
                <w:szCs w:val="23"/>
                <w:color w:val="auto"/>
              </w:rPr>
            </w:pPr>
          </w:p>
        </w:tc>
        <w:tc>
          <w:tcPr>
            <w:tcW w:w="1840" w:type="dxa"/>
            <w:vAlign w:val="bottom"/>
          </w:tcPr>
          <w:p>
            <w:pPr>
              <w:ind w:left="440"/>
              <w:spacing w:after="0"/>
              <w:rPr>
                <w:sz w:val="20"/>
                <w:szCs w:val="20"/>
                <w:color w:val="auto"/>
              </w:rPr>
            </w:pPr>
            <w:r>
              <w:rPr>
                <w:rFonts w:ascii="Arial" w:cs="Arial" w:eastAsia="Arial" w:hAnsi="Arial"/>
                <w:sz w:val="18"/>
                <w:szCs w:val="18"/>
                <w:color w:val="auto"/>
              </w:rPr>
              <w:t>OPC Asset</w:t>
            </w:r>
          </w:p>
        </w:tc>
        <w:tc>
          <w:tcPr>
            <w:tcW w:w="1600" w:type="dxa"/>
            <w:vAlign w:val="bottom"/>
          </w:tcPr>
          <w:p>
            <w:pPr>
              <w:spacing w:after="0"/>
              <w:rPr>
                <w:sz w:val="23"/>
                <w:szCs w:val="23"/>
                <w:color w:val="auto"/>
              </w:rPr>
            </w:pPr>
          </w:p>
        </w:tc>
        <w:tc>
          <w:tcPr>
            <w:tcW w:w="2180" w:type="dxa"/>
            <w:vAlign w:val="bottom"/>
          </w:tcPr>
          <w:p>
            <w:pPr>
              <w:ind w:left="520"/>
              <w:spacing w:after="0"/>
              <w:rPr>
                <w:sz w:val="20"/>
                <w:szCs w:val="20"/>
                <w:color w:val="auto"/>
              </w:rPr>
            </w:pPr>
            <w:r>
              <w:rPr>
                <w:rFonts w:ascii="Arial" w:cs="Arial" w:eastAsia="Arial" w:hAnsi="Arial"/>
                <w:sz w:val="18"/>
                <w:szCs w:val="18"/>
                <w:color w:val="auto"/>
              </w:rPr>
              <w:t>ATM/other related</w:t>
            </w:r>
          </w:p>
        </w:tc>
        <w:tc>
          <w:tcPr>
            <w:tcW w:w="1920" w:type="dxa"/>
            <w:vAlign w:val="bottom"/>
          </w:tcPr>
          <w:p>
            <w:pPr>
              <w:spacing w:after="0"/>
              <w:rPr>
                <w:sz w:val="23"/>
                <w:szCs w:val="23"/>
                <w:color w:val="auto"/>
              </w:rPr>
            </w:pPr>
          </w:p>
        </w:tc>
        <w:tc>
          <w:tcPr>
            <w:tcW w:w="1040" w:type="dxa"/>
            <w:vAlign w:val="bottom"/>
          </w:tcPr>
          <w:p>
            <w:pPr>
              <w:spacing w:after="0"/>
              <w:rPr>
                <w:sz w:val="23"/>
                <w:szCs w:val="23"/>
                <w:color w:val="auto"/>
              </w:rPr>
            </w:pPr>
          </w:p>
        </w:tc>
      </w:tr>
      <w:tr>
        <w:trPr>
          <w:trHeight w:val="230"/>
        </w:trPr>
        <w:tc>
          <w:tcPr>
            <w:tcW w:w="2760" w:type="dxa"/>
            <w:vAlign w:val="bottom"/>
          </w:tcPr>
          <w:p>
            <w:pPr>
              <w:spacing w:after="0"/>
              <w:rPr>
                <w:sz w:val="20"/>
                <w:szCs w:val="20"/>
                <w:color w:val="auto"/>
              </w:rPr>
            </w:pPr>
            <w:r>
              <w:rPr>
                <w:rFonts w:ascii="Arial" w:cs="Arial" w:eastAsia="Arial" w:hAnsi="Arial"/>
                <w:sz w:val="18"/>
                <w:szCs w:val="18"/>
                <w:color w:val="auto"/>
              </w:rPr>
              <w:t>Euronet Services India Pvt. Ltd.</w:t>
            </w:r>
          </w:p>
        </w:tc>
        <w:tc>
          <w:tcPr>
            <w:tcW w:w="1840" w:type="dxa"/>
            <w:vAlign w:val="bottom"/>
          </w:tcPr>
          <w:p>
            <w:pPr>
              <w:ind w:left="440"/>
              <w:spacing w:after="0"/>
              <w:rPr>
                <w:sz w:val="20"/>
                <w:szCs w:val="20"/>
                <w:color w:val="auto"/>
              </w:rPr>
            </w:pPr>
            <w:r>
              <w:rPr>
                <w:rFonts w:ascii="Arial" w:cs="Arial" w:eastAsia="Arial" w:hAnsi="Arial"/>
                <w:sz w:val="18"/>
                <w:szCs w:val="18"/>
                <w:color w:val="auto"/>
                <w:w w:val="98"/>
              </w:rPr>
              <w:t>Solutions Pvt. Ltd</w:t>
            </w:r>
          </w:p>
        </w:tc>
        <w:tc>
          <w:tcPr>
            <w:tcW w:w="1600" w:type="dxa"/>
            <w:vAlign w:val="bottom"/>
          </w:tcPr>
          <w:p>
            <w:pPr>
              <w:ind w:left="80"/>
              <w:spacing w:after="0"/>
              <w:rPr>
                <w:sz w:val="20"/>
                <w:szCs w:val="20"/>
                <w:color w:val="auto"/>
              </w:rPr>
            </w:pPr>
            <w:r>
              <w:rPr>
                <w:rFonts w:ascii="Arial" w:cs="Arial" w:eastAsia="Arial" w:hAnsi="Arial"/>
                <w:sz w:val="18"/>
                <w:szCs w:val="18"/>
                <w:color w:val="auto"/>
              </w:rPr>
              <w:t>Capital Lease</w:t>
            </w:r>
          </w:p>
        </w:tc>
        <w:tc>
          <w:tcPr>
            <w:tcW w:w="2180" w:type="dxa"/>
            <w:vAlign w:val="bottom"/>
          </w:tcPr>
          <w:p>
            <w:pPr>
              <w:ind w:left="520"/>
              <w:spacing w:after="0"/>
              <w:rPr>
                <w:sz w:val="20"/>
                <w:szCs w:val="20"/>
                <w:color w:val="auto"/>
              </w:rPr>
            </w:pPr>
            <w:r>
              <w:rPr>
                <w:rFonts w:ascii="Arial" w:cs="Arial" w:eastAsia="Arial" w:hAnsi="Arial"/>
                <w:sz w:val="18"/>
                <w:szCs w:val="18"/>
                <w:color w:val="auto"/>
              </w:rPr>
              <w:t>assets</w:t>
            </w:r>
          </w:p>
        </w:tc>
        <w:tc>
          <w:tcPr>
            <w:tcW w:w="1920" w:type="dxa"/>
            <w:vAlign w:val="bottom"/>
          </w:tcPr>
          <w:p>
            <w:pPr>
              <w:jc w:val="right"/>
              <w:ind w:right="370"/>
              <w:spacing w:after="0"/>
              <w:rPr>
                <w:sz w:val="20"/>
                <w:szCs w:val="20"/>
                <w:color w:val="auto"/>
              </w:rPr>
            </w:pPr>
            <w:r>
              <w:rPr>
                <w:rFonts w:ascii="Arial" w:cs="Arial" w:eastAsia="Arial" w:hAnsi="Arial"/>
                <w:sz w:val="18"/>
                <w:szCs w:val="18"/>
                <w:color w:val="auto"/>
              </w:rPr>
              <w:t>INR 11,285</w:t>
            </w:r>
          </w:p>
        </w:tc>
        <w:tc>
          <w:tcPr>
            <w:tcW w:w="1040" w:type="dxa"/>
            <w:vAlign w:val="bottom"/>
          </w:tcPr>
          <w:p>
            <w:pPr>
              <w:jc w:val="right"/>
              <w:spacing w:after="0"/>
              <w:rPr>
                <w:sz w:val="20"/>
                <w:szCs w:val="20"/>
                <w:color w:val="auto"/>
              </w:rPr>
            </w:pPr>
            <w:r>
              <w:rPr>
                <w:rFonts w:ascii="Arial" w:cs="Arial" w:eastAsia="Arial" w:hAnsi="Arial"/>
                <w:sz w:val="18"/>
                <w:szCs w:val="18"/>
                <w:color w:val="auto"/>
              </w:rPr>
              <w:t>180</w:t>
            </w:r>
          </w:p>
        </w:tc>
      </w:tr>
      <w:tr>
        <w:trPr>
          <w:trHeight w:val="269"/>
        </w:trPr>
        <w:tc>
          <w:tcPr>
            <w:tcW w:w="2760" w:type="dxa"/>
            <w:vAlign w:val="bottom"/>
          </w:tcPr>
          <w:p>
            <w:pPr>
              <w:spacing w:after="0"/>
              <w:rPr>
                <w:sz w:val="23"/>
                <w:szCs w:val="23"/>
                <w:color w:val="auto"/>
              </w:rPr>
            </w:pPr>
          </w:p>
        </w:tc>
        <w:tc>
          <w:tcPr>
            <w:tcW w:w="1840" w:type="dxa"/>
            <w:vAlign w:val="bottom"/>
          </w:tcPr>
          <w:p>
            <w:pPr>
              <w:ind w:left="440"/>
              <w:spacing w:after="0"/>
              <w:rPr>
                <w:sz w:val="20"/>
                <w:szCs w:val="20"/>
                <w:color w:val="auto"/>
              </w:rPr>
            </w:pPr>
            <w:r>
              <w:rPr>
                <w:rFonts w:ascii="Arial" w:cs="Arial" w:eastAsia="Arial" w:hAnsi="Arial"/>
                <w:sz w:val="18"/>
                <w:szCs w:val="18"/>
                <w:color w:val="auto"/>
              </w:rPr>
              <w:t>OPC Asset</w:t>
            </w:r>
          </w:p>
        </w:tc>
        <w:tc>
          <w:tcPr>
            <w:tcW w:w="1600" w:type="dxa"/>
            <w:vAlign w:val="bottom"/>
          </w:tcPr>
          <w:p>
            <w:pPr>
              <w:spacing w:after="0"/>
              <w:rPr>
                <w:sz w:val="23"/>
                <w:szCs w:val="23"/>
                <w:color w:val="auto"/>
              </w:rPr>
            </w:pPr>
          </w:p>
        </w:tc>
        <w:tc>
          <w:tcPr>
            <w:tcW w:w="2180" w:type="dxa"/>
            <w:vAlign w:val="bottom"/>
          </w:tcPr>
          <w:p>
            <w:pPr>
              <w:ind w:left="520"/>
              <w:spacing w:after="0"/>
              <w:rPr>
                <w:sz w:val="20"/>
                <w:szCs w:val="20"/>
                <w:color w:val="auto"/>
              </w:rPr>
            </w:pPr>
            <w:r>
              <w:rPr>
                <w:rFonts w:ascii="Arial" w:cs="Arial" w:eastAsia="Arial" w:hAnsi="Arial"/>
                <w:sz w:val="18"/>
                <w:szCs w:val="18"/>
                <w:color w:val="auto"/>
              </w:rPr>
              <w:t>ATM/other related</w:t>
            </w:r>
          </w:p>
        </w:tc>
        <w:tc>
          <w:tcPr>
            <w:tcW w:w="1920" w:type="dxa"/>
            <w:vAlign w:val="bottom"/>
          </w:tcPr>
          <w:p>
            <w:pPr>
              <w:spacing w:after="0"/>
              <w:rPr>
                <w:sz w:val="23"/>
                <w:szCs w:val="23"/>
                <w:color w:val="auto"/>
              </w:rPr>
            </w:pPr>
          </w:p>
        </w:tc>
        <w:tc>
          <w:tcPr>
            <w:tcW w:w="1040" w:type="dxa"/>
            <w:vAlign w:val="bottom"/>
          </w:tcPr>
          <w:p>
            <w:pPr>
              <w:spacing w:after="0"/>
              <w:rPr>
                <w:sz w:val="23"/>
                <w:szCs w:val="23"/>
                <w:color w:val="auto"/>
              </w:rPr>
            </w:pPr>
          </w:p>
        </w:tc>
      </w:tr>
      <w:tr>
        <w:trPr>
          <w:trHeight w:val="230"/>
        </w:trPr>
        <w:tc>
          <w:tcPr>
            <w:tcW w:w="2760" w:type="dxa"/>
            <w:vAlign w:val="bottom"/>
          </w:tcPr>
          <w:p>
            <w:pPr>
              <w:spacing w:after="0"/>
              <w:rPr>
                <w:sz w:val="20"/>
                <w:szCs w:val="20"/>
                <w:color w:val="auto"/>
              </w:rPr>
            </w:pPr>
            <w:r>
              <w:rPr>
                <w:rFonts w:ascii="Arial" w:cs="Arial" w:eastAsia="Arial" w:hAnsi="Arial"/>
                <w:sz w:val="18"/>
                <w:szCs w:val="18"/>
                <w:color w:val="auto"/>
              </w:rPr>
              <w:t>Euronet Services India Pvt. Ltd.</w:t>
            </w:r>
          </w:p>
        </w:tc>
        <w:tc>
          <w:tcPr>
            <w:tcW w:w="1840" w:type="dxa"/>
            <w:vAlign w:val="bottom"/>
          </w:tcPr>
          <w:p>
            <w:pPr>
              <w:ind w:left="440"/>
              <w:spacing w:after="0"/>
              <w:rPr>
                <w:sz w:val="20"/>
                <w:szCs w:val="20"/>
                <w:color w:val="auto"/>
              </w:rPr>
            </w:pPr>
            <w:r>
              <w:rPr>
                <w:rFonts w:ascii="Arial" w:cs="Arial" w:eastAsia="Arial" w:hAnsi="Arial"/>
                <w:sz w:val="18"/>
                <w:szCs w:val="18"/>
                <w:color w:val="auto"/>
                <w:w w:val="98"/>
              </w:rPr>
              <w:t>Solutions Pvt. Ltd</w:t>
            </w:r>
          </w:p>
        </w:tc>
        <w:tc>
          <w:tcPr>
            <w:tcW w:w="1600" w:type="dxa"/>
            <w:vAlign w:val="bottom"/>
          </w:tcPr>
          <w:p>
            <w:pPr>
              <w:ind w:left="80"/>
              <w:spacing w:after="0"/>
              <w:rPr>
                <w:sz w:val="20"/>
                <w:szCs w:val="20"/>
                <w:color w:val="auto"/>
              </w:rPr>
            </w:pPr>
            <w:r>
              <w:rPr>
                <w:rFonts w:ascii="Arial" w:cs="Arial" w:eastAsia="Arial" w:hAnsi="Arial"/>
                <w:sz w:val="18"/>
                <w:szCs w:val="18"/>
                <w:color w:val="auto"/>
              </w:rPr>
              <w:t>Capital Lease</w:t>
            </w:r>
          </w:p>
        </w:tc>
        <w:tc>
          <w:tcPr>
            <w:tcW w:w="2180" w:type="dxa"/>
            <w:vAlign w:val="bottom"/>
          </w:tcPr>
          <w:p>
            <w:pPr>
              <w:ind w:left="520"/>
              <w:spacing w:after="0"/>
              <w:rPr>
                <w:sz w:val="20"/>
                <w:szCs w:val="20"/>
                <w:color w:val="auto"/>
              </w:rPr>
            </w:pPr>
            <w:r>
              <w:rPr>
                <w:rFonts w:ascii="Arial" w:cs="Arial" w:eastAsia="Arial" w:hAnsi="Arial"/>
                <w:sz w:val="18"/>
                <w:szCs w:val="18"/>
                <w:color w:val="auto"/>
              </w:rPr>
              <w:t>assets</w:t>
            </w:r>
          </w:p>
        </w:tc>
        <w:tc>
          <w:tcPr>
            <w:tcW w:w="1920" w:type="dxa"/>
            <w:vAlign w:val="bottom"/>
          </w:tcPr>
          <w:p>
            <w:pPr>
              <w:jc w:val="right"/>
              <w:ind w:right="370"/>
              <w:spacing w:after="0"/>
              <w:rPr>
                <w:sz w:val="20"/>
                <w:szCs w:val="20"/>
                <w:color w:val="auto"/>
              </w:rPr>
            </w:pPr>
            <w:r>
              <w:rPr>
                <w:rFonts w:ascii="Arial" w:cs="Arial" w:eastAsia="Arial" w:hAnsi="Arial"/>
                <w:sz w:val="18"/>
                <w:szCs w:val="18"/>
                <w:color w:val="auto"/>
              </w:rPr>
              <w:t>INR 21,912,142</w:t>
            </w:r>
          </w:p>
        </w:tc>
        <w:tc>
          <w:tcPr>
            <w:tcW w:w="1040" w:type="dxa"/>
            <w:vAlign w:val="bottom"/>
          </w:tcPr>
          <w:p>
            <w:pPr>
              <w:jc w:val="right"/>
              <w:spacing w:after="0"/>
              <w:rPr>
                <w:sz w:val="20"/>
                <w:szCs w:val="20"/>
                <w:color w:val="auto"/>
              </w:rPr>
            </w:pPr>
            <w:r>
              <w:rPr>
                <w:rFonts w:ascii="Arial" w:cs="Arial" w:eastAsia="Arial" w:hAnsi="Arial"/>
                <w:sz w:val="18"/>
                <w:szCs w:val="18"/>
                <w:color w:val="auto"/>
              </w:rPr>
              <w:t>349,587</w:t>
            </w:r>
          </w:p>
        </w:tc>
      </w:tr>
      <w:tr>
        <w:trPr>
          <w:trHeight w:val="269"/>
        </w:trPr>
        <w:tc>
          <w:tcPr>
            <w:tcW w:w="2760" w:type="dxa"/>
            <w:vAlign w:val="bottom"/>
          </w:tcPr>
          <w:p>
            <w:pPr>
              <w:spacing w:after="0"/>
              <w:rPr>
                <w:sz w:val="23"/>
                <w:szCs w:val="23"/>
                <w:color w:val="auto"/>
              </w:rPr>
            </w:pPr>
          </w:p>
        </w:tc>
        <w:tc>
          <w:tcPr>
            <w:tcW w:w="1840" w:type="dxa"/>
            <w:vAlign w:val="bottom"/>
          </w:tcPr>
          <w:p>
            <w:pPr>
              <w:ind w:left="440"/>
              <w:spacing w:after="0"/>
              <w:rPr>
                <w:sz w:val="20"/>
                <w:szCs w:val="20"/>
                <w:color w:val="auto"/>
              </w:rPr>
            </w:pPr>
            <w:r>
              <w:rPr>
                <w:rFonts w:ascii="Arial" w:cs="Arial" w:eastAsia="Arial" w:hAnsi="Arial"/>
                <w:sz w:val="18"/>
                <w:szCs w:val="18"/>
                <w:color w:val="auto"/>
              </w:rPr>
              <w:t>OPC Asset</w:t>
            </w:r>
          </w:p>
        </w:tc>
        <w:tc>
          <w:tcPr>
            <w:tcW w:w="1600" w:type="dxa"/>
            <w:vAlign w:val="bottom"/>
          </w:tcPr>
          <w:p>
            <w:pPr>
              <w:spacing w:after="0"/>
              <w:rPr>
                <w:sz w:val="23"/>
                <w:szCs w:val="23"/>
                <w:color w:val="auto"/>
              </w:rPr>
            </w:pPr>
          </w:p>
        </w:tc>
        <w:tc>
          <w:tcPr>
            <w:tcW w:w="2180" w:type="dxa"/>
            <w:vAlign w:val="bottom"/>
          </w:tcPr>
          <w:p>
            <w:pPr>
              <w:ind w:left="520"/>
              <w:spacing w:after="0"/>
              <w:rPr>
                <w:sz w:val="20"/>
                <w:szCs w:val="20"/>
                <w:color w:val="auto"/>
              </w:rPr>
            </w:pPr>
            <w:r>
              <w:rPr>
                <w:rFonts w:ascii="Arial" w:cs="Arial" w:eastAsia="Arial" w:hAnsi="Arial"/>
                <w:sz w:val="18"/>
                <w:szCs w:val="18"/>
                <w:color w:val="auto"/>
              </w:rPr>
              <w:t>ATM/other related</w:t>
            </w:r>
          </w:p>
        </w:tc>
        <w:tc>
          <w:tcPr>
            <w:tcW w:w="1920" w:type="dxa"/>
            <w:vAlign w:val="bottom"/>
          </w:tcPr>
          <w:p>
            <w:pPr>
              <w:spacing w:after="0"/>
              <w:rPr>
                <w:sz w:val="23"/>
                <w:szCs w:val="23"/>
                <w:color w:val="auto"/>
              </w:rPr>
            </w:pPr>
          </w:p>
        </w:tc>
        <w:tc>
          <w:tcPr>
            <w:tcW w:w="1040" w:type="dxa"/>
            <w:vAlign w:val="bottom"/>
          </w:tcPr>
          <w:p>
            <w:pPr>
              <w:spacing w:after="0"/>
              <w:rPr>
                <w:sz w:val="23"/>
                <w:szCs w:val="23"/>
                <w:color w:val="auto"/>
              </w:rPr>
            </w:pPr>
          </w:p>
        </w:tc>
      </w:tr>
      <w:tr>
        <w:trPr>
          <w:trHeight w:val="230"/>
        </w:trPr>
        <w:tc>
          <w:tcPr>
            <w:tcW w:w="2760" w:type="dxa"/>
            <w:vAlign w:val="bottom"/>
          </w:tcPr>
          <w:p>
            <w:pPr>
              <w:spacing w:after="0"/>
              <w:rPr>
                <w:sz w:val="20"/>
                <w:szCs w:val="20"/>
                <w:color w:val="auto"/>
              </w:rPr>
            </w:pPr>
            <w:r>
              <w:rPr>
                <w:rFonts w:ascii="Arial" w:cs="Arial" w:eastAsia="Arial" w:hAnsi="Arial"/>
                <w:sz w:val="18"/>
                <w:szCs w:val="18"/>
                <w:color w:val="auto"/>
              </w:rPr>
              <w:t>Euronet Services India Pvt. Ltd.</w:t>
            </w:r>
          </w:p>
        </w:tc>
        <w:tc>
          <w:tcPr>
            <w:tcW w:w="1840" w:type="dxa"/>
            <w:vAlign w:val="bottom"/>
          </w:tcPr>
          <w:p>
            <w:pPr>
              <w:ind w:left="440"/>
              <w:spacing w:after="0"/>
              <w:rPr>
                <w:sz w:val="20"/>
                <w:szCs w:val="20"/>
                <w:color w:val="auto"/>
              </w:rPr>
            </w:pPr>
            <w:r>
              <w:rPr>
                <w:rFonts w:ascii="Arial" w:cs="Arial" w:eastAsia="Arial" w:hAnsi="Arial"/>
                <w:sz w:val="18"/>
                <w:szCs w:val="18"/>
                <w:color w:val="auto"/>
                <w:w w:val="98"/>
              </w:rPr>
              <w:t>Solutions Pvt. Ltd</w:t>
            </w:r>
          </w:p>
        </w:tc>
        <w:tc>
          <w:tcPr>
            <w:tcW w:w="1600" w:type="dxa"/>
            <w:vAlign w:val="bottom"/>
          </w:tcPr>
          <w:p>
            <w:pPr>
              <w:ind w:left="80"/>
              <w:spacing w:after="0"/>
              <w:rPr>
                <w:sz w:val="20"/>
                <w:szCs w:val="20"/>
                <w:color w:val="auto"/>
              </w:rPr>
            </w:pPr>
            <w:r>
              <w:rPr>
                <w:rFonts w:ascii="Arial" w:cs="Arial" w:eastAsia="Arial" w:hAnsi="Arial"/>
                <w:sz w:val="18"/>
                <w:szCs w:val="18"/>
                <w:color w:val="auto"/>
              </w:rPr>
              <w:t>Capital Lease</w:t>
            </w:r>
          </w:p>
        </w:tc>
        <w:tc>
          <w:tcPr>
            <w:tcW w:w="2180" w:type="dxa"/>
            <w:vAlign w:val="bottom"/>
          </w:tcPr>
          <w:p>
            <w:pPr>
              <w:ind w:left="520"/>
              <w:spacing w:after="0"/>
              <w:rPr>
                <w:sz w:val="20"/>
                <w:szCs w:val="20"/>
                <w:color w:val="auto"/>
              </w:rPr>
            </w:pPr>
            <w:r>
              <w:rPr>
                <w:rFonts w:ascii="Arial" w:cs="Arial" w:eastAsia="Arial" w:hAnsi="Arial"/>
                <w:sz w:val="18"/>
                <w:szCs w:val="18"/>
                <w:color w:val="auto"/>
              </w:rPr>
              <w:t>assets</w:t>
            </w:r>
          </w:p>
        </w:tc>
        <w:tc>
          <w:tcPr>
            <w:tcW w:w="1920" w:type="dxa"/>
            <w:vAlign w:val="bottom"/>
          </w:tcPr>
          <w:p>
            <w:pPr>
              <w:jc w:val="right"/>
              <w:ind w:right="370"/>
              <w:spacing w:after="0"/>
              <w:rPr>
                <w:sz w:val="20"/>
                <w:szCs w:val="20"/>
                <w:color w:val="auto"/>
              </w:rPr>
            </w:pPr>
            <w:r>
              <w:rPr>
                <w:rFonts w:ascii="Arial" w:cs="Arial" w:eastAsia="Arial" w:hAnsi="Arial"/>
                <w:sz w:val="18"/>
                <w:szCs w:val="18"/>
                <w:color w:val="auto"/>
              </w:rPr>
              <w:t>INR 46,784,726</w:t>
            </w:r>
          </w:p>
        </w:tc>
        <w:tc>
          <w:tcPr>
            <w:tcW w:w="1040" w:type="dxa"/>
            <w:vAlign w:val="bottom"/>
          </w:tcPr>
          <w:p>
            <w:pPr>
              <w:jc w:val="right"/>
              <w:spacing w:after="0"/>
              <w:rPr>
                <w:sz w:val="20"/>
                <w:szCs w:val="20"/>
                <w:color w:val="auto"/>
              </w:rPr>
            </w:pPr>
            <w:r>
              <w:rPr>
                <w:rFonts w:ascii="Arial" w:cs="Arial" w:eastAsia="Arial" w:hAnsi="Arial"/>
                <w:sz w:val="18"/>
                <w:szCs w:val="18"/>
                <w:color w:val="auto"/>
              </w:rPr>
              <w:t>746,406</w:t>
            </w:r>
          </w:p>
        </w:tc>
      </w:tr>
    </w:tbl>
    <w:p>
      <w:pPr>
        <w:sectPr>
          <w:pgSz w:w="11900" w:h="16838" w:orient="portrait"/>
          <w:cols w:equalWidth="0" w:num="1">
            <w:col w:w="11340"/>
          </w:cols>
          <w:pgMar w:left="280" w:top="1057" w:right="279" w:bottom="1440" w:gutter="0" w:footer="0" w:header="0"/>
        </w:sectPr>
      </w:pPr>
    </w:p>
    <w:bookmarkStart w:id="275" w:name="page276"/>
    <w:bookmarkEnd w:id="275"/>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060" w:type="dxa"/>
            <w:vAlign w:val="bottom"/>
          </w:tcPr>
          <w:p>
            <w:pPr>
              <w:spacing w:after="0"/>
              <w:rPr>
                <w:sz w:val="18"/>
                <w:szCs w:val="18"/>
                <w:color w:val="auto"/>
              </w:rPr>
            </w:pPr>
          </w:p>
        </w:tc>
        <w:tc>
          <w:tcPr>
            <w:tcW w:w="1540" w:type="dxa"/>
            <w:vAlign w:val="bottom"/>
          </w:tcPr>
          <w:p>
            <w:pPr>
              <w:ind w:left="140"/>
              <w:spacing w:after="0"/>
              <w:rPr>
                <w:sz w:val="20"/>
                <w:szCs w:val="20"/>
                <w:color w:val="auto"/>
              </w:rPr>
            </w:pPr>
            <w:r>
              <w:rPr>
                <w:rFonts w:ascii="Arial" w:cs="Arial" w:eastAsia="Arial" w:hAnsi="Arial"/>
                <w:sz w:val="18"/>
                <w:szCs w:val="18"/>
                <w:color w:val="auto"/>
              </w:rPr>
              <w:t>OPC Asset</w:t>
            </w:r>
          </w:p>
        </w:tc>
        <w:tc>
          <w:tcPr>
            <w:tcW w:w="1600" w:type="dxa"/>
            <w:vAlign w:val="bottom"/>
          </w:tcPr>
          <w:p>
            <w:pPr>
              <w:spacing w:after="0"/>
              <w:rPr>
                <w:sz w:val="18"/>
                <w:szCs w:val="18"/>
                <w:color w:val="auto"/>
              </w:rPr>
            </w:pPr>
          </w:p>
        </w:tc>
        <w:tc>
          <w:tcPr>
            <w:tcW w:w="1980" w:type="dxa"/>
            <w:vAlign w:val="bottom"/>
          </w:tcPr>
          <w:p>
            <w:pPr>
              <w:ind w:left="520"/>
              <w:spacing w:after="0"/>
              <w:rPr>
                <w:sz w:val="20"/>
                <w:szCs w:val="20"/>
                <w:color w:val="auto"/>
              </w:rPr>
            </w:pPr>
            <w:r>
              <w:rPr>
                <w:rFonts w:ascii="Arial" w:cs="Arial" w:eastAsia="Arial" w:hAnsi="Arial"/>
                <w:sz w:val="18"/>
                <w:szCs w:val="18"/>
                <w:color w:val="auto"/>
                <w:w w:val="99"/>
              </w:rPr>
              <w:t>ATM/other related</w:t>
            </w:r>
          </w:p>
        </w:tc>
        <w:tc>
          <w:tcPr>
            <w:tcW w:w="206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30"/>
        </w:trPr>
        <w:tc>
          <w:tcPr>
            <w:tcW w:w="3060" w:type="dxa"/>
            <w:vAlign w:val="bottom"/>
          </w:tcPr>
          <w:p>
            <w:pPr>
              <w:spacing w:after="0"/>
              <w:rPr>
                <w:sz w:val="20"/>
                <w:szCs w:val="20"/>
                <w:color w:val="auto"/>
              </w:rPr>
            </w:pPr>
            <w:r>
              <w:rPr>
                <w:rFonts w:ascii="Arial" w:cs="Arial" w:eastAsia="Arial" w:hAnsi="Arial"/>
                <w:sz w:val="18"/>
                <w:szCs w:val="18"/>
                <w:color w:val="auto"/>
              </w:rPr>
              <w:t>Euronet Services India Pvt. Ltd.</w:t>
            </w:r>
          </w:p>
        </w:tc>
        <w:tc>
          <w:tcPr>
            <w:tcW w:w="1540" w:type="dxa"/>
            <w:vAlign w:val="bottom"/>
          </w:tcPr>
          <w:p>
            <w:pPr>
              <w:ind w:left="140"/>
              <w:spacing w:after="0"/>
              <w:rPr>
                <w:sz w:val="20"/>
                <w:szCs w:val="20"/>
                <w:color w:val="auto"/>
              </w:rPr>
            </w:pPr>
            <w:r>
              <w:rPr>
                <w:rFonts w:ascii="Arial" w:cs="Arial" w:eastAsia="Arial" w:hAnsi="Arial"/>
                <w:sz w:val="18"/>
                <w:szCs w:val="18"/>
                <w:color w:val="auto"/>
                <w:w w:val="98"/>
              </w:rPr>
              <w:t>Solutions Pvt. Ltd</w:t>
            </w:r>
          </w:p>
        </w:tc>
        <w:tc>
          <w:tcPr>
            <w:tcW w:w="1600" w:type="dxa"/>
            <w:vAlign w:val="bottom"/>
          </w:tcPr>
          <w:p>
            <w:pPr>
              <w:ind w:left="80"/>
              <w:spacing w:after="0"/>
              <w:rPr>
                <w:sz w:val="20"/>
                <w:szCs w:val="20"/>
                <w:color w:val="auto"/>
              </w:rPr>
            </w:pPr>
            <w:r>
              <w:rPr>
                <w:rFonts w:ascii="Arial" w:cs="Arial" w:eastAsia="Arial" w:hAnsi="Arial"/>
                <w:sz w:val="18"/>
                <w:szCs w:val="18"/>
                <w:color w:val="auto"/>
              </w:rPr>
              <w:t>Capital Lease</w:t>
            </w:r>
          </w:p>
        </w:tc>
        <w:tc>
          <w:tcPr>
            <w:tcW w:w="1980" w:type="dxa"/>
            <w:vAlign w:val="bottom"/>
          </w:tcPr>
          <w:p>
            <w:pPr>
              <w:ind w:left="520"/>
              <w:spacing w:after="0"/>
              <w:rPr>
                <w:sz w:val="20"/>
                <w:szCs w:val="20"/>
                <w:color w:val="auto"/>
              </w:rPr>
            </w:pPr>
            <w:r>
              <w:rPr>
                <w:rFonts w:ascii="Arial" w:cs="Arial" w:eastAsia="Arial" w:hAnsi="Arial"/>
                <w:sz w:val="18"/>
                <w:szCs w:val="18"/>
                <w:color w:val="auto"/>
              </w:rPr>
              <w:t>assets</w:t>
            </w:r>
          </w:p>
        </w:tc>
        <w:tc>
          <w:tcPr>
            <w:tcW w:w="2060" w:type="dxa"/>
            <w:vAlign w:val="bottom"/>
          </w:tcPr>
          <w:p>
            <w:pPr>
              <w:jc w:val="right"/>
              <w:ind w:right="310"/>
              <w:spacing w:after="0"/>
              <w:rPr>
                <w:sz w:val="20"/>
                <w:szCs w:val="20"/>
                <w:color w:val="auto"/>
              </w:rPr>
            </w:pPr>
            <w:r>
              <w:rPr>
                <w:rFonts w:ascii="Arial" w:cs="Arial" w:eastAsia="Arial" w:hAnsi="Arial"/>
                <w:sz w:val="18"/>
                <w:szCs w:val="18"/>
                <w:color w:val="auto"/>
              </w:rPr>
              <w:t>INR 9,150,795</w:t>
            </w:r>
          </w:p>
        </w:tc>
        <w:tc>
          <w:tcPr>
            <w:tcW w:w="1140" w:type="dxa"/>
            <w:vAlign w:val="bottom"/>
          </w:tcPr>
          <w:p>
            <w:pPr>
              <w:jc w:val="right"/>
              <w:spacing w:after="0"/>
              <w:rPr>
                <w:sz w:val="20"/>
                <w:szCs w:val="20"/>
                <w:color w:val="auto"/>
              </w:rPr>
            </w:pPr>
            <w:r>
              <w:rPr>
                <w:rFonts w:ascii="Arial" w:cs="Arial" w:eastAsia="Arial" w:hAnsi="Arial"/>
                <w:sz w:val="18"/>
                <w:szCs w:val="18"/>
                <w:color w:val="auto"/>
              </w:rPr>
              <w:t>145,992</w:t>
            </w:r>
          </w:p>
        </w:tc>
      </w:tr>
      <w:tr>
        <w:trPr>
          <w:trHeight w:val="269"/>
        </w:trPr>
        <w:tc>
          <w:tcPr>
            <w:tcW w:w="3060" w:type="dxa"/>
            <w:vAlign w:val="bottom"/>
          </w:tcPr>
          <w:p>
            <w:pPr>
              <w:spacing w:after="0"/>
              <w:rPr>
                <w:sz w:val="23"/>
                <w:szCs w:val="23"/>
                <w:color w:val="auto"/>
              </w:rPr>
            </w:pPr>
          </w:p>
        </w:tc>
        <w:tc>
          <w:tcPr>
            <w:tcW w:w="1540" w:type="dxa"/>
            <w:vAlign w:val="bottom"/>
          </w:tcPr>
          <w:p>
            <w:pPr>
              <w:ind w:left="140"/>
              <w:spacing w:after="0"/>
              <w:rPr>
                <w:sz w:val="20"/>
                <w:szCs w:val="20"/>
                <w:color w:val="auto"/>
              </w:rPr>
            </w:pPr>
            <w:r>
              <w:rPr>
                <w:rFonts w:ascii="Arial" w:cs="Arial" w:eastAsia="Arial" w:hAnsi="Arial"/>
                <w:sz w:val="18"/>
                <w:szCs w:val="18"/>
                <w:color w:val="auto"/>
              </w:rPr>
              <w:t>OPC Asset</w:t>
            </w:r>
          </w:p>
        </w:tc>
        <w:tc>
          <w:tcPr>
            <w:tcW w:w="1600" w:type="dxa"/>
            <w:vAlign w:val="bottom"/>
          </w:tcPr>
          <w:p>
            <w:pPr>
              <w:spacing w:after="0"/>
              <w:rPr>
                <w:sz w:val="23"/>
                <w:szCs w:val="23"/>
                <w:color w:val="auto"/>
              </w:rPr>
            </w:pPr>
          </w:p>
        </w:tc>
        <w:tc>
          <w:tcPr>
            <w:tcW w:w="1980" w:type="dxa"/>
            <w:vAlign w:val="bottom"/>
          </w:tcPr>
          <w:p>
            <w:pPr>
              <w:ind w:left="520"/>
              <w:spacing w:after="0"/>
              <w:rPr>
                <w:sz w:val="20"/>
                <w:szCs w:val="20"/>
                <w:color w:val="auto"/>
              </w:rPr>
            </w:pPr>
            <w:r>
              <w:rPr>
                <w:rFonts w:ascii="Arial" w:cs="Arial" w:eastAsia="Arial" w:hAnsi="Arial"/>
                <w:sz w:val="18"/>
                <w:szCs w:val="18"/>
                <w:color w:val="auto"/>
                <w:w w:val="99"/>
              </w:rPr>
              <w:t>ATM/other related</w:t>
            </w:r>
          </w:p>
        </w:tc>
        <w:tc>
          <w:tcPr>
            <w:tcW w:w="2060" w:type="dxa"/>
            <w:vAlign w:val="bottom"/>
          </w:tcPr>
          <w:p>
            <w:pPr>
              <w:spacing w:after="0"/>
              <w:rPr>
                <w:sz w:val="23"/>
                <w:szCs w:val="23"/>
                <w:color w:val="auto"/>
              </w:rPr>
            </w:pPr>
          </w:p>
        </w:tc>
        <w:tc>
          <w:tcPr>
            <w:tcW w:w="1140" w:type="dxa"/>
            <w:vAlign w:val="bottom"/>
          </w:tcPr>
          <w:p>
            <w:pPr>
              <w:spacing w:after="0"/>
              <w:rPr>
                <w:sz w:val="23"/>
                <w:szCs w:val="23"/>
                <w:color w:val="auto"/>
              </w:rPr>
            </w:pPr>
          </w:p>
        </w:tc>
      </w:tr>
      <w:tr>
        <w:trPr>
          <w:trHeight w:val="230"/>
        </w:trPr>
        <w:tc>
          <w:tcPr>
            <w:tcW w:w="3060" w:type="dxa"/>
            <w:vAlign w:val="bottom"/>
          </w:tcPr>
          <w:p>
            <w:pPr>
              <w:spacing w:after="0"/>
              <w:rPr>
                <w:sz w:val="20"/>
                <w:szCs w:val="20"/>
                <w:color w:val="auto"/>
              </w:rPr>
            </w:pPr>
            <w:r>
              <w:rPr>
                <w:rFonts w:ascii="Arial" w:cs="Arial" w:eastAsia="Arial" w:hAnsi="Arial"/>
                <w:sz w:val="18"/>
                <w:szCs w:val="18"/>
                <w:color w:val="auto"/>
              </w:rPr>
              <w:t>Euronet Services India Pvt. Ltd.</w:t>
            </w:r>
          </w:p>
        </w:tc>
        <w:tc>
          <w:tcPr>
            <w:tcW w:w="1540" w:type="dxa"/>
            <w:vAlign w:val="bottom"/>
          </w:tcPr>
          <w:p>
            <w:pPr>
              <w:ind w:left="140"/>
              <w:spacing w:after="0"/>
              <w:rPr>
                <w:sz w:val="20"/>
                <w:szCs w:val="20"/>
                <w:color w:val="auto"/>
              </w:rPr>
            </w:pPr>
            <w:r>
              <w:rPr>
                <w:rFonts w:ascii="Arial" w:cs="Arial" w:eastAsia="Arial" w:hAnsi="Arial"/>
                <w:sz w:val="18"/>
                <w:szCs w:val="18"/>
                <w:color w:val="auto"/>
                <w:w w:val="98"/>
              </w:rPr>
              <w:t>Solutions Pvt. Ltd</w:t>
            </w:r>
          </w:p>
        </w:tc>
        <w:tc>
          <w:tcPr>
            <w:tcW w:w="1600" w:type="dxa"/>
            <w:vAlign w:val="bottom"/>
          </w:tcPr>
          <w:p>
            <w:pPr>
              <w:ind w:left="80"/>
              <w:spacing w:after="0"/>
              <w:rPr>
                <w:sz w:val="20"/>
                <w:szCs w:val="20"/>
                <w:color w:val="auto"/>
              </w:rPr>
            </w:pPr>
            <w:r>
              <w:rPr>
                <w:rFonts w:ascii="Arial" w:cs="Arial" w:eastAsia="Arial" w:hAnsi="Arial"/>
                <w:sz w:val="18"/>
                <w:szCs w:val="18"/>
                <w:color w:val="auto"/>
              </w:rPr>
              <w:t>Capital Lease</w:t>
            </w:r>
          </w:p>
        </w:tc>
        <w:tc>
          <w:tcPr>
            <w:tcW w:w="1980" w:type="dxa"/>
            <w:vAlign w:val="bottom"/>
          </w:tcPr>
          <w:p>
            <w:pPr>
              <w:ind w:left="520"/>
              <w:spacing w:after="0"/>
              <w:rPr>
                <w:sz w:val="20"/>
                <w:szCs w:val="20"/>
                <w:color w:val="auto"/>
              </w:rPr>
            </w:pPr>
            <w:r>
              <w:rPr>
                <w:rFonts w:ascii="Arial" w:cs="Arial" w:eastAsia="Arial" w:hAnsi="Arial"/>
                <w:sz w:val="18"/>
                <w:szCs w:val="18"/>
                <w:color w:val="auto"/>
              </w:rPr>
              <w:t>assets</w:t>
            </w:r>
          </w:p>
        </w:tc>
        <w:tc>
          <w:tcPr>
            <w:tcW w:w="2060" w:type="dxa"/>
            <w:vAlign w:val="bottom"/>
          </w:tcPr>
          <w:p>
            <w:pPr>
              <w:jc w:val="right"/>
              <w:ind w:right="310"/>
              <w:spacing w:after="0"/>
              <w:rPr>
                <w:sz w:val="20"/>
                <w:szCs w:val="20"/>
                <w:color w:val="auto"/>
              </w:rPr>
            </w:pPr>
            <w:r>
              <w:rPr>
                <w:rFonts w:ascii="Arial" w:cs="Arial" w:eastAsia="Arial" w:hAnsi="Arial"/>
                <w:sz w:val="18"/>
                <w:szCs w:val="18"/>
                <w:color w:val="auto"/>
              </w:rPr>
              <w:t>INR 10,635,717</w:t>
            </w:r>
          </w:p>
        </w:tc>
        <w:tc>
          <w:tcPr>
            <w:tcW w:w="1140" w:type="dxa"/>
            <w:vAlign w:val="bottom"/>
          </w:tcPr>
          <w:p>
            <w:pPr>
              <w:jc w:val="right"/>
              <w:spacing w:after="0"/>
              <w:rPr>
                <w:sz w:val="20"/>
                <w:szCs w:val="20"/>
                <w:color w:val="auto"/>
              </w:rPr>
            </w:pPr>
            <w:r>
              <w:rPr>
                <w:rFonts w:ascii="Arial" w:cs="Arial" w:eastAsia="Arial" w:hAnsi="Arial"/>
                <w:sz w:val="18"/>
                <w:szCs w:val="18"/>
                <w:color w:val="auto"/>
              </w:rPr>
              <w:t>169,683</w:t>
            </w:r>
          </w:p>
        </w:tc>
      </w:tr>
      <w:tr>
        <w:trPr>
          <w:trHeight w:val="284"/>
        </w:trPr>
        <w:tc>
          <w:tcPr>
            <w:tcW w:w="3060" w:type="dxa"/>
            <w:vAlign w:val="bottom"/>
          </w:tcPr>
          <w:p>
            <w:pPr>
              <w:spacing w:after="0"/>
              <w:rPr>
                <w:sz w:val="20"/>
                <w:szCs w:val="20"/>
                <w:color w:val="auto"/>
              </w:rPr>
            </w:pPr>
            <w:r>
              <w:rPr>
                <w:rFonts w:ascii="Arial" w:cs="Arial" w:eastAsia="Arial" w:hAnsi="Arial"/>
                <w:sz w:val="18"/>
                <w:szCs w:val="18"/>
                <w:color w:val="auto"/>
              </w:rPr>
              <w:t>Euronet Services India Pvt. Ltd.</w:t>
            </w:r>
          </w:p>
        </w:tc>
        <w:tc>
          <w:tcPr>
            <w:tcW w:w="1540" w:type="dxa"/>
            <w:vAlign w:val="bottom"/>
          </w:tcPr>
          <w:p>
            <w:pPr>
              <w:ind w:left="140"/>
              <w:spacing w:after="0"/>
              <w:rPr>
                <w:sz w:val="20"/>
                <w:szCs w:val="20"/>
                <w:color w:val="auto"/>
              </w:rPr>
            </w:pPr>
            <w:r>
              <w:rPr>
                <w:rFonts w:ascii="Arial" w:cs="Arial" w:eastAsia="Arial" w:hAnsi="Arial"/>
                <w:sz w:val="18"/>
                <w:szCs w:val="18"/>
                <w:color w:val="auto"/>
              </w:rPr>
              <w:t>ICICI bank</w:t>
            </w:r>
          </w:p>
        </w:tc>
        <w:tc>
          <w:tcPr>
            <w:tcW w:w="1600" w:type="dxa"/>
            <w:vAlign w:val="bottom"/>
          </w:tcPr>
          <w:p>
            <w:pPr>
              <w:ind w:left="80"/>
              <w:spacing w:after="0"/>
              <w:rPr>
                <w:sz w:val="20"/>
                <w:szCs w:val="20"/>
                <w:color w:val="auto"/>
              </w:rPr>
            </w:pPr>
            <w:r>
              <w:rPr>
                <w:rFonts w:ascii="Arial" w:cs="Arial" w:eastAsia="Arial" w:hAnsi="Arial"/>
                <w:sz w:val="18"/>
                <w:szCs w:val="18"/>
                <w:color w:val="auto"/>
              </w:rPr>
              <w:t>Capital Lease</w:t>
            </w:r>
          </w:p>
        </w:tc>
        <w:tc>
          <w:tcPr>
            <w:tcW w:w="1980" w:type="dxa"/>
            <w:vAlign w:val="bottom"/>
          </w:tcPr>
          <w:p>
            <w:pPr>
              <w:ind w:left="520"/>
              <w:spacing w:after="0"/>
              <w:rPr>
                <w:sz w:val="20"/>
                <w:szCs w:val="20"/>
                <w:color w:val="auto"/>
              </w:rPr>
            </w:pPr>
            <w:r>
              <w:rPr>
                <w:rFonts w:ascii="Arial" w:cs="Arial" w:eastAsia="Arial" w:hAnsi="Arial"/>
                <w:sz w:val="18"/>
                <w:szCs w:val="18"/>
                <w:color w:val="auto"/>
              </w:rPr>
              <w:t>Car</w:t>
            </w:r>
          </w:p>
        </w:tc>
        <w:tc>
          <w:tcPr>
            <w:tcW w:w="2060" w:type="dxa"/>
            <w:vAlign w:val="bottom"/>
          </w:tcPr>
          <w:p>
            <w:pPr>
              <w:jc w:val="right"/>
              <w:ind w:right="310"/>
              <w:spacing w:after="0"/>
              <w:rPr>
                <w:sz w:val="20"/>
                <w:szCs w:val="20"/>
                <w:color w:val="auto"/>
              </w:rPr>
            </w:pPr>
            <w:r>
              <w:rPr>
                <w:rFonts w:ascii="Arial" w:cs="Arial" w:eastAsia="Arial" w:hAnsi="Arial"/>
                <w:sz w:val="18"/>
                <w:szCs w:val="18"/>
                <w:color w:val="auto"/>
              </w:rPr>
              <w:t>INR 3,313,710</w:t>
            </w:r>
          </w:p>
        </w:tc>
        <w:tc>
          <w:tcPr>
            <w:tcW w:w="1140" w:type="dxa"/>
            <w:vAlign w:val="bottom"/>
          </w:tcPr>
          <w:p>
            <w:pPr>
              <w:jc w:val="right"/>
              <w:spacing w:after="0"/>
              <w:rPr>
                <w:sz w:val="20"/>
                <w:szCs w:val="20"/>
                <w:color w:val="auto"/>
              </w:rPr>
            </w:pPr>
            <w:r>
              <w:rPr>
                <w:rFonts w:ascii="Arial" w:cs="Arial" w:eastAsia="Arial" w:hAnsi="Arial"/>
                <w:sz w:val="18"/>
                <w:szCs w:val="18"/>
                <w:color w:val="auto"/>
              </w:rPr>
              <w:t>52,867</w:t>
            </w:r>
          </w:p>
        </w:tc>
      </w:tr>
      <w:tr>
        <w:trPr>
          <w:trHeight w:val="284"/>
        </w:trPr>
        <w:tc>
          <w:tcPr>
            <w:tcW w:w="3060" w:type="dxa"/>
            <w:vAlign w:val="bottom"/>
          </w:tcPr>
          <w:p>
            <w:pPr>
              <w:spacing w:after="0"/>
              <w:rPr>
                <w:sz w:val="20"/>
                <w:szCs w:val="20"/>
                <w:color w:val="auto"/>
              </w:rPr>
            </w:pPr>
            <w:r>
              <w:rPr>
                <w:rFonts w:ascii="Arial" w:cs="Arial" w:eastAsia="Arial" w:hAnsi="Arial"/>
                <w:sz w:val="18"/>
                <w:szCs w:val="18"/>
                <w:color w:val="auto"/>
              </w:rPr>
              <w:t>Euronet Services India Pvt. Ltd.</w:t>
            </w:r>
          </w:p>
        </w:tc>
        <w:tc>
          <w:tcPr>
            <w:tcW w:w="1540" w:type="dxa"/>
            <w:vAlign w:val="bottom"/>
          </w:tcPr>
          <w:p>
            <w:pPr>
              <w:ind w:left="140"/>
              <w:spacing w:after="0"/>
              <w:rPr>
                <w:sz w:val="20"/>
                <w:szCs w:val="20"/>
                <w:color w:val="auto"/>
              </w:rPr>
            </w:pPr>
            <w:r>
              <w:rPr>
                <w:rFonts w:ascii="Arial" w:cs="Arial" w:eastAsia="Arial" w:hAnsi="Arial"/>
                <w:sz w:val="18"/>
                <w:szCs w:val="18"/>
                <w:color w:val="auto"/>
              </w:rPr>
              <w:t>ICICI bank</w:t>
            </w:r>
          </w:p>
        </w:tc>
        <w:tc>
          <w:tcPr>
            <w:tcW w:w="1600" w:type="dxa"/>
            <w:vAlign w:val="bottom"/>
          </w:tcPr>
          <w:p>
            <w:pPr>
              <w:ind w:left="80"/>
              <w:spacing w:after="0"/>
              <w:rPr>
                <w:sz w:val="20"/>
                <w:szCs w:val="20"/>
                <w:color w:val="auto"/>
              </w:rPr>
            </w:pPr>
            <w:r>
              <w:rPr>
                <w:rFonts w:ascii="Arial" w:cs="Arial" w:eastAsia="Arial" w:hAnsi="Arial"/>
                <w:sz w:val="18"/>
                <w:szCs w:val="18"/>
                <w:color w:val="auto"/>
              </w:rPr>
              <w:t>Capital Lease</w:t>
            </w:r>
          </w:p>
        </w:tc>
        <w:tc>
          <w:tcPr>
            <w:tcW w:w="1980" w:type="dxa"/>
            <w:vAlign w:val="bottom"/>
          </w:tcPr>
          <w:p>
            <w:pPr>
              <w:ind w:left="520"/>
              <w:spacing w:after="0"/>
              <w:rPr>
                <w:sz w:val="20"/>
                <w:szCs w:val="20"/>
                <w:color w:val="auto"/>
              </w:rPr>
            </w:pPr>
            <w:r>
              <w:rPr>
                <w:rFonts w:ascii="Arial" w:cs="Arial" w:eastAsia="Arial" w:hAnsi="Arial"/>
                <w:sz w:val="18"/>
                <w:szCs w:val="18"/>
                <w:color w:val="auto"/>
              </w:rPr>
              <w:t>Car</w:t>
            </w:r>
          </w:p>
        </w:tc>
        <w:tc>
          <w:tcPr>
            <w:tcW w:w="2060" w:type="dxa"/>
            <w:vAlign w:val="bottom"/>
          </w:tcPr>
          <w:p>
            <w:pPr>
              <w:jc w:val="right"/>
              <w:ind w:right="310"/>
              <w:spacing w:after="0"/>
              <w:rPr>
                <w:sz w:val="20"/>
                <w:szCs w:val="20"/>
                <w:color w:val="auto"/>
              </w:rPr>
            </w:pPr>
            <w:r>
              <w:rPr>
                <w:rFonts w:ascii="Arial" w:cs="Arial" w:eastAsia="Arial" w:hAnsi="Arial"/>
                <w:sz w:val="18"/>
                <w:szCs w:val="18"/>
                <w:color w:val="auto"/>
              </w:rPr>
              <w:t>INR 3,313,710</w:t>
            </w:r>
          </w:p>
        </w:tc>
        <w:tc>
          <w:tcPr>
            <w:tcW w:w="1140" w:type="dxa"/>
            <w:vAlign w:val="bottom"/>
          </w:tcPr>
          <w:p>
            <w:pPr>
              <w:jc w:val="right"/>
              <w:spacing w:after="0"/>
              <w:rPr>
                <w:sz w:val="20"/>
                <w:szCs w:val="20"/>
                <w:color w:val="auto"/>
              </w:rPr>
            </w:pPr>
            <w:r>
              <w:rPr>
                <w:rFonts w:ascii="Arial" w:cs="Arial" w:eastAsia="Arial" w:hAnsi="Arial"/>
                <w:sz w:val="18"/>
                <w:szCs w:val="18"/>
                <w:color w:val="auto"/>
              </w:rPr>
              <w:t>52,867</w:t>
            </w:r>
          </w:p>
        </w:tc>
      </w:tr>
      <w:tr>
        <w:trPr>
          <w:trHeight w:val="27"/>
        </w:trPr>
        <w:tc>
          <w:tcPr>
            <w:tcW w:w="306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980" w:type="dxa"/>
            <w:vAlign w:val="bottom"/>
          </w:tcPr>
          <w:p>
            <w:pPr>
              <w:spacing w:after="0"/>
              <w:rPr>
                <w:sz w:val="2"/>
                <w:szCs w:val="2"/>
                <w:color w:val="auto"/>
              </w:rPr>
            </w:pPr>
          </w:p>
        </w:tc>
        <w:tc>
          <w:tcPr>
            <w:tcW w:w="20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37"/>
        </w:trPr>
        <w:tc>
          <w:tcPr>
            <w:tcW w:w="3060" w:type="dxa"/>
            <w:vAlign w:val="bottom"/>
          </w:tcPr>
          <w:p>
            <w:pPr>
              <w:spacing w:after="0"/>
              <w:rPr>
                <w:sz w:val="20"/>
                <w:szCs w:val="20"/>
                <w:color w:val="auto"/>
              </w:rPr>
            </w:pPr>
            <w:r>
              <w:rPr>
                <w:rFonts w:ascii="Arial" w:cs="Arial" w:eastAsia="Arial" w:hAnsi="Arial"/>
                <w:sz w:val="18"/>
                <w:szCs w:val="18"/>
                <w:b w:val="1"/>
                <w:bCs w:val="1"/>
                <w:color w:val="auto"/>
                <w:w w:val="95"/>
              </w:rPr>
              <w:t>Euronet Services India Pvt. Ltd. Total</w:t>
            </w:r>
          </w:p>
        </w:tc>
        <w:tc>
          <w:tcPr>
            <w:tcW w:w="154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1980" w:type="dxa"/>
            <w:vAlign w:val="bottom"/>
          </w:tcPr>
          <w:p>
            <w:pPr>
              <w:spacing w:after="0"/>
              <w:rPr>
                <w:sz w:val="20"/>
                <w:szCs w:val="20"/>
                <w:color w:val="auto"/>
              </w:rPr>
            </w:pPr>
          </w:p>
        </w:tc>
        <w:tc>
          <w:tcPr>
            <w:tcW w:w="2060" w:type="dxa"/>
            <w:vAlign w:val="bottom"/>
          </w:tcPr>
          <w:p>
            <w:pPr>
              <w:jc w:val="right"/>
              <w:ind w:right="310"/>
              <w:spacing w:after="0"/>
              <w:rPr>
                <w:sz w:val="20"/>
                <w:szCs w:val="20"/>
                <w:color w:val="auto"/>
              </w:rPr>
            </w:pPr>
            <w:r>
              <w:rPr>
                <w:rFonts w:ascii="Arial" w:cs="Arial" w:eastAsia="Arial" w:hAnsi="Arial"/>
                <w:sz w:val="18"/>
                <w:szCs w:val="18"/>
                <w:b w:val="1"/>
                <w:bCs w:val="1"/>
                <w:color w:val="auto"/>
              </w:rPr>
              <w:t>INR 95,959,150</w:t>
            </w:r>
          </w:p>
        </w:tc>
        <w:tc>
          <w:tcPr>
            <w:tcW w:w="1140" w:type="dxa"/>
            <w:vAlign w:val="bottom"/>
          </w:tcPr>
          <w:p>
            <w:pPr>
              <w:jc w:val="right"/>
              <w:spacing w:after="0"/>
              <w:rPr>
                <w:sz w:val="20"/>
                <w:szCs w:val="20"/>
                <w:color w:val="auto"/>
              </w:rPr>
            </w:pPr>
            <w:r>
              <w:rPr>
                <w:rFonts w:ascii="Arial" w:cs="Arial" w:eastAsia="Arial" w:hAnsi="Arial"/>
                <w:sz w:val="18"/>
                <w:szCs w:val="18"/>
                <w:b w:val="1"/>
                <w:bCs w:val="1"/>
                <w:color w:val="auto"/>
              </w:rPr>
              <w:t>1,530,937</w:t>
            </w:r>
          </w:p>
        </w:tc>
      </w:tr>
      <w:tr>
        <w:trPr>
          <w:trHeight w:val="797"/>
        </w:trPr>
        <w:tc>
          <w:tcPr>
            <w:tcW w:w="3060" w:type="dxa"/>
            <w:vAlign w:val="bottom"/>
          </w:tcPr>
          <w:p>
            <w:pPr>
              <w:spacing w:after="0"/>
              <w:rPr>
                <w:sz w:val="20"/>
                <w:szCs w:val="20"/>
                <w:color w:val="auto"/>
              </w:rPr>
            </w:pPr>
            <w:r>
              <w:rPr>
                <w:rFonts w:ascii="Arial" w:cs="Arial" w:eastAsia="Arial" w:hAnsi="Arial"/>
                <w:sz w:val="18"/>
                <w:szCs w:val="18"/>
                <w:color w:val="auto"/>
              </w:rPr>
              <w:t>Euronet Polska Spółka z o.o.</w:t>
            </w:r>
          </w:p>
        </w:tc>
        <w:tc>
          <w:tcPr>
            <w:tcW w:w="3140" w:type="dxa"/>
            <w:vAlign w:val="bottom"/>
            <w:gridSpan w:val="2"/>
          </w:tcPr>
          <w:p>
            <w:pPr>
              <w:ind w:left="140"/>
              <w:spacing w:after="0"/>
              <w:rPr>
                <w:sz w:val="20"/>
                <w:szCs w:val="20"/>
                <w:color w:val="auto"/>
              </w:rPr>
            </w:pPr>
            <w:r>
              <w:rPr>
                <w:rFonts w:ascii="Arial" w:cs="Arial" w:eastAsia="Arial" w:hAnsi="Arial"/>
                <w:sz w:val="18"/>
                <w:szCs w:val="18"/>
                <w:color w:val="auto"/>
              </w:rPr>
              <w:t>Pekao Leasing S.A. Capital Lease</w:t>
            </w:r>
          </w:p>
        </w:tc>
        <w:tc>
          <w:tcPr>
            <w:tcW w:w="1980" w:type="dxa"/>
            <w:vAlign w:val="bottom"/>
          </w:tcPr>
          <w:p>
            <w:pPr>
              <w:ind w:left="540"/>
              <w:spacing w:after="0"/>
              <w:rPr>
                <w:sz w:val="20"/>
                <w:szCs w:val="20"/>
                <w:color w:val="auto"/>
              </w:rPr>
            </w:pPr>
            <w:r>
              <w:rPr>
                <w:rFonts w:ascii="Arial" w:cs="Arial" w:eastAsia="Arial" w:hAnsi="Arial"/>
                <w:sz w:val="18"/>
                <w:szCs w:val="18"/>
                <w:color w:val="auto"/>
              </w:rPr>
              <w:t>ATMs</w:t>
            </w:r>
          </w:p>
        </w:tc>
        <w:tc>
          <w:tcPr>
            <w:tcW w:w="2060" w:type="dxa"/>
            <w:vAlign w:val="bottom"/>
          </w:tcPr>
          <w:p>
            <w:pPr>
              <w:jc w:val="right"/>
              <w:ind w:right="310"/>
              <w:spacing w:after="0"/>
              <w:rPr>
                <w:sz w:val="20"/>
                <w:szCs w:val="20"/>
                <w:color w:val="auto"/>
              </w:rPr>
            </w:pPr>
            <w:r>
              <w:rPr>
                <w:rFonts w:ascii="Arial" w:cs="Arial" w:eastAsia="Arial" w:hAnsi="Arial"/>
                <w:sz w:val="18"/>
                <w:szCs w:val="18"/>
                <w:color w:val="auto"/>
              </w:rPr>
              <w:t>PLN 49</w:t>
            </w:r>
          </w:p>
        </w:tc>
        <w:tc>
          <w:tcPr>
            <w:tcW w:w="114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27"/>
        </w:trPr>
        <w:tc>
          <w:tcPr>
            <w:tcW w:w="306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980" w:type="dxa"/>
            <w:vAlign w:val="bottom"/>
          </w:tcPr>
          <w:p>
            <w:pPr>
              <w:spacing w:after="0"/>
              <w:rPr>
                <w:sz w:val="2"/>
                <w:szCs w:val="2"/>
                <w:color w:val="auto"/>
              </w:rPr>
            </w:pPr>
          </w:p>
        </w:tc>
        <w:tc>
          <w:tcPr>
            <w:tcW w:w="20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37"/>
        </w:trPr>
        <w:tc>
          <w:tcPr>
            <w:tcW w:w="3060" w:type="dxa"/>
            <w:vAlign w:val="bottom"/>
          </w:tcPr>
          <w:p>
            <w:pPr>
              <w:spacing w:after="0"/>
              <w:rPr>
                <w:sz w:val="20"/>
                <w:szCs w:val="20"/>
                <w:color w:val="auto"/>
              </w:rPr>
            </w:pPr>
            <w:r>
              <w:rPr>
                <w:rFonts w:ascii="Arial" w:cs="Arial" w:eastAsia="Arial" w:hAnsi="Arial"/>
                <w:sz w:val="18"/>
                <w:szCs w:val="18"/>
                <w:b w:val="1"/>
                <w:bCs w:val="1"/>
                <w:color w:val="auto"/>
              </w:rPr>
              <w:t>Euronet Polska Spółka z o.o. Total</w:t>
            </w:r>
          </w:p>
        </w:tc>
        <w:tc>
          <w:tcPr>
            <w:tcW w:w="154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1980" w:type="dxa"/>
            <w:vAlign w:val="bottom"/>
          </w:tcPr>
          <w:p>
            <w:pPr>
              <w:spacing w:after="0"/>
              <w:rPr>
                <w:sz w:val="20"/>
                <w:szCs w:val="20"/>
                <w:color w:val="auto"/>
              </w:rPr>
            </w:pPr>
          </w:p>
        </w:tc>
        <w:tc>
          <w:tcPr>
            <w:tcW w:w="2060" w:type="dxa"/>
            <w:vAlign w:val="bottom"/>
          </w:tcPr>
          <w:p>
            <w:pPr>
              <w:jc w:val="right"/>
              <w:ind w:right="310"/>
              <w:spacing w:after="0"/>
              <w:rPr>
                <w:sz w:val="20"/>
                <w:szCs w:val="20"/>
                <w:color w:val="auto"/>
              </w:rPr>
            </w:pPr>
            <w:r>
              <w:rPr>
                <w:rFonts w:ascii="Arial" w:cs="Arial" w:eastAsia="Arial" w:hAnsi="Arial"/>
                <w:sz w:val="18"/>
                <w:szCs w:val="18"/>
                <w:b w:val="1"/>
                <w:bCs w:val="1"/>
                <w:color w:val="auto"/>
              </w:rPr>
              <w:t>PLN 49</w:t>
            </w:r>
          </w:p>
        </w:tc>
        <w:tc>
          <w:tcPr>
            <w:tcW w:w="1140" w:type="dxa"/>
            <w:vAlign w:val="bottom"/>
          </w:tcPr>
          <w:p>
            <w:pPr>
              <w:jc w:val="right"/>
              <w:spacing w:after="0"/>
              <w:rPr>
                <w:sz w:val="20"/>
                <w:szCs w:val="20"/>
                <w:color w:val="auto"/>
              </w:rPr>
            </w:pPr>
            <w:r>
              <w:rPr>
                <w:rFonts w:ascii="Arial" w:cs="Arial" w:eastAsia="Arial" w:hAnsi="Arial"/>
                <w:sz w:val="18"/>
                <w:szCs w:val="18"/>
                <w:b w:val="1"/>
                <w:bCs w:val="1"/>
                <w:color w:val="auto"/>
              </w:rPr>
              <w:t>16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4258945</wp:posOffset>
            </wp:positionH>
            <wp:positionV relativeFrom="paragraph">
              <wp:posOffset>-342265</wp:posOffset>
            </wp:positionV>
            <wp:extent cx="943610" cy="18859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943610" cy="1885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040" w:type="dxa"/>
            <w:vAlign w:val="bottom"/>
          </w:tcPr>
          <w:p>
            <w:pPr>
              <w:spacing w:after="0"/>
              <w:rPr>
                <w:sz w:val="18"/>
                <w:szCs w:val="18"/>
                <w:color w:val="auto"/>
              </w:rPr>
            </w:pPr>
          </w:p>
        </w:tc>
        <w:tc>
          <w:tcPr>
            <w:tcW w:w="1540" w:type="dxa"/>
            <w:vAlign w:val="bottom"/>
          </w:tcPr>
          <w:p>
            <w:pPr>
              <w:ind w:left="160"/>
              <w:spacing w:after="0"/>
              <w:rPr>
                <w:sz w:val="20"/>
                <w:szCs w:val="20"/>
                <w:color w:val="auto"/>
              </w:rPr>
            </w:pPr>
            <w:r>
              <w:rPr>
                <w:rFonts w:ascii="Arial" w:cs="Arial" w:eastAsia="Arial" w:hAnsi="Arial"/>
                <w:sz w:val="18"/>
                <w:szCs w:val="18"/>
                <w:color w:val="auto"/>
                <w:w w:val="94"/>
              </w:rPr>
              <w:t>Deutsche Leasing</w:t>
            </w:r>
          </w:p>
        </w:tc>
        <w:tc>
          <w:tcPr>
            <w:tcW w:w="162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16"/>
        </w:trPr>
        <w:tc>
          <w:tcPr>
            <w:tcW w:w="3040" w:type="dxa"/>
            <w:vAlign w:val="bottom"/>
          </w:tcPr>
          <w:p>
            <w:pPr>
              <w:spacing w:after="0"/>
              <w:rPr>
                <w:sz w:val="20"/>
                <w:szCs w:val="20"/>
                <w:color w:val="auto"/>
              </w:rPr>
            </w:pPr>
            <w:r>
              <w:rPr>
                <w:rFonts w:ascii="Arial" w:cs="Arial" w:eastAsia="Arial" w:hAnsi="Arial"/>
                <w:sz w:val="18"/>
                <w:szCs w:val="18"/>
                <w:color w:val="auto"/>
                <w:w w:val="93"/>
              </w:rPr>
              <w:t>transact Elektronische Zahlungssysteme</w:t>
            </w:r>
          </w:p>
        </w:tc>
        <w:tc>
          <w:tcPr>
            <w:tcW w:w="1540" w:type="dxa"/>
            <w:vAlign w:val="bottom"/>
          </w:tcPr>
          <w:p>
            <w:pPr>
              <w:ind w:left="160"/>
              <w:spacing w:after="0"/>
              <w:rPr>
                <w:sz w:val="20"/>
                <w:szCs w:val="20"/>
                <w:color w:val="auto"/>
              </w:rPr>
            </w:pPr>
            <w:r>
              <w:rPr>
                <w:rFonts w:ascii="Arial" w:cs="Arial" w:eastAsia="Arial" w:hAnsi="Arial"/>
                <w:sz w:val="18"/>
                <w:szCs w:val="18"/>
                <w:color w:val="auto"/>
              </w:rPr>
              <w:t>Info. Technology</w:t>
            </w:r>
          </w:p>
        </w:tc>
        <w:tc>
          <w:tcPr>
            <w:tcW w:w="162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30"/>
        </w:trPr>
        <w:tc>
          <w:tcPr>
            <w:tcW w:w="3040" w:type="dxa"/>
            <w:vAlign w:val="bottom"/>
          </w:tcPr>
          <w:p>
            <w:pPr>
              <w:spacing w:after="0"/>
              <w:rPr>
                <w:sz w:val="20"/>
                <w:szCs w:val="20"/>
                <w:color w:val="auto"/>
              </w:rPr>
            </w:pPr>
            <w:r>
              <w:rPr>
                <w:rFonts w:ascii="Arial" w:cs="Arial" w:eastAsia="Arial" w:hAnsi="Arial"/>
                <w:sz w:val="18"/>
                <w:szCs w:val="18"/>
                <w:color w:val="auto"/>
              </w:rPr>
              <w:t>GmbH</w:t>
            </w:r>
          </w:p>
        </w:tc>
        <w:tc>
          <w:tcPr>
            <w:tcW w:w="1540" w:type="dxa"/>
            <w:vAlign w:val="bottom"/>
          </w:tcPr>
          <w:p>
            <w:pPr>
              <w:ind w:left="160"/>
              <w:spacing w:after="0"/>
              <w:rPr>
                <w:sz w:val="20"/>
                <w:szCs w:val="20"/>
                <w:color w:val="auto"/>
              </w:rPr>
            </w:pPr>
            <w:r>
              <w:rPr>
                <w:rFonts w:ascii="Arial" w:cs="Arial" w:eastAsia="Arial" w:hAnsi="Arial"/>
                <w:sz w:val="18"/>
                <w:szCs w:val="18"/>
                <w:color w:val="auto"/>
              </w:rPr>
              <w:t>GmbH</w:t>
            </w:r>
          </w:p>
        </w:tc>
        <w:tc>
          <w:tcPr>
            <w:tcW w:w="1620" w:type="dxa"/>
            <w:vAlign w:val="bottom"/>
          </w:tcPr>
          <w:p>
            <w:pPr>
              <w:ind w:left="100"/>
              <w:spacing w:after="0"/>
              <w:rPr>
                <w:sz w:val="20"/>
                <w:szCs w:val="20"/>
                <w:color w:val="auto"/>
              </w:rPr>
            </w:pPr>
            <w:r>
              <w:rPr>
                <w:rFonts w:ascii="Arial" w:cs="Arial" w:eastAsia="Arial" w:hAnsi="Arial"/>
                <w:sz w:val="18"/>
                <w:szCs w:val="18"/>
                <w:color w:val="auto"/>
              </w:rPr>
              <w:t>Capital Lease</w:t>
            </w:r>
          </w:p>
        </w:tc>
        <w:tc>
          <w:tcPr>
            <w:tcW w:w="1760" w:type="dxa"/>
            <w:vAlign w:val="bottom"/>
          </w:tcPr>
          <w:p>
            <w:pPr>
              <w:ind w:left="540"/>
              <w:spacing w:after="0"/>
              <w:rPr>
                <w:sz w:val="20"/>
                <w:szCs w:val="20"/>
                <w:color w:val="auto"/>
              </w:rPr>
            </w:pPr>
            <w:r>
              <w:rPr>
                <w:rFonts w:ascii="Arial" w:cs="Arial" w:eastAsia="Arial" w:hAnsi="Arial"/>
                <w:sz w:val="18"/>
                <w:szCs w:val="18"/>
                <w:color w:val="auto"/>
              </w:rPr>
              <w:t>ATMs</w:t>
            </w:r>
          </w:p>
        </w:tc>
        <w:tc>
          <w:tcPr>
            <w:tcW w:w="2280" w:type="dxa"/>
            <w:vAlign w:val="bottom"/>
          </w:tcPr>
          <w:p>
            <w:pPr>
              <w:jc w:val="right"/>
              <w:ind w:right="310"/>
              <w:spacing w:after="0"/>
              <w:rPr>
                <w:sz w:val="20"/>
                <w:szCs w:val="20"/>
                <w:color w:val="auto"/>
              </w:rPr>
            </w:pPr>
            <w:r>
              <w:rPr>
                <w:rFonts w:ascii="Arial" w:cs="Arial" w:eastAsia="Arial" w:hAnsi="Arial"/>
                <w:sz w:val="18"/>
                <w:szCs w:val="18"/>
                <w:color w:val="auto"/>
              </w:rPr>
              <w:t>EUR 14,466</w:t>
            </w:r>
          </w:p>
        </w:tc>
        <w:tc>
          <w:tcPr>
            <w:tcW w:w="1100" w:type="dxa"/>
            <w:vAlign w:val="bottom"/>
          </w:tcPr>
          <w:p>
            <w:pPr>
              <w:jc w:val="right"/>
              <w:spacing w:after="0"/>
              <w:rPr>
                <w:sz w:val="20"/>
                <w:szCs w:val="20"/>
                <w:color w:val="auto"/>
              </w:rPr>
            </w:pPr>
            <w:r>
              <w:rPr>
                <w:rFonts w:ascii="Arial" w:cs="Arial" w:eastAsia="Arial" w:hAnsi="Arial"/>
                <w:sz w:val="18"/>
                <w:szCs w:val="18"/>
                <w:color w:val="auto"/>
              </w:rPr>
              <w:t>19,548</w:t>
            </w:r>
          </w:p>
        </w:tc>
      </w:tr>
      <w:tr>
        <w:trPr>
          <w:trHeight w:val="256"/>
        </w:trPr>
        <w:tc>
          <w:tcPr>
            <w:tcW w:w="3040" w:type="dxa"/>
            <w:vAlign w:val="bottom"/>
          </w:tcPr>
          <w:p>
            <w:pPr>
              <w:spacing w:after="0"/>
              <w:rPr>
                <w:sz w:val="22"/>
                <w:szCs w:val="22"/>
                <w:color w:val="auto"/>
              </w:rPr>
            </w:pPr>
          </w:p>
        </w:tc>
        <w:tc>
          <w:tcPr>
            <w:tcW w:w="1540" w:type="dxa"/>
            <w:vAlign w:val="bottom"/>
          </w:tcPr>
          <w:p>
            <w:pPr>
              <w:ind w:left="160"/>
              <w:spacing w:after="0"/>
              <w:rPr>
                <w:sz w:val="20"/>
                <w:szCs w:val="20"/>
                <w:color w:val="auto"/>
              </w:rPr>
            </w:pPr>
            <w:r>
              <w:rPr>
                <w:rFonts w:ascii="Arial" w:cs="Arial" w:eastAsia="Arial" w:hAnsi="Arial"/>
                <w:sz w:val="18"/>
                <w:szCs w:val="18"/>
                <w:color w:val="auto"/>
                <w:w w:val="94"/>
              </w:rPr>
              <w:t>Deutsche Leasing</w:t>
            </w:r>
          </w:p>
        </w:tc>
        <w:tc>
          <w:tcPr>
            <w:tcW w:w="1620" w:type="dxa"/>
            <w:vAlign w:val="bottom"/>
          </w:tcPr>
          <w:p>
            <w:pPr>
              <w:spacing w:after="0"/>
              <w:rPr>
                <w:sz w:val="22"/>
                <w:szCs w:val="22"/>
                <w:color w:val="auto"/>
              </w:rPr>
            </w:pPr>
          </w:p>
        </w:tc>
        <w:tc>
          <w:tcPr>
            <w:tcW w:w="1760" w:type="dxa"/>
            <w:vAlign w:val="bottom"/>
          </w:tcPr>
          <w:p>
            <w:pPr>
              <w:spacing w:after="0"/>
              <w:rPr>
                <w:sz w:val="22"/>
                <w:szCs w:val="22"/>
                <w:color w:val="auto"/>
              </w:rPr>
            </w:pPr>
          </w:p>
        </w:tc>
        <w:tc>
          <w:tcPr>
            <w:tcW w:w="2280" w:type="dxa"/>
            <w:vAlign w:val="bottom"/>
          </w:tcPr>
          <w:p>
            <w:pPr>
              <w:spacing w:after="0"/>
              <w:rPr>
                <w:sz w:val="22"/>
                <w:szCs w:val="22"/>
                <w:color w:val="auto"/>
              </w:rPr>
            </w:pPr>
          </w:p>
        </w:tc>
        <w:tc>
          <w:tcPr>
            <w:tcW w:w="1100" w:type="dxa"/>
            <w:vAlign w:val="bottom"/>
          </w:tcPr>
          <w:p>
            <w:pPr>
              <w:spacing w:after="0"/>
              <w:rPr>
                <w:sz w:val="22"/>
                <w:szCs w:val="22"/>
                <w:color w:val="auto"/>
              </w:rPr>
            </w:pPr>
          </w:p>
        </w:tc>
      </w:tr>
      <w:tr>
        <w:trPr>
          <w:trHeight w:val="216"/>
        </w:trPr>
        <w:tc>
          <w:tcPr>
            <w:tcW w:w="3040" w:type="dxa"/>
            <w:vAlign w:val="bottom"/>
          </w:tcPr>
          <w:p>
            <w:pPr>
              <w:spacing w:after="0"/>
              <w:rPr>
                <w:sz w:val="20"/>
                <w:szCs w:val="20"/>
                <w:color w:val="auto"/>
              </w:rPr>
            </w:pPr>
            <w:r>
              <w:rPr>
                <w:rFonts w:ascii="Arial" w:cs="Arial" w:eastAsia="Arial" w:hAnsi="Arial"/>
                <w:sz w:val="18"/>
                <w:szCs w:val="18"/>
                <w:color w:val="auto"/>
                <w:w w:val="93"/>
              </w:rPr>
              <w:t>transact Elektronische Zahlungssysteme</w:t>
            </w:r>
          </w:p>
        </w:tc>
        <w:tc>
          <w:tcPr>
            <w:tcW w:w="1540" w:type="dxa"/>
            <w:vAlign w:val="bottom"/>
          </w:tcPr>
          <w:p>
            <w:pPr>
              <w:ind w:left="160"/>
              <w:spacing w:after="0"/>
              <w:rPr>
                <w:sz w:val="20"/>
                <w:szCs w:val="20"/>
                <w:color w:val="auto"/>
              </w:rPr>
            </w:pPr>
            <w:r>
              <w:rPr>
                <w:rFonts w:ascii="Arial" w:cs="Arial" w:eastAsia="Arial" w:hAnsi="Arial"/>
                <w:sz w:val="18"/>
                <w:szCs w:val="18"/>
                <w:color w:val="auto"/>
              </w:rPr>
              <w:t>Info. Technology</w:t>
            </w:r>
          </w:p>
        </w:tc>
        <w:tc>
          <w:tcPr>
            <w:tcW w:w="162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30"/>
        </w:trPr>
        <w:tc>
          <w:tcPr>
            <w:tcW w:w="3040" w:type="dxa"/>
            <w:vAlign w:val="bottom"/>
          </w:tcPr>
          <w:p>
            <w:pPr>
              <w:spacing w:after="0"/>
              <w:rPr>
                <w:sz w:val="20"/>
                <w:szCs w:val="20"/>
                <w:color w:val="auto"/>
              </w:rPr>
            </w:pPr>
            <w:r>
              <w:rPr>
                <w:rFonts w:ascii="Arial" w:cs="Arial" w:eastAsia="Arial" w:hAnsi="Arial"/>
                <w:sz w:val="18"/>
                <w:szCs w:val="18"/>
                <w:color w:val="auto"/>
              </w:rPr>
              <w:t>GmbH</w:t>
            </w:r>
          </w:p>
        </w:tc>
        <w:tc>
          <w:tcPr>
            <w:tcW w:w="1540" w:type="dxa"/>
            <w:vAlign w:val="bottom"/>
          </w:tcPr>
          <w:p>
            <w:pPr>
              <w:ind w:left="160"/>
              <w:spacing w:after="0"/>
              <w:rPr>
                <w:sz w:val="20"/>
                <w:szCs w:val="20"/>
                <w:color w:val="auto"/>
              </w:rPr>
            </w:pPr>
            <w:r>
              <w:rPr>
                <w:rFonts w:ascii="Arial" w:cs="Arial" w:eastAsia="Arial" w:hAnsi="Arial"/>
                <w:sz w:val="18"/>
                <w:szCs w:val="18"/>
                <w:color w:val="auto"/>
              </w:rPr>
              <w:t>GmbH</w:t>
            </w:r>
          </w:p>
        </w:tc>
        <w:tc>
          <w:tcPr>
            <w:tcW w:w="1620" w:type="dxa"/>
            <w:vAlign w:val="bottom"/>
          </w:tcPr>
          <w:p>
            <w:pPr>
              <w:ind w:left="100"/>
              <w:spacing w:after="0"/>
              <w:rPr>
                <w:sz w:val="20"/>
                <w:szCs w:val="20"/>
                <w:color w:val="auto"/>
              </w:rPr>
            </w:pPr>
            <w:r>
              <w:rPr>
                <w:rFonts w:ascii="Arial" w:cs="Arial" w:eastAsia="Arial" w:hAnsi="Arial"/>
                <w:sz w:val="18"/>
                <w:szCs w:val="18"/>
                <w:color w:val="auto"/>
              </w:rPr>
              <w:t>Capital Lease</w:t>
            </w:r>
          </w:p>
        </w:tc>
        <w:tc>
          <w:tcPr>
            <w:tcW w:w="1760" w:type="dxa"/>
            <w:vAlign w:val="bottom"/>
          </w:tcPr>
          <w:p>
            <w:pPr>
              <w:ind w:left="540"/>
              <w:spacing w:after="0"/>
              <w:rPr>
                <w:sz w:val="20"/>
                <w:szCs w:val="20"/>
                <w:color w:val="auto"/>
              </w:rPr>
            </w:pPr>
            <w:r>
              <w:rPr>
                <w:rFonts w:ascii="Arial" w:cs="Arial" w:eastAsia="Arial" w:hAnsi="Arial"/>
                <w:sz w:val="18"/>
                <w:szCs w:val="18"/>
                <w:color w:val="auto"/>
              </w:rPr>
              <w:t>ATMs</w:t>
            </w:r>
          </w:p>
        </w:tc>
        <w:tc>
          <w:tcPr>
            <w:tcW w:w="2280" w:type="dxa"/>
            <w:vAlign w:val="bottom"/>
          </w:tcPr>
          <w:p>
            <w:pPr>
              <w:jc w:val="right"/>
              <w:ind w:right="310"/>
              <w:spacing w:after="0"/>
              <w:rPr>
                <w:sz w:val="20"/>
                <w:szCs w:val="20"/>
                <w:color w:val="auto"/>
              </w:rPr>
            </w:pPr>
            <w:r>
              <w:rPr>
                <w:rFonts w:ascii="Arial" w:cs="Arial" w:eastAsia="Arial" w:hAnsi="Arial"/>
                <w:sz w:val="18"/>
                <w:szCs w:val="18"/>
                <w:color w:val="auto"/>
              </w:rPr>
              <w:t>EUR 42,265</w:t>
            </w:r>
          </w:p>
        </w:tc>
        <w:tc>
          <w:tcPr>
            <w:tcW w:w="1100" w:type="dxa"/>
            <w:vAlign w:val="bottom"/>
          </w:tcPr>
          <w:p>
            <w:pPr>
              <w:jc w:val="right"/>
              <w:spacing w:after="0"/>
              <w:rPr>
                <w:sz w:val="20"/>
                <w:szCs w:val="20"/>
                <w:color w:val="auto"/>
              </w:rPr>
            </w:pPr>
            <w:r>
              <w:rPr>
                <w:rFonts w:ascii="Arial" w:cs="Arial" w:eastAsia="Arial" w:hAnsi="Arial"/>
                <w:sz w:val="18"/>
                <w:szCs w:val="18"/>
                <w:color w:val="auto"/>
              </w:rPr>
              <w:t>57,113</w:t>
            </w:r>
          </w:p>
        </w:tc>
      </w:tr>
      <w:tr>
        <w:trPr>
          <w:trHeight w:val="256"/>
        </w:trPr>
        <w:tc>
          <w:tcPr>
            <w:tcW w:w="3040" w:type="dxa"/>
            <w:vAlign w:val="bottom"/>
          </w:tcPr>
          <w:p>
            <w:pPr>
              <w:spacing w:after="0"/>
              <w:rPr>
                <w:sz w:val="22"/>
                <w:szCs w:val="22"/>
                <w:color w:val="auto"/>
              </w:rPr>
            </w:pPr>
          </w:p>
        </w:tc>
        <w:tc>
          <w:tcPr>
            <w:tcW w:w="1540" w:type="dxa"/>
            <w:vAlign w:val="bottom"/>
          </w:tcPr>
          <w:p>
            <w:pPr>
              <w:ind w:left="160"/>
              <w:spacing w:after="0"/>
              <w:rPr>
                <w:sz w:val="20"/>
                <w:szCs w:val="20"/>
                <w:color w:val="auto"/>
              </w:rPr>
            </w:pPr>
            <w:r>
              <w:rPr>
                <w:rFonts w:ascii="Arial" w:cs="Arial" w:eastAsia="Arial" w:hAnsi="Arial"/>
                <w:sz w:val="18"/>
                <w:szCs w:val="18"/>
                <w:color w:val="auto"/>
                <w:w w:val="94"/>
              </w:rPr>
              <w:t>Deutsche Leasing</w:t>
            </w:r>
          </w:p>
        </w:tc>
        <w:tc>
          <w:tcPr>
            <w:tcW w:w="1620" w:type="dxa"/>
            <w:vAlign w:val="bottom"/>
          </w:tcPr>
          <w:p>
            <w:pPr>
              <w:spacing w:after="0"/>
              <w:rPr>
                <w:sz w:val="22"/>
                <w:szCs w:val="22"/>
                <w:color w:val="auto"/>
              </w:rPr>
            </w:pPr>
          </w:p>
        </w:tc>
        <w:tc>
          <w:tcPr>
            <w:tcW w:w="1760" w:type="dxa"/>
            <w:vAlign w:val="bottom"/>
          </w:tcPr>
          <w:p>
            <w:pPr>
              <w:spacing w:after="0"/>
              <w:rPr>
                <w:sz w:val="22"/>
                <w:szCs w:val="22"/>
                <w:color w:val="auto"/>
              </w:rPr>
            </w:pPr>
          </w:p>
        </w:tc>
        <w:tc>
          <w:tcPr>
            <w:tcW w:w="2280" w:type="dxa"/>
            <w:vAlign w:val="bottom"/>
          </w:tcPr>
          <w:p>
            <w:pPr>
              <w:spacing w:after="0"/>
              <w:rPr>
                <w:sz w:val="22"/>
                <w:szCs w:val="22"/>
                <w:color w:val="auto"/>
              </w:rPr>
            </w:pPr>
          </w:p>
        </w:tc>
        <w:tc>
          <w:tcPr>
            <w:tcW w:w="1100" w:type="dxa"/>
            <w:vAlign w:val="bottom"/>
          </w:tcPr>
          <w:p>
            <w:pPr>
              <w:spacing w:after="0"/>
              <w:rPr>
                <w:sz w:val="22"/>
                <w:szCs w:val="22"/>
                <w:color w:val="auto"/>
              </w:rPr>
            </w:pPr>
          </w:p>
        </w:tc>
      </w:tr>
      <w:tr>
        <w:trPr>
          <w:trHeight w:val="216"/>
        </w:trPr>
        <w:tc>
          <w:tcPr>
            <w:tcW w:w="3040" w:type="dxa"/>
            <w:vAlign w:val="bottom"/>
          </w:tcPr>
          <w:p>
            <w:pPr>
              <w:spacing w:after="0"/>
              <w:rPr>
                <w:sz w:val="20"/>
                <w:szCs w:val="20"/>
                <w:color w:val="auto"/>
              </w:rPr>
            </w:pPr>
            <w:r>
              <w:rPr>
                <w:rFonts w:ascii="Arial" w:cs="Arial" w:eastAsia="Arial" w:hAnsi="Arial"/>
                <w:sz w:val="18"/>
                <w:szCs w:val="18"/>
                <w:color w:val="auto"/>
                <w:w w:val="93"/>
              </w:rPr>
              <w:t>transact Elektronische Zahlungssysteme</w:t>
            </w:r>
          </w:p>
        </w:tc>
        <w:tc>
          <w:tcPr>
            <w:tcW w:w="1540" w:type="dxa"/>
            <w:vAlign w:val="bottom"/>
          </w:tcPr>
          <w:p>
            <w:pPr>
              <w:ind w:left="160"/>
              <w:spacing w:after="0"/>
              <w:rPr>
                <w:sz w:val="20"/>
                <w:szCs w:val="20"/>
                <w:color w:val="auto"/>
              </w:rPr>
            </w:pPr>
            <w:r>
              <w:rPr>
                <w:rFonts w:ascii="Arial" w:cs="Arial" w:eastAsia="Arial" w:hAnsi="Arial"/>
                <w:sz w:val="18"/>
                <w:szCs w:val="18"/>
                <w:color w:val="auto"/>
              </w:rPr>
              <w:t>Info. Technology</w:t>
            </w:r>
          </w:p>
        </w:tc>
        <w:tc>
          <w:tcPr>
            <w:tcW w:w="162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30"/>
        </w:trPr>
        <w:tc>
          <w:tcPr>
            <w:tcW w:w="3040" w:type="dxa"/>
            <w:vAlign w:val="bottom"/>
          </w:tcPr>
          <w:p>
            <w:pPr>
              <w:spacing w:after="0"/>
              <w:rPr>
                <w:sz w:val="20"/>
                <w:szCs w:val="20"/>
                <w:color w:val="auto"/>
              </w:rPr>
            </w:pPr>
            <w:r>
              <w:rPr>
                <w:rFonts w:ascii="Arial" w:cs="Arial" w:eastAsia="Arial" w:hAnsi="Arial"/>
                <w:sz w:val="18"/>
                <w:szCs w:val="18"/>
                <w:color w:val="auto"/>
              </w:rPr>
              <w:t>GmbH</w:t>
            </w:r>
          </w:p>
        </w:tc>
        <w:tc>
          <w:tcPr>
            <w:tcW w:w="1540" w:type="dxa"/>
            <w:vAlign w:val="bottom"/>
          </w:tcPr>
          <w:p>
            <w:pPr>
              <w:ind w:left="160"/>
              <w:spacing w:after="0"/>
              <w:rPr>
                <w:sz w:val="20"/>
                <w:szCs w:val="20"/>
                <w:color w:val="auto"/>
              </w:rPr>
            </w:pPr>
            <w:r>
              <w:rPr>
                <w:rFonts w:ascii="Arial" w:cs="Arial" w:eastAsia="Arial" w:hAnsi="Arial"/>
                <w:sz w:val="18"/>
                <w:szCs w:val="18"/>
                <w:color w:val="auto"/>
              </w:rPr>
              <w:t>GmbH</w:t>
            </w:r>
          </w:p>
        </w:tc>
        <w:tc>
          <w:tcPr>
            <w:tcW w:w="1620" w:type="dxa"/>
            <w:vAlign w:val="bottom"/>
          </w:tcPr>
          <w:p>
            <w:pPr>
              <w:ind w:left="100"/>
              <w:spacing w:after="0"/>
              <w:rPr>
                <w:sz w:val="20"/>
                <w:szCs w:val="20"/>
                <w:color w:val="auto"/>
              </w:rPr>
            </w:pPr>
            <w:r>
              <w:rPr>
                <w:rFonts w:ascii="Arial" w:cs="Arial" w:eastAsia="Arial" w:hAnsi="Arial"/>
                <w:sz w:val="18"/>
                <w:szCs w:val="18"/>
                <w:color w:val="auto"/>
              </w:rPr>
              <w:t>Capital Lease</w:t>
            </w:r>
          </w:p>
        </w:tc>
        <w:tc>
          <w:tcPr>
            <w:tcW w:w="1760" w:type="dxa"/>
            <w:vAlign w:val="bottom"/>
          </w:tcPr>
          <w:p>
            <w:pPr>
              <w:ind w:left="540"/>
              <w:spacing w:after="0"/>
              <w:rPr>
                <w:sz w:val="20"/>
                <w:szCs w:val="20"/>
                <w:color w:val="auto"/>
              </w:rPr>
            </w:pPr>
            <w:r>
              <w:rPr>
                <w:rFonts w:ascii="Arial" w:cs="Arial" w:eastAsia="Arial" w:hAnsi="Arial"/>
                <w:sz w:val="18"/>
                <w:szCs w:val="18"/>
                <w:color w:val="auto"/>
              </w:rPr>
              <w:t>ATMs</w:t>
            </w:r>
          </w:p>
        </w:tc>
        <w:tc>
          <w:tcPr>
            <w:tcW w:w="2280" w:type="dxa"/>
            <w:vAlign w:val="bottom"/>
          </w:tcPr>
          <w:p>
            <w:pPr>
              <w:jc w:val="right"/>
              <w:ind w:right="310"/>
              <w:spacing w:after="0"/>
              <w:rPr>
                <w:sz w:val="20"/>
                <w:szCs w:val="20"/>
                <w:color w:val="auto"/>
              </w:rPr>
            </w:pPr>
            <w:r>
              <w:rPr>
                <w:rFonts w:ascii="Arial" w:cs="Arial" w:eastAsia="Arial" w:hAnsi="Arial"/>
                <w:sz w:val="18"/>
                <w:szCs w:val="18"/>
                <w:color w:val="auto"/>
              </w:rPr>
              <w:t>EUR 94,663</w:t>
            </w:r>
          </w:p>
        </w:tc>
        <w:tc>
          <w:tcPr>
            <w:tcW w:w="1100" w:type="dxa"/>
            <w:vAlign w:val="bottom"/>
          </w:tcPr>
          <w:p>
            <w:pPr>
              <w:jc w:val="right"/>
              <w:spacing w:after="0"/>
              <w:rPr>
                <w:sz w:val="20"/>
                <w:szCs w:val="20"/>
                <w:color w:val="auto"/>
              </w:rPr>
            </w:pPr>
            <w:r>
              <w:rPr>
                <w:rFonts w:ascii="Arial" w:cs="Arial" w:eastAsia="Arial" w:hAnsi="Arial"/>
                <w:sz w:val="18"/>
                <w:szCs w:val="18"/>
                <w:color w:val="auto"/>
              </w:rPr>
              <w:t>127,918</w:t>
            </w:r>
          </w:p>
        </w:tc>
      </w:tr>
      <w:tr>
        <w:trPr>
          <w:trHeight w:val="256"/>
        </w:trPr>
        <w:tc>
          <w:tcPr>
            <w:tcW w:w="3040" w:type="dxa"/>
            <w:vAlign w:val="bottom"/>
          </w:tcPr>
          <w:p>
            <w:pPr>
              <w:spacing w:after="0"/>
              <w:rPr>
                <w:sz w:val="22"/>
                <w:szCs w:val="22"/>
                <w:color w:val="auto"/>
              </w:rPr>
            </w:pPr>
          </w:p>
        </w:tc>
        <w:tc>
          <w:tcPr>
            <w:tcW w:w="1540" w:type="dxa"/>
            <w:vAlign w:val="bottom"/>
          </w:tcPr>
          <w:p>
            <w:pPr>
              <w:ind w:left="160"/>
              <w:spacing w:after="0"/>
              <w:rPr>
                <w:sz w:val="20"/>
                <w:szCs w:val="20"/>
                <w:color w:val="auto"/>
              </w:rPr>
            </w:pPr>
            <w:r>
              <w:rPr>
                <w:rFonts w:ascii="Arial" w:cs="Arial" w:eastAsia="Arial" w:hAnsi="Arial"/>
                <w:sz w:val="18"/>
                <w:szCs w:val="18"/>
                <w:color w:val="auto"/>
                <w:w w:val="94"/>
              </w:rPr>
              <w:t>Deutsche Leasing</w:t>
            </w:r>
          </w:p>
        </w:tc>
        <w:tc>
          <w:tcPr>
            <w:tcW w:w="1620" w:type="dxa"/>
            <w:vAlign w:val="bottom"/>
          </w:tcPr>
          <w:p>
            <w:pPr>
              <w:spacing w:after="0"/>
              <w:rPr>
                <w:sz w:val="22"/>
                <w:szCs w:val="22"/>
                <w:color w:val="auto"/>
              </w:rPr>
            </w:pPr>
          </w:p>
        </w:tc>
        <w:tc>
          <w:tcPr>
            <w:tcW w:w="1760" w:type="dxa"/>
            <w:vAlign w:val="bottom"/>
          </w:tcPr>
          <w:p>
            <w:pPr>
              <w:spacing w:after="0"/>
              <w:rPr>
                <w:sz w:val="22"/>
                <w:szCs w:val="22"/>
                <w:color w:val="auto"/>
              </w:rPr>
            </w:pPr>
          </w:p>
        </w:tc>
        <w:tc>
          <w:tcPr>
            <w:tcW w:w="2280" w:type="dxa"/>
            <w:vAlign w:val="bottom"/>
          </w:tcPr>
          <w:p>
            <w:pPr>
              <w:spacing w:after="0"/>
              <w:rPr>
                <w:sz w:val="22"/>
                <w:szCs w:val="22"/>
                <w:color w:val="auto"/>
              </w:rPr>
            </w:pPr>
          </w:p>
        </w:tc>
        <w:tc>
          <w:tcPr>
            <w:tcW w:w="1100" w:type="dxa"/>
            <w:vAlign w:val="bottom"/>
          </w:tcPr>
          <w:p>
            <w:pPr>
              <w:spacing w:after="0"/>
              <w:rPr>
                <w:sz w:val="22"/>
                <w:szCs w:val="22"/>
                <w:color w:val="auto"/>
              </w:rPr>
            </w:pPr>
          </w:p>
        </w:tc>
      </w:tr>
      <w:tr>
        <w:trPr>
          <w:trHeight w:val="216"/>
        </w:trPr>
        <w:tc>
          <w:tcPr>
            <w:tcW w:w="3040" w:type="dxa"/>
            <w:vAlign w:val="bottom"/>
          </w:tcPr>
          <w:p>
            <w:pPr>
              <w:spacing w:after="0"/>
              <w:rPr>
                <w:sz w:val="20"/>
                <w:szCs w:val="20"/>
                <w:color w:val="auto"/>
              </w:rPr>
            </w:pPr>
            <w:r>
              <w:rPr>
                <w:rFonts w:ascii="Arial" w:cs="Arial" w:eastAsia="Arial" w:hAnsi="Arial"/>
                <w:sz w:val="18"/>
                <w:szCs w:val="18"/>
                <w:color w:val="auto"/>
                <w:w w:val="93"/>
              </w:rPr>
              <w:t>transact Elektronische Zahlungssysteme</w:t>
            </w:r>
          </w:p>
        </w:tc>
        <w:tc>
          <w:tcPr>
            <w:tcW w:w="1540" w:type="dxa"/>
            <w:vAlign w:val="bottom"/>
          </w:tcPr>
          <w:p>
            <w:pPr>
              <w:ind w:left="160"/>
              <w:spacing w:after="0"/>
              <w:rPr>
                <w:sz w:val="20"/>
                <w:szCs w:val="20"/>
                <w:color w:val="auto"/>
              </w:rPr>
            </w:pPr>
            <w:r>
              <w:rPr>
                <w:rFonts w:ascii="Arial" w:cs="Arial" w:eastAsia="Arial" w:hAnsi="Arial"/>
                <w:sz w:val="18"/>
                <w:szCs w:val="18"/>
                <w:color w:val="auto"/>
              </w:rPr>
              <w:t>Info. Technology</w:t>
            </w:r>
          </w:p>
        </w:tc>
        <w:tc>
          <w:tcPr>
            <w:tcW w:w="162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30"/>
        </w:trPr>
        <w:tc>
          <w:tcPr>
            <w:tcW w:w="3040" w:type="dxa"/>
            <w:vAlign w:val="bottom"/>
          </w:tcPr>
          <w:p>
            <w:pPr>
              <w:spacing w:after="0"/>
              <w:rPr>
                <w:sz w:val="20"/>
                <w:szCs w:val="20"/>
                <w:color w:val="auto"/>
              </w:rPr>
            </w:pPr>
            <w:r>
              <w:rPr>
                <w:rFonts w:ascii="Arial" w:cs="Arial" w:eastAsia="Arial" w:hAnsi="Arial"/>
                <w:sz w:val="18"/>
                <w:szCs w:val="18"/>
                <w:color w:val="auto"/>
              </w:rPr>
              <w:t>GmbH</w:t>
            </w:r>
          </w:p>
        </w:tc>
        <w:tc>
          <w:tcPr>
            <w:tcW w:w="1540" w:type="dxa"/>
            <w:vAlign w:val="bottom"/>
          </w:tcPr>
          <w:p>
            <w:pPr>
              <w:ind w:left="160"/>
              <w:spacing w:after="0"/>
              <w:rPr>
                <w:sz w:val="20"/>
                <w:szCs w:val="20"/>
                <w:color w:val="auto"/>
              </w:rPr>
            </w:pPr>
            <w:r>
              <w:rPr>
                <w:rFonts w:ascii="Arial" w:cs="Arial" w:eastAsia="Arial" w:hAnsi="Arial"/>
                <w:sz w:val="18"/>
                <w:szCs w:val="18"/>
                <w:color w:val="auto"/>
              </w:rPr>
              <w:t>GmbH</w:t>
            </w:r>
          </w:p>
        </w:tc>
        <w:tc>
          <w:tcPr>
            <w:tcW w:w="1620" w:type="dxa"/>
            <w:vAlign w:val="bottom"/>
          </w:tcPr>
          <w:p>
            <w:pPr>
              <w:ind w:left="100"/>
              <w:spacing w:after="0"/>
              <w:rPr>
                <w:sz w:val="20"/>
                <w:szCs w:val="20"/>
                <w:color w:val="auto"/>
              </w:rPr>
            </w:pPr>
            <w:r>
              <w:rPr>
                <w:rFonts w:ascii="Arial" w:cs="Arial" w:eastAsia="Arial" w:hAnsi="Arial"/>
                <w:sz w:val="18"/>
                <w:szCs w:val="18"/>
                <w:color w:val="auto"/>
              </w:rPr>
              <w:t>Capital Lease</w:t>
            </w:r>
          </w:p>
        </w:tc>
        <w:tc>
          <w:tcPr>
            <w:tcW w:w="1760" w:type="dxa"/>
            <w:vAlign w:val="bottom"/>
          </w:tcPr>
          <w:p>
            <w:pPr>
              <w:ind w:left="540"/>
              <w:spacing w:after="0"/>
              <w:rPr>
                <w:sz w:val="20"/>
                <w:szCs w:val="20"/>
                <w:color w:val="auto"/>
              </w:rPr>
            </w:pPr>
            <w:r>
              <w:rPr>
                <w:rFonts w:ascii="Arial" w:cs="Arial" w:eastAsia="Arial" w:hAnsi="Arial"/>
                <w:sz w:val="18"/>
                <w:szCs w:val="18"/>
                <w:color w:val="auto"/>
              </w:rPr>
              <w:t>ATMs</w:t>
            </w:r>
          </w:p>
        </w:tc>
        <w:tc>
          <w:tcPr>
            <w:tcW w:w="2280" w:type="dxa"/>
            <w:vAlign w:val="bottom"/>
          </w:tcPr>
          <w:p>
            <w:pPr>
              <w:jc w:val="right"/>
              <w:ind w:right="310"/>
              <w:spacing w:after="0"/>
              <w:rPr>
                <w:sz w:val="20"/>
                <w:szCs w:val="20"/>
                <w:color w:val="auto"/>
              </w:rPr>
            </w:pPr>
            <w:r>
              <w:rPr>
                <w:rFonts w:ascii="Arial" w:cs="Arial" w:eastAsia="Arial" w:hAnsi="Arial"/>
                <w:sz w:val="18"/>
                <w:szCs w:val="18"/>
                <w:color w:val="auto"/>
              </w:rPr>
              <w:t>EUR 68,303</w:t>
            </w:r>
          </w:p>
        </w:tc>
        <w:tc>
          <w:tcPr>
            <w:tcW w:w="1100" w:type="dxa"/>
            <w:vAlign w:val="bottom"/>
          </w:tcPr>
          <w:p>
            <w:pPr>
              <w:jc w:val="right"/>
              <w:spacing w:after="0"/>
              <w:rPr>
                <w:sz w:val="20"/>
                <w:szCs w:val="20"/>
                <w:color w:val="auto"/>
              </w:rPr>
            </w:pPr>
            <w:r>
              <w:rPr>
                <w:rFonts w:ascii="Arial" w:cs="Arial" w:eastAsia="Arial" w:hAnsi="Arial"/>
                <w:sz w:val="18"/>
                <w:szCs w:val="18"/>
                <w:color w:val="auto"/>
              </w:rPr>
              <w:t>92,298</w:t>
            </w:r>
          </w:p>
        </w:tc>
      </w:tr>
      <w:tr>
        <w:trPr>
          <w:trHeight w:val="256"/>
        </w:trPr>
        <w:tc>
          <w:tcPr>
            <w:tcW w:w="3040" w:type="dxa"/>
            <w:vAlign w:val="bottom"/>
          </w:tcPr>
          <w:p>
            <w:pPr>
              <w:spacing w:after="0"/>
              <w:rPr>
                <w:sz w:val="22"/>
                <w:szCs w:val="22"/>
                <w:color w:val="auto"/>
              </w:rPr>
            </w:pPr>
          </w:p>
        </w:tc>
        <w:tc>
          <w:tcPr>
            <w:tcW w:w="1540" w:type="dxa"/>
            <w:vAlign w:val="bottom"/>
          </w:tcPr>
          <w:p>
            <w:pPr>
              <w:ind w:left="160"/>
              <w:spacing w:after="0"/>
              <w:rPr>
                <w:sz w:val="20"/>
                <w:szCs w:val="20"/>
                <w:color w:val="auto"/>
              </w:rPr>
            </w:pPr>
            <w:r>
              <w:rPr>
                <w:rFonts w:ascii="Arial" w:cs="Arial" w:eastAsia="Arial" w:hAnsi="Arial"/>
                <w:sz w:val="18"/>
                <w:szCs w:val="18"/>
                <w:color w:val="auto"/>
                <w:w w:val="94"/>
              </w:rPr>
              <w:t>Deutsche Leasing</w:t>
            </w:r>
          </w:p>
        </w:tc>
        <w:tc>
          <w:tcPr>
            <w:tcW w:w="1620" w:type="dxa"/>
            <w:vAlign w:val="bottom"/>
          </w:tcPr>
          <w:p>
            <w:pPr>
              <w:spacing w:after="0"/>
              <w:rPr>
                <w:sz w:val="22"/>
                <w:szCs w:val="22"/>
                <w:color w:val="auto"/>
              </w:rPr>
            </w:pPr>
          </w:p>
        </w:tc>
        <w:tc>
          <w:tcPr>
            <w:tcW w:w="1760" w:type="dxa"/>
            <w:vAlign w:val="bottom"/>
          </w:tcPr>
          <w:p>
            <w:pPr>
              <w:spacing w:after="0"/>
              <w:rPr>
                <w:sz w:val="22"/>
                <w:szCs w:val="22"/>
                <w:color w:val="auto"/>
              </w:rPr>
            </w:pPr>
          </w:p>
        </w:tc>
        <w:tc>
          <w:tcPr>
            <w:tcW w:w="2280" w:type="dxa"/>
            <w:vAlign w:val="bottom"/>
          </w:tcPr>
          <w:p>
            <w:pPr>
              <w:spacing w:after="0"/>
              <w:rPr>
                <w:sz w:val="22"/>
                <w:szCs w:val="22"/>
                <w:color w:val="auto"/>
              </w:rPr>
            </w:pPr>
          </w:p>
        </w:tc>
        <w:tc>
          <w:tcPr>
            <w:tcW w:w="1100" w:type="dxa"/>
            <w:vAlign w:val="bottom"/>
          </w:tcPr>
          <w:p>
            <w:pPr>
              <w:spacing w:after="0"/>
              <w:rPr>
                <w:sz w:val="22"/>
                <w:szCs w:val="22"/>
                <w:color w:val="auto"/>
              </w:rPr>
            </w:pPr>
          </w:p>
        </w:tc>
      </w:tr>
      <w:tr>
        <w:trPr>
          <w:trHeight w:val="216"/>
        </w:trPr>
        <w:tc>
          <w:tcPr>
            <w:tcW w:w="3040" w:type="dxa"/>
            <w:vAlign w:val="bottom"/>
          </w:tcPr>
          <w:p>
            <w:pPr>
              <w:spacing w:after="0"/>
              <w:rPr>
                <w:sz w:val="20"/>
                <w:szCs w:val="20"/>
                <w:color w:val="auto"/>
              </w:rPr>
            </w:pPr>
            <w:r>
              <w:rPr>
                <w:rFonts w:ascii="Arial" w:cs="Arial" w:eastAsia="Arial" w:hAnsi="Arial"/>
                <w:sz w:val="18"/>
                <w:szCs w:val="18"/>
                <w:color w:val="auto"/>
                <w:w w:val="93"/>
              </w:rPr>
              <w:t>transact Elektronische Zahlungssysteme</w:t>
            </w:r>
          </w:p>
        </w:tc>
        <w:tc>
          <w:tcPr>
            <w:tcW w:w="1540" w:type="dxa"/>
            <w:vAlign w:val="bottom"/>
          </w:tcPr>
          <w:p>
            <w:pPr>
              <w:ind w:left="160"/>
              <w:spacing w:after="0"/>
              <w:rPr>
                <w:sz w:val="20"/>
                <w:szCs w:val="20"/>
                <w:color w:val="auto"/>
              </w:rPr>
            </w:pPr>
            <w:r>
              <w:rPr>
                <w:rFonts w:ascii="Arial" w:cs="Arial" w:eastAsia="Arial" w:hAnsi="Arial"/>
                <w:sz w:val="18"/>
                <w:szCs w:val="18"/>
                <w:color w:val="auto"/>
              </w:rPr>
              <w:t>Info. Technology</w:t>
            </w:r>
          </w:p>
        </w:tc>
        <w:tc>
          <w:tcPr>
            <w:tcW w:w="162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30"/>
        </w:trPr>
        <w:tc>
          <w:tcPr>
            <w:tcW w:w="3040" w:type="dxa"/>
            <w:vAlign w:val="bottom"/>
          </w:tcPr>
          <w:p>
            <w:pPr>
              <w:spacing w:after="0"/>
              <w:rPr>
                <w:sz w:val="20"/>
                <w:szCs w:val="20"/>
                <w:color w:val="auto"/>
              </w:rPr>
            </w:pPr>
            <w:r>
              <w:rPr>
                <w:rFonts w:ascii="Arial" w:cs="Arial" w:eastAsia="Arial" w:hAnsi="Arial"/>
                <w:sz w:val="18"/>
                <w:szCs w:val="18"/>
                <w:color w:val="auto"/>
              </w:rPr>
              <w:t>GmbH</w:t>
            </w:r>
          </w:p>
        </w:tc>
        <w:tc>
          <w:tcPr>
            <w:tcW w:w="1540" w:type="dxa"/>
            <w:vAlign w:val="bottom"/>
          </w:tcPr>
          <w:p>
            <w:pPr>
              <w:ind w:left="160"/>
              <w:spacing w:after="0"/>
              <w:rPr>
                <w:sz w:val="20"/>
                <w:szCs w:val="20"/>
                <w:color w:val="auto"/>
              </w:rPr>
            </w:pPr>
            <w:r>
              <w:rPr>
                <w:rFonts w:ascii="Arial" w:cs="Arial" w:eastAsia="Arial" w:hAnsi="Arial"/>
                <w:sz w:val="18"/>
                <w:szCs w:val="18"/>
                <w:color w:val="auto"/>
              </w:rPr>
              <w:t>GmbH</w:t>
            </w:r>
          </w:p>
        </w:tc>
        <w:tc>
          <w:tcPr>
            <w:tcW w:w="1620" w:type="dxa"/>
            <w:vAlign w:val="bottom"/>
          </w:tcPr>
          <w:p>
            <w:pPr>
              <w:ind w:left="100"/>
              <w:spacing w:after="0"/>
              <w:rPr>
                <w:sz w:val="20"/>
                <w:szCs w:val="20"/>
                <w:color w:val="auto"/>
              </w:rPr>
            </w:pPr>
            <w:r>
              <w:rPr>
                <w:rFonts w:ascii="Arial" w:cs="Arial" w:eastAsia="Arial" w:hAnsi="Arial"/>
                <w:sz w:val="18"/>
                <w:szCs w:val="18"/>
                <w:color w:val="auto"/>
              </w:rPr>
              <w:t>Capital Lease</w:t>
            </w:r>
          </w:p>
        </w:tc>
        <w:tc>
          <w:tcPr>
            <w:tcW w:w="1760" w:type="dxa"/>
            <w:vAlign w:val="bottom"/>
          </w:tcPr>
          <w:p>
            <w:pPr>
              <w:ind w:left="540"/>
              <w:spacing w:after="0"/>
              <w:rPr>
                <w:sz w:val="20"/>
                <w:szCs w:val="20"/>
                <w:color w:val="auto"/>
              </w:rPr>
            </w:pPr>
            <w:r>
              <w:rPr>
                <w:rFonts w:ascii="Arial" w:cs="Arial" w:eastAsia="Arial" w:hAnsi="Arial"/>
                <w:sz w:val="18"/>
                <w:szCs w:val="18"/>
                <w:color w:val="auto"/>
              </w:rPr>
              <w:t>ATMs</w:t>
            </w:r>
          </w:p>
        </w:tc>
        <w:tc>
          <w:tcPr>
            <w:tcW w:w="2280" w:type="dxa"/>
            <w:vAlign w:val="bottom"/>
          </w:tcPr>
          <w:p>
            <w:pPr>
              <w:jc w:val="right"/>
              <w:ind w:right="310"/>
              <w:spacing w:after="0"/>
              <w:rPr>
                <w:sz w:val="20"/>
                <w:szCs w:val="20"/>
                <w:color w:val="auto"/>
              </w:rPr>
            </w:pPr>
            <w:r>
              <w:rPr>
                <w:rFonts w:ascii="Arial" w:cs="Arial" w:eastAsia="Arial" w:hAnsi="Arial"/>
                <w:sz w:val="18"/>
                <w:szCs w:val="18"/>
                <w:color w:val="auto"/>
              </w:rPr>
              <w:t>EUR 152,571</w:t>
            </w:r>
          </w:p>
        </w:tc>
        <w:tc>
          <w:tcPr>
            <w:tcW w:w="1100" w:type="dxa"/>
            <w:vAlign w:val="bottom"/>
          </w:tcPr>
          <w:p>
            <w:pPr>
              <w:jc w:val="right"/>
              <w:spacing w:after="0"/>
              <w:rPr>
                <w:sz w:val="20"/>
                <w:szCs w:val="20"/>
                <w:color w:val="auto"/>
              </w:rPr>
            </w:pPr>
            <w:r>
              <w:rPr>
                <w:rFonts w:ascii="Arial" w:cs="Arial" w:eastAsia="Arial" w:hAnsi="Arial"/>
                <w:sz w:val="18"/>
                <w:szCs w:val="18"/>
                <w:color w:val="auto"/>
              </w:rPr>
              <w:t>206,170</w:t>
            </w:r>
          </w:p>
        </w:tc>
      </w:tr>
      <w:tr>
        <w:trPr>
          <w:trHeight w:val="256"/>
        </w:trPr>
        <w:tc>
          <w:tcPr>
            <w:tcW w:w="3040" w:type="dxa"/>
            <w:vAlign w:val="bottom"/>
          </w:tcPr>
          <w:p>
            <w:pPr>
              <w:spacing w:after="0"/>
              <w:rPr>
                <w:sz w:val="22"/>
                <w:szCs w:val="22"/>
                <w:color w:val="auto"/>
              </w:rPr>
            </w:pPr>
          </w:p>
        </w:tc>
        <w:tc>
          <w:tcPr>
            <w:tcW w:w="1540" w:type="dxa"/>
            <w:vAlign w:val="bottom"/>
          </w:tcPr>
          <w:p>
            <w:pPr>
              <w:ind w:left="160"/>
              <w:spacing w:after="0"/>
              <w:rPr>
                <w:sz w:val="20"/>
                <w:szCs w:val="20"/>
                <w:color w:val="auto"/>
              </w:rPr>
            </w:pPr>
            <w:r>
              <w:rPr>
                <w:rFonts w:ascii="Arial" w:cs="Arial" w:eastAsia="Arial" w:hAnsi="Arial"/>
                <w:sz w:val="18"/>
                <w:szCs w:val="18"/>
                <w:color w:val="auto"/>
                <w:w w:val="94"/>
              </w:rPr>
              <w:t>Deutsche Leasing</w:t>
            </w:r>
          </w:p>
        </w:tc>
        <w:tc>
          <w:tcPr>
            <w:tcW w:w="1620" w:type="dxa"/>
            <w:vAlign w:val="bottom"/>
          </w:tcPr>
          <w:p>
            <w:pPr>
              <w:spacing w:after="0"/>
              <w:rPr>
                <w:sz w:val="22"/>
                <w:szCs w:val="22"/>
                <w:color w:val="auto"/>
              </w:rPr>
            </w:pPr>
          </w:p>
        </w:tc>
        <w:tc>
          <w:tcPr>
            <w:tcW w:w="1760" w:type="dxa"/>
            <w:vAlign w:val="bottom"/>
          </w:tcPr>
          <w:p>
            <w:pPr>
              <w:spacing w:after="0"/>
              <w:rPr>
                <w:sz w:val="22"/>
                <w:szCs w:val="22"/>
                <w:color w:val="auto"/>
              </w:rPr>
            </w:pPr>
          </w:p>
        </w:tc>
        <w:tc>
          <w:tcPr>
            <w:tcW w:w="2280" w:type="dxa"/>
            <w:vAlign w:val="bottom"/>
          </w:tcPr>
          <w:p>
            <w:pPr>
              <w:spacing w:after="0"/>
              <w:rPr>
                <w:sz w:val="22"/>
                <w:szCs w:val="22"/>
                <w:color w:val="auto"/>
              </w:rPr>
            </w:pPr>
          </w:p>
        </w:tc>
        <w:tc>
          <w:tcPr>
            <w:tcW w:w="1100" w:type="dxa"/>
            <w:vAlign w:val="bottom"/>
          </w:tcPr>
          <w:p>
            <w:pPr>
              <w:spacing w:after="0"/>
              <w:rPr>
                <w:sz w:val="22"/>
                <w:szCs w:val="22"/>
                <w:color w:val="auto"/>
              </w:rPr>
            </w:pPr>
          </w:p>
        </w:tc>
      </w:tr>
      <w:tr>
        <w:trPr>
          <w:trHeight w:val="216"/>
        </w:trPr>
        <w:tc>
          <w:tcPr>
            <w:tcW w:w="3040" w:type="dxa"/>
            <w:vAlign w:val="bottom"/>
          </w:tcPr>
          <w:p>
            <w:pPr>
              <w:spacing w:after="0"/>
              <w:rPr>
                <w:sz w:val="20"/>
                <w:szCs w:val="20"/>
                <w:color w:val="auto"/>
              </w:rPr>
            </w:pPr>
            <w:r>
              <w:rPr>
                <w:rFonts w:ascii="Arial" w:cs="Arial" w:eastAsia="Arial" w:hAnsi="Arial"/>
                <w:sz w:val="18"/>
                <w:szCs w:val="18"/>
                <w:color w:val="auto"/>
                <w:w w:val="93"/>
              </w:rPr>
              <w:t>transact Elektronische Zahlungssysteme</w:t>
            </w:r>
          </w:p>
        </w:tc>
        <w:tc>
          <w:tcPr>
            <w:tcW w:w="1540" w:type="dxa"/>
            <w:vAlign w:val="bottom"/>
          </w:tcPr>
          <w:p>
            <w:pPr>
              <w:ind w:left="160"/>
              <w:spacing w:after="0"/>
              <w:rPr>
                <w:sz w:val="20"/>
                <w:szCs w:val="20"/>
                <w:color w:val="auto"/>
              </w:rPr>
            </w:pPr>
            <w:r>
              <w:rPr>
                <w:rFonts w:ascii="Arial" w:cs="Arial" w:eastAsia="Arial" w:hAnsi="Arial"/>
                <w:sz w:val="18"/>
                <w:szCs w:val="18"/>
                <w:color w:val="auto"/>
              </w:rPr>
              <w:t>Info. Technology</w:t>
            </w:r>
          </w:p>
        </w:tc>
        <w:tc>
          <w:tcPr>
            <w:tcW w:w="162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30"/>
        </w:trPr>
        <w:tc>
          <w:tcPr>
            <w:tcW w:w="3040" w:type="dxa"/>
            <w:vAlign w:val="bottom"/>
          </w:tcPr>
          <w:p>
            <w:pPr>
              <w:spacing w:after="0"/>
              <w:rPr>
                <w:sz w:val="20"/>
                <w:szCs w:val="20"/>
                <w:color w:val="auto"/>
              </w:rPr>
            </w:pPr>
            <w:r>
              <w:rPr>
                <w:rFonts w:ascii="Arial" w:cs="Arial" w:eastAsia="Arial" w:hAnsi="Arial"/>
                <w:sz w:val="18"/>
                <w:szCs w:val="18"/>
                <w:color w:val="auto"/>
              </w:rPr>
              <w:t>GmbH</w:t>
            </w:r>
          </w:p>
        </w:tc>
        <w:tc>
          <w:tcPr>
            <w:tcW w:w="1540" w:type="dxa"/>
            <w:vAlign w:val="bottom"/>
          </w:tcPr>
          <w:p>
            <w:pPr>
              <w:ind w:left="160"/>
              <w:spacing w:after="0"/>
              <w:rPr>
                <w:sz w:val="20"/>
                <w:szCs w:val="20"/>
                <w:color w:val="auto"/>
              </w:rPr>
            </w:pPr>
            <w:r>
              <w:rPr>
                <w:rFonts w:ascii="Arial" w:cs="Arial" w:eastAsia="Arial" w:hAnsi="Arial"/>
                <w:sz w:val="18"/>
                <w:szCs w:val="18"/>
                <w:color w:val="auto"/>
              </w:rPr>
              <w:t>GmbH</w:t>
            </w:r>
          </w:p>
        </w:tc>
        <w:tc>
          <w:tcPr>
            <w:tcW w:w="1620" w:type="dxa"/>
            <w:vAlign w:val="bottom"/>
          </w:tcPr>
          <w:p>
            <w:pPr>
              <w:ind w:left="100"/>
              <w:spacing w:after="0"/>
              <w:rPr>
                <w:sz w:val="20"/>
                <w:szCs w:val="20"/>
                <w:color w:val="auto"/>
              </w:rPr>
            </w:pPr>
            <w:r>
              <w:rPr>
                <w:rFonts w:ascii="Arial" w:cs="Arial" w:eastAsia="Arial" w:hAnsi="Arial"/>
                <w:sz w:val="18"/>
                <w:szCs w:val="18"/>
                <w:color w:val="auto"/>
              </w:rPr>
              <w:t>Capital Lease</w:t>
            </w:r>
          </w:p>
        </w:tc>
        <w:tc>
          <w:tcPr>
            <w:tcW w:w="1760" w:type="dxa"/>
            <w:vAlign w:val="bottom"/>
          </w:tcPr>
          <w:p>
            <w:pPr>
              <w:ind w:left="540"/>
              <w:spacing w:after="0"/>
              <w:rPr>
                <w:sz w:val="20"/>
                <w:szCs w:val="20"/>
                <w:color w:val="auto"/>
              </w:rPr>
            </w:pPr>
            <w:r>
              <w:rPr>
                <w:rFonts w:ascii="Arial" w:cs="Arial" w:eastAsia="Arial" w:hAnsi="Arial"/>
                <w:sz w:val="18"/>
                <w:szCs w:val="18"/>
                <w:color w:val="auto"/>
              </w:rPr>
              <w:t>ATMs</w:t>
            </w:r>
          </w:p>
        </w:tc>
        <w:tc>
          <w:tcPr>
            <w:tcW w:w="2280" w:type="dxa"/>
            <w:vAlign w:val="bottom"/>
          </w:tcPr>
          <w:p>
            <w:pPr>
              <w:jc w:val="right"/>
              <w:ind w:right="310"/>
              <w:spacing w:after="0"/>
              <w:rPr>
                <w:sz w:val="20"/>
                <w:szCs w:val="20"/>
                <w:color w:val="auto"/>
              </w:rPr>
            </w:pPr>
            <w:r>
              <w:rPr>
                <w:rFonts w:ascii="Arial" w:cs="Arial" w:eastAsia="Arial" w:hAnsi="Arial"/>
                <w:sz w:val="18"/>
                <w:szCs w:val="18"/>
                <w:color w:val="auto"/>
              </w:rPr>
              <w:t>EUR 1,404,421</w:t>
            </w:r>
          </w:p>
        </w:tc>
        <w:tc>
          <w:tcPr>
            <w:tcW w:w="1100" w:type="dxa"/>
            <w:vAlign w:val="bottom"/>
          </w:tcPr>
          <w:p>
            <w:pPr>
              <w:jc w:val="right"/>
              <w:spacing w:after="0"/>
              <w:rPr>
                <w:sz w:val="20"/>
                <w:szCs w:val="20"/>
                <w:color w:val="auto"/>
              </w:rPr>
            </w:pPr>
            <w:r>
              <w:rPr>
                <w:rFonts w:ascii="Arial" w:cs="Arial" w:eastAsia="Arial" w:hAnsi="Arial"/>
                <w:sz w:val="18"/>
                <w:szCs w:val="18"/>
                <w:color w:val="auto"/>
              </w:rPr>
              <w:t>1,897,794</w:t>
            </w:r>
          </w:p>
        </w:tc>
      </w:tr>
      <w:tr>
        <w:trPr>
          <w:trHeight w:val="256"/>
        </w:trPr>
        <w:tc>
          <w:tcPr>
            <w:tcW w:w="3040" w:type="dxa"/>
            <w:vAlign w:val="bottom"/>
          </w:tcPr>
          <w:p>
            <w:pPr>
              <w:spacing w:after="0"/>
              <w:rPr>
                <w:sz w:val="22"/>
                <w:szCs w:val="22"/>
                <w:color w:val="auto"/>
              </w:rPr>
            </w:pPr>
          </w:p>
        </w:tc>
        <w:tc>
          <w:tcPr>
            <w:tcW w:w="1540" w:type="dxa"/>
            <w:vAlign w:val="bottom"/>
          </w:tcPr>
          <w:p>
            <w:pPr>
              <w:ind w:left="160"/>
              <w:spacing w:after="0"/>
              <w:rPr>
                <w:sz w:val="20"/>
                <w:szCs w:val="20"/>
                <w:color w:val="auto"/>
              </w:rPr>
            </w:pPr>
            <w:r>
              <w:rPr>
                <w:rFonts w:ascii="Arial" w:cs="Arial" w:eastAsia="Arial" w:hAnsi="Arial"/>
                <w:sz w:val="18"/>
                <w:szCs w:val="18"/>
                <w:color w:val="auto"/>
                <w:w w:val="94"/>
              </w:rPr>
              <w:t>Deutsche Leasing</w:t>
            </w:r>
          </w:p>
        </w:tc>
        <w:tc>
          <w:tcPr>
            <w:tcW w:w="1620" w:type="dxa"/>
            <w:vAlign w:val="bottom"/>
          </w:tcPr>
          <w:p>
            <w:pPr>
              <w:spacing w:after="0"/>
              <w:rPr>
                <w:sz w:val="22"/>
                <w:szCs w:val="22"/>
                <w:color w:val="auto"/>
              </w:rPr>
            </w:pPr>
          </w:p>
        </w:tc>
        <w:tc>
          <w:tcPr>
            <w:tcW w:w="1760" w:type="dxa"/>
            <w:vAlign w:val="bottom"/>
          </w:tcPr>
          <w:p>
            <w:pPr>
              <w:spacing w:after="0"/>
              <w:rPr>
                <w:sz w:val="22"/>
                <w:szCs w:val="22"/>
                <w:color w:val="auto"/>
              </w:rPr>
            </w:pPr>
          </w:p>
        </w:tc>
        <w:tc>
          <w:tcPr>
            <w:tcW w:w="2280" w:type="dxa"/>
            <w:vAlign w:val="bottom"/>
          </w:tcPr>
          <w:p>
            <w:pPr>
              <w:spacing w:after="0"/>
              <w:rPr>
                <w:sz w:val="22"/>
                <w:szCs w:val="22"/>
                <w:color w:val="auto"/>
              </w:rPr>
            </w:pPr>
          </w:p>
        </w:tc>
        <w:tc>
          <w:tcPr>
            <w:tcW w:w="1100" w:type="dxa"/>
            <w:vAlign w:val="bottom"/>
          </w:tcPr>
          <w:p>
            <w:pPr>
              <w:spacing w:after="0"/>
              <w:rPr>
                <w:sz w:val="22"/>
                <w:szCs w:val="22"/>
                <w:color w:val="auto"/>
              </w:rPr>
            </w:pPr>
          </w:p>
        </w:tc>
      </w:tr>
      <w:tr>
        <w:trPr>
          <w:trHeight w:val="216"/>
        </w:trPr>
        <w:tc>
          <w:tcPr>
            <w:tcW w:w="3040" w:type="dxa"/>
            <w:vAlign w:val="bottom"/>
          </w:tcPr>
          <w:p>
            <w:pPr>
              <w:spacing w:after="0"/>
              <w:rPr>
                <w:sz w:val="20"/>
                <w:szCs w:val="20"/>
                <w:color w:val="auto"/>
              </w:rPr>
            </w:pPr>
            <w:r>
              <w:rPr>
                <w:rFonts w:ascii="Arial" w:cs="Arial" w:eastAsia="Arial" w:hAnsi="Arial"/>
                <w:sz w:val="18"/>
                <w:szCs w:val="18"/>
                <w:color w:val="auto"/>
                <w:w w:val="93"/>
              </w:rPr>
              <w:t>transact Elektronische Zahlungssysteme</w:t>
            </w:r>
          </w:p>
        </w:tc>
        <w:tc>
          <w:tcPr>
            <w:tcW w:w="1540" w:type="dxa"/>
            <w:vAlign w:val="bottom"/>
          </w:tcPr>
          <w:p>
            <w:pPr>
              <w:ind w:left="160"/>
              <w:spacing w:after="0"/>
              <w:rPr>
                <w:sz w:val="20"/>
                <w:szCs w:val="20"/>
                <w:color w:val="auto"/>
              </w:rPr>
            </w:pPr>
            <w:r>
              <w:rPr>
                <w:rFonts w:ascii="Arial" w:cs="Arial" w:eastAsia="Arial" w:hAnsi="Arial"/>
                <w:sz w:val="18"/>
                <w:szCs w:val="18"/>
                <w:color w:val="auto"/>
              </w:rPr>
              <w:t>Info. Technology</w:t>
            </w:r>
          </w:p>
        </w:tc>
        <w:tc>
          <w:tcPr>
            <w:tcW w:w="162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30"/>
        </w:trPr>
        <w:tc>
          <w:tcPr>
            <w:tcW w:w="3040" w:type="dxa"/>
            <w:vAlign w:val="bottom"/>
          </w:tcPr>
          <w:p>
            <w:pPr>
              <w:spacing w:after="0"/>
              <w:rPr>
                <w:sz w:val="20"/>
                <w:szCs w:val="20"/>
                <w:color w:val="auto"/>
              </w:rPr>
            </w:pPr>
            <w:r>
              <w:rPr>
                <w:rFonts w:ascii="Arial" w:cs="Arial" w:eastAsia="Arial" w:hAnsi="Arial"/>
                <w:sz w:val="18"/>
                <w:szCs w:val="18"/>
                <w:color w:val="auto"/>
              </w:rPr>
              <w:t>GmbH</w:t>
            </w:r>
          </w:p>
        </w:tc>
        <w:tc>
          <w:tcPr>
            <w:tcW w:w="1540" w:type="dxa"/>
            <w:vAlign w:val="bottom"/>
          </w:tcPr>
          <w:p>
            <w:pPr>
              <w:ind w:left="160"/>
              <w:spacing w:after="0"/>
              <w:rPr>
                <w:sz w:val="20"/>
                <w:szCs w:val="20"/>
                <w:color w:val="auto"/>
              </w:rPr>
            </w:pPr>
            <w:r>
              <w:rPr>
                <w:rFonts w:ascii="Arial" w:cs="Arial" w:eastAsia="Arial" w:hAnsi="Arial"/>
                <w:sz w:val="18"/>
                <w:szCs w:val="18"/>
                <w:color w:val="auto"/>
              </w:rPr>
              <w:t>GmbH</w:t>
            </w:r>
          </w:p>
        </w:tc>
        <w:tc>
          <w:tcPr>
            <w:tcW w:w="1620" w:type="dxa"/>
            <w:vAlign w:val="bottom"/>
          </w:tcPr>
          <w:p>
            <w:pPr>
              <w:ind w:left="100"/>
              <w:spacing w:after="0"/>
              <w:rPr>
                <w:sz w:val="20"/>
                <w:szCs w:val="20"/>
                <w:color w:val="auto"/>
              </w:rPr>
            </w:pPr>
            <w:r>
              <w:rPr>
                <w:rFonts w:ascii="Arial" w:cs="Arial" w:eastAsia="Arial" w:hAnsi="Arial"/>
                <w:sz w:val="18"/>
                <w:szCs w:val="18"/>
                <w:color w:val="auto"/>
              </w:rPr>
              <w:t>Capital Lease</w:t>
            </w:r>
          </w:p>
        </w:tc>
        <w:tc>
          <w:tcPr>
            <w:tcW w:w="1760" w:type="dxa"/>
            <w:vAlign w:val="bottom"/>
          </w:tcPr>
          <w:p>
            <w:pPr>
              <w:ind w:left="540"/>
              <w:spacing w:after="0"/>
              <w:rPr>
                <w:sz w:val="20"/>
                <w:szCs w:val="20"/>
                <w:color w:val="auto"/>
              </w:rPr>
            </w:pPr>
            <w:r>
              <w:rPr>
                <w:rFonts w:ascii="Arial" w:cs="Arial" w:eastAsia="Arial" w:hAnsi="Arial"/>
                <w:sz w:val="18"/>
                <w:szCs w:val="18"/>
                <w:color w:val="auto"/>
              </w:rPr>
              <w:t>ATMs</w:t>
            </w:r>
          </w:p>
        </w:tc>
        <w:tc>
          <w:tcPr>
            <w:tcW w:w="2280" w:type="dxa"/>
            <w:vAlign w:val="bottom"/>
          </w:tcPr>
          <w:p>
            <w:pPr>
              <w:jc w:val="right"/>
              <w:ind w:right="310"/>
              <w:spacing w:after="0"/>
              <w:rPr>
                <w:sz w:val="20"/>
                <w:szCs w:val="20"/>
                <w:color w:val="auto"/>
              </w:rPr>
            </w:pPr>
            <w:r>
              <w:rPr>
                <w:rFonts w:ascii="Arial" w:cs="Arial" w:eastAsia="Arial" w:hAnsi="Arial"/>
                <w:sz w:val="18"/>
                <w:szCs w:val="18"/>
                <w:color w:val="auto"/>
              </w:rPr>
              <w:t>EUR 205,336</w:t>
            </w:r>
          </w:p>
        </w:tc>
        <w:tc>
          <w:tcPr>
            <w:tcW w:w="1100" w:type="dxa"/>
            <w:vAlign w:val="bottom"/>
          </w:tcPr>
          <w:p>
            <w:pPr>
              <w:jc w:val="right"/>
              <w:spacing w:after="0"/>
              <w:rPr>
                <w:sz w:val="20"/>
                <w:szCs w:val="20"/>
                <w:color w:val="auto"/>
              </w:rPr>
            </w:pPr>
            <w:r>
              <w:rPr>
                <w:rFonts w:ascii="Arial" w:cs="Arial" w:eastAsia="Arial" w:hAnsi="Arial"/>
                <w:sz w:val="18"/>
                <w:szCs w:val="18"/>
                <w:color w:val="auto"/>
              </w:rPr>
              <w:t>277,471</w:t>
            </w:r>
          </w:p>
        </w:tc>
      </w:tr>
    </w:tbl>
    <w:p>
      <w:pPr>
        <w:sectPr>
          <w:pgSz w:w="11900" w:h="16838" w:orient="portrait"/>
          <w:cols w:equalWidth="0" w:num="1">
            <w:col w:w="11380"/>
          </w:cols>
          <w:pgMar w:left="280" w:top="544" w:right="239" w:bottom="1440" w:gutter="0" w:footer="0" w:header="0"/>
        </w:sectPr>
      </w:pPr>
    </w:p>
    <w:bookmarkStart w:id="276" w:name="page277"/>
    <w:bookmarkEnd w:id="276"/>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4436745</wp:posOffset>
            </wp:positionH>
            <wp:positionV relativeFrom="page">
              <wp:posOffset>328930</wp:posOffset>
            </wp:positionV>
            <wp:extent cx="943610" cy="90043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943610" cy="900430"/>
                    </a:xfrm>
                    <a:prstGeom prst="rect">
                      <a:avLst/>
                    </a:prstGeom>
                    <a:noFill/>
                  </pic:spPr>
                </pic:pic>
              </a:graphicData>
            </a:graphic>
          </wp:anchor>
        </w:drawing>
      </w:r>
    </w:p>
    <w:tbl>
      <w:tblPr>
        <w:tblLayout w:type="fixed"/>
        <w:tblInd w:w="20" w:type="dxa"/>
        <w:tblCellMar>
          <w:top w:w="0" w:type="dxa"/>
          <w:left w:w="0" w:type="dxa"/>
          <w:bottom w:w="0" w:type="dxa"/>
          <w:right w:w="0" w:type="dxa"/>
        </w:tblCellMar>
      </w:tblPr>
      <w:tr>
        <w:trPr>
          <w:trHeight w:val="216"/>
        </w:trPr>
        <w:tc>
          <w:tcPr>
            <w:tcW w:w="3160" w:type="dxa"/>
            <w:vAlign w:val="bottom"/>
          </w:tcPr>
          <w:p>
            <w:pPr>
              <w:spacing w:after="0"/>
              <w:rPr>
                <w:sz w:val="18"/>
                <w:szCs w:val="18"/>
                <w:color w:val="auto"/>
              </w:rPr>
            </w:pPr>
          </w:p>
        </w:tc>
        <w:tc>
          <w:tcPr>
            <w:tcW w:w="1420" w:type="dxa"/>
            <w:vAlign w:val="bottom"/>
          </w:tcPr>
          <w:p>
            <w:pPr>
              <w:ind w:left="40"/>
              <w:spacing w:after="0"/>
              <w:rPr>
                <w:sz w:val="20"/>
                <w:szCs w:val="20"/>
                <w:color w:val="auto"/>
              </w:rPr>
            </w:pPr>
            <w:r>
              <w:rPr>
                <w:rFonts w:ascii="Arial" w:cs="Arial" w:eastAsia="Arial" w:hAnsi="Arial"/>
                <w:sz w:val="18"/>
                <w:szCs w:val="18"/>
                <w:color w:val="auto"/>
                <w:w w:val="94"/>
              </w:rPr>
              <w:t>Deutsche Leasing</w:t>
            </w:r>
          </w:p>
        </w:tc>
        <w:tc>
          <w:tcPr>
            <w:tcW w:w="162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60" w:type="dxa"/>
            <w:vAlign w:val="bottom"/>
          </w:tcPr>
          <w:p>
            <w:pPr>
              <w:spacing w:after="0"/>
              <w:rPr>
                <w:sz w:val="20"/>
                <w:szCs w:val="20"/>
                <w:color w:val="auto"/>
              </w:rPr>
            </w:pPr>
            <w:r>
              <w:rPr>
                <w:rFonts w:ascii="Arial" w:cs="Arial" w:eastAsia="Arial" w:hAnsi="Arial"/>
                <w:sz w:val="18"/>
                <w:szCs w:val="18"/>
                <w:color w:val="auto"/>
                <w:w w:val="97"/>
              </w:rPr>
              <w:t>transact Elektronische Zahlungssysteme</w:t>
            </w:r>
          </w:p>
        </w:tc>
        <w:tc>
          <w:tcPr>
            <w:tcW w:w="1420" w:type="dxa"/>
            <w:vAlign w:val="bottom"/>
          </w:tcPr>
          <w:p>
            <w:pPr>
              <w:ind w:left="40"/>
              <w:spacing w:after="0"/>
              <w:rPr>
                <w:sz w:val="20"/>
                <w:szCs w:val="20"/>
                <w:color w:val="auto"/>
              </w:rPr>
            </w:pPr>
            <w:r>
              <w:rPr>
                <w:rFonts w:ascii="Arial" w:cs="Arial" w:eastAsia="Arial" w:hAnsi="Arial"/>
                <w:sz w:val="18"/>
                <w:szCs w:val="18"/>
                <w:color w:val="auto"/>
              </w:rPr>
              <w:t>Info. Technology</w:t>
            </w:r>
          </w:p>
        </w:tc>
        <w:tc>
          <w:tcPr>
            <w:tcW w:w="162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160" w:type="dxa"/>
            <w:vAlign w:val="bottom"/>
          </w:tcPr>
          <w:p>
            <w:pPr>
              <w:spacing w:after="0"/>
              <w:rPr>
                <w:sz w:val="20"/>
                <w:szCs w:val="20"/>
                <w:color w:val="auto"/>
              </w:rPr>
            </w:pPr>
            <w:r>
              <w:rPr>
                <w:rFonts w:ascii="Arial" w:cs="Arial" w:eastAsia="Arial" w:hAnsi="Arial"/>
                <w:sz w:val="18"/>
                <w:szCs w:val="18"/>
                <w:color w:val="auto"/>
              </w:rPr>
              <w:t>GmbH</w:t>
            </w:r>
          </w:p>
        </w:tc>
        <w:tc>
          <w:tcPr>
            <w:tcW w:w="1420" w:type="dxa"/>
            <w:vAlign w:val="bottom"/>
          </w:tcPr>
          <w:p>
            <w:pPr>
              <w:ind w:left="40"/>
              <w:spacing w:after="0"/>
              <w:rPr>
                <w:sz w:val="20"/>
                <w:szCs w:val="20"/>
                <w:color w:val="auto"/>
              </w:rPr>
            </w:pPr>
            <w:r>
              <w:rPr>
                <w:rFonts w:ascii="Arial" w:cs="Arial" w:eastAsia="Arial" w:hAnsi="Arial"/>
                <w:sz w:val="18"/>
                <w:szCs w:val="18"/>
                <w:color w:val="auto"/>
              </w:rPr>
              <w:t>GmbH</w:t>
            </w:r>
          </w:p>
        </w:tc>
        <w:tc>
          <w:tcPr>
            <w:tcW w:w="1620" w:type="dxa"/>
            <w:vAlign w:val="bottom"/>
          </w:tcPr>
          <w:p>
            <w:pPr>
              <w:ind w:left="100"/>
              <w:spacing w:after="0"/>
              <w:rPr>
                <w:sz w:val="20"/>
                <w:szCs w:val="20"/>
                <w:color w:val="auto"/>
              </w:rPr>
            </w:pPr>
            <w:r>
              <w:rPr>
                <w:rFonts w:ascii="Arial" w:cs="Arial" w:eastAsia="Arial" w:hAnsi="Arial"/>
                <w:sz w:val="18"/>
                <w:szCs w:val="18"/>
                <w:color w:val="auto"/>
              </w:rPr>
              <w:t>Capital Lease</w:t>
            </w:r>
          </w:p>
        </w:tc>
        <w:tc>
          <w:tcPr>
            <w:tcW w:w="1980" w:type="dxa"/>
            <w:vAlign w:val="bottom"/>
          </w:tcPr>
          <w:p>
            <w:pPr>
              <w:ind w:left="540"/>
              <w:spacing w:after="0"/>
              <w:rPr>
                <w:sz w:val="20"/>
                <w:szCs w:val="20"/>
                <w:color w:val="auto"/>
              </w:rPr>
            </w:pPr>
            <w:r>
              <w:rPr>
                <w:rFonts w:ascii="Arial" w:cs="Arial" w:eastAsia="Arial" w:hAnsi="Arial"/>
                <w:sz w:val="18"/>
                <w:szCs w:val="18"/>
                <w:color w:val="auto"/>
              </w:rPr>
              <w:t>ATMs</w:t>
            </w:r>
          </w:p>
        </w:tc>
        <w:tc>
          <w:tcPr>
            <w:tcW w:w="2060" w:type="dxa"/>
            <w:vAlign w:val="bottom"/>
          </w:tcPr>
          <w:p>
            <w:pPr>
              <w:jc w:val="right"/>
              <w:ind w:right="310"/>
              <w:spacing w:after="0"/>
              <w:rPr>
                <w:sz w:val="20"/>
                <w:szCs w:val="20"/>
                <w:color w:val="auto"/>
              </w:rPr>
            </w:pPr>
            <w:r>
              <w:rPr>
                <w:rFonts w:ascii="Arial" w:cs="Arial" w:eastAsia="Arial" w:hAnsi="Arial"/>
                <w:sz w:val="18"/>
                <w:szCs w:val="18"/>
                <w:color w:val="auto"/>
              </w:rPr>
              <w:t>EUR 38,101</w:t>
            </w:r>
          </w:p>
        </w:tc>
        <w:tc>
          <w:tcPr>
            <w:tcW w:w="1140" w:type="dxa"/>
            <w:vAlign w:val="bottom"/>
          </w:tcPr>
          <w:p>
            <w:pPr>
              <w:jc w:val="right"/>
              <w:spacing w:after="0"/>
              <w:rPr>
                <w:sz w:val="20"/>
                <w:szCs w:val="20"/>
                <w:color w:val="auto"/>
              </w:rPr>
            </w:pPr>
            <w:r>
              <w:rPr>
                <w:rFonts w:ascii="Arial" w:cs="Arial" w:eastAsia="Arial" w:hAnsi="Arial"/>
                <w:sz w:val="18"/>
                <w:szCs w:val="18"/>
                <w:color w:val="auto"/>
              </w:rPr>
              <w:t>51,486</w:t>
            </w:r>
          </w:p>
        </w:tc>
        <w:tc>
          <w:tcPr>
            <w:tcW w:w="0" w:type="dxa"/>
            <w:vAlign w:val="bottom"/>
          </w:tcPr>
          <w:p>
            <w:pPr>
              <w:spacing w:after="0"/>
              <w:rPr>
                <w:sz w:val="1"/>
                <w:szCs w:val="1"/>
                <w:color w:val="auto"/>
              </w:rPr>
            </w:pPr>
          </w:p>
        </w:tc>
      </w:tr>
      <w:tr>
        <w:trPr>
          <w:trHeight w:val="256"/>
        </w:trPr>
        <w:tc>
          <w:tcPr>
            <w:tcW w:w="3160" w:type="dxa"/>
            <w:vAlign w:val="bottom"/>
          </w:tcPr>
          <w:p>
            <w:pPr>
              <w:spacing w:after="0"/>
              <w:rPr>
                <w:sz w:val="22"/>
                <w:szCs w:val="22"/>
                <w:color w:val="auto"/>
              </w:rPr>
            </w:pPr>
          </w:p>
        </w:tc>
        <w:tc>
          <w:tcPr>
            <w:tcW w:w="1420" w:type="dxa"/>
            <w:vAlign w:val="bottom"/>
          </w:tcPr>
          <w:p>
            <w:pPr>
              <w:ind w:left="40"/>
              <w:spacing w:after="0"/>
              <w:rPr>
                <w:sz w:val="20"/>
                <w:szCs w:val="20"/>
                <w:color w:val="auto"/>
              </w:rPr>
            </w:pPr>
            <w:r>
              <w:rPr>
                <w:rFonts w:ascii="Arial" w:cs="Arial" w:eastAsia="Arial" w:hAnsi="Arial"/>
                <w:sz w:val="18"/>
                <w:szCs w:val="18"/>
                <w:color w:val="auto"/>
                <w:w w:val="94"/>
              </w:rPr>
              <w:t>Deutsche Leasing</w:t>
            </w:r>
          </w:p>
        </w:tc>
        <w:tc>
          <w:tcPr>
            <w:tcW w:w="1620" w:type="dxa"/>
            <w:vAlign w:val="bottom"/>
          </w:tcPr>
          <w:p>
            <w:pPr>
              <w:spacing w:after="0"/>
              <w:rPr>
                <w:sz w:val="22"/>
                <w:szCs w:val="22"/>
                <w:color w:val="auto"/>
              </w:rPr>
            </w:pPr>
          </w:p>
        </w:tc>
        <w:tc>
          <w:tcPr>
            <w:tcW w:w="1980" w:type="dxa"/>
            <w:vAlign w:val="bottom"/>
          </w:tcPr>
          <w:p>
            <w:pPr>
              <w:spacing w:after="0"/>
              <w:rPr>
                <w:sz w:val="22"/>
                <w:szCs w:val="22"/>
                <w:color w:val="auto"/>
              </w:rPr>
            </w:pPr>
          </w:p>
        </w:tc>
        <w:tc>
          <w:tcPr>
            <w:tcW w:w="206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3160" w:type="dxa"/>
            <w:vAlign w:val="bottom"/>
          </w:tcPr>
          <w:p>
            <w:pPr>
              <w:spacing w:after="0"/>
              <w:rPr>
                <w:sz w:val="20"/>
                <w:szCs w:val="20"/>
                <w:color w:val="auto"/>
              </w:rPr>
            </w:pPr>
            <w:r>
              <w:rPr>
                <w:rFonts w:ascii="Arial" w:cs="Arial" w:eastAsia="Arial" w:hAnsi="Arial"/>
                <w:sz w:val="18"/>
                <w:szCs w:val="18"/>
                <w:color w:val="auto"/>
                <w:w w:val="97"/>
              </w:rPr>
              <w:t>transact Elektronische Zahlungssysteme</w:t>
            </w:r>
          </w:p>
        </w:tc>
        <w:tc>
          <w:tcPr>
            <w:tcW w:w="1420" w:type="dxa"/>
            <w:vAlign w:val="bottom"/>
          </w:tcPr>
          <w:p>
            <w:pPr>
              <w:ind w:left="40"/>
              <w:spacing w:after="0"/>
              <w:rPr>
                <w:sz w:val="20"/>
                <w:szCs w:val="20"/>
                <w:color w:val="auto"/>
              </w:rPr>
            </w:pPr>
            <w:r>
              <w:rPr>
                <w:rFonts w:ascii="Arial" w:cs="Arial" w:eastAsia="Arial" w:hAnsi="Arial"/>
                <w:sz w:val="18"/>
                <w:szCs w:val="18"/>
                <w:color w:val="auto"/>
              </w:rPr>
              <w:t>Info. Technology</w:t>
            </w:r>
          </w:p>
        </w:tc>
        <w:tc>
          <w:tcPr>
            <w:tcW w:w="162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160" w:type="dxa"/>
            <w:vAlign w:val="bottom"/>
          </w:tcPr>
          <w:p>
            <w:pPr>
              <w:spacing w:after="0"/>
              <w:rPr>
                <w:sz w:val="20"/>
                <w:szCs w:val="20"/>
                <w:color w:val="auto"/>
              </w:rPr>
            </w:pPr>
            <w:r>
              <w:rPr>
                <w:rFonts w:ascii="Arial" w:cs="Arial" w:eastAsia="Arial" w:hAnsi="Arial"/>
                <w:sz w:val="18"/>
                <w:szCs w:val="18"/>
                <w:color w:val="auto"/>
              </w:rPr>
              <w:t>GmbH</w:t>
            </w:r>
          </w:p>
        </w:tc>
        <w:tc>
          <w:tcPr>
            <w:tcW w:w="1420" w:type="dxa"/>
            <w:vAlign w:val="bottom"/>
          </w:tcPr>
          <w:p>
            <w:pPr>
              <w:ind w:left="40"/>
              <w:spacing w:after="0"/>
              <w:rPr>
                <w:sz w:val="20"/>
                <w:szCs w:val="20"/>
                <w:color w:val="auto"/>
              </w:rPr>
            </w:pPr>
            <w:r>
              <w:rPr>
                <w:rFonts w:ascii="Arial" w:cs="Arial" w:eastAsia="Arial" w:hAnsi="Arial"/>
                <w:sz w:val="18"/>
                <w:szCs w:val="18"/>
                <w:color w:val="auto"/>
              </w:rPr>
              <w:t>GmbH</w:t>
            </w:r>
          </w:p>
        </w:tc>
        <w:tc>
          <w:tcPr>
            <w:tcW w:w="1620" w:type="dxa"/>
            <w:vAlign w:val="bottom"/>
          </w:tcPr>
          <w:p>
            <w:pPr>
              <w:ind w:left="100"/>
              <w:spacing w:after="0"/>
              <w:rPr>
                <w:sz w:val="20"/>
                <w:szCs w:val="20"/>
                <w:color w:val="auto"/>
              </w:rPr>
            </w:pPr>
            <w:r>
              <w:rPr>
                <w:rFonts w:ascii="Arial" w:cs="Arial" w:eastAsia="Arial" w:hAnsi="Arial"/>
                <w:sz w:val="18"/>
                <w:szCs w:val="18"/>
                <w:color w:val="auto"/>
              </w:rPr>
              <w:t>Capital Lease</w:t>
            </w:r>
          </w:p>
        </w:tc>
        <w:tc>
          <w:tcPr>
            <w:tcW w:w="1980" w:type="dxa"/>
            <w:vAlign w:val="bottom"/>
          </w:tcPr>
          <w:p>
            <w:pPr>
              <w:ind w:left="540"/>
              <w:spacing w:after="0"/>
              <w:rPr>
                <w:sz w:val="20"/>
                <w:szCs w:val="20"/>
                <w:color w:val="auto"/>
              </w:rPr>
            </w:pPr>
            <w:r>
              <w:rPr>
                <w:rFonts w:ascii="Arial" w:cs="Arial" w:eastAsia="Arial" w:hAnsi="Arial"/>
                <w:sz w:val="18"/>
                <w:szCs w:val="18"/>
                <w:color w:val="auto"/>
              </w:rPr>
              <w:t>ATMs</w:t>
            </w:r>
          </w:p>
        </w:tc>
        <w:tc>
          <w:tcPr>
            <w:tcW w:w="2060" w:type="dxa"/>
            <w:vAlign w:val="bottom"/>
          </w:tcPr>
          <w:p>
            <w:pPr>
              <w:jc w:val="right"/>
              <w:ind w:right="310"/>
              <w:spacing w:after="0"/>
              <w:rPr>
                <w:sz w:val="20"/>
                <w:szCs w:val="20"/>
                <w:color w:val="auto"/>
              </w:rPr>
            </w:pPr>
            <w:r>
              <w:rPr>
                <w:rFonts w:ascii="Arial" w:cs="Arial" w:eastAsia="Arial" w:hAnsi="Arial"/>
                <w:sz w:val="18"/>
                <w:szCs w:val="18"/>
                <w:color w:val="auto"/>
              </w:rPr>
              <w:t>EUR 120,279</w:t>
            </w:r>
          </w:p>
        </w:tc>
        <w:tc>
          <w:tcPr>
            <w:tcW w:w="1140" w:type="dxa"/>
            <w:vAlign w:val="bottom"/>
          </w:tcPr>
          <w:p>
            <w:pPr>
              <w:jc w:val="right"/>
              <w:spacing w:after="0"/>
              <w:rPr>
                <w:sz w:val="20"/>
                <w:szCs w:val="20"/>
                <w:color w:val="auto"/>
              </w:rPr>
            </w:pPr>
            <w:r>
              <w:rPr>
                <w:rFonts w:ascii="Arial" w:cs="Arial" w:eastAsia="Arial" w:hAnsi="Arial"/>
                <w:sz w:val="18"/>
                <w:szCs w:val="18"/>
                <w:color w:val="auto"/>
              </w:rPr>
              <w:t>162,533</w:t>
            </w:r>
          </w:p>
        </w:tc>
        <w:tc>
          <w:tcPr>
            <w:tcW w:w="0" w:type="dxa"/>
            <w:vAlign w:val="bottom"/>
          </w:tcPr>
          <w:p>
            <w:pPr>
              <w:spacing w:after="0"/>
              <w:rPr>
                <w:sz w:val="1"/>
                <w:szCs w:val="1"/>
                <w:color w:val="auto"/>
              </w:rPr>
            </w:pPr>
          </w:p>
        </w:tc>
      </w:tr>
      <w:tr>
        <w:trPr>
          <w:trHeight w:val="27"/>
        </w:trPr>
        <w:tc>
          <w:tcPr>
            <w:tcW w:w="3160" w:type="dxa"/>
            <w:vAlign w:val="bottom"/>
            <w:vMerge w:val="restart"/>
          </w:tcPr>
          <w:p>
            <w:pPr>
              <w:spacing w:after="0"/>
              <w:rPr>
                <w:sz w:val="20"/>
                <w:szCs w:val="20"/>
                <w:color w:val="auto"/>
              </w:rPr>
            </w:pPr>
            <w:r>
              <w:rPr>
                <w:rFonts w:ascii="Arial" w:cs="Arial" w:eastAsia="Arial" w:hAnsi="Arial"/>
                <w:sz w:val="18"/>
                <w:szCs w:val="18"/>
                <w:b w:val="1"/>
                <w:bCs w:val="1"/>
                <w:color w:val="auto"/>
                <w:w w:val="89"/>
              </w:rPr>
              <w:t>transact Elektronische Zahlungssysteme</w:t>
            </w:r>
          </w:p>
        </w:tc>
        <w:tc>
          <w:tcPr>
            <w:tcW w:w="14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980" w:type="dxa"/>
            <w:vAlign w:val="bottom"/>
          </w:tcPr>
          <w:p>
            <w:pPr>
              <w:spacing w:after="0"/>
              <w:rPr>
                <w:sz w:val="2"/>
                <w:szCs w:val="2"/>
                <w:color w:val="auto"/>
              </w:rPr>
            </w:pPr>
          </w:p>
        </w:tc>
        <w:tc>
          <w:tcPr>
            <w:tcW w:w="20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5"/>
        </w:trPr>
        <w:tc>
          <w:tcPr>
            <w:tcW w:w="3160" w:type="dxa"/>
            <w:vAlign w:val="bottom"/>
            <w:vMerge w:val="continue"/>
          </w:tcPr>
          <w:p>
            <w:pPr>
              <w:spacing w:after="0"/>
              <w:rPr>
                <w:sz w:val="17"/>
                <w:szCs w:val="17"/>
                <w:color w:val="auto"/>
              </w:rPr>
            </w:pPr>
          </w:p>
        </w:tc>
        <w:tc>
          <w:tcPr>
            <w:tcW w:w="142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1980" w:type="dxa"/>
            <w:vAlign w:val="bottom"/>
          </w:tcPr>
          <w:p>
            <w:pPr>
              <w:spacing w:after="0"/>
              <w:rPr>
                <w:sz w:val="17"/>
                <w:szCs w:val="17"/>
                <w:color w:val="auto"/>
              </w:rPr>
            </w:pPr>
          </w:p>
        </w:tc>
        <w:tc>
          <w:tcPr>
            <w:tcW w:w="20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160" w:type="dxa"/>
            <w:vAlign w:val="bottom"/>
          </w:tcPr>
          <w:p>
            <w:pPr>
              <w:spacing w:after="0"/>
              <w:rPr>
                <w:sz w:val="20"/>
                <w:szCs w:val="20"/>
                <w:color w:val="auto"/>
              </w:rPr>
            </w:pPr>
            <w:r>
              <w:rPr>
                <w:rFonts w:ascii="Arial" w:cs="Arial" w:eastAsia="Arial" w:hAnsi="Arial"/>
                <w:sz w:val="18"/>
                <w:szCs w:val="18"/>
                <w:b w:val="1"/>
                <w:bCs w:val="1"/>
                <w:color w:val="auto"/>
              </w:rPr>
              <w:t>GmbH Total</w:t>
            </w:r>
          </w:p>
        </w:tc>
        <w:tc>
          <w:tcPr>
            <w:tcW w:w="142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1980" w:type="dxa"/>
            <w:vAlign w:val="bottom"/>
          </w:tcPr>
          <w:p>
            <w:pPr>
              <w:spacing w:after="0"/>
              <w:rPr>
                <w:sz w:val="20"/>
                <w:szCs w:val="20"/>
                <w:color w:val="auto"/>
              </w:rPr>
            </w:pPr>
          </w:p>
        </w:tc>
        <w:tc>
          <w:tcPr>
            <w:tcW w:w="2060" w:type="dxa"/>
            <w:vAlign w:val="bottom"/>
          </w:tcPr>
          <w:p>
            <w:pPr>
              <w:jc w:val="right"/>
              <w:ind w:right="310"/>
              <w:spacing w:after="0"/>
              <w:rPr>
                <w:sz w:val="20"/>
                <w:szCs w:val="20"/>
                <w:color w:val="auto"/>
              </w:rPr>
            </w:pPr>
            <w:r>
              <w:rPr>
                <w:rFonts w:ascii="Arial" w:cs="Arial" w:eastAsia="Arial" w:hAnsi="Arial"/>
                <w:sz w:val="18"/>
                <w:szCs w:val="18"/>
                <w:b w:val="1"/>
                <w:bCs w:val="1"/>
                <w:color w:val="auto"/>
              </w:rPr>
              <w:t>EUR 2,140,406</w:t>
            </w:r>
          </w:p>
        </w:tc>
        <w:tc>
          <w:tcPr>
            <w:tcW w:w="1140" w:type="dxa"/>
            <w:vAlign w:val="bottom"/>
          </w:tcPr>
          <w:p>
            <w:pPr>
              <w:jc w:val="right"/>
              <w:spacing w:after="0"/>
              <w:rPr>
                <w:sz w:val="20"/>
                <w:szCs w:val="20"/>
                <w:color w:val="auto"/>
              </w:rPr>
            </w:pPr>
            <w:r>
              <w:rPr>
                <w:rFonts w:ascii="Arial" w:cs="Arial" w:eastAsia="Arial" w:hAnsi="Arial"/>
                <w:sz w:val="18"/>
                <w:szCs w:val="18"/>
                <w:b w:val="1"/>
                <w:bCs w:val="1"/>
                <w:color w:val="auto"/>
              </w:rPr>
              <w:t>2,892,331</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48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780" w:type="dxa"/>
            <w:vAlign w:val="bottom"/>
          </w:tcPr>
          <w:p>
            <w:pPr>
              <w:ind w:left="340"/>
              <w:spacing w:after="0"/>
              <w:rPr>
                <w:sz w:val="20"/>
                <w:szCs w:val="20"/>
                <w:color w:val="auto"/>
              </w:rPr>
            </w:pPr>
            <w:r>
              <w:rPr>
                <w:rFonts w:ascii="Arial" w:cs="Arial" w:eastAsia="Arial" w:hAnsi="Arial"/>
                <w:sz w:val="18"/>
                <w:szCs w:val="18"/>
                <w:color w:val="auto"/>
              </w:rPr>
              <w:t>Accounting</w:t>
            </w:r>
          </w:p>
        </w:tc>
        <w:tc>
          <w:tcPr>
            <w:tcW w:w="170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000" w:type="dxa"/>
            <w:vAlign w:val="bottom"/>
            <w:gridSpan w:val="3"/>
          </w:tcPr>
          <w:p>
            <w:pPr>
              <w:ind w:left="20"/>
              <w:spacing w:after="0"/>
              <w:rPr>
                <w:sz w:val="20"/>
                <w:szCs w:val="20"/>
                <w:color w:val="auto"/>
              </w:rPr>
            </w:pPr>
            <w:r>
              <w:rPr>
                <w:rFonts w:ascii="Arial" w:cs="Arial" w:eastAsia="Arial" w:hAnsi="Arial"/>
                <w:sz w:val="18"/>
                <w:szCs w:val="18"/>
                <w:color w:val="auto"/>
              </w:rPr>
              <w:t>Pure Commerce Pty Limited</w:t>
            </w:r>
          </w:p>
        </w:tc>
        <w:tc>
          <w:tcPr>
            <w:tcW w:w="1680" w:type="dxa"/>
            <w:vAlign w:val="bottom"/>
          </w:tcPr>
          <w:p>
            <w:pPr>
              <w:ind w:left="240"/>
              <w:spacing w:after="0"/>
              <w:rPr>
                <w:sz w:val="20"/>
                <w:szCs w:val="20"/>
                <w:color w:val="auto"/>
              </w:rPr>
            </w:pPr>
            <w:r>
              <w:rPr>
                <w:rFonts w:ascii="Arial" w:cs="Arial" w:eastAsia="Arial" w:hAnsi="Arial"/>
                <w:sz w:val="18"/>
                <w:szCs w:val="18"/>
                <w:color w:val="auto"/>
              </w:rPr>
              <w:t>IBM</w:t>
            </w:r>
          </w:p>
        </w:tc>
        <w:tc>
          <w:tcPr>
            <w:tcW w:w="1740" w:type="dxa"/>
            <w:vAlign w:val="bottom"/>
          </w:tcPr>
          <w:p>
            <w:pPr>
              <w:ind w:left="40"/>
              <w:spacing w:after="0"/>
              <w:rPr>
                <w:sz w:val="20"/>
                <w:szCs w:val="20"/>
                <w:color w:val="auto"/>
              </w:rPr>
            </w:pPr>
            <w:r>
              <w:rPr>
                <w:rFonts w:ascii="Arial" w:cs="Arial" w:eastAsia="Arial" w:hAnsi="Arial"/>
                <w:sz w:val="18"/>
                <w:szCs w:val="18"/>
                <w:color w:val="auto"/>
              </w:rPr>
              <w:t>Capital Lease</w:t>
            </w:r>
          </w:p>
        </w:tc>
        <w:tc>
          <w:tcPr>
            <w:tcW w:w="1780" w:type="dxa"/>
            <w:vAlign w:val="bottom"/>
          </w:tcPr>
          <w:p>
            <w:pPr>
              <w:ind w:left="340"/>
              <w:spacing w:after="0"/>
              <w:rPr>
                <w:sz w:val="20"/>
                <w:szCs w:val="20"/>
                <w:color w:val="auto"/>
              </w:rPr>
            </w:pPr>
            <w:r>
              <w:rPr>
                <w:rFonts w:ascii="Arial" w:cs="Arial" w:eastAsia="Arial" w:hAnsi="Arial"/>
                <w:sz w:val="18"/>
                <w:szCs w:val="18"/>
                <w:color w:val="auto"/>
              </w:rPr>
              <w:t>Software</w:t>
            </w:r>
          </w:p>
        </w:tc>
        <w:tc>
          <w:tcPr>
            <w:tcW w:w="1700" w:type="dxa"/>
            <w:vAlign w:val="bottom"/>
          </w:tcPr>
          <w:p>
            <w:pPr>
              <w:jc w:val="right"/>
              <w:spacing w:after="0"/>
              <w:rPr>
                <w:sz w:val="20"/>
                <w:szCs w:val="20"/>
                <w:color w:val="auto"/>
              </w:rPr>
            </w:pPr>
            <w:r>
              <w:rPr>
                <w:rFonts w:ascii="Arial" w:cs="Arial" w:eastAsia="Arial" w:hAnsi="Arial"/>
                <w:sz w:val="18"/>
                <w:szCs w:val="18"/>
                <w:color w:val="auto"/>
              </w:rPr>
              <w:t>AUD 59,715</w:t>
            </w:r>
          </w:p>
        </w:tc>
        <w:tc>
          <w:tcPr>
            <w:tcW w:w="1500" w:type="dxa"/>
            <w:vAlign w:val="bottom"/>
          </w:tcPr>
          <w:p>
            <w:pPr>
              <w:jc w:val="right"/>
              <w:spacing w:after="0"/>
              <w:rPr>
                <w:sz w:val="20"/>
                <w:szCs w:val="20"/>
                <w:color w:val="auto"/>
              </w:rPr>
            </w:pPr>
            <w:r>
              <w:rPr>
                <w:rFonts w:ascii="Arial" w:cs="Arial" w:eastAsia="Arial" w:hAnsi="Arial"/>
                <w:sz w:val="18"/>
                <w:szCs w:val="18"/>
                <w:color w:val="auto"/>
              </w:rPr>
              <w:t>51,988</w:t>
            </w:r>
          </w:p>
        </w:tc>
        <w:tc>
          <w:tcPr>
            <w:tcW w:w="0" w:type="dxa"/>
            <w:vAlign w:val="bottom"/>
          </w:tcPr>
          <w:p>
            <w:pPr>
              <w:spacing w:after="0"/>
              <w:rPr>
                <w:sz w:val="1"/>
                <w:szCs w:val="1"/>
                <w:color w:val="auto"/>
              </w:rPr>
            </w:pPr>
          </w:p>
        </w:tc>
      </w:tr>
      <w:tr>
        <w:trPr>
          <w:trHeight w:val="284"/>
        </w:trPr>
        <w:tc>
          <w:tcPr>
            <w:tcW w:w="3000" w:type="dxa"/>
            <w:vAlign w:val="bottom"/>
            <w:gridSpan w:val="3"/>
          </w:tcPr>
          <w:p>
            <w:pPr>
              <w:ind w:left="20"/>
              <w:spacing w:after="0"/>
              <w:rPr>
                <w:sz w:val="20"/>
                <w:szCs w:val="20"/>
                <w:color w:val="auto"/>
              </w:rPr>
            </w:pPr>
            <w:r>
              <w:rPr>
                <w:rFonts w:ascii="Arial" w:cs="Arial" w:eastAsia="Arial" w:hAnsi="Arial"/>
                <w:sz w:val="18"/>
                <w:szCs w:val="18"/>
                <w:color w:val="auto"/>
              </w:rPr>
              <w:t>Pure Commerce Pty Limited</w:t>
            </w:r>
          </w:p>
        </w:tc>
        <w:tc>
          <w:tcPr>
            <w:tcW w:w="1680" w:type="dxa"/>
            <w:vAlign w:val="bottom"/>
          </w:tcPr>
          <w:p>
            <w:pPr>
              <w:ind w:left="240"/>
              <w:spacing w:after="0"/>
              <w:rPr>
                <w:sz w:val="20"/>
                <w:szCs w:val="20"/>
                <w:color w:val="auto"/>
              </w:rPr>
            </w:pPr>
            <w:r>
              <w:rPr>
                <w:rFonts w:ascii="Arial" w:cs="Arial" w:eastAsia="Arial" w:hAnsi="Arial"/>
                <w:sz w:val="18"/>
                <w:szCs w:val="18"/>
                <w:color w:val="auto"/>
              </w:rPr>
              <w:t>Microsoft</w:t>
            </w:r>
          </w:p>
        </w:tc>
        <w:tc>
          <w:tcPr>
            <w:tcW w:w="1740" w:type="dxa"/>
            <w:vAlign w:val="bottom"/>
          </w:tcPr>
          <w:p>
            <w:pPr>
              <w:ind w:left="40"/>
              <w:spacing w:after="0"/>
              <w:rPr>
                <w:sz w:val="20"/>
                <w:szCs w:val="20"/>
                <w:color w:val="auto"/>
              </w:rPr>
            </w:pPr>
            <w:r>
              <w:rPr>
                <w:rFonts w:ascii="Arial" w:cs="Arial" w:eastAsia="Arial" w:hAnsi="Arial"/>
                <w:sz w:val="18"/>
                <w:szCs w:val="18"/>
                <w:color w:val="auto"/>
              </w:rPr>
              <w:t>Capital Lease</w:t>
            </w:r>
          </w:p>
        </w:tc>
        <w:tc>
          <w:tcPr>
            <w:tcW w:w="1780" w:type="dxa"/>
            <w:vAlign w:val="bottom"/>
          </w:tcPr>
          <w:p>
            <w:pPr>
              <w:ind w:left="340"/>
              <w:spacing w:after="0"/>
              <w:rPr>
                <w:sz w:val="20"/>
                <w:szCs w:val="20"/>
                <w:color w:val="auto"/>
              </w:rPr>
            </w:pPr>
            <w:r>
              <w:rPr>
                <w:rFonts w:ascii="Arial" w:cs="Arial" w:eastAsia="Arial" w:hAnsi="Arial"/>
                <w:sz w:val="18"/>
                <w:szCs w:val="18"/>
                <w:color w:val="auto"/>
              </w:rPr>
              <w:t>Copier/Printer</w:t>
            </w:r>
          </w:p>
        </w:tc>
        <w:tc>
          <w:tcPr>
            <w:tcW w:w="1700" w:type="dxa"/>
            <w:vAlign w:val="bottom"/>
          </w:tcPr>
          <w:p>
            <w:pPr>
              <w:jc w:val="right"/>
              <w:spacing w:after="0"/>
              <w:rPr>
                <w:sz w:val="20"/>
                <w:szCs w:val="20"/>
                <w:color w:val="auto"/>
              </w:rPr>
            </w:pPr>
            <w:r>
              <w:rPr>
                <w:rFonts w:ascii="Arial" w:cs="Arial" w:eastAsia="Arial" w:hAnsi="Arial"/>
                <w:sz w:val="18"/>
                <w:szCs w:val="18"/>
                <w:color w:val="auto"/>
              </w:rPr>
              <w:t>AUD 16,688</w:t>
            </w:r>
          </w:p>
        </w:tc>
        <w:tc>
          <w:tcPr>
            <w:tcW w:w="1500" w:type="dxa"/>
            <w:vAlign w:val="bottom"/>
          </w:tcPr>
          <w:p>
            <w:pPr>
              <w:jc w:val="right"/>
              <w:spacing w:after="0"/>
              <w:rPr>
                <w:sz w:val="20"/>
                <w:szCs w:val="20"/>
                <w:color w:val="auto"/>
              </w:rPr>
            </w:pPr>
            <w:r>
              <w:rPr>
                <w:rFonts w:ascii="Arial" w:cs="Arial" w:eastAsia="Arial" w:hAnsi="Arial"/>
                <w:sz w:val="18"/>
                <w:szCs w:val="18"/>
                <w:color w:val="auto"/>
              </w:rPr>
              <w:t>14,529</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00" w:type="dxa"/>
            <w:vAlign w:val="bottom"/>
          </w:tcPr>
          <w:p>
            <w:pPr>
              <w:spacing w:after="0"/>
              <w:rPr>
                <w:sz w:val="2"/>
                <w:szCs w:val="2"/>
                <w:color w:val="auto"/>
              </w:rPr>
            </w:pPr>
          </w:p>
        </w:tc>
        <w:tc>
          <w:tcPr>
            <w:tcW w:w="248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780" w:type="dxa"/>
            <w:vAlign w:val="bottom"/>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000" w:type="dxa"/>
            <w:vAlign w:val="bottom"/>
            <w:gridSpan w:val="3"/>
          </w:tcPr>
          <w:p>
            <w:pPr>
              <w:ind w:left="20"/>
              <w:spacing w:after="0"/>
              <w:rPr>
                <w:sz w:val="20"/>
                <w:szCs w:val="20"/>
                <w:color w:val="auto"/>
              </w:rPr>
            </w:pPr>
            <w:r>
              <w:rPr>
                <w:rFonts w:ascii="Arial" w:cs="Arial" w:eastAsia="Arial" w:hAnsi="Arial"/>
                <w:sz w:val="18"/>
                <w:szCs w:val="18"/>
                <w:b w:val="1"/>
                <w:bCs w:val="1"/>
                <w:color w:val="auto"/>
              </w:rPr>
              <w:t>Pure Commerce Pty Limited Total</w:t>
            </w:r>
          </w:p>
        </w:tc>
        <w:tc>
          <w:tcPr>
            <w:tcW w:w="168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1700" w:type="dxa"/>
            <w:vAlign w:val="bottom"/>
          </w:tcPr>
          <w:p>
            <w:pPr>
              <w:jc w:val="right"/>
              <w:spacing w:after="0"/>
              <w:rPr>
                <w:sz w:val="20"/>
                <w:szCs w:val="20"/>
                <w:color w:val="auto"/>
              </w:rPr>
            </w:pPr>
            <w:r>
              <w:rPr>
                <w:rFonts w:ascii="Arial" w:cs="Arial" w:eastAsia="Arial" w:hAnsi="Arial"/>
                <w:sz w:val="18"/>
                <w:szCs w:val="18"/>
                <w:b w:val="1"/>
                <w:bCs w:val="1"/>
                <w:color w:val="auto"/>
              </w:rPr>
              <w:t>AUD 76,404</w:t>
            </w:r>
          </w:p>
        </w:tc>
        <w:tc>
          <w:tcPr>
            <w:tcW w:w="1500" w:type="dxa"/>
            <w:vAlign w:val="bottom"/>
          </w:tcPr>
          <w:p>
            <w:pPr>
              <w:jc w:val="right"/>
              <w:spacing w:after="0"/>
              <w:rPr>
                <w:sz w:val="20"/>
                <w:szCs w:val="20"/>
                <w:color w:val="auto"/>
              </w:rPr>
            </w:pPr>
            <w:r>
              <w:rPr>
                <w:rFonts w:ascii="Arial" w:cs="Arial" w:eastAsia="Arial" w:hAnsi="Arial"/>
                <w:sz w:val="18"/>
                <w:szCs w:val="18"/>
                <w:b w:val="1"/>
                <w:bCs w:val="1"/>
                <w:color w:val="auto"/>
              </w:rPr>
              <w:t>66,517</w:t>
            </w:r>
          </w:p>
        </w:tc>
        <w:tc>
          <w:tcPr>
            <w:tcW w:w="0" w:type="dxa"/>
            <w:vAlign w:val="bottom"/>
          </w:tcPr>
          <w:p>
            <w:pPr>
              <w:spacing w:after="0"/>
              <w:rPr>
                <w:sz w:val="1"/>
                <w:szCs w:val="1"/>
                <w:color w:val="auto"/>
              </w:rPr>
            </w:pPr>
          </w:p>
        </w:tc>
      </w:tr>
      <w:tr>
        <w:trPr>
          <w:trHeight w:val="782"/>
        </w:trPr>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480" w:type="dxa"/>
            <w:vAlign w:val="bottom"/>
          </w:tcPr>
          <w:p>
            <w:pPr>
              <w:spacing w:after="0"/>
              <w:rPr>
                <w:sz w:val="24"/>
                <w:szCs w:val="24"/>
                <w:color w:val="auto"/>
              </w:rPr>
            </w:pPr>
          </w:p>
        </w:tc>
        <w:tc>
          <w:tcPr>
            <w:tcW w:w="1680" w:type="dxa"/>
            <w:vAlign w:val="bottom"/>
          </w:tcPr>
          <w:p>
            <w:pPr>
              <w:ind w:left="240"/>
              <w:spacing w:after="0"/>
              <w:rPr>
                <w:sz w:val="20"/>
                <w:szCs w:val="20"/>
                <w:color w:val="auto"/>
              </w:rPr>
            </w:pPr>
            <w:r>
              <w:rPr>
                <w:rFonts w:ascii="Arial" w:cs="Arial" w:eastAsia="Arial" w:hAnsi="Arial"/>
                <w:sz w:val="18"/>
                <w:szCs w:val="18"/>
                <w:color w:val="auto"/>
                <w:w w:val="95"/>
              </w:rPr>
              <w:t>Ricoh El Salvador,</w:t>
            </w:r>
          </w:p>
        </w:tc>
        <w:tc>
          <w:tcPr>
            <w:tcW w:w="174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3000" w:type="dxa"/>
            <w:vAlign w:val="bottom"/>
            <w:gridSpan w:val="3"/>
          </w:tcPr>
          <w:p>
            <w:pPr>
              <w:ind w:left="20"/>
              <w:spacing w:after="0"/>
              <w:rPr>
                <w:sz w:val="20"/>
                <w:szCs w:val="20"/>
                <w:color w:val="auto"/>
              </w:rPr>
            </w:pPr>
            <w:r>
              <w:rPr>
                <w:rFonts w:ascii="Arial" w:cs="Arial" w:eastAsia="Arial" w:hAnsi="Arial"/>
                <w:sz w:val="18"/>
                <w:szCs w:val="18"/>
                <w:color w:val="auto"/>
              </w:rPr>
              <w:t>RIA de Centroamérica, S.A. de C.V.</w:t>
            </w:r>
          </w:p>
        </w:tc>
        <w:tc>
          <w:tcPr>
            <w:tcW w:w="1680" w:type="dxa"/>
            <w:vAlign w:val="bottom"/>
          </w:tcPr>
          <w:p>
            <w:pPr>
              <w:ind w:left="240"/>
              <w:spacing w:after="0"/>
              <w:rPr>
                <w:sz w:val="20"/>
                <w:szCs w:val="20"/>
                <w:color w:val="auto"/>
              </w:rPr>
            </w:pPr>
            <w:r>
              <w:rPr>
                <w:rFonts w:ascii="Arial" w:cs="Arial" w:eastAsia="Arial" w:hAnsi="Arial"/>
                <w:sz w:val="18"/>
                <w:szCs w:val="18"/>
                <w:color w:val="auto"/>
              </w:rPr>
              <w:t>S.A. de C.V.</w:t>
            </w:r>
          </w:p>
        </w:tc>
        <w:tc>
          <w:tcPr>
            <w:tcW w:w="1740" w:type="dxa"/>
            <w:vAlign w:val="bottom"/>
          </w:tcPr>
          <w:p>
            <w:pPr>
              <w:ind w:left="40"/>
              <w:spacing w:after="0"/>
              <w:rPr>
                <w:sz w:val="20"/>
                <w:szCs w:val="20"/>
                <w:color w:val="auto"/>
              </w:rPr>
            </w:pPr>
            <w:r>
              <w:rPr>
                <w:rFonts w:ascii="Arial" w:cs="Arial" w:eastAsia="Arial" w:hAnsi="Arial"/>
                <w:sz w:val="18"/>
                <w:szCs w:val="18"/>
                <w:color w:val="auto"/>
              </w:rPr>
              <w:t>Capital Lease</w:t>
            </w:r>
          </w:p>
        </w:tc>
        <w:tc>
          <w:tcPr>
            <w:tcW w:w="1780" w:type="dxa"/>
            <w:vAlign w:val="bottom"/>
          </w:tcPr>
          <w:p>
            <w:pPr>
              <w:ind w:left="340"/>
              <w:spacing w:after="0"/>
              <w:rPr>
                <w:sz w:val="20"/>
                <w:szCs w:val="20"/>
                <w:color w:val="auto"/>
              </w:rPr>
            </w:pPr>
            <w:r>
              <w:rPr>
                <w:rFonts w:ascii="Arial" w:cs="Arial" w:eastAsia="Arial" w:hAnsi="Arial"/>
                <w:sz w:val="18"/>
                <w:szCs w:val="18"/>
                <w:color w:val="auto"/>
              </w:rPr>
              <w:t>Copier/Printer</w:t>
            </w:r>
          </w:p>
        </w:tc>
        <w:tc>
          <w:tcPr>
            <w:tcW w:w="1700" w:type="dxa"/>
            <w:vAlign w:val="bottom"/>
          </w:tcPr>
          <w:p>
            <w:pPr>
              <w:jc w:val="right"/>
              <w:spacing w:after="0"/>
              <w:rPr>
                <w:sz w:val="20"/>
                <w:szCs w:val="20"/>
                <w:color w:val="auto"/>
              </w:rPr>
            </w:pPr>
            <w:r>
              <w:rPr>
                <w:rFonts w:ascii="Arial" w:cs="Arial" w:eastAsia="Arial" w:hAnsi="Arial"/>
                <w:sz w:val="18"/>
                <w:szCs w:val="18"/>
                <w:color w:val="auto"/>
              </w:rPr>
              <w:t>USD 4,242</w:t>
            </w:r>
          </w:p>
        </w:tc>
        <w:tc>
          <w:tcPr>
            <w:tcW w:w="1500" w:type="dxa"/>
            <w:vAlign w:val="bottom"/>
          </w:tcPr>
          <w:p>
            <w:pPr>
              <w:jc w:val="right"/>
              <w:spacing w:after="0"/>
              <w:rPr>
                <w:sz w:val="20"/>
                <w:szCs w:val="20"/>
                <w:color w:val="auto"/>
              </w:rPr>
            </w:pPr>
            <w:r>
              <w:rPr>
                <w:rFonts w:ascii="Arial" w:cs="Arial" w:eastAsia="Arial" w:hAnsi="Arial"/>
                <w:sz w:val="18"/>
                <w:szCs w:val="18"/>
                <w:color w:val="auto"/>
              </w:rPr>
              <w:t>4,242</w:t>
            </w:r>
          </w:p>
        </w:tc>
        <w:tc>
          <w:tcPr>
            <w:tcW w:w="0" w:type="dxa"/>
            <w:vAlign w:val="bottom"/>
          </w:tcPr>
          <w:p>
            <w:pPr>
              <w:spacing w:after="0"/>
              <w:rPr>
                <w:sz w:val="1"/>
                <w:szCs w:val="1"/>
                <w:color w:val="auto"/>
              </w:rPr>
            </w:pPr>
          </w:p>
        </w:tc>
      </w:tr>
      <w:tr>
        <w:trPr>
          <w:trHeight w:val="27"/>
        </w:trPr>
        <w:tc>
          <w:tcPr>
            <w:tcW w:w="3000" w:type="dxa"/>
            <w:vAlign w:val="bottom"/>
            <w:gridSpan w:val="3"/>
            <w:vMerge w:val="restart"/>
          </w:tcPr>
          <w:p>
            <w:pPr>
              <w:ind w:left="20"/>
              <w:spacing w:after="0"/>
              <w:rPr>
                <w:sz w:val="20"/>
                <w:szCs w:val="20"/>
                <w:color w:val="auto"/>
              </w:rPr>
            </w:pPr>
            <w:r>
              <w:rPr>
                <w:rFonts w:ascii="Arial" w:cs="Arial" w:eastAsia="Arial" w:hAnsi="Arial"/>
                <w:sz w:val="18"/>
                <w:szCs w:val="18"/>
                <w:b w:val="1"/>
                <w:bCs w:val="1"/>
                <w:color w:val="auto"/>
                <w:w w:val="98"/>
              </w:rPr>
              <w:t>RIA de Centroamérica, S.A. de C.V.</w:t>
            </w:r>
          </w:p>
        </w:tc>
        <w:tc>
          <w:tcPr>
            <w:tcW w:w="168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780" w:type="dxa"/>
            <w:vAlign w:val="bottom"/>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5"/>
        </w:trPr>
        <w:tc>
          <w:tcPr>
            <w:tcW w:w="3000" w:type="dxa"/>
            <w:vAlign w:val="bottom"/>
            <w:gridSpan w:val="3"/>
            <w:vMerge w:val="continue"/>
          </w:tcPr>
          <w:p>
            <w:pPr>
              <w:spacing w:after="0"/>
              <w:rPr>
                <w:sz w:val="17"/>
                <w:szCs w:val="17"/>
                <w:color w:val="auto"/>
              </w:rPr>
            </w:pPr>
          </w:p>
        </w:tc>
        <w:tc>
          <w:tcPr>
            <w:tcW w:w="168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000" w:type="dxa"/>
            <w:vAlign w:val="bottom"/>
            <w:gridSpan w:val="3"/>
          </w:tcPr>
          <w:p>
            <w:pPr>
              <w:ind w:left="20"/>
              <w:spacing w:after="0"/>
              <w:rPr>
                <w:sz w:val="20"/>
                <w:szCs w:val="20"/>
                <w:color w:val="auto"/>
              </w:rPr>
            </w:pPr>
            <w:r>
              <w:rPr>
                <w:rFonts w:ascii="Arial" w:cs="Arial" w:eastAsia="Arial" w:hAnsi="Arial"/>
                <w:sz w:val="18"/>
                <w:szCs w:val="18"/>
                <w:b w:val="1"/>
                <w:bCs w:val="1"/>
                <w:color w:val="auto"/>
              </w:rPr>
              <w:t>Total</w:t>
            </w:r>
          </w:p>
        </w:tc>
        <w:tc>
          <w:tcPr>
            <w:tcW w:w="168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1700" w:type="dxa"/>
            <w:vAlign w:val="bottom"/>
          </w:tcPr>
          <w:p>
            <w:pPr>
              <w:jc w:val="right"/>
              <w:spacing w:after="0"/>
              <w:rPr>
                <w:sz w:val="20"/>
                <w:szCs w:val="20"/>
                <w:color w:val="auto"/>
              </w:rPr>
            </w:pPr>
            <w:r>
              <w:rPr>
                <w:rFonts w:ascii="Arial" w:cs="Arial" w:eastAsia="Arial" w:hAnsi="Arial"/>
                <w:sz w:val="18"/>
                <w:szCs w:val="18"/>
                <w:b w:val="1"/>
                <w:bCs w:val="1"/>
                <w:color w:val="auto"/>
              </w:rPr>
              <w:t>USD 4,242</w:t>
            </w:r>
          </w:p>
        </w:tc>
        <w:tc>
          <w:tcPr>
            <w:tcW w:w="1500" w:type="dxa"/>
            <w:vAlign w:val="bottom"/>
          </w:tcPr>
          <w:p>
            <w:pPr>
              <w:jc w:val="right"/>
              <w:spacing w:after="0"/>
              <w:rPr>
                <w:sz w:val="20"/>
                <w:szCs w:val="20"/>
                <w:color w:val="auto"/>
              </w:rPr>
            </w:pPr>
            <w:r>
              <w:rPr>
                <w:rFonts w:ascii="Arial" w:cs="Arial" w:eastAsia="Arial" w:hAnsi="Arial"/>
                <w:sz w:val="18"/>
                <w:szCs w:val="18"/>
                <w:b w:val="1"/>
                <w:bCs w:val="1"/>
                <w:color w:val="auto"/>
              </w:rPr>
              <w:t>4,242</w:t>
            </w:r>
          </w:p>
        </w:tc>
        <w:tc>
          <w:tcPr>
            <w:tcW w:w="0" w:type="dxa"/>
            <w:vAlign w:val="bottom"/>
          </w:tcPr>
          <w:p>
            <w:pPr>
              <w:spacing w:after="0"/>
              <w:rPr>
                <w:sz w:val="1"/>
                <w:szCs w:val="1"/>
                <w:color w:val="auto"/>
              </w:rPr>
            </w:pPr>
          </w:p>
        </w:tc>
      </w:tr>
      <w:tr>
        <w:trPr>
          <w:trHeight w:val="540"/>
        </w:trPr>
        <w:tc>
          <w:tcPr>
            <w:tcW w:w="20" w:type="dxa"/>
            <w:vAlign w:val="bottom"/>
            <w:tcBorders>
              <w:bottom w:val="single" w:sz="8" w:color="C0C0C0"/>
            </w:tcBorders>
          </w:tcPr>
          <w:p>
            <w:pPr>
              <w:spacing w:after="0"/>
              <w:rPr>
                <w:sz w:val="24"/>
                <w:szCs w:val="24"/>
                <w:color w:val="auto"/>
              </w:rPr>
            </w:pPr>
          </w:p>
        </w:tc>
        <w:tc>
          <w:tcPr>
            <w:tcW w:w="500" w:type="dxa"/>
            <w:vAlign w:val="bottom"/>
            <w:tcBorders>
              <w:bottom w:val="single" w:sz="8" w:color="C0C0C0"/>
            </w:tcBorders>
          </w:tcPr>
          <w:p>
            <w:pPr>
              <w:spacing w:after="0"/>
              <w:rPr>
                <w:sz w:val="24"/>
                <w:szCs w:val="24"/>
                <w:color w:val="auto"/>
              </w:rPr>
            </w:pPr>
          </w:p>
        </w:tc>
        <w:tc>
          <w:tcPr>
            <w:tcW w:w="2480" w:type="dxa"/>
            <w:vAlign w:val="bottom"/>
            <w:tcBorders>
              <w:bottom w:val="single" w:sz="8" w:color="C0C0C0"/>
            </w:tcBorders>
          </w:tcPr>
          <w:p>
            <w:pPr>
              <w:spacing w:after="0"/>
              <w:rPr>
                <w:sz w:val="24"/>
                <w:szCs w:val="24"/>
                <w:color w:val="auto"/>
              </w:rPr>
            </w:pPr>
          </w:p>
        </w:tc>
        <w:tc>
          <w:tcPr>
            <w:tcW w:w="1680" w:type="dxa"/>
            <w:vAlign w:val="bottom"/>
            <w:tcBorders>
              <w:bottom w:val="single" w:sz="8" w:color="C0C0C0"/>
            </w:tcBorders>
          </w:tcPr>
          <w:p>
            <w:pPr>
              <w:spacing w:after="0"/>
              <w:rPr>
                <w:sz w:val="24"/>
                <w:szCs w:val="24"/>
                <w:color w:val="auto"/>
              </w:rPr>
            </w:pPr>
          </w:p>
        </w:tc>
        <w:tc>
          <w:tcPr>
            <w:tcW w:w="1740" w:type="dxa"/>
            <w:vAlign w:val="bottom"/>
            <w:tcBorders>
              <w:bottom w:val="single" w:sz="8" w:color="C0C0C0"/>
            </w:tcBorders>
          </w:tcPr>
          <w:p>
            <w:pPr>
              <w:spacing w:after="0"/>
              <w:rPr>
                <w:sz w:val="24"/>
                <w:szCs w:val="24"/>
                <w:color w:val="auto"/>
              </w:rPr>
            </w:pPr>
          </w:p>
        </w:tc>
        <w:tc>
          <w:tcPr>
            <w:tcW w:w="1780" w:type="dxa"/>
            <w:vAlign w:val="bottom"/>
            <w:tcBorders>
              <w:bottom w:val="single" w:sz="8" w:color="C0C0C0"/>
            </w:tcBorders>
          </w:tcPr>
          <w:p>
            <w:pPr>
              <w:spacing w:after="0"/>
              <w:rPr>
                <w:sz w:val="24"/>
                <w:szCs w:val="24"/>
                <w:color w:val="auto"/>
              </w:rPr>
            </w:pPr>
          </w:p>
        </w:tc>
        <w:tc>
          <w:tcPr>
            <w:tcW w:w="1700" w:type="dxa"/>
            <w:vAlign w:val="bottom"/>
            <w:tcBorders>
              <w:bottom w:val="single" w:sz="8" w:color="C0C0C0"/>
            </w:tcBorders>
          </w:tcPr>
          <w:p>
            <w:pPr>
              <w:spacing w:after="0"/>
              <w:rPr>
                <w:sz w:val="24"/>
                <w:szCs w:val="24"/>
                <w:color w:val="auto"/>
              </w:rPr>
            </w:pPr>
          </w:p>
        </w:tc>
        <w:tc>
          <w:tcPr>
            <w:tcW w:w="15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3000" w:type="dxa"/>
            <w:vAlign w:val="bottom"/>
            <w:tcBorders>
              <w:bottom w:val="single" w:sz="8" w:color="C0C0C0"/>
            </w:tcBorders>
            <w:gridSpan w:val="3"/>
            <w:shd w:val="clear" w:color="auto" w:fill="C0C0C0"/>
          </w:tcPr>
          <w:p>
            <w:pPr>
              <w:ind w:left="20"/>
              <w:spacing w:after="0"/>
              <w:rPr>
                <w:sz w:val="20"/>
                <w:szCs w:val="20"/>
                <w:color w:val="auto"/>
              </w:rPr>
            </w:pPr>
            <w:r>
              <w:rPr>
                <w:rFonts w:ascii="Arial" w:cs="Arial" w:eastAsia="Arial" w:hAnsi="Arial"/>
                <w:sz w:val="18"/>
                <w:szCs w:val="18"/>
                <w:b w:val="1"/>
                <w:bCs w:val="1"/>
                <w:color w:val="auto"/>
              </w:rPr>
              <w:t>Total Capital Lease</w:t>
            </w:r>
          </w:p>
        </w:tc>
        <w:tc>
          <w:tcPr>
            <w:tcW w:w="1680" w:type="dxa"/>
            <w:vAlign w:val="bottom"/>
            <w:tcBorders>
              <w:bottom w:val="single" w:sz="8" w:color="C0C0C0"/>
            </w:tcBorders>
            <w:shd w:val="clear" w:color="auto" w:fill="C0C0C0"/>
          </w:tcPr>
          <w:p>
            <w:pPr>
              <w:spacing w:after="0"/>
              <w:rPr>
                <w:sz w:val="22"/>
                <w:szCs w:val="22"/>
                <w:color w:val="auto"/>
              </w:rPr>
            </w:pPr>
          </w:p>
        </w:tc>
        <w:tc>
          <w:tcPr>
            <w:tcW w:w="1740" w:type="dxa"/>
            <w:vAlign w:val="bottom"/>
            <w:tcBorders>
              <w:bottom w:val="single" w:sz="8" w:color="C0C0C0"/>
            </w:tcBorders>
            <w:shd w:val="clear" w:color="auto" w:fill="C0C0C0"/>
          </w:tcPr>
          <w:p>
            <w:pPr>
              <w:spacing w:after="0"/>
              <w:rPr>
                <w:sz w:val="22"/>
                <w:szCs w:val="22"/>
                <w:color w:val="auto"/>
              </w:rPr>
            </w:pPr>
          </w:p>
        </w:tc>
        <w:tc>
          <w:tcPr>
            <w:tcW w:w="1780" w:type="dxa"/>
            <w:vAlign w:val="bottom"/>
            <w:tcBorders>
              <w:bottom w:val="single" w:sz="8" w:color="C0C0C0"/>
            </w:tcBorders>
            <w:shd w:val="clear" w:color="auto" w:fill="C0C0C0"/>
          </w:tcPr>
          <w:p>
            <w:pPr>
              <w:spacing w:after="0"/>
              <w:rPr>
                <w:sz w:val="22"/>
                <w:szCs w:val="22"/>
                <w:color w:val="auto"/>
              </w:rPr>
            </w:pPr>
          </w:p>
        </w:tc>
        <w:tc>
          <w:tcPr>
            <w:tcW w:w="1700" w:type="dxa"/>
            <w:vAlign w:val="bottom"/>
            <w:tcBorders>
              <w:bottom w:val="single" w:sz="8" w:color="C0C0C0"/>
            </w:tcBorders>
            <w:shd w:val="clear" w:color="auto" w:fill="C0C0C0"/>
          </w:tcPr>
          <w:p>
            <w:pPr>
              <w:spacing w:after="0"/>
              <w:rPr>
                <w:sz w:val="22"/>
                <w:szCs w:val="22"/>
                <w:color w:val="auto"/>
              </w:rPr>
            </w:pPr>
          </w:p>
        </w:tc>
        <w:tc>
          <w:tcPr>
            <w:tcW w:w="1500" w:type="dxa"/>
            <w:vAlign w:val="bottom"/>
            <w:tcBorders>
              <w:bottom w:val="single" w:sz="8" w:color="C0C0C0"/>
            </w:tcBorders>
            <w:shd w:val="clear" w:color="auto" w:fill="C0C0C0"/>
          </w:tcPr>
          <w:p>
            <w:pPr>
              <w:jc w:val="right"/>
              <w:spacing w:after="0"/>
              <w:rPr>
                <w:sz w:val="20"/>
                <w:szCs w:val="20"/>
                <w:color w:val="auto"/>
              </w:rPr>
            </w:pPr>
            <w:r>
              <w:rPr>
                <w:rFonts w:ascii="Arial" w:cs="Arial" w:eastAsia="Arial" w:hAnsi="Arial"/>
                <w:sz w:val="18"/>
                <w:szCs w:val="18"/>
                <w:b w:val="1"/>
                <w:bCs w:val="1"/>
                <w:color w:val="auto"/>
              </w:rPr>
              <w:t>$ 5,054,829</w:t>
            </w:r>
          </w:p>
        </w:tc>
        <w:tc>
          <w:tcPr>
            <w:tcW w:w="0" w:type="dxa"/>
            <w:vAlign w:val="bottom"/>
          </w:tcPr>
          <w:p>
            <w:pPr>
              <w:spacing w:after="0"/>
              <w:rPr>
                <w:sz w:val="1"/>
                <w:szCs w:val="1"/>
                <w:color w:val="auto"/>
              </w:rPr>
            </w:pPr>
          </w:p>
        </w:tc>
      </w:tr>
      <w:tr>
        <w:trPr>
          <w:trHeight w:val="696"/>
        </w:trPr>
        <w:tc>
          <w:tcPr>
            <w:tcW w:w="3000" w:type="dxa"/>
            <w:vAlign w:val="bottom"/>
            <w:gridSpan w:val="3"/>
          </w:tcPr>
          <w:p>
            <w:pPr>
              <w:ind w:left="20"/>
              <w:spacing w:after="0"/>
              <w:rPr>
                <w:sz w:val="20"/>
                <w:szCs w:val="20"/>
                <w:color w:val="auto"/>
              </w:rPr>
            </w:pPr>
            <w:r>
              <w:rPr>
                <w:rFonts w:ascii="Arial" w:cs="Arial" w:eastAsia="Arial" w:hAnsi="Arial"/>
                <w:sz w:val="18"/>
                <w:szCs w:val="18"/>
                <w:b w:val="1"/>
                <w:bCs w:val="1"/>
                <w:i w:val="1"/>
                <w:iCs w:val="1"/>
                <w:color w:val="auto"/>
              </w:rPr>
              <w:t>Other:</w:t>
            </w:r>
          </w:p>
        </w:tc>
        <w:tc>
          <w:tcPr>
            <w:tcW w:w="168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150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776"/>
        </w:trPr>
        <w:tc>
          <w:tcPr>
            <w:tcW w:w="20" w:type="dxa"/>
            <w:vAlign w:val="bottom"/>
          </w:tcPr>
          <w:p>
            <w:pPr>
              <w:spacing w:after="0"/>
              <w:rPr>
                <w:sz w:val="24"/>
                <w:szCs w:val="24"/>
                <w:color w:val="auto"/>
              </w:rPr>
            </w:pPr>
          </w:p>
        </w:tc>
        <w:tc>
          <w:tcPr>
            <w:tcW w:w="500" w:type="dxa"/>
            <w:vAlign w:val="bottom"/>
            <w:tcBorders>
              <w:top w:val="single" w:sz="8" w:color="auto"/>
            </w:tcBorders>
          </w:tcPr>
          <w:p>
            <w:pPr>
              <w:spacing w:after="0"/>
              <w:rPr>
                <w:sz w:val="24"/>
                <w:szCs w:val="24"/>
                <w:color w:val="auto"/>
              </w:rPr>
            </w:pPr>
          </w:p>
        </w:tc>
        <w:tc>
          <w:tcPr>
            <w:tcW w:w="2480" w:type="dxa"/>
            <w:vAlign w:val="bottom"/>
          </w:tcPr>
          <w:p>
            <w:pPr>
              <w:spacing w:after="0"/>
              <w:rPr>
                <w:sz w:val="24"/>
                <w:szCs w:val="24"/>
                <w:color w:val="auto"/>
              </w:rPr>
            </w:pPr>
          </w:p>
        </w:tc>
        <w:tc>
          <w:tcPr>
            <w:tcW w:w="1680" w:type="dxa"/>
            <w:vAlign w:val="bottom"/>
          </w:tcPr>
          <w:p>
            <w:pPr>
              <w:ind w:left="220"/>
              <w:spacing w:after="0"/>
              <w:rPr>
                <w:sz w:val="20"/>
                <w:szCs w:val="20"/>
                <w:color w:val="auto"/>
              </w:rPr>
            </w:pPr>
            <w:r>
              <w:rPr>
                <w:rFonts w:ascii="Arial" w:cs="Arial" w:eastAsia="Arial" w:hAnsi="Arial"/>
                <w:sz w:val="18"/>
                <w:szCs w:val="18"/>
                <w:color w:val="auto"/>
                <w:w w:val="97"/>
              </w:rPr>
              <w:t>Sektor Distributors</w:t>
            </w:r>
          </w:p>
        </w:tc>
        <w:tc>
          <w:tcPr>
            <w:tcW w:w="174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3000" w:type="dxa"/>
            <w:vAlign w:val="bottom"/>
            <w:gridSpan w:val="3"/>
          </w:tcPr>
          <w:p>
            <w:pPr>
              <w:ind w:left="20"/>
              <w:spacing w:after="0"/>
              <w:rPr>
                <w:sz w:val="20"/>
                <w:szCs w:val="20"/>
                <w:color w:val="auto"/>
              </w:rPr>
            </w:pPr>
            <w:r>
              <w:rPr>
                <w:rFonts w:ascii="Arial" w:cs="Arial" w:eastAsia="Arial" w:hAnsi="Arial"/>
                <w:sz w:val="18"/>
                <w:szCs w:val="18"/>
                <w:color w:val="auto"/>
              </w:rPr>
              <w:t>epay New Zealand Ltd</w:t>
            </w:r>
          </w:p>
        </w:tc>
        <w:tc>
          <w:tcPr>
            <w:tcW w:w="1680" w:type="dxa"/>
            <w:vAlign w:val="bottom"/>
          </w:tcPr>
          <w:p>
            <w:pPr>
              <w:ind w:left="220"/>
              <w:spacing w:after="0"/>
              <w:rPr>
                <w:sz w:val="20"/>
                <w:szCs w:val="20"/>
                <w:color w:val="auto"/>
              </w:rPr>
            </w:pPr>
            <w:r>
              <w:rPr>
                <w:rFonts w:ascii="Arial" w:cs="Arial" w:eastAsia="Arial" w:hAnsi="Arial"/>
                <w:sz w:val="18"/>
                <w:szCs w:val="18"/>
                <w:color w:val="auto"/>
              </w:rPr>
              <w:t>Ltd.</w:t>
            </w:r>
          </w:p>
        </w:tc>
        <w:tc>
          <w:tcPr>
            <w:tcW w:w="1740" w:type="dxa"/>
            <w:vAlign w:val="bottom"/>
          </w:tcPr>
          <w:p>
            <w:pPr>
              <w:ind w:left="20"/>
              <w:spacing w:after="0"/>
              <w:rPr>
                <w:sz w:val="20"/>
                <w:szCs w:val="20"/>
                <w:color w:val="auto"/>
              </w:rPr>
            </w:pPr>
            <w:r>
              <w:rPr>
                <w:rFonts w:ascii="Arial" w:cs="Arial" w:eastAsia="Arial" w:hAnsi="Arial"/>
                <w:sz w:val="18"/>
                <w:szCs w:val="18"/>
                <w:color w:val="auto"/>
              </w:rPr>
              <w:t>Other Lien</w:t>
            </w:r>
          </w:p>
        </w:tc>
        <w:tc>
          <w:tcPr>
            <w:tcW w:w="1780" w:type="dxa"/>
            <w:vAlign w:val="bottom"/>
          </w:tcPr>
          <w:p>
            <w:pPr>
              <w:ind w:left="320"/>
              <w:spacing w:after="0"/>
              <w:rPr>
                <w:sz w:val="20"/>
                <w:szCs w:val="20"/>
                <w:color w:val="auto"/>
              </w:rPr>
            </w:pPr>
            <w:r>
              <w:rPr>
                <w:rFonts w:ascii="Arial" w:cs="Arial" w:eastAsia="Arial" w:hAnsi="Arial"/>
                <w:sz w:val="18"/>
                <w:szCs w:val="18"/>
                <w:color w:val="auto"/>
              </w:rPr>
              <w:t>Terminals</w:t>
            </w:r>
          </w:p>
        </w:tc>
        <w:tc>
          <w:tcPr>
            <w:tcW w:w="1700" w:type="dxa"/>
            <w:vAlign w:val="bottom"/>
          </w:tcPr>
          <w:p>
            <w:pPr>
              <w:jc w:val="right"/>
              <w:spacing w:after="0"/>
              <w:rPr>
                <w:sz w:val="20"/>
                <w:szCs w:val="20"/>
                <w:color w:val="auto"/>
              </w:rPr>
            </w:pPr>
            <w:r>
              <w:rPr>
                <w:rFonts w:ascii="Arial" w:cs="Arial" w:eastAsia="Arial" w:hAnsi="Arial"/>
                <w:sz w:val="18"/>
                <w:szCs w:val="18"/>
                <w:color w:val="auto"/>
              </w:rPr>
              <w:t>NZD Unspecified</w:t>
            </w:r>
          </w:p>
        </w:tc>
        <w:tc>
          <w:tcPr>
            <w:tcW w:w="1500" w:type="dxa"/>
            <w:vAlign w:val="bottom"/>
          </w:tcPr>
          <w:p>
            <w:pPr>
              <w:jc w:val="right"/>
              <w:spacing w:after="0"/>
              <w:rPr>
                <w:sz w:val="20"/>
                <w:szCs w:val="20"/>
                <w:color w:val="auto"/>
              </w:rPr>
            </w:pPr>
            <w:r>
              <w:rPr>
                <w:rFonts w:ascii="Arial" w:cs="Arial" w:eastAsia="Arial" w:hAnsi="Arial"/>
                <w:sz w:val="18"/>
                <w:szCs w:val="18"/>
                <w:color w:val="auto"/>
              </w:rPr>
              <w:t>Unspecified</w:t>
            </w: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2480" w:type="dxa"/>
            <w:vAlign w:val="bottom"/>
          </w:tcPr>
          <w:p>
            <w:pPr>
              <w:spacing w:after="0"/>
              <w:rPr>
                <w:sz w:val="22"/>
                <w:szCs w:val="22"/>
                <w:color w:val="auto"/>
              </w:rPr>
            </w:pPr>
          </w:p>
        </w:tc>
        <w:tc>
          <w:tcPr>
            <w:tcW w:w="1680" w:type="dxa"/>
            <w:vAlign w:val="bottom"/>
          </w:tcPr>
          <w:p>
            <w:pPr>
              <w:ind w:left="220"/>
              <w:spacing w:after="0"/>
              <w:rPr>
                <w:sz w:val="20"/>
                <w:szCs w:val="20"/>
                <w:color w:val="auto"/>
              </w:rPr>
            </w:pPr>
            <w:r>
              <w:rPr>
                <w:rFonts w:ascii="Arial" w:cs="Arial" w:eastAsia="Arial" w:hAnsi="Arial"/>
                <w:sz w:val="18"/>
                <w:szCs w:val="18"/>
                <w:color w:val="auto"/>
              </w:rPr>
              <w:t>Anderson Ignacio</w:t>
            </w:r>
          </w:p>
        </w:tc>
        <w:tc>
          <w:tcPr>
            <w:tcW w:w="1740" w:type="dxa"/>
            <w:vAlign w:val="bottom"/>
          </w:tcPr>
          <w:p>
            <w:pPr>
              <w:spacing w:after="0"/>
              <w:rPr>
                <w:sz w:val="22"/>
                <w:szCs w:val="22"/>
                <w:color w:val="auto"/>
              </w:rPr>
            </w:pPr>
          </w:p>
        </w:tc>
        <w:tc>
          <w:tcPr>
            <w:tcW w:w="1780" w:type="dxa"/>
            <w:vAlign w:val="bottom"/>
          </w:tcPr>
          <w:p>
            <w:pPr>
              <w:spacing w:after="0"/>
              <w:rPr>
                <w:sz w:val="22"/>
                <w:szCs w:val="22"/>
                <w:color w:val="auto"/>
              </w:rPr>
            </w:pPr>
          </w:p>
        </w:tc>
        <w:tc>
          <w:tcPr>
            <w:tcW w:w="1700" w:type="dxa"/>
            <w:vAlign w:val="bottom"/>
          </w:tcPr>
          <w:p>
            <w:pPr>
              <w:spacing w:after="0"/>
              <w:rPr>
                <w:sz w:val="22"/>
                <w:szCs w:val="22"/>
                <w:color w:val="auto"/>
              </w:rPr>
            </w:pPr>
          </w:p>
        </w:tc>
        <w:tc>
          <w:tcPr>
            <w:tcW w:w="15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3000" w:type="dxa"/>
            <w:vAlign w:val="bottom"/>
            <w:gridSpan w:val="3"/>
          </w:tcPr>
          <w:p>
            <w:pPr>
              <w:ind w:left="20"/>
              <w:spacing w:after="0"/>
              <w:rPr>
                <w:sz w:val="20"/>
                <w:szCs w:val="20"/>
                <w:color w:val="auto"/>
              </w:rPr>
            </w:pPr>
            <w:r>
              <w:rPr>
                <w:rFonts w:ascii="Arial" w:cs="Arial" w:eastAsia="Arial" w:hAnsi="Arial"/>
                <w:sz w:val="18"/>
                <w:szCs w:val="18"/>
                <w:color w:val="auto"/>
              </w:rPr>
              <w:t>Telecom Net S.A. Logistica Digital</w:t>
            </w:r>
          </w:p>
        </w:tc>
        <w:tc>
          <w:tcPr>
            <w:tcW w:w="1680" w:type="dxa"/>
            <w:vAlign w:val="bottom"/>
          </w:tcPr>
          <w:p>
            <w:pPr>
              <w:ind w:left="220"/>
              <w:spacing w:after="0"/>
              <w:rPr>
                <w:sz w:val="20"/>
                <w:szCs w:val="20"/>
                <w:color w:val="auto"/>
              </w:rPr>
            </w:pPr>
            <w:r>
              <w:rPr>
                <w:rFonts w:ascii="Arial" w:cs="Arial" w:eastAsia="Arial" w:hAnsi="Arial"/>
                <w:sz w:val="18"/>
                <w:szCs w:val="18"/>
                <w:color w:val="auto"/>
              </w:rPr>
              <w:t>Escobar</w:t>
            </w:r>
          </w:p>
        </w:tc>
        <w:tc>
          <w:tcPr>
            <w:tcW w:w="1740" w:type="dxa"/>
            <w:vAlign w:val="bottom"/>
          </w:tcPr>
          <w:p>
            <w:pPr>
              <w:ind w:left="20"/>
              <w:spacing w:after="0"/>
              <w:rPr>
                <w:sz w:val="20"/>
                <w:szCs w:val="20"/>
                <w:color w:val="auto"/>
              </w:rPr>
            </w:pPr>
            <w:r>
              <w:rPr>
                <w:rFonts w:ascii="Arial" w:cs="Arial" w:eastAsia="Arial" w:hAnsi="Arial"/>
                <w:sz w:val="18"/>
                <w:szCs w:val="18"/>
                <w:color w:val="auto"/>
              </w:rPr>
              <w:t>Legal Contingency</w:t>
            </w:r>
          </w:p>
        </w:tc>
        <w:tc>
          <w:tcPr>
            <w:tcW w:w="1780" w:type="dxa"/>
            <w:vAlign w:val="bottom"/>
          </w:tcPr>
          <w:p>
            <w:pPr>
              <w:ind w:left="320"/>
              <w:spacing w:after="0"/>
              <w:rPr>
                <w:sz w:val="20"/>
                <w:szCs w:val="20"/>
                <w:color w:val="auto"/>
              </w:rPr>
            </w:pPr>
            <w:r>
              <w:rPr>
                <w:rFonts w:ascii="Arial" w:cs="Arial" w:eastAsia="Arial" w:hAnsi="Arial"/>
                <w:sz w:val="18"/>
                <w:szCs w:val="18"/>
                <w:color w:val="auto"/>
              </w:rPr>
              <w:t>Cash deposit</w:t>
            </w:r>
          </w:p>
        </w:tc>
        <w:tc>
          <w:tcPr>
            <w:tcW w:w="1700" w:type="dxa"/>
            <w:vAlign w:val="bottom"/>
          </w:tcPr>
          <w:p>
            <w:pPr>
              <w:jc w:val="right"/>
              <w:spacing w:after="0"/>
              <w:rPr>
                <w:sz w:val="20"/>
                <w:szCs w:val="20"/>
                <w:color w:val="auto"/>
              </w:rPr>
            </w:pPr>
            <w:r>
              <w:rPr>
                <w:rFonts w:ascii="Arial" w:cs="Arial" w:eastAsia="Arial" w:hAnsi="Arial"/>
                <w:sz w:val="18"/>
                <w:szCs w:val="18"/>
                <w:color w:val="auto"/>
              </w:rPr>
              <w:t>BRL 6,598</w:t>
            </w:r>
          </w:p>
        </w:tc>
        <w:tc>
          <w:tcPr>
            <w:tcW w:w="1500" w:type="dxa"/>
            <w:vAlign w:val="bottom"/>
          </w:tcPr>
          <w:p>
            <w:pPr>
              <w:jc w:val="right"/>
              <w:spacing w:after="0"/>
              <w:rPr>
                <w:sz w:val="20"/>
                <w:szCs w:val="20"/>
                <w:color w:val="auto"/>
              </w:rPr>
            </w:pPr>
            <w:r>
              <w:rPr>
                <w:rFonts w:ascii="Arial" w:cs="Arial" w:eastAsia="Arial" w:hAnsi="Arial"/>
                <w:sz w:val="18"/>
                <w:szCs w:val="18"/>
                <w:color w:val="auto"/>
              </w:rPr>
              <w:t>2,720</w:t>
            </w: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2480" w:type="dxa"/>
            <w:vAlign w:val="bottom"/>
          </w:tcPr>
          <w:p>
            <w:pPr>
              <w:spacing w:after="0"/>
              <w:rPr>
                <w:sz w:val="22"/>
                <w:szCs w:val="22"/>
                <w:color w:val="auto"/>
              </w:rPr>
            </w:pPr>
          </w:p>
        </w:tc>
        <w:tc>
          <w:tcPr>
            <w:tcW w:w="1680" w:type="dxa"/>
            <w:vAlign w:val="bottom"/>
          </w:tcPr>
          <w:p>
            <w:pPr>
              <w:ind w:left="220"/>
              <w:spacing w:after="0"/>
              <w:rPr>
                <w:sz w:val="20"/>
                <w:szCs w:val="20"/>
                <w:color w:val="auto"/>
              </w:rPr>
            </w:pPr>
            <w:r>
              <w:rPr>
                <w:rFonts w:ascii="Arial" w:cs="Arial" w:eastAsia="Arial" w:hAnsi="Arial"/>
                <w:sz w:val="18"/>
                <w:szCs w:val="18"/>
                <w:color w:val="auto"/>
                <w:w w:val="93"/>
              </w:rPr>
              <w:t>Ronaldo Ribeiro da</w:t>
            </w:r>
          </w:p>
        </w:tc>
        <w:tc>
          <w:tcPr>
            <w:tcW w:w="1740" w:type="dxa"/>
            <w:vAlign w:val="bottom"/>
          </w:tcPr>
          <w:p>
            <w:pPr>
              <w:spacing w:after="0"/>
              <w:rPr>
                <w:sz w:val="22"/>
                <w:szCs w:val="22"/>
                <w:color w:val="auto"/>
              </w:rPr>
            </w:pPr>
          </w:p>
        </w:tc>
        <w:tc>
          <w:tcPr>
            <w:tcW w:w="1780" w:type="dxa"/>
            <w:vAlign w:val="bottom"/>
          </w:tcPr>
          <w:p>
            <w:pPr>
              <w:spacing w:after="0"/>
              <w:rPr>
                <w:sz w:val="22"/>
                <w:szCs w:val="22"/>
                <w:color w:val="auto"/>
              </w:rPr>
            </w:pPr>
          </w:p>
        </w:tc>
        <w:tc>
          <w:tcPr>
            <w:tcW w:w="1700" w:type="dxa"/>
            <w:vAlign w:val="bottom"/>
          </w:tcPr>
          <w:p>
            <w:pPr>
              <w:spacing w:after="0"/>
              <w:rPr>
                <w:sz w:val="22"/>
                <w:szCs w:val="22"/>
                <w:color w:val="auto"/>
              </w:rPr>
            </w:pPr>
          </w:p>
        </w:tc>
        <w:tc>
          <w:tcPr>
            <w:tcW w:w="15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3000" w:type="dxa"/>
            <w:vAlign w:val="bottom"/>
            <w:gridSpan w:val="3"/>
          </w:tcPr>
          <w:p>
            <w:pPr>
              <w:ind w:left="20"/>
              <w:spacing w:after="0"/>
              <w:rPr>
                <w:sz w:val="20"/>
                <w:szCs w:val="20"/>
                <w:color w:val="auto"/>
              </w:rPr>
            </w:pPr>
            <w:r>
              <w:rPr>
                <w:rFonts w:ascii="Arial" w:cs="Arial" w:eastAsia="Arial" w:hAnsi="Arial"/>
                <w:sz w:val="18"/>
                <w:szCs w:val="18"/>
                <w:color w:val="auto"/>
              </w:rPr>
              <w:t>Telecom Net S.A. Logistica Digital</w:t>
            </w:r>
          </w:p>
        </w:tc>
        <w:tc>
          <w:tcPr>
            <w:tcW w:w="1680" w:type="dxa"/>
            <w:vAlign w:val="bottom"/>
          </w:tcPr>
          <w:p>
            <w:pPr>
              <w:ind w:left="220"/>
              <w:spacing w:after="0"/>
              <w:rPr>
                <w:sz w:val="20"/>
                <w:szCs w:val="20"/>
                <w:color w:val="auto"/>
              </w:rPr>
            </w:pPr>
            <w:r>
              <w:rPr>
                <w:rFonts w:ascii="Arial" w:cs="Arial" w:eastAsia="Arial" w:hAnsi="Arial"/>
                <w:sz w:val="18"/>
                <w:szCs w:val="18"/>
                <w:color w:val="auto"/>
              </w:rPr>
              <w:t>Costa</w:t>
            </w:r>
          </w:p>
        </w:tc>
        <w:tc>
          <w:tcPr>
            <w:tcW w:w="1740" w:type="dxa"/>
            <w:vAlign w:val="bottom"/>
          </w:tcPr>
          <w:p>
            <w:pPr>
              <w:ind w:left="20"/>
              <w:spacing w:after="0"/>
              <w:rPr>
                <w:sz w:val="20"/>
                <w:szCs w:val="20"/>
                <w:color w:val="auto"/>
              </w:rPr>
            </w:pPr>
            <w:r>
              <w:rPr>
                <w:rFonts w:ascii="Arial" w:cs="Arial" w:eastAsia="Arial" w:hAnsi="Arial"/>
                <w:sz w:val="18"/>
                <w:szCs w:val="18"/>
                <w:color w:val="auto"/>
              </w:rPr>
              <w:t>Legal Contingency</w:t>
            </w:r>
          </w:p>
        </w:tc>
        <w:tc>
          <w:tcPr>
            <w:tcW w:w="1780" w:type="dxa"/>
            <w:vAlign w:val="bottom"/>
          </w:tcPr>
          <w:p>
            <w:pPr>
              <w:ind w:left="320"/>
              <w:spacing w:after="0"/>
              <w:rPr>
                <w:sz w:val="20"/>
                <w:szCs w:val="20"/>
                <w:color w:val="auto"/>
              </w:rPr>
            </w:pPr>
            <w:r>
              <w:rPr>
                <w:rFonts w:ascii="Arial" w:cs="Arial" w:eastAsia="Arial" w:hAnsi="Arial"/>
                <w:sz w:val="18"/>
                <w:szCs w:val="18"/>
                <w:color w:val="auto"/>
              </w:rPr>
              <w:t>Cash deposit</w:t>
            </w:r>
          </w:p>
        </w:tc>
        <w:tc>
          <w:tcPr>
            <w:tcW w:w="1700" w:type="dxa"/>
            <w:vAlign w:val="bottom"/>
          </w:tcPr>
          <w:p>
            <w:pPr>
              <w:jc w:val="right"/>
              <w:spacing w:after="0"/>
              <w:rPr>
                <w:sz w:val="20"/>
                <w:szCs w:val="20"/>
                <w:color w:val="auto"/>
              </w:rPr>
            </w:pPr>
            <w:r>
              <w:rPr>
                <w:rFonts w:ascii="Arial" w:cs="Arial" w:eastAsia="Arial" w:hAnsi="Arial"/>
                <w:sz w:val="18"/>
                <w:szCs w:val="18"/>
                <w:color w:val="auto"/>
              </w:rPr>
              <w:t>BRL 1,361</w:t>
            </w:r>
          </w:p>
        </w:tc>
        <w:tc>
          <w:tcPr>
            <w:tcW w:w="1500" w:type="dxa"/>
            <w:vAlign w:val="bottom"/>
          </w:tcPr>
          <w:p>
            <w:pPr>
              <w:jc w:val="right"/>
              <w:spacing w:after="0"/>
              <w:rPr>
                <w:sz w:val="20"/>
                <w:szCs w:val="20"/>
                <w:color w:val="auto"/>
              </w:rPr>
            </w:pPr>
            <w:r>
              <w:rPr>
                <w:rFonts w:ascii="Arial" w:cs="Arial" w:eastAsia="Arial" w:hAnsi="Arial"/>
                <w:sz w:val="18"/>
                <w:szCs w:val="18"/>
                <w:color w:val="auto"/>
              </w:rPr>
              <w:t>561</w:t>
            </w: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2480" w:type="dxa"/>
            <w:vAlign w:val="bottom"/>
          </w:tcPr>
          <w:p>
            <w:pPr>
              <w:spacing w:after="0"/>
              <w:rPr>
                <w:sz w:val="22"/>
                <w:szCs w:val="22"/>
                <w:color w:val="auto"/>
              </w:rPr>
            </w:pPr>
          </w:p>
        </w:tc>
        <w:tc>
          <w:tcPr>
            <w:tcW w:w="1680" w:type="dxa"/>
            <w:vAlign w:val="bottom"/>
          </w:tcPr>
          <w:p>
            <w:pPr>
              <w:ind w:left="220"/>
              <w:spacing w:after="0"/>
              <w:rPr>
                <w:sz w:val="20"/>
                <w:szCs w:val="20"/>
                <w:color w:val="auto"/>
              </w:rPr>
            </w:pPr>
            <w:r>
              <w:rPr>
                <w:rFonts w:ascii="Arial" w:cs="Arial" w:eastAsia="Arial" w:hAnsi="Arial"/>
                <w:sz w:val="18"/>
                <w:szCs w:val="18"/>
                <w:color w:val="auto"/>
              </w:rPr>
              <w:t>Regina de Cassia</w:t>
            </w:r>
          </w:p>
        </w:tc>
        <w:tc>
          <w:tcPr>
            <w:tcW w:w="1740" w:type="dxa"/>
            <w:vAlign w:val="bottom"/>
          </w:tcPr>
          <w:p>
            <w:pPr>
              <w:spacing w:after="0"/>
              <w:rPr>
                <w:sz w:val="22"/>
                <w:szCs w:val="22"/>
                <w:color w:val="auto"/>
              </w:rPr>
            </w:pPr>
          </w:p>
        </w:tc>
        <w:tc>
          <w:tcPr>
            <w:tcW w:w="1780" w:type="dxa"/>
            <w:vAlign w:val="bottom"/>
          </w:tcPr>
          <w:p>
            <w:pPr>
              <w:spacing w:after="0"/>
              <w:rPr>
                <w:sz w:val="22"/>
                <w:szCs w:val="22"/>
                <w:color w:val="auto"/>
              </w:rPr>
            </w:pPr>
          </w:p>
        </w:tc>
        <w:tc>
          <w:tcPr>
            <w:tcW w:w="1700" w:type="dxa"/>
            <w:vAlign w:val="bottom"/>
          </w:tcPr>
          <w:p>
            <w:pPr>
              <w:spacing w:after="0"/>
              <w:rPr>
                <w:sz w:val="22"/>
                <w:szCs w:val="22"/>
                <w:color w:val="auto"/>
              </w:rPr>
            </w:pPr>
          </w:p>
        </w:tc>
        <w:tc>
          <w:tcPr>
            <w:tcW w:w="15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3000" w:type="dxa"/>
            <w:vAlign w:val="bottom"/>
            <w:gridSpan w:val="3"/>
          </w:tcPr>
          <w:p>
            <w:pPr>
              <w:ind w:left="20"/>
              <w:spacing w:after="0"/>
              <w:rPr>
                <w:sz w:val="20"/>
                <w:szCs w:val="20"/>
                <w:color w:val="auto"/>
              </w:rPr>
            </w:pPr>
            <w:r>
              <w:rPr>
                <w:rFonts w:ascii="Arial" w:cs="Arial" w:eastAsia="Arial" w:hAnsi="Arial"/>
                <w:sz w:val="18"/>
                <w:szCs w:val="18"/>
                <w:color w:val="auto"/>
              </w:rPr>
              <w:t>Telecom Net S.A. Logistica Digital</w:t>
            </w:r>
          </w:p>
        </w:tc>
        <w:tc>
          <w:tcPr>
            <w:tcW w:w="1680" w:type="dxa"/>
            <w:vAlign w:val="bottom"/>
          </w:tcPr>
          <w:p>
            <w:pPr>
              <w:ind w:left="220"/>
              <w:spacing w:after="0"/>
              <w:rPr>
                <w:sz w:val="20"/>
                <w:szCs w:val="20"/>
                <w:color w:val="auto"/>
              </w:rPr>
            </w:pPr>
            <w:r>
              <w:rPr>
                <w:rFonts w:ascii="Arial" w:cs="Arial" w:eastAsia="Arial" w:hAnsi="Arial"/>
                <w:sz w:val="18"/>
                <w:szCs w:val="18"/>
                <w:color w:val="auto"/>
              </w:rPr>
              <w:t>Coelho Caldas</w:t>
            </w:r>
          </w:p>
        </w:tc>
        <w:tc>
          <w:tcPr>
            <w:tcW w:w="1740" w:type="dxa"/>
            <w:vAlign w:val="bottom"/>
          </w:tcPr>
          <w:p>
            <w:pPr>
              <w:ind w:left="20"/>
              <w:spacing w:after="0"/>
              <w:rPr>
                <w:sz w:val="20"/>
                <w:szCs w:val="20"/>
                <w:color w:val="auto"/>
              </w:rPr>
            </w:pPr>
            <w:r>
              <w:rPr>
                <w:rFonts w:ascii="Arial" w:cs="Arial" w:eastAsia="Arial" w:hAnsi="Arial"/>
                <w:sz w:val="18"/>
                <w:szCs w:val="18"/>
                <w:color w:val="auto"/>
              </w:rPr>
              <w:t>Legal Contingency</w:t>
            </w:r>
          </w:p>
        </w:tc>
        <w:tc>
          <w:tcPr>
            <w:tcW w:w="1780" w:type="dxa"/>
            <w:vAlign w:val="bottom"/>
          </w:tcPr>
          <w:p>
            <w:pPr>
              <w:ind w:left="320"/>
              <w:spacing w:after="0"/>
              <w:rPr>
                <w:sz w:val="20"/>
                <w:szCs w:val="20"/>
                <w:color w:val="auto"/>
              </w:rPr>
            </w:pPr>
            <w:r>
              <w:rPr>
                <w:rFonts w:ascii="Arial" w:cs="Arial" w:eastAsia="Arial" w:hAnsi="Arial"/>
                <w:sz w:val="18"/>
                <w:szCs w:val="18"/>
                <w:color w:val="auto"/>
              </w:rPr>
              <w:t>Cash deposit</w:t>
            </w:r>
          </w:p>
        </w:tc>
        <w:tc>
          <w:tcPr>
            <w:tcW w:w="1700" w:type="dxa"/>
            <w:vAlign w:val="bottom"/>
          </w:tcPr>
          <w:p>
            <w:pPr>
              <w:jc w:val="right"/>
              <w:spacing w:after="0"/>
              <w:rPr>
                <w:sz w:val="20"/>
                <w:szCs w:val="20"/>
                <w:color w:val="auto"/>
              </w:rPr>
            </w:pPr>
            <w:r>
              <w:rPr>
                <w:rFonts w:ascii="Arial" w:cs="Arial" w:eastAsia="Arial" w:hAnsi="Arial"/>
                <w:sz w:val="18"/>
                <w:szCs w:val="18"/>
                <w:color w:val="auto"/>
              </w:rPr>
              <w:t>BRL 5,806</w:t>
            </w:r>
          </w:p>
        </w:tc>
        <w:tc>
          <w:tcPr>
            <w:tcW w:w="1500" w:type="dxa"/>
            <w:vAlign w:val="bottom"/>
          </w:tcPr>
          <w:p>
            <w:pPr>
              <w:jc w:val="right"/>
              <w:spacing w:after="0"/>
              <w:rPr>
                <w:sz w:val="20"/>
                <w:szCs w:val="20"/>
                <w:color w:val="auto"/>
              </w:rPr>
            </w:pPr>
            <w:r>
              <w:rPr>
                <w:rFonts w:ascii="Arial" w:cs="Arial" w:eastAsia="Arial" w:hAnsi="Arial"/>
                <w:sz w:val="18"/>
                <w:szCs w:val="18"/>
                <w:color w:val="auto"/>
              </w:rPr>
              <w:t>2,393</w:t>
            </w:r>
          </w:p>
        </w:tc>
        <w:tc>
          <w:tcPr>
            <w:tcW w:w="0" w:type="dxa"/>
            <w:vAlign w:val="bottom"/>
          </w:tcPr>
          <w:p>
            <w:pPr>
              <w:spacing w:after="0"/>
              <w:rPr>
                <w:sz w:val="1"/>
                <w:szCs w:val="1"/>
                <w:color w:val="auto"/>
              </w:rPr>
            </w:pPr>
          </w:p>
        </w:tc>
      </w:tr>
    </w:tbl>
    <w:p>
      <w:pPr>
        <w:sectPr>
          <w:pgSz w:w="11900" w:h="16838" w:orient="portrait"/>
          <w:cols w:equalWidth="0" w:num="1">
            <w:col w:w="11400"/>
          </w:cols>
          <w:pgMar w:left="260" w:top="530" w:right="239" w:bottom="1440" w:gutter="0" w:footer="0" w:header="0"/>
        </w:sectPr>
      </w:pPr>
    </w:p>
    <w:bookmarkStart w:id="277" w:name="page278"/>
    <w:bookmarkEnd w:id="277"/>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900" w:type="dxa"/>
            <w:vAlign w:val="bottom"/>
          </w:tcPr>
          <w:p>
            <w:pPr>
              <w:spacing w:after="0"/>
              <w:rPr>
                <w:sz w:val="18"/>
                <w:szCs w:val="18"/>
                <w:color w:val="auto"/>
              </w:rPr>
            </w:pPr>
          </w:p>
        </w:tc>
        <w:tc>
          <w:tcPr>
            <w:tcW w:w="1780" w:type="dxa"/>
            <w:vAlign w:val="bottom"/>
          </w:tcPr>
          <w:p>
            <w:pPr>
              <w:ind w:left="320"/>
              <w:spacing w:after="0"/>
              <w:rPr>
                <w:sz w:val="20"/>
                <w:szCs w:val="20"/>
                <w:color w:val="auto"/>
              </w:rPr>
            </w:pPr>
            <w:r>
              <w:rPr>
                <w:rFonts w:ascii="Arial" w:cs="Arial" w:eastAsia="Arial" w:hAnsi="Arial"/>
                <w:sz w:val="18"/>
                <w:szCs w:val="18"/>
                <w:color w:val="auto"/>
              </w:rPr>
              <w:t>Rosinei Santos</w:t>
            </w:r>
          </w:p>
        </w:tc>
        <w:tc>
          <w:tcPr>
            <w:tcW w:w="174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500" w:type="dxa"/>
            <w:vAlign w:val="bottom"/>
          </w:tcPr>
          <w:p>
            <w:pPr>
              <w:spacing w:after="0"/>
              <w:rPr>
                <w:sz w:val="18"/>
                <w:szCs w:val="18"/>
                <w:color w:val="auto"/>
              </w:rPr>
            </w:pPr>
          </w:p>
        </w:tc>
      </w:tr>
      <w:tr>
        <w:trPr>
          <w:trHeight w:val="230"/>
        </w:trPr>
        <w:tc>
          <w:tcPr>
            <w:tcW w:w="2900" w:type="dxa"/>
            <w:vAlign w:val="bottom"/>
          </w:tcPr>
          <w:p>
            <w:pPr>
              <w:ind w:left="20"/>
              <w:spacing w:after="0"/>
              <w:rPr>
                <w:sz w:val="20"/>
                <w:szCs w:val="20"/>
                <w:color w:val="auto"/>
              </w:rPr>
            </w:pPr>
            <w:r>
              <w:rPr>
                <w:rFonts w:ascii="Arial" w:cs="Arial" w:eastAsia="Arial" w:hAnsi="Arial"/>
                <w:sz w:val="18"/>
                <w:szCs w:val="18"/>
                <w:color w:val="auto"/>
              </w:rPr>
              <w:t>Telecom Net S.A. Logistica Digital</w:t>
            </w:r>
          </w:p>
        </w:tc>
        <w:tc>
          <w:tcPr>
            <w:tcW w:w="1780" w:type="dxa"/>
            <w:vAlign w:val="bottom"/>
          </w:tcPr>
          <w:p>
            <w:pPr>
              <w:ind w:left="320"/>
              <w:spacing w:after="0"/>
              <w:rPr>
                <w:sz w:val="20"/>
                <w:szCs w:val="20"/>
                <w:color w:val="auto"/>
              </w:rPr>
            </w:pPr>
            <w:r>
              <w:rPr>
                <w:rFonts w:ascii="Arial" w:cs="Arial" w:eastAsia="Arial" w:hAnsi="Arial"/>
                <w:sz w:val="18"/>
                <w:szCs w:val="18"/>
                <w:color w:val="auto"/>
              </w:rPr>
              <w:t>silva</w:t>
            </w:r>
          </w:p>
        </w:tc>
        <w:tc>
          <w:tcPr>
            <w:tcW w:w="1740" w:type="dxa"/>
            <w:vAlign w:val="bottom"/>
          </w:tcPr>
          <w:p>
            <w:pPr>
              <w:ind w:left="20"/>
              <w:spacing w:after="0"/>
              <w:rPr>
                <w:sz w:val="20"/>
                <w:szCs w:val="20"/>
                <w:color w:val="auto"/>
              </w:rPr>
            </w:pPr>
            <w:r>
              <w:rPr>
                <w:rFonts w:ascii="Arial" w:cs="Arial" w:eastAsia="Arial" w:hAnsi="Arial"/>
                <w:sz w:val="18"/>
                <w:szCs w:val="18"/>
                <w:color w:val="auto"/>
              </w:rPr>
              <w:t>Legal Contingency</w:t>
            </w:r>
          </w:p>
        </w:tc>
        <w:tc>
          <w:tcPr>
            <w:tcW w:w="1900" w:type="dxa"/>
            <w:vAlign w:val="bottom"/>
          </w:tcPr>
          <w:p>
            <w:pPr>
              <w:ind w:left="320"/>
              <w:spacing w:after="0"/>
              <w:rPr>
                <w:sz w:val="20"/>
                <w:szCs w:val="20"/>
                <w:color w:val="auto"/>
              </w:rPr>
            </w:pPr>
            <w:r>
              <w:rPr>
                <w:rFonts w:ascii="Arial" w:cs="Arial" w:eastAsia="Arial" w:hAnsi="Arial"/>
                <w:sz w:val="18"/>
                <w:szCs w:val="18"/>
                <w:color w:val="auto"/>
              </w:rPr>
              <w:t>Cash deposit</w:t>
            </w:r>
          </w:p>
        </w:tc>
        <w:tc>
          <w:tcPr>
            <w:tcW w:w="1580" w:type="dxa"/>
            <w:vAlign w:val="bottom"/>
          </w:tcPr>
          <w:p>
            <w:pPr>
              <w:jc w:val="right"/>
              <w:spacing w:after="0"/>
              <w:rPr>
                <w:sz w:val="20"/>
                <w:szCs w:val="20"/>
                <w:color w:val="auto"/>
              </w:rPr>
            </w:pPr>
            <w:r>
              <w:rPr>
                <w:rFonts w:ascii="Arial" w:cs="Arial" w:eastAsia="Arial" w:hAnsi="Arial"/>
                <w:sz w:val="18"/>
                <w:szCs w:val="18"/>
                <w:color w:val="auto"/>
              </w:rPr>
              <w:t>BRL 21,581</w:t>
            </w:r>
          </w:p>
        </w:tc>
        <w:tc>
          <w:tcPr>
            <w:tcW w:w="1500" w:type="dxa"/>
            <w:vAlign w:val="bottom"/>
          </w:tcPr>
          <w:p>
            <w:pPr>
              <w:jc w:val="right"/>
              <w:spacing w:after="0"/>
              <w:rPr>
                <w:sz w:val="20"/>
                <w:szCs w:val="20"/>
                <w:color w:val="auto"/>
              </w:rPr>
            </w:pPr>
            <w:r>
              <w:rPr>
                <w:rFonts w:ascii="Arial" w:cs="Arial" w:eastAsia="Arial" w:hAnsi="Arial"/>
                <w:sz w:val="18"/>
                <w:szCs w:val="18"/>
                <w:color w:val="auto"/>
              </w:rPr>
              <w:t>8,896</w:t>
            </w:r>
          </w:p>
        </w:tc>
      </w:tr>
      <w:tr>
        <w:trPr>
          <w:trHeight w:val="256"/>
        </w:trPr>
        <w:tc>
          <w:tcPr>
            <w:tcW w:w="2900" w:type="dxa"/>
            <w:vAlign w:val="bottom"/>
          </w:tcPr>
          <w:p>
            <w:pPr>
              <w:spacing w:after="0"/>
              <w:rPr>
                <w:sz w:val="22"/>
                <w:szCs w:val="22"/>
                <w:color w:val="auto"/>
              </w:rPr>
            </w:pPr>
          </w:p>
        </w:tc>
        <w:tc>
          <w:tcPr>
            <w:tcW w:w="1780" w:type="dxa"/>
            <w:vAlign w:val="bottom"/>
          </w:tcPr>
          <w:p>
            <w:pPr>
              <w:ind w:left="320"/>
              <w:spacing w:after="0"/>
              <w:rPr>
                <w:sz w:val="20"/>
                <w:szCs w:val="20"/>
                <w:color w:val="auto"/>
              </w:rPr>
            </w:pPr>
            <w:r>
              <w:rPr>
                <w:rFonts w:ascii="Arial" w:cs="Arial" w:eastAsia="Arial" w:hAnsi="Arial"/>
                <w:sz w:val="18"/>
                <w:szCs w:val="18"/>
                <w:color w:val="auto"/>
              </w:rPr>
              <w:t>Jose Vinicius</w:t>
            </w:r>
          </w:p>
        </w:tc>
        <w:tc>
          <w:tcPr>
            <w:tcW w:w="1740" w:type="dxa"/>
            <w:vAlign w:val="bottom"/>
          </w:tcPr>
          <w:p>
            <w:pPr>
              <w:spacing w:after="0"/>
              <w:rPr>
                <w:sz w:val="22"/>
                <w:szCs w:val="22"/>
                <w:color w:val="auto"/>
              </w:rPr>
            </w:pPr>
          </w:p>
        </w:tc>
        <w:tc>
          <w:tcPr>
            <w:tcW w:w="19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1500" w:type="dxa"/>
            <w:vAlign w:val="bottom"/>
          </w:tcPr>
          <w:p>
            <w:pPr>
              <w:spacing w:after="0"/>
              <w:rPr>
                <w:sz w:val="22"/>
                <w:szCs w:val="22"/>
                <w:color w:val="auto"/>
              </w:rPr>
            </w:pPr>
          </w:p>
        </w:tc>
      </w:tr>
      <w:tr>
        <w:trPr>
          <w:trHeight w:val="216"/>
        </w:trPr>
        <w:tc>
          <w:tcPr>
            <w:tcW w:w="2900" w:type="dxa"/>
            <w:vAlign w:val="bottom"/>
          </w:tcPr>
          <w:p>
            <w:pPr>
              <w:spacing w:after="0"/>
              <w:rPr>
                <w:sz w:val="18"/>
                <w:szCs w:val="18"/>
                <w:color w:val="auto"/>
              </w:rPr>
            </w:pPr>
          </w:p>
        </w:tc>
        <w:tc>
          <w:tcPr>
            <w:tcW w:w="1780" w:type="dxa"/>
            <w:vAlign w:val="bottom"/>
          </w:tcPr>
          <w:p>
            <w:pPr>
              <w:ind w:left="320"/>
              <w:spacing w:after="0"/>
              <w:rPr>
                <w:sz w:val="20"/>
                <w:szCs w:val="20"/>
                <w:color w:val="auto"/>
              </w:rPr>
            </w:pPr>
            <w:r>
              <w:rPr>
                <w:rFonts w:ascii="Arial" w:cs="Arial" w:eastAsia="Arial" w:hAnsi="Arial"/>
                <w:sz w:val="18"/>
                <w:szCs w:val="18"/>
                <w:color w:val="auto"/>
              </w:rPr>
              <w:t>Rodrigues</w:t>
            </w:r>
          </w:p>
        </w:tc>
        <w:tc>
          <w:tcPr>
            <w:tcW w:w="174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500" w:type="dxa"/>
            <w:vAlign w:val="bottom"/>
          </w:tcPr>
          <w:p>
            <w:pPr>
              <w:spacing w:after="0"/>
              <w:rPr>
                <w:sz w:val="18"/>
                <w:szCs w:val="18"/>
                <w:color w:val="auto"/>
              </w:rPr>
            </w:pPr>
          </w:p>
        </w:tc>
      </w:tr>
      <w:tr>
        <w:trPr>
          <w:trHeight w:val="230"/>
        </w:trPr>
        <w:tc>
          <w:tcPr>
            <w:tcW w:w="2900" w:type="dxa"/>
            <w:vAlign w:val="bottom"/>
          </w:tcPr>
          <w:p>
            <w:pPr>
              <w:ind w:left="20"/>
              <w:spacing w:after="0"/>
              <w:rPr>
                <w:sz w:val="20"/>
                <w:szCs w:val="20"/>
                <w:color w:val="auto"/>
              </w:rPr>
            </w:pPr>
            <w:r>
              <w:rPr>
                <w:rFonts w:ascii="Arial" w:cs="Arial" w:eastAsia="Arial" w:hAnsi="Arial"/>
                <w:sz w:val="18"/>
                <w:szCs w:val="18"/>
                <w:color w:val="auto"/>
              </w:rPr>
              <w:t>Telecom Net S.A. Logistica Digital</w:t>
            </w:r>
          </w:p>
        </w:tc>
        <w:tc>
          <w:tcPr>
            <w:tcW w:w="1780" w:type="dxa"/>
            <w:vAlign w:val="bottom"/>
          </w:tcPr>
          <w:p>
            <w:pPr>
              <w:ind w:left="320"/>
              <w:spacing w:after="0"/>
              <w:rPr>
                <w:sz w:val="20"/>
                <w:szCs w:val="20"/>
                <w:color w:val="auto"/>
              </w:rPr>
            </w:pPr>
            <w:r>
              <w:rPr>
                <w:rFonts w:ascii="Arial" w:cs="Arial" w:eastAsia="Arial" w:hAnsi="Arial"/>
                <w:sz w:val="18"/>
                <w:szCs w:val="18"/>
                <w:color w:val="auto"/>
              </w:rPr>
              <w:t>Figueiredo</w:t>
            </w:r>
          </w:p>
        </w:tc>
        <w:tc>
          <w:tcPr>
            <w:tcW w:w="1740" w:type="dxa"/>
            <w:vAlign w:val="bottom"/>
          </w:tcPr>
          <w:p>
            <w:pPr>
              <w:ind w:left="20"/>
              <w:spacing w:after="0"/>
              <w:rPr>
                <w:sz w:val="20"/>
                <w:szCs w:val="20"/>
                <w:color w:val="auto"/>
              </w:rPr>
            </w:pPr>
            <w:r>
              <w:rPr>
                <w:rFonts w:ascii="Arial" w:cs="Arial" w:eastAsia="Arial" w:hAnsi="Arial"/>
                <w:sz w:val="18"/>
                <w:szCs w:val="18"/>
                <w:color w:val="auto"/>
              </w:rPr>
              <w:t>Legal Contingency</w:t>
            </w:r>
          </w:p>
        </w:tc>
        <w:tc>
          <w:tcPr>
            <w:tcW w:w="1900" w:type="dxa"/>
            <w:vAlign w:val="bottom"/>
          </w:tcPr>
          <w:p>
            <w:pPr>
              <w:ind w:left="320"/>
              <w:spacing w:after="0"/>
              <w:rPr>
                <w:sz w:val="20"/>
                <w:szCs w:val="20"/>
                <w:color w:val="auto"/>
              </w:rPr>
            </w:pPr>
            <w:r>
              <w:rPr>
                <w:rFonts w:ascii="Arial" w:cs="Arial" w:eastAsia="Arial" w:hAnsi="Arial"/>
                <w:sz w:val="18"/>
                <w:szCs w:val="18"/>
                <w:color w:val="auto"/>
              </w:rPr>
              <w:t>Cash deposit</w:t>
            </w:r>
          </w:p>
        </w:tc>
        <w:tc>
          <w:tcPr>
            <w:tcW w:w="1580" w:type="dxa"/>
            <w:vAlign w:val="bottom"/>
          </w:tcPr>
          <w:p>
            <w:pPr>
              <w:jc w:val="right"/>
              <w:spacing w:after="0"/>
              <w:rPr>
                <w:sz w:val="20"/>
                <w:szCs w:val="20"/>
                <w:color w:val="auto"/>
              </w:rPr>
            </w:pPr>
            <w:r>
              <w:rPr>
                <w:rFonts w:ascii="Arial" w:cs="Arial" w:eastAsia="Arial" w:hAnsi="Arial"/>
                <w:sz w:val="18"/>
                <w:szCs w:val="18"/>
                <w:color w:val="auto"/>
              </w:rPr>
              <w:t>BRL 1,629</w:t>
            </w:r>
          </w:p>
        </w:tc>
        <w:tc>
          <w:tcPr>
            <w:tcW w:w="1500" w:type="dxa"/>
            <w:vAlign w:val="bottom"/>
          </w:tcPr>
          <w:p>
            <w:pPr>
              <w:jc w:val="right"/>
              <w:spacing w:after="0"/>
              <w:rPr>
                <w:sz w:val="20"/>
                <w:szCs w:val="20"/>
                <w:color w:val="auto"/>
              </w:rPr>
            </w:pPr>
            <w:r>
              <w:rPr>
                <w:rFonts w:ascii="Arial" w:cs="Arial" w:eastAsia="Arial" w:hAnsi="Arial"/>
                <w:sz w:val="18"/>
                <w:szCs w:val="18"/>
                <w:color w:val="auto"/>
              </w:rPr>
              <w:t>671</w:t>
            </w:r>
          </w:p>
        </w:tc>
      </w:tr>
      <w:tr>
        <w:trPr>
          <w:trHeight w:val="256"/>
        </w:trPr>
        <w:tc>
          <w:tcPr>
            <w:tcW w:w="2900" w:type="dxa"/>
            <w:vAlign w:val="bottom"/>
          </w:tcPr>
          <w:p>
            <w:pPr>
              <w:spacing w:after="0"/>
              <w:rPr>
                <w:sz w:val="22"/>
                <w:szCs w:val="22"/>
                <w:color w:val="auto"/>
              </w:rPr>
            </w:pPr>
          </w:p>
        </w:tc>
        <w:tc>
          <w:tcPr>
            <w:tcW w:w="1780" w:type="dxa"/>
            <w:vAlign w:val="bottom"/>
          </w:tcPr>
          <w:p>
            <w:pPr>
              <w:ind w:left="320"/>
              <w:spacing w:after="0"/>
              <w:rPr>
                <w:sz w:val="20"/>
                <w:szCs w:val="20"/>
                <w:color w:val="auto"/>
              </w:rPr>
            </w:pPr>
            <w:r>
              <w:rPr>
                <w:rFonts w:ascii="Arial" w:cs="Arial" w:eastAsia="Arial" w:hAnsi="Arial"/>
                <w:sz w:val="18"/>
                <w:szCs w:val="18"/>
                <w:color w:val="auto"/>
              </w:rPr>
              <w:t>Francisco Alves</w:t>
            </w:r>
          </w:p>
        </w:tc>
        <w:tc>
          <w:tcPr>
            <w:tcW w:w="1740" w:type="dxa"/>
            <w:vAlign w:val="bottom"/>
          </w:tcPr>
          <w:p>
            <w:pPr>
              <w:spacing w:after="0"/>
              <w:rPr>
                <w:sz w:val="22"/>
                <w:szCs w:val="22"/>
                <w:color w:val="auto"/>
              </w:rPr>
            </w:pPr>
          </w:p>
        </w:tc>
        <w:tc>
          <w:tcPr>
            <w:tcW w:w="19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1500" w:type="dxa"/>
            <w:vAlign w:val="bottom"/>
          </w:tcPr>
          <w:p>
            <w:pPr>
              <w:spacing w:after="0"/>
              <w:rPr>
                <w:sz w:val="22"/>
                <w:szCs w:val="22"/>
                <w:color w:val="auto"/>
              </w:rPr>
            </w:pPr>
          </w:p>
        </w:tc>
      </w:tr>
      <w:tr>
        <w:trPr>
          <w:trHeight w:val="230"/>
        </w:trPr>
        <w:tc>
          <w:tcPr>
            <w:tcW w:w="2900" w:type="dxa"/>
            <w:vAlign w:val="bottom"/>
          </w:tcPr>
          <w:p>
            <w:pPr>
              <w:ind w:left="20"/>
              <w:spacing w:after="0"/>
              <w:rPr>
                <w:sz w:val="20"/>
                <w:szCs w:val="20"/>
                <w:color w:val="auto"/>
              </w:rPr>
            </w:pPr>
            <w:r>
              <w:rPr>
                <w:rFonts w:ascii="Arial" w:cs="Arial" w:eastAsia="Arial" w:hAnsi="Arial"/>
                <w:sz w:val="18"/>
                <w:szCs w:val="18"/>
                <w:color w:val="auto"/>
              </w:rPr>
              <w:t>Telecom Net S.A. Logistica Digital</w:t>
            </w:r>
          </w:p>
        </w:tc>
        <w:tc>
          <w:tcPr>
            <w:tcW w:w="1780" w:type="dxa"/>
            <w:vAlign w:val="bottom"/>
          </w:tcPr>
          <w:p>
            <w:pPr>
              <w:ind w:left="320"/>
              <w:spacing w:after="0"/>
              <w:rPr>
                <w:sz w:val="20"/>
                <w:szCs w:val="20"/>
                <w:color w:val="auto"/>
              </w:rPr>
            </w:pPr>
            <w:r>
              <w:rPr>
                <w:rFonts w:ascii="Arial" w:cs="Arial" w:eastAsia="Arial" w:hAnsi="Arial"/>
                <w:sz w:val="18"/>
                <w:szCs w:val="18"/>
                <w:color w:val="auto"/>
                <w:w w:val="97"/>
              </w:rPr>
              <w:t>Dos Santos Junior</w:t>
            </w:r>
          </w:p>
        </w:tc>
        <w:tc>
          <w:tcPr>
            <w:tcW w:w="1740" w:type="dxa"/>
            <w:vAlign w:val="bottom"/>
          </w:tcPr>
          <w:p>
            <w:pPr>
              <w:ind w:left="20"/>
              <w:spacing w:after="0"/>
              <w:rPr>
                <w:sz w:val="20"/>
                <w:szCs w:val="20"/>
                <w:color w:val="auto"/>
              </w:rPr>
            </w:pPr>
            <w:r>
              <w:rPr>
                <w:rFonts w:ascii="Arial" w:cs="Arial" w:eastAsia="Arial" w:hAnsi="Arial"/>
                <w:sz w:val="18"/>
                <w:szCs w:val="18"/>
                <w:color w:val="auto"/>
              </w:rPr>
              <w:t>Legal Contingency</w:t>
            </w:r>
          </w:p>
        </w:tc>
        <w:tc>
          <w:tcPr>
            <w:tcW w:w="1900" w:type="dxa"/>
            <w:vAlign w:val="bottom"/>
          </w:tcPr>
          <w:p>
            <w:pPr>
              <w:ind w:left="320"/>
              <w:spacing w:after="0"/>
              <w:rPr>
                <w:sz w:val="20"/>
                <w:szCs w:val="20"/>
                <w:color w:val="auto"/>
              </w:rPr>
            </w:pPr>
            <w:r>
              <w:rPr>
                <w:rFonts w:ascii="Arial" w:cs="Arial" w:eastAsia="Arial" w:hAnsi="Arial"/>
                <w:sz w:val="18"/>
                <w:szCs w:val="18"/>
                <w:color w:val="auto"/>
              </w:rPr>
              <w:t>Cash deposit</w:t>
            </w:r>
          </w:p>
        </w:tc>
        <w:tc>
          <w:tcPr>
            <w:tcW w:w="1580" w:type="dxa"/>
            <w:vAlign w:val="bottom"/>
          </w:tcPr>
          <w:p>
            <w:pPr>
              <w:jc w:val="right"/>
              <w:spacing w:after="0"/>
              <w:rPr>
                <w:sz w:val="20"/>
                <w:szCs w:val="20"/>
                <w:color w:val="auto"/>
              </w:rPr>
            </w:pPr>
            <w:r>
              <w:rPr>
                <w:rFonts w:ascii="Arial" w:cs="Arial" w:eastAsia="Arial" w:hAnsi="Arial"/>
                <w:sz w:val="18"/>
                <w:szCs w:val="18"/>
                <w:color w:val="auto"/>
              </w:rPr>
              <w:t>BRL 7,058</w:t>
            </w:r>
          </w:p>
        </w:tc>
        <w:tc>
          <w:tcPr>
            <w:tcW w:w="1500" w:type="dxa"/>
            <w:vAlign w:val="bottom"/>
          </w:tcPr>
          <w:p>
            <w:pPr>
              <w:jc w:val="right"/>
              <w:spacing w:after="0"/>
              <w:rPr>
                <w:sz w:val="20"/>
                <w:szCs w:val="20"/>
                <w:color w:val="auto"/>
              </w:rPr>
            </w:pPr>
            <w:r>
              <w:rPr>
                <w:rFonts w:ascii="Arial" w:cs="Arial" w:eastAsia="Arial" w:hAnsi="Arial"/>
                <w:sz w:val="18"/>
                <w:szCs w:val="18"/>
                <w:color w:val="auto"/>
              </w:rPr>
              <w:t>2,909</w:t>
            </w:r>
          </w:p>
        </w:tc>
      </w:tr>
      <w:tr>
        <w:trPr>
          <w:trHeight w:val="256"/>
        </w:trPr>
        <w:tc>
          <w:tcPr>
            <w:tcW w:w="2900" w:type="dxa"/>
            <w:vAlign w:val="bottom"/>
          </w:tcPr>
          <w:p>
            <w:pPr>
              <w:spacing w:after="0"/>
              <w:rPr>
                <w:sz w:val="22"/>
                <w:szCs w:val="22"/>
                <w:color w:val="auto"/>
              </w:rPr>
            </w:pPr>
          </w:p>
        </w:tc>
        <w:tc>
          <w:tcPr>
            <w:tcW w:w="1780" w:type="dxa"/>
            <w:vAlign w:val="bottom"/>
          </w:tcPr>
          <w:p>
            <w:pPr>
              <w:ind w:left="320"/>
              <w:spacing w:after="0"/>
              <w:rPr>
                <w:sz w:val="20"/>
                <w:szCs w:val="20"/>
                <w:color w:val="auto"/>
              </w:rPr>
            </w:pPr>
            <w:r>
              <w:rPr>
                <w:rFonts w:ascii="Arial" w:cs="Arial" w:eastAsia="Arial" w:hAnsi="Arial"/>
                <w:sz w:val="18"/>
                <w:szCs w:val="18"/>
                <w:color w:val="auto"/>
              </w:rPr>
              <w:t>Anderson Bueno</w:t>
            </w:r>
          </w:p>
        </w:tc>
        <w:tc>
          <w:tcPr>
            <w:tcW w:w="1740" w:type="dxa"/>
            <w:vAlign w:val="bottom"/>
          </w:tcPr>
          <w:p>
            <w:pPr>
              <w:spacing w:after="0"/>
              <w:rPr>
                <w:sz w:val="22"/>
                <w:szCs w:val="22"/>
                <w:color w:val="auto"/>
              </w:rPr>
            </w:pPr>
          </w:p>
        </w:tc>
        <w:tc>
          <w:tcPr>
            <w:tcW w:w="19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1500" w:type="dxa"/>
            <w:vAlign w:val="bottom"/>
          </w:tcPr>
          <w:p>
            <w:pPr>
              <w:spacing w:after="0"/>
              <w:rPr>
                <w:sz w:val="22"/>
                <w:szCs w:val="22"/>
                <w:color w:val="auto"/>
              </w:rPr>
            </w:pPr>
          </w:p>
        </w:tc>
      </w:tr>
      <w:tr>
        <w:trPr>
          <w:trHeight w:val="230"/>
        </w:trPr>
        <w:tc>
          <w:tcPr>
            <w:tcW w:w="2900" w:type="dxa"/>
            <w:vAlign w:val="bottom"/>
          </w:tcPr>
          <w:p>
            <w:pPr>
              <w:ind w:left="20"/>
              <w:spacing w:after="0"/>
              <w:rPr>
                <w:sz w:val="20"/>
                <w:szCs w:val="20"/>
                <w:color w:val="auto"/>
              </w:rPr>
            </w:pPr>
            <w:r>
              <w:rPr>
                <w:rFonts w:ascii="Arial" w:cs="Arial" w:eastAsia="Arial" w:hAnsi="Arial"/>
                <w:sz w:val="18"/>
                <w:szCs w:val="18"/>
                <w:color w:val="auto"/>
              </w:rPr>
              <w:t>Telecom Net S.A. Logistica Digital</w:t>
            </w:r>
          </w:p>
        </w:tc>
        <w:tc>
          <w:tcPr>
            <w:tcW w:w="1780" w:type="dxa"/>
            <w:vAlign w:val="bottom"/>
          </w:tcPr>
          <w:p>
            <w:pPr>
              <w:ind w:left="320"/>
              <w:spacing w:after="0"/>
              <w:rPr>
                <w:sz w:val="20"/>
                <w:szCs w:val="20"/>
                <w:color w:val="auto"/>
              </w:rPr>
            </w:pPr>
            <w:r>
              <w:rPr>
                <w:rFonts w:ascii="Arial" w:cs="Arial" w:eastAsia="Arial" w:hAnsi="Arial"/>
                <w:sz w:val="18"/>
                <w:szCs w:val="18"/>
                <w:color w:val="auto"/>
              </w:rPr>
              <w:t>Da Silva</w:t>
            </w:r>
          </w:p>
        </w:tc>
        <w:tc>
          <w:tcPr>
            <w:tcW w:w="1740" w:type="dxa"/>
            <w:vAlign w:val="bottom"/>
          </w:tcPr>
          <w:p>
            <w:pPr>
              <w:ind w:left="20"/>
              <w:spacing w:after="0"/>
              <w:rPr>
                <w:sz w:val="20"/>
                <w:szCs w:val="20"/>
                <w:color w:val="auto"/>
              </w:rPr>
            </w:pPr>
            <w:r>
              <w:rPr>
                <w:rFonts w:ascii="Arial" w:cs="Arial" w:eastAsia="Arial" w:hAnsi="Arial"/>
                <w:sz w:val="18"/>
                <w:szCs w:val="18"/>
                <w:color w:val="auto"/>
              </w:rPr>
              <w:t>Legal Contingency</w:t>
            </w:r>
          </w:p>
        </w:tc>
        <w:tc>
          <w:tcPr>
            <w:tcW w:w="1900" w:type="dxa"/>
            <w:vAlign w:val="bottom"/>
          </w:tcPr>
          <w:p>
            <w:pPr>
              <w:ind w:left="320"/>
              <w:spacing w:after="0"/>
              <w:rPr>
                <w:sz w:val="20"/>
                <w:szCs w:val="20"/>
                <w:color w:val="auto"/>
              </w:rPr>
            </w:pPr>
            <w:r>
              <w:rPr>
                <w:rFonts w:ascii="Arial" w:cs="Arial" w:eastAsia="Arial" w:hAnsi="Arial"/>
                <w:sz w:val="18"/>
                <w:szCs w:val="18"/>
                <w:color w:val="auto"/>
              </w:rPr>
              <w:t>Cash deposit</w:t>
            </w:r>
          </w:p>
        </w:tc>
        <w:tc>
          <w:tcPr>
            <w:tcW w:w="1580" w:type="dxa"/>
            <w:vAlign w:val="bottom"/>
          </w:tcPr>
          <w:p>
            <w:pPr>
              <w:jc w:val="right"/>
              <w:spacing w:after="0"/>
              <w:rPr>
                <w:sz w:val="20"/>
                <w:szCs w:val="20"/>
                <w:color w:val="auto"/>
              </w:rPr>
            </w:pPr>
            <w:r>
              <w:rPr>
                <w:rFonts w:ascii="Arial" w:cs="Arial" w:eastAsia="Arial" w:hAnsi="Arial"/>
                <w:sz w:val="18"/>
                <w:szCs w:val="18"/>
                <w:color w:val="auto"/>
              </w:rPr>
              <w:t>BRL 14,116</w:t>
            </w:r>
          </w:p>
        </w:tc>
        <w:tc>
          <w:tcPr>
            <w:tcW w:w="1500" w:type="dxa"/>
            <w:vAlign w:val="bottom"/>
          </w:tcPr>
          <w:p>
            <w:pPr>
              <w:jc w:val="right"/>
              <w:spacing w:after="0"/>
              <w:rPr>
                <w:sz w:val="20"/>
                <w:szCs w:val="20"/>
                <w:color w:val="auto"/>
              </w:rPr>
            </w:pPr>
            <w:r>
              <w:rPr>
                <w:rFonts w:ascii="Arial" w:cs="Arial" w:eastAsia="Arial" w:hAnsi="Arial"/>
                <w:sz w:val="18"/>
                <w:szCs w:val="18"/>
                <w:color w:val="auto"/>
              </w:rPr>
              <w:t>5,819</w:t>
            </w:r>
          </w:p>
        </w:tc>
      </w:tr>
      <w:tr>
        <w:trPr>
          <w:trHeight w:val="256"/>
        </w:trPr>
        <w:tc>
          <w:tcPr>
            <w:tcW w:w="2900" w:type="dxa"/>
            <w:vAlign w:val="bottom"/>
          </w:tcPr>
          <w:p>
            <w:pPr>
              <w:spacing w:after="0"/>
              <w:rPr>
                <w:sz w:val="22"/>
                <w:szCs w:val="22"/>
                <w:color w:val="auto"/>
              </w:rPr>
            </w:pPr>
          </w:p>
        </w:tc>
        <w:tc>
          <w:tcPr>
            <w:tcW w:w="1780" w:type="dxa"/>
            <w:vAlign w:val="bottom"/>
          </w:tcPr>
          <w:p>
            <w:pPr>
              <w:ind w:left="320"/>
              <w:spacing w:after="0"/>
              <w:rPr>
                <w:sz w:val="20"/>
                <w:szCs w:val="20"/>
                <w:color w:val="auto"/>
              </w:rPr>
            </w:pPr>
            <w:r>
              <w:rPr>
                <w:rFonts w:ascii="Arial" w:cs="Arial" w:eastAsia="Arial" w:hAnsi="Arial"/>
                <w:sz w:val="18"/>
                <w:szCs w:val="18"/>
                <w:color w:val="auto"/>
              </w:rPr>
              <w:t>Lucivan Henrique</w:t>
            </w:r>
          </w:p>
        </w:tc>
        <w:tc>
          <w:tcPr>
            <w:tcW w:w="1740" w:type="dxa"/>
            <w:vAlign w:val="bottom"/>
          </w:tcPr>
          <w:p>
            <w:pPr>
              <w:spacing w:after="0"/>
              <w:rPr>
                <w:sz w:val="22"/>
                <w:szCs w:val="22"/>
                <w:color w:val="auto"/>
              </w:rPr>
            </w:pPr>
          </w:p>
        </w:tc>
        <w:tc>
          <w:tcPr>
            <w:tcW w:w="19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1500" w:type="dxa"/>
            <w:vAlign w:val="bottom"/>
          </w:tcPr>
          <w:p>
            <w:pPr>
              <w:spacing w:after="0"/>
              <w:rPr>
                <w:sz w:val="22"/>
                <w:szCs w:val="22"/>
                <w:color w:val="auto"/>
              </w:rPr>
            </w:pPr>
          </w:p>
        </w:tc>
      </w:tr>
      <w:tr>
        <w:trPr>
          <w:trHeight w:val="230"/>
        </w:trPr>
        <w:tc>
          <w:tcPr>
            <w:tcW w:w="2900" w:type="dxa"/>
            <w:vAlign w:val="bottom"/>
          </w:tcPr>
          <w:p>
            <w:pPr>
              <w:ind w:left="20"/>
              <w:spacing w:after="0"/>
              <w:rPr>
                <w:sz w:val="20"/>
                <w:szCs w:val="20"/>
                <w:color w:val="auto"/>
              </w:rPr>
            </w:pPr>
            <w:r>
              <w:rPr>
                <w:rFonts w:ascii="Arial" w:cs="Arial" w:eastAsia="Arial" w:hAnsi="Arial"/>
                <w:sz w:val="18"/>
                <w:szCs w:val="18"/>
                <w:color w:val="auto"/>
              </w:rPr>
              <w:t>Telecom Net S.A. Logistica Digital</w:t>
            </w:r>
          </w:p>
        </w:tc>
        <w:tc>
          <w:tcPr>
            <w:tcW w:w="1780" w:type="dxa"/>
            <w:vAlign w:val="bottom"/>
          </w:tcPr>
          <w:p>
            <w:pPr>
              <w:ind w:left="320"/>
              <w:spacing w:after="0"/>
              <w:rPr>
                <w:sz w:val="20"/>
                <w:szCs w:val="20"/>
                <w:color w:val="auto"/>
              </w:rPr>
            </w:pPr>
            <w:r>
              <w:rPr>
                <w:rFonts w:ascii="Arial" w:cs="Arial" w:eastAsia="Arial" w:hAnsi="Arial"/>
                <w:sz w:val="18"/>
                <w:szCs w:val="18"/>
                <w:color w:val="auto"/>
              </w:rPr>
              <w:t>Bezerra Gurgel</w:t>
            </w:r>
          </w:p>
        </w:tc>
        <w:tc>
          <w:tcPr>
            <w:tcW w:w="1740" w:type="dxa"/>
            <w:vAlign w:val="bottom"/>
          </w:tcPr>
          <w:p>
            <w:pPr>
              <w:ind w:left="20"/>
              <w:spacing w:after="0"/>
              <w:rPr>
                <w:sz w:val="20"/>
                <w:szCs w:val="20"/>
                <w:color w:val="auto"/>
              </w:rPr>
            </w:pPr>
            <w:r>
              <w:rPr>
                <w:rFonts w:ascii="Arial" w:cs="Arial" w:eastAsia="Arial" w:hAnsi="Arial"/>
                <w:sz w:val="18"/>
                <w:szCs w:val="18"/>
                <w:color w:val="auto"/>
              </w:rPr>
              <w:t>Legal Contingency</w:t>
            </w:r>
          </w:p>
        </w:tc>
        <w:tc>
          <w:tcPr>
            <w:tcW w:w="1900" w:type="dxa"/>
            <w:vAlign w:val="bottom"/>
          </w:tcPr>
          <w:p>
            <w:pPr>
              <w:ind w:left="320"/>
              <w:spacing w:after="0"/>
              <w:rPr>
                <w:sz w:val="20"/>
                <w:szCs w:val="20"/>
                <w:color w:val="auto"/>
              </w:rPr>
            </w:pPr>
            <w:r>
              <w:rPr>
                <w:rFonts w:ascii="Arial" w:cs="Arial" w:eastAsia="Arial" w:hAnsi="Arial"/>
                <w:sz w:val="18"/>
                <w:szCs w:val="18"/>
                <w:color w:val="auto"/>
              </w:rPr>
              <w:t>Cash deposit</w:t>
            </w:r>
          </w:p>
        </w:tc>
        <w:tc>
          <w:tcPr>
            <w:tcW w:w="1580" w:type="dxa"/>
            <w:vAlign w:val="bottom"/>
          </w:tcPr>
          <w:p>
            <w:pPr>
              <w:jc w:val="right"/>
              <w:spacing w:after="0"/>
              <w:rPr>
                <w:sz w:val="20"/>
                <w:szCs w:val="20"/>
                <w:color w:val="auto"/>
              </w:rPr>
            </w:pPr>
            <w:r>
              <w:rPr>
                <w:rFonts w:ascii="Arial" w:cs="Arial" w:eastAsia="Arial" w:hAnsi="Arial"/>
                <w:sz w:val="18"/>
                <w:szCs w:val="18"/>
                <w:color w:val="auto"/>
              </w:rPr>
              <w:t>BRL 7,058</w:t>
            </w:r>
          </w:p>
        </w:tc>
        <w:tc>
          <w:tcPr>
            <w:tcW w:w="1500" w:type="dxa"/>
            <w:vAlign w:val="bottom"/>
          </w:tcPr>
          <w:p>
            <w:pPr>
              <w:jc w:val="right"/>
              <w:spacing w:after="0"/>
              <w:rPr>
                <w:sz w:val="20"/>
                <w:szCs w:val="20"/>
                <w:color w:val="auto"/>
              </w:rPr>
            </w:pPr>
            <w:r>
              <w:rPr>
                <w:rFonts w:ascii="Arial" w:cs="Arial" w:eastAsia="Arial" w:hAnsi="Arial"/>
                <w:sz w:val="18"/>
                <w:szCs w:val="18"/>
                <w:color w:val="auto"/>
              </w:rPr>
              <w:t>2,909</w:t>
            </w:r>
          </w:p>
        </w:tc>
      </w:tr>
      <w:tr>
        <w:trPr>
          <w:trHeight w:val="256"/>
        </w:trPr>
        <w:tc>
          <w:tcPr>
            <w:tcW w:w="2900" w:type="dxa"/>
            <w:vAlign w:val="bottom"/>
          </w:tcPr>
          <w:p>
            <w:pPr>
              <w:spacing w:after="0"/>
              <w:rPr>
                <w:sz w:val="22"/>
                <w:szCs w:val="22"/>
                <w:color w:val="auto"/>
              </w:rPr>
            </w:pPr>
          </w:p>
        </w:tc>
        <w:tc>
          <w:tcPr>
            <w:tcW w:w="1780" w:type="dxa"/>
            <w:vAlign w:val="bottom"/>
          </w:tcPr>
          <w:p>
            <w:pPr>
              <w:ind w:left="320"/>
              <w:spacing w:after="0"/>
              <w:rPr>
                <w:sz w:val="20"/>
                <w:szCs w:val="20"/>
                <w:color w:val="auto"/>
              </w:rPr>
            </w:pPr>
            <w:r>
              <w:rPr>
                <w:rFonts w:ascii="Arial" w:cs="Arial" w:eastAsia="Arial" w:hAnsi="Arial"/>
                <w:sz w:val="18"/>
                <w:szCs w:val="18"/>
                <w:color w:val="auto"/>
                <w:w w:val="94"/>
              </w:rPr>
              <w:t>Richard de Oliveira</w:t>
            </w:r>
          </w:p>
        </w:tc>
        <w:tc>
          <w:tcPr>
            <w:tcW w:w="1740" w:type="dxa"/>
            <w:vAlign w:val="bottom"/>
          </w:tcPr>
          <w:p>
            <w:pPr>
              <w:spacing w:after="0"/>
              <w:rPr>
                <w:sz w:val="22"/>
                <w:szCs w:val="22"/>
                <w:color w:val="auto"/>
              </w:rPr>
            </w:pPr>
          </w:p>
        </w:tc>
        <w:tc>
          <w:tcPr>
            <w:tcW w:w="19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1500" w:type="dxa"/>
            <w:vAlign w:val="bottom"/>
          </w:tcPr>
          <w:p>
            <w:pPr>
              <w:spacing w:after="0"/>
              <w:rPr>
                <w:sz w:val="22"/>
                <w:szCs w:val="22"/>
                <w:color w:val="auto"/>
              </w:rPr>
            </w:pPr>
          </w:p>
        </w:tc>
      </w:tr>
      <w:tr>
        <w:trPr>
          <w:trHeight w:val="230"/>
        </w:trPr>
        <w:tc>
          <w:tcPr>
            <w:tcW w:w="2900" w:type="dxa"/>
            <w:vAlign w:val="bottom"/>
          </w:tcPr>
          <w:p>
            <w:pPr>
              <w:ind w:left="20"/>
              <w:spacing w:after="0"/>
              <w:rPr>
                <w:sz w:val="20"/>
                <w:szCs w:val="20"/>
                <w:color w:val="auto"/>
              </w:rPr>
            </w:pPr>
            <w:r>
              <w:rPr>
                <w:rFonts w:ascii="Arial" w:cs="Arial" w:eastAsia="Arial" w:hAnsi="Arial"/>
                <w:sz w:val="18"/>
                <w:szCs w:val="18"/>
                <w:color w:val="auto"/>
              </w:rPr>
              <w:t>Telecom Net S.A. Logistica Digital</w:t>
            </w:r>
          </w:p>
        </w:tc>
        <w:tc>
          <w:tcPr>
            <w:tcW w:w="1780" w:type="dxa"/>
            <w:vAlign w:val="bottom"/>
          </w:tcPr>
          <w:p>
            <w:pPr>
              <w:ind w:left="320"/>
              <w:spacing w:after="0"/>
              <w:rPr>
                <w:sz w:val="20"/>
                <w:szCs w:val="20"/>
                <w:color w:val="auto"/>
              </w:rPr>
            </w:pPr>
            <w:r>
              <w:rPr>
                <w:rFonts w:ascii="Arial" w:cs="Arial" w:eastAsia="Arial" w:hAnsi="Arial"/>
                <w:sz w:val="18"/>
                <w:szCs w:val="18"/>
                <w:color w:val="auto"/>
              </w:rPr>
              <w:t>Ribas</w:t>
            </w:r>
          </w:p>
        </w:tc>
        <w:tc>
          <w:tcPr>
            <w:tcW w:w="1740" w:type="dxa"/>
            <w:vAlign w:val="bottom"/>
          </w:tcPr>
          <w:p>
            <w:pPr>
              <w:ind w:left="20"/>
              <w:spacing w:after="0"/>
              <w:rPr>
                <w:sz w:val="20"/>
                <w:szCs w:val="20"/>
                <w:color w:val="auto"/>
              </w:rPr>
            </w:pPr>
            <w:r>
              <w:rPr>
                <w:rFonts w:ascii="Arial" w:cs="Arial" w:eastAsia="Arial" w:hAnsi="Arial"/>
                <w:sz w:val="18"/>
                <w:szCs w:val="18"/>
                <w:color w:val="auto"/>
              </w:rPr>
              <w:t>Legal Contingency</w:t>
            </w:r>
          </w:p>
        </w:tc>
        <w:tc>
          <w:tcPr>
            <w:tcW w:w="1900" w:type="dxa"/>
            <w:vAlign w:val="bottom"/>
          </w:tcPr>
          <w:p>
            <w:pPr>
              <w:ind w:left="320"/>
              <w:spacing w:after="0"/>
              <w:rPr>
                <w:sz w:val="20"/>
                <w:szCs w:val="20"/>
                <w:color w:val="auto"/>
              </w:rPr>
            </w:pPr>
            <w:r>
              <w:rPr>
                <w:rFonts w:ascii="Arial" w:cs="Arial" w:eastAsia="Arial" w:hAnsi="Arial"/>
                <w:sz w:val="18"/>
                <w:szCs w:val="18"/>
                <w:color w:val="auto"/>
              </w:rPr>
              <w:t>Cash deposit</w:t>
            </w:r>
          </w:p>
        </w:tc>
        <w:tc>
          <w:tcPr>
            <w:tcW w:w="1580" w:type="dxa"/>
            <w:vAlign w:val="bottom"/>
          </w:tcPr>
          <w:p>
            <w:pPr>
              <w:jc w:val="right"/>
              <w:spacing w:after="0"/>
              <w:rPr>
                <w:sz w:val="20"/>
                <w:szCs w:val="20"/>
                <w:color w:val="auto"/>
              </w:rPr>
            </w:pPr>
            <w:r>
              <w:rPr>
                <w:rFonts w:ascii="Arial" w:cs="Arial" w:eastAsia="Arial" w:hAnsi="Arial"/>
                <w:sz w:val="18"/>
                <w:szCs w:val="18"/>
                <w:color w:val="auto"/>
              </w:rPr>
              <w:t>BRL 7,058</w:t>
            </w:r>
          </w:p>
        </w:tc>
        <w:tc>
          <w:tcPr>
            <w:tcW w:w="1500" w:type="dxa"/>
            <w:vAlign w:val="bottom"/>
          </w:tcPr>
          <w:p>
            <w:pPr>
              <w:jc w:val="right"/>
              <w:spacing w:after="0"/>
              <w:rPr>
                <w:sz w:val="20"/>
                <w:szCs w:val="20"/>
                <w:color w:val="auto"/>
              </w:rPr>
            </w:pPr>
            <w:r>
              <w:rPr>
                <w:rFonts w:ascii="Arial" w:cs="Arial" w:eastAsia="Arial" w:hAnsi="Arial"/>
                <w:sz w:val="18"/>
                <w:szCs w:val="18"/>
                <w:color w:val="auto"/>
              </w:rPr>
              <w:t>2,909</w:t>
            </w:r>
          </w:p>
        </w:tc>
      </w:tr>
      <w:tr>
        <w:trPr>
          <w:trHeight w:val="270"/>
        </w:trPr>
        <w:tc>
          <w:tcPr>
            <w:tcW w:w="2900" w:type="dxa"/>
            <w:vAlign w:val="bottom"/>
          </w:tcPr>
          <w:p>
            <w:pPr>
              <w:ind w:left="20"/>
              <w:spacing w:after="0"/>
              <w:rPr>
                <w:sz w:val="20"/>
                <w:szCs w:val="20"/>
                <w:color w:val="auto"/>
              </w:rPr>
            </w:pPr>
            <w:r>
              <w:rPr>
                <w:rFonts w:ascii="Arial" w:cs="Arial" w:eastAsia="Arial" w:hAnsi="Arial"/>
                <w:sz w:val="18"/>
                <w:szCs w:val="18"/>
                <w:color w:val="auto"/>
              </w:rPr>
              <w:t>Telecom Net S.A. Logistica Digital</w:t>
            </w:r>
          </w:p>
        </w:tc>
        <w:tc>
          <w:tcPr>
            <w:tcW w:w="1780" w:type="dxa"/>
            <w:vAlign w:val="bottom"/>
          </w:tcPr>
          <w:p>
            <w:pPr>
              <w:ind w:left="320"/>
              <w:spacing w:after="0"/>
              <w:rPr>
                <w:sz w:val="20"/>
                <w:szCs w:val="20"/>
                <w:color w:val="auto"/>
              </w:rPr>
            </w:pPr>
            <w:r>
              <w:rPr>
                <w:rFonts w:ascii="Arial" w:cs="Arial" w:eastAsia="Arial" w:hAnsi="Arial"/>
                <w:sz w:val="18"/>
                <w:szCs w:val="18"/>
                <w:color w:val="auto"/>
              </w:rPr>
              <w:t>Mauro Nei Guiot</w:t>
            </w:r>
          </w:p>
        </w:tc>
        <w:tc>
          <w:tcPr>
            <w:tcW w:w="1740" w:type="dxa"/>
            <w:vAlign w:val="bottom"/>
          </w:tcPr>
          <w:p>
            <w:pPr>
              <w:ind w:left="20"/>
              <w:spacing w:after="0"/>
              <w:rPr>
                <w:sz w:val="20"/>
                <w:szCs w:val="20"/>
                <w:color w:val="auto"/>
              </w:rPr>
            </w:pPr>
            <w:r>
              <w:rPr>
                <w:rFonts w:ascii="Arial" w:cs="Arial" w:eastAsia="Arial" w:hAnsi="Arial"/>
                <w:sz w:val="18"/>
                <w:szCs w:val="18"/>
                <w:color w:val="auto"/>
              </w:rPr>
              <w:t>Legal Contingency</w:t>
            </w:r>
          </w:p>
        </w:tc>
        <w:tc>
          <w:tcPr>
            <w:tcW w:w="1900" w:type="dxa"/>
            <w:vAlign w:val="bottom"/>
          </w:tcPr>
          <w:p>
            <w:pPr>
              <w:ind w:left="320"/>
              <w:spacing w:after="0"/>
              <w:rPr>
                <w:sz w:val="20"/>
                <w:szCs w:val="20"/>
                <w:color w:val="auto"/>
              </w:rPr>
            </w:pPr>
            <w:r>
              <w:rPr>
                <w:rFonts w:ascii="Arial" w:cs="Arial" w:eastAsia="Arial" w:hAnsi="Arial"/>
                <w:sz w:val="18"/>
                <w:szCs w:val="18"/>
                <w:color w:val="auto"/>
              </w:rPr>
              <w:t>Cash deposit</w:t>
            </w:r>
          </w:p>
        </w:tc>
        <w:tc>
          <w:tcPr>
            <w:tcW w:w="1580" w:type="dxa"/>
            <w:vAlign w:val="bottom"/>
          </w:tcPr>
          <w:p>
            <w:pPr>
              <w:jc w:val="right"/>
              <w:spacing w:after="0"/>
              <w:rPr>
                <w:sz w:val="20"/>
                <w:szCs w:val="20"/>
                <w:color w:val="auto"/>
              </w:rPr>
            </w:pPr>
            <w:r>
              <w:rPr>
                <w:rFonts w:ascii="Arial" w:cs="Arial" w:eastAsia="Arial" w:hAnsi="Arial"/>
                <w:sz w:val="18"/>
                <w:szCs w:val="18"/>
                <w:color w:val="auto"/>
              </w:rPr>
              <w:t>BRL 7,058</w:t>
            </w:r>
          </w:p>
        </w:tc>
        <w:tc>
          <w:tcPr>
            <w:tcW w:w="1500" w:type="dxa"/>
            <w:vAlign w:val="bottom"/>
          </w:tcPr>
          <w:p>
            <w:pPr>
              <w:jc w:val="right"/>
              <w:spacing w:after="0"/>
              <w:rPr>
                <w:sz w:val="20"/>
                <w:szCs w:val="20"/>
                <w:color w:val="auto"/>
              </w:rPr>
            </w:pPr>
            <w:r>
              <w:rPr>
                <w:rFonts w:ascii="Arial" w:cs="Arial" w:eastAsia="Arial" w:hAnsi="Arial"/>
                <w:sz w:val="18"/>
                <w:szCs w:val="18"/>
                <w:color w:val="auto"/>
              </w:rPr>
              <w:t>2,909</w:t>
            </w:r>
          </w:p>
        </w:tc>
      </w:tr>
      <w:tr>
        <w:trPr>
          <w:trHeight w:val="27"/>
        </w:trPr>
        <w:tc>
          <w:tcPr>
            <w:tcW w:w="2900" w:type="dxa"/>
            <w:vAlign w:val="bottom"/>
            <w:tcBorders>
              <w:bottom w:val="single" w:sz="8" w:color="C0C0C0"/>
            </w:tcBorders>
          </w:tcPr>
          <w:p>
            <w:pPr>
              <w:spacing w:after="0"/>
              <w:rPr>
                <w:sz w:val="2"/>
                <w:szCs w:val="2"/>
                <w:color w:val="auto"/>
              </w:rPr>
            </w:pPr>
          </w:p>
        </w:tc>
        <w:tc>
          <w:tcPr>
            <w:tcW w:w="1780" w:type="dxa"/>
            <w:vAlign w:val="bottom"/>
            <w:tcBorders>
              <w:bottom w:val="single" w:sz="8" w:color="C0C0C0"/>
            </w:tcBorders>
          </w:tcPr>
          <w:p>
            <w:pPr>
              <w:spacing w:after="0"/>
              <w:rPr>
                <w:sz w:val="2"/>
                <w:szCs w:val="2"/>
                <w:color w:val="auto"/>
              </w:rPr>
            </w:pPr>
          </w:p>
        </w:tc>
        <w:tc>
          <w:tcPr>
            <w:tcW w:w="1740" w:type="dxa"/>
            <w:vAlign w:val="bottom"/>
            <w:tcBorders>
              <w:bottom w:val="single" w:sz="8" w:color="C0C0C0"/>
            </w:tcBorders>
          </w:tcPr>
          <w:p>
            <w:pPr>
              <w:spacing w:after="0"/>
              <w:rPr>
                <w:sz w:val="2"/>
                <w:szCs w:val="2"/>
                <w:color w:val="auto"/>
              </w:rPr>
            </w:pPr>
          </w:p>
        </w:tc>
        <w:tc>
          <w:tcPr>
            <w:tcW w:w="1900" w:type="dxa"/>
            <w:vAlign w:val="bottom"/>
            <w:tcBorders>
              <w:bottom w:val="single" w:sz="8" w:color="C0C0C0"/>
            </w:tcBorders>
          </w:tcPr>
          <w:p>
            <w:pPr>
              <w:spacing w:after="0"/>
              <w:rPr>
                <w:sz w:val="2"/>
                <w:szCs w:val="2"/>
                <w:color w:val="auto"/>
              </w:rPr>
            </w:pPr>
          </w:p>
        </w:tc>
        <w:tc>
          <w:tcPr>
            <w:tcW w:w="1580" w:type="dxa"/>
            <w:vAlign w:val="bottom"/>
            <w:tcBorders>
              <w:bottom w:val="single" w:sz="8" w:color="C0C0C0"/>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r>
      <w:tr>
        <w:trPr>
          <w:trHeight w:val="264"/>
        </w:trPr>
        <w:tc>
          <w:tcPr>
            <w:tcW w:w="2900" w:type="dxa"/>
            <w:vAlign w:val="bottom"/>
            <w:tcBorders>
              <w:bottom w:val="single" w:sz="8" w:color="C0C0C0"/>
            </w:tcBorders>
            <w:shd w:val="clear" w:color="auto" w:fill="C0C0C0"/>
          </w:tcPr>
          <w:p>
            <w:pPr>
              <w:ind w:left="20"/>
              <w:spacing w:after="0"/>
              <w:rPr>
                <w:sz w:val="20"/>
                <w:szCs w:val="20"/>
                <w:color w:val="auto"/>
              </w:rPr>
            </w:pPr>
            <w:r>
              <w:rPr>
                <w:rFonts w:ascii="Arial" w:cs="Arial" w:eastAsia="Arial" w:hAnsi="Arial"/>
                <w:sz w:val="18"/>
                <w:szCs w:val="18"/>
                <w:b w:val="1"/>
                <w:bCs w:val="1"/>
                <w:color w:val="auto"/>
              </w:rPr>
              <w:t>Total Other</w:t>
            </w:r>
          </w:p>
        </w:tc>
        <w:tc>
          <w:tcPr>
            <w:tcW w:w="1780" w:type="dxa"/>
            <w:vAlign w:val="bottom"/>
            <w:tcBorders>
              <w:bottom w:val="single" w:sz="8" w:color="C0C0C0"/>
            </w:tcBorders>
            <w:shd w:val="clear" w:color="auto" w:fill="C0C0C0"/>
          </w:tcPr>
          <w:p>
            <w:pPr>
              <w:spacing w:after="0"/>
              <w:rPr>
                <w:sz w:val="22"/>
                <w:szCs w:val="22"/>
                <w:color w:val="auto"/>
              </w:rPr>
            </w:pPr>
          </w:p>
        </w:tc>
        <w:tc>
          <w:tcPr>
            <w:tcW w:w="1740" w:type="dxa"/>
            <w:vAlign w:val="bottom"/>
            <w:tcBorders>
              <w:bottom w:val="single" w:sz="8" w:color="C0C0C0"/>
            </w:tcBorders>
            <w:shd w:val="clear" w:color="auto" w:fill="C0C0C0"/>
          </w:tcPr>
          <w:p>
            <w:pPr>
              <w:spacing w:after="0"/>
              <w:rPr>
                <w:sz w:val="22"/>
                <w:szCs w:val="22"/>
                <w:color w:val="auto"/>
              </w:rPr>
            </w:pPr>
          </w:p>
        </w:tc>
        <w:tc>
          <w:tcPr>
            <w:tcW w:w="1900" w:type="dxa"/>
            <w:vAlign w:val="bottom"/>
            <w:tcBorders>
              <w:bottom w:val="single" w:sz="8" w:color="C0C0C0"/>
            </w:tcBorders>
            <w:shd w:val="clear" w:color="auto" w:fill="C0C0C0"/>
          </w:tcPr>
          <w:p>
            <w:pPr>
              <w:spacing w:after="0"/>
              <w:rPr>
                <w:sz w:val="22"/>
                <w:szCs w:val="22"/>
                <w:color w:val="auto"/>
              </w:rPr>
            </w:pPr>
          </w:p>
        </w:tc>
        <w:tc>
          <w:tcPr>
            <w:tcW w:w="1580" w:type="dxa"/>
            <w:vAlign w:val="bottom"/>
            <w:tcBorders>
              <w:bottom w:val="single" w:sz="8" w:color="C0C0C0"/>
            </w:tcBorders>
            <w:shd w:val="clear" w:color="auto" w:fill="C0C0C0"/>
          </w:tcPr>
          <w:p>
            <w:pPr>
              <w:spacing w:after="0"/>
              <w:rPr>
                <w:sz w:val="22"/>
                <w:szCs w:val="22"/>
                <w:color w:val="auto"/>
              </w:rPr>
            </w:pPr>
          </w:p>
        </w:tc>
        <w:tc>
          <w:tcPr>
            <w:tcW w:w="1500" w:type="dxa"/>
            <w:vAlign w:val="bottom"/>
            <w:tcBorders>
              <w:bottom w:val="single" w:sz="8" w:color="C0C0C0"/>
            </w:tcBorders>
            <w:shd w:val="clear" w:color="auto" w:fill="C0C0C0"/>
          </w:tcPr>
          <w:p>
            <w:pPr>
              <w:jc w:val="right"/>
              <w:spacing w:after="0"/>
              <w:rPr>
                <w:sz w:val="20"/>
                <w:szCs w:val="20"/>
                <w:color w:val="auto"/>
              </w:rPr>
            </w:pPr>
            <w:r>
              <w:rPr>
                <w:rFonts w:ascii="Arial" w:cs="Arial" w:eastAsia="Arial" w:hAnsi="Arial"/>
                <w:sz w:val="18"/>
                <w:szCs w:val="18"/>
                <w:b w:val="1"/>
                <w:bCs w:val="1"/>
                <w:color w:val="auto"/>
              </w:rPr>
              <w:t>$ 32,697</w:t>
            </w:r>
          </w:p>
        </w:tc>
      </w:tr>
      <w:tr>
        <w:trPr>
          <w:trHeight w:val="493"/>
        </w:trPr>
        <w:tc>
          <w:tcPr>
            <w:tcW w:w="2900" w:type="dxa"/>
            <w:vAlign w:val="bottom"/>
            <w:tcBorders>
              <w:bottom w:val="single" w:sz="8" w:color="C0C0C0"/>
            </w:tcBorders>
          </w:tcPr>
          <w:p>
            <w:pPr>
              <w:spacing w:after="0"/>
              <w:rPr>
                <w:sz w:val="24"/>
                <w:szCs w:val="24"/>
                <w:color w:val="auto"/>
              </w:rPr>
            </w:pPr>
          </w:p>
        </w:tc>
        <w:tc>
          <w:tcPr>
            <w:tcW w:w="1780" w:type="dxa"/>
            <w:vAlign w:val="bottom"/>
            <w:tcBorders>
              <w:bottom w:val="single" w:sz="8" w:color="C0C0C0"/>
            </w:tcBorders>
          </w:tcPr>
          <w:p>
            <w:pPr>
              <w:spacing w:after="0"/>
              <w:rPr>
                <w:sz w:val="24"/>
                <w:szCs w:val="24"/>
                <w:color w:val="auto"/>
              </w:rPr>
            </w:pPr>
          </w:p>
        </w:tc>
        <w:tc>
          <w:tcPr>
            <w:tcW w:w="1740" w:type="dxa"/>
            <w:vAlign w:val="bottom"/>
            <w:tcBorders>
              <w:bottom w:val="single" w:sz="8" w:color="C0C0C0"/>
            </w:tcBorders>
          </w:tcPr>
          <w:p>
            <w:pPr>
              <w:spacing w:after="0"/>
              <w:rPr>
                <w:sz w:val="24"/>
                <w:szCs w:val="24"/>
                <w:color w:val="auto"/>
              </w:rPr>
            </w:pPr>
          </w:p>
        </w:tc>
        <w:tc>
          <w:tcPr>
            <w:tcW w:w="1900" w:type="dxa"/>
            <w:vAlign w:val="bottom"/>
            <w:tcBorders>
              <w:bottom w:val="single" w:sz="8" w:color="C0C0C0"/>
            </w:tcBorders>
          </w:tcPr>
          <w:p>
            <w:pPr>
              <w:spacing w:after="0"/>
              <w:rPr>
                <w:sz w:val="24"/>
                <w:szCs w:val="24"/>
                <w:color w:val="auto"/>
              </w:rPr>
            </w:pPr>
          </w:p>
        </w:tc>
        <w:tc>
          <w:tcPr>
            <w:tcW w:w="1580" w:type="dxa"/>
            <w:vAlign w:val="bottom"/>
            <w:tcBorders>
              <w:bottom w:val="single" w:sz="8" w:color="C0C0C0"/>
            </w:tcBorders>
          </w:tcPr>
          <w:p>
            <w:pPr>
              <w:spacing w:after="0"/>
              <w:rPr>
                <w:sz w:val="24"/>
                <w:szCs w:val="24"/>
                <w:color w:val="auto"/>
              </w:rPr>
            </w:pPr>
          </w:p>
        </w:tc>
        <w:tc>
          <w:tcPr>
            <w:tcW w:w="1500" w:type="dxa"/>
            <w:vAlign w:val="bottom"/>
            <w:tcBorders>
              <w:top w:val="single" w:sz="8" w:color="auto"/>
              <w:bottom w:val="single" w:sz="8" w:color="auto"/>
            </w:tcBorders>
          </w:tcPr>
          <w:p>
            <w:pPr>
              <w:spacing w:after="0"/>
              <w:rPr>
                <w:sz w:val="24"/>
                <w:szCs w:val="24"/>
                <w:color w:val="auto"/>
              </w:rPr>
            </w:pPr>
          </w:p>
        </w:tc>
      </w:tr>
      <w:tr>
        <w:trPr>
          <w:trHeight w:val="257"/>
        </w:trPr>
        <w:tc>
          <w:tcPr>
            <w:tcW w:w="2900" w:type="dxa"/>
            <w:vAlign w:val="bottom"/>
            <w:tcBorders>
              <w:bottom w:val="single" w:sz="8" w:color="C0C0C0"/>
            </w:tcBorders>
            <w:shd w:val="clear" w:color="auto" w:fill="C0C0C0"/>
          </w:tcPr>
          <w:p>
            <w:pPr>
              <w:ind w:left="20"/>
              <w:spacing w:after="0"/>
              <w:rPr>
                <w:sz w:val="20"/>
                <w:szCs w:val="20"/>
                <w:color w:val="auto"/>
              </w:rPr>
            </w:pPr>
            <w:r>
              <w:rPr>
                <w:rFonts w:ascii="Arial" w:cs="Arial" w:eastAsia="Arial" w:hAnsi="Arial"/>
                <w:sz w:val="18"/>
                <w:szCs w:val="18"/>
                <w:b w:val="1"/>
                <w:bCs w:val="1"/>
                <w:color w:val="auto"/>
              </w:rPr>
              <w:t>Total Existing Liens</w:t>
            </w:r>
          </w:p>
        </w:tc>
        <w:tc>
          <w:tcPr>
            <w:tcW w:w="1780" w:type="dxa"/>
            <w:vAlign w:val="bottom"/>
            <w:tcBorders>
              <w:bottom w:val="single" w:sz="8" w:color="C0C0C0"/>
            </w:tcBorders>
            <w:shd w:val="clear" w:color="auto" w:fill="C0C0C0"/>
          </w:tcPr>
          <w:p>
            <w:pPr>
              <w:spacing w:after="0"/>
              <w:rPr>
                <w:sz w:val="22"/>
                <w:szCs w:val="22"/>
                <w:color w:val="auto"/>
              </w:rPr>
            </w:pPr>
          </w:p>
        </w:tc>
        <w:tc>
          <w:tcPr>
            <w:tcW w:w="1740" w:type="dxa"/>
            <w:vAlign w:val="bottom"/>
            <w:tcBorders>
              <w:bottom w:val="single" w:sz="8" w:color="C0C0C0"/>
            </w:tcBorders>
            <w:shd w:val="clear" w:color="auto" w:fill="C0C0C0"/>
          </w:tcPr>
          <w:p>
            <w:pPr>
              <w:spacing w:after="0"/>
              <w:rPr>
                <w:sz w:val="22"/>
                <w:szCs w:val="22"/>
                <w:color w:val="auto"/>
              </w:rPr>
            </w:pPr>
          </w:p>
        </w:tc>
        <w:tc>
          <w:tcPr>
            <w:tcW w:w="1900" w:type="dxa"/>
            <w:vAlign w:val="bottom"/>
            <w:tcBorders>
              <w:bottom w:val="single" w:sz="8" w:color="C0C0C0"/>
            </w:tcBorders>
            <w:shd w:val="clear" w:color="auto" w:fill="C0C0C0"/>
          </w:tcPr>
          <w:p>
            <w:pPr>
              <w:spacing w:after="0"/>
              <w:rPr>
                <w:sz w:val="22"/>
                <w:szCs w:val="22"/>
                <w:color w:val="auto"/>
              </w:rPr>
            </w:pPr>
          </w:p>
        </w:tc>
        <w:tc>
          <w:tcPr>
            <w:tcW w:w="1580" w:type="dxa"/>
            <w:vAlign w:val="bottom"/>
            <w:tcBorders>
              <w:bottom w:val="single" w:sz="8" w:color="C0C0C0"/>
            </w:tcBorders>
            <w:shd w:val="clear" w:color="auto" w:fill="C0C0C0"/>
          </w:tcPr>
          <w:p>
            <w:pPr>
              <w:spacing w:after="0"/>
              <w:rPr>
                <w:sz w:val="22"/>
                <w:szCs w:val="22"/>
                <w:color w:val="auto"/>
              </w:rPr>
            </w:pPr>
          </w:p>
        </w:tc>
        <w:tc>
          <w:tcPr>
            <w:tcW w:w="1500" w:type="dxa"/>
            <w:vAlign w:val="bottom"/>
            <w:tcBorders>
              <w:bottom w:val="single" w:sz="8" w:color="auto"/>
            </w:tcBorders>
            <w:shd w:val="clear" w:color="auto" w:fill="C0C0C0"/>
          </w:tcPr>
          <w:p>
            <w:pPr>
              <w:jc w:val="right"/>
              <w:spacing w:after="0"/>
              <w:rPr>
                <w:sz w:val="20"/>
                <w:szCs w:val="20"/>
                <w:color w:val="auto"/>
              </w:rPr>
            </w:pPr>
            <w:r>
              <w:rPr>
                <w:rFonts w:ascii="Arial" w:cs="Arial" w:eastAsia="Arial" w:hAnsi="Arial"/>
                <w:sz w:val="18"/>
                <w:szCs w:val="18"/>
                <w:b w:val="1"/>
                <w:bCs w:val="1"/>
                <w:color w:val="auto"/>
              </w:rPr>
              <w:t>$ 15,174,945</w:t>
            </w:r>
          </w:p>
        </w:tc>
      </w:tr>
      <w:tr>
        <w:trPr>
          <w:trHeight w:val="20"/>
        </w:trPr>
        <w:tc>
          <w:tcPr>
            <w:tcW w:w="290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r>
    </w:tbl>
    <w:p>
      <w:pPr>
        <w:spacing w:after="0" w:line="360"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u w:val="single" w:color="auto"/>
          <w:color w:val="auto"/>
        </w:rPr>
        <w:t>Schedule 8.02 - Existing Investments</w:t>
      </w:r>
    </w:p>
    <w:p>
      <w:pPr>
        <w:spacing w:after="0" w:line="34" w:lineRule="exact"/>
        <w:rPr>
          <w:sz w:val="20"/>
          <w:szCs w:val="20"/>
          <w:color w:val="auto"/>
        </w:rPr>
      </w:pPr>
    </w:p>
    <w:tbl>
      <w:tblPr>
        <w:tblLayout w:type="fixed"/>
        <w:tblInd w:w="300" w:type="dxa"/>
        <w:tblCellMar>
          <w:top w:w="0" w:type="dxa"/>
          <w:left w:w="0" w:type="dxa"/>
          <w:bottom w:w="0" w:type="dxa"/>
          <w:right w:w="0" w:type="dxa"/>
        </w:tblCellMar>
      </w:tblPr>
      <w:tr>
        <w:trPr>
          <w:trHeight w:val="238"/>
        </w:trPr>
        <w:tc>
          <w:tcPr>
            <w:tcW w:w="20" w:type="dxa"/>
            <w:vAlign w:val="bottom"/>
            <w:tcBorders>
              <w:top w:val="single" w:sz="8" w:color="auto"/>
            </w:tcBorders>
            <w:shd w:val="clear" w:color="auto" w:fill="C0C0C0"/>
          </w:tcPr>
          <w:p>
            <w:pPr>
              <w:spacing w:after="0"/>
              <w:rPr>
                <w:sz w:val="20"/>
                <w:szCs w:val="20"/>
                <w:color w:val="auto"/>
              </w:rPr>
            </w:pPr>
          </w:p>
        </w:tc>
        <w:tc>
          <w:tcPr>
            <w:tcW w:w="1600" w:type="dxa"/>
            <w:vAlign w:val="bottom"/>
            <w:tcBorders>
              <w:top w:val="single" w:sz="8" w:color="auto"/>
            </w:tcBorders>
            <w:shd w:val="clear" w:color="auto" w:fill="C0C0C0"/>
          </w:tcPr>
          <w:p>
            <w:pPr>
              <w:spacing w:after="0"/>
              <w:rPr>
                <w:sz w:val="20"/>
                <w:szCs w:val="20"/>
                <w:color w:val="auto"/>
              </w:rPr>
            </w:pPr>
          </w:p>
        </w:tc>
        <w:tc>
          <w:tcPr>
            <w:tcW w:w="1200" w:type="dxa"/>
            <w:vAlign w:val="bottom"/>
            <w:tcBorders>
              <w:top w:val="single" w:sz="8" w:color="auto"/>
            </w:tcBorders>
            <w:shd w:val="clear" w:color="auto" w:fill="C0C0C0"/>
          </w:tcPr>
          <w:p>
            <w:pPr>
              <w:spacing w:after="0"/>
              <w:rPr>
                <w:sz w:val="20"/>
                <w:szCs w:val="20"/>
                <w:color w:val="auto"/>
              </w:rPr>
            </w:pPr>
          </w:p>
        </w:tc>
        <w:tc>
          <w:tcPr>
            <w:tcW w:w="4240" w:type="dxa"/>
            <w:vAlign w:val="bottom"/>
            <w:tcBorders>
              <w:top w:val="single" w:sz="8" w:color="auto"/>
            </w:tcBorders>
            <w:shd w:val="clear" w:color="auto" w:fill="C0C0C0"/>
          </w:tcPr>
          <w:p>
            <w:pPr>
              <w:spacing w:after="0"/>
              <w:rPr>
                <w:sz w:val="20"/>
                <w:szCs w:val="20"/>
                <w:color w:val="auto"/>
              </w:rPr>
            </w:pPr>
          </w:p>
        </w:tc>
        <w:tc>
          <w:tcPr>
            <w:tcW w:w="2200" w:type="dxa"/>
            <w:vAlign w:val="bottom"/>
            <w:tcBorders>
              <w:top w:val="single" w:sz="8" w:color="auto"/>
            </w:tcBorders>
            <w:shd w:val="clear" w:color="auto" w:fill="C0C0C0"/>
          </w:tcPr>
          <w:p>
            <w:pPr>
              <w:ind w:left="720"/>
              <w:spacing w:after="0"/>
              <w:rPr>
                <w:sz w:val="20"/>
                <w:szCs w:val="20"/>
                <w:color w:val="auto"/>
              </w:rPr>
            </w:pPr>
            <w:r>
              <w:rPr>
                <w:rFonts w:ascii="Arial" w:cs="Arial" w:eastAsia="Arial" w:hAnsi="Arial"/>
                <w:sz w:val="18"/>
                <w:szCs w:val="18"/>
                <w:b w:val="1"/>
                <w:bCs w:val="1"/>
                <w:color w:val="auto"/>
              </w:rPr>
              <w:t>Type of</w:t>
            </w:r>
          </w:p>
        </w:tc>
        <w:tc>
          <w:tcPr>
            <w:tcW w:w="1540" w:type="dxa"/>
            <w:vAlign w:val="bottom"/>
            <w:tcBorders>
              <w:top w:val="single" w:sz="8" w:color="auto"/>
            </w:tcBorders>
            <w:shd w:val="clear" w:color="auto" w:fill="C0C0C0"/>
          </w:tcPr>
          <w:p>
            <w:pPr>
              <w:jc w:val="right"/>
              <w:ind w:right="30"/>
              <w:spacing w:after="0"/>
              <w:rPr>
                <w:sz w:val="20"/>
                <w:szCs w:val="20"/>
                <w:color w:val="auto"/>
              </w:rPr>
            </w:pPr>
            <w:r>
              <w:rPr>
                <w:rFonts w:ascii="Arial" w:cs="Arial" w:eastAsia="Arial" w:hAnsi="Arial"/>
                <w:sz w:val="18"/>
                <w:szCs w:val="18"/>
                <w:b w:val="1"/>
                <w:bCs w:val="1"/>
                <w:color w:val="auto"/>
              </w:rPr>
              <w:t>Amount of</w:t>
            </w:r>
          </w:p>
        </w:tc>
      </w:tr>
      <w:tr>
        <w:trPr>
          <w:trHeight w:val="266"/>
        </w:trPr>
        <w:tc>
          <w:tcPr>
            <w:tcW w:w="20" w:type="dxa"/>
            <w:vAlign w:val="bottom"/>
            <w:tcBorders>
              <w:bottom w:val="single" w:sz="8" w:color="C0C0C0"/>
            </w:tcBorders>
            <w:shd w:val="clear" w:color="auto" w:fill="C0C0C0"/>
          </w:tcPr>
          <w:p>
            <w:pPr>
              <w:spacing w:after="0"/>
              <w:rPr>
                <w:sz w:val="22"/>
                <w:szCs w:val="22"/>
                <w:color w:val="auto"/>
              </w:rPr>
            </w:pPr>
          </w:p>
        </w:tc>
        <w:tc>
          <w:tcPr>
            <w:tcW w:w="2800" w:type="dxa"/>
            <w:vAlign w:val="bottom"/>
            <w:tcBorders>
              <w:bottom w:val="single" w:sz="8" w:color="C0C0C0"/>
            </w:tcBorders>
            <w:gridSpan w:val="2"/>
            <w:shd w:val="clear" w:color="auto" w:fill="C0C0C0"/>
          </w:tcPr>
          <w:p>
            <w:pPr>
              <w:spacing w:after="0"/>
              <w:rPr>
                <w:sz w:val="20"/>
                <w:szCs w:val="20"/>
                <w:color w:val="auto"/>
              </w:rPr>
            </w:pPr>
            <w:r>
              <w:rPr>
                <w:rFonts w:ascii="Arial" w:cs="Arial" w:eastAsia="Arial" w:hAnsi="Arial"/>
                <w:sz w:val="18"/>
                <w:szCs w:val="18"/>
                <w:b w:val="1"/>
                <w:bCs w:val="1"/>
                <w:color w:val="auto"/>
              </w:rPr>
              <w:t>Lender</w:t>
            </w:r>
          </w:p>
        </w:tc>
        <w:tc>
          <w:tcPr>
            <w:tcW w:w="4240" w:type="dxa"/>
            <w:vAlign w:val="bottom"/>
            <w:tcBorders>
              <w:bottom w:val="single" w:sz="8" w:color="C0C0C0"/>
            </w:tcBorders>
            <w:shd w:val="clear" w:color="auto" w:fill="C0C0C0"/>
          </w:tcPr>
          <w:p>
            <w:pPr>
              <w:ind w:left="120"/>
              <w:spacing w:after="0"/>
              <w:rPr>
                <w:sz w:val="20"/>
                <w:szCs w:val="20"/>
                <w:color w:val="auto"/>
              </w:rPr>
            </w:pPr>
            <w:r>
              <w:rPr>
                <w:rFonts w:ascii="Arial" w:cs="Arial" w:eastAsia="Arial" w:hAnsi="Arial"/>
                <w:sz w:val="18"/>
                <w:szCs w:val="18"/>
                <w:b w:val="1"/>
                <w:bCs w:val="1"/>
                <w:color w:val="auto"/>
              </w:rPr>
              <w:t>Borrower</w:t>
            </w:r>
          </w:p>
        </w:tc>
        <w:tc>
          <w:tcPr>
            <w:tcW w:w="2200" w:type="dxa"/>
            <w:vAlign w:val="bottom"/>
            <w:tcBorders>
              <w:bottom w:val="single" w:sz="8" w:color="C0C0C0"/>
            </w:tcBorders>
            <w:shd w:val="clear" w:color="auto" w:fill="C0C0C0"/>
          </w:tcPr>
          <w:p>
            <w:pPr>
              <w:ind w:left="720"/>
              <w:spacing w:after="0"/>
              <w:rPr>
                <w:sz w:val="20"/>
                <w:szCs w:val="20"/>
                <w:color w:val="auto"/>
              </w:rPr>
            </w:pPr>
            <w:r>
              <w:rPr>
                <w:rFonts w:ascii="Arial" w:cs="Arial" w:eastAsia="Arial" w:hAnsi="Arial"/>
                <w:sz w:val="18"/>
                <w:szCs w:val="18"/>
                <w:b w:val="1"/>
                <w:bCs w:val="1"/>
                <w:color w:val="auto"/>
              </w:rPr>
              <w:t>Investment</w:t>
            </w:r>
          </w:p>
        </w:tc>
        <w:tc>
          <w:tcPr>
            <w:tcW w:w="1540" w:type="dxa"/>
            <w:vAlign w:val="bottom"/>
            <w:tcBorders>
              <w:bottom w:val="single" w:sz="8" w:color="C0C0C0"/>
            </w:tcBorders>
            <w:shd w:val="clear" w:color="auto" w:fill="C0C0C0"/>
          </w:tcPr>
          <w:p>
            <w:pPr>
              <w:jc w:val="right"/>
              <w:ind w:right="30"/>
              <w:spacing w:after="0"/>
              <w:rPr>
                <w:sz w:val="20"/>
                <w:szCs w:val="20"/>
                <w:color w:val="auto"/>
              </w:rPr>
            </w:pPr>
            <w:r>
              <w:rPr>
                <w:rFonts w:ascii="Arial" w:cs="Arial" w:eastAsia="Arial" w:hAnsi="Arial"/>
                <w:sz w:val="18"/>
                <w:szCs w:val="18"/>
                <w:b w:val="1"/>
                <w:bCs w:val="1"/>
                <w:color w:val="auto"/>
                <w:w w:val="93"/>
              </w:rPr>
              <w:t>Investment (USD)</w:t>
            </w:r>
          </w:p>
        </w:tc>
      </w:tr>
      <w:tr>
        <w:trPr>
          <w:trHeight w:val="196"/>
        </w:trPr>
        <w:tc>
          <w:tcPr>
            <w:tcW w:w="20" w:type="dxa"/>
            <w:vAlign w:val="bottom"/>
            <w:tcBorders>
              <w:top w:val="single" w:sz="8" w:color="auto"/>
            </w:tcBorders>
          </w:tcPr>
          <w:p>
            <w:pPr>
              <w:spacing w:after="0"/>
              <w:rPr>
                <w:sz w:val="17"/>
                <w:szCs w:val="17"/>
                <w:color w:val="auto"/>
              </w:rPr>
            </w:pPr>
          </w:p>
        </w:tc>
        <w:tc>
          <w:tcPr>
            <w:tcW w:w="2800" w:type="dxa"/>
            <w:vAlign w:val="bottom"/>
            <w:tcBorders>
              <w:top w:val="single" w:sz="8" w:color="auto"/>
            </w:tcBorders>
            <w:gridSpan w:val="2"/>
          </w:tcPr>
          <w:p>
            <w:pPr>
              <w:spacing w:after="0" w:line="196" w:lineRule="exact"/>
              <w:rPr>
                <w:sz w:val="20"/>
                <w:szCs w:val="20"/>
                <w:color w:val="auto"/>
              </w:rPr>
            </w:pPr>
            <w:r>
              <w:rPr>
                <w:rFonts w:ascii="Arial" w:cs="Arial" w:eastAsia="Arial" w:hAnsi="Arial"/>
                <w:sz w:val="18"/>
                <w:szCs w:val="18"/>
                <w:b w:val="1"/>
                <w:bCs w:val="1"/>
                <w:i w:val="1"/>
                <w:iCs w:val="1"/>
                <w:color w:val="auto"/>
              </w:rPr>
              <w:t>Intercompany Loans:</w:t>
            </w:r>
          </w:p>
        </w:tc>
        <w:tc>
          <w:tcPr>
            <w:tcW w:w="4240" w:type="dxa"/>
            <w:vAlign w:val="bottom"/>
            <w:tcBorders>
              <w:top w:val="single" w:sz="8" w:color="auto"/>
            </w:tcBorders>
          </w:tcPr>
          <w:p>
            <w:pPr>
              <w:spacing w:after="0"/>
              <w:rPr>
                <w:sz w:val="17"/>
                <w:szCs w:val="17"/>
                <w:color w:val="auto"/>
              </w:rPr>
            </w:pPr>
          </w:p>
        </w:tc>
        <w:tc>
          <w:tcPr>
            <w:tcW w:w="2200" w:type="dxa"/>
            <w:vAlign w:val="bottom"/>
            <w:tcBorders>
              <w:top w:val="single" w:sz="8" w:color="auto"/>
            </w:tcBorders>
          </w:tcPr>
          <w:p>
            <w:pPr>
              <w:spacing w:after="0"/>
              <w:rPr>
                <w:sz w:val="17"/>
                <w:szCs w:val="17"/>
                <w:color w:val="auto"/>
              </w:rPr>
            </w:pPr>
          </w:p>
        </w:tc>
        <w:tc>
          <w:tcPr>
            <w:tcW w:w="1540" w:type="dxa"/>
            <w:vAlign w:val="bottom"/>
            <w:tcBorders>
              <w:top w:val="single" w:sz="8" w:color="auto"/>
            </w:tcBorders>
          </w:tcPr>
          <w:p>
            <w:pPr>
              <w:spacing w:after="0"/>
              <w:rPr>
                <w:sz w:val="17"/>
                <w:szCs w:val="17"/>
                <w:color w:val="auto"/>
              </w:rPr>
            </w:pPr>
          </w:p>
        </w:tc>
      </w:tr>
      <w:tr>
        <w:trPr>
          <w:trHeight w:val="615"/>
        </w:trPr>
        <w:tc>
          <w:tcPr>
            <w:tcW w:w="20" w:type="dxa"/>
            <w:vAlign w:val="bottom"/>
          </w:tcPr>
          <w:p>
            <w:pPr>
              <w:spacing w:after="0"/>
              <w:rPr>
                <w:sz w:val="24"/>
                <w:szCs w:val="24"/>
                <w:color w:val="auto"/>
              </w:rPr>
            </w:pPr>
          </w:p>
        </w:tc>
        <w:tc>
          <w:tcPr>
            <w:tcW w:w="160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cadooz GmbH</w:t>
            </w:r>
          </w:p>
        </w:tc>
        <w:tc>
          <w:tcPr>
            <w:tcW w:w="1200" w:type="dxa"/>
            <w:vAlign w:val="bottom"/>
          </w:tcPr>
          <w:p>
            <w:pPr>
              <w:spacing w:after="0"/>
              <w:rPr>
                <w:sz w:val="24"/>
                <w:szCs w:val="24"/>
                <w:color w:val="auto"/>
              </w:rPr>
            </w:pPr>
          </w:p>
        </w:tc>
        <w:tc>
          <w:tcPr>
            <w:tcW w:w="4240" w:type="dxa"/>
            <w:vAlign w:val="bottom"/>
          </w:tcPr>
          <w:p>
            <w:pPr>
              <w:ind w:left="120"/>
              <w:spacing w:after="0"/>
              <w:rPr>
                <w:sz w:val="20"/>
                <w:szCs w:val="20"/>
                <w:color w:val="auto"/>
              </w:rPr>
            </w:pPr>
            <w:r>
              <w:rPr>
                <w:rFonts w:ascii="Arial" w:cs="Arial" w:eastAsia="Arial" w:hAnsi="Arial"/>
                <w:sz w:val="18"/>
                <w:szCs w:val="18"/>
                <w:color w:val="auto"/>
              </w:rPr>
              <w:t>cadooz rewards GmbH</w:t>
            </w:r>
          </w:p>
        </w:tc>
        <w:tc>
          <w:tcPr>
            <w:tcW w:w="2200" w:type="dxa"/>
            <w:vAlign w:val="bottom"/>
          </w:tcPr>
          <w:p>
            <w:pPr>
              <w:ind w:left="720"/>
              <w:spacing w:after="0"/>
              <w:rPr>
                <w:sz w:val="20"/>
                <w:szCs w:val="20"/>
                <w:color w:val="auto"/>
              </w:rPr>
            </w:pPr>
            <w:r>
              <w:rPr>
                <w:rFonts w:ascii="Arial" w:cs="Arial" w:eastAsia="Arial" w:hAnsi="Arial"/>
                <w:sz w:val="18"/>
                <w:szCs w:val="18"/>
                <w:color w:val="auto"/>
                <w:w w:val="94"/>
              </w:rPr>
              <w:t>Intercompany Loan</w:t>
            </w:r>
          </w:p>
        </w:tc>
        <w:tc>
          <w:tcPr>
            <w:tcW w:w="1540" w:type="dxa"/>
            <w:vAlign w:val="bottom"/>
          </w:tcPr>
          <w:p>
            <w:pPr>
              <w:jc w:val="right"/>
              <w:ind w:right="30"/>
              <w:spacing w:after="0"/>
              <w:rPr>
                <w:sz w:val="20"/>
                <w:szCs w:val="20"/>
                <w:color w:val="auto"/>
              </w:rPr>
            </w:pPr>
            <w:r>
              <w:rPr>
                <w:rFonts w:ascii="Arial" w:cs="Arial" w:eastAsia="Arial" w:hAnsi="Arial"/>
                <w:sz w:val="18"/>
                <w:szCs w:val="18"/>
                <w:color w:val="auto"/>
              </w:rPr>
              <w:t>3,904,461</w:t>
            </w:r>
          </w:p>
        </w:tc>
      </w:tr>
      <w:tr>
        <w:trPr>
          <w:trHeight w:val="270"/>
        </w:trPr>
        <w:tc>
          <w:tcPr>
            <w:tcW w:w="20" w:type="dxa"/>
            <w:vAlign w:val="bottom"/>
          </w:tcPr>
          <w:p>
            <w:pPr>
              <w:spacing w:after="0"/>
              <w:rPr>
                <w:sz w:val="23"/>
                <w:szCs w:val="23"/>
                <w:color w:val="auto"/>
              </w:rPr>
            </w:pPr>
          </w:p>
        </w:tc>
        <w:tc>
          <w:tcPr>
            <w:tcW w:w="2800" w:type="dxa"/>
            <w:vAlign w:val="bottom"/>
            <w:gridSpan w:val="2"/>
          </w:tcPr>
          <w:p>
            <w:pPr>
              <w:spacing w:after="0"/>
              <w:rPr>
                <w:sz w:val="20"/>
                <w:szCs w:val="20"/>
                <w:color w:val="auto"/>
              </w:rPr>
            </w:pPr>
            <w:r>
              <w:rPr>
                <w:rFonts w:ascii="Arial" w:cs="Arial" w:eastAsia="Arial" w:hAnsi="Arial"/>
                <w:sz w:val="18"/>
                <w:szCs w:val="18"/>
                <w:color w:val="auto"/>
              </w:rPr>
              <w:t>cadooz GmbH</w:t>
            </w:r>
          </w:p>
        </w:tc>
        <w:tc>
          <w:tcPr>
            <w:tcW w:w="4240" w:type="dxa"/>
            <w:vAlign w:val="bottom"/>
          </w:tcPr>
          <w:p>
            <w:pPr>
              <w:ind w:left="120"/>
              <w:spacing w:after="0"/>
              <w:rPr>
                <w:sz w:val="20"/>
                <w:szCs w:val="20"/>
                <w:color w:val="auto"/>
              </w:rPr>
            </w:pPr>
            <w:r>
              <w:rPr>
                <w:rFonts w:ascii="Arial" w:cs="Arial" w:eastAsia="Arial" w:hAnsi="Arial"/>
                <w:sz w:val="18"/>
                <w:szCs w:val="18"/>
                <w:color w:val="auto"/>
              </w:rPr>
              <w:t>Delta Euronet GmbH</w:t>
            </w:r>
          </w:p>
        </w:tc>
        <w:tc>
          <w:tcPr>
            <w:tcW w:w="2200" w:type="dxa"/>
            <w:vAlign w:val="bottom"/>
          </w:tcPr>
          <w:p>
            <w:pPr>
              <w:ind w:left="720"/>
              <w:spacing w:after="0"/>
              <w:rPr>
                <w:sz w:val="20"/>
                <w:szCs w:val="20"/>
                <w:color w:val="auto"/>
              </w:rPr>
            </w:pPr>
            <w:r>
              <w:rPr>
                <w:rFonts w:ascii="Arial" w:cs="Arial" w:eastAsia="Arial" w:hAnsi="Arial"/>
                <w:sz w:val="18"/>
                <w:szCs w:val="18"/>
                <w:color w:val="auto"/>
                <w:w w:val="94"/>
              </w:rPr>
              <w:t>Intercompany Loan</w:t>
            </w:r>
          </w:p>
        </w:tc>
        <w:tc>
          <w:tcPr>
            <w:tcW w:w="1540" w:type="dxa"/>
            <w:vAlign w:val="bottom"/>
          </w:tcPr>
          <w:p>
            <w:pPr>
              <w:jc w:val="right"/>
              <w:ind w:right="30"/>
              <w:spacing w:after="0"/>
              <w:rPr>
                <w:sz w:val="20"/>
                <w:szCs w:val="20"/>
                <w:color w:val="auto"/>
              </w:rPr>
            </w:pPr>
            <w:r>
              <w:rPr>
                <w:rFonts w:ascii="Arial" w:cs="Arial" w:eastAsia="Arial" w:hAnsi="Arial"/>
                <w:sz w:val="18"/>
                <w:szCs w:val="18"/>
                <w:color w:val="auto"/>
              </w:rPr>
              <w:t>2,454,896</w:t>
            </w:r>
          </w:p>
        </w:tc>
      </w:tr>
      <w:tr>
        <w:trPr>
          <w:trHeight w:val="270"/>
        </w:trPr>
        <w:tc>
          <w:tcPr>
            <w:tcW w:w="20" w:type="dxa"/>
            <w:vAlign w:val="bottom"/>
          </w:tcPr>
          <w:p>
            <w:pPr>
              <w:spacing w:after="0"/>
              <w:rPr>
                <w:sz w:val="23"/>
                <w:szCs w:val="23"/>
                <w:color w:val="auto"/>
              </w:rPr>
            </w:pPr>
          </w:p>
        </w:tc>
        <w:tc>
          <w:tcPr>
            <w:tcW w:w="2800" w:type="dxa"/>
            <w:vAlign w:val="bottom"/>
            <w:gridSpan w:val="2"/>
          </w:tcPr>
          <w:p>
            <w:pPr>
              <w:spacing w:after="0"/>
              <w:rPr>
                <w:sz w:val="20"/>
                <w:szCs w:val="20"/>
                <w:color w:val="auto"/>
              </w:rPr>
            </w:pPr>
            <w:r>
              <w:rPr>
                <w:rFonts w:ascii="Arial" w:cs="Arial" w:eastAsia="Arial" w:hAnsi="Arial"/>
                <w:sz w:val="18"/>
                <w:szCs w:val="18"/>
                <w:color w:val="auto"/>
                <w:w w:val="94"/>
              </w:rPr>
              <w:t>Continental Exchange Solutions, Inc.</w:t>
            </w:r>
          </w:p>
        </w:tc>
        <w:tc>
          <w:tcPr>
            <w:tcW w:w="4240" w:type="dxa"/>
            <w:vAlign w:val="bottom"/>
          </w:tcPr>
          <w:p>
            <w:pPr>
              <w:ind w:left="120"/>
              <w:spacing w:after="0"/>
              <w:rPr>
                <w:sz w:val="20"/>
                <w:szCs w:val="20"/>
                <w:color w:val="auto"/>
              </w:rPr>
            </w:pPr>
            <w:r>
              <w:rPr>
                <w:rFonts w:ascii="Arial" w:cs="Arial" w:eastAsia="Arial" w:hAnsi="Arial"/>
                <w:sz w:val="18"/>
                <w:szCs w:val="18"/>
                <w:color w:val="auto"/>
              </w:rPr>
              <w:t>RIA Telecommunications of Canada Inc.</w:t>
            </w:r>
          </w:p>
        </w:tc>
        <w:tc>
          <w:tcPr>
            <w:tcW w:w="2200" w:type="dxa"/>
            <w:vAlign w:val="bottom"/>
          </w:tcPr>
          <w:p>
            <w:pPr>
              <w:ind w:left="720"/>
              <w:spacing w:after="0"/>
              <w:rPr>
                <w:sz w:val="20"/>
                <w:szCs w:val="20"/>
                <w:color w:val="auto"/>
              </w:rPr>
            </w:pPr>
            <w:r>
              <w:rPr>
                <w:rFonts w:ascii="Arial" w:cs="Arial" w:eastAsia="Arial" w:hAnsi="Arial"/>
                <w:sz w:val="18"/>
                <w:szCs w:val="18"/>
                <w:color w:val="auto"/>
                <w:w w:val="94"/>
              </w:rPr>
              <w:t>Intercompany Loan</w:t>
            </w:r>
          </w:p>
        </w:tc>
        <w:tc>
          <w:tcPr>
            <w:tcW w:w="1540" w:type="dxa"/>
            <w:vAlign w:val="bottom"/>
          </w:tcPr>
          <w:p>
            <w:pPr>
              <w:jc w:val="right"/>
              <w:ind w:right="30"/>
              <w:spacing w:after="0"/>
              <w:rPr>
                <w:sz w:val="20"/>
                <w:szCs w:val="20"/>
                <w:color w:val="auto"/>
              </w:rPr>
            </w:pPr>
            <w:r>
              <w:rPr>
                <w:rFonts w:ascii="Arial" w:cs="Arial" w:eastAsia="Arial" w:hAnsi="Arial"/>
                <w:sz w:val="18"/>
                <w:szCs w:val="18"/>
                <w:color w:val="auto"/>
              </w:rPr>
              <w:t>1,485,741</w:t>
            </w:r>
          </w:p>
        </w:tc>
      </w:tr>
      <w:tr>
        <w:trPr>
          <w:trHeight w:val="270"/>
        </w:trPr>
        <w:tc>
          <w:tcPr>
            <w:tcW w:w="20" w:type="dxa"/>
            <w:vAlign w:val="bottom"/>
          </w:tcPr>
          <w:p>
            <w:pPr>
              <w:spacing w:after="0"/>
              <w:rPr>
                <w:sz w:val="23"/>
                <w:szCs w:val="23"/>
                <w:color w:val="auto"/>
              </w:rPr>
            </w:pPr>
          </w:p>
        </w:tc>
        <w:tc>
          <w:tcPr>
            <w:tcW w:w="2800" w:type="dxa"/>
            <w:vAlign w:val="bottom"/>
            <w:gridSpan w:val="2"/>
          </w:tcPr>
          <w:p>
            <w:pPr>
              <w:spacing w:after="0"/>
              <w:rPr>
                <w:sz w:val="20"/>
                <w:szCs w:val="20"/>
                <w:color w:val="auto"/>
              </w:rPr>
            </w:pPr>
            <w:r>
              <w:rPr>
                <w:rFonts w:ascii="Arial" w:cs="Arial" w:eastAsia="Arial" w:hAnsi="Arial"/>
                <w:sz w:val="18"/>
                <w:szCs w:val="18"/>
                <w:color w:val="auto"/>
              </w:rPr>
              <w:t>Delta Euronet GmbH</w:t>
            </w:r>
          </w:p>
        </w:tc>
        <w:tc>
          <w:tcPr>
            <w:tcW w:w="4240" w:type="dxa"/>
            <w:vAlign w:val="bottom"/>
          </w:tcPr>
          <w:p>
            <w:pPr>
              <w:ind w:left="120"/>
              <w:spacing w:after="0"/>
              <w:rPr>
                <w:sz w:val="20"/>
                <w:szCs w:val="20"/>
                <w:color w:val="auto"/>
              </w:rPr>
            </w:pPr>
            <w:r>
              <w:rPr>
                <w:rFonts w:ascii="Arial" w:cs="Arial" w:eastAsia="Arial" w:hAnsi="Arial"/>
                <w:sz w:val="18"/>
                <w:szCs w:val="18"/>
                <w:color w:val="auto"/>
              </w:rPr>
              <w:t>cadooz GmbH</w:t>
            </w:r>
          </w:p>
        </w:tc>
        <w:tc>
          <w:tcPr>
            <w:tcW w:w="2200" w:type="dxa"/>
            <w:vAlign w:val="bottom"/>
          </w:tcPr>
          <w:p>
            <w:pPr>
              <w:ind w:left="720"/>
              <w:spacing w:after="0"/>
              <w:rPr>
                <w:sz w:val="20"/>
                <w:szCs w:val="20"/>
                <w:color w:val="auto"/>
              </w:rPr>
            </w:pPr>
            <w:r>
              <w:rPr>
                <w:rFonts w:ascii="Arial" w:cs="Arial" w:eastAsia="Arial" w:hAnsi="Arial"/>
                <w:sz w:val="18"/>
                <w:szCs w:val="18"/>
                <w:color w:val="auto"/>
                <w:w w:val="94"/>
              </w:rPr>
              <w:t>Intercompany Loan</w:t>
            </w:r>
          </w:p>
        </w:tc>
        <w:tc>
          <w:tcPr>
            <w:tcW w:w="1540" w:type="dxa"/>
            <w:vAlign w:val="bottom"/>
          </w:tcPr>
          <w:p>
            <w:pPr>
              <w:jc w:val="right"/>
              <w:ind w:right="30"/>
              <w:spacing w:after="0"/>
              <w:rPr>
                <w:sz w:val="20"/>
                <w:szCs w:val="20"/>
                <w:color w:val="auto"/>
              </w:rPr>
            </w:pPr>
            <w:r>
              <w:rPr>
                <w:rFonts w:ascii="Arial" w:cs="Arial" w:eastAsia="Arial" w:hAnsi="Arial"/>
                <w:sz w:val="18"/>
                <w:szCs w:val="18"/>
                <w:color w:val="auto"/>
              </w:rPr>
              <w:t>133,063</w:t>
            </w:r>
          </w:p>
        </w:tc>
      </w:tr>
      <w:tr>
        <w:trPr>
          <w:trHeight w:val="270"/>
        </w:trPr>
        <w:tc>
          <w:tcPr>
            <w:tcW w:w="20" w:type="dxa"/>
            <w:vAlign w:val="bottom"/>
          </w:tcPr>
          <w:p>
            <w:pPr>
              <w:spacing w:after="0"/>
              <w:rPr>
                <w:sz w:val="23"/>
                <w:szCs w:val="23"/>
                <w:color w:val="auto"/>
              </w:rPr>
            </w:pPr>
          </w:p>
        </w:tc>
        <w:tc>
          <w:tcPr>
            <w:tcW w:w="2800" w:type="dxa"/>
            <w:vAlign w:val="bottom"/>
            <w:gridSpan w:val="2"/>
          </w:tcPr>
          <w:p>
            <w:pPr>
              <w:spacing w:after="0"/>
              <w:rPr>
                <w:sz w:val="20"/>
                <w:szCs w:val="20"/>
                <w:color w:val="auto"/>
              </w:rPr>
            </w:pPr>
            <w:r>
              <w:rPr>
                <w:rFonts w:ascii="Arial" w:cs="Arial" w:eastAsia="Arial" w:hAnsi="Arial"/>
                <w:sz w:val="18"/>
                <w:szCs w:val="18"/>
                <w:color w:val="auto"/>
              </w:rPr>
              <w:t>EFT Services Holding B.V.</w:t>
            </w:r>
          </w:p>
        </w:tc>
        <w:tc>
          <w:tcPr>
            <w:tcW w:w="4240" w:type="dxa"/>
            <w:vAlign w:val="bottom"/>
          </w:tcPr>
          <w:p>
            <w:pPr>
              <w:ind w:left="120"/>
              <w:spacing w:after="0"/>
              <w:rPr>
                <w:sz w:val="20"/>
                <w:szCs w:val="20"/>
                <w:color w:val="auto"/>
              </w:rPr>
            </w:pPr>
            <w:r>
              <w:rPr>
                <w:rFonts w:ascii="Arial" w:cs="Arial" w:eastAsia="Arial" w:hAnsi="Arial"/>
                <w:sz w:val="18"/>
                <w:szCs w:val="18"/>
                <w:color w:val="auto"/>
              </w:rPr>
              <w:t>"Euronet Ukraine" Limited Liability Company</w:t>
            </w:r>
          </w:p>
        </w:tc>
        <w:tc>
          <w:tcPr>
            <w:tcW w:w="2200" w:type="dxa"/>
            <w:vAlign w:val="bottom"/>
          </w:tcPr>
          <w:p>
            <w:pPr>
              <w:ind w:left="720"/>
              <w:spacing w:after="0"/>
              <w:rPr>
                <w:sz w:val="20"/>
                <w:szCs w:val="20"/>
                <w:color w:val="auto"/>
              </w:rPr>
            </w:pPr>
            <w:r>
              <w:rPr>
                <w:rFonts w:ascii="Arial" w:cs="Arial" w:eastAsia="Arial" w:hAnsi="Arial"/>
                <w:sz w:val="18"/>
                <w:szCs w:val="18"/>
                <w:color w:val="auto"/>
                <w:w w:val="94"/>
              </w:rPr>
              <w:t>Intercompany Loan</w:t>
            </w:r>
          </w:p>
        </w:tc>
        <w:tc>
          <w:tcPr>
            <w:tcW w:w="1540" w:type="dxa"/>
            <w:vAlign w:val="bottom"/>
          </w:tcPr>
          <w:p>
            <w:pPr>
              <w:jc w:val="right"/>
              <w:ind w:right="30"/>
              <w:spacing w:after="0"/>
              <w:rPr>
                <w:sz w:val="20"/>
                <w:szCs w:val="20"/>
                <w:color w:val="auto"/>
              </w:rPr>
            </w:pPr>
            <w:r>
              <w:rPr>
                <w:rFonts w:ascii="Arial" w:cs="Arial" w:eastAsia="Arial" w:hAnsi="Arial"/>
                <w:sz w:val="18"/>
                <w:szCs w:val="18"/>
                <w:color w:val="auto"/>
              </w:rPr>
              <w:t>3,008,000</w:t>
            </w:r>
          </w:p>
        </w:tc>
      </w:tr>
      <w:tr>
        <w:trPr>
          <w:trHeight w:val="270"/>
        </w:trPr>
        <w:tc>
          <w:tcPr>
            <w:tcW w:w="20" w:type="dxa"/>
            <w:vAlign w:val="bottom"/>
          </w:tcPr>
          <w:p>
            <w:pPr>
              <w:spacing w:after="0"/>
              <w:rPr>
                <w:sz w:val="23"/>
                <w:szCs w:val="23"/>
                <w:color w:val="auto"/>
              </w:rPr>
            </w:pPr>
          </w:p>
        </w:tc>
        <w:tc>
          <w:tcPr>
            <w:tcW w:w="2800" w:type="dxa"/>
            <w:vAlign w:val="bottom"/>
            <w:gridSpan w:val="2"/>
          </w:tcPr>
          <w:p>
            <w:pPr>
              <w:spacing w:after="0"/>
              <w:rPr>
                <w:sz w:val="20"/>
                <w:szCs w:val="20"/>
                <w:color w:val="auto"/>
              </w:rPr>
            </w:pPr>
            <w:r>
              <w:rPr>
                <w:rFonts w:ascii="Arial" w:cs="Arial" w:eastAsia="Arial" w:hAnsi="Arial"/>
                <w:sz w:val="18"/>
                <w:szCs w:val="18"/>
                <w:color w:val="auto"/>
              </w:rPr>
              <w:t>EFT Services Holding B.V.</w:t>
            </w:r>
          </w:p>
        </w:tc>
        <w:tc>
          <w:tcPr>
            <w:tcW w:w="4240" w:type="dxa"/>
            <w:vAlign w:val="bottom"/>
          </w:tcPr>
          <w:p>
            <w:pPr>
              <w:ind w:left="120"/>
              <w:spacing w:after="0"/>
              <w:rPr>
                <w:sz w:val="20"/>
                <w:szCs w:val="20"/>
                <w:color w:val="auto"/>
              </w:rPr>
            </w:pPr>
            <w:r>
              <w:rPr>
                <w:rFonts w:ascii="Arial" w:cs="Arial" w:eastAsia="Arial" w:hAnsi="Arial"/>
                <w:sz w:val="18"/>
                <w:szCs w:val="18"/>
                <w:color w:val="auto"/>
              </w:rPr>
              <w:t>ATX Middle East FZC</w:t>
            </w:r>
          </w:p>
        </w:tc>
        <w:tc>
          <w:tcPr>
            <w:tcW w:w="2200" w:type="dxa"/>
            <w:vAlign w:val="bottom"/>
          </w:tcPr>
          <w:p>
            <w:pPr>
              <w:ind w:left="720"/>
              <w:spacing w:after="0"/>
              <w:rPr>
                <w:sz w:val="20"/>
                <w:szCs w:val="20"/>
                <w:color w:val="auto"/>
              </w:rPr>
            </w:pPr>
            <w:r>
              <w:rPr>
                <w:rFonts w:ascii="Arial" w:cs="Arial" w:eastAsia="Arial" w:hAnsi="Arial"/>
                <w:sz w:val="18"/>
                <w:szCs w:val="18"/>
                <w:color w:val="auto"/>
                <w:w w:val="94"/>
              </w:rPr>
              <w:t>Intercompany Loan</w:t>
            </w:r>
          </w:p>
        </w:tc>
        <w:tc>
          <w:tcPr>
            <w:tcW w:w="1540" w:type="dxa"/>
            <w:vAlign w:val="bottom"/>
          </w:tcPr>
          <w:p>
            <w:pPr>
              <w:jc w:val="right"/>
              <w:ind w:right="30"/>
              <w:spacing w:after="0"/>
              <w:rPr>
                <w:sz w:val="20"/>
                <w:szCs w:val="20"/>
                <w:color w:val="auto"/>
              </w:rPr>
            </w:pPr>
            <w:r>
              <w:rPr>
                <w:rFonts w:ascii="Arial" w:cs="Arial" w:eastAsia="Arial" w:hAnsi="Arial"/>
                <w:sz w:val="18"/>
                <w:szCs w:val="18"/>
                <w:color w:val="auto"/>
              </w:rPr>
              <w:t>78,788</w:t>
            </w:r>
          </w:p>
        </w:tc>
      </w:tr>
      <w:tr>
        <w:trPr>
          <w:trHeight w:val="270"/>
        </w:trPr>
        <w:tc>
          <w:tcPr>
            <w:tcW w:w="20" w:type="dxa"/>
            <w:vAlign w:val="bottom"/>
          </w:tcPr>
          <w:p>
            <w:pPr>
              <w:spacing w:after="0"/>
              <w:rPr>
                <w:sz w:val="23"/>
                <w:szCs w:val="23"/>
                <w:color w:val="auto"/>
              </w:rPr>
            </w:pPr>
          </w:p>
        </w:tc>
        <w:tc>
          <w:tcPr>
            <w:tcW w:w="2800" w:type="dxa"/>
            <w:vAlign w:val="bottom"/>
            <w:gridSpan w:val="2"/>
          </w:tcPr>
          <w:p>
            <w:pPr>
              <w:spacing w:after="0"/>
              <w:rPr>
                <w:sz w:val="20"/>
                <w:szCs w:val="20"/>
                <w:color w:val="auto"/>
              </w:rPr>
            </w:pPr>
            <w:r>
              <w:rPr>
                <w:rFonts w:ascii="Arial" w:cs="Arial" w:eastAsia="Arial" w:hAnsi="Arial"/>
                <w:sz w:val="18"/>
                <w:szCs w:val="18"/>
                <w:color w:val="auto"/>
              </w:rPr>
              <w:t>EFT Services Holding B.V.</w:t>
            </w:r>
          </w:p>
        </w:tc>
        <w:tc>
          <w:tcPr>
            <w:tcW w:w="4240" w:type="dxa"/>
            <w:vAlign w:val="bottom"/>
          </w:tcPr>
          <w:p>
            <w:pPr>
              <w:ind w:left="120"/>
              <w:spacing w:after="0"/>
              <w:rPr>
                <w:sz w:val="20"/>
                <w:szCs w:val="20"/>
                <w:color w:val="auto"/>
              </w:rPr>
            </w:pPr>
            <w:r>
              <w:rPr>
                <w:rFonts w:ascii="Arial" w:cs="Arial" w:eastAsia="Arial" w:hAnsi="Arial"/>
                <w:sz w:val="18"/>
                <w:szCs w:val="18"/>
                <w:color w:val="auto"/>
              </w:rPr>
              <w:t>Delta Euronet GmbH</w:t>
            </w:r>
          </w:p>
        </w:tc>
        <w:tc>
          <w:tcPr>
            <w:tcW w:w="2200" w:type="dxa"/>
            <w:vAlign w:val="bottom"/>
          </w:tcPr>
          <w:p>
            <w:pPr>
              <w:ind w:left="720"/>
              <w:spacing w:after="0"/>
              <w:rPr>
                <w:sz w:val="20"/>
                <w:szCs w:val="20"/>
                <w:color w:val="auto"/>
              </w:rPr>
            </w:pPr>
            <w:r>
              <w:rPr>
                <w:rFonts w:ascii="Arial" w:cs="Arial" w:eastAsia="Arial" w:hAnsi="Arial"/>
                <w:sz w:val="18"/>
                <w:szCs w:val="18"/>
                <w:color w:val="auto"/>
                <w:w w:val="94"/>
              </w:rPr>
              <w:t>Intercompany Loan</w:t>
            </w:r>
          </w:p>
        </w:tc>
        <w:tc>
          <w:tcPr>
            <w:tcW w:w="1540" w:type="dxa"/>
            <w:vAlign w:val="bottom"/>
          </w:tcPr>
          <w:p>
            <w:pPr>
              <w:jc w:val="right"/>
              <w:ind w:right="30"/>
              <w:spacing w:after="0"/>
              <w:rPr>
                <w:sz w:val="20"/>
                <w:szCs w:val="20"/>
                <w:color w:val="auto"/>
              </w:rPr>
            </w:pPr>
            <w:r>
              <w:rPr>
                <w:rFonts w:ascii="Arial" w:cs="Arial" w:eastAsia="Arial" w:hAnsi="Arial"/>
                <w:sz w:val="18"/>
                <w:szCs w:val="18"/>
                <w:color w:val="auto"/>
              </w:rPr>
              <w:t>12,623,148</w:t>
            </w:r>
          </w:p>
        </w:tc>
      </w:tr>
      <w:tr>
        <w:trPr>
          <w:trHeight w:val="270"/>
        </w:trPr>
        <w:tc>
          <w:tcPr>
            <w:tcW w:w="20" w:type="dxa"/>
            <w:vAlign w:val="bottom"/>
          </w:tcPr>
          <w:p>
            <w:pPr>
              <w:spacing w:after="0"/>
              <w:rPr>
                <w:sz w:val="23"/>
                <w:szCs w:val="23"/>
                <w:color w:val="auto"/>
              </w:rPr>
            </w:pPr>
          </w:p>
        </w:tc>
        <w:tc>
          <w:tcPr>
            <w:tcW w:w="2800" w:type="dxa"/>
            <w:vAlign w:val="bottom"/>
            <w:gridSpan w:val="2"/>
          </w:tcPr>
          <w:p>
            <w:pPr>
              <w:spacing w:after="0"/>
              <w:rPr>
                <w:sz w:val="20"/>
                <w:szCs w:val="20"/>
                <w:color w:val="auto"/>
              </w:rPr>
            </w:pPr>
            <w:r>
              <w:rPr>
                <w:rFonts w:ascii="Arial" w:cs="Arial" w:eastAsia="Arial" w:hAnsi="Arial"/>
                <w:sz w:val="18"/>
                <w:szCs w:val="18"/>
                <w:color w:val="auto"/>
              </w:rPr>
              <w:t>EFT Services Holding B.V.</w:t>
            </w:r>
          </w:p>
        </w:tc>
        <w:tc>
          <w:tcPr>
            <w:tcW w:w="4240" w:type="dxa"/>
            <w:vAlign w:val="bottom"/>
          </w:tcPr>
          <w:p>
            <w:pPr>
              <w:ind w:left="120"/>
              <w:spacing w:after="0"/>
              <w:rPr>
                <w:sz w:val="20"/>
                <w:szCs w:val="20"/>
                <w:color w:val="auto"/>
              </w:rPr>
            </w:pPr>
            <w:r>
              <w:rPr>
                <w:rFonts w:ascii="Arial" w:cs="Arial" w:eastAsia="Arial" w:hAnsi="Arial"/>
                <w:sz w:val="18"/>
                <w:szCs w:val="18"/>
                <w:color w:val="auto"/>
              </w:rPr>
              <w:t>epay Australia Holdings Pty Ltd</w:t>
            </w:r>
          </w:p>
        </w:tc>
        <w:tc>
          <w:tcPr>
            <w:tcW w:w="2200" w:type="dxa"/>
            <w:vAlign w:val="bottom"/>
          </w:tcPr>
          <w:p>
            <w:pPr>
              <w:ind w:left="720"/>
              <w:spacing w:after="0"/>
              <w:rPr>
                <w:sz w:val="20"/>
                <w:szCs w:val="20"/>
                <w:color w:val="auto"/>
              </w:rPr>
            </w:pPr>
            <w:r>
              <w:rPr>
                <w:rFonts w:ascii="Arial" w:cs="Arial" w:eastAsia="Arial" w:hAnsi="Arial"/>
                <w:sz w:val="18"/>
                <w:szCs w:val="18"/>
                <w:color w:val="auto"/>
                <w:w w:val="94"/>
              </w:rPr>
              <w:t>Intercompany Loan</w:t>
            </w:r>
          </w:p>
        </w:tc>
        <w:tc>
          <w:tcPr>
            <w:tcW w:w="1540" w:type="dxa"/>
            <w:vAlign w:val="bottom"/>
          </w:tcPr>
          <w:p>
            <w:pPr>
              <w:jc w:val="right"/>
              <w:ind w:right="30"/>
              <w:spacing w:after="0"/>
              <w:rPr>
                <w:sz w:val="20"/>
                <w:szCs w:val="20"/>
                <w:color w:val="auto"/>
              </w:rPr>
            </w:pPr>
            <w:r>
              <w:rPr>
                <w:rFonts w:ascii="Arial" w:cs="Arial" w:eastAsia="Arial" w:hAnsi="Arial"/>
                <w:sz w:val="18"/>
                <w:szCs w:val="18"/>
                <w:color w:val="auto"/>
              </w:rPr>
              <w:t>17,103,278</w:t>
            </w:r>
          </w:p>
        </w:tc>
      </w:tr>
      <w:tr>
        <w:trPr>
          <w:trHeight w:val="270"/>
        </w:trPr>
        <w:tc>
          <w:tcPr>
            <w:tcW w:w="20" w:type="dxa"/>
            <w:vAlign w:val="bottom"/>
          </w:tcPr>
          <w:p>
            <w:pPr>
              <w:spacing w:after="0"/>
              <w:rPr>
                <w:sz w:val="23"/>
                <w:szCs w:val="23"/>
                <w:color w:val="auto"/>
              </w:rPr>
            </w:pPr>
          </w:p>
        </w:tc>
        <w:tc>
          <w:tcPr>
            <w:tcW w:w="2800" w:type="dxa"/>
            <w:vAlign w:val="bottom"/>
            <w:gridSpan w:val="2"/>
          </w:tcPr>
          <w:p>
            <w:pPr>
              <w:spacing w:after="0"/>
              <w:rPr>
                <w:sz w:val="20"/>
                <w:szCs w:val="20"/>
                <w:color w:val="auto"/>
              </w:rPr>
            </w:pPr>
            <w:r>
              <w:rPr>
                <w:rFonts w:ascii="Arial" w:cs="Arial" w:eastAsia="Arial" w:hAnsi="Arial"/>
                <w:sz w:val="18"/>
                <w:szCs w:val="18"/>
                <w:color w:val="auto"/>
              </w:rPr>
              <w:t>EFT Services Holding B.V.</w:t>
            </w:r>
          </w:p>
        </w:tc>
        <w:tc>
          <w:tcPr>
            <w:tcW w:w="4240" w:type="dxa"/>
            <w:vAlign w:val="bottom"/>
          </w:tcPr>
          <w:p>
            <w:pPr>
              <w:ind w:left="120"/>
              <w:spacing w:after="0"/>
              <w:rPr>
                <w:sz w:val="20"/>
                <w:szCs w:val="20"/>
                <w:color w:val="auto"/>
              </w:rPr>
            </w:pPr>
            <w:r>
              <w:rPr>
                <w:rFonts w:ascii="Arial" w:cs="Arial" w:eastAsia="Arial" w:hAnsi="Arial"/>
                <w:sz w:val="18"/>
                <w:szCs w:val="18"/>
                <w:color w:val="auto"/>
              </w:rPr>
              <w:t>e-pay Holdings Limited</w:t>
            </w:r>
          </w:p>
        </w:tc>
        <w:tc>
          <w:tcPr>
            <w:tcW w:w="2200" w:type="dxa"/>
            <w:vAlign w:val="bottom"/>
          </w:tcPr>
          <w:p>
            <w:pPr>
              <w:ind w:left="720"/>
              <w:spacing w:after="0"/>
              <w:rPr>
                <w:sz w:val="20"/>
                <w:szCs w:val="20"/>
                <w:color w:val="auto"/>
              </w:rPr>
            </w:pPr>
            <w:r>
              <w:rPr>
                <w:rFonts w:ascii="Arial" w:cs="Arial" w:eastAsia="Arial" w:hAnsi="Arial"/>
                <w:sz w:val="18"/>
                <w:szCs w:val="18"/>
                <w:color w:val="auto"/>
                <w:w w:val="94"/>
              </w:rPr>
              <w:t>Intercompany Loan</w:t>
            </w:r>
          </w:p>
        </w:tc>
        <w:tc>
          <w:tcPr>
            <w:tcW w:w="1540" w:type="dxa"/>
            <w:vAlign w:val="bottom"/>
          </w:tcPr>
          <w:p>
            <w:pPr>
              <w:jc w:val="right"/>
              <w:ind w:right="30"/>
              <w:spacing w:after="0"/>
              <w:rPr>
                <w:sz w:val="20"/>
                <w:szCs w:val="20"/>
                <w:color w:val="auto"/>
              </w:rPr>
            </w:pPr>
            <w:r>
              <w:rPr>
                <w:rFonts w:ascii="Arial" w:cs="Arial" w:eastAsia="Arial" w:hAnsi="Arial"/>
                <w:sz w:val="18"/>
                <w:szCs w:val="18"/>
                <w:color w:val="auto"/>
              </w:rPr>
              <w:t>10,861,597</w:t>
            </w:r>
          </w:p>
        </w:tc>
      </w:tr>
      <w:tr>
        <w:trPr>
          <w:trHeight w:val="270"/>
        </w:trPr>
        <w:tc>
          <w:tcPr>
            <w:tcW w:w="20" w:type="dxa"/>
            <w:vAlign w:val="bottom"/>
          </w:tcPr>
          <w:p>
            <w:pPr>
              <w:spacing w:after="0"/>
              <w:rPr>
                <w:sz w:val="23"/>
                <w:szCs w:val="23"/>
                <w:color w:val="auto"/>
              </w:rPr>
            </w:pPr>
          </w:p>
        </w:tc>
        <w:tc>
          <w:tcPr>
            <w:tcW w:w="2800" w:type="dxa"/>
            <w:vAlign w:val="bottom"/>
            <w:gridSpan w:val="2"/>
          </w:tcPr>
          <w:p>
            <w:pPr>
              <w:spacing w:after="0"/>
              <w:rPr>
                <w:sz w:val="20"/>
                <w:szCs w:val="20"/>
                <w:color w:val="auto"/>
              </w:rPr>
            </w:pPr>
            <w:r>
              <w:rPr>
                <w:rFonts w:ascii="Arial" w:cs="Arial" w:eastAsia="Arial" w:hAnsi="Arial"/>
                <w:sz w:val="18"/>
                <w:szCs w:val="18"/>
                <w:color w:val="auto"/>
              </w:rPr>
              <w:t>EFT Services Holding B.V.</w:t>
            </w:r>
          </w:p>
        </w:tc>
        <w:tc>
          <w:tcPr>
            <w:tcW w:w="4240" w:type="dxa"/>
            <w:vAlign w:val="bottom"/>
          </w:tcPr>
          <w:p>
            <w:pPr>
              <w:ind w:left="120"/>
              <w:spacing w:after="0"/>
              <w:rPr>
                <w:sz w:val="20"/>
                <w:szCs w:val="20"/>
                <w:color w:val="auto"/>
              </w:rPr>
            </w:pPr>
            <w:r>
              <w:rPr>
                <w:rFonts w:ascii="Arial" w:cs="Arial" w:eastAsia="Arial" w:hAnsi="Arial"/>
                <w:sz w:val="18"/>
                <w:szCs w:val="18"/>
                <w:color w:val="auto"/>
              </w:rPr>
              <w:t>epay New Zealand Limited</w:t>
            </w:r>
          </w:p>
        </w:tc>
        <w:tc>
          <w:tcPr>
            <w:tcW w:w="2200" w:type="dxa"/>
            <w:vAlign w:val="bottom"/>
          </w:tcPr>
          <w:p>
            <w:pPr>
              <w:ind w:left="720"/>
              <w:spacing w:after="0"/>
              <w:rPr>
                <w:sz w:val="20"/>
                <w:szCs w:val="20"/>
                <w:color w:val="auto"/>
              </w:rPr>
            </w:pPr>
            <w:r>
              <w:rPr>
                <w:rFonts w:ascii="Arial" w:cs="Arial" w:eastAsia="Arial" w:hAnsi="Arial"/>
                <w:sz w:val="18"/>
                <w:szCs w:val="18"/>
                <w:color w:val="auto"/>
                <w:w w:val="94"/>
              </w:rPr>
              <w:t>Intercompany Loan</w:t>
            </w:r>
          </w:p>
        </w:tc>
        <w:tc>
          <w:tcPr>
            <w:tcW w:w="1540" w:type="dxa"/>
            <w:vAlign w:val="bottom"/>
          </w:tcPr>
          <w:p>
            <w:pPr>
              <w:jc w:val="right"/>
              <w:ind w:right="30"/>
              <w:spacing w:after="0"/>
              <w:rPr>
                <w:sz w:val="20"/>
                <w:szCs w:val="20"/>
                <w:color w:val="auto"/>
              </w:rPr>
            </w:pPr>
            <w:r>
              <w:rPr>
                <w:rFonts w:ascii="Arial" w:cs="Arial" w:eastAsia="Arial" w:hAnsi="Arial"/>
                <w:sz w:val="18"/>
                <w:szCs w:val="18"/>
                <w:color w:val="auto"/>
              </w:rPr>
              <w:t>19,301,372</w:t>
            </w:r>
          </w:p>
        </w:tc>
      </w:tr>
      <w:tr>
        <w:trPr>
          <w:trHeight w:val="270"/>
        </w:trPr>
        <w:tc>
          <w:tcPr>
            <w:tcW w:w="20" w:type="dxa"/>
            <w:vAlign w:val="bottom"/>
          </w:tcPr>
          <w:p>
            <w:pPr>
              <w:spacing w:after="0"/>
              <w:rPr>
                <w:sz w:val="23"/>
                <w:szCs w:val="23"/>
                <w:color w:val="auto"/>
              </w:rPr>
            </w:pPr>
          </w:p>
        </w:tc>
        <w:tc>
          <w:tcPr>
            <w:tcW w:w="2800" w:type="dxa"/>
            <w:vAlign w:val="bottom"/>
            <w:gridSpan w:val="2"/>
          </w:tcPr>
          <w:p>
            <w:pPr>
              <w:spacing w:after="0"/>
              <w:rPr>
                <w:sz w:val="20"/>
                <w:szCs w:val="20"/>
                <w:color w:val="auto"/>
              </w:rPr>
            </w:pPr>
            <w:r>
              <w:rPr>
                <w:rFonts w:ascii="Arial" w:cs="Arial" w:eastAsia="Arial" w:hAnsi="Arial"/>
                <w:sz w:val="18"/>
                <w:szCs w:val="18"/>
                <w:color w:val="auto"/>
              </w:rPr>
              <w:t>EFT Services Holding B.V.</w:t>
            </w:r>
          </w:p>
        </w:tc>
        <w:tc>
          <w:tcPr>
            <w:tcW w:w="4240" w:type="dxa"/>
            <w:vAlign w:val="bottom"/>
          </w:tcPr>
          <w:p>
            <w:pPr>
              <w:ind w:left="120"/>
              <w:spacing w:after="0"/>
              <w:rPr>
                <w:sz w:val="20"/>
                <w:szCs w:val="20"/>
                <w:color w:val="auto"/>
              </w:rPr>
            </w:pPr>
            <w:r>
              <w:rPr>
                <w:rFonts w:ascii="Arial" w:cs="Arial" w:eastAsia="Arial" w:hAnsi="Arial"/>
                <w:sz w:val="18"/>
                <w:szCs w:val="18"/>
                <w:color w:val="auto"/>
              </w:rPr>
              <w:t>Euronet 360 Finance Limited</w:t>
            </w:r>
          </w:p>
        </w:tc>
        <w:tc>
          <w:tcPr>
            <w:tcW w:w="2200" w:type="dxa"/>
            <w:vAlign w:val="bottom"/>
          </w:tcPr>
          <w:p>
            <w:pPr>
              <w:ind w:left="720"/>
              <w:spacing w:after="0"/>
              <w:rPr>
                <w:sz w:val="20"/>
                <w:szCs w:val="20"/>
                <w:color w:val="auto"/>
              </w:rPr>
            </w:pPr>
            <w:r>
              <w:rPr>
                <w:rFonts w:ascii="Arial" w:cs="Arial" w:eastAsia="Arial" w:hAnsi="Arial"/>
                <w:sz w:val="18"/>
                <w:szCs w:val="18"/>
                <w:color w:val="auto"/>
                <w:w w:val="94"/>
              </w:rPr>
              <w:t>Intercompany Loan</w:t>
            </w:r>
          </w:p>
        </w:tc>
        <w:tc>
          <w:tcPr>
            <w:tcW w:w="1540" w:type="dxa"/>
            <w:vAlign w:val="bottom"/>
          </w:tcPr>
          <w:p>
            <w:pPr>
              <w:jc w:val="right"/>
              <w:ind w:right="30"/>
              <w:spacing w:after="0"/>
              <w:rPr>
                <w:sz w:val="20"/>
                <w:szCs w:val="20"/>
                <w:color w:val="auto"/>
              </w:rPr>
            </w:pPr>
            <w:r>
              <w:rPr>
                <w:rFonts w:ascii="Arial" w:cs="Arial" w:eastAsia="Arial" w:hAnsi="Arial"/>
                <w:sz w:val="18"/>
                <w:szCs w:val="18"/>
                <w:color w:val="auto"/>
              </w:rPr>
              <w:t>7,850,075</w:t>
            </w:r>
          </w:p>
        </w:tc>
      </w:tr>
      <w:tr>
        <w:trPr>
          <w:trHeight w:val="270"/>
        </w:trPr>
        <w:tc>
          <w:tcPr>
            <w:tcW w:w="20" w:type="dxa"/>
            <w:vAlign w:val="bottom"/>
          </w:tcPr>
          <w:p>
            <w:pPr>
              <w:spacing w:after="0"/>
              <w:rPr>
                <w:sz w:val="23"/>
                <w:szCs w:val="23"/>
                <w:color w:val="auto"/>
              </w:rPr>
            </w:pPr>
          </w:p>
        </w:tc>
        <w:tc>
          <w:tcPr>
            <w:tcW w:w="2800" w:type="dxa"/>
            <w:vAlign w:val="bottom"/>
            <w:gridSpan w:val="2"/>
          </w:tcPr>
          <w:p>
            <w:pPr>
              <w:spacing w:after="0"/>
              <w:rPr>
                <w:sz w:val="20"/>
                <w:szCs w:val="20"/>
                <w:color w:val="auto"/>
              </w:rPr>
            </w:pPr>
            <w:r>
              <w:rPr>
                <w:rFonts w:ascii="Arial" w:cs="Arial" w:eastAsia="Arial" w:hAnsi="Arial"/>
                <w:sz w:val="18"/>
                <w:szCs w:val="18"/>
                <w:color w:val="auto"/>
              </w:rPr>
              <w:t>EFT Services Holding B.V.</w:t>
            </w:r>
          </w:p>
        </w:tc>
        <w:tc>
          <w:tcPr>
            <w:tcW w:w="4240" w:type="dxa"/>
            <w:vAlign w:val="bottom"/>
          </w:tcPr>
          <w:p>
            <w:pPr>
              <w:ind w:left="120"/>
              <w:spacing w:after="0"/>
              <w:rPr>
                <w:sz w:val="20"/>
                <w:szCs w:val="20"/>
                <w:color w:val="auto"/>
              </w:rPr>
            </w:pPr>
            <w:r>
              <w:rPr>
                <w:rFonts w:ascii="Arial" w:cs="Arial" w:eastAsia="Arial" w:hAnsi="Arial"/>
                <w:sz w:val="18"/>
                <w:szCs w:val="18"/>
                <w:color w:val="auto"/>
              </w:rPr>
              <w:t>Euronet Asia Holdings Limited</w:t>
            </w:r>
          </w:p>
        </w:tc>
        <w:tc>
          <w:tcPr>
            <w:tcW w:w="2200" w:type="dxa"/>
            <w:vAlign w:val="bottom"/>
          </w:tcPr>
          <w:p>
            <w:pPr>
              <w:ind w:left="720"/>
              <w:spacing w:after="0"/>
              <w:rPr>
                <w:sz w:val="20"/>
                <w:szCs w:val="20"/>
                <w:color w:val="auto"/>
              </w:rPr>
            </w:pPr>
            <w:r>
              <w:rPr>
                <w:rFonts w:ascii="Arial" w:cs="Arial" w:eastAsia="Arial" w:hAnsi="Arial"/>
                <w:sz w:val="18"/>
                <w:szCs w:val="18"/>
                <w:color w:val="auto"/>
                <w:w w:val="94"/>
              </w:rPr>
              <w:t>Intercompany Loan</w:t>
            </w:r>
          </w:p>
        </w:tc>
        <w:tc>
          <w:tcPr>
            <w:tcW w:w="1540" w:type="dxa"/>
            <w:vAlign w:val="bottom"/>
          </w:tcPr>
          <w:p>
            <w:pPr>
              <w:jc w:val="right"/>
              <w:ind w:right="30"/>
              <w:spacing w:after="0"/>
              <w:rPr>
                <w:sz w:val="20"/>
                <w:szCs w:val="20"/>
                <w:color w:val="auto"/>
              </w:rPr>
            </w:pPr>
            <w:r>
              <w:rPr>
                <w:rFonts w:ascii="Arial" w:cs="Arial" w:eastAsia="Arial" w:hAnsi="Arial"/>
                <w:sz w:val="18"/>
                <w:szCs w:val="18"/>
                <w:color w:val="auto"/>
              </w:rPr>
              <w:t>1,807,100</w:t>
            </w:r>
          </w:p>
        </w:tc>
      </w:tr>
      <w:tr>
        <w:trPr>
          <w:trHeight w:val="270"/>
        </w:trPr>
        <w:tc>
          <w:tcPr>
            <w:tcW w:w="20" w:type="dxa"/>
            <w:vAlign w:val="bottom"/>
          </w:tcPr>
          <w:p>
            <w:pPr>
              <w:spacing w:after="0"/>
              <w:rPr>
                <w:sz w:val="23"/>
                <w:szCs w:val="23"/>
                <w:color w:val="auto"/>
              </w:rPr>
            </w:pPr>
          </w:p>
        </w:tc>
        <w:tc>
          <w:tcPr>
            <w:tcW w:w="2800" w:type="dxa"/>
            <w:vAlign w:val="bottom"/>
            <w:gridSpan w:val="2"/>
          </w:tcPr>
          <w:p>
            <w:pPr>
              <w:spacing w:after="0"/>
              <w:rPr>
                <w:sz w:val="20"/>
                <w:szCs w:val="20"/>
                <w:color w:val="auto"/>
              </w:rPr>
            </w:pPr>
            <w:r>
              <w:rPr>
                <w:rFonts w:ascii="Arial" w:cs="Arial" w:eastAsia="Arial" w:hAnsi="Arial"/>
                <w:sz w:val="18"/>
                <w:szCs w:val="18"/>
                <w:color w:val="auto"/>
              </w:rPr>
              <w:t>EFT Services Holding B.V.</w:t>
            </w:r>
          </w:p>
        </w:tc>
        <w:tc>
          <w:tcPr>
            <w:tcW w:w="4240" w:type="dxa"/>
            <w:vAlign w:val="bottom"/>
          </w:tcPr>
          <w:p>
            <w:pPr>
              <w:ind w:left="120"/>
              <w:spacing w:after="0"/>
              <w:rPr>
                <w:sz w:val="20"/>
                <w:szCs w:val="20"/>
                <w:color w:val="auto"/>
              </w:rPr>
            </w:pPr>
            <w:r>
              <w:rPr>
                <w:rFonts w:ascii="Arial" w:cs="Arial" w:eastAsia="Arial" w:hAnsi="Arial"/>
                <w:sz w:val="18"/>
                <w:szCs w:val="18"/>
                <w:color w:val="auto"/>
              </w:rPr>
              <w:t>Euronet Banktechnikai Szolgaltato Kft.</w:t>
            </w:r>
          </w:p>
        </w:tc>
        <w:tc>
          <w:tcPr>
            <w:tcW w:w="2200" w:type="dxa"/>
            <w:vAlign w:val="bottom"/>
          </w:tcPr>
          <w:p>
            <w:pPr>
              <w:ind w:left="720"/>
              <w:spacing w:after="0"/>
              <w:rPr>
                <w:sz w:val="20"/>
                <w:szCs w:val="20"/>
                <w:color w:val="auto"/>
              </w:rPr>
            </w:pPr>
            <w:r>
              <w:rPr>
                <w:rFonts w:ascii="Arial" w:cs="Arial" w:eastAsia="Arial" w:hAnsi="Arial"/>
                <w:sz w:val="18"/>
                <w:szCs w:val="18"/>
                <w:color w:val="auto"/>
                <w:w w:val="94"/>
              </w:rPr>
              <w:t>Intercompany Loan</w:t>
            </w:r>
          </w:p>
        </w:tc>
        <w:tc>
          <w:tcPr>
            <w:tcW w:w="1540" w:type="dxa"/>
            <w:vAlign w:val="bottom"/>
          </w:tcPr>
          <w:p>
            <w:pPr>
              <w:jc w:val="right"/>
              <w:ind w:right="30"/>
              <w:spacing w:after="0"/>
              <w:rPr>
                <w:sz w:val="20"/>
                <w:szCs w:val="20"/>
                <w:color w:val="auto"/>
              </w:rPr>
            </w:pPr>
            <w:r>
              <w:rPr>
                <w:rFonts w:ascii="Arial" w:cs="Arial" w:eastAsia="Arial" w:hAnsi="Arial"/>
                <w:sz w:val="18"/>
                <w:szCs w:val="18"/>
                <w:color w:val="auto"/>
              </w:rPr>
              <w:t>2,551,380</w:t>
            </w:r>
          </w:p>
        </w:tc>
      </w:tr>
    </w:tbl>
    <w:p>
      <w:pPr>
        <w:sectPr>
          <w:pgSz w:w="11900" w:h="16838" w:orient="portrait"/>
          <w:cols w:equalWidth="0" w:num="1">
            <w:col w:w="11400"/>
          </w:cols>
          <w:pgMar w:left="260" w:top="531" w:right="239" w:bottom="1440" w:gutter="0" w:footer="0" w:header="0"/>
        </w:sectPr>
      </w:pPr>
    </w:p>
    <w:bookmarkStart w:id="278" w:name="page279"/>
    <w:bookmarkEnd w:id="278"/>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760" w:type="dxa"/>
            <w:vAlign w:val="bottom"/>
          </w:tcPr>
          <w:p>
            <w:pPr>
              <w:ind w:left="20"/>
              <w:spacing w:after="0"/>
              <w:rPr>
                <w:sz w:val="20"/>
                <w:szCs w:val="20"/>
                <w:color w:val="auto"/>
              </w:rPr>
            </w:pPr>
            <w:r>
              <w:rPr>
                <w:rFonts w:ascii="Arial" w:cs="Arial" w:eastAsia="Arial" w:hAnsi="Arial"/>
                <w:sz w:val="18"/>
                <w:szCs w:val="18"/>
                <w:color w:val="auto"/>
              </w:rPr>
              <w:t>EFT Services Holding B.V.</w:t>
            </w:r>
          </w:p>
        </w:tc>
        <w:tc>
          <w:tcPr>
            <w:tcW w:w="4820" w:type="dxa"/>
            <w:vAlign w:val="bottom"/>
          </w:tcPr>
          <w:p>
            <w:pPr>
              <w:ind w:left="200"/>
              <w:spacing w:after="0"/>
              <w:rPr>
                <w:sz w:val="20"/>
                <w:szCs w:val="20"/>
                <w:color w:val="auto"/>
              </w:rPr>
            </w:pPr>
            <w:r>
              <w:rPr>
                <w:rFonts w:ascii="Arial" w:cs="Arial" w:eastAsia="Arial" w:hAnsi="Arial"/>
                <w:sz w:val="18"/>
                <w:szCs w:val="18"/>
                <w:color w:val="auto"/>
              </w:rPr>
              <w:t>Euronet Business Holdings, S.L.U.</w:t>
            </w:r>
          </w:p>
        </w:tc>
        <w:tc>
          <w:tcPr>
            <w:tcW w:w="1680" w:type="dxa"/>
            <w:vAlign w:val="bottom"/>
          </w:tcPr>
          <w:p>
            <w:pPr>
              <w:ind w:left="200"/>
              <w:spacing w:after="0"/>
              <w:rPr>
                <w:sz w:val="20"/>
                <w:szCs w:val="20"/>
                <w:color w:val="auto"/>
              </w:rPr>
            </w:pPr>
            <w:r>
              <w:rPr>
                <w:rFonts w:ascii="Arial" w:cs="Arial" w:eastAsia="Arial" w:hAnsi="Arial"/>
                <w:sz w:val="18"/>
                <w:szCs w:val="18"/>
                <w:color w:val="auto"/>
                <w:w w:val="94"/>
              </w:rPr>
              <w:t>Intercompany Loan</w:t>
            </w:r>
          </w:p>
        </w:tc>
        <w:tc>
          <w:tcPr>
            <w:tcW w:w="1540" w:type="dxa"/>
            <w:vAlign w:val="bottom"/>
          </w:tcPr>
          <w:p>
            <w:pPr>
              <w:jc w:val="right"/>
              <w:ind w:right="30"/>
              <w:spacing w:after="0"/>
              <w:rPr>
                <w:sz w:val="20"/>
                <w:szCs w:val="20"/>
                <w:color w:val="auto"/>
              </w:rPr>
            </w:pPr>
            <w:r>
              <w:rPr>
                <w:rFonts w:ascii="Arial" w:cs="Arial" w:eastAsia="Arial" w:hAnsi="Arial"/>
                <w:sz w:val="18"/>
                <w:szCs w:val="18"/>
                <w:color w:val="auto"/>
              </w:rPr>
              <w:t>97,951,914</w:t>
            </w:r>
          </w:p>
        </w:tc>
      </w:tr>
      <w:tr>
        <w:trPr>
          <w:trHeight w:val="270"/>
        </w:trPr>
        <w:tc>
          <w:tcPr>
            <w:tcW w:w="2760" w:type="dxa"/>
            <w:vAlign w:val="bottom"/>
          </w:tcPr>
          <w:p>
            <w:pPr>
              <w:ind w:left="20"/>
              <w:spacing w:after="0"/>
              <w:rPr>
                <w:sz w:val="20"/>
                <w:szCs w:val="20"/>
                <w:color w:val="auto"/>
              </w:rPr>
            </w:pPr>
            <w:r>
              <w:rPr>
                <w:rFonts w:ascii="Arial" w:cs="Arial" w:eastAsia="Arial" w:hAnsi="Arial"/>
                <w:sz w:val="18"/>
                <w:szCs w:val="18"/>
                <w:color w:val="auto"/>
              </w:rPr>
              <w:t>EFT Services Holding B.V.</w:t>
            </w:r>
          </w:p>
        </w:tc>
        <w:tc>
          <w:tcPr>
            <w:tcW w:w="4820" w:type="dxa"/>
            <w:vAlign w:val="bottom"/>
          </w:tcPr>
          <w:p>
            <w:pPr>
              <w:ind w:left="200"/>
              <w:spacing w:after="0"/>
              <w:rPr>
                <w:sz w:val="20"/>
                <w:szCs w:val="20"/>
                <w:color w:val="auto"/>
              </w:rPr>
            </w:pPr>
            <w:r>
              <w:rPr>
                <w:rFonts w:ascii="Arial" w:cs="Arial" w:eastAsia="Arial" w:hAnsi="Arial"/>
                <w:sz w:val="18"/>
                <w:szCs w:val="18"/>
                <w:color w:val="auto"/>
              </w:rPr>
              <w:t>Euronet Pay &amp; Transaction Services S.R.L.</w:t>
            </w:r>
          </w:p>
        </w:tc>
        <w:tc>
          <w:tcPr>
            <w:tcW w:w="1680" w:type="dxa"/>
            <w:vAlign w:val="bottom"/>
          </w:tcPr>
          <w:p>
            <w:pPr>
              <w:ind w:left="200"/>
              <w:spacing w:after="0"/>
              <w:rPr>
                <w:sz w:val="20"/>
                <w:szCs w:val="20"/>
                <w:color w:val="auto"/>
              </w:rPr>
            </w:pPr>
            <w:r>
              <w:rPr>
                <w:rFonts w:ascii="Arial" w:cs="Arial" w:eastAsia="Arial" w:hAnsi="Arial"/>
                <w:sz w:val="18"/>
                <w:szCs w:val="18"/>
                <w:color w:val="auto"/>
                <w:w w:val="94"/>
              </w:rPr>
              <w:t>Intercompany Loan</w:t>
            </w:r>
          </w:p>
        </w:tc>
        <w:tc>
          <w:tcPr>
            <w:tcW w:w="1540" w:type="dxa"/>
            <w:vAlign w:val="bottom"/>
          </w:tcPr>
          <w:p>
            <w:pPr>
              <w:jc w:val="right"/>
              <w:ind w:right="30"/>
              <w:spacing w:after="0"/>
              <w:rPr>
                <w:sz w:val="20"/>
                <w:szCs w:val="20"/>
                <w:color w:val="auto"/>
              </w:rPr>
            </w:pPr>
            <w:r>
              <w:rPr>
                <w:rFonts w:ascii="Arial" w:cs="Arial" w:eastAsia="Arial" w:hAnsi="Arial"/>
                <w:sz w:val="18"/>
                <w:szCs w:val="18"/>
                <w:color w:val="auto"/>
              </w:rPr>
              <w:t>14,955,008</w:t>
            </w:r>
          </w:p>
        </w:tc>
      </w:tr>
      <w:tr>
        <w:trPr>
          <w:trHeight w:val="270"/>
        </w:trPr>
        <w:tc>
          <w:tcPr>
            <w:tcW w:w="2760" w:type="dxa"/>
            <w:vAlign w:val="bottom"/>
          </w:tcPr>
          <w:p>
            <w:pPr>
              <w:ind w:left="20"/>
              <w:spacing w:after="0"/>
              <w:rPr>
                <w:sz w:val="20"/>
                <w:szCs w:val="20"/>
                <w:color w:val="auto"/>
              </w:rPr>
            </w:pPr>
            <w:r>
              <w:rPr>
                <w:rFonts w:ascii="Arial" w:cs="Arial" w:eastAsia="Arial" w:hAnsi="Arial"/>
                <w:sz w:val="18"/>
                <w:szCs w:val="18"/>
                <w:color w:val="auto"/>
              </w:rPr>
              <w:t>EFT Services Holding B.V.</w:t>
            </w:r>
          </w:p>
        </w:tc>
        <w:tc>
          <w:tcPr>
            <w:tcW w:w="4820" w:type="dxa"/>
            <w:vAlign w:val="bottom"/>
          </w:tcPr>
          <w:p>
            <w:pPr>
              <w:ind w:left="200"/>
              <w:spacing w:after="0"/>
              <w:rPr>
                <w:sz w:val="20"/>
                <w:szCs w:val="20"/>
                <w:color w:val="auto"/>
              </w:rPr>
            </w:pPr>
            <w:r>
              <w:rPr>
                <w:rFonts w:ascii="Arial" w:cs="Arial" w:eastAsia="Arial" w:hAnsi="Arial"/>
                <w:sz w:val="18"/>
                <w:szCs w:val="18"/>
                <w:color w:val="auto"/>
              </w:rPr>
              <w:t>Euronet Polska Spółka z o.o.</w:t>
            </w:r>
          </w:p>
        </w:tc>
        <w:tc>
          <w:tcPr>
            <w:tcW w:w="1680" w:type="dxa"/>
            <w:vAlign w:val="bottom"/>
          </w:tcPr>
          <w:p>
            <w:pPr>
              <w:ind w:left="200"/>
              <w:spacing w:after="0"/>
              <w:rPr>
                <w:sz w:val="20"/>
                <w:szCs w:val="20"/>
                <w:color w:val="auto"/>
              </w:rPr>
            </w:pPr>
            <w:r>
              <w:rPr>
                <w:rFonts w:ascii="Arial" w:cs="Arial" w:eastAsia="Arial" w:hAnsi="Arial"/>
                <w:sz w:val="18"/>
                <w:szCs w:val="18"/>
                <w:color w:val="auto"/>
                <w:w w:val="94"/>
              </w:rPr>
              <w:t>Intercompany Loan</w:t>
            </w:r>
          </w:p>
        </w:tc>
        <w:tc>
          <w:tcPr>
            <w:tcW w:w="1540" w:type="dxa"/>
            <w:vAlign w:val="bottom"/>
          </w:tcPr>
          <w:p>
            <w:pPr>
              <w:jc w:val="right"/>
              <w:ind w:right="30"/>
              <w:spacing w:after="0"/>
              <w:rPr>
                <w:sz w:val="20"/>
                <w:szCs w:val="20"/>
                <w:color w:val="auto"/>
              </w:rPr>
            </w:pPr>
            <w:r>
              <w:rPr>
                <w:rFonts w:ascii="Arial" w:cs="Arial" w:eastAsia="Arial" w:hAnsi="Arial"/>
                <w:sz w:val="18"/>
                <w:szCs w:val="18"/>
                <w:color w:val="auto"/>
              </w:rPr>
              <w:t>3,178,400</w:t>
            </w:r>
          </w:p>
        </w:tc>
      </w:tr>
      <w:tr>
        <w:trPr>
          <w:trHeight w:val="270"/>
        </w:trPr>
        <w:tc>
          <w:tcPr>
            <w:tcW w:w="2760" w:type="dxa"/>
            <w:vAlign w:val="bottom"/>
          </w:tcPr>
          <w:p>
            <w:pPr>
              <w:ind w:left="20"/>
              <w:spacing w:after="0"/>
              <w:rPr>
                <w:sz w:val="20"/>
                <w:szCs w:val="20"/>
                <w:color w:val="auto"/>
              </w:rPr>
            </w:pPr>
            <w:r>
              <w:rPr>
                <w:rFonts w:ascii="Arial" w:cs="Arial" w:eastAsia="Arial" w:hAnsi="Arial"/>
                <w:sz w:val="18"/>
                <w:szCs w:val="18"/>
                <w:color w:val="auto"/>
              </w:rPr>
              <w:t>EFT Services Holding B.V.</w:t>
            </w:r>
          </w:p>
        </w:tc>
        <w:tc>
          <w:tcPr>
            <w:tcW w:w="4820" w:type="dxa"/>
            <w:vAlign w:val="bottom"/>
          </w:tcPr>
          <w:p>
            <w:pPr>
              <w:ind w:left="200"/>
              <w:spacing w:after="0"/>
              <w:rPr>
                <w:sz w:val="20"/>
                <w:szCs w:val="20"/>
                <w:color w:val="auto"/>
              </w:rPr>
            </w:pPr>
            <w:r>
              <w:rPr>
                <w:rFonts w:ascii="Arial" w:cs="Arial" w:eastAsia="Arial" w:hAnsi="Arial"/>
                <w:sz w:val="18"/>
                <w:szCs w:val="18"/>
                <w:color w:val="auto"/>
              </w:rPr>
              <w:t>Euronet Services Kft.</w:t>
            </w:r>
          </w:p>
        </w:tc>
        <w:tc>
          <w:tcPr>
            <w:tcW w:w="1680" w:type="dxa"/>
            <w:vAlign w:val="bottom"/>
          </w:tcPr>
          <w:p>
            <w:pPr>
              <w:ind w:left="200"/>
              <w:spacing w:after="0"/>
              <w:rPr>
                <w:sz w:val="20"/>
                <w:szCs w:val="20"/>
                <w:color w:val="auto"/>
              </w:rPr>
            </w:pPr>
            <w:r>
              <w:rPr>
                <w:rFonts w:ascii="Arial" w:cs="Arial" w:eastAsia="Arial" w:hAnsi="Arial"/>
                <w:sz w:val="18"/>
                <w:szCs w:val="18"/>
                <w:color w:val="auto"/>
                <w:w w:val="94"/>
              </w:rPr>
              <w:t>Intercompany Loan</w:t>
            </w:r>
          </w:p>
        </w:tc>
        <w:tc>
          <w:tcPr>
            <w:tcW w:w="1540" w:type="dxa"/>
            <w:vAlign w:val="bottom"/>
          </w:tcPr>
          <w:p>
            <w:pPr>
              <w:jc w:val="right"/>
              <w:ind w:right="30"/>
              <w:spacing w:after="0"/>
              <w:rPr>
                <w:sz w:val="20"/>
                <w:szCs w:val="20"/>
                <w:color w:val="auto"/>
              </w:rPr>
            </w:pPr>
            <w:r>
              <w:rPr>
                <w:rFonts w:ascii="Arial" w:cs="Arial" w:eastAsia="Arial" w:hAnsi="Arial"/>
                <w:sz w:val="18"/>
                <w:szCs w:val="18"/>
                <w:color w:val="auto"/>
              </w:rPr>
              <w:t>2,000,000</w:t>
            </w:r>
          </w:p>
        </w:tc>
      </w:tr>
      <w:tr>
        <w:trPr>
          <w:trHeight w:val="270"/>
        </w:trPr>
        <w:tc>
          <w:tcPr>
            <w:tcW w:w="2760" w:type="dxa"/>
            <w:vAlign w:val="bottom"/>
          </w:tcPr>
          <w:p>
            <w:pPr>
              <w:ind w:left="20"/>
              <w:spacing w:after="0"/>
              <w:rPr>
                <w:sz w:val="20"/>
                <w:szCs w:val="20"/>
                <w:color w:val="auto"/>
              </w:rPr>
            </w:pPr>
            <w:r>
              <w:rPr>
                <w:rFonts w:ascii="Arial" w:cs="Arial" w:eastAsia="Arial" w:hAnsi="Arial"/>
                <w:sz w:val="18"/>
                <w:szCs w:val="18"/>
                <w:color w:val="auto"/>
              </w:rPr>
              <w:t>EFT Services Holding B.V.</w:t>
            </w:r>
          </w:p>
        </w:tc>
        <w:tc>
          <w:tcPr>
            <w:tcW w:w="4820" w:type="dxa"/>
            <w:vAlign w:val="bottom"/>
          </w:tcPr>
          <w:p>
            <w:pPr>
              <w:ind w:left="200"/>
              <w:spacing w:after="0"/>
              <w:rPr>
                <w:sz w:val="20"/>
                <w:szCs w:val="20"/>
                <w:color w:val="auto"/>
              </w:rPr>
            </w:pPr>
            <w:r>
              <w:rPr>
                <w:rFonts w:ascii="Arial" w:cs="Arial" w:eastAsia="Arial" w:hAnsi="Arial"/>
                <w:sz w:val="18"/>
                <w:szCs w:val="18"/>
                <w:color w:val="auto"/>
              </w:rPr>
              <w:t>Euronet Services O.O.O.</w:t>
            </w:r>
          </w:p>
        </w:tc>
        <w:tc>
          <w:tcPr>
            <w:tcW w:w="1680" w:type="dxa"/>
            <w:vAlign w:val="bottom"/>
          </w:tcPr>
          <w:p>
            <w:pPr>
              <w:ind w:left="200"/>
              <w:spacing w:after="0"/>
              <w:rPr>
                <w:sz w:val="20"/>
                <w:szCs w:val="20"/>
                <w:color w:val="auto"/>
              </w:rPr>
            </w:pPr>
            <w:r>
              <w:rPr>
                <w:rFonts w:ascii="Arial" w:cs="Arial" w:eastAsia="Arial" w:hAnsi="Arial"/>
                <w:sz w:val="18"/>
                <w:szCs w:val="18"/>
                <w:color w:val="auto"/>
                <w:w w:val="94"/>
              </w:rPr>
              <w:t>Intercompany Loan</w:t>
            </w:r>
          </w:p>
        </w:tc>
        <w:tc>
          <w:tcPr>
            <w:tcW w:w="1540" w:type="dxa"/>
            <w:vAlign w:val="bottom"/>
          </w:tcPr>
          <w:p>
            <w:pPr>
              <w:jc w:val="right"/>
              <w:ind w:right="30"/>
              <w:spacing w:after="0"/>
              <w:rPr>
                <w:sz w:val="20"/>
                <w:szCs w:val="20"/>
                <w:color w:val="auto"/>
              </w:rPr>
            </w:pPr>
            <w:r>
              <w:rPr>
                <w:rFonts w:ascii="Arial" w:cs="Arial" w:eastAsia="Arial" w:hAnsi="Arial"/>
                <w:sz w:val="18"/>
                <w:szCs w:val="18"/>
                <w:color w:val="auto"/>
              </w:rPr>
              <w:t>507,941</w:t>
            </w:r>
          </w:p>
        </w:tc>
      </w:tr>
      <w:tr>
        <w:trPr>
          <w:trHeight w:val="270"/>
        </w:trPr>
        <w:tc>
          <w:tcPr>
            <w:tcW w:w="2760" w:type="dxa"/>
            <w:vAlign w:val="bottom"/>
          </w:tcPr>
          <w:p>
            <w:pPr>
              <w:ind w:left="20"/>
              <w:spacing w:after="0"/>
              <w:rPr>
                <w:sz w:val="20"/>
                <w:szCs w:val="20"/>
                <w:color w:val="auto"/>
              </w:rPr>
            </w:pPr>
            <w:r>
              <w:rPr>
                <w:rFonts w:ascii="Arial" w:cs="Arial" w:eastAsia="Arial" w:hAnsi="Arial"/>
                <w:sz w:val="18"/>
                <w:szCs w:val="18"/>
                <w:color w:val="auto"/>
              </w:rPr>
              <w:t>EFT Services Holding B.V.</w:t>
            </w:r>
          </w:p>
        </w:tc>
        <w:tc>
          <w:tcPr>
            <w:tcW w:w="4820" w:type="dxa"/>
            <w:vAlign w:val="bottom"/>
          </w:tcPr>
          <w:p>
            <w:pPr>
              <w:ind w:left="200"/>
              <w:spacing w:after="0"/>
              <w:rPr>
                <w:sz w:val="20"/>
                <w:szCs w:val="20"/>
                <w:color w:val="auto"/>
              </w:rPr>
            </w:pPr>
            <w:r>
              <w:rPr>
                <w:rFonts w:ascii="Arial" w:cs="Arial" w:eastAsia="Arial" w:hAnsi="Arial"/>
                <w:sz w:val="18"/>
                <w:szCs w:val="18"/>
                <w:color w:val="auto"/>
              </w:rPr>
              <w:t>Euronet Services S.R.L.</w:t>
            </w:r>
          </w:p>
        </w:tc>
        <w:tc>
          <w:tcPr>
            <w:tcW w:w="1680" w:type="dxa"/>
            <w:vAlign w:val="bottom"/>
          </w:tcPr>
          <w:p>
            <w:pPr>
              <w:ind w:left="200"/>
              <w:spacing w:after="0"/>
              <w:rPr>
                <w:sz w:val="20"/>
                <w:szCs w:val="20"/>
                <w:color w:val="auto"/>
              </w:rPr>
            </w:pPr>
            <w:r>
              <w:rPr>
                <w:rFonts w:ascii="Arial" w:cs="Arial" w:eastAsia="Arial" w:hAnsi="Arial"/>
                <w:sz w:val="18"/>
                <w:szCs w:val="18"/>
                <w:color w:val="auto"/>
                <w:w w:val="94"/>
              </w:rPr>
              <w:t>Intercompany Loan</w:t>
            </w:r>
          </w:p>
        </w:tc>
        <w:tc>
          <w:tcPr>
            <w:tcW w:w="1540" w:type="dxa"/>
            <w:vAlign w:val="bottom"/>
          </w:tcPr>
          <w:p>
            <w:pPr>
              <w:jc w:val="right"/>
              <w:ind w:right="30"/>
              <w:spacing w:after="0"/>
              <w:rPr>
                <w:sz w:val="20"/>
                <w:szCs w:val="20"/>
                <w:color w:val="auto"/>
              </w:rPr>
            </w:pPr>
            <w:r>
              <w:rPr>
                <w:rFonts w:ascii="Arial" w:cs="Arial" w:eastAsia="Arial" w:hAnsi="Arial"/>
                <w:sz w:val="18"/>
                <w:szCs w:val="18"/>
                <w:color w:val="auto"/>
              </w:rPr>
              <w:t>1,166,369</w:t>
            </w:r>
          </w:p>
        </w:tc>
      </w:tr>
      <w:tr>
        <w:trPr>
          <w:trHeight w:val="270"/>
        </w:trPr>
        <w:tc>
          <w:tcPr>
            <w:tcW w:w="2760" w:type="dxa"/>
            <w:vAlign w:val="bottom"/>
          </w:tcPr>
          <w:p>
            <w:pPr>
              <w:ind w:left="20"/>
              <w:spacing w:after="0"/>
              <w:rPr>
                <w:sz w:val="20"/>
                <w:szCs w:val="20"/>
                <w:color w:val="auto"/>
              </w:rPr>
            </w:pPr>
            <w:r>
              <w:rPr>
                <w:rFonts w:ascii="Arial" w:cs="Arial" w:eastAsia="Arial" w:hAnsi="Arial"/>
                <w:sz w:val="18"/>
                <w:szCs w:val="18"/>
                <w:color w:val="auto"/>
              </w:rPr>
              <w:t>EFT Services Holding B.V.</w:t>
            </w:r>
          </w:p>
        </w:tc>
        <w:tc>
          <w:tcPr>
            <w:tcW w:w="4820" w:type="dxa"/>
            <w:vAlign w:val="bottom"/>
          </w:tcPr>
          <w:p>
            <w:pPr>
              <w:ind w:left="200"/>
              <w:spacing w:after="0"/>
              <w:rPr>
                <w:sz w:val="20"/>
                <w:szCs w:val="20"/>
                <w:color w:val="auto"/>
              </w:rPr>
            </w:pPr>
            <w:r>
              <w:rPr>
                <w:rFonts w:ascii="Arial" w:cs="Arial" w:eastAsia="Arial" w:hAnsi="Arial"/>
                <w:sz w:val="18"/>
                <w:szCs w:val="18"/>
                <w:color w:val="auto"/>
              </w:rPr>
              <w:t>Euronet Services Schweiz GmbH</w:t>
            </w:r>
          </w:p>
        </w:tc>
        <w:tc>
          <w:tcPr>
            <w:tcW w:w="1680" w:type="dxa"/>
            <w:vAlign w:val="bottom"/>
          </w:tcPr>
          <w:p>
            <w:pPr>
              <w:ind w:left="200"/>
              <w:spacing w:after="0"/>
              <w:rPr>
                <w:sz w:val="20"/>
                <w:szCs w:val="20"/>
                <w:color w:val="auto"/>
              </w:rPr>
            </w:pPr>
            <w:r>
              <w:rPr>
                <w:rFonts w:ascii="Arial" w:cs="Arial" w:eastAsia="Arial" w:hAnsi="Arial"/>
                <w:sz w:val="18"/>
                <w:szCs w:val="18"/>
                <w:color w:val="auto"/>
                <w:w w:val="94"/>
              </w:rPr>
              <w:t>Intercompany Loan</w:t>
            </w:r>
          </w:p>
        </w:tc>
        <w:tc>
          <w:tcPr>
            <w:tcW w:w="1540" w:type="dxa"/>
            <w:vAlign w:val="bottom"/>
          </w:tcPr>
          <w:p>
            <w:pPr>
              <w:jc w:val="right"/>
              <w:ind w:right="30"/>
              <w:spacing w:after="0"/>
              <w:rPr>
                <w:sz w:val="20"/>
                <w:szCs w:val="20"/>
                <w:color w:val="auto"/>
              </w:rPr>
            </w:pPr>
            <w:r>
              <w:rPr>
                <w:rFonts w:ascii="Arial" w:cs="Arial" w:eastAsia="Arial" w:hAnsi="Arial"/>
                <w:sz w:val="18"/>
                <w:szCs w:val="18"/>
                <w:color w:val="auto"/>
              </w:rPr>
              <w:t>81,849</w:t>
            </w:r>
          </w:p>
        </w:tc>
      </w:tr>
      <w:tr>
        <w:trPr>
          <w:trHeight w:val="270"/>
        </w:trPr>
        <w:tc>
          <w:tcPr>
            <w:tcW w:w="2760" w:type="dxa"/>
            <w:vAlign w:val="bottom"/>
          </w:tcPr>
          <w:p>
            <w:pPr>
              <w:ind w:left="20"/>
              <w:spacing w:after="0"/>
              <w:rPr>
                <w:sz w:val="20"/>
                <w:szCs w:val="20"/>
                <w:color w:val="auto"/>
              </w:rPr>
            </w:pPr>
            <w:r>
              <w:rPr>
                <w:rFonts w:ascii="Arial" w:cs="Arial" w:eastAsia="Arial" w:hAnsi="Arial"/>
                <w:sz w:val="18"/>
                <w:szCs w:val="18"/>
                <w:color w:val="auto"/>
              </w:rPr>
              <w:t>EFT Services Holding B.V.</w:t>
            </w:r>
          </w:p>
        </w:tc>
        <w:tc>
          <w:tcPr>
            <w:tcW w:w="4820" w:type="dxa"/>
            <w:vAlign w:val="bottom"/>
          </w:tcPr>
          <w:p>
            <w:pPr>
              <w:ind w:left="200"/>
              <w:spacing w:after="0"/>
              <w:rPr>
                <w:sz w:val="20"/>
                <w:szCs w:val="20"/>
                <w:color w:val="auto"/>
              </w:rPr>
            </w:pPr>
            <w:r>
              <w:rPr>
                <w:rFonts w:ascii="Arial" w:cs="Arial" w:eastAsia="Arial" w:hAnsi="Arial"/>
                <w:sz w:val="18"/>
                <w:szCs w:val="18"/>
                <w:color w:val="auto"/>
              </w:rPr>
              <w:t>Pure Commerce (S) Pte. Ltd.</w:t>
            </w:r>
          </w:p>
        </w:tc>
        <w:tc>
          <w:tcPr>
            <w:tcW w:w="1680" w:type="dxa"/>
            <w:vAlign w:val="bottom"/>
          </w:tcPr>
          <w:p>
            <w:pPr>
              <w:ind w:left="200"/>
              <w:spacing w:after="0"/>
              <w:rPr>
                <w:sz w:val="20"/>
                <w:szCs w:val="20"/>
                <w:color w:val="auto"/>
              </w:rPr>
            </w:pPr>
            <w:r>
              <w:rPr>
                <w:rFonts w:ascii="Arial" w:cs="Arial" w:eastAsia="Arial" w:hAnsi="Arial"/>
                <w:sz w:val="18"/>
                <w:szCs w:val="18"/>
                <w:color w:val="auto"/>
                <w:w w:val="94"/>
              </w:rPr>
              <w:t>Intercompany Loan</w:t>
            </w:r>
          </w:p>
        </w:tc>
        <w:tc>
          <w:tcPr>
            <w:tcW w:w="1540" w:type="dxa"/>
            <w:vAlign w:val="bottom"/>
          </w:tcPr>
          <w:p>
            <w:pPr>
              <w:jc w:val="right"/>
              <w:ind w:right="30"/>
              <w:spacing w:after="0"/>
              <w:rPr>
                <w:sz w:val="20"/>
                <w:szCs w:val="20"/>
                <w:color w:val="auto"/>
              </w:rPr>
            </w:pPr>
            <w:r>
              <w:rPr>
                <w:rFonts w:ascii="Arial" w:cs="Arial" w:eastAsia="Arial" w:hAnsi="Arial"/>
                <w:sz w:val="18"/>
                <w:szCs w:val="18"/>
                <w:color w:val="auto"/>
              </w:rPr>
              <w:t>430,751</w:t>
            </w:r>
          </w:p>
        </w:tc>
      </w:tr>
      <w:tr>
        <w:trPr>
          <w:trHeight w:val="270"/>
        </w:trPr>
        <w:tc>
          <w:tcPr>
            <w:tcW w:w="2760" w:type="dxa"/>
            <w:vAlign w:val="bottom"/>
          </w:tcPr>
          <w:p>
            <w:pPr>
              <w:ind w:left="20"/>
              <w:spacing w:after="0"/>
              <w:rPr>
                <w:sz w:val="20"/>
                <w:szCs w:val="20"/>
                <w:color w:val="auto"/>
              </w:rPr>
            </w:pPr>
            <w:r>
              <w:rPr>
                <w:rFonts w:ascii="Arial" w:cs="Arial" w:eastAsia="Arial" w:hAnsi="Arial"/>
                <w:sz w:val="18"/>
                <w:szCs w:val="18"/>
                <w:color w:val="auto"/>
              </w:rPr>
              <w:t>EFT Services Holding B.V.</w:t>
            </w:r>
          </w:p>
        </w:tc>
        <w:tc>
          <w:tcPr>
            <w:tcW w:w="4820" w:type="dxa"/>
            <w:vAlign w:val="bottom"/>
          </w:tcPr>
          <w:p>
            <w:pPr>
              <w:ind w:left="200"/>
              <w:spacing w:after="0"/>
              <w:rPr>
                <w:sz w:val="20"/>
                <w:szCs w:val="20"/>
                <w:color w:val="auto"/>
              </w:rPr>
            </w:pPr>
            <w:r>
              <w:rPr>
                <w:rFonts w:ascii="Arial" w:cs="Arial" w:eastAsia="Arial" w:hAnsi="Arial"/>
                <w:sz w:val="18"/>
                <w:szCs w:val="18"/>
                <w:color w:val="auto"/>
              </w:rPr>
              <w:t>Smart PayNetwork SA</w:t>
            </w:r>
          </w:p>
        </w:tc>
        <w:tc>
          <w:tcPr>
            <w:tcW w:w="1680" w:type="dxa"/>
            <w:vAlign w:val="bottom"/>
          </w:tcPr>
          <w:p>
            <w:pPr>
              <w:ind w:left="200"/>
              <w:spacing w:after="0"/>
              <w:rPr>
                <w:sz w:val="20"/>
                <w:szCs w:val="20"/>
                <w:color w:val="auto"/>
              </w:rPr>
            </w:pPr>
            <w:r>
              <w:rPr>
                <w:rFonts w:ascii="Arial" w:cs="Arial" w:eastAsia="Arial" w:hAnsi="Arial"/>
                <w:sz w:val="18"/>
                <w:szCs w:val="18"/>
                <w:color w:val="auto"/>
                <w:w w:val="94"/>
              </w:rPr>
              <w:t>Intercompany Loan</w:t>
            </w:r>
          </w:p>
        </w:tc>
        <w:tc>
          <w:tcPr>
            <w:tcW w:w="1540" w:type="dxa"/>
            <w:vAlign w:val="bottom"/>
          </w:tcPr>
          <w:p>
            <w:pPr>
              <w:jc w:val="right"/>
              <w:ind w:right="30"/>
              <w:spacing w:after="0"/>
              <w:rPr>
                <w:sz w:val="20"/>
                <w:szCs w:val="20"/>
                <w:color w:val="auto"/>
              </w:rPr>
            </w:pPr>
            <w:r>
              <w:rPr>
                <w:rFonts w:ascii="Arial" w:cs="Arial" w:eastAsia="Arial" w:hAnsi="Arial"/>
                <w:sz w:val="18"/>
                <w:szCs w:val="18"/>
                <w:color w:val="auto"/>
              </w:rPr>
              <w:t>1,081,040</w:t>
            </w:r>
          </w:p>
        </w:tc>
      </w:tr>
      <w:tr>
        <w:trPr>
          <w:trHeight w:val="270"/>
        </w:trPr>
        <w:tc>
          <w:tcPr>
            <w:tcW w:w="2760" w:type="dxa"/>
            <w:vAlign w:val="bottom"/>
          </w:tcPr>
          <w:p>
            <w:pPr>
              <w:ind w:left="20"/>
              <w:spacing w:after="0"/>
              <w:rPr>
                <w:sz w:val="20"/>
                <w:szCs w:val="20"/>
                <w:color w:val="auto"/>
              </w:rPr>
            </w:pPr>
            <w:r>
              <w:rPr>
                <w:rFonts w:ascii="Arial" w:cs="Arial" w:eastAsia="Arial" w:hAnsi="Arial"/>
                <w:sz w:val="18"/>
                <w:szCs w:val="18"/>
                <w:color w:val="auto"/>
              </w:rPr>
              <w:t>EFT Services Holding B.V.</w:t>
            </w:r>
          </w:p>
        </w:tc>
        <w:tc>
          <w:tcPr>
            <w:tcW w:w="4820" w:type="dxa"/>
            <w:vAlign w:val="bottom"/>
          </w:tcPr>
          <w:p>
            <w:pPr>
              <w:ind w:left="200"/>
              <w:spacing w:after="0"/>
              <w:rPr>
                <w:sz w:val="20"/>
                <w:szCs w:val="20"/>
                <w:color w:val="auto"/>
              </w:rPr>
            </w:pPr>
            <w:r>
              <w:rPr>
                <w:rFonts w:ascii="Arial" w:cs="Arial" w:eastAsia="Arial" w:hAnsi="Arial"/>
                <w:sz w:val="18"/>
                <w:szCs w:val="18"/>
                <w:color w:val="auto"/>
              </w:rPr>
              <w:t>Telecomnet LLC</w:t>
            </w:r>
          </w:p>
        </w:tc>
        <w:tc>
          <w:tcPr>
            <w:tcW w:w="1680" w:type="dxa"/>
            <w:vAlign w:val="bottom"/>
          </w:tcPr>
          <w:p>
            <w:pPr>
              <w:ind w:left="200"/>
              <w:spacing w:after="0"/>
              <w:rPr>
                <w:sz w:val="20"/>
                <w:szCs w:val="20"/>
                <w:color w:val="auto"/>
              </w:rPr>
            </w:pPr>
            <w:r>
              <w:rPr>
                <w:rFonts w:ascii="Arial" w:cs="Arial" w:eastAsia="Arial" w:hAnsi="Arial"/>
                <w:sz w:val="18"/>
                <w:szCs w:val="18"/>
                <w:color w:val="auto"/>
                <w:w w:val="94"/>
              </w:rPr>
              <w:t>Intercompany Loan</w:t>
            </w:r>
          </w:p>
        </w:tc>
        <w:tc>
          <w:tcPr>
            <w:tcW w:w="1540" w:type="dxa"/>
            <w:vAlign w:val="bottom"/>
          </w:tcPr>
          <w:p>
            <w:pPr>
              <w:jc w:val="right"/>
              <w:ind w:right="30"/>
              <w:spacing w:after="0"/>
              <w:rPr>
                <w:sz w:val="20"/>
                <w:szCs w:val="20"/>
                <w:color w:val="auto"/>
              </w:rPr>
            </w:pPr>
            <w:r>
              <w:rPr>
                <w:rFonts w:ascii="Arial" w:cs="Arial" w:eastAsia="Arial" w:hAnsi="Arial"/>
                <w:sz w:val="18"/>
                <w:szCs w:val="18"/>
                <w:color w:val="auto"/>
              </w:rPr>
              <w:t>5,670,032</w:t>
            </w:r>
          </w:p>
        </w:tc>
      </w:tr>
      <w:tr>
        <w:trPr>
          <w:trHeight w:val="270"/>
        </w:trPr>
        <w:tc>
          <w:tcPr>
            <w:tcW w:w="2760" w:type="dxa"/>
            <w:vAlign w:val="bottom"/>
          </w:tcPr>
          <w:p>
            <w:pPr>
              <w:ind w:left="20"/>
              <w:spacing w:after="0"/>
              <w:rPr>
                <w:sz w:val="20"/>
                <w:szCs w:val="20"/>
                <w:color w:val="auto"/>
              </w:rPr>
            </w:pPr>
            <w:r>
              <w:rPr>
                <w:rFonts w:ascii="Arial" w:cs="Arial" w:eastAsia="Arial" w:hAnsi="Arial"/>
                <w:sz w:val="18"/>
                <w:szCs w:val="18"/>
                <w:color w:val="auto"/>
              </w:rPr>
              <w:t>e-pay Holdings Ltd</w:t>
            </w:r>
          </w:p>
        </w:tc>
        <w:tc>
          <w:tcPr>
            <w:tcW w:w="4820" w:type="dxa"/>
            <w:vAlign w:val="bottom"/>
          </w:tcPr>
          <w:p>
            <w:pPr>
              <w:ind w:left="200"/>
              <w:spacing w:after="0"/>
              <w:rPr>
                <w:sz w:val="20"/>
                <w:szCs w:val="20"/>
                <w:color w:val="auto"/>
              </w:rPr>
            </w:pPr>
            <w:r>
              <w:rPr>
                <w:rFonts w:ascii="Arial" w:cs="Arial" w:eastAsia="Arial" w:hAnsi="Arial"/>
                <w:sz w:val="18"/>
                <w:szCs w:val="18"/>
                <w:color w:val="auto"/>
              </w:rPr>
              <w:t>Euronet Software UK Ltd</w:t>
            </w:r>
          </w:p>
        </w:tc>
        <w:tc>
          <w:tcPr>
            <w:tcW w:w="1680" w:type="dxa"/>
            <w:vAlign w:val="bottom"/>
          </w:tcPr>
          <w:p>
            <w:pPr>
              <w:ind w:left="200"/>
              <w:spacing w:after="0"/>
              <w:rPr>
                <w:sz w:val="20"/>
                <w:szCs w:val="20"/>
                <w:color w:val="auto"/>
              </w:rPr>
            </w:pPr>
            <w:r>
              <w:rPr>
                <w:rFonts w:ascii="Arial" w:cs="Arial" w:eastAsia="Arial" w:hAnsi="Arial"/>
                <w:sz w:val="18"/>
                <w:szCs w:val="18"/>
                <w:color w:val="auto"/>
                <w:w w:val="94"/>
              </w:rPr>
              <w:t>Intercompany Loan</w:t>
            </w:r>
          </w:p>
        </w:tc>
        <w:tc>
          <w:tcPr>
            <w:tcW w:w="154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270"/>
        </w:trPr>
        <w:tc>
          <w:tcPr>
            <w:tcW w:w="2760" w:type="dxa"/>
            <w:vAlign w:val="bottom"/>
          </w:tcPr>
          <w:p>
            <w:pPr>
              <w:ind w:left="20"/>
              <w:spacing w:after="0"/>
              <w:rPr>
                <w:sz w:val="20"/>
                <w:szCs w:val="20"/>
                <w:color w:val="auto"/>
              </w:rPr>
            </w:pPr>
            <w:r>
              <w:rPr>
                <w:rFonts w:ascii="Arial" w:cs="Arial" w:eastAsia="Arial" w:hAnsi="Arial"/>
                <w:sz w:val="18"/>
                <w:szCs w:val="18"/>
                <w:color w:val="auto"/>
              </w:rPr>
              <w:t>epay Ltd</w:t>
            </w:r>
          </w:p>
        </w:tc>
        <w:tc>
          <w:tcPr>
            <w:tcW w:w="4820" w:type="dxa"/>
            <w:vAlign w:val="bottom"/>
          </w:tcPr>
          <w:p>
            <w:pPr>
              <w:ind w:left="200"/>
              <w:spacing w:after="0"/>
              <w:rPr>
                <w:sz w:val="20"/>
                <w:szCs w:val="20"/>
                <w:color w:val="auto"/>
              </w:rPr>
            </w:pPr>
            <w:r>
              <w:rPr>
                <w:rFonts w:ascii="Arial" w:cs="Arial" w:eastAsia="Arial" w:hAnsi="Arial"/>
                <w:sz w:val="18"/>
                <w:szCs w:val="18"/>
                <w:color w:val="auto"/>
              </w:rPr>
              <w:t>EFT Services Holding B.V.</w:t>
            </w:r>
          </w:p>
        </w:tc>
        <w:tc>
          <w:tcPr>
            <w:tcW w:w="1680" w:type="dxa"/>
            <w:vAlign w:val="bottom"/>
          </w:tcPr>
          <w:p>
            <w:pPr>
              <w:ind w:left="200"/>
              <w:spacing w:after="0"/>
              <w:rPr>
                <w:sz w:val="20"/>
                <w:szCs w:val="20"/>
                <w:color w:val="auto"/>
              </w:rPr>
            </w:pPr>
            <w:r>
              <w:rPr>
                <w:rFonts w:ascii="Arial" w:cs="Arial" w:eastAsia="Arial" w:hAnsi="Arial"/>
                <w:sz w:val="18"/>
                <w:szCs w:val="18"/>
                <w:color w:val="auto"/>
                <w:w w:val="94"/>
              </w:rPr>
              <w:t>Intercompany Loan</w:t>
            </w:r>
          </w:p>
        </w:tc>
        <w:tc>
          <w:tcPr>
            <w:tcW w:w="1540" w:type="dxa"/>
            <w:vAlign w:val="bottom"/>
          </w:tcPr>
          <w:p>
            <w:pPr>
              <w:jc w:val="right"/>
              <w:ind w:right="30"/>
              <w:spacing w:after="0"/>
              <w:rPr>
                <w:sz w:val="20"/>
                <w:szCs w:val="20"/>
                <w:color w:val="auto"/>
              </w:rPr>
            </w:pPr>
            <w:r>
              <w:rPr>
                <w:rFonts w:ascii="Arial" w:cs="Arial" w:eastAsia="Arial" w:hAnsi="Arial"/>
                <w:sz w:val="18"/>
                <w:szCs w:val="18"/>
                <w:color w:val="auto"/>
              </w:rPr>
              <w:t>1,479</w:t>
            </w:r>
          </w:p>
        </w:tc>
      </w:tr>
      <w:tr>
        <w:trPr>
          <w:trHeight w:val="256"/>
        </w:trPr>
        <w:tc>
          <w:tcPr>
            <w:tcW w:w="2760" w:type="dxa"/>
            <w:vAlign w:val="bottom"/>
          </w:tcPr>
          <w:p>
            <w:pPr>
              <w:spacing w:after="0"/>
              <w:rPr>
                <w:sz w:val="22"/>
                <w:szCs w:val="22"/>
                <w:color w:val="auto"/>
              </w:rPr>
            </w:pPr>
          </w:p>
        </w:tc>
        <w:tc>
          <w:tcPr>
            <w:tcW w:w="4820" w:type="dxa"/>
            <w:vAlign w:val="bottom"/>
          </w:tcPr>
          <w:p>
            <w:pPr>
              <w:ind w:left="200"/>
              <w:spacing w:after="0"/>
              <w:rPr>
                <w:sz w:val="20"/>
                <w:szCs w:val="20"/>
                <w:color w:val="auto"/>
              </w:rPr>
            </w:pPr>
            <w:r>
              <w:rPr>
                <w:rFonts w:ascii="Arial" w:cs="Arial" w:eastAsia="Arial" w:hAnsi="Arial"/>
                <w:sz w:val="18"/>
                <w:szCs w:val="18"/>
                <w:color w:val="auto"/>
                <w:w w:val="95"/>
              </w:rPr>
              <w:t>Jiayintong (Beijing) Technology Development Co. Ltd. d.b.a.</w:t>
            </w:r>
          </w:p>
        </w:tc>
        <w:tc>
          <w:tcPr>
            <w:tcW w:w="1680" w:type="dxa"/>
            <w:vAlign w:val="bottom"/>
          </w:tcPr>
          <w:p>
            <w:pPr>
              <w:spacing w:after="0"/>
              <w:rPr>
                <w:sz w:val="22"/>
                <w:szCs w:val="22"/>
                <w:color w:val="auto"/>
              </w:rPr>
            </w:pPr>
          </w:p>
        </w:tc>
        <w:tc>
          <w:tcPr>
            <w:tcW w:w="1540" w:type="dxa"/>
            <w:vAlign w:val="bottom"/>
          </w:tcPr>
          <w:p>
            <w:pPr>
              <w:spacing w:after="0"/>
              <w:rPr>
                <w:sz w:val="22"/>
                <w:szCs w:val="22"/>
                <w:color w:val="auto"/>
              </w:rPr>
            </w:pPr>
          </w:p>
        </w:tc>
      </w:tr>
      <w:tr>
        <w:trPr>
          <w:trHeight w:val="230"/>
        </w:trPr>
        <w:tc>
          <w:tcPr>
            <w:tcW w:w="2760" w:type="dxa"/>
            <w:vAlign w:val="bottom"/>
          </w:tcPr>
          <w:p>
            <w:pPr>
              <w:ind w:left="20"/>
              <w:spacing w:after="0"/>
              <w:rPr>
                <w:sz w:val="20"/>
                <w:szCs w:val="20"/>
                <w:color w:val="auto"/>
              </w:rPr>
            </w:pPr>
            <w:r>
              <w:rPr>
                <w:rFonts w:ascii="Arial" w:cs="Arial" w:eastAsia="Arial" w:hAnsi="Arial"/>
                <w:sz w:val="18"/>
                <w:szCs w:val="18"/>
                <w:color w:val="auto"/>
              </w:rPr>
              <w:t>Euronet Asia Holdings Limited</w:t>
            </w:r>
          </w:p>
        </w:tc>
        <w:tc>
          <w:tcPr>
            <w:tcW w:w="4820" w:type="dxa"/>
            <w:vAlign w:val="bottom"/>
          </w:tcPr>
          <w:p>
            <w:pPr>
              <w:ind w:left="200"/>
              <w:spacing w:after="0"/>
              <w:rPr>
                <w:sz w:val="20"/>
                <w:szCs w:val="20"/>
                <w:color w:val="auto"/>
              </w:rPr>
            </w:pPr>
            <w:r>
              <w:rPr>
                <w:rFonts w:ascii="Arial" w:cs="Arial" w:eastAsia="Arial" w:hAnsi="Arial"/>
                <w:sz w:val="18"/>
                <w:szCs w:val="18"/>
                <w:color w:val="auto"/>
              </w:rPr>
              <w:t>Euronet China</w:t>
            </w:r>
          </w:p>
        </w:tc>
        <w:tc>
          <w:tcPr>
            <w:tcW w:w="1680" w:type="dxa"/>
            <w:vAlign w:val="bottom"/>
          </w:tcPr>
          <w:p>
            <w:pPr>
              <w:ind w:left="200"/>
              <w:spacing w:after="0"/>
              <w:rPr>
                <w:sz w:val="20"/>
                <w:szCs w:val="20"/>
                <w:color w:val="auto"/>
              </w:rPr>
            </w:pPr>
            <w:r>
              <w:rPr>
                <w:rFonts w:ascii="Arial" w:cs="Arial" w:eastAsia="Arial" w:hAnsi="Arial"/>
                <w:sz w:val="18"/>
                <w:szCs w:val="18"/>
                <w:color w:val="auto"/>
                <w:w w:val="94"/>
              </w:rPr>
              <w:t>Intercompany Loan</w:t>
            </w:r>
          </w:p>
        </w:tc>
        <w:tc>
          <w:tcPr>
            <w:tcW w:w="1540" w:type="dxa"/>
            <w:vAlign w:val="bottom"/>
          </w:tcPr>
          <w:p>
            <w:pPr>
              <w:jc w:val="right"/>
              <w:ind w:right="30"/>
              <w:spacing w:after="0"/>
              <w:rPr>
                <w:sz w:val="20"/>
                <w:szCs w:val="20"/>
                <w:color w:val="auto"/>
              </w:rPr>
            </w:pPr>
            <w:r>
              <w:rPr>
                <w:rFonts w:ascii="Arial" w:cs="Arial" w:eastAsia="Arial" w:hAnsi="Arial"/>
                <w:sz w:val="18"/>
                <w:szCs w:val="18"/>
                <w:color w:val="auto"/>
              </w:rPr>
              <w:t>1,500,000</w:t>
            </w:r>
          </w:p>
        </w:tc>
      </w:tr>
      <w:tr>
        <w:trPr>
          <w:trHeight w:val="270"/>
        </w:trPr>
        <w:tc>
          <w:tcPr>
            <w:tcW w:w="2760" w:type="dxa"/>
            <w:vAlign w:val="bottom"/>
          </w:tcPr>
          <w:p>
            <w:pPr>
              <w:ind w:left="20"/>
              <w:spacing w:after="0"/>
              <w:rPr>
                <w:sz w:val="20"/>
                <w:szCs w:val="20"/>
                <w:color w:val="auto"/>
              </w:rPr>
            </w:pPr>
            <w:r>
              <w:rPr>
                <w:rFonts w:ascii="Arial" w:cs="Arial" w:eastAsia="Arial" w:hAnsi="Arial"/>
                <w:sz w:val="18"/>
                <w:szCs w:val="18"/>
                <w:color w:val="auto"/>
                <w:w w:val="98"/>
              </w:rPr>
              <w:t>Euronet Business Holdings, S.L.U.</w:t>
            </w:r>
          </w:p>
        </w:tc>
        <w:tc>
          <w:tcPr>
            <w:tcW w:w="4820" w:type="dxa"/>
            <w:vAlign w:val="bottom"/>
          </w:tcPr>
          <w:p>
            <w:pPr>
              <w:ind w:left="200"/>
              <w:spacing w:after="0"/>
              <w:rPr>
                <w:sz w:val="20"/>
                <w:szCs w:val="20"/>
                <w:color w:val="auto"/>
              </w:rPr>
            </w:pPr>
            <w:r>
              <w:rPr>
                <w:rFonts w:ascii="Arial" w:cs="Arial" w:eastAsia="Arial" w:hAnsi="Arial"/>
                <w:sz w:val="18"/>
                <w:szCs w:val="18"/>
                <w:color w:val="auto"/>
              </w:rPr>
              <w:t>Euronet Telerecarga, S.L.U.</w:t>
            </w:r>
          </w:p>
        </w:tc>
        <w:tc>
          <w:tcPr>
            <w:tcW w:w="1680" w:type="dxa"/>
            <w:vAlign w:val="bottom"/>
          </w:tcPr>
          <w:p>
            <w:pPr>
              <w:ind w:left="200"/>
              <w:spacing w:after="0"/>
              <w:rPr>
                <w:sz w:val="20"/>
                <w:szCs w:val="20"/>
                <w:color w:val="auto"/>
              </w:rPr>
            </w:pPr>
            <w:r>
              <w:rPr>
                <w:rFonts w:ascii="Arial" w:cs="Arial" w:eastAsia="Arial" w:hAnsi="Arial"/>
                <w:sz w:val="18"/>
                <w:szCs w:val="18"/>
                <w:color w:val="auto"/>
                <w:w w:val="94"/>
              </w:rPr>
              <w:t>Intercompany Loan</w:t>
            </w:r>
          </w:p>
        </w:tc>
        <w:tc>
          <w:tcPr>
            <w:tcW w:w="1540" w:type="dxa"/>
            <w:vAlign w:val="bottom"/>
          </w:tcPr>
          <w:p>
            <w:pPr>
              <w:jc w:val="right"/>
              <w:ind w:right="30"/>
              <w:spacing w:after="0"/>
              <w:rPr>
                <w:sz w:val="20"/>
                <w:szCs w:val="20"/>
                <w:color w:val="auto"/>
              </w:rPr>
            </w:pPr>
            <w:r>
              <w:rPr>
                <w:rFonts w:ascii="Arial" w:cs="Arial" w:eastAsia="Arial" w:hAnsi="Arial"/>
                <w:sz w:val="18"/>
                <w:szCs w:val="18"/>
                <w:color w:val="auto"/>
              </w:rPr>
              <w:t>22,296,450</w:t>
            </w:r>
          </w:p>
        </w:tc>
      </w:tr>
      <w:tr>
        <w:trPr>
          <w:trHeight w:val="270"/>
        </w:trPr>
        <w:tc>
          <w:tcPr>
            <w:tcW w:w="2760" w:type="dxa"/>
            <w:vAlign w:val="bottom"/>
          </w:tcPr>
          <w:p>
            <w:pPr>
              <w:ind w:left="20"/>
              <w:spacing w:after="0"/>
              <w:rPr>
                <w:sz w:val="20"/>
                <w:szCs w:val="20"/>
                <w:color w:val="auto"/>
              </w:rPr>
            </w:pPr>
            <w:r>
              <w:rPr>
                <w:rFonts w:ascii="Arial" w:cs="Arial" w:eastAsia="Arial" w:hAnsi="Arial"/>
                <w:sz w:val="18"/>
                <w:szCs w:val="18"/>
                <w:color w:val="auto"/>
                <w:w w:val="98"/>
              </w:rPr>
              <w:t>Euronet Business Holdings, S.L.U.</w:t>
            </w:r>
          </w:p>
        </w:tc>
        <w:tc>
          <w:tcPr>
            <w:tcW w:w="4820" w:type="dxa"/>
            <w:vAlign w:val="bottom"/>
          </w:tcPr>
          <w:p>
            <w:pPr>
              <w:ind w:left="200"/>
              <w:spacing w:after="0"/>
              <w:rPr>
                <w:sz w:val="20"/>
                <w:szCs w:val="20"/>
                <w:color w:val="auto"/>
              </w:rPr>
            </w:pPr>
            <w:r>
              <w:rPr>
                <w:rFonts w:ascii="Arial" w:cs="Arial" w:eastAsia="Arial" w:hAnsi="Arial"/>
                <w:sz w:val="18"/>
                <w:szCs w:val="18"/>
                <w:color w:val="auto"/>
              </w:rPr>
              <w:t>RIA Spain Holdings S.L.U.</w:t>
            </w:r>
          </w:p>
        </w:tc>
        <w:tc>
          <w:tcPr>
            <w:tcW w:w="1680" w:type="dxa"/>
            <w:vAlign w:val="bottom"/>
          </w:tcPr>
          <w:p>
            <w:pPr>
              <w:ind w:left="200"/>
              <w:spacing w:after="0"/>
              <w:rPr>
                <w:sz w:val="20"/>
                <w:szCs w:val="20"/>
                <w:color w:val="auto"/>
              </w:rPr>
            </w:pPr>
            <w:r>
              <w:rPr>
                <w:rFonts w:ascii="Arial" w:cs="Arial" w:eastAsia="Arial" w:hAnsi="Arial"/>
                <w:sz w:val="18"/>
                <w:szCs w:val="18"/>
                <w:color w:val="auto"/>
                <w:w w:val="94"/>
              </w:rPr>
              <w:t>Intercompany Loan</w:t>
            </w:r>
          </w:p>
        </w:tc>
        <w:tc>
          <w:tcPr>
            <w:tcW w:w="1540" w:type="dxa"/>
            <w:vAlign w:val="bottom"/>
          </w:tcPr>
          <w:p>
            <w:pPr>
              <w:jc w:val="right"/>
              <w:ind w:right="30"/>
              <w:spacing w:after="0"/>
              <w:rPr>
                <w:sz w:val="20"/>
                <w:szCs w:val="20"/>
                <w:color w:val="auto"/>
              </w:rPr>
            </w:pPr>
            <w:r>
              <w:rPr>
                <w:rFonts w:ascii="Arial" w:cs="Arial" w:eastAsia="Arial" w:hAnsi="Arial"/>
                <w:sz w:val="18"/>
                <w:szCs w:val="18"/>
                <w:color w:val="auto"/>
              </w:rPr>
              <w:t>56,661,888</w:t>
            </w:r>
          </w:p>
        </w:tc>
      </w:tr>
      <w:tr>
        <w:trPr>
          <w:trHeight w:val="270"/>
        </w:trPr>
        <w:tc>
          <w:tcPr>
            <w:tcW w:w="2760" w:type="dxa"/>
            <w:vAlign w:val="bottom"/>
          </w:tcPr>
          <w:p>
            <w:pPr>
              <w:ind w:left="20"/>
              <w:spacing w:after="0"/>
              <w:rPr>
                <w:sz w:val="20"/>
                <w:szCs w:val="20"/>
                <w:color w:val="auto"/>
              </w:rPr>
            </w:pPr>
            <w:r>
              <w:rPr>
                <w:rFonts w:ascii="Arial" w:cs="Arial" w:eastAsia="Arial" w:hAnsi="Arial"/>
                <w:sz w:val="18"/>
                <w:szCs w:val="18"/>
                <w:color w:val="auto"/>
              </w:rPr>
              <w:t>Euronet Card Services S.A.</w:t>
            </w:r>
          </w:p>
        </w:tc>
        <w:tc>
          <w:tcPr>
            <w:tcW w:w="4820" w:type="dxa"/>
            <w:vAlign w:val="bottom"/>
          </w:tcPr>
          <w:p>
            <w:pPr>
              <w:ind w:left="200"/>
              <w:spacing w:after="0"/>
              <w:rPr>
                <w:sz w:val="20"/>
                <w:szCs w:val="20"/>
                <w:color w:val="auto"/>
              </w:rPr>
            </w:pPr>
            <w:r>
              <w:rPr>
                <w:rFonts w:ascii="Arial" w:cs="Arial" w:eastAsia="Arial" w:hAnsi="Arial"/>
                <w:sz w:val="18"/>
                <w:szCs w:val="18"/>
                <w:color w:val="auto"/>
              </w:rPr>
              <w:t>EFT Services Holding B.V.</w:t>
            </w:r>
          </w:p>
        </w:tc>
        <w:tc>
          <w:tcPr>
            <w:tcW w:w="1680" w:type="dxa"/>
            <w:vAlign w:val="bottom"/>
          </w:tcPr>
          <w:p>
            <w:pPr>
              <w:ind w:left="200"/>
              <w:spacing w:after="0"/>
              <w:rPr>
                <w:sz w:val="20"/>
                <w:szCs w:val="20"/>
                <w:color w:val="auto"/>
              </w:rPr>
            </w:pPr>
            <w:r>
              <w:rPr>
                <w:rFonts w:ascii="Arial" w:cs="Arial" w:eastAsia="Arial" w:hAnsi="Arial"/>
                <w:sz w:val="18"/>
                <w:szCs w:val="18"/>
                <w:color w:val="auto"/>
                <w:w w:val="94"/>
              </w:rPr>
              <w:t>Intercompany Loan</w:t>
            </w:r>
          </w:p>
        </w:tc>
        <w:tc>
          <w:tcPr>
            <w:tcW w:w="1540" w:type="dxa"/>
            <w:vAlign w:val="bottom"/>
          </w:tcPr>
          <w:p>
            <w:pPr>
              <w:jc w:val="right"/>
              <w:ind w:right="30"/>
              <w:spacing w:after="0"/>
              <w:rPr>
                <w:sz w:val="20"/>
                <w:szCs w:val="20"/>
                <w:color w:val="auto"/>
              </w:rPr>
            </w:pPr>
            <w:r>
              <w:rPr>
                <w:rFonts w:ascii="Arial" w:cs="Arial" w:eastAsia="Arial" w:hAnsi="Arial"/>
                <w:sz w:val="18"/>
                <w:szCs w:val="18"/>
                <w:color w:val="auto"/>
              </w:rPr>
              <w:t>1,083,388</w:t>
            </w:r>
          </w:p>
        </w:tc>
      </w:tr>
      <w:tr>
        <w:trPr>
          <w:trHeight w:val="270"/>
        </w:trPr>
        <w:tc>
          <w:tcPr>
            <w:tcW w:w="2760" w:type="dxa"/>
            <w:vAlign w:val="bottom"/>
          </w:tcPr>
          <w:p>
            <w:pPr>
              <w:ind w:left="20"/>
              <w:spacing w:after="0"/>
              <w:rPr>
                <w:sz w:val="20"/>
                <w:szCs w:val="20"/>
                <w:color w:val="auto"/>
              </w:rPr>
            </w:pPr>
            <w:r>
              <w:rPr>
                <w:rFonts w:ascii="Arial" w:cs="Arial" w:eastAsia="Arial" w:hAnsi="Arial"/>
                <w:sz w:val="18"/>
                <w:szCs w:val="18"/>
                <w:color w:val="auto"/>
              </w:rPr>
              <w:t>Euronet Card Services S.A.</w:t>
            </w:r>
          </w:p>
        </w:tc>
        <w:tc>
          <w:tcPr>
            <w:tcW w:w="4820" w:type="dxa"/>
            <w:vAlign w:val="bottom"/>
          </w:tcPr>
          <w:p>
            <w:pPr>
              <w:ind w:left="200"/>
              <w:spacing w:after="0"/>
              <w:rPr>
                <w:sz w:val="20"/>
                <w:szCs w:val="20"/>
                <w:color w:val="auto"/>
              </w:rPr>
            </w:pPr>
            <w:r>
              <w:rPr>
                <w:rFonts w:ascii="Arial" w:cs="Arial" w:eastAsia="Arial" w:hAnsi="Arial"/>
                <w:sz w:val="18"/>
                <w:szCs w:val="18"/>
                <w:color w:val="auto"/>
              </w:rPr>
              <w:t>Euronet Prepaid Hellas Ltd.</w:t>
            </w:r>
          </w:p>
        </w:tc>
        <w:tc>
          <w:tcPr>
            <w:tcW w:w="1680" w:type="dxa"/>
            <w:vAlign w:val="bottom"/>
          </w:tcPr>
          <w:p>
            <w:pPr>
              <w:ind w:left="200"/>
              <w:spacing w:after="0"/>
              <w:rPr>
                <w:sz w:val="20"/>
                <w:szCs w:val="20"/>
                <w:color w:val="auto"/>
              </w:rPr>
            </w:pPr>
            <w:r>
              <w:rPr>
                <w:rFonts w:ascii="Arial" w:cs="Arial" w:eastAsia="Arial" w:hAnsi="Arial"/>
                <w:sz w:val="18"/>
                <w:szCs w:val="18"/>
                <w:color w:val="auto"/>
                <w:w w:val="94"/>
              </w:rPr>
              <w:t>Intercompany Loan</w:t>
            </w:r>
          </w:p>
        </w:tc>
        <w:tc>
          <w:tcPr>
            <w:tcW w:w="1540" w:type="dxa"/>
            <w:vAlign w:val="bottom"/>
          </w:tcPr>
          <w:p>
            <w:pPr>
              <w:jc w:val="right"/>
              <w:ind w:right="30"/>
              <w:spacing w:after="0"/>
              <w:rPr>
                <w:sz w:val="20"/>
                <w:szCs w:val="20"/>
                <w:color w:val="auto"/>
              </w:rPr>
            </w:pPr>
            <w:r>
              <w:rPr>
                <w:rFonts w:ascii="Arial" w:cs="Arial" w:eastAsia="Arial" w:hAnsi="Arial"/>
                <w:sz w:val="18"/>
                <w:szCs w:val="18"/>
                <w:color w:val="auto"/>
              </w:rPr>
              <w:t>314,004</w:t>
            </w:r>
          </w:p>
        </w:tc>
      </w:tr>
      <w:tr>
        <w:trPr>
          <w:trHeight w:val="270"/>
        </w:trPr>
        <w:tc>
          <w:tcPr>
            <w:tcW w:w="2760" w:type="dxa"/>
            <w:vAlign w:val="bottom"/>
          </w:tcPr>
          <w:p>
            <w:pPr>
              <w:ind w:left="20"/>
              <w:spacing w:after="0"/>
              <w:rPr>
                <w:sz w:val="20"/>
                <w:szCs w:val="20"/>
                <w:color w:val="auto"/>
              </w:rPr>
            </w:pPr>
            <w:r>
              <w:rPr>
                <w:rFonts w:ascii="Arial" w:cs="Arial" w:eastAsia="Arial" w:hAnsi="Arial"/>
                <w:sz w:val="18"/>
                <w:szCs w:val="18"/>
                <w:color w:val="auto"/>
              </w:rPr>
              <w:t>Euronet Middle East W.L.L.</w:t>
            </w:r>
          </w:p>
        </w:tc>
        <w:tc>
          <w:tcPr>
            <w:tcW w:w="4820" w:type="dxa"/>
            <w:vAlign w:val="bottom"/>
          </w:tcPr>
          <w:p>
            <w:pPr>
              <w:ind w:left="200"/>
              <w:spacing w:after="0"/>
              <w:rPr>
                <w:sz w:val="20"/>
                <w:szCs w:val="20"/>
                <w:color w:val="auto"/>
              </w:rPr>
            </w:pPr>
            <w:r>
              <w:rPr>
                <w:rFonts w:ascii="Arial" w:cs="Arial" w:eastAsia="Arial" w:hAnsi="Arial"/>
                <w:sz w:val="18"/>
                <w:szCs w:val="18"/>
                <w:color w:val="auto"/>
              </w:rPr>
              <w:t>EFT Services Holding B.V.</w:t>
            </w:r>
          </w:p>
        </w:tc>
        <w:tc>
          <w:tcPr>
            <w:tcW w:w="1680" w:type="dxa"/>
            <w:vAlign w:val="bottom"/>
          </w:tcPr>
          <w:p>
            <w:pPr>
              <w:ind w:left="200"/>
              <w:spacing w:after="0"/>
              <w:rPr>
                <w:sz w:val="20"/>
                <w:szCs w:val="20"/>
                <w:color w:val="auto"/>
              </w:rPr>
            </w:pPr>
            <w:r>
              <w:rPr>
                <w:rFonts w:ascii="Arial" w:cs="Arial" w:eastAsia="Arial" w:hAnsi="Arial"/>
                <w:sz w:val="18"/>
                <w:szCs w:val="18"/>
                <w:color w:val="auto"/>
                <w:w w:val="94"/>
              </w:rPr>
              <w:t>Intercompany Loan</w:t>
            </w:r>
          </w:p>
        </w:tc>
        <w:tc>
          <w:tcPr>
            <w:tcW w:w="1540" w:type="dxa"/>
            <w:vAlign w:val="bottom"/>
          </w:tcPr>
          <w:p>
            <w:pPr>
              <w:jc w:val="right"/>
              <w:ind w:right="30"/>
              <w:spacing w:after="0"/>
              <w:rPr>
                <w:sz w:val="20"/>
                <w:szCs w:val="20"/>
                <w:color w:val="auto"/>
              </w:rPr>
            </w:pPr>
            <w:r>
              <w:rPr>
                <w:rFonts w:ascii="Arial" w:cs="Arial" w:eastAsia="Arial" w:hAnsi="Arial"/>
                <w:sz w:val="18"/>
                <w:szCs w:val="18"/>
                <w:color w:val="auto"/>
              </w:rPr>
              <w:t>3,300,000</w:t>
            </w:r>
          </w:p>
        </w:tc>
      </w:tr>
      <w:tr>
        <w:trPr>
          <w:trHeight w:val="270"/>
        </w:trPr>
        <w:tc>
          <w:tcPr>
            <w:tcW w:w="2760" w:type="dxa"/>
            <w:vAlign w:val="bottom"/>
          </w:tcPr>
          <w:p>
            <w:pPr>
              <w:ind w:left="20"/>
              <w:spacing w:after="0"/>
              <w:rPr>
                <w:sz w:val="20"/>
                <w:szCs w:val="20"/>
                <w:color w:val="auto"/>
              </w:rPr>
            </w:pPr>
            <w:r>
              <w:rPr>
                <w:rFonts w:ascii="Arial" w:cs="Arial" w:eastAsia="Arial" w:hAnsi="Arial"/>
                <w:sz w:val="18"/>
                <w:szCs w:val="18"/>
                <w:color w:val="auto"/>
              </w:rPr>
              <w:t>Euronet Software UK Ltd</w:t>
            </w:r>
          </w:p>
        </w:tc>
        <w:tc>
          <w:tcPr>
            <w:tcW w:w="4820" w:type="dxa"/>
            <w:vAlign w:val="bottom"/>
          </w:tcPr>
          <w:p>
            <w:pPr>
              <w:ind w:left="200"/>
              <w:spacing w:after="0"/>
              <w:rPr>
                <w:sz w:val="20"/>
                <w:szCs w:val="20"/>
                <w:color w:val="auto"/>
              </w:rPr>
            </w:pPr>
            <w:r>
              <w:rPr>
                <w:rFonts w:ascii="Arial" w:cs="Arial" w:eastAsia="Arial" w:hAnsi="Arial"/>
                <w:sz w:val="18"/>
                <w:szCs w:val="18"/>
                <w:color w:val="auto"/>
              </w:rPr>
              <w:t>e-pay Holdings Ltd</w:t>
            </w:r>
          </w:p>
        </w:tc>
        <w:tc>
          <w:tcPr>
            <w:tcW w:w="1680" w:type="dxa"/>
            <w:vAlign w:val="bottom"/>
          </w:tcPr>
          <w:p>
            <w:pPr>
              <w:ind w:left="200"/>
              <w:spacing w:after="0"/>
              <w:rPr>
                <w:sz w:val="20"/>
                <w:szCs w:val="20"/>
                <w:color w:val="auto"/>
              </w:rPr>
            </w:pPr>
            <w:r>
              <w:rPr>
                <w:rFonts w:ascii="Arial" w:cs="Arial" w:eastAsia="Arial" w:hAnsi="Arial"/>
                <w:sz w:val="18"/>
                <w:szCs w:val="18"/>
                <w:color w:val="auto"/>
                <w:w w:val="94"/>
              </w:rPr>
              <w:t>Intercompany Loan</w:t>
            </w:r>
          </w:p>
        </w:tc>
        <w:tc>
          <w:tcPr>
            <w:tcW w:w="1540" w:type="dxa"/>
            <w:vAlign w:val="bottom"/>
          </w:tcPr>
          <w:p>
            <w:pPr>
              <w:jc w:val="right"/>
              <w:ind w:right="30"/>
              <w:spacing w:after="0"/>
              <w:rPr>
                <w:sz w:val="20"/>
                <w:szCs w:val="20"/>
                <w:color w:val="auto"/>
              </w:rPr>
            </w:pPr>
            <w:r>
              <w:rPr>
                <w:rFonts w:ascii="Arial" w:cs="Arial" w:eastAsia="Arial" w:hAnsi="Arial"/>
                <w:sz w:val="18"/>
                <w:szCs w:val="18"/>
                <w:color w:val="auto"/>
              </w:rPr>
              <w:t>4,946,678</w:t>
            </w:r>
          </w:p>
        </w:tc>
      </w:tr>
      <w:tr>
        <w:trPr>
          <w:trHeight w:val="270"/>
        </w:trPr>
        <w:tc>
          <w:tcPr>
            <w:tcW w:w="2760" w:type="dxa"/>
            <w:vAlign w:val="bottom"/>
          </w:tcPr>
          <w:p>
            <w:pPr>
              <w:ind w:left="20"/>
              <w:spacing w:after="0"/>
              <w:rPr>
                <w:sz w:val="20"/>
                <w:szCs w:val="20"/>
                <w:color w:val="auto"/>
              </w:rPr>
            </w:pPr>
            <w:r>
              <w:rPr>
                <w:rFonts w:ascii="Arial" w:cs="Arial" w:eastAsia="Arial" w:hAnsi="Arial"/>
                <w:sz w:val="18"/>
                <w:szCs w:val="18"/>
                <w:color w:val="auto"/>
              </w:rPr>
              <w:t>Euronet Telerecarga, S.L.U.</w:t>
            </w:r>
          </w:p>
        </w:tc>
        <w:tc>
          <w:tcPr>
            <w:tcW w:w="4820" w:type="dxa"/>
            <w:vAlign w:val="bottom"/>
          </w:tcPr>
          <w:p>
            <w:pPr>
              <w:ind w:left="200"/>
              <w:spacing w:after="0"/>
              <w:rPr>
                <w:sz w:val="20"/>
                <w:szCs w:val="20"/>
                <w:color w:val="auto"/>
              </w:rPr>
            </w:pPr>
            <w:r>
              <w:rPr>
                <w:rFonts w:ascii="Arial" w:cs="Arial" w:eastAsia="Arial" w:hAnsi="Arial"/>
                <w:sz w:val="18"/>
                <w:szCs w:val="18"/>
                <w:color w:val="auto"/>
              </w:rPr>
              <w:t>Euronet Movilcarga S.L.</w:t>
            </w:r>
          </w:p>
        </w:tc>
        <w:tc>
          <w:tcPr>
            <w:tcW w:w="1680" w:type="dxa"/>
            <w:vAlign w:val="bottom"/>
          </w:tcPr>
          <w:p>
            <w:pPr>
              <w:ind w:left="200"/>
              <w:spacing w:after="0"/>
              <w:rPr>
                <w:sz w:val="20"/>
                <w:szCs w:val="20"/>
                <w:color w:val="auto"/>
              </w:rPr>
            </w:pPr>
            <w:r>
              <w:rPr>
                <w:rFonts w:ascii="Arial" w:cs="Arial" w:eastAsia="Arial" w:hAnsi="Arial"/>
                <w:sz w:val="18"/>
                <w:szCs w:val="18"/>
                <w:color w:val="auto"/>
                <w:w w:val="94"/>
              </w:rPr>
              <w:t>Intercompany Loan</w:t>
            </w:r>
          </w:p>
        </w:tc>
        <w:tc>
          <w:tcPr>
            <w:tcW w:w="1540" w:type="dxa"/>
            <w:vAlign w:val="bottom"/>
          </w:tcPr>
          <w:p>
            <w:pPr>
              <w:jc w:val="right"/>
              <w:ind w:right="30"/>
              <w:spacing w:after="0"/>
              <w:rPr>
                <w:sz w:val="20"/>
                <w:szCs w:val="20"/>
                <w:color w:val="auto"/>
              </w:rPr>
            </w:pPr>
            <w:r>
              <w:rPr>
                <w:rFonts w:ascii="Arial" w:cs="Arial" w:eastAsia="Arial" w:hAnsi="Arial"/>
                <w:sz w:val="18"/>
                <w:szCs w:val="18"/>
                <w:color w:val="auto"/>
              </w:rPr>
              <w:t>6,993,623</w:t>
            </w:r>
          </w:p>
        </w:tc>
      </w:tr>
      <w:tr>
        <w:trPr>
          <w:trHeight w:val="270"/>
        </w:trPr>
        <w:tc>
          <w:tcPr>
            <w:tcW w:w="2760" w:type="dxa"/>
            <w:vAlign w:val="bottom"/>
          </w:tcPr>
          <w:p>
            <w:pPr>
              <w:ind w:left="20"/>
              <w:spacing w:after="0"/>
              <w:rPr>
                <w:sz w:val="20"/>
                <w:szCs w:val="20"/>
                <w:color w:val="auto"/>
              </w:rPr>
            </w:pPr>
            <w:r>
              <w:rPr>
                <w:rFonts w:ascii="Arial" w:cs="Arial" w:eastAsia="Arial" w:hAnsi="Arial"/>
                <w:sz w:val="18"/>
                <w:szCs w:val="18"/>
                <w:color w:val="auto"/>
              </w:rPr>
              <w:t>Euronet Worldwide, Inc.</w:t>
            </w:r>
          </w:p>
        </w:tc>
        <w:tc>
          <w:tcPr>
            <w:tcW w:w="4820" w:type="dxa"/>
            <w:vAlign w:val="bottom"/>
          </w:tcPr>
          <w:p>
            <w:pPr>
              <w:ind w:left="200"/>
              <w:spacing w:after="0"/>
              <w:rPr>
                <w:sz w:val="20"/>
                <w:szCs w:val="20"/>
                <w:color w:val="auto"/>
              </w:rPr>
            </w:pPr>
            <w:r>
              <w:rPr>
                <w:rFonts w:ascii="Arial" w:cs="Arial" w:eastAsia="Arial" w:hAnsi="Arial"/>
                <w:sz w:val="18"/>
                <w:szCs w:val="18"/>
                <w:color w:val="auto"/>
              </w:rPr>
              <w:t>EFT Americas, Inc.</w:t>
            </w:r>
          </w:p>
        </w:tc>
        <w:tc>
          <w:tcPr>
            <w:tcW w:w="1680" w:type="dxa"/>
            <w:vAlign w:val="bottom"/>
          </w:tcPr>
          <w:p>
            <w:pPr>
              <w:ind w:left="200"/>
              <w:spacing w:after="0"/>
              <w:rPr>
                <w:sz w:val="20"/>
                <w:szCs w:val="20"/>
                <w:color w:val="auto"/>
              </w:rPr>
            </w:pPr>
            <w:r>
              <w:rPr>
                <w:rFonts w:ascii="Arial" w:cs="Arial" w:eastAsia="Arial" w:hAnsi="Arial"/>
                <w:sz w:val="18"/>
                <w:szCs w:val="18"/>
                <w:color w:val="auto"/>
                <w:w w:val="94"/>
              </w:rPr>
              <w:t>Intercompany Loan</w:t>
            </w:r>
          </w:p>
        </w:tc>
        <w:tc>
          <w:tcPr>
            <w:tcW w:w="1540" w:type="dxa"/>
            <w:vAlign w:val="bottom"/>
          </w:tcPr>
          <w:p>
            <w:pPr>
              <w:jc w:val="right"/>
              <w:ind w:right="30"/>
              <w:spacing w:after="0"/>
              <w:rPr>
                <w:sz w:val="20"/>
                <w:szCs w:val="20"/>
                <w:color w:val="auto"/>
              </w:rPr>
            </w:pPr>
            <w:r>
              <w:rPr>
                <w:rFonts w:ascii="Arial" w:cs="Arial" w:eastAsia="Arial" w:hAnsi="Arial"/>
                <w:sz w:val="18"/>
                <w:szCs w:val="18"/>
                <w:color w:val="auto"/>
              </w:rPr>
              <w:t>240,016</w:t>
            </w:r>
          </w:p>
        </w:tc>
      </w:tr>
      <w:tr>
        <w:trPr>
          <w:trHeight w:val="270"/>
        </w:trPr>
        <w:tc>
          <w:tcPr>
            <w:tcW w:w="2760" w:type="dxa"/>
            <w:vAlign w:val="bottom"/>
          </w:tcPr>
          <w:p>
            <w:pPr>
              <w:ind w:left="20"/>
              <w:spacing w:after="0"/>
              <w:rPr>
                <w:sz w:val="20"/>
                <w:szCs w:val="20"/>
                <w:color w:val="auto"/>
              </w:rPr>
            </w:pPr>
            <w:r>
              <w:rPr>
                <w:rFonts w:ascii="Arial" w:cs="Arial" w:eastAsia="Arial" w:hAnsi="Arial"/>
                <w:sz w:val="18"/>
                <w:szCs w:val="18"/>
                <w:color w:val="auto"/>
              </w:rPr>
              <w:t>Euronet Worldwide, Inc.</w:t>
            </w:r>
          </w:p>
        </w:tc>
        <w:tc>
          <w:tcPr>
            <w:tcW w:w="4820" w:type="dxa"/>
            <w:vAlign w:val="bottom"/>
          </w:tcPr>
          <w:p>
            <w:pPr>
              <w:ind w:left="200"/>
              <w:spacing w:after="0"/>
              <w:rPr>
                <w:sz w:val="20"/>
                <w:szCs w:val="20"/>
                <w:color w:val="auto"/>
              </w:rPr>
            </w:pPr>
            <w:r>
              <w:rPr>
                <w:rFonts w:ascii="Arial" w:cs="Arial" w:eastAsia="Arial" w:hAnsi="Arial"/>
                <w:sz w:val="18"/>
                <w:szCs w:val="18"/>
                <w:color w:val="auto"/>
              </w:rPr>
              <w:t>EFT Services Holding B.V.</w:t>
            </w:r>
          </w:p>
        </w:tc>
        <w:tc>
          <w:tcPr>
            <w:tcW w:w="1680" w:type="dxa"/>
            <w:vAlign w:val="bottom"/>
          </w:tcPr>
          <w:p>
            <w:pPr>
              <w:ind w:left="200"/>
              <w:spacing w:after="0"/>
              <w:rPr>
                <w:sz w:val="20"/>
                <w:szCs w:val="20"/>
                <w:color w:val="auto"/>
              </w:rPr>
            </w:pPr>
            <w:r>
              <w:rPr>
                <w:rFonts w:ascii="Arial" w:cs="Arial" w:eastAsia="Arial" w:hAnsi="Arial"/>
                <w:sz w:val="18"/>
                <w:szCs w:val="18"/>
                <w:color w:val="auto"/>
                <w:w w:val="94"/>
              </w:rPr>
              <w:t>Intercompany Loan</w:t>
            </w:r>
          </w:p>
        </w:tc>
        <w:tc>
          <w:tcPr>
            <w:tcW w:w="1540" w:type="dxa"/>
            <w:vAlign w:val="bottom"/>
          </w:tcPr>
          <w:p>
            <w:pPr>
              <w:jc w:val="right"/>
              <w:ind w:right="30"/>
              <w:spacing w:after="0"/>
              <w:rPr>
                <w:sz w:val="20"/>
                <w:szCs w:val="20"/>
                <w:color w:val="auto"/>
              </w:rPr>
            </w:pPr>
            <w:r>
              <w:rPr>
                <w:rFonts w:ascii="Arial" w:cs="Arial" w:eastAsia="Arial" w:hAnsi="Arial"/>
                <w:sz w:val="18"/>
                <w:szCs w:val="18"/>
                <w:color w:val="auto"/>
              </w:rPr>
              <w:t>99,498,150</w:t>
            </w:r>
          </w:p>
        </w:tc>
      </w:tr>
      <w:tr>
        <w:trPr>
          <w:trHeight w:val="270"/>
        </w:trPr>
        <w:tc>
          <w:tcPr>
            <w:tcW w:w="2760" w:type="dxa"/>
            <w:vAlign w:val="bottom"/>
          </w:tcPr>
          <w:p>
            <w:pPr>
              <w:ind w:left="20"/>
              <w:spacing w:after="0"/>
              <w:rPr>
                <w:sz w:val="20"/>
                <w:szCs w:val="20"/>
                <w:color w:val="auto"/>
              </w:rPr>
            </w:pPr>
            <w:r>
              <w:rPr>
                <w:rFonts w:ascii="Arial" w:cs="Arial" w:eastAsia="Arial" w:hAnsi="Arial"/>
                <w:sz w:val="18"/>
                <w:szCs w:val="18"/>
                <w:color w:val="auto"/>
              </w:rPr>
              <w:t>Euronet Worldwide, Inc.</w:t>
            </w:r>
          </w:p>
        </w:tc>
        <w:tc>
          <w:tcPr>
            <w:tcW w:w="4820" w:type="dxa"/>
            <w:vAlign w:val="bottom"/>
          </w:tcPr>
          <w:p>
            <w:pPr>
              <w:ind w:left="200"/>
              <w:spacing w:after="0"/>
              <w:rPr>
                <w:sz w:val="20"/>
                <w:szCs w:val="20"/>
                <w:color w:val="auto"/>
              </w:rPr>
            </w:pPr>
            <w:r>
              <w:rPr>
                <w:rFonts w:ascii="Arial" w:cs="Arial" w:eastAsia="Arial" w:hAnsi="Arial"/>
                <w:sz w:val="18"/>
                <w:szCs w:val="18"/>
                <w:color w:val="auto"/>
              </w:rPr>
              <w:t>epay Australia Holdings Pty Ltd</w:t>
            </w:r>
          </w:p>
        </w:tc>
        <w:tc>
          <w:tcPr>
            <w:tcW w:w="1680" w:type="dxa"/>
            <w:vAlign w:val="bottom"/>
          </w:tcPr>
          <w:p>
            <w:pPr>
              <w:ind w:left="200"/>
              <w:spacing w:after="0"/>
              <w:rPr>
                <w:sz w:val="20"/>
                <w:szCs w:val="20"/>
                <w:color w:val="auto"/>
              </w:rPr>
            </w:pPr>
            <w:r>
              <w:rPr>
                <w:rFonts w:ascii="Arial" w:cs="Arial" w:eastAsia="Arial" w:hAnsi="Arial"/>
                <w:sz w:val="18"/>
                <w:szCs w:val="18"/>
                <w:color w:val="auto"/>
                <w:w w:val="94"/>
              </w:rPr>
              <w:t>Intercompany Loan</w:t>
            </w:r>
          </w:p>
        </w:tc>
        <w:tc>
          <w:tcPr>
            <w:tcW w:w="1540" w:type="dxa"/>
            <w:vAlign w:val="bottom"/>
          </w:tcPr>
          <w:p>
            <w:pPr>
              <w:jc w:val="right"/>
              <w:ind w:right="30"/>
              <w:spacing w:after="0"/>
              <w:rPr>
                <w:sz w:val="20"/>
                <w:szCs w:val="20"/>
                <w:color w:val="auto"/>
              </w:rPr>
            </w:pPr>
            <w:r>
              <w:rPr>
                <w:rFonts w:ascii="Arial" w:cs="Arial" w:eastAsia="Arial" w:hAnsi="Arial"/>
                <w:sz w:val="18"/>
                <w:szCs w:val="18"/>
                <w:color w:val="auto"/>
              </w:rPr>
              <w:t>3,515</w:t>
            </w:r>
          </w:p>
        </w:tc>
      </w:tr>
      <w:tr>
        <w:trPr>
          <w:trHeight w:val="270"/>
        </w:trPr>
        <w:tc>
          <w:tcPr>
            <w:tcW w:w="2760" w:type="dxa"/>
            <w:vAlign w:val="bottom"/>
          </w:tcPr>
          <w:p>
            <w:pPr>
              <w:ind w:left="20"/>
              <w:spacing w:after="0"/>
              <w:rPr>
                <w:sz w:val="20"/>
                <w:szCs w:val="20"/>
                <w:color w:val="auto"/>
              </w:rPr>
            </w:pPr>
            <w:r>
              <w:rPr>
                <w:rFonts w:ascii="Arial" w:cs="Arial" w:eastAsia="Arial" w:hAnsi="Arial"/>
                <w:sz w:val="18"/>
                <w:szCs w:val="18"/>
                <w:color w:val="auto"/>
              </w:rPr>
              <w:t>Euronet Worldwide, Inc.</w:t>
            </w:r>
          </w:p>
        </w:tc>
        <w:tc>
          <w:tcPr>
            <w:tcW w:w="4820" w:type="dxa"/>
            <w:vAlign w:val="bottom"/>
          </w:tcPr>
          <w:p>
            <w:pPr>
              <w:ind w:left="200"/>
              <w:spacing w:after="0"/>
              <w:rPr>
                <w:sz w:val="20"/>
                <w:szCs w:val="20"/>
                <w:color w:val="auto"/>
              </w:rPr>
            </w:pPr>
            <w:r>
              <w:rPr>
                <w:rFonts w:ascii="Arial" w:cs="Arial" w:eastAsia="Arial" w:hAnsi="Arial"/>
                <w:sz w:val="18"/>
                <w:szCs w:val="18"/>
                <w:color w:val="auto"/>
              </w:rPr>
              <w:t>Ria Netherlands Holding B.V.</w:t>
            </w:r>
          </w:p>
        </w:tc>
        <w:tc>
          <w:tcPr>
            <w:tcW w:w="1680" w:type="dxa"/>
            <w:vAlign w:val="bottom"/>
          </w:tcPr>
          <w:p>
            <w:pPr>
              <w:ind w:left="200"/>
              <w:spacing w:after="0"/>
              <w:rPr>
                <w:sz w:val="20"/>
                <w:szCs w:val="20"/>
                <w:color w:val="auto"/>
              </w:rPr>
            </w:pPr>
            <w:r>
              <w:rPr>
                <w:rFonts w:ascii="Arial" w:cs="Arial" w:eastAsia="Arial" w:hAnsi="Arial"/>
                <w:sz w:val="18"/>
                <w:szCs w:val="18"/>
                <w:color w:val="auto"/>
                <w:w w:val="94"/>
              </w:rPr>
              <w:t>Intercompany Loan</w:t>
            </w:r>
          </w:p>
        </w:tc>
        <w:tc>
          <w:tcPr>
            <w:tcW w:w="1540" w:type="dxa"/>
            <w:vAlign w:val="bottom"/>
          </w:tcPr>
          <w:p>
            <w:pPr>
              <w:jc w:val="right"/>
              <w:ind w:right="30"/>
              <w:spacing w:after="0"/>
              <w:rPr>
                <w:sz w:val="20"/>
                <w:szCs w:val="20"/>
                <w:color w:val="auto"/>
              </w:rPr>
            </w:pPr>
            <w:r>
              <w:rPr>
                <w:rFonts w:ascii="Arial" w:cs="Arial" w:eastAsia="Arial" w:hAnsi="Arial"/>
                <w:sz w:val="18"/>
                <w:szCs w:val="18"/>
                <w:color w:val="auto"/>
              </w:rPr>
              <w:t>1,888,286</w:t>
            </w:r>
          </w:p>
        </w:tc>
      </w:tr>
      <w:tr>
        <w:trPr>
          <w:trHeight w:val="270"/>
        </w:trPr>
        <w:tc>
          <w:tcPr>
            <w:tcW w:w="2760" w:type="dxa"/>
            <w:vAlign w:val="bottom"/>
          </w:tcPr>
          <w:p>
            <w:pPr>
              <w:ind w:left="20"/>
              <w:spacing w:after="0"/>
              <w:rPr>
                <w:sz w:val="20"/>
                <w:szCs w:val="20"/>
                <w:color w:val="auto"/>
              </w:rPr>
            </w:pPr>
            <w:r>
              <w:rPr>
                <w:rFonts w:ascii="Arial" w:cs="Arial" w:eastAsia="Arial" w:hAnsi="Arial"/>
                <w:sz w:val="18"/>
                <w:szCs w:val="18"/>
                <w:color w:val="auto"/>
              </w:rPr>
              <w:t>PaySpot, Inc.</w:t>
            </w:r>
          </w:p>
        </w:tc>
        <w:tc>
          <w:tcPr>
            <w:tcW w:w="4820" w:type="dxa"/>
            <w:vAlign w:val="bottom"/>
          </w:tcPr>
          <w:p>
            <w:pPr>
              <w:ind w:left="200"/>
              <w:spacing w:after="0"/>
              <w:rPr>
                <w:sz w:val="20"/>
                <w:szCs w:val="20"/>
                <w:color w:val="auto"/>
              </w:rPr>
            </w:pPr>
            <w:r>
              <w:rPr>
                <w:rFonts w:ascii="Arial" w:cs="Arial" w:eastAsia="Arial" w:hAnsi="Arial"/>
                <w:sz w:val="18"/>
                <w:szCs w:val="18"/>
                <w:color w:val="auto"/>
              </w:rPr>
              <w:t>Euronet Worldwide, Inc.</w:t>
            </w:r>
          </w:p>
        </w:tc>
        <w:tc>
          <w:tcPr>
            <w:tcW w:w="1680" w:type="dxa"/>
            <w:vAlign w:val="bottom"/>
          </w:tcPr>
          <w:p>
            <w:pPr>
              <w:ind w:left="200"/>
              <w:spacing w:after="0"/>
              <w:rPr>
                <w:sz w:val="20"/>
                <w:szCs w:val="20"/>
                <w:color w:val="auto"/>
              </w:rPr>
            </w:pPr>
            <w:r>
              <w:rPr>
                <w:rFonts w:ascii="Arial" w:cs="Arial" w:eastAsia="Arial" w:hAnsi="Arial"/>
                <w:sz w:val="18"/>
                <w:szCs w:val="18"/>
                <w:color w:val="auto"/>
                <w:w w:val="94"/>
              </w:rPr>
              <w:t>Intercompany Loan</w:t>
            </w:r>
          </w:p>
        </w:tc>
        <w:tc>
          <w:tcPr>
            <w:tcW w:w="1540" w:type="dxa"/>
            <w:vAlign w:val="bottom"/>
          </w:tcPr>
          <w:p>
            <w:pPr>
              <w:jc w:val="right"/>
              <w:ind w:right="30"/>
              <w:spacing w:after="0"/>
              <w:rPr>
                <w:sz w:val="20"/>
                <w:szCs w:val="20"/>
                <w:color w:val="auto"/>
              </w:rPr>
            </w:pPr>
            <w:r>
              <w:rPr>
                <w:rFonts w:ascii="Arial" w:cs="Arial" w:eastAsia="Arial" w:hAnsi="Arial"/>
                <w:sz w:val="18"/>
                <w:szCs w:val="18"/>
                <w:color w:val="auto"/>
              </w:rPr>
              <w:t>35,727,875</w:t>
            </w:r>
          </w:p>
        </w:tc>
      </w:tr>
      <w:tr>
        <w:trPr>
          <w:trHeight w:val="270"/>
        </w:trPr>
        <w:tc>
          <w:tcPr>
            <w:tcW w:w="2760" w:type="dxa"/>
            <w:vAlign w:val="bottom"/>
          </w:tcPr>
          <w:p>
            <w:pPr>
              <w:ind w:left="20"/>
              <w:spacing w:after="0"/>
              <w:rPr>
                <w:sz w:val="20"/>
                <w:szCs w:val="20"/>
                <w:color w:val="auto"/>
              </w:rPr>
            </w:pPr>
            <w:r>
              <w:rPr>
                <w:rFonts w:ascii="Arial" w:cs="Arial" w:eastAsia="Arial" w:hAnsi="Arial"/>
                <w:sz w:val="18"/>
                <w:szCs w:val="18"/>
                <w:color w:val="auto"/>
              </w:rPr>
              <w:t>Pure-Commerce Ltd</w:t>
            </w:r>
          </w:p>
        </w:tc>
        <w:tc>
          <w:tcPr>
            <w:tcW w:w="4820" w:type="dxa"/>
            <w:vAlign w:val="bottom"/>
          </w:tcPr>
          <w:p>
            <w:pPr>
              <w:ind w:left="200"/>
              <w:spacing w:after="0"/>
              <w:rPr>
                <w:sz w:val="20"/>
                <w:szCs w:val="20"/>
                <w:color w:val="auto"/>
              </w:rPr>
            </w:pPr>
            <w:r>
              <w:rPr>
                <w:rFonts w:ascii="Arial" w:cs="Arial" w:eastAsia="Arial" w:hAnsi="Arial"/>
                <w:sz w:val="18"/>
                <w:szCs w:val="18"/>
                <w:color w:val="auto"/>
              </w:rPr>
              <w:t>Pure Commerce (S) Pte. Ltd.</w:t>
            </w:r>
          </w:p>
        </w:tc>
        <w:tc>
          <w:tcPr>
            <w:tcW w:w="1680" w:type="dxa"/>
            <w:vAlign w:val="bottom"/>
          </w:tcPr>
          <w:p>
            <w:pPr>
              <w:ind w:left="200"/>
              <w:spacing w:after="0"/>
              <w:rPr>
                <w:sz w:val="20"/>
                <w:szCs w:val="20"/>
                <w:color w:val="auto"/>
              </w:rPr>
            </w:pPr>
            <w:r>
              <w:rPr>
                <w:rFonts w:ascii="Arial" w:cs="Arial" w:eastAsia="Arial" w:hAnsi="Arial"/>
                <w:sz w:val="18"/>
                <w:szCs w:val="18"/>
                <w:color w:val="auto"/>
                <w:w w:val="94"/>
              </w:rPr>
              <w:t>Intercompany Loan</w:t>
            </w:r>
          </w:p>
        </w:tc>
        <w:tc>
          <w:tcPr>
            <w:tcW w:w="1540" w:type="dxa"/>
            <w:vAlign w:val="bottom"/>
          </w:tcPr>
          <w:p>
            <w:pPr>
              <w:jc w:val="right"/>
              <w:ind w:right="30"/>
              <w:spacing w:after="0"/>
              <w:rPr>
                <w:sz w:val="20"/>
                <w:szCs w:val="20"/>
                <w:color w:val="auto"/>
              </w:rPr>
            </w:pPr>
            <w:r>
              <w:rPr>
                <w:rFonts w:ascii="Arial" w:cs="Arial" w:eastAsia="Arial" w:hAnsi="Arial"/>
                <w:sz w:val="18"/>
                <w:szCs w:val="18"/>
                <w:color w:val="auto"/>
              </w:rPr>
              <w:t>518,602</w:t>
            </w:r>
          </w:p>
        </w:tc>
      </w:tr>
      <w:tr>
        <w:trPr>
          <w:trHeight w:val="270"/>
        </w:trPr>
        <w:tc>
          <w:tcPr>
            <w:tcW w:w="2760" w:type="dxa"/>
            <w:vAlign w:val="bottom"/>
          </w:tcPr>
          <w:p>
            <w:pPr>
              <w:ind w:left="20"/>
              <w:spacing w:after="0"/>
              <w:rPr>
                <w:sz w:val="20"/>
                <w:szCs w:val="20"/>
                <w:color w:val="auto"/>
              </w:rPr>
            </w:pPr>
            <w:r>
              <w:rPr>
                <w:rFonts w:ascii="Arial" w:cs="Arial" w:eastAsia="Arial" w:hAnsi="Arial"/>
                <w:sz w:val="18"/>
                <w:szCs w:val="18"/>
                <w:color w:val="auto"/>
              </w:rPr>
              <w:t>RIA Envia, Inc.</w:t>
            </w:r>
          </w:p>
        </w:tc>
        <w:tc>
          <w:tcPr>
            <w:tcW w:w="4820" w:type="dxa"/>
            <w:vAlign w:val="bottom"/>
          </w:tcPr>
          <w:p>
            <w:pPr>
              <w:ind w:left="200"/>
              <w:spacing w:after="0"/>
              <w:rPr>
                <w:sz w:val="20"/>
                <w:szCs w:val="20"/>
                <w:color w:val="auto"/>
              </w:rPr>
            </w:pPr>
            <w:r>
              <w:rPr>
                <w:rFonts w:ascii="Arial" w:cs="Arial" w:eastAsia="Arial" w:hAnsi="Arial"/>
                <w:sz w:val="18"/>
                <w:szCs w:val="18"/>
                <w:color w:val="auto"/>
              </w:rPr>
              <w:t>RIA France SAS</w:t>
            </w:r>
          </w:p>
        </w:tc>
        <w:tc>
          <w:tcPr>
            <w:tcW w:w="1680" w:type="dxa"/>
            <w:vAlign w:val="bottom"/>
          </w:tcPr>
          <w:p>
            <w:pPr>
              <w:ind w:left="200"/>
              <w:spacing w:after="0"/>
              <w:rPr>
                <w:sz w:val="20"/>
                <w:szCs w:val="20"/>
                <w:color w:val="auto"/>
              </w:rPr>
            </w:pPr>
            <w:r>
              <w:rPr>
                <w:rFonts w:ascii="Arial" w:cs="Arial" w:eastAsia="Arial" w:hAnsi="Arial"/>
                <w:sz w:val="18"/>
                <w:szCs w:val="18"/>
                <w:color w:val="auto"/>
                <w:w w:val="94"/>
              </w:rPr>
              <w:t>Intercompany Loan</w:t>
            </w:r>
          </w:p>
        </w:tc>
        <w:tc>
          <w:tcPr>
            <w:tcW w:w="1540" w:type="dxa"/>
            <w:vAlign w:val="bottom"/>
          </w:tcPr>
          <w:p>
            <w:pPr>
              <w:jc w:val="right"/>
              <w:ind w:right="30"/>
              <w:spacing w:after="0"/>
              <w:rPr>
                <w:sz w:val="20"/>
                <w:szCs w:val="20"/>
                <w:color w:val="auto"/>
              </w:rPr>
            </w:pPr>
            <w:r>
              <w:rPr>
                <w:rFonts w:ascii="Arial" w:cs="Arial" w:eastAsia="Arial" w:hAnsi="Arial"/>
                <w:sz w:val="18"/>
                <w:szCs w:val="18"/>
                <w:color w:val="auto"/>
              </w:rPr>
              <w:t>554,742</w:t>
            </w:r>
          </w:p>
        </w:tc>
      </w:tr>
      <w:tr>
        <w:trPr>
          <w:trHeight w:val="270"/>
        </w:trPr>
        <w:tc>
          <w:tcPr>
            <w:tcW w:w="2760" w:type="dxa"/>
            <w:vAlign w:val="bottom"/>
          </w:tcPr>
          <w:p>
            <w:pPr>
              <w:ind w:left="20"/>
              <w:spacing w:after="0"/>
              <w:rPr>
                <w:sz w:val="20"/>
                <w:szCs w:val="20"/>
                <w:color w:val="auto"/>
              </w:rPr>
            </w:pPr>
            <w:r>
              <w:rPr>
                <w:rFonts w:ascii="Arial" w:cs="Arial" w:eastAsia="Arial" w:hAnsi="Arial"/>
                <w:sz w:val="18"/>
                <w:szCs w:val="18"/>
                <w:color w:val="auto"/>
              </w:rPr>
              <w:t>RIA Envia, Inc.</w:t>
            </w:r>
          </w:p>
        </w:tc>
        <w:tc>
          <w:tcPr>
            <w:tcW w:w="4820" w:type="dxa"/>
            <w:vAlign w:val="bottom"/>
          </w:tcPr>
          <w:p>
            <w:pPr>
              <w:ind w:left="200"/>
              <w:spacing w:after="0"/>
              <w:rPr>
                <w:sz w:val="20"/>
                <w:szCs w:val="20"/>
                <w:color w:val="auto"/>
              </w:rPr>
            </w:pPr>
            <w:r>
              <w:rPr>
                <w:rFonts w:ascii="Arial" w:cs="Arial" w:eastAsia="Arial" w:hAnsi="Arial"/>
                <w:sz w:val="18"/>
                <w:szCs w:val="18"/>
                <w:color w:val="auto"/>
              </w:rPr>
              <w:t>Ria Netherlands Holding B.V.</w:t>
            </w:r>
          </w:p>
        </w:tc>
        <w:tc>
          <w:tcPr>
            <w:tcW w:w="1680" w:type="dxa"/>
            <w:vAlign w:val="bottom"/>
          </w:tcPr>
          <w:p>
            <w:pPr>
              <w:ind w:left="200"/>
              <w:spacing w:after="0"/>
              <w:rPr>
                <w:sz w:val="20"/>
                <w:szCs w:val="20"/>
                <w:color w:val="auto"/>
              </w:rPr>
            </w:pPr>
            <w:r>
              <w:rPr>
                <w:rFonts w:ascii="Arial" w:cs="Arial" w:eastAsia="Arial" w:hAnsi="Arial"/>
                <w:sz w:val="18"/>
                <w:szCs w:val="18"/>
                <w:color w:val="auto"/>
                <w:w w:val="94"/>
              </w:rPr>
              <w:t>Intercompany Loan</w:t>
            </w:r>
          </w:p>
        </w:tc>
        <w:tc>
          <w:tcPr>
            <w:tcW w:w="1540" w:type="dxa"/>
            <w:vAlign w:val="bottom"/>
          </w:tcPr>
          <w:p>
            <w:pPr>
              <w:jc w:val="right"/>
              <w:ind w:right="30"/>
              <w:spacing w:after="0"/>
              <w:rPr>
                <w:sz w:val="20"/>
                <w:szCs w:val="20"/>
                <w:color w:val="auto"/>
              </w:rPr>
            </w:pPr>
            <w:r>
              <w:rPr>
                <w:rFonts w:ascii="Arial" w:cs="Arial" w:eastAsia="Arial" w:hAnsi="Arial"/>
                <w:sz w:val="18"/>
                <w:szCs w:val="18"/>
                <w:color w:val="auto"/>
              </w:rPr>
              <w:t>5,600,031</w:t>
            </w:r>
          </w:p>
        </w:tc>
      </w:tr>
      <w:tr>
        <w:trPr>
          <w:trHeight w:val="270"/>
        </w:trPr>
        <w:tc>
          <w:tcPr>
            <w:tcW w:w="2760" w:type="dxa"/>
            <w:vAlign w:val="bottom"/>
          </w:tcPr>
          <w:p>
            <w:pPr>
              <w:ind w:left="20"/>
              <w:spacing w:after="0"/>
              <w:rPr>
                <w:sz w:val="20"/>
                <w:szCs w:val="20"/>
                <w:color w:val="auto"/>
              </w:rPr>
            </w:pPr>
            <w:r>
              <w:rPr>
                <w:rFonts w:ascii="Arial" w:cs="Arial" w:eastAsia="Arial" w:hAnsi="Arial"/>
                <w:sz w:val="18"/>
                <w:szCs w:val="18"/>
                <w:color w:val="auto"/>
              </w:rPr>
              <w:t>RIA Italia S.R.L.</w:t>
            </w:r>
          </w:p>
        </w:tc>
        <w:tc>
          <w:tcPr>
            <w:tcW w:w="4820" w:type="dxa"/>
            <w:vAlign w:val="bottom"/>
          </w:tcPr>
          <w:p>
            <w:pPr>
              <w:ind w:left="200"/>
              <w:spacing w:after="0"/>
              <w:rPr>
                <w:sz w:val="20"/>
                <w:szCs w:val="20"/>
                <w:color w:val="auto"/>
              </w:rPr>
            </w:pPr>
            <w:r>
              <w:rPr>
                <w:rFonts w:ascii="Arial" w:cs="Arial" w:eastAsia="Arial" w:hAnsi="Arial"/>
                <w:sz w:val="18"/>
                <w:szCs w:val="18"/>
                <w:color w:val="auto"/>
              </w:rPr>
              <w:t>Euronet Payment Services Ltd</w:t>
            </w:r>
          </w:p>
        </w:tc>
        <w:tc>
          <w:tcPr>
            <w:tcW w:w="1680" w:type="dxa"/>
            <w:vAlign w:val="bottom"/>
          </w:tcPr>
          <w:p>
            <w:pPr>
              <w:ind w:left="200"/>
              <w:spacing w:after="0"/>
              <w:rPr>
                <w:sz w:val="20"/>
                <w:szCs w:val="20"/>
                <w:color w:val="auto"/>
              </w:rPr>
            </w:pPr>
            <w:r>
              <w:rPr>
                <w:rFonts w:ascii="Arial" w:cs="Arial" w:eastAsia="Arial" w:hAnsi="Arial"/>
                <w:sz w:val="18"/>
                <w:szCs w:val="18"/>
                <w:color w:val="auto"/>
                <w:w w:val="94"/>
              </w:rPr>
              <w:t>Intercompany Loan</w:t>
            </w:r>
          </w:p>
        </w:tc>
        <w:tc>
          <w:tcPr>
            <w:tcW w:w="1540" w:type="dxa"/>
            <w:vAlign w:val="bottom"/>
          </w:tcPr>
          <w:p>
            <w:pPr>
              <w:jc w:val="right"/>
              <w:ind w:right="30"/>
              <w:spacing w:after="0"/>
              <w:rPr>
                <w:sz w:val="20"/>
                <w:szCs w:val="20"/>
                <w:color w:val="auto"/>
              </w:rPr>
            </w:pPr>
            <w:r>
              <w:rPr>
                <w:rFonts w:ascii="Arial" w:cs="Arial" w:eastAsia="Arial" w:hAnsi="Arial"/>
                <w:sz w:val="18"/>
                <w:szCs w:val="18"/>
                <w:color w:val="auto"/>
              </w:rPr>
              <w:t>2,710,089</w:t>
            </w:r>
          </w:p>
        </w:tc>
      </w:tr>
      <w:tr>
        <w:trPr>
          <w:trHeight w:val="270"/>
        </w:trPr>
        <w:tc>
          <w:tcPr>
            <w:tcW w:w="2760" w:type="dxa"/>
            <w:vAlign w:val="bottom"/>
          </w:tcPr>
          <w:p>
            <w:pPr>
              <w:ind w:left="20"/>
              <w:spacing w:after="0"/>
              <w:rPr>
                <w:sz w:val="20"/>
                <w:szCs w:val="20"/>
                <w:color w:val="auto"/>
              </w:rPr>
            </w:pPr>
            <w:r>
              <w:rPr>
                <w:rFonts w:ascii="Arial" w:cs="Arial" w:eastAsia="Arial" w:hAnsi="Arial"/>
                <w:sz w:val="18"/>
                <w:szCs w:val="18"/>
                <w:color w:val="auto"/>
              </w:rPr>
              <w:t>Ria Netherlands Holding B.V.</w:t>
            </w:r>
          </w:p>
        </w:tc>
        <w:tc>
          <w:tcPr>
            <w:tcW w:w="4820" w:type="dxa"/>
            <w:vAlign w:val="bottom"/>
          </w:tcPr>
          <w:p>
            <w:pPr>
              <w:ind w:left="200"/>
              <w:spacing w:after="0"/>
              <w:rPr>
                <w:sz w:val="20"/>
                <w:szCs w:val="20"/>
                <w:color w:val="auto"/>
              </w:rPr>
            </w:pPr>
            <w:r>
              <w:rPr>
                <w:rFonts w:ascii="Arial" w:cs="Arial" w:eastAsia="Arial" w:hAnsi="Arial"/>
                <w:sz w:val="18"/>
                <w:szCs w:val="18"/>
                <w:color w:val="auto"/>
              </w:rPr>
              <w:t>Euronet Payment Services Ltd</w:t>
            </w:r>
          </w:p>
        </w:tc>
        <w:tc>
          <w:tcPr>
            <w:tcW w:w="1680" w:type="dxa"/>
            <w:vAlign w:val="bottom"/>
          </w:tcPr>
          <w:p>
            <w:pPr>
              <w:ind w:left="200"/>
              <w:spacing w:after="0"/>
              <w:rPr>
                <w:sz w:val="20"/>
                <w:szCs w:val="20"/>
                <w:color w:val="auto"/>
              </w:rPr>
            </w:pPr>
            <w:r>
              <w:rPr>
                <w:rFonts w:ascii="Arial" w:cs="Arial" w:eastAsia="Arial" w:hAnsi="Arial"/>
                <w:sz w:val="18"/>
                <w:szCs w:val="18"/>
                <w:color w:val="auto"/>
                <w:w w:val="94"/>
              </w:rPr>
              <w:t>Intercompany Loan</w:t>
            </w:r>
          </w:p>
        </w:tc>
        <w:tc>
          <w:tcPr>
            <w:tcW w:w="1540" w:type="dxa"/>
            <w:vAlign w:val="bottom"/>
          </w:tcPr>
          <w:p>
            <w:pPr>
              <w:jc w:val="right"/>
              <w:ind w:right="30"/>
              <w:spacing w:after="0"/>
              <w:rPr>
                <w:sz w:val="20"/>
                <w:szCs w:val="20"/>
                <w:color w:val="auto"/>
              </w:rPr>
            </w:pPr>
            <w:r>
              <w:rPr>
                <w:rFonts w:ascii="Arial" w:cs="Arial" w:eastAsia="Arial" w:hAnsi="Arial"/>
                <w:sz w:val="18"/>
                <w:szCs w:val="18"/>
                <w:color w:val="auto"/>
              </w:rPr>
              <w:t>4,640,701</w:t>
            </w:r>
          </w:p>
        </w:tc>
      </w:tr>
      <w:tr>
        <w:trPr>
          <w:trHeight w:val="270"/>
        </w:trPr>
        <w:tc>
          <w:tcPr>
            <w:tcW w:w="2760" w:type="dxa"/>
            <w:vAlign w:val="bottom"/>
          </w:tcPr>
          <w:p>
            <w:pPr>
              <w:ind w:left="20"/>
              <w:spacing w:after="0"/>
              <w:rPr>
                <w:sz w:val="20"/>
                <w:szCs w:val="20"/>
                <w:color w:val="auto"/>
              </w:rPr>
            </w:pPr>
            <w:r>
              <w:rPr>
                <w:rFonts w:ascii="Arial" w:cs="Arial" w:eastAsia="Arial" w:hAnsi="Arial"/>
                <w:sz w:val="18"/>
                <w:szCs w:val="18"/>
                <w:color w:val="auto"/>
              </w:rPr>
              <w:t>Ria Netherlands Holding B.V.</w:t>
            </w:r>
          </w:p>
        </w:tc>
        <w:tc>
          <w:tcPr>
            <w:tcW w:w="4820" w:type="dxa"/>
            <w:vAlign w:val="bottom"/>
          </w:tcPr>
          <w:p>
            <w:pPr>
              <w:ind w:left="200"/>
              <w:spacing w:after="0"/>
              <w:rPr>
                <w:sz w:val="20"/>
                <w:szCs w:val="20"/>
                <w:color w:val="auto"/>
              </w:rPr>
            </w:pPr>
            <w:r>
              <w:rPr>
                <w:rFonts w:ascii="Arial" w:cs="Arial" w:eastAsia="Arial" w:hAnsi="Arial"/>
                <w:sz w:val="18"/>
                <w:szCs w:val="18"/>
                <w:color w:val="auto"/>
              </w:rPr>
              <w:t>RIA Financial Services Netherlands B.V.</w:t>
            </w:r>
          </w:p>
        </w:tc>
        <w:tc>
          <w:tcPr>
            <w:tcW w:w="1680" w:type="dxa"/>
            <w:vAlign w:val="bottom"/>
          </w:tcPr>
          <w:p>
            <w:pPr>
              <w:ind w:left="200"/>
              <w:spacing w:after="0"/>
              <w:rPr>
                <w:sz w:val="20"/>
                <w:szCs w:val="20"/>
                <w:color w:val="auto"/>
              </w:rPr>
            </w:pPr>
            <w:r>
              <w:rPr>
                <w:rFonts w:ascii="Arial" w:cs="Arial" w:eastAsia="Arial" w:hAnsi="Arial"/>
                <w:sz w:val="18"/>
                <w:szCs w:val="18"/>
                <w:color w:val="auto"/>
                <w:w w:val="94"/>
              </w:rPr>
              <w:t>Intercompany Loan</w:t>
            </w:r>
          </w:p>
        </w:tc>
        <w:tc>
          <w:tcPr>
            <w:tcW w:w="1540" w:type="dxa"/>
            <w:vAlign w:val="bottom"/>
          </w:tcPr>
          <w:p>
            <w:pPr>
              <w:jc w:val="right"/>
              <w:ind w:right="30"/>
              <w:spacing w:after="0"/>
              <w:rPr>
                <w:sz w:val="20"/>
                <w:szCs w:val="20"/>
                <w:color w:val="auto"/>
              </w:rPr>
            </w:pPr>
            <w:r>
              <w:rPr>
                <w:rFonts w:ascii="Arial" w:cs="Arial" w:eastAsia="Arial" w:hAnsi="Arial"/>
                <w:sz w:val="18"/>
                <w:szCs w:val="18"/>
                <w:color w:val="auto"/>
              </w:rPr>
              <w:t>785,484</w:t>
            </w:r>
          </w:p>
        </w:tc>
      </w:tr>
      <w:tr>
        <w:trPr>
          <w:trHeight w:val="270"/>
        </w:trPr>
        <w:tc>
          <w:tcPr>
            <w:tcW w:w="2760" w:type="dxa"/>
            <w:vAlign w:val="bottom"/>
          </w:tcPr>
          <w:p>
            <w:pPr>
              <w:ind w:left="20"/>
              <w:spacing w:after="0"/>
              <w:rPr>
                <w:sz w:val="20"/>
                <w:szCs w:val="20"/>
                <w:color w:val="auto"/>
              </w:rPr>
            </w:pPr>
            <w:r>
              <w:rPr>
                <w:rFonts w:ascii="Arial" w:cs="Arial" w:eastAsia="Arial" w:hAnsi="Arial"/>
                <w:sz w:val="18"/>
                <w:szCs w:val="18"/>
                <w:color w:val="auto"/>
              </w:rPr>
              <w:t>Ria Netherlands Holding B.V.</w:t>
            </w:r>
          </w:p>
        </w:tc>
        <w:tc>
          <w:tcPr>
            <w:tcW w:w="4820" w:type="dxa"/>
            <w:vAlign w:val="bottom"/>
          </w:tcPr>
          <w:p>
            <w:pPr>
              <w:ind w:left="200"/>
              <w:spacing w:after="0"/>
              <w:rPr>
                <w:sz w:val="20"/>
                <w:szCs w:val="20"/>
                <w:color w:val="auto"/>
              </w:rPr>
            </w:pPr>
            <w:r>
              <w:rPr>
                <w:rFonts w:ascii="Arial" w:cs="Arial" w:eastAsia="Arial" w:hAnsi="Arial"/>
                <w:sz w:val="18"/>
                <w:szCs w:val="18"/>
                <w:color w:val="auto"/>
              </w:rPr>
              <w:t>RIA Financial Services Norway AS</w:t>
            </w:r>
          </w:p>
        </w:tc>
        <w:tc>
          <w:tcPr>
            <w:tcW w:w="1680" w:type="dxa"/>
            <w:vAlign w:val="bottom"/>
          </w:tcPr>
          <w:p>
            <w:pPr>
              <w:ind w:left="200"/>
              <w:spacing w:after="0"/>
              <w:rPr>
                <w:sz w:val="20"/>
                <w:szCs w:val="20"/>
                <w:color w:val="auto"/>
              </w:rPr>
            </w:pPr>
            <w:r>
              <w:rPr>
                <w:rFonts w:ascii="Arial" w:cs="Arial" w:eastAsia="Arial" w:hAnsi="Arial"/>
                <w:sz w:val="18"/>
                <w:szCs w:val="18"/>
                <w:color w:val="auto"/>
                <w:w w:val="94"/>
              </w:rPr>
              <w:t>Intercompany Loan</w:t>
            </w:r>
          </w:p>
        </w:tc>
        <w:tc>
          <w:tcPr>
            <w:tcW w:w="1540" w:type="dxa"/>
            <w:vAlign w:val="bottom"/>
          </w:tcPr>
          <w:p>
            <w:pPr>
              <w:jc w:val="right"/>
              <w:ind w:right="30"/>
              <w:spacing w:after="0"/>
              <w:rPr>
                <w:sz w:val="20"/>
                <w:szCs w:val="20"/>
                <w:color w:val="auto"/>
              </w:rPr>
            </w:pPr>
            <w:r>
              <w:rPr>
                <w:rFonts w:ascii="Arial" w:cs="Arial" w:eastAsia="Arial" w:hAnsi="Arial"/>
                <w:sz w:val="18"/>
                <w:szCs w:val="18"/>
                <w:color w:val="auto"/>
              </w:rPr>
              <w:t>687,030</w:t>
            </w:r>
          </w:p>
        </w:tc>
      </w:tr>
      <w:tr>
        <w:trPr>
          <w:trHeight w:val="270"/>
        </w:trPr>
        <w:tc>
          <w:tcPr>
            <w:tcW w:w="2760" w:type="dxa"/>
            <w:vAlign w:val="bottom"/>
          </w:tcPr>
          <w:p>
            <w:pPr>
              <w:ind w:left="20"/>
              <w:spacing w:after="0"/>
              <w:rPr>
                <w:sz w:val="20"/>
                <w:szCs w:val="20"/>
                <w:color w:val="auto"/>
              </w:rPr>
            </w:pPr>
            <w:r>
              <w:rPr>
                <w:rFonts w:ascii="Arial" w:cs="Arial" w:eastAsia="Arial" w:hAnsi="Arial"/>
                <w:sz w:val="18"/>
                <w:szCs w:val="18"/>
                <w:color w:val="auto"/>
              </w:rPr>
              <w:t>Ria Netherlands Holding B.V.</w:t>
            </w:r>
          </w:p>
        </w:tc>
        <w:tc>
          <w:tcPr>
            <w:tcW w:w="4820" w:type="dxa"/>
            <w:vAlign w:val="bottom"/>
          </w:tcPr>
          <w:p>
            <w:pPr>
              <w:ind w:left="200"/>
              <w:spacing w:after="0"/>
              <w:rPr>
                <w:sz w:val="20"/>
                <w:szCs w:val="20"/>
                <w:color w:val="auto"/>
              </w:rPr>
            </w:pPr>
            <w:r>
              <w:rPr>
                <w:rFonts w:ascii="Arial" w:cs="Arial" w:eastAsia="Arial" w:hAnsi="Arial"/>
                <w:sz w:val="18"/>
                <w:szCs w:val="18"/>
                <w:color w:val="auto"/>
              </w:rPr>
              <w:t>Ria Financial Services, Denmark ApS</w:t>
            </w:r>
          </w:p>
        </w:tc>
        <w:tc>
          <w:tcPr>
            <w:tcW w:w="1680" w:type="dxa"/>
            <w:vAlign w:val="bottom"/>
          </w:tcPr>
          <w:p>
            <w:pPr>
              <w:ind w:left="200"/>
              <w:spacing w:after="0"/>
              <w:rPr>
                <w:sz w:val="20"/>
                <w:szCs w:val="20"/>
                <w:color w:val="auto"/>
              </w:rPr>
            </w:pPr>
            <w:r>
              <w:rPr>
                <w:rFonts w:ascii="Arial" w:cs="Arial" w:eastAsia="Arial" w:hAnsi="Arial"/>
                <w:sz w:val="18"/>
                <w:szCs w:val="18"/>
                <w:color w:val="auto"/>
                <w:w w:val="94"/>
              </w:rPr>
              <w:t>Intercompany Loan</w:t>
            </w:r>
          </w:p>
        </w:tc>
        <w:tc>
          <w:tcPr>
            <w:tcW w:w="1540" w:type="dxa"/>
            <w:vAlign w:val="bottom"/>
          </w:tcPr>
          <w:p>
            <w:pPr>
              <w:jc w:val="right"/>
              <w:ind w:right="30"/>
              <w:spacing w:after="0"/>
              <w:rPr>
                <w:sz w:val="20"/>
                <w:szCs w:val="20"/>
                <w:color w:val="auto"/>
              </w:rPr>
            </w:pPr>
            <w:r>
              <w:rPr>
                <w:rFonts w:ascii="Arial" w:cs="Arial" w:eastAsia="Arial" w:hAnsi="Arial"/>
                <w:sz w:val="18"/>
                <w:szCs w:val="18"/>
                <w:color w:val="auto"/>
              </w:rPr>
              <w:t>408,066</w:t>
            </w:r>
          </w:p>
        </w:tc>
      </w:tr>
      <w:tr>
        <w:trPr>
          <w:trHeight w:val="270"/>
        </w:trPr>
        <w:tc>
          <w:tcPr>
            <w:tcW w:w="2760" w:type="dxa"/>
            <w:vAlign w:val="bottom"/>
          </w:tcPr>
          <w:p>
            <w:pPr>
              <w:ind w:left="20"/>
              <w:spacing w:after="0"/>
              <w:rPr>
                <w:sz w:val="20"/>
                <w:szCs w:val="20"/>
                <w:color w:val="auto"/>
              </w:rPr>
            </w:pPr>
            <w:r>
              <w:rPr>
                <w:rFonts w:ascii="Arial" w:cs="Arial" w:eastAsia="Arial" w:hAnsi="Arial"/>
                <w:sz w:val="18"/>
                <w:szCs w:val="18"/>
                <w:color w:val="auto"/>
              </w:rPr>
              <w:t>XBA Szolgaltato Kft.</w:t>
            </w:r>
          </w:p>
        </w:tc>
        <w:tc>
          <w:tcPr>
            <w:tcW w:w="4820" w:type="dxa"/>
            <w:vAlign w:val="bottom"/>
          </w:tcPr>
          <w:p>
            <w:pPr>
              <w:ind w:left="200"/>
              <w:spacing w:after="0"/>
              <w:rPr>
                <w:sz w:val="20"/>
                <w:szCs w:val="20"/>
                <w:color w:val="auto"/>
              </w:rPr>
            </w:pPr>
            <w:r>
              <w:rPr>
                <w:rFonts w:ascii="Arial" w:cs="Arial" w:eastAsia="Arial" w:hAnsi="Arial"/>
                <w:sz w:val="18"/>
                <w:szCs w:val="18"/>
                <w:color w:val="auto"/>
              </w:rPr>
              <w:t>EFT Services Holding B.V.</w:t>
            </w:r>
          </w:p>
        </w:tc>
        <w:tc>
          <w:tcPr>
            <w:tcW w:w="1680" w:type="dxa"/>
            <w:vAlign w:val="bottom"/>
          </w:tcPr>
          <w:p>
            <w:pPr>
              <w:ind w:left="200"/>
              <w:spacing w:after="0"/>
              <w:rPr>
                <w:sz w:val="20"/>
                <w:szCs w:val="20"/>
                <w:color w:val="auto"/>
              </w:rPr>
            </w:pPr>
            <w:r>
              <w:rPr>
                <w:rFonts w:ascii="Arial" w:cs="Arial" w:eastAsia="Arial" w:hAnsi="Arial"/>
                <w:sz w:val="18"/>
                <w:szCs w:val="18"/>
                <w:color w:val="auto"/>
                <w:w w:val="94"/>
              </w:rPr>
              <w:t>Intercompany Loan</w:t>
            </w:r>
          </w:p>
        </w:tc>
        <w:tc>
          <w:tcPr>
            <w:tcW w:w="1540" w:type="dxa"/>
            <w:vAlign w:val="bottom"/>
          </w:tcPr>
          <w:p>
            <w:pPr>
              <w:jc w:val="right"/>
              <w:ind w:right="30"/>
              <w:spacing w:after="0"/>
              <w:rPr>
                <w:sz w:val="20"/>
                <w:szCs w:val="20"/>
                <w:color w:val="auto"/>
              </w:rPr>
            </w:pPr>
            <w:r>
              <w:rPr>
                <w:rFonts w:ascii="Arial" w:cs="Arial" w:eastAsia="Arial" w:hAnsi="Arial"/>
                <w:sz w:val="18"/>
                <w:szCs w:val="18"/>
                <w:color w:val="auto"/>
              </w:rPr>
              <w:t>3,716,869</w:t>
            </w:r>
          </w:p>
        </w:tc>
      </w:tr>
      <w:tr>
        <w:trPr>
          <w:trHeight w:val="351"/>
        </w:trPr>
        <w:tc>
          <w:tcPr>
            <w:tcW w:w="2760" w:type="dxa"/>
            <w:vAlign w:val="bottom"/>
            <w:tcBorders>
              <w:bottom w:val="single" w:sz="8" w:color="C0C0C0"/>
            </w:tcBorders>
          </w:tcPr>
          <w:p>
            <w:pPr>
              <w:spacing w:after="0"/>
              <w:rPr>
                <w:sz w:val="24"/>
                <w:szCs w:val="24"/>
                <w:color w:val="auto"/>
              </w:rPr>
            </w:pPr>
          </w:p>
        </w:tc>
        <w:tc>
          <w:tcPr>
            <w:tcW w:w="4820" w:type="dxa"/>
            <w:vAlign w:val="bottom"/>
            <w:tcBorders>
              <w:bottom w:val="single" w:sz="8" w:color="C0C0C0"/>
            </w:tcBorders>
          </w:tcPr>
          <w:p>
            <w:pPr>
              <w:spacing w:after="0"/>
              <w:rPr>
                <w:sz w:val="24"/>
                <w:szCs w:val="24"/>
                <w:color w:val="auto"/>
              </w:rPr>
            </w:pPr>
          </w:p>
        </w:tc>
        <w:tc>
          <w:tcPr>
            <w:tcW w:w="1680" w:type="dxa"/>
            <w:vAlign w:val="bottom"/>
            <w:tcBorders>
              <w:bottom w:val="single" w:sz="8" w:color="C0C0C0"/>
            </w:tcBorders>
          </w:tcPr>
          <w:p>
            <w:pPr>
              <w:spacing w:after="0"/>
              <w:rPr>
                <w:sz w:val="24"/>
                <w:szCs w:val="24"/>
                <w:color w:val="auto"/>
              </w:rPr>
            </w:pPr>
          </w:p>
        </w:tc>
        <w:tc>
          <w:tcPr>
            <w:tcW w:w="1540" w:type="dxa"/>
            <w:vAlign w:val="bottom"/>
            <w:tcBorders>
              <w:bottom w:val="single" w:sz="8" w:color="auto"/>
            </w:tcBorders>
          </w:tcPr>
          <w:p>
            <w:pPr>
              <w:spacing w:after="0"/>
              <w:rPr>
                <w:sz w:val="24"/>
                <w:szCs w:val="24"/>
                <w:color w:val="auto"/>
              </w:rPr>
            </w:pPr>
          </w:p>
        </w:tc>
      </w:tr>
      <w:tr>
        <w:trPr>
          <w:trHeight w:val="244"/>
        </w:trPr>
        <w:tc>
          <w:tcPr>
            <w:tcW w:w="2760" w:type="dxa"/>
            <w:vAlign w:val="bottom"/>
            <w:tcBorders>
              <w:bottom w:val="single" w:sz="8" w:color="C0C0C0"/>
            </w:tcBorders>
            <w:shd w:val="clear" w:color="auto" w:fill="C0C0C0"/>
          </w:tcPr>
          <w:p>
            <w:pPr>
              <w:ind w:left="20"/>
              <w:spacing w:after="0"/>
              <w:rPr>
                <w:sz w:val="20"/>
                <w:szCs w:val="20"/>
                <w:color w:val="auto"/>
              </w:rPr>
            </w:pPr>
            <w:r>
              <w:rPr>
                <w:rFonts w:ascii="Arial" w:cs="Arial" w:eastAsia="Arial" w:hAnsi="Arial"/>
                <w:sz w:val="18"/>
                <w:szCs w:val="18"/>
                <w:b w:val="1"/>
                <w:bCs w:val="1"/>
                <w:color w:val="auto"/>
              </w:rPr>
              <w:t>Total Intercompany Loans</w:t>
            </w:r>
          </w:p>
        </w:tc>
        <w:tc>
          <w:tcPr>
            <w:tcW w:w="4820" w:type="dxa"/>
            <w:vAlign w:val="bottom"/>
            <w:tcBorders>
              <w:bottom w:val="single" w:sz="8" w:color="C0C0C0"/>
            </w:tcBorders>
            <w:shd w:val="clear" w:color="auto" w:fill="C0C0C0"/>
          </w:tcPr>
          <w:p>
            <w:pPr>
              <w:spacing w:after="0"/>
              <w:rPr>
                <w:sz w:val="21"/>
                <w:szCs w:val="21"/>
                <w:color w:val="auto"/>
              </w:rPr>
            </w:pPr>
          </w:p>
        </w:tc>
        <w:tc>
          <w:tcPr>
            <w:tcW w:w="1680" w:type="dxa"/>
            <w:vAlign w:val="bottom"/>
            <w:tcBorders>
              <w:bottom w:val="single" w:sz="8" w:color="C0C0C0"/>
            </w:tcBorders>
            <w:shd w:val="clear" w:color="auto" w:fill="C0C0C0"/>
          </w:tcPr>
          <w:p>
            <w:pPr>
              <w:spacing w:after="0"/>
              <w:rPr>
                <w:sz w:val="21"/>
                <w:szCs w:val="21"/>
                <w:color w:val="auto"/>
              </w:rPr>
            </w:pPr>
          </w:p>
        </w:tc>
        <w:tc>
          <w:tcPr>
            <w:tcW w:w="1540" w:type="dxa"/>
            <w:vAlign w:val="bottom"/>
            <w:tcBorders>
              <w:bottom w:val="single" w:sz="8" w:color="C0C0C0"/>
            </w:tcBorders>
            <w:shd w:val="clear" w:color="auto" w:fill="C0C0C0"/>
          </w:tcPr>
          <w:p>
            <w:pPr>
              <w:jc w:val="right"/>
              <w:ind w:right="30"/>
              <w:spacing w:after="0"/>
              <w:rPr>
                <w:sz w:val="20"/>
                <w:szCs w:val="20"/>
                <w:color w:val="auto"/>
              </w:rPr>
            </w:pPr>
            <w:r>
              <w:rPr>
                <w:rFonts w:ascii="Arial" w:cs="Arial" w:eastAsia="Arial" w:hAnsi="Arial"/>
                <w:sz w:val="18"/>
                <w:szCs w:val="18"/>
                <w:b w:val="1"/>
                <w:bCs w:val="1"/>
                <w:color w:val="auto"/>
              </w:rPr>
              <w:t>$ 464,263,164</w:t>
            </w:r>
          </w:p>
        </w:tc>
      </w:tr>
      <w:tr>
        <w:trPr>
          <w:trHeight w:val="20"/>
        </w:trPr>
        <w:tc>
          <w:tcPr>
            <w:tcW w:w="2760" w:type="dxa"/>
            <w:vAlign w:val="bottom"/>
          </w:tcPr>
          <w:p>
            <w:pPr>
              <w:spacing w:after="0" w:line="20" w:lineRule="exact"/>
              <w:rPr>
                <w:sz w:val="1"/>
                <w:szCs w:val="1"/>
                <w:color w:val="auto"/>
              </w:rPr>
            </w:pPr>
          </w:p>
        </w:tc>
        <w:tc>
          <w:tcPr>
            <w:tcW w:w="482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540" w:type="dxa"/>
            <w:vAlign w:val="bottom"/>
            <w:shd w:val="clear" w:color="auto" w:fill="000000"/>
          </w:tcPr>
          <w:p>
            <w:pPr>
              <w:spacing w:after="0" w:line="20" w:lineRule="exact"/>
              <w:rPr>
                <w:sz w:val="1"/>
                <w:szCs w:val="1"/>
                <w:color w:val="auto"/>
              </w:rPr>
            </w:pPr>
          </w:p>
        </w:tc>
      </w:tr>
    </w:tbl>
    <w:p>
      <w:pPr>
        <w:sectPr>
          <w:pgSz w:w="11900" w:h="16838" w:orient="portrait"/>
          <w:cols w:equalWidth="0" w:num="1">
            <w:col w:w="10800"/>
          </w:cols>
          <w:pgMar w:left="560" w:top="530" w:right="539" w:bottom="1440" w:gutter="0" w:footer="0" w:header="0"/>
        </w:sectPr>
      </w:pPr>
    </w:p>
    <w:bookmarkStart w:id="279" w:name="page280"/>
    <w:bookmarkEnd w:id="279"/>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20" w:type="dxa"/>
            <w:vAlign w:val="bottom"/>
            <w:shd w:val="clear" w:color="auto" w:fill="C0C0C0"/>
          </w:tcPr>
          <w:p>
            <w:pPr>
              <w:spacing w:after="0"/>
              <w:rPr>
                <w:sz w:val="19"/>
                <w:szCs w:val="19"/>
                <w:color w:val="auto"/>
              </w:rPr>
            </w:pPr>
          </w:p>
        </w:tc>
        <w:tc>
          <w:tcPr>
            <w:tcW w:w="2040" w:type="dxa"/>
            <w:vAlign w:val="bottom"/>
            <w:shd w:val="clear" w:color="auto" w:fill="C0C0C0"/>
          </w:tcPr>
          <w:p>
            <w:pPr>
              <w:spacing w:after="0"/>
              <w:rPr>
                <w:sz w:val="19"/>
                <w:szCs w:val="19"/>
                <w:color w:val="auto"/>
              </w:rPr>
            </w:pPr>
          </w:p>
        </w:tc>
        <w:tc>
          <w:tcPr>
            <w:tcW w:w="760" w:type="dxa"/>
            <w:vAlign w:val="bottom"/>
            <w:shd w:val="clear" w:color="auto" w:fill="C0C0C0"/>
          </w:tcPr>
          <w:p>
            <w:pPr>
              <w:spacing w:after="0"/>
              <w:rPr>
                <w:sz w:val="19"/>
                <w:szCs w:val="19"/>
                <w:color w:val="auto"/>
              </w:rPr>
            </w:pPr>
          </w:p>
        </w:tc>
        <w:tc>
          <w:tcPr>
            <w:tcW w:w="4260" w:type="dxa"/>
            <w:vAlign w:val="bottom"/>
            <w:shd w:val="clear" w:color="auto" w:fill="C0C0C0"/>
          </w:tcPr>
          <w:p>
            <w:pPr>
              <w:spacing w:after="0"/>
              <w:rPr>
                <w:sz w:val="19"/>
                <w:szCs w:val="19"/>
                <w:color w:val="auto"/>
              </w:rPr>
            </w:pPr>
          </w:p>
        </w:tc>
        <w:tc>
          <w:tcPr>
            <w:tcW w:w="1960" w:type="dxa"/>
            <w:vAlign w:val="bottom"/>
            <w:shd w:val="clear" w:color="auto" w:fill="C0C0C0"/>
          </w:tcPr>
          <w:p>
            <w:pPr>
              <w:ind w:left="700"/>
              <w:spacing w:after="0"/>
              <w:rPr>
                <w:sz w:val="20"/>
                <w:szCs w:val="20"/>
                <w:color w:val="auto"/>
              </w:rPr>
            </w:pPr>
            <w:r>
              <w:rPr>
                <w:rFonts w:ascii="Arial" w:cs="Arial" w:eastAsia="Arial" w:hAnsi="Arial"/>
                <w:sz w:val="18"/>
                <w:szCs w:val="18"/>
                <w:b w:val="1"/>
                <w:bCs w:val="1"/>
                <w:color w:val="auto"/>
              </w:rPr>
              <w:t>Type of</w:t>
            </w:r>
          </w:p>
        </w:tc>
        <w:tc>
          <w:tcPr>
            <w:tcW w:w="1760" w:type="dxa"/>
            <w:vAlign w:val="bottom"/>
            <w:shd w:val="clear" w:color="auto" w:fill="C0C0C0"/>
          </w:tcPr>
          <w:p>
            <w:pPr>
              <w:jc w:val="right"/>
              <w:ind w:right="30"/>
              <w:spacing w:after="0"/>
              <w:rPr>
                <w:sz w:val="20"/>
                <w:szCs w:val="20"/>
                <w:color w:val="auto"/>
              </w:rPr>
            </w:pPr>
            <w:r>
              <w:rPr>
                <w:rFonts w:ascii="Arial" w:cs="Arial" w:eastAsia="Arial" w:hAnsi="Arial"/>
                <w:sz w:val="18"/>
                <w:szCs w:val="18"/>
                <w:b w:val="1"/>
                <w:bCs w:val="1"/>
                <w:color w:val="auto"/>
              </w:rPr>
              <w:t>Amount of</w:t>
            </w:r>
          </w:p>
        </w:tc>
      </w:tr>
      <w:tr>
        <w:trPr>
          <w:trHeight w:val="266"/>
        </w:trPr>
        <w:tc>
          <w:tcPr>
            <w:tcW w:w="20" w:type="dxa"/>
            <w:vAlign w:val="bottom"/>
            <w:tcBorders>
              <w:bottom w:val="single" w:sz="8" w:color="C0C0C0"/>
            </w:tcBorders>
            <w:shd w:val="clear" w:color="auto" w:fill="C0C0C0"/>
          </w:tcPr>
          <w:p>
            <w:pPr>
              <w:spacing w:after="0"/>
              <w:rPr>
                <w:sz w:val="22"/>
                <w:szCs w:val="22"/>
                <w:color w:val="auto"/>
              </w:rPr>
            </w:pPr>
          </w:p>
        </w:tc>
        <w:tc>
          <w:tcPr>
            <w:tcW w:w="2800" w:type="dxa"/>
            <w:vAlign w:val="bottom"/>
            <w:tcBorders>
              <w:bottom w:val="single" w:sz="8" w:color="C0C0C0"/>
            </w:tcBorders>
            <w:gridSpan w:val="2"/>
            <w:shd w:val="clear" w:color="auto" w:fill="C0C0C0"/>
          </w:tcPr>
          <w:p>
            <w:pPr>
              <w:spacing w:after="0"/>
              <w:rPr>
                <w:sz w:val="20"/>
                <w:szCs w:val="20"/>
                <w:color w:val="auto"/>
              </w:rPr>
            </w:pPr>
            <w:r>
              <w:rPr>
                <w:rFonts w:ascii="Arial" w:cs="Arial" w:eastAsia="Arial" w:hAnsi="Arial"/>
                <w:sz w:val="18"/>
                <w:szCs w:val="18"/>
                <w:b w:val="1"/>
                <w:bCs w:val="1"/>
                <w:color w:val="auto"/>
              </w:rPr>
              <w:t>Investor</w:t>
            </w:r>
          </w:p>
        </w:tc>
        <w:tc>
          <w:tcPr>
            <w:tcW w:w="4260" w:type="dxa"/>
            <w:vAlign w:val="bottom"/>
            <w:tcBorders>
              <w:bottom w:val="single" w:sz="8" w:color="C0C0C0"/>
            </w:tcBorders>
            <w:shd w:val="clear" w:color="auto" w:fill="C0C0C0"/>
          </w:tcPr>
          <w:p>
            <w:pPr>
              <w:ind w:left="120"/>
              <w:spacing w:after="0"/>
              <w:rPr>
                <w:sz w:val="20"/>
                <w:szCs w:val="20"/>
                <w:color w:val="auto"/>
              </w:rPr>
            </w:pPr>
            <w:r>
              <w:rPr>
                <w:rFonts w:ascii="Arial" w:cs="Arial" w:eastAsia="Arial" w:hAnsi="Arial"/>
                <w:sz w:val="18"/>
                <w:szCs w:val="18"/>
                <w:b w:val="1"/>
                <w:bCs w:val="1"/>
                <w:color w:val="auto"/>
              </w:rPr>
              <w:t>Investment In</w:t>
            </w:r>
          </w:p>
        </w:tc>
        <w:tc>
          <w:tcPr>
            <w:tcW w:w="1960" w:type="dxa"/>
            <w:vAlign w:val="bottom"/>
            <w:tcBorders>
              <w:bottom w:val="single" w:sz="8" w:color="C0C0C0"/>
            </w:tcBorders>
            <w:shd w:val="clear" w:color="auto" w:fill="C0C0C0"/>
          </w:tcPr>
          <w:p>
            <w:pPr>
              <w:ind w:left="700"/>
              <w:spacing w:after="0"/>
              <w:rPr>
                <w:sz w:val="20"/>
                <w:szCs w:val="20"/>
                <w:color w:val="auto"/>
              </w:rPr>
            </w:pPr>
            <w:r>
              <w:rPr>
                <w:rFonts w:ascii="Arial" w:cs="Arial" w:eastAsia="Arial" w:hAnsi="Arial"/>
                <w:sz w:val="18"/>
                <w:szCs w:val="18"/>
                <w:b w:val="1"/>
                <w:bCs w:val="1"/>
                <w:color w:val="auto"/>
              </w:rPr>
              <w:t>Investment</w:t>
            </w:r>
          </w:p>
        </w:tc>
        <w:tc>
          <w:tcPr>
            <w:tcW w:w="1760" w:type="dxa"/>
            <w:vAlign w:val="bottom"/>
            <w:tcBorders>
              <w:bottom w:val="single" w:sz="8" w:color="C0C0C0"/>
            </w:tcBorders>
            <w:shd w:val="clear" w:color="auto" w:fill="C0C0C0"/>
          </w:tcPr>
          <w:p>
            <w:pPr>
              <w:jc w:val="right"/>
              <w:ind w:right="30"/>
              <w:spacing w:after="0"/>
              <w:rPr>
                <w:sz w:val="20"/>
                <w:szCs w:val="20"/>
                <w:color w:val="auto"/>
              </w:rPr>
            </w:pPr>
            <w:r>
              <w:rPr>
                <w:rFonts w:ascii="Arial" w:cs="Arial" w:eastAsia="Arial" w:hAnsi="Arial"/>
                <w:sz w:val="18"/>
                <w:szCs w:val="18"/>
                <w:b w:val="1"/>
                <w:bCs w:val="1"/>
                <w:color w:val="auto"/>
              </w:rPr>
              <w:t>Investment (USD)</w:t>
            </w:r>
          </w:p>
        </w:tc>
      </w:tr>
      <w:tr>
        <w:trPr>
          <w:trHeight w:val="520"/>
        </w:trPr>
        <w:tc>
          <w:tcPr>
            <w:tcW w:w="20" w:type="dxa"/>
            <w:vAlign w:val="bottom"/>
            <w:tcBorders>
              <w:top w:val="single" w:sz="8" w:color="auto"/>
            </w:tcBorders>
          </w:tcPr>
          <w:p>
            <w:pPr>
              <w:spacing w:after="0"/>
              <w:rPr>
                <w:sz w:val="24"/>
                <w:szCs w:val="24"/>
                <w:color w:val="auto"/>
              </w:rPr>
            </w:pPr>
          </w:p>
        </w:tc>
        <w:tc>
          <w:tcPr>
            <w:tcW w:w="2800" w:type="dxa"/>
            <w:vAlign w:val="bottom"/>
            <w:tcBorders>
              <w:top w:val="single" w:sz="8" w:color="auto"/>
            </w:tcBorders>
            <w:gridSpan w:val="2"/>
          </w:tcPr>
          <w:p>
            <w:pPr>
              <w:spacing w:after="0"/>
              <w:rPr>
                <w:sz w:val="20"/>
                <w:szCs w:val="20"/>
                <w:color w:val="auto"/>
              </w:rPr>
            </w:pPr>
            <w:r>
              <w:rPr>
                <w:rFonts w:ascii="Arial" w:cs="Arial" w:eastAsia="Arial" w:hAnsi="Arial"/>
                <w:sz w:val="18"/>
                <w:szCs w:val="18"/>
                <w:b w:val="1"/>
                <w:bCs w:val="1"/>
                <w:i w:val="1"/>
                <w:iCs w:val="1"/>
                <w:color w:val="auto"/>
              </w:rPr>
              <w:t>Intercompany Investments:</w:t>
            </w:r>
          </w:p>
        </w:tc>
        <w:tc>
          <w:tcPr>
            <w:tcW w:w="4260" w:type="dxa"/>
            <w:vAlign w:val="bottom"/>
            <w:tcBorders>
              <w:top w:val="single" w:sz="8" w:color="auto"/>
            </w:tcBorders>
          </w:tcPr>
          <w:p>
            <w:pPr>
              <w:spacing w:after="0"/>
              <w:rPr>
                <w:sz w:val="24"/>
                <w:szCs w:val="24"/>
                <w:color w:val="auto"/>
              </w:rPr>
            </w:pPr>
          </w:p>
        </w:tc>
        <w:tc>
          <w:tcPr>
            <w:tcW w:w="1960" w:type="dxa"/>
            <w:vAlign w:val="bottom"/>
            <w:tcBorders>
              <w:top w:val="single" w:sz="8" w:color="auto"/>
            </w:tcBorders>
          </w:tcPr>
          <w:p>
            <w:pPr>
              <w:spacing w:after="0"/>
              <w:rPr>
                <w:sz w:val="24"/>
                <w:szCs w:val="24"/>
                <w:color w:val="auto"/>
              </w:rPr>
            </w:pPr>
          </w:p>
        </w:tc>
        <w:tc>
          <w:tcPr>
            <w:tcW w:w="1760" w:type="dxa"/>
            <w:vAlign w:val="bottom"/>
            <w:tcBorders>
              <w:top w:val="single" w:sz="8" w:color="auto"/>
            </w:tcBorders>
          </w:tcPr>
          <w:p>
            <w:pPr>
              <w:spacing w:after="0"/>
              <w:rPr>
                <w:sz w:val="24"/>
                <w:szCs w:val="24"/>
                <w:color w:val="auto"/>
              </w:rPr>
            </w:pPr>
          </w:p>
        </w:tc>
      </w:tr>
      <w:tr>
        <w:trPr>
          <w:trHeight w:val="600"/>
        </w:trPr>
        <w:tc>
          <w:tcPr>
            <w:tcW w:w="20" w:type="dxa"/>
            <w:vAlign w:val="bottom"/>
          </w:tcPr>
          <w:p>
            <w:pPr>
              <w:spacing w:after="0"/>
              <w:rPr>
                <w:sz w:val="24"/>
                <w:szCs w:val="24"/>
                <w:color w:val="auto"/>
              </w:rPr>
            </w:pPr>
          </w:p>
        </w:tc>
        <w:tc>
          <w:tcPr>
            <w:tcW w:w="2040" w:type="dxa"/>
            <w:vAlign w:val="bottom"/>
            <w:tcBorders>
              <w:top w:val="single" w:sz="8" w:color="auto"/>
            </w:tcBorders>
          </w:tcPr>
          <w:p>
            <w:pPr>
              <w:spacing w:after="0"/>
              <w:rPr>
                <w:sz w:val="24"/>
                <w:szCs w:val="24"/>
                <w:color w:val="auto"/>
              </w:rPr>
            </w:pPr>
          </w:p>
        </w:tc>
        <w:tc>
          <w:tcPr>
            <w:tcW w:w="760" w:type="dxa"/>
            <w:vAlign w:val="bottom"/>
          </w:tcPr>
          <w:p>
            <w:pPr>
              <w:spacing w:after="0"/>
              <w:rPr>
                <w:sz w:val="24"/>
                <w:szCs w:val="24"/>
                <w:color w:val="auto"/>
              </w:rPr>
            </w:pPr>
          </w:p>
        </w:tc>
        <w:tc>
          <w:tcPr>
            <w:tcW w:w="4260" w:type="dxa"/>
            <w:vAlign w:val="bottom"/>
          </w:tcPr>
          <w:p>
            <w:pPr>
              <w:spacing w:after="0"/>
              <w:rPr>
                <w:sz w:val="24"/>
                <w:szCs w:val="24"/>
                <w:color w:val="auto"/>
              </w:rPr>
            </w:pPr>
          </w:p>
        </w:tc>
        <w:tc>
          <w:tcPr>
            <w:tcW w:w="1960" w:type="dxa"/>
            <w:vAlign w:val="bottom"/>
          </w:tcPr>
          <w:p>
            <w:pPr>
              <w:ind w:left="700"/>
              <w:spacing w:after="0"/>
              <w:rPr>
                <w:sz w:val="20"/>
                <w:szCs w:val="20"/>
                <w:color w:val="auto"/>
              </w:rPr>
            </w:pPr>
            <w:r>
              <w:rPr>
                <w:rFonts w:ascii="Arial" w:cs="Arial" w:eastAsia="Arial" w:hAnsi="Arial"/>
                <w:sz w:val="18"/>
                <w:szCs w:val="18"/>
                <w:color w:val="auto"/>
              </w:rPr>
              <w:t>Intercompany</w:t>
            </w:r>
          </w:p>
        </w:tc>
        <w:tc>
          <w:tcPr>
            <w:tcW w:w="1760" w:type="dxa"/>
            <w:vAlign w:val="bottom"/>
          </w:tcPr>
          <w:p>
            <w:pPr>
              <w:spacing w:after="0"/>
              <w:rPr>
                <w:sz w:val="24"/>
                <w:szCs w:val="24"/>
                <w:color w:val="auto"/>
              </w:rPr>
            </w:pPr>
          </w:p>
        </w:tc>
      </w:tr>
      <w:tr>
        <w:trPr>
          <w:trHeight w:val="230"/>
        </w:trPr>
        <w:tc>
          <w:tcPr>
            <w:tcW w:w="20" w:type="dxa"/>
            <w:vAlign w:val="bottom"/>
          </w:tcPr>
          <w:p>
            <w:pPr>
              <w:spacing w:after="0"/>
              <w:rPr>
                <w:sz w:val="20"/>
                <w:szCs w:val="20"/>
                <w:color w:val="auto"/>
              </w:rPr>
            </w:pPr>
          </w:p>
        </w:tc>
        <w:tc>
          <w:tcPr>
            <w:tcW w:w="2800" w:type="dxa"/>
            <w:vAlign w:val="bottom"/>
            <w:gridSpan w:val="2"/>
          </w:tcPr>
          <w:p>
            <w:pPr>
              <w:spacing w:after="0"/>
              <w:rPr>
                <w:sz w:val="20"/>
                <w:szCs w:val="20"/>
                <w:color w:val="auto"/>
              </w:rPr>
            </w:pPr>
            <w:r>
              <w:rPr>
                <w:rFonts w:ascii="Arial" w:cs="Arial" w:eastAsia="Arial" w:hAnsi="Arial"/>
                <w:sz w:val="18"/>
                <w:szCs w:val="18"/>
                <w:color w:val="auto"/>
              </w:rPr>
              <w:t>ATX Software Ltd</w:t>
            </w:r>
          </w:p>
        </w:tc>
        <w:tc>
          <w:tcPr>
            <w:tcW w:w="4260" w:type="dxa"/>
            <w:vAlign w:val="bottom"/>
          </w:tcPr>
          <w:p>
            <w:pPr>
              <w:ind w:left="120"/>
              <w:spacing w:after="0"/>
              <w:rPr>
                <w:sz w:val="20"/>
                <w:szCs w:val="20"/>
                <w:color w:val="auto"/>
              </w:rPr>
            </w:pPr>
            <w:r>
              <w:rPr>
                <w:rFonts w:ascii="Arial" w:cs="Arial" w:eastAsia="Arial" w:hAnsi="Arial"/>
                <w:sz w:val="18"/>
                <w:szCs w:val="18"/>
                <w:color w:val="auto"/>
              </w:rPr>
              <w:t>ATX Software Middle East FZ-LLC</w:t>
            </w:r>
          </w:p>
        </w:tc>
        <w:tc>
          <w:tcPr>
            <w:tcW w:w="1960" w:type="dxa"/>
            <w:vAlign w:val="bottom"/>
          </w:tcPr>
          <w:p>
            <w:pPr>
              <w:ind w:left="700"/>
              <w:spacing w:after="0"/>
              <w:rPr>
                <w:sz w:val="20"/>
                <w:szCs w:val="20"/>
                <w:color w:val="auto"/>
              </w:rPr>
            </w:pPr>
            <w:r>
              <w:rPr>
                <w:rFonts w:ascii="Arial" w:cs="Arial" w:eastAsia="Arial" w:hAnsi="Arial"/>
                <w:sz w:val="18"/>
                <w:szCs w:val="18"/>
                <w:color w:val="auto"/>
              </w:rPr>
              <w:t>Investment</w:t>
            </w:r>
          </w:p>
        </w:tc>
        <w:tc>
          <w:tcPr>
            <w:tcW w:w="1760" w:type="dxa"/>
            <w:vAlign w:val="bottom"/>
          </w:tcPr>
          <w:p>
            <w:pPr>
              <w:jc w:val="right"/>
              <w:ind w:right="30"/>
              <w:spacing w:after="0"/>
              <w:rPr>
                <w:sz w:val="20"/>
                <w:szCs w:val="20"/>
                <w:color w:val="auto"/>
              </w:rPr>
            </w:pPr>
            <w:r>
              <w:rPr>
                <w:rFonts w:ascii="Arial" w:cs="Arial" w:eastAsia="Arial" w:hAnsi="Arial"/>
                <w:sz w:val="18"/>
                <w:szCs w:val="18"/>
                <w:color w:val="auto"/>
              </w:rPr>
              <w:t>54,459</w:t>
            </w:r>
          </w:p>
        </w:tc>
      </w:tr>
      <w:tr>
        <w:trPr>
          <w:trHeight w:val="256"/>
        </w:trPr>
        <w:tc>
          <w:tcPr>
            <w:tcW w:w="20" w:type="dxa"/>
            <w:vAlign w:val="bottom"/>
          </w:tcPr>
          <w:p>
            <w:pPr>
              <w:spacing w:after="0"/>
              <w:rPr>
                <w:sz w:val="22"/>
                <w:szCs w:val="22"/>
                <w:color w:val="auto"/>
              </w:rPr>
            </w:pPr>
          </w:p>
        </w:tc>
        <w:tc>
          <w:tcPr>
            <w:tcW w:w="204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4260" w:type="dxa"/>
            <w:vAlign w:val="bottom"/>
          </w:tcPr>
          <w:p>
            <w:pPr>
              <w:spacing w:after="0"/>
              <w:rPr>
                <w:sz w:val="22"/>
                <w:szCs w:val="22"/>
                <w:color w:val="auto"/>
              </w:rPr>
            </w:pPr>
          </w:p>
        </w:tc>
        <w:tc>
          <w:tcPr>
            <w:tcW w:w="1960" w:type="dxa"/>
            <w:vAlign w:val="bottom"/>
          </w:tcPr>
          <w:p>
            <w:pPr>
              <w:ind w:left="700"/>
              <w:spacing w:after="0"/>
              <w:rPr>
                <w:sz w:val="20"/>
                <w:szCs w:val="20"/>
                <w:color w:val="auto"/>
              </w:rPr>
            </w:pPr>
            <w:r>
              <w:rPr>
                <w:rFonts w:ascii="Arial" w:cs="Arial" w:eastAsia="Arial" w:hAnsi="Arial"/>
                <w:sz w:val="18"/>
                <w:szCs w:val="18"/>
                <w:color w:val="auto"/>
              </w:rPr>
              <w:t>Intercompany</w:t>
            </w:r>
          </w:p>
        </w:tc>
        <w:tc>
          <w:tcPr>
            <w:tcW w:w="1760" w:type="dxa"/>
            <w:vAlign w:val="bottom"/>
          </w:tcPr>
          <w:p>
            <w:pPr>
              <w:spacing w:after="0"/>
              <w:rPr>
                <w:sz w:val="22"/>
                <w:szCs w:val="22"/>
                <w:color w:val="auto"/>
              </w:rPr>
            </w:pPr>
          </w:p>
        </w:tc>
      </w:tr>
      <w:tr>
        <w:trPr>
          <w:trHeight w:val="230"/>
        </w:trPr>
        <w:tc>
          <w:tcPr>
            <w:tcW w:w="20" w:type="dxa"/>
            <w:vAlign w:val="bottom"/>
          </w:tcPr>
          <w:p>
            <w:pPr>
              <w:spacing w:after="0"/>
              <w:rPr>
                <w:sz w:val="20"/>
                <w:szCs w:val="20"/>
                <w:color w:val="auto"/>
              </w:rPr>
            </w:pPr>
          </w:p>
        </w:tc>
        <w:tc>
          <w:tcPr>
            <w:tcW w:w="2800" w:type="dxa"/>
            <w:vAlign w:val="bottom"/>
            <w:gridSpan w:val="2"/>
          </w:tcPr>
          <w:p>
            <w:pPr>
              <w:spacing w:after="0"/>
              <w:rPr>
                <w:sz w:val="20"/>
                <w:szCs w:val="20"/>
                <w:color w:val="auto"/>
              </w:rPr>
            </w:pPr>
            <w:r>
              <w:rPr>
                <w:rFonts w:ascii="Arial" w:cs="Arial" w:eastAsia="Arial" w:hAnsi="Arial"/>
                <w:sz w:val="18"/>
                <w:szCs w:val="18"/>
                <w:color w:val="auto"/>
                <w:w w:val="94"/>
              </w:rPr>
              <w:t>Continental Exchange Solutions, Inc.</w:t>
            </w:r>
          </w:p>
        </w:tc>
        <w:tc>
          <w:tcPr>
            <w:tcW w:w="4260" w:type="dxa"/>
            <w:vAlign w:val="bottom"/>
          </w:tcPr>
          <w:p>
            <w:pPr>
              <w:ind w:left="120"/>
              <w:spacing w:after="0"/>
              <w:rPr>
                <w:sz w:val="20"/>
                <w:szCs w:val="20"/>
                <w:color w:val="auto"/>
              </w:rPr>
            </w:pPr>
            <w:r>
              <w:rPr>
                <w:rFonts w:ascii="Arial" w:cs="Arial" w:eastAsia="Arial" w:hAnsi="Arial"/>
                <w:sz w:val="18"/>
                <w:szCs w:val="18"/>
                <w:color w:val="auto"/>
              </w:rPr>
              <w:t>Continental Payment Solutions, Inc.</w:t>
            </w:r>
          </w:p>
        </w:tc>
        <w:tc>
          <w:tcPr>
            <w:tcW w:w="1960" w:type="dxa"/>
            <w:vAlign w:val="bottom"/>
          </w:tcPr>
          <w:p>
            <w:pPr>
              <w:ind w:left="700"/>
              <w:spacing w:after="0"/>
              <w:rPr>
                <w:sz w:val="20"/>
                <w:szCs w:val="20"/>
                <w:color w:val="auto"/>
              </w:rPr>
            </w:pPr>
            <w:r>
              <w:rPr>
                <w:rFonts w:ascii="Arial" w:cs="Arial" w:eastAsia="Arial" w:hAnsi="Arial"/>
                <w:sz w:val="18"/>
                <w:szCs w:val="18"/>
                <w:color w:val="auto"/>
              </w:rPr>
              <w:t>Investment</w:t>
            </w:r>
          </w:p>
        </w:tc>
        <w:tc>
          <w:tcPr>
            <w:tcW w:w="1760" w:type="dxa"/>
            <w:vAlign w:val="bottom"/>
          </w:tcPr>
          <w:p>
            <w:pPr>
              <w:jc w:val="right"/>
              <w:ind w:right="30"/>
              <w:spacing w:after="0"/>
              <w:rPr>
                <w:sz w:val="20"/>
                <w:szCs w:val="20"/>
                <w:color w:val="auto"/>
              </w:rPr>
            </w:pPr>
            <w:r>
              <w:rPr>
                <w:rFonts w:ascii="Arial" w:cs="Arial" w:eastAsia="Arial" w:hAnsi="Arial"/>
                <w:sz w:val="18"/>
                <w:szCs w:val="18"/>
                <w:color w:val="auto"/>
              </w:rPr>
              <w:t>105,000</w:t>
            </w:r>
          </w:p>
        </w:tc>
      </w:tr>
      <w:tr>
        <w:trPr>
          <w:trHeight w:val="256"/>
        </w:trPr>
        <w:tc>
          <w:tcPr>
            <w:tcW w:w="20" w:type="dxa"/>
            <w:vAlign w:val="bottom"/>
          </w:tcPr>
          <w:p>
            <w:pPr>
              <w:spacing w:after="0"/>
              <w:rPr>
                <w:sz w:val="22"/>
                <w:szCs w:val="22"/>
                <w:color w:val="auto"/>
              </w:rPr>
            </w:pPr>
          </w:p>
        </w:tc>
        <w:tc>
          <w:tcPr>
            <w:tcW w:w="204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4260" w:type="dxa"/>
            <w:vAlign w:val="bottom"/>
          </w:tcPr>
          <w:p>
            <w:pPr>
              <w:spacing w:after="0"/>
              <w:rPr>
                <w:sz w:val="22"/>
                <w:szCs w:val="22"/>
                <w:color w:val="auto"/>
              </w:rPr>
            </w:pPr>
          </w:p>
        </w:tc>
        <w:tc>
          <w:tcPr>
            <w:tcW w:w="1960" w:type="dxa"/>
            <w:vAlign w:val="bottom"/>
          </w:tcPr>
          <w:p>
            <w:pPr>
              <w:ind w:left="700"/>
              <w:spacing w:after="0"/>
              <w:rPr>
                <w:sz w:val="20"/>
                <w:szCs w:val="20"/>
                <w:color w:val="auto"/>
              </w:rPr>
            </w:pPr>
            <w:r>
              <w:rPr>
                <w:rFonts w:ascii="Arial" w:cs="Arial" w:eastAsia="Arial" w:hAnsi="Arial"/>
                <w:sz w:val="18"/>
                <w:szCs w:val="18"/>
                <w:color w:val="auto"/>
              </w:rPr>
              <w:t>Intercompany</w:t>
            </w:r>
          </w:p>
        </w:tc>
        <w:tc>
          <w:tcPr>
            <w:tcW w:w="1760" w:type="dxa"/>
            <w:vAlign w:val="bottom"/>
          </w:tcPr>
          <w:p>
            <w:pPr>
              <w:spacing w:after="0"/>
              <w:rPr>
                <w:sz w:val="22"/>
                <w:szCs w:val="22"/>
                <w:color w:val="auto"/>
              </w:rPr>
            </w:pPr>
          </w:p>
        </w:tc>
      </w:tr>
      <w:tr>
        <w:trPr>
          <w:trHeight w:val="230"/>
        </w:trPr>
        <w:tc>
          <w:tcPr>
            <w:tcW w:w="20" w:type="dxa"/>
            <w:vAlign w:val="bottom"/>
          </w:tcPr>
          <w:p>
            <w:pPr>
              <w:spacing w:after="0"/>
              <w:rPr>
                <w:sz w:val="20"/>
                <w:szCs w:val="20"/>
                <w:color w:val="auto"/>
              </w:rPr>
            </w:pPr>
          </w:p>
        </w:tc>
        <w:tc>
          <w:tcPr>
            <w:tcW w:w="2800" w:type="dxa"/>
            <w:vAlign w:val="bottom"/>
            <w:gridSpan w:val="2"/>
          </w:tcPr>
          <w:p>
            <w:pPr>
              <w:spacing w:after="0"/>
              <w:rPr>
                <w:sz w:val="20"/>
                <w:szCs w:val="20"/>
                <w:color w:val="auto"/>
              </w:rPr>
            </w:pPr>
            <w:r>
              <w:rPr>
                <w:rFonts w:ascii="Arial" w:cs="Arial" w:eastAsia="Arial" w:hAnsi="Arial"/>
                <w:sz w:val="18"/>
                <w:szCs w:val="18"/>
                <w:color w:val="auto"/>
                <w:w w:val="94"/>
              </w:rPr>
              <w:t>Continental Exchange Solutions, Inc.</w:t>
            </w:r>
          </w:p>
        </w:tc>
        <w:tc>
          <w:tcPr>
            <w:tcW w:w="4260" w:type="dxa"/>
            <w:vAlign w:val="bottom"/>
          </w:tcPr>
          <w:p>
            <w:pPr>
              <w:ind w:left="120"/>
              <w:spacing w:after="0"/>
              <w:rPr>
                <w:sz w:val="20"/>
                <w:szCs w:val="20"/>
                <w:color w:val="auto"/>
              </w:rPr>
            </w:pPr>
            <w:r>
              <w:rPr>
                <w:rFonts w:ascii="Arial" w:cs="Arial" w:eastAsia="Arial" w:hAnsi="Arial"/>
                <w:sz w:val="18"/>
                <w:szCs w:val="18"/>
                <w:color w:val="auto"/>
              </w:rPr>
              <w:t>RIA Envia Financial Services Belgium SPRL</w:t>
            </w:r>
          </w:p>
        </w:tc>
        <w:tc>
          <w:tcPr>
            <w:tcW w:w="1960" w:type="dxa"/>
            <w:vAlign w:val="bottom"/>
          </w:tcPr>
          <w:p>
            <w:pPr>
              <w:ind w:left="700"/>
              <w:spacing w:after="0"/>
              <w:rPr>
                <w:sz w:val="20"/>
                <w:szCs w:val="20"/>
                <w:color w:val="auto"/>
              </w:rPr>
            </w:pPr>
            <w:r>
              <w:rPr>
                <w:rFonts w:ascii="Arial" w:cs="Arial" w:eastAsia="Arial" w:hAnsi="Arial"/>
                <w:sz w:val="18"/>
                <w:szCs w:val="18"/>
                <w:color w:val="auto"/>
              </w:rPr>
              <w:t>Investment</w:t>
            </w:r>
          </w:p>
        </w:tc>
        <w:tc>
          <w:tcPr>
            <w:tcW w:w="1760" w:type="dxa"/>
            <w:vAlign w:val="bottom"/>
          </w:tcPr>
          <w:p>
            <w:pPr>
              <w:jc w:val="right"/>
              <w:ind w:right="30"/>
              <w:spacing w:after="0"/>
              <w:rPr>
                <w:sz w:val="20"/>
                <w:szCs w:val="20"/>
                <w:color w:val="auto"/>
              </w:rPr>
            </w:pPr>
            <w:r>
              <w:rPr>
                <w:rFonts w:ascii="Arial" w:cs="Arial" w:eastAsia="Arial" w:hAnsi="Arial"/>
                <w:sz w:val="18"/>
                <w:szCs w:val="18"/>
                <w:color w:val="auto"/>
              </w:rPr>
              <w:t>114</w:t>
            </w:r>
          </w:p>
        </w:tc>
      </w:tr>
      <w:tr>
        <w:trPr>
          <w:trHeight w:val="256"/>
        </w:trPr>
        <w:tc>
          <w:tcPr>
            <w:tcW w:w="20" w:type="dxa"/>
            <w:vAlign w:val="bottom"/>
          </w:tcPr>
          <w:p>
            <w:pPr>
              <w:spacing w:after="0"/>
              <w:rPr>
                <w:sz w:val="22"/>
                <w:szCs w:val="22"/>
                <w:color w:val="auto"/>
              </w:rPr>
            </w:pPr>
          </w:p>
        </w:tc>
        <w:tc>
          <w:tcPr>
            <w:tcW w:w="204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4260" w:type="dxa"/>
            <w:vAlign w:val="bottom"/>
          </w:tcPr>
          <w:p>
            <w:pPr>
              <w:spacing w:after="0"/>
              <w:rPr>
                <w:sz w:val="22"/>
                <w:szCs w:val="22"/>
                <w:color w:val="auto"/>
              </w:rPr>
            </w:pPr>
          </w:p>
        </w:tc>
        <w:tc>
          <w:tcPr>
            <w:tcW w:w="1960" w:type="dxa"/>
            <w:vAlign w:val="bottom"/>
          </w:tcPr>
          <w:p>
            <w:pPr>
              <w:ind w:left="700"/>
              <w:spacing w:after="0"/>
              <w:rPr>
                <w:sz w:val="20"/>
                <w:szCs w:val="20"/>
                <w:color w:val="auto"/>
              </w:rPr>
            </w:pPr>
            <w:r>
              <w:rPr>
                <w:rFonts w:ascii="Arial" w:cs="Arial" w:eastAsia="Arial" w:hAnsi="Arial"/>
                <w:sz w:val="18"/>
                <w:szCs w:val="18"/>
                <w:color w:val="auto"/>
              </w:rPr>
              <w:t>Intercompany</w:t>
            </w:r>
          </w:p>
        </w:tc>
        <w:tc>
          <w:tcPr>
            <w:tcW w:w="1760" w:type="dxa"/>
            <w:vAlign w:val="bottom"/>
          </w:tcPr>
          <w:p>
            <w:pPr>
              <w:spacing w:after="0"/>
              <w:rPr>
                <w:sz w:val="22"/>
                <w:szCs w:val="22"/>
                <w:color w:val="auto"/>
              </w:rPr>
            </w:pPr>
          </w:p>
        </w:tc>
      </w:tr>
      <w:tr>
        <w:trPr>
          <w:trHeight w:val="230"/>
        </w:trPr>
        <w:tc>
          <w:tcPr>
            <w:tcW w:w="20" w:type="dxa"/>
            <w:vAlign w:val="bottom"/>
          </w:tcPr>
          <w:p>
            <w:pPr>
              <w:spacing w:after="0"/>
              <w:rPr>
                <w:sz w:val="20"/>
                <w:szCs w:val="20"/>
                <w:color w:val="auto"/>
              </w:rPr>
            </w:pPr>
          </w:p>
        </w:tc>
        <w:tc>
          <w:tcPr>
            <w:tcW w:w="2800" w:type="dxa"/>
            <w:vAlign w:val="bottom"/>
            <w:gridSpan w:val="2"/>
          </w:tcPr>
          <w:p>
            <w:pPr>
              <w:spacing w:after="0"/>
              <w:rPr>
                <w:sz w:val="20"/>
                <w:szCs w:val="20"/>
                <w:color w:val="auto"/>
              </w:rPr>
            </w:pPr>
            <w:r>
              <w:rPr>
                <w:rFonts w:ascii="Arial" w:cs="Arial" w:eastAsia="Arial" w:hAnsi="Arial"/>
                <w:sz w:val="18"/>
                <w:szCs w:val="18"/>
                <w:color w:val="auto"/>
                <w:w w:val="94"/>
              </w:rPr>
              <w:t>Continental Exchange Solutions, Inc.</w:t>
            </w:r>
          </w:p>
        </w:tc>
        <w:tc>
          <w:tcPr>
            <w:tcW w:w="4260" w:type="dxa"/>
            <w:vAlign w:val="bottom"/>
          </w:tcPr>
          <w:p>
            <w:pPr>
              <w:ind w:left="120"/>
              <w:spacing w:after="0"/>
              <w:rPr>
                <w:sz w:val="20"/>
                <w:szCs w:val="20"/>
                <w:color w:val="auto"/>
              </w:rPr>
            </w:pPr>
            <w:r>
              <w:rPr>
                <w:rFonts w:ascii="Arial" w:cs="Arial" w:eastAsia="Arial" w:hAnsi="Arial"/>
                <w:sz w:val="18"/>
                <w:szCs w:val="18"/>
                <w:color w:val="auto"/>
              </w:rPr>
              <w:t>RIA Telecommunications of Canada Inc.</w:t>
            </w:r>
          </w:p>
        </w:tc>
        <w:tc>
          <w:tcPr>
            <w:tcW w:w="1960" w:type="dxa"/>
            <w:vAlign w:val="bottom"/>
          </w:tcPr>
          <w:p>
            <w:pPr>
              <w:ind w:left="700"/>
              <w:spacing w:after="0"/>
              <w:rPr>
                <w:sz w:val="20"/>
                <w:szCs w:val="20"/>
                <w:color w:val="auto"/>
              </w:rPr>
            </w:pPr>
            <w:r>
              <w:rPr>
                <w:rFonts w:ascii="Arial" w:cs="Arial" w:eastAsia="Arial" w:hAnsi="Arial"/>
                <w:sz w:val="18"/>
                <w:szCs w:val="18"/>
                <w:color w:val="auto"/>
              </w:rPr>
              <w:t>Investment</w:t>
            </w:r>
          </w:p>
        </w:tc>
        <w:tc>
          <w:tcPr>
            <w:tcW w:w="1760" w:type="dxa"/>
            <w:vAlign w:val="bottom"/>
          </w:tcPr>
          <w:p>
            <w:pPr>
              <w:jc w:val="right"/>
              <w:ind w:right="30"/>
              <w:spacing w:after="0"/>
              <w:rPr>
                <w:sz w:val="20"/>
                <w:szCs w:val="20"/>
                <w:color w:val="auto"/>
              </w:rPr>
            </w:pPr>
            <w:r>
              <w:rPr>
                <w:rFonts w:ascii="Arial" w:cs="Arial" w:eastAsia="Arial" w:hAnsi="Arial"/>
                <w:sz w:val="18"/>
                <w:szCs w:val="18"/>
                <w:color w:val="auto"/>
              </w:rPr>
              <w:t>3,833,020</w:t>
            </w:r>
          </w:p>
        </w:tc>
      </w:tr>
      <w:tr>
        <w:trPr>
          <w:trHeight w:val="256"/>
        </w:trPr>
        <w:tc>
          <w:tcPr>
            <w:tcW w:w="20" w:type="dxa"/>
            <w:vAlign w:val="bottom"/>
          </w:tcPr>
          <w:p>
            <w:pPr>
              <w:spacing w:after="0"/>
              <w:rPr>
                <w:sz w:val="22"/>
                <w:szCs w:val="22"/>
                <w:color w:val="auto"/>
              </w:rPr>
            </w:pPr>
          </w:p>
        </w:tc>
        <w:tc>
          <w:tcPr>
            <w:tcW w:w="204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4260" w:type="dxa"/>
            <w:vAlign w:val="bottom"/>
          </w:tcPr>
          <w:p>
            <w:pPr>
              <w:spacing w:after="0"/>
              <w:rPr>
                <w:sz w:val="22"/>
                <w:szCs w:val="22"/>
                <w:color w:val="auto"/>
              </w:rPr>
            </w:pPr>
          </w:p>
        </w:tc>
        <w:tc>
          <w:tcPr>
            <w:tcW w:w="1960" w:type="dxa"/>
            <w:vAlign w:val="bottom"/>
          </w:tcPr>
          <w:p>
            <w:pPr>
              <w:ind w:left="700"/>
              <w:spacing w:after="0"/>
              <w:rPr>
                <w:sz w:val="20"/>
                <w:szCs w:val="20"/>
                <w:color w:val="auto"/>
              </w:rPr>
            </w:pPr>
            <w:r>
              <w:rPr>
                <w:rFonts w:ascii="Arial" w:cs="Arial" w:eastAsia="Arial" w:hAnsi="Arial"/>
                <w:sz w:val="18"/>
                <w:szCs w:val="18"/>
                <w:color w:val="auto"/>
              </w:rPr>
              <w:t>Intercompany</w:t>
            </w:r>
          </w:p>
        </w:tc>
        <w:tc>
          <w:tcPr>
            <w:tcW w:w="1760" w:type="dxa"/>
            <w:vAlign w:val="bottom"/>
          </w:tcPr>
          <w:p>
            <w:pPr>
              <w:spacing w:after="0"/>
              <w:rPr>
                <w:sz w:val="22"/>
                <w:szCs w:val="22"/>
                <w:color w:val="auto"/>
              </w:rPr>
            </w:pPr>
          </w:p>
        </w:tc>
      </w:tr>
      <w:tr>
        <w:trPr>
          <w:trHeight w:val="230"/>
        </w:trPr>
        <w:tc>
          <w:tcPr>
            <w:tcW w:w="20" w:type="dxa"/>
            <w:vAlign w:val="bottom"/>
          </w:tcPr>
          <w:p>
            <w:pPr>
              <w:spacing w:after="0"/>
              <w:rPr>
                <w:sz w:val="20"/>
                <w:szCs w:val="20"/>
                <w:color w:val="auto"/>
              </w:rPr>
            </w:pPr>
          </w:p>
        </w:tc>
        <w:tc>
          <w:tcPr>
            <w:tcW w:w="2800" w:type="dxa"/>
            <w:vAlign w:val="bottom"/>
            <w:gridSpan w:val="2"/>
          </w:tcPr>
          <w:p>
            <w:pPr>
              <w:spacing w:after="0"/>
              <w:rPr>
                <w:sz w:val="20"/>
                <w:szCs w:val="20"/>
                <w:color w:val="auto"/>
              </w:rPr>
            </w:pPr>
            <w:r>
              <w:rPr>
                <w:rFonts w:ascii="Arial" w:cs="Arial" w:eastAsia="Arial" w:hAnsi="Arial"/>
                <w:sz w:val="18"/>
                <w:szCs w:val="18"/>
                <w:color w:val="auto"/>
              </w:rPr>
              <w:t>Delta Euronet GmbH</w:t>
            </w:r>
          </w:p>
        </w:tc>
        <w:tc>
          <w:tcPr>
            <w:tcW w:w="4260" w:type="dxa"/>
            <w:vAlign w:val="bottom"/>
          </w:tcPr>
          <w:p>
            <w:pPr>
              <w:ind w:left="120"/>
              <w:spacing w:after="0"/>
              <w:rPr>
                <w:sz w:val="20"/>
                <w:szCs w:val="20"/>
                <w:color w:val="auto"/>
              </w:rPr>
            </w:pPr>
            <w:r>
              <w:rPr>
                <w:rFonts w:ascii="Arial" w:cs="Arial" w:eastAsia="Arial" w:hAnsi="Arial"/>
                <w:sz w:val="18"/>
                <w:szCs w:val="18"/>
                <w:color w:val="auto"/>
              </w:rPr>
              <w:t>cadooz GmbH</w:t>
            </w:r>
          </w:p>
        </w:tc>
        <w:tc>
          <w:tcPr>
            <w:tcW w:w="1960" w:type="dxa"/>
            <w:vAlign w:val="bottom"/>
          </w:tcPr>
          <w:p>
            <w:pPr>
              <w:ind w:left="700"/>
              <w:spacing w:after="0"/>
              <w:rPr>
                <w:sz w:val="20"/>
                <w:szCs w:val="20"/>
                <w:color w:val="auto"/>
              </w:rPr>
            </w:pPr>
            <w:r>
              <w:rPr>
                <w:rFonts w:ascii="Arial" w:cs="Arial" w:eastAsia="Arial" w:hAnsi="Arial"/>
                <w:sz w:val="18"/>
                <w:szCs w:val="18"/>
                <w:color w:val="auto"/>
              </w:rPr>
              <w:t>Investment</w:t>
            </w:r>
          </w:p>
        </w:tc>
        <w:tc>
          <w:tcPr>
            <w:tcW w:w="1760" w:type="dxa"/>
            <w:vAlign w:val="bottom"/>
          </w:tcPr>
          <w:p>
            <w:pPr>
              <w:jc w:val="right"/>
              <w:ind w:right="30"/>
              <w:spacing w:after="0"/>
              <w:rPr>
                <w:sz w:val="20"/>
                <w:szCs w:val="20"/>
                <w:color w:val="auto"/>
              </w:rPr>
            </w:pPr>
            <w:r>
              <w:rPr>
                <w:rFonts w:ascii="Arial" w:cs="Arial" w:eastAsia="Arial" w:hAnsi="Arial"/>
                <w:sz w:val="18"/>
                <w:szCs w:val="18"/>
                <w:color w:val="auto"/>
              </w:rPr>
              <w:t>54,659,999</w:t>
            </w:r>
          </w:p>
        </w:tc>
      </w:tr>
      <w:tr>
        <w:trPr>
          <w:trHeight w:val="256"/>
        </w:trPr>
        <w:tc>
          <w:tcPr>
            <w:tcW w:w="20" w:type="dxa"/>
            <w:vAlign w:val="bottom"/>
          </w:tcPr>
          <w:p>
            <w:pPr>
              <w:spacing w:after="0"/>
              <w:rPr>
                <w:sz w:val="22"/>
                <w:szCs w:val="22"/>
                <w:color w:val="auto"/>
              </w:rPr>
            </w:pPr>
          </w:p>
        </w:tc>
        <w:tc>
          <w:tcPr>
            <w:tcW w:w="204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4260" w:type="dxa"/>
            <w:vAlign w:val="bottom"/>
          </w:tcPr>
          <w:p>
            <w:pPr>
              <w:spacing w:after="0"/>
              <w:rPr>
                <w:sz w:val="22"/>
                <w:szCs w:val="22"/>
                <w:color w:val="auto"/>
              </w:rPr>
            </w:pPr>
          </w:p>
        </w:tc>
        <w:tc>
          <w:tcPr>
            <w:tcW w:w="1960" w:type="dxa"/>
            <w:vAlign w:val="bottom"/>
          </w:tcPr>
          <w:p>
            <w:pPr>
              <w:ind w:left="700"/>
              <w:spacing w:after="0"/>
              <w:rPr>
                <w:sz w:val="20"/>
                <w:szCs w:val="20"/>
                <w:color w:val="auto"/>
              </w:rPr>
            </w:pPr>
            <w:r>
              <w:rPr>
                <w:rFonts w:ascii="Arial" w:cs="Arial" w:eastAsia="Arial" w:hAnsi="Arial"/>
                <w:sz w:val="18"/>
                <w:szCs w:val="18"/>
                <w:color w:val="auto"/>
              </w:rPr>
              <w:t>Intercompany</w:t>
            </w:r>
          </w:p>
        </w:tc>
        <w:tc>
          <w:tcPr>
            <w:tcW w:w="1760" w:type="dxa"/>
            <w:vAlign w:val="bottom"/>
          </w:tcPr>
          <w:p>
            <w:pPr>
              <w:spacing w:after="0"/>
              <w:rPr>
                <w:sz w:val="22"/>
                <w:szCs w:val="22"/>
                <w:color w:val="auto"/>
              </w:rPr>
            </w:pPr>
          </w:p>
        </w:tc>
      </w:tr>
      <w:tr>
        <w:trPr>
          <w:trHeight w:val="230"/>
        </w:trPr>
        <w:tc>
          <w:tcPr>
            <w:tcW w:w="20" w:type="dxa"/>
            <w:vAlign w:val="bottom"/>
          </w:tcPr>
          <w:p>
            <w:pPr>
              <w:spacing w:after="0"/>
              <w:rPr>
                <w:sz w:val="20"/>
                <w:szCs w:val="20"/>
                <w:color w:val="auto"/>
              </w:rPr>
            </w:pPr>
          </w:p>
        </w:tc>
        <w:tc>
          <w:tcPr>
            <w:tcW w:w="2800" w:type="dxa"/>
            <w:vAlign w:val="bottom"/>
            <w:gridSpan w:val="2"/>
          </w:tcPr>
          <w:p>
            <w:pPr>
              <w:spacing w:after="0"/>
              <w:rPr>
                <w:sz w:val="20"/>
                <w:szCs w:val="20"/>
                <w:color w:val="auto"/>
              </w:rPr>
            </w:pPr>
            <w:r>
              <w:rPr>
                <w:rFonts w:ascii="Arial" w:cs="Arial" w:eastAsia="Arial" w:hAnsi="Arial"/>
                <w:sz w:val="18"/>
                <w:szCs w:val="18"/>
                <w:color w:val="auto"/>
              </w:rPr>
              <w:t>Delta Euronet GmbH</w:t>
            </w:r>
          </w:p>
        </w:tc>
        <w:tc>
          <w:tcPr>
            <w:tcW w:w="4260" w:type="dxa"/>
            <w:vAlign w:val="bottom"/>
          </w:tcPr>
          <w:p>
            <w:pPr>
              <w:ind w:left="120"/>
              <w:spacing w:after="0"/>
              <w:rPr>
                <w:sz w:val="20"/>
                <w:szCs w:val="20"/>
                <w:color w:val="auto"/>
              </w:rPr>
            </w:pPr>
            <w:r>
              <w:rPr>
                <w:rFonts w:ascii="Arial" w:cs="Arial" w:eastAsia="Arial" w:hAnsi="Arial"/>
                <w:sz w:val="18"/>
                <w:szCs w:val="18"/>
                <w:color w:val="auto"/>
              </w:rPr>
              <w:t>RIA Deutschland GmbH</w:t>
            </w:r>
          </w:p>
        </w:tc>
        <w:tc>
          <w:tcPr>
            <w:tcW w:w="1960" w:type="dxa"/>
            <w:vAlign w:val="bottom"/>
          </w:tcPr>
          <w:p>
            <w:pPr>
              <w:ind w:left="700"/>
              <w:spacing w:after="0"/>
              <w:rPr>
                <w:sz w:val="20"/>
                <w:szCs w:val="20"/>
                <w:color w:val="auto"/>
              </w:rPr>
            </w:pPr>
            <w:r>
              <w:rPr>
                <w:rFonts w:ascii="Arial" w:cs="Arial" w:eastAsia="Arial" w:hAnsi="Arial"/>
                <w:sz w:val="18"/>
                <w:szCs w:val="18"/>
                <w:color w:val="auto"/>
              </w:rPr>
              <w:t>Investment</w:t>
            </w:r>
          </w:p>
        </w:tc>
        <w:tc>
          <w:tcPr>
            <w:tcW w:w="1760" w:type="dxa"/>
            <w:vAlign w:val="bottom"/>
          </w:tcPr>
          <w:p>
            <w:pPr>
              <w:jc w:val="right"/>
              <w:ind w:right="30"/>
              <w:spacing w:after="0"/>
              <w:rPr>
                <w:sz w:val="20"/>
                <w:szCs w:val="20"/>
                <w:color w:val="auto"/>
              </w:rPr>
            </w:pPr>
            <w:r>
              <w:rPr>
                <w:rFonts w:ascii="Arial" w:cs="Arial" w:eastAsia="Arial" w:hAnsi="Arial"/>
                <w:sz w:val="18"/>
                <w:szCs w:val="18"/>
                <w:color w:val="auto"/>
              </w:rPr>
              <w:t>2,080,063</w:t>
            </w:r>
          </w:p>
        </w:tc>
      </w:tr>
      <w:tr>
        <w:trPr>
          <w:trHeight w:val="256"/>
        </w:trPr>
        <w:tc>
          <w:tcPr>
            <w:tcW w:w="20" w:type="dxa"/>
            <w:vAlign w:val="bottom"/>
          </w:tcPr>
          <w:p>
            <w:pPr>
              <w:spacing w:after="0"/>
              <w:rPr>
                <w:sz w:val="22"/>
                <w:szCs w:val="22"/>
                <w:color w:val="auto"/>
              </w:rPr>
            </w:pPr>
          </w:p>
        </w:tc>
        <w:tc>
          <w:tcPr>
            <w:tcW w:w="204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4260" w:type="dxa"/>
            <w:vAlign w:val="bottom"/>
          </w:tcPr>
          <w:p>
            <w:pPr>
              <w:spacing w:after="0"/>
              <w:rPr>
                <w:sz w:val="22"/>
                <w:szCs w:val="22"/>
                <w:color w:val="auto"/>
              </w:rPr>
            </w:pPr>
          </w:p>
        </w:tc>
        <w:tc>
          <w:tcPr>
            <w:tcW w:w="1960" w:type="dxa"/>
            <w:vAlign w:val="bottom"/>
          </w:tcPr>
          <w:p>
            <w:pPr>
              <w:ind w:left="700"/>
              <w:spacing w:after="0"/>
              <w:rPr>
                <w:sz w:val="20"/>
                <w:szCs w:val="20"/>
                <w:color w:val="auto"/>
              </w:rPr>
            </w:pPr>
            <w:r>
              <w:rPr>
                <w:rFonts w:ascii="Arial" w:cs="Arial" w:eastAsia="Arial" w:hAnsi="Arial"/>
                <w:sz w:val="18"/>
                <w:szCs w:val="18"/>
                <w:color w:val="auto"/>
              </w:rPr>
              <w:t>Intercompany</w:t>
            </w:r>
          </w:p>
        </w:tc>
        <w:tc>
          <w:tcPr>
            <w:tcW w:w="1760" w:type="dxa"/>
            <w:vAlign w:val="bottom"/>
          </w:tcPr>
          <w:p>
            <w:pPr>
              <w:spacing w:after="0"/>
              <w:rPr>
                <w:sz w:val="22"/>
                <w:szCs w:val="22"/>
                <w:color w:val="auto"/>
              </w:rPr>
            </w:pPr>
          </w:p>
        </w:tc>
      </w:tr>
      <w:tr>
        <w:trPr>
          <w:trHeight w:val="230"/>
        </w:trPr>
        <w:tc>
          <w:tcPr>
            <w:tcW w:w="20" w:type="dxa"/>
            <w:vAlign w:val="bottom"/>
          </w:tcPr>
          <w:p>
            <w:pPr>
              <w:spacing w:after="0"/>
              <w:rPr>
                <w:sz w:val="20"/>
                <w:szCs w:val="20"/>
                <w:color w:val="auto"/>
              </w:rPr>
            </w:pPr>
          </w:p>
        </w:tc>
        <w:tc>
          <w:tcPr>
            <w:tcW w:w="2800" w:type="dxa"/>
            <w:vAlign w:val="bottom"/>
            <w:gridSpan w:val="2"/>
          </w:tcPr>
          <w:p>
            <w:pPr>
              <w:spacing w:after="0"/>
              <w:rPr>
                <w:sz w:val="20"/>
                <w:szCs w:val="20"/>
                <w:color w:val="auto"/>
              </w:rPr>
            </w:pPr>
            <w:r>
              <w:rPr>
                <w:rFonts w:ascii="Arial" w:cs="Arial" w:eastAsia="Arial" w:hAnsi="Arial"/>
                <w:sz w:val="18"/>
                <w:szCs w:val="18"/>
                <w:color w:val="auto"/>
              </w:rPr>
              <w:t>Delta Euronet GmbH</w:t>
            </w:r>
          </w:p>
        </w:tc>
        <w:tc>
          <w:tcPr>
            <w:tcW w:w="4260" w:type="dxa"/>
            <w:vAlign w:val="bottom"/>
          </w:tcPr>
          <w:p>
            <w:pPr>
              <w:ind w:left="120"/>
              <w:spacing w:after="0"/>
              <w:rPr>
                <w:sz w:val="20"/>
                <w:szCs w:val="20"/>
                <w:color w:val="auto"/>
              </w:rPr>
            </w:pPr>
            <w:r>
              <w:rPr>
                <w:rFonts w:ascii="Arial" w:cs="Arial" w:eastAsia="Arial" w:hAnsi="Arial"/>
                <w:sz w:val="18"/>
                <w:szCs w:val="18"/>
                <w:color w:val="auto"/>
              </w:rPr>
              <w:t>transact Elektronische Zahlungssysteme GmbH</w:t>
            </w:r>
          </w:p>
        </w:tc>
        <w:tc>
          <w:tcPr>
            <w:tcW w:w="1960" w:type="dxa"/>
            <w:vAlign w:val="bottom"/>
          </w:tcPr>
          <w:p>
            <w:pPr>
              <w:ind w:left="700"/>
              <w:spacing w:after="0"/>
              <w:rPr>
                <w:sz w:val="20"/>
                <w:szCs w:val="20"/>
                <w:color w:val="auto"/>
              </w:rPr>
            </w:pPr>
            <w:r>
              <w:rPr>
                <w:rFonts w:ascii="Arial" w:cs="Arial" w:eastAsia="Arial" w:hAnsi="Arial"/>
                <w:sz w:val="18"/>
                <w:szCs w:val="18"/>
                <w:color w:val="auto"/>
              </w:rPr>
              <w:t>Investment</w:t>
            </w:r>
          </w:p>
        </w:tc>
        <w:tc>
          <w:tcPr>
            <w:tcW w:w="1760" w:type="dxa"/>
            <w:vAlign w:val="bottom"/>
          </w:tcPr>
          <w:p>
            <w:pPr>
              <w:jc w:val="right"/>
              <w:ind w:right="30"/>
              <w:spacing w:after="0"/>
              <w:rPr>
                <w:sz w:val="20"/>
                <w:szCs w:val="20"/>
                <w:color w:val="auto"/>
              </w:rPr>
            </w:pPr>
            <w:r>
              <w:rPr>
                <w:rFonts w:ascii="Arial" w:cs="Arial" w:eastAsia="Arial" w:hAnsi="Arial"/>
                <w:sz w:val="18"/>
                <w:szCs w:val="18"/>
                <w:color w:val="auto"/>
              </w:rPr>
              <w:t>2,217,256</w:t>
            </w:r>
          </w:p>
        </w:tc>
      </w:tr>
      <w:tr>
        <w:trPr>
          <w:trHeight w:val="256"/>
        </w:trPr>
        <w:tc>
          <w:tcPr>
            <w:tcW w:w="20" w:type="dxa"/>
            <w:vAlign w:val="bottom"/>
          </w:tcPr>
          <w:p>
            <w:pPr>
              <w:spacing w:after="0"/>
              <w:rPr>
                <w:sz w:val="22"/>
                <w:szCs w:val="22"/>
                <w:color w:val="auto"/>
              </w:rPr>
            </w:pPr>
          </w:p>
        </w:tc>
        <w:tc>
          <w:tcPr>
            <w:tcW w:w="204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4260" w:type="dxa"/>
            <w:vAlign w:val="bottom"/>
          </w:tcPr>
          <w:p>
            <w:pPr>
              <w:spacing w:after="0"/>
              <w:rPr>
                <w:sz w:val="22"/>
                <w:szCs w:val="22"/>
                <w:color w:val="auto"/>
              </w:rPr>
            </w:pPr>
          </w:p>
        </w:tc>
        <w:tc>
          <w:tcPr>
            <w:tcW w:w="1960" w:type="dxa"/>
            <w:vAlign w:val="bottom"/>
          </w:tcPr>
          <w:p>
            <w:pPr>
              <w:ind w:left="700"/>
              <w:spacing w:after="0"/>
              <w:rPr>
                <w:sz w:val="20"/>
                <w:szCs w:val="20"/>
                <w:color w:val="auto"/>
              </w:rPr>
            </w:pPr>
            <w:r>
              <w:rPr>
                <w:rFonts w:ascii="Arial" w:cs="Arial" w:eastAsia="Arial" w:hAnsi="Arial"/>
                <w:sz w:val="18"/>
                <w:szCs w:val="18"/>
                <w:color w:val="auto"/>
              </w:rPr>
              <w:t>Intercompany</w:t>
            </w:r>
          </w:p>
        </w:tc>
        <w:tc>
          <w:tcPr>
            <w:tcW w:w="1760" w:type="dxa"/>
            <w:vAlign w:val="bottom"/>
          </w:tcPr>
          <w:p>
            <w:pPr>
              <w:spacing w:after="0"/>
              <w:rPr>
                <w:sz w:val="22"/>
                <w:szCs w:val="22"/>
                <w:color w:val="auto"/>
              </w:rPr>
            </w:pPr>
          </w:p>
        </w:tc>
      </w:tr>
      <w:tr>
        <w:trPr>
          <w:trHeight w:val="230"/>
        </w:trPr>
        <w:tc>
          <w:tcPr>
            <w:tcW w:w="20" w:type="dxa"/>
            <w:vAlign w:val="bottom"/>
          </w:tcPr>
          <w:p>
            <w:pPr>
              <w:spacing w:after="0"/>
              <w:rPr>
                <w:sz w:val="20"/>
                <w:szCs w:val="20"/>
                <w:color w:val="auto"/>
              </w:rPr>
            </w:pPr>
          </w:p>
        </w:tc>
        <w:tc>
          <w:tcPr>
            <w:tcW w:w="2800" w:type="dxa"/>
            <w:vAlign w:val="bottom"/>
            <w:gridSpan w:val="2"/>
          </w:tcPr>
          <w:p>
            <w:pPr>
              <w:spacing w:after="0"/>
              <w:rPr>
                <w:sz w:val="20"/>
                <w:szCs w:val="20"/>
                <w:color w:val="auto"/>
              </w:rPr>
            </w:pPr>
            <w:r>
              <w:rPr>
                <w:rFonts w:ascii="Arial" w:cs="Arial" w:eastAsia="Arial" w:hAnsi="Arial"/>
                <w:sz w:val="18"/>
                <w:szCs w:val="18"/>
                <w:color w:val="auto"/>
              </w:rPr>
              <w:t>EFT Services Holding B.V.</w:t>
            </w:r>
          </w:p>
        </w:tc>
        <w:tc>
          <w:tcPr>
            <w:tcW w:w="4260" w:type="dxa"/>
            <w:vAlign w:val="bottom"/>
          </w:tcPr>
          <w:p>
            <w:pPr>
              <w:ind w:left="120"/>
              <w:spacing w:after="0"/>
              <w:rPr>
                <w:sz w:val="20"/>
                <w:szCs w:val="20"/>
                <w:color w:val="auto"/>
              </w:rPr>
            </w:pPr>
            <w:r>
              <w:rPr>
                <w:rFonts w:ascii="Arial" w:cs="Arial" w:eastAsia="Arial" w:hAnsi="Arial"/>
                <w:sz w:val="18"/>
                <w:szCs w:val="18"/>
                <w:color w:val="auto"/>
              </w:rPr>
              <w:t>"Euronet Ukraine" Limited Liability Company</w:t>
            </w:r>
          </w:p>
        </w:tc>
        <w:tc>
          <w:tcPr>
            <w:tcW w:w="1960" w:type="dxa"/>
            <w:vAlign w:val="bottom"/>
          </w:tcPr>
          <w:p>
            <w:pPr>
              <w:ind w:left="700"/>
              <w:spacing w:after="0"/>
              <w:rPr>
                <w:sz w:val="20"/>
                <w:szCs w:val="20"/>
                <w:color w:val="auto"/>
              </w:rPr>
            </w:pPr>
            <w:r>
              <w:rPr>
                <w:rFonts w:ascii="Arial" w:cs="Arial" w:eastAsia="Arial" w:hAnsi="Arial"/>
                <w:sz w:val="18"/>
                <w:szCs w:val="18"/>
                <w:color w:val="auto"/>
              </w:rPr>
              <w:t>Investment</w:t>
            </w:r>
          </w:p>
        </w:tc>
        <w:tc>
          <w:tcPr>
            <w:tcW w:w="1760" w:type="dxa"/>
            <w:vAlign w:val="bottom"/>
          </w:tcPr>
          <w:p>
            <w:pPr>
              <w:jc w:val="right"/>
              <w:ind w:right="30"/>
              <w:spacing w:after="0"/>
              <w:rPr>
                <w:sz w:val="20"/>
                <w:szCs w:val="20"/>
                <w:color w:val="auto"/>
              </w:rPr>
            </w:pPr>
            <w:r>
              <w:rPr>
                <w:rFonts w:ascii="Arial" w:cs="Arial" w:eastAsia="Arial" w:hAnsi="Arial"/>
                <w:sz w:val="18"/>
                <w:szCs w:val="18"/>
                <w:color w:val="auto"/>
              </w:rPr>
              <w:t>1</w:t>
            </w:r>
          </w:p>
        </w:tc>
      </w:tr>
      <w:tr>
        <w:trPr>
          <w:trHeight w:val="256"/>
        </w:trPr>
        <w:tc>
          <w:tcPr>
            <w:tcW w:w="20" w:type="dxa"/>
            <w:vAlign w:val="bottom"/>
          </w:tcPr>
          <w:p>
            <w:pPr>
              <w:spacing w:after="0"/>
              <w:rPr>
                <w:sz w:val="22"/>
                <w:szCs w:val="22"/>
                <w:color w:val="auto"/>
              </w:rPr>
            </w:pPr>
          </w:p>
        </w:tc>
        <w:tc>
          <w:tcPr>
            <w:tcW w:w="204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4260" w:type="dxa"/>
            <w:vAlign w:val="bottom"/>
          </w:tcPr>
          <w:p>
            <w:pPr>
              <w:spacing w:after="0"/>
              <w:rPr>
                <w:sz w:val="22"/>
                <w:szCs w:val="22"/>
                <w:color w:val="auto"/>
              </w:rPr>
            </w:pPr>
          </w:p>
        </w:tc>
        <w:tc>
          <w:tcPr>
            <w:tcW w:w="1960" w:type="dxa"/>
            <w:vAlign w:val="bottom"/>
          </w:tcPr>
          <w:p>
            <w:pPr>
              <w:ind w:left="700"/>
              <w:spacing w:after="0"/>
              <w:rPr>
                <w:sz w:val="20"/>
                <w:szCs w:val="20"/>
                <w:color w:val="auto"/>
              </w:rPr>
            </w:pPr>
            <w:r>
              <w:rPr>
                <w:rFonts w:ascii="Arial" w:cs="Arial" w:eastAsia="Arial" w:hAnsi="Arial"/>
                <w:sz w:val="18"/>
                <w:szCs w:val="18"/>
                <w:color w:val="auto"/>
              </w:rPr>
              <w:t>Intercompany</w:t>
            </w:r>
          </w:p>
        </w:tc>
        <w:tc>
          <w:tcPr>
            <w:tcW w:w="1760" w:type="dxa"/>
            <w:vAlign w:val="bottom"/>
          </w:tcPr>
          <w:p>
            <w:pPr>
              <w:spacing w:after="0"/>
              <w:rPr>
                <w:sz w:val="22"/>
                <w:szCs w:val="22"/>
                <w:color w:val="auto"/>
              </w:rPr>
            </w:pPr>
          </w:p>
        </w:tc>
      </w:tr>
      <w:tr>
        <w:trPr>
          <w:trHeight w:val="230"/>
        </w:trPr>
        <w:tc>
          <w:tcPr>
            <w:tcW w:w="20" w:type="dxa"/>
            <w:vAlign w:val="bottom"/>
          </w:tcPr>
          <w:p>
            <w:pPr>
              <w:spacing w:after="0"/>
              <w:rPr>
                <w:sz w:val="20"/>
                <w:szCs w:val="20"/>
                <w:color w:val="auto"/>
              </w:rPr>
            </w:pPr>
          </w:p>
        </w:tc>
        <w:tc>
          <w:tcPr>
            <w:tcW w:w="2800" w:type="dxa"/>
            <w:vAlign w:val="bottom"/>
            <w:gridSpan w:val="2"/>
          </w:tcPr>
          <w:p>
            <w:pPr>
              <w:spacing w:after="0"/>
              <w:rPr>
                <w:sz w:val="20"/>
                <w:szCs w:val="20"/>
                <w:color w:val="auto"/>
              </w:rPr>
            </w:pPr>
            <w:r>
              <w:rPr>
                <w:rFonts w:ascii="Arial" w:cs="Arial" w:eastAsia="Arial" w:hAnsi="Arial"/>
                <w:sz w:val="18"/>
                <w:szCs w:val="18"/>
                <w:color w:val="auto"/>
              </w:rPr>
              <w:t>EFT Services Holding B.V.</w:t>
            </w:r>
          </w:p>
        </w:tc>
        <w:tc>
          <w:tcPr>
            <w:tcW w:w="4260" w:type="dxa"/>
            <w:vAlign w:val="bottom"/>
          </w:tcPr>
          <w:p>
            <w:pPr>
              <w:ind w:left="120"/>
              <w:spacing w:after="0"/>
              <w:rPr>
                <w:sz w:val="20"/>
                <w:szCs w:val="20"/>
                <w:color w:val="auto"/>
              </w:rPr>
            </w:pPr>
            <w:r>
              <w:rPr>
                <w:rFonts w:ascii="Arial" w:cs="Arial" w:eastAsia="Arial" w:hAnsi="Arial"/>
                <w:sz w:val="18"/>
                <w:szCs w:val="18"/>
                <w:color w:val="auto"/>
              </w:rPr>
              <w:t>ATX Middle East FZC</w:t>
            </w:r>
          </w:p>
        </w:tc>
        <w:tc>
          <w:tcPr>
            <w:tcW w:w="1960" w:type="dxa"/>
            <w:vAlign w:val="bottom"/>
          </w:tcPr>
          <w:p>
            <w:pPr>
              <w:ind w:left="700"/>
              <w:spacing w:after="0"/>
              <w:rPr>
                <w:sz w:val="20"/>
                <w:szCs w:val="20"/>
                <w:color w:val="auto"/>
              </w:rPr>
            </w:pPr>
            <w:r>
              <w:rPr>
                <w:rFonts w:ascii="Arial" w:cs="Arial" w:eastAsia="Arial" w:hAnsi="Arial"/>
                <w:sz w:val="18"/>
                <w:szCs w:val="18"/>
                <w:color w:val="auto"/>
              </w:rPr>
              <w:t>Investment</w:t>
            </w:r>
          </w:p>
        </w:tc>
        <w:tc>
          <w:tcPr>
            <w:tcW w:w="1760" w:type="dxa"/>
            <w:vAlign w:val="bottom"/>
          </w:tcPr>
          <w:p>
            <w:pPr>
              <w:jc w:val="right"/>
              <w:ind w:right="30"/>
              <w:spacing w:after="0"/>
              <w:rPr>
                <w:sz w:val="20"/>
                <w:szCs w:val="20"/>
                <w:color w:val="auto"/>
              </w:rPr>
            </w:pPr>
            <w:r>
              <w:rPr>
                <w:rFonts w:ascii="Arial" w:cs="Arial" w:eastAsia="Arial" w:hAnsi="Arial"/>
                <w:sz w:val="18"/>
                <w:szCs w:val="18"/>
                <w:color w:val="auto"/>
              </w:rPr>
              <w:t>20,949</w:t>
            </w:r>
          </w:p>
        </w:tc>
      </w:tr>
      <w:tr>
        <w:trPr>
          <w:trHeight w:val="256"/>
        </w:trPr>
        <w:tc>
          <w:tcPr>
            <w:tcW w:w="20" w:type="dxa"/>
            <w:vAlign w:val="bottom"/>
          </w:tcPr>
          <w:p>
            <w:pPr>
              <w:spacing w:after="0"/>
              <w:rPr>
                <w:sz w:val="22"/>
                <w:szCs w:val="22"/>
                <w:color w:val="auto"/>
              </w:rPr>
            </w:pPr>
          </w:p>
        </w:tc>
        <w:tc>
          <w:tcPr>
            <w:tcW w:w="204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4260" w:type="dxa"/>
            <w:vAlign w:val="bottom"/>
          </w:tcPr>
          <w:p>
            <w:pPr>
              <w:spacing w:after="0"/>
              <w:rPr>
                <w:sz w:val="22"/>
                <w:szCs w:val="22"/>
                <w:color w:val="auto"/>
              </w:rPr>
            </w:pPr>
          </w:p>
        </w:tc>
        <w:tc>
          <w:tcPr>
            <w:tcW w:w="1960" w:type="dxa"/>
            <w:vAlign w:val="bottom"/>
          </w:tcPr>
          <w:p>
            <w:pPr>
              <w:ind w:left="700"/>
              <w:spacing w:after="0"/>
              <w:rPr>
                <w:sz w:val="20"/>
                <w:szCs w:val="20"/>
                <w:color w:val="auto"/>
              </w:rPr>
            </w:pPr>
            <w:r>
              <w:rPr>
                <w:rFonts w:ascii="Arial" w:cs="Arial" w:eastAsia="Arial" w:hAnsi="Arial"/>
                <w:sz w:val="18"/>
                <w:szCs w:val="18"/>
                <w:color w:val="auto"/>
              </w:rPr>
              <w:t>Intercompany</w:t>
            </w:r>
          </w:p>
        </w:tc>
        <w:tc>
          <w:tcPr>
            <w:tcW w:w="1760" w:type="dxa"/>
            <w:vAlign w:val="bottom"/>
          </w:tcPr>
          <w:p>
            <w:pPr>
              <w:spacing w:after="0"/>
              <w:rPr>
                <w:sz w:val="22"/>
                <w:szCs w:val="22"/>
                <w:color w:val="auto"/>
              </w:rPr>
            </w:pPr>
          </w:p>
        </w:tc>
      </w:tr>
      <w:tr>
        <w:trPr>
          <w:trHeight w:val="230"/>
        </w:trPr>
        <w:tc>
          <w:tcPr>
            <w:tcW w:w="20" w:type="dxa"/>
            <w:vAlign w:val="bottom"/>
          </w:tcPr>
          <w:p>
            <w:pPr>
              <w:spacing w:after="0"/>
              <w:rPr>
                <w:sz w:val="20"/>
                <w:szCs w:val="20"/>
                <w:color w:val="auto"/>
              </w:rPr>
            </w:pPr>
          </w:p>
        </w:tc>
        <w:tc>
          <w:tcPr>
            <w:tcW w:w="2800" w:type="dxa"/>
            <w:vAlign w:val="bottom"/>
            <w:gridSpan w:val="2"/>
          </w:tcPr>
          <w:p>
            <w:pPr>
              <w:spacing w:after="0"/>
              <w:rPr>
                <w:sz w:val="20"/>
                <w:szCs w:val="20"/>
                <w:color w:val="auto"/>
              </w:rPr>
            </w:pPr>
            <w:r>
              <w:rPr>
                <w:rFonts w:ascii="Arial" w:cs="Arial" w:eastAsia="Arial" w:hAnsi="Arial"/>
                <w:sz w:val="18"/>
                <w:szCs w:val="18"/>
                <w:color w:val="auto"/>
              </w:rPr>
              <w:t>EFT Services Holding B.V.</w:t>
            </w:r>
          </w:p>
        </w:tc>
        <w:tc>
          <w:tcPr>
            <w:tcW w:w="4260" w:type="dxa"/>
            <w:vAlign w:val="bottom"/>
          </w:tcPr>
          <w:p>
            <w:pPr>
              <w:ind w:left="120"/>
              <w:spacing w:after="0"/>
              <w:rPr>
                <w:sz w:val="20"/>
                <w:szCs w:val="20"/>
                <w:color w:val="auto"/>
              </w:rPr>
            </w:pPr>
            <w:r>
              <w:rPr>
                <w:rFonts w:ascii="Arial" w:cs="Arial" w:eastAsia="Arial" w:hAnsi="Arial"/>
                <w:sz w:val="18"/>
                <w:szCs w:val="18"/>
                <w:color w:val="auto"/>
              </w:rPr>
              <w:t>ATX Software Ltd</w:t>
            </w:r>
          </w:p>
        </w:tc>
        <w:tc>
          <w:tcPr>
            <w:tcW w:w="1960" w:type="dxa"/>
            <w:vAlign w:val="bottom"/>
          </w:tcPr>
          <w:p>
            <w:pPr>
              <w:ind w:left="700"/>
              <w:spacing w:after="0"/>
              <w:rPr>
                <w:sz w:val="20"/>
                <w:szCs w:val="20"/>
                <w:color w:val="auto"/>
              </w:rPr>
            </w:pPr>
            <w:r>
              <w:rPr>
                <w:rFonts w:ascii="Arial" w:cs="Arial" w:eastAsia="Arial" w:hAnsi="Arial"/>
                <w:sz w:val="18"/>
                <w:szCs w:val="18"/>
                <w:color w:val="auto"/>
              </w:rPr>
              <w:t>Investment</w:t>
            </w:r>
          </w:p>
        </w:tc>
        <w:tc>
          <w:tcPr>
            <w:tcW w:w="1760" w:type="dxa"/>
            <w:vAlign w:val="bottom"/>
          </w:tcPr>
          <w:p>
            <w:pPr>
              <w:jc w:val="right"/>
              <w:ind w:right="30"/>
              <w:spacing w:after="0"/>
              <w:rPr>
                <w:sz w:val="20"/>
                <w:szCs w:val="20"/>
                <w:color w:val="auto"/>
              </w:rPr>
            </w:pPr>
            <w:r>
              <w:rPr>
                <w:rFonts w:ascii="Arial" w:cs="Arial" w:eastAsia="Arial" w:hAnsi="Arial"/>
                <w:sz w:val="18"/>
                <w:szCs w:val="18"/>
                <w:color w:val="auto"/>
              </w:rPr>
              <w:t>970,800</w:t>
            </w:r>
          </w:p>
        </w:tc>
      </w:tr>
      <w:tr>
        <w:trPr>
          <w:trHeight w:val="256"/>
        </w:trPr>
        <w:tc>
          <w:tcPr>
            <w:tcW w:w="20" w:type="dxa"/>
            <w:vAlign w:val="bottom"/>
          </w:tcPr>
          <w:p>
            <w:pPr>
              <w:spacing w:after="0"/>
              <w:rPr>
                <w:sz w:val="22"/>
                <w:szCs w:val="22"/>
                <w:color w:val="auto"/>
              </w:rPr>
            </w:pPr>
          </w:p>
        </w:tc>
        <w:tc>
          <w:tcPr>
            <w:tcW w:w="204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4260" w:type="dxa"/>
            <w:vAlign w:val="bottom"/>
          </w:tcPr>
          <w:p>
            <w:pPr>
              <w:spacing w:after="0"/>
              <w:rPr>
                <w:sz w:val="22"/>
                <w:szCs w:val="22"/>
                <w:color w:val="auto"/>
              </w:rPr>
            </w:pPr>
          </w:p>
        </w:tc>
        <w:tc>
          <w:tcPr>
            <w:tcW w:w="1960" w:type="dxa"/>
            <w:vAlign w:val="bottom"/>
          </w:tcPr>
          <w:p>
            <w:pPr>
              <w:ind w:left="700"/>
              <w:spacing w:after="0"/>
              <w:rPr>
                <w:sz w:val="20"/>
                <w:szCs w:val="20"/>
                <w:color w:val="auto"/>
              </w:rPr>
            </w:pPr>
            <w:r>
              <w:rPr>
                <w:rFonts w:ascii="Arial" w:cs="Arial" w:eastAsia="Arial" w:hAnsi="Arial"/>
                <w:sz w:val="18"/>
                <w:szCs w:val="18"/>
                <w:color w:val="auto"/>
              </w:rPr>
              <w:t>Intercompany</w:t>
            </w:r>
          </w:p>
        </w:tc>
        <w:tc>
          <w:tcPr>
            <w:tcW w:w="1760" w:type="dxa"/>
            <w:vAlign w:val="bottom"/>
          </w:tcPr>
          <w:p>
            <w:pPr>
              <w:spacing w:after="0"/>
              <w:rPr>
                <w:sz w:val="22"/>
                <w:szCs w:val="22"/>
                <w:color w:val="auto"/>
              </w:rPr>
            </w:pPr>
          </w:p>
        </w:tc>
      </w:tr>
      <w:tr>
        <w:trPr>
          <w:trHeight w:val="230"/>
        </w:trPr>
        <w:tc>
          <w:tcPr>
            <w:tcW w:w="20" w:type="dxa"/>
            <w:vAlign w:val="bottom"/>
          </w:tcPr>
          <w:p>
            <w:pPr>
              <w:spacing w:after="0"/>
              <w:rPr>
                <w:sz w:val="20"/>
                <w:szCs w:val="20"/>
                <w:color w:val="auto"/>
              </w:rPr>
            </w:pPr>
          </w:p>
        </w:tc>
        <w:tc>
          <w:tcPr>
            <w:tcW w:w="2800" w:type="dxa"/>
            <w:vAlign w:val="bottom"/>
            <w:gridSpan w:val="2"/>
          </w:tcPr>
          <w:p>
            <w:pPr>
              <w:spacing w:after="0"/>
              <w:rPr>
                <w:sz w:val="20"/>
                <w:szCs w:val="20"/>
                <w:color w:val="auto"/>
              </w:rPr>
            </w:pPr>
            <w:r>
              <w:rPr>
                <w:rFonts w:ascii="Arial" w:cs="Arial" w:eastAsia="Arial" w:hAnsi="Arial"/>
                <w:sz w:val="18"/>
                <w:szCs w:val="18"/>
                <w:color w:val="auto"/>
              </w:rPr>
              <w:t>EFT Services Holding B.V.</w:t>
            </w:r>
          </w:p>
        </w:tc>
        <w:tc>
          <w:tcPr>
            <w:tcW w:w="4260" w:type="dxa"/>
            <w:vAlign w:val="bottom"/>
          </w:tcPr>
          <w:p>
            <w:pPr>
              <w:ind w:left="120"/>
              <w:spacing w:after="0"/>
              <w:rPr>
                <w:sz w:val="20"/>
                <w:szCs w:val="20"/>
                <w:color w:val="auto"/>
              </w:rPr>
            </w:pPr>
            <w:r>
              <w:rPr>
                <w:rFonts w:ascii="Arial" w:cs="Arial" w:eastAsia="Arial" w:hAnsi="Arial"/>
                <w:sz w:val="18"/>
                <w:szCs w:val="18"/>
                <w:color w:val="auto"/>
              </w:rPr>
              <w:t>Delta Euronet GmbH</w:t>
            </w:r>
          </w:p>
        </w:tc>
        <w:tc>
          <w:tcPr>
            <w:tcW w:w="1960" w:type="dxa"/>
            <w:vAlign w:val="bottom"/>
          </w:tcPr>
          <w:p>
            <w:pPr>
              <w:ind w:left="700"/>
              <w:spacing w:after="0"/>
              <w:rPr>
                <w:sz w:val="20"/>
                <w:szCs w:val="20"/>
                <w:color w:val="auto"/>
              </w:rPr>
            </w:pPr>
            <w:r>
              <w:rPr>
                <w:rFonts w:ascii="Arial" w:cs="Arial" w:eastAsia="Arial" w:hAnsi="Arial"/>
                <w:sz w:val="18"/>
                <w:szCs w:val="18"/>
                <w:color w:val="auto"/>
              </w:rPr>
              <w:t>Investment</w:t>
            </w:r>
          </w:p>
        </w:tc>
        <w:tc>
          <w:tcPr>
            <w:tcW w:w="1760" w:type="dxa"/>
            <w:vAlign w:val="bottom"/>
          </w:tcPr>
          <w:p>
            <w:pPr>
              <w:jc w:val="right"/>
              <w:ind w:right="30"/>
              <w:spacing w:after="0"/>
              <w:rPr>
                <w:sz w:val="20"/>
                <w:szCs w:val="20"/>
                <w:color w:val="auto"/>
              </w:rPr>
            </w:pPr>
            <w:r>
              <w:rPr>
                <w:rFonts w:ascii="Arial" w:cs="Arial" w:eastAsia="Arial" w:hAnsi="Arial"/>
                <w:sz w:val="18"/>
                <w:szCs w:val="18"/>
                <w:color w:val="auto"/>
              </w:rPr>
              <w:t>12,684,371</w:t>
            </w:r>
          </w:p>
        </w:tc>
      </w:tr>
      <w:tr>
        <w:trPr>
          <w:trHeight w:val="256"/>
        </w:trPr>
        <w:tc>
          <w:tcPr>
            <w:tcW w:w="20" w:type="dxa"/>
            <w:vAlign w:val="bottom"/>
          </w:tcPr>
          <w:p>
            <w:pPr>
              <w:spacing w:after="0"/>
              <w:rPr>
                <w:sz w:val="22"/>
                <w:szCs w:val="22"/>
                <w:color w:val="auto"/>
              </w:rPr>
            </w:pPr>
          </w:p>
        </w:tc>
        <w:tc>
          <w:tcPr>
            <w:tcW w:w="204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4260" w:type="dxa"/>
            <w:vAlign w:val="bottom"/>
          </w:tcPr>
          <w:p>
            <w:pPr>
              <w:spacing w:after="0"/>
              <w:rPr>
                <w:sz w:val="22"/>
                <w:szCs w:val="22"/>
                <w:color w:val="auto"/>
              </w:rPr>
            </w:pPr>
          </w:p>
        </w:tc>
        <w:tc>
          <w:tcPr>
            <w:tcW w:w="1960" w:type="dxa"/>
            <w:vAlign w:val="bottom"/>
          </w:tcPr>
          <w:p>
            <w:pPr>
              <w:ind w:left="700"/>
              <w:spacing w:after="0"/>
              <w:rPr>
                <w:sz w:val="20"/>
                <w:szCs w:val="20"/>
                <w:color w:val="auto"/>
              </w:rPr>
            </w:pPr>
            <w:r>
              <w:rPr>
                <w:rFonts w:ascii="Arial" w:cs="Arial" w:eastAsia="Arial" w:hAnsi="Arial"/>
                <w:sz w:val="18"/>
                <w:szCs w:val="18"/>
                <w:color w:val="auto"/>
              </w:rPr>
              <w:t>Intercompany</w:t>
            </w:r>
          </w:p>
        </w:tc>
        <w:tc>
          <w:tcPr>
            <w:tcW w:w="1760" w:type="dxa"/>
            <w:vAlign w:val="bottom"/>
          </w:tcPr>
          <w:p>
            <w:pPr>
              <w:spacing w:after="0"/>
              <w:rPr>
                <w:sz w:val="22"/>
                <w:szCs w:val="22"/>
                <w:color w:val="auto"/>
              </w:rPr>
            </w:pPr>
          </w:p>
        </w:tc>
      </w:tr>
      <w:tr>
        <w:trPr>
          <w:trHeight w:val="230"/>
        </w:trPr>
        <w:tc>
          <w:tcPr>
            <w:tcW w:w="20" w:type="dxa"/>
            <w:vAlign w:val="bottom"/>
          </w:tcPr>
          <w:p>
            <w:pPr>
              <w:spacing w:after="0"/>
              <w:rPr>
                <w:sz w:val="20"/>
                <w:szCs w:val="20"/>
                <w:color w:val="auto"/>
              </w:rPr>
            </w:pPr>
          </w:p>
        </w:tc>
        <w:tc>
          <w:tcPr>
            <w:tcW w:w="2800" w:type="dxa"/>
            <w:vAlign w:val="bottom"/>
            <w:gridSpan w:val="2"/>
          </w:tcPr>
          <w:p>
            <w:pPr>
              <w:spacing w:after="0"/>
              <w:rPr>
                <w:sz w:val="20"/>
                <w:szCs w:val="20"/>
                <w:color w:val="auto"/>
              </w:rPr>
            </w:pPr>
            <w:r>
              <w:rPr>
                <w:rFonts w:ascii="Arial" w:cs="Arial" w:eastAsia="Arial" w:hAnsi="Arial"/>
                <w:sz w:val="18"/>
                <w:szCs w:val="18"/>
                <w:color w:val="auto"/>
              </w:rPr>
              <w:t>EFT Services Holding B.V.</w:t>
            </w:r>
          </w:p>
        </w:tc>
        <w:tc>
          <w:tcPr>
            <w:tcW w:w="4260" w:type="dxa"/>
            <w:vAlign w:val="bottom"/>
          </w:tcPr>
          <w:p>
            <w:pPr>
              <w:ind w:left="120"/>
              <w:spacing w:after="0"/>
              <w:rPr>
                <w:sz w:val="20"/>
                <w:szCs w:val="20"/>
                <w:color w:val="auto"/>
              </w:rPr>
            </w:pPr>
            <w:r>
              <w:rPr>
                <w:rFonts w:ascii="Arial" w:cs="Arial" w:eastAsia="Arial" w:hAnsi="Arial"/>
                <w:sz w:val="18"/>
                <w:szCs w:val="18"/>
                <w:color w:val="auto"/>
              </w:rPr>
              <w:t>EFT-Usluge d.o.o.</w:t>
            </w:r>
          </w:p>
        </w:tc>
        <w:tc>
          <w:tcPr>
            <w:tcW w:w="1960" w:type="dxa"/>
            <w:vAlign w:val="bottom"/>
          </w:tcPr>
          <w:p>
            <w:pPr>
              <w:ind w:left="700"/>
              <w:spacing w:after="0"/>
              <w:rPr>
                <w:sz w:val="20"/>
                <w:szCs w:val="20"/>
                <w:color w:val="auto"/>
              </w:rPr>
            </w:pPr>
            <w:r>
              <w:rPr>
                <w:rFonts w:ascii="Arial" w:cs="Arial" w:eastAsia="Arial" w:hAnsi="Arial"/>
                <w:sz w:val="18"/>
                <w:szCs w:val="18"/>
                <w:color w:val="auto"/>
              </w:rPr>
              <w:t>Investment</w:t>
            </w:r>
          </w:p>
        </w:tc>
        <w:tc>
          <w:tcPr>
            <w:tcW w:w="1760" w:type="dxa"/>
            <w:vAlign w:val="bottom"/>
          </w:tcPr>
          <w:p>
            <w:pPr>
              <w:jc w:val="right"/>
              <w:ind w:right="30"/>
              <w:spacing w:after="0"/>
              <w:rPr>
                <w:sz w:val="20"/>
                <w:szCs w:val="20"/>
                <w:color w:val="auto"/>
              </w:rPr>
            </w:pPr>
            <w:r>
              <w:rPr>
                <w:rFonts w:ascii="Arial" w:cs="Arial" w:eastAsia="Arial" w:hAnsi="Arial"/>
                <w:sz w:val="18"/>
                <w:szCs w:val="18"/>
                <w:color w:val="auto"/>
              </w:rPr>
              <w:t>3,500</w:t>
            </w:r>
          </w:p>
        </w:tc>
      </w:tr>
      <w:tr>
        <w:trPr>
          <w:trHeight w:val="256"/>
        </w:trPr>
        <w:tc>
          <w:tcPr>
            <w:tcW w:w="20" w:type="dxa"/>
            <w:vAlign w:val="bottom"/>
          </w:tcPr>
          <w:p>
            <w:pPr>
              <w:spacing w:after="0"/>
              <w:rPr>
                <w:sz w:val="22"/>
                <w:szCs w:val="22"/>
                <w:color w:val="auto"/>
              </w:rPr>
            </w:pPr>
          </w:p>
        </w:tc>
        <w:tc>
          <w:tcPr>
            <w:tcW w:w="204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4260" w:type="dxa"/>
            <w:vAlign w:val="bottom"/>
          </w:tcPr>
          <w:p>
            <w:pPr>
              <w:spacing w:after="0"/>
              <w:rPr>
                <w:sz w:val="22"/>
                <w:szCs w:val="22"/>
                <w:color w:val="auto"/>
              </w:rPr>
            </w:pPr>
          </w:p>
        </w:tc>
        <w:tc>
          <w:tcPr>
            <w:tcW w:w="1960" w:type="dxa"/>
            <w:vAlign w:val="bottom"/>
          </w:tcPr>
          <w:p>
            <w:pPr>
              <w:ind w:left="700"/>
              <w:spacing w:after="0"/>
              <w:rPr>
                <w:sz w:val="20"/>
                <w:szCs w:val="20"/>
                <w:color w:val="auto"/>
              </w:rPr>
            </w:pPr>
            <w:r>
              <w:rPr>
                <w:rFonts w:ascii="Arial" w:cs="Arial" w:eastAsia="Arial" w:hAnsi="Arial"/>
                <w:sz w:val="18"/>
                <w:szCs w:val="18"/>
                <w:color w:val="auto"/>
              </w:rPr>
              <w:t>Intercompany</w:t>
            </w:r>
          </w:p>
        </w:tc>
        <w:tc>
          <w:tcPr>
            <w:tcW w:w="1760" w:type="dxa"/>
            <w:vAlign w:val="bottom"/>
          </w:tcPr>
          <w:p>
            <w:pPr>
              <w:spacing w:after="0"/>
              <w:rPr>
                <w:sz w:val="22"/>
                <w:szCs w:val="22"/>
                <w:color w:val="auto"/>
              </w:rPr>
            </w:pPr>
          </w:p>
        </w:tc>
      </w:tr>
      <w:tr>
        <w:trPr>
          <w:trHeight w:val="230"/>
        </w:trPr>
        <w:tc>
          <w:tcPr>
            <w:tcW w:w="20" w:type="dxa"/>
            <w:vAlign w:val="bottom"/>
          </w:tcPr>
          <w:p>
            <w:pPr>
              <w:spacing w:after="0"/>
              <w:rPr>
                <w:sz w:val="20"/>
                <w:szCs w:val="20"/>
                <w:color w:val="auto"/>
              </w:rPr>
            </w:pPr>
          </w:p>
        </w:tc>
        <w:tc>
          <w:tcPr>
            <w:tcW w:w="2800" w:type="dxa"/>
            <w:vAlign w:val="bottom"/>
            <w:gridSpan w:val="2"/>
          </w:tcPr>
          <w:p>
            <w:pPr>
              <w:spacing w:after="0"/>
              <w:rPr>
                <w:sz w:val="20"/>
                <w:szCs w:val="20"/>
                <w:color w:val="auto"/>
              </w:rPr>
            </w:pPr>
            <w:r>
              <w:rPr>
                <w:rFonts w:ascii="Arial" w:cs="Arial" w:eastAsia="Arial" w:hAnsi="Arial"/>
                <w:sz w:val="18"/>
                <w:szCs w:val="18"/>
                <w:color w:val="auto"/>
              </w:rPr>
              <w:t>EFT Services Holding B.V.</w:t>
            </w:r>
          </w:p>
        </w:tc>
        <w:tc>
          <w:tcPr>
            <w:tcW w:w="4260" w:type="dxa"/>
            <w:vAlign w:val="bottom"/>
          </w:tcPr>
          <w:p>
            <w:pPr>
              <w:ind w:left="120"/>
              <w:spacing w:after="0"/>
              <w:rPr>
                <w:sz w:val="20"/>
                <w:szCs w:val="20"/>
                <w:color w:val="auto"/>
              </w:rPr>
            </w:pPr>
            <w:r>
              <w:rPr>
                <w:rFonts w:ascii="Arial" w:cs="Arial" w:eastAsia="Arial" w:hAnsi="Arial"/>
                <w:sz w:val="18"/>
                <w:szCs w:val="18"/>
                <w:color w:val="auto"/>
              </w:rPr>
              <w:t>epay Australia Holdings Pty Ltd</w:t>
            </w:r>
          </w:p>
        </w:tc>
        <w:tc>
          <w:tcPr>
            <w:tcW w:w="1960" w:type="dxa"/>
            <w:vAlign w:val="bottom"/>
          </w:tcPr>
          <w:p>
            <w:pPr>
              <w:ind w:left="700"/>
              <w:spacing w:after="0"/>
              <w:rPr>
                <w:sz w:val="20"/>
                <w:szCs w:val="20"/>
                <w:color w:val="auto"/>
              </w:rPr>
            </w:pPr>
            <w:r>
              <w:rPr>
                <w:rFonts w:ascii="Arial" w:cs="Arial" w:eastAsia="Arial" w:hAnsi="Arial"/>
                <w:sz w:val="18"/>
                <w:szCs w:val="18"/>
                <w:color w:val="auto"/>
              </w:rPr>
              <w:t>Investment</w:t>
            </w:r>
          </w:p>
        </w:tc>
        <w:tc>
          <w:tcPr>
            <w:tcW w:w="1760" w:type="dxa"/>
            <w:vAlign w:val="bottom"/>
          </w:tcPr>
          <w:p>
            <w:pPr>
              <w:jc w:val="right"/>
              <w:ind w:right="30"/>
              <w:spacing w:after="0"/>
              <w:rPr>
                <w:sz w:val="20"/>
                <w:szCs w:val="20"/>
                <w:color w:val="auto"/>
              </w:rPr>
            </w:pPr>
            <w:r>
              <w:rPr>
                <w:rFonts w:ascii="Arial" w:cs="Arial" w:eastAsia="Arial" w:hAnsi="Arial"/>
                <w:sz w:val="18"/>
                <w:szCs w:val="18"/>
                <w:color w:val="auto"/>
              </w:rPr>
              <w:t>17,698,855</w:t>
            </w:r>
          </w:p>
        </w:tc>
      </w:tr>
      <w:tr>
        <w:trPr>
          <w:trHeight w:val="256"/>
        </w:trPr>
        <w:tc>
          <w:tcPr>
            <w:tcW w:w="20" w:type="dxa"/>
            <w:vAlign w:val="bottom"/>
          </w:tcPr>
          <w:p>
            <w:pPr>
              <w:spacing w:after="0"/>
              <w:rPr>
                <w:sz w:val="22"/>
                <w:szCs w:val="22"/>
                <w:color w:val="auto"/>
              </w:rPr>
            </w:pPr>
          </w:p>
        </w:tc>
        <w:tc>
          <w:tcPr>
            <w:tcW w:w="204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4260" w:type="dxa"/>
            <w:vAlign w:val="bottom"/>
          </w:tcPr>
          <w:p>
            <w:pPr>
              <w:spacing w:after="0"/>
              <w:rPr>
                <w:sz w:val="22"/>
                <w:szCs w:val="22"/>
                <w:color w:val="auto"/>
              </w:rPr>
            </w:pPr>
          </w:p>
        </w:tc>
        <w:tc>
          <w:tcPr>
            <w:tcW w:w="1960" w:type="dxa"/>
            <w:vAlign w:val="bottom"/>
          </w:tcPr>
          <w:p>
            <w:pPr>
              <w:ind w:left="700"/>
              <w:spacing w:after="0"/>
              <w:rPr>
                <w:sz w:val="20"/>
                <w:szCs w:val="20"/>
                <w:color w:val="auto"/>
              </w:rPr>
            </w:pPr>
            <w:r>
              <w:rPr>
                <w:rFonts w:ascii="Arial" w:cs="Arial" w:eastAsia="Arial" w:hAnsi="Arial"/>
                <w:sz w:val="18"/>
                <w:szCs w:val="18"/>
                <w:color w:val="auto"/>
              </w:rPr>
              <w:t>Intercompany</w:t>
            </w:r>
          </w:p>
        </w:tc>
        <w:tc>
          <w:tcPr>
            <w:tcW w:w="1760" w:type="dxa"/>
            <w:vAlign w:val="bottom"/>
          </w:tcPr>
          <w:p>
            <w:pPr>
              <w:spacing w:after="0"/>
              <w:rPr>
                <w:sz w:val="22"/>
                <w:szCs w:val="22"/>
                <w:color w:val="auto"/>
              </w:rPr>
            </w:pPr>
          </w:p>
        </w:tc>
      </w:tr>
      <w:tr>
        <w:trPr>
          <w:trHeight w:val="230"/>
        </w:trPr>
        <w:tc>
          <w:tcPr>
            <w:tcW w:w="20" w:type="dxa"/>
            <w:vAlign w:val="bottom"/>
          </w:tcPr>
          <w:p>
            <w:pPr>
              <w:spacing w:after="0"/>
              <w:rPr>
                <w:sz w:val="20"/>
                <w:szCs w:val="20"/>
                <w:color w:val="auto"/>
              </w:rPr>
            </w:pPr>
          </w:p>
        </w:tc>
        <w:tc>
          <w:tcPr>
            <w:tcW w:w="2800" w:type="dxa"/>
            <w:vAlign w:val="bottom"/>
            <w:gridSpan w:val="2"/>
          </w:tcPr>
          <w:p>
            <w:pPr>
              <w:spacing w:after="0"/>
              <w:rPr>
                <w:sz w:val="20"/>
                <w:szCs w:val="20"/>
                <w:color w:val="auto"/>
              </w:rPr>
            </w:pPr>
            <w:r>
              <w:rPr>
                <w:rFonts w:ascii="Arial" w:cs="Arial" w:eastAsia="Arial" w:hAnsi="Arial"/>
                <w:sz w:val="18"/>
                <w:szCs w:val="18"/>
                <w:color w:val="auto"/>
              </w:rPr>
              <w:t>EFT Services Holding B.V.</w:t>
            </w:r>
          </w:p>
        </w:tc>
        <w:tc>
          <w:tcPr>
            <w:tcW w:w="4260" w:type="dxa"/>
            <w:vAlign w:val="bottom"/>
          </w:tcPr>
          <w:p>
            <w:pPr>
              <w:ind w:left="120"/>
              <w:spacing w:after="0"/>
              <w:rPr>
                <w:sz w:val="20"/>
                <w:szCs w:val="20"/>
                <w:color w:val="auto"/>
              </w:rPr>
            </w:pPr>
            <w:r>
              <w:rPr>
                <w:rFonts w:ascii="Arial" w:cs="Arial" w:eastAsia="Arial" w:hAnsi="Arial"/>
                <w:sz w:val="18"/>
                <w:szCs w:val="18"/>
                <w:color w:val="auto"/>
              </w:rPr>
              <w:t>epay Digital SAS</w:t>
            </w:r>
          </w:p>
        </w:tc>
        <w:tc>
          <w:tcPr>
            <w:tcW w:w="1960" w:type="dxa"/>
            <w:vAlign w:val="bottom"/>
          </w:tcPr>
          <w:p>
            <w:pPr>
              <w:ind w:left="700"/>
              <w:spacing w:after="0"/>
              <w:rPr>
                <w:sz w:val="20"/>
                <w:szCs w:val="20"/>
                <w:color w:val="auto"/>
              </w:rPr>
            </w:pPr>
            <w:r>
              <w:rPr>
                <w:rFonts w:ascii="Arial" w:cs="Arial" w:eastAsia="Arial" w:hAnsi="Arial"/>
                <w:sz w:val="18"/>
                <w:szCs w:val="18"/>
                <w:color w:val="auto"/>
              </w:rPr>
              <w:t>Investment</w:t>
            </w:r>
          </w:p>
        </w:tc>
        <w:tc>
          <w:tcPr>
            <w:tcW w:w="1760" w:type="dxa"/>
            <w:vAlign w:val="bottom"/>
          </w:tcPr>
          <w:p>
            <w:pPr>
              <w:jc w:val="right"/>
              <w:ind w:right="30"/>
              <w:spacing w:after="0"/>
              <w:rPr>
                <w:sz w:val="20"/>
                <w:szCs w:val="20"/>
                <w:color w:val="auto"/>
              </w:rPr>
            </w:pPr>
            <w:r>
              <w:rPr>
                <w:rFonts w:ascii="Arial" w:cs="Arial" w:eastAsia="Arial" w:hAnsi="Arial"/>
                <w:sz w:val="18"/>
                <w:szCs w:val="18"/>
                <w:color w:val="auto"/>
              </w:rPr>
              <w:t>222,024</w:t>
            </w:r>
          </w:p>
        </w:tc>
      </w:tr>
      <w:tr>
        <w:trPr>
          <w:trHeight w:val="256"/>
        </w:trPr>
        <w:tc>
          <w:tcPr>
            <w:tcW w:w="20" w:type="dxa"/>
            <w:vAlign w:val="bottom"/>
          </w:tcPr>
          <w:p>
            <w:pPr>
              <w:spacing w:after="0"/>
              <w:rPr>
                <w:sz w:val="22"/>
                <w:szCs w:val="22"/>
                <w:color w:val="auto"/>
              </w:rPr>
            </w:pPr>
          </w:p>
        </w:tc>
        <w:tc>
          <w:tcPr>
            <w:tcW w:w="204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4260" w:type="dxa"/>
            <w:vAlign w:val="bottom"/>
          </w:tcPr>
          <w:p>
            <w:pPr>
              <w:spacing w:after="0"/>
              <w:rPr>
                <w:sz w:val="22"/>
                <w:szCs w:val="22"/>
                <w:color w:val="auto"/>
              </w:rPr>
            </w:pPr>
          </w:p>
        </w:tc>
        <w:tc>
          <w:tcPr>
            <w:tcW w:w="1960" w:type="dxa"/>
            <w:vAlign w:val="bottom"/>
          </w:tcPr>
          <w:p>
            <w:pPr>
              <w:ind w:left="700"/>
              <w:spacing w:after="0"/>
              <w:rPr>
                <w:sz w:val="20"/>
                <w:szCs w:val="20"/>
                <w:color w:val="auto"/>
              </w:rPr>
            </w:pPr>
            <w:r>
              <w:rPr>
                <w:rFonts w:ascii="Arial" w:cs="Arial" w:eastAsia="Arial" w:hAnsi="Arial"/>
                <w:sz w:val="18"/>
                <w:szCs w:val="18"/>
                <w:color w:val="auto"/>
              </w:rPr>
              <w:t>Intercompany</w:t>
            </w:r>
          </w:p>
        </w:tc>
        <w:tc>
          <w:tcPr>
            <w:tcW w:w="1760" w:type="dxa"/>
            <w:vAlign w:val="bottom"/>
          </w:tcPr>
          <w:p>
            <w:pPr>
              <w:spacing w:after="0"/>
              <w:rPr>
                <w:sz w:val="22"/>
                <w:szCs w:val="22"/>
                <w:color w:val="auto"/>
              </w:rPr>
            </w:pPr>
          </w:p>
        </w:tc>
      </w:tr>
      <w:tr>
        <w:trPr>
          <w:trHeight w:val="230"/>
        </w:trPr>
        <w:tc>
          <w:tcPr>
            <w:tcW w:w="20" w:type="dxa"/>
            <w:vAlign w:val="bottom"/>
          </w:tcPr>
          <w:p>
            <w:pPr>
              <w:spacing w:after="0"/>
              <w:rPr>
                <w:sz w:val="20"/>
                <w:szCs w:val="20"/>
                <w:color w:val="auto"/>
              </w:rPr>
            </w:pPr>
          </w:p>
        </w:tc>
        <w:tc>
          <w:tcPr>
            <w:tcW w:w="2800" w:type="dxa"/>
            <w:vAlign w:val="bottom"/>
            <w:gridSpan w:val="2"/>
          </w:tcPr>
          <w:p>
            <w:pPr>
              <w:spacing w:after="0"/>
              <w:rPr>
                <w:sz w:val="20"/>
                <w:szCs w:val="20"/>
                <w:color w:val="auto"/>
              </w:rPr>
            </w:pPr>
            <w:r>
              <w:rPr>
                <w:rFonts w:ascii="Arial" w:cs="Arial" w:eastAsia="Arial" w:hAnsi="Arial"/>
                <w:sz w:val="18"/>
                <w:szCs w:val="18"/>
                <w:color w:val="auto"/>
              </w:rPr>
              <w:t>EFT Services Holding B.V.</w:t>
            </w:r>
          </w:p>
        </w:tc>
        <w:tc>
          <w:tcPr>
            <w:tcW w:w="4260" w:type="dxa"/>
            <w:vAlign w:val="bottom"/>
          </w:tcPr>
          <w:p>
            <w:pPr>
              <w:ind w:left="120"/>
              <w:spacing w:after="0"/>
              <w:rPr>
                <w:sz w:val="20"/>
                <w:szCs w:val="20"/>
                <w:color w:val="auto"/>
              </w:rPr>
            </w:pPr>
            <w:r>
              <w:rPr>
                <w:rFonts w:ascii="Arial" w:cs="Arial" w:eastAsia="Arial" w:hAnsi="Arial"/>
                <w:sz w:val="18"/>
                <w:szCs w:val="18"/>
                <w:color w:val="auto"/>
              </w:rPr>
              <w:t>Euronet 360 Finance Limited</w:t>
            </w:r>
          </w:p>
        </w:tc>
        <w:tc>
          <w:tcPr>
            <w:tcW w:w="1960" w:type="dxa"/>
            <w:vAlign w:val="bottom"/>
          </w:tcPr>
          <w:p>
            <w:pPr>
              <w:ind w:left="700"/>
              <w:spacing w:after="0"/>
              <w:rPr>
                <w:sz w:val="20"/>
                <w:szCs w:val="20"/>
                <w:color w:val="auto"/>
              </w:rPr>
            </w:pPr>
            <w:r>
              <w:rPr>
                <w:rFonts w:ascii="Arial" w:cs="Arial" w:eastAsia="Arial" w:hAnsi="Arial"/>
                <w:sz w:val="18"/>
                <w:szCs w:val="18"/>
                <w:color w:val="auto"/>
              </w:rPr>
              <w:t>Investment</w:t>
            </w:r>
          </w:p>
        </w:tc>
        <w:tc>
          <w:tcPr>
            <w:tcW w:w="1760" w:type="dxa"/>
            <w:vAlign w:val="bottom"/>
          </w:tcPr>
          <w:p>
            <w:pPr>
              <w:jc w:val="right"/>
              <w:ind w:right="30"/>
              <w:spacing w:after="0"/>
              <w:rPr>
                <w:sz w:val="20"/>
                <w:szCs w:val="20"/>
                <w:color w:val="auto"/>
              </w:rPr>
            </w:pPr>
            <w:r>
              <w:rPr>
                <w:rFonts w:ascii="Arial" w:cs="Arial" w:eastAsia="Arial" w:hAnsi="Arial"/>
                <w:sz w:val="18"/>
                <w:szCs w:val="18"/>
                <w:color w:val="auto"/>
              </w:rPr>
              <w:t>10,894,618</w:t>
            </w:r>
          </w:p>
        </w:tc>
      </w:tr>
      <w:tr>
        <w:trPr>
          <w:trHeight w:val="256"/>
        </w:trPr>
        <w:tc>
          <w:tcPr>
            <w:tcW w:w="20" w:type="dxa"/>
            <w:vAlign w:val="bottom"/>
          </w:tcPr>
          <w:p>
            <w:pPr>
              <w:spacing w:after="0"/>
              <w:rPr>
                <w:sz w:val="22"/>
                <w:szCs w:val="22"/>
                <w:color w:val="auto"/>
              </w:rPr>
            </w:pPr>
          </w:p>
        </w:tc>
        <w:tc>
          <w:tcPr>
            <w:tcW w:w="204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4260" w:type="dxa"/>
            <w:vAlign w:val="bottom"/>
          </w:tcPr>
          <w:p>
            <w:pPr>
              <w:spacing w:after="0"/>
              <w:rPr>
                <w:sz w:val="22"/>
                <w:szCs w:val="22"/>
                <w:color w:val="auto"/>
              </w:rPr>
            </w:pPr>
          </w:p>
        </w:tc>
        <w:tc>
          <w:tcPr>
            <w:tcW w:w="1960" w:type="dxa"/>
            <w:vAlign w:val="bottom"/>
          </w:tcPr>
          <w:p>
            <w:pPr>
              <w:ind w:left="700"/>
              <w:spacing w:after="0"/>
              <w:rPr>
                <w:sz w:val="20"/>
                <w:szCs w:val="20"/>
                <w:color w:val="auto"/>
              </w:rPr>
            </w:pPr>
            <w:r>
              <w:rPr>
                <w:rFonts w:ascii="Arial" w:cs="Arial" w:eastAsia="Arial" w:hAnsi="Arial"/>
                <w:sz w:val="18"/>
                <w:szCs w:val="18"/>
                <w:color w:val="auto"/>
              </w:rPr>
              <w:t>Intercompany</w:t>
            </w:r>
          </w:p>
        </w:tc>
        <w:tc>
          <w:tcPr>
            <w:tcW w:w="1760" w:type="dxa"/>
            <w:vAlign w:val="bottom"/>
          </w:tcPr>
          <w:p>
            <w:pPr>
              <w:spacing w:after="0"/>
              <w:rPr>
                <w:sz w:val="22"/>
                <w:szCs w:val="22"/>
                <w:color w:val="auto"/>
              </w:rPr>
            </w:pPr>
          </w:p>
        </w:tc>
      </w:tr>
      <w:tr>
        <w:trPr>
          <w:trHeight w:val="230"/>
        </w:trPr>
        <w:tc>
          <w:tcPr>
            <w:tcW w:w="20" w:type="dxa"/>
            <w:vAlign w:val="bottom"/>
          </w:tcPr>
          <w:p>
            <w:pPr>
              <w:spacing w:after="0"/>
              <w:rPr>
                <w:sz w:val="20"/>
                <w:szCs w:val="20"/>
                <w:color w:val="auto"/>
              </w:rPr>
            </w:pPr>
          </w:p>
        </w:tc>
        <w:tc>
          <w:tcPr>
            <w:tcW w:w="2800" w:type="dxa"/>
            <w:vAlign w:val="bottom"/>
            <w:gridSpan w:val="2"/>
          </w:tcPr>
          <w:p>
            <w:pPr>
              <w:spacing w:after="0"/>
              <w:rPr>
                <w:sz w:val="20"/>
                <w:szCs w:val="20"/>
                <w:color w:val="auto"/>
              </w:rPr>
            </w:pPr>
            <w:r>
              <w:rPr>
                <w:rFonts w:ascii="Arial" w:cs="Arial" w:eastAsia="Arial" w:hAnsi="Arial"/>
                <w:sz w:val="18"/>
                <w:szCs w:val="18"/>
                <w:color w:val="auto"/>
              </w:rPr>
              <w:t>EFT Services Holding B.V.</w:t>
            </w:r>
          </w:p>
        </w:tc>
        <w:tc>
          <w:tcPr>
            <w:tcW w:w="4260" w:type="dxa"/>
            <w:vAlign w:val="bottom"/>
          </w:tcPr>
          <w:p>
            <w:pPr>
              <w:ind w:left="120"/>
              <w:spacing w:after="0"/>
              <w:rPr>
                <w:sz w:val="20"/>
                <w:szCs w:val="20"/>
                <w:color w:val="auto"/>
              </w:rPr>
            </w:pPr>
            <w:r>
              <w:rPr>
                <w:rFonts w:ascii="Arial" w:cs="Arial" w:eastAsia="Arial" w:hAnsi="Arial"/>
                <w:sz w:val="18"/>
                <w:szCs w:val="18"/>
                <w:color w:val="auto"/>
              </w:rPr>
              <w:t>Euronet Asia Holdings Limited</w:t>
            </w:r>
          </w:p>
        </w:tc>
        <w:tc>
          <w:tcPr>
            <w:tcW w:w="1960" w:type="dxa"/>
            <w:vAlign w:val="bottom"/>
          </w:tcPr>
          <w:p>
            <w:pPr>
              <w:ind w:left="700"/>
              <w:spacing w:after="0"/>
              <w:rPr>
                <w:sz w:val="20"/>
                <w:szCs w:val="20"/>
                <w:color w:val="auto"/>
              </w:rPr>
            </w:pPr>
            <w:r>
              <w:rPr>
                <w:rFonts w:ascii="Arial" w:cs="Arial" w:eastAsia="Arial" w:hAnsi="Arial"/>
                <w:sz w:val="18"/>
                <w:szCs w:val="18"/>
                <w:color w:val="auto"/>
              </w:rPr>
              <w:t>Investment</w:t>
            </w:r>
          </w:p>
        </w:tc>
        <w:tc>
          <w:tcPr>
            <w:tcW w:w="1760" w:type="dxa"/>
            <w:vAlign w:val="bottom"/>
          </w:tcPr>
          <w:p>
            <w:pPr>
              <w:jc w:val="right"/>
              <w:ind w:right="30"/>
              <w:spacing w:after="0"/>
              <w:rPr>
                <w:sz w:val="20"/>
                <w:szCs w:val="20"/>
                <w:color w:val="auto"/>
              </w:rPr>
            </w:pPr>
            <w:r>
              <w:rPr>
                <w:rFonts w:ascii="Arial" w:cs="Arial" w:eastAsia="Arial" w:hAnsi="Arial"/>
                <w:sz w:val="18"/>
                <w:szCs w:val="18"/>
                <w:color w:val="auto"/>
              </w:rPr>
              <w:t>5,095,907</w:t>
            </w:r>
          </w:p>
        </w:tc>
      </w:tr>
      <w:tr>
        <w:trPr>
          <w:trHeight w:val="256"/>
        </w:trPr>
        <w:tc>
          <w:tcPr>
            <w:tcW w:w="20" w:type="dxa"/>
            <w:vAlign w:val="bottom"/>
          </w:tcPr>
          <w:p>
            <w:pPr>
              <w:spacing w:after="0"/>
              <w:rPr>
                <w:sz w:val="22"/>
                <w:szCs w:val="22"/>
                <w:color w:val="auto"/>
              </w:rPr>
            </w:pPr>
          </w:p>
        </w:tc>
        <w:tc>
          <w:tcPr>
            <w:tcW w:w="204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4260" w:type="dxa"/>
            <w:vAlign w:val="bottom"/>
          </w:tcPr>
          <w:p>
            <w:pPr>
              <w:spacing w:after="0"/>
              <w:rPr>
                <w:sz w:val="22"/>
                <w:szCs w:val="22"/>
                <w:color w:val="auto"/>
              </w:rPr>
            </w:pPr>
          </w:p>
        </w:tc>
        <w:tc>
          <w:tcPr>
            <w:tcW w:w="1960" w:type="dxa"/>
            <w:vAlign w:val="bottom"/>
          </w:tcPr>
          <w:p>
            <w:pPr>
              <w:ind w:left="700"/>
              <w:spacing w:after="0"/>
              <w:rPr>
                <w:sz w:val="20"/>
                <w:szCs w:val="20"/>
                <w:color w:val="auto"/>
              </w:rPr>
            </w:pPr>
            <w:r>
              <w:rPr>
                <w:rFonts w:ascii="Arial" w:cs="Arial" w:eastAsia="Arial" w:hAnsi="Arial"/>
                <w:sz w:val="18"/>
                <w:szCs w:val="18"/>
                <w:color w:val="auto"/>
              </w:rPr>
              <w:t>Intercompany</w:t>
            </w:r>
          </w:p>
        </w:tc>
        <w:tc>
          <w:tcPr>
            <w:tcW w:w="1760" w:type="dxa"/>
            <w:vAlign w:val="bottom"/>
          </w:tcPr>
          <w:p>
            <w:pPr>
              <w:spacing w:after="0"/>
              <w:rPr>
                <w:sz w:val="22"/>
                <w:szCs w:val="22"/>
                <w:color w:val="auto"/>
              </w:rPr>
            </w:pPr>
          </w:p>
        </w:tc>
      </w:tr>
      <w:tr>
        <w:trPr>
          <w:trHeight w:val="230"/>
        </w:trPr>
        <w:tc>
          <w:tcPr>
            <w:tcW w:w="20" w:type="dxa"/>
            <w:vAlign w:val="bottom"/>
          </w:tcPr>
          <w:p>
            <w:pPr>
              <w:spacing w:after="0"/>
              <w:rPr>
                <w:sz w:val="20"/>
                <w:szCs w:val="20"/>
                <w:color w:val="auto"/>
              </w:rPr>
            </w:pPr>
          </w:p>
        </w:tc>
        <w:tc>
          <w:tcPr>
            <w:tcW w:w="2800" w:type="dxa"/>
            <w:vAlign w:val="bottom"/>
            <w:gridSpan w:val="2"/>
          </w:tcPr>
          <w:p>
            <w:pPr>
              <w:spacing w:after="0"/>
              <w:rPr>
                <w:sz w:val="20"/>
                <w:szCs w:val="20"/>
                <w:color w:val="auto"/>
              </w:rPr>
            </w:pPr>
            <w:r>
              <w:rPr>
                <w:rFonts w:ascii="Arial" w:cs="Arial" w:eastAsia="Arial" w:hAnsi="Arial"/>
                <w:sz w:val="18"/>
                <w:szCs w:val="18"/>
                <w:color w:val="auto"/>
              </w:rPr>
              <w:t>EFT Services Holding B.V.</w:t>
            </w:r>
          </w:p>
        </w:tc>
        <w:tc>
          <w:tcPr>
            <w:tcW w:w="4260" w:type="dxa"/>
            <w:vAlign w:val="bottom"/>
          </w:tcPr>
          <w:p>
            <w:pPr>
              <w:ind w:left="120"/>
              <w:spacing w:after="0"/>
              <w:rPr>
                <w:sz w:val="20"/>
                <w:szCs w:val="20"/>
                <w:color w:val="auto"/>
              </w:rPr>
            </w:pPr>
            <w:r>
              <w:rPr>
                <w:rFonts w:ascii="Arial" w:cs="Arial" w:eastAsia="Arial" w:hAnsi="Arial"/>
                <w:sz w:val="18"/>
                <w:szCs w:val="18"/>
                <w:color w:val="auto"/>
              </w:rPr>
              <w:t>Euronet Banktechnikai Szolgaltato Kft.</w:t>
            </w:r>
          </w:p>
        </w:tc>
        <w:tc>
          <w:tcPr>
            <w:tcW w:w="1960" w:type="dxa"/>
            <w:vAlign w:val="bottom"/>
          </w:tcPr>
          <w:p>
            <w:pPr>
              <w:ind w:left="700"/>
              <w:spacing w:after="0"/>
              <w:rPr>
                <w:sz w:val="20"/>
                <w:szCs w:val="20"/>
                <w:color w:val="auto"/>
              </w:rPr>
            </w:pPr>
            <w:r>
              <w:rPr>
                <w:rFonts w:ascii="Arial" w:cs="Arial" w:eastAsia="Arial" w:hAnsi="Arial"/>
                <w:sz w:val="18"/>
                <w:szCs w:val="18"/>
                <w:color w:val="auto"/>
              </w:rPr>
              <w:t>Investment</w:t>
            </w:r>
          </w:p>
        </w:tc>
        <w:tc>
          <w:tcPr>
            <w:tcW w:w="1760" w:type="dxa"/>
            <w:vAlign w:val="bottom"/>
          </w:tcPr>
          <w:p>
            <w:pPr>
              <w:jc w:val="right"/>
              <w:ind w:right="30"/>
              <w:spacing w:after="0"/>
              <w:rPr>
                <w:sz w:val="20"/>
                <w:szCs w:val="20"/>
                <w:color w:val="auto"/>
              </w:rPr>
            </w:pPr>
            <w:r>
              <w:rPr>
                <w:rFonts w:ascii="Arial" w:cs="Arial" w:eastAsia="Arial" w:hAnsi="Arial"/>
                <w:sz w:val="18"/>
                <w:szCs w:val="18"/>
                <w:color w:val="auto"/>
              </w:rPr>
              <w:t>16,327,100</w:t>
            </w:r>
          </w:p>
        </w:tc>
      </w:tr>
      <w:tr>
        <w:trPr>
          <w:trHeight w:val="256"/>
        </w:trPr>
        <w:tc>
          <w:tcPr>
            <w:tcW w:w="20" w:type="dxa"/>
            <w:vAlign w:val="bottom"/>
          </w:tcPr>
          <w:p>
            <w:pPr>
              <w:spacing w:after="0"/>
              <w:rPr>
                <w:sz w:val="22"/>
                <w:szCs w:val="22"/>
                <w:color w:val="auto"/>
              </w:rPr>
            </w:pPr>
          </w:p>
        </w:tc>
        <w:tc>
          <w:tcPr>
            <w:tcW w:w="204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4260" w:type="dxa"/>
            <w:vAlign w:val="bottom"/>
          </w:tcPr>
          <w:p>
            <w:pPr>
              <w:spacing w:after="0"/>
              <w:rPr>
                <w:sz w:val="22"/>
                <w:szCs w:val="22"/>
                <w:color w:val="auto"/>
              </w:rPr>
            </w:pPr>
          </w:p>
        </w:tc>
        <w:tc>
          <w:tcPr>
            <w:tcW w:w="1960" w:type="dxa"/>
            <w:vAlign w:val="bottom"/>
          </w:tcPr>
          <w:p>
            <w:pPr>
              <w:ind w:left="700"/>
              <w:spacing w:after="0"/>
              <w:rPr>
                <w:sz w:val="20"/>
                <w:szCs w:val="20"/>
                <w:color w:val="auto"/>
              </w:rPr>
            </w:pPr>
            <w:r>
              <w:rPr>
                <w:rFonts w:ascii="Arial" w:cs="Arial" w:eastAsia="Arial" w:hAnsi="Arial"/>
                <w:sz w:val="18"/>
                <w:szCs w:val="18"/>
                <w:color w:val="auto"/>
              </w:rPr>
              <w:t>Intercompany</w:t>
            </w:r>
          </w:p>
        </w:tc>
        <w:tc>
          <w:tcPr>
            <w:tcW w:w="1760" w:type="dxa"/>
            <w:vAlign w:val="bottom"/>
          </w:tcPr>
          <w:p>
            <w:pPr>
              <w:spacing w:after="0"/>
              <w:rPr>
                <w:sz w:val="22"/>
                <w:szCs w:val="22"/>
                <w:color w:val="auto"/>
              </w:rPr>
            </w:pPr>
          </w:p>
        </w:tc>
      </w:tr>
      <w:tr>
        <w:trPr>
          <w:trHeight w:val="230"/>
        </w:trPr>
        <w:tc>
          <w:tcPr>
            <w:tcW w:w="20" w:type="dxa"/>
            <w:vAlign w:val="bottom"/>
          </w:tcPr>
          <w:p>
            <w:pPr>
              <w:spacing w:after="0"/>
              <w:rPr>
                <w:sz w:val="20"/>
                <w:szCs w:val="20"/>
                <w:color w:val="auto"/>
              </w:rPr>
            </w:pPr>
          </w:p>
        </w:tc>
        <w:tc>
          <w:tcPr>
            <w:tcW w:w="2800" w:type="dxa"/>
            <w:vAlign w:val="bottom"/>
            <w:gridSpan w:val="2"/>
          </w:tcPr>
          <w:p>
            <w:pPr>
              <w:spacing w:after="0"/>
              <w:rPr>
                <w:sz w:val="20"/>
                <w:szCs w:val="20"/>
                <w:color w:val="auto"/>
              </w:rPr>
            </w:pPr>
            <w:r>
              <w:rPr>
                <w:rFonts w:ascii="Arial" w:cs="Arial" w:eastAsia="Arial" w:hAnsi="Arial"/>
                <w:sz w:val="18"/>
                <w:szCs w:val="18"/>
                <w:color w:val="auto"/>
              </w:rPr>
              <w:t>EFT Services Holding B.V.</w:t>
            </w:r>
          </w:p>
        </w:tc>
        <w:tc>
          <w:tcPr>
            <w:tcW w:w="4260" w:type="dxa"/>
            <w:vAlign w:val="bottom"/>
          </w:tcPr>
          <w:p>
            <w:pPr>
              <w:ind w:left="120"/>
              <w:spacing w:after="0"/>
              <w:rPr>
                <w:sz w:val="20"/>
                <w:szCs w:val="20"/>
                <w:color w:val="auto"/>
              </w:rPr>
            </w:pPr>
            <w:r>
              <w:rPr>
                <w:rFonts w:ascii="Arial" w:cs="Arial" w:eastAsia="Arial" w:hAnsi="Arial"/>
                <w:sz w:val="18"/>
                <w:szCs w:val="18"/>
                <w:color w:val="auto"/>
              </w:rPr>
              <w:t>Euronet Bulgaria EOOD</w:t>
            </w:r>
          </w:p>
        </w:tc>
        <w:tc>
          <w:tcPr>
            <w:tcW w:w="1960" w:type="dxa"/>
            <w:vAlign w:val="bottom"/>
          </w:tcPr>
          <w:p>
            <w:pPr>
              <w:ind w:left="700"/>
              <w:spacing w:after="0"/>
              <w:rPr>
                <w:sz w:val="20"/>
                <w:szCs w:val="20"/>
                <w:color w:val="auto"/>
              </w:rPr>
            </w:pPr>
            <w:r>
              <w:rPr>
                <w:rFonts w:ascii="Arial" w:cs="Arial" w:eastAsia="Arial" w:hAnsi="Arial"/>
                <w:sz w:val="18"/>
                <w:szCs w:val="18"/>
                <w:color w:val="auto"/>
              </w:rPr>
              <w:t>Investment</w:t>
            </w:r>
          </w:p>
        </w:tc>
        <w:tc>
          <w:tcPr>
            <w:tcW w:w="1760" w:type="dxa"/>
            <w:vAlign w:val="bottom"/>
          </w:tcPr>
          <w:p>
            <w:pPr>
              <w:jc w:val="right"/>
              <w:ind w:right="30"/>
              <w:spacing w:after="0"/>
              <w:rPr>
                <w:sz w:val="20"/>
                <w:szCs w:val="20"/>
                <w:color w:val="auto"/>
              </w:rPr>
            </w:pPr>
            <w:r>
              <w:rPr>
                <w:rFonts w:ascii="Arial" w:cs="Arial" w:eastAsia="Arial" w:hAnsi="Arial"/>
                <w:sz w:val="18"/>
                <w:szCs w:val="18"/>
                <w:color w:val="auto"/>
              </w:rPr>
              <w:t>5,755,785</w:t>
            </w:r>
          </w:p>
        </w:tc>
      </w:tr>
    </w:tbl>
    <w:p>
      <w:pPr>
        <w:sectPr>
          <w:pgSz w:w="11900" w:h="16838" w:orient="portrait"/>
          <w:cols w:equalWidth="0" w:num="1">
            <w:col w:w="10800"/>
          </w:cols>
          <w:pgMar w:left="560" w:top="518" w:right="539" w:bottom="1440" w:gutter="0" w:footer="0" w:header="0"/>
        </w:sectPr>
      </w:pPr>
    </w:p>
    <w:bookmarkStart w:id="280" w:name="page281"/>
    <w:bookmarkEnd w:id="280"/>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460" w:type="dxa"/>
            <w:vAlign w:val="bottom"/>
          </w:tcPr>
          <w:p>
            <w:pPr>
              <w:spacing w:after="0"/>
              <w:rPr>
                <w:sz w:val="18"/>
                <w:szCs w:val="18"/>
                <w:color w:val="auto"/>
              </w:rPr>
            </w:pPr>
          </w:p>
        </w:tc>
        <w:tc>
          <w:tcPr>
            <w:tcW w:w="4780" w:type="dxa"/>
            <w:vAlign w:val="bottom"/>
          </w:tcPr>
          <w:p>
            <w:pPr>
              <w:spacing w:after="0"/>
              <w:rPr>
                <w:sz w:val="18"/>
                <w:szCs w:val="18"/>
                <w:color w:val="auto"/>
              </w:rPr>
            </w:pPr>
          </w:p>
        </w:tc>
        <w:tc>
          <w:tcPr>
            <w:tcW w:w="2080" w:type="dxa"/>
            <w:vAlign w:val="bottom"/>
          </w:tcPr>
          <w:p>
            <w:pPr>
              <w:ind w:left="520"/>
              <w:spacing w:after="0"/>
              <w:rPr>
                <w:sz w:val="20"/>
                <w:szCs w:val="20"/>
                <w:color w:val="auto"/>
              </w:rPr>
            </w:pPr>
            <w:r>
              <w:rPr>
                <w:rFonts w:ascii="Arial" w:cs="Arial" w:eastAsia="Arial" w:hAnsi="Arial"/>
                <w:sz w:val="18"/>
                <w:szCs w:val="18"/>
                <w:color w:val="auto"/>
              </w:rPr>
              <w:t>Intercompany</w:t>
            </w:r>
          </w:p>
        </w:tc>
        <w:tc>
          <w:tcPr>
            <w:tcW w:w="1340" w:type="dxa"/>
            <w:vAlign w:val="bottom"/>
          </w:tcPr>
          <w:p>
            <w:pPr>
              <w:spacing w:after="0"/>
              <w:rPr>
                <w:sz w:val="18"/>
                <w:szCs w:val="18"/>
                <w:color w:val="auto"/>
              </w:rPr>
            </w:pPr>
          </w:p>
        </w:tc>
      </w:tr>
      <w:tr>
        <w:trPr>
          <w:trHeight w:val="230"/>
        </w:trPr>
        <w:tc>
          <w:tcPr>
            <w:tcW w:w="2460" w:type="dxa"/>
            <w:vAlign w:val="bottom"/>
          </w:tcPr>
          <w:p>
            <w:pPr>
              <w:spacing w:after="0"/>
              <w:rPr>
                <w:sz w:val="20"/>
                <w:szCs w:val="20"/>
                <w:color w:val="auto"/>
              </w:rPr>
            </w:pPr>
            <w:r>
              <w:rPr>
                <w:rFonts w:ascii="Arial" w:cs="Arial" w:eastAsia="Arial" w:hAnsi="Arial"/>
                <w:sz w:val="18"/>
                <w:szCs w:val="18"/>
                <w:color w:val="auto"/>
              </w:rPr>
              <w:t>EFT Services Holding B.V.</w:t>
            </w:r>
          </w:p>
        </w:tc>
        <w:tc>
          <w:tcPr>
            <w:tcW w:w="4780" w:type="dxa"/>
            <w:vAlign w:val="bottom"/>
          </w:tcPr>
          <w:p>
            <w:pPr>
              <w:ind w:left="460"/>
              <w:spacing w:after="0"/>
              <w:rPr>
                <w:sz w:val="20"/>
                <w:szCs w:val="20"/>
                <w:color w:val="auto"/>
              </w:rPr>
            </w:pPr>
            <w:r>
              <w:rPr>
                <w:rFonts w:ascii="Arial" w:cs="Arial" w:eastAsia="Arial" w:hAnsi="Arial"/>
                <w:sz w:val="18"/>
                <w:szCs w:val="18"/>
                <w:color w:val="auto"/>
              </w:rPr>
              <w:t>Euronet Business Holdings, S.L.U.</w:t>
            </w:r>
          </w:p>
        </w:tc>
        <w:tc>
          <w:tcPr>
            <w:tcW w:w="2080" w:type="dxa"/>
            <w:vAlign w:val="bottom"/>
          </w:tcPr>
          <w:p>
            <w:pPr>
              <w:ind w:left="520"/>
              <w:spacing w:after="0"/>
              <w:rPr>
                <w:sz w:val="20"/>
                <w:szCs w:val="20"/>
                <w:color w:val="auto"/>
              </w:rPr>
            </w:pPr>
            <w:r>
              <w:rPr>
                <w:rFonts w:ascii="Arial" w:cs="Arial" w:eastAsia="Arial" w:hAnsi="Arial"/>
                <w:sz w:val="18"/>
                <w:szCs w:val="18"/>
                <w:color w:val="auto"/>
              </w:rPr>
              <w:t>Investment</w:t>
            </w:r>
          </w:p>
        </w:tc>
        <w:tc>
          <w:tcPr>
            <w:tcW w:w="1340" w:type="dxa"/>
            <w:vAlign w:val="bottom"/>
          </w:tcPr>
          <w:p>
            <w:pPr>
              <w:jc w:val="right"/>
              <w:spacing w:after="0"/>
              <w:rPr>
                <w:sz w:val="20"/>
                <w:szCs w:val="20"/>
                <w:color w:val="auto"/>
              </w:rPr>
            </w:pPr>
            <w:r>
              <w:rPr>
                <w:rFonts w:ascii="Arial" w:cs="Arial" w:eastAsia="Arial" w:hAnsi="Arial"/>
                <w:sz w:val="18"/>
                <w:szCs w:val="18"/>
                <w:color w:val="auto"/>
              </w:rPr>
              <w:t>81,799,023</w:t>
            </w:r>
          </w:p>
        </w:tc>
      </w:tr>
      <w:tr>
        <w:trPr>
          <w:trHeight w:val="256"/>
        </w:trPr>
        <w:tc>
          <w:tcPr>
            <w:tcW w:w="2460" w:type="dxa"/>
            <w:vAlign w:val="bottom"/>
          </w:tcPr>
          <w:p>
            <w:pPr>
              <w:spacing w:after="0"/>
              <w:rPr>
                <w:sz w:val="22"/>
                <w:szCs w:val="22"/>
                <w:color w:val="auto"/>
              </w:rPr>
            </w:pPr>
          </w:p>
        </w:tc>
        <w:tc>
          <w:tcPr>
            <w:tcW w:w="4780" w:type="dxa"/>
            <w:vAlign w:val="bottom"/>
          </w:tcPr>
          <w:p>
            <w:pPr>
              <w:spacing w:after="0"/>
              <w:rPr>
                <w:sz w:val="22"/>
                <w:szCs w:val="22"/>
                <w:color w:val="auto"/>
              </w:rPr>
            </w:pPr>
          </w:p>
        </w:tc>
        <w:tc>
          <w:tcPr>
            <w:tcW w:w="2080" w:type="dxa"/>
            <w:vAlign w:val="bottom"/>
          </w:tcPr>
          <w:p>
            <w:pPr>
              <w:ind w:left="520"/>
              <w:spacing w:after="0"/>
              <w:rPr>
                <w:sz w:val="20"/>
                <w:szCs w:val="20"/>
                <w:color w:val="auto"/>
              </w:rPr>
            </w:pPr>
            <w:r>
              <w:rPr>
                <w:rFonts w:ascii="Arial" w:cs="Arial" w:eastAsia="Arial" w:hAnsi="Arial"/>
                <w:sz w:val="18"/>
                <w:szCs w:val="18"/>
                <w:color w:val="auto"/>
              </w:rPr>
              <w:t>Intercompany</w:t>
            </w:r>
          </w:p>
        </w:tc>
        <w:tc>
          <w:tcPr>
            <w:tcW w:w="1340" w:type="dxa"/>
            <w:vAlign w:val="bottom"/>
          </w:tcPr>
          <w:p>
            <w:pPr>
              <w:spacing w:after="0"/>
              <w:rPr>
                <w:sz w:val="22"/>
                <w:szCs w:val="22"/>
                <w:color w:val="auto"/>
              </w:rPr>
            </w:pPr>
          </w:p>
        </w:tc>
      </w:tr>
      <w:tr>
        <w:trPr>
          <w:trHeight w:val="230"/>
        </w:trPr>
        <w:tc>
          <w:tcPr>
            <w:tcW w:w="2460" w:type="dxa"/>
            <w:vAlign w:val="bottom"/>
          </w:tcPr>
          <w:p>
            <w:pPr>
              <w:spacing w:after="0"/>
              <w:rPr>
                <w:sz w:val="20"/>
                <w:szCs w:val="20"/>
                <w:color w:val="auto"/>
              </w:rPr>
            </w:pPr>
            <w:r>
              <w:rPr>
                <w:rFonts w:ascii="Arial" w:cs="Arial" w:eastAsia="Arial" w:hAnsi="Arial"/>
                <w:sz w:val="18"/>
                <w:szCs w:val="18"/>
                <w:color w:val="auto"/>
              </w:rPr>
              <w:t>EFT Services Holding B.V.</w:t>
            </w:r>
          </w:p>
        </w:tc>
        <w:tc>
          <w:tcPr>
            <w:tcW w:w="4780" w:type="dxa"/>
            <w:vAlign w:val="bottom"/>
          </w:tcPr>
          <w:p>
            <w:pPr>
              <w:ind w:left="460"/>
              <w:spacing w:after="0"/>
              <w:rPr>
                <w:sz w:val="20"/>
                <w:szCs w:val="20"/>
                <w:color w:val="auto"/>
              </w:rPr>
            </w:pPr>
            <w:r>
              <w:rPr>
                <w:rFonts w:ascii="Arial" w:cs="Arial" w:eastAsia="Arial" w:hAnsi="Arial"/>
                <w:sz w:val="18"/>
                <w:szCs w:val="18"/>
                <w:color w:val="auto"/>
              </w:rPr>
              <w:t>Euronet Card Services S.A.</w:t>
            </w:r>
          </w:p>
        </w:tc>
        <w:tc>
          <w:tcPr>
            <w:tcW w:w="2080" w:type="dxa"/>
            <w:vAlign w:val="bottom"/>
          </w:tcPr>
          <w:p>
            <w:pPr>
              <w:ind w:left="520"/>
              <w:spacing w:after="0"/>
              <w:rPr>
                <w:sz w:val="20"/>
                <w:szCs w:val="20"/>
                <w:color w:val="auto"/>
              </w:rPr>
            </w:pPr>
            <w:r>
              <w:rPr>
                <w:rFonts w:ascii="Arial" w:cs="Arial" w:eastAsia="Arial" w:hAnsi="Arial"/>
                <w:sz w:val="18"/>
                <w:szCs w:val="18"/>
                <w:color w:val="auto"/>
              </w:rPr>
              <w:t>Investment</w:t>
            </w:r>
          </w:p>
        </w:tc>
        <w:tc>
          <w:tcPr>
            <w:tcW w:w="1340" w:type="dxa"/>
            <w:vAlign w:val="bottom"/>
          </w:tcPr>
          <w:p>
            <w:pPr>
              <w:jc w:val="right"/>
              <w:spacing w:after="0"/>
              <w:rPr>
                <w:sz w:val="20"/>
                <w:szCs w:val="20"/>
                <w:color w:val="auto"/>
              </w:rPr>
            </w:pPr>
            <w:r>
              <w:rPr>
                <w:rFonts w:ascii="Arial" w:cs="Arial" w:eastAsia="Arial" w:hAnsi="Arial"/>
                <w:sz w:val="18"/>
                <w:szCs w:val="18"/>
                <w:color w:val="auto"/>
              </w:rPr>
              <w:t>881,864</w:t>
            </w:r>
          </w:p>
        </w:tc>
      </w:tr>
      <w:tr>
        <w:trPr>
          <w:trHeight w:val="256"/>
        </w:trPr>
        <w:tc>
          <w:tcPr>
            <w:tcW w:w="2460" w:type="dxa"/>
            <w:vAlign w:val="bottom"/>
          </w:tcPr>
          <w:p>
            <w:pPr>
              <w:spacing w:after="0"/>
              <w:rPr>
                <w:sz w:val="22"/>
                <w:szCs w:val="22"/>
                <w:color w:val="auto"/>
              </w:rPr>
            </w:pPr>
          </w:p>
        </w:tc>
        <w:tc>
          <w:tcPr>
            <w:tcW w:w="4780" w:type="dxa"/>
            <w:vAlign w:val="bottom"/>
          </w:tcPr>
          <w:p>
            <w:pPr>
              <w:spacing w:after="0"/>
              <w:rPr>
                <w:sz w:val="22"/>
                <w:szCs w:val="22"/>
                <w:color w:val="auto"/>
              </w:rPr>
            </w:pPr>
          </w:p>
        </w:tc>
        <w:tc>
          <w:tcPr>
            <w:tcW w:w="2080" w:type="dxa"/>
            <w:vAlign w:val="bottom"/>
          </w:tcPr>
          <w:p>
            <w:pPr>
              <w:ind w:left="520"/>
              <w:spacing w:after="0"/>
              <w:rPr>
                <w:sz w:val="20"/>
                <w:szCs w:val="20"/>
                <w:color w:val="auto"/>
              </w:rPr>
            </w:pPr>
            <w:r>
              <w:rPr>
                <w:rFonts w:ascii="Arial" w:cs="Arial" w:eastAsia="Arial" w:hAnsi="Arial"/>
                <w:sz w:val="18"/>
                <w:szCs w:val="18"/>
                <w:color w:val="auto"/>
              </w:rPr>
              <w:t>Intercompany</w:t>
            </w:r>
          </w:p>
        </w:tc>
        <w:tc>
          <w:tcPr>
            <w:tcW w:w="1340" w:type="dxa"/>
            <w:vAlign w:val="bottom"/>
          </w:tcPr>
          <w:p>
            <w:pPr>
              <w:spacing w:after="0"/>
              <w:rPr>
                <w:sz w:val="22"/>
                <w:szCs w:val="22"/>
                <w:color w:val="auto"/>
              </w:rPr>
            </w:pPr>
          </w:p>
        </w:tc>
      </w:tr>
      <w:tr>
        <w:trPr>
          <w:trHeight w:val="230"/>
        </w:trPr>
        <w:tc>
          <w:tcPr>
            <w:tcW w:w="2460" w:type="dxa"/>
            <w:vAlign w:val="bottom"/>
          </w:tcPr>
          <w:p>
            <w:pPr>
              <w:spacing w:after="0"/>
              <w:rPr>
                <w:sz w:val="20"/>
                <w:szCs w:val="20"/>
                <w:color w:val="auto"/>
              </w:rPr>
            </w:pPr>
            <w:r>
              <w:rPr>
                <w:rFonts w:ascii="Arial" w:cs="Arial" w:eastAsia="Arial" w:hAnsi="Arial"/>
                <w:sz w:val="18"/>
                <w:szCs w:val="18"/>
                <w:color w:val="auto"/>
              </w:rPr>
              <w:t>EFT Services Holding B.V.</w:t>
            </w:r>
          </w:p>
        </w:tc>
        <w:tc>
          <w:tcPr>
            <w:tcW w:w="4780" w:type="dxa"/>
            <w:vAlign w:val="bottom"/>
          </w:tcPr>
          <w:p>
            <w:pPr>
              <w:ind w:left="460"/>
              <w:spacing w:after="0"/>
              <w:rPr>
                <w:sz w:val="20"/>
                <w:szCs w:val="20"/>
                <w:color w:val="auto"/>
              </w:rPr>
            </w:pPr>
            <w:r>
              <w:rPr>
                <w:rFonts w:ascii="Arial" w:cs="Arial" w:eastAsia="Arial" w:hAnsi="Arial"/>
                <w:sz w:val="18"/>
                <w:szCs w:val="18"/>
                <w:color w:val="auto"/>
              </w:rPr>
              <w:t>Euronet Elektronik İşlem Hizmetleri Limited Şirketi</w:t>
            </w:r>
          </w:p>
        </w:tc>
        <w:tc>
          <w:tcPr>
            <w:tcW w:w="2080" w:type="dxa"/>
            <w:vAlign w:val="bottom"/>
          </w:tcPr>
          <w:p>
            <w:pPr>
              <w:ind w:left="520"/>
              <w:spacing w:after="0"/>
              <w:rPr>
                <w:sz w:val="20"/>
                <w:szCs w:val="20"/>
                <w:color w:val="auto"/>
              </w:rPr>
            </w:pPr>
            <w:r>
              <w:rPr>
                <w:rFonts w:ascii="Arial" w:cs="Arial" w:eastAsia="Arial" w:hAnsi="Arial"/>
                <w:sz w:val="18"/>
                <w:szCs w:val="18"/>
                <w:color w:val="auto"/>
              </w:rPr>
              <w:t>Investment</w:t>
            </w:r>
          </w:p>
        </w:tc>
        <w:tc>
          <w:tcPr>
            <w:tcW w:w="1340" w:type="dxa"/>
            <w:vAlign w:val="bottom"/>
          </w:tcPr>
          <w:p>
            <w:pPr>
              <w:jc w:val="right"/>
              <w:spacing w:after="0"/>
              <w:rPr>
                <w:sz w:val="20"/>
                <w:szCs w:val="20"/>
                <w:color w:val="auto"/>
              </w:rPr>
            </w:pPr>
            <w:r>
              <w:rPr>
                <w:rFonts w:ascii="Arial" w:cs="Arial" w:eastAsia="Arial" w:hAnsi="Arial"/>
                <w:sz w:val="18"/>
                <w:szCs w:val="18"/>
                <w:color w:val="auto"/>
              </w:rPr>
              <w:t>320,071</w:t>
            </w:r>
          </w:p>
        </w:tc>
      </w:tr>
      <w:tr>
        <w:trPr>
          <w:trHeight w:val="256"/>
        </w:trPr>
        <w:tc>
          <w:tcPr>
            <w:tcW w:w="2460" w:type="dxa"/>
            <w:vAlign w:val="bottom"/>
          </w:tcPr>
          <w:p>
            <w:pPr>
              <w:spacing w:after="0"/>
              <w:rPr>
                <w:sz w:val="22"/>
                <w:szCs w:val="22"/>
                <w:color w:val="auto"/>
              </w:rPr>
            </w:pPr>
          </w:p>
        </w:tc>
        <w:tc>
          <w:tcPr>
            <w:tcW w:w="4780" w:type="dxa"/>
            <w:vAlign w:val="bottom"/>
          </w:tcPr>
          <w:p>
            <w:pPr>
              <w:spacing w:after="0"/>
              <w:rPr>
                <w:sz w:val="22"/>
                <w:szCs w:val="22"/>
                <w:color w:val="auto"/>
              </w:rPr>
            </w:pPr>
          </w:p>
        </w:tc>
        <w:tc>
          <w:tcPr>
            <w:tcW w:w="2080" w:type="dxa"/>
            <w:vAlign w:val="bottom"/>
          </w:tcPr>
          <w:p>
            <w:pPr>
              <w:ind w:left="520"/>
              <w:spacing w:after="0"/>
              <w:rPr>
                <w:sz w:val="20"/>
                <w:szCs w:val="20"/>
                <w:color w:val="auto"/>
              </w:rPr>
            </w:pPr>
            <w:r>
              <w:rPr>
                <w:rFonts w:ascii="Arial" w:cs="Arial" w:eastAsia="Arial" w:hAnsi="Arial"/>
                <w:sz w:val="18"/>
                <w:szCs w:val="18"/>
                <w:color w:val="auto"/>
              </w:rPr>
              <w:t>Intercompany</w:t>
            </w:r>
          </w:p>
        </w:tc>
        <w:tc>
          <w:tcPr>
            <w:tcW w:w="1340" w:type="dxa"/>
            <w:vAlign w:val="bottom"/>
          </w:tcPr>
          <w:p>
            <w:pPr>
              <w:spacing w:after="0"/>
              <w:rPr>
                <w:sz w:val="22"/>
                <w:szCs w:val="22"/>
                <w:color w:val="auto"/>
              </w:rPr>
            </w:pPr>
          </w:p>
        </w:tc>
      </w:tr>
      <w:tr>
        <w:trPr>
          <w:trHeight w:val="230"/>
        </w:trPr>
        <w:tc>
          <w:tcPr>
            <w:tcW w:w="2460" w:type="dxa"/>
            <w:vAlign w:val="bottom"/>
          </w:tcPr>
          <w:p>
            <w:pPr>
              <w:spacing w:after="0"/>
              <w:rPr>
                <w:sz w:val="20"/>
                <w:szCs w:val="20"/>
                <w:color w:val="auto"/>
              </w:rPr>
            </w:pPr>
            <w:r>
              <w:rPr>
                <w:rFonts w:ascii="Arial" w:cs="Arial" w:eastAsia="Arial" w:hAnsi="Arial"/>
                <w:sz w:val="18"/>
                <w:szCs w:val="18"/>
                <w:color w:val="auto"/>
              </w:rPr>
              <w:t>EFT Services Holding B.V.</w:t>
            </w:r>
          </w:p>
        </w:tc>
        <w:tc>
          <w:tcPr>
            <w:tcW w:w="4780" w:type="dxa"/>
            <w:vAlign w:val="bottom"/>
          </w:tcPr>
          <w:p>
            <w:pPr>
              <w:ind w:left="460"/>
              <w:spacing w:after="0"/>
              <w:rPr>
                <w:sz w:val="20"/>
                <w:szCs w:val="20"/>
                <w:color w:val="auto"/>
              </w:rPr>
            </w:pPr>
            <w:r>
              <w:rPr>
                <w:rFonts w:ascii="Arial" w:cs="Arial" w:eastAsia="Arial" w:hAnsi="Arial"/>
                <w:sz w:val="18"/>
                <w:szCs w:val="18"/>
                <w:color w:val="auto"/>
              </w:rPr>
              <w:t>Euronet Middle East, Africa &amp; Pakistan LLC</w:t>
            </w:r>
          </w:p>
        </w:tc>
        <w:tc>
          <w:tcPr>
            <w:tcW w:w="2080" w:type="dxa"/>
            <w:vAlign w:val="bottom"/>
          </w:tcPr>
          <w:p>
            <w:pPr>
              <w:ind w:left="520"/>
              <w:spacing w:after="0"/>
              <w:rPr>
                <w:sz w:val="20"/>
                <w:szCs w:val="20"/>
                <w:color w:val="auto"/>
              </w:rPr>
            </w:pPr>
            <w:r>
              <w:rPr>
                <w:rFonts w:ascii="Arial" w:cs="Arial" w:eastAsia="Arial" w:hAnsi="Arial"/>
                <w:sz w:val="18"/>
                <w:szCs w:val="18"/>
                <w:color w:val="auto"/>
              </w:rPr>
              <w:t>Investment</w:t>
            </w:r>
          </w:p>
        </w:tc>
        <w:tc>
          <w:tcPr>
            <w:tcW w:w="1340" w:type="dxa"/>
            <w:vAlign w:val="bottom"/>
          </w:tcPr>
          <w:p>
            <w:pPr>
              <w:jc w:val="right"/>
              <w:spacing w:after="0"/>
              <w:rPr>
                <w:sz w:val="20"/>
                <w:szCs w:val="20"/>
                <w:color w:val="auto"/>
              </w:rPr>
            </w:pPr>
            <w:r>
              <w:rPr>
                <w:rFonts w:ascii="Arial" w:cs="Arial" w:eastAsia="Arial" w:hAnsi="Arial"/>
                <w:sz w:val="18"/>
                <w:szCs w:val="18"/>
                <w:color w:val="auto"/>
              </w:rPr>
              <w:t>3,746</w:t>
            </w:r>
          </w:p>
        </w:tc>
      </w:tr>
      <w:tr>
        <w:trPr>
          <w:trHeight w:val="256"/>
        </w:trPr>
        <w:tc>
          <w:tcPr>
            <w:tcW w:w="2460" w:type="dxa"/>
            <w:vAlign w:val="bottom"/>
          </w:tcPr>
          <w:p>
            <w:pPr>
              <w:spacing w:after="0"/>
              <w:rPr>
                <w:sz w:val="22"/>
                <w:szCs w:val="22"/>
                <w:color w:val="auto"/>
              </w:rPr>
            </w:pPr>
          </w:p>
        </w:tc>
        <w:tc>
          <w:tcPr>
            <w:tcW w:w="4780" w:type="dxa"/>
            <w:vAlign w:val="bottom"/>
          </w:tcPr>
          <w:p>
            <w:pPr>
              <w:spacing w:after="0"/>
              <w:rPr>
                <w:sz w:val="22"/>
                <w:szCs w:val="22"/>
                <w:color w:val="auto"/>
              </w:rPr>
            </w:pPr>
          </w:p>
        </w:tc>
        <w:tc>
          <w:tcPr>
            <w:tcW w:w="2080" w:type="dxa"/>
            <w:vAlign w:val="bottom"/>
          </w:tcPr>
          <w:p>
            <w:pPr>
              <w:ind w:left="520"/>
              <w:spacing w:after="0"/>
              <w:rPr>
                <w:sz w:val="20"/>
                <w:szCs w:val="20"/>
                <w:color w:val="auto"/>
              </w:rPr>
            </w:pPr>
            <w:r>
              <w:rPr>
                <w:rFonts w:ascii="Arial" w:cs="Arial" w:eastAsia="Arial" w:hAnsi="Arial"/>
                <w:sz w:val="18"/>
                <w:szCs w:val="18"/>
                <w:color w:val="auto"/>
              </w:rPr>
              <w:t>Intercompany</w:t>
            </w:r>
          </w:p>
        </w:tc>
        <w:tc>
          <w:tcPr>
            <w:tcW w:w="1340" w:type="dxa"/>
            <w:vAlign w:val="bottom"/>
          </w:tcPr>
          <w:p>
            <w:pPr>
              <w:spacing w:after="0"/>
              <w:rPr>
                <w:sz w:val="22"/>
                <w:szCs w:val="22"/>
                <w:color w:val="auto"/>
              </w:rPr>
            </w:pPr>
          </w:p>
        </w:tc>
      </w:tr>
      <w:tr>
        <w:trPr>
          <w:trHeight w:val="230"/>
        </w:trPr>
        <w:tc>
          <w:tcPr>
            <w:tcW w:w="2460" w:type="dxa"/>
            <w:vAlign w:val="bottom"/>
          </w:tcPr>
          <w:p>
            <w:pPr>
              <w:spacing w:after="0"/>
              <w:rPr>
                <w:sz w:val="20"/>
                <w:szCs w:val="20"/>
                <w:color w:val="auto"/>
              </w:rPr>
            </w:pPr>
            <w:r>
              <w:rPr>
                <w:rFonts w:ascii="Arial" w:cs="Arial" w:eastAsia="Arial" w:hAnsi="Arial"/>
                <w:sz w:val="18"/>
                <w:szCs w:val="18"/>
                <w:color w:val="auto"/>
              </w:rPr>
              <w:t>EFT Services Holding B.V.</w:t>
            </w:r>
          </w:p>
        </w:tc>
        <w:tc>
          <w:tcPr>
            <w:tcW w:w="4780" w:type="dxa"/>
            <w:vAlign w:val="bottom"/>
          </w:tcPr>
          <w:p>
            <w:pPr>
              <w:ind w:left="460"/>
              <w:spacing w:after="0"/>
              <w:rPr>
                <w:sz w:val="20"/>
                <w:szCs w:val="20"/>
                <w:color w:val="auto"/>
              </w:rPr>
            </w:pPr>
            <w:r>
              <w:rPr>
                <w:rFonts w:ascii="Arial" w:cs="Arial" w:eastAsia="Arial" w:hAnsi="Arial"/>
                <w:sz w:val="18"/>
                <w:szCs w:val="18"/>
                <w:color w:val="auto"/>
              </w:rPr>
              <w:t>Euronet Middle East W.L.L.</w:t>
            </w:r>
          </w:p>
        </w:tc>
        <w:tc>
          <w:tcPr>
            <w:tcW w:w="2080" w:type="dxa"/>
            <w:vAlign w:val="bottom"/>
          </w:tcPr>
          <w:p>
            <w:pPr>
              <w:ind w:left="520"/>
              <w:spacing w:after="0"/>
              <w:rPr>
                <w:sz w:val="20"/>
                <w:szCs w:val="20"/>
                <w:color w:val="auto"/>
              </w:rPr>
            </w:pPr>
            <w:r>
              <w:rPr>
                <w:rFonts w:ascii="Arial" w:cs="Arial" w:eastAsia="Arial" w:hAnsi="Arial"/>
                <w:sz w:val="18"/>
                <w:szCs w:val="18"/>
                <w:color w:val="auto"/>
              </w:rPr>
              <w:t>Investment</w:t>
            </w:r>
          </w:p>
        </w:tc>
        <w:tc>
          <w:tcPr>
            <w:tcW w:w="1340" w:type="dxa"/>
            <w:vAlign w:val="bottom"/>
          </w:tcPr>
          <w:p>
            <w:pPr>
              <w:jc w:val="right"/>
              <w:spacing w:after="0"/>
              <w:rPr>
                <w:sz w:val="20"/>
                <w:szCs w:val="20"/>
                <w:color w:val="auto"/>
              </w:rPr>
            </w:pPr>
            <w:r>
              <w:rPr>
                <w:rFonts w:ascii="Arial" w:cs="Arial" w:eastAsia="Arial" w:hAnsi="Arial"/>
                <w:sz w:val="18"/>
                <w:szCs w:val="18"/>
                <w:color w:val="auto"/>
              </w:rPr>
              <w:t>12,500,000</w:t>
            </w:r>
          </w:p>
        </w:tc>
      </w:tr>
      <w:tr>
        <w:trPr>
          <w:trHeight w:val="256"/>
        </w:trPr>
        <w:tc>
          <w:tcPr>
            <w:tcW w:w="2460" w:type="dxa"/>
            <w:vAlign w:val="bottom"/>
          </w:tcPr>
          <w:p>
            <w:pPr>
              <w:spacing w:after="0"/>
              <w:rPr>
                <w:sz w:val="22"/>
                <w:szCs w:val="22"/>
                <w:color w:val="auto"/>
              </w:rPr>
            </w:pPr>
          </w:p>
        </w:tc>
        <w:tc>
          <w:tcPr>
            <w:tcW w:w="4780" w:type="dxa"/>
            <w:vAlign w:val="bottom"/>
          </w:tcPr>
          <w:p>
            <w:pPr>
              <w:spacing w:after="0"/>
              <w:rPr>
                <w:sz w:val="22"/>
                <w:szCs w:val="22"/>
                <w:color w:val="auto"/>
              </w:rPr>
            </w:pPr>
          </w:p>
        </w:tc>
        <w:tc>
          <w:tcPr>
            <w:tcW w:w="2080" w:type="dxa"/>
            <w:vAlign w:val="bottom"/>
          </w:tcPr>
          <w:p>
            <w:pPr>
              <w:ind w:left="520"/>
              <w:spacing w:after="0"/>
              <w:rPr>
                <w:sz w:val="20"/>
                <w:szCs w:val="20"/>
                <w:color w:val="auto"/>
              </w:rPr>
            </w:pPr>
            <w:r>
              <w:rPr>
                <w:rFonts w:ascii="Arial" w:cs="Arial" w:eastAsia="Arial" w:hAnsi="Arial"/>
                <w:sz w:val="18"/>
                <w:szCs w:val="18"/>
                <w:color w:val="auto"/>
              </w:rPr>
              <w:t>Intercompany</w:t>
            </w:r>
          </w:p>
        </w:tc>
        <w:tc>
          <w:tcPr>
            <w:tcW w:w="1340" w:type="dxa"/>
            <w:vAlign w:val="bottom"/>
          </w:tcPr>
          <w:p>
            <w:pPr>
              <w:spacing w:after="0"/>
              <w:rPr>
                <w:sz w:val="22"/>
                <w:szCs w:val="22"/>
                <w:color w:val="auto"/>
              </w:rPr>
            </w:pPr>
          </w:p>
        </w:tc>
      </w:tr>
      <w:tr>
        <w:trPr>
          <w:trHeight w:val="230"/>
        </w:trPr>
        <w:tc>
          <w:tcPr>
            <w:tcW w:w="2460" w:type="dxa"/>
            <w:vAlign w:val="bottom"/>
          </w:tcPr>
          <w:p>
            <w:pPr>
              <w:spacing w:after="0"/>
              <w:rPr>
                <w:sz w:val="20"/>
                <w:szCs w:val="20"/>
                <w:color w:val="auto"/>
              </w:rPr>
            </w:pPr>
            <w:r>
              <w:rPr>
                <w:rFonts w:ascii="Arial" w:cs="Arial" w:eastAsia="Arial" w:hAnsi="Arial"/>
                <w:sz w:val="18"/>
                <w:szCs w:val="18"/>
                <w:color w:val="auto"/>
              </w:rPr>
              <w:t>EFT Services Holding B.V.</w:t>
            </w:r>
          </w:p>
        </w:tc>
        <w:tc>
          <w:tcPr>
            <w:tcW w:w="4780" w:type="dxa"/>
            <w:vAlign w:val="bottom"/>
          </w:tcPr>
          <w:p>
            <w:pPr>
              <w:ind w:left="460"/>
              <w:spacing w:after="0"/>
              <w:rPr>
                <w:sz w:val="20"/>
                <w:szCs w:val="20"/>
                <w:color w:val="auto"/>
              </w:rPr>
            </w:pPr>
            <w:r>
              <w:rPr>
                <w:rFonts w:ascii="Arial" w:cs="Arial" w:eastAsia="Arial" w:hAnsi="Arial"/>
                <w:sz w:val="18"/>
                <w:szCs w:val="18"/>
                <w:color w:val="auto"/>
              </w:rPr>
              <w:t>Euronet Pay &amp; Transaction Services S.R.L.</w:t>
            </w:r>
          </w:p>
        </w:tc>
        <w:tc>
          <w:tcPr>
            <w:tcW w:w="2080" w:type="dxa"/>
            <w:vAlign w:val="bottom"/>
          </w:tcPr>
          <w:p>
            <w:pPr>
              <w:ind w:left="520"/>
              <w:spacing w:after="0"/>
              <w:rPr>
                <w:sz w:val="20"/>
                <w:szCs w:val="20"/>
                <w:color w:val="auto"/>
              </w:rPr>
            </w:pPr>
            <w:r>
              <w:rPr>
                <w:rFonts w:ascii="Arial" w:cs="Arial" w:eastAsia="Arial" w:hAnsi="Arial"/>
                <w:sz w:val="18"/>
                <w:szCs w:val="18"/>
                <w:color w:val="auto"/>
              </w:rPr>
              <w:t>Investment</w:t>
            </w:r>
          </w:p>
        </w:tc>
        <w:tc>
          <w:tcPr>
            <w:tcW w:w="1340" w:type="dxa"/>
            <w:vAlign w:val="bottom"/>
          </w:tcPr>
          <w:p>
            <w:pPr>
              <w:jc w:val="right"/>
              <w:spacing w:after="0"/>
              <w:rPr>
                <w:sz w:val="20"/>
                <w:szCs w:val="20"/>
                <w:color w:val="auto"/>
              </w:rPr>
            </w:pPr>
            <w:r>
              <w:rPr>
                <w:rFonts w:ascii="Arial" w:cs="Arial" w:eastAsia="Arial" w:hAnsi="Arial"/>
                <w:sz w:val="18"/>
                <w:szCs w:val="18"/>
                <w:color w:val="auto"/>
              </w:rPr>
              <w:t>26,581,200</w:t>
            </w:r>
          </w:p>
        </w:tc>
      </w:tr>
      <w:tr>
        <w:trPr>
          <w:trHeight w:val="256"/>
        </w:trPr>
        <w:tc>
          <w:tcPr>
            <w:tcW w:w="2460" w:type="dxa"/>
            <w:vAlign w:val="bottom"/>
          </w:tcPr>
          <w:p>
            <w:pPr>
              <w:spacing w:after="0"/>
              <w:rPr>
                <w:sz w:val="22"/>
                <w:szCs w:val="22"/>
                <w:color w:val="auto"/>
              </w:rPr>
            </w:pPr>
          </w:p>
        </w:tc>
        <w:tc>
          <w:tcPr>
            <w:tcW w:w="4780" w:type="dxa"/>
            <w:vAlign w:val="bottom"/>
          </w:tcPr>
          <w:p>
            <w:pPr>
              <w:spacing w:after="0"/>
              <w:rPr>
                <w:sz w:val="22"/>
                <w:szCs w:val="22"/>
                <w:color w:val="auto"/>
              </w:rPr>
            </w:pPr>
          </w:p>
        </w:tc>
        <w:tc>
          <w:tcPr>
            <w:tcW w:w="2080" w:type="dxa"/>
            <w:vAlign w:val="bottom"/>
          </w:tcPr>
          <w:p>
            <w:pPr>
              <w:ind w:left="520"/>
              <w:spacing w:after="0"/>
              <w:rPr>
                <w:sz w:val="20"/>
                <w:szCs w:val="20"/>
                <w:color w:val="auto"/>
              </w:rPr>
            </w:pPr>
            <w:r>
              <w:rPr>
                <w:rFonts w:ascii="Arial" w:cs="Arial" w:eastAsia="Arial" w:hAnsi="Arial"/>
                <w:sz w:val="18"/>
                <w:szCs w:val="18"/>
                <w:color w:val="auto"/>
              </w:rPr>
              <w:t>Intercompany</w:t>
            </w:r>
          </w:p>
        </w:tc>
        <w:tc>
          <w:tcPr>
            <w:tcW w:w="1340" w:type="dxa"/>
            <w:vAlign w:val="bottom"/>
          </w:tcPr>
          <w:p>
            <w:pPr>
              <w:spacing w:after="0"/>
              <w:rPr>
                <w:sz w:val="22"/>
                <w:szCs w:val="22"/>
                <w:color w:val="auto"/>
              </w:rPr>
            </w:pPr>
          </w:p>
        </w:tc>
      </w:tr>
      <w:tr>
        <w:trPr>
          <w:trHeight w:val="230"/>
        </w:trPr>
        <w:tc>
          <w:tcPr>
            <w:tcW w:w="2460" w:type="dxa"/>
            <w:vAlign w:val="bottom"/>
          </w:tcPr>
          <w:p>
            <w:pPr>
              <w:spacing w:after="0"/>
              <w:rPr>
                <w:sz w:val="20"/>
                <w:szCs w:val="20"/>
                <w:color w:val="auto"/>
              </w:rPr>
            </w:pPr>
            <w:r>
              <w:rPr>
                <w:rFonts w:ascii="Arial" w:cs="Arial" w:eastAsia="Arial" w:hAnsi="Arial"/>
                <w:sz w:val="18"/>
                <w:szCs w:val="18"/>
                <w:color w:val="auto"/>
              </w:rPr>
              <w:t>EFT Services Holding B.V.</w:t>
            </w:r>
          </w:p>
        </w:tc>
        <w:tc>
          <w:tcPr>
            <w:tcW w:w="4780" w:type="dxa"/>
            <w:vAlign w:val="bottom"/>
          </w:tcPr>
          <w:p>
            <w:pPr>
              <w:ind w:left="460"/>
              <w:spacing w:after="0"/>
              <w:rPr>
                <w:sz w:val="20"/>
                <w:szCs w:val="20"/>
                <w:color w:val="auto"/>
              </w:rPr>
            </w:pPr>
            <w:r>
              <w:rPr>
                <w:rFonts w:ascii="Arial" w:cs="Arial" w:eastAsia="Arial" w:hAnsi="Arial"/>
                <w:sz w:val="18"/>
                <w:szCs w:val="18"/>
                <w:color w:val="auto"/>
              </w:rPr>
              <w:t>Euronet Payment Services Ltd</w:t>
            </w:r>
          </w:p>
        </w:tc>
        <w:tc>
          <w:tcPr>
            <w:tcW w:w="2080" w:type="dxa"/>
            <w:vAlign w:val="bottom"/>
          </w:tcPr>
          <w:p>
            <w:pPr>
              <w:ind w:left="520"/>
              <w:spacing w:after="0"/>
              <w:rPr>
                <w:sz w:val="20"/>
                <w:szCs w:val="20"/>
                <w:color w:val="auto"/>
              </w:rPr>
            </w:pPr>
            <w:r>
              <w:rPr>
                <w:rFonts w:ascii="Arial" w:cs="Arial" w:eastAsia="Arial" w:hAnsi="Arial"/>
                <w:sz w:val="18"/>
                <w:szCs w:val="18"/>
                <w:color w:val="auto"/>
              </w:rPr>
              <w:t>Investment</w:t>
            </w:r>
          </w:p>
        </w:tc>
        <w:tc>
          <w:tcPr>
            <w:tcW w:w="1340" w:type="dxa"/>
            <w:vAlign w:val="bottom"/>
          </w:tcPr>
          <w:p>
            <w:pPr>
              <w:jc w:val="right"/>
              <w:spacing w:after="0"/>
              <w:rPr>
                <w:sz w:val="20"/>
                <w:szCs w:val="20"/>
                <w:color w:val="auto"/>
              </w:rPr>
            </w:pPr>
            <w:r>
              <w:rPr>
                <w:rFonts w:ascii="Arial" w:cs="Arial" w:eastAsia="Arial" w:hAnsi="Arial"/>
                <w:sz w:val="18"/>
                <w:szCs w:val="18"/>
                <w:color w:val="auto"/>
              </w:rPr>
              <w:t>6,256,574</w:t>
            </w:r>
          </w:p>
        </w:tc>
      </w:tr>
      <w:tr>
        <w:trPr>
          <w:trHeight w:val="256"/>
        </w:trPr>
        <w:tc>
          <w:tcPr>
            <w:tcW w:w="2460" w:type="dxa"/>
            <w:vAlign w:val="bottom"/>
          </w:tcPr>
          <w:p>
            <w:pPr>
              <w:spacing w:after="0"/>
              <w:rPr>
                <w:sz w:val="22"/>
                <w:szCs w:val="22"/>
                <w:color w:val="auto"/>
              </w:rPr>
            </w:pPr>
          </w:p>
        </w:tc>
        <w:tc>
          <w:tcPr>
            <w:tcW w:w="4780" w:type="dxa"/>
            <w:vAlign w:val="bottom"/>
          </w:tcPr>
          <w:p>
            <w:pPr>
              <w:spacing w:after="0"/>
              <w:rPr>
                <w:sz w:val="22"/>
                <w:szCs w:val="22"/>
                <w:color w:val="auto"/>
              </w:rPr>
            </w:pPr>
          </w:p>
        </w:tc>
        <w:tc>
          <w:tcPr>
            <w:tcW w:w="2080" w:type="dxa"/>
            <w:vAlign w:val="bottom"/>
          </w:tcPr>
          <w:p>
            <w:pPr>
              <w:ind w:left="520"/>
              <w:spacing w:after="0"/>
              <w:rPr>
                <w:sz w:val="20"/>
                <w:szCs w:val="20"/>
                <w:color w:val="auto"/>
              </w:rPr>
            </w:pPr>
            <w:r>
              <w:rPr>
                <w:rFonts w:ascii="Arial" w:cs="Arial" w:eastAsia="Arial" w:hAnsi="Arial"/>
                <w:sz w:val="18"/>
                <w:szCs w:val="18"/>
                <w:color w:val="auto"/>
              </w:rPr>
              <w:t>Intercompany</w:t>
            </w:r>
          </w:p>
        </w:tc>
        <w:tc>
          <w:tcPr>
            <w:tcW w:w="1340" w:type="dxa"/>
            <w:vAlign w:val="bottom"/>
          </w:tcPr>
          <w:p>
            <w:pPr>
              <w:spacing w:after="0"/>
              <w:rPr>
                <w:sz w:val="22"/>
                <w:szCs w:val="22"/>
                <w:color w:val="auto"/>
              </w:rPr>
            </w:pPr>
          </w:p>
        </w:tc>
      </w:tr>
      <w:tr>
        <w:trPr>
          <w:trHeight w:val="230"/>
        </w:trPr>
        <w:tc>
          <w:tcPr>
            <w:tcW w:w="2460" w:type="dxa"/>
            <w:vAlign w:val="bottom"/>
          </w:tcPr>
          <w:p>
            <w:pPr>
              <w:spacing w:after="0"/>
              <w:rPr>
                <w:sz w:val="20"/>
                <w:szCs w:val="20"/>
                <w:color w:val="auto"/>
              </w:rPr>
            </w:pPr>
            <w:r>
              <w:rPr>
                <w:rFonts w:ascii="Arial" w:cs="Arial" w:eastAsia="Arial" w:hAnsi="Arial"/>
                <w:sz w:val="18"/>
                <w:szCs w:val="18"/>
                <w:color w:val="auto"/>
              </w:rPr>
              <w:t>EFT Services Holding B.V.</w:t>
            </w:r>
          </w:p>
        </w:tc>
        <w:tc>
          <w:tcPr>
            <w:tcW w:w="4780" w:type="dxa"/>
            <w:vAlign w:val="bottom"/>
          </w:tcPr>
          <w:p>
            <w:pPr>
              <w:ind w:left="460"/>
              <w:spacing w:after="0"/>
              <w:rPr>
                <w:sz w:val="20"/>
                <w:szCs w:val="20"/>
                <w:color w:val="auto"/>
              </w:rPr>
            </w:pPr>
            <w:r>
              <w:rPr>
                <w:rFonts w:ascii="Arial" w:cs="Arial" w:eastAsia="Arial" w:hAnsi="Arial"/>
                <w:sz w:val="18"/>
                <w:szCs w:val="18"/>
                <w:color w:val="auto"/>
              </w:rPr>
              <w:t>Euronet Polska Spółka z o.o.</w:t>
            </w:r>
          </w:p>
        </w:tc>
        <w:tc>
          <w:tcPr>
            <w:tcW w:w="2080" w:type="dxa"/>
            <w:vAlign w:val="bottom"/>
          </w:tcPr>
          <w:p>
            <w:pPr>
              <w:ind w:left="520"/>
              <w:spacing w:after="0"/>
              <w:rPr>
                <w:sz w:val="20"/>
                <w:szCs w:val="20"/>
                <w:color w:val="auto"/>
              </w:rPr>
            </w:pPr>
            <w:r>
              <w:rPr>
                <w:rFonts w:ascii="Arial" w:cs="Arial" w:eastAsia="Arial" w:hAnsi="Arial"/>
                <w:sz w:val="18"/>
                <w:szCs w:val="18"/>
                <w:color w:val="auto"/>
              </w:rPr>
              <w:t>Investment</w:t>
            </w:r>
          </w:p>
        </w:tc>
        <w:tc>
          <w:tcPr>
            <w:tcW w:w="1340" w:type="dxa"/>
            <w:vAlign w:val="bottom"/>
          </w:tcPr>
          <w:p>
            <w:pPr>
              <w:jc w:val="right"/>
              <w:spacing w:after="0"/>
              <w:rPr>
                <w:sz w:val="20"/>
                <w:szCs w:val="20"/>
                <w:color w:val="auto"/>
              </w:rPr>
            </w:pPr>
            <w:r>
              <w:rPr>
                <w:rFonts w:ascii="Arial" w:cs="Arial" w:eastAsia="Arial" w:hAnsi="Arial"/>
                <w:sz w:val="18"/>
                <w:szCs w:val="18"/>
                <w:color w:val="auto"/>
              </w:rPr>
              <w:t>15,000,000</w:t>
            </w:r>
          </w:p>
        </w:tc>
      </w:tr>
      <w:tr>
        <w:trPr>
          <w:trHeight w:val="256"/>
        </w:trPr>
        <w:tc>
          <w:tcPr>
            <w:tcW w:w="2460" w:type="dxa"/>
            <w:vAlign w:val="bottom"/>
          </w:tcPr>
          <w:p>
            <w:pPr>
              <w:spacing w:after="0"/>
              <w:rPr>
                <w:sz w:val="22"/>
                <w:szCs w:val="22"/>
                <w:color w:val="auto"/>
              </w:rPr>
            </w:pPr>
          </w:p>
        </w:tc>
        <w:tc>
          <w:tcPr>
            <w:tcW w:w="4780" w:type="dxa"/>
            <w:vAlign w:val="bottom"/>
          </w:tcPr>
          <w:p>
            <w:pPr>
              <w:spacing w:after="0"/>
              <w:rPr>
                <w:sz w:val="22"/>
                <w:szCs w:val="22"/>
                <w:color w:val="auto"/>
              </w:rPr>
            </w:pPr>
          </w:p>
        </w:tc>
        <w:tc>
          <w:tcPr>
            <w:tcW w:w="2080" w:type="dxa"/>
            <w:vAlign w:val="bottom"/>
          </w:tcPr>
          <w:p>
            <w:pPr>
              <w:ind w:left="520"/>
              <w:spacing w:after="0"/>
              <w:rPr>
                <w:sz w:val="20"/>
                <w:szCs w:val="20"/>
                <w:color w:val="auto"/>
              </w:rPr>
            </w:pPr>
            <w:r>
              <w:rPr>
                <w:rFonts w:ascii="Arial" w:cs="Arial" w:eastAsia="Arial" w:hAnsi="Arial"/>
                <w:sz w:val="18"/>
                <w:szCs w:val="18"/>
                <w:color w:val="auto"/>
              </w:rPr>
              <w:t>Intercompany</w:t>
            </w:r>
          </w:p>
        </w:tc>
        <w:tc>
          <w:tcPr>
            <w:tcW w:w="1340" w:type="dxa"/>
            <w:vAlign w:val="bottom"/>
          </w:tcPr>
          <w:p>
            <w:pPr>
              <w:spacing w:after="0"/>
              <w:rPr>
                <w:sz w:val="22"/>
                <w:szCs w:val="22"/>
                <w:color w:val="auto"/>
              </w:rPr>
            </w:pPr>
          </w:p>
        </w:tc>
      </w:tr>
      <w:tr>
        <w:trPr>
          <w:trHeight w:val="230"/>
        </w:trPr>
        <w:tc>
          <w:tcPr>
            <w:tcW w:w="2460" w:type="dxa"/>
            <w:vAlign w:val="bottom"/>
          </w:tcPr>
          <w:p>
            <w:pPr>
              <w:spacing w:after="0"/>
              <w:rPr>
                <w:sz w:val="20"/>
                <w:szCs w:val="20"/>
                <w:color w:val="auto"/>
              </w:rPr>
            </w:pPr>
            <w:r>
              <w:rPr>
                <w:rFonts w:ascii="Arial" w:cs="Arial" w:eastAsia="Arial" w:hAnsi="Arial"/>
                <w:sz w:val="18"/>
                <w:szCs w:val="18"/>
                <w:color w:val="auto"/>
              </w:rPr>
              <w:t>EFT Services Holding B.V.</w:t>
            </w:r>
          </w:p>
        </w:tc>
        <w:tc>
          <w:tcPr>
            <w:tcW w:w="4780" w:type="dxa"/>
            <w:vAlign w:val="bottom"/>
          </w:tcPr>
          <w:p>
            <w:pPr>
              <w:ind w:left="460"/>
              <w:spacing w:after="0"/>
              <w:rPr>
                <w:sz w:val="20"/>
                <w:szCs w:val="20"/>
                <w:color w:val="auto"/>
              </w:rPr>
            </w:pPr>
            <w:r>
              <w:rPr>
                <w:rFonts w:ascii="Arial" w:cs="Arial" w:eastAsia="Arial" w:hAnsi="Arial"/>
                <w:sz w:val="18"/>
                <w:szCs w:val="18"/>
                <w:color w:val="auto"/>
              </w:rPr>
              <w:t>Euronet Prepaid Hellas Ltd.</w:t>
            </w:r>
          </w:p>
        </w:tc>
        <w:tc>
          <w:tcPr>
            <w:tcW w:w="2080" w:type="dxa"/>
            <w:vAlign w:val="bottom"/>
          </w:tcPr>
          <w:p>
            <w:pPr>
              <w:ind w:left="520"/>
              <w:spacing w:after="0"/>
              <w:rPr>
                <w:sz w:val="20"/>
                <w:szCs w:val="20"/>
                <w:color w:val="auto"/>
              </w:rPr>
            </w:pPr>
            <w:r>
              <w:rPr>
                <w:rFonts w:ascii="Arial" w:cs="Arial" w:eastAsia="Arial" w:hAnsi="Arial"/>
                <w:sz w:val="18"/>
                <w:szCs w:val="18"/>
                <w:color w:val="auto"/>
              </w:rPr>
              <w:t>Investment</w:t>
            </w:r>
          </w:p>
        </w:tc>
        <w:tc>
          <w:tcPr>
            <w:tcW w:w="1340" w:type="dxa"/>
            <w:vAlign w:val="bottom"/>
          </w:tcPr>
          <w:p>
            <w:pPr>
              <w:jc w:val="right"/>
              <w:spacing w:after="0"/>
              <w:rPr>
                <w:sz w:val="20"/>
                <w:szCs w:val="20"/>
                <w:color w:val="auto"/>
              </w:rPr>
            </w:pPr>
            <w:r>
              <w:rPr>
                <w:rFonts w:ascii="Arial" w:cs="Arial" w:eastAsia="Arial" w:hAnsi="Arial"/>
                <w:sz w:val="18"/>
                <w:szCs w:val="18"/>
                <w:color w:val="auto"/>
              </w:rPr>
              <w:t>219,330</w:t>
            </w:r>
          </w:p>
        </w:tc>
      </w:tr>
      <w:tr>
        <w:trPr>
          <w:trHeight w:val="256"/>
        </w:trPr>
        <w:tc>
          <w:tcPr>
            <w:tcW w:w="2460" w:type="dxa"/>
            <w:vAlign w:val="bottom"/>
          </w:tcPr>
          <w:p>
            <w:pPr>
              <w:spacing w:after="0"/>
              <w:rPr>
                <w:sz w:val="22"/>
                <w:szCs w:val="22"/>
                <w:color w:val="auto"/>
              </w:rPr>
            </w:pPr>
          </w:p>
        </w:tc>
        <w:tc>
          <w:tcPr>
            <w:tcW w:w="4780" w:type="dxa"/>
            <w:vAlign w:val="bottom"/>
          </w:tcPr>
          <w:p>
            <w:pPr>
              <w:spacing w:after="0"/>
              <w:rPr>
                <w:sz w:val="22"/>
                <w:szCs w:val="22"/>
                <w:color w:val="auto"/>
              </w:rPr>
            </w:pPr>
          </w:p>
        </w:tc>
        <w:tc>
          <w:tcPr>
            <w:tcW w:w="2080" w:type="dxa"/>
            <w:vAlign w:val="bottom"/>
          </w:tcPr>
          <w:p>
            <w:pPr>
              <w:ind w:left="520"/>
              <w:spacing w:after="0"/>
              <w:rPr>
                <w:sz w:val="20"/>
                <w:szCs w:val="20"/>
                <w:color w:val="auto"/>
              </w:rPr>
            </w:pPr>
            <w:r>
              <w:rPr>
                <w:rFonts w:ascii="Arial" w:cs="Arial" w:eastAsia="Arial" w:hAnsi="Arial"/>
                <w:sz w:val="18"/>
                <w:szCs w:val="18"/>
                <w:color w:val="auto"/>
              </w:rPr>
              <w:t>Intercompany</w:t>
            </w:r>
          </w:p>
        </w:tc>
        <w:tc>
          <w:tcPr>
            <w:tcW w:w="1340" w:type="dxa"/>
            <w:vAlign w:val="bottom"/>
          </w:tcPr>
          <w:p>
            <w:pPr>
              <w:spacing w:after="0"/>
              <w:rPr>
                <w:sz w:val="22"/>
                <w:szCs w:val="22"/>
                <w:color w:val="auto"/>
              </w:rPr>
            </w:pPr>
          </w:p>
        </w:tc>
      </w:tr>
      <w:tr>
        <w:trPr>
          <w:trHeight w:val="230"/>
        </w:trPr>
        <w:tc>
          <w:tcPr>
            <w:tcW w:w="2460" w:type="dxa"/>
            <w:vAlign w:val="bottom"/>
          </w:tcPr>
          <w:p>
            <w:pPr>
              <w:spacing w:after="0"/>
              <w:rPr>
                <w:sz w:val="20"/>
                <w:szCs w:val="20"/>
                <w:color w:val="auto"/>
              </w:rPr>
            </w:pPr>
            <w:r>
              <w:rPr>
                <w:rFonts w:ascii="Arial" w:cs="Arial" w:eastAsia="Arial" w:hAnsi="Arial"/>
                <w:sz w:val="18"/>
                <w:szCs w:val="18"/>
                <w:color w:val="auto"/>
              </w:rPr>
              <w:t>EFT Services Holding B.V.</w:t>
            </w:r>
          </w:p>
        </w:tc>
        <w:tc>
          <w:tcPr>
            <w:tcW w:w="4780" w:type="dxa"/>
            <w:vAlign w:val="bottom"/>
          </w:tcPr>
          <w:p>
            <w:pPr>
              <w:ind w:left="460"/>
              <w:spacing w:after="0"/>
              <w:rPr>
                <w:sz w:val="20"/>
                <w:szCs w:val="20"/>
                <w:color w:val="auto"/>
              </w:rPr>
            </w:pPr>
            <w:r>
              <w:rPr>
                <w:rFonts w:ascii="Arial" w:cs="Arial" w:eastAsia="Arial" w:hAnsi="Arial"/>
                <w:sz w:val="18"/>
                <w:szCs w:val="18"/>
                <w:color w:val="auto"/>
              </w:rPr>
              <w:t>Euronet Servcies Schweiz GmbH</w:t>
            </w:r>
          </w:p>
        </w:tc>
        <w:tc>
          <w:tcPr>
            <w:tcW w:w="2080" w:type="dxa"/>
            <w:vAlign w:val="bottom"/>
          </w:tcPr>
          <w:p>
            <w:pPr>
              <w:ind w:left="520"/>
              <w:spacing w:after="0"/>
              <w:rPr>
                <w:sz w:val="20"/>
                <w:szCs w:val="20"/>
                <w:color w:val="auto"/>
              </w:rPr>
            </w:pPr>
            <w:r>
              <w:rPr>
                <w:rFonts w:ascii="Arial" w:cs="Arial" w:eastAsia="Arial" w:hAnsi="Arial"/>
                <w:sz w:val="18"/>
                <w:szCs w:val="18"/>
                <w:color w:val="auto"/>
              </w:rPr>
              <w:t>Investment</w:t>
            </w:r>
          </w:p>
        </w:tc>
        <w:tc>
          <w:tcPr>
            <w:tcW w:w="1340" w:type="dxa"/>
            <w:vAlign w:val="bottom"/>
          </w:tcPr>
          <w:p>
            <w:pPr>
              <w:jc w:val="right"/>
              <w:spacing w:after="0"/>
              <w:rPr>
                <w:sz w:val="20"/>
                <w:szCs w:val="20"/>
                <w:color w:val="auto"/>
              </w:rPr>
            </w:pPr>
            <w:r>
              <w:rPr>
                <w:rFonts w:ascii="Arial" w:cs="Arial" w:eastAsia="Arial" w:hAnsi="Arial"/>
                <w:sz w:val="18"/>
                <w:szCs w:val="18"/>
                <w:color w:val="auto"/>
              </w:rPr>
              <w:t>107,382</w:t>
            </w:r>
          </w:p>
        </w:tc>
      </w:tr>
      <w:tr>
        <w:trPr>
          <w:trHeight w:val="256"/>
        </w:trPr>
        <w:tc>
          <w:tcPr>
            <w:tcW w:w="2460" w:type="dxa"/>
            <w:vAlign w:val="bottom"/>
          </w:tcPr>
          <w:p>
            <w:pPr>
              <w:spacing w:after="0"/>
              <w:rPr>
                <w:sz w:val="22"/>
                <w:szCs w:val="22"/>
                <w:color w:val="auto"/>
              </w:rPr>
            </w:pPr>
          </w:p>
        </w:tc>
        <w:tc>
          <w:tcPr>
            <w:tcW w:w="4780" w:type="dxa"/>
            <w:vAlign w:val="bottom"/>
          </w:tcPr>
          <w:p>
            <w:pPr>
              <w:spacing w:after="0"/>
              <w:rPr>
                <w:sz w:val="22"/>
                <w:szCs w:val="22"/>
                <w:color w:val="auto"/>
              </w:rPr>
            </w:pPr>
          </w:p>
        </w:tc>
        <w:tc>
          <w:tcPr>
            <w:tcW w:w="2080" w:type="dxa"/>
            <w:vAlign w:val="bottom"/>
          </w:tcPr>
          <w:p>
            <w:pPr>
              <w:ind w:left="520"/>
              <w:spacing w:after="0"/>
              <w:rPr>
                <w:sz w:val="20"/>
                <w:szCs w:val="20"/>
                <w:color w:val="auto"/>
              </w:rPr>
            </w:pPr>
            <w:r>
              <w:rPr>
                <w:rFonts w:ascii="Arial" w:cs="Arial" w:eastAsia="Arial" w:hAnsi="Arial"/>
                <w:sz w:val="18"/>
                <w:szCs w:val="18"/>
                <w:color w:val="auto"/>
              </w:rPr>
              <w:t>Intercompany</w:t>
            </w:r>
          </w:p>
        </w:tc>
        <w:tc>
          <w:tcPr>
            <w:tcW w:w="1340" w:type="dxa"/>
            <w:vAlign w:val="bottom"/>
          </w:tcPr>
          <w:p>
            <w:pPr>
              <w:spacing w:after="0"/>
              <w:rPr>
                <w:sz w:val="22"/>
                <w:szCs w:val="22"/>
                <w:color w:val="auto"/>
              </w:rPr>
            </w:pPr>
          </w:p>
        </w:tc>
      </w:tr>
      <w:tr>
        <w:trPr>
          <w:trHeight w:val="230"/>
        </w:trPr>
        <w:tc>
          <w:tcPr>
            <w:tcW w:w="2460" w:type="dxa"/>
            <w:vAlign w:val="bottom"/>
          </w:tcPr>
          <w:p>
            <w:pPr>
              <w:spacing w:after="0"/>
              <w:rPr>
                <w:sz w:val="20"/>
                <w:szCs w:val="20"/>
                <w:color w:val="auto"/>
              </w:rPr>
            </w:pPr>
            <w:r>
              <w:rPr>
                <w:rFonts w:ascii="Arial" w:cs="Arial" w:eastAsia="Arial" w:hAnsi="Arial"/>
                <w:sz w:val="18"/>
                <w:szCs w:val="18"/>
                <w:color w:val="auto"/>
              </w:rPr>
              <w:t>EFT Services Holding B.V.</w:t>
            </w:r>
          </w:p>
        </w:tc>
        <w:tc>
          <w:tcPr>
            <w:tcW w:w="4780" w:type="dxa"/>
            <w:vAlign w:val="bottom"/>
          </w:tcPr>
          <w:p>
            <w:pPr>
              <w:ind w:left="460"/>
              <w:spacing w:after="0"/>
              <w:rPr>
                <w:sz w:val="20"/>
                <w:szCs w:val="20"/>
                <w:color w:val="auto"/>
              </w:rPr>
            </w:pPr>
            <w:r>
              <w:rPr>
                <w:rFonts w:ascii="Arial" w:cs="Arial" w:eastAsia="Arial" w:hAnsi="Arial"/>
                <w:sz w:val="18"/>
                <w:szCs w:val="18"/>
                <w:color w:val="auto"/>
              </w:rPr>
              <w:t>Euronet Services India Pvt. Ltd.</w:t>
            </w:r>
          </w:p>
        </w:tc>
        <w:tc>
          <w:tcPr>
            <w:tcW w:w="2080" w:type="dxa"/>
            <w:vAlign w:val="bottom"/>
          </w:tcPr>
          <w:p>
            <w:pPr>
              <w:ind w:left="520"/>
              <w:spacing w:after="0"/>
              <w:rPr>
                <w:sz w:val="20"/>
                <w:szCs w:val="20"/>
                <w:color w:val="auto"/>
              </w:rPr>
            </w:pPr>
            <w:r>
              <w:rPr>
                <w:rFonts w:ascii="Arial" w:cs="Arial" w:eastAsia="Arial" w:hAnsi="Arial"/>
                <w:sz w:val="18"/>
                <w:szCs w:val="18"/>
                <w:color w:val="auto"/>
              </w:rPr>
              <w:t>Investment</w:t>
            </w:r>
          </w:p>
        </w:tc>
        <w:tc>
          <w:tcPr>
            <w:tcW w:w="1340" w:type="dxa"/>
            <w:vAlign w:val="bottom"/>
          </w:tcPr>
          <w:p>
            <w:pPr>
              <w:jc w:val="right"/>
              <w:spacing w:after="0"/>
              <w:rPr>
                <w:sz w:val="20"/>
                <w:szCs w:val="20"/>
                <w:color w:val="auto"/>
              </w:rPr>
            </w:pPr>
            <w:r>
              <w:rPr>
                <w:rFonts w:ascii="Arial" w:cs="Arial" w:eastAsia="Arial" w:hAnsi="Arial"/>
                <w:sz w:val="18"/>
                <w:szCs w:val="18"/>
                <w:color w:val="auto"/>
              </w:rPr>
              <w:t>10,292,315</w:t>
            </w:r>
          </w:p>
        </w:tc>
      </w:tr>
      <w:tr>
        <w:trPr>
          <w:trHeight w:val="256"/>
        </w:trPr>
        <w:tc>
          <w:tcPr>
            <w:tcW w:w="2460" w:type="dxa"/>
            <w:vAlign w:val="bottom"/>
          </w:tcPr>
          <w:p>
            <w:pPr>
              <w:spacing w:after="0"/>
              <w:rPr>
                <w:sz w:val="22"/>
                <w:szCs w:val="22"/>
                <w:color w:val="auto"/>
              </w:rPr>
            </w:pPr>
          </w:p>
        </w:tc>
        <w:tc>
          <w:tcPr>
            <w:tcW w:w="4780" w:type="dxa"/>
            <w:vAlign w:val="bottom"/>
          </w:tcPr>
          <w:p>
            <w:pPr>
              <w:spacing w:after="0"/>
              <w:rPr>
                <w:sz w:val="22"/>
                <w:szCs w:val="22"/>
                <w:color w:val="auto"/>
              </w:rPr>
            </w:pPr>
          </w:p>
        </w:tc>
        <w:tc>
          <w:tcPr>
            <w:tcW w:w="2080" w:type="dxa"/>
            <w:vAlign w:val="bottom"/>
          </w:tcPr>
          <w:p>
            <w:pPr>
              <w:ind w:left="520"/>
              <w:spacing w:after="0"/>
              <w:rPr>
                <w:sz w:val="20"/>
                <w:szCs w:val="20"/>
                <w:color w:val="auto"/>
              </w:rPr>
            </w:pPr>
            <w:r>
              <w:rPr>
                <w:rFonts w:ascii="Arial" w:cs="Arial" w:eastAsia="Arial" w:hAnsi="Arial"/>
                <w:sz w:val="18"/>
                <w:szCs w:val="18"/>
                <w:color w:val="auto"/>
              </w:rPr>
              <w:t>Intercompany</w:t>
            </w:r>
          </w:p>
        </w:tc>
        <w:tc>
          <w:tcPr>
            <w:tcW w:w="1340" w:type="dxa"/>
            <w:vAlign w:val="bottom"/>
          </w:tcPr>
          <w:p>
            <w:pPr>
              <w:spacing w:after="0"/>
              <w:rPr>
                <w:sz w:val="22"/>
                <w:szCs w:val="22"/>
                <w:color w:val="auto"/>
              </w:rPr>
            </w:pPr>
          </w:p>
        </w:tc>
      </w:tr>
      <w:tr>
        <w:trPr>
          <w:trHeight w:val="230"/>
        </w:trPr>
        <w:tc>
          <w:tcPr>
            <w:tcW w:w="2460" w:type="dxa"/>
            <w:vAlign w:val="bottom"/>
          </w:tcPr>
          <w:p>
            <w:pPr>
              <w:spacing w:after="0"/>
              <w:rPr>
                <w:sz w:val="20"/>
                <w:szCs w:val="20"/>
                <w:color w:val="auto"/>
              </w:rPr>
            </w:pPr>
            <w:r>
              <w:rPr>
                <w:rFonts w:ascii="Arial" w:cs="Arial" w:eastAsia="Arial" w:hAnsi="Arial"/>
                <w:sz w:val="18"/>
                <w:szCs w:val="18"/>
                <w:color w:val="auto"/>
              </w:rPr>
              <w:t>EFT Services Holding B.V.</w:t>
            </w:r>
          </w:p>
        </w:tc>
        <w:tc>
          <w:tcPr>
            <w:tcW w:w="4780" w:type="dxa"/>
            <w:vAlign w:val="bottom"/>
          </w:tcPr>
          <w:p>
            <w:pPr>
              <w:ind w:left="460"/>
              <w:spacing w:after="0"/>
              <w:rPr>
                <w:sz w:val="20"/>
                <w:szCs w:val="20"/>
                <w:color w:val="auto"/>
              </w:rPr>
            </w:pPr>
            <w:r>
              <w:rPr>
                <w:rFonts w:ascii="Arial" w:cs="Arial" w:eastAsia="Arial" w:hAnsi="Arial"/>
                <w:sz w:val="18"/>
                <w:szCs w:val="18"/>
                <w:color w:val="auto"/>
              </w:rPr>
              <w:t>Euronet Services Kft.</w:t>
            </w:r>
          </w:p>
        </w:tc>
        <w:tc>
          <w:tcPr>
            <w:tcW w:w="2080" w:type="dxa"/>
            <w:vAlign w:val="bottom"/>
          </w:tcPr>
          <w:p>
            <w:pPr>
              <w:ind w:left="520"/>
              <w:spacing w:after="0"/>
              <w:rPr>
                <w:sz w:val="20"/>
                <w:szCs w:val="20"/>
                <w:color w:val="auto"/>
              </w:rPr>
            </w:pPr>
            <w:r>
              <w:rPr>
                <w:rFonts w:ascii="Arial" w:cs="Arial" w:eastAsia="Arial" w:hAnsi="Arial"/>
                <w:sz w:val="18"/>
                <w:szCs w:val="18"/>
                <w:color w:val="auto"/>
              </w:rPr>
              <w:t>Investment</w:t>
            </w:r>
          </w:p>
        </w:tc>
        <w:tc>
          <w:tcPr>
            <w:tcW w:w="1340" w:type="dxa"/>
            <w:vAlign w:val="bottom"/>
          </w:tcPr>
          <w:p>
            <w:pPr>
              <w:jc w:val="right"/>
              <w:spacing w:after="0"/>
              <w:rPr>
                <w:sz w:val="20"/>
                <w:szCs w:val="20"/>
                <w:color w:val="auto"/>
              </w:rPr>
            </w:pPr>
            <w:r>
              <w:rPr>
                <w:rFonts w:ascii="Arial" w:cs="Arial" w:eastAsia="Arial" w:hAnsi="Arial"/>
                <w:sz w:val="18"/>
                <w:szCs w:val="18"/>
                <w:color w:val="auto"/>
              </w:rPr>
              <w:t>13,541,817</w:t>
            </w:r>
          </w:p>
        </w:tc>
      </w:tr>
      <w:tr>
        <w:trPr>
          <w:trHeight w:val="256"/>
        </w:trPr>
        <w:tc>
          <w:tcPr>
            <w:tcW w:w="2460" w:type="dxa"/>
            <w:vAlign w:val="bottom"/>
          </w:tcPr>
          <w:p>
            <w:pPr>
              <w:spacing w:after="0"/>
              <w:rPr>
                <w:sz w:val="22"/>
                <w:szCs w:val="22"/>
                <w:color w:val="auto"/>
              </w:rPr>
            </w:pPr>
          </w:p>
        </w:tc>
        <w:tc>
          <w:tcPr>
            <w:tcW w:w="4780" w:type="dxa"/>
            <w:vAlign w:val="bottom"/>
          </w:tcPr>
          <w:p>
            <w:pPr>
              <w:spacing w:after="0"/>
              <w:rPr>
                <w:sz w:val="22"/>
                <w:szCs w:val="22"/>
                <w:color w:val="auto"/>
              </w:rPr>
            </w:pPr>
          </w:p>
        </w:tc>
        <w:tc>
          <w:tcPr>
            <w:tcW w:w="2080" w:type="dxa"/>
            <w:vAlign w:val="bottom"/>
          </w:tcPr>
          <w:p>
            <w:pPr>
              <w:ind w:left="520"/>
              <w:spacing w:after="0"/>
              <w:rPr>
                <w:sz w:val="20"/>
                <w:szCs w:val="20"/>
                <w:color w:val="auto"/>
              </w:rPr>
            </w:pPr>
            <w:r>
              <w:rPr>
                <w:rFonts w:ascii="Arial" w:cs="Arial" w:eastAsia="Arial" w:hAnsi="Arial"/>
                <w:sz w:val="18"/>
                <w:szCs w:val="18"/>
                <w:color w:val="auto"/>
              </w:rPr>
              <w:t>Intercompany</w:t>
            </w:r>
          </w:p>
        </w:tc>
        <w:tc>
          <w:tcPr>
            <w:tcW w:w="1340" w:type="dxa"/>
            <w:vAlign w:val="bottom"/>
          </w:tcPr>
          <w:p>
            <w:pPr>
              <w:spacing w:after="0"/>
              <w:rPr>
                <w:sz w:val="22"/>
                <w:szCs w:val="22"/>
                <w:color w:val="auto"/>
              </w:rPr>
            </w:pPr>
          </w:p>
        </w:tc>
      </w:tr>
      <w:tr>
        <w:trPr>
          <w:trHeight w:val="230"/>
        </w:trPr>
        <w:tc>
          <w:tcPr>
            <w:tcW w:w="2460" w:type="dxa"/>
            <w:vAlign w:val="bottom"/>
          </w:tcPr>
          <w:p>
            <w:pPr>
              <w:spacing w:after="0"/>
              <w:rPr>
                <w:sz w:val="20"/>
                <w:szCs w:val="20"/>
                <w:color w:val="auto"/>
              </w:rPr>
            </w:pPr>
            <w:r>
              <w:rPr>
                <w:rFonts w:ascii="Arial" w:cs="Arial" w:eastAsia="Arial" w:hAnsi="Arial"/>
                <w:sz w:val="18"/>
                <w:szCs w:val="18"/>
                <w:color w:val="auto"/>
              </w:rPr>
              <w:t>EFT Services Holding B.V.</w:t>
            </w:r>
          </w:p>
        </w:tc>
        <w:tc>
          <w:tcPr>
            <w:tcW w:w="4780" w:type="dxa"/>
            <w:vAlign w:val="bottom"/>
          </w:tcPr>
          <w:p>
            <w:pPr>
              <w:ind w:left="460"/>
              <w:spacing w:after="0"/>
              <w:rPr>
                <w:sz w:val="20"/>
                <w:szCs w:val="20"/>
                <w:color w:val="auto"/>
              </w:rPr>
            </w:pPr>
            <w:r>
              <w:rPr>
                <w:rFonts w:ascii="Arial" w:cs="Arial" w:eastAsia="Arial" w:hAnsi="Arial"/>
                <w:sz w:val="18"/>
                <w:szCs w:val="18"/>
                <w:color w:val="auto"/>
              </w:rPr>
              <w:t>Euronet Services O.O.O.</w:t>
            </w:r>
          </w:p>
        </w:tc>
        <w:tc>
          <w:tcPr>
            <w:tcW w:w="2080" w:type="dxa"/>
            <w:vAlign w:val="bottom"/>
          </w:tcPr>
          <w:p>
            <w:pPr>
              <w:ind w:left="520"/>
              <w:spacing w:after="0"/>
              <w:rPr>
                <w:sz w:val="20"/>
                <w:szCs w:val="20"/>
                <w:color w:val="auto"/>
              </w:rPr>
            </w:pPr>
            <w:r>
              <w:rPr>
                <w:rFonts w:ascii="Arial" w:cs="Arial" w:eastAsia="Arial" w:hAnsi="Arial"/>
                <w:sz w:val="18"/>
                <w:szCs w:val="18"/>
                <w:color w:val="auto"/>
              </w:rPr>
              <w:t>Investment</w:t>
            </w:r>
          </w:p>
        </w:tc>
        <w:tc>
          <w:tcPr>
            <w:tcW w:w="1340" w:type="dxa"/>
            <w:vAlign w:val="bottom"/>
          </w:tcPr>
          <w:p>
            <w:pPr>
              <w:jc w:val="right"/>
              <w:spacing w:after="0"/>
              <w:rPr>
                <w:sz w:val="20"/>
                <w:szCs w:val="20"/>
                <w:color w:val="auto"/>
              </w:rPr>
            </w:pPr>
            <w:r>
              <w:rPr>
                <w:rFonts w:ascii="Arial" w:cs="Arial" w:eastAsia="Arial" w:hAnsi="Arial"/>
                <w:sz w:val="18"/>
                <w:szCs w:val="18"/>
                <w:color w:val="auto"/>
              </w:rPr>
              <w:t>209,619</w:t>
            </w:r>
          </w:p>
        </w:tc>
      </w:tr>
      <w:tr>
        <w:trPr>
          <w:trHeight w:val="256"/>
        </w:trPr>
        <w:tc>
          <w:tcPr>
            <w:tcW w:w="2460" w:type="dxa"/>
            <w:vAlign w:val="bottom"/>
          </w:tcPr>
          <w:p>
            <w:pPr>
              <w:spacing w:after="0"/>
              <w:rPr>
                <w:sz w:val="22"/>
                <w:szCs w:val="22"/>
                <w:color w:val="auto"/>
              </w:rPr>
            </w:pPr>
          </w:p>
        </w:tc>
        <w:tc>
          <w:tcPr>
            <w:tcW w:w="4780" w:type="dxa"/>
            <w:vAlign w:val="bottom"/>
          </w:tcPr>
          <w:p>
            <w:pPr>
              <w:spacing w:after="0"/>
              <w:rPr>
                <w:sz w:val="22"/>
                <w:szCs w:val="22"/>
                <w:color w:val="auto"/>
              </w:rPr>
            </w:pPr>
          </w:p>
        </w:tc>
        <w:tc>
          <w:tcPr>
            <w:tcW w:w="2080" w:type="dxa"/>
            <w:vAlign w:val="bottom"/>
          </w:tcPr>
          <w:p>
            <w:pPr>
              <w:ind w:left="520"/>
              <w:spacing w:after="0"/>
              <w:rPr>
                <w:sz w:val="20"/>
                <w:szCs w:val="20"/>
                <w:color w:val="auto"/>
              </w:rPr>
            </w:pPr>
            <w:r>
              <w:rPr>
                <w:rFonts w:ascii="Arial" w:cs="Arial" w:eastAsia="Arial" w:hAnsi="Arial"/>
                <w:sz w:val="18"/>
                <w:szCs w:val="18"/>
                <w:color w:val="auto"/>
              </w:rPr>
              <w:t>Intercompany</w:t>
            </w:r>
          </w:p>
        </w:tc>
        <w:tc>
          <w:tcPr>
            <w:tcW w:w="1340" w:type="dxa"/>
            <w:vAlign w:val="bottom"/>
          </w:tcPr>
          <w:p>
            <w:pPr>
              <w:spacing w:after="0"/>
              <w:rPr>
                <w:sz w:val="22"/>
                <w:szCs w:val="22"/>
                <w:color w:val="auto"/>
              </w:rPr>
            </w:pPr>
          </w:p>
        </w:tc>
      </w:tr>
      <w:tr>
        <w:trPr>
          <w:trHeight w:val="230"/>
        </w:trPr>
        <w:tc>
          <w:tcPr>
            <w:tcW w:w="2460" w:type="dxa"/>
            <w:vAlign w:val="bottom"/>
          </w:tcPr>
          <w:p>
            <w:pPr>
              <w:spacing w:after="0"/>
              <w:rPr>
                <w:sz w:val="20"/>
                <w:szCs w:val="20"/>
                <w:color w:val="auto"/>
              </w:rPr>
            </w:pPr>
            <w:r>
              <w:rPr>
                <w:rFonts w:ascii="Arial" w:cs="Arial" w:eastAsia="Arial" w:hAnsi="Arial"/>
                <w:sz w:val="18"/>
                <w:szCs w:val="18"/>
                <w:color w:val="auto"/>
              </w:rPr>
              <w:t>EFT Services Holding B.V.</w:t>
            </w:r>
          </w:p>
        </w:tc>
        <w:tc>
          <w:tcPr>
            <w:tcW w:w="4780" w:type="dxa"/>
            <w:vAlign w:val="bottom"/>
          </w:tcPr>
          <w:p>
            <w:pPr>
              <w:ind w:left="460"/>
              <w:spacing w:after="0"/>
              <w:rPr>
                <w:sz w:val="20"/>
                <w:szCs w:val="20"/>
                <w:color w:val="auto"/>
              </w:rPr>
            </w:pPr>
            <w:r>
              <w:rPr>
                <w:rFonts w:ascii="Arial" w:cs="Arial" w:eastAsia="Arial" w:hAnsi="Arial"/>
                <w:sz w:val="18"/>
                <w:szCs w:val="18"/>
                <w:color w:val="auto"/>
              </w:rPr>
              <w:t>Euronet Services S.R.L</w:t>
            </w:r>
          </w:p>
        </w:tc>
        <w:tc>
          <w:tcPr>
            <w:tcW w:w="2080" w:type="dxa"/>
            <w:vAlign w:val="bottom"/>
          </w:tcPr>
          <w:p>
            <w:pPr>
              <w:ind w:left="520"/>
              <w:spacing w:after="0"/>
              <w:rPr>
                <w:sz w:val="20"/>
                <w:szCs w:val="20"/>
                <w:color w:val="auto"/>
              </w:rPr>
            </w:pPr>
            <w:r>
              <w:rPr>
                <w:rFonts w:ascii="Arial" w:cs="Arial" w:eastAsia="Arial" w:hAnsi="Arial"/>
                <w:sz w:val="18"/>
                <w:szCs w:val="18"/>
                <w:color w:val="auto"/>
              </w:rPr>
              <w:t>Investment</w:t>
            </w:r>
          </w:p>
        </w:tc>
        <w:tc>
          <w:tcPr>
            <w:tcW w:w="1340" w:type="dxa"/>
            <w:vAlign w:val="bottom"/>
          </w:tcPr>
          <w:p>
            <w:pPr>
              <w:jc w:val="right"/>
              <w:spacing w:after="0"/>
              <w:rPr>
                <w:sz w:val="20"/>
                <w:szCs w:val="20"/>
                <w:color w:val="auto"/>
              </w:rPr>
            </w:pPr>
            <w:r>
              <w:rPr>
                <w:rFonts w:ascii="Arial" w:cs="Arial" w:eastAsia="Arial" w:hAnsi="Arial"/>
                <w:sz w:val="18"/>
                <w:szCs w:val="18"/>
                <w:color w:val="auto"/>
              </w:rPr>
              <w:t>405,844</w:t>
            </w:r>
          </w:p>
        </w:tc>
      </w:tr>
      <w:tr>
        <w:trPr>
          <w:trHeight w:val="256"/>
        </w:trPr>
        <w:tc>
          <w:tcPr>
            <w:tcW w:w="2460" w:type="dxa"/>
            <w:vAlign w:val="bottom"/>
          </w:tcPr>
          <w:p>
            <w:pPr>
              <w:spacing w:after="0"/>
              <w:rPr>
                <w:sz w:val="22"/>
                <w:szCs w:val="22"/>
                <w:color w:val="auto"/>
              </w:rPr>
            </w:pPr>
          </w:p>
        </w:tc>
        <w:tc>
          <w:tcPr>
            <w:tcW w:w="4780" w:type="dxa"/>
            <w:vAlign w:val="bottom"/>
          </w:tcPr>
          <w:p>
            <w:pPr>
              <w:spacing w:after="0"/>
              <w:rPr>
                <w:sz w:val="22"/>
                <w:szCs w:val="22"/>
                <w:color w:val="auto"/>
              </w:rPr>
            </w:pPr>
          </w:p>
        </w:tc>
        <w:tc>
          <w:tcPr>
            <w:tcW w:w="2080" w:type="dxa"/>
            <w:vAlign w:val="bottom"/>
          </w:tcPr>
          <w:p>
            <w:pPr>
              <w:ind w:left="520"/>
              <w:spacing w:after="0"/>
              <w:rPr>
                <w:sz w:val="20"/>
                <w:szCs w:val="20"/>
                <w:color w:val="auto"/>
              </w:rPr>
            </w:pPr>
            <w:r>
              <w:rPr>
                <w:rFonts w:ascii="Arial" w:cs="Arial" w:eastAsia="Arial" w:hAnsi="Arial"/>
                <w:sz w:val="18"/>
                <w:szCs w:val="18"/>
                <w:color w:val="auto"/>
              </w:rPr>
              <w:t>Intercompany</w:t>
            </w:r>
          </w:p>
        </w:tc>
        <w:tc>
          <w:tcPr>
            <w:tcW w:w="1340" w:type="dxa"/>
            <w:vAlign w:val="bottom"/>
          </w:tcPr>
          <w:p>
            <w:pPr>
              <w:spacing w:after="0"/>
              <w:rPr>
                <w:sz w:val="22"/>
                <w:szCs w:val="22"/>
                <w:color w:val="auto"/>
              </w:rPr>
            </w:pPr>
          </w:p>
        </w:tc>
      </w:tr>
      <w:tr>
        <w:trPr>
          <w:trHeight w:val="230"/>
        </w:trPr>
        <w:tc>
          <w:tcPr>
            <w:tcW w:w="2460" w:type="dxa"/>
            <w:vAlign w:val="bottom"/>
          </w:tcPr>
          <w:p>
            <w:pPr>
              <w:spacing w:after="0"/>
              <w:rPr>
                <w:sz w:val="20"/>
                <w:szCs w:val="20"/>
                <w:color w:val="auto"/>
              </w:rPr>
            </w:pPr>
            <w:r>
              <w:rPr>
                <w:rFonts w:ascii="Arial" w:cs="Arial" w:eastAsia="Arial" w:hAnsi="Arial"/>
                <w:sz w:val="18"/>
                <w:szCs w:val="18"/>
                <w:color w:val="auto"/>
              </w:rPr>
              <w:t>EFT Services Holding B.V.</w:t>
            </w:r>
          </w:p>
        </w:tc>
        <w:tc>
          <w:tcPr>
            <w:tcW w:w="4780" w:type="dxa"/>
            <w:vAlign w:val="bottom"/>
          </w:tcPr>
          <w:p>
            <w:pPr>
              <w:ind w:left="460"/>
              <w:spacing w:after="0"/>
              <w:rPr>
                <w:sz w:val="20"/>
                <w:szCs w:val="20"/>
                <w:color w:val="auto"/>
              </w:rPr>
            </w:pPr>
            <w:r>
              <w:rPr>
                <w:rFonts w:ascii="Arial" w:cs="Arial" w:eastAsia="Arial" w:hAnsi="Arial"/>
                <w:sz w:val="18"/>
                <w:szCs w:val="18"/>
                <w:color w:val="auto"/>
              </w:rPr>
              <w:t>Euronet Services Slovakia, spol. s.r.o.</w:t>
            </w:r>
          </w:p>
        </w:tc>
        <w:tc>
          <w:tcPr>
            <w:tcW w:w="2080" w:type="dxa"/>
            <w:vAlign w:val="bottom"/>
          </w:tcPr>
          <w:p>
            <w:pPr>
              <w:ind w:left="520"/>
              <w:spacing w:after="0"/>
              <w:rPr>
                <w:sz w:val="20"/>
                <w:szCs w:val="20"/>
                <w:color w:val="auto"/>
              </w:rPr>
            </w:pPr>
            <w:r>
              <w:rPr>
                <w:rFonts w:ascii="Arial" w:cs="Arial" w:eastAsia="Arial" w:hAnsi="Arial"/>
                <w:sz w:val="18"/>
                <w:szCs w:val="18"/>
                <w:color w:val="auto"/>
              </w:rPr>
              <w:t>Investment</w:t>
            </w:r>
          </w:p>
        </w:tc>
        <w:tc>
          <w:tcPr>
            <w:tcW w:w="1340" w:type="dxa"/>
            <w:vAlign w:val="bottom"/>
          </w:tcPr>
          <w:p>
            <w:pPr>
              <w:jc w:val="right"/>
              <w:spacing w:after="0"/>
              <w:rPr>
                <w:sz w:val="20"/>
                <w:szCs w:val="20"/>
                <w:color w:val="auto"/>
              </w:rPr>
            </w:pPr>
            <w:r>
              <w:rPr>
                <w:rFonts w:ascii="Arial" w:cs="Arial" w:eastAsia="Arial" w:hAnsi="Arial"/>
                <w:sz w:val="18"/>
                <w:szCs w:val="18"/>
                <w:color w:val="auto"/>
              </w:rPr>
              <w:t>2,556,466</w:t>
            </w:r>
          </w:p>
        </w:tc>
      </w:tr>
      <w:tr>
        <w:trPr>
          <w:trHeight w:val="256"/>
        </w:trPr>
        <w:tc>
          <w:tcPr>
            <w:tcW w:w="2460" w:type="dxa"/>
            <w:vAlign w:val="bottom"/>
          </w:tcPr>
          <w:p>
            <w:pPr>
              <w:spacing w:after="0"/>
              <w:rPr>
                <w:sz w:val="22"/>
                <w:szCs w:val="22"/>
                <w:color w:val="auto"/>
              </w:rPr>
            </w:pPr>
          </w:p>
        </w:tc>
        <w:tc>
          <w:tcPr>
            <w:tcW w:w="4780" w:type="dxa"/>
            <w:vAlign w:val="bottom"/>
          </w:tcPr>
          <w:p>
            <w:pPr>
              <w:spacing w:after="0"/>
              <w:rPr>
                <w:sz w:val="22"/>
                <w:szCs w:val="22"/>
                <w:color w:val="auto"/>
              </w:rPr>
            </w:pPr>
          </w:p>
        </w:tc>
        <w:tc>
          <w:tcPr>
            <w:tcW w:w="2080" w:type="dxa"/>
            <w:vAlign w:val="bottom"/>
          </w:tcPr>
          <w:p>
            <w:pPr>
              <w:ind w:left="520"/>
              <w:spacing w:after="0"/>
              <w:rPr>
                <w:sz w:val="20"/>
                <w:szCs w:val="20"/>
                <w:color w:val="auto"/>
              </w:rPr>
            </w:pPr>
            <w:r>
              <w:rPr>
                <w:rFonts w:ascii="Arial" w:cs="Arial" w:eastAsia="Arial" w:hAnsi="Arial"/>
                <w:sz w:val="18"/>
                <w:szCs w:val="18"/>
                <w:color w:val="auto"/>
              </w:rPr>
              <w:t>Intercompany</w:t>
            </w:r>
          </w:p>
        </w:tc>
        <w:tc>
          <w:tcPr>
            <w:tcW w:w="1340" w:type="dxa"/>
            <w:vAlign w:val="bottom"/>
          </w:tcPr>
          <w:p>
            <w:pPr>
              <w:spacing w:after="0"/>
              <w:rPr>
                <w:sz w:val="22"/>
                <w:szCs w:val="22"/>
                <w:color w:val="auto"/>
              </w:rPr>
            </w:pPr>
          </w:p>
        </w:tc>
      </w:tr>
      <w:tr>
        <w:trPr>
          <w:trHeight w:val="230"/>
        </w:trPr>
        <w:tc>
          <w:tcPr>
            <w:tcW w:w="2460" w:type="dxa"/>
            <w:vAlign w:val="bottom"/>
          </w:tcPr>
          <w:p>
            <w:pPr>
              <w:spacing w:after="0"/>
              <w:rPr>
                <w:sz w:val="20"/>
                <w:szCs w:val="20"/>
                <w:color w:val="auto"/>
              </w:rPr>
            </w:pPr>
            <w:r>
              <w:rPr>
                <w:rFonts w:ascii="Arial" w:cs="Arial" w:eastAsia="Arial" w:hAnsi="Arial"/>
                <w:sz w:val="18"/>
                <w:szCs w:val="18"/>
                <w:color w:val="auto"/>
              </w:rPr>
              <w:t>EFT Services Holding B.V.</w:t>
            </w:r>
          </w:p>
        </w:tc>
        <w:tc>
          <w:tcPr>
            <w:tcW w:w="4780" w:type="dxa"/>
            <w:vAlign w:val="bottom"/>
          </w:tcPr>
          <w:p>
            <w:pPr>
              <w:ind w:left="460"/>
              <w:spacing w:after="0"/>
              <w:rPr>
                <w:sz w:val="20"/>
                <w:szCs w:val="20"/>
                <w:color w:val="auto"/>
              </w:rPr>
            </w:pPr>
            <w:r>
              <w:rPr>
                <w:rFonts w:ascii="Arial" w:cs="Arial" w:eastAsia="Arial" w:hAnsi="Arial"/>
                <w:sz w:val="18"/>
                <w:szCs w:val="18"/>
                <w:color w:val="auto"/>
              </w:rPr>
              <w:t>Euronet Services, Spol. s.r.o.</w:t>
            </w:r>
          </w:p>
        </w:tc>
        <w:tc>
          <w:tcPr>
            <w:tcW w:w="2080" w:type="dxa"/>
            <w:vAlign w:val="bottom"/>
          </w:tcPr>
          <w:p>
            <w:pPr>
              <w:ind w:left="520"/>
              <w:spacing w:after="0"/>
              <w:rPr>
                <w:sz w:val="20"/>
                <w:szCs w:val="20"/>
                <w:color w:val="auto"/>
              </w:rPr>
            </w:pPr>
            <w:r>
              <w:rPr>
                <w:rFonts w:ascii="Arial" w:cs="Arial" w:eastAsia="Arial" w:hAnsi="Arial"/>
                <w:sz w:val="18"/>
                <w:szCs w:val="18"/>
                <w:color w:val="auto"/>
              </w:rPr>
              <w:t>Investment</w:t>
            </w:r>
          </w:p>
        </w:tc>
        <w:tc>
          <w:tcPr>
            <w:tcW w:w="1340" w:type="dxa"/>
            <w:vAlign w:val="bottom"/>
          </w:tcPr>
          <w:p>
            <w:pPr>
              <w:jc w:val="right"/>
              <w:spacing w:after="0"/>
              <w:rPr>
                <w:sz w:val="20"/>
                <w:szCs w:val="20"/>
                <w:color w:val="auto"/>
              </w:rPr>
            </w:pPr>
            <w:r>
              <w:rPr>
                <w:rFonts w:ascii="Arial" w:cs="Arial" w:eastAsia="Arial" w:hAnsi="Arial"/>
                <w:sz w:val="18"/>
                <w:szCs w:val="18"/>
                <w:color w:val="auto"/>
              </w:rPr>
              <w:t>5,560,561</w:t>
            </w:r>
          </w:p>
        </w:tc>
      </w:tr>
      <w:tr>
        <w:trPr>
          <w:trHeight w:val="256"/>
        </w:trPr>
        <w:tc>
          <w:tcPr>
            <w:tcW w:w="2460" w:type="dxa"/>
            <w:vAlign w:val="bottom"/>
          </w:tcPr>
          <w:p>
            <w:pPr>
              <w:spacing w:after="0"/>
              <w:rPr>
                <w:sz w:val="22"/>
                <w:szCs w:val="22"/>
                <w:color w:val="auto"/>
              </w:rPr>
            </w:pPr>
          </w:p>
        </w:tc>
        <w:tc>
          <w:tcPr>
            <w:tcW w:w="4780" w:type="dxa"/>
            <w:vAlign w:val="bottom"/>
          </w:tcPr>
          <w:p>
            <w:pPr>
              <w:spacing w:after="0"/>
              <w:rPr>
                <w:sz w:val="22"/>
                <w:szCs w:val="22"/>
                <w:color w:val="auto"/>
              </w:rPr>
            </w:pPr>
          </w:p>
        </w:tc>
        <w:tc>
          <w:tcPr>
            <w:tcW w:w="2080" w:type="dxa"/>
            <w:vAlign w:val="bottom"/>
          </w:tcPr>
          <w:p>
            <w:pPr>
              <w:ind w:left="520"/>
              <w:spacing w:after="0"/>
              <w:rPr>
                <w:sz w:val="20"/>
                <w:szCs w:val="20"/>
                <w:color w:val="auto"/>
              </w:rPr>
            </w:pPr>
            <w:r>
              <w:rPr>
                <w:rFonts w:ascii="Arial" w:cs="Arial" w:eastAsia="Arial" w:hAnsi="Arial"/>
                <w:sz w:val="18"/>
                <w:szCs w:val="18"/>
                <w:color w:val="auto"/>
              </w:rPr>
              <w:t>Intercompany</w:t>
            </w:r>
          </w:p>
        </w:tc>
        <w:tc>
          <w:tcPr>
            <w:tcW w:w="1340" w:type="dxa"/>
            <w:vAlign w:val="bottom"/>
          </w:tcPr>
          <w:p>
            <w:pPr>
              <w:spacing w:after="0"/>
              <w:rPr>
                <w:sz w:val="22"/>
                <w:szCs w:val="22"/>
                <w:color w:val="auto"/>
              </w:rPr>
            </w:pPr>
          </w:p>
        </w:tc>
      </w:tr>
      <w:tr>
        <w:trPr>
          <w:trHeight w:val="230"/>
        </w:trPr>
        <w:tc>
          <w:tcPr>
            <w:tcW w:w="2460" w:type="dxa"/>
            <w:vAlign w:val="bottom"/>
          </w:tcPr>
          <w:p>
            <w:pPr>
              <w:spacing w:after="0"/>
              <w:rPr>
                <w:sz w:val="20"/>
                <w:szCs w:val="20"/>
                <w:color w:val="auto"/>
              </w:rPr>
            </w:pPr>
            <w:r>
              <w:rPr>
                <w:rFonts w:ascii="Arial" w:cs="Arial" w:eastAsia="Arial" w:hAnsi="Arial"/>
                <w:sz w:val="18"/>
                <w:szCs w:val="18"/>
                <w:color w:val="auto"/>
              </w:rPr>
              <w:t>EFT Services Holding B.V.</w:t>
            </w:r>
          </w:p>
        </w:tc>
        <w:tc>
          <w:tcPr>
            <w:tcW w:w="4780" w:type="dxa"/>
            <w:vAlign w:val="bottom"/>
          </w:tcPr>
          <w:p>
            <w:pPr>
              <w:ind w:left="460"/>
              <w:spacing w:after="0"/>
              <w:rPr>
                <w:sz w:val="20"/>
                <w:szCs w:val="20"/>
                <w:color w:val="auto"/>
              </w:rPr>
            </w:pPr>
            <w:r>
              <w:rPr>
                <w:rFonts w:ascii="Arial" w:cs="Arial" w:eastAsia="Arial" w:hAnsi="Arial"/>
                <w:sz w:val="18"/>
                <w:szCs w:val="18"/>
                <w:color w:val="auto"/>
              </w:rPr>
              <w:t>Euronet Services d.o.o.</w:t>
            </w:r>
          </w:p>
        </w:tc>
        <w:tc>
          <w:tcPr>
            <w:tcW w:w="2080" w:type="dxa"/>
            <w:vAlign w:val="bottom"/>
          </w:tcPr>
          <w:p>
            <w:pPr>
              <w:ind w:left="520"/>
              <w:spacing w:after="0"/>
              <w:rPr>
                <w:sz w:val="20"/>
                <w:szCs w:val="20"/>
                <w:color w:val="auto"/>
              </w:rPr>
            </w:pPr>
            <w:r>
              <w:rPr>
                <w:rFonts w:ascii="Arial" w:cs="Arial" w:eastAsia="Arial" w:hAnsi="Arial"/>
                <w:sz w:val="18"/>
                <w:szCs w:val="18"/>
                <w:color w:val="auto"/>
              </w:rPr>
              <w:t>Investment</w:t>
            </w:r>
          </w:p>
        </w:tc>
        <w:tc>
          <w:tcPr>
            <w:tcW w:w="1340" w:type="dxa"/>
            <w:vAlign w:val="bottom"/>
          </w:tcPr>
          <w:p>
            <w:pPr>
              <w:jc w:val="right"/>
              <w:spacing w:after="0"/>
              <w:rPr>
                <w:sz w:val="20"/>
                <w:szCs w:val="20"/>
                <w:color w:val="auto"/>
              </w:rPr>
            </w:pPr>
            <w:r>
              <w:rPr>
                <w:rFonts w:ascii="Arial" w:cs="Arial" w:eastAsia="Arial" w:hAnsi="Arial"/>
                <w:sz w:val="18"/>
                <w:szCs w:val="18"/>
                <w:color w:val="auto"/>
              </w:rPr>
              <w:t>6,082,935</w:t>
            </w:r>
          </w:p>
        </w:tc>
      </w:tr>
      <w:tr>
        <w:trPr>
          <w:trHeight w:val="256"/>
        </w:trPr>
        <w:tc>
          <w:tcPr>
            <w:tcW w:w="2460" w:type="dxa"/>
            <w:vAlign w:val="bottom"/>
          </w:tcPr>
          <w:p>
            <w:pPr>
              <w:spacing w:after="0"/>
              <w:rPr>
                <w:sz w:val="22"/>
                <w:szCs w:val="22"/>
                <w:color w:val="auto"/>
              </w:rPr>
            </w:pPr>
          </w:p>
        </w:tc>
        <w:tc>
          <w:tcPr>
            <w:tcW w:w="4780" w:type="dxa"/>
            <w:vAlign w:val="bottom"/>
          </w:tcPr>
          <w:p>
            <w:pPr>
              <w:spacing w:after="0"/>
              <w:rPr>
                <w:sz w:val="22"/>
                <w:szCs w:val="22"/>
                <w:color w:val="auto"/>
              </w:rPr>
            </w:pPr>
          </w:p>
        </w:tc>
        <w:tc>
          <w:tcPr>
            <w:tcW w:w="2080" w:type="dxa"/>
            <w:vAlign w:val="bottom"/>
          </w:tcPr>
          <w:p>
            <w:pPr>
              <w:ind w:left="520"/>
              <w:spacing w:after="0"/>
              <w:rPr>
                <w:sz w:val="20"/>
                <w:szCs w:val="20"/>
                <w:color w:val="auto"/>
              </w:rPr>
            </w:pPr>
            <w:r>
              <w:rPr>
                <w:rFonts w:ascii="Arial" w:cs="Arial" w:eastAsia="Arial" w:hAnsi="Arial"/>
                <w:sz w:val="18"/>
                <w:szCs w:val="18"/>
                <w:color w:val="auto"/>
              </w:rPr>
              <w:t>Intercompany</w:t>
            </w:r>
          </w:p>
        </w:tc>
        <w:tc>
          <w:tcPr>
            <w:tcW w:w="1340" w:type="dxa"/>
            <w:vAlign w:val="bottom"/>
          </w:tcPr>
          <w:p>
            <w:pPr>
              <w:spacing w:after="0"/>
              <w:rPr>
                <w:sz w:val="22"/>
                <w:szCs w:val="22"/>
                <w:color w:val="auto"/>
              </w:rPr>
            </w:pPr>
          </w:p>
        </w:tc>
      </w:tr>
      <w:tr>
        <w:trPr>
          <w:trHeight w:val="230"/>
        </w:trPr>
        <w:tc>
          <w:tcPr>
            <w:tcW w:w="2460" w:type="dxa"/>
            <w:vAlign w:val="bottom"/>
          </w:tcPr>
          <w:p>
            <w:pPr>
              <w:spacing w:after="0"/>
              <w:rPr>
                <w:sz w:val="20"/>
                <w:szCs w:val="20"/>
                <w:color w:val="auto"/>
              </w:rPr>
            </w:pPr>
            <w:r>
              <w:rPr>
                <w:rFonts w:ascii="Arial" w:cs="Arial" w:eastAsia="Arial" w:hAnsi="Arial"/>
                <w:sz w:val="18"/>
                <w:szCs w:val="18"/>
                <w:color w:val="auto"/>
              </w:rPr>
              <w:t>EFT Services Holding B.V.</w:t>
            </w:r>
          </w:p>
        </w:tc>
        <w:tc>
          <w:tcPr>
            <w:tcW w:w="4780" w:type="dxa"/>
            <w:vAlign w:val="bottom"/>
          </w:tcPr>
          <w:p>
            <w:pPr>
              <w:ind w:left="460"/>
              <w:spacing w:after="0"/>
              <w:rPr>
                <w:sz w:val="20"/>
                <w:szCs w:val="20"/>
                <w:color w:val="auto"/>
              </w:rPr>
            </w:pPr>
            <w:r>
              <w:rPr>
                <w:rFonts w:ascii="Arial" w:cs="Arial" w:eastAsia="Arial" w:hAnsi="Arial"/>
                <w:sz w:val="18"/>
                <w:szCs w:val="18"/>
                <w:color w:val="auto"/>
              </w:rPr>
              <w:t>Ria Money Transfer Services Pvt. Ltd.</w:t>
            </w:r>
          </w:p>
        </w:tc>
        <w:tc>
          <w:tcPr>
            <w:tcW w:w="2080" w:type="dxa"/>
            <w:vAlign w:val="bottom"/>
          </w:tcPr>
          <w:p>
            <w:pPr>
              <w:ind w:left="520"/>
              <w:spacing w:after="0"/>
              <w:rPr>
                <w:sz w:val="20"/>
                <w:szCs w:val="20"/>
                <w:color w:val="auto"/>
              </w:rPr>
            </w:pPr>
            <w:r>
              <w:rPr>
                <w:rFonts w:ascii="Arial" w:cs="Arial" w:eastAsia="Arial" w:hAnsi="Arial"/>
                <w:sz w:val="18"/>
                <w:szCs w:val="18"/>
                <w:color w:val="auto"/>
              </w:rPr>
              <w:t>Investment</w:t>
            </w:r>
          </w:p>
        </w:tc>
        <w:tc>
          <w:tcPr>
            <w:tcW w:w="1340" w:type="dxa"/>
            <w:vAlign w:val="bottom"/>
          </w:tcPr>
          <w:p>
            <w:pPr>
              <w:jc w:val="right"/>
              <w:spacing w:after="0"/>
              <w:rPr>
                <w:sz w:val="20"/>
                <w:szCs w:val="20"/>
                <w:color w:val="auto"/>
              </w:rPr>
            </w:pPr>
            <w:r>
              <w:rPr>
                <w:rFonts w:ascii="Arial" w:cs="Arial" w:eastAsia="Arial" w:hAnsi="Arial"/>
                <w:sz w:val="18"/>
                <w:szCs w:val="18"/>
                <w:color w:val="auto"/>
              </w:rPr>
              <w:t>500,000</w:t>
            </w:r>
          </w:p>
        </w:tc>
      </w:tr>
      <w:tr>
        <w:trPr>
          <w:trHeight w:val="256"/>
        </w:trPr>
        <w:tc>
          <w:tcPr>
            <w:tcW w:w="2460" w:type="dxa"/>
            <w:vAlign w:val="bottom"/>
          </w:tcPr>
          <w:p>
            <w:pPr>
              <w:spacing w:after="0"/>
              <w:rPr>
                <w:sz w:val="22"/>
                <w:szCs w:val="22"/>
                <w:color w:val="auto"/>
              </w:rPr>
            </w:pPr>
          </w:p>
        </w:tc>
        <w:tc>
          <w:tcPr>
            <w:tcW w:w="4780" w:type="dxa"/>
            <w:vAlign w:val="bottom"/>
          </w:tcPr>
          <w:p>
            <w:pPr>
              <w:spacing w:after="0"/>
              <w:rPr>
                <w:sz w:val="22"/>
                <w:szCs w:val="22"/>
                <w:color w:val="auto"/>
              </w:rPr>
            </w:pPr>
          </w:p>
        </w:tc>
        <w:tc>
          <w:tcPr>
            <w:tcW w:w="2080" w:type="dxa"/>
            <w:vAlign w:val="bottom"/>
          </w:tcPr>
          <w:p>
            <w:pPr>
              <w:ind w:left="520"/>
              <w:spacing w:after="0"/>
              <w:rPr>
                <w:sz w:val="20"/>
                <w:szCs w:val="20"/>
                <w:color w:val="auto"/>
              </w:rPr>
            </w:pPr>
            <w:r>
              <w:rPr>
                <w:rFonts w:ascii="Arial" w:cs="Arial" w:eastAsia="Arial" w:hAnsi="Arial"/>
                <w:sz w:val="18"/>
                <w:szCs w:val="18"/>
                <w:color w:val="auto"/>
              </w:rPr>
              <w:t>Intercompany</w:t>
            </w:r>
          </w:p>
        </w:tc>
        <w:tc>
          <w:tcPr>
            <w:tcW w:w="1340" w:type="dxa"/>
            <w:vAlign w:val="bottom"/>
          </w:tcPr>
          <w:p>
            <w:pPr>
              <w:spacing w:after="0"/>
              <w:rPr>
                <w:sz w:val="22"/>
                <w:szCs w:val="22"/>
                <w:color w:val="auto"/>
              </w:rPr>
            </w:pPr>
          </w:p>
        </w:tc>
      </w:tr>
      <w:tr>
        <w:trPr>
          <w:trHeight w:val="230"/>
        </w:trPr>
        <w:tc>
          <w:tcPr>
            <w:tcW w:w="2460" w:type="dxa"/>
            <w:vAlign w:val="bottom"/>
          </w:tcPr>
          <w:p>
            <w:pPr>
              <w:spacing w:after="0"/>
              <w:rPr>
                <w:sz w:val="20"/>
                <w:szCs w:val="20"/>
                <w:color w:val="auto"/>
              </w:rPr>
            </w:pPr>
            <w:r>
              <w:rPr>
                <w:rFonts w:ascii="Arial" w:cs="Arial" w:eastAsia="Arial" w:hAnsi="Arial"/>
                <w:sz w:val="18"/>
                <w:szCs w:val="18"/>
                <w:color w:val="auto"/>
              </w:rPr>
              <w:t>EFT Services Holding B.V.</w:t>
            </w:r>
          </w:p>
        </w:tc>
        <w:tc>
          <w:tcPr>
            <w:tcW w:w="4780" w:type="dxa"/>
            <w:vAlign w:val="bottom"/>
          </w:tcPr>
          <w:p>
            <w:pPr>
              <w:ind w:left="460"/>
              <w:spacing w:after="0"/>
              <w:rPr>
                <w:sz w:val="20"/>
                <w:szCs w:val="20"/>
                <w:color w:val="auto"/>
              </w:rPr>
            </w:pPr>
            <w:r>
              <w:rPr>
                <w:rFonts w:ascii="Arial" w:cs="Arial" w:eastAsia="Arial" w:hAnsi="Arial"/>
                <w:sz w:val="18"/>
                <w:szCs w:val="18"/>
                <w:color w:val="auto"/>
              </w:rPr>
              <w:t>Smart PayNetwork SA</w:t>
            </w:r>
          </w:p>
        </w:tc>
        <w:tc>
          <w:tcPr>
            <w:tcW w:w="2080" w:type="dxa"/>
            <w:vAlign w:val="bottom"/>
          </w:tcPr>
          <w:p>
            <w:pPr>
              <w:ind w:left="520"/>
              <w:spacing w:after="0"/>
              <w:rPr>
                <w:sz w:val="20"/>
                <w:szCs w:val="20"/>
                <w:color w:val="auto"/>
              </w:rPr>
            </w:pPr>
            <w:r>
              <w:rPr>
                <w:rFonts w:ascii="Arial" w:cs="Arial" w:eastAsia="Arial" w:hAnsi="Arial"/>
                <w:sz w:val="18"/>
                <w:szCs w:val="18"/>
                <w:color w:val="auto"/>
              </w:rPr>
              <w:t>Investment</w:t>
            </w:r>
          </w:p>
        </w:tc>
        <w:tc>
          <w:tcPr>
            <w:tcW w:w="1340" w:type="dxa"/>
            <w:vAlign w:val="bottom"/>
          </w:tcPr>
          <w:p>
            <w:pPr>
              <w:jc w:val="right"/>
              <w:spacing w:after="0"/>
              <w:rPr>
                <w:sz w:val="20"/>
                <w:szCs w:val="20"/>
                <w:color w:val="auto"/>
              </w:rPr>
            </w:pPr>
            <w:r>
              <w:rPr>
                <w:rFonts w:ascii="Arial" w:cs="Arial" w:eastAsia="Arial" w:hAnsi="Arial"/>
                <w:sz w:val="18"/>
                <w:szCs w:val="18"/>
                <w:color w:val="auto"/>
              </w:rPr>
              <w:t>18,299,736</w:t>
            </w:r>
          </w:p>
        </w:tc>
      </w:tr>
      <w:tr>
        <w:trPr>
          <w:trHeight w:val="256"/>
        </w:trPr>
        <w:tc>
          <w:tcPr>
            <w:tcW w:w="2460" w:type="dxa"/>
            <w:vAlign w:val="bottom"/>
          </w:tcPr>
          <w:p>
            <w:pPr>
              <w:spacing w:after="0"/>
              <w:rPr>
                <w:sz w:val="22"/>
                <w:szCs w:val="22"/>
                <w:color w:val="auto"/>
              </w:rPr>
            </w:pPr>
          </w:p>
        </w:tc>
        <w:tc>
          <w:tcPr>
            <w:tcW w:w="4780" w:type="dxa"/>
            <w:vAlign w:val="bottom"/>
          </w:tcPr>
          <w:p>
            <w:pPr>
              <w:spacing w:after="0"/>
              <w:rPr>
                <w:sz w:val="22"/>
                <w:szCs w:val="22"/>
                <w:color w:val="auto"/>
              </w:rPr>
            </w:pPr>
          </w:p>
        </w:tc>
        <w:tc>
          <w:tcPr>
            <w:tcW w:w="2080" w:type="dxa"/>
            <w:vAlign w:val="bottom"/>
          </w:tcPr>
          <w:p>
            <w:pPr>
              <w:ind w:left="520"/>
              <w:spacing w:after="0"/>
              <w:rPr>
                <w:sz w:val="20"/>
                <w:szCs w:val="20"/>
                <w:color w:val="auto"/>
              </w:rPr>
            </w:pPr>
            <w:r>
              <w:rPr>
                <w:rFonts w:ascii="Arial" w:cs="Arial" w:eastAsia="Arial" w:hAnsi="Arial"/>
                <w:sz w:val="18"/>
                <w:szCs w:val="18"/>
                <w:color w:val="auto"/>
              </w:rPr>
              <w:t>Intercompany</w:t>
            </w:r>
          </w:p>
        </w:tc>
        <w:tc>
          <w:tcPr>
            <w:tcW w:w="1340" w:type="dxa"/>
            <w:vAlign w:val="bottom"/>
          </w:tcPr>
          <w:p>
            <w:pPr>
              <w:spacing w:after="0"/>
              <w:rPr>
                <w:sz w:val="22"/>
                <w:szCs w:val="22"/>
                <w:color w:val="auto"/>
              </w:rPr>
            </w:pPr>
          </w:p>
        </w:tc>
      </w:tr>
      <w:tr>
        <w:trPr>
          <w:trHeight w:val="230"/>
        </w:trPr>
        <w:tc>
          <w:tcPr>
            <w:tcW w:w="2460" w:type="dxa"/>
            <w:vAlign w:val="bottom"/>
          </w:tcPr>
          <w:p>
            <w:pPr>
              <w:spacing w:after="0"/>
              <w:rPr>
                <w:sz w:val="20"/>
                <w:szCs w:val="20"/>
                <w:color w:val="auto"/>
              </w:rPr>
            </w:pPr>
            <w:r>
              <w:rPr>
                <w:rFonts w:ascii="Arial" w:cs="Arial" w:eastAsia="Arial" w:hAnsi="Arial"/>
                <w:sz w:val="18"/>
                <w:szCs w:val="18"/>
                <w:color w:val="auto"/>
              </w:rPr>
              <w:t>EFT Services Holding B.V.</w:t>
            </w:r>
          </w:p>
        </w:tc>
        <w:tc>
          <w:tcPr>
            <w:tcW w:w="4780" w:type="dxa"/>
            <w:vAlign w:val="bottom"/>
          </w:tcPr>
          <w:p>
            <w:pPr>
              <w:ind w:left="460"/>
              <w:spacing w:after="0"/>
              <w:rPr>
                <w:sz w:val="20"/>
                <w:szCs w:val="20"/>
                <w:color w:val="auto"/>
              </w:rPr>
            </w:pPr>
            <w:r>
              <w:rPr>
                <w:rFonts w:ascii="Arial" w:cs="Arial" w:eastAsia="Arial" w:hAnsi="Arial"/>
                <w:sz w:val="18"/>
                <w:szCs w:val="18"/>
                <w:color w:val="auto"/>
              </w:rPr>
              <w:t>Universal Solution Providers FZ-LLC</w:t>
            </w:r>
          </w:p>
        </w:tc>
        <w:tc>
          <w:tcPr>
            <w:tcW w:w="2080" w:type="dxa"/>
            <w:vAlign w:val="bottom"/>
          </w:tcPr>
          <w:p>
            <w:pPr>
              <w:ind w:left="520"/>
              <w:spacing w:after="0"/>
              <w:rPr>
                <w:sz w:val="20"/>
                <w:szCs w:val="20"/>
                <w:color w:val="auto"/>
              </w:rPr>
            </w:pPr>
            <w:r>
              <w:rPr>
                <w:rFonts w:ascii="Arial" w:cs="Arial" w:eastAsia="Arial" w:hAnsi="Arial"/>
                <w:sz w:val="18"/>
                <w:szCs w:val="18"/>
                <w:color w:val="auto"/>
              </w:rPr>
              <w:t>Investment</w:t>
            </w:r>
          </w:p>
        </w:tc>
        <w:tc>
          <w:tcPr>
            <w:tcW w:w="1340" w:type="dxa"/>
            <w:vAlign w:val="bottom"/>
          </w:tcPr>
          <w:p>
            <w:pPr>
              <w:jc w:val="right"/>
              <w:spacing w:after="0"/>
              <w:rPr>
                <w:sz w:val="20"/>
                <w:szCs w:val="20"/>
                <w:color w:val="auto"/>
              </w:rPr>
            </w:pPr>
            <w:r>
              <w:rPr>
                <w:rFonts w:ascii="Arial" w:cs="Arial" w:eastAsia="Arial" w:hAnsi="Arial"/>
                <w:sz w:val="18"/>
                <w:szCs w:val="18"/>
                <w:color w:val="auto"/>
              </w:rPr>
              <w:t>13,949</w:t>
            </w:r>
          </w:p>
        </w:tc>
      </w:tr>
      <w:tr>
        <w:trPr>
          <w:trHeight w:val="256"/>
        </w:trPr>
        <w:tc>
          <w:tcPr>
            <w:tcW w:w="2460" w:type="dxa"/>
            <w:vAlign w:val="bottom"/>
          </w:tcPr>
          <w:p>
            <w:pPr>
              <w:spacing w:after="0"/>
              <w:rPr>
                <w:sz w:val="22"/>
                <w:szCs w:val="22"/>
                <w:color w:val="auto"/>
              </w:rPr>
            </w:pPr>
          </w:p>
        </w:tc>
        <w:tc>
          <w:tcPr>
            <w:tcW w:w="4780" w:type="dxa"/>
            <w:vAlign w:val="bottom"/>
          </w:tcPr>
          <w:p>
            <w:pPr>
              <w:spacing w:after="0"/>
              <w:rPr>
                <w:sz w:val="22"/>
                <w:szCs w:val="22"/>
                <w:color w:val="auto"/>
              </w:rPr>
            </w:pPr>
          </w:p>
        </w:tc>
        <w:tc>
          <w:tcPr>
            <w:tcW w:w="2080" w:type="dxa"/>
            <w:vAlign w:val="bottom"/>
          </w:tcPr>
          <w:p>
            <w:pPr>
              <w:ind w:left="520"/>
              <w:spacing w:after="0"/>
              <w:rPr>
                <w:sz w:val="20"/>
                <w:szCs w:val="20"/>
                <w:color w:val="auto"/>
              </w:rPr>
            </w:pPr>
            <w:r>
              <w:rPr>
                <w:rFonts w:ascii="Arial" w:cs="Arial" w:eastAsia="Arial" w:hAnsi="Arial"/>
                <w:sz w:val="18"/>
                <w:szCs w:val="18"/>
                <w:color w:val="auto"/>
              </w:rPr>
              <w:t>Intercompany</w:t>
            </w:r>
          </w:p>
        </w:tc>
        <w:tc>
          <w:tcPr>
            <w:tcW w:w="1340" w:type="dxa"/>
            <w:vAlign w:val="bottom"/>
          </w:tcPr>
          <w:p>
            <w:pPr>
              <w:spacing w:after="0"/>
              <w:rPr>
                <w:sz w:val="22"/>
                <w:szCs w:val="22"/>
                <w:color w:val="auto"/>
              </w:rPr>
            </w:pPr>
          </w:p>
        </w:tc>
      </w:tr>
      <w:tr>
        <w:trPr>
          <w:trHeight w:val="230"/>
        </w:trPr>
        <w:tc>
          <w:tcPr>
            <w:tcW w:w="2460" w:type="dxa"/>
            <w:vAlign w:val="bottom"/>
          </w:tcPr>
          <w:p>
            <w:pPr>
              <w:spacing w:after="0"/>
              <w:rPr>
                <w:sz w:val="20"/>
                <w:szCs w:val="20"/>
                <w:color w:val="auto"/>
              </w:rPr>
            </w:pPr>
            <w:r>
              <w:rPr>
                <w:rFonts w:ascii="Arial" w:cs="Arial" w:eastAsia="Arial" w:hAnsi="Arial"/>
                <w:sz w:val="18"/>
                <w:szCs w:val="18"/>
                <w:color w:val="auto"/>
              </w:rPr>
              <w:t>EFT Services Holding B.V.</w:t>
            </w:r>
          </w:p>
        </w:tc>
        <w:tc>
          <w:tcPr>
            <w:tcW w:w="4780" w:type="dxa"/>
            <w:vAlign w:val="bottom"/>
          </w:tcPr>
          <w:p>
            <w:pPr>
              <w:ind w:left="460"/>
              <w:spacing w:after="0"/>
              <w:rPr>
                <w:sz w:val="20"/>
                <w:szCs w:val="20"/>
                <w:color w:val="auto"/>
              </w:rPr>
            </w:pPr>
            <w:r>
              <w:rPr>
                <w:rFonts w:ascii="Arial" w:cs="Arial" w:eastAsia="Arial" w:hAnsi="Arial"/>
                <w:sz w:val="18"/>
                <w:szCs w:val="18"/>
                <w:color w:val="auto"/>
              </w:rPr>
              <w:t>XBA Szolgaltato Kft.</w:t>
            </w:r>
          </w:p>
        </w:tc>
        <w:tc>
          <w:tcPr>
            <w:tcW w:w="2080" w:type="dxa"/>
            <w:vAlign w:val="bottom"/>
          </w:tcPr>
          <w:p>
            <w:pPr>
              <w:ind w:left="520"/>
              <w:spacing w:after="0"/>
              <w:rPr>
                <w:sz w:val="20"/>
                <w:szCs w:val="20"/>
                <w:color w:val="auto"/>
              </w:rPr>
            </w:pPr>
            <w:r>
              <w:rPr>
                <w:rFonts w:ascii="Arial" w:cs="Arial" w:eastAsia="Arial" w:hAnsi="Arial"/>
                <w:sz w:val="18"/>
                <w:szCs w:val="18"/>
                <w:color w:val="auto"/>
              </w:rPr>
              <w:t>Investment</w:t>
            </w:r>
          </w:p>
        </w:tc>
        <w:tc>
          <w:tcPr>
            <w:tcW w:w="1340" w:type="dxa"/>
            <w:vAlign w:val="bottom"/>
          </w:tcPr>
          <w:p>
            <w:pPr>
              <w:jc w:val="right"/>
              <w:spacing w:after="0"/>
              <w:rPr>
                <w:sz w:val="20"/>
                <w:szCs w:val="20"/>
                <w:color w:val="auto"/>
              </w:rPr>
            </w:pPr>
            <w:r>
              <w:rPr>
                <w:rFonts w:ascii="Arial" w:cs="Arial" w:eastAsia="Arial" w:hAnsi="Arial"/>
                <w:sz w:val="18"/>
                <w:szCs w:val="18"/>
                <w:color w:val="auto"/>
              </w:rPr>
              <w:t>4,894,430</w:t>
            </w:r>
          </w:p>
        </w:tc>
      </w:tr>
    </w:tbl>
    <w:p>
      <w:pPr>
        <w:sectPr>
          <w:pgSz w:w="11900" w:h="16838" w:orient="portrait"/>
          <w:cols w:equalWidth="0" w:num="1">
            <w:col w:w="10660"/>
          </w:cols>
          <w:pgMar w:left="580" w:top="530" w:right="659" w:bottom="1440" w:gutter="0" w:footer="0" w:header="0"/>
        </w:sectPr>
      </w:pPr>
    </w:p>
    <w:bookmarkStart w:id="281" w:name="page282"/>
    <w:bookmarkEnd w:id="28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740" w:type="dxa"/>
            <w:vAlign w:val="bottom"/>
          </w:tcPr>
          <w:p>
            <w:pPr>
              <w:spacing w:after="0"/>
              <w:rPr>
                <w:sz w:val="18"/>
                <w:szCs w:val="18"/>
                <w:color w:val="auto"/>
              </w:rPr>
            </w:pPr>
          </w:p>
        </w:tc>
        <w:tc>
          <w:tcPr>
            <w:tcW w:w="4900" w:type="dxa"/>
            <w:vAlign w:val="bottom"/>
          </w:tcPr>
          <w:p>
            <w:pPr>
              <w:spacing w:after="0"/>
              <w:rPr>
                <w:sz w:val="18"/>
                <w:szCs w:val="18"/>
                <w:color w:val="auto"/>
              </w:rPr>
            </w:pPr>
          </w:p>
        </w:tc>
        <w:tc>
          <w:tcPr>
            <w:tcW w:w="1680" w:type="dxa"/>
            <w:vAlign w:val="bottom"/>
          </w:tcPr>
          <w:p>
            <w:pPr>
              <w:ind w:left="120"/>
              <w:spacing w:after="0"/>
              <w:rPr>
                <w:sz w:val="20"/>
                <w:szCs w:val="20"/>
                <w:color w:val="auto"/>
              </w:rPr>
            </w:pPr>
            <w:r>
              <w:rPr>
                <w:rFonts w:ascii="Arial" w:cs="Arial" w:eastAsia="Arial" w:hAnsi="Arial"/>
                <w:sz w:val="18"/>
                <w:szCs w:val="18"/>
                <w:color w:val="auto"/>
              </w:rPr>
              <w:t>Intercompany</w:t>
            </w:r>
          </w:p>
        </w:tc>
        <w:tc>
          <w:tcPr>
            <w:tcW w:w="1340" w:type="dxa"/>
            <w:vAlign w:val="bottom"/>
          </w:tcPr>
          <w:p>
            <w:pPr>
              <w:spacing w:after="0"/>
              <w:rPr>
                <w:sz w:val="18"/>
                <w:szCs w:val="18"/>
                <w:color w:val="auto"/>
              </w:rPr>
            </w:pPr>
          </w:p>
        </w:tc>
      </w:tr>
      <w:tr>
        <w:trPr>
          <w:trHeight w:val="230"/>
        </w:trPr>
        <w:tc>
          <w:tcPr>
            <w:tcW w:w="2740" w:type="dxa"/>
            <w:vAlign w:val="bottom"/>
          </w:tcPr>
          <w:p>
            <w:pPr>
              <w:spacing w:after="0"/>
              <w:rPr>
                <w:sz w:val="20"/>
                <w:szCs w:val="20"/>
                <w:color w:val="auto"/>
              </w:rPr>
            </w:pPr>
            <w:r>
              <w:rPr>
                <w:rFonts w:ascii="Arial" w:cs="Arial" w:eastAsia="Arial" w:hAnsi="Arial"/>
                <w:sz w:val="18"/>
                <w:szCs w:val="18"/>
                <w:color w:val="auto"/>
              </w:rPr>
              <w:t>epay Australia Holdings Pty Ltd</w:t>
            </w:r>
          </w:p>
        </w:tc>
        <w:tc>
          <w:tcPr>
            <w:tcW w:w="4900" w:type="dxa"/>
            <w:vAlign w:val="bottom"/>
          </w:tcPr>
          <w:p>
            <w:pPr>
              <w:ind w:left="200"/>
              <w:spacing w:after="0"/>
              <w:rPr>
                <w:sz w:val="20"/>
                <w:szCs w:val="20"/>
                <w:color w:val="auto"/>
              </w:rPr>
            </w:pPr>
            <w:r>
              <w:rPr>
                <w:rFonts w:ascii="Arial" w:cs="Arial" w:eastAsia="Arial" w:hAnsi="Arial"/>
                <w:sz w:val="18"/>
                <w:szCs w:val="18"/>
                <w:color w:val="auto"/>
              </w:rPr>
              <w:t>epay Australia Pty Ltd</w:t>
            </w:r>
          </w:p>
        </w:tc>
        <w:tc>
          <w:tcPr>
            <w:tcW w:w="1680" w:type="dxa"/>
            <w:vAlign w:val="bottom"/>
          </w:tcPr>
          <w:p>
            <w:pPr>
              <w:ind w:left="120"/>
              <w:spacing w:after="0"/>
              <w:rPr>
                <w:sz w:val="20"/>
                <w:szCs w:val="20"/>
                <w:color w:val="auto"/>
              </w:rPr>
            </w:pPr>
            <w:r>
              <w:rPr>
                <w:rFonts w:ascii="Arial" w:cs="Arial" w:eastAsia="Arial" w:hAnsi="Arial"/>
                <w:sz w:val="18"/>
                <w:szCs w:val="18"/>
                <w:color w:val="auto"/>
              </w:rPr>
              <w:t>Investment</w:t>
            </w:r>
          </w:p>
        </w:tc>
        <w:tc>
          <w:tcPr>
            <w:tcW w:w="1340" w:type="dxa"/>
            <w:vAlign w:val="bottom"/>
          </w:tcPr>
          <w:p>
            <w:pPr>
              <w:jc w:val="right"/>
              <w:spacing w:after="0"/>
              <w:rPr>
                <w:sz w:val="20"/>
                <w:szCs w:val="20"/>
                <w:color w:val="auto"/>
              </w:rPr>
            </w:pPr>
            <w:r>
              <w:rPr>
                <w:rFonts w:ascii="Arial" w:cs="Arial" w:eastAsia="Arial" w:hAnsi="Arial"/>
                <w:sz w:val="18"/>
                <w:szCs w:val="18"/>
                <w:color w:val="auto"/>
              </w:rPr>
              <w:t>14,371,525</w:t>
            </w:r>
          </w:p>
        </w:tc>
      </w:tr>
      <w:tr>
        <w:trPr>
          <w:trHeight w:val="256"/>
        </w:trPr>
        <w:tc>
          <w:tcPr>
            <w:tcW w:w="2740" w:type="dxa"/>
            <w:vAlign w:val="bottom"/>
          </w:tcPr>
          <w:p>
            <w:pPr>
              <w:spacing w:after="0"/>
              <w:rPr>
                <w:sz w:val="22"/>
                <w:szCs w:val="22"/>
                <w:color w:val="auto"/>
              </w:rPr>
            </w:pPr>
          </w:p>
        </w:tc>
        <w:tc>
          <w:tcPr>
            <w:tcW w:w="4900" w:type="dxa"/>
            <w:vAlign w:val="bottom"/>
          </w:tcPr>
          <w:p>
            <w:pPr>
              <w:spacing w:after="0"/>
              <w:rPr>
                <w:sz w:val="22"/>
                <w:szCs w:val="22"/>
                <w:color w:val="auto"/>
              </w:rPr>
            </w:pPr>
          </w:p>
        </w:tc>
        <w:tc>
          <w:tcPr>
            <w:tcW w:w="1680" w:type="dxa"/>
            <w:vAlign w:val="bottom"/>
          </w:tcPr>
          <w:p>
            <w:pPr>
              <w:ind w:left="120"/>
              <w:spacing w:after="0"/>
              <w:rPr>
                <w:sz w:val="20"/>
                <w:szCs w:val="20"/>
                <w:color w:val="auto"/>
              </w:rPr>
            </w:pPr>
            <w:r>
              <w:rPr>
                <w:rFonts w:ascii="Arial" w:cs="Arial" w:eastAsia="Arial" w:hAnsi="Arial"/>
                <w:sz w:val="18"/>
                <w:szCs w:val="18"/>
                <w:color w:val="auto"/>
              </w:rPr>
              <w:t>Intercompany</w:t>
            </w:r>
          </w:p>
        </w:tc>
        <w:tc>
          <w:tcPr>
            <w:tcW w:w="1340" w:type="dxa"/>
            <w:vAlign w:val="bottom"/>
          </w:tcPr>
          <w:p>
            <w:pPr>
              <w:spacing w:after="0"/>
              <w:rPr>
                <w:sz w:val="22"/>
                <w:szCs w:val="22"/>
                <w:color w:val="auto"/>
              </w:rPr>
            </w:pPr>
          </w:p>
        </w:tc>
      </w:tr>
      <w:tr>
        <w:trPr>
          <w:trHeight w:val="230"/>
        </w:trPr>
        <w:tc>
          <w:tcPr>
            <w:tcW w:w="2740" w:type="dxa"/>
            <w:vAlign w:val="bottom"/>
          </w:tcPr>
          <w:p>
            <w:pPr>
              <w:spacing w:after="0"/>
              <w:rPr>
                <w:sz w:val="20"/>
                <w:szCs w:val="20"/>
                <w:color w:val="auto"/>
              </w:rPr>
            </w:pPr>
            <w:r>
              <w:rPr>
                <w:rFonts w:ascii="Arial" w:cs="Arial" w:eastAsia="Arial" w:hAnsi="Arial"/>
                <w:sz w:val="18"/>
                <w:szCs w:val="18"/>
                <w:color w:val="auto"/>
              </w:rPr>
              <w:t>epay Australia Holdings Pty Ltd</w:t>
            </w:r>
          </w:p>
        </w:tc>
        <w:tc>
          <w:tcPr>
            <w:tcW w:w="4900" w:type="dxa"/>
            <w:vAlign w:val="bottom"/>
          </w:tcPr>
          <w:p>
            <w:pPr>
              <w:ind w:left="200"/>
              <w:spacing w:after="0"/>
              <w:rPr>
                <w:sz w:val="20"/>
                <w:szCs w:val="20"/>
                <w:color w:val="auto"/>
              </w:rPr>
            </w:pPr>
            <w:r>
              <w:rPr>
                <w:rFonts w:ascii="Arial" w:cs="Arial" w:eastAsia="Arial" w:hAnsi="Arial"/>
                <w:sz w:val="18"/>
                <w:szCs w:val="18"/>
                <w:color w:val="auto"/>
              </w:rPr>
              <w:t>Pure Commerce Pty Limited</w:t>
            </w:r>
          </w:p>
        </w:tc>
        <w:tc>
          <w:tcPr>
            <w:tcW w:w="1680" w:type="dxa"/>
            <w:vAlign w:val="bottom"/>
          </w:tcPr>
          <w:p>
            <w:pPr>
              <w:ind w:left="120"/>
              <w:spacing w:after="0"/>
              <w:rPr>
                <w:sz w:val="20"/>
                <w:szCs w:val="20"/>
                <w:color w:val="auto"/>
              </w:rPr>
            </w:pPr>
            <w:r>
              <w:rPr>
                <w:rFonts w:ascii="Arial" w:cs="Arial" w:eastAsia="Arial" w:hAnsi="Arial"/>
                <w:sz w:val="18"/>
                <w:szCs w:val="18"/>
                <w:color w:val="auto"/>
              </w:rPr>
              <w:t>Investment</w:t>
            </w:r>
          </w:p>
        </w:tc>
        <w:tc>
          <w:tcPr>
            <w:tcW w:w="1340" w:type="dxa"/>
            <w:vAlign w:val="bottom"/>
          </w:tcPr>
          <w:p>
            <w:pPr>
              <w:jc w:val="right"/>
              <w:spacing w:after="0"/>
              <w:rPr>
                <w:sz w:val="20"/>
                <w:szCs w:val="20"/>
                <w:color w:val="auto"/>
              </w:rPr>
            </w:pPr>
            <w:r>
              <w:rPr>
                <w:rFonts w:ascii="Arial" w:cs="Arial" w:eastAsia="Arial" w:hAnsi="Arial"/>
                <w:sz w:val="18"/>
                <w:szCs w:val="18"/>
                <w:color w:val="auto"/>
              </w:rPr>
              <w:t>58,268,314</w:t>
            </w:r>
          </w:p>
        </w:tc>
      </w:tr>
      <w:tr>
        <w:trPr>
          <w:trHeight w:val="256"/>
        </w:trPr>
        <w:tc>
          <w:tcPr>
            <w:tcW w:w="2740" w:type="dxa"/>
            <w:vAlign w:val="bottom"/>
          </w:tcPr>
          <w:p>
            <w:pPr>
              <w:spacing w:after="0"/>
              <w:rPr>
                <w:sz w:val="22"/>
                <w:szCs w:val="22"/>
                <w:color w:val="auto"/>
              </w:rPr>
            </w:pPr>
          </w:p>
        </w:tc>
        <w:tc>
          <w:tcPr>
            <w:tcW w:w="4900" w:type="dxa"/>
            <w:vAlign w:val="bottom"/>
          </w:tcPr>
          <w:p>
            <w:pPr>
              <w:spacing w:after="0"/>
              <w:rPr>
                <w:sz w:val="22"/>
                <w:szCs w:val="22"/>
                <w:color w:val="auto"/>
              </w:rPr>
            </w:pPr>
          </w:p>
        </w:tc>
        <w:tc>
          <w:tcPr>
            <w:tcW w:w="1680" w:type="dxa"/>
            <w:vAlign w:val="bottom"/>
          </w:tcPr>
          <w:p>
            <w:pPr>
              <w:ind w:left="120"/>
              <w:spacing w:after="0"/>
              <w:rPr>
                <w:sz w:val="20"/>
                <w:szCs w:val="20"/>
                <w:color w:val="auto"/>
              </w:rPr>
            </w:pPr>
            <w:r>
              <w:rPr>
                <w:rFonts w:ascii="Arial" w:cs="Arial" w:eastAsia="Arial" w:hAnsi="Arial"/>
                <w:sz w:val="18"/>
                <w:szCs w:val="18"/>
                <w:color w:val="auto"/>
              </w:rPr>
              <w:t>Intercompany</w:t>
            </w:r>
          </w:p>
        </w:tc>
        <w:tc>
          <w:tcPr>
            <w:tcW w:w="1340" w:type="dxa"/>
            <w:vAlign w:val="bottom"/>
          </w:tcPr>
          <w:p>
            <w:pPr>
              <w:spacing w:after="0"/>
              <w:rPr>
                <w:sz w:val="22"/>
                <w:szCs w:val="22"/>
                <w:color w:val="auto"/>
              </w:rPr>
            </w:pPr>
          </w:p>
        </w:tc>
      </w:tr>
      <w:tr>
        <w:trPr>
          <w:trHeight w:val="230"/>
        </w:trPr>
        <w:tc>
          <w:tcPr>
            <w:tcW w:w="2740" w:type="dxa"/>
            <w:vAlign w:val="bottom"/>
          </w:tcPr>
          <w:p>
            <w:pPr>
              <w:spacing w:after="0"/>
              <w:rPr>
                <w:sz w:val="20"/>
                <w:szCs w:val="20"/>
                <w:color w:val="auto"/>
              </w:rPr>
            </w:pPr>
            <w:r>
              <w:rPr>
                <w:rFonts w:ascii="Arial" w:cs="Arial" w:eastAsia="Arial" w:hAnsi="Arial"/>
                <w:sz w:val="18"/>
                <w:szCs w:val="18"/>
                <w:color w:val="auto"/>
              </w:rPr>
              <w:t>epay Australia Holdings Pty Ltd</w:t>
            </w:r>
          </w:p>
        </w:tc>
        <w:tc>
          <w:tcPr>
            <w:tcW w:w="4900" w:type="dxa"/>
            <w:vAlign w:val="bottom"/>
          </w:tcPr>
          <w:p>
            <w:pPr>
              <w:ind w:left="200"/>
              <w:spacing w:after="0"/>
              <w:rPr>
                <w:sz w:val="20"/>
                <w:szCs w:val="20"/>
                <w:color w:val="auto"/>
              </w:rPr>
            </w:pPr>
            <w:r>
              <w:rPr>
                <w:rFonts w:ascii="Arial" w:cs="Arial" w:eastAsia="Arial" w:hAnsi="Arial"/>
                <w:sz w:val="18"/>
                <w:szCs w:val="18"/>
                <w:color w:val="auto"/>
              </w:rPr>
              <w:t>RIA Financial Services Australia Pty. Ltd.</w:t>
            </w:r>
          </w:p>
        </w:tc>
        <w:tc>
          <w:tcPr>
            <w:tcW w:w="1680" w:type="dxa"/>
            <w:vAlign w:val="bottom"/>
          </w:tcPr>
          <w:p>
            <w:pPr>
              <w:ind w:left="120"/>
              <w:spacing w:after="0"/>
              <w:rPr>
                <w:sz w:val="20"/>
                <w:szCs w:val="20"/>
                <w:color w:val="auto"/>
              </w:rPr>
            </w:pPr>
            <w:r>
              <w:rPr>
                <w:rFonts w:ascii="Arial" w:cs="Arial" w:eastAsia="Arial" w:hAnsi="Arial"/>
                <w:sz w:val="18"/>
                <w:szCs w:val="18"/>
                <w:color w:val="auto"/>
              </w:rPr>
              <w:t>Investment</w:t>
            </w:r>
          </w:p>
        </w:tc>
        <w:tc>
          <w:tcPr>
            <w:tcW w:w="1340" w:type="dxa"/>
            <w:vAlign w:val="bottom"/>
          </w:tcPr>
          <w:p>
            <w:pPr>
              <w:jc w:val="right"/>
              <w:spacing w:after="0"/>
              <w:rPr>
                <w:sz w:val="20"/>
                <w:szCs w:val="20"/>
                <w:color w:val="auto"/>
              </w:rPr>
            </w:pPr>
            <w:r>
              <w:rPr>
                <w:rFonts w:ascii="Arial" w:cs="Arial" w:eastAsia="Arial" w:hAnsi="Arial"/>
                <w:sz w:val="18"/>
                <w:szCs w:val="18"/>
                <w:color w:val="auto"/>
              </w:rPr>
              <w:t>7,071,789</w:t>
            </w:r>
          </w:p>
        </w:tc>
      </w:tr>
      <w:tr>
        <w:trPr>
          <w:trHeight w:val="256"/>
        </w:trPr>
        <w:tc>
          <w:tcPr>
            <w:tcW w:w="2740" w:type="dxa"/>
            <w:vAlign w:val="bottom"/>
          </w:tcPr>
          <w:p>
            <w:pPr>
              <w:spacing w:after="0"/>
              <w:rPr>
                <w:sz w:val="22"/>
                <w:szCs w:val="22"/>
                <w:color w:val="auto"/>
              </w:rPr>
            </w:pPr>
          </w:p>
        </w:tc>
        <w:tc>
          <w:tcPr>
            <w:tcW w:w="4900" w:type="dxa"/>
            <w:vAlign w:val="bottom"/>
          </w:tcPr>
          <w:p>
            <w:pPr>
              <w:spacing w:after="0"/>
              <w:rPr>
                <w:sz w:val="22"/>
                <w:szCs w:val="22"/>
                <w:color w:val="auto"/>
              </w:rPr>
            </w:pPr>
          </w:p>
        </w:tc>
        <w:tc>
          <w:tcPr>
            <w:tcW w:w="1680" w:type="dxa"/>
            <w:vAlign w:val="bottom"/>
          </w:tcPr>
          <w:p>
            <w:pPr>
              <w:ind w:left="120"/>
              <w:spacing w:after="0"/>
              <w:rPr>
                <w:sz w:val="20"/>
                <w:szCs w:val="20"/>
                <w:color w:val="auto"/>
              </w:rPr>
            </w:pPr>
            <w:r>
              <w:rPr>
                <w:rFonts w:ascii="Arial" w:cs="Arial" w:eastAsia="Arial" w:hAnsi="Arial"/>
                <w:sz w:val="18"/>
                <w:szCs w:val="18"/>
                <w:color w:val="auto"/>
              </w:rPr>
              <w:t>Intercompany</w:t>
            </w:r>
          </w:p>
        </w:tc>
        <w:tc>
          <w:tcPr>
            <w:tcW w:w="1340" w:type="dxa"/>
            <w:vAlign w:val="bottom"/>
          </w:tcPr>
          <w:p>
            <w:pPr>
              <w:spacing w:after="0"/>
              <w:rPr>
                <w:sz w:val="22"/>
                <w:szCs w:val="22"/>
                <w:color w:val="auto"/>
              </w:rPr>
            </w:pPr>
          </w:p>
        </w:tc>
      </w:tr>
      <w:tr>
        <w:trPr>
          <w:trHeight w:val="230"/>
        </w:trPr>
        <w:tc>
          <w:tcPr>
            <w:tcW w:w="2740" w:type="dxa"/>
            <w:vAlign w:val="bottom"/>
          </w:tcPr>
          <w:p>
            <w:pPr>
              <w:spacing w:after="0"/>
              <w:rPr>
                <w:sz w:val="20"/>
                <w:szCs w:val="20"/>
                <w:color w:val="auto"/>
              </w:rPr>
            </w:pPr>
            <w:r>
              <w:rPr>
                <w:rFonts w:ascii="Arial" w:cs="Arial" w:eastAsia="Arial" w:hAnsi="Arial"/>
                <w:sz w:val="18"/>
                <w:szCs w:val="18"/>
                <w:color w:val="auto"/>
              </w:rPr>
              <w:t>epay Australia Holdings Pty Ltd</w:t>
            </w:r>
          </w:p>
        </w:tc>
        <w:tc>
          <w:tcPr>
            <w:tcW w:w="4900" w:type="dxa"/>
            <w:vAlign w:val="bottom"/>
          </w:tcPr>
          <w:p>
            <w:pPr>
              <w:ind w:left="200"/>
              <w:spacing w:after="0"/>
              <w:rPr>
                <w:sz w:val="20"/>
                <w:szCs w:val="20"/>
                <w:color w:val="auto"/>
              </w:rPr>
            </w:pPr>
            <w:r>
              <w:rPr>
                <w:rFonts w:ascii="Arial" w:cs="Arial" w:eastAsia="Arial" w:hAnsi="Arial"/>
                <w:sz w:val="18"/>
                <w:szCs w:val="18"/>
                <w:color w:val="auto"/>
              </w:rPr>
              <w:t>Telecomnet LLC</w:t>
            </w:r>
          </w:p>
        </w:tc>
        <w:tc>
          <w:tcPr>
            <w:tcW w:w="1680" w:type="dxa"/>
            <w:vAlign w:val="bottom"/>
          </w:tcPr>
          <w:p>
            <w:pPr>
              <w:ind w:left="120"/>
              <w:spacing w:after="0"/>
              <w:rPr>
                <w:sz w:val="20"/>
                <w:szCs w:val="20"/>
                <w:color w:val="auto"/>
              </w:rPr>
            </w:pPr>
            <w:r>
              <w:rPr>
                <w:rFonts w:ascii="Arial" w:cs="Arial" w:eastAsia="Arial" w:hAnsi="Arial"/>
                <w:sz w:val="18"/>
                <w:szCs w:val="18"/>
                <w:color w:val="auto"/>
              </w:rPr>
              <w:t>Investment</w:t>
            </w:r>
          </w:p>
        </w:tc>
        <w:tc>
          <w:tcPr>
            <w:tcW w:w="1340" w:type="dxa"/>
            <w:vAlign w:val="bottom"/>
          </w:tcPr>
          <w:p>
            <w:pPr>
              <w:jc w:val="right"/>
              <w:spacing w:after="0"/>
              <w:rPr>
                <w:sz w:val="20"/>
                <w:szCs w:val="20"/>
                <w:color w:val="auto"/>
              </w:rPr>
            </w:pPr>
            <w:r>
              <w:rPr>
                <w:rFonts w:ascii="Arial" w:cs="Arial" w:eastAsia="Arial" w:hAnsi="Arial"/>
                <w:sz w:val="18"/>
                <w:szCs w:val="18"/>
                <w:color w:val="auto"/>
              </w:rPr>
              <w:t>40,870,000</w:t>
            </w:r>
          </w:p>
        </w:tc>
      </w:tr>
      <w:tr>
        <w:trPr>
          <w:trHeight w:val="256"/>
        </w:trPr>
        <w:tc>
          <w:tcPr>
            <w:tcW w:w="2740" w:type="dxa"/>
            <w:vAlign w:val="bottom"/>
          </w:tcPr>
          <w:p>
            <w:pPr>
              <w:spacing w:after="0"/>
              <w:rPr>
                <w:sz w:val="22"/>
                <w:szCs w:val="22"/>
                <w:color w:val="auto"/>
              </w:rPr>
            </w:pPr>
          </w:p>
        </w:tc>
        <w:tc>
          <w:tcPr>
            <w:tcW w:w="4900" w:type="dxa"/>
            <w:vAlign w:val="bottom"/>
          </w:tcPr>
          <w:p>
            <w:pPr>
              <w:spacing w:after="0"/>
              <w:rPr>
                <w:sz w:val="22"/>
                <w:szCs w:val="22"/>
                <w:color w:val="auto"/>
              </w:rPr>
            </w:pPr>
          </w:p>
        </w:tc>
        <w:tc>
          <w:tcPr>
            <w:tcW w:w="1680" w:type="dxa"/>
            <w:vAlign w:val="bottom"/>
          </w:tcPr>
          <w:p>
            <w:pPr>
              <w:ind w:left="120"/>
              <w:spacing w:after="0"/>
              <w:rPr>
                <w:sz w:val="20"/>
                <w:szCs w:val="20"/>
                <w:color w:val="auto"/>
              </w:rPr>
            </w:pPr>
            <w:r>
              <w:rPr>
                <w:rFonts w:ascii="Arial" w:cs="Arial" w:eastAsia="Arial" w:hAnsi="Arial"/>
                <w:sz w:val="18"/>
                <w:szCs w:val="18"/>
                <w:color w:val="auto"/>
              </w:rPr>
              <w:t>Intercompany</w:t>
            </w:r>
          </w:p>
        </w:tc>
        <w:tc>
          <w:tcPr>
            <w:tcW w:w="1340" w:type="dxa"/>
            <w:vAlign w:val="bottom"/>
          </w:tcPr>
          <w:p>
            <w:pPr>
              <w:spacing w:after="0"/>
              <w:rPr>
                <w:sz w:val="22"/>
                <w:szCs w:val="22"/>
                <w:color w:val="auto"/>
              </w:rPr>
            </w:pPr>
          </w:p>
        </w:tc>
      </w:tr>
      <w:tr>
        <w:trPr>
          <w:trHeight w:val="230"/>
        </w:trPr>
        <w:tc>
          <w:tcPr>
            <w:tcW w:w="2740" w:type="dxa"/>
            <w:vAlign w:val="bottom"/>
          </w:tcPr>
          <w:p>
            <w:pPr>
              <w:spacing w:after="0"/>
              <w:rPr>
                <w:sz w:val="20"/>
                <w:szCs w:val="20"/>
                <w:color w:val="auto"/>
              </w:rPr>
            </w:pPr>
            <w:r>
              <w:rPr>
                <w:rFonts w:ascii="Arial" w:cs="Arial" w:eastAsia="Arial" w:hAnsi="Arial"/>
                <w:sz w:val="18"/>
                <w:szCs w:val="18"/>
                <w:color w:val="auto"/>
              </w:rPr>
              <w:t>epay Australia Pty Ltd</w:t>
            </w:r>
          </w:p>
        </w:tc>
        <w:tc>
          <w:tcPr>
            <w:tcW w:w="4900" w:type="dxa"/>
            <w:vAlign w:val="bottom"/>
          </w:tcPr>
          <w:p>
            <w:pPr>
              <w:ind w:left="200"/>
              <w:spacing w:after="0"/>
              <w:rPr>
                <w:sz w:val="20"/>
                <w:szCs w:val="20"/>
                <w:color w:val="auto"/>
              </w:rPr>
            </w:pPr>
            <w:r>
              <w:rPr>
                <w:rFonts w:ascii="Arial" w:cs="Arial" w:eastAsia="Arial" w:hAnsi="Arial"/>
                <w:sz w:val="18"/>
                <w:szCs w:val="18"/>
                <w:color w:val="auto"/>
              </w:rPr>
              <w:t>epay New Zealand Limited</w:t>
            </w:r>
          </w:p>
        </w:tc>
        <w:tc>
          <w:tcPr>
            <w:tcW w:w="1680" w:type="dxa"/>
            <w:vAlign w:val="bottom"/>
          </w:tcPr>
          <w:p>
            <w:pPr>
              <w:ind w:left="120"/>
              <w:spacing w:after="0"/>
              <w:rPr>
                <w:sz w:val="20"/>
                <w:szCs w:val="20"/>
                <w:color w:val="auto"/>
              </w:rPr>
            </w:pPr>
            <w:r>
              <w:rPr>
                <w:rFonts w:ascii="Arial" w:cs="Arial" w:eastAsia="Arial" w:hAnsi="Arial"/>
                <w:sz w:val="18"/>
                <w:szCs w:val="18"/>
                <w:color w:val="auto"/>
              </w:rPr>
              <w:t>Investment</w:t>
            </w:r>
          </w:p>
        </w:tc>
        <w:tc>
          <w:tcPr>
            <w:tcW w:w="134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56"/>
        </w:trPr>
        <w:tc>
          <w:tcPr>
            <w:tcW w:w="2740" w:type="dxa"/>
            <w:vAlign w:val="bottom"/>
          </w:tcPr>
          <w:p>
            <w:pPr>
              <w:spacing w:after="0"/>
              <w:rPr>
                <w:sz w:val="22"/>
                <w:szCs w:val="22"/>
                <w:color w:val="auto"/>
              </w:rPr>
            </w:pPr>
          </w:p>
        </w:tc>
        <w:tc>
          <w:tcPr>
            <w:tcW w:w="4900" w:type="dxa"/>
            <w:vAlign w:val="bottom"/>
          </w:tcPr>
          <w:p>
            <w:pPr>
              <w:spacing w:after="0"/>
              <w:rPr>
                <w:sz w:val="22"/>
                <w:szCs w:val="22"/>
                <w:color w:val="auto"/>
              </w:rPr>
            </w:pPr>
          </w:p>
        </w:tc>
        <w:tc>
          <w:tcPr>
            <w:tcW w:w="1680" w:type="dxa"/>
            <w:vAlign w:val="bottom"/>
          </w:tcPr>
          <w:p>
            <w:pPr>
              <w:ind w:left="120"/>
              <w:spacing w:after="0"/>
              <w:rPr>
                <w:sz w:val="20"/>
                <w:szCs w:val="20"/>
                <w:color w:val="auto"/>
              </w:rPr>
            </w:pPr>
            <w:r>
              <w:rPr>
                <w:rFonts w:ascii="Arial" w:cs="Arial" w:eastAsia="Arial" w:hAnsi="Arial"/>
                <w:sz w:val="18"/>
                <w:szCs w:val="18"/>
                <w:color w:val="auto"/>
              </w:rPr>
              <w:t>Intercompany</w:t>
            </w:r>
          </w:p>
        </w:tc>
        <w:tc>
          <w:tcPr>
            <w:tcW w:w="1340" w:type="dxa"/>
            <w:vAlign w:val="bottom"/>
          </w:tcPr>
          <w:p>
            <w:pPr>
              <w:spacing w:after="0"/>
              <w:rPr>
                <w:sz w:val="22"/>
                <w:szCs w:val="22"/>
                <w:color w:val="auto"/>
              </w:rPr>
            </w:pPr>
          </w:p>
        </w:tc>
      </w:tr>
      <w:tr>
        <w:trPr>
          <w:trHeight w:val="230"/>
        </w:trPr>
        <w:tc>
          <w:tcPr>
            <w:tcW w:w="2740" w:type="dxa"/>
            <w:vAlign w:val="bottom"/>
          </w:tcPr>
          <w:p>
            <w:pPr>
              <w:spacing w:after="0"/>
              <w:rPr>
                <w:sz w:val="20"/>
                <w:szCs w:val="20"/>
                <w:color w:val="auto"/>
              </w:rPr>
            </w:pPr>
            <w:r>
              <w:rPr>
                <w:rFonts w:ascii="Arial" w:cs="Arial" w:eastAsia="Arial" w:hAnsi="Arial"/>
                <w:sz w:val="18"/>
                <w:szCs w:val="18"/>
                <w:color w:val="auto"/>
              </w:rPr>
              <w:t>e-pay Holdings Ltd</w:t>
            </w:r>
          </w:p>
        </w:tc>
        <w:tc>
          <w:tcPr>
            <w:tcW w:w="4900" w:type="dxa"/>
            <w:vAlign w:val="bottom"/>
          </w:tcPr>
          <w:p>
            <w:pPr>
              <w:ind w:left="200"/>
              <w:spacing w:after="0"/>
              <w:rPr>
                <w:sz w:val="20"/>
                <w:szCs w:val="20"/>
                <w:color w:val="auto"/>
              </w:rPr>
            </w:pPr>
            <w:r>
              <w:rPr>
                <w:rFonts w:ascii="Arial" w:cs="Arial" w:eastAsia="Arial" w:hAnsi="Arial"/>
                <w:sz w:val="18"/>
                <w:szCs w:val="18"/>
                <w:color w:val="auto"/>
              </w:rPr>
              <w:t>epay Australia Pty Ltd</w:t>
            </w:r>
          </w:p>
        </w:tc>
        <w:tc>
          <w:tcPr>
            <w:tcW w:w="1680" w:type="dxa"/>
            <w:vAlign w:val="bottom"/>
          </w:tcPr>
          <w:p>
            <w:pPr>
              <w:ind w:left="120"/>
              <w:spacing w:after="0"/>
              <w:rPr>
                <w:sz w:val="20"/>
                <w:szCs w:val="20"/>
                <w:color w:val="auto"/>
              </w:rPr>
            </w:pPr>
            <w:r>
              <w:rPr>
                <w:rFonts w:ascii="Arial" w:cs="Arial" w:eastAsia="Arial" w:hAnsi="Arial"/>
                <w:sz w:val="18"/>
                <w:szCs w:val="18"/>
                <w:color w:val="auto"/>
              </w:rPr>
              <w:t>Investment</w:t>
            </w:r>
          </w:p>
        </w:tc>
        <w:tc>
          <w:tcPr>
            <w:tcW w:w="1340" w:type="dxa"/>
            <w:vAlign w:val="bottom"/>
          </w:tcPr>
          <w:p>
            <w:pPr>
              <w:jc w:val="right"/>
              <w:spacing w:after="0"/>
              <w:rPr>
                <w:sz w:val="20"/>
                <w:szCs w:val="20"/>
                <w:color w:val="auto"/>
              </w:rPr>
            </w:pPr>
            <w:r>
              <w:rPr>
                <w:rFonts w:ascii="Arial" w:cs="Arial" w:eastAsia="Arial" w:hAnsi="Arial"/>
                <w:sz w:val="18"/>
                <w:szCs w:val="18"/>
                <w:color w:val="auto"/>
              </w:rPr>
              <w:t>382,823</w:t>
            </w:r>
          </w:p>
        </w:tc>
      </w:tr>
      <w:tr>
        <w:trPr>
          <w:trHeight w:val="256"/>
        </w:trPr>
        <w:tc>
          <w:tcPr>
            <w:tcW w:w="2740" w:type="dxa"/>
            <w:vAlign w:val="bottom"/>
          </w:tcPr>
          <w:p>
            <w:pPr>
              <w:spacing w:after="0"/>
              <w:rPr>
                <w:sz w:val="22"/>
                <w:szCs w:val="22"/>
                <w:color w:val="auto"/>
              </w:rPr>
            </w:pPr>
          </w:p>
        </w:tc>
        <w:tc>
          <w:tcPr>
            <w:tcW w:w="4900" w:type="dxa"/>
            <w:vAlign w:val="bottom"/>
          </w:tcPr>
          <w:p>
            <w:pPr>
              <w:spacing w:after="0"/>
              <w:rPr>
                <w:sz w:val="22"/>
                <w:szCs w:val="22"/>
                <w:color w:val="auto"/>
              </w:rPr>
            </w:pPr>
          </w:p>
        </w:tc>
        <w:tc>
          <w:tcPr>
            <w:tcW w:w="1680" w:type="dxa"/>
            <w:vAlign w:val="bottom"/>
          </w:tcPr>
          <w:p>
            <w:pPr>
              <w:ind w:left="120"/>
              <w:spacing w:after="0"/>
              <w:rPr>
                <w:sz w:val="20"/>
                <w:szCs w:val="20"/>
                <w:color w:val="auto"/>
              </w:rPr>
            </w:pPr>
            <w:r>
              <w:rPr>
                <w:rFonts w:ascii="Arial" w:cs="Arial" w:eastAsia="Arial" w:hAnsi="Arial"/>
                <w:sz w:val="18"/>
                <w:szCs w:val="18"/>
                <w:color w:val="auto"/>
              </w:rPr>
              <w:t>Intercompany</w:t>
            </w:r>
          </w:p>
        </w:tc>
        <w:tc>
          <w:tcPr>
            <w:tcW w:w="1340" w:type="dxa"/>
            <w:vAlign w:val="bottom"/>
          </w:tcPr>
          <w:p>
            <w:pPr>
              <w:spacing w:after="0"/>
              <w:rPr>
                <w:sz w:val="22"/>
                <w:szCs w:val="22"/>
                <w:color w:val="auto"/>
              </w:rPr>
            </w:pPr>
          </w:p>
        </w:tc>
      </w:tr>
      <w:tr>
        <w:trPr>
          <w:trHeight w:val="230"/>
        </w:trPr>
        <w:tc>
          <w:tcPr>
            <w:tcW w:w="2740" w:type="dxa"/>
            <w:vAlign w:val="bottom"/>
          </w:tcPr>
          <w:p>
            <w:pPr>
              <w:spacing w:after="0"/>
              <w:rPr>
                <w:sz w:val="20"/>
                <w:szCs w:val="20"/>
                <w:color w:val="auto"/>
              </w:rPr>
            </w:pPr>
            <w:r>
              <w:rPr>
                <w:rFonts w:ascii="Arial" w:cs="Arial" w:eastAsia="Arial" w:hAnsi="Arial"/>
                <w:sz w:val="18"/>
                <w:szCs w:val="18"/>
                <w:color w:val="auto"/>
              </w:rPr>
              <w:t>e-pay Holdings Ltd</w:t>
            </w:r>
          </w:p>
        </w:tc>
        <w:tc>
          <w:tcPr>
            <w:tcW w:w="4900" w:type="dxa"/>
            <w:vAlign w:val="bottom"/>
          </w:tcPr>
          <w:p>
            <w:pPr>
              <w:ind w:left="200"/>
              <w:spacing w:after="0"/>
              <w:rPr>
                <w:sz w:val="20"/>
                <w:szCs w:val="20"/>
                <w:color w:val="auto"/>
              </w:rPr>
            </w:pPr>
            <w:r>
              <w:rPr>
                <w:rFonts w:ascii="Arial" w:cs="Arial" w:eastAsia="Arial" w:hAnsi="Arial"/>
                <w:sz w:val="18"/>
                <w:szCs w:val="18"/>
                <w:color w:val="auto"/>
              </w:rPr>
              <w:t>epay Ltd</w:t>
            </w:r>
          </w:p>
        </w:tc>
        <w:tc>
          <w:tcPr>
            <w:tcW w:w="1680" w:type="dxa"/>
            <w:vAlign w:val="bottom"/>
          </w:tcPr>
          <w:p>
            <w:pPr>
              <w:ind w:left="120"/>
              <w:spacing w:after="0"/>
              <w:rPr>
                <w:sz w:val="20"/>
                <w:szCs w:val="20"/>
                <w:color w:val="auto"/>
              </w:rPr>
            </w:pPr>
            <w:r>
              <w:rPr>
                <w:rFonts w:ascii="Arial" w:cs="Arial" w:eastAsia="Arial" w:hAnsi="Arial"/>
                <w:sz w:val="18"/>
                <w:szCs w:val="18"/>
                <w:color w:val="auto"/>
              </w:rPr>
              <w:t>Investment</w:t>
            </w:r>
          </w:p>
        </w:tc>
        <w:tc>
          <w:tcPr>
            <w:tcW w:w="1340" w:type="dxa"/>
            <w:vAlign w:val="bottom"/>
          </w:tcPr>
          <w:p>
            <w:pPr>
              <w:jc w:val="right"/>
              <w:spacing w:after="0"/>
              <w:rPr>
                <w:sz w:val="20"/>
                <w:szCs w:val="20"/>
                <w:color w:val="auto"/>
              </w:rPr>
            </w:pPr>
            <w:r>
              <w:rPr>
                <w:rFonts w:ascii="Arial" w:cs="Arial" w:eastAsia="Arial" w:hAnsi="Arial"/>
                <w:sz w:val="18"/>
                <w:szCs w:val="18"/>
                <w:color w:val="auto"/>
              </w:rPr>
              <w:t>69,101,636</w:t>
            </w:r>
          </w:p>
        </w:tc>
      </w:tr>
      <w:tr>
        <w:trPr>
          <w:trHeight w:val="256"/>
        </w:trPr>
        <w:tc>
          <w:tcPr>
            <w:tcW w:w="2740" w:type="dxa"/>
            <w:vAlign w:val="bottom"/>
          </w:tcPr>
          <w:p>
            <w:pPr>
              <w:spacing w:after="0"/>
              <w:rPr>
                <w:sz w:val="22"/>
                <w:szCs w:val="22"/>
                <w:color w:val="auto"/>
              </w:rPr>
            </w:pPr>
          </w:p>
        </w:tc>
        <w:tc>
          <w:tcPr>
            <w:tcW w:w="4900" w:type="dxa"/>
            <w:vAlign w:val="bottom"/>
          </w:tcPr>
          <w:p>
            <w:pPr>
              <w:spacing w:after="0"/>
              <w:rPr>
                <w:sz w:val="22"/>
                <w:szCs w:val="22"/>
                <w:color w:val="auto"/>
              </w:rPr>
            </w:pPr>
          </w:p>
        </w:tc>
        <w:tc>
          <w:tcPr>
            <w:tcW w:w="1680" w:type="dxa"/>
            <w:vAlign w:val="bottom"/>
          </w:tcPr>
          <w:p>
            <w:pPr>
              <w:ind w:left="120"/>
              <w:spacing w:after="0"/>
              <w:rPr>
                <w:sz w:val="20"/>
                <w:szCs w:val="20"/>
                <w:color w:val="auto"/>
              </w:rPr>
            </w:pPr>
            <w:r>
              <w:rPr>
                <w:rFonts w:ascii="Arial" w:cs="Arial" w:eastAsia="Arial" w:hAnsi="Arial"/>
                <w:sz w:val="18"/>
                <w:szCs w:val="18"/>
                <w:color w:val="auto"/>
              </w:rPr>
              <w:t>Intercompany</w:t>
            </w:r>
          </w:p>
        </w:tc>
        <w:tc>
          <w:tcPr>
            <w:tcW w:w="1340" w:type="dxa"/>
            <w:vAlign w:val="bottom"/>
          </w:tcPr>
          <w:p>
            <w:pPr>
              <w:spacing w:after="0"/>
              <w:rPr>
                <w:sz w:val="22"/>
                <w:szCs w:val="22"/>
                <w:color w:val="auto"/>
              </w:rPr>
            </w:pPr>
          </w:p>
        </w:tc>
      </w:tr>
      <w:tr>
        <w:trPr>
          <w:trHeight w:val="230"/>
        </w:trPr>
        <w:tc>
          <w:tcPr>
            <w:tcW w:w="2740" w:type="dxa"/>
            <w:vAlign w:val="bottom"/>
          </w:tcPr>
          <w:p>
            <w:pPr>
              <w:spacing w:after="0"/>
              <w:rPr>
                <w:sz w:val="20"/>
                <w:szCs w:val="20"/>
                <w:color w:val="auto"/>
              </w:rPr>
            </w:pPr>
            <w:r>
              <w:rPr>
                <w:rFonts w:ascii="Arial" w:cs="Arial" w:eastAsia="Arial" w:hAnsi="Arial"/>
                <w:sz w:val="18"/>
                <w:szCs w:val="18"/>
                <w:color w:val="auto"/>
              </w:rPr>
              <w:t>e-pay Holdings Ltd</w:t>
            </w:r>
          </w:p>
        </w:tc>
        <w:tc>
          <w:tcPr>
            <w:tcW w:w="4900" w:type="dxa"/>
            <w:vAlign w:val="bottom"/>
          </w:tcPr>
          <w:p>
            <w:pPr>
              <w:ind w:left="200"/>
              <w:spacing w:after="0"/>
              <w:rPr>
                <w:sz w:val="20"/>
                <w:szCs w:val="20"/>
                <w:color w:val="auto"/>
              </w:rPr>
            </w:pPr>
            <w:r>
              <w:rPr>
                <w:rFonts w:ascii="Arial" w:cs="Arial" w:eastAsia="Arial" w:hAnsi="Arial"/>
                <w:sz w:val="18"/>
                <w:szCs w:val="18"/>
                <w:color w:val="auto"/>
              </w:rPr>
              <w:t>Euronet Software UK Ltd</w:t>
            </w:r>
          </w:p>
        </w:tc>
        <w:tc>
          <w:tcPr>
            <w:tcW w:w="1680" w:type="dxa"/>
            <w:vAlign w:val="bottom"/>
          </w:tcPr>
          <w:p>
            <w:pPr>
              <w:ind w:left="120"/>
              <w:spacing w:after="0"/>
              <w:rPr>
                <w:sz w:val="20"/>
                <w:szCs w:val="20"/>
                <w:color w:val="auto"/>
              </w:rPr>
            </w:pPr>
            <w:r>
              <w:rPr>
                <w:rFonts w:ascii="Arial" w:cs="Arial" w:eastAsia="Arial" w:hAnsi="Arial"/>
                <w:sz w:val="18"/>
                <w:szCs w:val="18"/>
                <w:color w:val="auto"/>
              </w:rPr>
              <w:t>Investment</w:t>
            </w:r>
          </w:p>
        </w:tc>
        <w:tc>
          <w:tcPr>
            <w:tcW w:w="1340" w:type="dxa"/>
            <w:vAlign w:val="bottom"/>
          </w:tcPr>
          <w:p>
            <w:pPr>
              <w:jc w:val="right"/>
              <w:spacing w:after="0"/>
              <w:rPr>
                <w:sz w:val="20"/>
                <w:szCs w:val="20"/>
                <w:color w:val="auto"/>
              </w:rPr>
            </w:pPr>
            <w:r>
              <w:rPr>
                <w:rFonts w:ascii="Arial" w:cs="Arial" w:eastAsia="Arial" w:hAnsi="Arial"/>
                <w:sz w:val="18"/>
                <w:szCs w:val="18"/>
                <w:color w:val="auto"/>
              </w:rPr>
              <w:t>4,344,853</w:t>
            </w:r>
          </w:p>
        </w:tc>
      </w:tr>
      <w:tr>
        <w:trPr>
          <w:trHeight w:val="256"/>
        </w:trPr>
        <w:tc>
          <w:tcPr>
            <w:tcW w:w="2740" w:type="dxa"/>
            <w:vAlign w:val="bottom"/>
          </w:tcPr>
          <w:p>
            <w:pPr>
              <w:spacing w:after="0"/>
              <w:rPr>
                <w:sz w:val="22"/>
                <w:szCs w:val="22"/>
                <w:color w:val="auto"/>
              </w:rPr>
            </w:pPr>
          </w:p>
        </w:tc>
        <w:tc>
          <w:tcPr>
            <w:tcW w:w="4900" w:type="dxa"/>
            <w:vAlign w:val="bottom"/>
          </w:tcPr>
          <w:p>
            <w:pPr>
              <w:spacing w:after="0"/>
              <w:rPr>
                <w:sz w:val="22"/>
                <w:szCs w:val="22"/>
                <w:color w:val="auto"/>
              </w:rPr>
            </w:pPr>
          </w:p>
        </w:tc>
        <w:tc>
          <w:tcPr>
            <w:tcW w:w="1680" w:type="dxa"/>
            <w:vAlign w:val="bottom"/>
          </w:tcPr>
          <w:p>
            <w:pPr>
              <w:ind w:left="120"/>
              <w:spacing w:after="0"/>
              <w:rPr>
                <w:sz w:val="20"/>
                <w:szCs w:val="20"/>
                <w:color w:val="auto"/>
              </w:rPr>
            </w:pPr>
            <w:r>
              <w:rPr>
                <w:rFonts w:ascii="Arial" w:cs="Arial" w:eastAsia="Arial" w:hAnsi="Arial"/>
                <w:sz w:val="18"/>
                <w:szCs w:val="18"/>
                <w:color w:val="auto"/>
              </w:rPr>
              <w:t>Intercompany</w:t>
            </w:r>
          </w:p>
        </w:tc>
        <w:tc>
          <w:tcPr>
            <w:tcW w:w="1340" w:type="dxa"/>
            <w:vAlign w:val="bottom"/>
          </w:tcPr>
          <w:p>
            <w:pPr>
              <w:spacing w:after="0"/>
              <w:rPr>
                <w:sz w:val="22"/>
                <w:szCs w:val="22"/>
                <w:color w:val="auto"/>
              </w:rPr>
            </w:pPr>
          </w:p>
        </w:tc>
      </w:tr>
      <w:tr>
        <w:trPr>
          <w:trHeight w:val="230"/>
        </w:trPr>
        <w:tc>
          <w:tcPr>
            <w:tcW w:w="2740" w:type="dxa"/>
            <w:vAlign w:val="bottom"/>
          </w:tcPr>
          <w:p>
            <w:pPr>
              <w:spacing w:after="0"/>
              <w:rPr>
                <w:sz w:val="20"/>
                <w:szCs w:val="20"/>
                <w:color w:val="auto"/>
              </w:rPr>
            </w:pPr>
            <w:r>
              <w:rPr>
                <w:rFonts w:ascii="Arial" w:cs="Arial" w:eastAsia="Arial" w:hAnsi="Arial"/>
                <w:sz w:val="18"/>
                <w:szCs w:val="18"/>
                <w:color w:val="auto"/>
              </w:rPr>
              <w:t>e-pay Holdings Ltd</w:t>
            </w:r>
          </w:p>
        </w:tc>
        <w:tc>
          <w:tcPr>
            <w:tcW w:w="4900" w:type="dxa"/>
            <w:vAlign w:val="bottom"/>
          </w:tcPr>
          <w:p>
            <w:pPr>
              <w:ind w:left="200"/>
              <w:spacing w:after="0"/>
              <w:rPr>
                <w:sz w:val="20"/>
                <w:szCs w:val="20"/>
                <w:color w:val="auto"/>
              </w:rPr>
            </w:pPr>
            <w:r>
              <w:rPr>
                <w:rFonts w:ascii="Arial" w:cs="Arial" w:eastAsia="Arial" w:hAnsi="Arial"/>
                <w:sz w:val="18"/>
                <w:szCs w:val="18"/>
                <w:color w:val="auto"/>
              </w:rPr>
              <w:t>Omega Logic Ltd</w:t>
            </w:r>
          </w:p>
        </w:tc>
        <w:tc>
          <w:tcPr>
            <w:tcW w:w="1680" w:type="dxa"/>
            <w:vAlign w:val="bottom"/>
          </w:tcPr>
          <w:p>
            <w:pPr>
              <w:ind w:left="120"/>
              <w:spacing w:after="0"/>
              <w:rPr>
                <w:sz w:val="20"/>
                <w:szCs w:val="20"/>
                <w:color w:val="auto"/>
              </w:rPr>
            </w:pPr>
            <w:r>
              <w:rPr>
                <w:rFonts w:ascii="Arial" w:cs="Arial" w:eastAsia="Arial" w:hAnsi="Arial"/>
                <w:sz w:val="18"/>
                <w:szCs w:val="18"/>
                <w:color w:val="auto"/>
              </w:rPr>
              <w:t>Investment</w:t>
            </w:r>
          </w:p>
        </w:tc>
        <w:tc>
          <w:tcPr>
            <w:tcW w:w="1340" w:type="dxa"/>
            <w:vAlign w:val="bottom"/>
          </w:tcPr>
          <w:p>
            <w:pPr>
              <w:jc w:val="right"/>
              <w:spacing w:after="0"/>
              <w:rPr>
                <w:sz w:val="20"/>
                <w:szCs w:val="20"/>
                <w:color w:val="auto"/>
              </w:rPr>
            </w:pPr>
            <w:r>
              <w:rPr>
                <w:rFonts w:ascii="Arial" w:cs="Arial" w:eastAsia="Arial" w:hAnsi="Arial"/>
                <w:sz w:val="18"/>
                <w:szCs w:val="18"/>
                <w:color w:val="auto"/>
              </w:rPr>
              <w:t>739,168</w:t>
            </w:r>
          </w:p>
        </w:tc>
      </w:tr>
      <w:tr>
        <w:trPr>
          <w:trHeight w:val="256"/>
        </w:trPr>
        <w:tc>
          <w:tcPr>
            <w:tcW w:w="2740" w:type="dxa"/>
            <w:vAlign w:val="bottom"/>
          </w:tcPr>
          <w:p>
            <w:pPr>
              <w:spacing w:after="0"/>
              <w:rPr>
                <w:sz w:val="22"/>
                <w:szCs w:val="22"/>
                <w:color w:val="auto"/>
              </w:rPr>
            </w:pPr>
          </w:p>
        </w:tc>
        <w:tc>
          <w:tcPr>
            <w:tcW w:w="4900" w:type="dxa"/>
            <w:vAlign w:val="bottom"/>
          </w:tcPr>
          <w:p>
            <w:pPr>
              <w:spacing w:after="0"/>
              <w:rPr>
                <w:sz w:val="22"/>
                <w:szCs w:val="22"/>
                <w:color w:val="auto"/>
              </w:rPr>
            </w:pPr>
          </w:p>
        </w:tc>
        <w:tc>
          <w:tcPr>
            <w:tcW w:w="1680" w:type="dxa"/>
            <w:vAlign w:val="bottom"/>
          </w:tcPr>
          <w:p>
            <w:pPr>
              <w:ind w:left="120"/>
              <w:spacing w:after="0"/>
              <w:rPr>
                <w:sz w:val="20"/>
                <w:szCs w:val="20"/>
                <w:color w:val="auto"/>
              </w:rPr>
            </w:pPr>
            <w:r>
              <w:rPr>
                <w:rFonts w:ascii="Arial" w:cs="Arial" w:eastAsia="Arial" w:hAnsi="Arial"/>
                <w:sz w:val="18"/>
                <w:szCs w:val="18"/>
                <w:color w:val="auto"/>
              </w:rPr>
              <w:t>Intercompany</w:t>
            </w:r>
          </w:p>
        </w:tc>
        <w:tc>
          <w:tcPr>
            <w:tcW w:w="1340" w:type="dxa"/>
            <w:vAlign w:val="bottom"/>
          </w:tcPr>
          <w:p>
            <w:pPr>
              <w:spacing w:after="0"/>
              <w:rPr>
                <w:sz w:val="22"/>
                <w:szCs w:val="22"/>
                <w:color w:val="auto"/>
              </w:rPr>
            </w:pPr>
          </w:p>
        </w:tc>
      </w:tr>
      <w:tr>
        <w:trPr>
          <w:trHeight w:val="230"/>
        </w:trPr>
        <w:tc>
          <w:tcPr>
            <w:tcW w:w="2740" w:type="dxa"/>
            <w:vAlign w:val="bottom"/>
          </w:tcPr>
          <w:p>
            <w:pPr>
              <w:spacing w:after="0"/>
              <w:rPr>
                <w:sz w:val="20"/>
                <w:szCs w:val="20"/>
                <w:color w:val="auto"/>
              </w:rPr>
            </w:pPr>
            <w:r>
              <w:rPr>
                <w:rFonts w:ascii="Arial" w:cs="Arial" w:eastAsia="Arial" w:hAnsi="Arial"/>
                <w:sz w:val="18"/>
                <w:szCs w:val="18"/>
                <w:color w:val="auto"/>
              </w:rPr>
              <w:t>epay Ltd</w:t>
            </w:r>
          </w:p>
        </w:tc>
        <w:tc>
          <w:tcPr>
            <w:tcW w:w="4900" w:type="dxa"/>
            <w:vAlign w:val="bottom"/>
          </w:tcPr>
          <w:p>
            <w:pPr>
              <w:ind w:left="200"/>
              <w:spacing w:after="0"/>
              <w:rPr>
                <w:sz w:val="20"/>
                <w:szCs w:val="20"/>
                <w:color w:val="auto"/>
              </w:rPr>
            </w:pPr>
            <w:r>
              <w:rPr>
                <w:rFonts w:ascii="Arial" w:cs="Arial" w:eastAsia="Arial" w:hAnsi="Arial"/>
                <w:sz w:val="18"/>
                <w:szCs w:val="18"/>
                <w:color w:val="auto"/>
              </w:rPr>
              <w:t>epay Australia Pty Ltd</w:t>
            </w:r>
          </w:p>
        </w:tc>
        <w:tc>
          <w:tcPr>
            <w:tcW w:w="1680" w:type="dxa"/>
            <w:vAlign w:val="bottom"/>
          </w:tcPr>
          <w:p>
            <w:pPr>
              <w:ind w:left="120"/>
              <w:spacing w:after="0"/>
              <w:rPr>
                <w:sz w:val="20"/>
                <w:szCs w:val="20"/>
                <w:color w:val="auto"/>
              </w:rPr>
            </w:pPr>
            <w:r>
              <w:rPr>
                <w:rFonts w:ascii="Arial" w:cs="Arial" w:eastAsia="Arial" w:hAnsi="Arial"/>
                <w:sz w:val="18"/>
                <w:szCs w:val="18"/>
                <w:color w:val="auto"/>
              </w:rPr>
              <w:t>Investment</w:t>
            </w:r>
          </w:p>
        </w:tc>
        <w:tc>
          <w:tcPr>
            <w:tcW w:w="1340" w:type="dxa"/>
            <w:vAlign w:val="bottom"/>
          </w:tcPr>
          <w:p>
            <w:pPr>
              <w:jc w:val="right"/>
              <w:spacing w:after="0"/>
              <w:rPr>
                <w:sz w:val="20"/>
                <w:szCs w:val="20"/>
                <w:color w:val="auto"/>
              </w:rPr>
            </w:pPr>
            <w:r>
              <w:rPr>
                <w:rFonts w:ascii="Arial" w:cs="Arial" w:eastAsia="Arial" w:hAnsi="Arial"/>
                <w:sz w:val="18"/>
                <w:szCs w:val="18"/>
                <w:color w:val="auto"/>
              </w:rPr>
              <w:t>10,129,277</w:t>
            </w:r>
          </w:p>
        </w:tc>
      </w:tr>
      <w:tr>
        <w:trPr>
          <w:trHeight w:val="256"/>
        </w:trPr>
        <w:tc>
          <w:tcPr>
            <w:tcW w:w="2740" w:type="dxa"/>
            <w:vAlign w:val="bottom"/>
          </w:tcPr>
          <w:p>
            <w:pPr>
              <w:spacing w:after="0"/>
              <w:rPr>
                <w:sz w:val="22"/>
                <w:szCs w:val="22"/>
                <w:color w:val="auto"/>
              </w:rPr>
            </w:pPr>
          </w:p>
        </w:tc>
        <w:tc>
          <w:tcPr>
            <w:tcW w:w="4900" w:type="dxa"/>
            <w:vAlign w:val="bottom"/>
          </w:tcPr>
          <w:p>
            <w:pPr>
              <w:ind w:left="200"/>
              <w:spacing w:after="0"/>
              <w:rPr>
                <w:sz w:val="20"/>
                <w:szCs w:val="20"/>
                <w:color w:val="auto"/>
              </w:rPr>
            </w:pPr>
            <w:r>
              <w:rPr>
                <w:rFonts w:ascii="Arial" w:cs="Arial" w:eastAsia="Arial" w:hAnsi="Arial"/>
                <w:sz w:val="18"/>
                <w:szCs w:val="18"/>
                <w:color w:val="auto"/>
                <w:w w:val="92"/>
              </w:rPr>
              <w:t>epay (Shanghai) Technology Development Co., Ltd. d.b.a. epay</w:t>
            </w:r>
          </w:p>
        </w:tc>
        <w:tc>
          <w:tcPr>
            <w:tcW w:w="1680" w:type="dxa"/>
            <w:vAlign w:val="bottom"/>
          </w:tcPr>
          <w:p>
            <w:pPr>
              <w:ind w:left="120"/>
              <w:spacing w:after="0"/>
              <w:rPr>
                <w:sz w:val="20"/>
                <w:szCs w:val="20"/>
                <w:color w:val="auto"/>
              </w:rPr>
            </w:pPr>
            <w:r>
              <w:rPr>
                <w:rFonts w:ascii="Arial" w:cs="Arial" w:eastAsia="Arial" w:hAnsi="Arial"/>
                <w:sz w:val="18"/>
                <w:szCs w:val="18"/>
                <w:color w:val="auto"/>
              </w:rPr>
              <w:t>Intercompany</w:t>
            </w:r>
          </w:p>
        </w:tc>
        <w:tc>
          <w:tcPr>
            <w:tcW w:w="1340" w:type="dxa"/>
            <w:vAlign w:val="bottom"/>
          </w:tcPr>
          <w:p>
            <w:pPr>
              <w:spacing w:after="0"/>
              <w:rPr>
                <w:sz w:val="22"/>
                <w:szCs w:val="22"/>
                <w:color w:val="auto"/>
              </w:rPr>
            </w:pPr>
          </w:p>
        </w:tc>
      </w:tr>
      <w:tr>
        <w:trPr>
          <w:trHeight w:val="230"/>
        </w:trPr>
        <w:tc>
          <w:tcPr>
            <w:tcW w:w="2740" w:type="dxa"/>
            <w:vAlign w:val="bottom"/>
          </w:tcPr>
          <w:p>
            <w:pPr>
              <w:spacing w:after="0"/>
              <w:rPr>
                <w:sz w:val="20"/>
                <w:szCs w:val="20"/>
                <w:color w:val="auto"/>
              </w:rPr>
            </w:pPr>
            <w:r>
              <w:rPr>
                <w:rFonts w:ascii="Arial" w:cs="Arial" w:eastAsia="Arial" w:hAnsi="Arial"/>
                <w:sz w:val="18"/>
                <w:szCs w:val="18"/>
                <w:color w:val="auto"/>
              </w:rPr>
              <w:t>Euronet Asia Holdings Limited</w:t>
            </w:r>
          </w:p>
        </w:tc>
        <w:tc>
          <w:tcPr>
            <w:tcW w:w="4900" w:type="dxa"/>
            <w:vAlign w:val="bottom"/>
          </w:tcPr>
          <w:p>
            <w:pPr>
              <w:ind w:left="200"/>
              <w:spacing w:after="0"/>
              <w:rPr>
                <w:sz w:val="20"/>
                <w:szCs w:val="20"/>
                <w:color w:val="auto"/>
              </w:rPr>
            </w:pPr>
            <w:r>
              <w:rPr>
                <w:rFonts w:ascii="Arial" w:cs="Arial" w:eastAsia="Arial" w:hAnsi="Arial"/>
                <w:sz w:val="18"/>
                <w:szCs w:val="18"/>
                <w:color w:val="auto"/>
              </w:rPr>
              <w:t>China</w:t>
            </w:r>
          </w:p>
        </w:tc>
        <w:tc>
          <w:tcPr>
            <w:tcW w:w="1680" w:type="dxa"/>
            <w:vAlign w:val="bottom"/>
          </w:tcPr>
          <w:p>
            <w:pPr>
              <w:ind w:left="120"/>
              <w:spacing w:after="0"/>
              <w:rPr>
                <w:sz w:val="20"/>
                <w:szCs w:val="20"/>
                <w:color w:val="auto"/>
              </w:rPr>
            </w:pPr>
            <w:r>
              <w:rPr>
                <w:rFonts w:ascii="Arial" w:cs="Arial" w:eastAsia="Arial" w:hAnsi="Arial"/>
                <w:sz w:val="18"/>
                <w:szCs w:val="18"/>
                <w:color w:val="auto"/>
              </w:rPr>
              <w:t>Investment</w:t>
            </w:r>
          </w:p>
        </w:tc>
        <w:tc>
          <w:tcPr>
            <w:tcW w:w="1340" w:type="dxa"/>
            <w:vAlign w:val="bottom"/>
          </w:tcPr>
          <w:p>
            <w:pPr>
              <w:jc w:val="right"/>
              <w:spacing w:after="0"/>
              <w:rPr>
                <w:sz w:val="20"/>
                <w:szCs w:val="20"/>
                <w:color w:val="auto"/>
              </w:rPr>
            </w:pPr>
            <w:r>
              <w:rPr>
                <w:rFonts w:ascii="Arial" w:cs="Arial" w:eastAsia="Arial" w:hAnsi="Arial"/>
                <w:sz w:val="18"/>
                <w:szCs w:val="18"/>
                <w:color w:val="auto"/>
              </w:rPr>
              <w:t>150,000</w:t>
            </w:r>
          </w:p>
        </w:tc>
      </w:tr>
      <w:tr>
        <w:trPr>
          <w:trHeight w:val="256"/>
        </w:trPr>
        <w:tc>
          <w:tcPr>
            <w:tcW w:w="2740" w:type="dxa"/>
            <w:vAlign w:val="bottom"/>
          </w:tcPr>
          <w:p>
            <w:pPr>
              <w:spacing w:after="0"/>
              <w:rPr>
                <w:sz w:val="22"/>
                <w:szCs w:val="22"/>
                <w:color w:val="auto"/>
              </w:rPr>
            </w:pPr>
          </w:p>
        </w:tc>
        <w:tc>
          <w:tcPr>
            <w:tcW w:w="4900" w:type="dxa"/>
            <w:vAlign w:val="bottom"/>
          </w:tcPr>
          <w:p>
            <w:pPr>
              <w:ind w:left="200"/>
              <w:spacing w:after="0"/>
              <w:rPr>
                <w:sz w:val="20"/>
                <w:szCs w:val="20"/>
                <w:color w:val="auto"/>
              </w:rPr>
            </w:pPr>
            <w:r>
              <w:rPr>
                <w:rFonts w:ascii="Arial" w:cs="Arial" w:eastAsia="Arial" w:hAnsi="Arial"/>
                <w:sz w:val="18"/>
                <w:szCs w:val="18"/>
                <w:color w:val="auto"/>
                <w:w w:val="97"/>
              </w:rPr>
              <w:t>Jiayintong (Beijing) Technology Development Co. Ltd. d.b.a.</w:t>
            </w:r>
          </w:p>
        </w:tc>
        <w:tc>
          <w:tcPr>
            <w:tcW w:w="1680" w:type="dxa"/>
            <w:vAlign w:val="bottom"/>
          </w:tcPr>
          <w:p>
            <w:pPr>
              <w:ind w:left="120"/>
              <w:spacing w:after="0"/>
              <w:rPr>
                <w:sz w:val="20"/>
                <w:szCs w:val="20"/>
                <w:color w:val="auto"/>
              </w:rPr>
            </w:pPr>
            <w:r>
              <w:rPr>
                <w:rFonts w:ascii="Arial" w:cs="Arial" w:eastAsia="Arial" w:hAnsi="Arial"/>
                <w:sz w:val="18"/>
                <w:szCs w:val="18"/>
                <w:color w:val="auto"/>
              </w:rPr>
              <w:t>Intercompany</w:t>
            </w:r>
          </w:p>
        </w:tc>
        <w:tc>
          <w:tcPr>
            <w:tcW w:w="1340" w:type="dxa"/>
            <w:vAlign w:val="bottom"/>
          </w:tcPr>
          <w:p>
            <w:pPr>
              <w:spacing w:after="0"/>
              <w:rPr>
                <w:sz w:val="22"/>
                <w:szCs w:val="22"/>
                <w:color w:val="auto"/>
              </w:rPr>
            </w:pPr>
          </w:p>
        </w:tc>
      </w:tr>
      <w:tr>
        <w:trPr>
          <w:trHeight w:val="230"/>
        </w:trPr>
        <w:tc>
          <w:tcPr>
            <w:tcW w:w="2740" w:type="dxa"/>
            <w:vAlign w:val="bottom"/>
          </w:tcPr>
          <w:p>
            <w:pPr>
              <w:spacing w:after="0"/>
              <w:rPr>
                <w:sz w:val="20"/>
                <w:szCs w:val="20"/>
                <w:color w:val="auto"/>
              </w:rPr>
            </w:pPr>
            <w:r>
              <w:rPr>
                <w:rFonts w:ascii="Arial" w:cs="Arial" w:eastAsia="Arial" w:hAnsi="Arial"/>
                <w:sz w:val="18"/>
                <w:szCs w:val="18"/>
                <w:color w:val="auto"/>
              </w:rPr>
              <w:t>Euronet Asia Holdings Limited</w:t>
            </w:r>
          </w:p>
        </w:tc>
        <w:tc>
          <w:tcPr>
            <w:tcW w:w="4900" w:type="dxa"/>
            <w:vAlign w:val="bottom"/>
          </w:tcPr>
          <w:p>
            <w:pPr>
              <w:ind w:left="200"/>
              <w:spacing w:after="0"/>
              <w:rPr>
                <w:sz w:val="20"/>
                <w:szCs w:val="20"/>
                <w:color w:val="auto"/>
              </w:rPr>
            </w:pPr>
            <w:r>
              <w:rPr>
                <w:rFonts w:ascii="Arial" w:cs="Arial" w:eastAsia="Arial" w:hAnsi="Arial"/>
                <w:sz w:val="18"/>
                <w:szCs w:val="18"/>
                <w:color w:val="auto"/>
              </w:rPr>
              <w:t>Euronet China</w:t>
            </w:r>
          </w:p>
        </w:tc>
        <w:tc>
          <w:tcPr>
            <w:tcW w:w="1680" w:type="dxa"/>
            <w:vAlign w:val="bottom"/>
          </w:tcPr>
          <w:p>
            <w:pPr>
              <w:ind w:left="120"/>
              <w:spacing w:after="0"/>
              <w:rPr>
                <w:sz w:val="20"/>
                <w:szCs w:val="20"/>
                <w:color w:val="auto"/>
              </w:rPr>
            </w:pPr>
            <w:r>
              <w:rPr>
                <w:rFonts w:ascii="Arial" w:cs="Arial" w:eastAsia="Arial" w:hAnsi="Arial"/>
                <w:sz w:val="18"/>
                <w:szCs w:val="18"/>
                <w:color w:val="auto"/>
              </w:rPr>
              <w:t>Investment</w:t>
            </w:r>
          </w:p>
        </w:tc>
        <w:tc>
          <w:tcPr>
            <w:tcW w:w="1340" w:type="dxa"/>
            <w:vAlign w:val="bottom"/>
          </w:tcPr>
          <w:p>
            <w:pPr>
              <w:jc w:val="right"/>
              <w:spacing w:after="0"/>
              <w:rPr>
                <w:sz w:val="20"/>
                <w:szCs w:val="20"/>
                <w:color w:val="auto"/>
              </w:rPr>
            </w:pPr>
            <w:r>
              <w:rPr>
                <w:rFonts w:ascii="Arial" w:cs="Arial" w:eastAsia="Arial" w:hAnsi="Arial"/>
                <w:sz w:val="18"/>
                <w:szCs w:val="18"/>
                <w:color w:val="auto"/>
              </w:rPr>
              <w:t>4,894,381</w:t>
            </w:r>
          </w:p>
        </w:tc>
      </w:tr>
      <w:tr>
        <w:trPr>
          <w:trHeight w:val="256"/>
        </w:trPr>
        <w:tc>
          <w:tcPr>
            <w:tcW w:w="2740" w:type="dxa"/>
            <w:vAlign w:val="bottom"/>
          </w:tcPr>
          <w:p>
            <w:pPr>
              <w:spacing w:after="0"/>
              <w:rPr>
                <w:sz w:val="22"/>
                <w:szCs w:val="22"/>
                <w:color w:val="auto"/>
              </w:rPr>
            </w:pPr>
          </w:p>
        </w:tc>
        <w:tc>
          <w:tcPr>
            <w:tcW w:w="4900" w:type="dxa"/>
            <w:vAlign w:val="bottom"/>
          </w:tcPr>
          <w:p>
            <w:pPr>
              <w:spacing w:after="0"/>
              <w:rPr>
                <w:sz w:val="22"/>
                <w:szCs w:val="22"/>
                <w:color w:val="auto"/>
              </w:rPr>
            </w:pPr>
          </w:p>
        </w:tc>
        <w:tc>
          <w:tcPr>
            <w:tcW w:w="1680" w:type="dxa"/>
            <w:vAlign w:val="bottom"/>
          </w:tcPr>
          <w:p>
            <w:pPr>
              <w:ind w:left="120"/>
              <w:spacing w:after="0"/>
              <w:rPr>
                <w:sz w:val="20"/>
                <w:szCs w:val="20"/>
                <w:color w:val="auto"/>
              </w:rPr>
            </w:pPr>
            <w:r>
              <w:rPr>
                <w:rFonts w:ascii="Arial" w:cs="Arial" w:eastAsia="Arial" w:hAnsi="Arial"/>
                <w:sz w:val="18"/>
                <w:szCs w:val="18"/>
                <w:color w:val="auto"/>
              </w:rPr>
              <w:t>Intercompany</w:t>
            </w:r>
          </w:p>
        </w:tc>
        <w:tc>
          <w:tcPr>
            <w:tcW w:w="1340" w:type="dxa"/>
            <w:vAlign w:val="bottom"/>
          </w:tcPr>
          <w:p>
            <w:pPr>
              <w:spacing w:after="0"/>
              <w:rPr>
                <w:sz w:val="22"/>
                <w:szCs w:val="22"/>
                <w:color w:val="auto"/>
              </w:rPr>
            </w:pPr>
          </w:p>
        </w:tc>
      </w:tr>
      <w:tr>
        <w:trPr>
          <w:trHeight w:val="230"/>
        </w:trPr>
        <w:tc>
          <w:tcPr>
            <w:tcW w:w="2740" w:type="dxa"/>
            <w:vAlign w:val="bottom"/>
          </w:tcPr>
          <w:p>
            <w:pPr>
              <w:spacing w:after="0"/>
              <w:rPr>
                <w:sz w:val="20"/>
                <w:szCs w:val="20"/>
                <w:color w:val="auto"/>
              </w:rPr>
            </w:pPr>
            <w:r>
              <w:rPr>
                <w:rFonts w:ascii="Arial" w:cs="Arial" w:eastAsia="Arial" w:hAnsi="Arial"/>
                <w:sz w:val="18"/>
                <w:szCs w:val="18"/>
                <w:color w:val="auto"/>
                <w:w w:val="98"/>
              </w:rPr>
              <w:t>Euronet Business Holdings, S.L.U.</w:t>
            </w:r>
          </w:p>
        </w:tc>
        <w:tc>
          <w:tcPr>
            <w:tcW w:w="4900" w:type="dxa"/>
            <w:vAlign w:val="bottom"/>
          </w:tcPr>
          <w:p>
            <w:pPr>
              <w:ind w:left="200"/>
              <w:spacing w:after="0"/>
              <w:rPr>
                <w:sz w:val="20"/>
                <w:szCs w:val="20"/>
                <w:color w:val="auto"/>
              </w:rPr>
            </w:pPr>
            <w:r>
              <w:rPr>
                <w:rFonts w:ascii="Arial" w:cs="Arial" w:eastAsia="Arial" w:hAnsi="Arial"/>
                <w:sz w:val="18"/>
                <w:szCs w:val="18"/>
                <w:color w:val="auto"/>
              </w:rPr>
              <w:t>Euronet Telerecarga, S.L.U.</w:t>
            </w:r>
          </w:p>
        </w:tc>
        <w:tc>
          <w:tcPr>
            <w:tcW w:w="1680" w:type="dxa"/>
            <w:vAlign w:val="bottom"/>
          </w:tcPr>
          <w:p>
            <w:pPr>
              <w:ind w:left="120"/>
              <w:spacing w:after="0"/>
              <w:rPr>
                <w:sz w:val="20"/>
                <w:szCs w:val="20"/>
                <w:color w:val="auto"/>
              </w:rPr>
            </w:pPr>
            <w:r>
              <w:rPr>
                <w:rFonts w:ascii="Arial" w:cs="Arial" w:eastAsia="Arial" w:hAnsi="Arial"/>
                <w:sz w:val="18"/>
                <w:szCs w:val="18"/>
                <w:color w:val="auto"/>
              </w:rPr>
              <w:t>Investment</w:t>
            </w:r>
          </w:p>
        </w:tc>
        <w:tc>
          <w:tcPr>
            <w:tcW w:w="1340" w:type="dxa"/>
            <w:vAlign w:val="bottom"/>
          </w:tcPr>
          <w:p>
            <w:pPr>
              <w:jc w:val="right"/>
              <w:spacing w:after="0"/>
              <w:rPr>
                <w:sz w:val="20"/>
                <w:szCs w:val="20"/>
                <w:color w:val="auto"/>
              </w:rPr>
            </w:pPr>
            <w:r>
              <w:rPr>
                <w:rFonts w:ascii="Arial" w:cs="Arial" w:eastAsia="Arial" w:hAnsi="Arial"/>
                <w:sz w:val="18"/>
                <w:szCs w:val="18"/>
                <w:color w:val="auto"/>
              </w:rPr>
              <w:t>69,086,582</w:t>
            </w:r>
          </w:p>
        </w:tc>
      </w:tr>
      <w:tr>
        <w:trPr>
          <w:trHeight w:val="256"/>
        </w:trPr>
        <w:tc>
          <w:tcPr>
            <w:tcW w:w="2740" w:type="dxa"/>
            <w:vAlign w:val="bottom"/>
          </w:tcPr>
          <w:p>
            <w:pPr>
              <w:spacing w:after="0"/>
              <w:rPr>
                <w:sz w:val="22"/>
                <w:szCs w:val="22"/>
                <w:color w:val="auto"/>
              </w:rPr>
            </w:pPr>
          </w:p>
        </w:tc>
        <w:tc>
          <w:tcPr>
            <w:tcW w:w="4900" w:type="dxa"/>
            <w:vAlign w:val="bottom"/>
          </w:tcPr>
          <w:p>
            <w:pPr>
              <w:spacing w:after="0"/>
              <w:rPr>
                <w:sz w:val="22"/>
                <w:szCs w:val="22"/>
                <w:color w:val="auto"/>
              </w:rPr>
            </w:pPr>
          </w:p>
        </w:tc>
        <w:tc>
          <w:tcPr>
            <w:tcW w:w="1680" w:type="dxa"/>
            <w:vAlign w:val="bottom"/>
          </w:tcPr>
          <w:p>
            <w:pPr>
              <w:ind w:left="120"/>
              <w:spacing w:after="0"/>
              <w:rPr>
                <w:sz w:val="20"/>
                <w:szCs w:val="20"/>
                <w:color w:val="auto"/>
              </w:rPr>
            </w:pPr>
            <w:r>
              <w:rPr>
                <w:rFonts w:ascii="Arial" w:cs="Arial" w:eastAsia="Arial" w:hAnsi="Arial"/>
                <w:sz w:val="18"/>
                <w:szCs w:val="18"/>
                <w:color w:val="auto"/>
              </w:rPr>
              <w:t>Intercompany</w:t>
            </w:r>
          </w:p>
        </w:tc>
        <w:tc>
          <w:tcPr>
            <w:tcW w:w="1340" w:type="dxa"/>
            <w:vAlign w:val="bottom"/>
          </w:tcPr>
          <w:p>
            <w:pPr>
              <w:spacing w:after="0"/>
              <w:rPr>
                <w:sz w:val="22"/>
                <w:szCs w:val="22"/>
                <w:color w:val="auto"/>
              </w:rPr>
            </w:pPr>
          </w:p>
        </w:tc>
      </w:tr>
      <w:tr>
        <w:trPr>
          <w:trHeight w:val="230"/>
        </w:trPr>
        <w:tc>
          <w:tcPr>
            <w:tcW w:w="2740" w:type="dxa"/>
            <w:vAlign w:val="bottom"/>
          </w:tcPr>
          <w:p>
            <w:pPr>
              <w:spacing w:after="0"/>
              <w:rPr>
                <w:sz w:val="20"/>
                <w:szCs w:val="20"/>
                <w:color w:val="auto"/>
              </w:rPr>
            </w:pPr>
            <w:r>
              <w:rPr>
                <w:rFonts w:ascii="Arial" w:cs="Arial" w:eastAsia="Arial" w:hAnsi="Arial"/>
                <w:sz w:val="18"/>
                <w:szCs w:val="18"/>
                <w:color w:val="auto"/>
                <w:w w:val="98"/>
              </w:rPr>
              <w:t>Euronet Business Holdings, S.L.U.</w:t>
            </w:r>
          </w:p>
        </w:tc>
        <w:tc>
          <w:tcPr>
            <w:tcW w:w="4900" w:type="dxa"/>
            <w:vAlign w:val="bottom"/>
          </w:tcPr>
          <w:p>
            <w:pPr>
              <w:ind w:left="200"/>
              <w:spacing w:after="0"/>
              <w:rPr>
                <w:sz w:val="20"/>
                <w:szCs w:val="20"/>
                <w:color w:val="auto"/>
              </w:rPr>
            </w:pPr>
            <w:r>
              <w:rPr>
                <w:rFonts w:ascii="Arial" w:cs="Arial" w:eastAsia="Arial" w:hAnsi="Arial"/>
                <w:sz w:val="18"/>
                <w:szCs w:val="18"/>
                <w:color w:val="auto"/>
              </w:rPr>
              <w:t>Ria Chile Servicios Financieros SpA</w:t>
            </w:r>
          </w:p>
        </w:tc>
        <w:tc>
          <w:tcPr>
            <w:tcW w:w="1680" w:type="dxa"/>
            <w:vAlign w:val="bottom"/>
          </w:tcPr>
          <w:p>
            <w:pPr>
              <w:ind w:left="120"/>
              <w:spacing w:after="0"/>
              <w:rPr>
                <w:sz w:val="20"/>
                <w:szCs w:val="20"/>
                <w:color w:val="auto"/>
              </w:rPr>
            </w:pPr>
            <w:r>
              <w:rPr>
                <w:rFonts w:ascii="Arial" w:cs="Arial" w:eastAsia="Arial" w:hAnsi="Arial"/>
                <w:sz w:val="18"/>
                <w:szCs w:val="18"/>
                <w:color w:val="auto"/>
              </w:rPr>
              <w:t>Investment</w:t>
            </w:r>
          </w:p>
        </w:tc>
        <w:tc>
          <w:tcPr>
            <w:tcW w:w="1340" w:type="dxa"/>
            <w:vAlign w:val="bottom"/>
          </w:tcPr>
          <w:p>
            <w:pPr>
              <w:jc w:val="right"/>
              <w:spacing w:after="0"/>
              <w:rPr>
                <w:sz w:val="20"/>
                <w:szCs w:val="20"/>
                <w:color w:val="auto"/>
              </w:rPr>
            </w:pPr>
            <w:r>
              <w:rPr>
                <w:rFonts w:ascii="Arial" w:cs="Arial" w:eastAsia="Arial" w:hAnsi="Arial"/>
                <w:sz w:val="18"/>
                <w:szCs w:val="18"/>
                <w:color w:val="auto"/>
              </w:rPr>
              <w:t>220,688</w:t>
            </w:r>
          </w:p>
        </w:tc>
      </w:tr>
      <w:tr>
        <w:trPr>
          <w:trHeight w:val="256"/>
        </w:trPr>
        <w:tc>
          <w:tcPr>
            <w:tcW w:w="2740" w:type="dxa"/>
            <w:vAlign w:val="bottom"/>
          </w:tcPr>
          <w:p>
            <w:pPr>
              <w:spacing w:after="0"/>
              <w:rPr>
                <w:sz w:val="22"/>
                <w:szCs w:val="22"/>
                <w:color w:val="auto"/>
              </w:rPr>
            </w:pPr>
          </w:p>
        </w:tc>
        <w:tc>
          <w:tcPr>
            <w:tcW w:w="4900" w:type="dxa"/>
            <w:vAlign w:val="bottom"/>
          </w:tcPr>
          <w:p>
            <w:pPr>
              <w:spacing w:after="0"/>
              <w:rPr>
                <w:sz w:val="22"/>
                <w:szCs w:val="22"/>
                <w:color w:val="auto"/>
              </w:rPr>
            </w:pPr>
          </w:p>
        </w:tc>
        <w:tc>
          <w:tcPr>
            <w:tcW w:w="1680" w:type="dxa"/>
            <w:vAlign w:val="bottom"/>
          </w:tcPr>
          <w:p>
            <w:pPr>
              <w:ind w:left="120"/>
              <w:spacing w:after="0"/>
              <w:rPr>
                <w:sz w:val="20"/>
                <w:szCs w:val="20"/>
                <w:color w:val="auto"/>
              </w:rPr>
            </w:pPr>
            <w:r>
              <w:rPr>
                <w:rFonts w:ascii="Arial" w:cs="Arial" w:eastAsia="Arial" w:hAnsi="Arial"/>
                <w:sz w:val="18"/>
                <w:szCs w:val="18"/>
                <w:color w:val="auto"/>
              </w:rPr>
              <w:t>Intercompany</w:t>
            </w:r>
          </w:p>
        </w:tc>
        <w:tc>
          <w:tcPr>
            <w:tcW w:w="1340" w:type="dxa"/>
            <w:vAlign w:val="bottom"/>
          </w:tcPr>
          <w:p>
            <w:pPr>
              <w:spacing w:after="0"/>
              <w:rPr>
                <w:sz w:val="22"/>
                <w:szCs w:val="22"/>
                <w:color w:val="auto"/>
              </w:rPr>
            </w:pPr>
          </w:p>
        </w:tc>
      </w:tr>
      <w:tr>
        <w:trPr>
          <w:trHeight w:val="230"/>
        </w:trPr>
        <w:tc>
          <w:tcPr>
            <w:tcW w:w="2740" w:type="dxa"/>
            <w:vAlign w:val="bottom"/>
          </w:tcPr>
          <w:p>
            <w:pPr>
              <w:spacing w:after="0"/>
              <w:rPr>
                <w:sz w:val="20"/>
                <w:szCs w:val="20"/>
                <w:color w:val="auto"/>
              </w:rPr>
            </w:pPr>
            <w:r>
              <w:rPr>
                <w:rFonts w:ascii="Arial" w:cs="Arial" w:eastAsia="Arial" w:hAnsi="Arial"/>
                <w:sz w:val="18"/>
                <w:szCs w:val="18"/>
                <w:color w:val="auto"/>
                <w:w w:val="98"/>
              </w:rPr>
              <w:t>Euronet Business Holdings, S.L.U.</w:t>
            </w:r>
          </w:p>
        </w:tc>
        <w:tc>
          <w:tcPr>
            <w:tcW w:w="4900" w:type="dxa"/>
            <w:vAlign w:val="bottom"/>
          </w:tcPr>
          <w:p>
            <w:pPr>
              <w:ind w:left="200"/>
              <w:spacing w:after="0"/>
              <w:rPr>
                <w:sz w:val="20"/>
                <w:szCs w:val="20"/>
                <w:color w:val="auto"/>
              </w:rPr>
            </w:pPr>
            <w:r>
              <w:rPr>
                <w:rFonts w:ascii="Arial" w:cs="Arial" w:eastAsia="Arial" w:hAnsi="Arial"/>
                <w:sz w:val="18"/>
                <w:szCs w:val="18"/>
                <w:color w:val="auto"/>
              </w:rPr>
              <w:t>RIA Spain Holdings S.L.U.</w:t>
            </w:r>
          </w:p>
        </w:tc>
        <w:tc>
          <w:tcPr>
            <w:tcW w:w="1680" w:type="dxa"/>
            <w:vAlign w:val="bottom"/>
          </w:tcPr>
          <w:p>
            <w:pPr>
              <w:ind w:left="120"/>
              <w:spacing w:after="0"/>
              <w:rPr>
                <w:sz w:val="20"/>
                <w:szCs w:val="20"/>
                <w:color w:val="auto"/>
              </w:rPr>
            </w:pPr>
            <w:r>
              <w:rPr>
                <w:rFonts w:ascii="Arial" w:cs="Arial" w:eastAsia="Arial" w:hAnsi="Arial"/>
                <w:sz w:val="18"/>
                <w:szCs w:val="18"/>
                <w:color w:val="auto"/>
              </w:rPr>
              <w:t>Investment</w:t>
            </w:r>
          </w:p>
        </w:tc>
        <w:tc>
          <w:tcPr>
            <w:tcW w:w="1340" w:type="dxa"/>
            <w:vAlign w:val="bottom"/>
          </w:tcPr>
          <w:p>
            <w:pPr>
              <w:jc w:val="right"/>
              <w:spacing w:after="0"/>
              <w:rPr>
                <w:sz w:val="20"/>
                <w:szCs w:val="20"/>
                <w:color w:val="auto"/>
              </w:rPr>
            </w:pPr>
            <w:r>
              <w:rPr>
                <w:rFonts w:ascii="Arial" w:cs="Arial" w:eastAsia="Arial" w:hAnsi="Arial"/>
                <w:sz w:val="18"/>
                <w:szCs w:val="18"/>
                <w:color w:val="auto"/>
              </w:rPr>
              <w:t>42,241,768</w:t>
            </w:r>
          </w:p>
        </w:tc>
      </w:tr>
      <w:tr>
        <w:trPr>
          <w:trHeight w:val="256"/>
        </w:trPr>
        <w:tc>
          <w:tcPr>
            <w:tcW w:w="2740" w:type="dxa"/>
            <w:vAlign w:val="bottom"/>
          </w:tcPr>
          <w:p>
            <w:pPr>
              <w:spacing w:after="0"/>
              <w:rPr>
                <w:sz w:val="22"/>
                <w:szCs w:val="22"/>
                <w:color w:val="auto"/>
              </w:rPr>
            </w:pPr>
          </w:p>
        </w:tc>
        <w:tc>
          <w:tcPr>
            <w:tcW w:w="4900" w:type="dxa"/>
            <w:vAlign w:val="bottom"/>
          </w:tcPr>
          <w:p>
            <w:pPr>
              <w:spacing w:after="0"/>
              <w:rPr>
                <w:sz w:val="22"/>
                <w:szCs w:val="22"/>
                <w:color w:val="auto"/>
              </w:rPr>
            </w:pPr>
          </w:p>
        </w:tc>
        <w:tc>
          <w:tcPr>
            <w:tcW w:w="1680" w:type="dxa"/>
            <w:vAlign w:val="bottom"/>
          </w:tcPr>
          <w:p>
            <w:pPr>
              <w:ind w:left="120"/>
              <w:spacing w:after="0"/>
              <w:rPr>
                <w:sz w:val="20"/>
                <w:szCs w:val="20"/>
                <w:color w:val="auto"/>
              </w:rPr>
            </w:pPr>
            <w:r>
              <w:rPr>
                <w:rFonts w:ascii="Arial" w:cs="Arial" w:eastAsia="Arial" w:hAnsi="Arial"/>
                <w:sz w:val="18"/>
                <w:szCs w:val="18"/>
                <w:color w:val="auto"/>
              </w:rPr>
              <w:t>Intercompany</w:t>
            </w:r>
          </w:p>
        </w:tc>
        <w:tc>
          <w:tcPr>
            <w:tcW w:w="1340" w:type="dxa"/>
            <w:vAlign w:val="bottom"/>
          </w:tcPr>
          <w:p>
            <w:pPr>
              <w:spacing w:after="0"/>
              <w:rPr>
                <w:sz w:val="22"/>
                <w:szCs w:val="22"/>
                <w:color w:val="auto"/>
              </w:rPr>
            </w:pPr>
          </w:p>
        </w:tc>
      </w:tr>
      <w:tr>
        <w:trPr>
          <w:trHeight w:val="230"/>
        </w:trPr>
        <w:tc>
          <w:tcPr>
            <w:tcW w:w="2740" w:type="dxa"/>
            <w:vAlign w:val="bottom"/>
          </w:tcPr>
          <w:p>
            <w:pPr>
              <w:spacing w:after="0"/>
              <w:rPr>
                <w:sz w:val="20"/>
                <w:szCs w:val="20"/>
                <w:color w:val="auto"/>
              </w:rPr>
            </w:pPr>
            <w:r>
              <w:rPr>
                <w:rFonts w:ascii="Arial" w:cs="Arial" w:eastAsia="Arial" w:hAnsi="Arial"/>
                <w:sz w:val="18"/>
                <w:szCs w:val="18"/>
                <w:color w:val="auto"/>
              </w:rPr>
              <w:t>Euronet Pakistan Holdings Inc.</w:t>
            </w:r>
          </w:p>
        </w:tc>
        <w:tc>
          <w:tcPr>
            <w:tcW w:w="4900" w:type="dxa"/>
            <w:vAlign w:val="bottom"/>
          </w:tcPr>
          <w:p>
            <w:pPr>
              <w:ind w:left="200"/>
              <w:spacing w:after="0"/>
              <w:rPr>
                <w:sz w:val="20"/>
                <w:szCs w:val="20"/>
                <w:color w:val="auto"/>
              </w:rPr>
            </w:pPr>
            <w:r>
              <w:rPr>
                <w:rFonts w:ascii="Arial" w:cs="Arial" w:eastAsia="Arial" w:hAnsi="Arial"/>
                <w:sz w:val="18"/>
                <w:szCs w:val="18"/>
                <w:color w:val="auto"/>
              </w:rPr>
              <w:t>Euronet Pakistan (Pvt.) Limited</w:t>
            </w:r>
          </w:p>
        </w:tc>
        <w:tc>
          <w:tcPr>
            <w:tcW w:w="1680" w:type="dxa"/>
            <w:vAlign w:val="bottom"/>
          </w:tcPr>
          <w:p>
            <w:pPr>
              <w:ind w:left="120"/>
              <w:spacing w:after="0"/>
              <w:rPr>
                <w:sz w:val="20"/>
                <w:szCs w:val="20"/>
                <w:color w:val="auto"/>
              </w:rPr>
            </w:pPr>
            <w:r>
              <w:rPr>
                <w:rFonts w:ascii="Arial" w:cs="Arial" w:eastAsia="Arial" w:hAnsi="Arial"/>
                <w:sz w:val="18"/>
                <w:szCs w:val="18"/>
                <w:color w:val="auto"/>
              </w:rPr>
              <w:t>Investment</w:t>
            </w:r>
          </w:p>
        </w:tc>
        <w:tc>
          <w:tcPr>
            <w:tcW w:w="1340" w:type="dxa"/>
            <w:vAlign w:val="bottom"/>
          </w:tcPr>
          <w:p>
            <w:pPr>
              <w:jc w:val="right"/>
              <w:spacing w:after="0"/>
              <w:rPr>
                <w:sz w:val="20"/>
                <w:szCs w:val="20"/>
                <w:color w:val="auto"/>
              </w:rPr>
            </w:pPr>
            <w:r>
              <w:rPr>
                <w:rFonts w:ascii="Arial" w:cs="Arial" w:eastAsia="Arial" w:hAnsi="Arial"/>
                <w:sz w:val="18"/>
                <w:szCs w:val="18"/>
                <w:color w:val="auto"/>
              </w:rPr>
              <w:t>1,439,200</w:t>
            </w:r>
          </w:p>
        </w:tc>
      </w:tr>
      <w:tr>
        <w:trPr>
          <w:trHeight w:val="256"/>
        </w:trPr>
        <w:tc>
          <w:tcPr>
            <w:tcW w:w="2740" w:type="dxa"/>
            <w:vAlign w:val="bottom"/>
          </w:tcPr>
          <w:p>
            <w:pPr>
              <w:spacing w:after="0"/>
              <w:rPr>
                <w:sz w:val="20"/>
                <w:szCs w:val="20"/>
                <w:color w:val="auto"/>
              </w:rPr>
            </w:pPr>
            <w:r>
              <w:rPr>
                <w:rFonts w:ascii="Arial" w:cs="Arial" w:eastAsia="Arial" w:hAnsi="Arial"/>
                <w:sz w:val="18"/>
                <w:szCs w:val="18"/>
                <w:color w:val="auto"/>
              </w:rPr>
              <w:t>Euronet Payment &amp; Transaction</w:t>
            </w:r>
          </w:p>
        </w:tc>
        <w:tc>
          <w:tcPr>
            <w:tcW w:w="4900" w:type="dxa"/>
            <w:vAlign w:val="bottom"/>
          </w:tcPr>
          <w:p>
            <w:pPr>
              <w:spacing w:after="0"/>
              <w:rPr>
                <w:sz w:val="22"/>
                <w:szCs w:val="22"/>
                <w:color w:val="auto"/>
              </w:rPr>
            </w:pPr>
          </w:p>
        </w:tc>
        <w:tc>
          <w:tcPr>
            <w:tcW w:w="1680" w:type="dxa"/>
            <w:vAlign w:val="bottom"/>
          </w:tcPr>
          <w:p>
            <w:pPr>
              <w:ind w:left="120"/>
              <w:spacing w:after="0"/>
              <w:rPr>
                <w:sz w:val="20"/>
                <w:szCs w:val="20"/>
                <w:color w:val="auto"/>
              </w:rPr>
            </w:pPr>
            <w:r>
              <w:rPr>
                <w:rFonts w:ascii="Arial" w:cs="Arial" w:eastAsia="Arial" w:hAnsi="Arial"/>
                <w:sz w:val="18"/>
                <w:szCs w:val="18"/>
                <w:color w:val="auto"/>
              </w:rPr>
              <w:t>Intercompany</w:t>
            </w:r>
          </w:p>
        </w:tc>
        <w:tc>
          <w:tcPr>
            <w:tcW w:w="1340" w:type="dxa"/>
            <w:vAlign w:val="bottom"/>
          </w:tcPr>
          <w:p>
            <w:pPr>
              <w:spacing w:after="0"/>
              <w:rPr>
                <w:sz w:val="22"/>
                <w:szCs w:val="22"/>
                <w:color w:val="auto"/>
              </w:rPr>
            </w:pPr>
          </w:p>
        </w:tc>
      </w:tr>
      <w:tr>
        <w:trPr>
          <w:trHeight w:val="230"/>
        </w:trPr>
        <w:tc>
          <w:tcPr>
            <w:tcW w:w="2740" w:type="dxa"/>
            <w:vAlign w:val="bottom"/>
          </w:tcPr>
          <w:p>
            <w:pPr>
              <w:spacing w:after="0"/>
              <w:rPr>
                <w:sz w:val="20"/>
                <w:szCs w:val="20"/>
                <w:color w:val="auto"/>
              </w:rPr>
            </w:pPr>
            <w:r>
              <w:rPr>
                <w:rFonts w:ascii="Arial" w:cs="Arial" w:eastAsia="Arial" w:hAnsi="Arial"/>
                <w:sz w:val="18"/>
                <w:szCs w:val="18"/>
                <w:color w:val="auto"/>
              </w:rPr>
              <w:t>Services S.R.L.</w:t>
            </w:r>
          </w:p>
        </w:tc>
        <w:tc>
          <w:tcPr>
            <w:tcW w:w="4900" w:type="dxa"/>
            <w:vAlign w:val="bottom"/>
          </w:tcPr>
          <w:p>
            <w:pPr>
              <w:ind w:left="200"/>
              <w:spacing w:after="0"/>
              <w:rPr>
                <w:sz w:val="20"/>
                <w:szCs w:val="20"/>
                <w:color w:val="auto"/>
              </w:rPr>
            </w:pPr>
            <w:r>
              <w:rPr>
                <w:rFonts w:ascii="Arial" w:cs="Arial" w:eastAsia="Arial" w:hAnsi="Arial"/>
                <w:sz w:val="18"/>
                <w:szCs w:val="18"/>
                <w:color w:val="auto"/>
              </w:rPr>
              <w:t>RIA Italia S.R.L.</w:t>
            </w:r>
          </w:p>
        </w:tc>
        <w:tc>
          <w:tcPr>
            <w:tcW w:w="1680" w:type="dxa"/>
            <w:vAlign w:val="bottom"/>
          </w:tcPr>
          <w:p>
            <w:pPr>
              <w:ind w:left="120"/>
              <w:spacing w:after="0"/>
              <w:rPr>
                <w:sz w:val="20"/>
                <w:szCs w:val="20"/>
                <w:color w:val="auto"/>
              </w:rPr>
            </w:pPr>
            <w:r>
              <w:rPr>
                <w:rFonts w:ascii="Arial" w:cs="Arial" w:eastAsia="Arial" w:hAnsi="Arial"/>
                <w:sz w:val="18"/>
                <w:szCs w:val="18"/>
                <w:color w:val="auto"/>
              </w:rPr>
              <w:t>Investment</w:t>
            </w:r>
          </w:p>
        </w:tc>
        <w:tc>
          <w:tcPr>
            <w:tcW w:w="1340" w:type="dxa"/>
            <w:vAlign w:val="bottom"/>
          </w:tcPr>
          <w:p>
            <w:pPr>
              <w:jc w:val="right"/>
              <w:spacing w:after="0"/>
              <w:rPr>
                <w:sz w:val="20"/>
                <w:szCs w:val="20"/>
                <w:color w:val="auto"/>
              </w:rPr>
            </w:pPr>
            <w:r>
              <w:rPr>
                <w:rFonts w:ascii="Arial" w:cs="Arial" w:eastAsia="Arial" w:hAnsi="Arial"/>
                <w:sz w:val="18"/>
                <w:szCs w:val="18"/>
                <w:color w:val="auto"/>
              </w:rPr>
              <w:t>50,685,000</w:t>
            </w:r>
          </w:p>
        </w:tc>
      </w:tr>
      <w:tr>
        <w:trPr>
          <w:trHeight w:val="256"/>
        </w:trPr>
        <w:tc>
          <w:tcPr>
            <w:tcW w:w="2740" w:type="dxa"/>
            <w:vAlign w:val="bottom"/>
          </w:tcPr>
          <w:p>
            <w:pPr>
              <w:spacing w:after="0"/>
              <w:rPr>
                <w:sz w:val="22"/>
                <w:szCs w:val="22"/>
                <w:color w:val="auto"/>
              </w:rPr>
            </w:pPr>
          </w:p>
        </w:tc>
        <w:tc>
          <w:tcPr>
            <w:tcW w:w="4900" w:type="dxa"/>
            <w:vAlign w:val="bottom"/>
          </w:tcPr>
          <w:p>
            <w:pPr>
              <w:spacing w:after="0"/>
              <w:rPr>
                <w:sz w:val="22"/>
                <w:szCs w:val="22"/>
                <w:color w:val="auto"/>
              </w:rPr>
            </w:pPr>
          </w:p>
        </w:tc>
        <w:tc>
          <w:tcPr>
            <w:tcW w:w="1680" w:type="dxa"/>
            <w:vAlign w:val="bottom"/>
          </w:tcPr>
          <w:p>
            <w:pPr>
              <w:ind w:left="120"/>
              <w:spacing w:after="0"/>
              <w:rPr>
                <w:sz w:val="20"/>
                <w:szCs w:val="20"/>
                <w:color w:val="auto"/>
              </w:rPr>
            </w:pPr>
            <w:r>
              <w:rPr>
                <w:rFonts w:ascii="Arial" w:cs="Arial" w:eastAsia="Arial" w:hAnsi="Arial"/>
                <w:sz w:val="18"/>
                <w:szCs w:val="18"/>
                <w:color w:val="auto"/>
              </w:rPr>
              <w:t>Intercompany</w:t>
            </w:r>
          </w:p>
        </w:tc>
        <w:tc>
          <w:tcPr>
            <w:tcW w:w="1340" w:type="dxa"/>
            <w:vAlign w:val="bottom"/>
          </w:tcPr>
          <w:p>
            <w:pPr>
              <w:spacing w:after="0"/>
              <w:rPr>
                <w:sz w:val="22"/>
                <w:szCs w:val="22"/>
                <w:color w:val="auto"/>
              </w:rPr>
            </w:pPr>
          </w:p>
        </w:tc>
      </w:tr>
      <w:tr>
        <w:trPr>
          <w:trHeight w:val="230"/>
        </w:trPr>
        <w:tc>
          <w:tcPr>
            <w:tcW w:w="2740" w:type="dxa"/>
            <w:vAlign w:val="bottom"/>
          </w:tcPr>
          <w:p>
            <w:pPr>
              <w:spacing w:after="0"/>
              <w:rPr>
                <w:sz w:val="20"/>
                <w:szCs w:val="20"/>
                <w:color w:val="auto"/>
              </w:rPr>
            </w:pPr>
            <w:r>
              <w:rPr>
                <w:rFonts w:ascii="Arial" w:cs="Arial" w:eastAsia="Arial" w:hAnsi="Arial"/>
                <w:sz w:val="18"/>
                <w:szCs w:val="18"/>
                <w:color w:val="auto"/>
              </w:rPr>
              <w:t>Euronet Services Kft.</w:t>
            </w:r>
          </w:p>
        </w:tc>
        <w:tc>
          <w:tcPr>
            <w:tcW w:w="4900" w:type="dxa"/>
            <w:vAlign w:val="bottom"/>
          </w:tcPr>
          <w:p>
            <w:pPr>
              <w:ind w:left="200"/>
              <w:spacing w:after="0"/>
              <w:rPr>
                <w:sz w:val="20"/>
                <w:szCs w:val="20"/>
                <w:color w:val="auto"/>
              </w:rPr>
            </w:pPr>
            <w:r>
              <w:rPr>
                <w:rFonts w:ascii="Arial" w:cs="Arial" w:eastAsia="Arial" w:hAnsi="Arial"/>
                <w:sz w:val="18"/>
                <w:szCs w:val="18"/>
                <w:color w:val="auto"/>
              </w:rPr>
              <w:t>Euronet Services S.R.L</w:t>
            </w:r>
          </w:p>
        </w:tc>
        <w:tc>
          <w:tcPr>
            <w:tcW w:w="1680" w:type="dxa"/>
            <w:vAlign w:val="bottom"/>
          </w:tcPr>
          <w:p>
            <w:pPr>
              <w:ind w:left="120"/>
              <w:spacing w:after="0"/>
              <w:rPr>
                <w:sz w:val="20"/>
                <w:szCs w:val="20"/>
                <w:color w:val="auto"/>
              </w:rPr>
            </w:pPr>
            <w:r>
              <w:rPr>
                <w:rFonts w:ascii="Arial" w:cs="Arial" w:eastAsia="Arial" w:hAnsi="Arial"/>
                <w:sz w:val="18"/>
                <w:szCs w:val="18"/>
                <w:color w:val="auto"/>
              </w:rPr>
              <w:t>Investment</w:t>
            </w:r>
          </w:p>
        </w:tc>
        <w:tc>
          <w:tcPr>
            <w:tcW w:w="1340" w:type="dxa"/>
            <w:vAlign w:val="bottom"/>
          </w:tcPr>
          <w:p>
            <w:pPr>
              <w:jc w:val="right"/>
              <w:spacing w:after="0"/>
              <w:rPr>
                <w:sz w:val="20"/>
                <w:szCs w:val="20"/>
                <w:color w:val="auto"/>
              </w:rPr>
            </w:pPr>
            <w:r>
              <w:rPr>
                <w:rFonts w:ascii="Arial" w:cs="Arial" w:eastAsia="Arial" w:hAnsi="Arial"/>
                <w:sz w:val="18"/>
                <w:szCs w:val="18"/>
                <w:color w:val="auto"/>
              </w:rPr>
              <w:t>36,309</w:t>
            </w:r>
          </w:p>
        </w:tc>
      </w:tr>
      <w:tr>
        <w:trPr>
          <w:trHeight w:val="256"/>
        </w:trPr>
        <w:tc>
          <w:tcPr>
            <w:tcW w:w="2740" w:type="dxa"/>
            <w:vAlign w:val="bottom"/>
          </w:tcPr>
          <w:p>
            <w:pPr>
              <w:spacing w:after="0"/>
              <w:rPr>
                <w:sz w:val="22"/>
                <w:szCs w:val="22"/>
                <w:color w:val="auto"/>
              </w:rPr>
            </w:pPr>
          </w:p>
        </w:tc>
        <w:tc>
          <w:tcPr>
            <w:tcW w:w="4900" w:type="dxa"/>
            <w:vAlign w:val="bottom"/>
          </w:tcPr>
          <w:p>
            <w:pPr>
              <w:spacing w:after="0"/>
              <w:rPr>
                <w:sz w:val="22"/>
                <w:szCs w:val="22"/>
                <w:color w:val="auto"/>
              </w:rPr>
            </w:pPr>
          </w:p>
        </w:tc>
        <w:tc>
          <w:tcPr>
            <w:tcW w:w="1680" w:type="dxa"/>
            <w:vAlign w:val="bottom"/>
          </w:tcPr>
          <w:p>
            <w:pPr>
              <w:ind w:left="120"/>
              <w:spacing w:after="0"/>
              <w:rPr>
                <w:sz w:val="20"/>
                <w:szCs w:val="20"/>
                <w:color w:val="auto"/>
              </w:rPr>
            </w:pPr>
            <w:r>
              <w:rPr>
                <w:rFonts w:ascii="Arial" w:cs="Arial" w:eastAsia="Arial" w:hAnsi="Arial"/>
                <w:sz w:val="18"/>
                <w:szCs w:val="18"/>
                <w:color w:val="auto"/>
              </w:rPr>
              <w:t>Intercompany</w:t>
            </w:r>
          </w:p>
        </w:tc>
        <w:tc>
          <w:tcPr>
            <w:tcW w:w="1340" w:type="dxa"/>
            <w:vAlign w:val="bottom"/>
          </w:tcPr>
          <w:p>
            <w:pPr>
              <w:spacing w:after="0"/>
              <w:rPr>
                <w:sz w:val="22"/>
                <w:szCs w:val="22"/>
                <w:color w:val="auto"/>
              </w:rPr>
            </w:pPr>
          </w:p>
        </w:tc>
      </w:tr>
      <w:tr>
        <w:trPr>
          <w:trHeight w:val="230"/>
        </w:trPr>
        <w:tc>
          <w:tcPr>
            <w:tcW w:w="2740" w:type="dxa"/>
            <w:vAlign w:val="bottom"/>
          </w:tcPr>
          <w:p>
            <w:pPr>
              <w:spacing w:after="0"/>
              <w:rPr>
                <w:sz w:val="20"/>
                <w:szCs w:val="20"/>
                <w:color w:val="auto"/>
              </w:rPr>
            </w:pPr>
            <w:r>
              <w:rPr>
                <w:rFonts w:ascii="Arial" w:cs="Arial" w:eastAsia="Arial" w:hAnsi="Arial"/>
                <w:sz w:val="18"/>
                <w:szCs w:val="18"/>
                <w:color w:val="auto"/>
              </w:rPr>
              <w:t>Euronet Services Kft.</w:t>
            </w:r>
          </w:p>
        </w:tc>
        <w:tc>
          <w:tcPr>
            <w:tcW w:w="4900" w:type="dxa"/>
            <w:vAlign w:val="bottom"/>
          </w:tcPr>
          <w:p>
            <w:pPr>
              <w:ind w:left="200"/>
              <w:spacing w:after="0"/>
              <w:rPr>
                <w:sz w:val="20"/>
                <w:szCs w:val="20"/>
                <w:color w:val="auto"/>
              </w:rPr>
            </w:pPr>
            <w:r>
              <w:rPr>
                <w:rFonts w:ascii="Arial" w:cs="Arial" w:eastAsia="Arial" w:hAnsi="Arial"/>
                <w:sz w:val="18"/>
                <w:szCs w:val="18"/>
                <w:color w:val="auto"/>
              </w:rPr>
              <w:t>Smart PayNetwork SA</w:t>
            </w:r>
          </w:p>
        </w:tc>
        <w:tc>
          <w:tcPr>
            <w:tcW w:w="1680" w:type="dxa"/>
            <w:vAlign w:val="bottom"/>
          </w:tcPr>
          <w:p>
            <w:pPr>
              <w:ind w:left="120"/>
              <w:spacing w:after="0"/>
              <w:rPr>
                <w:sz w:val="20"/>
                <w:szCs w:val="20"/>
                <w:color w:val="auto"/>
              </w:rPr>
            </w:pPr>
            <w:r>
              <w:rPr>
                <w:rFonts w:ascii="Arial" w:cs="Arial" w:eastAsia="Arial" w:hAnsi="Arial"/>
                <w:sz w:val="18"/>
                <w:szCs w:val="18"/>
                <w:color w:val="auto"/>
              </w:rPr>
              <w:t>Investment</w:t>
            </w:r>
          </w:p>
        </w:tc>
        <w:tc>
          <w:tcPr>
            <w:tcW w:w="1340" w:type="dxa"/>
            <w:vAlign w:val="bottom"/>
          </w:tcPr>
          <w:p>
            <w:pPr>
              <w:jc w:val="right"/>
              <w:spacing w:after="0"/>
              <w:rPr>
                <w:sz w:val="20"/>
                <w:szCs w:val="20"/>
                <w:color w:val="auto"/>
              </w:rPr>
            </w:pPr>
            <w:r>
              <w:rPr>
                <w:rFonts w:ascii="Arial" w:cs="Arial" w:eastAsia="Arial" w:hAnsi="Arial"/>
                <w:sz w:val="18"/>
                <w:szCs w:val="18"/>
                <w:color w:val="auto"/>
              </w:rPr>
              <w:t>117</w:t>
            </w:r>
          </w:p>
        </w:tc>
      </w:tr>
      <w:tr>
        <w:trPr>
          <w:trHeight w:val="256"/>
        </w:trPr>
        <w:tc>
          <w:tcPr>
            <w:tcW w:w="2740" w:type="dxa"/>
            <w:vAlign w:val="bottom"/>
          </w:tcPr>
          <w:p>
            <w:pPr>
              <w:spacing w:after="0"/>
              <w:rPr>
                <w:sz w:val="22"/>
                <w:szCs w:val="22"/>
                <w:color w:val="auto"/>
              </w:rPr>
            </w:pPr>
          </w:p>
        </w:tc>
        <w:tc>
          <w:tcPr>
            <w:tcW w:w="4900" w:type="dxa"/>
            <w:vAlign w:val="bottom"/>
          </w:tcPr>
          <w:p>
            <w:pPr>
              <w:spacing w:after="0"/>
              <w:rPr>
                <w:sz w:val="22"/>
                <w:szCs w:val="22"/>
                <w:color w:val="auto"/>
              </w:rPr>
            </w:pPr>
          </w:p>
        </w:tc>
        <w:tc>
          <w:tcPr>
            <w:tcW w:w="1680" w:type="dxa"/>
            <w:vAlign w:val="bottom"/>
          </w:tcPr>
          <w:p>
            <w:pPr>
              <w:ind w:left="120"/>
              <w:spacing w:after="0"/>
              <w:rPr>
                <w:sz w:val="20"/>
                <w:szCs w:val="20"/>
                <w:color w:val="auto"/>
              </w:rPr>
            </w:pPr>
            <w:r>
              <w:rPr>
                <w:rFonts w:ascii="Arial" w:cs="Arial" w:eastAsia="Arial" w:hAnsi="Arial"/>
                <w:sz w:val="18"/>
                <w:szCs w:val="18"/>
                <w:color w:val="auto"/>
              </w:rPr>
              <w:t>Intercompany</w:t>
            </w:r>
          </w:p>
        </w:tc>
        <w:tc>
          <w:tcPr>
            <w:tcW w:w="1340" w:type="dxa"/>
            <w:vAlign w:val="bottom"/>
          </w:tcPr>
          <w:p>
            <w:pPr>
              <w:spacing w:after="0"/>
              <w:rPr>
                <w:sz w:val="22"/>
                <w:szCs w:val="22"/>
                <w:color w:val="auto"/>
              </w:rPr>
            </w:pPr>
          </w:p>
        </w:tc>
      </w:tr>
      <w:tr>
        <w:trPr>
          <w:trHeight w:val="230"/>
        </w:trPr>
        <w:tc>
          <w:tcPr>
            <w:tcW w:w="2740" w:type="dxa"/>
            <w:vAlign w:val="bottom"/>
          </w:tcPr>
          <w:p>
            <w:pPr>
              <w:spacing w:after="0"/>
              <w:rPr>
                <w:sz w:val="20"/>
                <w:szCs w:val="20"/>
                <w:color w:val="auto"/>
              </w:rPr>
            </w:pPr>
            <w:r>
              <w:rPr>
                <w:rFonts w:ascii="Arial" w:cs="Arial" w:eastAsia="Arial" w:hAnsi="Arial"/>
                <w:sz w:val="18"/>
                <w:szCs w:val="18"/>
                <w:color w:val="auto"/>
              </w:rPr>
              <w:t>Euronet Telerecarga, S.L.U.</w:t>
            </w:r>
          </w:p>
        </w:tc>
        <w:tc>
          <w:tcPr>
            <w:tcW w:w="4900" w:type="dxa"/>
            <w:vAlign w:val="bottom"/>
          </w:tcPr>
          <w:p>
            <w:pPr>
              <w:ind w:left="200"/>
              <w:spacing w:after="0"/>
              <w:rPr>
                <w:sz w:val="20"/>
                <w:szCs w:val="20"/>
                <w:color w:val="auto"/>
              </w:rPr>
            </w:pPr>
            <w:r>
              <w:rPr>
                <w:rFonts w:ascii="Arial" w:cs="Arial" w:eastAsia="Arial" w:hAnsi="Arial"/>
                <w:sz w:val="18"/>
                <w:szCs w:val="18"/>
                <w:color w:val="auto"/>
              </w:rPr>
              <w:t>Euronet Movilcarga S.L.</w:t>
            </w:r>
          </w:p>
        </w:tc>
        <w:tc>
          <w:tcPr>
            <w:tcW w:w="1680" w:type="dxa"/>
            <w:vAlign w:val="bottom"/>
          </w:tcPr>
          <w:p>
            <w:pPr>
              <w:ind w:left="120"/>
              <w:spacing w:after="0"/>
              <w:rPr>
                <w:sz w:val="20"/>
                <w:szCs w:val="20"/>
                <w:color w:val="auto"/>
              </w:rPr>
            </w:pPr>
            <w:r>
              <w:rPr>
                <w:rFonts w:ascii="Arial" w:cs="Arial" w:eastAsia="Arial" w:hAnsi="Arial"/>
                <w:sz w:val="18"/>
                <w:szCs w:val="18"/>
                <w:color w:val="auto"/>
              </w:rPr>
              <w:t>Investment</w:t>
            </w:r>
          </w:p>
        </w:tc>
        <w:tc>
          <w:tcPr>
            <w:tcW w:w="1340" w:type="dxa"/>
            <w:vAlign w:val="bottom"/>
          </w:tcPr>
          <w:p>
            <w:pPr>
              <w:jc w:val="right"/>
              <w:spacing w:after="0"/>
              <w:rPr>
                <w:sz w:val="20"/>
                <w:szCs w:val="20"/>
                <w:color w:val="auto"/>
              </w:rPr>
            </w:pPr>
            <w:r>
              <w:rPr>
                <w:rFonts w:ascii="Arial" w:cs="Arial" w:eastAsia="Arial" w:hAnsi="Arial"/>
                <w:sz w:val="18"/>
                <w:szCs w:val="18"/>
                <w:color w:val="auto"/>
              </w:rPr>
              <w:t>13,490,925</w:t>
            </w:r>
          </w:p>
        </w:tc>
      </w:tr>
      <w:tr>
        <w:trPr>
          <w:trHeight w:val="256"/>
        </w:trPr>
        <w:tc>
          <w:tcPr>
            <w:tcW w:w="2740" w:type="dxa"/>
            <w:vAlign w:val="bottom"/>
          </w:tcPr>
          <w:p>
            <w:pPr>
              <w:spacing w:after="0"/>
              <w:rPr>
                <w:sz w:val="22"/>
                <w:szCs w:val="22"/>
                <w:color w:val="auto"/>
              </w:rPr>
            </w:pPr>
          </w:p>
        </w:tc>
        <w:tc>
          <w:tcPr>
            <w:tcW w:w="4900" w:type="dxa"/>
            <w:vAlign w:val="bottom"/>
          </w:tcPr>
          <w:p>
            <w:pPr>
              <w:spacing w:after="0"/>
              <w:rPr>
                <w:sz w:val="22"/>
                <w:szCs w:val="22"/>
                <w:color w:val="auto"/>
              </w:rPr>
            </w:pPr>
          </w:p>
        </w:tc>
        <w:tc>
          <w:tcPr>
            <w:tcW w:w="1680" w:type="dxa"/>
            <w:vAlign w:val="bottom"/>
          </w:tcPr>
          <w:p>
            <w:pPr>
              <w:ind w:left="120"/>
              <w:spacing w:after="0"/>
              <w:rPr>
                <w:sz w:val="20"/>
                <w:szCs w:val="20"/>
                <w:color w:val="auto"/>
              </w:rPr>
            </w:pPr>
            <w:r>
              <w:rPr>
                <w:rFonts w:ascii="Arial" w:cs="Arial" w:eastAsia="Arial" w:hAnsi="Arial"/>
                <w:sz w:val="18"/>
                <w:szCs w:val="18"/>
                <w:color w:val="auto"/>
              </w:rPr>
              <w:t>Intercompany</w:t>
            </w:r>
          </w:p>
        </w:tc>
        <w:tc>
          <w:tcPr>
            <w:tcW w:w="1340" w:type="dxa"/>
            <w:vAlign w:val="bottom"/>
          </w:tcPr>
          <w:p>
            <w:pPr>
              <w:spacing w:after="0"/>
              <w:rPr>
                <w:sz w:val="22"/>
                <w:szCs w:val="22"/>
                <w:color w:val="auto"/>
              </w:rPr>
            </w:pPr>
          </w:p>
        </w:tc>
      </w:tr>
      <w:tr>
        <w:trPr>
          <w:trHeight w:val="230"/>
        </w:trPr>
        <w:tc>
          <w:tcPr>
            <w:tcW w:w="2740" w:type="dxa"/>
            <w:vAlign w:val="bottom"/>
          </w:tcPr>
          <w:p>
            <w:pPr>
              <w:spacing w:after="0"/>
              <w:rPr>
                <w:sz w:val="20"/>
                <w:szCs w:val="20"/>
                <w:color w:val="auto"/>
              </w:rPr>
            </w:pPr>
            <w:r>
              <w:rPr>
                <w:rFonts w:ascii="Arial" w:cs="Arial" w:eastAsia="Arial" w:hAnsi="Arial"/>
                <w:sz w:val="18"/>
                <w:szCs w:val="18"/>
                <w:color w:val="auto"/>
              </w:rPr>
              <w:t>Euronet Worldwide, Inc.</w:t>
            </w:r>
          </w:p>
        </w:tc>
        <w:tc>
          <w:tcPr>
            <w:tcW w:w="4900" w:type="dxa"/>
            <w:vAlign w:val="bottom"/>
          </w:tcPr>
          <w:p>
            <w:pPr>
              <w:ind w:left="200"/>
              <w:spacing w:after="0"/>
              <w:rPr>
                <w:sz w:val="20"/>
                <w:szCs w:val="20"/>
                <w:color w:val="auto"/>
              </w:rPr>
            </w:pPr>
            <w:r>
              <w:rPr>
                <w:rFonts w:ascii="Arial" w:cs="Arial" w:eastAsia="Arial" w:hAnsi="Arial"/>
                <w:sz w:val="18"/>
                <w:szCs w:val="18"/>
                <w:color w:val="auto"/>
              </w:rPr>
              <w:t>"Euronet Ukraine" Limited Liability Company</w:t>
            </w:r>
          </w:p>
        </w:tc>
        <w:tc>
          <w:tcPr>
            <w:tcW w:w="1680" w:type="dxa"/>
            <w:vAlign w:val="bottom"/>
          </w:tcPr>
          <w:p>
            <w:pPr>
              <w:ind w:left="120"/>
              <w:spacing w:after="0"/>
              <w:rPr>
                <w:sz w:val="20"/>
                <w:szCs w:val="20"/>
                <w:color w:val="auto"/>
              </w:rPr>
            </w:pPr>
            <w:r>
              <w:rPr>
                <w:rFonts w:ascii="Arial" w:cs="Arial" w:eastAsia="Arial" w:hAnsi="Arial"/>
                <w:sz w:val="18"/>
                <w:szCs w:val="18"/>
                <w:color w:val="auto"/>
              </w:rPr>
              <w:t>Investment</w:t>
            </w:r>
          </w:p>
        </w:tc>
        <w:tc>
          <w:tcPr>
            <w:tcW w:w="1340" w:type="dxa"/>
            <w:vAlign w:val="bottom"/>
          </w:tcPr>
          <w:p>
            <w:pPr>
              <w:jc w:val="right"/>
              <w:spacing w:after="0"/>
              <w:rPr>
                <w:sz w:val="20"/>
                <w:szCs w:val="20"/>
                <w:color w:val="auto"/>
              </w:rPr>
            </w:pPr>
            <w:r>
              <w:rPr>
                <w:rFonts w:ascii="Arial" w:cs="Arial" w:eastAsia="Arial" w:hAnsi="Arial"/>
                <w:sz w:val="18"/>
                <w:szCs w:val="18"/>
                <w:color w:val="auto"/>
              </w:rPr>
              <w:t>857</w:t>
            </w:r>
          </w:p>
        </w:tc>
      </w:tr>
    </w:tbl>
    <w:p>
      <w:pPr>
        <w:sectPr>
          <w:pgSz w:w="11900" w:h="16838" w:orient="portrait"/>
          <w:cols w:equalWidth="0" w:num="1">
            <w:col w:w="10660"/>
          </w:cols>
          <w:pgMar w:left="580" w:top="530" w:right="659" w:bottom="1440" w:gutter="0" w:footer="0" w:header="0"/>
        </w:sectPr>
      </w:pPr>
    </w:p>
    <w:bookmarkStart w:id="282" w:name="page283"/>
    <w:bookmarkEnd w:id="28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500" w:type="dxa"/>
            <w:vAlign w:val="bottom"/>
          </w:tcPr>
          <w:p>
            <w:pPr>
              <w:spacing w:after="0"/>
              <w:rPr>
                <w:sz w:val="18"/>
                <w:szCs w:val="18"/>
                <w:color w:val="auto"/>
              </w:rPr>
            </w:pPr>
          </w:p>
        </w:tc>
        <w:tc>
          <w:tcPr>
            <w:tcW w:w="4480" w:type="dxa"/>
            <w:vAlign w:val="bottom"/>
          </w:tcPr>
          <w:p>
            <w:pPr>
              <w:spacing w:after="0"/>
              <w:rPr>
                <w:sz w:val="18"/>
                <w:szCs w:val="18"/>
                <w:color w:val="auto"/>
              </w:rPr>
            </w:pPr>
          </w:p>
        </w:tc>
        <w:tc>
          <w:tcPr>
            <w:tcW w:w="2280" w:type="dxa"/>
            <w:vAlign w:val="bottom"/>
          </w:tcPr>
          <w:p>
            <w:pPr>
              <w:ind w:left="780"/>
              <w:spacing w:after="0"/>
              <w:rPr>
                <w:sz w:val="20"/>
                <w:szCs w:val="20"/>
                <w:color w:val="auto"/>
              </w:rPr>
            </w:pPr>
            <w:r>
              <w:rPr>
                <w:rFonts w:ascii="Arial" w:cs="Arial" w:eastAsia="Arial" w:hAnsi="Arial"/>
                <w:sz w:val="18"/>
                <w:szCs w:val="18"/>
                <w:color w:val="auto"/>
              </w:rPr>
              <w:t>Intercompany</w:t>
            </w:r>
          </w:p>
        </w:tc>
        <w:tc>
          <w:tcPr>
            <w:tcW w:w="1400" w:type="dxa"/>
            <w:vAlign w:val="bottom"/>
          </w:tcPr>
          <w:p>
            <w:pPr>
              <w:spacing w:after="0"/>
              <w:rPr>
                <w:sz w:val="18"/>
                <w:szCs w:val="18"/>
                <w:color w:val="auto"/>
              </w:rPr>
            </w:pPr>
          </w:p>
        </w:tc>
      </w:tr>
      <w:tr>
        <w:trPr>
          <w:trHeight w:val="230"/>
        </w:trPr>
        <w:tc>
          <w:tcPr>
            <w:tcW w:w="2500" w:type="dxa"/>
            <w:vAlign w:val="bottom"/>
          </w:tcPr>
          <w:p>
            <w:pPr>
              <w:spacing w:after="0"/>
              <w:rPr>
                <w:sz w:val="20"/>
                <w:szCs w:val="20"/>
                <w:color w:val="auto"/>
              </w:rPr>
            </w:pPr>
            <w:r>
              <w:rPr>
                <w:rFonts w:ascii="Arial" w:cs="Arial" w:eastAsia="Arial" w:hAnsi="Arial"/>
                <w:sz w:val="18"/>
                <w:szCs w:val="18"/>
                <w:color w:val="auto"/>
              </w:rPr>
              <w:t>Euronet Worldwide, Inc.</w:t>
            </w:r>
          </w:p>
        </w:tc>
        <w:tc>
          <w:tcPr>
            <w:tcW w:w="4480" w:type="dxa"/>
            <w:vAlign w:val="bottom"/>
          </w:tcPr>
          <w:p>
            <w:pPr>
              <w:ind w:left="420"/>
              <w:spacing w:after="0"/>
              <w:rPr>
                <w:sz w:val="20"/>
                <w:szCs w:val="20"/>
                <w:color w:val="auto"/>
              </w:rPr>
            </w:pPr>
            <w:r>
              <w:rPr>
                <w:rFonts w:ascii="Arial" w:cs="Arial" w:eastAsia="Arial" w:hAnsi="Arial"/>
                <w:sz w:val="18"/>
                <w:szCs w:val="18"/>
                <w:color w:val="auto"/>
              </w:rPr>
              <w:t>EFT Services Holding B.V.</w:t>
            </w:r>
          </w:p>
        </w:tc>
        <w:tc>
          <w:tcPr>
            <w:tcW w:w="2280" w:type="dxa"/>
            <w:vAlign w:val="bottom"/>
          </w:tcPr>
          <w:p>
            <w:pPr>
              <w:ind w:left="780"/>
              <w:spacing w:after="0"/>
              <w:rPr>
                <w:sz w:val="20"/>
                <w:szCs w:val="20"/>
                <w:color w:val="auto"/>
              </w:rPr>
            </w:pPr>
            <w:r>
              <w:rPr>
                <w:rFonts w:ascii="Arial" w:cs="Arial" w:eastAsia="Arial" w:hAnsi="Arial"/>
                <w:sz w:val="18"/>
                <w:szCs w:val="18"/>
                <w:color w:val="auto"/>
              </w:rPr>
              <w:t>Investment</w:t>
            </w:r>
          </w:p>
        </w:tc>
        <w:tc>
          <w:tcPr>
            <w:tcW w:w="1400" w:type="dxa"/>
            <w:vAlign w:val="bottom"/>
          </w:tcPr>
          <w:p>
            <w:pPr>
              <w:jc w:val="right"/>
              <w:spacing w:after="0"/>
              <w:rPr>
                <w:sz w:val="20"/>
                <w:szCs w:val="20"/>
                <w:color w:val="auto"/>
              </w:rPr>
            </w:pPr>
            <w:r>
              <w:rPr>
                <w:rFonts w:ascii="Arial" w:cs="Arial" w:eastAsia="Arial" w:hAnsi="Arial"/>
                <w:sz w:val="18"/>
                <w:szCs w:val="18"/>
                <w:color w:val="auto"/>
              </w:rPr>
              <w:t>206,084,597</w:t>
            </w:r>
          </w:p>
        </w:tc>
      </w:tr>
      <w:tr>
        <w:trPr>
          <w:trHeight w:val="256"/>
        </w:trPr>
        <w:tc>
          <w:tcPr>
            <w:tcW w:w="2500" w:type="dxa"/>
            <w:vAlign w:val="bottom"/>
          </w:tcPr>
          <w:p>
            <w:pPr>
              <w:spacing w:after="0"/>
              <w:rPr>
                <w:sz w:val="22"/>
                <w:szCs w:val="22"/>
                <w:color w:val="auto"/>
              </w:rPr>
            </w:pPr>
          </w:p>
        </w:tc>
        <w:tc>
          <w:tcPr>
            <w:tcW w:w="4480" w:type="dxa"/>
            <w:vAlign w:val="bottom"/>
          </w:tcPr>
          <w:p>
            <w:pPr>
              <w:spacing w:after="0"/>
              <w:rPr>
                <w:sz w:val="22"/>
                <w:szCs w:val="22"/>
                <w:color w:val="auto"/>
              </w:rPr>
            </w:pPr>
          </w:p>
        </w:tc>
        <w:tc>
          <w:tcPr>
            <w:tcW w:w="2280" w:type="dxa"/>
            <w:vAlign w:val="bottom"/>
          </w:tcPr>
          <w:p>
            <w:pPr>
              <w:ind w:left="780"/>
              <w:spacing w:after="0"/>
              <w:rPr>
                <w:sz w:val="20"/>
                <w:szCs w:val="20"/>
                <w:color w:val="auto"/>
              </w:rPr>
            </w:pPr>
            <w:r>
              <w:rPr>
                <w:rFonts w:ascii="Arial" w:cs="Arial" w:eastAsia="Arial" w:hAnsi="Arial"/>
                <w:sz w:val="18"/>
                <w:szCs w:val="18"/>
                <w:color w:val="auto"/>
              </w:rPr>
              <w:t>Intercompany</w:t>
            </w:r>
          </w:p>
        </w:tc>
        <w:tc>
          <w:tcPr>
            <w:tcW w:w="1400" w:type="dxa"/>
            <w:vAlign w:val="bottom"/>
          </w:tcPr>
          <w:p>
            <w:pPr>
              <w:spacing w:after="0"/>
              <w:rPr>
                <w:sz w:val="22"/>
                <w:szCs w:val="22"/>
                <w:color w:val="auto"/>
              </w:rPr>
            </w:pPr>
          </w:p>
        </w:tc>
      </w:tr>
      <w:tr>
        <w:trPr>
          <w:trHeight w:val="230"/>
        </w:trPr>
        <w:tc>
          <w:tcPr>
            <w:tcW w:w="2500" w:type="dxa"/>
            <w:vAlign w:val="bottom"/>
          </w:tcPr>
          <w:p>
            <w:pPr>
              <w:spacing w:after="0"/>
              <w:rPr>
                <w:sz w:val="20"/>
                <w:szCs w:val="20"/>
                <w:color w:val="auto"/>
              </w:rPr>
            </w:pPr>
            <w:r>
              <w:rPr>
                <w:rFonts w:ascii="Arial" w:cs="Arial" w:eastAsia="Arial" w:hAnsi="Arial"/>
                <w:sz w:val="18"/>
                <w:szCs w:val="18"/>
                <w:color w:val="auto"/>
              </w:rPr>
              <w:t>Euronet Worldwide, Inc.</w:t>
            </w:r>
          </w:p>
        </w:tc>
        <w:tc>
          <w:tcPr>
            <w:tcW w:w="4480" w:type="dxa"/>
            <w:vAlign w:val="bottom"/>
          </w:tcPr>
          <w:p>
            <w:pPr>
              <w:ind w:left="420"/>
              <w:spacing w:after="0"/>
              <w:rPr>
                <w:sz w:val="20"/>
                <w:szCs w:val="20"/>
                <w:color w:val="auto"/>
              </w:rPr>
            </w:pPr>
            <w:r>
              <w:rPr>
                <w:rFonts w:ascii="Arial" w:cs="Arial" w:eastAsia="Arial" w:hAnsi="Arial"/>
                <w:sz w:val="18"/>
                <w:szCs w:val="18"/>
                <w:color w:val="auto"/>
              </w:rPr>
              <w:t>Euronet Card Services S.A.</w:t>
            </w:r>
          </w:p>
        </w:tc>
        <w:tc>
          <w:tcPr>
            <w:tcW w:w="2280" w:type="dxa"/>
            <w:vAlign w:val="bottom"/>
          </w:tcPr>
          <w:p>
            <w:pPr>
              <w:ind w:left="780"/>
              <w:spacing w:after="0"/>
              <w:rPr>
                <w:sz w:val="20"/>
                <w:szCs w:val="20"/>
                <w:color w:val="auto"/>
              </w:rPr>
            </w:pPr>
            <w:r>
              <w:rPr>
                <w:rFonts w:ascii="Arial" w:cs="Arial" w:eastAsia="Arial" w:hAnsi="Arial"/>
                <w:sz w:val="18"/>
                <w:szCs w:val="18"/>
                <w:color w:val="auto"/>
              </w:rPr>
              <w:t>Investment</w:t>
            </w:r>
          </w:p>
        </w:tc>
        <w:tc>
          <w:tcPr>
            <w:tcW w:w="1400" w:type="dxa"/>
            <w:vAlign w:val="bottom"/>
          </w:tcPr>
          <w:p>
            <w:pPr>
              <w:jc w:val="right"/>
              <w:spacing w:after="0"/>
              <w:rPr>
                <w:sz w:val="20"/>
                <w:szCs w:val="20"/>
                <w:color w:val="auto"/>
              </w:rPr>
            </w:pPr>
            <w:r>
              <w:rPr>
                <w:rFonts w:ascii="Arial" w:cs="Arial" w:eastAsia="Arial" w:hAnsi="Arial"/>
                <w:sz w:val="18"/>
                <w:szCs w:val="18"/>
                <w:color w:val="auto"/>
              </w:rPr>
              <w:t>1,415</w:t>
            </w:r>
          </w:p>
        </w:tc>
      </w:tr>
      <w:tr>
        <w:trPr>
          <w:trHeight w:val="256"/>
        </w:trPr>
        <w:tc>
          <w:tcPr>
            <w:tcW w:w="2500" w:type="dxa"/>
            <w:vAlign w:val="bottom"/>
          </w:tcPr>
          <w:p>
            <w:pPr>
              <w:spacing w:after="0"/>
              <w:rPr>
                <w:sz w:val="22"/>
                <w:szCs w:val="22"/>
                <w:color w:val="auto"/>
              </w:rPr>
            </w:pPr>
          </w:p>
        </w:tc>
        <w:tc>
          <w:tcPr>
            <w:tcW w:w="4480" w:type="dxa"/>
            <w:vAlign w:val="bottom"/>
          </w:tcPr>
          <w:p>
            <w:pPr>
              <w:spacing w:after="0"/>
              <w:rPr>
                <w:sz w:val="22"/>
                <w:szCs w:val="22"/>
                <w:color w:val="auto"/>
              </w:rPr>
            </w:pPr>
          </w:p>
        </w:tc>
        <w:tc>
          <w:tcPr>
            <w:tcW w:w="2280" w:type="dxa"/>
            <w:vAlign w:val="bottom"/>
          </w:tcPr>
          <w:p>
            <w:pPr>
              <w:ind w:left="780"/>
              <w:spacing w:after="0"/>
              <w:rPr>
                <w:sz w:val="20"/>
                <w:szCs w:val="20"/>
                <w:color w:val="auto"/>
              </w:rPr>
            </w:pPr>
            <w:r>
              <w:rPr>
                <w:rFonts w:ascii="Arial" w:cs="Arial" w:eastAsia="Arial" w:hAnsi="Arial"/>
                <w:sz w:val="18"/>
                <w:szCs w:val="18"/>
                <w:color w:val="auto"/>
              </w:rPr>
              <w:t>Intercompany</w:t>
            </w:r>
          </w:p>
        </w:tc>
        <w:tc>
          <w:tcPr>
            <w:tcW w:w="1400" w:type="dxa"/>
            <w:vAlign w:val="bottom"/>
          </w:tcPr>
          <w:p>
            <w:pPr>
              <w:spacing w:after="0"/>
              <w:rPr>
                <w:sz w:val="22"/>
                <w:szCs w:val="22"/>
                <w:color w:val="auto"/>
              </w:rPr>
            </w:pPr>
          </w:p>
        </w:tc>
      </w:tr>
      <w:tr>
        <w:trPr>
          <w:trHeight w:val="230"/>
        </w:trPr>
        <w:tc>
          <w:tcPr>
            <w:tcW w:w="2500" w:type="dxa"/>
            <w:vAlign w:val="bottom"/>
          </w:tcPr>
          <w:p>
            <w:pPr>
              <w:spacing w:after="0"/>
              <w:rPr>
                <w:sz w:val="20"/>
                <w:szCs w:val="20"/>
                <w:color w:val="auto"/>
              </w:rPr>
            </w:pPr>
            <w:r>
              <w:rPr>
                <w:rFonts w:ascii="Arial" w:cs="Arial" w:eastAsia="Arial" w:hAnsi="Arial"/>
                <w:sz w:val="18"/>
                <w:szCs w:val="18"/>
                <w:color w:val="auto"/>
              </w:rPr>
              <w:t>Euronet Worldwide, Inc.</w:t>
            </w:r>
          </w:p>
        </w:tc>
        <w:tc>
          <w:tcPr>
            <w:tcW w:w="4480" w:type="dxa"/>
            <w:vAlign w:val="bottom"/>
          </w:tcPr>
          <w:p>
            <w:pPr>
              <w:ind w:left="420"/>
              <w:spacing w:after="0"/>
              <w:rPr>
                <w:sz w:val="20"/>
                <w:szCs w:val="20"/>
                <w:color w:val="auto"/>
              </w:rPr>
            </w:pPr>
            <w:r>
              <w:rPr>
                <w:rFonts w:ascii="Arial" w:cs="Arial" w:eastAsia="Arial" w:hAnsi="Arial"/>
                <w:sz w:val="18"/>
                <w:szCs w:val="18"/>
                <w:color w:val="auto"/>
              </w:rPr>
              <w:t>Euronet Middle East, Africa &amp; Pakistan LLC</w:t>
            </w:r>
          </w:p>
        </w:tc>
        <w:tc>
          <w:tcPr>
            <w:tcW w:w="2280" w:type="dxa"/>
            <w:vAlign w:val="bottom"/>
          </w:tcPr>
          <w:p>
            <w:pPr>
              <w:ind w:left="780"/>
              <w:spacing w:after="0"/>
              <w:rPr>
                <w:sz w:val="20"/>
                <w:szCs w:val="20"/>
                <w:color w:val="auto"/>
              </w:rPr>
            </w:pPr>
            <w:r>
              <w:rPr>
                <w:rFonts w:ascii="Arial" w:cs="Arial" w:eastAsia="Arial" w:hAnsi="Arial"/>
                <w:sz w:val="18"/>
                <w:szCs w:val="18"/>
                <w:color w:val="auto"/>
              </w:rPr>
              <w:t>Investment</w:t>
            </w:r>
          </w:p>
        </w:tc>
        <w:tc>
          <w:tcPr>
            <w:tcW w:w="140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256"/>
        </w:trPr>
        <w:tc>
          <w:tcPr>
            <w:tcW w:w="2500" w:type="dxa"/>
            <w:vAlign w:val="bottom"/>
          </w:tcPr>
          <w:p>
            <w:pPr>
              <w:spacing w:after="0"/>
              <w:rPr>
                <w:sz w:val="22"/>
                <w:szCs w:val="22"/>
                <w:color w:val="auto"/>
              </w:rPr>
            </w:pPr>
          </w:p>
        </w:tc>
        <w:tc>
          <w:tcPr>
            <w:tcW w:w="4480" w:type="dxa"/>
            <w:vAlign w:val="bottom"/>
          </w:tcPr>
          <w:p>
            <w:pPr>
              <w:spacing w:after="0"/>
              <w:rPr>
                <w:sz w:val="22"/>
                <w:szCs w:val="22"/>
                <w:color w:val="auto"/>
              </w:rPr>
            </w:pPr>
          </w:p>
        </w:tc>
        <w:tc>
          <w:tcPr>
            <w:tcW w:w="2280" w:type="dxa"/>
            <w:vAlign w:val="bottom"/>
          </w:tcPr>
          <w:p>
            <w:pPr>
              <w:ind w:left="780"/>
              <w:spacing w:after="0"/>
              <w:rPr>
                <w:sz w:val="20"/>
                <w:szCs w:val="20"/>
                <w:color w:val="auto"/>
              </w:rPr>
            </w:pPr>
            <w:r>
              <w:rPr>
                <w:rFonts w:ascii="Arial" w:cs="Arial" w:eastAsia="Arial" w:hAnsi="Arial"/>
                <w:sz w:val="18"/>
                <w:szCs w:val="18"/>
                <w:color w:val="auto"/>
              </w:rPr>
              <w:t>Intercompany</w:t>
            </w:r>
          </w:p>
        </w:tc>
        <w:tc>
          <w:tcPr>
            <w:tcW w:w="1400" w:type="dxa"/>
            <w:vAlign w:val="bottom"/>
          </w:tcPr>
          <w:p>
            <w:pPr>
              <w:spacing w:after="0"/>
              <w:rPr>
                <w:sz w:val="22"/>
                <w:szCs w:val="22"/>
                <w:color w:val="auto"/>
              </w:rPr>
            </w:pPr>
          </w:p>
        </w:tc>
      </w:tr>
      <w:tr>
        <w:trPr>
          <w:trHeight w:val="230"/>
        </w:trPr>
        <w:tc>
          <w:tcPr>
            <w:tcW w:w="2500" w:type="dxa"/>
            <w:vAlign w:val="bottom"/>
          </w:tcPr>
          <w:p>
            <w:pPr>
              <w:spacing w:after="0"/>
              <w:rPr>
                <w:sz w:val="20"/>
                <w:szCs w:val="20"/>
                <w:color w:val="auto"/>
              </w:rPr>
            </w:pPr>
            <w:r>
              <w:rPr>
                <w:rFonts w:ascii="Arial" w:cs="Arial" w:eastAsia="Arial" w:hAnsi="Arial"/>
                <w:sz w:val="18"/>
                <w:szCs w:val="18"/>
                <w:color w:val="auto"/>
              </w:rPr>
              <w:t>Euronet Worldwide, Inc.</w:t>
            </w:r>
          </w:p>
        </w:tc>
        <w:tc>
          <w:tcPr>
            <w:tcW w:w="4480" w:type="dxa"/>
            <w:vAlign w:val="bottom"/>
          </w:tcPr>
          <w:p>
            <w:pPr>
              <w:ind w:left="420"/>
              <w:spacing w:after="0"/>
              <w:rPr>
                <w:sz w:val="20"/>
                <w:szCs w:val="20"/>
                <w:color w:val="auto"/>
              </w:rPr>
            </w:pPr>
            <w:r>
              <w:rPr>
                <w:rFonts w:ascii="Arial" w:cs="Arial" w:eastAsia="Arial" w:hAnsi="Arial"/>
                <w:sz w:val="18"/>
                <w:szCs w:val="18"/>
                <w:color w:val="auto"/>
              </w:rPr>
              <w:t>Euronet Pakistan Holdings Inc.</w:t>
            </w:r>
          </w:p>
        </w:tc>
        <w:tc>
          <w:tcPr>
            <w:tcW w:w="2280" w:type="dxa"/>
            <w:vAlign w:val="bottom"/>
          </w:tcPr>
          <w:p>
            <w:pPr>
              <w:ind w:left="780"/>
              <w:spacing w:after="0"/>
              <w:rPr>
                <w:sz w:val="20"/>
                <w:szCs w:val="20"/>
                <w:color w:val="auto"/>
              </w:rPr>
            </w:pPr>
            <w:r>
              <w:rPr>
                <w:rFonts w:ascii="Arial" w:cs="Arial" w:eastAsia="Arial" w:hAnsi="Arial"/>
                <w:sz w:val="18"/>
                <w:szCs w:val="18"/>
                <w:color w:val="auto"/>
              </w:rPr>
              <w:t>Investment</w:t>
            </w:r>
          </w:p>
        </w:tc>
        <w:tc>
          <w:tcPr>
            <w:tcW w:w="1400" w:type="dxa"/>
            <w:vAlign w:val="bottom"/>
          </w:tcPr>
          <w:p>
            <w:pPr>
              <w:jc w:val="right"/>
              <w:spacing w:after="0"/>
              <w:rPr>
                <w:sz w:val="20"/>
                <w:szCs w:val="20"/>
                <w:color w:val="auto"/>
              </w:rPr>
            </w:pPr>
            <w:r>
              <w:rPr>
                <w:rFonts w:ascii="Arial" w:cs="Arial" w:eastAsia="Arial" w:hAnsi="Arial"/>
                <w:sz w:val="18"/>
                <w:szCs w:val="18"/>
                <w:color w:val="auto"/>
              </w:rPr>
              <w:t>1,439,200</w:t>
            </w:r>
          </w:p>
        </w:tc>
      </w:tr>
      <w:tr>
        <w:trPr>
          <w:trHeight w:val="256"/>
        </w:trPr>
        <w:tc>
          <w:tcPr>
            <w:tcW w:w="2500" w:type="dxa"/>
            <w:vAlign w:val="bottom"/>
          </w:tcPr>
          <w:p>
            <w:pPr>
              <w:spacing w:after="0"/>
              <w:rPr>
                <w:sz w:val="22"/>
                <w:szCs w:val="22"/>
                <w:color w:val="auto"/>
              </w:rPr>
            </w:pPr>
          </w:p>
        </w:tc>
        <w:tc>
          <w:tcPr>
            <w:tcW w:w="4480" w:type="dxa"/>
            <w:vAlign w:val="bottom"/>
          </w:tcPr>
          <w:p>
            <w:pPr>
              <w:spacing w:after="0"/>
              <w:rPr>
                <w:sz w:val="22"/>
                <w:szCs w:val="22"/>
                <w:color w:val="auto"/>
              </w:rPr>
            </w:pPr>
          </w:p>
        </w:tc>
        <w:tc>
          <w:tcPr>
            <w:tcW w:w="2280" w:type="dxa"/>
            <w:vAlign w:val="bottom"/>
          </w:tcPr>
          <w:p>
            <w:pPr>
              <w:ind w:left="780"/>
              <w:spacing w:after="0"/>
              <w:rPr>
                <w:sz w:val="20"/>
                <w:szCs w:val="20"/>
                <w:color w:val="auto"/>
              </w:rPr>
            </w:pPr>
            <w:r>
              <w:rPr>
                <w:rFonts w:ascii="Arial" w:cs="Arial" w:eastAsia="Arial" w:hAnsi="Arial"/>
                <w:sz w:val="18"/>
                <w:szCs w:val="18"/>
                <w:color w:val="auto"/>
              </w:rPr>
              <w:t>Intercompany</w:t>
            </w:r>
          </w:p>
        </w:tc>
        <w:tc>
          <w:tcPr>
            <w:tcW w:w="1400" w:type="dxa"/>
            <w:vAlign w:val="bottom"/>
          </w:tcPr>
          <w:p>
            <w:pPr>
              <w:spacing w:after="0"/>
              <w:rPr>
                <w:sz w:val="22"/>
                <w:szCs w:val="22"/>
                <w:color w:val="auto"/>
              </w:rPr>
            </w:pPr>
          </w:p>
        </w:tc>
      </w:tr>
      <w:tr>
        <w:trPr>
          <w:trHeight w:val="230"/>
        </w:trPr>
        <w:tc>
          <w:tcPr>
            <w:tcW w:w="2500" w:type="dxa"/>
            <w:vAlign w:val="bottom"/>
          </w:tcPr>
          <w:p>
            <w:pPr>
              <w:spacing w:after="0"/>
              <w:rPr>
                <w:sz w:val="20"/>
                <w:szCs w:val="20"/>
                <w:color w:val="auto"/>
              </w:rPr>
            </w:pPr>
            <w:r>
              <w:rPr>
                <w:rFonts w:ascii="Arial" w:cs="Arial" w:eastAsia="Arial" w:hAnsi="Arial"/>
                <w:sz w:val="18"/>
                <w:szCs w:val="18"/>
                <w:color w:val="auto"/>
              </w:rPr>
              <w:t>Euronet Worldwide, Inc.</w:t>
            </w:r>
          </w:p>
        </w:tc>
        <w:tc>
          <w:tcPr>
            <w:tcW w:w="4480" w:type="dxa"/>
            <w:vAlign w:val="bottom"/>
          </w:tcPr>
          <w:p>
            <w:pPr>
              <w:ind w:left="420"/>
              <w:spacing w:after="0"/>
              <w:rPr>
                <w:sz w:val="20"/>
                <w:szCs w:val="20"/>
                <w:color w:val="auto"/>
              </w:rPr>
            </w:pPr>
            <w:r>
              <w:rPr>
                <w:rFonts w:ascii="Arial" w:cs="Arial" w:eastAsia="Arial" w:hAnsi="Arial"/>
                <w:sz w:val="18"/>
                <w:szCs w:val="18"/>
                <w:color w:val="auto"/>
              </w:rPr>
              <w:t>Euronet Prepaid Hellas Ltd.</w:t>
            </w:r>
          </w:p>
        </w:tc>
        <w:tc>
          <w:tcPr>
            <w:tcW w:w="2280" w:type="dxa"/>
            <w:vAlign w:val="bottom"/>
          </w:tcPr>
          <w:p>
            <w:pPr>
              <w:ind w:left="780"/>
              <w:spacing w:after="0"/>
              <w:rPr>
                <w:sz w:val="20"/>
                <w:szCs w:val="20"/>
                <w:color w:val="auto"/>
              </w:rPr>
            </w:pPr>
            <w:r>
              <w:rPr>
                <w:rFonts w:ascii="Arial" w:cs="Arial" w:eastAsia="Arial" w:hAnsi="Arial"/>
                <w:sz w:val="18"/>
                <w:szCs w:val="18"/>
                <w:color w:val="auto"/>
              </w:rPr>
              <w:t>Investment</w:t>
            </w:r>
          </w:p>
        </w:tc>
        <w:tc>
          <w:tcPr>
            <w:tcW w:w="1400" w:type="dxa"/>
            <w:vAlign w:val="bottom"/>
          </w:tcPr>
          <w:p>
            <w:pPr>
              <w:jc w:val="right"/>
              <w:spacing w:after="0"/>
              <w:rPr>
                <w:sz w:val="20"/>
                <w:szCs w:val="20"/>
                <w:color w:val="auto"/>
              </w:rPr>
            </w:pPr>
            <w:r>
              <w:rPr>
                <w:rFonts w:ascii="Arial" w:cs="Arial" w:eastAsia="Arial" w:hAnsi="Arial"/>
                <w:sz w:val="18"/>
                <w:szCs w:val="18"/>
                <w:color w:val="auto"/>
              </w:rPr>
              <w:t>134</w:t>
            </w:r>
          </w:p>
        </w:tc>
      </w:tr>
      <w:tr>
        <w:trPr>
          <w:trHeight w:val="256"/>
        </w:trPr>
        <w:tc>
          <w:tcPr>
            <w:tcW w:w="2500" w:type="dxa"/>
            <w:vAlign w:val="bottom"/>
          </w:tcPr>
          <w:p>
            <w:pPr>
              <w:spacing w:after="0"/>
              <w:rPr>
                <w:sz w:val="22"/>
                <w:szCs w:val="22"/>
                <w:color w:val="auto"/>
              </w:rPr>
            </w:pPr>
          </w:p>
        </w:tc>
        <w:tc>
          <w:tcPr>
            <w:tcW w:w="4480" w:type="dxa"/>
            <w:vAlign w:val="bottom"/>
          </w:tcPr>
          <w:p>
            <w:pPr>
              <w:spacing w:after="0"/>
              <w:rPr>
                <w:sz w:val="22"/>
                <w:szCs w:val="22"/>
                <w:color w:val="auto"/>
              </w:rPr>
            </w:pPr>
          </w:p>
        </w:tc>
        <w:tc>
          <w:tcPr>
            <w:tcW w:w="2280" w:type="dxa"/>
            <w:vAlign w:val="bottom"/>
          </w:tcPr>
          <w:p>
            <w:pPr>
              <w:ind w:left="780"/>
              <w:spacing w:after="0"/>
              <w:rPr>
                <w:sz w:val="20"/>
                <w:szCs w:val="20"/>
                <w:color w:val="auto"/>
              </w:rPr>
            </w:pPr>
            <w:r>
              <w:rPr>
                <w:rFonts w:ascii="Arial" w:cs="Arial" w:eastAsia="Arial" w:hAnsi="Arial"/>
                <w:sz w:val="18"/>
                <w:szCs w:val="18"/>
                <w:color w:val="auto"/>
              </w:rPr>
              <w:t>Intercompany</w:t>
            </w:r>
          </w:p>
        </w:tc>
        <w:tc>
          <w:tcPr>
            <w:tcW w:w="1400" w:type="dxa"/>
            <w:vAlign w:val="bottom"/>
          </w:tcPr>
          <w:p>
            <w:pPr>
              <w:spacing w:after="0"/>
              <w:rPr>
                <w:sz w:val="22"/>
                <w:szCs w:val="22"/>
                <w:color w:val="auto"/>
              </w:rPr>
            </w:pPr>
          </w:p>
        </w:tc>
      </w:tr>
      <w:tr>
        <w:trPr>
          <w:trHeight w:val="230"/>
        </w:trPr>
        <w:tc>
          <w:tcPr>
            <w:tcW w:w="2500" w:type="dxa"/>
            <w:vAlign w:val="bottom"/>
          </w:tcPr>
          <w:p>
            <w:pPr>
              <w:spacing w:after="0"/>
              <w:rPr>
                <w:sz w:val="20"/>
                <w:szCs w:val="20"/>
                <w:color w:val="auto"/>
              </w:rPr>
            </w:pPr>
            <w:r>
              <w:rPr>
                <w:rFonts w:ascii="Arial" w:cs="Arial" w:eastAsia="Arial" w:hAnsi="Arial"/>
                <w:sz w:val="18"/>
                <w:szCs w:val="18"/>
                <w:color w:val="auto"/>
              </w:rPr>
              <w:t>Euronet Worldwide, Inc.</w:t>
            </w:r>
          </w:p>
        </w:tc>
        <w:tc>
          <w:tcPr>
            <w:tcW w:w="4480" w:type="dxa"/>
            <w:vAlign w:val="bottom"/>
          </w:tcPr>
          <w:p>
            <w:pPr>
              <w:ind w:left="420"/>
              <w:spacing w:after="0"/>
              <w:rPr>
                <w:sz w:val="20"/>
                <w:szCs w:val="20"/>
                <w:color w:val="auto"/>
              </w:rPr>
            </w:pPr>
            <w:r>
              <w:rPr>
                <w:rFonts w:ascii="Arial" w:cs="Arial" w:eastAsia="Arial" w:hAnsi="Arial"/>
                <w:sz w:val="18"/>
                <w:szCs w:val="18"/>
                <w:color w:val="auto"/>
              </w:rPr>
              <w:t>Euronet Services S.R.L.</w:t>
            </w:r>
          </w:p>
        </w:tc>
        <w:tc>
          <w:tcPr>
            <w:tcW w:w="2280" w:type="dxa"/>
            <w:vAlign w:val="bottom"/>
          </w:tcPr>
          <w:p>
            <w:pPr>
              <w:ind w:left="780"/>
              <w:spacing w:after="0"/>
              <w:rPr>
                <w:sz w:val="20"/>
                <w:szCs w:val="20"/>
                <w:color w:val="auto"/>
              </w:rPr>
            </w:pPr>
            <w:r>
              <w:rPr>
                <w:rFonts w:ascii="Arial" w:cs="Arial" w:eastAsia="Arial" w:hAnsi="Arial"/>
                <w:sz w:val="18"/>
                <w:szCs w:val="18"/>
                <w:color w:val="auto"/>
              </w:rPr>
              <w:t>Investment</w:t>
            </w:r>
          </w:p>
        </w:tc>
        <w:tc>
          <w:tcPr>
            <w:tcW w:w="1400" w:type="dxa"/>
            <w:vAlign w:val="bottom"/>
          </w:tcPr>
          <w:p>
            <w:pPr>
              <w:jc w:val="right"/>
              <w:spacing w:after="0"/>
              <w:rPr>
                <w:sz w:val="20"/>
                <w:szCs w:val="20"/>
                <w:color w:val="auto"/>
              </w:rPr>
            </w:pPr>
            <w:r>
              <w:rPr>
                <w:rFonts w:ascii="Arial" w:cs="Arial" w:eastAsia="Arial" w:hAnsi="Arial"/>
                <w:sz w:val="18"/>
                <w:szCs w:val="18"/>
                <w:color w:val="auto"/>
              </w:rPr>
              <w:t>7,969,929</w:t>
            </w:r>
          </w:p>
        </w:tc>
      </w:tr>
      <w:tr>
        <w:trPr>
          <w:trHeight w:val="256"/>
        </w:trPr>
        <w:tc>
          <w:tcPr>
            <w:tcW w:w="2500" w:type="dxa"/>
            <w:vAlign w:val="bottom"/>
          </w:tcPr>
          <w:p>
            <w:pPr>
              <w:spacing w:after="0"/>
              <w:rPr>
                <w:sz w:val="22"/>
                <w:szCs w:val="22"/>
                <w:color w:val="auto"/>
              </w:rPr>
            </w:pPr>
          </w:p>
        </w:tc>
        <w:tc>
          <w:tcPr>
            <w:tcW w:w="4480" w:type="dxa"/>
            <w:vAlign w:val="bottom"/>
          </w:tcPr>
          <w:p>
            <w:pPr>
              <w:spacing w:after="0"/>
              <w:rPr>
                <w:sz w:val="22"/>
                <w:szCs w:val="22"/>
                <w:color w:val="auto"/>
              </w:rPr>
            </w:pPr>
          </w:p>
        </w:tc>
        <w:tc>
          <w:tcPr>
            <w:tcW w:w="2280" w:type="dxa"/>
            <w:vAlign w:val="bottom"/>
          </w:tcPr>
          <w:p>
            <w:pPr>
              <w:ind w:left="780"/>
              <w:spacing w:after="0"/>
              <w:rPr>
                <w:sz w:val="20"/>
                <w:szCs w:val="20"/>
                <w:color w:val="auto"/>
              </w:rPr>
            </w:pPr>
            <w:r>
              <w:rPr>
                <w:rFonts w:ascii="Arial" w:cs="Arial" w:eastAsia="Arial" w:hAnsi="Arial"/>
                <w:sz w:val="18"/>
                <w:szCs w:val="18"/>
                <w:color w:val="auto"/>
              </w:rPr>
              <w:t>Intercompany</w:t>
            </w:r>
          </w:p>
        </w:tc>
        <w:tc>
          <w:tcPr>
            <w:tcW w:w="1400" w:type="dxa"/>
            <w:vAlign w:val="bottom"/>
          </w:tcPr>
          <w:p>
            <w:pPr>
              <w:spacing w:after="0"/>
              <w:rPr>
                <w:sz w:val="22"/>
                <w:szCs w:val="22"/>
                <w:color w:val="auto"/>
              </w:rPr>
            </w:pPr>
          </w:p>
        </w:tc>
      </w:tr>
      <w:tr>
        <w:trPr>
          <w:trHeight w:val="230"/>
        </w:trPr>
        <w:tc>
          <w:tcPr>
            <w:tcW w:w="2500" w:type="dxa"/>
            <w:vAlign w:val="bottom"/>
          </w:tcPr>
          <w:p>
            <w:pPr>
              <w:spacing w:after="0"/>
              <w:rPr>
                <w:sz w:val="20"/>
                <w:szCs w:val="20"/>
                <w:color w:val="auto"/>
              </w:rPr>
            </w:pPr>
            <w:r>
              <w:rPr>
                <w:rFonts w:ascii="Arial" w:cs="Arial" w:eastAsia="Arial" w:hAnsi="Arial"/>
                <w:sz w:val="18"/>
                <w:szCs w:val="18"/>
                <w:color w:val="auto"/>
              </w:rPr>
              <w:t>Euronet Worldwide, Inc.</w:t>
            </w:r>
          </w:p>
        </w:tc>
        <w:tc>
          <w:tcPr>
            <w:tcW w:w="4480" w:type="dxa"/>
            <w:vAlign w:val="bottom"/>
          </w:tcPr>
          <w:p>
            <w:pPr>
              <w:ind w:left="420"/>
              <w:spacing w:after="0"/>
              <w:rPr>
                <w:sz w:val="20"/>
                <w:szCs w:val="20"/>
                <w:color w:val="auto"/>
              </w:rPr>
            </w:pPr>
            <w:r>
              <w:rPr>
                <w:rFonts w:ascii="Arial" w:cs="Arial" w:eastAsia="Arial" w:hAnsi="Arial"/>
                <w:sz w:val="18"/>
                <w:szCs w:val="18"/>
                <w:color w:val="auto"/>
              </w:rPr>
              <w:t>Euronet USA, LLC</w:t>
            </w:r>
          </w:p>
        </w:tc>
        <w:tc>
          <w:tcPr>
            <w:tcW w:w="2280" w:type="dxa"/>
            <w:vAlign w:val="bottom"/>
          </w:tcPr>
          <w:p>
            <w:pPr>
              <w:ind w:left="780"/>
              <w:spacing w:after="0"/>
              <w:rPr>
                <w:sz w:val="20"/>
                <w:szCs w:val="20"/>
                <w:color w:val="auto"/>
              </w:rPr>
            </w:pPr>
            <w:r>
              <w:rPr>
                <w:rFonts w:ascii="Arial" w:cs="Arial" w:eastAsia="Arial" w:hAnsi="Arial"/>
                <w:sz w:val="18"/>
                <w:szCs w:val="18"/>
                <w:color w:val="auto"/>
              </w:rPr>
              <w:t>Investment</w:t>
            </w:r>
          </w:p>
        </w:tc>
        <w:tc>
          <w:tcPr>
            <w:tcW w:w="1400" w:type="dxa"/>
            <w:vAlign w:val="bottom"/>
          </w:tcPr>
          <w:p>
            <w:pPr>
              <w:jc w:val="right"/>
              <w:spacing w:after="0"/>
              <w:rPr>
                <w:sz w:val="20"/>
                <w:szCs w:val="20"/>
                <w:color w:val="auto"/>
              </w:rPr>
            </w:pPr>
            <w:r>
              <w:rPr>
                <w:rFonts w:ascii="Arial" w:cs="Arial" w:eastAsia="Arial" w:hAnsi="Arial"/>
                <w:sz w:val="18"/>
                <w:szCs w:val="18"/>
                <w:color w:val="auto"/>
              </w:rPr>
              <w:t>28,004,939</w:t>
            </w:r>
          </w:p>
        </w:tc>
      </w:tr>
      <w:tr>
        <w:trPr>
          <w:trHeight w:val="256"/>
        </w:trPr>
        <w:tc>
          <w:tcPr>
            <w:tcW w:w="2500" w:type="dxa"/>
            <w:vAlign w:val="bottom"/>
          </w:tcPr>
          <w:p>
            <w:pPr>
              <w:spacing w:after="0"/>
              <w:rPr>
                <w:sz w:val="22"/>
                <w:szCs w:val="22"/>
                <w:color w:val="auto"/>
              </w:rPr>
            </w:pPr>
          </w:p>
        </w:tc>
        <w:tc>
          <w:tcPr>
            <w:tcW w:w="4480" w:type="dxa"/>
            <w:vAlign w:val="bottom"/>
          </w:tcPr>
          <w:p>
            <w:pPr>
              <w:spacing w:after="0"/>
              <w:rPr>
                <w:sz w:val="22"/>
                <w:szCs w:val="22"/>
                <w:color w:val="auto"/>
              </w:rPr>
            </w:pPr>
          </w:p>
        </w:tc>
        <w:tc>
          <w:tcPr>
            <w:tcW w:w="2280" w:type="dxa"/>
            <w:vAlign w:val="bottom"/>
          </w:tcPr>
          <w:p>
            <w:pPr>
              <w:ind w:left="780"/>
              <w:spacing w:after="0"/>
              <w:rPr>
                <w:sz w:val="20"/>
                <w:szCs w:val="20"/>
                <w:color w:val="auto"/>
              </w:rPr>
            </w:pPr>
            <w:r>
              <w:rPr>
                <w:rFonts w:ascii="Arial" w:cs="Arial" w:eastAsia="Arial" w:hAnsi="Arial"/>
                <w:sz w:val="18"/>
                <w:szCs w:val="18"/>
                <w:color w:val="auto"/>
              </w:rPr>
              <w:t>Intercompany</w:t>
            </w:r>
          </w:p>
        </w:tc>
        <w:tc>
          <w:tcPr>
            <w:tcW w:w="1400" w:type="dxa"/>
            <w:vAlign w:val="bottom"/>
          </w:tcPr>
          <w:p>
            <w:pPr>
              <w:spacing w:after="0"/>
              <w:rPr>
                <w:sz w:val="22"/>
                <w:szCs w:val="22"/>
                <w:color w:val="auto"/>
              </w:rPr>
            </w:pPr>
          </w:p>
        </w:tc>
      </w:tr>
      <w:tr>
        <w:trPr>
          <w:trHeight w:val="230"/>
        </w:trPr>
        <w:tc>
          <w:tcPr>
            <w:tcW w:w="2500" w:type="dxa"/>
            <w:vAlign w:val="bottom"/>
          </w:tcPr>
          <w:p>
            <w:pPr>
              <w:spacing w:after="0"/>
              <w:rPr>
                <w:sz w:val="20"/>
                <w:szCs w:val="20"/>
                <w:color w:val="auto"/>
              </w:rPr>
            </w:pPr>
            <w:r>
              <w:rPr>
                <w:rFonts w:ascii="Arial" w:cs="Arial" w:eastAsia="Arial" w:hAnsi="Arial"/>
                <w:sz w:val="18"/>
                <w:szCs w:val="18"/>
                <w:color w:val="auto"/>
              </w:rPr>
              <w:t>Euronet Worldwide, Inc.</w:t>
            </w:r>
          </w:p>
        </w:tc>
        <w:tc>
          <w:tcPr>
            <w:tcW w:w="4480" w:type="dxa"/>
            <w:vAlign w:val="bottom"/>
          </w:tcPr>
          <w:p>
            <w:pPr>
              <w:ind w:left="420"/>
              <w:spacing w:after="0"/>
              <w:rPr>
                <w:sz w:val="20"/>
                <w:szCs w:val="20"/>
                <w:color w:val="auto"/>
              </w:rPr>
            </w:pPr>
            <w:r>
              <w:rPr>
                <w:rFonts w:ascii="Arial" w:cs="Arial" w:eastAsia="Arial" w:hAnsi="Arial"/>
                <w:sz w:val="18"/>
                <w:szCs w:val="18"/>
                <w:color w:val="auto"/>
              </w:rPr>
              <w:t>EWI Foreign Holdings Limited</w:t>
            </w:r>
          </w:p>
        </w:tc>
        <w:tc>
          <w:tcPr>
            <w:tcW w:w="2280" w:type="dxa"/>
            <w:vAlign w:val="bottom"/>
          </w:tcPr>
          <w:p>
            <w:pPr>
              <w:ind w:left="780"/>
              <w:spacing w:after="0"/>
              <w:rPr>
                <w:sz w:val="20"/>
                <w:szCs w:val="20"/>
                <w:color w:val="auto"/>
              </w:rPr>
            </w:pPr>
            <w:r>
              <w:rPr>
                <w:rFonts w:ascii="Arial" w:cs="Arial" w:eastAsia="Arial" w:hAnsi="Arial"/>
                <w:sz w:val="18"/>
                <w:szCs w:val="18"/>
                <w:color w:val="auto"/>
              </w:rPr>
              <w:t>Investment</w:t>
            </w:r>
          </w:p>
        </w:tc>
        <w:tc>
          <w:tcPr>
            <w:tcW w:w="1400" w:type="dxa"/>
            <w:vAlign w:val="bottom"/>
          </w:tcPr>
          <w:p>
            <w:pPr>
              <w:jc w:val="right"/>
              <w:spacing w:after="0"/>
              <w:rPr>
                <w:sz w:val="20"/>
                <w:szCs w:val="20"/>
                <w:color w:val="auto"/>
              </w:rPr>
            </w:pPr>
            <w:r>
              <w:rPr>
                <w:rFonts w:ascii="Arial" w:cs="Arial" w:eastAsia="Arial" w:hAnsi="Arial"/>
                <w:sz w:val="18"/>
                <w:szCs w:val="18"/>
                <w:color w:val="auto"/>
              </w:rPr>
              <w:t>3,445,066</w:t>
            </w:r>
          </w:p>
        </w:tc>
      </w:tr>
      <w:tr>
        <w:trPr>
          <w:trHeight w:val="256"/>
        </w:trPr>
        <w:tc>
          <w:tcPr>
            <w:tcW w:w="2500" w:type="dxa"/>
            <w:vAlign w:val="bottom"/>
          </w:tcPr>
          <w:p>
            <w:pPr>
              <w:spacing w:after="0"/>
              <w:rPr>
                <w:sz w:val="22"/>
                <w:szCs w:val="22"/>
                <w:color w:val="auto"/>
              </w:rPr>
            </w:pPr>
          </w:p>
        </w:tc>
        <w:tc>
          <w:tcPr>
            <w:tcW w:w="4480" w:type="dxa"/>
            <w:vAlign w:val="bottom"/>
          </w:tcPr>
          <w:p>
            <w:pPr>
              <w:spacing w:after="0"/>
              <w:rPr>
                <w:sz w:val="22"/>
                <w:szCs w:val="22"/>
                <w:color w:val="auto"/>
              </w:rPr>
            </w:pPr>
          </w:p>
        </w:tc>
        <w:tc>
          <w:tcPr>
            <w:tcW w:w="2280" w:type="dxa"/>
            <w:vAlign w:val="bottom"/>
          </w:tcPr>
          <w:p>
            <w:pPr>
              <w:ind w:left="780"/>
              <w:spacing w:after="0"/>
              <w:rPr>
                <w:sz w:val="20"/>
                <w:szCs w:val="20"/>
                <w:color w:val="auto"/>
              </w:rPr>
            </w:pPr>
            <w:r>
              <w:rPr>
                <w:rFonts w:ascii="Arial" w:cs="Arial" w:eastAsia="Arial" w:hAnsi="Arial"/>
                <w:sz w:val="18"/>
                <w:szCs w:val="18"/>
                <w:color w:val="auto"/>
              </w:rPr>
              <w:t>Intercompany</w:t>
            </w:r>
          </w:p>
        </w:tc>
        <w:tc>
          <w:tcPr>
            <w:tcW w:w="1400" w:type="dxa"/>
            <w:vAlign w:val="bottom"/>
          </w:tcPr>
          <w:p>
            <w:pPr>
              <w:spacing w:after="0"/>
              <w:rPr>
                <w:sz w:val="22"/>
                <w:szCs w:val="22"/>
                <w:color w:val="auto"/>
              </w:rPr>
            </w:pPr>
          </w:p>
        </w:tc>
      </w:tr>
      <w:tr>
        <w:trPr>
          <w:trHeight w:val="230"/>
        </w:trPr>
        <w:tc>
          <w:tcPr>
            <w:tcW w:w="2500" w:type="dxa"/>
            <w:vAlign w:val="bottom"/>
          </w:tcPr>
          <w:p>
            <w:pPr>
              <w:spacing w:after="0"/>
              <w:rPr>
                <w:sz w:val="20"/>
                <w:szCs w:val="20"/>
                <w:color w:val="auto"/>
              </w:rPr>
            </w:pPr>
            <w:r>
              <w:rPr>
                <w:rFonts w:ascii="Arial" w:cs="Arial" w:eastAsia="Arial" w:hAnsi="Arial"/>
                <w:sz w:val="18"/>
                <w:szCs w:val="18"/>
                <w:color w:val="auto"/>
              </w:rPr>
              <w:t>Euronet Worldwide, Inc.</w:t>
            </w:r>
          </w:p>
        </w:tc>
        <w:tc>
          <w:tcPr>
            <w:tcW w:w="4480" w:type="dxa"/>
            <w:vAlign w:val="bottom"/>
          </w:tcPr>
          <w:p>
            <w:pPr>
              <w:ind w:left="420"/>
              <w:spacing w:after="0"/>
              <w:rPr>
                <w:sz w:val="20"/>
                <w:szCs w:val="20"/>
                <w:color w:val="auto"/>
              </w:rPr>
            </w:pPr>
            <w:r>
              <w:rPr>
                <w:rFonts w:ascii="Arial" w:cs="Arial" w:eastAsia="Arial" w:hAnsi="Arial"/>
                <w:sz w:val="18"/>
                <w:szCs w:val="18"/>
                <w:color w:val="auto"/>
              </w:rPr>
              <w:t>Payspot, Inc.</w:t>
            </w:r>
          </w:p>
        </w:tc>
        <w:tc>
          <w:tcPr>
            <w:tcW w:w="2280" w:type="dxa"/>
            <w:vAlign w:val="bottom"/>
          </w:tcPr>
          <w:p>
            <w:pPr>
              <w:ind w:left="780"/>
              <w:spacing w:after="0"/>
              <w:rPr>
                <w:sz w:val="20"/>
                <w:szCs w:val="20"/>
                <w:color w:val="auto"/>
              </w:rPr>
            </w:pPr>
            <w:r>
              <w:rPr>
                <w:rFonts w:ascii="Arial" w:cs="Arial" w:eastAsia="Arial" w:hAnsi="Arial"/>
                <w:sz w:val="18"/>
                <w:szCs w:val="18"/>
                <w:color w:val="auto"/>
              </w:rPr>
              <w:t>Investment</w:t>
            </w:r>
          </w:p>
        </w:tc>
        <w:tc>
          <w:tcPr>
            <w:tcW w:w="1400" w:type="dxa"/>
            <w:vAlign w:val="bottom"/>
          </w:tcPr>
          <w:p>
            <w:pPr>
              <w:jc w:val="right"/>
              <w:spacing w:after="0"/>
              <w:rPr>
                <w:sz w:val="20"/>
                <w:szCs w:val="20"/>
                <w:color w:val="auto"/>
              </w:rPr>
            </w:pPr>
            <w:r>
              <w:rPr>
                <w:rFonts w:ascii="Arial" w:cs="Arial" w:eastAsia="Arial" w:hAnsi="Arial"/>
                <w:sz w:val="18"/>
                <w:szCs w:val="18"/>
                <w:color w:val="auto"/>
              </w:rPr>
              <w:t>28,241,168</w:t>
            </w:r>
          </w:p>
        </w:tc>
      </w:tr>
      <w:tr>
        <w:trPr>
          <w:trHeight w:val="256"/>
        </w:trPr>
        <w:tc>
          <w:tcPr>
            <w:tcW w:w="2500" w:type="dxa"/>
            <w:vAlign w:val="bottom"/>
          </w:tcPr>
          <w:p>
            <w:pPr>
              <w:spacing w:after="0"/>
              <w:rPr>
                <w:sz w:val="22"/>
                <w:szCs w:val="22"/>
                <w:color w:val="auto"/>
              </w:rPr>
            </w:pPr>
          </w:p>
        </w:tc>
        <w:tc>
          <w:tcPr>
            <w:tcW w:w="4480" w:type="dxa"/>
            <w:vAlign w:val="bottom"/>
          </w:tcPr>
          <w:p>
            <w:pPr>
              <w:spacing w:after="0"/>
              <w:rPr>
                <w:sz w:val="22"/>
                <w:szCs w:val="22"/>
                <w:color w:val="auto"/>
              </w:rPr>
            </w:pPr>
          </w:p>
        </w:tc>
        <w:tc>
          <w:tcPr>
            <w:tcW w:w="2280" w:type="dxa"/>
            <w:vAlign w:val="bottom"/>
          </w:tcPr>
          <w:p>
            <w:pPr>
              <w:ind w:left="780"/>
              <w:spacing w:after="0"/>
              <w:rPr>
                <w:sz w:val="20"/>
                <w:szCs w:val="20"/>
                <w:color w:val="auto"/>
              </w:rPr>
            </w:pPr>
            <w:r>
              <w:rPr>
                <w:rFonts w:ascii="Arial" w:cs="Arial" w:eastAsia="Arial" w:hAnsi="Arial"/>
                <w:sz w:val="18"/>
                <w:szCs w:val="18"/>
                <w:color w:val="auto"/>
              </w:rPr>
              <w:t>Intercompany</w:t>
            </w:r>
          </w:p>
        </w:tc>
        <w:tc>
          <w:tcPr>
            <w:tcW w:w="1400" w:type="dxa"/>
            <w:vAlign w:val="bottom"/>
          </w:tcPr>
          <w:p>
            <w:pPr>
              <w:spacing w:after="0"/>
              <w:rPr>
                <w:sz w:val="22"/>
                <w:szCs w:val="22"/>
                <w:color w:val="auto"/>
              </w:rPr>
            </w:pPr>
          </w:p>
        </w:tc>
      </w:tr>
      <w:tr>
        <w:trPr>
          <w:trHeight w:val="230"/>
        </w:trPr>
        <w:tc>
          <w:tcPr>
            <w:tcW w:w="2500" w:type="dxa"/>
            <w:vAlign w:val="bottom"/>
          </w:tcPr>
          <w:p>
            <w:pPr>
              <w:spacing w:after="0"/>
              <w:rPr>
                <w:sz w:val="20"/>
                <w:szCs w:val="20"/>
                <w:color w:val="auto"/>
              </w:rPr>
            </w:pPr>
            <w:r>
              <w:rPr>
                <w:rFonts w:ascii="Arial" w:cs="Arial" w:eastAsia="Arial" w:hAnsi="Arial"/>
                <w:sz w:val="18"/>
                <w:szCs w:val="18"/>
                <w:color w:val="auto"/>
              </w:rPr>
              <w:t>Euronet Worldwide, Inc.</w:t>
            </w:r>
          </w:p>
        </w:tc>
        <w:tc>
          <w:tcPr>
            <w:tcW w:w="4480" w:type="dxa"/>
            <w:vAlign w:val="bottom"/>
          </w:tcPr>
          <w:p>
            <w:pPr>
              <w:ind w:left="420"/>
              <w:spacing w:after="0"/>
              <w:rPr>
                <w:sz w:val="20"/>
                <w:szCs w:val="20"/>
                <w:color w:val="auto"/>
              </w:rPr>
            </w:pPr>
            <w:r>
              <w:rPr>
                <w:rFonts w:ascii="Arial" w:cs="Arial" w:eastAsia="Arial" w:hAnsi="Arial"/>
                <w:sz w:val="18"/>
                <w:szCs w:val="18"/>
                <w:color w:val="auto"/>
              </w:rPr>
              <w:t>RIA Envia Financial Services Belgium SPRL</w:t>
            </w:r>
          </w:p>
        </w:tc>
        <w:tc>
          <w:tcPr>
            <w:tcW w:w="2280" w:type="dxa"/>
            <w:vAlign w:val="bottom"/>
          </w:tcPr>
          <w:p>
            <w:pPr>
              <w:ind w:left="780"/>
              <w:spacing w:after="0"/>
              <w:rPr>
                <w:sz w:val="20"/>
                <w:szCs w:val="20"/>
                <w:color w:val="auto"/>
              </w:rPr>
            </w:pPr>
            <w:r>
              <w:rPr>
                <w:rFonts w:ascii="Arial" w:cs="Arial" w:eastAsia="Arial" w:hAnsi="Arial"/>
                <w:sz w:val="18"/>
                <w:szCs w:val="18"/>
                <w:color w:val="auto"/>
              </w:rPr>
              <w:t>Investment</w:t>
            </w:r>
          </w:p>
        </w:tc>
        <w:tc>
          <w:tcPr>
            <w:tcW w:w="1400" w:type="dxa"/>
            <w:vAlign w:val="bottom"/>
          </w:tcPr>
          <w:p>
            <w:pPr>
              <w:jc w:val="right"/>
              <w:spacing w:after="0"/>
              <w:rPr>
                <w:sz w:val="20"/>
                <w:szCs w:val="20"/>
                <w:color w:val="auto"/>
              </w:rPr>
            </w:pPr>
            <w:r>
              <w:rPr>
                <w:rFonts w:ascii="Arial" w:cs="Arial" w:eastAsia="Arial" w:hAnsi="Arial"/>
                <w:sz w:val="18"/>
                <w:szCs w:val="18"/>
                <w:color w:val="auto"/>
              </w:rPr>
              <w:t>1,818,883</w:t>
            </w:r>
          </w:p>
        </w:tc>
      </w:tr>
      <w:tr>
        <w:trPr>
          <w:trHeight w:val="256"/>
        </w:trPr>
        <w:tc>
          <w:tcPr>
            <w:tcW w:w="2500" w:type="dxa"/>
            <w:vAlign w:val="bottom"/>
          </w:tcPr>
          <w:p>
            <w:pPr>
              <w:spacing w:after="0"/>
              <w:rPr>
                <w:sz w:val="22"/>
                <w:szCs w:val="22"/>
                <w:color w:val="auto"/>
              </w:rPr>
            </w:pPr>
          </w:p>
        </w:tc>
        <w:tc>
          <w:tcPr>
            <w:tcW w:w="4480" w:type="dxa"/>
            <w:vAlign w:val="bottom"/>
          </w:tcPr>
          <w:p>
            <w:pPr>
              <w:spacing w:after="0"/>
              <w:rPr>
                <w:sz w:val="22"/>
                <w:szCs w:val="22"/>
                <w:color w:val="auto"/>
              </w:rPr>
            </w:pPr>
          </w:p>
        </w:tc>
        <w:tc>
          <w:tcPr>
            <w:tcW w:w="2280" w:type="dxa"/>
            <w:vAlign w:val="bottom"/>
          </w:tcPr>
          <w:p>
            <w:pPr>
              <w:ind w:left="780"/>
              <w:spacing w:after="0"/>
              <w:rPr>
                <w:sz w:val="20"/>
                <w:szCs w:val="20"/>
                <w:color w:val="auto"/>
              </w:rPr>
            </w:pPr>
            <w:r>
              <w:rPr>
                <w:rFonts w:ascii="Arial" w:cs="Arial" w:eastAsia="Arial" w:hAnsi="Arial"/>
                <w:sz w:val="18"/>
                <w:szCs w:val="18"/>
                <w:color w:val="auto"/>
              </w:rPr>
              <w:t>Intercompany</w:t>
            </w:r>
          </w:p>
        </w:tc>
        <w:tc>
          <w:tcPr>
            <w:tcW w:w="1400" w:type="dxa"/>
            <w:vAlign w:val="bottom"/>
          </w:tcPr>
          <w:p>
            <w:pPr>
              <w:spacing w:after="0"/>
              <w:rPr>
                <w:sz w:val="22"/>
                <w:szCs w:val="22"/>
                <w:color w:val="auto"/>
              </w:rPr>
            </w:pPr>
          </w:p>
        </w:tc>
      </w:tr>
      <w:tr>
        <w:trPr>
          <w:trHeight w:val="230"/>
        </w:trPr>
        <w:tc>
          <w:tcPr>
            <w:tcW w:w="2500" w:type="dxa"/>
            <w:vAlign w:val="bottom"/>
          </w:tcPr>
          <w:p>
            <w:pPr>
              <w:spacing w:after="0"/>
              <w:rPr>
                <w:sz w:val="20"/>
                <w:szCs w:val="20"/>
                <w:color w:val="auto"/>
              </w:rPr>
            </w:pPr>
            <w:r>
              <w:rPr>
                <w:rFonts w:ascii="Arial" w:cs="Arial" w:eastAsia="Arial" w:hAnsi="Arial"/>
                <w:sz w:val="18"/>
                <w:szCs w:val="18"/>
                <w:color w:val="auto"/>
              </w:rPr>
              <w:t>Euronet Worldwide, Inc.</w:t>
            </w:r>
          </w:p>
        </w:tc>
        <w:tc>
          <w:tcPr>
            <w:tcW w:w="4480" w:type="dxa"/>
            <w:vAlign w:val="bottom"/>
          </w:tcPr>
          <w:p>
            <w:pPr>
              <w:ind w:left="420"/>
              <w:spacing w:after="0"/>
              <w:rPr>
                <w:sz w:val="20"/>
                <w:szCs w:val="20"/>
                <w:color w:val="auto"/>
              </w:rPr>
            </w:pPr>
            <w:r>
              <w:rPr>
                <w:rFonts w:ascii="Arial" w:cs="Arial" w:eastAsia="Arial" w:hAnsi="Arial"/>
                <w:sz w:val="18"/>
                <w:szCs w:val="18"/>
                <w:color w:val="auto"/>
              </w:rPr>
              <w:t>Ria Envia, Inc</w:t>
            </w:r>
          </w:p>
        </w:tc>
        <w:tc>
          <w:tcPr>
            <w:tcW w:w="2280" w:type="dxa"/>
            <w:vAlign w:val="bottom"/>
          </w:tcPr>
          <w:p>
            <w:pPr>
              <w:ind w:left="780"/>
              <w:spacing w:after="0"/>
              <w:rPr>
                <w:sz w:val="20"/>
                <w:szCs w:val="20"/>
                <w:color w:val="auto"/>
              </w:rPr>
            </w:pPr>
            <w:r>
              <w:rPr>
                <w:rFonts w:ascii="Arial" w:cs="Arial" w:eastAsia="Arial" w:hAnsi="Arial"/>
                <w:sz w:val="18"/>
                <w:szCs w:val="18"/>
                <w:color w:val="auto"/>
              </w:rPr>
              <w:t>Investment</w:t>
            </w:r>
          </w:p>
        </w:tc>
        <w:tc>
          <w:tcPr>
            <w:tcW w:w="1400" w:type="dxa"/>
            <w:vAlign w:val="bottom"/>
          </w:tcPr>
          <w:p>
            <w:pPr>
              <w:jc w:val="right"/>
              <w:spacing w:after="0"/>
              <w:rPr>
                <w:sz w:val="20"/>
                <w:szCs w:val="20"/>
                <w:color w:val="auto"/>
              </w:rPr>
            </w:pPr>
            <w:r>
              <w:rPr>
                <w:rFonts w:ascii="Arial" w:cs="Arial" w:eastAsia="Arial" w:hAnsi="Arial"/>
                <w:sz w:val="18"/>
                <w:szCs w:val="18"/>
                <w:color w:val="auto"/>
              </w:rPr>
              <w:t>420,031,133</w:t>
            </w:r>
          </w:p>
        </w:tc>
      </w:tr>
      <w:tr>
        <w:trPr>
          <w:trHeight w:val="256"/>
        </w:trPr>
        <w:tc>
          <w:tcPr>
            <w:tcW w:w="2500" w:type="dxa"/>
            <w:vAlign w:val="bottom"/>
          </w:tcPr>
          <w:p>
            <w:pPr>
              <w:spacing w:after="0"/>
              <w:rPr>
                <w:sz w:val="22"/>
                <w:szCs w:val="22"/>
                <w:color w:val="auto"/>
              </w:rPr>
            </w:pPr>
          </w:p>
        </w:tc>
        <w:tc>
          <w:tcPr>
            <w:tcW w:w="4480" w:type="dxa"/>
            <w:vAlign w:val="bottom"/>
          </w:tcPr>
          <w:p>
            <w:pPr>
              <w:spacing w:after="0"/>
              <w:rPr>
                <w:sz w:val="22"/>
                <w:szCs w:val="22"/>
                <w:color w:val="auto"/>
              </w:rPr>
            </w:pPr>
          </w:p>
        </w:tc>
        <w:tc>
          <w:tcPr>
            <w:tcW w:w="2280" w:type="dxa"/>
            <w:vAlign w:val="bottom"/>
          </w:tcPr>
          <w:p>
            <w:pPr>
              <w:ind w:left="780"/>
              <w:spacing w:after="0"/>
              <w:rPr>
                <w:sz w:val="20"/>
                <w:szCs w:val="20"/>
                <w:color w:val="auto"/>
              </w:rPr>
            </w:pPr>
            <w:r>
              <w:rPr>
                <w:rFonts w:ascii="Arial" w:cs="Arial" w:eastAsia="Arial" w:hAnsi="Arial"/>
                <w:sz w:val="18"/>
                <w:szCs w:val="18"/>
                <w:color w:val="auto"/>
              </w:rPr>
              <w:t>Intercompany</w:t>
            </w:r>
          </w:p>
        </w:tc>
        <w:tc>
          <w:tcPr>
            <w:tcW w:w="1400" w:type="dxa"/>
            <w:vAlign w:val="bottom"/>
          </w:tcPr>
          <w:p>
            <w:pPr>
              <w:spacing w:after="0"/>
              <w:rPr>
                <w:sz w:val="22"/>
                <w:szCs w:val="22"/>
                <w:color w:val="auto"/>
              </w:rPr>
            </w:pPr>
          </w:p>
        </w:tc>
      </w:tr>
      <w:tr>
        <w:trPr>
          <w:trHeight w:val="230"/>
        </w:trPr>
        <w:tc>
          <w:tcPr>
            <w:tcW w:w="2500" w:type="dxa"/>
            <w:vAlign w:val="bottom"/>
          </w:tcPr>
          <w:p>
            <w:pPr>
              <w:spacing w:after="0"/>
              <w:rPr>
                <w:sz w:val="20"/>
                <w:szCs w:val="20"/>
                <w:color w:val="auto"/>
              </w:rPr>
            </w:pPr>
            <w:r>
              <w:rPr>
                <w:rFonts w:ascii="Arial" w:cs="Arial" w:eastAsia="Arial" w:hAnsi="Arial"/>
                <w:sz w:val="18"/>
                <w:szCs w:val="18"/>
                <w:color w:val="auto"/>
              </w:rPr>
              <w:t>Euronet Worldwide, Inc.</w:t>
            </w:r>
          </w:p>
        </w:tc>
        <w:tc>
          <w:tcPr>
            <w:tcW w:w="4480" w:type="dxa"/>
            <w:vAlign w:val="bottom"/>
          </w:tcPr>
          <w:p>
            <w:pPr>
              <w:ind w:left="420"/>
              <w:spacing w:after="0"/>
              <w:rPr>
                <w:sz w:val="20"/>
                <w:szCs w:val="20"/>
                <w:color w:val="auto"/>
              </w:rPr>
            </w:pPr>
            <w:r>
              <w:rPr>
                <w:rFonts w:ascii="Arial" w:cs="Arial" w:eastAsia="Arial" w:hAnsi="Arial"/>
                <w:sz w:val="18"/>
                <w:szCs w:val="18"/>
                <w:color w:val="auto"/>
              </w:rPr>
              <w:t>Telecomnet LLC</w:t>
            </w:r>
          </w:p>
        </w:tc>
        <w:tc>
          <w:tcPr>
            <w:tcW w:w="2280" w:type="dxa"/>
            <w:vAlign w:val="bottom"/>
          </w:tcPr>
          <w:p>
            <w:pPr>
              <w:ind w:left="780"/>
              <w:spacing w:after="0"/>
              <w:rPr>
                <w:sz w:val="20"/>
                <w:szCs w:val="20"/>
                <w:color w:val="auto"/>
              </w:rPr>
            </w:pPr>
            <w:r>
              <w:rPr>
                <w:rFonts w:ascii="Arial" w:cs="Arial" w:eastAsia="Arial" w:hAnsi="Arial"/>
                <w:sz w:val="18"/>
                <w:szCs w:val="18"/>
                <w:color w:val="auto"/>
              </w:rPr>
              <w:t>Investment</w:t>
            </w:r>
          </w:p>
        </w:tc>
        <w:tc>
          <w:tcPr>
            <w:tcW w:w="1400" w:type="dxa"/>
            <w:vAlign w:val="bottom"/>
          </w:tcPr>
          <w:p>
            <w:pPr>
              <w:jc w:val="right"/>
              <w:spacing w:after="0"/>
              <w:rPr>
                <w:sz w:val="20"/>
                <w:szCs w:val="20"/>
                <w:color w:val="auto"/>
              </w:rPr>
            </w:pPr>
            <w:r>
              <w:rPr>
                <w:rFonts w:ascii="Arial" w:cs="Arial" w:eastAsia="Arial" w:hAnsi="Arial"/>
                <w:sz w:val="18"/>
                <w:szCs w:val="18"/>
                <w:color w:val="auto"/>
              </w:rPr>
              <w:t>5,897,196</w:t>
            </w:r>
          </w:p>
        </w:tc>
      </w:tr>
      <w:tr>
        <w:trPr>
          <w:trHeight w:val="256"/>
        </w:trPr>
        <w:tc>
          <w:tcPr>
            <w:tcW w:w="2500" w:type="dxa"/>
            <w:vAlign w:val="bottom"/>
          </w:tcPr>
          <w:p>
            <w:pPr>
              <w:spacing w:after="0"/>
              <w:rPr>
                <w:sz w:val="22"/>
                <w:szCs w:val="22"/>
                <w:color w:val="auto"/>
              </w:rPr>
            </w:pPr>
          </w:p>
        </w:tc>
        <w:tc>
          <w:tcPr>
            <w:tcW w:w="4480" w:type="dxa"/>
            <w:vAlign w:val="bottom"/>
          </w:tcPr>
          <w:p>
            <w:pPr>
              <w:spacing w:after="0"/>
              <w:rPr>
                <w:sz w:val="22"/>
                <w:szCs w:val="22"/>
                <w:color w:val="auto"/>
              </w:rPr>
            </w:pPr>
          </w:p>
        </w:tc>
        <w:tc>
          <w:tcPr>
            <w:tcW w:w="2280" w:type="dxa"/>
            <w:vAlign w:val="bottom"/>
          </w:tcPr>
          <w:p>
            <w:pPr>
              <w:ind w:left="780"/>
              <w:spacing w:after="0"/>
              <w:rPr>
                <w:sz w:val="20"/>
                <w:szCs w:val="20"/>
                <w:color w:val="auto"/>
              </w:rPr>
            </w:pPr>
            <w:r>
              <w:rPr>
                <w:rFonts w:ascii="Arial" w:cs="Arial" w:eastAsia="Arial" w:hAnsi="Arial"/>
                <w:sz w:val="18"/>
                <w:szCs w:val="18"/>
                <w:color w:val="auto"/>
              </w:rPr>
              <w:t>Intercompany</w:t>
            </w:r>
          </w:p>
        </w:tc>
        <w:tc>
          <w:tcPr>
            <w:tcW w:w="1400" w:type="dxa"/>
            <w:vAlign w:val="bottom"/>
          </w:tcPr>
          <w:p>
            <w:pPr>
              <w:spacing w:after="0"/>
              <w:rPr>
                <w:sz w:val="22"/>
                <w:szCs w:val="22"/>
                <w:color w:val="auto"/>
              </w:rPr>
            </w:pPr>
          </w:p>
        </w:tc>
      </w:tr>
      <w:tr>
        <w:trPr>
          <w:trHeight w:val="230"/>
        </w:trPr>
        <w:tc>
          <w:tcPr>
            <w:tcW w:w="2500" w:type="dxa"/>
            <w:vAlign w:val="bottom"/>
          </w:tcPr>
          <w:p>
            <w:pPr>
              <w:spacing w:after="0"/>
              <w:rPr>
                <w:sz w:val="20"/>
                <w:szCs w:val="20"/>
                <w:color w:val="auto"/>
              </w:rPr>
            </w:pPr>
            <w:r>
              <w:rPr>
                <w:rFonts w:ascii="Arial" w:cs="Arial" w:eastAsia="Arial" w:hAnsi="Arial"/>
                <w:sz w:val="18"/>
                <w:szCs w:val="18"/>
                <w:color w:val="auto"/>
              </w:rPr>
              <w:t>Pure Commerce (S) Pte. Ltd.</w:t>
            </w:r>
          </w:p>
        </w:tc>
        <w:tc>
          <w:tcPr>
            <w:tcW w:w="4480" w:type="dxa"/>
            <w:vAlign w:val="bottom"/>
          </w:tcPr>
          <w:p>
            <w:pPr>
              <w:ind w:left="420"/>
              <w:spacing w:after="0"/>
              <w:rPr>
                <w:sz w:val="20"/>
                <w:szCs w:val="20"/>
                <w:color w:val="auto"/>
              </w:rPr>
            </w:pPr>
            <w:r>
              <w:rPr>
                <w:rFonts w:ascii="Arial" w:cs="Arial" w:eastAsia="Arial" w:hAnsi="Arial"/>
                <w:sz w:val="18"/>
                <w:szCs w:val="18"/>
                <w:color w:val="auto"/>
              </w:rPr>
              <w:t>Pure Commerce Korea YH</w:t>
            </w:r>
          </w:p>
        </w:tc>
        <w:tc>
          <w:tcPr>
            <w:tcW w:w="2280" w:type="dxa"/>
            <w:vAlign w:val="bottom"/>
          </w:tcPr>
          <w:p>
            <w:pPr>
              <w:ind w:left="780"/>
              <w:spacing w:after="0"/>
              <w:rPr>
                <w:sz w:val="20"/>
                <w:szCs w:val="20"/>
                <w:color w:val="auto"/>
              </w:rPr>
            </w:pPr>
            <w:r>
              <w:rPr>
                <w:rFonts w:ascii="Arial" w:cs="Arial" w:eastAsia="Arial" w:hAnsi="Arial"/>
                <w:sz w:val="18"/>
                <w:szCs w:val="18"/>
                <w:color w:val="auto"/>
              </w:rPr>
              <w:t>Investment</w:t>
            </w:r>
          </w:p>
        </w:tc>
        <w:tc>
          <w:tcPr>
            <w:tcW w:w="1400" w:type="dxa"/>
            <w:vAlign w:val="bottom"/>
          </w:tcPr>
          <w:p>
            <w:pPr>
              <w:jc w:val="right"/>
              <w:spacing w:after="0"/>
              <w:rPr>
                <w:sz w:val="20"/>
                <w:szCs w:val="20"/>
                <w:color w:val="auto"/>
              </w:rPr>
            </w:pPr>
            <w:r>
              <w:rPr>
                <w:rFonts w:ascii="Arial" w:cs="Arial" w:eastAsia="Arial" w:hAnsi="Arial"/>
                <w:sz w:val="18"/>
                <w:szCs w:val="18"/>
                <w:color w:val="auto"/>
              </w:rPr>
              <w:t>60,649</w:t>
            </w:r>
          </w:p>
        </w:tc>
      </w:tr>
      <w:tr>
        <w:trPr>
          <w:trHeight w:val="256"/>
        </w:trPr>
        <w:tc>
          <w:tcPr>
            <w:tcW w:w="2500" w:type="dxa"/>
            <w:vAlign w:val="bottom"/>
          </w:tcPr>
          <w:p>
            <w:pPr>
              <w:spacing w:after="0"/>
              <w:rPr>
                <w:sz w:val="22"/>
                <w:szCs w:val="22"/>
                <w:color w:val="auto"/>
              </w:rPr>
            </w:pPr>
          </w:p>
        </w:tc>
        <w:tc>
          <w:tcPr>
            <w:tcW w:w="4480" w:type="dxa"/>
            <w:vAlign w:val="bottom"/>
          </w:tcPr>
          <w:p>
            <w:pPr>
              <w:spacing w:after="0"/>
              <w:rPr>
                <w:sz w:val="22"/>
                <w:szCs w:val="22"/>
                <w:color w:val="auto"/>
              </w:rPr>
            </w:pPr>
          </w:p>
        </w:tc>
        <w:tc>
          <w:tcPr>
            <w:tcW w:w="2280" w:type="dxa"/>
            <w:vAlign w:val="bottom"/>
          </w:tcPr>
          <w:p>
            <w:pPr>
              <w:ind w:left="780"/>
              <w:spacing w:after="0"/>
              <w:rPr>
                <w:sz w:val="20"/>
                <w:szCs w:val="20"/>
                <w:color w:val="auto"/>
              </w:rPr>
            </w:pPr>
            <w:r>
              <w:rPr>
                <w:rFonts w:ascii="Arial" w:cs="Arial" w:eastAsia="Arial" w:hAnsi="Arial"/>
                <w:sz w:val="18"/>
                <w:szCs w:val="18"/>
                <w:color w:val="auto"/>
              </w:rPr>
              <w:t>Intercompany</w:t>
            </w:r>
          </w:p>
        </w:tc>
        <w:tc>
          <w:tcPr>
            <w:tcW w:w="1400" w:type="dxa"/>
            <w:vAlign w:val="bottom"/>
          </w:tcPr>
          <w:p>
            <w:pPr>
              <w:spacing w:after="0"/>
              <w:rPr>
                <w:sz w:val="22"/>
                <w:szCs w:val="22"/>
                <w:color w:val="auto"/>
              </w:rPr>
            </w:pPr>
          </w:p>
        </w:tc>
      </w:tr>
      <w:tr>
        <w:trPr>
          <w:trHeight w:val="230"/>
        </w:trPr>
        <w:tc>
          <w:tcPr>
            <w:tcW w:w="2500" w:type="dxa"/>
            <w:vAlign w:val="bottom"/>
          </w:tcPr>
          <w:p>
            <w:pPr>
              <w:spacing w:after="0"/>
              <w:rPr>
                <w:sz w:val="20"/>
                <w:szCs w:val="20"/>
                <w:color w:val="auto"/>
              </w:rPr>
            </w:pPr>
            <w:r>
              <w:rPr>
                <w:rFonts w:ascii="Arial" w:cs="Arial" w:eastAsia="Arial" w:hAnsi="Arial"/>
                <w:sz w:val="18"/>
                <w:szCs w:val="18"/>
                <w:color w:val="auto"/>
              </w:rPr>
              <w:t>Pure Commerce Pty Limited</w:t>
            </w:r>
          </w:p>
        </w:tc>
        <w:tc>
          <w:tcPr>
            <w:tcW w:w="4480" w:type="dxa"/>
            <w:vAlign w:val="bottom"/>
          </w:tcPr>
          <w:p>
            <w:pPr>
              <w:ind w:left="420"/>
              <w:spacing w:after="0"/>
              <w:rPr>
                <w:sz w:val="20"/>
                <w:szCs w:val="20"/>
                <w:color w:val="auto"/>
              </w:rPr>
            </w:pPr>
            <w:r>
              <w:rPr>
                <w:rFonts w:ascii="Arial" w:cs="Arial" w:eastAsia="Arial" w:hAnsi="Arial"/>
                <w:sz w:val="18"/>
                <w:szCs w:val="18"/>
                <w:color w:val="auto"/>
              </w:rPr>
              <w:t>Pure Commerce (S) Pte. Ltd.</w:t>
            </w:r>
          </w:p>
        </w:tc>
        <w:tc>
          <w:tcPr>
            <w:tcW w:w="2280" w:type="dxa"/>
            <w:vAlign w:val="bottom"/>
          </w:tcPr>
          <w:p>
            <w:pPr>
              <w:ind w:left="780"/>
              <w:spacing w:after="0"/>
              <w:rPr>
                <w:sz w:val="20"/>
                <w:szCs w:val="20"/>
                <w:color w:val="auto"/>
              </w:rPr>
            </w:pPr>
            <w:r>
              <w:rPr>
                <w:rFonts w:ascii="Arial" w:cs="Arial" w:eastAsia="Arial" w:hAnsi="Arial"/>
                <w:sz w:val="18"/>
                <w:szCs w:val="18"/>
                <w:color w:val="auto"/>
              </w:rPr>
              <w:t>Investment</w:t>
            </w:r>
          </w:p>
        </w:tc>
        <w:tc>
          <w:tcPr>
            <w:tcW w:w="140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56"/>
        </w:trPr>
        <w:tc>
          <w:tcPr>
            <w:tcW w:w="2500" w:type="dxa"/>
            <w:vAlign w:val="bottom"/>
          </w:tcPr>
          <w:p>
            <w:pPr>
              <w:spacing w:after="0"/>
              <w:rPr>
                <w:sz w:val="22"/>
                <w:szCs w:val="22"/>
                <w:color w:val="auto"/>
              </w:rPr>
            </w:pPr>
          </w:p>
        </w:tc>
        <w:tc>
          <w:tcPr>
            <w:tcW w:w="4480" w:type="dxa"/>
            <w:vAlign w:val="bottom"/>
          </w:tcPr>
          <w:p>
            <w:pPr>
              <w:spacing w:after="0"/>
              <w:rPr>
                <w:sz w:val="22"/>
                <w:szCs w:val="22"/>
                <w:color w:val="auto"/>
              </w:rPr>
            </w:pPr>
          </w:p>
        </w:tc>
        <w:tc>
          <w:tcPr>
            <w:tcW w:w="2280" w:type="dxa"/>
            <w:vAlign w:val="bottom"/>
          </w:tcPr>
          <w:p>
            <w:pPr>
              <w:ind w:left="780"/>
              <w:spacing w:after="0"/>
              <w:rPr>
                <w:sz w:val="20"/>
                <w:szCs w:val="20"/>
                <w:color w:val="auto"/>
              </w:rPr>
            </w:pPr>
            <w:r>
              <w:rPr>
                <w:rFonts w:ascii="Arial" w:cs="Arial" w:eastAsia="Arial" w:hAnsi="Arial"/>
                <w:sz w:val="18"/>
                <w:szCs w:val="18"/>
                <w:color w:val="auto"/>
              </w:rPr>
              <w:t>Intercompany</w:t>
            </w:r>
          </w:p>
        </w:tc>
        <w:tc>
          <w:tcPr>
            <w:tcW w:w="1400" w:type="dxa"/>
            <w:vAlign w:val="bottom"/>
          </w:tcPr>
          <w:p>
            <w:pPr>
              <w:spacing w:after="0"/>
              <w:rPr>
                <w:sz w:val="22"/>
                <w:szCs w:val="22"/>
                <w:color w:val="auto"/>
              </w:rPr>
            </w:pPr>
          </w:p>
        </w:tc>
      </w:tr>
      <w:tr>
        <w:trPr>
          <w:trHeight w:val="230"/>
        </w:trPr>
        <w:tc>
          <w:tcPr>
            <w:tcW w:w="2500" w:type="dxa"/>
            <w:vAlign w:val="bottom"/>
          </w:tcPr>
          <w:p>
            <w:pPr>
              <w:spacing w:after="0"/>
              <w:rPr>
                <w:sz w:val="20"/>
                <w:szCs w:val="20"/>
                <w:color w:val="auto"/>
              </w:rPr>
            </w:pPr>
            <w:r>
              <w:rPr>
                <w:rFonts w:ascii="Arial" w:cs="Arial" w:eastAsia="Arial" w:hAnsi="Arial"/>
                <w:sz w:val="18"/>
                <w:szCs w:val="18"/>
                <w:color w:val="auto"/>
              </w:rPr>
              <w:t>Pure Commerce Pty Limited</w:t>
            </w:r>
          </w:p>
        </w:tc>
        <w:tc>
          <w:tcPr>
            <w:tcW w:w="4480" w:type="dxa"/>
            <w:vAlign w:val="bottom"/>
          </w:tcPr>
          <w:p>
            <w:pPr>
              <w:ind w:left="420"/>
              <w:spacing w:after="0"/>
              <w:rPr>
                <w:sz w:val="20"/>
                <w:szCs w:val="20"/>
                <w:color w:val="auto"/>
              </w:rPr>
            </w:pPr>
            <w:r>
              <w:rPr>
                <w:rFonts w:ascii="Arial" w:cs="Arial" w:eastAsia="Arial" w:hAnsi="Arial"/>
                <w:sz w:val="18"/>
                <w:szCs w:val="18"/>
                <w:color w:val="auto"/>
              </w:rPr>
              <w:t>Pure-Commerce Ltd</w:t>
            </w:r>
          </w:p>
        </w:tc>
        <w:tc>
          <w:tcPr>
            <w:tcW w:w="2280" w:type="dxa"/>
            <w:vAlign w:val="bottom"/>
          </w:tcPr>
          <w:p>
            <w:pPr>
              <w:ind w:left="780"/>
              <w:spacing w:after="0"/>
              <w:rPr>
                <w:sz w:val="20"/>
                <w:szCs w:val="20"/>
                <w:color w:val="auto"/>
              </w:rPr>
            </w:pPr>
            <w:r>
              <w:rPr>
                <w:rFonts w:ascii="Arial" w:cs="Arial" w:eastAsia="Arial" w:hAnsi="Arial"/>
                <w:sz w:val="18"/>
                <w:szCs w:val="18"/>
                <w:color w:val="auto"/>
              </w:rPr>
              <w:t>Investment</w:t>
            </w:r>
          </w:p>
        </w:tc>
        <w:tc>
          <w:tcPr>
            <w:tcW w:w="1400" w:type="dxa"/>
            <w:vAlign w:val="bottom"/>
          </w:tcPr>
          <w:p>
            <w:pPr>
              <w:jc w:val="right"/>
              <w:spacing w:after="0"/>
              <w:rPr>
                <w:sz w:val="20"/>
                <w:szCs w:val="20"/>
                <w:color w:val="auto"/>
              </w:rPr>
            </w:pPr>
            <w:r>
              <w:rPr>
                <w:rFonts w:ascii="Arial" w:cs="Arial" w:eastAsia="Arial" w:hAnsi="Arial"/>
                <w:sz w:val="18"/>
                <w:szCs w:val="18"/>
                <w:color w:val="auto"/>
              </w:rPr>
              <w:t>5,015</w:t>
            </w:r>
          </w:p>
        </w:tc>
      </w:tr>
      <w:tr>
        <w:trPr>
          <w:trHeight w:val="256"/>
        </w:trPr>
        <w:tc>
          <w:tcPr>
            <w:tcW w:w="2500" w:type="dxa"/>
            <w:vAlign w:val="bottom"/>
          </w:tcPr>
          <w:p>
            <w:pPr>
              <w:spacing w:after="0"/>
              <w:rPr>
                <w:sz w:val="22"/>
                <w:szCs w:val="22"/>
                <w:color w:val="auto"/>
              </w:rPr>
            </w:pPr>
          </w:p>
        </w:tc>
        <w:tc>
          <w:tcPr>
            <w:tcW w:w="4480" w:type="dxa"/>
            <w:vAlign w:val="bottom"/>
          </w:tcPr>
          <w:p>
            <w:pPr>
              <w:spacing w:after="0"/>
              <w:rPr>
                <w:sz w:val="22"/>
                <w:szCs w:val="22"/>
                <w:color w:val="auto"/>
              </w:rPr>
            </w:pPr>
          </w:p>
        </w:tc>
        <w:tc>
          <w:tcPr>
            <w:tcW w:w="2280" w:type="dxa"/>
            <w:vAlign w:val="bottom"/>
          </w:tcPr>
          <w:p>
            <w:pPr>
              <w:ind w:left="780"/>
              <w:spacing w:after="0"/>
              <w:rPr>
                <w:sz w:val="20"/>
                <w:szCs w:val="20"/>
                <w:color w:val="auto"/>
              </w:rPr>
            </w:pPr>
            <w:r>
              <w:rPr>
                <w:rFonts w:ascii="Arial" w:cs="Arial" w:eastAsia="Arial" w:hAnsi="Arial"/>
                <w:sz w:val="18"/>
                <w:szCs w:val="18"/>
                <w:color w:val="auto"/>
              </w:rPr>
              <w:t>Intercompany</w:t>
            </w:r>
          </w:p>
        </w:tc>
        <w:tc>
          <w:tcPr>
            <w:tcW w:w="1400" w:type="dxa"/>
            <w:vAlign w:val="bottom"/>
          </w:tcPr>
          <w:p>
            <w:pPr>
              <w:spacing w:after="0"/>
              <w:rPr>
                <w:sz w:val="22"/>
                <w:szCs w:val="22"/>
                <w:color w:val="auto"/>
              </w:rPr>
            </w:pPr>
          </w:p>
        </w:tc>
      </w:tr>
      <w:tr>
        <w:trPr>
          <w:trHeight w:val="230"/>
        </w:trPr>
        <w:tc>
          <w:tcPr>
            <w:tcW w:w="2500" w:type="dxa"/>
            <w:vAlign w:val="bottom"/>
          </w:tcPr>
          <w:p>
            <w:pPr>
              <w:spacing w:after="0"/>
              <w:rPr>
                <w:sz w:val="20"/>
                <w:szCs w:val="20"/>
                <w:color w:val="auto"/>
              </w:rPr>
            </w:pPr>
            <w:r>
              <w:rPr>
                <w:rFonts w:ascii="Arial" w:cs="Arial" w:eastAsia="Arial" w:hAnsi="Arial"/>
                <w:sz w:val="18"/>
                <w:szCs w:val="18"/>
                <w:color w:val="auto"/>
              </w:rPr>
              <w:t>RIA Envia, Inc.</w:t>
            </w:r>
          </w:p>
        </w:tc>
        <w:tc>
          <w:tcPr>
            <w:tcW w:w="4480" w:type="dxa"/>
            <w:vAlign w:val="bottom"/>
          </w:tcPr>
          <w:p>
            <w:pPr>
              <w:ind w:left="420"/>
              <w:spacing w:after="0"/>
              <w:rPr>
                <w:sz w:val="20"/>
                <w:szCs w:val="20"/>
                <w:color w:val="auto"/>
              </w:rPr>
            </w:pPr>
            <w:r>
              <w:rPr>
                <w:rFonts w:ascii="Arial" w:cs="Arial" w:eastAsia="Arial" w:hAnsi="Arial"/>
                <w:sz w:val="18"/>
                <w:szCs w:val="18"/>
                <w:color w:val="auto"/>
              </w:rPr>
              <w:t>Continental Exchange Solutions, Inc.</w:t>
            </w:r>
          </w:p>
        </w:tc>
        <w:tc>
          <w:tcPr>
            <w:tcW w:w="2280" w:type="dxa"/>
            <w:vAlign w:val="bottom"/>
          </w:tcPr>
          <w:p>
            <w:pPr>
              <w:ind w:left="780"/>
              <w:spacing w:after="0"/>
              <w:rPr>
                <w:sz w:val="20"/>
                <w:szCs w:val="20"/>
                <w:color w:val="auto"/>
              </w:rPr>
            </w:pPr>
            <w:r>
              <w:rPr>
                <w:rFonts w:ascii="Arial" w:cs="Arial" w:eastAsia="Arial" w:hAnsi="Arial"/>
                <w:sz w:val="18"/>
                <w:szCs w:val="18"/>
                <w:color w:val="auto"/>
              </w:rPr>
              <w:t>Investment</w:t>
            </w:r>
          </w:p>
        </w:tc>
        <w:tc>
          <w:tcPr>
            <w:tcW w:w="1400" w:type="dxa"/>
            <w:vAlign w:val="bottom"/>
          </w:tcPr>
          <w:p>
            <w:pPr>
              <w:jc w:val="right"/>
              <w:spacing w:after="0"/>
              <w:rPr>
                <w:sz w:val="20"/>
                <w:szCs w:val="20"/>
                <w:color w:val="auto"/>
              </w:rPr>
            </w:pPr>
            <w:r>
              <w:rPr>
                <w:rFonts w:ascii="Arial" w:cs="Arial" w:eastAsia="Arial" w:hAnsi="Arial"/>
                <w:sz w:val="18"/>
                <w:szCs w:val="18"/>
                <w:color w:val="auto"/>
              </w:rPr>
              <w:t>301,147,839</w:t>
            </w:r>
          </w:p>
        </w:tc>
      </w:tr>
      <w:tr>
        <w:trPr>
          <w:trHeight w:val="256"/>
        </w:trPr>
        <w:tc>
          <w:tcPr>
            <w:tcW w:w="2500" w:type="dxa"/>
            <w:vAlign w:val="bottom"/>
          </w:tcPr>
          <w:p>
            <w:pPr>
              <w:spacing w:after="0"/>
              <w:rPr>
                <w:sz w:val="22"/>
                <w:szCs w:val="22"/>
                <w:color w:val="auto"/>
              </w:rPr>
            </w:pPr>
          </w:p>
        </w:tc>
        <w:tc>
          <w:tcPr>
            <w:tcW w:w="4480" w:type="dxa"/>
            <w:vAlign w:val="bottom"/>
          </w:tcPr>
          <w:p>
            <w:pPr>
              <w:spacing w:after="0"/>
              <w:rPr>
                <w:sz w:val="22"/>
                <w:szCs w:val="22"/>
                <w:color w:val="auto"/>
              </w:rPr>
            </w:pPr>
          </w:p>
        </w:tc>
        <w:tc>
          <w:tcPr>
            <w:tcW w:w="2280" w:type="dxa"/>
            <w:vAlign w:val="bottom"/>
          </w:tcPr>
          <w:p>
            <w:pPr>
              <w:ind w:left="780"/>
              <w:spacing w:after="0"/>
              <w:rPr>
                <w:sz w:val="20"/>
                <w:szCs w:val="20"/>
                <w:color w:val="auto"/>
              </w:rPr>
            </w:pPr>
            <w:r>
              <w:rPr>
                <w:rFonts w:ascii="Arial" w:cs="Arial" w:eastAsia="Arial" w:hAnsi="Arial"/>
                <w:sz w:val="18"/>
                <w:szCs w:val="18"/>
                <w:color w:val="auto"/>
              </w:rPr>
              <w:t>Intercompany</w:t>
            </w:r>
          </w:p>
        </w:tc>
        <w:tc>
          <w:tcPr>
            <w:tcW w:w="1400" w:type="dxa"/>
            <w:vAlign w:val="bottom"/>
          </w:tcPr>
          <w:p>
            <w:pPr>
              <w:spacing w:after="0"/>
              <w:rPr>
                <w:sz w:val="22"/>
                <w:szCs w:val="22"/>
                <w:color w:val="auto"/>
              </w:rPr>
            </w:pPr>
          </w:p>
        </w:tc>
      </w:tr>
      <w:tr>
        <w:trPr>
          <w:trHeight w:val="230"/>
        </w:trPr>
        <w:tc>
          <w:tcPr>
            <w:tcW w:w="2500" w:type="dxa"/>
            <w:vAlign w:val="bottom"/>
          </w:tcPr>
          <w:p>
            <w:pPr>
              <w:spacing w:after="0"/>
              <w:rPr>
                <w:sz w:val="20"/>
                <w:szCs w:val="20"/>
                <w:color w:val="auto"/>
              </w:rPr>
            </w:pPr>
            <w:r>
              <w:rPr>
                <w:rFonts w:ascii="Arial" w:cs="Arial" w:eastAsia="Arial" w:hAnsi="Arial"/>
                <w:sz w:val="18"/>
                <w:szCs w:val="18"/>
                <w:color w:val="auto"/>
              </w:rPr>
              <w:t>RIA Envia, Inc.</w:t>
            </w:r>
          </w:p>
        </w:tc>
        <w:tc>
          <w:tcPr>
            <w:tcW w:w="4480" w:type="dxa"/>
            <w:vAlign w:val="bottom"/>
          </w:tcPr>
          <w:p>
            <w:pPr>
              <w:ind w:left="420"/>
              <w:spacing w:after="0"/>
              <w:rPr>
                <w:sz w:val="20"/>
                <w:szCs w:val="20"/>
                <w:color w:val="auto"/>
              </w:rPr>
            </w:pPr>
            <w:r>
              <w:rPr>
                <w:rFonts w:ascii="Arial" w:cs="Arial" w:eastAsia="Arial" w:hAnsi="Arial"/>
                <w:sz w:val="18"/>
                <w:szCs w:val="18"/>
                <w:color w:val="auto"/>
              </w:rPr>
              <w:t>RIA de Centroamérica, S.A. de C.V.</w:t>
            </w:r>
          </w:p>
        </w:tc>
        <w:tc>
          <w:tcPr>
            <w:tcW w:w="2280" w:type="dxa"/>
            <w:vAlign w:val="bottom"/>
          </w:tcPr>
          <w:p>
            <w:pPr>
              <w:ind w:left="780"/>
              <w:spacing w:after="0"/>
              <w:rPr>
                <w:sz w:val="20"/>
                <w:szCs w:val="20"/>
                <w:color w:val="auto"/>
              </w:rPr>
            </w:pPr>
            <w:r>
              <w:rPr>
                <w:rFonts w:ascii="Arial" w:cs="Arial" w:eastAsia="Arial" w:hAnsi="Arial"/>
                <w:sz w:val="18"/>
                <w:szCs w:val="18"/>
                <w:color w:val="auto"/>
              </w:rPr>
              <w:t>Investment</w:t>
            </w:r>
          </w:p>
        </w:tc>
        <w:tc>
          <w:tcPr>
            <w:tcW w:w="1400" w:type="dxa"/>
            <w:vAlign w:val="bottom"/>
          </w:tcPr>
          <w:p>
            <w:pPr>
              <w:jc w:val="right"/>
              <w:spacing w:after="0"/>
              <w:rPr>
                <w:sz w:val="20"/>
                <w:szCs w:val="20"/>
                <w:color w:val="auto"/>
              </w:rPr>
            </w:pPr>
            <w:r>
              <w:rPr>
                <w:rFonts w:ascii="Arial" w:cs="Arial" w:eastAsia="Arial" w:hAnsi="Arial"/>
                <w:sz w:val="18"/>
                <w:szCs w:val="18"/>
                <w:color w:val="auto"/>
              </w:rPr>
              <w:t>53,886</w:t>
            </w:r>
          </w:p>
        </w:tc>
      </w:tr>
      <w:tr>
        <w:trPr>
          <w:trHeight w:val="256"/>
        </w:trPr>
        <w:tc>
          <w:tcPr>
            <w:tcW w:w="2500" w:type="dxa"/>
            <w:vAlign w:val="bottom"/>
          </w:tcPr>
          <w:p>
            <w:pPr>
              <w:spacing w:after="0"/>
              <w:rPr>
                <w:sz w:val="22"/>
                <w:szCs w:val="22"/>
                <w:color w:val="auto"/>
              </w:rPr>
            </w:pPr>
          </w:p>
        </w:tc>
        <w:tc>
          <w:tcPr>
            <w:tcW w:w="4480" w:type="dxa"/>
            <w:vAlign w:val="bottom"/>
          </w:tcPr>
          <w:p>
            <w:pPr>
              <w:spacing w:after="0"/>
              <w:rPr>
                <w:sz w:val="22"/>
                <w:szCs w:val="22"/>
                <w:color w:val="auto"/>
              </w:rPr>
            </w:pPr>
          </w:p>
        </w:tc>
        <w:tc>
          <w:tcPr>
            <w:tcW w:w="2280" w:type="dxa"/>
            <w:vAlign w:val="bottom"/>
          </w:tcPr>
          <w:p>
            <w:pPr>
              <w:ind w:left="780"/>
              <w:spacing w:after="0"/>
              <w:rPr>
                <w:sz w:val="20"/>
                <w:szCs w:val="20"/>
                <w:color w:val="auto"/>
              </w:rPr>
            </w:pPr>
            <w:r>
              <w:rPr>
                <w:rFonts w:ascii="Arial" w:cs="Arial" w:eastAsia="Arial" w:hAnsi="Arial"/>
                <w:sz w:val="18"/>
                <w:szCs w:val="18"/>
                <w:color w:val="auto"/>
              </w:rPr>
              <w:t>Intercompany</w:t>
            </w:r>
          </w:p>
        </w:tc>
        <w:tc>
          <w:tcPr>
            <w:tcW w:w="1400" w:type="dxa"/>
            <w:vAlign w:val="bottom"/>
          </w:tcPr>
          <w:p>
            <w:pPr>
              <w:spacing w:after="0"/>
              <w:rPr>
                <w:sz w:val="22"/>
                <w:szCs w:val="22"/>
                <w:color w:val="auto"/>
              </w:rPr>
            </w:pPr>
          </w:p>
        </w:tc>
      </w:tr>
      <w:tr>
        <w:trPr>
          <w:trHeight w:val="230"/>
        </w:trPr>
        <w:tc>
          <w:tcPr>
            <w:tcW w:w="2500" w:type="dxa"/>
            <w:vAlign w:val="bottom"/>
          </w:tcPr>
          <w:p>
            <w:pPr>
              <w:spacing w:after="0"/>
              <w:rPr>
                <w:sz w:val="20"/>
                <w:szCs w:val="20"/>
                <w:color w:val="auto"/>
              </w:rPr>
            </w:pPr>
            <w:r>
              <w:rPr>
                <w:rFonts w:ascii="Arial" w:cs="Arial" w:eastAsia="Arial" w:hAnsi="Arial"/>
                <w:sz w:val="18"/>
                <w:szCs w:val="18"/>
                <w:color w:val="auto"/>
              </w:rPr>
              <w:t>RIA Envia, Inc.</w:t>
            </w:r>
          </w:p>
        </w:tc>
        <w:tc>
          <w:tcPr>
            <w:tcW w:w="4480" w:type="dxa"/>
            <w:vAlign w:val="bottom"/>
          </w:tcPr>
          <w:p>
            <w:pPr>
              <w:ind w:left="420"/>
              <w:spacing w:after="0"/>
              <w:rPr>
                <w:sz w:val="20"/>
                <w:szCs w:val="20"/>
                <w:color w:val="auto"/>
              </w:rPr>
            </w:pPr>
            <w:r>
              <w:rPr>
                <w:rFonts w:ascii="Arial" w:cs="Arial" w:eastAsia="Arial" w:hAnsi="Arial"/>
                <w:sz w:val="18"/>
                <w:szCs w:val="18"/>
                <w:color w:val="auto"/>
              </w:rPr>
              <w:t>RIA de la Hispaniola C.porA</w:t>
            </w:r>
          </w:p>
        </w:tc>
        <w:tc>
          <w:tcPr>
            <w:tcW w:w="2280" w:type="dxa"/>
            <w:vAlign w:val="bottom"/>
          </w:tcPr>
          <w:p>
            <w:pPr>
              <w:ind w:left="780"/>
              <w:spacing w:after="0"/>
              <w:rPr>
                <w:sz w:val="20"/>
                <w:szCs w:val="20"/>
                <w:color w:val="auto"/>
              </w:rPr>
            </w:pPr>
            <w:r>
              <w:rPr>
                <w:rFonts w:ascii="Arial" w:cs="Arial" w:eastAsia="Arial" w:hAnsi="Arial"/>
                <w:sz w:val="18"/>
                <w:szCs w:val="18"/>
                <w:color w:val="auto"/>
              </w:rPr>
              <w:t>Investment</w:t>
            </w:r>
          </w:p>
        </w:tc>
        <w:tc>
          <w:tcPr>
            <w:tcW w:w="1400" w:type="dxa"/>
            <w:vAlign w:val="bottom"/>
          </w:tcPr>
          <w:p>
            <w:pPr>
              <w:jc w:val="right"/>
              <w:spacing w:after="0"/>
              <w:rPr>
                <w:sz w:val="20"/>
                <w:szCs w:val="20"/>
                <w:color w:val="auto"/>
              </w:rPr>
            </w:pPr>
            <w:r>
              <w:rPr>
                <w:rFonts w:ascii="Arial" w:cs="Arial" w:eastAsia="Arial" w:hAnsi="Arial"/>
                <w:sz w:val="18"/>
                <w:szCs w:val="18"/>
                <w:color w:val="auto"/>
              </w:rPr>
              <w:t>1,777,328</w:t>
            </w:r>
          </w:p>
        </w:tc>
      </w:tr>
      <w:tr>
        <w:trPr>
          <w:trHeight w:val="256"/>
        </w:trPr>
        <w:tc>
          <w:tcPr>
            <w:tcW w:w="2500" w:type="dxa"/>
            <w:vAlign w:val="bottom"/>
          </w:tcPr>
          <w:p>
            <w:pPr>
              <w:spacing w:after="0"/>
              <w:rPr>
                <w:sz w:val="22"/>
                <w:szCs w:val="22"/>
                <w:color w:val="auto"/>
              </w:rPr>
            </w:pPr>
          </w:p>
        </w:tc>
        <w:tc>
          <w:tcPr>
            <w:tcW w:w="4480" w:type="dxa"/>
            <w:vAlign w:val="bottom"/>
          </w:tcPr>
          <w:p>
            <w:pPr>
              <w:spacing w:after="0"/>
              <w:rPr>
                <w:sz w:val="22"/>
                <w:szCs w:val="22"/>
                <w:color w:val="auto"/>
              </w:rPr>
            </w:pPr>
          </w:p>
        </w:tc>
        <w:tc>
          <w:tcPr>
            <w:tcW w:w="2280" w:type="dxa"/>
            <w:vAlign w:val="bottom"/>
          </w:tcPr>
          <w:p>
            <w:pPr>
              <w:ind w:left="780"/>
              <w:spacing w:after="0"/>
              <w:rPr>
                <w:sz w:val="20"/>
                <w:szCs w:val="20"/>
                <w:color w:val="auto"/>
              </w:rPr>
            </w:pPr>
            <w:r>
              <w:rPr>
                <w:rFonts w:ascii="Arial" w:cs="Arial" w:eastAsia="Arial" w:hAnsi="Arial"/>
                <w:sz w:val="18"/>
                <w:szCs w:val="18"/>
                <w:color w:val="auto"/>
              </w:rPr>
              <w:t>Intercompany</w:t>
            </w:r>
          </w:p>
        </w:tc>
        <w:tc>
          <w:tcPr>
            <w:tcW w:w="1400" w:type="dxa"/>
            <w:vAlign w:val="bottom"/>
          </w:tcPr>
          <w:p>
            <w:pPr>
              <w:spacing w:after="0"/>
              <w:rPr>
                <w:sz w:val="22"/>
                <w:szCs w:val="22"/>
                <w:color w:val="auto"/>
              </w:rPr>
            </w:pPr>
          </w:p>
        </w:tc>
      </w:tr>
      <w:tr>
        <w:trPr>
          <w:trHeight w:val="230"/>
        </w:trPr>
        <w:tc>
          <w:tcPr>
            <w:tcW w:w="2500" w:type="dxa"/>
            <w:vAlign w:val="bottom"/>
          </w:tcPr>
          <w:p>
            <w:pPr>
              <w:spacing w:after="0"/>
              <w:rPr>
                <w:sz w:val="20"/>
                <w:szCs w:val="20"/>
                <w:color w:val="auto"/>
              </w:rPr>
            </w:pPr>
            <w:r>
              <w:rPr>
                <w:rFonts w:ascii="Arial" w:cs="Arial" w:eastAsia="Arial" w:hAnsi="Arial"/>
                <w:sz w:val="18"/>
                <w:szCs w:val="18"/>
                <w:color w:val="auto"/>
              </w:rPr>
              <w:t>RIA Envia, Inc.</w:t>
            </w:r>
          </w:p>
        </w:tc>
        <w:tc>
          <w:tcPr>
            <w:tcW w:w="4480" w:type="dxa"/>
            <w:vAlign w:val="bottom"/>
          </w:tcPr>
          <w:p>
            <w:pPr>
              <w:ind w:left="420"/>
              <w:spacing w:after="0"/>
              <w:rPr>
                <w:sz w:val="20"/>
                <w:szCs w:val="20"/>
                <w:color w:val="auto"/>
              </w:rPr>
            </w:pPr>
            <w:r>
              <w:rPr>
                <w:rFonts w:ascii="Arial" w:cs="Arial" w:eastAsia="Arial" w:hAnsi="Arial"/>
                <w:sz w:val="18"/>
                <w:szCs w:val="18"/>
                <w:color w:val="auto"/>
              </w:rPr>
              <w:t>RIA Envia Financial Services Belgium SPRL</w:t>
            </w:r>
          </w:p>
        </w:tc>
        <w:tc>
          <w:tcPr>
            <w:tcW w:w="2280" w:type="dxa"/>
            <w:vAlign w:val="bottom"/>
          </w:tcPr>
          <w:p>
            <w:pPr>
              <w:ind w:left="780"/>
              <w:spacing w:after="0"/>
              <w:rPr>
                <w:sz w:val="20"/>
                <w:szCs w:val="20"/>
                <w:color w:val="auto"/>
              </w:rPr>
            </w:pPr>
            <w:r>
              <w:rPr>
                <w:rFonts w:ascii="Arial" w:cs="Arial" w:eastAsia="Arial" w:hAnsi="Arial"/>
                <w:sz w:val="18"/>
                <w:szCs w:val="18"/>
                <w:color w:val="auto"/>
              </w:rPr>
              <w:t>Investment</w:t>
            </w:r>
          </w:p>
        </w:tc>
        <w:tc>
          <w:tcPr>
            <w:tcW w:w="1400" w:type="dxa"/>
            <w:vAlign w:val="bottom"/>
          </w:tcPr>
          <w:p>
            <w:pPr>
              <w:jc w:val="right"/>
              <w:spacing w:after="0"/>
              <w:rPr>
                <w:sz w:val="20"/>
                <w:szCs w:val="20"/>
                <w:color w:val="auto"/>
              </w:rPr>
            </w:pPr>
            <w:r>
              <w:rPr>
                <w:rFonts w:ascii="Arial" w:cs="Arial" w:eastAsia="Arial" w:hAnsi="Arial"/>
                <w:sz w:val="18"/>
                <w:szCs w:val="18"/>
                <w:color w:val="auto"/>
              </w:rPr>
              <w:t>6,251</w:t>
            </w:r>
          </w:p>
        </w:tc>
      </w:tr>
      <w:tr>
        <w:trPr>
          <w:trHeight w:val="256"/>
        </w:trPr>
        <w:tc>
          <w:tcPr>
            <w:tcW w:w="2500" w:type="dxa"/>
            <w:vAlign w:val="bottom"/>
          </w:tcPr>
          <w:p>
            <w:pPr>
              <w:spacing w:after="0"/>
              <w:rPr>
                <w:sz w:val="22"/>
                <w:szCs w:val="22"/>
                <w:color w:val="auto"/>
              </w:rPr>
            </w:pPr>
          </w:p>
        </w:tc>
        <w:tc>
          <w:tcPr>
            <w:tcW w:w="4480" w:type="dxa"/>
            <w:vAlign w:val="bottom"/>
          </w:tcPr>
          <w:p>
            <w:pPr>
              <w:spacing w:after="0"/>
              <w:rPr>
                <w:sz w:val="22"/>
                <w:szCs w:val="22"/>
                <w:color w:val="auto"/>
              </w:rPr>
            </w:pPr>
          </w:p>
        </w:tc>
        <w:tc>
          <w:tcPr>
            <w:tcW w:w="2280" w:type="dxa"/>
            <w:vAlign w:val="bottom"/>
          </w:tcPr>
          <w:p>
            <w:pPr>
              <w:ind w:left="780"/>
              <w:spacing w:after="0"/>
              <w:rPr>
                <w:sz w:val="20"/>
                <w:szCs w:val="20"/>
                <w:color w:val="auto"/>
              </w:rPr>
            </w:pPr>
            <w:r>
              <w:rPr>
                <w:rFonts w:ascii="Arial" w:cs="Arial" w:eastAsia="Arial" w:hAnsi="Arial"/>
                <w:sz w:val="18"/>
                <w:szCs w:val="18"/>
                <w:color w:val="auto"/>
              </w:rPr>
              <w:t>Intercompany</w:t>
            </w:r>
          </w:p>
        </w:tc>
        <w:tc>
          <w:tcPr>
            <w:tcW w:w="1400" w:type="dxa"/>
            <w:vAlign w:val="bottom"/>
          </w:tcPr>
          <w:p>
            <w:pPr>
              <w:spacing w:after="0"/>
              <w:rPr>
                <w:sz w:val="22"/>
                <w:szCs w:val="22"/>
                <w:color w:val="auto"/>
              </w:rPr>
            </w:pPr>
          </w:p>
        </w:tc>
      </w:tr>
      <w:tr>
        <w:trPr>
          <w:trHeight w:val="230"/>
        </w:trPr>
        <w:tc>
          <w:tcPr>
            <w:tcW w:w="2500" w:type="dxa"/>
            <w:vAlign w:val="bottom"/>
          </w:tcPr>
          <w:p>
            <w:pPr>
              <w:spacing w:after="0"/>
              <w:rPr>
                <w:sz w:val="20"/>
                <w:szCs w:val="20"/>
                <w:color w:val="auto"/>
              </w:rPr>
            </w:pPr>
            <w:r>
              <w:rPr>
                <w:rFonts w:ascii="Arial" w:cs="Arial" w:eastAsia="Arial" w:hAnsi="Arial"/>
                <w:sz w:val="18"/>
                <w:szCs w:val="18"/>
                <w:color w:val="auto"/>
              </w:rPr>
              <w:t>RIA Envia, Inc.</w:t>
            </w:r>
          </w:p>
        </w:tc>
        <w:tc>
          <w:tcPr>
            <w:tcW w:w="4480" w:type="dxa"/>
            <w:vAlign w:val="bottom"/>
          </w:tcPr>
          <w:p>
            <w:pPr>
              <w:ind w:left="420"/>
              <w:spacing w:after="0"/>
              <w:rPr>
                <w:sz w:val="20"/>
                <w:szCs w:val="20"/>
                <w:color w:val="auto"/>
              </w:rPr>
            </w:pPr>
            <w:r>
              <w:rPr>
                <w:rFonts w:ascii="Arial" w:cs="Arial" w:eastAsia="Arial" w:hAnsi="Arial"/>
                <w:sz w:val="18"/>
                <w:szCs w:val="18"/>
                <w:color w:val="auto"/>
              </w:rPr>
              <w:t>RIA Envia Financial Services GmbH</w:t>
            </w:r>
          </w:p>
        </w:tc>
        <w:tc>
          <w:tcPr>
            <w:tcW w:w="2280" w:type="dxa"/>
            <w:vAlign w:val="bottom"/>
          </w:tcPr>
          <w:p>
            <w:pPr>
              <w:ind w:left="780"/>
              <w:spacing w:after="0"/>
              <w:rPr>
                <w:sz w:val="20"/>
                <w:szCs w:val="20"/>
                <w:color w:val="auto"/>
              </w:rPr>
            </w:pPr>
            <w:r>
              <w:rPr>
                <w:rFonts w:ascii="Arial" w:cs="Arial" w:eastAsia="Arial" w:hAnsi="Arial"/>
                <w:sz w:val="18"/>
                <w:szCs w:val="18"/>
                <w:color w:val="auto"/>
              </w:rPr>
              <w:t>Investment</w:t>
            </w:r>
          </w:p>
        </w:tc>
        <w:tc>
          <w:tcPr>
            <w:tcW w:w="1400" w:type="dxa"/>
            <w:vAlign w:val="bottom"/>
          </w:tcPr>
          <w:p>
            <w:pPr>
              <w:jc w:val="right"/>
              <w:spacing w:after="0"/>
              <w:rPr>
                <w:sz w:val="20"/>
                <w:szCs w:val="20"/>
                <w:color w:val="auto"/>
              </w:rPr>
            </w:pPr>
            <w:r>
              <w:rPr>
                <w:rFonts w:ascii="Arial" w:cs="Arial" w:eastAsia="Arial" w:hAnsi="Arial"/>
                <w:sz w:val="18"/>
                <w:szCs w:val="18"/>
                <w:color w:val="auto"/>
              </w:rPr>
              <w:t>33,406,332</w:t>
            </w:r>
          </w:p>
        </w:tc>
      </w:tr>
      <w:tr>
        <w:trPr>
          <w:trHeight w:val="256"/>
        </w:trPr>
        <w:tc>
          <w:tcPr>
            <w:tcW w:w="2500" w:type="dxa"/>
            <w:vAlign w:val="bottom"/>
          </w:tcPr>
          <w:p>
            <w:pPr>
              <w:spacing w:after="0"/>
              <w:rPr>
                <w:sz w:val="22"/>
                <w:szCs w:val="22"/>
                <w:color w:val="auto"/>
              </w:rPr>
            </w:pPr>
          </w:p>
        </w:tc>
        <w:tc>
          <w:tcPr>
            <w:tcW w:w="4480" w:type="dxa"/>
            <w:vAlign w:val="bottom"/>
          </w:tcPr>
          <w:p>
            <w:pPr>
              <w:spacing w:after="0"/>
              <w:rPr>
                <w:sz w:val="22"/>
                <w:szCs w:val="22"/>
                <w:color w:val="auto"/>
              </w:rPr>
            </w:pPr>
          </w:p>
        </w:tc>
        <w:tc>
          <w:tcPr>
            <w:tcW w:w="2280" w:type="dxa"/>
            <w:vAlign w:val="bottom"/>
          </w:tcPr>
          <w:p>
            <w:pPr>
              <w:ind w:left="780"/>
              <w:spacing w:after="0"/>
              <w:rPr>
                <w:sz w:val="20"/>
                <w:szCs w:val="20"/>
                <w:color w:val="auto"/>
              </w:rPr>
            </w:pPr>
            <w:r>
              <w:rPr>
                <w:rFonts w:ascii="Arial" w:cs="Arial" w:eastAsia="Arial" w:hAnsi="Arial"/>
                <w:sz w:val="18"/>
                <w:szCs w:val="18"/>
                <w:color w:val="auto"/>
              </w:rPr>
              <w:t>Intercompany</w:t>
            </w:r>
          </w:p>
        </w:tc>
        <w:tc>
          <w:tcPr>
            <w:tcW w:w="1400" w:type="dxa"/>
            <w:vAlign w:val="bottom"/>
          </w:tcPr>
          <w:p>
            <w:pPr>
              <w:spacing w:after="0"/>
              <w:rPr>
                <w:sz w:val="22"/>
                <w:szCs w:val="22"/>
                <w:color w:val="auto"/>
              </w:rPr>
            </w:pPr>
          </w:p>
        </w:tc>
      </w:tr>
      <w:tr>
        <w:trPr>
          <w:trHeight w:val="230"/>
        </w:trPr>
        <w:tc>
          <w:tcPr>
            <w:tcW w:w="2500" w:type="dxa"/>
            <w:vAlign w:val="bottom"/>
          </w:tcPr>
          <w:p>
            <w:pPr>
              <w:spacing w:after="0"/>
              <w:rPr>
                <w:sz w:val="20"/>
                <w:szCs w:val="20"/>
                <w:color w:val="auto"/>
              </w:rPr>
            </w:pPr>
            <w:r>
              <w:rPr>
                <w:rFonts w:ascii="Arial" w:cs="Arial" w:eastAsia="Arial" w:hAnsi="Arial"/>
                <w:sz w:val="18"/>
                <w:szCs w:val="18"/>
                <w:color w:val="auto"/>
              </w:rPr>
              <w:t>RIA Envia, Inc.</w:t>
            </w:r>
          </w:p>
        </w:tc>
        <w:tc>
          <w:tcPr>
            <w:tcW w:w="4480" w:type="dxa"/>
            <w:vAlign w:val="bottom"/>
          </w:tcPr>
          <w:p>
            <w:pPr>
              <w:ind w:left="420"/>
              <w:spacing w:after="0"/>
              <w:rPr>
                <w:sz w:val="20"/>
                <w:szCs w:val="20"/>
                <w:color w:val="auto"/>
              </w:rPr>
            </w:pPr>
            <w:r>
              <w:rPr>
                <w:rFonts w:ascii="Arial" w:cs="Arial" w:eastAsia="Arial" w:hAnsi="Arial"/>
                <w:sz w:val="18"/>
                <w:szCs w:val="18"/>
                <w:color w:val="auto"/>
              </w:rPr>
              <w:t>RIA Financial Services AG</w:t>
            </w:r>
          </w:p>
        </w:tc>
        <w:tc>
          <w:tcPr>
            <w:tcW w:w="2280" w:type="dxa"/>
            <w:vAlign w:val="bottom"/>
          </w:tcPr>
          <w:p>
            <w:pPr>
              <w:ind w:left="780"/>
              <w:spacing w:after="0"/>
              <w:rPr>
                <w:sz w:val="20"/>
                <w:szCs w:val="20"/>
                <w:color w:val="auto"/>
              </w:rPr>
            </w:pPr>
            <w:r>
              <w:rPr>
                <w:rFonts w:ascii="Arial" w:cs="Arial" w:eastAsia="Arial" w:hAnsi="Arial"/>
                <w:sz w:val="18"/>
                <w:szCs w:val="18"/>
                <w:color w:val="auto"/>
              </w:rPr>
              <w:t>Investment</w:t>
            </w:r>
          </w:p>
        </w:tc>
        <w:tc>
          <w:tcPr>
            <w:tcW w:w="1400" w:type="dxa"/>
            <w:vAlign w:val="bottom"/>
          </w:tcPr>
          <w:p>
            <w:pPr>
              <w:jc w:val="right"/>
              <w:spacing w:after="0"/>
              <w:rPr>
                <w:sz w:val="20"/>
                <w:szCs w:val="20"/>
                <w:color w:val="auto"/>
              </w:rPr>
            </w:pPr>
            <w:r>
              <w:rPr>
                <w:rFonts w:ascii="Arial" w:cs="Arial" w:eastAsia="Arial" w:hAnsi="Arial"/>
                <w:sz w:val="18"/>
                <w:szCs w:val="18"/>
                <w:color w:val="auto"/>
              </w:rPr>
              <w:t>6,094,874</w:t>
            </w:r>
          </w:p>
        </w:tc>
      </w:tr>
    </w:tbl>
    <w:p>
      <w:pPr>
        <w:sectPr>
          <w:pgSz w:w="11900" w:h="16838" w:orient="portrait"/>
          <w:cols w:equalWidth="0" w:num="1">
            <w:col w:w="10660"/>
          </w:cols>
          <w:pgMar w:left="580" w:top="531" w:right="659" w:bottom="1440" w:gutter="0" w:footer="0" w:header="0"/>
        </w:sectPr>
      </w:pPr>
    </w:p>
    <w:bookmarkStart w:id="283" w:name="page284"/>
    <w:bookmarkEnd w:id="28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960" w:type="dxa"/>
            <w:vAlign w:val="bottom"/>
          </w:tcPr>
          <w:p>
            <w:pPr>
              <w:spacing w:after="0"/>
              <w:rPr>
                <w:sz w:val="18"/>
                <w:szCs w:val="18"/>
                <w:color w:val="auto"/>
              </w:rPr>
            </w:pPr>
          </w:p>
        </w:tc>
        <w:tc>
          <w:tcPr>
            <w:tcW w:w="2400" w:type="dxa"/>
            <w:vAlign w:val="bottom"/>
          </w:tcPr>
          <w:p>
            <w:pPr>
              <w:ind w:left="920"/>
              <w:spacing w:after="0"/>
              <w:rPr>
                <w:sz w:val="20"/>
                <w:szCs w:val="20"/>
                <w:color w:val="auto"/>
              </w:rPr>
            </w:pPr>
            <w:r>
              <w:rPr>
                <w:rFonts w:ascii="Arial" w:cs="Arial" w:eastAsia="Arial" w:hAnsi="Arial"/>
                <w:sz w:val="18"/>
                <w:szCs w:val="18"/>
                <w:color w:val="auto"/>
              </w:rPr>
              <w:t>Intercompany</w:t>
            </w:r>
          </w:p>
        </w:tc>
        <w:tc>
          <w:tcPr>
            <w:tcW w:w="1540" w:type="dxa"/>
            <w:vAlign w:val="bottom"/>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2880" w:type="dxa"/>
            <w:vAlign w:val="bottom"/>
            <w:gridSpan w:val="4"/>
          </w:tcPr>
          <w:p>
            <w:pPr>
              <w:spacing w:after="0"/>
              <w:rPr>
                <w:sz w:val="20"/>
                <w:szCs w:val="20"/>
                <w:color w:val="auto"/>
              </w:rPr>
            </w:pPr>
            <w:r>
              <w:rPr>
                <w:rFonts w:ascii="Arial" w:cs="Arial" w:eastAsia="Arial" w:hAnsi="Arial"/>
                <w:sz w:val="18"/>
                <w:szCs w:val="18"/>
                <w:color w:val="auto"/>
              </w:rPr>
              <w:t>RIA Envia, Inc.</w:t>
            </w:r>
          </w:p>
        </w:tc>
        <w:tc>
          <w:tcPr>
            <w:tcW w:w="3960" w:type="dxa"/>
            <w:vAlign w:val="bottom"/>
          </w:tcPr>
          <w:p>
            <w:pPr>
              <w:ind w:left="80"/>
              <w:spacing w:after="0"/>
              <w:rPr>
                <w:sz w:val="20"/>
                <w:szCs w:val="20"/>
                <w:color w:val="auto"/>
              </w:rPr>
            </w:pPr>
            <w:r>
              <w:rPr>
                <w:rFonts w:ascii="Arial" w:cs="Arial" w:eastAsia="Arial" w:hAnsi="Arial"/>
                <w:sz w:val="18"/>
                <w:szCs w:val="18"/>
                <w:color w:val="auto"/>
              </w:rPr>
              <w:t>RIA Financial Services Ltd</w:t>
            </w:r>
          </w:p>
        </w:tc>
        <w:tc>
          <w:tcPr>
            <w:tcW w:w="2400" w:type="dxa"/>
            <w:vAlign w:val="bottom"/>
          </w:tcPr>
          <w:p>
            <w:pPr>
              <w:ind w:left="920"/>
              <w:spacing w:after="0"/>
              <w:rPr>
                <w:sz w:val="20"/>
                <w:szCs w:val="20"/>
                <w:color w:val="auto"/>
              </w:rPr>
            </w:pPr>
            <w:r>
              <w:rPr>
                <w:rFonts w:ascii="Arial" w:cs="Arial" w:eastAsia="Arial" w:hAnsi="Arial"/>
                <w:sz w:val="18"/>
                <w:szCs w:val="18"/>
                <w:color w:val="auto"/>
              </w:rPr>
              <w:t>Investment</w:t>
            </w:r>
          </w:p>
        </w:tc>
        <w:tc>
          <w:tcPr>
            <w:tcW w:w="1540" w:type="dxa"/>
            <w:vAlign w:val="bottom"/>
          </w:tcPr>
          <w:p>
            <w:pPr>
              <w:jc w:val="right"/>
              <w:ind w:right="30"/>
              <w:spacing w:after="0"/>
              <w:rPr>
                <w:sz w:val="20"/>
                <w:szCs w:val="20"/>
                <w:color w:val="auto"/>
              </w:rPr>
            </w:pPr>
            <w:r>
              <w:rPr>
                <w:rFonts w:ascii="Arial" w:cs="Arial" w:eastAsia="Arial" w:hAnsi="Arial"/>
                <w:sz w:val="18"/>
                <w:szCs w:val="18"/>
                <w:color w:val="auto"/>
              </w:rPr>
              <w:t>21,389,075</w:t>
            </w:r>
          </w:p>
        </w:tc>
      </w:tr>
      <w:tr>
        <w:trPr>
          <w:trHeight w:val="256"/>
        </w:trPr>
        <w:tc>
          <w:tcPr>
            <w:tcW w:w="2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960" w:type="dxa"/>
            <w:vAlign w:val="bottom"/>
          </w:tcPr>
          <w:p>
            <w:pPr>
              <w:spacing w:after="0"/>
              <w:rPr>
                <w:sz w:val="22"/>
                <w:szCs w:val="22"/>
                <w:color w:val="auto"/>
              </w:rPr>
            </w:pPr>
          </w:p>
        </w:tc>
        <w:tc>
          <w:tcPr>
            <w:tcW w:w="2400" w:type="dxa"/>
            <w:vAlign w:val="bottom"/>
          </w:tcPr>
          <w:p>
            <w:pPr>
              <w:ind w:left="920"/>
              <w:spacing w:after="0"/>
              <w:rPr>
                <w:sz w:val="20"/>
                <w:szCs w:val="20"/>
                <w:color w:val="auto"/>
              </w:rPr>
            </w:pPr>
            <w:r>
              <w:rPr>
                <w:rFonts w:ascii="Arial" w:cs="Arial" w:eastAsia="Arial" w:hAnsi="Arial"/>
                <w:sz w:val="18"/>
                <w:szCs w:val="18"/>
                <w:color w:val="auto"/>
              </w:rPr>
              <w:t>Intercompany</w:t>
            </w:r>
          </w:p>
        </w:tc>
        <w:tc>
          <w:tcPr>
            <w:tcW w:w="1540" w:type="dxa"/>
            <w:vAlign w:val="bottom"/>
          </w:tcPr>
          <w:p>
            <w:pPr>
              <w:spacing w:after="0"/>
              <w:rPr>
                <w:sz w:val="22"/>
                <w:szCs w:val="22"/>
                <w:color w:val="auto"/>
              </w:rPr>
            </w:pPr>
          </w:p>
        </w:tc>
      </w:tr>
      <w:tr>
        <w:trPr>
          <w:trHeight w:val="230"/>
        </w:trPr>
        <w:tc>
          <w:tcPr>
            <w:tcW w:w="20" w:type="dxa"/>
            <w:vAlign w:val="bottom"/>
          </w:tcPr>
          <w:p>
            <w:pPr>
              <w:spacing w:after="0"/>
              <w:rPr>
                <w:sz w:val="20"/>
                <w:szCs w:val="20"/>
                <w:color w:val="auto"/>
              </w:rPr>
            </w:pPr>
          </w:p>
        </w:tc>
        <w:tc>
          <w:tcPr>
            <w:tcW w:w="2880" w:type="dxa"/>
            <w:vAlign w:val="bottom"/>
            <w:gridSpan w:val="4"/>
          </w:tcPr>
          <w:p>
            <w:pPr>
              <w:spacing w:after="0"/>
              <w:rPr>
                <w:sz w:val="20"/>
                <w:szCs w:val="20"/>
                <w:color w:val="auto"/>
              </w:rPr>
            </w:pPr>
            <w:r>
              <w:rPr>
                <w:rFonts w:ascii="Arial" w:cs="Arial" w:eastAsia="Arial" w:hAnsi="Arial"/>
                <w:sz w:val="18"/>
                <w:szCs w:val="18"/>
                <w:color w:val="auto"/>
              </w:rPr>
              <w:t>RIA Envia, Inc.</w:t>
            </w:r>
          </w:p>
        </w:tc>
        <w:tc>
          <w:tcPr>
            <w:tcW w:w="3960" w:type="dxa"/>
            <w:vAlign w:val="bottom"/>
          </w:tcPr>
          <w:p>
            <w:pPr>
              <w:ind w:left="80"/>
              <w:spacing w:after="0"/>
              <w:rPr>
                <w:sz w:val="20"/>
                <w:szCs w:val="20"/>
                <w:color w:val="auto"/>
              </w:rPr>
            </w:pPr>
            <w:r>
              <w:rPr>
                <w:rFonts w:ascii="Arial" w:cs="Arial" w:eastAsia="Arial" w:hAnsi="Arial"/>
                <w:sz w:val="18"/>
                <w:szCs w:val="18"/>
                <w:color w:val="auto"/>
              </w:rPr>
              <w:t>RIA Financial Services Puerto Rico, Inc.</w:t>
            </w:r>
          </w:p>
        </w:tc>
        <w:tc>
          <w:tcPr>
            <w:tcW w:w="2400" w:type="dxa"/>
            <w:vAlign w:val="bottom"/>
          </w:tcPr>
          <w:p>
            <w:pPr>
              <w:ind w:left="920"/>
              <w:spacing w:after="0"/>
              <w:rPr>
                <w:sz w:val="20"/>
                <w:szCs w:val="20"/>
                <w:color w:val="auto"/>
              </w:rPr>
            </w:pPr>
            <w:r>
              <w:rPr>
                <w:rFonts w:ascii="Arial" w:cs="Arial" w:eastAsia="Arial" w:hAnsi="Arial"/>
                <w:sz w:val="18"/>
                <w:szCs w:val="18"/>
                <w:color w:val="auto"/>
              </w:rPr>
              <w:t>Investment</w:t>
            </w:r>
          </w:p>
        </w:tc>
        <w:tc>
          <w:tcPr>
            <w:tcW w:w="1540" w:type="dxa"/>
            <w:vAlign w:val="bottom"/>
          </w:tcPr>
          <w:p>
            <w:pPr>
              <w:jc w:val="right"/>
              <w:ind w:right="30"/>
              <w:spacing w:after="0"/>
              <w:rPr>
                <w:sz w:val="20"/>
                <w:szCs w:val="20"/>
                <w:color w:val="auto"/>
              </w:rPr>
            </w:pPr>
            <w:r>
              <w:rPr>
                <w:rFonts w:ascii="Arial" w:cs="Arial" w:eastAsia="Arial" w:hAnsi="Arial"/>
                <w:sz w:val="18"/>
                <w:szCs w:val="18"/>
                <w:color w:val="auto"/>
              </w:rPr>
              <w:t>3,807,332</w:t>
            </w:r>
          </w:p>
        </w:tc>
      </w:tr>
      <w:tr>
        <w:trPr>
          <w:trHeight w:val="256"/>
        </w:trPr>
        <w:tc>
          <w:tcPr>
            <w:tcW w:w="2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960" w:type="dxa"/>
            <w:vAlign w:val="bottom"/>
          </w:tcPr>
          <w:p>
            <w:pPr>
              <w:spacing w:after="0"/>
              <w:rPr>
                <w:sz w:val="22"/>
                <w:szCs w:val="22"/>
                <w:color w:val="auto"/>
              </w:rPr>
            </w:pPr>
          </w:p>
        </w:tc>
        <w:tc>
          <w:tcPr>
            <w:tcW w:w="2400" w:type="dxa"/>
            <w:vAlign w:val="bottom"/>
          </w:tcPr>
          <w:p>
            <w:pPr>
              <w:ind w:left="920"/>
              <w:spacing w:after="0"/>
              <w:rPr>
                <w:sz w:val="20"/>
                <w:szCs w:val="20"/>
                <w:color w:val="auto"/>
              </w:rPr>
            </w:pPr>
            <w:r>
              <w:rPr>
                <w:rFonts w:ascii="Arial" w:cs="Arial" w:eastAsia="Arial" w:hAnsi="Arial"/>
                <w:sz w:val="18"/>
                <w:szCs w:val="18"/>
                <w:color w:val="auto"/>
              </w:rPr>
              <w:t>Intercompany</w:t>
            </w:r>
          </w:p>
        </w:tc>
        <w:tc>
          <w:tcPr>
            <w:tcW w:w="1540" w:type="dxa"/>
            <w:vAlign w:val="bottom"/>
          </w:tcPr>
          <w:p>
            <w:pPr>
              <w:spacing w:after="0"/>
              <w:rPr>
                <w:sz w:val="22"/>
                <w:szCs w:val="22"/>
                <w:color w:val="auto"/>
              </w:rPr>
            </w:pPr>
          </w:p>
        </w:tc>
      </w:tr>
      <w:tr>
        <w:trPr>
          <w:trHeight w:val="230"/>
        </w:trPr>
        <w:tc>
          <w:tcPr>
            <w:tcW w:w="20" w:type="dxa"/>
            <w:vAlign w:val="bottom"/>
          </w:tcPr>
          <w:p>
            <w:pPr>
              <w:spacing w:after="0"/>
              <w:rPr>
                <w:sz w:val="20"/>
                <w:szCs w:val="20"/>
                <w:color w:val="auto"/>
              </w:rPr>
            </w:pPr>
          </w:p>
        </w:tc>
        <w:tc>
          <w:tcPr>
            <w:tcW w:w="2880" w:type="dxa"/>
            <w:vAlign w:val="bottom"/>
            <w:gridSpan w:val="4"/>
          </w:tcPr>
          <w:p>
            <w:pPr>
              <w:spacing w:after="0"/>
              <w:rPr>
                <w:sz w:val="20"/>
                <w:szCs w:val="20"/>
                <w:color w:val="auto"/>
              </w:rPr>
            </w:pPr>
            <w:r>
              <w:rPr>
                <w:rFonts w:ascii="Arial" w:cs="Arial" w:eastAsia="Arial" w:hAnsi="Arial"/>
                <w:sz w:val="18"/>
                <w:szCs w:val="18"/>
                <w:color w:val="auto"/>
              </w:rPr>
              <w:t>RIA Envia, Inc.</w:t>
            </w:r>
          </w:p>
        </w:tc>
        <w:tc>
          <w:tcPr>
            <w:tcW w:w="3960" w:type="dxa"/>
            <w:vAlign w:val="bottom"/>
          </w:tcPr>
          <w:p>
            <w:pPr>
              <w:ind w:left="80"/>
              <w:spacing w:after="0"/>
              <w:rPr>
                <w:sz w:val="20"/>
                <w:szCs w:val="20"/>
                <w:color w:val="auto"/>
              </w:rPr>
            </w:pPr>
            <w:r>
              <w:rPr>
                <w:rFonts w:ascii="Arial" w:cs="Arial" w:eastAsia="Arial" w:hAnsi="Arial"/>
                <w:sz w:val="18"/>
                <w:szCs w:val="18"/>
                <w:color w:val="auto"/>
              </w:rPr>
              <w:t>RIA France SAS</w:t>
            </w:r>
          </w:p>
        </w:tc>
        <w:tc>
          <w:tcPr>
            <w:tcW w:w="2400" w:type="dxa"/>
            <w:vAlign w:val="bottom"/>
          </w:tcPr>
          <w:p>
            <w:pPr>
              <w:ind w:left="920"/>
              <w:spacing w:after="0"/>
              <w:rPr>
                <w:sz w:val="20"/>
                <w:szCs w:val="20"/>
                <w:color w:val="auto"/>
              </w:rPr>
            </w:pPr>
            <w:r>
              <w:rPr>
                <w:rFonts w:ascii="Arial" w:cs="Arial" w:eastAsia="Arial" w:hAnsi="Arial"/>
                <w:sz w:val="18"/>
                <w:szCs w:val="18"/>
                <w:color w:val="auto"/>
              </w:rPr>
              <w:t>Investment</w:t>
            </w:r>
          </w:p>
        </w:tc>
        <w:tc>
          <w:tcPr>
            <w:tcW w:w="1540" w:type="dxa"/>
            <w:vAlign w:val="bottom"/>
          </w:tcPr>
          <w:p>
            <w:pPr>
              <w:jc w:val="right"/>
              <w:ind w:right="30"/>
              <w:spacing w:after="0"/>
              <w:rPr>
                <w:sz w:val="20"/>
                <w:szCs w:val="20"/>
                <w:color w:val="auto"/>
              </w:rPr>
            </w:pPr>
            <w:r>
              <w:rPr>
                <w:rFonts w:ascii="Arial" w:cs="Arial" w:eastAsia="Arial" w:hAnsi="Arial"/>
                <w:sz w:val="18"/>
                <w:szCs w:val="18"/>
                <w:color w:val="auto"/>
              </w:rPr>
              <w:t>46,964,999</w:t>
            </w:r>
          </w:p>
        </w:tc>
      </w:tr>
      <w:tr>
        <w:trPr>
          <w:trHeight w:val="256"/>
        </w:trPr>
        <w:tc>
          <w:tcPr>
            <w:tcW w:w="2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960" w:type="dxa"/>
            <w:vAlign w:val="bottom"/>
          </w:tcPr>
          <w:p>
            <w:pPr>
              <w:spacing w:after="0"/>
              <w:rPr>
                <w:sz w:val="22"/>
                <w:szCs w:val="22"/>
                <w:color w:val="auto"/>
              </w:rPr>
            </w:pPr>
          </w:p>
        </w:tc>
        <w:tc>
          <w:tcPr>
            <w:tcW w:w="2400" w:type="dxa"/>
            <w:vAlign w:val="bottom"/>
          </w:tcPr>
          <w:p>
            <w:pPr>
              <w:ind w:left="920"/>
              <w:spacing w:after="0"/>
              <w:rPr>
                <w:sz w:val="20"/>
                <w:szCs w:val="20"/>
                <w:color w:val="auto"/>
              </w:rPr>
            </w:pPr>
            <w:r>
              <w:rPr>
                <w:rFonts w:ascii="Arial" w:cs="Arial" w:eastAsia="Arial" w:hAnsi="Arial"/>
                <w:sz w:val="18"/>
                <w:szCs w:val="18"/>
                <w:color w:val="auto"/>
              </w:rPr>
              <w:t>Intercompany</w:t>
            </w:r>
          </w:p>
        </w:tc>
        <w:tc>
          <w:tcPr>
            <w:tcW w:w="1540" w:type="dxa"/>
            <w:vAlign w:val="bottom"/>
          </w:tcPr>
          <w:p>
            <w:pPr>
              <w:spacing w:after="0"/>
              <w:rPr>
                <w:sz w:val="22"/>
                <w:szCs w:val="22"/>
                <w:color w:val="auto"/>
              </w:rPr>
            </w:pPr>
          </w:p>
        </w:tc>
      </w:tr>
      <w:tr>
        <w:trPr>
          <w:trHeight w:val="230"/>
        </w:trPr>
        <w:tc>
          <w:tcPr>
            <w:tcW w:w="20" w:type="dxa"/>
            <w:vAlign w:val="bottom"/>
          </w:tcPr>
          <w:p>
            <w:pPr>
              <w:spacing w:after="0"/>
              <w:rPr>
                <w:sz w:val="20"/>
                <w:szCs w:val="20"/>
                <w:color w:val="auto"/>
              </w:rPr>
            </w:pPr>
          </w:p>
        </w:tc>
        <w:tc>
          <w:tcPr>
            <w:tcW w:w="2880" w:type="dxa"/>
            <w:vAlign w:val="bottom"/>
            <w:gridSpan w:val="4"/>
          </w:tcPr>
          <w:p>
            <w:pPr>
              <w:spacing w:after="0"/>
              <w:rPr>
                <w:sz w:val="20"/>
                <w:szCs w:val="20"/>
                <w:color w:val="auto"/>
              </w:rPr>
            </w:pPr>
            <w:r>
              <w:rPr>
                <w:rFonts w:ascii="Arial" w:cs="Arial" w:eastAsia="Arial" w:hAnsi="Arial"/>
                <w:sz w:val="18"/>
                <w:szCs w:val="18"/>
                <w:color w:val="auto"/>
              </w:rPr>
              <w:t>RIA Envia, Inc.</w:t>
            </w:r>
          </w:p>
        </w:tc>
        <w:tc>
          <w:tcPr>
            <w:tcW w:w="3960" w:type="dxa"/>
            <w:vAlign w:val="bottom"/>
          </w:tcPr>
          <w:p>
            <w:pPr>
              <w:ind w:left="80"/>
              <w:spacing w:after="0"/>
              <w:rPr>
                <w:sz w:val="20"/>
                <w:szCs w:val="20"/>
                <w:color w:val="auto"/>
              </w:rPr>
            </w:pPr>
            <w:r>
              <w:rPr>
                <w:rFonts w:ascii="Arial" w:cs="Arial" w:eastAsia="Arial" w:hAnsi="Arial"/>
                <w:sz w:val="18"/>
                <w:szCs w:val="18"/>
                <w:color w:val="auto"/>
              </w:rPr>
              <w:t>Ria Netherlands Holding B.V.</w:t>
            </w:r>
          </w:p>
        </w:tc>
        <w:tc>
          <w:tcPr>
            <w:tcW w:w="2400" w:type="dxa"/>
            <w:vAlign w:val="bottom"/>
          </w:tcPr>
          <w:p>
            <w:pPr>
              <w:ind w:left="920"/>
              <w:spacing w:after="0"/>
              <w:rPr>
                <w:sz w:val="20"/>
                <w:szCs w:val="20"/>
                <w:color w:val="auto"/>
              </w:rPr>
            </w:pPr>
            <w:r>
              <w:rPr>
                <w:rFonts w:ascii="Arial" w:cs="Arial" w:eastAsia="Arial" w:hAnsi="Arial"/>
                <w:sz w:val="18"/>
                <w:szCs w:val="18"/>
                <w:color w:val="auto"/>
              </w:rPr>
              <w:t>Investment</w:t>
            </w:r>
          </w:p>
        </w:tc>
        <w:tc>
          <w:tcPr>
            <w:tcW w:w="1540" w:type="dxa"/>
            <w:vAlign w:val="bottom"/>
          </w:tcPr>
          <w:p>
            <w:pPr>
              <w:jc w:val="right"/>
              <w:ind w:right="30"/>
              <w:spacing w:after="0"/>
              <w:rPr>
                <w:sz w:val="20"/>
                <w:szCs w:val="20"/>
                <w:color w:val="auto"/>
              </w:rPr>
            </w:pPr>
            <w:r>
              <w:rPr>
                <w:rFonts w:ascii="Arial" w:cs="Arial" w:eastAsia="Arial" w:hAnsi="Arial"/>
                <w:sz w:val="18"/>
                <w:szCs w:val="18"/>
                <w:color w:val="auto"/>
              </w:rPr>
              <w:t>775,742</w:t>
            </w:r>
          </w:p>
        </w:tc>
      </w:tr>
      <w:tr>
        <w:trPr>
          <w:trHeight w:val="256"/>
        </w:trPr>
        <w:tc>
          <w:tcPr>
            <w:tcW w:w="2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960" w:type="dxa"/>
            <w:vAlign w:val="bottom"/>
          </w:tcPr>
          <w:p>
            <w:pPr>
              <w:spacing w:after="0"/>
              <w:rPr>
                <w:sz w:val="22"/>
                <w:szCs w:val="22"/>
                <w:color w:val="auto"/>
              </w:rPr>
            </w:pPr>
          </w:p>
        </w:tc>
        <w:tc>
          <w:tcPr>
            <w:tcW w:w="2400" w:type="dxa"/>
            <w:vAlign w:val="bottom"/>
          </w:tcPr>
          <w:p>
            <w:pPr>
              <w:ind w:left="920"/>
              <w:spacing w:after="0"/>
              <w:rPr>
                <w:sz w:val="20"/>
                <w:szCs w:val="20"/>
                <w:color w:val="auto"/>
              </w:rPr>
            </w:pPr>
            <w:r>
              <w:rPr>
                <w:rFonts w:ascii="Arial" w:cs="Arial" w:eastAsia="Arial" w:hAnsi="Arial"/>
                <w:sz w:val="18"/>
                <w:szCs w:val="18"/>
                <w:color w:val="auto"/>
              </w:rPr>
              <w:t>Intercompany</w:t>
            </w:r>
          </w:p>
        </w:tc>
        <w:tc>
          <w:tcPr>
            <w:tcW w:w="1540" w:type="dxa"/>
            <w:vAlign w:val="bottom"/>
          </w:tcPr>
          <w:p>
            <w:pPr>
              <w:spacing w:after="0"/>
              <w:rPr>
                <w:sz w:val="22"/>
                <w:szCs w:val="22"/>
                <w:color w:val="auto"/>
              </w:rPr>
            </w:pPr>
          </w:p>
        </w:tc>
      </w:tr>
      <w:tr>
        <w:trPr>
          <w:trHeight w:val="230"/>
        </w:trPr>
        <w:tc>
          <w:tcPr>
            <w:tcW w:w="20" w:type="dxa"/>
            <w:vAlign w:val="bottom"/>
          </w:tcPr>
          <w:p>
            <w:pPr>
              <w:spacing w:after="0"/>
              <w:rPr>
                <w:sz w:val="20"/>
                <w:szCs w:val="20"/>
                <w:color w:val="auto"/>
              </w:rPr>
            </w:pPr>
          </w:p>
        </w:tc>
        <w:tc>
          <w:tcPr>
            <w:tcW w:w="2880" w:type="dxa"/>
            <w:vAlign w:val="bottom"/>
            <w:gridSpan w:val="4"/>
          </w:tcPr>
          <w:p>
            <w:pPr>
              <w:spacing w:after="0"/>
              <w:rPr>
                <w:sz w:val="20"/>
                <w:szCs w:val="20"/>
                <w:color w:val="auto"/>
              </w:rPr>
            </w:pPr>
            <w:r>
              <w:rPr>
                <w:rFonts w:ascii="Arial" w:cs="Arial" w:eastAsia="Arial" w:hAnsi="Arial"/>
                <w:sz w:val="18"/>
                <w:szCs w:val="18"/>
                <w:color w:val="auto"/>
              </w:rPr>
              <w:t>RIA Financial Services Ltd.</w:t>
            </w:r>
          </w:p>
        </w:tc>
        <w:tc>
          <w:tcPr>
            <w:tcW w:w="3960" w:type="dxa"/>
            <w:vAlign w:val="bottom"/>
          </w:tcPr>
          <w:p>
            <w:pPr>
              <w:ind w:left="80"/>
              <w:spacing w:after="0"/>
              <w:rPr>
                <w:sz w:val="20"/>
                <w:szCs w:val="20"/>
                <w:color w:val="auto"/>
              </w:rPr>
            </w:pPr>
            <w:r>
              <w:rPr>
                <w:rFonts w:ascii="Arial" w:cs="Arial" w:eastAsia="Arial" w:hAnsi="Arial"/>
                <w:sz w:val="18"/>
                <w:szCs w:val="18"/>
                <w:color w:val="auto"/>
              </w:rPr>
              <w:t>RIA Financial Services Sweden AB</w:t>
            </w:r>
          </w:p>
        </w:tc>
        <w:tc>
          <w:tcPr>
            <w:tcW w:w="2400" w:type="dxa"/>
            <w:vAlign w:val="bottom"/>
          </w:tcPr>
          <w:p>
            <w:pPr>
              <w:ind w:left="920"/>
              <w:spacing w:after="0"/>
              <w:rPr>
                <w:sz w:val="20"/>
                <w:szCs w:val="20"/>
                <w:color w:val="auto"/>
              </w:rPr>
            </w:pPr>
            <w:r>
              <w:rPr>
                <w:rFonts w:ascii="Arial" w:cs="Arial" w:eastAsia="Arial" w:hAnsi="Arial"/>
                <w:sz w:val="18"/>
                <w:szCs w:val="18"/>
                <w:color w:val="auto"/>
              </w:rPr>
              <w:t>Investment</w:t>
            </w:r>
          </w:p>
        </w:tc>
        <w:tc>
          <w:tcPr>
            <w:tcW w:w="1540" w:type="dxa"/>
            <w:vAlign w:val="bottom"/>
          </w:tcPr>
          <w:p>
            <w:pPr>
              <w:jc w:val="right"/>
              <w:ind w:right="30"/>
              <w:spacing w:after="0"/>
              <w:rPr>
                <w:sz w:val="20"/>
                <w:szCs w:val="20"/>
                <w:color w:val="auto"/>
              </w:rPr>
            </w:pPr>
            <w:r>
              <w:rPr>
                <w:rFonts w:ascii="Arial" w:cs="Arial" w:eastAsia="Arial" w:hAnsi="Arial"/>
                <w:sz w:val="18"/>
                <w:szCs w:val="18"/>
                <w:color w:val="auto"/>
              </w:rPr>
              <w:t>243,487</w:t>
            </w:r>
          </w:p>
        </w:tc>
      </w:tr>
      <w:tr>
        <w:trPr>
          <w:trHeight w:val="256"/>
        </w:trPr>
        <w:tc>
          <w:tcPr>
            <w:tcW w:w="2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960" w:type="dxa"/>
            <w:vAlign w:val="bottom"/>
          </w:tcPr>
          <w:p>
            <w:pPr>
              <w:spacing w:after="0"/>
              <w:rPr>
                <w:sz w:val="22"/>
                <w:szCs w:val="22"/>
                <w:color w:val="auto"/>
              </w:rPr>
            </w:pPr>
          </w:p>
        </w:tc>
        <w:tc>
          <w:tcPr>
            <w:tcW w:w="2400" w:type="dxa"/>
            <w:vAlign w:val="bottom"/>
          </w:tcPr>
          <w:p>
            <w:pPr>
              <w:ind w:left="920"/>
              <w:spacing w:after="0"/>
              <w:rPr>
                <w:sz w:val="20"/>
                <w:szCs w:val="20"/>
                <w:color w:val="auto"/>
              </w:rPr>
            </w:pPr>
            <w:r>
              <w:rPr>
                <w:rFonts w:ascii="Arial" w:cs="Arial" w:eastAsia="Arial" w:hAnsi="Arial"/>
                <w:sz w:val="18"/>
                <w:szCs w:val="18"/>
                <w:color w:val="auto"/>
              </w:rPr>
              <w:t>Intercompany</w:t>
            </w:r>
          </w:p>
        </w:tc>
        <w:tc>
          <w:tcPr>
            <w:tcW w:w="1540" w:type="dxa"/>
            <w:vAlign w:val="bottom"/>
          </w:tcPr>
          <w:p>
            <w:pPr>
              <w:spacing w:after="0"/>
              <w:rPr>
                <w:sz w:val="22"/>
                <w:szCs w:val="22"/>
                <w:color w:val="auto"/>
              </w:rPr>
            </w:pPr>
          </w:p>
        </w:tc>
      </w:tr>
      <w:tr>
        <w:trPr>
          <w:trHeight w:val="230"/>
        </w:trPr>
        <w:tc>
          <w:tcPr>
            <w:tcW w:w="20" w:type="dxa"/>
            <w:vAlign w:val="bottom"/>
          </w:tcPr>
          <w:p>
            <w:pPr>
              <w:spacing w:after="0"/>
              <w:rPr>
                <w:sz w:val="20"/>
                <w:szCs w:val="20"/>
                <w:color w:val="auto"/>
              </w:rPr>
            </w:pPr>
          </w:p>
        </w:tc>
        <w:tc>
          <w:tcPr>
            <w:tcW w:w="2880" w:type="dxa"/>
            <w:vAlign w:val="bottom"/>
            <w:gridSpan w:val="4"/>
          </w:tcPr>
          <w:p>
            <w:pPr>
              <w:spacing w:after="0"/>
              <w:rPr>
                <w:sz w:val="20"/>
                <w:szCs w:val="20"/>
                <w:color w:val="auto"/>
              </w:rPr>
            </w:pPr>
            <w:r>
              <w:rPr>
                <w:rFonts w:ascii="Arial" w:cs="Arial" w:eastAsia="Arial" w:hAnsi="Arial"/>
                <w:sz w:val="18"/>
                <w:szCs w:val="18"/>
                <w:color w:val="auto"/>
              </w:rPr>
              <w:t>Ria Netherlands Holding B.V.</w:t>
            </w:r>
          </w:p>
        </w:tc>
        <w:tc>
          <w:tcPr>
            <w:tcW w:w="3960" w:type="dxa"/>
            <w:vAlign w:val="bottom"/>
          </w:tcPr>
          <w:p>
            <w:pPr>
              <w:ind w:left="80"/>
              <w:spacing w:after="0"/>
              <w:rPr>
                <w:sz w:val="20"/>
                <w:szCs w:val="20"/>
                <w:color w:val="auto"/>
              </w:rPr>
            </w:pPr>
            <w:r>
              <w:rPr>
                <w:rFonts w:ascii="Arial" w:cs="Arial" w:eastAsia="Arial" w:hAnsi="Arial"/>
                <w:sz w:val="18"/>
                <w:szCs w:val="18"/>
                <w:color w:val="auto"/>
              </w:rPr>
              <w:t>Ria Financial Services Netherlands B.V.</w:t>
            </w:r>
          </w:p>
        </w:tc>
        <w:tc>
          <w:tcPr>
            <w:tcW w:w="2400" w:type="dxa"/>
            <w:vAlign w:val="bottom"/>
          </w:tcPr>
          <w:p>
            <w:pPr>
              <w:ind w:left="920"/>
              <w:spacing w:after="0"/>
              <w:rPr>
                <w:sz w:val="20"/>
                <w:szCs w:val="20"/>
                <w:color w:val="auto"/>
              </w:rPr>
            </w:pPr>
            <w:r>
              <w:rPr>
                <w:rFonts w:ascii="Arial" w:cs="Arial" w:eastAsia="Arial" w:hAnsi="Arial"/>
                <w:sz w:val="18"/>
                <w:szCs w:val="18"/>
                <w:color w:val="auto"/>
              </w:rPr>
              <w:t>Investment</w:t>
            </w:r>
          </w:p>
        </w:tc>
        <w:tc>
          <w:tcPr>
            <w:tcW w:w="1540" w:type="dxa"/>
            <w:vAlign w:val="bottom"/>
          </w:tcPr>
          <w:p>
            <w:pPr>
              <w:jc w:val="right"/>
              <w:ind w:right="30"/>
              <w:spacing w:after="0"/>
              <w:rPr>
                <w:sz w:val="20"/>
                <w:szCs w:val="20"/>
                <w:color w:val="auto"/>
              </w:rPr>
            </w:pPr>
            <w:r>
              <w:rPr>
                <w:rFonts w:ascii="Arial" w:cs="Arial" w:eastAsia="Arial" w:hAnsi="Arial"/>
                <w:sz w:val="18"/>
                <w:szCs w:val="18"/>
                <w:color w:val="auto"/>
              </w:rPr>
              <w:t>23,832</w:t>
            </w:r>
          </w:p>
        </w:tc>
      </w:tr>
      <w:tr>
        <w:trPr>
          <w:trHeight w:val="256"/>
        </w:trPr>
        <w:tc>
          <w:tcPr>
            <w:tcW w:w="2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960" w:type="dxa"/>
            <w:vAlign w:val="bottom"/>
          </w:tcPr>
          <w:p>
            <w:pPr>
              <w:spacing w:after="0"/>
              <w:rPr>
                <w:sz w:val="22"/>
                <w:szCs w:val="22"/>
                <w:color w:val="auto"/>
              </w:rPr>
            </w:pPr>
          </w:p>
        </w:tc>
        <w:tc>
          <w:tcPr>
            <w:tcW w:w="2400" w:type="dxa"/>
            <w:vAlign w:val="bottom"/>
          </w:tcPr>
          <w:p>
            <w:pPr>
              <w:ind w:left="920"/>
              <w:spacing w:after="0"/>
              <w:rPr>
                <w:sz w:val="20"/>
                <w:szCs w:val="20"/>
                <w:color w:val="auto"/>
              </w:rPr>
            </w:pPr>
            <w:r>
              <w:rPr>
                <w:rFonts w:ascii="Arial" w:cs="Arial" w:eastAsia="Arial" w:hAnsi="Arial"/>
                <w:sz w:val="18"/>
                <w:szCs w:val="18"/>
                <w:color w:val="auto"/>
              </w:rPr>
              <w:t>Intercompany</w:t>
            </w:r>
          </w:p>
        </w:tc>
        <w:tc>
          <w:tcPr>
            <w:tcW w:w="1540" w:type="dxa"/>
            <w:vAlign w:val="bottom"/>
          </w:tcPr>
          <w:p>
            <w:pPr>
              <w:spacing w:after="0"/>
              <w:rPr>
                <w:sz w:val="22"/>
                <w:szCs w:val="22"/>
                <w:color w:val="auto"/>
              </w:rPr>
            </w:pPr>
          </w:p>
        </w:tc>
      </w:tr>
      <w:tr>
        <w:trPr>
          <w:trHeight w:val="230"/>
        </w:trPr>
        <w:tc>
          <w:tcPr>
            <w:tcW w:w="20" w:type="dxa"/>
            <w:vAlign w:val="bottom"/>
          </w:tcPr>
          <w:p>
            <w:pPr>
              <w:spacing w:after="0"/>
              <w:rPr>
                <w:sz w:val="20"/>
                <w:szCs w:val="20"/>
                <w:color w:val="auto"/>
              </w:rPr>
            </w:pPr>
          </w:p>
        </w:tc>
        <w:tc>
          <w:tcPr>
            <w:tcW w:w="2880" w:type="dxa"/>
            <w:vAlign w:val="bottom"/>
            <w:gridSpan w:val="4"/>
          </w:tcPr>
          <w:p>
            <w:pPr>
              <w:spacing w:after="0"/>
              <w:rPr>
                <w:sz w:val="20"/>
                <w:szCs w:val="20"/>
                <w:color w:val="auto"/>
              </w:rPr>
            </w:pPr>
            <w:r>
              <w:rPr>
                <w:rFonts w:ascii="Arial" w:cs="Arial" w:eastAsia="Arial" w:hAnsi="Arial"/>
                <w:sz w:val="18"/>
                <w:szCs w:val="18"/>
                <w:color w:val="auto"/>
              </w:rPr>
              <w:t>Ria Netherlands Holding B.V.</w:t>
            </w:r>
          </w:p>
        </w:tc>
        <w:tc>
          <w:tcPr>
            <w:tcW w:w="3960" w:type="dxa"/>
            <w:vAlign w:val="bottom"/>
          </w:tcPr>
          <w:p>
            <w:pPr>
              <w:ind w:left="80"/>
              <w:spacing w:after="0"/>
              <w:rPr>
                <w:sz w:val="20"/>
                <w:szCs w:val="20"/>
                <w:color w:val="auto"/>
              </w:rPr>
            </w:pPr>
            <w:r>
              <w:rPr>
                <w:rFonts w:ascii="Arial" w:cs="Arial" w:eastAsia="Arial" w:hAnsi="Arial"/>
                <w:sz w:val="18"/>
                <w:szCs w:val="18"/>
                <w:color w:val="auto"/>
              </w:rPr>
              <w:t>Ria Financial Services Norway AS</w:t>
            </w:r>
          </w:p>
        </w:tc>
        <w:tc>
          <w:tcPr>
            <w:tcW w:w="2400" w:type="dxa"/>
            <w:vAlign w:val="bottom"/>
          </w:tcPr>
          <w:p>
            <w:pPr>
              <w:ind w:left="920"/>
              <w:spacing w:after="0"/>
              <w:rPr>
                <w:sz w:val="20"/>
                <w:szCs w:val="20"/>
                <w:color w:val="auto"/>
              </w:rPr>
            </w:pPr>
            <w:r>
              <w:rPr>
                <w:rFonts w:ascii="Arial" w:cs="Arial" w:eastAsia="Arial" w:hAnsi="Arial"/>
                <w:sz w:val="18"/>
                <w:szCs w:val="18"/>
                <w:color w:val="auto"/>
              </w:rPr>
              <w:t>Investment</w:t>
            </w:r>
          </w:p>
        </w:tc>
        <w:tc>
          <w:tcPr>
            <w:tcW w:w="1540" w:type="dxa"/>
            <w:vAlign w:val="bottom"/>
          </w:tcPr>
          <w:p>
            <w:pPr>
              <w:jc w:val="right"/>
              <w:ind w:right="30"/>
              <w:spacing w:after="0"/>
              <w:rPr>
                <w:sz w:val="20"/>
                <w:szCs w:val="20"/>
                <w:color w:val="auto"/>
              </w:rPr>
            </w:pPr>
            <w:r>
              <w:rPr>
                <w:rFonts w:ascii="Arial" w:cs="Arial" w:eastAsia="Arial" w:hAnsi="Arial"/>
                <w:sz w:val="18"/>
                <w:szCs w:val="18"/>
                <w:color w:val="auto"/>
              </w:rPr>
              <w:t>1,062,108</w:t>
            </w:r>
          </w:p>
        </w:tc>
      </w:tr>
      <w:tr>
        <w:trPr>
          <w:trHeight w:val="256"/>
        </w:trPr>
        <w:tc>
          <w:tcPr>
            <w:tcW w:w="2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960" w:type="dxa"/>
            <w:vAlign w:val="bottom"/>
          </w:tcPr>
          <w:p>
            <w:pPr>
              <w:spacing w:after="0"/>
              <w:rPr>
                <w:sz w:val="22"/>
                <w:szCs w:val="22"/>
                <w:color w:val="auto"/>
              </w:rPr>
            </w:pPr>
          </w:p>
        </w:tc>
        <w:tc>
          <w:tcPr>
            <w:tcW w:w="2400" w:type="dxa"/>
            <w:vAlign w:val="bottom"/>
          </w:tcPr>
          <w:p>
            <w:pPr>
              <w:ind w:left="920"/>
              <w:spacing w:after="0"/>
              <w:rPr>
                <w:sz w:val="20"/>
                <w:szCs w:val="20"/>
                <w:color w:val="auto"/>
              </w:rPr>
            </w:pPr>
            <w:r>
              <w:rPr>
                <w:rFonts w:ascii="Arial" w:cs="Arial" w:eastAsia="Arial" w:hAnsi="Arial"/>
                <w:sz w:val="18"/>
                <w:szCs w:val="18"/>
                <w:color w:val="auto"/>
              </w:rPr>
              <w:t>Intercompany</w:t>
            </w:r>
          </w:p>
        </w:tc>
        <w:tc>
          <w:tcPr>
            <w:tcW w:w="1540" w:type="dxa"/>
            <w:vAlign w:val="bottom"/>
          </w:tcPr>
          <w:p>
            <w:pPr>
              <w:spacing w:after="0"/>
              <w:rPr>
                <w:sz w:val="22"/>
                <w:szCs w:val="22"/>
                <w:color w:val="auto"/>
              </w:rPr>
            </w:pPr>
          </w:p>
        </w:tc>
      </w:tr>
      <w:tr>
        <w:trPr>
          <w:trHeight w:val="230"/>
        </w:trPr>
        <w:tc>
          <w:tcPr>
            <w:tcW w:w="20" w:type="dxa"/>
            <w:vAlign w:val="bottom"/>
          </w:tcPr>
          <w:p>
            <w:pPr>
              <w:spacing w:after="0"/>
              <w:rPr>
                <w:sz w:val="20"/>
                <w:szCs w:val="20"/>
                <w:color w:val="auto"/>
              </w:rPr>
            </w:pPr>
          </w:p>
        </w:tc>
        <w:tc>
          <w:tcPr>
            <w:tcW w:w="2880" w:type="dxa"/>
            <w:vAlign w:val="bottom"/>
            <w:gridSpan w:val="4"/>
          </w:tcPr>
          <w:p>
            <w:pPr>
              <w:spacing w:after="0"/>
              <w:rPr>
                <w:sz w:val="20"/>
                <w:szCs w:val="20"/>
                <w:color w:val="auto"/>
              </w:rPr>
            </w:pPr>
            <w:r>
              <w:rPr>
                <w:rFonts w:ascii="Arial" w:cs="Arial" w:eastAsia="Arial" w:hAnsi="Arial"/>
                <w:sz w:val="18"/>
                <w:szCs w:val="18"/>
                <w:color w:val="auto"/>
              </w:rPr>
              <w:t>Ria Netherlands Holding B.V.</w:t>
            </w:r>
          </w:p>
        </w:tc>
        <w:tc>
          <w:tcPr>
            <w:tcW w:w="3960" w:type="dxa"/>
            <w:vAlign w:val="bottom"/>
          </w:tcPr>
          <w:p>
            <w:pPr>
              <w:ind w:left="80"/>
              <w:spacing w:after="0"/>
              <w:rPr>
                <w:sz w:val="20"/>
                <w:szCs w:val="20"/>
                <w:color w:val="auto"/>
              </w:rPr>
            </w:pPr>
            <w:r>
              <w:rPr>
                <w:rFonts w:ascii="Arial" w:cs="Arial" w:eastAsia="Arial" w:hAnsi="Arial"/>
                <w:sz w:val="18"/>
                <w:szCs w:val="18"/>
                <w:color w:val="auto"/>
              </w:rPr>
              <w:t>Ria Financial Services, Denmark ApS</w:t>
            </w:r>
          </w:p>
        </w:tc>
        <w:tc>
          <w:tcPr>
            <w:tcW w:w="2400" w:type="dxa"/>
            <w:vAlign w:val="bottom"/>
          </w:tcPr>
          <w:p>
            <w:pPr>
              <w:ind w:left="920"/>
              <w:spacing w:after="0"/>
              <w:rPr>
                <w:sz w:val="20"/>
                <w:szCs w:val="20"/>
                <w:color w:val="auto"/>
              </w:rPr>
            </w:pPr>
            <w:r>
              <w:rPr>
                <w:rFonts w:ascii="Arial" w:cs="Arial" w:eastAsia="Arial" w:hAnsi="Arial"/>
                <w:sz w:val="18"/>
                <w:szCs w:val="18"/>
                <w:color w:val="auto"/>
              </w:rPr>
              <w:t>Investment</w:t>
            </w:r>
          </w:p>
        </w:tc>
        <w:tc>
          <w:tcPr>
            <w:tcW w:w="1540" w:type="dxa"/>
            <w:vAlign w:val="bottom"/>
          </w:tcPr>
          <w:p>
            <w:pPr>
              <w:jc w:val="right"/>
              <w:ind w:right="30"/>
              <w:spacing w:after="0"/>
              <w:rPr>
                <w:sz w:val="20"/>
                <w:szCs w:val="20"/>
                <w:color w:val="auto"/>
              </w:rPr>
            </w:pPr>
            <w:r>
              <w:rPr>
                <w:rFonts w:ascii="Arial" w:cs="Arial" w:eastAsia="Arial" w:hAnsi="Arial"/>
                <w:sz w:val="18"/>
                <w:szCs w:val="18"/>
                <w:color w:val="auto"/>
              </w:rPr>
              <w:t>235,861</w:t>
            </w:r>
          </w:p>
        </w:tc>
      </w:tr>
      <w:tr>
        <w:trPr>
          <w:trHeight w:val="256"/>
        </w:trPr>
        <w:tc>
          <w:tcPr>
            <w:tcW w:w="2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960" w:type="dxa"/>
            <w:vAlign w:val="bottom"/>
          </w:tcPr>
          <w:p>
            <w:pPr>
              <w:spacing w:after="0"/>
              <w:rPr>
                <w:sz w:val="22"/>
                <w:szCs w:val="22"/>
                <w:color w:val="auto"/>
              </w:rPr>
            </w:pPr>
          </w:p>
        </w:tc>
        <w:tc>
          <w:tcPr>
            <w:tcW w:w="2400" w:type="dxa"/>
            <w:vAlign w:val="bottom"/>
          </w:tcPr>
          <w:p>
            <w:pPr>
              <w:ind w:left="920"/>
              <w:spacing w:after="0"/>
              <w:rPr>
                <w:sz w:val="20"/>
                <w:szCs w:val="20"/>
                <w:color w:val="auto"/>
              </w:rPr>
            </w:pPr>
            <w:r>
              <w:rPr>
                <w:rFonts w:ascii="Arial" w:cs="Arial" w:eastAsia="Arial" w:hAnsi="Arial"/>
                <w:sz w:val="18"/>
                <w:szCs w:val="18"/>
                <w:color w:val="auto"/>
              </w:rPr>
              <w:t>Intercompany</w:t>
            </w:r>
          </w:p>
        </w:tc>
        <w:tc>
          <w:tcPr>
            <w:tcW w:w="1540" w:type="dxa"/>
            <w:vAlign w:val="bottom"/>
          </w:tcPr>
          <w:p>
            <w:pPr>
              <w:spacing w:after="0"/>
              <w:rPr>
                <w:sz w:val="22"/>
                <w:szCs w:val="22"/>
                <w:color w:val="auto"/>
              </w:rPr>
            </w:pPr>
          </w:p>
        </w:tc>
      </w:tr>
      <w:tr>
        <w:trPr>
          <w:trHeight w:val="230"/>
        </w:trPr>
        <w:tc>
          <w:tcPr>
            <w:tcW w:w="20" w:type="dxa"/>
            <w:vAlign w:val="bottom"/>
          </w:tcPr>
          <w:p>
            <w:pPr>
              <w:spacing w:after="0"/>
              <w:rPr>
                <w:sz w:val="20"/>
                <w:szCs w:val="20"/>
                <w:color w:val="auto"/>
              </w:rPr>
            </w:pPr>
          </w:p>
        </w:tc>
        <w:tc>
          <w:tcPr>
            <w:tcW w:w="2880" w:type="dxa"/>
            <w:vAlign w:val="bottom"/>
            <w:gridSpan w:val="4"/>
          </w:tcPr>
          <w:p>
            <w:pPr>
              <w:spacing w:after="0"/>
              <w:rPr>
                <w:sz w:val="20"/>
                <w:szCs w:val="20"/>
                <w:color w:val="auto"/>
              </w:rPr>
            </w:pPr>
            <w:r>
              <w:rPr>
                <w:rFonts w:ascii="Arial" w:cs="Arial" w:eastAsia="Arial" w:hAnsi="Arial"/>
                <w:sz w:val="18"/>
                <w:szCs w:val="18"/>
                <w:color w:val="auto"/>
              </w:rPr>
              <w:t>RIA Spain Holdings S.L.U.</w:t>
            </w:r>
          </w:p>
        </w:tc>
        <w:tc>
          <w:tcPr>
            <w:tcW w:w="3960" w:type="dxa"/>
            <w:vAlign w:val="bottom"/>
          </w:tcPr>
          <w:p>
            <w:pPr>
              <w:ind w:left="80"/>
              <w:spacing w:after="0"/>
              <w:rPr>
                <w:sz w:val="20"/>
                <w:szCs w:val="20"/>
                <w:color w:val="auto"/>
              </w:rPr>
            </w:pPr>
            <w:r>
              <w:rPr>
                <w:rFonts w:ascii="Arial" w:cs="Arial" w:eastAsia="Arial" w:hAnsi="Arial"/>
                <w:sz w:val="18"/>
                <w:szCs w:val="18"/>
                <w:color w:val="auto"/>
              </w:rPr>
              <w:t>RIA Payment Institution EP, S.A.U.</w:t>
            </w:r>
          </w:p>
        </w:tc>
        <w:tc>
          <w:tcPr>
            <w:tcW w:w="2400" w:type="dxa"/>
            <w:vAlign w:val="bottom"/>
          </w:tcPr>
          <w:p>
            <w:pPr>
              <w:ind w:left="920"/>
              <w:spacing w:after="0"/>
              <w:rPr>
                <w:sz w:val="20"/>
                <w:szCs w:val="20"/>
                <w:color w:val="auto"/>
              </w:rPr>
            </w:pPr>
            <w:r>
              <w:rPr>
                <w:rFonts w:ascii="Arial" w:cs="Arial" w:eastAsia="Arial" w:hAnsi="Arial"/>
                <w:sz w:val="18"/>
                <w:szCs w:val="18"/>
                <w:color w:val="auto"/>
              </w:rPr>
              <w:t>Investment</w:t>
            </w:r>
          </w:p>
        </w:tc>
        <w:tc>
          <w:tcPr>
            <w:tcW w:w="1540" w:type="dxa"/>
            <w:vAlign w:val="bottom"/>
          </w:tcPr>
          <w:p>
            <w:pPr>
              <w:jc w:val="right"/>
              <w:ind w:right="30"/>
              <w:spacing w:after="0"/>
              <w:rPr>
                <w:sz w:val="20"/>
                <w:szCs w:val="20"/>
                <w:color w:val="auto"/>
              </w:rPr>
            </w:pPr>
            <w:r>
              <w:rPr>
                <w:rFonts w:ascii="Arial" w:cs="Arial" w:eastAsia="Arial" w:hAnsi="Arial"/>
                <w:sz w:val="18"/>
                <w:szCs w:val="18"/>
                <w:color w:val="auto"/>
              </w:rPr>
              <w:t>98,033,000</w:t>
            </w:r>
          </w:p>
        </w:tc>
      </w:tr>
      <w:tr>
        <w:trPr>
          <w:trHeight w:val="256"/>
        </w:trPr>
        <w:tc>
          <w:tcPr>
            <w:tcW w:w="20" w:type="dxa"/>
            <w:vAlign w:val="bottom"/>
          </w:tcPr>
          <w:p>
            <w:pPr>
              <w:spacing w:after="0"/>
              <w:rPr>
                <w:sz w:val="22"/>
                <w:szCs w:val="22"/>
                <w:color w:val="auto"/>
              </w:rPr>
            </w:pPr>
          </w:p>
        </w:tc>
        <w:tc>
          <w:tcPr>
            <w:tcW w:w="2880" w:type="dxa"/>
            <w:vAlign w:val="bottom"/>
            <w:gridSpan w:val="4"/>
          </w:tcPr>
          <w:p>
            <w:pPr>
              <w:spacing w:after="0"/>
              <w:rPr>
                <w:sz w:val="20"/>
                <w:szCs w:val="20"/>
                <w:color w:val="auto"/>
              </w:rPr>
            </w:pPr>
            <w:r>
              <w:rPr>
                <w:rFonts w:ascii="Arial" w:cs="Arial" w:eastAsia="Arial" w:hAnsi="Arial"/>
                <w:sz w:val="18"/>
                <w:szCs w:val="18"/>
                <w:color w:val="auto"/>
                <w:w w:val="99"/>
              </w:rPr>
              <w:t>RIA Telecommunications of Canada</w:t>
            </w:r>
          </w:p>
        </w:tc>
        <w:tc>
          <w:tcPr>
            <w:tcW w:w="3960" w:type="dxa"/>
            <w:vAlign w:val="bottom"/>
          </w:tcPr>
          <w:p>
            <w:pPr>
              <w:spacing w:after="0"/>
              <w:rPr>
                <w:sz w:val="22"/>
                <w:szCs w:val="22"/>
                <w:color w:val="auto"/>
              </w:rPr>
            </w:pPr>
          </w:p>
        </w:tc>
        <w:tc>
          <w:tcPr>
            <w:tcW w:w="2400" w:type="dxa"/>
            <w:vAlign w:val="bottom"/>
          </w:tcPr>
          <w:p>
            <w:pPr>
              <w:ind w:left="920"/>
              <w:spacing w:after="0"/>
              <w:rPr>
                <w:sz w:val="20"/>
                <w:szCs w:val="20"/>
                <w:color w:val="auto"/>
              </w:rPr>
            </w:pPr>
            <w:r>
              <w:rPr>
                <w:rFonts w:ascii="Arial" w:cs="Arial" w:eastAsia="Arial" w:hAnsi="Arial"/>
                <w:sz w:val="18"/>
                <w:szCs w:val="18"/>
                <w:color w:val="auto"/>
              </w:rPr>
              <w:t>Intercompany</w:t>
            </w:r>
          </w:p>
        </w:tc>
        <w:tc>
          <w:tcPr>
            <w:tcW w:w="1540" w:type="dxa"/>
            <w:vAlign w:val="bottom"/>
          </w:tcPr>
          <w:p>
            <w:pPr>
              <w:spacing w:after="0"/>
              <w:rPr>
                <w:sz w:val="22"/>
                <w:szCs w:val="22"/>
                <w:color w:val="auto"/>
              </w:rPr>
            </w:pPr>
          </w:p>
        </w:tc>
      </w:tr>
      <w:tr>
        <w:trPr>
          <w:trHeight w:val="230"/>
        </w:trPr>
        <w:tc>
          <w:tcPr>
            <w:tcW w:w="20" w:type="dxa"/>
            <w:vAlign w:val="bottom"/>
          </w:tcPr>
          <w:p>
            <w:pPr>
              <w:spacing w:after="0"/>
              <w:rPr>
                <w:sz w:val="20"/>
                <w:szCs w:val="20"/>
                <w:color w:val="auto"/>
              </w:rPr>
            </w:pPr>
          </w:p>
        </w:tc>
        <w:tc>
          <w:tcPr>
            <w:tcW w:w="2880" w:type="dxa"/>
            <w:vAlign w:val="bottom"/>
            <w:gridSpan w:val="4"/>
          </w:tcPr>
          <w:p>
            <w:pPr>
              <w:spacing w:after="0"/>
              <w:rPr>
                <w:sz w:val="20"/>
                <w:szCs w:val="20"/>
                <w:color w:val="auto"/>
              </w:rPr>
            </w:pPr>
            <w:r>
              <w:rPr>
                <w:rFonts w:ascii="Arial" w:cs="Arial" w:eastAsia="Arial" w:hAnsi="Arial"/>
                <w:sz w:val="18"/>
                <w:szCs w:val="18"/>
                <w:color w:val="auto"/>
              </w:rPr>
              <w:t>Inc.</w:t>
            </w:r>
          </w:p>
        </w:tc>
        <w:tc>
          <w:tcPr>
            <w:tcW w:w="3960" w:type="dxa"/>
            <w:vAlign w:val="bottom"/>
          </w:tcPr>
          <w:p>
            <w:pPr>
              <w:ind w:left="80"/>
              <w:spacing w:after="0"/>
              <w:rPr>
                <w:sz w:val="20"/>
                <w:szCs w:val="20"/>
                <w:color w:val="auto"/>
              </w:rPr>
            </w:pPr>
            <w:r>
              <w:rPr>
                <w:rFonts w:ascii="Arial" w:cs="Arial" w:eastAsia="Arial" w:hAnsi="Arial"/>
                <w:sz w:val="18"/>
                <w:szCs w:val="18"/>
                <w:color w:val="auto"/>
              </w:rPr>
              <w:t>Gescoro Inc.</w:t>
            </w:r>
          </w:p>
        </w:tc>
        <w:tc>
          <w:tcPr>
            <w:tcW w:w="2400" w:type="dxa"/>
            <w:vAlign w:val="bottom"/>
          </w:tcPr>
          <w:p>
            <w:pPr>
              <w:ind w:left="920"/>
              <w:spacing w:after="0"/>
              <w:rPr>
                <w:sz w:val="20"/>
                <w:szCs w:val="20"/>
                <w:color w:val="auto"/>
              </w:rPr>
            </w:pPr>
            <w:r>
              <w:rPr>
                <w:rFonts w:ascii="Arial" w:cs="Arial" w:eastAsia="Arial" w:hAnsi="Arial"/>
                <w:sz w:val="18"/>
                <w:szCs w:val="18"/>
                <w:color w:val="auto"/>
              </w:rPr>
              <w:t>Investment</w:t>
            </w:r>
          </w:p>
        </w:tc>
        <w:tc>
          <w:tcPr>
            <w:tcW w:w="1540" w:type="dxa"/>
            <w:vAlign w:val="bottom"/>
          </w:tcPr>
          <w:p>
            <w:pPr>
              <w:jc w:val="right"/>
              <w:ind w:right="30"/>
              <w:spacing w:after="0"/>
              <w:rPr>
                <w:sz w:val="20"/>
                <w:szCs w:val="20"/>
                <w:color w:val="auto"/>
              </w:rPr>
            </w:pPr>
            <w:r>
              <w:rPr>
                <w:rFonts w:ascii="Arial" w:cs="Arial" w:eastAsia="Arial" w:hAnsi="Arial"/>
                <w:sz w:val="18"/>
                <w:szCs w:val="18"/>
                <w:color w:val="auto"/>
              </w:rPr>
              <w:t>10,031,938</w:t>
            </w:r>
          </w:p>
        </w:tc>
      </w:tr>
      <w:tr>
        <w:trPr>
          <w:trHeight w:val="256"/>
        </w:trPr>
        <w:tc>
          <w:tcPr>
            <w:tcW w:w="2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960" w:type="dxa"/>
            <w:vAlign w:val="bottom"/>
          </w:tcPr>
          <w:p>
            <w:pPr>
              <w:spacing w:after="0"/>
              <w:rPr>
                <w:sz w:val="22"/>
                <w:szCs w:val="22"/>
                <w:color w:val="auto"/>
              </w:rPr>
            </w:pPr>
          </w:p>
        </w:tc>
        <w:tc>
          <w:tcPr>
            <w:tcW w:w="2400" w:type="dxa"/>
            <w:vAlign w:val="bottom"/>
          </w:tcPr>
          <w:p>
            <w:pPr>
              <w:ind w:left="920"/>
              <w:spacing w:after="0"/>
              <w:rPr>
                <w:sz w:val="20"/>
                <w:szCs w:val="20"/>
                <w:color w:val="auto"/>
              </w:rPr>
            </w:pPr>
            <w:r>
              <w:rPr>
                <w:rFonts w:ascii="Arial" w:cs="Arial" w:eastAsia="Arial" w:hAnsi="Arial"/>
                <w:sz w:val="18"/>
                <w:szCs w:val="18"/>
                <w:color w:val="auto"/>
              </w:rPr>
              <w:t>Intercompany</w:t>
            </w:r>
          </w:p>
        </w:tc>
        <w:tc>
          <w:tcPr>
            <w:tcW w:w="1540" w:type="dxa"/>
            <w:vAlign w:val="bottom"/>
          </w:tcPr>
          <w:p>
            <w:pPr>
              <w:spacing w:after="0"/>
              <w:rPr>
                <w:sz w:val="22"/>
                <w:szCs w:val="22"/>
                <w:color w:val="auto"/>
              </w:rPr>
            </w:pPr>
          </w:p>
        </w:tc>
      </w:tr>
      <w:tr>
        <w:trPr>
          <w:trHeight w:val="230"/>
        </w:trPr>
        <w:tc>
          <w:tcPr>
            <w:tcW w:w="20" w:type="dxa"/>
            <w:vAlign w:val="bottom"/>
          </w:tcPr>
          <w:p>
            <w:pPr>
              <w:spacing w:after="0"/>
              <w:rPr>
                <w:sz w:val="20"/>
                <w:szCs w:val="20"/>
                <w:color w:val="auto"/>
              </w:rPr>
            </w:pPr>
          </w:p>
        </w:tc>
        <w:tc>
          <w:tcPr>
            <w:tcW w:w="2880" w:type="dxa"/>
            <w:vAlign w:val="bottom"/>
            <w:gridSpan w:val="4"/>
          </w:tcPr>
          <w:p>
            <w:pPr>
              <w:spacing w:after="0"/>
              <w:rPr>
                <w:sz w:val="20"/>
                <w:szCs w:val="20"/>
                <w:color w:val="auto"/>
              </w:rPr>
            </w:pPr>
            <w:r>
              <w:rPr>
                <w:rFonts w:ascii="Arial" w:cs="Arial" w:eastAsia="Arial" w:hAnsi="Arial"/>
                <w:sz w:val="18"/>
                <w:szCs w:val="18"/>
                <w:color w:val="auto"/>
              </w:rPr>
              <w:t>Telecomnet LLC</w:t>
            </w:r>
          </w:p>
        </w:tc>
        <w:tc>
          <w:tcPr>
            <w:tcW w:w="3960" w:type="dxa"/>
            <w:vAlign w:val="bottom"/>
          </w:tcPr>
          <w:p>
            <w:pPr>
              <w:ind w:left="80"/>
              <w:spacing w:after="0"/>
              <w:rPr>
                <w:sz w:val="20"/>
                <w:szCs w:val="20"/>
                <w:color w:val="auto"/>
              </w:rPr>
            </w:pPr>
            <w:r>
              <w:rPr>
                <w:rFonts w:ascii="Arial" w:cs="Arial" w:eastAsia="Arial" w:hAnsi="Arial"/>
                <w:sz w:val="18"/>
                <w:szCs w:val="18"/>
                <w:color w:val="auto"/>
              </w:rPr>
              <w:t>Telecom Net S.A. Logistica Digital</w:t>
            </w:r>
          </w:p>
        </w:tc>
        <w:tc>
          <w:tcPr>
            <w:tcW w:w="2400" w:type="dxa"/>
            <w:vAlign w:val="bottom"/>
          </w:tcPr>
          <w:p>
            <w:pPr>
              <w:ind w:left="920"/>
              <w:spacing w:after="0"/>
              <w:rPr>
                <w:sz w:val="20"/>
                <w:szCs w:val="20"/>
                <w:color w:val="auto"/>
              </w:rPr>
            </w:pPr>
            <w:r>
              <w:rPr>
                <w:rFonts w:ascii="Arial" w:cs="Arial" w:eastAsia="Arial" w:hAnsi="Arial"/>
                <w:sz w:val="18"/>
                <w:szCs w:val="18"/>
                <w:color w:val="auto"/>
              </w:rPr>
              <w:t>Investment</w:t>
            </w:r>
          </w:p>
        </w:tc>
        <w:tc>
          <w:tcPr>
            <w:tcW w:w="1540" w:type="dxa"/>
            <w:vAlign w:val="bottom"/>
          </w:tcPr>
          <w:p>
            <w:pPr>
              <w:jc w:val="right"/>
              <w:ind w:right="30"/>
              <w:spacing w:after="0"/>
              <w:rPr>
                <w:sz w:val="20"/>
                <w:szCs w:val="20"/>
                <w:color w:val="auto"/>
              </w:rPr>
            </w:pPr>
            <w:r>
              <w:rPr>
                <w:rFonts w:ascii="Arial" w:cs="Arial" w:eastAsia="Arial" w:hAnsi="Arial"/>
                <w:sz w:val="18"/>
                <w:szCs w:val="18"/>
                <w:color w:val="auto"/>
              </w:rPr>
              <w:t>13,657,402</w:t>
            </w:r>
          </w:p>
        </w:tc>
      </w:tr>
      <w:tr>
        <w:trPr>
          <w:trHeight w:val="27"/>
        </w:trPr>
        <w:tc>
          <w:tcPr>
            <w:tcW w:w="20" w:type="dxa"/>
            <w:vAlign w:val="bottom"/>
            <w:tcBorders>
              <w:bottom w:val="single" w:sz="8" w:color="C0C0C0"/>
            </w:tcBorders>
          </w:tcPr>
          <w:p>
            <w:pPr>
              <w:spacing w:after="0"/>
              <w:rPr>
                <w:sz w:val="2"/>
                <w:szCs w:val="2"/>
                <w:color w:val="auto"/>
              </w:rPr>
            </w:pPr>
          </w:p>
        </w:tc>
        <w:tc>
          <w:tcPr>
            <w:tcW w:w="520" w:type="dxa"/>
            <w:vAlign w:val="bottom"/>
            <w:tcBorders>
              <w:bottom w:val="single" w:sz="8" w:color="C0C0C0"/>
            </w:tcBorders>
          </w:tcPr>
          <w:p>
            <w:pPr>
              <w:spacing w:after="0"/>
              <w:rPr>
                <w:sz w:val="2"/>
                <w:szCs w:val="2"/>
                <w:color w:val="auto"/>
              </w:rPr>
            </w:pPr>
          </w:p>
        </w:tc>
        <w:tc>
          <w:tcPr>
            <w:tcW w:w="900" w:type="dxa"/>
            <w:vAlign w:val="bottom"/>
            <w:tcBorders>
              <w:bottom w:val="single" w:sz="8" w:color="C0C0C0"/>
            </w:tcBorders>
          </w:tcPr>
          <w:p>
            <w:pPr>
              <w:spacing w:after="0"/>
              <w:rPr>
                <w:sz w:val="2"/>
                <w:szCs w:val="2"/>
                <w:color w:val="auto"/>
              </w:rPr>
            </w:pPr>
          </w:p>
        </w:tc>
        <w:tc>
          <w:tcPr>
            <w:tcW w:w="1360" w:type="dxa"/>
            <w:vAlign w:val="bottom"/>
            <w:tcBorders>
              <w:bottom w:val="single" w:sz="8" w:color="C0C0C0"/>
            </w:tcBorders>
          </w:tcPr>
          <w:p>
            <w:pPr>
              <w:spacing w:after="0"/>
              <w:rPr>
                <w:sz w:val="2"/>
                <w:szCs w:val="2"/>
                <w:color w:val="auto"/>
              </w:rPr>
            </w:pPr>
          </w:p>
        </w:tc>
        <w:tc>
          <w:tcPr>
            <w:tcW w:w="100" w:type="dxa"/>
            <w:vAlign w:val="bottom"/>
            <w:tcBorders>
              <w:bottom w:val="single" w:sz="8" w:color="C0C0C0"/>
            </w:tcBorders>
          </w:tcPr>
          <w:p>
            <w:pPr>
              <w:spacing w:after="0"/>
              <w:rPr>
                <w:sz w:val="2"/>
                <w:szCs w:val="2"/>
                <w:color w:val="auto"/>
              </w:rPr>
            </w:pPr>
          </w:p>
        </w:tc>
        <w:tc>
          <w:tcPr>
            <w:tcW w:w="3960" w:type="dxa"/>
            <w:vAlign w:val="bottom"/>
            <w:tcBorders>
              <w:bottom w:val="single" w:sz="8" w:color="C0C0C0"/>
            </w:tcBorders>
          </w:tcPr>
          <w:p>
            <w:pPr>
              <w:spacing w:after="0"/>
              <w:rPr>
                <w:sz w:val="2"/>
                <w:szCs w:val="2"/>
                <w:color w:val="auto"/>
              </w:rPr>
            </w:pPr>
          </w:p>
        </w:tc>
        <w:tc>
          <w:tcPr>
            <w:tcW w:w="2400" w:type="dxa"/>
            <w:vAlign w:val="bottom"/>
            <w:tcBorders>
              <w:bottom w:val="single" w:sz="8" w:color="C0C0C0"/>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r>
      <w:tr>
        <w:trPr>
          <w:trHeight w:val="264"/>
        </w:trPr>
        <w:tc>
          <w:tcPr>
            <w:tcW w:w="20" w:type="dxa"/>
            <w:vAlign w:val="bottom"/>
            <w:tcBorders>
              <w:bottom w:val="single" w:sz="8" w:color="C0C0C0"/>
            </w:tcBorders>
            <w:shd w:val="clear" w:color="auto" w:fill="C0C0C0"/>
          </w:tcPr>
          <w:p>
            <w:pPr>
              <w:spacing w:after="0"/>
              <w:rPr>
                <w:sz w:val="22"/>
                <w:szCs w:val="22"/>
                <w:color w:val="auto"/>
              </w:rPr>
            </w:pPr>
          </w:p>
        </w:tc>
        <w:tc>
          <w:tcPr>
            <w:tcW w:w="2880" w:type="dxa"/>
            <w:vAlign w:val="bottom"/>
            <w:tcBorders>
              <w:bottom w:val="single" w:sz="8" w:color="C0C0C0"/>
            </w:tcBorders>
            <w:gridSpan w:val="4"/>
            <w:shd w:val="clear" w:color="auto" w:fill="C0C0C0"/>
          </w:tcPr>
          <w:p>
            <w:pPr>
              <w:spacing w:after="0"/>
              <w:rPr>
                <w:sz w:val="20"/>
                <w:szCs w:val="20"/>
                <w:color w:val="auto"/>
              </w:rPr>
            </w:pPr>
            <w:r>
              <w:rPr>
                <w:rFonts w:ascii="Arial" w:cs="Arial" w:eastAsia="Arial" w:hAnsi="Arial"/>
                <w:sz w:val="20"/>
                <w:szCs w:val="20"/>
                <w:b w:val="1"/>
                <w:bCs w:val="1"/>
                <w:color w:val="auto"/>
                <w:w w:val="96"/>
              </w:rPr>
              <w:t>Total Intercompany Investment</w:t>
            </w:r>
          </w:p>
        </w:tc>
        <w:tc>
          <w:tcPr>
            <w:tcW w:w="3960" w:type="dxa"/>
            <w:vAlign w:val="bottom"/>
            <w:tcBorders>
              <w:bottom w:val="single" w:sz="8" w:color="C0C0C0"/>
            </w:tcBorders>
            <w:shd w:val="clear" w:color="auto" w:fill="C0C0C0"/>
          </w:tcPr>
          <w:p>
            <w:pPr>
              <w:spacing w:after="0"/>
              <w:rPr>
                <w:sz w:val="22"/>
                <w:szCs w:val="22"/>
                <w:color w:val="auto"/>
              </w:rPr>
            </w:pPr>
          </w:p>
        </w:tc>
        <w:tc>
          <w:tcPr>
            <w:tcW w:w="2400" w:type="dxa"/>
            <w:vAlign w:val="bottom"/>
            <w:tcBorders>
              <w:bottom w:val="single" w:sz="8" w:color="C0C0C0"/>
            </w:tcBorders>
            <w:shd w:val="clear" w:color="auto" w:fill="C0C0C0"/>
          </w:tcPr>
          <w:p>
            <w:pPr>
              <w:spacing w:after="0"/>
              <w:rPr>
                <w:sz w:val="22"/>
                <w:szCs w:val="22"/>
                <w:color w:val="auto"/>
              </w:rPr>
            </w:pPr>
          </w:p>
        </w:tc>
        <w:tc>
          <w:tcPr>
            <w:tcW w:w="1540" w:type="dxa"/>
            <w:vAlign w:val="bottom"/>
            <w:tcBorders>
              <w:bottom w:val="single" w:sz="8" w:color="C0C0C0"/>
            </w:tcBorders>
            <w:shd w:val="clear" w:color="auto" w:fill="C0C0C0"/>
          </w:tcPr>
          <w:p>
            <w:pPr>
              <w:jc w:val="right"/>
              <w:ind w:right="30"/>
              <w:spacing w:after="0"/>
              <w:rPr>
                <w:sz w:val="20"/>
                <w:szCs w:val="20"/>
                <w:color w:val="auto"/>
              </w:rPr>
            </w:pPr>
            <w:r>
              <w:rPr>
                <w:rFonts w:ascii="Arial" w:cs="Arial" w:eastAsia="Arial" w:hAnsi="Arial"/>
                <w:sz w:val="18"/>
                <w:szCs w:val="18"/>
                <w:b w:val="1"/>
                <w:bCs w:val="1"/>
                <w:color w:val="auto"/>
              </w:rPr>
              <w:t>$ 1,967,886,526</w:t>
            </w:r>
          </w:p>
        </w:tc>
      </w:tr>
      <w:tr>
        <w:trPr>
          <w:trHeight w:val="520"/>
        </w:trPr>
        <w:tc>
          <w:tcPr>
            <w:tcW w:w="20" w:type="dxa"/>
            <w:vAlign w:val="bottom"/>
          </w:tcPr>
          <w:p>
            <w:pPr>
              <w:spacing w:after="0"/>
              <w:rPr>
                <w:sz w:val="24"/>
                <w:szCs w:val="24"/>
                <w:color w:val="auto"/>
              </w:rPr>
            </w:pPr>
          </w:p>
        </w:tc>
        <w:tc>
          <w:tcPr>
            <w:tcW w:w="2780" w:type="dxa"/>
            <w:vAlign w:val="bottom"/>
            <w:tcBorders>
              <w:bottom w:val="single" w:sz="8" w:color="auto"/>
            </w:tcBorders>
            <w:gridSpan w:val="3"/>
          </w:tcPr>
          <w:p>
            <w:pPr>
              <w:spacing w:after="0"/>
              <w:rPr>
                <w:sz w:val="20"/>
                <w:szCs w:val="20"/>
                <w:color w:val="auto"/>
              </w:rPr>
            </w:pPr>
            <w:r>
              <w:rPr>
                <w:rFonts w:ascii="Arial" w:cs="Arial" w:eastAsia="Arial" w:hAnsi="Arial"/>
                <w:sz w:val="18"/>
                <w:szCs w:val="18"/>
                <w:b w:val="1"/>
                <w:bCs w:val="1"/>
                <w:i w:val="1"/>
                <w:iCs w:val="1"/>
                <w:color w:val="auto"/>
                <w:w w:val="87"/>
              </w:rPr>
              <w:t>Intercompany Investments - Minority</w:t>
            </w:r>
          </w:p>
        </w:tc>
        <w:tc>
          <w:tcPr>
            <w:tcW w:w="100" w:type="dxa"/>
            <w:vAlign w:val="bottom"/>
          </w:tcPr>
          <w:p>
            <w:pPr>
              <w:spacing w:after="0"/>
              <w:rPr>
                <w:sz w:val="24"/>
                <w:szCs w:val="24"/>
                <w:color w:val="auto"/>
              </w:rPr>
            </w:pPr>
          </w:p>
        </w:tc>
        <w:tc>
          <w:tcPr>
            <w:tcW w:w="3960" w:type="dxa"/>
            <w:vAlign w:val="bottom"/>
          </w:tcPr>
          <w:p>
            <w:pPr>
              <w:spacing w:after="0"/>
              <w:rPr>
                <w:sz w:val="24"/>
                <w:szCs w:val="24"/>
                <w:color w:val="auto"/>
              </w:rPr>
            </w:pPr>
          </w:p>
        </w:tc>
        <w:tc>
          <w:tcPr>
            <w:tcW w:w="2400" w:type="dxa"/>
            <w:vAlign w:val="bottom"/>
          </w:tcPr>
          <w:p>
            <w:pPr>
              <w:spacing w:after="0"/>
              <w:rPr>
                <w:sz w:val="24"/>
                <w:szCs w:val="24"/>
                <w:color w:val="auto"/>
              </w:rPr>
            </w:pPr>
          </w:p>
        </w:tc>
        <w:tc>
          <w:tcPr>
            <w:tcW w:w="1540" w:type="dxa"/>
            <w:vAlign w:val="bottom"/>
            <w:tcBorders>
              <w:top w:val="single" w:sz="8" w:color="auto"/>
            </w:tcBorders>
          </w:tcPr>
          <w:p>
            <w:pPr>
              <w:spacing w:after="0"/>
              <w:rPr>
                <w:sz w:val="24"/>
                <w:szCs w:val="24"/>
                <w:color w:val="auto"/>
              </w:rPr>
            </w:pPr>
          </w:p>
        </w:tc>
      </w:tr>
      <w:tr>
        <w:trPr>
          <w:trHeight w:val="196"/>
        </w:trPr>
        <w:tc>
          <w:tcPr>
            <w:tcW w:w="20" w:type="dxa"/>
            <w:vAlign w:val="bottom"/>
          </w:tcPr>
          <w:p>
            <w:pPr>
              <w:spacing w:after="0"/>
              <w:rPr>
                <w:sz w:val="17"/>
                <w:szCs w:val="17"/>
                <w:color w:val="auto"/>
              </w:rPr>
            </w:pPr>
          </w:p>
        </w:tc>
        <w:tc>
          <w:tcPr>
            <w:tcW w:w="2880" w:type="dxa"/>
            <w:vAlign w:val="bottom"/>
            <w:gridSpan w:val="4"/>
          </w:tcPr>
          <w:p>
            <w:pPr>
              <w:spacing w:after="0" w:line="196" w:lineRule="exact"/>
              <w:rPr>
                <w:sz w:val="20"/>
                <w:szCs w:val="20"/>
                <w:color w:val="auto"/>
              </w:rPr>
            </w:pPr>
            <w:r>
              <w:rPr>
                <w:rFonts w:ascii="Arial" w:cs="Arial" w:eastAsia="Arial" w:hAnsi="Arial"/>
                <w:sz w:val="18"/>
                <w:szCs w:val="18"/>
                <w:b w:val="1"/>
                <w:bCs w:val="1"/>
                <w:i w:val="1"/>
                <w:iCs w:val="1"/>
                <w:color w:val="auto"/>
              </w:rPr>
              <w:t>Owned</w:t>
            </w:r>
          </w:p>
        </w:tc>
        <w:tc>
          <w:tcPr>
            <w:tcW w:w="3960" w:type="dxa"/>
            <w:vAlign w:val="bottom"/>
          </w:tcPr>
          <w:p>
            <w:pPr>
              <w:spacing w:after="0"/>
              <w:rPr>
                <w:sz w:val="17"/>
                <w:szCs w:val="17"/>
                <w:color w:val="auto"/>
              </w:rPr>
            </w:pPr>
          </w:p>
        </w:tc>
        <w:tc>
          <w:tcPr>
            <w:tcW w:w="2400" w:type="dxa"/>
            <w:vAlign w:val="bottom"/>
          </w:tcPr>
          <w:p>
            <w:pPr>
              <w:spacing w:after="0"/>
              <w:rPr>
                <w:sz w:val="17"/>
                <w:szCs w:val="17"/>
                <w:color w:val="auto"/>
              </w:rPr>
            </w:pPr>
          </w:p>
        </w:tc>
        <w:tc>
          <w:tcPr>
            <w:tcW w:w="1540" w:type="dxa"/>
            <w:vAlign w:val="bottom"/>
          </w:tcPr>
          <w:p>
            <w:pPr>
              <w:spacing w:after="0"/>
              <w:rPr>
                <w:sz w:val="17"/>
                <w:szCs w:val="17"/>
                <w:color w:val="auto"/>
              </w:rPr>
            </w:pPr>
          </w:p>
        </w:tc>
      </w:tr>
      <w:tr>
        <w:trPr>
          <w:trHeight w:val="276"/>
        </w:trPr>
        <w:tc>
          <w:tcPr>
            <w:tcW w:w="20" w:type="dxa"/>
            <w:vAlign w:val="bottom"/>
          </w:tcPr>
          <w:p>
            <w:pPr>
              <w:spacing w:after="0"/>
              <w:rPr>
                <w:sz w:val="24"/>
                <w:szCs w:val="24"/>
                <w:color w:val="auto"/>
              </w:rPr>
            </w:pPr>
          </w:p>
        </w:tc>
        <w:tc>
          <w:tcPr>
            <w:tcW w:w="520" w:type="dxa"/>
            <w:vAlign w:val="bottom"/>
            <w:tcBorders>
              <w:top w:val="single" w:sz="8" w:color="auto"/>
            </w:tcBorders>
          </w:tcPr>
          <w:p>
            <w:pPr>
              <w:spacing w:after="0"/>
              <w:rPr>
                <w:sz w:val="24"/>
                <w:szCs w:val="24"/>
                <w:color w:val="auto"/>
              </w:rPr>
            </w:pPr>
          </w:p>
        </w:tc>
        <w:tc>
          <w:tcPr>
            <w:tcW w:w="9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960" w:type="dxa"/>
            <w:vAlign w:val="bottom"/>
          </w:tcPr>
          <w:p>
            <w:pPr>
              <w:spacing w:after="0"/>
              <w:rPr>
                <w:sz w:val="24"/>
                <w:szCs w:val="24"/>
                <w:color w:val="auto"/>
              </w:rPr>
            </w:pPr>
          </w:p>
        </w:tc>
        <w:tc>
          <w:tcPr>
            <w:tcW w:w="2400" w:type="dxa"/>
            <w:vAlign w:val="bottom"/>
          </w:tcPr>
          <w:p>
            <w:pPr>
              <w:ind w:left="920"/>
              <w:spacing w:after="0"/>
              <w:rPr>
                <w:sz w:val="20"/>
                <w:szCs w:val="20"/>
                <w:color w:val="auto"/>
              </w:rPr>
            </w:pPr>
            <w:r>
              <w:rPr>
                <w:rFonts w:ascii="Arial" w:cs="Arial" w:eastAsia="Arial" w:hAnsi="Arial"/>
                <w:sz w:val="18"/>
                <w:szCs w:val="18"/>
                <w:color w:val="auto"/>
              </w:rPr>
              <w:t>Intercompany</w:t>
            </w:r>
          </w:p>
        </w:tc>
        <w:tc>
          <w:tcPr>
            <w:tcW w:w="1540" w:type="dxa"/>
            <w:vAlign w:val="bottom"/>
          </w:tcPr>
          <w:p>
            <w:pPr>
              <w:spacing w:after="0"/>
              <w:rPr>
                <w:sz w:val="24"/>
                <w:szCs w:val="24"/>
                <w:color w:val="auto"/>
              </w:rPr>
            </w:pPr>
          </w:p>
        </w:tc>
      </w:tr>
      <w:tr>
        <w:trPr>
          <w:trHeight w:val="216"/>
        </w:trPr>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960" w:type="dxa"/>
            <w:vAlign w:val="bottom"/>
          </w:tcPr>
          <w:p>
            <w:pPr>
              <w:spacing w:after="0"/>
              <w:rPr>
                <w:sz w:val="18"/>
                <w:szCs w:val="18"/>
                <w:color w:val="auto"/>
              </w:rPr>
            </w:pPr>
          </w:p>
        </w:tc>
        <w:tc>
          <w:tcPr>
            <w:tcW w:w="2400" w:type="dxa"/>
            <w:vAlign w:val="bottom"/>
          </w:tcPr>
          <w:p>
            <w:pPr>
              <w:ind w:left="920"/>
              <w:spacing w:after="0"/>
              <w:rPr>
                <w:sz w:val="20"/>
                <w:szCs w:val="20"/>
                <w:color w:val="auto"/>
              </w:rPr>
            </w:pPr>
            <w:r>
              <w:rPr>
                <w:rFonts w:ascii="Arial" w:cs="Arial" w:eastAsia="Arial" w:hAnsi="Arial"/>
                <w:sz w:val="18"/>
                <w:szCs w:val="18"/>
                <w:color w:val="auto"/>
              </w:rPr>
              <w:t>Investment -</w:t>
            </w:r>
          </w:p>
        </w:tc>
        <w:tc>
          <w:tcPr>
            <w:tcW w:w="1540" w:type="dxa"/>
            <w:vAlign w:val="bottom"/>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2880" w:type="dxa"/>
            <w:vAlign w:val="bottom"/>
            <w:gridSpan w:val="4"/>
          </w:tcPr>
          <w:p>
            <w:pPr>
              <w:spacing w:after="0"/>
              <w:rPr>
                <w:sz w:val="20"/>
                <w:szCs w:val="20"/>
                <w:color w:val="auto"/>
              </w:rPr>
            </w:pPr>
            <w:r>
              <w:rPr>
                <w:rFonts w:ascii="Arial" w:cs="Arial" w:eastAsia="Arial" w:hAnsi="Arial"/>
                <w:sz w:val="18"/>
                <w:szCs w:val="18"/>
                <w:color w:val="auto"/>
              </w:rPr>
              <w:t>Euronet Asia Holdings Limited</w:t>
            </w:r>
          </w:p>
        </w:tc>
        <w:tc>
          <w:tcPr>
            <w:tcW w:w="3960" w:type="dxa"/>
            <w:vAlign w:val="bottom"/>
          </w:tcPr>
          <w:p>
            <w:pPr>
              <w:ind w:left="80"/>
              <w:spacing w:after="0"/>
              <w:rPr>
                <w:sz w:val="20"/>
                <w:szCs w:val="20"/>
                <w:color w:val="auto"/>
              </w:rPr>
            </w:pPr>
            <w:r>
              <w:rPr>
                <w:rFonts w:ascii="Arial" w:cs="Arial" w:eastAsia="Arial" w:hAnsi="Arial"/>
                <w:sz w:val="18"/>
                <w:szCs w:val="18"/>
                <w:color w:val="auto"/>
              </w:rPr>
              <w:t>Euronet ETT (China) Co. Ltd.</w:t>
            </w:r>
          </w:p>
        </w:tc>
        <w:tc>
          <w:tcPr>
            <w:tcW w:w="2400" w:type="dxa"/>
            <w:vAlign w:val="bottom"/>
          </w:tcPr>
          <w:p>
            <w:pPr>
              <w:ind w:left="920"/>
              <w:spacing w:after="0"/>
              <w:rPr>
                <w:sz w:val="20"/>
                <w:szCs w:val="20"/>
                <w:color w:val="auto"/>
              </w:rPr>
            </w:pPr>
            <w:r>
              <w:rPr>
                <w:rFonts w:ascii="Arial" w:cs="Arial" w:eastAsia="Arial" w:hAnsi="Arial"/>
                <w:sz w:val="18"/>
                <w:szCs w:val="18"/>
                <w:color w:val="auto"/>
              </w:rPr>
              <w:t>Minority Owned</w:t>
            </w:r>
          </w:p>
        </w:tc>
        <w:tc>
          <w:tcPr>
            <w:tcW w:w="1540" w:type="dxa"/>
            <w:vAlign w:val="bottom"/>
          </w:tcPr>
          <w:p>
            <w:pPr>
              <w:jc w:val="right"/>
              <w:ind w:right="30"/>
              <w:spacing w:after="0"/>
              <w:rPr>
                <w:sz w:val="20"/>
                <w:szCs w:val="20"/>
                <w:color w:val="auto"/>
              </w:rPr>
            </w:pPr>
            <w:r>
              <w:rPr>
                <w:rFonts w:ascii="Arial" w:cs="Arial" w:eastAsia="Arial" w:hAnsi="Arial"/>
                <w:sz w:val="18"/>
                <w:szCs w:val="18"/>
                <w:color w:val="auto"/>
              </w:rPr>
              <w:t>200,150</w:t>
            </w:r>
          </w:p>
        </w:tc>
      </w:tr>
      <w:tr>
        <w:trPr>
          <w:trHeight w:val="256"/>
        </w:trPr>
        <w:tc>
          <w:tcPr>
            <w:tcW w:w="2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960" w:type="dxa"/>
            <w:vAlign w:val="bottom"/>
          </w:tcPr>
          <w:p>
            <w:pPr>
              <w:spacing w:after="0"/>
              <w:rPr>
                <w:sz w:val="22"/>
                <w:szCs w:val="22"/>
                <w:color w:val="auto"/>
              </w:rPr>
            </w:pPr>
          </w:p>
        </w:tc>
        <w:tc>
          <w:tcPr>
            <w:tcW w:w="2400" w:type="dxa"/>
            <w:vAlign w:val="bottom"/>
          </w:tcPr>
          <w:p>
            <w:pPr>
              <w:ind w:left="920"/>
              <w:spacing w:after="0"/>
              <w:rPr>
                <w:sz w:val="20"/>
                <w:szCs w:val="20"/>
                <w:color w:val="auto"/>
              </w:rPr>
            </w:pPr>
            <w:r>
              <w:rPr>
                <w:rFonts w:ascii="Arial" w:cs="Arial" w:eastAsia="Arial" w:hAnsi="Arial"/>
                <w:sz w:val="18"/>
                <w:szCs w:val="18"/>
                <w:color w:val="auto"/>
              </w:rPr>
              <w:t>Intercompany</w:t>
            </w:r>
          </w:p>
        </w:tc>
        <w:tc>
          <w:tcPr>
            <w:tcW w:w="1540" w:type="dxa"/>
            <w:vAlign w:val="bottom"/>
          </w:tcPr>
          <w:p>
            <w:pPr>
              <w:spacing w:after="0"/>
              <w:rPr>
                <w:sz w:val="22"/>
                <w:szCs w:val="22"/>
                <w:color w:val="auto"/>
              </w:rPr>
            </w:pPr>
          </w:p>
        </w:tc>
      </w:tr>
      <w:tr>
        <w:trPr>
          <w:trHeight w:val="216"/>
        </w:trPr>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960" w:type="dxa"/>
            <w:vAlign w:val="bottom"/>
          </w:tcPr>
          <w:p>
            <w:pPr>
              <w:spacing w:after="0"/>
              <w:rPr>
                <w:sz w:val="18"/>
                <w:szCs w:val="18"/>
                <w:color w:val="auto"/>
              </w:rPr>
            </w:pPr>
          </w:p>
        </w:tc>
        <w:tc>
          <w:tcPr>
            <w:tcW w:w="2400" w:type="dxa"/>
            <w:vAlign w:val="bottom"/>
          </w:tcPr>
          <w:p>
            <w:pPr>
              <w:ind w:left="920"/>
              <w:spacing w:after="0"/>
              <w:rPr>
                <w:sz w:val="20"/>
                <w:szCs w:val="20"/>
                <w:color w:val="auto"/>
              </w:rPr>
            </w:pPr>
            <w:r>
              <w:rPr>
                <w:rFonts w:ascii="Arial" w:cs="Arial" w:eastAsia="Arial" w:hAnsi="Arial"/>
                <w:sz w:val="18"/>
                <w:szCs w:val="18"/>
                <w:color w:val="auto"/>
              </w:rPr>
              <w:t>Investment -</w:t>
            </w:r>
          </w:p>
        </w:tc>
        <w:tc>
          <w:tcPr>
            <w:tcW w:w="1540" w:type="dxa"/>
            <w:vAlign w:val="bottom"/>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2880" w:type="dxa"/>
            <w:vAlign w:val="bottom"/>
            <w:gridSpan w:val="4"/>
          </w:tcPr>
          <w:p>
            <w:pPr>
              <w:spacing w:after="0"/>
              <w:rPr>
                <w:sz w:val="20"/>
                <w:szCs w:val="20"/>
                <w:color w:val="auto"/>
              </w:rPr>
            </w:pPr>
            <w:r>
              <w:rPr>
                <w:rFonts w:ascii="Arial" w:cs="Arial" w:eastAsia="Arial" w:hAnsi="Arial"/>
                <w:sz w:val="18"/>
                <w:szCs w:val="18"/>
                <w:color w:val="auto"/>
              </w:rPr>
              <w:t>EFT Services Holding B.V.</w:t>
            </w:r>
          </w:p>
        </w:tc>
        <w:tc>
          <w:tcPr>
            <w:tcW w:w="3960" w:type="dxa"/>
            <w:vAlign w:val="bottom"/>
          </w:tcPr>
          <w:p>
            <w:pPr>
              <w:ind w:left="80"/>
              <w:spacing w:after="0"/>
              <w:rPr>
                <w:sz w:val="20"/>
                <w:szCs w:val="20"/>
                <w:color w:val="auto"/>
              </w:rPr>
            </w:pPr>
            <w:r>
              <w:rPr>
                <w:rFonts w:ascii="Arial" w:cs="Arial" w:eastAsia="Arial" w:hAnsi="Arial"/>
                <w:sz w:val="18"/>
                <w:szCs w:val="18"/>
                <w:color w:val="auto"/>
              </w:rPr>
              <w:t>Cashlink Bangladesh Ltd.</w:t>
            </w:r>
          </w:p>
        </w:tc>
        <w:tc>
          <w:tcPr>
            <w:tcW w:w="2400" w:type="dxa"/>
            <w:vAlign w:val="bottom"/>
          </w:tcPr>
          <w:p>
            <w:pPr>
              <w:ind w:left="920"/>
              <w:spacing w:after="0"/>
              <w:rPr>
                <w:sz w:val="20"/>
                <w:szCs w:val="20"/>
                <w:color w:val="auto"/>
              </w:rPr>
            </w:pPr>
            <w:r>
              <w:rPr>
                <w:rFonts w:ascii="Arial" w:cs="Arial" w:eastAsia="Arial" w:hAnsi="Arial"/>
                <w:sz w:val="18"/>
                <w:szCs w:val="18"/>
                <w:color w:val="auto"/>
              </w:rPr>
              <w:t>Minority Owned</w:t>
            </w:r>
          </w:p>
        </w:tc>
        <w:tc>
          <w:tcPr>
            <w:tcW w:w="1540" w:type="dxa"/>
            <w:vAlign w:val="bottom"/>
          </w:tcPr>
          <w:p>
            <w:pPr>
              <w:jc w:val="right"/>
              <w:ind w:right="30"/>
              <w:spacing w:after="0"/>
              <w:rPr>
                <w:sz w:val="20"/>
                <w:szCs w:val="20"/>
                <w:color w:val="auto"/>
              </w:rPr>
            </w:pPr>
            <w:r>
              <w:rPr>
                <w:rFonts w:ascii="Arial" w:cs="Arial" w:eastAsia="Arial" w:hAnsi="Arial"/>
                <w:sz w:val="18"/>
                <w:szCs w:val="18"/>
                <w:color w:val="auto"/>
              </w:rPr>
              <w:t>412,023</w:t>
            </w:r>
          </w:p>
        </w:tc>
      </w:tr>
      <w:tr>
        <w:trPr>
          <w:trHeight w:val="256"/>
        </w:trPr>
        <w:tc>
          <w:tcPr>
            <w:tcW w:w="2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960" w:type="dxa"/>
            <w:vAlign w:val="bottom"/>
          </w:tcPr>
          <w:p>
            <w:pPr>
              <w:spacing w:after="0"/>
              <w:rPr>
                <w:sz w:val="22"/>
                <w:szCs w:val="22"/>
                <w:color w:val="auto"/>
              </w:rPr>
            </w:pPr>
          </w:p>
        </w:tc>
        <w:tc>
          <w:tcPr>
            <w:tcW w:w="2400" w:type="dxa"/>
            <w:vAlign w:val="bottom"/>
          </w:tcPr>
          <w:p>
            <w:pPr>
              <w:ind w:left="920"/>
              <w:spacing w:after="0"/>
              <w:rPr>
                <w:sz w:val="20"/>
                <w:szCs w:val="20"/>
                <w:color w:val="auto"/>
              </w:rPr>
            </w:pPr>
            <w:r>
              <w:rPr>
                <w:rFonts w:ascii="Arial" w:cs="Arial" w:eastAsia="Arial" w:hAnsi="Arial"/>
                <w:sz w:val="18"/>
                <w:szCs w:val="18"/>
                <w:color w:val="auto"/>
              </w:rPr>
              <w:t>Intercompany</w:t>
            </w:r>
          </w:p>
        </w:tc>
        <w:tc>
          <w:tcPr>
            <w:tcW w:w="1540" w:type="dxa"/>
            <w:vAlign w:val="bottom"/>
          </w:tcPr>
          <w:p>
            <w:pPr>
              <w:spacing w:after="0"/>
              <w:rPr>
                <w:sz w:val="22"/>
                <w:szCs w:val="22"/>
                <w:color w:val="auto"/>
              </w:rPr>
            </w:pPr>
          </w:p>
        </w:tc>
      </w:tr>
      <w:tr>
        <w:trPr>
          <w:trHeight w:val="216"/>
        </w:trPr>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960" w:type="dxa"/>
            <w:vAlign w:val="bottom"/>
          </w:tcPr>
          <w:p>
            <w:pPr>
              <w:spacing w:after="0"/>
              <w:rPr>
                <w:sz w:val="18"/>
                <w:szCs w:val="18"/>
                <w:color w:val="auto"/>
              </w:rPr>
            </w:pPr>
          </w:p>
        </w:tc>
        <w:tc>
          <w:tcPr>
            <w:tcW w:w="2400" w:type="dxa"/>
            <w:vAlign w:val="bottom"/>
          </w:tcPr>
          <w:p>
            <w:pPr>
              <w:ind w:left="920"/>
              <w:spacing w:after="0"/>
              <w:rPr>
                <w:sz w:val="20"/>
                <w:szCs w:val="20"/>
                <w:color w:val="auto"/>
              </w:rPr>
            </w:pPr>
            <w:r>
              <w:rPr>
                <w:rFonts w:ascii="Arial" w:cs="Arial" w:eastAsia="Arial" w:hAnsi="Arial"/>
                <w:sz w:val="18"/>
                <w:szCs w:val="18"/>
                <w:color w:val="auto"/>
              </w:rPr>
              <w:t>Investment -</w:t>
            </w:r>
          </w:p>
        </w:tc>
        <w:tc>
          <w:tcPr>
            <w:tcW w:w="1540" w:type="dxa"/>
            <w:vAlign w:val="bottom"/>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2880" w:type="dxa"/>
            <w:vAlign w:val="bottom"/>
            <w:gridSpan w:val="4"/>
          </w:tcPr>
          <w:p>
            <w:pPr>
              <w:spacing w:after="0"/>
              <w:rPr>
                <w:sz w:val="20"/>
                <w:szCs w:val="20"/>
                <w:color w:val="auto"/>
              </w:rPr>
            </w:pPr>
            <w:r>
              <w:rPr>
                <w:rFonts w:ascii="Arial" w:cs="Arial" w:eastAsia="Arial" w:hAnsi="Arial"/>
                <w:sz w:val="18"/>
                <w:szCs w:val="18"/>
                <w:color w:val="auto"/>
              </w:rPr>
              <w:t>EFT Services Holding B.V.</w:t>
            </w:r>
          </w:p>
        </w:tc>
        <w:tc>
          <w:tcPr>
            <w:tcW w:w="3960" w:type="dxa"/>
            <w:vAlign w:val="bottom"/>
          </w:tcPr>
          <w:p>
            <w:pPr>
              <w:ind w:left="80"/>
              <w:spacing w:after="0"/>
              <w:rPr>
                <w:sz w:val="20"/>
                <w:szCs w:val="20"/>
                <w:color w:val="auto"/>
              </w:rPr>
            </w:pPr>
            <w:r>
              <w:rPr>
                <w:rFonts w:ascii="Arial" w:cs="Arial" w:eastAsia="Arial" w:hAnsi="Arial"/>
                <w:sz w:val="18"/>
                <w:szCs w:val="18"/>
                <w:color w:val="auto"/>
              </w:rPr>
              <w:t>PT G4S Euronet Nusantara</w:t>
            </w:r>
          </w:p>
        </w:tc>
        <w:tc>
          <w:tcPr>
            <w:tcW w:w="2400" w:type="dxa"/>
            <w:vAlign w:val="bottom"/>
          </w:tcPr>
          <w:p>
            <w:pPr>
              <w:ind w:left="920"/>
              <w:spacing w:after="0"/>
              <w:rPr>
                <w:sz w:val="20"/>
                <w:szCs w:val="20"/>
                <w:color w:val="auto"/>
              </w:rPr>
            </w:pPr>
            <w:r>
              <w:rPr>
                <w:rFonts w:ascii="Arial" w:cs="Arial" w:eastAsia="Arial" w:hAnsi="Arial"/>
                <w:sz w:val="18"/>
                <w:szCs w:val="18"/>
                <w:color w:val="auto"/>
              </w:rPr>
              <w:t>Minority Owned</w:t>
            </w:r>
          </w:p>
        </w:tc>
        <w:tc>
          <w:tcPr>
            <w:tcW w:w="1540" w:type="dxa"/>
            <w:vAlign w:val="bottom"/>
          </w:tcPr>
          <w:p>
            <w:pPr>
              <w:jc w:val="right"/>
              <w:ind w:right="30"/>
              <w:spacing w:after="0"/>
              <w:rPr>
                <w:sz w:val="20"/>
                <w:szCs w:val="20"/>
                <w:color w:val="auto"/>
              </w:rPr>
            </w:pPr>
            <w:r>
              <w:rPr>
                <w:rFonts w:ascii="Arial" w:cs="Arial" w:eastAsia="Arial" w:hAnsi="Arial"/>
                <w:sz w:val="18"/>
                <w:szCs w:val="18"/>
                <w:color w:val="auto"/>
              </w:rPr>
              <w:t>2,667,890</w:t>
            </w:r>
          </w:p>
        </w:tc>
      </w:tr>
      <w:tr>
        <w:trPr>
          <w:trHeight w:val="351"/>
        </w:trPr>
        <w:tc>
          <w:tcPr>
            <w:tcW w:w="20" w:type="dxa"/>
            <w:vAlign w:val="bottom"/>
            <w:tcBorders>
              <w:bottom w:val="single" w:sz="8" w:color="C0C0C0"/>
            </w:tcBorders>
          </w:tcPr>
          <w:p>
            <w:pPr>
              <w:spacing w:after="0"/>
              <w:rPr>
                <w:sz w:val="24"/>
                <w:szCs w:val="24"/>
                <w:color w:val="auto"/>
              </w:rPr>
            </w:pPr>
          </w:p>
        </w:tc>
        <w:tc>
          <w:tcPr>
            <w:tcW w:w="520" w:type="dxa"/>
            <w:vAlign w:val="bottom"/>
            <w:tcBorders>
              <w:bottom w:val="single" w:sz="8" w:color="C0C0C0"/>
            </w:tcBorders>
          </w:tcPr>
          <w:p>
            <w:pPr>
              <w:spacing w:after="0"/>
              <w:rPr>
                <w:sz w:val="24"/>
                <w:szCs w:val="24"/>
                <w:color w:val="auto"/>
              </w:rPr>
            </w:pPr>
          </w:p>
        </w:tc>
        <w:tc>
          <w:tcPr>
            <w:tcW w:w="900" w:type="dxa"/>
            <w:vAlign w:val="bottom"/>
            <w:tcBorders>
              <w:bottom w:val="single" w:sz="8" w:color="C0C0C0"/>
            </w:tcBorders>
          </w:tcPr>
          <w:p>
            <w:pPr>
              <w:spacing w:after="0"/>
              <w:rPr>
                <w:sz w:val="24"/>
                <w:szCs w:val="24"/>
                <w:color w:val="auto"/>
              </w:rPr>
            </w:pPr>
          </w:p>
        </w:tc>
        <w:tc>
          <w:tcPr>
            <w:tcW w:w="1360" w:type="dxa"/>
            <w:vAlign w:val="bottom"/>
            <w:tcBorders>
              <w:bottom w:val="single" w:sz="8" w:color="C0C0C0"/>
            </w:tcBorders>
          </w:tcPr>
          <w:p>
            <w:pPr>
              <w:spacing w:after="0"/>
              <w:rPr>
                <w:sz w:val="24"/>
                <w:szCs w:val="24"/>
                <w:color w:val="auto"/>
              </w:rPr>
            </w:pPr>
          </w:p>
        </w:tc>
        <w:tc>
          <w:tcPr>
            <w:tcW w:w="100" w:type="dxa"/>
            <w:vAlign w:val="bottom"/>
            <w:tcBorders>
              <w:bottom w:val="single" w:sz="8" w:color="C0C0C0"/>
            </w:tcBorders>
          </w:tcPr>
          <w:p>
            <w:pPr>
              <w:spacing w:after="0"/>
              <w:rPr>
                <w:sz w:val="24"/>
                <w:szCs w:val="24"/>
                <w:color w:val="auto"/>
              </w:rPr>
            </w:pPr>
          </w:p>
        </w:tc>
        <w:tc>
          <w:tcPr>
            <w:tcW w:w="3960" w:type="dxa"/>
            <w:vAlign w:val="bottom"/>
            <w:tcBorders>
              <w:bottom w:val="single" w:sz="8" w:color="C0C0C0"/>
            </w:tcBorders>
          </w:tcPr>
          <w:p>
            <w:pPr>
              <w:spacing w:after="0"/>
              <w:rPr>
                <w:sz w:val="24"/>
                <w:szCs w:val="24"/>
                <w:color w:val="auto"/>
              </w:rPr>
            </w:pPr>
          </w:p>
        </w:tc>
        <w:tc>
          <w:tcPr>
            <w:tcW w:w="2400" w:type="dxa"/>
            <w:vAlign w:val="bottom"/>
            <w:tcBorders>
              <w:bottom w:val="single" w:sz="8" w:color="C0C0C0"/>
            </w:tcBorders>
          </w:tcPr>
          <w:p>
            <w:pPr>
              <w:spacing w:after="0"/>
              <w:rPr>
                <w:sz w:val="24"/>
                <w:szCs w:val="24"/>
                <w:color w:val="auto"/>
              </w:rPr>
            </w:pPr>
          </w:p>
        </w:tc>
        <w:tc>
          <w:tcPr>
            <w:tcW w:w="1540" w:type="dxa"/>
            <w:vAlign w:val="bottom"/>
            <w:tcBorders>
              <w:bottom w:val="single" w:sz="8" w:color="auto"/>
            </w:tcBorders>
          </w:tcPr>
          <w:p>
            <w:pPr>
              <w:spacing w:after="0"/>
              <w:rPr>
                <w:sz w:val="24"/>
                <w:szCs w:val="24"/>
                <w:color w:val="auto"/>
              </w:rPr>
            </w:pPr>
          </w:p>
        </w:tc>
      </w:tr>
      <w:tr>
        <w:trPr>
          <w:trHeight w:val="214"/>
        </w:trPr>
        <w:tc>
          <w:tcPr>
            <w:tcW w:w="20" w:type="dxa"/>
            <w:vAlign w:val="bottom"/>
            <w:shd w:val="clear" w:color="auto" w:fill="C0C0C0"/>
          </w:tcPr>
          <w:p>
            <w:pPr>
              <w:spacing w:after="0"/>
              <w:rPr>
                <w:sz w:val="18"/>
                <w:szCs w:val="18"/>
                <w:color w:val="auto"/>
              </w:rPr>
            </w:pPr>
          </w:p>
        </w:tc>
        <w:tc>
          <w:tcPr>
            <w:tcW w:w="2880" w:type="dxa"/>
            <w:vAlign w:val="bottom"/>
            <w:gridSpan w:val="4"/>
            <w:shd w:val="clear" w:color="auto" w:fill="C0C0C0"/>
          </w:tcPr>
          <w:p>
            <w:pPr>
              <w:spacing w:after="0" w:line="214" w:lineRule="exact"/>
              <w:rPr>
                <w:sz w:val="20"/>
                <w:szCs w:val="20"/>
                <w:color w:val="auto"/>
              </w:rPr>
            </w:pPr>
            <w:r>
              <w:rPr>
                <w:rFonts w:ascii="Arial" w:cs="Arial" w:eastAsia="Arial" w:hAnsi="Arial"/>
                <w:sz w:val="20"/>
                <w:szCs w:val="20"/>
                <w:b w:val="1"/>
                <w:bCs w:val="1"/>
                <w:color w:val="auto"/>
                <w:w w:val="92"/>
              </w:rPr>
              <w:t>Total Intercompany Investment -</w:t>
            </w:r>
          </w:p>
        </w:tc>
        <w:tc>
          <w:tcPr>
            <w:tcW w:w="3960" w:type="dxa"/>
            <w:vAlign w:val="bottom"/>
            <w:shd w:val="clear" w:color="auto" w:fill="C0C0C0"/>
          </w:tcPr>
          <w:p>
            <w:pPr>
              <w:spacing w:after="0"/>
              <w:rPr>
                <w:sz w:val="18"/>
                <w:szCs w:val="18"/>
                <w:color w:val="auto"/>
              </w:rPr>
            </w:pPr>
          </w:p>
        </w:tc>
        <w:tc>
          <w:tcPr>
            <w:tcW w:w="2400" w:type="dxa"/>
            <w:vAlign w:val="bottom"/>
            <w:shd w:val="clear" w:color="auto" w:fill="C0C0C0"/>
          </w:tcPr>
          <w:p>
            <w:pPr>
              <w:spacing w:after="0"/>
              <w:rPr>
                <w:sz w:val="18"/>
                <w:szCs w:val="18"/>
                <w:color w:val="auto"/>
              </w:rPr>
            </w:pPr>
          </w:p>
        </w:tc>
        <w:tc>
          <w:tcPr>
            <w:tcW w:w="1540" w:type="dxa"/>
            <w:vAlign w:val="bottom"/>
            <w:shd w:val="clear" w:color="auto" w:fill="C0C0C0"/>
          </w:tcPr>
          <w:p>
            <w:pPr>
              <w:spacing w:after="0"/>
              <w:rPr>
                <w:sz w:val="18"/>
                <w:szCs w:val="18"/>
                <w:color w:val="auto"/>
              </w:rPr>
            </w:pPr>
          </w:p>
        </w:tc>
      </w:tr>
      <w:tr>
        <w:trPr>
          <w:trHeight w:val="279"/>
        </w:trPr>
        <w:tc>
          <w:tcPr>
            <w:tcW w:w="20" w:type="dxa"/>
            <w:vAlign w:val="bottom"/>
            <w:tcBorders>
              <w:bottom w:val="single" w:sz="8" w:color="C0C0C0"/>
            </w:tcBorders>
            <w:shd w:val="clear" w:color="auto" w:fill="C0C0C0"/>
          </w:tcPr>
          <w:p>
            <w:pPr>
              <w:spacing w:after="0"/>
              <w:rPr>
                <w:sz w:val="24"/>
                <w:szCs w:val="24"/>
                <w:color w:val="auto"/>
              </w:rPr>
            </w:pPr>
          </w:p>
        </w:tc>
        <w:tc>
          <w:tcPr>
            <w:tcW w:w="2880" w:type="dxa"/>
            <w:vAlign w:val="bottom"/>
            <w:tcBorders>
              <w:bottom w:val="single" w:sz="8" w:color="C0C0C0"/>
            </w:tcBorders>
            <w:gridSpan w:val="4"/>
            <w:shd w:val="clear" w:color="auto" w:fill="C0C0C0"/>
          </w:tcPr>
          <w:p>
            <w:pPr>
              <w:spacing w:after="0"/>
              <w:rPr>
                <w:sz w:val="20"/>
                <w:szCs w:val="20"/>
                <w:color w:val="auto"/>
              </w:rPr>
            </w:pPr>
            <w:r>
              <w:rPr>
                <w:rFonts w:ascii="Arial" w:cs="Arial" w:eastAsia="Arial" w:hAnsi="Arial"/>
                <w:sz w:val="20"/>
                <w:szCs w:val="20"/>
                <w:b w:val="1"/>
                <w:bCs w:val="1"/>
                <w:color w:val="auto"/>
              </w:rPr>
              <w:t>Minority Owned</w:t>
            </w:r>
          </w:p>
        </w:tc>
        <w:tc>
          <w:tcPr>
            <w:tcW w:w="3960" w:type="dxa"/>
            <w:vAlign w:val="bottom"/>
            <w:tcBorders>
              <w:bottom w:val="single" w:sz="8" w:color="C0C0C0"/>
            </w:tcBorders>
            <w:shd w:val="clear" w:color="auto" w:fill="C0C0C0"/>
          </w:tcPr>
          <w:p>
            <w:pPr>
              <w:spacing w:after="0"/>
              <w:rPr>
                <w:sz w:val="24"/>
                <w:szCs w:val="24"/>
                <w:color w:val="auto"/>
              </w:rPr>
            </w:pPr>
          </w:p>
        </w:tc>
        <w:tc>
          <w:tcPr>
            <w:tcW w:w="2400" w:type="dxa"/>
            <w:vAlign w:val="bottom"/>
            <w:tcBorders>
              <w:bottom w:val="single" w:sz="8" w:color="C0C0C0"/>
            </w:tcBorders>
            <w:shd w:val="clear" w:color="auto" w:fill="C0C0C0"/>
          </w:tcPr>
          <w:p>
            <w:pPr>
              <w:spacing w:after="0"/>
              <w:rPr>
                <w:sz w:val="24"/>
                <w:szCs w:val="24"/>
                <w:color w:val="auto"/>
              </w:rPr>
            </w:pPr>
          </w:p>
        </w:tc>
        <w:tc>
          <w:tcPr>
            <w:tcW w:w="1540" w:type="dxa"/>
            <w:vAlign w:val="bottom"/>
            <w:tcBorders>
              <w:bottom w:val="single" w:sz="8" w:color="C0C0C0"/>
            </w:tcBorders>
            <w:shd w:val="clear" w:color="auto" w:fill="C0C0C0"/>
          </w:tcPr>
          <w:p>
            <w:pPr>
              <w:jc w:val="right"/>
              <w:ind w:right="30"/>
              <w:spacing w:after="0"/>
              <w:rPr>
                <w:sz w:val="20"/>
                <w:szCs w:val="20"/>
                <w:color w:val="auto"/>
              </w:rPr>
            </w:pPr>
            <w:r>
              <w:rPr>
                <w:rFonts w:ascii="Arial" w:cs="Arial" w:eastAsia="Arial" w:hAnsi="Arial"/>
                <w:sz w:val="18"/>
                <w:szCs w:val="18"/>
                <w:b w:val="1"/>
                <w:bCs w:val="1"/>
                <w:color w:val="auto"/>
              </w:rPr>
              <w:t>$ 3,280,063</w:t>
            </w:r>
          </w:p>
        </w:tc>
      </w:tr>
      <w:tr>
        <w:trPr>
          <w:trHeight w:val="520"/>
        </w:trPr>
        <w:tc>
          <w:tcPr>
            <w:tcW w:w="20" w:type="dxa"/>
            <w:vAlign w:val="bottom"/>
          </w:tcPr>
          <w:p>
            <w:pPr>
              <w:spacing w:after="0"/>
              <w:rPr>
                <w:sz w:val="24"/>
                <w:szCs w:val="24"/>
                <w:color w:val="auto"/>
              </w:rPr>
            </w:pPr>
          </w:p>
        </w:tc>
        <w:tc>
          <w:tcPr>
            <w:tcW w:w="2880" w:type="dxa"/>
            <w:vAlign w:val="bottom"/>
            <w:gridSpan w:val="4"/>
          </w:tcPr>
          <w:p>
            <w:pPr>
              <w:spacing w:after="0"/>
              <w:rPr>
                <w:sz w:val="20"/>
                <w:szCs w:val="20"/>
                <w:color w:val="auto"/>
              </w:rPr>
            </w:pPr>
            <w:r>
              <w:rPr>
                <w:rFonts w:ascii="Arial" w:cs="Arial" w:eastAsia="Arial" w:hAnsi="Arial"/>
                <w:sz w:val="18"/>
                <w:szCs w:val="18"/>
                <w:b w:val="1"/>
                <w:bCs w:val="1"/>
                <w:i w:val="1"/>
                <w:iCs w:val="1"/>
                <w:color w:val="auto"/>
              </w:rPr>
              <w:t>Other Investments:</w:t>
            </w:r>
          </w:p>
        </w:tc>
        <w:tc>
          <w:tcPr>
            <w:tcW w:w="3960" w:type="dxa"/>
            <w:vAlign w:val="bottom"/>
          </w:tcPr>
          <w:p>
            <w:pPr>
              <w:spacing w:after="0"/>
              <w:rPr>
                <w:sz w:val="24"/>
                <w:szCs w:val="24"/>
                <w:color w:val="auto"/>
              </w:rPr>
            </w:pPr>
          </w:p>
        </w:tc>
        <w:tc>
          <w:tcPr>
            <w:tcW w:w="2400" w:type="dxa"/>
            <w:vAlign w:val="bottom"/>
          </w:tcPr>
          <w:p>
            <w:pPr>
              <w:spacing w:after="0"/>
              <w:rPr>
                <w:sz w:val="24"/>
                <w:szCs w:val="24"/>
                <w:color w:val="auto"/>
              </w:rPr>
            </w:pPr>
          </w:p>
        </w:tc>
        <w:tc>
          <w:tcPr>
            <w:tcW w:w="1540" w:type="dxa"/>
            <w:vAlign w:val="bottom"/>
            <w:tcBorders>
              <w:top w:val="single" w:sz="8" w:color="auto"/>
            </w:tcBorders>
          </w:tcPr>
          <w:p>
            <w:pPr>
              <w:spacing w:after="0"/>
              <w:rPr>
                <w:sz w:val="24"/>
                <w:szCs w:val="24"/>
                <w:color w:val="auto"/>
              </w:rPr>
            </w:pPr>
          </w:p>
        </w:tc>
      </w:tr>
      <w:tr>
        <w:trPr>
          <w:trHeight w:val="291"/>
        </w:trPr>
        <w:tc>
          <w:tcPr>
            <w:tcW w:w="20" w:type="dxa"/>
            <w:vAlign w:val="bottom"/>
          </w:tcPr>
          <w:p>
            <w:pPr>
              <w:spacing w:after="0"/>
              <w:rPr>
                <w:sz w:val="24"/>
                <w:szCs w:val="24"/>
                <w:color w:val="auto"/>
              </w:rPr>
            </w:pPr>
          </w:p>
        </w:tc>
        <w:tc>
          <w:tcPr>
            <w:tcW w:w="142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rPr>
              <w:t>Payspot, Inc.</w:t>
            </w:r>
          </w:p>
        </w:tc>
        <w:tc>
          <w:tcPr>
            <w:tcW w:w="1460" w:type="dxa"/>
            <w:vAlign w:val="bottom"/>
            <w:gridSpan w:val="2"/>
          </w:tcPr>
          <w:p>
            <w:pPr>
              <w:spacing w:after="0"/>
              <w:rPr>
                <w:sz w:val="24"/>
                <w:szCs w:val="24"/>
                <w:color w:val="auto"/>
              </w:rPr>
            </w:pPr>
          </w:p>
        </w:tc>
        <w:tc>
          <w:tcPr>
            <w:tcW w:w="3960" w:type="dxa"/>
            <w:vAlign w:val="bottom"/>
          </w:tcPr>
          <w:p>
            <w:pPr>
              <w:ind w:left="80"/>
              <w:spacing w:after="0"/>
              <w:rPr>
                <w:sz w:val="20"/>
                <w:szCs w:val="20"/>
                <w:color w:val="auto"/>
              </w:rPr>
            </w:pPr>
            <w:r>
              <w:rPr>
                <w:rFonts w:ascii="Arial" w:cs="Arial" w:eastAsia="Arial" w:hAnsi="Arial"/>
                <w:sz w:val="18"/>
                <w:szCs w:val="18"/>
                <w:color w:val="auto"/>
              </w:rPr>
              <w:t>Wipit, Inc.</w:t>
            </w:r>
          </w:p>
        </w:tc>
        <w:tc>
          <w:tcPr>
            <w:tcW w:w="2400" w:type="dxa"/>
            <w:vAlign w:val="bottom"/>
          </w:tcPr>
          <w:p>
            <w:pPr>
              <w:ind w:left="920"/>
              <w:spacing w:after="0"/>
              <w:rPr>
                <w:sz w:val="20"/>
                <w:szCs w:val="20"/>
                <w:color w:val="auto"/>
              </w:rPr>
            </w:pPr>
            <w:r>
              <w:rPr>
                <w:rFonts w:ascii="Arial" w:cs="Arial" w:eastAsia="Arial" w:hAnsi="Arial"/>
                <w:sz w:val="18"/>
                <w:szCs w:val="18"/>
                <w:color w:val="auto"/>
              </w:rPr>
              <w:t>Convertible Note</w:t>
            </w:r>
          </w:p>
        </w:tc>
        <w:tc>
          <w:tcPr>
            <w:tcW w:w="1540" w:type="dxa"/>
            <w:vAlign w:val="bottom"/>
          </w:tcPr>
          <w:p>
            <w:pPr>
              <w:jc w:val="right"/>
              <w:ind w:right="30"/>
              <w:spacing w:after="0"/>
              <w:rPr>
                <w:sz w:val="20"/>
                <w:szCs w:val="20"/>
                <w:color w:val="auto"/>
              </w:rPr>
            </w:pPr>
            <w:r>
              <w:rPr>
                <w:rFonts w:ascii="Arial" w:cs="Arial" w:eastAsia="Arial" w:hAnsi="Arial"/>
                <w:sz w:val="18"/>
                <w:szCs w:val="18"/>
                <w:color w:val="auto"/>
              </w:rPr>
              <w:t>1,000,000</w:t>
            </w:r>
          </w:p>
        </w:tc>
      </w:tr>
      <w:tr>
        <w:trPr>
          <w:trHeight w:val="27"/>
        </w:trPr>
        <w:tc>
          <w:tcPr>
            <w:tcW w:w="20" w:type="dxa"/>
            <w:vAlign w:val="bottom"/>
            <w:tcBorders>
              <w:bottom w:val="single" w:sz="8" w:color="C0C0C0"/>
            </w:tcBorders>
          </w:tcPr>
          <w:p>
            <w:pPr>
              <w:spacing w:after="0"/>
              <w:rPr>
                <w:sz w:val="2"/>
                <w:szCs w:val="2"/>
                <w:color w:val="auto"/>
              </w:rPr>
            </w:pPr>
          </w:p>
        </w:tc>
        <w:tc>
          <w:tcPr>
            <w:tcW w:w="520" w:type="dxa"/>
            <w:vAlign w:val="bottom"/>
            <w:tcBorders>
              <w:bottom w:val="single" w:sz="8" w:color="C0C0C0"/>
            </w:tcBorders>
          </w:tcPr>
          <w:p>
            <w:pPr>
              <w:spacing w:after="0"/>
              <w:rPr>
                <w:sz w:val="2"/>
                <w:szCs w:val="2"/>
                <w:color w:val="auto"/>
              </w:rPr>
            </w:pPr>
          </w:p>
        </w:tc>
        <w:tc>
          <w:tcPr>
            <w:tcW w:w="900" w:type="dxa"/>
            <w:vAlign w:val="bottom"/>
            <w:tcBorders>
              <w:bottom w:val="single" w:sz="8" w:color="C0C0C0"/>
            </w:tcBorders>
          </w:tcPr>
          <w:p>
            <w:pPr>
              <w:spacing w:after="0"/>
              <w:rPr>
                <w:sz w:val="2"/>
                <w:szCs w:val="2"/>
                <w:color w:val="auto"/>
              </w:rPr>
            </w:pPr>
          </w:p>
        </w:tc>
        <w:tc>
          <w:tcPr>
            <w:tcW w:w="1360" w:type="dxa"/>
            <w:vAlign w:val="bottom"/>
            <w:tcBorders>
              <w:bottom w:val="single" w:sz="8" w:color="C0C0C0"/>
            </w:tcBorders>
          </w:tcPr>
          <w:p>
            <w:pPr>
              <w:spacing w:after="0"/>
              <w:rPr>
                <w:sz w:val="2"/>
                <w:szCs w:val="2"/>
                <w:color w:val="auto"/>
              </w:rPr>
            </w:pPr>
          </w:p>
        </w:tc>
        <w:tc>
          <w:tcPr>
            <w:tcW w:w="100" w:type="dxa"/>
            <w:vAlign w:val="bottom"/>
            <w:tcBorders>
              <w:bottom w:val="single" w:sz="8" w:color="C0C0C0"/>
            </w:tcBorders>
          </w:tcPr>
          <w:p>
            <w:pPr>
              <w:spacing w:after="0"/>
              <w:rPr>
                <w:sz w:val="2"/>
                <w:szCs w:val="2"/>
                <w:color w:val="auto"/>
              </w:rPr>
            </w:pPr>
          </w:p>
        </w:tc>
        <w:tc>
          <w:tcPr>
            <w:tcW w:w="3960" w:type="dxa"/>
            <w:vAlign w:val="bottom"/>
            <w:tcBorders>
              <w:bottom w:val="single" w:sz="8" w:color="C0C0C0"/>
            </w:tcBorders>
          </w:tcPr>
          <w:p>
            <w:pPr>
              <w:spacing w:after="0"/>
              <w:rPr>
                <w:sz w:val="2"/>
                <w:szCs w:val="2"/>
                <w:color w:val="auto"/>
              </w:rPr>
            </w:pPr>
          </w:p>
        </w:tc>
        <w:tc>
          <w:tcPr>
            <w:tcW w:w="2400" w:type="dxa"/>
            <w:vAlign w:val="bottom"/>
            <w:tcBorders>
              <w:bottom w:val="single" w:sz="8" w:color="C0C0C0"/>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r>
      <w:tr>
        <w:trPr>
          <w:trHeight w:val="264"/>
        </w:trPr>
        <w:tc>
          <w:tcPr>
            <w:tcW w:w="20" w:type="dxa"/>
            <w:vAlign w:val="bottom"/>
            <w:tcBorders>
              <w:bottom w:val="single" w:sz="8" w:color="C0C0C0"/>
            </w:tcBorders>
            <w:shd w:val="clear" w:color="auto" w:fill="C0C0C0"/>
          </w:tcPr>
          <w:p>
            <w:pPr>
              <w:spacing w:after="0"/>
              <w:rPr>
                <w:sz w:val="22"/>
                <w:szCs w:val="22"/>
                <w:color w:val="auto"/>
              </w:rPr>
            </w:pPr>
          </w:p>
        </w:tc>
        <w:tc>
          <w:tcPr>
            <w:tcW w:w="2880" w:type="dxa"/>
            <w:vAlign w:val="bottom"/>
            <w:tcBorders>
              <w:bottom w:val="single" w:sz="8" w:color="C0C0C0"/>
            </w:tcBorders>
            <w:gridSpan w:val="4"/>
            <w:shd w:val="clear" w:color="auto" w:fill="C0C0C0"/>
          </w:tcPr>
          <w:p>
            <w:pPr>
              <w:spacing w:after="0"/>
              <w:rPr>
                <w:sz w:val="20"/>
                <w:szCs w:val="20"/>
                <w:color w:val="auto"/>
              </w:rPr>
            </w:pPr>
            <w:r>
              <w:rPr>
                <w:rFonts w:ascii="Arial" w:cs="Arial" w:eastAsia="Arial" w:hAnsi="Arial"/>
                <w:sz w:val="20"/>
                <w:szCs w:val="20"/>
                <w:b w:val="1"/>
                <w:bCs w:val="1"/>
                <w:color w:val="auto"/>
              </w:rPr>
              <w:t>Total Other Investment</w:t>
            </w:r>
          </w:p>
        </w:tc>
        <w:tc>
          <w:tcPr>
            <w:tcW w:w="3960" w:type="dxa"/>
            <w:vAlign w:val="bottom"/>
            <w:tcBorders>
              <w:bottom w:val="single" w:sz="8" w:color="C0C0C0"/>
            </w:tcBorders>
            <w:shd w:val="clear" w:color="auto" w:fill="C0C0C0"/>
          </w:tcPr>
          <w:p>
            <w:pPr>
              <w:spacing w:after="0"/>
              <w:rPr>
                <w:sz w:val="22"/>
                <w:szCs w:val="22"/>
                <w:color w:val="auto"/>
              </w:rPr>
            </w:pPr>
          </w:p>
        </w:tc>
        <w:tc>
          <w:tcPr>
            <w:tcW w:w="2400" w:type="dxa"/>
            <w:vAlign w:val="bottom"/>
            <w:tcBorders>
              <w:bottom w:val="single" w:sz="8" w:color="C0C0C0"/>
            </w:tcBorders>
            <w:shd w:val="clear" w:color="auto" w:fill="C0C0C0"/>
          </w:tcPr>
          <w:p>
            <w:pPr>
              <w:spacing w:after="0"/>
              <w:rPr>
                <w:sz w:val="22"/>
                <w:szCs w:val="22"/>
                <w:color w:val="auto"/>
              </w:rPr>
            </w:pPr>
          </w:p>
        </w:tc>
        <w:tc>
          <w:tcPr>
            <w:tcW w:w="1540" w:type="dxa"/>
            <w:vAlign w:val="bottom"/>
            <w:tcBorders>
              <w:bottom w:val="single" w:sz="8" w:color="C0C0C0"/>
            </w:tcBorders>
            <w:shd w:val="clear" w:color="auto" w:fill="C0C0C0"/>
          </w:tcPr>
          <w:p>
            <w:pPr>
              <w:jc w:val="right"/>
              <w:ind w:right="30"/>
              <w:spacing w:after="0"/>
              <w:rPr>
                <w:sz w:val="20"/>
                <w:szCs w:val="20"/>
                <w:color w:val="auto"/>
              </w:rPr>
            </w:pPr>
            <w:r>
              <w:rPr>
                <w:rFonts w:ascii="Arial" w:cs="Arial" w:eastAsia="Arial" w:hAnsi="Arial"/>
                <w:sz w:val="18"/>
                <w:szCs w:val="18"/>
                <w:b w:val="1"/>
                <w:bCs w:val="1"/>
                <w:color w:val="auto"/>
              </w:rPr>
              <w:t>$ 1,000,000</w:t>
            </w:r>
          </w:p>
        </w:tc>
      </w:tr>
      <w:tr>
        <w:trPr>
          <w:trHeight w:val="318"/>
        </w:trPr>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960" w:type="dxa"/>
            <w:vAlign w:val="bottom"/>
          </w:tcPr>
          <w:p>
            <w:pPr>
              <w:spacing w:after="0"/>
              <w:rPr>
                <w:sz w:val="24"/>
                <w:szCs w:val="24"/>
                <w:color w:val="auto"/>
              </w:rPr>
            </w:pPr>
          </w:p>
        </w:tc>
        <w:tc>
          <w:tcPr>
            <w:tcW w:w="2400" w:type="dxa"/>
            <w:vAlign w:val="bottom"/>
          </w:tcPr>
          <w:p>
            <w:pPr>
              <w:spacing w:after="0"/>
              <w:rPr>
                <w:sz w:val="24"/>
                <w:szCs w:val="24"/>
                <w:color w:val="auto"/>
              </w:rPr>
            </w:pPr>
          </w:p>
        </w:tc>
        <w:tc>
          <w:tcPr>
            <w:tcW w:w="1540" w:type="dxa"/>
            <w:vAlign w:val="bottom"/>
            <w:tcBorders>
              <w:top w:val="single" w:sz="8" w:color="auto"/>
              <w:bottom w:val="single" w:sz="8" w:color="auto"/>
            </w:tcBorders>
          </w:tcPr>
          <w:p>
            <w:pPr>
              <w:spacing w:after="0"/>
              <w:rPr>
                <w:sz w:val="24"/>
                <w:szCs w:val="24"/>
                <w:color w:val="auto"/>
              </w:rPr>
            </w:pPr>
          </w:p>
        </w:tc>
      </w:tr>
    </w:tbl>
    <w:p>
      <w:pPr>
        <w:sectPr>
          <w:pgSz w:w="11900" w:h="16838" w:orient="portrait"/>
          <w:cols w:equalWidth="0" w:num="1">
            <w:col w:w="10800"/>
          </w:cols>
          <w:pgMar w:left="560" w:top="530" w:right="539" w:bottom="1440" w:gutter="0" w:footer="0" w:header="0"/>
        </w:sectPr>
      </w:pPr>
    </w:p>
    <w:bookmarkStart w:id="284" w:name="page285"/>
    <w:bookmarkEnd w:id="284"/>
    <w:p>
      <w:pPr>
        <w:spacing w:after="0" w:line="1" w:lineRule="exact"/>
        <w:rPr>
          <w:sz w:val="20"/>
          <w:szCs w:val="20"/>
          <w:color w:val="auto"/>
        </w:rPr>
      </w:pPr>
    </w:p>
    <w:tbl>
      <w:tblPr>
        <w:tblLayout w:type="fixed"/>
        <w:tblInd w:w="300" w:type="dxa"/>
        <w:tblCellMar>
          <w:top w:w="0" w:type="dxa"/>
          <w:left w:w="0" w:type="dxa"/>
          <w:bottom w:w="0" w:type="dxa"/>
          <w:right w:w="0" w:type="dxa"/>
        </w:tblCellMar>
      </w:tblPr>
      <w:tr>
        <w:trPr>
          <w:trHeight w:val="238"/>
        </w:trPr>
        <w:tc>
          <w:tcPr>
            <w:tcW w:w="9500" w:type="dxa"/>
            <w:vAlign w:val="bottom"/>
            <w:tcBorders>
              <w:top w:val="single" w:sz="8" w:color="C0C0C0"/>
            </w:tcBorders>
            <w:vMerge w:val="restart"/>
            <w:shd w:val="clear" w:color="auto" w:fill="C0C0C0"/>
          </w:tcPr>
          <w:p>
            <w:pPr>
              <w:ind w:left="20"/>
              <w:spacing w:after="0"/>
              <w:rPr>
                <w:sz w:val="20"/>
                <w:szCs w:val="20"/>
                <w:color w:val="auto"/>
              </w:rPr>
            </w:pPr>
            <w:r>
              <w:rPr>
                <w:rFonts w:ascii="Arial" w:cs="Arial" w:eastAsia="Arial" w:hAnsi="Arial"/>
                <w:sz w:val="20"/>
                <w:szCs w:val="20"/>
                <w:b w:val="1"/>
                <w:bCs w:val="1"/>
                <w:color w:val="auto"/>
              </w:rPr>
              <w:t>Total Existing Investments</w:t>
            </w:r>
          </w:p>
        </w:tc>
        <w:tc>
          <w:tcPr>
            <w:tcW w:w="1300" w:type="dxa"/>
            <w:vAlign w:val="bottom"/>
            <w:tcBorders>
              <w:top w:val="single" w:sz="8" w:color="auto"/>
            </w:tcBorders>
            <w:shd w:val="clear" w:color="auto" w:fill="C0C0C0"/>
          </w:tcPr>
          <w:p>
            <w:pPr>
              <w:jc w:val="right"/>
              <w:ind w:right="3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57"/>
        </w:trPr>
        <w:tc>
          <w:tcPr>
            <w:tcW w:w="9500" w:type="dxa"/>
            <w:vAlign w:val="bottom"/>
            <w:tcBorders>
              <w:bottom w:val="single" w:sz="8" w:color="C0C0C0"/>
            </w:tcBorders>
            <w:vMerge w:val="continue"/>
            <w:shd w:val="clear" w:color="auto" w:fill="C0C0C0"/>
          </w:tcPr>
          <w:p>
            <w:pPr>
              <w:spacing w:after="0"/>
              <w:rPr>
                <w:sz w:val="22"/>
                <w:szCs w:val="22"/>
                <w:color w:val="auto"/>
              </w:rPr>
            </w:pPr>
          </w:p>
        </w:tc>
        <w:tc>
          <w:tcPr>
            <w:tcW w:w="1300" w:type="dxa"/>
            <w:vAlign w:val="bottom"/>
            <w:tcBorders>
              <w:bottom w:val="single" w:sz="8" w:color="auto"/>
            </w:tcBorders>
            <w:shd w:val="clear" w:color="auto" w:fill="C0C0C0"/>
          </w:tcPr>
          <w:p>
            <w:pPr>
              <w:jc w:val="right"/>
              <w:ind w:right="30"/>
              <w:spacing w:after="0"/>
              <w:rPr>
                <w:sz w:val="20"/>
                <w:szCs w:val="20"/>
                <w:color w:val="auto"/>
              </w:rPr>
            </w:pPr>
            <w:r>
              <w:rPr>
                <w:rFonts w:ascii="Arial" w:cs="Arial" w:eastAsia="Arial" w:hAnsi="Arial"/>
                <w:sz w:val="18"/>
                <w:szCs w:val="18"/>
                <w:b w:val="1"/>
                <w:bCs w:val="1"/>
                <w:color w:val="auto"/>
              </w:rPr>
              <w:t>2,436,429,753</w:t>
            </w:r>
          </w:p>
        </w:tc>
        <w:tc>
          <w:tcPr>
            <w:tcW w:w="0" w:type="dxa"/>
            <w:vAlign w:val="bottom"/>
          </w:tcPr>
          <w:p>
            <w:pPr>
              <w:spacing w:after="0"/>
              <w:rPr>
                <w:sz w:val="1"/>
                <w:szCs w:val="1"/>
                <w:color w:val="auto"/>
              </w:rPr>
            </w:pPr>
          </w:p>
        </w:tc>
      </w:tr>
      <w:tr>
        <w:trPr>
          <w:trHeight w:val="20"/>
        </w:trPr>
        <w:tc>
          <w:tcPr>
            <w:tcW w:w="950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u w:val="single" w:color="auto"/>
          <w:color w:val="auto"/>
        </w:rPr>
        <w:t>Schedule 8.03 - Existing Indebtedness</w:t>
      </w:r>
    </w:p>
    <w:p>
      <w:pPr>
        <w:spacing w:after="0" w:line="34"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20" w:type="dxa"/>
            <w:vAlign w:val="bottom"/>
            <w:tcBorders>
              <w:top w:val="single" w:sz="8" w:color="auto"/>
            </w:tcBorders>
            <w:shd w:val="clear" w:color="auto" w:fill="C0C0C0"/>
          </w:tcPr>
          <w:p>
            <w:pPr>
              <w:spacing w:after="0"/>
              <w:rPr>
                <w:sz w:val="19"/>
                <w:szCs w:val="19"/>
                <w:color w:val="auto"/>
              </w:rPr>
            </w:pPr>
          </w:p>
        </w:tc>
        <w:tc>
          <w:tcPr>
            <w:tcW w:w="1240" w:type="dxa"/>
            <w:vAlign w:val="bottom"/>
            <w:tcBorders>
              <w:top w:val="single" w:sz="8" w:color="auto"/>
            </w:tcBorders>
            <w:shd w:val="clear" w:color="auto" w:fill="C0C0C0"/>
          </w:tcPr>
          <w:p>
            <w:pPr>
              <w:spacing w:after="0"/>
              <w:rPr>
                <w:sz w:val="19"/>
                <w:szCs w:val="19"/>
                <w:color w:val="auto"/>
              </w:rPr>
            </w:pPr>
          </w:p>
        </w:tc>
        <w:tc>
          <w:tcPr>
            <w:tcW w:w="2040" w:type="dxa"/>
            <w:vAlign w:val="bottom"/>
            <w:tcBorders>
              <w:top w:val="single" w:sz="8" w:color="auto"/>
            </w:tcBorders>
            <w:shd w:val="clear" w:color="auto" w:fill="C0C0C0"/>
          </w:tcPr>
          <w:p>
            <w:pPr>
              <w:spacing w:after="0"/>
              <w:rPr>
                <w:sz w:val="19"/>
                <w:szCs w:val="19"/>
                <w:color w:val="auto"/>
              </w:rPr>
            </w:pPr>
          </w:p>
        </w:tc>
        <w:tc>
          <w:tcPr>
            <w:tcW w:w="1360" w:type="dxa"/>
            <w:vAlign w:val="bottom"/>
            <w:tcBorders>
              <w:top w:val="single" w:sz="8" w:color="auto"/>
            </w:tcBorders>
            <w:shd w:val="clear" w:color="auto" w:fill="C0C0C0"/>
          </w:tcPr>
          <w:p>
            <w:pPr>
              <w:spacing w:after="0"/>
              <w:rPr>
                <w:sz w:val="19"/>
                <w:szCs w:val="19"/>
                <w:color w:val="auto"/>
              </w:rPr>
            </w:pPr>
          </w:p>
        </w:tc>
        <w:tc>
          <w:tcPr>
            <w:tcW w:w="1700" w:type="dxa"/>
            <w:vAlign w:val="bottom"/>
            <w:tcBorders>
              <w:top w:val="single" w:sz="8" w:color="auto"/>
            </w:tcBorders>
            <w:shd w:val="clear" w:color="auto" w:fill="C0C0C0"/>
          </w:tcPr>
          <w:p>
            <w:pPr>
              <w:spacing w:after="0"/>
              <w:rPr>
                <w:sz w:val="19"/>
                <w:szCs w:val="19"/>
                <w:color w:val="auto"/>
              </w:rPr>
            </w:pPr>
          </w:p>
        </w:tc>
        <w:tc>
          <w:tcPr>
            <w:tcW w:w="2320" w:type="dxa"/>
            <w:vAlign w:val="bottom"/>
            <w:tcBorders>
              <w:top w:val="single" w:sz="8" w:color="auto"/>
            </w:tcBorders>
            <w:shd w:val="clear" w:color="auto" w:fill="C0C0C0"/>
          </w:tcPr>
          <w:p>
            <w:pPr>
              <w:spacing w:after="0"/>
              <w:rPr>
                <w:sz w:val="19"/>
                <w:szCs w:val="19"/>
                <w:color w:val="auto"/>
              </w:rPr>
            </w:pPr>
          </w:p>
        </w:tc>
        <w:tc>
          <w:tcPr>
            <w:tcW w:w="1540" w:type="dxa"/>
            <w:vAlign w:val="bottom"/>
            <w:tcBorders>
              <w:top w:val="single" w:sz="8" w:color="auto"/>
            </w:tcBorders>
            <w:shd w:val="clear" w:color="auto" w:fill="C0C0C0"/>
          </w:tcPr>
          <w:p>
            <w:pPr>
              <w:jc w:val="right"/>
              <w:spacing w:after="0"/>
              <w:rPr>
                <w:sz w:val="20"/>
                <w:szCs w:val="20"/>
                <w:color w:val="auto"/>
              </w:rPr>
            </w:pPr>
            <w:r>
              <w:rPr>
                <w:rFonts w:ascii="Arial" w:cs="Arial" w:eastAsia="Arial" w:hAnsi="Arial"/>
                <w:sz w:val="16"/>
                <w:szCs w:val="16"/>
                <w:b w:val="1"/>
                <w:bCs w:val="1"/>
                <w:color w:val="auto"/>
              </w:rPr>
              <w:t>Local Currency</w:t>
            </w:r>
          </w:p>
        </w:tc>
        <w:tc>
          <w:tcPr>
            <w:tcW w:w="1180" w:type="dxa"/>
            <w:vAlign w:val="bottom"/>
            <w:tcBorders>
              <w:top w:val="single" w:sz="8" w:color="auto"/>
            </w:tcBorders>
            <w:shd w:val="clear" w:color="auto" w:fill="C0C0C0"/>
          </w:tcPr>
          <w:p>
            <w:pPr>
              <w:spacing w:after="0"/>
              <w:rPr>
                <w:sz w:val="19"/>
                <w:szCs w:val="19"/>
                <w:color w:val="auto"/>
              </w:rPr>
            </w:pPr>
          </w:p>
        </w:tc>
      </w:tr>
      <w:tr>
        <w:trPr>
          <w:trHeight w:val="248"/>
        </w:trPr>
        <w:tc>
          <w:tcPr>
            <w:tcW w:w="20" w:type="dxa"/>
            <w:vAlign w:val="bottom"/>
            <w:tcBorders>
              <w:bottom w:val="single" w:sz="8" w:color="C0C0C0"/>
            </w:tcBorders>
            <w:shd w:val="clear" w:color="auto" w:fill="C0C0C0"/>
          </w:tcPr>
          <w:p>
            <w:pPr>
              <w:spacing w:after="0"/>
              <w:rPr>
                <w:sz w:val="21"/>
                <w:szCs w:val="21"/>
                <w:color w:val="auto"/>
              </w:rPr>
            </w:pPr>
          </w:p>
        </w:tc>
        <w:tc>
          <w:tcPr>
            <w:tcW w:w="3280" w:type="dxa"/>
            <w:vAlign w:val="bottom"/>
            <w:tcBorders>
              <w:bottom w:val="single" w:sz="8" w:color="C0C0C0"/>
            </w:tcBorders>
            <w:gridSpan w:val="2"/>
            <w:shd w:val="clear" w:color="auto" w:fill="C0C0C0"/>
          </w:tcPr>
          <w:p>
            <w:pPr>
              <w:spacing w:after="0"/>
              <w:rPr>
                <w:sz w:val="20"/>
                <w:szCs w:val="20"/>
                <w:color w:val="auto"/>
              </w:rPr>
            </w:pPr>
            <w:r>
              <w:rPr>
                <w:rFonts w:ascii="Arial" w:cs="Arial" w:eastAsia="Arial" w:hAnsi="Arial"/>
                <w:sz w:val="16"/>
                <w:szCs w:val="16"/>
                <w:b w:val="1"/>
                <w:bCs w:val="1"/>
                <w:color w:val="auto"/>
              </w:rPr>
              <w:t>Debtor Name</w:t>
            </w:r>
          </w:p>
        </w:tc>
        <w:tc>
          <w:tcPr>
            <w:tcW w:w="1360" w:type="dxa"/>
            <w:vAlign w:val="bottom"/>
            <w:tcBorders>
              <w:bottom w:val="single" w:sz="8" w:color="C0C0C0"/>
            </w:tcBorders>
            <w:shd w:val="clear" w:color="auto" w:fill="C0C0C0"/>
          </w:tcPr>
          <w:p>
            <w:pPr>
              <w:ind w:left="120"/>
              <w:spacing w:after="0"/>
              <w:rPr>
                <w:sz w:val="20"/>
                <w:szCs w:val="20"/>
                <w:color w:val="auto"/>
              </w:rPr>
            </w:pPr>
            <w:r>
              <w:rPr>
                <w:rFonts w:ascii="Arial" w:cs="Arial" w:eastAsia="Arial" w:hAnsi="Arial"/>
                <w:sz w:val="16"/>
                <w:szCs w:val="16"/>
                <w:b w:val="1"/>
                <w:bCs w:val="1"/>
                <w:color w:val="auto"/>
              </w:rPr>
              <w:t>Creditor Name</w:t>
            </w:r>
          </w:p>
        </w:tc>
        <w:tc>
          <w:tcPr>
            <w:tcW w:w="1700" w:type="dxa"/>
            <w:vAlign w:val="bottom"/>
            <w:tcBorders>
              <w:bottom w:val="single" w:sz="8" w:color="C0C0C0"/>
            </w:tcBorders>
            <w:shd w:val="clear" w:color="auto" w:fill="C0C0C0"/>
          </w:tcPr>
          <w:p>
            <w:pPr>
              <w:ind w:left="120"/>
              <w:spacing w:after="0"/>
              <w:rPr>
                <w:sz w:val="20"/>
                <w:szCs w:val="20"/>
                <w:color w:val="auto"/>
              </w:rPr>
            </w:pPr>
            <w:r>
              <w:rPr>
                <w:rFonts w:ascii="Arial" w:cs="Arial" w:eastAsia="Arial" w:hAnsi="Arial"/>
                <w:sz w:val="16"/>
                <w:szCs w:val="16"/>
                <w:b w:val="1"/>
                <w:bCs w:val="1"/>
                <w:color w:val="auto"/>
                <w:w w:val="94"/>
              </w:rPr>
              <w:t>Type of Indebtedness</w:t>
            </w:r>
          </w:p>
        </w:tc>
        <w:tc>
          <w:tcPr>
            <w:tcW w:w="2320" w:type="dxa"/>
            <w:vAlign w:val="bottom"/>
            <w:tcBorders>
              <w:bottom w:val="single" w:sz="8" w:color="C0C0C0"/>
            </w:tcBorders>
            <w:shd w:val="clear" w:color="auto" w:fill="C0C0C0"/>
          </w:tcPr>
          <w:p>
            <w:pPr>
              <w:ind w:left="120"/>
              <w:spacing w:after="0"/>
              <w:rPr>
                <w:sz w:val="20"/>
                <w:szCs w:val="20"/>
                <w:color w:val="auto"/>
              </w:rPr>
            </w:pPr>
            <w:r>
              <w:rPr>
                <w:rFonts w:ascii="Arial" w:cs="Arial" w:eastAsia="Arial" w:hAnsi="Arial"/>
                <w:sz w:val="16"/>
                <w:szCs w:val="16"/>
                <w:b w:val="1"/>
                <w:bCs w:val="1"/>
                <w:color w:val="auto"/>
              </w:rPr>
              <w:t>Description</w:t>
            </w:r>
          </w:p>
        </w:tc>
        <w:tc>
          <w:tcPr>
            <w:tcW w:w="1540" w:type="dxa"/>
            <w:vAlign w:val="bottom"/>
            <w:tcBorders>
              <w:bottom w:val="single" w:sz="8" w:color="C0C0C0"/>
            </w:tcBorders>
            <w:shd w:val="clear" w:color="auto" w:fill="C0C0C0"/>
          </w:tcPr>
          <w:p>
            <w:pPr>
              <w:jc w:val="right"/>
              <w:spacing w:after="0"/>
              <w:rPr>
                <w:sz w:val="20"/>
                <w:szCs w:val="20"/>
                <w:color w:val="auto"/>
              </w:rPr>
            </w:pPr>
            <w:r>
              <w:rPr>
                <w:rFonts w:ascii="Arial" w:cs="Arial" w:eastAsia="Arial" w:hAnsi="Arial"/>
                <w:sz w:val="16"/>
                <w:szCs w:val="16"/>
                <w:b w:val="1"/>
                <w:bCs w:val="1"/>
                <w:color w:val="auto"/>
              </w:rPr>
              <w:t>Amount</w:t>
            </w:r>
          </w:p>
        </w:tc>
        <w:tc>
          <w:tcPr>
            <w:tcW w:w="1180" w:type="dxa"/>
            <w:vAlign w:val="bottom"/>
            <w:tcBorders>
              <w:bottom w:val="single" w:sz="8" w:color="C0C0C0"/>
            </w:tcBorders>
            <w:shd w:val="clear" w:color="auto" w:fill="C0C0C0"/>
          </w:tcPr>
          <w:p>
            <w:pPr>
              <w:jc w:val="right"/>
              <w:spacing w:after="0"/>
              <w:rPr>
                <w:sz w:val="20"/>
                <w:szCs w:val="20"/>
                <w:color w:val="auto"/>
              </w:rPr>
            </w:pPr>
            <w:r>
              <w:rPr>
                <w:rFonts w:ascii="Arial" w:cs="Arial" w:eastAsia="Arial" w:hAnsi="Arial"/>
                <w:sz w:val="16"/>
                <w:szCs w:val="16"/>
                <w:b w:val="1"/>
                <w:bCs w:val="1"/>
                <w:color w:val="auto"/>
              </w:rPr>
              <w:t>USD Amount</w:t>
            </w:r>
          </w:p>
        </w:tc>
      </w:tr>
      <w:tr>
        <w:trPr>
          <w:trHeight w:val="466"/>
        </w:trPr>
        <w:tc>
          <w:tcPr>
            <w:tcW w:w="20" w:type="dxa"/>
            <w:vAlign w:val="bottom"/>
            <w:tcBorders>
              <w:top w:val="single" w:sz="8" w:color="auto"/>
            </w:tcBorders>
          </w:tcPr>
          <w:p>
            <w:pPr>
              <w:spacing w:after="0"/>
              <w:rPr>
                <w:sz w:val="24"/>
                <w:szCs w:val="24"/>
                <w:color w:val="auto"/>
              </w:rPr>
            </w:pPr>
          </w:p>
        </w:tc>
        <w:tc>
          <w:tcPr>
            <w:tcW w:w="1240" w:type="dxa"/>
            <w:vAlign w:val="bottom"/>
            <w:tcBorders>
              <w:top w:val="single" w:sz="8" w:color="auto"/>
              <w:bottom w:val="single" w:sz="8" w:color="auto"/>
            </w:tcBorders>
          </w:tcPr>
          <w:p>
            <w:pPr>
              <w:spacing w:after="0"/>
              <w:rPr>
                <w:sz w:val="20"/>
                <w:szCs w:val="20"/>
                <w:color w:val="auto"/>
              </w:rPr>
            </w:pPr>
            <w:r>
              <w:rPr>
                <w:rFonts w:ascii="Arial" w:cs="Arial" w:eastAsia="Arial" w:hAnsi="Arial"/>
                <w:sz w:val="16"/>
                <w:szCs w:val="16"/>
                <w:b w:val="1"/>
                <w:bCs w:val="1"/>
                <w:i w:val="1"/>
                <w:iCs w:val="1"/>
                <w:color w:val="auto"/>
                <w:w w:val="89"/>
              </w:rPr>
              <w:t>Bank Guarantees:</w:t>
            </w:r>
          </w:p>
        </w:tc>
        <w:tc>
          <w:tcPr>
            <w:tcW w:w="2040" w:type="dxa"/>
            <w:vAlign w:val="bottom"/>
            <w:tcBorders>
              <w:top w:val="single" w:sz="8" w:color="auto"/>
            </w:tcBorders>
          </w:tcPr>
          <w:p>
            <w:pPr>
              <w:spacing w:after="0"/>
              <w:rPr>
                <w:sz w:val="24"/>
                <w:szCs w:val="24"/>
                <w:color w:val="auto"/>
              </w:rPr>
            </w:pPr>
          </w:p>
        </w:tc>
        <w:tc>
          <w:tcPr>
            <w:tcW w:w="1360" w:type="dxa"/>
            <w:vAlign w:val="bottom"/>
            <w:tcBorders>
              <w:top w:val="single" w:sz="8" w:color="auto"/>
            </w:tcBorders>
          </w:tcPr>
          <w:p>
            <w:pPr>
              <w:spacing w:after="0"/>
              <w:rPr>
                <w:sz w:val="24"/>
                <w:szCs w:val="24"/>
                <w:color w:val="auto"/>
              </w:rPr>
            </w:pPr>
          </w:p>
        </w:tc>
        <w:tc>
          <w:tcPr>
            <w:tcW w:w="1700" w:type="dxa"/>
            <w:vAlign w:val="bottom"/>
            <w:tcBorders>
              <w:top w:val="single" w:sz="8" w:color="auto"/>
            </w:tcBorders>
          </w:tcPr>
          <w:p>
            <w:pPr>
              <w:spacing w:after="0"/>
              <w:rPr>
                <w:sz w:val="24"/>
                <w:szCs w:val="24"/>
                <w:color w:val="auto"/>
              </w:rPr>
            </w:pPr>
          </w:p>
        </w:tc>
        <w:tc>
          <w:tcPr>
            <w:tcW w:w="2320" w:type="dxa"/>
            <w:vAlign w:val="bottom"/>
            <w:tcBorders>
              <w:top w:val="single" w:sz="8" w:color="auto"/>
            </w:tcBorders>
          </w:tcPr>
          <w:p>
            <w:pPr>
              <w:spacing w:after="0"/>
              <w:rPr>
                <w:sz w:val="24"/>
                <w:szCs w:val="24"/>
                <w:color w:val="auto"/>
              </w:rPr>
            </w:pPr>
          </w:p>
        </w:tc>
        <w:tc>
          <w:tcPr>
            <w:tcW w:w="1540" w:type="dxa"/>
            <w:vAlign w:val="bottom"/>
            <w:tcBorders>
              <w:top w:val="single" w:sz="8" w:color="auto"/>
            </w:tcBorders>
          </w:tcPr>
          <w:p>
            <w:pPr>
              <w:spacing w:after="0"/>
              <w:rPr>
                <w:sz w:val="24"/>
                <w:szCs w:val="24"/>
                <w:color w:val="auto"/>
              </w:rPr>
            </w:pPr>
          </w:p>
        </w:tc>
        <w:tc>
          <w:tcPr>
            <w:tcW w:w="1180" w:type="dxa"/>
            <w:vAlign w:val="bottom"/>
            <w:tcBorders>
              <w:top w:val="single" w:sz="8" w:color="auto"/>
            </w:tcBorders>
          </w:tcPr>
          <w:p>
            <w:pPr>
              <w:spacing w:after="0"/>
              <w:rPr>
                <w:sz w:val="24"/>
                <w:szCs w:val="24"/>
                <w:color w:val="auto"/>
              </w:rPr>
            </w:pPr>
          </w:p>
        </w:tc>
      </w:tr>
      <w:tr>
        <w:trPr>
          <w:trHeight w:val="541"/>
        </w:trPr>
        <w:tc>
          <w:tcPr>
            <w:tcW w:w="20" w:type="dxa"/>
            <w:vAlign w:val="bottom"/>
          </w:tcPr>
          <w:p>
            <w:pPr>
              <w:spacing w:after="0"/>
              <w:rPr>
                <w:sz w:val="24"/>
                <w:szCs w:val="24"/>
                <w:color w:val="auto"/>
              </w:rPr>
            </w:pPr>
          </w:p>
        </w:tc>
        <w:tc>
          <w:tcPr>
            <w:tcW w:w="3280" w:type="dxa"/>
            <w:vAlign w:val="bottom"/>
            <w:gridSpan w:val="2"/>
          </w:tcPr>
          <w:p>
            <w:pPr>
              <w:spacing w:after="0"/>
              <w:rPr>
                <w:sz w:val="20"/>
                <w:szCs w:val="20"/>
                <w:color w:val="auto"/>
              </w:rPr>
            </w:pPr>
            <w:r>
              <w:rPr>
                <w:rFonts w:ascii="Arial" w:cs="Arial" w:eastAsia="Arial" w:hAnsi="Arial"/>
                <w:sz w:val="16"/>
                <w:szCs w:val="16"/>
                <w:color w:val="auto"/>
              </w:rPr>
              <w:t>EWI (on behalf of cadooz GmbH)</w:t>
            </w:r>
          </w:p>
        </w:tc>
        <w:tc>
          <w:tcPr>
            <w:tcW w:w="1360" w:type="dxa"/>
            <w:vAlign w:val="bottom"/>
          </w:tcPr>
          <w:p>
            <w:pPr>
              <w:ind w:left="120"/>
              <w:spacing w:after="0"/>
              <w:rPr>
                <w:sz w:val="20"/>
                <w:szCs w:val="20"/>
                <w:color w:val="auto"/>
              </w:rPr>
            </w:pPr>
            <w:r>
              <w:rPr>
                <w:rFonts w:ascii="Arial" w:cs="Arial" w:eastAsia="Arial" w:hAnsi="Arial"/>
                <w:sz w:val="16"/>
                <w:szCs w:val="16"/>
                <w:color w:val="auto"/>
              </w:rPr>
              <w:t>Bank of America</w:t>
            </w:r>
          </w:p>
        </w:tc>
        <w:tc>
          <w:tcPr>
            <w:tcW w:w="1700" w:type="dxa"/>
            <w:vAlign w:val="bottom"/>
          </w:tcPr>
          <w:p>
            <w:pPr>
              <w:ind w:left="120"/>
              <w:spacing w:after="0"/>
              <w:rPr>
                <w:sz w:val="20"/>
                <w:szCs w:val="20"/>
                <w:color w:val="auto"/>
              </w:rPr>
            </w:pPr>
            <w:r>
              <w:rPr>
                <w:rFonts w:ascii="Arial" w:cs="Arial" w:eastAsia="Arial" w:hAnsi="Arial"/>
                <w:sz w:val="16"/>
                <w:szCs w:val="16"/>
                <w:color w:val="auto"/>
              </w:rPr>
              <w:t>Bank Guarantee/LC</w:t>
            </w:r>
          </w:p>
        </w:tc>
        <w:tc>
          <w:tcPr>
            <w:tcW w:w="2320" w:type="dxa"/>
            <w:vAlign w:val="bottom"/>
          </w:tcPr>
          <w:p>
            <w:pPr>
              <w:ind w:left="120"/>
              <w:spacing w:after="0"/>
              <w:rPr>
                <w:sz w:val="20"/>
                <w:szCs w:val="20"/>
                <w:color w:val="auto"/>
              </w:rPr>
            </w:pPr>
            <w:r>
              <w:rPr>
                <w:rFonts w:ascii="Arial" w:cs="Arial" w:eastAsia="Arial" w:hAnsi="Arial"/>
                <w:sz w:val="16"/>
                <w:szCs w:val="16"/>
                <w:color w:val="auto"/>
              </w:rPr>
              <w:t>Trade Credit</w:t>
            </w:r>
          </w:p>
        </w:tc>
        <w:tc>
          <w:tcPr>
            <w:tcW w:w="1540" w:type="dxa"/>
            <w:vAlign w:val="bottom"/>
          </w:tcPr>
          <w:p>
            <w:pPr>
              <w:jc w:val="right"/>
              <w:spacing w:after="0"/>
              <w:rPr>
                <w:sz w:val="20"/>
                <w:szCs w:val="20"/>
                <w:color w:val="auto"/>
              </w:rPr>
            </w:pPr>
            <w:r>
              <w:rPr>
                <w:rFonts w:ascii="Arial" w:cs="Arial" w:eastAsia="Arial" w:hAnsi="Arial"/>
                <w:sz w:val="16"/>
                <w:szCs w:val="16"/>
                <w:color w:val="auto"/>
              </w:rPr>
              <w:t>EUR 385,000</w:t>
            </w:r>
          </w:p>
        </w:tc>
        <w:tc>
          <w:tcPr>
            <w:tcW w:w="1180" w:type="dxa"/>
            <w:vAlign w:val="bottom"/>
          </w:tcPr>
          <w:p>
            <w:pPr>
              <w:jc w:val="right"/>
              <w:spacing w:after="0"/>
              <w:rPr>
                <w:sz w:val="20"/>
                <w:szCs w:val="20"/>
                <w:color w:val="auto"/>
              </w:rPr>
            </w:pPr>
            <w:r>
              <w:rPr>
                <w:rFonts w:ascii="Arial" w:cs="Arial" w:eastAsia="Arial" w:hAnsi="Arial"/>
                <w:sz w:val="16"/>
                <w:szCs w:val="16"/>
                <w:color w:val="auto"/>
              </w:rPr>
              <w:t>520,251</w:t>
            </w:r>
          </w:p>
        </w:tc>
      </w:tr>
      <w:tr>
        <w:trPr>
          <w:trHeight w:val="33"/>
        </w:trPr>
        <w:tc>
          <w:tcPr>
            <w:tcW w:w="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0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700" w:type="dxa"/>
            <w:vAlign w:val="bottom"/>
          </w:tcPr>
          <w:p>
            <w:pPr>
              <w:spacing w:after="0"/>
              <w:rPr>
                <w:sz w:val="2"/>
                <w:szCs w:val="2"/>
                <w:color w:val="auto"/>
              </w:rPr>
            </w:pPr>
          </w:p>
        </w:tc>
        <w:tc>
          <w:tcPr>
            <w:tcW w:w="232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17"/>
        </w:trPr>
        <w:tc>
          <w:tcPr>
            <w:tcW w:w="20" w:type="dxa"/>
            <w:vAlign w:val="bottom"/>
          </w:tcPr>
          <w:p>
            <w:pPr>
              <w:spacing w:after="0"/>
              <w:rPr>
                <w:sz w:val="18"/>
                <w:szCs w:val="18"/>
                <w:color w:val="auto"/>
              </w:rPr>
            </w:pPr>
          </w:p>
        </w:tc>
        <w:tc>
          <w:tcPr>
            <w:tcW w:w="3280" w:type="dxa"/>
            <w:vAlign w:val="bottom"/>
            <w:gridSpan w:val="2"/>
          </w:tcPr>
          <w:p>
            <w:pPr>
              <w:spacing w:after="0"/>
              <w:rPr>
                <w:sz w:val="20"/>
                <w:szCs w:val="20"/>
                <w:color w:val="auto"/>
              </w:rPr>
            </w:pPr>
            <w:r>
              <w:rPr>
                <w:rFonts w:ascii="Arial" w:cs="Arial" w:eastAsia="Arial" w:hAnsi="Arial"/>
                <w:sz w:val="16"/>
                <w:szCs w:val="16"/>
                <w:b w:val="1"/>
                <w:bCs w:val="1"/>
                <w:color w:val="auto"/>
              </w:rPr>
              <w:t>cadooz GmbH Total</w:t>
            </w:r>
          </w:p>
        </w:tc>
        <w:tc>
          <w:tcPr>
            <w:tcW w:w="136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232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b w:val="1"/>
                <w:bCs w:val="1"/>
                <w:color w:val="auto"/>
              </w:rPr>
              <w:t>520,251</w:t>
            </w:r>
          </w:p>
        </w:tc>
      </w:tr>
      <w:tr>
        <w:trPr>
          <w:trHeight w:val="523"/>
        </w:trPr>
        <w:tc>
          <w:tcPr>
            <w:tcW w:w="20" w:type="dxa"/>
            <w:vAlign w:val="bottom"/>
          </w:tcPr>
          <w:p>
            <w:pPr>
              <w:spacing w:after="0"/>
              <w:rPr>
                <w:sz w:val="24"/>
                <w:szCs w:val="24"/>
                <w:color w:val="auto"/>
              </w:rPr>
            </w:pPr>
          </w:p>
        </w:tc>
        <w:tc>
          <w:tcPr>
            <w:tcW w:w="3280" w:type="dxa"/>
            <w:vAlign w:val="bottom"/>
            <w:gridSpan w:val="2"/>
          </w:tcPr>
          <w:p>
            <w:pPr>
              <w:spacing w:after="0"/>
              <w:rPr>
                <w:sz w:val="20"/>
                <w:szCs w:val="20"/>
                <w:color w:val="auto"/>
              </w:rPr>
            </w:pPr>
            <w:r>
              <w:rPr>
                <w:rFonts w:ascii="Arial" w:cs="Arial" w:eastAsia="Arial" w:hAnsi="Arial"/>
                <w:sz w:val="16"/>
                <w:szCs w:val="16"/>
                <w:color w:val="auto"/>
              </w:rPr>
              <w:t>EWI (on behalf of Continental Exchange</w:t>
            </w:r>
          </w:p>
        </w:tc>
        <w:tc>
          <w:tcPr>
            <w:tcW w:w="136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2320" w:type="dxa"/>
            <w:vAlign w:val="bottom"/>
          </w:tcPr>
          <w:p>
            <w:pPr>
              <w:ind w:left="120"/>
              <w:spacing w:after="0"/>
              <w:rPr>
                <w:sz w:val="20"/>
                <w:szCs w:val="20"/>
                <w:color w:val="auto"/>
              </w:rPr>
            </w:pPr>
            <w:r>
              <w:rPr>
                <w:rFonts w:ascii="Arial" w:cs="Arial" w:eastAsia="Arial" w:hAnsi="Arial"/>
                <w:sz w:val="16"/>
                <w:szCs w:val="16"/>
                <w:color w:val="auto"/>
              </w:rPr>
              <w:t>Correspondent bank money</w:t>
            </w:r>
          </w:p>
        </w:tc>
        <w:tc>
          <w:tcPr>
            <w:tcW w:w="1540" w:type="dxa"/>
            <w:vAlign w:val="bottom"/>
          </w:tcPr>
          <w:p>
            <w:pPr>
              <w:spacing w:after="0"/>
              <w:rPr>
                <w:sz w:val="24"/>
                <w:szCs w:val="24"/>
                <w:color w:val="auto"/>
              </w:rPr>
            </w:pPr>
          </w:p>
        </w:tc>
        <w:tc>
          <w:tcPr>
            <w:tcW w:w="1180" w:type="dxa"/>
            <w:vAlign w:val="bottom"/>
          </w:tcPr>
          <w:p>
            <w:pPr>
              <w:spacing w:after="0"/>
              <w:rPr>
                <w:sz w:val="24"/>
                <w:szCs w:val="24"/>
                <w:color w:val="auto"/>
              </w:rPr>
            </w:pPr>
          </w:p>
        </w:tc>
      </w:tr>
      <w:tr>
        <w:trPr>
          <w:trHeight w:val="206"/>
        </w:trPr>
        <w:tc>
          <w:tcPr>
            <w:tcW w:w="20" w:type="dxa"/>
            <w:vAlign w:val="bottom"/>
          </w:tcPr>
          <w:p>
            <w:pPr>
              <w:spacing w:after="0"/>
              <w:rPr>
                <w:sz w:val="17"/>
                <w:szCs w:val="17"/>
                <w:color w:val="auto"/>
              </w:rPr>
            </w:pPr>
          </w:p>
        </w:tc>
        <w:tc>
          <w:tcPr>
            <w:tcW w:w="3280" w:type="dxa"/>
            <w:vAlign w:val="bottom"/>
            <w:gridSpan w:val="2"/>
          </w:tcPr>
          <w:p>
            <w:pPr>
              <w:spacing w:after="0"/>
              <w:rPr>
                <w:sz w:val="20"/>
                <w:szCs w:val="20"/>
                <w:color w:val="auto"/>
              </w:rPr>
            </w:pPr>
            <w:r>
              <w:rPr>
                <w:rFonts w:ascii="Arial" w:cs="Arial" w:eastAsia="Arial" w:hAnsi="Arial"/>
                <w:sz w:val="16"/>
                <w:szCs w:val="16"/>
                <w:color w:val="auto"/>
              </w:rPr>
              <w:t>Solutions, Inc.)</w:t>
            </w:r>
          </w:p>
        </w:tc>
        <w:tc>
          <w:tcPr>
            <w:tcW w:w="1360" w:type="dxa"/>
            <w:vAlign w:val="bottom"/>
          </w:tcPr>
          <w:p>
            <w:pPr>
              <w:ind w:left="120"/>
              <w:spacing w:after="0"/>
              <w:rPr>
                <w:sz w:val="20"/>
                <w:szCs w:val="20"/>
                <w:color w:val="auto"/>
              </w:rPr>
            </w:pPr>
            <w:r>
              <w:rPr>
                <w:rFonts w:ascii="Arial" w:cs="Arial" w:eastAsia="Arial" w:hAnsi="Arial"/>
                <w:sz w:val="16"/>
                <w:szCs w:val="16"/>
                <w:color w:val="auto"/>
              </w:rPr>
              <w:t>Bank of America</w:t>
            </w:r>
          </w:p>
        </w:tc>
        <w:tc>
          <w:tcPr>
            <w:tcW w:w="1700" w:type="dxa"/>
            <w:vAlign w:val="bottom"/>
          </w:tcPr>
          <w:p>
            <w:pPr>
              <w:ind w:left="120"/>
              <w:spacing w:after="0"/>
              <w:rPr>
                <w:sz w:val="20"/>
                <w:szCs w:val="20"/>
                <w:color w:val="auto"/>
              </w:rPr>
            </w:pPr>
            <w:r>
              <w:rPr>
                <w:rFonts w:ascii="Arial" w:cs="Arial" w:eastAsia="Arial" w:hAnsi="Arial"/>
                <w:sz w:val="16"/>
                <w:szCs w:val="16"/>
                <w:color w:val="auto"/>
              </w:rPr>
              <w:t>Bank Guarantee/LC</w:t>
            </w:r>
          </w:p>
        </w:tc>
        <w:tc>
          <w:tcPr>
            <w:tcW w:w="2320" w:type="dxa"/>
            <w:vAlign w:val="bottom"/>
          </w:tcPr>
          <w:p>
            <w:pPr>
              <w:ind w:left="120"/>
              <w:spacing w:after="0"/>
              <w:rPr>
                <w:sz w:val="20"/>
                <w:szCs w:val="20"/>
                <w:color w:val="auto"/>
              </w:rPr>
            </w:pPr>
            <w:r>
              <w:rPr>
                <w:rFonts w:ascii="Arial" w:cs="Arial" w:eastAsia="Arial" w:hAnsi="Arial"/>
                <w:sz w:val="16"/>
                <w:szCs w:val="16"/>
                <w:color w:val="auto"/>
              </w:rPr>
              <w:t>guar</w:t>
            </w:r>
          </w:p>
        </w:tc>
        <w:tc>
          <w:tcPr>
            <w:tcW w:w="1540" w:type="dxa"/>
            <w:vAlign w:val="bottom"/>
          </w:tcPr>
          <w:p>
            <w:pPr>
              <w:jc w:val="right"/>
              <w:spacing w:after="0"/>
              <w:rPr>
                <w:sz w:val="20"/>
                <w:szCs w:val="20"/>
                <w:color w:val="auto"/>
              </w:rPr>
            </w:pPr>
            <w:r>
              <w:rPr>
                <w:rFonts w:ascii="Arial" w:cs="Arial" w:eastAsia="Arial" w:hAnsi="Arial"/>
                <w:sz w:val="16"/>
                <w:szCs w:val="16"/>
                <w:color w:val="auto"/>
              </w:rPr>
              <w:t>USD 200,000</w:t>
            </w:r>
          </w:p>
        </w:tc>
        <w:tc>
          <w:tcPr>
            <w:tcW w:w="1180" w:type="dxa"/>
            <w:vAlign w:val="bottom"/>
          </w:tcPr>
          <w:p>
            <w:pPr>
              <w:jc w:val="right"/>
              <w:spacing w:after="0"/>
              <w:rPr>
                <w:sz w:val="20"/>
                <w:szCs w:val="20"/>
                <w:color w:val="auto"/>
              </w:rPr>
            </w:pPr>
            <w:r>
              <w:rPr>
                <w:rFonts w:ascii="Arial" w:cs="Arial" w:eastAsia="Arial" w:hAnsi="Arial"/>
                <w:sz w:val="16"/>
                <w:szCs w:val="16"/>
                <w:color w:val="auto"/>
              </w:rPr>
              <w:t>200,000</w:t>
            </w:r>
          </w:p>
        </w:tc>
      </w:tr>
      <w:tr>
        <w:trPr>
          <w:trHeight w:val="253"/>
        </w:trPr>
        <w:tc>
          <w:tcPr>
            <w:tcW w:w="20" w:type="dxa"/>
            <w:vAlign w:val="bottom"/>
          </w:tcPr>
          <w:p>
            <w:pPr>
              <w:spacing w:after="0"/>
              <w:rPr>
                <w:sz w:val="21"/>
                <w:szCs w:val="21"/>
                <w:color w:val="auto"/>
              </w:rPr>
            </w:pPr>
          </w:p>
        </w:tc>
        <w:tc>
          <w:tcPr>
            <w:tcW w:w="3280" w:type="dxa"/>
            <w:vAlign w:val="bottom"/>
            <w:gridSpan w:val="2"/>
          </w:tcPr>
          <w:p>
            <w:pPr>
              <w:spacing w:after="0"/>
              <w:rPr>
                <w:sz w:val="20"/>
                <w:szCs w:val="20"/>
                <w:color w:val="auto"/>
              </w:rPr>
            </w:pPr>
            <w:r>
              <w:rPr>
                <w:rFonts w:ascii="Arial" w:cs="Arial" w:eastAsia="Arial" w:hAnsi="Arial"/>
                <w:sz w:val="16"/>
                <w:szCs w:val="16"/>
                <w:color w:val="auto"/>
              </w:rPr>
              <w:t>EWI (on behalf of Continental Exchange</w:t>
            </w:r>
          </w:p>
        </w:tc>
        <w:tc>
          <w:tcPr>
            <w:tcW w:w="1360" w:type="dxa"/>
            <w:vAlign w:val="bottom"/>
          </w:tcPr>
          <w:p>
            <w:pPr>
              <w:spacing w:after="0"/>
              <w:rPr>
                <w:sz w:val="21"/>
                <w:szCs w:val="21"/>
                <w:color w:val="auto"/>
              </w:rPr>
            </w:pPr>
          </w:p>
        </w:tc>
        <w:tc>
          <w:tcPr>
            <w:tcW w:w="1700" w:type="dxa"/>
            <w:vAlign w:val="bottom"/>
          </w:tcPr>
          <w:p>
            <w:pPr>
              <w:spacing w:after="0"/>
              <w:rPr>
                <w:sz w:val="21"/>
                <w:szCs w:val="21"/>
                <w:color w:val="auto"/>
              </w:rPr>
            </w:pPr>
          </w:p>
        </w:tc>
        <w:tc>
          <w:tcPr>
            <w:tcW w:w="2320" w:type="dxa"/>
            <w:vAlign w:val="bottom"/>
          </w:tcPr>
          <w:p>
            <w:pPr>
              <w:ind w:left="120"/>
              <w:spacing w:after="0"/>
              <w:rPr>
                <w:sz w:val="20"/>
                <w:szCs w:val="20"/>
                <w:color w:val="auto"/>
              </w:rPr>
            </w:pPr>
            <w:r>
              <w:rPr>
                <w:rFonts w:ascii="Arial" w:cs="Arial" w:eastAsia="Arial" w:hAnsi="Arial"/>
                <w:sz w:val="16"/>
                <w:szCs w:val="16"/>
                <w:color w:val="auto"/>
              </w:rPr>
              <w:t>Correspondent bank money</w:t>
            </w:r>
          </w:p>
        </w:tc>
        <w:tc>
          <w:tcPr>
            <w:tcW w:w="1540" w:type="dxa"/>
            <w:vAlign w:val="bottom"/>
          </w:tcPr>
          <w:p>
            <w:pPr>
              <w:spacing w:after="0"/>
              <w:rPr>
                <w:sz w:val="21"/>
                <w:szCs w:val="21"/>
                <w:color w:val="auto"/>
              </w:rPr>
            </w:pPr>
          </w:p>
        </w:tc>
        <w:tc>
          <w:tcPr>
            <w:tcW w:w="1180" w:type="dxa"/>
            <w:vAlign w:val="bottom"/>
          </w:tcPr>
          <w:p>
            <w:pPr>
              <w:spacing w:after="0"/>
              <w:rPr>
                <w:sz w:val="21"/>
                <w:szCs w:val="21"/>
                <w:color w:val="auto"/>
              </w:rPr>
            </w:pPr>
          </w:p>
        </w:tc>
      </w:tr>
      <w:tr>
        <w:trPr>
          <w:trHeight w:val="206"/>
        </w:trPr>
        <w:tc>
          <w:tcPr>
            <w:tcW w:w="20" w:type="dxa"/>
            <w:vAlign w:val="bottom"/>
          </w:tcPr>
          <w:p>
            <w:pPr>
              <w:spacing w:after="0"/>
              <w:rPr>
                <w:sz w:val="17"/>
                <w:szCs w:val="17"/>
                <w:color w:val="auto"/>
              </w:rPr>
            </w:pPr>
          </w:p>
        </w:tc>
        <w:tc>
          <w:tcPr>
            <w:tcW w:w="3280" w:type="dxa"/>
            <w:vAlign w:val="bottom"/>
            <w:gridSpan w:val="2"/>
          </w:tcPr>
          <w:p>
            <w:pPr>
              <w:spacing w:after="0"/>
              <w:rPr>
                <w:sz w:val="20"/>
                <w:szCs w:val="20"/>
                <w:color w:val="auto"/>
              </w:rPr>
            </w:pPr>
            <w:r>
              <w:rPr>
                <w:rFonts w:ascii="Arial" w:cs="Arial" w:eastAsia="Arial" w:hAnsi="Arial"/>
                <w:sz w:val="16"/>
                <w:szCs w:val="16"/>
                <w:color w:val="auto"/>
              </w:rPr>
              <w:t>Solutions, Inc.)</w:t>
            </w:r>
          </w:p>
        </w:tc>
        <w:tc>
          <w:tcPr>
            <w:tcW w:w="1360" w:type="dxa"/>
            <w:vAlign w:val="bottom"/>
          </w:tcPr>
          <w:p>
            <w:pPr>
              <w:ind w:left="120"/>
              <w:spacing w:after="0"/>
              <w:rPr>
                <w:sz w:val="20"/>
                <w:szCs w:val="20"/>
                <w:color w:val="auto"/>
              </w:rPr>
            </w:pPr>
            <w:r>
              <w:rPr>
                <w:rFonts w:ascii="Arial" w:cs="Arial" w:eastAsia="Arial" w:hAnsi="Arial"/>
                <w:sz w:val="16"/>
                <w:szCs w:val="16"/>
                <w:color w:val="auto"/>
              </w:rPr>
              <w:t>Bank of America</w:t>
            </w:r>
          </w:p>
        </w:tc>
        <w:tc>
          <w:tcPr>
            <w:tcW w:w="1700" w:type="dxa"/>
            <w:vAlign w:val="bottom"/>
          </w:tcPr>
          <w:p>
            <w:pPr>
              <w:ind w:left="120"/>
              <w:spacing w:after="0"/>
              <w:rPr>
                <w:sz w:val="20"/>
                <w:szCs w:val="20"/>
                <w:color w:val="auto"/>
              </w:rPr>
            </w:pPr>
            <w:r>
              <w:rPr>
                <w:rFonts w:ascii="Arial" w:cs="Arial" w:eastAsia="Arial" w:hAnsi="Arial"/>
                <w:sz w:val="16"/>
                <w:szCs w:val="16"/>
                <w:color w:val="auto"/>
              </w:rPr>
              <w:t>Bank Guarantee/LC</w:t>
            </w:r>
          </w:p>
        </w:tc>
        <w:tc>
          <w:tcPr>
            <w:tcW w:w="2320" w:type="dxa"/>
            <w:vAlign w:val="bottom"/>
          </w:tcPr>
          <w:p>
            <w:pPr>
              <w:ind w:left="120"/>
              <w:spacing w:after="0"/>
              <w:rPr>
                <w:sz w:val="20"/>
                <w:szCs w:val="20"/>
                <w:color w:val="auto"/>
              </w:rPr>
            </w:pPr>
            <w:r>
              <w:rPr>
                <w:rFonts w:ascii="Arial" w:cs="Arial" w:eastAsia="Arial" w:hAnsi="Arial"/>
                <w:sz w:val="16"/>
                <w:szCs w:val="16"/>
                <w:color w:val="auto"/>
              </w:rPr>
              <w:t>guar</w:t>
            </w:r>
          </w:p>
        </w:tc>
        <w:tc>
          <w:tcPr>
            <w:tcW w:w="1540" w:type="dxa"/>
            <w:vAlign w:val="bottom"/>
          </w:tcPr>
          <w:p>
            <w:pPr>
              <w:jc w:val="right"/>
              <w:spacing w:after="0"/>
              <w:rPr>
                <w:sz w:val="20"/>
                <w:szCs w:val="20"/>
                <w:color w:val="auto"/>
              </w:rPr>
            </w:pPr>
            <w:r>
              <w:rPr>
                <w:rFonts w:ascii="Arial" w:cs="Arial" w:eastAsia="Arial" w:hAnsi="Arial"/>
                <w:sz w:val="16"/>
                <w:szCs w:val="16"/>
                <w:color w:val="auto"/>
              </w:rPr>
              <w:t>USD 100,000</w:t>
            </w:r>
          </w:p>
        </w:tc>
        <w:tc>
          <w:tcPr>
            <w:tcW w:w="1180" w:type="dxa"/>
            <w:vAlign w:val="bottom"/>
          </w:tcPr>
          <w:p>
            <w:pPr>
              <w:jc w:val="right"/>
              <w:spacing w:after="0"/>
              <w:rPr>
                <w:sz w:val="20"/>
                <w:szCs w:val="20"/>
                <w:color w:val="auto"/>
              </w:rPr>
            </w:pPr>
            <w:r>
              <w:rPr>
                <w:rFonts w:ascii="Arial" w:cs="Arial" w:eastAsia="Arial" w:hAnsi="Arial"/>
                <w:sz w:val="16"/>
                <w:szCs w:val="16"/>
                <w:color w:val="auto"/>
              </w:rPr>
              <w:t>100,000</w:t>
            </w:r>
          </w:p>
        </w:tc>
      </w:tr>
      <w:tr>
        <w:trPr>
          <w:trHeight w:val="253"/>
        </w:trPr>
        <w:tc>
          <w:tcPr>
            <w:tcW w:w="20" w:type="dxa"/>
            <w:vAlign w:val="bottom"/>
          </w:tcPr>
          <w:p>
            <w:pPr>
              <w:spacing w:after="0"/>
              <w:rPr>
                <w:sz w:val="21"/>
                <w:szCs w:val="21"/>
                <w:color w:val="auto"/>
              </w:rPr>
            </w:pPr>
          </w:p>
        </w:tc>
        <w:tc>
          <w:tcPr>
            <w:tcW w:w="3280" w:type="dxa"/>
            <w:vAlign w:val="bottom"/>
            <w:gridSpan w:val="2"/>
          </w:tcPr>
          <w:p>
            <w:pPr>
              <w:spacing w:after="0"/>
              <w:rPr>
                <w:sz w:val="20"/>
                <w:szCs w:val="20"/>
                <w:color w:val="auto"/>
              </w:rPr>
            </w:pPr>
            <w:r>
              <w:rPr>
                <w:rFonts w:ascii="Arial" w:cs="Arial" w:eastAsia="Arial" w:hAnsi="Arial"/>
                <w:sz w:val="16"/>
                <w:szCs w:val="16"/>
                <w:color w:val="auto"/>
              </w:rPr>
              <w:t>EWI (on behalf of Continental Exchange</w:t>
            </w:r>
          </w:p>
        </w:tc>
        <w:tc>
          <w:tcPr>
            <w:tcW w:w="1360" w:type="dxa"/>
            <w:vAlign w:val="bottom"/>
          </w:tcPr>
          <w:p>
            <w:pPr>
              <w:spacing w:after="0"/>
              <w:rPr>
                <w:sz w:val="21"/>
                <w:szCs w:val="21"/>
                <w:color w:val="auto"/>
              </w:rPr>
            </w:pPr>
          </w:p>
        </w:tc>
        <w:tc>
          <w:tcPr>
            <w:tcW w:w="1700" w:type="dxa"/>
            <w:vAlign w:val="bottom"/>
          </w:tcPr>
          <w:p>
            <w:pPr>
              <w:spacing w:after="0"/>
              <w:rPr>
                <w:sz w:val="21"/>
                <w:szCs w:val="21"/>
                <w:color w:val="auto"/>
              </w:rPr>
            </w:pPr>
          </w:p>
        </w:tc>
        <w:tc>
          <w:tcPr>
            <w:tcW w:w="2320" w:type="dxa"/>
            <w:vAlign w:val="bottom"/>
          </w:tcPr>
          <w:p>
            <w:pPr>
              <w:ind w:left="120"/>
              <w:spacing w:after="0"/>
              <w:rPr>
                <w:sz w:val="20"/>
                <w:szCs w:val="20"/>
                <w:color w:val="auto"/>
              </w:rPr>
            </w:pPr>
            <w:r>
              <w:rPr>
                <w:rFonts w:ascii="Arial" w:cs="Arial" w:eastAsia="Arial" w:hAnsi="Arial"/>
                <w:sz w:val="16"/>
                <w:szCs w:val="16"/>
                <w:color w:val="auto"/>
              </w:rPr>
              <w:t>Correspondent bank money</w:t>
            </w:r>
          </w:p>
        </w:tc>
        <w:tc>
          <w:tcPr>
            <w:tcW w:w="1540" w:type="dxa"/>
            <w:vAlign w:val="bottom"/>
          </w:tcPr>
          <w:p>
            <w:pPr>
              <w:spacing w:after="0"/>
              <w:rPr>
                <w:sz w:val="21"/>
                <w:szCs w:val="21"/>
                <w:color w:val="auto"/>
              </w:rPr>
            </w:pPr>
          </w:p>
        </w:tc>
        <w:tc>
          <w:tcPr>
            <w:tcW w:w="1180" w:type="dxa"/>
            <w:vAlign w:val="bottom"/>
          </w:tcPr>
          <w:p>
            <w:pPr>
              <w:spacing w:after="0"/>
              <w:rPr>
                <w:sz w:val="21"/>
                <w:szCs w:val="21"/>
                <w:color w:val="auto"/>
              </w:rPr>
            </w:pPr>
          </w:p>
        </w:tc>
      </w:tr>
      <w:tr>
        <w:trPr>
          <w:trHeight w:val="206"/>
        </w:trPr>
        <w:tc>
          <w:tcPr>
            <w:tcW w:w="20" w:type="dxa"/>
            <w:vAlign w:val="bottom"/>
          </w:tcPr>
          <w:p>
            <w:pPr>
              <w:spacing w:after="0"/>
              <w:rPr>
                <w:sz w:val="17"/>
                <w:szCs w:val="17"/>
                <w:color w:val="auto"/>
              </w:rPr>
            </w:pPr>
          </w:p>
        </w:tc>
        <w:tc>
          <w:tcPr>
            <w:tcW w:w="3280" w:type="dxa"/>
            <w:vAlign w:val="bottom"/>
            <w:gridSpan w:val="2"/>
          </w:tcPr>
          <w:p>
            <w:pPr>
              <w:spacing w:after="0"/>
              <w:rPr>
                <w:sz w:val="20"/>
                <w:szCs w:val="20"/>
                <w:color w:val="auto"/>
              </w:rPr>
            </w:pPr>
            <w:r>
              <w:rPr>
                <w:rFonts w:ascii="Arial" w:cs="Arial" w:eastAsia="Arial" w:hAnsi="Arial"/>
                <w:sz w:val="16"/>
                <w:szCs w:val="16"/>
                <w:color w:val="auto"/>
              </w:rPr>
              <w:t>Solutions, Inc.)</w:t>
            </w:r>
          </w:p>
        </w:tc>
        <w:tc>
          <w:tcPr>
            <w:tcW w:w="1360" w:type="dxa"/>
            <w:vAlign w:val="bottom"/>
          </w:tcPr>
          <w:p>
            <w:pPr>
              <w:ind w:left="120"/>
              <w:spacing w:after="0"/>
              <w:rPr>
                <w:sz w:val="20"/>
                <w:szCs w:val="20"/>
                <w:color w:val="auto"/>
              </w:rPr>
            </w:pPr>
            <w:r>
              <w:rPr>
                <w:rFonts w:ascii="Arial" w:cs="Arial" w:eastAsia="Arial" w:hAnsi="Arial"/>
                <w:sz w:val="16"/>
                <w:szCs w:val="16"/>
                <w:color w:val="auto"/>
              </w:rPr>
              <w:t>Bank of America</w:t>
            </w:r>
          </w:p>
        </w:tc>
        <w:tc>
          <w:tcPr>
            <w:tcW w:w="1700" w:type="dxa"/>
            <w:vAlign w:val="bottom"/>
          </w:tcPr>
          <w:p>
            <w:pPr>
              <w:ind w:left="120"/>
              <w:spacing w:after="0"/>
              <w:rPr>
                <w:sz w:val="20"/>
                <w:szCs w:val="20"/>
                <w:color w:val="auto"/>
              </w:rPr>
            </w:pPr>
            <w:r>
              <w:rPr>
                <w:rFonts w:ascii="Arial" w:cs="Arial" w:eastAsia="Arial" w:hAnsi="Arial"/>
                <w:sz w:val="16"/>
                <w:szCs w:val="16"/>
                <w:color w:val="auto"/>
              </w:rPr>
              <w:t>Bank Guarantee/LC</w:t>
            </w:r>
          </w:p>
        </w:tc>
        <w:tc>
          <w:tcPr>
            <w:tcW w:w="2320" w:type="dxa"/>
            <w:vAlign w:val="bottom"/>
          </w:tcPr>
          <w:p>
            <w:pPr>
              <w:ind w:left="120"/>
              <w:spacing w:after="0"/>
              <w:rPr>
                <w:sz w:val="20"/>
                <w:szCs w:val="20"/>
                <w:color w:val="auto"/>
              </w:rPr>
            </w:pPr>
            <w:r>
              <w:rPr>
                <w:rFonts w:ascii="Arial" w:cs="Arial" w:eastAsia="Arial" w:hAnsi="Arial"/>
                <w:sz w:val="16"/>
                <w:szCs w:val="16"/>
                <w:color w:val="auto"/>
              </w:rPr>
              <w:t>guar</w:t>
            </w:r>
          </w:p>
        </w:tc>
        <w:tc>
          <w:tcPr>
            <w:tcW w:w="1540" w:type="dxa"/>
            <w:vAlign w:val="bottom"/>
          </w:tcPr>
          <w:p>
            <w:pPr>
              <w:jc w:val="right"/>
              <w:spacing w:after="0"/>
              <w:rPr>
                <w:sz w:val="20"/>
                <w:szCs w:val="20"/>
                <w:color w:val="auto"/>
              </w:rPr>
            </w:pPr>
            <w:r>
              <w:rPr>
                <w:rFonts w:ascii="Arial" w:cs="Arial" w:eastAsia="Arial" w:hAnsi="Arial"/>
                <w:sz w:val="16"/>
                <w:szCs w:val="16"/>
                <w:color w:val="auto"/>
              </w:rPr>
              <w:t>USD 100,000</w:t>
            </w:r>
          </w:p>
        </w:tc>
        <w:tc>
          <w:tcPr>
            <w:tcW w:w="1180" w:type="dxa"/>
            <w:vAlign w:val="bottom"/>
          </w:tcPr>
          <w:p>
            <w:pPr>
              <w:jc w:val="right"/>
              <w:spacing w:after="0"/>
              <w:rPr>
                <w:sz w:val="20"/>
                <w:szCs w:val="20"/>
                <w:color w:val="auto"/>
              </w:rPr>
            </w:pPr>
            <w:r>
              <w:rPr>
                <w:rFonts w:ascii="Arial" w:cs="Arial" w:eastAsia="Arial" w:hAnsi="Arial"/>
                <w:sz w:val="16"/>
                <w:szCs w:val="16"/>
                <w:color w:val="auto"/>
              </w:rPr>
              <w:t>100,000</w:t>
            </w:r>
          </w:p>
        </w:tc>
      </w:tr>
      <w:tr>
        <w:trPr>
          <w:trHeight w:val="253"/>
        </w:trPr>
        <w:tc>
          <w:tcPr>
            <w:tcW w:w="20" w:type="dxa"/>
            <w:vAlign w:val="bottom"/>
          </w:tcPr>
          <w:p>
            <w:pPr>
              <w:spacing w:after="0"/>
              <w:rPr>
                <w:sz w:val="21"/>
                <w:szCs w:val="21"/>
                <w:color w:val="auto"/>
              </w:rPr>
            </w:pPr>
          </w:p>
        </w:tc>
        <w:tc>
          <w:tcPr>
            <w:tcW w:w="3280" w:type="dxa"/>
            <w:vAlign w:val="bottom"/>
            <w:gridSpan w:val="2"/>
          </w:tcPr>
          <w:p>
            <w:pPr>
              <w:spacing w:after="0"/>
              <w:rPr>
                <w:sz w:val="20"/>
                <w:szCs w:val="20"/>
                <w:color w:val="auto"/>
              </w:rPr>
            </w:pPr>
            <w:r>
              <w:rPr>
                <w:rFonts w:ascii="Arial" w:cs="Arial" w:eastAsia="Arial" w:hAnsi="Arial"/>
                <w:sz w:val="16"/>
                <w:szCs w:val="16"/>
                <w:color w:val="auto"/>
              </w:rPr>
              <w:t>EWI (on behalf of Continental Exchange</w:t>
            </w:r>
          </w:p>
        </w:tc>
        <w:tc>
          <w:tcPr>
            <w:tcW w:w="1360" w:type="dxa"/>
            <w:vAlign w:val="bottom"/>
          </w:tcPr>
          <w:p>
            <w:pPr>
              <w:spacing w:after="0"/>
              <w:rPr>
                <w:sz w:val="21"/>
                <w:szCs w:val="21"/>
                <w:color w:val="auto"/>
              </w:rPr>
            </w:pPr>
          </w:p>
        </w:tc>
        <w:tc>
          <w:tcPr>
            <w:tcW w:w="1700" w:type="dxa"/>
            <w:vAlign w:val="bottom"/>
          </w:tcPr>
          <w:p>
            <w:pPr>
              <w:spacing w:after="0"/>
              <w:rPr>
                <w:sz w:val="21"/>
                <w:szCs w:val="21"/>
                <w:color w:val="auto"/>
              </w:rPr>
            </w:pPr>
          </w:p>
        </w:tc>
        <w:tc>
          <w:tcPr>
            <w:tcW w:w="2320" w:type="dxa"/>
            <w:vAlign w:val="bottom"/>
          </w:tcPr>
          <w:p>
            <w:pPr>
              <w:spacing w:after="0"/>
              <w:rPr>
                <w:sz w:val="21"/>
                <w:szCs w:val="21"/>
                <w:color w:val="auto"/>
              </w:rPr>
            </w:pPr>
          </w:p>
        </w:tc>
        <w:tc>
          <w:tcPr>
            <w:tcW w:w="1540" w:type="dxa"/>
            <w:vAlign w:val="bottom"/>
          </w:tcPr>
          <w:p>
            <w:pPr>
              <w:spacing w:after="0"/>
              <w:rPr>
                <w:sz w:val="21"/>
                <w:szCs w:val="21"/>
                <w:color w:val="auto"/>
              </w:rPr>
            </w:pPr>
          </w:p>
        </w:tc>
        <w:tc>
          <w:tcPr>
            <w:tcW w:w="1180" w:type="dxa"/>
            <w:vAlign w:val="bottom"/>
          </w:tcPr>
          <w:p>
            <w:pPr>
              <w:spacing w:after="0"/>
              <w:rPr>
                <w:sz w:val="21"/>
                <w:szCs w:val="21"/>
                <w:color w:val="auto"/>
              </w:rPr>
            </w:pPr>
          </w:p>
        </w:tc>
      </w:tr>
      <w:tr>
        <w:trPr>
          <w:trHeight w:val="206"/>
        </w:trPr>
        <w:tc>
          <w:tcPr>
            <w:tcW w:w="20" w:type="dxa"/>
            <w:vAlign w:val="bottom"/>
          </w:tcPr>
          <w:p>
            <w:pPr>
              <w:spacing w:after="0"/>
              <w:rPr>
                <w:sz w:val="17"/>
                <w:szCs w:val="17"/>
                <w:color w:val="auto"/>
              </w:rPr>
            </w:pPr>
          </w:p>
        </w:tc>
        <w:tc>
          <w:tcPr>
            <w:tcW w:w="3280" w:type="dxa"/>
            <w:vAlign w:val="bottom"/>
            <w:gridSpan w:val="2"/>
          </w:tcPr>
          <w:p>
            <w:pPr>
              <w:spacing w:after="0"/>
              <w:rPr>
                <w:sz w:val="20"/>
                <w:szCs w:val="20"/>
                <w:color w:val="auto"/>
              </w:rPr>
            </w:pPr>
            <w:r>
              <w:rPr>
                <w:rFonts w:ascii="Arial" w:cs="Arial" w:eastAsia="Arial" w:hAnsi="Arial"/>
                <w:sz w:val="16"/>
                <w:szCs w:val="16"/>
                <w:color w:val="auto"/>
              </w:rPr>
              <w:t>Solutions, Inc.)</w:t>
            </w:r>
          </w:p>
        </w:tc>
        <w:tc>
          <w:tcPr>
            <w:tcW w:w="1360" w:type="dxa"/>
            <w:vAlign w:val="bottom"/>
          </w:tcPr>
          <w:p>
            <w:pPr>
              <w:ind w:left="120"/>
              <w:spacing w:after="0"/>
              <w:rPr>
                <w:sz w:val="20"/>
                <w:szCs w:val="20"/>
                <w:color w:val="auto"/>
              </w:rPr>
            </w:pPr>
            <w:r>
              <w:rPr>
                <w:rFonts w:ascii="Arial" w:cs="Arial" w:eastAsia="Arial" w:hAnsi="Arial"/>
                <w:sz w:val="16"/>
                <w:szCs w:val="16"/>
                <w:color w:val="auto"/>
              </w:rPr>
              <w:t>Bank of America</w:t>
            </w:r>
          </w:p>
        </w:tc>
        <w:tc>
          <w:tcPr>
            <w:tcW w:w="1700" w:type="dxa"/>
            <w:vAlign w:val="bottom"/>
          </w:tcPr>
          <w:p>
            <w:pPr>
              <w:ind w:left="120"/>
              <w:spacing w:after="0"/>
              <w:rPr>
                <w:sz w:val="20"/>
                <w:szCs w:val="20"/>
                <w:color w:val="auto"/>
              </w:rPr>
            </w:pPr>
            <w:r>
              <w:rPr>
                <w:rFonts w:ascii="Arial" w:cs="Arial" w:eastAsia="Arial" w:hAnsi="Arial"/>
                <w:sz w:val="16"/>
                <w:szCs w:val="16"/>
                <w:color w:val="auto"/>
              </w:rPr>
              <w:t>Bank Guarantee/LC</w:t>
            </w:r>
          </w:p>
        </w:tc>
        <w:tc>
          <w:tcPr>
            <w:tcW w:w="2320" w:type="dxa"/>
            <w:vAlign w:val="bottom"/>
          </w:tcPr>
          <w:p>
            <w:pPr>
              <w:ind w:left="120"/>
              <w:spacing w:after="0"/>
              <w:rPr>
                <w:sz w:val="20"/>
                <w:szCs w:val="20"/>
                <w:color w:val="auto"/>
              </w:rPr>
            </w:pPr>
            <w:r>
              <w:rPr>
                <w:rFonts w:ascii="Arial" w:cs="Arial" w:eastAsia="Arial" w:hAnsi="Arial"/>
                <w:sz w:val="16"/>
                <w:szCs w:val="16"/>
                <w:color w:val="auto"/>
              </w:rPr>
              <w:t>Bank credit card guarantee</w:t>
            </w:r>
          </w:p>
        </w:tc>
        <w:tc>
          <w:tcPr>
            <w:tcW w:w="1540" w:type="dxa"/>
            <w:vAlign w:val="bottom"/>
          </w:tcPr>
          <w:p>
            <w:pPr>
              <w:jc w:val="right"/>
              <w:spacing w:after="0"/>
              <w:rPr>
                <w:sz w:val="20"/>
                <w:szCs w:val="20"/>
                <w:color w:val="auto"/>
              </w:rPr>
            </w:pPr>
            <w:r>
              <w:rPr>
                <w:rFonts w:ascii="Arial" w:cs="Arial" w:eastAsia="Arial" w:hAnsi="Arial"/>
                <w:sz w:val="16"/>
                <w:szCs w:val="16"/>
                <w:color w:val="auto"/>
              </w:rPr>
              <w:t>USD 40,000</w:t>
            </w:r>
          </w:p>
        </w:tc>
        <w:tc>
          <w:tcPr>
            <w:tcW w:w="1180" w:type="dxa"/>
            <w:vAlign w:val="bottom"/>
          </w:tcPr>
          <w:p>
            <w:pPr>
              <w:jc w:val="right"/>
              <w:spacing w:after="0"/>
              <w:rPr>
                <w:sz w:val="20"/>
                <w:szCs w:val="20"/>
                <w:color w:val="auto"/>
              </w:rPr>
            </w:pPr>
            <w:r>
              <w:rPr>
                <w:rFonts w:ascii="Arial" w:cs="Arial" w:eastAsia="Arial" w:hAnsi="Arial"/>
                <w:sz w:val="16"/>
                <w:szCs w:val="16"/>
                <w:color w:val="auto"/>
              </w:rPr>
              <w:t>40,000</w:t>
            </w:r>
          </w:p>
        </w:tc>
      </w:tr>
      <w:tr>
        <w:trPr>
          <w:trHeight w:val="253"/>
        </w:trPr>
        <w:tc>
          <w:tcPr>
            <w:tcW w:w="20" w:type="dxa"/>
            <w:vAlign w:val="bottom"/>
          </w:tcPr>
          <w:p>
            <w:pPr>
              <w:spacing w:after="0"/>
              <w:rPr>
                <w:sz w:val="21"/>
                <w:szCs w:val="21"/>
                <w:color w:val="auto"/>
              </w:rPr>
            </w:pPr>
          </w:p>
        </w:tc>
        <w:tc>
          <w:tcPr>
            <w:tcW w:w="3280" w:type="dxa"/>
            <w:vAlign w:val="bottom"/>
            <w:gridSpan w:val="2"/>
          </w:tcPr>
          <w:p>
            <w:pPr>
              <w:spacing w:after="0"/>
              <w:rPr>
                <w:sz w:val="20"/>
                <w:szCs w:val="20"/>
                <w:color w:val="auto"/>
              </w:rPr>
            </w:pPr>
            <w:r>
              <w:rPr>
                <w:rFonts w:ascii="Arial" w:cs="Arial" w:eastAsia="Arial" w:hAnsi="Arial"/>
                <w:sz w:val="16"/>
                <w:szCs w:val="16"/>
                <w:color w:val="auto"/>
              </w:rPr>
              <w:t>EWI (on behalf of Continental Exchange</w:t>
            </w:r>
          </w:p>
        </w:tc>
        <w:tc>
          <w:tcPr>
            <w:tcW w:w="1360" w:type="dxa"/>
            <w:vAlign w:val="bottom"/>
          </w:tcPr>
          <w:p>
            <w:pPr>
              <w:spacing w:after="0"/>
              <w:rPr>
                <w:sz w:val="21"/>
                <w:szCs w:val="21"/>
                <w:color w:val="auto"/>
              </w:rPr>
            </w:pPr>
          </w:p>
        </w:tc>
        <w:tc>
          <w:tcPr>
            <w:tcW w:w="1700" w:type="dxa"/>
            <w:vAlign w:val="bottom"/>
          </w:tcPr>
          <w:p>
            <w:pPr>
              <w:spacing w:after="0"/>
              <w:rPr>
                <w:sz w:val="21"/>
                <w:szCs w:val="21"/>
                <w:color w:val="auto"/>
              </w:rPr>
            </w:pPr>
          </w:p>
        </w:tc>
        <w:tc>
          <w:tcPr>
            <w:tcW w:w="2320" w:type="dxa"/>
            <w:vAlign w:val="bottom"/>
          </w:tcPr>
          <w:p>
            <w:pPr>
              <w:ind w:left="120"/>
              <w:spacing w:after="0"/>
              <w:rPr>
                <w:sz w:val="20"/>
                <w:szCs w:val="20"/>
                <w:color w:val="auto"/>
              </w:rPr>
            </w:pPr>
            <w:r>
              <w:rPr>
                <w:rFonts w:ascii="Arial" w:cs="Arial" w:eastAsia="Arial" w:hAnsi="Arial"/>
                <w:sz w:val="16"/>
                <w:szCs w:val="16"/>
                <w:color w:val="auto"/>
              </w:rPr>
              <w:t>Correspondent bank money</w:t>
            </w:r>
          </w:p>
        </w:tc>
        <w:tc>
          <w:tcPr>
            <w:tcW w:w="1540" w:type="dxa"/>
            <w:vAlign w:val="bottom"/>
          </w:tcPr>
          <w:p>
            <w:pPr>
              <w:spacing w:after="0"/>
              <w:rPr>
                <w:sz w:val="21"/>
                <w:szCs w:val="21"/>
                <w:color w:val="auto"/>
              </w:rPr>
            </w:pPr>
          </w:p>
        </w:tc>
        <w:tc>
          <w:tcPr>
            <w:tcW w:w="1180" w:type="dxa"/>
            <w:vAlign w:val="bottom"/>
          </w:tcPr>
          <w:p>
            <w:pPr>
              <w:spacing w:after="0"/>
              <w:rPr>
                <w:sz w:val="21"/>
                <w:szCs w:val="21"/>
                <w:color w:val="auto"/>
              </w:rPr>
            </w:pPr>
          </w:p>
        </w:tc>
      </w:tr>
      <w:tr>
        <w:trPr>
          <w:trHeight w:val="206"/>
        </w:trPr>
        <w:tc>
          <w:tcPr>
            <w:tcW w:w="20" w:type="dxa"/>
            <w:vAlign w:val="bottom"/>
          </w:tcPr>
          <w:p>
            <w:pPr>
              <w:spacing w:after="0"/>
              <w:rPr>
                <w:sz w:val="17"/>
                <w:szCs w:val="17"/>
                <w:color w:val="auto"/>
              </w:rPr>
            </w:pPr>
          </w:p>
        </w:tc>
        <w:tc>
          <w:tcPr>
            <w:tcW w:w="3280" w:type="dxa"/>
            <w:vAlign w:val="bottom"/>
            <w:gridSpan w:val="2"/>
          </w:tcPr>
          <w:p>
            <w:pPr>
              <w:spacing w:after="0"/>
              <w:rPr>
                <w:sz w:val="20"/>
                <w:szCs w:val="20"/>
                <w:color w:val="auto"/>
              </w:rPr>
            </w:pPr>
            <w:r>
              <w:rPr>
                <w:rFonts w:ascii="Arial" w:cs="Arial" w:eastAsia="Arial" w:hAnsi="Arial"/>
                <w:sz w:val="16"/>
                <w:szCs w:val="16"/>
                <w:color w:val="auto"/>
              </w:rPr>
              <w:t>Solutions, Inc.)</w:t>
            </w:r>
          </w:p>
        </w:tc>
        <w:tc>
          <w:tcPr>
            <w:tcW w:w="1360" w:type="dxa"/>
            <w:vAlign w:val="bottom"/>
          </w:tcPr>
          <w:p>
            <w:pPr>
              <w:ind w:left="120"/>
              <w:spacing w:after="0"/>
              <w:rPr>
                <w:sz w:val="20"/>
                <w:szCs w:val="20"/>
                <w:color w:val="auto"/>
              </w:rPr>
            </w:pPr>
            <w:r>
              <w:rPr>
                <w:rFonts w:ascii="Arial" w:cs="Arial" w:eastAsia="Arial" w:hAnsi="Arial"/>
                <w:sz w:val="16"/>
                <w:szCs w:val="16"/>
                <w:color w:val="auto"/>
              </w:rPr>
              <w:t>Bank of America</w:t>
            </w:r>
          </w:p>
        </w:tc>
        <w:tc>
          <w:tcPr>
            <w:tcW w:w="1700" w:type="dxa"/>
            <w:vAlign w:val="bottom"/>
          </w:tcPr>
          <w:p>
            <w:pPr>
              <w:ind w:left="120"/>
              <w:spacing w:after="0"/>
              <w:rPr>
                <w:sz w:val="20"/>
                <w:szCs w:val="20"/>
                <w:color w:val="auto"/>
              </w:rPr>
            </w:pPr>
            <w:r>
              <w:rPr>
                <w:rFonts w:ascii="Arial" w:cs="Arial" w:eastAsia="Arial" w:hAnsi="Arial"/>
                <w:sz w:val="16"/>
                <w:szCs w:val="16"/>
                <w:color w:val="auto"/>
              </w:rPr>
              <w:t>Bank Guarantee/LC</w:t>
            </w:r>
          </w:p>
        </w:tc>
        <w:tc>
          <w:tcPr>
            <w:tcW w:w="2320" w:type="dxa"/>
            <w:vAlign w:val="bottom"/>
          </w:tcPr>
          <w:p>
            <w:pPr>
              <w:ind w:left="120"/>
              <w:spacing w:after="0"/>
              <w:rPr>
                <w:sz w:val="20"/>
                <w:szCs w:val="20"/>
                <w:color w:val="auto"/>
              </w:rPr>
            </w:pPr>
            <w:r>
              <w:rPr>
                <w:rFonts w:ascii="Arial" w:cs="Arial" w:eastAsia="Arial" w:hAnsi="Arial"/>
                <w:sz w:val="16"/>
                <w:szCs w:val="16"/>
                <w:color w:val="auto"/>
              </w:rPr>
              <w:t>guar</w:t>
            </w:r>
          </w:p>
        </w:tc>
        <w:tc>
          <w:tcPr>
            <w:tcW w:w="1540" w:type="dxa"/>
            <w:vAlign w:val="bottom"/>
          </w:tcPr>
          <w:p>
            <w:pPr>
              <w:jc w:val="right"/>
              <w:spacing w:after="0"/>
              <w:rPr>
                <w:sz w:val="20"/>
                <w:szCs w:val="20"/>
                <w:color w:val="auto"/>
              </w:rPr>
            </w:pPr>
            <w:r>
              <w:rPr>
                <w:rFonts w:ascii="Arial" w:cs="Arial" w:eastAsia="Arial" w:hAnsi="Arial"/>
                <w:sz w:val="16"/>
                <w:szCs w:val="16"/>
                <w:color w:val="auto"/>
              </w:rPr>
              <w:t>USD 30,000</w:t>
            </w:r>
          </w:p>
        </w:tc>
        <w:tc>
          <w:tcPr>
            <w:tcW w:w="1180" w:type="dxa"/>
            <w:vAlign w:val="bottom"/>
          </w:tcPr>
          <w:p>
            <w:pPr>
              <w:jc w:val="right"/>
              <w:spacing w:after="0"/>
              <w:rPr>
                <w:sz w:val="20"/>
                <w:szCs w:val="20"/>
                <w:color w:val="auto"/>
              </w:rPr>
            </w:pPr>
            <w:r>
              <w:rPr>
                <w:rFonts w:ascii="Arial" w:cs="Arial" w:eastAsia="Arial" w:hAnsi="Arial"/>
                <w:sz w:val="16"/>
                <w:szCs w:val="16"/>
                <w:color w:val="auto"/>
              </w:rPr>
              <w:t>30,000</w:t>
            </w:r>
          </w:p>
        </w:tc>
      </w:tr>
      <w:tr>
        <w:trPr>
          <w:trHeight w:val="253"/>
        </w:trPr>
        <w:tc>
          <w:tcPr>
            <w:tcW w:w="20" w:type="dxa"/>
            <w:vAlign w:val="bottom"/>
          </w:tcPr>
          <w:p>
            <w:pPr>
              <w:spacing w:after="0"/>
              <w:rPr>
                <w:sz w:val="21"/>
                <w:szCs w:val="21"/>
                <w:color w:val="auto"/>
              </w:rPr>
            </w:pPr>
          </w:p>
        </w:tc>
        <w:tc>
          <w:tcPr>
            <w:tcW w:w="3280" w:type="dxa"/>
            <w:vAlign w:val="bottom"/>
            <w:gridSpan w:val="2"/>
          </w:tcPr>
          <w:p>
            <w:pPr>
              <w:spacing w:after="0"/>
              <w:rPr>
                <w:sz w:val="20"/>
                <w:szCs w:val="20"/>
                <w:color w:val="auto"/>
              </w:rPr>
            </w:pPr>
            <w:r>
              <w:rPr>
                <w:rFonts w:ascii="Arial" w:cs="Arial" w:eastAsia="Arial" w:hAnsi="Arial"/>
                <w:sz w:val="16"/>
                <w:szCs w:val="16"/>
                <w:color w:val="auto"/>
              </w:rPr>
              <w:t>EWI (on behalf of Continental Exchange</w:t>
            </w:r>
          </w:p>
        </w:tc>
        <w:tc>
          <w:tcPr>
            <w:tcW w:w="1360" w:type="dxa"/>
            <w:vAlign w:val="bottom"/>
          </w:tcPr>
          <w:p>
            <w:pPr>
              <w:spacing w:after="0"/>
              <w:rPr>
                <w:sz w:val="21"/>
                <w:szCs w:val="21"/>
                <w:color w:val="auto"/>
              </w:rPr>
            </w:pPr>
          </w:p>
        </w:tc>
        <w:tc>
          <w:tcPr>
            <w:tcW w:w="1700" w:type="dxa"/>
            <w:vAlign w:val="bottom"/>
          </w:tcPr>
          <w:p>
            <w:pPr>
              <w:spacing w:after="0"/>
              <w:rPr>
                <w:sz w:val="21"/>
                <w:szCs w:val="21"/>
                <w:color w:val="auto"/>
              </w:rPr>
            </w:pPr>
          </w:p>
        </w:tc>
        <w:tc>
          <w:tcPr>
            <w:tcW w:w="2320" w:type="dxa"/>
            <w:vAlign w:val="bottom"/>
          </w:tcPr>
          <w:p>
            <w:pPr>
              <w:ind w:left="120"/>
              <w:spacing w:after="0"/>
              <w:rPr>
                <w:sz w:val="20"/>
                <w:szCs w:val="20"/>
                <w:color w:val="auto"/>
              </w:rPr>
            </w:pPr>
            <w:r>
              <w:rPr>
                <w:rFonts w:ascii="Arial" w:cs="Arial" w:eastAsia="Arial" w:hAnsi="Arial"/>
                <w:sz w:val="16"/>
                <w:szCs w:val="16"/>
                <w:color w:val="auto"/>
              </w:rPr>
              <w:t>Correspondent bank money</w:t>
            </w:r>
          </w:p>
        </w:tc>
        <w:tc>
          <w:tcPr>
            <w:tcW w:w="1540" w:type="dxa"/>
            <w:vAlign w:val="bottom"/>
          </w:tcPr>
          <w:p>
            <w:pPr>
              <w:spacing w:after="0"/>
              <w:rPr>
                <w:sz w:val="21"/>
                <w:szCs w:val="21"/>
                <w:color w:val="auto"/>
              </w:rPr>
            </w:pPr>
          </w:p>
        </w:tc>
        <w:tc>
          <w:tcPr>
            <w:tcW w:w="1180" w:type="dxa"/>
            <w:vAlign w:val="bottom"/>
          </w:tcPr>
          <w:p>
            <w:pPr>
              <w:spacing w:after="0"/>
              <w:rPr>
                <w:sz w:val="21"/>
                <w:szCs w:val="21"/>
                <w:color w:val="auto"/>
              </w:rPr>
            </w:pPr>
          </w:p>
        </w:tc>
      </w:tr>
      <w:tr>
        <w:trPr>
          <w:trHeight w:val="206"/>
        </w:trPr>
        <w:tc>
          <w:tcPr>
            <w:tcW w:w="20" w:type="dxa"/>
            <w:vAlign w:val="bottom"/>
          </w:tcPr>
          <w:p>
            <w:pPr>
              <w:spacing w:after="0"/>
              <w:rPr>
                <w:sz w:val="17"/>
                <w:szCs w:val="17"/>
                <w:color w:val="auto"/>
              </w:rPr>
            </w:pPr>
          </w:p>
        </w:tc>
        <w:tc>
          <w:tcPr>
            <w:tcW w:w="3280" w:type="dxa"/>
            <w:vAlign w:val="bottom"/>
            <w:gridSpan w:val="2"/>
          </w:tcPr>
          <w:p>
            <w:pPr>
              <w:spacing w:after="0"/>
              <w:rPr>
                <w:sz w:val="20"/>
                <w:szCs w:val="20"/>
                <w:color w:val="auto"/>
              </w:rPr>
            </w:pPr>
            <w:r>
              <w:rPr>
                <w:rFonts w:ascii="Arial" w:cs="Arial" w:eastAsia="Arial" w:hAnsi="Arial"/>
                <w:sz w:val="16"/>
                <w:szCs w:val="16"/>
                <w:color w:val="auto"/>
              </w:rPr>
              <w:t>Solutions, Inc.)</w:t>
            </w:r>
          </w:p>
        </w:tc>
        <w:tc>
          <w:tcPr>
            <w:tcW w:w="1360" w:type="dxa"/>
            <w:vAlign w:val="bottom"/>
          </w:tcPr>
          <w:p>
            <w:pPr>
              <w:ind w:left="120"/>
              <w:spacing w:after="0"/>
              <w:rPr>
                <w:sz w:val="20"/>
                <w:szCs w:val="20"/>
                <w:color w:val="auto"/>
              </w:rPr>
            </w:pPr>
            <w:r>
              <w:rPr>
                <w:rFonts w:ascii="Arial" w:cs="Arial" w:eastAsia="Arial" w:hAnsi="Arial"/>
                <w:sz w:val="16"/>
                <w:szCs w:val="16"/>
                <w:color w:val="auto"/>
              </w:rPr>
              <w:t>Bank of America</w:t>
            </w:r>
          </w:p>
        </w:tc>
        <w:tc>
          <w:tcPr>
            <w:tcW w:w="1700" w:type="dxa"/>
            <w:vAlign w:val="bottom"/>
          </w:tcPr>
          <w:p>
            <w:pPr>
              <w:ind w:left="120"/>
              <w:spacing w:after="0"/>
              <w:rPr>
                <w:sz w:val="20"/>
                <w:szCs w:val="20"/>
                <w:color w:val="auto"/>
              </w:rPr>
            </w:pPr>
            <w:r>
              <w:rPr>
                <w:rFonts w:ascii="Arial" w:cs="Arial" w:eastAsia="Arial" w:hAnsi="Arial"/>
                <w:sz w:val="16"/>
                <w:szCs w:val="16"/>
                <w:color w:val="auto"/>
              </w:rPr>
              <w:t>Bank Guarantee/LC</w:t>
            </w:r>
          </w:p>
        </w:tc>
        <w:tc>
          <w:tcPr>
            <w:tcW w:w="2320" w:type="dxa"/>
            <w:vAlign w:val="bottom"/>
          </w:tcPr>
          <w:p>
            <w:pPr>
              <w:ind w:left="120"/>
              <w:spacing w:after="0"/>
              <w:rPr>
                <w:sz w:val="20"/>
                <w:szCs w:val="20"/>
                <w:color w:val="auto"/>
              </w:rPr>
            </w:pPr>
            <w:r>
              <w:rPr>
                <w:rFonts w:ascii="Arial" w:cs="Arial" w:eastAsia="Arial" w:hAnsi="Arial"/>
                <w:sz w:val="16"/>
                <w:szCs w:val="16"/>
                <w:color w:val="auto"/>
              </w:rPr>
              <w:t>guar</w:t>
            </w:r>
          </w:p>
        </w:tc>
        <w:tc>
          <w:tcPr>
            <w:tcW w:w="1540" w:type="dxa"/>
            <w:vAlign w:val="bottom"/>
          </w:tcPr>
          <w:p>
            <w:pPr>
              <w:jc w:val="right"/>
              <w:spacing w:after="0"/>
              <w:rPr>
                <w:sz w:val="20"/>
                <w:szCs w:val="20"/>
                <w:color w:val="auto"/>
              </w:rPr>
            </w:pPr>
            <w:r>
              <w:rPr>
                <w:rFonts w:ascii="Arial" w:cs="Arial" w:eastAsia="Arial" w:hAnsi="Arial"/>
                <w:sz w:val="16"/>
                <w:szCs w:val="16"/>
                <w:color w:val="auto"/>
              </w:rPr>
              <w:t>USD 25,000</w:t>
            </w:r>
          </w:p>
        </w:tc>
        <w:tc>
          <w:tcPr>
            <w:tcW w:w="1180" w:type="dxa"/>
            <w:vAlign w:val="bottom"/>
          </w:tcPr>
          <w:p>
            <w:pPr>
              <w:jc w:val="right"/>
              <w:spacing w:after="0"/>
              <w:rPr>
                <w:sz w:val="20"/>
                <w:szCs w:val="20"/>
                <w:color w:val="auto"/>
              </w:rPr>
            </w:pPr>
            <w:r>
              <w:rPr>
                <w:rFonts w:ascii="Arial" w:cs="Arial" w:eastAsia="Arial" w:hAnsi="Arial"/>
                <w:sz w:val="16"/>
                <w:szCs w:val="16"/>
                <w:color w:val="auto"/>
              </w:rPr>
              <w:t>25,000</w:t>
            </w:r>
          </w:p>
        </w:tc>
      </w:tr>
      <w:tr>
        <w:trPr>
          <w:trHeight w:val="253"/>
        </w:trPr>
        <w:tc>
          <w:tcPr>
            <w:tcW w:w="20" w:type="dxa"/>
            <w:vAlign w:val="bottom"/>
          </w:tcPr>
          <w:p>
            <w:pPr>
              <w:spacing w:after="0"/>
              <w:rPr>
                <w:sz w:val="21"/>
                <w:szCs w:val="21"/>
                <w:color w:val="auto"/>
              </w:rPr>
            </w:pPr>
          </w:p>
        </w:tc>
        <w:tc>
          <w:tcPr>
            <w:tcW w:w="3280" w:type="dxa"/>
            <w:vAlign w:val="bottom"/>
            <w:gridSpan w:val="2"/>
          </w:tcPr>
          <w:p>
            <w:pPr>
              <w:spacing w:after="0"/>
              <w:rPr>
                <w:sz w:val="20"/>
                <w:szCs w:val="20"/>
                <w:color w:val="auto"/>
              </w:rPr>
            </w:pPr>
            <w:r>
              <w:rPr>
                <w:rFonts w:ascii="Arial" w:cs="Arial" w:eastAsia="Arial" w:hAnsi="Arial"/>
                <w:sz w:val="16"/>
                <w:szCs w:val="16"/>
                <w:color w:val="auto"/>
              </w:rPr>
              <w:t>EWI (on behalf of Continental Exchange</w:t>
            </w:r>
          </w:p>
        </w:tc>
        <w:tc>
          <w:tcPr>
            <w:tcW w:w="1360" w:type="dxa"/>
            <w:vAlign w:val="bottom"/>
          </w:tcPr>
          <w:p>
            <w:pPr>
              <w:spacing w:after="0"/>
              <w:rPr>
                <w:sz w:val="21"/>
                <w:szCs w:val="21"/>
                <w:color w:val="auto"/>
              </w:rPr>
            </w:pPr>
          </w:p>
        </w:tc>
        <w:tc>
          <w:tcPr>
            <w:tcW w:w="1700" w:type="dxa"/>
            <w:vAlign w:val="bottom"/>
          </w:tcPr>
          <w:p>
            <w:pPr>
              <w:spacing w:after="0"/>
              <w:rPr>
                <w:sz w:val="21"/>
                <w:szCs w:val="21"/>
                <w:color w:val="auto"/>
              </w:rPr>
            </w:pPr>
          </w:p>
        </w:tc>
        <w:tc>
          <w:tcPr>
            <w:tcW w:w="2320" w:type="dxa"/>
            <w:vAlign w:val="bottom"/>
          </w:tcPr>
          <w:p>
            <w:pPr>
              <w:ind w:left="120"/>
              <w:spacing w:after="0"/>
              <w:rPr>
                <w:sz w:val="20"/>
                <w:szCs w:val="20"/>
                <w:color w:val="auto"/>
              </w:rPr>
            </w:pPr>
            <w:r>
              <w:rPr>
                <w:rFonts w:ascii="Arial" w:cs="Arial" w:eastAsia="Arial" w:hAnsi="Arial"/>
                <w:sz w:val="16"/>
                <w:szCs w:val="16"/>
                <w:color w:val="auto"/>
              </w:rPr>
              <w:t>Correspondent bank money</w:t>
            </w:r>
          </w:p>
        </w:tc>
        <w:tc>
          <w:tcPr>
            <w:tcW w:w="1540" w:type="dxa"/>
            <w:vAlign w:val="bottom"/>
          </w:tcPr>
          <w:p>
            <w:pPr>
              <w:spacing w:after="0"/>
              <w:rPr>
                <w:sz w:val="21"/>
                <w:szCs w:val="21"/>
                <w:color w:val="auto"/>
              </w:rPr>
            </w:pPr>
          </w:p>
        </w:tc>
        <w:tc>
          <w:tcPr>
            <w:tcW w:w="1180" w:type="dxa"/>
            <w:vAlign w:val="bottom"/>
          </w:tcPr>
          <w:p>
            <w:pPr>
              <w:spacing w:after="0"/>
              <w:rPr>
                <w:sz w:val="21"/>
                <w:szCs w:val="21"/>
                <w:color w:val="auto"/>
              </w:rPr>
            </w:pPr>
          </w:p>
        </w:tc>
      </w:tr>
      <w:tr>
        <w:trPr>
          <w:trHeight w:val="206"/>
        </w:trPr>
        <w:tc>
          <w:tcPr>
            <w:tcW w:w="20" w:type="dxa"/>
            <w:vAlign w:val="bottom"/>
          </w:tcPr>
          <w:p>
            <w:pPr>
              <w:spacing w:after="0"/>
              <w:rPr>
                <w:sz w:val="17"/>
                <w:szCs w:val="17"/>
                <w:color w:val="auto"/>
              </w:rPr>
            </w:pPr>
          </w:p>
        </w:tc>
        <w:tc>
          <w:tcPr>
            <w:tcW w:w="3280" w:type="dxa"/>
            <w:vAlign w:val="bottom"/>
            <w:gridSpan w:val="2"/>
          </w:tcPr>
          <w:p>
            <w:pPr>
              <w:spacing w:after="0"/>
              <w:rPr>
                <w:sz w:val="20"/>
                <w:szCs w:val="20"/>
                <w:color w:val="auto"/>
              </w:rPr>
            </w:pPr>
            <w:r>
              <w:rPr>
                <w:rFonts w:ascii="Arial" w:cs="Arial" w:eastAsia="Arial" w:hAnsi="Arial"/>
                <w:sz w:val="16"/>
                <w:szCs w:val="16"/>
                <w:color w:val="auto"/>
              </w:rPr>
              <w:t>Solutions, Inc.)</w:t>
            </w:r>
          </w:p>
        </w:tc>
        <w:tc>
          <w:tcPr>
            <w:tcW w:w="1360" w:type="dxa"/>
            <w:vAlign w:val="bottom"/>
          </w:tcPr>
          <w:p>
            <w:pPr>
              <w:ind w:left="120"/>
              <w:spacing w:after="0"/>
              <w:rPr>
                <w:sz w:val="20"/>
                <w:szCs w:val="20"/>
                <w:color w:val="auto"/>
              </w:rPr>
            </w:pPr>
            <w:r>
              <w:rPr>
                <w:rFonts w:ascii="Arial" w:cs="Arial" w:eastAsia="Arial" w:hAnsi="Arial"/>
                <w:sz w:val="16"/>
                <w:szCs w:val="16"/>
                <w:color w:val="auto"/>
              </w:rPr>
              <w:t>Bank of America</w:t>
            </w:r>
          </w:p>
        </w:tc>
        <w:tc>
          <w:tcPr>
            <w:tcW w:w="1700" w:type="dxa"/>
            <w:vAlign w:val="bottom"/>
          </w:tcPr>
          <w:p>
            <w:pPr>
              <w:ind w:left="120"/>
              <w:spacing w:after="0"/>
              <w:rPr>
                <w:sz w:val="20"/>
                <w:szCs w:val="20"/>
                <w:color w:val="auto"/>
              </w:rPr>
            </w:pPr>
            <w:r>
              <w:rPr>
                <w:rFonts w:ascii="Arial" w:cs="Arial" w:eastAsia="Arial" w:hAnsi="Arial"/>
                <w:sz w:val="16"/>
                <w:szCs w:val="16"/>
                <w:color w:val="auto"/>
              </w:rPr>
              <w:t>Bank Guarantee/LC</w:t>
            </w:r>
          </w:p>
        </w:tc>
        <w:tc>
          <w:tcPr>
            <w:tcW w:w="2320" w:type="dxa"/>
            <w:vAlign w:val="bottom"/>
          </w:tcPr>
          <w:p>
            <w:pPr>
              <w:ind w:left="120"/>
              <w:spacing w:after="0"/>
              <w:rPr>
                <w:sz w:val="20"/>
                <w:szCs w:val="20"/>
                <w:color w:val="auto"/>
              </w:rPr>
            </w:pPr>
            <w:r>
              <w:rPr>
                <w:rFonts w:ascii="Arial" w:cs="Arial" w:eastAsia="Arial" w:hAnsi="Arial"/>
                <w:sz w:val="16"/>
                <w:szCs w:val="16"/>
                <w:color w:val="auto"/>
              </w:rPr>
              <w:t>guar</w:t>
            </w:r>
          </w:p>
        </w:tc>
        <w:tc>
          <w:tcPr>
            <w:tcW w:w="1540" w:type="dxa"/>
            <w:vAlign w:val="bottom"/>
          </w:tcPr>
          <w:p>
            <w:pPr>
              <w:jc w:val="right"/>
              <w:spacing w:after="0"/>
              <w:rPr>
                <w:sz w:val="20"/>
                <w:szCs w:val="20"/>
                <w:color w:val="auto"/>
              </w:rPr>
            </w:pPr>
            <w:r>
              <w:rPr>
                <w:rFonts w:ascii="Arial" w:cs="Arial" w:eastAsia="Arial" w:hAnsi="Arial"/>
                <w:sz w:val="16"/>
                <w:szCs w:val="16"/>
                <w:color w:val="auto"/>
              </w:rPr>
              <w:t>USD 25,000</w:t>
            </w:r>
          </w:p>
        </w:tc>
        <w:tc>
          <w:tcPr>
            <w:tcW w:w="1180" w:type="dxa"/>
            <w:vAlign w:val="bottom"/>
          </w:tcPr>
          <w:p>
            <w:pPr>
              <w:jc w:val="right"/>
              <w:spacing w:after="0"/>
              <w:rPr>
                <w:sz w:val="20"/>
                <w:szCs w:val="20"/>
                <w:color w:val="auto"/>
              </w:rPr>
            </w:pPr>
            <w:r>
              <w:rPr>
                <w:rFonts w:ascii="Arial" w:cs="Arial" w:eastAsia="Arial" w:hAnsi="Arial"/>
                <w:sz w:val="16"/>
                <w:szCs w:val="16"/>
                <w:color w:val="auto"/>
              </w:rPr>
              <w:t>25,000</w:t>
            </w:r>
          </w:p>
        </w:tc>
      </w:tr>
      <w:tr>
        <w:trPr>
          <w:trHeight w:val="253"/>
        </w:trPr>
        <w:tc>
          <w:tcPr>
            <w:tcW w:w="20" w:type="dxa"/>
            <w:vAlign w:val="bottom"/>
          </w:tcPr>
          <w:p>
            <w:pPr>
              <w:spacing w:after="0"/>
              <w:rPr>
                <w:sz w:val="21"/>
                <w:szCs w:val="21"/>
                <w:color w:val="auto"/>
              </w:rPr>
            </w:pPr>
          </w:p>
        </w:tc>
        <w:tc>
          <w:tcPr>
            <w:tcW w:w="3280" w:type="dxa"/>
            <w:vAlign w:val="bottom"/>
            <w:gridSpan w:val="2"/>
          </w:tcPr>
          <w:p>
            <w:pPr>
              <w:spacing w:after="0"/>
              <w:rPr>
                <w:sz w:val="20"/>
                <w:szCs w:val="20"/>
                <w:color w:val="auto"/>
              </w:rPr>
            </w:pPr>
            <w:r>
              <w:rPr>
                <w:rFonts w:ascii="Arial" w:cs="Arial" w:eastAsia="Arial" w:hAnsi="Arial"/>
                <w:sz w:val="16"/>
                <w:szCs w:val="16"/>
                <w:color w:val="auto"/>
              </w:rPr>
              <w:t>EWI (on behalf of Continental Exchange</w:t>
            </w:r>
          </w:p>
        </w:tc>
        <w:tc>
          <w:tcPr>
            <w:tcW w:w="1360" w:type="dxa"/>
            <w:vAlign w:val="bottom"/>
          </w:tcPr>
          <w:p>
            <w:pPr>
              <w:spacing w:after="0"/>
              <w:rPr>
                <w:sz w:val="21"/>
                <w:szCs w:val="21"/>
                <w:color w:val="auto"/>
              </w:rPr>
            </w:pPr>
          </w:p>
        </w:tc>
        <w:tc>
          <w:tcPr>
            <w:tcW w:w="1700" w:type="dxa"/>
            <w:vAlign w:val="bottom"/>
          </w:tcPr>
          <w:p>
            <w:pPr>
              <w:spacing w:after="0"/>
              <w:rPr>
                <w:sz w:val="21"/>
                <w:szCs w:val="21"/>
                <w:color w:val="auto"/>
              </w:rPr>
            </w:pPr>
          </w:p>
        </w:tc>
        <w:tc>
          <w:tcPr>
            <w:tcW w:w="2320" w:type="dxa"/>
            <w:vAlign w:val="bottom"/>
          </w:tcPr>
          <w:p>
            <w:pPr>
              <w:ind w:left="120"/>
              <w:spacing w:after="0"/>
              <w:rPr>
                <w:sz w:val="20"/>
                <w:szCs w:val="20"/>
                <w:color w:val="auto"/>
              </w:rPr>
            </w:pPr>
            <w:r>
              <w:rPr>
                <w:rFonts w:ascii="Arial" w:cs="Arial" w:eastAsia="Arial" w:hAnsi="Arial"/>
                <w:sz w:val="16"/>
                <w:szCs w:val="16"/>
                <w:color w:val="auto"/>
              </w:rPr>
              <w:t>Correspondent bank money</w:t>
            </w:r>
          </w:p>
        </w:tc>
        <w:tc>
          <w:tcPr>
            <w:tcW w:w="1540" w:type="dxa"/>
            <w:vAlign w:val="bottom"/>
          </w:tcPr>
          <w:p>
            <w:pPr>
              <w:spacing w:after="0"/>
              <w:rPr>
                <w:sz w:val="21"/>
                <w:szCs w:val="21"/>
                <w:color w:val="auto"/>
              </w:rPr>
            </w:pPr>
          </w:p>
        </w:tc>
        <w:tc>
          <w:tcPr>
            <w:tcW w:w="1180" w:type="dxa"/>
            <w:vAlign w:val="bottom"/>
          </w:tcPr>
          <w:p>
            <w:pPr>
              <w:spacing w:after="0"/>
              <w:rPr>
                <w:sz w:val="21"/>
                <w:szCs w:val="21"/>
                <w:color w:val="auto"/>
              </w:rPr>
            </w:pPr>
          </w:p>
        </w:tc>
      </w:tr>
      <w:tr>
        <w:trPr>
          <w:trHeight w:val="206"/>
        </w:trPr>
        <w:tc>
          <w:tcPr>
            <w:tcW w:w="20" w:type="dxa"/>
            <w:vAlign w:val="bottom"/>
          </w:tcPr>
          <w:p>
            <w:pPr>
              <w:spacing w:after="0"/>
              <w:rPr>
                <w:sz w:val="17"/>
                <w:szCs w:val="17"/>
                <w:color w:val="auto"/>
              </w:rPr>
            </w:pPr>
          </w:p>
        </w:tc>
        <w:tc>
          <w:tcPr>
            <w:tcW w:w="3280" w:type="dxa"/>
            <w:vAlign w:val="bottom"/>
            <w:gridSpan w:val="2"/>
          </w:tcPr>
          <w:p>
            <w:pPr>
              <w:spacing w:after="0"/>
              <w:rPr>
                <w:sz w:val="20"/>
                <w:szCs w:val="20"/>
                <w:color w:val="auto"/>
              </w:rPr>
            </w:pPr>
            <w:r>
              <w:rPr>
                <w:rFonts w:ascii="Arial" w:cs="Arial" w:eastAsia="Arial" w:hAnsi="Arial"/>
                <w:sz w:val="16"/>
                <w:szCs w:val="16"/>
                <w:color w:val="auto"/>
              </w:rPr>
              <w:t>Solutions, Inc.)</w:t>
            </w:r>
          </w:p>
        </w:tc>
        <w:tc>
          <w:tcPr>
            <w:tcW w:w="1360" w:type="dxa"/>
            <w:vAlign w:val="bottom"/>
          </w:tcPr>
          <w:p>
            <w:pPr>
              <w:ind w:left="120"/>
              <w:spacing w:after="0"/>
              <w:rPr>
                <w:sz w:val="20"/>
                <w:szCs w:val="20"/>
                <w:color w:val="auto"/>
              </w:rPr>
            </w:pPr>
            <w:r>
              <w:rPr>
                <w:rFonts w:ascii="Arial" w:cs="Arial" w:eastAsia="Arial" w:hAnsi="Arial"/>
                <w:sz w:val="16"/>
                <w:szCs w:val="16"/>
                <w:color w:val="auto"/>
              </w:rPr>
              <w:t>Bank of America</w:t>
            </w:r>
          </w:p>
        </w:tc>
        <w:tc>
          <w:tcPr>
            <w:tcW w:w="1700" w:type="dxa"/>
            <w:vAlign w:val="bottom"/>
          </w:tcPr>
          <w:p>
            <w:pPr>
              <w:ind w:left="120"/>
              <w:spacing w:after="0"/>
              <w:rPr>
                <w:sz w:val="20"/>
                <w:szCs w:val="20"/>
                <w:color w:val="auto"/>
              </w:rPr>
            </w:pPr>
            <w:r>
              <w:rPr>
                <w:rFonts w:ascii="Arial" w:cs="Arial" w:eastAsia="Arial" w:hAnsi="Arial"/>
                <w:sz w:val="16"/>
                <w:szCs w:val="16"/>
                <w:color w:val="auto"/>
              </w:rPr>
              <w:t>Bank Guarantee/LC</w:t>
            </w:r>
          </w:p>
        </w:tc>
        <w:tc>
          <w:tcPr>
            <w:tcW w:w="2320" w:type="dxa"/>
            <w:vAlign w:val="bottom"/>
          </w:tcPr>
          <w:p>
            <w:pPr>
              <w:ind w:left="120"/>
              <w:spacing w:after="0"/>
              <w:rPr>
                <w:sz w:val="20"/>
                <w:szCs w:val="20"/>
                <w:color w:val="auto"/>
              </w:rPr>
            </w:pPr>
            <w:r>
              <w:rPr>
                <w:rFonts w:ascii="Arial" w:cs="Arial" w:eastAsia="Arial" w:hAnsi="Arial"/>
                <w:sz w:val="16"/>
                <w:szCs w:val="16"/>
                <w:color w:val="auto"/>
              </w:rPr>
              <w:t>guar</w:t>
            </w:r>
          </w:p>
        </w:tc>
        <w:tc>
          <w:tcPr>
            <w:tcW w:w="1540" w:type="dxa"/>
            <w:vAlign w:val="bottom"/>
          </w:tcPr>
          <w:p>
            <w:pPr>
              <w:jc w:val="right"/>
              <w:spacing w:after="0"/>
              <w:rPr>
                <w:sz w:val="20"/>
                <w:szCs w:val="20"/>
                <w:color w:val="auto"/>
              </w:rPr>
            </w:pPr>
            <w:r>
              <w:rPr>
                <w:rFonts w:ascii="Arial" w:cs="Arial" w:eastAsia="Arial" w:hAnsi="Arial"/>
                <w:sz w:val="16"/>
                <w:szCs w:val="16"/>
                <w:color w:val="auto"/>
              </w:rPr>
              <w:t>USD 25,000</w:t>
            </w:r>
          </w:p>
        </w:tc>
        <w:tc>
          <w:tcPr>
            <w:tcW w:w="1180" w:type="dxa"/>
            <w:vAlign w:val="bottom"/>
          </w:tcPr>
          <w:p>
            <w:pPr>
              <w:jc w:val="right"/>
              <w:spacing w:after="0"/>
              <w:rPr>
                <w:sz w:val="20"/>
                <w:szCs w:val="20"/>
                <w:color w:val="auto"/>
              </w:rPr>
            </w:pPr>
            <w:r>
              <w:rPr>
                <w:rFonts w:ascii="Arial" w:cs="Arial" w:eastAsia="Arial" w:hAnsi="Arial"/>
                <w:sz w:val="16"/>
                <w:szCs w:val="16"/>
                <w:color w:val="auto"/>
              </w:rPr>
              <w:t>25,000</w:t>
            </w:r>
          </w:p>
        </w:tc>
      </w:tr>
      <w:tr>
        <w:trPr>
          <w:trHeight w:val="253"/>
        </w:trPr>
        <w:tc>
          <w:tcPr>
            <w:tcW w:w="20" w:type="dxa"/>
            <w:vAlign w:val="bottom"/>
          </w:tcPr>
          <w:p>
            <w:pPr>
              <w:spacing w:after="0"/>
              <w:rPr>
                <w:sz w:val="21"/>
                <w:szCs w:val="21"/>
                <w:color w:val="auto"/>
              </w:rPr>
            </w:pPr>
          </w:p>
        </w:tc>
        <w:tc>
          <w:tcPr>
            <w:tcW w:w="3280" w:type="dxa"/>
            <w:vAlign w:val="bottom"/>
            <w:gridSpan w:val="2"/>
          </w:tcPr>
          <w:p>
            <w:pPr>
              <w:spacing w:after="0"/>
              <w:rPr>
                <w:sz w:val="20"/>
                <w:szCs w:val="20"/>
                <w:color w:val="auto"/>
              </w:rPr>
            </w:pPr>
            <w:r>
              <w:rPr>
                <w:rFonts w:ascii="Arial" w:cs="Arial" w:eastAsia="Arial" w:hAnsi="Arial"/>
                <w:sz w:val="16"/>
                <w:szCs w:val="16"/>
                <w:color w:val="auto"/>
              </w:rPr>
              <w:t>EWI (on behalf of Continental Exchange</w:t>
            </w:r>
          </w:p>
        </w:tc>
        <w:tc>
          <w:tcPr>
            <w:tcW w:w="1360" w:type="dxa"/>
            <w:vAlign w:val="bottom"/>
          </w:tcPr>
          <w:p>
            <w:pPr>
              <w:spacing w:after="0"/>
              <w:rPr>
                <w:sz w:val="21"/>
                <w:szCs w:val="21"/>
                <w:color w:val="auto"/>
              </w:rPr>
            </w:pPr>
          </w:p>
        </w:tc>
        <w:tc>
          <w:tcPr>
            <w:tcW w:w="1700" w:type="dxa"/>
            <w:vAlign w:val="bottom"/>
          </w:tcPr>
          <w:p>
            <w:pPr>
              <w:spacing w:after="0"/>
              <w:rPr>
                <w:sz w:val="21"/>
                <w:szCs w:val="21"/>
                <w:color w:val="auto"/>
              </w:rPr>
            </w:pPr>
          </w:p>
        </w:tc>
        <w:tc>
          <w:tcPr>
            <w:tcW w:w="2320" w:type="dxa"/>
            <w:vAlign w:val="bottom"/>
          </w:tcPr>
          <w:p>
            <w:pPr>
              <w:ind w:left="120"/>
              <w:spacing w:after="0"/>
              <w:rPr>
                <w:sz w:val="20"/>
                <w:szCs w:val="20"/>
                <w:color w:val="auto"/>
              </w:rPr>
            </w:pPr>
            <w:r>
              <w:rPr>
                <w:rFonts w:ascii="Arial" w:cs="Arial" w:eastAsia="Arial" w:hAnsi="Arial"/>
                <w:sz w:val="16"/>
                <w:szCs w:val="16"/>
                <w:color w:val="auto"/>
              </w:rPr>
              <w:t>Correspondent bank money</w:t>
            </w:r>
          </w:p>
        </w:tc>
        <w:tc>
          <w:tcPr>
            <w:tcW w:w="1540" w:type="dxa"/>
            <w:vAlign w:val="bottom"/>
          </w:tcPr>
          <w:p>
            <w:pPr>
              <w:spacing w:after="0"/>
              <w:rPr>
                <w:sz w:val="21"/>
                <w:szCs w:val="21"/>
                <w:color w:val="auto"/>
              </w:rPr>
            </w:pPr>
          </w:p>
        </w:tc>
        <w:tc>
          <w:tcPr>
            <w:tcW w:w="1180" w:type="dxa"/>
            <w:vAlign w:val="bottom"/>
          </w:tcPr>
          <w:p>
            <w:pPr>
              <w:spacing w:after="0"/>
              <w:rPr>
                <w:sz w:val="21"/>
                <w:szCs w:val="21"/>
                <w:color w:val="auto"/>
              </w:rPr>
            </w:pPr>
          </w:p>
        </w:tc>
      </w:tr>
      <w:tr>
        <w:trPr>
          <w:trHeight w:val="206"/>
        </w:trPr>
        <w:tc>
          <w:tcPr>
            <w:tcW w:w="20" w:type="dxa"/>
            <w:vAlign w:val="bottom"/>
          </w:tcPr>
          <w:p>
            <w:pPr>
              <w:spacing w:after="0"/>
              <w:rPr>
                <w:sz w:val="17"/>
                <w:szCs w:val="17"/>
                <w:color w:val="auto"/>
              </w:rPr>
            </w:pPr>
          </w:p>
        </w:tc>
        <w:tc>
          <w:tcPr>
            <w:tcW w:w="3280" w:type="dxa"/>
            <w:vAlign w:val="bottom"/>
            <w:gridSpan w:val="2"/>
          </w:tcPr>
          <w:p>
            <w:pPr>
              <w:spacing w:after="0"/>
              <w:rPr>
                <w:sz w:val="20"/>
                <w:szCs w:val="20"/>
                <w:color w:val="auto"/>
              </w:rPr>
            </w:pPr>
            <w:r>
              <w:rPr>
                <w:rFonts w:ascii="Arial" w:cs="Arial" w:eastAsia="Arial" w:hAnsi="Arial"/>
                <w:sz w:val="16"/>
                <w:szCs w:val="16"/>
                <w:color w:val="auto"/>
              </w:rPr>
              <w:t>Solutions, Inc.)</w:t>
            </w:r>
          </w:p>
        </w:tc>
        <w:tc>
          <w:tcPr>
            <w:tcW w:w="1360" w:type="dxa"/>
            <w:vAlign w:val="bottom"/>
          </w:tcPr>
          <w:p>
            <w:pPr>
              <w:ind w:left="120"/>
              <w:spacing w:after="0"/>
              <w:rPr>
                <w:sz w:val="20"/>
                <w:szCs w:val="20"/>
                <w:color w:val="auto"/>
              </w:rPr>
            </w:pPr>
            <w:r>
              <w:rPr>
                <w:rFonts w:ascii="Arial" w:cs="Arial" w:eastAsia="Arial" w:hAnsi="Arial"/>
                <w:sz w:val="16"/>
                <w:szCs w:val="16"/>
                <w:color w:val="auto"/>
              </w:rPr>
              <w:t>Bank of America</w:t>
            </w:r>
          </w:p>
        </w:tc>
        <w:tc>
          <w:tcPr>
            <w:tcW w:w="1700" w:type="dxa"/>
            <w:vAlign w:val="bottom"/>
          </w:tcPr>
          <w:p>
            <w:pPr>
              <w:ind w:left="120"/>
              <w:spacing w:after="0"/>
              <w:rPr>
                <w:sz w:val="20"/>
                <w:szCs w:val="20"/>
                <w:color w:val="auto"/>
              </w:rPr>
            </w:pPr>
            <w:r>
              <w:rPr>
                <w:rFonts w:ascii="Arial" w:cs="Arial" w:eastAsia="Arial" w:hAnsi="Arial"/>
                <w:sz w:val="16"/>
                <w:szCs w:val="16"/>
                <w:color w:val="auto"/>
              </w:rPr>
              <w:t>Bank Guarantee/LC</w:t>
            </w:r>
          </w:p>
        </w:tc>
        <w:tc>
          <w:tcPr>
            <w:tcW w:w="2320" w:type="dxa"/>
            <w:vAlign w:val="bottom"/>
          </w:tcPr>
          <w:p>
            <w:pPr>
              <w:ind w:left="120"/>
              <w:spacing w:after="0"/>
              <w:rPr>
                <w:sz w:val="20"/>
                <w:szCs w:val="20"/>
                <w:color w:val="auto"/>
              </w:rPr>
            </w:pPr>
            <w:r>
              <w:rPr>
                <w:rFonts w:ascii="Arial" w:cs="Arial" w:eastAsia="Arial" w:hAnsi="Arial"/>
                <w:sz w:val="16"/>
                <w:szCs w:val="16"/>
                <w:color w:val="auto"/>
              </w:rPr>
              <w:t>guar</w:t>
            </w:r>
          </w:p>
        </w:tc>
        <w:tc>
          <w:tcPr>
            <w:tcW w:w="1540" w:type="dxa"/>
            <w:vAlign w:val="bottom"/>
          </w:tcPr>
          <w:p>
            <w:pPr>
              <w:jc w:val="right"/>
              <w:spacing w:after="0"/>
              <w:rPr>
                <w:sz w:val="20"/>
                <w:szCs w:val="20"/>
                <w:color w:val="auto"/>
              </w:rPr>
            </w:pPr>
            <w:r>
              <w:rPr>
                <w:rFonts w:ascii="Arial" w:cs="Arial" w:eastAsia="Arial" w:hAnsi="Arial"/>
                <w:sz w:val="16"/>
                <w:szCs w:val="16"/>
                <w:color w:val="auto"/>
              </w:rPr>
              <w:t>USD 25,000</w:t>
            </w:r>
          </w:p>
        </w:tc>
        <w:tc>
          <w:tcPr>
            <w:tcW w:w="1180" w:type="dxa"/>
            <w:vAlign w:val="bottom"/>
          </w:tcPr>
          <w:p>
            <w:pPr>
              <w:jc w:val="right"/>
              <w:spacing w:after="0"/>
              <w:rPr>
                <w:sz w:val="20"/>
                <w:szCs w:val="20"/>
                <w:color w:val="auto"/>
              </w:rPr>
            </w:pPr>
            <w:r>
              <w:rPr>
                <w:rFonts w:ascii="Arial" w:cs="Arial" w:eastAsia="Arial" w:hAnsi="Arial"/>
                <w:sz w:val="16"/>
                <w:szCs w:val="16"/>
                <w:color w:val="auto"/>
              </w:rPr>
              <w:t>25,000</w:t>
            </w:r>
          </w:p>
        </w:tc>
      </w:tr>
      <w:tr>
        <w:trPr>
          <w:trHeight w:val="253"/>
        </w:trPr>
        <w:tc>
          <w:tcPr>
            <w:tcW w:w="20" w:type="dxa"/>
            <w:vAlign w:val="bottom"/>
          </w:tcPr>
          <w:p>
            <w:pPr>
              <w:spacing w:after="0"/>
              <w:rPr>
                <w:sz w:val="21"/>
                <w:szCs w:val="21"/>
                <w:color w:val="auto"/>
              </w:rPr>
            </w:pPr>
          </w:p>
        </w:tc>
        <w:tc>
          <w:tcPr>
            <w:tcW w:w="3280" w:type="dxa"/>
            <w:vAlign w:val="bottom"/>
            <w:gridSpan w:val="2"/>
          </w:tcPr>
          <w:p>
            <w:pPr>
              <w:spacing w:after="0"/>
              <w:rPr>
                <w:sz w:val="20"/>
                <w:szCs w:val="20"/>
                <w:color w:val="auto"/>
              </w:rPr>
            </w:pPr>
            <w:r>
              <w:rPr>
                <w:rFonts w:ascii="Arial" w:cs="Arial" w:eastAsia="Arial" w:hAnsi="Arial"/>
                <w:sz w:val="16"/>
                <w:szCs w:val="16"/>
                <w:color w:val="auto"/>
              </w:rPr>
              <w:t>EWI (on behalf of Continental Exchange</w:t>
            </w:r>
          </w:p>
        </w:tc>
        <w:tc>
          <w:tcPr>
            <w:tcW w:w="1360" w:type="dxa"/>
            <w:vAlign w:val="bottom"/>
          </w:tcPr>
          <w:p>
            <w:pPr>
              <w:spacing w:after="0"/>
              <w:rPr>
                <w:sz w:val="21"/>
                <w:szCs w:val="21"/>
                <w:color w:val="auto"/>
              </w:rPr>
            </w:pPr>
          </w:p>
        </w:tc>
        <w:tc>
          <w:tcPr>
            <w:tcW w:w="1700" w:type="dxa"/>
            <w:vAlign w:val="bottom"/>
          </w:tcPr>
          <w:p>
            <w:pPr>
              <w:spacing w:after="0"/>
              <w:rPr>
                <w:sz w:val="21"/>
                <w:szCs w:val="21"/>
                <w:color w:val="auto"/>
              </w:rPr>
            </w:pPr>
          </w:p>
        </w:tc>
        <w:tc>
          <w:tcPr>
            <w:tcW w:w="2320" w:type="dxa"/>
            <w:vAlign w:val="bottom"/>
          </w:tcPr>
          <w:p>
            <w:pPr>
              <w:ind w:left="120"/>
              <w:spacing w:after="0"/>
              <w:rPr>
                <w:sz w:val="20"/>
                <w:szCs w:val="20"/>
                <w:color w:val="auto"/>
              </w:rPr>
            </w:pPr>
            <w:r>
              <w:rPr>
                <w:rFonts w:ascii="Arial" w:cs="Arial" w:eastAsia="Arial" w:hAnsi="Arial"/>
                <w:sz w:val="16"/>
                <w:szCs w:val="16"/>
                <w:color w:val="auto"/>
              </w:rPr>
              <w:t>Correspondent bank money</w:t>
            </w:r>
          </w:p>
        </w:tc>
        <w:tc>
          <w:tcPr>
            <w:tcW w:w="1540" w:type="dxa"/>
            <w:vAlign w:val="bottom"/>
          </w:tcPr>
          <w:p>
            <w:pPr>
              <w:spacing w:after="0"/>
              <w:rPr>
                <w:sz w:val="21"/>
                <w:szCs w:val="21"/>
                <w:color w:val="auto"/>
              </w:rPr>
            </w:pPr>
          </w:p>
        </w:tc>
        <w:tc>
          <w:tcPr>
            <w:tcW w:w="1180" w:type="dxa"/>
            <w:vAlign w:val="bottom"/>
          </w:tcPr>
          <w:p>
            <w:pPr>
              <w:spacing w:after="0"/>
              <w:rPr>
                <w:sz w:val="21"/>
                <w:szCs w:val="21"/>
                <w:color w:val="auto"/>
              </w:rPr>
            </w:pPr>
          </w:p>
        </w:tc>
      </w:tr>
      <w:tr>
        <w:trPr>
          <w:trHeight w:val="206"/>
        </w:trPr>
        <w:tc>
          <w:tcPr>
            <w:tcW w:w="20" w:type="dxa"/>
            <w:vAlign w:val="bottom"/>
          </w:tcPr>
          <w:p>
            <w:pPr>
              <w:spacing w:after="0"/>
              <w:rPr>
                <w:sz w:val="17"/>
                <w:szCs w:val="17"/>
                <w:color w:val="auto"/>
              </w:rPr>
            </w:pPr>
          </w:p>
        </w:tc>
        <w:tc>
          <w:tcPr>
            <w:tcW w:w="3280" w:type="dxa"/>
            <w:vAlign w:val="bottom"/>
            <w:gridSpan w:val="2"/>
          </w:tcPr>
          <w:p>
            <w:pPr>
              <w:spacing w:after="0"/>
              <w:rPr>
                <w:sz w:val="20"/>
                <w:szCs w:val="20"/>
                <w:color w:val="auto"/>
              </w:rPr>
            </w:pPr>
            <w:r>
              <w:rPr>
                <w:rFonts w:ascii="Arial" w:cs="Arial" w:eastAsia="Arial" w:hAnsi="Arial"/>
                <w:sz w:val="16"/>
                <w:szCs w:val="16"/>
                <w:color w:val="auto"/>
              </w:rPr>
              <w:t>Solutions, Inc.)</w:t>
            </w:r>
          </w:p>
        </w:tc>
        <w:tc>
          <w:tcPr>
            <w:tcW w:w="1360" w:type="dxa"/>
            <w:vAlign w:val="bottom"/>
          </w:tcPr>
          <w:p>
            <w:pPr>
              <w:ind w:left="120"/>
              <w:spacing w:after="0"/>
              <w:rPr>
                <w:sz w:val="20"/>
                <w:szCs w:val="20"/>
                <w:color w:val="auto"/>
              </w:rPr>
            </w:pPr>
            <w:r>
              <w:rPr>
                <w:rFonts w:ascii="Arial" w:cs="Arial" w:eastAsia="Arial" w:hAnsi="Arial"/>
                <w:sz w:val="16"/>
                <w:szCs w:val="16"/>
                <w:color w:val="auto"/>
              </w:rPr>
              <w:t>Bank of America</w:t>
            </w:r>
          </w:p>
        </w:tc>
        <w:tc>
          <w:tcPr>
            <w:tcW w:w="1700" w:type="dxa"/>
            <w:vAlign w:val="bottom"/>
          </w:tcPr>
          <w:p>
            <w:pPr>
              <w:ind w:left="120"/>
              <w:spacing w:after="0"/>
              <w:rPr>
                <w:sz w:val="20"/>
                <w:szCs w:val="20"/>
                <w:color w:val="auto"/>
              </w:rPr>
            </w:pPr>
            <w:r>
              <w:rPr>
                <w:rFonts w:ascii="Arial" w:cs="Arial" w:eastAsia="Arial" w:hAnsi="Arial"/>
                <w:sz w:val="16"/>
                <w:szCs w:val="16"/>
                <w:color w:val="auto"/>
              </w:rPr>
              <w:t>Bank Guarantee/LC</w:t>
            </w:r>
          </w:p>
        </w:tc>
        <w:tc>
          <w:tcPr>
            <w:tcW w:w="2320" w:type="dxa"/>
            <w:vAlign w:val="bottom"/>
          </w:tcPr>
          <w:p>
            <w:pPr>
              <w:ind w:left="120"/>
              <w:spacing w:after="0"/>
              <w:rPr>
                <w:sz w:val="20"/>
                <w:szCs w:val="20"/>
                <w:color w:val="auto"/>
              </w:rPr>
            </w:pPr>
            <w:r>
              <w:rPr>
                <w:rFonts w:ascii="Arial" w:cs="Arial" w:eastAsia="Arial" w:hAnsi="Arial"/>
                <w:sz w:val="16"/>
                <w:szCs w:val="16"/>
                <w:color w:val="auto"/>
              </w:rPr>
              <w:t>guar</w:t>
            </w:r>
          </w:p>
        </w:tc>
        <w:tc>
          <w:tcPr>
            <w:tcW w:w="1540" w:type="dxa"/>
            <w:vAlign w:val="bottom"/>
          </w:tcPr>
          <w:p>
            <w:pPr>
              <w:jc w:val="right"/>
              <w:spacing w:after="0"/>
              <w:rPr>
                <w:sz w:val="20"/>
                <w:szCs w:val="20"/>
                <w:color w:val="auto"/>
              </w:rPr>
            </w:pPr>
            <w:r>
              <w:rPr>
                <w:rFonts w:ascii="Arial" w:cs="Arial" w:eastAsia="Arial" w:hAnsi="Arial"/>
                <w:sz w:val="16"/>
                <w:szCs w:val="16"/>
                <w:color w:val="auto"/>
              </w:rPr>
              <w:t>USD 25,000</w:t>
            </w:r>
          </w:p>
        </w:tc>
        <w:tc>
          <w:tcPr>
            <w:tcW w:w="1180" w:type="dxa"/>
            <w:vAlign w:val="bottom"/>
          </w:tcPr>
          <w:p>
            <w:pPr>
              <w:jc w:val="right"/>
              <w:spacing w:after="0"/>
              <w:rPr>
                <w:sz w:val="20"/>
                <w:szCs w:val="20"/>
                <w:color w:val="auto"/>
              </w:rPr>
            </w:pPr>
            <w:r>
              <w:rPr>
                <w:rFonts w:ascii="Arial" w:cs="Arial" w:eastAsia="Arial" w:hAnsi="Arial"/>
                <w:sz w:val="16"/>
                <w:szCs w:val="16"/>
                <w:color w:val="auto"/>
              </w:rPr>
              <w:t>25,000</w:t>
            </w:r>
          </w:p>
        </w:tc>
      </w:tr>
      <w:tr>
        <w:trPr>
          <w:trHeight w:val="253"/>
        </w:trPr>
        <w:tc>
          <w:tcPr>
            <w:tcW w:w="20" w:type="dxa"/>
            <w:vAlign w:val="bottom"/>
          </w:tcPr>
          <w:p>
            <w:pPr>
              <w:spacing w:after="0"/>
              <w:rPr>
                <w:sz w:val="21"/>
                <w:szCs w:val="21"/>
                <w:color w:val="auto"/>
              </w:rPr>
            </w:pPr>
          </w:p>
        </w:tc>
        <w:tc>
          <w:tcPr>
            <w:tcW w:w="3280" w:type="dxa"/>
            <w:vAlign w:val="bottom"/>
            <w:gridSpan w:val="2"/>
          </w:tcPr>
          <w:p>
            <w:pPr>
              <w:spacing w:after="0"/>
              <w:rPr>
                <w:sz w:val="20"/>
                <w:szCs w:val="20"/>
                <w:color w:val="auto"/>
              </w:rPr>
            </w:pPr>
            <w:r>
              <w:rPr>
                <w:rFonts w:ascii="Arial" w:cs="Arial" w:eastAsia="Arial" w:hAnsi="Arial"/>
                <w:sz w:val="16"/>
                <w:szCs w:val="16"/>
                <w:color w:val="auto"/>
              </w:rPr>
              <w:t>EWI (on behalf of Continental Exchange</w:t>
            </w:r>
          </w:p>
        </w:tc>
        <w:tc>
          <w:tcPr>
            <w:tcW w:w="1360" w:type="dxa"/>
            <w:vAlign w:val="bottom"/>
          </w:tcPr>
          <w:p>
            <w:pPr>
              <w:spacing w:after="0"/>
              <w:rPr>
                <w:sz w:val="21"/>
                <w:szCs w:val="21"/>
                <w:color w:val="auto"/>
              </w:rPr>
            </w:pPr>
          </w:p>
        </w:tc>
        <w:tc>
          <w:tcPr>
            <w:tcW w:w="1700" w:type="dxa"/>
            <w:vAlign w:val="bottom"/>
          </w:tcPr>
          <w:p>
            <w:pPr>
              <w:spacing w:after="0"/>
              <w:rPr>
                <w:sz w:val="21"/>
                <w:szCs w:val="21"/>
                <w:color w:val="auto"/>
              </w:rPr>
            </w:pPr>
          </w:p>
        </w:tc>
        <w:tc>
          <w:tcPr>
            <w:tcW w:w="2320" w:type="dxa"/>
            <w:vAlign w:val="bottom"/>
          </w:tcPr>
          <w:p>
            <w:pPr>
              <w:ind w:left="120"/>
              <w:spacing w:after="0"/>
              <w:rPr>
                <w:sz w:val="20"/>
                <w:szCs w:val="20"/>
                <w:color w:val="auto"/>
              </w:rPr>
            </w:pPr>
            <w:r>
              <w:rPr>
                <w:rFonts w:ascii="Arial" w:cs="Arial" w:eastAsia="Arial" w:hAnsi="Arial"/>
                <w:sz w:val="16"/>
                <w:szCs w:val="16"/>
                <w:color w:val="auto"/>
              </w:rPr>
              <w:t>Correspondent bank money</w:t>
            </w:r>
          </w:p>
        </w:tc>
        <w:tc>
          <w:tcPr>
            <w:tcW w:w="1540" w:type="dxa"/>
            <w:vAlign w:val="bottom"/>
          </w:tcPr>
          <w:p>
            <w:pPr>
              <w:spacing w:after="0"/>
              <w:rPr>
                <w:sz w:val="21"/>
                <w:szCs w:val="21"/>
                <w:color w:val="auto"/>
              </w:rPr>
            </w:pPr>
          </w:p>
        </w:tc>
        <w:tc>
          <w:tcPr>
            <w:tcW w:w="1180" w:type="dxa"/>
            <w:vAlign w:val="bottom"/>
          </w:tcPr>
          <w:p>
            <w:pPr>
              <w:spacing w:after="0"/>
              <w:rPr>
                <w:sz w:val="21"/>
                <w:szCs w:val="21"/>
                <w:color w:val="auto"/>
              </w:rPr>
            </w:pPr>
          </w:p>
        </w:tc>
      </w:tr>
      <w:tr>
        <w:trPr>
          <w:trHeight w:val="206"/>
        </w:trPr>
        <w:tc>
          <w:tcPr>
            <w:tcW w:w="20" w:type="dxa"/>
            <w:vAlign w:val="bottom"/>
          </w:tcPr>
          <w:p>
            <w:pPr>
              <w:spacing w:after="0"/>
              <w:rPr>
                <w:sz w:val="17"/>
                <w:szCs w:val="17"/>
                <w:color w:val="auto"/>
              </w:rPr>
            </w:pPr>
          </w:p>
        </w:tc>
        <w:tc>
          <w:tcPr>
            <w:tcW w:w="3280" w:type="dxa"/>
            <w:vAlign w:val="bottom"/>
            <w:gridSpan w:val="2"/>
          </w:tcPr>
          <w:p>
            <w:pPr>
              <w:spacing w:after="0"/>
              <w:rPr>
                <w:sz w:val="20"/>
                <w:szCs w:val="20"/>
                <w:color w:val="auto"/>
              </w:rPr>
            </w:pPr>
            <w:r>
              <w:rPr>
                <w:rFonts w:ascii="Arial" w:cs="Arial" w:eastAsia="Arial" w:hAnsi="Arial"/>
                <w:sz w:val="16"/>
                <w:szCs w:val="16"/>
                <w:color w:val="auto"/>
              </w:rPr>
              <w:t>Solutions, Inc.)</w:t>
            </w:r>
          </w:p>
        </w:tc>
        <w:tc>
          <w:tcPr>
            <w:tcW w:w="1360" w:type="dxa"/>
            <w:vAlign w:val="bottom"/>
          </w:tcPr>
          <w:p>
            <w:pPr>
              <w:ind w:left="120"/>
              <w:spacing w:after="0"/>
              <w:rPr>
                <w:sz w:val="20"/>
                <w:szCs w:val="20"/>
                <w:color w:val="auto"/>
              </w:rPr>
            </w:pPr>
            <w:r>
              <w:rPr>
                <w:rFonts w:ascii="Arial" w:cs="Arial" w:eastAsia="Arial" w:hAnsi="Arial"/>
                <w:sz w:val="16"/>
                <w:szCs w:val="16"/>
                <w:color w:val="auto"/>
              </w:rPr>
              <w:t>Bank of America</w:t>
            </w:r>
          </w:p>
        </w:tc>
        <w:tc>
          <w:tcPr>
            <w:tcW w:w="1700" w:type="dxa"/>
            <w:vAlign w:val="bottom"/>
          </w:tcPr>
          <w:p>
            <w:pPr>
              <w:ind w:left="120"/>
              <w:spacing w:after="0"/>
              <w:rPr>
                <w:sz w:val="20"/>
                <w:szCs w:val="20"/>
                <w:color w:val="auto"/>
              </w:rPr>
            </w:pPr>
            <w:r>
              <w:rPr>
                <w:rFonts w:ascii="Arial" w:cs="Arial" w:eastAsia="Arial" w:hAnsi="Arial"/>
                <w:sz w:val="16"/>
                <w:szCs w:val="16"/>
                <w:color w:val="auto"/>
              </w:rPr>
              <w:t>Bank Guarantee/LC</w:t>
            </w:r>
          </w:p>
        </w:tc>
        <w:tc>
          <w:tcPr>
            <w:tcW w:w="2320" w:type="dxa"/>
            <w:vAlign w:val="bottom"/>
          </w:tcPr>
          <w:p>
            <w:pPr>
              <w:ind w:left="120"/>
              <w:spacing w:after="0"/>
              <w:rPr>
                <w:sz w:val="20"/>
                <w:szCs w:val="20"/>
                <w:color w:val="auto"/>
              </w:rPr>
            </w:pPr>
            <w:r>
              <w:rPr>
                <w:rFonts w:ascii="Arial" w:cs="Arial" w:eastAsia="Arial" w:hAnsi="Arial"/>
                <w:sz w:val="16"/>
                <w:szCs w:val="16"/>
                <w:color w:val="auto"/>
              </w:rPr>
              <w:t>guar</w:t>
            </w:r>
          </w:p>
        </w:tc>
        <w:tc>
          <w:tcPr>
            <w:tcW w:w="1540" w:type="dxa"/>
            <w:vAlign w:val="bottom"/>
          </w:tcPr>
          <w:p>
            <w:pPr>
              <w:jc w:val="right"/>
              <w:spacing w:after="0"/>
              <w:rPr>
                <w:sz w:val="20"/>
                <w:szCs w:val="20"/>
                <w:color w:val="auto"/>
              </w:rPr>
            </w:pPr>
            <w:r>
              <w:rPr>
                <w:rFonts w:ascii="Arial" w:cs="Arial" w:eastAsia="Arial" w:hAnsi="Arial"/>
                <w:sz w:val="16"/>
                <w:szCs w:val="16"/>
                <w:color w:val="auto"/>
              </w:rPr>
              <w:t>USD 25,000</w:t>
            </w:r>
          </w:p>
        </w:tc>
        <w:tc>
          <w:tcPr>
            <w:tcW w:w="1180" w:type="dxa"/>
            <w:vAlign w:val="bottom"/>
          </w:tcPr>
          <w:p>
            <w:pPr>
              <w:jc w:val="right"/>
              <w:spacing w:after="0"/>
              <w:rPr>
                <w:sz w:val="20"/>
                <w:szCs w:val="20"/>
                <w:color w:val="auto"/>
              </w:rPr>
            </w:pPr>
            <w:r>
              <w:rPr>
                <w:rFonts w:ascii="Arial" w:cs="Arial" w:eastAsia="Arial" w:hAnsi="Arial"/>
                <w:sz w:val="16"/>
                <w:szCs w:val="16"/>
                <w:color w:val="auto"/>
              </w:rPr>
              <w:t>25,000</w:t>
            </w:r>
          </w:p>
        </w:tc>
      </w:tr>
      <w:tr>
        <w:trPr>
          <w:trHeight w:val="253"/>
        </w:trPr>
        <w:tc>
          <w:tcPr>
            <w:tcW w:w="20" w:type="dxa"/>
            <w:vAlign w:val="bottom"/>
          </w:tcPr>
          <w:p>
            <w:pPr>
              <w:spacing w:after="0"/>
              <w:rPr>
                <w:sz w:val="21"/>
                <w:szCs w:val="21"/>
                <w:color w:val="auto"/>
              </w:rPr>
            </w:pPr>
          </w:p>
        </w:tc>
        <w:tc>
          <w:tcPr>
            <w:tcW w:w="3280" w:type="dxa"/>
            <w:vAlign w:val="bottom"/>
            <w:gridSpan w:val="2"/>
          </w:tcPr>
          <w:p>
            <w:pPr>
              <w:spacing w:after="0"/>
              <w:rPr>
                <w:sz w:val="20"/>
                <w:szCs w:val="20"/>
                <w:color w:val="auto"/>
              </w:rPr>
            </w:pPr>
            <w:r>
              <w:rPr>
                <w:rFonts w:ascii="Arial" w:cs="Arial" w:eastAsia="Arial" w:hAnsi="Arial"/>
                <w:sz w:val="16"/>
                <w:szCs w:val="16"/>
                <w:color w:val="auto"/>
              </w:rPr>
              <w:t>EWI (on behalf of Continental Exchange</w:t>
            </w:r>
          </w:p>
        </w:tc>
        <w:tc>
          <w:tcPr>
            <w:tcW w:w="1360" w:type="dxa"/>
            <w:vAlign w:val="bottom"/>
          </w:tcPr>
          <w:p>
            <w:pPr>
              <w:spacing w:after="0"/>
              <w:rPr>
                <w:sz w:val="21"/>
                <w:szCs w:val="21"/>
                <w:color w:val="auto"/>
              </w:rPr>
            </w:pPr>
          </w:p>
        </w:tc>
        <w:tc>
          <w:tcPr>
            <w:tcW w:w="1700" w:type="dxa"/>
            <w:vAlign w:val="bottom"/>
          </w:tcPr>
          <w:p>
            <w:pPr>
              <w:spacing w:after="0"/>
              <w:rPr>
                <w:sz w:val="21"/>
                <w:szCs w:val="21"/>
                <w:color w:val="auto"/>
              </w:rPr>
            </w:pPr>
          </w:p>
        </w:tc>
        <w:tc>
          <w:tcPr>
            <w:tcW w:w="2320" w:type="dxa"/>
            <w:vAlign w:val="bottom"/>
          </w:tcPr>
          <w:p>
            <w:pPr>
              <w:ind w:left="120"/>
              <w:spacing w:after="0"/>
              <w:rPr>
                <w:sz w:val="20"/>
                <w:szCs w:val="20"/>
                <w:color w:val="auto"/>
              </w:rPr>
            </w:pPr>
            <w:r>
              <w:rPr>
                <w:rFonts w:ascii="Arial" w:cs="Arial" w:eastAsia="Arial" w:hAnsi="Arial"/>
                <w:sz w:val="16"/>
                <w:szCs w:val="16"/>
                <w:color w:val="auto"/>
              </w:rPr>
              <w:t>Correspondent bank money</w:t>
            </w:r>
          </w:p>
        </w:tc>
        <w:tc>
          <w:tcPr>
            <w:tcW w:w="1540" w:type="dxa"/>
            <w:vAlign w:val="bottom"/>
          </w:tcPr>
          <w:p>
            <w:pPr>
              <w:spacing w:after="0"/>
              <w:rPr>
                <w:sz w:val="21"/>
                <w:szCs w:val="21"/>
                <w:color w:val="auto"/>
              </w:rPr>
            </w:pPr>
          </w:p>
        </w:tc>
        <w:tc>
          <w:tcPr>
            <w:tcW w:w="1180" w:type="dxa"/>
            <w:vAlign w:val="bottom"/>
          </w:tcPr>
          <w:p>
            <w:pPr>
              <w:spacing w:after="0"/>
              <w:rPr>
                <w:sz w:val="21"/>
                <w:szCs w:val="21"/>
                <w:color w:val="auto"/>
              </w:rPr>
            </w:pPr>
          </w:p>
        </w:tc>
      </w:tr>
      <w:tr>
        <w:trPr>
          <w:trHeight w:val="206"/>
        </w:trPr>
        <w:tc>
          <w:tcPr>
            <w:tcW w:w="20" w:type="dxa"/>
            <w:vAlign w:val="bottom"/>
          </w:tcPr>
          <w:p>
            <w:pPr>
              <w:spacing w:after="0"/>
              <w:rPr>
                <w:sz w:val="17"/>
                <w:szCs w:val="17"/>
                <w:color w:val="auto"/>
              </w:rPr>
            </w:pPr>
          </w:p>
        </w:tc>
        <w:tc>
          <w:tcPr>
            <w:tcW w:w="3280" w:type="dxa"/>
            <w:vAlign w:val="bottom"/>
            <w:gridSpan w:val="2"/>
          </w:tcPr>
          <w:p>
            <w:pPr>
              <w:spacing w:after="0"/>
              <w:rPr>
                <w:sz w:val="20"/>
                <w:szCs w:val="20"/>
                <w:color w:val="auto"/>
              </w:rPr>
            </w:pPr>
            <w:r>
              <w:rPr>
                <w:rFonts w:ascii="Arial" w:cs="Arial" w:eastAsia="Arial" w:hAnsi="Arial"/>
                <w:sz w:val="16"/>
                <w:szCs w:val="16"/>
                <w:color w:val="auto"/>
              </w:rPr>
              <w:t>Solutions, Inc.)</w:t>
            </w:r>
          </w:p>
        </w:tc>
        <w:tc>
          <w:tcPr>
            <w:tcW w:w="1360" w:type="dxa"/>
            <w:vAlign w:val="bottom"/>
          </w:tcPr>
          <w:p>
            <w:pPr>
              <w:ind w:left="120"/>
              <w:spacing w:after="0"/>
              <w:rPr>
                <w:sz w:val="20"/>
                <w:szCs w:val="20"/>
                <w:color w:val="auto"/>
              </w:rPr>
            </w:pPr>
            <w:r>
              <w:rPr>
                <w:rFonts w:ascii="Arial" w:cs="Arial" w:eastAsia="Arial" w:hAnsi="Arial"/>
                <w:sz w:val="16"/>
                <w:szCs w:val="16"/>
                <w:color w:val="auto"/>
              </w:rPr>
              <w:t>Bank of America</w:t>
            </w:r>
          </w:p>
        </w:tc>
        <w:tc>
          <w:tcPr>
            <w:tcW w:w="1700" w:type="dxa"/>
            <w:vAlign w:val="bottom"/>
          </w:tcPr>
          <w:p>
            <w:pPr>
              <w:ind w:left="120"/>
              <w:spacing w:after="0"/>
              <w:rPr>
                <w:sz w:val="20"/>
                <w:szCs w:val="20"/>
                <w:color w:val="auto"/>
              </w:rPr>
            </w:pPr>
            <w:r>
              <w:rPr>
                <w:rFonts w:ascii="Arial" w:cs="Arial" w:eastAsia="Arial" w:hAnsi="Arial"/>
                <w:sz w:val="16"/>
                <w:szCs w:val="16"/>
                <w:color w:val="auto"/>
              </w:rPr>
              <w:t>Bank Guarantee/LC</w:t>
            </w:r>
          </w:p>
        </w:tc>
        <w:tc>
          <w:tcPr>
            <w:tcW w:w="2320" w:type="dxa"/>
            <w:vAlign w:val="bottom"/>
          </w:tcPr>
          <w:p>
            <w:pPr>
              <w:ind w:left="120"/>
              <w:spacing w:after="0"/>
              <w:rPr>
                <w:sz w:val="20"/>
                <w:szCs w:val="20"/>
                <w:color w:val="auto"/>
              </w:rPr>
            </w:pPr>
            <w:r>
              <w:rPr>
                <w:rFonts w:ascii="Arial" w:cs="Arial" w:eastAsia="Arial" w:hAnsi="Arial"/>
                <w:sz w:val="16"/>
                <w:szCs w:val="16"/>
                <w:color w:val="auto"/>
              </w:rPr>
              <w:t>guar</w:t>
            </w:r>
          </w:p>
        </w:tc>
        <w:tc>
          <w:tcPr>
            <w:tcW w:w="1540" w:type="dxa"/>
            <w:vAlign w:val="bottom"/>
          </w:tcPr>
          <w:p>
            <w:pPr>
              <w:jc w:val="right"/>
              <w:spacing w:after="0"/>
              <w:rPr>
                <w:sz w:val="20"/>
                <w:szCs w:val="20"/>
                <w:color w:val="auto"/>
              </w:rPr>
            </w:pPr>
            <w:r>
              <w:rPr>
                <w:rFonts w:ascii="Arial" w:cs="Arial" w:eastAsia="Arial" w:hAnsi="Arial"/>
                <w:sz w:val="16"/>
                <w:szCs w:val="16"/>
                <w:color w:val="auto"/>
              </w:rPr>
              <w:t>USD 10,000</w:t>
            </w:r>
          </w:p>
        </w:tc>
        <w:tc>
          <w:tcPr>
            <w:tcW w:w="1180" w:type="dxa"/>
            <w:vAlign w:val="bottom"/>
          </w:tcPr>
          <w:p>
            <w:pPr>
              <w:jc w:val="right"/>
              <w:spacing w:after="0"/>
              <w:rPr>
                <w:sz w:val="20"/>
                <w:szCs w:val="20"/>
                <w:color w:val="auto"/>
              </w:rPr>
            </w:pPr>
            <w:r>
              <w:rPr>
                <w:rFonts w:ascii="Arial" w:cs="Arial" w:eastAsia="Arial" w:hAnsi="Arial"/>
                <w:sz w:val="16"/>
                <w:szCs w:val="16"/>
                <w:color w:val="auto"/>
              </w:rPr>
              <w:t>10,000</w:t>
            </w:r>
          </w:p>
        </w:tc>
      </w:tr>
      <w:tr>
        <w:trPr>
          <w:trHeight w:val="33"/>
        </w:trPr>
        <w:tc>
          <w:tcPr>
            <w:tcW w:w="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0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700" w:type="dxa"/>
            <w:vAlign w:val="bottom"/>
          </w:tcPr>
          <w:p>
            <w:pPr>
              <w:spacing w:after="0"/>
              <w:rPr>
                <w:sz w:val="2"/>
                <w:szCs w:val="2"/>
                <w:color w:val="auto"/>
              </w:rPr>
            </w:pPr>
          </w:p>
        </w:tc>
        <w:tc>
          <w:tcPr>
            <w:tcW w:w="232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17"/>
        </w:trPr>
        <w:tc>
          <w:tcPr>
            <w:tcW w:w="20" w:type="dxa"/>
            <w:vAlign w:val="bottom"/>
          </w:tcPr>
          <w:p>
            <w:pPr>
              <w:spacing w:after="0"/>
              <w:rPr>
                <w:sz w:val="18"/>
                <w:szCs w:val="18"/>
                <w:color w:val="auto"/>
              </w:rPr>
            </w:pPr>
          </w:p>
        </w:tc>
        <w:tc>
          <w:tcPr>
            <w:tcW w:w="3280" w:type="dxa"/>
            <w:vAlign w:val="bottom"/>
            <w:gridSpan w:val="2"/>
          </w:tcPr>
          <w:p>
            <w:pPr>
              <w:spacing w:after="0"/>
              <w:rPr>
                <w:sz w:val="20"/>
                <w:szCs w:val="20"/>
                <w:color w:val="auto"/>
              </w:rPr>
            </w:pPr>
            <w:r>
              <w:rPr>
                <w:rFonts w:ascii="Arial" w:cs="Arial" w:eastAsia="Arial" w:hAnsi="Arial"/>
                <w:sz w:val="16"/>
                <w:szCs w:val="16"/>
                <w:b w:val="1"/>
                <w:bCs w:val="1"/>
                <w:color w:val="auto"/>
              </w:rPr>
              <w:t>Continental Exchange Solutions, Inc. Total</w:t>
            </w:r>
          </w:p>
        </w:tc>
        <w:tc>
          <w:tcPr>
            <w:tcW w:w="136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232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b w:val="1"/>
                <w:bCs w:val="1"/>
                <w:color w:val="auto"/>
              </w:rPr>
              <w:t>630,000</w:t>
            </w:r>
          </w:p>
        </w:tc>
      </w:tr>
      <w:tr>
        <w:trPr>
          <w:trHeight w:val="527"/>
        </w:trPr>
        <w:tc>
          <w:tcPr>
            <w:tcW w:w="20" w:type="dxa"/>
            <w:vAlign w:val="bottom"/>
          </w:tcPr>
          <w:p>
            <w:pPr>
              <w:spacing w:after="0"/>
              <w:rPr>
                <w:sz w:val="24"/>
                <w:szCs w:val="24"/>
                <w:color w:val="auto"/>
              </w:rPr>
            </w:pPr>
          </w:p>
        </w:tc>
        <w:tc>
          <w:tcPr>
            <w:tcW w:w="3280" w:type="dxa"/>
            <w:vAlign w:val="bottom"/>
            <w:gridSpan w:val="2"/>
          </w:tcPr>
          <w:p>
            <w:pPr>
              <w:spacing w:after="0"/>
              <w:rPr>
                <w:sz w:val="20"/>
                <w:szCs w:val="20"/>
                <w:color w:val="auto"/>
              </w:rPr>
            </w:pPr>
            <w:r>
              <w:rPr>
                <w:rFonts w:ascii="Arial" w:cs="Arial" w:eastAsia="Arial" w:hAnsi="Arial"/>
                <w:sz w:val="16"/>
                <w:szCs w:val="16"/>
                <w:color w:val="auto"/>
              </w:rPr>
              <w:t>EWI (on behalf of EFT Americas, Inc.)</w:t>
            </w:r>
          </w:p>
        </w:tc>
        <w:tc>
          <w:tcPr>
            <w:tcW w:w="1360" w:type="dxa"/>
            <w:vAlign w:val="bottom"/>
          </w:tcPr>
          <w:p>
            <w:pPr>
              <w:ind w:left="120"/>
              <w:spacing w:after="0"/>
              <w:rPr>
                <w:sz w:val="20"/>
                <w:szCs w:val="20"/>
                <w:color w:val="auto"/>
              </w:rPr>
            </w:pPr>
            <w:r>
              <w:rPr>
                <w:rFonts w:ascii="Arial" w:cs="Arial" w:eastAsia="Arial" w:hAnsi="Arial"/>
                <w:sz w:val="16"/>
                <w:szCs w:val="16"/>
                <w:color w:val="auto"/>
              </w:rPr>
              <w:t>Bank of America</w:t>
            </w:r>
          </w:p>
        </w:tc>
        <w:tc>
          <w:tcPr>
            <w:tcW w:w="1700" w:type="dxa"/>
            <w:vAlign w:val="bottom"/>
          </w:tcPr>
          <w:p>
            <w:pPr>
              <w:ind w:left="120"/>
              <w:spacing w:after="0"/>
              <w:rPr>
                <w:sz w:val="20"/>
                <w:szCs w:val="20"/>
                <w:color w:val="auto"/>
              </w:rPr>
            </w:pPr>
            <w:r>
              <w:rPr>
                <w:rFonts w:ascii="Arial" w:cs="Arial" w:eastAsia="Arial" w:hAnsi="Arial"/>
                <w:sz w:val="16"/>
                <w:szCs w:val="16"/>
                <w:color w:val="auto"/>
              </w:rPr>
              <w:t>Bank Guarantee/LC</w:t>
            </w:r>
          </w:p>
        </w:tc>
        <w:tc>
          <w:tcPr>
            <w:tcW w:w="2320" w:type="dxa"/>
            <w:vAlign w:val="bottom"/>
          </w:tcPr>
          <w:p>
            <w:pPr>
              <w:ind w:left="120"/>
              <w:spacing w:after="0"/>
              <w:rPr>
                <w:sz w:val="20"/>
                <w:szCs w:val="20"/>
                <w:color w:val="auto"/>
              </w:rPr>
            </w:pPr>
            <w:r>
              <w:rPr>
                <w:rFonts w:ascii="Arial" w:cs="Arial" w:eastAsia="Arial" w:hAnsi="Arial"/>
                <w:sz w:val="16"/>
                <w:szCs w:val="16"/>
                <w:color w:val="auto"/>
              </w:rPr>
              <w:t>Performance guarantee</w:t>
            </w:r>
          </w:p>
        </w:tc>
        <w:tc>
          <w:tcPr>
            <w:tcW w:w="1540" w:type="dxa"/>
            <w:vAlign w:val="bottom"/>
          </w:tcPr>
          <w:p>
            <w:pPr>
              <w:jc w:val="right"/>
              <w:spacing w:after="0"/>
              <w:rPr>
                <w:sz w:val="20"/>
                <w:szCs w:val="20"/>
                <w:color w:val="auto"/>
              </w:rPr>
            </w:pPr>
            <w:r>
              <w:rPr>
                <w:rFonts w:ascii="Arial" w:cs="Arial" w:eastAsia="Arial" w:hAnsi="Arial"/>
                <w:sz w:val="16"/>
                <w:szCs w:val="16"/>
                <w:color w:val="auto"/>
              </w:rPr>
              <w:t>USD 3,000,000</w:t>
            </w:r>
          </w:p>
        </w:tc>
        <w:tc>
          <w:tcPr>
            <w:tcW w:w="1180" w:type="dxa"/>
            <w:vAlign w:val="bottom"/>
          </w:tcPr>
          <w:p>
            <w:pPr>
              <w:jc w:val="right"/>
              <w:spacing w:after="0"/>
              <w:rPr>
                <w:sz w:val="20"/>
                <w:szCs w:val="20"/>
                <w:color w:val="auto"/>
              </w:rPr>
            </w:pPr>
            <w:r>
              <w:rPr>
                <w:rFonts w:ascii="Arial" w:cs="Arial" w:eastAsia="Arial" w:hAnsi="Arial"/>
                <w:sz w:val="16"/>
                <w:szCs w:val="16"/>
                <w:color w:val="auto"/>
              </w:rPr>
              <w:t>3,000,000</w:t>
            </w:r>
          </w:p>
        </w:tc>
      </w:tr>
      <w:tr>
        <w:trPr>
          <w:trHeight w:val="33"/>
        </w:trPr>
        <w:tc>
          <w:tcPr>
            <w:tcW w:w="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0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700" w:type="dxa"/>
            <w:vAlign w:val="bottom"/>
          </w:tcPr>
          <w:p>
            <w:pPr>
              <w:spacing w:after="0"/>
              <w:rPr>
                <w:sz w:val="2"/>
                <w:szCs w:val="2"/>
                <w:color w:val="auto"/>
              </w:rPr>
            </w:pPr>
          </w:p>
        </w:tc>
        <w:tc>
          <w:tcPr>
            <w:tcW w:w="232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17"/>
        </w:trPr>
        <w:tc>
          <w:tcPr>
            <w:tcW w:w="20" w:type="dxa"/>
            <w:vAlign w:val="bottom"/>
          </w:tcPr>
          <w:p>
            <w:pPr>
              <w:spacing w:after="0"/>
              <w:rPr>
                <w:sz w:val="18"/>
                <w:szCs w:val="18"/>
                <w:color w:val="auto"/>
              </w:rPr>
            </w:pPr>
          </w:p>
        </w:tc>
        <w:tc>
          <w:tcPr>
            <w:tcW w:w="3280" w:type="dxa"/>
            <w:vAlign w:val="bottom"/>
            <w:gridSpan w:val="2"/>
          </w:tcPr>
          <w:p>
            <w:pPr>
              <w:spacing w:after="0"/>
              <w:rPr>
                <w:sz w:val="20"/>
                <w:szCs w:val="20"/>
                <w:color w:val="auto"/>
              </w:rPr>
            </w:pPr>
            <w:r>
              <w:rPr>
                <w:rFonts w:ascii="Arial" w:cs="Arial" w:eastAsia="Arial" w:hAnsi="Arial"/>
                <w:sz w:val="16"/>
                <w:szCs w:val="16"/>
                <w:b w:val="1"/>
                <w:bCs w:val="1"/>
                <w:color w:val="auto"/>
              </w:rPr>
              <w:t>EFT Americas, Inc. Total</w:t>
            </w:r>
          </w:p>
        </w:tc>
        <w:tc>
          <w:tcPr>
            <w:tcW w:w="136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232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b w:val="1"/>
                <w:bCs w:val="1"/>
                <w:color w:val="auto"/>
              </w:rPr>
              <w:t>3,000,000</w:t>
            </w:r>
          </w:p>
        </w:tc>
      </w:tr>
      <w:tr>
        <w:trPr>
          <w:trHeight w:val="527"/>
        </w:trPr>
        <w:tc>
          <w:tcPr>
            <w:tcW w:w="20" w:type="dxa"/>
            <w:vAlign w:val="bottom"/>
          </w:tcPr>
          <w:p>
            <w:pPr>
              <w:spacing w:after="0"/>
              <w:rPr>
                <w:sz w:val="24"/>
                <w:szCs w:val="24"/>
                <w:color w:val="auto"/>
              </w:rPr>
            </w:pPr>
          </w:p>
        </w:tc>
        <w:tc>
          <w:tcPr>
            <w:tcW w:w="3280" w:type="dxa"/>
            <w:vAlign w:val="bottom"/>
            <w:gridSpan w:val="2"/>
          </w:tcPr>
          <w:p>
            <w:pPr>
              <w:spacing w:after="0"/>
              <w:rPr>
                <w:sz w:val="20"/>
                <w:szCs w:val="20"/>
                <w:color w:val="auto"/>
              </w:rPr>
            </w:pPr>
            <w:r>
              <w:rPr>
                <w:rFonts w:ascii="Arial" w:cs="Arial" w:eastAsia="Arial" w:hAnsi="Arial"/>
                <w:sz w:val="16"/>
                <w:szCs w:val="16"/>
                <w:color w:val="auto"/>
              </w:rPr>
              <w:t>epay Australia Pty Ltd</w:t>
            </w:r>
          </w:p>
        </w:tc>
        <w:tc>
          <w:tcPr>
            <w:tcW w:w="1360" w:type="dxa"/>
            <w:vAlign w:val="bottom"/>
          </w:tcPr>
          <w:p>
            <w:pPr>
              <w:ind w:left="120"/>
              <w:spacing w:after="0"/>
              <w:rPr>
                <w:sz w:val="20"/>
                <w:szCs w:val="20"/>
                <w:color w:val="auto"/>
              </w:rPr>
            </w:pPr>
            <w:r>
              <w:rPr>
                <w:rFonts w:ascii="Arial" w:cs="Arial" w:eastAsia="Arial" w:hAnsi="Arial"/>
                <w:sz w:val="16"/>
                <w:szCs w:val="16"/>
                <w:color w:val="auto"/>
              </w:rPr>
              <w:t>Westpac</w:t>
            </w:r>
          </w:p>
        </w:tc>
        <w:tc>
          <w:tcPr>
            <w:tcW w:w="1700" w:type="dxa"/>
            <w:vAlign w:val="bottom"/>
          </w:tcPr>
          <w:p>
            <w:pPr>
              <w:ind w:left="120"/>
              <w:spacing w:after="0"/>
              <w:rPr>
                <w:sz w:val="20"/>
                <w:szCs w:val="20"/>
                <w:color w:val="auto"/>
              </w:rPr>
            </w:pPr>
            <w:r>
              <w:rPr>
                <w:rFonts w:ascii="Arial" w:cs="Arial" w:eastAsia="Arial" w:hAnsi="Arial"/>
                <w:sz w:val="16"/>
                <w:szCs w:val="16"/>
                <w:color w:val="auto"/>
              </w:rPr>
              <w:t>Bank Guarantee/LC</w:t>
            </w:r>
          </w:p>
        </w:tc>
        <w:tc>
          <w:tcPr>
            <w:tcW w:w="2320" w:type="dxa"/>
            <w:vAlign w:val="bottom"/>
          </w:tcPr>
          <w:p>
            <w:pPr>
              <w:ind w:left="120"/>
              <w:spacing w:after="0"/>
              <w:rPr>
                <w:sz w:val="20"/>
                <w:szCs w:val="20"/>
                <w:color w:val="auto"/>
              </w:rPr>
            </w:pPr>
            <w:r>
              <w:rPr>
                <w:rFonts w:ascii="Arial" w:cs="Arial" w:eastAsia="Arial" w:hAnsi="Arial"/>
                <w:sz w:val="16"/>
                <w:szCs w:val="16"/>
                <w:color w:val="auto"/>
              </w:rPr>
              <w:t>Office Lease</w:t>
            </w:r>
          </w:p>
        </w:tc>
        <w:tc>
          <w:tcPr>
            <w:tcW w:w="1540" w:type="dxa"/>
            <w:vAlign w:val="bottom"/>
          </w:tcPr>
          <w:p>
            <w:pPr>
              <w:jc w:val="right"/>
              <w:spacing w:after="0"/>
              <w:rPr>
                <w:sz w:val="20"/>
                <w:szCs w:val="20"/>
                <w:color w:val="auto"/>
              </w:rPr>
            </w:pPr>
            <w:r>
              <w:rPr>
                <w:rFonts w:ascii="Arial" w:cs="Arial" w:eastAsia="Arial" w:hAnsi="Arial"/>
                <w:sz w:val="16"/>
                <w:szCs w:val="16"/>
                <w:color w:val="auto"/>
              </w:rPr>
              <w:t>AUD 156,375</w:t>
            </w:r>
          </w:p>
        </w:tc>
        <w:tc>
          <w:tcPr>
            <w:tcW w:w="1180" w:type="dxa"/>
            <w:vAlign w:val="bottom"/>
          </w:tcPr>
          <w:p>
            <w:pPr>
              <w:jc w:val="right"/>
              <w:spacing w:after="0"/>
              <w:rPr>
                <w:sz w:val="20"/>
                <w:szCs w:val="20"/>
                <w:color w:val="auto"/>
              </w:rPr>
            </w:pPr>
            <w:r>
              <w:rPr>
                <w:rFonts w:ascii="Arial" w:cs="Arial" w:eastAsia="Arial" w:hAnsi="Arial"/>
                <w:sz w:val="16"/>
                <w:szCs w:val="16"/>
                <w:color w:val="auto"/>
              </w:rPr>
              <w:t>136,140</w:t>
            </w:r>
          </w:p>
        </w:tc>
      </w:tr>
      <w:tr>
        <w:trPr>
          <w:trHeight w:val="33"/>
        </w:trPr>
        <w:tc>
          <w:tcPr>
            <w:tcW w:w="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0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700" w:type="dxa"/>
            <w:vAlign w:val="bottom"/>
          </w:tcPr>
          <w:p>
            <w:pPr>
              <w:spacing w:after="0"/>
              <w:rPr>
                <w:sz w:val="2"/>
                <w:szCs w:val="2"/>
                <w:color w:val="auto"/>
              </w:rPr>
            </w:pPr>
          </w:p>
        </w:tc>
        <w:tc>
          <w:tcPr>
            <w:tcW w:w="232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17"/>
        </w:trPr>
        <w:tc>
          <w:tcPr>
            <w:tcW w:w="20" w:type="dxa"/>
            <w:vAlign w:val="bottom"/>
          </w:tcPr>
          <w:p>
            <w:pPr>
              <w:spacing w:after="0"/>
              <w:rPr>
                <w:sz w:val="18"/>
                <w:szCs w:val="18"/>
                <w:color w:val="auto"/>
              </w:rPr>
            </w:pPr>
          </w:p>
        </w:tc>
        <w:tc>
          <w:tcPr>
            <w:tcW w:w="3280" w:type="dxa"/>
            <w:vAlign w:val="bottom"/>
            <w:gridSpan w:val="2"/>
          </w:tcPr>
          <w:p>
            <w:pPr>
              <w:spacing w:after="0"/>
              <w:rPr>
                <w:sz w:val="20"/>
                <w:szCs w:val="20"/>
                <w:color w:val="auto"/>
              </w:rPr>
            </w:pPr>
            <w:r>
              <w:rPr>
                <w:rFonts w:ascii="Arial" w:cs="Arial" w:eastAsia="Arial" w:hAnsi="Arial"/>
                <w:sz w:val="16"/>
                <w:szCs w:val="16"/>
                <w:b w:val="1"/>
                <w:bCs w:val="1"/>
                <w:color w:val="auto"/>
              </w:rPr>
              <w:t>epay Australia Pty Ltd Total</w:t>
            </w:r>
          </w:p>
        </w:tc>
        <w:tc>
          <w:tcPr>
            <w:tcW w:w="136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232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b w:val="1"/>
                <w:bCs w:val="1"/>
                <w:color w:val="auto"/>
              </w:rPr>
              <w:t>136,140</w:t>
            </w:r>
          </w:p>
        </w:tc>
      </w:tr>
      <w:tr>
        <w:trPr>
          <w:trHeight w:val="527"/>
        </w:trPr>
        <w:tc>
          <w:tcPr>
            <w:tcW w:w="20" w:type="dxa"/>
            <w:vAlign w:val="bottom"/>
          </w:tcPr>
          <w:p>
            <w:pPr>
              <w:spacing w:after="0"/>
              <w:rPr>
                <w:sz w:val="24"/>
                <w:szCs w:val="24"/>
                <w:color w:val="auto"/>
              </w:rPr>
            </w:pPr>
          </w:p>
        </w:tc>
        <w:tc>
          <w:tcPr>
            <w:tcW w:w="3280" w:type="dxa"/>
            <w:vAlign w:val="bottom"/>
            <w:gridSpan w:val="2"/>
          </w:tcPr>
          <w:p>
            <w:pPr>
              <w:spacing w:after="0"/>
              <w:rPr>
                <w:sz w:val="20"/>
                <w:szCs w:val="20"/>
                <w:color w:val="auto"/>
              </w:rPr>
            </w:pPr>
            <w:r>
              <w:rPr>
                <w:rFonts w:ascii="Arial" w:cs="Arial" w:eastAsia="Arial" w:hAnsi="Arial"/>
                <w:sz w:val="16"/>
                <w:szCs w:val="16"/>
                <w:color w:val="auto"/>
              </w:rPr>
              <w:t>epay New Zealand Limited</w:t>
            </w:r>
          </w:p>
        </w:tc>
        <w:tc>
          <w:tcPr>
            <w:tcW w:w="1360" w:type="dxa"/>
            <w:vAlign w:val="bottom"/>
          </w:tcPr>
          <w:p>
            <w:pPr>
              <w:ind w:left="120"/>
              <w:spacing w:after="0"/>
              <w:rPr>
                <w:sz w:val="20"/>
                <w:szCs w:val="20"/>
                <w:color w:val="auto"/>
              </w:rPr>
            </w:pPr>
            <w:r>
              <w:rPr>
                <w:rFonts w:ascii="Arial" w:cs="Arial" w:eastAsia="Arial" w:hAnsi="Arial"/>
                <w:sz w:val="16"/>
                <w:szCs w:val="16"/>
                <w:color w:val="auto"/>
              </w:rPr>
              <w:t>Westpac</w:t>
            </w:r>
          </w:p>
        </w:tc>
        <w:tc>
          <w:tcPr>
            <w:tcW w:w="1700" w:type="dxa"/>
            <w:vAlign w:val="bottom"/>
          </w:tcPr>
          <w:p>
            <w:pPr>
              <w:ind w:left="120"/>
              <w:spacing w:after="0"/>
              <w:rPr>
                <w:sz w:val="20"/>
                <w:szCs w:val="20"/>
                <w:color w:val="auto"/>
              </w:rPr>
            </w:pPr>
            <w:r>
              <w:rPr>
                <w:rFonts w:ascii="Arial" w:cs="Arial" w:eastAsia="Arial" w:hAnsi="Arial"/>
                <w:sz w:val="16"/>
                <w:szCs w:val="16"/>
                <w:color w:val="auto"/>
              </w:rPr>
              <w:t>Bank Guarantee/LC</w:t>
            </w:r>
          </w:p>
        </w:tc>
        <w:tc>
          <w:tcPr>
            <w:tcW w:w="2320" w:type="dxa"/>
            <w:vAlign w:val="bottom"/>
          </w:tcPr>
          <w:p>
            <w:pPr>
              <w:ind w:left="120"/>
              <w:spacing w:after="0"/>
              <w:rPr>
                <w:sz w:val="20"/>
                <w:szCs w:val="20"/>
                <w:color w:val="auto"/>
              </w:rPr>
            </w:pPr>
            <w:r>
              <w:rPr>
                <w:rFonts w:ascii="Arial" w:cs="Arial" w:eastAsia="Arial" w:hAnsi="Arial"/>
                <w:sz w:val="16"/>
                <w:szCs w:val="16"/>
                <w:color w:val="auto"/>
              </w:rPr>
              <w:t>Performance guarantee</w:t>
            </w:r>
          </w:p>
        </w:tc>
        <w:tc>
          <w:tcPr>
            <w:tcW w:w="1540" w:type="dxa"/>
            <w:vAlign w:val="bottom"/>
          </w:tcPr>
          <w:p>
            <w:pPr>
              <w:jc w:val="right"/>
              <w:spacing w:after="0"/>
              <w:rPr>
                <w:sz w:val="20"/>
                <w:szCs w:val="20"/>
                <w:color w:val="auto"/>
              </w:rPr>
            </w:pPr>
            <w:r>
              <w:rPr>
                <w:rFonts w:ascii="Arial" w:cs="Arial" w:eastAsia="Arial" w:hAnsi="Arial"/>
                <w:sz w:val="16"/>
                <w:szCs w:val="16"/>
                <w:color w:val="auto"/>
              </w:rPr>
              <w:t>NZD 2,000,000</w:t>
            </w:r>
          </w:p>
        </w:tc>
        <w:tc>
          <w:tcPr>
            <w:tcW w:w="1180" w:type="dxa"/>
            <w:vAlign w:val="bottom"/>
          </w:tcPr>
          <w:p>
            <w:pPr>
              <w:jc w:val="right"/>
              <w:spacing w:after="0"/>
              <w:rPr>
                <w:sz w:val="20"/>
                <w:szCs w:val="20"/>
                <w:color w:val="auto"/>
              </w:rPr>
            </w:pPr>
            <w:r>
              <w:rPr>
                <w:rFonts w:ascii="Arial" w:cs="Arial" w:eastAsia="Arial" w:hAnsi="Arial"/>
                <w:sz w:val="16"/>
                <w:szCs w:val="16"/>
                <w:color w:val="auto"/>
              </w:rPr>
              <w:t>1,614,800</w:t>
            </w:r>
          </w:p>
        </w:tc>
      </w:tr>
      <w:tr>
        <w:trPr>
          <w:trHeight w:val="33"/>
        </w:trPr>
        <w:tc>
          <w:tcPr>
            <w:tcW w:w="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0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700" w:type="dxa"/>
            <w:vAlign w:val="bottom"/>
          </w:tcPr>
          <w:p>
            <w:pPr>
              <w:spacing w:after="0"/>
              <w:rPr>
                <w:sz w:val="2"/>
                <w:szCs w:val="2"/>
                <w:color w:val="auto"/>
              </w:rPr>
            </w:pPr>
          </w:p>
        </w:tc>
        <w:tc>
          <w:tcPr>
            <w:tcW w:w="232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17"/>
        </w:trPr>
        <w:tc>
          <w:tcPr>
            <w:tcW w:w="20" w:type="dxa"/>
            <w:vAlign w:val="bottom"/>
          </w:tcPr>
          <w:p>
            <w:pPr>
              <w:spacing w:after="0"/>
              <w:rPr>
                <w:sz w:val="18"/>
                <w:szCs w:val="18"/>
                <w:color w:val="auto"/>
              </w:rPr>
            </w:pPr>
          </w:p>
        </w:tc>
        <w:tc>
          <w:tcPr>
            <w:tcW w:w="3280" w:type="dxa"/>
            <w:vAlign w:val="bottom"/>
            <w:gridSpan w:val="2"/>
          </w:tcPr>
          <w:p>
            <w:pPr>
              <w:spacing w:after="0"/>
              <w:rPr>
                <w:sz w:val="20"/>
                <w:szCs w:val="20"/>
                <w:color w:val="auto"/>
              </w:rPr>
            </w:pPr>
            <w:r>
              <w:rPr>
                <w:rFonts w:ascii="Arial" w:cs="Arial" w:eastAsia="Arial" w:hAnsi="Arial"/>
                <w:sz w:val="16"/>
                <w:szCs w:val="16"/>
                <w:b w:val="1"/>
                <w:bCs w:val="1"/>
                <w:color w:val="auto"/>
              </w:rPr>
              <w:t>epay New Zealand Limited Total</w:t>
            </w:r>
          </w:p>
        </w:tc>
        <w:tc>
          <w:tcPr>
            <w:tcW w:w="136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232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b w:val="1"/>
                <w:bCs w:val="1"/>
                <w:color w:val="auto"/>
              </w:rPr>
              <w:t>1,614,800</w:t>
            </w:r>
          </w:p>
        </w:tc>
      </w:tr>
      <w:tr>
        <w:trPr>
          <w:trHeight w:val="527"/>
        </w:trPr>
        <w:tc>
          <w:tcPr>
            <w:tcW w:w="20" w:type="dxa"/>
            <w:vAlign w:val="bottom"/>
          </w:tcPr>
          <w:p>
            <w:pPr>
              <w:spacing w:after="0"/>
              <w:rPr>
                <w:sz w:val="24"/>
                <w:szCs w:val="24"/>
                <w:color w:val="auto"/>
              </w:rPr>
            </w:pPr>
          </w:p>
        </w:tc>
        <w:tc>
          <w:tcPr>
            <w:tcW w:w="3280" w:type="dxa"/>
            <w:vAlign w:val="bottom"/>
            <w:gridSpan w:val="2"/>
          </w:tcPr>
          <w:p>
            <w:pPr>
              <w:spacing w:after="0"/>
              <w:rPr>
                <w:sz w:val="20"/>
                <w:szCs w:val="20"/>
                <w:color w:val="auto"/>
              </w:rPr>
            </w:pPr>
            <w:r>
              <w:rPr>
                <w:rFonts w:ascii="Arial" w:cs="Arial" w:eastAsia="Arial" w:hAnsi="Arial"/>
                <w:sz w:val="16"/>
                <w:szCs w:val="16"/>
                <w:color w:val="auto"/>
                <w:w w:val="96"/>
              </w:rPr>
              <w:t>EWI (on behalf of Euronet 360 Finance Limited)</w:t>
            </w:r>
          </w:p>
        </w:tc>
        <w:tc>
          <w:tcPr>
            <w:tcW w:w="1360" w:type="dxa"/>
            <w:vAlign w:val="bottom"/>
          </w:tcPr>
          <w:p>
            <w:pPr>
              <w:ind w:left="120"/>
              <w:spacing w:after="0"/>
              <w:rPr>
                <w:sz w:val="20"/>
                <w:szCs w:val="20"/>
                <w:color w:val="auto"/>
              </w:rPr>
            </w:pPr>
            <w:r>
              <w:rPr>
                <w:rFonts w:ascii="Arial" w:cs="Arial" w:eastAsia="Arial" w:hAnsi="Arial"/>
                <w:sz w:val="16"/>
                <w:szCs w:val="16"/>
                <w:color w:val="auto"/>
              </w:rPr>
              <w:t>Bank of America</w:t>
            </w:r>
          </w:p>
        </w:tc>
        <w:tc>
          <w:tcPr>
            <w:tcW w:w="1700" w:type="dxa"/>
            <w:vAlign w:val="bottom"/>
          </w:tcPr>
          <w:p>
            <w:pPr>
              <w:ind w:left="120"/>
              <w:spacing w:after="0"/>
              <w:rPr>
                <w:sz w:val="20"/>
                <w:szCs w:val="20"/>
                <w:color w:val="auto"/>
              </w:rPr>
            </w:pPr>
            <w:r>
              <w:rPr>
                <w:rFonts w:ascii="Arial" w:cs="Arial" w:eastAsia="Arial" w:hAnsi="Arial"/>
                <w:sz w:val="16"/>
                <w:szCs w:val="16"/>
                <w:color w:val="auto"/>
              </w:rPr>
              <w:t>Bank Guarantee/LC</w:t>
            </w:r>
          </w:p>
        </w:tc>
        <w:tc>
          <w:tcPr>
            <w:tcW w:w="2320" w:type="dxa"/>
            <w:vAlign w:val="bottom"/>
          </w:tcPr>
          <w:p>
            <w:pPr>
              <w:ind w:left="120"/>
              <w:spacing w:after="0"/>
              <w:rPr>
                <w:sz w:val="20"/>
                <w:szCs w:val="20"/>
                <w:color w:val="auto"/>
              </w:rPr>
            </w:pPr>
            <w:r>
              <w:rPr>
                <w:rFonts w:ascii="Arial" w:cs="Arial" w:eastAsia="Arial" w:hAnsi="Arial"/>
                <w:sz w:val="16"/>
                <w:szCs w:val="16"/>
                <w:color w:val="auto"/>
              </w:rPr>
              <w:t>ATM Lease/Funding</w:t>
            </w:r>
          </w:p>
        </w:tc>
        <w:tc>
          <w:tcPr>
            <w:tcW w:w="1540" w:type="dxa"/>
            <w:vAlign w:val="bottom"/>
          </w:tcPr>
          <w:p>
            <w:pPr>
              <w:jc w:val="right"/>
              <w:spacing w:after="0"/>
              <w:rPr>
                <w:sz w:val="20"/>
                <w:szCs w:val="20"/>
                <w:color w:val="auto"/>
              </w:rPr>
            </w:pPr>
            <w:r>
              <w:rPr>
                <w:rFonts w:ascii="Arial" w:cs="Arial" w:eastAsia="Arial" w:hAnsi="Arial"/>
                <w:sz w:val="16"/>
                <w:szCs w:val="16"/>
                <w:color w:val="auto"/>
              </w:rPr>
              <w:t>EUR 16,200</w:t>
            </w:r>
          </w:p>
        </w:tc>
        <w:tc>
          <w:tcPr>
            <w:tcW w:w="1180" w:type="dxa"/>
            <w:vAlign w:val="bottom"/>
          </w:tcPr>
          <w:p>
            <w:pPr>
              <w:jc w:val="right"/>
              <w:spacing w:after="0"/>
              <w:rPr>
                <w:sz w:val="20"/>
                <w:szCs w:val="20"/>
                <w:color w:val="auto"/>
              </w:rPr>
            </w:pPr>
            <w:r>
              <w:rPr>
                <w:rFonts w:ascii="Arial" w:cs="Arial" w:eastAsia="Arial" w:hAnsi="Arial"/>
                <w:sz w:val="16"/>
                <w:szCs w:val="16"/>
                <w:color w:val="auto"/>
              </w:rPr>
              <w:t>21,891</w:t>
            </w:r>
          </w:p>
        </w:tc>
      </w:tr>
      <w:tr>
        <w:trPr>
          <w:trHeight w:val="257"/>
        </w:trPr>
        <w:tc>
          <w:tcPr>
            <w:tcW w:w="20" w:type="dxa"/>
            <w:vAlign w:val="bottom"/>
          </w:tcPr>
          <w:p>
            <w:pPr>
              <w:spacing w:after="0"/>
              <w:rPr>
                <w:sz w:val="22"/>
                <w:szCs w:val="22"/>
                <w:color w:val="auto"/>
              </w:rPr>
            </w:pPr>
          </w:p>
        </w:tc>
        <w:tc>
          <w:tcPr>
            <w:tcW w:w="3280" w:type="dxa"/>
            <w:vAlign w:val="bottom"/>
            <w:gridSpan w:val="2"/>
          </w:tcPr>
          <w:p>
            <w:pPr>
              <w:spacing w:after="0"/>
              <w:rPr>
                <w:sz w:val="20"/>
                <w:szCs w:val="20"/>
                <w:color w:val="auto"/>
              </w:rPr>
            </w:pPr>
            <w:r>
              <w:rPr>
                <w:rFonts w:ascii="Arial" w:cs="Arial" w:eastAsia="Arial" w:hAnsi="Arial"/>
                <w:sz w:val="16"/>
                <w:szCs w:val="16"/>
                <w:color w:val="auto"/>
                <w:w w:val="96"/>
              </w:rPr>
              <w:t>EWI (on behalf of Euronet 360 Finance Limited)</w:t>
            </w:r>
          </w:p>
        </w:tc>
        <w:tc>
          <w:tcPr>
            <w:tcW w:w="1360" w:type="dxa"/>
            <w:vAlign w:val="bottom"/>
          </w:tcPr>
          <w:p>
            <w:pPr>
              <w:ind w:left="120"/>
              <w:spacing w:after="0"/>
              <w:rPr>
                <w:sz w:val="20"/>
                <w:szCs w:val="20"/>
                <w:color w:val="auto"/>
              </w:rPr>
            </w:pPr>
            <w:r>
              <w:rPr>
                <w:rFonts w:ascii="Arial" w:cs="Arial" w:eastAsia="Arial" w:hAnsi="Arial"/>
                <w:sz w:val="16"/>
                <w:szCs w:val="16"/>
                <w:color w:val="auto"/>
              </w:rPr>
              <w:t>Bank of America</w:t>
            </w:r>
          </w:p>
        </w:tc>
        <w:tc>
          <w:tcPr>
            <w:tcW w:w="1700" w:type="dxa"/>
            <w:vAlign w:val="bottom"/>
          </w:tcPr>
          <w:p>
            <w:pPr>
              <w:ind w:left="120"/>
              <w:spacing w:after="0"/>
              <w:rPr>
                <w:sz w:val="20"/>
                <w:szCs w:val="20"/>
                <w:color w:val="auto"/>
              </w:rPr>
            </w:pPr>
            <w:r>
              <w:rPr>
                <w:rFonts w:ascii="Arial" w:cs="Arial" w:eastAsia="Arial" w:hAnsi="Arial"/>
                <w:sz w:val="16"/>
                <w:szCs w:val="16"/>
                <w:color w:val="auto"/>
              </w:rPr>
              <w:t>Bank Guarantee/LC</w:t>
            </w:r>
          </w:p>
        </w:tc>
        <w:tc>
          <w:tcPr>
            <w:tcW w:w="2320" w:type="dxa"/>
            <w:vAlign w:val="bottom"/>
          </w:tcPr>
          <w:p>
            <w:pPr>
              <w:ind w:left="120"/>
              <w:spacing w:after="0"/>
              <w:rPr>
                <w:sz w:val="20"/>
                <w:szCs w:val="20"/>
                <w:color w:val="auto"/>
              </w:rPr>
            </w:pPr>
            <w:r>
              <w:rPr>
                <w:rFonts w:ascii="Arial" w:cs="Arial" w:eastAsia="Arial" w:hAnsi="Arial"/>
                <w:sz w:val="16"/>
                <w:szCs w:val="16"/>
                <w:color w:val="auto"/>
              </w:rPr>
              <w:t>ATM Lease/Funding</w:t>
            </w:r>
          </w:p>
        </w:tc>
        <w:tc>
          <w:tcPr>
            <w:tcW w:w="1540" w:type="dxa"/>
            <w:vAlign w:val="bottom"/>
          </w:tcPr>
          <w:p>
            <w:pPr>
              <w:jc w:val="right"/>
              <w:spacing w:after="0"/>
              <w:rPr>
                <w:sz w:val="20"/>
                <w:szCs w:val="20"/>
                <w:color w:val="auto"/>
              </w:rPr>
            </w:pPr>
            <w:r>
              <w:rPr>
                <w:rFonts w:ascii="Arial" w:cs="Arial" w:eastAsia="Arial" w:hAnsi="Arial"/>
                <w:sz w:val="16"/>
                <w:szCs w:val="16"/>
                <w:color w:val="auto"/>
              </w:rPr>
              <w:t>EUR 8,400</w:t>
            </w:r>
          </w:p>
        </w:tc>
        <w:tc>
          <w:tcPr>
            <w:tcW w:w="1180" w:type="dxa"/>
            <w:vAlign w:val="bottom"/>
          </w:tcPr>
          <w:p>
            <w:pPr>
              <w:jc w:val="right"/>
              <w:spacing w:after="0"/>
              <w:rPr>
                <w:sz w:val="20"/>
                <w:szCs w:val="20"/>
                <w:color w:val="auto"/>
              </w:rPr>
            </w:pPr>
            <w:r>
              <w:rPr>
                <w:rFonts w:ascii="Arial" w:cs="Arial" w:eastAsia="Arial" w:hAnsi="Arial"/>
                <w:sz w:val="16"/>
                <w:szCs w:val="16"/>
                <w:color w:val="auto"/>
              </w:rPr>
              <w:t>11,351</w:t>
            </w:r>
          </w:p>
        </w:tc>
      </w:tr>
      <w:tr>
        <w:trPr>
          <w:trHeight w:val="257"/>
        </w:trPr>
        <w:tc>
          <w:tcPr>
            <w:tcW w:w="20" w:type="dxa"/>
            <w:vAlign w:val="bottom"/>
          </w:tcPr>
          <w:p>
            <w:pPr>
              <w:spacing w:after="0"/>
              <w:rPr>
                <w:sz w:val="22"/>
                <w:szCs w:val="22"/>
                <w:color w:val="auto"/>
              </w:rPr>
            </w:pPr>
          </w:p>
        </w:tc>
        <w:tc>
          <w:tcPr>
            <w:tcW w:w="3280" w:type="dxa"/>
            <w:vAlign w:val="bottom"/>
            <w:gridSpan w:val="2"/>
          </w:tcPr>
          <w:p>
            <w:pPr>
              <w:spacing w:after="0"/>
              <w:rPr>
                <w:sz w:val="20"/>
                <w:szCs w:val="20"/>
                <w:color w:val="auto"/>
              </w:rPr>
            </w:pPr>
            <w:r>
              <w:rPr>
                <w:rFonts w:ascii="Arial" w:cs="Arial" w:eastAsia="Arial" w:hAnsi="Arial"/>
                <w:sz w:val="16"/>
                <w:szCs w:val="16"/>
                <w:color w:val="auto"/>
                <w:w w:val="96"/>
              </w:rPr>
              <w:t>EWI (on behalf of Euronet 360 Finance Limited)</w:t>
            </w:r>
          </w:p>
        </w:tc>
        <w:tc>
          <w:tcPr>
            <w:tcW w:w="1360" w:type="dxa"/>
            <w:vAlign w:val="bottom"/>
          </w:tcPr>
          <w:p>
            <w:pPr>
              <w:ind w:left="120"/>
              <w:spacing w:after="0"/>
              <w:rPr>
                <w:sz w:val="20"/>
                <w:szCs w:val="20"/>
                <w:color w:val="auto"/>
              </w:rPr>
            </w:pPr>
            <w:r>
              <w:rPr>
                <w:rFonts w:ascii="Arial" w:cs="Arial" w:eastAsia="Arial" w:hAnsi="Arial"/>
                <w:sz w:val="16"/>
                <w:szCs w:val="16"/>
                <w:color w:val="auto"/>
              </w:rPr>
              <w:t>Bank of America</w:t>
            </w:r>
          </w:p>
        </w:tc>
        <w:tc>
          <w:tcPr>
            <w:tcW w:w="1700" w:type="dxa"/>
            <w:vAlign w:val="bottom"/>
          </w:tcPr>
          <w:p>
            <w:pPr>
              <w:ind w:left="120"/>
              <w:spacing w:after="0"/>
              <w:rPr>
                <w:sz w:val="20"/>
                <w:szCs w:val="20"/>
                <w:color w:val="auto"/>
              </w:rPr>
            </w:pPr>
            <w:r>
              <w:rPr>
                <w:rFonts w:ascii="Arial" w:cs="Arial" w:eastAsia="Arial" w:hAnsi="Arial"/>
                <w:sz w:val="16"/>
                <w:szCs w:val="16"/>
                <w:color w:val="auto"/>
              </w:rPr>
              <w:t>Bank Guarantee/LC</w:t>
            </w:r>
          </w:p>
        </w:tc>
        <w:tc>
          <w:tcPr>
            <w:tcW w:w="2320" w:type="dxa"/>
            <w:vAlign w:val="bottom"/>
          </w:tcPr>
          <w:p>
            <w:pPr>
              <w:ind w:left="120"/>
              <w:spacing w:after="0"/>
              <w:rPr>
                <w:sz w:val="20"/>
                <w:szCs w:val="20"/>
                <w:color w:val="auto"/>
              </w:rPr>
            </w:pPr>
            <w:r>
              <w:rPr>
                <w:rFonts w:ascii="Arial" w:cs="Arial" w:eastAsia="Arial" w:hAnsi="Arial"/>
                <w:sz w:val="16"/>
                <w:szCs w:val="16"/>
                <w:color w:val="auto"/>
              </w:rPr>
              <w:t>ATM Lease/Funding</w:t>
            </w:r>
          </w:p>
        </w:tc>
        <w:tc>
          <w:tcPr>
            <w:tcW w:w="1540" w:type="dxa"/>
            <w:vAlign w:val="bottom"/>
          </w:tcPr>
          <w:p>
            <w:pPr>
              <w:jc w:val="right"/>
              <w:spacing w:after="0"/>
              <w:rPr>
                <w:sz w:val="20"/>
                <w:szCs w:val="20"/>
                <w:color w:val="auto"/>
              </w:rPr>
            </w:pPr>
            <w:r>
              <w:rPr>
                <w:rFonts w:ascii="Arial" w:cs="Arial" w:eastAsia="Arial" w:hAnsi="Arial"/>
                <w:sz w:val="16"/>
                <w:szCs w:val="16"/>
                <w:color w:val="auto"/>
              </w:rPr>
              <w:t>EUR 4,200</w:t>
            </w:r>
          </w:p>
        </w:tc>
        <w:tc>
          <w:tcPr>
            <w:tcW w:w="1180" w:type="dxa"/>
            <w:vAlign w:val="bottom"/>
          </w:tcPr>
          <w:p>
            <w:pPr>
              <w:jc w:val="right"/>
              <w:spacing w:after="0"/>
              <w:rPr>
                <w:sz w:val="20"/>
                <w:szCs w:val="20"/>
                <w:color w:val="auto"/>
              </w:rPr>
            </w:pPr>
            <w:r>
              <w:rPr>
                <w:rFonts w:ascii="Arial" w:cs="Arial" w:eastAsia="Arial" w:hAnsi="Arial"/>
                <w:sz w:val="16"/>
                <w:szCs w:val="16"/>
                <w:color w:val="auto"/>
              </w:rPr>
              <w:t>5,675</w:t>
            </w:r>
          </w:p>
        </w:tc>
      </w:tr>
      <w:tr>
        <w:trPr>
          <w:trHeight w:val="33"/>
        </w:trPr>
        <w:tc>
          <w:tcPr>
            <w:tcW w:w="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0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700" w:type="dxa"/>
            <w:vAlign w:val="bottom"/>
          </w:tcPr>
          <w:p>
            <w:pPr>
              <w:spacing w:after="0"/>
              <w:rPr>
                <w:sz w:val="2"/>
                <w:szCs w:val="2"/>
                <w:color w:val="auto"/>
              </w:rPr>
            </w:pPr>
          </w:p>
        </w:tc>
        <w:tc>
          <w:tcPr>
            <w:tcW w:w="232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bl>
    <w:p>
      <w:pPr>
        <w:sectPr>
          <w:pgSz w:w="11900" w:h="16838" w:orient="portrait"/>
          <w:cols w:equalWidth="0" w:num="1">
            <w:col w:w="11400"/>
          </w:cols>
          <w:pgMar w:left="260" w:top="498" w:right="239" w:bottom="1440" w:gutter="0" w:footer="0" w:header="0"/>
        </w:sectPr>
      </w:pPr>
    </w:p>
    <w:bookmarkStart w:id="285" w:name="page286"/>
    <w:bookmarkEnd w:id="285"/>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240" w:type="dxa"/>
            <w:vAlign w:val="bottom"/>
          </w:tcPr>
          <w:p>
            <w:pPr>
              <w:spacing w:after="0"/>
              <w:rPr>
                <w:sz w:val="20"/>
                <w:szCs w:val="20"/>
                <w:color w:val="auto"/>
              </w:rPr>
            </w:pPr>
            <w:r>
              <w:rPr>
                <w:rFonts w:ascii="Arial" w:cs="Arial" w:eastAsia="Arial" w:hAnsi="Arial"/>
                <w:sz w:val="16"/>
                <w:szCs w:val="16"/>
                <w:b w:val="1"/>
                <w:bCs w:val="1"/>
                <w:color w:val="auto"/>
              </w:rPr>
              <w:t>Euronet 360 Finance Limited Total</w:t>
            </w:r>
          </w:p>
        </w:tc>
        <w:tc>
          <w:tcPr>
            <w:tcW w:w="140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b w:val="1"/>
                <w:bCs w:val="1"/>
                <w:color w:val="auto"/>
              </w:rPr>
              <w:t>38,917</w:t>
            </w:r>
          </w:p>
        </w:tc>
        <w:tc>
          <w:tcPr>
            <w:tcW w:w="0" w:type="dxa"/>
            <w:vAlign w:val="bottom"/>
          </w:tcPr>
          <w:p>
            <w:pPr>
              <w:spacing w:after="0"/>
              <w:rPr>
                <w:sz w:val="1"/>
                <w:szCs w:val="1"/>
                <w:color w:val="auto"/>
              </w:rPr>
            </w:pPr>
          </w:p>
        </w:tc>
      </w:tr>
      <w:tr>
        <w:trPr>
          <w:trHeight w:val="523"/>
        </w:trPr>
        <w:tc>
          <w:tcPr>
            <w:tcW w:w="3240" w:type="dxa"/>
            <w:vAlign w:val="bottom"/>
          </w:tcPr>
          <w:p>
            <w:pPr>
              <w:spacing w:after="0"/>
              <w:rPr>
                <w:sz w:val="20"/>
                <w:szCs w:val="20"/>
                <w:color w:val="auto"/>
              </w:rPr>
            </w:pPr>
            <w:r>
              <w:rPr>
                <w:rFonts w:ascii="Arial" w:cs="Arial" w:eastAsia="Arial" w:hAnsi="Arial"/>
                <w:sz w:val="16"/>
                <w:szCs w:val="16"/>
                <w:color w:val="auto"/>
              </w:rPr>
              <w:t>EWI (on behalf of Euronet Pay &amp; Transaction</w:t>
            </w:r>
          </w:p>
        </w:tc>
        <w:tc>
          <w:tcPr>
            <w:tcW w:w="140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6"/>
        </w:trPr>
        <w:tc>
          <w:tcPr>
            <w:tcW w:w="3240" w:type="dxa"/>
            <w:vAlign w:val="bottom"/>
          </w:tcPr>
          <w:p>
            <w:pPr>
              <w:spacing w:after="0"/>
              <w:rPr>
                <w:sz w:val="20"/>
                <w:szCs w:val="20"/>
                <w:color w:val="auto"/>
              </w:rPr>
            </w:pPr>
            <w:r>
              <w:rPr>
                <w:rFonts w:ascii="Arial" w:cs="Arial" w:eastAsia="Arial" w:hAnsi="Arial"/>
                <w:sz w:val="16"/>
                <w:szCs w:val="16"/>
                <w:color w:val="auto"/>
              </w:rPr>
              <w:t>Services S.R.L.)</w:t>
            </w:r>
          </w:p>
        </w:tc>
        <w:tc>
          <w:tcPr>
            <w:tcW w:w="1400" w:type="dxa"/>
            <w:vAlign w:val="bottom"/>
          </w:tcPr>
          <w:p>
            <w:pPr>
              <w:ind w:left="160"/>
              <w:spacing w:after="0"/>
              <w:rPr>
                <w:sz w:val="20"/>
                <w:szCs w:val="20"/>
                <w:color w:val="auto"/>
              </w:rPr>
            </w:pPr>
            <w:r>
              <w:rPr>
                <w:rFonts w:ascii="Arial" w:cs="Arial" w:eastAsia="Arial" w:hAnsi="Arial"/>
                <w:sz w:val="16"/>
                <w:szCs w:val="16"/>
                <w:color w:val="auto"/>
              </w:rPr>
              <w:t>Bank of America</w:t>
            </w:r>
          </w:p>
        </w:tc>
        <w:tc>
          <w:tcPr>
            <w:tcW w:w="1620" w:type="dxa"/>
            <w:vAlign w:val="bottom"/>
          </w:tcPr>
          <w:p>
            <w:pPr>
              <w:ind w:left="120"/>
              <w:spacing w:after="0"/>
              <w:rPr>
                <w:sz w:val="20"/>
                <w:szCs w:val="20"/>
                <w:color w:val="auto"/>
              </w:rPr>
            </w:pPr>
            <w:r>
              <w:rPr>
                <w:rFonts w:ascii="Arial" w:cs="Arial" w:eastAsia="Arial" w:hAnsi="Arial"/>
                <w:sz w:val="16"/>
                <w:szCs w:val="16"/>
                <w:color w:val="auto"/>
              </w:rPr>
              <w:t>Bank Guarantee/LC</w:t>
            </w:r>
          </w:p>
        </w:tc>
        <w:tc>
          <w:tcPr>
            <w:tcW w:w="2300" w:type="dxa"/>
            <w:vAlign w:val="bottom"/>
          </w:tcPr>
          <w:p>
            <w:pPr>
              <w:ind w:left="200"/>
              <w:spacing w:after="0"/>
              <w:rPr>
                <w:sz w:val="20"/>
                <w:szCs w:val="20"/>
                <w:color w:val="auto"/>
              </w:rPr>
            </w:pPr>
            <w:r>
              <w:rPr>
                <w:rFonts w:ascii="Arial" w:cs="Arial" w:eastAsia="Arial" w:hAnsi="Arial"/>
                <w:sz w:val="16"/>
                <w:szCs w:val="16"/>
                <w:color w:val="auto"/>
              </w:rPr>
              <w:t>Top ups</w:t>
            </w:r>
          </w:p>
        </w:tc>
        <w:tc>
          <w:tcPr>
            <w:tcW w:w="1640" w:type="dxa"/>
            <w:vAlign w:val="bottom"/>
          </w:tcPr>
          <w:p>
            <w:pPr>
              <w:jc w:val="right"/>
              <w:spacing w:after="0"/>
              <w:rPr>
                <w:sz w:val="20"/>
                <w:szCs w:val="20"/>
                <w:color w:val="auto"/>
              </w:rPr>
            </w:pPr>
            <w:r>
              <w:rPr>
                <w:rFonts w:ascii="Arial" w:cs="Arial" w:eastAsia="Arial" w:hAnsi="Arial"/>
                <w:sz w:val="16"/>
                <w:szCs w:val="16"/>
                <w:color w:val="auto"/>
              </w:rPr>
              <w:t>EUR 350,000</w:t>
            </w:r>
          </w:p>
        </w:tc>
        <w:tc>
          <w:tcPr>
            <w:tcW w:w="1180" w:type="dxa"/>
            <w:vAlign w:val="bottom"/>
          </w:tcPr>
          <w:p>
            <w:pPr>
              <w:jc w:val="right"/>
              <w:spacing w:after="0"/>
              <w:rPr>
                <w:sz w:val="20"/>
                <w:szCs w:val="20"/>
                <w:color w:val="auto"/>
              </w:rPr>
            </w:pPr>
            <w:r>
              <w:rPr>
                <w:rFonts w:ascii="Arial" w:cs="Arial" w:eastAsia="Arial" w:hAnsi="Arial"/>
                <w:sz w:val="16"/>
                <w:szCs w:val="16"/>
                <w:color w:val="auto"/>
              </w:rPr>
              <w:t>472,955</w:t>
            </w:r>
          </w:p>
        </w:tc>
        <w:tc>
          <w:tcPr>
            <w:tcW w:w="0" w:type="dxa"/>
            <w:vAlign w:val="bottom"/>
          </w:tcPr>
          <w:p>
            <w:pPr>
              <w:spacing w:after="0"/>
              <w:rPr>
                <w:sz w:val="1"/>
                <w:szCs w:val="1"/>
                <w:color w:val="auto"/>
              </w:rPr>
            </w:pPr>
          </w:p>
        </w:tc>
      </w:tr>
      <w:tr>
        <w:trPr>
          <w:trHeight w:val="257"/>
        </w:trPr>
        <w:tc>
          <w:tcPr>
            <w:tcW w:w="3240" w:type="dxa"/>
            <w:vAlign w:val="bottom"/>
          </w:tcPr>
          <w:p>
            <w:pPr>
              <w:spacing w:after="0"/>
              <w:rPr>
                <w:sz w:val="20"/>
                <w:szCs w:val="20"/>
                <w:color w:val="auto"/>
              </w:rPr>
            </w:pPr>
            <w:r>
              <w:rPr>
                <w:rFonts w:ascii="Arial" w:cs="Arial" w:eastAsia="Arial" w:hAnsi="Arial"/>
                <w:sz w:val="16"/>
                <w:szCs w:val="16"/>
                <w:color w:val="auto"/>
              </w:rPr>
              <w:t>Euronet Pay &amp; Transaction Services S.R.L.</w:t>
            </w:r>
          </w:p>
        </w:tc>
        <w:tc>
          <w:tcPr>
            <w:tcW w:w="1400" w:type="dxa"/>
            <w:vAlign w:val="bottom"/>
          </w:tcPr>
          <w:p>
            <w:pPr>
              <w:ind w:left="160"/>
              <w:spacing w:after="0"/>
              <w:rPr>
                <w:sz w:val="20"/>
                <w:szCs w:val="20"/>
                <w:color w:val="auto"/>
              </w:rPr>
            </w:pPr>
            <w:r>
              <w:rPr>
                <w:rFonts w:ascii="Arial" w:cs="Arial" w:eastAsia="Arial" w:hAnsi="Arial"/>
                <w:sz w:val="16"/>
                <w:szCs w:val="16"/>
                <w:color w:val="auto"/>
              </w:rPr>
              <w:t>UniCredit</w:t>
            </w:r>
          </w:p>
        </w:tc>
        <w:tc>
          <w:tcPr>
            <w:tcW w:w="1620" w:type="dxa"/>
            <w:vAlign w:val="bottom"/>
          </w:tcPr>
          <w:p>
            <w:pPr>
              <w:ind w:left="120"/>
              <w:spacing w:after="0"/>
              <w:rPr>
                <w:sz w:val="20"/>
                <w:szCs w:val="20"/>
                <w:color w:val="auto"/>
              </w:rPr>
            </w:pPr>
            <w:r>
              <w:rPr>
                <w:rFonts w:ascii="Arial" w:cs="Arial" w:eastAsia="Arial" w:hAnsi="Arial"/>
                <w:sz w:val="16"/>
                <w:szCs w:val="16"/>
                <w:color w:val="auto"/>
              </w:rPr>
              <w:t>Bank Guarantee/LC</w:t>
            </w:r>
          </w:p>
        </w:tc>
        <w:tc>
          <w:tcPr>
            <w:tcW w:w="2300" w:type="dxa"/>
            <w:vAlign w:val="bottom"/>
          </w:tcPr>
          <w:p>
            <w:pPr>
              <w:ind w:left="200"/>
              <w:spacing w:after="0"/>
              <w:rPr>
                <w:sz w:val="20"/>
                <w:szCs w:val="20"/>
                <w:color w:val="auto"/>
              </w:rPr>
            </w:pPr>
            <w:r>
              <w:rPr>
                <w:rFonts w:ascii="Arial" w:cs="Arial" w:eastAsia="Arial" w:hAnsi="Arial"/>
                <w:sz w:val="16"/>
                <w:szCs w:val="16"/>
                <w:color w:val="auto"/>
              </w:rPr>
              <w:t>Top ups</w:t>
            </w:r>
          </w:p>
        </w:tc>
        <w:tc>
          <w:tcPr>
            <w:tcW w:w="1640" w:type="dxa"/>
            <w:vAlign w:val="bottom"/>
          </w:tcPr>
          <w:p>
            <w:pPr>
              <w:jc w:val="right"/>
              <w:spacing w:after="0"/>
              <w:rPr>
                <w:sz w:val="20"/>
                <w:szCs w:val="20"/>
                <w:color w:val="auto"/>
              </w:rPr>
            </w:pPr>
            <w:r>
              <w:rPr>
                <w:rFonts w:ascii="Arial" w:cs="Arial" w:eastAsia="Arial" w:hAnsi="Arial"/>
                <w:sz w:val="16"/>
                <w:szCs w:val="16"/>
                <w:color w:val="auto"/>
              </w:rPr>
              <w:t>EUR 3,700,000</w:t>
            </w:r>
          </w:p>
        </w:tc>
        <w:tc>
          <w:tcPr>
            <w:tcW w:w="1180" w:type="dxa"/>
            <w:vAlign w:val="bottom"/>
          </w:tcPr>
          <w:p>
            <w:pPr>
              <w:jc w:val="right"/>
              <w:spacing w:after="0"/>
              <w:rPr>
                <w:sz w:val="20"/>
                <w:szCs w:val="20"/>
                <w:color w:val="auto"/>
              </w:rPr>
            </w:pPr>
            <w:r>
              <w:rPr>
                <w:rFonts w:ascii="Arial" w:cs="Arial" w:eastAsia="Arial" w:hAnsi="Arial"/>
                <w:sz w:val="16"/>
                <w:szCs w:val="16"/>
                <w:color w:val="auto"/>
              </w:rPr>
              <w:t>4,999,810</w:t>
            </w:r>
          </w:p>
        </w:tc>
        <w:tc>
          <w:tcPr>
            <w:tcW w:w="0" w:type="dxa"/>
            <w:vAlign w:val="bottom"/>
          </w:tcPr>
          <w:p>
            <w:pPr>
              <w:spacing w:after="0"/>
              <w:rPr>
                <w:sz w:val="1"/>
                <w:szCs w:val="1"/>
                <w:color w:val="auto"/>
              </w:rPr>
            </w:pPr>
          </w:p>
        </w:tc>
      </w:tr>
      <w:tr>
        <w:trPr>
          <w:trHeight w:val="257"/>
        </w:trPr>
        <w:tc>
          <w:tcPr>
            <w:tcW w:w="3240" w:type="dxa"/>
            <w:vAlign w:val="bottom"/>
          </w:tcPr>
          <w:p>
            <w:pPr>
              <w:spacing w:after="0"/>
              <w:rPr>
                <w:sz w:val="20"/>
                <w:szCs w:val="20"/>
                <w:color w:val="auto"/>
              </w:rPr>
            </w:pPr>
            <w:r>
              <w:rPr>
                <w:rFonts w:ascii="Arial" w:cs="Arial" w:eastAsia="Arial" w:hAnsi="Arial"/>
                <w:sz w:val="16"/>
                <w:szCs w:val="16"/>
                <w:color w:val="auto"/>
              </w:rPr>
              <w:t>Euronet Pay &amp; Transaction Services S.R.L.</w:t>
            </w:r>
          </w:p>
        </w:tc>
        <w:tc>
          <w:tcPr>
            <w:tcW w:w="1400" w:type="dxa"/>
            <w:vAlign w:val="bottom"/>
          </w:tcPr>
          <w:p>
            <w:pPr>
              <w:ind w:left="160"/>
              <w:spacing w:after="0"/>
              <w:rPr>
                <w:sz w:val="20"/>
                <w:szCs w:val="20"/>
                <w:color w:val="auto"/>
              </w:rPr>
            </w:pPr>
            <w:r>
              <w:rPr>
                <w:rFonts w:ascii="Arial" w:cs="Arial" w:eastAsia="Arial" w:hAnsi="Arial"/>
                <w:sz w:val="16"/>
                <w:szCs w:val="16"/>
                <w:color w:val="auto"/>
              </w:rPr>
              <w:t>UniCredit</w:t>
            </w:r>
          </w:p>
        </w:tc>
        <w:tc>
          <w:tcPr>
            <w:tcW w:w="1620" w:type="dxa"/>
            <w:vAlign w:val="bottom"/>
          </w:tcPr>
          <w:p>
            <w:pPr>
              <w:ind w:left="120"/>
              <w:spacing w:after="0"/>
              <w:rPr>
                <w:sz w:val="20"/>
                <w:szCs w:val="20"/>
                <w:color w:val="auto"/>
              </w:rPr>
            </w:pPr>
            <w:r>
              <w:rPr>
                <w:rFonts w:ascii="Arial" w:cs="Arial" w:eastAsia="Arial" w:hAnsi="Arial"/>
                <w:sz w:val="16"/>
                <w:szCs w:val="16"/>
                <w:color w:val="auto"/>
              </w:rPr>
              <w:t>Bank Guarantee/LC</w:t>
            </w:r>
          </w:p>
        </w:tc>
        <w:tc>
          <w:tcPr>
            <w:tcW w:w="2300" w:type="dxa"/>
            <w:vAlign w:val="bottom"/>
          </w:tcPr>
          <w:p>
            <w:pPr>
              <w:ind w:left="200"/>
              <w:spacing w:after="0"/>
              <w:rPr>
                <w:sz w:val="20"/>
                <w:szCs w:val="20"/>
                <w:color w:val="auto"/>
              </w:rPr>
            </w:pPr>
            <w:r>
              <w:rPr>
                <w:rFonts w:ascii="Arial" w:cs="Arial" w:eastAsia="Arial" w:hAnsi="Arial"/>
                <w:sz w:val="16"/>
                <w:szCs w:val="16"/>
                <w:color w:val="auto"/>
              </w:rPr>
              <w:t>Top ups</w:t>
            </w:r>
          </w:p>
        </w:tc>
        <w:tc>
          <w:tcPr>
            <w:tcW w:w="1640" w:type="dxa"/>
            <w:vAlign w:val="bottom"/>
          </w:tcPr>
          <w:p>
            <w:pPr>
              <w:jc w:val="right"/>
              <w:spacing w:after="0"/>
              <w:rPr>
                <w:sz w:val="20"/>
                <w:szCs w:val="20"/>
                <w:color w:val="auto"/>
              </w:rPr>
            </w:pPr>
            <w:r>
              <w:rPr>
                <w:rFonts w:ascii="Arial" w:cs="Arial" w:eastAsia="Arial" w:hAnsi="Arial"/>
                <w:sz w:val="16"/>
                <w:szCs w:val="16"/>
                <w:color w:val="auto"/>
              </w:rPr>
              <w:t>EUR 1,500,000</w:t>
            </w:r>
          </w:p>
        </w:tc>
        <w:tc>
          <w:tcPr>
            <w:tcW w:w="1180" w:type="dxa"/>
            <w:vAlign w:val="bottom"/>
          </w:tcPr>
          <w:p>
            <w:pPr>
              <w:jc w:val="right"/>
              <w:spacing w:after="0"/>
              <w:rPr>
                <w:sz w:val="20"/>
                <w:szCs w:val="20"/>
                <w:color w:val="auto"/>
              </w:rPr>
            </w:pPr>
            <w:r>
              <w:rPr>
                <w:rFonts w:ascii="Arial" w:cs="Arial" w:eastAsia="Arial" w:hAnsi="Arial"/>
                <w:sz w:val="16"/>
                <w:szCs w:val="16"/>
                <w:color w:val="auto"/>
              </w:rPr>
              <w:t>2,026,950</w:t>
            </w:r>
          </w:p>
        </w:tc>
        <w:tc>
          <w:tcPr>
            <w:tcW w:w="0" w:type="dxa"/>
            <w:vAlign w:val="bottom"/>
          </w:tcPr>
          <w:p>
            <w:pPr>
              <w:spacing w:after="0"/>
              <w:rPr>
                <w:sz w:val="1"/>
                <w:szCs w:val="1"/>
                <w:color w:val="auto"/>
              </w:rPr>
            </w:pPr>
          </w:p>
        </w:tc>
      </w:tr>
      <w:tr>
        <w:trPr>
          <w:trHeight w:val="257"/>
        </w:trPr>
        <w:tc>
          <w:tcPr>
            <w:tcW w:w="3240" w:type="dxa"/>
            <w:vAlign w:val="bottom"/>
          </w:tcPr>
          <w:p>
            <w:pPr>
              <w:spacing w:after="0"/>
              <w:rPr>
                <w:sz w:val="20"/>
                <w:szCs w:val="20"/>
                <w:color w:val="auto"/>
              </w:rPr>
            </w:pPr>
            <w:r>
              <w:rPr>
                <w:rFonts w:ascii="Arial" w:cs="Arial" w:eastAsia="Arial" w:hAnsi="Arial"/>
                <w:sz w:val="16"/>
                <w:szCs w:val="16"/>
                <w:color w:val="auto"/>
              </w:rPr>
              <w:t>Euronet Pay &amp; Transaction Services S.R.L.</w:t>
            </w:r>
          </w:p>
        </w:tc>
        <w:tc>
          <w:tcPr>
            <w:tcW w:w="1400" w:type="dxa"/>
            <w:vAlign w:val="bottom"/>
          </w:tcPr>
          <w:p>
            <w:pPr>
              <w:ind w:left="160"/>
              <w:spacing w:after="0"/>
              <w:rPr>
                <w:sz w:val="20"/>
                <w:szCs w:val="20"/>
                <w:color w:val="auto"/>
              </w:rPr>
            </w:pPr>
            <w:r>
              <w:rPr>
                <w:rFonts w:ascii="Arial" w:cs="Arial" w:eastAsia="Arial" w:hAnsi="Arial"/>
                <w:sz w:val="16"/>
                <w:szCs w:val="16"/>
                <w:color w:val="auto"/>
              </w:rPr>
              <w:t>UniCredit</w:t>
            </w:r>
          </w:p>
        </w:tc>
        <w:tc>
          <w:tcPr>
            <w:tcW w:w="1620" w:type="dxa"/>
            <w:vAlign w:val="bottom"/>
          </w:tcPr>
          <w:p>
            <w:pPr>
              <w:ind w:left="120"/>
              <w:spacing w:after="0"/>
              <w:rPr>
                <w:sz w:val="20"/>
                <w:szCs w:val="20"/>
                <w:color w:val="auto"/>
              </w:rPr>
            </w:pPr>
            <w:r>
              <w:rPr>
                <w:rFonts w:ascii="Arial" w:cs="Arial" w:eastAsia="Arial" w:hAnsi="Arial"/>
                <w:sz w:val="16"/>
                <w:szCs w:val="16"/>
                <w:color w:val="auto"/>
              </w:rPr>
              <w:t>Bank Guarantee/LC</w:t>
            </w:r>
          </w:p>
        </w:tc>
        <w:tc>
          <w:tcPr>
            <w:tcW w:w="2300" w:type="dxa"/>
            <w:vAlign w:val="bottom"/>
          </w:tcPr>
          <w:p>
            <w:pPr>
              <w:ind w:left="200"/>
              <w:spacing w:after="0"/>
              <w:rPr>
                <w:sz w:val="20"/>
                <w:szCs w:val="20"/>
                <w:color w:val="auto"/>
              </w:rPr>
            </w:pPr>
            <w:r>
              <w:rPr>
                <w:rFonts w:ascii="Arial" w:cs="Arial" w:eastAsia="Arial" w:hAnsi="Arial"/>
                <w:sz w:val="16"/>
                <w:szCs w:val="16"/>
                <w:color w:val="auto"/>
              </w:rPr>
              <w:t>Top ups</w:t>
            </w:r>
          </w:p>
        </w:tc>
        <w:tc>
          <w:tcPr>
            <w:tcW w:w="1640" w:type="dxa"/>
            <w:vAlign w:val="bottom"/>
          </w:tcPr>
          <w:p>
            <w:pPr>
              <w:jc w:val="right"/>
              <w:spacing w:after="0"/>
              <w:rPr>
                <w:sz w:val="20"/>
                <w:szCs w:val="20"/>
                <w:color w:val="auto"/>
              </w:rPr>
            </w:pPr>
            <w:r>
              <w:rPr>
                <w:rFonts w:ascii="Arial" w:cs="Arial" w:eastAsia="Arial" w:hAnsi="Arial"/>
                <w:sz w:val="16"/>
                <w:szCs w:val="16"/>
                <w:color w:val="auto"/>
              </w:rPr>
              <w:t>EUR 1,200,000</w:t>
            </w:r>
          </w:p>
        </w:tc>
        <w:tc>
          <w:tcPr>
            <w:tcW w:w="1180" w:type="dxa"/>
            <w:vAlign w:val="bottom"/>
          </w:tcPr>
          <w:p>
            <w:pPr>
              <w:jc w:val="right"/>
              <w:spacing w:after="0"/>
              <w:rPr>
                <w:sz w:val="20"/>
                <w:szCs w:val="20"/>
                <w:color w:val="auto"/>
              </w:rPr>
            </w:pPr>
            <w:r>
              <w:rPr>
                <w:rFonts w:ascii="Arial" w:cs="Arial" w:eastAsia="Arial" w:hAnsi="Arial"/>
                <w:sz w:val="16"/>
                <w:szCs w:val="16"/>
                <w:color w:val="auto"/>
              </w:rPr>
              <w:t>1,621,560</w:t>
            </w:r>
          </w:p>
        </w:tc>
        <w:tc>
          <w:tcPr>
            <w:tcW w:w="0" w:type="dxa"/>
            <w:vAlign w:val="bottom"/>
          </w:tcPr>
          <w:p>
            <w:pPr>
              <w:spacing w:after="0"/>
              <w:rPr>
                <w:sz w:val="1"/>
                <w:szCs w:val="1"/>
                <w:color w:val="auto"/>
              </w:rPr>
            </w:pPr>
          </w:p>
        </w:tc>
      </w:tr>
      <w:tr>
        <w:trPr>
          <w:trHeight w:val="257"/>
        </w:trPr>
        <w:tc>
          <w:tcPr>
            <w:tcW w:w="3240" w:type="dxa"/>
            <w:vAlign w:val="bottom"/>
          </w:tcPr>
          <w:p>
            <w:pPr>
              <w:spacing w:after="0"/>
              <w:rPr>
                <w:sz w:val="20"/>
                <w:szCs w:val="20"/>
                <w:color w:val="auto"/>
              </w:rPr>
            </w:pPr>
            <w:r>
              <w:rPr>
                <w:rFonts w:ascii="Arial" w:cs="Arial" w:eastAsia="Arial" w:hAnsi="Arial"/>
                <w:sz w:val="16"/>
                <w:szCs w:val="16"/>
                <w:color w:val="auto"/>
              </w:rPr>
              <w:t>Euronet Pay &amp; Transaction Services S.R.L.</w:t>
            </w:r>
          </w:p>
        </w:tc>
        <w:tc>
          <w:tcPr>
            <w:tcW w:w="1400" w:type="dxa"/>
            <w:vAlign w:val="bottom"/>
          </w:tcPr>
          <w:p>
            <w:pPr>
              <w:ind w:left="160"/>
              <w:spacing w:after="0"/>
              <w:rPr>
                <w:sz w:val="20"/>
                <w:szCs w:val="20"/>
                <w:color w:val="auto"/>
              </w:rPr>
            </w:pPr>
            <w:r>
              <w:rPr>
                <w:rFonts w:ascii="Arial" w:cs="Arial" w:eastAsia="Arial" w:hAnsi="Arial"/>
                <w:sz w:val="16"/>
                <w:szCs w:val="16"/>
                <w:color w:val="auto"/>
              </w:rPr>
              <w:t>UniCredit</w:t>
            </w:r>
          </w:p>
        </w:tc>
        <w:tc>
          <w:tcPr>
            <w:tcW w:w="1620" w:type="dxa"/>
            <w:vAlign w:val="bottom"/>
          </w:tcPr>
          <w:p>
            <w:pPr>
              <w:ind w:left="120"/>
              <w:spacing w:after="0"/>
              <w:rPr>
                <w:sz w:val="20"/>
                <w:szCs w:val="20"/>
                <w:color w:val="auto"/>
              </w:rPr>
            </w:pPr>
            <w:r>
              <w:rPr>
                <w:rFonts w:ascii="Arial" w:cs="Arial" w:eastAsia="Arial" w:hAnsi="Arial"/>
                <w:sz w:val="16"/>
                <w:szCs w:val="16"/>
                <w:color w:val="auto"/>
              </w:rPr>
              <w:t>Bank Guarantee/LC</w:t>
            </w:r>
          </w:p>
        </w:tc>
        <w:tc>
          <w:tcPr>
            <w:tcW w:w="2300" w:type="dxa"/>
            <w:vAlign w:val="bottom"/>
          </w:tcPr>
          <w:p>
            <w:pPr>
              <w:ind w:left="200"/>
              <w:spacing w:after="0"/>
              <w:rPr>
                <w:sz w:val="20"/>
                <w:szCs w:val="20"/>
                <w:color w:val="auto"/>
              </w:rPr>
            </w:pPr>
            <w:r>
              <w:rPr>
                <w:rFonts w:ascii="Arial" w:cs="Arial" w:eastAsia="Arial" w:hAnsi="Arial"/>
                <w:sz w:val="16"/>
                <w:szCs w:val="16"/>
                <w:color w:val="auto"/>
              </w:rPr>
              <w:t>Top ups</w:t>
            </w:r>
          </w:p>
        </w:tc>
        <w:tc>
          <w:tcPr>
            <w:tcW w:w="1640" w:type="dxa"/>
            <w:vAlign w:val="bottom"/>
          </w:tcPr>
          <w:p>
            <w:pPr>
              <w:jc w:val="right"/>
              <w:spacing w:after="0"/>
              <w:rPr>
                <w:sz w:val="20"/>
                <w:szCs w:val="20"/>
                <w:color w:val="auto"/>
              </w:rPr>
            </w:pPr>
            <w:r>
              <w:rPr>
                <w:rFonts w:ascii="Arial" w:cs="Arial" w:eastAsia="Arial" w:hAnsi="Arial"/>
                <w:sz w:val="16"/>
                <w:szCs w:val="16"/>
                <w:color w:val="auto"/>
              </w:rPr>
              <w:t>EUR 500,000</w:t>
            </w:r>
          </w:p>
        </w:tc>
        <w:tc>
          <w:tcPr>
            <w:tcW w:w="1180" w:type="dxa"/>
            <w:vAlign w:val="bottom"/>
          </w:tcPr>
          <w:p>
            <w:pPr>
              <w:jc w:val="right"/>
              <w:spacing w:after="0"/>
              <w:rPr>
                <w:sz w:val="20"/>
                <w:szCs w:val="20"/>
                <w:color w:val="auto"/>
              </w:rPr>
            </w:pPr>
            <w:r>
              <w:rPr>
                <w:rFonts w:ascii="Arial" w:cs="Arial" w:eastAsia="Arial" w:hAnsi="Arial"/>
                <w:sz w:val="16"/>
                <w:szCs w:val="16"/>
                <w:color w:val="auto"/>
              </w:rPr>
              <w:t>675,650</w:t>
            </w:r>
          </w:p>
        </w:tc>
        <w:tc>
          <w:tcPr>
            <w:tcW w:w="0" w:type="dxa"/>
            <w:vAlign w:val="bottom"/>
          </w:tcPr>
          <w:p>
            <w:pPr>
              <w:spacing w:after="0"/>
              <w:rPr>
                <w:sz w:val="1"/>
                <w:szCs w:val="1"/>
                <w:color w:val="auto"/>
              </w:rPr>
            </w:pPr>
          </w:p>
        </w:tc>
      </w:tr>
      <w:tr>
        <w:trPr>
          <w:trHeight w:val="257"/>
        </w:trPr>
        <w:tc>
          <w:tcPr>
            <w:tcW w:w="3240" w:type="dxa"/>
            <w:vAlign w:val="bottom"/>
          </w:tcPr>
          <w:p>
            <w:pPr>
              <w:spacing w:after="0"/>
              <w:rPr>
                <w:sz w:val="20"/>
                <w:szCs w:val="20"/>
                <w:color w:val="auto"/>
              </w:rPr>
            </w:pPr>
            <w:r>
              <w:rPr>
                <w:rFonts w:ascii="Arial" w:cs="Arial" w:eastAsia="Arial" w:hAnsi="Arial"/>
                <w:sz w:val="16"/>
                <w:szCs w:val="16"/>
                <w:color w:val="auto"/>
              </w:rPr>
              <w:t>Euronet Pay &amp; Transaction Services S.R.L.</w:t>
            </w:r>
          </w:p>
        </w:tc>
        <w:tc>
          <w:tcPr>
            <w:tcW w:w="1400" w:type="dxa"/>
            <w:vAlign w:val="bottom"/>
          </w:tcPr>
          <w:p>
            <w:pPr>
              <w:ind w:left="160"/>
              <w:spacing w:after="0"/>
              <w:rPr>
                <w:sz w:val="20"/>
                <w:szCs w:val="20"/>
                <w:color w:val="auto"/>
              </w:rPr>
            </w:pPr>
            <w:r>
              <w:rPr>
                <w:rFonts w:ascii="Arial" w:cs="Arial" w:eastAsia="Arial" w:hAnsi="Arial"/>
                <w:sz w:val="16"/>
                <w:szCs w:val="16"/>
                <w:color w:val="auto"/>
              </w:rPr>
              <w:t>UniCredit</w:t>
            </w:r>
          </w:p>
        </w:tc>
        <w:tc>
          <w:tcPr>
            <w:tcW w:w="1620" w:type="dxa"/>
            <w:vAlign w:val="bottom"/>
          </w:tcPr>
          <w:p>
            <w:pPr>
              <w:ind w:left="120"/>
              <w:spacing w:after="0"/>
              <w:rPr>
                <w:sz w:val="20"/>
                <w:szCs w:val="20"/>
                <w:color w:val="auto"/>
              </w:rPr>
            </w:pPr>
            <w:r>
              <w:rPr>
                <w:rFonts w:ascii="Arial" w:cs="Arial" w:eastAsia="Arial" w:hAnsi="Arial"/>
                <w:sz w:val="16"/>
                <w:szCs w:val="16"/>
                <w:color w:val="auto"/>
              </w:rPr>
              <w:t>Bank Guarantee/LC</w:t>
            </w:r>
          </w:p>
        </w:tc>
        <w:tc>
          <w:tcPr>
            <w:tcW w:w="2300" w:type="dxa"/>
            <w:vAlign w:val="bottom"/>
          </w:tcPr>
          <w:p>
            <w:pPr>
              <w:ind w:left="200"/>
              <w:spacing w:after="0"/>
              <w:rPr>
                <w:sz w:val="20"/>
                <w:szCs w:val="20"/>
                <w:color w:val="auto"/>
              </w:rPr>
            </w:pPr>
            <w:r>
              <w:rPr>
                <w:rFonts w:ascii="Arial" w:cs="Arial" w:eastAsia="Arial" w:hAnsi="Arial"/>
                <w:sz w:val="16"/>
                <w:szCs w:val="16"/>
                <w:color w:val="auto"/>
              </w:rPr>
              <w:t>Top ups</w:t>
            </w:r>
          </w:p>
        </w:tc>
        <w:tc>
          <w:tcPr>
            <w:tcW w:w="1640" w:type="dxa"/>
            <w:vAlign w:val="bottom"/>
          </w:tcPr>
          <w:p>
            <w:pPr>
              <w:jc w:val="right"/>
              <w:spacing w:after="0"/>
              <w:rPr>
                <w:sz w:val="20"/>
                <w:szCs w:val="20"/>
                <w:color w:val="auto"/>
              </w:rPr>
            </w:pPr>
            <w:r>
              <w:rPr>
                <w:rFonts w:ascii="Arial" w:cs="Arial" w:eastAsia="Arial" w:hAnsi="Arial"/>
                <w:sz w:val="16"/>
                <w:szCs w:val="16"/>
                <w:color w:val="auto"/>
              </w:rPr>
              <w:t>EUR 300,000</w:t>
            </w:r>
          </w:p>
        </w:tc>
        <w:tc>
          <w:tcPr>
            <w:tcW w:w="1180" w:type="dxa"/>
            <w:vAlign w:val="bottom"/>
          </w:tcPr>
          <w:p>
            <w:pPr>
              <w:jc w:val="right"/>
              <w:spacing w:after="0"/>
              <w:rPr>
                <w:sz w:val="20"/>
                <w:szCs w:val="20"/>
                <w:color w:val="auto"/>
              </w:rPr>
            </w:pPr>
            <w:r>
              <w:rPr>
                <w:rFonts w:ascii="Arial" w:cs="Arial" w:eastAsia="Arial" w:hAnsi="Arial"/>
                <w:sz w:val="16"/>
                <w:szCs w:val="16"/>
                <w:color w:val="auto"/>
              </w:rPr>
              <w:t>405,390</w:t>
            </w:r>
          </w:p>
        </w:tc>
        <w:tc>
          <w:tcPr>
            <w:tcW w:w="0" w:type="dxa"/>
            <w:vAlign w:val="bottom"/>
          </w:tcPr>
          <w:p>
            <w:pPr>
              <w:spacing w:after="0"/>
              <w:rPr>
                <w:sz w:val="1"/>
                <w:szCs w:val="1"/>
                <w:color w:val="auto"/>
              </w:rPr>
            </w:pPr>
          </w:p>
        </w:tc>
      </w:tr>
      <w:tr>
        <w:trPr>
          <w:trHeight w:val="257"/>
        </w:trPr>
        <w:tc>
          <w:tcPr>
            <w:tcW w:w="3240" w:type="dxa"/>
            <w:vAlign w:val="bottom"/>
          </w:tcPr>
          <w:p>
            <w:pPr>
              <w:spacing w:after="0"/>
              <w:rPr>
                <w:sz w:val="20"/>
                <w:szCs w:val="20"/>
                <w:color w:val="auto"/>
              </w:rPr>
            </w:pPr>
            <w:r>
              <w:rPr>
                <w:rFonts w:ascii="Arial" w:cs="Arial" w:eastAsia="Arial" w:hAnsi="Arial"/>
                <w:sz w:val="16"/>
                <w:szCs w:val="16"/>
                <w:color w:val="auto"/>
              </w:rPr>
              <w:t>Euronet Pay &amp; Transaction Services S.R.L.</w:t>
            </w:r>
          </w:p>
        </w:tc>
        <w:tc>
          <w:tcPr>
            <w:tcW w:w="1400" w:type="dxa"/>
            <w:vAlign w:val="bottom"/>
          </w:tcPr>
          <w:p>
            <w:pPr>
              <w:ind w:left="160"/>
              <w:spacing w:after="0"/>
              <w:rPr>
                <w:sz w:val="20"/>
                <w:szCs w:val="20"/>
                <w:color w:val="auto"/>
              </w:rPr>
            </w:pPr>
            <w:r>
              <w:rPr>
                <w:rFonts w:ascii="Arial" w:cs="Arial" w:eastAsia="Arial" w:hAnsi="Arial"/>
                <w:sz w:val="16"/>
                <w:szCs w:val="16"/>
                <w:color w:val="auto"/>
              </w:rPr>
              <w:t>UniCredit</w:t>
            </w:r>
          </w:p>
        </w:tc>
        <w:tc>
          <w:tcPr>
            <w:tcW w:w="1620" w:type="dxa"/>
            <w:vAlign w:val="bottom"/>
          </w:tcPr>
          <w:p>
            <w:pPr>
              <w:ind w:left="120"/>
              <w:spacing w:after="0"/>
              <w:rPr>
                <w:sz w:val="20"/>
                <w:szCs w:val="20"/>
                <w:color w:val="auto"/>
              </w:rPr>
            </w:pPr>
            <w:r>
              <w:rPr>
                <w:rFonts w:ascii="Arial" w:cs="Arial" w:eastAsia="Arial" w:hAnsi="Arial"/>
                <w:sz w:val="16"/>
                <w:szCs w:val="16"/>
                <w:color w:val="auto"/>
              </w:rPr>
              <w:t>Bank Guarantee/LC</w:t>
            </w:r>
          </w:p>
        </w:tc>
        <w:tc>
          <w:tcPr>
            <w:tcW w:w="2300" w:type="dxa"/>
            <w:vAlign w:val="bottom"/>
          </w:tcPr>
          <w:p>
            <w:pPr>
              <w:ind w:left="200"/>
              <w:spacing w:after="0"/>
              <w:rPr>
                <w:sz w:val="20"/>
                <w:szCs w:val="20"/>
                <w:color w:val="auto"/>
              </w:rPr>
            </w:pPr>
            <w:r>
              <w:rPr>
                <w:rFonts w:ascii="Arial" w:cs="Arial" w:eastAsia="Arial" w:hAnsi="Arial"/>
                <w:sz w:val="16"/>
                <w:szCs w:val="16"/>
                <w:color w:val="auto"/>
              </w:rPr>
              <w:t>Top ups</w:t>
            </w:r>
          </w:p>
        </w:tc>
        <w:tc>
          <w:tcPr>
            <w:tcW w:w="1640" w:type="dxa"/>
            <w:vAlign w:val="bottom"/>
          </w:tcPr>
          <w:p>
            <w:pPr>
              <w:jc w:val="right"/>
              <w:spacing w:after="0"/>
              <w:rPr>
                <w:sz w:val="20"/>
                <w:szCs w:val="20"/>
                <w:color w:val="auto"/>
              </w:rPr>
            </w:pPr>
            <w:r>
              <w:rPr>
                <w:rFonts w:ascii="Arial" w:cs="Arial" w:eastAsia="Arial" w:hAnsi="Arial"/>
                <w:sz w:val="16"/>
                <w:szCs w:val="16"/>
                <w:color w:val="auto"/>
              </w:rPr>
              <w:t>EUR 250,000</w:t>
            </w:r>
          </w:p>
        </w:tc>
        <w:tc>
          <w:tcPr>
            <w:tcW w:w="1180" w:type="dxa"/>
            <w:vAlign w:val="bottom"/>
          </w:tcPr>
          <w:p>
            <w:pPr>
              <w:jc w:val="right"/>
              <w:spacing w:after="0"/>
              <w:rPr>
                <w:sz w:val="20"/>
                <w:szCs w:val="20"/>
                <w:color w:val="auto"/>
              </w:rPr>
            </w:pPr>
            <w:r>
              <w:rPr>
                <w:rFonts w:ascii="Arial" w:cs="Arial" w:eastAsia="Arial" w:hAnsi="Arial"/>
                <w:sz w:val="16"/>
                <w:szCs w:val="16"/>
                <w:color w:val="auto"/>
              </w:rPr>
              <w:t>337,825</w:t>
            </w:r>
          </w:p>
        </w:tc>
        <w:tc>
          <w:tcPr>
            <w:tcW w:w="0" w:type="dxa"/>
            <w:vAlign w:val="bottom"/>
          </w:tcPr>
          <w:p>
            <w:pPr>
              <w:spacing w:after="0"/>
              <w:rPr>
                <w:sz w:val="1"/>
                <w:szCs w:val="1"/>
                <w:color w:val="auto"/>
              </w:rPr>
            </w:pPr>
          </w:p>
        </w:tc>
      </w:tr>
      <w:tr>
        <w:trPr>
          <w:trHeight w:val="257"/>
        </w:trPr>
        <w:tc>
          <w:tcPr>
            <w:tcW w:w="3240" w:type="dxa"/>
            <w:vAlign w:val="bottom"/>
          </w:tcPr>
          <w:p>
            <w:pPr>
              <w:spacing w:after="0"/>
              <w:rPr>
                <w:sz w:val="20"/>
                <w:szCs w:val="20"/>
                <w:color w:val="auto"/>
              </w:rPr>
            </w:pPr>
            <w:r>
              <w:rPr>
                <w:rFonts w:ascii="Arial" w:cs="Arial" w:eastAsia="Arial" w:hAnsi="Arial"/>
                <w:sz w:val="16"/>
                <w:szCs w:val="16"/>
                <w:color w:val="auto"/>
              </w:rPr>
              <w:t>Euronet Pay &amp; Transaction Services S.R.L.</w:t>
            </w:r>
          </w:p>
        </w:tc>
        <w:tc>
          <w:tcPr>
            <w:tcW w:w="1400" w:type="dxa"/>
            <w:vAlign w:val="bottom"/>
          </w:tcPr>
          <w:p>
            <w:pPr>
              <w:ind w:left="160"/>
              <w:spacing w:after="0"/>
              <w:rPr>
                <w:sz w:val="20"/>
                <w:szCs w:val="20"/>
                <w:color w:val="auto"/>
              </w:rPr>
            </w:pPr>
            <w:r>
              <w:rPr>
                <w:rFonts w:ascii="Arial" w:cs="Arial" w:eastAsia="Arial" w:hAnsi="Arial"/>
                <w:sz w:val="16"/>
                <w:szCs w:val="16"/>
                <w:color w:val="auto"/>
              </w:rPr>
              <w:t>UniCredit</w:t>
            </w:r>
          </w:p>
        </w:tc>
        <w:tc>
          <w:tcPr>
            <w:tcW w:w="1620" w:type="dxa"/>
            <w:vAlign w:val="bottom"/>
          </w:tcPr>
          <w:p>
            <w:pPr>
              <w:ind w:left="120"/>
              <w:spacing w:after="0"/>
              <w:rPr>
                <w:sz w:val="20"/>
                <w:szCs w:val="20"/>
                <w:color w:val="auto"/>
              </w:rPr>
            </w:pPr>
            <w:r>
              <w:rPr>
                <w:rFonts w:ascii="Arial" w:cs="Arial" w:eastAsia="Arial" w:hAnsi="Arial"/>
                <w:sz w:val="16"/>
                <w:szCs w:val="16"/>
                <w:color w:val="auto"/>
              </w:rPr>
              <w:t>Bank Guarantee/LC</w:t>
            </w:r>
          </w:p>
        </w:tc>
        <w:tc>
          <w:tcPr>
            <w:tcW w:w="2300" w:type="dxa"/>
            <w:vAlign w:val="bottom"/>
          </w:tcPr>
          <w:p>
            <w:pPr>
              <w:ind w:left="200"/>
              <w:spacing w:after="0"/>
              <w:rPr>
                <w:sz w:val="20"/>
                <w:szCs w:val="20"/>
                <w:color w:val="auto"/>
              </w:rPr>
            </w:pPr>
            <w:r>
              <w:rPr>
                <w:rFonts w:ascii="Arial" w:cs="Arial" w:eastAsia="Arial" w:hAnsi="Arial"/>
                <w:sz w:val="16"/>
                <w:szCs w:val="16"/>
                <w:color w:val="auto"/>
              </w:rPr>
              <w:t>Top ups</w:t>
            </w:r>
          </w:p>
        </w:tc>
        <w:tc>
          <w:tcPr>
            <w:tcW w:w="1640" w:type="dxa"/>
            <w:vAlign w:val="bottom"/>
          </w:tcPr>
          <w:p>
            <w:pPr>
              <w:jc w:val="right"/>
              <w:spacing w:after="0"/>
              <w:rPr>
                <w:sz w:val="20"/>
                <w:szCs w:val="20"/>
                <w:color w:val="auto"/>
              </w:rPr>
            </w:pPr>
            <w:r>
              <w:rPr>
                <w:rFonts w:ascii="Arial" w:cs="Arial" w:eastAsia="Arial" w:hAnsi="Arial"/>
                <w:sz w:val="16"/>
                <w:szCs w:val="16"/>
                <w:color w:val="auto"/>
              </w:rPr>
              <w:t>EUR 200,000</w:t>
            </w:r>
          </w:p>
        </w:tc>
        <w:tc>
          <w:tcPr>
            <w:tcW w:w="1180" w:type="dxa"/>
            <w:vAlign w:val="bottom"/>
          </w:tcPr>
          <w:p>
            <w:pPr>
              <w:jc w:val="right"/>
              <w:spacing w:after="0"/>
              <w:rPr>
                <w:sz w:val="20"/>
                <w:szCs w:val="20"/>
                <w:color w:val="auto"/>
              </w:rPr>
            </w:pPr>
            <w:r>
              <w:rPr>
                <w:rFonts w:ascii="Arial" w:cs="Arial" w:eastAsia="Arial" w:hAnsi="Arial"/>
                <w:sz w:val="16"/>
                <w:szCs w:val="16"/>
                <w:color w:val="auto"/>
              </w:rPr>
              <w:t>270,260</w:t>
            </w:r>
          </w:p>
        </w:tc>
        <w:tc>
          <w:tcPr>
            <w:tcW w:w="0" w:type="dxa"/>
            <w:vAlign w:val="bottom"/>
          </w:tcPr>
          <w:p>
            <w:pPr>
              <w:spacing w:after="0"/>
              <w:rPr>
                <w:sz w:val="1"/>
                <w:szCs w:val="1"/>
                <w:color w:val="auto"/>
              </w:rPr>
            </w:pPr>
          </w:p>
        </w:tc>
      </w:tr>
      <w:tr>
        <w:trPr>
          <w:trHeight w:val="257"/>
        </w:trPr>
        <w:tc>
          <w:tcPr>
            <w:tcW w:w="3240" w:type="dxa"/>
            <w:vAlign w:val="bottom"/>
          </w:tcPr>
          <w:p>
            <w:pPr>
              <w:spacing w:after="0"/>
              <w:rPr>
                <w:sz w:val="20"/>
                <w:szCs w:val="20"/>
                <w:color w:val="auto"/>
              </w:rPr>
            </w:pPr>
            <w:r>
              <w:rPr>
                <w:rFonts w:ascii="Arial" w:cs="Arial" w:eastAsia="Arial" w:hAnsi="Arial"/>
                <w:sz w:val="16"/>
                <w:szCs w:val="16"/>
                <w:color w:val="auto"/>
              </w:rPr>
              <w:t>Euronet Pay &amp; Transaction Services S.R.L.</w:t>
            </w:r>
          </w:p>
        </w:tc>
        <w:tc>
          <w:tcPr>
            <w:tcW w:w="1400" w:type="dxa"/>
            <w:vAlign w:val="bottom"/>
          </w:tcPr>
          <w:p>
            <w:pPr>
              <w:ind w:left="160"/>
              <w:spacing w:after="0"/>
              <w:rPr>
                <w:sz w:val="20"/>
                <w:szCs w:val="20"/>
                <w:color w:val="auto"/>
              </w:rPr>
            </w:pPr>
            <w:r>
              <w:rPr>
                <w:rFonts w:ascii="Arial" w:cs="Arial" w:eastAsia="Arial" w:hAnsi="Arial"/>
                <w:sz w:val="16"/>
                <w:szCs w:val="16"/>
                <w:color w:val="auto"/>
              </w:rPr>
              <w:t>UniCredit</w:t>
            </w:r>
          </w:p>
        </w:tc>
        <w:tc>
          <w:tcPr>
            <w:tcW w:w="1620" w:type="dxa"/>
            <w:vAlign w:val="bottom"/>
          </w:tcPr>
          <w:p>
            <w:pPr>
              <w:ind w:left="120"/>
              <w:spacing w:after="0"/>
              <w:rPr>
                <w:sz w:val="20"/>
                <w:szCs w:val="20"/>
                <w:color w:val="auto"/>
              </w:rPr>
            </w:pPr>
            <w:r>
              <w:rPr>
                <w:rFonts w:ascii="Arial" w:cs="Arial" w:eastAsia="Arial" w:hAnsi="Arial"/>
                <w:sz w:val="16"/>
                <w:szCs w:val="16"/>
                <w:color w:val="auto"/>
              </w:rPr>
              <w:t>Bank Guarantee/LC</w:t>
            </w:r>
          </w:p>
        </w:tc>
        <w:tc>
          <w:tcPr>
            <w:tcW w:w="2300" w:type="dxa"/>
            <w:vAlign w:val="bottom"/>
          </w:tcPr>
          <w:p>
            <w:pPr>
              <w:ind w:left="200"/>
              <w:spacing w:after="0"/>
              <w:rPr>
                <w:sz w:val="20"/>
                <w:szCs w:val="20"/>
                <w:color w:val="auto"/>
              </w:rPr>
            </w:pPr>
            <w:r>
              <w:rPr>
                <w:rFonts w:ascii="Arial" w:cs="Arial" w:eastAsia="Arial" w:hAnsi="Arial"/>
                <w:sz w:val="16"/>
                <w:szCs w:val="16"/>
                <w:color w:val="auto"/>
              </w:rPr>
              <w:t>Top ups</w:t>
            </w:r>
          </w:p>
        </w:tc>
        <w:tc>
          <w:tcPr>
            <w:tcW w:w="1640" w:type="dxa"/>
            <w:vAlign w:val="bottom"/>
          </w:tcPr>
          <w:p>
            <w:pPr>
              <w:jc w:val="right"/>
              <w:spacing w:after="0"/>
              <w:rPr>
                <w:sz w:val="20"/>
                <w:szCs w:val="20"/>
                <w:color w:val="auto"/>
              </w:rPr>
            </w:pPr>
            <w:r>
              <w:rPr>
                <w:rFonts w:ascii="Arial" w:cs="Arial" w:eastAsia="Arial" w:hAnsi="Arial"/>
                <w:sz w:val="16"/>
                <w:szCs w:val="16"/>
                <w:color w:val="auto"/>
              </w:rPr>
              <w:t>EUR 200,000</w:t>
            </w:r>
          </w:p>
        </w:tc>
        <w:tc>
          <w:tcPr>
            <w:tcW w:w="1180" w:type="dxa"/>
            <w:vAlign w:val="bottom"/>
          </w:tcPr>
          <w:p>
            <w:pPr>
              <w:jc w:val="right"/>
              <w:spacing w:after="0"/>
              <w:rPr>
                <w:sz w:val="20"/>
                <w:szCs w:val="20"/>
                <w:color w:val="auto"/>
              </w:rPr>
            </w:pPr>
            <w:r>
              <w:rPr>
                <w:rFonts w:ascii="Arial" w:cs="Arial" w:eastAsia="Arial" w:hAnsi="Arial"/>
                <w:sz w:val="16"/>
                <w:szCs w:val="16"/>
                <w:color w:val="auto"/>
              </w:rPr>
              <w:t>270,260</w:t>
            </w:r>
          </w:p>
        </w:tc>
        <w:tc>
          <w:tcPr>
            <w:tcW w:w="0" w:type="dxa"/>
            <w:vAlign w:val="bottom"/>
          </w:tcPr>
          <w:p>
            <w:pPr>
              <w:spacing w:after="0"/>
              <w:rPr>
                <w:sz w:val="1"/>
                <w:szCs w:val="1"/>
                <w:color w:val="auto"/>
              </w:rPr>
            </w:pPr>
          </w:p>
        </w:tc>
      </w:tr>
      <w:tr>
        <w:trPr>
          <w:trHeight w:val="257"/>
        </w:trPr>
        <w:tc>
          <w:tcPr>
            <w:tcW w:w="3240" w:type="dxa"/>
            <w:vAlign w:val="bottom"/>
          </w:tcPr>
          <w:p>
            <w:pPr>
              <w:spacing w:after="0"/>
              <w:rPr>
                <w:sz w:val="20"/>
                <w:szCs w:val="20"/>
                <w:color w:val="auto"/>
              </w:rPr>
            </w:pPr>
            <w:r>
              <w:rPr>
                <w:rFonts w:ascii="Arial" w:cs="Arial" w:eastAsia="Arial" w:hAnsi="Arial"/>
                <w:sz w:val="16"/>
                <w:szCs w:val="16"/>
                <w:color w:val="auto"/>
              </w:rPr>
              <w:t>Euronet Pay &amp; Transaction Services S.R.L.</w:t>
            </w:r>
          </w:p>
        </w:tc>
        <w:tc>
          <w:tcPr>
            <w:tcW w:w="1400" w:type="dxa"/>
            <w:vAlign w:val="bottom"/>
          </w:tcPr>
          <w:p>
            <w:pPr>
              <w:ind w:left="160"/>
              <w:spacing w:after="0"/>
              <w:rPr>
                <w:sz w:val="20"/>
                <w:szCs w:val="20"/>
                <w:color w:val="auto"/>
              </w:rPr>
            </w:pPr>
            <w:r>
              <w:rPr>
                <w:rFonts w:ascii="Arial" w:cs="Arial" w:eastAsia="Arial" w:hAnsi="Arial"/>
                <w:sz w:val="16"/>
                <w:szCs w:val="16"/>
                <w:color w:val="auto"/>
              </w:rPr>
              <w:t>UniCredit</w:t>
            </w:r>
          </w:p>
        </w:tc>
        <w:tc>
          <w:tcPr>
            <w:tcW w:w="1620" w:type="dxa"/>
            <w:vAlign w:val="bottom"/>
          </w:tcPr>
          <w:p>
            <w:pPr>
              <w:ind w:left="120"/>
              <w:spacing w:after="0"/>
              <w:rPr>
                <w:sz w:val="20"/>
                <w:szCs w:val="20"/>
                <w:color w:val="auto"/>
              </w:rPr>
            </w:pPr>
            <w:r>
              <w:rPr>
                <w:rFonts w:ascii="Arial" w:cs="Arial" w:eastAsia="Arial" w:hAnsi="Arial"/>
                <w:sz w:val="16"/>
                <w:szCs w:val="16"/>
                <w:color w:val="auto"/>
              </w:rPr>
              <w:t>Bank Guarantee/LC</w:t>
            </w:r>
          </w:p>
        </w:tc>
        <w:tc>
          <w:tcPr>
            <w:tcW w:w="2300" w:type="dxa"/>
            <w:vAlign w:val="bottom"/>
          </w:tcPr>
          <w:p>
            <w:pPr>
              <w:ind w:left="200"/>
              <w:spacing w:after="0"/>
              <w:rPr>
                <w:sz w:val="20"/>
                <w:szCs w:val="20"/>
                <w:color w:val="auto"/>
              </w:rPr>
            </w:pPr>
            <w:r>
              <w:rPr>
                <w:rFonts w:ascii="Arial" w:cs="Arial" w:eastAsia="Arial" w:hAnsi="Arial"/>
                <w:sz w:val="16"/>
                <w:szCs w:val="16"/>
                <w:color w:val="auto"/>
              </w:rPr>
              <w:t>Top ups</w:t>
            </w:r>
          </w:p>
        </w:tc>
        <w:tc>
          <w:tcPr>
            <w:tcW w:w="1640" w:type="dxa"/>
            <w:vAlign w:val="bottom"/>
          </w:tcPr>
          <w:p>
            <w:pPr>
              <w:jc w:val="right"/>
              <w:spacing w:after="0"/>
              <w:rPr>
                <w:sz w:val="20"/>
                <w:szCs w:val="20"/>
                <w:color w:val="auto"/>
              </w:rPr>
            </w:pPr>
            <w:r>
              <w:rPr>
                <w:rFonts w:ascii="Arial" w:cs="Arial" w:eastAsia="Arial" w:hAnsi="Arial"/>
                <w:sz w:val="16"/>
                <w:szCs w:val="16"/>
                <w:color w:val="auto"/>
              </w:rPr>
              <w:t>EUR 150,000</w:t>
            </w:r>
          </w:p>
        </w:tc>
        <w:tc>
          <w:tcPr>
            <w:tcW w:w="1180" w:type="dxa"/>
            <w:vAlign w:val="bottom"/>
          </w:tcPr>
          <w:p>
            <w:pPr>
              <w:jc w:val="right"/>
              <w:spacing w:after="0"/>
              <w:rPr>
                <w:sz w:val="20"/>
                <w:szCs w:val="20"/>
                <w:color w:val="auto"/>
              </w:rPr>
            </w:pPr>
            <w:r>
              <w:rPr>
                <w:rFonts w:ascii="Arial" w:cs="Arial" w:eastAsia="Arial" w:hAnsi="Arial"/>
                <w:sz w:val="16"/>
                <w:szCs w:val="16"/>
                <w:color w:val="auto"/>
              </w:rPr>
              <w:t>202,695</w:t>
            </w:r>
          </w:p>
        </w:tc>
        <w:tc>
          <w:tcPr>
            <w:tcW w:w="0" w:type="dxa"/>
            <w:vAlign w:val="bottom"/>
          </w:tcPr>
          <w:p>
            <w:pPr>
              <w:spacing w:after="0"/>
              <w:rPr>
                <w:sz w:val="1"/>
                <w:szCs w:val="1"/>
                <w:color w:val="auto"/>
              </w:rPr>
            </w:pPr>
          </w:p>
        </w:tc>
      </w:tr>
      <w:tr>
        <w:trPr>
          <w:trHeight w:val="257"/>
        </w:trPr>
        <w:tc>
          <w:tcPr>
            <w:tcW w:w="3240" w:type="dxa"/>
            <w:vAlign w:val="bottom"/>
          </w:tcPr>
          <w:p>
            <w:pPr>
              <w:spacing w:after="0"/>
              <w:rPr>
                <w:sz w:val="20"/>
                <w:szCs w:val="20"/>
                <w:color w:val="auto"/>
              </w:rPr>
            </w:pPr>
            <w:r>
              <w:rPr>
                <w:rFonts w:ascii="Arial" w:cs="Arial" w:eastAsia="Arial" w:hAnsi="Arial"/>
                <w:sz w:val="16"/>
                <w:szCs w:val="16"/>
                <w:color w:val="auto"/>
              </w:rPr>
              <w:t>Euronet Pay &amp; Transaction Services S.R.L.</w:t>
            </w:r>
          </w:p>
        </w:tc>
        <w:tc>
          <w:tcPr>
            <w:tcW w:w="1400" w:type="dxa"/>
            <w:vAlign w:val="bottom"/>
          </w:tcPr>
          <w:p>
            <w:pPr>
              <w:ind w:left="160"/>
              <w:spacing w:after="0"/>
              <w:rPr>
                <w:sz w:val="20"/>
                <w:szCs w:val="20"/>
                <w:color w:val="auto"/>
              </w:rPr>
            </w:pPr>
            <w:r>
              <w:rPr>
                <w:rFonts w:ascii="Arial" w:cs="Arial" w:eastAsia="Arial" w:hAnsi="Arial"/>
                <w:sz w:val="16"/>
                <w:szCs w:val="16"/>
                <w:color w:val="auto"/>
              </w:rPr>
              <w:t>UniCredit</w:t>
            </w:r>
          </w:p>
        </w:tc>
        <w:tc>
          <w:tcPr>
            <w:tcW w:w="1620" w:type="dxa"/>
            <w:vAlign w:val="bottom"/>
          </w:tcPr>
          <w:p>
            <w:pPr>
              <w:ind w:left="120"/>
              <w:spacing w:after="0"/>
              <w:rPr>
                <w:sz w:val="20"/>
                <w:szCs w:val="20"/>
                <w:color w:val="auto"/>
              </w:rPr>
            </w:pPr>
            <w:r>
              <w:rPr>
                <w:rFonts w:ascii="Arial" w:cs="Arial" w:eastAsia="Arial" w:hAnsi="Arial"/>
                <w:sz w:val="16"/>
                <w:szCs w:val="16"/>
                <w:color w:val="auto"/>
              </w:rPr>
              <w:t>Bank Guarantee/LC</w:t>
            </w:r>
          </w:p>
        </w:tc>
        <w:tc>
          <w:tcPr>
            <w:tcW w:w="2300" w:type="dxa"/>
            <w:vAlign w:val="bottom"/>
          </w:tcPr>
          <w:p>
            <w:pPr>
              <w:ind w:left="200"/>
              <w:spacing w:after="0"/>
              <w:rPr>
                <w:sz w:val="20"/>
                <w:szCs w:val="20"/>
                <w:color w:val="auto"/>
              </w:rPr>
            </w:pPr>
            <w:r>
              <w:rPr>
                <w:rFonts w:ascii="Arial" w:cs="Arial" w:eastAsia="Arial" w:hAnsi="Arial"/>
                <w:sz w:val="16"/>
                <w:szCs w:val="16"/>
                <w:color w:val="auto"/>
              </w:rPr>
              <w:t>Top ups</w:t>
            </w:r>
          </w:p>
        </w:tc>
        <w:tc>
          <w:tcPr>
            <w:tcW w:w="1640" w:type="dxa"/>
            <w:vAlign w:val="bottom"/>
          </w:tcPr>
          <w:p>
            <w:pPr>
              <w:jc w:val="right"/>
              <w:spacing w:after="0"/>
              <w:rPr>
                <w:sz w:val="20"/>
                <w:szCs w:val="20"/>
                <w:color w:val="auto"/>
              </w:rPr>
            </w:pPr>
            <w:r>
              <w:rPr>
                <w:rFonts w:ascii="Arial" w:cs="Arial" w:eastAsia="Arial" w:hAnsi="Arial"/>
                <w:sz w:val="16"/>
                <w:szCs w:val="16"/>
                <w:color w:val="auto"/>
              </w:rPr>
              <w:t>EUR 150,000</w:t>
            </w:r>
          </w:p>
        </w:tc>
        <w:tc>
          <w:tcPr>
            <w:tcW w:w="1180" w:type="dxa"/>
            <w:vAlign w:val="bottom"/>
          </w:tcPr>
          <w:p>
            <w:pPr>
              <w:jc w:val="right"/>
              <w:spacing w:after="0"/>
              <w:rPr>
                <w:sz w:val="20"/>
                <w:szCs w:val="20"/>
                <w:color w:val="auto"/>
              </w:rPr>
            </w:pPr>
            <w:r>
              <w:rPr>
                <w:rFonts w:ascii="Arial" w:cs="Arial" w:eastAsia="Arial" w:hAnsi="Arial"/>
                <w:sz w:val="16"/>
                <w:szCs w:val="16"/>
                <w:color w:val="auto"/>
              </w:rPr>
              <w:t>202,695</w:t>
            </w:r>
          </w:p>
        </w:tc>
        <w:tc>
          <w:tcPr>
            <w:tcW w:w="0" w:type="dxa"/>
            <w:vAlign w:val="bottom"/>
          </w:tcPr>
          <w:p>
            <w:pPr>
              <w:spacing w:after="0"/>
              <w:rPr>
                <w:sz w:val="1"/>
                <w:szCs w:val="1"/>
                <w:color w:val="auto"/>
              </w:rPr>
            </w:pPr>
          </w:p>
        </w:tc>
      </w:tr>
      <w:tr>
        <w:trPr>
          <w:trHeight w:val="33"/>
        </w:trPr>
        <w:tc>
          <w:tcPr>
            <w:tcW w:w="3240" w:type="dxa"/>
            <w:vAlign w:val="bottom"/>
            <w:vMerge w:val="restart"/>
          </w:tcPr>
          <w:p>
            <w:pPr>
              <w:spacing w:after="0"/>
              <w:rPr>
                <w:sz w:val="20"/>
                <w:szCs w:val="20"/>
                <w:color w:val="auto"/>
              </w:rPr>
            </w:pPr>
            <w:r>
              <w:rPr>
                <w:rFonts w:ascii="Arial" w:cs="Arial" w:eastAsia="Arial" w:hAnsi="Arial"/>
                <w:sz w:val="16"/>
                <w:szCs w:val="16"/>
                <w:b w:val="1"/>
                <w:bCs w:val="1"/>
                <w:color w:val="auto"/>
                <w:w w:val="99"/>
              </w:rPr>
              <w:t>Euronet Pay &amp; Transaction Services S.R.L.</w:t>
            </w:r>
          </w:p>
        </w:tc>
        <w:tc>
          <w:tcPr>
            <w:tcW w:w="14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230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6"/>
        </w:trPr>
        <w:tc>
          <w:tcPr>
            <w:tcW w:w="3240" w:type="dxa"/>
            <w:vAlign w:val="bottom"/>
            <w:vMerge w:val="continue"/>
          </w:tcPr>
          <w:p>
            <w:pPr>
              <w:spacing w:after="0"/>
              <w:rPr>
                <w:sz w:val="17"/>
                <w:szCs w:val="17"/>
                <w:color w:val="auto"/>
              </w:rPr>
            </w:pPr>
          </w:p>
        </w:tc>
        <w:tc>
          <w:tcPr>
            <w:tcW w:w="140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230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3240" w:type="dxa"/>
            <w:vAlign w:val="bottom"/>
          </w:tcPr>
          <w:p>
            <w:pPr>
              <w:spacing w:after="0"/>
              <w:rPr>
                <w:sz w:val="20"/>
                <w:szCs w:val="20"/>
                <w:color w:val="auto"/>
              </w:rPr>
            </w:pPr>
            <w:r>
              <w:rPr>
                <w:rFonts w:ascii="Arial" w:cs="Arial" w:eastAsia="Arial" w:hAnsi="Arial"/>
                <w:sz w:val="16"/>
                <w:szCs w:val="16"/>
                <w:b w:val="1"/>
                <w:bCs w:val="1"/>
                <w:color w:val="auto"/>
              </w:rPr>
              <w:t>Total</w:t>
            </w:r>
          </w:p>
        </w:tc>
        <w:tc>
          <w:tcPr>
            <w:tcW w:w="140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b w:val="1"/>
                <w:bCs w:val="1"/>
                <w:color w:val="auto"/>
              </w:rPr>
              <w:t>11,486,050</w:t>
            </w:r>
          </w:p>
        </w:tc>
        <w:tc>
          <w:tcPr>
            <w:tcW w:w="0" w:type="dxa"/>
            <w:vAlign w:val="bottom"/>
          </w:tcPr>
          <w:p>
            <w:pPr>
              <w:spacing w:after="0"/>
              <w:rPr>
                <w:sz w:val="1"/>
                <w:szCs w:val="1"/>
                <w:color w:val="auto"/>
              </w:rPr>
            </w:pPr>
          </w:p>
        </w:tc>
      </w:tr>
      <w:tr>
        <w:trPr>
          <w:trHeight w:val="527"/>
        </w:trPr>
        <w:tc>
          <w:tcPr>
            <w:tcW w:w="3240" w:type="dxa"/>
            <w:vAlign w:val="bottom"/>
          </w:tcPr>
          <w:p>
            <w:pPr>
              <w:spacing w:after="0"/>
              <w:rPr>
                <w:sz w:val="20"/>
                <w:szCs w:val="20"/>
                <w:color w:val="auto"/>
              </w:rPr>
            </w:pPr>
            <w:r>
              <w:rPr>
                <w:rFonts w:ascii="Arial" w:cs="Arial" w:eastAsia="Arial" w:hAnsi="Arial"/>
                <w:sz w:val="16"/>
                <w:szCs w:val="16"/>
                <w:color w:val="auto"/>
              </w:rPr>
              <w:t>Euronet Polska Spółka z o.o.</w:t>
            </w:r>
          </w:p>
        </w:tc>
        <w:tc>
          <w:tcPr>
            <w:tcW w:w="1400" w:type="dxa"/>
            <w:vAlign w:val="bottom"/>
          </w:tcPr>
          <w:p>
            <w:pPr>
              <w:ind w:left="160"/>
              <w:spacing w:after="0"/>
              <w:rPr>
                <w:sz w:val="20"/>
                <w:szCs w:val="20"/>
                <w:color w:val="auto"/>
              </w:rPr>
            </w:pPr>
            <w:r>
              <w:rPr>
                <w:rFonts w:ascii="Arial" w:cs="Arial" w:eastAsia="Arial" w:hAnsi="Arial"/>
                <w:sz w:val="16"/>
                <w:szCs w:val="16"/>
                <w:color w:val="auto"/>
              </w:rPr>
              <w:t>Raiffeisen Bank</w:t>
            </w:r>
          </w:p>
        </w:tc>
        <w:tc>
          <w:tcPr>
            <w:tcW w:w="1620" w:type="dxa"/>
            <w:vAlign w:val="bottom"/>
          </w:tcPr>
          <w:p>
            <w:pPr>
              <w:ind w:left="120"/>
              <w:spacing w:after="0"/>
              <w:rPr>
                <w:sz w:val="20"/>
                <w:szCs w:val="20"/>
                <w:color w:val="auto"/>
              </w:rPr>
            </w:pPr>
            <w:r>
              <w:rPr>
                <w:rFonts w:ascii="Arial" w:cs="Arial" w:eastAsia="Arial" w:hAnsi="Arial"/>
                <w:sz w:val="16"/>
                <w:szCs w:val="16"/>
                <w:color w:val="auto"/>
              </w:rPr>
              <w:t>Bank Guarantee/LC</w:t>
            </w:r>
          </w:p>
        </w:tc>
        <w:tc>
          <w:tcPr>
            <w:tcW w:w="2300" w:type="dxa"/>
            <w:vAlign w:val="bottom"/>
          </w:tcPr>
          <w:p>
            <w:pPr>
              <w:ind w:left="200"/>
              <w:spacing w:after="0"/>
              <w:rPr>
                <w:sz w:val="20"/>
                <w:szCs w:val="20"/>
                <w:color w:val="auto"/>
              </w:rPr>
            </w:pPr>
            <w:r>
              <w:rPr>
                <w:rFonts w:ascii="Arial" w:cs="Arial" w:eastAsia="Arial" w:hAnsi="Arial"/>
                <w:sz w:val="16"/>
                <w:szCs w:val="16"/>
                <w:color w:val="auto"/>
              </w:rPr>
              <w:t>PIN Purchases</w:t>
            </w:r>
          </w:p>
        </w:tc>
        <w:tc>
          <w:tcPr>
            <w:tcW w:w="1640" w:type="dxa"/>
            <w:vAlign w:val="bottom"/>
          </w:tcPr>
          <w:p>
            <w:pPr>
              <w:jc w:val="right"/>
              <w:spacing w:after="0"/>
              <w:rPr>
                <w:sz w:val="20"/>
                <w:szCs w:val="20"/>
                <w:color w:val="auto"/>
              </w:rPr>
            </w:pPr>
            <w:r>
              <w:rPr>
                <w:rFonts w:ascii="Arial" w:cs="Arial" w:eastAsia="Arial" w:hAnsi="Arial"/>
                <w:sz w:val="16"/>
                <w:szCs w:val="16"/>
                <w:color w:val="auto"/>
              </w:rPr>
              <w:t>PLN 3,750,000</w:t>
            </w:r>
          </w:p>
        </w:tc>
        <w:tc>
          <w:tcPr>
            <w:tcW w:w="1180" w:type="dxa"/>
            <w:vAlign w:val="bottom"/>
          </w:tcPr>
          <w:p>
            <w:pPr>
              <w:jc w:val="right"/>
              <w:spacing w:after="0"/>
              <w:rPr>
                <w:sz w:val="20"/>
                <w:szCs w:val="20"/>
                <w:color w:val="auto"/>
              </w:rPr>
            </w:pPr>
            <w:r>
              <w:rPr>
                <w:rFonts w:ascii="Arial" w:cs="Arial" w:eastAsia="Arial" w:hAnsi="Arial"/>
                <w:sz w:val="16"/>
                <w:szCs w:val="16"/>
                <w:color w:val="auto"/>
              </w:rPr>
              <w:t>1,191,914</w:t>
            </w:r>
          </w:p>
        </w:tc>
        <w:tc>
          <w:tcPr>
            <w:tcW w:w="0" w:type="dxa"/>
            <w:vAlign w:val="bottom"/>
          </w:tcPr>
          <w:p>
            <w:pPr>
              <w:spacing w:after="0"/>
              <w:rPr>
                <w:sz w:val="1"/>
                <w:szCs w:val="1"/>
                <w:color w:val="auto"/>
              </w:rPr>
            </w:pPr>
          </w:p>
        </w:tc>
      </w:tr>
      <w:tr>
        <w:trPr>
          <w:trHeight w:val="257"/>
        </w:trPr>
        <w:tc>
          <w:tcPr>
            <w:tcW w:w="3240" w:type="dxa"/>
            <w:vAlign w:val="bottom"/>
          </w:tcPr>
          <w:p>
            <w:pPr>
              <w:spacing w:after="0"/>
              <w:rPr>
                <w:sz w:val="20"/>
                <w:szCs w:val="20"/>
                <w:color w:val="auto"/>
              </w:rPr>
            </w:pPr>
            <w:r>
              <w:rPr>
                <w:rFonts w:ascii="Arial" w:cs="Arial" w:eastAsia="Arial" w:hAnsi="Arial"/>
                <w:sz w:val="16"/>
                <w:szCs w:val="16"/>
                <w:color w:val="auto"/>
              </w:rPr>
              <w:t>Euronet Polska Spółka z o.o.</w:t>
            </w:r>
          </w:p>
        </w:tc>
        <w:tc>
          <w:tcPr>
            <w:tcW w:w="1400" w:type="dxa"/>
            <w:vAlign w:val="bottom"/>
          </w:tcPr>
          <w:p>
            <w:pPr>
              <w:ind w:left="160"/>
              <w:spacing w:after="0"/>
              <w:rPr>
                <w:sz w:val="20"/>
                <w:szCs w:val="20"/>
                <w:color w:val="auto"/>
              </w:rPr>
            </w:pPr>
            <w:r>
              <w:rPr>
                <w:rFonts w:ascii="Arial" w:cs="Arial" w:eastAsia="Arial" w:hAnsi="Arial"/>
                <w:sz w:val="16"/>
                <w:szCs w:val="16"/>
                <w:color w:val="auto"/>
              </w:rPr>
              <w:t>Raiffeisen Bank</w:t>
            </w:r>
          </w:p>
        </w:tc>
        <w:tc>
          <w:tcPr>
            <w:tcW w:w="1620" w:type="dxa"/>
            <w:vAlign w:val="bottom"/>
          </w:tcPr>
          <w:p>
            <w:pPr>
              <w:ind w:left="120"/>
              <w:spacing w:after="0"/>
              <w:rPr>
                <w:sz w:val="20"/>
                <w:szCs w:val="20"/>
                <w:color w:val="auto"/>
              </w:rPr>
            </w:pPr>
            <w:r>
              <w:rPr>
                <w:rFonts w:ascii="Arial" w:cs="Arial" w:eastAsia="Arial" w:hAnsi="Arial"/>
                <w:sz w:val="16"/>
                <w:szCs w:val="16"/>
                <w:color w:val="auto"/>
              </w:rPr>
              <w:t>Bank Guarantee/LC</w:t>
            </w:r>
          </w:p>
        </w:tc>
        <w:tc>
          <w:tcPr>
            <w:tcW w:w="2300" w:type="dxa"/>
            <w:vAlign w:val="bottom"/>
          </w:tcPr>
          <w:p>
            <w:pPr>
              <w:ind w:left="200"/>
              <w:spacing w:after="0"/>
              <w:rPr>
                <w:sz w:val="20"/>
                <w:szCs w:val="20"/>
                <w:color w:val="auto"/>
              </w:rPr>
            </w:pPr>
            <w:r>
              <w:rPr>
                <w:rFonts w:ascii="Arial" w:cs="Arial" w:eastAsia="Arial" w:hAnsi="Arial"/>
                <w:sz w:val="16"/>
                <w:szCs w:val="16"/>
                <w:color w:val="auto"/>
              </w:rPr>
              <w:t>PIN Purchases</w:t>
            </w:r>
          </w:p>
        </w:tc>
        <w:tc>
          <w:tcPr>
            <w:tcW w:w="1640" w:type="dxa"/>
            <w:vAlign w:val="bottom"/>
          </w:tcPr>
          <w:p>
            <w:pPr>
              <w:jc w:val="right"/>
              <w:spacing w:after="0"/>
              <w:rPr>
                <w:sz w:val="20"/>
                <w:szCs w:val="20"/>
                <w:color w:val="auto"/>
              </w:rPr>
            </w:pPr>
            <w:r>
              <w:rPr>
                <w:rFonts w:ascii="Arial" w:cs="Arial" w:eastAsia="Arial" w:hAnsi="Arial"/>
                <w:sz w:val="16"/>
                <w:szCs w:val="16"/>
                <w:color w:val="auto"/>
              </w:rPr>
              <w:t>PLN 2,400,000</w:t>
            </w:r>
          </w:p>
        </w:tc>
        <w:tc>
          <w:tcPr>
            <w:tcW w:w="1180" w:type="dxa"/>
            <w:vAlign w:val="bottom"/>
          </w:tcPr>
          <w:p>
            <w:pPr>
              <w:jc w:val="right"/>
              <w:spacing w:after="0"/>
              <w:rPr>
                <w:sz w:val="20"/>
                <w:szCs w:val="20"/>
                <w:color w:val="auto"/>
              </w:rPr>
            </w:pPr>
            <w:r>
              <w:rPr>
                <w:rFonts w:ascii="Arial" w:cs="Arial" w:eastAsia="Arial" w:hAnsi="Arial"/>
                <w:sz w:val="16"/>
                <w:szCs w:val="16"/>
                <w:color w:val="auto"/>
              </w:rPr>
              <w:t>762,825</w:t>
            </w:r>
          </w:p>
        </w:tc>
        <w:tc>
          <w:tcPr>
            <w:tcW w:w="0" w:type="dxa"/>
            <w:vAlign w:val="bottom"/>
          </w:tcPr>
          <w:p>
            <w:pPr>
              <w:spacing w:after="0"/>
              <w:rPr>
                <w:sz w:val="1"/>
                <w:szCs w:val="1"/>
                <w:color w:val="auto"/>
              </w:rPr>
            </w:pPr>
          </w:p>
        </w:tc>
      </w:tr>
      <w:tr>
        <w:trPr>
          <w:trHeight w:val="257"/>
        </w:trPr>
        <w:tc>
          <w:tcPr>
            <w:tcW w:w="3240" w:type="dxa"/>
            <w:vAlign w:val="bottom"/>
          </w:tcPr>
          <w:p>
            <w:pPr>
              <w:spacing w:after="0"/>
              <w:rPr>
                <w:sz w:val="20"/>
                <w:szCs w:val="20"/>
                <w:color w:val="auto"/>
              </w:rPr>
            </w:pPr>
            <w:r>
              <w:rPr>
                <w:rFonts w:ascii="Arial" w:cs="Arial" w:eastAsia="Arial" w:hAnsi="Arial"/>
                <w:sz w:val="16"/>
                <w:szCs w:val="16"/>
                <w:color w:val="auto"/>
              </w:rPr>
              <w:t>Euronet Polska Spółka z o.o.</w:t>
            </w:r>
          </w:p>
        </w:tc>
        <w:tc>
          <w:tcPr>
            <w:tcW w:w="1400" w:type="dxa"/>
            <w:vAlign w:val="bottom"/>
          </w:tcPr>
          <w:p>
            <w:pPr>
              <w:ind w:left="160"/>
              <w:spacing w:after="0"/>
              <w:rPr>
                <w:sz w:val="20"/>
                <w:szCs w:val="20"/>
                <w:color w:val="auto"/>
              </w:rPr>
            </w:pPr>
            <w:r>
              <w:rPr>
                <w:rFonts w:ascii="Arial" w:cs="Arial" w:eastAsia="Arial" w:hAnsi="Arial"/>
                <w:sz w:val="16"/>
                <w:szCs w:val="16"/>
                <w:color w:val="auto"/>
              </w:rPr>
              <w:t>Raiffeisen Bank</w:t>
            </w:r>
          </w:p>
        </w:tc>
        <w:tc>
          <w:tcPr>
            <w:tcW w:w="1620" w:type="dxa"/>
            <w:vAlign w:val="bottom"/>
          </w:tcPr>
          <w:p>
            <w:pPr>
              <w:ind w:left="120"/>
              <w:spacing w:after="0"/>
              <w:rPr>
                <w:sz w:val="20"/>
                <w:szCs w:val="20"/>
                <w:color w:val="auto"/>
              </w:rPr>
            </w:pPr>
            <w:r>
              <w:rPr>
                <w:rFonts w:ascii="Arial" w:cs="Arial" w:eastAsia="Arial" w:hAnsi="Arial"/>
                <w:sz w:val="16"/>
                <w:szCs w:val="16"/>
                <w:color w:val="auto"/>
              </w:rPr>
              <w:t>Bank Guarantee/LC</w:t>
            </w:r>
          </w:p>
        </w:tc>
        <w:tc>
          <w:tcPr>
            <w:tcW w:w="2300" w:type="dxa"/>
            <w:vAlign w:val="bottom"/>
          </w:tcPr>
          <w:p>
            <w:pPr>
              <w:ind w:left="200"/>
              <w:spacing w:after="0"/>
              <w:rPr>
                <w:sz w:val="20"/>
                <w:szCs w:val="20"/>
                <w:color w:val="auto"/>
              </w:rPr>
            </w:pPr>
            <w:r>
              <w:rPr>
                <w:rFonts w:ascii="Arial" w:cs="Arial" w:eastAsia="Arial" w:hAnsi="Arial"/>
                <w:sz w:val="16"/>
                <w:szCs w:val="16"/>
                <w:color w:val="auto"/>
              </w:rPr>
              <w:t>PIN Purchases</w:t>
            </w:r>
          </w:p>
        </w:tc>
        <w:tc>
          <w:tcPr>
            <w:tcW w:w="1640" w:type="dxa"/>
            <w:vAlign w:val="bottom"/>
          </w:tcPr>
          <w:p>
            <w:pPr>
              <w:jc w:val="right"/>
              <w:spacing w:after="0"/>
              <w:rPr>
                <w:sz w:val="20"/>
                <w:szCs w:val="20"/>
                <w:color w:val="auto"/>
              </w:rPr>
            </w:pPr>
            <w:r>
              <w:rPr>
                <w:rFonts w:ascii="Arial" w:cs="Arial" w:eastAsia="Arial" w:hAnsi="Arial"/>
                <w:sz w:val="16"/>
                <w:szCs w:val="16"/>
                <w:color w:val="auto"/>
              </w:rPr>
              <w:t>PLN 2,200,000</w:t>
            </w:r>
          </w:p>
        </w:tc>
        <w:tc>
          <w:tcPr>
            <w:tcW w:w="1180" w:type="dxa"/>
            <w:vAlign w:val="bottom"/>
          </w:tcPr>
          <w:p>
            <w:pPr>
              <w:jc w:val="right"/>
              <w:spacing w:after="0"/>
              <w:rPr>
                <w:sz w:val="20"/>
                <w:szCs w:val="20"/>
                <w:color w:val="auto"/>
              </w:rPr>
            </w:pPr>
            <w:r>
              <w:rPr>
                <w:rFonts w:ascii="Arial" w:cs="Arial" w:eastAsia="Arial" w:hAnsi="Arial"/>
                <w:sz w:val="16"/>
                <w:szCs w:val="16"/>
                <w:color w:val="auto"/>
              </w:rPr>
              <w:t>699,256</w:t>
            </w:r>
          </w:p>
        </w:tc>
        <w:tc>
          <w:tcPr>
            <w:tcW w:w="0" w:type="dxa"/>
            <w:vAlign w:val="bottom"/>
          </w:tcPr>
          <w:p>
            <w:pPr>
              <w:spacing w:after="0"/>
              <w:rPr>
                <w:sz w:val="1"/>
                <w:szCs w:val="1"/>
                <w:color w:val="auto"/>
              </w:rPr>
            </w:pPr>
          </w:p>
        </w:tc>
      </w:tr>
      <w:tr>
        <w:trPr>
          <w:trHeight w:val="257"/>
        </w:trPr>
        <w:tc>
          <w:tcPr>
            <w:tcW w:w="3240" w:type="dxa"/>
            <w:vAlign w:val="bottom"/>
          </w:tcPr>
          <w:p>
            <w:pPr>
              <w:spacing w:after="0"/>
              <w:rPr>
                <w:sz w:val="20"/>
                <w:szCs w:val="20"/>
                <w:color w:val="auto"/>
              </w:rPr>
            </w:pPr>
            <w:r>
              <w:rPr>
                <w:rFonts w:ascii="Arial" w:cs="Arial" w:eastAsia="Arial" w:hAnsi="Arial"/>
                <w:sz w:val="16"/>
                <w:szCs w:val="16"/>
                <w:color w:val="auto"/>
              </w:rPr>
              <w:t>Euronet Polska Spółka z o.o.</w:t>
            </w:r>
          </w:p>
        </w:tc>
        <w:tc>
          <w:tcPr>
            <w:tcW w:w="1400" w:type="dxa"/>
            <w:vAlign w:val="bottom"/>
          </w:tcPr>
          <w:p>
            <w:pPr>
              <w:ind w:left="160"/>
              <w:spacing w:after="0"/>
              <w:rPr>
                <w:sz w:val="20"/>
                <w:szCs w:val="20"/>
                <w:color w:val="auto"/>
              </w:rPr>
            </w:pPr>
            <w:r>
              <w:rPr>
                <w:rFonts w:ascii="Arial" w:cs="Arial" w:eastAsia="Arial" w:hAnsi="Arial"/>
                <w:sz w:val="16"/>
                <w:szCs w:val="16"/>
                <w:color w:val="auto"/>
              </w:rPr>
              <w:t>Raiffeisen Bank</w:t>
            </w:r>
          </w:p>
        </w:tc>
        <w:tc>
          <w:tcPr>
            <w:tcW w:w="1620" w:type="dxa"/>
            <w:vAlign w:val="bottom"/>
          </w:tcPr>
          <w:p>
            <w:pPr>
              <w:ind w:left="120"/>
              <w:spacing w:after="0"/>
              <w:rPr>
                <w:sz w:val="20"/>
                <w:szCs w:val="20"/>
                <w:color w:val="auto"/>
              </w:rPr>
            </w:pPr>
            <w:r>
              <w:rPr>
                <w:rFonts w:ascii="Arial" w:cs="Arial" w:eastAsia="Arial" w:hAnsi="Arial"/>
                <w:sz w:val="16"/>
                <w:szCs w:val="16"/>
                <w:color w:val="auto"/>
              </w:rPr>
              <w:t>Bank Guarantee/LC</w:t>
            </w:r>
          </w:p>
        </w:tc>
        <w:tc>
          <w:tcPr>
            <w:tcW w:w="2300" w:type="dxa"/>
            <w:vAlign w:val="bottom"/>
          </w:tcPr>
          <w:p>
            <w:pPr>
              <w:ind w:left="200"/>
              <w:spacing w:after="0"/>
              <w:rPr>
                <w:sz w:val="20"/>
                <w:szCs w:val="20"/>
                <w:color w:val="auto"/>
              </w:rPr>
            </w:pPr>
            <w:r>
              <w:rPr>
                <w:rFonts w:ascii="Arial" w:cs="Arial" w:eastAsia="Arial" w:hAnsi="Arial"/>
                <w:sz w:val="16"/>
                <w:szCs w:val="16"/>
                <w:color w:val="auto"/>
              </w:rPr>
              <w:t>Office Rent</w:t>
            </w:r>
          </w:p>
        </w:tc>
        <w:tc>
          <w:tcPr>
            <w:tcW w:w="1640" w:type="dxa"/>
            <w:vAlign w:val="bottom"/>
          </w:tcPr>
          <w:p>
            <w:pPr>
              <w:jc w:val="right"/>
              <w:spacing w:after="0"/>
              <w:rPr>
                <w:sz w:val="20"/>
                <w:szCs w:val="20"/>
                <w:color w:val="auto"/>
              </w:rPr>
            </w:pPr>
            <w:r>
              <w:rPr>
                <w:rFonts w:ascii="Arial" w:cs="Arial" w:eastAsia="Arial" w:hAnsi="Arial"/>
                <w:sz w:val="16"/>
                <w:szCs w:val="16"/>
                <w:color w:val="auto"/>
              </w:rPr>
              <w:t>EUR 350,000</w:t>
            </w:r>
          </w:p>
        </w:tc>
        <w:tc>
          <w:tcPr>
            <w:tcW w:w="1180" w:type="dxa"/>
            <w:vAlign w:val="bottom"/>
          </w:tcPr>
          <w:p>
            <w:pPr>
              <w:jc w:val="right"/>
              <w:spacing w:after="0"/>
              <w:rPr>
                <w:sz w:val="20"/>
                <w:szCs w:val="20"/>
                <w:color w:val="auto"/>
              </w:rPr>
            </w:pPr>
            <w:r>
              <w:rPr>
                <w:rFonts w:ascii="Arial" w:cs="Arial" w:eastAsia="Arial" w:hAnsi="Arial"/>
                <w:sz w:val="16"/>
                <w:szCs w:val="16"/>
                <w:color w:val="auto"/>
              </w:rPr>
              <w:t>472,955</w:t>
            </w:r>
          </w:p>
        </w:tc>
        <w:tc>
          <w:tcPr>
            <w:tcW w:w="0" w:type="dxa"/>
            <w:vAlign w:val="bottom"/>
          </w:tcPr>
          <w:p>
            <w:pPr>
              <w:spacing w:after="0"/>
              <w:rPr>
                <w:sz w:val="1"/>
                <w:szCs w:val="1"/>
                <w:color w:val="auto"/>
              </w:rPr>
            </w:pPr>
          </w:p>
        </w:tc>
      </w:tr>
      <w:tr>
        <w:trPr>
          <w:trHeight w:val="33"/>
        </w:trPr>
        <w:tc>
          <w:tcPr>
            <w:tcW w:w="32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230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3240" w:type="dxa"/>
            <w:vAlign w:val="bottom"/>
          </w:tcPr>
          <w:p>
            <w:pPr>
              <w:spacing w:after="0"/>
              <w:rPr>
                <w:sz w:val="20"/>
                <w:szCs w:val="20"/>
                <w:color w:val="auto"/>
              </w:rPr>
            </w:pPr>
            <w:r>
              <w:rPr>
                <w:rFonts w:ascii="Arial" w:cs="Arial" w:eastAsia="Arial" w:hAnsi="Arial"/>
                <w:sz w:val="16"/>
                <w:szCs w:val="16"/>
                <w:b w:val="1"/>
                <w:bCs w:val="1"/>
                <w:color w:val="auto"/>
              </w:rPr>
              <w:t>Euronet Polska Spółka z o.o. Total</w:t>
            </w:r>
          </w:p>
        </w:tc>
        <w:tc>
          <w:tcPr>
            <w:tcW w:w="140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b w:val="1"/>
                <w:bCs w:val="1"/>
                <w:color w:val="auto"/>
              </w:rPr>
              <w:t>3,126,950</w:t>
            </w:r>
          </w:p>
        </w:tc>
        <w:tc>
          <w:tcPr>
            <w:tcW w:w="0" w:type="dxa"/>
            <w:vAlign w:val="bottom"/>
          </w:tcPr>
          <w:p>
            <w:pPr>
              <w:spacing w:after="0"/>
              <w:rPr>
                <w:sz w:val="1"/>
                <w:szCs w:val="1"/>
                <w:color w:val="auto"/>
              </w:rPr>
            </w:pPr>
          </w:p>
        </w:tc>
      </w:tr>
      <w:tr>
        <w:trPr>
          <w:trHeight w:val="527"/>
        </w:trPr>
        <w:tc>
          <w:tcPr>
            <w:tcW w:w="3240" w:type="dxa"/>
            <w:vAlign w:val="bottom"/>
          </w:tcPr>
          <w:p>
            <w:pPr>
              <w:spacing w:after="0"/>
              <w:rPr>
                <w:sz w:val="20"/>
                <w:szCs w:val="20"/>
                <w:color w:val="auto"/>
              </w:rPr>
            </w:pPr>
            <w:r>
              <w:rPr>
                <w:rFonts w:ascii="Arial" w:cs="Arial" w:eastAsia="Arial" w:hAnsi="Arial"/>
                <w:sz w:val="16"/>
                <w:szCs w:val="16"/>
                <w:color w:val="auto"/>
                <w:w w:val="97"/>
              </w:rPr>
              <w:t>EWI (on behalf of Euronet Prepaid Hellas Ltd.)</w:t>
            </w:r>
          </w:p>
        </w:tc>
        <w:tc>
          <w:tcPr>
            <w:tcW w:w="1400" w:type="dxa"/>
            <w:vAlign w:val="bottom"/>
          </w:tcPr>
          <w:p>
            <w:pPr>
              <w:ind w:left="160"/>
              <w:spacing w:after="0"/>
              <w:rPr>
                <w:sz w:val="20"/>
                <w:szCs w:val="20"/>
                <w:color w:val="auto"/>
              </w:rPr>
            </w:pPr>
            <w:r>
              <w:rPr>
                <w:rFonts w:ascii="Arial" w:cs="Arial" w:eastAsia="Arial" w:hAnsi="Arial"/>
                <w:sz w:val="16"/>
                <w:szCs w:val="16"/>
                <w:color w:val="auto"/>
              </w:rPr>
              <w:t>Bank of America</w:t>
            </w:r>
          </w:p>
        </w:tc>
        <w:tc>
          <w:tcPr>
            <w:tcW w:w="1620" w:type="dxa"/>
            <w:vAlign w:val="bottom"/>
          </w:tcPr>
          <w:p>
            <w:pPr>
              <w:ind w:left="120"/>
              <w:spacing w:after="0"/>
              <w:rPr>
                <w:sz w:val="20"/>
                <w:szCs w:val="20"/>
                <w:color w:val="auto"/>
              </w:rPr>
            </w:pPr>
            <w:r>
              <w:rPr>
                <w:rFonts w:ascii="Arial" w:cs="Arial" w:eastAsia="Arial" w:hAnsi="Arial"/>
                <w:sz w:val="16"/>
                <w:szCs w:val="16"/>
                <w:color w:val="auto"/>
              </w:rPr>
              <w:t>Bank Guarantee/LC</w:t>
            </w:r>
          </w:p>
        </w:tc>
        <w:tc>
          <w:tcPr>
            <w:tcW w:w="2300" w:type="dxa"/>
            <w:vAlign w:val="bottom"/>
          </w:tcPr>
          <w:p>
            <w:pPr>
              <w:ind w:left="200"/>
              <w:spacing w:after="0"/>
              <w:rPr>
                <w:sz w:val="20"/>
                <w:szCs w:val="20"/>
                <w:color w:val="auto"/>
              </w:rPr>
            </w:pPr>
            <w:r>
              <w:rPr>
                <w:rFonts w:ascii="Arial" w:cs="Arial" w:eastAsia="Arial" w:hAnsi="Arial"/>
                <w:sz w:val="16"/>
                <w:szCs w:val="16"/>
                <w:color w:val="auto"/>
              </w:rPr>
              <w:t>Trade Credit</w:t>
            </w:r>
          </w:p>
        </w:tc>
        <w:tc>
          <w:tcPr>
            <w:tcW w:w="1640" w:type="dxa"/>
            <w:vAlign w:val="bottom"/>
          </w:tcPr>
          <w:p>
            <w:pPr>
              <w:jc w:val="right"/>
              <w:spacing w:after="0"/>
              <w:rPr>
                <w:sz w:val="20"/>
                <w:szCs w:val="20"/>
                <w:color w:val="auto"/>
              </w:rPr>
            </w:pPr>
            <w:r>
              <w:rPr>
                <w:rFonts w:ascii="Arial" w:cs="Arial" w:eastAsia="Arial" w:hAnsi="Arial"/>
                <w:sz w:val="16"/>
                <w:szCs w:val="16"/>
                <w:color w:val="auto"/>
              </w:rPr>
              <w:t>EUR 120,000</w:t>
            </w:r>
          </w:p>
        </w:tc>
        <w:tc>
          <w:tcPr>
            <w:tcW w:w="1180" w:type="dxa"/>
            <w:vAlign w:val="bottom"/>
          </w:tcPr>
          <w:p>
            <w:pPr>
              <w:jc w:val="right"/>
              <w:spacing w:after="0"/>
              <w:rPr>
                <w:sz w:val="20"/>
                <w:szCs w:val="20"/>
                <w:color w:val="auto"/>
              </w:rPr>
            </w:pPr>
            <w:r>
              <w:rPr>
                <w:rFonts w:ascii="Arial" w:cs="Arial" w:eastAsia="Arial" w:hAnsi="Arial"/>
                <w:sz w:val="16"/>
                <w:szCs w:val="16"/>
                <w:color w:val="auto"/>
              </w:rPr>
              <w:t>162,156</w:t>
            </w:r>
          </w:p>
        </w:tc>
        <w:tc>
          <w:tcPr>
            <w:tcW w:w="0" w:type="dxa"/>
            <w:vAlign w:val="bottom"/>
          </w:tcPr>
          <w:p>
            <w:pPr>
              <w:spacing w:after="0"/>
              <w:rPr>
                <w:sz w:val="1"/>
                <w:szCs w:val="1"/>
                <w:color w:val="auto"/>
              </w:rPr>
            </w:pPr>
          </w:p>
        </w:tc>
      </w:tr>
      <w:tr>
        <w:trPr>
          <w:trHeight w:val="257"/>
        </w:trPr>
        <w:tc>
          <w:tcPr>
            <w:tcW w:w="3240" w:type="dxa"/>
            <w:vAlign w:val="bottom"/>
          </w:tcPr>
          <w:p>
            <w:pPr>
              <w:spacing w:after="0"/>
              <w:rPr>
                <w:sz w:val="20"/>
                <w:szCs w:val="20"/>
                <w:color w:val="auto"/>
              </w:rPr>
            </w:pPr>
            <w:r>
              <w:rPr>
                <w:rFonts w:ascii="Arial" w:cs="Arial" w:eastAsia="Arial" w:hAnsi="Arial"/>
                <w:sz w:val="16"/>
                <w:szCs w:val="16"/>
                <w:color w:val="auto"/>
                <w:w w:val="97"/>
              </w:rPr>
              <w:t>EWI (on behalf of Euronet Prepaid Hellas Ltd.)</w:t>
            </w:r>
          </w:p>
        </w:tc>
        <w:tc>
          <w:tcPr>
            <w:tcW w:w="1400" w:type="dxa"/>
            <w:vAlign w:val="bottom"/>
          </w:tcPr>
          <w:p>
            <w:pPr>
              <w:ind w:left="160"/>
              <w:spacing w:after="0"/>
              <w:rPr>
                <w:sz w:val="20"/>
                <w:szCs w:val="20"/>
                <w:color w:val="auto"/>
              </w:rPr>
            </w:pPr>
            <w:r>
              <w:rPr>
                <w:rFonts w:ascii="Arial" w:cs="Arial" w:eastAsia="Arial" w:hAnsi="Arial"/>
                <w:sz w:val="16"/>
                <w:szCs w:val="16"/>
                <w:color w:val="auto"/>
              </w:rPr>
              <w:t>Bank of America</w:t>
            </w:r>
          </w:p>
        </w:tc>
        <w:tc>
          <w:tcPr>
            <w:tcW w:w="1620" w:type="dxa"/>
            <w:vAlign w:val="bottom"/>
          </w:tcPr>
          <w:p>
            <w:pPr>
              <w:ind w:left="120"/>
              <w:spacing w:after="0"/>
              <w:rPr>
                <w:sz w:val="20"/>
                <w:szCs w:val="20"/>
                <w:color w:val="auto"/>
              </w:rPr>
            </w:pPr>
            <w:r>
              <w:rPr>
                <w:rFonts w:ascii="Arial" w:cs="Arial" w:eastAsia="Arial" w:hAnsi="Arial"/>
                <w:sz w:val="16"/>
                <w:szCs w:val="16"/>
                <w:color w:val="auto"/>
              </w:rPr>
              <w:t>Bank Guarantee/LC</w:t>
            </w:r>
          </w:p>
        </w:tc>
        <w:tc>
          <w:tcPr>
            <w:tcW w:w="2300" w:type="dxa"/>
            <w:vAlign w:val="bottom"/>
          </w:tcPr>
          <w:p>
            <w:pPr>
              <w:ind w:left="200"/>
              <w:spacing w:after="0"/>
              <w:rPr>
                <w:sz w:val="20"/>
                <w:szCs w:val="20"/>
                <w:color w:val="auto"/>
              </w:rPr>
            </w:pPr>
            <w:r>
              <w:rPr>
                <w:rFonts w:ascii="Arial" w:cs="Arial" w:eastAsia="Arial" w:hAnsi="Arial"/>
                <w:sz w:val="16"/>
                <w:szCs w:val="16"/>
                <w:color w:val="auto"/>
              </w:rPr>
              <w:t>Trade Credit</w:t>
            </w:r>
          </w:p>
        </w:tc>
        <w:tc>
          <w:tcPr>
            <w:tcW w:w="1640" w:type="dxa"/>
            <w:vAlign w:val="bottom"/>
          </w:tcPr>
          <w:p>
            <w:pPr>
              <w:jc w:val="right"/>
              <w:spacing w:after="0"/>
              <w:rPr>
                <w:sz w:val="20"/>
                <w:szCs w:val="20"/>
                <w:color w:val="auto"/>
              </w:rPr>
            </w:pPr>
            <w:r>
              <w:rPr>
                <w:rFonts w:ascii="Arial" w:cs="Arial" w:eastAsia="Arial" w:hAnsi="Arial"/>
                <w:sz w:val="16"/>
                <w:szCs w:val="16"/>
                <w:color w:val="auto"/>
              </w:rPr>
              <w:t>EUR 90,000</w:t>
            </w:r>
          </w:p>
        </w:tc>
        <w:tc>
          <w:tcPr>
            <w:tcW w:w="1180" w:type="dxa"/>
            <w:vAlign w:val="bottom"/>
          </w:tcPr>
          <w:p>
            <w:pPr>
              <w:jc w:val="right"/>
              <w:spacing w:after="0"/>
              <w:rPr>
                <w:sz w:val="20"/>
                <w:szCs w:val="20"/>
                <w:color w:val="auto"/>
              </w:rPr>
            </w:pPr>
            <w:r>
              <w:rPr>
                <w:rFonts w:ascii="Arial" w:cs="Arial" w:eastAsia="Arial" w:hAnsi="Arial"/>
                <w:sz w:val="16"/>
                <w:szCs w:val="16"/>
                <w:color w:val="auto"/>
              </w:rPr>
              <w:t>121,617</w:t>
            </w:r>
          </w:p>
        </w:tc>
        <w:tc>
          <w:tcPr>
            <w:tcW w:w="0" w:type="dxa"/>
            <w:vAlign w:val="bottom"/>
          </w:tcPr>
          <w:p>
            <w:pPr>
              <w:spacing w:after="0"/>
              <w:rPr>
                <w:sz w:val="1"/>
                <w:szCs w:val="1"/>
                <w:color w:val="auto"/>
              </w:rPr>
            </w:pPr>
          </w:p>
        </w:tc>
      </w:tr>
      <w:tr>
        <w:trPr>
          <w:trHeight w:val="257"/>
        </w:trPr>
        <w:tc>
          <w:tcPr>
            <w:tcW w:w="3240" w:type="dxa"/>
            <w:vAlign w:val="bottom"/>
          </w:tcPr>
          <w:p>
            <w:pPr>
              <w:spacing w:after="0"/>
              <w:rPr>
                <w:sz w:val="20"/>
                <w:szCs w:val="20"/>
                <w:color w:val="auto"/>
              </w:rPr>
            </w:pPr>
            <w:r>
              <w:rPr>
                <w:rFonts w:ascii="Arial" w:cs="Arial" w:eastAsia="Arial" w:hAnsi="Arial"/>
                <w:sz w:val="16"/>
                <w:szCs w:val="16"/>
                <w:color w:val="auto"/>
                <w:w w:val="97"/>
              </w:rPr>
              <w:t>EWI (on behalf of Euronet Prepaid Hellas Ltd.)</w:t>
            </w:r>
          </w:p>
        </w:tc>
        <w:tc>
          <w:tcPr>
            <w:tcW w:w="1400" w:type="dxa"/>
            <w:vAlign w:val="bottom"/>
          </w:tcPr>
          <w:p>
            <w:pPr>
              <w:ind w:left="160"/>
              <w:spacing w:after="0"/>
              <w:rPr>
                <w:sz w:val="20"/>
                <w:szCs w:val="20"/>
                <w:color w:val="auto"/>
              </w:rPr>
            </w:pPr>
            <w:r>
              <w:rPr>
                <w:rFonts w:ascii="Arial" w:cs="Arial" w:eastAsia="Arial" w:hAnsi="Arial"/>
                <w:sz w:val="16"/>
                <w:szCs w:val="16"/>
                <w:color w:val="auto"/>
              </w:rPr>
              <w:t>Bank of America</w:t>
            </w:r>
          </w:p>
        </w:tc>
        <w:tc>
          <w:tcPr>
            <w:tcW w:w="1620" w:type="dxa"/>
            <w:vAlign w:val="bottom"/>
          </w:tcPr>
          <w:p>
            <w:pPr>
              <w:ind w:left="120"/>
              <w:spacing w:after="0"/>
              <w:rPr>
                <w:sz w:val="20"/>
                <w:szCs w:val="20"/>
                <w:color w:val="auto"/>
              </w:rPr>
            </w:pPr>
            <w:r>
              <w:rPr>
                <w:rFonts w:ascii="Arial" w:cs="Arial" w:eastAsia="Arial" w:hAnsi="Arial"/>
                <w:sz w:val="16"/>
                <w:szCs w:val="16"/>
                <w:color w:val="auto"/>
              </w:rPr>
              <w:t>Bank Guarantee/LC</w:t>
            </w:r>
          </w:p>
        </w:tc>
        <w:tc>
          <w:tcPr>
            <w:tcW w:w="2300" w:type="dxa"/>
            <w:vAlign w:val="bottom"/>
          </w:tcPr>
          <w:p>
            <w:pPr>
              <w:ind w:left="200"/>
              <w:spacing w:after="0"/>
              <w:rPr>
                <w:sz w:val="20"/>
                <w:szCs w:val="20"/>
                <w:color w:val="auto"/>
              </w:rPr>
            </w:pPr>
            <w:r>
              <w:rPr>
                <w:rFonts w:ascii="Arial" w:cs="Arial" w:eastAsia="Arial" w:hAnsi="Arial"/>
                <w:sz w:val="16"/>
                <w:szCs w:val="16"/>
                <w:color w:val="auto"/>
              </w:rPr>
              <w:t>Trade Credit</w:t>
            </w:r>
          </w:p>
        </w:tc>
        <w:tc>
          <w:tcPr>
            <w:tcW w:w="1640" w:type="dxa"/>
            <w:vAlign w:val="bottom"/>
          </w:tcPr>
          <w:p>
            <w:pPr>
              <w:jc w:val="right"/>
              <w:spacing w:after="0"/>
              <w:rPr>
                <w:sz w:val="20"/>
                <w:szCs w:val="20"/>
                <w:color w:val="auto"/>
              </w:rPr>
            </w:pPr>
            <w:r>
              <w:rPr>
                <w:rFonts w:ascii="Arial" w:cs="Arial" w:eastAsia="Arial" w:hAnsi="Arial"/>
                <w:sz w:val="16"/>
                <w:szCs w:val="16"/>
                <w:color w:val="auto"/>
              </w:rPr>
              <w:t>EUR 90,000</w:t>
            </w:r>
          </w:p>
        </w:tc>
        <w:tc>
          <w:tcPr>
            <w:tcW w:w="1180" w:type="dxa"/>
            <w:vAlign w:val="bottom"/>
          </w:tcPr>
          <w:p>
            <w:pPr>
              <w:jc w:val="right"/>
              <w:spacing w:after="0"/>
              <w:rPr>
                <w:sz w:val="20"/>
                <w:szCs w:val="20"/>
                <w:color w:val="auto"/>
              </w:rPr>
            </w:pPr>
            <w:r>
              <w:rPr>
                <w:rFonts w:ascii="Arial" w:cs="Arial" w:eastAsia="Arial" w:hAnsi="Arial"/>
                <w:sz w:val="16"/>
                <w:szCs w:val="16"/>
                <w:color w:val="auto"/>
              </w:rPr>
              <w:t>121,617</w:t>
            </w:r>
          </w:p>
        </w:tc>
        <w:tc>
          <w:tcPr>
            <w:tcW w:w="0" w:type="dxa"/>
            <w:vAlign w:val="bottom"/>
          </w:tcPr>
          <w:p>
            <w:pPr>
              <w:spacing w:after="0"/>
              <w:rPr>
                <w:sz w:val="1"/>
                <w:szCs w:val="1"/>
                <w:color w:val="auto"/>
              </w:rPr>
            </w:pPr>
          </w:p>
        </w:tc>
      </w:tr>
      <w:tr>
        <w:trPr>
          <w:trHeight w:val="33"/>
        </w:trPr>
        <w:tc>
          <w:tcPr>
            <w:tcW w:w="32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230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3240" w:type="dxa"/>
            <w:vAlign w:val="bottom"/>
          </w:tcPr>
          <w:p>
            <w:pPr>
              <w:spacing w:after="0"/>
              <w:rPr>
                <w:sz w:val="20"/>
                <w:szCs w:val="20"/>
                <w:color w:val="auto"/>
              </w:rPr>
            </w:pPr>
            <w:r>
              <w:rPr>
                <w:rFonts w:ascii="Arial" w:cs="Arial" w:eastAsia="Arial" w:hAnsi="Arial"/>
                <w:sz w:val="16"/>
                <w:szCs w:val="16"/>
                <w:b w:val="1"/>
                <w:bCs w:val="1"/>
                <w:color w:val="auto"/>
              </w:rPr>
              <w:t>Euronet Prepaid Hellas Ltd. Total</w:t>
            </w:r>
          </w:p>
        </w:tc>
        <w:tc>
          <w:tcPr>
            <w:tcW w:w="140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b w:val="1"/>
                <w:bCs w:val="1"/>
                <w:color w:val="auto"/>
              </w:rPr>
              <w:t>405,390</w:t>
            </w:r>
          </w:p>
        </w:tc>
        <w:tc>
          <w:tcPr>
            <w:tcW w:w="0" w:type="dxa"/>
            <w:vAlign w:val="bottom"/>
          </w:tcPr>
          <w:p>
            <w:pPr>
              <w:spacing w:after="0"/>
              <w:rPr>
                <w:sz w:val="1"/>
                <w:szCs w:val="1"/>
                <w:color w:val="auto"/>
              </w:rPr>
            </w:pPr>
          </w:p>
        </w:tc>
      </w:tr>
      <w:tr>
        <w:trPr>
          <w:trHeight w:val="523"/>
        </w:trPr>
        <w:tc>
          <w:tcPr>
            <w:tcW w:w="3240" w:type="dxa"/>
            <w:vAlign w:val="bottom"/>
          </w:tcPr>
          <w:p>
            <w:pPr>
              <w:spacing w:after="0"/>
              <w:rPr>
                <w:sz w:val="24"/>
                <w:szCs w:val="24"/>
                <w:color w:val="auto"/>
              </w:rPr>
            </w:pPr>
          </w:p>
        </w:tc>
        <w:tc>
          <w:tcPr>
            <w:tcW w:w="1400" w:type="dxa"/>
            <w:vAlign w:val="bottom"/>
          </w:tcPr>
          <w:p>
            <w:pPr>
              <w:ind w:left="160"/>
              <w:spacing w:after="0"/>
              <w:rPr>
                <w:sz w:val="20"/>
                <w:szCs w:val="20"/>
                <w:color w:val="auto"/>
              </w:rPr>
            </w:pPr>
            <w:r>
              <w:rPr>
                <w:rFonts w:ascii="Arial" w:cs="Arial" w:eastAsia="Arial" w:hAnsi="Arial"/>
                <w:sz w:val="16"/>
                <w:szCs w:val="16"/>
                <w:color w:val="auto"/>
              </w:rPr>
              <w:t>Credit Agricole</w:t>
            </w:r>
          </w:p>
        </w:tc>
        <w:tc>
          <w:tcPr>
            <w:tcW w:w="162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6"/>
        </w:trPr>
        <w:tc>
          <w:tcPr>
            <w:tcW w:w="3240" w:type="dxa"/>
            <w:vAlign w:val="bottom"/>
          </w:tcPr>
          <w:p>
            <w:pPr>
              <w:spacing w:after="0"/>
              <w:rPr>
                <w:sz w:val="20"/>
                <w:szCs w:val="20"/>
                <w:color w:val="auto"/>
              </w:rPr>
            </w:pPr>
            <w:r>
              <w:rPr>
                <w:rFonts w:ascii="Arial" w:cs="Arial" w:eastAsia="Arial" w:hAnsi="Arial"/>
                <w:sz w:val="16"/>
                <w:szCs w:val="16"/>
                <w:color w:val="auto"/>
              </w:rPr>
              <w:t>Euronet Services d.o.o</w:t>
            </w:r>
          </w:p>
        </w:tc>
        <w:tc>
          <w:tcPr>
            <w:tcW w:w="1400" w:type="dxa"/>
            <w:vAlign w:val="bottom"/>
          </w:tcPr>
          <w:p>
            <w:pPr>
              <w:ind w:left="160"/>
              <w:spacing w:after="0"/>
              <w:rPr>
                <w:sz w:val="20"/>
                <w:szCs w:val="20"/>
                <w:color w:val="auto"/>
              </w:rPr>
            </w:pPr>
            <w:r>
              <w:rPr>
                <w:rFonts w:ascii="Arial" w:cs="Arial" w:eastAsia="Arial" w:hAnsi="Arial"/>
                <w:sz w:val="16"/>
                <w:szCs w:val="16"/>
                <w:color w:val="auto"/>
              </w:rPr>
              <w:t>Banka</w:t>
            </w:r>
          </w:p>
        </w:tc>
        <w:tc>
          <w:tcPr>
            <w:tcW w:w="1620" w:type="dxa"/>
            <w:vAlign w:val="bottom"/>
          </w:tcPr>
          <w:p>
            <w:pPr>
              <w:ind w:left="120"/>
              <w:spacing w:after="0"/>
              <w:rPr>
                <w:sz w:val="20"/>
                <w:szCs w:val="20"/>
                <w:color w:val="auto"/>
              </w:rPr>
            </w:pPr>
            <w:r>
              <w:rPr>
                <w:rFonts w:ascii="Arial" w:cs="Arial" w:eastAsia="Arial" w:hAnsi="Arial"/>
                <w:sz w:val="16"/>
                <w:szCs w:val="16"/>
                <w:color w:val="auto"/>
              </w:rPr>
              <w:t>Bank Guarantee/LC</w:t>
            </w:r>
          </w:p>
        </w:tc>
        <w:tc>
          <w:tcPr>
            <w:tcW w:w="2300" w:type="dxa"/>
            <w:vAlign w:val="bottom"/>
          </w:tcPr>
          <w:p>
            <w:pPr>
              <w:ind w:left="200"/>
              <w:spacing w:after="0"/>
              <w:rPr>
                <w:sz w:val="20"/>
                <w:szCs w:val="20"/>
                <w:color w:val="auto"/>
              </w:rPr>
            </w:pPr>
            <w:r>
              <w:rPr>
                <w:rFonts w:ascii="Arial" w:cs="Arial" w:eastAsia="Arial" w:hAnsi="Arial"/>
                <w:sz w:val="16"/>
                <w:szCs w:val="16"/>
                <w:color w:val="auto"/>
              </w:rPr>
              <w:t>Bank Guarantee</w:t>
            </w:r>
          </w:p>
        </w:tc>
        <w:tc>
          <w:tcPr>
            <w:tcW w:w="1640" w:type="dxa"/>
            <w:vAlign w:val="bottom"/>
          </w:tcPr>
          <w:p>
            <w:pPr>
              <w:jc w:val="right"/>
              <w:spacing w:after="0"/>
              <w:rPr>
                <w:sz w:val="20"/>
                <w:szCs w:val="20"/>
                <w:color w:val="auto"/>
              </w:rPr>
            </w:pPr>
            <w:r>
              <w:rPr>
                <w:rFonts w:ascii="Arial" w:cs="Arial" w:eastAsia="Arial" w:hAnsi="Arial"/>
                <w:sz w:val="16"/>
                <w:szCs w:val="16"/>
                <w:color w:val="auto"/>
              </w:rPr>
              <w:t>EUR 72,777</w:t>
            </w:r>
          </w:p>
        </w:tc>
        <w:tc>
          <w:tcPr>
            <w:tcW w:w="1180" w:type="dxa"/>
            <w:vAlign w:val="bottom"/>
          </w:tcPr>
          <w:p>
            <w:pPr>
              <w:jc w:val="right"/>
              <w:spacing w:after="0"/>
              <w:rPr>
                <w:sz w:val="20"/>
                <w:szCs w:val="20"/>
                <w:color w:val="auto"/>
              </w:rPr>
            </w:pPr>
            <w:r>
              <w:rPr>
                <w:rFonts w:ascii="Arial" w:cs="Arial" w:eastAsia="Arial" w:hAnsi="Arial"/>
                <w:sz w:val="16"/>
                <w:szCs w:val="16"/>
                <w:color w:val="auto"/>
              </w:rPr>
              <w:t>98,343</w:t>
            </w:r>
          </w:p>
        </w:tc>
        <w:tc>
          <w:tcPr>
            <w:tcW w:w="0" w:type="dxa"/>
            <w:vAlign w:val="bottom"/>
          </w:tcPr>
          <w:p>
            <w:pPr>
              <w:spacing w:after="0"/>
              <w:rPr>
                <w:sz w:val="1"/>
                <w:szCs w:val="1"/>
                <w:color w:val="auto"/>
              </w:rPr>
            </w:pPr>
          </w:p>
        </w:tc>
      </w:tr>
      <w:tr>
        <w:trPr>
          <w:trHeight w:val="33"/>
        </w:trPr>
        <w:tc>
          <w:tcPr>
            <w:tcW w:w="32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230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3240" w:type="dxa"/>
            <w:vAlign w:val="bottom"/>
          </w:tcPr>
          <w:p>
            <w:pPr>
              <w:spacing w:after="0"/>
              <w:rPr>
                <w:sz w:val="20"/>
                <w:szCs w:val="20"/>
                <w:color w:val="auto"/>
              </w:rPr>
            </w:pPr>
            <w:r>
              <w:rPr>
                <w:rFonts w:ascii="Arial" w:cs="Arial" w:eastAsia="Arial" w:hAnsi="Arial"/>
                <w:sz w:val="16"/>
                <w:szCs w:val="16"/>
                <w:b w:val="1"/>
                <w:bCs w:val="1"/>
                <w:color w:val="auto"/>
              </w:rPr>
              <w:t>Euronet Services d.o.o Total</w:t>
            </w:r>
          </w:p>
        </w:tc>
        <w:tc>
          <w:tcPr>
            <w:tcW w:w="140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b w:val="1"/>
                <w:bCs w:val="1"/>
                <w:color w:val="auto"/>
              </w:rPr>
              <w:t>98,343</w:t>
            </w:r>
          </w:p>
        </w:tc>
        <w:tc>
          <w:tcPr>
            <w:tcW w:w="0" w:type="dxa"/>
            <w:vAlign w:val="bottom"/>
          </w:tcPr>
          <w:p>
            <w:pPr>
              <w:spacing w:after="0"/>
              <w:rPr>
                <w:sz w:val="1"/>
                <w:szCs w:val="1"/>
                <w:color w:val="auto"/>
              </w:rPr>
            </w:pPr>
          </w:p>
        </w:tc>
      </w:tr>
      <w:tr>
        <w:trPr>
          <w:trHeight w:val="527"/>
        </w:trPr>
        <w:tc>
          <w:tcPr>
            <w:tcW w:w="3240" w:type="dxa"/>
            <w:vAlign w:val="bottom"/>
          </w:tcPr>
          <w:p>
            <w:pPr>
              <w:spacing w:after="0"/>
              <w:rPr>
                <w:sz w:val="20"/>
                <w:szCs w:val="20"/>
                <w:color w:val="auto"/>
              </w:rPr>
            </w:pPr>
            <w:r>
              <w:rPr>
                <w:rFonts w:ascii="Arial" w:cs="Arial" w:eastAsia="Arial" w:hAnsi="Arial"/>
                <w:sz w:val="16"/>
                <w:szCs w:val="16"/>
                <w:color w:val="auto"/>
              </w:rPr>
              <w:t>Euronet Services India Pvt. Ltd.</w:t>
            </w:r>
          </w:p>
        </w:tc>
        <w:tc>
          <w:tcPr>
            <w:tcW w:w="1400" w:type="dxa"/>
            <w:vAlign w:val="bottom"/>
          </w:tcPr>
          <w:p>
            <w:pPr>
              <w:ind w:left="160"/>
              <w:spacing w:after="0"/>
              <w:rPr>
                <w:sz w:val="20"/>
                <w:szCs w:val="20"/>
                <w:color w:val="auto"/>
              </w:rPr>
            </w:pPr>
            <w:r>
              <w:rPr>
                <w:rFonts w:ascii="Arial" w:cs="Arial" w:eastAsia="Arial" w:hAnsi="Arial"/>
                <w:sz w:val="16"/>
                <w:szCs w:val="16"/>
                <w:color w:val="auto"/>
              </w:rPr>
              <w:t>Bank of America</w:t>
            </w:r>
          </w:p>
        </w:tc>
        <w:tc>
          <w:tcPr>
            <w:tcW w:w="1620" w:type="dxa"/>
            <w:vAlign w:val="bottom"/>
          </w:tcPr>
          <w:p>
            <w:pPr>
              <w:ind w:left="120"/>
              <w:spacing w:after="0"/>
              <w:rPr>
                <w:sz w:val="20"/>
                <w:szCs w:val="20"/>
                <w:color w:val="auto"/>
              </w:rPr>
            </w:pPr>
            <w:r>
              <w:rPr>
                <w:rFonts w:ascii="Arial" w:cs="Arial" w:eastAsia="Arial" w:hAnsi="Arial"/>
                <w:sz w:val="16"/>
                <w:szCs w:val="16"/>
                <w:color w:val="auto"/>
              </w:rPr>
              <w:t>Bank Guarantee/LC</w:t>
            </w:r>
          </w:p>
        </w:tc>
        <w:tc>
          <w:tcPr>
            <w:tcW w:w="2300" w:type="dxa"/>
            <w:vAlign w:val="bottom"/>
          </w:tcPr>
          <w:p>
            <w:pPr>
              <w:ind w:left="200"/>
              <w:spacing w:after="0"/>
              <w:rPr>
                <w:sz w:val="20"/>
                <w:szCs w:val="20"/>
                <w:color w:val="auto"/>
              </w:rPr>
            </w:pPr>
            <w:r>
              <w:rPr>
                <w:rFonts w:ascii="Arial" w:cs="Arial" w:eastAsia="Arial" w:hAnsi="Arial"/>
                <w:sz w:val="16"/>
                <w:szCs w:val="16"/>
                <w:color w:val="auto"/>
              </w:rPr>
              <w:t>Performance Guarantee</w:t>
            </w:r>
          </w:p>
        </w:tc>
        <w:tc>
          <w:tcPr>
            <w:tcW w:w="1640" w:type="dxa"/>
            <w:vAlign w:val="bottom"/>
          </w:tcPr>
          <w:p>
            <w:pPr>
              <w:jc w:val="right"/>
              <w:spacing w:after="0"/>
              <w:rPr>
                <w:sz w:val="20"/>
                <w:szCs w:val="20"/>
                <w:color w:val="auto"/>
              </w:rPr>
            </w:pPr>
            <w:r>
              <w:rPr>
                <w:rFonts w:ascii="Arial" w:cs="Arial" w:eastAsia="Arial" w:hAnsi="Arial"/>
                <w:sz w:val="16"/>
                <w:szCs w:val="16"/>
                <w:color w:val="auto"/>
              </w:rPr>
              <w:t>INR 5,185,667</w:t>
            </w:r>
          </w:p>
        </w:tc>
        <w:tc>
          <w:tcPr>
            <w:tcW w:w="1180" w:type="dxa"/>
            <w:vAlign w:val="bottom"/>
          </w:tcPr>
          <w:p>
            <w:pPr>
              <w:jc w:val="right"/>
              <w:spacing w:after="0"/>
              <w:rPr>
                <w:sz w:val="20"/>
                <w:szCs w:val="20"/>
                <w:color w:val="auto"/>
              </w:rPr>
            </w:pPr>
            <w:r>
              <w:rPr>
                <w:rFonts w:ascii="Arial" w:cs="Arial" w:eastAsia="Arial" w:hAnsi="Arial"/>
                <w:sz w:val="16"/>
                <w:szCs w:val="16"/>
                <w:color w:val="auto"/>
              </w:rPr>
              <w:t>82,732</w:t>
            </w:r>
          </w:p>
        </w:tc>
        <w:tc>
          <w:tcPr>
            <w:tcW w:w="0" w:type="dxa"/>
            <w:vAlign w:val="bottom"/>
          </w:tcPr>
          <w:p>
            <w:pPr>
              <w:spacing w:after="0"/>
              <w:rPr>
                <w:sz w:val="1"/>
                <w:szCs w:val="1"/>
                <w:color w:val="auto"/>
              </w:rPr>
            </w:pPr>
          </w:p>
        </w:tc>
      </w:tr>
      <w:tr>
        <w:trPr>
          <w:trHeight w:val="257"/>
        </w:trPr>
        <w:tc>
          <w:tcPr>
            <w:tcW w:w="3240" w:type="dxa"/>
            <w:vAlign w:val="bottom"/>
          </w:tcPr>
          <w:p>
            <w:pPr>
              <w:spacing w:after="0"/>
              <w:rPr>
                <w:sz w:val="20"/>
                <w:szCs w:val="20"/>
                <w:color w:val="auto"/>
              </w:rPr>
            </w:pPr>
            <w:r>
              <w:rPr>
                <w:rFonts w:ascii="Arial" w:cs="Arial" w:eastAsia="Arial" w:hAnsi="Arial"/>
                <w:sz w:val="16"/>
                <w:szCs w:val="16"/>
                <w:color w:val="auto"/>
              </w:rPr>
              <w:t>Euronet Services India Pvt. Ltd.</w:t>
            </w:r>
          </w:p>
        </w:tc>
        <w:tc>
          <w:tcPr>
            <w:tcW w:w="1400" w:type="dxa"/>
            <w:vAlign w:val="bottom"/>
          </w:tcPr>
          <w:p>
            <w:pPr>
              <w:ind w:left="160"/>
              <w:spacing w:after="0"/>
              <w:rPr>
                <w:sz w:val="20"/>
                <w:szCs w:val="20"/>
                <w:color w:val="auto"/>
              </w:rPr>
            </w:pPr>
            <w:r>
              <w:rPr>
                <w:rFonts w:ascii="Arial" w:cs="Arial" w:eastAsia="Arial" w:hAnsi="Arial"/>
                <w:sz w:val="16"/>
                <w:szCs w:val="16"/>
                <w:color w:val="auto"/>
              </w:rPr>
              <w:t>Bank of America</w:t>
            </w:r>
          </w:p>
        </w:tc>
        <w:tc>
          <w:tcPr>
            <w:tcW w:w="1620" w:type="dxa"/>
            <w:vAlign w:val="bottom"/>
          </w:tcPr>
          <w:p>
            <w:pPr>
              <w:ind w:left="120"/>
              <w:spacing w:after="0"/>
              <w:rPr>
                <w:sz w:val="20"/>
                <w:szCs w:val="20"/>
                <w:color w:val="auto"/>
              </w:rPr>
            </w:pPr>
            <w:r>
              <w:rPr>
                <w:rFonts w:ascii="Arial" w:cs="Arial" w:eastAsia="Arial" w:hAnsi="Arial"/>
                <w:sz w:val="16"/>
                <w:szCs w:val="16"/>
                <w:color w:val="auto"/>
              </w:rPr>
              <w:t>Bank Guarantee/LC</w:t>
            </w:r>
          </w:p>
        </w:tc>
        <w:tc>
          <w:tcPr>
            <w:tcW w:w="2300" w:type="dxa"/>
            <w:vAlign w:val="bottom"/>
          </w:tcPr>
          <w:p>
            <w:pPr>
              <w:ind w:left="200"/>
              <w:spacing w:after="0"/>
              <w:rPr>
                <w:sz w:val="20"/>
                <w:szCs w:val="20"/>
                <w:color w:val="auto"/>
              </w:rPr>
            </w:pPr>
            <w:r>
              <w:rPr>
                <w:rFonts w:ascii="Arial" w:cs="Arial" w:eastAsia="Arial" w:hAnsi="Arial"/>
                <w:sz w:val="16"/>
                <w:szCs w:val="16"/>
                <w:color w:val="auto"/>
              </w:rPr>
              <w:t>Performance Guarantee</w:t>
            </w:r>
          </w:p>
        </w:tc>
        <w:tc>
          <w:tcPr>
            <w:tcW w:w="1640" w:type="dxa"/>
            <w:vAlign w:val="bottom"/>
          </w:tcPr>
          <w:p>
            <w:pPr>
              <w:jc w:val="right"/>
              <w:spacing w:after="0"/>
              <w:rPr>
                <w:sz w:val="20"/>
                <w:szCs w:val="20"/>
                <w:color w:val="auto"/>
              </w:rPr>
            </w:pPr>
            <w:r>
              <w:rPr>
                <w:rFonts w:ascii="Arial" w:cs="Arial" w:eastAsia="Arial" w:hAnsi="Arial"/>
                <w:sz w:val="16"/>
                <w:szCs w:val="16"/>
                <w:color w:val="auto"/>
              </w:rPr>
              <w:t>INR 5,000,000</w:t>
            </w:r>
          </w:p>
        </w:tc>
        <w:tc>
          <w:tcPr>
            <w:tcW w:w="1180" w:type="dxa"/>
            <w:vAlign w:val="bottom"/>
          </w:tcPr>
          <w:p>
            <w:pPr>
              <w:jc w:val="right"/>
              <w:spacing w:after="0"/>
              <w:rPr>
                <w:sz w:val="20"/>
                <w:szCs w:val="20"/>
                <w:color w:val="auto"/>
              </w:rPr>
            </w:pPr>
            <w:r>
              <w:rPr>
                <w:rFonts w:ascii="Arial" w:cs="Arial" w:eastAsia="Arial" w:hAnsi="Arial"/>
                <w:sz w:val="16"/>
                <w:szCs w:val="16"/>
                <w:color w:val="auto"/>
              </w:rPr>
              <w:t>79,770</w:t>
            </w:r>
          </w:p>
        </w:tc>
        <w:tc>
          <w:tcPr>
            <w:tcW w:w="0" w:type="dxa"/>
            <w:vAlign w:val="bottom"/>
          </w:tcPr>
          <w:p>
            <w:pPr>
              <w:spacing w:after="0"/>
              <w:rPr>
                <w:sz w:val="1"/>
                <w:szCs w:val="1"/>
                <w:color w:val="auto"/>
              </w:rPr>
            </w:pPr>
          </w:p>
        </w:tc>
      </w:tr>
      <w:tr>
        <w:trPr>
          <w:trHeight w:val="257"/>
        </w:trPr>
        <w:tc>
          <w:tcPr>
            <w:tcW w:w="3240" w:type="dxa"/>
            <w:vAlign w:val="bottom"/>
          </w:tcPr>
          <w:p>
            <w:pPr>
              <w:spacing w:after="0"/>
              <w:rPr>
                <w:sz w:val="20"/>
                <w:szCs w:val="20"/>
                <w:color w:val="auto"/>
              </w:rPr>
            </w:pPr>
            <w:r>
              <w:rPr>
                <w:rFonts w:ascii="Arial" w:cs="Arial" w:eastAsia="Arial" w:hAnsi="Arial"/>
                <w:sz w:val="16"/>
                <w:szCs w:val="16"/>
                <w:color w:val="auto"/>
              </w:rPr>
              <w:t>Euronet Services India Pvt. Ltd.</w:t>
            </w:r>
          </w:p>
        </w:tc>
        <w:tc>
          <w:tcPr>
            <w:tcW w:w="1400" w:type="dxa"/>
            <w:vAlign w:val="bottom"/>
          </w:tcPr>
          <w:p>
            <w:pPr>
              <w:ind w:left="160"/>
              <w:spacing w:after="0"/>
              <w:rPr>
                <w:sz w:val="20"/>
                <w:szCs w:val="20"/>
                <w:color w:val="auto"/>
              </w:rPr>
            </w:pPr>
            <w:r>
              <w:rPr>
                <w:rFonts w:ascii="Arial" w:cs="Arial" w:eastAsia="Arial" w:hAnsi="Arial"/>
                <w:sz w:val="16"/>
                <w:szCs w:val="16"/>
                <w:color w:val="auto"/>
              </w:rPr>
              <w:t>Bank of America</w:t>
            </w:r>
          </w:p>
        </w:tc>
        <w:tc>
          <w:tcPr>
            <w:tcW w:w="1620" w:type="dxa"/>
            <w:vAlign w:val="bottom"/>
          </w:tcPr>
          <w:p>
            <w:pPr>
              <w:ind w:left="120"/>
              <w:spacing w:after="0"/>
              <w:rPr>
                <w:sz w:val="20"/>
                <w:szCs w:val="20"/>
                <w:color w:val="auto"/>
              </w:rPr>
            </w:pPr>
            <w:r>
              <w:rPr>
                <w:rFonts w:ascii="Arial" w:cs="Arial" w:eastAsia="Arial" w:hAnsi="Arial"/>
                <w:sz w:val="16"/>
                <w:szCs w:val="16"/>
                <w:color w:val="auto"/>
              </w:rPr>
              <w:t>Bank Guarantee/LC</w:t>
            </w:r>
          </w:p>
        </w:tc>
        <w:tc>
          <w:tcPr>
            <w:tcW w:w="2300" w:type="dxa"/>
            <w:vAlign w:val="bottom"/>
          </w:tcPr>
          <w:p>
            <w:pPr>
              <w:ind w:left="200"/>
              <w:spacing w:after="0"/>
              <w:rPr>
                <w:sz w:val="20"/>
                <w:szCs w:val="20"/>
                <w:color w:val="auto"/>
              </w:rPr>
            </w:pPr>
            <w:r>
              <w:rPr>
                <w:rFonts w:ascii="Arial" w:cs="Arial" w:eastAsia="Arial" w:hAnsi="Arial"/>
                <w:sz w:val="16"/>
                <w:szCs w:val="16"/>
                <w:color w:val="auto"/>
              </w:rPr>
              <w:t>EMD Guarantee</w:t>
            </w:r>
          </w:p>
        </w:tc>
        <w:tc>
          <w:tcPr>
            <w:tcW w:w="1640" w:type="dxa"/>
            <w:vAlign w:val="bottom"/>
          </w:tcPr>
          <w:p>
            <w:pPr>
              <w:jc w:val="right"/>
              <w:spacing w:after="0"/>
              <w:rPr>
                <w:sz w:val="20"/>
                <w:szCs w:val="20"/>
                <w:color w:val="auto"/>
              </w:rPr>
            </w:pPr>
            <w:r>
              <w:rPr>
                <w:rFonts w:ascii="Arial" w:cs="Arial" w:eastAsia="Arial" w:hAnsi="Arial"/>
                <w:sz w:val="16"/>
                <w:szCs w:val="16"/>
                <w:color w:val="auto"/>
              </w:rPr>
              <w:t>INR 5,000,000</w:t>
            </w:r>
          </w:p>
        </w:tc>
        <w:tc>
          <w:tcPr>
            <w:tcW w:w="1180" w:type="dxa"/>
            <w:vAlign w:val="bottom"/>
          </w:tcPr>
          <w:p>
            <w:pPr>
              <w:jc w:val="right"/>
              <w:spacing w:after="0"/>
              <w:rPr>
                <w:sz w:val="20"/>
                <w:szCs w:val="20"/>
                <w:color w:val="auto"/>
              </w:rPr>
            </w:pPr>
            <w:r>
              <w:rPr>
                <w:rFonts w:ascii="Arial" w:cs="Arial" w:eastAsia="Arial" w:hAnsi="Arial"/>
                <w:sz w:val="16"/>
                <w:szCs w:val="16"/>
                <w:color w:val="auto"/>
              </w:rPr>
              <w:t>79,770</w:t>
            </w:r>
          </w:p>
        </w:tc>
        <w:tc>
          <w:tcPr>
            <w:tcW w:w="0" w:type="dxa"/>
            <w:vAlign w:val="bottom"/>
          </w:tcPr>
          <w:p>
            <w:pPr>
              <w:spacing w:after="0"/>
              <w:rPr>
                <w:sz w:val="1"/>
                <w:szCs w:val="1"/>
                <w:color w:val="auto"/>
              </w:rPr>
            </w:pPr>
          </w:p>
        </w:tc>
      </w:tr>
      <w:tr>
        <w:trPr>
          <w:trHeight w:val="257"/>
        </w:trPr>
        <w:tc>
          <w:tcPr>
            <w:tcW w:w="3240" w:type="dxa"/>
            <w:vAlign w:val="bottom"/>
          </w:tcPr>
          <w:p>
            <w:pPr>
              <w:spacing w:after="0"/>
              <w:rPr>
                <w:sz w:val="20"/>
                <w:szCs w:val="20"/>
                <w:color w:val="auto"/>
              </w:rPr>
            </w:pPr>
            <w:r>
              <w:rPr>
                <w:rFonts w:ascii="Arial" w:cs="Arial" w:eastAsia="Arial" w:hAnsi="Arial"/>
                <w:sz w:val="16"/>
                <w:szCs w:val="16"/>
                <w:color w:val="auto"/>
              </w:rPr>
              <w:t>Euronet Services India Pvt. Ltd.</w:t>
            </w:r>
          </w:p>
        </w:tc>
        <w:tc>
          <w:tcPr>
            <w:tcW w:w="1400" w:type="dxa"/>
            <w:vAlign w:val="bottom"/>
          </w:tcPr>
          <w:p>
            <w:pPr>
              <w:ind w:left="160"/>
              <w:spacing w:after="0"/>
              <w:rPr>
                <w:sz w:val="20"/>
                <w:szCs w:val="20"/>
                <w:color w:val="auto"/>
              </w:rPr>
            </w:pPr>
            <w:r>
              <w:rPr>
                <w:rFonts w:ascii="Arial" w:cs="Arial" w:eastAsia="Arial" w:hAnsi="Arial"/>
                <w:sz w:val="16"/>
                <w:szCs w:val="16"/>
                <w:color w:val="auto"/>
              </w:rPr>
              <w:t>Bank of America</w:t>
            </w:r>
          </w:p>
        </w:tc>
        <w:tc>
          <w:tcPr>
            <w:tcW w:w="1620" w:type="dxa"/>
            <w:vAlign w:val="bottom"/>
          </w:tcPr>
          <w:p>
            <w:pPr>
              <w:ind w:left="120"/>
              <w:spacing w:after="0"/>
              <w:rPr>
                <w:sz w:val="20"/>
                <w:szCs w:val="20"/>
                <w:color w:val="auto"/>
              </w:rPr>
            </w:pPr>
            <w:r>
              <w:rPr>
                <w:rFonts w:ascii="Arial" w:cs="Arial" w:eastAsia="Arial" w:hAnsi="Arial"/>
                <w:sz w:val="16"/>
                <w:szCs w:val="16"/>
                <w:color w:val="auto"/>
              </w:rPr>
              <w:t>Bank Guarantee/LC</w:t>
            </w:r>
          </w:p>
        </w:tc>
        <w:tc>
          <w:tcPr>
            <w:tcW w:w="2300" w:type="dxa"/>
            <w:vAlign w:val="bottom"/>
          </w:tcPr>
          <w:p>
            <w:pPr>
              <w:ind w:left="200"/>
              <w:spacing w:after="0"/>
              <w:rPr>
                <w:sz w:val="20"/>
                <w:szCs w:val="20"/>
                <w:color w:val="auto"/>
              </w:rPr>
            </w:pPr>
            <w:r>
              <w:rPr>
                <w:rFonts w:ascii="Arial" w:cs="Arial" w:eastAsia="Arial" w:hAnsi="Arial"/>
                <w:sz w:val="16"/>
                <w:szCs w:val="16"/>
                <w:color w:val="auto"/>
              </w:rPr>
              <w:t>Performance Guarantee</w:t>
            </w:r>
          </w:p>
        </w:tc>
        <w:tc>
          <w:tcPr>
            <w:tcW w:w="1640" w:type="dxa"/>
            <w:vAlign w:val="bottom"/>
          </w:tcPr>
          <w:p>
            <w:pPr>
              <w:jc w:val="right"/>
              <w:spacing w:after="0"/>
              <w:rPr>
                <w:sz w:val="20"/>
                <w:szCs w:val="20"/>
                <w:color w:val="auto"/>
              </w:rPr>
            </w:pPr>
            <w:r>
              <w:rPr>
                <w:rFonts w:ascii="Arial" w:cs="Arial" w:eastAsia="Arial" w:hAnsi="Arial"/>
                <w:sz w:val="16"/>
                <w:szCs w:val="16"/>
                <w:color w:val="auto"/>
              </w:rPr>
              <w:t>INR 1,500,000</w:t>
            </w:r>
          </w:p>
        </w:tc>
        <w:tc>
          <w:tcPr>
            <w:tcW w:w="1180" w:type="dxa"/>
            <w:vAlign w:val="bottom"/>
          </w:tcPr>
          <w:p>
            <w:pPr>
              <w:jc w:val="right"/>
              <w:spacing w:after="0"/>
              <w:rPr>
                <w:sz w:val="20"/>
                <w:szCs w:val="20"/>
                <w:color w:val="auto"/>
              </w:rPr>
            </w:pPr>
            <w:r>
              <w:rPr>
                <w:rFonts w:ascii="Arial" w:cs="Arial" w:eastAsia="Arial" w:hAnsi="Arial"/>
                <w:sz w:val="16"/>
                <w:szCs w:val="16"/>
                <w:color w:val="auto"/>
              </w:rPr>
              <w:t>23,931</w:t>
            </w:r>
          </w:p>
        </w:tc>
        <w:tc>
          <w:tcPr>
            <w:tcW w:w="0" w:type="dxa"/>
            <w:vAlign w:val="bottom"/>
          </w:tcPr>
          <w:p>
            <w:pPr>
              <w:spacing w:after="0"/>
              <w:rPr>
                <w:sz w:val="1"/>
                <w:szCs w:val="1"/>
                <w:color w:val="auto"/>
              </w:rPr>
            </w:pPr>
          </w:p>
        </w:tc>
      </w:tr>
      <w:tr>
        <w:trPr>
          <w:trHeight w:val="257"/>
        </w:trPr>
        <w:tc>
          <w:tcPr>
            <w:tcW w:w="3240" w:type="dxa"/>
            <w:vAlign w:val="bottom"/>
          </w:tcPr>
          <w:p>
            <w:pPr>
              <w:spacing w:after="0"/>
              <w:rPr>
                <w:sz w:val="20"/>
                <w:szCs w:val="20"/>
                <w:color w:val="auto"/>
              </w:rPr>
            </w:pPr>
            <w:r>
              <w:rPr>
                <w:rFonts w:ascii="Arial" w:cs="Arial" w:eastAsia="Arial" w:hAnsi="Arial"/>
                <w:sz w:val="16"/>
                <w:szCs w:val="16"/>
                <w:color w:val="auto"/>
              </w:rPr>
              <w:t>Euronet Services India Pvt. Ltd.</w:t>
            </w:r>
          </w:p>
        </w:tc>
        <w:tc>
          <w:tcPr>
            <w:tcW w:w="1400" w:type="dxa"/>
            <w:vAlign w:val="bottom"/>
          </w:tcPr>
          <w:p>
            <w:pPr>
              <w:ind w:left="160"/>
              <w:spacing w:after="0"/>
              <w:rPr>
                <w:sz w:val="20"/>
                <w:szCs w:val="20"/>
                <w:color w:val="auto"/>
              </w:rPr>
            </w:pPr>
            <w:r>
              <w:rPr>
                <w:rFonts w:ascii="Arial" w:cs="Arial" w:eastAsia="Arial" w:hAnsi="Arial"/>
                <w:sz w:val="16"/>
                <w:szCs w:val="16"/>
                <w:color w:val="auto"/>
              </w:rPr>
              <w:t>Bank of America</w:t>
            </w:r>
          </w:p>
        </w:tc>
        <w:tc>
          <w:tcPr>
            <w:tcW w:w="1620" w:type="dxa"/>
            <w:vAlign w:val="bottom"/>
          </w:tcPr>
          <w:p>
            <w:pPr>
              <w:ind w:left="120"/>
              <w:spacing w:after="0"/>
              <w:rPr>
                <w:sz w:val="20"/>
                <w:szCs w:val="20"/>
                <w:color w:val="auto"/>
              </w:rPr>
            </w:pPr>
            <w:r>
              <w:rPr>
                <w:rFonts w:ascii="Arial" w:cs="Arial" w:eastAsia="Arial" w:hAnsi="Arial"/>
                <w:sz w:val="16"/>
                <w:szCs w:val="16"/>
                <w:color w:val="auto"/>
              </w:rPr>
              <w:t>Bank Guarantee/LC</w:t>
            </w:r>
          </w:p>
        </w:tc>
        <w:tc>
          <w:tcPr>
            <w:tcW w:w="2300" w:type="dxa"/>
            <w:vAlign w:val="bottom"/>
          </w:tcPr>
          <w:p>
            <w:pPr>
              <w:ind w:left="200"/>
              <w:spacing w:after="0"/>
              <w:rPr>
                <w:sz w:val="20"/>
                <w:szCs w:val="20"/>
                <w:color w:val="auto"/>
              </w:rPr>
            </w:pPr>
            <w:r>
              <w:rPr>
                <w:rFonts w:ascii="Arial" w:cs="Arial" w:eastAsia="Arial" w:hAnsi="Arial"/>
                <w:sz w:val="16"/>
                <w:szCs w:val="16"/>
                <w:color w:val="auto"/>
              </w:rPr>
              <w:t>Performance Guarantee</w:t>
            </w:r>
          </w:p>
        </w:tc>
        <w:tc>
          <w:tcPr>
            <w:tcW w:w="1640" w:type="dxa"/>
            <w:vAlign w:val="bottom"/>
          </w:tcPr>
          <w:p>
            <w:pPr>
              <w:jc w:val="right"/>
              <w:spacing w:after="0"/>
              <w:rPr>
                <w:sz w:val="20"/>
                <w:szCs w:val="20"/>
                <w:color w:val="auto"/>
              </w:rPr>
            </w:pPr>
            <w:r>
              <w:rPr>
                <w:rFonts w:ascii="Arial" w:cs="Arial" w:eastAsia="Arial" w:hAnsi="Arial"/>
                <w:sz w:val="16"/>
                <w:szCs w:val="16"/>
                <w:color w:val="auto"/>
              </w:rPr>
              <w:t>INR 1,350,000</w:t>
            </w:r>
          </w:p>
        </w:tc>
        <w:tc>
          <w:tcPr>
            <w:tcW w:w="1180" w:type="dxa"/>
            <w:vAlign w:val="bottom"/>
          </w:tcPr>
          <w:p>
            <w:pPr>
              <w:jc w:val="right"/>
              <w:spacing w:after="0"/>
              <w:rPr>
                <w:sz w:val="20"/>
                <w:szCs w:val="20"/>
                <w:color w:val="auto"/>
              </w:rPr>
            </w:pPr>
            <w:r>
              <w:rPr>
                <w:rFonts w:ascii="Arial" w:cs="Arial" w:eastAsia="Arial" w:hAnsi="Arial"/>
                <w:sz w:val="16"/>
                <w:szCs w:val="16"/>
                <w:color w:val="auto"/>
              </w:rPr>
              <w:t>21,538</w:t>
            </w:r>
          </w:p>
        </w:tc>
        <w:tc>
          <w:tcPr>
            <w:tcW w:w="0" w:type="dxa"/>
            <w:vAlign w:val="bottom"/>
          </w:tcPr>
          <w:p>
            <w:pPr>
              <w:spacing w:after="0"/>
              <w:rPr>
                <w:sz w:val="1"/>
                <w:szCs w:val="1"/>
                <w:color w:val="auto"/>
              </w:rPr>
            </w:pPr>
          </w:p>
        </w:tc>
      </w:tr>
      <w:tr>
        <w:trPr>
          <w:trHeight w:val="257"/>
        </w:trPr>
        <w:tc>
          <w:tcPr>
            <w:tcW w:w="3240" w:type="dxa"/>
            <w:vAlign w:val="bottom"/>
          </w:tcPr>
          <w:p>
            <w:pPr>
              <w:spacing w:after="0"/>
              <w:rPr>
                <w:sz w:val="20"/>
                <w:szCs w:val="20"/>
                <w:color w:val="auto"/>
              </w:rPr>
            </w:pPr>
            <w:r>
              <w:rPr>
                <w:rFonts w:ascii="Arial" w:cs="Arial" w:eastAsia="Arial" w:hAnsi="Arial"/>
                <w:sz w:val="16"/>
                <w:szCs w:val="16"/>
                <w:color w:val="auto"/>
              </w:rPr>
              <w:t>Euronet Services India Pvt. Ltd.</w:t>
            </w:r>
          </w:p>
        </w:tc>
        <w:tc>
          <w:tcPr>
            <w:tcW w:w="1400" w:type="dxa"/>
            <w:vAlign w:val="bottom"/>
          </w:tcPr>
          <w:p>
            <w:pPr>
              <w:ind w:left="160"/>
              <w:spacing w:after="0"/>
              <w:rPr>
                <w:sz w:val="20"/>
                <w:szCs w:val="20"/>
                <w:color w:val="auto"/>
              </w:rPr>
            </w:pPr>
            <w:r>
              <w:rPr>
                <w:rFonts w:ascii="Arial" w:cs="Arial" w:eastAsia="Arial" w:hAnsi="Arial"/>
                <w:sz w:val="16"/>
                <w:szCs w:val="16"/>
                <w:color w:val="auto"/>
              </w:rPr>
              <w:t>Bank of America</w:t>
            </w:r>
          </w:p>
        </w:tc>
        <w:tc>
          <w:tcPr>
            <w:tcW w:w="1620" w:type="dxa"/>
            <w:vAlign w:val="bottom"/>
          </w:tcPr>
          <w:p>
            <w:pPr>
              <w:ind w:left="120"/>
              <w:spacing w:after="0"/>
              <w:rPr>
                <w:sz w:val="20"/>
                <w:szCs w:val="20"/>
                <w:color w:val="auto"/>
              </w:rPr>
            </w:pPr>
            <w:r>
              <w:rPr>
                <w:rFonts w:ascii="Arial" w:cs="Arial" w:eastAsia="Arial" w:hAnsi="Arial"/>
                <w:sz w:val="16"/>
                <w:szCs w:val="16"/>
                <w:color w:val="auto"/>
              </w:rPr>
              <w:t>Bank Guarantee/LC</w:t>
            </w:r>
          </w:p>
        </w:tc>
        <w:tc>
          <w:tcPr>
            <w:tcW w:w="2300" w:type="dxa"/>
            <w:vAlign w:val="bottom"/>
          </w:tcPr>
          <w:p>
            <w:pPr>
              <w:ind w:left="200"/>
              <w:spacing w:after="0"/>
              <w:rPr>
                <w:sz w:val="20"/>
                <w:szCs w:val="20"/>
                <w:color w:val="auto"/>
              </w:rPr>
            </w:pPr>
            <w:r>
              <w:rPr>
                <w:rFonts w:ascii="Arial" w:cs="Arial" w:eastAsia="Arial" w:hAnsi="Arial"/>
                <w:sz w:val="16"/>
                <w:szCs w:val="16"/>
                <w:color w:val="auto"/>
              </w:rPr>
              <w:t>BID Security</w:t>
            </w:r>
          </w:p>
        </w:tc>
        <w:tc>
          <w:tcPr>
            <w:tcW w:w="1640" w:type="dxa"/>
            <w:vAlign w:val="bottom"/>
          </w:tcPr>
          <w:p>
            <w:pPr>
              <w:jc w:val="right"/>
              <w:spacing w:after="0"/>
              <w:rPr>
                <w:sz w:val="20"/>
                <w:szCs w:val="20"/>
                <w:color w:val="auto"/>
              </w:rPr>
            </w:pPr>
            <w:r>
              <w:rPr>
                <w:rFonts w:ascii="Arial" w:cs="Arial" w:eastAsia="Arial" w:hAnsi="Arial"/>
                <w:sz w:val="16"/>
                <w:szCs w:val="16"/>
                <w:color w:val="auto"/>
              </w:rPr>
              <w:t>INR 1,000,000</w:t>
            </w:r>
          </w:p>
        </w:tc>
        <w:tc>
          <w:tcPr>
            <w:tcW w:w="1180" w:type="dxa"/>
            <w:vAlign w:val="bottom"/>
          </w:tcPr>
          <w:p>
            <w:pPr>
              <w:jc w:val="right"/>
              <w:spacing w:after="0"/>
              <w:rPr>
                <w:sz w:val="20"/>
                <w:szCs w:val="20"/>
                <w:color w:val="auto"/>
              </w:rPr>
            </w:pPr>
            <w:r>
              <w:rPr>
                <w:rFonts w:ascii="Arial" w:cs="Arial" w:eastAsia="Arial" w:hAnsi="Arial"/>
                <w:sz w:val="16"/>
                <w:szCs w:val="16"/>
                <w:color w:val="auto"/>
              </w:rPr>
              <w:t>15,954</w:t>
            </w:r>
          </w:p>
        </w:tc>
        <w:tc>
          <w:tcPr>
            <w:tcW w:w="0" w:type="dxa"/>
            <w:vAlign w:val="bottom"/>
          </w:tcPr>
          <w:p>
            <w:pPr>
              <w:spacing w:after="0"/>
              <w:rPr>
                <w:sz w:val="1"/>
                <w:szCs w:val="1"/>
                <w:color w:val="auto"/>
              </w:rPr>
            </w:pPr>
          </w:p>
        </w:tc>
      </w:tr>
      <w:tr>
        <w:trPr>
          <w:trHeight w:val="257"/>
        </w:trPr>
        <w:tc>
          <w:tcPr>
            <w:tcW w:w="3240" w:type="dxa"/>
            <w:vAlign w:val="bottom"/>
          </w:tcPr>
          <w:p>
            <w:pPr>
              <w:spacing w:after="0"/>
              <w:rPr>
                <w:sz w:val="20"/>
                <w:szCs w:val="20"/>
                <w:color w:val="auto"/>
              </w:rPr>
            </w:pPr>
            <w:r>
              <w:rPr>
                <w:rFonts w:ascii="Arial" w:cs="Arial" w:eastAsia="Arial" w:hAnsi="Arial"/>
                <w:sz w:val="16"/>
                <w:szCs w:val="16"/>
                <w:color w:val="auto"/>
              </w:rPr>
              <w:t>Euronet Services India Pvt. Ltd.</w:t>
            </w:r>
          </w:p>
        </w:tc>
        <w:tc>
          <w:tcPr>
            <w:tcW w:w="1400" w:type="dxa"/>
            <w:vAlign w:val="bottom"/>
          </w:tcPr>
          <w:p>
            <w:pPr>
              <w:ind w:left="160"/>
              <w:spacing w:after="0"/>
              <w:rPr>
                <w:sz w:val="20"/>
                <w:szCs w:val="20"/>
                <w:color w:val="auto"/>
              </w:rPr>
            </w:pPr>
            <w:r>
              <w:rPr>
                <w:rFonts w:ascii="Arial" w:cs="Arial" w:eastAsia="Arial" w:hAnsi="Arial"/>
                <w:sz w:val="16"/>
                <w:szCs w:val="16"/>
                <w:color w:val="auto"/>
              </w:rPr>
              <w:t>Bank of America</w:t>
            </w:r>
          </w:p>
        </w:tc>
        <w:tc>
          <w:tcPr>
            <w:tcW w:w="1620" w:type="dxa"/>
            <w:vAlign w:val="bottom"/>
          </w:tcPr>
          <w:p>
            <w:pPr>
              <w:ind w:left="120"/>
              <w:spacing w:after="0"/>
              <w:rPr>
                <w:sz w:val="20"/>
                <w:szCs w:val="20"/>
                <w:color w:val="auto"/>
              </w:rPr>
            </w:pPr>
            <w:r>
              <w:rPr>
                <w:rFonts w:ascii="Arial" w:cs="Arial" w:eastAsia="Arial" w:hAnsi="Arial"/>
                <w:sz w:val="16"/>
                <w:szCs w:val="16"/>
                <w:color w:val="auto"/>
              </w:rPr>
              <w:t>Bank Guarantee/LC</w:t>
            </w:r>
          </w:p>
        </w:tc>
        <w:tc>
          <w:tcPr>
            <w:tcW w:w="2300" w:type="dxa"/>
            <w:vAlign w:val="bottom"/>
          </w:tcPr>
          <w:p>
            <w:pPr>
              <w:ind w:left="200"/>
              <w:spacing w:after="0"/>
              <w:rPr>
                <w:sz w:val="20"/>
                <w:szCs w:val="20"/>
                <w:color w:val="auto"/>
              </w:rPr>
            </w:pPr>
            <w:r>
              <w:rPr>
                <w:rFonts w:ascii="Arial" w:cs="Arial" w:eastAsia="Arial" w:hAnsi="Arial"/>
                <w:sz w:val="16"/>
                <w:szCs w:val="16"/>
                <w:color w:val="auto"/>
              </w:rPr>
              <w:t>Performance Guarantee</w:t>
            </w:r>
          </w:p>
        </w:tc>
        <w:tc>
          <w:tcPr>
            <w:tcW w:w="1640" w:type="dxa"/>
            <w:vAlign w:val="bottom"/>
          </w:tcPr>
          <w:p>
            <w:pPr>
              <w:jc w:val="right"/>
              <w:spacing w:after="0"/>
              <w:rPr>
                <w:sz w:val="20"/>
                <w:szCs w:val="20"/>
                <w:color w:val="auto"/>
              </w:rPr>
            </w:pPr>
            <w:r>
              <w:rPr>
                <w:rFonts w:ascii="Arial" w:cs="Arial" w:eastAsia="Arial" w:hAnsi="Arial"/>
                <w:sz w:val="16"/>
                <w:szCs w:val="16"/>
                <w:color w:val="auto"/>
              </w:rPr>
              <w:t>INR 100,000</w:t>
            </w:r>
          </w:p>
        </w:tc>
        <w:tc>
          <w:tcPr>
            <w:tcW w:w="1180" w:type="dxa"/>
            <w:vAlign w:val="bottom"/>
          </w:tcPr>
          <w:p>
            <w:pPr>
              <w:jc w:val="right"/>
              <w:spacing w:after="0"/>
              <w:rPr>
                <w:sz w:val="20"/>
                <w:szCs w:val="20"/>
                <w:color w:val="auto"/>
              </w:rPr>
            </w:pPr>
            <w:r>
              <w:rPr>
                <w:rFonts w:ascii="Arial" w:cs="Arial" w:eastAsia="Arial" w:hAnsi="Arial"/>
                <w:sz w:val="16"/>
                <w:szCs w:val="16"/>
                <w:color w:val="auto"/>
              </w:rPr>
              <w:t>1,595</w:t>
            </w:r>
          </w:p>
        </w:tc>
        <w:tc>
          <w:tcPr>
            <w:tcW w:w="0" w:type="dxa"/>
            <w:vAlign w:val="bottom"/>
          </w:tcPr>
          <w:p>
            <w:pPr>
              <w:spacing w:after="0"/>
              <w:rPr>
                <w:sz w:val="1"/>
                <w:szCs w:val="1"/>
                <w:color w:val="auto"/>
              </w:rPr>
            </w:pPr>
          </w:p>
        </w:tc>
      </w:tr>
      <w:tr>
        <w:trPr>
          <w:trHeight w:val="257"/>
        </w:trPr>
        <w:tc>
          <w:tcPr>
            <w:tcW w:w="3240" w:type="dxa"/>
            <w:vAlign w:val="bottom"/>
          </w:tcPr>
          <w:p>
            <w:pPr>
              <w:spacing w:after="0"/>
              <w:rPr>
                <w:sz w:val="20"/>
                <w:szCs w:val="20"/>
                <w:color w:val="auto"/>
              </w:rPr>
            </w:pPr>
            <w:r>
              <w:rPr>
                <w:rFonts w:ascii="Arial" w:cs="Arial" w:eastAsia="Arial" w:hAnsi="Arial"/>
                <w:sz w:val="16"/>
                <w:szCs w:val="16"/>
                <w:color w:val="auto"/>
              </w:rPr>
              <w:t>Euronet Services India Pvt. Ltd.</w:t>
            </w:r>
          </w:p>
        </w:tc>
        <w:tc>
          <w:tcPr>
            <w:tcW w:w="1400" w:type="dxa"/>
            <w:vAlign w:val="bottom"/>
          </w:tcPr>
          <w:p>
            <w:pPr>
              <w:ind w:left="160"/>
              <w:spacing w:after="0"/>
              <w:rPr>
                <w:sz w:val="20"/>
                <w:szCs w:val="20"/>
                <w:color w:val="auto"/>
              </w:rPr>
            </w:pPr>
            <w:r>
              <w:rPr>
                <w:rFonts w:ascii="Arial" w:cs="Arial" w:eastAsia="Arial" w:hAnsi="Arial"/>
                <w:sz w:val="16"/>
                <w:szCs w:val="16"/>
                <w:color w:val="auto"/>
              </w:rPr>
              <w:t>Bank of America</w:t>
            </w:r>
          </w:p>
        </w:tc>
        <w:tc>
          <w:tcPr>
            <w:tcW w:w="1620" w:type="dxa"/>
            <w:vAlign w:val="bottom"/>
          </w:tcPr>
          <w:p>
            <w:pPr>
              <w:ind w:left="120"/>
              <w:spacing w:after="0"/>
              <w:rPr>
                <w:sz w:val="20"/>
                <w:szCs w:val="20"/>
                <w:color w:val="auto"/>
              </w:rPr>
            </w:pPr>
            <w:r>
              <w:rPr>
                <w:rFonts w:ascii="Arial" w:cs="Arial" w:eastAsia="Arial" w:hAnsi="Arial"/>
                <w:sz w:val="16"/>
                <w:szCs w:val="16"/>
                <w:color w:val="auto"/>
              </w:rPr>
              <w:t>Bank Guarantee/LC</w:t>
            </w:r>
          </w:p>
        </w:tc>
        <w:tc>
          <w:tcPr>
            <w:tcW w:w="2300" w:type="dxa"/>
            <w:vAlign w:val="bottom"/>
          </w:tcPr>
          <w:p>
            <w:pPr>
              <w:ind w:left="200"/>
              <w:spacing w:after="0"/>
              <w:rPr>
                <w:sz w:val="20"/>
                <w:szCs w:val="20"/>
                <w:color w:val="auto"/>
              </w:rPr>
            </w:pPr>
            <w:r>
              <w:rPr>
                <w:rFonts w:ascii="Arial" w:cs="Arial" w:eastAsia="Arial" w:hAnsi="Arial"/>
                <w:sz w:val="16"/>
                <w:szCs w:val="16"/>
                <w:color w:val="auto"/>
              </w:rPr>
              <w:t>Performance Guarantee</w:t>
            </w:r>
          </w:p>
        </w:tc>
        <w:tc>
          <w:tcPr>
            <w:tcW w:w="1640" w:type="dxa"/>
            <w:vAlign w:val="bottom"/>
          </w:tcPr>
          <w:p>
            <w:pPr>
              <w:jc w:val="right"/>
              <w:spacing w:after="0"/>
              <w:rPr>
                <w:sz w:val="20"/>
                <w:szCs w:val="20"/>
                <w:color w:val="auto"/>
              </w:rPr>
            </w:pPr>
            <w:r>
              <w:rPr>
                <w:rFonts w:ascii="Arial" w:cs="Arial" w:eastAsia="Arial" w:hAnsi="Arial"/>
                <w:sz w:val="16"/>
                <w:szCs w:val="16"/>
                <w:color w:val="auto"/>
              </w:rPr>
              <w:t>INR 100,000</w:t>
            </w:r>
          </w:p>
        </w:tc>
        <w:tc>
          <w:tcPr>
            <w:tcW w:w="1180" w:type="dxa"/>
            <w:vAlign w:val="bottom"/>
          </w:tcPr>
          <w:p>
            <w:pPr>
              <w:jc w:val="right"/>
              <w:spacing w:after="0"/>
              <w:rPr>
                <w:sz w:val="20"/>
                <w:szCs w:val="20"/>
                <w:color w:val="auto"/>
              </w:rPr>
            </w:pPr>
            <w:r>
              <w:rPr>
                <w:rFonts w:ascii="Arial" w:cs="Arial" w:eastAsia="Arial" w:hAnsi="Arial"/>
                <w:sz w:val="16"/>
                <w:szCs w:val="16"/>
                <w:color w:val="auto"/>
              </w:rPr>
              <w:t>1,595</w:t>
            </w:r>
          </w:p>
        </w:tc>
        <w:tc>
          <w:tcPr>
            <w:tcW w:w="0" w:type="dxa"/>
            <w:vAlign w:val="bottom"/>
          </w:tcPr>
          <w:p>
            <w:pPr>
              <w:spacing w:after="0"/>
              <w:rPr>
                <w:sz w:val="1"/>
                <w:szCs w:val="1"/>
                <w:color w:val="auto"/>
              </w:rPr>
            </w:pPr>
          </w:p>
        </w:tc>
      </w:tr>
      <w:tr>
        <w:trPr>
          <w:trHeight w:val="257"/>
        </w:trPr>
        <w:tc>
          <w:tcPr>
            <w:tcW w:w="3240" w:type="dxa"/>
            <w:vAlign w:val="bottom"/>
          </w:tcPr>
          <w:p>
            <w:pPr>
              <w:spacing w:after="0"/>
              <w:rPr>
                <w:sz w:val="20"/>
                <w:szCs w:val="20"/>
                <w:color w:val="auto"/>
              </w:rPr>
            </w:pPr>
            <w:r>
              <w:rPr>
                <w:rFonts w:ascii="Arial" w:cs="Arial" w:eastAsia="Arial" w:hAnsi="Arial"/>
                <w:sz w:val="16"/>
                <w:szCs w:val="16"/>
                <w:color w:val="auto"/>
              </w:rPr>
              <w:t>Euronet Services India Pvt. Ltd.</w:t>
            </w:r>
          </w:p>
        </w:tc>
        <w:tc>
          <w:tcPr>
            <w:tcW w:w="1400" w:type="dxa"/>
            <w:vAlign w:val="bottom"/>
          </w:tcPr>
          <w:p>
            <w:pPr>
              <w:ind w:left="160"/>
              <w:spacing w:after="0"/>
              <w:rPr>
                <w:sz w:val="20"/>
                <w:szCs w:val="20"/>
                <w:color w:val="auto"/>
              </w:rPr>
            </w:pPr>
            <w:r>
              <w:rPr>
                <w:rFonts w:ascii="Arial" w:cs="Arial" w:eastAsia="Arial" w:hAnsi="Arial"/>
                <w:sz w:val="16"/>
                <w:szCs w:val="16"/>
                <w:color w:val="auto"/>
              </w:rPr>
              <w:t>Bank of America</w:t>
            </w:r>
          </w:p>
        </w:tc>
        <w:tc>
          <w:tcPr>
            <w:tcW w:w="1620" w:type="dxa"/>
            <w:vAlign w:val="bottom"/>
          </w:tcPr>
          <w:p>
            <w:pPr>
              <w:ind w:left="120"/>
              <w:spacing w:after="0"/>
              <w:rPr>
                <w:sz w:val="20"/>
                <w:szCs w:val="20"/>
                <w:color w:val="auto"/>
              </w:rPr>
            </w:pPr>
            <w:r>
              <w:rPr>
                <w:rFonts w:ascii="Arial" w:cs="Arial" w:eastAsia="Arial" w:hAnsi="Arial"/>
                <w:sz w:val="16"/>
                <w:szCs w:val="16"/>
                <w:color w:val="auto"/>
              </w:rPr>
              <w:t>Bank Guarantee/LC</w:t>
            </w:r>
          </w:p>
        </w:tc>
        <w:tc>
          <w:tcPr>
            <w:tcW w:w="2300" w:type="dxa"/>
            <w:vAlign w:val="bottom"/>
          </w:tcPr>
          <w:p>
            <w:pPr>
              <w:ind w:left="200"/>
              <w:spacing w:after="0"/>
              <w:rPr>
                <w:sz w:val="20"/>
                <w:szCs w:val="20"/>
                <w:color w:val="auto"/>
              </w:rPr>
            </w:pPr>
            <w:r>
              <w:rPr>
                <w:rFonts w:ascii="Arial" w:cs="Arial" w:eastAsia="Arial" w:hAnsi="Arial"/>
                <w:sz w:val="16"/>
                <w:szCs w:val="16"/>
                <w:color w:val="auto"/>
              </w:rPr>
              <w:t>Performance Guarantee</w:t>
            </w:r>
          </w:p>
        </w:tc>
        <w:tc>
          <w:tcPr>
            <w:tcW w:w="1640" w:type="dxa"/>
            <w:vAlign w:val="bottom"/>
          </w:tcPr>
          <w:p>
            <w:pPr>
              <w:jc w:val="right"/>
              <w:spacing w:after="0"/>
              <w:rPr>
                <w:sz w:val="20"/>
                <w:szCs w:val="20"/>
                <w:color w:val="auto"/>
              </w:rPr>
            </w:pPr>
            <w:r>
              <w:rPr>
                <w:rFonts w:ascii="Arial" w:cs="Arial" w:eastAsia="Arial" w:hAnsi="Arial"/>
                <w:sz w:val="16"/>
                <w:szCs w:val="16"/>
                <w:color w:val="auto"/>
              </w:rPr>
              <w:t>INR 100,000</w:t>
            </w:r>
          </w:p>
        </w:tc>
        <w:tc>
          <w:tcPr>
            <w:tcW w:w="1180" w:type="dxa"/>
            <w:vAlign w:val="bottom"/>
          </w:tcPr>
          <w:p>
            <w:pPr>
              <w:jc w:val="right"/>
              <w:spacing w:after="0"/>
              <w:rPr>
                <w:sz w:val="20"/>
                <w:szCs w:val="20"/>
                <w:color w:val="auto"/>
              </w:rPr>
            </w:pPr>
            <w:r>
              <w:rPr>
                <w:rFonts w:ascii="Arial" w:cs="Arial" w:eastAsia="Arial" w:hAnsi="Arial"/>
                <w:sz w:val="16"/>
                <w:szCs w:val="16"/>
                <w:color w:val="auto"/>
              </w:rPr>
              <w:t>1,595</w:t>
            </w:r>
          </w:p>
        </w:tc>
        <w:tc>
          <w:tcPr>
            <w:tcW w:w="0" w:type="dxa"/>
            <w:vAlign w:val="bottom"/>
          </w:tcPr>
          <w:p>
            <w:pPr>
              <w:spacing w:after="0"/>
              <w:rPr>
                <w:sz w:val="1"/>
                <w:szCs w:val="1"/>
                <w:color w:val="auto"/>
              </w:rPr>
            </w:pPr>
          </w:p>
        </w:tc>
      </w:tr>
      <w:tr>
        <w:trPr>
          <w:trHeight w:val="257"/>
        </w:trPr>
        <w:tc>
          <w:tcPr>
            <w:tcW w:w="3240" w:type="dxa"/>
            <w:vAlign w:val="bottom"/>
          </w:tcPr>
          <w:p>
            <w:pPr>
              <w:spacing w:after="0"/>
              <w:rPr>
                <w:sz w:val="20"/>
                <w:szCs w:val="20"/>
                <w:color w:val="auto"/>
              </w:rPr>
            </w:pPr>
            <w:r>
              <w:rPr>
                <w:rFonts w:ascii="Arial" w:cs="Arial" w:eastAsia="Arial" w:hAnsi="Arial"/>
                <w:sz w:val="16"/>
                <w:szCs w:val="16"/>
                <w:color w:val="auto"/>
              </w:rPr>
              <w:t>Euronet Services India Pvt. Ltd.</w:t>
            </w:r>
          </w:p>
        </w:tc>
        <w:tc>
          <w:tcPr>
            <w:tcW w:w="1400" w:type="dxa"/>
            <w:vAlign w:val="bottom"/>
          </w:tcPr>
          <w:p>
            <w:pPr>
              <w:ind w:left="160"/>
              <w:spacing w:after="0"/>
              <w:rPr>
                <w:sz w:val="20"/>
                <w:szCs w:val="20"/>
                <w:color w:val="auto"/>
              </w:rPr>
            </w:pPr>
            <w:r>
              <w:rPr>
                <w:rFonts w:ascii="Arial" w:cs="Arial" w:eastAsia="Arial" w:hAnsi="Arial"/>
                <w:sz w:val="16"/>
                <w:szCs w:val="16"/>
                <w:color w:val="auto"/>
              </w:rPr>
              <w:t>Bank of America</w:t>
            </w:r>
          </w:p>
        </w:tc>
        <w:tc>
          <w:tcPr>
            <w:tcW w:w="1620" w:type="dxa"/>
            <w:vAlign w:val="bottom"/>
          </w:tcPr>
          <w:p>
            <w:pPr>
              <w:ind w:left="120"/>
              <w:spacing w:after="0"/>
              <w:rPr>
                <w:sz w:val="20"/>
                <w:szCs w:val="20"/>
                <w:color w:val="auto"/>
              </w:rPr>
            </w:pPr>
            <w:r>
              <w:rPr>
                <w:rFonts w:ascii="Arial" w:cs="Arial" w:eastAsia="Arial" w:hAnsi="Arial"/>
                <w:sz w:val="16"/>
                <w:szCs w:val="16"/>
                <w:color w:val="auto"/>
              </w:rPr>
              <w:t>Bank Guarantee/LC</w:t>
            </w:r>
          </w:p>
        </w:tc>
        <w:tc>
          <w:tcPr>
            <w:tcW w:w="2300" w:type="dxa"/>
            <w:vAlign w:val="bottom"/>
          </w:tcPr>
          <w:p>
            <w:pPr>
              <w:ind w:left="200"/>
              <w:spacing w:after="0"/>
              <w:rPr>
                <w:sz w:val="20"/>
                <w:szCs w:val="20"/>
                <w:color w:val="auto"/>
              </w:rPr>
            </w:pPr>
            <w:r>
              <w:rPr>
                <w:rFonts w:ascii="Arial" w:cs="Arial" w:eastAsia="Arial" w:hAnsi="Arial"/>
                <w:sz w:val="16"/>
                <w:szCs w:val="16"/>
                <w:color w:val="auto"/>
              </w:rPr>
              <w:t>Performance Guarantee</w:t>
            </w:r>
          </w:p>
        </w:tc>
        <w:tc>
          <w:tcPr>
            <w:tcW w:w="1640" w:type="dxa"/>
            <w:vAlign w:val="bottom"/>
          </w:tcPr>
          <w:p>
            <w:pPr>
              <w:jc w:val="right"/>
              <w:spacing w:after="0"/>
              <w:rPr>
                <w:sz w:val="20"/>
                <w:szCs w:val="20"/>
                <w:color w:val="auto"/>
              </w:rPr>
            </w:pPr>
            <w:r>
              <w:rPr>
                <w:rFonts w:ascii="Arial" w:cs="Arial" w:eastAsia="Arial" w:hAnsi="Arial"/>
                <w:sz w:val="16"/>
                <w:szCs w:val="16"/>
                <w:color w:val="auto"/>
              </w:rPr>
              <w:t>INR 100,000</w:t>
            </w:r>
          </w:p>
        </w:tc>
        <w:tc>
          <w:tcPr>
            <w:tcW w:w="1180" w:type="dxa"/>
            <w:vAlign w:val="bottom"/>
          </w:tcPr>
          <w:p>
            <w:pPr>
              <w:jc w:val="right"/>
              <w:spacing w:after="0"/>
              <w:rPr>
                <w:sz w:val="20"/>
                <w:szCs w:val="20"/>
                <w:color w:val="auto"/>
              </w:rPr>
            </w:pPr>
            <w:r>
              <w:rPr>
                <w:rFonts w:ascii="Arial" w:cs="Arial" w:eastAsia="Arial" w:hAnsi="Arial"/>
                <w:sz w:val="16"/>
                <w:szCs w:val="16"/>
                <w:color w:val="auto"/>
              </w:rPr>
              <w:t>1,595</w:t>
            </w:r>
          </w:p>
        </w:tc>
        <w:tc>
          <w:tcPr>
            <w:tcW w:w="0" w:type="dxa"/>
            <w:vAlign w:val="bottom"/>
          </w:tcPr>
          <w:p>
            <w:pPr>
              <w:spacing w:after="0"/>
              <w:rPr>
                <w:sz w:val="1"/>
                <w:szCs w:val="1"/>
                <w:color w:val="auto"/>
              </w:rPr>
            </w:pPr>
          </w:p>
        </w:tc>
      </w:tr>
      <w:tr>
        <w:trPr>
          <w:trHeight w:val="257"/>
        </w:trPr>
        <w:tc>
          <w:tcPr>
            <w:tcW w:w="3240" w:type="dxa"/>
            <w:vAlign w:val="bottom"/>
          </w:tcPr>
          <w:p>
            <w:pPr>
              <w:spacing w:after="0"/>
              <w:rPr>
                <w:sz w:val="20"/>
                <w:szCs w:val="20"/>
                <w:color w:val="auto"/>
              </w:rPr>
            </w:pPr>
            <w:r>
              <w:rPr>
                <w:rFonts w:ascii="Arial" w:cs="Arial" w:eastAsia="Arial" w:hAnsi="Arial"/>
                <w:sz w:val="16"/>
                <w:szCs w:val="16"/>
                <w:color w:val="auto"/>
              </w:rPr>
              <w:t>Euronet Services India Pvt. Ltd.</w:t>
            </w:r>
          </w:p>
        </w:tc>
        <w:tc>
          <w:tcPr>
            <w:tcW w:w="1400" w:type="dxa"/>
            <w:vAlign w:val="bottom"/>
          </w:tcPr>
          <w:p>
            <w:pPr>
              <w:ind w:left="160"/>
              <w:spacing w:after="0"/>
              <w:rPr>
                <w:sz w:val="20"/>
                <w:szCs w:val="20"/>
                <w:color w:val="auto"/>
              </w:rPr>
            </w:pPr>
            <w:r>
              <w:rPr>
                <w:rFonts w:ascii="Arial" w:cs="Arial" w:eastAsia="Arial" w:hAnsi="Arial"/>
                <w:sz w:val="16"/>
                <w:szCs w:val="16"/>
                <w:color w:val="auto"/>
              </w:rPr>
              <w:t>Bank of America</w:t>
            </w:r>
          </w:p>
        </w:tc>
        <w:tc>
          <w:tcPr>
            <w:tcW w:w="1620" w:type="dxa"/>
            <w:vAlign w:val="bottom"/>
          </w:tcPr>
          <w:p>
            <w:pPr>
              <w:ind w:left="120"/>
              <w:spacing w:after="0"/>
              <w:rPr>
                <w:sz w:val="20"/>
                <w:szCs w:val="20"/>
                <w:color w:val="auto"/>
              </w:rPr>
            </w:pPr>
            <w:r>
              <w:rPr>
                <w:rFonts w:ascii="Arial" w:cs="Arial" w:eastAsia="Arial" w:hAnsi="Arial"/>
                <w:sz w:val="16"/>
                <w:szCs w:val="16"/>
                <w:color w:val="auto"/>
              </w:rPr>
              <w:t>Bank Guarantee/LC</w:t>
            </w:r>
          </w:p>
        </w:tc>
        <w:tc>
          <w:tcPr>
            <w:tcW w:w="2300" w:type="dxa"/>
            <w:vAlign w:val="bottom"/>
          </w:tcPr>
          <w:p>
            <w:pPr>
              <w:ind w:left="200"/>
              <w:spacing w:after="0"/>
              <w:rPr>
                <w:sz w:val="20"/>
                <w:szCs w:val="20"/>
                <w:color w:val="auto"/>
              </w:rPr>
            </w:pPr>
            <w:r>
              <w:rPr>
                <w:rFonts w:ascii="Arial" w:cs="Arial" w:eastAsia="Arial" w:hAnsi="Arial"/>
                <w:sz w:val="16"/>
                <w:szCs w:val="16"/>
                <w:color w:val="auto"/>
              </w:rPr>
              <w:t>Performance Guarantee</w:t>
            </w:r>
          </w:p>
        </w:tc>
        <w:tc>
          <w:tcPr>
            <w:tcW w:w="1640" w:type="dxa"/>
            <w:vAlign w:val="bottom"/>
          </w:tcPr>
          <w:p>
            <w:pPr>
              <w:jc w:val="right"/>
              <w:spacing w:after="0"/>
              <w:rPr>
                <w:sz w:val="20"/>
                <w:szCs w:val="20"/>
                <w:color w:val="auto"/>
              </w:rPr>
            </w:pPr>
            <w:r>
              <w:rPr>
                <w:rFonts w:ascii="Arial" w:cs="Arial" w:eastAsia="Arial" w:hAnsi="Arial"/>
                <w:sz w:val="16"/>
                <w:szCs w:val="16"/>
                <w:color w:val="auto"/>
              </w:rPr>
              <w:t>INR 100,000</w:t>
            </w:r>
          </w:p>
        </w:tc>
        <w:tc>
          <w:tcPr>
            <w:tcW w:w="1180" w:type="dxa"/>
            <w:vAlign w:val="bottom"/>
          </w:tcPr>
          <w:p>
            <w:pPr>
              <w:jc w:val="right"/>
              <w:spacing w:after="0"/>
              <w:rPr>
                <w:sz w:val="20"/>
                <w:szCs w:val="20"/>
                <w:color w:val="auto"/>
              </w:rPr>
            </w:pPr>
            <w:r>
              <w:rPr>
                <w:rFonts w:ascii="Arial" w:cs="Arial" w:eastAsia="Arial" w:hAnsi="Arial"/>
                <w:sz w:val="16"/>
                <w:szCs w:val="16"/>
                <w:color w:val="auto"/>
              </w:rPr>
              <w:t>1,595</w:t>
            </w:r>
          </w:p>
        </w:tc>
        <w:tc>
          <w:tcPr>
            <w:tcW w:w="0" w:type="dxa"/>
            <w:vAlign w:val="bottom"/>
          </w:tcPr>
          <w:p>
            <w:pPr>
              <w:spacing w:after="0"/>
              <w:rPr>
                <w:sz w:val="1"/>
                <w:szCs w:val="1"/>
                <w:color w:val="auto"/>
              </w:rPr>
            </w:pPr>
          </w:p>
        </w:tc>
      </w:tr>
    </w:tbl>
    <w:p>
      <w:pPr>
        <w:sectPr>
          <w:pgSz w:w="11900" w:h="16838" w:orient="portrait"/>
          <w:cols w:equalWidth="0" w:num="1">
            <w:col w:w="11380"/>
          </w:cols>
          <w:pgMar w:left="280" w:top="544" w:right="239" w:bottom="1440" w:gutter="0" w:footer="0" w:header="0"/>
        </w:sectPr>
      </w:pPr>
    </w:p>
    <w:bookmarkStart w:id="286" w:name="page287"/>
    <w:bookmarkEnd w:id="286"/>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3240" w:type="dxa"/>
            <w:vAlign w:val="bottom"/>
          </w:tcPr>
          <w:p>
            <w:pPr>
              <w:spacing w:after="0"/>
              <w:rPr>
                <w:sz w:val="20"/>
                <w:szCs w:val="20"/>
                <w:color w:val="auto"/>
              </w:rPr>
            </w:pPr>
            <w:r>
              <w:rPr>
                <w:rFonts w:ascii="Arial" w:cs="Arial" w:eastAsia="Arial" w:hAnsi="Arial"/>
                <w:sz w:val="16"/>
                <w:szCs w:val="16"/>
                <w:color w:val="auto"/>
              </w:rPr>
              <w:t>Euronet Services India Pvt. Ltd.</w:t>
            </w:r>
          </w:p>
        </w:tc>
        <w:tc>
          <w:tcPr>
            <w:tcW w:w="1440" w:type="dxa"/>
            <w:vAlign w:val="bottom"/>
          </w:tcPr>
          <w:p>
            <w:pPr>
              <w:ind w:left="160"/>
              <w:spacing w:after="0"/>
              <w:rPr>
                <w:sz w:val="20"/>
                <w:szCs w:val="20"/>
                <w:color w:val="auto"/>
              </w:rPr>
            </w:pPr>
            <w:r>
              <w:rPr>
                <w:rFonts w:ascii="Arial" w:cs="Arial" w:eastAsia="Arial" w:hAnsi="Arial"/>
                <w:sz w:val="16"/>
                <w:szCs w:val="16"/>
                <w:color w:val="auto"/>
              </w:rPr>
              <w:t>Bank of America</w:t>
            </w:r>
          </w:p>
        </w:tc>
        <w:tc>
          <w:tcPr>
            <w:tcW w:w="1580" w:type="dxa"/>
            <w:vAlign w:val="bottom"/>
          </w:tcPr>
          <w:p>
            <w:pPr>
              <w:ind w:left="80"/>
              <w:spacing w:after="0"/>
              <w:rPr>
                <w:sz w:val="20"/>
                <w:szCs w:val="20"/>
                <w:color w:val="auto"/>
              </w:rPr>
            </w:pPr>
            <w:r>
              <w:rPr>
                <w:rFonts w:ascii="Arial" w:cs="Arial" w:eastAsia="Arial" w:hAnsi="Arial"/>
                <w:sz w:val="16"/>
                <w:szCs w:val="16"/>
                <w:color w:val="auto"/>
              </w:rPr>
              <w:t>Bank Guarantee/LC</w:t>
            </w:r>
          </w:p>
        </w:tc>
        <w:tc>
          <w:tcPr>
            <w:tcW w:w="2520" w:type="dxa"/>
            <w:vAlign w:val="bottom"/>
          </w:tcPr>
          <w:p>
            <w:pPr>
              <w:ind w:left="200"/>
              <w:spacing w:after="0"/>
              <w:rPr>
                <w:sz w:val="20"/>
                <w:szCs w:val="20"/>
                <w:color w:val="auto"/>
              </w:rPr>
            </w:pPr>
            <w:r>
              <w:rPr>
                <w:rFonts w:ascii="Arial" w:cs="Arial" w:eastAsia="Arial" w:hAnsi="Arial"/>
                <w:sz w:val="16"/>
                <w:szCs w:val="16"/>
                <w:color w:val="auto"/>
              </w:rPr>
              <w:t>Performance Guarantee</w:t>
            </w:r>
          </w:p>
        </w:tc>
        <w:tc>
          <w:tcPr>
            <w:tcW w:w="1420" w:type="dxa"/>
            <w:vAlign w:val="bottom"/>
          </w:tcPr>
          <w:p>
            <w:pPr>
              <w:jc w:val="right"/>
              <w:spacing w:after="0"/>
              <w:rPr>
                <w:sz w:val="20"/>
                <w:szCs w:val="20"/>
                <w:color w:val="auto"/>
              </w:rPr>
            </w:pPr>
            <w:r>
              <w:rPr>
                <w:rFonts w:ascii="Arial" w:cs="Arial" w:eastAsia="Arial" w:hAnsi="Arial"/>
                <w:sz w:val="16"/>
                <w:szCs w:val="16"/>
                <w:color w:val="auto"/>
              </w:rPr>
              <w:t>INR 100,000</w:t>
            </w:r>
          </w:p>
        </w:tc>
        <w:tc>
          <w:tcPr>
            <w:tcW w:w="1180" w:type="dxa"/>
            <w:vAlign w:val="bottom"/>
          </w:tcPr>
          <w:p>
            <w:pPr>
              <w:jc w:val="right"/>
              <w:spacing w:after="0"/>
              <w:rPr>
                <w:sz w:val="20"/>
                <w:szCs w:val="20"/>
                <w:color w:val="auto"/>
              </w:rPr>
            </w:pPr>
            <w:r>
              <w:rPr>
                <w:rFonts w:ascii="Arial" w:cs="Arial" w:eastAsia="Arial" w:hAnsi="Arial"/>
                <w:sz w:val="16"/>
                <w:szCs w:val="16"/>
                <w:color w:val="auto"/>
              </w:rPr>
              <w:t>1,595</w:t>
            </w:r>
          </w:p>
        </w:tc>
      </w:tr>
      <w:tr>
        <w:trPr>
          <w:trHeight w:val="257"/>
        </w:trPr>
        <w:tc>
          <w:tcPr>
            <w:tcW w:w="3240" w:type="dxa"/>
            <w:vAlign w:val="bottom"/>
          </w:tcPr>
          <w:p>
            <w:pPr>
              <w:spacing w:after="0"/>
              <w:rPr>
                <w:sz w:val="20"/>
                <w:szCs w:val="20"/>
                <w:color w:val="auto"/>
              </w:rPr>
            </w:pPr>
            <w:r>
              <w:rPr>
                <w:rFonts w:ascii="Arial" w:cs="Arial" w:eastAsia="Arial" w:hAnsi="Arial"/>
                <w:sz w:val="16"/>
                <w:szCs w:val="16"/>
                <w:color w:val="auto"/>
              </w:rPr>
              <w:t>Euronet Services India Pvt. Ltd.</w:t>
            </w:r>
          </w:p>
        </w:tc>
        <w:tc>
          <w:tcPr>
            <w:tcW w:w="1440" w:type="dxa"/>
            <w:vAlign w:val="bottom"/>
          </w:tcPr>
          <w:p>
            <w:pPr>
              <w:ind w:left="160"/>
              <w:spacing w:after="0"/>
              <w:rPr>
                <w:sz w:val="20"/>
                <w:szCs w:val="20"/>
                <w:color w:val="auto"/>
              </w:rPr>
            </w:pPr>
            <w:r>
              <w:rPr>
                <w:rFonts w:ascii="Arial" w:cs="Arial" w:eastAsia="Arial" w:hAnsi="Arial"/>
                <w:sz w:val="16"/>
                <w:szCs w:val="16"/>
                <w:color w:val="auto"/>
              </w:rPr>
              <w:t>Bank of America</w:t>
            </w:r>
          </w:p>
        </w:tc>
        <w:tc>
          <w:tcPr>
            <w:tcW w:w="1580" w:type="dxa"/>
            <w:vAlign w:val="bottom"/>
          </w:tcPr>
          <w:p>
            <w:pPr>
              <w:ind w:left="80"/>
              <w:spacing w:after="0"/>
              <w:rPr>
                <w:sz w:val="20"/>
                <w:szCs w:val="20"/>
                <w:color w:val="auto"/>
              </w:rPr>
            </w:pPr>
            <w:r>
              <w:rPr>
                <w:rFonts w:ascii="Arial" w:cs="Arial" w:eastAsia="Arial" w:hAnsi="Arial"/>
                <w:sz w:val="16"/>
                <w:szCs w:val="16"/>
                <w:color w:val="auto"/>
              </w:rPr>
              <w:t>Bank Guarantee/LC</w:t>
            </w:r>
          </w:p>
        </w:tc>
        <w:tc>
          <w:tcPr>
            <w:tcW w:w="2520" w:type="dxa"/>
            <w:vAlign w:val="bottom"/>
          </w:tcPr>
          <w:p>
            <w:pPr>
              <w:ind w:left="200"/>
              <w:spacing w:after="0"/>
              <w:rPr>
                <w:sz w:val="20"/>
                <w:szCs w:val="20"/>
                <w:color w:val="auto"/>
              </w:rPr>
            </w:pPr>
            <w:r>
              <w:rPr>
                <w:rFonts w:ascii="Arial" w:cs="Arial" w:eastAsia="Arial" w:hAnsi="Arial"/>
                <w:sz w:val="16"/>
                <w:szCs w:val="16"/>
                <w:color w:val="auto"/>
              </w:rPr>
              <w:t>Performance Guarantee</w:t>
            </w:r>
          </w:p>
        </w:tc>
        <w:tc>
          <w:tcPr>
            <w:tcW w:w="1420" w:type="dxa"/>
            <w:vAlign w:val="bottom"/>
          </w:tcPr>
          <w:p>
            <w:pPr>
              <w:jc w:val="right"/>
              <w:spacing w:after="0"/>
              <w:rPr>
                <w:sz w:val="20"/>
                <w:szCs w:val="20"/>
                <w:color w:val="auto"/>
              </w:rPr>
            </w:pPr>
            <w:r>
              <w:rPr>
                <w:rFonts w:ascii="Arial" w:cs="Arial" w:eastAsia="Arial" w:hAnsi="Arial"/>
                <w:sz w:val="16"/>
                <w:szCs w:val="16"/>
                <w:color w:val="auto"/>
              </w:rPr>
              <w:t>INR 100,000</w:t>
            </w:r>
          </w:p>
        </w:tc>
        <w:tc>
          <w:tcPr>
            <w:tcW w:w="1180" w:type="dxa"/>
            <w:vAlign w:val="bottom"/>
          </w:tcPr>
          <w:p>
            <w:pPr>
              <w:jc w:val="right"/>
              <w:spacing w:after="0"/>
              <w:rPr>
                <w:sz w:val="20"/>
                <w:szCs w:val="20"/>
                <w:color w:val="auto"/>
              </w:rPr>
            </w:pPr>
            <w:r>
              <w:rPr>
                <w:rFonts w:ascii="Arial" w:cs="Arial" w:eastAsia="Arial" w:hAnsi="Arial"/>
                <w:sz w:val="16"/>
                <w:szCs w:val="16"/>
                <w:color w:val="auto"/>
              </w:rPr>
              <w:t>1,595</w:t>
            </w:r>
          </w:p>
        </w:tc>
      </w:tr>
      <w:tr>
        <w:trPr>
          <w:trHeight w:val="257"/>
        </w:trPr>
        <w:tc>
          <w:tcPr>
            <w:tcW w:w="3240" w:type="dxa"/>
            <w:vAlign w:val="bottom"/>
          </w:tcPr>
          <w:p>
            <w:pPr>
              <w:spacing w:after="0"/>
              <w:rPr>
                <w:sz w:val="20"/>
                <w:szCs w:val="20"/>
                <w:color w:val="auto"/>
              </w:rPr>
            </w:pPr>
            <w:r>
              <w:rPr>
                <w:rFonts w:ascii="Arial" w:cs="Arial" w:eastAsia="Arial" w:hAnsi="Arial"/>
                <w:sz w:val="16"/>
                <w:szCs w:val="16"/>
                <w:color w:val="auto"/>
              </w:rPr>
              <w:t>Euronet Services India Pvt. Ltd.</w:t>
            </w:r>
          </w:p>
        </w:tc>
        <w:tc>
          <w:tcPr>
            <w:tcW w:w="1440" w:type="dxa"/>
            <w:vAlign w:val="bottom"/>
          </w:tcPr>
          <w:p>
            <w:pPr>
              <w:ind w:left="160"/>
              <w:spacing w:after="0"/>
              <w:rPr>
                <w:sz w:val="20"/>
                <w:szCs w:val="20"/>
                <w:color w:val="auto"/>
              </w:rPr>
            </w:pPr>
            <w:r>
              <w:rPr>
                <w:rFonts w:ascii="Arial" w:cs="Arial" w:eastAsia="Arial" w:hAnsi="Arial"/>
                <w:sz w:val="16"/>
                <w:szCs w:val="16"/>
                <w:color w:val="auto"/>
              </w:rPr>
              <w:t>Bank of America</w:t>
            </w:r>
          </w:p>
        </w:tc>
        <w:tc>
          <w:tcPr>
            <w:tcW w:w="1580" w:type="dxa"/>
            <w:vAlign w:val="bottom"/>
          </w:tcPr>
          <w:p>
            <w:pPr>
              <w:ind w:left="80"/>
              <w:spacing w:after="0"/>
              <w:rPr>
                <w:sz w:val="20"/>
                <w:szCs w:val="20"/>
                <w:color w:val="auto"/>
              </w:rPr>
            </w:pPr>
            <w:r>
              <w:rPr>
                <w:rFonts w:ascii="Arial" w:cs="Arial" w:eastAsia="Arial" w:hAnsi="Arial"/>
                <w:sz w:val="16"/>
                <w:szCs w:val="16"/>
                <w:color w:val="auto"/>
              </w:rPr>
              <w:t>Bank Guarantee/LC</w:t>
            </w:r>
          </w:p>
        </w:tc>
        <w:tc>
          <w:tcPr>
            <w:tcW w:w="2520" w:type="dxa"/>
            <w:vAlign w:val="bottom"/>
          </w:tcPr>
          <w:p>
            <w:pPr>
              <w:ind w:left="200"/>
              <w:spacing w:after="0"/>
              <w:rPr>
                <w:sz w:val="20"/>
                <w:szCs w:val="20"/>
                <w:color w:val="auto"/>
              </w:rPr>
            </w:pPr>
            <w:r>
              <w:rPr>
                <w:rFonts w:ascii="Arial" w:cs="Arial" w:eastAsia="Arial" w:hAnsi="Arial"/>
                <w:sz w:val="16"/>
                <w:szCs w:val="16"/>
                <w:color w:val="auto"/>
              </w:rPr>
              <w:t>Performance Guarantee</w:t>
            </w:r>
          </w:p>
        </w:tc>
        <w:tc>
          <w:tcPr>
            <w:tcW w:w="1420" w:type="dxa"/>
            <w:vAlign w:val="bottom"/>
          </w:tcPr>
          <w:p>
            <w:pPr>
              <w:jc w:val="right"/>
              <w:spacing w:after="0"/>
              <w:rPr>
                <w:sz w:val="20"/>
                <w:szCs w:val="20"/>
                <w:color w:val="auto"/>
              </w:rPr>
            </w:pPr>
            <w:r>
              <w:rPr>
                <w:rFonts w:ascii="Arial" w:cs="Arial" w:eastAsia="Arial" w:hAnsi="Arial"/>
                <w:sz w:val="16"/>
                <w:szCs w:val="16"/>
                <w:color w:val="auto"/>
              </w:rPr>
              <w:t>INR 100,000</w:t>
            </w:r>
          </w:p>
        </w:tc>
        <w:tc>
          <w:tcPr>
            <w:tcW w:w="1180" w:type="dxa"/>
            <w:vAlign w:val="bottom"/>
          </w:tcPr>
          <w:p>
            <w:pPr>
              <w:jc w:val="right"/>
              <w:spacing w:after="0"/>
              <w:rPr>
                <w:sz w:val="20"/>
                <w:szCs w:val="20"/>
                <w:color w:val="auto"/>
              </w:rPr>
            </w:pPr>
            <w:r>
              <w:rPr>
                <w:rFonts w:ascii="Arial" w:cs="Arial" w:eastAsia="Arial" w:hAnsi="Arial"/>
                <w:sz w:val="16"/>
                <w:szCs w:val="16"/>
                <w:color w:val="auto"/>
              </w:rPr>
              <w:t>1,595</w:t>
            </w:r>
          </w:p>
        </w:tc>
      </w:tr>
      <w:tr>
        <w:trPr>
          <w:trHeight w:val="257"/>
        </w:trPr>
        <w:tc>
          <w:tcPr>
            <w:tcW w:w="3240" w:type="dxa"/>
            <w:vAlign w:val="bottom"/>
          </w:tcPr>
          <w:p>
            <w:pPr>
              <w:spacing w:after="0"/>
              <w:rPr>
                <w:sz w:val="20"/>
                <w:szCs w:val="20"/>
                <w:color w:val="auto"/>
              </w:rPr>
            </w:pPr>
            <w:r>
              <w:rPr>
                <w:rFonts w:ascii="Arial" w:cs="Arial" w:eastAsia="Arial" w:hAnsi="Arial"/>
                <w:sz w:val="16"/>
                <w:szCs w:val="16"/>
                <w:color w:val="auto"/>
              </w:rPr>
              <w:t>Euronet Services India Pvt. Ltd.</w:t>
            </w:r>
          </w:p>
        </w:tc>
        <w:tc>
          <w:tcPr>
            <w:tcW w:w="1440" w:type="dxa"/>
            <w:vAlign w:val="bottom"/>
          </w:tcPr>
          <w:p>
            <w:pPr>
              <w:ind w:left="160"/>
              <w:spacing w:after="0"/>
              <w:rPr>
                <w:sz w:val="20"/>
                <w:szCs w:val="20"/>
                <w:color w:val="auto"/>
              </w:rPr>
            </w:pPr>
            <w:r>
              <w:rPr>
                <w:rFonts w:ascii="Arial" w:cs="Arial" w:eastAsia="Arial" w:hAnsi="Arial"/>
                <w:sz w:val="16"/>
                <w:szCs w:val="16"/>
                <w:color w:val="auto"/>
              </w:rPr>
              <w:t>Bank of America</w:t>
            </w:r>
          </w:p>
        </w:tc>
        <w:tc>
          <w:tcPr>
            <w:tcW w:w="1580" w:type="dxa"/>
            <w:vAlign w:val="bottom"/>
          </w:tcPr>
          <w:p>
            <w:pPr>
              <w:ind w:left="80"/>
              <w:spacing w:after="0"/>
              <w:rPr>
                <w:sz w:val="20"/>
                <w:szCs w:val="20"/>
                <w:color w:val="auto"/>
              </w:rPr>
            </w:pPr>
            <w:r>
              <w:rPr>
                <w:rFonts w:ascii="Arial" w:cs="Arial" w:eastAsia="Arial" w:hAnsi="Arial"/>
                <w:sz w:val="16"/>
                <w:szCs w:val="16"/>
                <w:color w:val="auto"/>
              </w:rPr>
              <w:t>Bank Guarantee/LC</w:t>
            </w:r>
          </w:p>
        </w:tc>
        <w:tc>
          <w:tcPr>
            <w:tcW w:w="2520" w:type="dxa"/>
            <w:vAlign w:val="bottom"/>
          </w:tcPr>
          <w:p>
            <w:pPr>
              <w:ind w:left="200"/>
              <w:spacing w:after="0"/>
              <w:rPr>
                <w:sz w:val="20"/>
                <w:szCs w:val="20"/>
                <w:color w:val="auto"/>
              </w:rPr>
            </w:pPr>
            <w:r>
              <w:rPr>
                <w:rFonts w:ascii="Arial" w:cs="Arial" w:eastAsia="Arial" w:hAnsi="Arial"/>
                <w:sz w:val="16"/>
                <w:szCs w:val="16"/>
                <w:color w:val="auto"/>
              </w:rPr>
              <w:t>Performance Guarantee</w:t>
            </w:r>
          </w:p>
        </w:tc>
        <w:tc>
          <w:tcPr>
            <w:tcW w:w="1420" w:type="dxa"/>
            <w:vAlign w:val="bottom"/>
          </w:tcPr>
          <w:p>
            <w:pPr>
              <w:jc w:val="right"/>
              <w:spacing w:after="0"/>
              <w:rPr>
                <w:sz w:val="20"/>
                <w:szCs w:val="20"/>
                <w:color w:val="auto"/>
              </w:rPr>
            </w:pPr>
            <w:r>
              <w:rPr>
                <w:rFonts w:ascii="Arial" w:cs="Arial" w:eastAsia="Arial" w:hAnsi="Arial"/>
                <w:sz w:val="16"/>
                <w:szCs w:val="16"/>
                <w:color w:val="auto"/>
              </w:rPr>
              <w:t>INR 100,000</w:t>
            </w:r>
          </w:p>
        </w:tc>
        <w:tc>
          <w:tcPr>
            <w:tcW w:w="1180" w:type="dxa"/>
            <w:vAlign w:val="bottom"/>
          </w:tcPr>
          <w:p>
            <w:pPr>
              <w:jc w:val="right"/>
              <w:spacing w:after="0"/>
              <w:rPr>
                <w:sz w:val="20"/>
                <w:szCs w:val="20"/>
                <w:color w:val="auto"/>
              </w:rPr>
            </w:pPr>
            <w:r>
              <w:rPr>
                <w:rFonts w:ascii="Arial" w:cs="Arial" w:eastAsia="Arial" w:hAnsi="Arial"/>
                <w:sz w:val="16"/>
                <w:szCs w:val="16"/>
                <w:color w:val="auto"/>
              </w:rPr>
              <w:t>1,595</w:t>
            </w:r>
          </w:p>
        </w:tc>
      </w:tr>
      <w:tr>
        <w:trPr>
          <w:trHeight w:val="257"/>
        </w:trPr>
        <w:tc>
          <w:tcPr>
            <w:tcW w:w="3240" w:type="dxa"/>
            <w:vAlign w:val="bottom"/>
          </w:tcPr>
          <w:p>
            <w:pPr>
              <w:spacing w:after="0"/>
              <w:rPr>
                <w:sz w:val="20"/>
                <w:szCs w:val="20"/>
                <w:color w:val="auto"/>
              </w:rPr>
            </w:pPr>
            <w:r>
              <w:rPr>
                <w:rFonts w:ascii="Arial" w:cs="Arial" w:eastAsia="Arial" w:hAnsi="Arial"/>
                <w:sz w:val="16"/>
                <w:szCs w:val="16"/>
                <w:color w:val="auto"/>
              </w:rPr>
              <w:t>Euronet Services India Pvt. Ltd.</w:t>
            </w:r>
          </w:p>
        </w:tc>
        <w:tc>
          <w:tcPr>
            <w:tcW w:w="1440" w:type="dxa"/>
            <w:vAlign w:val="bottom"/>
          </w:tcPr>
          <w:p>
            <w:pPr>
              <w:ind w:left="160"/>
              <w:spacing w:after="0"/>
              <w:rPr>
                <w:sz w:val="20"/>
                <w:szCs w:val="20"/>
                <w:color w:val="auto"/>
              </w:rPr>
            </w:pPr>
            <w:r>
              <w:rPr>
                <w:rFonts w:ascii="Arial" w:cs="Arial" w:eastAsia="Arial" w:hAnsi="Arial"/>
                <w:sz w:val="16"/>
                <w:szCs w:val="16"/>
                <w:color w:val="auto"/>
              </w:rPr>
              <w:t>Bank of America</w:t>
            </w:r>
          </w:p>
        </w:tc>
        <w:tc>
          <w:tcPr>
            <w:tcW w:w="1580" w:type="dxa"/>
            <w:vAlign w:val="bottom"/>
          </w:tcPr>
          <w:p>
            <w:pPr>
              <w:ind w:left="80"/>
              <w:spacing w:after="0"/>
              <w:rPr>
                <w:sz w:val="20"/>
                <w:szCs w:val="20"/>
                <w:color w:val="auto"/>
              </w:rPr>
            </w:pPr>
            <w:r>
              <w:rPr>
                <w:rFonts w:ascii="Arial" w:cs="Arial" w:eastAsia="Arial" w:hAnsi="Arial"/>
                <w:sz w:val="16"/>
                <w:szCs w:val="16"/>
                <w:color w:val="auto"/>
              </w:rPr>
              <w:t>Bank Guarantee/LC</w:t>
            </w:r>
          </w:p>
        </w:tc>
        <w:tc>
          <w:tcPr>
            <w:tcW w:w="2520" w:type="dxa"/>
            <w:vAlign w:val="bottom"/>
          </w:tcPr>
          <w:p>
            <w:pPr>
              <w:ind w:left="200"/>
              <w:spacing w:after="0"/>
              <w:rPr>
                <w:sz w:val="20"/>
                <w:szCs w:val="20"/>
                <w:color w:val="auto"/>
              </w:rPr>
            </w:pPr>
            <w:r>
              <w:rPr>
                <w:rFonts w:ascii="Arial" w:cs="Arial" w:eastAsia="Arial" w:hAnsi="Arial"/>
                <w:sz w:val="16"/>
                <w:szCs w:val="16"/>
                <w:color w:val="auto"/>
              </w:rPr>
              <w:t>Performance Guarantee</w:t>
            </w:r>
          </w:p>
        </w:tc>
        <w:tc>
          <w:tcPr>
            <w:tcW w:w="1420" w:type="dxa"/>
            <w:vAlign w:val="bottom"/>
          </w:tcPr>
          <w:p>
            <w:pPr>
              <w:jc w:val="right"/>
              <w:spacing w:after="0"/>
              <w:rPr>
                <w:sz w:val="20"/>
                <w:szCs w:val="20"/>
                <w:color w:val="auto"/>
              </w:rPr>
            </w:pPr>
            <w:r>
              <w:rPr>
                <w:rFonts w:ascii="Arial" w:cs="Arial" w:eastAsia="Arial" w:hAnsi="Arial"/>
                <w:sz w:val="16"/>
                <w:szCs w:val="16"/>
                <w:color w:val="auto"/>
              </w:rPr>
              <w:t>INR 100,000</w:t>
            </w:r>
          </w:p>
        </w:tc>
        <w:tc>
          <w:tcPr>
            <w:tcW w:w="1180" w:type="dxa"/>
            <w:vAlign w:val="bottom"/>
          </w:tcPr>
          <w:p>
            <w:pPr>
              <w:jc w:val="right"/>
              <w:spacing w:after="0"/>
              <w:rPr>
                <w:sz w:val="20"/>
                <w:szCs w:val="20"/>
                <w:color w:val="auto"/>
              </w:rPr>
            </w:pPr>
            <w:r>
              <w:rPr>
                <w:rFonts w:ascii="Arial" w:cs="Arial" w:eastAsia="Arial" w:hAnsi="Arial"/>
                <w:sz w:val="16"/>
                <w:szCs w:val="16"/>
                <w:color w:val="auto"/>
              </w:rPr>
              <w:t>1,595</w:t>
            </w:r>
          </w:p>
        </w:tc>
      </w:tr>
      <w:tr>
        <w:trPr>
          <w:trHeight w:val="257"/>
        </w:trPr>
        <w:tc>
          <w:tcPr>
            <w:tcW w:w="3240" w:type="dxa"/>
            <w:vAlign w:val="bottom"/>
          </w:tcPr>
          <w:p>
            <w:pPr>
              <w:spacing w:after="0"/>
              <w:rPr>
                <w:sz w:val="20"/>
                <w:szCs w:val="20"/>
                <w:color w:val="auto"/>
              </w:rPr>
            </w:pPr>
            <w:r>
              <w:rPr>
                <w:rFonts w:ascii="Arial" w:cs="Arial" w:eastAsia="Arial" w:hAnsi="Arial"/>
                <w:sz w:val="16"/>
                <w:szCs w:val="16"/>
                <w:color w:val="auto"/>
              </w:rPr>
              <w:t>Euronet Services India Pvt. Ltd.</w:t>
            </w:r>
          </w:p>
        </w:tc>
        <w:tc>
          <w:tcPr>
            <w:tcW w:w="1440" w:type="dxa"/>
            <w:vAlign w:val="bottom"/>
          </w:tcPr>
          <w:p>
            <w:pPr>
              <w:ind w:left="160"/>
              <w:spacing w:after="0"/>
              <w:rPr>
                <w:sz w:val="20"/>
                <w:szCs w:val="20"/>
                <w:color w:val="auto"/>
              </w:rPr>
            </w:pPr>
            <w:r>
              <w:rPr>
                <w:rFonts w:ascii="Arial" w:cs="Arial" w:eastAsia="Arial" w:hAnsi="Arial"/>
                <w:sz w:val="16"/>
                <w:szCs w:val="16"/>
                <w:color w:val="auto"/>
              </w:rPr>
              <w:t>Bank of America</w:t>
            </w:r>
          </w:p>
        </w:tc>
        <w:tc>
          <w:tcPr>
            <w:tcW w:w="1580" w:type="dxa"/>
            <w:vAlign w:val="bottom"/>
          </w:tcPr>
          <w:p>
            <w:pPr>
              <w:ind w:left="80"/>
              <w:spacing w:after="0"/>
              <w:rPr>
                <w:sz w:val="20"/>
                <w:szCs w:val="20"/>
                <w:color w:val="auto"/>
              </w:rPr>
            </w:pPr>
            <w:r>
              <w:rPr>
                <w:rFonts w:ascii="Arial" w:cs="Arial" w:eastAsia="Arial" w:hAnsi="Arial"/>
                <w:sz w:val="16"/>
                <w:szCs w:val="16"/>
                <w:color w:val="auto"/>
              </w:rPr>
              <w:t>Bank Guarantee/LC</w:t>
            </w:r>
          </w:p>
        </w:tc>
        <w:tc>
          <w:tcPr>
            <w:tcW w:w="2520" w:type="dxa"/>
            <w:vAlign w:val="bottom"/>
          </w:tcPr>
          <w:p>
            <w:pPr>
              <w:ind w:left="200"/>
              <w:spacing w:after="0"/>
              <w:rPr>
                <w:sz w:val="20"/>
                <w:szCs w:val="20"/>
                <w:color w:val="auto"/>
              </w:rPr>
            </w:pPr>
            <w:r>
              <w:rPr>
                <w:rFonts w:ascii="Arial" w:cs="Arial" w:eastAsia="Arial" w:hAnsi="Arial"/>
                <w:sz w:val="16"/>
                <w:szCs w:val="16"/>
                <w:color w:val="auto"/>
              </w:rPr>
              <w:t>Performance Guarantee</w:t>
            </w:r>
          </w:p>
        </w:tc>
        <w:tc>
          <w:tcPr>
            <w:tcW w:w="1420" w:type="dxa"/>
            <w:vAlign w:val="bottom"/>
          </w:tcPr>
          <w:p>
            <w:pPr>
              <w:jc w:val="right"/>
              <w:spacing w:after="0"/>
              <w:rPr>
                <w:sz w:val="20"/>
                <w:szCs w:val="20"/>
                <w:color w:val="auto"/>
              </w:rPr>
            </w:pPr>
            <w:r>
              <w:rPr>
                <w:rFonts w:ascii="Arial" w:cs="Arial" w:eastAsia="Arial" w:hAnsi="Arial"/>
                <w:sz w:val="16"/>
                <w:szCs w:val="16"/>
                <w:color w:val="auto"/>
              </w:rPr>
              <w:t>INR 100,000</w:t>
            </w:r>
          </w:p>
        </w:tc>
        <w:tc>
          <w:tcPr>
            <w:tcW w:w="1180" w:type="dxa"/>
            <w:vAlign w:val="bottom"/>
          </w:tcPr>
          <w:p>
            <w:pPr>
              <w:jc w:val="right"/>
              <w:spacing w:after="0"/>
              <w:rPr>
                <w:sz w:val="20"/>
                <w:szCs w:val="20"/>
                <w:color w:val="auto"/>
              </w:rPr>
            </w:pPr>
            <w:r>
              <w:rPr>
                <w:rFonts w:ascii="Arial" w:cs="Arial" w:eastAsia="Arial" w:hAnsi="Arial"/>
                <w:sz w:val="16"/>
                <w:szCs w:val="16"/>
                <w:color w:val="auto"/>
              </w:rPr>
              <w:t>1,595</w:t>
            </w:r>
          </w:p>
        </w:tc>
      </w:tr>
      <w:tr>
        <w:trPr>
          <w:trHeight w:val="257"/>
        </w:trPr>
        <w:tc>
          <w:tcPr>
            <w:tcW w:w="3240" w:type="dxa"/>
            <w:vAlign w:val="bottom"/>
          </w:tcPr>
          <w:p>
            <w:pPr>
              <w:spacing w:after="0"/>
              <w:rPr>
                <w:sz w:val="20"/>
                <w:szCs w:val="20"/>
                <w:color w:val="auto"/>
              </w:rPr>
            </w:pPr>
            <w:r>
              <w:rPr>
                <w:rFonts w:ascii="Arial" w:cs="Arial" w:eastAsia="Arial" w:hAnsi="Arial"/>
                <w:sz w:val="16"/>
                <w:szCs w:val="16"/>
                <w:color w:val="auto"/>
              </w:rPr>
              <w:t>Euronet Services India Pvt. Ltd.</w:t>
            </w:r>
          </w:p>
        </w:tc>
        <w:tc>
          <w:tcPr>
            <w:tcW w:w="1440" w:type="dxa"/>
            <w:vAlign w:val="bottom"/>
          </w:tcPr>
          <w:p>
            <w:pPr>
              <w:ind w:left="160"/>
              <w:spacing w:after="0"/>
              <w:rPr>
                <w:sz w:val="20"/>
                <w:szCs w:val="20"/>
                <w:color w:val="auto"/>
              </w:rPr>
            </w:pPr>
            <w:r>
              <w:rPr>
                <w:rFonts w:ascii="Arial" w:cs="Arial" w:eastAsia="Arial" w:hAnsi="Arial"/>
                <w:sz w:val="16"/>
                <w:szCs w:val="16"/>
                <w:color w:val="auto"/>
              </w:rPr>
              <w:t>Bank of America</w:t>
            </w:r>
          </w:p>
        </w:tc>
        <w:tc>
          <w:tcPr>
            <w:tcW w:w="1580" w:type="dxa"/>
            <w:vAlign w:val="bottom"/>
          </w:tcPr>
          <w:p>
            <w:pPr>
              <w:ind w:left="80"/>
              <w:spacing w:after="0"/>
              <w:rPr>
                <w:sz w:val="20"/>
                <w:szCs w:val="20"/>
                <w:color w:val="auto"/>
              </w:rPr>
            </w:pPr>
            <w:r>
              <w:rPr>
                <w:rFonts w:ascii="Arial" w:cs="Arial" w:eastAsia="Arial" w:hAnsi="Arial"/>
                <w:sz w:val="16"/>
                <w:szCs w:val="16"/>
                <w:color w:val="auto"/>
              </w:rPr>
              <w:t>Bank Guarantee/LC</w:t>
            </w:r>
          </w:p>
        </w:tc>
        <w:tc>
          <w:tcPr>
            <w:tcW w:w="2520" w:type="dxa"/>
            <w:vAlign w:val="bottom"/>
          </w:tcPr>
          <w:p>
            <w:pPr>
              <w:ind w:left="200"/>
              <w:spacing w:after="0"/>
              <w:rPr>
                <w:sz w:val="20"/>
                <w:szCs w:val="20"/>
                <w:color w:val="auto"/>
              </w:rPr>
            </w:pPr>
            <w:r>
              <w:rPr>
                <w:rFonts w:ascii="Arial" w:cs="Arial" w:eastAsia="Arial" w:hAnsi="Arial"/>
                <w:sz w:val="16"/>
                <w:szCs w:val="16"/>
                <w:color w:val="auto"/>
              </w:rPr>
              <w:t>Performance Guarantee</w:t>
            </w:r>
          </w:p>
        </w:tc>
        <w:tc>
          <w:tcPr>
            <w:tcW w:w="1420" w:type="dxa"/>
            <w:vAlign w:val="bottom"/>
          </w:tcPr>
          <w:p>
            <w:pPr>
              <w:jc w:val="right"/>
              <w:spacing w:after="0"/>
              <w:rPr>
                <w:sz w:val="20"/>
                <w:szCs w:val="20"/>
                <w:color w:val="auto"/>
              </w:rPr>
            </w:pPr>
            <w:r>
              <w:rPr>
                <w:rFonts w:ascii="Arial" w:cs="Arial" w:eastAsia="Arial" w:hAnsi="Arial"/>
                <w:sz w:val="16"/>
                <w:szCs w:val="16"/>
                <w:color w:val="auto"/>
              </w:rPr>
              <w:t>INR 100,000</w:t>
            </w:r>
          </w:p>
        </w:tc>
        <w:tc>
          <w:tcPr>
            <w:tcW w:w="1180" w:type="dxa"/>
            <w:vAlign w:val="bottom"/>
          </w:tcPr>
          <w:p>
            <w:pPr>
              <w:jc w:val="right"/>
              <w:spacing w:after="0"/>
              <w:rPr>
                <w:sz w:val="20"/>
                <w:szCs w:val="20"/>
                <w:color w:val="auto"/>
              </w:rPr>
            </w:pPr>
            <w:r>
              <w:rPr>
                <w:rFonts w:ascii="Arial" w:cs="Arial" w:eastAsia="Arial" w:hAnsi="Arial"/>
                <w:sz w:val="16"/>
                <w:szCs w:val="16"/>
                <w:color w:val="auto"/>
              </w:rPr>
              <w:t>1,595</w:t>
            </w:r>
          </w:p>
        </w:tc>
      </w:tr>
      <w:tr>
        <w:trPr>
          <w:trHeight w:val="257"/>
        </w:trPr>
        <w:tc>
          <w:tcPr>
            <w:tcW w:w="3240" w:type="dxa"/>
            <w:vAlign w:val="bottom"/>
          </w:tcPr>
          <w:p>
            <w:pPr>
              <w:spacing w:after="0"/>
              <w:rPr>
                <w:sz w:val="20"/>
                <w:szCs w:val="20"/>
                <w:color w:val="auto"/>
              </w:rPr>
            </w:pPr>
            <w:r>
              <w:rPr>
                <w:rFonts w:ascii="Arial" w:cs="Arial" w:eastAsia="Arial" w:hAnsi="Arial"/>
                <w:sz w:val="16"/>
                <w:szCs w:val="16"/>
                <w:color w:val="auto"/>
              </w:rPr>
              <w:t>Euronet Services India Pvt. Ltd.</w:t>
            </w:r>
          </w:p>
        </w:tc>
        <w:tc>
          <w:tcPr>
            <w:tcW w:w="1440" w:type="dxa"/>
            <w:vAlign w:val="bottom"/>
          </w:tcPr>
          <w:p>
            <w:pPr>
              <w:ind w:left="160"/>
              <w:spacing w:after="0"/>
              <w:rPr>
                <w:sz w:val="20"/>
                <w:szCs w:val="20"/>
                <w:color w:val="auto"/>
              </w:rPr>
            </w:pPr>
            <w:r>
              <w:rPr>
                <w:rFonts w:ascii="Arial" w:cs="Arial" w:eastAsia="Arial" w:hAnsi="Arial"/>
                <w:sz w:val="16"/>
                <w:szCs w:val="16"/>
                <w:color w:val="auto"/>
              </w:rPr>
              <w:t>Bank of America</w:t>
            </w:r>
          </w:p>
        </w:tc>
        <w:tc>
          <w:tcPr>
            <w:tcW w:w="1580" w:type="dxa"/>
            <w:vAlign w:val="bottom"/>
          </w:tcPr>
          <w:p>
            <w:pPr>
              <w:ind w:left="80"/>
              <w:spacing w:after="0"/>
              <w:rPr>
                <w:sz w:val="20"/>
                <w:szCs w:val="20"/>
                <w:color w:val="auto"/>
              </w:rPr>
            </w:pPr>
            <w:r>
              <w:rPr>
                <w:rFonts w:ascii="Arial" w:cs="Arial" w:eastAsia="Arial" w:hAnsi="Arial"/>
                <w:sz w:val="16"/>
                <w:szCs w:val="16"/>
                <w:color w:val="auto"/>
              </w:rPr>
              <w:t>Bank Guarantee/LC</w:t>
            </w:r>
          </w:p>
        </w:tc>
        <w:tc>
          <w:tcPr>
            <w:tcW w:w="2520" w:type="dxa"/>
            <w:vAlign w:val="bottom"/>
          </w:tcPr>
          <w:p>
            <w:pPr>
              <w:ind w:left="200"/>
              <w:spacing w:after="0"/>
              <w:rPr>
                <w:sz w:val="20"/>
                <w:szCs w:val="20"/>
                <w:color w:val="auto"/>
              </w:rPr>
            </w:pPr>
            <w:r>
              <w:rPr>
                <w:rFonts w:ascii="Arial" w:cs="Arial" w:eastAsia="Arial" w:hAnsi="Arial"/>
                <w:sz w:val="16"/>
                <w:szCs w:val="16"/>
                <w:color w:val="auto"/>
              </w:rPr>
              <w:t>Performance Guarantee</w:t>
            </w:r>
          </w:p>
        </w:tc>
        <w:tc>
          <w:tcPr>
            <w:tcW w:w="1420" w:type="dxa"/>
            <w:vAlign w:val="bottom"/>
          </w:tcPr>
          <w:p>
            <w:pPr>
              <w:jc w:val="right"/>
              <w:spacing w:after="0"/>
              <w:rPr>
                <w:sz w:val="20"/>
                <w:szCs w:val="20"/>
                <w:color w:val="auto"/>
              </w:rPr>
            </w:pPr>
            <w:r>
              <w:rPr>
                <w:rFonts w:ascii="Arial" w:cs="Arial" w:eastAsia="Arial" w:hAnsi="Arial"/>
                <w:sz w:val="16"/>
                <w:szCs w:val="16"/>
                <w:color w:val="auto"/>
              </w:rPr>
              <w:t>INR 63,500</w:t>
            </w:r>
          </w:p>
        </w:tc>
        <w:tc>
          <w:tcPr>
            <w:tcW w:w="1180" w:type="dxa"/>
            <w:vAlign w:val="bottom"/>
          </w:tcPr>
          <w:p>
            <w:pPr>
              <w:jc w:val="right"/>
              <w:spacing w:after="0"/>
              <w:rPr>
                <w:sz w:val="20"/>
                <w:szCs w:val="20"/>
                <w:color w:val="auto"/>
              </w:rPr>
            </w:pPr>
            <w:r>
              <w:rPr>
                <w:rFonts w:ascii="Arial" w:cs="Arial" w:eastAsia="Arial" w:hAnsi="Arial"/>
                <w:sz w:val="16"/>
                <w:szCs w:val="16"/>
                <w:color w:val="auto"/>
              </w:rPr>
              <w:t>1,013</w:t>
            </w:r>
          </w:p>
        </w:tc>
      </w:tr>
      <w:tr>
        <w:trPr>
          <w:trHeight w:val="257"/>
        </w:trPr>
        <w:tc>
          <w:tcPr>
            <w:tcW w:w="3240" w:type="dxa"/>
            <w:vAlign w:val="bottom"/>
          </w:tcPr>
          <w:p>
            <w:pPr>
              <w:spacing w:after="0"/>
              <w:rPr>
                <w:sz w:val="20"/>
                <w:szCs w:val="20"/>
                <w:color w:val="auto"/>
              </w:rPr>
            </w:pPr>
            <w:r>
              <w:rPr>
                <w:rFonts w:ascii="Arial" w:cs="Arial" w:eastAsia="Arial" w:hAnsi="Arial"/>
                <w:sz w:val="16"/>
                <w:szCs w:val="16"/>
                <w:color w:val="auto"/>
              </w:rPr>
              <w:t>Euronet Services India Pvt. Ltd.</w:t>
            </w:r>
          </w:p>
        </w:tc>
        <w:tc>
          <w:tcPr>
            <w:tcW w:w="1440" w:type="dxa"/>
            <w:vAlign w:val="bottom"/>
          </w:tcPr>
          <w:p>
            <w:pPr>
              <w:ind w:left="160"/>
              <w:spacing w:after="0"/>
              <w:rPr>
                <w:sz w:val="20"/>
                <w:szCs w:val="20"/>
                <w:color w:val="auto"/>
              </w:rPr>
            </w:pPr>
            <w:r>
              <w:rPr>
                <w:rFonts w:ascii="Arial" w:cs="Arial" w:eastAsia="Arial" w:hAnsi="Arial"/>
                <w:sz w:val="16"/>
                <w:szCs w:val="16"/>
                <w:color w:val="auto"/>
              </w:rPr>
              <w:t>Bank of America</w:t>
            </w:r>
          </w:p>
        </w:tc>
        <w:tc>
          <w:tcPr>
            <w:tcW w:w="1580" w:type="dxa"/>
            <w:vAlign w:val="bottom"/>
          </w:tcPr>
          <w:p>
            <w:pPr>
              <w:ind w:left="80"/>
              <w:spacing w:after="0"/>
              <w:rPr>
                <w:sz w:val="20"/>
                <w:szCs w:val="20"/>
                <w:color w:val="auto"/>
              </w:rPr>
            </w:pPr>
            <w:r>
              <w:rPr>
                <w:rFonts w:ascii="Arial" w:cs="Arial" w:eastAsia="Arial" w:hAnsi="Arial"/>
                <w:sz w:val="16"/>
                <w:szCs w:val="16"/>
                <w:color w:val="auto"/>
              </w:rPr>
              <w:t>Bank Guarantee/LC</w:t>
            </w:r>
          </w:p>
        </w:tc>
        <w:tc>
          <w:tcPr>
            <w:tcW w:w="2520" w:type="dxa"/>
            <w:vAlign w:val="bottom"/>
          </w:tcPr>
          <w:p>
            <w:pPr>
              <w:ind w:left="200"/>
              <w:spacing w:after="0"/>
              <w:rPr>
                <w:sz w:val="20"/>
                <w:szCs w:val="20"/>
                <w:color w:val="auto"/>
              </w:rPr>
            </w:pPr>
            <w:r>
              <w:rPr>
                <w:rFonts w:ascii="Arial" w:cs="Arial" w:eastAsia="Arial" w:hAnsi="Arial"/>
                <w:sz w:val="16"/>
                <w:szCs w:val="16"/>
                <w:color w:val="auto"/>
              </w:rPr>
              <w:t>Bank Guarantee</w:t>
            </w:r>
          </w:p>
        </w:tc>
        <w:tc>
          <w:tcPr>
            <w:tcW w:w="1420" w:type="dxa"/>
            <w:vAlign w:val="bottom"/>
          </w:tcPr>
          <w:p>
            <w:pPr>
              <w:jc w:val="right"/>
              <w:spacing w:after="0"/>
              <w:rPr>
                <w:sz w:val="20"/>
                <w:szCs w:val="20"/>
                <w:color w:val="auto"/>
              </w:rPr>
            </w:pPr>
            <w:r>
              <w:rPr>
                <w:rFonts w:ascii="Arial" w:cs="Arial" w:eastAsia="Arial" w:hAnsi="Arial"/>
                <w:sz w:val="16"/>
                <w:szCs w:val="16"/>
                <w:color w:val="auto"/>
              </w:rPr>
              <w:t>INR 50,000</w:t>
            </w:r>
          </w:p>
        </w:tc>
        <w:tc>
          <w:tcPr>
            <w:tcW w:w="1180" w:type="dxa"/>
            <w:vAlign w:val="bottom"/>
          </w:tcPr>
          <w:p>
            <w:pPr>
              <w:jc w:val="right"/>
              <w:spacing w:after="0"/>
              <w:rPr>
                <w:sz w:val="20"/>
                <w:szCs w:val="20"/>
                <w:color w:val="auto"/>
              </w:rPr>
            </w:pPr>
            <w:r>
              <w:rPr>
                <w:rFonts w:ascii="Arial" w:cs="Arial" w:eastAsia="Arial" w:hAnsi="Arial"/>
                <w:sz w:val="16"/>
                <w:szCs w:val="16"/>
                <w:color w:val="auto"/>
              </w:rPr>
              <w:t>798</w:t>
            </w:r>
          </w:p>
        </w:tc>
      </w:tr>
      <w:tr>
        <w:trPr>
          <w:trHeight w:val="257"/>
        </w:trPr>
        <w:tc>
          <w:tcPr>
            <w:tcW w:w="3240" w:type="dxa"/>
            <w:vAlign w:val="bottom"/>
          </w:tcPr>
          <w:p>
            <w:pPr>
              <w:spacing w:after="0"/>
              <w:rPr>
                <w:sz w:val="20"/>
                <w:szCs w:val="20"/>
                <w:color w:val="auto"/>
              </w:rPr>
            </w:pPr>
            <w:r>
              <w:rPr>
                <w:rFonts w:ascii="Arial" w:cs="Arial" w:eastAsia="Arial" w:hAnsi="Arial"/>
                <w:sz w:val="16"/>
                <w:szCs w:val="16"/>
                <w:color w:val="auto"/>
              </w:rPr>
              <w:t>Euronet Services India Pvt. Ltd.</w:t>
            </w:r>
          </w:p>
        </w:tc>
        <w:tc>
          <w:tcPr>
            <w:tcW w:w="1440" w:type="dxa"/>
            <w:vAlign w:val="bottom"/>
          </w:tcPr>
          <w:p>
            <w:pPr>
              <w:ind w:left="160"/>
              <w:spacing w:after="0"/>
              <w:rPr>
                <w:sz w:val="20"/>
                <w:szCs w:val="20"/>
                <w:color w:val="auto"/>
              </w:rPr>
            </w:pPr>
            <w:r>
              <w:rPr>
                <w:rFonts w:ascii="Arial" w:cs="Arial" w:eastAsia="Arial" w:hAnsi="Arial"/>
                <w:sz w:val="16"/>
                <w:szCs w:val="16"/>
                <w:color w:val="auto"/>
              </w:rPr>
              <w:t>Bank of America</w:t>
            </w:r>
          </w:p>
        </w:tc>
        <w:tc>
          <w:tcPr>
            <w:tcW w:w="1580" w:type="dxa"/>
            <w:vAlign w:val="bottom"/>
          </w:tcPr>
          <w:p>
            <w:pPr>
              <w:ind w:left="80"/>
              <w:spacing w:after="0"/>
              <w:rPr>
                <w:sz w:val="20"/>
                <w:szCs w:val="20"/>
                <w:color w:val="auto"/>
              </w:rPr>
            </w:pPr>
            <w:r>
              <w:rPr>
                <w:rFonts w:ascii="Arial" w:cs="Arial" w:eastAsia="Arial" w:hAnsi="Arial"/>
                <w:sz w:val="16"/>
                <w:szCs w:val="16"/>
                <w:color w:val="auto"/>
              </w:rPr>
              <w:t>Bank Guarantee/LC</w:t>
            </w:r>
          </w:p>
        </w:tc>
        <w:tc>
          <w:tcPr>
            <w:tcW w:w="2520" w:type="dxa"/>
            <w:vAlign w:val="bottom"/>
          </w:tcPr>
          <w:p>
            <w:pPr>
              <w:ind w:left="200"/>
              <w:spacing w:after="0"/>
              <w:rPr>
                <w:sz w:val="20"/>
                <w:szCs w:val="20"/>
                <w:color w:val="auto"/>
              </w:rPr>
            </w:pPr>
            <w:r>
              <w:rPr>
                <w:rFonts w:ascii="Arial" w:cs="Arial" w:eastAsia="Arial" w:hAnsi="Arial"/>
                <w:sz w:val="16"/>
                <w:szCs w:val="16"/>
                <w:color w:val="auto"/>
              </w:rPr>
              <w:t>Bank Guarantee</w:t>
            </w:r>
          </w:p>
        </w:tc>
        <w:tc>
          <w:tcPr>
            <w:tcW w:w="1420" w:type="dxa"/>
            <w:vAlign w:val="bottom"/>
          </w:tcPr>
          <w:p>
            <w:pPr>
              <w:jc w:val="right"/>
              <w:spacing w:after="0"/>
              <w:rPr>
                <w:sz w:val="20"/>
                <w:szCs w:val="20"/>
                <w:color w:val="auto"/>
              </w:rPr>
            </w:pPr>
            <w:r>
              <w:rPr>
                <w:rFonts w:ascii="Arial" w:cs="Arial" w:eastAsia="Arial" w:hAnsi="Arial"/>
                <w:sz w:val="16"/>
                <w:szCs w:val="16"/>
                <w:color w:val="auto"/>
              </w:rPr>
              <w:t>INR 50,000</w:t>
            </w:r>
          </w:p>
        </w:tc>
        <w:tc>
          <w:tcPr>
            <w:tcW w:w="1180" w:type="dxa"/>
            <w:vAlign w:val="bottom"/>
          </w:tcPr>
          <w:p>
            <w:pPr>
              <w:jc w:val="right"/>
              <w:spacing w:after="0"/>
              <w:rPr>
                <w:sz w:val="20"/>
                <w:szCs w:val="20"/>
                <w:color w:val="auto"/>
              </w:rPr>
            </w:pPr>
            <w:r>
              <w:rPr>
                <w:rFonts w:ascii="Arial" w:cs="Arial" w:eastAsia="Arial" w:hAnsi="Arial"/>
                <w:sz w:val="16"/>
                <w:szCs w:val="16"/>
                <w:color w:val="auto"/>
              </w:rPr>
              <w:t>798</w:t>
            </w:r>
          </w:p>
        </w:tc>
      </w:tr>
      <w:tr>
        <w:trPr>
          <w:trHeight w:val="257"/>
        </w:trPr>
        <w:tc>
          <w:tcPr>
            <w:tcW w:w="3240" w:type="dxa"/>
            <w:vAlign w:val="bottom"/>
          </w:tcPr>
          <w:p>
            <w:pPr>
              <w:spacing w:after="0"/>
              <w:rPr>
                <w:sz w:val="20"/>
                <w:szCs w:val="20"/>
                <w:color w:val="auto"/>
              </w:rPr>
            </w:pPr>
            <w:r>
              <w:rPr>
                <w:rFonts w:ascii="Arial" w:cs="Arial" w:eastAsia="Arial" w:hAnsi="Arial"/>
                <w:sz w:val="16"/>
                <w:szCs w:val="16"/>
                <w:color w:val="auto"/>
              </w:rPr>
              <w:t>Euronet Services India Pvt. Ltd.</w:t>
            </w:r>
          </w:p>
        </w:tc>
        <w:tc>
          <w:tcPr>
            <w:tcW w:w="1440" w:type="dxa"/>
            <w:vAlign w:val="bottom"/>
          </w:tcPr>
          <w:p>
            <w:pPr>
              <w:ind w:left="160"/>
              <w:spacing w:after="0"/>
              <w:rPr>
                <w:sz w:val="20"/>
                <w:szCs w:val="20"/>
                <w:color w:val="auto"/>
              </w:rPr>
            </w:pPr>
            <w:r>
              <w:rPr>
                <w:rFonts w:ascii="Arial" w:cs="Arial" w:eastAsia="Arial" w:hAnsi="Arial"/>
                <w:sz w:val="16"/>
                <w:szCs w:val="16"/>
                <w:color w:val="auto"/>
              </w:rPr>
              <w:t>Bank of America</w:t>
            </w:r>
          </w:p>
        </w:tc>
        <w:tc>
          <w:tcPr>
            <w:tcW w:w="1580" w:type="dxa"/>
            <w:vAlign w:val="bottom"/>
          </w:tcPr>
          <w:p>
            <w:pPr>
              <w:ind w:left="80"/>
              <w:spacing w:after="0"/>
              <w:rPr>
                <w:sz w:val="20"/>
                <w:szCs w:val="20"/>
                <w:color w:val="auto"/>
              </w:rPr>
            </w:pPr>
            <w:r>
              <w:rPr>
                <w:rFonts w:ascii="Arial" w:cs="Arial" w:eastAsia="Arial" w:hAnsi="Arial"/>
                <w:sz w:val="16"/>
                <w:szCs w:val="16"/>
                <w:color w:val="auto"/>
              </w:rPr>
              <w:t>Bank Guarantee/LC</w:t>
            </w:r>
          </w:p>
        </w:tc>
        <w:tc>
          <w:tcPr>
            <w:tcW w:w="2520" w:type="dxa"/>
            <w:vAlign w:val="bottom"/>
          </w:tcPr>
          <w:p>
            <w:pPr>
              <w:ind w:left="200"/>
              <w:spacing w:after="0"/>
              <w:rPr>
                <w:sz w:val="20"/>
                <w:szCs w:val="20"/>
                <w:color w:val="auto"/>
              </w:rPr>
            </w:pPr>
            <w:r>
              <w:rPr>
                <w:rFonts w:ascii="Arial" w:cs="Arial" w:eastAsia="Arial" w:hAnsi="Arial"/>
                <w:sz w:val="16"/>
                <w:szCs w:val="16"/>
                <w:color w:val="auto"/>
              </w:rPr>
              <w:t>Performance Guarantee</w:t>
            </w:r>
          </w:p>
        </w:tc>
        <w:tc>
          <w:tcPr>
            <w:tcW w:w="1420" w:type="dxa"/>
            <w:vAlign w:val="bottom"/>
          </w:tcPr>
          <w:p>
            <w:pPr>
              <w:jc w:val="right"/>
              <w:spacing w:after="0"/>
              <w:rPr>
                <w:sz w:val="20"/>
                <w:szCs w:val="20"/>
                <w:color w:val="auto"/>
              </w:rPr>
            </w:pPr>
            <w:r>
              <w:rPr>
                <w:rFonts w:ascii="Arial" w:cs="Arial" w:eastAsia="Arial" w:hAnsi="Arial"/>
                <w:sz w:val="16"/>
                <w:szCs w:val="16"/>
                <w:color w:val="auto"/>
              </w:rPr>
              <w:t>INR 41,700</w:t>
            </w:r>
          </w:p>
        </w:tc>
        <w:tc>
          <w:tcPr>
            <w:tcW w:w="1180" w:type="dxa"/>
            <w:vAlign w:val="bottom"/>
          </w:tcPr>
          <w:p>
            <w:pPr>
              <w:jc w:val="right"/>
              <w:spacing w:after="0"/>
              <w:rPr>
                <w:sz w:val="20"/>
                <w:szCs w:val="20"/>
                <w:color w:val="auto"/>
              </w:rPr>
            </w:pPr>
            <w:r>
              <w:rPr>
                <w:rFonts w:ascii="Arial" w:cs="Arial" w:eastAsia="Arial" w:hAnsi="Arial"/>
                <w:sz w:val="16"/>
                <w:szCs w:val="16"/>
                <w:color w:val="auto"/>
              </w:rPr>
              <w:t>665</w:t>
            </w:r>
          </w:p>
        </w:tc>
      </w:tr>
      <w:tr>
        <w:trPr>
          <w:trHeight w:val="257"/>
        </w:trPr>
        <w:tc>
          <w:tcPr>
            <w:tcW w:w="3240" w:type="dxa"/>
            <w:vAlign w:val="bottom"/>
          </w:tcPr>
          <w:p>
            <w:pPr>
              <w:spacing w:after="0"/>
              <w:rPr>
                <w:sz w:val="20"/>
                <w:szCs w:val="20"/>
                <w:color w:val="auto"/>
              </w:rPr>
            </w:pPr>
            <w:r>
              <w:rPr>
                <w:rFonts w:ascii="Arial" w:cs="Arial" w:eastAsia="Arial" w:hAnsi="Arial"/>
                <w:sz w:val="16"/>
                <w:szCs w:val="16"/>
                <w:color w:val="auto"/>
              </w:rPr>
              <w:t>Euronet Services India Pvt. Ltd.</w:t>
            </w:r>
          </w:p>
        </w:tc>
        <w:tc>
          <w:tcPr>
            <w:tcW w:w="1440" w:type="dxa"/>
            <w:vAlign w:val="bottom"/>
          </w:tcPr>
          <w:p>
            <w:pPr>
              <w:ind w:left="160"/>
              <w:spacing w:after="0"/>
              <w:rPr>
                <w:sz w:val="20"/>
                <w:szCs w:val="20"/>
                <w:color w:val="auto"/>
              </w:rPr>
            </w:pPr>
            <w:r>
              <w:rPr>
                <w:rFonts w:ascii="Arial" w:cs="Arial" w:eastAsia="Arial" w:hAnsi="Arial"/>
                <w:sz w:val="16"/>
                <w:szCs w:val="16"/>
                <w:color w:val="auto"/>
              </w:rPr>
              <w:t>Bank of America</w:t>
            </w:r>
          </w:p>
        </w:tc>
        <w:tc>
          <w:tcPr>
            <w:tcW w:w="1580" w:type="dxa"/>
            <w:vAlign w:val="bottom"/>
          </w:tcPr>
          <w:p>
            <w:pPr>
              <w:ind w:left="80"/>
              <w:spacing w:after="0"/>
              <w:rPr>
                <w:sz w:val="20"/>
                <w:szCs w:val="20"/>
                <w:color w:val="auto"/>
              </w:rPr>
            </w:pPr>
            <w:r>
              <w:rPr>
                <w:rFonts w:ascii="Arial" w:cs="Arial" w:eastAsia="Arial" w:hAnsi="Arial"/>
                <w:sz w:val="16"/>
                <w:szCs w:val="16"/>
                <w:color w:val="auto"/>
              </w:rPr>
              <w:t>Bank Guarantee/LC</w:t>
            </w:r>
          </w:p>
        </w:tc>
        <w:tc>
          <w:tcPr>
            <w:tcW w:w="2520" w:type="dxa"/>
            <w:vAlign w:val="bottom"/>
          </w:tcPr>
          <w:p>
            <w:pPr>
              <w:ind w:left="200"/>
              <w:spacing w:after="0"/>
              <w:rPr>
                <w:sz w:val="20"/>
                <w:szCs w:val="20"/>
                <w:color w:val="auto"/>
              </w:rPr>
            </w:pPr>
            <w:r>
              <w:rPr>
                <w:rFonts w:ascii="Arial" w:cs="Arial" w:eastAsia="Arial" w:hAnsi="Arial"/>
                <w:sz w:val="16"/>
                <w:szCs w:val="16"/>
                <w:color w:val="auto"/>
              </w:rPr>
              <w:t>Bank Guarantee</w:t>
            </w:r>
          </w:p>
        </w:tc>
        <w:tc>
          <w:tcPr>
            <w:tcW w:w="1420" w:type="dxa"/>
            <w:vAlign w:val="bottom"/>
          </w:tcPr>
          <w:p>
            <w:pPr>
              <w:jc w:val="right"/>
              <w:spacing w:after="0"/>
              <w:rPr>
                <w:sz w:val="20"/>
                <w:szCs w:val="20"/>
                <w:color w:val="auto"/>
              </w:rPr>
            </w:pPr>
            <w:r>
              <w:rPr>
                <w:rFonts w:ascii="Arial" w:cs="Arial" w:eastAsia="Arial" w:hAnsi="Arial"/>
                <w:sz w:val="16"/>
                <w:szCs w:val="16"/>
                <w:color w:val="auto"/>
              </w:rPr>
              <w:t>INR 30,000</w:t>
            </w:r>
          </w:p>
        </w:tc>
        <w:tc>
          <w:tcPr>
            <w:tcW w:w="1180" w:type="dxa"/>
            <w:vAlign w:val="bottom"/>
          </w:tcPr>
          <w:p>
            <w:pPr>
              <w:jc w:val="right"/>
              <w:spacing w:after="0"/>
              <w:rPr>
                <w:sz w:val="20"/>
                <w:szCs w:val="20"/>
                <w:color w:val="auto"/>
              </w:rPr>
            </w:pPr>
            <w:r>
              <w:rPr>
                <w:rFonts w:ascii="Arial" w:cs="Arial" w:eastAsia="Arial" w:hAnsi="Arial"/>
                <w:sz w:val="16"/>
                <w:szCs w:val="16"/>
                <w:color w:val="auto"/>
              </w:rPr>
              <w:t>479</w:t>
            </w:r>
          </w:p>
        </w:tc>
      </w:tr>
      <w:tr>
        <w:trPr>
          <w:trHeight w:val="257"/>
        </w:trPr>
        <w:tc>
          <w:tcPr>
            <w:tcW w:w="3240" w:type="dxa"/>
            <w:vAlign w:val="bottom"/>
          </w:tcPr>
          <w:p>
            <w:pPr>
              <w:spacing w:after="0"/>
              <w:rPr>
                <w:sz w:val="20"/>
                <w:szCs w:val="20"/>
                <w:color w:val="auto"/>
              </w:rPr>
            </w:pPr>
            <w:r>
              <w:rPr>
                <w:rFonts w:ascii="Arial" w:cs="Arial" w:eastAsia="Arial" w:hAnsi="Arial"/>
                <w:sz w:val="16"/>
                <w:szCs w:val="16"/>
                <w:color w:val="auto"/>
              </w:rPr>
              <w:t>Euronet Services India Pvt. Ltd.</w:t>
            </w:r>
          </w:p>
        </w:tc>
        <w:tc>
          <w:tcPr>
            <w:tcW w:w="1440" w:type="dxa"/>
            <w:vAlign w:val="bottom"/>
          </w:tcPr>
          <w:p>
            <w:pPr>
              <w:ind w:left="160"/>
              <w:spacing w:after="0"/>
              <w:rPr>
                <w:sz w:val="20"/>
                <w:szCs w:val="20"/>
                <w:color w:val="auto"/>
              </w:rPr>
            </w:pPr>
            <w:r>
              <w:rPr>
                <w:rFonts w:ascii="Arial" w:cs="Arial" w:eastAsia="Arial" w:hAnsi="Arial"/>
                <w:sz w:val="16"/>
                <w:szCs w:val="16"/>
                <w:color w:val="auto"/>
              </w:rPr>
              <w:t>HDFC Bank</w:t>
            </w:r>
          </w:p>
        </w:tc>
        <w:tc>
          <w:tcPr>
            <w:tcW w:w="1580" w:type="dxa"/>
            <w:vAlign w:val="bottom"/>
          </w:tcPr>
          <w:p>
            <w:pPr>
              <w:ind w:left="80"/>
              <w:spacing w:after="0"/>
              <w:rPr>
                <w:sz w:val="20"/>
                <w:szCs w:val="20"/>
                <w:color w:val="auto"/>
              </w:rPr>
            </w:pPr>
            <w:r>
              <w:rPr>
                <w:rFonts w:ascii="Arial" w:cs="Arial" w:eastAsia="Arial" w:hAnsi="Arial"/>
                <w:sz w:val="16"/>
                <w:szCs w:val="16"/>
                <w:color w:val="auto"/>
              </w:rPr>
              <w:t>Bank Guarantee/LC</w:t>
            </w:r>
          </w:p>
        </w:tc>
        <w:tc>
          <w:tcPr>
            <w:tcW w:w="2520" w:type="dxa"/>
            <w:vAlign w:val="bottom"/>
          </w:tcPr>
          <w:p>
            <w:pPr>
              <w:ind w:left="200"/>
              <w:spacing w:after="0"/>
              <w:rPr>
                <w:sz w:val="20"/>
                <w:szCs w:val="20"/>
                <w:color w:val="auto"/>
              </w:rPr>
            </w:pPr>
            <w:r>
              <w:rPr>
                <w:rFonts w:ascii="Arial" w:cs="Arial" w:eastAsia="Arial" w:hAnsi="Arial"/>
                <w:sz w:val="16"/>
                <w:szCs w:val="16"/>
                <w:color w:val="auto"/>
              </w:rPr>
              <w:t>Performance Guarantee</w:t>
            </w:r>
          </w:p>
        </w:tc>
        <w:tc>
          <w:tcPr>
            <w:tcW w:w="1420" w:type="dxa"/>
            <w:vAlign w:val="bottom"/>
          </w:tcPr>
          <w:p>
            <w:pPr>
              <w:jc w:val="right"/>
              <w:spacing w:after="0"/>
              <w:rPr>
                <w:sz w:val="20"/>
                <w:szCs w:val="20"/>
                <w:color w:val="auto"/>
              </w:rPr>
            </w:pPr>
            <w:r>
              <w:rPr>
                <w:rFonts w:ascii="Arial" w:cs="Arial" w:eastAsia="Arial" w:hAnsi="Arial"/>
                <w:sz w:val="16"/>
                <w:szCs w:val="16"/>
                <w:color w:val="auto"/>
              </w:rPr>
              <w:t>INR 10,000,000</w:t>
            </w:r>
          </w:p>
        </w:tc>
        <w:tc>
          <w:tcPr>
            <w:tcW w:w="1180" w:type="dxa"/>
            <w:vAlign w:val="bottom"/>
          </w:tcPr>
          <w:p>
            <w:pPr>
              <w:jc w:val="right"/>
              <w:spacing w:after="0"/>
              <w:rPr>
                <w:sz w:val="20"/>
                <w:szCs w:val="20"/>
                <w:color w:val="auto"/>
              </w:rPr>
            </w:pPr>
            <w:r>
              <w:rPr>
                <w:rFonts w:ascii="Arial" w:cs="Arial" w:eastAsia="Arial" w:hAnsi="Arial"/>
                <w:sz w:val="16"/>
                <w:szCs w:val="16"/>
                <w:color w:val="auto"/>
              </w:rPr>
              <w:t>159,541</w:t>
            </w:r>
          </w:p>
        </w:tc>
      </w:tr>
      <w:tr>
        <w:trPr>
          <w:trHeight w:val="257"/>
        </w:trPr>
        <w:tc>
          <w:tcPr>
            <w:tcW w:w="3240" w:type="dxa"/>
            <w:vAlign w:val="bottom"/>
          </w:tcPr>
          <w:p>
            <w:pPr>
              <w:spacing w:after="0"/>
              <w:rPr>
                <w:sz w:val="20"/>
                <w:szCs w:val="20"/>
                <w:color w:val="auto"/>
              </w:rPr>
            </w:pPr>
            <w:r>
              <w:rPr>
                <w:rFonts w:ascii="Arial" w:cs="Arial" w:eastAsia="Arial" w:hAnsi="Arial"/>
                <w:sz w:val="16"/>
                <w:szCs w:val="16"/>
                <w:color w:val="auto"/>
              </w:rPr>
              <w:t>Euronet Services India Pvt. Ltd.</w:t>
            </w:r>
          </w:p>
        </w:tc>
        <w:tc>
          <w:tcPr>
            <w:tcW w:w="1440" w:type="dxa"/>
            <w:vAlign w:val="bottom"/>
          </w:tcPr>
          <w:p>
            <w:pPr>
              <w:ind w:left="160"/>
              <w:spacing w:after="0"/>
              <w:rPr>
                <w:sz w:val="20"/>
                <w:szCs w:val="20"/>
                <w:color w:val="auto"/>
              </w:rPr>
            </w:pPr>
            <w:r>
              <w:rPr>
                <w:rFonts w:ascii="Arial" w:cs="Arial" w:eastAsia="Arial" w:hAnsi="Arial"/>
                <w:sz w:val="16"/>
                <w:szCs w:val="16"/>
                <w:color w:val="auto"/>
              </w:rPr>
              <w:t>HDFC Bank</w:t>
            </w:r>
          </w:p>
        </w:tc>
        <w:tc>
          <w:tcPr>
            <w:tcW w:w="1580" w:type="dxa"/>
            <w:vAlign w:val="bottom"/>
          </w:tcPr>
          <w:p>
            <w:pPr>
              <w:ind w:left="80"/>
              <w:spacing w:after="0"/>
              <w:rPr>
                <w:sz w:val="20"/>
                <w:szCs w:val="20"/>
                <w:color w:val="auto"/>
              </w:rPr>
            </w:pPr>
            <w:r>
              <w:rPr>
                <w:rFonts w:ascii="Arial" w:cs="Arial" w:eastAsia="Arial" w:hAnsi="Arial"/>
                <w:sz w:val="16"/>
                <w:szCs w:val="16"/>
                <w:color w:val="auto"/>
              </w:rPr>
              <w:t>Bank Guarantee/LC</w:t>
            </w:r>
          </w:p>
        </w:tc>
        <w:tc>
          <w:tcPr>
            <w:tcW w:w="2520" w:type="dxa"/>
            <w:vAlign w:val="bottom"/>
          </w:tcPr>
          <w:p>
            <w:pPr>
              <w:ind w:left="200"/>
              <w:spacing w:after="0"/>
              <w:rPr>
                <w:sz w:val="20"/>
                <w:szCs w:val="20"/>
                <w:color w:val="auto"/>
              </w:rPr>
            </w:pPr>
            <w:r>
              <w:rPr>
                <w:rFonts w:ascii="Arial" w:cs="Arial" w:eastAsia="Arial" w:hAnsi="Arial"/>
                <w:sz w:val="16"/>
                <w:szCs w:val="16"/>
                <w:color w:val="auto"/>
              </w:rPr>
              <w:t>Performance Guarantee</w:t>
            </w:r>
          </w:p>
        </w:tc>
        <w:tc>
          <w:tcPr>
            <w:tcW w:w="1420" w:type="dxa"/>
            <w:vAlign w:val="bottom"/>
          </w:tcPr>
          <w:p>
            <w:pPr>
              <w:jc w:val="right"/>
              <w:spacing w:after="0"/>
              <w:rPr>
                <w:sz w:val="20"/>
                <w:szCs w:val="20"/>
                <w:color w:val="auto"/>
              </w:rPr>
            </w:pPr>
            <w:r>
              <w:rPr>
                <w:rFonts w:ascii="Arial" w:cs="Arial" w:eastAsia="Arial" w:hAnsi="Arial"/>
                <w:sz w:val="16"/>
                <w:szCs w:val="16"/>
                <w:color w:val="auto"/>
              </w:rPr>
              <w:t>INR 10,000,000</w:t>
            </w:r>
          </w:p>
        </w:tc>
        <w:tc>
          <w:tcPr>
            <w:tcW w:w="1180" w:type="dxa"/>
            <w:vAlign w:val="bottom"/>
          </w:tcPr>
          <w:p>
            <w:pPr>
              <w:jc w:val="right"/>
              <w:spacing w:after="0"/>
              <w:rPr>
                <w:sz w:val="20"/>
                <w:szCs w:val="20"/>
                <w:color w:val="auto"/>
              </w:rPr>
            </w:pPr>
            <w:r>
              <w:rPr>
                <w:rFonts w:ascii="Arial" w:cs="Arial" w:eastAsia="Arial" w:hAnsi="Arial"/>
                <w:sz w:val="16"/>
                <w:szCs w:val="16"/>
                <w:color w:val="auto"/>
              </w:rPr>
              <w:t>159,541</w:t>
            </w:r>
          </w:p>
        </w:tc>
      </w:tr>
      <w:tr>
        <w:trPr>
          <w:trHeight w:val="33"/>
        </w:trPr>
        <w:tc>
          <w:tcPr>
            <w:tcW w:w="32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580" w:type="dxa"/>
            <w:vAlign w:val="bottom"/>
          </w:tcPr>
          <w:p>
            <w:pPr>
              <w:spacing w:after="0"/>
              <w:rPr>
                <w:sz w:val="2"/>
                <w:szCs w:val="2"/>
                <w:color w:val="auto"/>
              </w:rPr>
            </w:pPr>
          </w:p>
        </w:tc>
        <w:tc>
          <w:tcPr>
            <w:tcW w:w="25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17"/>
        </w:trPr>
        <w:tc>
          <w:tcPr>
            <w:tcW w:w="3240" w:type="dxa"/>
            <w:vAlign w:val="bottom"/>
          </w:tcPr>
          <w:p>
            <w:pPr>
              <w:spacing w:after="0"/>
              <w:rPr>
                <w:sz w:val="20"/>
                <w:szCs w:val="20"/>
                <w:color w:val="auto"/>
              </w:rPr>
            </w:pPr>
            <w:r>
              <w:rPr>
                <w:rFonts w:ascii="Arial" w:cs="Arial" w:eastAsia="Arial" w:hAnsi="Arial"/>
                <w:sz w:val="16"/>
                <w:szCs w:val="16"/>
                <w:b w:val="1"/>
                <w:bCs w:val="1"/>
                <w:color w:val="auto"/>
              </w:rPr>
              <w:t>Euronet Services India Pvt. Ltd. Total</w:t>
            </w:r>
          </w:p>
        </w:tc>
        <w:tc>
          <w:tcPr>
            <w:tcW w:w="144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b w:val="1"/>
                <w:bCs w:val="1"/>
                <w:color w:val="auto"/>
              </w:rPr>
              <w:t>645,674</w:t>
            </w:r>
          </w:p>
        </w:tc>
      </w:tr>
      <w:tr>
        <w:trPr>
          <w:trHeight w:val="527"/>
        </w:trPr>
        <w:tc>
          <w:tcPr>
            <w:tcW w:w="3240" w:type="dxa"/>
            <w:vAlign w:val="bottom"/>
          </w:tcPr>
          <w:p>
            <w:pPr>
              <w:spacing w:after="0"/>
              <w:rPr>
                <w:sz w:val="20"/>
                <w:szCs w:val="20"/>
                <w:color w:val="auto"/>
              </w:rPr>
            </w:pPr>
            <w:r>
              <w:rPr>
                <w:rFonts w:ascii="Arial" w:cs="Arial" w:eastAsia="Arial" w:hAnsi="Arial"/>
                <w:sz w:val="16"/>
                <w:szCs w:val="16"/>
                <w:color w:val="auto"/>
              </w:rPr>
              <w:t>Euronet Services Kft.</w:t>
            </w:r>
          </w:p>
        </w:tc>
        <w:tc>
          <w:tcPr>
            <w:tcW w:w="1440" w:type="dxa"/>
            <w:vAlign w:val="bottom"/>
          </w:tcPr>
          <w:p>
            <w:pPr>
              <w:ind w:left="160"/>
              <w:spacing w:after="0"/>
              <w:rPr>
                <w:sz w:val="20"/>
                <w:szCs w:val="20"/>
                <w:color w:val="auto"/>
              </w:rPr>
            </w:pPr>
            <w:r>
              <w:rPr>
                <w:rFonts w:ascii="Arial" w:cs="Arial" w:eastAsia="Arial" w:hAnsi="Arial"/>
                <w:sz w:val="16"/>
                <w:szCs w:val="16"/>
                <w:color w:val="auto"/>
              </w:rPr>
              <w:t>K&amp;H Bank Zrt.</w:t>
            </w:r>
          </w:p>
        </w:tc>
        <w:tc>
          <w:tcPr>
            <w:tcW w:w="1580" w:type="dxa"/>
            <w:vAlign w:val="bottom"/>
          </w:tcPr>
          <w:p>
            <w:pPr>
              <w:ind w:left="80"/>
              <w:spacing w:after="0"/>
              <w:rPr>
                <w:sz w:val="20"/>
                <w:szCs w:val="20"/>
                <w:color w:val="auto"/>
              </w:rPr>
            </w:pPr>
            <w:r>
              <w:rPr>
                <w:rFonts w:ascii="Arial" w:cs="Arial" w:eastAsia="Arial" w:hAnsi="Arial"/>
                <w:sz w:val="16"/>
                <w:szCs w:val="16"/>
                <w:color w:val="auto"/>
              </w:rPr>
              <w:t>Bank Guarantee/LC</w:t>
            </w:r>
          </w:p>
        </w:tc>
        <w:tc>
          <w:tcPr>
            <w:tcW w:w="2520" w:type="dxa"/>
            <w:vAlign w:val="bottom"/>
          </w:tcPr>
          <w:p>
            <w:pPr>
              <w:ind w:left="200"/>
              <w:spacing w:after="0"/>
              <w:rPr>
                <w:sz w:val="20"/>
                <w:szCs w:val="20"/>
                <w:color w:val="auto"/>
              </w:rPr>
            </w:pPr>
            <w:r>
              <w:rPr>
                <w:rFonts w:ascii="Arial" w:cs="Arial" w:eastAsia="Arial" w:hAnsi="Arial"/>
                <w:sz w:val="16"/>
                <w:szCs w:val="16"/>
                <w:color w:val="auto"/>
              </w:rPr>
              <w:t>Payment guarantee</w:t>
            </w:r>
          </w:p>
        </w:tc>
        <w:tc>
          <w:tcPr>
            <w:tcW w:w="1420" w:type="dxa"/>
            <w:vAlign w:val="bottom"/>
          </w:tcPr>
          <w:p>
            <w:pPr>
              <w:jc w:val="right"/>
              <w:spacing w:after="0"/>
              <w:rPr>
                <w:sz w:val="20"/>
                <w:szCs w:val="20"/>
                <w:color w:val="auto"/>
              </w:rPr>
            </w:pPr>
            <w:r>
              <w:rPr>
                <w:rFonts w:ascii="Arial" w:cs="Arial" w:eastAsia="Arial" w:hAnsi="Arial"/>
                <w:sz w:val="16"/>
                <w:szCs w:val="16"/>
                <w:color w:val="auto"/>
              </w:rPr>
              <w:t>EUR 37,500</w:t>
            </w:r>
          </w:p>
        </w:tc>
        <w:tc>
          <w:tcPr>
            <w:tcW w:w="1180" w:type="dxa"/>
            <w:vAlign w:val="bottom"/>
          </w:tcPr>
          <w:p>
            <w:pPr>
              <w:jc w:val="right"/>
              <w:spacing w:after="0"/>
              <w:rPr>
                <w:sz w:val="20"/>
                <w:szCs w:val="20"/>
                <w:color w:val="auto"/>
              </w:rPr>
            </w:pPr>
            <w:r>
              <w:rPr>
                <w:rFonts w:ascii="Arial" w:cs="Arial" w:eastAsia="Arial" w:hAnsi="Arial"/>
                <w:sz w:val="16"/>
                <w:szCs w:val="16"/>
                <w:color w:val="auto"/>
              </w:rPr>
              <w:t>50,674</w:t>
            </w:r>
          </w:p>
        </w:tc>
      </w:tr>
      <w:tr>
        <w:trPr>
          <w:trHeight w:val="33"/>
        </w:trPr>
        <w:tc>
          <w:tcPr>
            <w:tcW w:w="32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580" w:type="dxa"/>
            <w:vAlign w:val="bottom"/>
          </w:tcPr>
          <w:p>
            <w:pPr>
              <w:spacing w:after="0"/>
              <w:rPr>
                <w:sz w:val="2"/>
                <w:szCs w:val="2"/>
                <w:color w:val="auto"/>
              </w:rPr>
            </w:pPr>
          </w:p>
        </w:tc>
        <w:tc>
          <w:tcPr>
            <w:tcW w:w="25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17"/>
        </w:trPr>
        <w:tc>
          <w:tcPr>
            <w:tcW w:w="3240" w:type="dxa"/>
            <w:vAlign w:val="bottom"/>
          </w:tcPr>
          <w:p>
            <w:pPr>
              <w:spacing w:after="0"/>
              <w:rPr>
                <w:sz w:val="20"/>
                <w:szCs w:val="20"/>
                <w:color w:val="auto"/>
              </w:rPr>
            </w:pPr>
            <w:r>
              <w:rPr>
                <w:rFonts w:ascii="Arial" w:cs="Arial" w:eastAsia="Arial" w:hAnsi="Arial"/>
                <w:sz w:val="16"/>
                <w:szCs w:val="16"/>
                <w:b w:val="1"/>
                <w:bCs w:val="1"/>
                <w:color w:val="auto"/>
              </w:rPr>
              <w:t>Euronet Services Kft. Total</w:t>
            </w:r>
          </w:p>
        </w:tc>
        <w:tc>
          <w:tcPr>
            <w:tcW w:w="144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b w:val="1"/>
                <w:bCs w:val="1"/>
                <w:color w:val="auto"/>
              </w:rPr>
              <w:t>50,674</w:t>
            </w:r>
          </w:p>
        </w:tc>
      </w:tr>
      <w:tr>
        <w:trPr>
          <w:trHeight w:val="523"/>
        </w:trPr>
        <w:tc>
          <w:tcPr>
            <w:tcW w:w="324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2520" w:type="dxa"/>
            <w:vAlign w:val="bottom"/>
          </w:tcPr>
          <w:p>
            <w:pPr>
              <w:ind w:left="200"/>
              <w:spacing w:after="0"/>
              <w:rPr>
                <w:sz w:val="20"/>
                <w:szCs w:val="20"/>
                <w:color w:val="auto"/>
              </w:rPr>
            </w:pPr>
            <w:r>
              <w:rPr>
                <w:rFonts w:ascii="Arial" w:cs="Arial" w:eastAsia="Arial" w:hAnsi="Arial"/>
                <w:sz w:val="16"/>
                <w:szCs w:val="16"/>
                <w:color w:val="auto"/>
              </w:rPr>
              <w:t>Office Rent/Oper. Lease Agmt</w:t>
            </w:r>
          </w:p>
        </w:tc>
        <w:tc>
          <w:tcPr>
            <w:tcW w:w="1420" w:type="dxa"/>
            <w:vAlign w:val="bottom"/>
          </w:tcPr>
          <w:p>
            <w:pPr>
              <w:spacing w:after="0"/>
              <w:rPr>
                <w:sz w:val="24"/>
                <w:szCs w:val="24"/>
                <w:color w:val="auto"/>
              </w:rPr>
            </w:pPr>
          </w:p>
        </w:tc>
        <w:tc>
          <w:tcPr>
            <w:tcW w:w="1180" w:type="dxa"/>
            <w:vAlign w:val="bottom"/>
          </w:tcPr>
          <w:p>
            <w:pPr>
              <w:spacing w:after="0"/>
              <w:rPr>
                <w:sz w:val="24"/>
                <w:szCs w:val="24"/>
                <w:color w:val="auto"/>
              </w:rPr>
            </w:pPr>
          </w:p>
        </w:tc>
      </w:tr>
      <w:tr>
        <w:trPr>
          <w:trHeight w:val="206"/>
        </w:trPr>
        <w:tc>
          <w:tcPr>
            <w:tcW w:w="3240" w:type="dxa"/>
            <w:vAlign w:val="bottom"/>
          </w:tcPr>
          <w:p>
            <w:pPr>
              <w:spacing w:after="0"/>
              <w:rPr>
                <w:sz w:val="20"/>
                <w:szCs w:val="20"/>
                <w:color w:val="auto"/>
              </w:rPr>
            </w:pPr>
            <w:r>
              <w:rPr>
                <w:rFonts w:ascii="Arial" w:cs="Arial" w:eastAsia="Arial" w:hAnsi="Arial"/>
                <w:sz w:val="16"/>
                <w:szCs w:val="16"/>
                <w:color w:val="auto"/>
              </w:rPr>
              <w:t>EWI (on behalf of Euronet Services S.R.L.)</w:t>
            </w:r>
          </w:p>
        </w:tc>
        <w:tc>
          <w:tcPr>
            <w:tcW w:w="1440" w:type="dxa"/>
            <w:vAlign w:val="bottom"/>
          </w:tcPr>
          <w:p>
            <w:pPr>
              <w:ind w:left="160"/>
              <w:spacing w:after="0"/>
              <w:rPr>
                <w:sz w:val="20"/>
                <w:szCs w:val="20"/>
                <w:color w:val="auto"/>
              </w:rPr>
            </w:pPr>
            <w:r>
              <w:rPr>
                <w:rFonts w:ascii="Arial" w:cs="Arial" w:eastAsia="Arial" w:hAnsi="Arial"/>
                <w:sz w:val="16"/>
                <w:szCs w:val="16"/>
                <w:color w:val="auto"/>
              </w:rPr>
              <w:t>Bank of America</w:t>
            </w:r>
          </w:p>
        </w:tc>
        <w:tc>
          <w:tcPr>
            <w:tcW w:w="1580" w:type="dxa"/>
            <w:vAlign w:val="bottom"/>
          </w:tcPr>
          <w:p>
            <w:pPr>
              <w:ind w:left="80"/>
              <w:spacing w:after="0"/>
              <w:rPr>
                <w:sz w:val="20"/>
                <w:szCs w:val="20"/>
                <w:color w:val="auto"/>
              </w:rPr>
            </w:pPr>
            <w:r>
              <w:rPr>
                <w:rFonts w:ascii="Arial" w:cs="Arial" w:eastAsia="Arial" w:hAnsi="Arial"/>
                <w:sz w:val="16"/>
                <w:szCs w:val="16"/>
                <w:color w:val="auto"/>
              </w:rPr>
              <w:t>Bank Guarantee/LC</w:t>
            </w:r>
          </w:p>
        </w:tc>
        <w:tc>
          <w:tcPr>
            <w:tcW w:w="2520" w:type="dxa"/>
            <w:vAlign w:val="bottom"/>
          </w:tcPr>
          <w:p>
            <w:pPr>
              <w:ind w:left="200"/>
              <w:spacing w:after="0"/>
              <w:rPr>
                <w:sz w:val="20"/>
                <w:szCs w:val="20"/>
                <w:color w:val="auto"/>
              </w:rPr>
            </w:pPr>
            <w:r>
              <w:rPr>
                <w:rFonts w:ascii="Arial" w:cs="Arial" w:eastAsia="Arial" w:hAnsi="Arial"/>
                <w:sz w:val="16"/>
                <w:szCs w:val="16"/>
                <w:color w:val="auto"/>
              </w:rPr>
              <w:t>&amp; Visa Card Facility</w:t>
            </w:r>
          </w:p>
        </w:tc>
        <w:tc>
          <w:tcPr>
            <w:tcW w:w="1420" w:type="dxa"/>
            <w:vAlign w:val="bottom"/>
          </w:tcPr>
          <w:p>
            <w:pPr>
              <w:jc w:val="right"/>
              <w:spacing w:after="0"/>
              <w:rPr>
                <w:sz w:val="20"/>
                <w:szCs w:val="20"/>
                <w:color w:val="auto"/>
              </w:rPr>
            </w:pPr>
            <w:r>
              <w:rPr>
                <w:rFonts w:ascii="Arial" w:cs="Arial" w:eastAsia="Arial" w:hAnsi="Arial"/>
                <w:sz w:val="16"/>
                <w:szCs w:val="16"/>
                <w:color w:val="auto"/>
              </w:rPr>
              <w:t>EUR 92,000</w:t>
            </w:r>
          </w:p>
        </w:tc>
        <w:tc>
          <w:tcPr>
            <w:tcW w:w="1180" w:type="dxa"/>
            <w:vAlign w:val="bottom"/>
          </w:tcPr>
          <w:p>
            <w:pPr>
              <w:jc w:val="right"/>
              <w:spacing w:after="0"/>
              <w:rPr>
                <w:sz w:val="20"/>
                <w:szCs w:val="20"/>
                <w:color w:val="auto"/>
              </w:rPr>
            </w:pPr>
            <w:r>
              <w:rPr>
                <w:rFonts w:ascii="Arial" w:cs="Arial" w:eastAsia="Arial" w:hAnsi="Arial"/>
                <w:sz w:val="16"/>
                <w:szCs w:val="16"/>
                <w:color w:val="auto"/>
              </w:rPr>
              <w:t>124,320</w:t>
            </w:r>
          </w:p>
        </w:tc>
      </w:tr>
      <w:tr>
        <w:trPr>
          <w:trHeight w:val="33"/>
        </w:trPr>
        <w:tc>
          <w:tcPr>
            <w:tcW w:w="32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580" w:type="dxa"/>
            <w:vAlign w:val="bottom"/>
          </w:tcPr>
          <w:p>
            <w:pPr>
              <w:spacing w:after="0"/>
              <w:rPr>
                <w:sz w:val="2"/>
                <w:szCs w:val="2"/>
                <w:color w:val="auto"/>
              </w:rPr>
            </w:pPr>
          </w:p>
        </w:tc>
        <w:tc>
          <w:tcPr>
            <w:tcW w:w="25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17"/>
        </w:trPr>
        <w:tc>
          <w:tcPr>
            <w:tcW w:w="3240" w:type="dxa"/>
            <w:vAlign w:val="bottom"/>
          </w:tcPr>
          <w:p>
            <w:pPr>
              <w:spacing w:after="0"/>
              <w:rPr>
                <w:sz w:val="20"/>
                <w:szCs w:val="20"/>
                <w:color w:val="auto"/>
              </w:rPr>
            </w:pPr>
            <w:r>
              <w:rPr>
                <w:rFonts w:ascii="Arial" w:cs="Arial" w:eastAsia="Arial" w:hAnsi="Arial"/>
                <w:sz w:val="16"/>
                <w:szCs w:val="16"/>
                <w:b w:val="1"/>
                <w:bCs w:val="1"/>
                <w:color w:val="auto"/>
              </w:rPr>
              <w:t>Euronet Services S.R.L. Total</w:t>
            </w:r>
          </w:p>
        </w:tc>
        <w:tc>
          <w:tcPr>
            <w:tcW w:w="144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b w:val="1"/>
                <w:bCs w:val="1"/>
                <w:color w:val="auto"/>
              </w:rPr>
              <w:t>124,320</w:t>
            </w:r>
          </w:p>
        </w:tc>
      </w:tr>
      <w:tr>
        <w:trPr>
          <w:trHeight w:val="527"/>
        </w:trPr>
        <w:tc>
          <w:tcPr>
            <w:tcW w:w="3240" w:type="dxa"/>
            <w:vAlign w:val="bottom"/>
          </w:tcPr>
          <w:p>
            <w:pPr>
              <w:spacing w:after="0"/>
              <w:rPr>
                <w:sz w:val="20"/>
                <w:szCs w:val="20"/>
                <w:color w:val="auto"/>
              </w:rPr>
            </w:pPr>
            <w:r>
              <w:rPr>
                <w:rFonts w:ascii="Arial" w:cs="Arial" w:eastAsia="Arial" w:hAnsi="Arial"/>
                <w:sz w:val="16"/>
                <w:szCs w:val="16"/>
                <w:color w:val="auto"/>
                <w:w w:val="96"/>
              </w:rPr>
              <w:t>EWI (on behalf of Euronet Telerecarga, S.L.U.)</w:t>
            </w:r>
          </w:p>
        </w:tc>
        <w:tc>
          <w:tcPr>
            <w:tcW w:w="1440" w:type="dxa"/>
            <w:vAlign w:val="bottom"/>
          </w:tcPr>
          <w:p>
            <w:pPr>
              <w:ind w:left="160"/>
              <w:spacing w:after="0"/>
              <w:rPr>
                <w:sz w:val="20"/>
                <w:szCs w:val="20"/>
                <w:color w:val="auto"/>
              </w:rPr>
            </w:pPr>
            <w:r>
              <w:rPr>
                <w:rFonts w:ascii="Arial" w:cs="Arial" w:eastAsia="Arial" w:hAnsi="Arial"/>
                <w:sz w:val="16"/>
                <w:szCs w:val="16"/>
                <w:color w:val="auto"/>
              </w:rPr>
              <w:t>Bank of America</w:t>
            </w:r>
          </w:p>
        </w:tc>
        <w:tc>
          <w:tcPr>
            <w:tcW w:w="1580" w:type="dxa"/>
            <w:vAlign w:val="bottom"/>
          </w:tcPr>
          <w:p>
            <w:pPr>
              <w:ind w:left="80"/>
              <w:spacing w:after="0"/>
              <w:rPr>
                <w:sz w:val="20"/>
                <w:szCs w:val="20"/>
                <w:color w:val="auto"/>
              </w:rPr>
            </w:pPr>
            <w:r>
              <w:rPr>
                <w:rFonts w:ascii="Arial" w:cs="Arial" w:eastAsia="Arial" w:hAnsi="Arial"/>
                <w:sz w:val="16"/>
                <w:szCs w:val="16"/>
                <w:color w:val="auto"/>
              </w:rPr>
              <w:t>Bank Guarantee/LC</w:t>
            </w:r>
          </w:p>
        </w:tc>
        <w:tc>
          <w:tcPr>
            <w:tcW w:w="2520" w:type="dxa"/>
            <w:vAlign w:val="bottom"/>
          </w:tcPr>
          <w:p>
            <w:pPr>
              <w:ind w:left="200"/>
              <w:spacing w:after="0"/>
              <w:rPr>
                <w:sz w:val="20"/>
                <w:szCs w:val="20"/>
                <w:color w:val="auto"/>
              </w:rPr>
            </w:pPr>
            <w:r>
              <w:rPr>
                <w:rFonts w:ascii="Arial" w:cs="Arial" w:eastAsia="Arial" w:hAnsi="Arial"/>
                <w:sz w:val="16"/>
                <w:szCs w:val="16"/>
                <w:color w:val="auto"/>
              </w:rPr>
              <w:t>Trade Credit</w:t>
            </w:r>
          </w:p>
        </w:tc>
        <w:tc>
          <w:tcPr>
            <w:tcW w:w="1420" w:type="dxa"/>
            <w:vAlign w:val="bottom"/>
          </w:tcPr>
          <w:p>
            <w:pPr>
              <w:jc w:val="right"/>
              <w:spacing w:after="0"/>
              <w:rPr>
                <w:sz w:val="20"/>
                <w:szCs w:val="20"/>
                <w:color w:val="auto"/>
              </w:rPr>
            </w:pPr>
            <w:r>
              <w:rPr>
                <w:rFonts w:ascii="Arial" w:cs="Arial" w:eastAsia="Arial" w:hAnsi="Arial"/>
                <w:sz w:val="16"/>
                <w:szCs w:val="16"/>
                <w:color w:val="auto"/>
              </w:rPr>
              <w:t>EUR 3,250,000</w:t>
            </w:r>
          </w:p>
        </w:tc>
        <w:tc>
          <w:tcPr>
            <w:tcW w:w="1180" w:type="dxa"/>
            <w:vAlign w:val="bottom"/>
          </w:tcPr>
          <w:p>
            <w:pPr>
              <w:jc w:val="right"/>
              <w:spacing w:after="0"/>
              <w:rPr>
                <w:sz w:val="20"/>
                <w:szCs w:val="20"/>
                <w:color w:val="auto"/>
              </w:rPr>
            </w:pPr>
            <w:r>
              <w:rPr>
                <w:rFonts w:ascii="Arial" w:cs="Arial" w:eastAsia="Arial" w:hAnsi="Arial"/>
                <w:sz w:val="16"/>
                <w:szCs w:val="16"/>
                <w:color w:val="auto"/>
              </w:rPr>
              <w:t>4,391,725</w:t>
            </w:r>
          </w:p>
        </w:tc>
      </w:tr>
      <w:tr>
        <w:trPr>
          <w:trHeight w:val="257"/>
        </w:trPr>
        <w:tc>
          <w:tcPr>
            <w:tcW w:w="3240" w:type="dxa"/>
            <w:vAlign w:val="bottom"/>
          </w:tcPr>
          <w:p>
            <w:pPr>
              <w:spacing w:after="0"/>
              <w:rPr>
                <w:sz w:val="20"/>
                <w:szCs w:val="20"/>
                <w:color w:val="auto"/>
              </w:rPr>
            </w:pPr>
            <w:r>
              <w:rPr>
                <w:rFonts w:ascii="Arial" w:cs="Arial" w:eastAsia="Arial" w:hAnsi="Arial"/>
                <w:sz w:val="16"/>
                <w:szCs w:val="16"/>
                <w:color w:val="auto"/>
                <w:w w:val="96"/>
              </w:rPr>
              <w:t>EWI (on behalf of Euronet Telerecarga, S.L.U.)</w:t>
            </w:r>
          </w:p>
        </w:tc>
        <w:tc>
          <w:tcPr>
            <w:tcW w:w="1440" w:type="dxa"/>
            <w:vAlign w:val="bottom"/>
          </w:tcPr>
          <w:p>
            <w:pPr>
              <w:ind w:left="160"/>
              <w:spacing w:after="0"/>
              <w:rPr>
                <w:sz w:val="20"/>
                <w:szCs w:val="20"/>
                <w:color w:val="auto"/>
              </w:rPr>
            </w:pPr>
            <w:r>
              <w:rPr>
                <w:rFonts w:ascii="Arial" w:cs="Arial" w:eastAsia="Arial" w:hAnsi="Arial"/>
                <w:sz w:val="16"/>
                <w:szCs w:val="16"/>
                <w:color w:val="auto"/>
              </w:rPr>
              <w:t>Bank of America</w:t>
            </w:r>
          </w:p>
        </w:tc>
        <w:tc>
          <w:tcPr>
            <w:tcW w:w="1580" w:type="dxa"/>
            <w:vAlign w:val="bottom"/>
          </w:tcPr>
          <w:p>
            <w:pPr>
              <w:ind w:left="80"/>
              <w:spacing w:after="0"/>
              <w:rPr>
                <w:sz w:val="20"/>
                <w:szCs w:val="20"/>
                <w:color w:val="auto"/>
              </w:rPr>
            </w:pPr>
            <w:r>
              <w:rPr>
                <w:rFonts w:ascii="Arial" w:cs="Arial" w:eastAsia="Arial" w:hAnsi="Arial"/>
                <w:sz w:val="16"/>
                <w:szCs w:val="16"/>
                <w:color w:val="auto"/>
              </w:rPr>
              <w:t>Bank Guarantee/LC</w:t>
            </w:r>
          </w:p>
        </w:tc>
        <w:tc>
          <w:tcPr>
            <w:tcW w:w="2520" w:type="dxa"/>
            <w:vAlign w:val="bottom"/>
          </w:tcPr>
          <w:p>
            <w:pPr>
              <w:ind w:left="200"/>
              <w:spacing w:after="0"/>
              <w:rPr>
                <w:sz w:val="20"/>
                <w:szCs w:val="20"/>
                <w:color w:val="auto"/>
              </w:rPr>
            </w:pPr>
            <w:r>
              <w:rPr>
                <w:rFonts w:ascii="Arial" w:cs="Arial" w:eastAsia="Arial" w:hAnsi="Arial"/>
                <w:sz w:val="16"/>
                <w:szCs w:val="16"/>
                <w:color w:val="auto"/>
              </w:rPr>
              <w:t>Trade Credit</w:t>
            </w:r>
          </w:p>
        </w:tc>
        <w:tc>
          <w:tcPr>
            <w:tcW w:w="1420" w:type="dxa"/>
            <w:vAlign w:val="bottom"/>
          </w:tcPr>
          <w:p>
            <w:pPr>
              <w:jc w:val="right"/>
              <w:spacing w:after="0"/>
              <w:rPr>
                <w:sz w:val="20"/>
                <w:szCs w:val="20"/>
                <w:color w:val="auto"/>
              </w:rPr>
            </w:pPr>
            <w:r>
              <w:rPr>
                <w:rFonts w:ascii="Arial" w:cs="Arial" w:eastAsia="Arial" w:hAnsi="Arial"/>
                <w:sz w:val="16"/>
                <w:szCs w:val="16"/>
                <w:color w:val="auto"/>
              </w:rPr>
              <w:t>EUR 1,000,000</w:t>
            </w:r>
          </w:p>
        </w:tc>
        <w:tc>
          <w:tcPr>
            <w:tcW w:w="1180" w:type="dxa"/>
            <w:vAlign w:val="bottom"/>
          </w:tcPr>
          <w:p>
            <w:pPr>
              <w:jc w:val="right"/>
              <w:spacing w:after="0"/>
              <w:rPr>
                <w:sz w:val="20"/>
                <w:szCs w:val="20"/>
                <w:color w:val="auto"/>
              </w:rPr>
            </w:pPr>
            <w:r>
              <w:rPr>
                <w:rFonts w:ascii="Arial" w:cs="Arial" w:eastAsia="Arial" w:hAnsi="Arial"/>
                <w:sz w:val="16"/>
                <w:szCs w:val="16"/>
                <w:color w:val="auto"/>
              </w:rPr>
              <w:t>1,351,300</w:t>
            </w:r>
          </w:p>
        </w:tc>
      </w:tr>
      <w:tr>
        <w:trPr>
          <w:trHeight w:val="257"/>
        </w:trPr>
        <w:tc>
          <w:tcPr>
            <w:tcW w:w="3240" w:type="dxa"/>
            <w:vAlign w:val="bottom"/>
          </w:tcPr>
          <w:p>
            <w:pPr>
              <w:spacing w:after="0"/>
              <w:rPr>
                <w:sz w:val="20"/>
                <w:szCs w:val="20"/>
                <w:color w:val="auto"/>
              </w:rPr>
            </w:pPr>
            <w:r>
              <w:rPr>
                <w:rFonts w:ascii="Arial" w:cs="Arial" w:eastAsia="Arial" w:hAnsi="Arial"/>
                <w:sz w:val="16"/>
                <w:szCs w:val="16"/>
                <w:color w:val="auto"/>
                <w:w w:val="96"/>
              </w:rPr>
              <w:t>EWI (on behalf of Euronet Telerecarga, S.L.U.)</w:t>
            </w:r>
          </w:p>
        </w:tc>
        <w:tc>
          <w:tcPr>
            <w:tcW w:w="1440" w:type="dxa"/>
            <w:vAlign w:val="bottom"/>
          </w:tcPr>
          <w:p>
            <w:pPr>
              <w:ind w:left="160"/>
              <w:spacing w:after="0"/>
              <w:rPr>
                <w:sz w:val="20"/>
                <w:szCs w:val="20"/>
                <w:color w:val="auto"/>
              </w:rPr>
            </w:pPr>
            <w:r>
              <w:rPr>
                <w:rFonts w:ascii="Arial" w:cs="Arial" w:eastAsia="Arial" w:hAnsi="Arial"/>
                <w:sz w:val="16"/>
                <w:szCs w:val="16"/>
                <w:color w:val="auto"/>
              </w:rPr>
              <w:t>Bank of America</w:t>
            </w:r>
          </w:p>
        </w:tc>
        <w:tc>
          <w:tcPr>
            <w:tcW w:w="1580" w:type="dxa"/>
            <w:vAlign w:val="bottom"/>
          </w:tcPr>
          <w:p>
            <w:pPr>
              <w:ind w:left="80"/>
              <w:spacing w:after="0"/>
              <w:rPr>
                <w:sz w:val="20"/>
                <w:szCs w:val="20"/>
                <w:color w:val="auto"/>
              </w:rPr>
            </w:pPr>
            <w:r>
              <w:rPr>
                <w:rFonts w:ascii="Arial" w:cs="Arial" w:eastAsia="Arial" w:hAnsi="Arial"/>
                <w:sz w:val="16"/>
                <w:szCs w:val="16"/>
                <w:color w:val="auto"/>
              </w:rPr>
              <w:t>Bank Guarantee/LC</w:t>
            </w:r>
          </w:p>
        </w:tc>
        <w:tc>
          <w:tcPr>
            <w:tcW w:w="2520" w:type="dxa"/>
            <w:vAlign w:val="bottom"/>
          </w:tcPr>
          <w:p>
            <w:pPr>
              <w:ind w:left="200"/>
              <w:spacing w:after="0"/>
              <w:rPr>
                <w:sz w:val="20"/>
                <w:szCs w:val="20"/>
                <w:color w:val="auto"/>
              </w:rPr>
            </w:pPr>
            <w:r>
              <w:rPr>
                <w:rFonts w:ascii="Arial" w:cs="Arial" w:eastAsia="Arial" w:hAnsi="Arial"/>
                <w:sz w:val="16"/>
                <w:szCs w:val="16"/>
                <w:color w:val="auto"/>
              </w:rPr>
              <w:t>Trade Credit</w:t>
            </w:r>
          </w:p>
        </w:tc>
        <w:tc>
          <w:tcPr>
            <w:tcW w:w="1420" w:type="dxa"/>
            <w:vAlign w:val="bottom"/>
          </w:tcPr>
          <w:p>
            <w:pPr>
              <w:jc w:val="right"/>
              <w:spacing w:after="0"/>
              <w:rPr>
                <w:sz w:val="20"/>
                <w:szCs w:val="20"/>
                <w:color w:val="auto"/>
              </w:rPr>
            </w:pPr>
            <w:r>
              <w:rPr>
                <w:rFonts w:ascii="Arial" w:cs="Arial" w:eastAsia="Arial" w:hAnsi="Arial"/>
                <w:sz w:val="16"/>
                <w:szCs w:val="16"/>
                <w:color w:val="auto"/>
              </w:rPr>
              <w:t>EUR 700,000</w:t>
            </w:r>
          </w:p>
        </w:tc>
        <w:tc>
          <w:tcPr>
            <w:tcW w:w="1180" w:type="dxa"/>
            <w:vAlign w:val="bottom"/>
          </w:tcPr>
          <w:p>
            <w:pPr>
              <w:jc w:val="right"/>
              <w:spacing w:after="0"/>
              <w:rPr>
                <w:sz w:val="20"/>
                <w:szCs w:val="20"/>
                <w:color w:val="auto"/>
              </w:rPr>
            </w:pPr>
            <w:r>
              <w:rPr>
                <w:rFonts w:ascii="Arial" w:cs="Arial" w:eastAsia="Arial" w:hAnsi="Arial"/>
                <w:sz w:val="16"/>
                <w:szCs w:val="16"/>
                <w:color w:val="auto"/>
              </w:rPr>
              <w:t>945,910</w:t>
            </w:r>
          </w:p>
        </w:tc>
      </w:tr>
      <w:tr>
        <w:trPr>
          <w:trHeight w:val="257"/>
        </w:trPr>
        <w:tc>
          <w:tcPr>
            <w:tcW w:w="3240" w:type="dxa"/>
            <w:vAlign w:val="bottom"/>
          </w:tcPr>
          <w:p>
            <w:pPr>
              <w:spacing w:after="0"/>
              <w:rPr>
                <w:sz w:val="20"/>
                <w:szCs w:val="20"/>
                <w:color w:val="auto"/>
              </w:rPr>
            </w:pPr>
            <w:r>
              <w:rPr>
                <w:rFonts w:ascii="Arial" w:cs="Arial" w:eastAsia="Arial" w:hAnsi="Arial"/>
                <w:sz w:val="16"/>
                <w:szCs w:val="16"/>
                <w:color w:val="auto"/>
                <w:w w:val="96"/>
              </w:rPr>
              <w:t>EWI (on behalf of Euronet Telerecarga, S.L.U.)</w:t>
            </w:r>
          </w:p>
        </w:tc>
        <w:tc>
          <w:tcPr>
            <w:tcW w:w="1440" w:type="dxa"/>
            <w:vAlign w:val="bottom"/>
          </w:tcPr>
          <w:p>
            <w:pPr>
              <w:ind w:left="160"/>
              <w:spacing w:after="0"/>
              <w:rPr>
                <w:sz w:val="20"/>
                <w:szCs w:val="20"/>
                <w:color w:val="auto"/>
              </w:rPr>
            </w:pPr>
            <w:r>
              <w:rPr>
                <w:rFonts w:ascii="Arial" w:cs="Arial" w:eastAsia="Arial" w:hAnsi="Arial"/>
                <w:sz w:val="16"/>
                <w:szCs w:val="16"/>
                <w:color w:val="auto"/>
              </w:rPr>
              <w:t>Bank of America</w:t>
            </w:r>
          </w:p>
        </w:tc>
        <w:tc>
          <w:tcPr>
            <w:tcW w:w="1580" w:type="dxa"/>
            <w:vAlign w:val="bottom"/>
          </w:tcPr>
          <w:p>
            <w:pPr>
              <w:ind w:left="80"/>
              <w:spacing w:after="0"/>
              <w:rPr>
                <w:sz w:val="20"/>
                <w:szCs w:val="20"/>
                <w:color w:val="auto"/>
              </w:rPr>
            </w:pPr>
            <w:r>
              <w:rPr>
                <w:rFonts w:ascii="Arial" w:cs="Arial" w:eastAsia="Arial" w:hAnsi="Arial"/>
                <w:sz w:val="16"/>
                <w:szCs w:val="16"/>
                <w:color w:val="auto"/>
              </w:rPr>
              <w:t>Bank Guarantee/LC</w:t>
            </w:r>
          </w:p>
        </w:tc>
        <w:tc>
          <w:tcPr>
            <w:tcW w:w="2520" w:type="dxa"/>
            <w:vAlign w:val="bottom"/>
          </w:tcPr>
          <w:p>
            <w:pPr>
              <w:ind w:left="200"/>
              <w:spacing w:after="0"/>
              <w:rPr>
                <w:sz w:val="20"/>
                <w:szCs w:val="20"/>
                <w:color w:val="auto"/>
              </w:rPr>
            </w:pPr>
            <w:r>
              <w:rPr>
                <w:rFonts w:ascii="Arial" w:cs="Arial" w:eastAsia="Arial" w:hAnsi="Arial"/>
                <w:sz w:val="16"/>
                <w:szCs w:val="16"/>
                <w:color w:val="auto"/>
              </w:rPr>
              <w:t>Trade Credit</w:t>
            </w:r>
          </w:p>
        </w:tc>
        <w:tc>
          <w:tcPr>
            <w:tcW w:w="1420" w:type="dxa"/>
            <w:vAlign w:val="bottom"/>
          </w:tcPr>
          <w:p>
            <w:pPr>
              <w:jc w:val="right"/>
              <w:spacing w:after="0"/>
              <w:rPr>
                <w:sz w:val="20"/>
                <w:szCs w:val="20"/>
                <w:color w:val="auto"/>
              </w:rPr>
            </w:pPr>
            <w:r>
              <w:rPr>
                <w:rFonts w:ascii="Arial" w:cs="Arial" w:eastAsia="Arial" w:hAnsi="Arial"/>
                <w:sz w:val="16"/>
                <w:szCs w:val="16"/>
                <w:color w:val="auto"/>
              </w:rPr>
              <w:t>EUR 500,000</w:t>
            </w:r>
          </w:p>
        </w:tc>
        <w:tc>
          <w:tcPr>
            <w:tcW w:w="1180" w:type="dxa"/>
            <w:vAlign w:val="bottom"/>
          </w:tcPr>
          <w:p>
            <w:pPr>
              <w:jc w:val="right"/>
              <w:spacing w:after="0"/>
              <w:rPr>
                <w:sz w:val="20"/>
                <w:szCs w:val="20"/>
                <w:color w:val="auto"/>
              </w:rPr>
            </w:pPr>
            <w:r>
              <w:rPr>
                <w:rFonts w:ascii="Arial" w:cs="Arial" w:eastAsia="Arial" w:hAnsi="Arial"/>
                <w:sz w:val="16"/>
                <w:szCs w:val="16"/>
                <w:color w:val="auto"/>
              </w:rPr>
              <w:t>675,650</w:t>
            </w:r>
          </w:p>
        </w:tc>
      </w:tr>
      <w:tr>
        <w:trPr>
          <w:trHeight w:val="257"/>
        </w:trPr>
        <w:tc>
          <w:tcPr>
            <w:tcW w:w="3240" w:type="dxa"/>
            <w:vAlign w:val="bottom"/>
          </w:tcPr>
          <w:p>
            <w:pPr>
              <w:spacing w:after="0"/>
              <w:rPr>
                <w:sz w:val="20"/>
                <w:szCs w:val="20"/>
                <w:color w:val="auto"/>
              </w:rPr>
            </w:pPr>
            <w:r>
              <w:rPr>
                <w:rFonts w:ascii="Arial" w:cs="Arial" w:eastAsia="Arial" w:hAnsi="Arial"/>
                <w:sz w:val="16"/>
                <w:szCs w:val="16"/>
                <w:color w:val="auto"/>
                <w:w w:val="96"/>
              </w:rPr>
              <w:t>EWI (on behalf of Euronet Telerecarga, S.L.U.)</w:t>
            </w:r>
          </w:p>
        </w:tc>
        <w:tc>
          <w:tcPr>
            <w:tcW w:w="1440" w:type="dxa"/>
            <w:vAlign w:val="bottom"/>
          </w:tcPr>
          <w:p>
            <w:pPr>
              <w:ind w:left="160"/>
              <w:spacing w:after="0"/>
              <w:rPr>
                <w:sz w:val="20"/>
                <w:szCs w:val="20"/>
                <w:color w:val="auto"/>
              </w:rPr>
            </w:pPr>
            <w:r>
              <w:rPr>
                <w:rFonts w:ascii="Arial" w:cs="Arial" w:eastAsia="Arial" w:hAnsi="Arial"/>
                <w:sz w:val="16"/>
                <w:szCs w:val="16"/>
                <w:color w:val="auto"/>
              </w:rPr>
              <w:t>Bank of America</w:t>
            </w:r>
          </w:p>
        </w:tc>
        <w:tc>
          <w:tcPr>
            <w:tcW w:w="1580" w:type="dxa"/>
            <w:vAlign w:val="bottom"/>
          </w:tcPr>
          <w:p>
            <w:pPr>
              <w:ind w:left="80"/>
              <w:spacing w:after="0"/>
              <w:rPr>
                <w:sz w:val="20"/>
                <w:szCs w:val="20"/>
                <w:color w:val="auto"/>
              </w:rPr>
            </w:pPr>
            <w:r>
              <w:rPr>
                <w:rFonts w:ascii="Arial" w:cs="Arial" w:eastAsia="Arial" w:hAnsi="Arial"/>
                <w:sz w:val="16"/>
                <w:szCs w:val="16"/>
                <w:color w:val="auto"/>
              </w:rPr>
              <w:t>Bank Guarantee/LC</w:t>
            </w:r>
          </w:p>
        </w:tc>
        <w:tc>
          <w:tcPr>
            <w:tcW w:w="2520" w:type="dxa"/>
            <w:vAlign w:val="bottom"/>
          </w:tcPr>
          <w:p>
            <w:pPr>
              <w:ind w:left="200"/>
              <w:spacing w:after="0"/>
              <w:rPr>
                <w:sz w:val="20"/>
                <w:szCs w:val="20"/>
                <w:color w:val="auto"/>
              </w:rPr>
            </w:pPr>
            <w:r>
              <w:rPr>
                <w:rFonts w:ascii="Arial" w:cs="Arial" w:eastAsia="Arial" w:hAnsi="Arial"/>
                <w:sz w:val="16"/>
                <w:szCs w:val="16"/>
                <w:color w:val="auto"/>
              </w:rPr>
              <w:t>Trade Credit</w:t>
            </w:r>
          </w:p>
        </w:tc>
        <w:tc>
          <w:tcPr>
            <w:tcW w:w="1420" w:type="dxa"/>
            <w:vAlign w:val="bottom"/>
          </w:tcPr>
          <w:p>
            <w:pPr>
              <w:jc w:val="right"/>
              <w:spacing w:after="0"/>
              <w:rPr>
                <w:sz w:val="20"/>
                <w:szCs w:val="20"/>
                <w:color w:val="auto"/>
              </w:rPr>
            </w:pPr>
            <w:r>
              <w:rPr>
                <w:rFonts w:ascii="Arial" w:cs="Arial" w:eastAsia="Arial" w:hAnsi="Arial"/>
                <w:sz w:val="16"/>
                <w:szCs w:val="16"/>
                <w:color w:val="auto"/>
              </w:rPr>
              <w:t>EUR 400,000</w:t>
            </w:r>
          </w:p>
        </w:tc>
        <w:tc>
          <w:tcPr>
            <w:tcW w:w="1180" w:type="dxa"/>
            <w:vAlign w:val="bottom"/>
          </w:tcPr>
          <w:p>
            <w:pPr>
              <w:jc w:val="right"/>
              <w:spacing w:after="0"/>
              <w:rPr>
                <w:sz w:val="20"/>
                <w:szCs w:val="20"/>
                <w:color w:val="auto"/>
              </w:rPr>
            </w:pPr>
            <w:r>
              <w:rPr>
                <w:rFonts w:ascii="Arial" w:cs="Arial" w:eastAsia="Arial" w:hAnsi="Arial"/>
                <w:sz w:val="16"/>
                <w:szCs w:val="16"/>
                <w:color w:val="auto"/>
              </w:rPr>
              <w:t>540,520</w:t>
            </w:r>
          </w:p>
        </w:tc>
      </w:tr>
      <w:tr>
        <w:trPr>
          <w:trHeight w:val="33"/>
        </w:trPr>
        <w:tc>
          <w:tcPr>
            <w:tcW w:w="32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580" w:type="dxa"/>
            <w:vAlign w:val="bottom"/>
          </w:tcPr>
          <w:p>
            <w:pPr>
              <w:spacing w:after="0"/>
              <w:rPr>
                <w:sz w:val="2"/>
                <w:szCs w:val="2"/>
                <w:color w:val="auto"/>
              </w:rPr>
            </w:pPr>
          </w:p>
        </w:tc>
        <w:tc>
          <w:tcPr>
            <w:tcW w:w="25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17"/>
        </w:trPr>
        <w:tc>
          <w:tcPr>
            <w:tcW w:w="3240" w:type="dxa"/>
            <w:vAlign w:val="bottom"/>
          </w:tcPr>
          <w:p>
            <w:pPr>
              <w:spacing w:after="0"/>
              <w:rPr>
                <w:sz w:val="20"/>
                <w:szCs w:val="20"/>
                <w:color w:val="auto"/>
              </w:rPr>
            </w:pPr>
            <w:r>
              <w:rPr>
                <w:rFonts w:ascii="Arial" w:cs="Arial" w:eastAsia="Arial" w:hAnsi="Arial"/>
                <w:sz w:val="16"/>
                <w:szCs w:val="16"/>
                <w:b w:val="1"/>
                <w:bCs w:val="1"/>
                <w:color w:val="auto"/>
              </w:rPr>
              <w:t>Euronet Telerecarga, S.L.U. Total</w:t>
            </w:r>
          </w:p>
        </w:tc>
        <w:tc>
          <w:tcPr>
            <w:tcW w:w="144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b w:val="1"/>
                <w:bCs w:val="1"/>
                <w:color w:val="auto"/>
              </w:rPr>
              <w:t>7,905,105</w:t>
            </w:r>
          </w:p>
        </w:tc>
      </w:tr>
      <w:tr>
        <w:trPr>
          <w:trHeight w:val="527"/>
        </w:trPr>
        <w:tc>
          <w:tcPr>
            <w:tcW w:w="3240" w:type="dxa"/>
            <w:vAlign w:val="bottom"/>
          </w:tcPr>
          <w:p>
            <w:pPr>
              <w:spacing w:after="0"/>
              <w:rPr>
                <w:sz w:val="20"/>
                <w:szCs w:val="20"/>
                <w:color w:val="auto"/>
              </w:rPr>
            </w:pPr>
            <w:r>
              <w:rPr>
                <w:rFonts w:ascii="Arial" w:cs="Arial" w:eastAsia="Arial" w:hAnsi="Arial"/>
                <w:sz w:val="16"/>
                <w:szCs w:val="16"/>
                <w:color w:val="auto"/>
              </w:rPr>
              <w:t>Gescoro Inc.</w:t>
            </w:r>
          </w:p>
        </w:tc>
        <w:tc>
          <w:tcPr>
            <w:tcW w:w="1440" w:type="dxa"/>
            <w:vAlign w:val="bottom"/>
          </w:tcPr>
          <w:p>
            <w:pPr>
              <w:ind w:left="160"/>
              <w:spacing w:after="0"/>
              <w:rPr>
                <w:sz w:val="20"/>
                <w:szCs w:val="20"/>
                <w:color w:val="auto"/>
              </w:rPr>
            </w:pPr>
            <w:r>
              <w:rPr>
                <w:rFonts w:ascii="Arial" w:cs="Arial" w:eastAsia="Arial" w:hAnsi="Arial"/>
                <w:sz w:val="16"/>
                <w:szCs w:val="16"/>
                <w:color w:val="auto"/>
              </w:rPr>
              <w:t>Bank of America</w:t>
            </w:r>
          </w:p>
        </w:tc>
        <w:tc>
          <w:tcPr>
            <w:tcW w:w="1580" w:type="dxa"/>
            <w:vAlign w:val="bottom"/>
          </w:tcPr>
          <w:p>
            <w:pPr>
              <w:ind w:left="80"/>
              <w:spacing w:after="0"/>
              <w:rPr>
                <w:sz w:val="20"/>
                <w:szCs w:val="20"/>
                <w:color w:val="auto"/>
              </w:rPr>
            </w:pPr>
            <w:r>
              <w:rPr>
                <w:rFonts w:ascii="Arial" w:cs="Arial" w:eastAsia="Arial" w:hAnsi="Arial"/>
                <w:sz w:val="16"/>
                <w:szCs w:val="16"/>
                <w:color w:val="auto"/>
              </w:rPr>
              <w:t>Bank Guarantee/LC</w:t>
            </w:r>
          </w:p>
        </w:tc>
        <w:tc>
          <w:tcPr>
            <w:tcW w:w="2520" w:type="dxa"/>
            <w:vAlign w:val="bottom"/>
          </w:tcPr>
          <w:p>
            <w:pPr>
              <w:ind w:left="200"/>
              <w:spacing w:after="0"/>
              <w:rPr>
                <w:sz w:val="20"/>
                <w:szCs w:val="20"/>
                <w:color w:val="auto"/>
              </w:rPr>
            </w:pPr>
            <w:r>
              <w:rPr>
                <w:rFonts w:ascii="Arial" w:cs="Arial" w:eastAsia="Arial" w:hAnsi="Arial"/>
                <w:sz w:val="16"/>
                <w:szCs w:val="16"/>
                <w:color w:val="auto"/>
              </w:rPr>
              <w:t>Performance guarantee</w:t>
            </w:r>
          </w:p>
        </w:tc>
        <w:tc>
          <w:tcPr>
            <w:tcW w:w="1420" w:type="dxa"/>
            <w:vAlign w:val="bottom"/>
          </w:tcPr>
          <w:p>
            <w:pPr>
              <w:jc w:val="right"/>
              <w:spacing w:after="0"/>
              <w:rPr>
                <w:sz w:val="20"/>
                <w:szCs w:val="20"/>
                <w:color w:val="auto"/>
              </w:rPr>
            </w:pPr>
            <w:r>
              <w:rPr>
                <w:rFonts w:ascii="Arial" w:cs="Arial" w:eastAsia="Arial" w:hAnsi="Arial"/>
                <w:sz w:val="16"/>
                <w:szCs w:val="16"/>
                <w:color w:val="auto"/>
              </w:rPr>
              <w:t>CAD 250,000</w:t>
            </w:r>
          </w:p>
        </w:tc>
        <w:tc>
          <w:tcPr>
            <w:tcW w:w="1180" w:type="dxa"/>
            <w:vAlign w:val="bottom"/>
          </w:tcPr>
          <w:p>
            <w:pPr>
              <w:jc w:val="right"/>
              <w:spacing w:after="0"/>
              <w:rPr>
                <w:sz w:val="20"/>
                <w:szCs w:val="20"/>
                <w:color w:val="auto"/>
              </w:rPr>
            </w:pPr>
            <w:r>
              <w:rPr>
                <w:rFonts w:ascii="Arial" w:cs="Arial" w:eastAsia="Arial" w:hAnsi="Arial"/>
                <w:sz w:val="16"/>
                <w:szCs w:val="16"/>
                <w:color w:val="auto"/>
              </w:rPr>
              <w:t>222,975</w:t>
            </w:r>
          </w:p>
        </w:tc>
      </w:tr>
      <w:tr>
        <w:trPr>
          <w:trHeight w:val="33"/>
        </w:trPr>
        <w:tc>
          <w:tcPr>
            <w:tcW w:w="32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580" w:type="dxa"/>
            <w:vAlign w:val="bottom"/>
          </w:tcPr>
          <w:p>
            <w:pPr>
              <w:spacing w:after="0"/>
              <w:rPr>
                <w:sz w:val="2"/>
                <w:szCs w:val="2"/>
                <w:color w:val="auto"/>
              </w:rPr>
            </w:pPr>
          </w:p>
        </w:tc>
        <w:tc>
          <w:tcPr>
            <w:tcW w:w="25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17"/>
        </w:trPr>
        <w:tc>
          <w:tcPr>
            <w:tcW w:w="3240" w:type="dxa"/>
            <w:vAlign w:val="bottom"/>
          </w:tcPr>
          <w:p>
            <w:pPr>
              <w:spacing w:after="0"/>
              <w:rPr>
                <w:sz w:val="20"/>
                <w:szCs w:val="20"/>
                <w:color w:val="auto"/>
              </w:rPr>
            </w:pPr>
            <w:r>
              <w:rPr>
                <w:rFonts w:ascii="Arial" w:cs="Arial" w:eastAsia="Arial" w:hAnsi="Arial"/>
                <w:sz w:val="16"/>
                <w:szCs w:val="16"/>
                <w:b w:val="1"/>
                <w:bCs w:val="1"/>
                <w:color w:val="auto"/>
              </w:rPr>
              <w:t>Gescoro Inc. Total</w:t>
            </w:r>
          </w:p>
        </w:tc>
        <w:tc>
          <w:tcPr>
            <w:tcW w:w="144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b w:val="1"/>
                <w:bCs w:val="1"/>
                <w:color w:val="auto"/>
              </w:rPr>
              <w:t>222,975</w:t>
            </w:r>
          </w:p>
        </w:tc>
      </w:tr>
      <w:tr>
        <w:trPr>
          <w:trHeight w:val="523"/>
        </w:trPr>
        <w:tc>
          <w:tcPr>
            <w:tcW w:w="3240" w:type="dxa"/>
            <w:vAlign w:val="bottom"/>
          </w:tcPr>
          <w:p>
            <w:pPr>
              <w:spacing w:after="0"/>
              <w:rPr>
                <w:sz w:val="24"/>
                <w:szCs w:val="24"/>
                <w:color w:val="auto"/>
              </w:rPr>
            </w:pPr>
          </w:p>
        </w:tc>
        <w:tc>
          <w:tcPr>
            <w:tcW w:w="1440" w:type="dxa"/>
            <w:vAlign w:val="bottom"/>
          </w:tcPr>
          <w:p>
            <w:pPr>
              <w:ind w:left="160"/>
              <w:spacing w:after="0"/>
              <w:rPr>
                <w:sz w:val="20"/>
                <w:szCs w:val="20"/>
                <w:color w:val="auto"/>
              </w:rPr>
            </w:pPr>
            <w:r>
              <w:rPr>
                <w:rFonts w:ascii="Arial" w:cs="Arial" w:eastAsia="Arial" w:hAnsi="Arial"/>
                <w:sz w:val="16"/>
                <w:szCs w:val="16"/>
                <w:color w:val="auto"/>
                <w:w w:val="97"/>
              </w:rPr>
              <w:t>Australia and New</w:t>
            </w:r>
          </w:p>
        </w:tc>
        <w:tc>
          <w:tcPr>
            <w:tcW w:w="1580" w:type="dxa"/>
            <w:vAlign w:val="bottom"/>
          </w:tcPr>
          <w:p>
            <w:pPr>
              <w:spacing w:after="0"/>
              <w:rPr>
                <w:sz w:val="24"/>
                <w:szCs w:val="24"/>
                <w:color w:val="auto"/>
              </w:rPr>
            </w:pPr>
          </w:p>
        </w:tc>
        <w:tc>
          <w:tcPr>
            <w:tcW w:w="2520" w:type="dxa"/>
            <w:vAlign w:val="bottom"/>
          </w:tcPr>
          <w:p>
            <w:pPr>
              <w:ind w:left="200"/>
              <w:spacing w:after="0"/>
              <w:rPr>
                <w:sz w:val="20"/>
                <w:szCs w:val="20"/>
                <w:color w:val="auto"/>
              </w:rPr>
            </w:pPr>
            <w:r>
              <w:rPr>
                <w:rFonts w:ascii="Arial" w:cs="Arial" w:eastAsia="Arial" w:hAnsi="Arial"/>
                <w:sz w:val="16"/>
                <w:szCs w:val="16"/>
                <w:color w:val="auto"/>
              </w:rPr>
              <w:t>Collateral for office rent in</w:t>
            </w:r>
          </w:p>
        </w:tc>
        <w:tc>
          <w:tcPr>
            <w:tcW w:w="1420" w:type="dxa"/>
            <w:vAlign w:val="bottom"/>
          </w:tcPr>
          <w:p>
            <w:pPr>
              <w:spacing w:after="0"/>
              <w:rPr>
                <w:sz w:val="24"/>
                <w:szCs w:val="24"/>
                <w:color w:val="auto"/>
              </w:rPr>
            </w:pPr>
          </w:p>
        </w:tc>
        <w:tc>
          <w:tcPr>
            <w:tcW w:w="1180" w:type="dxa"/>
            <w:vAlign w:val="bottom"/>
          </w:tcPr>
          <w:p>
            <w:pPr>
              <w:spacing w:after="0"/>
              <w:rPr>
                <w:sz w:val="24"/>
                <w:szCs w:val="24"/>
                <w:color w:val="auto"/>
              </w:rPr>
            </w:pPr>
          </w:p>
        </w:tc>
      </w:tr>
      <w:tr>
        <w:trPr>
          <w:trHeight w:val="206"/>
        </w:trPr>
        <w:tc>
          <w:tcPr>
            <w:tcW w:w="3240" w:type="dxa"/>
            <w:vAlign w:val="bottom"/>
          </w:tcPr>
          <w:p>
            <w:pPr>
              <w:spacing w:after="0"/>
              <w:rPr>
                <w:sz w:val="20"/>
                <w:szCs w:val="20"/>
                <w:color w:val="auto"/>
              </w:rPr>
            </w:pPr>
            <w:r>
              <w:rPr>
                <w:rFonts w:ascii="Arial" w:cs="Arial" w:eastAsia="Arial" w:hAnsi="Arial"/>
                <w:sz w:val="16"/>
                <w:szCs w:val="16"/>
                <w:color w:val="auto"/>
              </w:rPr>
              <w:t>Pure Commerce Pty Ltd</w:t>
            </w:r>
          </w:p>
        </w:tc>
        <w:tc>
          <w:tcPr>
            <w:tcW w:w="1440" w:type="dxa"/>
            <w:vAlign w:val="bottom"/>
          </w:tcPr>
          <w:p>
            <w:pPr>
              <w:ind w:left="160"/>
              <w:spacing w:after="0"/>
              <w:rPr>
                <w:sz w:val="20"/>
                <w:szCs w:val="20"/>
                <w:color w:val="auto"/>
              </w:rPr>
            </w:pPr>
            <w:r>
              <w:rPr>
                <w:rFonts w:ascii="Arial" w:cs="Arial" w:eastAsia="Arial" w:hAnsi="Arial"/>
                <w:sz w:val="16"/>
                <w:szCs w:val="16"/>
                <w:color w:val="auto"/>
              </w:rPr>
              <w:t>Zealand Banking</w:t>
            </w:r>
          </w:p>
        </w:tc>
        <w:tc>
          <w:tcPr>
            <w:tcW w:w="1580" w:type="dxa"/>
            <w:vAlign w:val="bottom"/>
          </w:tcPr>
          <w:p>
            <w:pPr>
              <w:ind w:left="80"/>
              <w:spacing w:after="0"/>
              <w:rPr>
                <w:sz w:val="20"/>
                <w:szCs w:val="20"/>
                <w:color w:val="auto"/>
              </w:rPr>
            </w:pPr>
            <w:r>
              <w:rPr>
                <w:rFonts w:ascii="Arial" w:cs="Arial" w:eastAsia="Arial" w:hAnsi="Arial"/>
                <w:sz w:val="16"/>
                <w:szCs w:val="16"/>
                <w:color w:val="auto"/>
              </w:rPr>
              <w:t>Bank Guarantee/LC</w:t>
            </w:r>
          </w:p>
        </w:tc>
        <w:tc>
          <w:tcPr>
            <w:tcW w:w="2520" w:type="dxa"/>
            <w:vAlign w:val="bottom"/>
          </w:tcPr>
          <w:p>
            <w:pPr>
              <w:ind w:left="200"/>
              <w:spacing w:after="0"/>
              <w:rPr>
                <w:sz w:val="20"/>
                <w:szCs w:val="20"/>
                <w:color w:val="auto"/>
              </w:rPr>
            </w:pPr>
            <w:r>
              <w:rPr>
                <w:rFonts w:ascii="Arial" w:cs="Arial" w:eastAsia="Arial" w:hAnsi="Arial"/>
                <w:sz w:val="16"/>
                <w:szCs w:val="16"/>
                <w:color w:val="auto"/>
              </w:rPr>
              <w:t>Sydney</w:t>
            </w:r>
          </w:p>
        </w:tc>
        <w:tc>
          <w:tcPr>
            <w:tcW w:w="1420" w:type="dxa"/>
            <w:vAlign w:val="bottom"/>
          </w:tcPr>
          <w:p>
            <w:pPr>
              <w:jc w:val="right"/>
              <w:spacing w:after="0"/>
              <w:rPr>
                <w:sz w:val="20"/>
                <w:szCs w:val="20"/>
                <w:color w:val="auto"/>
              </w:rPr>
            </w:pPr>
            <w:r>
              <w:rPr>
                <w:rFonts w:ascii="Arial" w:cs="Arial" w:eastAsia="Arial" w:hAnsi="Arial"/>
                <w:sz w:val="16"/>
                <w:szCs w:val="16"/>
                <w:color w:val="auto"/>
              </w:rPr>
              <w:t>AUD 38,016</w:t>
            </w:r>
          </w:p>
        </w:tc>
        <w:tc>
          <w:tcPr>
            <w:tcW w:w="1180" w:type="dxa"/>
            <w:vAlign w:val="bottom"/>
          </w:tcPr>
          <w:p>
            <w:pPr>
              <w:jc w:val="right"/>
              <w:spacing w:after="0"/>
              <w:rPr>
                <w:sz w:val="20"/>
                <w:szCs w:val="20"/>
                <w:color w:val="auto"/>
              </w:rPr>
            </w:pPr>
            <w:r>
              <w:rPr>
                <w:rFonts w:ascii="Arial" w:cs="Arial" w:eastAsia="Arial" w:hAnsi="Arial"/>
                <w:sz w:val="16"/>
                <w:szCs w:val="16"/>
                <w:color w:val="auto"/>
              </w:rPr>
              <w:t>33,097</w:t>
            </w:r>
          </w:p>
        </w:tc>
      </w:tr>
      <w:tr>
        <w:trPr>
          <w:trHeight w:val="257"/>
        </w:trPr>
        <w:tc>
          <w:tcPr>
            <w:tcW w:w="3240" w:type="dxa"/>
            <w:vAlign w:val="bottom"/>
          </w:tcPr>
          <w:p>
            <w:pPr>
              <w:spacing w:after="0"/>
              <w:rPr>
                <w:sz w:val="20"/>
                <w:szCs w:val="20"/>
                <w:color w:val="auto"/>
              </w:rPr>
            </w:pPr>
            <w:r>
              <w:rPr>
                <w:rFonts w:ascii="Arial" w:cs="Arial" w:eastAsia="Arial" w:hAnsi="Arial"/>
                <w:sz w:val="16"/>
                <w:szCs w:val="16"/>
                <w:color w:val="auto"/>
              </w:rPr>
              <w:t>Pure Commerce Pty Ltd</w:t>
            </w:r>
          </w:p>
        </w:tc>
        <w:tc>
          <w:tcPr>
            <w:tcW w:w="1440" w:type="dxa"/>
            <w:vAlign w:val="bottom"/>
          </w:tcPr>
          <w:p>
            <w:pPr>
              <w:ind w:left="160"/>
              <w:spacing w:after="0"/>
              <w:rPr>
                <w:sz w:val="20"/>
                <w:szCs w:val="20"/>
                <w:color w:val="auto"/>
              </w:rPr>
            </w:pPr>
            <w:r>
              <w:rPr>
                <w:rFonts w:ascii="Arial" w:cs="Arial" w:eastAsia="Arial" w:hAnsi="Arial"/>
                <w:sz w:val="16"/>
                <w:szCs w:val="16"/>
                <w:color w:val="auto"/>
              </w:rPr>
              <w:t>HSBC</w:t>
            </w:r>
          </w:p>
        </w:tc>
        <w:tc>
          <w:tcPr>
            <w:tcW w:w="1580" w:type="dxa"/>
            <w:vAlign w:val="bottom"/>
          </w:tcPr>
          <w:p>
            <w:pPr>
              <w:ind w:left="80"/>
              <w:spacing w:after="0"/>
              <w:rPr>
                <w:sz w:val="20"/>
                <w:szCs w:val="20"/>
                <w:color w:val="auto"/>
              </w:rPr>
            </w:pPr>
            <w:r>
              <w:rPr>
                <w:rFonts w:ascii="Arial" w:cs="Arial" w:eastAsia="Arial" w:hAnsi="Arial"/>
                <w:sz w:val="16"/>
                <w:szCs w:val="16"/>
                <w:color w:val="auto"/>
              </w:rPr>
              <w:t>Bank Guarantee/LC</w:t>
            </w:r>
          </w:p>
        </w:tc>
        <w:tc>
          <w:tcPr>
            <w:tcW w:w="2520" w:type="dxa"/>
            <w:vAlign w:val="bottom"/>
          </w:tcPr>
          <w:p>
            <w:pPr>
              <w:ind w:left="200"/>
              <w:spacing w:after="0"/>
              <w:rPr>
                <w:sz w:val="20"/>
                <w:szCs w:val="20"/>
                <w:color w:val="auto"/>
              </w:rPr>
            </w:pPr>
            <w:r>
              <w:rPr>
                <w:rFonts w:ascii="Arial" w:cs="Arial" w:eastAsia="Arial" w:hAnsi="Arial"/>
                <w:sz w:val="16"/>
                <w:szCs w:val="16"/>
                <w:color w:val="auto"/>
              </w:rPr>
              <w:t>Performance Guarantee</w:t>
            </w:r>
          </w:p>
        </w:tc>
        <w:tc>
          <w:tcPr>
            <w:tcW w:w="1420" w:type="dxa"/>
            <w:vAlign w:val="bottom"/>
          </w:tcPr>
          <w:p>
            <w:pPr>
              <w:jc w:val="right"/>
              <w:spacing w:after="0"/>
              <w:rPr>
                <w:sz w:val="20"/>
                <w:szCs w:val="20"/>
                <w:color w:val="auto"/>
              </w:rPr>
            </w:pPr>
            <w:r>
              <w:rPr>
                <w:rFonts w:ascii="Arial" w:cs="Arial" w:eastAsia="Arial" w:hAnsi="Arial"/>
                <w:sz w:val="16"/>
                <w:szCs w:val="16"/>
                <w:color w:val="auto"/>
              </w:rPr>
              <w:t>USD 50,000</w:t>
            </w:r>
          </w:p>
        </w:tc>
        <w:tc>
          <w:tcPr>
            <w:tcW w:w="1180" w:type="dxa"/>
            <w:vAlign w:val="bottom"/>
          </w:tcPr>
          <w:p>
            <w:pPr>
              <w:jc w:val="right"/>
              <w:spacing w:after="0"/>
              <w:rPr>
                <w:sz w:val="20"/>
                <w:szCs w:val="20"/>
                <w:color w:val="auto"/>
              </w:rPr>
            </w:pPr>
            <w:r>
              <w:rPr>
                <w:rFonts w:ascii="Arial" w:cs="Arial" w:eastAsia="Arial" w:hAnsi="Arial"/>
                <w:sz w:val="16"/>
                <w:szCs w:val="16"/>
                <w:color w:val="auto"/>
              </w:rPr>
              <w:t>50,000</w:t>
            </w:r>
          </w:p>
        </w:tc>
      </w:tr>
      <w:tr>
        <w:trPr>
          <w:trHeight w:val="33"/>
        </w:trPr>
        <w:tc>
          <w:tcPr>
            <w:tcW w:w="32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580" w:type="dxa"/>
            <w:vAlign w:val="bottom"/>
          </w:tcPr>
          <w:p>
            <w:pPr>
              <w:spacing w:after="0"/>
              <w:rPr>
                <w:sz w:val="2"/>
                <w:szCs w:val="2"/>
                <w:color w:val="auto"/>
              </w:rPr>
            </w:pPr>
          </w:p>
        </w:tc>
        <w:tc>
          <w:tcPr>
            <w:tcW w:w="25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17"/>
        </w:trPr>
        <w:tc>
          <w:tcPr>
            <w:tcW w:w="3240" w:type="dxa"/>
            <w:vAlign w:val="bottom"/>
          </w:tcPr>
          <w:p>
            <w:pPr>
              <w:spacing w:after="0"/>
              <w:rPr>
                <w:sz w:val="20"/>
                <w:szCs w:val="20"/>
                <w:color w:val="auto"/>
              </w:rPr>
            </w:pPr>
            <w:r>
              <w:rPr>
                <w:rFonts w:ascii="Arial" w:cs="Arial" w:eastAsia="Arial" w:hAnsi="Arial"/>
                <w:sz w:val="16"/>
                <w:szCs w:val="16"/>
                <w:b w:val="1"/>
                <w:bCs w:val="1"/>
                <w:color w:val="auto"/>
              </w:rPr>
              <w:t>Pure Commerce Pty Ltd Total</w:t>
            </w:r>
          </w:p>
        </w:tc>
        <w:tc>
          <w:tcPr>
            <w:tcW w:w="144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b w:val="1"/>
                <w:bCs w:val="1"/>
                <w:color w:val="auto"/>
              </w:rPr>
              <w:t>83,097</w:t>
            </w:r>
          </w:p>
        </w:tc>
      </w:tr>
      <w:tr>
        <w:trPr>
          <w:trHeight w:val="527"/>
        </w:trPr>
        <w:tc>
          <w:tcPr>
            <w:tcW w:w="3240" w:type="dxa"/>
            <w:vAlign w:val="bottom"/>
          </w:tcPr>
          <w:p>
            <w:pPr>
              <w:spacing w:after="0"/>
              <w:rPr>
                <w:sz w:val="20"/>
                <w:szCs w:val="20"/>
                <w:color w:val="auto"/>
              </w:rPr>
            </w:pPr>
            <w:r>
              <w:rPr>
                <w:rFonts w:ascii="Arial" w:cs="Arial" w:eastAsia="Arial" w:hAnsi="Arial"/>
                <w:sz w:val="16"/>
                <w:szCs w:val="16"/>
                <w:color w:val="auto"/>
              </w:rPr>
              <w:t>Ria Deutschland GmbH</w:t>
            </w:r>
          </w:p>
        </w:tc>
        <w:tc>
          <w:tcPr>
            <w:tcW w:w="1440" w:type="dxa"/>
            <w:vAlign w:val="bottom"/>
          </w:tcPr>
          <w:p>
            <w:pPr>
              <w:ind w:left="160"/>
              <w:spacing w:after="0"/>
              <w:rPr>
                <w:sz w:val="20"/>
                <w:szCs w:val="20"/>
                <w:color w:val="auto"/>
              </w:rPr>
            </w:pPr>
            <w:r>
              <w:rPr>
                <w:rFonts w:ascii="Arial" w:cs="Arial" w:eastAsia="Arial" w:hAnsi="Arial"/>
                <w:sz w:val="16"/>
                <w:szCs w:val="16"/>
                <w:color w:val="auto"/>
              </w:rPr>
              <w:t>Commerzbank</w:t>
            </w:r>
          </w:p>
        </w:tc>
        <w:tc>
          <w:tcPr>
            <w:tcW w:w="1580" w:type="dxa"/>
            <w:vAlign w:val="bottom"/>
          </w:tcPr>
          <w:p>
            <w:pPr>
              <w:ind w:left="80"/>
              <w:spacing w:after="0"/>
              <w:rPr>
                <w:sz w:val="20"/>
                <w:szCs w:val="20"/>
                <w:color w:val="auto"/>
              </w:rPr>
            </w:pPr>
            <w:r>
              <w:rPr>
                <w:rFonts w:ascii="Arial" w:cs="Arial" w:eastAsia="Arial" w:hAnsi="Arial"/>
                <w:sz w:val="16"/>
                <w:szCs w:val="16"/>
                <w:color w:val="auto"/>
              </w:rPr>
              <w:t>Bank Guarantee/LC</w:t>
            </w:r>
          </w:p>
        </w:tc>
        <w:tc>
          <w:tcPr>
            <w:tcW w:w="2520" w:type="dxa"/>
            <w:vAlign w:val="bottom"/>
          </w:tcPr>
          <w:p>
            <w:pPr>
              <w:ind w:left="200"/>
              <w:spacing w:after="0"/>
              <w:rPr>
                <w:sz w:val="20"/>
                <w:szCs w:val="20"/>
                <w:color w:val="auto"/>
              </w:rPr>
            </w:pPr>
            <w:r>
              <w:rPr>
                <w:rFonts w:ascii="Arial" w:cs="Arial" w:eastAsia="Arial" w:hAnsi="Arial"/>
                <w:sz w:val="16"/>
                <w:szCs w:val="16"/>
                <w:color w:val="auto"/>
              </w:rPr>
              <w:t>Store Rent</w:t>
            </w:r>
          </w:p>
        </w:tc>
        <w:tc>
          <w:tcPr>
            <w:tcW w:w="1420" w:type="dxa"/>
            <w:vAlign w:val="bottom"/>
          </w:tcPr>
          <w:p>
            <w:pPr>
              <w:jc w:val="right"/>
              <w:spacing w:after="0"/>
              <w:rPr>
                <w:sz w:val="20"/>
                <w:szCs w:val="20"/>
                <w:color w:val="auto"/>
              </w:rPr>
            </w:pPr>
            <w:r>
              <w:rPr>
                <w:rFonts w:ascii="Arial" w:cs="Arial" w:eastAsia="Arial" w:hAnsi="Arial"/>
                <w:sz w:val="16"/>
                <w:szCs w:val="16"/>
                <w:color w:val="auto"/>
              </w:rPr>
              <w:t>EUR 30,766</w:t>
            </w:r>
          </w:p>
        </w:tc>
        <w:tc>
          <w:tcPr>
            <w:tcW w:w="1180" w:type="dxa"/>
            <w:vAlign w:val="bottom"/>
          </w:tcPr>
          <w:p>
            <w:pPr>
              <w:jc w:val="right"/>
              <w:spacing w:after="0"/>
              <w:rPr>
                <w:sz w:val="20"/>
                <w:szCs w:val="20"/>
                <w:color w:val="auto"/>
              </w:rPr>
            </w:pPr>
            <w:r>
              <w:rPr>
                <w:rFonts w:ascii="Arial" w:cs="Arial" w:eastAsia="Arial" w:hAnsi="Arial"/>
                <w:sz w:val="16"/>
                <w:szCs w:val="16"/>
                <w:color w:val="auto"/>
              </w:rPr>
              <w:t>41,574</w:t>
            </w:r>
          </w:p>
        </w:tc>
      </w:tr>
      <w:tr>
        <w:trPr>
          <w:trHeight w:val="257"/>
        </w:trPr>
        <w:tc>
          <w:tcPr>
            <w:tcW w:w="3240" w:type="dxa"/>
            <w:vAlign w:val="bottom"/>
          </w:tcPr>
          <w:p>
            <w:pPr>
              <w:spacing w:after="0"/>
              <w:rPr>
                <w:sz w:val="20"/>
                <w:szCs w:val="20"/>
                <w:color w:val="auto"/>
              </w:rPr>
            </w:pPr>
            <w:r>
              <w:rPr>
                <w:rFonts w:ascii="Arial" w:cs="Arial" w:eastAsia="Arial" w:hAnsi="Arial"/>
                <w:sz w:val="16"/>
                <w:szCs w:val="16"/>
                <w:color w:val="auto"/>
              </w:rPr>
              <w:t>Ria Deutschland GmbH</w:t>
            </w:r>
          </w:p>
        </w:tc>
        <w:tc>
          <w:tcPr>
            <w:tcW w:w="1440" w:type="dxa"/>
            <w:vAlign w:val="bottom"/>
          </w:tcPr>
          <w:p>
            <w:pPr>
              <w:ind w:left="160"/>
              <w:spacing w:after="0"/>
              <w:rPr>
                <w:sz w:val="20"/>
                <w:szCs w:val="20"/>
                <w:color w:val="auto"/>
              </w:rPr>
            </w:pPr>
            <w:r>
              <w:rPr>
                <w:rFonts w:ascii="Arial" w:cs="Arial" w:eastAsia="Arial" w:hAnsi="Arial"/>
                <w:sz w:val="16"/>
                <w:szCs w:val="16"/>
                <w:color w:val="auto"/>
              </w:rPr>
              <w:t>Commerzbank</w:t>
            </w:r>
          </w:p>
        </w:tc>
        <w:tc>
          <w:tcPr>
            <w:tcW w:w="1580" w:type="dxa"/>
            <w:vAlign w:val="bottom"/>
          </w:tcPr>
          <w:p>
            <w:pPr>
              <w:ind w:left="80"/>
              <w:spacing w:after="0"/>
              <w:rPr>
                <w:sz w:val="20"/>
                <w:szCs w:val="20"/>
                <w:color w:val="auto"/>
              </w:rPr>
            </w:pPr>
            <w:r>
              <w:rPr>
                <w:rFonts w:ascii="Arial" w:cs="Arial" w:eastAsia="Arial" w:hAnsi="Arial"/>
                <w:sz w:val="16"/>
                <w:szCs w:val="16"/>
                <w:color w:val="auto"/>
              </w:rPr>
              <w:t>Bank Guarantee/LC</w:t>
            </w:r>
          </w:p>
        </w:tc>
        <w:tc>
          <w:tcPr>
            <w:tcW w:w="2520" w:type="dxa"/>
            <w:vAlign w:val="bottom"/>
          </w:tcPr>
          <w:p>
            <w:pPr>
              <w:ind w:left="200"/>
              <w:spacing w:after="0"/>
              <w:rPr>
                <w:sz w:val="20"/>
                <w:szCs w:val="20"/>
                <w:color w:val="auto"/>
              </w:rPr>
            </w:pPr>
            <w:r>
              <w:rPr>
                <w:rFonts w:ascii="Arial" w:cs="Arial" w:eastAsia="Arial" w:hAnsi="Arial"/>
                <w:sz w:val="16"/>
                <w:szCs w:val="16"/>
                <w:color w:val="auto"/>
              </w:rPr>
              <w:t>Office Rent</w:t>
            </w:r>
          </w:p>
        </w:tc>
        <w:tc>
          <w:tcPr>
            <w:tcW w:w="1420" w:type="dxa"/>
            <w:vAlign w:val="bottom"/>
          </w:tcPr>
          <w:p>
            <w:pPr>
              <w:jc w:val="right"/>
              <w:spacing w:after="0"/>
              <w:rPr>
                <w:sz w:val="20"/>
                <w:szCs w:val="20"/>
                <w:color w:val="auto"/>
              </w:rPr>
            </w:pPr>
            <w:r>
              <w:rPr>
                <w:rFonts w:ascii="Arial" w:cs="Arial" w:eastAsia="Arial" w:hAnsi="Arial"/>
                <w:sz w:val="16"/>
                <w:szCs w:val="16"/>
                <w:color w:val="auto"/>
              </w:rPr>
              <w:t>EUR 27,082</w:t>
            </w:r>
          </w:p>
        </w:tc>
        <w:tc>
          <w:tcPr>
            <w:tcW w:w="1180" w:type="dxa"/>
            <w:vAlign w:val="bottom"/>
          </w:tcPr>
          <w:p>
            <w:pPr>
              <w:jc w:val="right"/>
              <w:spacing w:after="0"/>
              <w:rPr>
                <w:sz w:val="20"/>
                <w:szCs w:val="20"/>
                <w:color w:val="auto"/>
              </w:rPr>
            </w:pPr>
            <w:r>
              <w:rPr>
                <w:rFonts w:ascii="Arial" w:cs="Arial" w:eastAsia="Arial" w:hAnsi="Arial"/>
                <w:sz w:val="16"/>
                <w:szCs w:val="16"/>
                <w:color w:val="auto"/>
              </w:rPr>
              <w:t>36,596</w:t>
            </w:r>
          </w:p>
        </w:tc>
      </w:tr>
      <w:tr>
        <w:trPr>
          <w:trHeight w:val="257"/>
        </w:trPr>
        <w:tc>
          <w:tcPr>
            <w:tcW w:w="3240" w:type="dxa"/>
            <w:vAlign w:val="bottom"/>
          </w:tcPr>
          <w:p>
            <w:pPr>
              <w:spacing w:after="0"/>
              <w:rPr>
                <w:sz w:val="20"/>
                <w:szCs w:val="20"/>
                <w:color w:val="auto"/>
              </w:rPr>
            </w:pPr>
            <w:r>
              <w:rPr>
                <w:rFonts w:ascii="Arial" w:cs="Arial" w:eastAsia="Arial" w:hAnsi="Arial"/>
                <w:sz w:val="16"/>
                <w:szCs w:val="16"/>
                <w:color w:val="auto"/>
              </w:rPr>
              <w:t>Ria Deutschland GmbH</w:t>
            </w:r>
          </w:p>
        </w:tc>
        <w:tc>
          <w:tcPr>
            <w:tcW w:w="1440" w:type="dxa"/>
            <w:vAlign w:val="bottom"/>
          </w:tcPr>
          <w:p>
            <w:pPr>
              <w:ind w:left="160"/>
              <w:spacing w:after="0"/>
              <w:rPr>
                <w:sz w:val="20"/>
                <w:szCs w:val="20"/>
                <w:color w:val="auto"/>
              </w:rPr>
            </w:pPr>
            <w:r>
              <w:rPr>
                <w:rFonts w:ascii="Arial" w:cs="Arial" w:eastAsia="Arial" w:hAnsi="Arial"/>
                <w:sz w:val="16"/>
                <w:szCs w:val="16"/>
                <w:color w:val="auto"/>
              </w:rPr>
              <w:t>Commerzbank</w:t>
            </w:r>
          </w:p>
        </w:tc>
        <w:tc>
          <w:tcPr>
            <w:tcW w:w="1580" w:type="dxa"/>
            <w:vAlign w:val="bottom"/>
          </w:tcPr>
          <w:p>
            <w:pPr>
              <w:ind w:left="80"/>
              <w:spacing w:after="0"/>
              <w:rPr>
                <w:sz w:val="20"/>
                <w:szCs w:val="20"/>
                <w:color w:val="auto"/>
              </w:rPr>
            </w:pPr>
            <w:r>
              <w:rPr>
                <w:rFonts w:ascii="Arial" w:cs="Arial" w:eastAsia="Arial" w:hAnsi="Arial"/>
                <w:sz w:val="16"/>
                <w:szCs w:val="16"/>
                <w:color w:val="auto"/>
              </w:rPr>
              <w:t>Bank Guarantee/LC</w:t>
            </w:r>
          </w:p>
        </w:tc>
        <w:tc>
          <w:tcPr>
            <w:tcW w:w="2520" w:type="dxa"/>
            <w:vAlign w:val="bottom"/>
          </w:tcPr>
          <w:p>
            <w:pPr>
              <w:ind w:left="200"/>
              <w:spacing w:after="0"/>
              <w:rPr>
                <w:sz w:val="20"/>
                <w:szCs w:val="20"/>
                <w:color w:val="auto"/>
              </w:rPr>
            </w:pPr>
            <w:r>
              <w:rPr>
                <w:rFonts w:ascii="Arial" w:cs="Arial" w:eastAsia="Arial" w:hAnsi="Arial"/>
                <w:sz w:val="16"/>
                <w:szCs w:val="16"/>
                <w:color w:val="auto"/>
              </w:rPr>
              <w:t>Store Rent</w:t>
            </w:r>
          </w:p>
        </w:tc>
        <w:tc>
          <w:tcPr>
            <w:tcW w:w="1420" w:type="dxa"/>
            <w:vAlign w:val="bottom"/>
          </w:tcPr>
          <w:p>
            <w:pPr>
              <w:jc w:val="right"/>
              <w:spacing w:after="0"/>
              <w:rPr>
                <w:sz w:val="20"/>
                <w:szCs w:val="20"/>
                <w:color w:val="auto"/>
              </w:rPr>
            </w:pPr>
            <w:r>
              <w:rPr>
                <w:rFonts w:ascii="Arial" w:cs="Arial" w:eastAsia="Arial" w:hAnsi="Arial"/>
                <w:sz w:val="16"/>
                <w:szCs w:val="16"/>
                <w:color w:val="auto"/>
              </w:rPr>
              <w:t>EUR 9,275</w:t>
            </w:r>
          </w:p>
        </w:tc>
        <w:tc>
          <w:tcPr>
            <w:tcW w:w="1180" w:type="dxa"/>
            <w:vAlign w:val="bottom"/>
          </w:tcPr>
          <w:p>
            <w:pPr>
              <w:jc w:val="right"/>
              <w:spacing w:after="0"/>
              <w:rPr>
                <w:sz w:val="20"/>
                <w:szCs w:val="20"/>
                <w:color w:val="auto"/>
              </w:rPr>
            </w:pPr>
            <w:r>
              <w:rPr>
                <w:rFonts w:ascii="Arial" w:cs="Arial" w:eastAsia="Arial" w:hAnsi="Arial"/>
                <w:sz w:val="16"/>
                <w:szCs w:val="16"/>
                <w:color w:val="auto"/>
              </w:rPr>
              <w:t>12,533</w:t>
            </w:r>
          </w:p>
        </w:tc>
      </w:tr>
      <w:tr>
        <w:trPr>
          <w:trHeight w:val="257"/>
        </w:trPr>
        <w:tc>
          <w:tcPr>
            <w:tcW w:w="3240" w:type="dxa"/>
            <w:vAlign w:val="bottom"/>
          </w:tcPr>
          <w:p>
            <w:pPr>
              <w:spacing w:after="0"/>
              <w:rPr>
                <w:sz w:val="20"/>
                <w:szCs w:val="20"/>
                <w:color w:val="auto"/>
              </w:rPr>
            </w:pPr>
            <w:r>
              <w:rPr>
                <w:rFonts w:ascii="Arial" w:cs="Arial" w:eastAsia="Arial" w:hAnsi="Arial"/>
                <w:sz w:val="16"/>
                <w:szCs w:val="16"/>
                <w:color w:val="auto"/>
              </w:rPr>
              <w:t>Ria Deutschland GmbH</w:t>
            </w:r>
          </w:p>
        </w:tc>
        <w:tc>
          <w:tcPr>
            <w:tcW w:w="1440" w:type="dxa"/>
            <w:vAlign w:val="bottom"/>
          </w:tcPr>
          <w:p>
            <w:pPr>
              <w:ind w:left="160"/>
              <w:spacing w:after="0"/>
              <w:rPr>
                <w:sz w:val="20"/>
                <w:szCs w:val="20"/>
                <w:color w:val="auto"/>
              </w:rPr>
            </w:pPr>
            <w:r>
              <w:rPr>
                <w:rFonts w:ascii="Arial" w:cs="Arial" w:eastAsia="Arial" w:hAnsi="Arial"/>
                <w:sz w:val="16"/>
                <w:szCs w:val="16"/>
                <w:color w:val="auto"/>
              </w:rPr>
              <w:t>Commerzbank</w:t>
            </w:r>
          </w:p>
        </w:tc>
        <w:tc>
          <w:tcPr>
            <w:tcW w:w="1580" w:type="dxa"/>
            <w:vAlign w:val="bottom"/>
          </w:tcPr>
          <w:p>
            <w:pPr>
              <w:ind w:left="80"/>
              <w:spacing w:after="0"/>
              <w:rPr>
                <w:sz w:val="20"/>
                <w:szCs w:val="20"/>
                <w:color w:val="auto"/>
              </w:rPr>
            </w:pPr>
            <w:r>
              <w:rPr>
                <w:rFonts w:ascii="Arial" w:cs="Arial" w:eastAsia="Arial" w:hAnsi="Arial"/>
                <w:sz w:val="16"/>
                <w:szCs w:val="16"/>
                <w:color w:val="auto"/>
              </w:rPr>
              <w:t>Bank Guarantee/LC</w:t>
            </w:r>
          </w:p>
        </w:tc>
        <w:tc>
          <w:tcPr>
            <w:tcW w:w="2520" w:type="dxa"/>
            <w:vAlign w:val="bottom"/>
          </w:tcPr>
          <w:p>
            <w:pPr>
              <w:ind w:left="200"/>
              <w:spacing w:after="0"/>
              <w:rPr>
                <w:sz w:val="20"/>
                <w:szCs w:val="20"/>
                <w:color w:val="auto"/>
              </w:rPr>
            </w:pPr>
            <w:r>
              <w:rPr>
                <w:rFonts w:ascii="Arial" w:cs="Arial" w:eastAsia="Arial" w:hAnsi="Arial"/>
                <w:sz w:val="16"/>
                <w:szCs w:val="16"/>
                <w:color w:val="auto"/>
              </w:rPr>
              <w:t>Store Rent</w:t>
            </w:r>
          </w:p>
        </w:tc>
        <w:tc>
          <w:tcPr>
            <w:tcW w:w="1420" w:type="dxa"/>
            <w:vAlign w:val="bottom"/>
          </w:tcPr>
          <w:p>
            <w:pPr>
              <w:jc w:val="right"/>
              <w:spacing w:after="0"/>
              <w:rPr>
                <w:sz w:val="20"/>
                <w:szCs w:val="20"/>
                <w:color w:val="auto"/>
              </w:rPr>
            </w:pPr>
            <w:r>
              <w:rPr>
                <w:rFonts w:ascii="Arial" w:cs="Arial" w:eastAsia="Arial" w:hAnsi="Arial"/>
                <w:sz w:val="16"/>
                <w:szCs w:val="16"/>
                <w:color w:val="auto"/>
              </w:rPr>
              <w:t>EUR 7,041</w:t>
            </w:r>
          </w:p>
        </w:tc>
        <w:tc>
          <w:tcPr>
            <w:tcW w:w="1180" w:type="dxa"/>
            <w:vAlign w:val="bottom"/>
          </w:tcPr>
          <w:p>
            <w:pPr>
              <w:jc w:val="right"/>
              <w:spacing w:after="0"/>
              <w:rPr>
                <w:sz w:val="20"/>
                <w:szCs w:val="20"/>
                <w:color w:val="auto"/>
              </w:rPr>
            </w:pPr>
            <w:r>
              <w:rPr>
                <w:rFonts w:ascii="Arial" w:cs="Arial" w:eastAsia="Arial" w:hAnsi="Arial"/>
                <w:sz w:val="16"/>
                <w:szCs w:val="16"/>
                <w:color w:val="auto"/>
              </w:rPr>
              <w:t>9,515</w:t>
            </w:r>
          </w:p>
        </w:tc>
      </w:tr>
    </w:tbl>
    <w:p>
      <w:pPr>
        <w:sectPr>
          <w:pgSz w:w="11900" w:h="16838" w:orient="portrait"/>
          <w:cols w:equalWidth="0" w:num="1">
            <w:col w:w="11380"/>
          </w:cols>
          <w:pgMar w:left="280" w:top="535" w:right="239" w:bottom="1440" w:gutter="0" w:footer="0" w:header="0"/>
        </w:sectPr>
      </w:pPr>
    </w:p>
    <w:bookmarkStart w:id="287" w:name="page288"/>
    <w:bookmarkEnd w:id="287"/>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3360" w:type="dxa"/>
            <w:vAlign w:val="bottom"/>
          </w:tcPr>
          <w:p>
            <w:pPr>
              <w:spacing w:after="0"/>
              <w:rPr>
                <w:sz w:val="20"/>
                <w:szCs w:val="20"/>
                <w:color w:val="auto"/>
              </w:rPr>
            </w:pPr>
            <w:r>
              <w:rPr>
                <w:rFonts w:ascii="Arial" w:cs="Arial" w:eastAsia="Arial" w:hAnsi="Arial"/>
                <w:sz w:val="16"/>
                <w:szCs w:val="16"/>
                <w:color w:val="auto"/>
              </w:rPr>
              <w:t>Ria Deutschland GmbH</w:t>
            </w:r>
          </w:p>
        </w:tc>
        <w:tc>
          <w:tcPr>
            <w:tcW w:w="1280" w:type="dxa"/>
            <w:vAlign w:val="bottom"/>
          </w:tcPr>
          <w:p>
            <w:pPr>
              <w:ind w:left="40"/>
              <w:spacing w:after="0"/>
              <w:rPr>
                <w:sz w:val="20"/>
                <w:szCs w:val="20"/>
                <w:color w:val="auto"/>
              </w:rPr>
            </w:pPr>
            <w:r>
              <w:rPr>
                <w:rFonts w:ascii="Arial" w:cs="Arial" w:eastAsia="Arial" w:hAnsi="Arial"/>
                <w:sz w:val="16"/>
                <w:szCs w:val="16"/>
                <w:color w:val="auto"/>
              </w:rPr>
              <w:t>Commerzbank</w:t>
            </w:r>
          </w:p>
        </w:tc>
        <w:tc>
          <w:tcPr>
            <w:tcW w:w="1620" w:type="dxa"/>
            <w:vAlign w:val="bottom"/>
          </w:tcPr>
          <w:p>
            <w:pPr>
              <w:ind w:left="120"/>
              <w:spacing w:after="0"/>
              <w:rPr>
                <w:sz w:val="20"/>
                <w:szCs w:val="20"/>
                <w:color w:val="auto"/>
              </w:rPr>
            </w:pPr>
            <w:r>
              <w:rPr>
                <w:rFonts w:ascii="Arial" w:cs="Arial" w:eastAsia="Arial" w:hAnsi="Arial"/>
                <w:sz w:val="16"/>
                <w:szCs w:val="16"/>
                <w:color w:val="auto"/>
              </w:rPr>
              <w:t>Bank Guarantee/LC</w:t>
            </w:r>
          </w:p>
        </w:tc>
        <w:tc>
          <w:tcPr>
            <w:tcW w:w="2020" w:type="dxa"/>
            <w:vAlign w:val="bottom"/>
          </w:tcPr>
          <w:p>
            <w:pPr>
              <w:ind w:left="200"/>
              <w:spacing w:after="0"/>
              <w:rPr>
                <w:sz w:val="20"/>
                <w:szCs w:val="20"/>
                <w:color w:val="auto"/>
              </w:rPr>
            </w:pPr>
            <w:r>
              <w:rPr>
                <w:rFonts w:ascii="Arial" w:cs="Arial" w:eastAsia="Arial" w:hAnsi="Arial"/>
                <w:sz w:val="16"/>
                <w:szCs w:val="16"/>
                <w:color w:val="auto"/>
              </w:rPr>
              <w:t>Office Rent</w:t>
            </w:r>
          </w:p>
        </w:tc>
        <w:tc>
          <w:tcPr>
            <w:tcW w:w="1920" w:type="dxa"/>
            <w:vAlign w:val="bottom"/>
          </w:tcPr>
          <w:p>
            <w:pPr>
              <w:jc w:val="right"/>
              <w:spacing w:after="0"/>
              <w:rPr>
                <w:sz w:val="20"/>
                <w:szCs w:val="20"/>
                <w:color w:val="auto"/>
              </w:rPr>
            </w:pPr>
            <w:r>
              <w:rPr>
                <w:rFonts w:ascii="Arial" w:cs="Arial" w:eastAsia="Arial" w:hAnsi="Arial"/>
                <w:sz w:val="16"/>
                <w:szCs w:val="16"/>
                <w:color w:val="auto"/>
              </w:rPr>
              <w:t>EUR 4,050</w:t>
            </w:r>
          </w:p>
        </w:tc>
        <w:tc>
          <w:tcPr>
            <w:tcW w:w="1180" w:type="dxa"/>
            <w:vAlign w:val="bottom"/>
          </w:tcPr>
          <w:p>
            <w:pPr>
              <w:jc w:val="right"/>
              <w:spacing w:after="0"/>
              <w:rPr>
                <w:sz w:val="20"/>
                <w:szCs w:val="20"/>
                <w:color w:val="auto"/>
              </w:rPr>
            </w:pPr>
            <w:r>
              <w:rPr>
                <w:rFonts w:ascii="Arial" w:cs="Arial" w:eastAsia="Arial" w:hAnsi="Arial"/>
                <w:sz w:val="16"/>
                <w:szCs w:val="16"/>
                <w:color w:val="auto"/>
              </w:rPr>
              <w:t>5,473</w:t>
            </w:r>
          </w:p>
        </w:tc>
        <w:tc>
          <w:tcPr>
            <w:tcW w:w="0" w:type="dxa"/>
            <w:vAlign w:val="bottom"/>
          </w:tcPr>
          <w:p>
            <w:pPr>
              <w:spacing w:after="0"/>
              <w:rPr>
                <w:sz w:val="1"/>
                <w:szCs w:val="1"/>
                <w:color w:val="auto"/>
              </w:rPr>
            </w:pPr>
          </w:p>
        </w:tc>
      </w:tr>
      <w:tr>
        <w:trPr>
          <w:trHeight w:val="33"/>
        </w:trPr>
        <w:tc>
          <w:tcPr>
            <w:tcW w:w="33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620" w:type="dxa"/>
            <w:vAlign w:val="bottom"/>
          </w:tcPr>
          <w:p>
            <w:pPr>
              <w:spacing w:after="0"/>
              <w:rPr>
                <w:sz w:val="2"/>
                <w:szCs w:val="2"/>
                <w:color w:val="auto"/>
              </w:rPr>
            </w:pPr>
          </w:p>
        </w:tc>
        <w:tc>
          <w:tcPr>
            <w:tcW w:w="2020" w:type="dxa"/>
            <w:vAlign w:val="bottom"/>
          </w:tcPr>
          <w:p>
            <w:pPr>
              <w:spacing w:after="0"/>
              <w:rPr>
                <w:sz w:val="2"/>
                <w:szCs w:val="2"/>
                <w:color w:val="auto"/>
              </w:rPr>
            </w:pPr>
          </w:p>
        </w:tc>
        <w:tc>
          <w:tcPr>
            <w:tcW w:w="1920" w:type="dxa"/>
            <w:vAlign w:val="bottom"/>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3360" w:type="dxa"/>
            <w:vAlign w:val="bottom"/>
          </w:tcPr>
          <w:p>
            <w:pPr>
              <w:spacing w:after="0"/>
              <w:rPr>
                <w:sz w:val="20"/>
                <w:szCs w:val="20"/>
                <w:color w:val="auto"/>
              </w:rPr>
            </w:pPr>
            <w:r>
              <w:rPr>
                <w:rFonts w:ascii="Arial" w:cs="Arial" w:eastAsia="Arial" w:hAnsi="Arial"/>
                <w:sz w:val="16"/>
                <w:szCs w:val="16"/>
                <w:b w:val="1"/>
                <w:bCs w:val="1"/>
                <w:color w:val="auto"/>
              </w:rPr>
              <w:t>Ria Deutschland GmbH Total</w:t>
            </w:r>
          </w:p>
        </w:tc>
        <w:tc>
          <w:tcPr>
            <w:tcW w:w="128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b w:val="1"/>
                <w:bCs w:val="1"/>
                <w:color w:val="auto"/>
              </w:rPr>
              <w:t>105,691</w:t>
            </w:r>
          </w:p>
        </w:tc>
        <w:tc>
          <w:tcPr>
            <w:tcW w:w="0" w:type="dxa"/>
            <w:vAlign w:val="bottom"/>
          </w:tcPr>
          <w:p>
            <w:pPr>
              <w:spacing w:after="0"/>
              <w:rPr>
                <w:sz w:val="1"/>
                <w:szCs w:val="1"/>
                <w:color w:val="auto"/>
              </w:rPr>
            </w:pPr>
          </w:p>
        </w:tc>
      </w:tr>
      <w:tr>
        <w:trPr>
          <w:trHeight w:val="527"/>
        </w:trPr>
        <w:tc>
          <w:tcPr>
            <w:tcW w:w="3360" w:type="dxa"/>
            <w:vAlign w:val="bottom"/>
          </w:tcPr>
          <w:p>
            <w:pPr>
              <w:spacing w:after="0"/>
              <w:rPr>
                <w:sz w:val="20"/>
                <w:szCs w:val="20"/>
                <w:color w:val="auto"/>
              </w:rPr>
            </w:pPr>
            <w:r>
              <w:rPr>
                <w:rFonts w:ascii="Arial" w:cs="Arial" w:eastAsia="Arial" w:hAnsi="Arial"/>
                <w:sz w:val="16"/>
                <w:szCs w:val="16"/>
                <w:color w:val="auto"/>
              </w:rPr>
              <w:t>RIA Envia Financial Services Belgium SPRL</w:t>
            </w:r>
          </w:p>
        </w:tc>
        <w:tc>
          <w:tcPr>
            <w:tcW w:w="1280" w:type="dxa"/>
            <w:vAlign w:val="bottom"/>
          </w:tcPr>
          <w:p>
            <w:pPr>
              <w:ind w:left="40"/>
              <w:spacing w:after="0"/>
              <w:rPr>
                <w:sz w:val="20"/>
                <w:szCs w:val="20"/>
                <w:color w:val="auto"/>
              </w:rPr>
            </w:pPr>
            <w:r>
              <w:rPr>
                <w:rFonts w:ascii="Arial" w:cs="Arial" w:eastAsia="Arial" w:hAnsi="Arial"/>
                <w:sz w:val="16"/>
                <w:szCs w:val="16"/>
                <w:color w:val="auto"/>
              </w:rPr>
              <w:t>ING Bank</w:t>
            </w:r>
          </w:p>
        </w:tc>
        <w:tc>
          <w:tcPr>
            <w:tcW w:w="1620" w:type="dxa"/>
            <w:vAlign w:val="bottom"/>
          </w:tcPr>
          <w:p>
            <w:pPr>
              <w:ind w:left="120"/>
              <w:spacing w:after="0"/>
              <w:rPr>
                <w:sz w:val="20"/>
                <w:szCs w:val="20"/>
                <w:color w:val="auto"/>
              </w:rPr>
            </w:pPr>
            <w:r>
              <w:rPr>
                <w:rFonts w:ascii="Arial" w:cs="Arial" w:eastAsia="Arial" w:hAnsi="Arial"/>
                <w:sz w:val="16"/>
                <w:szCs w:val="16"/>
                <w:color w:val="auto"/>
              </w:rPr>
              <w:t>Bank Guarantee/LC</w:t>
            </w:r>
          </w:p>
        </w:tc>
        <w:tc>
          <w:tcPr>
            <w:tcW w:w="2020" w:type="dxa"/>
            <w:vAlign w:val="bottom"/>
          </w:tcPr>
          <w:p>
            <w:pPr>
              <w:ind w:left="200"/>
              <w:spacing w:after="0"/>
              <w:rPr>
                <w:sz w:val="20"/>
                <w:szCs w:val="20"/>
                <w:color w:val="auto"/>
              </w:rPr>
            </w:pPr>
            <w:r>
              <w:rPr>
                <w:rFonts w:ascii="Arial" w:cs="Arial" w:eastAsia="Arial" w:hAnsi="Arial"/>
                <w:sz w:val="16"/>
                <w:szCs w:val="16"/>
                <w:color w:val="auto"/>
              </w:rPr>
              <w:t>Bank Guarantee</w:t>
            </w:r>
          </w:p>
        </w:tc>
        <w:tc>
          <w:tcPr>
            <w:tcW w:w="1920" w:type="dxa"/>
            <w:vAlign w:val="bottom"/>
          </w:tcPr>
          <w:p>
            <w:pPr>
              <w:jc w:val="right"/>
              <w:spacing w:after="0"/>
              <w:rPr>
                <w:sz w:val="20"/>
                <w:szCs w:val="20"/>
                <w:color w:val="auto"/>
              </w:rPr>
            </w:pPr>
            <w:r>
              <w:rPr>
                <w:rFonts w:ascii="Arial" w:cs="Arial" w:eastAsia="Arial" w:hAnsi="Arial"/>
                <w:sz w:val="16"/>
                <w:szCs w:val="16"/>
                <w:color w:val="auto"/>
              </w:rPr>
              <w:t>EUR 14,835</w:t>
            </w:r>
          </w:p>
        </w:tc>
        <w:tc>
          <w:tcPr>
            <w:tcW w:w="1180" w:type="dxa"/>
            <w:vAlign w:val="bottom"/>
          </w:tcPr>
          <w:p>
            <w:pPr>
              <w:jc w:val="right"/>
              <w:spacing w:after="0"/>
              <w:rPr>
                <w:sz w:val="20"/>
                <w:szCs w:val="20"/>
                <w:color w:val="auto"/>
              </w:rPr>
            </w:pPr>
            <w:r>
              <w:rPr>
                <w:rFonts w:ascii="Arial" w:cs="Arial" w:eastAsia="Arial" w:hAnsi="Arial"/>
                <w:sz w:val="16"/>
                <w:szCs w:val="16"/>
                <w:color w:val="auto"/>
              </w:rPr>
              <w:t>20,047</w:t>
            </w:r>
          </w:p>
        </w:tc>
        <w:tc>
          <w:tcPr>
            <w:tcW w:w="0" w:type="dxa"/>
            <w:vAlign w:val="bottom"/>
          </w:tcPr>
          <w:p>
            <w:pPr>
              <w:spacing w:after="0"/>
              <w:rPr>
                <w:sz w:val="1"/>
                <w:szCs w:val="1"/>
                <w:color w:val="auto"/>
              </w:rPr>
            </w:pPr>
          </w:p>
        </w:tc>
      </w:tr>
      <w:tr>
        <w:trPr>
          <w:trHeight w:val="33"/>
        </w:trPr>
        <w:tc>
          <w:tcPr>
            <w:tcW w:w="3360" w:type="dxa"/>
            <w:vAlign w:val="bottom"/>
            <w:vMerge w:val="restart"/>
          </w:tcPr>
          <w:p>
            <w:pPr>
              <w:spacing w:after="0"/>
              <w:rPr>
                <w:sz w:val="20"/>
                <w:szCs w:val="20"/>
                <w:color w:val="auto"/>
              </w:rPr>
            </w:pPr>
            <w:r>
              <w:rPr>
                <w:rFonts w:ascii="Arial" w:cs="Arial" w:eastAsia="Arial" w:hAnsi="Arial"/>
                <w:sz w:val="16"/>
                <w:szCs w:val="16"/>
                <w:b w:val="1"/>
                <w:bCs w:val="1"/>
                <w:color w:val="auto"/>
              </w:rPr>
              <w:t>RIA Envia Financial Services Belgium SPRL</w:t>
            </w:r>
          </w:p>
        </w:tc>
        <w:tc>
          <w:tcPr>
            <w:tcW w:w="1280" w:type="dxa"/>
            <w:vAlign w:val="bottom"/>
          </w:tcPr>
          <w:p>
            <w:pPr>
              <w:spacing w:after="0"/>
              <w:rPr>
                <w:sz w:val="2"/>
                <w:szCs w:val="2"/>
                <w:color w:val="auto"/>
              </w:rPr>
            </w:pPr>
          </w:p>
        </w:tc>
        <w:tc>
          <w:tcPr>
            <w:tcW w:w="1620" w:type="dxa"/>
            <w:vAlign w:val="bottom"/>
          </w:tcPr>
          <w:p>
            <w:pPr>
              <w:spacing w:after="0"/>
              <w:rPr>
                <w:sz w:val="2"/>
                <w:szCs w:val="2"/>
                <w:color w:val="auto"/>
              </w:rPr>
            </w:pPr>
          </w:p>
        </w:tc>
        <w:tc>
          <w:tcPr>
            <w:tcW w:w="2020" w:type="dxa"/>
            <w:vAlign w:val="bottom"/>
          </w:tcPr>
          <w:p>
            <w:pPr>
              <w:spacing w:after="0"/>
              <w:rPr>
                <w:sz w:val="2"/>
                <w:szCs w:val="2"/>
                <w:color w:val="auto"/>
              </w:rPr>
            </w:pPr>
          </w:p>
        </w:tc>
        <w:tc>
          <w:tcPr>
            <w:tcW w:w="1920" w:type="dxa"/>
            <w:vAlign w:val="bottom"/>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6"/>
        </w:trPr>
        <w:tc>
          <w:tcPr>
            <w:tcW w:w="3360" w:type="dxa"/>
            <w:vAlign w:val="bottom"/>
            <w:vMerge w:val="continue"/>
          </w:tcPr>
          <w:p>
            <w:pPr>
              <w:spacing w:after="0"/>
              <w:rPr>
                <w:sz w:val="17"/>
                <w:szCs w:val="17"/>
                <w:color w:val="auto"/>
              </w:rPr>
            </w:pPr>
          </w:p>
        </w:tc>
        <w:tc>
          <w:tcPr>
            <w:tcW w:w="128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2020" w:type="dxa"/>
            <w:vAlign w:val="bottom"/>
          </w:tcPr>
          <w:p>
            <w:pPr>
              <w:spacing w:after="0"/>
              <w:rPr>
                <w:sz w:val="17"/>
                <w:szCs w:val="17"/>
                <w:color w:val="auto"/>
              </w:rPr>
            </w:pPr>
          </w:p>
        </w:tc>
        <w:tc>
          <w:tcPr>
            <w:tcW w:w="19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3360" w:type="dxa"/>
            <w:vAlign w:val="bottom"/>
          </w:tcPr>
          <w:p>
            <w:pPr>
              <w:spacing w:after="0"/>
              <w:rPr>
                <w:sz w:val="20"/>
                <w:szCs w:val="20"/>
                <w:color w:val="auto"/>
              </w:rPr>
            </w:pPr>
            <w:r>
              <w:rPr>
                <w:rFonts w:ascii="Arial" w:cs="Arial" w:eastAsia="Arial" w:hAnsi="Arial"/>
                <w:sz w:val="16"/>
                <w:szCs w:val="16"/>
                <w:b w:val="1"/>
                <w:bCs w:val="1"/>
                <w:color w:val="auto"/>
              </w:rPr>
              <w:t>Total</w:t>
            </w:r>
          </w:p>
        </w:tc>
        <w:tc>
          <w:tcPr>
            <w:tcW w:w="128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b w:val="1"/>
                <w:bCs w:val="1"/>
                <w:color w:val="auto"/>
              </w:rPr>
              <w:t>20,047</w:t>
            </w:r>
          </w:p>
        </w:tc>
        <w:tc>
          <w:tcPr>
            <w:tcW w:w="0" w:type="dxa"/>
            <w:vAlign w:val="bottom"/>
          </w:tcPr>
          <w:p>
            <w:pPr>
              <w:spacing w:after="0"/>
              <w:rPr>
                <w:sz w:val="1"/>
                <w:szCs w:val="1"/>
                <w:color w:val="auto"/>
              </w:rPr>
            </w:pPr>
          </w:p>
        </w:tc>
      </w:tr>
      <w:tr>
        <w:trPr>
          <w:trHeight w:val="523"/>
        </w:trPr>
        <w:tc>
          <w:tcPr>
            <w:tcW w:w="3360" w:type="dxa"/>
            <w:vAlign w:val="bottom"/>
          </w:tcPr>
          <w:p>
            <w:pPr>
              <w:spacing w:after="0"/>
              <w:rPr>
                <w:sz w:val="24"/>
                <w:szCs w:val="24"/>
                <w:color w:val="auto"/>
              </w:rPr>
            </w:pPr>
          </w:p>
        </w:tc>
        <w:tc>
          <w:tcPr>
            <w:tcW w:w="1280" w:type="dxa"/>
            <w:vAlign w:val="bottom"/>
          </w:tcPr>
          <w:p>
            <w:pPr>
              <w:ind w:left="40"/>
              <w:spacing w:after="0"/>
              <w:rPr>
                <w:sz w:val="20"/>
                <w:szCs w:val="20"/>
                <w:color w:val="auto"/>
              </w:rPr>
            </w:pPr>
            <w:r>
              <w:rPr>
                <w:rFonts w:ascii="Arial" w:cs="Arial" w:eastAsia="Arial" w:hAnsi="Arial"/>
                <w:sz w:val="16"/>
                <w:szCs w:val="16"/>
                <w:color w:val="auto"/>
              </w:rPr>
              <w:t>Luzerner</w:t>
            </w:r>
          </w:p>
        </w:tc>
        <w:tc>
          <w:tcPr>
            <w:tcW w:w="162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6"/>
        </w:trPr>
        <w:tc>
          <w:tcPr>
            <w:tcW w:w="3360" w:type="dxa"/>
            <w:vAlign w:val="bottom"/>
          </w:tcPr>
          <w:p>
            <w:pPr>
              <w:spacing w:after="0"/>
              <w:rPr>
                <w:sz w:val="20"/>
                <w:szCs w:val="20"/>
                <w:color w:val="auto"/>
              </w:rPr>
            </w:pPr>
            <w:r>
              <w:rPr>
                <w:rFonts w:ascii="Arial" w:cs="Arial" w:eastAsia="Arial" w:hAnsi="Arial"/>
                <w:sz w:val="16"/>
                <w:szCs w:val="16"/>
                <w:color w:val="auto"/>
              </w:rPr>
              <w:t>RIA Financial Services AG</w:t>
            </w:r>
          </w:p>
        </w:tc>
        <w:tc>
          <w:tcPr>
            <w:tcW w:w="1280" w:type="dxa"/>
            <w:vAlign w:val="bottom"/>
          </w:tcPr>
          <w:p>
            <w:pPr>
              <w:ind w:left="40"/>
              <w:spacing w:after="0"/>
              <w:rPr>
                <w:sz w:val="20"/>
                <w:szCs w:val="20"/>
                <w:color w:val="auto"/>
              </w:rPr>
            </w:pPr>
            <w:r>
              <w:rPr>
                <w:rFonts w:ascii="Arial" w:cs="Arial" w:eastAsia="Arial" w:hAnsi="Arial"/>
                <w:sz w:val="16"/>
                <w:szCs w:val="16"/>
                <w:color w:val="auto"/>
              </w:rPr>
              <w:t>Kantonalbank</w:t>
            </w:r>
          </w:p>
        </w:tc>
        <w:tc>
          <w:tcPr>
            <w:tcW w:w="1620" w:type="dxa"/>
            <w:vAlign w:val="bottom"/>
          </w:tcPr>
          <w:p>
            <w:pPr>
              <w:ind w:left="120"/>
              <w:spacing w:after="0"/>
              <w:rPr>
                <w:sz w:val="20"/>
                <w:szCs w:val="20"/>
                <w:color w:val="auto"/>
              </w:rPr>
            </w:pPr>
            <w:r>
              <w:rPr>
                <w:rFonts w:ascii="Arial" w:cs="Arial" w:eastAsia="Arial" w:hAnsi="Arial"/>
                <w:sz w:val="16"/>
                <w:szCs w:val="16"/>
                <w:color w:val="auto"/>
              </w:rPr>
              <w:t>Bank Guarantee/LC</w:t>
            </w:r>
          </w:p>
        </w:tc>
        <w:tc>
          <w:tcPr>
            <w:tcW w:w="2020" w:type="dxa"/>
            <w:vAlign w:val="bottom"/>
          </w:tcPr>
          <w:p>
            <w:pPr>
              <w:ind w:left="200"/>
              <w:spacing w:after="0"/>
              <w:rPr>
                <w:sz w:val="20"/>
                <w:szCs w:val="20"/>
                <w:color w:val="auto"/>
              </w:rPr>
            </w:pPr>
            <w:r>
              <w:rPr>
                <w:rFonts w:ascii="Arial" w:cs="Arial" w:eastAsia="Arial" w:hAnsi="Arial"/>
                <w:sz w:val="16"/>
                <w:szCs w:val="16"/>
                <w:color w:val="auto"/>
              </w:rPr>
              <w:t>Store Rent</w:t>
            </w:r>
          </w:p>
        </w:tc>
        <w:tc>
          <w:tcPr>
            <w:tcW w:w="1920" w:type="dxa"/>
            <w:vAlign w:val="bottom"/>
          </w:tcPr>
          <w:p>
            <w:pPr>
              <w:jc w:val="right"/>
              <w:spacing w:after="0"/>
              <w:rPr>
                <w:sz w:val="20"/>
                <w:szCs w:val="20"/>
                <w:color w:val="auto"/>
              </w:rPr>
            </w:pPr>
            <w:r>
              <w:rPr>
                <w:rFonts w:ascii="Arial" w:cs="Arial" w:eastAsia="Arial" w:hAnsi="Arial"/>
                <w:sz w:val="16"/>
                <w:szCs w:val="16"/>
                <w:color w:val="auto"/>
              </w:rPr>
              <w:t>CHF 10,000</w:t>
            </w:r>
          </w:p>
        </w:tc>
        <w:tc>
          <w:tcPr>
            <w:tcW w:w="1180" w:type="dxa"/>
            <w:vAlign w:val="bottom"/>
          </w:tcPr>
          <w:p>
            <w:pPr>
              <w:jc w:val="right"/>
              <w:spacing w:after="0"/>
              <w:rPr>
                <w:sz w:val="20"/>
                <w:szCs w:val="20"/>
                <w:color w:val="auto"/>
              </w:rPr>
            </w:pPr>
            <w:r>
              <w:rPr>
                <w:rFonts w:ascii="Arial" w:cs="Arial" w:eastAsia="Arial" w:hAnsi="Arial"/>
                <w:sz w:val="16"/>
                <w:szCs w:val="16"/>
                <w:color w:val="auto"/>
              </w:rPr>
              <w:t>11,061</w:t>
            </w:r>
          </w:p>
        </w:tc>
        <w:tc>
          <w:tcPr>
            <w:tcW w:w="0" w:type="dxa"/>
            <w:vAlign w:val="bottom"/>
          </w:tcPr>
          <w:p>
            <w:pPr>
              <w:spacing w:after="0"/>
              <w:rPr>
                <w:sz w:val="1"/>
                <w:szCs w:val="1"/>
                <w:color w:val="auto"/>
              </w:rPr>
            </w:pPr>
          </w:p>
        </w:tc>
      </w:tr>
      <w:tr>
        <w:trPr>
          <w:trHeight w:val="33"/>
        </w:trPr>
        <w:tc>
          <w:tcPr>
            <w:tcW w:w="33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620" w:type="dxa"/>
            <w:vAlign w:val="bottom"/>
          </w:tcPr>
          <w:p>
            <w:pPr>
              <w:spacing w:after="0"/>
              <w:rPr>
                <w:sz w:val="2"/>
                <w:szCs w:val="2"/>
                <w:color w:val="auto"/>
              </w:rPr>
            </w:pPr>
          </w:p>
        </w:tc>
        <w:tc>
          <w:tcPr>
            <w:tcW w:w="2020" w:type="dxa"/>
            <w:vAlign w:val="bottom"/>
          </w:tcPr>
          <w:p>
            <w:pPr>
              <w:spacing w:after="0"/>
              <w:rPr>
                <w:sz w:val="2"/>
                <w:szCs w:val="2"/>
                <w:color w:val="auto"/>
              </w:rPr>
            </w:pPr>
          </w:p>
        </w:tc>
        <w:tc>
          <w:tcPr>
            <w:tcW w:w="1920" w:type="dxa"/>
            <w:vAlign w:val="bottom"/>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3360" w:type="dxa"/>
            <w:vAlign w:val="bottom"/>
          </w:tcPr>
          <w:p>
            <w:pPr>
              <w:spacing w:after="0"/>
              <w:rPr>
                <w:sz w:val="20"/>
                <w:szCs w:val="20"/>
                <w:color w:val="auto"/>
              </w:rPr>
            </w:pPr>
            <w:r>
              <w:rPr>
                <w:rFonts w:ascii="Arial" w:cs="Arial" w:eastAsia="Arial" w:hAnsi="Arial"/>
                <w:sz w:val="16"/>
                <w:szCs w:val="16"/>
                <w:b w:val="1"/>
                <w:bCs w:val="1"/>
                <w:color w:val="auto"/>
              </w:rPr>
              <w:t>RIA Financial Services AG Total</w:t>
            </w:r>
          </w:p>
        </w:tc>
        <w:tc>
          <w:tcPr>
            <w:tcW w:w="128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b w:val="1"/>
                <w:bCs w:val="1"/>
                <w:color w:val="auto"/>
              </w:rPr>
              <w:t>11,061</w:t>
            </w:r>
          </w:p>
        </w:tc>
        <w:tc>
          <w:tcPr>
            <w:tcW w:w="0" w:type="dxa"/>
            <w:vAlign w:val="bottom"/>
          </w:tcPr>
          <w:p>
            <w:pPr>
              <w:spacing w:after="0"/>
              <w:rPr>
                <w:sz w:val="1"/>
                <w:szCs w:val="1"/>
                <w:color w:val="auto"/>
              </w:rPr>
            </w:pPr>
          </w:p>
        </w:tc>
      </w:tr>
      <w:tr>
        <w:trPr>
          <w:trHeight w:val="527"/>
        </w:trPr>
        <w:tc>
          <w:tcPr>
            <w:tcW w:w="3360" w:type="dxa"/>
            <w:vAlign w:val="bottom"/>
          </w:tcPr>
          <w:p>
            <w:pPr>
              <w:spacing w:after="0"/>
              <w:rPr>
                <w:sz w:val="20"/>
                <w:szCs w:val="20"/>
                <w:color w:val="auto"/>
              </w:rPr>
            </w:pPr>
            <w:r>
              <w:rPr>
                <w:rFonts w:ascii="Arial" w:cs="Arial" w:eastAsia="Arial" w:hAnsi="Arial"/>
                <w:sz w:val="16"/>
                <w:szCs w:val="16"/>
                <w:color w:val="auto"/>
              </w:rPr>
              <w:t>RIA Financial Services Australia Pty. Ltd.</w:t>
            </w:r>
          </w:p>
        </w:tc>
        <w:tc>
          <w:tcPr>
            <w:tcW w:w="1280" w:type="dxa"/>
            <w:vAlign w:val="bottom"/>
          </w:tcPr>
          <w:p>
            <w:pPr>
              <w:ind w:left="40"/>
              <w:spacing w:after="0"/>
              <w:rPr>
                <w:sz w:val="20"/>
                <w:szCs w:val="20"/>
                <w:color w:val="auto"/>
              </w:rPr>
            </w:pPr>
            <w:r>
              <w:rPr>
                <w:rFonts w:ascii="Arial" w:cs="Arial" w:eastAsia="Arial" w:hAnsi="Arial"/>
                <w:sz w:val="16"/>
                <w:szCs w:val="16"/>
                <w:color w:val="auto"/>
              </w:rPr>
              <w:t>Westpac</w:t>
            </w:r>
          </w:p>
        </w:tc>
        <w:tc>
          <w:tcPr>
            <w:tcW w:w="1620" w:type="dxa"/>
            <w:vAlign w:val="bottom"/>
          </w:tcPr>
          <w:p>
            <w:pPr>
              <w:ind w:left="120"/>
              <w:spacing w:after="0"/>
              <w:rPr>
                <w:sz w:val="20"/>
                <w:szCs w:val="20"/>
                <w:color w:val="auto"/>
              </w:rPr>
            </w:pPr>
            <w:r>
              <w:rPr>
                <w:rFonts w:ascii="Arial" w:cs="Arial" w:eastAsia="Arial" w:hAnsi="Arial"/>
                <w:sz w:val="16"/>
                <w:szCs w:val="16"/>
                <w:color w:val="auto"/>
              </w:rPr>
              <w:t>Bank Guarantee/LC</w:t>
            </w:r>
          </w:p>
        </w:tc>
        <w:tc>
          <w:tcPr>
            <w:tcW w:w="2020" w:type="dxa"/>
            <w:vAlign w:val="bottom"/>
          </w:tcPr>
          <w:p>
            <w:pPr>
              <w:ind w:left="200"/>
              <w:spacing w:after="0"/>
              <w:rPr>
                <w:sz w:val="20"/>
                <w:szCs w:val="20"/>
                <w:color w:val="auto"/>
              </w:rPr>
            </w:pPr>
            <w:r>
              <w:rPr>
                <w:rFonts w:ascii="Arial" w:cs="Arial" w:eastAsia="Arial" w:hAnsi="Arial"/>
                <w:sz w:val="16"/>
                <w:szCs w:val="16"/>
                <w:color w:val="auto"/>
              </w:rPr>
              <w:t>Store Lease</w:t>
            </w:r>
          </w:p>
        </w:tc>
        <w:tc>
          <w:tcPr>
            <w:tcW w:w="1920" w:type="dxa"/>
            <w:vAlign w:val="bottom"/>
          </w:tcPr>
          <w:p>
            <w:pPr>
              <w:jc w:val="right"/>
              <w:spacing w:after="0"/>
              <w:rPr>
                <w:sz w:val="20"/>
                <w:szCs w:val="20"/>
                <w:color w:val="auto"/>
              </w:rPr>
            </w:pPr>
            <w:r>
              <w:rPr>
                <w:rFonts w:ascii="Arial" w:cs="Arial" w:eastAsia="Arial" w:hAnsi="Arial"/>
                <w:sz w:val="16"/>
                <w:szCs w:val="16"/>
                <w:color w:val="auto"/>
              </w:rPr>
              <w:t>AUD 9,075</w:t>
            </w:r>
          </w:p>
        </w:tc>
        <w:tc>
          <w:tcPr>
            <w:tcW w:w="1180" w:type="dxa"/>
            <w:vAlign w:val="bottom"/>
          </w:tcPr>
          <w:p>
            <w:pPr>
              <w:jc w:val="right"/>
              <w:spacing w:after="0"/>
              <w:rPr>
                <w:sz w:val="20"/>
                <w:szCs w:val="20"/>
                <w:color w:val="auto"/>
              </w:rPr>
            </w:pPr>
            <w:r>
              <w:rPr>
                <w:rFonts w:ascii="Arial" w:cs="Arial" w:eastAsia="Arial" w:hAnsi="Arial"/>
                <w:sz w:val="16"/>
                <w:szCs w:val="16"/>
                <w:color w:val="auto"/>
              </w:rPr>
              <w:t>7,901</w:t>
            </w:r>
          </w:p>
        </w:tc>
        <w:tc>
          <w:tcPr>
            <w:tcW w:w="0" w:type="dxa"/>
            <w:vAlign w:val="bottom"/>
          </w:tcPr>
          <w:p>
            <w:pPr>
              <w:spacing w:after="0"/>
              <w:rPr>
                <w:sz w:val="1"/>
                <w:szCs w:val="1"/>
                <w:color w:val="auto"/>
              </w:rPr>
            </w:pPr>
          </w:p>
        </w:tc>
      </w:tr>
      <w:tr>
        <w:trPr>
          <w:trHeight w:val="33"/>
        </w:trPr>
        <w:tc>
          <w:tcPr>
            <w:tcW w:w="33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620" w:type="dxa"/>
            <w:vAlign w:val="bottom"/>
          </w:tcPr>
          <w:p>
            <w:pPr>
              <w:spacing w:after="0"/>
              <w:rPr>
                <w:sz w:val="2"/>
                <w:szCs w:val="2"/>
                <w:color w:val="auto"/>
              </w:rPr>
            </w:pPr>
          </w:p>
        </w:tc>
        <w:tc>
          <w:tcPr>
            <w:tcW w:w="2020" w:type="dxa"/>
            <w:vAlign w:val="bottom"/>
          </w:tcPr>
          <w:p>
            <w:pPr>
              <w:spacing w:after="0"/>
              <w:rPr>
                <w:sz w:val="2"/>
                <w:szCs w:val="2"/>
                <w:color w:val="auto"/>
              </w:rPr>
            </w:pPr>
          </w:p>
        </w:tc>
        <w:tc>
          <w:tcPr>
            <w:tcW w:w="1920" w:type="dxa"/>
            <w:vAlign w:val="bottom"/>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3360" w:type="dxa"/>
            <w:vAlign w:val="bottom"/>
          </w:tcPr>
          <w:p>
            <w:pPr>
              <w:spacing w:after="0"/>
              <w:rPr>
                <w:sz w:val="20"/>
                <w:szCs w:val="20"/>
                <w:color w:val="auto"/>
              </w:rPr>
            </w:pPr>
            <w:r>
              <w:rPr>
                <w:rFonts w:ascii="Arial" w:cs="Arial" w:eastAsia="Arial" w:hAnsi="Arial"/>
                <w:sz w:val="16"/>
                <w:szCs w:val="16"/>
                <w:b w:val="1"/>
                <w:bCs w:val="1"/>
                <w:color w:val="auto"/>
                <w:w w:val="94"/>
              </w:rPr>
              <w:t>RIA Financial Services Australia Pty. Ltd. Total</w:t>
            </w:r>
          </w:p>
        </w:tc>
        <w:tc>
          <w:tcPr>
            <w:tcW w:w="128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b w:val="1"/>
                <w:bCs w:val="1"/>
                <w:color w:val="auto"/>
              </w:rPr>
              <w:t>7,901</w:t>
            </w:r>
          </w:p>
        </w:tc>
        <w:tc>
          <w:tcPr>
            <w:tcW w:w="0" w:type="dxa"/>
            <w:vAlign w:val="bottom"/>
          </w:tcPr>
          <w:p>
            <w:pPr>
              <w:spacing w:after="0"/>
              <w:rPr>
                <w:sz w:val="1"/>
                <w:szCs w:val="1"/>
                <w:color w:val="auto"/>
              </w:rPr>
            </w:pPr>
          </w:p>
        </w:tc>
      </w:tr>
      <w:tr>
        <w:trPr>
          <w:trHeight w:val="523"/>
        </w:trPr>
        <w:tc>
          <w:tcPr>
            <w:tcW w:w="3360" w:type="dxa"/>
            <w:vAlign w:val="bottom"/>
          </w:tcPr>
          <w:p>
            <w:pPr>
              <w:spacing w:after="0"/>
              <w:rPr>
                <w:sz w:val="24"/>
                <w:szCs w:val="24"/>
                <w:color w:val="auto"/>
              </w:rPr>
            </w:pPr>
          </w:p>
        </w:tc>
        <w:tc>
          <w:tcPr>
            <w:tcW w:w="1280" w:type="dxa"/>
            <w:vAlign w:val="bottom"/>
          </w:tcPr>
          <w:p>
            <w:pPr>
              <w:ind w:left="40"/>
              <w:spacing w:after="0"/>
              <w:rPr>
                <w:sz w:val="20"/>
                <w:szCs w:val="20"/>
                <w:color w:val="auto"/>
              </w:rPr>
            </w:pPr>
            <w:r>
              <w:rPr>
                <w:rFonts w:ascii="Arial" w:cs="Arial" w:eastAsia="Arial" w:hAnsi="Arial"/>
                <w:sz w:val="16"/>
                <w:szCs w:val="16"/>
                <w:color w:val="auto"/>
                <w:w w:val="95"/>
              </w:rPr>
              <w:t>Societe Generale,</w:t>
            </w:r>
          </w:p>
        </w:tc>
        <w:tc>
          <w:tcPr>
            <w:tcW w:w="162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6"/>
        </w:trPr>
        <w:tc>
          <w:tcPr>
            <w:tcW w:w="3360" w:type="dxa"/>
            <w:vAlign w:val="bottom"/>
          </w:tcPr>
          <w:p>
            <w:pPr>
              <w:spacing w:after="0"/>
              <w:rPr>
                <w:sz w:val="20"/>
                <w:szCs w:val="20"/>
                <w:color w:val="auto"/>
              </w:rPr>
            </w:pPr>
            <w:r>
              <w:rPr>
                <w:rFonts w:ascii="Arial" w:cs="Arial" w:eastAsia="Arial" w:hAnsi="Arial"/>
                <w:sz w:val="16"/>
                <w:szCs w:val="16"/>
                <w:color w:val="auto"/>
              </w:rPr>
              <w:t>Ria France SAS</w:t>
            </w:r>
          </w:p>
        </w:tc>
        <w:tc>
          <w:tcPr>
            <w:tcW w:w="1280" w:type="dxa"/>
            <w:vAlign w:val="bottom"/>
          </w:tcPr>
          <w:p>
            <w:pPr>
              <w:ind w:left="40"/>
              <w:spacing w:after="0"/>
              <w:rPr>
                <w:sz w:val="20"/>
                <w:szCs w:val="20"/>
                <w:color w:val="auto"/>
              </w:rPr>
            </w:pPr>
            <w:r>
              <w:rPr>
                <w:rFonts w:ascii="Arial" w:cs="Arial" w:eastAsia="Arial" w:hAnsi="Arial"/>
                <w:sz w:val="16"/>
                <w:szCs w:val="16"/>
                <w:color w:val="auto"/>
              </w:rPr>
              <w:t>S.A.</w:t>
            </w:r>
          </w:p>
        </w:tc>
        <w:tc>
          <w:tcPr>
            <w:tcW w:w="1620" w:type="dxa"/>
            <w:vAlign w:val="bottom"/>
          </w:tcPr>
          <w:p>
            <w:pPr>
              <w:ind w:left="120"/>
              <w:spacing w:after="0"/>
              <w:rPr>
                <w:sz w:val="20"/>
                <w:szCs w:val="20"/>
                <w:color w:val="auto"/>
              </w:rPr>
            </w:pPr>
            <w:r>
              <w:rPr>
                <w:rFonts w:ascii="Arial" w:cs="Arial" w:eastAsia="Arial" w:hAnsi="Arial"/>
                <w:sz w:val="16"/>
                <w:szCs w:val="16"/>
                <w:color w:val="auto"/>
              </w:rPr>
              <w:t>Bank Guarantee/LC</w:t>
            </w:r>
          </w:p>
        </w:tc>
        <w:tc>
          <w:tcPr>
            <w:tcW w:w="2020" w:type="dxa"/>
            <w:vAlign w:val="bottom"/>
          </w:tcPr>
          <w:p>
            <w:pPr>
              <w:ind w:left="200"/>
              <w:spacing w:after="0"/>
              <w:rPr>
                <w:sz w:val="20"/>
                <w:szCs w:val="20"/>
                <w:color w:val="auto"/>
              </w:rPr>
            </w:pPr>
            <w:r>
              <w:rPr>
                <w:rFonts w:ascii="Arial" w:cs="Arial" w:eastAsia="Arial" w:hAnsi="Arial"/>
                <w:sz w:val="16"/>
                <w:szCs w:val="16"/>
                <w:color w:val="auto"/>
              </w:rPr>
              <w:t>Store Rent</w:t>
            </w:r>
          </w:p>
        </w:tc>
        <w:tc>
          <w:tcPr>
            <w:tcW w:w="1920" w:type="dxa"/>
            <w:vAlign w:val="bottom"/>
          </w:tcPr>
          <w:p>
            <w:pPr>
              <w:jc w:val="right"/>
              <w:spacing w:after="0"/>
              <w:rPr>
                <w:sz w:val="20"/>
                <w:szCs w:val="20"/>
                <w:color w:val="auto"/>
              </w:rPr>
            </w:pPr>
            <w:r>
              <w:rPr>
                <w:rFonts w:ascii="Arial" w:cs="Arial" w:eastAsia="Arial" w:hAnsi="Arial"/>
                <w:sz w:val="16"/>
                <w:szCs w:val="16"/>
                <w:color w:val="auto"/>
              </w:rPr>
              <w:t>EUR 7,200</w:t>
            </w:r>
          </w:p>
        </w:tc>
        <w:tc>
          <w:tcPr>
            <w:tcW w:w="1180" w:type="dxa"/>
            <w:vAlign w:val="bottom"/>
          </w:tcPr>
          <w:p>
            <w:pPr>
              <w:jc w:val="right"/>
              <w:spacing w:after="0"/>
              <w:rPr>
                <w:sz w:val="20"/>
                <w:szCs w:val="20"/>
                <w:color w:val="auto"/>
              </w:rPr>
            </w:pPr>
            <w:r>
              <w:rPr>
                <w:rFonts w:ascii="Arial" w:cs="Arial" w:eastAsia="Arial" w:hAnsi="Arial"/>
                <w:sz w:val="16"/>
                <w:szCs w:val="16"/>
                <w:color w:val="auto"/>
              </w:rPr>
              <w:t>9,729</w:t>
            </w:r>
          </w:p>
        </w:tc>
        <w:tc>
          <w:tcPr>
            <w:tcW w:w="0" w:type="dxa"/>
            <w:vAlign w:val="bottom"/>
          </w:tcPr>
          <w:p>
            <w:pPr>
              <w:spacing w:after="0"/>
              <w:rPr>
                <w:sz w:val="1"/>
                <w:szCs w:val="1"/>
                <w:color w:val="auto"/>
              </w:rPr>
            </w:pPr>
          </w:p>
        </w:tc>
      </w:tr>
      <w:tr>
        <w:trPr>
          <w:trHeight w:val="33"/>
        </w:trPr>
        <w:tc>
          <w:tcPr>
            <w:tcW w:w="33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620" w:type="dxa"/>
            <w:vAlign w:val="bottom"/>
          </w:tcPr>
          <w:p>
            <w:pPr>
              <w:spacing w:after="0"/>
              <w:rPr>
                <w:sz w:val="2"/>
                <w:szCs w:val="2"/>
                <w:color w:val="auto"/>
              </w:rPr>
            </w:pPr>
          </w:p>
        </w:tc>
        <w:tc>
          <w:tcPr>
            <w:tcW w:w="2020" w:type="dxa"/>
            <w:vAlign w:val="bottom"/>
          </w:tcPr>
          <w:p>
            <w:pPr>
              <w:spacing w:after="0"/>
              <w:rPr>
                <w:sz w:val="2"/>
                <w:szCs w:val="2"/>
                <w:color w:val="auto"/>
              </w:rPr>
            </w:pPr>
          </w:p>
        </w:tc>
        <w:tc>
          <w:tcPr>
            <w:tcW w:w="1920" w:type="dxa"/>
            <w:vAlign w:val="bottom"/>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3360" w:type="dxa"/>
            <w:vAlign w:val="bottom"/>
          </w:tcPr>
          <w:p>
            <w:pPr>
              <w:spacing w:after="0"/>
              <w:rPr>
                <w:sz w:val="20"/>
                <w:szCs w:val="20"/>
                <w:color w:val="auto"/>
              </w:rPr>
            </w:pPr>
            <w:r>
              <w:rPr>
                <w:rFonts w:ascii="Arial" w:cs="Arial" w:eastAsia="Arial" w:hAnsi="Arial"/>
                <w:sz w:val="16"/>
                <w:szCs w:val="16"/>
                <w:b w:val="1"/>
                <w:bCs w:val="1"/>
                <w:color w:val="auto"/>
              </w:rPr>
              <w:t>Ria France SAS Total</w:t>
            </w:r>
          </w:p>
        </w:tc>
        <w:tc>
          <w:tcPr>
            <w:tcW w:w="128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b w:val="1"/>
                <w:bCs w:val="1"/>
                <w:color w:val="auto"/>
              </w:rPr>
              <w:t>9,729</w:t>
            </w:r>
          </w:p>
        </w:tc>
        <w:tc>
          <w:tcPr>
            <w:tcW w:w="0" w:type="dxa"/>
            <w:vAlign w:val="bottom"/>
          </w:tcPr>
          <w:p>
            <w:pPr>
              <w:spacing w:after="0"/>
              <w:rPr>
                <w:sz w:val="1"/>
                <w:szCs w:val="1"/>
                <w:color w:val="auto"/>
              </w:rPr>
            </w:pPr>
          </w:p>
        </w:tc>
      </w:tr>
      <w:tr>
        <w:trPr>
          <w:trHeight w:val="527"/>
        </w:trPr>
        <w:tc>
          <w:tcPr>
            <w:tcW w:w="3360" w:type="dxa"/>
            <w:vAlign w:val="bottom"/>
          </w:tcPr>
          <w:p>
            <w:pPr>
              <w:spacing w:after="0"/>
              <w:rPr>
                <w:sz w:val="20"/>
                <w:szCs w:val="20"/>
                <w:color w:val="auto"/>
              </w:rPr>
            </w:pPr>
            <w:r>
              <w:rPr>
                <w:rFonts w:ascii="Arial" w:cs="Arial" w:eastAsia="Arial" w:hAnsi="Arial"/>
                <w:sz w:val="16"/>
                <w:szCs w:val="16"/>
                <w:color w:val="auto"/>
              </w:rPr>
              <w:t>EWI (on behalf of RIA Italia S.R.L.)</w:t>
            </w:r>
          </w:p>
        </w:tc>
        <w:tc>
          <w:tcPr>
            <w:tcW w:w="1280" w:type="dxa"/>
            <w:vAlign w:val="bottom"/>
          </w:tcPr>
          <w:p>
            <w:pPr>
              <w:ind w:left="40"/>
              <w:spacing w:after="0"/>
              <w:rPr>
                <w:sz w:val="20"/>
                <w:szCs w:val="20"/>
                <w:color w:val="auto"/>
              </w:rPr>
            </w:pPr>
            <w:r>
              <w:rPr>
                <w:rFonts w:ascii="Arial" w:cs="Arial" w:eastAsia="Arial" w:hAnsi="Arial"/>
                <w:sz w:val="16"/>
                <w:szCs w:val="16"/>
                <w:color w:val="auto"/>
              </w:rPr>
              <w:t>Bank of America</w:t>
            </w:r>
          </w:p>
        </w:tc>
        <w:tc>
          <w:tcPr>
            <w:tcW w:w="1620" w:type="dxa"/>
            <w:vAlign w:val="bottom"/>
          </w:tcPr>
          <w:p>
            <w:pPr>
              <w:ind w:left="120"/>
              <w:spacing w:after="0"/>
              <w:rPr>
                <w:sz w:val="20"/>
                <w:szCs w:val="20"/>
                <w:color w:val="auto"/>
              </w:rPr>
            </w:pPr>
            <w:r>
              <w:rPr>
                <w:rFonts w:ascii="Arial" w:cs="Arial" w:eastAsia="Arial" w:hAnsi="Arial"/>
                <w:sz w:val="16"/>
                <w:szCs w:val="16"/>
                <w:color w:val="auto"/>
              </w:rPr>
              <w:t>Bank Guarantee/LC</w:t>
            </w:r>
          </w:p>
        </w:tc>
        <w:tc>
          <w:tcPr>
            <w:tcW w:w="2020" w:type="dxa"/>
            <w:vAlign w:val="bottom"/>
          </w:tcPr>
          <w:p>
            <w:pPr>
              <w:ind w:left="200"/>
              <w:spacing w:after="0"/>
              <w:rPr>
                <w:sz w:val="20"/>
                <w:szCs w:val="20"/>
                <w:color w:val="auto"/>
              </w:rPr>
            </w:pPr>
            <w:r>
              <w:rPr>
                <w:rFonts w:ascii="Arial" w:cs="Arial" w:eastAsia="Arial" w:hAnsi="Arial"/>
                <w:sz w:val="16"/>
                <w:szCs w:val="16"/>
                <w:color w:val="auto"/>
              </w:rPr>
              <w:t>Office rent</w:t>
            </w:r>
          </w:p>
        </w:tc>
        <w:tc>
          <w:tcPr>
            <w:tcW w:w="1920" w:type="dxa"/>
            <w:vAlign w:val="bottom"/>
          </w:tcPr>
          <w:p>
            <w:pPr>
              <w:jc w:val="right"/>
              <w:spacing w:after="0"/>
              <w:rPr>
                <w:sz w:val="20"/>
                <w:szCs w:val="20"/>
                <w:color w:val="auto"/>
              </w:rPr>
            </w:pPr>
            <w:r>
              <w:rPr>
                <w:rFonts w:ascii="Arial" w:cs="Arial" w:eastAsia="Arial" w:hAnsi="Arial"/>
                <w:sz w:val="16"/>
                <w:szCs w:val="16"/>
                <w:color w:val="auto"/>
              </w:rPr>
              <w:t>EUR 108,000</w:t>
            </w:r>
          </w:p>
        </w:tc>
        <w:tc>
          <w:tcPr>
            <w:tcW w:w="1180" w:type="dxa"/>
            <w:vAlign w:val="bottom"/>
          </w:tcPr>
          <w:p>
            <w:pPr>
              <w:jc w:val="right"/>
              <w:spacing w:after="0"/>
              <w:rPr>
                <w:sz w:val="20"/>
                <w:szCs w:val="20"/>
                <w:color w:val="auto"/>
              </w:rPr>
            </w:pPr>
            <w:r>
              <w:rPr>
                <w:rFonts w:ascii="Arial" w:cs="Arial" w:eastAsia="Arial" w:hAnsi="Arial"/>
                <w:sz w:val="16"/>
                <w:szCs w:val="16"/>
                <w:color w:val="auto"/>
              </w:rPr>
              <w:t>145,940</w:t>
            </w:r>
          </w:p>
        </w:tc>
        <w:tc>
          <w:tcPr>
            <w:tcW w:w="0" w:type="dxa"/>
            <w:vAlign w:val="bottom"/>
          </w:tcPr>
          <w:p>
            <w:pPr>
              <w:spacing w:after="0"/>
              <w:rPr>
                <w:sz w:val="1"/>
                <w:szCs w:val="1"/>
                <w:color w:val="auto"/>
              </w:rPr>
            </w:pPr>
          </w:p>
        </w:tc>
      </w:tr>
      <w:tr>
        <w:trPr>
          <w:trHeight w:val="33"/>
        </w:trPr>
        <w:tc>
          <w:tcPr>
            <w:tcW w:w="33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620" w:type="dxa"/>
            <w:vAlign w:val="bottom"/>
          </w:tcPr>
          <w:p>
            <w:pPr>
              <w:spacing w:after="0"/>
              <w:rPr>
                <w:sz w:val="2"/>
                <w:szCs w:val="2"/>
                <w:color w:val="auto"/>
              </w:rPr>
            </w:pPr>
          </w:p>
        </w:tc>
        <w:tc>
          <w:tcPr>
            <w:tcW w:w="2020" w:type="dxa"/>
            <w:vAlign w:val="bottom"/>
          </w:tcPr>
          <w:p>
            <w:pPr>
              <w:spacing w:after="0"/>
              <w:rPr>
                <w:sz w:val="2"/>
                <w:szCs w:val="2"/>
                <w:color w:val="auto"/>
              </w:rPr>
            </w:pPr>
          </w:p>
        </w:tc>
        <w:tc>
          <w:tcPr>
            <w:tcW w:w="1920" w:type="dxa"/>
            <w:vAlign w:val="bottom"/>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3360" w:type="dxa"/>
            <w:vAlign w:val="bottom"/>
          </w:tcPr>
          <w:p>
            <w:pPr>
              <w:spacing w:after="0"/>
              <w:rPr>
                <w:sz w:val="20"/>
                <w:szCs w:val="20"/>
                <w:color w:val="auto"/>
              </w:rPr>
            </w:pPr>
            <w:r>
              <w:rPr>
                <w:rFonts w:ascii="Arial" w:cs="Arial" w:eastAsia="Arial" w:hAnsi="Arial"/>
                <w:sz w:val="16"/>
                <w:szCs w:val="16"/>
                <w:b w:val="1"/>
                <w:bCs w:val="1"/>
                <w:color w:val="auto"/>
              </w:rPr>
              <w:t>RIA Italia S.R.L. Total</w:t>
            </w:r>
          </w:p>
        </w:tc>
        <w:tc>
          <w:tcPr>
            <w:tcW w:w="128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b w:val="1"/>
                <w:bCs w:val="1"/>
                <w:color w:val="auto"/>
              </w:rPr>
              <w:t>145,940</w:t>
            </w:r>
          </w:p>
        </w:tc>
        <w:tc>
          <w:tcPr>
            <w:tcW w:w="0" w:type="dxa"/>
            <w:vAlign w:val="bottom"/>
          </w:tcPr>
          <w:p>
            <w:pPr>
              <w:spacing w:after="0"/>
              <w:rPr>
                <w:sz w:val="1"/>
                <w:szCs w:val="1"/>
                <w:color w:val="auto"/>
              </w:rPr>
            </w:pPr>
          </w:p>
        </w:tc>
      </w:tr>
      <w:tr>
        <w:trPr>
          <w:trHeight w:val="523"/>
        </w:trPr>
        <w:tc>
          <w:tcPr>
            <w:tcW w:w="3360" w:type="dxa"/>
            <w:vAlign w:val="bottom"/>
          </w:tcPr>
          <w:p>
            <w:pPr>
              <w:spacing w:after="0"/>
              <w:rPr>
                <w:sz w:val="24"/>
                <w:szCs w:val="24"/>
                <w:color w:val="auto"/>
              </w:rPr>
            </w:pPr>
          </w:p>
        </w:tc>
        <w:tc>
          <w:tcPr>
            <w:tcW w:w="1280" w:type="dxa"/>
            <w:vAlign w:val="bottom"/>
          </w:tcPr>
          <w:p>
            <w:pPr>
              <w:ind w:left="40"/>
              <w:spacing w:after="0"/>
              <w:rPr>
                <w:sz w:val="20"/>
                <w:szCs w:val="20"/>
                <w:color w:val="auto"/>
              </w:rPr>
            </w:pPr>
            <w:r>
              <w:rPr>
                <w:rFonts w:ascii="Arial" w:cs="Arial" w:eastAsia="Arial" w:hAnsi="Arial"/>
                <w:sz w:val="16"/>
                <w:szCs w:val="16"/>
                <w:color w:val="auto"/>
              </w:rPr>
              <w:t>Catalunya Banc,</w:t>
            </w:r>
          </w:p>
        </w:tc>
        <w:tc>
          <w:tcPr>
            <w:tcW w:w="162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6"/>
        </w:trPr>
        <w:tc>
          <w:tcPr>
            <w:tcW w:w="3360" w:type="dxa"/>
            <w:vAlign w:val="bottom"/>
          </w:tcPr>
          <w:p>
            <w:pPr>
              <w:spacing w:after="0"/>
              <w:rPr>
                <w:sz w:val="20"/>
                <w:szCs w:val="20"/>
                <w:color w:val="auto"/>
              </w:rPr>
            </w:pPr>
            <w:r>
              <w:rPr>
                <w:rFonts w:ascii="Arial" w:cs="Arial" w:eastAsia="Arial" w:hAnsi="Arial"/>
                <w:sz w:val="16"/>
                <w:szCs w:val="16"/>
                <w:color w:val="auto"/>
              </w:rPr>
              <w:t>RIA Payment Institution EP, S.A.U.</w:t>
            </w:r>
          </w:p>
        </w:tc>
        <w:tc>
          <w:tcPr>
            <w:tcW w:w="1280" w:type="dxa"/>
            <w:vAlign w:val="bottom"/>
          </w:tcPr>
          <w:p>
            <w:pPr>
              <w:ind w:left="40"/>
              <w:spacing w:after="0"/>
              <w:rPr>
                <w:sz w:val="20"/>
                <w:szCs w:val="20"/>
                <w:color w:val="auto"/>
              </w:rPr>
            </w:pPr>
            <w:r>
              <w:rPr>
                <w:rFonts w:ascii="Arial" w:cs="Arial" w:eastAsia="Arial" w:hAnsi="Arial"/>
                <w:sz w:val="16"/>
                <w:szCs w:val="16"/>
                <w:color w:val="auto"/>
              </w:rPr>
              <w:t>S.A.</w:t>
            </w:r>
          </w:p>
        </w:tc>
        <w:tc>
          <w:tcPr>
            <w:tcW w:w="1620" w:type="dxa"/>
            <w:vAlign w:val="bottom"/>
          </w:tcPr>
          <w:p>
            <w:pPr>
              <w:ind w:left="120"/>
              <w:spacing w:after="0"/>
              <w:rPr>
                <w:sz w:val="20"/>
                <w:szCs w:val="20"/>
                <w:color w:val="auto"/>
              </w:rPr>
            </w:pPr>
            <w:r>
              <w:rPr>
                <w:rFonts w:ascii="Arial" w:cs="Arial" w:eastAsia="Arial" w:hAnsi="Arial"/>
                <w:sz w:val="16"/>
                <w:szCs w:val="16"/>
                <w:color w:val="auto"/>
              </w:rPr>
              <w:t>Bank Guarantee/LC</w:t>
            </w:r>
          </w:p>
        </w:tc>
        <w:tc>
          <w:tcPr>
            <w:tcW w:w="2020" w:type="dxa"/>
            <w:vAlign w:val="bottom"/>
          </w:tcPr>
          <w:p>
            <w:pPr>
              <w:ind w:left="200"/>
              <w:spacing w:after="0"/>
              <w:rPr>
                <w:sz w:val="20"/>
                <w:szCs w:val="20"/>
                <w:color w:val="auto"/>
              </w:rPr>
            </w:pPr>
            <w:r>
              <w:rPr>
                <w:rFonts w:ascii="Arial" w:cs="Arial" w:eastAsia="Arial" w:hAnsi="Arial"/>
                <w:sz w:val="16"/>
                <w:szCs w:val="16"/>
                <w:color w:val="auto"/>
              </w:rPr>
              <w:t>Store Rent</w:t>
            </w:r>
          </w:p>
        </w:tc>
        <w:tc>
          <w:tcPr>
            <w:tcW w:w="1920" w:type="dxa"/>
            <w:vAlign w:val="bottom"/>
          </w:tcPr>
          <w:p>
            <w:pPr>
              <w:jc w:val="right"/>
              <w:spacing w:after="0"/>
              <w:rPr>
                <w:sz w:val="20"/>
                <w:szCs w:val="20"/>
                <w:color w:val="auto"/>
              </w:rPr>
            </w:pPr>
            <w:r>
              <w:rPr>
                <w:rFonts w:ascii="Arial" w:cs="Arial" w:eastAsia="Arial" w:hAnsi="Arial"/>
                <w:sz w:val="16"/>
                <w:szCs w:val="16"/>
                <w:color w:val="auto"/>
              </w:rPr>
              <w:t>EUR 79,200</w:t>
            </w:r>
          </w:p>
        </w:tc>
        <w:tc>
          <w:tcPr>
            <w:tcW w:w="1180" w:type="dxa"/>
            <w:vAlign w:val="bottom"/>
          </w:tcPr>
          <w:p>
            <w:pPr>
              <w:jc w:val="right"/>
              <w:spacing w:after="0"/>
              <w:rPr>
                <w:sz w:val="20"/>
                <w:szCs w:val="20"/>
                <w:color w:val="auto"/>
              </w:rPr>
            </w:pPr>
            <w:r>
              <w:rPr>
                <w:rFonts w:ascii="Arial" w:cs="Arial" w:eastAsia="Arial" w:hAnsi="Arial"/>
                <w:sz w:val="16"/>
                <w:szCs w:val="16"/>
                <w:color w:val="auto"/>
              </w:rPr>
              <w:t>107,023</w:t>
            </w:r>
          </w:p>
        </w:tc>
        <w:tc>
          <w:tcPr>
            <w:tcW w:w="0" w:type="dxa"/>
            <w:vAlign w:val="bottom"/>
          </w:tcPr>
          <w:p>
            <w:pPr>
              <w:spacing w:after="0"/>
              <w:rPr>
                <w:sz w:val="1"/>
                <w:szCs w:val="1"/>
                <w:color w:val="auto"/>
              </w:rPr>
            </w:pPr>
          </w:p>
        </w:tc>
      </w:tr>
      <w:tr>
        <w:trPr>
          <w:trHeight w:val="253"/>
        </w:trPr>
        <w:tc>
          <w:tcPr>
            <w:tcW w:w="3360" w:type="dxa"/>
            <w:vAlign w:val="bottom"/>
          </w:tcPr>
          <w:p>
            <w:pPr>
              <w:spacing w:after="0"/>
              <w:rPr>
                <w:sz w:val="21"/>
                <w:szCs w:val="21"/>
                <w:color w:val="auto"/>
              </w:rPr>
            </w:pPr>
          </w:p>
        </w:tc>
        <w:tc>
          <w:tcPr>
            <w:tcW w:w="1280" w:type="dxa"/>
            <w:vAlign w:val="bottom"/>
          </w:tcPr>
          <w:p>
            <w:pPr>
              <w:ind w:left="40"/>
              <w:spacing w:after="0"/>
              <w:rPr>
                <w:sz w:val="20"/>
                <w:szCs w:val="20"/>
                <w:color w:val="auto"/>
              </w:rPr>
            </w:pPr>
            <w:r>
              <w:rPr>
                <w:rFonts w:ascii="Arial" w:cs="Arial" w:eastAsia="Arial" w:hAnsi="Arial"/>
                <w:sz w:val="16"/>
                <w:szCs w:val="16"/>
                <w:color w:val="auto"/>
              </w:rPr>
              <w:t>Catalunya Banc,</w:t>
            </w:r>
          </w:p>
        </w:tc>
        <w:tc>
          <w:tcPr>
            <w:tcW w:w="1620" w:type="dxa"/>
            <w:vAlign w:val="bottom"/>
          </w:tcPr>
          <w:p>
            <w:pPr>
              <w:spacing w:after="0"/>
              <w:rPr>
                <w:sz w:val="21"/>
                <w:szCs w:val="21"/>
                <w:color w:val="auto"/>
              </w:rPr>
            </w:pPr>
          </w:p>
        </w:tc>
        <w:tc>
          <w:tcPr>
            <w:tcW w:w="2020" w:type="dxa"/>
            <w:vAlign w:val="bottom"/>
          </w:tcPr>
          <w:p>
            <w:pPr>
              <w:spacing w:after="0"/>
              <w:rPr>
                <w:sz w:val="21"/>
                <w:szCs w:val="21"/>
                <w:color w:val="auto"/>
              </w:rPr>
            </w:pPr>
          </w:p>
        </w:tc>
        <w:tc>
          <w:tcPr>
            <w:tcW w:w="192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6"/>
        </w:trPr>
        <w:tc>
          <w:tcPr>
            <w:tcW w:w="3360" w:type="dxa"/>
            <w:vAlign w:val="bottom"/>
          </w:tcPr>
          <w:p>
            <w:pPr>
              <w:spacing w:after="0"/>
              <w:rPr>
                <w:sz w:val="20"/>
                <w:szCs w:val="20"/>
                <w:color w:val="auto"/>
              </w:rPr>
            </w:pPr>
            <w:r>
              <w:rPr>
                <w:rFonts w:ascii="Arial" w:cs="Arial" w:eastAsia="Arial" w:hAnsi="Arial"/>
                <w:sz w:val="16"/>
                <w:szCs w:val="16"/>
                <w:color w:val="auto"/>
              </w:rPr>
              <w:t>RIA Payment Institution EP, S.A.U.</w:t>
            </w:r>
          </w:p>
        </w:tc>
        <w:tc>
          <w:tcPr>
            <w:tcW w:w="1280" w:type="dxa"/>
            <w:vAlign w:val="bottom"/>
          </w:tcPr>
          <w:p>
            <w:pPr>
              <w:ind w:left="40"/>
              <w:spacing w:after="0"/>
              <w:rPr>
                <w:sz w:val="20"/>
                <w:szCs w:val="20"/>
                <w:color w:val="auto"/>
              </w:rPr>
            </w:pPr>
            <w:r>
              <w:rPr>
                <w:rFonts w:ascii="Arial" w:cs="Arial" w:eastAsia="Arial" w:hAnsi="Arial"/>
                <w:sz w:val="16"/>
                <w:szCs w:val="16"/>
                <w:color w:val="auto"/>
              </w:rPr>
              <w:t>S.A.</w:t>
            </w:r>
          </w:p>
        </w:tc>
        <w:tc>
          <w:tcPr>
            <w:tcW w:w="1620" w:type="dxa"/>
            <w:vAlign w:val="bottom"/>
          </w:tcPr>
          <w:p>
            <w:pPr>
              <w:ind w:left="120"/>
              <w:spacing w:after="0"/>
              <w:rPr>
                <w:sz w:val="20"/>
                <w:szCs w:val="20"/>
                <w:color w:val="auto"/>
              </w:rPr>
            </w:pPr>
            <w:r>
              <w:rPr>
                <w:rFonts w:ascii="Arial" w:cs="Arial" w:eastAsia="Arial" w:hAnsi="Arial"/>
                <w:sz w:val="16"/>
                <w:szCs w:val="16"/>
                <w:color w:val="auto"/>
              </w:rPr>
              <w:t>Bank Guarantee/LC</w:t>
            </w:r>
          </w:p>
        </w:tc>
        <w:tc>
          <w:tcPr>
            <w:tcW w:w="2020" w:type="dxa"/>
            <w:vAlign w:val="bottom"/>
          </w:tcPr>
          <w:p>
            <w:pPr>
              <w:ind w:left="200"/>
              <w:spacing w:after="0"/>
              <w:rPr>
                <w:sz w:val="20"/>
                <w:szCs w:val="20"/>
                <w:color w:val="auto"/>
              </w:rPr>
            </w:pPr>
            <w:r>
              <w:rPr>
                <w:rFonts w:ascii="Arial" w:cs="Arial" w:eastAsia="Arial" w:hAnsi="Arial"/>
                <w:sz w:val="16"/>
                <w:szCs w:val="16"/>
                <w:color w:val="auto"/>
              </w:rPr>
              <w:t>Store Rent</w:t>
            </w:r>
          </w:p>
        </w:tc>
        <w:tc>
          <w:tcPr>
            <w:tcW w:w="1920" w:type="dxa"/>
            <w:vAlign w:val="bottom"/>
          </w:tcPr>
          <w:p>
            <w:pPr>
              <w:jc w:val="right"/>
              <w:spacing w:after="0"/>
              <w:rPr>
                <w:sz w:val="20"/>
                <w:szCs w:val="20"/>
                <w:color w:val="auto"/>
              </w:rPr>
            </w:pPr>
            <w:r>
              <w:rPr>
                <w:rFonts w:ascii="Arial" w:cs="Arial" w:eastAsia="Arial" w:hAnsi="Arial"/>
                <w:sz w:val="16"/>
                <w:szCs w:val="16"/>
                <w:color w:val="auto"/>
              </w:rPr>
              <w:t>EUR 30,000</w:t>
            </w:r>
          </w:p>
        </w:tc>
        <w:tc>
          <w:tcPr>
            <w:tcW w:w="1180" w:type="dxa"/>
            <w:vAlign w:val="bottom"/>
          </w:tcPr>
          <w:p>
            <w:pPr>
              <w:jc w:val="right"/>
              <w:spacing w:after="0"/>
              <w:rPr>
                <w:sz w:val="20"/>
                <w:szCs w:val="20"/>
                <w:color w:val="auto"/>
              </w:rPr>
            </w:pPr>
            <w:r>
              <w:rPr>
                <w:rFonts w:ascii="Arial" w:cs="Arial" w:eastAsia="Arial" w:hAnsi="Arial"/>
                <w:sz w:val="16"/>
                <w:szCs w:val="16"/>
                <w:color w:val="auto"/>
              </w:rPr>
              <w:t>40,539</w:t>
            </w:r>
          </w:p>
        </w:tc>
        <w:tc>
          <w:tcPr>
            <w:tcW w:w="0" w:type="dxa"/>
            <w:vAlign w:val="bottom"/>
          </w:tcPr>
          <w:p>
            <w:pPr>
              <w:spacing w:after="0"/>
              <w:rPr>
                <w:sz w:val="1"/>
                <w:szCs w:val="1"/>
                <w:color w:val="auto"/>
              </w:rPr>
            </w:pPr>
          </w:p>
        </w:tc>
      </w:tr>
      <w:tr>
        <w:trPr>
          <w:trHeight w:val="253"/>
        </w:trPr>
        <w:tc>
          <w:tcPr>
            <w:tcW w:w="3360" w:type="dxa"/>
            <w:vAlign w:val="bottom"/>
          </w:tcPr>
          <w:p>
            <w:pPr>
              <w:spacing w:after="0"/>
              <w:rPr>
                <w:sz w:val="21"/>
                <w:szCs w:val="21"/>
                <w:color w:val="auto"/>
              </w:rPr>
            </w:pPr>
          </w:p>
        </w:tc>
        <w:tc>
          <w:tcPr>
            <w:tcW w:w="1280" w:type="dxa"/>
            <w:vAlign w:val="bottom"/>
          </w:tcPr>
          <w:p>
            <w:pPr>
              <w:ind w:left="40"/>
              <w:spacing w:after="0"/>
              <w:rPr>
                <w:sz w:val="20"/>
                <w:szCs w:val="20"/>
                <w:color w:val="auto"/>
              </w:rPr>
            </w:pPr>
            <w:r>
              <w:rPr>
                <w:rFonts w:ascii="Arial" w:cs="Arial" w:eastAsia="Arial" w:hAnsi="Arial"/>
                <w:sz w:val="16"/>
                <w:szCs w:val="16"/>
                <w:color w:val="auto"/>
              </w:rPr>
              <w:t>Catalunya Banc,</w:t>
            </w:r>
          </w:p>
        </w:tc>
        <w:tc>
          <w:tcPr>
            <w:tcW w:w="1620" w:type="dxa"/>
            <w:vAlign w:val="bottom"/>
          </w:tcPr>
          <w:p>
            <w:pPr>
              <w:spacing w:after="0"/>
              <w:rPr>
                <w:sz w:val="21"/>
                <w:szCs w:val="21"/>
                <w:color w:val="auto"/>
              </w:rPr>
            </w:pPr>
          </w:p>
        </w:tc>
        <w:tc>
          <w:tcPr>
            <w:tcW w:w="2020" w:type="dxa"/>
            <w:vAlign w:val="bottom"/>
          </w:tcPr>
          <w:p>
            <w:pPr>
              <w:spacing w:after="0"/>
              <w:rPr>
                <w:sz w:val="21"/>
                <w:szCs w:val="21"/>
                <w:color w:val="auto"/>
              </w:rPr>
            </w:pPr>
          </w:p>
        </w:tc>
        <w:tc>
          <w:tcPr>
            <w:tcW w:w="192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6"/>
        </w:trPr>
        <w:tc>
          <w:tcPr>
            <w:tcW w:w="3360" w:type="dxa"/>
            <w:vAlign w:val="bottom"/>
          </w:tcPr>
          <w:p>
            <w:pPr>
              <w:spacing w:after="0"/>
              <w:rPr>
                <w:sz w:val="20"/>
                <w:szCs w:val="20"/>
                <w:color w:val="auto"/>
              </w:rPr>
            </w:pPr>
            <w:r>
              <w:rPr>
                <w:rFonts w:ascii="Arial" w:cs="Arial" w:eastAsia="Arial" w:hAnsi="Arial"/>
                <w:sz w:val="16"/>
                <w:szCs w:val="16"/>
                <w:color w:val="auto"/>
              </w:rPr>
              <w:t>RIA Payment Institution EP, S.A.U.</w:t>
            </w:r>
          </w:p>
        </w:tc>
        <w:tc>
          <w:tcPr>
            <w:tcW w:w="1280" w:type="dxa"/>
            <w:vAlign w:val="bottom"/>
          </w:tcPr>
          <w:p>
            <w:pPr>
              <w:ind w:left="40"/>
              <w:spacing w:after="0"/>
              <w:rPr>
                <w:sz w:val="20"/>
                <w:szCs w:val="20"/>
                <w:color w:val="auto"/>
              </w:rPr>
            </w:pPr>
            <w:r>
              <w:rPr>
                <w:rFonts w:ascii="Arial" w:cs="Arial" w:eastAsia="Arial" w:hAnsi="Arial"/>
                <w:sz w:val="16"/>
                <w:szCs w:val="16"/>
                <w:color w:val="auto"/>
              </w:rPr>
              <w:t>S.A.</w:t>
            </w:r>
          </w:p>
        </w:tc>
        <w:tc>
          <w:tcPr>
            <w:tcW w:w="1620" w:type="dxa"/>
            <w:vAlign w:val="bottom"/>
          </w:tcPr>
          <w:p>
            <w:pPr>
              <w:ind w:left="120"/>
              <w:spacing w:after="0"/>
              <w:rPr>
                <w:sz w:val="20"/>
                <w:szCs w:val="20"/>
                <w:color w:val="auto"/>
              </w:rPr>
            </w:pPr>
            <w:r>
              <w:rPr>
                <w:rFonts w:ascii="Arial" w:cs="Arial" w:eastAsia="Arial" w:hAnsi="Arial"/>
                <w:sz w:val="16"/>
                <w:szCs w:val="16"/>
                <w:color w:val="auto"/>
              </w:rPr>
              <w:t>Bank Guarantee/LC</w:t>
            </w:r>
          </w:p>
        </w:tc>
        <w:tc>
          <w:tcPr>
            <w:tcW w:w="2020" w:type="dxa"/>
            <w:vAlign w:val="bottom"/>
          </w:tcPr>
          <w:p>
            <w:pPr>
              <w:ind w:left="200"/>
              <w:spacing w:after="0"/>
              <w:rPr>
                <w:sz w:val="20"/>
                <w:szCs w:val="20"/>
                <w:color w:val="auto"/>
              </w:rPr>
            </w:pPr>
            <w:r>
              <w:rPr>
                <w:rFonts w:ascii="Arial" w:cs="Arial" w:eastAsia="Arial" w:hAnsi="Arial"/>
                <w:sz w:val="16"/>
                <w:szCs w:val="16"/>
                <w:color w:val="auto"/>
              </w:rPr>
              <w:t>Store Rent</w:t>
            </w:r>
          </w:p>
        </w:tc>
        <w:tc>
          <w:tcPr>
            <w:tcW w:w="1920" w:type="dxa"/>
            <w:vAlign w:val="bottom"/>
          </w:tcPr>
          <w:p>
            <w:pPr>
              <w:jc w:val="right"/>
              <w:spacing w:after="0"/>
              <w:rPr>
                <w:sz w:val="20"/>
                <w:szCs w:val="20"/>
                <w:color w:val="auto"/>
              </w:rPr>
            </w:pPr>
            <w:r>
              <w:rPr>
                <w:rFonts w:ascii="Arial" w:cs="Arial" w:eastAsia="Arial" w:hAnsi="Arial"/>
                <w:sz w:val="16"/>
                <w:szCs w:val="16"/>
                <w:color w:val="auto"/>
              </w:rPr>
              <w:t>EUR 21,000</w:t>
            </w:r>
          </w:p>
        </w:tc>
        <w:tc>
          <w:tcPr>
            <w:tcW w:w="1180" w:type="dxa"/>
            <w:vAlign w:val="bottom"/>
          </w:tcPr>
          <w:p>
            <w:pPr>
              <w:jc w:val="right"/>
              <w:spacing w:after="0"/>
              <w:rPr>
                <w:sz w:val="20"/>
                <w:szCs w:val="20"/>
                <w:color w:val="auto"/>
              </w:rPr>
            </w:pPr>
            <w:r>
              <w:rPr>
                <w:rFonts w:ascii="Arial" w:cs="Arial" w:eastAsia="Arial" w:hAnsi="Arial"/>
                <w:sz w:val="16"/>
                <w:szCs w:val="16"/>
                <w:color w:val="auto"/>
              </w:rPr>
              <w:t>28,377</w:t>
            </w:r>
          </w:p>
        </w:tc>
        <w:tc>
          <w:tcPr>
            <w:tcW w:w="0" w:type="dxa"/>
            <w:vAlign w:val="bottom"/>
          </w:tcPr>
          <w:p>
            <w:pPr>
              <w:spacing w:after="0"/>
              <w:rPr>
                <w:sz w:val="1"/>
                <w:szCs w:val="1"/>
                <w:color w:val="auto"/>
              </w:rPr>
            </w:pPr>
          </w:p>
        </w:tc>
      </w:tr>
      <w:tr>
        <w:trPr>
          <w:trHeight w:val="33"/>
        </w:trPr>
        <w:tc>
          <w:tcPr>
            <w:tcW w:w="33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620" w:type="dxa"/>
            <w:vAlign w:val="bottom"/>
          </w:tcPr>
          <w:p>
            <w:pPr>
              <w:spacing w:after="0"/>
              <w:rPr>
                <w:sz w:val="2"/>
                <w:szCs w:val="2"/>
                <w:color w:val="auto"/>
              </w:rPr>
            </w:pPr>
          </w:p>
        </w:tc>
        <w:tc>
          <w:tcPr>
            <w:tcW w:w="2020" w:type="dxa"/>
            <w:vAlign w:val="bottom"/>
          </w:tcPr>
          <w:p>
            <w:pPr>
              <w:spacing w:after="0"/>
              <w:rPr>
                <w:sz w:val="2"/>
                <w:szCs w:val="2"/>
                <w:color w:val="auto"/>
              </w:rPr>
            </w:pPr>
          </w:p>
        </w:tc>
        <w:tc>
          <w:tcPr>
            <w:tcW w:w="1920" w:type="dxa"/>
            <w:vAlign w:val="bottom"/>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3360" w:type="dxa"/>
            <w:vAlign w:val="bottom"/>
          </w:tcPr>
          <w:p>
            <w:pPr>
              <w:spacing w:after="0"/>
              <w:rPr>
                <w:sz w:val="20"/>
                <w:szCs w:val="20"/>
                <w:color w:val="auto"/>
              </w:rPr>
            </w:pPr>
            <w:r>
              <w:rPr>
                <w:rFonts w:ascii="Arial" w:cs="Arial" w:eastAsia="Arial" w:hAnsi="Arial"/>
                <w:sz w:val="16"/>
                <w:szCs w:val="16"/>
                <w:b w:val="1"/>
                <w:bCs w:val="1"/>
                <w:color w:val="auto"/>
              </w:rPr>
              <w:t>RIA Payment Institution EP, S.A.U. Total</w:t>
            </w:r>
          </w:p>
        </w:tc>
        <w:tc>
          <w:tcPr>
            <w:tcW w:w="128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b w:val="1"/>
                <w:bCs w:val="1"/>
                <w:color w:val="auto"/>
              </w:rPr>
              <w:t>175,939</w:t>
            </w:r>
          </w:p>
        </w:tc>
        <w:tc>
          <w:tcPr>
            <w:tcW w:w="0" w:type="dxa"/>
            <w:vAlign w:val="bottom"/>
          </w:tcPr>
          <w:p>
            <w:pPr>
              <w:spacing w:after="0"/>
              <w:rPr>
                <w:sz w:val="1"/>
                <w:szCs w:val="1"/>
                <w:color w:val="auto"/>
              </w:rPr>
            </w:pPr>
          </w:p>
        </w:tc>
      </w:tr>
      <w:tr>
        <w:trPr>
          <w:trHeight w:val="527"/>
        </w:trPr>
        <w:tc>
          <w:tcPr>
            <w:tcW w:w="3360" w:type="dxa"/>
            <w:vAlign w:val="bottom"/>
          </w:tcPr>
          <w:p>
            <w:pPr>
              <w:spacing w:after="0"/>
              <w:rPr>
                <w:sz w:val="20"/>
                <w:szCs w:val="20"/>
                <w:color w:val="auto"/>
              </w:rPr>
            </w:pPr>
            <w:r>
              <w:rPr>
                <w:rFonts w:ascii="Arial" w:cs="Arial" w:eastAsia="Arial" w:hAnsi="Arial"/>
                <w:sz w:val="16"/>
                <w:szCs w:val="16"/>
                <w:color w:val="auto"/>
              </w:rPr>
              <w:t>Telecom Net S.A. Logistica Digital</w:t>
            </w:r>
          </w:p>
        </w:tc>
        <w:tc>
          <w:tcPr>
            <w:tcW w:w="1280" w:type="dxa"/>
            <w:vAlign w:val="bottom"/>
          </w:tcPr>
          <w:p>
            <w:pPr>
              <w:ind w:left="40"/>
              <w:spacing w:after="0"/>
              <w:rPr>
                <w:sz w:val="20"/>
                <w:szCs w:val="20"/>
                <w:color w:val="auto"/>
              </w:rPr>
            </w:pPr>
            <w:r>
              <w:rPr>
                <w:rFonts w:ascii="Arial" w:cs="Arial" w:eastAsia="Arial" w:hAnsi="Arial"/>
                <w:sz w:val="16"/>
                <w:szCs w:val="16"/>
                <w:color w:val="auto"/>
              </w:rPr>
              <w:t>Itau BBA</w:t>
            </w:r>
          </w:p>
        </w:tc>
        <w:tc>
          <w:tcPr>
            <w:tcW w:w="1620" w:type="dxa"/>
            <w:vAlign w:val="bottom"/>
          </w:tcPr>
          <w:p>
            <w:pPr>
              <w:ind w:left="120"/>
              <w:spacing w:after="0"/>
              <w:rPr>
                <w:sz w:val="20"/>
                <w:szCs w:val="20"/>
                <w:color w:val="auto"/>
              </w:rPr>
            </w:pPr>
            <w:r>
              <w:rPr>
                <w:rFonts w:ascii="Arial" w:cs="Arial" w:eastAsia="Arial" w:hAnsi="Arial"/>
                <w:sz w:val="16"/>
                <w:szCs w:val="16"/>
                <w:color w:val="auto"/>
              </w:rPr>
              <w:t>Bank Guarantee/LC</w:t>
            </w:r>
          </w:p>
        </w:tc>
        <w:tc>
          <w:tcPr>
            <w:tcW w:w="2020" w:type="dxa"/>
            <w:vAlign w:val="bottom"/>
          </w:tcPr>
          <w:p>
            <w:pPr>
              <w:ind w:left="200"/>
              <w:spacing w:after="0"/>
              <w:rPr>
                <w:sz w:val="20"/>
                <w:szCs w:val="20"/>
                <w:color w:val="auto"/>
              </w:rPr>
            </w:pPr>
            <w:r>
              <w:rPr>
                <w:rFonts w:ascii="Arial" w:cs="Arial" w:eastAsia="Arial" w:hAnsi="Arial"/>
                <w:sz w:val="16"/>
                <w:szCs w:val="16"/>
                <w:color w:val="auto"/>
              </w:rPr>
              <w:t>Trade Credit</w:t>
            </w:r>
          </w:p>
        </w:tc>
        <w:tc>
          <w:tcPr>
            <w:tcW w:w="1920" w:type="dxa"/>
            <w:vAlign w:val="bottom"/>
          </w:tcPr>
          <w:p>
            <w:pPr>
              <w:jc w:val="right"/>
              <w:spacing w:after="0"/>
              <w:rPr>
                <w:sz w:val="20"/>
                <w:szCs w:val="20"/>
                <w:color w:val="auto"/>
              </w:rPr>
            </w:pPr>
            <w:r>
              <w:rPr>
                <w:rFonts w:ascii="Arial" w:cs="Arial" w:eastAsia="Arial" w:hAnsi="Arial"/>
                <w:sz w:val="16"/>
                <w:szCs w:val="16"/>
                <w:color w:val="auto"/>
              </w:rPr>
              <w:t>BRL 36,900,000</w:t>
            </w:r>
          </w:p>
        </w:tc>
        <w:tc>
          <w:tcPr>
            <w:tcW w:w="1180" w:type="dxa"/>
            <w:vAlign w:val="bottom"/>
          </w:tcPr>
          <w:p>
            <w:pPr>
              <w:jc w:val="right"/>
              <w:spacing w:after="0"/>
              <w:rPr>
                <w:sz w:val="20"/>
                <w:szCs w:val="20"/>
                <w:color w:val="auto"/>
              </w:rPr>
            </w:pPr>
            <w:r>
              <w:rPr>
                <w:rFonts w:ascii="Arial" w:cs="Arial" w:eastAsia="Arial" w:hAnsi="Arial"/>
                <w:sz w:val="16"/>
                <w:szCs w:val="16"/>
                <w:color w:val="auto"/>
              </w:rPr>
              <w:t>15,210,223</w:t>
            </w:r>
          </w:p>
        </w:tc>
        <w:tc>
          <w:tcPr>
            <w:tcW w:w="0" w:type="dxa"/>
            <w:vAlign w:val="bottom"/>
          </w:tcPr>
          <w:p>
            <w:pPr>
              <w:spacing w:after="0"/>
              <w:rPr>
                <w:sz w:val="1"/>
                <w:szCs w:val="1"/>
                <w:color w:val="auto"/>
              </w:rPr>
            </w:pPr>
          </w:p>
        </w:tc>
      </w:tr>
      <w:tr>
        <w:trPr>
          <w:trHeight w:val="257"/>
        </w:trPr>
        <w:tc>
          <w:tcPr>
            <w:tcW w:w="3360" w:type="dxa"/>
            <w:vAlign w:val="bottom"/>
          </w:tcPr>
          <w:p>
            <w:pPr>
              <w:spacing w:after="0"/>
              <w:rPr>
                <w:sz w:val="20"/>
                <w:szCs w:val="20"/>
                <w:color w:val="auto"/>
              </w:rPr>
            </w:pPr>
            <w:r>
              <w:rPr>
                <w:rFonts w:ascii="Arial" w:cs="Arial" w:eastAsia="Arial" w:hAnsi="Arial"/>
                <w:sz w:val="16"/>
                <w:szCs w:val="16"/>
                <w:color w:val="auto"/>
              </w:rPr>
              <w:t>Telecom Net S.A. Logistica Digital</w:t>
            </w:r>
          </w:p>
        </w:tc>
        <w:tc>
          <w:tcPr>
            <w:tcW w:w="1280" w:type="dxa"/>
            <w:vAlign w:val="bottom"/>
          </w:tcPr>
          <w:p>
            <w:pPr>
              <w:ind w:left="40"/>
              <w:spacing w:after="0"/>
              <w:rPr>
                <w:sz w:val="20"/>
                <w:szCs w:val="20"/>
                <w:color w:val="auto"/>
              </w:rPr>
            </w:pPr>
            <w:r>
              <w:rPr>
                <w:rFonts w:ascii="Arial" w:cs="Arial" w:eastAsia="Arial" w:hAnsi="Arial"/>
                <w:sz w:val="16"/>
                <w:szCs w:val="16"/>
                <w:color w:val="auto"/>
              </w:rPr>
              <w:t>Itau BBA</w:t>
            </w:r>
          </w:p>
        </w:tc>
        <w:tc>
          <w:tcPr>
            <w:tcW w:w="1620" w:type="dxa"/>
            <w:vAlign w:val="bottom"/>
          </w:tcPr>
          <w:p>
            <w:pPr>
              <w:ind w:left="120"/>
              <w:spacing w:after="0"/>
              <w:rPr>
                <w:sz w:val="20"/>
                <w:szCs w:val="20"/>
                <w:color w:val="auto"/>
              </w:rPr>
            </w:pPr>
            <w:r>
              <w:rPr>
                <w:rFonts w:ascii="Arial" w:cs="Arial" w:eastAsia="Arial" w:hAnsi="Arial"/>
                <w:sz w:val="16"/>
                <w:szCs w:val="16"/>
                <w:color w:val="auto"/>
              </w:rPr>
              <w:t>Bank Guarantee/LC</w:t>
            </w:r>
          </w:p>
        </w:tc>
        <w:tc>
          <w:tcPr>
            <w:tcW w:w="2020" w:type="dxa"/>
            <w:vAlign w:val="bottom"/>
          </w:tcPr>
          <w:p>
            <w:pPr>
              <w:ind w:left="200"/>
              <w:spacing w:after="0"/>
              <w:rPr>
                <w:sz w:val="20"/>
                <w:szCs w:val="20"/>
                <w:color w:val="auto"/>
              </w:rPr>
            </w:pPr>
            <w:r>
              <w:rPr>
                <w:rFonts w:ascii="Arial" w:cs="Arial" w:eastAsia="Arial" w:hAnsi="Arial"/>
                <w:sz w:val="16"/>
                <w:szCs w:val="16"/>
                <w:color w:val="auto"/>
              </w:rPr>
              <w:t>Trade Credit</w:t>
            </w:r>
          </w:p>
        </w:tc>
        <w:tc>
          <w:tcPr>
            <w:tcW w:w="1920" w:type="dxa"/>
            <w:vAlign w:val="bottom"/>
          </w:tcPr>
          <w:p>
            <w:pPr>
              <w:jc w:val="right"/>
              <w:spacing w:after="0"/>
              <w:rPr>
                <w:sz w:val="20"/>
                <w:szCs w:val="20"/>
                <w:color w:val="auto"/>
              </w:rPr>
            </w:pPr>
            <w:r>
              <w:rPr>
                <w:rFonts w:ascii="Arial" w:cs="Arial" w:eastAsia="Arial" w:hAnsi="Arial"/>
                <w:sz w:val="16"/>
                <w:szCs w:val="16"/>
                <w:color w:val="auto"/>
              </w:rPr>
              <w:t>BRL 17,800,000</w:t>
            </w:r>
          </w:p>
        </w:tc>
        <w:tc>
          <w:tcPr>
            <w:tcW w:w="1180" w:type="dxa"/>
            <w:vAlign w:val="bottom"/>
          </w:tcPr>
          <w:p>
            <w:pPr>
              <w:jc w:val="right"/>
              <w:spacing w:after="0"/>
              <w:rPr>
                <w:sz w:val="20"/>
                <w:szCs w:val="20"/>
                <w:color w:val="auto"/>
              </w:rPr>
            </w:pPr>
            <w:r>
              <w:rPr>
                <w:rFonts w:ascii="Arial" w:cs="Arial" w:eastAsia="Arial" w:hAnsi="Arial"/>
                <w:sz w:val="16"/>
                <w:szCs w:val="16"/>
                <w:color w:val="auto"/>
              </w:rPr>
              <w:t>7,337,181</w:t>
            </w:r>
          </w:p>
        </w:tc>
        <w:tc>
          <w:tcPr>
            <w:tcW w:w="0" w:type="dxa"/>
            <w:vAlign w:val="bottom"/>
          </w:tcPr>
          <w:p>
            <w:pPr>
              <w:spacing w:after="0"/>
              <w:rPr>
                <w:sz w:val="1"/>
                <w:szCs w:val="1"/>
                <w:color w:val="auto"/>
              </w:rPr>
            </w:pPr>
          </w:p>
        </w:tc>
      </w:tr>
      <w:tr>
        <w:trPr>
          <w:trHeight w:val="257"/>
        </w:trPr>
        <w:tc>
          <w:tcPr>
            <w:tcW w:w="3360" w:type="dxa"/>
            <w:vAlign w:val="bottom"/>
          </w:tcPr>
          <w:p>
            <w:pPr>
              <w:spacing w:after="0"/>
              <w:rPr>
                <w:sz w:val="20"/>
                <w:szCs w:val="20"/>
                <w:color w:val="auto"/>
              </w:rPr>
            </w:pPr>
            <w:r>
              <w:rPr>
                <w:rFonts w:ascii="Arial" w:cs="Arial" w:eastAsia="Arial" w:hAnsi="Arial"/>
                <w:sz w:val="16"/>
                <w:szCs w:val="16"/>
                <w:color w:val="auto"/>
              </w:rPr>
              <w:t>Telecom Net S.A. Logistica Digital</w:t>
            </w:r>
          </w:p>
        </w:tc>
        <w:tc>
          <w:tcPr>
            <w:tcW w:w="1280" w:type="dxa"/>
            <w:vAlign w:val="bottom"/>
          </w:tcPr>
          <w:p>
            <w:pPr>
              <w:ind w:left="40"/>
              <w:spacing w:after="0"/>
              <w:rPr>
                <w:sz w:val="20"/>
                <w:szCs w:val="20"/>
                <w:color w:val="auto"/>
              </w:rPr>
            </w:pPr>
            <w:r>
              <w:rPr>
                <w:rFonts w:ascii="Arial" w:cs="Arial" w:eastAsia="Arial" w:hAnsi="Arial"/>
                <w:sz w:val="16"/>
                <w:szCs w:val="16"/>
                <w:color w:val="auto"/>
              </w:rPr>
              <w:t>Itau BBA</w:t>
            </w:r>
          </w:p>
        </w:tc>
        <w:tc>
          <w:tcPr>
            <w:tcW w:w="1620" w:type="dxa"/>
            <w:vAlign w:val="bottom"/>
          </w:tcPr>
          <w:p>
            <w:pPr>
              <w:ind w:left="120"/>
              <w:spacing w:after="0"/>
              <w:rPr>
                <w:sz w:val="20"/>
                <w:szCs w:val="20"/>
                <w:color w:val="auto"/>
              </w:rPr>
            </w:pPr>
            <w:r>
              <w:rPr>
                <w:rFonts w:ascii="Arial" w:cs="Arial" w:eastAsia="Arial" w:hAnsi="Arial"/>
                <w:sz w:val="16"/>
                <w:szCs w:val="16"/>
                <w:color w:val="auto"/>
              </w:rPr>
              <w:t>Bank Guarantee/LC</w:t>
            </w:r>
          </w:p>
        </w:tc>
        <w:tc>
          <w:tcPr>
            <w:tcW w:w="2020" w:type="dxa"/>
            <w:vAlign w:val="bottom"/>
          </w:tcPr>
          <w:p>
            <w:pPr>
              <w:ind w:left="200"/>
              <w:spacing w:after="0"/>
              <w:rPr>
                <w:sz w:val="20"/>
                <w:szCs w:val="20"/>
                <w:color w:val="auto"/>
              </w:rPr>
            </w:pPr>
            <w:r>
              <w:rPr>
                <w:rFonts w:ascii="Arial" w:cs="Arial" w:eastAsia="Arial" w:hAnsi="Arial"/>
                <w:sz w:val="16"/>
                <w:szCs w:val="16"/>
                <w:color w:val="auto"/>
              </w:rPr>
              <w:t>Trade Credit</w:t>
            </w:r>
          </w:p>
        </w:tc>
        <w:tc>
          <w:tcPr>
            <w:tcW w:w="1920" w:type="dxa"/>
            <w:vAlign w:val="bottom"/>
          </w:tcPr>
          <w:p>
            <w:pPr>
              <w:jc w:val="right"/>
              <w:spacing w:after="0"/>
              <w:rPr>
                <w:sz w:val="20"/>
                <w:szCs w:val="20"/>
                <w:color w:val="auto"/>
              </w:rPr>
            </w:pPr>
            <w:r>
              <w:rPr>
                <w:rFonts w:ascii="Arial" w:cs="Arial" w:eastAsia="Arial" w:hAnsi="Arial"/>
                <w:sz w:val="16"/>
                <w:szCs w:val="16"/>
                <w:color w:val="auto"/>
              </w:rPr>
              <w:t>BRL 8,000,000</w:t>
            </w:r>
          </w:p>
        </w:tc>
        <w:tc>
          <w:tcPr>
            <w:tcW w:w="1180" w:type="dxa"/>
            <w:vAlign w:val="bottom"/>
          </w:tcPr>
          <w:p>
            <w:pPr>
              <w:jc w:val="right"/>
              <w:spacing w:after="0"/>
              <w:rPr>
                <w:sz w:val="20"/>
                <w:szCs w:val="20"/>
                <w:color w:val="auto"/>
              </w:rPr>
            </w:pPr>
            <w:r>
              <w:rPr>
                <w:rFonts w:ascii="Arial" w:cs="Arial" w:eastAsia="Arial" w:hAnsi="Arial"/>
                <w:sz w:val="16"/>
                <w:szCs w:val="16"/>
                <w:color w:val="auto"/>
              </w:rPr>
              <w:t>3,297,609</w:t>
            </w:r>
          </w:p>
        </w:tc>
        <w:tc>
          <w:tcPr>
            <w:tcW w:w="0" w:type="dxa"/>
            <w:vAlign w:val="bottom"/>
          </w:tcPr>
          <w:p>
            <w:pPr>
              <w:spacing w:after="0"/>
              <w:rPr>
                <w:sz w:val="1"/>
                <w:szCs w:val="1"/>
                <w:color w:val="auto"/>
              </w:rPr>
            </w:pPr>
          </w:p>
        </w:tc>
      </w:tr>
      <w:tr>
        <w:trPr>
          <w:trHeight w:val="257"/>
        </w:trPr>
        <w:tc>
          <w:tcPr>
            <w:tcW w:w="3360" w:type="dxa"/>
            <w:vAlign w:val="bottom"/>
          </w:tcPr>
          <w:p>
            <w:pPr>
              <w:spacing w:after="0"/>
              <w:rPr>
                <w:sz w:val="20"/>
                <w:szCs w:val="20"/>
                <w:color w:val="auto"/>
              </w:rPr>
            </w:pPr>
            <w:r>
              <w:rPr>
                <w:rFonts w:ascii="Arial" w:cs="Arial" w:eastAsia="Arial" w:hAnsi="Arial"/>
                <w:sz w:val="16"/>
                <w:szCs w:val="16"/>
                <w:color w:val="auto"/>
              </w:rPr>
              <w:t>Telecom Net S.A. Logistica Digital</w:t>
            </w:r>
          </w:p>
        </w:tc>
        <w:tc>
          <w:tcPr>
            <w:tcW w:w="1280" w:type="dxa"/>
            <w:vAlign w:val="bottom"/>
          </w:tcPr>
          <w:p>
            <w:pPr>
              <w:ind w:left="40"/>
              <w:spacing w:after="0"/>
              <w:rPr>
                <w:sz w:val="20"/>
                <w:szCs w:val="20"/>
                <w:color w:val="auto"/>
              </w:rPr>
            </w:pPr>
            <w:r>
              <w:rPr>
                <w:rFonts w:ascii="Arial" w:cs="Arial" w:eastAsia="Arial" w:hAnsi="Arial"/>
                <w:sz w:val="16"/>
                <w:szCs w:val="16"/>
                <w:color w:val="auto"/>
              </w:rPr>
              <w:t>Itau BBA</w:t>
            </w:r>
          </w:p>
        </w:tc>
        <w:tc>
          <w:tcPr>
            <w:tcW w:w="1620" w:type="dxa"/>
            <w:vAlign w:val="bottom"/>
          </w:tcPr>
          <w:p>
            <w:pPr>
              <w:ind w:left="120"/>
              <w:spacing w:after="0"/>
              <w:rPr>
                <w:sz w:val="20"/>
                <w:szCs w:val="20"/>
                <w:color w:val="auto"/>
              </w:rPr>
            </w:pPr>
            <w:r>
              <w:rPr>
                <w:rFonts w:ascii="Arial" w:cs="Arial" w:eastAsia="Arial" w:hAnsi="Arial"/>
                <w:sz w:val="16"/>
                <w:szCs w:val="16"/>
                <w:color w:val="auto"/>
              </w:rPr>
              <w:t>Bank Guarantee/LC</w:t>
            </w:r>
          </w:p>
        </w:tc>
        <w:tc>
          <w:tcPr>
            <w:tcW w:w="2020" w:type="dxa"/>
            <w:vAlign w:val="bottom"/>
          </w:tcPr>
          <w:p>
            <w:pPr>
              <w:ind w:left="200"/>
              <w:spacing w:after="0"/>
              <w:rPr>
                <w:sz w:val="20"/>
                <w:szCs w:val="20"/>
                <w:color w:val="auto"/>
              </w:rPr>
            </w:pPr>
            <w:r>
              <w:rPr>
                <w:rFonts w:ascii="Arial" w:cs="Arial" w:eastAsia="Arial" w:hAnsi="Arial"/>
                <w:sz w:val="16"/>
                <w:szCs w:val="16"/>
                <w:color w:val="auto"/>
              </w:rPr>
              <w:t>Trade Credit</w:t>
            </w:r>
          </w:p>
        </w:tc>
        <w:tc>
          <w:tcPr>
            <w:tcW w:w="1920" w:type="dxa"/>
            <w:vAlign w:val="bottom"/>
          </w:tcPr>
          <w:p>
            <w:pPr>
              <w:jc w:val="right"/>
              <w:spacing w:after="0"/>
              <w:rPr>
                <w:sz w:val="20"/>
                <w:szCs w:val="20"/>
                <w:color w:val="auto"/>
              </w:rPr>
            </w:pPr>
            <w:r>
              <w:rPr>
                <w:rFonts w:ascii="Arial" w:cs="Arial" w:eastAsia="Arial" w:hAnsi="Arial"/>
                <w:sz w:val="16"/>
                <w:szCs w:val="16"/>
                <w:color w:val="auto"/>
              </w:rPr>
              <w:t>BRL 4,500,000</w:t>
            </w:r>
          </w:p>
        </w:tc>
        <w:tc>
          <w:tcPr>
            <w:tcW w:w="1180" w:type="dxa"/>
            <w:vAlign w:val="bottom"/>
          </w:tcPr>
          <w:p>
            <w:pPr>
              <w:jc w:val="right"/>
              <w:spacing w:after="0"/>
              <w:rPr>
                <w:sz w:val="20"/>
                <w:szCs w:val="20"/>
                <w:color w:val="auto"/>
              </w:rPr>
            </w:pPr>
            <w:r>
              <w:rPr>
                <w:rFonts w:ascii="Arial" w:cs="Arial" w:eastAsia="Arial" w:hAnsi="Arial"/>
                <w:sz w:val="16"/>
                <w:szCs w:val="16"/>
                <w:color w:val="auto"/>
              </w:rPr>
              <w:t>1,854,905</w:t>
            </w:r>
          </w:p>
        </w:tc>
        <w:tc>
          <w:tcPr>
            <w:tcW w:w="0" w:type="dxa"/>
            <w:vAlign w:val="bottom"/>
          </w:tcPr>
          <w:p>
            <w:pPr>
              <w:spacing w:after="0"/>
              <w:rPr>
                <w:sz w:val="1"/>
                <w:szCs w:val="1"/>
                <w:color w:val="auto"/>
              </w:rPr>
            </w:pPr>
          </w:p>
        </w:tc>
      </w:tr>
      <w:tr>
        <w:trPr>
          <w:trHeight w:val="257"/>
        </w:trPr>
        <w:tc>
          <w:tcPr>
            <w:tcW w:w="3360" w:type="dxa"/>
            <w:vAlign w:val="bottom"/>
          </w:tcPr>
          <w:p>
            <w:pPr>
              <w:spacing w:after="0"/>
              <w:rPr>
                <w:sz w:val="20"/>
                <w:szCs w:val="20"/>
                <w:color w:val="auto"/>
              </w:rPr>
            </w:pPr>
            <w:r>
              <w:rPr>
                <w:rFonts w:ascii="Arial" w:cs="Arial" w:eastAsia="Arial" w:hAnsi="Arial"/>
                <w:sz w:val="16"/>
                <w:szCs w:val="16"/>
                <w:color w:val="auto"/>
              </w:rPr>
              <w:t>Telecom Net S.A. Logistica Digital</w:t>
            </w:r>
          </w:p>
        </w:tc>
        <w:tc>
          <w:tcPr>
            <w:tcW w:w="1280" w:type="dxa"/>
            <w:vAlign w:val="bottom"/>
          </w:tcPr>
          <w:p>
            <w:pPr>
              <w:ind w:left="40"/>
              <w:spacing w:after="0"/>
              <w:rPr>
                <w:sz w:val="20"/>
                <w:szCs w:val="20"/>
                <w:color w:val="auto"/>
              </w:rPr>
            </w:pPr>
            <w:r>
              <w:rPr>
                <w:rFonts w:ascii="Arial" w:cs="Arial" w:eastAsia="Arial" w:hAnsi="Arial"/>
                <w:sz w:val="16"/>
                <w:szCs w:val="16"/>
                <w:color w:val="auto"/>
              </w:rPr>
              <w:t>Itau BBA</w:t>
            </w:r>
          </w:p>
        </w:tc>
        <w:tc>
          <w:tcPr>
            <w:tcW w:w="1620" w:type="dxa"/>
            <w:vAlign w:val="bottom"/>
          </w:tcPr>
          <w:p>
            <w:pPr>
              <w:ind w:left="120"/>
              <w:spacing w:after="0"/>
              <w:rPr>
                <w:sz w:val="20"/>
                <w:szCs w:val="20"/>
                <w:color w:val="auto"/>
              </w:rPr>
            </w:pPr>
            <w:r>
              <w:rPr>
                <w:rFonts w:ascii="Arial" w:cs="Arial" w:eastAsia="Arial" w:hAnsi="Arial"/>
                <w:sz w:val="16"/>
                <w:szCs w:val="16"/>
                <w:color w:val="auto"/>
              </w:rPr>
              <w:t>Bank Guarantee/LC</w:t>
            </w:r>
          </w:p>
        </w:tc>
        <w:tc>
          <w:tcPr>
            <w:tcW w:w="2020" w:type="dxa"/>
            <w:vAlign w:val="bottom"/>
          </w:tcPr>
          <w:p>
            <w:pPr>
              <w:ind w:left="200"/>
              <w:spacing w:after="0"/>
              <w:rPr>
                <w:sz w:val="20"/>
                <w:szCs w:val="20"/>
                <w:color w:val="auto"/>
              </w:rPr>
            </w:pPr>
            <w:r>
              <w:rPr>
                <w:rFonts w:ascii="Arial" w:cs="Arial" w:eastAsia="Arial" w:hAnsi="Arial"/>
                <w:sz w:val="16"/>
                <w:szCs w:val="16"/>
                <w:color w:val="auto"/>
              </w:rPr>
              <w:t>Office Rent</w:t>
            </w:r>
          </w:p>
        </w:tc>
        <w:tc>
          <w:tcPr>
            <w:tcW w:w="1920" w:type="dxa"/>
            <w:vAlign w:val="bottom"/>
          </w:tcPr>
          <w:p>
            <w:pPr>
              <w:jc w:val="right"/>
              <w:spacing w:after="0"/>
              <w:rPr>
                <w:sz w:val="20"/>
                <w:szCs w:val="20"/>
                <w:color w:val="auto"/>
              </w:rPr>
            </w:pPr>
            <w:r>
              <w:rPr>
                <w:rFonts w:ascii="Arial" w:cs="Arial" w:eastAsia="Arial" w:hAnsi="Arial"/>
                <w:sz w:val="16"/>
                <w:szCs w:val="16"/>
                <w:color w:val="auto"/>
              </w:rPr>
              <w:t>BRL 411,000</w:t>
            </w:r>
          </w:p>
        </w:tc>
        <w:tc>
          <w:tcPr>
            <w:tcW w:w="1180" w:type="dxa"/>
            <w:vAlign w:val="bottom"/>
          </w:tcPr>
          <w:p>
            <w:pPr>
              <w:jc w:val="right"/>
              <w:spacing w:after="0"/>
              <w:rPr>
                <w:sz w:val="20"/>
                <w:szCs w:val="20"/>
                <w:color w:val="auto"/>
              </w:rPr>
            </w:pPr>
            <w:r>
              <w:rPr>
                <w:rFonts w:ascii="Arial" w:cs="Arial" w:eastAsia="Arial" w:hAnsi="Arial"/>
                <w:sz w:val="16"/>
                <w:szCs w:val="16"/>
                <w:color w:val="auto"/>
              </w:rPr>
              <w:t>169,415</w:t>
            </w:r>
          </w:p>
        </w:tc>
        <w:tc>
          <w:tcPr>
            <w:tcW w:w="0" w:type="dxa"/>
            <w:vAlign w:val="bottom"/>
          </w:tcPr>
          <w:p>
            <w:pPr>
              <w:spacing w:after="0"/>
              <w:rPr>
                <w:sz w:val="1"/>
                <w:szCs w:val="1"/>
                <w:color w:val="auto"/>
              </w:rPr>
            </w:pPr>
          </w:p>
        </w:tc>
      </w:tr>
      <w:tr>
        <w:trPr>
          <w:trHeight w:val="257"/>
        </w:trPr>
        <w:tc>
          <w:tcPr>
            <w:tcW w:w="3360" w:type="dxa"/>
            <w:vAlign w:val="bottom"/>
          </w:tcPr>
          <w:p>
            <w:pPr>
              <w:spacing w:after="0"/>
              <w:rPr>
                <w:sz w:val="20"/>
                <w:szCs w:val="20"/>
                <w:color w:val="auto"/>
              </w:rPr>
            </w:pPr>
            <w:r>
              <w:rPr>
                <w:rFonts w:ascii="Arial" w:cs="Arial" w:eastAsia="Arial" w:hAnsi="Arial"/>
                <w:sz w:val="16"/>
                <w:szCs w:val="16"/>
                <w:color w:val="auto"/>
              </w:rPr>
              <w:t>Telecom Net S.A. Logistica Digital</w:t>
            </w:r>
          </w:p>
        </w:tc>
        <w:tc>
          <w:tcPr>
            <w:tcW w:w="1280" w:type="dxa"/>
            <w:vAlign w:val="bottom"/>
          </w:tcPr>
          <w:p>
            <w:pPr>
              <w:ind w:left="40"/>
              <w:spacing w:after="0"/>
              <w:rPr>
                <w:sz w:val="20"/>
                <w:szCs w:val="20"/>
                <w:color w:val="auto"/>
              </w:rPr>
            </w:pPr>
            <w:r>
              <w:rPr>
                <w:rFonts w:ascii="Arial" w:cs="Arial" w:eastAsia="Arial" w:hAnsi="Arial"/>
                <w:sz w:val="16"/>
                <w:szCs w:val="16"/>
                <w:color w:val="auto"/>
              </w:rPr>
              <w:t>Itau BBA</w:t>
            </w:r>
          </w:p>
        </w:tc>
        <w:tc>
          <w:tcPr>
            <w:tcW w:w="1620" w:type="dxa"/>
            <w:vAlign w:val="bottom"/>
          </w:tcPr>
          <w:p>
            <w:pPr>
              <w:ind w:left="120"/>
              <w:spacing w:after="0"/>
              <w:rPr>
                <w:sz w:val="20"/>
                <w:szCs w:val="20"/>
                <w:color w:val="auto"/>
              </w:rPr>
            </w:pPr>
            <w:r>
              <w:rPr>
                <w:rFonts w:ascii="Arial" w:cs="Arial" w:eastAsia="Arial" w:hAnsi="Arial"/>
                <w:sz w:val="16"/>
                <w:szCs w:val="16"/>
                <w:color w:val="auto"/>
              </w:rPr>
              <w:t>Bank Guarantee/LC</w:t>
            </w:r>
          </w:p>
        </w:tc>
        <w:tc>
          <w:tcPr>
            <w:tcW w:w="2020" w:type="dxa"/>
            <w:vAlign w:val="bottom"/>
          </w:tcPr>
          <w:p>
            <w:pPr>
              <w:ind w:left="200"/>
              <w:spacing w:after="0"/>
              <w:rPr>
                <w:sz w:val="20"/>
                <w:szCs w:val="20"/>
                <w:color w:val="auto"/>
              </w:rPr>
            </w:pPr>
            <w:r>
              <w:rPr>
                <w:rFonts w:ascii="Arial" w:cs="Arial" w:eastAsia="Arial" w:hAnsi="Arial"/>
                <w:sz w:val="16"/>
                <w:szCs w:val="16"/>
                <w:color w:val="auto"/>
              </w:rPr>
              <w:t>Office Rent</w:t>
            </w:r>
          </w:p>
        </w:tc>
        <w:tc>
          <w:tcPr>
            <w:tcW w:w="1920" w:type="dxa"/>
            <w:vAlign w:val="bottom"/>
          </w:tcPr>
          <w:p>
            <w:pPr>
              <w:jc w:val="right"/>
              <w:spacing w:after="0"/>
              <w:rPr>
                <w:sz w:val="20"/>
                <w:szCs w:val="20"/>
                <w:color w:val="auto"/>
              </w:rPr>
            </w:pPr>
            <w:r>
              <w:rPr>
                <w:rFonts w:ascii="Arial" w:cs="Arial" w:eastAsia="Arial" w:hAnsi="Arial"/>
                <w:sz w:val="16"/>
                <w:szCs w:val="16"/>
                <w:color w:val="auto"/>
              </w:rPr>
              <w:t>BRL 338,000</w:t>
            </w:r>
          </w:p>
        </w:tc>
        <w:tc>
          <w:tcPr>
            <w:tcW w:w="1180" w:type="dxa"/>
            <w:vAlign w:val="bottom"/>
          </w:tcPr>
          <w:p>
            <w:pPr>
              <w:jc w:val="right"/>
              <w:spacing w:after="0"/>
              <w:rPr>
                <w:sz w:val="20"/>
                <w:szCs w:val="20"/>
                <w:color w:val="auto"/>
              </w:rPr>
            </w:pPr>
            <w:r>
              <w:rPr>
                <w:rFonts w:ascii="Arial" w:cs="Arial" w:eastAsia="Arial" w:hAnsi="Arial"/>
                <w:sz w:val="16"/>
                <w:szCs w:val="16"/>
                <w:color w:val="auto"/>
              </w:rPr>
              <w:t>139,324</w:t>
            </w:r>
          </w:p>
        </w:tc>
        <w:tc>
          <w:tcPr>
            <w:tcW w:w="0" w:type="dxa"/>
            <w:vAlign w:val="bottom"/>
          </w:tcPr>
          <w:p>
            <w:pPr>
              <w:spacing w:after="0"/>
              <w:rPr>
                <w:sz w:val="1"/>
                <w:szCs w:val="1"/>
                <w:color w:val="auto"/>
              </w:rPr>
            </w:pPr>
          </w:p>
        </w:tc>
      </w:tr>
      <w:tr>
        <w:trPr>
          <w:trHeight w:val="257"/>
        </w:trPr>
        <w:tc>
          <w:tcPr>
            <w:tcW w:w="3360" w:type="dxa"/>
            <w:vAlign w:val="bottom"/>
          </w:tcPr>
          <w:p>
            <w:pPr>
              <w:spacing w:after="0"/>
              <w:rPr>
                <w:sz w:val="20"/>
                <w:szCs w:val="20"/>
                <w:color w:val="auto"/>
              </w:rPr>
            </w:pPr>
            <w:r>
              <w:rPr>
                <w:rFonts w:ascii="Arial" w:cs="Arial" w:eastAsia="Arial" w:hAnsi="Arial"/>
                <w:sz w:val="16"/>
                <w:szCs w:val="16"/>
                <w:color w:val="auto"/>
              </w:rPr>
              <w:t>Telecom Net S.A. Logistica Digital</w:t>
            </w:r>
          </w:p>
        </w:tc>
        <w:tc>
          <w:tcPr>
            <w:tcW w:w="1280" w:type="dxa"/>
            <w:vAlign w:val="bottom"/>
          </w:tcPr>
          <w:p>
            <w:pPr>
              <w:ind w:left="40"/>
              <w:spacing w:after="0"/>
              <w:rPr>
                <w:sz w:val="20"/>
                <w:szCs w:val="20"/>
                <w:color w:val="auto"/>
              </w:rPr>
            </w:pPr>
            <w:r>
              <w:rPr>
                <w:rFonts w:ascii="Arial" w:cs="Arial" w:eastAsia="Arial" w:hAnsi="Arial"/>
                <w:sz w:val="16"/>
                <w:szCs w:val="16"/>
                <w:color w:val="auto"/>
              </w:rPr>
              <w:t>Itau BBA</w:t>
            </w:r>
          </w:p>
        </w:tc>
        <w:tc>
          <w:tcPr>
            <w:tcW w:w="1620" w:type="dxa"/>
            <w:vAlign w:val="bottom"/>
          </w:tcPr>
          <w:p>
            <w:pPr>
              <w:ind w:left="120"/>
              <w:spacing w:after="0"/>
              <w:rPr>
                <w:sz w:val="20"/>
                <w:szCs w:val="20"/>
                <w:color w:val="auto"/>
              </w:rPr>
            </w:pPr>
            <w:r>
              <w:rPr>
                <w:rFonts w:ascii="Arial" w:cs="Arial" w:eastAsia="Arial" w:hAnsi="Arial"/>
                <w:sz w:val="16"/>
                <w:szCs w:val="16"/>
                <w:color w:val="auto"/>
              </w:rPr>
              <w:t>Bank Guarantee/LC</w:t>
            </w:r>
          </w:p>
        </w:tc>
        <w:tc>
          <w:tcPr>
            <w:tcW w:w="2020" w:type="dxa"/>
            <w:vAlign w:val="bottom"/>
          </w:tcPr>
          <w:p>
            <w:pPr>
              <w:ind w:left="200"/>
              <w:spacing w:after="0"/>
              <w:rPr>
                <w:sz w:val="20"/>
                <w:szCs w:val="20"/>
                <w:color w:val="auto"/>
              </w:rPr>
            </w:pPr>
            <w:r>
              <w:rPr>
                <w:rFonts w:ascii="Arial" w:cs="Arial" w:eastAsia="Arial" w:hAnsi="Arial"/>
                <w:sz w:val="16"/>
                <w:szCs w:val="16"/>
                <w:color w:val="auto"/>
              </w:rPr>
              <w:t>Trade Credit</w:t>
            </w:r>
          </w:p>
        </w:tc>
        <w:tc>
          <w:tcPr>
            <w:tcW w:w="1920" w:type="dxa"/>
            <w:vAlign w:val="bottom"/>
          </w:tcPr>
          <w:p>
            <w:pPr>
              <w:jc w:val="right"/>
              <w:spacing w:after="0"/>
              <w:rPr>
                <w:sz w:val="20"/>
                <w:szCs w:val="20"/>
                <w:color w:val="auto"/>
              </w:rPr>
            </w:pPr>
            <w:r>
              <w:rPr>
                <w:rFonts w:ascii="Arial" w:cs="Arial" w:eastAsia="Arial" w:hAnsi="Arial"/>
                <w:sz w:val="16"/>
                <w:szCs w:val="16"/>
                <w:color w:val="auto"/>
              </w:rPr>
              <w:t>BRL 300,000</w:t>
            </w:r>
          </w:p>
        </w:tc>
        <w:tc>
          <w:tcPr>
            <w:tcW w:w="1180" w:type="dxa"/>
            <w:vAlign w:val="bottom"/>
          </w:tcPr>
          <w:p>
            <w:pPr>
              <w:jc w:val="right"/>
              <w:spacing w:after="0"/>
              <w:rPr>
                <w:sz w:val="20"/>
                <w:szCs w:val="20"/>
                <w:color w:val="auto"/>
              </w:rPr>
            </w:pPr>
            <w:r>
              <w:rPr>
                <w:rFonts w:ascii="Arial" w:cs="Arial" w:eastAsia="Arial" w:hAnsi="Arial"/>
                <w:sz w:val="16"/>
                <w:szCs w:val="16"/>
                <w:color w:val="auto"/>
              </w:rPr>
              <w:t>123,660</w:t>
            </w:r>
          </w:p>
        </w:tc>
        <w:tc>
          <w:tcPr>
            <w:tcW w:w="0" w:type="dxa"/>
            <w:vAlign w:val="bottom"/>
          </w:tcPr>
          <w:p>
            <w:pPr>
              <w:spacing w:after="0"/>
              <w:rPr>
                <w:sz w:val="1"/>
                <w:szCs w:val="1"/>
                <w:color w:val="auto"/>
              </w:rPr>
            </w:pPr>
          </w:p>
        </w:tc>
      </w:tr>
      <w:tr>
        <w:trPr>
          <w:trHeight w:val="257"/>
        </w:trPr>
        <w:tc>
          <w:tcPr>
            <w:tcW w:w="3360" w:type="dxa"/>
            <w:vAlign w:val="bottom"/>
          </w:tcPr>
          <w:p>
            <w:pPr>
              <w:spacing w:after="0"/>
              <w:rPr>
                <w:sz w:val="20"/>
                <w:szCs w:val="20"/>
                <w:color w:val="auto"/>
              </w:rPr>
            </w:pPr>
            <w:r>
              <w:rPr>
                <w:rFonts w:ascii="Arial" w:cs="Arial" w:eastAsia="Arial" w:hAnsi="Arial"/>
                <w:sz w:val="16"/>
                <w:szCs w:val="16"/>
                <w:color w:val="auto"/>
              </w:rPr>
              <w:t>Telecom Net S.A. Logistica Digital</w:t>
            </w:r>
          </w:p>
        </w:tc>
        <w:tc>
          <w:tcPr>
            <w:tcW w:w="1280" w:type="dxa"/>
            <w:vAlign w:val="bottom"/>
          </w:tcPr>
          <w:p>
            <w:pPr>
              <w:ind w:left="40"/>
              <w:spacing w:after="0"/>
              <w:rPr>
                <w:sz w:val="20"/>
                <w:szCs w:val="20"/>
                <w:color w:val="auto"/>
              </w:rPr>
            </w:pPr>
            <w:r>
              <w:rPr>
                <w:rFonts w:ascii="Arial" w:cs="Arial" w:eastAsia="Arial" w:hAnsi="Arial"/>
                <w:sz w:val="16"/>
                <w:szCs w:val="16"/>
                <w:color w:val="auto"/>
              </w:rPr>
              <w:t>Itau BBA</w:t>
            </w:r>
          </w:p>
        </w:tc>
        <w:tc>
          <w:tcPr>
            <w:tcW w:w="1620" w:type="dxa"/>
            <w:vAlign w:val="bottom"/>
          </w:tcPr>
          <w:p>
            <w:pPr>
              <w:ind w:left="120"/>
              <w:spacing w:after="0"/>
              <w:rPr>
                <w:sz w:val="20"/>
                <w:szCs w:val="20"/>
                <w:color w:val="auto"/>
              </w:rPr>
            </w:pPr>
            <w:r>
              <w:rPr>
                <w:rFonts w:ascii="Arial" w:cs="Arial" w:eastAsia="Arial" w:hAnsi="Arial"/>
                <w:sz w:val="16"/>
                <w:szCs w:val="16"/>
                <w:color w:val="auto"/>
              </w:rPr>
              <w:t>Bank Guarantee/LC</w:t>
            </w:r>
          </w:p>
        </w:tc>
        <w:tc>
          <w:tcPr>
            <w:tcW w:w="2020" w:type="dxa"/>
            <w:vAlign w:val="bottom"/>
          </w:tcPr>
          <w:p>
            <w:pPr>
              <w:ind w:left="200"/>
              <w:spacing w:after="0"/>
              <w:rPr>
                <w:sz w:val="20"/>
                <w:szCs w:val="20"/>
                <w:color w:val="auto"/>
              </w:rPr>
            </w:pPr>
            <w:r>
              <w:rPr>
                <w:rFonts w:ascii="Arial" w:cs="Arial" w:eastAsia="Arial" w:hAnsi="Arial"/>
                <w:sz w:val="16"/>
                <w:szCs w:val="16"/>
                <w:color w:val="auto"/>
              </w:rPr>
              <w:t>Office Rent</w:t>
            </w:r>
          </w:p>
        </w:tc>
        <w:tc>
          <w:tcPr>
            <w:tcW w:w="1920" w:type="dxa"/>
            <w:vAlign w:val="bottom"/>
          </w:tcPr>
          <w:p>
            <w:pPr>
              <w:jc w:val="right"/>
              <w:spacing w:after="0"/>
              <w:rPr>
                <w:sz w:val="20"/>
                <w:szCs w:val="20"/>
                <w:color w:val="auto"/>
              </w:rPr>
            </w:pPr>
            <w:r>
              <w:rPr>
                <w:rFonts w:ascii="Arial" w:cs="Arial" w:eastAsia="Arial" w:hAnsi="Arial"/>
                <w:sz w:val="16"/>
                <w:szCs w:val="16"/>
                <w:color w:val="auto"/>
              </w:rPr>
              <w:t>BRL 130,000</w:t>
            </w:r>
          </w:p>
        </w:tc>
        <w:tc>
          <w:tcPr>
            <w:tcW w:w="1180" w:type="dxa"/>
            <w:vAlign w:val="bottom"/>
          </w:tcPr>
          <w:p>
            <w:pPr>
              <w:jc w:val="right"/>
              <w:spacing w:after="0"/>
              <w:rPr>
                <w:sz w:val="20"/>
                <w:szCs w:val="20"/>
                <w:color w:val="auto"/>
              </w:rPr>
            </w:pPr>
            <w:r>
              <w:rPr>
                <w:rFonts w:ascii="Arial" w:cs="Arial" w:eastAsia="Arial" w:hAnsi="Arial"/>
                <w:sz w:val="16"/>
                <w:szCs w:val="16"/>
                <w:color w:val="auto"/>
              </w:rPr>
              <w:t>53,586</w:t>
            </w:r>
          </w:p>
        </w:tc>
        <w:tc>
          <w:tcPr>
            <w:tcW w:w="0" w:type="dxa"/>
            <w:vAlign w:val="bottom"/>
          </w:tcPr>
          <w:p>
            <w:pPr>
              <w:spacing w:after="0"/>
              <w:rPr>
                <w:sz w:val="1"/>
                <w:szCs w:val="1"/>
                <w:color w:val="auto"/>
              </w:rPr>
            </w:pPr>
          </w:p>
        </w:tc>
      </w:tr>
      <w:tr>
        <w:trPr>
          <w:trHeight w:val="257"/>
        </w:trPr>
        <w:tc>
          <w:tcPr>
            <w:tcW w:w="3360" w:type="dxa"/>
            <w:vAlign w:val="bottom"/>
          </w:tcPr>
          <w:p>
            <w:pPr>
              <w:spacing w:after="0"/>
              <w:rPr>
                <w:sz w:val="20"/>
                <w:szCs w:val="20"/>
                <w:color w:val="auto"/>
              </w:rPr>
            </w:pPr>
            <w:r>
              <w:rPr>
                <w:rFonts w:ascii="Arial" w:cs="Arial" w:eastAsia="Arial" w:hAnsi="Arial"/>
                <w:sz w:val="16"/>
                <w:szCs w:val="16"/>
                <w:color w:val="auto"/>
              </w:rPr>
              <w:t>Telecom Net S.A. Logistica Digital</w:t>
            </w:r>
          </w:p>
        </w:tc>
        <w:tc>
          <w:tcPr>
            <w:tcW w:w="1280" w:type="dxa"/>
            <w:vAlign w:val="bottom"/>
          </w:tcPr>
          <w:p>
            <w:pPr>
              <w:ind w:left="40"/>
              <w:spacing w:after="0"/>
              <w:rPr>
                <w:sz w:val="20"/>
                <w:szCs w:val="20"/>
                <w:color w:val="auto"/>
              </w:rPr>
            </w:pPr>
            <w:r>
              <w:rPr>
                <w:rFonts w:ascii="Arial" w:cs="Arial" w:eastAsia="Arial" w:hAnsi="Arial"/>
                <w:sz w:val="16"/>
                <w:szCs w:val="16"/>
                <w:color w:val="auto"/>
              </w:rPr>
              <w:t>Itau BBA</w:t>
            </w:r>
          </w:p>
        </w:tc>
        <w:tc>
          <w:tcPr>
            <w:tcW w:w="1620" w:type="dxa"/>
            <w:vAlign w:val="bottom"/>
          </w:tcPr>
          <w:p>
            <w:pPr>
              <w:ind w:left="120"/>
              <w:spacing w:after="0"/>
              <w:rPr>
                <w:sz w:val="20"/>
                <w:szCs w:val="20"/>
                <w:color w:val="auto"/>
              </w:rPr>
            </w:pPr>
            <w:r>
              <w:rPr>
                <w:rFonts w:ascii="Arial" w:cs="Arial" w:eastAsia="Arial" w:hAnsi="Arial"/>
                <w:sz w:val="16"/>
                <w:szCs w:val="16"/>
                <w:color w:val="auto"/>
              </w:rPr>
              <w:t>Bank Guarantee/LC</w:t>
            </w:r>
          </w:p>
        </w:tc>
        <w:tc>
          <w:tcPr>
            <w:tcW w:w="2020" w:type="dxa"/>
            <w:vAlign w:val="bottom"/>
          </w:tcPr>
          <w:p>
            <w:pPr>
              <w:ind w:left="200"/>
              <w:spacing w:after="0"/>
              <w:rPr>
                <w:sz w:val="20"/>
                <w:szCs w:val="20"/>
                <w:color w:val="auto"/>
              </w:rPr>
            </w:pPr>
            <w:r>
              <w:rPr>
                <w:rFonts w:ascii="Arial" w:cs="Arial" w:eastAsia="Arial" w:hAnsi="Arial"/>
                <w:sz w:val="16"/>
                <w:szCs w:val="16"/>
                <w:color w:val="auto"/>
              </w:rPr>
              <w:t>Trade Credit</w:t>
            </w:r>
          </w:p>
        </w:tc>
        <w:tc>
          <w:tcPr>
            <w:tcW w:w="1920" w:type="dxa"/>
            <w:vAlign w:val="bottom"/>
          </w:tcPr>
          <w:p>
            <w:pPr>
              <w:jc w:val="right"/>
              <w:spacing w:after="0"/>
              <w:rPr>
                <w:sz w:val="20"/>
                <w:szCs w:val="20"/>
                <w:color w:val="auto"/>
              </w:rPr>
            </w:pPr>
            <w:r>
              <w:rPr>
                <w:rFonts w:ascii="Arial" w:cs="Arial" w:eastAsia="Arial" w:hAnsi="Arial"/>
                <w:sz w:val="16"/>
                <w:szCs w:val="16"/>
                <w:color w:val="auto"/>
              </w:rPr>
              <w:t>BRL 100,000</w:t>
            </w:r>
          </w:p>
        </w:tc>
        <w:tc>
          <w:tcPr>
            <w:tcW w:w="1180" w:type="dxa"/>
            <w:vAlign w:val="bottom"/>
          </w:tcPr>
          <w:p>
            <w:pPr>
              <w:jc w:val="right"/>
              <w:spacing w:after="0"/>
              <w:rPr>
                <w:sz w:val="20"/>
                <w:szCs w:val="20"/>
                <w:color w:val="auto"/>
              </w:rPr>
            </w:pPr>
            <w:r>
              <w:rPr>
                <w:rFonts w:ascii="Arial" w:cs="Arial" w:eastAsia="Arial" w:hAnsi="Arial"/>
                <w:sz w:val="16"/>
                <w:szCs w:val="16"/>
                <w:color w:val="auto"/>
              </w:rPr>
              <w:t>41,220</w:t>
            </w:r>
          </w:p>
        </w:tc>
        <w:tc>
          <w:tcPr>
            <w:tcW w:w="0" w:type="dxa"/>
            <w:vAlign w:val="bottom"/>
          </w:tcPr>
          <w:p>
            <w:pPr>
              <w:spacing w:after="0"/>
              <w:rPr>
                <w:sz w:val="1"/>
                <w:szCs w:val="1"/>
                <w:color w:val="auto"/>
              </w:rPr>
            </w:pPr>
          </w:p>
        </w:tc>
      </w:tr>
      <w:tr>
        <w:trPr>
          <w:trHeight w:val="257"/>
        </w:trPr>
        <w:tc>
          <w:tcPr>
            <w:tcW w:w="3360" w:type="dxa"/>
            <w:vAlign w:val="bottom"/>
          </w:tcPr>
          <w:p>
            <w:pPr>
              <w:spacing w:after="0"/>
              <w:rPr>
                <w:sz w:val="20"/>
                <w:szCs w:val="20"/>
                <w:color w:val="auto"/>
              </w:rPr>
            </w:pPr>
            <w:r>
              <w:rPr>
                <w:rFonts w:ascii="Arial" w:cs="Arial" w:eastAsia="Arial" w:hAnsi="Arial"/>
                <w:sz w:val="16"/>
                <w:szCs w:val="16"/>
                <w:color w:val="auto"/>
              </w:rPr>
              <w:t>Telecom Net S.A. Logistica Digital</w:t>
            </w:r>
          </w:p>
        </w:tc>
        <w:tc>
          <w:tcPr>
            <w:tcW w:w="1280" w:type="dxa"/>
            <w:vAlign w:val="bottom"/>
          </w:tcPr>
          <w:p>
            <w:pPr>
              <w:ind w:left="40"/>
              <w:spacing w:after="0"/>
              <w:rPr>
                <w:sz w:val="20"/>
                <w:szCs w:val="20"/>
                <w:color w:val="auto"/>
              </w:rPr>
            </w:pPr>
            <w:r>
              <w:rPr>
                <w:rFonts w:ascii="Arial" w:cs="Arial" w:eastAsia="Arial" w:hAnsi="Arial"/>
                <w:sz w:val="16"/>
                <w:szCs w:val="16"/>
                <w:color w:val="auto"/>
              </w:rPr>
              <w:t>Itau BBA</w:t>
            </w:r>
          </w:p>
        </w:tc>
        <w:tc>
          <w:tcPr>
            <w:tcW w:w="1620" w:type="dxa"/>
            <w:vAlign w:val="bottom"/>
          </w:tcPr>
          <w:p>
            <w:pPr>
              <w:ind w:left="120"/>
              <w:spacing w:after="0"/>
              <w:rPr>
                <w:sz w:val="20"/>
                <w:szCs w:val="20"/>
                <w:color w:val="auto"/>
              </w:rPr>
            </w:pPr>
            <w:r>
              <w:rPr>
                <w:rFonts w:ascii="Arial" w:cs="Arial" w:eastAsia="Arial" w:hAnsi="Arial"/>
                <w:sz w:val="16"/>
                <w:szCs w:val="16"/>
                <w:color w:val="auto"/>
              </w:rPr>
              <w:t>Bank Guarantee/LC</w:t>
            </w:r>
          </w:p>
        </w:tc>
        <w:tc>
          <w:tcPr>
            <w:tcW w:w="2020" w:type="dxa"/>
            <w:vAlign w:val="bottom"/>
          </w:tcPr>
          <w:p>
            <w:pPr>
              <w:ind w:left="200"/>
              <w:spacing w:after="0"/>
              <w:rPr>
                <w:sz w:val="20"/>
                <w:szCs w:val="20"/>
                <w:color w:val="auto"/>
              </w:rPr>
            </w:pPr>
            <w:r>
              <w:rPr>
                <w:rFonts w:ascii="Arial" w:cs="Arial" w:eastAsia="Arial" w:hAnsi="Arial"/>
                <w:sz w:val="16"/>
                <w:szCs w:val="16"/>
                <w:color w:val="auto"/>
              </w:rPr>
              <w:t>Office Rent</w:t>
            </w:r>
          </w:p>
        </w:tc>
        <w:tc>
          <w:tcPr>
            <w:tcW w:w="1920" w:type="dxa"/>
            <w:vAlign w:val="bottom"/>
          </w:tcPr>
          <w:p>
            <w:pPr>
              <w:jc w:val="right"/>
              <w:spacing w:after="0"/>
              <w:rPr>
                <w:sz w:val="20"/>
                <w:szCs w:val="20"/>
                <w:color w:val="auto"/>
              </w:rPr>
            </w:pPr>
            <w:r>
              <w:rPr>
                <w:rFonts w:ascii="Arial" w:cs="Arial" w:eastAsia="Arial" w:hAnsi="Arial"/>
                <w:sz w:val="16"/>
                <w:szCs w:val="16"/>
                <w:color w:val="auto"/>
              </w:rPr>
              <w:t>BRL 26,500</w:t>
            </w:r>
          </w:p>
        </w:tc>
        <w:tc>
          <w:tcPr>
            <w:tcW w:w="1180" w:type="dxa"/>
            <w:vAlign w:val="bottom"/>
          </w:tcPr>
          <w:p>
            <w:pPr>
              <w:jc w:val="right"/>
              <w:spacing w:after="0"/>
              <w:rPr>
                <w:sz w:val="20"/>
                <w:szCs w:val="20"/>
                <w:color w:val="auto"/>
              </w:rPr>
            </w:pPr>
            <w:r>
              <w:rPr>
                <w:rFonts w:ascii="Arial" w:cs="Arial" w:eastAsia="Arial" w:hAnsi="Arial"/>
                <w:sz w:val="16"/>
                <w:szCs w:val="16"/>
                <w:color w:val="auto"/>
              </w:rPr>
              <w:t>10,923</w:t>
            </w:r>
          </w:p>
        </w:tc>
        <w:tc>
          <w:tcPr>
            <w:tcW w:w="0" w:type="dxa"/>
            <w:vAlign w:val="bottom"/>
          </w:tcPr>
          <w:p>
            <w:pPr>
              <w:spacing w:after="0"/>
              <w:rPr>
                <w:sz w:val="1"/>
                <w:szCs w:val="1"/>
                <w:color w:val="auto"/>
              </w:rPr>
            </w:pPr>
          </w:p>
        </w:tc>
      </w:tr>
      <w:tr>
        <w:trPr>
          <w:trHeight w:val="33"/>
        </w:trPr>
        <w:tc>
          <w:tcPr>
            <w:tcW w:w="33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620" w:type="dxa"/>
            <w:vAlign w:val="bottom"/>
          </w:tcPr>
          <w:p>
            <w:pPr>
              <w:spacing w:after="0"/>
              <w:rPr>
                <w:sz w:val="2"/>
                <w:szCs w:val="2"/>
                <w:color w:val="auto"/>
              </w:rPr>
            </w:pPr>
          </w:p>
        </w:tc>
        <w:tc>
          <w:tcPr>
            <w:tcW w:w="2020" w:type="dxa"/>
            <w:vAlign w:val="bottom"/>
          </w:tcPr>
          <w:p>
            <w:pPr>
              <w:spacing w:after="0"/>
              <w:rPr>
                <w:sz w:val="2"/>
                <w:szCs w:val="2"/>
                <w:color w:val="auto"/>
              </w:rPr>
            </w:pPr>
          </w:p>
        </w:tc>
        <w:tc>
          <w:tcPr>
            <w:tcW w:w="1920" w:type="dxa"/>
            <w:vAlign w:val="bottom"/>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3360" w:type="dxa"/>
            <w:vAlign w:val="bottom"/>
          </w:tcPr>
          <w:p>
            <w:pPr>
              <w:spacing w:after="0"/>
              <w:rPr>
                <w:sz w:val="20"/>
                <w:szCs w:val="20"/>
                <w:color w:val="auto"/>
              </w:rPr>
            </w:pPr>
            <w:r>
              <w:rPr>
                <w:rFonts w:ascii="Arial" w:cs="Arial" w:eastAsia="Arial" w:hAnsi="Arial"/>
                <w:sz w:val="16"/>
                <w:szCs w:val="16"/>
                <w:b w:val="1"/>
                <w:bCs w:val="1"/>
                <w:color w:val="auto"/>
              </w:rPr>
              <w:t>Telecom Net S.A. Logistica Digital Total</w:t>
            </w:r>
          </w:p>
        </w:tc>
        <w:tc>
          <w:tcPr>
            <w:tcW w:w="128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b w:val="1"/>
                <w:bCs w:val="1"/>
                <w:color w:val="auto"/>
              </w:rPr>
              <w:t>28,238,046</w:t>
            </w:r>
          </w:p>
        </w:tc>
        <w:tc>
          <w:tcPr>
            <w:tcW w:w="0" w:type="dxa"/>
            <w:vAlign w:val="bottom"/>
          </w:tcPr>
          <w:p>
            <w:pPr>
              <w:spacing w:after="0"/>
              <w:rPr>
                <w:sz w:val="1"/>
                <w:szCs w:val="1"/>
                <w:color w:val="auto"/>
              </w:rPr>
            </w:pPr>
          </w:p>
        </w:tc>
      </w:tr>
      <w:tr>
        <w:trPr>
          <w:trHeight w:val="523"/>
        </w:trPr>
        <w:tc>
          <w:tcPr>
            <w:tcW w:w="3360" w:type="dxa"/>
            <w:vAlign w:val="bottom"/>
          </w:tcPr>
          <w:p>
            <w:pPr>
              <w:spacing w:after="0"/>
              <w:rPr>
                <w:sz w:val="20"/>
                <w:szCs w:val="20"/>
                <w:color w:val="auto"/>
              </w:rPr>
            </w:pPr>
            <w:r>
              <w:rPr>
                <w:rFonts w:ascii="Arial" w:cs="Arial" w:eastAsia="Arial" w:hAnsi="Arial"/>
                <w:sz w:val="16"/>
                <w:szCs w:val="16"/>
                <w:color w:val="auto"/>
              </w:rPr>
              <w:t>EWI (on behalf of transact Elektronische</w:t>
            </w:r>
          </w:p>
        </w:tc>
        <w:tc>
          <w:tcPr>
            <w:tcW w:w="128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6"/>
        </w:trPr>
        <w:tc>
          <w:tcPr>
            <w:tcW w:w="3360" w:type="dxa"/>
            <w:vAlign w:val="bottom"/>
          </w:tcPr>
          <w:p>
            <w:pPr>
              <w:spacing w:after="0"/>
              <w:rPr>
                <w:sz w:val="20"/>
                <w:szCs w:val="20"/>
                <w:color w:val="auto"/>
              </w:rPr>
            </w:pPr>
            <w:r>
              <w:rPr>
                <w:rFonts w:ascii="Arial" w:cs="Arial" w:eastAsia="Arial" w:hAnsi="Arial"/>
                <w:sz w:val="16"/>
                <w:szCs w:val="16"/>
                <w:color w:val="auto"/>
              </w:rPr>
              <w:t>Zahlungssysteme GmbH)</w:t>
            </w:r>
          </w:p>
        </w:tc>
        <w:tc>
          <w:tcPr>
            <w:tcW w:w="1280" w:type="dxa"/>
            <w:vAlign w:val="bottom"/>
          </w:tcPr>
          <w:p>
            <w:pPr>
              <w:ind w:left="40"/>
              <w:spacing w:after="0"/>
              <w:rPr>
                <w:sz w:val="20"/>
                <w:szCs w:val="20"/>
                <w:color w:val="auto"/>
              </w:rPr>
            </w:pPr>
            <w:r>
              <w:rPr>
                <w:rFonts w:ascii="Arial" w:cs="Arial" w:eastAsia="Arial" w:hAnsi="Arial"/>
                <w:sz w:val="16"/>
                <w:szCs w:val="16"/>
                <w:color w:val="auto"/>
              </w:rPr>
              <w:t>Bank of America</w:t>
            </w:r>
          </w:p>
        </w:tc>
        <w:tc>
          <w:tcPr>
            <w:tcW w:w="1620" w:type="dxa"/>
            <w:vAlign w:val="bottom"/>
          </w:tcPr>
          <w:p>
            <w:pPr>
              <w:ind w:left="120"/>
              <w:spacing w:after="0"/>
              <w:rPr>
                <w:sz w:val="20"/>
                <w:szCs w:val="20"/>
                <w:color w:val="auto"/>
              </w:rPr>
            </w:pPr>
            <w:r>
              <w:rPr>
                <w:rFonts w:ascii="Arial" w:cs="Arial" w:eastAsia="Arial" w:hAnsi="Arial"/>
                <w:sz w:val="16"/>
                <w:szCs w:val="16"/>
                <w:color w:val="auto"/>
              </w:rPr>
              <w:t>Bank Guarantee/LC</w:t>
            </w:r>
          </w:p>
        </w:tc>
        <w:tc>
          <w:tcPr>
            <w:tcW w:w="2020" w:type="dxa"/>
            <w:vAlign w:val="bottom"/>
          </w:tcPr>
          <w:p>
            <w:pPr>
              <w:ind w:left="200"/>
              <w:spacing w:after="0"/>
              <w:rPr>
                <w:sz w:val="20"/>
                <w:szCs w:val="20"/>
                <w:color w:val="auto"/>
              </w:rPr>
            </w:pPr>
            <w:r>
              <w:rPr>
                <w:rFonts w:ascii="Arial" w:cs="Arial" w:eastAsia="Arial" w:hAnsi="Arial"/>
                <w:sz w:val="16"/>
                <w:szCs w:val="16"/>
                <w:color w:val="auto"/>
              </w:rPr>
              <w:t>Trade Credit</w:t>
            </w:r>
          </w:p>
        </w:tc>
        <w:tc>
          <w:tcPr>
            <w:tcW w:w="1920" w:type="dxa"/>
            <w:vAlign w:val="bottom"/>
          </w:tcPr>
          <w:p>
            <w:pPr>
              <w:jc w:val="right"/>
              <w:spacing w:after="0"/>
              <w:rPr>
                <w:sz w:val="20"/>
                <w:szCs w:val="20"/>
                <w:color w:val="auto"/>
              </w:rPr>
            </w:pPr>
            <w:r>
              <w:rPr>
                <w:rFonts w:ascii="Arial" w:cs="Arial" w:eastAsia="Arial" w:hAnsi="Arial"/>
                <w:sz w:val="16"/>
                <w:szCs w:val="16"/>
                <w:color w:val="auto"/>
              </w:rPr>
              <w:t>EUR 3,820,000</w:t>
            </w:r>
          </w:p>
        </w:tc>
        <w:tc>
          <w:tcPr>
            <w:tcW w:w="1180" w:type="dxa"/>
            <w:vAlign w:val="bottom"/>
          </w:tcPr>
          <w:p>
            <w:pPr>
              <w:jc w:val="right"/>
              <w:spacing w:after="0"/>
              <w:rPr>
                <w:sz w:val="20"/>
                <w:szCs w:val="20"/>
                <w:color w:val="auto"/>
              </w:rPr>
            </w:pPr>
            <w:r>
              <w:rPr>
                <w:rFonts w:ascii="Arial" w:cs="Arial" w:eastAsia="Arial" w:hAnsi="Arial"/>
                <w:sz w:val="16"/>
                <w:szCs w:val="16"/>
                <w:color w:val="auto"/>
              </w:rPr>
              <w:t>5,161,966</w:t>
            </w:r>
          </w:p>
        </w:tc>
        <w:tc>
          <w:tcPr>
            <w:tcW w:w="0" w:type="dxa"/>
            <w:vAlign w:val="bottom"/>
          </w:tcPr>
          <w:p>
            <w:pPr>
              <w:spacing w:after="0"/>
              <w:rPr>
                <w:sz w:val="1"/>
                <w:szCs w:val="1"/>
                <w:color w:val="auto"/>
              </w:rPr>
            </w:pPr>
          </w:p>
        </w:tc>
      </w:tr>
      <w:tr>
        <w:trPr>
          <w:trHeight w:val="257"/>
        </w:trPr>
        <w:tc>
          <w:tcPr>
            <w:tcW w:w="3360" w:type="dxa"/>
            <w:vAlign w:val="bottom"/>
          </w:tcPr>
          <w:p>
            <w:pPr>
              <w:spacing w:after="0"/>
              <w:rPr>
                <w:sz w:val="20"/>
                <w:szCs w:val="20"/>
                <w:color w:val="auto"/>
              </w:rPr>
            </w:pPr>
            <w:r>
              <w:rPr>
                <w:rFonts w:ascii="Arial" w:cs="Arial" w:eastAsia="Arial" w:hAnsi="Arial"/>
                <w:sz w:val="16"/>
                <w:szCs w:val="16"/>
                <w:color w:val="auto"/>
                <w:w w:val="98"/>
              </w:rPr>
              <w:t>transact Elektronische Zahlungssysteme GmbH</w:t>
            </w:r>
          </w:p>
        </w:tc>
        <w:tc>
          <w:tcPr>
            <w:tcW w:w="1280" w:type="dxa"/>
            <w:vAlign w:val="bottom"/>
          </w:tcPr>
          <w:p>
            <w:pPr>
              <w:ind w:left="40"/>
              <w:spacing w:after="0"/>
              <w:rPr>
                <w:sz w:val="20"/>
                <w:szCs w:val="20"/>
                <w:color w:val="auto"/>
              </w:rPr>
            </w:pPr>
            <w:r>
              <w:rPr>
                <w:rFonts w:ascii="Arial" w:cs="Arial" w:eastAsia="Arial" w:hAnsi="Arial"/>
                <w:sz w:val="16"/>
                <w:szCs w:val="16"/>
                <w:color w:val="auto"/>
              </w:rPr>
              <w:t>Commerzbank</w:t>
            </w:r>
          </w:p>
        </w:tc>
        <w:tc>
          <w:tcPr>
            <w:tcW w:w="1620" w:type="dxa"/>
            <w:vAlign w:val="bottom"/>
          </w:tcPr>
          <w:p>
            <w:pPr>
              <w:ind w:left="120"/>
              <w:spacing w:after="0"/>
              <w:rPr>
                <w:sz w:val="20"/>
                <w:szCs w:val="20"/>
                <w:color w:val="auto"/>
              </w:rPr>
            </w:pPr>
            <w:r>
              <w:rPr>
                <w:rFonts w:ascii="Arial" w:cs="Arial" w:eastAsia="Arial" w:hAnsi="Arial"/>
                <w:sz w:val="16"/>
                <w:szCs w:val="16"/>
                <w:color w:val="auto"/>
              </w:rPr>
              <w:t>Bank Guarantee/LC</w:t>
            </w:r>
          </w:p>
        </w:tc>
        <w:tc>
          <w:tcPr>
            <w:tcW w:w="2020" w:type="dxa"/>
            <w:vAlign w:val="bottom"/>
          </w:tcPr>
          <w:p>
            <w:pPr>
              <w:ind w:left="200"/>
              <w:spacing w:after="0"/>
              <w:rPr>
                <w:sz w:val="20"/>
                <w:szCs w:val="20"/>
                <w:color w:val="auto"/>
              </w:rPr>
            </w:pPr>
            <w:r>
              <w:rPr>
                <w:rFonts w:ascii="Arial" w:cs="Arial" w:eastAsia="Arial" w:hAnsi="Arial"/>
                <w:sz w:val="16"/>
                <w:szCs w:val="16"/>
                <w:color w:val="auto"/>
              </w:rPr>
              <w:t>ATM site rents</w:t>
            </w:r>
          </w:p>
        </w:tc>
        <w:tc>
          <w:tcPr>
            <w:tcW w:w="1920" w:type="dxa"/>
            <w:vAlign w:val="bottom"/>
          </w:tcPr>
          <w:p>
            <w:pPr>
              <w:jc w:val="right"/>
              <w:spacing w:after="0"/>
              <w:rPr>
                <w:sz w:val="20"/>
                <w:szCs w:val="20"/>
                <w:color w:val="auto"/>
              </w:rPr>
            </w:pPr>
            <w:r>
              <w:rPr>
                <w:rFonts w:ascii="Arial" w:cs="Arial" w:eastAsia="Arial" w:hAnsi="Arial"/>
                <w:sz w:val="16"/>
                <w:szCs w:val="16"/>
                <w:color w:val="auto"/>
              </w:rPr>
              <w:t>EUR 249,158</w:t>
            </w:r>
          </w:p>
        </w:tc>
        <w:tc>
          <w:tcPr>
            <w:tcW w:w="1180" w:type="dxa"/>
            <w:vAlign w:val="bottom"/>
          </w:tcPr>
          <w:p>
            <w:pPr>
              <w:jc w:val="right"/>
              <w:spacing w:after="0"/>
              <w:rPr>
                <w:sz w:val="20"/>
                <w:szCs w:val="20"/>
                <w:color w:val="auto"/>
              </w:rPr>
            </w:pPr>
            <w:r>
              <w:rPr>
                <w:rFonts w:ascii="Arial" w:cs="Arial" w:eastAsia="Arial" w:hAnsi="Arial"/>
                <w:sz w:val="16"/>
                <w:szCs w:val="16"/>
                <w:color w:val="auto"/>
              </w:rPr>
              <w:t>336,687</w:t>
            </w:r>
          </w:p>
        </w:tc>
        <w:tc>
          <w:tcPr>
            <w:tcW w:w="0" w:type="dxa"/>
            <w:vAlign w:val="bottom"/>
          </w:tcPr>
          <w:p>
            <w:pPr>
              <w:spacing w:after="0"/>
              <w:rPr>
                <w:sz w:val="1"/>
                <w:szCs w:val="1"/>
                <w:color w:val="auto"/>
              </w:rPr>
            </w:pPr>
          </w:p>
        </w:tc>
      </w:tr>
      <w:tr>
        <w:trPr>
          <w:trHeight w:val="257"/>
        </w:trPr>
        <w:tc>
          <w:tcPr>
            <w:tcW w:w="3360" w:type="dxa"/>
            <w:vAlign w:val="bottom"/>
          </w:tcPr>
          <w:p>
            <w:pPr>
              <w:spacing w:after="0"/>
              <w:rPr>
                <w:sz w:val="20"/>
                <w:szCs w:val="20"/>
                <w:color w:val="auto"/>
              </w:rPr>
            </w:pPr>
            <w:r>
              <w:rPr>
                <w:rFonts w:ascii="Arial" w:cs="Arial" w:eastAsia="Arial" w:hAnsi="Arial"/>
                <w:sz w:val="16"/>
                <w:szCs w:val="16"/>
                <w:color w:val="auto"/>
                <w:w w:val="98"/>
              </w:rPr>
              <w:t>transact Elektronische Zahlungssysteme GmbH</w:t>
            </w:r>
          </w:p>
        </w:tc>
        <w:tc>
          <w:tcPr>
            <w:tcW w:w="1280" w:type="dxa"/>
            <w:vAlign w:val="bottom"/>
          </w:tcPr>
          <w:p>
            <w:pPr>
              <w:ind w:left="40"/>
              <w:spacing w:after="0"/>
              <w:rPr>
                <w:sz w:val="20"/>
                <w:szCs w:val="20"/>
                <w:color w:val="auto"/>
              </w:rPr>
            </w:pPr>
            <w:r>
              <w:rPr>
                <w:rFonts w:ascii="Arial" w:cs="Arial" w:eastAsia="Arial" w:hAnsi="Arial"/>
                <w:sz w:val="16"/>
                <w:szCs w:val="16"/>
                <w:color w:val="auto"/>
              </w:rPr>
              <w:t>Commerzbank</w:t>
            </w:r>
          </w:p>
        </w:tc>
        <w:tc>
          <w:tcPr>
            <w:tcW w:w="1620" w:type="dxa"/>
            <w:vAlign w:val="bottom"/>
          </w:tcPr>
          <w:p>
            <w:pPr>
              <w:ind w:left="120"/>
              <w:spacing w:after="0"/>
              <w:rPr>
                <w:sz w:val="20"/>
                <w:szCs w:val="20"/>
                <w:color w:val="auto"/>
              </w:rPr>
            </w:pPr>
            <w:r>
              <w:rPr>
                <w:rFonts w:ascii="Arial" w:cs="Arial" w:eastAsia="Arial" w:hAnsi="Arial"/>
                <w:sz w:val="16"/>
                <w:szCs w:val="16"/>
                <w:color w:val="auto"/>
              </w:rPr>
              <w:t>Bank Guarantee/LC</w:t>
            </w:r>
          </w:p>
        </w:tc>
        <w:tc>
          <w:tcPr>
            <w:tcW w:w="2020" w:type="dxa"/>
            <w:vAlign w:val="bottom"/>
          </w:tcPr>
          <w:p>
            <w:pPr>
              <w:ind w:left="200"/>
              <w:spacing w:after="0"/>
              <w:rPr>
                <w:sz w:val="20"/>
                <w:szCs w:val="20"/>
                <w:color w:val="auto"/>
              </w:rPr>
            </w:pPr>
            <w:r>
              <w:rPr>
                <w:rFonts w:ascii="Arial" w:cs="Arial" w:eastAsia="Arial" w:hAnsi="Arial"/>
                <w:sz w:val="16"/>
                <w:szCs w:val="16"/>
                <w:color w:val="auto"/>
              </w:rPr>
              <w:t>ATM site rents</w:t>
            </w:r>
          </w:p>
        </w:tc>
        <w:tc>
          <w:tcPr>
            <w:tcW w:w="1920" w:type="dxa"/>
            <w:vAlign w:val="bottom"/>
          </w:tcPr>
          <w:p>
            <w:pPr>
              <w:jc w:val="right"/>
              <w:spacing w:after="0"/>
              <w:rPr>
                <w:sz w:val="20"/>
                <w:szCs w:val="20"/>
                <w:color w:val="auto"/>
              </w:rPr>
            </w:pPr>
            <w:r>
              <w:rPr>
                <w:rFonts w:ascii="Arial" w:cs="Arial" w:eastAsia="Arial" w:hAnsi="Arial"/>
                <w:sz w:val="16"/>
                <w:szCs w:val="16"/>
                <w:color w:val="auto"/>
              </w:rPr>
              <w:t>EUR 49,742</w:t>
            </w:r>
          </w:p>
        </w:tc>
        <w:tc>
          <w:tcPr>
            <w:tcW w:w="1180" w:type="dxa"/>
            <w:vAlign w:val="bottom"/>
          </w:tcPr>
          <w:p>
            <w:pPr>
              <w:jc w:val="right"/>
              <w:spacing w:after="0"/>
              <w:rPr>
                <w:sz w:val="20"/>
                <w:szCs w:val="20"/>
                <w:color w:val="auto"/>
              </w:rPr>
            </w:pPr>
            <w:r>
              <w:rPr>
                <w:rFonts w:ascii="Arial" w:cs="Arial" w:eastAsia="Arial" w:hAnsi="Arial"/>
                <w:sz w:val="16"/>
                <w:szCs w:val="16"/>
                <w:color w:val="auto"/>
              </w:rPr>
              <w:t>67,216</w:t>
            </w:r>
          </w:p>
        </w:tc>
        <w:tc>
          <w:tcPr>
            <w:tcW w:w="0" w:type="dxa"/>
            <w:vAlign w:val="bottom"/>
          </w:tcPr>
          <w:p>
            <w:pPr>
              <w:spacing w:after="0"/>
              <w:rPr>
                <w:sz w:val="1"/>
                <w:szCs w:val="1"/>
                <w:color w:val="auto"/>
              </w:rPr>
            </w:pPr>
          </w:p>
        </w:tc>
      </w:tr>
      <w:tr>
        <w:trPr>
          <w:trHeight w:val="257"/>
        </w:trPr>
        <w:tc>
          <w:tcPr>
            <w:tcW w:w="3360" w:type="dxa"/>
            <w:vAlign w:val="bottom"/>
          </w:tcPr>
          <w:p>
            <w:pPr>
              <w:spacing w:after="0"/>
              <w:rPr>
                <w:sz w:val="20"/>
                <w:szCs w:val="20"/>
                <w:color w:val="auto"/>
              </w:rPr>
            </w:pPr>
            <w:r>
              <w:rPr>
                <w:rFonts w:ascii="Arial" w:cs="Arial" w:eastAsia="Arial" w:hAnsi="Arial"/>
                <w:sz w:val="16"/>
                <w:szCs w:val="16"/>
                <w:color w:val="auto"/>
                <w:w w:val="98"/>
              </w:rPr>
              <w:t>transact Elektronische Zahlungssysteme GmbH</w:t>
            </w:r>
          </w:p>
        </w:tc>
        <w:tc>
          <w:tcPr>
            <w:tcW w:w="1280" w:type="dxa"/>
            <w:vAlign w:val="bottom"/>
          </w:tcPr>
          <w:p>
            <w:pPr>
              <w:ind w:left="40"/>
              <w:spacing w:after="0"/>
              <w:rPr>
                <w:sz w:val="20"/>
                <w:szCs w:val="20"/>
                <w:color w:val="auto"/>
              </w:rPr>
            </w:pPr>
            <w:r>
              <w:rPr>
                <w:rFonts w:ascii="Arial" w:cs="Arial" w:eastAsia="Arial" w:hAnsi="Arial"/>
                <w:sz w:val="16"/>
                <w:szCs w:val="16"/>
                <w:color w:val="auto"/>
              </w:rPr>
              <w:t>Commerzbank</w:t>
            </w:r>
          </w:p>
        </w:tc>
        <w:tc>
          <w:tcPr>
            <w:tcW w:w="1620" w:type="dxa"/>
            <w:vAlign w:val="bottom"/>
          </w:tcPr>
          <w:p>
            <w:pPr>
              <w:ind w:left="120"/>
              <w:spacing w:after="0"/>
              <w:rPr>
                <w:sz w:val="20"/>
                <w:szCs w:val="20"/>
                <w:color w:val="auto"/>
              </w:rPr>
            </w:pPr>
            <w:r>
              <w:rPr>
                <w:rFonts w:ascii="Arial" w:cs="Arial" w:eastAsia="Arial" w:hAnsi="Arial"/>
                <w:sz w:val="16"/>
                <w:szCs w:val="16"/>
                <w:color w:val="auto"/>
              </w:rPr>
              <w:t>Bank Guarantee/LC</w:t>
            </w:r>
          </w:p>
        </w:tc>
        <w:tc>
          <w:tcPr>
            <w:tcW w:w="2020" w:type="dxa"/>
            <w:vAlign w:val="bottom"/>
          </w:tcPr>
          <w:p>
            <w:pPr>
              <w:ind w:left="200"/>
              <w:spacing w:after="0"/>
              <w:rPr>
                <w:sz w:val="20"/>
                <w:szCs w:val="20"/>
                <w:color w:val="auto"/>
              </w:rPr>
            </w:pPr>
            <w:r>
              <w:rPr>
                <w:rFonts w:ascii="Arial" w:cs="Arial" w:eastAsia="Arial" w:hAnsi="Arial"/>
                <w:sz w:val="16"/>
                <w:szCs w:val="16"/>
                <w:color w:val="auto"/>
              </w:rPr>
              <w:t>Office Rent</w:t>
            </w:r>
          </w:p>
        </w:tc>
        <w:tc>
          <w:tcPr>
            <w:tcW w:w="1920" w:type="dxa"/>
            <w:vAlign w:val="bottom"/>
          </w:tcPr>
          <w:p>
            <w:pPr>
              <w:jc w:val="right"/>
              <w:spacing w:after="0"/>
              <w:rPr>
                <w:sz w:val="20"/>
                <w:szCs w:val="20"/>
                <w:color w:val="auto"/>
              </w:rPr>
            </w:pPr>
            <w:r>
              <w:rPr>
                <w:rFonts w:ascii="Arial" w:cs="Arial" w:eastAsia="Arial" w:hAnsi="Arial"/>
                <w:sz w:val="16"/>
                <w:szCs w:val="16"/>
                <w:color w:val="auto"/>
              </w:rPr>
              <w:t>EUR 28,000</w:t>
            </w:r>
          </w:p>
        </w:tc>
        <w:tc>
          <w:tcPr>
            <w:tcW w:w="1180" w:type="dxa"/>
            <w:vAlign w:val="bottom"/>
          </w:tcPr>
          <w:p>
            <w:pPr>
              <w:jc w:val="right"/>
              <w:spacing w:after="0"/>
              <w:rPr>
                <w:sz w:val="20"/>
                <w:szCs w:val="20"/>
                <w:color w:val="auto"/>
              </w:rPr>
            </w:pPr>
            <w:r>
              <w:rPr>
                <w:rFonts w:ascii="Arial" w:cs="Arial" w:eastAsia="Arial" w:hAnsi="Arial"/>
                <w:sz w:val="16"/>
                <w:szCs w:val="16"/>
                <w:color w:val="auto"/>
              </w:rPr>
              <w:t>37,836</w:t>
            </w:r>
          </w:p>
        </w:tc>
        <w:tc>
          <w:tcPr>
            <w:tcW w:w="0" w:type="dxa"/>
            <w:vAlign w:val="bottom"/>
          </w:tcPr>
          <w:p>
            <w:pPr>
              <w:spacing w:after="0"/>
              <w:rPr>
                <w:sz w:val="1"/>
                <w:szCs w:val="1"/>
                <w:color w:val="auto"/>
              </w:rPr>
            </w:pPr>
          </w:p>
        </w:tc>
      </w:tr>
    </w:tbl>
    <w:p>
      <w:pPr>
        <w:sectPr>
          <w:pgSz w:w="11900" w:h="16838" w:orient="portrait"/>
          <w:cols w:equalWidth="0" w:num="1">
            <w:col w:w="11380"/>
          </w:cols>
          <w:pgMar w:left="280" w:top="535" w:right="239" w:bottom="1440" w:gutter="0" w:footer="0" w:header="0"/>
        </w:sectPr>
      </w:pPr>
    </w:p>
    <w:bookmarkStart w:id="288" w:name="page289"/>
    <w:bookmarkEnd w:id="288"/>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060" w:type="dxa"/>
            <w:vAlign w:val="bottom"/>
          </w:tcPr>
          <w:p>
            <w:pPr>
              <w:spacing w:after="0"/>
              <w:rPr>
                <w:sz w:val="17"/>
                <w:szCs w:val="17"/>
                <w:color w:val="auto"/>
              </w:rPr>
            </w:pPr>
          </w:p>
        </w:tc>
        <w:tc>
          <w:tcPr>
            <w:tcW w:w="1380" w:type="dxa"/>
            <w:vAlign w:val="bottom"/>
          </w:tcPr>
          <w:p>
            <w:pPr>
              <w:ind w:left="120"/>
              <w:spacing w:after="0"/>
              <w:rPr>
                <w:sz w:val="20"/>
                <w:szCs w:val="20"/>
                <w:color w:val="auto"/>
              </w:rPr>
            </w:pPr>
            <w:r>
              <w:rPr>
                <w:rFonts w:ascii="Arial" w:cs="Arial" w:eastAsia="Arial" w:hAnsi="Arial"/>
                <w:sz w:val="16"/>
                <w:szCs w:val="16"/>
                <w:color w:val="auto"/>
              </w:rPr>
              <w:t>Kreissparkasse</w:t>
            </w:r>
          </w:p>
        </w:tc>
        <w:tc>
          <w:tcPr>
            <w:tcW w:w="1600" w:type="dxa"/>
            <w:vAlign w:val="bottom"/>
          </w:tcPr>
          <w:p>
            <w:pPr>
              <w:spacing w:after="0"/>
              <w:rPr>
                <w:sz w:val="17"/>
                <w:szCs w:val="17"/>
                <w:color w:val="auto"/>
              </w:rPr>
            </w:pPr>
          </w:p>
        </w:tc>
        <w:tc>
          <w:tcPr>
            <w:tcW w:w="230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3220" w:type="dxa"/>
            <w:vAlign w:val="bottom"/>
            <w:gridSpan w:val="3"/>
          </w:tcPr>
          <w:p>
            <w:pPr>
              <w:ind w:left="20"/>
              <w:spacing w:after="0"/>
              <w:rPr>
                <w:sz w:val="20"/>
                <w:szCs w:val="20"/>
                <w:color w:val="auto"/>
              </w:rPr>
            </w:pPr>
            <w:r>
              <w:rPr>
                <w:rFonts w:ascii="Arial" w:cs="Arial" w:eastAsia="Arial" w:hAnsi="Arial"/>
                <w:sz w:val="16"/>
                <w:szCs w:val="16"/>
                <w:color w:val="auto"/>
                <w:w w:val="94"/>
              </w:rPr>
              <w:t>transact Elektronische Zahlungssysteme GmbH</w:t>
            </w:r>
          </w:p>
        </w:tc>
        <w:tc>
          <w:tcPr>
            <w:tcW w:w="2980" w:type="dxa"/>
            <w:vAlign w:val="bottom"/>
            <w:gridSpan w:val="2"/>
          </w:tcPr>
          <w:p>
            <w:pPr>
              <w:ind w:left="120"/>
              <w:spacing w:after="0"/>
              <w:rPr>
                <w:sz w:val="20"/>
                <w:szCs w:val="20"/>
                <w:color w:val="auto"/>
              </w:rPr>
            </w:pPr>
            <w:r>
              <w:rPr>
                <w:rFonts w:ascii="Arial" w:cs="Arial" w:eastAsia="Arial" w:hAnsi="Arial"/>
                <w:sz w:val="16"/>
                <w:szCs w:val="16"/>
                <w:color w:val="auto"/>
                <w:w w:val="98"/>
              </w:rPr>
              <w:t>München-Starnberg Bank Guarantee/LC</w:t>
            </w:r>
          </w:p>
        </w:tc>
        <w:tc>
          <w:tcPr>
            <w:tcW w:w="2300" w:type="dxa"/>
            <w:vAlign w:val="bottom"/>
          </w:tcPr>
          <w:p>
            <w:pPr>
              <w:ind w:left="200"/>
              <w:spacing w:after="0"/>
              <w:rPr>
                <w:sz w:val="20"/>
                <w:szCs w:val="20"/>
                <w:color w:val="auto"/>
              </w:rPr>
            </w:pPr>
            <w:r>
              <w:rPr>
                <w:rFonts w:ascii="Arial" w:cs="Arial" w:eastAsia="Arial" w:hAnsi="Arial"/>
                <w:sz w:val="16"/>
                <w:szCs w:val="16"/>
                <w:color w:val="auto"/>
              </w:rPr>
              <w:t>Office Rent</w:t>
            </w:r>
          </w:p>
        </w:tc>
        <w:tc>
          <w:tcPr>
            <w:tcW w:w="1580" w:type="dxa"/>
            <w:vAlign w:val="bottom"/>
          </w:tcPr>
          <w:p>
            <w:pPr>
              <w:jc w:val="right"/>
              <w:spacing w:after="0"/>
              <w:rPr>
                <w:sz w:val="20"/>
                <w:szCs w:val="20"/>
                <w:color w:val="auto"/>
              </w:rPr>
            </w:pPr>
            <w:r>
              <w:rPr>
                <w:rFonts w:ascii="Arial" w:cs="Arial" w:eastAsia="Arial" w:hAnsi="Arial"/>
                <w:sz w:val="16"/>
                <w:szCs w:val="16"/>
                <w:color w:val="auto"/>
              </w:rPr>
              <w:t>EUR 65,211</w:t>
            </w:r>
          </w:p>
        </w:tc>
        <w:tc>
          <w:tcPr>
            <w:tcW w:w="1320" w:type="dxa"/>
            <w:vAlign w:val="bottom"/>
          </w:tcPr>
          <w:p>
            <w:pPr>
              <w:jc w:val="right"/>
              <w:spacing w:after="0"/>
              <w:rPr>
                <w:sz w:val="20"/>
                <w:szCs w:val="20"/>
                <w:color w:val="auto"/>
              </w:rPr>
            </w:pPr>
            <w:r>
              <w:rPr>
                <w:rFonts w:ascii="Arial" w:cs="Arial" w:eastAsia="Arial" w:hAnsi="Arial"/>
                <w:sz w:val="16"/>
                <w:szCs w:val="16"/>
                <w:color w:val="auto"/>
              </w:rPr>
              <w:t>88,120</w:t>
            </w:r>
          </w:p>
        </w:tc>
        <w:tc>
          <w:tcPr>
            <w:tcW w:w="0" w:type="dxa"/>
            <w:vAlign w:val="bottom"/>
          </w:tcPr>
          <w:p>
            <w:pPr>
              <w:spacing w:after="0"/>
              <w:rPr>
                <w:sz w:val="1"/>
                <w:szCs w:val="1"/>
                <w:color w:val="auto"/>
              </w:rPr>
            </w:pPr>
          </w:p>
        </w:tc>
      </w:tr>
      <w:tr>
        <w:trPr>
          <w:trHeight w:val="253"/>
        </w:trPr>
        <w:tc>
          <w:tcPr>
            <w:tcW w:w="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2060" w:type="dxa"/>
            <w:vAlign w:val="bottom"/>
          </w:tcPr>
          <w:p>
            <w:pPr>
              <w:spacing w:after="0"/>
              <w:rPr>
                <w:sz w:val="21"/>
                <w:szCs w:val="21"/>
                <w:color w:val="auto"/>
              </w:rPr>
            </w:pPr>
          </w:p>
        </w:tc>
        <w:tc>
          <w:tcPr>
            <w:tcW w:w="1380" w:type="dxa"/>
            <w:vAlign w:val="bottom"/>
          </w:tcPr>
          <w:p>
            <w:pPr>
              <w:ind w:left="120"/>
              <w:spacing w:after="0"/>
              <w:rPr>
                <w:sz w:val="20"/>
                <w:szCs w:val="20"/>
                <w:color w:val="auto"/>
              </w:rPr>
            </w:pPr>
            <w:r>
              <w:rPr>
                <w:rFonts w:ascii="Arial" w:cs="Arial" w:eastAsia="Arial" w:hAnsi="Arial"/>
                <w:sz w:val="16"/>
                <w:szCs w:val="16"/>
                <w:color w:val="auto"/>
              </w:rPr>
              <w:t>Kreissparkasse</w:t>
            </w:r>
          </w:p>
        </w:tc>
        <w:tc>
          <w:tcPr>
            <w:tcW w:w="1600" w:type="dxa"/>
            <w:vAlign w:val="bottom"/>
          </w:tcPr>
          <w:p>
            <w:pPr>
              <w:spacing w:after="0"/>
              <w:rPr>
                <w:sz w:val="21"/>
                <w:szCs w:val="21"/>
                <w:color w:val="auto"/>
              </w:rPr>
            </w:pPr>
          </w:p>
        </w:tc>
        <w:tc>
          <w:tcPr>
            <w:tcW w:w="230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6"/>
        </w:trPr>
        <w:tc>
          <w:tcPr>
            <w:tcW w:w="3220" w:type="dxa"/>
            <w:vAlign w:val="bottom"/>
            <w:gridSpan w:val="3"/>
          </w:tcPr>
          <w:p>
            <w:pPr>
              <w:ind w:left="20"/>
              <w:spacing w:after="0"/>
              <w:rPr>
                <w:sz w:val="20"/>
                <w:szCs w:val="20"/>
                <w:color w:val="auto"/>
              </w:rPr>
            </w:pPr>
            <w:r>
              <w:rPr>
                <w:rFonts w:ascii="Arial" w:cs="Arial" w:eastAsia="Arial" w:hAnsi="Arial"/>
                <w:sz w:val="16"/>
                <w:szCs w:val="16"/>
                <w:color w:val="auto"/>
                <w:w w:val="94"/>
              </w:rPr>
              <w:t>transact Elektronische Zahlungssysteme GmbH</w:t>
            </w:r>
          </w:p>
        </w:tc>
        <w:tc>
          <w:tcPr>
            <w:tcW w:w="2980" w:type="dxa"/>
            <w:vAlign w:val="bottom"/>
            <w:gridSpan w:val="2"/>
          </w:tcPr>
          <w:p>
            <w:pPr>
              <w:ind w:left="120"/>
              <w:spacing w:after="0"/>
              <w:rPr>
                <w:sz w:val="20"/>
                <w:szCs w:val="20"/>
                <w:color w:val="auto"/>
              </w:rPr>
            </w:pPr>
            <w:r>
              <w:rPr>
                <w:rFonts w:ascii="Arial" w:cs="Arial" w:eastAsia="Arial" w:hAnsi="Arial"/>
                <w:sz w:val="16"/>
                <w:szCs w:val="16"/>
                <w:color w:val="auto"/>
                <w:w w:val="98"/>
              </w:rPr>
              <w:t>München-Starnberg Bank Guarantee/LC</w:t>
            </w:r>
          </w:p>
        </w:tc>
        <w:tc>
          <w:tcPr>
            <w:tcW w:w="2300" w:type="dxa"/>
            <w:vAlign w:val="bottom"/>
          </w:tcPr>
          <w:p>
            <w:pPr>
              <w:ind w:left="200"/>
              <w:spacing w:after="0"/>
              <w:rPr>
                <w:sz w:val="20"/>
                <w:szCs w:val="20"/>
                <w:color w:val="auto"/>
              </w:rPr>
            </w:pPr>
            <w:r>
              <w:rPr>
                <w:rFonts w:ascii="Arial" w:cs="Arial" w:eastAsia="Arial" w:hAnsi="Arial"/>
                <w:sz w:val="16"/>
                <w:szCs w:val="16"/>
                <w:color w:val="auto"/>
              </w:rPr>
              <w:t>Office Rent ATM</w:t>
            </w:r>
          </w:p>
        </w:tc>
        <w:tc>
          <w:tcPr>
            <w:tcW w:w="1580" w:type="dxa"/>
            <w:vAlign w:val="bottom"/>
          </w:tcPr>
          <w:p>
            <w:pPr>
              <w:jc w:val="right"/>
              <w:spacing w:after="0"/>
              <w:rPr>
                <w:sz w:val="20"/>
                <w:szCs w:val="20"/>
                <w:color w:val="auto"/>
              </w:rPr>
            </w:pPr>
            <w:r>
              <w:rPr>
                <w:rFonts w:ascii="Arial" w:cs="Arial" w:eastAsia="Arial" w:hAnsi="Arial"/>
                <w:sz w:val="16"/>
                <w:szCs w:val="16"/>
                <w:color w:val="auto"/>
              </w:rPr>
              <w:t>EUR 13,479</w:t>
            </w:r>
          </w:p>
        </w:tc>
        <w:tc>
          <w:tcPr>
            <w:tcW w:w="1320" w:type="dxa"/>
            <w:vAlign w:val="bottom"/>
          </w:tcPr>
          <w:p>
            <w:pPr>
              <w:jc w:val="right"/>
              <w:spacing w:after="0"/>
              <w:rPr>
                <w:sz w:val="20"/>
                <w:szCs w:val="20"/>
                <w:color w:val="auto"/>
              </w:rPr>
            </w:pPr>
            <w:r>
              <w:rPr>
                <w:rFonts w:ascii="Arial" w:cs="Arial" w:eastAsia="Arial" w:hAnsi="Arial"/>
                <w:sz w:val="16"/>
                <w:szCs w:val="16"/>
                <w:color w:val="auto"/>
              </w:rPr>
              <w:t>18,214</w:t>
            </w:r>
          </w:p>
        </w:tc>
        <w:tc>
          <w:tcPr>
            <w:tcW w:w="0" w:type="dxa"/>
            <w:vAlign w:val="bottom"/>
          </w:tcPr>
          <w:p>
            <w:pPr>
              <w:spacing w:after="0"/>
              <w:rPr>
                <w:sz w:val="1"/>
                <w:szCs w:val="1"/>
                <w:color w:val="auto"/>
              </w:rPr>
            </w:pPr>
          </w:p>
        </w:tc>
      </w:tr>
      <w:tr>
        <w:trPr>
          <w:trHeight w:val="33"/>
        </w:trPr>
        <w:tc>
          <w:tcPr>
            <w:tcW w:w="3220" w:type="dxa"/>
            <w:vAlign w:val="bottom"/>
            <w:gridSpan w:val="3"/>
            <w:vMerge w:val="restart"/>
          </w:tcPr>
          <w:p>
            <w:pPr>
              <w:ind w:left="20"/>
              <w:spacing w:after="0"/>
              <w:rPr>
                <w:sz w:val="20"/>
                <w:szCs w:val="20"/>
                <w:color w:val="auto"/>
              </w:rPr>
            </w:pPr>
            <w:r>
              <w:rPr>
                <w:rFonts w:ascii="Arial" w:cs="Arial" w:eastAsia="Arial" w:hAnsi="Arial"/>
                <w:sz w:val="16"/>
                <w:szCs w:val="16"/>
                <w:b w:val="1"/>
                <w:bCs w:val="1"/>
                <w:color w:val="auto"/>
              </w:rPr>
              <w:t>transact Elektronische Zahlungssysteme</w:t>
            </w:r>
          </w:p>
        </w:tc>
        <w:tc>
          <w:tcPr>
            <w:tcW w:w="1380" w:type="dxa"/>
            <w:vAlign w:val="bottom"/>
          </w:tcPr>
          <w:p>
            <w:pPr>
              <w:spacing w:after="0"/>
              <w:rPr>
                <w:sz w:val="2"/>
                <w:szCs w:val="2"/>
                <w:color w:val="auto"/>
              </w:rPr>
            </w:pPr>
          </w:p>
        </w:tc>
        <w:tc>
          <w:tcPr>
            <w:tcW w:w="1600" w:type="dxa"/>
            <w:vAlign w:val="bottom"/>
          </w:tcPr>
          <w:p>
            <w:pPr>
              <w:spacing w:after="0"/>
              <w:rPr>
                <w:sz w:val="2"/>
                <w:szCs w:val="2"/>
                <w:color w:val="auto"/>
              </w:rPr>
            </w:pPr>
          </w:p>
        </w:tc>
        <w:tc>
          <w:tcPr>
            <w:tcW w:w="23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6"/>
        </w:trPr>
        <w:tc>
          <w:tcPr>
            <w:tcW w:w="3220" w:type="dxa"/>
            <w:vAlign w:val="bottom"/>
            <w:gridSpan w:val="3"/>
            <w:vMerge w:val="continue"/>
          </w:tcPr>
          <w:p>
            <w:pPr>
              <w:spacing w:after="0"/>
              <w:rPr>
                <w:sz w:val="17"/>
                <w:szCs w:val="17"/>
                <w:color w:val="auto"/>
              </w:rPr>
            </w:pPr>
          </w:p>
        </w:tc>
        <w:tc>
          <w:tcPr>
            <w:tcW w:w="138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230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3220" w:type="dxa"/>
            <w:vAlign w:val="bottom"/>
            <w:gridSpan w:val="3"/>
          </w:tcPr>
          <w:p>
            <w:pPr>
              <w:ind w:left="20"/>
              <w:spacing w:after="0"/>
              <w:rPr>
                <w:sz w:val="20"/>
                <w:szCs w:val="20"/>
                <w:color w:val="auto"/>
              </w:rPr>
            </w:pPr>
            <w:r>
              <w:rPr>
                <w:rFonts w:ascii="Arial" w:cs="Arial" w:eastAsia="Arial" w:hAnsi="Arial"/>
                <w:sz w:val="16"/>
                <w:szCs w:val="16"/>
                <w:b w:val="1"/>
                <w:bCs w:val="1"/>
                <w:color w:val="auto"/>
              </w:rPr>
              <w:t>GmbH Total</w:t>
            </w:r>
          </w:p>
        </w:tc>
        <w:tc>
          <w:tcPr>
            <w:tcW w:w="138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b w:val="1"/>
                <w:bCs w:val="1"/>
                <w:color w:val="auto"/>
              </w:rPr>
              <w:t>5,710,040</w:t>
            </w:r>
          </w:p>
        </w:tc>
        <w:tc>
          <w:tcPr>
            <w:tcW w:w="0" w:type="dxa"/>
            <w:vAlign w:val="bottom"/>
          </w:tcPr>
          <w:p>
            <w:pPr>
              <w:spacing w:after="0"/>
              <w:rPr>
                <w:sz w:val="1"/>
                <w:szCs w:val="1"/>
                <w:color w:val="auto"/>
              </w:rPr>
            </w:pPr>
          </w:p>
        </w:tc>
      </w:tr>
      <w:tr>
        <w:trPr>
          <w:trHeight w:val="303"/>
        </w:trPr>
        <w:tc>
          <w:tcPr>
            <w:tcW w:w="20" w:type="dxa"/>
            <w:vAlign w:val="bottom"/>
            <w:tcBorders>
              <w:bottom w:val="single" w:sz="8" w:color="C0C0C0"/>
            </w:tcBorders>
          </w:tcPr>
          <w:p>
            <w:pPr>
              <w:spacing w:after="0"/>
              <w:rPr>
                <w:sz w:val="24"/>
                <w:szCs w:val="24"/>
                <w:color w:val="auto"/>
              </w:rPr>
            </w:pPr>
          </w:p>
        </w:tc>
        <w:tc>
          <w:tcPr>
            <w:tcW w:w="1140" w:type="dxa"/>
            <w:vAlign w:val="bottom"/>
            <w:tcBorders>
              <w:bottom w:val="single" w:sz="8" w:color="C0C0C0"/>
            </w:tcBorders>
          </w:tcPr>
          <w:p>
            <w:pPr>
              <w:spacing w:after="0"/>
              <w:rPr>
                <w:sz w:val="24"/>
                <w:szCs w:val="24"/>
                <w:color w:val="auto"/>
              </w:rPr>
            </w:pPr>
          </w:p>
        </w:tc>
        <w:tc>
          <w:tcPr>
            <w:tcW w:w="2060" w:type="dxa"/>
            <w:vAlign w:val="bottom"/>
            <w:tcBorders>
              <w:bottom w:val="single" w:sz="8" w:color="C0C0C0"/>
            </w:tcBorders>
          </w:tcPr>
          <w:p>
            <w:pPr>
              <w:spacing w:after="0"/>
              <w:rPr>
                <w:sz w:val="24"/>
                <w:szCs w:val="24"/>
                <w:color w:val="auto"/>
              </w:rPr>
            </w:pPr>
          </w:p>
        </w:tc>
        <w:tc>
          <w:tcPr>
            <w:tcW w:w="1380" w:type="dxa"/>
            <w:vAlign w:val="bottom"/>
            <w:tcBorders>
              <w:bottom w:val="single" w:sz="8" w:color="C0C0C0"/>
            </w:tcBorders>
          </w:tcPr>
          <w:p>
            <w:pPr>
              <w:spacing w:after="0"/>
              <w:rPr>
                <w:sz w:val="24"/>
                <w:szCs w:val="24"/>
                <w:color w:val="auto"/>
              </w:rPr>
            </w:pPr>
          </w:p>
        </w:tc>
        <w:tc>
          <w:tcPr>
            <w:tcW w:w="1600" w:type="dxa"/>
            <w:vAlign w:val="bottom"/>
            <w:tcBorders>
              <w:bottom w:val="single" w:sz="8" w:color="C0C0C0"/>
            </w:tcBorders>
          </w:tcPr>
          <w:p>
            <w:pPr>
              <w:spacing w:after="0"/>
              <w:rPr>
                <w:sz w:val="24"/>
                <w:szCs w:val="24"/>
                <w:color w:val="auto"/>
              </w:rPr>
            </w:pPr>
          </w:p>
        </w:tc>
        <w:tc>
          <w:tcPr>
            <w:tcW w:w="2300" w:type="dxa"/>
            <w:vAlign w:val="bottom"/>
            <w:tcBorders>
              <w:bottom w:val="single" w:sz="8" w:color="C0C0C0"/>
            </w:tcBorders>
          </w:tcPr>
          <w:p>
            <w:pPr>
              <w:spacing w:after="0"/>
              <w:rPr>
                <w:sz w:val="24"/>
                <w:szCs w:val="24"/>
                <w:color w:val="auto"/>
              </w:rPr>
            </w:pPr>
          </w:p>
        </w:tc>
        <w:tc>
          <w:tcPr>
            <w:tcW w:w="1580" w:type="dxa"/>
            <w:vAlign w:val="bottom"/>
            <w:tcBorders>
              <w:bottom w:val="single" w:sz="8" w:color="C0C0C0"/>
            </w:tcBorders>
          </w:tcPr>
          <w:p>
            <w:pPr>
              <w:spacing w:after="0"/>
              <w:rPr>
                <w:sz w:val="24"/>
                <w:szCs w:val="24"/>
                <w:color w:val="auto"/>
              </w:rPr>
            </w:pPr>
          </w:p>
        </w:tc>
        <w:tc>
          <w:tcPr>
            <w:tcW w:w="13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3220" w:type="dxa"/>
            <w:vAlign w:val="bottom"/>
            <w:tcBorders>
              <w:bottom w:val="single" w:sz="8" w:color="C0C0C0"/>
            </w:tcBorders>
            <w:gridSpan w:val="3"/>
            <w:shd w:val="clear" w:color="auto" w:fill="C0C0C0"/>
          </w:tcPr>
          <w:p>
            <w:pPr>
              <w:ind w:left="20"/>
              <w:spacing w:after="0"/>
              <w:rPr>
                <w:sz w:val="20"/>
                <w:szCs w:val="20"/>
                <w:color w:val="auto"/>
              </w:rPr>
            </w:pPr>
            <w:r>
              <w:rPr>
                <w:rFonts w:ascii="Arial" w:cs="Arial" w:eastAsia="Arial" w:hAnsi="Arial"/>
                <w:sz w:val="16"/>
                <w:szCs w:val="16"/>
                <w:b w:val="1"/>
                <w:bCs w:val="1"/>
                <w:color w:val="auto"/>
              </w:rPr>
              <w:t>Total Bank Guarantee/LC</w:t>
            </w:r>
          </w:p>
        </w:tc>
        <w:tc>
          <w:tcPr>
            <w:tcW w:w="1380" w:type="dxa"/>
            <w:vAlign w:val="bottom"/>
            <w:tcBorders>
              <w:bottom w:val="single" w:sz="8" w:color="C0C0C0"/>
            </w:tcBorders>
            <w:shd w:val="clear" w:color="auto" w:fill="C0C0C0"/>
          </w:tcPr>
          <w:p>
            <w:pPr>
              <w:spacing w:after="0"/>
              <w:rPr>
                <w:sz w:val="21"/>
                <w:szCs w:val="21"/>
                <w:color w:val="auto"/>
              </w:rPr>
            </w:pPr>
          </w:p>
        </w:tc>
        <w:tc>
          <w:tcPr>
            <w:tcW w:w="1600" w:type="dxa"/>
            <w:vAlign w:val="bottom"/>
            <w:tcBorders>
              <w:bottom w:val="single" w:sz="8" w:color="C0C0C0"/>
            </w:tcBorders>
            <w:shd w:val="clear" w:color="auto" w:fill="C0C0C0"/>
          </w:tcPr>
          <w:p>
            <w:pPr>
              <w:spacing w:after="0"/>
              <w:rPr>
                <w:sz w:val="21"/>
                <w:szCs w:val="21"/>
                <w:color w:val="auto"/>
              </w:rPr>
            </w:pPr>
          </w:p>
        </w:tc>
        <w:tc>
          <w:tcPr>
            <w:tcW w:w="2300" w:type="dxa"/>
            <w:vAlign w:val="bottom"/>
            <w:tcBorders>
              <w:bottom w:val="single" w:sz="8" w:color="C0C0C0"/>
            </w:tcBorders>
            <w:shd w:val="clear" w:color="auto" w:fill="C0C0C0"/>
          </w:tcPr>
          <w:p>
            <w:pPr>
              <w:spacing w:after="0"/>
              <w:rPr>
                <w:sz w:val="21"/>
                <w:szCs w:val="21"/>
                <w:color w:val="auto"/>
              </w:rPr>
            </w:pPr>
          </w:p>
        </w:tc>
        <w:tc>
          <w:tcPr>
            <w:tcW w:w="1580" w:type="dxa"/>
            <w:vAlign w:val="bottom"/>
            <w:tcBorders>
              <w:bottom w:val="single" w:sz="8" w:color="C0C0C0"/>
            </w:tcBorders>
            <w:shd w:val="clear" w:color="auto" w:fill="C0C0C0"/>
          </w:tcPr>
          <w:p>
            <w:pPr>
              <w:spacing w:after="0"/>
              <w:rPr>
                <w:sz w:val="21"/>
                <w:szCs w:val="21"/>
                <w:color w:val="auto"/>
              </w:rPr>
            </w:pPr>
          </w:p>
        </w:tc>
        <w:tc>
          <w:tcPr>
            <w:tcW w:w="1320" w:type="dxa"/>
            <w:vAlign w:val="bottom"/>
            <w:tcBorders>
              <w:bottom w:val="single" w:sz="8" w:color="C0C0C0"/>
            </w:tcBorders>
            <w:shd w:val="clear" w:color="auto" w:fill="C0C0C0"/>
          </w:tcPr>
          <w:p>
            <w:pPr>
              <w:jc w:val="right"/>
              <w:spacing w:after="0"/>
              <w:rPr>
                <w:sz w:val="20"/>
                <w:szCs w:val="20"/>
                <w:color w:val="auto"/>
              </w:rPr>
            </w:pPr>
            <w:r>
              <w:rPr>
                <w:rFonts w:ascii="Arial" w:cs="Arial" w:eastAsia="Arial" w:hAnsi="Arial"/>
                <w:sz w:val="16"/>
                <w:szCs w:val="16"/>
                <w:b w:val="1"/>
                <w:bCs w:val="1"/>
                <w:color w:val="auto"/>
              </w:rPr>
              <w:t>$ 64,513,080</w:t>
            </w:r>
          </w:p>
        </w:tc>
        <w:tc>
          <w:tcPr>
            <w:tcW w:w="0" w:type="dxa"/>
            <w:vAlign w:val="bottom"/>
          </w:tcPr>
          <w:p>
            <w:pPr>
              <w:spacing w:after="0"/>
              <w:rPr>
                <w:sz w:val="1"/>
                <w:szCs w:val="1"/>
                <w:color w:val="auto"/>
              </w:rPr>
            </w:pPr>
          </w:p>
        </w:tc>
      </w:tr>
      <w:tr>
        <w:trPr>
          <w:trHeight w:val="466"/>
        </w:trPr>
        <w:tc>
          <w:tcPr>
            <w:tcW w:w="3220" w:type="dxa"/>
            <w:vAlign w:val="bottom"/>
            <w:gridSpan w:val="3"/>
          </w:tcPr>
          <w:p>
            <w:pPr>
              <w:ind w:left="20"/>
              <w:spacing w:after="0"/>
              <w:rPr>
                <w:sz w:val="20"/>
                <w:szCs w:val="20"/>
                <w:color w:val="auto"/>
              </w:rPr>
            </w:pPr>
            <w:r>
              <w:rPr>
                <w:rFonts w:ascii="Arial" w:cs="Arial" w:eastAsia="Arial" w:hAnsi="Arial"/>
                <w:sz w:val="18"/>
                <w:szCs w:val="18"/>
                <w:b w:val="1"/>
                <w:bCs w:val="1"/>
                <w:i w:val="1"/>
                <w:iCs w:val="1"/>
                <w:color w:val="auto"/>
              </w:rPr>
              <w:t>Capital Leases:</w:t>
            </w:r>
          </w:p>
        </w:tc>
        <w:tc>
          <w:tcPr>
            <w:tcW w:w="138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32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546"/>
        </w:trPr>
        <w:tc>
          <w:tcPr>
            <w:tcW w:w="20" w:type="dxa"/>
            <w:vAlign w:val="bottom"/>
          </w:tcPr>
          <w:p>
            <w:pPr>
              <w:spacing w:after="0"/>
              <w:rPr>
                <w:sz w:val="24"/>
                <w:szCs w:val="24"/>
                <w:color w:val="auto"/>
              </w:rPr>
            </w:pPr>
          </w:p>
        </w:tc>
        <w:tc>
          <w:tcPr>
            <w:tcW w:w="1140" w:type="dxa"/>
            <w:vAlign w:val="bottom"/>
            <w:tcBorders>
              <w:top w:val="single" w:sz="8" w:color="auto"/>
            </w:tcBorders>
          </w:tcPr>
          <w:p>
            <w:pPr>
              <w:spacing w:after="0"/>
              <w:rPr>
                <w:sz w:val="24"/>
                <w:szCs w:val="24"/>
                <w:color w:val="auto"/>
              </w:rPr>
            </w:pPr>
          </w:p>
        </w:tc>
        <w:tc>
          <w:tcPr>
            <w:tcW w:w="2060" w:type="dxa"/>
            <w:vAlign w:val="bottom"/>
          </w:tcPr>
          <w:p>
            <w:pPr>
              <w:spacing w:after="0"/>
              <w:rPr>
                <w:sz w:val="24"/>
                <w:szCs w:val="24"/>
                <w:color w:val="auto"/>
              </w:rPr>
            </w:pPr>
          </w:p>
        </w:tc>
        <w:tc>
          <w:tcPr>
            <w:tcW w:w="1380" w:type="dxa"/>
            <w:vAlign w:val="bottom"/>
          </w:tcPr>
          <w:p>
            <w:pPr>
              <w:ind w:left="120"/>
              <w:spacing w:after="0"/>
              <w:rPr>
                <w:sz w:val="20"/>
                <w:szCs w:val="20"/>
                <w:color w:val="auto"/>
              </w:rPr>
            </w:pPr>
            <w:r>
              <w:rPr>
                <w:rFonts w:ascii="Arial" w:cs="Arial" w:eastAsia="Arial" w:hAnsi="Arial"/>
                <w:sz w:val="18"/>
                <w:szCs w:val="18"/>
                <w:color w:val="auto"/>
              </w:rPr>
              <w:t>Ikon Financial</w:t>
            </w:r>
          </w:p>
        </w:tc>
        <w:tc>
          <w:tcPr>
            <w:tcW w:w="160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3220" w:type="dxa"/>
            <w:vAlign w:val="bottom"/>
            <w:gridSpan w:val="3"/>
          </w:tcPr>
          <w:p>
            <w:pPr>
              <w:ind w:left="20"/>
              <w:spacing w:after="0"/>
              <w:rPr>
                <w:sz w:val="20"/>
                <w:szCs w:val="20"/>
                <w:color w:val="auto"/>
              </w:rPr>
            </w:pPr>
            <w:r>
              <w:rPr>
                <w:rFonts w:ascii="Arial" w:cs="Arial" w:eastAsia="Arial" w:hAnsi="Arial"/>
                <w:sz w:val="18"/>
                <w:szCs w:val="18"/>
                <w:color w:val="auto"/>
              </w:rPr>
              <w:t>Euronet Worldwide, Inc.</w:t>
            </w:r>
          </w:p>
        </w:tc>
        <w:tc>
          <w:tcPr>
            <w:tcW w:w="1380" w:type="dxa"/>
            <w:vAlign w:val="bottom"/>
          </w:tcPr>
          <w:p>
            <w:pPr>
              <w:ind w:left="120"/>
              <w:spacing w:after="0"/>
              <w:rPr>
                <w:sz w:val="20"/>
                <w:szCs w:val="20"/>
                <w:color w:val="auto"/>
              </w:rPr>
            </w:pPr>
            <w:r>
              <w:rPr>
                <w:rFonts w:ascii="Arial" w:cs="Arial" w:eastAsia="Arial" w:hAnsi="Arial"/>
                <w:sz w:val="18"/>
                <w:szCs w:val="18"/>
                <w:color w:val="auto"/>
              </w:rPr>
              <w:t>Services</w:t>
            </w:r>
          </w:p>
        </w:tc>
        <w:tc>
          <w:tcPr>
            <w:tcW w:w="1600" w:type="dxa"/>
            <w:vAlign w:val="bottom"/>
          </w:tcPr>
          <w:p>
            <w:pPr>
              <w:ind w:left="100"/>
              <w:spacing w:after="0"/>
              <w:rPr>
                <w:sz w:val="20"/>
                <w:szCs w:val="20"/>
                <w:color w:val="auto"/>
              </w:rPr>
            </w:pPr>
            <w:r>
              <w:rPr>
                <w:rFonts w:ascii="Arial" w:cs="Arial" w:eastAsia="Arial" w:hAnsi="Arial"/>
                <w:sz w:val="18"/>
                <w:szCs w:val="18"/>
                <w:color w:val="auto"/>
              </w:rPr>
              <w:t>Capital Lease</w:t>
            </w:r>
          </w:p>
        </w:tc>
        <w:tc>
          <w:tcPr>
            <w:tcW w:w="2300" w:type="dxa"/>
            <w:vAlign w:val="bottom"/>
          </w:tcPr>
          <w:p>
            <w:pPr>
              <w:ind w:left="200"/>
              <w:spacing w:after="0"/>
              <w:rPr>
                <w:sz w:val="20"/>
                <w:szCs w:val="20"/>
                <w:color w:val="auto"/>
              </w:rPr>
            </w:pPr>
            <w:r>
              <w:rPr>
                <w:rFonts w:ascii="Arial" w:cs="Arial" w:eastAsia="Arial" w:hAnsi="Arial"/>
                <w:sz w:val="18"/>
                <w:szCs w:val="18"/>
                <w:color w:val="auto"/>
              </w:rPr>
              <w:t>Copier</w:t>
            </w:r>
          </w:p>
        </w:tc>
        <w:tc>
          <w:tcPr>
            <w:tcW w:w="1580" w:type="dxa"/>
            <w:vAlign w:val="bottom"/>
          </w:tcPr>
          <w:p>
            <w:pPr>
              <w:jc w:val="right"/>
              <w:spacing w:after="0"/>
              <w:rPr>
                <w:sz w:val="20"/>
                <w:szCs w:val="20"/>
                <w:color w:val="auto"/>
              </w:rPr>
            </w:pPr>
            <w:r>
              <w:rPr>
                <w:rFonts w:ascii="Arial" w:cs="Arial" w:eastAsia="Arial" w:hAnsi="Arial"/>
                <w:sz w:val="18"/>
                <w:szCs w:val="18"/>
                <w:color w:val="auto"/>
              </w:rPr>
              <w:t>USD 34,088</w:t>
            </w:r>
          </w:p>
        </w:tc>
        <w:tc>
          <w:tcPr>
            <w:tcW w:w="1320" w:type="dxa"/>
            <w:vAlign w:val="bottom"/>
          </w:tcPr>
          <w:p>
            <w:pPr>
              <w:jc w:val="right"/>
              <w:spacing w:after="0"/>
              <w:rPr>
                <w:sz w:val="20"/>
                <w:szCs w:val="20"/>
                <w:color w:val="auto"/>
              </w:rPr>
            </w:pPr>
            <w:r>
              <w:rPr>
                <w:rFonts w:ascii="Arial" w:cs="Arial" w:eastAsia="Arial" w:hAnsi="Arial"/>
                <w:sz w:val="18"/>
                <w:szCs w:val="18"/>
                <w:color w:val="auto"/>
              </w:rPr>
              <w:t>34,088</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06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600" w:type="dxa"/>
            <w:vAlign w:val="bottom"/>
          </w:tcPr>
          <w:p>
            <w:pPr>
              <w:spacing w:after="0"/>
              <w:rPr>
                <w:sz w:val="2"/>
                <w:szCs w:val="2"/>
                <w:color w:val="auto"/>
              </w:rPr>
            </w:pPr>
          </w:p>
        </w:tc>
        <w:tc>
          <w:tcPr>
            <w:tcW w:w="2300" w:type="dxa"/>
            <w:vAlign w:val="bottom"/>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220" w:type="dxa"/>
            <w:vAlign w:val="bottom"/>
            <w:gridSpan w:val="3"/>
          </w:tcPr>
          <w:p>
            <w:pPr>
              <w:ind w:left="20"/>
              <w:spacing w:after="0"/>
              <w:rPr>
                <w:sz w:val="20"/>
                <w:szCs w:val="20"/>
                <w:color w:val="auto"/>
              </w:rPr>
            </w:pPr>
            <w:r>
              <w:rPr>
                <w:rFonts w:ascii="Arial" w:cs="Arial" w:eastAsia="Arial" w:hAnsi="Arial"/>
                <w:sz w:val="18"/>
                <w:szCs w:val="18"/>
                <w:b w:val="1"/>
                <w:bCs w:val="1"/>
                <w:color w:val="auto"/>
              </w:rPr>
              <w:t>Euronet Worldwide, Inc. Total</w:t>
            </w:r>
          </w:p>
        </w:tc>
        <w:tc>
          <w:tcPr>
            <w:tcW w:w="138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2300" w:type="dxa"/>
            <w:vAlign w:val="bottom"/>
          </w:tcPr>
          <w:p>
            <w:pPr>
              <w:spacing w:after="0"/>
              <w:rPr>
                <w:sz w:val="20"/>
                <w:szCs w:val="20"/>
                <w:color w:val="auto"/>
              </w:rPr>
            </w:pPr>
          </w:p>
        </w:tc>
        <w:tc>
          <w:tcPr>
            <w:tcW w:w="1580" w:type="dxa"/>
            <w:vAlign w:val="bottom"/>
          </w:tcPr>
          <w:p>
            <w:pPr>
              <w:jc w:val="right"/>
              <w:spacing w:after="0"/>
              <w:rPr>
                <w:sz w:val="20"/>
                <w:szCs w:val="20"/>
                <w:color w:val="auto"/>
              </w:rPr>
            </w:pPr>
            <w:r>
              <w:rPr>
                <w:rFonts w:ascii="Arial" w:cs="Arial" w:eastAsia="Arial" w:hAnsi="Arial"/>
                <w:sz w:val="18"/>
                <w:szCs w:val="18"/>
                <w:b w:val="1"/>
                <w:bCs w:val="1"/>
                <w:color w:val="auto"/>
              </w:rPr>
              <w:t>USD 34,088</w:t>
            </w:r>
          </w:p>
        </w:tc>
        <w:tc>
          <w:tcPr>
            <w:tcW w:w="1320" w:type="dxa"/>
            <w:vAlign w:val="bottom"/>
          </w:tcPr>
          <w:p>
            <w:pPr>
              <w:jc w:val="right"/>
              <w:spacing w:after="0"/>
              <w:rPr>
                <w:sz w:val="20"/>
                <w:szCs w:val="20"/>
                <w:color w:val="auto"/>
              </w:rPr>
            </w:pPr>
            <w:r>
              <w:rPr>
                <w:rFonts w:ascii="Arial" w:cs="Arial" w:eastAsia="Arial" w:hAnsi="Arial"/>
                <w:sz w:val="18"/>
                <w:szCs w:val="18"/>
                <w:b w:val="1"/>
                <w:bCs w:val="1"/>
                <w:color w:val="auto"/>
              </w:rPr>
              <w:t>34,088</w:t>
            </w:r>
          </w:p>
        </w:tc>
        <w:tc>
          <w:tcPr>
            <w:tcW w:w="0" w:type="dxa"/>
            <w:vAlign w:val="bottom"/>
          </w:tcPr>
          <w:p>
            <w:pPr>
              <w:spacing w:after="0"/>
              <w:rPr>
                <w:sz w:val="1"/>
                <w:szCs w:val="1"/>
                <w:color w:val="auto"/>
              </w:rPr>
            </w:pPr>
          </w:p>
        </w:tc>
      </w:tr>
      <w:tr>
        <w:trPr>
          <w:trHeight w:val="526"/>
        </w:trPr>
        <w:tc>
          <w:tcPr>
            <w:tcW w:w="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1380" w:type="dxa"/>
            <w:vAlign w:val="bottom"/>
          </w:tcPr>
          <w:p>
            <w:pPr>
              <w:ind w:left="120"/>
              <w:spacing w:after="0"/>
              <w:rPr>
                <w:sz w:val="20"/>
                <w:szCs w:val="20"/>
                <w:color w:val="auto"/>
              </w:rPr>
            </w:pPr>
            <w:r>
              <w:rPr>
                <w:rFonts w:ascii="Arial" w:cs="Arial" w:eastAsia="Arial" w:hAnsi="Arial"/>
                <w:sz w:val="18"/>
                <w:szCs w:val="18"/>
                <w:color w:val="auto"/>
              </w:rPr>
              <w:t>Ikon Financial</w:t>
            </w:r>
          </w:p>
        </w:tc>
        <w:tc>
          <w:tcPr>
            <w:tcW w:w="160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3220" w:type="dxa"/>
            <w:vAlign w:val="bottom"/>
            <w:gridSpan w:val="3"/>
          </w:tcPr>
          <w:p>
            <w:pPr>
              <w:ind w:left="20"/>
              <w:spacing w:after="0"/>
              <w:rPr>
                <w:sz w:val="20"/>
                <w:szCs w:val="20"/>
                <w:color w:val="auto"/>
              </w:rPr>
            </w:pPr>
            <w:r>
              <w:rPr>
                <w:rFonts w:ascii="Arial" w:cs="Arial" w:eastAsia="Arial" w:hAnsi="Arial"/>
                <w:sz w:val="18"/>
                <w:szCs w:val="18"/>
                <w:color w:val="auto"/>
              </w:rPr>
              <w:t>Payspot, Inc.</w:t>
            </w:r>
          </w:p>
        </w:tc>
        <w:tc>
          <w:tcPr>
            <w:tcW w:w="1380" w:type="dxa"/>
            <w:vAlign w:val="bottom"/>
          </w:tcPr>
          <w:p>
            <w:pPr>
              <w:ind w:left="120"/>
              <w:spacing w:after="0"/>
              <w:rPr>
                <w:sz w:val="20"/>
                <w:szCs w:val="20"/>
                <w:color w:val="auto"/>
              </w:rPr>
            </w:pPr>
            <w:r>
              <w:rPr>
                <w:rFonts w:ascii="Arial" w:cs="Arial" w:eastAsia="Arial" w:hAnsi="Arial"/>
                <w:sz w:val="18"/>
                <w:szCs w:val="18"/>
                <w:color w:val="auto"/>
              </w:rPr>
              <w:t>Services</w:t>
            </w:r>
          </w:p>
        </w:tc>
        <w:tc>
          <w:tcPr>
            <w:tcW w:w="1600" w:type="dxa"/>
            <w:vAlign w:val="bottom"/>
          </w:tcPr>
          <w:p>
            <w:pPr>
              <w:ind w:left="100"/>
              <w:spacing w:after="0"/>
              <w:rPr>
                <w:sz w:val="20"/>
                <w:szCs w:val="20"/>
                <w:color w:val="auto"/>
              </w:rPr>
            </w:pPr>
            <w:r>
              <w:rPr>
                <w:rFonts w:ascii="Arial" w:cs="Arial" w:eastAsia="Arial" w:hAnsi="Arial"/>
                <w:sz w:val="18"/>
                <w:szCs w:val="18"/>
                <w:color w:val="auto"/>
              </w:rPr>
              <w:t>Capital Lease</w:t>
            </w:r>
          </w:p>
        </w:tc>
        <w:tc>
          <w:tcPr>
            <w:tcW w:w="2300" w:type="dxa"/>
            <w:vAlign w:val="bottom"/>
          </w:tcPr>
          <w:p>
            <w:pPr>
              <w:ind w:left="200"/>
              <w:spacing w:after="0"/>
              <w:rPr>
                <w:sz w:val="20"/>
                <w:szCs w:val="20"/>
                <w:color w:val="auto"/>
              </w:rPr>
            </w:pPr>
            <w:r>
              <w:rPr>
                <w:rFonts w:ascii="Arial" w:cs="Arial" w:eastAsia="Arial" w:hAnsi="Arial"/>
                <w:sz w:val="18"/>
                <w:szCs w:val="18"/>
                <w:color w:val="auto"/>
              </w:rPr>
              <w:t>Copier</w:t>
            </w:r>
          </w:p>
        </w:tc>
        <w:tc>
          <w:tcPr>
            <w:tcW w:w="1580" w:type="dxa"/>
            <w:vAlign w:val="bottom"/>
          </w:tcPr>
          <w:p>
            <w:pPr>
              <w:jc w:val="right"/>
              <w:spacing w:after="0"/>
              <w:rPr>
                <w:sz w:val="20"/>
                <w:szCs w:val="20"/>
                <w:color w:val="auto"/>
              </w:rPr>
            </w:pPr>
            <w:r>
              <w:rPr>
                <w:rFonts w:ascii="Arial" w:cs="Arial" w:eastAsia="Arial" w:hAnsi="Arial"/>
                <w:sz w:val="18"/>
                <w:szCs w:val="18"/>
                <w:color w:val="auto"/>
              </w:rPr>
              <w:t>USD 36,220</w:t>
            </w:r>
          </w:p>
        </w:tc>
        <w:tc>
          <w:tcPr>
            <w:tcW w:w="1320" w:type="dxa"/>
            <w:vAlign w:val="bottom"/>
          </w:tcPr>
          <w:p>
            <w:pPr>
              <w:jc w:val="right"/>
              <w:spacing w:after="0"/>
              <w:rPr>
                <w:sz w:val="20"/>
                <w:szCs w:val="20"/>
                <w:color w:val="auto"/>
              </w:rPr>
            </w:pPr>
            <w:r>
              <w:rPr>
                <w:rFonts w:ascii="Arial" w:cs="Arial" w:eastAsia="Arial" w:hAnsi="Arial"/>
                <w:sz w:val="18"/>
                <w:szCs w:val="18"/>
                <w:color w:val="auto"/>
              </w:rPr>
              <w:t>36,220</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06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600" w:type="dxa"/>
            <w:vAlign w:val="bottom"/>
          </w:tcPr>
          <w:p>
            <w:pPr>
              <w:spacing w:after="0"/>
              <w:rPr>
                <w:sz w:val="2"/>
                <w:szCs w:val="2"/>
                <w:color w:val="auto"/>
              </w:rPr>
            </w:pPr>
          </w:p>
        </w:tc>
        <w:tc>
          <w:tcPr>
            <w:tcW w:w="2300" w:type="dxa"/>
            <w:vAlign w:val="bottom"/>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220" w:type="dxa"/>
            <w:vAlign w:val="bottom"/>
            <w:gridSpan w:val="3"/>
          </w:tcPr>
          <w:p>
            <w:pPr>
              <w:ind w:left="20"/>
              <w:spacing w:after="0"/>
              <w:rPr>
                <w:sz w:val="20"/>
                <w:szCs w:val="20"/>
                <w:color w:val="auto"/>
              </w:rPr>
            </w:pPr>
            <w:r>
              <w:rPr>
                <w:rFonts w:ascii="Arial" w:cs="Arial" w:eastAsia="Arial" w:hAnsi="Arial"/>
                <w:sz w:val="18"/>
                <w:szCs w:val="18"/>
                <w:b w:val="1"/>
                <w:bCs w:val="1"/>
                <w:color w:val="auto"/>
              </w:rPr>
              <w:t>Payspot, Inc. Total</w:t>
            </w:r>
          </w:p>
        </w:tc>
        <w:tc>
          <w:tcPr>
            <w:tcW w:w="138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2300" w:type="dxa"/>
            <w:vAlign w:val="bottom"/>
          </w:tcPr>
          <w:p>
            <w:pPr>
              <w:spacing w:after="0"/>
              <w:rPr>
                <w:sz w:val="20"/>
                <w:szCs w:val="20"/>
                <w:color w:val="auto"/>
              </w:rPr>
            </w:pPr>
          </w:p>
        </w:tc>
        <w:tc>
          <w:tcPr>
            <w:tcW w:w="1580" w:type="dxa"/>
            <w:vAlign w:val="bottom"/>
          </w:tcPr>
          <w:p>
            <w:pPr>
              <w:jc w:val="right"/>
              <w:spacing w:after="0"/>
              <w:rPr>
                <w:sz w:val="20"/>
                <w:szCs w:val="20"/>
                <w:color w:val="auto"/>
              </w:rPr>
            </w:pPr>
            <w:r>
              <w:rPr>
                <w:rFonts w:ascii="Arial" w:cs="Arial" w:eastAsia="Arial" w:hAnsi="Arial"/>
                <w:sz w:val="18"/>
                <w:szCs w:val="18"/>
                <w:b w:val="1"/>
                <w:bCs w:val="1"/>
                <w:color w:val="auto"/>
              </w:rPr>
              <w:t>USD 36,220</w:t>
            </w:r>
          </w:p>
        </w:tc>
        <w:tc>
          <w:tcPr>
            <w:tcW w:w="1320" w:type="dxa"/>
            <w:vAlign w:val="bottom"/>
          </w:tcPr>
          <w:p>
            <w:pPr>
              <w:jc w:val="right"/>
              <w:spacing w:after="0"/>
              <w:rPr>
                <w:sz w:val="20"/>
                <w:szCs w:val="20"/>
                <w:color w:val="auto"/>
              </w:rPr>
            </w:pPr>
            <w:r>
              <w:rPr>
                <w:rFonts w:ascii="Arial" w:cs="Arial" w:eastAsia="Arial" w:hAnsi="Arial"/>
                <w:sz w:val="18"/>
                <w:szCs w:val="18"/>
                <w:b w:val="1"/>
                <w:bCs w:val="1"/>
                <w:color w:val="auto"/>
              </w:rPr>
              <w:t>36,220</w:t>
            </w:r>
          </w:p>
        </w:tc>
        <w:tc>
          <w:tcPr>
            <w:tcW w:w="0" w:type="dxa"/>
            <w:vAlign w:val="bottom"/>
          </w:tcPr>
          <w:p>
            <w:pPr>
              <w:spacing w:after="0"/>
              <w:rPr>
                <w:sz w:val="1"/>
                <w:szCs w:val="1"/>
                <w:color w:val="auto"/>
              </w:rPr>
            </w:pPr>
          </w:p>
        </w:tc>
      </w:tr>
      <w:tr>
        <w:trPr>
          <w:trHeight w:val="526"/>
        </w:trPr>
        <w:tc>
          <w:tcPr>
            <w:tcW w:w="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1380" w:type="dxa"/>
            <w:vAlign w:val="bottom"/>
          </w:tcPr>
          <w:p>
            <w:pPr>
              <w:ind w:left="120"/>
              <w:spacing w:after="0"/>
              <w:rPr>
                <w:sz w:val="20"/>
                <w:szCs w:val="20"/>
                <w:color w:val="auto"/>
              </w:rPr>
            </w:pPr>
            <w:r>
              <w:rPr>
                <w:rFonts w:ascii="Arial" w:cs="Arial" w:eastAsia="Arial" w:hAnsi="Arial"/>
                <w:sz w:val="18"/>
                <w:szCs w:val="18"/>
                <w:color w:val="auto"/>
                <w:w w:val="97"/>
              </w:rPr>
              <w:t>Enterprise Fleet</w:t>
            </w:r>
          </w:p>
        </w:tc>
        <w:tc>
          <w:tcPr>
            <w:tcW w:w="160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3220" w:type="dxa"/>
            <w:vAlign w:val="bottom"/>
            <w:gridSpan w:val="3"/>
          </w:tcPr>
          <w:p>
            <w:pPr>
              <w:ind w:left="20"/>
              <w:spacing w:after="0"/>
              <w:rPr>
                <w:sz w:val="20"/>
                <w:szCs w:val="20"/>
                <w:color w:val="auto"/>
              </w:rPr>
            </w:pPr>
            <w:r>
              <w:rPr>
                <w:rFonts w:ascii="Arial" w:cs="Arial" w:eastAsia="Arial" w:hAnsi="Arial"/>
                <w:sz w:val="18"/>
                <w:szCs w:val="18"/>
                <w:color w:val="auto"/>
              </w:rPr>
              <w:t>Continental Exchange Solutions, Inc.</w:t>
            </w:r>
          </w:p>
        </w:tc>
        <w:tc>
          <w:tcPr>
            <w:tcW w:w="1380" w:type="dxa"/>
            <w:vAlign w:val="bottom"/>
          </w:tcPr>
          <w:p>
            <w:pPr>
              <w:ind w:left="120"/>
              <w:spacing w:after="0"/>
              <w:rPr>
                <w:sz w:val="20"/>
                <w:szCs w:val="20"/>
                <w:color w:val="auto"/>
              </w:rPr>
            </w:pPr>
            <w:r>
              <w:rPr>
                <w:rFonts w:ascii="Arial" w:cs="Arial" w:eastAsia="Arial" w:hAnsi="Arial"/>
                <w:sz w:val="18"/>
                <w:szCs w:val="18"/>
                <w:color w:val="auto"/>
              </w:rPr>
              <w:t>Services</w:t>
            </w:r>
          </w:p>
        </w:tc>
        <w:tc>
          <w:tcPr>
            <w:tcW w:w="1600" w:type="dxa"/>
            <w:vAlign w:val="bottom"/>
          </w:tcPr>
          <w:p>
            <w:pPr>
              <w:ind w:left="100"/>
              <w:spacing w:after="0"/>
              <w:rPr>
                <w:sz w:val="20"/>
                <w:szCs w:val="20"/>
                <w:color w:val="auto"/>
              </w:rPr>
            </w:pPr>
            <w:r>
              <w:rPr>
                <w:rFonts w:ascii="Arial" w:cs="Arial" w:eastAsia="Arial" w:hAnsi="Arial"/>
                <w:sz w:val="18"/>
                <w:szCs w:val="18"/>
                <w:color w:val="auto"/>
              </w:rPr>
              <w:t>Capital Lease</w:t>
            </w:r>
          </w:p>
        </w:tc>
        <w:tc>
          <w:tcPr>
            <w:tcW w:w="2300" w:type="dxa"/>
            <w:vAlign w:val="bottom"/>
          </w:tcPr>
          <w:p>
            <w:pPr>
              <w:ind w:left="200"/>
              <w:spacing w:after="0"/>
              <w:rPr>
                <w:sz w:val="20"/>
                <w:szCs w:val="20"/>
                <w:color w:val="auto"/>
              </w:rPr>
            </w:pPr>
            <w:r>
              <w:rPr>
                <w:rFonts w:ascii="Arial" w:cs="Arial" w:eastAsia="Arial" w:hAnsi="Arial"/>
                <w:sz w:val="18"/>
                <w:szCs w:val="18"/>
                <w:color w:val="auto"/>
              </w:rPr>
              <w:t>Cars</w:t>
            </w:r>
          </w:p>
        </w:tc>
        <w:tc>
          <w:tcPr>
            <w:tcW w:w="1580" w:type="dxa"/>
            <w:vAlign w:val="bottom"/>
          </w:tcPr>
          <w:p>
            <w:pPr>
              <w:jc w:val="right"/>
              <w:spacing w:after="0"/>
              <w:rPr>
                <w:sz w:val="20"/>
                <w:szCs w:val="20"/>
                <w:color w:val="auto"/>
              </w:rPr>
            </w:pPr>
            <w:r>
              <w:rPr>
                <w:rFonts w:ascii="Arial" w:cs="Arial" w:eastAsia="Arial" w:hAnsi="Arial"/>
                <w:sz w:val="18"/>
                <w:szCs w:val="18"/>
                <w:color w:val="auto"/>
              </w:rPr>
              <w:t>USD 438,214</w:t>
            </w:r>
          </w:p>
        </w:tc>
        <w:tc>
          <w:tcPr>
            <w:tcW w:w="1320" w:type="dxa"/>
            <w:vAlign w:val="bottom"/>
          </w:tcPr>
          <w:p>
            <w:pPr>
              <w:jc w:val="right"/>
              <w:spacing w:after="0"/>
              <w:rPr>
                <w:sz w:val="20"/>
                <w:szCs w:val="20"/>
                <w:color w:val="auto"/>
              </w:rPr>
            </w:pPr>
            <w:r>
              <w:rPr>
                <w:rFonts w:ascii="Arial" w:cs="Arial" w:eastAsia="Arial" w:hAnsi="Arial"/>
                <w:sz w:val="18"/>
                <w:szCs w:val="18"/>
                <w:color w:val="auto"/>
              </w:rPr>
              <w:t>438,214</w:t>
            </w:r>
          </w:p>
        </w:tc>
        <w:tc>
          <w:tcPr>
            <w:tcW w:w="0" w:type="dxa"/>
            <w:vAlign w:val="bottom"/>
          </w:tcPr>
          <w:p>
            <w:pPr>
              <w:spacing w:after="0"/>
              <w:rPr>
                <w:sz w:val="1"/>
                <w:szCs w:val="1"/>
                <w:color w:val="auto"/>
              </w:rPr>
            </w:pPr>
          </w:p>
        </w:tc>
      </w:tr>
      <w:tr>
        <w:trPr>
          <w:trHeight w:val="27"/>
        </w:trPr>
        <w:tc>
          <w:tcPr>
            <w:tcW w:w="3220" w:type="dxa"/>
            <w:vAlign w:val="bottom"/>
            <w:gridSpan w:val="3"/>
            <w:vMerge w:val="restart"/>
          </w:tcPr>
          <w:p>
            <w:pPr>
              <w:ind w:left="20"/>
              <w:spacing w:after="0"/>
              <w:rPr>
                <w:sz w:val="20"/>
                <w:szCs w:val="20"/>
                <w:color w:val="auto"/>
              </w:rPr>
            </w:pPr>
            <w:r>
              <w:rPr>
                <w:rFonts w:ascii="Arial" w:cs="Arial" w:eastAsia="Arial" w:hAnsi="Arial"/>
                <w:sz w:val="18"/>
                <w:szCs w:val="18"/>
                <w:b w:val="1"/>
                <w:bCs w:val="1"/>
                <w:color w:val="auto"/>
              </w:rPr>
              <w:t>Continental Exchange Solutions, Inc.</w:t>
            </w:r>
          </w:p>
        </w:tc>
        <w:tc>
          <w:tcPr>
            <w:tcW w:w="1380" w:type="dxa"/>
            <w:vAlign w:val="bottom"/>
          </w:tcPr>
          <w:p>
            <w:pPr>
              <w:spacing w:after="0"/>
              <w:rPr>
                <w:sz w:val="2"/>
                <w:szCs w:val="2"/>
                <w:color w:val="auto"/>
              </w:rPr>
            </w:pPr>
          </w:p>
        </w:tc>
        <w:tc>
          <w:tcPr>
            <w:tcW w:w="1600" w:type="dxa"/>
            <w:vAlign w:val="bottom"/>
          </w:tcPr>
          <w:p>
            <w:pPr>
              <w:spacing w:after="0"/>
              <w:rPr>
                <w:sz w:val="2"/>
                <w:szCs w:val="2"/>
                <w:color w:val="auto"/>
              </w:rPr>
            </w:pPr>
          </w:p>
        </w:tc>
        <w:tc>
          <w:tcPr>
            <w:tcW w:w="2300" w:type="dxa"/>
            <w:vAlign w:val="bottom"/>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5"/>
        </w:trPr>
        <w:tc>
          <w:tcPr>
            <w:tcW w:w="3220" w:type="dxa"/>
            <w:vAlign w:val="bottom"/>
            <w:gridSpan w:val="3"/>
            <w:vMerge w:val="continue"/>
          </w:tcPr>
          <w:p>
            <w:pPr>
              <w:spacing w:after="0"/>
              <w:rPr>
                <w:sz w:val="17"/>
                <w:szCs w:val="17"/>
                <w:color w:val="auto"/>
              </w:rPr>
            </w:pPr>
          </w:p>
        </w:tc>
        <w:tc>
          <w:tcPr>
            <w:tcW w:w="138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230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220" w:type="dxa"/>
            <w:vAlign w:val="bottom"/>
            <w:gridSpan w:val="3"/>
          </w:tcPr>
          <w:p>
            <w:pPr>
              <w:ind w:left="20"/>
              <w:spacing w:after="0"/>
              <w:rPr>
                <w:sz w:val="20"/>
                <w:szCs w:val="20"/>
                <w:color w:val="auto"/>
              </w:rPr>
            </w:pPr>
            <w:r>
              <w:rPr>
                <w:rFonts w:ascii="Arial" w:cs="Arial" w:eastAsia="Arial" w:hAnsi="Arial"/>
                <w:sz w:val="18"/>
                <w:szCs w:val="18"/>
                <w:b w:val="1"/>
                <w:bCs w:val="1"/>
                <w:color w:val="auto"/>
              </w:rPr>
              <w:t>Total</w:t>
            </w:r>
          </w:p>
        </w:tc>
        <w:tc>
          <w:tcPr>
            <w:tcW w:w="138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2300" w:type="dxa"/>
            <w:vAlign w:val="bottom"/>
          </w:tcPr>
          <w:p>
            <w:pPr>
              <w:spacing w:after="0"/>
              <w:rPr>
                <w:sz w:val="20"/>
                <w:szCs w:val="20"/>
                <w:color w:val="auto"/>
              </w:rPr>
            </w:pPr>
          </w:p>
        </w:tc>
        <w:tc>
          <w:tcPr>
            <w:tcW w:w="1580" w:type="dxa"/>
            <w:vAlign w:val="bottom"/>
          </w:tcPr>
          <w:p>
            <w:pPr>
              <w:jc w:val="right"/>
              <w:spacing w:after="0"/>
              <w:rPr>
                <w:sz w:val="20"/>
                <w:szCs w:val="20"/>
                <w:color w:val="auto"/>
              </w:rPr>
            </w:pPr>
            <w:r>
              <w:rPr>
                <w:rFonts w:ascii="Arial" w:cs="Arial" w:eastAsia="Arial" w:hAnsi="Arial"/>
                <w:sz w:val="18"/>
                <w:szCs w:val="18"/>
                <w:b w:val="1"/>
                <w:bCs w:val="1"/>
                <w:color w:val="auto"/>
              </w:rPr>
              <w:t>USD 438,214</w:t>
            </w:r>
          </w:p>
        </w:tc>
        <w:tc>
          <w:tcPr>
            <w:tcW w:w="1320" w:type="dxa"/>
            <w:vAlign w:val="bottom"/>
          </w:tcPr>
          <w:p>
            <w:pPr>
              <w:jc w:val="right"/>
              <w:spacing w:after="0"/>
              <w:rPr>
                <w:sz w:val="20"/>
                <w:szCs w:val="20"/>
                <w:color w:val="auto"/>
              </w:rPr>
            </w:pPr>
            <w:r>
              <w:rPr>
                <w:rFonts w:ascii="Arial" w:cs="Arial" w:eastAsia="Arial" w:hAnsi="Arial"/>
                <w:sz w:val="18"/>
                <w:szCs w:val="18"/>
                <w:b w:val="1"/>
                <w:bCs w:val="1"/>
                <w:color w:val="auto"/>
              </w:rPr>
              <w:t>438,214</w:t>
            </w:r>
          </w:p>
        </w:tc>
        <w:tc>
          <w:tcPr>
            <w:tcW w:w="0" w:type="dxa"/>
            <w:vAlign w:val="bottom"/>
          </w:tcPr>
          <w:p>
            <w:pPr>
              <w:spacing w:after="0"/>
              <w:rPr>
                <w:sz w:val="1"/>
                <w:szCs w:val="1"/>
                <w:color w:val="auto"/>
              </w:rPr>
            </w:pPr>
          </w:p>
        </w:tc>
      </w:tr>
      <w:tr>
        <w:trPr>
          <w:trHeight w:val="554"/>
        </w:trPr>
        <w:tc>
          <w:tcPr>
            <w:tcW w:w="3220" w:type="dxa"/>
            <w:vAlign w:val="bottom"/>
            <w:gridSpan w:val="3"/>
          </w:tcPr>
          <w:p>
            <w:pPr>
              <w:ind w:left="20"/>
              <w:spacing w:after="0"/>
              <w:rPr>
                <w:sz w:val="20"/>
                <w:szCs w:val="20"/>
                <w:color w:val="auto"/>
              </w:rPr>
            </w:pPr>
            <w:r>
              <w:rPr>
                <w:rFonts w:ascii="Arial" w:cs="Arial" w:eastAsia="Arial" w:hAnsi="Arial"/>
                <w:sz w:val="18"/>
                <w:szCs w:val="18"/>
                <w:color w:val="auto"/>
              </w:rPr>
              <w:t>Euronet Services d.o.o.</w:t>
            </w:r>
          </w:p>
        </w:tc>
        <w:tc>
          <w:tcPr>
            <w:tcW w:w="1380" w:type="dxa"/>
            <w:vAlign w:val="bottom"/>
          </w:tcPr>
          <w:p>
            <w:pPr>
              <w:ind w:left="120"/>
              <w:spacing w:after="0"/>
              <w:rPr>
                <w:sz w:val="20"/>
                <w:szCs w:val="20"/>
                <w:color w:val="auto"/>
              </w:rPr>
            </w:pPr>
            <w:r>
              <w:rPr>
                <w:rFonts w:ascii="Arial" w:cs="Arial" w:eastAsia="Arial" w:hAnsi="Arial"/>
                <w:sz w:val="18"/>
                <w:szCs w:val="18"/>
                <w:color w:val="auto"/>
              </w:rPr>
              <w:t>S-Leasing</w:t>
            </w:r>
          </w:p>
        </w:tc>
        <w:tc>
          <w:tcPr>
            <w:tcW w:w="1600" w:type="dxa"/>
            <w:vAlign w:val="bottom"/>
          </w:tcPr>
          <w:p>
            <w:pPr>
              <w:ind w:left="100"/>
              <w:spacing w:after="0"/>
              <w:rPr>
                <w:sz w:val="20"/>
                <w:szCs w:val="20"/>
                <w:color w:val="auto"/>
              </w:rPr>
            </w:pPr>
            <w:r>
              <w:rPr>
                <w:rFonts w:ascii="Arial" w:cs="Arial" w:eastAsia="Arial" w:hAnsi="Arial"/>
                <w:sz w:val="18"/>
                <w:szCs w:val="18"/>
                <w:color w:val="auto"/>
              </w:rPr>
              <w:t>Capital Lease</w:t>
            </w:r>
          </w:p>
        </w:tc>
        <w:tc>
          <w:tcPr>
            <w:tcW w:w="2300" w:type="dxa"/>
            <w:vAlign w:val="bottom"/>
          </w:tcPr>
          <w:p>
            <w:pPr>
              <w:ind w:left="200"/>
              <w:spacing w:after="0"/>
              <w:rPr>
                <w:sz w:val="20"/>
                <w:szCs w:val="20"/>
                <w:color w:val="auto"/>
              </w:rPr>
            </w:pPr>
            <w:r>
              <w:rPr>
                <w:rFonts w:ascii="Arial" w:cs="Arial" w:eastAsia="Arial" w:hAnsi="Arial"/>
                <w:sz w:val="18"/>
                <w:szCs w:val="18"/>
                <w:color w:val="auto"/>
              </w:rPr>
              <w:t>Car</w:t>
            </w:r>
          </w:p>
        </w:tc>
        <w:tc>
          <w:tcPr>
            <w:tcW w:w="1580" w:type="dxa"/>
            <w:vAlign w:val="bottom"/>
          </w:tcPr>
          <w:p>
            <w:pPr>
              <w:jc w:val="right"/>
              <w:spacing w:after="0"/>
              <w:rPr>
                <w:sz w:val="20"/>
                <w:szCs w:val="20"/>
                <w:color w:val="auto"/>
              </w:rPr>
            </w:pPr>
            <w:r>
              <w:rPr>
                <w:rFonts w:ascii="Arial" w:cs="Arial" w:eastAsia="Arial" w:hAnsi="Arial"/>
                <w:sz w:val="18"/>
                <w:szCs w:val="18"/>
                <w:color w:val="auto"/>
              </w:rPr>
              <w:t>RSD 1,276,540</w:t>
            </w:r>
          </w:p>
        </w:tc>
        <w:tc>
          <w:tcPr>
            <w:tcW w:w="1320" w:type="dxa"/>
            <w:vAlign w:val="bottom"/>
          </w:tcPr>
          <w:p>
            <w:pPr>
              <w:jc w:val="right"/>
              <w:spacing w:after="0"/>
              <w:rPr>
                <w:sz w:val="20"/>
                <w:szCs w:val="20"/>
                <w:color w:val="auto"/>
              </w:rPr>
            </w:pPr>
            <w:r>
              <w:rPr>
                <w:rFonts w:ascii="Arial" w:cs="Arial" w:eastAsia="Arial" w:hAnsi="Arial"/>
                <w:sz w:val="18"/>
                <w:szCs w:val="18"/>
                <w:color w:val="auto"/>
              </w:rPr>
              <w:t>14,918</w:t>
            </w:r>
          </w:p>
        </w:tc>
        <w:tc>
          <w:tcPr>
            <w:tcW w:w="0" w:type="dxa"/>
            <w:vAlign w:val="bottom"/>
          </w:tcPr>
          <w:p>
            <w:pPr>
              <w:spacing w:after="0"/>
              <w:rPr>
                <w:sz w:val="1"/>
                <w:szCs w:val="1"/>
                <w:color w:val="auto"/>
              </w:rPr>
            </w:pPr>
          </w:p>
        </w:tc>
      </w:tr>
      <w:tr>
        <w:trPr>
          <w:trHeight w:val="284"/>
        </w:trPr>
        <w:tc>
          <w:tcPr>
            <w:tcW w:w="3220" w:type="dxa"/>
            <w:vAlign w:val="bottom"/>
            <w:gridSpan w:val="3"/>
          </w:tcPr>
          <w:p>
            <w:pPr>
              <w:ind w:left="20"/>
              <w:spacing w:after="0"/>
              <w:rPr>
                <w:sz w:val="20"/>
                <w:szCs w:val="20"/>
                <w:color w:val="auto"/>
              </w:rPr>
            </w:pPr>
            <w:r>
              <w:rPr>
                <w:rFonts w:ascii="Arial" w:cs="Arial" w:eastAsia="Arial" w:hAnsi="Arial"/>
                <w:sz w:val="18"/>
                <w:szCs w:val="18"/>
                <w:color w:val="auto"/>
              </w:rPr>
              <w:t>Euronet Services d.o.o.</w:t>
            </w:r>
          </w:p>
        </w:tc>
        <w:tc>
          <w:tcPr>
            <w:tcW w:w="1380" w:type="dxa"/>
            <w:vAlign w:val="bottom"/>
          </w:tcPr>
          <w:p>
            <w:pPr>
              <w:ind w:left="120"/>
              <w:spacing w:after="0"/>
              <w:rPr>
                <w:sz w:val="20"/>
                <w:szCs w:val="20"/>
                <w:color w:val="auto"/>
              </w:rPr>
            </w:pPr>
            <w:r>
              <w:rPr>
                <w:rFonts w:ascii="Arial" w:cs="Arial" w:eastAsia="Arial" w:hAnsi="Arial"/>
                <w:sz w:val="18"/>
                <w:szCs w:val="18"/>
                <w:color w:val="auto"/>
              </w:rPr>
              <w:t>S-Leasing</w:t>
            </w:r>
          </w:p>
        </w:tc>
        <w:tc>
          <w:tcPr>
            <w:tcW w:w="1600" w:type="dxa"/>
            <w:vAlign w:val="bottom"/>
          </w:tcPr>
          <w:p>
            <w:pPr>
              <w:ind w:left="100"/>
              <w:spacing w:after="0"/>
              <w:rPr>
                <w:sz w:val="20"/>
                <w:szCs w:val="20"/>
                <w:color w:val="auto"/>
              </w:rPr>
            </w:pPr>
            <w:r>
              <w:rPr>
                <w:rFonts w:ascii="Arial" w:cs="Arial" w:eastAsia="Arial" w:hAnsi="Arial"/>
                <w:sz w:val="18"/>
                <w:szCs w:val="18"/>
                <w:color w:val="auto"/>
              </w:rPr>
              <w:t>Capital Lease</w:t>
            </w:r>
          </w:p>
        </w:tc>
        <w:tc>
          <w:tcPr>
            <w:tcW w:w="2300" w:type="dxa"/>
            <w:vAlign w:val="bottom"/>
          </w:tcPr>
          <w:p>
            <w:pPr>
              <w:ind w:left="200"/>
              <w:spacing w:after="0"/>
              <w:rPr>
                <w:sz w:val="20"/>
                <w:szCs w:val="20"/>
                <w:color w:val="auto"/>
              </w:rPr>
            </w:pPr>
            <w:r>
              <w:rPr>
                <w:rFonts w:ascii="Arial" w:cs="Arial" w:eastAsia="Arial" w:hAnsi="Arial"/>
                <w:sz w:val="18"/>
                <w:szCs w:val="18"/>
                <w:color w:val="auto"/>
              </w:rPr>
              <w:t>Car</w:t>
            </w:r>
          </w:p>
        </w:tc>
        <w:tc>
          <w:tcPr>
            <w:tcW w:w="1580" w:type="dxa"/>
            <w:vAlign w:val="bottom"/>
          </w:tcPr>
          <w:p>
            <w:pPr>
              <w:jc w:val="right"/>
              <w:spacing w:after="0"/>
              <w:rPr>
                <w:sz w:val="20"/>
                <w:szCs w:val="20"/>
                <w:color w:val="auto"/>
              </w:rPr>
            </w:pPr>
            <w:r>
              <w:rPr>
                <w:rFonts w:ascii="Arial" w:cs="Arial" w:eastAsia="Arial" w:hAnsi="Arial"/>
                <w:sz w:val="18"/>
                <w:szCs w:val="18"/>
                <w:color w:val="auto"/>
              </w:rPr>
              <w:t>RSD 2,270,761</w:t>
            </w:r>
          </w:p>
        </w:tc>
        <w:tc>
          <w:tcPr>
            <w:tcW w:w="1320" w:type="dxa"/>
            <w:vAlign w:val="bottom"/>
          </w:tcPr>
          <w:p>
            <w:pPr>
              <w:jc w:val="right"/>
              <w:spacing w:after="0"/>
              <w:rPr>
                <w:sz w:val="20"/>
                <w:szCs w:val="20"/>
                <w:color w:val="auto"/>
              </w:rPr>
            </w:pPr>
            <w:r>
              <w:rPr>
                <w:rFonts w:ascii="Arial" w:cs="Arial" w:eastAsia="Arial" w:hAnsi="Arial"/>
                <w:sz w:val="18"/>
                <w:szCs w:val="18"/>
                <w:color w:val="auto"/>
              </w:rPr>
              <w:t>26,536</w:t>
            </w:r>
          </w:p>
        </w:tc>
        <w:tc>
          <w:tcPr>
            <w:tcW w:w="0" w:type="dxa"/>
            <w:vAlign w:val="bottom"/>
          </w:tcPr>
          <w:p>
            <w:pPr>
              <w:spacing w:after="0"/>
              <w:rPr>
                <w:sz w:val="1"/>
                <w:szCs w:val="1"/>
                <w:color w:val="auto"/>
              </w:rPr>
            </w:pPr>
          </w:p>
        </w:tc>
      </w:tr>
      <w:tr>
        <w:trPr>
          <w:trHeight w:val="284"/>
        </w:trPr>
        <w:tc>
          <w:tcPr>
            <w:tcW w:w="3220" w:type="dxa"/>
            <w:vAlign w:val="bottom"/>
            <w:gridSpan w:val="3"/>
          </w:tcPr>
          <w:p>
            <w:pPr>
              <w:ind w:left="20"/>
              <w:spacing w:after="0"/>
              <w:rPr>
                <w:sz w:val="20"/>
                <w:szCs w:val="20"/>
                <w:color w:val="auto"/>
              </w:rPr>
            </w:pPr>
            <w:r>
              <w:rPr>
                <w:rFonts w:ascii="Arial" w:cs="Arial" w:eastAsia="Arial" w:hAnsi="Arial"/>
                <w:sz w:val="18"/>
                <w:szCs w:val="18"/>
                <w:color w:val="auto"/>
              </w:rPr>
              <w:t>Euronet Services d.o.o.</w:t>
            </w:r>
          </w:p>
        </w:tc>
        <w:tc>
          <w:tcPr>
            <w:tcW w:w="1380" w:type="dxa"/>
            <w:vAlign w:val="bottom"/>
          </w:tcPr>
          <w:p>
            <w:pPr>
              <w:ind w:left="120"/>
              <w:spacing w:after="0"/>
              <w:rPr>
                <w:sz w:val="20"/>
                <w:szCs w:val="20"/>
                <w:color w:val="auto"/>
              </w:rPr>
            </w:pPr>
            <w:r>
              <w:rPr>
                <w:rFonts w:ascii="Arial" w:cs="Arial" w:eastAsia="Arial" w:hAnsi="Arial"/>
                <w:sz w:val="18"/>
                <w:szCs w:val="18"/>
                <w:color w:val="auto"/>
              </w:rPr>
              <w:t>S-Leasing</w:t>
            </w:r>
          </w:p>
        </w:tc>
        <w:tc>
          <w:tcPr>
            <w:tcW w:w="1600" w:type="dxa"/>
            <w:vAlign w:val="bottom"/>
          </w:tcPr>
          <w:p>
            <w:pPr>
              <w:ind w:left="100"/>
              <w:spacing w:after="0"/>
              <w:rPr>
                <w:sz w:val="20"/>
                <w:szCs w:val="20"/>
                <w:color w:val="auto"/>
              </w:rPr>
            </w:pPr>
            <w:r>
              <w:rPr>
                <w:rFonts w:ascii="Arial" w:cs="Arial" w:eastAsia="Arial" w:hAnsi="Arial"/>
                <w:sz w:val="18"/>
                <w:szCs w:val="18"/>
                <w:color w:val="auto"/>
              </w:rPr>
              <w:t>Capital Lease</w:t>
            </w:r>
          </w:p>
        </w:tc>
        <w:tc>
          <w:tcPr>
            <w:tcW w:w="2300" w:type="dxa"/>
            <w:vAlign w:val="bottom"/>
          </w:tcPr>
          <w:p>
            <w:pPr>
              <w:ind w:left="200"/>
              <w:spacing w:after="0"/>
              <w:rPr>
                <w:sz w:val="20"/>
                <w:szCs w:val="20"/>
                <w:color w:val="auto"/>
              </w:rPr>
            </w:pPr>
            <w:r>
              <w:rPr>
                <w:rFonts w:ascii="Arial" w:cs="Arial" w:eastAsia="Arial" w:hAnsi="Arial"/>
                <w:sz w:val="18"/>
                <w:szCs w:val="18"/>
                <w:color w:val="auto"/>
              </w:rPr>
              <w:t>Car</w:t>
            </w:r>
          </w:p>
        </w:tc>
        <w:tc>
          <w:tcPr>
            <w:tcW w:w="1580" w:type="dxa"/>
            <w:vAlign w:val="bottom"/>
          </w:tcPr>
          <w:p>
            <w:pPr>
              <w:jc w:val="right"/>
              <w:spacing w:after="0"/>
              <w:rPr>
                <w:sz w:val="20"/>
                <w:szCs w:val="20"/>
                <w:color w:val="auto"/>
              </w:rPr>
            </w:pPr>
            <w:r>
              <w:rPr>
                <w:rFonts w:ascii="Arial" w:cs="Arial" w:eastAsia="Arial" w:hAnsi="Arial"/>
                <w:sz w:val="18"/>
                <w:szCs w:val="18"/>
                <w:color w:val="auto"/>
              </w:rPr>
              <w:t>RSD 462,543</w:t>
            </w:r>
          </w:p>
        </w:tc>
        <w:tc>
          <w:tcPr>
            <w:tcW w:w="1320" w:type="dxa"/>
            <w:vAlign w:val="bottom"/>
          </w:tcPr>
          <w:p>
            <w:pPr>
              <w:jc w:val="right"/>
              <w:spacing w:after="0"/>
              <w:rPr>
                <w:sz w:val="20"/>
                <w:szCs w:val="20"/>
                <w:color w:val="auto"/>
              </w:rPr>
            </w:pPr>
            <w:r>
              <w:rPr>
                <w:rFonts w:ascii="Arial" w:cs="Arial" w:eastAsia="Arial" w:hAnsi="Arial"/>
                <w:sz w:val="18"/>
                <w:szCs w:val="18"/>
                <w:color w:val="auto"/>
              </w:rPr>
              <w:t>5,405</w:t>
            </w:r>
          </w:p>
        </w:tc>
        <w:tc>
          <w:tcPr>
            <w:tcW w:w="0" w:type="dxa"/>
            <w:vAlign w:val="bottom"/>
          </w:tcPr>
          <w:p>
            <w:pPr>
              <w:spacing w:after="0"/>
              <w:rPr>
                <w:sz w:val="1"/>
                <w:szCs w:val="1"/>
                <w:color w:val="auto"/>
              </w:rPr>
            </w:pPr>
          </w:p>
        </w:tc>
      </w:tr>
      <w:tr>
        <w:trPr>
          <w:trHeight w:val="284"/>
        </w:trPr>
        <w:tc>
          <w:tcPr>
            <w:tcW w:w="3220" w:type="dxa"/>
            <w:vAlign w:val="bottom"/>
            <w:gridSpan w:val="3"/>
          </w:tcPr>
          <w:p>
            <w:pPr>
              <w:ind w:left="20"/>
              <w:spacing w:after="0"/>
              <w:rPr>
                <w:sz w:val="20"/>
                <w:szCs w:val="20"/>
                <w:color w:val="auto"/>
              </w:rPr>
            </w:pPr>
            <w:r>
              <w:rPr>
                <w:rFonts w:ascii="Arial" w:cs="Arial" w:eastAsia="Arial" w:hAnsi="Arial"/>
                <w:sz w:val="18"/>
                <w:szCs w:val="18"/>
                <w:color w:val="auto"/>
              </w:rPr>
              <w:t>Euronet Services d.o.o.</w:t>
            </w:r>
          </w:p>
        </w:tc>
        <w:tc>
          <w:tcPr>
            <w:tcW w:w="1380" w:type="dxa"/>
            <w:vAlign w:val="bottom"/>
          </w:tcPr>
          <w:p>
            <w:pPr>
              <w:ind w:left="120"/>
              <w:spacing w:after="0"/>
              <w:rPr>
                <w:sz w:val="20"/>
                <w:szCs w:val="20"/>
                <w:color w:val="auto"/>
              </w:rPr>
            </w:pPr>
            <w:r>
              <w:rPr>
                <w:rFonts w:ascii="Arial" w:cs="Arial" w:eastAsia="Arial" w:hAnsi="Arial"/>
                <w:sz w:val="18"/>
                <w:szCs w:val="18"/>
                <w:color w:val="auto"/>
              </w:rPr>
              <w:t>S-Leasing</w:t>
            </w:r>
          </w:p>
        </w:tc>
        <w:tc>
          <w:tcPr>
            <w:tcW w:w="1600" w:type="dxa"/>
            <w:vAlign w:val="bottom"/>
          </w:tcPr>
          <w:p>
            <w:pPr>
              <w:ind w:left="100"/>
              <w:spacing w:after="0"/>
              <w:rPr>
                <w:sz w:val="20"/>
                <w:szCs w:val="20"/>
                <w:color w:val="auto"/>
              </w:rPr>
            </w:pPr>
            <w:r>
              <w:rPr>
                <w:rFonts w:ascii="Arial" w:cs="Arial" w:eastAsia="Arial" w:hAnsi="Arial"/>
                <w:sz w:val="18"/>
                <w:szCs w:val="18"/>
                <w:color w:val="auto"/>
              </w:rPr>
              <w:t>Capital Lease</w:t>
            </w:r>
          </w:p>
        </w:tc>
        <w:tc>
          <w:tcPr>
            <w:tcW w:w="2300" w:type="dxa"/>
            <w:vAlign w:val="bottom"/>
          </w:tcPr>
          <w:p>
            <w:pPr>
              <w:ind w:left="200"/>
              <w:spacing w:after="0"/>
              <w:rPr>
                <w:sz w:val="20"/>
                <w:szCs w:val="20"/>
                <w:color w:val="auto"/>
              </w:rPr>
            </w:pPr>
            <w:r>
              <w:rPr>
                <w:rFonts w:ascii="Arial" w:cs="Arial" w:eastAsia="Arial" w:hAnsi="Arial"/>
                <w:sz w:val="18"/>
                <w:szCs w:val="18"/>
                <w:color w:val="auto"/>
              </w:rPr>
              <w:t>Car</w:t>
            </w:r>
          </w:p>
        </w:tc>
        <w:tc>
          <w:tcPr>
            <w:tcW w:w="1580" w:type="dxa"/>
            <w:vAlign w:val="bottom"/>
          </w:tcPr>
          <w:p>
            <w:pPr>
              <w:jc w:val="right"/>
              <w:spacing w:after="0"/>
              <w:rPr>
                <w:sz w:val="20"/>
                <w:szCs w:val="20"/>
                <w:color w:val="auto"/>
              </w:rPr>
            </w:pPr>
            <w:r>
              <w:rPr>
                <w:rFonts w:ascii="Arial" w:cs="Arial" w:eastAsia="Arial" w:hAnsi="Arial"/>
                <w:sz w:val="18"/>
                <w:szCs w:val="18"/>
                <w:color w:val="auto"/>
              </w:rPr>
              <w:t>RSD 462,543</w:t>
            </w:r>
          </w:p>
        </w:tc>
        <w:tc>
          <w:tcPr>
            <w:tcW w:w="1320" w:type="dxa"/>
            <w:vAlign w:val="bottom"/>
          </w:tcPr>
          <w:p>
            <w:pPr>
              <w:jc w:val="right"/>
              <w:spacing w:after="0"/>
              <w:rPr>
                <w:sz w:val="20"/>
                <w:szCs w:val="20"/>
                <w:color w:val="auto"/>
              </w:rPr>
            </w:pPr>
            <w:r>
              <w:rPr>
                <w:rFonts w:ascii="Arial" w:cs="Arial" w:eastAsia="Arial" w:hAnsi="Arial"/>
                <w:sz w:val="18"/>
                <w:szCs w:val="18"/>
                <w:color w:val="auto"/>
              </w:rPr>
              <w:t>5,405</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06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600" w:type="dxa"/>
            <w:vAlign w:val="bottom"/>
          </w:tcPr>
          <w:p>
            <w:pPr>
              <w:spacing w:after="0"/>
              <w:rPr>
                <w:sz w:val="2"/>
                <w:szCs w:val="2"/>
                <w:color w:val="auto"/>
              </w:rPr>
            </w:pPr>
          </w:p>
        </w:tc>
        <w:tc>
          <w:tcPr>
            <w:tcW w:w="2300" w:type="dxa"/>
            <w:vAlign w:val="bottom"/>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220" w:type="dxa"/>
            <w:vAlign w:val="bottom"/>
            <w:gridSpan w:val="3"/>
          </w:tcPr>
          <w:p>
            <w:pPr>
              <w:ind w:left="20"/>
              <w:spacing w:after="0"/>
              <w:rPr>
                <w:sz w:val="20"/>
                <w:szCs w:val="20"/>
                <w:color w:val="auto"/>
              </w:rPr>
            </w:pPr>
            <w:r>
              <w:rPr>
                <w:rFonts w:ascii="Arial" w:cs="Arial" w:eastAsia="Arial" w:hAnsi="Arial"/>
                <w:sz w:val="18"/>
                <w:szCs w:val="18"/>
                <w:b w:val="1"/>
                <w:bCs w:val="1"/>
                <w:color w:val="auto"/>
              </w:rPr>
              <w:t>Euronet Services d.o.o. Total</w:t>
            </w:r>
          </w:p>
        </w:tc>
        <w:tc>
          <w:tcPr>
            <w:tcW w:w="138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2300" w:type="dxa"/>
            <w:vAlign w:val="bottom"/>
          </w:tcPr>
          <w:p>
            <w:pPr>
              <w:spacing w:after="0"/>
              <w:rPr>
                <w:sz w:val="20"/>
                <w:szCs w:val="20"/>
                <w:color w:val="auto"/>
              </w:rPr>
            </w:pPr>
          </w:p>
        </w:tc>
        <w:tc>
          <w:tcPr>
            <w:tcW w:w="1580" w:type="dxa"/>
            <w:vAlign w:val="bottom"/>
          </w:tcPr>
          <w:p>
            <w:pPr>
              <w:jc w:val="right"/>
              <w:spacing w:after="0"/>
              <w:rPr>
                <w:sz w:val="20"/>
                <w:szCs w:val="20"/>
                <w:color w:val="auto"/>
              </w:rPr>
            </w:pPr>
            <w:r>
              <w:rPr>
                <w:rFonts w:ascii="Arial" w:cs="Arial" w:eastAsia="Arial" w:hAnsi="Arial"/>
                <w:sz w:val="18"/>
                <w:szCs w:val="18"/>
                <w:b w:val="1"/>
                <w:bCs w:val="1"/>
                <w:color w:val="auto"/>
              </w:rPr>
              <w:t>RSD 4,472,388</w:t>
            </w:r>
          </w:p>
        </w:tc>
        <w:tc>
          <w:tcPr>
            <w:tcW w:w="1320" w:type="dxa"/>
            <w:vAlign w:val="bottom"/>
          </w:tcPr>
          <w:p>
            <w:pPr>
              <w:jc w:val="right"/>
              <w:spacing w:after="0"/>
              <w:rPr>
                <w:sz w:val="20"/>
                <w:szCs w:val="20"/>
                <w:color w:val="auto"/>
              </w:rPr>
            </w:pPr>
            <w:r>
              <w:rPr>
                <w:rFonts w:ascii="Arial" w:cs="Arial" w:eastAsia="Arial" w:hAnsi="Arial"/>
                <w:sz w:val="18"/>
                <w:szCs w:val="18"/>
                <w:b w:val="1"/>
                <w:bCs w:val="1"/>
                <w:color w:val="auto"/>
              </w:rPr>
              <w:t>52,265</w:t>
            </w:r>
          </w:p>
        </w:tc>
        <w:tc>
          <w:tcPr>
            <w:tcW w:w="0" w:type="dxa"/>
            <w:vAlign w:val="bottom"/>
          </w:tcPr>
          <w:p>
            <w:pPr>
              <w:spacing w:after="0"/>
              <w:rPr>
                <w:sz w:val="1"/>
                <w:szCs w:val="1"/>
                <w:color w:val="auto"/>
              </w:rPr>
            </w:pPr>
          </w:p>
        </w:tc>
      </w:tr>
      <w:tr>
        <w:trPr>
          <w:trHeight w:val="553"/>
        </w:trPr>
        <w:tc>
          <w:tcPr>
            <w:tcW w:w="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1380" w:type="dxa"/>
            <w:vAlign w:val="bottom"/>
          </w:tcPr>
          <w:p>
            <w:pPr>
              <w:ind w:left="120"/>
              <w:spacing w:after="0"/>
              <w:rPr>
                <w:sz w:val="20"/>
                <w:szCs w:val="20"/>
                <w:color w:val="auto"/>
              </w:rPr>
            </w:pPr>
            <w:r>
              <w:rPr>
                <w:rFonts w:ascii="Arial" w:cs="Arial" w:eastAsia="Arial" w:hAnsi="Arial"/>
                <w:sz w:val="18"/>
                <w:szCs w:val="18"/>
                <w:color w:val="auto"/>
              </w:rPr>
              <w:t>OPC Asset</w:t>
            </w:r>
          </w:p>
        </w:tc>
        <w:tc>
          <w:tcPr>
            <w:tcW w:w="160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3220" w:type="dxa"/>
            <w:vAlign w:val="bottom"/>
            <w:gridSpan w:val="3"/>
          </w:tcPr>
          <w:p>
            <w:pPr>
              <w:ind w:left="20"/>
              <w:spacing w:after="0"/>
              <w:rPr>
                <w:sz w:val="20"/>
                <w:szCs w:val="20"/>
                <w:color w:val="auto"/>
              </w:rPr>
            </w:pPr>
            <w:r>
              <w:rPr>
                <w:rFonts w:ascii="Arial" w:cs="Arial" w:eastAsia="Arial" w:hAnsi="Arial"/>
                <w:sz w:val="18"/>
                <w:szCs w:val="18"/>
                <w:color w:val="auto"/>
              </w:rPr>
              <w:t>Euronet Services India Pvt. Ltd.</w:t>
            </w:r>
          </w:p>
        </w:tc>
        <w:tc>
          <w:tcPr>
            <w:tcW w:w="2980" w:type="dxa"/>
            <w:vAlign w:val="bottom"/>
            <w:gridSpan w:val="2"/>
          </w:tcPr>
          <w:p>
            <w:pPr>
              <w:ind w:left="120"/>
              <w:spacing w:after="0"/>
              <w:rPr>
                <w:sz w:val="20"/>
                <w:szCs w:val="20"/>
                <w:color w:val="auto"/>
              </w:rPr>
            </w:pPr>
            <w:r>
              <w:rPr>
                <w:rFonts w:ascii="Arial" w:cs="Arial" w:eastAsia="Arial" w:hAnsi="Arial"/>
                <w:sz w:val="18"/>
                <w:szCs w:val="18"/>
                <w:color w:val="auto"/>
              </w:rPr>
              <w:t>Solutions Pvt. Ltd Capital Lease</w:t>
            </w:r>
          </w:p>
        </w:tc>
        <w:tc>
          <w:tcPr>
            <w:tcW w:w="2300" w:type="dxa"/>
            <w:vAlign w:val="bottom"/>
          </w:tcPr>
          <w:p>
            <w:pPr>
              <w:ind w:left="200"/>
              <w:spacing w:after="0"/>
              <w:rPr>
                <w:sz w:val="20"/>
                <w:szCs w:val="20"/>
                <w:color w:val="auto"/>
              </w:rPr>
            </w:pPr>
            <w:r>
              <w:rPr>
                <w:rFonts w:ascii="Arial" w:cs="Arial" w:eastAsia="Arial" w:hAnsi="Arial"/>
                <w:sz w:val="18"/>
                <w:szCs w:val="18"/>
                <w:color w:val="auto"/>
              </w:rPr>
              <w:t>ATM/other related assets</w:t>
            </w:r>
          </w:p>
        </w:tc>
        <w:tc>
          <w:tcPr>
            <w:tcW w:w="1580" w:type="dxa"/>
            <w:vAlign w:val="bottom"/>
          </w:tcPr>
          <w:p>
            <w:pPr>
              <w:jc w:val="right"/>
              <w:spacing w:after="0"/>
              <w:rPr>
                <w:sz w:val="20"/>
                <w:szCs w:val="20"/>
                <w:color w:val="auto"/>
              </w:rPr>
            </w:pPr>
            <w:r>
              <w:rPr>
                <w:rFonts w:ascii="Arial" w:cs="Arial" w:eastAsia="Arial" w:hAnsi="Arial"/>
                <w:sz w:val="18"/>
                <w:szCs w:val="18"/>
                <w:color w:val="auto"/>
              </w:rPr>
              <w:t>INR 1,107</w:t>
            </w:r>
          </w:p>
        </w:tc>
        <w:tc>
          <w:tcPr>
            <w:tcW w:w="1320" w:type="dxa"/>
            <w:vAlign w:val="bottom"/>
          </w:tcPr>
          <w:p>
            <w:pPr>
              <w:jc w:val="right"/>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2060" w:type="dxa"/>
            <w:vAlign w:val="bottom"/>
          </w:tcPr>
          <w:p>
            <w:pPr>
              <w:spacing w:after="0"/>
              <w:rPr>
                <w:sz w:val="22"/>
                <w:szCs w:val="22"/>
                <w:color w:val="auto"/>
              </w:rPr>
            </w:pPr>
          </w:p>
        </w:tc>
        <w:tc>
          <w:tcPr>
            <w:tcW w:w="1380" w:type="dxa"/>
            <w:vAlign w:val="bottom"/>
          </w:tcPr>
          <w:p>
            <w:pPr>
              <w:ind w:left="120"/>
              <w:spacing w:after="0"/>
              <w:rPr>
                <w:sz w:val="20"/>
                <w:szCs w:val="20"/>
                <w:color w:val="auto"/>
              </w:rPr>
            </w:pPr>
            <w:r>
              <w:rPr>
                <w:rFonts w:ascii="Arial" w:cs="Arial" w:eastAsia="Arial" w:hAnsi="Arial"/>
                <w:sz w:val="18"/>
                <w:szCs w:val="18"/>
                <w:color w:val="auto"/>
              </w:rPr>
              <w:t>OPC Asset</w:t>
            </w:r>
          </w:p>
        </w:tc>
        <w:tc>
          <w:tcPr>
            <w:tcW w:w="1600" w:type="dxa"/>
            <w:vAlign w:val="bottom"/>
          </w:tcPr>
          <w:p>
            <w:pPr>
              <w:spacing w:after="0"/>
              <w:rPr>
                <w:sz w:val="22"/>
                <w:szCs w:val="22"/>
                <w:color w:val="auto"/>
              </w:rPr>
            </w:pPr>
          </w:p>
        </w:tc>
        <w:tc>
          <w:tcPr>
            <w:tcW w:w="23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3220" w:type="dxa"/>
            <w:vAlign w:val="bottom"/>
            <w:gridSpan w:val="3"/>
          </w:tcPr>
          <w:p>
            <w:pPr>
              <w:ind w:left="20"/>
              <w:spacing w:after="0"/>
              <w:rPr>
                <w:sz w:val="20"/>
                <w:szCs w:val="20"/>
                <w:color w:val="auto"/>
              </w:rPr>
            </w:pPr>
            <w:r>
              <w:rPr>
                <w:rFonts w:ascii="Arial" w:cs="Arial" w:eastAsia="Arial" w:hAnsi="Arial"/>
                <w:sz w:val="18"/>
                <w:szCs w:val="18"/>
                <w:color w:val="auto"/>
              </w:rPr>
              <w:t>Euronet Services India Pvt. Ltd.</w:t>
            </w:r>
          </w:p>
        </w:tc>
        <w:tc>
          <w:tcPr>
            <w:tcW w:w="2980" w:type="dxa"/>
            <w:vAlign w:val="bottom"/>
            <w:gridSpan w:val="2"/>
          </w:tcPr>
          <w:p>
            <w:pPr>
              <w:ind w:left="120"/>
              <w:spacing w:after="0"/>
              <w:rPr>
                <w:sz w:val="20"/>
                <w:szCs w:val="20"/>
                <w:color w:val="auto"/>
              </w:rPr>
            </w:pPr>
            <w:r>
              <w:rPr>
                <w:rFonts w:ascii="Arial" w:cs="Arial" w:eastAsia="Arial" w:hAnsi="Arial"/>
                <w:sz w:val="18"/>
                <w:szCs w:val="18"/>
                <w:color w:val="auto"/>
              </w:rPr>
              <w:t>Solutions Pvt. Ltd Capital Lease</w:t>
            </w:r>
          </w:p>
        </w:tc>
        <w:tc>
          <w:tcPr>
            <w:tcW w:w="2300" w:type="dxa"/>
            <w:vAlign w:val="bottom"/>
          </w:tcPr>
          <w:p>
            <w:pPr>
              <w:ind w:left="200"/>
              <w:spacing w:after="0"/>
              <w:rPr>
                <w:sz w:val="20"/>
                <w:szCs w:val="20"/>
                <w:color w:val="auto"/>
              </w:rPr>
            </w:pPr>
            <w:r>
              <w:rPr>
                <w:rFonts w:ascii="Arial" w:cs="Arial" w:eastAsia="Arial" w:hAnsi="Arial"/>
                <w:sz w:val="18"/>
                <w:szCs w:val="18"/>
                <w:color w:val="auto"/>
              </w:rPr>
              <w:t>ATM/other related assets</w:t>
            </w:r>
          </w:p>
        </w:tc>
        <w:tc>
          <w:tcPr>
            <w:tcW w:w="1580" w:type="dxa"/>
            <w:vAlign w:val="bottom"/>
          </w:tcPr>
          <w:p>
            <w:pPr>
              <w:jc w:val="right"/>
              <w:spacing w:after="0"/>
              <w:rPr>
                <w:sz w:val="20"/>
                <w:szCs w:val="20"/>
                <w:color w:val="auto"/>
              </w:rPr>
            </w:pPr>
            <w:r>
              <w:rPr>
                <w:rFonts w:ascii="Arial" w:cs="Arial" w:eastAsia="Arial" w:hAnsi="Arial"/>
                <w:sz w:val="18"/>
                <w:szCs w:val="18"/>
                <w:color w:val="auto"/>
              </w:rPr>
              <w:t>INR 16,862</w:t>
            </w:r>
          </w:p>
        </w:tc>
        <w:tc>
          <w:tcPr>
            <w:tcW w:w="1320" w:type="dxa"/>
            <w:vAlign w:val="bottom"/>
          </w:tcPr>
          <w:p>
            <w:pPr>
              <w:jc w:val="right"/>
              <w:spacing w:after="0"/>
              <w:rPr>
                <w:sz w:val="20"/>
                <w:szCs w:val="20"/>
                <w:color w:val="auto"/>
              </w:rPr>
            </w:pPr>
            <w:r>
              <w:rPr>
                <w:rFonts w:ascii="Arial" w:cs="Arial" w:eastAsia="Arial" w:hAnsi="Arial"/>
                <w:sz w:val="18"/>
                <w:szCs w:val="18"/>
                <w:color w:val="auto"/>
              </w:rPr>
              <w:t>269</w:t>
            </w: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2060" w:type="dxa"/>
            <w:vAlign w:val="bottom"/>
          </w:tcPr>
          <w:p>
            <w:pPr>
              <w:spacing w:after="0"/>
              <w:rPr>
                <w:sz w:val="22"/>
                <w:szCs w:val="22"/>
                <w:color w:val="auto"/>
              </w:rPr>
            </w:pPr>
          </w:p>
        </w:tc>
        <w:tc>
          <w:tcPr>
            <w:tcW w:w="1380" w:type="dxa"/>
            <w:vAlign w:val="bottom"/>
          </w:tcPr>
          <w:p>
            <w:pPr>
              <w:ind w:left="120"/>
              <w:spacing w:after="0"/>
              <w:rPr>
                <w:sz w:val="20"/>
                <w:szCs w:val="20"/>
                <w:color w:val="auto"/>
              </w:rPr>
            </w:pPr>
            <w:r>
              <w:rPr>
                <w:rFonts w:ascii="Arial" w:cs="Arial" w:eastAsia="Arial" w:hAnsi="Arial"/>
                <w:sz w:val="18"/>
                <w:szCs w:val="18"/>
                <w:color w:val="auto"/>
              </w:rPr>
              <w:t>OPC Asset</w:t>
            </w:r>
          </w:p>
        </w:tc>
        <w:tc>
          <w:tcPr>
            <w:tcW w:w="1600" w:type="dxa"/>
            <w:vAlign w:val="bottom"/>
          </w:tcPr>
          <w:p>
            <w:pPr>
              <w:spacing w:after="0"/>
              <w:rPr>
                <w:sz w:val="22"/>
                <w:szCs w:val="22"/>
                <w:color w:val="auto"/>
              </w:rPr>
            </w:pPr>
          </w:p>
        </w:tc>
        <w:tc>
          <w:tcPr>
            <w:tcW w:w="23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3220" w:type="dxa"/>
            <w:vAlign w:val="bottom"/>
            <w:gridSpan w:val="3"/>
          </w:tcPr>
          <w:p>
            <w:pPr>
              <w:ind w:left="20"/>
              <w:spacing w:after="0"/>
              <w:rPr>
                <w:sz w:val="20"/>
                <w:szCs w:val="20"/>
                <w:color w:val="auto"/>
              </w:rPr>
            </w:pPr>
            <w:r>
              <w:rPr>
                <w:rFonts w:ascii="Arial" w:cs="Arial" w:eastAsia="Arial" w:hAnsi="Arial"/>
                <w:sz w:val="18"/>
                <w:szCs w:val="18"/>
                <w:color w:val="auto"/>
              </w:rPr>
              <w:t>Euronet Services India Pvt. Ltd.</w:t>
            </w:r>
          </w:p>
        </w:tc>
        <w:tc>
          <w:tcPr>
            <w:tcW w:w="2980" w:type="dxa"/>
            <w:vAlign w:val="bottom"/>
            <w:gridSpan w:val="2"/>
          </w:tcPr>
          <w:p>
            <w:pPr>
              <w:ind w:left="120"/>
              <w:spacing w:after="0"/>
              <w:rPr>
                <w:sz w:val="20"/>
                <w:szCs w:val="20"/>
                <w:color w:val="auto"/>
              </w:rPr>
            </w:pPr>
            <w:r>
              <w:rPr>
                <w:rFonts w:ascii="Arial" w:cs="Arial" w:eastAsia="Arial" w:hAnsi="Arial"/>
                <w:sz w:val="18"/>
                <w:szCs w:val="18"/>
                <w:color w:val="auto"/>
              </w:rPr>
              <w:t>Solutions Pvt. Ltd Capital Lease</w:t>
            </w:r>
          </w:p>
        </w:tc>
        <w:tc>
          <w:tcPr>
            <w:tcW w:w="2300" w:type="dxa"/>
            <w:vAlign w:val="bottom"/>
          </w:tcPr>
          <w:p>
            <w:pPr>
              <w:ind w:left="200"/>
              <w:spacing w:after="0"/>
              <w:rPr>
                <w:sz w:val="20"/>
                <w:szCs w:val="20"/>
                <w:color w:val="auto"/>
              </w:rPr>
            </w:pPr>
            <w:r>
              <w:rPr>
                <w:rFonts w:ascii="Arial" w:cs="Arial" w:eastAsia="Arial" w:hAnsi="Arial"/>
                <w:sz w:val="18"/>
                <w:szCs w:val="18"/>
                <w:color w:val="auto"/>
              </w:rPr>
              <w:t>ATM/other related assets</w:t>
            </w:r>
          </w:p>
        </w:tc>
        <w:tc>
          <w:tcPr>
            <w:tcW w:w="1580" w:type="dxa"/>
            <w:vAlign w:val="bottom"/>
          </w:tcPr>
          <w:p>
            <w:pPr>
              <w:jc w:val="right"/>
              <w:spacing w:after="0"/>
              <w:rPr>
                <w:sz w:val="20"/>
                <w:szCs w:val="20"/>
                <w:color w:val="auto"/>
              </w:rPr>
            </w:pPr>
            <w:r>
              <w:rPr>
                <w:rFonts w:ascii="Arial" w:cs="Arial" w:eastAsia="Arial" w:hAnsi="Arial"/>
                <w:sz w:val="18"/>
                <w:szCs w:val="18"/>
                <w:color w:val="auto"/>
              </w:rPr>
              <w:t>INR 53,618</w:t>
            </w:r>
          </w:p>
        </w:tc>
        <w:tc>
          <w:tcPr>
            <w:tcW w:w="1320" w:type="dxa"/>
            <w:vAlign w:val="bottom"/>
          </w:tcPr>
          <w:p>
            <w:pPr>
              <w:jc w:val="right"/>
              <w:spacing w:after="0"/>
              <w:rPr>
                <w:sz w:val="20"/>
                <w:szCs w:val="20"/>
                <w:color w:val="auto"/>
              </w:rPr>
            </w:pPr>
            <w:r>
              <w:rPr>
                <w:rFonts w:ascii="Arial" w:cs="Arial" w:eastAsia="Arial" w:hAnsi="Arial"/>
                <w:sz w:val="18"/>
                <w:szCs w:val="18"/>
                <w:color w:val="auto"/>
              </w:rPr>
              <w:t>855</w:t>
            </w: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2060" w:type="dxa"/>
            <w:vAlign w:val="bottom"/>
          </w:tcPr>
          <w:p>
            <w:pPr>
              <w:spacing w:after="0"/>
              <w:rPr>
                <w:sz w:val="22"/>
                <w:szCs w:val="22"/>
                <w:color w:val="auto"/>
              </w:rPr>
            </w:pPr>
          </w:p>
        </w:tc>
        <w:tc>
          <w:tcPr>
            <w:tcW w:w="1380" w:type="dxa"/>
            <w:vAlign w:val="bottom"/>
          </w:tcPr>
          <w:p>
            <w:pPr>
              <w:ind w:left="120"/>
              <w:spacing w:after="0"/>
              <w:rPr>
                <w:sz w:val="20"/>
                <w:szCs w:val="20"/>
                <w:color w:val="auto"/>
              </w:rPr>
            </w:pPr>
            <w:r>
              <w:rPr>
                <w:rFonts w:ascii="Arial" w:cs="Arial" w:eastAsia="Arial" w:hAnsi="Arial"/>
                <w:sz w:val="18"/>
                <w:szCs w:val="18"/>
                <w:color w:val="auto"/>
              </w:rPr>
              <w:t>OPC Asset</w:t>
            </w:r>
          </w:p>
        </w:tc>
        <w:tc>
          <w:tcPr>
            <w:tcW w:w="1600" w:type="dxa"/>
            <w:vAlign w:val="bottom"/>
          </w:tcPr>
          <w:p>
            <w:pPr>
              <w:spacing w:after="0"/>
              <w:rPr>
                <w:sz w:val="22"/>
                <w:szCs w:val="22"/>
                <w:color w:val="auto"/>
              </w:rPr>
            </w:pPr>
          </w:p>
        </w:tc>
        <w:tc>
          <w:tcPr>
            <w:tcW w:w="23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3220" w:type="dxa"/>
            <w:vAlign w:val="bottom"/>
            <w:gridSpan w:val="3"/>
          </w:tcPr>
          <w:p>
            <w:pPr>
              <w:ind w:left="20"/>
              <w:spacing w:after="0"/>
              <w:rPr>
                <w:sz w:val="20"/>
                <w:szCs w:val="20"/>
                <w:color w:val="auto"/>
              </w:rPr>
            </w:pPr>
            <w:r>
              <w:rPr>
                <w:rFonts w:ascii="Arial" w:cs="Arial" w:eastAsia="Arial" w:hAnsi="Arial"/>
                <w:sz w:val="18"/>
                <w:szCs w:val="18"/>
                <w:color w:val="auto"/>
              </w:rPr>
              <w:t>Euronet Services India Pvt. Ltd.</w:t>
            </w:r>
          </w:p>
        </w:tc>
        <w:tc>
          <w:tcPr>
            <w:tcW w:w="2980" w:type="dxa"/>
            <w:vAlign w:val="bottom"/>
            <w:gridSpan w:val="2"/>
          </w:tcPr>
          <w:p>
            <w:pPr>
              <w:ind w:left="120"/>
              <w:spacing w:after="0"/>
              <w:rPr>
                <w:sz w:val="20"/>
                <w:szCs w:val="20"/>
                <w:color w:val="auto"/>
              </w:rPr>
            </w:pPr>
            <w:r>
              <w:rPr>
                <w:rFonts w:ascii="Arial" w:cs="Arial" w:eastAsia="Arial" w:hAnsi="Arial"/>
                <w:sz w:val="18"/>
                <w:szCs w:val="18"/>
                <w:color w:val="auto"/>
              </w:rPr>
              <w:t>Solutions Pvt. Ltd Capital Lease</w:t>
            </w:r>
          </w:p>
        </w:tc>
        <w:tc>
          <w:tcPr>
            <w:tcW w:w="2300" w:type="dxa"/>
            <w:vAlign w:val="bottom"/>
          </w:tcPr>
          <w:p>
            <w:pPr>
              <w:ind w:left="200"/>
              <w:spacing w:after="0"/>
              <w:rPr>
                <w:sz w:val="20"/>
                <w:szCs w:val="20"/>
                <w:color w:val="auto"/>
              </w:rPr>
            </w:pPr>
            <w:r>
              <w:rPr>
                <w:rFonts w:ascii="Arial" w:cs="Arial" w:eastAsia="Arial" w:hAnsi="Arial"/>
                <w:sz w:val="18"/>
                <w:szCs w:val="18"/>
                <w:color w:val="auto"/>
              </w:rPr>
              <w:t>ATM/other related assets</w:t>
            </w:r>
          </w:p>
        </w:tc>
        <w:tc>
          <w:tcPr>
            <w:tcW w:w="1580" w:type="dxa"/>
            <w:vAlign w:val="bottom"/>
          </w:tcPr>
          <w:p>
            <w:pPr>
              <w:jc w:val="right"/>
              <w:spacing w:after="0"/>
              <w:rPr>
                <w:sz w:val="20"/>
                <w:szCs w:val="20"/>
                <w:color w:val="auto"/>
              </w:rPr>
            </w:pPr>
            <w:r>
              <w:rPr>
                <w:rFonts w:ascii="Arial" w:cs="Arial" w:eastAsia="Arial" w:hAnsi="Arial"/>
                <w:sz w:val="18"/>
                <w:szCs w:val="18"/>
                <w:color w:val="auto"/>
              </w:rPr>
              <w:t>INR 7,712</w:t>
            </w:r>
          </w:p>
        </w:tc>
        <w:tc>
          <w:tcPr>
            <w:tcW w:w="1320" w:type="dxa"/>
            <w:vAlign w:val="bottom"/>
          </w:tcPr>
          <w:p>
            <w:pPr>
              <w:jc w:val="right"/>
              <w:spacing w:after="0"/>
              <w:rPr>
                <w:sz w:val="20"/>
                <w:szCs w:val="20"/>
                <w:color w:val="auto"/>
              </w:rPr>
            </w:pPr>
            <w:r>
              <w:rPr>
                <w:rFonts w:ascii="Arial" w:cs="Arial" w:eastAsia="Arial" w:hAnsi="Arial"/>
                <w:sz w:val="18"/>
                <w:szCs w:val="18"/>
                <w:color w:val="auto"/>
              </w:rPr>
              <w:t>123</w:t>
            </w: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2060" w:type="dxa"/>
            <w:vAlign w:val="bottom"/>
          </w:tcPr>
          <w:p>
            <w:pPr>
              <w:spacing w:after="0"/>
              <w:rPr>
                <w:sz w:val="22"/>
                <w:szCs w:val="22"/>
                <w:color w:val="auto"/>
              </w:rPr>
            </w:pPr>
          </w:p>
        </w:tc>
        <w:tc>
          <w:tcPr>
            <w:tcW w:w="1380" w:type="dxa"/>
            <w:vAlign w:val="bottom"/>
          </w:tcPr>
          <w:p>
            <w:pPr>
              <w:ind w:left="120"/>
              <w:spacing w:after="0"/>
              <w:rPr>
                <w:sz w:val="20"/>
                <w:szCs w:val="20"/>
                <w:color w:val="auto"/>
              </w:rPr>
            </w:pPr>
            <w:r>
              <w:rPr>
                <w:rFonts w:ascii="Arial" w:cs="Arial" w:eastAsia="Arial" w:hAnsi="Arial"/>
                <w:sz w:val="18"/>
                <w:szCs w:val="18"/>
                <w:color w:val="auto"/>
              </w:rPr>
              <w:t>OPC Asset</w:t>
            </w:r>
          </w:p>
        </w:tc>
        <w:tc>
          <w:tcPr>
            <w:tcW w:w="1600" w:type="dxa"/>
            <w:vAlign w:val="bottom"/>
          </w:tcPr>
          <w:p>
            <w:pPr>
              <w:spacing w:after="0"/>
              <w:rPr>
                <w:sz w:val="22"/>
                <w:szCs w:val="22"/>
                <w:color w:val="auto"/>
              </w:rPr>
            </w:pPr>
          </w:p>
        </w:tc>
        <w:tc>
          <w:tcPr>
            <w:tcW w:w="23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3220" w:type="dxa"/>
            <w:vAlign w:val="bottom"/>
            <w:gridSpan w:val="3"/>
          </w:tcPr>
          <w:p>
            <w:pPr>
              <w:ind w:left="20"/>
              <w:spacing w:after="0"/>
              <w:rPr>
                <w:sz w:val="20"/>
                <w:szCs w:val="20"/>
                <w:color w:val="auto"/>
              </w:rPr>
            </w:pPr>
            <w:r>
              <w:rPr>
                <w:rFonts w:ascii="Arial" w:cs="Arial" w:eastAsia="Arial" w:hAnsi="Arial"/>
                <w:sz w:val="18"/>
                <w:szCs w:val="18"/>
                <w:color w:val="auto"/>
              </w:rPr>
              <w:t>Euronet Services India Pvt. Ltd.</w:t>
            </w:r>
          </w:p>
        </w:tc>
        <w:tc>
          <w:tcPr>
            <w:tcW w:w="2980" w:type="dxa"/>
            <w:vAlign w:val="bottom"/>
            <w:gridSpan w:val="2"/>
          </w:tcPr>
          <w:p>
            <w:pPr>
              <w:ind w:left="120"/>
              <w:spacing w:after="0"/>
              <w:rPr>
                <w:sz w:val="20"/>
                <w:szCs w:val="20"/>
                <w:color w:val="auto"/>
              </w:rPr>
            </w:pPr>
            <w:r>
              <w:rPr>
                <w:rFonts w:ascii="Arial" w:cs="Arial" w:eastAsia="Arial" w:hAnsi="Arial"/>
                <w:sz w:val="18"/>
                <w:szCs w:val="18"/>
                <w:color w:val="auto"/>
              </w:rPr>
              <w:t>Solutions Pvt. Ltd Capital Lease</w:t>
            </w:r>
          </w:p>
        </w:tc>
        <w:tc>
          <w:tcPr>
            <w:tcW w:w="2300" w:type="dxa"/>
            <w:vAlign w:val="bottom"/>
          </w:tcPr>
          <w:p>
            <w:pPr>
              <w:ind w:left="200"/>
              <w:spacing w:after="0"/>
              <w:rPr>
                <w:sz w:val="20"/>
                <w:szCs w:val="20"/>
                <w:color w:val="auto"/>
              </w:rPr>
            </w:pPr>
            <w:r>
              <w:rPr>
                <w:rFonts w:ascii="Arial" w:cs="Arial" w:eastAsia="Arial" w:hAnsi="Arial"/>
                <w:sz w:val="18"/>
                <w:szCs w:val="18"/>
                <w:color w:val="auto"/>
              </w:rPr>
              <w:t>ATM/other related assets</w:t>
            </w:r>
          </w:p>
        </w:tc>
        <w:tc>
          <w:tcPr>
            <w:tcW w:w="1580" w:type="dxa"/>
            <w:vAlign w:val="bottom"/>
          </w:tcPr>
          <w:p>
            <w:pPr>
              <w:jc w:val="right"/>
              <w:spacing w:after="0"/>
              <w:rPr>
                <w:sz w:val="20"/>
                <w:szCs w:val="20"/>
                <w:color w:val="auto"/>
              </w:rPr>
            </w:pPr>
            <w:r>
              <w:rPr>
                <w:rFonts w:ascii="Arial" w:cs="Arial" w:eastAsia="Arial" w:hAnsi="Arial"/>
                <w:sz w:val="18"/>
                <w:szCs w:val="18"/>
                <w:color w:val="auto"/>
              </w:rPr>
              <w:t>INR 37,459</w:t>
            </w:r>
          </w:p>
        </w:tc>
        <w:tc>
          <w:tcPr>
            <w:tcW w:w="1320" w:type="dxa"/>
            <w:vAlign w:val="bottom"/>
          </w:tcPr>
          <w:p>
            <w:pPr>
              <w:jc w:val="right"/>
              <w:spacing w:after="0"/>
              <w:rPr>
                <w:sz w:val="20"/>
                <w:szCs w:val="20"/>
                <w:color w:val="auto"/>
              </w:rPr>
            </w:pPr>
            <w:r>
              <w:rPr>
                <w:rFonts w:ascii="Arial" w:cs="Arial" w:eastAsia="Arial" w:hAnsi="Arial"/>
                <w:sz w:val="18"/>
                <w:szCs w:val="18"/>
                <w:color w:val="auto"/>
              </w:rPr>
              <w:t>598</w:t>
            </w: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2060" w:type="dxa"/>
            <w:vAlign w:val="bottom"/>
          </w:tcPr>
          <w:p>
            <w:pPr>
              <w:spacing w:after="0"/>
              <w:rPr>
                <w:sz w:val="22"/>
                <w:szCs w:val="22"/>
                <w:color w:val="auto"/>
              </w:rPr>
            </w:pPr>
          </w:p>
        </w:tc>
        <w:tc>
          <w:tcPr>
            <w:tcW w:w="1380" w:type="dxa"/>
            <w:vAlign w:val="bottom"/>
          </w:tcPr>
          <w:p>
            <w:pPr>
              <w:ind w:left="120"/>
              <w:spacing w:after="0"/>
              <w:rPr>
                <w:sz w:val="20"/>
                <w:szCs w:val="20"/>
                <w:color w:val="auto"/>
              </w:rPr>
            </w:pPr>
            <w:r>
              <w:rPr>
                <w:rFonts w:ascii="Arial" w:cs="Arial" w:eastAsia="Arial" w:hAnsi="Arial"/>
                <w:sz w:val="18"/>
                <w:szCs w:val="18"/>
                <w:color w:val="auto"/>
              </w:rPr>
              <w:t>OPC Asset</w:t>
            </w:r>
          </w:p>
        </w:tc>
        <w:tc>
          <w:tcPr>
            <w:tcW w:w="1600" w:type="dxa"/>
            <w:vAlign w:val="bottom"/>
          </w:tcPr>
          <w:p>
            <w:pPr>
              <w:spacing w:after="0"/>
              <w:rPr>
                <w:sz w:val="22"/>
                <w:szCs w:val="22"/>
                <w:color w:val="auto"/>
              </w:rPr>
            </w:pPr>
          </w:p>
        </w:tc>
        <w:tc>
          <w:tcPr>
            <w:tcW w:w="23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3220" w:type="dxa"/>
            <w:vAlign w:val="bottom"/>
            <w:gridSpan w:val="3"/>
          </w:tcPr>
          <w:p>
            <w:pPr>
              <w:ind w:left="20"/>
              <w:spacing w:after="0"/>
              <w:rPr>
                <w:sz w:val="20"/>
                <w:szCs w:val="20"/>
                <w:color w:val="auto"/>
              </w:rPr>
            </w:pPr>
            <w:r>
              <w:rPr>
                <w:rFonts w:ascii="Arial" w:cs="Arial" w:eastAsia="Arial" w:hAnsi="Arial"/>
                <w:sz w:val="18"/>
                <w:szCs w:val="18"/>
                <w:color w:val="auto"/>
              </w:rPr>
              <w:t>Euronet Services India Pvt. Ltd.</w:t>
            </w:r>
          </w:p>
        </w:tc>
        <w:tc>
          <w:tcPr>
            <w:tcW w:w="2980" w:type="dxa"/>
            <w:vAlign w:val="bottom"/>
            <w:gridSpan w:val="2"/>
          </w:tcPr>
          <w:p>
            <w:pPr>
              <w:ind w:left="120"/>
              <w:spacing w:after="0"/>
              <w:rPr>
                <w:sz w:val="20"/>
                <w:szCs w:val="20"/>
                <w:color w:val="auto"/>
              </w:rPr>
            </w:pPr>
            <w:r>
              <w:rPr>
                <w:rFonts w:ascii="Arial" w:cs="Arial" w:eastAsia="Arial" w:hAnsi="Arial"/>
                <w:sz w:val="18"/>
                <w:szCs w:val="18"/>
                <w:color w:val="auto"/>
              </w:rPr>
              <w:t>Solutions Pvt. Ltd Capital Lease</w:t>
            </w:r>
          </w:p>
        </w:tc>
        <w:tc>
          <w:tcPr>
            <w:tcW w:w="2300" w:type="dxa"/>
            <w:vAlign w:val="bottom"/>
          </w:tcPr>
          <w:p>
            <w:pPr>
              <w:ind w:left="200"/>
              <w:spacing w:after="0"/>
              <w:rPr>
                <w:sz w:val="20"/>
                <w:szCs w:val="20"/>
                <w:color w:val="auto"/>
              </w:rPr>
            </w:pPr>
            <w:r>
              <w:rPr>
                <w:rFonts w:ascii="Arial" w:cs="Arial" w:eastAsia="Arial" w:hAnsi="Arial"/>
                <w:sz w:val="18"/>
                <w:szCs w:val="18"/>
                <w:color w:val="auto"/>
              </w:rPr>
              <w:t>ATM/other related assets</w:t>
            </w:r>
          </w:p>
        </w:tc>
        <w:tc>
          <w:tcPr>
            <w:tcW w:w="1580" w:type="dxa"/>
            <w:vAlign w:val="bottom"/>
          </w:tcPr>
          <w:p>
            <w:pPr>
              <w:jc w:val="right"/>
              <w:spacing w:after="0"/>
              <w:rPr>
                <w:sz w:val="20"/>
                <w:szCs w:val="20"/>
                <w:color w:val="auto"/>
              </w:rPr>
            </w:pPr>
            <w:r>
              <w:rPr>
                <w:rFonts w:ascii="Arial" w:cs="Arial" w:eastAsia="Arial" w:hAnsi="Arial"/>
                <w:sz w:val="18"/>
                <w:szCs w:val="18"/>
                <w:color w:val="auto"/>
              </w:rPr>
              <w:t>INR 118,105</w:t>
            </w:r>
          </w:p>
        </w:tc>
        <w:tc>
          <w:tcPr>
            <w:tcW w:w="1320" w:type="dxa"/>
            <w:vAlign w:val="bottom"/>
          </w:tcPr>
          <w:p>
            <w:pPr>
              <w:jc w:val="right"/>
              <w:spacing w:after="0"/>
              <w:rPr>
                <w:sz w:val="20"/>
                <w:szCs w:val="20"/>
                <w:color w:val="auto"/>
              </w:rPr>
            </w:pPr>
            <w:r>
              <w:rPr>
                <w:rFonts w:ascii="Arial" w:cs="Arial" w:eastAsia="Arial" w:hAnsi="Arial"/>
                <w:sz w:val="18"/>
                <w:szCs w:val="18"/>
                <w:color w:val="auto"/>
              </w:rPr>
              <w:t>1,884</w:t>
            </w: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2060" w:type="dxa"/>
            <w:vAlign w:val="bottom"/>
          </w:tcPr>
          <w:p>
            <w:pPr>
              <w:spacing w:after="0"/>
              <w:rPr>
                <w:sz w:val="22"/>
                <w:szCs w:val="22"/>
                <w:color w:val="auto"/>
              </w:rPr>
            </w:pPr>
          </w:p>
        </w:tc>
        <w:tc>
          <w:tcPr>
            <w:tcW w:w="1380" w:type="dxa"/>
            <w:vAlign w:val="bottom"/>
          </w:tcPr>
          <w:p>
            <w:pPr>
              <w:ind w:left="120"/>
              <w:spacing w:after="0"/>
              <w:rPr>
                <w:sz w:val="20"/>
                <w:szCs w:val="20"/>
                <w:color w:val="auto"/>
              </w:rPr>
            </w:pPr>
            <w:r>
              <w:rPr>
                <w:rFonts w:ascii="Arial" w:cs="Arial" w:eastAsia="Arial" w:hAnsi="Arial"/>
                <w:sz w:val="18"/>
                <w:szCs w:val="18"/>
                <w:color w:val="auto"/>
              </w:rPr>
              <w:t>OPC Asset</w:t>
            </w:r>
          </w:p>
        </w:tc>
        <w:tc>
          <w:tcPr>
            <w:tcW w:w="1600" w:type="dxa"/>
            <w:vAlign w:val="bottom"/>
          </w:tcPr>
          <w:p>
            <w:pPr>
              <w:spacing w:after="0"/>
              <w:rPr>
                <w:sz w:val="22"/>
                <w:szCs w:val="22"/>
                <w:color w:val="auto"/>
              </w:rPr>
            </w:pPr>
          </w:p>
        </w:tc>
        <w:tc>
          <w:tcPr>
            <w:tcW w:w="23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3220" w:type="dxa"/>
            <w:vAlign w:val="bottom"/>
            <w:gridSpan w:val="3"/>
          </w:tcPr>
          <w:p>
            <w:pPr>
              <w:ind w:left="20"/>
              <w:spacing w:after="0"/>
              <w:rPr>
                <w:sz w:val="20"/>
                <w:szCs w:val="20"/>
                <w:color w:val="auto"/>
              </w:rPr>
            </w:pPr>
            <w:r>
              <w:rPr>
                <w:rFonts w:ascii="Arial" w:cs="Arial" w:eastAsia="Arial" w:hAnsi="Arial"/>
                <w:sz w:val="18"/>
                <w:szCs w:val="18"/>
                <w:color w:val="auto"/>
              </w:rPr>
              <w:t>Euronet Services India Pvt. Ltd.</w:t>
            </w:r>
          </w:p>
        </w:tc>
        <w:tc>
          <w:tcPr>
            <w:tcW w:w="2980" w:type="dxa"/>
            <w:vAlign w:val="bottom"/>
            <w:gridSpan w:val="2"/>
          </w:tcPr>
          <w:p>
            <w:pPr>
              <w:ind w:left="120"/>
              <w:spacing w:after="0"/>
              <w:rPr>
                <w:sz w:val="20"/>
                <w:szCs w:val="20"/>
                <w:color w:val="auto"/>
              </w:rPr>
            </w:pPr>
            <w:r>
              <w:rPr>
                <w:rFonts w:ascii="Arial" w:cs="Arial" w:eastAsia="Arial" w:hAnsi="Arial"/>
                <w:sz w:val="18"/>
                <w:szCs w:val="18"/>
                <w:color w:val="auto"/>
              </w:rPr>
              <w:t>Solutions Pvt. Ltd Capital Lease</w:t>
            </w:r>
          </w:p>
        </w:tc>
        <w:tc>
          <w:tcPr>
            <w:tcW w:w="2300" w:type="dxa"/>
            <w:vAlign w:val="bottom"/>
          </w:tcPr>
          <w:p>
            <w:pPr>
              <w:ind w:left="200"/>
              <w:spacing w:after="0"/>
              <w:rPr>
                <w:sz w:val="20"/>
                <w:szCs w:val="20"/>
                <w:color w:val="auto"/>
              </w:rPr>
            </w:pPr>
            <w:r>
              <w:rPr>
                <w:rFonts w:ascii="Arial" w:cs="Arial" w:eastAsia="Arial" w:hAnsi="Arial"/>
                <w:sz w:val="18"/>
                <w:szCs w:val="18"/>
                <w:color w:val="auto"/>
              </w:rPr>
              <w:t>ATM/other related assets</w:t>
            </w:r>
          </w:p>
        </w:tc>
        <w:tc>
          <w:tcPr>
            <w:tcW w:w="1580" w:type="dxa"/>
            <w:vAlign w:val="bottom"/>
          </w:tcPr>
          <w:p>
            <w:pPr>
              <w:jc w:val="right"/>
              <w:spacing w:after="0"/>
              <w:rPr>
                <w:sz w:val="20"/>
                <w:szCs w:val="20"/>
                <w:color w:val="auto"/>
              </w:rPr>
            </w:pPr>
            <w:r>
              <w:rPr>
                <w:rFonts w:ascii="Arial" w:cs="Arial" w:eastAsia="Arial" w:hAnsi="Arial"/>
                <w:sz w:val="18"/>
                <w:szCs w:val="18"/>
                <w:color w:val="auto"/>
              </w:rPr>
              <w:t>INR 10,957</w:t>
            </w:r>
          </w:p>
        </w:tc>
        <w:tc>
          <w:tcPr>
            <w:tcW w:w="1320" w:type="dxa"/>
            <w:vAlign w:val="bottom"/>
          </w:tcPr>
          <w:p>
            <w:pPr>
              <w:jc w:val="right"/>
              <w:spacing w:after="0"/>
              <w:rPr>
                <w:sz w:val="20"/>
                <w:szCs w:val="20"/>
                <w:color w:val="auto"/>
              </w:rPr>
            </w:pPr>
            <w:r>
              <w:rPr>
                <w:rFonts w:ascii="Arial" w:cs="Arial" w:eastAsia="Arial" w:hAnsi="Arial"/>
                <w:sz w:val="18"/>
                <w:szCs w:val="18"/>
                <w:color w:val="auto"/>
              </w:rPr>
              <w:t>175</w:t>
            </w: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2060" w:type="dxa"/>
            <w:vAlign w:val="bottom"/>
          </w:tcPr>
          <w:p>
            <w:pPr>
              <w:spacing w:after="0"/>
              <w:rPr>
                <w:sz w:val="22"/>
                <w:szCs w:val="22"/>
                <w:color w:val="auto"/>
              </w:rPr>
            </w:pPr>
          </w:p>
        </w:tc>
        <w:tc>
          <w:tcPr>
            <w:tcW w:w="1380" w:type="dxa"/>
            <w:vAlign w:val="bottom"/>
          </w:tcPr>
          <w:p>
            <w:pPr>
              <w:ind w:left="120"/>
              <w:spacing w:after="0"/>
              <w:rPr>
                <w:sz w:val="20"/>
                <w:szCs w:val="20"/>
                <w:color w:val="auto"/>
              </w:rPr>
            </w:pPr>
            <w:r>
              <w:rPr>
                <w:rFonts w:ascii="Arial" w:cs="Arial" w:eastAsia="Arial" w:hAnsi="Arial"/>
                <w:sz w:val="18"/>
                <w:szCs w:val="18"/>
                <w:color w:val="auto"/>
              </w:rPr>
              <w:t>OPC Asset</w:t>
            </w:r>
          </w:p>
        </w:tc>
        <w:tc>
          <w:tcPr>
            <w:tcW w:w="1600" w:type="dxa"/>
            <w:vAlign w:val="bottom"/>
          </w:tcPr>
          <w:p>
            <w:pPr>
              <w:spacing w:after="0"/>
              <w:rPr>
                <w:sz w:val="22"/>
                <w:szCs w:val="22"/>
                <w:color w:val="auto"/>
              </w:rPr>
            </w:pPr>
          </w:p>
        </w:tc>
        <w:tc>
          <w:tcPr>
            <w:tcW w:w="23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3220" w:type="dxa"/>
            <w:vAlign w:val="bottom"/>
            <w:gridSpan w:val="3"/>
          </w:tcPr>
          <w:p>
            <w:pPr>
              <w:ind w:left="20"/>
              <w:spacing w:after="0"/>
              <w:rPr>
                <w:sz w:val="20"/>
                <w:szCs w:val="20"/>
                <w:color w:val="auto"/>
              </w:rPr>
            </w:pPr>
            <w:r>
              <w:rPr>
                <w:rFonts w:ascii="Arial" w:cs="Arial" w:eastAsia="Arial" w:hAnsi="Arial"/>
                <w:sz w:val="18"/>
                <w:szCs w:val="18"/>
                <w:color w:val="auto"/>
              </w:rPr>
              <w:t>Euronet Services India Pvt. Ltd.</w:t>
            </w:r>
          </w:p>
        </w:tc>
        <w:tc>
          <w:tcPr>
            <w:tcW w:w="2980" w:type="dxa"/>
            <w:vAlign w:val="bottom"/>
            <w:gridSpan w:val="2"/>
          </w:tcPr>
          <w:p>
            <w:pPr>
              <w:ind w:left="120"/>
              <w:spacing w:after="0"/>
              <w:rPr>
                <w:sz w:val="20"/>
                <w:szCs w:val="20"/>
                <w:color w:val="auto"/>
              </w:rPr>
            </w:pPr>
            <w:r>
              <w:rPr>
                <w:rFonts w:ascii="Arial" w:cs="Arial" w:eastAsia="Arial" w:hAnsi="Arial"/>
                <w:sz w:val="18"/>
                <w:szCs w:val="18"/>
                <w:color w:val="auto"/>
              </w:rPr>
              <w:t>Solutions Pvt. Ltd Capital Lease</w:t>
            </w:r>
          </w:p>
        </w:tc>
        <w:tc>
          <w:tcPr>
            <w:tcW w:w="2300" w:type="dxa"/>
            <w:vAlign w:val="bottom"/>
          </w:tcPr>
          <w:p>
            <w:pPr>
              <w:ind w:left="200"/>
              <w:spacing w:after="0"/>
              <w:rPr>
                <w:sz w:val="20"/>
                <w:szCs w:val="20"/>
                <w:color w:val="auto"/>
              </w:rPr>
            </w:pPr>
            <w:r>
              <w:rPr>
                <w:rFonts w:ascii="Arial" w:cs="Arial" w:eastAsia="Arial" w:hAnsi="Arial"/>
                <w:sz w:val="18"/>
                <w:szCs w:val="18"/>
                <w:color w:val="auto"/>
              </w:rPr>
              <w:t>ATM/other related assets</w:t>
            </w:r>
          </w:p>
        </w:tc>
        <w:tc>
          <w:tcPr>
            <w:tcW w:w="1580" w:type="dxa"/>
            <w:vAlign w:val="bottom"/>
          </w:tcPr>
          <w:p>
            <w:pPr>
              <w:jc w:val="right"/>
              <w:spacing w:after="0"/>
              <w:rPr>
                <w:sz w:val="20"/>
                <w:szCs w:val="20"/>
                <w:color w:val="auto"/>
              </w:rPr>
            </w:pPr>
            <w:r>
              <w:rPr>
                <w:rFonts w:ascii="Arial" w:cs="Arial" w:eastAsia="Arial" w:hAnsi="Arial"/>
                <w:sz w:val="18"/>
                <w:szCs w:val="18"/>
                <w:color w:val="auto"/>
              </w:rPr>
              <w:t>INR 66,390</w:t>
            </w:r>
          </w:p>
        </w:tc>
        <w:tc>
          <w:tcPr>
            <w:tcW w:w="1320" w:type="dxa"/>
            <w:vAlign w:val="bottom"/>
          </w:tcPr>
          <w:p>
            <w:pPr>
              <w:jc w:val="right"/>
              <w:spacing w:after="0"/>
              <w:rPr>
                <w:sz w:val="20"/>
                <w:szCs w:val="20"/>
                <w:color w:val="auto"/>
              </w:rPr>
            </w:pPr>
            <w:r>
              <w:rPr>
                <w:rFonts w:ascii="Arial" w:cs="Arial" w:eastAsia="Arial" w:hAnsi="Arial"/>
                <w:sz w:val="18"/>
                <w:szCs w:val="18"/>
                <w:color w:val="auto"/>
              </w:rPr>
              <w:t>1,059</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4048760</wp:posOffset>
            </wp:positionH>
            <wp:positionV relativeFrom="paragraph">
              <wp:posOffset>-3541395</wp:posOffset>
            </wp:positionV>
            <wp:extent cx="1355090" cy="72898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1355090" cy="728980"/>
                    </a:xfrm>
                    <a:prstGeom prst="rect">
                      <a:avLst/>
                    </a:prstGeom>
                    <a:noFill/>
                  </pic:spPr>
                </pic:pic>
              </a:graphicData>
            </a:graphic>
          </wp:anchor>
        </w:drawing>
      </w:r>
    </w:p>
    <w:p>
      <w:pPr>
        <w:sectPr>
          <w:pgSz w:w="11900" w:h="16838" w:orient="portrait"/>
          <w:cols w:equalWidth="0" w:num="1">
            <w:col w:w="11400"/>
          </w:cols>
          <w:pgMar w:left="260" w:top="535" w:right="239" w:bottom="1440" w:gutter="0" w:footer="0" w:header="0"/>
        </w:sectPr>
      </w:pPr>
    </w:p>
    <w:bookmarkStart w:id="289" w:name="page290"/>
    <w:bookmarkEnd w:id="289"/>
    <w:tbl>
      <w:tblPr>
        <w:tblLayout w:type="fixed"/>
        <w:tblInd w:w="0" w:type="dxa"/>
        <w:tblCellMar>
          <w:top w:w="0" w:type="dxa"/>
          <w:left w:w="0" w:type="dxa"/>
          <w:bottom w:w="0" w:type="dxa"/>
          <w:right w:w="0" w:type="dxa"/>
        </w:tblCellMar>
      </w:tblPr>
      <w:tr>
        <w:trPr>
          <w:trHeight w:val="216"/>
        </w:trPr>
        <w:tc>
          <w:tcPr>
            <w:tcW w:w="3120" w:type="dxa"/>
            <w:vAlign w:val="bottom"/>
          </w:tcPr>
          <w:p>
            <w:pPr>
              <w:spacing w:after="0"/>
              <w:rPr>
                <w:sz w:val="18"/>
                <w:szCs w:val="18"/>
                <w:color w:val="auto"/>
              </w:rPr>
            </w:pPr>
          </w:p>
        </w:tc>
        <w:tc>
          <w:tcPr>
            <w:tcW w:w="1540" w:type="dxa"/>
            <w:vAlign w:val="bottom"/>
          </w:tcPr>
          <w:p>
            <w:pPr>
              <w:ind w:left="220"/>
              <w:spacing w:after="0"/>
              <w:rPr>
                <w:sz w:val="20"/>
                <w:szCs w:val="20"/>
                <w:color w:val="auto"/>
              </w:rPr>
            </w:pPr>
            <w:r>
              <w:rPr>
                <w:rFonts w:ascii="Arial" w:cs="Arial" w:eastAsia="Arial" w:hAnsi="Arial"/>
                <w:sz w:val="18"/>
                <w:szCs w:val="18"/>
                <w:color w:val="auto"/>
              </w:rPr>
              <w:t>OPC Asset</w:t>
            </w:r>
          </w:p>
        </w:tc>
        <w:tc>
          <w:tcPr>
            <w:tcW w:w="1360" w:type="dxa"/>
            <w:vAlign w:val="bottom"/>
          </w:tcPr>
          <w:p>
            <w:pPr>
              <w:spacing w:after="0"/>
              <w:rPr>
                <w:sz w:val="18"/>
                <w:szCs w:val="18"/>
                <w:color w:val="auto"/>
              </w:rPr>
            </w:pPr>
          </w:p>
        </w:tc>
        <w:tc>
          <w:tcPr>
            <w:tcW w:w="246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16"/>
        </w:trPr>
        <w:tc>
          <w:tcPr>
            <w:tcW w:w="3120" w:type="dxa"/>
            <w:vAlign w:val="bottom"/>
          </w:tcPr>
          <w:p>
            <w:pPr>
              <w:spacing w:after="0"/>
              <w:rPr>
                <w:sz w:val="18"/>
                <w:szCs w:val="18"/>
                <w:color w:val="auto"/>
              </w:rPr>
            </w:pPr>
          </w:p>
        </w:tc>
        <w:tc>
          <w:tcPr>
            <w:tcW w:w="1540" w:type="dxa"/>
            <w:vAlign w:val="bottom"/>
          </w:tcPr>
          <w:p>
            <w:pPr>
              <w:ind w:left="220"/>
              <w:spacing w:after="0"/>
              <w:rPr>
                <w:sz w:val="20"/>
                <w:szCs w:val="20"/>
                <w:color w:val="auto"/>
              </w:rPr>
            </w:pPr>
            <w:r>
              <w:rPr>
                <w:rFonts w:ascii="Arial" w:cs="Arial" w:eastAsia="Arial" w:hAnsi="Arial"/>
                <w:sz w:val="18"/>
                <w:szCs w:val="18"/>
                <w:color w:val="auto"/>
              </w:rPr>
              <w:t>Solutions Pvt.</w:t>
            </w:r>
          </w:p>
        </w:tc>
        <w:tc>
          <w:tcPr>
            <w:tcW w:w="1360" w:type="dxa"/>
            <w:vAlign w:val="bottom"/>
          </w:tcPr>
          <w:p>
            <w:pPr>
              <w:spacing w:after="0"/>
              <w:rPr>
                <w:sz w:val="18"/>
                <w:szCs w:val="18"/>
                <w:color w:val="auto"/>
              </w:rPr>
            </w:pPr>
          </w:p>
        </w:tc>
        <w:tc>
          <w:tcPr>
            <w:tcW w:w="246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30"/>
        </w:trPr>
        <w:tc>
          <w:tcPr>
            <w:tcW w:w="3120" w:type="dxa"/>
            <w:vAlign w:val="bottom"/>
          </w:tcPr>
          <w:p>
            <w:pPr>
              <w:spacing w:after="0"/>
              <w:rPr>
                <w:sz w:val="20"/>
                <w:szCs w:val="20"/>
                <w:color w:val="auto"/>
              </w:rPr>
            </w:pPr>
            <w:r>
              <w:rPr>
                <w:rFonts w:ascii="Arial" w:cs="Arial" w:eastAsia="Arial" w:hAnsi="Arial"/>
                <w:sz w:val="18"/>
                <w:szCs w:val="18"/>
                <w:color w:val="auto"/>
              </w:rPr>
              <w:t>Euronet Services India Pvt. Ltd.</w:t>
            </w:r>
          </w:p>
        </w:tc>
        <w:tc>
          <w:tcPr>
            <w:tcW w:w="1540" w:type="dxa"/>
            <w:vAlign w:val="bottom"/>
          </w:tcPr>
          <w:p>
            <w:pPr>
              <w:ind w:left="220"/>
              <w:spacing w:after="0"/>
              <w:rPr>
                <w:sz w:val="20"/>
                <w:szCs w:val="20"/>
                <w:color w:val="auto"/>
              </w:rPr>
            </w:pPr>
            <w:r>
              <w:rPr>
                <w:rFonts w:ascii="Arial" w:cs="Arial" w:eastAsia="Arial" w:hAnsi="Arial"/>
                <w:sz w:val="18"/>
                <w:szCs w:val="18"/>
                <w:color w:val="auto"/>
              </w:rPr>
              <w:t>Ltd</w:t>
            </w:r>
          </w:p>
        </w:tc>
        <w:tc>
          <w:tcPr>
            <w:tcW w:w="1360" w:type="dxa"/>
            <w:vAlign w:val="bottom"/>
          </w:tcPr>
          <w:p>
            <w:pPr>
              <w:ind w:left="20"/>
              <w:spacing w:after="0"/>
              <w:rPr>
                <w:sz w:val="20"/>
                <w:szCs w:val="20"/>
                <w:color w:val="auto"/>
              </w:rPr>
            </w:pPr>
            <w:r>
              <w:rPr>
                <w:rFonts w:ascii="Arial" w:cs="Arial" w:eastAsia="Arial" w:hAnsi="Arial"/>
                <w:sz w:val="18"/>
                <w:szCs w:val="18"/>
                <w:color w:val="auto"/>
              </w:rPr>
              <w:t>Capital Lease</w:t>
            </w:r>
          </w:p>
        </w:tc>
        <w:tc>
          <w:tcPr>
            <w:tcW w:w="2460" w:type="dxa"/>
            <w:vAlign w:val="bottom"/>
          </w:tcPr>
          <w:p>
            <w:pPr>
              <w:ind w:left="340"/>
              <w:spacing w:after="0"/>
              <w:rPr>
                <w:sz w:val="20"/>
                <w:szCs w:val="20"/>
                <w:color w:val="auto"/>
              </w:rPr>
            </w:pPr>
            <w:r>
              <w:rPr>
                <w:rFonts w:ascii="Arial" w:cs="Arial" w:eastAsia="Arial" w:hAnsi="Arial"/>
                <w:sz w:val="18"/>
                <w:szCs w:val="18"/>
                <w:color w:val="auto"/>
              </w:rPr>
              <w:t>ATM/other related assets</w:t>
            </w:r>
          </w:p>
        </w:tc>
        <w:tc>
          <w:tcPr>
            <w:tcW w:w="1840" w:type="dxa"/>
            <w:vAlign w:val="bottom"/>
          </w:tcPr>
          <w:p>
            <w:pPr>
              <w:jc w:val="right"/>
              <w:ind w:right="210"/>
              <w:spacing w:after="0"/>
              <w:rPr>
                <w:sz w:val="20"/>
                <w:szCs w:val="20"/>
                <w:color w:val="auto"/>
              </w:rPr>
            </w:pPr>
            <w:r>
              <w:rPr>
                <w:rFonts w:ascii="Arial" w:cs="Arial" w:eastAsia="Arial" w:hAnsi="Arial"/>
                <w:sz w:val="18"/>
                <w:szCs w:val="18"/>
                <w:color w:val="auto"/>
              </w:rPr>
              <w:t>INR 6,678</w:t>
            </w:r>
          </w:p>
        </w:tc>
        <w:tc>
          <w:tcPr>
            <w:tcW w:w="1060" w:type="dxa"/>
            <w:vAlign w:val="bottom"/>
          </w:tcPr>
          <w:p>
            <w:pPr>
              <w:jc w:val="right"/>
              <w:spacing w:after="0"/>
              <w:rPr>
                <w:sz w:val="20"/>
                <w:szCs w:val="20"/>
                <w:color w:val="auto"/>
              </w:rPr>
            </w:pPr>
            <w:r>
              <w:rPr>
                <w:rFonts w:ascii="Arial" w:cs="Arial" w:eastAsia="Arial" w:hAnsi="Arial"/>
                <w:sz w:val="18"/>
                <w:szCs w:val="18"/>
                <w:color w:val="auto"/>
              </w:rPr>
              <w:t>107</w:t>
            </w:r>
          </w:p>
        </w:tc>
      </w:tr>
      <w:tr>
        <w:trPr>
          <w:trHeight w:val="256"/>
        </w:trPr>
        <w:tc>
          <w:tcPr>
            <w:tcW w:w="3120" w:type="dxa"/>
            <w:vAlign w:val="bottom"/>
          </w:tcPr>
          <w:p>
            <w:pPr>
              <w:spacing w:after="0"/>
              <w:rPr>
                <w:sz w:val="22"/>
                <w:szCs w:val="22"/>
                <w:color w:val="auto"/>
              </w:rPr>
            </w:pPr>
          </w:p>
        </w:tc>
        <w:tc>
          <w:tcPr>
            <w:tcW w:w="1540" w:type="dxa"/>
            <w:vAlign w:val="bottom"/>
          </w:tcPr>
          <w:p>
            <w:pPr>
              <w:ind w:left="220"/>
              <w:spacing w:after="0"/>
              <w:rPr>
                <w:sz w:val="20"/>
                <w:szCs w:val="20"/>
                <w:color w:val="auto"/>
              </w:rPr>
            </w:pPr>
            <w:r>
              <w:rPr>
                <w:rFonts w:ascii="Arial" w:cs="Arial" w:eastAsia="Arial" w:hAnsi="Arial"/>
                <w:sz w:val="18"/>
                <w:szCs w:val="18"/>
                <w:color w:val="auto"/>
              </w:rPr>
              <w:t>OPC Asset</w:t>
            </w:r>
          </w:p>
        </w:tc>
        <w:tc>
          <w:tcPr>
            <w:tcW w:w="1360" w:type="dxa"/>
            <w:vAlign w:val="bottom"/>
          </w:tcPr>
          <w:p>
            <w:pPr>
              <w:spacing w:after="0"/>
              <w:rPr>
                <w:sz w:val="22"/>
                <w:szCs w:val="22"/>
                <w:color w:val="auto"/>
              </w:rPr>
            </w:pPr>
          </w:p>
        </w:tc>
        <w:tc>
          <w:tcPr>
            <w:tcW w:w="2460" w:type="dxa"/>
            <w:vAlign w:val="bottom"/>
          </w:tcPr>
          <w:p>
            <w:pPr>
              <w:spacing w:after="0"/>
              <w:rPr>
                <w:sz w:val="22"/>
                <w:szCs w:val="22"/>
                <w:color w:val="auto"/>
              </w:rPr>
            </w:pPr>
          </w:p>
        </w:tc>
        <w:tc>
          <w:tcPr>
            <w:tcW w:w="1840" w:type="dxa"/>
            <w:vAlign w:val="bottom"/>
          </w:tcPr>
          <w:p>
            <w:pPr>
              <w:spacing w:after="0"/>
              <w:rPr>
                <w:sz w:val="22"/>
                <w:szCs w:val="22"/>
                <w:color w:val="auto"/>
              </w:rPr>
            </w:pPr>
          </w:p>
        </w:tc>
        <w:tc>
          <w:tcPr>
            <w:tcW w:w="1060" w:type="dxa"/>
            <w:vAlign w:val="bottom"/>
          </w:tcPr>
          <w:p>
            <w:pPr>
              <w:spacing w:after="0"/>
              <w:rPr>
                <w:sz w:val="22"/>
                <w:szCs w:val="22"/>
                <w:color w:val="auto"/>
              </w:rPr>
            </w:pPr>
          </w:p>
        </w:tc>
      </w:tr>
      <w:tr>
        <w:trPr>
          <w:trHeight w:val="216"/>
        </w:trPr>
        <w:tc>
          <w:tcPr>
            <w:tcW w:w="3120" w:type="dxa"/>
            <w:vAlign w:val="bottom"/>
          </w:tcPr>
          <w:p>
            <w:pPr>
              <w:spacing w:after="0"/>
              <w:rPr>
                <w:sz w:val="18"/>
                <w:szCs w:val="18"/>
                <w:color w:val="auto"/>
              </w:rPr>
            </w:pPr>
          </w:p>
        </w:tc>
        <w:tc>
          <w:tcPr>
            <w:tcW w:w="1540" w:type="dxa"/>
            <w:vAlign w:val="bottom"/>
          </w:tcPr>
          <w:p>
            <w:pPr>
              <w:ind w:left="220"/>
              <w:spacing w:after="0"/>
              <w:rPr>
                <w:sz w:val="20"/>
                <w:szCs w:val="20"/>
                <w:color w:val="auto"/>
              </w:rPr>
            </w:pPr>
            <w:r>
              <w:rPr>
                <w:rFonts w:ascii="Arial" w:cs="Arial" w:eastAsia="Arial" w:hAnsi="Arial"/>
                <w:sz w:val="18"/>
                <w:szCs w:val="18"/>
                <w:color w:val="auto"/>
              </w:rPr>
              <w:t>Solutions Pvt.</w:t>
            </w:r>
          </w:p>
        </w:tc>
        <w:tc>
          <w:tcPr>
            <w:tcW w:w="1360" w:type="dxa"/>
            <w:vAlign w:val="bottom"/>
          </w:tcPr>
          <w:p>
            <w:pPr>
              <w:spacing w:after="0"/>
              <w:rPr>
                <w:sz w:val="18"/>
                <w:szCs w:val="18"/>
                <w:color w:val="auto"/>
              </w:rPr>
            </w:pPr>
          </w:p>
        </w:tc>
        <w:tc>
          <w:tcPr>
            <w:tcW w:w="246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30"/>
        </w:trPr>
        <w:tc>
          <w:tcPr>
            <w:tcW w:w="3120" w:type="dxa"/>
            <w:vAlign w:val="bottom"/>
          </w:tcPr>
          <w:p>
            <w:pPr>
              <w:spacing w:after="0"/>
              <w:rPr>
                <w:sz w:val="20"/>
                <w:szCs w:val="20"/>
                <w:color w:val="auto"/>
              </w:rPr>
            </w:pPr>
            <w:r>
              <w:rPr>
                <w:rFonts w:ascii="Arial" w:cs="Arial" w:eastAsia="Arial" w:hAnsi="Arial"/>
                <w:sz w:val="18"/>
                <w:szCs w:val="18"/>
                <w:color w:val="auto"/>
              </w:rPr>
              <w:t>Euronet Services India Pvt. Ltd.</w:t>
            </w:r>
          </w:p>
        </w:tc>
        <w:tc>
          <w:tcPr>
            <w:tcW w:w="1540" w:type="dxa"/>
            <w:vAlign w:val="bottom"/>
          </w:tcPr>
          <w:p>
            <w:pPr>
              <w:ind w:left="220"/>
              <w:spacing w:after="0"/>
              <w:rPr>
                <w:sz w:val="20"/>
                <w:szCs w:val="20"/>
                <w:color w:val="auto"/>
              </w:rPr>
            </w:pPr>
            <w:r>
              <w:rPr>
                <w:rFonts w:ascii="Arial" w:cs="Arial" w:eastAsia="Arial" w:hAnsi="Arial"/>
                <w:sz w:val="18"/>
                <w:szCs w:val="18"/>
                <w:color w:val="auto"/>
              </w:rPr>
              <w:t>Ltd</w:t>
            </w:r>
          </w:p>
        </w:tc>
        <w:tc>
          <w:tcPr>
            <w:tcW w:w="1360" w:type="dxa"/>
            <w:vAlign w:val="bottom"/>
          </w:tcPr>
          <w:p>
            <w:pPr>
              <w:ind w:left="20"/>
              <w:spacing w:after="0"/>
              <w:rPr>
                <w:sz w:val="20"/>
                <w:szCs w:val="20"/>
                <w:color w:val="auto"/>
              </w:rPr>
            </w:pPr>
            <w:r>
              <w:rPr>
                <w:rFonts w:ascii="Arial" w:cs="Arial" w:eastAsia="Arial" w:hAnsi="Arial"/>
                <w:sz w:val="18"/>
                <w:szCs w:val="18"/>
                <w:color w:val="auto"/>
              </w:rPr>
              <w:t>Capital Lease</w:t>
            </w:r>
          </w:p>
        </w:tc>
        <w:tc>
          <w:tcPr>
            <w:tcW w:w="2460" w:type="dxa"/>
            <w:vAlign w:val="bottom"/>
          </w:tcPr>
          <w:p>
            <w:pPr>
              <w:ind w:left="340"/>
              <w:spacing w:after="0"/>
              <w:rPr>
                <w:sz w:val="20"/>
                <w:szCs w:val="20"/>
                <w:color w:val="auto"/>
              </w:rPr>
            </w:pPr>
            <w:r>
              <w:rPr>
                <w:rFonts w:ascii="Arial" w:cs="Arial" w:eastAsia="Arial" w:hAnsi="Arial"/>
                <w:sz w:val="18"/>
                <w:szCs w:val="18"/>
                <w:color w:val="auto"/>
              </w:rPr>
              <w:t>ATM/other related assets</w:t>
            </w:r>
          </w:p>
        </w:tc>
        <w:tc>
          <w:tcPr>
            <w:tcW w:w="1840" w:type="dxa"/>
            <w:vAlign w:val="bottom"/>
          </w:tcPr>
          <w:p>
            <w:pPr>
              <w:jc w:val="right"/>
              <w:ind w:right="210"/>
              <w:spacing w:after="0"/>
              <w:rPr>
                <w:sz w:val="20"/>
                <w:szCs w:val="20"/>
                <w:color w:val="auto"/>
              </w:rPr>
            </w:pPr>
            <w:r>
              <w:rPr>
                <w:rFonts w:ascii="Arial" w:cs="Arial" w:eastAsia="Arial" w:hAnsi="Arial"/>
                <w:sz w:val="18"/>
                <w:szCs w:val="18"/>
                <w:color w:val="auto"/>
              </w:rPr>
              <w:t>INR 45,071</w:t>
            </w:r>
          </w:p>
        </w:tc>
        <w:tc>
          <w:tcPr>
            <w:tcW w:w="1060" w:type="dxa"/>
            <w:vAlign w:val="bottom"/>
          </w:tcPr>
          <w:p>
            <w:pPr>
              <w:jc w:val="right"/>
              <w:spacing w:after="0"/>
              <w:rPr>
                <w:sz w:val="20"/>
                <w:szCs w:val="20"/>
                <w:color w:val="auto"/>
              </w:rPr>
            </w:pPr>
            <w:r>
              <w:rPr>
                <w:rFonts w:ascii="Arial" w:cs="Arial" w:eastAsia="Arial" w:hAnsi="Arial"/>
                <w:sz w:val="18"/>
                <w:szCs w:val="18"/>
                <w:color w:val="auto"/>
              </w:rPr>
              <w:t>719</w:t>
            </w:r>
          </w:p>
        </w:tc>
      </w:tr>
      <w:tr>
        <w:trPr>
          <w:trHeight w:val="256"/>
        </w:trPr>
        <w:tc>
          <w:tcPr>
            <w:tcW w:w="3120" w:type="dxa"/>
            <w:vAlign w:val="bottom"/>
          </w:tcPr>
          <w:p>
            <w:pPr>
              <w:spacing w:after="0"/>
              <w:rPr>
                <w:sz w:val="22"/>
                <w:szCs w:val="22"/>
                <w:color w:val="auto"/>
              </w:rPr>
            </w:pPr>
          </w:p>
        </w:tc>
        <w:tc>
          <w:tcPr>
            <w:tcW w:w="1540" w:type="dxa"/>
            <w:vAlign w:val="bottom"/>
          </w:tcPr>
          <w:p>
            <w:pPr>
              <w:ind w:left="220"/>
              <w:spacing w:after="0"/>
              <w:rPr>
                <w:sz w:val="20"/>
                <w:szCs w:val="20"/>
                <w:color w:val="auto"/>
              </w:rPr>
            </w:pPr>
            <w:r>
              <w:rPr>
                <w:rFonts w:ascii="Arial" w:cs="Arial" w:eastAsia="Arial" w:hAnsi="Arial"/>
                <w:sz w:val="18"/>
                <w:szCs w:val="18"/>
                <w:color w:val="auto"/>
              </w:rPr>
              <w:t>OPC Asset</w:t>
            </w:r>
          </w:p>
        </w:tc>
        <w:tc>
          <w:tcPr>
            <w:tcW w:w="1360" w:type="dxa"/>
            <w:vAlign w:val="bottom"/>
          </w:tcPr>
          <w:p>
            <w:pPr>
              <w:spacing w:after="0"/>
              <w:rPr>
                <w:sz w:val="22"/>
                <w:szCs w:val="22"/>
                <w:color w:val="auto"/>
              </w:rPr>
            </w:pPr>
          </w:p>
        </w:tc>
        <w:tc>
          <w:tcPr>
            <w:tcW w:w="2460" w:type="dxa"/>
            <w:vAlign w:val="bottom"/>
          </w:tcPr>
          <w:p>
            <w:pPr>
              <w:spacing w:after="0"/>
              <w:rPr>
                <w:sz w:val="22"/>
                <w:szCs w:val="22"/>
                <w:color w:val="auto"/>
              </w:rPr>
            </w:pPr>
          </w:p>
        </w:tc>
        <w:tc>
          <w:tcPr>
            <w:tcW w:w="1840" w:type="dxa"/>
            <w:vAlign w:val="bottom"/>
          </w:tcPr>
          <w:p>
            <w:pPr>
              <w:spacing w:after="0"/>
              <w:rPr>
                <w:sz w:val="22"/>
                <w:szCs w:val="22"/>
                <w:color w:val="auto"/>
              </w:rPr>
            </w:pPr>
          </w:p>
        </w:tc>
        <w:tc>
          <w:tcPr>
            <w:tcW w:w="1060" w:type="dxa"/>
            <w:vAlign w:val="bottom"/>
          </w:tcPr>
          <w:p>
            <w:pPr>
              <w:spacing w:after="0"/>
              <w:rPr>
                <w:sz w:val="22"/>
                <w:szCs w:val="22"/>
                <w:color w:val="auto"/>
              </w:rPr>
            </w:pPr>
          </w:p>
        </w:tc>
      </w:tr>
      <w:tr>
        <w:trPr>
          <w:trHeight w:val="216"/>
        </w:trPr>
        <w:tc>
          <w:tcPr>
            <w:tcW w:w="3120" w:type="dxa"/>
            <w:vAlign w:val="bottom"/>
          </w:tcPr>
          <w:p>
            <w:pPr>
              <w:spacing w:after="0"/>
              <w:rPr>
                <w:sz w:val="18"/>
                <w:szCs w:val="18"/>
                <w:color w:val="auto"/>
              </w:rPr>
            </w:pPr>
          </w:p>
        </w:tc>
        <w:tc>
          <w:tcPr>
            <w:tcW w:w="1540" w:type="dxa"/>
            <w:vAlign w:val="bottom"/>
          </w:tcPr>
          <w:p>
            <w:pPr>
              <w:ind w:left="220"/>
              <w:spacing w:after="0"/>
              <w:rPr>
                <w:sz w:val="20"/>
                <w:szCs w:val="20"/>
                <w:color w:val="auto"/>
              </w:rPr>
            </w:pPr>
            <w:r>
              <w:rPr>
                <w:rFonts w:ascii="Arial" w:cs="Arial" w:eastAsia="Arial" w:hAnsi="Arial"/>
                <w:sz w:val="18"/>
                <w:szCs w:val="18"/>
                <w:color w:val="auto"/>
              </w:rPr>
              <w:t>Solutions Pvt.</w:t>
            </w:r>
          </w:p>
        </w:tc>
        <w:tc>
          <w:tcPr>
            <w:tcW w:w="1360" w:type="dxa"/>
            <w:vAlign w:val="bottom"/>
          </w:tcPr>
          <w:p>
            <w:pPr>
              <w:spacing w:after="0"/>
              <w:rPr>
                <w:sz w:val="18"/>
                <w:szCs w:val="18"/>
                <w:color w:val="auto"/>
              </w:rPr>
            </w:pPr>
          </w:p>
        </w:tc>
        <w:tc>
          <w:tcPr>
            <w:tcW w:w="246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30"/>
        </w:trPr>
        <w:tc>
          <w:tcPr>
            <w:tcW w:w="3120" w:type="dxa"/>
            <w:vAlign w:val="bottom"/>
          </w:tcPr>
          <w:p>
            <w:pPr>
              <w:spacing w:after="0"/>
              <w:rPr>
                <w:sz w:val="20"/>
                <w:szCs w:val="20"/>
                <w:color w:val="auto"/>
              </w:rPr>
            </w:pPr>
            <w:r>
              <w:rPr>
                <w:rFonts w:ascii="Arial" w:cs="Arial" w:eastAsia="Arial" w:hAnsi="Arial"/>
                <w:sz w:val="18"/>
                <w:szCs w:val="18"/>
                <w:color w:val="auto"/>
              </w:rPr>
              <w:t>Euronet Services India Pvt. Ltd.</w:t>
            </w:r>
          </w:p>
        </w:tc>
        <w:tc>
          <w:tcPr>
            <w:tcW w:w="1540" w:type="dxa"/>
            <w:vAlign w:val="bottom"/>
          </w:tcPr>
          <w:p>
            <w:pPr>
              <w:ind w:left="220"/>
              <w:spacing w:after="0"/>
              <w:rPr>
                <w:sz w:val="20"/>
                <w:szCs w:val="20"/>
                <w:color w:val="auto"/>
              </w:rPr>
            </w:pPr>
            <w:r>
              <w:rPr>
                <w:rFonts w:ascii="Arial" w:cs="Arial" w:eastAsia="Arial" w:hAnsi="Arial"/>
                <w:sz w:val="18"/>
                <w:szCs w:val="18"/>
                <w:color w:val="auto"/>
              </w:rPr>
              <w:t>Ltd</w:t>
            </w:r>
          </w:p>
        </w:tc>
        <w:tc>
          <w:tcPr>
            <w:tcW w:w="1360" w:type="dxa"/>
            <w:vAlign w:val="bottom"/>
          </w:tcPr>
          <w:p>
            <w:pPr>
              <w:ind w:left="20"/>
              <w:spacing w:after="0"/>
              <w:rPr>
                <w:sz w:val="20"/>
                <w:szCs w:val="20"/>
                <w:color w:val="auto"/>
              </w:rPr>
            </w:pPr>
            <w:r>
              <w:rPr>
                <w:rFonts w:ascii="Arial" w:cs="Arial" w:eastAsia="Arial" w:hAnsi="Arial"/>
                <w:sz w:val="18"/>
                <w:szCs w:val="18"/>
                <w:color w:val="auto"/>
              </w:rPr>
              <w:t>Capital Lease</w:t>
            </w:r>
          </w:p>
        </w:tc>
        <w:tc>
          <w:tcPr>
            <w:tcW w:w="2460" w:type="dxa"/>
            <w:vAlign w:val="bottom"/>
          </w:tcPr>
          <w:p>
            <w:pPr>
              <w:ind w:left="340"/>
              <w:spacing w:after="0"/>
              <w:rPr>
                <w:sz w:val="20"/>
                <w:szCs w:val="20"/>
                <w:color w:val="auto"/>
              </w:rPr>
            </w:pPr>
            <w:r>
              <w:rPr>
                <w:rFonts w:ascii="Arial" w:cs="Arial" w:eastAsia="Arial" w:hAnsi="Arial"/>
                <w:sz w:val="18"/>
                <w:szCs w:val="18"/>
                <w:color w:val="auto"/>
              </w:rPr>
              <w:t>ATM/other related assets</w:t>
            </w:r>
          </w:p>
        </w:tc>
        <w:tc>
          <w:tcPr>
            <w:tcW w:w="1840" w:type="dxa"/>
            <w:vAlign w:val="bottom"/>
          </w:tcPr>
          <w:p>
            <w:pPr>
              <w:jc w:val="right"/>
              <w:ind w:right="210"/>
              <w:spacing w:after="0"/>
              <w:rPr>
                <w:sz w:val="20"/>
                <w:szCs w:val="20"/>
                <w:color w:val="auto"/>
              </w:rPr>
            </w:pPr>
            <w:r>
              <w:rPr>
                <w:rFonts w:ascii="Arial" w:cs="Arial" w:eastAsia="Arial" w:hAnsi="Arial"/>
                <w:sz w:val="18"/>
                <w:szCs w:val="18"/>
                <w:color w:val="auto"/>
              </w:rPr>
              <w:t>INR 53,589</w:t>
            </w:r>
          </w:p>
        </w:tc>
        <w:tc>
          <w:tcPr>
            <w:tcW w:w="1060" w:type="dxa"/>
            <w:vAlign w:val="bottom"/>
          </w:tcPr>
          <w:p>
            <w:pPr>
              <w:jc w:val="right"/>
              <w:spacing w:after="0"/>
              <w:rPr>
                <w:sz w:val="20"/>
                <w:szCs w:val="20"/>
                <w:color w:val="auto"/>
              </w:rPr>
            </w:pPr>
            <w:r>
              <w:rPr>
                <w:rFonts w:ascii="Arial" w:cs="Arial" w:eastAsia="Arial" w:hAnsi="Arial"/>
                <w:sz w:val="18"/>
                <w:szCs w:val="18"/>
                <w:color w:val="auto"/>
              </w:rPr>
              <w:t>855</w:t>
            </w:r>
          </w:p>
        </w:tc>
      </w:tr>
      <w:tr>
        <w:trPr>
          <w:trHeight w:val="256"/>
        </w:trPr>
        <w:tc>
          <w:tcPr>
            <w:tcW w:w="3120" w:type="dxa"/>
            <w:vAlign w:val="bottom"/>
          </w:tcPr>
          <w:p>
            <w:pPr>
              <w:spacing w:after="0"/>
              <w:rPr>
                <w:sz w:val="22"/>
                <w:szCs w:val="22"/>
                <w:color w:val="auto"/>
              </w:rPr>
            </w:pPr>
          </w:p>
        </w:tc>
        <w:tc>
          <w:tcPr>
            <w:tcW w:w="1540" w:type="dxa"/>
            <w:vAlign w:val="bottom"/>
          </w:tcPr>
          <w:p>
            <w:pPr>
              <w:ind w:left="220"/>
              <w:spacing w:after="0"/>
              <w:rPr>
                <w:sz w:val="20"/>
                <w:szCs w:val="20"/>
                <w:color w:val="auto"/>
              </w:rPr>
            </w:pPr>
            <w:r>
              <w:rPr>
                <w:rFonts w:ascii="Arial" w:cs="Arial" w:eastAsia="Arial" w:hAnsi="Arial"/>
                <w:sz w:val="18"/>
                <w:szCs w:val="18"/>
                <w:color w:val="auto"/>
              </w:rPr>
              <w:t>OPC Asset</w:t>
            </w:r>
          </w:p>
        </w:tc>
        <w:tc>
          <w:tcPr>
            <w:tcW w:w="1360" w:type="dxa"/>
            <w:vAlign w:val="bottom"/>
          </w:tcPr>
          <w:p>
            <w:pPr>
              <w:spacing w:after="0"/>
              <w:rPr>
                <w:sz w:val="22"/>
                <w:szCs w:val="22"/>
                <w:color w:val="auto"/>
              </w:rPr>
            </w:pPr>
          </w:p>
        </w:tc>
        <w:tc>
          <w:tcPr>
            <w:tcW w:w="2460" w:type="dxa"/>
            <w:vAlign w:val="bottom"/>
          </w:tcPr>
          <w:p>
            <w:pPr>
              <w:spacing w:after="0"/>
              <w:rPr>
                <w:sz w:val="22"/>
                <w:szCs w:val="22"/>
                <w:color w:val="auto"/>
              </w:rPr>
            </w:pPr>
          </w:p>
        </w:tc>
        <w:tc>
          <w:tcPr>
            <w:tcW w:w="1840" w:type="dxa"/>
            <w:vAlign w:val="bottom"/>
          </w:tcPr>
          <w:p>
            <w:pPr>
              <w:spacing w:after="0"/>
              <w:rPr>
                <w:sz w:val="22"/>
                <w:szCs w:val="22"/>
                <w:color w:val="auto"/>
              </w:rPr>
            </w:pPr>
          </w:p>
        </w:tc>
        <w:tc>
          <w:tcPr>
            <w:tcW w:w="1060" w:type="dxa"/>
            <w:vAlign w:val="bottom"/>
          </w:tcPr>
          <w:p>
            <w:pPr>
              <w:spacing w:after="0"/>
              <w:rPr>
                <w:sz w:val="22"/>
                <w:szCs w:val="22"/>
                <w:color w:val="auto"/>
              </w:rPr>
            </w:pPr>
          </w:p>
        </w:tc>
      </w:tr>
      <w:tr>
        <w:trPr>
          <w:trHeight w:val="216"/>
        </w:trPr>
        <w:tc>
          <w:tcPr>
            <w:tcW w:w="3120" w:type="dxa"/>
            <w:vAlign w:val="bottom"/>
          </w:tcPr>
          <w:p>
            <w:pPr>
              <w:spacing w:after="0"/>
              <w:rPr>
                <w:sz w:val="18"/>
                <w:szCs w:val="18"/>
                <w:color w:val="auto"/>
              </w:rPr>
            </w:pPr>
          </w:p>
        </w:tc>
        <w:tc>
          <w:tcPr>
            <w:tcW w:w="1540" w:type="dxa"/>
            <w:vAlign w:val="bottom"/>
          </w:tcPr>
          <w:p>
            <w:pPr>
              <w:ind w:left="220"/>
              <w:spacing w:after="0"/>
              <w:rPr>
                <w:sz w:val="20"/>
                <w:szCs w:val="20"/>
                <w:color w:val="auto"/>
              </w:rPr>
            </w:pPr>
            <w:r>
              <w:rPr>
                <w:rFonts w:ascii="Arial" w:cs="Arial" w:eastAsia="Arial" w:hAnsi="Arial"/>
                <w:sz w:val="18"/>
                <w:szCs w:val="18"/>
                <w:color w:val="auto"/>
              </w:rPr>
              <w:t>Solutions Pvt.</w:t>
            </w:r>
          </w:p>
        </w:tc>
        <w:tc>
          <w:tcPr>
            <w:tcW w:w="1360" w:type="dxa"/>
            <w:vAlign w:val="bottom"/>
          </w:tcPr>
          <w:p>
            <w:pPr>
              <w:spacing w:after="0"/>
              <w:rPr>
                <w:sz w:val="18"/>
                <w:szCs w:val="18"/>
                <w:color w:val="auto"/>
              </w:rPr>
            </w:pPr>
          </w:p>
        </w:tc>
        <w:tc>
          <w:tcPr>
            <w:tcW w:w="246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30"/>
        </w:trPr>
        <w:tc>
          <w:tcPr>
            <w:tcW w:w="3120" w:type="dxa"/>
            <w:vAlign w:val="bottom"/>
          </w:tcPr>
          <w:p>
            <w:pPr>
              <w:spacing w:after="0"/>
              <w:rPr>
                <w:sz w:val="20"/>
                <w:szCs w:val="20"/>
                <w:color w:val="auto"/>
              </w:rPr>
            </w:pPr>
            <w:r>
              <w:rPr>
                <w:rFonts w:ascii="Arial" w:cs="Arial" w:eastAsia="Arial" w:hAnsi="Arial"/>
                <w:sz w:val="18"/>
                <w:szCs w:val="18"/>
                <w:color w:val="auto"/>
              </w:rPr>
              <w:t>Euronet Services India Pvt. Ltd.</w:t>
            </w:r>
          </w:p>
        </w:tc>
        <w:tc>
          <w:tcPr>
            <w:tcW w:w="1540" w:type="dxa"/>
            <w:vAlign w:val="bottom"/>
          </w:tcPr>
          <w:p>
            <w:pPr>
              <w:ind w:left="220"/>
              <w:spacing w:after="0"/>
              <w:rPr>
                <w:sz w:val="20"/>
                <w:szCs w:val="20"/>
                <w:color w:val="auto"/>
              </w:rPr>
            </w:pPr>
            <w:r>
              <w:rPr>
                <w:rFonts w:ascii="Arial" w:cs="Arial" w:eastAsia="Arial" w:hAnsi="Arial"/>
                <w:sz w:val="18"/>
                <w:szCs w:val="18"/>
                <w:color w:val="auto"/>
              </w:rPr>
              <w:t>Ltd</w:t>
            </w:r>
          </w:p>
        </w:tc>
        <w:tc>
          <w:tcPr>
            <w:tcW w:w="1360" w:type="dxa"/>
            <w:vAlign w:val="bottom"/>
          </w:tcPr>
          <w:p>
            <w:pPr>
              <w:ind w:left="20"/>
              <w:spacing w:after="0"/>
              <w:rPr>
                <w:sz w:val="20"/>
                <w:szCs w:val="20"/>
                <w:color w:val="auto"/>
              </w:rPr>
            </w:pPr>
            <w:r>
              <w:rPr>
                <w:rFonts w:ascii="Arial" w:cs="Arial" w:eastAsia="Arial" w:hAnsi="Arial"/>
                <w:sz w:val="18"/>
                <w:szCs w:val="18"/>
                <w:color w:val="auto"/>
              </w:rPr>
              <w:t>Capital Lease</w:t>
            </w:r>
          </w:p>
        </w:tc>
        <w:tc>
          <w:tcPr>
            <w:tcW w:w="2460" w:type="dxa"/>
            <w:vAlign w:val="bottom"/>
          </w:tcPr>
          <w:p>
            <w:pPr>
              <w:ind w:left="340"/>
              <w:spacing w:after="0"/>
              <w:rPr>
                <w:sz w:val="20"/>
                <w:szCs w:val="20"/>
                <w:color w:val="auto"/>
              </w:rPr>
            </w:pPr>
            <w:r>
              <w:rPr>
                <w:rFonts w:ascii="Arial" w:cs="Arial" w:eastAsia="Arial" w:hAnsi="Arial"/>
                <w:sz w:val="18"/>
                <w:szCs w:val="18"/>
                <w:color w:val="auto"/>
              </w:rPr>
              <w:t>ATM/other related assets</w:t>
            </w:r>
          </w:p>
        </w:tc>
        <w:tc>
          <w:tcPr>
            <w:tcW w:w="1840" w:type="dxa"/>
            <w:vAlign w:val="bottom"/>
          </w:tcPr>
          <w:p>
            <w:pPr>
              <w:jc w:val="right"/>
              <w:ind w:right="210"/>
              <w:spacing w:after="0"/>
              <w:rPr>
                <w:sz w:val="20"/>
                <w:szCs w:val="20"/>
                <w:color w:val="auto"/>
              </w:rPr>
            </w:pPr>
            <w:r>
              <w:rPr>
                <w:rFonts w:ascii="Arial" w:cs="Arial" w:eastAsia="Arial" w:hAnsi="Arial"/>
                <w:sz w:val="18"/>
                <w:szCs w:val="18"/>
                <w:color w:val="auto"/>
              </w:rPr>
              <w:t>INR 76,685</w:t>
            </w:r>
          </w:p>
        </w:tc>
        <w:tc>
          <w:tcPr>
            <w:tcW w:w="1060" w:type="dxa"/>
            <w:vAlign w:val="bottom"/>
          </w:tcPr>
          <w:p>
            <w:pPr>
              <w:jc w:val="right"/>
              <w:spacing w:after="0"/>
              <w:rPr>
                <w:sz w:val="20"/>
                <w:szCs w:val="20"/>
                <w:color w:val="auto"/>
              </w:rPr>
            </w:pPr>
            <w:r>
              <w:rPr>
                <w:rFonts w:ascii="Arial" w:cs="Arial" w:eastAsia="Arial" w:hAnsi="Arial"/>
                <w:sz w:val="18"/>
                <w:szCs w:val="18"/>
                <w:color w:val="auto"/>
              </w:rPr>
              <w:t>1,223</w:t>
            </w:r>
          </w:p>
        </w:tc>
      </w:tr>
      <w:tr>
        <w:trPr>
          <w:trHeight w:val="256"/>
        </w:trPr>
        <w:tc>
          <w:tcPr>
            <w:tcW w:w="3120" w:type="dxa"/>
            <w:vAlign w:val="bottom"/>
          </w:tcPr>
          <w:p>
            <w:pPr>
              <w:spacing w:after="0"/>
              <w:rPr>
                <w:sz w:val="22"/>
                <w:szCs w:val="22"/>
                <w:color w:val="auto"/>
              </w:rPr>
            </w:pPr>
          </w:p>
        </w:tc>
        <w:tc>
          <w:tcPr>
            <w:tcW w:w="1540" w:type="dxa"/>
            <w:vAlign w:val="bottom"/>
          </w:tcPr>
          <w:p>
            <w:pPr>
              <w:ind w:left="220"/>
              <w:spacing w:after="0"/>
              <w:rPr>
                <w:sz w:val="20"/>
                <w:szCs w:val="20"/>
                <w:color w:val="auto"/>
              </w:rPr>
            </w:pPr>
            <w:r>
              <w:rPr>
                <w:rFonts w:ascii="Arial" w:cs="Arial" w:eastAsia="Arial" w:hAnsi="Arial"/>
                <w:sz w:val="18"/>
                <w:szCs w:val="18"/>
                <w:color w:val="auto"/>
              </w:rPr>
              <w:t>OPC Asset</w:t>
            </w:r>
          </w:p>
        </w:tc>
        <w:tc>
          <w:tcPr>
            <w:tcW w:w="1360" w:type="dxa"/>
            <w:vAlign w:val="bottom"/>
          </w:tcPr>
          <w:p>
            <w:pPr>
              <w:spacing w:after="0"/>
              <w:rPr>
                <w:sz w:val="22"/>
                <w:szCs w:val="22"/>
                <w:color w:val="auto"/>
              </w:rPr>
            </w:pPr>
          </w:p>
        </w:tc>
        <w:tc>
          <w:tcPr>
            <w:tcW w:w="2460" w:type="dxa"/>
            <w:vAlign w:val="bottom"/>
          </w:tcPr>
          <w:p>
            <w:pPr>
              <w:spacing w:after="0"/>
              <w:rPr>
                <w:sz w:val="22"/>
                <w:szCs w:val="22"/>
                <w:color w:val="auto"/>
              </w:rPr>
            </w:pPr>
          </w:p>
        </w:tc>
        <w:tc>
          <w:tcPr>
            <w:tcW w:w="1840" w:type="dxa"/>
            <w:vAlign w:val="bottom"/>
          </w:tcPr>
          <w:p>
            <w:pPr>
              <w:spacing w:after="0"/>
              <w:rPr>
                <w:sz w:val="22"/>
                <w:szCs w:val="22"/>
                <w:color w:val="auto"/>
              </w:rPr>
            </w:pPr>
          </w:p>
        </w:tc>
        <w:tc>
          <w:tcPr>
            <w:tcW w:w="1060" w:type="dxa"/>
            <w:vAlign w:val="bottom"/>
          </w:tcPr>
          <w:p>
            <w:pPr>
              <w:spacing w:after="0"/>
              <w:rPr>
                <w:sz w:val="22"/>
                <w:szCs w:val="22"/>
                <w:color w:val="auto"/>
              </w:rPr>
            </w:pPr>
          </w:p>
        </w:tc>
      </w:tr>
      <w:tr>
        <w:trPr>
          <w:trHeight w:val="216"/>
        </w:trPr>
        <w:tc>
          <w:tcPr>
            <w:tcW w:w="3120" w:type="dxa"/>
            <w:vAlign w:val="bottom"/>
          </w:tcPr>
          <w:p>
            <w:pPr>
              <w:spacing w:after="0"/>
              <w:rPr>
                <w:sz w:val="18"/>
                <w:szCs w:val="18"/>
                <w:color w:val="auto"/>
              </w:rPr>
            </w:pPr>
          </w:p>
        </w:tc>
        <w:tc>
          <w:tcPr>
            <w:tcW w:w="1540" w:type="dxa"/>
            <w:vAlign w:val="bottom"/>
          </w:tcPr>
          <w:p>
            <w:pPr>
              <w:ind w:left="220"/>
              <w:spacing w:after="0"/>
              <w:rPr>
                <w:sz w:val="20"/>
                <w:szCs w:val="20"/>
                <w:color w:val="auto"/>
              </w:rPr>
            </w:pPr>
            <w:r>
              <w:rPr>
                <w:rFonts w:ascii="Arial" w:cs="Arial" w:eastAsia="Arial" w:hAnsi="Arial"/>
                <w:sz w:val="18"/>
                <w:szCs w:val="18"/>
                <w:color w:val="auto"/>
              </w:rPr>
              <w:t>Solutions Pvt.</w:t>
            </w:r>
          </w:p>
        </w:tc>
        <w:tc>
          <w:tcPr>
            <w:tcW w:w="1360" w:type="dxa"/>
            <w:vAlign w:val="bottom"/>
          </w:tcPr>
          <w:p>
            <w:pPr>
              <w:spacing w:after="0"/>
              <w:rPr>
                <w:sz w:val="18"/>
                <w:szCs w:val="18"/>
                <w:color w:val="auto"/>
              </w:rPr>
            </w:pPr>
          </w:p>
        </w:tc>
        <w:tc>
          <w:tcPr>
            <w:tcW w:w="246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30"/>
        </w:trPr>
        <w:tc>
          <w:tcPr>
            <w:tcW w:w="3120" w:type="dxa"/>
            <w:vAlign w:val="bottom"/>
          </w:tcPr>
          <w:p>
            <w:pPr>
              <w:spacing w:after="0"/>
              <w:rPr>
                <w:sz w:val="20"/>
                <w:szCs w:val="20"/>
                <w:color w:val="auto"/>
              </w:rPr>
            </w:pPr>
            <w:r>
              <w:rPr>
                <w:rFonts w:ascii="Arial" w:cs="Arial" w:eastAsia="Arial" w:hAnsi="Arial"/>
                <w:sz w:val="18"/>
                <w:szCs w:val="18"/>
                <w:color w:val="auto"/>
              </w:rPr>
              <w:t>Euronet Services India Pvt. Ltd.</w:t>
            </w:r>
          </w:p>
        </w:tc>
        <w:tc>
          <w:tcPr>
            <w:tcW w:w="1540" w:type="dxa"/>
            <w:vAlign w:val="bottom"/>
          </w:tcPr>
          <w:p>
            <w:pPr>
              <w:ind w:left="220"/>
              <w:spacing w:after="0"/>
              <w:rPr>
                <w:sz w:val="20"/>
                <w:szCs w:val="20"/>
                <w:color w:val="auto"/>
              </w:rPr>
            </w:pPr>
            <w:r>
              <w:rPr>
                <w:rFonts w:ascii="Arial" w:cs="Arial" w:eastAsia="Arial" w:hAnsi="Arial"/>
                <w:sz w:val="18"/>
                <w:szCs w:val="18"/>
                <w:color w:val="auto"/>
              </w:rPr>
              <w:t>Ltd</w:t>
            </w:r>
          </w:p>
        </w:tc>
        <w:tc>
          <w:tcPr>
            <w:tcW w:w="1360" w:type="dxa"/>
            <w:vAlign w:val="bottom"/>
          </w:tcPr>
          <w:p>
            <w:pPr>
              <w:ind w:left="20"/>
              <w:spacing w:after="0"/>
              <w:rPr>
                <w:sz w:val="20"/>
                <w:szCs w:val="20"/>
                <w:color w:val="auto"/>
              </w:rPr>
            </w:pPr>
            <w:r>
              <w:rPr>
                <w:rFonts w:ascii="Arial" w:cs="Arial" w:eastAsia="Arial" w:hAnsi="Arial"/>
                <w:sz w:val="18"/>
                <w:szCs w:val="18"/>
                <w:color w:val="auto"/>
              </w:rPr>
              <w:t>Capital Lease</w:t>
            </w:r>
          </w:p>
        </w:tc>
        <w:tc>
          <w:tcPr>
            <w:tcW w:w="2460" w:type="dxa"/>
            <w:vAlign w:val="bottom"/>
          </w:tcPr>
          <w:p>
            <w:pPr>
              <w:ind w:left="340"/>
              <w:spacing w:after="0"/>
              <w:rPr>
                <w:sz w:val="20"/>
                <w:szCs w:val="20"/>
                <w:color w:val="auto"/>
              </w:rPr>
            </w:pPr>
            <w:r>
              <w:rPr>
                <w:rFonts w:ascii="Arial" w:cs="Arial" w:eastAsia="Arial" w:hAnsi="Arial"/>
                <w:sz w:val="18"/>
                <w:szCs w:val="18"/>
                <w:color w:val="auto"/>
              </w:rPr>
              <w:t>ATM/other related assets</w:t>
            </w:r>
          </w:p>
        </w:tc>
        <w:tc>
          <w:tcPr>
            <w:tcW w:w="1840" w:type="dxa"/>
            <w:vAlign w:val="bottom"/>
          </w:tcPr>
          <w:p>
            <w:pPr>
              <w:jc w:val="right"/>
              <w:ind w:right="210"/>
              <w:spacing w:after="0"/>
              <w:rPr>
                <w:sz w:val="20"/>
                <w:szCs w:val="20"/>
                <w:color w:val="auto"/>
              </w:rPr>
            </w:pPr>
            <w:r>
              <w:rPr>
                <w:rFonts w:ascii="Arial" w:cs="Arial" w:eastAsia="Arial" w:hAnsi="Arial"/>
                <w:sz w:val="18"/>
                <w:szCs w:val="18"/>
                <w:color w:val="auto"/>
              </w:rPr>
              <w:t>INR 161,304</w:t>
            </w:r>
          </w:p>
        </w:tc>
        <w:tc>
          <w:tcPr>
            <w:tcW w:w="1060" w:type="dxa"/>
            <w:vAlign w:val="bottom"/>
          </w:tcPr>
          <w:p>
            <w:pPr>
              <w:jc w:val="right"/>
              <w:spacing w:after="0"/>
              <w:rPr>
                <w:sz w:val="20"/>
                <w:szCs w:val="20"/>
                <w:color w:val="auto"/>
              </w:rPr>
            </w:pPr>
            <w:r>
              <w:rPr>
                <w:rFonts w:ascii="Arial" w:cs="Arial" w:eastAsia="Arial" w:hAnsi="Arial"/>
                <w:sz w:val="18"/>
                <w:szCs w:val="18"/>
                <w:color w:val="auto"/>
              </w:rPr>
              <w:t>2,573</w:t>
            </w:r>
          </w:p>
        </w:tc>
      </w:tr>
      <w:tr>
        <w:trPr>
          <w:trHeight w:val="256"/>
        </w:trPr>
        <w:tc>
          <w:tcPr>
            <w:tcW w:w="3120" w:type="dxa"/>
            <w:vAlign w:val="bottom"/>
          </w:tcPr>
          <w:p>
            <w:pPr>
              <w:spacing w:after="0"/>
              <w:rPr>
                <w:sz w:val="22"/>
                <w:szCs w:val="22"/>
                <w:color w:val="auto"/>
              </w:rPr>
            </w:pPr>
          </w:p>
        </w:tc>
        <w:tc>
          <w:tcPr>
            <w:tcW w:w="1540" w:type="dxa"/>
            <w:vAlign w:val="bottom"/>
          </w:tcPr>
          <w:p>
            <w:pPr>
              <w:ind w:left="220"/>
              <w:spacing w:after="0"/>
              <w:rPr>
                <w:sz w:val="20"/>
                <w:szCs w:val="20"/>
                <w:color w:val="auto"/>
              </w:rPr>
            </w:pPr>
            <w:r>
              <w:rPr>
                <w:rFonts w:ascii="Arial" w:cs="Arial" w:eastAsia="Arial" w:hAnsi="Arial"/>
                <w:sz w:val="18"/>
                <w:szCs w:val="18"/>
                <w:color w:val="auto"/>
              </w:rPr>
              <w:t>OPC Asset</w:t>
            </w:r>
          </w:p>
        </w:tc>
        <w:tc>
          <w:tcPr>
            <w:tcW w:w="1360" w:type="dxa"/>
            <w:vAlign w:val="bottom"/>
          </w:tcPr>
          <w:p>
            <w:pPr>
              <w:spacing w:after="0"/>
              <w:rPr>
                <w:sz w:val="22"/>
                <w:szCs w:val="22"/>
                <w:color w:val="auto"/>
              </w:rPr>
            </w:pPr>
          </w:p>
        </w:tc>
        <w:tc>
          <w:tcPr>
            <w:tcW w:w="2460" w:type="dxa"/>
            <w:vAlign w:val="bottom"/>
          </w:tcPr>
          <w:p>
            <w:pPr>
              <w:spacing w:after="0"/>
              <w:rPr>
                <w:sz w:val="22"/>
                <w:szCs w:val="22"/>
                <w:color w:val="auto"/>
              </w:rPr>
            </w:pPr>
          </w:p>
        </w:tc>
        <w:tc>
          <w:tcPr>
            <w:tcW w:w="1840" w:type="dxa"/>
            <w:vAlign w:val="bottom"/>
          </w:tcPr>
          <w:p>
            <w:pPr>
              <w:spacing w:after="0"/>
              <w:rPr>
                <w:sz w:val="22"/>
                <w:szCs w:val="22"/>
                <w:color w:val="auto"/>
              </w:rPr>
            </w:pPr>
          </w:p>
        </w:tc>
        <w:tc>
          <w:tcPr>
            <w:tcW w:w="1060" w:type="dxa"/>
            <w:vAlign w:val="bottom"/>
          </w:tcPr>
          <w:p>
            <w:pPr>
              <w:spacing w:after="0"/>
              <w:rPr>
                <w:sz w:val="22"/>
                <w:szCs w:val="22"/>
                <w:color w:val="auto"/>
              </w:rPr>
            </w:pPr>
          </w:p>
        </w:tc>
      </w:tr>
      <w:tr>
        <w:trPr>
          <w:trHeight w:val="216"/>
        </w:trPr>
        <w:tc>
          <w:tcPr>
            <w:tcW w:w="3120" w:type="dxa"/>
            <w:vAlign w:val="bottom"/>
          </w:tcPr>
          <w:p>
            <w:pPr>
              <w:spacing w:after="0"/>
              <w:rPr>
                <w:sz w:val="18"/>
                <w:szCs w:val="18"/>
                <w:color w:val="auto"/>
              </w:rPr>
            </w:pPr>
          </w:p>
        </w:tc>
        <w:tc>
          <w:tcPr>
            <w:tcW w:w="1540" w:type="dxa"/>
            <w:vAlign w:val="bottom"/>
          </w:tcPr>
          <w:p>
            <w:pPr>
              <w:ind w:left="220"/>
              <w:spacing w:after="0"/>
              <w:rPr>
                <w:sz w:val="20"/>
                <w:szCs w:val="20"/>
                <w:color w:val="auto"/>
              </w:rPr>
            </w:pPr>
            <w:r>
              <w:rPr>
                <w:rFonts w:ascii="Arial" w:cs="Arial" w:eastAsia="Arial" w:hAnsi="Arial"/>
                <w:sz w:val="18"/>
                <w:szCs w:val="18"/>
                <w:color w:val="auto"/>
              </w:rPr>
              <w:t>Solutions Pvt.</w:t>
            </w:r>
          </w:p>
        </w:tc>
        <w:tc>
          <w:tcPr>
            <w:tcW w:w="1360" w:type="dxa"/>
            <w:vAlign w:val="bottom"/>
          </w:tcPr>
          <w:p>
            <w:pPr>
              <w:spacing w:after="0"/>
              <w:rPr>
                <w:sz w:val="18"/>
                <w:szCs w:val="18"/>
                <w:color w:val="auto"/>
              </w:rPr>
            </w:pPr>
          </w:p>
        </w:tc>
        <w:tc>
          <w:tcPr>
            <w:tcW w:w="246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30"/>
        </w:trPr>
        <w:tc>
          <w:tcPr>
            <w:tcW w:w="3120" w:type="dxa"/>
            <w:vAlign w:val="bottom"/>
          </w:tcPr>
          <w:p>
            <w:pPr>
              <w:spacing w:after="0"/>
              <w:rPr>
                <w:sz w:val="20"/>
                <w:szCs w:val="20"/>
                <w:color w:val="auto"/>
              </w:rPr>
            </w:pPr>
            <w:r>
              <w:rPr>
                <w:rFonts w:ascii="Arial" w:cs="Arial" w:eastAsia="Arial" w:hAnsi="Arial"/>
                <w:sz w:val="18"/>
                <w:szCs w:val="18"/>
                <w:color w:val="auto"/>
              </w:rPr>
              <w:t>Euronet Services India Pvt. Ltd.</w:t>
            </w:r>
          </w:p>
        </w:tc>
        <w:tc>
          <w:tcPr>
            <w:tcW w:w="1540" w:type="dxa"/>
            <w:vAlign w:val="bottom"/>
          </w:tcPr>
          <w:p>
            <w:pPr>
              <w:ind w:left="220"/>
              <w:spacing w:after="0"/>
              <w:rPr>
                <w:sz w:val="20"/>
                <w:szCs w:val="20"/>
                <w:color w:val="auto"/>
              </w:rPr>
            </w:pPr>
            <w:r>
              <w:rPr>
                <w:rFonts w:ascii="Arial" w:cs="Arial" w:eastAsia="Arial" w:hAnsi="Arial"/>
                <w:sz w:val="18"/>
                <w:szCs w:val="18"/>
                <w:color w:val="auto"/>
              </w:rPr>
              <w:t>Ltd</w:t>
            </w:r>
          </w:p>
        </w:tc>
        <w:tc>
          <w:tcPr>
            <w:tcW w:w="1360" w:type="dxa"/>
            <w:vAlign w:val="bottom"/>
          </w:tcPr>
          <w:p>
            <w:pPr>
              <w:ind w:left="20"/>
              <w:spacing w:after="0"/>
              <w:rPr>
                <w:sz w:val="20"/>
                <w:szCs w:val="20"/>
                <w:color w:val="auto"/>
              </w:rPr>
            </w:pPr>
            <w:r>
              <w:rPr>
                <w:rFonts w:ascii="Arial" w:cs="Arial" w:eastAsia="Arial" w:hAnsi="Arial"/>
                <w:sz w:val="18"/>
                <w:szCs w:val="18"/>
                <w:color w:val="auto"/>
              </w:rPr>
              <w:t>Capital Lease</w:t>
            </w:r>
          </w:p>
        </w:tc>
        <w:tc>
          <w:tcPr>
            <w:tcW w:w="2460" w:type="dxa"/>
            <w:vAlign w:val="bottom"/>
          </w:tcPr>
          <w:p>
            <w:pPr>
              <w:ind w:left="340"/>
              <w:spacing w:after="0"/>
              <w:rPr>
                <w:sz w:val="20"/>
                <w:szCs w:val="20"/>
                <w:color w:val="auto"/>
              </w:rPr>
            </w:pPr>
            <w:r>
              <w:rPr>
                <w:rFonts w:ascii="Arial" w:cs="Arial" w:eastAsia="Arial" w:hAnsi="Arial"/>
                <w:sz w:val="18"/>
                <w:szCs w:val="18"/>
                <w:color w:val="auto"/>
              </w:rPr>
              <w:t>ATM/other related assets</w:t>
            </w:r>
          </w:p>
        </w:tc>
        <w:tc>
          <w:tcPr>
            <w:tcW w:w="1840" w:type="dxa"/>
            <w:vAlign w:val="bottom"/>
          </w:tcPr>
          <w:p>
            <w:pPr>
              <w:jc w:val="right"/>
              <w:ind w:right="210"/>
              <w:spacing w:after="0"/>
              <w:rPr>
                <w:sz w:val="20"/>
                <w:szCs w:val="20"/>
                <w:color w:val="auto"/>
              </w:rPr>
            </w:pPr>
            <w:r>
              <w:rPr>
                <w:rFonts w:ascii="Arial" w:cs="Arial" w:eastAsia="Arial" w:hAnsi="Arial"/>
                <w:sz w:val="18"/>
                <w:szCs w:val="18"/>
                <w:color w:val="auto"/>
              </w:rPr>
              <w:t>INR 71,578</w:t>
            </w:r>
          </w:p>
        </w:tc>
        <w:tc>
          <w:tcPr>
            <w:tcW w:w="1060" w:type="dxa"/>
            <w:vAlign w:val="bottom"/>
          </w:tcPr>
          <w:p>
            <w:pPr>
              <w:jc w:val="right"/>
              <w:spacing w:after="0"/>
              <w:rPr>
                <w:sz w:val="20"/>
                <w:szCs w:val="20"/>
                <w:color w:val="auto"/>
              </w:rPr>
            </w:pPr>
            <w:r>
              <w:rPr>
                <w:rFonts w:ascii="Arial" w:cs="Arial" w:eastAsia="Arial" w:hAnsi="Arial"/>
                <w:sz w:val="18"/>
                <w:szCs w:val="18"/>
                <w:color w:val="auto"/>
              </w:rPr>
              <w:t>1,142</w:t>
            </w:r>
          </w:p>
        </w:tc>
      </w:tr>
      <w:tr>
        <w:trPr>
          <w:trHeight w:val="256"/>
        </w:trPr>
        <w:tc>
          <w:tcPr>
            <w:tcW w:w="3120" w:type="dxa"/>
            <w:vAlign w:val="bottom"/>
          </w:tcPr>
          <w:p>
            <w:pPr>
              <w:spacing w:after="0"/>
              <w:rPr>
                <w:sz w:val="22"/>
                <w:szCs w:val="22"/>
                <w:color w:val="auto"/>
              </w:rPr>
            </w:pPr>
          </w:p>
        </w:tc>
        <w:tc>
          <w:tcPr>
            <w:tcW w:w="1540" w:type="dxa"/>
            <w:vAlign w:val="bottom"/>
          </w:tcPr>
          <w:p>
            <w:pPr>
              <w:ind w:left="220"/>
              <w:spacing w:after="0"/>
              <w:rPr>
                <w:sz w:val="20"/>
                <w:szCs w:val="20"/>
                <w:color w:val="auto"/>
              </w:rPr>
            </w:pPr>
            <w:r>
              <w:rPr>
                <w:rFonts w:ascii="Arial" w:cs="Arial" w:eastAsia="Arial" w:hAnsi="Arial"/>
                <w:sz w:val="18"/>
                <w:szCs w:val="18"/>
                <w:color w:val="auto"/>
              </w:rPr>
              <w:t>OPC Asset</w:t>
            </w:r>
          </w:p>
        </w:tc>
        <w:tc>
          <w:tcPr>
            <w:tcW w:w="1360" w:type="dxa"/>
            <w:vAlign w:val="bottom"/>
          </w:tcPr>
          <w:p>
            <w:pPr>
              <w:spacing w:after="0"/>
              <w:rPr>
                <w:sz w:val="22"/>
                <w:szCs w:val="22"/>
                <w:color w:val="auto"/>
              </w:rPr>
            </w:pPr>
          </w:p>
        </w:tc>
        <w:tc>
          <w:tcPr>
            <w:tcW w:w="2460" w:type="dxa"/>
            <w:vAlign w:val="bottom"/>
          </w:tcPr>
          <w:p>
            <w:pPr>
              <w:spacing w:after="0"/>
              <w:rPr>
                <w:sz w:val="22"/>
                <w:szCs w:val="22"/>
                <w:color w:val="auto"/>
              </w:rPr>
            </w:pPr>
          </w:p>
        </w:tc>
        <w:tc>
          <w:tcPr>
            <w:tcW w:w="1840" w:type="dxa"/>
            <w:vAlign w:val="bottom"/>
          </w:tcPr>
          <w:p>
            <w:pPr>
              <w:spacing w:after="0"/>
              <w:rPr>
                <w:sz w:val="22"/>
                <w:szCs w:val="22"/>
                <w:color w:val="auto"/>
              </w:rPr>
            </w:pPr>
          </w:p>
        </w:tc>
        <w:tc>
          <w:tcPr>
            <w:tcW w:w="1060" w:type="dxa"/>
            <w:vAlign w:val="bottom"/>
          </w:tcPr>
          <w:p>
            <w:pPr>
              <w:spacing w:after="0"/>
              <w:rPr>
                <w:sz w:val="22"/>
                <w:szCs w:val="22"/>
                <w:color w:val="auto"/>
              </w:rPr>
            </w:pPr>
          </w:p>
        </w:tc>
      </w:tr>
      <w:tr>
        <w:trPr>
          <w:trHeight w:val="216"/>
        </w:trPr>
        <w:tc>
          <w:tcPr>
            <w:tcW w:w="3120" w:type="dxa"/>
            <w:vAlign w:val="bottom"/>
          </w:tcPr>
          <w:p>
            <w:pPr>
              <w:spacing w:after="0"/>
              <w:rPr>
                <w:sz w:val="18"/>
                <w:szCs w:val="18"/>
                <w:color w:val="auto"/>
              </w:rPr>
            </w:pPr>
          </w:p>
        </w:tc>
        <w:tc>
          <w:tcPr>
            <w:tcW w:w="1540" w:type="dxa"/>
            <w:vAlign w:val="bottom"/>
          </w:tcPr>
          <w:p>
            <w:pPr>
              <w:ind w:left="220"/>
              <w:spacing w:after="0"/>
              <w:rPr>
                <w:sz w:val="20"/>
                <w:szCs w:val="20"/>
                <w:color w:val="auto"/>
              </w:rPr>
            </w:pPr>
            <w:r>
              <w:rPr>
                <w:rFonts w:ascii="Arial" w:cs="Arial" w:eastAsia="Arial" w:hAnsi="Arial"/>
                <w:sz w:val="18"/>
                <w:szCs w:val="18"/>
                <w:color w:val="auto"/>
              </w:rPr>
              <w:t>Solutions Pvt.</w:t>
            </w:r>
          </w:p>
        </w:tc>
        <w:tc>
          <w:tcPr>
            <w:tcW w:w="1360" w:type="dxa"/>
            <w:vAlign w:val="bottom"/>
          </w:tcPr>
          <w:p>
            <w:pPr>
              <w:spacing w:after="0"/>
              <w:rPr>
                <w:sz w:val="18"/>
                <w:szCs w:val="18"/>
                <w:color w:val="auto"/>
              </w:rPr>
            </w:pPr>
          </w:p>
        </w:tc>
        <w:tc>
          <w:tcPr>
            <w:tcW w:w="246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30"/>
        </w:trPr>
        <w:tc>
          <w:tcPr>
            <w:tcW w:w="3120" w:type="dxa"/>
            <w:vAlign w:val="bottom"/>
          </w:tcPr>
          <w:p>
            <w:pPr>
              <w:spacing w:after="0"/>
              <w:rPr>
                <w:sz w:val="20"/>
                <w:szCs w:val="20"/>
                <w:color w:val="auto"/>
              </w:rPr>
            </w:pPr>
            <w:r>
              <w:rPr>
                <w:rFonts w:ascii="Arial" w:cs="Arial" w:eastAsia="Arial" w:hAnsi="Arial"/>
                <w:sz w:val="18"/>
                <w:szCs w:val="18"/>
                <w:color w:val="auto"/>
              </w:rPr>
              <w:t>Euronet Services India Pvt. Ltd.</w:t>
            </w:r>
          </w:p>
        </w:tc>
        <w:tc>
          <w:tcPr>
            <w:tcW w:w="1540" w:type="dxa"/>
            <w:vAlign w:val="bottom"/>
          </w:tcPr>
          <w:p>
            <w:pPr>
              <w:ind w:left="220"/>
              <w:spacing w:after="0"/>
              <w:rPr>
                <w:sz w:val="20"/>
                <w:szCs w:val="20"/>
                <w:color w:val="auto"/>
              </w:rPr>
            </w:pPr>
            <w:r>
              <w:rPr>
                <w:rFonts w:ascii="Arial" w:cs="Arial" w:eastAsia="Arial" w:hAnsi="Arial"/>
                <w:sz w:val="18"/>
                <w:szCs w:val="18"/>
                <w:color w:val="auto"/>
              </w:rPr>
              <w:t>Ltd</w:t>
            </w:r>
          </w:p>
        </w:tc>
        <w:tc>
          <w:tcPr>
            <w:tcW w:w="1360" w:type="dxa"/>
            <w:vAlign w:val="bottom"/>
          </w:tcPr>
          <w:p>
            <w:pPr>
              <w:ind w:left="20"/>
              <w:spacing w:after="0"/>
              <w:rPr>
                <w:sz w:val="20"/>
                <w:szCs w:val="20"/>
                <w:color w:val="auto"/>
              </w:rPr>
            </w:pPr>
            <w:r>
              <w:rPr>
                <w:rFonts w:ascii="Arial" w:cs="Arial" w:eastAsia="Arial" w:hAnsi="Arial"/>
                <w:sz w:val="18"/>
                <w:szCs w:val="18"/>
                <w:color w:val="auto"/>
              </w:rPr>
              <w:t>Capital Lease</w:t>
            </w:r>
          </w:p>
        </w:tc>
        <w:tc>
          <w:tcPr>
            <w:tcW w:w="2460" w:type="dxa"/>
            <w:vAlign w:val="bottom"/>
          </w:tcPr>
          <w:p>
            <w:pPr>
              <w:ind w:left="340"/>
              <w:spacing w:after="0"/>
              <w:rPr>
                <w:sz w:val="20"/>
                <w:szCs w:val="20"/>
                <w:color w:val="auto"/>
              </w:rPr>
            </w:pPr>
            <w:r>
              <w:rPr>
                <w:rFonts w:ascii="Arial" w:cs="Arial" w:eastAsia="Arial" w:hAnsi="Arial"/>
                <w:sz w:val="18"/>
                <w:szCs w:val="18"/>
                <w:color w:val="auto"/>
              </w:rPr>
              <w:t>ATM/other related assets</w:t>
            </w:r>
          </w:p>
        </w:tc>
        <w:tc>
          <w:tcPr>
            <w:tcW w:w="1840" w:type="dxa"/>
            <w:vAlign w:val="bottom"/>
          </w:tcPr>
          <w:p>
            <w:pPr>
              <w:jc w:val="right"/>
              <w:ind w:right="210"/>
              <w:spacing w:after="0"/>
              <w:rPr>
                <w:sz w:val="20"/>
                <w:szCs w:val="20"/>
                <w:color w:val="auto"/>
              </w:rPr>
            </w:pPr>
            <w:r>
              <w:rPr>
                <w:rFonts w:ascii="Arial" w:cs="Arial" w:eastAsia="Arial" w:hAnsi="Arial"/>
                <w:sz w:val="18"/>
                <w:szCs w:val="18"/>
                <w:color w:val="auto"/>
              </w:rPr>
              <w:t>INR 94,714</w:t>
            </w:r>
          </w:p>
        </w:tc>
        <w:tc>
          <w:tcPr>
            <w:tcW w:w="1060" w:type="dxa"/>
            <w:vAlign w:val="bottom"/>
          </w:tcPr>
          <w:p>
            <w:pPr>
              <w:jc w:val="right"/>
              <w:spacing w:after="0"/>
              <w:rPr>
                <w:sz w:val="20"/>
                <w:szCs w:val="20"/>
                <w:color w:val="auto"/>
              </w:rPr>
            </w:pPr>
            <w:r>
              <w:rPr>
                <w:rFonts w:ascii="Arial" w:cs="Arial" w:eastAsia="Arial" w:hAnsi="Arial"/>
                <w:sz w:val="18"/>
                <w:szCs w:val="18"/>
                <w:color w:val="auto"/>
              </w:rPr>
              <w:t>1,511</w:t>
            </w:r>
          </w:p>
        </w:tc>
      </w:tr>
      <w:tr>
        <w:trPr>
          <w:trHeight w:val="256"/>
        </w:trPr>
        <w:tc>
          <w:tcPr>
            <w:tcW w:w="3120" w:type="dxa"/>
            <w:vAlign w:val="bottom"/>
          </w:tcPr>
          <w:p>
            <w:pPr>
              <w:spacing w:after="0"/>
              <w:rPr>
                <w:sz w:val="22"/>
                <w:szCs w:val="22"/>
                <w:color w:val="auto"/>
              </w:rPr>
            </w:pPr>
          </w:p>
        </w:tc>
        <w:tc>
          <w:tcPr>
            <w:tcW w:w="1540" w:type="dxa"/>
            <w:vAlign w:val="bottom"/>
          </w:tcPr>
          <w:p>
            <w:pPr>
              <w:ind w:left="220"/>
              <w:spacing w:after="0"/>
              <w:rPr>
                <w:sz w:val="20"/>
                <w:szCs w:val="20"/>
                <w:color w:val="auto"/>
              </w:rPr>
            </w:pPr>
            <w:r>
              <w:rPr>
                <w:rFonts w:ascii="Arial" w:cs="Arial" w:eastAsia="Arial" w:hAnsi="Arial"/>
                <w:sz w:val="18"/>
                <w:szCs w:val="18"/>
                <w:color w:val="auto"/>
              </w:rPr>
              <w:t>OPC Asset</w:t>
            </w:r>
          </w:p>
        </w:tc>
        <w:tc>
          <w:tcPr>
            <w:tcW w:w="1360" w:type="dxa"/>
            <w:vAlign w:val="bottom"/>
          </w:tcPr>
          <w:p>
            <w:pPr>
              <w:spacing w:after="0"/>
              <w:rPr>
                <w:sz w:val="22"/>
                <w:szCs w:val="22"/>
                <w:color w:val="auto"/>
              </w:rPr>
            </w:pPr>
          </w:p>
        </w:tc>
        <w:tc>
          <w:tcPr>
            <w:tcW w:w="2460" w:type="dxa"/>
            <w:vAlign w:val="bottom"/>
          </w:tcPr>
          <w:p>
            <w:pPr>
              <w:spacing w:after="0"/>
              <w:rPr>
                <w:sz w:val="22"/>
                <w:szCs w:val="22"/>
                <w:color w:val="auto"/>
              </w:rPr>
            </w:pPr>
          </w:p>
        </w:tc>
        <w:tc>
          <w:tcPr>
            <w:tcW w:w="1840" w:type="dxa"/>
            <w:vAlign w:val="bottom"/>
          </w:tcPr>
          <w:p>
            <w:pPr>
              <w:spacing w:after="0"/>
              <w:rPr>
                <w:sz w:val="22"/>
                <w:szCs w:val="22"/>
                <w:color w:val="auto"/>
              </w:rPr>
            </w:pPr>
          </w:p>
        </w:tc>
        <w:tc>
          <w:tcPr>
            <w:tcW w:w="1060" w:type="dxa"/>
            <w:vAlign w:val="bottom"/>
          </w:tcPr>
          <w:p>
            <w:pPr>
              <w:spacing w:after="0"/>
              <w:rPr>
                <w:sz w:val="22"/>
                <w:szCs w:val="22"/>
                <w:color w:val="auto"/>
              </w:rPr>
            </w:pPr>
          </w:p>
        </w:tc>
      </w:tr>
      <w:tr>
        <w:trPr>
          <w:trHeight w:val="216"/>
        </w:trPr>
        <w:tc>
          <w:tcPr>
            <w:tcW w:w="3120" w:type="dxa"/>
            <w:vAlign w:val="bottom"/>
          </w:tcPr>
          <w:p>
            <w:pPr>
              <w:spacing w:after="0"/>
              <w:rPr>
                <w:sz w:val="18"/>
                <w:szCs w:val="18"/>
                <w:color w:val="auto"/>
              </w:rPr>
            </w:pPr>
          </w:p>
        </w:tc>
        <w:tc>
          <w:tcPr>
            <w:tcW w:w="1540" w:type="dxa"/>
            <w:vAlign w:val="bottom"/>
          </w:tcPr>
          <w:p>
            <w:pPr>
              <w:ind w:left="220"/>
              <w:spacing w:after="0"/>
              <w:rPr>
                <w:sz w:val="20"/>
                <w:szCs w:val="20"/>
                <w:color w:val="auto"/>
              </w:rPr>
            </w:pPr>
            <w:r>
              <w:rPr>
                <w:rFonts w:ascii="Arial" w:cs="Arial" w:eastAsia="Arial" w:hAnsi="Arial"/>
                <w:sz w:val="18"/>
                <w:szCs w:val="18"/>
                <w:color w:val="auto"/>
              </w:rPr>
              <w:t>Solutions Pvt.</w:t>
            </w:r>
          </w:p>
        </w:tc>
        <w:tc>
          <w:tcPr>
            <w:tcW w:w="1360" w:type="dxa"/>
            <w:vAlign w:val="bottom"/>
          </w:tcPr>
          <w:p>
            <w:pPr>
              <w:spacing w:after="0"/>
              <w:rPr>
                <w:sz w:val="18"/>
                <w:szCs w:val="18"/>
                <w:color w:val="auto"/>
              </w:rPr>
            </w:pPr>
          </w:p>
        </w:tc>
        <w:tc>
          <w:tcPr>
            <w:tcW w:w="246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30"/>
        </w:trPr>
        <w:tc>
          <w:tcPr>
            <w:tcW w:w="3120" w:type="dxa"/>
            <w:vAlign w:val="bottom"/>
          </w:tcPr>
          <w:p>
            <w:pPr>
              <w:spacing w:after="0"/>
              <w:rPr>
                <w:sz w:val="20"/>
                <w:szCs w:val="20"/>
                <w:color w:val="auto"/>
              </w:rPr>
            </w:pPr>
            <w:r>
              <w:rPr>
                <w:rFonts w:ascii="Arial" w:cs="Arial" w:eastAsia="Arial" w:hAnsi="Arial"/>
                <w:sz w:val="18"/>
                <w:szCs w:val="18"/>
                <w:color w:val="auto"/>
              </w:rPr>
              <w:t>Euronet Services India Pvt. Ltd.</w:t>
            </w:r>
          </w:p>
        </w:tc>
        <w:tc>
          <w:tcPr>
            <w:tcW w:w="1540" w:type="dxa"/>
            <w:vAlign w:val="bottom"/>
          </w:tcPr>
          <w:p>
            <w:pPr>
              <w:ind w:left="220"/>
              <w:spacing w:after="0"/>
              <w:rPr>
                <w:sz w:val="20"/>
                <w:szCs w:val="20"/>
                <w:color w:val="auto"/>
              </w:rPr>
            </w:pPr>
            <w:r>
              <w:rPr>
                <w:rFonts w:ascii="Arial" w:cs="Arial" w:eastAsia="Arial" w:hAnsi="Arial"/>
                <w:sz w:val="18"/>
                <w:szCs w:val="18"/>
                <w:color w:val="auto"/>
              </w:rPr>
              <w:t>Ltd</w:t>
            </w:r>
          </w:p>
        </w:tc>
        <w:tc>
          <w:tcPr>
            <w:tcW w:w="1360" w:type="dxa"/>
            <w:vAlign w:val="bottom"/>
          </w:tcPr>
          <w:p>
            <w:pPr>
              <w:ind w:left="20"/>
              <w:spacing w:after="0"/>
              <w:rPr>
                <w:sz w:val="20"/>
                <w:szCs w:val="20"/>
                <w:color w:val="auto"/>
              </w:rPr>
            </w:pPr>
            <w:r>
              <w:rPr>
                <w:rFonts w:ascii="Arial" w:cs="Arial" w:eastAsia="Arial" w:hAnsi="Arial"/>
                <w:sz w:val="18"/>
                <w:szCs w:val="18"/>
                <w:color w:val="auto"/>
              </w:rPr>
              <w:t>Capital Lease</w:t>
            </w:r>
          </w:p>
        </w:tc>
        <w:tc>
          <w:tcPr>
            <w:tcW w:w="2460" w:type="dxa"/>
            <w:vAlign w:val="bottom"/>
          </w:tcPr>
          <w:p>
            <w:pPr>
              <w:ind w:left="340"/>
              <w:spacing w:after="0"/>
              <w:rPr>
                <w:sz w:val="20"/>
                <w:szCs w:val="20"/>
                <w:color w:val="auto"/>
              </w:rPr>
            </w:pPr>
            <w:r>
              <w:rPr>
                <w:rFonts w:ascii="Arial" w:cs="Arial" w:eastAsia="Arial" w:hAnsi="Arial"/>
                <w:sz w:val="18"/>
                <w:szCs w:val="18"/>
                <w:color w:val="auto"/>
              </w:rPr>
              <w:t>ATM/other related assets</w:t>
            </w:r>
          </w:p>
        </w:tc>
        <w:tc>
          <w:tcPr>
            <w:tcW w:w="1840" w:type="dxa"/>
            <w:vAlign w:val="bottom"/>
          </w:tcPr>
          <w:p>
            <w:pPr>
              <w:jc w:val="right"/>
              <w:ind w:right="210"/>
              <w:spacing w:after="0"/>
              <w:rPr>
                <w:sz w:val="20"/>
                <w:szCs w:val="20"/>
                <w:color w:val="auto"/>
              </w:rPr>
            </w:pPr>
            <w:r>
              <w:rPr>
                <w:rFonts w:ascii="Arial" w:cs="Arial" w:eastAsia="Arial" w:hAnsi="Arial"/>
                <w:sz w:val="18"/>
                <w:szCs w:val="18"/>
                <w:color w:val="auto"/>
              </w:rPr>
              <w:t>INR 15,238</w:t>
            </w:r>
          </w:p>
        </w:tc>
        <w:tc>
          <w:tcPr>
            <w:tcW w:w="1060" w:type="dxa"/>
            <w:vAlign w:val="bottom"/>
          </w:tcPr>
          <w:p>
            <w:pPr>
              <w:jc w:val="right"/>
              <w:spacing w:after="0"/>
              <w:rPr>
                <w:sz w:val="20"/>
                <w:szCs w:val="20"/>
                <w:color w:val="auto"/>
              </w:rPr>
            </w:pPr>
            <w:r>
              <w:rPr>
                <w:rFonts w:ascii="Arial" w:cs="Arial" w:eastAsia="Arial" w:hAnsi="Arial"/>
                <w:sz w:val="18"/>
                <w:szCs w:val="18"/>
                <w:color w:val="auto"/>
              </w:rPr>
              <w:t>243</w:t>
            </w:r>
          </w:p>
        </w:tc>
      </w:tr>
      <w:tr>
        <w:trPr>
          <w:trHeight w:val="256"/>
        </w:trPr>
        <w:tc>
          <w:tcPr>
            <w:tcW w:w="3120" w:type="dxa"/>
            <w:vAlign w:val="bottom"/>
          </w:tcPr>
          <w:p>
            <w:pPr>
              <w:spacing w:after="0"/>
              <w:rPr>
                <w:sz w:val="22"/>
                <w:szCs w:val="22"/>
                <w:color w:val="auto"/>
              </w:rPr>
            </w:pPr>
          </w:p>
        </w:tc>
        <w:tc>
          <w:tcPr>
            <w:tcW w:w="1540" w:type="dxa"/>
            <w:vAlign w:val="bottom"/>
          </w:tcPr>
          <w:p>
            <w:pPr>
              <w:ind w:left="220"/>
              <w:spacing w:after="0"/>
              <w:rPr>
                <w:sz w:val="20"/>
                <w:szCs w:val="20"/>
                <w:color w:val="auto"/>
              </w:rPr>
            </w:pPr>
            <w:r>
              <w:rPr>
                <w:rFonts w:ascii="Arial" w:cs="Arial" w:eastAsia="Arial" w:hAnsi="Arial"/>
                <w:sz w:val="18"/>
                <w:szCs w:val="18"/>
                <w:color w:val="auto"/>
              </w:rPr>
              <w:t>OPC Asset</w:t>
            </w:r>
          </w:p>
        </w:tc>
        <w:tc>
          <w:tcPr>
            <w:tcW w:w="1360" w:type="dxa"/>
            <w:vAlign w:val="bottom"/>
          </w:tcPr>
          <w:p>
            <w:pPr>
              <w:spacing w:after="0"/>
              <w:rPr>
                <w:sz w:val="22"/>
                <w:szCs w:val="22"/>
                <w:color w:val="auto"/>
              </w:rPr>
            </w:pPr>
          </w:p>
        </w:tc>
        <w:tc>
          <w:tcPr>
            <w:tcW w:w="2460" w:type="dxa"/>
            <w:vAlign w:val="bottom"/>
          </w:tcPr>
          <w:p>
            <w:pPr>
              <w:spacing w:after="0"/>
              <w:rPr>
                <w:sz w:val="22"/>
                <w:szCs w:val="22"/>
                <w:color w:val="auto"/>
              </w:rPr>
            </w:pPr>
          </w:p>
        </w:tc>
        <w:tc>
          <w:tcPr>
            <w:tcW w:w="1840" w:type="dxa"/>
            <w:vAlign w:val="bottom"/>
          </w:tcPr>
          <w:p>
            <w:pPr>
              <w:spacing w:after="0"/>
              <w:rPr>
                <w:sz w:val="22"/>
                <w:szCs w:val="22"/>
                <w:color w:val="auto"/>
              </w:rPr>
            </w:pPr>
          </w:p>
        </w:tc>
        <w:tc>
          <w:tcPr>
            <w:tcW w:w="1060" w:type="dxa"/>
            <w:vAlign w:val="bottom"/>
          </w:tcPr>
          <w:p>
            <w:pPr>
              <w:spacing w:after="0"/>
              <w:rPr>
                <w:sz w:val="22"/>
                <w:szCs w:val="22"/>
                <w:color w:val="auto"/>
              </w:rPr>
            </w:pPr>
          </w:p>
        </w:tc>
      </w:tr>
      <w:tr>
        <w:trPr>
          <w:trHeight w:val="216"/>
        </w:trPr>
        <w:tc>
          <w:tcPr>
            <w:tcW w:w="3120" w:type="dxa"/>
            <w:vAlign w:val="bottom"/>
          </w:tcPr>
          <w:p>
            <w:pPr>
              <w:spacing w:after="0"/>
              <w:rPr>
                <w:sz w:val="18"/>
                <w:szCs w:val="18"/>
                <w:color w:val="auto"/>
              </w:rPr>
            </w:pPr>
          </w:p>
        </w:tc>
        <w:tc>
          <w:tcPr>
            <w:tcW w:w="1540" w:type="dxa"/>
            <w:vAlign w:val="bottom"/>
          </w:tcPr>
          <w:p>
            <w:pPr>
              <w:ind w:left="220"/>
              <w:spacing w:after="0"/>
              <w:rPr>
                <w:sz w:val="20"/>
                <w:szCs w:val="20"/>
                <w:color w:val="auto"/>
              </w:rPr>
            </w:pPr>
            <w:r>
              <w:rPr>
                <w:rFonts w:ascii="Arial" w:cs="Arial" w:eastAsia="Arial" w:hAnsi="Arial"/>
                <w:sz w:val="18"/>
                <w:szCs w:val="18"/>
                <w:color w:val="auto"/>
              </w:rPr>
              <w:t>Solutions Pvt.</w:t>
            </w:r>
          </w:p>
        </w:tc>
        <w:tc>
          <w:tcPr>
            <w:tcW w:w="1360" w:type="dxa"/>
            <w:vAlign w:val="bottom"/>
          </w:tcPr>
          <w:p>
            <w:pPr>
              <w:spacing w:after="0"/>
              <w:rPr>
                <w:sz w:val="18"/>
                <w:szCs w:val="18"/>
                <w:color w:val="auto"/>
              </w:rPr>
            </w:pPr>
          </w:p>
        </w:tc>
        <w:tc>
          <w:tcPr>
            <w:tcW w:w="246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30"/>
        </w:trPr>
        <w:tc>
          <w:tcPr>
            <w:tcW w:w="3120" w:type="dxa"/>
            <w:vAlign w:val="bottom"/>
          </w:tcPr>
          <w:p>
            <w:pPr>
              <w:spacing w:after="0"/>
              <w:rPr>
                <w:sz w:val="20"/>
                <w:szCs w:val="20"/>
                <w:color w:val="auto"/>
              </w:rPr>
            </w:pPr>
            <w:r>
              <w:rPr>
                <w:rFonts w:ascii="Arial" w:cs="Arial" w:eastAsia="Arial" w:hAnsi="Arial"/>
                <w:sz w:val="18"/>
                <w:szCs w:val="18"/>
                <w:color w:val="auto"/>
              </w:rPr>
              <w:t>Euronet Services India Pvt. Ltd.</w:t>
            </w:r>
          </w:p>
        </w:tc>
        <w:tc>
          <w:tcPr>
            <w:tcW w:w="1540" w:type="dxa"/>
            <w:vAlign w:val="bottom"/>
          </w:tcPr>
          <w:p>
            <w:pPr>
              <w:ind w:left="220"/>
              <w:spacing w:after="0"/>
              <w:rPr>
                <w:sz w:val="20"/>
                <w:szCs w:val="20"/>
                <w:color w:val="auto"/>
              </w:rPr>
            </w:pPr>
            <w:r>
              <w:rPr>
                <w:rFonts w:ascii="Arial" w:cs="Arial" w:eastAsia="Arial" w:hAnsi="Arial"/>
                <w:sz w:val="18"/>
                <w:szCs w:val="18"/>
                <w:color w:val="auto"/>
              </w:rPr>
              <w:t>Ltd</w:t>
            </w:r>
          </w:p>
        </w:tc>
        <w:tc>
          <w:tcPr>
            <w:tcW w:w="1360" w:type="dxa"/>
            <w:vAlign w:val="bottom"/>
          </w:tcPr>
          <w:p>
            <w:pPr>
              <w:ind w:left="20"/>
              <w:spacing w:after="0"/>
              <w:rPr>
                <w:sz w:val="20"/>
                <w:szCs w:val="20"/>
                <w:color w:val="auto"/>
              </w:rPr>
            </w:pPr>
            <w:r>
              <w:rPr>
                <w:rFonts w:ascii="Arial" w:cs="Arial" w:eastAsia="Arial" w:hAnsi="Arial"/>
                <w:sz w:val="18"/>
                <w:szCs w:val="18"/>
                <w:color w:val="auto"/>
              </w:rPr>
              <w:t>Capital Lease</w:t>
            </w:r>
          </w:p>
        </w:tc>
        <w:tc>
          <w:tcPr>
            <w:tcW w:w="2460" w:type="dxa"/>
            <w:vAlign w:val="bottom"/>
          </w:tcPr>
          <w:p>
            <w:pPr>
              <w:ind w:left="340"/>
              <w:spacing w:after="0"/>
              <w:rPr>
                <w:sz w:val="20"/>
                <w:szCs w:val="20"/>
                <w:color w:val="auto"/>
              </w:rPr>
            </w:pPr>
            <w:r>
              <w:rPr>
                <w:rFonts w:ascii="Arial" w:cs="Arial" w:eastAsia="Arial" w:hAnsi="Arial"/>
                <w:sz w:val="18"/>
                <w:szCs w:val="18"/>
                <w:color w:val="auto"/>
              </w:rPr>
              <w:t>ATM/other related assets</w:t>
            </w:r>
          </w:p>
        </w:tc>
        <w:tc>
          <w:tcPr>
            <w:tcW w:w="1840" w:type="dxa"/>
            <w:vAlign w:val="bottom"/>
          </w:tcPr>
          <w:p>
            <w:pPr>
              <w:jc w:val="right"/>
              <w:ind w:right="210"/>
              <w:spacing w:after="0"/>
              <w:rPr>
                <w:sz w:val="20"/>
                <w:szCs w:val="20"/>
                <w:color w:val="auto"/>
              </w:rPr>
            </w:pPr>
            <w:r>
              <w:rPr>
                <w:rFonts w:ascii="Arial" w:cs="Arial" w:eastAsia="Arial" w:hAnsi="Arial"/>
                <w:sz w:val="18"/>
                <w:szCs w:val="18"/>
                <w:color w:val="auto"/>
              </w:rPr>
              <w:t>INR 11,285</w:t>
            </w:r>
          </w:p>
        </w:tc>
        <w:tc>
          <w:tcPr>
            <w:tcW w:w="1060" w:type="dxa"/>
            <w:vAlign w:val="bottom"/>
          </w:tcPr>
          <w:p>
            <w:pPr>
              <w:jc w:val="right"/>
              <w:spacing w:after="0"/>
              <w:rPr>
                <w:sz w:val="20"/>
                <w:szCs w:val="20"/>
                <w:color w:val="auto"/>
              </w:rPr>
            </w:pPr>
            <w:r>
              <w:rPr>
                <w:rFonts w:ascii="Arial" w:cs="Arial" w:eastAsia="Arial" w:hAnsi="Arial"/>
                <w:sz w:val="18"/>
                <w:szCs w:val="18"/>
                <w:color w:val="auto"/>
              </w:rPr>
              <w:t>180</w:t>
            </w:r>
          </w:p>
        </w:tc>
      </w:tr>
      <w:tr>
        <w:trPr>
          <w:trHeight w:val="256"/>
        </w:trPr>
        <w:tc>
          <w:tcPr>
            <w:tcW w:w="3120" w:type="dxa"/>
            <w:vAlign w:val="bottom"/>
          </w:tcPr>
          <w:p>
            <w:pPr>
              <w:spacing w:after="0"/>
              <w:rPr>
                <w:sz w:val="22"/>
                <w:szCs w:val="22"/>
                <w:color w:val="auto"/>
              </w:rPr>
            </w:pPr>
          </w:p>
        </w:tc>
        <w:tc>
          <w:tcPr>
            <w:tcW w:w="1540" w:type="dxa"/>
            <w:vAlign w:val="bottom"/>
          </w:tcPr>
          <w:p>
            <w:pPr>
              <w:ind w:left="220"/>
              <w:spacing w:after="0"/>
              <w:rPr>
                <w:sz w:val="20"/>
                <w:szCs w:val="20"/>
                <w:color w:val="auto"/>
              </w:rPr>
            </w:pPr>
            <w:r>
              <w:rPr>
                <w:rFonts w:ascii="Arial" w:cs="Arial" w:eastAsia="Arial" w:hAnsi="Arial"/>
                <w:sz w:val="18"/>
                <w:szCs w:val="18"/>
                <w:color w:val="auto"/>
              </w:rPr>
              <w:t>OPC Asset</w:t>
            </w:r>
          </w:p>
        </w:tc>
        <w:tc>
          <w:tcPr>
            <w:tcW w:w="1360" w:type="dxa"/>
            <w:vAlign w:val="bottom"/>
          </w:tcPr>
          <w:p>
            <w:pPr>
              <w:spacing w:after="0"/>
              <w:rPr>
                <w:sz w:val="22"/>
                <w:szCs w:val="22"/>
                <w:color w:val="auto"/>
              </w:rPr>
            </w:pPr>
          </w:p>
        </w:tc>
        <w:tc>
          <w:tcPr>
            <w:tcW w:w="2460" w:type="dxa"/>
            <w:vAlign w:val="bottom"/>
          </w:tcPr>
          <w:p>
            <w:pPr>
              <w:spacing w:after="0"/>
              <w:rPr>
                <w:sz w:val="22"/>
                <w:szCs w:val="22"/>
                <w:color w:val="auto"/>
              </w:rPr>
            </w:pPr>
          </w:p>
        </w:tc>
        <w:tc>
          <w:tcPr>
            <w:tcW w:w="1840" w:type="dxa"/>
            <w:vAlign w:val="bottom"/>
          </w:tcPr>
          <w:p>
            <w:pPr>
              <w:spacing w:after="0"/>
              <w:rPr>
                <w:sz w:val="22"/>
                <w:szCs w:val="22"/>
                <w:color w:val="auto"/>
              </w:rPr>
            </w:pPr>
          </w:p>
        </w:tc>
        <w:tc>
          <w:tcPr>
            <w:tcW w:w="1060" w:type="dxa"/>
            <w:vAlign w:val="bottom"/>
          </w:tcPr>
          <w:p>
            <w:pPr>
              <w:spacing w:after="0"/>
              <w:rPr>
                <w:sz w:val="22"/>
                <w:szCs w:val="22"/>
                <w:color w:val="auto"/>
              </w:rPr>
            </w:pPr>
          </w:p>
        </w:tc>
      </w:tr>
      <w:tr>
        <w:trPr>
          <w:trHeight w:val="216"/>
        </w:trPr>
        <w:tc>
          <w:tcPr>
            <w:tcW w:w="3120" w:type="dxa"/>
            <w:vAlign w:val="bottom"/>
          </w:tcPr>
          <w:p>
            <w:pPr>
              <w:spacing w:after="0"/>
              <w:rPr>
                <w:sz w:val="18"/>
                <w:szCs w:val="18"/>
                <w:color w:val="auto"/>
              </w:rPr>
            </w:pPr>
          </w:p>
        </w:tc>
        <w:tc>
          <w:tcPr>
            <w:tcW w:w="1540" w:type="dxa"/>
            <w:vAlign w:val="bottom"/>
          </w:tcPr>
          <w:p>
            <w:pPr>
              <w:ind w:left="220"/>
              <w:spacing w:after="0"/>
              <w:rPr>
                <w:sz w:val="20"/>
                <w:szCs w:val="20"/>
                <w:color w:val="auto"/>
              </w:rPr>
            </w:pPr>
            <w:r>
              <w:rPr>
                <w:rFonts w:ascii="Arial" w:cs="Arial" w:eastAsia="Arial" w:hAnsi="Arial"/>
                <w:sz w:val="18"/>
                <w:szCs w:val="18"/>
                <w:color w:val="auto"/>
              </w:rPr>
              <w:t>Solutions Pvt.</w:t>
            </w:r>
          </w:p>
        </w:tc>
        <w:tc>
          <w:tcPr>
            <w:tcW w:w="1360" w:type="dxa"/>
            <w:vAlign w:val="bottom"/>
          </w:tcPr>
          <w:p>
            <w:pPr>
              <w:spacing w:after="0"/>
              <w:rPr>
                <w:sz w:val="18"/>
                <w:szCs w:val="18"/>
                <w:color w:val="auto"/>
              </w:rPr>
            </w:pPr>
          </w:p>
        </w:tc>
        <w:tc>
          <w:tcPr>
            <w:tcW w:w="246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30"/>
        </w:trPr>
        <w:tc>
          <w:tcPr>
            <w:tcW w:w="3120" w:type="dxa"/>
            <w:vAlign w:val="bottom"/>
          </w:tcPr>
          <w:p>
            <w:pPr>
              <w:spacing w:after="0"/>
              <w:rPr>
                <w:sz w:val="20"/>
                <w:szCs w:val="20"/>
                <w:color w:val="auto"/>
              </w:rPr>
            </w:pPr>
            <w:r>
              <w:rPr>
                <w:rFonts w:ascii="Arial" w:cs="Arial" w:eastAsia="Arial" w:hAnsi="Arial"/>
                <w:sz w:val="18"/>
                <w:szCs w:val="18"/>
                <w:color w:val="auto"/>
              </w:rPr>
              <w:t>Euronet Services India Pvt. Ltd.</w:t>
            </w:r>
          </w:p>
        </w:tc>
        <w:tc>
          <w:tcPr>
            <w:tcW w:w="1540" w:type="dxa"/>
            <w:vAlign w:val="bottom"/>
          </w:tcPr>
          <w:p>
            <w:pPr>
              <w:ind w:left="220"/>
              <w:spacing w:after="0"/>
              <w:rPr>
                <w:sz w:val="20"/>
                <w:szCs w:val="20"/>
                <w:color w:val="auto"/>
              </w:rPr>
            </w:pPr>
            <w:r>
              <w:rPr>
                <w:rFonts w:ascii="Arial" w:cs="Arial" w:eastAsia="Arial" w:hAnsi="Arial"/>
                <w:sz w:val="18"/>
                <w:szCs w:val="18"/>
                <w:color w:val="auto"/>
              </w:rPr>
              <w:t>Ltd</w:t>
            </w:r>
          </w:p>
        </w:tc>
        <w:tc>
          <w:tcPr>
            <w:tcW w:w="1360" w:type="dxa"/>
            <w:vAlign w:val="bottom"/>
          </w:tcPr>
          <w:p>
            <w:pPr>
              <w:ind w:left="20"/>
              <w:spacing w:after="0"/>
              <w:rPr>
                <w:sz w:val="20"/>
                <w:szCs w:val="20"/>
                <w:color w:val="auto"/>
              </w:rPr>
            </w:pPr>
            <w:r>
              <w:rPr>
                <w:rFonts w:ascii="Arial" w:cs="Arial" w:eastAsia="Arial" w:hAnsi="Arial"/>
                <w:sz w:val="18"/>
                <w:szCs w:val="18"/>
                <w:color w:val="auto"/>
              </w:rPr>
              <w:t>Capital Lease</w:t>
            </w:r>
          </w:p>
        </w:tc>
        <w:tc>
          <w:tcPr>
            <w:tcW w:w="2460" w:type="dxa"/>
            <w:vAlign w:val="bottom"/>
          </w:tcPr>
          <w:p>
            <w:pPr>
              <w:ind w:left="340"/>
              <w:spacing w:after="0"/>
              <w:rPr>
                <w:sz w:val="20"/>
                <w:szCs w:val="20"/>
                <w:color w:val="auto"/>
              </w:rPr>
            </w:pPr>
            <w:r>
              <w:rPr>
                <w:rFonts w:ascii="Arial" w:cs="Arial" w:eastAsia="Arial" w:hAnsi="Arial"/>
                <w:sz w:val="18"/>
                <w:szCs w:val="18"/>
                <w:color w:val="auto"/>
              </w:rPr>
              <w:t>ATM/other related assets</w:t>
            </w:r>
          </w:p>
        </w:tc>
        <w:tc>
          <w:tcPr>
            <w:tcW w:w="1840" w:type="dxa"/>
            <w:vAlign w:val="bottom"/>
          </w:tcPr>
          <w:p>
            <w:pPr>
              <w:jc w:val="right"/>
              <w:ind w:right="210"/>
              <w:spacing w:after="0"/>
              <w:rPr>
                <w:sz w:val="20"/>
                <w:szCs w:val="20"/>
                <w:color w:val="auto"/>
              </w:rPr>
            </w:pPr>
            <w:r>
              <w:rPr>
                <w:rFonts w:ascii="Arial" w:cs="Arial" w:eastAsia="Arial" w:hAnsi="Arial"/>
                <w:sz w:val="18"/>
                <w:szCs w:val="18"/>
                <w:color w:val="auto"/>
              </w:rPr>
              <w:t>INR 21,912,142</w:t>
            </w:r>
          </w:p>
        </w:tc>
        <w:tc>
          <w:tcPr>
            <w:tcW w:w="1060" w:type="dxa"/>
            <w:vAlign w:val="bottom"/>
          </w:tcPr>
          <w:p>
            <w:pPr>
              <w:jc w:val="right"/>
              <w:spacing w:after="0"/>
              <w:rPr>
                <w:sz w:val="20"/>
                <w:szCs w:val="20"/>
                <w:color w:val="auto"/>
              </w:rPr>
            </w:pPr>
            <w:r>
              <w:rPr>
                <w:rFonts w:ascii="Arial" w:cs="Arial" w:eastAsia="Arial" w:hAnsi="Arial"/>
                <w:sz w:val="18"/>
                <w:szCs w:val="18"/>
                <w:color w:val="auto"/>
              </w:rPr>
              <w:t>349,587</w:t>
            </w:r>
          </w:p>
        </w:tc>
      </w:tr>
      <w:tr>
        <w:trPr>
          <w:trHeight w:val="256"/>
        </w:trPr>
        <w:tc>
          <w:tcPr>
            <w:tcW w:w="3120" w:type="dxa"/>
            <w:vAlign w:val="bottom"/>
          </w:tcPr>
          <w:p>
            <w:pPr>
              <w:spacing w:after="0"/>
              <w:rPr>
                <w:sz w:val="22"/>
                <w:szCs w:val="22"/>
                <w:color w:val="auto"/>
              </w:rPr>
            </w:pPr>
          </w:p>
        </w:tc>
        <w:tc>
          <w:tcPr>
            <w:tcW w:w="1540" w:type="dxa"/>
            <w:vAlign w:val="bottom"/>
          </w:tcPr>
          <w:p>
            <w:pPr>
              <w:ind w:left="220"/>
              <w:spacing w:after="0"/>
              <w:rPr>
                <w:sz w:val="20"/>
                <w:szCs w:val="20"/>
                <w:color w:val="auto"/>
              </w:rPr>
            </w:pPr>
            <w:r>
              <w:rPr>
                <w:rFonts w:ascii="Arial" w:cs="Arial" w:eastAsia="Arial" w:hAnsi="Arial"/>
                <w:sz w:val="18"/>
                <w:szCs w:val="18"/>
                <w:color w:val="auto"/>
              </w:rPr>
              <w:t>OPC Asset</w:t>
            </w:r>
          </w:p>
        </w:tc>
        <w:tc>
          <w:tcPr>
            <w:tcW w:w="1360" w:type="dxa"/>
            <w:vAlign w:val="bottom"/>
          </w:tcPr>
          <w:p>
            <w:pPr>
              <w:spacing w:after="0"/>
              <w:rPr>
                <w:sz w:val="22"/>
                <w:szCs w:val="22"/>
                <w:color w:val="auto"/>
              </w:rPr>
            </w:pPr>
          </w:p>
        </w:tc>
        <w:tc>
          <w:tcPr>
            <w:tcW w:w="2460" w:type="dxa"/>
            <w:vAlign w:val="bottom"/>
          </w:tcPr>
          <w:p>
            <w:pPr>
              <w:spacing w:after="0"/>
              <w:rPr>
                <w:sz w:val="22"/>
                <w:szCs w:val="22"/>
                <w:color w:val="auto"/>
              </w:rPr>
            </w:pPr>
          </w:p>
        </w:tc>
        <w:tc>
          <w:tcPr>
            <w:tcW w:w="1840" w:type="dxa"/>
            <w:vAlign w:val="bottom"/>
          </w:tcPr>
          <w:p>
            <w:pPr>
              <w:spacing w:after="0"/>
              <w:rPr>
                <w:sz w:val="22"/>
                <w:szCs w:val="22"/>
                <w:color w:val="auto"/>
              </w:rPr>
            </w:pPr>
          </w:p>
        </w:tc>
        <w:tc>
          <w:tcPr>
            <w:tcW w:w="1060" w:type="dxa"/>
            <w:vAlign w:val="bottom"/>
          </w:tcPr>
          <w:p>
            <w:pPr>
              <w:spacing w:after="0"/>
              <w:rPr>
                <w:sz w:val="22"/>
                <w:szCs w:val="22"/>
                <w:color w:val="auto"/>
              </w:rPr>
            </w:pPr>
          </w:p>
        </w:tc>
      </w:tr>
      <w:tr>
        <w:trPr>
          <w:trHeight w:val="216"/>
        </w:trPr>
        <w:tc>
          <w:tcPr>
            <w:tcW w:w="3120" w:type="dxa"/>
            <w:vAlign w:val="bottom"/>
          </w:tcPr>
          <w:p>
            <w:pPr>
              <w:spacing w:after="0"/>
              <w:rPr>
                <w:sz w:val="18"/>
                <w:szCs w:val="18"/>
                <w:color w:val="auto"/>
              </w:rPr>
            </w:pPr>
          </w:p>
        </w:tc>
        <w:tc>
          <w:tcPr>
            <w:tcW w:w="1540" w:type="dxa"/>
            <w:vAlign w:val="bottom"/>
          </w:tcPr>
          <w:p>
            <w:pPr>
              <w:ind w:left="220"/>
              <w:spacing w:after="0"/>
              <w:rPr>
                <w:sz w:val="20"/>
                <w:szCs w:val="20"/>
                <w:color w:val="auto"/>
              </w:rPr>
            </w:pPr>
            <w:r>
              <w:rPr>
                <w:rFonts w:ascii="Arial" w:cs="Arial" w:eastAsia="Arial" w:hAnsi="Arial"/>
                <w:sz w:val="18"/>
                <w:szCs w:val="18"/>
                <w:color w:val="auto"/>
              </w:rPr>
              <w:t>Solutions Pvt.</w:t>
            </w:r>
          </w:p>
        </w:tc>
        <w:tc>
          <w:tcPr>
            <w:tcW w:w="1360" w:type="dxa"/>
            <w:vAlign w:val="bottom"/>
          </w:tcPr>
          <w:p>
            <w:pPr>
              <w:spacing w:after="0"/>
              <w:rPr>
                <w:sz w:val="18"/>
                <w:szCs w:val="18"/>
                <w:color w:val="auto"/>
              </w:rPr>
            </w:pPr>
          </w:p>
        </w:tc>
        <w:tc>
          <w:tcPr>
            <w:tcW w:w="246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30"/>
        </w:trPr>
        <w:tc>
          <w:tcPr>
            <w:tcW w:w="3120" w:type="dxa"/>
            <w:vAlign w:val="bottom"/>
          </w:tcPr>
          <w:p>
            <w:pPr>
              <w:spacing w:after="0"/>
              <w:rPr>
                <w:sz w:val="20"/>
                <w:szCs w:val="20"/>
                <w:color w:val="auto"/>
              </w:rPr>
            </w:pPr>
            <w:r>
              <w:rPr>
                <w:rFonts w:ascii="Arial" w:cs="Arial" w:eastAsia="Arial" w:hAnsi="Arial"/>
                <w:sz w:val="18"/>
                <w:szCs w:val="18"/>
                <w:color w:val="auto"/>
              </w:rPr>
              <w:t>Euronet Services India Pvt. Ltd.</w:t>
            </w:r>
          </w:p>
        </w:tc>
        <w:tc>
          <w:tcPr>
            <w:tcW w:w="1540" w:type="dxa"/>
            <w:vAlign w:val="bottom"/>
          </w:tcPr>
          <w:p>
            <w:pPr>
              <w:ind w:left="220"/>
              <w:spacing w:after="0"/>
              <w:rPr>
                <w:sz w:val="20"/>
                <w:szCs w:val="20"/>
                <w:color w:val="auto"/>
              </w:rPr>
            </w:pPr>
            <w:r>
              <w:rPr>
                <w:rFonts w:ascii="Arial" w:cs="Arial" w:eastAsia="Arial" w:hAnsi="Arial"/>
                <w:sz w:val="18"/>
                <w:szCs w:val="18"/>
                <w:color w:val="auto"/>
              </w:rPr>
              <w:t>Ltd</w:t>
            </w:r>
          </w:p>
        </w:tc>
        <w:tc>
          <w:tcPr>
            <w:tcW w:w="1360" w:type="dxa"/>
            <w:vAlign w:val="bottom"/>
          </w:tcPr>
          <w:p>
            <w:pPr>
              <w:ind w:left="20"/>
              <w:spacing w:after="0"/>
              <w:rPr>
                <w:sz w:val="20"/>
                <w:szCs w:val="20"/>
                <w:color w:val="auto"/>
              </w:rPr>
            </w:pPr>
            <w:r>
              <w:rPr>
                <w:rFonts w:ascii="Arial" w:cs="Arial" w:eastAsia="Arial" w:hAnsi="Arial"/>
                <w:sz w:val="18"/>
                <w:szCs w:val="18"/>
                <w:color w:val="auto"/>
              </w:rPr>
              <w:t>Capital Lease</w:t>
            </w:r>
          </w:p>
        </w:tc>
        <w:tc>
          <w:tcPr>
            <w:tcW w:w="2460" w:type="dxa"/>
            <w:vAlign w:val="bottom"/>
          </w:tcPr>
          <w:p>
            <w:pPr>
              <w:ind w:left="340"/>
              <w:spacing w:after="0"/>
              <w:rPr>
                <w:sz w:val="20"/>
                <w:szCs w:val="20"/>
                <w:color w:val="auto"/>
              </w:rPr>
            </w:pPr>
            <w:r>
              <w:rPr>
                <w:rFonts w:ascii="Arial" w:cs="Arial" w:eastAsia="Arial" w:hAnsi="Arial"/>
                <w:sz w:val="18"/>
                <w:szCs w:val="18"/>
                <w:color w:val="auto"/>
              </w:rPr>
              <w:t>ATM/other related assets</w:t>
            </w:r>
          </w:p>
        </w:tc>
        <w:tc>
          <w:tcPr>
            <w:tcW w:w="1840" w:type="dxa"/>
            <w:vAlign w:val="bottom"/>
          </w:tcPr>
          <w:p>
            <w:pPr>
              <w:jc w:val="right"/>
              <w:ind w:right="210"/>
              <w:spacing w:after="0"/>
              <w:rPr>
                <w:sz w:val="20"/>
                <w:szCs w:val="20"/>
                <w:color w:val="auto"/>
              </w:rPr>
            </w:pPr>
            <w:r>
              <w:rPr>
                <w:rFonts w:ascii="Arial" w:cs="Arial" w:eastAsia="Arial" w:hAnsi="Arial"/>
                <w:sz w:val="18"/>
                <w:szCs w:val="18"/>
                <w:color w:val="auto"/>
              </w:rPr>
              <w:t>INR 46,784,726</w:t>
            </w:r>
          </w:p>
        </w:tc>
        <w:tc>
          <w:tcPr>
            <w:tcW w:w="1060" w:type="dxa"/>
            <w:vAlign w:val="bottom"/>
          </w:tcPr>
          <w:p>
            <w:pPr>
              <w:jc w:val="right"/>
              <w:spacing w:after="0"/>
              <w:rPr>
                <w:sz w:val="20"/>
                <w:szCs w:val="20"/>
                <w:color w:val="auto"/>
              </w:rPr>
            </w:pPr>
            <w:r>
              <w:rPr>
                <w:rFonts w:ascii="Arial" w:cs="Arial" w:eastAsia="Arial" w:hAnsi="Arial"/>
                <w:sz w:val="18"/>
                <w:szCs w:val="18"/>
                <w:color w:val="auto"/>
              </w:rPr>
              <w:t>746,406</w:t>
            </w:r>
          </w:p>
        </w:tc>
      </w:tr>
      <w:tr>
        <w:trPr>
          <w:trHeight w:val="256"/>
        </w:trPr>
        <w:tc>
          <w:tcPr>
            <w:tcW w:w="3120" w:type="dxa"/>
            <w:vAlign w:val="bottom"/>
          </w:tcPr>
          <w:p>
            <w:pPr>
              <w:spacing w:after="0"/>
              <w:rPr>
                <w:sz w:val="22"/>
                <w:szCs w:val="22"/>
                <w:color w:val="auto"/>
              </w:rPr>
            </w:pPr>
          </w:p>
        </w:tc>
        <w:tc>
          <w:tcPr>
            <w:tcW w:w="1540" w:type="dxa"/>
            <w:vAlign w:val="bottom"/>
          </w:tcPr>
          <w:p>
            <w:pPr>
              <w:ind w:left="220"/>
              <w:spacing w:after="0"/>
              <w:rPr>
                <w:sz w:val="20"/>
                <w:szCs w:val="20"/>
                <w:color w:val="auto"/>
              </w:rPr>
            </w:pPr>
            <w:r>
              <w:rPr>
                <w:rFonts w:ascii="Arial" w:cs="Arial" w:eastAsia="Arial" w:hAnsi="Arial"/>
                <w:sz w:val="18"/>
                <w:szCs w:val="18"/>
                <w:color w:val="auto"/>
              </w:rPr>
              <w:t>OPC Asset</w:t>
            </w:r>
          </w:p>
        </w:tc>
        <w:tc>
          <w:tcPr>
            <w:tcW w:w="1360" w:type="dxa"/>
            <w:vAlign w:val="bottom"/>
          </w:tcPr>
          <w:p>
            <w:pPr>
              <w:spacing w:after="0"/>
              <w:rPr>
                <w:sz w:val="22"/>
                <w:szCs w:val="22"/>
                <w:color w:val="auto"/>
              </w:rPr>
            </w:pPr>
          </w:p>
        </w:tc>
        <w:tc>
          <w:tcPr>
            <w:tcW w:w="2460" w:type="dxa"/>
            <w:vAlign w:val="bottom"/>
          </w:tcPr>
          <w:p>
            <w:pPr>
              <w:spacing w:after="0"/>
              <w:rPr>
                <w:sz w:val="22"/>
                <w:szCs w:val="22"/>
                <w:color w:val="auto"/>
              </w:rPr>
            </w:pPr>
          </w:p>
        </w:tc>
        <w:tc>
          <w:tcPr>
            <w:tcW w:w="1840" w:type="dxa"/>
            <w:vAlign w:val="bottom"/>
          </w:tcPr>
          <w:p>
            <w:pPr>
              <w:spacing w:after="0"/>
              <w:rPr>
                <w:sz w:val="22"/>
                <w:szCs w:val="22"/>
                <w:color w:val="auto"/>
              </w:rPr>
            </w:pPr>
          </w:p>
        </w:tc>
        <w:tc>
          <w:tcPr>
            <w:tcW w:w="1060" w:type="dxa"/>
            <w:vAlign w:val="bottom"/>
          </w:tcPr>
          <w:p>
            <w:pPr>
              <w:spacing w:after="0"/>
              <w:rPr>
                <w:sz w:val="22"/>
                <w:szCs w:val="22"/>
                <w:color w:val="auto"/>
              </w:rPr>
            </w:pPr>
          </w:p>
        </w:tc>
      </w:tr>
      <w:tr>
        <w:trPr>
          <w:trHeight w:val="216"/>
        </w:trPr>
        <w:tc>
          <w:tcPr>
            <w:tcW w:w="3120" w:type="dxa"/>
            <w:vAlign w:val="bottom"/>
          </w:tcPr>
          <w:p>
            <w:pPr>
              <w:spacing w:after="0"/>
              <w:rPr>
                <w:sz w:val="18"/>
                <w:szCs w:val="18"/>
                <w:color w:val="auto"/>
              </w:rPr>
            </w:pPr>
          </w:p>
        </w:tc>
        <w:tc>
          <w:tcPr>
            <w:tcW w:w="1540" w:type="dxa"/>
            <w:vAlign w:val="bottom"/>
          </w:tcPr>
          <w:p>
            <w:pPr>
              <w:ind w:left="220"/>
              <w:spacing w:after="0"/>
              <w:rPr>
                <w:sz w:val="20"/>
                <w:szCs w:val="20"/>
                <w:color w:val="auto"/>
              </w:rPr>
            </w:pPr>
            <w:r>
              <w:rPr>
                <w:rFonts w:ascii="Arial" w:cs="Arial" w:eastAsia="Arial" w:hAnsi="Arial"/>
                <w:sz w:val="18"/>
                <w:szCs w:val="18"/>
                <w:color w:val="auto"/>
              </w:rPr>
              <w:t>Solutions Pvt.</w:t>
            </w:r>
          </w:p>
        </w:tc>
        <w:tc>
          <w:tcPr>
            <w:tcW w:w="1360" w:type="dxa"/>
            <w:vAlign w:val="bottom"/>
          </w:tcPr>
          <w:p>
            <w:pPr>
              <w:spacing w:after="0"/>
              <w:rPr>
                <w:sz w:val="18"/>
                <w:szCs w:val="18"/>
                <w:color w:val="auto"/>
              </w:rPr>
            </w:pPr>
          </w:p>
        </w:tc>
        <w:tc>
          <w:tcPr>
            <w:tcW w:w="246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30"/>
        </w:trPr>
        <w:tc>
          <w:tcPr>
            <w:tcW w:w="3120" w:type="dxa"/>
            <w:vAlign w:val="bottom"/>
          </w:tcPr>
          <w:p>
            <w:pPr>
              <w:spacing w:after="0"/>
              <w:rPr>
                <w:sz w:val="20"/>
                <w:szCs w:val="20"/>
                <w:color w:val="auto"/>
              </w:rPr>
            </w:pPr>
            <w:r>
              <w:rPr>
                <w:rFonts w:ascii="Arial" w:cs="Arial" w:eastAsia="Arial" w:hAnsi="Arial"/>
                <w:sz w:val="18"/>
                <w:szCs w:val="18"/>
                <w:color w:val="auto"/>
              </w:rPr>
              <w:t>Euronet Services India Pvt. Ltd.</w:t>
            </w:r>
          </w:p>
        </w:tc>
        <w:tc>
          <w:tcPr>
            <w:tcW w:w="1540" w:type="dxa"/>
            <w:vAlign w:val="bottom"/>
          </w:tcPr>
          <w:p>
            <w:pPr>
              <w:ind w:left="220"/>
              <w:spacing w:after="0"/>
              <w:rPr>
                <w:sz w:val="20"/>
                <w:szCs w:val="20"/>
                <w:color w:val="auto"/>
              </w:rPr>
            </w:pPr>
            <w:r>
              <w:rPr>
                <w:rFonts w:ascii="Arial" w:cs="Arial" w:eastAsia="Arial" w:hAnsi="Arial"/>
                <w:sz w:val="18"/>
                <w:szCs w:val="18"/>
                <w:color w:val="auto"/>
              </w:rPr>
              <w:t>Ltd</w:t>
            </w:r>
          </w:p>
        </w:tc>
        <w:tc>
          <w:tcPr>
            <w:tcW w:w="1360" w:type="dxa"/>
            <w:vAlign w:val="bottom"/>
          </w:tcPr>
          <w:p>
            <w:pPr>
              <w:ind w:left="20"/>
              <w:spacing w:after="0"/>
              <w:rPr>
                <w:sz w:val="20"/>
                <w:szCs w:val="20"/>
                <w:color w:val="auto"/>
              </w:rPr>
            </w:pPr>
            <w:r>
              <w:rPr>
                <w:rFonts w:ascii="Arial" w:cs="Arial" w:eastAsia="Arial" w:hAnsi="Arial"/>
                <w:sz w:val="18"/>
                <w:szCs w:val="18"/>
                <w:color w:val="auto"/>
              </w:rPr>
              <w:t>Capital Lease</w:t>
            </w:r>
          </w:p>
        </w:tc>
        <w:tc>
          <w:tcPr>
            <w:tcW w:w="2460" w:type="dxa"/>
            <w:vAlign w:val="bottom"/>
          </w:tcPr>
          <w:p>
            <w:pPr>
              <w:ind w:left="340"/>
              <w:spacing w:after="0"/>
              <w:rPr>
                <w:sz w:val="20"/>
                <w:szCs w:val="20"/>
                <w:color w:val="auto"/>
              </w:rPr>
            </w:pPr>
            <w:r>
              <w:rPr>
                <w:rFonts w:ascii="Arial" w:cs="Arial" w:eastAsia="Arial" w:hAnsi="Arial"/>
                <w:sz w:val="18"/>
                <w:szCs w:val="18"/>
                <w:color w:val="auto"/>
              </w:rPr>
              <w:t>ATM/other related assets</w:t>
            </w:r>
          </w:p>
        </w:tc>
        <w:tc>
          <w:tcPr>
            <w:tcW w:w="1840" w:type="dxa"/>
            <w:vAlign w:val="bottom"/>
          </w:tcPr>
          <w:p>
            <w:pPr>
              <w:jc w:val="right"/>
              <w:ind w:right="210"/>
              <w:spacing w:after="0"/>
              <w:rPr>
                <w:sz w:val="20"/>
                <w:szCs w:val="20"/>
                <w:color w:val="auto"/>
              </w:rPr>
            </w:pPr>
            <w:r>
              <w:rPr>
                <w:rFonts w:ascii="Arial" w:cs="Arial" w:eastAsia="Arial" w:hAnsi="Arial"/>
                <w:sz w:val="18"/>
                <w:szCs w:val="18"/>
                <w:color w:val="auto"/>
              </w:rPr>
              <w:t>INR 9,150,795</w:t>
            </w:r>
          </w:p>
        </w:tc>
        <w:tc>
          <w:tcPr>
            <w:tcW w:w="1060" w:type="dxa"/>
            <w:vAlign w:val="bottom"/>
          </w:tcPr>
          <w:p>
            <w:pPr>
              <w:jc w:val="right"/>
              <w:spacing w:after="0"/>
              <w:rPr>
                <w:sz w:val="20"/>
                <w:szCs w:val="20"/>
                <w:color w:val="auto"/>
              </w:rPr>
            </w:pPr>
            <w:r>
              <w:rPr>
                <w:rFonts w:ascii="Arial" w:cs="Arial" w:eastAsia="Arial" w:hAnsi="Arial"/>
                <w:sz w:val="18"/>
                <w:szCs w:val="18"/>
                <w:color w:val="auto"/>
              </w:rPr>
              <w:t>145,992</w:t>
            </w:r>
          </w:p>
        </w:tc>
      </w:tr>
      <w:tr>
        <w:trPr>
          <w:trHeight w:val="256"/>
        </w:trPr>
        <w:tc>
          <w:tcPr>
            <w:tcW w:w="3120" w:type="dxa"/>
            <w:vAlign w:val="bottom"/>
          </w:tcPr>
          <w:p>
            <w:pPr>
              <w:spacing w:after="0"/>
              <w:rPr>
                <w:sz w:val="22"/>
                <w:szCs w:val="22"/>
                <w:color w:val="auto"/>
              </w:rPr>
            </w:pPr>
          </w:p>
        </w:tc>
        <w:tc>
          <w:tcPr>
            <w:tcW w:w="1540" w:type="dxa"/>
            <w:vAlign w:val="bottom"/>
          </w:tcPr>
          <w:p>
            <w:pPr>
              <w:ind w:left="220"/>
              <w:spacing w:after="0"/>
              <w:rPr>
                <w:sz w:val="20"/>
                <w:szCs w:val="20"/>
                <w:color w:val="auto"/>
              </w:rPr>
            </w:pPr>
            <w:r>
              <w:rPr>
                <w:rFonts w:ascii="Arial" w:cs="Arial" w:eastAsia="Arial" w:hAnsi="Arial"/>
                <w:sz w:val="18"/>
                <w:szCs w:val="18"/>
                <w:color w:val="auto"/>
              </w:rPr>
              <w:t>OPC Asset</w:t>
            </w:r>
          </w:p>
        </w:tc>
        <w:tc>
          <w:tcPr>
            <w:tcW w:w="1360" w:type="dxa"/>
            <w:vAlign w:val="bottom"/>
          </w:tcPr>
          <w:p>
            <w:pPr>
              <w:spacing w:after="0"/>
              <w:rPr>
                <w:sz w:val="22"/>
                <w:szCs w:val="22"/>
                <w:color w:val="auto"/>
              </w:rPr>
            </w:pPr>
          </w:p>
        </w:tc>
        <w:tc>
          <w:tcPr>
            <w:tcW w:w="2460" w:type="dxa"/>
            <w:vAlign w:val="bottom"/>
          </w:tcPr>
          <w:p>
            <w:pPr>
              <w:spacing w:after="0"/>
              <w:rPr>
                <w:sz w:val="22"/>
                <w:szCs w:val="22"/>
                <w:color w:val="auto"/>
              </w:rPr>
            </w:pPr>
          </w:p>
        </w:tc>
        <w:tc>
          <w:tcPr>
            <w:tcW w:w="1840" w:type="dxa"/>
            <w:vAlign w:val="bottom"/>
          </w:tcPr>
          <w:p>
            <w:pPr>
              <w:spacing w:after="0"/>
              <w:rPr>
                <w:sz w:val="22"/>
                <w:szCs w:val="22"/>
                <w:color w:val="auto"/>
              </w:rPr>
            </w:pPr>
          </w:p>
        </w:tc>
        <w:tc>
          <w:tcPr>
            <w:tcW w:w="1060" w:type="dxa"/>
            <w:vAlign w:val="bottom"/>
          </w:tcPr>
          <w:p>
            <w:pPr>
              <w:spacing w:after="0"/>
              <w:rPr>
                <w:sz w:val="22"/>
                <w:szCs w:val="22"/>
                <w:color w:val="auto"/>
              </w:rPr>
            </w:pPr>
          </w:p>
        </w:tc>
      </w:tr>
      <w:tr>
        <w:trPr>
          <w:trHeight w:val="216"/>
        </w:trPr>
        <w:tc>
          <w:tcPr>
            <w:tcW w:w="3120" w:type="dxa"/>
            <w:vAlign w:val="bottom"/>
          </w:tcPr>
          <w:p>
            <w:pPr>
              <w:spacing w:after="0"/>
              <w:rPr>
                <w:sz w:val="18"/>
                <w:szCs w:val="18"/>
                <w:color w:val="auto"/>
              </w:rPr>
            </w:pPr>
          </w:p>
        </w:tc>
        <w:tc>
          <w:tcPr>
            <w:tcW w:w="1540" w:type="dxa"/>
            <w:vAlign w:val="bottom"/>
          </w:tcPr>
          <w:p>
            <w:pPr>
              <w:ind w:left="220"/>
              <w:spacing w:after="0"/>
              <w:rPr>
                <w:sz w:val="20"/>
                <w:szCs w:val="20"/>
                <w:color w:val="auto"/>
              </w:rPr>
            </w:pPr>
            <w:r>
              <w:rPr>
                <w:rFonts w:ascii="Arial" w:cs="Arial" w:eastAsia="Arial" w:hAnsi="Arial"/>
                <w:sz w:val="18"/>
                <w:szCs w:val="18"/>
                <w:color w:val="auto"/>
              </w:rPr>
              <w:t>Solutions Pvt.</w:t>
            </w:r>
          </w:p>
        </w:tc>
        <w:tc>
          <w:tcPr>
            <w:tcW w:w="1360" w:type="dxa"/>
            <w:vAlign w:val="bottom"/>
          </w:tcPr>
          <w:p>
            <w:pPr>
              <w:spacing w:after="0"/>
              <w:rPr>
                <w:sz w:val="18"/>
                <w:szCs w:val="18"/>
                <w:color w:val="auto"/>
              </w:rPr>
            </w:pPr>
          </w:p>
        </w:tc>
        <w:tc>
          <w:tcPr>
            <w:tcW w:w="246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30"/>
        </w:trPr>
        <w:tc>
          <w:tcPr>
            <w:tcW w:w="3120" w:type="dxa"/>
            <w:vAlign w:val="bottom"/>
          </w:tcPr>
          <w:p>
            <w:pPr>
              <w:spacing w:after="0"/>
              <w:rPr>
                <w:sz w:val="20"/>
                <w:szCs w:val="20"/>
                <w:color w:val="auto"/>
              </w:rPr>
            </w:pPr>
            <w:r>
              <w:rPr>
                <w:rFonts w:ascii="Arial" w:cs="Arial" w:eastAsia="Arial" w:hAnsi="Arial"/>
                <w:sz w:val="18"/>
                <w:szCs w:val="18"/>
                <w:color w:val="auto"/>
              </w:rPr>
              <w:t>Euronet Services India Pvt. Ltd.</w:t>
            </w:r>
          </w:p>
        </w:tc>
        <w:tc>
          <w:tcPr>
            <w:tcW w:w="1540" w:type="dxa"/>
            <w:vAlign w:val="bottom"/>
          </w:tcPr>
          <w:p>
            <w:pPr>
              <w:ind w:left="220"/>
              <w:spacing w:after="0"/>
              <w:rPr>
                <w:sz w:val="20"/>
                <w:szCs w:val="20"/>
                <w:color w:val="auto"/>
              </w:rPr>
            </w:pPr>
            <w:r>
              <w:rPr>
                <w:rFonts w:ascii="Arial" w:cs="Arial" w:eastAsia="Arial" w:hAnsi="Arial"/>
                <w:sz w:val="18"/>
                <w:szCs w:val="18"/>
                <w:color w:val="auto"/>
              </w:rPr>
              <w:t>Ltd</w:t>
            </w:r>
          </w:p>
        </w:tc>
        <w:tc>
          <w:tcPr>
            <w:tcW w:w="1360" w:type="dxa"/>
            <w:vAlign w:val="bottom"/>
          </w:tcPr>
          <w:p>
            <w:pPr>
              <w:ind w:left="20"/>
              <w:spacing w:after="0"/>
              <w:rPr>
                <w:sz w:val="20"/>
                <w:szCs w:val="20"/>
                <w:color w:val="auto"/>
              </w:rPr>
            </w:pPr>
            <w:r>
              <w:rPr>
                <w:rFonts w:ascii="Arial" w:cs="Arial" w:eastAsia="Arial" w:hAnsi="Arial"/>
                <w:sz w:val="18"/>
                <w:szCs w:val="18"/>
                <w:color w:val="auto"/>
              </w:rPr>
              <w:t>Capital Lease</w:t>
            </w:r>
          </w:p>
        </w:tc>
        <w:tc>
          <w:tcPr>
            <w:tcW w:w="2460" w:type="dxa"/>
            <w:vAlign w:val="bottom"/>
          </w:tcPr>
          <w:p>
            <w:pPr>
              <w:ind w:left="340"/>
              <w:spacing w:after="0"/>
              <w:rPr>
                <w:sz w:val="20"/>
                <w:szCs w:val="20"/>
                <w:color w:val="auto"/>
              </w:rPr>
            </w:pPr>
            <w:r>
              <w:rPr>
                <w:rFonts w:ascii="Arial" w:cs="Arial" w:eastAsia="Arial" w:hAnsi="Arial"/>
                <w:sz w:val="18"/>
                <w:szCs w:val="18"/>
                <w:color w:val="auto"/>
              </w:rPr>
              <w:t>ATM/other related assets</w:t>
            </w:r>
          </w:p>
        </w:tc>
        <w:tc>
          <w:tcPr>
            <w:tcW w:w="1840" w:type="dxa"/>
            <w:vAlign w:val="bottom"/>
          </w:tcPr>
          <w:p>
            <w:pPr>
              <w:jc w:val="right"/>
              <w:ind w:right="210"/>
              <w:spacing w:after="0"/>
              <w:rPr>
                <w:sz w:val="20"/>
                <w:szCs w:val="20"/>
                <w:color w:val="auto"/>
              </w:rPr>
            </w:pPr>
            <w:r>
              <w:rPr>
                <w:rFonts w:ascii="Arial" w:cs="Arial" w:eastAsia="Arial" w:hAnsi="Arial"/>
                <w:sz w:val="18"/>
                <w:szCs w:val="18"/>
                <w:color w:val="auto"/>
              </w:rPr>
              <w:t>INR 10,635,717</w:t>
            </w:r>
          </w:p>
        </w:tc>
        <w:tc>
          <w:tcPr>
            <w:tcW w:w="1060" w:type="dxa"/>
            <w:vAlign w:val="bottom"/>
          </w:tcPr>
          <w:p>
            <w:pPr>
              <w:jc w:val="right"/>
              <w:spacing w:after="0"/>
              <w:rPr>
                <w:sz w:val="20"/>
                <w:szCs w:val="20"/>
                <w:color w:val="auto"/>
              </w:rPr>
            </w:pPr>
            <w:r>
              <w:rPr>
                <w:rFonts w:ascii="Arial" w:cs="Arial" w:eastAsia="Arial" w:hAnsi="Arial"/>
                <w:sz w:val="18"/>
                <w:szCs w:val="18"/>
                <w:color w:val="auto"/>
              </w:rPr>
              <w:t>169,683</w:t>
            </w:r>
          </w:p>
        </w:tc>
      </w:tr>
      <w:tr>
        <w:trPr>
          <w:trHeight w:val="284"/>
        </w:trPr>
        <w:tc>
          <w:tcPr>
            <w:tcW w:w="3120" w:type="dxa"/>
            <w:vAlign w:val="bottom"/>
          </w:tcPr>
          <w:p>
            <w:pPr>
              <w:spacing w:after="0"/>
              <w:rPr>
                <w:sz w:val="20"/>
                <w:szCs w:val="20"/>
                <w:color w:val="auto"/>
              </w:rPr>
            </w:pPr>
            <w:r>
              <w:rPr>
                <w:rFonts w:ascii="Arial" w:cs="Arial" w:eastAsia="Arial" w:hAnsi="Arial"/>
                <w:sz w:val="18"/>
                <w:szCs w:val="18"/>
                <w:color w:val="auto"/>
              </w:rPr>
              <w:t>Euronet Services India Pvt. Ltd.</w:t>
            </w:r>
          </w:p>
        </w:tc>
        <w:tc>
          <w:tcPr>
            <w:tcW w:w="1540" w:type="dxa"/>
            <w:vAlign w:val="bottom"/>
          </w:tcPr>
          <w:p>
            <w:pPr>
              <w:ind w:left="220"/>
              <w:spacing w:after="0"/>
              <w:rPr>
                <w:sz w:val="20"/>
                <w:szCs w:val="20"/>
                <w:color w:val="auto"/>
              </w:rPr>
            </w:pPr>
            <w:r>
              <w:rPr>
                <w:rFonts w:ascii="Arial" w:cs="Arial" w:eastAsia="Arial" w:hAnsi="Arial"/>
                <w:sz w:val="18"/>
                <w:szCs w:val="18"/>
                <w:color w:val="auto"/>
              </w:rPr>
              <w:t>ICICI bank</w:t>
            </w:r>
          </w:p>
        </w:tc>
        <w:tc>
          <w:tcPr>
            <w:tcW w:w="1360" w:type="dxa"/>
            <w:vAlign w:val="bottom"/>
          </w:tcPr>
          <w:p>
            <w:pPr>
              <w:ind w:left="20"/>
              <w:spacing w:after="0"/>
              <w:rPr>
                <w:sz w:val="20"/>
                <w:szCs w:val="20"/>
                <w:color w:val="auto"/>
              </w:rPr>
            </w:pPr>
            <w:r>
              <w:rPr>
                <w:rFonts w:ascii="Arial" w:cs="Arial" w:eastAsia="Arial" w:hAnsi="Arial"/>
                <w:sz w:val="18"/>
                <w:szCs w:val="18"/>
                <w:color w:val="auto"/>
              </w:rPr>
              <w:t>Capital Lease</w:t>
            </w:r>
          </w:p>
        </w:tc>
        <w:tc>
          <w:tcPr>
            <w:tcW w:w="2460" w:type="dxa"/>
            <w:vAlign w:val="bottom"/>
          </w:tcPr>
          <w:p>
            <w:pPr>
              <w:ind w:left="340"/>
              <w:spacing w:after="0"/>
              <w:rPr>
                <w:sz w:val="20"/>
                <w:szCs w:val="20"/>
                <w:color w:val="auto"/>
              </w:rPr>
            </w:pPr>
            <w:r>
              <w:rPr>
                <w:rFonts w:ascii="Arial" w:cs="Arial" w:eastAsia="Arial" w:hAnsi="Arial"/>
                <w:sz w:val="18"/>
                <w:szCs w:val="18"/>
                <w:color w:val="auto"/>
              </w:rPr>
              <w:t>Car</w:t>
            </w:r>
          </w:p>
        </w:tc>
        <w:tc>
          <w:tcPr>
            <w:tcW w:w="1840" w:type="dxa"/>
            <w:vAlign w:val="bottom"/>
          </w:tcPr>
          <w:p>
            <w:pPr>
              <w:jc w:val="right"/>
              <w:ind w:right="210"/>
              <w:spacing w:after="0"/>
              <w:rPr>
                <w:sz w:val="20"/>
                <w:szCs w:val="20"/>
                <w:color w:val="auto"/>
              </w:rPr>
            </w:pPr>
            <w:r>
              <w:rPr>
                <w:rFonts w:ascii="Arial" w:cs="Arial" w:eastAsia="Arial" w:hAnsi="Arial"/>
                <w:sz w:val="18"/>
                <w:szCs w:val="18"/>
                <w:color w:val="auto"/>
              </w:rPr>
              <w:t>INR 3,313,710</w:t>
            </w:r>
          </w:p>
        </w:tc>
        <w:tc>
          <w:tcPr>
            <w:tcW w:w="1060" w:type="dxa"/>
            <w:vAlign w:val="bottom"/>
          </w:tcPr>
          <w:p>
            <w:pPr>
              <w:jc w:val="right"/>
              <w:spacing w:after="0"/>
              <w:rPr>
                <w:sz w:val="20"/>
                <w:szCs w:val="20"/>
                <w:color w:val="auto"/>
              </w:rPr>
            </w:pPr>
            <w:r>
              <w:rPr>
                <w:rFonts w:ascii="Arial" w:cs="Arial" w:eastAsia="Arial" w:hAnsi="Arial"/>
                <w:sz w:val="18"/>
                <w:szCs w:val="18"/>
                <w:color w:val="auto"/>
              </w:rPr>
              <w:t>52,867</w:t>
            </w:r>
          </w:p>
        </w:tc>
      </w:tr>
      <w:tr>
        <w:trPr>
          <w:trHeight w:val="284"/>
        </w:trPr>
        <w:tc>
          <w:tcPr>
            <w:tcW w:w="3120" w:type="dxa"/>
            <w:vAlign w:val="bottom"/>
          </w:tcPr>
          <w:p>
            <w:pPr>
              <w:spacing w:after="0"/>
              <w:rPr>
                <w:sz w:val="20"/>
                <w:szCs w:val="20"/>
                <w:color w:val="auto"/>
              </w:rPr>
            </w:pPr>
            <w:r>
              <w:rPr>
                <w:rFonts w:ascii="Arial" w:cs="Arial" w:eastAsia="Arial" w:hAnsi="Arial"/>
                <w:sz w:val="18"/>
                <w:szCs w:val="18"/>
                <w:color w:val="auto"/>
              </w:rPr>
              <w:t>Euronet Services India Pvt. Ltd.</w:t>
            </w:r>
          </w:p>
        </w:tc>
        <w:tc>
          <w:tcPr>
            <w:tcW w:w="1540" w:type="dxa"/>
            <w:vAlign w:val="bottom"/>
          </w:tcPr>
          <w:p>
            <w:pPr>
              <w:ind w:left="220"/>
              <w:spacing w:after="0"/>
              <w:rPr>
                <w:sz w:val="20"/>
                <w:szCs w:val="20"/>
                <w:color w:val="auto"/>
              </w:rPr>
            </w:pPr>
            <w:r>
              <w:rPr>
                <w:rFonts w:ascii="Arial" w:cs="Arial" w:eastAsia="Arial" w:hAnsi="Arial"/>
                <w:sz w:val="18"/>
                <w:szCs w:val="18"/>
                <w:color w:val="auto"/>
              </w:rPr>
              <w:t>ICICI bank</w:t>
            </w:r>
          </w:p>
        </w:tc>
        <w:tc>
          <w:tcPr>
            <w:tcW w:w="1360" w:type="dxa"/>
            <w:vAlign w:val="bottom"/>
          </w:tcPr>
          <w:p>
            <w:pPr>
              <w:ind w:left="20"/>
              <w:spacing w:after="0"/>
              <w:rPr>
                <w:sz w:val="20"/>
                <w:szCs w:val="20"/>
                <w:color w:val="auto"/>
              </w:rPr>
            </w:pPr>
            <w:r>
              <w:rPr>
                <w:rFonts w:ascii="Arial" w:cs="Arial" w:eastAsia="Arial" w:hAnsi="Arial"/>
                <w:sz w:val="18"/>
                <w:szCs w:val="18"/>
                <w:color w:val="auto"/>
              </w:rPr>
              <w:t>Capital Lease</w:t>
            </w:r>
          </w:p>
        </w:tc>
        <w:tc>
          <w:tcPr>
            <w:tcW w:w="2460" w:type="dxa"/>
            <w:vAlign w:val="bottom"/>
          </w:tcPr>
          <w:p>
            <w:pPr>
              <w:ind w:left="340"/>
              <w:spacing w:after="0"/>
              <w:rPr>
                <w:sz w:val="20"/>
                <w:szCs w:val="20"/>
                <w:color w:val="auto"/>
              </w:rPr>
            </w:pPr>
            <w:r>
              <w:rPr>
                <w:rFonts w:ascii="Arial" w:cs="Arial" w:eastAsia="Arial" w:hAnsi="Arial"/>
                <w:sz w:val="18"/>
                <w:szCs w:val="18"/>
                <w:color w:val="auto"/>
              </w:rPr>
              <w:t>Car</w:t>
            </w:r>
          </w:p>
        </w:tc>
        <w:tc>
          <w:tcPr>
            <w:tcW w:w="1840" w:type="dxa"/>
            <w:vAlign w:val="bottom"/>
          </w:tcPr>
          <w:p>
            <w:pPr>
              <w:jc w:val="right"/>
              <w:ind w:right="210"/>
              <w:spacing w:after="0"/>
              <w:rPr>
                <w:sz w:val="20"/>
                <w:szCs w:val="20"/>
                <w:color w:val="auto"/>
              </w:rPr>
            </w:pPr>
            <w:r>
              <w:rPr>
                <w:rFonts w:ascii="Arial" w:cs="Arial" w:eastAsia="Arial" w:hAnsi="Arial"/>
                <w:sz w:val="18"/>
                <w:szCs w:val="18"/>
                <w:color w:val="auto"/>
              </w:rPr>
              <w:t>INR 3,313,710</w:t>
            </w:r>
          </w:p>
        </w:tc>
        <w:tc>
          <w:tcPr>
            <w:tcW w:w="1060" w:type="dxa"/>
            <w:vAlign w:val="bottom"/>
          </w:tcPr>
          <w:p>
            <w:pPr>
              <w:jc w:val="right"/>
              <w:spacing w:after="0"/>
              <w:rPr>
                <w:sz w:val="20"/>
                <w:szCs w:val="20"/>
                <w:color w:val="auto"/>
              </w:rPr>
            </w:pPr>
            <w:r>
              <w:rPr>
                <w:rFonts w:ascii="Arial" w:cs="Arial" w:eastAsia="Arial" w:hAnsi="Arial"/>
                <w:sz w:val="18"/>
                <w:szCs w:val="18"/>
                <w:color w:val="auto"/>
              </w:rPr>
              <w:t>52,867</w:t>
            </w:r>
          </w:p>
        </w:tc>
      </w:tr>
      <w:tr>
        <w:trPr>
          <w:trHeight w:val="27"/>
        </w:trPr>
        <w:tc>
          <w:tcPr>
            <w:tcW w:w="312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2460" w:type="dxa"/>
            <w:vAlign w:val="bottom"/>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37"/>
        </w:trPr>
        <w:tc>
          <w:tcPr>
            <w:tcW w:w="3120" w:type="dxa"/>
            <w:vAlign w:val="bottom"/>
          </w:tcPr>
          <w:p>
            <w:pPr>
              <w:spacing w:after="0"/>
              <w:rPr>
                <w:sz w:val="20"/>
                <w:szCs w:val="20"/>
                <w:color w:val="auto"/>
              </w:rPr>
            </w:pPr>
            <w:r>
              <w:rPr>
                <w:rFonts w:ascii="Arial" w:cs="Arial" w:eastAsia="Arial" w:hAnsi="Arial"/>
                <w:sz w:val="18"/>
                <w:szCs w:val="18"/>
                <w:b w:val="1"/>
                <w:bCs w:val="1"/>
                <w:color w:val="auto"/>
                <w:w w:val="97"/>
              </w:rPr>
              <w:t>Euronet Services India Pvt. Ltd. Total</w:t>
            </w:r>
          </w:p>
        </w:tc>
        <w:tc>
          <w:tcPr>
            <w:tcW w:w="154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2460" w:type="dxa"/>
            <w:vAlign w:val="bottom"/>
          </w:tcPr>
          <w:p>
            <w:pPr>
              <w:spacing w:after="0"/>
              <w:rPr>
                <w:sz w:val="20"/>
                <w:szCs w:val="20"/>
                <w:color w:val="auto"/>
              </w:rPr>
            </w:pPr>
          </w:p>
        </w:tc>
        <w:tc>
          <w:tcPr>
            <w:tcW w:w="1840" w:type="dxa"/>
            <w:vAlign w:val="bottom"/>
          </w:tcPr>
          <w:p>
            <w:pPr>
              <w:jc w:val="right"/>
              <w:ind w:right="210"/>
              <w:spacing w:after="0"/>
              <w:rPr>
                <w:sz w:val="20"/>
                <w:szCs w:val="20"/>
                <w:color w:val="auto"/>
              </w:rPr>
            </w:pPr>
            <w:r>
              <w:rPr>
                <w:rFonts w:ascii="Arial" w:cs="Arial" w:eastAsia="Arial" w:hAnsi="Arial"/>
                <w:sz w:val="18"/>
                <w:szCs w:val="18"/>
                <w:b w:val="1"/>
                <w:bCs w:val="1"/>
                <w:color w:val="auto"/>
              </w:rPr>
              <w:t>INR 95,959,150</w:t>
            </w:r>
          </w:p>
        </w:tc>
        <w:tc>
          <w:tcPr>
            <w:tcW w:w="1060" w:type="dxa"/>
            <w:vAlign w:val="bottom"/>
          </w:tcPr>
          <w:p>
            <w:pPr>
              <w:jc w:val="right"/>
              <w:spacing w:after="0"/>
              <w:rPr>
                <w:sz w:val="20"/>
                <w:szCs w:val="20"/>
                <w:color w:val="auto"/>
              </w:rPr>
            </w:pPr>
            <w:r>
              <w:rPr>
                <w:rFonts w:ascii="Arial" w:cs="Arial" w:eastAsia="Arial" w:hAnsi="Arial"/>
                <w:sz w:val="18"/>
                <w:szCs w:val="18"/>
                <w:b w:val="1"/>
                <w:bCs w:val="1"/>
                <w:color w:val="auto"/>
              </w:rPr>
              <w:t>1,530,937</w:t>
            </w:r>
          </w:p>
        </w:tc>
      </w:tr>
      <w:tr>
        <w:trPr>
          <w:trHeight w:val="553"/>
        </w:trPr>
        <w:tc>
          <w:tcPr>
            <w:tcW w:w="3120" w:type="dxa"/>
            <w:vAlign w:val="bottom"/>
          </w:tcPr>
          <w:p>
            <w:pPr>
              <w:spacing w:after="0"/>
              <w:rPr>
                <w:sz w:val="24"/>
                <w:szCs w:val="24"/>
                <w:color w:val="auto"/>
              </w:rPr>
            </w:pPr>
          </w:p>
        </w:tc>
        <w:tc>
          <w:tcPr>
            <w:tcW w:w="1540" w:type="dxa"/>
            <w:vAlign w:val="bottom"/>
          </w:tcPr>
          <w:p>
            <w:pPr>
              <w:ind w:left="220"/>
              <w:spacing w:after="0"/>
              <w:rPr>
                <w:sz w:val="20"/>
                <w:szCs w:val="20"/>
                <w:color w:val="auto"/>
              </w:rPr>
            </w:pPr>
            <w:r>
              <w:rPr>
                <w:rFonts w:ascii="Arial" w:cs="Arial" w:eastAsia="Arial" w:hAnsi="Arial"/>
                <w:sz w:val="18"/>
                <w:szCs w:val="18"/>
                <w:color w:val="auto"/>
              </w:rPr>
              <w:t>Pekao Leasing</w:t>
            </w:r>
          </w:p>
        </w:tc>
        <w:tc>
          <w:tcPr>
            <w:tcW w:w="1360" w:type="dxa"/>
            <w:vAlign w:val="bottom"/>
          </w:tcPr>
          <w:p>
            <w:pPr>
              <w:spacing w:after="0"/>
              <w:rPr>
                <w:sz w:val="24"/>
                <w:szCs w:val="24"/>
                <w:color w:val="auto"/>
              </w:rPr>
            </w:pPr>
          </w:p>
        </w:tc>
        <w:tc>
          <w:tcPr>
            <w:tcW w:w="246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230"/>
        </w:trPr>
        <w:tc>
          <w:tcPr>
            <w:tcW w:w="3120" w:type="dxa"/>
            <w:vAlign w:val="bottom"/>
          </w:tcPr>
          <w:p>
            <w:pPr>
              <w:spacing w:after="0"/>
              <w:rPr>
                <w:sz w:val="20"/>
                <w:szCs w:val="20"/>
                <w:color w:val="auto"/>
              </w:rPr>
            </w:pPr>
            <w:r>
              <w:rPr>
                <w:rFonts w:ascii="Arial" w:cs="Arial" w:eastAsia="Arial" w:hAnsi="Arial"/>
                <w:sz w:val="18"/>
                <w:szCs w:val="18"/>
                <w:color w:val="auto"/>
              </w:rPr>
              <w:t>Euronet Polska Spółka z o.o.</w:t>
            </w:r>
          </w:p>
        </w:tc>
        <w:tc>
          <w:tcPr>
            <w:tcW w:w="1540" w:type="dxa"/>
            <w:vAlign w:val="bottom"/>
          </w:tcPr>
          <w:p>
            <w:pPr>
              <w:ind w:left="220"/>
              <w:spacing w:after="0"/>
              <w:rPr>
                <w:sz w:val="20"/>
                <w:szCs w:val="20"/>
                <w:color w:val="auto"/>
              </w:rPr>
            </w:pPr>
            <w:r>
              <w:rPr>
                <w:rFonts w:ascii="Arial" w:cs="Arial" w:eastAsia="Arial" w:hAnsi="Arial"/>
                <w:sz w:val="18"/>
                <w:szCs w:val="18"/>
                <w:color w:val="auto"/>
              </w:rPr>
              <w:t>S.A.</w:t>
            </w:r>
          </w:p>
        </w:tc>
        <w:tc>
          <w:tcPr>
            <w:tcW w:w="1360" w:type="dxa"/>
            <w:vAlign w:val="bottom"/>
          </w:tcPr>
          <w:p>
            <w:pPr>
              <w:ind w:left="20"/>
              <w:spacing w:after="0"/>
              <w:rPr>
                <w:sz w:val="20"/>
                <w:szCs w:val="20"/>
                <w:color w:val="auto"/>
              </w:rPr>
            </w:pPr>
            <w:r>
              <w:rPr>
                <w:rFonts w:ascii="Arial" w:cs="Arial" w:eastAsia="Arial" w:hAnsi="Arial"/>
                <w:sz w:val="18"/>
                <w:szCs w:val="18"/>
                <w:color w:val="auto"/>
              </w:rPr>
              <w:t>Capital Lease</w:t>
            </w:r>
          </w:p>
        </w:tc>
        <w:tc>
          <w:tcPr>
            <w:tcW w:w="2460" w:type="dxa"/>
            <w:vAlign w:val="bottom"/>
          </w:tcPr>
          <w:p>
            <w:pPr>
              <w:ind w:left="360"/>
              <w:spacing w:after="0"/>
              <w:rPr>
                <w:sz w:val="20"/>
                <w:szCs w:val="20"/>
                <w:color w:val="auto"/>
              </w:rPr>
            </w:pPr>
            <w:r>
              <w:rPr>
                <w:rFonts w:ascii="Arial" w:cs="Arial" w:eastAsia="Arial" w:hAnsi="Arial"/>
                <w:sz w:val="18"/>
                <w:szCs w:val="18"/>
                <w:color w:val="auto"/>
              </w:rPr>
              <w:t>ATMs</w:t>
            </w:r>
          </w:p>
        </w:tc>
        <w:tc>
          <w:tcPr>
            <w:tcW w:w="1840" w:type="dxa"/>
            <w:vAlign w:val="bottom"/>
          </w:tcPr>
          <w:p>
            <w:pPr>
              <w:jc w:val="right"/>
              <w:ind w:right="210"/>
              <w:spacing w:after="0"/>
              <w:rPr>
                <w:sz w:val="20"/>
                <w:szCs w:val="20"/>
                <w:color w:val="auto"/>
              </w:rPr>
            </w:pPr>
            <w:r>
              <w:rPr>
                <w:rFonts w:ascii="Arial" w:cs="Arial" w:eastAsia="Arial" w:hAnsi="Arial"/>
                <w:sz w:val="18"/>
                <w:szCs w:val="18"/>
                <w:color w:val="auto"/>
              </w:rPr>
              <w:t>PLN 49</w:t>
            </w:r>
          </w:p>
        </w:tc>
        <w:tc>
          <w:tcPr>
            <w:tcW w:w="106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27"/>
        </w:trPr>
        <w:tc>
          <w:tcPr>
            <w:tcW w:w="312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2460" w:type="dxa"/>
            <w:vAlign w:val="bottom"/>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37"/>
        </w:trPr>
        <w:tc>
          <w:tcPr>
            <w:tcW w:w="3120" w:type="dxa"/>
            <w:vAlign w:val="bottom"/>
          </w:tcPr>
          <w:p>
            <w:pPr>
              <w:spacing w:after="0"/>
              <w:rPr>
                <w:sz w:val="20"/>
                <w:szCs w:val="20"/>
                <w:color w:val="auto"/>
              </w:rPr>
            </w:pPr>
            <w:r>
              <w:rPr>
                <w:rFonts w:ascii="Arial" w:cs="Arial" w:eastAsia="Arial" w:hAnsi="Arial"/>
                <w:sz w:val="18"/>
                <w:szCs w:val="18"/>
                <w:b w:val="1"/>
                <w:bCs w:val="1"/>
                <w:color w:val="auto"/>
              </w:rPr>
              <w:t>Euronet Polska Spółka z o.o. Total</w:t>
            </w:r>
          </w:p>
        </w:tc>
        <w:tc>
          <w:tcPr>
            <w:tcW w:w="154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2460" w:type="dxa"/>
            <w:vAlign w:val="bottom"/>
          </w:tcPr>
          <w:p>
            <w:pPr>
              <w:spacing w:after="0"/>
              <w:rPr>
                <w:sz w:val="20"/>
                <w:szCs w:val="20"/>
                <w:color w:val="auto"/>
              </w:rPr>
            </w:pPr>
          </w:p>
        </w:tc>
        <w:tc>
          <w:tcPr>
            <w:tcW w:w="1840" w:type="dxa"/>
            <w:vAlign w:val="bottom"/>
          </w:tcPr>
          <w:p>
            <w:pPr>
              <w:jc w:val="right"/>
              <w:ind w:right="210"/>
              <w:spacing w:after="0"/>
              <w:rPr>
                <w:sz w:val="20"/>
                <w:szCs w:val="20"/>
                <w:color w:val="auto"/>
              </w:rPr>
            </w:pPr>
            <w:r>
              <w:rPr>
                <w:rFonts w:ascii="Arial" w:cs="Arial" w:eastAsia="Arial" w:hAnsi="Arial"/>
                <w:sz w:val="18"/>
                <w:szCs w:val="18"/>
                <w:b w:val="1"/>
                <w:bCs w:val="1"/>
                <w:color w:val="auto"/>
              </w:rPr>
              <w:t>PLN 49</w:t>
            </w:r>
          </w:p>
        </w:tc>
        <w:tc>
          <w:tcPr>
            <w:tcW w:w="1060" w:type="dxa"/>
            <w:vAlign w:val="bottom"/>
          </w:tcPr>
          <w:p>
            <w:pPr>
              <w:jc w:val="right"/>
              <w:spacing w:after="0"/>
              <w:rPr>
                <w:sz w:val="20"/>
                <w:szCs w:val="20"/>
                <w:color w:val="auto"/>
              </w:rPr>
            </w:pPr>
            <w:r>
              <w:rPr>
                <w:rFonts w:ascii="Arial" w:cs="Arial" w:eastAsia="Arial" w:hAnsi="Arial"/>
                <w:sz w:val="18"/>
                <w:szCs w:val="18"/>
                <w:b w:val="1"/>
                <w:bCs w:val="1"/>
                <w:color w:val="auto"/>
              </w:rPr>
              <w:t>16</w:t>
            </w:r>
          </w:p>
        </w:tc>
      </w:tr>
      <w:tr>
        <w:trPr>
          <w:trHeight w:val="837"/>
        </w:trPr>
        <w:tc>
          <w:tcPr>
            <w:tcW w:w="3120" w:type="dxa"/>
            <w:vAlign w:val="bottom"/>
          </w:tcPr>
          <w:p>
            <w:pPr>
              <w:spacing w:after="0"/>
              <w:rPr>
                <w:sz w:val="24"/>
                <w:szCs w:val="24"/>
                <w:color w:val="auto"/>
              </w:rPr>
            </w:pPr>
          </w:p>
        </w:tc>
        <w:tc>
          <w:tcPr>
            <w:tcW w:w="1540" w:type="dxa"/>
            <w:vAlign w:val="bottom"/>
          </w:tcPr>
          <w:p>
            <w:pPr>
              <w:ind w:left="220"/>
              <w:spacing w:after="0"/>
              <w:rPr>
                <w:sz w:val="20"/>
                <w:szCs w:val="20"/>
                <w:color w:val="auto"/>
              </w:rPr>
            </w:pPr>
            <w:r>
              <w:rPr>
                <w:rFonts w:ascii="Arial" w:cs="Arial" w:eastAsia="Arial" w:hAnsi="Arial"/>
                <w:sz w:val="18"/>
                <w:szCs w:val="18"/>
                <w:color w:val="auto"/>
                <w:w w:val="90"/>
              </w:rPr>
              <w:t>Deutsche Leasing</w:t>
            </w:r>
          </w:p>
        </w:tc>
        <w:tc>
          <w:tcPr>
            <w:tcW w:w="1360" w:type="dxa"/>
            <w:vAlign w:val="bottom"/>
          </w:tcPr>
          <w:p>
            <w:pPr>
              <w:spacing w:after="0"/>
              <w:rPr>
                <w:sz w:val="24"/>
                <w:szCs w:val="24"/>
                <w:color w:val="auto"/>
              </w:rPr>
            </w:pPr>
          </w:p>
        </w:tc>
        <w:tc>
          <w:tcPr>
            <w:tcW w:w="246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216"/>
        </w:trPr>
        <w:tc>
          <w:tcPr>
            <w:tcW w:w="3120" w:type="dxa"/>
            <w:vAlign w:val="bottom"/>
          </w:tcPr>
          <w:p>
            <w:pPr>
              <w:spacing w:after="0"/>
              <w:rPr>
                <w:sz w:val="20"/>
                <w:szCs w:val="20"/>
                <w:color w:val="auto"/>
              </w:rPr>
            </w:pPr>
            <w:r>
              <w:rPr>
                <w:rFonts w:ascii="Arial" w:cs="Arial" w:eastAsia="Arial" w:hAnsi="Arial"/>
                <w:sz w:val="18"/>
                <w:szCs w:val="18"/>
                <w:color w:val="auto"/>
                <w:w w:val="95"/>
              </w:rPr>
              <w:t>transact Elektronische Zahlungssysteme</w:t>
            </w:r>
          </w:p>
        </w:tc>
        <w:tc>
          <w:tcPr>
            <w:tcW w:w="1540" w:type="dxa"/>
            <w:vAlign w:val="bottom"/>
          </w:tcPr>
          <w:p>
            <w:pPr>
              <w:ind w:left="220"/>
              <w:spacing w:after="0"/>
              <w:rPr>
                <w:sz w:val="20"/>
                <w:szCs w:val="20"/>
                <w:color w:val="auto"/>
              </w:rPr>
            </w:pPr>
            <w:r>
              <w:rPr>
                <w:rFonts w:ascii="Arial" w:cs="Arial" w:eastAsia="Arial" w:hAnsi="Arial"/>
                <w:sz w:val="18"/>
                <w:szCs w:val="18"/>
                <w:color w:val="auto"/>
                <w:w w:val="97"/>
              </w:rPr>
              <w:t>Info. Technology</w:t>
            </w:r>
          </w:p>
        </w:tc>
        <w:tc>
          <w:tcPr>
            <w:tcW w:w="1360" w:type="dxa"/>
            <w:vAlign w:val="bottom"/>
          </w:tcPr>
          <w:p>
            <w:pPr>
              <w:spacing w:after="0"/>
              <w:rPr>
                <w:sz w:val="18"/>
                <w:szCs w:val="18"/>
                <w:color w:val="auto"/>
              </w:rPr>
            </w:pPr>
          </w:p>
        </w:tc>
        <w:tc>
          <w:tcPr>
            <w:tcW w:w="246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30"/>
        </w:trPr>
        <w:tc>
          <w:tcPr>
            <w:tcW w:w="3120" w:type="dxa"/>
            <w:vAlign w:val="bottom"/>
          </w:tcPr>
          <w:p>
            <w:pPr>
              <w:spacing w:after="0"/>
              <w:rPr>
                <w:sz w:val="20"/>
                <w:szCs w:val="20"/>
                <w:color w:val="auto"/>
              </w:rPr>
            </w:pPr>
            <w:r>
              <w:rPr>
                <w:rFonts w:ascii="Arial" w:cs="Arial" w:eastAsia="Arial" w:hAnsi="Arial"/>
                <w:sz w:val="18"/>
                <w:szCs w:val="18"/>
                <w:color w:val="auto"/>
              </w:rPr>
              <w:t>GmbH</w:t>
            </w:r>
          </w:p>
        </w:tc>
        <w:tc>
          <w:tcPr>
            <w:tcW w:w="1540" w:type="dxa"/>
            <w:vAlign w:val="bottom"/>
          </w:tcPr>
          <w:p>
            <w:pPr>
              <w:ind w:left="220"/>
              <w:spacing w:after="0"/>
              <w:rPr>
                <w:sz w:val="20"/>
                <w:szCs w:val="20"/>
                <w:color w:val="auto"/>
              </w:rPr>
            </w:pPr>
            <w:r>
              <w:rPr>
                <w:rFonts w:ascii="Arial" w:cs="Arial" w:eastAsia="Arial" w:hAnsi="Arial"/>
                <w:sz w:val="18"/>
                <w:szCs w:val="18"/>
                <w:color w:val="auto"/>
              </w:rPr>
              <w:t>GmbH</w:t>
            </w:r>
          </w:p>
        </w:tc>
        <w:tc>
          <w:tcPr>
            <w:tcW w:w="1360" w:type="dxa"/>
            <w:vAlign w:val="bottom"/>
          </w:tcPr>
          <w:p>
            <w:pPr>
              <w:ind w:left="20"/>
              <w:spacing w:after="0"/>
              <w:rPr>
                <w:sz w:val="20"/>
                <w:szCs w:val="20"/>
                <w:color w:val="auto"/>
              </w:rPr>
            </w:pPr>
            <w:r>
              <w:rPr>
                <w:rFonts w:ascii="Arial" w:cs="Arial" w:eastAsia="Arial" w:hAnsi="Arial"/>
                <w:sz w:val="18"/>
                <w:szCs w:val="18"/>
                <w:color w:val="auto"/>
              </w:rPr>
              <w:t>Capital Lease</w:t>
            </w:r>
          </w:p>
        </w:tc>
        <w:tc>
          <w:tcPr>
            <w:tcW w:w="2460" w:type="dxa"/>
            <w:vAlign w:val="bottom"/>
          </w:tcPr>
          <w:p>
            <w:pPr>
              <w:ind w:left="360"/>
              <w:spacing w:after="0"/>
              <w:rPr>
                <w:sz w:val="20"/>
                <w:szCs w:val="20"/>
                <w:color w:val="auto"/>
              </w:rPr>
            </w:pPr>
            <w:r>
              <w:rPr>
                <w:rFonts w:ascii="Arial" w:cs="Arial" w:eastAsia="Arial" w:hAnsi="Arial"/>
                <w:sz w:val="18"/>
                <w:szCs w:val="18"/>
                <w:color w:val="auto"/>
              </w:rPr>
              <w:t>ATMs</w:t>
            </w:r>
          </w:p>
        </w:tc>
        <w:tc>
          <w:tcPr>
            <w:tcW w:w="1840" w:type="dxa"/>
            <w:vAlign w:val="bottom"/>
          </w:tcPr>
          <w:p>
            <w:pPr>
              <w:jc w:val="right"/>
              <w:ind w:right="210"/>
              <w:spacing w:after="0"/>
              <w:rPr>
                <w:sz w:val="20"/>
                <w:szCs w:val="20"/>
                <w:color w:val="auto"/>
              </w:rPr>
            </w:pPr>
            <w:r>
              <w:rPr>
                <w:rFonts w:ascii="Arial" w:cs="Arial" w:eastAsia="Arial" w:hAnsi="Arial"/>
                <w:sz w:val="18"/>
                <w:szCs w:val="18"/>
                <w:color w:val="auto"/>
              </w:rPr>
              <w:t>EUR 14,466</w:t>
            </w:r>
          </w:p>
        </w:tc>
        <w:tc>
          <w:tcPr>
            <w:tcW w:w="1060" w:type="dxa"/>
            <w:vAlign w:val="bottom"/>
          </w:tcPr>
          <w:p>
            <w:pPr>
              <w:jc w:val="right"/>
              <w:spacing w:after="0"/>
              <w:rPr>
                <w:sz w:val="20"/>
                <w:szCs w:val="20"/>
                <w:color w:val="auto"/>
              </w:rPr>
            </w:pPr>
            <w:r>
              <w:rPr>
                <w:rFonts w:ascii="Arial" w:cs="Arial" w:eastAsia="Arial" w:hAnsi="Arial"/>
                <w:sz w:val="18"/>
                <w:szCs w:val="18"/>
                <w:color w:val="auto"/>
              </w:rPr>
              <w:t>19,548</w:t>
            </w:r>
          </w:p>
        </w:tc>
      </w:tr>
      <w:tr>
        <w:trPr>
          <w:trHeight w:val="256"/>
        </w:trPr>
        <w:tc>
          <w:tcPr>
            <w:tcW w:w="3120" w:type="dxa"/>
            <w:vAlign w:val="bottom"/>
          </w:tcPr>
          <w:p>
            <w:pPr>
              <w:spacing w:after="0"/>
              <w:rPr>
                <w:sz w:val="22"/>
                <w:szCs w:val="22"/>
                <w:color w:val="auto"/>
              </w:rPr>
            </w:pPr>
          </w:p>
        </w:tc>
        <w:tc>
          <w:tcPr>
            <w:tcW w:w="1540" w:type="dxa"/>
            <w:vAlign w:val="bottom"/>
          </w:tcPr>
          <w:p>
            <w:pPr>
              <w:ind w:left="220"/>
              <w:spacing w:after="0"/>
              <w:rPr>
                <w:sz w:val="20"/>
                <w:szCs w:val="20"/>
                <w:color w:val="auto"/>
              </w:rPr>
            </w:pPr>
            <w:r>
              <w:rPr>
                <w:rFonts w:ascii="Arial" w:cs="Arial" w:eastAsia="Arial" w:hAnsi="Arial"/>
                <w:sz w:val="18"/>
                <w:szCs w:val="18"/>
                <w:color w:val="auto"/>
                <w:w w:val="90"/>
              </w:rPr>
              <w:t>Deutsche Leasing</w:t>
            </w:r>
          </w:p>
        </w:tc>
        <w:tc>
          <w:tcPr>
            <w:tcW w:w="1360" w:type="dxa"/>
            <w:vAlign w:val="bottom"/>
          </w:tcPr>
          <w:p>
            <w:pPr>
              <w:spacing w:after="0"/>
              <w:rPr>
                <w:sz w:val="22"/>
                <w:szCs w:val="22"/>
                <w:color w:val="auto"/>
              </w:rPr>
            </w:pPr>
          </w:p>
        </w:tc>
        <w:tc>
          <w:tcPr>
            <w:tcW w:w="2460" w:type="dxa"/>
            <w:vAlign w:val="bottom"/>
          </w:tcPr>
          <w:p>
            <w:pPr>
              <w:spacing w:after="0"/>
              <w:rPr>
                <w:sz w:val="22"/>
                <w:szCs w:val="22"/>
                <w:color w:val="auto"/>
              </w:rPr>
            </w:pPr>
          </w:p>
        </w:tc>
        <w:tc>
          <w:tcPr>
            <w:tcW w:w="1840" w:type="dxa"/>
            <w:vAlign w:val="bottom"/>
          </w:tcPr>
          <w:p>
            <w:pPr>
              <w:spacing w:after="0"/>
              <w:rPr>
                <w:sz w:val="22"/>
                <w:szCs w:val="22"/>
                <w:color w:val="auto"/>
              </w:rPr>
            </w:pPr>
          </w:p>
        </w:tc>
        <w:tc>
          <w:tcPr>
            <w:tcW w:w="1060" w:type="dxa"/>
            <w:vAlign w:val="bottom"/>
          </w:tcPr>
          <w:p>
            <w:pPr>
              <w:spacing w:after="0"/>
              <w:rPr>
                <w:sz w:val="22"/>
                <w:szCs w:val="22"/>
                <w:color w:val="auto"/>
              </w:rPr>
            </w:pPr>
          </w:p>
        </w:tc>
      </w:tr>
      <w:tr>
        <w:trPr>
          <w:trHeight w:val="216"/>
        </w:trPr>
        <w:tc>
          <w:tcPr>
            <w:tcW w:w="3120" w:type="dxa"/>
            <w:vAlign w:val="bottom"/>
          </w:tcPr>
          <w:p>
            <w:pPr>
              <w:spacing w:after="0"/>
              <w:rPr>
                <w:sz w:val="20"/>
                <w:szCs w:val="20"/>
                <w:color w:val="auto"/>
              </w:rPr>
            </w:pPr>
            <w:r>
              <w:rPr>
                <w:rFonts w:ascii="Arial" w:cs="Arial" w:eastAsia="Arial" w:hAnsi="Arial"/>
                <w:sz w:val="18"/>
                <w:szCs w:val="18"/>
                <w:color w:val="auto"/>
                <w:w w:val="95"/>
              </w:rPr>
              <w:t>transact Elektronische Zahlungssysteme</w:t>
            </w:r>
          </w:p>
        </w:tc>
        <w:tc>
          <w:tcPr>
            <w:tcW w:w="1540" w:type="dxa"/>
            <w:vAlign w:val="bottom"/>
          </w:tcPr>
          <w:p>
            <w:pPr>
              <w:ind w:left="220"/>
              <w:spacing w:after="0"/>
              <w:rPr>
                <w:sz w:val="20"/>
                <w:szCs w:val="20"/>
                <w:color w:val="auto"/>
              </w:rPr>
            </w:pPr>
            <w:r>
              <w:rPr>
                <w:rFonts w:ascii="Arial" w:cs="Arial" w:eastAsia="Arial" w:hAnsi="Arial"/>
                <w:sz w:val="18"/>
                <w:szCs w:val="18"/>
                <w:color w:val="auto"/>
                <w:w w:val="97"/>
              </w:rPr>
              <w:t>Info. Technology</w:t>
            </w:r>
          </w:p>
        </w:tc>
        <w:tc>
          <w:tcPr>
            <w:tcW w:w="1360" w:type="dxa"/>
            <w:vAlign w:val="bottom"/>
          </w:tcPr>
          <w:p>
            <w:pPr>
              <w:spacing w:after="0"/>
              <w:rPr>
                <w:sz w:val="18"/>
                <w:szCs w:val="18"/>
                <w:color w:val="auto"/>
              </w:rPr>
            </w:pPr>
          </w:p>
        </w:tc>
        <w:tc>
          <w:tcPr>
            <w:tcW w:w="246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30"/>
        </w:trPr>
        <w:tc>
          <w:tcPr>
            <w:tcW w:w="3120" w:type="dxa"/>
            <w:vAlign w:val="bottom"/>
          </w:tcPr>
          <w:p>
            <w:pPr>
              <w:spacing w:after="0"/>
              <w:rPr>
                <w:sz w:val="20"/>
                <w:szCs w:val="20"/>
                <w:color w:val="auto"/>
              </w:rPr>
            </w:pPr>
            <w:r>
              <w:rPr>
                <w:rFonts w:ascii="Arial" w:cs="Arial" w:eastAsia="Arial" w:hAnsi="Arial"/>
                <w:sz w:val="18"/>
                <w:szCs w:val="18"/>
                <w:color w:val="auto"/>
              </w:rPr>
              <w:t>GmbH</w:t>
            </w:r>
          </w:p>
        </w:tc>
        <w:tc>
          <w:tcPr>
            <w:tcW w:w="1540" w:type="dxa"/>
            <w:vAlign w:val="bottom"/>
          </w:tcPr>
          <w:p>
            <w:pPr>
              <w:ind w:left="220"/>
              <w:spacing w:after="0"/>
              <w:rPr>
                <w:sz w:val="20"/>
                <w:szCs w:val="20"/>
                <w:color w:val="auto"/>
              </w:rPr>
            </w:pPr>
            <w:r>
              <w:rPr>
                <w:rFonts w:ascii="Arial" w:cs="Arial" w:eastAsia="Arial" w:hAnsi="Arial"/>
                <w:sz w:val="18"/>
                <w:szCs w:val="18"/>
                <w:color w:val="auto"/>
              </w:rPr>
              <w:t>GmbH</w:t>
            </w:r>
          </w:p>
        </w:tc>
        <w:tc>
          <w:tcPr>
            <w:tcW w:w="1360" w:type="dxa"/>
            <w:vAlign w:val="bottom"/>
          </w:tcPr>
          <w:p>
            <w:pPr>
              <w:ind w:left="20"/>
              <w:spacing w:after="0"/>
              <w:rPr>
                <w:sz w:val="20"/>
                <w:szCs w:val="20"/>
                <w:color w:val="auto"/>
              </w:rPr>
            </w:pPr>
            <w:r>
              <w:rPr>
                <w:rFonts w:ascii="Arial" w:cs="Arial" w:eastAsia="Arial" w:hAnsi="Arial"/>
                <w:sz w:val="18"/>
                <w:szCs w:val="18"/>
                <w:color w:val="auto"/>
              </w:rPr>
              <w:t>Capital Lease</w:t>
            </w:r>
          </w:p>
        </w:tc>
        <w:tc>
          <w:tcPr>
            <w:tcW w:w="2460" w:type="dxa"/>
            <w:vAlign w:val="bottom"/>
          </w:tcPr>
          <w:p>
            <w:pPr>
              <w:ind w:left="360"/>
              <w:spacing w:after="0"/>
              <w:rPr>
                <w:sz w:val="20"/>
                <w:szCs w:val="20"/>
                <w:color w:val="auto"/>
              </w:rPr>
            </w:pPr>
            <w:r>
              <w:rPr>
                <w:rFonts w:ascii="Arial" w:cs="Arial" w:eastAsia="Arial" w:hAnsi="Arial"/>
                <w:sz w:val="18"/>
                <w:szCs w:val="18"/>
                <w:color w:val="auto"/>
              </w:rPr>
              <w:t>ATMs</w:t>
            </w:r>
          </w:p>
        </w:tc>
        <w:tc>
          <w:tcPr>
            <w:tcW w:w="1840" w:type="dxa"/>
            <w:vAlign w:val="bottom"/>
          </w:tcPr>
          <w:p>
            <w:pPr>
              <w:jc w:val="right"/>
              <w:ind w:right="210"/>
              <w:spacing w:after="0"/>
              <w:rPr>
                <w:sz w:val="20"/>
                <w:szCs w:val="20"/>
                <w:color w:val="auto"/>
              </w:rPr>
            </w:pPr>
            <w:r>
              <w:rPr>
                <w:rFonts w:ascii="Arial" w:cs="Arial" w:eastAsia="Arial" w:hAnsi="Arial"/>
                <w:sz w:val="18"/>
                <w:szCs w:val="18"/>
                <w:color w:val="auto"/>
              </w:rPr>
              <w:t>EUR 42,265</w:t>
            </w:r>
          </w:p>
        </w:tc>
        <w:tc>
          <w:tcPr>
            <w:tcW w:w="1060" w:type="dxa"/>
            <w:vAlign w:val="bottom"/>
          </w:tcPr>
          <w:p>
            <w:pPr>
              <w:jc w:val="right"/>
              <w:spacing w:after="0"/>
              <w:rPr>
                <w:sz w:val="20"/>
                <w:szCs w:val="20"/>
                <w:color w:val="auto"/>
              </w:rPr>
            </w:pPr>
            <w:r>
              <w:rPr>
                <w:rFonts w:ascii="Arial" w:cs="Arial" w:eastAsia="Arial" w:hAnsi="Arial"/>
                <w:sz w:val="18"/>
                <w:szCs w:val="18"/>
                <w:color w:val="auto"/>
              </w:rPr>
              <w:t>57,113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4027805</wp:posOffset>
            </wp:positionH>
            <wp:positionV relativeFrom="paragraph">
              <wp:posOffset>-1740535</wp:posOffset>
            </wp:positionV>
            <wp:extent cx="1363345" cy="3257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1363345" cy="325755"/>
                    </a:xfrm>
                    <a:prstGeom prst="rect">
                      <a:avLst/>
                    </a:prstGeom>
                    <a:noFill/>
                  </pic:spPr>
                </pic:pic>
              </a:graphicData>
            </a:graphic>
          </wp:anchor>
        </w:drawing>
        <w:drawing>
          <wp:anchor simplePos="0" relativeHeight="251657728" behindDoc="1" locked="0" layoutInCell="0" allowOverlap="1">
            <wp:simplePos x="0" y="0"/>
            <wp:positionH relativeFrom="column">
              <wp:posOffset>4027805</wp:posOffset>
            </wp:positionH>
            <wp:positionV relativeFrom="paragraph">
              <wp:posOffset>-2100580</wp:posOffset>
            </wp:positionV>
            <wp:extent cx="1363345" cy="889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1363345" cy="8890"/>
                    </a:xfrm>
                    <a:prstGeom prst="rect">
                      <a:avLst/>
                    </a:prstGeom>
                    <a:noFill/>
                  </pic:spPr>
                </pic:pic>
              </a:graphicData>
            </a:graphic>
          </wp:anchor>
        </w:drawing>
      </w:r>
    </w:p>
    <w:p>
      <w:pPr>
        <w:sectPr>
          <w:pgSz w:w="11900" w:h="16838" w:orient="portrait"/>
          <w:cols w:equalWidth="0" w:num="1">
            <w:col w:w="11380"/>
          </w:cols>
          <w:pgMar w:left="280" w:top="530" w:right="239" w:bottom="1440" w:gutter="0" w:footer="0" w:header="0"/>
        </w:sectPr>
      </w:pPr>
    </w:p>
    <w:bookmarkStart w:id="290" w:name="page291"/>
    <w:bookmarkEnd w:id="290"/>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380" w:type="dxa"/>
            <w:vAlign w:val="bottom"/>
          </w:tcPr>
          <w:p>
            <w:pPr>
              <w:ind w:left="60"/>
              <w:spacing w:after="0"/>
              <w:rPr>
                <w:sz w:val="20"/>
                <w:szCs w:val="20"/>
                <w:color w:val="auto"/>
              </w:rPr>
            </w:pPr>
            <w:r>
              <w:rPr>
                <w:rFonts w:ascii="Arial" w:cs="Arial" w:eastAsia="Arial" w:hAnsi="Arial"/>
                <w:sz w:val="18"/>
                <w:szCs w:val="18"/>
                <w:color w:val="auto"/>
                <w:w w:val="90"/>
              </w:rPr>
              <w:t>Deutsche Leasing</w:t>
            </w:r>
          </w:p>
        </w:tc>
        <w:tc>
          <w:tcPr>
            <w:tcW w:w="160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80" w:type="dxa"/>
            <w:vAlign w:val="bottom"/>
            <w:gridSpan w:val="3"/>
          </w:tcPr>
          <w:p>
            <w:pPr>
              <w:ind w:left="20"/>
              <w:spacing w:after="0"/>
              <w:rPr>
                <w:sz w:val="20"/>
                <w:szCs w:val="20"/>
                <w:color w:val="auto"/>
              </w:rPr>
            </w:pPr>
            <w:r>
              <w:rPr>
                <w:rFonts w:ascii="Arial" w:cs="Arial" w:eastAsia="Arial" w:hAnsi="Arial"/>
                <w:sz w:val="18"/>
                <w:szCs w:val="18"/>
                <w:color w:val="auto"/>
              </w:rPr>
              <w:t>transact Elektronische Zahlungssysteme</w:t>
            </w:r>
          </w:p>
        </w:tc>
        <w:tc>
          <w:tcPr>
            <w:tcW w:w="1380" w:type="dxa"/>
            <w:vAlign w:val="bottom"/>
          </w:tcPr>
          <w:p>
            <w:pPr>
              <w:ind w:left="60"/>
              <w:spacing w:after="0"/>
              <w:rPr>
                <w:sz w:val="20"/>
                <w:szCs w:val="20"/>
                <w:color w:val="auto"/>
              </w:rPr>
            </w:pPr>
            <w:r>
              <w:rPr>
                <w:rFonts w:ascii="Arial" w:cs="Arial" w:eastAsia="Arial" w:hAnsi="Arial"/>
                <w:sz w:val="18"/>
                <w:szCs w:val="18"/>
                <w:color w:val="auto"/>
                <w:w w:val="97"/>
              </w:rPr>
              <w:t>Info. Technology</w:t>
            </w:r>
          </w:p>
        </w:tc>
        <w:tc>
          <w:tcPr>
            <w:tcW w:w="160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280" w:type="dxa"/>
            <w:vAlign w:val="bottom"/>
            <w:gridSpan w:val="3"/>
          </w:tcPr>
          <w:p>
            <w:pPr>
              <w:ind w:left="20"/>
              <w:spacing w:after="0"/>
              <w:rPr>
                <w:sz w:val="20"/>
                <w:szCs w:val="20"/>
                <w:color w:val="auto"/>
              </w:rPr>
            </w:pPr>
            <w:r>
              <w:rPr>
                <w:rFonts w:ascii="Arial" w:cs="Arial" w:eastAsia="Arial" w:hAnsi="Arial"/>
                <w:sz w:val="18"/>
                <w:szCs w:val="18"/>
                <w:color w:val="auto"/>
              </w:rPr>
              <w:t>GmbH</w:t>
            </w:r>
          </w:p>
        </w:tc>
        <w:tc>
          <w:tcPr>
            <w:tcW w:w="1380" w:type="dxa"/>
            <w:vAlign w:val="bottom"/>
          </w:tcPr>
          <w:p>
            <w:pPr>
              <w:ind w:left="60"/>
              <w:spacing w:after="0"/>
              <w:rPr>
                <w:sz w:val="20"/>
                <w:szCs w:val="20"/>
                <w:color w:val="auto"/>
              </w:rPr>
            </w:pPr>
            <w:r>
              <w:rPr>
                <w:rFonts w:ascii="Arial" w:cs="Arial" w:eastAsia="Arial" w:hAnsi="Arial"/>
                <w:sz w:val="18"/>
                <w:szCs w:val="18"/>
                <w:color w:val="auto"/>
              </w:rPr>
              <w:t>GmbH</w:t>
            </w:r>
          </w:p>
        </w:tc>
        <w:tc>
          <w:tcPr>
            <w:tcW w:w="1600" w:type="dxa"/>
            <w:vAlign w:val="bottom"/>
          </w:tcPr>
          <w:p>
            <w:pPr>
              <w:ind w:left="40"/>
              <w:spacing w:after="0"/>
              <w:rPr>
                <w:sz w:val="20"/>
                <w:szCs w:val="20"/>
                <w:color w:val="auto"/>
              </w:rPr>
            </w:pPr>
            <w:r>
              <w:rPr>
                <w:rFonts w:ascii="Arial" w:cs="Arial" w:eastAsia="Arial" w:hAnsi="Arial"/>
                <w:sz w:val="18"/>
                <w:szCs w:val="18"/>
                <w:color w:val="auto"/>
              </w:rPr>
              <w:t>Capital Lease</w:t>
            </w:r>
          </w:p>
        </w:tc>
        <w:tc>
          <w:tcPr>
            <w:tcW w:w="2240" w:type="dxa"/>
            <w:vAlign w:val="bottom"/>
          </w:tcPr>
          <w:p>
            <w:pPr>
              <w:ind w:left="140"/>
              <w:spacing w:after="0"/>
              <w:rPr>
                <w:sz w:val="20"/>
                <w:szCs w:val="20"/>
                <w:color w:val="auto"/>
              </w:rPr>
            </w:pPr>
            <w:r>
              <w:rPr>
                <w:rFonts w:ascii="Arial" w:cs="Arial" w:eastAsia="Arial" w:hAnsi="Arial"/>
                <w:sz w:val="18"/>
                <w:szCs w:val="18"/>
                <w:color w:val="auto"/>
              </w:rPr>
              <w:t>ATMs</w:t>
            </w:r>
          </w:p>
        </w:tc>
        <w:tc>
          <w:tcPr>
            <w:tcW w:w="1580" w:type="dxa"/>
            <w:vAlign w:val="bottom"/>
          </w:tcPr>
          <w:p>
            <w:pPr>
              <w:jc w:val="right"/>
              <w:spacing w:after="0"/>
              <w:rPr>
                <w:sz w:val="20"/>
                <w:szCs w:val="20"/>
                <w:color w:val="auto"/>
              </w:rPr>
            </w:pPr>
            <w:r>
              <w:rPr>
                <w:rFonts w:ascii="Arial" w:cs="Arial" w:eastAsia="Arial" w:hAnsi="Arial"/>
                <w:sz w:val="18"/>
                <w:szCs w:val="18"/>
                <w:color w:val="auto"/>
              </w:rPr>
              <w:t>EUR 94,663</w:t>
            </w:r>
          </w:p>
        </w:tc>
        <w:tc>
          <w:tcPr>
            <w:tcW w:w="1320" w:type="dxa"/>
            <w:vAlign w:val="bottom"/>
          </w:tcPr>
          <w:p>
            <w:pPr>
              <w:jc w:val="right"/>
              <w:spacing w:after="0"/>
              <w:rPr>
                <w:sz w:val="20"/>
                <w:szCs w:val="20"/>
                <w:color w:val="auto"/>
              </w:rPr>
            </w:pPr>
            <w:r>
              <w:rPr>
                <w:rFonts w:ascii="Arial" w:cs="Arial" w:eastAsia="Arial" w:hAnsi="Arial"/>
                <w:sz w:val="18"/>
                <w:szCs w:val="18"/>
                <w:color w:val="auto"/>
              </w:rPr>
              <w:t>127,918</w:t>
            </w: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1600" w:type="dxa"/>
            <w:vAlign w:val="bottom"/>
          </w:tcPr>
          <w:p>
            <w:pPr>
              <w:spacing w:after="0"/>
              <w:rPr>
                <w:sz w:val="22"/>
                <w:szCs w:val="22"/>
                <w:color w:val="auto"/>
              </w:rPr>
            </w:pPr>
          </w:p>
        </w:tc>
        <w:tc>
          <w:tcPr>
            <w:tcW w:w="1660" w:type="dxa"/>
            <w:vAlign w:val="bottom"/>
          </w:tcPr>
          <w:p>
            <w:pPr>
              <w:spacing w:after="0"/>
              <w:rPr>
                <w:sz w:val="22"/>
                <w:szCs w:val="22"/>
                <w:color w:val="auto"/>
              </w:rPr>
            </w:pPr>
          </w:p>
        </w:tc>
        <w:tc>
          <w:tcPr>
            <w:tcW w:w="1380" w:type="dxa"/>
            <w:vAlign w:val="bottom"/>
          </w:tcPr>
          <w:p>
            <w:pPr>
              <w:ind w:left="60"/>
              <w:spacing w:after="0"/>
              <w:rPr>
                <w:sz w:val="20"/>
                <w:szCs w:val="20"/>
                <w:color w:val="auto"/>
              </w:rPr>
            </w:pPr>
            <w:r>
              <w:rPr>
                <w:rFonts w:ascii="Arial" w:cs="Arial" w:eastAsia="Arial" w:hAnsi="Arial"/>
                <w:sz w:val="18"/>
                <w:szCs w:val="18"/>
                <w:color w:val="auto"/>
                <w:w w:val="90"/>
              </w:rPr>
              <w:t>Deutsche Leasing</w:t>
            </w:r>
          </w:p>
        </w:tc>
        <w:tc>
          <w:tcPr>
            <w:tcW w:w="1600" w:type="dxa"/>
            <w:vAlign w:val="bottom"/>
          </w:tcPr>
          <w:p>
            <w:pPr>
              <w:spacing w:after="0"/>
              <w:rPr>
                <w:sz w:val="22"/>
                <w:szCs w:val="22"/>
                <w:color w:val="auto"/>
              </w:rPr>
            </w:pPr>
          </w:p>
        </w:tc>
        <w:tc>
          <w:tcPr>
            <w:tcW w:w="224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3280" w:type="dxa"/>
            <w:vAlign w:val="bottom"/>
            <w:gridSpan w:val="3"/>
          </w:tcPr>
          <w:p>
            <w:pPr>
              <w:ind w:left="20"/>
              <w:spacing w:after="0"/>
              <w:rPr>
                <w:sz w:val="20"/>
                <w:szCs w:val="20"/>
                <w:color w:val="auto"/>
              </w:rPr>
            </w:pPr>
            <w:r>
              <w:rPr>
                <w:rFonts w:ascii="Arial" w:cs="Arial" w:eastAsia="Arial" w:hAnsi="Arial"/>
                <w:sz w:val="18"/>
                <w:szCs w:val="18"/>
                <w:color w:val="auto"/>
              </w:rPr>
              <w:t>transact Elektronische Zahlungssysteme</w:t>
            </w:r>
          </w:p>
        </w:tc>
        <w:tc>
          <w:tcPr>
            <w:tcW w:w="1380" w:type="dxa"/>
            <w:vAlign w:val="bottom"/>
          </w:tcPr>
          <w:p>
            <w:pPr>
              <w:ind w:left="60"/>
              <w:spacing w:after="0"/>
              <w:rPr>
                <w:sz w:val="20"/>
                <w:szCs w:val="20"/>
                <w:color w:val="auto"/>
              </w:rPr>
            </w:pPr>
            <w:r>
              <w:rPr>
                <w:rFonts w:ascii="Arial" w:cs="Arial" w:eastAsia="Arial" w:hAnsi="Arial"/>
                <w:sz w:val="18"/>
                <w:szCs w:val="18"/>
                <w:color w:val="auto"/>
                <w:w w:val="97"/>
              </w:rPr>
              <w:t>Info. Technology</w:t>
            </w:r>
          </w:p>
        </w:tc>
        <w:tc>
          <w:tcPr>
            <w:tcW w:w="160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280" w:type="dxa"/>
            <w:vAlign w:val="bottom"/>
            <w:gridSpan w:val="3"/>
          </w:tcPr>
          <w:p>
            <w:pPr>
              <w:ind w:left="20"/>
              <w:spacing w:after="0"/>
              <w:rPr>
                <w:sz w:val="20"/>
                <w:szCs w:val="20"/>
                <w:color w:val="auto"/>
              </w:rPr>
            </w:pPr>
            <w:r>
              <w:rPr>
                <w:rFonts w:ascii="Arial" w:cs="Arial" w:eastAsia="Arial" w:hAnsi="Arial"/>
                <w:sz w:val="18"/>
                <w:szCs w:val="18"/>
                <w:color w:val="auto"/>
              </w:rPr>
              <w:t>GmbH</w:t>
            </w:r>
          </w:p>
        </w:tc>
        <w:tc>
          <w:tcPr>
            <w:tcW w:w="1380" w:type="dxa"/>
            <w:vAlign w:val="bottom"/>
          </w:tcPr>
          <w:p>
            <w:pPr>
              <w:ind w:left="60"/>
              <w:spacing w:after="0"/>
              <w:rPr>
                <w:sz w:val="20"/>
                <w:szCs w:val="20"/>
                <w:color w:val="auto"/>
              </w:rPr>
            </w:pPr>
            <w:r>
              <w:rPr>
                <w:rFonts w:ascii="Arial" w:cs="Arial" w:eastAsia="Arial" w:hAnsi="Arial"/>
                <w:sz w:val="18"/>
                <w:szCs w:val="18"/>
                <w:color w:val="auto"/>
              </w:rPr>
              <w:t>GmbH</w:t>
            </w:r>
          </w:p>
        </w:tc>
        <w:tc>
          <w:tcPr>
            <w:tcW w:w="1600" w:type="dxa"/>
            <w:vAlign w:val="bottom"/>
          </w:tcPr>
          <w:p>
            <w:pPr>
              <w:ind w:left="40"/>
              <w:spacing w:after="0"/>
              <w:rPr>
                <w:sz w:val="20"/>
                <w:szCs w:val="20"/>
                <w:color w:val="auto"/>
              </w:rPr>
            </w:pPr>
            <w:r>
              <w:rPr>
                <w:rFonts w:ascii="Arial" w:cs="Arial" w:eastAsia="Arial" w:hAnsi="Arial"/>
                <w:sz w:val="18"/>
                <w:szCs w:val="18"/>
                <w:color w:val="auto"/>
              </w:rPr>
              <w:t>Capital Lease</w:t>
            </w:r>
          </w:p>
        </w:tc>
        <w:tc>
          <w:tcPr>
            <w:tcW w:w="2240" w:type="dxa"/>
            <w:vAlign w:val="bottom"/>
          </w:tcPr>
          <w:p>
            <w:pPr>
              <w:ind w:left="140"/>
              <w:spacing w:after="0"/>
              <w:rPr>
                <w:sz w:val="20"/>
                <w:szCs w:val="20"/>
                <w:color w:val="auto"/>
              </w:rPr>
            </w:pPr>
            <w:r>
              <w:rPr>
                <w:rFonts w:ascii="Arial" w:cs="Arial" w:eastAsia="Arial" w:hAnsi="Arial"/>
                <w:sz w:val="18"/>
                <w:szCs w:val="18"/>
                <w:color w:val="auto"/>
              </w:rPr>
              <w:t>ATMs</w:t>
            </w:r>
          </w:p>
        </w:tc>
        <w:tc>
          <w:tcPr>
            <w:tcW w:w="1580" w:type="dxa"/>
            <w:vAlign w:val="bottom"/>
          </w:tcPr>
          <w:p>
            <w:pPr>
              <w:jc w:val="right"/>
              <w:spacing w:after="0"/>
              <w:rPr>
                <w:sz w:val="20"/>
                <w:szCs w:val="20"/>
                <w:color w:val="auto"/>
              </w:rPr>
            </w:pPr>
            <w:r>
              <w:rPr>
                <w:rFonts w:ascii="Arial" w:cs="Arial" w:eastAsia="Arial" w:hAnsi="Arial"/>
                <w:sz w:val="18"/>
                <w:szCs w:val="18"/>
                <w:color w:val="auto"/>
              </w:rPr>
              <w:t>EUR 68,303</w:t>
            </w:r>
          </w:p>
        </w:tc>
        <w:tc>
          <w:tcPr>
            <w:tcW w:w="1320" w:type="dxa"/>
            <w:vAlign w:val="bottom"/>
          </w:tcPr>
          <w:p>
            <w:pPr>
              <w:jc w:val="right"/>
              <w:spacing w:after="0"/>
              <w:rPr>
                <w:sz w:val="20"/>
                <w:szCs w:val="20"/>
                <w:color w:val="auto"/>
              </w:rPr>
            </w:pPr>
            <w:r>
              <w:rPr>
                <w:rFonts w:ascii="Arial" w:cs="Arial" w:eastAsia="Arial" w:hAnsi="Arial"/>
                <w:sz w:val="18"/>
                <w:szCs w:val="18"/>
                <w:color w:val="auto"/>
              </w:rPr>
              <w:t>92,298</w:t>
            </w: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1600" w:type="dxa"/>
            <w:vAlign w:val="bottom"/>
          </w:tcPr>
          <w:p>
            <w:pPr>
              <w:spacing w:after="0"/>
              <w:rPr>
                <w:sz w:val="22"/>
                <w:szCs w:val="22"/>
                <w:color w:val="auto"/>
              </w:rPr>
            </w:pPr>
          </w:p>
        </w:tc>
        <w:tc>
          <w:tcPr>
            <w:tcW w:w="1660" w:type="dxa"/>
            <w:vAlign w:val="bottom"/>
          </w:tcPr>
          <w:p>
            <w:pPr>
              <w:spacing w:after="0"/>
              <w:rPr>
                <w:sz w:val="22"/>
                <w:szCs w:val="22"/>
                <w:color w:val="auto"/>
              </w:rPr>
            </w:pPr>
          </w:p>
        </w:tc>
        <w:tc>
          <w:tcPr>
            <w:tcW w:w="1380" w:type="dxa"/>
            <w:vAlign w:val="bottom"/>
          </w:tcPr>
          <w:p>
            <w:pPr>
              <w:ind w:left="60"/>
              <w:spacing w:after="0"/>
              <w:rPr>
                <w:sz w:val="20"/>
                <w:szCs w:val="20"/>
                <w:color w:val="auto"/>
              </w:rPr>
            </w:pPr>
            <w:r>
              <w:rPr>
                <w:rFonts w:ascii="Arial" w:cs="Arial" w:eastAsia="Arial" w:hAnsi="Arial"/>
                <w:sz w:val="18"/>
                <w:szCs w:val="18"/>
                <w:color w:val="auto"/>
                <w:w w:val="90"/>
              </w:rPr>
              <w:t>Deutsche Leasing</w:t>
            </w:r>
          </w:p>
        </w:tc>
        <w:tc>
          <w:tcPr>
            <w:tcW w:w="1600" w:type="dxa"/>
            <w:vAlign w:val="bottom"/>
          </w:tcPr>
          <w:p>
            <w:pPr>
              <w:spacing w:after="0"/>
              <w:rPr>
                <w:sz w:val="22"/>
                <w:szCs w:val="22"/>
                <w:color w:val="auto"/>
              </w:rPr>
            </w:pPr>
          </w:p>
        </w:tc>
        <w:tc>
          <w:tcPr>
            <w:tcW w:w="224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3280" w:type="dxa"/>
            <w:vAlign w:val="bottom"/>
            <w:gridSpan w:val="3"/>
          </w:tcPr>
          <w:p>
            <w:pPr>
              <w:ind w:left="20"/>
              <w:spacing w:after="0"/>
              <w:rPr>
                <w:sz w:val="20"/>
                <w:szCs w:val="20"/>
                <w:color w:val="auto"/>
              </w:rPr>
            </w:pPr>
            <w:r>
              <w:rPr>
                <w:rFonts w:ascii="Arial" w:cs="Arial" w:eastAsia="Arial" w:hAnsi="Arial"/>
                <w:sz w:val="18"/>
                <w:szCs w:val="18"/>
                <w:color w:val="auto"/>
              </w:rPr>
              <w:t>transact Elektronische Zahlungssysteme</w:t>
            </w:r>
          </w:p>
        </w:tc>
        <w:tc>
          <w:tcPr>
            <w:tcW w:w="1380" w:type="dxa"/>
            <w:vAlign w:val="bottom"/>
          </w:tcPr>
          <w:p>
            <w:pPr>
              <w:ind w:left="60"/>
              <w:spacing w:after="0"/>
              <w:rPr>
                <w:sz w:val="20"/>
                <w:szCs w:val="20"/>
                <w:color w:val="auto"/>
              </w:rPr>
            </w:pPr>
            <w:r>
              <w:rPr>
                <w:rFonts w:ascii="Arial" w:cs="Arial" w:eastAsia="Arial" w:hAnsi="Arial"/>
                <w:sz w:val="18"/>
                <w:szCs w:val="18"/>
                <w:color w:val="auto"/>
                <w:w w:val="97"/>
              </w:rPr>
              <w:t>Info. Technology</w:t>
            </w:r>
          </w:p>
        </w:tc>
        <w:tc>
          <w:tcPr>
            <w:tcW w:w="160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280" w:type="dxa"/>
            <w:vAlign w:val="bottom"/>
            <w:gridSpan w:val="3"/>
          </w:tcPr>
          <w:p>
            <w:pPr>
              <w:ind w:left="20"/>
              <w:spacing w:after="0"/>
              <w:rPr>
                <w:sz w:val="20"/>
                <w:szCs w:val="20"/>
                <w:color w:val="auto"/>
              </w:rPr>
            </w:pPr>
            <w:r>
              <w:rPr>
                <w:rFonts w:ascii="Arial" w:cs="Arial" w:eastAsia="Arial" w:hAnsi="Arial"/>
                <w:sz w:val="18"/>
                <w:szCs w:val="18"/>
                <w:color w:val="auto"/>
              </w:rPr>
              <w:t>GmbH</w:t>
            </w:r>
          </w:p>
        </w:tc>
        <w:tc>
          <w:tcPr>
            <w:tcW w:w="1380" w:type="dxa"/>
            <w:vAlign w:val="bottom"/>
          </w:tcPr>
          <w:p>
            <w:pPr>
              <w:ind w:left="60"/>
              <w:spacing w:after="0"/>
              <w:rPr>
                <w:sz w:val="20"/>
                <w:szCs w:val="20"/>
                <w:color w:val="auto"/>
              </w:rPr>
            </w:pPr>
            <w:r>
              <w:rPr>
                <w:rFonts w:ascii="Arial" w:cs="Arial" w:eastAsia="Arial" w:hAnsi="Arial"/>
                <w:sz w:val="18"/>
                <w:szCs w:val="18"/>
                <w:color w:val="auto"/>
              </w:rPr>
              <w:t>GmbH</w:t>
            </w:r>
          </w:p>
        </w:tc>
        <w:tc>
          <w:tcPr>
            <w:tcW w:w="1600" w:type="dxa"/>
            <w:vAlign w:val="bottom"/>
          </w:tcPr>
          <w:p>
            <w:pPr>
              <w:ind w:left="40"/>
              <w:spacing w:after="0"/>
              <w:rPr>
                <w:sz w:val="20"/>
                <w:szCs w:val="20"/>
                <w:color w:val="auto"/>
              </w:rPr>
            </w:pPr>
            <w:r>
              <w:rPr>
                <w:rFonts w:ascii="Arial" w:cs="Arial" w:eastAsia="Arial" w:hAnsi="Arial"/>
                <w:sz w:val="18"/>
                <w:szCs w:val="18"/>
                <w:color w:val="auto"/>
              </w:rPr>
              <w:t>Capital Lease</w:t>
            </w:r>
          </w:p>
        </w:tc>
        <w:tc>
          <w:tcPr>
            <w:tcW w:w="2240" w:type="dxa"/>
            <w:vAlign w:val="bottom"/>
          </w:tcPr>
          <w:p>
            <w:pPr>
              <w:ind w:left="140"/>
              <w:spacing w:after="0"/>
              <w:rPr>
                <w:sz w:val="20"/>
                <w:szCs w:val="20"/>
                <w:color w:val="auto"/>
              </w:rPr>
            </w:pPr>
            <w:r>
              <w:rPr>
                <w:rFonts w:ascii="Arial" w:cs="Arial" w:eastAsia="Arial" w:hAnsi="Arial"/>
                <w:sz w:val="18"/>
                <w:szCs w:val="18"/>
                <w:color w:val="auto"/>
              </w:rPr>
              <w:t>ATMs</w:t>
            </w:r>
          </w:p>
        </w:tc>
        <w:tc>
          <w:tcPr>
            <w:tcW w:w="1580" w:type="dxa"/>
            <w:vAlign w:val="bottom"/>
          </w:tcPr>
          <w:p>
            <w:pPr>
              <w:jc w:val="right"/>
              <w:spacing w:after="0"/>
              <w:rPr>
                <w:sz w:val="20"/>
                <w:szCs w:val="20"/>
                <w:color w:val="auto"/>
              </w:rPr>
            </w:pPr>
            <w:r>
              <w:rPr>
                <w:rFonts w:ascii="Arial" w:cs="Arial" w:eastAsia="Arial" w:hAnsi="Arial"/>
                <w:sz w:val="18"/>
                <w:szCs w:val="18"/>
                <w:color w:val="auto"/>
              </w:rPr>
              <w:t>EUR 152,571</w:t>
            </w:r>
          </w:p>
        </w:tc>
        <w:tc>
          <w:tcPr>
            <w:tcW w:w="1320" w:type="dxa"/>
            <w:vAlign w:val="bottom"/>
          </w:tcPr>
          <w:p>
            <w:pPr>
              <w:jc w:val="right"/>
              <w:spacing w:after="0"/>
              <w:rPr>
                <w:sz w:val="20"/>
                <w:szCs w:val="20"/>
                <w:color w:val="auto"/>
              </w:rPr>
            </w:pPr>
            <w:r>
              <w:rPr>
                <w:rFonts w:ascii="Arial" w:cs="Arial" w:eastAsia="Arial" w:hAnsi="Arial"/>
                <w:sz w:val="18"/>
                <w:szCs w:val="18"/>
                <w:color w:val="auto"/>
              </w:rPr>
              <w:t>206,170</w:t>
            </w: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1600" w:type="dxa"/>
            <w:vAlign w:val="bottom"/>
          </w:tcPr>
          <w:p>
            <w:pPr>
              <w:spacing w:after="0"/>
              <w:rPr>
                <w:sz w:val="22"/>
                <w:szCs w:val="22"/>
                <w:color w:val="auto"/>
              </w:rPr>
            </w:pPr>
          </w:p>
        </w:tc>
        <w:tc>
          <w:tcPr>
            <w:tcW w:w="1660" w:type="dxa"/>
            <w:vAlign w:val="bottom"/>
          </w:tcPr>
          <w:p>
            <w:pPr>
              <w:spacing w:after="0"/>
              <w:rPr>
                <w:sz w:val="22"/>
                <w:szCs w:val="22"/>
                <w:color w:val="auto"/>
              </w:rPr>
            </w:pPr>
          </w:p>
        </w:tc>
        <w:tc>
          <w:tcPr>
            <w:tcW w:w="1380" w:type="dxa"/>
            <w:vAlign w:val="bottom"/>
          </w:tcPr>
          <w:p>
            <w:pPr>
              <w:ind w:left="60"/>
              <w:spacing w:after="0"/>
              <w:rPr>
                <w:sz w:val="20"/>
                <w:szCs w:val="20"/>
                <w:color w:val="auto"/>
              </w:rPr>
            </w:pPr>
            <w:r>
              <w:rPr>
                <w:rFonts w:ascii="Arial" w:cs="Arial" w:eastAsia="Arial" w:hAnsi="Arial"/>
                <w:sz w:val="18"/>
                <w:szCs w:val="18"/>
                <w:color w:val="auto"/>
                <w:w w:val="90"/>
              </w:rPr>
              <w:t>Deutsche Leasing</w:t>
            </w:r>
          </w:p>
        </w:tc>
        <w:tc>
          <w:tcPr>
            <w:tcW w:w="1600" w:type="dxa"/>
            <w:vAlign w:val="bottom"/>
          </w:tcPr>
          <w:p>
            <w:pPr>
              <w:spacing w:after="0"/>
              <w:rPr>
                <w:sz w:val="22"/>
                <w:szCs w:val="22"/>
                <w:color w:val="auto"/>
              </w:rPr>
            </w:pPr>
          </w:p>
        </w:tc>
        <w:tc>
          <w:tcPr>
            <w:tcW w:w="224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3280" w:type="dxa"/>
            <w:vAlign w:val="bottom"/>
            <w:gridSpan w:val="3"/>
          </w:tcPr>
          <w:p>
            <w:pPr>
              <w:ind w:left="20"/>
              <w:spacing w:after="0"/>
              <w:rPr>
                <w:sz w:val="20"/>
                <w:szCs w:val="20"/>
                <w:color w:val="auto"/>
              </w:rPr>
            </w:pPr>
            <w:r>
              <w:rPr>
                <w:rFonts w:ascii="Arial" w:cs="Arial" w:eastAsia="Arial" w:hAnsi="Arial"/>
                <w:sz w:val="18"/>
                <w:szCs w:val="18"/>
                <w:color w:val="auto"/>
              </w:rPr>
              <w:t>transact Elektronische Zahlungssysteme</w:t>
            </w:r>
          </w:p>
        </w:tc>
        <w:tc>
          <w:tcPr>
            <w:tcW w:w="1380" w:type="dxa"/>
            <w:vAlign w:val="bottom"/>
          </w:tcPr>
          <w:p>
            <w:pPr>
              <w:ind w:left="60"/>
              <w:spacing w:after="0"/>
              <w:rPr>
                <w:sz w:val="20"/>
                <w:szCs w:val="20"/>
                <w:color w:val="auto"/>
              </w:rPr>
            </w:pPr>
            <w:r>
              <w:rPr>
                <w:rFonts w:ascii="Arial" w:cs="Arial" w:eastAsia="Arial" w:hAnsi="Arial"/>
                <w:sz w:val="18"/>
                <w:szCs w:val="18"/>
                <w:color w:val="auto"/>
                <w:w w:val="97"/>
              </w:rPr>
              <w:t>Info. Technology</w:t>
            </w:r>
          </w:p>
        </w:tc>
        <w:tc>
          <w:tcPr>
            <w:tcW w:w="160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280" w:type="dxa"/>
            <w:vAlign w:val="bottom"/>
            <w:gridSpan w:val="3"/>
          </w:tcPr>
          <w:p>
            <w:pPr>
              <w:ind w:left="20"/>
              <w:spacing w:after="0"/>
              <w:rPr>
                <w:sz w:val="20"/>
                <w:szCs w:val="20"/>
                <w:color w:val="auto"/>
              </w:rPr>
            </w:pPr>
            <w:r>
              <w:rPr>
                <w:rFonts w:ascii="Arial" w:cs="Arial" w:eastAsia="Arial" w:hAnsi="Arial"/>
                <w:sz w:val="18"/>
                <w:szCs w:val="18"/>
                <w:color w:val="auto"/>
              </w:rPr>
              <w:t>GmbH</w:t>
            </w:r>
          </w:p>
        </w:tc>
        <w:tc>
          <w:tcPr>
            <w:tcW w:w="1380" w:type="dxa"/>
            <w:vAlign w:val="bottom"/>
          </w:tcPr>
          <w:p>
            <w:pPr>
              <w:ind w:left="60"/>
              <w:spacing w:after="0"/>
              <w:rPr>
                <w:sz w:val="20"/>
                <w:szCs w:val="20"/>
                <w:color w:val="auto"/>
              </w:rPr>
            </w:pPr>
            <w:r>
              <w:rPr>
                <w:rFonts w:ascii="Arial" w:cs="Arial" w:eastAsia="Arial" w:hAnsi="Arial"/>
                <w:sz w:val="18"/>
                <w:szCs w:val="18"/>
                <w:color w:val="auto"/>
              </w:rPr>
              <w:t>GmbH</w:t>
            </w:r>
          </w:p>
        </w:tc>
        <w:tc>
          <w:tcPr>
            <w:tcW w:w="1600" w:type="dxa"/>
            <w:vAlign w:val="bottom"/>
          </w:tcPr>
          <w:p>
            <w:pPr>
              <w:ind w:left="40"/>
              <w:spacing w:after="0"/>
              <w:rPr>
                <w:sz w:val="20"/>
                <w:szCs w:val="20"/>
                <w:color w:val="auto"/>
              </w:rPr>
            </w:pPr>
            <w:r>
              <w:rPr>
                <w:rFonts w:ascii="Arial" w:cs="Arial" w:eastAsia="Arial" w:hAnsi="Arial"/>
                <w:sz w:val="18"/>
                <w:szCs w:val="18"/>
                <w:color w:val="auto"/>
              </w:rPr>
              <w:t>Capital Lease</w:t>
            </w:r>
          </w:p>
        </w:tc>
        <w:tc>
          <w:tcPr>
            <w:tcW w:w="2240" w:type="dxa"/>
            <w:vAlign w:val="bottom"/>
          </w:tcPr>
          <w:p>
            <w:pPr>
              <w:ind w:left="140"/>
              <w:spacing w:after="0"/>
              <w:rPr>
                <w:sz w:val="20"/>
                <w:szCs w:val="20"/>
                <w:color w:val="auto"/>
              </w:rPr>
            </w:pPr>
            <w:r>
              <w:rPr>
                <w:rFonts w:ascii="Arial" w:cs="Arial" w:eastAsia="Arial" w:hAnsi="Arial"/>
                <w:sz w:val="18"/>
                <w:szCs w:val="18"/>
                <w:color w:val="auto"/>
              </w:rPr>
              <w:t>ATMs</w:t>
            </w:r>
          </w:p>
        </w:tc>
        <w:tc>
          <w:tcPr>
            <w:tcW w:w="1580" w:type="dxa"/>
            <w:vAlign w:val="bottom"/>
          </w:tcPr>
          <w:p>
            <w:pPr>
              <w:jc w:val="right"/>
              <w:spacing w:after="0"/>
              <w:rPr>
                <w:sz w:val="20"/>
                <w:szCs w:val="20"/>
                <w:color w:val="auto"/>
              </w:rPr>
            </w:pPr>
            <w:r>
              <w:rPr>
                <w:rFonts w:ascii="Arial" w:cs="Arial" w:eastAsia="Arial" w:hAnsi="Arial"/>
                <w:sz w:val="18"/>
                <w:szCs w:val="18"/>
                <w:color w:val="auto"/>
              </w:rPr>
              <w:t>EUR 1,404,421</w:t>
            </w:r>
          </w:p>
        </w:tc>
        <w:tc>
          <w:tcPr>
            <w:tcW w:w="1320" w:type="dxa"/>
            <w:vAlign w:val="bottom"/>
          </w:tcPr>
          <w:p>
            <w:pPr>
              <w:jc w:val="right"/>
              <w:spacing w:after="0"/>
              <w:rPr>
                <w:sz w:val="20"/>
                <w:szCs w:val="20"/>
                <w:color w:val="auto"/>
              </w:rPr>
            </w:pPr>
            <w:r>
              <w:rPr>
                <w:rFonts w:ascii="Arial" w:cs="Arial" w:eastAsia="Arial" w:hAnsi="Arial"/>
                <w:sz w:val="18"/>
                <w:szCs w:val="18"/>
                <w:color w:val="auto"/>
              </w:rPr>
              <w:t>1,897,794</w:t>
            </w: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1600" w:type="dxa"/>
            <w:vAlign w:val="bottom"/>
          </w:tcPr>
          <w:p>
            <w:pPr>
              <w:spacing w:after="0"/>
              <w:rPr>
                <w:sz w:val="22"/>
                <w:szCs w:val="22"/>
                <w:color w:val="auto"/>
              </w:rPr>
            </w:pPr>
          </w:p>
        </w:tc>
        <w:tc>
          <w:tcPr>
            <w:tcW w:w="1660" w:type="dxa"/>
            <w:vAlign w:val="bottom"/>
          </w:tcPr>
          <w:p>
            <w:pPr>
              <w:spacing w:after="0"/>
              <w:rPr>
                <w:sz w:val="22"/>
                <w:szCs w:val="22"/>
                <w:color w:val="auto"/>
              </w:rPr>
            </w:pPr>
          </w:p>
        </w:tc>
        <w:tc>
          <w:tcPr>
            <w:tcW w:w="1380" w:type="dxa"/>
            <w:vAlign w:val="bottom"/>
          </w:tcPr>
          <w:p>
            <w:pPr>
              <w:ind w:left="60"/>
              <w:spacing w:after="0"/>
              <w:rPr>
                <w:sz w:val="20"/>
                <w:szCs w:val="20"/>
                <w:color w:val="auto"/>
              </w:rPr>
            </w:pPr>
            <w:r>
              <w:rPr>
                <w:rFonts w:ascii="Arial" w:cs="Arial" w:eastAsia="Arial" w:hAnsi="Arial"/>
                <w:sz w:val="18"/>
                <w:szCs w:val="18"/>
                <w:color w:val="auto"/>
                <w:w w:val="90"/>
              </w:rPr>
              <w:t>Deutsche Leasing</w:t>
            </w:r>
          </w:p>
        </w:tc>
        <w:tc>
          <w:tcPr>
            <w:tcW w:w="1600" w:type="dxa"/>
            <w:vAlign w:val="bottom"/>
          </w:tcPr>
          <w:p>
            <w:pPr>
              <w:spacing w:after="0"/>
              <w:rPr>
                <w:sz w:val="22"/>
                <w:szCs w:val="22"/>
                <w:color w:val="auto"/>
              </w:rPr>
            </w:pPr>
          </w:p>
        </w:tc>
        <w:tc>
          <w:tcPr>
            <w:tcW w:w="224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3280" w:type="dxa"/>
            <w:vAlign w:val="bottom"/>
            <w:gridSpan w:val="3"/>
          </w:tcPr>
          <w:p>
            <w:pPr>
              <w:ind w:left="20"/>
              <w:spacing w:after="0"/>
              <w:rPr>
                <w:sz w:val="20"/>
                <w:szCs w:val="20"/>
                <w:color w:val="auto"/>
              </w:rPr>
            </w:pPr>
            <w:r>
              <w:rPr>
                <w:rFonts w:ascii="Arial" w:cs="Arial" w:eastAsia="Arial" w:hAnsi="Arial"/>
                <w:sz w:val="18"/>
                <w:szCs w:val="18"/>
                <w:color w:val="auto"/>
              </w:rPr>
              <w:t>transact Elektronische Zahlungssysteme</w:t>
            </w:r>
          </w:p>
        </w:tc>
        <w:tc>
          <w:tcPr>
            <w:tcW w:w="1380" w:type="dxa"/>
            <w:vAlign w:val="bottom"/>
          </w:tcPr>
          <w:p>
            <w:pPr>
              <w:ind w:left="60"/>
              <w:spacing w:after="0"/>
              <w:rPr>
                <w:sz w:val="20"/>
                <w:szCs w:val="20"/>
                <w:color w:val="auto"/>
              </w:rPr>
            </w:pPr>
            <w:r>
              <w:rPr>
                <w:rFonts w:ascii="Arial" w:cs="Arial" w:eastAsia="Arial" w:hAnsi="Arial"/>
                <w:sz w:val="18"/>
                <w:szCs w:val="18"/>
                <w:color w:val="auto"/>
                <w:w w:val="97"/>
              </w:rPr>
              <w:t>Info. Technology</w:t>
            </w:r>
          </w:p>
        </w:tc>
        <w:tc>
          <w:tcPr>
            <w:tcW w:w="160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280" w:type="dxa"/>
            <w:vAlign w:val="bottom"/>
            <w:gridSpan w:val="3"/>
          </w:tcPr>
          <w:p>
            <w:pPr>
              <w:ind w:left="20"/>
              <w:spacing w:after="0"/>
              <w:rPr>
                <w:sz w:val="20"/>
                <w:szCs w:val="20"/>
                <w:color w:val="auto"/>
              </w:rPr>
            </w:pPr>
            <w:r>
              <w:rPr>
                <w:rFonts w:ascii="Arial" w:cs="Arial" w:eastAsia="Arial" w:hAnsi="Arial"/>
                <w:sz w:val="18"/>
                <w:szCs w:val="18"/>
                <w:color w:val="auto"/>
              </w:rPr>
              <w:t>GmbH</w:t>
            </w:r>
          </w:p>
        </w:tc>
        <w:tc>
          <w:tcPr>
            <w:tcW w:w="1380" w:type="dxa"/>
            <w:vAlign w:val="bottom"/>
          </w:tcPr>
          <w:p>
            <w:pPr>
              <w:ind w:left="60"/>
              <w:spacing w:after="0"/>
              <w:rPr>
                <w:sz w:val="20"/>
                <w:szCs w:val="20"/>
                <w:color w:val="auto"/>
              </w:rPr>
            </w:pPr>
            <w:r>
              <w:rPr>
                <w:rFonts w:ascii="Arial" w:cs="Arial" w:eastAsia="Arial" w:hAnsi="Arial"/>
                <w:sz w:val="18"/>
                <w:szCs w:val="18"/>
                <w:color w:val="auto"/>
              </w:rPr>
              <w:t>GmbH</w:t>
            </w:r>
          </w:p>
        </w:tc>
        <w:tc>
          <w:tcPr>
            <w:tcW w:w="1600" w:type="dxa"/>
            <w:vAlign w:val="bottom"/>
          </w:tcPr>
          <w:p>
            <w:pPr>
              <w:ind w:left="40"/>
              <w:spacing w:after="0"/>
              <w:rPr>
                <w:sz w:val="20"/>
                <w:szCs w:val="20"/>
                <w:color w:val="auto"/>
              </w:rPr>
            </w:pPr>
            <w:r>
              <w:rPr>
                <w:rFonts w:ascii="Arial" w:cs="Arial" w:eastAsia="Arial" w:hAnsi="Arial"/>
                <w:sz w:val="18"/>
                <w:szCs w:val="18"/>
                <w:color w:val="auto"/>
              </w:rPr>
              <w:t>Capital Lease</w:t>
            </w:r>
          </w:p>
        </w:tc>
        <w:tc>
          <w:tcPr>
            <w:tcW w:w="2240" w:type="dxa"/>
            <w:vAlign w:val="bottom"/>
          </w:tcPr>
          <w:p>
            <w:pPr>
              <w:ind w:left="140"/>
              <w:spacing w:after="0"/>
              <w:rPr>
                <w:sz w:val="20"/>
                <w:szCs w:val="20"/>
                <w:color w:val="auto"/>
              </w:rPr>
            </w:pPr>
            <w:r>
              <w:rPr>
                <w:rFonts w:ascii="Arial" w:cs="Arial" w:eastAsia="Arial" w:hAnsi="Arial"/>
                <w:sz w:val="18"/>
                <w:szCs w:val="18"/>
                <w:color w:val="auto"/>
              </w:rPr>
              <w:t>ATMs</w:t>
            </w:r>
          </w:p>
        </w:tc>
        <w:tc>
          <w:tcPr>
            <w:tcW w:w="1580" w:type="dxa"/>
            <w:vAlign w:val="bottom"/>
          </w:tcPr>
          <w:p>
            <w:pPr>
              <w:jc w:val="right"/>
              <w:spacing w:after="0"/>
              <w:rPr>
                <w:sz w:val="20"/>
                <w:szCs w:val="20"/>
                <w:color w:val="auto"/>
              </w:rPr>
            </w:pPr>
            <w:r>
              <w:rPr>
                <w:rFonts w:ascii="Arial" w:cs="Arial" w:eastAsia="Arial" w:hAnsi="Arial"/>
                <w:sz w:val="18"/>
                <w:szCs w:val="18"/>
                <w:color w:val="auto"/>
              </w:rPr>
              <w:t>EUR 205,336</w:t>
            </w:r>
          </w:p>
        </w:tc>
        <w:tc>
          <w:tcPr>
            <w:tcW w:w="1320" w:type="dxa"/>
            <w:vAlign w:val="bottom"/>
          </w:tcPr>
          <w:p>
            <w:pPr>
              <w:jc w:val="right"/>
              <w:spacing w:after="0"/>
              <w:rPr>
                <w:sz w:val="20"/>
                <w:szCs w:val="20"/>
                <w:color w:val="auto"/>
              </w:rPr>
            </w:pPr>
            <w:r>
              <w:rPr>
                <w:rFonts w:ascii="Arial" w:cs="Arial" w:eastAsia="Arial" w:hAnsi="Arial"/>
                <w:sz w:val="18"/>
                <w:szCs w:val="18"/>
                <w:color w:val="auto"/>
              </w:rPr>
              <w:t>277,471</w:t>
            </w: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1600" w:type="dxa"/>
            <w:vAlign w:val="bottom"/>
          </w:tcPr>
          <w:p>
            <w:pPr>
              <w:spacing w:after="0"/>
              <w:rPr>
                <w:sz w:val="22"/>
                <w:szCs w:val="22"/>
                <w:color w:val="auto"/>
              </w:rPr>
            </w:pPr>
          </w:p>
        </w:tc>
        <w:tc>
          <w:tcPr>
            <w:tcW w:w="1660" w:type="dxa"/>
            <w:vAlign w:val="bottom"/>
          </w:tcPr>
          <w:p>
            <w:pPr>
              <w:spacing w:after="0"/>
              <w:rPr>
                <w:sz w:val="22"/>
                <w:szCs w:val="22"/>
                <w:color w:val="auto"/>
              </w:rPr>
            </w:pPr>
          </w:p>
        </w:tc>
        <w:tc>
          <w:tcPr>
            <w:tcW w:w="1380" w:type="dxa"/>
            <w:vAlign w:val="bottom"/>
          </w:tcPr>
          <w:p>
            <w:pPr>
              <w:ind w:left="60"/>
              <w:spacing w:after="0"/>
              <w:rPr>
                <w:sz w:val="20"/>
                <w:szCs w:val="20"/>
                <w:color w:val="auto"/>
              </w:rPr>
            </w:pPr>
            <w:r>
              <w:rPr>
                <w:rFonts w:ascii="Arial" w:cs="Arial" w:eastAsia="Arial" w:hAnsi="Arial"/>
                <w:sz w:val="18"/>
                <w:szCs w:val="18"/>
                <w:color w:val="auto"/>
                <w:w w:val="90"/>
              </w:rPr>
              <w:t>Deutsche Leasing</w:t>
            </w:r>
          </w:p>
        </w:tc>
        <w:tc>
          <w:tcPr>
            <w:tcW w:w="1600" w:type="dxa"/>
            <w:vAlign w:val="bottom"/>
          </w:tcPr>
          <w:p>
            <w:pPr>
              <w:spacing w:after="0"/>
              <w:rPr>
                <w:sz w:val="22"/>
                <w:szCs w:val="22"/>
                <w:color w:val="auto"/>
              </w:rPr>
            </w:pPr>
          </w:p>
        </w:tc>
        <w:tc>
          <w:tcPr>
            <w:tcW w:w="224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3280" w:type="dxa"/>
            <w:vAlign w:val="bottom"/>
            <w:gridSpan w:val="3"/>
          </w:tcPr>
          <w:p>
            <w:pPr>
              <w:ind w:left="20"/>
              <w:spacing w:after="0"/>
              <w:rPr>
                <w:sz w:val="20"/>
                <w:szCs w:val="20"/>
                <w:color w:val="auto"/>
              </w:rPr>
            </w:pPr>
            <w:r>
              <w:rPr>
                <w:rFonts w:ascii="Arial" w:cs="Arial" w:eastAsia="Arial" w:hAnsi="Arial"/>
                <w:sz w:val="18"/>
                <w:szCs w:val="18"/>
                <w:color w:val="auto"/>
              </w:rPr>
              <w:t>transact Elektronische Zahlungssysteme</w:t>
            </w:r>
          </w:p>
        </w:tc>
        <w:tc>
          <w:tcPr>
            <w:tcW w:w="1380" w:type="dxa"/>
            <w:vAlign w:val="bottom"/>
          </w:tcPr>
          <w:p>
            <w:pPr>
              <w:ind w:left="60"/>
              <w:spacing w:after="0"/>
              <w:rPr>
                <w:sz w:val="20"/>
                <w:szCs w:val="20"/>
                <w:color w:val="auto"/>
              </w:rPr>
            </w:pPr>
            <w:r>
              <w:rPr>
                <w:rFonts w:ascii="Arial" w:cs="Arial" w:eastAsia="Arial" w:hAnsi="Arial"/>
                <w:sz w:val="18"/>
                <w:szCs w:val="18"/>
                <w:color w:val="auto"/>
                <w:w w:val="97"/>
              </w:rPr>
              <w:t>Info. Technology</w:t>
            </w:r>
          </w:p>
        </w:tc>
        <w:tc>
          <w:tcPr>
            <w:tcW w:w="160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280" w:type="dxa"/>
            <w:vAlign w:val="bottom"/>
            <w:gridSpan w:val="3"/>
          </w:tcPr>
          <w:p>
            <w:pPr>
              <w:ind w:left="20"/>
              <w:spacing w:after="0"/>
              <w:rPr>
                <w:sz w:val="20"/>
                <w:szCs w:val="20"/>
                <w:color w:val="auto"/>
              </w:rPr>
            </w:pPr>
            <w:r>
              <w:rPr>
                <w:rFonts w:ascii="Arial" w:cs="Arial" w:eastAsia="Arial" w:hAnsi="Arial"/>
                <w:sz w:val="18"/>
                <w:szCs w:val="18"/>
                <w:color w:val="auto"/>
              </w:rPr>
              <w:t>GmbH</w:t>
            </w:r>
          </w:p>
        </w:tc>
        <w:tc>
          <w:tcPr>
            <w:tcW w:w="1380" w:type="dxa"/>
            <w:vAlign w:val="bottom"/>
          </w:tcPr>
          <w:p>
            <w:pPr>
              <w:ind w:left="60"/>
              <w:spacing w:after="0"/>
              <w:rPr>
                <w:sz w:val="20"/>
                <w:szCs w:val="20"/>
                <w:color w:val="auto"/>
              </w:rPr>
            </w:pPr>
            <w:r>
              <w:rPr>
                <w:rFonts w:ascii="Arial" w:cs="Arial" w:eastAsia="Arial" w:hAnsi="Arial"/>
                <w:sz w:val="18"/>
                <w:szCs w:val="18"/>
                <w:color w:val="auto"/>
              </w:rPr>
              <w:t>GmbH</w:t>
            </w:r>
          </w:p>
        </w:tc>
        <w:tc>
          <w:tcPr>
            <w:tcW w:w="1600" w:type="dxa"/>
            <w:vAlign w:val="bottom"/>
          </w:tcPr>
          <w:p>
            <w:pPr>
              <w:ind w:left="40"/>
              <w:spacing w:after="0"/>
              <w:rPr>
                <w:sz w:val="20"/>
                <w:szCs w:val="20"/>
                <w:color w:val="auto"/>
              </w:rPr>
            </w:pPr>
            <w:r>
              <w:rPr>
                <w:rFonts w:ascii="Arial" w:cs="Arial" w:eastAsia="Arial" w:hAnsi="Arial"/>
                <w:sz w:val="18"/>
                <w:szCs w:val="18"/>
                <w:color w:val="auto"/>
              </w:rPr>
              <w:t>Capital Lease</w:t>
            </w:r>
          </w:p>
        </w:tc>
        <w:tc>
          <w:tcPr>
            <w:tcW w:w="2240" w:type="dxa"/>
            <w:vAlign w:val="bottom"/>
          </w:tcPr>
          <w:p>
            <w:pPr>
              <w:ind w:left="140"/>
              <w:spacing w:after="0"/>
              <w:rPr>
                <w:sz w:val="20"/>
                <w:szCs w:val="20"/>
                <w:color w:val="auto"/>
              </w:rPr>
            </w:pPr>
            <w:r>
              <w:rPr>
                <w:rFonts w:ascii="Arial" w:cs="Arial" w:eastAsia="Arial" w:hAnsi="Arial"/>
                <w:sz w:val="18"/>
                <w:szCs w:val="18"/>
                <w:color w:val="auto"/>
              </w:rPr>
              <w:t>ATMs</w:t>
            </w:r>
          </w:p>
        </w:tc>
        <w:tc>
          <w:tcPr>
            <w:tcW w:w="1580" w:type="dxa"/>
            <w:vAlign w:val="bottom"/>
          </w:tcPr>
          <w:p>
            <w:pPr>
              <w:jc w:val="right"/>
              <w:spacing w:after="0"/>
              <w:rPr>
                <w:sz w:val="20"/>
                <w:szCs w:val="20"/>
                <w:color w:val="auto"/>
              </w:rPr>
            </w:pPr>
            <w:r>
              <w:rPr>
                <w:rFonts w:ascii="Arial" w:cs="Arial" w:eastAsia="Arial" w:hAnsi="Arial"/>
                <w:sz w:val="18"/>
                <w:szCs w:val="18"/>
                <w:color w:val="auto"/>
              </w:rPr>
              <w:t>EUR 38,101</w:t>
            </w:r>
          </w:p>
        </w:tc>
        <w:tc>
          <w:tcPr>
            <w:tcW w:w="1320" w:type="dxa"/>
            <w:vAlign w:val="bottom"/>
          </w:tcPr>
          <w:p>
            <w:pPr>
              <w:jc w:val="right"/>
              <w:spacing w:after="0"/>
              <w:rPr>
                <w:sz w:val="20"/>
                <w:szCs w:val="20"/>
                <w:color w:val="auto"/>
              </w:rPr>
            </w:pPr>
            <w:r>
              <w:rPr>
                <w:rFonts w:ascii="Arial" w:cs="Arial" w:eastAsia="Arial" w:hAnsi="Arial"/>
                <w:sz w:val="18"/>
                <w:szCs w:val="18"/>
                <w:color w:val="auto"/>
              </w:rPr>
              <w:t>51,486</w:t>
            </w: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1600" w:type="dxa"/>
            <w:vAlign w:val="bottom"/>
          </w:tcPr>
          <w:p>
            <w:pPr>
              <w:spacing w:after="0"/>
              <w:rPr>
                <w:sz w:val="22"/>
                <w:szCs w:val="22"/>
                <w:color w:val="auto"/>
              </w:rPr>
            </w:pPr>
          </w:p>
        </w:tc>
        <w:tc>
          <w:tcPr>
            <w:tcW w:w="1660" w:type="dxa"/>
            <w:vAlign w:val="bottom"/>
          </w:tcPr>
          <w:p>
            <w:pPr>
              <w:spacing w:after="0"/>
              <w:rPr>
                <w:sz w:val="22"/>
                <w:szCs w:val="22"/>
                <w:color w:val="auto"/>
              </w:rPr>
            </w:pPr>
          </w:p>
        </w:tc>
        <w:tc>
          <w:tcPr>
            <w:tcW w:w="1380" w:type="dxa"/>
            <w:vAlign w:val="bottom"/>
          </w:tcPr>
          <w:p>
            <w:pPr>
              <w:ind w:left="60"/>
              <w:spacing w:after="0"/>
              <w:rPr>
                <w:sz w:val="20"/>
                <w:szCs w:val="20"/>
                <w:color w:val="auto"/>
              </w:rPr>
            </w:pPr>
            <w:r>
              <w:rPr>
                <w:rFonts w:ascii="Arial" w:cs="Arial" w:eastAsia="Arial" w:hAnsi="Arial"/>
                <w:sz w:val="18"/>
                <w:szCs w:val="18"/>
                <w:color w:val="auto"/>
                <w:w w:val="90"/>
              </w:rPr>
              <w:t>Deutsche Leasing</w:t>
            </w:r>
          </w:p>
        </w:tc>
        <w:tc>
          <w:tcPr>
            <w:tcW w:w="1600" w:type="dxa"/>
            <w:vAlign w:val="bottom"/>
          </w:tcPr>
          <w:p>
            <w:pPr>
              <w:spacing w:after="0"/>
              <w:rPr>
                <w:sz w:val="22"/>
                <w:szCs w:val="22"/>
                <w:color w:val="auto"/>
              </w:rPr>
            </w:pPr>
          </w:p>
        </w:tc>
        <w:tc>
          <w:tcPr>
            <w:tcW w:w="224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3280" w:type="dxa"/>
            <w:vAlign w:val="bottom"/>
            <w:gridSpan w:val="3"/>
          </w:tcPr>
          <w:p>
            <w:pPr>
              <w:ind w:left="20"/>
              <w:spacing w:after="0"/>
              <w:rPr>
                <w:sz w:val="20"/>
                <w:szCs w:val="20"/>
                <w:color w:val="auto"/>
              </w:rPr>
            </w:pPr>
            <w:r>
              <w:rPr>
                <w:rFonts w:ascii="Arial" w:cs="Arial" w:eastAsia="Arial" w:hAnsi="Arial"/>
                <w:sz w:val="18"/>
                <w:szCs w:val="18"/>
                <w:color w:val="auto"/>
              </w:rPr>
              <w:t>transact Elektronische Zahlungssysteme</w:t>
            </w:r>
          </w:p>
        </w:tc>
        <w:tc>
          <w:tcPr>
            <w:tcW w:w="1380" w:type="dxa"/>
            <w:vAlign w:val="bottom"/>
          </w:tcPr>
          <w:p>
            <w:pPr>
              <w:ind w:left="60"/>
              <w:spacing w:after="0"/>
              <w:rPr>
                <w:sz w:val="20"/>
                <w:szCs w:val="20"/>
                <w:color w:val="auto"/>
              </w:rPr>
            </w:pPr>
            <w:r>
              <w:rPr>
                <w:rFonts w:ascii="Arial" w:cs="Arial" w:eastAsia="Arial" w:hAnsi="Arial"/>
                <w:sz w:val="18"/>
                <w:szCs w:val="18"/>
                <w:color w:val="auto"/>
                <w:w w:val="97"/>
              </w:rPr>
              <w:t>Info. Technology</w:t>
            </w:r>
          </w:p>
        </w:tc>
        <w:tc>
          <w:tcPr>
            <w:tcW w:w="160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280" w:type="dxa"/>
            <w:vAlign w:val="bottom"/>
            <w:gridSpan w:val="3"/>
          </w:tcPr>
          <w:p>
            <w:pPr>
              <w:ind w:left="20"/>
              <w:spacing w:after="0"/>
              <w:rPr>
                <w:sz w:val="20"/>
                <w:szCs w:val="20"/>
                <w:color w:val="auto"/>
              </w:rPr>
            </w:pPr>
            <w:r>
              <w:rPr>
                <w:rFonts w:ascii="Arial" w:cs="Arial" w:eastAsia="Arial" w:hAnsi="Arial"/>
                <w:sz w:val="18"/>
                <w:szCs w:val="18"/>
                <w:color w:val="auto"/>
              </w:rPr>
              <w:t>GmbH</w:t>
            </w:r>
          </w:p>
        </w:tc>
        <w:tc>
          <w:tcPr>
            <w:tcW w:w="1380" w:type="dxa"/>
            <w:vAlign w:val="bottom"/>
          </w:tcPr>
          <w:p>
            <w:pPr>
              <w:ind w:left="60"/>
              <w:spacing w:after="0"/>
              <w:rPr>
                <w:sz w:val="20"/>
                <w:szCs w:val="20"/>
                <w:color w:val="auto"/>
              </w:rPr>
            </w:pPr>
            <w:r>
              <w:rPr>
                <w:rFonts w:ascii="Arial" w:cs="Arial" w:eastAsia="Arial" w:hAnsi="Arial"/>
                <w:sz w:val="18"/>
                <w:szCs w:val="18"/>
                <w:color w:val="auto"/>
              </w:rPr>
              <w:t>GmbH</w:t>
            </w:r>
          </w:p>
        </w:tc>
        <w:tc>
          <w:tcPr>
            <w:tcW w:w="1600" w:type="dxa"/>
            <w:vAlign w:val="bottom"/>
          </w:tcPr>
          <w:p>
            <w:pPr>
              <w:ind w:left="40"/>
              <w:spacing w:after="0"/>
              <w:rPr>
                <w:sz w:val="20"/>
                <w:szCs w:val="20"/>
                <w:color w:val="auto"/>
              </w:rPr>
            </w:pPr>
            <w:r>
              <w:rPr>
                <w:rFonts w:ascii="Arial" w:cs="Arial" w:eastAsia="Arial" w:hAnsi="Arial"/>
                <w:sz w:val="18"/>
                <w:szCs w:val="18"/>
                <w:color w:val="auto"/>
              </w:rPr>
              <w:t>Capital Lease</w:t>
            </w:r>
          </w:p>
        </w:tc>
        <w:tc>
          <w:tcPr>
            <w:tcW w:w="2240" w:type="dxa"/>
            <w:vAlign w:val="bottom"/>
          </w:tcPr>
          <w:p>
            <w:pPr>
              <w:ind w:left="140"/>
              <w:spacing w:after="0"/>
              <w:rPr>
                <w:sz w:val="20"/>
                <w:szCs w:val="20"/>
                <w:color w:val="auto"/>
              </w:rPr>
            </w:pPr>
            <w:r>
              <w:rPr>
                <w:rFonts w:ascii="Arial" w:cs="Arial" w:eastAsia="Arial" w:hAnsi="Arial"/>
                <w:sz w:val="18"/>
                <w:szCs w:val="18"/>
                <w:color w:val="auto"/>
              </w:rPr>
              <w:t>ATMs</w:t>
            </w:r>
          </w:p>
        </w:tc>
        <w:tc>
          <w:tcPr>
            <w:tcW w:w="1580" w:type="dxa"/>
            <w:vAlign w:val="bottom"/>
          </w:tcPr>
          <w:p>
            <w:pPr>
              <w:jc w:val="right"/>
              <w:spacing w:after="0"/>
              <w:rPr>
                <w:sz w:val="20"/>
                <w:szCs w:val="20"/>
                <w:color w:val="auto"/>
              </w:rPr>
            </w:pPr>
            <w:r>
              <w:rPr>
                <w:rFonts w:ascii="Arial" w:cs="Arial" w:eastAsia="Arial" w:hAnsi="Arial"/>
                <w:sz w:val="18"/>
                <w:szCs w:val="18"/>
                <w:color w:val="auto"/>
              </w:rPr>
              <w:t>EUR 120,279</w:t>
            </w:r>
          </w:p>
        </w:tc>
        <w:tc>
          <w:tcPr>
            <w:tcW w:w="1320" w:type="dxa"/>
            <w:vAlign w:val="bottom"/>
          </w:tcPr>
          <w:p>
            <w:pPr>
              <w:jc w:val="right"/>
              <w:spacing w:after="0"/>
              <w:rPr>
                <w:sz w:val="20"/>
                <w:szCs w:val="20"/>
                <w:color w:val="auto"/>
              </w:rPr>
            </w:pPr>
            <w:r>
              <w:rPr>
                <w:rFonts w:ascii="Arial" w:cs="Arial" w:eastAsia="Arial" w:hAnsi="Arial"/>
                <w:sz w:val="18"/>
                <w:szCs w:val="18"/>
                <w:color w:val="auto"/>
              </w:rPr>
              <w:t>162,533</w:t>
            </w:r>
          </w:p>
        </w:tc>
        <w:tc>
          <w:tcPr>
            <w:tcW w:w="0" w:type="dxa"/>
            <w:vAlign w:val="bottom"/>
          </w:tcPr>
          <w:p>
            <w:pPr>
              <w:spacing w:after="0"/>
              <w:rPr>
                <w:sz w:val="1"/>
                <w:szCs w:val="1"/>
                <w:color w:val="auto"/>
              </w:rPr>
            </w:pPr>
          </w:p>
        </w:tc>
      </w:tr>
      <w:tr>
        <w:trPr>
          <w:trHeight w:val="27"/>
        </w:trPr>
        <w:tc>
          <w:tcPr>
            <w:tcW w:w="3280" w:type="dxa"/>
            <w:vAlign w:val="bottom"/>
            <w:gridSpan w:val="3"/>
            <w:vMerge w:val="restart"/>
          </w:tcPr>
          <w:p>
            <w:pPr>
              <w:ind w:left="20"/>
              <w:spacing w:after="0"/>
              <w:rPr>
                <w:sz w:val="20"/>
                <w:szCs w:val="20"/>
                <w:color w:val="auto"/>
              </w:rPr>
            </w:pPr>
            <w:r>
              <w:rPr>
                <w:rFonts w:ascii="Arial" w:cs="Arial" w:eastAsia="Arial" w:hAnsi="Arial"/>
                <w:sz w:val="18"/>
                <w:szCs w:val="18"/>
                <w:b w:val="1"/>
                <w:bCs w:val="1"/>
                <w:color w:val="auto"/>
                <w:w w:val="92"/>
              </w:rPr>
              <w:t>transact Elektronische Zahlungssysteme</w:t>
            </w:r>
          </w:p>
        </w:tc>
        <w:tc>
          <w:tcPr>
            <w:tcW w:w="1380" w:type="dxa"/>
            <w:vAlign w:val="bottom"/>
          </w:tcPr>
          <w:p>
            <w:pPr>
              <w:spacing w:after="0"/>
              <w:rPr>
                <w:sz w:val="2"/>
                <w:szCs w:val="2"/>
                <w:color w:val="auto"/>
              </w:rPr>
            </w:pPr>
          </w:p>
        </w:tc>
        <w:tc>
          <w:tcPr>
            <w:tcW w:w="1600" w:type="dxa"/>
            <w:vAlign w:val="bottom"/>
          </w:tcPr>
          <w:p>
            <w:pPr>
              <w:spacing w:after="0"/>
              <w:rPr>
                <w:sz w:val="2"/>
                <w:szCs w:val="2"/>
                <w:color w:val="auto"/>
              </w:rPr>
            </w:pPr>
          </w:p>
        </w:tc>
        <w:tc>
          <w:tcPr>
            <w:tcW w:w="2240" w:type="dxa"/>
            <w:vAlign w:val="bottom"/>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5"/>
        </w:trPr>
        <w:tc>
          <w:tcPr>
            <w:tcW w:w="3280" w:type="dxa"/>
            <w:vAlign w:val="bottom"/>
            <w:gridSpan w:val="3"/>
            <w:vMerge w:val="continue"/>
          </w:tcPr>
          <w:p>
            <w:pPr>
              <w:spacing w:after="0"/>
              <w:rPr>
                <w:sz w:val="17"/>
                <w:szCs w:val="17"/>
                <w:color w:val="auto"/>
              </w:rPr>
            </w:pPr>
          </w:p>
        </w:tc>
        <w:tc>
          <w:tcPr>
            <w:tcW w:w="138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224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280" w:type="dxa"/>
            <w:vAlign w:val="bottom"/>
            <w:gridSpan w:val="3"/>
          </w:tcPr>
          <w:p>
            <w:pPr>
              <w:ind w:left="20"/>
              <w:spacing w:after="0"/>
              <w:rPr>
                <w:sz w:val="20"/>
                <w:szCs w:val="20"/>
                <w:color w:val="auto"/>
              </w:rPr>
            </w:pPr>
            <w:r>
              <w:rPr>
                <w:rFonts w:ascii="Arial" w:cs="Arial" w:eastAsia="Arial" w:hAnsi="Arial"/>
                <w:sz w:val="18"/>
                <w:szCs w:val="18"/>
                <w:b w:val="1"/>
                <w:bCs w:val="1"/>
                <w:color w:val="auto"/>
              </w:rPr>
              <w:t>GmbH Total</w:t>
            </w:r>
          </w:p>
        </w:tc>
        <w:tc>
          <w:tcPr>
            <w:tcW w:w="138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2240" w:type="dxa"/>
            <w:vAlign w:val="bottom"/>
          </w:tcPr>
          <w:p>
            <w:pPr>
              <w:spacing w:after="0"/>
              <w:rPr>
                <w:sz w:val="20"/>
                <w:szCs w:val="20"/>
                <w:color w:val="auto"/>
              </w:rPr>
            </w:pPr>
          </w:p>
        </w:tc>
        <w:tc>
          <w:tcPr>
            <w:tcW w:w="1580" w:type="dxa"/>
            <w:vAlign w:val="bottom"/>
          </w:tcPr>
          <w:p>
            <w:pPr>
              <w:jc w:val="right"/>
              <w:spacing w:after="0"/>
              <w:rPr>
                <w:sz w:val="20"/>
                <w:szCs w:val="20"/>
                <w:color w:val="auto"/>
              </w:rPr>
            </w:pPr>
            <w:r>
              <w:rPr>
                <w:rFonts w:ascii="Arial" w:cs="Arial" w:eastAsia="Arial" w:hAnsi="Arial"/>
                <w:sz w:val="18"/>
                <w:szCs w:val="18"/>
                <w:b w:val="1"/>
                <w:bCs w:val="1"/>
                <w:color w:val="auto"/>
              </w:rPr>
              <w:t>EUR 2,140,406</w:t>
            </w:r>
          </w:p>
        </w:tc>
        <w:tc>
          <w:tcPr>
            <w:tcW w:w="1320" w:type="dxa"/>
            <w:vAlign w:val="bottom"/>
          </w:tcPr>
          <w:p>
            <w:pPr>
              <w:jc w:val="right"/>
              <w:spacing w:after="0"/>
              <w:rPr>
                <w:sz w:val="20"/>
                <w:szCs w:val="20"/>
                <w:color w:val="auto"/>
              </w:rPr>
            </w:pPr>
            <w:r>
              <w:rPr>
                <w:rFonts w:ascii="Arial" w:cs="Arial" w:eastAsia="Arial" w:hAnsi="Arial"/>
                <w:sz w:val="18"/>
                <w:szCs w:val="18"/>
                <w:b w:val="1"/>
                <w:bCs w:val="1"/>
                <w:color w:val="auto"/>
              </w:rPr>
              <w:t>2,892,331</w:t>
            </w:r>
          </w:p>
        </w:tc>
        <w:tc>
          <w:tcPr>
            <w:tcW w:w="0" w:type="dxa"/>
            <w:vAlign w:val="bottom"/>
          </w:tcPr>
          <w:p>
            <w:pPr>
              <w:spacing w:after="0"/>
              <w:rPr>
                <w:sz w:val="1"/>
                <w:szCs w:val="1"/>
                <w:color w:val="auto"/>
              </w:rPr>
            </w:pPr>
          </w:p>
        </w:tc>
      </w:tr>
      <w:tr>
        <w:trPr>
          <w:trHeight w:val="851"/>
        </w:trPr>
        <w:tc>
          <w:tcPr>
            <w:tcW w:w="3280" w:type="dxa"/>
            <w:vAlign w:val="bottom"/>
            <w:gridSpan w:val="3"/>
          </w:tcPr>
          <w:p>
            <w:pPr>
              <w:ind w:left="20"/>
              <w:spacing w:after="0"/>
              <w:rPr>
                <w:sz w:val="20"/>
                <w:szCs w:val="20"/>
                <w:color w:val="auto"/>
              </w:rPr>
            </w:pPr>
            <w:r>
              <w:rPr>
                <w:rFonts w:ascii="Arial" w:cs="Arial" w:eastAsia="Arial" w:hAnsi="Arial"/>
                <w:sz w:val="18"/>
                <w:szCs w:val="18"/>
                <w:color w:val="auto"/>
              </w:rPr>
              <w:t>Pure Commerce Pty Limited</w:t>
            </w:r>
          </w:p>
        </w:tc>
        <w:tc>
          <w:tcPr>
            <w:tcW w:w="1380" w:type="dxa"/>
            <w:vAlign w:val="bottom"/>
          </w:tcPr>
          <w:p>
            <w:pPr>
              <w:ind w:left="80"/>
              <w:spacing w:after="0"/>
              <w:rPr>
                <w:sz w:val="20"/>
                <w:szCs w:val="20"/>
                <w:color w:val="auto"/>
              </w:rPr>
            </w:pPr>
            <w:r>
              <w:rPr>
                <w:rFonts w:ascii="Arial" w:cs="Arial" w:eastAsia="Arial" w:hAnsi="Arial"/>
                <w:sz w:val="18"/>
                <w:szCs w:val="18"/>
                <w:color w:val="auto"/>
              </w:rPr>
              <w:t>IBM</w:t>
            </w:r>
          </w:p>
        </w:tc>
        <w:tc>
          <w:tcPr>
            <w:tcW w:w="1600" w:type="dxa"/>
            <w:vAlign w:val="bottom"/>
          </w:tcPr>
          <w:p>
            <w:pPr>
              <w:ind w:left="40"/>
              <w:spacing w:after="0"/>
              <w:rPr>
                <w:sz w:val="20"/>
                <w:szCs w:val="20"/>
                <w:color w:val="auto"/>
              </w:rPr>
            </w:pPr>
            <w:r>
              <w:rPr>
                <w:rFonts w:ascii="Arial" w:cs="Arial" w:eastAsia="Arial" w:hAnsi="Arial"/>
                <w:sz w:val="18"/>
                <w:szCs w:val="18"/>
                <w:color w:val="auto"/>
              </w:rPr>
              <w:t>Capital Lease</w:t>
            </w:r>
          </w:p>
        </w:tc>
        <w:tc>
          <w:tcPr>
            <w:tcW w:w="2240" w:type="dxa"/>
            <w:vAlign w:val="bottom"/>
          </w:tcPr>
          <w:p>
            <w:pPr>
              <w:ind w:left="140"/>
              <w:spacing w:after="0"/>
              <w:rPr>
                <w:sz w:val="20"/>
                <w:szCs w:val="20"/>
                <w:color w:val="auto"/>
              </w:rPr>
            </w:pPr>
            <w:r>
              <w:rPr>
                <w:rFonts w:ascii="Arial" w:cs="Arial" w:eastAsia="Arial" w:hAnsi="Arial"/>
                <w:sz w:val="18"/>
                <w:szCs w:val="18"/>
                <w:color w:val="auto"/>
              </w:rPr>
              <w:t>Accounting Software</w:t>
            </w:r>
          </w:p>
        </w:tc>
        <w:tc>
          <w:tcPr>
            <w:tcW w:w="1580" w:type="dxa"/>
            <w:vAlign w:val="bottom"/>
          </w:tcPr>
          <w:p>
            <w:pPr>
              <w:jc w:val="right"/>
              <w:spacing w:after="0"/>
              <w:rPr>
                <w:sz w:val="20"/>
                <w:szCs w:val="20"/>
                <w:color w:val="auto"/>
              </w:rPr>
            </w:pPr>
            <w:r>
              <w:rPr>
                <w:rFonts w:ascii="Arial" w:cs="Arial" w:eastAsia="Arial" w:hAnsi="Arial"/>
                <w:sz w:val="18"/>
                <w:szCs w:val="18"/>
                <w:color w:val="auto"/>
              </w:rPr>
              <w:t>AUD 59,715</w:t>
            </w:r>
          </w:p>
        </w:tc>
        <w:tc>
          <w:tcPr>
            <w:tcW w:w="1320" w:type="dxa"/>
            <w:vAlign w:val="bottom"/>
          </w:tcPr>
          <w:p>
            <w:pPr>
              <w:jc w:val="right"/>
              <w:spacing w:after="0"/>
              <w:rPr>
                <w:sz w:val="20"/>
                <w:szCs w:val="20"/>
                <w:color w:val="auto"/>
              </w:rPr>
            </w:pPr>
            <w:r>
              <w:rPr>
                <w:rFonts w:ascii="Arial" w:cs="Arial" w:eastAsia="Arial" w:hAnsi="Arial"/>
                <w:sz w:val="18"/>
                <w:szCs w:val="18"/>
                <w:color w:val="auto"/>
              </w:rPr>
              <w:t>51,988</w:t>
            </w:r>
          </w:p>
        </w:tc>
        <w:tc>
          <w:tcPr>
            <w:tcW w:w="0" w:type="dxa"/>
            <w:vAlign w:val="bottom"/>
          </w:tcPr>
          <w:p>
            <w:pPr>
              <w:spacing w:after="0"/>
              <w:rPr>
                <w:sz w:val="1"/>
                <w:szCs w:val="1"/>
                <w:color w:val="auto"/>
              </w:rPr>
            </w:pPr>
          </w:p>
        </w:tc>
      </w:tr>
      <w:tr>
        <w:trPr>
          <w:trHeight w:val="284"/>
        </w:trPr>
        <w:tc>
          <w:tcPr>
            <w:tcW w:w="3280" w:type="dxa"/>
            <w:vAlign w:val="bottom"/>
            <w:gridSpan w:val="3"/>
          </w:tcPr>
          <w:p>
            <w:pPr>
              <w:ind w:left="20"/>
              <w:spacing w:after="0"/>
              <w:rPr>
                <w:sz w:val="20"/>
                <w:szCs w:val="20"/>
                <w:color w:val="auto"/>
              </w:rPr>
            </w:pPr>
            <w:r>
              <w:rPr>
                <w:rFonts w:ascii="Arial" w:cs="Arial" w:eastAsia="Arial" w:hAnsi="Arial"/>
                <w:sz w:val="18"/>
                <w:szCs w:val="18"/>
                <w:color w:val="auto"/>
              </w:rPr>
              <w:t>Pure Commerce Pty Limited</w:t>
            </w:r>
          </w:p>
        </w:tc>
        <w:tc>
          <w:tcPr>
            <w:tcW w:w="1380" w:type="dxa"/>
            <w:vAlign w:val="bottom"/>
          </w:tcPr>
          <w:p>
            <w:pPr>
              <w:ind w:left="80"/>
              <w:spacing w:after="0"/>
              <w:rPr>
                <w:sz w:val="20"/>
                <w:szCs w:val="20"/>
                <w:color w:val="auto"/>
              </w:rPr>
            </w:pPr>
            <w:r>
              <w:rPr>
                <w:rFonts w:ascii="Arial" w:cs="Arial" w:eastAsia="Arial" w:hAnsi="Arial"/>
                <w:sz w:val="18"/>
                <w:szCs w:val="18"/>
                <w:color w:val="auto"/>
              </w:rPr>
              <w:t>Microsoft</w:t>
            </w:r>
          </w:p>
        </w:tc>
        <w:tc>
          <w:tcPr>
            <w:tcW w:w="1600" w:type="dxa"/>
            <w:vAlign w:val="bottom"/>
          </w:tcPr>
          <w:p>
            <w:pPr>
              <w:ind w:left="40"/>
              <w:spacing w:after="0"/>
              <w:rPr>
                <w:sz w:val="20"/>
                <w:szCs w:val="20"/>
                <w:color w:val="auto"/>
              </w:rPr>
            </w:pPr>
            <w:r>
              <w:rPr>
                <w:rFonts w:ascii="Arial" w:cs="Arial" w:eastAsia="Arial" w:hAnsi="Arial"/>
                <w:sz w:val="18"/>
                <w:szCs w:val="18"/>
                <w:color w:val="auto"/>
              </w:rPr>
              <w:t>Capital Lease</w:t>
            </w:r>
          </w:p>
        </w:tc>
        <w:tc>
          <w:tcPr>
            <w:tcW w:w="2240" w:type="dxa"/>
            <w:vAlign w:val="bottom"/>
          </w:tcPr>
          <w:p>
            <w:pPr>
              <w:ind w:left="140"/>
              <w:spacing w:after="0"/>
              <w:rPr>
                <w:sz w:val="20"/>
                <w:szCs w:val="20"/>
                <w:color w:val="auto"/>
              </w:rPr>
            </w:pPr>
            <w:r>
              <w:rPr>
                <w:rFonts w:ascii="Arial" w:cs="Arial" w:eastAsia="Arial" w:hAnsi="Arial"/>
                <w:sz w:val="18"/>
                <w:szCs w:val="18"/>
                <w:color w:val="auto"/>
              </w:rPr>
              <w:t>Copier/Printer</w:t>
            </w:r>
          </w:p>
        </w:tc>
        <w:tc>
          <w:tcPr>
            <w:tcW w:w="1580" w:type="dxa"/>
            <w:vAlign w:val="bottom"/>
          </w:tcPr>
          <w:p>
            <w:pPr>
              <w:jc w:val="right"/>
              <w:spacing w:after="0"/>
              <w:rPr>
                <w:sz w:val="20"/>
                <w:szCs w:val="20"/>
                <w:color w:val="auto"/>
              </w:rPr>
            </w:pPr>
            <w:r>
              <w:rPr>
                <w:rFonts w:ascii="Arial" w:cs="Arial" w:eastAsia="Arial" w:hAnsi="Arial"/>
                <w:sz w:val="18"/>
                <w:szCs w:val="18"/>
                <w:color w:val="auto"/>
              </w:rPr>
              <w:t>AUD 16,688</w:t>
            </w:r>
          </w:p>
        </w:tc>
        <w:tc>
          <w:tcPr>
            <w:tcW w:w="1320" w:type="dxa"/>
            <w:vAlign w:val="bottom"/>
          </w:tcPr>
          <w:p>
            <w:pPr>
              <w:jc w:val="right"/>
              <w:spacing w:after="0"/>
              <w:rPr>
                <w:sz w:val="20"/>
                <w:szCs w:val="20"/>
                <w:color w:val="auto"/>
              </w:rPr>
            </w:pPr>
            <w:r>
              <w:rPr>
                <w:rFonts w:ascii="Arial" w:cs="Arial" w:eastAsia="Arial" w:hAnsi="Arial"/>
                <w:sz w:val="18"/>
                <w:szCs w:val="18"/>
                <w:color w:val="auto"/>
              </w:rPr>
              <w:t>14,529</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600" w:type="dxa"/>
            <w:vAlign w:val="bottom"/>
          </w:tcPr>
          <w:p>
            <w:pPr>
              <w:spacing w:after="0"/>
              <w:rPr>
                <w:sz w:val="2"/>
                <w:szCs w:val="2"/>
                <w:color w:val="auto"/>
              </w:rPr>
            </w:pPr>
          </w:p>
        </w:tc>
        <w:tc>
          <w:tcPr>
            <w:tcW w:w="2240" w:type="dxa"/>
            <w:vAlign w:val="bottom"/>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280" w:type="dxa"/>
            <w:vAlign w:val="bottom"/>
            <w:gridSpan w:val="3"/>
          </w:tcPr>
          <w:p>
            <w:pPr>
              <w:ind w:left="20"/>
              <w:spacing w:after="0"/>
              <w:rPr>
                <w:sz w:val="20"/>
                <w:szCs w:val="20"/>
                <w:color w:val="auto"/>
              </w:rPr>
            </w:pPr>
            <w:r>
              <w:rPr>
                <w:rFonts w:ascii="Arial" w:cs="Arial" w:eastAsia="Arial" w:hAnsi="Arial"/>
                <w:sz w:val="18"/>
                <w:szCs w:val="18"/>
                <w:b w:val="1"/>
                <w:bCs w:val="1"/>
                <w:color w:val="auto"/>
              </w:rPr>
              <w:t>Pure Commerce Pty Limited Total</w:t>
            </w:r>
          </w:p>
        </w:tc>
        <w:tc>
          <w:tcPr>
            <w:tcW w:w="138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2240" w:type="dxa"/>
            <w:vAlign w:val="bottom"/>
          </w:tcPr>
          <w:p>
            <w:pPr>
              <w:spacing w:after="0"/>
              <w:rPr>
                <w:sz w:val="20"/>
                <w:szCs w:val="20"/>
                <w:color w:val="auto"/>
              </w:rPr>
            </w:pPr>
          </w:p>
        </w:tc>
        <w:tc>
          <w:tcPr>
            <w:tcW w:w="1580" w:type="dxa"/>
            <w:vAlign w:val="bottom"/>
          </w:tcPr>
          <w:p>
            <w:pPr>
              <w:jc w:val="right"/>
              <w:spacing w:after="0"/>
              <w:rPr>
                <w:sz w:val="20"/>
                <w:szCs w:val="20"/>
                <w:color w:val="auto"/>
              </w:rPr>
            </w:pPr>
            <w:r>
              <w:rPr>
                <w:rFonts w:ascii="Arial" w:cs="Arial" w:eastAsia="Arial" w:hAnsi="Arial"/>
                <w:sz w:val="18"/>
                <w:szCs w:val="18"/>
                <w:b w:val="1"/>
                <w:bCs w:val="1"/>
                <w:color w:val="auto"/>
              </w:rPr>
              <w:t>AUD 76,404</w:t>
            </w:r>
          </w:p>
        </w:tc>
        <w:tc>
          <w:tcPr>
            <w:tcW w:w="1320" w:type="dxa"/>
            <w:vAlign w:val="bottom"/>
          </w:tcPr>
          <w:p>
            <w:pPr>
              <w:jc w:val="right"/>
              <w:spacing w:after="0"/>
              <w:rPr>
                <w:sz w:val="20"/>
                <w:szCs w:val="20"/>
                <w:color w:val="auto"/>
              </w:rPr>
            </w:pPr>
            <w:r>
              <w:rPr>
                <w:rFonts w:ascii="Arial" w:cs="Arial" w:eastAsia="Arial" w:hAnsi="Arial"/>
                <w:sz w:val="18"/>
                <w:szCs w:val="18"/>
                <w:b w:val="1"/>
                <w:bCs w:val="1"/>
                <w:color w:val="auto"/>
              </w:rPr>
              <w:t>66,517</w:t>
            </w:r>
          </w:p>
        </w:tc>
        <w:tc>
          <w:tcPr>
            <w:tcW w:w="0" w:type="dxa"/>
            <w:vAlign w:val="bottom"/>
          </w:tcPr>
          <w:p>
            <w:pPr>
              <w:spacing w:after="0"/>
              <w:rPr>
                <w:sz w:val="1"/>
                <w:szCs w:val="1"/>
                <w:color w:val="auto"/>
              </w:rPr>
            </w:pPr>
          </w:p>
        </w:tc>
      </w:tr>
      <w:tr>
        <w:trPr>
          <w:trHeight w:val="553"/>
        </w:trPr>
        <w:tc>
          <w:tcPr>
            <w:tcW w:w="2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380" w:type="dxa"/>
            <w:vAlign w:val="bottom"/>
          </w:tcPr>
          <w:p>
            <w:pPr>
              <w:ind w:left="80"/>
              <w:spacing w:after="0"/>
              <w:rPr>
                <w:sz w:val="20"/>
                <w:szCs w:val="20"/>
                <w:color w:val="auto"/>
              </w:rPr>
            </w:pPr>
            <w:r>
              <w:rPr>
                <w:rFonts w:ascii="Arial" w:cs="Arial" w:eastAsia="Arial" w:hAnsi="Arial"/>
                <w:sz w:val="18"/>
                <w:szCs w:val="18"/>
                <w:color w:val="auto"/>
              </w:rPr>
              <w:t>Ricoh El</w:t>
            </w:r>
          </w:p>
        </w:tc>
        <w:tc>
          <w:tcPr>
            <w:tcW w:w="160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380" w:type="dxa"/>
            <w:vAlign w:val="bottom"/>
          </w:tcPr>
          <w:p>
            <w:pPr>
              <w:ind w:left="80"/>
              <w:spacing w:after="0"/>
              <w:rPr>
                <w:sz w:val="20"/>
                <w:szCs w:val="20"/>
                <w:color w:val="auto"/>
              </w:rPr>
            </w:pPr>
            <w:r>
              <w:rPr>
                <w:rFonts w:ascii="Arial" w:cs="Arial" w:eastAsia="Arial" w:hAnsi="Arial"/>
                <w:sz w:val="18"/>
                <w:szCs w:val="18"/>
                <w:color w:val="auto"/>
                <w:w w:val="91"/>
              </w:rPr>
              <w:t>Salvador, S.A. de</w:t>
            </w:r>
          </w:p>
        </w:tc>
        <w:tc>
          <w:tcPr>
            <w:tcW w:w="160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280" w:type="dxa"/>
            <w:vAlign w:val="bottom"/>
            <w:gridSpan w:val="3"/>
          </w:tcPr>
          <w:p>
            <w:pPr>
              <w:ind w:left="20"/>
              <w:spacing w:after="0"/>
              <w:rPr>
                <w:sz w:val="20"/>
                <w:szCs w:val="20"/>
                <w:color w:val="auto"/>
              </w:rPr>
            </w:pPr>
            <w:r>
              <w:rPr>
                <w:rFonts w:ascii="Arial" w:cs="Arial" w:eastAsia="Arial" w:hAnsi="Arial"/>
                <w:sz w:val="18"/>
                <w:szCs w:val="18"/>
                <w:color w:val="auto"/>
              </w:rPr>
              <w:t>RIA de Centroamérica, S.A. de C.V.</w:t>
            </w:r>
          </w:p>
        </w:tc>
        <w:tc>
          <w:tcPr>
            <w:tcW w:w="1380" w:type="dxa"/>
            <w:vAlign w:val="bottom"/>
          </w:tcPr>
          <w:p>
            <w:pPr>
              <w:ind w:left="80"/>
              <w:spacing w:after="0"/>
              <w:rPr>
                <w:sz w:val="20"/>
                <w:szCs w:val="20"/>
                <w:color w:val="auto"/>
              </w:rPr>
            </w:pPr>
            <w:r>
              <w:rPr>
                <w:rFonts w:ascii="Arial" w:cs="Arial" w:eastAsia="Arial" w:hAnsi="Arial"/>
                <w:sz w:val="18"/>
                <w:szCs w:val="18"/>
                <w:color w:val="auto"/>
              </w:rPr>
              <w:t>C.V.</w:t>
            </w:r>
          </w:p>
        </w:tc>
        <w:tc>
          <w:tcPr>
            <w:tcW w:w="1600" w:type="dxa"/>
            <w:vAlign w:val="bottom"/>
          </w:tcPr>
          <w:p>
            <w:pPr>
              <w:ind w:left="40"/>
              <w:spacing w:after="0"/>
              <w:rPr>
                <w:sz w:val="20"/>
                <w:szCs w:val="20"/>
                <w:color w:val="auto"/>
              </w:rPr>
            </w:pPr>
            <w:r>
              <w:rPr>
                <w:rFonts w:ascii="Arial" w:cs="Arial" w:eastAsia="Arial" w:hAnsi="Arial"/>
                <w:sz w:val="18"/>
                <w:szCs w:val="18"/>
                <w:color w:val="auto"/>
              </w:rPr>
              <w:t>Capital Lease</w:t>
            </w:r>
          </w:p>
        </w:tc>
        <w:tc>
          <w:tcPr>
            <w:tcW w:w="2240" w:type="dxa"/>
            <w:vAlign w:val="bottom"/>
          </w:tcPr>
          <w:p>
            <w:pPr>
              <w:ind w:left="140"/>
              <w:spacing w:after="0"/>
              <w:rPr>
                <w:sz w:val="20"/>
                <w:szCs w:val="20"/>
                <w:color w:val="auto"/>
              </w:rPr>
            </w:pPr>
            <w:r>
              <w:rPr>
                <w:rFonts w:ascii="Arial" w:cs="Arial" w:eastAsia="Arial" w:hAnsi="Arial"/>
                <w:sz w:val="18"/>
                <w:szCs w:val="18"/>
                <w:color w:val="auto"/>
              </w:rPr>
              <w:t>Copier/Printer</w:t>
            </w:r>
          </w:p>
        </w:tc>
        <w:tc>
          <w:tcPr>
            <w:tcW w:w="1580" w:type="dxa"/>
            <w:vAlign w:val="bottom"/>
          </w:tcPr>
          <w:p>
            <w:pPr>
              <w:jc w:val="right"/>
              <w:spacing w:after="0"/>
              <w:rPr>
                <w:sz w:val="20"/>
                <w:szCs w:val="20"/>
                <w:color w:val="auto"/>
              </w:rPr>
            </w:pPr>
            <w:r>
              <w:rPr>
                <w:rFonts w:ascii="Arial" w:cs="Arial" w:eastAsia="Arial" w:hAnsi="Arial"/>
                <w:sz w:val="18"/>
                <w:szCs w:val="18"/>
                <w:color w:val="auto"/>
              </w:rPr>
              <w:t>USD 4,242</w:t>
            </w:r>
          </w:p>
        </w:tc>
        <w:tc>
          <w:tcPr>
            <w:tcW w:w="1320" w:type="dxa"/>
            <w:vAlign w:val="bottom"/>
          </w:tcPr>
          <w:p>
            <w:pPr>
              <w:jc w:val="right"/>
              <w:spacing w:after="0"/>
              <w:rPr>
                <w:sz w:val="20"/>
                <w:szCs w:val="20"/>
                <w:color w:val="auto"/>
              </w:rPr>
            </w:pPr>
            <w:r>
              <w:rPr>
                <w:rFonts w:ascii="Arial" w:cs="Arial" w:eastAsia="Arial" w:hAnsi="Arial"/>
                <w:sz w:val="18"/>
                <w:szCs w:val="18"/>
                <w:color w:val="auto"/>
              </w:rPr>
              <w:t>4,242</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600" w:type="dxa"/>
            <w:vAlign w:val="bottom"/>
          </w:tcPr>
          <w:p>
            <w:pPr>
              <w:spacing w:after="0"/>
              <w:rPr>
                <w:sz w:val="2"/>
                <w:szCs w:val="2"/>
                <w:color w:val="auto"/>
              </w:rPr>
            </w:pPr>
          </w:p>
        </w:tc>
        <w:tc>
          <w:tcPr>
            <w:tcW w:w="2240" w:type="dxa"/>
            <w:vAlign w:val="bottom"/>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280" w:type="dxa"/>
            <w:vAlign w:val="bottom"/>
            <w:gridSpan w:val="3"/>
          </w:tcPr>
          <w:p>
            <w:pPr>
              <w:ind w:left="20"/>
              <w:spacing w:after="0"/>
              <w:rPr>
                <w:sz w:val="20"/>
                <w:szCs w:val="20"/>
                <w:color w:val="auto"/>
              </w:rPr>
            </w:pPr>
            <w:r>
              <w:rPr>
                <w:rFonts w:ascii="Arial" w:cs="Arial" w:eastAsia="Arial" w:hAnsi="Arial"/>
                <w:sz w:val="18"/>
                <w:szCs w:val="18"/>
                <w:b w:val="1"/>
                <w:bCs w:val="1"/>
                <w:color w:val="auto"/>
                <w:w w:val="93"/>
              </w:rPr>
              <w:t>RIA de Centroamérica, S.A. de C.V. Total</w:t>
            </w:r>
          </w:p>
        </w:tc>
        <w:tc>
          <w:tcPr>
            <w:tcW w:w="138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2240" w:type="dxa"/>
            <w:vAlign w:val="bottom"/>
          </w:tcPr>
          <w:p>
            <w:pPr>
              <w:spacing w:after="0"/>
              <w:rPr>
                <w:sz w:val="20"/>
                <w:szCs w:val="20"/>
                <w:color w:val="auto"/>
              </w:rPr>
            </w:pPr>
          </w:p>
        </w:tc>
        <w:tc>
          <w:tcPr>
            <w:tcW w:w="1580" w:type="dxa"/>
            <w:vAlign w:val="bottom"/>
          </w:tcPr>
          <w:p>
            <w:pPr>
              <w:jc w:val="right"/>
              <w:spacing w:after="0"/>
              <w:rPr>
                <w:sz w:val="20"/>
                <w:szCs w:val="20"/>
                <w:color w:val="auto"/>
              </w:rPr>
            </w:pPr>
            <w:r>
              <w:rPr>
                <w:rFonts w:ascii="Arial" w:cs="Arial" w:eastAsia="Arial" w:hAnsi="Arial"/>
                <w:sz w:val="18"/>
                <w:szCs w:val="18"/>
                <w:b w:val="1"/>
                <w:bCs w:val="1"/>
                <w:color w:val="auto"/>
              </w:rPr>
              <w:t>USD 4,242</w:t>
            </w:r>
          </w:p>
        </w:tc>
        <w:tc>
          <w:tcPr>
            <w:tcW w:w="1320" w:type="dxa"/>
            <w:vAlign w:val="bottom"/>
          </w:tcPr>
          <w:p>
            <w:pPr>
              <w:jc w:val="right"/>
              <w:spacing w:after="0"/>
              <w:rPr>
                <w:sz w:val="20"/>
                <w:szCs w:val="20"/>
                <w:color w:val="auto"/>
              </w:rPr>
            </w:pPr>
            <w:r>
              <w:rPr>
                <w:rFonts w:ascii="Arial" w:cs="Arial" w:eastAsia="Arial" w:hAnsi="Arial"/>
                <w:sz w:val="18"/>
                <w:szCs w:val="18"/>
                <w:b w:val="1"/>
                <w:bCs w:val="1"/>
                <w:color w:val="auto"/>
              </w:rPr>
              <w:t>4,242</w:t>
            </w:r>
          </w:p>
        </w:tc>
        <w:tc>
          <w:tcPr>
            <w:tcW w:w="0" w:type="dxa"/>
            <w:vAlign w:val="bottom"/>
          </w:tcPr>
          <w:p>
            <w:pPr>
              <w:spacing w:after="0"/>
              <w:rPr>
                <w:sz w:val="1"/>
                <w:szCs w:val="1"/>
                <w:color w:val="auto"/>
              </w:rPr>
            </w:pPr>
          </w:p>
        </w:tc>
      </w:tr>
      <w:tr>
        <w:trPr>
          <w:trHeight w:val="338"/>
        </w:trPr>
        <w:tc>
          <w:tcPr>
            <w:tcW w:w="20" w:type="dxa"/>
            <w:vAlign w:val="bottom"/>
            <w:tcBorders>
              <w:bottom w:val="single" w:sz="8" w:color="C0C0C0"/>
            </w:tcBorders>
          </w:tcPr>
          <w:p>
            <w:pPr>
              <w:spacing w:after="0"/>
              <w:rPr>
                <w:sz w:val="24"/>
                <w:szCs w:val="24"/>
                <w:color w:val="auto"/>
              </w:rPr>
            </w:pPr>
          </w:p>
        </w:tc>
        <w:tc>
          <w:tcPr>
            <w:tcW w:w="1600" w:type="dxa"/>
            <w:vAlign w:val="bottom"/>
            <w:tcBorders>
              <w:bottom w:val="single" w:sz="8" w:color="C0C0C0"/>
            </w:tcBorders>
          </w:tcPr>
          <w:p>
            <w:pPr>
              <w:spacing w:after="0"/>
              <w:rPr>
                <w:sz w:val="24"/>
                <w:szCs w:val="24"/>
                <w:color w:val="auto"/>
              </w:rPr>
            </w:pPr>
          </w:p>
        </w:tc>
        <w:tc>
          <w:tcPr>
            <w:tcW w:w="1660" w:type="dxa"/>
            <w:vAlign w:val="bottom"/>
            <w:tcBorders>
              <w:bottom w:val="single" w:sz="8" w:color="C0C0C0"/>
            </w:tcBorders>
          </w:tcPr>
          <w:p>
            <w:pPr>
              <w:spacing w:after="0"/>
              <w:rPr>
                <w:sz w:val="24"/>
                <w:szCs w:val="24"/>
                <w:color w:val="auto"/>
              </w:rPr>
            </w:pPr>
          </w:p>
        </w:tc>
        <w:tc>
          <w:tcPr>
            <w:tcW w:w="1380" w:type="dxa"/>
            <w:vAlign w:val="bottom"/>
            <w:tcBorders>
              <w:bottom w:val="single" w:sz="8" w:color="C0C0C0"/>
            </w:tcBorders>
          </w:tcPr>
          <w:p>
            <w:pPr>
              <w:spacing w:after="0"/>
              <w:rPr>
                <w:sz w:val="24"/>
                <w:szCs w:val="24"/>
                <w:color w:val="auto"/>
              </w:rPr>
            </w:pPr>
          </w:p>
        </w:tc>
        <w:tc>
          <w:tcPr>
            <w:tcW w:w="1600" w:type="dxa"/>
            <w:vAlign w:val="bottom"/>
            <w:tcBorders>
              <w:bottom w:val="single" w:sz="8" w:color="C0C0C0"/>
            </w:tcBorders>
          </w:tcPr>
          <w:p>
            <w:pPr>
              <w:spacing w:after="0"/>
              <w:rPr>
                <w:sz w:val="24"/>
                <w:szCs w:val="24"/>
                <w:color w:val="auto"/>
              </w:rPr>
            </w:pPr>
          </w:p>
        </w:tc>
        <w:tc>
          <w:tcPr>
            <w:tcW w:w="2240" w:type="dxa"/>
            <w:vAlign w:val="bottom"/>
            <w:tcBorders>
              <w:bottom w:val="single" w:sz="8" w:color="C0C0C0"/>
            </w:tcBorders>
          </w:tcPr>
          <w:p>
            <w:pPr>
              <w:spacing w:after="0"/>
              <w:rPr>
                <w:sz w:val="24"/>
                <w:szCs w:val="24"/>
                <w:color w:val="auto"/>
              </w:rPr>
            </w:pPr>
          </w:p>
        </w:tc>
        <w:tc>
          <w:tcPr>
            <w:tcW w:w="1580" w:type="dxa"/>
            <w:vAlign w:val="bottom"/>
            <w:tcBorders>
              <w:bottom w:val="single" w:sz="8" w:color="C0C0C0"/>
            </w:tcBorders>
          </w:tcPr>
          <w:p>
            <w:pPr>
              <w:spacing w:after="0"/>
              <w:rPr>
                <w:sz w:val="24"/>
                <w:szCs w:val="24"/>
                <w:color w:val="auto"/>
              </w:rPr>
            </w:pPr>
          </w:p>
        </w:tc>
        <w:tc>
          <w:tcPr>
            <w:tcW w:w="13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3280" w:type="dxa"/>
            <w:vAlign w:val="bottom"/>
            <w:tcBorders>
              <w:bottom w:val="single" w:sz="8" w:color="C0C0C0"/>
            </w:tcBorders>
            <w:gridSpan w:val="3"/>
            <w:shd w:val="clear" w:color="auto" w:fill="C0C0C0"/>
          </w:tcPr>
          <w:p>
            <w:pPr>
              <w:ind w:left="20"/>
              <w:spacing w:after="0"/>
              <w:rPr>
                <w:sz w:val="20"/>
                <w:szCs w:val="20"/>
                <w:color w:val="auto"/>
              </w:rPr>
            </w:pPr>
            <w:r>
              <w:rPr>
                <w:rFonts w:ascii="Arial" w:cs="Arial" w:eastAsia="Arial" w:hAnsi="Arial"/>
                <w:sz w:val="18"/>
                <w:szCs w:val="18"/>
                <w:b w:val="1"/>
                <w:bCs w:val="1"/>
                <w:color w:val="auto"/>
              </w:rPr>
              <w:t>Total Capital Leases</w:t>
            </w:r>
          </w:p>
        </w:tc>
        <w:tc>
          <w:tcPr>
            <w:tcW w:w="1380" w:type="dxa"/>
            <w:vAlign w:val="bottom"/>
            <w:tcBorders>
              <w:bottom w:val="single" w:sz="8" w:color="C0C0C0"/>
            </w:tcBorders>
            <w:shd w:val="clear" w:color="auto" w:fill="C0C0C0"/>
          </w:tcPr>
          <w:p>
            <w:pPr>
              <w:spacing w:after="0"/>
              <w:rPr>
                <w:sz w:val="22"/>
                <w:szCs w:val="22"/>
                <w:color w:val="auto"/>
              </w:rPr>
            </w:pPr>
          </w:p>
        </w:tc>
        <w:tc>
          <w:tcPr>
            <w:tcW w:w="1600" w:type="dxa"/>
            <w:vAlign w:val="bottom"/>
            <w:tcBorders>
              <w:bottom w:val="single" w:sz="8" w:color="C0C0C0"/>
            </w:tcBorders>
            <w:shd w:val="clear" w:color="auto" w:fill="C0C0C0"/>
          </w:tcPr>
          <w:p>
            <w:pPr>
              <w:spacing w:after="0"/>
              <w:rPr>
                <w:sz w:val="22"/>
                <w:szCs w:val="22"/>
                <w:color w:val="auto"/>
              </w:rPr>
            </w:pPr>
          </w:p>
        </w:tc>
        <w:tc>
          <w:tcPr>
            <w:tcW w:w="2240" w:type="dxa"/>
            <w:vAlign w:val="bottom"/>
            <w:tcBorders>
              <w:bottom w:val="single" w:sz="8" w:color="C0C0C0"/>
            </w:tcBorders>
            <w:shd w:val="clear" w:color="auto" w:fill="C0C0C0"/>
          </w:tcPr>
          <w:p>
            <w:pPr>
              <w:spacing w:after="0"/>
              <w:rPr>
                <w:sz w:val="22"/>
                <w:szCs w:val="22"/>
                <w:color w:val="auto"/>
              </w:rPr>
            </w:pPr>
          </w:p>
        </w:tc>
        <w:tc>
          <w:tcPr>
            <w:tcW w:w="1580" w:type="dxa"/>
            <w:vAlign w:val="bottom"/>
            <w:tcBorders>
              <w:bottom w:val="single" w:sz="8" w:color="C0C0C0"/>
            </w:tcBorders>
            <w:shd w:val="clear" w:color="auto" w:fill="C0C0C0"/>
          </w:tcPr>
          <w:p>
            <w:pPr>
              <w:spacing w:after="0"/>
              <w:rPr>
                <w:sz w:val="22"/>
                <w:szCs w:val="22"/>
                <w:color w:val="auto"/>
              </w:rPr>
            </w:pPr>
          </w:p>
        </w:tc>
        <w:tc>
          <w:tcPr>
            <w:tcW w:w="1320" w:type="dxa"/>
            <w:vAlign w:val="bottom"/>
            <w:tcBorders>
              <w:bottom w:val="single" w:sz="8" w:color="C0C0C0"/>
            </w:tcBorders>
            <w:shd w:val="clear" w:color="auto" w:fill="C0C0C0"/>
          </w:tcPr>
          <w:p>
            <w:pPr>
              <w:jc w:val="right"/>
              <w:spacing w:after="0"/>
              <w:rPr>
                <w:sz w:val="20"/>
                <w:szCs w:val="20"/>
                <w:color w:val="auto"/>
              </w:rPr>
            </w:pPr>
            <w:r>
              <w:rPr>
                <w:rFonts w:ascii="Arial" w:cs="Arial" w:eastAsia="Arial" w:hAnsi="Arial"/>
                <w:sz w:val="18"/>
                <w:szCs w:val="18"/>
                <w:b w:val="1"/>
                <w:bCs w:val="1"/>
                <w:color w:val="auto"/>
              </w:rPr>
              <w:t>$ 5,054,829</w:t>
            </w:r>
          </w:p>
        </w:tc>
        <w:tc>
          <w:tcPr>
            <w:tcW w:w="0" w:type="dxa"/>
            <w:vAlign w:val="bottom"/>
          </w:tcPr>
          <w:p>
            <w:pPr>
              <w:spacing w:after="0"/>
              <w:rPr>
                <w:sz w:val="1"/>
                <w:szCs w:val="1"/>
                <w:color w:val="auto"/>
              </w:rPr>
            </w:pPr>
          </w:p>
        </w:tc>
      </w:tr>
      <w:tr>
        <w:trPr>
          <w:trHeight w:val="466"/>
        </w:trPr>
        <w:tc>
          <w:tcPr>
            <w:tcW w:w="3280" w:type="dxa"/>
            <w:vAlign w:val="bottom"/>
            <w:gridSpan w:val="3"/>
          </w:tcPr>
          <w:p>
            <w:pPr>
              <w:ind w:left="20"/>
              <w:spacing w:after="0"/>
              <w:rPr>
                <w:sz w:val="20"/>
                <w:szCs w:val="20"/>
                <w:color w:val="auto"/>
              </w:rPr>
            </w:pPr>
            <w:r>
              <w:rPr>
                <w:rFonts w:ascii="Arial" w:cs="Arial" w:eastAsia="Arial" w:hAnsi="Arial"/>
                <w:sz w:val="18"/>
                <w:szCs w:val="18"/>
                <w:b w:val="1"/>
                <w:bCs w:val="1"/>
                <w:i w:val="1"/>
                <w:iCs w:val="1"/>
                <w:color w:val="auto"/>
              </w:rPr>
              <w:t>Intercompany Loans:</w:t>
            </w:r>
          </w:p>
        </w:tc>
        <w:tc>
          <w:tcPr>
            <w:tcW w:w="138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32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546"/>
        </w:trPr>
        <w:tc>
          <w:tcPr>
            <w:tcW w:w="20" w:type="dxa"/>
            <w:vAlign w:val="bottom"/>
          </w:tcPr>
          <w:p>
            <w:pPr>
              <w:spacing w:after="0"/>
              <w:rPr>
                <w:sz w:val="24"/>
                <w:szCs w:val="24"/>
                <w:color w:val="auto"/>
              </w:rPr>
            </w:pPr>
          </w:p>
        </w:tc>
        <w:tc>
          <w:tcPr>
            <w:tcW w:w="1600" w:type="dxa"/>
            <w:vAlign w:val="bottom"/>
            <w:tcBorders>
              <w:top w:val="single" w:sz="8" w:color="auto"/>
            </w:tcBorders>
          </w:tcPr>
          <w:p>
            <w:pPr>
              <w:spacing w:after="0"/>
              <w:rPr>
                <w:sz w:val="24"/>
                <w:szCs w:val="24"/>
                <w:color w:val="auto"/>
              </w:rPr>
            </w:pPr>
          </w:p>
        </w:tc>
        <w:tc>
          <w:tcPr>
            <w:tcW w:w="1660" w:type="dxa"/>
            <w:vAlign w:val="bottom"/>
          </w:tcPr>
          <w:p>
            <w:pPr>
              <w:spacing w:after="0"/>
              <w:rPr>
                <w:sz w:val="24"/>
                <w:szCs w:val="24"/>
                <w:color w:val="auto"/>
              </w:rPr>
            </w:pPr>
          </w:p>
        </w:tc>
        <w:tc>
          <w:tcPr>
            <w:tcW w:w="1380" w:type="dxa"/>
            <w:vAlign w:val="bottom"/>
          </w:tcPr>
          <w:p>
            <w:pPr>
              <w:ind w:left="60"/>
              <w:spacing w:after="0"/>
              <w:rPr>
                <w:sz w:val="20"/>
                <w:szCs w:val="20"/>
                <w:color w:val="auto"/>
              </w:rPr>
            </w:pPr>
            <w:r>
              <w:rPr>
                <w:rFonts w:ascii="Arial" w:cs="Arial" w:eastAsia="Arial" w:hAnsi="Arial"/>
                <w:sz w:val="18"/>
                <w:szCs w:val="18"/>
                <w:color w:val="auto"/>
              </w:rPr>
              <w:t>cadooz rewards</w:t>
            </w:r>
          </w:p>
        </w:tc>
        <w:tc>
          <w:tcPr>
            <w:tcW w:w="160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3280" w:type="dxa"/>
            <w:vAlign w:val="bottom"/>
            <w:gridSpan w:val="3"/>
          </w:tcPr>
          <w:p>
            <w:pPr>
              <w:ind w:left="20"/>
              <w:spacing w:after="0"/>
              <w:rPr>
                <w:sz w:val="20"/>
                <w:szCs w:val="20"/>
                <w:color w:val="auto"/>
              </w:rPr>
            </w:pPr>
            <w:r>
              <w:rPr>
                <w:rFonts w:ascii="Arial" w:cs="Arial" w:eastAsia="Arial" w:hAnsi="Arial"/>
                <w:sz w:val="18"/>
                <w:szCs w:val="18"/>
                <w:color w:val="auto"/>
              </w:rPr>
              <w:t>cadooz GmbH</w:t>
            </w:r>
          </w:p>
        </w:tc>
        <w:tc>
          <w:tcPr>
            <w:tcW w:w="1380" w:type="dxa"/>
            <w:vAlign w:val="bottom"/>
          </w:tcPr>
          <w:p>
            <w:pPr>
              <w:ind w:left="60"/>
              <w:spacing w:after="0"/>
              <w:rPr>
                <w:sz w:val="20"/>
                <w:szCs w:val="20"/>
                <w:color w:val="auto"/>
              </w:rPr>
            </w:pPr>
            <w:r>
              <w:rPr>
                <w:rFonts w:ascii="Arial" w:cs="Arial" w:eastAsia="Arial" w:hAnsi="Arial"/>
                <w:sz w:val="18"/>
                <w:szCs w:val="18"/>
                <w:color w:val="auto"/>
              </w:rPr>
              <w:t>GmbH</w:t>
            </w:r>
          </w:p>
        </w:tc>
        <w:tc>
          <w:tcPr>
            <w:tcW w:w="1600" w:type="dxa"/>
            <w:vAlign w:val="bottom"/>
          </w:tcPr>
          <w:p>
            <w:pPr>
              <w:ind w:left="40"/>
              <w:spacing w:after="0"/>
              <w:rPr>
                <w:sz w:val="20"/>
                <w:szCs w:val="20"/>
                <w:color w:val="auto"/>
              </w:rPr>
            </w:pPr>
            <w:r>
              <w:rPr>
                <w:rFonts w:ascii="Arial" w:cs="Arial" w:eastAsia="Arial" w:hAnsi="Arial"/>
                <w:sz w:val="18"/>
                <w:szCs w:val="18"/>
                <w:color w:val="auto"/>
                <w:w w:val="99"/>
              </w:rPr>
              <w:t>Intercompany Loan</w:t>
            </w:r>
          </w:p>
        </w:tc>
        <w:tc>
          <w:tcPr>
            <w:tcW w:w="224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3,904,461</w:t>
            </w: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1600" w:type="dxa"/>
            <w:vAlign w:val="bottom"/>
          </w:tcPr>
          <w:p>
            <w:pPr>
              <w:spacing w:after="0"/>
              <w:rPr>
                <w:sz w:val="22"/>
                <w:szCs w:val="22"/>
                <w:color w:val="auto"/>
              </w:rPr>
            </w:pPr>
          </w:p>
        </w:tc>
        <w:tc>
          <w:tcPr>
            <w:tcW w:w="1660" w:type="dxa"/>
            <w:vAlign w:val="bottom"/>
          </w:tcPr>
          <w:p>
            <w:pPr>
              <w:spacing w:after="0"/>
              <w:rPr>
                <w:sz w:val="22"/>
                <w:szCs w:val="22"/>
                <w:color w:val="auto"/>
              </w:rPr>
            </w:pPr>
          </w:p>
        </w:tc>
        <w:tc>
          <w:tcPr>
            <w:tcW w:w="1380" w:type="dxa"/>
            <w:vAlign w:val="bottom"/>
          </w:tcPr>
          <w:p>
            <w:pPr>
              <w:ind w:left="60"/>
              <w:spacing w:after="0"/>
              <w:rPr>
                <w:sz w:val="20"/>
                <w:szCs w:val="20"/>
                <w:color w:val="auto"/>
              </w:rPr>
            </w:pPr>
            <w:r>
              <w:rPr>
                <w:rFonts w:ascii="Arial" w:cs="Arial" w:eastAsia="Arial" w:hAnsi="Arial"/>
                <w:sz w:val="18"/>
                <w:szCs w:val="18"/>
                <w:color w:val="auto"/>
              </w:rPr>
              <w:t>Delta Euronet</w:t>
            </w:r>
          </w:p>
        </w:tc>
        <w:tc>
          <w:tcPr>
            <w:tcW w:w="1600" w:type="dxa"/>
            <w:vAlign w:val="bottom"/>
          </w:tcPr>
          <w:p>
            <w:pPr>
              <w:spacing w:after="0"/>
              <w:rPr>
                <w:sz w:val="22"/>
                <w:szCs w:val="22"/>
                <w:color w:val="auto"/>
              </w:rPr>
            </w:pPr>
          </w:p>
        </w:tc>
        <w:tc>
          <w:tcPr>
            <w:tcW w:w="224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3280" w:type="dxa"/>
            <w:vAlign w:val="bottom"/>
            <w:gridSpan w:val="3"/>
          </w:tcPr>
          <w:p>
            <w:pPr>
              <w:ind w:left="20"/>
              <w:spacing w:after="0"/>
              <w:rPr>
                <w:sz w:val="20"/>
                <w:szCs w:val="20"/>
                <w:color w:val="auto"/>
              </w:rPr>
            </w:pPr>
            <w:r>
              <w:rPr>
                <w:rFonts w:ascii="Arial" w:cs="Arial" w:eastAsia="Arial" w:hAnsi="Arial"/>
                <w:sz w:val="18"/>
                <w:szCs w:val="18"/>
                <w:color w:val="auto"/>
              </w:rPr>
              <w:t>cadooz GmbH</w:t>
            </w:r>
          </w:p>
        </w:tc>
        <w:tc>
          <w:tcPr>
            <w:tcW w:w="1380" w:type="dxa"/>
            <w:vAlign w:val="bottom"/>
          </w:tcPr>
          <w:p>
            <w:pPr>
              <w:ind w:left="60"/>
              <w:spacing w:after="0"/>
              <w:rPr>
                <w:sz w:val="20"/>
                <w:szCs w:val="20"/>
                <w:color w:val="auto"/>
              </w:rPr>
            </w:pPr>
            <w:r>
              <w:rPr>
                <w:rFonts w:ascii="Arial" w:cs="Arial" w:eastAsia="Arial" w:hAnsi="Arial"/>
                <w:sz w:val="18"/>
                <w:szCs w:val="18"/>
                <w:color w:val="auto"/>
              </w:rPr>
              <w:t>GmbH</w:t>
            </w:r>
          </w:p>
        </w:tc>
        <w:tc>
          <w:tcPr>
            <w:tcW w:w="1600" w:type="dxa"/>
            <w:vAlign w:val="bottom"/>
          </w:tcPr>
          <w:p>
            <w:pPr>
              <w:ind w:left="40"/>
              <w:spacing w:after="0"/>
              <w:rPr>
                <w:sz w:val="20"/>
                <w:szCs w:val="20"/>
                <w:color w:val="auto"/>
              </w:rPr>
            </w:pPr>
            <w:r>
              <w:rPr>
                <w:rFonts w:ascii="Arial" w:cs="Arial" w:eastAsia="Arial" w:hAnsi="Arial"/>
                <w:sz w:val="18"/>
                <w:szCs w:val="18"/>
                <w:color w:val="auto"/>
                <w:w w:val="99"/>
              </w:rPr>
              <w:t>Intercompany Loan</w:t>
            </w:r>
          </w:p>
        </w:tc>
        <w:tc>
          <w:tcPr>
            <w:tcW w:w="224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2,454,896</w:t>
            </w:r>
          </w:p>
        </w:tc>
        <w:tc>
          <w:tcPr>
            <w:tcW w:w="0" w:type="dxa"/>
            <w:vAlign w:val="bottom"/>
          </w:tcPr>
          <w:p>
            <w:pPr>
              <w:spacing w:after="0"/>
              <w:rPr>
                <w:sz w:val="1"/>
                <w:szCs w:val="1"/>
                <w:color w:val="auto"/>
              </w:rPr>
            </w:pPr>
          </w:p>
        </w:tc>
      </w:tr>
    </w:tbl>
    <w:p>
      <w:pPr>
        <w:spacing w:after="0"/>
        <w:rPr>
          <w:sz w:val="20"/>
          <w:szCs w:val="20"/>
          <w:color w:val="auto"/>
        </w:rPr>
        <w:sectPr>
          <w:pgSz w:w="11900" w:h="16838" w:orient="portrait"/>
          <w:cols w:equalWidth="0" w:num="1">
            <w:col w:w="11400"/>
          </w:cols>
          <w:pgMar w:left="260" w:top="530" w:right="239" w:bottom="1440" w:gutter="0" w:footer="0" w:header="0"/>
        </w:sectPr>
      </w:pPr>
      <w:r>
        <w:rPr>
          <w:sz w:val="20"/>
          <w:szCs w:val="20"/>
          <w:color w:val="auto"/>
        </w:rPr>
        <w:drawing>
          <wp:anchor simplePos="0" relativeHeight="251657728" behindDoc="1" locked="0" layoutInCell="0" allowOverlap="1">
            <wp:simplePos x="0" y="0"/>
            <wp:positionH relativeFrom="page">
              <wp:posOffset>4205605</wp:posOffset>
            </wp:positionH>
            <wp:positionV relativeFrom="page">
              <wp:posOffset>328930</wp:posOffset>
            </wp:positionV>
            <wp:extent cx="1363345" cy="312991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1363345" cy="3129915"/>
                    </a:xfrm>
                    <a:prstGeom prst="rect">
                      <a:avLst/>
                    </a:prstGeom>
                    <a:noFill/>
                  </pic:spPr>
                </pic:pic>
              </a:graphicData>
            </a:graphic>
          </wp:anchor>
        </w:drawing>
      </w:r>
    </w:p>
    <w:bookmarkStart w:id="291" w:name="page292"/>
    <w:bookmarkEnd w:id="291"/>
    <w:tbl>
      <w:tblPr>
        <w:tblLayout w:type="fixed"/>
        <w:tblInd w:w="0" w:type="dxa"/>
        <w:tblCellMar>
          <w:top w:w="0" w:type="dxa"/>
          <w:left w:w="0" w:type="dxa"/>
          <w:bottom w:w="0" w:type="dxa"/>
          <w:right w:w="0" w:type="dxa"/>
        </w:tblCellMar>
      </w:tblPr>
      <w:tr>
        <w:trPr>
          <w:trHeight w:val="216"/>
        </w:trPr>
        <w:tc>
          <w:tcPr>
            <w:tcW w:w="2980" w:type="dxa"/>
            <w:vAlign w:val="bottom"/>
          </w:tcPr>
          <w:p>
            <w:pPr>
              <w:spacing w:after="0"/>
              <w:rPr>
                <w:sz w:val="18"/>
                <w:szCs w:val="18"/>
                <w:color w:val="auto"/>
              </w:rPr>
            </w:pPr>
          </w:p>
        </w:tc>
        <w:tc>
          <w:tcPr>
            <w:tcW w:w="1820" w:type="dxa"/>
            <w:vAlign w:val="bottom"/>
          </w:tcPr>
          <w:p>
            <w:pPr>
              <w:ind w:left="300"/>
              <w:spacing w:after="0"/>
              <w:rPr>
                <w:sz w:val="20"/>
                <w:szCs w:val="20"/>
                <w:color w:val="auto"/>
              </w:rPr>
            </w:pPr>
            <w:r>
              <w:rPr>
                <w:rFonts w:ascii="Arial" w:cs="Arial" w:eastAsia="Arial" w:hAnsi="Arial"/>
                <w:sz w:val="18"/>
                <w:szCs w:val="18"/>
                <w:color w:val="auto"/>
              </w:rPr>
              <w:t>RIA</w:t>
            </w:r>
          </w:p>
        </w:tc>
        <w:tc>
          <w:tcPr>
            <w:tcW w:w="3580" w:type="dxa"/>
            <w:vAlign w:val="bottom"/>
          </w:tcPr>
          <w:p>
            <w:pPr>
              <w:spacing w:after="0"/>
              <w:rPr>
                <w:sz w:val="18"/>
                <w:szCs w:val="18"/>
                <w:color w:val="auto"/>
              </w:rPr>
            </w:pPr>
          </w:p>
        </w:tc>
        <w:tc>
          <w:tcPr>
            <w:tcW w:w="2960" w:type="dxa"/>
            <w:vAlign w:val="bottom"/>
          </w:tcPr>
          <w:p>
            <w:pPr>
              <w:spacing w:after="0"/>
              <w:rPr>
                <w:sz w:val="18"/>
                <w:szCs w:val="18"/>
                <w:color w:val="auto"/>
              </w:rPr>
            </w:pPr>
          </w:p>
        </w:tc>
      </w:tr>
      <w:tr>
        <w:trPr>
          <w:trHeight w:val="216"/>
        </w:trPr>
        <w:tc>
          <w:tcPr>
            <w:tcW w:w="2980" w:type="dxa"/>
            <w:vAlign w:val="bottom"/>
          </w:tcPr>
          <w:p>
            <w:pPr>
              <w:spacing w:after="0"/>
              <w:rPr>
                <w:sz w:val="18"/>
                <w:szCs w:val="18"/>
                <w:color w:val="auto"/>
              </w:rPr>
            </w:pPr>
          </w:p>
        </w:tc>
        <w:tc>
          <w:tcPr>
            <w:tcW w:w="1820" w:type="dxa"/>
            <w:vAlign w:val="bottom"/>
          </w:tcPr>
          <w:p>
            <w:pPr>
              <w:ind w:left="300"/>
              <w:spacing w:after="0"/>
              <w:rPr>
                <w:sz w:val="20"/>
                <w:szCs w:val="20"/>
                <w:color w:val="auto"/>
              </w:rPr>
            </w:pPr>
            <w:r>
              <w:rPr>
                <w:rFonts w:ascii="Arial" w:cs="Arial" w:eastAsia="Arial" w:hAnsi="Arial"/>
                <w:sz w:val="18"/>
                <w:szCs w:val="18"/>
                <w:color w:val="auto"/>
                <w:w w:val="90"/>
              </w:rPr>
              <w:t>Telecommunications</w:t>
            </w:r>
          </w:p>
        </w:tc>
        <w:tc>
          <w:tcPr>
            <w:tcW w:w="3580" w:type="dxa"/>
            <w:vAlign w:val="bottom"/>
          </w:tcPr>
          <w:p>
            <w:pPr>
              <w:spacing w:after="0"/>
              <w:rPr>
                <w:sz w:val="18"/>
                <w:szCs w:val="18"/>
                <w:color w:val="auto"/>
              </w:rPr>
            </w:pPr>
          </w:p>
        </w:tc>
        <w:tc>
          <w:tcPr>
            <w:tcW w:w="2960" w:type="dxa"/>
            <w:vAlign w:val="bottom"/>
          </w:tcPr>
          <w:p>
            <w:pPr>
              <w:spacing w:after="0"/>
              <w:rPr>
                <w:sz w:val="18"/>
                <w:szCs w:val="18"/>
                <w:color w:val="auto"/>
              </w:rPr>
            </w:pPr>
          </w:p>
        </w:tc>
      </w:tr>
      <w:tr>
        <w:trPr>
          <w:trHeight w:val="230"/>
        </w:trPr>
        <w:tc>
          <w:tcPr>
            <w:tcW w:w="2980" w:type="dxa"/>
            <w:vAlign w:val="bottom"/>
          </w:tcPr>
          <w:p>
            <w:pPr>
              <w:spacing w:after="0"/>
              <w:rPr>
                <w:sz w:val="20"/>
                <w:szCs w:val="20"/>
                <w:color w:val="auto"/>
              </w:rPr>
            </w:pPr>
            <w:r>
              <w:rPr>
                <w:rFonts w:ascii="Arial" w:cs="Arial" w:eastAsia="Arial" w:hAnsi="Arial"/>
                <w:sz w:val="18"/>
                <w:szCs w:val="18"/>
                <w:color w:val="auto"/>
              </w:rPr>
              <w:t>Continental Exchange Solutions, Inc.</w:t>
            </w:r>
          </w:p>
        </w:tc>
        <w:tc>
          <w:tcPr>
            <w:tcW w:w="1820" w:type="dxa"/>
            <w:vAlign w:val="bottom"/>
          </w:tcPr>
          <w:p>
            <w:pPr>
              <w:ind w:left="300"/>
              <w:spacing w:after="0"/>
              <w:rPr>
                <w:sz w:val="20"/>
                <w:szCs w:val="20"/>
                <w:color w:val="auto"/>
              </w:rPr>
            </w:pPr>
            <w:r>
              <w:rPr>
                <w:rFonts w:ascii="Arial" w:cs="Arial" w:eastAsia="Arial" w:hAnsi="Arial"/>
                <w:sz w:val="18"/>
                <w:szCs w:val="18"/>
                <w:color w:val="auto"/>
              </w:rPr>
              <w:t>of Canada Inc.</w:t>
            </w:r>
          </w:p>
        </w:tc>
        <w:tc>
          <w:tcPr>
            <w:tcW w:w="3580" w:type="dxa"/>
            <w:vAlign w:val="bottom"/>
          </w:tcPr>
          <w:p>
            <w:pPr>
              <w:ind w:left="20"/>
              <w:spacing w:after="0"/>
              <w:rPr>
                <w:sz w:val="20"/>
                <w:szCs w:val="20"/>
                <w:color w:val="auto"/>
              </w:rPr>
            </w:pPr>
            <w:r>
              <w:rPr>
                <w:rFonts w:ascii="Arial" w:cs="Arial" w:eastAsia="Arial" w:hAnsi="Arial"/>
                <w:sz w:val="18"/>
                <w:szCs w:val="18"/>
                <w:color w:val="auto"/>
              </w:rPr>
              <w:t>Intercompany Loan</w:t>
            </w:r>
          </w:p>
        </w:tc>
        <w:tc>
          <w:tcPr>
            <w:tcW w:w="2960" w:type="dxa"/>
            <w:vAlign w:val="bottom"/>
          </w:tcPr>
          <w:p>
            <w:pPr>
              <w:jc w:val="right"/>
              <w:spacing w:after="0"/>
              <w:rPr>
                <w:sz w:val="20"/>
                <w:szCs w:val="20"/>
                <w:color w:val="auto"/>
              </w:rPr>
            </w:pPr>
            <w:r>
              <w:rPr>
                <w:rFonts w:ascii="Arial" w:cs="Arial" w:eastAsia="Arial" w:hAnsi="Arial"/>
                <w:sz w:val="18"/>
                <w:szCs w:val="18"/>
                <w:color w:val="auto"/>
              </w:rPr>
              <w:t>1,485,741</w:t>
            </w:r>
          </w:p>
        </w:tc>
      </w:tr>
      <w:tr>
        <w:trPr>
          <w:trHeight w:val="270"/>
        </w:trPr>
        <w:tc>
          <w:tcPr>
            <w:tcW w:w="2980" w:type="dxa"/>
            <w:vAlign w:val="bottom"/>
          </w:tcPr>
          <w:p>
            <w:pPr>
              <w:spacing w:after="0"/>
              <w:rPr>
                <w:sz w:val="20"/>
                <w:szCs w:val="20"/>
                <w:color w:val="auto"/>
              </w:rPr>
            </w:pPr>
            <w:r>
              <w:rPr>
                <w:rFonts w:ascii="Arial" w:cs="Arial" w:eastAsia="Arial" w:hAnsi="Arial"/>
                <w:sz w:val="18"/>
                <w:szCs w:val="18"/>
                <w:color w:val="auto"/>
              </w:rPr>
              <w:t>Delta Euronet GmbH</w:t>
            </w:r>
          </w:p>
        </w:tc>
        <w:tc>
          <w:tcPr>
            <w:tcW w:w="1820" w:type="dxa"/>
            <w:vAlign w:val="bottom"/>
          </w:tcPr>
          <w:p>
            <w:pPr>
              <w:ind w:left="300"/>
              <w:spacing w:after="0"/>
              <w:rPr>
                <w:sz w:val="20"/>
                <w:szCs w:val="20"/>
                <w:color w:val="auto"/>
              </w:rPr>
            </w:pPr>
            <w:r>
              <w:rPr>
                <w:rFonts w:ascii="Arial" w:cs="Arial" w:eastAsia="Arial" w:hAnsi="Arial"/>
                <w:sz w:val="18"/>
                <w:szCs w:val="18"/>
                <w:color w:val="auto"/>
              </w:rPr>
              <w:t>cadooz GmbH</w:t>
            </w:r>
          </w:p>
        </w:tc>
        <w:tc>
          <w:tcPr>
            <w:tcW w:w="3580" w:type="dxa"/>
            <w:vAlign w:val="bottom"/>
          </w:tcPr>
          <w:p>
            <w:pPr>
              <w:ind w:left="20"/>
              <w:spacing w:after="0"/>
              <w:rPr>
                <w:sz w:val="20"/>
                <w:szCs w:val="20"/>
                <w:color w:val="auto"/>
              </w:rPr>
            </w:pPr>
            <w:r>
              <w:rPr>
                <w:rFonts w:ascii="Arial" w:cs="Arial" w:eastAsia="Arial" w:hAnsi="Arial"/>
                <w:sz w:val="18"/>
                <w:szCs w:val="18"/>
                <w:color w:val="auto"/>
              </w:rPr>
              <w:t>Intercompany Loan</w:t>
            </w:r>
          </w:p>
        </w:tc>
        <w:tc>
          <w:tcPr>
            <w:tcW w:w="2960" w:type="dxa"/>
            <w:vAlign w:val="bottom"/>
          </w:tcPr>
          <w:p>
            <w:pPr>
              <w:jc w:val="right"/>
              <w:spacing w:after="0"/>
              <w:rPr>
                <w:sz w:val="20"/>
                <w:szCs w:val="20"/>
                <w:color w:val="auto"/>
              </w:rPr>
            </w:pPr>
            <w:r>
              <w:rPr>
                <w:rFonts w:ascii="Arial" w:cs="Arial" w:eastAsia="Arial" w:hAnsi="Arial"/>
                <w:sz w:val="18"/>
                <w:szCs w:val="18"/>
                <w:color w:val="auto"/>
              </w:rPr>
              <w:t>133,063</w:t>
            </w:r>
          </w:p>
        </w:tc>
      </w:tr>
      <w:tr>
        <w:trPr>
          <w:trHeight w:val="256"/>
        </w:trPr>
        <w:tc>
          <w:tcPr>
            <w:tcW w:w="2980" w:type="dxa"/>
            <w:vAlign w:val="bottom"/>
          </w:tcPr>
          <w:p>
            <w:pPr>
              <w:spacing w:after="0"/>
              <w:rPr>
                <w:sz w:val="22"/>
                <w:szCs w:val="22"/>
                <w:color w:val="auto"/>
              </w:rPr>
            </w:pPr>
          </w:p>
        </w:tc>
        <w:tc>
          <w:tcPr>
            <w:tcW w:w="1820" w:type="dxa"/>
            <w:vAlign w:val="bottom"/>
          </w:tcPr>
          <w:p>
            <w:pPr>
              <w:ind w:left="300"/>
              <w:spacing w:after="0"/>
              <w:rPr>
                <w:sz w:val="20"/>
                <w:szCs w:val="20"/>
                <w:color w:val="auto"/>
              </w:rPr>
            </w:pPr>
            <w:r>
              <w:rPr>
                <w:rFonts w:ascii="Arial" w:cs="Arial" w:eastAsia="Arial" w:hAnsi="Arial"/>
                <w:sz w:val="18"/>
                <w:szCs w:val="18"/>
                <w:color w:val="auto"/>
              </w:rPr>
              <w:t>"Euronet Ukraine"</w:t>
            </w:r>
          </w:p>
        </w:tc>
        <w:tc>
          <w:tcPr>
            <w:tcW w:w="3580" w:type="dxa"/>
            <w:vAlign w:val="bottom"/>
          </w:tcPr>
          <w:p>
            <w:pPr>
              <w:spacing w:after="0"/>
              <w:rPr>
                <w:sz w:val="22"/>
                <w:szCs w:val="22"/>
                <w:color w:val="auto"/>
              </w:rPr>
            </w:pPr>
          </w:p>
        </w:tc>
        <w:tc>
          <w:tcPr>
            <w:tcW w:w="2960" w:type="dxa"/>
            <w:vAlign w:val="bottom"/>
          </w:tcPr>
          <w:p>
            <w:pPr>
              <w:spacing w:after="0"/>
              <w:rPr>
                <w:sz w:val="22"/>
                <w:szCs w:val="22"/>
                <w:color w:val="auto"/>
              </w:rPr>
            </w:pPr>
          </w:p>
        </w:tc>
      </w:tr>
      <w:tr>
        <w:trPr>
          <w:trHeight w:val="216"/>
        </w:trPr>
        <w:tc>
          <w:tcPr>
            <w:tcW w:w="2980" w:type="dxa"/>
            <w:vAlign w:val="bottom"/>
          </w:tcPr>
          <w:p>
            <w:pPr>
              <w:spacing w:after="0"/>
              <w:rPr>
                <w:sz w:val="18"/>
                <w:szCs w:val="18"/>
                <w:color w:val="auto"/>
              </w:rPr>
            </w:pPr>
          </w:p>
        </w:tc>
        <w:tc>
          <w:tcPr>
            <w:tcW w:w="1820" w:type="dxa"/>
            <w:vAlign w:val="bottom"/>
          </w:tcPr>
          <w:p>
            <w:pPr>
              <w:ind w:left="300"/>
              <w:spacing w:after="0"/>
              <w:rPr>
                <w:sz w:val="20"/>
                <w:szCs w:val="20"/>
                <w:color w:val="auto"/>
              </w:rPr>
            </w:pPr>
            <w:r>
              <w:rPr>
                <w:rFonts w:ascii="Arial" w:cs="Arial" w:eastAsia="Arial" w:hAnsi="Arial"/>
                <w:sz w:val="18"/>
                <w:szCs w:val="18"/>
                <w:color w:val="auto"/>
              </w:rPr>
              <w:t>Limited Liability</w:t>
            </w:r>
          </w:p>
        </w:tc>
        <w:tc>
          <w:tcPr>
            <w:tcW w:w="3580" w:type="dxa"/>
            <w:vAlign w:val="bottom"/>
          </w:tcPr>
          <w:p>
            <w:pPr>
              <w:spacing w:after="0"/>
              <w:rPr>
                <w:sz w:val="18"/>
                <w:szCs w:val="18"/>
                <w:color w:val="auto"/>
              </w:rPr>
            </w:pPr>
          </w:p>
        </w:tc>
        <w:tc>
          <w:tcPr>
            <w:tcW w:w="2960" w:type="dxa"/>
            <w:vAlign w:val="bottom"/>
          </w:tcPr>
          <w:p>
            <w:pPr>
              <w:spacing w:after="0"/>
              <w:rPr>
                <w:sz w:val="18"/>
                <w:szCs w:val="18"/>
                <w:color w:val="auto"/>
              </w:rPr>
            </w:pPr>
          </w:p>
        </w:tc>
      </w:tr>
      <w:tr>
        <w:trPr>
          <w:trHeight w:val="230"/>
        </w:trPr>
        <w:tc>
          <w:tcPr>
            <w:tcW w:w="2980" w:type="dxa"/>
            <w:vAlign w:val="bottom"/>
          </w:tcPr>
          <w:p>
            <w:pPr>
              <w:spacing w:after="0"/>
              <w:rPr>
                <w:sz w:val="20"/>
                <w:szCs w:val="20"/>
                <w:color w:val="auto"/>
              </w:rPr>
            </w:pPr>
            <w:r>
              <w:rPr>
                <w:rFonts w:ascii="Arial" w:cs="Arial" w:eastAsia="Arial" w:hAnsi="Arial"/>
                <w:sz w:val="18"/>
                <w:szCs w:val="18"/>
                <w:color w:val="auto"/>
              </w:rPr>
              <w:t>EFT Services Holding B.V.</w:t>
            </w:r>
          </w:p>
        </w:tc>
        <w:tc>
          <w:tcPr>
            <w:tcW w:w="1820" w:type="dxa"/>
            <w:vAlign w:val="bottom"/>
          </w:tcPr>
          <w:p>
            <w:pPr>
              <w:ind w:left="300"/>
              <w:spacing w:after="0"/>
              <w:rPr>
                <w:sz w:val="20"/>
                <w:szCs w:val="20"/>
                <w:color w:val="auto"/>
              </w:rPr>
            </w:pPr>
            <w:r>
              <w:rPr>
                <w:rFonts w:ascii="Arial" w:cs="Arial" w:eastAsia="Arial" w:hAnsi="Arial"/>
                <w:sz w:val="18"/>
                <w:szCs w:val="18"/>
                <w:color w:val="auto"/>
              </w:rPr>
              <w:t>Company</w:t>
            </w:r>
          </w:p>
        </w:tc>
        <w:tc>
          <w:tcPr>
            <w:tcW w:w="3580" w:type="dxa"/>
            <w:vAlign w:val="bottom"/>
          </w:tcPr>
          <w:p>
            <w:pPr>
              <w:ind w:left="20"/>
              <w:spacing w:after="0"/>
              <w:rPr>
                <w:sz w:val="20"/>
                <w:szCs w:val="20"/>
                <w:color w:val="auto"/>
              </w:rPr>
            </w:pPr>
            <w:r>
              <w:rPr>
                <w:rFonts w:ascii="Arial" w:cs="Arial" w:eastAsia="Arial" w:hAnsi="Arial"/>
                <w:sz w:val="18"/>
                <w:szCs w:val="18"/>
                <w:color w:val="auto"/>
              </w:rPr>
              <w:t>Intercompany Loan</w:t>
            </w:r>
          </w:p>
        </w:tc>
        <w:tc>
          <w:tcPr>
            <w:tcW w:w="2960" w:type="dxa"/>
            <w:vAlign w:val="bottom"/>
          </w:tcPr>
          <w:p>
            <w:pPr>
              <w:jc w:val="right"/>
              <w:spacing w:after="0"/>
              <w:rPr>
                <w:sz w:val="20"/>
                <w:szCs w:val="20"/>
                <w:color w:val="auto"/>
              </w:rPr>
            </w:pPr>
            <w:r>
              <w:rPr>
                <w:rFonts w:ascii="Arial" w:cs="Arial" w:eastAsia="Arial" w:hAnsi="Arial"/>
                <w:sz w:val="18"/>
                <w:szCs w:val="18"/>
                <w:color w:val="auto"/>
              </w:rPr>
              <w:t>3,008,000</w:t>
            </w:r>
          </w:p>
        </w:tc>
      </w:tr>
      <w:tr>
        <w:trPr>
          <w:trHeight w:val="256"/>
        </w:trPr>
        <w:tc>
          <w:tcPr>
            <w:tcW w:w="2980" w:type="dxa"/>
            <w:vAlign w:val="bottom"/>
          </w:tcPr>
          <w:p>
            <w:pPr>
              <w:spacing w:after="0"/>
              <w:rPr>
                <w:sz w:val="22"/>
                <w:szCs w:val="22"/>
                <w:color w:val="auto"/>
              </w:rPr>
            </w:pPr>
          </w:p>
        </w:tc>
        <w:tc>
          <w:tcPr>
            <w:tcW w:w="1820" w:type="dxa"/>
            <w:vAlign w:val="bottom"/>
          </w:tcPr>
          <w:p>
            <w:pPr>
              <w:ind w:left="300"/>
              <w:spacing w:after="0"/>
              <w:rPr>
                <w:sz w:val="20"/>
                <w:szCs w:val="20"/>
                <w:color w:val="auto"/>
              </w:rPr>
            </w:pPr>
            <w:r>
              <w:rPr>
                <w:rFonts w:ascii="Arial" w:cs="Arial" w:eastAsia="Arial" w:hAnsi="Arial"/>
                <w:sz w:val="18"/>
                <w:szCs w:val="18"/>
                <w:color w:val="auto"/>
              </w:rPr>
              <w:t>ATX Middle East</w:t>
            </w:r>
          </w:p>
        </w:tc>
        <w:tc>
          <w:tcPr>
            <w:tcW w:w="3580" w:type="dxa"/>
            <w:vAlign w:val="bottom"/>
          </w:tcPr>
          <w:p>
            <w:pPr>
              <w:spacing w:after="0"/>
              <w:rPr>
                <w:sz w:val="22"/>
                <w:szCs w:val="22"/>
                <w:color w:val="auto"/>
              </w:rPr>
            </w:pPr>
          </w:p>
        </w:tc>
        <w:tc>
          <w:tcPr>
            <w:tcW w:w="2960" w:type="dxa"/>
            <w:vAlign w:val="bottom"/>
          </w:tcPr>
          <w:p>
            <w:pPr>
              <w:spacing w:after="0"/>
              <w:rPr>
                <w:sz w:val="22"/>
                <w:szCs w:val="22"/>
                <w:color w:val="auto"/>
              </w:rPr>
            </w:pPr>
          </w:p>
        </w:tc>
      </w:tr>
      <w:tr>
        <w:trPr>
          <w:trHeight w:val="230"/>
        </w:trPr>
        <w:tc>
          <w:tcPr>
            <w:tcW w:w="2980" w:type="dxa"/>
            <w:vAlign w:val="bottom"/>
          </w:tcPr>
          <w:p>
            <w:pPr>
              <w:spacing w:after="0"/>
              <w:rPr>
                <w:sz w:val="20"/>
                <w:szCs w:val="20"/>
                <w:color w:val="auto"/>
              </w:rPr>
            </w:pPr>
            <w:r>
              <w:rPr>
                <w:rFonts w:ascii="Arial" w:cs="Arial" w:eastAsia="Arial" w:hAnsi="Arial"/>
                <w:sz w:val="18"/>
                <w:szCs w:val="18"/>
                <w:color w:val="auto"/>
              </w:rPr>
              <w:t>EFT Services Holding B.V.</w:t>
            </w:r>
          </w:p>
        </w:tc>
        <w:tc>
          <w:tcPr>
            <w:tcW w:w="1820" w:type="dxa"/>
            <w:vAlign w:val="bottom"/>
          </w:tcPr>
          <w:p>
            <w:pPr>
              <w:ind w:left="300"/>
              <w:spacing w:after="0"/>
              <w:rPr>
                <w:sz w:val="20"/>
                <w:szCs w:val="20"/>
                <w:color w:val="auto"/>
              </w:rPr>
            </w:pPr>
            <w:r>
              <w:rPr>
                <w:rFonts w:ascii="Arial" w:cs="Arial" w:eastAsia="Arial" w:hAnsi="Arial"/>
                <w:sz w:val="18"/>
                <w:szCs w:val="18"/>
                <w:color w:val="auto"/>
              </w:rPr>
              <w:t>FZC</w:t>
            </w:r>
          </w:p>
        </w:tc>
        <w:tc>
          <w:tcPr>
            <w:tcW w:w="3580" w:type="dxa"/>
            <w:vAlign w:val="bottom"/>
          </w:tcPr>
          <w:p>
            <w:pPr>
              <w:ind w:left="20"/>
              <w:spacing w:after="0"/>
              <w:rPr>
                <w:sz w:val="20"/>
                <w:szCs w:val="20"/>
                <w:color w:val="auto"/>
              </w:rPr>
            </w:pPr>
            <w:r>
              <w:rPr>
                <w:rFonts w:ascii="Arial" w:cs="Arial" w:eastAsia="Arial" w:hAnsi="Arial"/>
                <w:sz w:val="18"/>
                <w:szCs w:val="18"/>
                <w:color w:val="auto"/>
              </w:rPr>
              <w:t>Intercompany Loan</w:t>
            </w:r>
          </w:p>
        </w:tc>
        <w:tc>
          <w:tcPr>
            <w:tcW w:w="2960" w:type="dxa"/>
            <w:vAlign w:val="bottom"/>
          </w:tcPr>
          <w:p>
            <w:pPr>
              <w:jc w:val="right"/>
              <w:spacing w:after="0"/>
              <w:rPr>
                <w:sz w:val="20"/>
                <w:szCs w:val="20"/>
                <w:color w:val="auto"/>
              </w:rPr>
            </w:pPr>
            <w:r>
              <w:rPr>
                <w:rFonts w:ascii="Arial" w:cs="Arial" w:eastAsia="Arial" w:hAnsi="Arial"/>
                <w:sz w:val="18"/>
                <w:szCs w:val="18"/>
                <w:color w:val="auto"/>
              </w:rPr>
              <w:t>78,788</w:t>
            </w:r>
          </w:p>
        </w:tc>
      </w:tr>
      <w:tr>
        <w:trPr>
          <w:trHeight w:val="256"/>
        </w:trPr>
        <w:tc>
          <w:tcPr>
            <w:tcW w:w="2980" w:type="dxa"/>
            <w:vAlign w:val="bottom"/>
          </w:tcPr>
          <w:p>
            <w:pPr>
              <w:spacing w:after="0"/>
              <w:rPr>
                <w:sz w:val="22"/>
                <w:szCs w:val="22"/>
                <w:color w:val="auto"/>
              </w:rPr>
            </w:pPr>
          </w:p>
        </w:tc>
        <w:tc>
          <w:tcPr>
            <w:tcW w:w="1820" w:type="dxa"/>
            <w:vAlign w:val="bottom"/>
          </w:tcPr>
          <w:p>
            <w:pPr>
              <w:ind w:left="300"/>
              <w:spacing w:after="0"/>
              <w:rPr>
                <w:sz w:val="20"/>
                <w:szCs w:val="20"/>
                <w:color w:val="auto"/>
              </w:rPr>
            </w:pPr>
            <w:r>
              <w:rPr>
                <w:rFonts w:ascii="Arial" w:cs="Arial" w:eastAsia="Arial" w:hAnsi="Arial"/>
                <w:sz w:val="18"/>
                <w:szCs w:val="18"/>
                <w:color w:val="auto"/>
              </w:rPr>
              <w:t>Delta Euronet</w:t>
            </w:r>
          </w:p>
        </w:tc>
        <w:tc>
          <w:tcPr>
            <w:tcW w:w="3580" w:type="dxa"/>
            <w:vAlign w:val="bottom"/>
          </w:tcPr>
          <w:p>
            <w:pPr>
              <w:spacing w:after="0"/>
              <w:rPr>
                <w:sz w:val="22"/>
                <w:szCs w:val="22"/>
                <w:color w:val="auto"/>
              </w:rPr>
            </w:pPr>
          </w:p>
        </w:tc>
        <w:tc>
          <w:tcPr>
            <w:tcW w:w="2960" w:type="dxa"/>
            <w:vAlign w:val="bottom"/>
          </w:tcPr>
          <w:p>
            <w:pPr>
              <w:spacing w:after="0"/>
              <w:rPr>
                <w:sz w:val="22"/>
                <w:szCs w:val="22"/>
                <w:color w:val="auto"/>
              </w:rPr>
            </w:pPr>
          </w:p>
        </w:tc>
      </w:tr>
      <w:tr>
        <w:trPr>
          <w:trHeight w:val="230"/>
        </w:trPr>
        <w:tc>
          <w:tcPr>
            <w:tcW w:w="2980" w:type="dxa"/>
            <w:vAlign w:val="bottom"/>
          </w:tcPr>
          <w:p>
            <w:pPr>
              <w:spacing w:after="0"/>
              <w:rPr>
                <w:sz w:val="20"/>
                <w:szCs w:val="20"/>
                <w:color w:val="auto"/>
              </w:rPr>
            </w:pPr>
            <w:r>
              <w:rPr>
                <w:rFonts w:ascii="Arial" w:cs="Arial" w:eastAsia="Arial" w:hAnsi="Arial"/>
                <w:sz w:val="18"/>
                <w:szCs w:val="18"/>
                <w:color w:val="auto"/>
              </w:rPr>
              <w:t>EFT Services Holding B.V.</w:t>
            </w:r>
          </w:p>
        </w:tc>
        <w:tc>
          <w:tcPr>
            <w:tcW w:w="1820" w:type="dxa"/>
            <w:vAlign w:val="bottom"/>
          </w:tcPr>
          <w:p>
            <w:pPr>
              <w:ind w:left="300"/>
              <w:spacing w:after="0"/>
              <w:rPr>
                <w:sz w:val="20"/>
                <w:szCs w:val="20"/>
                <w:color w:val="auto"/>
              </w:rPr>
            </w:pPr>
            <w:r>
              <w:rPr>
                <w:rFonts w:ascii="Arial" w:cs="Arial" w:eastAsia="Arial" w:hAnsi="Arial"/>
                <w:sz w:val="18"/>
                <w:szCs w:val="18"/>
                <w:color w:val="auto"/>
              </w:rPr>
              <w:t>GmbH</w:t>
            </w:r>
          </w:p>
        </w:tc>
        <w:tc>
          <w:tcPr>
            <w:tcW w:w="3580" w:type="dxa"/>
            <w:vAlign w:val="bottom"/>
          </w:tcPr>
          <w:p>
            <w:pPr>
              <w:ind w:left="20"/>
              <w:spacing w:after="0"/>
              <w:rPr>
                <w:sz w:val="20"/>
                <w:szCs w:val="20"/>
                <w:color w:val="auto"/>
              </w:rPr>
            </w:pPr>
            <w:r>
              <w:rPr>
                <w:rFonts w:ascii="Arial" w:cs="Arial" w:eastAsia="Arial" w:hAnsi="Arial"/>
                <w:sz w:val="18"/>
                <w:szCs w:val="18"/>
                <w:color w:val="auto"/>
              </w:rPr>
              <w:t>Intercompany Loan</w:t>
            </w:r>
          </w:p>
        </w:tc>
        <w:tc>
          <w:tcPr>
            <w:tcW w:w="2960" w:type="dxa"/>
            <w:vAlign w:val="bottom"/>
          </w:tcPr>
          <w:p>
            <w:pPr>
              <w:jc w:val="right"/>
              <w:spacing w:after="0"/>
              <w:rPr>
                <w:sz w:val="20"/>
                <w:szCs w:val="20"/>
                <w:color w:val="auto"/>
              </w:rPr>
            </w:pPr>
            <w:r>
              <w:rPr>
                <w:rFonts w:ascii="Arial" w:cs="Arial" w:eastAsia="Arial" w:hAnsi="Arial"/>
                <w:sz w:val="18"/>
                <w:szCs w:val="18"/>
                <w:color w:val="auto"/>
              </w:rPr>
              <w:t>12,623,148</w:t>
            </w:r>
          </w:p>
        </w:tc>
      </w:tr>
      <w:tr>
        <w:trPr>
          <w:trHeight w:val="256"/>
        </w:trPr>
        <w:tc>
          <w:tcPr>
            <w:tcW w:w="2980" w:type="dxa"/>
            <w:vAlign w:val="bottom"/>
          </w:tcPr>
          <w:p>
            <w:pPr>
              <w:spacing w:after="0"/>
              <w:rPr>
                <w:sz w:val="22"/>
                <w:szCs w:val="22"/>
                <w:color w:val="auto"/>
              </w:rPr>
            </w:pPr>
          </w:p>
        </w:tc>
        <w:tc>
          <w:tcPr>
            <w:tcW w:w="1820" w:type="dxa"/>
            <w:vAlign w:val="bottom"/>
          </w:tcPr>
          <w:p>
            <w:pPr>
              <w:ind w:left="300"/>
              <w:spacing w:after="0"/>
              <w:rPr>
                <w:sz w:val="20"/>
                <w:szCs w:val="20"/>
                <w:color w:val="auto"/>
              </w:rPr>
            </w:pPr>
            <w:r>
              <w:rPr>
                <w:rFonts w:ascii="Arial" w:cs="Arial" w:eastAsia="Arial" w:hAnsi="Arial"/>
                <w:sz w:val="18"/>
                <w:szCs w:val="18"/>
                <w:color w:val="auto"/>
              </w:rPr>
              <w:t>epay Australia</w:t>
            </w:r>
          </w:p>
        </w:tc>
        <w:tc>
          <w:tcPr>
            <w:tcW w:w="3580" w:type="dxa"/>
            <w:vAlign w:val="bottom"/>
          </w:tcPr>
          <w:p>
            <w:pPr>
              <w:spacing w:after="0"/>
              <w:rPr>
                <w:sz w:val="22"/>
                <w:szCs w:val="22"/>
                <w:color w:val="auto"/>
              </w:rPr>
            </w:pPr>
          </w:p>
        </w:tc>
        <w:tc>
          <w:tcPr>
            <w:tcW w:w="2960" w:type="dxa"/>
            <w:vAlign w:val="bottom"/>
          </w:tcPr>
          <w:p>
            <w:pPr>
              <w:spacing w:after="0"/>
              <w:rPr>
                <w:sz w:val="22"/>
                <w:szCs w:val="22"/>
                <w:color w:val="auto"/>
              </w:rPr>
            </w:pPr>
          </w:p>
        </w:tc>
      </w:tr>
      <w:tr>
        <w:trPr>
          <w:trHeight w:val="230"/>
        </w:trPr>
        <w:tc>
          <w:tcPr>
            <w:tcW w:w="2980" w:type="dxa"/>
            <w:vAlign w:val="bottom"/>
          </w:tcPr>
          <w:p>
            <w:pPr>
              <w:spacing w:after="0"/>
              <w:rPr>
                <w:sz w:val="20"/>
                <w:szCs w:val="20"/>
                <w:color w:val="auto"/>
              </w:rPr>
            </w:pPr>
            <w:r>
              <w:rPr>
                <w:rFonts w:ascii="Arial" w:cs="Arial" w:eastAsia="Arial" w:hAnsi="Arial"/>
                <w:sz w:val="18"/>
                <w:szCs w:val="18"/>
                <w:color w:val="auto"/>
              </w:rPr>
              <w:t>EFT Services Holding B.V.</w:t>
            </w:r>
          </w:p>
        </w:tc>
        <w:tc>
          <w:tcPr>
            <w:tcW w:w="1820" w:type="dxa"/>
            <w:vAlign w:val="bottom"/>
          </w:tcPr>
          <w:p>
            <w:pPr>
              <w:ind w:left="300"/>
              <w:spacing w:after="0"/>
              <w:rPr>
                <w:sz w:val="20"/>
                <w:szCs w:val="20"/>
                <w:color w:val="auto"/>
              </w:rPr>
            </w:pPr>
            <w:r>
              <w:rPr>
                <w:rFonts w:ascii="Arial" w:cs="Arial" w:eastAsia="Arial" w:hAnsi="Arial"/>
                <w:sz w:val="18"/>
                <w:szCs w:val="18"/>
                <w:color w:val="auto"/>
              </w:rPr>
              <w:t>Holdings Pty Ltd</w:t>
            </w:r>
          </w:p>
        </w:tc>
        <w:tc>
          <w:tcPr>
            <w:tcW w:w="3580" w:type="dxa"/>
            <w:vAlign w:val="bottom"/>
          </w:tcPr>
          <w:p>
            <w:pPr>
              <w:ind w:left="20"/>
              <w:spacing w:after="0"/>
              <w:rPr>
                <w:sz w:val="20"/>
                <w:szCs w:val="20"/>
                <w:color w:val="auto"/>
              </w:rPr>
            </w:pPr>
            <w:r>
              <w:rPr>
                <w:rFonts w:ascii="Arial" w:cs="Arial" w:eastAsia="Arial" w:hAnsi="Arial"/>
                <w:sz w:val="18"/>
                <w:szCs w:val="18"/>
                <w:color w:val="auto"/>
              </w:rPr>
              <w:t>Intercompany Loan</w:t>
            </w:r>
          </w:p>
        </w:tc>
        <w:tc>
          <w:tcPr>
            <w:tcW w:w="2960" w:type="dxa"/>
            <w:vAlign w:val="bottom"/>
          </w:tcPr>
          <w:p>
            <w:pPr>
              <w:jc w:val="right"/>
              <w:spacing w:after="0"/>
              <w:rPr>
                <w:sz w:val="20"/>
                <w:szCs w:val="20"/>
                <w:color w:val="auto"/>
              </w:rPr>
            </w:pPr>
            <w:r>
              <w:rPr>
                <w:rFonts w:ascii="Arial" w:cs="Arial" w:eastAsia="Arial" w:hAnsi="Arial"/>
                <w:sz w:val="18"/>
                <w:szCs w:val="18"/>
                <w:color w:val="auto"/>
              </w:rPr>
              <w:t>17,103,278</w:t>
            </w:r>
          </w:p>
        </w:tc>
      </w:tr>
      <w:tr>
        <w:trPr>
          <w:trHeight w:val="256"/>
        </w:trPr>
        <w:tc>
          <w:tcPr>
            <w:tcW w:w="2980" w:type="dxa"/>
            <w:vAlign w:val="bottom"/>
          </w:tcPr>
          <w:p>
            <w:pPr>
              <w:spacing w:after="0"/>
              <w:rPr>
                <w:sz w:val="22"/>
                <w:szCs w:val="22"/>
                <w:color w:val="auto"/>
              </w:rPr>
            </w:pPr>
          </w:p>
        </w:tc>
        <w:tc>
          <w:tcPr>
            <w:tcW w:w="1820" w:type="dxa"/>
            <w:vAlign w:val="bottom"/>
          </w:tcPr>
          <w:p>
            <w:pPr>
              <w:ind w:left="300"/>
              <w:spacing w:after="0"/>
              <w:rPr>
                <w:sz w:val="20"/>
                <w:szCs w:val="20"/>
                <w:color w:val="auto"/>
              </w:rPr>
            </w:pPr>
            <w:r>
              <w:rPr>
                <w:rFonts w:ascii="Arial" w:cs="Arial" w:eastAsia="Arial" w:hAnsi="Arial"/>
                <w:sz w:val="18"/>
                <w:szCs w:val="18"/>
                <w:color w:val="auto"/>
              </w:rPr>
              <w:t>e-pay Holdings</w:t>
            </w:r>
          </w:p>
        </w:tc>
        <w:tc>
          <w:tcPr>
            <w:tcW w:w="3580" w:type="dxa"/>
            <w:vAlign w:val="bottom"/>
          </w:tcPr>
          <w:p>
            <w:pPr>
              <w:spacing w:after="0"/>
              <w:rPr>
                <w:sz w:val="22"/>
                <w:szCs w:val="22"/>
                <w:color w:val="auto"/>
              </w:rPr>
            </w:pPr>
          </w:p>
        </w:tc>
        <w:tc>
          <w:tcPr>
            <w:tcW w:w="2960" w:type="dxa"/>
            <w:vAlign w:val="bottom"/>
          </w:tcPr>
          <w:p>
            <w:pPr>
              <w:spacing w:after="0"/>
              <w:rPr>
                <w:sz w:val="22"/>
                <w:szCs w:val="22"/>
                <w:color w:val="auto"/>
              </w:rPr>
            </w:pPr>
          </w:p>
        </w:tc>
      </w:tr>
      <w:tr>
        <w:trPr>
          <w:trHeight w:val="230"/>
        </w:trPr>
        <w:tc>
          <w:tcPr>
            <w:tcW w:w="2980" w:type="dxa"/>
            <w:vAlign w:val="bottom"/>
          </w:tcPr>
          <w:p>
            <w:pPr>
              <w:spacing w:after="0"/>
              <w:rPr>
                <w:sz w:val="20"/>
                <w:szCs w:val="20"/>
                <w:color w:val="auto"/>
              </w:rPr>
            </w:pPr>
            <w:r>
              <w:rPr>
                <w:rFonts w:ascii="Arial" w:cs="Arial" w:eastAsia="Arial" w:hAnsi="Arial"/>
                <w:sz w:val="18"/>
                <w:szCs w:val="18"/>
                <w:color w:val="auto"/>
              </w:rPr>
              <w:t>EFT Services Holding B.V.</w:t>
            </w:r>
          </w:p>
        </w:tc>
        <w:tc>
          <w:tcPr>
            <w:tcW w:w="1820" w:type="dxa"/>
            <w:vAlign w:val="bottom"/>
          </w:tcPr>
          <w:p>
            <w:pPr>
              <w:ind w:left="300"/>
              <w:spacing w:after="0"/>
              <w:rPr>
                <w:sz w:val="20"/>
                <w:szCs w:val="20"/>
                <w:color w:val="auto"/>
              </w:rPr>
            </w:pPr>
            <w:r>
              <w:rPr>
                <w:rFonts w:ascii="Arial" w:cs="Arial" w:eastAsia="Arial" w:hAnsi="Arial"/>
                <w:sz w:val="18"/>
                <w:szCs w:val="18"/>
                <w:color w:val="auto"/>
              </w:rPr>
              <w:t>Limited</w:t>
            </w:r>
          </w:p>
        </w:tc>
        <w:tc>
          <w:tcPr>
            <w:tcW w:w="3580" w:type="dxa"/>
            <w:vAlign w:val="bottom"/>
          </w:tcPr>
          <w:p>
            <w:pPr>
              <w:ind w:left="20"/>
              <w:spacing w:after="0"/>
              <w:rPr>
                <w:sz w:val="20"/>
                <w:szCs w:val="20"/>
                <w:color w:val="auto"/>
              </w:rPr>
            </w:pPr>
            <w:r>
              <w:rPr>
                <w:rFonts w:ascii="Arial" w:cs="Arial" w:eastAsia="Arial" w:hAnsi="Arial"/>
                <w:sz w:val="18"/>
                <w:szCs w:val="18"/>
                <w:color w:val="auto"/>
              </w:rPr>
              <w:t>Intercompany Loan</w:t>
            </w:r>
          </w:p>
        </w:tc>
        <w:tc>
          <w:tcPr>
            <w:tcW w:w="2960" w:type="dxa"/>
            <w:vAlign w:val="bottom"/>
          </w:tcPr>
          <w:p>
            <w:pPr>
              <w:jc w:val="right"/>
              <w:spacing w:after="0"/>
              <w:rPr>
                <w:sz w:val="20"/>
                <w:szCs w:val="20"/>
                <w:color w:val="auto"/>
              </w:rPr>
            </w:pPr>
            <w:r>
              <w:rPr>
                <w:rFonts w:ascii="Arial" w:cs="Arial" w:eastAsia="Arial" w:hAnsi="Arial"/>
                <w:sz w:val="18"/>
                <w:szCs w:val="18"/>
                <w:color w:val="auto"/>
              </w:rPr>
              <w:t>10,861,597</w:t>
            </w:r>
          </w:p>
        </w:tc>
      </w:tr>
      <w:tr>
        <w:trPr>
          <w:trHeight w:val="256"/>
        </w:trPr>
        <w:tc>
          <w:tcPr>
            <w:tcW w:w="2980" w:type="dxa"/>
            <w:vAlign w:val="bottom"/>
          </w:tcPr>
          <w:p>
            <w:pPr>
              <w:spacing w:after="0"/>
              <w:rPr>
                <w:sz w:val="22"/>
                <w:szCs w:val="22"/>
                <w:color w:val="auto"/>
              </w:rPr>
            </w:pPr>
          </w:p>
        </w:tc>
        <w:tc>
          <w:tcPr>
            <w:tcW w:w="1820" w:type="dxa"/>
            <w:vAlign w:val="bottom"/>
          </w:tcPr>
          <w:p>
            <w:pPr>
              <w:ind w:left="300"/>
              <w:spacing w:after="0"/>
              <w:rPr>
                <w:sz w:val="20"/>
                <w:szCs w:val="20"/>
                <w:color w:val="auto"/>
              </w:rPr>
            </w:pPr>
            <w:r>
              <w:rPr>
                <w:rFonts w:ascii="Arial" w:cs="Arial" w:eastAsia="Arial" w:hAnsi="Arial"/>
                <w:sz w:val="18"/>
                <w:szCs w:val="18"/>
                <w:color w:val="auto"/>
                <w:w w:val="99"/>
              </w:rPr>
              <w:t>epay New Zealand</w:t>
            </w:r>
          </w:p>
        </w:tc>
        <w:tc>
          <w:tcPr>
            <w:tcW w:w="3580" w:type="dxa"/>
            <w:vAlign w:val="bottom"/>
          </w:tcPr>
          <w:p>
            <w:pPr>
              <w:spacing w:after="0"/>
              <w:rPr>
                <w:sz w:val="22"/>
                <w:szCs w:val="22"/>
                <w:color w:val="auto"/>
              </w:rPr>
            </w:pPr>
          </w:p>
        </w:tc>
        <w:tc>
          <w:tcPr>
            <w:tcW w:w="2960" w:type="dxa"/>
            <w:vAlign w:val="bottom"/>
          </w:tcPr>
          <w:p>
            <w:pPr>
              <w:spacing w:after="0"/>
              <w:rPr>
                <w:sz w:val="22"/>
                <w:szCs w:val="22"/>
                <w:color w:val="auto"/>
              </w:rPr>
            </w:pPr>
          </w:p>
        </w:tc>
      </w:tr>
      <w:tr>
        <w:trPr>
          <w:trHeight w:val="230"/>
        </w:trPr>
        <w:tc>
          <w:tcPr>
            <w:tcW w:w="2980" w:type="dxa"/>
            <w:vAlign w:val="bottom"/>
          </w:tcPr>
          <w:p>
            <w:pPr>
              <w:spacing w:after="0"/>
              <w:rPr>
                <w:sz w:val="20"/>
                <w:szCs w:val="20"/>
                <w:color w:val="auto"/>
              </w:rPr>
            </w:pPr>
            <w:r>
              <w:rPr>
                <w:rFonts w:ascii="Arial" w:cs="Arial" w:eastAsia="Arial" w:hAnsi="Arial"/>
                <w:sz w:val="18"/>
                <w:szCs w:val="18"/>
                <w:color w:val="auto"/>
              </w:rPr>
              <w:t>EFT Services Holding B.V.</w:t>
            </w:r>
          </w:p>
        </w:tc>
        <w:tc>
          <w:tcPr>
            <w:tcW w:w="1820" w:type="dxa"/>
            <w:vAlign w:val="bottom"/>
          </w:tcPr>
          <w:p>
            <w:pPr>
              <w:ind w:left="300"/>
              <w:spacing w:after="0"/>
              <w:rPr>
                <w:sz w:val="20"/>
                <w:szCs w:val="20"/>
                <w:color w:val="auto"/>
              </w:rPr>
            </w:pPr>
            <w:r>
              <w:rPr>
                <w:rFonts w:ascii="Arial" w:cs="Arial" w:eastAsia="Arial" w:hAnsi="Arial"/>
                <w:sz w:val="18"/>
                <w:szCs w:val="18"/>
                <w:color w:val="auto"/>
              </w:rPr>
              <w:t>Limited</w:t>
            </w:r>
          </w:p>
        </w:tc>
        <w:tc>
          <w:tcPr>
            <w:tcW w:w="3580" w:type="dxa"/>
            <w:vAlign w:val="bottom"/>
          </w:tcPr>
          <w:p>
            <w:pPr>
              <w:ind w:left="20"/>
              <w:spacing w:after="0"/>
              <w:rPr>
                <w:sz w:val="20"/>
                <w:szCs w:val="20"/>
                <w:color w:val="auto"/>
              </w:rPr>
            </w:pPr>
            <w:r>
              <w:rPr>
                <w:rFonts w:ascii="Arial" w:cs="Arial" w:eastAsia="Arial" w:hAnsi="Arial"/>
                <w:sz w:val="18"/>
                <w:szCs w:val="18"/>
                <w:color w:val="auto"/>
              </w:rPr>
              <w:t>Intercompany Loan</w:t>
            </w:r>
          </w:p>
        </w:tc>
        <w:tc>
          <w:tcPr>
            <w:tcW w:w="2960" w:type="dxa"/>
            <w:vAlign w:val="bottom"/>
          </w:tcPr>
          <w:p>
            <w:pPr>
              <w:jc w:val="right"/>
              <w:spacing w:after="0"/>
              <w:rPr>
                <w:sz w:val="20"/>
                <w:szCs w:val="20"/>
                <w:color w:val="auto"/>
              </w:rPr>
            </w:pPr>
            <w:r>
              <w:rPr>
                <w:rFonts w:ascii="Arial" w:cs="Arial" w:eastAsia="Arial" w:hAnsi="Arial"/>
                <w:sz w:val="18"/>
                <w:szCs w:val="18"/>
                <w:color w:val="auto"/>
              </w:rPr>
              <w:t>19,301,372</w:t>
            </w:r>
          </w:p>
        </w:tc>
      </w:tr>
      <w:tr>
        <w:trPr>
          <w:trHeight w:val="256"/>
        </w:trPr>
        <w:tc>
          <w:tcPr>
            <w:tcW w:w="2980" w:type="dxa"/>
            <w:vAlign w:val="bottom"/>
          </w:tcPr>
          <w:p>
            <w:pPr>
              <w:spacing w:after="0"/>
              <w:rPr>
                <w:sz w:val="22"/>
                <w:szCs w:val="22"/>
                <w:color w:val="auto"/>
              </w:rPr>
            </w:pPr>
          </w:p>
        </w:tc>
        <w:tc>
          <w:tcPr>
            <w:tcW w:w="1820" w:type="dxa"/>
            <w:vAlign w:val="bottom"/>
          </w:tcPr>
          <w:p>
            <w:pPr>
              <w:ind w:left="300"/>
              <w:spacing w:after="0"/>
              <w:rPr>
                <w:sz w:val="20"/>
                <w:szCs w:val="20"/>
                <w:color w:val="auto"/>
              </w:rPr>
            </w:pPr>
            <w:r>
              <w:rPr>
                <w:rFonts w:ascii="Arial" w:cs="Arial" w:eastAsia="Arial" w:hAnsi="Arial"/>
                <w:sz w:val="18"/>
                <w:szCs w:val="18"/>
                <w:color w:val="auto"/>
              </w:rPr>
              <w:t>Euronet 360</w:t>
            </w:r>
          </w:p>
        </w:tc>
        <w:tc>
          <w:tcPr>
            <w:tcW w:w="3580" w:type="dxa"/>
            <w:vAlign w:val="bottom"/>
          </w:tcPr>
          <w:p>
            <w:pPr>
              <w:spacing w:after="0"/>
              <w:rPr>
                <w:sz w:val="22"/>
                <w:szCs w:val="22"/>
                <w:color w:val="auto"/>
              </w:rPr>
            </w:pPr>
          </w:p>
        </w:tc>
        <w:tc>
          <w:tcPr>
            <w:tcW w:w="2960" w:type="dxa"/>
            <w:vAlign w:val="bottom"/>
          </w:tcPr>
          <w:p>
            <w:pPr>
              <w:spacing w:after="0"/>
              <w:rPr>
                <w:sz w:val="22"/>
                <w:szCs w:val="22"/>
                <w:color w:val="auto"/>
              </w:rPr>
            </w:pPr>
          </w:p>
        </w:tc>
      </w:tr>
      <w:tr>
        <w:trPr>
          <w:trHeight w:val="230"/>
        </w:trPr>
        <w:tc>
          <w:tcPr>
            <w:tcW w:w="2980" w:type="dxa"/>
            <w:vAlign w:val="bottom"/>
          </w:tcPr>
          <w:p>
            <w:pPr>
              <w:spacing w:after="0"/>
              <w:rPr>
                <w:sz w:val="20"/>
                <w:szCs w:val="20"/>
                <w:color w:val="auto"/>
              </w:rPr>
            </w:pPr>
            <w:r>
              <w:rPr>
                <w:rFonts w:ascii="Arial" w:cs="Arial" w:eastAsia="Arial" w:hAnsi="Arial"/>
                <w:sz w:val="18"/>
                <w:szCs w:val="18"/>
                <w:color w:val="auto"/>
              </w:rPr>
              <w:t>EFT Services Holding B.V.</w:t>
            </w:r>
          </w:p>
        </w:tc>
        <w:tc>
          <w:tcPr>
            <w:tcW w:w="1820" w:type="dxa"/>
            <w:vAlign w:val="bottom"/>
          </w:tcPr>
          <w:p>
            <w:pPr>
              <w:ind w:left="300"/>
              <w:spacing w:after="0"/>
              <w:rPr>
                <w:sz w:val="20"/>
                <w:szCs w:val="20"/>
                <w:color w:val="auto"/>
              </w:rPr>
            </w:pPr>
            <w:r>
              <w:rPr>
                <w:rFonts w:ascii="Arial" w:cs="Arial" w:eastAsia="Arial" w:hAnsi="Arial"/>
                <w:sz w:val="18"/>
                <w:szCs w:val="18"/>
                <w:color w:val="auto"/>
              </w:rPr>
              <w:t>Finance Limited</w:t>
            </w:r>
          </w:p>
        </w:tc>
        <w:tc>
          <w:tcPr>
            <w:tcW w:w="3580" w:type="dxa"/>
            <w:vAlign w:val="bottom"/>
          </w:tcPr>
          <w:p>
            <w:pPr>
              <w:ind w:left="20"/>
              <w:spacing w:after="0"/>
              <w:rPr>
                <w:sz w:val="20"/>
                <w:szCs w:val="20"/>
                <w:color w:val="auto"/>
              </w:rPr>
            </w:pPr>
            <w:r>
              <w:rPr>
                <w:rFonts w:ascii="Arial" w:cs="Arial" w:eastAsia="Arial" w:hAnsi="Arial"/>
                <w:sz w:val="18"/>
                <w:szCs w:val="18"/>
                <w:color w:val="auto"/>
              </w:rPr>
              <w:t>Intercompany Loan</w:t>
            </w:r>
          </w:p>
        </w:tc>
        <w:tc>
          <w:tcPr>
            <w:tcW w:w="2960" w:type="dxa"/>
            <w:vAlign w:val="bottom"/>
          </w:tcPr>
          <w:p>
            <w:pPr>
              <w:jc w:val="right"/>
              <w:spacing w:after="0"/>
              <w:rPr>
                <w:sz w:val="20"/>
                <w:szCs w:val="20"/>
                <w:color w:val="auto"/>
              </w:rPr>
            </w:pPr>
            <w:r>
              <w:rPr>
                <w:rFonts w:ascii="Arial" w:cs="Arial" w:eastAsia="Arial" w:hAnsi="Arial"/>
                <w:sz w:val="18"/>
                <w:szCs w:val="18"/>
                <w:color w:val="auto"/>
              </w:rPr>
              <w:t>7,850,075</w:t>
            </w:r>
          </w:p>
        </w:tc>
      </w:tr>
      <w:tr>
        <w:trPr>
          <w:trHeight w:val="256"/>
        </w:trPr>
        <w:tc>
          <w:tcPr>
            <w:tcW w:w="2980" w:type="dxa"/>
            <w:vAlign w:val="bottom"/>
          </w:tcPr>
          <w:p>
            <w:pPr>
              <w:spacing w:after="0"/>
              <w:rPr>
                <w:sz w:val="22"/>
                <w:szCs w:val="22"/>
                <w:color w:val="auto"/>
              </w:rPr>
            </w:pPr>
          </w:p>
        </w:tc>
        <w:tc>
          <w:tcPr>
            <w:tcW w:w="1820" w:type="dxa"/>
            <w:vAlign w:val="bottom"/>
          </w:tcPr>
          <w:p>
            <w:pPr>
              <w:ind w:left="300"/>
              <w:spacing w:after="0"/>
              <w:rPr>
                <w:sz w:val="20"/>
                <w:szCs w:val="20"/>
                <w:color w:val="auto"/>
              </w:rPr>
            </w:pPr>
            <w:r>
              <w:rPr>
                <w:rFonts w:ascii="Arial" w:cs="Arial" w:eastAsia="Arial" w:hAnsi="Arial"/>
                <w:sz w:val="18"/>
                <w:szCs w:val="18"/>
                <w:color w:val="auto"/>
              </w:rPr>
              <w:t>Euronet Asia</w:t>
            </w:r>
          </w:p>
        </w:tc>
        <w:tc>
          <w:tcPr>
            <w:tcW w:w="3580" w:type="dxa"/>
            <w:vAlign w:val="bottom"/>
          </w:tcPr>
          <w:p>
            <w:pPr>
              <w:spacing w:after="0"/>
              <w:rPr>
                <w:sz w:val="22"/>
                <w:szCs w:val="22"/>
                <w:color w:val="auto"/>
              </w:rPr>
            </w:pPr>
          </w:p>
        </w:tc>
        <w:tc>
          <w:tcPr>
            <w:tcW w:w="2960" w:type="dxa"/>
            <w:vAlign w:val="bottom"/>
          </w:tcPr>
          <w:p>
            <w:pPr>
              <w:spacing w:after="0"/>
              <w:rPr>
                <w:sz w:val="22"/>
                <w:szCs w:val="22"/>
                <w:color w:val="auto"/>
              </w:rPr>
            </w:pPr>
          </w:p>
        </w:tc>
      </w:tr>
      <w:tr>
        <w:trPr>
          <w:trHeight w:val="230"/>
        </w:trPr>
        <w:tc>
          <w:tcPr>
            <w:tcW w:w="2980" w:type="dxa"/>
            <w:vAlign w:val="bottom"/>
          </w:tcPr>
          <w:p>
            <w:pPr>
              <w:spacing w:after="0"/>
              <w:rPr>
                <w:sz w:val="20"/>
                <w:szCs w:val="20"/>
                <w:color w:val="auto"/>
              </w:rPr>
            </w:pPr>
            <w:r>
              <w:rPr>
                <w:rFonts w:ascii="Arial" w:cs="Arial" w:eastAsia="Arial" w:hAnsi="Arial"/>
                <w:sz w:val="18"/>
                <w:szCs w:val="18"/>
                <w:color w:val="auto"/>
              </w:rPr>
              <w:t>EFT Services Holding B.V.</w:t>
            </w:r>
          </w:p>
        </w:tc>
        <w:tc>
          <w:tcPr>
            <w:tcW w:w="1820" w:type="dxa"/>
            <w:vAlign w:val="bottom"/>
          </w:tcPr>
          <w:p>
            <w:pPr>
              <w:ind w:left="300"/>
              <w:spacing w:after="0"/>
              <w:rPr>
                <w:sz w:val="20"/>
                <w:szCs w:val="20"/>
                <w:color w:val="auto"/>
              </w:rPr>
            </w:pPr>
            <w:r>
              <w:rPr>
                <w:rFonts w:ascii="Arial" w:cs="Arial" w:eastAsia="Arial" w:hAnsi="Arial"/>
                <w:sz w:val="18"/>
                <w:szCs w:val="18"/>
                <w:color w:val="auto"/>
              </w:rPr>
              <w:t>Holdings Limited</w:t>
            </w:r>
          </w:p>
        </w:tc>
        <w:tc>
          <w:tcPr>
            <w:tcW w:w="3580" w:type="dxa"/>
            <w:vAlign w:val="bottom"/>
          </w:tcPr>
          <w:p>
            <w:pPr>
              <w:ind w:left="20"/>
              <w:spacing w:after="0"/>
              <w:rPr>
                <w:sz w:val="20"/>
                <w:szCs w:val="20"/>
                <w:color w:val="auto"/>
              </w:rPr>
            </w:pPr>
            <w:r>
              <w:rPr>
                <w:rFonts w:ascii="Arial" w:cs="Arial" w:eastAsia="Arial" w:hAnsi="Arial"/>
                <w:sz w:val="18"/>
                <w:szCs w:val="18"/>
                <w:color w:val="auto"/>
              </w:rPr>
              <w:t>Intercompany Loan</w:t>
            </w:r>
          </w:p>
        </w:tc>
        <w:tc>
          <w:tcPr>
            <w:tcW w:w="2960" w:type="dxa"/>
            <w:vAlign w:val="bottom"/>
          </w:tcPr>
          <w:p>
            <w:pPr>
              <w:jc w:val="right"/>
              <w:spacing w:after="0"/>
              <w:rPr>
                <w:sz w:val="20"/>
                <w:szCs w:val="20"/>
                <w:color w:val="auto"/>
              </w:rPr>
            </w:pPr>
            <w:r>
              <w:rPr>
                <w:rFonts w:ascii="Arial" w:cs="Arial" w:eastAsia="Arial" w:hAnsi="Arial"/>
                <w:sz w:val="18"/>
                <w:szCs w:val="18"/>
                <w:color w:val="auto"/>
              </w:rPr>
              <w:t>1,807,100</w:t>
            </w:r>
          </w:p>
        </w:tc>
      </w:tr>
      <w:tr>
        <w:trPr>
          <w:trHeight w:val="256"/>
        </w:trPr>
        <w:tc>
          <w:tcPr>
            <w:tcW w:w="2980" w:type="dxa"/>
            <w:vAlign w:val="bottom"/>
          </w:tcPr>
          <w:p>
            <w:pPr>
              <w:spacing w:after="0"/>
              <w:rPr>
                <w:sz w:val="22"/>
                <w:szCs w:val="22"/>
                <w:color w:val="auto"/>
              </w:rPr>
            </w:pPr>
          </w:p>
        </w:tc>
        <w:tc>
          <w:tcPr>
            <w:tcW w:w="1820" w:type="dxa"/>
            <w:vAlign w:val="bottom"/>
          </w:tcPr>
          <w:p>
            <w:pPr>
              <w:ind w:left="300"/>
              <w:spacing w:after="0"/>
              <w:rPr>
                <w:sz w:val="20"/>
                <w:szCs w:val="20"/>
                <w:color w:val="auto"/>
              </w:rPr>
            </w:pPr>
            <w:r>
              <w:rPr>
                <w:rFonts w:ascii="Arial" w:cs="Arial" w:eastAsia="Arial" w:hAnsi="Arial"/>
                <w:sz w:val="18"/>
                <w:szCs w:val="18"/>
                <w:color w:val="auto"/>
              </w:rPr>
              <w:t>Euronet</w:t>
            </w:r>
          </w:p>
        </w:tc>
        <w:tc>
          <w:tcPr>
            <w:tcW w:w="3580" w:type="dxa"/>
            <w:vAlign w:val="bottom"/>
          </w:tcPr>
          <w:p>
            <w:pPr>
              <w:spacing w:after="0"/>
              <w:rPr>
                <w:sz w:val="22"/>
                <w:szCs w:val="22"/>
                <w:color w:val="auto"/>
              </w:rPr>
            </w:pPr>
          </w:p>
        </w:tc>
        <w:tc>
          <w:tcPr>
            <w:tcW w:w="2960" w:type="dxa"/>
            <w:vAlign w:val="bottom"/>
          </w:tcPr>
          <w:p>
            <w:pPr>
              <w:spacing w:after="0"/>
              <w:rPr>
                <w:sz w:val="22"/>
                <w:szCs w:val="22"/>
                <w:color w:val="auto"/>
              </w:rPr>
            </w:pPr>
          </w:p>
        </w:tc>
      </w:tr>
      <w:tr>
        <w:trPr>
          <w:trHeight w:val="216"/>
        </w:trPr>
        <w:tc>
          <w:tcPr>
            <w:tcW w:w="2980" w:type="dxa"/>
            <w:vAlign w:val="bottom"/>
          </w:tcPr>
          <w:p>
            <w:pPr>
              <w:spacing w:after="0"/>
              <w:rPr>
                <w:sz w:val="18"/>
                <w:szCs w:val="18"/>
                <w:color w:val="auto"/>
              </w:rPr>
            </w:pPr>
          </w:p>
        </w:tc>
        <w:tc>
          <w:tcPr>
            <w:tcW w:w="1820" w:type="dxa"/>
            <w:vAlign w:val="bottom"/>
          </w:tcPr>
          <w:p>
            <w:pPr>
              <w:ind w:left="300"/>
              <w:spacing w:after="0"/>
              <w:rPr>
                <w:sz w:val="20"/>
                <w:szCs w:val="20"/>
                <w:color w:val="auto"/>
              </w:rPr>
            </w:pPr>
            <w:r>
              <w:rPr>
                <w:rFonts w:ascii="Arial" w:cs="Arial" w:eastAsia="Arial" w:hAnsi="Arial"/>
                <w:sz w:val="18"/>
                <w:szCs w:val="18"/>
                <w:color w:val="auto"/>
              </w:rPr>
              <w:t>Banktechnikai</w:t>
            </w:r>
          </w:p>
        </w:tc>
        <w:tc>
          <w:tcPr>
            <w:tcW w:w="3580" w:type="dxa"/>
            <w:vAlign w:val="bottom"/>
          </w:tcPr>
          <w:p>
            <w:pPr>
              <w:spacing w:after="0"/>
              <w:rPr>
                <w:sz w:val="18"/>
                <w:szCs w:val="18"/>
                <w:color w:val="auto"/>
              </w:rPr>
            </w:pPr>
          </w:p>
        </w:tc>
        <w:tc>
          <w:tcPr>
            <w:tcW w:w="2960" w:type="dxa"/>
            <w:vAlign w:val="bottom"/>
          </w:tcPr>
          <w:p>
            <w:pPr>
              <w:spacing w:after="0"/>
              <w:rPr>
                <w:sz w:val="18"/>
                <w:szCs w:val="18"/>
                <w:color w:val="auto"/>
              </w:rPr>
            </w:pPr>
          </w:p>
        </w:tc>
      </w:tr>
      <w:tr>
        <w:trPr>
          <w:trHeight w:val="230"/>
        </w:trPr>
        <w:tc>
          <w:tcPr>
            <w:tcW w:w="2980" w:type="dxa"/>
            <w:vAlign w:val="bottom"/>
          </w:tcPr>
          <w:p>
            <w:pPr>
              <w:spacing w:after="0"/>
              <w:rPr>
                <w:sz w:val="20"/>
                <w:szCs w:val="20"/>
                <w:color w:val="auto"/>
              </w:rPr>
            </w:pPr>
            <w:r>
              <w:rPr>
                <w:rFonts w:ascii="Arial" w:cs="Arial" w:eastAsia="Arial" w:hAnsi="Arial"/>
                <w:sz w:val="18"/>
                <w:szCs w:val="18"/>
                <w:color w:val="auto"/>
              </w:rPr>
              <w:t>EFT Services Holding B.V.</w:t>
            </w:r>
          </w:p>
        </w:tc>
        <w:tc>
          <w:tcPr>
            <w:tcW w:w="1820" w:type="dxa"/>
            <w:vAlign w:val="bottom"/>
          </w:tcPr>
          <w:p>
            <w:pPr>
              <w:ind w:left="300"/>
              <w:spacing w:after="0"/>
              <w:rPr>
                <w:sz w:val="20"/>
                <w:szCs w:val="20"/>
                <w:color w:val="auto"/>
              </w:rPr>
            </w:pPr>
            <w:r>
              <w:rPr>
                <w:rFonts w:ascii="Arial" w:cs="Arial" w:eastAsia="Arial" w:hAnsi="Arial"/>
                <w:sz w:val="18"/>
                <w:szCs w:val="18"/>
                <w:color w:val="auto"/>
              </w:rPr>
              <w:t>Szolgaltato Kft.</w:t>
            </w:r>
          </w:p>
        </w:tc>
        <w:tc>
          <w:tcPr>
            <w:tcW w:w="3580" w:type="dxa"/>
            <w:vAlign w:val="bottom"/>
          </w:tcPr>
          <w:p>
            <w:pPr>
              <w:ind w:left="20"/>
              <w:spacing w:after="0"/>
              <w:rPr>
                <w:sz w:val="20"/>
                <w:szCs w:val="20"/>
                <w:color w:val="auto"/>
              </w:rPr>
            </w:pPr>
            <w:r>
              <w:rPr>
                <w:rFonts w:ascii="Arial" w:cs="Arial" w:eastAsia="Arial" w:hAnsi="Arial"/>
                <w:sz w:val="18"/>
                <w:szCs w:val="18"/>
                <w:color w:val="auto"/>
              </w:rPr>
              <w:t>Intercompany Loan</w:t>
            </w:r>
          </w:p>
        </w:tc>
        <w:tc>
          <w:tcPr>
            <w:tcW w:w="2960" w:type="dxa"/>
            <w:vAlign w:val="bottom"/>
          </w:tcPr>
          <w:p>
            <w:pPr>
              <w:jc w:val="right"/>
              <w:spacing w:after="0"/>
              <w:rPr>
                <w:sz w:val="20"/>
                <w:szCs w:val="20"/>
                <w:color w:val="auto"/>
              </w:rPr>
            </w:pPr>
            <w:r>
              <w:rPr>
                <w:rFonts w:ascii="Arial" w:cs="Arial" w:eastAsia="Arial" w:hAnsi="Arial"/>
                <w:sz w:val="18"/>
                <w:szCs w:val="18"/>
                <w:color w:val="auto"/>
              </w:rPr>
              <w:t>2,551,380</w:t>
            </w:r>
          </w:p>
        </w:tc>
      </w:tr>
      <w:tr>
        <w:trPr>
          <w:trHeight w:val="256"/>
        </w:trPr>
        <w:tc>
          <w:tcPr>
            <w:tcW w:w="2980" w:type="dxa"/>
            <w:vAlign w:val="bottom"/>
          </w:tcPr>
          <w:p>
            <w:pPr>
              <w:spacing w:after="0"/>
              <w:rPr>
                <w:sz w:val="22"/>
                <w:szCs w:val="22"/>
                <w:color w:val="auto"/>
              </w:rPr>
            </w:pPr>
          </w:p>
        </w:tc>
        <w:tc>
          <w:tcPr>
            <w:tcW w:w="1820" w:type="dxa"/>
            <w:vAlign w:val="bottom"/>
          </w:tcPr>
          <w:p>
            <w:pPr>
              <w:ind w:left="300"/>
              <w:spacing w:after="0"/>
              <w:rPr>
                <w:sz w:val="20"/>
                <w:szCs w:val="20"/>
                <w:color w:val="auto"/>
              </w:rPr>
            </w:pPr>
            <w:r>
              <w:rPr>
                <w:rFonts w:ascii="Arial" w:cs="Arial" w:eastAsia="Arial" w:hAnsi="Arial"/>
                <w:sz w:val="18"/>
                <w:szCs w:val="18"/>
                <w:color w:val="auto"/>
              </w:rPr>
              <w:t>Euronet Business</w:t>
            </w:r>
          </w:p>
        </w:tc>
        <w:tc>
          <w:tcPr>
            <w:tcW w:w="3580" w:type="dxa"/>
            <w:vAlign w:val="bottom"/>
          </w:tcPr>
          <w:p>
            <w:pPr>
              <w:spacing w:after="0"/>
              <w:rPr>
                <w:sz w:val="22"/>
                <w:szCs w:val="22"/>
                <w:color w:val="auto"/>
              </w:rPr>
            </w:pPr>
          </w:p>
        </w:tc>
        <w:tc>
          <w:tcPr>
            <w:tcW w:w="2960" w:type="dxa"/>
            <w:vAlign w:val="bottom"/>
          </w:tcPr>
          <w:p>
            <w:pPr>
              <w:spacing w:after="0"/>
              <w:rPr>
                <w:sz w:val="22"/>
                <w:szCs w:val="22"/>
                <w:color w:val="auto"/>
              </w:rPr>
            </w:pPr>
          </w:p>
        </w:tc>
      </w:tr>
      <w:tr>
        <w:trPr>
          <w:trHeight w:val="230"/>
        </w:trPr>
        <w:tc>
          <w:tcPr>
            <w:tcW w:w="2980" w:type="dxa"/>
            <w:vAlign w:val="bottom"/>
          </w:tcPr>
          <w:p>
            <w:pPr>
              <w:spacing w:after="0"/>
              <w:rPr>
                <w:sz w:val="20"/>
                <w:szCs w:val="20"/>
                <w:color w:val="auto"/>
              </w:rPr>
            </w:pPr>
            <w:r>
              <w:rPr>
                <w:rFonts w:ascii="Arial" w:cs="Arial" w:eastAsia="Arial" w:hAnsi="Arial"/>
                <w:sz w:val="18"/>
                <w:szCs w:val="18"/>
                <w:color w:val="auto"/>
              </w:rPr>
              <w:t>EFT Services Holding B.V.</w:t>
            </w:r>
          </w:p>
        </w:tc>
        <w:tc>
          <w:tcPr>
            <w:tcW w:w="1820" w:type="dxa"/>
            <w:vAlign w:val="bottom"/>
          </w:tcPr>
          <w:p>
            <w:pPr>
              <w:ind w:left="300"/>
              <w:spacing w:after="0"/>
              <w:rPr>
                <w:sz w:val="20"/>
                <w:szCs w:val="20"/>
                <w:color w:val="auto"/>
              </w:rPr>
            </w:pPr>
            <w:r>
              <w:rPr>
                <w:rFonts w:ascii="Arial" w:cs="Arial" w:eastAsia="Arial" w:hAnsi="Arial"/>
                <w:sz w:val="18"/>
                <w:szCs w:val="18"/>
                <w:color w:val="auto"/>
              </w:rPr>
              <w:t>Holdings, S.L.U.</w:t>
            </w:r>
          </w:p>
        </w:tc>
        <w:tc>
          <w:tcPr>
            <w:tcW w:w="3580" w:type="dxa"/>
            <w:vAlign w:val="bottom"/>
          </w:tcPr>
          <w:p>
            <w:pPr>
              <w:ind w:left="20"/>
              <w:spacing w:after="0"/>
              <w:rPr>
                <w:sz w:val="20"/>
                <w:szCs w:val="20"/>
                <w:color w:val="auto"/>
              </w:rPr>
            </w:pPr>
            <w:r>
              <w:rPr>
                <w:rFonts w:ascii="Arial" w:cs="Arial" w:eastAsia="Arial" w:hAnsi="Arial"/>
                <w:sz w:val="18"/>
                <w:szCs w:val="18"/>
                <w:color w:val="auto"/>
              </w:rPr>
              <w:t>Intercompany Loan</w:t>
            </w:r>
          </w:p>
        </w:tc>
        <w:tc>
          <w:tcPr>
            <w:tcW w:w="2960" w:type="dxa"/>
            <w:vAlign w:val="bottom"/>
          </w:tcPr>
          <w:p>
            <w:pPr>
              <w:jc w:val="right"/>
              <w:spacing w:after="0"/>
              <w:rPr>
                <w:sz w:val="20"/>
                <w:szCs w:val="20"/>
                <w:color w:val="auto"/>
              </w:rPr>
            </w:pPr>
            <w:r>
              <w:rPr>
                <w:rFonts w:ascii="Arial" w:cs="Arial" w:eastAsia="Arial" w:hAnsi="Arial"/>
                <w:sz w:val="18"/>
                <w:szCs w:val="18"/>
                <w:color w:val="auto"/>
              </w:rPr>
              <w:t>97,951,914</w:t>
            </w:r>
          </w:p>
        </w:tc>
      </w:tr>
      <w:tr>
        <w:trPr>
          <w:trHeight w:val="256"/>
        </w:trPr>
        <w:tc>
          <w:tcPr>
            <w:tcW w:w="2980" w:type="dxa"/>
            <w:vAlign w:val="bottom"/>
          </w:tcPr>
          <w:p>
            <w:pPr>
              <w:spacing w:after="0"/>
              <w:rPr>
                <w:sz w:val="22"/>
                <w:szCs w:val="22"/>
                <w:color w:val="auto"/>
              </w:rPr>
            </w:pPr>
          </w:p>
        </w:tc>
        <w:tc>
          <w:tcPr>
            <w:tcW w:w="1820" w:type="dxa"/>
            <w:vAlign w:val="bottom"/>
          </w:tcPr>
          <w:p>
            <w:pPr>
              <w:ind w:left="300"/>
              <w:spacing w:after="0"/>
              <w:rPr>
                <w:sz w:val="20"/>
                <w:szCs w:val="20"/>
                <w:color w:val="auto"/>
              </w:rPr>
            </w:pPr>
            <w:r>
              <w:rPr>
                <w:rFonts w:ascii="Arial" w:cs="Arial" w:eastAsia="Arial" w:hAnsi="Arial"/>
                <w:sz w:val="18"/>
                <w:szCs w:val="18"/>
                <w:color w:val="auto"/>
              </w:rPr>
              <w:t>Euronet Pay &amp;</w:t>
            </w:r>
          </w:p>
        </w:tc>
        <w:tc>
          <w:tcPr>
            <w:tcW w:w="3580" w:type="dxa"/>
            <w:vAlign w:val="bottom"/>
          </w:tcPr>
          <w:p>
            <w:pPr>
              <w:spacing w:after="0"/>
              <w:rPr>
                <w:sz w:val="22"/>
                <w:szCs w:val="22"/>
                <w:color w:val="auto"/>
              </w:rPr>
            </w:pPr>
          </w:p>
        </w:tc>
        <w:tc>
          <w:tcPr>
            <w:tcW w:w="2960" w:type="dxa"/>
            <w:vAlign w:val="bottom"/>
          </w:tcPr>
          <w:p>
            <w:pPr>
              <w:spacing w:after="0"/>
              <w:rPr>
                <w:sz w:val="22"/>
                <w:szCs w:val="22"/>
                <w:color w:val="auto"/>
              </w:rPr>
            </w:pPr>
          </w:p>
        </w:tc>
      </w:tr>
      <w:tr>
        <w:trPr>
          <w:trHeight w:val="216"/>
        </w:trPr>
        <w:tc>
          <w:tcPr>
            <w:tcW w:w="2980" w:type="dxa"/>
            <w:vAlign w:val="bottom"/>
          </w:tcPr>
          <w:p>
            <w:pPr>
              <w:spacing w:after="0"/>
              <w:rPr>
                <w:sz w:val="18"/>
                <w:szCs w:val="18"/>
                <w:color w:val="auto"/>
              </w:rPr>
            </w:pPr>
          </w:p>
        </w:tc>
        <w:tc>
          <w:tcPr>
            <w:tcW w:w="1820" w:type="dxa"/>
            <w:vAlign w:val="bottom"/>
          </w:tcPr>
          <w:p>
            <w:pPr>
              <w:ind w:left="300"/>
              <w:spacing w:after="0"/>
              <w:rPr>
                <w:sz w:val="20"/>
                <w:szCs w:val="20"/>
                <w:color w:val="auto"/>
              </w:rPr>
            </w:pPr>
            <w:r>
              <w:rPr>
                <w:rFonts w:ascii="Arial" w:cs="Arial" w:eastAsia="Arial" w:hAnsi="Arial"/>
                <w:sz w:val="18"/>
                <w:szCs w:val="18"/>
                <w:color w:val="auto"/>
                <w:w w:val="89"/>
              </w:rPr>
              <w:t>Transaction Services</w:t>
            </w:r>
          </w:p>
        </w:tc>
        <w:tc>
          <w:tcPr>
            <w:tcW w:w="3580" w:type="dxa"/>
            <w:vAlign w:val="bottom"/>
          </w:tcPr>
          <w:p>
            <w:pPr>
              <w:spacing w:after="0"/>
              <w:rPr>
                <w:sz w:val="18"/>
                <w:szCs w:val="18"/>
                <w:color w:val="auto"/>
              </w:rPr>
            </w:pPr>
          </w:p>
        </w:tc>
        <w:tc>
          <w:tcPr>
            <w:tcW w:w="2960" w:type="dxa"/>
            <w:vAlign w:val="bottom"/>
          </w:tcPr>
          <w:p>
            <w:pPr>
              <w:spacing w:after="0"/>
              <w:rPr>
                <w:sz w:val="18"/>
                <w:szCs w:val="18"/>
                <w:color w:val="auto"/>
              </w:rPr>
            </w:pPr>
          </w:p>
        </w:tc>
      </w:tr>
      <w:tr>
        <w:trPr>
          <w:trHeight w:val="230"/>
        </w:trPr>
        <w:tc>
          <w:tcPr>
            <w:tcW w:w="2980" w:type="dxa"/>
            <w:vAlign w:val="bottom"/>
          </w:tcPr>
          <w:p>
            <w:pPr>
              <w:spacing w:after="0"/>
              <w:rPr>
                <w:sz w:val="20"/>
                <w:szCs w:val="20"/>
                <w:color w:val="auto"/>
              </w:rPr>
            </w:pPr>
            <w:r>
              <w:rPr>
                <w:rFonts w:ascii="Arial" w:cs="Arial" w:eastAsia="Arial" w:hAnsi="Arial"/>
                <w:sz w:val="18"/>
                <w:szCs w:val="18"/>
                <w:color w:val="auto"/>
              </w:rPr>
              <w:t>EFT Services Holding B.V.</w:t>
            </w:r>
          </w:p>
        </w:tc>
        <w:tc>
          <w:tcPr>
            <w:tcW w:w="1820" w:type="dxa"/>
            <w:vAlign w:val="bottom"/>
          </w:tcPr>
          <w:p>
            <w:pPr>
              <w:ind w:left="300"/>
              <w:spacing w:after="0"/>
              <w:rPr>
                <w:sz w:val="20"/>
                <w:szCs w:val="20"/>
                <w:color w:val="auto"/>
              </w:rPr>
            </w:pPr>
            <w:r>
              <w:rPr>
                <w:rFonts w:ascii="Arial" w:cs="Arial" w:eastAsia="Arial" w:hAnsi="Arial"/>
                <w:sz w:val="18"/>
                <w:szCs w:val="18"/>
                <w:color w:val="auto"/>
              </w:rPr>
              <w:t>S.R.L.</w:t>
            </w:r>
          </w:p>
        </w:tc>
        <w:tc>
          <w:tcPr>
            <w:tcW w:w="3580" w:type="dxa"/>
            <w:vAlign w:val="bottom"/>
          </w:tcPr>
          <w:p>
            <w:pPr>
              <w:ind w:left="20"/>
              <w:spacing w:after="0"/>
              <w:rPr>
                <w:sz w:val="20"/>
                <w:szCs w:val="20"/>
                <w:color w:val="auto"/>
              </w:rPr>
            </w:pPr>
            <w:r>
              <w:rPr>
                <w:rFonts w:ascii="Arial" w:cs="Arial" w:eastAsia="Arial" w:hAnsi="Arial"/>
                <w:sz w:val="18"/>
                <w:szCs w:val="18"/>
                <w:color w:val="auto"/>
              </w:rPr>
              <w:t>Intercompany Loan</w:t>
            </w:r>
          </w:p>
        </w:tc>
        <w:tc>
          <w:tcPr>
            <w:tcW w:w="2960" w:type="dxa"/>
            <w:vAlign w:val="bottom"/>
          </w:tcPr>
          <w:p>
            <w:pPr>
              <w:jc w:val="right"/>
              <w:spacing w:after="0"/>
              <w:rPr>
                <w:sz w:val="20"/>
                <w:szCs w:val="20"/>
                <w:color w:val="auto"/>
              </w:rPr>
            </w:pPr>
            <w:r>
              <w:rPr>
                <w:rFonts w:ascii="Arial" w:cs="Arial" w:eastAsia="Arial" w:hAnsi="Arial"/>
                <w:sz w:val="18"/>
                <w:szCs w:val="18"/>
                <w:color w:val="auto"/>
              </w:rPr>
              <w:t>14,955,008</w:t>
            </w:r>
          </w:p>
        </w:tc>
      </w:tr>
      <w:tr>
        <w:trPr>
          <w:trHeight w:val="256"/>
        </w:trPr>
        <w:tc>
          <w:tcPr>
            <w:tcW w:w="2980" w:type="dxa"/>
            <w:vAlign w:val="bottom"/>
          </w:tcPr>
          <w:p>
            <w:pPr>
              <w:spacing w:after="0"/>
              <w:rPr>
                <w:sz w:val="22"/>
                <w:szCs w:val="22"/>
                <w:color w:val="auto"/>
              </w:rPr>
            </w:pPr>
          </w:p>
        </w:tc>
        <w:tc>
          <w:tcPr>
            <w:tcW w:w="1820" w:type="dxa"/>
            <w:vAlign w:val="bottom"/>
          </w:tcPr>
          <w:p>
            <w:pPr>
              <w:ind w:left="300"/>
              <w:spacing w:after="0"/>
              <w:rPr>
                <w:sz w:val="20"/>
                <w:szCs w:val="20"/>
                <w:color w:val="auto"/>
              </w:rPr>
            </w:pPr>
            <w:r>
              <w:rPr>
                <w:rFonts w:ascii="Arial" w:cs="Arial" w:eastAsia="Arial" w:hAnsi="Arial"/>
                <w:sz w:val="18"/>
                <w:szCs w:val="18"/>
                <w:color w:val="auto"/>
              </w:rPr>
              <w:t>Euronet Polska</w:t>
            </w:r>
          </w:p>
        </w:tc>
        <w:tc>
          <w:tcPr>
            <w:tcW w:w="3580" w:type="dxa"/>
            <w:vAlign w:val="bottom"/>
          </w:tcPr>
          <w:p>
            <w:pPr>
              <w:spacing w:after="0"/>
              <w:rPr>
                <w:sz w:val="22"/>
                <w:szCs w:val="22"/>
                <w:color w:val="auto"/>
              </w:rPr>
            </w:pPr>
          </w:p>
        </w:tc>
        <w:tc>
          <w:tcPr>
            <w:tcW w:w="2960" w:type="dxa"/>
            <w:vAlign w:val="bottom"/>
          </w:tcPr>
          <w:p>
            <w:pPr>
              <w:spacing w:after="0"/>
              <w:rPr>
                <w:sz w:val="22"/>
                <w:szCs w:val="22"/>
                <w:color w:val="auto"/>
              </w:rPr>
            </w:pPr>
          </w:p>
        </w:tc>
      </w:tr>
      <w:tr>
        <w:trPr>
          <w:trHeight w:val="230"/>
        </w:trPr>
        <w:tc>
          <w:tcPr>
            <w:tcW w:w="2980" w:type="dxa"/>
            <w:vAlign w:val="bottom"/>
          </w:tcPr>
          <w:p>
            <w:pPr>
              <w:spacing w:after="0"/>
              <w:rPr>
                <w:sz w:val="20"/>
                <w:szCs w:val="20"/>
                <w:color w:val="auto"/>
              </w:rPr>
            </w:pPr>
            <w:r>
              <w:rPr>
                <w:rFonts w:ascii="Arial" w:cs="Arial" w:eastAsia="Arial" w:hAnsi="Arial"/>
                <w:sz w:val="18"/>
                <w:szCs w:val="18"/>
                <w:color w:val="auto"/>
              </w:rPr>
              <w:t>EFT Services Holding B.V.</w:t>
            </w:r>
          </w:p>
        </w:tc>
        <w:tc>
          <w:tcPr>
            <w:tcW w:w="1820" w:type="dxa"/>
            <w:vAlign w:val="bottom"/>
          </w:tcPr>
          <w:p>
            <w:pPr>
              <w:ind w:left="300"/>
              <w:spacing w:after="0"/>
              <w:rPr>
                <w:sz w:val="20"/>
                <w:szCs w:val="20"/>
                <w:color w:val="auto"/>
              </w:rPr>
            </w:pPr>
            <w:r>
              <w:rPr>
                <w:rFonts w:ascii="Arial" w:cs="Arial" w:eastAsia="Arial" w:hAnsi="Arial"/>
                <w:sz w:val="18"/>
                <w:szCs w:val="18"/>
                <w:color w:val="auto"/>
              </w:rPr>
              <w:t>Spółka z o.o.</w:t>
            </w:r>
          </w:p>
        </w:tc>
        <w:tc>
          <w:tcPr>
            <w:tcW w:w="3580" w:type="dxa"/>
            <w:vAlign w:val="bottom"/>
          </w:tcPr>
          <w:p>
            <w:pPr>
              <w:ind w:left="20"/>
              <w:spacing w:after="0"/>
              <w:rPr>
                <w:sz w:val="20"/>
                <w:szCs w:val="20"/>
                <w:color w:val="auto"/>
              </w:rPr>
            </w:pPr>
            <w:r>
              <w:rPr>
                <w:rFonts w:ascii="Arial" w:cs="Arial" w:eastAsia="Arial" w:hAnsi="Arial"/>
                <w:sz w:val="18"/>
                <w:szCs w:val="18"/>
                <w:color w:val="auto"/>
              </w:rPr>
              <w:t>Intercompany Loan</w:t>
            </w:r>
          </w:p>
        </w:tc>
        <w:tc>
          <w:tcPr>
            <w:tcW w:w="2960" w:type="dxa"/>
            <w:vAlign w:val="bottom"/>
          </w:tcPr>
          <w:p>
            <w:pPr>
              <w:jc w:val="right"/>
              <w:spacing w:after="0"/>
              <w:rPr>
                <w:sz w:val="20"/>
                <w:szCs w:val="20"/>
                <w:color w:val="auto"/>
              </w:rPr>
            </w:pPr>
            <w:r>
              <w:rPr>
                <w:rFonts w:ascii="Arial" w:cs="Arial" w:eastAsia="Arial" w:hAnsi="Arial"/>
                <w:sz w:val="18"/>
                <w:szCs w:val="18"/>
                <w:color w:val="auto"/>
              </w:rPr>
              <w:t>3,178,400</w:t>
            </w:r>
          </w:p>
        </w:tc>
      </w:tr>
      <w:tr>
        <w:trPr>
          <w:trHeight w:val="256"/>
        </w:trPr>
        <w:tc>
          <w:tcPr>
            <w:tcW w:w="2980" w:type="dxa"/>
            <w:vAlign w:val="bottom"/>
          </w:tcPr>
          <w:p>
            <w:pPr>
              <w:spacing w:after="0"/>
              <w:rPr>
                <w:sz w:val="22"/>
                <w:szCs w:val="22"/>
                <w:color w:val="auto"/>
              </w:rPr>
            </w:pPr>
          </w:p>
        </w:tc>
        <w:tc>
          <w:tcPr>
            <w:tcW w:w="1820" w:type="dxa"/>
            <w:vAlign w:val="bottom"/>
          </w:tcPr>
          <w:p>
            <w:pPr>
              <w:ind w:left="300"/>
              <w:spacing w:after="0"/>
              <w:rPr>
                <w:sz w:val="20"/>
                <w:szCs w:val="20"/>
                <w:color w:val="auto"/>
              </w:rPr>
            </w:pPr>
            <w:r>
              <w:rPr>
                <w:rFonts w:ascii="Arial" w:cs="Arial" w:eastAsia="Arial" w:hAnsi="Arial"/>
                <w:sz w:val="18"/>
                <w:szCs w:val="18"/>
                <w:color w:val="auto"/>
              </w:rPr>
              <w:t>Euronet Services</w:t>
            </w:r>
          </w:p>
        </w:tc>
        <w:tc>
          <w:tcPr>
            <w:tcW w:w="3580" w:type="dxa"/>
            <w:vAlign w:val="bottom"/>
          </w:tcPr>
          <w:p>
            <w:pPr>
              <w:spacing w:after="0"/>
              <w:rPr>
                <w:sz w:val="22"/>
                <w:szCs w:val="22"/>
                <w:color w:val="auto"/>
              </w:rPr>
            </w:pPr>
          </w:p>
        </w:tc>
        <w:tc>
          <w:tcPr>
            <w:tcW w:w="2960" w:type="dxa"/>
            <w:vAlign w:val="bottom"/>
          </w:tcPr>
          <w:p>
            <w:pPr>
              <w:spacing w:after="0"/>
              <w:rPr>
                <w:sz w:val="22"/>
                <w:szCs w:val="22"/>
                <w:color w:val="auto"/>
              </w:rPr>
            </w:pPr>
          </w:p>
        </w:tc>
      </w:tr>
      <w:tr>
        <w:trPr>
          <w:trHeight w:val="230"/>
        </w:trPr>
        <w:tc>
          <w:tcPr>
            <w:tcW w:w="2980" w:type="dxa"/>
            <w:vAlign w:val="bottom"/>
          </w:tcPr>
          <w:p>
            <w:pPr>
              <w:spacing w:after="0"/>
              <w:rPr>
                <w:sz w:val="20"/>
                <w:szCs w:val="20"/>
                <w:color w:val="auto"/>
              </w:rPr>
            </w:pPr>
            <w:r>
              <w:rPr>
                <w:rFonts w:ascii="Arial" w:cs="Arial" w:eastAsia="Arial" w:hAnsi="Arial"/>
                <w:sz w:val="18"/>
                <w:szCs w:val="18"/>
                <w:color w:val="auto"/>
              </w:rPr>
              <w:t>EFT Services Holding B.V.</w:t>
            </w:r>
          </w:p>
        </w:tc>
        <w:tc>
          <w:tcPr>
            <w:tcW w:w="1820" w:type="dxa"/>
            <w:vAlign w:val="bottom"/>
          </w:tcPr>
          <w:p>
            <w:pPr>
              <w:ind w:left="300"/>
              <w:spacing w:after="0"/>
              <w:rPr>
                <w:sz w:val="20"/>
                <w:szCs w:val="20"/>
                <w:color w:val="auto"/>
              </w:rPr>
            </w:pPr>
            <w:r>
              <w:rPr>
                <w:rFonts w:ascii="Arial" w:cs="Arial" w:eastAsia="Arial" w:hAnsi="Arial"/>
                <w:sz w:val="18"/>
                <w:szCs w:val="18"/>
                <w:color w:val="auto"/>
              </w:rPr>
              <w:t>Kft.</w:t>
            </w:r>
          </w:p>
        </w:tc>
        <w:tc>
          <w:tcPr>
            <w:tcW w:w="3580" w:type="dxa"/>
            <w:vAlign w:val="bottom"/>
          </w:tcPr>
          <w:p>
            <w:pPr>
              <w:ind w:left="20"/>
              <w:spacing w:after="0"/>
              <w:rPr>
                <w:sz w:val="20"/>
                <w:szCs w:val="20"/>
                <w:color w:val="auto"/>
              </w:rPr>
            </w:pPr>
            <w:r>
              <w:rPr>
                <w:rFonts w:ascii="Arial" w:cs="Arial" w:eastAsia="Arial" w:hAnsi="Arial"/>
                <w:sz w:val="18"/>
                <w:szCs w:val="18"/>
                <w:color w:val="auto"/>
              </w:rPr>
              <w:t>Intercompany Loan</w:t>
            </w:r>
          </w:p>
        </w:tc>
        <w:tc>
          <w:tcPr>
            <w:tcW w:w="2960" w:type="dxa"/>
            <w:vAlign w:val="bottom"/>
          </w:tcPr>
          <w:p>
            <w:pPr>
              <w:jc w:val="right"/>
              <w:spacing w:after="0"/>
              <w:rPr>
                <w:sz w:val="20"/>
                <w:szCs w:val="20"/>
                <w:color w:val="auto"/>
              </w:rPr>
            </w:pPr>
            <w:r>
              <w:rPr>
                <w:rFonts w:ascii="Arial" w:cs="Arial" w:eastAsia="Arial" w:hAnsi="Arial"/>
                <w:sz w:val="18"/>
                <w:szCs w:val="18"/>
                <w:color w:val="auto"/>
              </w:rPr>
              <w:t>2,000,000</w:t>
            </w:r>
          </w:p>
        </w:tc>
      </w:tr>
      <w:tr>
        <w:trPr>
          <w:trHeight w:val="256"/>
        </w:trPr>
        <w:tc>
          <w:tcPr>
            <w:tcW w:w="2980" w:type="dxa"/>
            <w:vAlign w:val="bottom"/>
          </w:tcPr>
          <w:p>
            <w:pPr>
              <w:spacing w:after="0"/>
              <w:rPr>
                <w:sz w:val="22"/>
                <w:szCs w:val="22"/>
                <w:color w:val="auto"/>
              </w:rPr>
            </w:pPr>
          </w:p>
        </w:tc>
        <w:tc>
          <w:tcPr>
            <w:tcW w:w="1820" w:type="dxa"/>
            <w:vAlign w:val="bottom"/>
          </w:tcPr>
          <w:p>
            <w:pPr>
              <w:ind w:left="300"/>
              <w:spacing w:after="0"/>
              <w:rPr>
                <w:sz w:val="20"/>
                <w:szCs w:val="20"/>
                <w:color w:val="auto"/>
              </w:rPr>
            </w:pPr>
            <w:r>
              <w:rPr>
                <w:rFonts w:ascii="Arial" w:cs="Arial" w:eastAsia="Arial" w:hAnsi="Arial"/>
                <w:sz w:val="18"/>
                <w:szCs w:val="18"/>
                <w:color w:val="auto"/>
              </w:rPr>
              <w:t>Euronet Services</w:t>
            </w:r>
          </w:p>
        </w:tc>
        <w:tc>
          <w:tcPr>
            <w:tcW w:w="3580" w:type="dxa"/>
            <w:vAlign w:val="bottom"/>
          </w:tcPr>
          <w:p>
            <w:pPr>
              <w:spacing w:after="0"/>
              <w:rPr>
                <w:sz w:val="22"/>
                <w:szCs w:val="22"/>
                <w:color w:val="auto"/>
              </w:rPr>
            </w:pPr>
          </w:p>
        </w:tc>
        <w:tc>
          <w:tcPr>
            <w:tcW w:w="2960" w:type="dxa"/>
            <w:vAlign w:val="bottom"/>
          </w:tcPr>
          <w:p>
            <w:pPr>
              <w:spacing w:after="0"/>
              <w:rPr>
                <w:sz w:val="22"/>
                <w:szCs w:val="22"/>
                <w:color w:val="auto"/>
              </w:rPr>
            </w:pPr>
          </w:p>
        </w:tc>
      </w:tr>
      <w:tr>
        <w:trPr>
          <w:trHeight w:val="230"/>
        </w:trPr>
        <w:tc>
          <w:tcPr>
            <w:tcW w:w="2980" w:type="dxa"/>
            <w:vAlign w:val="bottom"/>
          </w:tcPr>
          <w:p>
            <w:pPr>
              <w:spacing w:after="0"/>
              <w:rPr>
                <w:sz w:val="20"/>
                <w:szCs w:val="20"/>
                <w:color w:val="auto"/>
              </w:rPr>
            </w:pPr>
            <w:r>
              <w:rPr>
                <w:rFonts w:ascii="Arial" w:cs="Arial" w:eastAsia="Arial" w:hAnsi="Arial"/>
                <w:sz w:val="18"/>
                <w:szCs w:val="18"/>
                <w:color w:val="auto"/>
              </w:rPr>
              <w:t>EFT Services Holding B.V.</w:t>
            </w:r>
          </w:p>
        </w:tc>
        <w:tc>
          <w:tcPr>
            <w:tcW w:w="1820" w:type="dxa"/>
            <w:vAlign w:val="bottom"/>
          </w:tcPr>
          <w:p>
            <w:pPr>
              <w:ind w:left="300"/>
              <w:spacing w:after="0"/>
              <w:rPr>
                <w:sz w:val="20"/>
                <w:szCs w:val="20"/>
                <w:color w:val="auto"/>
              </w:rPr>
            </w:pPr>
            <w:r>
              <w:rPr>
                <w:rFonts w:ascii="Arial" w:cs="Arial" w:eastAsia="Arial" w:hAnsi="Arial"/>
                <w:sz w:val="18"/>
                <w:szCs w:val="18"/>
                <w:color w:val="auto"/>
              </w:rPr>
              <w:t>O.O.O.</w:t>
            </w:r>
          </w:p>
        </w:tc>
        <w:tc>
          <w:tcPr>
            <w:tcW w:w="3580" w:type="dxa"/>
            <w:vAlign w:val="bottom"/>
          </w:tcPr>
          <w:p>
            <w:pPr>
              <w:ind w:left="20"/>
              <w:spacing w:after="0"/>
              <w:rPr>
                <w:sz w:val="20"/>
                <w:szCs w:val="20"/>
                <w:color w:val="auto"/>
              </w:rPr>
            </w:pPr>
            <w:r>
              <w:rPr>
                <w:rFonts w:ascii="Arial" w:cs="Arial" w:eastAsia="Arial" w:hAnsi="Arial"/>
                <w:sz w:val="18"/>
                <w:szCs w:val="18"/>
                <w:color w:val="auto"/>
              </w:rPr>
              <w:t>Intercompany Loan</w:t>
            </w:r>
          </w:p>
        </w:tc>
        <w:tc>
          <w:tcPr>
            <w:tcW w:w="2960" w:type="dxa"/>
            <w:vAlign w:val="bottom"/>
          </w:tcPr>
          <w:p>
            <w:pPr>
              <w:jc w:val="right"/>
              <w:spacing w:after="0"/>
              <w:rPr>
                <w:sz w:val="20"/>
                <w:szCs w:val="20"/>
                <w:color w:val="auto"/>
              </w:rPr>
            </w:pPr>
            <w:r>
              <w:rPr>
                <w:rFonts w:ascii="Arial" w:cs="Arial" w:eastAsia="Arial" w:hAnsi="Arial"/>
                <w:sz w:val="18"/>
                <w:szCs w:val="18"/>
                <w:color w:val="auto"/>
              </w:rPr>
              <w:t>507,941</w:t>
            </w:r>
          </w:p>
        </w:tc>
      </w:tr>
      <w:tr>
        <w:trPr>
          <w:trHeight w:val="256"/>
        </w:trPr>
        <w:tc>
          <w:tcPr>
            <w:tcW w:w="2980" w:type="dxa"/>
            <w:vAlign w:val="bottom"/>
          </w:tcPr>
          <w:p>
            <w:pPr>
              <w:spacing w:after="0"/>
              <w:rPr>
                <w:sz w:val="22"/>
                <w:szCs w:val="22"/>
                <w:color w:val="auto"/>
              </w:rPr>
            </w:pPr>
          </w:p>
        </w:tc>
        <w:tc>
          <w:tcPr>
            <w:tcW w:w="1820" w:type="dxa"/>
            <w:vAlign w:val="bottom"/>
          </w:tcPr>
          <w:p>
            <w:pPr>
              <w:ind w:left="300"/>
              <w:spacing w:after="0"/>
              <w:rPr>
                <w:sz w:val="20"/>
                <w:szCs w:val="20"/>
                <w:color w:val="auto"/>
              </w:rPr>
            </w:pPr>
            <w:r>
              <w:rPr>
                <w:rFonts w:ascii="Arial" w:cs="Arial" w:eastAsia="Arial" w:hAnsi="Arial"/>
                <w:sz w:val="18"/>
                <w:szCs w:val="18"/>
                <w:color w:val="auto"/>
              </w:rPr>
              <w:t>Euronet Services</w:t>
            </w:r>
          </w:p>
        </w:tc>
        <w:tc>
          <w:tcPr>
            <w:tcW w:w="3580" w:type="dxa"/>
            <w:vAlign w:val="bottom"/>
          </w:tcPr>
          <w:p>
            <w:pPr>
              <w:spacing w:after="0"/>
              <w:rPr>
                <w:sz w:val="22"/>
                <w:szCs w:val="22"/>
                <w:color w:val="auto"/>
              </w:rPr>
            </w:pPr>
          </w:p>
        </w:tc>
        <w:tc>
          <w:tcPr>
            <w:tcW w:w="2960" w:type="dxa"/>
            <w:vAlign w:val="bottom"/>
          </w:tcPr>
          <w:p>
            <w:pPr>
              <w:spacing w:after="0"/>
              <w:rPr>
                <w:sz w:val="22"/>
                <w:szCs w:val="22"/>
                <w:color w:val="auto"/>
              </w:rPr>
            </w:pPr>
          </w:p>
        </w:tc>
      </w:tr>
      <w:tr>
        <w:trPr>
          <w:trHeight w:val="230"/>
        </w:trPr>
        <w:tc>
          <w:tcPr>
            <w:tcW w:w="2980" w:type="dxa"/>
            <w:vAlign w:val="bottom"/>
          </w:tcPr>
          <w:p>
            <w:pPr>
              <w:spacing w:after="0"/>
              <w:rPr>
                <w:sz w:val="20"/>
                <w:szCs w:val="20"/>
                <w:color w:val="auto"/>
              </w:rPr>
            </w:pPr>
            <w:r>
              <w:rPr>
                <w:rFonts w:ascii="Arial" w:cs="Arial" w:eastAsia="Arial" w:hAnsi="Arial"/>
                <w:sz w:val="18"/>
                <w:szCs w:val="18"/>
                <w:color w:val="auto"/>
              </w:rPr>
              <w:t>EFT Services Holding B.V.</w:t>
            </w:r>
          </w:p>
        </w:tc>
        <w:tc>
          <w:tcPr>
            <w:tcW w:w="1820" w:type="dxa"/>
            <w:vAlign w:val="bottom"/>
          </w:tcPr>
          <w:p>
            <w:pPr>
              <w:ind w:left="300"/>
              <w:spacing w:after="0"/>
              <w:rPr>
                <w:sz w:val="20"/>
                <w:szCs w:val="20"/>
                <w:color w:val="auto"/>
              </w:rPr>
            </w:pPr>
            <w:r>
              <w:rPr>
                <w:rFonts w:ascii="Arial" w:cs="Arial" w:eastAsia="Arial" w:hAnsi="Arial"/>
                <w:sz w:val="18"/>
                <w:szCs w:val="18"/>
                <w:color w:val="auto"/>
              </w:rPr>
              <w:t>S.R.L.</w:t>
            </w:r>
          </w:p>
        </w:tc>
        <w:tc>
          <w:tcPr>
            <w:tcW w:w="3580" w:type="dxa"/>
            <w:vAlign w:val="bottom"/>
          </w:tcPr>
          <w:p>
            <w:pPr>
              <w:ind w:left="20"/>
              <w:spacing w:after="0"/>
              <w:rPr>
                <w:sz w:val="20"/>
                <w:szCs w:val="20"/>
                <w:color w:val="auto"/>
              </w:rPr>
            </w:pPr>
            <w:r>
              <w:rPr>
                <w:rFonts w:ascii="Arial" w:cs="Arial" w:eastAsia="Arial" w:hAnsi="Arial"/>
                <w:sz w:val="18"/>
                <w:szCs w:val="18"/>
                <w:color w:val="auto"/>
              </w:rPr>
              <w:t>Intercompany Loan</w:t>
            </w:r>
          </w:p>
        </w:tc>
        <w:tc>
          <w:tcPr>
            <w:tcW w:w="2960" w:type="dxa"/>
            <w:vAlign w:val="bottom"/>
          </w:tcPr>
          <w:p>
            <w:pPr>
              <w:jc w:val="right"/>
              <w:spacing w:after="0"/>
              <w:rPr>
                <w:sz w:val="20"/>
                <w:szCs w:val="20"/>
                <w:color w:val="auto"/>
              </w:rPr>
            </w:pPr>
            <w:r>
              <w:rPr>
                <w:rFonts w:ascii="Arial" w:cs="Arial" w:eastAsia="Arial" w:hAnsi="Arial"/>
                <w:sz w:val="18"/>
                <w:szCs w:val="18"/>
                <w:color w:val="auto"/>
              </w:rPr>
              <w:t>1,166,369</w:t>
            </w:r>
          </w:p>
        </w:tc>
      </w:tr>
      <w:tr>
        <w:trPr>
          <w:trHeight w:val="256"/>
        </w:trPr>
        <w:tc>
          <w:tcPr>
            <w:tcW w:w="2980" w:type="dxa"/>
            <w:vAlign w:val="bottom"/>
          </w:tcPr>
          <w:p>
            <w:pPr>
              <w:spacing w:after="0"/>
              <w:rPr>
                <w:sz w:val="22"/>
                <w:szCs w:val="22"/>
                <w:color w:val="auto"/>
              </w:rPr>
            </w:pPr>
          </w:p>
        </w:tc>
        <w:tc>
          <w:tcPr>
            <w:tcW w:w="1820" w:type="dxa"/>
            <w:vAlign w:val="bottom"/>
          </w:tcPr>
          <w:p>
            <w:pPr>
              <w:ind w:left="300"/>
              <w:spacing w:after="0"/>
              <w:rPr>
                <w:sz w:val="20"/>
                <w:szCs w:val="20"/>
                <w:color w:val="auto"/>
              </w:rPr>
            </w:pPr>
            <w:r>
              <w:rPr>
                <w:rFonts w:ascii="Arial" w:cs="Arial" w:eastAsia="Arial" w:hAnsi="Arial"/>
                <w:sz w:val="18"/>
                <w:szCs w:val="18"/>
                <w:color w:val="auto"/>
              </w:rPr>
              <w:t>Euronet Services</w:t>
            </w:r>
          </w:p>
        </w:tc>
        <w:tc>
          <w:tcPr>
            <w:tcW w:w="3580" w:type="dxa"/>
            <w:vAlign w:val="bottom"/>
          </w:tcPr>
          <w:p>
            <w:pPr>
              <w:spacing w:after="0"/>
              <w:rPr>
                <w:sz w:val="22"/>
                <w:szCs w:val="22"/>
                <w:color w:val="auto"/>
              </w:rPr>
            </w:pPr>
          </w:p>
        </w:tc>
        <w:tc>
          <w:tcPr>
            <w:tcW w:w="2960" w:type="dxa"/>
            <w:vAlign w:val="bottom"/>
          </w:tcPr>
          <w:p>
            <w:pPr>
              <w:spacing w:after="0"/>
              <w:rPr>
                <w:sz w:val="22"/>
                <w:szCs w:val="22"/>
                <w:color w:val="auto"/>
              </w:rPr>
            </w:pPr>
          </w:p>
        </w:tc>
      </w:tr>
      <w:tr>
        <w:trPr>
          <w:trHeight w:val="230"/>
        </w:trPr>
        <w:tc>
          <w:tcPr>
            <w:tcW w:w="2980" w:type="dxa"/>
            <w:vAlign w:val="bottom"/>
          </w:tcPr>
          <w:p>
            <w:pPr>
              <w:spacing w:after="0"/>
              <w:rPr>
                <w:sz w:val="20"/>
                <w:szCs w:val="20"/>
                <w:color w:val="auto"/>
              </w:rPr>
            </w:pPr>
            <w:r>
              <w:rPr>
                <w:rFonts w:ascii="Arial" w:cs="Arial" w:eastAsia="Arial" w:hAnsi="Arial"/>
                <w:sz w:val="18"/>
                <w:szCs w:val="18"/>
                <w:color w:val="auto"/>
              </w:rPr>
              <w:t>EFT Services Holding B.V.</w:t>
            </w:r>
          </w:p>
        </w:tc>
        <w:tc>
          <w:tcPr>
            <w:tcW w:w="1820" w:type="dxa"/>
            <w:vAlign w:val="bottom"/>
          </w:tcPr>
          <w:p>
            <w:pPr>
              <w:ind w:left="300"/>
              <w:spacing w:after="0"/>
              <w:rPr>
                <w:sz w:val="20"/>
                <w:szCs w:val="20"/>
                <w:color w:val="auto"/>
              </w:rPr>
            </w:pPr>
            <w:r>
              <w:rPr>
                <w:rFonts w:ascii="Arial" w:cs="Arial" w:eastAsia="Arial" w:hAnsi="Arial"/>
                <w:sz w:val="18"/>
                <w:szCs w:val="18"/>
                <w:color w:val="auto"/>
              </w:rPr>
              <w:t>Schweiz GmbH</w:t>
            </w:r>
          </w:p>
        </w:tc>
        <w:tc>
          <w:tcPr>
            <w:tcW w:w="3580" w:type="dxa"/>
            <w:vAlign w:val="bottom"/>
          </w:tcPr>
          <w:p>
            <w:pPr>
              <w:ind w:left="20"/>
              <w:spacing w:after="0"/>
              <w:rPr>
                <w:sz w:val="20"/>
                <w:szCs w:val="20"/>
                <w:color w:val="auto"/>
              </w:rPr>
            </w:pPr>
            <w:r>
              <w:rPr>
                <w:rFonts w:ascii="Arial" w:cs="Arial" w:eastAsia="Arial" w:hAnsi="Arial"/>
                <w:sz w:val="18"/>
                <w:szCs w:val="18"/>
                <w:color w:val="auto"/>
              </w:rPr>
              <w:t>Intercompany Loan</w:t>
            </w:r>
          </w:p>
        </w:tc>
        <w:tc>
          <w:tcPr>
            <w:tcW w:w="2960" w:type="dxa"/>
            <w:vAlign w:val="bottom"/>
          </w:tcPr>
          <w:p>
            <w:pPr>
              <w:jc w:val="right"/>
              <w:spacing w:after="0"/>
              <w:rPr>
                <w:sz w:val="20"/>
                <w:szCs w:val="20"/>
                <w:color w:val="auto"/>
              </w:rPr>
            </w:pPr>
            <w:r>
              <w:rPr>
                <w:rFonts w:ascii="Arial" w:cs="Arial" w:eastAsia="Arial" w:hAnsi="Arial"/>
                <w:sz w:val="18"/>
                <w:szCs w:val="18"/>
                <w:color w:val="auto"/>
              </w:rPr>
              <w:t>81,849</w:t>
            </w:r>
          </w:p>
        </w:tc>
      </w:tr>
      <w:tr>
        <w:trPr>
          <w:trHeight w:val="256"/>
        </w:trPr>
        <w:tc>
          <w:tcPr>
            <w:tcW w:w="2980" w:type="dxa"/>
            <w:vAlign w:val="bottom"/>
          </w:tcPr>
          <w:p>
            <w:pPr>
              <w:spacing w:after="0"/>
              <w:rPr>
                <w:sz w:val="22"/>
                <w:szCs w:val="22"/>
                <w:color w:val="auto"/>
              </w:rPr>
            </w:pPr>
          </w:p>
        </w:tc>
        <w:tc>
          <w:tcPr>
            <w:tcW w:w="1820" w:type="dxa"/>
            <w:vAlign w:val="bottom"/>
          </w:tcPr>
          <w:p>
            <w:pPr>
              <w:ind w:left="300"/>
              <w:spacing w:after="0"/>
              <w:rPr>
                <w:sz w:val="20"/>
                <w:szCs w:val="20"/>
                <w:color w:val="auto"/>
              </w:rPr>
            </w:pPr>
            <w:r>
              <w:rPr>
                <w:rFonts w:ascii="Arial" w:cs="Arial" w:eastAsia="Arial" w:hAnsi="Arial"/>
                <w:sz w:val="18"/>
                <w:szCs w:val="18"/>
                <w:color w:val="auto"/>
                <w:w w:val="93"/>
              </w:rPr>
              <w:t>Pure Commerce (S)</w:t>
            </w:r>
          </w:p>
        </w:tc>
        <w:tc>
          <w:tcPr>
            <w:tcW w:w="3580" w:type="dxa"/>
            <w:vAlign w:val="bottom"/>
          </w:tcPr>
          <w:p>
            <w:pPr>
              <w:spacing w:after="0"/>
              <w:rPr>
                <w:sz w:val="22"/>
                <w:szCs w:val="22"/>
                <w:color w:val="auto"/>
              </w:rPr>
            </w:pPr>
          </w:p>
        </w:tc>
        <w:tc>
          <w:tcPr>
            <w:tcW w:w="2960" w:type="dxa"/>
            <w:vAlign w:val="bottom"/>
          </w:tcPr>
          <w:p>
            <w:pPr>
              <w:spacing w:after="0"/>
              <w:rPr>
                <w:sz w:val="22"/>
                <w:szCs w:val="22"/>
                <w:color w:val="auto"/>
              </w:rPr>
            </w:pPr>
          </w:p>
        </w:tc>
      </w:tr>
      <w:tr>
        <w:trPr>
          <w:trHeight w:val="230"/>
        </w:trPr>
        <w:tc>
          <w:tcPr>
            <w:tcW w:w="2980" w:type="dxa"/>
            <w:vAlign w:val="bottom"/>
          </w:tcPr>
          <w:p>
            <w:pPr>
              <w:spacing w:after="0"/>
              <w:rPr>
                <w:sz w:val="20"/>
                <w:szCs w:val="20"/>
                <w:color w:val="auto"/>
              </w:rPr>
            </w:pPr>
            <w:r>
              <w:rPr>
                <w:rFonts w:ascii="Arial" w:cs="Arial" w:eastAsia="Arial" w:hAnsi="Arial"/>
                <w:sz w:val="18"/>
                <w:szCs w:val="18"/>
                <w:color w:val="auto"/>
              </w:rPr>
              <w:t>EFT Services Holding B.V.</w:t>
            </w:r>
          </w:p>
        </w:tc>
        <w:tc>
          <w:tcPr>
            <w:tcW w:w="1820" w:type="dxa"/>
            <w:vAlign w:val="bottom"/>
          </w:tcPr>
          <w:p>
            <w:pPr>
              <w:ind w:left="300"/>
              <w:spacing w:after="0"/>
              <w:rPr>
                <w:sz w:val="20"/>
                <w:szCs w:val="20"/>
                <w:color w:val="auto"/>
              </w:rPr>
            </w:pPr>
            <w:r>
              <w:rPr>
                <w:rFonts w:ascii="Arial" w:cs="Arial" w:eastAsia="Arial" w:hAnsi="Arial"/>
                <w:sz w:val="18"/>
                <w:szCs w:val="18"/>
                <w:color w:val="auto"/>
              </w:rPr>
              <w:t>Pte. Ltd.</w:t>
            </w:r>
          </w:p>
        </w:tc>
        <w:tc>
          <w:tcPr>
            <w:tcW w:w="3580" w:type="dxa"/>
            <w:vAlign w:val="bottom"/>
          </w:tcPr>
          <w:p>
            <w:pPr>
              <w:ind w:left="20"/>
              <w:spacing w:after="0"/>
              <w:rPr>
                <w:sz w:val="20"/>
                <w:szCs w:val="20"/>
                <w:color w:val="auto"/>
              </w:rPr>
            </w:pPr>
            <w:r>
              <w:rPr>
                <w:rFonts w:ascii="Arial" w:cs="Arial" w:eastAsia="Arial" w:hAnsi="Arial"/>
                <w:sz w:val="18"/>
                <w:szCs w:val="18"/>
                <w:color w:val="auto"/>
              </w:rPr>
              <w:t>Intercompany Loan</w:t>
            </w:r>
          </w:p>
        </w:tc>
        <w:tc>
          <w:tcPr>
            <w:tcW w:w="2960" w:type="dxa"/>
            <w:vAlign w:val="bottom"/>
          </w:tcPr>
          <w:p>
            <w:pPr>
              <w:jc w:val="right"/>
              <w:spacing w:after="0"/>
              <w:rPr>
                <w:sz w:val="20"/>
                <w:szCs w:val="20"/>
                <w:color w:val="auto"/>
              </w:rPr>
            </w:pPr>
            <w:r>
              <w:rPr>
                <w:rFonts w:ascii="Arial" w:cs="Arial" w:eastAsia="Arial" w:hAnsi="Arial"/>
                <w:sz w:val="18"/>
                <w:szCs w:val="18"/>
                <w:color w:val="auto"/>
              </w:rPr>
              <w:t>430,751</w:t>
            </w:r>
          </w:p>
        </w:tc>
      </w:tr>
    </w:tbl>
    <w:p>
      <w:pPr>
        <w:sectPr>
          <w:pgSz w:w="11900" w:h="16838" w:orient="portrait"/>
          <w:cols w:equalWidth="0" w:num="1">
            <w:col w:w="11340"/>
          </w:cols>
          <w:pgMar w:left="280" w:top="531" w:right="279" w:bottom="1440" w:gutter="0" w:footer="0" w:header="0"/>
        </w:sectPr>
      </w:pPr>
    </w:p>
    <w:bookmarkStart w:id="292" w:name="page293"/>
    <w:bookmarkEnd w:id="29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920" w:type="dxa"/>
            <w:vAlign w:val="bottom"/>
          </w:tcPr>
          <w:p>
            <w:pPr>
              <w:spacing w:after="0"/>
              <w:rPr>
                <w:sz w:val="18"/>
                <w:szCs w:val="18"/>
                <w:color w:val="auto"/>
              </w:rPr>
            </w:pPr>
          </w:p>
        </w:tc>
        <w:tc>
          <w:tcPr>
            <w:tcW w:w="1720" w:type="dxa"/>
            <w:vAlign w:val="bottom"/>
          </w:tcPr>
          <w:p>
            <w:pPr>
              <w:ind w:left="400"/>
              <w:spacing w:after="0"/>
              <w:rPr>
                <w:sz w:val="20"/>
                <w:szCs w:val="20"/>
                <w:color w:val="auto"/>
              </w:rPr>
            </w:pPr>
            <w:r>
              <w:rPr>
                <w:rFonts w:ascii="Arial" w:cs="Arial" w:eastAsia="Arial" w:hAnsi="Arial"/>
                <w:sz w:val="18"/>
                <w:szCs w:val="18"/>
                <w:color w:val="auto"/>
              </w:rPr>
              <w:t>Smart</w:t>
            </w:r>
          </w:p>
        </w:tc>
        <w:tc>
          <w:tcPr>
            <w:tcW w:w="3680" w:type="dxa"/>
            <w:vAlign w:val="bottom"/>
          </w:tcPr>
          <w:p>
            <w:pPr>
              <w:spacing w:after="0"/>
              <w:rPr>
                <w:sz w:val="18"/>
                <w:szCs w:val="18"/>
                <w:color w:val="auto"/>
              </w:rPr>
            </w:pPr>
          </w:p>
        </w:tc>
        <w:tc>
          <w:tcPr>
            <w:tcW w:w="3020" w:type="dxa"/>
            <w:vAlign w:val="bottom"/>
          </w:tcPr>
          <w:p>
            <w:pPr>
              <w:spacing w:after="0"/>
              <w:rPr>
                <w:sz w:val="18"/>
                <w:szCs w:val="18"/>
                <w:color w:val="auto"/>
              </w:rPr>
            </w:pPr>
          </w:p>
        </w:tc>
      </w:tr>
      <w:tr>
        <w:trPr>
          <w:trHeight w:val="230"/>
        </w:trPr>
        <w:tc>
          <w:tcPr>
            <w:tcW w:w="2920" w:type="dxa"/>
            <w:vAlign w:val="bottom"/>
          </w:tcPr>
          <w:p>
            <w:pPr>
              <w:spacing w:after="0"/>
              <w:rPr>
                <w:sz w:val="20"/>
                <w:szCs w:val="20"/>
                <w:color w:val="auto"/>
              </w:rPr>
            </w:pPr>
            <w:r>
              <w:rPr>
                <w:rFonts w:ascii="Arial" w:cs="Arial" w:eastAsia="Arial" w:hAnsi="Arial"/>
                <w:sz w:val="18"/>
                <w:szCs w:val="18"/>
                <w:color w:val="auto"/>
              </w:rPr>
              <w:t>EFT Services Holding B.V.</w:t>
            </w:r>
          </w:p>
        </w:tc>
        <w:tc>
          <w:tcPr>
            <w:tcW w:w="1720" w:type="dxa"/>
            <w:vAlign w:val="bottom"/>
          </w:tcPr>
          <w:p>
            <w:pPr>
              <w:ind w:left="400"/>
              <w:spacing w:after="0"/>
              <w:rPr>
                <w:sz w:val="20"/>
                <w:szCs w:val="20"/>
                <w:color w:val="auto"/>
              </w:rPr>
            </w:pPr>
            <w:r>
              <w:rPr>
                <w:rFonts w:ascii="Arial" w:cs="Arial" w:eastAsia="Arial" w:hAnsi="Arial"/>
                <w:sz w:val="18"/>
                <w:szCs w:val="18"/>
                <w:color w:val="auto"/>
              </w:rPr>
              <w:t>PayNetwork SA</w:t>
            </w:r>
          </w:p>
        </w:tc>
        <w:tc>
          <w:tcPr>
            <w:tcW w:w="3680" w:type="dxa"/>
            <w:vAlign w:val="bottom"/>
          </w:tcPr>
          <w:p>
            <w:pPr>
              <w:ind w:left="40"/>
              <w:spacing w:after="0"/>
              <w:rPr>
                <w:sz w:val="20"/>
                <w:szCs w:val="20"/>
                <w:color w:val="auto"/>
              </w:rPr>
            </w:pPr>
            <w:r>
              <w:rPr>
                <w:rFonts w:ascii="Arial" w:cs="Arial" w:eastAsia="Arial" w:hAnsi="Arial"/>
                <w:sz w:val="18"/>
                <w:szCs w:val="18"/>
                <w:color w:val="auto"/>
              </w:rPr>
              <w:t>Intercompany Loan</w:t>
            </w:r>
          </w:p>
        </w:tc>
        <w:tc>
          <w:tcPr>
            <w:tcW w:w="3020" w:type="dxa"/>
            <w:vAlign w:val="bottom"/>
          </w:tcPr>
          <w:p>
            <w:pPr>
              <w:jc w:val="right"/>
              <w:spacing w:after="0"/>
              <w:rPr>
                <w:sz w:val="20"/>
                <w:szCs w:val="20"/>
                <w:color w:val="auto"/>
              </w:rPr>
            </w:pPr>
            <w:r>
              <w:rPr>
                <w:rFonts w:ascii="Arial" w:cs="Arial" w:eastAsia="Arial" w:hAnsi="Arial"/>
                <w:sz w:val="18"/>
                <w:szCs w:val="18"/>
                <w:color w:val="auto"/>
              </w:rPr>
              <w:t>1,081,040</w:t>
            </w:r>
          </w:p>
        </w:tc>
      </w:tr>
      <w:tr>
        <w:trPr>
          <w:trHeight w:val="270"/>
        </w:trPr>
        <w:tc>
          <w:tcPr>
            <w:tcW w:w="2920" w:type="dxa"/>
            <w:vAlign w:val="bottom"/>
          </w:tcPr>
          <w:p>
            <w:pPr>
              <w:spacing w:after="0"/>
              <w:rPr>
                <w:sz w:val="20"/>
                <w:szCs w:val="20"/>
                <w:color w:val="auto"/>
              </w:rPr>
            </w:pPr>
            <w:r>
              <w:rPr>
                <w:rFonts w:ascii="Arial" w:cs="Arial" w:eastAsia="Arial" w:hAnsi="Arial"/>
                <w:sz w:val="18"/>
                <w:szCs w:val="18"/>
                <w:color w:val="auto"/>
              </w:rPr>
              <w:t>EFT Services Holding B.V.</w:t>
            </w:r>
          </w:p>
        </w:tc>
        <w:tc>
          <w:tcPr>
            <w:tcW w:w="1720" w:type="dxa"/>
            <w:vAlign w:val="bottom"/>
          </w:tcPr>
          <w:p>
            <w:pPr>
              <w:ind w:left="400"/>
              <w:spacing w:after="0"/>
              <w:rPr>
                <w:sz w:val="20"/>
                <w:szCs w:val="20"/>
                <w:color w:val="auto"/>
              </w:rPr>
            </w:pPr>
            <w:r>
              <w:rPr>
                <w:rFonts w:ascii="Arial" w:cs="Arial" w:eastAsia="Arial" w:hAnsi="Arial"/>
                <w:sz w:val="18"/>
                <w:szCs w:val="18"/>
                <w:color w:val="auto"/>
                <w:w w:val="98"/>
              </w:rPr>
              <w:t>Telecomnet LLC</w:t>
            </w:r>
          </w:p>
        </w:tc>
        <w:tc>
          <w:tcPr>
            <w:tcW w:w="3680" w:type="dxa"/>
            <w:vAlign w:val="bottom"/>
          </w:tcPr>
          <w:p>
            <w:pPr>
              <w:ind w:left="40"/>
              <w:spacing w:after="0"/>
              <w:rPr>
                <w:sz w:val="20"/>
                <w:szCs w:val="20"/>
                <w:color w:val="auto"/>
              </w:rPr>
            </w:pPr>
            <w:r>
              <w:rPr>
                <w:rFonts w:ascii="Arial" w:cs="Arial" w:eastAsia="Arial" w:hAnsi="Arial"/>
                <w:sz w:val="18"/>
                <w:szCs w:val="18"/>
                <w:color w:val="auto"/>
              </w:rPr>
              <w:t>Intercompany Loan</w:t>
            </w:r>
          </w:p>
        </w:tc>
        <w:tc>
          <w:tcPr>
            <w:tcW w:w="3020" w:type="dxa"/>
            <w:vAlign w:val="bottom"/>
          </w:tcPr>
          <w:p>
            <w:pPr>
              <w:jc w:val="right"/>
              <w:spacing w:after="0"/>
              <w:rPr>
                <w:sz w:val="20"/>
                <w:szCs w:val="20"/>
                <w:color w:val="auto"/>
              </w:rPr>
            </w:pPr>
            <w:r>
              <w:rPr>
                <w:rFonts w:ascii="Arial" w:cs="Arial" w:eastAsia="Arial" w:hAnsi="Arial"/>
                <w:sz w:val="18"/>
                <w:szCs w:val="18"/>
                <w:color w:val="auto"/>
              </w:rPr>
              <w:t>5,670,032</w:t>
            </w:r>
          </w:p>
        </w:tc>
      </w:tr>
      <w:tr>
        <w:trPr>
          <w:trHeight w:val="256"/>
        </w:trPr>
        <w:tc>
          <w:tcPr>
            <w:tcW w:w="2920" w:type="dxa"/>
            <w:vAlign w:val="bottom"/>
          </w:tcPr>
          <w:p>
            <w:pPr>
              <w:spacing w:after="0"/>
              <w:rPr>
                <w:sz w:val="22"/>
                <w:szCs w:val="22"/>
                <w:color w:val="auto"/>
              </w:rPr>
            </w:pPr>
          </w:p>
        </w:tc>
        <w:tc>
          <w:tcPr>
            <w:tcW w:w="1720" w:type="dxa"/>
            <w:vAlign w:val="bottom"/>
          </w:tcPr>
          <w:p>
            <w:pPr>
              <w:ind w:left="400"/>
              <w:spacing w:after="0"/>
              <w:rPr>
                <w:sz w:val="20"/>
                <w:szCs w:val="20"/>
                <w:color w:val="auto"/>
              </w:rPr>
            </w:pPr>
            <w:r>
              <w:rPr>
                <w:rFonts w:ascii="Arial" w:cs="Arial" w:eastAsia="Arial" w:hAnsi="Arial"/>
                <w:sz w:val="18"/>
                <w:szCs w:val="18"/>
                <w:color w:val="auto"/>
                <w:w w:val="93"/>
              </w:rPr>
              <w:t>Euronet Software</w:t>
            </w:r>
          </w:p>
        </w:tc>
        <w:tc>
          <w:tcPr>
            <w:tcW w:w="3680" w:type="dxa"/>
            <w:vAlign w:val="bottom"/>
          </w:tcPr>
          <w:p>
            <w:pPr>
              <w:spacing w:after="0"/>
              <w:rPr>
                <w:sz w:val="22"/>
                <w:szCs w:val="22"/>
                <w:color w:val="auto"/>
              </w:rPr>
            </w:pPr>
          </w:p>
        </w:tc>
        <w:tc>
          <w:tcPr>
            <w:tcW w:w="3020" w:type="dxa"/>
            <w:vAlign w:val="bottom"/>
          </w:tcPr>
          <w:p>
            <w:pPr>
              <w:spacing w:after="0"/>
              <w:rPr>
                <w:sz w:val="22"/>
                <w:szCs w:val="22"/>
                <w:color w:val="auto"/>
              </w:rPr>
            </w:pPr>
          </w:p>
        </w:tc>
      </w:tr>
      <w:tr>
        <w:trPr>
          <w:trHeight w:val="230"/>
        </w:trPr>
        <w:tc>
          <w:tcPr>
            <w:tcW w:w="2920" w:type="dxa"/>
            <w:vAlign w:val="bottom"/>
          </w:tcPr>
          <w:p>
            <w:pPr>
              <w:spacing w:after="0"/>
              <w:rPr>
                <w:sz w:val="20"/>
                <w:szCs w:val="20"/>
                <w:color w:val="auto"/>
              </w:rPr>
            </w:pPr>
            <w:r>
              <w:rPr>
                <w:rFonts w:ascii="Arial" w:cs="Arial" w:eastAsia="Arial" w:hAnsi="Arial"/>
                <w:sz w:val="18"/>
                <w:szCs w:val="18"/>
                <w:color w:val="auto"/>
              </w:rPr>
              <w:t>e-pay Holdings Ltd</w:t>
            </w:r>
          </w:p>
        </w:tc>
        <w:tc>
          <w:tcPr>
            <w:tcW w:w="1720" w:type="dxa"/>
            <w:vAlign w:val="bottom"/>
          </w:tcPr>
          <w:p>
            <w:pPr>
              <w:ind w:left="400"/>
              <w:spacing w:after="0"/>
              <w:rPr>
                <w:sz w:val="20"/>
                <w:szCs w:val="20"/>
                <w:color w:val="auto"/>
              </w:rPr>
            </w:pPr>
            <w:r>
              <w:rPr>
                <w:rFonts w:ascii="Arial" w:cs="Arial" w:eastAsia="Arial" w:hAnsi="Arial"/>
                <w:sz w:val="18"/>
                <w:szCs w:val="18"/>
                <w:color w:val="auto"/>
              </w:rPr>
              <w:t>UK Ltd</w:t>
            </w:r>
          </w:p>
        </w:tc>
        <w:tc>
          <w:tcPr>
            <w:tcW w:w="3680" w:type="dxa"/>
            <w:vAlign w:val="bottom"/>
          </w:tcPr>
          <w:p>
            <w:pPr>
              <w:ind w:left="40"/>
              <w:spacing w:after="0"/>
              <w:rPr>
                <w:sz w:val="20"/>
                <w:szCs w:val="20"/>
                <w:color w:val="auto"/>
              </w:rPr>
            </w:pPr>
            <w:r>
              <w:rPr>
                <w:rFonts w:ascii="Arial" w:cs="Arial" w:eastAsia="Arial" w:hAnsi="Arial"/>
                <w:sz w:val="18"/>
                <w:szCs w:val="18"/>
                <w:color w:val="auto"/>
              </w:rPr>
              <w:t>Intercompany Loan</w:t>
            </w:r>
          </w:p>
        </w:tc>
        <w:tc>
          <w:tcPr>
            <w:tcW w:w="302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256"/>
        </w:trPr>
        <w:tc>
          <w:tcPr>
            <w:tcW w:w="2920" w:type="dxa"/>
            <w:vAlign w:val="bottom"/>
          </w:tcPr>
          <w:p>
            <w:pPr>
              <w:spacing w:after="0"/>
              <w:rPr>
                <w:sz w:val="22"/>
                <w:szCs w:val="22"/>
                <w:color w:val="auto"/>
              </w:rPr>
            </w:pPr>
          </w:p>
        </w:tc>
        <w:tc>
          <w:tcPr>
            <w:tcW w:w="1720" w:type="dxa"/>
            <w:vAlign w:val="bottom"/>
          </w:tcPr>
          <w:p>
            <w:pPr>
              <w:ind w:left="400"/>
              <w:spacing w:after="0"/>
              <w:rPr>
                <w:sz w:val="20"/>
                <w:szCs w:val="20"/>
                <w:color w:val="auto"/>
              </w:rPr>
            </w:pPr>
            <w:r>
              <w:rPr>
                <w:rFonts w:ascii="Arial" w:cs="Arial" w:eastAsia="Arial" w:hAnsi="Arial"/>
                <w:sz w:val="18"/>
                <w:szCs w:val="18"/>
                <w:color w:val="auto"/>
              </w:rPr>
              <w:t>EFT Services</w:t>
            </w:r>
          </w:p>
        </w:tc>
        <w:tc>
          <w:tcPr>
            <w:tcW w:w="3680" w:type="dxa"/>
            <w:vAlign w:val="bottom"/>
          </w:tcPr>
          <w:p>
            <w:pPr>
              <w:spacing w:after="0"/>
              <w:rPr>
                <w:sz w:val="22"/>
                <w:szCs w:val="22"/>
                <w:color w:val="auto"/>
              </w:rPr>
            </w:pPr>
          </w:p>
        </w:tc>
        <w:tc>
          <w:tcPr>
            <w:tcW w:w="3020" w:type="dxa"/>
            <w:vAlign w:val="bottom"/>
          </w:tcPr>
          <w:p>
            <w:pPr>
              <w:spacing w:after="0"/>
              <w:rPr>
                <w:sz w:val="22"/>
                <w:szCs w:val="22"/>
                <w:color w:val="auto"/>
              </w:rPr>
            </w:pPr>
          </w:p>
        </w:tc>
      </w:tr>
      <w:tr>
        <w:trPr>
          <w:trHeight w:val="230"/>
        </w:trPr>
        <w:tc>
          <w:tcPr>
            <w:tcW w:w="2920" w:type="dxa"/>
            <w:vAlign w:val="bottom"/>
          </w:tcPr>
          <w:p>
            <w:pPr>
              <w:spacing w:after="0"/>
              <w:rPr>
                <w:sz w:val="20"/>
                <w:szCs w:val="20"/>
                <w:color w:val="auto"/>
              </w:rPr>
            </w:pPr>
            <w:r>
              <w:rPr>
                <w:rFonts w:ascii="Arial" w:cs="Arial" w:eastAsia="Arial" w:hAnsi="Arial"/>
                <w:sz w:val="18"/>
                <w:szCs w:val="18"/>
                <w:color w:val="auto"/>
              </w:rPr>
              <w:t>epay Ltd</w:t>
            </w:r>
          </w:p>
        </w:tc>
        <w:tc>
          <w:tcPr>
            <w:tcW w:w="1720" w:type="dxa"/>
            <w:vAlign w:val="bottom"/>
          </w:tcPr>
          <w:p>
            <w:pPr>
              <w:ind w:left="400"/>
              <w:spacing w:after="0"/>
              <w:rPr>
                <w:sz w:val="20"/>
                <w:szCs w:val="20"/>
                <w:color w:val="auto"/>
              </w:rPr>
            </w:pPr>
            <w:r>
              <w:rPr>
                <w:rFonts w:ascii="Arial" w:cs="Arial" w:eastAsia="Arial" w:hAnsi="Arial"/>
                <w:sz w:val="18"/>
                <w:szCs w:val="18"/>
                <w:color w:val="auto"/>
              </w:rPr>
              <w:t>Holding B.V.</w:t>
            </w:r>
          </w:p>
        </w:tc>
        <w:tc>
          <w:tcPr>
            <w:tcW w:w="3680" w:type="dxa"/>
            <w:vAlign w:val="bottom"/>
          </w:tcPr>
          <w:p>
            <w:pPr>
              <w:ind w:left="40"/>
              <w:spacing w:after="0"/>
              <w:rPr>
                <w:sz w:val="20"/>
                <w:szCs w:val="20"/>
                <w:color w:val="auto"/>
              </w:rPr>
            </w:pPr>
            <w:r>
              <w:rPr>
                <w:rFonts w:ascii="Arial" w:cs="Arial" w:eastAsia="Arial" w:hAnsi="Arial"/>
                <w:sz w:val="18"/>
                <w:szCs w:val="18"/>
                <w:color w:val="auto"/>
              </w:rPr>
              <w:t>Intercompany Loan</w:t>
            </w:r>
          </w:p>
        </w:tc>
        <w:tc>
          <w:tcPr>
            <w:tcW w:w="3020" w:type="dxa"/>
            <w:vAlign w:val="bottom"/>
          </w:tcPr>
          <w:p>
            <w:pPr>
              <w:jc w:val="right"/>
              <w:spacing w:after="0"/>
              <w:rPr>
                <w:sz w:val="20"/>
                <w:szCs w:val="20"/>
                <w:color w:val="auto"/>
              </w:rPr>
            </w:pPr>
            <w:r>
              <w:rPr>
                <w:rFonts w:ascii="Arial" w:cs="Arial" w:eastAsia="Arial" w:hAnsi="Arial"/>
                <w:sz w:val="18"/>
                <w:szCs w:val="18"/>
                <w:color w:val="auto"/>
              </w:rPr>
              <w:t>1,479</w:t>
            </w:r>
          </w:p>
        </w:tc>
      </w:tr>
      <w:tr>
        <w:trPr>
          <w:trHeight w:val="256"/>
        </w:trPr>
        <w:tc>
          <w:tcPr>
            <w:tcW w:w="2920" w:type="dxa"/>
            <w:vAlign w:val="bottom"/>
          </w:tcPr>
          <w:p>
            <w:pPr>
              <w:spacing w:after="0"/>
              <w:rPr>
                <w:sz w:val="22"/>
                <w:szCs w:val="22"/>
                <w:color w:val="auto"/>
              </w:rPr>
            </w:pPr>
          </w:p>
        </w:tc>
        <w:tc>
          <w:tcPr>
            <w:tcW w:w="1720" w:type="dxa"/>
            <w:vAlign w:val="bottom"/>
          </w:tcPr>
          <w:p>
            <w:pPr>
              <w:ind w:left="400"/>
              <w:spacing w:after="0"/>
              <w:rPr>
                <w:sz w:val="20"/>
                <w:szCs w:val="20"/>
                <w:color w:val="auto"/>
              </w:rPr>
            </w:pPr>
            <w:r>
              <w:rPr>
                <w:rFonts w:ascii="Arial" w:cs="Arial" w:eastAsia="Arial" w:hAnsi="Arial"/>
                <w:sz w:val="18"/>
                <w:szCs w:val="18"/>
                <w:color w:val="auto"/>
              </w:rPr>
              <w:t>Jiayintong</w:t>
            </w:r>
          </w:p>
        </w:tc>
        <w:tc>
          <w:tcPr>
            <w:tcW w:w="3680" w:type="dxa"/>
            <w:vAlign w:val="bottom"/>
          </w:tcPr>
          <w:p>
            <w:pPr>
              <w:spacing w:after="0"/>
              <w:rPr>
                <w:sz w:val="22"/>
                <w:szCs w:val="22"/>
                <w:color w:val="auto"/>
              </w:rPr>
            </w:pPr>
          </w:p>
        </w:tc>
        <w:tc>
          <w:tcPr>
            <w:tcW w:w="3020" w:type="dxa"/>
            <w:vAlign w:val="bottom"/>
          </w:tcPr>
          <w:p>
            <w:pPr>
              <w:spacing w:after="0"/>
              <w:rPr>
                <w:sz w:val="22"/>
                <w:szCs w:val="22"/>
                <w:color w:val="auto"/>
              </w:rPr>
            </w:pPr>
          </w:p>
        </w:tc>
      </w:tr>
      <w:tr>
        <w:trPr>
          <w:trHeight w:val="216"/>
        </w:trPr>
        <w:tc>
          <w:tcPr>
            <w:tcW w:w="2920" w:type="dxa"/>
            <w:vAlign w:val="bottom"/>
          </w:tcPr>
          <w:p>
            <w:pPr>
              <w:spacing w:after="0"/>
              <w:rPr>
                <w:sz w:val="18"/>
                <w:szCs w:val="18"/>
                <w:color w:val="auto"/>
              </w:rPr>
            </w:pPr>
          </w:p>
        </w:tc>
        <w:tc>
          <w:tcPr>
            <w:tcW w:w="1720" w:type="dxa"/>
            <w:vAlign w:val="bottom"/>
          </w:tcPr>
          <w:p>
            <w:pPr>
              <w:ind w:left="400"/>
              <w:spacing w:after="0"/>
              <w:rPr>
                <w:sz w:val="20"/>
                <w:szCs w:val="20"/>
                <w:color w:val="auto"/>
              </w:rPr>
            </w:pPr>
            <w:r>
              <w:rPr>
                <w:rFonts w:ascii="Arial" w:cs="Arial" w:eastAsia="Arial" w:hAnsi="Arial"/>
                <w:sz w:val="18"/>
                <w:szCs w:val="18"/>
                <w:color w:val="auto"/>
              </w:rPr>
              <w:t>(Beijing)</w:t>
            </w:r>
          </w:p>
        </w:tc>
        <w:tc>
          <w:tcPr>
            <w:tcW w:w="3680" w:type="dxa"/>
            <w:vAlign w:val="bottom"/>
          </w:tcPr>
          <w:p>
            <w:pPr>
              <w:spacing w:after="0"/>
              <w:rPr>
                <w:sz w:val="18"/>
                <w:szCs w:val="18"/>
                <w:color w:val="auto"/>
              </w:rPr>
            </w:pPr>
          </w:p>
        </w:tc>
        <w:tc>
          <w:tcPr>
            <w:tcW w:w="3020" w:type="dxa"/>
            <w:vAlign w:val="bottom"/>
          </w:tcPr>
          <w:p>
            <w:pPr>
              <w:spacing w:after="0"/>
              <w:rPr>
                <w:sz w:val="18"/>
                <w:szCs w:val="18"/>
                <w:color w:val="auto"/>
              </w:rPr>
            </w:pPr>
          </w:p>
        </w:tc>
      </w:tr>
      <w:tr>
        <w:trPr>
          <w:trHeight w:val="216"/>
        </w:trPr>
        <w:tc>
          <w:tcPr>
            <w:tcW w:w="2920" w:type="dxa"/>
            <w:vAlign w:val="bottom"/>
          </w:tcPr>
          <w:p>
            <w:pPr>
              <w:spacing w:after="0"/>
              <w:rPr>
                <w:sz w:val="18"/>
                <w:szCs w:val="18"/>
                <w:color w:val="auto"/>
              </w:rPr>
            </w:pPr>
          </w:p>
        </w:tc>
        <w:tc>
          <w:tcPr>
            <w:tcW w:w="1720" w:type="dxa"/>
            <w:vAlign w:val="bottom"/>
          </w:tcPr>
          <w:p>
            <w:pPr>
              <w:ind w:left="400"/>
              <w:spacing w:after="0"/>
              <w:rPr>
                <w:sz w:val="20"/>
                <w:szCs w:val="20"/>
                <w:color w:val="auto"/>
              </w:rPr>
            </w:pPr>
            <w:r>
              <w:rPr>
                <w:rFonts w:ascii="Arial" w:cs="Arial" w:eastAsia="Arial" w:hAnsi="Arial"/>
                <w:sz w:val="18"/>
                <w:szCs w:val="18"/>
                <w:color w:val="auto"/>
              </w:rPr>
              <w:t>Technology</w:t>
            </w:r>
          </w:p>
        </w:tc>
        <w:tc>
          <w:tcPr>
            <w:tcW w:w="3680" w:type="dxa"/>
            <w:vAlign w:val="bottom"/>
          </w:tcPr>
          <w:p>
            <w:pPr>
              <w:spacing w:after="0"/>
              <w:rPr>
                <w:sz w:val="18"/>
                <w:szCs w:val="18"/>
                <w:color w:val="auto"/>
              </w:rPr>
            </w:pPr>
          </w:p>
        </w:tc>
        <w:tc>
          <w:tcPr>
            <w:tcW w:w="3020" w:type="dxa"/>
            <w:vAlign w:val="bottom"/>
          </w:tcPr>
          <w:p>
            <w:pPr>
              <w:spacing w:after="0"/>
              <w:rPr>
                <w:sz w:val="18"/>
                <w:szCs w:val="18"/>
                <w:color w:val="auto"/>
              </w:rPr>
            </w:pPr>
          </w:p>
        </w:tc>
      </w:tr>
      <w:tr>
        <w:trPr>
          <w:trHeight w:val="216"/>
        </w:trPr>
        <w:tc>
          <w:tcPr>
            <w:tcW w:w="2920" w:type="dxa"/>
            <w:vAlign w:val="bottom"/>
          </w:tcPr>
          <w:p>
            <w:pPr>
              <w:spacing w:after="0"/>
              <w:rPr>
                <w:sz w:val="18"/>
                <w:szCs w:val="18"/>
                <w:color w:val="auto"/>
              </w:rPr>
            </w:pPr>
          </w:p>
        </w:tc>
        <w:tc>
          <w:tcPr>
            <w:tcW w:w="1720" w:type="dxa"/>
            <w:vAlign w:val="bottom"/>
          </w:tcPr>
          <w:p>
            <w:pPr>
              <w:ind w:left="400"/>
              <w:spacing w:after="0"/>
              <w:rPr>
                <w:sz w:val="20"/>
                <w:szCs w:val="20"/>
                <w:color w:val="auto"/>
              </w:rPr>
            </w:pPr>
            <w:r>
              <w:rPr>
                <w:rFonts w:ascii="Arial" w:cs="Arial" w:eastAsia="Arial" w:hAnsi="Arial"/>
                <w:sz w:val="18"/>
                <w:szCs w:val="18"/>
                <w:color w:val="auto"/>
                <w:w w:val="93"/>
              </w:rPr>
              <w:t>Development Co.</w:t>
            </w:r>
          </w:p>
        </w:tc>
        <w:tc>
          <w:tcPr>
            <w:tcW w:w="3680" w:type="dxa"/>
            <w:vAlign w:val="bottom"/>
          </w:tcPr>
          <w:p>
            <w:pPr>
              <w:spacing w:after="0"/>
              <w:rPr>
                <w:sz w:val="18"/>
                <w:szCs w:val="18"/>
                <w:color w:val="auto"/>
              </w:rPr>
            </w:pPr>
          </w:p>
        </w:tc>
        <w:tc>
          <w:tcPr>
            <w:tcW w:w="3020" w:type="dxa"/>
            <w:vAlign w:val="bottom"/>
          </w:tcPr>
          <w:p>
            <w:pPr>
              <w:spacing w:after="0"/>
              <w:rPr>
                <w:sz w:val="18"/>
                <w:szCs w:val="18"/>
                <w:color w:val="auto"/>
              </w:rPr>
            </w:pPr>
          </w:p>
        </w:tc>
      </w:tr>
      <w:tr>
        <w:trPr>
          <w:trHeight w:val="216"/>
        </w:trPr>
        <w:tc>
          <w:tcPr>
            <w:tcW w:w="2920" w:type="dxa"/>
            <w:vAlign w:val="bottom"/>
          </w:tcPr>
          <w:p>
            <w:pPr>
              <w:spacing w:after="0"/>
              <w:rPr>
                <w:sz w:val="18"/>
                <w:szCs w:val="18"/>
                <w:color w:val="auto"/>
              </w:rPr>
            </w:pPr>
          </w:p>
        </w:tc>
        <w:tc>
          <w:tcPr>
            <w:tcW w:w="1720" w:type="dxa"/>
            <w:vAlign w:val="bottom"/>
          </w:tcPr>
          <w:p>
            <w:pPr>
              <w:ind w:left="400"/>
              <w:spacing w:after="0"/>
              <w:rPr>
                <w:sz w:val="20"/>
                <w:szCs w:val="20"/>
                <w:color w:val="auto"/>
              </w:rPr>
            </w:pPr>
            <w:r>
              <w:rPr>
                <w:rFonts w:ascii="Arial" w:cs="Arial" w:eastAsia="Arial" w:hAnsi="Arial"/>
                <w:sz w:val="18"/>
                <w:szCs w:val="18"/>
                <w:color w:val="auto"/>
              </w:rPr>
              <w:t>Ltd. d.b.a.</w:t>
            </w:r>
          </w:p>
        </w:tc>
        <w:tc>
          <w:tcPr>
            <w:tcW w:w="3680" w:type="dxa"/>
            <w:vAlign w:val="bottom"/>
          </w:tcPr>
          <w:p>
            <w:pPr>
              <w:spacing w:after="0"/>
              <w:rPr>
                <w:sz w:val="18"/>
                <w:szCs w:val="18"/>
                <w:color w:val="auto"/>
              </w:rPr>
            </w:pPr>
          </w:p>
        </w:tc>
        <w:tc>
          <w:tcPr>
            <w:tcW w:w="3020" w:type="dxa"/>
            <w:vAlign w:val="bottom"/>
          </w:tcPr>
          <w:p>
            <w:pPr>
              <w:spacing w:after="0"/>
              <w:rPr>
                <w:sz w:val="18"/>
                <w:szCs w:val="18"/>
                <w:color w:val="auto"/>
              </w:rPr>
            </w:pPr>
          </w:p>
        </w:tc>
      </w:tr>
      <w:tr>
        <w:trPr>
          <w:trHeight w:val="230"/>
        </w:trPr>
        <w:tc>
          <w:tcPr>
            <w:tcW w:w="2920" w:type="dxa"/>
            <w:vAlign w:val="bottom"/>
          </w:tcPr>
          <w:p>
            <w:pPr>
              <w:spacing w:after="0"/>
              <w:rPr>
                <w:sz w:val="20"/>
                <w:szCs w:val="20"/>
                <w:color w:val="auto"/>
              </w:rPr>
            </w:pPr>
            <w:r>
              <w:rPr>
                <w:rFonts w:ascii="Arial" w:cs="Arial" w:eastAsia="Arial" w:hAnsi="Arial"/>
                <w:sz w:val="18"/>
                <w:szCs w:val="18"/>
                <w:color w:val="auto"/>
              </w:rPr>
              <w:t>Euronet Asia Holdings Limited</w:t>
            </w:r>
          </w:p>
        </w:tc>
        <w:tc>
          <w:tcPr>
            <w:tcW w:w="1720" w:type="dxa"/>
            <w:vAlign w:val="bottom"/>
          </w:tcPr>
          <w:p>
            <w:pPr>
              <w:ind w:left="400"/>
              <w:spacing w:after="0"/>
              <w:rPr>
                <w:sz w:val="20"/>
                <w:szCs w:val="20"/>
                <w:color w:val="auto"/>
              </w:rPr>
            </w:pPr>
            <w:r>
              <w:rPr>
                <w:rFonts w:ascii="Arial" w:cs="Arial" w:eastAsia="Arial" w:hAnsi="Arial"/>
                <w:sz w:val="18"/>
                <w:szCs w:val="18"/>
                <w:color w:val="auto"/>
              </w:rPr>
              <w:t>Euronet China</w:t>
            </w:r>
          </w:p>
        </w:tc>
        <w:tc>
          <w:tcPr>
            <w:tcW w:w="3680" w:type="dxa"/>
            <w:vAlign w:val="bottom"/>
          </w:tcPr>
          <w:p>
            <w:pPr>
              <w:ind w:left="40"/>
              <w:spacing w:after="0"/>
              <w:rPr>
                <w:sz w:val="20"/>
                <w:szCs w:val="20"/>
                <w:color w:val="auto"/>
              </w:rPr>
            </w:pPr>
            <w:r>
              <w:rPr>
                <w:rFonts w:ascii="Arial" w:cs="Arial" w:eastAsia="Arial" w:hAnsi="Arial"/>
                <w:sz w:val="18"/>
                <w:szCs w:val="18"/>
                <w:color w:val="auto"/>
              </w:rPr>
              <w:t>Intercompany Loan</w:t>
            </w:r>
          </w:p>
        </w:tc>
        <w:tc>
          <w:tcPr>
            <w:tcW w:w="3020" w:type="dxa"/>
            <w:vAlign w:val="bottom"/>
          </w:tcPr>
          <w:p>
            <w:pPr>
              <w:jc w:val="right"/>
              <w:spacing w:after="0"/>
              <w:rPr>
                <w:sz w:val="20"/>
                <w:szCs w:val="20"/>
                <w:color w:val="auto"/>
              </w:rPr>
            </w:pPr>
            <w:r>
              <w:rPr>
                <w:rFonts w:ascii="Arial" w:cs="Arial" w:eastAsia="Arial" w:hAnsi="Arial"/>
                <w:sz w:val="18"/>
                <w:szCs w:val="18"/>
                <w:color w:val="auto"/>
              </w:rPr>
              <w:t>1,500,000</w:t>
            </w:r>
          </w:p>
        </w:tc>
      </w:tr>
      <w:tr>
        <w:trPr>
          <w:trHeight w:val="256"/>
        </w:trPr>
        <w:tc>
          <w:tcPr>
            <w:tcW w:w="2920" w:type="dxa"/>
            <w:vAlign w:val="bottom"/>
          </w:tcPr>
          <w:p>
            <w:pPr>
              <w:spacing w:after="0"/>
              <w:rPr>
                <w:sz w:val="22"/>
                <w:szCs w:val="22"/>
                <w:color w:val="auto"/>
              </w:rPr>
            </w:pPr>
          </w:p>
        </w:tc>
        <w:tc>
          <w:tcPr>
            <w:tcW w:w="1720" w:type="dxa"/>
            <w:vAlign w:val="bottom"/>
          </w:tcPr>
          <w:p>
            <w:pPr>
              <w:ind w:left="400"/>
              <w:spacing w:after="0"/>
              <w:rPr>
                <w:sz w:val="20"/>
                <w:szCs w:val="20"/>
                <w:color w:val="auto"/>
              </w:rPr>
            </w:pPr>
            <w:r>
              <w:rPr>
                <w:rFonts w:ascii="Arial" w:cs="Arial" w:eastAsia="Arial" w:hAnsi="Arial"/>
                <w:sz w:val="18"/>
                <w:szCs w:val="18"/>
                <w:color w:val="auto"/>
              </w:rPr>
              <w:t>Euronet</w:t>
            </w:r>
          </w:p>
        </w:tc>
        <w:tc>
          <w:tcPr>
            <w:tcW w:w="3680" w:type="dxa"/>
            <w:vAlign w:val="bottom"/>
          </w:tcPr>
          <w:p>
            <w:pPr>
              <w:spacing w:after="0"/>
              <w:rPr>
                <w:sz w:val="22"/>
                <w:szCs w:val="22"/>
                <w:color w:val="auto"/>
              </w:rPr>
            </w:pPr>
          </w:p>
        </w:tc>
        <w:tc>
          <w:tcPr>
            <w:tcW w:w="3020" w:type="dxa"/>
            <w:vAlign w:val="bottom"/>
          </w:tcPr>
          <w:p>
            <w:pPr>
              <w:spacing w:after="0"/>
              <w:rPr>
                <w:sz w:val="22"/>
                <w:szCs w:val="22"/>
                <w:color w:val="auto"/>
              </w:rPr>
            </w:pPr>
          </w:p>
        </w:tc>
      </w:tr>
      <w:tr>
        <w:trPr>
          <w:trHeight w:val="216"/>
        </w:trPr>
        <w:tc>
          <w:tcPr>
            <w:tcW w:w="2920" w:type="dxa"/>
            <w:vAlign w:val="bottom"/>
          </w:tcPr>
          <w:p>
            <w:pPr>
              <w:spacing w:after="0"/>
              <w:rPr>
                <w:sz w:val="18"/>
                <w:szCs w:val="18"/>
                <w:color w:val="auto"/>
              </w:rPr>
            </w:pPr>
          </w:p>
        </w:tc>
        <w:tc>
          <w:tcPr>
            <w:tcW w:w="1720" w:type="dxa"/>
            <w:vAlign w:val="bottom"/>
          </w:tcPr>
          <w:p>
            <w:pPr>
              <w:ind w:left="400"/>
              <w:spacing w:after="0"/>
              <w:rPr>
                <w:sz w:val="20"/>
                <w:szCs w:val="20"/>
                <w:color w:val="auto"/>
              </w:rPr>
            </w:pPr>
            <w:r>
              <w:rPr>
                <w:rFonts w:ascii="Arial" w:cs="Arial" w:eastAsia="Arial" w:hAnsi="Arial"/>
                <w:sz w:val="18"/>
                <w:szCs w:val="18"/>
                <w:color w:val="auto"/>
              </w:rPr>
              <w:t>Telerecarga,</w:t>
            </w:r>
          </w:p>
        </w:tc>
        <w:tc>
          <w:tcPr>
            <w:tcW w:w="3680" w:type="dxa"/>
            <w:vAlign w:val="bottom"/>
          </w:tcPr>
          <w:p>
            <w:pPr>
              <w:spacing w:after="0"/>
              <w:rPr>
                <w:sz w:val="18"/>
                <w:szCs w:val="18"/>
                <w:color w:val="auto"/>
              </w:rPr>
            </w:pPr>
          </w:p>
        </w:tc>
        <w:tc>
          <w:tcPr>
            <w:tcW w:w="3020" w:type="dxa"/>
            <w:vAlign w:val="bottom"/>
          </w:tcPr>
          <w:p>
            <w:pPr>
              <w:spacing w:after="0"/>
              <w:rPr>
                <w:sz w:val="18"/>
                <w:szCs w:val="18"/>
                <w:color w:val="auto"/>
              </w:rPr>
            </w:pPr>
          </w:p>
        </w:tc>
      </w:tr>
      <w:tr>
        <w:trPr>
          <w:trHeight w:val="230"/>
        </w:trPr>
        <w:tc>
          <w:tcPr>
            <w:tcW w:w="2920" w:type="dxa"/>
            <w:vAlign w:val="bottom"/>
          </w:tcPr>
          <w:p>
            <w:pPr>
              <w:spacing w:after="0"/>
              <w:rPr>
                <w:sz w:val="20"/>
                <w:szCs w:val="20"/>
                <w:color w:val="auto"/>
              </w:rPr>
            </w:pPr>
            <w:r>
              <w:rPr>
                <w:rFonts w:ascii="Arial" w:cs="Arial" w:eastAsia="Arial" w:hAnsi="Arial"/>
                <w:sz w:val="18"/>
                <w:szCs w:val="18"/>
                <w:color w:val="auto"/>
              </w:rPr>
              <w:t>Euronet Business Holdings, S.L.U.</w:t>
            </w:r>
          </w:p>
        </w:tc>
        <w:tc>
          <w:tcPr>
            <w:tcW w:w="1720" w:type="dxa"/>
            <w:vAlign w:val="bottom"/>
          </w:tcPr>
          <w:p>
            <w:pPr>
              <w:ind w:left="400"/>
              <w:spacing w:after="0"/>
              <w:rPr>
                <w:sz w:val="20"/>
                <w:szCs w:val="20"/>
                <w:color w:val="auto"/>
              </w:rPr>
            </w:pPr>
            <w:r>
              <w:rPr>
                <w:rFonts w:ascii="Arial" w:cs="Arial" w:eastAsia="Arial" w:hAnsi="Arial"/>
                <w:sz w:val="18"/>
                <w:szCs w:val="18"/>
                <w:color w:val="auto"/>
              </w:rPr>
              <w:t>S.L.U.</w:t>
            </w:r>
          </w:p>
        </w:tc>
        <w:tc>
          <w:tcPr>
            <w:tcW w:w="3680" w:type="dxa"/>
            <w:vAlign w:val="bottom"/>
          </w:tcPr>
          <w:p>
            <w:pPr>
              <w:ind w:left="40"/>
              <w:spacing w:after="0"/>
              <w:rPr>
                <w:sz w:val="20"/>
                <w:szCs w:val="20"/>
                <w:color w:val="auto"/>
              </w:rPr>
            </w:pPr>
            <w:r>
              <w:rPr>
                <w:rFonts w:ascii="Arial" w:cs="Arial" w:eastAsia="Arial" w:hAnsi="Arial"/>
                <w:sz w:val="18"/>
                <w:szCs w:val="18"/>
                <w:color w:val="auto"/>
              </w:rPr>
              <w:t>Intercompany Loan</w:t>
            </w:r>
          </w:p>
        </w:tc>
        <w:tc>
          <w:tcPr>
            <w:tcW w:w="3020" w:type="dxa"/>
            <w:vAlign w:val="bottom"/>
          </w:tcPr>
          <w:p>
            <w:pPr>
              <w:jc w:val="right"/>
              <w:spacing w:after="0"/>
              <w:rPr>
                <w:sz w:val="20"/>
                <w:szCs w:val="20"/>
                <w:color w:val="auto"/>
              </w:rPr>
            </w:pPr>
            <w:r>
              <w:rPr>
                <w:rFonts w:ascii="Arial" w:cs="Arial" w:eastAsia="Arial" w:hAnsi="Arial"/>
                <w:sz w:val="18"/>
                <w:szCs w:val="18"/>
                <w:color w:val="auto"/>
              </w:rPr>
              <w:t>22,296,450</w:t>
            </w:r>
          </w:p>
        </w:tc>
      </w:tr>
      <w:tr>
        <w:trPr>
          <w:trHeight w:val="256"/>
        </w:trPr>
        <w:tc>
          <w:tcPr>
            <w:tcW w:w="2920" w:type="dxa"/>
            <w:vAlign w:val="bottom"/>
          </w:tcPr>
          <w:p>
            <w:pPr>
              <w:spacing w:after="0"/>
              <w:rPr>
                <w:sz w:val="22"/>
                <w:szCs w:val="22"/>
                <w:color w:val="auto"/>
              </w:rPr>
            </w:pPr>
          </w:p>
        </w:tc>
        <w:tc>
          <w:tcPr>
            <w:tcW w:w="1720" w:type="dxa"/>
            <w:vAlign w:val="bottom"/>
          </w:tcPr>
          <w:p>
            <w:pPr>
              <w:ind w:left="400"/>
              <w:spacing w:after="0"/>
              <w:rPr>
                <w:sz w:val="20"/>
                <w:szCs w:val="20"/>
                <w:color w:val="auto"/>
              </w:rPr>
            </w:pPr>
            <w:r>
              <w:rPr>
                <w:rFonts w:ascii="Arial" w:cs="Arial" w:eastAsia="Arial" w:hAnsi="Arial"/>
                <w:sz w:val="18"/>
                <w:szCs w:val="18"/>
                <w:color w:val="auto"/>
              </w:rPr>
              <w:t>RIA Spain</w:t>
            </w:r>
          </w:p>
        </w:tc>
        <w:tc>
          <w:tcPr>
            <w:tcW w:w="3680" w:type="dxa"/>
            <w:vAlign w:val="bottom"/>
          </w:tcPr>
          <w:p>
            <w:pPr>
              <w:spacing w:after="0"/>
              <w:rPr>
                <w:sz w:val="22"/>
                <w:szCs w:val="22"/>
                <w:color w:val="auto"/>
              </w:rPr>
            </w:pPr>
          </w:p>
        </w:tc>
        <w:tc>
          <w:tcPr>
            <w:tcW w:w="3020" w:type="dxa"/>
            <w:vAlign w:val="bottom"/>
          </w:tcPr>
          <w:p>
            <w:pPr>
              <w:spacing w:after="0"/>
              <w:rPr>
                <w:sz w:val="22"/>
                <w:szCs w:val="22"/>
                <w:color w:val="auto"/>
              </w:rPr>
            </w:pPr>
          </w:p>
        </w:tc>
      </w:tr>
      <w:tr>
        <w:trPr>
          <w:trHeight w:val="230"/>
        </w:trPr>
        <w:tc>
          <w:tcPr>
            <w:tcW w:w="2920" w:type="dxa"/>
            <w:vAlign w:val="bottom"/>
          </w:tcPr>
          <w:p>
            <w:pPr>
              <w:spacing w:after="0"/>
              <w:rPr>
                <w:sz w:val="20"/>
                <w:szCs w:val="20"/>
                <w:color w:val="auto"/>
              </w:rPr>
            </w:pPr>
            <w:r>
              <w:rPr>
                <w:rFonts w:ascii="Arial" w:cs="Arial" w:eastAsia="Arial" w:hAnsi="Arial"/>
                <w:sz w:val="18"/>
                <w:szCs w:val="18"/>
                <w:color w:val="auto"/>
              </w:rPr>
              <w:t>Euronet Business Holdings, S.L.U.</w:t>
            </w:r>
          </w:p>
        </w:tc>
        <w:tc>
          <w:tcPr>
            <w:tcW w:w="1720" w:type="dxa"/>
            <w:vAlign w:val="bottom"/>
          </w:tcPr>
          <w:p>
            <w:pPr>
              <w:ind w:left="400"/>
              <w:spacing w:after="0"/>
              <w:rPr>
                <w:sz w:val="20"/>
                <w:szCs w:val="20"/>
                <w:color w:val="auto"/>
              </w:rPr>
            </w:pPr>
            <w:r>
              <w:rPr>
                <w:rFonts w:ascii="Arial" w:cs="Arial" w:eastAsia="Arial" w:hAnsi="Arial"/>
                <w:sz w:val="18"/>
                <w:szCs w:val="18"/>
                <w:color w:val="auto"/>
              </w:rPr>
              <w:t>Holdings S.L.U.</w:t>
            </w:r>
          </w:p>
        </w:tc>
        <w:tc>
          <w:tcPr>
            <w:tcW w:w="3680" w:type="dxa"/>
            <w:vAlign w:val="bottom"/>
          </w:tcPr>
          <w:p>
            <w:pPr>
              <w:ind w:left="40"/>
              <w:spacing w:after="0"/>
              <w:rPr>
                <w:sz w:val="20"/>
                <w:szCs w:val="20"/>
                <w:color w:val="auto"/>
              </w:rPr>
            </w:pPr>
            <w:r>
              <w:rPr>
                <w:rFonts w:ascii="Arial" w:cs="Arial" w:eastAsia="Arial" w:hAnsi="Arial"/>
                <w:sz w:val="18"/>
                <w:szCs w:val="18"/>
                <w:color w:val="auto"/>
              </w:rPr>
              <w:t>Intercompany Loan</w:t>
            </w:r>
          </w:p>
        </w:tc>
        <w:tc>
          <w:tcPr>
            <w:tcW w:w="3020" w:type="dxa"/>
            <w:vAlign w:val="bottom"/>
          </w:tcPr>
          <w:p>
            <w:pPr>
              <w:jc w:val="right"/>
              <w:spacing w:after="0"/>
              <w:rPr>
                <w:sz w:val="20"/>
                <w:szCs w:val="20"/>
                <w:color w:val="auto"/>
              </w:rPr>
            </w:pPr>
            <w:r>
              <w:rPr>
                <w:rFonts w:ascii="Arial" w:cs="Arial" w:eastAsia="Arial" w:hAnsi="Arial"/>
                <w:sz w:val="18"/>
                <w:szCs w:val="18"/>
                <w:color w:val="auto"/>
              </w:rPr>
              <w:t>56,661,888</w:t>
            </w:r>
          </w:p>
        </w:tc>
      </w:tr>
      <w:tr>
        <w:trPr>
          <w:trHeight w:val="256"/>
        </w:trPr>
        <w:tc>
          <w:tcPr>
            <w:tcW w:w="2920" w:type="dxa"/>
            <w:vAlign w:val="bottom"/>
          </w:tcPr>
          <w:p>
            <w:pPr>
              <w:spacing w:after="0"/>
              <w:rPr>
                <w:sz w:val="22"/>
                <w:szCs w:val="22"/>
                <w:color w:val="auto"/>
              </w:rPr>
            </w:pPr>
          </w:p>
        </w:tc>
        <w:tc>
          <w:tcPr>
            <w:tcW w:w="1720" w:type="dxa"/>
            <w:vAlign w:val="bottom"/>
          </w:tcPr>
          <w:p>
            <w:pPr>
              <w:ind w:left="400"/>
              <w:spacing w:after="0"/>
              <w:rPr>
                <w:sz w:val="20"/>
                <w:szCs w:val="20"/>
                <w:color w:val="auto"/>
              </w:rPr>
            </w:pPr>
            <w:r>
              <w:rPr>
                <w:rFonts w:ascii="Arial" w:cs="Arial" w:eastAsia="Arial" w:hAnsi="Arial"/>
                <w:sz w:val="18"/>
                <w:szCs w:val="18"/>
                <w:color w:val="auto"/>
              </w:rPr>
              <w:t>EFT Services</w:t>
            </w:r>
          </w:p>
        </w:tc>
        <w:tc>
          <w:tcPr>
            <w:tcW w:w="3680" w:type="dxa"/>
            <w:vAlign w:val="bottom"/>
          </w:tcPr>
          <w:p>
            <w:pPr>
              <w:spacing w:after="0"/>
              <w:rPr>
                <w:sz w:val="22"/>
                <w:szCs w:val="22"/>
                <w:color w:val="auto"/>
              </w:rPr>
            </w:pPr>
          </w:p>
        </w:tc>
        <w:tc>
          <w:tcPr>
            <w:tcW w:w="3020" w:type="dxa"/>
            <w:vAlign w:val="bottom"/>
          </w:tcPr>
          <w:p>
            <w:pPr>
              <w:spacing w:after="0"/>
              <w:rPr>
                <w:sz w:val="22"/>
                <w:szCs w:val="22"/>
                <w:color w:val="auto"/>
              </w:rPr>
            </w:pPr>
          </w:p>
        </w:tc>
      </w:tr>
      <w:tr>
        <w:trPr>
          <w:trHeight w:val="230"/>
        </w:trPr>
        <w:tc>
          <w:tcPr>
            <w:tcW w:w="2920" w:type="dxa"/>
            <w:vAlign w:val="bottom"/>
          </w:tcPr>
          <w:p>
            <w:pPr>
              <w:spacing w:after="0"/>
              <w:rPr>
                <w:sz w:val="20"/>
                <w:szCs w:val="20"/>
                <w:color w:val="auto"/>
              </w:rPr>
            </w:pPr>
            <w:r>
              <w:rPr>
                <w:rFonts w:ascii="Arial" w:cs="Arial" w:eastAsia="Arial" w:hAnsi="Arial"/>
                <w:sz w:val="18"/>
                <w:szCs w:val="18"/>
                <w:color w:val="auto"/>
              </w:rPr>
              <w:t>Euronet Card Services S.A.</w:t>
            </w:r>
          </w:p>
        </w:tc>
        <w:tc>
          <w:tcPr>
            <w:tcW w:w="1720" w:type="dxa"/>
            <w:vAlign w:val="bottom"/>
          </w:tcPr>
          <w:p>
            <w:pPr>
              <w:ind w:left="400"/>
              <w:spacing w:after="0"/>
              <w:rPr>
                <w:sz w:val="20"/>
                <w:szCs w:val="20"/>
                <w:color w:val="auto"/>
              </w:rPr>
            </w:pPr>
            <w:r>
              <w:rPr>
                <w:rFonts w:ascii="Arial" w:cs="Arial" w:eastAsia="Arial" w:hAnsi="Arial"/>
                <w:sz w:val="18"/>
                <w:szCs w:val="18"/>
                <w:color w:val="auto"/>
              </w:rPr>
              <w:t>Holding B.V.</w:t>
            </w:r>
          </w:p>
        </w:tc>
        <w:tc>
          <w:tcPr>
            <w:tcW w:w="3680" w:type="dxa"/>
            <w:vAlign w:val="bottom"/>
          </w:tcPr>
          <w:p>
            <w:pPr>
              <w:ind w:left="40"/>
              <w:spacing w:after="0"/>
              <w:rPr>
                <w:sz w:val="20"/>
                <w:szCs w:val="20"/>
                <w:color w:val="auto"/>
              </w:rPr>
            </w:pPr>
            <w:r>
              <w:rPr>
                <w:rFonts w:ascii="Arial" w:cs="Arial" w:eastAsia="Arial" w:hAnsi="Arial"/>
                <w:sz w:val="18"/>
                <w:szCs w:val="18"/>
                <w:color w:val="auto"/>
              </w:rPr>
              <w:t>Intercompany Loan</w:t>
            </w:r>
          </w:p>
        </w:tc>
        <w:tc>
          <w:tcPr>
            <w:tcW w:w="3020" w:type="dxa"/>
            <w:vAlign w:val="bottom"/>
          </w:tcPr>
          <w:p>
            <w:pPr>
              <w:jc w:val="right"/>
              <w:spacing w:after="0"/>
              <w:rPr>
                <w:sz w:val="20"/>
                <w:szCs w:val="20"/>
                <w:color w:val="auto"/>
              </w:rPr>
            </w:pPr>
            <w:r>
              <w:rPr>
                <w:rFonts w:ascii="Arial" w:cs="Arial" w:eastAsia="Arial" w:hAnsi="Arial"/>
                <w:sz w:val="18"/>
                <w:szCs w:val="18"/>
                <w:color w:val="auto"/>
              </w:rPr>
              <w:t>1,083,388</w:t>
            </w:r>
          </w:p>
        </w:tc>
      </w:tr>
      <w:tr>
        <w:trPr>
          <w:trHeight w:val="256"/>
        </w:trPr>
        <w:tc>
          <w:tcPr>
            <w:tcW w:w="2920" w:type="dxa"/>
            <w:vAlign w:val="bottom"/>
          </w:tcPr>
          <w:p>
            <w:pPr>
              <w:spacing w:after="0"/>
              <w:rPr>
                <w:sz w:val="22"/>
                <w:szCs w:val="22"/>
                <w:color w:val="auto"/>
              </w:rPr>
            </w:pPr>
          </w:p>
        </w:tc>
        <w:tc>
          <w:tcPr>
            <w:tcW w:w="1720" w:type="dxa"/>
            <w:vAlign w:val="bottom"/>
          </w:tcPr>
          <w:p>
            <w:pPr>
              <w:ind w:left="400"/>
              <w:spacing w:after="0"/>
              <w:rPr>
                <w:sz w:val="20"/>
                <w:szCs w:val="20"/>
                <w:color w:val="auto"/>
              </w:rPr>
            </w:pPr>
            <w:r>
              <w:rPr>
                <w:rFonts w:ascii="Arial" w:cs="Arial" w:eastAsia="Arial" w:hAnsi="Arial"/>
                <w:sz w:val="18"/>
                <w:szCs w:val="18"/>
                <w:color w:val="auto"/>
                <w:w w:val="99"/>
              </w:rPr>
              <w:t>Euronet Prepaid</w:t>
            </w:r>
          </w:p>
        </w:tc>
        <w:tc>
          <w:tcPr>
            <w:tcW w:w="3680" w:type="dxa"/>
            <w:vAlign w:val="bottom"/>
          </w:tcPr>
          <w:p>
            <w:pPr>
              <w:spacing w:after="0"/>
              <w:rPr>
                <w:sz w:val="22"/>
                <w:szCs w:val="22"/>
                <w:color w:val="auto"/>
              </w:rPr>
            </w:pPr>
          </w:p>
        </w:tc>
        <w:tc>
          <w:tcPr>
            <w:tcW w:w="3020" w:type="dxa"/>
            <w:vAlign w:val="bottom"/>
          </w:tcPr>
          <w:p>
            <w:pPr>
              <w:spacing w:after="0"/>
              <w:rPr>
                <w:sz w:val="22"/>
                <w:szCs w:val="22"/>
                <w:color w:val="auto"/>
              </w:rPr>
            </w:pPr>
          </w:p>
        </w:tc>
      </w:tr>
      <w:tr>
        <w:trPr>
          <w:trHeight w:val="230"/>
        </w:trPr>
        <w:tc>
          <w:tcPr>
            <w:tcW w:w="2920" w:type="dxa"/>
            <w:vAlign w:val="bottom"/>
          </w:tcPr>
          <w:p>
            <w:pPr>
              <w:spacing w:after="0"/>
              <w:rPr>
                <w:sz w:val="20"/>
                <w:szCs w:val="20"/>
                <w:color w:val="auto"/>
              </w:rPr>
            </w:pPr>
            <w:r>
              <w:rPr>
                <w:rFonts w:ascii="Arial" w:cs="Arial" w:eastAsia="Arial" w:hAnsi="Arial"/>
                <w:sz w:val="18"/>
                <w:szCs w:val="18"/>
                <w:color w:val="auto"/>
              </w:rPr>
              <w:t>Euronet Card Services S.A.</w:t>
            </w:r>
          </w:p>
        </w:tc>
        <w:tc>
          <w:tcPr>
            <w:tcW w:w="1720" w:type="dxa"/>
            <w:vAlign w:val="bottom"/>
          </w:tcPr>
          <w:p>
            <w:pPr>
              <w:ind w:left="400"/>
              <w:spacing w:after="0"/>
              <w:rPr>
                <w:sz w:val="20"/>
                <w:szCs w:val="20"/>
                <w:color w:val="auto"/>
              </w:rPr>
            </w:pPr>
            <w:r>
              <w:rPr>
                <w:rFonts w:ascii="Arial" w:cs="Arial" w:eastAsia="Arial" w:hAnsi="Arial"/>
                <w:sz w:val="18"/>
                <w:szCs w:val="18"/>
                <w:color w:val="auto"/>
              </w:rPr>
              <w:t>Hellas Ltd.</w:t>
            </w:r>
          </w:p>
        </w:tc>
        <w:tc>
          <w:tcPr>
            <w:tcW w:w="3680" w:type="dxa"/>
            <w:vAlign w:val="bottom"/>
          </w:tcPr>
          <w:p>
            <w:pPr>
              <w:ind w:left="40"/>
              <w:spacing w:after="0"/>
              <w:rPr>
                <w:sz w:val="20"/>
                <w:szCs w:val="20"/>
                <w:color w:val="auto"/>
              </w:rPr>
            </w:pPr>
            <w:r>
              <w:rPr>
                <w:rFonts w:ascii="Arial" w:cs="Arial" w:eastAsia="Arial" w:hAnsi="Arial"/>
                <w:sz w:val="18"/>
                <w:szCs w:val="18"/>
                <w:color w:val="auto"/>
              </w:rPr>
              <w:t>Intercompany Loan</w:t>
            </w:r>
          </w:p>
        </w:tc>
        <w:tc>
          <w:tcPr>
            <w:tcW w:w="3020" w:type="dxa"/>
            <w:vAlign w:val="bottom"/>
          </w:tcPr>
          <w:p>
            <w:pPr>
              <w:jc w:val="right"/>
              <w:spacing w:after="0"/>
              <w:rPr>
                <w:sz w:val="20"/>
                <w:szCs w:val="20"/>
                <w:color w:val="auto"/>
              </w:rPr>
            </w:pPr>
            <w:r>
              <w:rPr>
                <w:rFonts w:ascii="Arial" w:cs="Arial" w:eastAsia="Arial" w:hAnsi="Arial"/>
                <w:sz w:val="18"/>
                <w:szCs w:val="18"/>
                <w:color w:val="auto"/>
              </w:rPr>
              <w:t>314,004</w:t>
            </w:r>
          </w:p>
        </w:tc>
      </w:tr>
      <w:tr>
        <w:trPr>
          <w:trHeight w:val="256"/>
        </w:trPr>
        <w:tc>
          <w:tcPr>
            <w:tcW w:w="2920" w:type="dxa"/>
            <w:vAlign w:val="bottom"/>
          </w:tcPr>
          <w:p>
            <w:pPr>
              <w:spacing w:after="0"/>
              <w:rPr>
                <w:sz w:val="22"/>
                <w:szCs w:val="22"/>
                <w:color w:val="auto"/>
              </w:rPr>
            </w:pPr>
          </w:p>
        </w:tc>
        <w:tc>
          <w:tcPr>
            <w:tcW w:w="1720" w:type="dxa"/>
            <w:vAlign w:val="bottom"/>
          </w:tcPr>
          <w:p>
            <w:pPr>
              <w:ind w:left="400"/>
              <w:spacing w:after="0"/>
              <w:rPr>
                <w:sz w:val="20"/>
                <w:szCs w:val="20"/>
                <w:color w:val="auto"/>
              </w:rPr>
            </w:pPr>
            <w:r>
              <w:rPr>
                <w:rFonts w:ascii="Arial" w:cs="Arial" w:eastAsia="Arial" w:hAnsi="Arial"/>
                <w:sz w:val="18"/>
                <w:szCs w:val="18"/>
                <w:color w:val="auto"/>
              </w:rPr>
              <w:t>EFT Services</w:t>
            </w:r>
          </w:p>
        </w:tc>
        <w:tc>
          <w:tcPr>
            <w:tcW w:w="3680" w:type="dxa"/>
            <w:vAlign w:val="bottom"/>
          </w:tcPr>
          <w:p>
            <w:pPr>
              <w:spacing w:after="0"/>
              <w:rPr>
                <w:sz w:val="22"/>
                <w:szCs w:val="22"/>
                <w:color w:val="auto"/>
              </w:rPr>
            </w:pPr>
          </w:p>
        </w:tc>
        <w:tc>
          <w:tcPr>
            <w:tcW w:w="3020" w:type="dxa"/>
            <w:vAlign w:val="bottom"/>
          </w:tcPr>
          <w:p>
            <w:pPr>
              <w:spacing w:after="0"/>
              <w:rPr>
                <w:sz w:val="22"/>
                <w:szCs w:val="22"/>
                <w:color w:val="auto"/>
              </w:rPr>
            </w:pPr>
          </w:p>
        </w:tc>
      </w:tr>
      <w:tr>
        <w:trPr>
          <w:trHeight w:val="230"/>
        </w:trPr>
        <w:tc>
          <w:tcPr>
            <w:tcW w:w="2920" w:type="dxa"/>
            <w:vAlign w:val="bottom"/>
          </w:tcPr>
          <w:p>
            <w:pPr>
              <w:spacing w:after="0"/>
              <w:rPr>
                <w:sz w:val="20"/>
                <w:szCs w:val="20"/>
                <w:color w:val="auto"/>
              </w:rPr>
            </w:pPr>
            <w:r>
              <w:rPr>
                <w:rFonts w:ascii="Arial" w:cs="Arial" w:eastAsia="Arial" w:hAnsi="Arial"/>
                <w:sz w:val="18"/>
                <w:szCs w:val="18"/>
                <w:color w:val="auto"/>
              </w:rPr>
              <w:t>Euronet Middle East W.L.L.</w:t>
            </w:r>
          </w:p>
        </w:tc>
        <w:tc>
          <w:tcPr>
            <w:tcW w:w="1720" w:type="dxa"/>
            <w:vAlign w:val="bottom"/>
          </w:tcPr>
          <w:p>
            <w:pPr>
              <w:ind w:left="400"/>
              <w:spacing w:after="0"/>
              <w:rPr>
                <w:sz w:val="20"/>
                <w:szCs w:val="20"/>
                <w:color w:val="auto"/>
              </w:rPr>
            </w:pPr>
            <w:r>
              <w:rPr>
                <w:rFonts w:ascii="Arial" w:cs="Arial" w:eastAsia="Arial" w:hAnsi="Arial"/>
                <w:sz w:val="18"/>
                <w:szCs w:val="18"/>
                <w:color w:val="auto"/>
              </w:rPr>
              <w:t>Holding B.V.</w:t>
            </w:r>
          </w:p>
        </w:tc>
        <w:tc>
          <w:tcPr>
            <w:tcW w:w="3680" w:type="dxa"/>
            <w:vAlign w:val="bottom"/>
          </w:tcPr>
          <w:p>
            <w:pPr>
              <w:ind w:left="40"/>
              <w:spacing w:after="0"/>
              <w:rPr>
                <w:sz w:val="20"/>
                <w:szCs w:val="20"/>
                <w:color w:val="auto"/>
              </w:rPr>
            </w:pPr>
            <w:r>
              <w:rPr>
                <w:rFonts w:ascii="Arial" w:cs="Arial" w:eastAsia="Arial" w:hAnsi="Arial"/>
                <w:sz w:val="18"/>
                <w:szCs w:val="18"/>
                <w:color w:val="auto"/>
              </w:rPr>
              <w:t>Intercompany Loan</w:t>
            </w:r>
          </w:p>
        </w:tc>
        <w:tc>
          <w:tcPr>
            <w:tcW w:w="3020" w:type="dxa"/>
            <w:vAlign w:val="bottom"/>
          </w:tcPr>
          <w:p>
            <w:pPr>
              <w:jc w:val="right"/>
              <w:spacing w:after="0"/>
              <w:rPr>
                <w:sz w:val="20"/>
                <w:szCs w:val="20"/>
                <w:color w:val="auto"/>
              </w:rPr>
            </w:pPr>
            <w:r>
              <w:rPr>
                <w:rFonts w:ascii="Arial" w:cs="Arial" w:eastAsia="Arial" w:hAnsi="Arial"/>
                <w:sz w:val="18"/>
                <w:szCs w:val="18"/>
                <w:color w:val="auto"/>
              </w:rPr>
              <w:t>3,300,000</w:t>
            </w:r>
          </w:p>
        </w:tc>
      </w:tr>
      <w:tr>
        <w:trPr>
          <w:trHeight w:val="256"/>
        </w:trPr>
        <w:tc>
          <w:tcPr>
            <w:tcW w:w="2920" w:type="dxa"/>
            <w:vAlign w:val="bottom"/>
          </w:tcPr>
          <w:p>
            <w:pPr>
              <w:spacing w:after="0"/>
              <w:rPr>
                <w:sz w:val="22"/>
                <w:szCs w:val="22"/>
                <w:color w:val="auto"/>
              </w:rPr>
            </w:pPr>
          </w:p>
        </w:tc>
        <w:tc>
          <w:tcPr>
            <w:tcW w:w="1720" w:type="dxa"/>
            <w:vAlign w:val="bottom"/>
          </w:tcPr>
          <w:p>
            <w:pPr>
              <w:ind w:left="400"/>
              <w:spacing w:after="0"/>
              <w:rPr>
                <w:sz w:val="20"/>
                <w:szCs w:val="20"/>
                <w:color w:val="auto"/>
              </w:rPr>
            </w:pPr>
            <w:r>
              <w:rPr>
                <w:rFonts w:ascii="Arial" w:cs="Arial" w:eastAsia="Arial" w:hAnsi="Arial"/>
                <w:sz w:val="18"/>
                <w:szCs w:val="18"/>
                <w:color w:val="auto"/>
              </w:rPr>
              <w:t>e-pay Holdings</w:t>
            </w:r>
          </w:p>
        </w:tc>
        <w:tc>
          <w:tcPr>
            <w:tcW w:w="3680" w:type="dxa"/>
            <w:vAlign w:val="bottom"/>
          </w:tcPr>
          <w:p>
            <w:pPr>
              <w:spacing w:after="0"/>
              <w:rPr>
                <w:sz w:val="22"/>
                <w:szCs w:val="22"/>
                <w:color w:val="auto"/>
              </w:rPr>
            </w:pPr>
          </w:p>
        </w:tc>
        <w:tc>
          <w:tcPr>
            <w:tcW w:w="3020" w:type="dxa"/>
            <w:vAlign w:val="bottom"/>
          </w:tcPr>
          <w:p>
            <w:pPr>
              <w:spacing w:after="0"/>
              <w:rPr>
                <w:sz w:val="22"/>
                <w:szCs w:val="22"/>
                <w:color w:val="auto"/>
              </w:rPr>
            </w:pPr>
          </w:p>
        </w:tc>
      </w:tr>
      <w:tr>
        <w:trPr>
          <w:trHeight w:val="230"/>
        </w:trPr>
        <w:tc>
          <w:tcPr>
            <w:tcW w:w="2920" w:type="dxa"/>
            <w:vAlign w:val="bottom"/>
          </w:tcPr>
          <w:p>
            <w:pPr>
              <w:spacing w:after="0"/>
              <w:rPr>
                <w:sz w:val="20"/>
                <w:szCs w:val="20"/>
                <w:color w:val="auto"/>
              </w:rPr>
            </w:pPr>
            <w:r>
              <w:rPr>
                <w:rFonts w:ascii="Arial" w:cs="Arial" w:eastAsia="Arial" w:hAnsi="Arial"/>
                <w:sz w:val="18"/>
                <w:szCs w:val="18"/>
                <w:color w:val="auto"/>
              </w:rPr>
              <w:t>Euronet Software UK Ltd</w:t>
            </w:r>
          </w:p>
        </w:tc>
        <w:tc>
          <w:tcPr>
            <w:tcW w:w="1720" w:type="dxa"/>
            <w:vAlign w:val="bottom"/>
          </w:tcPr>
          <w:p>
            <w:pPr>
              <w:ind w:left="400"/>
              <w:spacing w:after="0"/>
              <w:rPr>
                <w:sz w:val="20"/>
                <w:szCs w:val="20"/>
                <w:color w:val="auto"/>
              </w:rPr>
            </w:pPr>
            <w:r>
              <w:rPr>
                <w:rFonts w:ascii="Arial" w:cs="Arial" w:eastAsia="Arial" w:hAnsi="Arial"/>
                <w:sz w:val="18"/>
                <w:szCs w:val="18"/>
                <w:color w:val="auto"/>
              </w:rPr>
              <w:t>Ltd</w:t>
            </w:r>
          </w:p>
        </w:tc>
        <w:tc>
          <w:tcPr>
            <w:tcW w:w="3680" w:type="dxa"/>
            <w:vAlign w:val="bottom"/>
          </w:tcPr>
          <w:p>
            <w:pPr>
              <w:ind w:left="40"/>
              <w:spacing w:after="0"/>
              <w:rPr>
                <w:sz w:val="20"/>
                <w:szCs w:val="20"/>
                <w:color w:val="auto"/>
              </w:rPr>
            </w:pPr>
            <w:r>
              <w:rPr>
                <w:rFonts w:ascii="Arial" w:cs="Arial" w:eastAsia="Arial" w:hAnsi="Arial"/>
                <w:sz w:val="18"/>
                <w:szCs w:val="18"/>
                <w:color w:val="auto"/>
              </w:rPr>
              <w:t>Intercompany Loan</w:t>
            </w:r>
          </w:p>
        </w:tc>
        <w:tc>
          <w:tcPr>
            <w:tcW w:w="3020" w:type="dxa"/>
            <w:vAlign w:val="bottom"/>
          </w:tcPr>
          <w:p>
            <w:pPr>
              <w:jc w:val="right"/>
              <w:spacing w:after="0"/>
              <w:rPr>
                <w:sz w:val="20"/>
                <w:szCs w:val="20"/>
                <w:color w:val="auto"/>
              </w:rPr>
            </w:pPr>
            <w:r>
              <w:rPr>
                <w:rFonts w:ascii="Arial" w:cs="Arial" w:eastAsia="Arial" w:hAnsi="Arial"/>
                <w:sz w:val="18"/>
                <w:szCs w:val="18"/>
                <w:color w:val="auto"/>
              </w:rPr>
              <w:t>4,946,678</w:t>
            </w:r>
          </w:p>
        </w:tc>
      </w:tr>
      <w:tr>
        <w:trPr>
          <w:trHeight w:val="256"/>
        </w:trPr>
        <w:tc>
          <w:tcPr>
            <w:tcW w:w="2920" w:type="dxa"/>
            <w:vAlign w:val="bottom"/>
          </w:tcPr>
          <w:p>
            <w:pPr>
              <w:spacing w:after="0"/>
              <w:rPr>
                <w:sz w:val="22"/>
                <w:szCs w:val="22"/>
                <w:color w:val="auto"/>
              </w:rPr>
            </w:pPr>
          </w:p>
        </w:tc>
        <w:tc>
          <w:tcPr>
            <w:tcW w:w="1720" w:type="dxa"/>
            <w:vAlign w:val="bottom"/>
          </w:tcPr>
          <w:p>
            <w:pPr>
              <w:ind w:left="400"/>
              <w:spacing w:after="0"/>
              <w:rPr>
                <w:sz w:val="20"/>
                <w:szCs w:val="20"/>
                <w:color w:val="auto"/>
              </w:rPr>
            </w:pPr>
            <w:r>
              <w:rPr>
                <w:rFonts w:ascii="Arial" w:cs="Arial" w:eastAsia="Arial" w:hAnsi="Arial"/>
                <w:sz w:val="18"/>
                <w:szCs w:val="18"/>
                <w:color w:val="auto"/>
              </w:rPr>
              <w:t>Euronet</w:t>
            </w:r>
          </w:p>
        </w:tc>
        <w:tc>
          <w:tcPr>
            <w:tcW w:w="3680" w:type="dxa"/>
            <w:vAlign w:val="bottom"/>
          </w:tcPr>
          <w:p>
            <w:pPr>
              <w:spacing w:after="0"/>
              <w:rPr>
                <w:sz w:val="22"/>
                <w:szCs w:val="22"/>
                <w:color w:val="auto"/>
              </w:rPr>
            </w:pPr>
          </w:p>
        </w:tc>
        <w:tc>
          <w:tcPr>
            <w:tcW w:w="3020" w:type="dxa"/>
            <w:vAlign w:val="bottom"/>
          </w:tcPr>
          <w:p>
            <w:pPr>
              <w:spacing w:after="0"/>
              <w:rPr>
                <w:sz w:val="22"/>
                <w:szCs w:val="22"/>
                <w:color w:val="auto"/>
              </w:rPr>
            </w:pPr>
          </w:p>
        </w:tc>
      </w:tr>
      <w:tr>
        <w:trPr>
          <w:trHeight w:val="230"/>
        </w:trPr>
        <w:tc>
          <w:tcPr>
            <w:tcW w:w="2920" w:type="dxa"/>
            <w:vAlign w:val="bottom"/>
          </w:tcPr>
          <w:p>
            <w:pPr>
              <w:spacing w:after="0"/>
              <w:rPr>
                <w:sz w:val="20"/>
                <w:szCs w:val="20"/>
                <w:color w:val="auto"/>
              </w:rPr>
            </w:pPr>
            <w:r>
              <w:rPr>
                <w:rFonts w:ascii="Arial" w:cs="Arial" w:eastAsia="Arial" w:hAnsi="Arial"/>
                <w:sz w:val="18"/>
                <w:szCs w:val="18"/>
                <w:color w:val="auto"/>
              </w:rPr>
              <w:t>Euronet Telerecarga, S.L.U.</w:t>
            </w:r>
          </w:p>
        </w:tc>
        <w:tc>
          <w:tcPr>
            <w:tcW w:w="1720" w:type="dxa"/>
            <w:vAlign w:val="bottom"/>
          </w:tcPr>
          <w:p>
            <w:pPr>
              <w:ind w:left="400"/>
              <w:spacing w:after="0"/>
              <w:rPr>
                <w:sz w:val="20"/>
                <w:szCs w:val="20"/>
                <w:color w:val="auto"/>
              </w:rPr>
            </w:pPr>
            <w:r>
              <w:rPr>
                <w:rFonts w:ascii="Arial" w:cs="Arial" w:eastAsia="Arial" w:hAnsi="Arial"/>
                <w:sz w:val="18"/>
                <w:szCs w:val="18"/>
                <w:color w:val="auto"/>
              </w:rPr>
              <w:t>Movilcarga S.L.</w:t>
            </w:r>
          </w:p>
        </w:tc>
        <w:tc>
          <w:tcPr>
            <w:tcW w:w="3680" w:type="dxa"/>
            <w:vAlign w:val="bottom"/>
          </w:tcPr>
          <w:p>
            <w:pPr>
              <w:ind w:left="40"/>
              <w:spacing w:after="0"/>
              <w:rPr>
                <w:sz w:val="20"/>
                <w:szCs w:val="20"/>
                <w:color w:val="auto"/>
              </w:rPr>
            </w:pPr>
            <w:r>
              <w:rPr>
                <w:rFonts w:ascii="Arial" w:cs="Arial" w:eastAsia="Arial" w:hAnsi="Arial"/>
                <w:sz w:val="18"/>
                <w:szCs w:val="18"/>
                <w:color w:val="auto"/>
              </w:rPr>
              <w:t>Intercompany Loan</w:t>
            </w:r>
          </w:p>
        </w:tc>
        <w:tc>
          <w:tcPr>
            <w:tcW w:w="3020" w:type="dxa"/>
            <w:vAlign w:val="bottom"/>
          </w:tcPr>
          <w:p>
            <w:pPr>
              <w:jc w:val="right"/>
              <w:spacing w:after="0"/>
              <w:rPr>
                <w:sz w:val="20"/>
                <w:szCs w:val="20"/>
                <w:color w:val="auto"/>
              </w:rPr>
            </w:pPr>
            <w:r>
              <w:rPr>
                <w:rFonts w:ascii="Arial" w:cs="Arial" w:eastAsia="Arial" w:hAnsi="Arial"/>
                <w:sz w:val="18"/>
                <w:szCs w:val="18"/>
                <w:color w:val="auto"/>
              </w:rPr>
              <w:t>6,993,623</w:t>
            </w:r>
          </w:p>
        </w:tc>
      </w:tr>
      <w:tr>
        <w:trPr>
          <w:trHeight w:val="256"/>
        </w:trPr>
        <w:tc>
          <w:tcPr>
            <w:tcW w:w="2920" w:type="dxa"/>
            <w:vAlign w:val="bottom"/>
          </w:tcPr>
          <w:p>
            <w:pPr>
              <w:spacing w:after="0"/>
              <w:rPr>
                <w:sz w:val="22"/>
                <w:szCs w:val="22"/>
                <w:color w:val="auto"/>
              </w:rPr>
            </w:pPr>
          </w:p>
        </w:tc>
        <w:tc>
          <w:tcPr>
            <w:tcW w:w="1720" w:type="dxa"/>
            <w:vAlign w:val="bottom"/>
          </w:tcPr>
          <w:p>
            <w:pPr>
              <w:ind w:left="400"/>
              <w:spacing w:after="0"/>
              <w:rPr>
                <w:sz w:val="20"/>
                <w:szCs w:val="20"/>
                <w:color w:val="auto"/>
              </w:rPr>
            </w:pPr>
            <w:r>
              <w:rPr>
                <w:rFonts w:ascii="Arial" w:cs="Arial" w:eastAsia="Arial" w:hAnsi="Arial"/>
                <w:sz w:val="18"/>
                <w:szCs w:val="18"/>
                <w:color w:val="auto"/>
              </w:rPr>
              <w:t>EFT Americas,</w:t>
            </w:r>
          </w:p>
        </w:tc>
        <w:tc>
          <w:tcPr>
            <w:tcW w:w="3680" w:type="dxa"/>
            <w:vAlign w:val="bottom"/>
          </w:tcPr>
          <w:p>
            <w:pPr>
              <w:spacing w:after="0"/>
              <w:rPr>
                <w:sz w:val="22"/>
                <w:szCs w:val="22"/>
                <w:color w:val="auto"/>
              </w:rPr>
            </w:pPr>
          </w:p>
        </w:tc>
        <w:tc>
          <w:tcPr>
            <w:tcW w:w="3020" w:type="dxa"/>
            <w:vAlign w:val="bottom"/>
          </w:tcPr>
          <w:p>
            <w:pPr>
              <w:spacing w:after="0"/>
              <w:rPr>
                <w:sz w:val="22"/>
                <w:szCs w:val="22"/>
                <w:color w:val="auto"/>
              </w:rPr>
            </w:pPr>
          </w:p>
        </w:tc>
      </w:tr>
      <w:tr>
        <w:trPr>
          <w:trHeight w:val="230"/>
        </w:trPr>
        <w:tc>
          <w:tcPr>
            <w:tcW w:w="2920" w:type="dxa"/>
            <w:vAlign w:val="bottom"/>
          </w:tcPr>
          <w:p>
            <w:pPr>
              <w:spacing w:after="0"/>
              <w:rPr>
                <w:sz w:val="20"/>
                <w:szCs w:val="20"/>
                <w:color w:val="auto"/>
              </w:rPr>
            </w:pPr>
            <w:r>
              <w:rPr>
                <w:rFonts w:ascii="Arial" w:cs="Arial" w:eastAsia="Arial" w:hAnsi="Arial"/>
                <w:sz w:val="18"/>
                <w:szCs w:val="18"/>
                <w:color w:val="auto"/>
              </w:rPr>
              <w:t>Euronet Worldwide, Inc.</w:t>
            </w:r>
          </w:p>
        </w:tc>
        <w:tc>
          <w:tcPr>
            <w:tcW w:w="1720" w:type="dxa"/>
            <w:vAlign w:val="bottom"/>
          </w:tcPr>
          <w:p>
            <w:pPr>
              <w:ind w:left="400"/>
              <w:spacing w:after="0"/>
              <w:rPr>
                <w:sz w:val="20"/>
                <w:szCs w:val="20"/>
                <w:color w:val="auto"/>
              </w:rPr>
            </w:pPr>
            <w:r>
              <w:rPr>
                <w:rFonts w:ascii="Arial" w:cs="Arial" w:eastAsia="Arial" w:hAnsi="Arial"/>
                <w:sz w:val="18"/>
                <w:szCs w:val="18"/>
                <w:color w:val="auto"/>
              </w:rPr>
              <w:t>Inc.</w:t>
            </w:r>
          </w:p>
        </w:tc>
        <w:tc>
          <w:tcPr>
            <w:tcW w:w="3680" w:type="dxa"/>
            <w:vAlign w:val="bottom"/>
          </w:tcPr>
          <w:p>
            <w:pPr>
              <w:ind w:left="40"/>
              <w:spacing w:after="0"/>
              <w:rPr>
                <w:sz w:val="20"/>
                <w:szCs w:val="20"/>
                <w:color w:val="auto"/>
              </w:rPr>
            </w:pPr>
            <w:r>
              <w:rPr>
                <w:rFonts w:ascii="Arial" w:cs="Arial" w:eastAsia="Arial" w:hAnsi="Arial"/>
                <w:sz w:val="18"/>
                <w:szCs w:val="18"/>
                <w:color w:val="auto"/>
              </w:rPr>
              <w:t>Intercompany Loan</w:t>
            </w:r>
          </w:p>
        </w:tc>
        <w:tc>
          <w:tcPr>
            <w:tcW w:w="3020" w:type="dxa"/>
            <w:vAlign w:val="bottom"/>
          </w:tcPr>
          <w:p>
            <w:pPr>
              <w:jc w:val="right"/>
              <w:spacing w:after="0"/>
              <w:rPr>
                <w:sz w:val="20"/>
                <w:szCs w:val="20"/>
                <w:color w:val="auto"/>
              </w:rPr>
            </w:pPr>
            <w:r>
              <w:rPr>
                <w:rFonts w:ascii="Arial" w:cs="Arial" w:eastAsia="Arial" w:hAnsi="Arial"/>
                <w:sz w:val="18"/>
                <w:szCs w:val="18"/>
                <w:color w:val="auto"/>
              </w:rPr>
              <w:t>240,016</w:t>
            </w:r>
          </w:p>
        </w:tc>
      </w:tr>
      <w:tr>
        <w:trPr>
          <w:trHeight w:val="256"/>
        </w:trPr>
        <w:tc>
          <w:tcPr>
            <w:tcW w:w="2920" w:type="dxa"/>
            <w:vAlign w:val="bottom"/>
          </w:tcPr>
          <w:p>
            <w:pPr>
              <w:spacing w:after="0"/>
              <w:rPr>
                <w:sz w:val="22"/>
                <w:szCs w:val="22"/>
                <w:color w:val="auto"/>
              </w:rPr>
            </w:pPr>
          </w:p>
        </w:tc>
        <w:tc>
          <w:tcPr>
            <w:tcW w:w="1720" w:type="dxa"/>
            <w:vAlign w:val="bottom"/>
          </w:tcPr>
          <w:p>
            <w:pPr>
              <w:ind w:left="400"/>
              <w:spacing w:after="0"/>
              <w:rPr>
                <w:sz w:val="20"/>
                <w:szCs w:val="20"/>
                <w:color w:val="auto"/>
              </w:rPr>
            </w:pPr>
            <w:r>
              <w:rPr>
                <w:rFonts w:ascii="Arial" w:cs="Arial" w:eastAsia="Arial" w:hAnsi="Arial"/>
                <w:sz w:val="18"/>
                <w:szCs w:val="18"/>
                <w:color w:val="auto"/>
              </w:rPr>
              <w:t>EFT Services</w:t>
            </w:r>
          </w:p>
        </w:tc>
        <w:tc>
          <w:tcPr>
            <w:tcW w:w="3680" w:type="dxa"/>
            <w:vAlign w:val="bottom"/>
          </w:tcPr>
          <w:p>
            <w:pPr>
              <w:spacing w:after="0"/>
              <w:rPr>
                <w:sz w:val="22"/>
                <w:szCs w:val="22"/>
                <w:color w:val="auto"/>
              </w:rPr>
            </w:pPr>
          </w:p>
        </w:tc>
        <w:tc>
          <w:tcPr>
            <w:tcW w:w="3020" w:type="dxa"/>
            <w:vAlign w:val="bottom"/>
          </w:tcPr>
          <w:p>
            <w:pPr>
              <w:spacing w:after="0"/>
              <w:rPr>
                <w:sz w:val="22"/>
                <w:szCs w:val="22"/>
                <w:color w:val="auto"/>
              </w:rPr>
            </w:pPr>
          </w:p>
        </w:tc>
      </w:tr>
      <w:tr>
        <w:trPr>
          <w:trHeight w:val="230"/>
        </w:trPr>
        <w:tc>
          <w:tcPr>
            <w:tcW w:w="2920" w:type="dxa"/>
            <w:vAlign w:val="bottom"/>
          </w:tcPr>
          <w:p>
            <w:pPr>
              <w:spacing w:after="0"/>
              <w:rPr>
                <w:sz w:val="20"/>
                <w:szCs w:val="20"/>
                <w:color w:val="auto"/>
              </w:rPr>
            </w:pPr>
            <w:r>
              <w:rPr>
                <w:rFonts w:ascii="Arial" w:cs="Arial" w:eastAsia="Arial" w:hAnsi="Arial"/>
                <w:sz w:val="18"/>
                <w:szCs w:val="18"/>
                <w:color w:val="auto"/>
              </w:rPr>
              <w:t>Euronet Worldwide, Inc.</w:t>
            </w:r>
          </w:p>
        </w:tc>
        <w:tc>
          <w:tcPr>
            <w:tcW w:w="1720" w:type="dxa"/>
            <w:vAlign w:val="bottom"/>
          </w:tcPr>
          <w:p>
            <w:pPr>
              <w:ind w:left="400"/>
              <w:spacing w:after="0"/>
              <w:rPr>
                <w:sz w:val="20"/>
                <w:szCs w:val="20"/>
                <w:color w:val="auto"/>
              </w:rPr>
            </w:pPr>
            <w:r>
              <w:rPr>
                <w:rFonts w:ascii="Arial" w:cs="Arial" w:eastAsia="Arial" w:hAnsi="Arial"/>
                <w:sz w:val="18"/>
                <w:szCs w:val="18"/>
                <w:color w:val="auto"/>
              </w:rPr>
              <w:t>Holding B.V.</w:t>
            </w:r>
          </w:p>
        </w:tc>
        <w:tc>
          <w:tcPr>
            <w:tcW w:w="3680" w:type="dxa"/>
            <w:vAlign w:val="bottom"/>
          </w:tcPr>
          <w:p>
            <w:pPr>
              <w:ind w:left="40"/>
              <w:spacing w:after="0"/>
              <w:rPr>
                <w:sz w:val="20"/>
                <w:szCs w:val="20"/>
                <w:color w:val="auto"/>
              </w:rPr>
            </w:pPr>
            <w:r>
              <w:rPr>
                <w:rFonts w:ascii="Arial" w:cs="Arial" w:eastAsia="Arial" w:hAnsi="Arial"/>
                <w:sz w:val="18"/>
                <w:szCs w:val="18"/>
                <w:color w:val="auto"/>
              </w:rPr>
              <w:t>Intercompany Loan</w:t>
            </w:r>
          </w:p>
        </w:tc>
        <w:tc>
          <w:tcPr>
            <w:tcW w:w="3020" w:type="dxa"/>
            <w:vAlign w:val="bottom"/>
          </w:tcPr>
          <w:p>
            <w:pPr>
              <w:jc w:val="right"/>
              <w:spacing w:after="0"/>
              <w:rPr>
                <w:sz w:val="20"/>
                <w:szCs w:val="20"/>
                <w:color w:val="auto"/>
              </w:rPr>
            </w:pPr>
            <w:r>
              <w:rPr>
                <w:rFonts w:ascii="Arial" w:cs="Arial" w:eastAsia="Arial" w:hAnsi="Arial"/>
                <w:sz w:val="18"/>
                <w:szCs w:val="18"/>
                <w:color w:val="auto"/>
              </w:rPr>
              <w:t>99,498,150</w:t>
            </w:r>
          </w:p>
        </w:tc>
      </w:tr>
      <w:tr>
        <w:trPr>
          <w:trHeight w:val="256"/>
        </w:trPr>
        <w:tc>
          <w:tcPr>
            <w:tcW w:w="2920" w:type="dxa"/>
            <w:vAlign w:val="bottom"/>
          </w:tcPr>
          <w:p>
            <w:pPr>
              <w:spacing w:after="0"/>
              <w:rPr>
                <w:sz w:val="22"/>
                <w:szCs w:val="22"/>
                <w:color w:val="auto"/>
              </w:rPr>
            </w:pPr>
          </w:p>
        </w:tc>
        <w:tc>
          <w:tcPr>
            <w:tcW w:w="1720" w:type="dxa"/>
            <w:vAlign w:val="bottom"/>
          </w:tcPr>
          <w:p>
            <w:pPr>
              <w:ind w:left="400"/>
              <w:spacing w:after="0"/>
              <w:rPr>
                <w:sz w:val="20"/>
                <w:szCs w:val="20"/>
                <w:color w:val="auto"/>
              </w:rPr>
            </w:pPr>
            <w:r>
              <w:rPr>
                <w:rFonts w:ascii="Arial" w:cs="Arial" w:eastAsia="Arial" w:hAnsi="Arial"/>
                <w:sz w:val="18"/>
                <w:szCs w:val="18"/>
                <w:color w:val="auto"/>
              </w:rPr>
              <w:t>epay Australia</w:t>
            </w:r>
          </w:p>
        </w:tc>
        <w:tc>
          <w:tcPr>
            <w:tcW w:w="3680" w:type="dxa"/>
            <w:vAlign w:val="bottom"/>
          </w:tcPr>
          <w:p>
            <w:pPr>
              <w:spacing w:after="0"/>
              <w:rPr>
                <w:sz w:val="22"/>
                <w:szCs w:val="22"/>
                <w:color w:val="auto"/>
              </w:rPr>
            </w:pPr>
          </w:p>
        </w:tc>
        <w:tc>
          <w:tcPr>
            <w:tcW w:w="3020" w:type="dxa"/>
            <w:vAlign w:val="bottom"/>
          </w:tcPr>
          <w:p>
            <w:pPr>
              <w:spacing w:after="0"/>
              <w:rPr>
                <w:sz w:val="22"/>
                <w:szCs w:val="22"/>
                <w:color w:val="auto"/>
              </w:rPr>
            </w:pPr>
          </w:p>
        </w:tc>
      </w:tr>
      <w:tr>
        <w:trPr>
          <w:trHeight w:val="230"/>
        </w:trPr>
        <w:tc>
          <w:tcPr>
            <w:tcW w:w="2920" w:type="dxa"/>
            <w:vAlign w:val="bottom"/>
          </w:tcPr>
          <w:p>
            <w:pPr>
              <w:spacing w:after="0"/>
              <w:rPr>
                <w:sz w:val="20"/>
                <w:szCs w:val="20"/>
                <w:color w:val="auto"/>
              </w:rPr>
            </w:pPr>
            <w:r>
              <w:rPr>
                <w:rFonts w:ascii="Arial" w:cs="Arial" w:eastAsia="Arial" w:hAnsi="Arial"/>
                <w:sz w:val="18"/>
                <w:szCs w:val="18"/>
                <w:color w:val="auto"/>
              </w:rPr>
              <w:t>Euronet Worldwide, Inc.</w:t>
            </w:r>
          </w:p>
        </w:tc>
        <w:tc>
          <w:tcPr>
            <w:tcW w:w="1720" w:type="dxa"/>
            <w:vAlign w:val="bottom"/>
          </w:tcPr>
          <w:p>
            <w:pPr>
              <w:ind w:left="400"/>
              <w:spacing w:after="0"/>
              <w:rPr>
                <w:sz w:val="20"/>
                <w:szCs w:val="20"/>
                <w:color w:val="auto"/>
              </w:rPr>
            </w:pPr>
            <w:r>
              <w:rPr>
                <w:rFonts w:ascii="Arial" w:cs="Arial" w:eastAsia="Arial" w:hAnsi="Arial"/>
                <w:sz w:val="18"/>
                <w:szCs w:val="18"/>
                <w:color w:val="auto"/>
                <w:w w:val="99"/>
              </w:rPr>
              <w:t>Holdings Pty Ltd</w:t>
            </w:r>
          </w:p>
        </w:tc>
        <w:tc>
          <w:tcPr>
            <w:tcW w:w="3680" w:type="dxa"/>
            <w:vAlign w:val="bottom"/>
          </w:tcPr>
          <w:p>
            <w:pPr>
              <w:ind w:left="40"/>
              <w:spacing w:after="0"/>
              <w:rPr>
                <w:sz w:val="20"/>
                <w:szCs w:val="20"/>
                <w:color w:val="auto"/>
              </w:rPr>
            </w:pPr>
            <w:r>
              <w:rPr>
                <w:rFonts w:ascii="Arial" w:cs="Arial" w:eastAsia="Arial" w:hAnsi="Arial"/>
                <w:sz w:val="18"/>
                <w:szCs w:val="18"/>
                <w:color w:val="auto"/>
              </w:rPr>
              <w:t>Intercompany Loan</w:t>
            </w:r>
          </w:p>
        </w:tc>
        <w:tc>
          <w:tcPr>
            <w:tcW w:w="3020" w:type="dxa"/>
            <w:vAlign w:val="bottom"/>
          </w:tcPr>
          <w:p>
            <w:pPr>
              <w:jc w:val="right"/>
              <w:spacing w:after="0"/>
              <w:rPr>
                <w:sz w:val="20"/>
                <w:szCs w:val="20"/>
                <w:color w:val="auto"/>
              </w:rPr>
            </w:pPr>
            <w:r>
              <w:rPr>
                <w:rFonts w:ascii="Arial" w:cs="Arial" w:eastAsia="Arial" w:hAnsi="Arial"/>
                <w:sz w:val="18"/>
                <w:szCs w:val="18"/>
                <w:color w:val="auto"/>
              </w:rPr>
              <w:t>3,515</w:t>
            </w:r>
          </w:p>
        </w:tc>
      </w:tr>
      <w:tr>
        <w:trPr>
          <w:trHeight w:val="256"/>
        </w:trPr>
        <w:tc>
          <w:tcPr>
            <w:tcW w:w="2920" w:type="dxa"/>
            <w:vAlign w:val="bottom"/>
          </w:tcPr>
          <w:p>
            <w:pPr>
              <w:spacing w:after="0"/>
              <w:rPr>
                <w:sz w:val="22"/>
                <w:szCs w:val="22"/>
                <w:color w:val="auto"/>
              </w:rPr>
            </w:pPr>
          </w:p>
        </w:tc>
        <w:tc>
          <w:tcPr>
            <w:tcW w:w="1720" w:type="dxa"/>
            <w:vAlign w:val="bottom"/>
          </w:tcPr>
          <w:p>
            <w:pPr>
              <w:ind w:left="400"/>
              <w:spacing w:after="0"/>
              <w:rPr>
                <w:sz w:val="20"/>
                <w:szCs w:val="20"/>
                <w:color w:val="auto"/>
              </w:rPr>
            </w:pPr>
            <w:r>
              <w:rPr>
                <w:rFonts w:ascii="Arial" w:cs="Arial" w:eastAsia="Arial" w:hAnsi="Arial"/>
                <w:sz w:val="18"/>
                <w:szCs w:val="18"/>
                <w:color w:val="auto"/>
              </w:rPr>
              <w:t>Ria Netherlands</w:t>
            </w:r>
          </w:p>
        </w:tc>
        <w:tc>
          <w:tcPr>
            <w:tcW w:w="3680" w:type="dxa"/>
            <w:vAlign w:val="bottom"/>
          </w:tcPr>
          <w:p>
            <w:pPr>
              <w:spacing w:after="0"/>
              <w:rPr>
                <w:sz w:val="22"/>
                <w:szCs w:val="22"/>
                <w:color w:val="auto"/>
              </w:rPr>
            </w:pPr>
          </w:p>
        </w:tc>
        <w:tc>
          <w:tcPr>
            <w:tcW w:w="3020" w:type="dxa"/>
            <w:vAlign w:val="bottom"/>
          </w:tcPr>
          <w:p>
            <w:pPr>
              <w:spacing w:after="0"/>
              <w:rPr>
                <w:sz w:val="22"/>
                <w:szCs w:val="22"/>
                <w:color w:val="auto"/>
              </w:rPr>
            </w:pPr>
          </w:p>
        </w:tc>
      </w:tr>
      <w:tr>
        <w:trPr>
          <w:trHeight w:val="230"/>
        </w:trPr>
        <w:tc>
          <w:tcPr>
            <w:tcW w:w="2920" w:type="dxa"/>
            <w:vAlign w:val="bottom"/>
          </w:tcPr>
          <w:p>
            <w:pPr>
              <w:spacing w:after="0"/>
              <w:rPr>
                <w:sz w:val="20"/>
                <w:szCs w:val="20"/>
                <w:color w:val="auto"/>
              </w:rPr>
            </w:pPr>
            <w:r>
              <w:rPr>
                <w:rFonts w:ascii="Arial" w:cs="Arial" w:eastAsia="Arial" w:hAnsi="Arial"/>
                <w:sz w:val="18"/>
                <w:szCs w:val="18"/>
                <w:color w:val="auto"/>
              </w:rPr>
              <w:t>Euronet Worldwide, Inc.</w:t>
            </w:r>
          </w:p>
        </w:tc>
        <w:tc>
          <w:tcPr>
            <w:tcW w:w="1720" w:type="dxa"/>
            <w:vAlign w:val="bottom"/>
          </w:tcPr>
          <w:p>
            <w:pPr>
              <w:ind w:left="400"/>
              <w:spacing w:after="0"/>
              <w:rPr>
                <w:sz w:val="20"/>
                <w:szCs w:val="20"/>
                <w:color w:val="auto"/>
              </w:rPr>
            </w:pPr>
            <w:r>
              <w:rPr>
                <w:rFonts w:ascii="Arial" w:cs="Arial" w:eastAsia="Arial" w:hAnsi="Arial"/>
                <w:sz w:val="18"/>
                <w:szCs w:val="18"/>
                <w:color w:val="auto"/>
              </w:rPr>
              <w:t>Holding B.V.</w:t>
            </w:r>
          </w:p>
        </w:tc>
        <w:tc>
          <w:tcPr>
            <w:tcW w:w="3680" w:type="dxa"/>
            <w:vAlign w:val="bottom"/>
          </w:tcPr>
          <w:p>
            <w:pPr>
              <w:ind w:left="40"/>
              <w:spacing w:after="0"/>
              <w:rPr>
                <w:sz w:val="20"/>
                <w:szCs w:val="20"/>
                <w:color w:val="auto"/>
              </w:rPr>
            </w:pPr>
            <w:r>
              <w:rPr>
                <w:rFonts w:ascii="Arial" w:cs="Arial" w:eastAsia="Arial" w:hAnsi="Arial"/>
                <w:sz w:val="18"/>
                <w:szCs w:val="18"/>
                <w:color w:val="auto"/>
              </w:rPr>
              <w:t>Intercompany Loan</w:t>
            </w:r>
          </w:p>
        </w:tc>
        <w:tc>
          <w:tcPr>
            <w:tcW w:w="3020" w:type="dxa"/>
            <w:vAlign w:val="bottom"/>
          </w:tcPr>
          <w:p>
            <w:pPr>
              <w:jc w:val="right"/>
              <w:spacing w:after="0"/>
              <w:rPr>
                <w:sz w:val="20"/>
                <w:szCs w:val="20"/>
                <w:color w:val="auto"/>
              </w:rPr>
            </w:pPr>
            <w:r>
              <w:rPr>
                <w:rFonts w:ascii="Arial" w:cs="Arial" w:eastAsia="Arial" w:hAnsi="Arial"/>
                <w:sz w:val="18"/>
                <w:szCs w:val="18"/>
                <w:color w:val="auto"/>
              </w:rPr>
              <w:t>1,888,286</w:t>
            </w:r>
          </w:p>
        </w:tc>
      </w:tr>
      <w:tr>
        <w:trPr>
          <w:trHeight w:val="256"/>
        </w:trPr>
        <w:tc>
          <w:tcPr>
            <w:tcW w:w="2920" w:type="dxa"/>
            <w:vAlign w:val="bottom"/>
          </w:tcPr>
          <w:p>
            <w:pPr>
              <w:spacing w:after="0"/>
              <w:rPr>
                <w:sz w:val="22"/>
                <w:szCs w:val="22"/>
                <w:color w:val="auto"/>
              </w:rPr>
            </w:pPr>
          </w:p>
        </w:tc>
        <w:tc>
          <w:tcPr>
            <w:tcW w:w="1720" w:type="dxa"/>
            <w:vAlign w:val="bottom"/>
          </w:tcPr>
          <w:p>
            <w:pPr>
              <w:ind w:left="400"/>
              <w:spacing w:after="0"/>
              <w:rPr>
                <w:sz w:val="20"/>
                <w:szCs w:val="20"/>
                <w:color w:val="auto"/>
              </w:rPr>
            </w:pPr>
            <w:r>
              <w:rPr>
                <w:rFonts w:ascii="Arial" w:cs="Arial" w:eastAsia="Arial" w:hAnsi="Arial"/>
                <w:sz w:val="18"/>
                <w:szCs w:val="18"/>
                <w:color w:val="auto"/>
              </w:rPr>
              <w:t>Euronet</w:t>
            </w:r>
          </w:p>
        </w:tc>
        <w:tc>
          <w:tcPr>
            <w:tcW w:w="3680" w:type="dxa"/>
            <w:vAlign w:val="bottom"/>
          </w:tcPr>
          <w:p>
            <w:pPr>
              <w:spacing w:after="0"/>
              <w:rPr>
                <w:sz w:val="22"/>
                <w:szCs w:val="22"/>
                <w:color w:val="auto"/>
              </w:rPr>
            </w:pPr>
          </w:p>
        </w:tc>
        <w:tc>
          <w:tcPr>
            <w:tcW w:w="3020" w:type="dxa"/>
            <w:vAlign w:val="bottom"/>
          </w:tcPr>
          <w:p>
            <w:pPr>
              <w:spacing w:after="0"/>
              <w:rPr>
                <w:sz w:val="22"/>
                <w:szCs w:val="22"/>
                <w:color w:val="auto"/>
              </w:rPr>
            </w:pPr>
          </w:p>
        </w:tc>
      </w:tr>
      <w:tr>
        <w:trPr>
          <w:trHeight w:val="230"/>
        </w:trPr>
        <w:tc>
          <w:tcPr>
            <w:tcW w:w="2920" w:type="dxa"/>
            <w:vAlign w:val="bottom"/>
          </w:tcPr>
          <w:p>
            <w:pPr>
              <w:spacing w:after="0"/>
              <w:rPr>
                <w:sz w:val="20"/>
                <w:szCs w:val="20"/>
                <w:color w:val="auto"/>
              </w:rPr>
            </w:pPr>
            <w:r>
              <w:rPr>
                <w:rFonts w:ascii="Arial" w:cs="Arial" w:eastAsia="Arial" w:hAnsi="Arial"/>
                <w:sz w:val="18"/>
                <w:szCs w:val="18"/>
                <w:color w:val="auto"/>
              </w:rPr>
              <w:t>PaySpot, Inc.</w:t>
            </w:r>
          </w:p>
        </w:tc>
        <w:tc>
          <w:tcPr>
            <w:tcW w:w="1720" w:type="dxa"/>
            <w:vAlign w:val="bottom"/>
          </w:tcPr>
          <w:p>
            <w:pPr>
              <w:ind w:left="400"/>
              <w:spacing w:after="0"/>
              <w:rPr>
                <w:sz w:val="20"/>
                <w:szCs w:val="20"/>
                <w:color w:val="auto"/>
              </w:rPr>
            </w:pPr>
            <w:r>
              <w:rPr>
                <w:rFonts w:ascii="Arial" w:cs="Arial" w:eastAsia="Arial" w:hAnsi="Arial"/>
                <w:sz w:val="18"/>
                <w:szCs w:val="18"/>
                <w:color w:val="auto"/>
              </w:rPr>
              <w:t>Worldwide, Inc.</w:t>
            </w:r>
          </w:p>
        </w:tc>
        <w:tc>
          <w:tcPr>
            <w:tcW w:w="3680" w:type="dxa"/>
            <w:vAlign w:val="bottom"/>
          </w:tcPr>
          <w:p>
            <w:pPr>
              <w:ind w:left="40"/>
              <w:spacing w:after="0"/>
              <w:rPr>
                <w:sz w:val="20"/>
                <w:szCs w:val="20"/>
                <w:color w:val="auto"/>
              </w:rPr>
            </w:pPr>
            <w:r>
              <w:rPr>
                <w:rFonts w:ascii="Arial" w:cs="Arial" w:eastAsia="Arial" w:hAnsi="Arial"/>
                <w:sz w:val="18"/>
                <w:szCs w:val="18"/>
                <w:color w:val="auto"/>
              </w:rPr>
              <w:t>Intercompany Loan</w:t>
            </w:r>
          </w:p>
        </w:tc>
        <w:tc>
          <w:tcPr>
            <w:tcW w:w="3020" w:type="dxa"/>
            <w:vAlign w:val="bottom"/>
          </w:tcPr>
          <w:p>
            <w:pPr>
              <w:jc w:val="right"/>
              <w:spacing w:after="0"/>
              <w:rPr>
                <w:sz w:val="20"/>
                <w:szCs w:val="20"/>
                <w:color w:val="auto"/>
              </w:rPr>
            </w:pPr>
            <w:r>
              <w:rPr>
                <w:rFonts w:ascii="Arial" w:cs="Arial" w:eastAsia="Arial" w:hAnsi="Arial"/>
                <w:sz w:val="18"/>
                <w:szCs w:val="18"/>
                <w:color w:val="auto"/>
              </w:rPr>
              <w:t>35,727,875</w:t>
            </w:r>
          </w:p>
        </w:tc>
      </w:tr>
      <w:tr>
        <w:trPr>
          <w:trHeight w:val="256"/>
        </w:trPr>
        <w:tc>
          <w:tcPr>
            <w:tcW w:w="2920" w:type="dxa"/>
            <w:vAlign w:val="bottom"/>
          </w:tcPr>
          <w:p>
            <w:pPr>
              <w:spacing w:after="0"/>
              <w:rPr>
                <w:sz w:val="22"/>
                <w:szCs w:val="22"/>
                <w:color w:val="auto"/>
              </w:rPr>
            </w:pPr>
          </w:p>
        </w:tc>
        <w:tc>
          <w:tcPr>
            <w:tcW w:w="1720" w:type="dxa"/>
            <w:vAlign w:val="bottom"/>
          </w:tcPr>
          <w:p>
            <w:pPr>
              <w:ind w:left="400"/>
              <w:spacing w:after="0"/>
              <w:rPr>
                <w:sz w:val="20"/>
                <w:szCs w:val="20"/>
                <w:color w:val="auto"/>
              </w:rPr>
            </w:pPr>
            <w:r>
              <w:rPr>
                <w:rFonts w:ascii="Arial" w:cs="Arial" w:eastAsia="Arial" w:hAnsi="Arial"/>
                <w:sz w:val="18"/>
                <w:szCs w:val="18"/>
                <w:color w:val="auto"/>
                <w:w w:val="99"/>
              </w:rPr>
              <w:t>Pure Commerce</w:t>
            </w:r>
          </w:p>
        </w:tc>
        <w:tc>
          <w:tcPr>
            <w:tcW w:w="3680" w:type="dxa"/>
            <w:vAlign w:val="bottom"/>
          </w:tcPr>
          <w:p>
            <w:pPr>
              <w:spacing w:after="0"/>
              <w:rPr>
                <w:sz w:val="22"/>
                <w:szCs w:val="22"/>
                <w:color w:val="auto"/>
              </w:rPr>
            </w:pPr>
          </w:p>
        </w:tc>
        <w:tc>
          <w:tcPr>
            <w:tcW w:w="3020" w:type="dxa"/>
            <w:vAlign w:val="bottom"/>
          </w:tcPr>
          <w:p>
            <w:pPr>
              <w:spacing w:after="0"/>
              <w:rPr>
                <w:sz w:val="22"/>
                <w:szCs w:val="22"/>
                <w:color w:val="auto"/>
              </w:rPr>
            </w:pPr>
          </w:p>
        </w:tc>
      </w:tr>
      <w:tr>
        <w:trPr>
          <w:trHeight w:val="230"/>
        </w:trPr>
        <w:tc>
          <w:tcPr>
            <w:tcW w:w="2920" w:type="dxa"/>
            <w:vAlign w:val="bottom"/>
          </w:tcPr>
          <w:p>
            <w:pPr>
              <w:spacing w:after="0"/>
              <w:rPr>
                <w:sz w:val="20"/>
                <w:szCs w:val="20"/>
                <w:color w:val="auto"/>
              </w:rPr>
            </w:pPr>
            <w:r>
              <w:rPr>
                <w:rFonts w:ascii="Arial" w:cs="Arial" w:eastAsia="Arial" w:hAnsi="Arial"/>
                <w:sz w:val="18"/>
                <w:szCs w:val="18"/>
                <w:color w:val="auto"/>
              </w:rPr>
              <w:t>Pure-Commerce Ltd</w:t>
            </w:r>
          </w:p>
        </w:tc>
        <w:tc>
          <w:tcPr>
            <w:tcW w:w="1720" w:type="dxa"/>
            <w:vAlign w:val="bottom"/>
          </w:tcPr>
          <w:p>
            <w:pPr>
              <w:ind w:left="400"/>
              <w:spacing w:after="0"/>
              <w:rPr>
                <w:sz w:val="20"/>
                <w:szCs w:val="20"/>
                <w:color w:val="auto"/>
              </w:rPr>
            </w:pPr>
            <w:r>
              <w:rPr>
                <w:rFonts w:ascii="Arial" w:cs="Arial" w:eastAsia="Arial" w:hAnsi="Arial"/>
                <w:sz w:val="18"/>
                <w:szCs w:val="18"/>
                <w:color w:val="auto"/>
              </w:rPr>
              <w:t>(S) Pte. Ltd.</w:t>
            </w:r>
          </w:p>
        </w:tc>
        <w:tc>
          <w:tcPr>
            <w:tcW w:w="3680" w:type="dxa"/>
            <w:vAlign w:val="bottom"/>
          </w:tcPr>
          <w:p>
            <w:pPr>
              <w:ind w:left="40"/>
              <w:spacing w:after="0"/>
              <w:rPr>
                <w:sz w:val="20"/>
                <w:szCs w:val="20"/>
                <w:color w:val="auto"/>
              </w:rPr>
            </w:pPr>
            <w:r>
              <w:rPr>
                <w:rFonts w:ascii="Arial" w:cs="Arial" w:eastAsia="Arial" w:hAnsi="Arial"/>
                <w:sz w:val="18"/>
                <w:szCs w:val="18"/>
                <w:color w:val="auto"/>
              </w:rPr>
              <w:t>Intercompany Loan</w:t>
            </w:r>
          </w:p>
        </w:tc>
        <w:tc>
          <w:tcPr>
            <w:tcW w:w="3020" w:type="dxa"/>
            <w:vAlign w:val="bottom"/>
          </w:tcPr>
          <w:p>
            <w:pPr>
              <w:jc w:val="right"/>
              <w:spacing w:after="0"/>
              <w:rPr>
                <w:sz w:val="20"/>
                <w:szCs w:val="20"/>
                <w:color w:val="auto"/>
              </w:rPr>
            </w:pPr>
            <w:r>
              <w:rPr>
                <w:rFonts w:ascii="Arial" w:cs="Arial" w:eastAsia="Arial" w:hAnsi="Arial"/>
                <w:sz w:val="18"/>
                <w:szCs w:val="18"/>
                <w:color w:val="auto"/>
              </w:rPr>
              <w:t>518,602</w:t>
            </w:r>
          </w:p>
        </w:tc>
      </w:tr>
      <w:tr>
        <w:trPr>
          <w:trHeight w:val="270"/>
        </w:trPr>
        <w:tc>
          <w:tcPr>
            <w:tcW w:w="2920" w:type="dxa"/>
            <w:vAlign w:val="bottom"/>
          </w:tcPr>
          <w:p>
            <w:pPr>
              <w:spacing w:after="0"/>
              <w:rPr>
                <w:sz w:val="20"/>
                <w:szCs w:val="20"/>
                <w:color w:val="auto"/>
              </w:rPr>
            </w:pPr>
            <w:r>
              <w:rPr>
                <w:rFonts w:ascii="Arial" w:cs="Arial" w:eastAsia="Arial" w:hAnsi="Arial"/>
                <w:sz w:val="18"/>
                <w:szCs w:val="18"/>
                <w:color w:val="auto"/>
              </w:rPr>
              <w:t>RIA Envia, Inc.</w:t>
            </w:r>
          </w:p>
        </w:tc>
        <w:tc>
          <w:tcPr>
            <w:tcW w:w="1720" w:type="dxa"/>
            <w:vAlign w:val="bottom"/>
          </w:tcPr>
          <w:p>
            <w:pPr>
              <w:ind w:left="400"/>
              <w:spacing w:after="0"/>
              <w:rPr>
                <w:sz w:val="20"/>
                <w:szCs w:val="20"/>
                <w:color w:val="auto"/>
              </w:rPr>
            </w:pPr>
            <w:r>
              <w:rPr>
                <w:rFonts w:ascii="Arial" w:cs="Arial" w:eastAsia="Arial" w:hAnsi="Arial"/>
                <w:sz w:val="18"/>
                <w:szCs w:val="18"/>
                <w:color w:val="auto"/>
                <w:w w:val="98"/>
              </w:rPr>
              <w:t>RIA France SAS</w:t>
            </w:r>
          </w:p>
        </w:tc>
        <w:tc>
          <w:tcPr>
            <w:tcW w:w="3680" w:type="dxa"/>
            <w:vAlign w:val="bottom"/>
          </w:tcPr>
          <w:p>
            <w:pPr>
              <w:ind w:left="40"/>
              <w:spacing w:after="0"/>
              <w:rPr>
                <w:sz w:val="20"/>
                <w:szCs w:val="20"/>
                <w:color w:val="auto"/>
              </w:rPr>
            </w:pPr>
            <w:r>
              <w:rPr>
                <w:rFonts w:ascii="Arial" w:cs="Arial" w:eastAsia="Arial" w:hAnsi="Arial"/>
                <w:sz w:val="18"/>
                <w:szCs w:val="18"/>
                <w:color w:val="auto"/>
              </w:rPr>
              <w:t>Intercompany Loan</w:t>
            </w:r>
          </w:p>
        </w:tc>
        <w:tc>
          <w:tcPr>
            <w:tcW w:w="3020" w:type="dxa"/>
            <w:vAlign w:val="bottom"/>
          </w:tcPr>
          <w:p>
            <w:pPr>
              <w:jc w:val="right"/>
              <w:spacing w:after="0"/>
              <w:rPr>
                <w:sz w:val="20"/>
                <w:szCs w:val="20"/>
                <w:color w:val="auto"/>
              </w:rPr>
            </w:pPr>
            <w:r>
              <w:rPr>
                <w:rFonts w:ascii="Arial" w:cs="Arial" w:eastAsia="Arial" w:hAnsi="Arial"/>
                <w:sz w:val="18"/>
                <w:szCs w:val="18"/>
                <w:color w:val="auto"/>
              </w:rPr>
              <w:t>554,742</w:t>
            </w:r>
          </w:p>
        </w:tc>
      </w:tr>
      <w:tr>
        <w:trPr>
          <w:trHeight w:val="256"/>
        </w:trPr>
        <w:tc>
          <w:tcPr>
            <w:tcW w:w="2920" w:type="dxa"/>
            <w:vAlign w:val="bottom"/>
          </w:tcPr>
          <w:p>
            <w:pPr>
              <w:spacing w:after="0"/>
              <w:rPr>
                <w:sz w:val="22"/>
                <w:szCs w:val="22"/>
                <w:color w:val="auto"/>
              </w:rPr>
            </w:pPr>
          </w:p>
        </w:tc>
        <w:tc>
          <w:tcPr>
            <w:tcW w:w="1720" w:type="dxa"/>
            <w:vAlign w:val="bottom"/>
          </w:tcPr>
          <w:p>
            <w:pPr>
              <w:ind w:left="400"/>
              <w:spacing w:after="0"/>
              <w:rPr>
                <w:sz w:val="20"/>
                <w:szCs w:val="20"/>
                <w:color w:val="auto"/>
              </w:rPr>
            </w:pPr>
            <w:r>
              <w:rPr>
                <w:rFonts w:ascii="Arial" w:cs="Arial" w:eastAsia="Arial" w:hAnsi="Arial"/>
                <w:sz w:val="18"/>
                <w:szCs w:val="18"/>
                <w:color w:val="auto"/>
              </w:rPr>
              <w:t>Ria Netherlands</w:t>
            </w:r>
          </w:p>
        </w:tc>
        <w:tc>
          <w:tcPr>
            <w:tcW w:w="3680" w:type="dxa"/>
            <w:vAlign w:val="bottom"/>
          </w:tcPr>
          <w:p>
            <w:pPr>
              <w:spacing w:after="0"/>
              <w:rPr>
                <w:sz w:val="22"/>
                <w:szCs w:val="22"/>
                <w:color w:val="auto"/>
              </w:rPr>
            </w:pPr>
          </w:p>
        </w:tc>
        <w:tc>
          <w:tcPr>
            <w:tcW w:w="3020" w:type="dxa"/>
            <w:vAlign w:val="bottom"/>
          </w:tcPr>
          <w:p>
            <w:pPr>
              <w:spacing w:after="0"/>
              <w:rPr>
                <w:sz w:val="22"/>
                <w:szCs w:val="22"/>
                <w:color w:val="auto"/>
              </w:rPr>
            </w:pPr>
          </w:p>
        </w:tc>
      </w:tr>
      <w:tr>
        <w:trPr>
          <w:trHeight w:val="230"/>
        </w:trPr>
        <w:tc>
          <w:tcPr>
            <w:tcW w:w="2920" w:type="dxa"/>
            <w:vAlign w:val="bottom"/>
          </w:tcPr>
          <w:p>
            <w:pPr>
              <w:spacing w:after="0"/>
              <w:rPr>
                <w:sz w:val="20"/>
                <w:szCs w:val="20"/>
                <w:color w:val="auto"/>
              </w:rPr>
            </w:pPr>
            <w:r>
              <w:rPr>
                <w:rFonts w:ascii="Arial" w:cs="Arial" w:eastAsia="Arial" w:hAnsi="Arial"/>
                <w:sz w:val="18"/>
                <w:szCs w:val="18"/>
                <w:color w:val="auto"/>
              </w:rPr>
              <w:t>RIA Envia, Inc.</w:t>
            </w:r>
          </w:p>
        </w:tc>
        <w:tc>
          <w:tcPr>
            <w:tcW w:w="1720" w:type="dxa"/>
            <w:vAlign w:val="bottom"/>
          </w:tcPr>
          <w:p>
            <w:pPr>
              <w:ind w:left="400"/>
              <w:spacing w:after="0"/>
              <w:rPr>
                <w:sz w:val="20"/>
                <w:szCs w:val="20"/>
                <w:color w:val="auto"/>
              </w:rPr>
            </w:pPr>
            <w:r>
              <w:rPr>
                <w:rFonts w:ascii="Arial" w:cs="Arial" w:eastAsia="Arial" w:hAnsi="Arial"/>
                <w:sz w:val="18"/>
                <w:szCs w:val="18"/>
                <w:color w:val="auto"/>
              </w:rPr>
              <w:t>Holding B.V.</w:t>
            </w:r>
          </w:p>
        </w:tc>
        <w:tc>
          <w:tcPr>
            <w:tcW w:w="3680" w:type="dxa"/>
            <w:vAlign w:val="bottom"/>
          </w:tcPr>
          <w:p>
            <w:pPr>
              <w:ind w:left="40"/>
              <w:spacing w:after="0"/>
              <w:rPr>
                <w:sz w:val="20"/>
                <w:szCs w:val="20"/>
                <w:color w:val="auto"/>
              </w:rPr>
            </w:pPr>
            <w:r>
              <w:rPr>
                <w:rFonts w:ascii="Arial" w:cs="Arial" w:eastAsia="Arial" w:hAnsi="Arial"/>
                <w:sz w:val="18"/>
                <w:szCs w:val="18"/>
                <w:color w:val="auto"/>
              </w:rPr>
              <w:t>Intercompany Loan</w:t>
            </w:r>
          </w:p>
        </w:tc>
        <w:tc>
          <w:tcPr>
            <w:tcW w:w="3020" w:type="dxa"/>
            <w:vAlign w:val="bottom"/>
          </w:tcPr>
          <w:p>
            <w:pPr>
              <w:jc w:val="right"/>
              <w:spacing w:after="0"/>
              <w:rPr>
                <w:sz w:val="20"/>
                <w:szCs w:val="20"/>
                <w:color w:val="auto"/>
              </w:rPr>
            </w:pPr>
            <w:r>
              <w:rPr>
                <w:rFonts w:ascii="Arial" w:cs="Arial" w:eastAsia="Arial" w:hAnsi="Arial"/>
                <w:sz w:val="18"/>
                <w:szCs w:val="18"/>
                <w:color w:val="auto"/>
              </w:rPr>
              <w:t>5,600,031</w:t>
            </w:r>
          </w:p>
        </w:tc>
      </w:tr>
    </w:tbl>
    <w:p>
      <w:pPr>
        <w:sectPr>
          <w:pgSz w:w="11900" w:h="16838" w:orient="portrait"/>
          <w:cols w:equalWidth="0" w:num="1">
            <w:col w:w="11340"/>
          </w:cols>
          <w:pgMar w:left="280" w:top="530" w:right="279" w:bottom="1440" w:gutter="0" w:footer="0" w:header="0"/>
        </w:sectPr>
      </w:pPr>
    </w:p>
    <w:bookmarkStart w:id="293" w:name="page294"/>
    <w:bookmarkEnd w:id="29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800" w:type="dxa"/>
            <w:vAlign w:val="bottom"/>
          </w:tcPr>
          <w:p>
            <w:pPr>
              <w:spacing w:after="0"/>
              <w:rPr>
                <w:sz w:val="18"/>
                <w:szCs w:val="18"/>
                <w:color w:val="auto"/>
              </w:rPr>
            </w:pPr>
          </w:p>
        </w:tc>
        <w:tc>
          <w:tcPr>
            <w:tcW w:w="1360" w:type="dxa"/>
            <w:vAlign w:val="bottom"/>
          </w:tcPr>
          <w:p>
            <w:pPr>
              <w:ind w:left="40"/>
              <w:spacing w:after="0"/>
              <w:rPr>
                <w:sz w:val="20"/>
                <w:szCs w:val="20"/>
                <w:color w:val="auto"/>
              </w:rPr>
            </w:pPr>
            <w:r>
              <w:rPr>
                <w:rFonts w:ascii="Arial" w:cs="Arial" w:eastAsia="Arial" w:hAnsi="Arial"/>
                <w:sz w:val="18"/>
                <w:szCs w:val="18"/>
                <w:color w:val="auto"/>
                <w:w w:val="93"/>
              </w:rPr>
              <w:t>Euronet Payment</w:t>
            </w:r>
          </w:p>
        </w:tc>
        <w:tc>
          <w:tcPr>
            <w:tcW w:w="160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320" w:type="dxa"/>
            <w:vAlign w:val="bottom"/>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3300" w:type="dxa"/>
            <w:vAlign w:val="bottom"/>
            <w:gridSpan w:val="2"/>
          </w:tcPr>
          <w:p>
            <w:pPr>
              <w:spacing w:after="0"/>
              <w:rPr>
                <w:sz w:val="20"/>
                <w:szCs w:val="20"/>
                <w:color w:val="auto"/>
              </w:rPr>
            </w:pPr>
            <w:r>
              <w:rPr>
                <w:rFonts w:ascii="Arial" w:cs="Arial" w:eastAsia="Arial" w:hAnsi="Arial"/>
                <w:sz w:val="18"/>
                <w:szCs w:val="18"/>
                <w:color w:val="auto"/>
              </w:rPr>
              <w:t>RIA Italia S.R.L.</w:t>
            </w:r>
          </w:p>
        </w:tc>
        <w:tc>
          <w:tcPr>
            <w:tcW w:w="1360" w:type="dxa"/>
            <w:vAlign w:val="bottom"/>
          </w:tcPr>
          <w:p>
            <w:pPr>
              <w:ind w:left="40"/>
              <w:spacing w:after="0"/>
              <w:rPr>
                <w:sz w:val="20"/>
                <w:szCs w:val="20"/>
                <w:color w:val="auto"/>
              </w:rPr>
            </w:pPr>
            <w:r>
              <w:rPr>
                <w:rFonts w:ascii="Arial" w:cs="Arial" w:eastAsia="Arial" w:hAnsi="Arial"/>
                <w:sz w:val="18"/>
                <w:szCs w:val="18"/>
                <w:color w:val="auto"/>
              </w:rPr>
              <w:t>Services Ltd</w:t>
            </w:r>
          </w:p>
        </w:tc>
        <w:tc>
          <w:tcPr>
            <w:tcW w:w="1600" w:type="dxa"/>
            <w:vAlign w:val="bottom"/>
          </w:tcPr>
          <w:p>
            <w:pPr>
              <w:ind w:left="20"/>
              <w:spacing w:after="0"/>
              <w:rPr>
                <w:sz w:val="20"/>
                <w:szCs w:val="20"/>
                <w:color w:val="auto"/>
              </w:rPr>
            </w:pPr>
            <w:r>
              <w:rPr>
                <w:rFonts w:ascii="Arial" w:cs="Arial" w:eastAsia="Arial" w:hAnsi="Arial"/>
                <w:sz w:val="18"/>
                <w:szCs w:val="18"/>
                <w:color w:val="auto"/>
              </w:rPr>
              <w:t>Intercompany Loan</w:t>
            </w:r>
          </w:p>
        </w:tc>
        <w:tc>
          <w:tcPr>
            <w:tcW w:w="230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2,710,089</w:t>
            </w:r>
          </w:p>
        </w:tc>
      </w:tr>
      <w:tr>
        <w:trPr>
          <w:trHeight w:val="256"/>
        </w:trPr>
        <w:tc>
          <w:tcPr>
            <w:tcW w:w="2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2800" w:type="dxa"/>
            <w:vAlign w:val="bottom"/>
          </w:tcPr>
          <w:p>
            <w:pPr>
              <w:spacing w:after="0"/>
              <w:rPr>
                <w:sz w:val="22"/>
                <w:szCs w:val="22"/>
                <w:color w:val="auto"/>
              </w:rPr>
            </w:pPr>
          </w:p>
        </w:tc>
        <w:tc>
          <w:tcPr>
            <w:tcW w:w="1360" w:type="dxa"/>
            <w:vAlign w:val="bottom"/>
          </w:tcPr>
          <w:p>
            <w:pPr>
              <w:ind w:left="40"/>
              <w:spacing w:after="0"/>
              <w:rPr>
                <w:sz w:val="20"/>
                <w:szCs w:val="20"/>
                <w:color w:val="auto"/>
              </w:rPr>
            </w:pPr>
            <w:r>
              <w:rPr>
                <w:rFonts w:ascii="Arial" w:cs="Arial" w:eastAsia="Arial" w:hAnsi="Arial"/>
                <w:sz w:val="18"/>
                <w:szCs w:val="18"/>
                <w:color w:val="auto"/>
                <w:w w:val="93"/>
              </w:rPr>
              <w:t>Euronet Payment</w:t>
            </w:r>
          </w:p>
        </w:tc>
        <w:tc>
          <w:tcPr>
            <w:tcW w:w="1600" w:type="dxa"/>
            <w:vAlign w:val="bottom"/>
          </w:tcPr>
          <w:p>
            <w:pPr>
              <w:spacing w:after="0"/>
              <w:rPr>
                <w:sz w:val="22"/>
                <w:szCs w:val="22"/>
                <w:color w:val="auto"/>
              </w:rPr>
            </w:pPr>
          </w:p>
        </w:tc>
        <w:tc>
          <w:tcPr>
            <w:tcW w:w="2300" w:type="dxa"/>
            <w:vAlign w:val="bottom"/>
          </w:tcPr>
          <w:p>
            <w:pPr>
              <w:spacing w:after="0"/>
              <w:rPr>
                <w:sz w:val="22"/>
                <w:szCs w:val="22"/>
                <w:color w:val="auto"/>
              </w:rPr>
            </w:pPr>
          </w:p>
        </w:tc>
        <w:tc>
          <w:tcPr>
            <w:tcW w:w="1500" w:type="dxa"/>
            <w:vAlign w:val="bottom"/>
          </w:tcPr>
          <w:p>
            <w:pPr>
              <w:spacing w:after="0"/>
              <w:rPr>
                <w:sz w:val="22"/>
                <w:szCs w:val="22"/>
                <w:color w:val="auto"/>
              </w:rPr>
            </w:pPr>
          </w:p>
        </w:tc>
        <w:tc>
          <w:tcPr>
            <w:tcW w:w="1320" w:type="dxa"/>
            <w:vAlign w:val="bottom"/>
          </w:tcPr>
          <w:p>
            <w:pPr>
              <w:spacing w:after="0"/>
              <w:rPr>
                <w:sz w:val="22"/>
                <w:szCs w:val="22"/>
                <w:color w:val="auto"/>
              </w:rPr>
            </w:pPr>
          </w:p>
        </w:tc>
      </w:tr>
      <w:tr>
        <w:trPr>
          <w:trHeight w:val="230"/>
        </w:trPr>
        <w:tc>
          <w:tcPr>
            <w:tcW w:w="20" w:type="dxa"/>
            <w:vAlign w:val="bottom"/>
          </w:tcPr>
          <w:p>
            <w:pPr>
              <w:spacing w:after="0"/>
              <w:rPr>
                <w:sz w:val="20"/>
                <w:szCs w:val="20"/>
                <w:color w:val="auto"/>
              </w:rPr>
            </w:pPr>
          </w:p>
        </w:tc>
        <w:tc>
          <w:tcPr>
            <w:tcW w:w="3300" w:type="dxa"/>
            <w:vAlign w:val="bottom"/>
            <w:gridSpan w:val="2"/>
          </w:tcPr>
          <w:p>
            <w:pPr>
              <w:spacing w:after="0"/>
              <w:rPr>
                <w:sz w:val="20"/>
                <w:szCs w:val="20"/>
                <w:color w:val="auto"/>
              </w:rPr>
            </w:pPr>
            <w:r>
              <w:rPr>
                <w:rFonts w:ascii="Arial" w:cs="Arial" w:eastAsia="Arial" w:hAnsi="Arial"/>
                <w:sz w:val="18"/>
                <w:szCs w:val="18"/>
                <w:color w:val="auto"/>
              </w:rPr>
              <w:t>Ria Netherlands Holding B.V.</w:t>
            </w:r>
          </w:p>
        </w:tc>
        <w:tc>
          <w:tcPr>
            <w:tcW w:w="1360" w:type="dxa"/>
            <w:vAlign w:val="bottom"/>
          </w:tcPr>
          <w:p>
            <w:pPr>
              <w:ind w:left="40"/>
              <w:spacing w:after="0"/>
              <w:rPr>
                <w:sz w:val="20"/>
                <w:szCs w:val="20"/>
                <w:color w:val="auto"/>
              </w:rPr>
            </w:pPr>
            <w:r>
              <w:rPr>
                <w:rFonts w:ascii="Arial" w:cs="Arial" w:eastAsia="Arial" w:hAnsi="Arial"/>
                <w:sz w:val="18"/>
                <w:szCs w:val="18"/>
                <w:color w:val="auto"/>
              </w:rPr>
              <w:t>Services Ltd</w:t>
            </w:r>
          </w:p>
        </w:tc>
        <w:tc>
          <w:tcPr>
            <w:tcW w:w="1600" w:type="dxa"/>
            <w:vAlign w:val="bottom"/>
          </w:tcPr>
          <w:p>
            <w:pPr>
              <w:ind w:left="20"/>
              <w:spacing w:after="0"/>
              <w:rPr>
                <w:sz w:val="20"/>
                <w:szCs w:val="20"/>
                <w:color w:val="auto"/>
              </w:rPr>
            </w:pPr>
            <w:r>
              <w:rPr>
                <w:rFonts w:ascii="Arial" w:cs="Arial" w:eastAsia="Arial" w:hAnsi="Arial"/>
                <w:sz w:val="18"/>
                <w:szCs w:val="18"/>
                <w:color w:val="auto"/>
              </w:rPr>
              <w:t>Intercompany Loan</w:t>
            </w:r>
          </w:p>
        </w:tc>
        <w:tc>
          <w:tcPr>
            <w:tcW w:w="230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4,640,701</w:t>
            </w:r>
          </w:p>
        </w:tc>
      </w:tr>
      <w:tr>
        <w:trPr>
          <w:trHeight w:val="256"/>
        </w:trPr>
        <w:tc>
          <w:tcPr>
            <w:tcW w:w="2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2800" w:type="dxa"/>
            <w:vAlign w:val="bottom"/>
          </w:tcPr>
          <w:p>
            <w:pPr>
              <w:spacing w:after="0"/>
              <w:rPr>
                <w:sz w:val="22"/>
                <w:szCs w:val="22"/>
                <w:color w:val="auto"/>
              </w:rPr>
            </w:pPr>
          </w:p>
        </w:tc>
        <w:tc>
          <w:tcPr>
            <w:tcW w:w="1360" w:type="dxa"/>
            <w:vAlign w:val="bottom"/>
          </w:tcPr>
          <w:p>
            <w:pPr>
              <w:ind w:left="40"/>
              <w:spacing w:after="0"/>
              <w:rPr>
                <w:sz w:val="20"/>
                <w:szCs w:val="20"/>
                <w:color w:val="auto"/>
              </w:rPr>
            </w:pPr>
            <w:r>
              <w:rPr>
                <w:rFonts w:ascii="Arial" w:cs="Arial" w:eastAsia="Arial" w:hAnsi="Arial"/>
                <w:sz w:val="18"/>
                <w:szCs w:val="18"/>
                <w:color w:val="auto"/>
              </w:rPr>
              <w:t>RIA Financial</w:t>
            </w:r>
          </w:p>
        </w:tc>
        <w:tc>
          <w:tcPr>
            <w:tcW w:w="1600" w:type="dxa"/>
            <w:vAlign w:val="bottom"/>
          </w:tcPr>
          <w:p>
            <w:pPr>
              <w:spacing w:after="0"/>
              <w:rPr>
                <w:sz w:val="22"/>
                <w:szCs w:val="22"/>
                <w:color w:val="auto"/>
              </w:rPr>
            </w:pPr>
          </w:p>
        </w:tc>
        <w:tc>
          <w:tcPr>
            <w:tcW w:w="2300" w:type="dxa"/>
            <w:vAlign w:val="bottom"/>
          </w:tcPr>
          <w:p>
            <w:pPr>
              <w:spacing w:after="0"/>
              <w:rPr>
                <w:sz w:val="22"/>
                <w:szCs w:val="22"/>
                <w:color w:val="auto"/>
              </w:rPr>
            </w:pPr>
          </w:p>
        </w:tc>
        <w:tc>
          <w:tcPr>
            <w:tcW w:w="1500" w:type="dxa"/>
            <w:vAlign w:val="bottom"/>
          </w:tcPr>
          <w:p>
            <w:pPr>
              <w:spacing w:after="0"/>
              <w:rPr>
                <w:sz w:val="22"/>
                <w:szCs w:val="22"/>
                <w:color w:val="auto"/>
              </w:rPr>
            </w:pPr>
          </w:p>
        </w:tc>
        <w:tc>
          <w:tcPr>
            <w:tcW w:w="1320" w:type="dxa"/>
            <w:vAlign w:val="bottom"/>
          </w:tcPr>
          <w:p>
            <w:pPr>
              <w:spacing w:after="0"/>
              <w:rPr>
                <w:sz w:val="22"/>
                <w:szCs w:val="22"/>
                <w:color w:val="auto"/>
              </w:rPr>
            </w:pPr>
          </w:p>
        </w:tc>
      </w:tr>
      <w:tr>
        <w:trPr>
          <w:trHeight w:val="216"/>
        </w:trPr>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800" w:type="dxa"/>
            <w:vAlign w:val="bottom"/>
          </w:tcPr>
          <w:p>
            <w:pPr>
              <w:spacing w:after="0"/>
              <w:rPr>
                <w:sz w:val="18"/>
                <w:szCs w:val="18"/>
                <w:color w:val="auto"/>
              </w:rPr>
            </w:pPr>
          </w:p>
        </w:tc>
        <w:tc>
          <w:tcPr>
            <w:tcW w:w="1360" w:type="dxa"/>
            <w:vAlign w:val="bottom"/>
          </w:tcPr>
          <w:p>
            <w:pPr>
              <w:ind w:left="40"/>
              <w:spacing w:after="0"/>
              <w:rPr>
                <w:sz w:val="20"/>
                <w:szCs w:val="20"/>
                <w:color w:val="auto"/>
              </w:rPr>
            </w:pPr>
            <w:r>
              <w:rPr>
                <w:rFonts w:ascii="Arial" w:cs="Arial" w:eastAsia="Arial" w:hAnsi="Arial"/>
                <w:sz w:val="18"/>
                <w:szCs w:val="18"/>
                <w:color w:val="auto"/>
              </w:rPr>
              <w:t>Services</w:t>
            </w:r>
          </w:p>
        </w:tc>
        <w:tc>
          <w:tcPr>
            <w:tcW w:w="160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320" w:type="dxa"/>
            <w:vAlign w:val="bottom"/>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3300" w:type="dxa"/>
            <w:vAlign w:val="bottom"/>
            <w:gridSpan w:val="2"/>
          </w:tcPr>
          <w:p>
            <w:pPr>
              <w:spacing w:after="0"/>
              <w:rPr>
                <w:sz w:val="20"/>
                <w:szCs w:val="20"/>
                <w:color w:val="auto"/>
              </w:rPr>
            </w:pPr>
            <w:r>
              <w:rPr>
                <w:rFonts w:ascii="Arial" w:cs="Arial" w:eastAsia="Arial" w:hAnsi="Arial"/>
                <w:sz w:val="18"/>
                <w:szCs w:val="18"/>
                <w:color w:val="auto"/>
              </w:rPr>
              <w:t>Ria Netherlands Holding B.V.</w:t>
            </w:r>
          </w:p>
        </w:tc>
        <w:tc>
          <w:tcPr>
            <w:tcW w:w="2960" w:type="dxa"/>
            <w:vAlign w:val="bottom"/>
            <w:gridSpan w:val="2"/>
          </w:tcPr>
          <w:p>
            <w:pPr>
              <w:ind w:left="40"/>
              <w:spacing w:after="0"/>
              <w:rPr>
                <w:sz w:val="20"/>
                <w:szCs w:val="20"/>
                <w:color w:val="auto"/>
              </w:rPr>
            </w:pPr>
            <w:r>
              <w:rPr>
                <w:rFonts w:ascii="Arial" w:cs="Arial" w:eastAsia="Arial" w:hAnsi="Arial"/>
                <w:sz w:val="18"/>
                <w:szCs w:val="18"/>
                <w:color w:val="auto"/>
                <w:w w:val="96"/>
              </w:rPr>
              <w:t>Netherlands B.V.  Intercompany Loan</w:t>
            </w:r>
          </w:p>
        </w:tc>
        <w:tc>
          <w:tcPr>
            <w:tcW w:w="230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785,484</w:t>
            </w:r>
          </w:p>
        </w:tc>
      </w:tr>
      <w:tr>
        <w:trPr>
          <w:trHeight w:val="256"/>
        </w:trPr>
        <w:tc>
          <w:tcPr>
            <w:tcW w:w="2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2800" w:type="dxa"/>
            <w:vAlign w:val="bottom"/>
          </w:tcPr>
          <w:p>
            <w:pPr>
              <w:spacing w:after="0"/>
              <w:rPr>
                <w:sz w:val="22"/>
                <w:szCs w:val="22"/>
                <w:color w:val="auto"/>
              </w:rPr>
            </w:pPr>
          </w:p>
        </w:tc>
        <w:tc>
          <w:tcPr>
            <w:tcW w:w="1360" w:type="dxa"/>
            <w:vAlign w:val="bottom"/>
          </w:tcPr>
          <w:p>
            <w:pPr>
              <w:ind w:left="40"/>
              <w:spacing w:after="0"/>
              <w:rPr>
                <w:sz w:val="20"/>
                <w:szCs w:val="20"/>
                <w:color w:val="auto"/>
              </w:rPr>
            </w:pPr>
            <w:r>
              <w:rPr>
                <w:rFonts w:ascii="Arial" w:cs="Arial" w:eastAsia="Arial" w:hAnsi="Arial"/>
                <w:sz w:val="18"/>
                <w:szCs w:val="18"/>
                <w:color w:val="auto"/>
              </w:rPr>
              <w:t>RIA Financial</w:t>
            </w:r>
          </w:p>
        </w:tc>
        <w:tc>
          <w:tcPr>
            <w:tcW w:w="1600" w:type="dxa"/>
            <w:vAlign w:val="bottom"/>
          </w:tcPr>
          <w:p>
            <w:pPr>
              <w:spacing w:after="0"/>
              <w:rPr>
                <w:sz w:val="22"/>
                <w:szCs w:val="22"/>
                <w:color w:val="auto"/>
              </w:rPr>
            </w:pPr>
          </w:p>
        </w:tc>
        <w:tc>
          <w:tcPr>
            <w:tcW w:w="2300" w:type="dxa"/>
            <w:vAlign w:val="bottom"/>
          </w:tcPr>
          <w:p>
            <w:pPr>
              <w:spacing w:after="0"/>
              <w:rPr>
                <w:sz w:val="22"/>
                <w:szCs w:val="22"/>
                <w:color w:val="auto"/>
              </w:rPr>
            </w:pPr>
          </w:p>
        </w:tc>
        <w:tc>
          <w:tcPr>
            <w:tcW w:w="1500" w:type="dxa"/>
            <w:vAlign w:val="bottom"/>
          </w:tcPr>
          <w:p>
            <w:pPr>
              <w:spacing w:after="0"/>
              <w:rPr>
                <w:sz w:val="22"/>
                <w:szCs w:val="22"/>
                <w:color w:val="auto"/>
              </w:rPr>
            </w:pPr>
          </w:p>
        </w:tc>
        <w:tc>
          <w:tcPr>
            <w:tcW w:w="1320" w:type="dxa"/>
            <w:vAlign w:val="bottom"/>
          </w:tcPr>
          <w:p>
            <w:pPr>
              <w:spacing w:after="0"/>
              <w:rPr>
                <w:sz w:val="22"/>
                <w:szCs w:val="22"/>
                <w:color w:val="auto"/>
              </w:rPr>
            </w:pPr>
          </w:p>
        </w:tc>
      </w:tr>
      <w:tr>
        <w:trPr>
          <w:trHeight w:val="216"/>
        </w:trPr>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800" w:type="dxa"/>
            <w:vAlign w:val="bottom"/>
          </w:tcPr>
          <w:p>
            <w:pPr>
              <w:spacing w:after="0"/>
              <w:rPr>
                <w:sz w:val="18"/>
                <w:szCs w:val="18"/>
                <w:color w:val="auto"/>
              </w:rPr>
            </w:pPr>
          </w:p>
        </w:tc>
        <w:tc>
          <w:tcPr>
            <w:tcW w:w="1360" w:type="dxa"/>
            <w:vAlign w:val="bottom"/>
          </w:tcPr>
          <w:p>
            <w:pPr>
              <w:ind w:left="40"/>
              <w:spacing w:after="0"/>
              <w:rPr>
                <w:sz w:val="20"/>
                <w:szCs w:val="20"/>
                <w:color w:val="auto"/>
              </w:rPr>
            </w:pPr>
            <w:r>
              <w:rPr>
                <w:rFonts w:ascii="Arial" w:cs="Arial" w:eastAsia="Arial" w:hAnsi="Arial"/>
                <w:sz w:val="18"/>
                <w:szCs w:val="18"/>
                <w:color w:val="auto"/>
                <w:w w:val="96"/>
              </w:rPr>
              <w:t>Services Norway</w:t>
            </w:r>
          </w:p>
        </w:tc>
        <w:tc>
          <w:tcPr>
            <w:tcW w:w="160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320" w:type="dxa"/>
            <w:vAlign w:val="bottom"/>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3300" w:type="dxa"/>
            <w:vAlign w:val="bottom"/>
            <w:gridSpan w:val="2"/>
          </w:tcPr>
          <w:p>
            <w:pPr>
              <w:spacing w:after="0"/>
              <w:rPr>
                <w:sz w:val="20"/>
                <w:szCs w:val="20"/>
                <w:color w:val="auto"/>
              </w:rPr>
            </w:pPr>
            <w:r>
              <w:rPr>
                <w:rFonts w:ascii="Arial" w:cs="Arial" w:eastAsia="Arial" w:hAnsi="Arial"/>
                <w:sz w:val="18"/>
                <w:szCs w:val="18"/>
                <w:color w:val="auto"/>
              </w:rPr>
              <w:t>Ria Netherlands Holding B.V.</w:t>
            </w:r>
          </w:p>
        </w:tc>
        <w:tc>
          <w:tcPr>
            <w:tcW w:w="1360" w:type="dxa"/>
            <w:vAlign w:val="bottom"/>
          </w:tcPr>
          <w:p>
            <w:pPr>
              <w:ind w:left="40"/>
              <w:spacing w:after="0"/>
              <w:rPr>
                <w:sz w:val="20"/>
                <w:szCs w:val="20"/>
                <w:color w:val="auto"/>
              </w:rPr>
            </w:pPr>
            <w:r>
              <w:rPr>
                <w:rFonts w:ascii="Arial" w:cs="Arial" w:eastAsia="Arial" w:hAnsi="Arial"/>
                <w:sz w:val="18"/>
                <w:szCs w:val="18"/>
                <w:color w:val="auto"/>
              </w:rPr>
              <w:t>AS</w:t>
            </w:r>
          </w:p>
        </w:tc>
        <w:tc>
          <w:tcPr>
            <w:tcW w:w="1600" w:type="dxa"/>
            <w:vAlign w:val="bottom"/>
          </w:tcPr>
          <w:p>
            <w:pPr>
              <w:ind w:left="20"/>
              <w:spacing w:after="0"/>
              <w:rPr>
                <w:sz w:val="20"/>
                <w:szCs w:val="20"/>
                <w:color w:val="auto"/>
              </w:rPr>
            </w:pPr>
            <w:r>
              <w:rPr>
                <w:rFonts w:ascii="Arial" w:cs="Arial" w:eastAsia="Arial" w:hAnsi="Arial"/>
                <w:sz w:val="18"/>
                <w:szCs w:val="18"/>
                <w:color w:val="auto"/>
              </w:rPr>
              <w:t>Intercompany Loan</w:t>
            </w:r>
          </w:p>
        </w:tc>
        <w:tc>
          <w:tcPr>
            <w:tcW w:w="230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687,030</w:t>
            </w:r>
          </w:p>
        </w:tc>
      </w:tr>
      <w:tr>
        <w:trPr>
          <w:trHeight w:val="256"/>
        </w:trPr>
        <w:tc>
          <w:tcPr>
            <w:tcW w:w="2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2800" w:type="dxa"/>
            <w:vAlign w:val="bottom"/>
          </w:tcPr>
          <w:p>
            <w:pPr>
              <w:spacing w:after="0"/>
              <w:rPr>
                <w:sz w:val="22"/>
                <w:szCs w:val="22"/>
                <w:color w:val="auto"/>
              </w:rPr>
            </w:pPr>
          </w:p>
        </w:tc>
        <w:tc>
          <w:tcPr>
            <w:tcW w:w="1360" w:type="dxa"/>
            <w:vAlign w:val="bottom"/>
          </w:tcPr>
          <w:p>
            <w:pPr>
              <w:ind w:left="40"/>
              <w:spacing w:after="0"/>
              <w:rPr>
                <w:sz w:val="20"/>
                <w:szCs w:val="20"/>
                <w:color w:val="auto"/>
              </w:rPr>
            </w:pPr>
            <w:r>
              <w:rPr>
                <w:rFonts w:ascii="Arial" w:cs="Arial" w:eastAsia="Arial" w:hAnsi="Arial"/>
                <w:sz w:val="18"/>
                <w:szCs w:val="18"/>
                <w:color w:val="auto"/>
              </w:rPr>
              <w:t>Ria Financial</w:t>
            </w:r>
          </w:p>
        </w:tc>
        <w:tc>
          <w:tcPr>
            <w:tcW w:w="1600" w:type="dxa"/>
            <w:vAlign w:val="bottom"/>
          </w:tcPr>
          <w:p>
            <w:pPr>
              <w:spacing w:after="0"/>
              <w:rPr>
                <w:sz w:val="22"/>
                <w:szCs w:val="22"/>
                <w:color w:val="auto"/>
              </w:rPr>
            </w:pPr>
          </w:p>
        </w:tc>
        <w:tc>
          <w:tcPr>
            <w:tcW w:w="2300" w:type="dxa"/>
            <w:vAlign w:val="bottom"/>
          </w:tcPr>
          <w:p>
            <w:pPr>
              <w:spacing w:after="0"/>
              <w:rPr>
                <w:sz w:val="22"/>
                <w:szCs w:val="22"/>
                <w:color w:val="auto"/>
              </w:rPr>
            </w:pPr>
          </w:p>
        </w:tc>
        <w:tc>
          <w:tcPr>
            <w:tcW w:w="1500" w:type="dxa"/>
            <w:vAlign w:val="bottom"/>
          </w:tcPr>
          <w:p>
            <w:pPr>
              <w:spacing w:after="0"/>
              <w:rPr>
                <w:sz w:val="22"/>
                <w:szCs w:val="22"/>
                <w:color w:val="auto"/>
              </w:rPr>
            </w:pPr>
          </w:p>
        </w:tc>
        <w:tc>
          <w:tcPr>
            <w:tcW w:w="1320" w:type="dxa"/>
            <w:vAlign w:val="bottom"/>
          </w:tcPr>
          <w:p>
            <w:pPr>
              <w:spacing w:after="0"/>
              <w:rPr>
                <w:sz w:val="22"/>
                <w:szCs w:val="22"/>
                <w:color w:val="auto"/>
              </w:rPr>
            </w:pPr>
          </w:p>
        </w:tc>
      </w:tr>
      <w:tr>
        <w:trPr>
          <w:trHeight w:val="216"/>
        </w:trPr>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800" w:type="dxa"/>
            <w:vAlign w:val="bottom"/>
          </w:tcPr>
          <w:p>
            <w:pPr>
              <w:spacing w:after="0"/>
              <w:rPr>
                <w:sz w:val="18"/>
                <w:szCs w:val="18"/>
                <w:color w:val="auto"/>
              </w:rPr>
            </w:pPr>
          </w:p>
        </w:tc>
        <w:tc>
          <w:tcPr>
            <w:tcW w:w="1360" w:type="dxa"/>
            <w:vAlign w:val="bottom"/>
          </w:tcPr>
          <w:p>
            <w:pPr>
              <w:ind w:left="40"/>
              <w:spacing w:after="0"/>
              <w:rPr>
                <w:sz w:val="20"/>
                <w:szCs w:val="20"/>
                <w:color w:val="auto"/>
              </w:rPr>
            </w:pPr>
            <w:r>
              <w:rPr>
                <w:rFonts w:ascii="Arial" w:cs="Arial" w:eastAsia="Arial" w:hAnsi="Arial"/>
                <w:sz w:val="18"/>
                <w:szCs w:val="18"/>
                <w:color w:val="auto"/>
              </w:rPr>
              <w:t>Services,</w:t>
            </w:r>
          </w:p>
        </w:tc>
        <w:tc>
          <w:tcPr>
            <w:tcW w:w="160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320" w:type="dxa"/>
            <w:vAlign w:val="bottom"/>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3300" w:type="dxa"/>
            <w:vAlign w:val="bottom"/>
            <w:gridSpan w:val="2"/>
          </w:tcPr>
          <w:p>
            <w:pPr>
              <w:spacing w:after="0"/>
              <w:rPr>
                <w:sz w:val="20"/>
                <w:szCs w:val="20"/>
                <w:color w:val="auto"/>
              </w:rPr>
            </w:pPr>
            <w:r>
              <w:rPr>
                <w:rFonts w:ascii="Arial" w:cs="Arial" w:eastAsia="Arial" w:hAnsi="Arial"/>
                <w:sz w:val="18"/>
                <w:szCs w:val="18"/>
                <w:color w:val="auto"/>
              </w:rPr>
              <w:t>Ria Netherlands Holding B.V.</w:t>
            </w:r>
          </w:p>
        </w:tc>
        <w:tc>
          <w:tcPr>
            <w:tcW w:w="1360" w:type="dxa"/>
            <w:vAlign w:val="bottom"/>
          </w:tcPr>
          <w:p>
            <w:pPr>
              <w:ind w:left="40"/>
              <w:spacing w:after="0"/>
              <w:rPr>
                <w:sz w:val="20"/>
                <w:szCs w:val="20"/>
                <w:color w:val="auto"/>
              </w:rPr>
            </w:pPr>
            <w:r>
              <w:rPr>
                <w:rFonts w:ascii="Arial" w:cs="Arial" w:eastAsia="Arial" w:hAnsi="Arial"/>
                <w:sz w:val="18"/>
                <w:szCs w:val="18"/>
                <w:color w:val="auto"/>
              </w:rPr>
              <w:t>Denmark ApS</w:t>
            </w:r>
          </w:p>
        </w:tc>
        <w:tc>
          <w:tcPr>
            <w:tcW w:w="1600" w:type="dxa"/>
            <w:vAlign w:val="bottom"/>
          </w:tcPr>
          <w:p>
            <w:pPr>
              <w:ind w:left="20"/>
              <w:spacing w:after="0"/>
              <w:rPr>
                <w:sz w:val="20"/>
                <w:szCs w:val="20"/>
                <w:color w:val="auto"/>
              </w:rPr>
            </w:pPr>
            <w:r>
              <w:rPr>
                <w:rFonts w:ascii="Arial" w:cs="Arial" w:eastAsia="Arial" w:hAnsi="Arial"/>
                <w:sz w:val="18"/>
                <w:szCs w:val="18"/>
                <w:color w:val="auto"/>
              </w:rPr>
              <w:t>Intercompany Loan</w:t>
            </w:r>
          </w:p>
        </w:tc>
        <w:tc>
          <w:tcPr>
            <w:tcW w:w="230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408,066</w:t>
            </w:r>
          </w:p>
        </w:tc>
      </w:tr>
      <w:tr>
        <w:trPr>
          <w:trHeight w:val="256"/>
        </w:trPr>
        <w:tc>
          <w:tcPr>
            <w:tcW w:w="2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2800" w:type="dxa"/>
            <w:vAlign w:val="bottom"/>
          </w:tcPr>
          <w:p>
            <w:pPr>
              <w:spacing w:after="0"/>
              <w:rPr>
                <w:sz w:val="22"/>
                <w:szCs w:val="22"/>
                <w:color w:val="auto"/>
              </w:rPr>
            </w:pPr>
          </w:p>
        </w:tc>
        <w:tc>
          <w:tcPr>
            <w:tcW w:w="1360" w:type="dxa"/>
            <w:vAlign w:val="bottom"/>
          </w:tcPr>
          <w:p>
            <w:pPr>
              <w:ind w:left="40"/>
              <w:spacing w:after="0"/>
              <w:rPr>
                <w:sz w:val="20"/>
                <w:szCs w:val="20"/>
                <w:color w:val="auto"/>
              </w:rPr>
            </w:pPr>
            <w:r>
              <w:rPr>
                <w:rFonts w:ascii="Arial" w:cs="Arial" w:eastAsia="Arial" w:hAnsi="Arial"/>
                <w:sz w:val="18"/>
                <w:szCs w:val="18"/>
                <w:color w:val="auto"/>
              </w:rPr>
              <w:t>EFT Services</w:t>
            </w:r>
          </w:p>
        </w:tc>
        <w:tc>
          <w:tcPr>
            <w:tcW w:w="1600" w:type="dxa"/>
            <w:vAlign w:val="bottom"/>
          </w:tcPr>
          <w:p>
            <w:pPr>
              <w:spacing w:after="0"/>
              <w:rPr>
                <w:sz w:val="22"/>
                <w:szCs w:val="22"/>
                <w:color w:val="auto"/>
              </w:rPr>
            </w:pPr>
          </w:p>
        </w:tc>
        <w:tc>
          <w:tcPr>
            <w:tcW w:w="2300" w:type="dxa"/>
            <w:vAlign w:val="bottom"/>
          </w:tcPr>
          <w:p>
            <w:pPr>
              <w:spacing w:after="0"/>
              <w:rPr>
                <w:sz w:val="22"/>
                <w:szCs w:val="22"/>
                <w:color w:val="auto"/>
              </w:rPr>
            </w:pPr>
          </w:p>
        </w:tc>
        <w:tc>
          <w:tcPr>
            <w:tcW w:w="1500" w:type="dxa"/>
            <w:vAlign w:val="bottom"/>
          </w:tcPr>
          <w:p>
            <w:pPr>
              <w:spacing w:after="0"/>
              <w:rPr>
                <w:sz w:val="22"/>
                <w:szCs w:val="22"/>
                <w:color w:val="auto"/>
              </w:rPr>
            </w:pPr>
          </w:p>
        </w:tc>
        <w:tc>
          <w:tcPr>
            <w:tcW w:w="1320" w:type="dxa"/>
            <w:vAlign w:val="bottom"/>
          </w:tcPr>
          <w:p>
            <w:pPr>
              <w:spacing w:after="0"/>
              <w:rPr>
                <w:sz w:val="22"/>
                <w:szCs w:val="22"/>
                <w:color w:val="auto"/>
              </w:rPr>
            </w:pPr>
          </w:p>
        </w:tc>
      </w:tr>
      <w:tr>
        <w:trPr>
          <w:trHeight w:val="230"/>
        </w:trPr>
        <w:tc>
          <w:tcPr>
            <w:tcW w:w="20" w:type="dxa"/>
            <w:vAlign w:val="bottom"/>
          </w:tcPr>
          <w:p>
            <w:pPr>
              <w:spacing w:after="0"/>
              <w:rPr>
                <w:sz w:val="20"/>
                <w:szCs w:val="20"/>
                <w:color w:val="auto"/>
              </w:rPr>
            </w:pPr>
          </w:p>
        </w:tc>
        <w:tc>
          <w:tcPr>
            <w:tcW w:w="3300" w:type="dxa"/>
            <w:vAlign w:val="bottom"/>
            <w:gridSpan w:val="2"/>
          </w:tcPr>
          <w:p>
            <w:pPr>
              <w:spacing w:after="0"/>
              <w:rPr>
                <w:sz w:val="20"/>
                <w:szCs w:val="20"/>
                <w:color w:val="auto"/>
              </w:rPr>
            </w:pPr>
            <w:r>
              <w:rPr>
                <w:rFonts w:ascii="Arial" w:cs="Arial" w:eastAsia="Arial" w:hAnsi="Arial"/>
                <w:sz w:val="18"/>
                <w:szCs w:val="18"/>
                <w:color w:val="auto"/>
              </w:rPr>
              <w:t>XBA Szolgaltato Kft.</w:t>
            </w:r>
          </w:p>
        </w:tc>
        <w:tc>
          <w:tcPr>
            <w:tcW w:w="1360" w:type="dxa"/>
            <w:vAlign w:val="bottom"/>
          </w:tcPr>
          <w:p>
            <w:pPr>
              <w:ind w:left="40"/>
              <w:spacing w:after="0"/>
              <w:rPr>
                <w:sz w:val="20"/>
                <w:szCs w:val="20"/>
                <w:color w:val="auto"/>
              </w:rPr>
            </w:pPr>
            <w:r>
              <w:rPr>
                <w:rFonts w:ascii="Arial" w:cs="Arial" w:eastAsia="Arial" w:hAnsi="Arial"/>
                <w:sz w:val="18"/>
                <w:szCs w:val="18"/>
                <w:color w:val="auto"/>
              </w:rPr>
              <w:t>Holding B.V.</w:t>
            </w:r>
          </w:p>
        </w:tc>
        <w:tc>
          <w:tcPr>
            <w:tcW w:w="1600" w:type="dxa"/>
            <w:vAlign w:val="bottom"/>
          </w:tcPr>
          <w:p>
            <w:pPr>
              <w:ind w:left="20"/>
              <w:spacing w:after="0"/>
              <w:rPr>
                <w:sz w:val="20"/>
                <w:szCs w:val="20"/>
                <w:color w:val="auto"/>
              </w:rPr>
            </w:pPr>
            <w:r>
              <w:rPr>
                <w:rFonts w:ascii="Arial" w:cs="Arial" w:eastAsia="Arial" w:hAnsi="Arial"/>
                <w:sz w:val="18"/>
                <w:szCs w:val="18"/>
                <w:color w:val="auto"/>
              </w:rPr>
              <w:t>Intercompany Loan</w:t>
            </w:r>
          </w:p>
        </w:tc>
        <w:tc>
          <w:tcPr>
            <w:tcW w:w="230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3,716,869</w:t>
            </w:r>
          </w:p>
        </w:tc>
      </w:tr>
      <w:tr>
        <w:trPr>
          <w:trHeight w:val="27"/>
        </w:trPr>
        <w:tc>
          <w:tcPr>
            <w:tcW w:w="20" w:type="dxa"/>
            <w:vAlign w:val="bottom"/>
          </w:tcPr>
          <w:p>
            <w:pPr>
              <w:spacing w:after="0"/>
              <w:rPr>
                <w:sz w:val="2"/>
                <w:szCs w:val="2"/>
                <w:color w:val="auto"/>
              </w:rPr>
            </w:pPr>
          </w:p>
        </w:tc>
        <w:tc>
          <w:tcPr>
            <w:tcW w:w="500" w:type="dxa"/>
            <w:vAlign w:val="bottom"/>
          </w:tcPr>
          <w:p>
            <w:pPr>
              <w:spacing w:after="0"/>
              <w:rPr>
                <w:sz w:val="2"/>
                <w:szCs w:val="2"/>
                <w:color w:val="auto"/>
              </w:rPr>
            </w:pPr>
          </w:p>
        </w:tc>
        <w:tc>
          <w:tcPr>
            <w:tcW w:w="28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600" w:type="dxa"/>
            <w:vAlign w:val="bottom"/>
          </w:tcPr>
          <w:p>
            <w:pPr>
              <w:spacing w:after="0"/>
              <w:rPr>
                <w:sz w:val="2"/>
                <w:szCs w:val="2"/>
                <w:color w:val="auto"/>
              </w:rPr>
            </w:pPr>
          </w:p>
        </w:tc>
        <w:tc>
          <w:tcPr>
            <w:tcW w:w="23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64"/>
        </w:trPr>
        <w:tc>
          <w:tcPr>
            <w:tcW w:w="20" w:type="dxa"/>
            <w:vAlign w:val="bottom"/>
            <w:tcBorders>
              <w:bottom w:val="single" w:sz="8" w:color="C0C0C0"/>
            </w:tcBorders>
          </w:tcPr>
          <w:p>
            <w:pPr>
              <w:spacing w:after="0"/>
              <w:rPr>
                <w:sz w:val="22"/>
                <w:szCs w:val="22"/>
                <w:color w:val="auto"/>
              </w:rPr>
            </w:pPr>
          </w:p>
        </w:tc>
        <w:tc>
          <w:tcPr>
            <w:tcW w:w="500" w:type="dxa"/>
            <w:vAlign w:val="bottom"/>
            <w:tcBorders>
              <w:bottom w:val="single" w:sz="8" w:color="C0C0C0"/>
            </w:tcBorders>
          </w:tcPr>
          <w:p>
            <w:pPr>
              <w:spacing w:after="0"/>
              <w:rPr>
                <w:sz w:val="22"/>
                <w:szCs w:val="22"/>
                <w:color w:val="auto"/>
              </w:rPr>
            </w:pPr>
          </w:p>
        </w:tc>
        <w:tc>
          <w:tcPr>
            <w:tcW w:w="2800" w:type="dxa"/>
            <w:vAlign w:val="bottom"/>
            <w:tcBorders>
              <w:bottom w:val="single" w:sz="8" w:color="C0C0C0"/>
            </w:tcBorders>
          </w:tcPr>
          <w:p>
            <w:pPr>
              <w:spacing w:after="0"/>
              <w:rPr>
                <w:sz w:val="22"/>
                <w:szCs w:val="22"/>
                <w:color w:val="auto"/>
              </w:rPr>
            </w:pPr>
          </w:p>
        </w:tc>
        <w:tc>
          <w:tcPr>
            <w:tcW w:w="1360" w:type="dxa"/>
            <w:vAlign w:val="bottom"/>
            <w:tcBorders>
              <w:bottom w:val="single" w:sz="8" w:color="C0C0C0"/>
            </w:tcBorders>
          </w:tcPr>
          <w:p>
            <w:pPr>
              <w:spacing w:after="0"/>
              <w:rPr>
                <w:sz w:val="22"/>
                <w:szCs w:val="22"/>
                <w:color w:val="auto"/>
              </w:rPr>
            </w:pPr>
          </w:p>
        </w:tc>
        <w:tc>
          <w:tcPr>
            <w:tcW w:w="1600" w:type="dxa"/>
            <w:vAlign w:val="bottom"/>
            <w:tcBorders>
              <w:bottom w:val="single" w:sz="8" w:color="C0C0C0"/>
            </w:tcBorders>
          </w:tcPr>
          <w:p>
            <w:pPr>
              <w:spacing w:after="0"/>
              <w:rPr>
                <w:sz w:val="22"/>
                <w:szCs w:val="22"/>
                <w:color w:val="auto"/>
              </w:rPr>
            </w:pPr>
          </w:p>
        </w:tc>
        <w:tc>
          <w:tcPr>
            <w:tcW w:w="2300" w:type="dxa"/>
            <w:vAlign w:val="bottom"/>
            <w:tcBorders>
              <w:bottom w:val="single" w:sz="8" w:color="C0C0C0"/>
            </w:tcBorders>
          </w:tcPr>
          <w:p>
            <w:pPr>
              <w:spacing w:after="0"/>
              <w:rPr>
                <w:sz w:val="22"/>
                <w:szCs w:val="22"/>
                <w:color w:val="auto"/>
              </w:rPr>
            </w:pPr>
          </w:p>
        </w:tc>
        <w:tc>
          <w:tcPr>
            <w:tcW w:w="1500" w:type="dxa"/>
            <w:vAlign w:val="bottom"/>
            <w:tcBorders>
              <w:bottom w:val="single" w:sz="8" w:color="C0C0C0"/>
            </w:tcBorders>
          </w:tcPr>
          <w:p>
            <w:pPr>
              <w:spacing w:after="0"/>
              <w:rPr>
                <w:sz w:val="22"/>
                <w:szCs w:val="22"/>
                <w:color w:val="auto"/>
              </w:rPr>
            </w:pPr>
          </w:p>
        </w:tc>
        <w:tc>
          <w:tcPr>
            <w:tcW w:w="1320" w:type="dxa"/>
            <w:vAlign w:val="bottom"/>
            <w:tcBorders>
              <w:bottom w:val="single" w:sz="8" w:color="auto"/>
            </w:tcBorders>
          </w:tcPr>
          <w:p>
            <w:pPr>
              <w:spacing w:after="0"/>
              <w:rPr>
                <w:sz w:val="22"/>
                <w:szCs w:val="22"/>
                <w:color w:val="auto"/>
              </w:rPr>
            </w:pPr>
          </w:p>
        </w:tc>
      </w:tr>
      <w:tr>
        <w:trPr>
          <w:trHeight w:val="264"/>
        </w:trPr>
        <w:tc>
          <w:tcPr>
            <w:tcW w:w="20" w:type="dxa"/>
            <w:vAlign w:val="bottom"/>
            <w:tcBorders>
              <w:bottom w:val="single" w:sz="8" w:color="C0C0C0"/>
            </w:tcBorders>
            <w:shd w:val="clear" w:color="auto" w:fill="C0C0C0"/>
          </w:tcPr>
          <w:p>
            <w:pPr>
              <w:spacing w:after="0"/>
              <w:rPr>
                <w:sz w:val="22"/>
                <w:szCs w:val="22"/>
                <w:color w:val="auto"/>
              </w:rPr>
            </w:pPr>
          </w:p>
        </w:tc>
        <w:tc>
          <w:tcPr>
            <w:tcW w:w="3300" w:type="dxa"/>
            <w:vAlign w:val="bottom"/>
            <w:tcBorders>
              <w:bottom w:val="single" w:sz="8" w:color="C0C0C0"/>
            </w:tcBorders>
            <w:gridSpan w:val="2"/>
            <w:shd w:val="clear" w:color="auto" w:fill="C0C0C0"/>
          </w:tcPr>
          <w:p>
            <w:pPr>
              <w:spacing w:after="0"/>
              <w:rPr>
                <w:sz w:val="20"/>
                <w:szCs w:val="20"/>
                <w:color w:val="auto"/>
              </w:rPr>
            </w:pPr>
            <w:r>
              <w:rPr>
                <w:rFonts w:ascii="Arial" w:cs="Arial" w:eastAsia="Arial" w:hAnsi="Arial"/>
                <w:sz w:val="18"/>
                <w:szCs w:val="18"/>
                <w:b w:val="1"/>
                <w:bCs w:val="1"/>
                <w:color w:val="auto"/>
              </w:rPr>
              <w:t>Total Intercompany Loans</w:t>
            </w:r>
          </w:p>
        </w:tc>
        <w:tc>
          <w:tcPr>
            <w:tcW w:w="1360" w:type="dxa"/>
            <w:vAlign w:val="bottom"/>
            <w:tcBorders>
              <w:bottom w:val="single" w:sz="8" w:color="C0C0C0"/>
            </w:tcBorders>
            <w:shd w:val="clear" w:color="auto" w:fill="C0C0C0"/>
          </w:tcPr>
          <w:p>
            <w:pPr>
              <w:spacing w:after="0"/>
              <w:rPr>
                <w:sz w:val="22"/>
                <w:szCs w:val="22"/>
                <w:color w:val="auto"/>
              </w:rPr>
            </w:pPr>
          </w:p>
        </w:tc>
        <w:tc>
          <w:tcPr>
            <w:tcW w:w="1600" w:type="dxa"/>
            <w:vAlign w:val="bottom"/>
            <w:tcBorders>
              <w:bottom w:val="single" w:sz="8" w:color="C0C0C0"/>
            </w:tcBorders>
            <w:shd w:val="clear" w:color="auto" w:fill="C0C0C0"/>
          </w:tcPr>
          <w:p>
            <w:pPr>
              <w:spacing w:after="0"/>
              <w:rPr>
                <w:sz w:val="22"/>
                <w:szCs w:val="22"/>
                <w:color w:val="auto"/>
              </w:rPr>
            </w:pPr>
          </w:p>
        </w:tc>
        <w:tc>
          <w:tcPr>
            <w:tcW w:w="2300" w:type="dxa"/>
            <w:vAlign w:val="bottom"/>
            <w:tcBorders>
              <w:bottom w:val="single" w:sz="8" w:color="C0C0C0"/>
            </w:tcBorders>
            <w:shd w:val="clear" w:color="auto" w:fill="C0C0C0"/>
          </w:tcPr>
          <w:p>
            <w:pPr>
              <w:spacing w:after="0"/>
              <w:rPr>
                <w:sz w:val="22"/>
                <w:szCs w:val="22"/>
                <w:color w:val="auto"/>
              </w:rPr>
            </w:pPr>
          </w:p>
        </w:tc>
        <w:tc>
          <w:tcPr>
            <w:tcW w:w="1500" w:type="dxa"/>
            <w:vAlign w:val="bottom"/>
            <w:tcBorders>
              <w:bottom w:val="single" w:sz="8" w:color="C0C0C0"/>
            </w:tcBorders>
            <w:shd w:val="clear" w:color="auto" w:fill="C0C0C0"/>
          </w:tcPr>
          <w:p>
            <w:pPr>
              <w:spacing w:after="0"/>
              <w:rPr>
                <w:sz w:val="22"/>
                <w:szCs w:val="22"/>
                <w:color w:val="auto"/>
              </w:rPr>
            </w:pPr>
          </w:p>
        </w:tc>
        <w:tc>
          <w:tcPr>
            <w:tcW w:w="1320" w:type="dxa"/>
            <w:vAlign w:val="bottom"/>
            <w:tcBorders>
              <w:bottom w:val="single" w:sz="8" w:color="C0C0C0"/>
            </w:tcBorders>
            <w:shd w:val="clear" w:color="auto" w:fill="C0C0C0"/>
          </w:tcPr>
          <w:p>
            <w:pPr>
              <w:jc w:val="right"/>
              <w:spacing w:after="0"/>
              <w:rPr>
                <w:sz w:val="20"/>
                <w:szCs w:val="20"/>
                <w:color w:val="auto"/>
              </w:rPr>
            </w:pPr>
            <w:r>
              <w:rPr>
                <w:rFonts w:ascii="Arial" w:cs="Arial" w:eastAsia="Arial" w:hAnsi="Arial"/>
                <w:sz w:val="18"/>
                <w:szCs w:val="18"/>
                <w:b w:val="1"/>
                <w:bCs w:val="1"/>
                <w:color w:val="auto"/>
              </w:rPr>
              <w:t>$ 464,263,164</w:t>
            </w:r>
          </w:p>
        </w:tc>
      </w:tr>
      <w:tr>
        <w:trPr>
          <w:trHeight w:val="466"/>
        </w:trPr>
        <w:tc>
          <w:tcPr>
            <w:tcW w:w="20" w:type="dxa"/>
            <w:vAlign w:val="bottom"/>
          </w:tcPr>
          <w:p>
            <w:pPr>
              <w:spacing w:after="0"/>
              <w:rPr>
                <w:sz w:val="24"/>
                <w:szCs w:val="24"/>
                <w:color w:val="auto"/>
              </w:rPr>
            </w:pPr>
          </w:p>
        </w:tc>
        <w:tc>
          <w:tcPr>
            <w:tcW w:w="50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i w:val="1"/>
                <w:iCs w:val="1"/>
                <w:color w:val="auto"/>
                <w:w w:val="88"/>
              </w:rPr>
              <w:t>Other:</w:t>
            </w:r>
          </w:p>
        </w:tc>
        <w:tc>
          <w:tcPr>
            <w:tcW w:w="28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320" w:type="dxa"/>
            <w:vAlign w:val="bottom"/>
            <w:tcBorders>
              <w:top w:val="single" w:sz="8" w:color="auto"/>
            </w:tcBorders>
          </w:tcPr>
          <w:p>
            <w:pPr>
              <w:spacing w:after="0"/>
              <w:rPr>
                <w:sz w:val="24"/>
                <w:szCs w:val="24"/>
                <w:color w:val="auto"/>
              </w:rPr>
            </w:pPr>
          </w:p>
        </w:tc>
      </w:tr>
      <w:tr>
        <w:trPr>
          <w:trHeight w:val="574"/>
        </w:trPr>
        <w:tc>
          <w:tcPr>
            <w:tcW w:w="20" w:type="dxa"/>
            <w:vAlign w:val="bottom"/>
          </w:tcPr>
          <w:p>
            <w:pPr>
              <w:spacing w:after="0"/>
              <w:rPr>
                <w:sz w:val="24"/>
                <w:szCs w:val="24"/>
                <w:color w:val="auto"/>
              </w:rPr>
            </w:pPr>
          </w:p>
        </w:tc>
        <w:tc>
          <w:tcPr>
            <w:tcW w:w="3300" w:type="dxa"/>
            <w:vAlign w:val="bottom"/>
            <w:gridSpan w:val="2"/>
          </w:tcPr>
          <w:p>
            <w:pPr>
              <w:spacing w:after="0"/>
              <w:rPr>
                <w:sz w:val="20"/>
                <w:szCs w:val="20"/>
                <w:color w:val="auto"/>
              </w:rPr>
            </w:pPr>
            <w:r>
              <w:rPr>
                <w:rFonts w:ascii="Arial" w:cs="Arial" w:eastAsia="Arial" w:hAnsi="Arial"/>
                <w:sz w:val="18"/>
                <w:szCs w:val="18"/>
                <w:color w:val="auto"/>
              </w:rPr>
              <w:t>Euronet Services, Spol. s r.o.</w:t>
            </w:r>
          </w:p>
        </w:tc>
        <w:tc>
          <w:tcPr>
            <w:tcW w:w="1360" w:type="dxa"/>
            <w:vAlign w:val="bottom"/>
          </w:tcPr>
          <w:p>
            <w:pPr>
              <w:ind w:left="40"/>
              <w:spacing w:after="0"/>
              <w:rPr>
                <w:sz w:val="20"/>
                <w:szCs w:val="20"/>
                <w:color w:val="auto"/>
              </w:rPr>
            </w:pPr>
            <w:r>
              <w:rPr>
                <w:rFonts w:ascii="Arial" w:cs="Arial" w:eastAsia="Arial" w:hAnsi="Arial"/>
                <w:sz w:val="16"/>
                <w:szCs w:val="16"/>
                <w:color w:val="auto"/>
              </w:rPr>
              <w:t>UniCredit</w:t>
            </w:r>
          </w:p>
        </w:tc>
        <w:tc>
          <w:tcPr>
            <w:tcW w:w="1600" w:type="dxa"/>
            <w:vAlign w:val="bottom"/>
          </w:tcPr>
          <w:p>
            <w:pPr>
              <w:ind w:left="20"/>
              <w:spacing w:after="0"/>
              <w:rPr>
                <w:sz w:val="20"/>
                <w:szCs w:val="20"/>
                <w:color w:val="auto"/>
              </w:rPr>
            </w:pPr>
            <w:r>
              <w:rPr>
                <w:rFonts w:ascii="Arial" w:cs="Arial" w:eastAsia="Arial" w:hAnsi="Arial"/>
                <w:sz w:val="16"/>
                <w:szCs w:val="16"/>
                <w:color w:val="auto"/>
              </w:rPr>
              <w:t>Overdraft Facility</w:t>
            </w:r>
          </w:p>
        </w:tc>
        <w:tc>
          <w:tcPr>
            <w:tcW w:w="2300" w:type="dxa"/>
            <w:vAlign w:val="bottom"/>
          </w:tcPr>
          <w:p>
            <w:pPr>
              <w:ind w:left="120"/>
              <w:spacing w:after="0"/>
              <w:rPr>
                <w:sz w:val="20"/>
                <w:szCs w:val="20"/>
                <w:color w:val="auto"/>
              </w:rPr>
            </w:pPr>
            <w:r>
              <w:rPr>
                <w:rFonts w:ascii="Arial" w:cs="Arial" w:eastAsia="Arial" w:hAnsi="Arial"/>
                <w:sz w:val="16"/>
                <w:szCs w:val="16"/>
                <w:color w:val="auto"/>
              </w:rPr>
              <w:t>Bank Overdraft Facility</w:t>
            </w:r>
          </w:p>
        </w:tc>
        <w:tc>
          <w:tcPr>
            <w:tcW w:w="1500" w:type="dxa"/>
            <w:vAlign w:val="bottom"/>
          </w:tcPr>
          <w:p>
            <w:pPr>
              <w:jc w:val="right"/>
              <w:spacing w:after="0"/>
              <w:rPr>
                <w:sz w:val="20"/>
                <w:szCs w:val="20"/>
                <w:color w:val="auto"/>
              </w:rPr>
            </w:pPr>
            <w:r>
              <w:rPr>
                <w:rFonts w:ascii="Arial" w:cs="Arial" w:eastAsia="Arial" w:hAnsi="Arial"/>
                <w:sz w:val="16"/>
                <w:szCs w:val="16"/>
                <w:color w:val="auto"/>
              </w:rPr>
              <w:t>CZK 40,000,000</w:t>
            </w:r>
          </w:p>
        </w:tc>
        <w:tc>
          <w:tcPr>
            <w:tcW w:w="1320" w:type="dxa"/>
            <w:vAlign w:val="bottom"/>
          </w:tcPr>
          <w:p>
            <w:pPr>
              <w:jc w:val="right"/>
              <w:spacing w:after="0"/>
              <w:rPr>
                <w:sz w:val="20"/>
                <w:szCs w:val="20"/>
                <w:color w:val="auto"/>
              </w:rPr>
            </w:pPr>
            <w:r>
              <w:rPr>
                <w:rFonts w:ascii="Arial" w:cs="Arial" w:eastAsia="Arial" w:hAnsi="Arial"/>
                <w:sz w:val="18"/>
                <w:szCs w:val="18"/>
                <w:color w:val="auto"/>
              </w:rPr>
              <w:t>1,965,988</w:t>
            </w:r>
          </w:p>
        </w:tc>
      </w:tr>
      <w:tr>
        <w:trPr>
          <w:trHeight w:val="270"/>
        </w:trPr>
        <w:tc>
          <w:tcPr>
            <w:tcW w:w="20" w:type="dxa"/>
            <w:vAlign w:val="bottom"/>
          </w:tcPr>
          <w:p>
            <w:pPr>
              <w:spacing w:after="0"/>
              <w:rPr>
                <w:sz w:val="23"/>
                <w:szCs w:val="23"/>
                <w:color w:val="auto"/>
              </w:rPr>
            </w:pPr>
          </w:p>
        </w:tc>
        <w:tc>
          <w:tcPr>
            <w:tcW w:w="3300" w:type="dxa"/>
            <w:vAlign w:val="bottom"/>
            <w:gridSpan w:val="2"/>
          </w:tcPr>
          <w:p>
            <w:pPr>
              <w:spacing w:after="0"/>
              <w:rPr>
                <w:sz w:val="20"/>
                <w:szCs w:val="20"/>
                <w:color w:val="auto"/>
              </w:rPr>
            </w:pPr>
            <w:r>
              <w:rPr>
                <w:rFonts w:ascii="Arial" w:cs="Arial" w:eastAsia="Arial" w:hAnsi="Arial"/>
                <w:sz w:val="16"/>
                <w:szCs w:val="16"/>
                <w:color w:val="auto"/>
              </w:rPr>
              <w:t>Euronet Polska Spółka z o.o.</w:t>
            </w:r>
          </w:p>
        </w:tc>
        <w:tc>
          <w:tcPr>
            <w:tcW w:w="1360" w:type="dxa"/>
            <w:vAlign w:val="bottom"/>
          </w:tcPr>
          <w:p>
            <w:pPr>
              <w:ind w:left="40"/>
              <w:spacing w:after="0"/>
              <w:rPr>
                <w:sz w:val="20"/>
                <w:szCs w:val="20"/>
                <w:color w:val="auto"/>
              </w:rPr>
            </w:pPr>
            <w:r>
              <w:rPr>
                <w:rFonts w:ascii="Arial" w:cs="Arial" w:eastAsia="Arial" w:hAnsi="Arial"/>
                <w:sz w:val="16"/>
                <w:szCs w:val="16"/>
                <w:color w:val="auto"/>
              </w:rPr>
              <w:t>Raiffeisen Bank</w:t>
            </w:r>
          </w:p>
        </w:tc>
        <w:tc>
          <w:tcPr>
            <w:tcW w:w="1600" w:type="dxa"/>
            <w:vAlign w:val="bottom"/>
          </w:tcPr>
          <w:p>
            <w:pPr>
              <w:ind w:left="20"/>
              <w:spacing w:after="0"/>
              <w:rPr>
                <w:sz w:val="20"/>
                <w:szCs w:val="20"/>
                <w:color w:val="auto"/>
              </w:rPr>
            </w:pPr>
            <w:r>
              <w:rPr>
                <w:rFonts w:ascii="Arial" w:cs="Arial" w:eastAsia="Arial" w:hAnsi="Arial"/>
                <w:sz w:val="16"/>
                <w:szCs w:val="16"/>
                <w:color w:val="auto"/>
              </w:rPr>
              <w:t>Overdraft Facility</w:t>
            </w:r>
          </w:p>
        </w:tc>
        <w:tc>
          <w:tcPr>
            <w:tcW w:w="2300" w:type="dxa"/>
            <w:vAlign w:val="bottom"/>
          </w:tcPr>
          <w:p>
            <w:pPr>
              <w:ind w:left="120"/>
              <w:spacing w:after="0"/>
              <w:rPr>
                <w:sz w:val="20"/>
                <w:szCs w:val="20"/>
                <w:color w:val="auto"/>
              </w:rPr>
            </w:pPr>
            <w:r>
              <w:rPr>
                <w:rFonts w:ascii="Arial" w:cs="Arial" w:eastAsia="Arial" w:hAnsi="Arial"/>
                <w:sz w:val="16"/>
                <w:szCs w:val="16"/>
                <w:color w:val="auto"/>
              </w:rPr>
              <w:t>Bank Overdraft Facility</w:t>
            </w:r>
          </w:p>
        </w:tc>
        <w:tc>
          <w:tcPr>
            <w:tcW w:w="1500" w:type="dxa"/>
            <w:vAlign w:val="bottom"/>
          </w:tcPr>
          <w:p>
            <w:pPr>
              <w:jc w:val="right"/>
              <w:spacing w:after="0"/>
              <w:rPr>
                <w:sz w:val="20"/>
                <w:szCs w:val="20"/>
                <w:color w:val="auto"/>
              </w:rPr>
            </w:pPr>
            <w:r>
              <w:rPr>
                <w:rFonts w:ascii="Arial" w:cs="Arial" w:eastAsia="Arial" w:hAnsi="Arial"/>
                <w:sz w:val="16"/>
                <w:szCs w:val="16"/>
                <w:color w:val="auto"/>
              </w:rPr>
              <w:t>PLN 12,000,000</w:t>
            </w:r>
          </w:p>
        </w:tc>
        <w:tc>
          <w:tcPr>
            <w:tcW w:w="1320" w:type="dxa"/>
            <w:vAlign w:val="bottom"/>
          </w:tcPr>
          <w:p>
            <w:pPr>
              <w:jc w:val="right"/>
              <w:spacing w:after="0"/>
              <w:rPr>
                <w:sz w:val="20"/>
                <w:szCs w:val="20"/>
                <w:color w:val="auto"/>
              </w:rPr>
            </w:pPr>
            <w:r>
              <w:rPr>
                <w:rFonts w:ascii="Arial" w:cs="Arial" w:eastAsia="Arial" w:hAnsi="Arial"/>
                <w:sz w:val="18"/>
                <w:szCs w:val="18"/>
                <w:color w:val="auto"/>
              </w:rPr>
              <w:t>3,814,125</w:t>
            </w:r>
          </w:p>
        </w:tc>
      </w:tr>
      <w:tr>
        <w:trPr>
          <w:trHeight w:val="270"/>
        </w:trPr>
        <w:tc>
          <w:tcPr>
            <w:tcW w:w="20" w:type="dxa"/>
            <w:vAlign w:val="bottom"/>
          </w:tcPr>
          <w:p>
            <w:pPr>
              <w:spacing w:after="0"/>
              <w:rPr>
                <w:sz w:val="23"/>
                <w:szCs w:val="23"/>
                <w:color w:val="auto"/>
              </w:rPr>
            </w:pPr>
          </w:p>
        </w:tc>
        <w:tc>
          <w:tcPr>
            <w:tcW w:w="3300" w:type="dxa"/>
            <w:vAlign w:val="bottom"/>
            <w:gridSpan w:val="2"/>
          </w:tcPr>
          <w:p>
            <w:pPr>
              <w:spacing w:after="0"/>
              <w:rPr>
                <w:sz w:val="20"/>
                <w:szCs w:val="20"/>
                <w:color w:val="auto"/>
              </w:rPr>
            </w:pPr>
            <w:r>
              <w:rPr>
                <w:rFonts w:ascii="Arial" w:cs="Arial" w:eastAsia="Arial" w:hAnsi="Arial"/>
                <w:sz w:val="16"/>
                <w:szCs w:val="16"/>
                <w:color w:val="auto"/>
              </w:rPr>
              <w:t>Euronet Polska Spółka z o.o.</w:t>
            </w:r>
          </w:p>
        </w:tc>
        <w:tc>
          <w:tcPr>
            <w:tcW w:w="1360" w:type="dxa"/>
            <w:vAlign w:val="bottom"/>
          </w:tcPr>
          <w:p>
            <w:pPr>
              <w:ind w:left="40"/>
              <w:spacing w:after="0"/>
              <w:rPr>
                <w:sz w:val="20"/>
                <w:szCs w:val="20"/>
                <w:color w:val="auto"/>
              </w:rPr>
            </w:pPr>
            <w:r>
              <w:rPr>
                <w:rFonts w:ascii="Arial" w:cs="Arial" w:eastAsia="Arial" w:hAnsi="Arial"/>
                <w:sz w:val="16"/>
                <w:szCs w:val="16"/>
                <w:color w:val="auto"/>
              </w:rPr>
              <w:t>mBank</w:t>
            </w:r>
          </w:p>
        </w:tc>
        <w:tc>
          <w:tcPr>
            <w:tcW w:w="1600" w:type="dxa"/>
            <w:vAlign w:val="bottom"/>
          </w:tcPr>
          <w:p>
            <w:pPr>
              <w:ind w:left="20"/>
              <w:spacing w:after="0"/>
              <w:rPr>
                <w:sz w:val="20"/>
                <w:szCs w:val="20"/>
                <w:color w:val="auto"/>
              </w:rPr>
            </w:pPr>
            <w:r>
              <w:rPr>
                <w:rFonts w:ascii="Arial" w:cs="Arial" w:eastAsia="Arial" w:hAnsi="Arial"/>
                <w:sz w:val="16"/>
                <w:szCs w:val="16"/>
                <w:color w:val="auto"/>
              </w:rPr>
              <w:t>Overdraft Facility</w:t>
            </w:r>
          </w:p>
        </w:tc>
        <w:tc>
          <w:tcPr>
            <w:tcW w:w="2300" w:type="dxa"/>
            <w:vAlign w:val="bottom"/>
          </w:tcPr>
          <w:p>
            <w:pPr>
              <w:ind w:left="120"/>
              <w:spacing w:after="0"/>
              <w:rPr>
                <w:sz w:val="20"/>
                <w:szCs w:val="20"/>
                <w:color w:val="auto"/>
              </w:rPr>
            </w:pPr>
            <w:r>
              <w:rPr>
                <w:rFonts w:ascii="Arial" w:cs="Arial" w:eastAsia="Arial" w:hAnsi="Arial"/>
                <w:sz w:val="16"/>
                <w:szCs w:val="16"/>
                <w:color w:val="auto"/>
              </w:rPr>
              <w:t>Bank Overdraft Facility</w:t>
            </w:r>
          </w:p>
        </w:tc>
        <w:tc>
          <w:tcPr>
            <w:tcW w:w="1500" w:type="dxa"/>
            <w:vAlign w:val="bottom"/>
          </w:tcPr>
          <w:p>
            <w:pPr>
              <w:jc w:val="right"/>
              <w:spacing w:after="0"/>
              <w:rPr>
                <w:sz w:val="20"/>
                <w:szCs w:val="20"/>
                <w:color w:val="auto"/>
              </w:rPr>
            </w:pPr>
            <w:r>
              <w:rPr>
                <w:rFonts w:ascii="Arial" w:cs="Arial" w:eastAsia="Arial" w:hAnsi="Arial"/>
                <w:sz w:val="16"/>
                <w:szCs w:val="16"/>
                <w:color w:val="auto"/>
              </w:rPr>
              <w:t>PLN 90,000,000</w:t>
            </w:r>
          </w:p>
        </w:tc>
        <w:tc>
          <w:tcPr>
            <w:tcW w:w="1320" w:type="dxa"/>
            <w:vAlign w:val="bottom"/>
          </w:tcPr>
          <w:p>
            <w:pPr>
              <w:jc w:val="right"/>
              <w:spacing w:after="0"/>
              <w:rPr>
                <w:sz w:val="20"/>
                <w:szCs w:val="20"/>
                <w:color w:val="auto"/>
              </w:rPr>
            </w:pPr>
            <w:r>
              <w:rPr>
                <w:rFonts w:ascii="Arial" w:cs="Arial" w:eastAsia="Arial" w:hAnsi="Arial"/>
                <w:sz w:val="18"/>
                <w:szCs w:val="18"/>
                <w:color w:val="auto"/>
              </w:rPr>
              <w:t>28,605,937</w:t>
            </w:r>
          </w:p>
        </w:tc>
      </w:tr>
      <w:tr>
        <w:trPr>
          <w:trHeight w:val="270"/>
        </w:trPr>
        <w:tc>
          <w:tcPr>
            <w:tcW w:w="20" w:type="dxa"/>
            <w:vAlign w:val="bottom"/>
          </w:tcPr>
          <w:p>
            <w:pPr>
              <w:spacing w:after="0"/>
              <w:rPr>
                <w:sz w:val="23"/>
                <w:szCs w:val="23"/>
                <w:color w:val="auto"/>
              </w:rPr>
            </w:pPr>
          </w:p>
        </w:tc>
        <w:tc>
          <w:tcPr>
            <w:tcW w:w="3300" w:type="dxa"/>
            <w:vAlign w:val="bottom"/>
            <w:gridSpan w:val="2"/>
          </w:tcPr>
          <w:p>
            <w:pPr>
              <w:spacing w:after="0"/>
              <w:rPr>
                <w:sz w:val="20"/>
                <w:szCs w:val="20"/>
                <w:color w:val="auto"/>
              </w:rPr>
            </w:pPr>
            <w:r>
              <w:rPr>
                <w:rFonts w:ascii="Arial" w:cs="Arial" w:eastAsia="Arial" w:hAnsi="Arial"/>
                <w:sz w:val="16"/>
                <w:szCs w:val="16"/>
                <w:color w:val="auto"/>
              </w:rPr>
              <w:t>Euronet Polska Spółka z o.o.</w:t>
            </w:r>
          </w:p>
        </w:tc>
        <w:tc>
          <w:tcPr>
            <w:tcW w:w="1360" w:type="dxa"/>
            <w:vAlign w:val="bottom"/>
          </w:tcPr>
          <w:p>
            <w:pPr>
              <w:ind w:left="40"/>
              <w:spacing w:after="0"/>
              <w:rPr>
                <w:sz w:val="20"/>
                <w:szCs w:val="20"/>
                <w:color w:val="auto"/>
              </w:rPr>
            </w:pPr>
            <w:r>
              <w:rPr>
                <w:rFonts w:ascii="Arial" w:cs="Arial" w:eastAsia="Arial" w:hAnsi="Arial"/>
                <w:sz w:val="16"/>
                <w:szCs w:val="16"/>
                <w:color w:val="auto"/>
              </w:rPr>
              <w:t>Pekao</w:t>
            </w:r>
          </w:p>
        </w:tc>
        <w:tc>
          <w:tcPr>
            <w:tcW w:w="1600" w:type="dxa"/>
            <w:vAlign w:val="bottom"/>
          </w:tcPr>
          <w:p>
            <w:pPr>
              <w:ind w:left="20"/>
              <w:spacing w:after="0"/>
              <w:rPr>
                <w:sz w:val="20"/>
                <w:szCs w:val="20"/>
                <w:color w:val="auto"/>
              </w:rPr>
            </w:pPr>
            <w:r>
              <w:rPr>
                <w:rFonts w:ascii="Arial" w:cs="Arial" w:eastAsia="Arial" w:hAnsi="Arial"/>
                <w:sz w:val="16"/>
                <w:szCs w:val="16"/>
                <w:color w:val="auto"/>
              </w:rPr>
              <w:t>Overdraft Facility</w:t>
            </w:r>
          </w:p>
        </w:tc>
        <w:tc>
          <w:tcPr>
            <w:tcW w:w="2300" w:type="dxa"/>
            <w:vAlign w:val="bottom"/>
          </w:tcPr>
          <w:p>
            <w:pPr>
              <w:ind w:left="120"/>
              <w:spacing w:after="0"/>
              <w:rPr>
                <w:sz w:val="20"/>
                <w:szCs w:val="20"/>
                <w:color w:val="auto"/>
              </w:rPr>
            </w:pPr>
            <w:r>
              <w:rPr>
                <w:rFonts w:ascii="Arial" w:cs="Arial" w:eastAsia="Arial" w:hAnsi="Arial"/>
                <w:sz w:val="16"/>
                <w:szCs w:val="16"/>
                <w:color w:val="auto"/>
              </w:rPr>
              <w:t>Bank Overdraft Facility</w:t>
            </w:r>
          </w:p>
        </w:tc>
        <w:tc>
          <w:tcPr>
            <w:tcW w:w="1500" w:type="dxa"/>
            <w:vAlign w:val="bottom"/>
          </w:tcPr>
          <w:p>
            <w:pPr>
              <w:jc w:val="right"/>
              <w:spacing w:after="0"/>
              <w:rPr>
                <w:sz w:val="20"/>
                <w:szCs w:val="20"/>
                <w:color w:val="auto"/>
              </w:rPr>
            </w:pPr>
            <w:r>
              <w:rPr>
                <w:rFonts w:ascii="Arial" w:cs="Arial" w:eastAsia="Arial" w:hAnsi="Arial"/>
                <w:sz w:val="16"/>
                <w:szCs w:val="16"/>
                <w:color w:val="auto"/>
              </w:rPr>
              <w:t>PLN 1,000,000</w:t>
            </w:r>
          </w:p>
        </w:tc>
        <w:tc>
          <w:tcPr>
            <w:tcW w:w="1320" w:type="dxa"/>
            <w:vAlign w:val="bottom"/>
          </w:tcPr>
          <w:p>
            <w:pPr>
              <w:jc w:val="right"/>
              <w:spacing w:after="0"/>
              <w:rPr>
                <w:sz w:val="20"/>
                <w:szCs w:val="20"/>
                <w:color w:val="auto"/>
              </w:rPr>
            </w:pPr>
            <w:r>
              <w:rPr>
                <w:rFonts w:ascii="Arial" w:cs="Arial" w:eastAsia="Arial" w:hAnsi="Arial"/>
                <w:sz w:val="18"/>
                <w:szCs w:val="18"/>
                <w:color w:val="auto"/>
              </w:rPr>
              <w:t>317,844</w:t>
            </w:r>
          </w:p>
        </w:tc>
      </w:tr>
      <w:tr>
        <w:trPr>
          <w:trHeight w:val="256"/>
        </w:trPr>
        <w:tc>
          <w:tcPr>
            <w:tcW w:w="20" w:type="dxa"/>
            <w:vAlign w:val="bottom"/>
          </w:tcPr>
          <w:p>
            <w:pPr>
              <w:spacing w:after="0"/>
              <w:rPr>
                <w:sz w:val="22"/>
                <w:szCs w:val="22"/>
                <w:color w:val="auto"/>
              </w:rPr>
            </w:pPr>
          </w:p>
        </w:tc>
        <w:tc>
          <w:tcPr>
            <w:tcW w:w="3300" w:type="dxa"/>
            <w:vAlign w:val="bottom"/>
            <w:gridSpan w:val="2"/>
          </w:tcPr>
          <w:p>
            <w:pPr>
              <w:spacing w:after="0"/>
              <w:rPr>
                <w:sz w:val="20"/>
                <w:szCs w:val="20"/>
                <w:color w:val="auto"/>
              </w:rPr>
            </w:pPr>
            <w:r>
              <w:rPr>
                <w:rFonts w:ascii="Arial" w:cs="Arial" w:eastAsia="Arial" w:hAnsi="Arial"/>
                <w:sz w:val="18"/>
                <w:szCs w:val="18"/>
                <w:color w:val="auto"/>
              </w:rPr>
              <w:t>Jiayintong (Beijing) Technology</w:t>
            </w:r>
          </w:p>
        </w:tc>
        <w:tc>
          <w:tcPr>
            <w:tcW w:w="1360" w:type="dxa"/>
            <w:vAlign w:val="bottom"/>
          </w:tcPr>
          <w:p>
            <w:pPr>
              <w:spacing w:after="0"/>
              <w:rPr>
                <w:sz w:val="22"/>
                <w:szCs w:val="22"/>
                <w:color w:val="auto"/>
              </w:rPr>
            </w:pPr>
          </w:p>
        </w:tc>
        <w:tc>
          <w:tcPr>
            <w:tcW w:w="1600" w:type="dxa"/>
            <w:vAlign w:val="bottom"/>
          </w:tcPr>
          <w:p>
            <w:pPr>
              <w:spacing w:after="0"/>
              <w:rPr>
                <w:sz w:val="22"/>
                <w:szCs w:val="22"/>
                <w:color w:val="auto"/>
              </w:rPr>
            </w:pPr>
          </w:p>
        </w:tc>
        <w:tc>
          <w:tcPr>
            <w:tcW w:w="2300" w:type="dxa"/>
            <w:vAlign w:val="bottom"/>
          </w:tcPr>
          <w:p>
            <w:pPr>
              <w:spacing w:after="0"/>
              <w:rPr>
                <w:sz w:val="22"/>
                <w:szCs w:val="22"/>
                <w:color w:val="auto"/>
              </w:rPr>
            </w:pPr>
          </w:p>
        </w:tc>
        <w:tc>
          <w:tcPr>
            <w:tcW w:w="1500" w:type="dxa"/>
            <w:vAlign w:val="bottom"/>
          </w:tcPr>
          <w:p>
            <w:pPr>
              <w:spacing w:after="0"/>
              <w:rPr>
                <w:sz w:val="22"/>
                <w:szCs w:val="22"/>
                <w:color w:val="auto"/>
              </w:rPr>
            </w:pPr>
          </w:p>
        </w:tc>
        <w:tc>
          <w:tcPr>
            <w:tcW w:w="1320" w:type="dxa"/>
            <w:vAlign w:val="bottom"/>
          </w:tcPr>
          <w:p>
            <w:pPr>
              <w:spacing w:after="0"/>
              <w:rPr>
                <w:sz w:val="22"/>
                <w:szCs w:val="22"/>
                <w:color w:val="auto"/>
              </w:rPr>
            </w:pPr>
          </w:p>
        </w:tc>
      </w:tr>
      <w:tr>
        <w:trPr>
          <w:trHeight w:val="230"/>
        </w:trPr>
        <w:tc>
          <w:tcPr>
            <w:tcW w:w="20" w:type="dxa"/>
            <w:vAlign w:val="bottom"/>
          </w:tcPr>
          <w:p>
            <w:pPr>
              <w:spacing w:after="0"/>
              <w:rPr>
                <w:sz w:val="20"/>
                <w:szCs w:val="20"/>
                <w:color w:val="auto"/>
              </w:rPr>
            </w:pPr>
          </w:p>
        </w:tc>
        <w:tc>
          <w:tcPr>
            <w:tcW w:w="3300" w:type="dxa"/>
            <w:vAlign w:val="bottom"/>
            <w:gridSpan w:val="2"/>
          </w:tcPr>
          <w:p>
            <w:pPr>
              <w:spacing w:after="0"/>
              <w:rPr>
                <w:sz w:val="20"/>
                <w:szCs w:val="20"/>
                <w:color w:val="auto"/>
              </w:rPr>
            </w:pPr>
            <w:r>
              <w:rPr>
                <w:rFonts w:ascii="Arial" w:cs="Arial" w:eastAsia="Arial" w:hAnsi="Arial"/>
                <w:sz w:val="18"/>
                <w:szCs w:val="18"/>
                <w:color w:val="auto"/>
                <w:w w:val="95"/>
              </w:rPr>
              <w:t>Development Co. Ltd. d.b.a. Euronet China</w:t>
            </w:r>
          </w:p>
        </w:tc>
        <w:tc>
          <w:tcPr>
            <w:tcW w:w="136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230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1320" w:type="dxa"/>
            <w:vAlign w:val="bottom"/>
          </w:tcPr>
          <w:p>
            <w:pPr>
              <w:spacing w:after="0"/>
              <w:rPr>
                <w:sz w:val="20"/>
                <w:szCs w:val="20"/>
                <w:color w:val="auto"/>
              </w:rPr>
            </w:pPr>
          </w:p>
        </w:tc>
      </w:tr>
      <w:tr>
        <w:trPr>
          <w:trHeight w:val="256"/>
        </w:trPr>
        <w:tc>
          <w:tcPr>
            <w:tcW w:w="20" w:type="dxa"/>
            <w:vAlign w:val="bottom"/>
          </w:tcPr>
          <w:p>
            <w:pPr>
              <w:spacing w:after="0"/>
              <w:rPr>
                <w:sz w:val="22"/>
                <w:szCs w:val="22"/>
                <w:color w:val="auto"/>
              </w:rPr>
            </w:pPr>
          </w:p>
        </w:tc>
        <w:tc>
          <w:tcPr>
            <w:tcW w:w="3300" w:type="dxa"/>
            <w:vAlign w:val="bottom"/>
            <w:gridSpan w:val="2"/>
          </w:tcPr>
          <w:p>
            <w:pPr>
              <w:spacing w:after="0"/>
              <w:rPr>
                <w:sz w:val="20"/>
                <w:szCs w:val="20"/>
                <w:color w:val="auto"/>
              </w:rPr>
            </w:pPr>
            <w:r>
              <w:rPr>
                <w:rFonts w:ascii="Arial" w:cs="Arial" w:eastAsia="Arial" w:hAnsi="Arial"/>
                <w:sz w:val="18"/>
                <w:szCs w:val="18"/>
                <w:color w:val="auto"/>
                <w:w w:val="91"/>
              </w:rPr>
              <w:t>&amp; epay (Shanghai) Technology Development</w:t>
            </w:r>
          </w:p>
        </w:tc>
        <w:tc>
          <w:tcPr>
            <w:tcW w:w="1360" w:type="dxa"/>
            <w:vAlign w:val="bottom"/>
          </w:tcPr>
          <w:p>
            <w:pPr>
              <w:spacing w:after="0"/>
              <w:rPr>
                <w:sz w:val="22"/>
                <w:szCs w:val="22"/>
                <w:color w:val="auto"/>
              </w:rPr>
            </w:pPr>
          </w:p>
        </w:tc>
        <w:tc>
          <w:tcPr>
            <w:tcW w:w="1600" w:type="dxa"/>
            <w:vAlign w:val="bottom"/>
          </w:tcPr>
          <w:p>
            <w:pPr>
              <w:spacing w:after="0"/>
              <w:rPr>
                <w:sz w:val="22"/>
                <w:szCs w:val="22"/>
                <w:color w:val="auto"/>
              </w:rPr>
            </w:pPr>
          </w:p>
        </w:tc>
        <w:tc>
          <w:tcPr>
            <w:tcW w:w="2300" w:type="dxa"/>
            <w:vAlign w:val="bottom"/>
          </w:tcPr>
          <w:p>
            <w:pPr>
              <w:spacing w:after="0"/>
              <w:rPr>
                <w:sz w:val="22"/>
                <w:szCs w:val="22"/>
                <w:color w:val="auto"/>
              </w:rPr>
            </w:pPr>
          </w:p>
        </w:tc>
        <w:tc>
          <w:tcPr>
            <w:tcW w:w="1500" w:type="dxa"/>
            <w:vAlign w:val="bottom"/>
          </w:tcPr>
          <w:p>
            <w:pPr>
              <w:spacing w:after="0"/>
              <w:rPr>
                <w:sz w:val="22"/>
                <w:szCs w:val="22"/>
                <w:color w:val="auto"/>
              </w:rPr>
            </w:pPr>
          </w:p>
        </w:tc>
        <w:tc>
          <w:tcPr>
            <w:tcW w:w="1320" w:type="dxa"/>
            <w:vAlign w:val="bottom"/>
          </w:tcPr>
          <w:p>
            <w:pPr>
              <w:spacing w:after="0"/>
              <w:rPr>
                <w:sz w:val="22"/>
                <w:szCs w:val="22"/>
                <w:color w:val="auto"/>
              </w:rPr>
            </w:pPr>
          </w:p>
        </w:tc>
      </w:tr>
      <w:tr>
        <w:trPr>
          <w:trHeight w:val="230"/>
        </w:trPr>
        <w:tc>
          <w:tcPr>
            <w:tcW w:w="20" w:type="dxa"/>
            <w:vAlign w:val="bottom"/>
          </w:tcPr>
          <w:p>
            <w:pPr>
              <w:spacing w:after="0"/>
              <w:rPr>
                <w:sz w:val="20"/>
                <w:szCs w:val="20"/>
                <w:color w:val="auto"/>
              </w:rPr>
            </w:pPr>
          </w:p>
        </w:tc>
        <w:tc>
          <w:tcPr>
            <w:tcW w:w="3300" w:type="dxa"/>
            <w:vAlign w:val="bottom"/>
            <w:gridSpan w:val="2"/>
          </w:tcPr>
          <w:p>
            <w:pPr>
              <w:spacing w:after="0"/>
              <w:rPr>
                <w:sz w:val="20"/>
                <w:szCs w:val="20"/>
                <w:color w:val="auto"/>
              </w:rPr>
            </w:pPr>
            <w:r>
              <w:rPr>
                <w:rFonts w:ascii="Arial" w:cs="Arial" w:eastAsia="Arial" w:hAnsi="Arial"/>
                <w:sz w:val="18"/>
                <w:szCs w:val="18"/>
                <w:color w:val="auto"/>
              </w:rPr>
              <w:t>Co., Ltd. d.b.a. epay China</w:t>
            </w:r>
          </w:p>
        </w:tc>
        <w:tc>
          <w:tcPr>
            <w:tcW w:w="1360" w:type="dxa"/>
            <w:vAlign w:val="bottom"/>
          </w:tcPr>
          <w:p>
            <w:pPr>
              <w:ind w:left="40"/>
              <w:spacing w:after="0"/>
              <w:rPr>
                <w:sz w:val="20"/>
                <w:szCs w:val="20"/>
                <w:color w:val="auto"/>
              </w:rPr>
            </w:pPr>
            <w:r>
              <w:rPr>
                <w:rFonts w:ascii="Arial" w:cs="Arial" w:eastAsia="Arial" w:hAnsi="Arial"/>
                <w:sz w:val="18"/>
                <w:szCs w:val="18"/>
                <w:color w:val="auto"/>
                <w:w w:val="98"/>
              </w:rPr>
              <w:t>Bank of America</w:t>
            </w:r>
          </w:p>
        </w:tc>
        <w:tc>
          <w:tcPr>
            <w:tcW w:w="1600" w:type="dxa"/>
            <w:vAlign w:val="bottom"/>
          </w:tcPr>
          <w:p>
            <w:pPr>
              <w:ind w:left="20"/>
              <w:spacing w:after="0"/>
              <w:rPr>
                <w:sz w:val="20"/>
                <w:szCs w:val="20"/>
                <w:color w:val="auto"/>
              </w:rPr>
            </w:pPr>
            <w:r>
              <w:rPr>
                <w:rFonts w:ascii="Arial" w:cs="Arial" w:eastAsia="Arial" w:hAnsi="Arial"/>
                <w:sz w:val="18"/>
                <w:szCs w:val="18"/>
                <w:color w:val="auto"/>
              </w:rPr>
              <w:t>Credit Loan Facility</w:t>
            </w:r>
          </w:p>
        </w:tc>
        <w:tc>
          <w:tcPr>
            <w:tcW w:w="2300" w:type="dxa"/>
            <w:vAlign w:val="bottom"/>
          </w:tcPr>
          <w:p>
            <w:pPr>
              <w:ind w:left="120"/>
              <w:spacing w:after="0"/>
              <w:rPr>
                <w:sz w:val="20"/>
                <w:szCs w:val="20"/>
                <w:color w:val="auto"/>
              </w:rPr>
            </w:pPr>
            <w:r>
              <w:rPr>
                <w:rFonts w:ascii="Arial" w:cs="Arial" w:eastAsia="Arial" w:hAnsi="Arial"/>
                <w:sz w:val="18"/>
                <w:szCs w:val="18"/>
                <w:color w:val="auto"/>
              </w:rPr>
              <w:t>Credit Facility Guarantee</w:t>
            </w:r>
          </w:p>
        </w:tc>
        <w:tc>
          <w:tcPr>
            <w:tcW w:w="1500" w:type="dxa"/>
            <w:vAlign w:val="bottom"/>
          </w:tcPr>
          <w:p>
            <w:pPr>
              <w:jc w:val="right"/>
              <w:spacing w:after="0"/>
              <w:rPr>
                <w:sz w:val="20"/>
                <w:szCs w:val="20"/>
                <w:color w:val="auto"/>
              </w:rPr>
            </w:pPr>
            <w:r>
              <w:rPr>
                <w:rFonts w:ascii="Arial" w:cs="Arial" w:eastAsia="Arial" w:hAnsi="Arial"/>
                <w:sz w:val="16"/>
                <w:szCs w:val="16"/>
                <w:color w:val="auto"/>
              </w:rPr>
              <w:t>CNY 6,300,000</w:t>
            </w:r>
          </w:p>
        </w:tc>
        <w:tc>
          <w:tcPr>
            <w:tcW w:w="1320" w:type="dxa"/>
            <w:vAlign w:val="bottom"/>
          </w:tcPr>
          <w:p>
            <w:pPr>
              <w:jc w:val="right"/>
              <w:spacing w:after="0"/>
              <w:rPr>
                <w:sz w:val="20"/>
                <w:szCs w:val="20"/>
                <w:color w:val="auto"/>
              </w:rPr>
            </w:pPr>
            <w:r>
              <w:rPr>
                <w:rFonts w:ascii="Arial" w:cs="Arial" w:eastAsia="Arial" w:hAnsi="Arial"/>
                <w:sz w:val="18"/>
                <w:szCs w:val="18"/>
                <w:color w:val="auto"/>
              </w:rPr>
              <w:t>1,039,604</w:t>
            </w:r>
          </w:p>
        </w:tc>
      </w:tr>
      <w:tr>
        <w:trPr>
          <w:trHeight w:val="256"/>
        </w:trPr>
        <w:tc>
          <w:tcPr>
            <w:tcW w:w="20" w:type="dxa"/>
            <w:vAlign w:val="bottom"/>
          </w:tcPr>
          <w:p>
            <w:pPr>
              <w:spacing w:after="0"/>
              <w:rPr>
                <w:sz w:val="22"/>
                <w:szCs w:val="22"/>
                <w:color w:val="auto"/>
              </w:rPr>
            </w:pPr>
          </w:p>
        </w:tc>
        <w:tc>
          <w:tcPr>
            <w:tcW w:w="3300" w:type="dxa"/>
            <w:vAlign w:val="bottom"/>
            <w:gridSpan w:val="2"/>
          </w:tcPr>
          <w:p>
            <w:pPr>
              <w:spacing w:after="0"/>
              <w:rPr>
                <w:sz w:val="20"/>
                <w:szCs w:val="20"/>
                <w:color w:val="auto"/>
              </w:rPr>
            </w:pPr>
            <w:r>
              <w:rPr>
                <w:rFonts w:ascii="Arial" w:cs="Arial" w:eastAsia="Arial" w:hAnsi="Arial"/>
                <w:sz w:val="18"/>
                <w:szCs w:val="18"/>
                <w:color w:val="auto"/>
              </w:rPr>
              <w:t>Jiayintong (Beijing) Technology</w:t>
            </w:r>
          </w:p>
        </w:tc>
        <w:tc>
          <w:tcPr>
            <w:tcW w:w="1360" w:type="dxa"/>
            <w:vAlign w:val="bottom"/>
          </w:tcPr>
          <w:p>
            <w:pPr>
              <w:spacing w:after="0"/>
              <w:rPr>
                <w:sz w:val="22"/>
                <w:szCs w:val="22"/>
                <w:color w:val="auto"/>
              </w:rPr>
            </w:pPr>
          </w:p>
        </w:tc>
        <w:tc>
          <w:tcPr>
            <w:tcW w:w="1600" w:type="dxa"/>
            <w:vAlign w:val="bottom"/>
          </w:tcPr>
          <w:p>
            <w:pPr>
              <w:spacing w:after="0"/>
              <w:rPr>
                <w:sz w:val="22"/>
                <w:szCs w:val="22"/>
                <w:color w:val="auto"/>
              </w:rPr>
            </w:pPr>
          </w:p>
        </w:tc>
        <w:tc>
          <w:tcPr>
            <w:tcW w:w="2300" w:type="dxa"/>
            <w:vAlign w:val="bottom"/>
          </w:tcPr>
          <w:p>
            <w:pPr>
              <w:spacing w:after="0"/>
              <w:rPr>
                <w:sz w:val="22"/>
                <w:szCs w:val="22"/>
                <w:color w:val="auto"/>
              </w:rPr>
            </w:pPr>
          </w:p>
        </w:tc>
        <w:tc>
          <w:tcPr>
            <w:tcW w:w="1500" w:type="dxa"/>
            <w:vAlign w:val="bottom"/>
          </w:tcPr>
          <w:p>
            <w:pPr>
              <w:spacing w:after="0"/>
              <w:rPr>
                <w:sz w:val="22"/>
                <w:szCs w:val="22"/>
                <w:color w:val="auto"/>
              </w:rPr>
            </w:pPr>
          </w:p>
        </w:tc>
        <w:tc>
          <w:tcPr>
            <w:tcW w:w="1320" w:type="dxa"/>
            <w:vAlign w:val="bottom"/>
          </w:tcPr>
          <w:p>
            <w:pPr>
              <w:spacing w:after="0"/>
              <w:rPr>
                <w:sz w:val="22"/>
                <w:szCs w:val="22"/>
                <w:color w:val="auto"/>
              </w:rPr>
            </w:pPr>
          </w:p>
        </w:tc>
      </w:tr>
      <w:tr>
        <w:trPr>
          <w:trHeight w:val="230"/>
        </w:trPr>
        <w:tc>
          <w:tcPr>
            <w:tcW w:w="20" w:type="dxa"/>
            <w:vAlign w:val="bottom"/>
          </w:tcPr>
          <w:p>
            <w:pPr>
              <w:spacing w:after="0"/>
              <w:rPr>
                <w:sz w:val="20"/>
                <w:szCs w:val="20"/>
                <w:color w:val="auto"/>
              </w:rPr>
            </w:pPr>
          </w:p>
        </w:tc>
        <w:tc>
          <w:tcPr>
            <w:tcW w:w="3300" w:type="dxa"/>
            <w:vAlign w:val="bottom"/>
            <w:gridSpan w:val="2"/>
          </w:tcPr>
          <w:p>
            <w:pPr>
              <w:spacing w:after="0"/>
              <w:rPr>
                <w:sz w:val="20"/>
                <w:szCs w:val="20"/>
                <w:color w:val="auto"/>
              </w:rPr>
            </w:pPr>
            <w:r>
              <w:rPr>
                <w:rFonts w:ascii="Arial" w:cs="Arial" w:eastAsia="Arial" w:hAnsi="Arial"/>
                <w:sz w:val="18"/>
                <w:szCs w:val="18"/>
                <w:color w:val="auto"/>
                <w:w w:val="95"/>
              </w:rPr>
              <w:t>Development Co. Ltd. d.b.a. Euronet China</w:t>
            </w:r>
          </w:p>
        </w:tc>
        <w:tc>
          <w:tcPr>
            <w:tcW w:w="136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230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1320" w:type="dxa"/>
            <w:vAlign w:val="bottom"/>
          </w:tcPr>
          <w:p>
            <w:pPr>
              <w:spacing w:after="0"/>
              <w:rPr>
                <w:sz w:val="20"/>
                <w:szCs w:val="20"/>
                <w:color w:val="auto"/>
              </w:rPr>
            </w:pPr>
          </w:p>
        </w:tc>
      </w:tr>
      <w:tr>
        <w:trPr>
          <w:trHeight w:val="256"/>
        </w:trPr>
        <w:tc>
          <w:tcPr>
            <w:tcW w:w="20" w:type="dxa"/>
            <w:vAlign w:val="bottom"/>
          </w:tcPr>
          <w:p>
            <w:pPr>
              <w:spacing w:after="0"/>
              <w:rPr>
                <w:sz w:val="22"/>
                <w:szCs w:val="22"/>
                <w:color w:val="auto"/>
              </w:rPr>
            </w:pPr>
          </w:p>
        </w:tc>
        <w:tc>
          <w:tcPr>
            <w:tcW w:w="3300" w:type="dxa"/>
            <w:vAlign w:val="bottom"/>
            <w:gridSpan w:val="2"/>
          </w:tcPr>
          <w:p>
            <w:pPr>
              <w:spacing w:after="0"/>
              <w:rPr>
                <w:sz w:val="20"/>
                <w:szCs w:val="20"/>
                <w:color w:val="auto"/>
              </w:rPr>
            </w:pPr>
            <w:r>
              <w:rPr>
                <w:rFonts w:ascii="Arial" w:cs="Arial" w:eastAsia="Arial" w:hAnsi="Arial"/>
                <w:sz w:val="18"/>
                <w:szCs w:val="18"/>
                <w:color w:val="auto"/>
                <w:w w:val="91"/>
              </w:rPr>
              <w:t>&amp; epay (Shanghai) Technology Development</w:t>
            </w:r>
          </w:p>
        </w:tc>
        <w:tc>
          <w:tcPr>
            <w:tcW w:w="1360" w:type="dxa"/>
            <w:vAlign w:val="bottom"/>
          </w:tcPr>
          <w:p>
            <w:pPr>
              <w:spacing w:after="0"/>
              <w:rPr>
                <w:sz w:val="22"/>
                <w:szCs w:val="22"/>
                <w:color w:val="auto"/>
              </w:rPr>
            </w:pPr>
          </w:p>
        </w:tc>
        <w:tc>
          <w:tcPr>
            <w:tcW w:w="1600" w:type="dxa"/>
            <w:vAlign w:val="bottom"/>
          </w:tcPr>
          <w:p>
            <w:pPr>
              <w:spacing w:after="0"/>
              <w:rPr>
                <w:sz w:val="22"/>
                <w:szCs w:val="22"/>
                <w:color w:val="auto"/>
              </w:rPr>
            </w:pPr>
          </w:p>
        </w:tc>
        <w:tc>
          <w:tcPr>
            <w:tcW w:w="2300" w:type="dxa"/>
            <w:vAlign w:val="bottom"/>
          </w:tcPr>
          <w:p>
            <w:pPr>
              <w:spacing w:after="0"/>
              <w:rPr>
                <w:sz w:val="22"/>
                <w:szCs w:val="22"/>
                <w:color w:val="auto"/>
              </w:rPr>
            </w:pPr>
          </w:p>
        </w:tc>
        <w:tc>
          <w:tcPr>
            <w:tcW w:w="1500" w:type="dxa"/>
            <w:vAlign w:val="bottom"/>
          </w:tcPr>
          <w:p>
            <w:pPr>
              <w:spacing w:after="0"/>
              <w:rPr>
                <w:sz w:val="22"/>
                <w:szCs w:val="22"/>
                <w:color w:val="auto"/>
              </w:rPr>
            </w:pPr>
          </w:p>
        </w:tc>
        <w:tc>
          <w:tcPr>
            <w:tcW w:w="1320" w:type="dxa"/>
            <w:vAlign w:val="bottom"/>
          </w:tcPr>
          <w:p>
            <w:pPr>
              <w:spacing w:after="0"/>
              <w:rPr>
                <w:sz w:val="22"/>
                <w:szCs w:val="22"/>
                <w:color w:val="auto"/>
              </w:rPr>
            </w:pPr>
          </w:p>
        </w:tc>
      </w:tr>
      <w:tr>
        <w:trPr>
          <w:trHeight w:val="230"/>
        </w:trPr>
        <w:tc>
          <w:tcPr>
            <w:tcW w:w="20" w:type="dxa"/>
            <w:vAlign w:val="bottom"/>
          </w:tcPr>
          <w:p>
            <w:pPr>
              <w:spacing w:after="0"/>
              <w:rPr>
                <w:sz w:val="20"/>
                <w:szCs w:val="20"/>
                <w:color w:val="auto"/>
              </w:rPr>
            </w:pPr>
          </w:p>
        </w:tc>
        <w:tc>
          <w:tcPr>
            <w:tcW w:w="3300" w:type="dxa"/>
            <w:vAlign w:val="bottom"/>
            <w:gridSpan w:val="2"/>
          </w:tcPr>
          <w:p>
            <w:pPr>
              <w:spacing w:after="0"/>
              <w:rPr>
                <w:sz w:val="20"/>
                <w:szCs w:val="20"/>
                <w:color w:val="auto"/>
              </w:rPr>
            </w:pPr>
            <w:r>
              <w:rPr>
                <w:rFonts w:ascii="Arial" w:cs="Arial" w:eastAsia="Arial" w:hAnsi="Arial"/>
                <w:sz w:val="18"/>
                <w:szCs w:val="18"/>
                <w:color w:val="auto"/>
              </w:rPr>
              <w:t>Co., Ltd. d.b.a. epay China</w:t>
            </w:r>
          </w:p>
        </w:tc>
        <w:tc>
          <w:tcPr>
            <w:tcW w:w="1360" w:type="dxa"/>
            <w:vAlign w:val="bottom"/>
          </w:tcPr>
          <w:p>
            <w:pPr>
              <w:ind w:left="40"/>
              <w:spacing w:after="0"/>
              <w:rPr>
                <w:sz w:val="20"/>
                <w:szCs w:val="20"/>
                <w:color w:val="auto"/>
              </w:rPr>
            </w:pPr>
            <w:r>
              <w:rPr>
                <w:rFonts w:ascii="Arial" w:cs="Arial" w:eastAsia="Arial" w:hAnsi="Arial"/>
                <w:sz w:val="18"/>
                <w:szCs w:val="18"/>
                <w:color w:val="auto"/>
                <w:w w:val="98"/>
              </w:rPr>
              <w:t>Bank of America</w:t>
            </w:r>
          </w:p>
        </w:tc>
        <w:tc>
          <w:tcPr>
            <w:tcW w:w="1600" w:type="dxa"/>
            <w:vAlign w:val="bottom"/>
          </w:tcPr>
          <w:p>
            <w:pPr>
              <w:ind w:left="20"/>
              <w:spacing w:after="0"/>
              <w:rPr>
                <w:sz w:val="20"/>
                <w:szCs w:val="20"/>
                <w:color w:val="auto"/>
              </w:rPr>
            </w:pPr>
            <w:r>
              <w:rPr>
                <w:rFonts w:ascii="Arial" w:cs="Arial" w:eastAsia="Arial" w:hAnsi="Arial"/>
                <w:sz w:val="18"/>
                <w:szCs w:val="18"/>
                <w:color w:val="auto"/>
              </w:rPr>
              <w:t>Parent Guarantee</w:t>
            </w:r>
          </w:p>
        </w:tc>
        <w:tc>
          <w:tcPr>
            <w:tcW w:w="2300" w:type="dxa"/>
            <w:vAlign w:val="bottom"/>
          </w:tcPr>
          <w:p>
            <w:pPr>
              <w:ind w:left="120"/>
              <w:spacing w:after="0"/>
              <w:rPr>
                <w:sz w:val="20"/>
                <w:szCs w:val="20"/>
                <w:color w:val="auto"/>
              </w:rPr>
            </w:pPr>
            <w:r>
              <w:rPr>
                <w:rFonts w:ascii="Arial" w:cs="Arial" w:eastAsia="Arial" w:hAnsi="Arial"/>
                <w:sz w:val="18"/>
                <w:szCs w:val="18"/>
                <w:color w:val="auto"/>
              </w:rPr>
              <w:t>Credit Facility Guarantee</w:t>
            </w:r>
          </w:p>
        </w:tc>
        <w:tc>
          <w:tcPr>
            <w:tcW w:w="1500" w:type="dxa"/>
            <w:vAlign w:val="bottom"/>
          </w:tcPr>
          <w:p>
            <w:pPr>
              <w:jc w:val="right"/>
              <w:spacing w:after="0"/>
              <w:rPr>
                <w:sz w:val="20"/>
                <w:szCs w:val="20"/>
                <w:color w:val="auto"/>
              </w:rPr>
            </w:pPr>
            <w:r>
              <w:rPr>
                <w:rFonts w:ascii="Arial" w:cs="Arial" w:eastAsia="Arial" w:hAnsi="Arial"/>
                <w:sz w:val="16"/>
                <w:szCs w:val="16"/>
                <w:color w:val="auto"/>
              </w:rPr>
              <w:t>USD 5,000,000</w:t>
            </w:r>
          </w:p>
        </w:tc>
        <w:tc>
          <w:tcPr>
            <w:tcW w:w="1320" w:type="dxa"/>
            <w:vAlign w:val="bottom"/>
          </w:tcPr>
          <w:p>
            <w:pPr>
              <w:jc w:val="right"/>
              <w:spacing w:after="0"/>
              <w:rPr>
                <w:sz w:val="20"/>
                <w:szCs w:val="20"/>
                <w:color w:val="auto"/>
              </w:rPr>
            </w:pPr>
            <w:r>
              <w:rPr>
                <w:rFonts w:ascii="Arial" w:cs="Arial" w:eastAsia="Arial" w:hAnsi="Arial"/>
                <w:sz w:val="18"/>
                <w:szCs w:val="18"/>
                <w:color w:val="auto"/>
              </w:rPr>
              <w:t>5,000,000</w:t>
            </w:r>
          </w:p>
        </w:tc>
      </w:tr>
      <w:tr>
        <w:trPr>
          <w:trHeight w:val="256"/>
        </w:trPr>
        <w:tc>
          <w:tcPr>
            <w:tcW w:w="20" w:type="dxa"/>
            <w:vAlign w:val="bottom"/>
          </w:tcPr>
          <w:p>
            <w:pPr>
              <w:spacing w:after="0"/>
              <w:rPr>
                <w:sz w:val="22"/>
                <w:szCs w:val="22"/>
                <w:color w:val="auto"/>
              </w:rPr>
            </w:pPr>
          </w:p>
        </w:tc>
        <w:tc>
          <w:tcPr>
            <w:tcW w:w="3300" w:type="dxa"/>
            <w:vAlign w:val="bottom"/>
            <w:gridSpan w:val="2"/>
          </w:tcPr>
          <w:p>
            <w:pPr>
              <w:spacing w:after="0"/>
              <w:rPr>
                <w:sz w:val="20"/>
                <w:szCs w:val="20"/>
                <w:color w:val="auto"/>
              </w:rPr>
            </w:pPr>
            <w:r>
              <w:rPr>
                <w:rFonts w:ascii="Arial" w:cs="Arial" w:eastAsia="Arial" w:hAnsi="Arial"/>
                <w:sz w:val="18"/>
                <w:szCs w:val="18"/>
                <w:color w:val="auto"/>
              </w:rPr>
              <w:t>transact Elektronische Zahlungssysteme</w:t>
            </w:r>
          </w:p>
        </w:tc>
        <w:tc>
          <w:tcPr>
            <w:tcW w:w="1360" w:type="dxa"/>
            <w:vAlign w:val="bottom"/>
          </w:tcPr>
          <w:p>
            <w:pPr>
              <w:ind w:left="40"/>
              <w:spacing w:after="0"/>
              <w:rPr>
                <w:sz w:val="20"/>
                <w:szCs w:val="20"/>
                <w:color w:val="auto"/>
              </w:rPr>
            </w:pPr>
            <w:r>
              <w:rPr>
                <w:rFonts w:ascii="Arial" w:cs="Arial" w:eastAsia="Arial" w:hAnsi="Arial"/>
                <w:sz w:val="18"/>
                <w:szCs w:val="18"/>
                <w:color w:val="auto"/>
                <w:w w:val="90"/>
              </w:rPr>
              <w:t>Deutsche Leasing</w:t>
            </w:r>
          </w:p>
        </w:tc>
        <w:tc>
          <w:tcPr>
            <w:tcW w:w="1600" w:type="dxa"/>
            <w:vAlign w:val="bottom"/>
          </w:tcPr>
          <w:p>
            <w:pPr>
              <w:spacing w:after="0"/>
              <w:rPr>
                <w:sz w:val="22"/>
                <w:szCs w:val="22"/>
                <w:color w:val="auto"/>
              </w:rPr>
            </w:pPr>
          </w:p>
        </w:tc>
        <w:tc>
          <w:tcPr>
            <w:tcW w:w="2300" w:type="dxa"/>
            <w:vAlign w:val="bottom"/>
          </w:tcPr>
          <w:p>
            <w:pPr>
              <w:spacing w:after="0"/>
              <w:rPr>
                <w:sz w:val="22"/>
                <w:szCs w:val="22"/>
                <w:color w:val="auto"/>
              </w:rPr>
            </w:pPr>
          </w:p>
        </w:tc>
        <w:tc>
          <w:tcPr>
            <w:tcW w:w="1500" w:type="dxa"/>
            <w:vAlign w:val="bottom"/>
          </w:tcPr>
          <w:p>
            <w:pPr>
              <w:spacing w:after="0"/>
              <w:rPr>
                <w:sz w:val="22"/>
                <w:szCs w:val="22"/>
                <w:color w:val="auto"/>
              </w:rPr>
            </w:pPr>
          </w:p>
        </w:tc>
        <w:tc>
          <w:tcPr>
            <w:tcW w:w="1320" w:type="dxa"/>
            <w:vAlign w:val="bottom"/>
          </w:tcPr>
          <w:p>
            <w:pPr>
              <w:spacing w:after="0"/>
              <w:rPr>
                <w:sz w:val="22"/>
                <w:szCs w:val="22"/>
                <w:color w:val="auto"/>
              </w:rPr>
            </w:pPr>
          </w:p>
        </w:tc>
      </w:tr>
      <w:tr>
        <w:trPr>
          <w:trHeight w:val="230"/>
        </w:trPr>
        <w:tc>
          <w:tcPr>
            <w:tcW w:w="20" w:type="dxa"/>
            <w:vAlign w:val="bottom"/>
          </w:tcPr>
          <w:p>
            <w:pPr>
              <w:spacing w:after="0"/>
              <w:rPr>
                <w:sz w:val="20"/>
                <w:szCs w:val="20"/>
                <w:color w:val="auto"/>
              </w:rPr>
            </w:pPr>
          </w:p>
        </w:tc>
        <w:tc>
          <w:tcPr>
            <w:tcW w:w="3300" w:type="dxa"/>
            <w:vAlign w:val="bottom"/>
            <w:gridSpan w:val="2"/>
          </w:tcPr>
          <w:p>
            <w:pPr>
              <w:spacing w:after="0"/>
              <w:rPr>
                <w:sz w:val="20"/>
                <w:szCs w:val="20"/>
                <w:color w:val="auto"/>
              </w:rPr>
            </w:pPr>
            <w:r>
              <w:rPr>
                <w:rFonts w:ascii="Arial" w:cs="Arial" w:eastAsia="Arial" w:hAnsi="Arial"/>
                <w:sz w:val="18"/>
                <w:szCs w:val="18"/>
                <w:color w:val="auto"/>
              </w:rPr>
              <w:t>GmbH</w:t>
            </w:r>
          </w:p>
        </w:tc>
        <w:tc>
          <w:tcPr>
            <w:tcW w:w="1360" w:type="dxa"/>
            <w:vAlign w:val="bottom"/>
          </w:tcPr>
          <w:p>
            <w:pPr>
              <w:ind w:left="40"/>
              <w:spacing w:after="0"/>
              <w:rPr>
                <w:sz w:val="20"/>
                <w:szCs w:val="20"/>
                <w:color w:val="auto"/>
              </w:rPr>
            </w:pPr>
            <w:r>
              <w:rPr>
                <w:rFonts w:ascii="Arial" w:cs="Arial" w:eastAsia="Arial" w:hAnsi="Arial"/>
                <w:sz w:val="18"/>
                <w:szCs w:val="18"/>
                <w:color w:val="auto"/>
              </w:rPr>
              <w:t>Company</w:t>
            </w:r>
          </w:p>
        </w:tc>
        <w:tc>
          <w:tcPr>
            <w:tcW w:w="1600" w:type="dxa"/>
            <w:vAlign w:val="bottom"/>
          </w:tcPr>
          <w:p>
            <w:pPr>
              <w:ind w:left="20"/>
              <w:spacing w:after="0"/>
              <w:rPr>
                <w:sz w:val="20"/>
                <w:szCs w:val="20"/>
                <w:color w:val="auto"/>
              </w:rPr>
            </w:pPr>
            <w:r>
              <w:rPr>
                <w:rFonts w:ascii="Arial" w:cs="Arial" w:eastAsia="Arial" w:hAnsi="Arial"/>
                <w:sz w:val="18"/>
                <w:szCs w:val="18"/>
                <w:color w:val="auto"/>
              </w:rPr>
              <w:t>Parent Guarantee</w:t>
            </w:r>
          </w:p>
        </w:tc>
        <w:tc>
          <w:tcPr>
            <w:tcW w:w="2300" w:type="dxa"/>
            <w:vAlign w:val="bottom"/>
          </w:tcPr>
          <w:p>
            <w:pPr>
              <w:ind w:left="120"/>
              <w:spacing w:after="0"/>
              <w:rPr>
                <w:sz w:val="20"/>
                <w:szCs w:val="20"/>
                <w:color w:val="auto"/>
              </w:rPr>
            </w:pPr>
            <w:r>
              <w:rPr>
                <w:rFonts w:ascii="Arial" w:cs="Arial" w:eastAsia="Arial" w:hAnsi="Arial"/>
                <w:sz w:val="18"/>
                <w:szCs w:val="18"/>
                <w:color w:val="auto"/>
              </w:rPr>
              <w:t>ATM Capital Leases</w:t>
            </w:r>
          </w:p>
        </w:tc>
        <w:tc>
          <w:tcPr>
            <w:tcW w:w="1500" w:type="dxa"/>
            <w:vAlign w:val="bottom"/>
          </w:tcPr>
          <w:p>
            <w:pPr>
              <w:jc w:val="right"/>
              <w:spacing w:after="0"/>
              <w:rPr>
                <w:sz w:val="20"/>
                <w:szCs w:val="20"/>
                <w:color w:val="auto"/>
              </w:rPr>
            </w:pPr>
            <w:r>
              <w:rPr>
                <w:rFonts w:ascii="Arial" w:cs="Arial" w:eastAsia="Arial" w:hAnsi="Arial"/>
                <w:sz w:val="16"/>
                <w:szCs w:val="16"/>
                <w:color w:val="auto"/>
              </w:rPr>
              <w:t>EUR 441,500</w:t>
            </w:r>
          </w:p>
        </w:tc>
        <w:tc>
          <w:tcPr>
            <w:tcW w:w="1320" w:type="dxa"/>
            <w:vAlign w:val="bottom"/>
          </w:tcPr>
          <w:p>
            <w:pPr>
              <w:jc w:val="right"/>
              <w:spacing w:after="0"/>
              <w:rPr>
                <w:sz w:val="20"/>
                <w:szCs w:val="20"/>
                <w:color w:val="auto"/>
              </w:rPr>
            </w:pPr>
            <w:r>
              <w:rPr>
                <w:rFonts w:ascii="Arial" w:cs="Arial" w:eastAsia="Arial" w:hAnsi="Arial"/>
                <w:sz w:val="18"/>
                <w:szCs w:val="18"/>
                <w:color w:val="auto"/>
              </w:rPr>
              <w:t>596,599</w:t>
            </w:r>
          </w:p>
        </w:tc>
      </w:tr>
      <w:tr>
        <w:trPr>
          <w:trHeight w:val="27"/>
        </w:trPr>
        <w:tc>
          <w:tcPr>
            <w:tcW w:w="20" w:type="dxa"/>
            <w:vAlign w:val="bottom"/>
            <w:tcBorders>
              <w:bottom w:val="single" w:sz="8" w:color="C0C0C0"/>
            </w:tcBorders>
          </w:tcPr>
          <w:p>
            <w:pPr>
              <w:spacing w:after="0"/>
              <w:rPr>
                <w:sz w:val="2"/>
                <w:szCs w:val="2"/>
                <w:color w:val="auto"/>
              </w:rPr>
            </w:pPr>
          </w:p>
        </w:tc>
        <w:tc>
          <w:tcPr>
            <w:tcW w:w="500" w:type="dxa"/>
            <w:vAlign w:val="bottom"/>
            <w:tcBorders>
              <w:bottom w:val="single" w:sz="8" w:color="C0C0C0"/>
            </w:tcBorders>
          </w:tcPr>
          <w:p>
            <w:pPr>
              <w:spacing w:after="0"/>
              <w:rPr>
                <w:sz w:val="2"/>
                <w:szCs w:val="2"/>
                <w:color w:val="auto"/>
              </w:rPr>
            </w:pPr>
          </w:p>
        </w:tc>
        <w:tc>
          <w:tcPr>
            <w:tcW w:w="2800" w:type="dxa"/>
            <w:vAlign w:val="bottom"/>
            <w:tcBorders>
              <w:bottom w:val="single" w:sz="8" w:color="C0C0C0"/>
            </w:tcBorders>
          </w:tcPr>
          <w:p>
            <w:pPr>
              <w:spacing w:after="0"/>
              <w:rPr>
                <w:sz w:val="2"/>
                <w:szCs w:val="2"/>
                <w:color w:val="auto"/>
              </w:rPr>
            </w:pPr>
          </w:p>
        </w:tc>
        <w:tc>
          <w:tcPr>
            <w:tcW w:w="1360" w:type="dxa"/>
            <w:vAlign w:val="bottom"/>
            <w:tcBorders>
              <w:bottom w:val="single" w:sz="8" w:color="C0C0C0"/>
            </w:tcBorders>
          </w:tcPr>
          <w:p>
            <w:pPr>
              <w:spacing w:after="0"/>
              <w:rPr>
                <w:sz w:val="2"/>
                <w:szCs w:val="2"/>
                <w:color w:val="auto"/>
              </w:rPr>
            </w:pPr>
          </w:p>
        </w:tc>
        <w:tc>
          <w:tcPr>
            <w:tcW w:w="1600" w:type="dxa"/>
            <w:vAlign w:val="bottom"/>
            <w:tcBorders>
              <w:bottom w:val="single" w:sz="8" w:color="C0C0C0"/>
            </w:tcBorders>
          </w:tcPr>
          <w:p>
            <w:pPr>
              <w:spacing w:after="0"/>
              <w:rPr>
                <w:sz w:val="2"/>
                <w:szCs w:val="2"/>
                <w:color w:val="auto"/>
              </w:rPr>
            </w:pPr>
          </w:p>
        </w:tc>
        <w:tc>
          <w:tcPr>
            <w:tcW w:w="2300" w:type="dxa"/>
            <w:vAlign w:val="bottom"/>
            <w:tcBorders>
              <w:bottom w:val="single" w:sz="8" w:color="C0C0C0"/>
            </w:tcBorders>
          </w:tcPr>
          <w:p>
            <w:pPr>
              <w:spacing w:after="0"/>
              <w:rPr>
                <w:sz w:val="2"/>
                <w:szCs w:val="2"/>
                <w:color w:val="auto"/>
              </w:rPr>
            </w:pPr>
          </w:p>
        </w:tc>
        <w:tc>
          <w:tcPr>
            <w:tcW w:w="1500" w:type="dxa"/>
            <w:vAlign w:val="bottom"/>
            <w:tcBorders>
              <w:bottom w:val="single" w:sz="8" w:color="C0C0C0"/>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64"/>
        </w:trPr>
        <w:tc>
          <w:tcPr>
            <w:tcW w:w="20" w:type="dxa"/>
            <w:vAlign w:val="bottom"/>
            <w:tcBorders>
              <w:bottom w:val="single" w:sz="8" w:color="C0C0C0"/>
            </w:tcBorders>
            <w:shd w:val="clear" w:color="auto" w:fill="C0C0C0"/>
          </w:tcPr>
          <w:p>
            <w:pPr>
              <w:spacing w:after="0"/>
              <w:rPr>
                <w:sz w:val="22"/>
                <w:szCs w:val="22"/>
                <w:color w:val="auto"/>
              </w:rPr>
            </w:pPr>
          </w:p>
        </w:tc>
        <w:tc>
          <w:tcPr>
            <w:tcW w:w="3300" w:type="dxa"/>
            <w:vAlign w:val="bottom"/>
            <w:tcBorders>
              <w:bottom w:val="single" w:sz="8" w:color="C0C0C0"/>
            </w:tcBorders>
            <w:gridSpan w:val="2"/>
            <w:shd w:val="clear" w:color="auto" w:fill="C0C0C0"/>
          </w:tcPr>
          <w:p>
            <w:pPr>
              <w:spacing w:after="0"/>
              <w:rPr>
                <w:sz w:val="20"/>
                <w:szCs w:val="20"/>
                <w:color w:val="auto"/>
              </w:rPr>
            </w:pPr>
            <w:r>
              <w:rPr>
                <w:rFonts w:ascii="Arial" w:cs="Arial" w:eastAsia="Arial" w:hAnsi="Arial"/>
                <w:sz w:val="18"/>
                <w:szCs w:val="18"/>
                <w:b w:val="1"/>
                <w:bCs w:val="1"/>
                <w:color w:val="auto"/>
              </w:rPr>
              <w:t>Total Other</w:t>
            </w:r>
          </w:p>
        </w:tc>
        <w:tc>
          <w:tcPr>
            <w:tcW w:w="1360" w:type="dxa"/>
            <w:vAlign w:val="bottom"/>
            <w:tcBorders>
              <w:bottom w:val="single" w:sz="8" w:color="C0C0C0"/>
            </w:tcBorders>
            <w:shd w:val="clear" w:color="auto" w:fill="C0C0C0"/>
          </w:tcPr>
          <w:p>
            <w:pPr>
              <w:spacing w:after="0"/>
              <w:rPr>
                <w:sz w:val="22"/>
                <w:szCs w:val="22"/>
                <w:color w:val="auto"/>
              </w:rPr>
            </w:pPr>
          </w:p>
        </w:tc>
        <w:tc>
          <w:tcPr>
            <w:tcW w:w="1600" w:type="dxa"/>
            <w:vAlign w:val="bottom"/>
            <w:tcBorders>
              <w:bottom w:val="single" w:sz="8" w:color="C0C0C0"/>
            </w:tcBorders>
            <w:shd w:val="clear" w:color="auto" w:fill="C0C0C0"/>
          </w:tcPr>
          <w:p>
            <w:pPr>
              <w:spacing w:after="0"/>
              <w:rPr>
                <w:sz w:val="22"/>
                <w:szCs w:val="22"/>
                <w:color w:val="auto"/>
              </w:rPr>
            </w:pPr>
          </w:p>
        </w:tc>
        <w:tc>
          <w:tcPr>
            <w:tcW w:w="2300" w:type="dxa"/>
            <w:vAlign w:val="bottom"/>
            <w:tcBorders>
              <w:bottom w:val="single" w:sz="8" w:color="C0C0C0"/>
            </w:tcBorders>
            <w:shd w:val="clear" w:color="auto" w:fill="C0C0C0"/>
          </w:tcPr>
          <w:p>
            <w:pPr>
              <w:spacing w:after="0"/>
              <w:rPr>
                <w:sz w:val="22"/>
                <w:szCs w:val="22"/>
                <w:color w:val="auto"/>
              </w:rPr>
            </w:pPr>
          </w:p>
        </w:tc>
        <w:tc>
          <w:tcPr>
            <w:tcW w:w="1500" w:type="dxa"/>
            <w:vAlign w:val="bottom"/>
            <w:tcBorders>
              <w:bottom w:val="single" w:sz="8" w:color="C0C0C0"/>
            </w:tcBorders>
            <w:shd w:val="clear" w:color="auto" w:fill="C0C0C0"/>
          </w:tcPr>
          <w:p>
            <w:pPr>
              <w:spacing w:after="0"/>
              <w:rPr>
                <w:sz w:val="22"/>
                <w:szCs w:val="22"/>
                <w:color w:val="auto"/>
              </w:rPr>
            </w:pPr>
          </w:p>
        </w:tc>
        <w:tc>
          <w:tcPr>
            <w:tcW w:w="1320" w:type="dxa"/>
            <w:vAlign w:val="bottom"/>
            <w:tcBorders>
              <w:bottom w:val="single" w:sz="8" w:color="C0C0C0"/>
            </w:tcBorders>
            <w:shd w:val="clear" w:color="auto" w:fill="C0C0C0"/>
          </w:tcPr>
          <w:p>
            <w:pPr>
              <w:jc w:val="right"/>
              <w:spacing w:after="0"/>
              <w:rPr>
                <w:sz w:val="20"/>
                <w:szCs w:val="20"/>
                <w:color w:val="auto"/>
              </w:rPr>
            </w:pPr>
            <w:r>
              <w:rPr>
                <w:rFonts w:ascii="Arial" w:cs="Arial" w:eastAsia="Arial" w:hAnsi="Arial"/>
                <w:sz w:val="18"/>
                <w:szCs w:val="18"/>
                <w:b w:val="1"/>
                <w:bCs w:val="1"/>
                <w:color w:val="auto"/>
              </w:rPr>
              <w:t>$ 41,340,097</w:t>
            </w:r>
          </w:p>
        </w:tc>
      </w:tr>
      <w:tr>
        <w:trPr>
          <w:trHeight w:val="264"/>
        </w:trPr>
        <w:tc>
          <w:tcPr>
            <w:tcW w:w="20" w:type="dxa"/>
            <w:vAlign w:val="bottom"/>
            <w:tcBorders>
              <w:bottom w:val="single" w:sz="8" w:color="C0C0C0"/>
            </w:tcBorders>
          </w:tcPr>
          <w:p>
            <w:pPr>
              <w:spacing w:after="0"/>
              <w:rPr>
                <w:sz w:val="22"/>
                <w:szCs w:val="22"/>
                <w:color w:val="auto"/>
              </w:rPr>
            </w:pPr>
          </w:p>
        </w:tc>
        <w:tc>
          <w:tcPr>
            <w:tcW w:w="500" w:type="dxa"/>
            <w:vAlign w:val="bottom"/>
            <w:tcBorders>
              <w:bottom w:val="single" w:sz="8" w:color="C0C0C0"/>
            </w:tcBorders>
          </w:tcPr>
          <w:p>
            <w:pPr>
              <w:spacing w:after="0"/>
              <w:rPr>
                <w:sz w:val="22"/>
                <w:szCs w:val="22"/>
                <w:color w:val="auto"/>
              </w:rPr>
            </w:pPr>
          </w:p>
        </w:tc>
        <w:tc>
          <w:tcPr>
            <w:tcW w:w="2800" w:type="dxa"/>
            <w:vAlign w:val="bottom"/>
            <w:tcBorders>
              <w:bottom w:val="single" w:sz="8" w:color="C0C0C0"/>
            </w:tcBorders>
          </w:tcPr>
          <w:p>
            <w:pPr>
              <w:spacing w:after="0"/>
              <w:rPr>
                <w:sz w:val="22"/>
                <w:szCs w:val="22"/>
                <w:color w:val="auto"/>
              </w:rPr>
            </w:pPr>
          </w:p>
        </w:tc>
        <w:tc>
          <w:tcPr>
            <w:tcW w:w="1360" w:type="dxa"/>
            <w:vAlign w:val="bottom"/>
            <w:tcBorders>
              <w:bottom w:val="single" w:sz="8" w:color="C0C0C0"/>
            </w:tcBorders>
          </w:tcPr>
          <w:p>
            <w:pPr>
              <w:spacing w:after="0"/>
              <w:rPr>
                <w:sz w:val="22"/>
                <w:szCs w:val="22"/>
                <w:color w:val="auto"/>
              </w:rPr>
            </w:pPr>
          </w:p>
        </w:tc>
        <w:tc>
          <w:tcPr>
            <w:tcW w:w="1600" w:type="dxa"/>
            <w:vAlign w:val="bottom"/>
            <w:tcBorders>
              <w:bottom w:val="single" w:sz="8" w:color="C0C0C0"/>
            </w:tcBorders>
          </w:tcPr>
          <w:p>
            <w:pPr>
              <w:spacing w:after="0"/>
              <w:rPr>
                <w:sz w:val="22"/>
                <w:szCs w:val="22"/>
                <w:color w:val="auto"/>
              </w:rPr>
            </w:pPr>
          </w:p>
        </w:tc>
        <w:tc>
          <w:tcPr>
            <w:tcW w:w="2300" w:type="dxa"/>
            <w:vAlign w:val="bottom"/>
            <w:tcBorders>
              <w:bottom w:val="single" w:sz="8" w:color="C0C0C0"/>
            </w:tcBorders>
          </w:tcPr>
          <w:p>
            <w:pPr>
              <w:spacing w:after="0"/>
              <w:rPr>
                <w:sz w:val="22"/>
                <w:szCs w:val="22"/>
                <w:color w:val="auto"/>
              </w:rPr>
            </w:pPr>
          </w:p>
        </w:tc>
        <w:tc>
          <w:tcPr>
            <w:tcW w:w="1500" w:type="dxa"/>
            <w:vAlign w:val="bottom"/>
            <w:tcBorders>
              <w:bottom w:val="single" w:sz="8" w:color="C0C0C0"/>
            </w:tcBorders>
          </w:tcPr>
          <w:p>
            <w:pPr>
              <w:spacing w:after="0"/>
              <w:rPr>
                <w:sz w:val="22"/>
                <w:szCs w:val="22"/>
                <w:color w:val="auto"/>
              </w:rPr>
            </w:pPr>
          </w:p>
        </w:tc>
        <w:tc>
          <w:tcPr>
            <w:tcW w:w="1320" w:type="dxa"/>
            <w:vAlign w:val="bottom"/>
            <w:tcBorders>
              <w:top w:val="single" w:sz="8" w:color="auto"/>
              <w:bottom w:val="single" w:sz="8" w:color="auto"/>
            </w:tcBorders>
          </w:tcPr>
          <w:p>
            <w:pPr>
              <w:spacing w:after="0"/>
              <w:rPr>
                <w:sz w:val="22"/>
                <w:szCs w:val="22"/>
                <w:color w:val="auto"/>
              </w:rPr>
            </w:pPr>
          </w:p>
        </w:tc>
      </w:tr>
      <w:tr>
        <w:trPr>
          <w:trHeight w:val="244"/>
        </w:trPr>
        <w:tc>
          <w:tcPr>
            <w:tcW w:w="20" w:type="dxa"/>
            <w:vAlign w:val="bottom"/>
            <w:tcBorders>
              <w:bottom w:val="single" w:sz="8" w:color="C0C0C0"/>
            </w:tcBorders>
            <w:shd w:val="clear" w:color="auto" w:fill="C0C0C0"/>
          </w:tcPr>
          <w:p>
            <w:pPr>
              <w:spacing w:after="0"/>
              <w:rPr>
                <w:sz w:val="21"/>
                <w:szCs w:val="21"/>
                <w:color w:val="auto"/>
              </w:rPr>
            </w:pPr>
          </w:p>
        </w:tc>
        <w:tc>
          <w:tcPr>
            <w:tcW w:w="3300" w:type="dxa"/>
            <w:vAlign w:val="bottom"/>
            <w:tcBorders>
              <w:bottom w:val="single" w:sz="8" w:color="C0C0C0"/>
            </w:tcBorders>
            <w:gridSpan w:val="2"/>
            <w:shd w:val="clear" w:color="auto" w:fill="C0C0C0"/>
          </w:tcPr>
          <w:p>
            <w:pPr>
              <w:spacing w:after="0"/>
              <w:rPr>
                <w:sz w:val="20"/>
                <w:szCs w:val="20"/>
                <w:color w:val="auto"/>
              </w:rPr>
            </w:pPr>
            <w:r>
              <w:rPr>
                <w:rFonts w:ascii="Arial" w:cs="Arial" w:eastAsia="Arial" w:hAnsi="Arial"/>
                <w:sz w:val="18"/>
                <w:szCs w:val="18"/>
                <w:b w:val="1"/>
                <w:bCs w:val="1"/>
                <w:color w:val="auto"/>
              </w:rPr>
              <w:t>Total Indebtedness</w:t>
            </w:r>
          </w:p>
        </w:tc>
        <w:tc>
          <w:tcPr>
            <w:tcW w:w="1360" w:type="dxa"/>
            <w:vAlign w:val="bottom"/>
            <w:tcBorders>
              <w:bottom w:val="single" w:sz="8" w:color="C0C0C0"/>
            </w:tcBorders>
            <w:shd w:val="clear" w:color="auto" w:fill="C0C0C0"/>
          </w:tcPr>
          <w:p>
            <w:pPr>
              <w:spacing w:after="0"/>
              <w:rPr>
                <w:sz w:val="21"/>
                <w:szCs w:val="21"/>
                <w:color w:val="auto"/>
              </w:rPr>
            </w:pPr>
          </w:p>
        </w:tc>
        <w:tc>
          <w:tcPr>
            <w:tcW w:w="1600" w:type="dxa"/>
            <w:vAlign w:val="bottom"/>
            <w:tcBorders>
              <w:bottom w:val="single" w:sz="8" w:color="C0C0C0"/>
            </w:tcBorders>
            <w:shd w:val="clear" w:color="auto" w:fill="C0C0C0"/>
          </w:tcPr>
          <w:p>
            <w:pPr>
              <w:spacing w:after="0"/>
              <w:rPr>
                <w:sz w:val="21"/>
                <w:szCs w:val="21"/>
                <w:color w:val="auto"/>
              </w:rPr>
            </w:pPr>
          </w:p>
        </w:tc>
        <w:tc>
          <w:tcPr>
            <w:tcW w:w="2300" w:type="dxa"/>
            <w:vAlign w:val="bottom"/>
            <w:tcBorders>
              <w:bottom w:val="single" w:sz="8" w:color="C0C0C0"/>
            </w:tcBorders>
            <w:shd w:val="clear" w:color="auto" w:fill="C0C0C0"/>
          </w:tcPr>
          <w:p>
            <w:pPr>
              <w:spacing w:after="0"/>
              <w:rPr>
                <w:sz w:val="21"/>
                <w:szCs w:val="21"/>
                <w:color w:val="auto"/>
              </w:rPr>
            </w:pPr>
          </w:p>
        </w:tc>
        <w:tc>
          <w:tcPr>
            <w:tcW w:w="1500" w:type="dxa"/>
            <w:vAlign w:val="bottom"/>
            <w:tcBorders>
              <w:bottom w:val="single" w:sz="8" w:color="C0C0C0"/>
            </w:tcBorders>
            <w:shd w:val="clear" w:color="auto" w:fill="C0C0C0"/>
          </w:tcPr>
          <w:p>
            <w:pPr>
              <w:spacing w:after="0"/>
              <w:rPr>
                <w:sz w:val="21"/>
                <w:szCs w:val="21"/>
                <w:color w:val="auto"/>
              </w:rPr>
            </w:pPr>
          </w:p>
        </w:tc>
        <w:tc>
          <w:tcPr>
            <w:tcW w:w="1320" w:type="dxa"/>
            <w:vAlign w:val="bottom"/>
            <w:tcBorders>
              <w:bottom w:val="single" w:sz="8" w:color="C0C0C0"/>
            </w:tcBorders>
            <w:shd w:val="clear" w:color="auto" w:fill="C0C0C0"/>
          </w:tcPr>
          <w:p>
            <w:pPr>
              <w:jc w:val="right"/>
              <w:spacing w:after="0"/>
              <w:rPr>
                <w:sz w:val="20"/>
                <w:szCs w:val="20"/>
                <w:color w:val="auto"/>
              </w:rPr>
            </w:pPr>
            <w:r>
              <w:rPr>
                <w:rFonts w:ascii="Arial" w:cs="Arial" w:eastAsia="Arial" w:hAnsi="Arial"/>
                <w:sz w:val="18"/>
                <w:szCs w:val="18"/>
                <w:b w:val="1"/>
                <w:bCs w:val="1"/>
                <w:color w:val="auto"/>
              </w:rPr>
              <w:t>$ 575,171,170</w:t>
            </w:r>
          </w:p>
        </w:tc>
      </w:tr>
      <w:tr>
        <w:trPr>
          <w:trHeight w:val="20"/>
        </w:trPr>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ind w:right="20"/>
        <w:spacing w:after="0"/>
        <w:rPr>
          <w:sz w:val="20"/>
          <w:szCs w:val="20"/>
          <w:color w:val="auto"/>
        </w:rPr>
      </w:pPr>
      <w:r>
        <w:rPr>
          <w:rFonts w:ascii="Arial" w:cs="Arial" w:eastAsia="Arial" w:hAnsi="Arial"/>
          <w:sz w:val="20"/>
          <w:szCs w:val="20"/>
          <w:b w:val="1"/>
          <w:bCs w:val="1"/>
          <w:u w:val="single" w:color="auto"/>
          <w:color w:val="auto"/>
        </w:rPr>
        <w:t>Schedule 8.08 - Transactions with Affiliates</w:t>
      </w:r>
    </w:p>
    <w:p>
      <w:pPr>
        <w:sectPr>
          <w:pgSz w:w="11900" w:h="16838" w:orient="portrait"/>
          <w:cols w:equalWidth="0" w:num="1">
            <w:col w:w="11400"/>
          </w:cols>
          <w:pgMar w:left="260" w:top="531" w:right="239" w:bottom="1440" w:gutter="0" w:footer="0" w:header="0"/>
        </w:sectPr>
      </w:pPr>
    </w:p>
    <w:bookmarkStart w:id="294" w:name="page295"/>
    <w:bookmarkEnd w:id="294"/>
    <w:tbl>
      <w:tblPr>
        <w:tblLayout w:type="fixed"/>
        <w:tblInd w:w="10" w:type="dxa"/>
        <w:tblCellMar>
          <w:top w:w="0" w:type="dxa"/>
          <w:left w:w="0" w:type="dxa"/>
          <w:bottom w:w="0" w:type="dxa"/>
          <w:right w:w="0" w:type="dxa"/>
        </w:tblCellMar>
      </w:tblPr>
      <w:tr>
        <w:trPr>
          <w:trHeight w:val="458"/>
        </w:trPr>
        <w:tc>
          <w:tcPr>
            <w:tcW w:w="3580" w:type="dxa"/>
            <w:vAlign w:val="bottom"/>
            <w:tcBorders>
              <w:top w:val="single" w:sz="8" w:color="auto"/>
              <w:left w:val="single" w:sz="8" w:color="auto"/>
              <w:bottom w:val="single" w:sz="8" w:color="C0C0C0"/>
              <w:right w:val="single" w:sz="8" w:color="auto"/>
            </w:tcBorders>
            <w:shd w:val="clear" w:color="auto" w:fill="C0C0C0"/>
          </w:tcPr>
          <w:p>
            <w:pPr>
              <w:ind w:left="60"/>
              <w:spacing w:after="0"/>
              <w:rPr>
                <w:sz w:val="20"/>
                <w:szCs w:val="20"/>
                <w:color w:val="auto"/>
              </w:rPr>
            </w:pPr>
            <w:r>
              <w:rPr>
                <w:rFonts w:ascii="Arial" w:cs="Arial" w:eastAsia="Arial" w:hAnsi="Arial"/>
                <w:sz w:val="20"/>
                <w:szCs w:val="20"/>
                <w:b w:val="1"/>
                <w:bCs w:val="1"/>
                <w:color w:val="auto"/>
              </w:rPr>
              <w:t>Entity providing product or service</w:t>
            </w:r>
          </w:p>
        </w:tc>
        <w:tc>
          <w:tcPr>
            <w:tcW w:w="6940" w:type="dxa"/>
            <w:vAlign w:val="bottom"/>
            <w:tcBorders>
              <w:top w:val="single" w:sz="8" w:color="auto"/>
              <w:bottom w:val="single" w:sz="8" w:color="C0C0C0"/>
              <w:right w:val="single" w:sz="8" w:color="auto"/>
            </w:tcBorders>
            <w:shd w:val="clear" w:color="auto" w:fill="C0C0C0"/>
          </w:tcPr>
          <w:p>
            <w:pPr>
              <w:ind w:left="20"/>
              <w:spacing w:after="0"/>
              <w:rPr>
                <w:sz w:val="20"/>
                <w:szCs w:val="20"/>
                <w:color w:val="auto"/>
              </w:rPr>
            </w:pPr>
            <w:r>
              <w:rPr>
                <w:rFonts w:ascii="Arial" w:cs="Arial" w:eastAsia="Arial" w:hAnsi="Arial"/>
                <w:sz w:val="20"/>
                <w:szCs w:val="20"/>
                <w:b w:val="1"/>
                <w:bCs w:val="1"/>
                <w:color w:val="auto"/>
              </w:rPr>
              <w:t>Description of products/services being provided and Entities benefitting</w:t>
            </w:r>
          </w:p>
        </w:tc>
      </w:tr>
      <w:tr>
        <w:trPr>
          <w:trHeight w:val="261"/>
        </w:trPr>
        <w:tc>
          <w:tcPr>
            <w:tcW w:w="3580" w:type="dxa"/>
            <w:vAlign w:val="bottom"/>
            <w:tcBorders>
              <w:top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ATX Software Ltd</w:t>
            </w:r>
          </w:p>
        </w:tc>
        <w:tc>
          <w:tcPr>
            <w:tcW w:w="694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20"/>
                <w:szCs w:val="20"/>
                <w:color w:val="auto"/>
                <w:w w:val="94"/>
              </w:rPr>
              <w:t>Provides a transaction processing platform for ATX Software Middle East FZ-LLC.</w:t>
            </w:r>
          </w:p>
        </w:tc>
      </w:tr>
      <w:tr>
        <w:trPr>
          <w:trHeight w:val="23"/>
        </w:trPr>
        <w:tc>
          <w:tcPr>
            <w:tcW w:w="3580" w:type="dxa"/>
            <w:vAlign w:val="bottom"/>
            <w:tcBorders>
              <w:bottom w:val="single" w:sz="8" w:color="auto"/>
              <w:right w:val="single" w:sz="8" w:color="auto"/>
            </w:tcBorders>
          </w:tcPr>
          <w:p>
            <w:pPr>
              <w:spacing w:after="0"/>
              <w:rPr>
                <w:sz w:val="2"/>
                <w:szCs w:val="2"/>
                <w:color w:val="auto"/>
              </w:rPr>
            </w:pPr>
          </w:p>
        </w:tc>
        <w:tc>
          <w:tcPr>
            <w:tcW w:w="6940" w:type="dxa"/>
            <w:vAlign w:val="bottom"/>
            <w:tcBorders>
              <w:bottom w:val="single" w:sz="8" w:color="auto"/>
              <w:right w:val="single" w:sz="8" w:color="auto"/>
            </w:tcBorders>
          </w:tcPr>
          <w:p>
            <w:pPr>
              <w:spacing w:after="0"/>
              <w:rPr>
                <w:sz w:val="2"/>
                <w:szCs w:val="2"/>
                <w:color w:val="auto"/>
              </w:rPr>
            </w:pPr>
          </w:p>
        </w:tc>
      </w:tr>
      <w:tr>
        <w:trPr>
          <w:trHeight w:val="254"/>
        </w:trPr>
        <w:tc>
          <w:tcPr>
            <w:tcW w:w="3580" w:type="dxa"/>
            <w:vAlign w:val="bottom"/>
            <w:tcBorders>
              <w:right w:val="single" w:sz="8" w:color="auto"/>
            </w:tcBorders>
          </w:tcPr>
          <w:p>
            <w:pPr>
              <w:ind w:left="40"/>
              <w:spacing w:after="0"/>
              <w:rPr>
                <w:sz w:val="20"/>
                <w:szCs w:val="20"/>
                <w:color w:val="auto"/>
              </w:rPr>
            </w:pPr>
            <w:r>
              <w:rPr>
                <w:rFonts w:ascii="Arial" w:cs="Arial" w:eastAsia="Arial" w:hAnsi="Arial"/>
                <w:sz w:val="20"/>
                <w:szCs w:val="20"/>
                <w:color w:val="auto"/>
              </w:rPr>
              <w:t>ATX Software Middle East FZ-LLC</w:t>
            </w:r>
          </w:p>
        </w:tc>
        <w:tc>
          <w:tcPr>
            <w:tcW w:w="694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Performs marketing and support services for ATX Software Ltd.</w:t>
            </w:r>
          </w:p>
        </w:tc>
      </w:tr>
      <w:tr>
        <w:trPr>
          <w:trHeight w:val="23"/>
        </w:trPr>
        <w:tc>
          <w:tcPr>
            <w:tcW w:w="3580" w:type="dxa"/>
            <w:vAlign w:val="bottom"/>
            <w:tcBorders>
              <w:bottom w:val="single" w:sz="8" w:color="auto"/>
              <w:right w:val="single" w:sz="8" w:color="auto"/>
            </w:tcBorders>
          </w:tcPr>
          <w:p>
            <w:pPr>
              <w:spacing w:after="0"/>
              <w:rPr>
                <w:sz w:val="2"/>
                <w:szCs w:val="2"/>
                <w:color w:val="auto"/>
              </w:rPr>
            </w:pPr>
          </w:p>
        </w:tc>
        <w:tc>
          <w:tcPr>
            <w:tcW w:w="6940" w:type="dxa"/>
            <w:vAlign w:val="bottom"/>
            <w:tcBorders>
              <w:bottom w:val="single" w:sz="8" w:color="auto"/>
              <w:right w:val="single" w:sz="8" w:color="auto"/>
            </w:tcBorders>
          </w:tcPr>
          <w:p>
            <w:pPr>
              <w:spacing w:after="0"/>
              <w:rPr>
                <w:sz w:val="2"/>
                <w:szCs w:val="2"/>
                <w:color w:val="auto"/>
              </w:rPr>
            </w:pPr>
          </w:p>
        </w:tc>
      </w:tr>
      <w:tr>
        <w:trPr>
          <w:trHeight w:val="233"/>
        </w:trPr>
        <w:tc>
          <w:tcPr>
            <w:tcW w:w="3580" w:type="dxa"/>
            <w:vAlign w:val="bottom"/>
            <w:tcBorders>
              <w:right w:val="single" w:sz="8" w:color="auto"/>
            </w:tcBorders>
          </w:tcPr>
          <w:p>
            <w:pPr>
              <w:spacing w:after="0"/>
              <w:rPr>
                <w:sz w:val="20"/>
                <w:szCs w:val="20"/>
                <w:color w:val="auto"/>
              </w:rPr>
            </w:pPr>
          </w:p>
        </w:tc>
        <w:tc>
          <w:tcPr>
            <w:tcW w:w="694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w w:val="97"/>
              </w:rPr>
              <w:t>Performs payout of money remittance orders for affiliates in Euronet Worldwide,</w:t>
            </w:r>
          </w:p>
        </w:tc>
      </w:tr>
      <w:tr>
        <w:trPr>
          <w:trHeight w:val="230"/>
        </w:trPr>
        <w:tc>
          <w:tcPr>
            <w:tcW w:w="3580" w:type="dxa"/>
            <w:vAlign w:val="bottom"/>
            <w:tcBorders>
              <w:right w:val="single" w:sz="8" w:color="auto"/>
            </w:tcBorders>
          </w:tcPr>
          <w:p>
            <w:pPr>
              <w:spacing w:after="0"/>
              <w:rPr>
                <w:sz w:val="19"/>
                <w:szCs w:val="19"/>
                <w:color w:val="auto"/>
              </w:rPr>
            </w:pPr>
          </w:p>
        </w:tc>
        <w:tc>
          <w:tcPr>
            <w:tcW w:w="694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w w:val="95"/>
              </w:rPr>
              <w:t>Inc.'s money transfer segment, provides software development for affiliates in the</w:t>
            </w:r>
          </w:p>
        </w:tc>
      </w:tr>
      <w:tr>
        <w:trPr>
          <w:trHeight w:val="230"/>
        </w:trPr>
        <w:tc>
          <w:tcPr>
            <w:tcW w:w="3580" w:type="dxa"/>
            <w:vAlign w:val="bottom"/>
            <w:tcBorders>
              <w:right w:val="single" w:sz="8" w:color="auto"/>
            </w:tcBorders>
          </w:tcPr>
          <w:p>
            <w:pPr>
              <w:spacing w:after="0"/>
              <w:rPr>
                <w:sz w:val="19"/>
                <w:szCs w:val="19"/>
                <w:color w:val="auto"/>
              </w:rPr>
            </w:pPr>
          </w:p>
        </w:tc>
        <w:tc>
          <w:tcPr>
            <w:tcW w:w="694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w w:val="95"/>
              </w:rPr>
              <w:t>money transfer segment's operating platform, provides management, accounting,</w:t>
            </w:r>
          </w:p>
        </w:tc>
      </w:tr>
      <w:tr>
        <w:trPr>
          <w:trHeight w:val="230"/>
        </w:trPr>
        <w:tc>
          <w:tcPr>
            <w:tcW w:w="3580" w:type="dxa"/>
            <w:vAlign w:val="bottom"/>
            <w:tcBorders>
              <w:right w:val="single" w:sz="8" w:color="auto"/>
            </w:tcBorders>
          </w:tcPr>
          <w:p>
            <w:pPr>
              <w:spacing w:after="0"/>
              <w:rPr>
                <w:sz w:val="19"/>
                <w:szCs w:val="19"/>
                <w:color w:val="auto"/>
              </w:rPr>
            </w:pPr>
          </w:p>
        </w:tc>
        <w:tc>
          <w:tcPr>
            <w:tcW w:w="694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w w:val="99"/>
              </w:rPr>
              <w:t>compliance, cash reconciliation, and other services for affiliates in such money</w:t>
            </w:r>
          </w:p>
        </w:tc>
      </w:tr>
      <w:tr>
        <w:trPr>
          <w:trHeight w:val="230"/>
        </w:trPr>
        <w:tc>
          <w:tcPr>
            <w:tcW w:w="3580" w:type="dxa"/>
            <w:vAlign w:val="bottom"/>
            <w:tcBorders>
              <w:right w:val="single" w:sz="8" w:color="auto"/>
            </w:tcBorders>
          </w:tcPr>
          <w:p>
            <w:pPr>
              <w:spacing w:after="0"/>
              <w:rPr>
                <w:sz w:val="19"/>
                <w:szCs w:val="19"/>
                <w:color w:val="auto"/>
              </w:rPr>
            </w:pPr>
          </w:p>
        </w:tc>
        <w:tc>
          <w:tcPr>
            <w:tcW w:w="694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w w:val="94"/>
              </w:rPr>
              <w:t>transfer segment, provides development services for Euronet Polska Spółka z o.o.</w:t>
            </w:r>
          </w:p>
        </w:tc>
      </w:tr>
      <w:tr>
        <w:trPr>
          <w:trHeight w:val="250"/>
        </w:trPr>
        <w:tc>
          <w:tcPr>
            <w:tcW w:w="3580" w:type="dxa"/>
            <w:vAlign w:val="bottom"/>
            <w:tcBorders>
              <w:right w:val="single" w:sz="8" w:color="auto"/>
            </w:tcBorders>
          </w:tcPr>
          <w:p>
            <w:pPr>
              <w:ind w:left="40"/>
              <w:spacing w:after="0"/>
              <w:rPr>
                <w:sz w:val="20"/>
                <w:szCs w:val="20"/>
                <w:color w:val="auto"/>
              </w:rPr>
            </w:pPr>
            <w:r>
              <w:rPr>
                <w:rFonts w:ascii="Arial" w:cs="Arial" w:eastAsia="Arial" w:hAnsi="Arial"/>
                <w:sz w:val="20"/>
                <w:szCs w:val="20"/>
                <w:color w:val="auto"/>
              </w:rPr>
              <w:t>Continental Exchange Solutions, Inc.</w:t>
            </w:r>
          </w:p>
        </w:tc>
        <w:tc>
          <w:tcPr>
            <w:tcW w:w="694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related to money remittance and bill payment solutions in Poland.</w:t>
            </w:r>
          </w:p>
        </w:tc>
      </w:tr>
      <w:tr>
        <w:trPr>
          <w:trHeight w:val="23"/>
        </w:trPr>
        <w:tc>
          <w:tcPr>
            <w:tcW w:w="3580" w:type="dxa"/>
            <w:vAlign w:val="bottom"/>
            <w:tcBorders>
              <w:bottom w:val="single" w:sz="8" w:color="auto"/>
              <w:right w:val="single" w:sz="8" w:color="auto"/>
            </w:tcBorders>
          </w:tcPr>
          <w:p>
            <w:pPr>
              <w:spacing w:after="0"/>
              <w:rPr>
                <w:sz w:val="2"/>
                <w:szCs w:val="2"/>
                <w:color w:val="auto"/>
              </w:rPr>
            </w:pPr>
          </w:p>
        </w:tc>
        <w:tc>
          <w:tcPr>
            <w:tcW w:w="6940" w:type="dxa"/>
            <w:vAlign w:val="bottom"/>
            <w:tcBorders>
              <w:bottom w:val="single" w:sz="8" w:color="auto"/>
              <w:right w:val="single" w:sz="8" w:color="auto"/>
            </w:tcBorders>
          </w:tcPr>
          <w:p>
            <w:pPr>
              <w:spacing w:after="0"/>
              <w:rPr>
                <w:sz w:val="2"/>
                <w:szCs w:val="2"/>
                <w:color w:val="auto"/>
              </w:rPr>
            </w:pPr>
          </w:p>
        </w:tc>
      </w:tr>
      <w:tr>
        <w:trPr>
          <w:trHeight w:val="233"/>
        </w:trPr>
        <w:tc>
          <w:tcPr>
            <w:tcW w:w="3580" w:type="dxa"/>
            <w:vAlign w:val="bottom"/>
            <w:tcBorders>
              <w:right w:val="single" w:sz="8" w:color="auto"/>
            </w:tcBorders>
          </w:tcPr>
          <w:p>
            <w:pPr>
              <w:spacing w:after="0"/>
              <w:rPr>
                <w:sz w:val="20"/>
                <w:szCs w:val="20"/>
                <w:color w:val="auto"/>
              </w:rPr>
            </w:pPr>
          </w:p>
        </w:tc>
        <w:tc>
          <w:tcPr>
            <w:tcW w:w="694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Performs transaction processing, development solutions, and management,</w:t>
            </w:r>
          </w:p>
        </w:tc>
      </w:tr>
      <w:tr>
        <w:trPr>
          <w:trHeight w:val="230"/>
        </w:trPr>
        <w:tc>
          <w:tcPr>
            <w:tcW w:w="3580" w:type="dxa"/>
            <w:vAlign w:val="bottom"/>
            <w:tcBorders>
              <w:right w:val="single" w:sz="8" w:color="auto"/>
            </w:tcBorders>
          </w:tcPr>
          <w:p>
            <w:pPr>
              <w:spacing w:after="0"/>
              <w:rPr>
                <w:sz w:val="19"/>
                <w:szCs w:val="19"/>
                <w:color w:val="auto"/>
              </w:rPr>
            </w:pPr>
          </w:p>
        </w:tc>
        <w:tc>
          <w:tcPr>
            <w:tcW w:w="694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w w:val="98"/>
              </w:rPr>
              <w:t>accounting, and support services for affiliates in Euronet Worldwide, Inc.'s epay</w:t>
            </w:r>
          </w:p>
        </w:tc>
      </w:tr>
      <w:tr>
        <w:trPr>
          <w:trHeight w:val="250"/>
        </w:trPr>
        <w:tc>
          <w:tcPr>
            <w:tcW w:w="3580" w:type="dxa"/>
            <w:vAlign w:val="bottom"/>
            <w:tcBorders>
              <w:right w:val="single" w:sz="8" w:color="auto"/>
            </w:tcBorders>
          </w:tcPr>
          <w:p>
            <w:pPr>
              <w:ind w:left="40"/>
              <w:spacing w:after="0"/>
              <w:rPr>
                <w:sz w:val="20"/>
                <w:szCs w:val="20"/>
                <w:color w:val="auto"/>
              </w:rPr>
            </w:pPr>
            <w:r>
              <w:rPr>
                <w:rFonts w:ascii="Arial" w:cs="Arial" w:eastAsia="Arial" w:hAnsi="Arial"/>
                <w:sz w:val="20"/>
                <w:szCs w:val="20"/>
                <w:color w:val="auto"/>
              </w:rPr>
              <w:t>epay Australia Pty Ltd</w:t>
            </w:r>
          </w:p>
        </w:tc>
        <w:tc>
          <w:tcPr>
            <w:tcW w:w="694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segment.</w:t>
            </w:r>
          </w:p>
        </w:tc>
      </w:tr>
      <w:tr>
        <w:trPr>
          <w:trHeight w:val="23"/>
        </w:trPr>
        <w:tc>
          <w:tcPr>
            <w:tcW w:w="3580" w:type="dxa"/>
            <w:vAlign w:val="bottom"/>
            <w:tcBorders>
              <w:bottom w:val="single" w:sz="8" w:color="auto"/>
              <w:right w:val="single" w:sz="8" w:color="auto"/>
            </w:tcBorders>
          </w:tcPr>
          <w:p>
            <w:pPr>
              <w:spacing w:after="0"/>
              <w:rPr>
                <w:sz w:val="2"/>
                <w:szCs w:val="2"/>
                <w:color w:val="auto"/>
              </w:rPr>
            </w:pPr>
          </w:p>
        </w:tc>
        <w:tc>
          <w:tcPr>
            <w:tcW w:w="6940" w:type="dxa"/>
            <w:vAlign w:val="bottom"/>
            <w:tcBorders>
              <w:bottom w:val="single" w:sz="8" w:color="auto"/>
              <w:right w:val="single" w:sz="8" w:color="auto"/>
            </w:tcBorders>
          </w:tcPr>
          <w:p>
            <w:pPr>
              <w:spacing w:after="0"/>
              <w:rPr>
                <w:sz w:val="2"/>
                <w:szCs w:val="2"/>
                <w:color w:val="auto"/>
              </w:rPr>
            </w:pPr>
          </w:p>
        </w:tc>
      </w:tr>
      <w:tr>
        <w:trPr>
          <w:trHeight w:val="254"/>
        </w:trPr>
        <w:tc>
          <w:tcPr>
            <w:tcW w:w="3580" w:type="dxa"/>
            <w:vAlign w:val="bottom"/>
            <w:tcBorders>
              <w:right w:val="single" w:sz="8" w:color="auto"/>
            </w:tcBorders>
          </w:tcPr>
          <w:p>
            <w:pPr>
              <w:ind w:left="40"/>
              <w:spacing w:after="0"/>
              <w:rPr>
                <w:sz w:val="20"/>
                <w:szCs w:val="20"/>
                <w:color w:val="auto"/>
              </w:rPr>
            </w:pPr>
            <w:r>
              <w:rPr>
                <w:rFonts w:ascii="Arial" w:cs="Arial" w:eastAsia="Arial" w:hAnsi="Arial"/>
                <w:sz w:val="20"/>
                <w:szCs w:val="20"/>
                <w:color w:val="auto"/>
              </w:rPr>
              <w:t>epay Digital SAS</w:t>
            </w:r>
          </w:p>
        </w:tc>
        <w:tc>
          <w:tcPr>
            <w:tcW w:w="694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Performs development solutions for ATX Software Ltd.</w:t>
            </w:r>
          </w:p>
        </w:tc>
      </w:tr>
      <w:tr>
        <w:trPr>
          <w:trHeight w:val="23"/>
        </w:trPr>
        <w:tc>
          <w:tcPr>
            <w:tcW w:w="3580" w:type="dxa"/>
            <w:vAlign w:val="bottom"/>
            <w:tcBorders>
              <w:bottom w:val="single" w:sz="8" w:color="auto"/>
              <w:right w:val="single" w:sz="8" w:color="auto"/>
            </w:tcBorders>
          </w:tcPr>
          <w:p>
            <w:pPr>
              <w:spacing w:after="0"/>
              <w:rPr>
                <w:sz w:val="2"/>
                <w:szCs w:val="2"/>
                <w:color w:val="auto"/>
              </w:rPr>
            </w:pPr>
          </w:p>
        </w:tc>
        <w:tc>
          <w:tcPr>
            <w:tcW w:w="6940" w:type="dxa"/>
            <w:vAlign w:val="bottom"/>
            <w:tcBorders>
              <w:bottom w:val="single" w:sz="8" w:color="auto"/>
              <w:right w:val="single" w:sz="8" w:color="auto"/>
            </w:tcBorders>
          </w:tcPr>
          <w:p>
            <w:pPr>
              <w:spacing w:after="0"/>
              <w:rPr>
                <w:sz w:val="2"/>
                <w:szCs w:val="2"/>
                <w:color w:val="auto"/>
              </w:rPr>
            </w:pPr>
          </w:p>
        </w:tc>
      </w:tr>
      <w:tr>
        <w:trPr>
          <w:trHeight w:val="233"/>
        </w:trPr>
        <w:tc>
          <w:tcPr>
            <w:tcW w:w="3580" w:type="dxa"/>
            <w:vAlign w:val="bottom"/>
            <w:tcBorders>
              <w:right w:val="single" w:sz="8" w:color="auto"/>
            </w:tcBorders>
          </w:tcPr>
          <w:p>
            <w:pPr>
              <w:spacing w:after="0"/>
              <w:rPr>
                <w:sz w:val="20"/>
                <w:szCs w:val="20"/>
                <w:color w:val="auto"/>
              </w:rPr>
            </w:pPr>
          </w:p>
        </w:tc>
        <w:tc>
          <w:tcPr>
            <w:tcW w:w="694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Performs transaction processing, development solutions, and management,</w:t>
            </w:r>
          </w:p>
        </w:tc>
      </w:tr>
      <w:tr>
        <w:trPr>
          <w:trHeight w:val="230"/>
        </w:trPr>
        <w:tc>
          <w:tcPr>
            <w:tcW w:w="3580" w:type="dxa"/>
            <w:vAlign w:val="bottom"/>
            <w:tcBorders>
              <w:right w:val="single" w:sz="8" w:color="auto"/>
            </w:tcBorders>
          </w:tcPr>
          <w:p>
            <w:pPr>
              <w:spacing w:after="0"/>
              <w:rPr>
                <w:sz w:val="19"/>
                <w:szCs w:val="19"/>
                <w:color w:val="auto"/>
              </w:rPr>
            </w:pPr>
          </w:p>
        </w:tc>
        <w:tc>
          <w:tcPr>
            <w:tcW w:w="694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w w:val="98"/>
              </w:rPr>
              <w:t>accounting, and support services for affiliates in Euronet Worldwide, Inc.'s epay</w:t>
            </w:r>
          </w:p>
        </w:tc>
      </w:tr>
      <w:tr>
        <w:trPr>
          <w:trHeight w:val="230"/>
        </w:trPr>
        <w:tc>
          <w:tcPr>
            <w:tcW w:w="3580" w:type="dxa"/>
            <w:vAlign w:val="bottom"/>
            <w:tcBorders>
              <w:right w:val="single" w:sz="8" w:color="auto"/>
            </w:tcBorders>
          </w:tcPr>
          <w:p>
            <w:pPr>
              <w:spacing w:after="0"/>
              <w:rPr>
                <w:sz w:val="19"/>
                <w:szCs w:val="19"/>
                <w:color w:val="auto"/>
              </w:rPr>
            </w:pPr>
          </w:p>
        </w:tc>
        <w:tc>
          <w:tcPr>
            <w:tcW w:w="694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w w:val="88"/>
              </w:rPr>
              <w:t>segment, performs sales services (recharge of personnel costs) to Pure-Commerce Ltd,</w:t>
            </w:r>
          </w:p>
        </w:tc>
      </w:tr>
      <w:tr>
        <w:trPr>
          <w:trHeight w:val="250"/>
        </w:trPr>
        <w:tc>
          <w:tcPr>
            <w:tcW w:w="3580" w:type="dxa"/>
            <w:vAlign w:val="bottom"/>
            <w:tcBorders>
              <w:right w:val="single" w:sz="8" w:color="auto"/>
            </w:tcBorders>
          </w:tcPr>
          <w:p>
            <w:pPr>
              <w:ind w:left="40"/>
              <w:spacing w:after="0"/>
              <w:rPr>
                <w:sz w:val="20"/>
                <w:szCs w:val="20"/>
                <w:color w:val="auto"/>
              </w:rPr>
            </w:pPr>
            <w:r>
              <w:rPr>
                <w:rFonts w:ascii="Arial" w:cs="Arial" w:eastAsia="Arial" w:hAnsi="Arial"/>
                <w:sz w:val="20"/>
                <w:szCs w:val="20"/>
                <w:color w:val="auto"/>
              </w:rPr>
              <w:t>epay Ltd</w:t>
            </w:r>
          </w:p>
        </w:tc>
        <w:tc>
          <w:tcPr>
            <w:tcW w:w="694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w w:val="92"/>
              </w:rPr>
              <w:t>and provides legal services (recharge of personnel costs) to Euronet Worldwide, Inc.</w:t>
            </w:r>
          </w:p>
        </w:tc>
      </w:tr>
      <w:tr>
        <w:trPr>
          <w:trHeight w:val="23"/>
        </w:trPr>
        <w:tc>
          <w:tcPr>
            <w:tcW w:w="3580" w:type="dxa"/>
            <w:vAlign w:val="bottom"/>
            <w:tcBorders>
              <w:bottom w:val="single" w:sz="8" w:color="auto"/>
              <w:right w:val="single" w:sz="8" w:color="auto"/>
            </w:tcBorders>
          </w:tcPr>
          <w:p>
            <w:pPr>
              <w:spacing w:after="0"/>
              <w:rPr>
                <w:sz w:val="2"/>
                <w:szCs w:val="2"/>
                <w:color w:val="auto"/>
              </w:rPr>
            </w:pPr>
          </w:p>
        </w:tc>
        <w:tc>
          <w:tcPr>
            <w:tcW w:w="6940" w:type="dxa"/>
            <w:vAlign w:val="bottom"/>
            <w:tcBorders>
              <w:bottom w:val="single" w:sz="8" w:color="auto"/>
              <w:right w:val="single" w:sz="8" w:color="auto"/>
            </w:tcBorders>
          </w:tcPr>
          <w:p>
            <w:pPr>
              <w:spacing w:after="0"/>
              <w:rPr>
                <w:sz w:val="2"/>
                <w:szCs w:val="2"/>
                <w:color w:val="auto"/>
              </w:rPr>
            </w:pPr>
          </w:p>
        </w:tc>
      </w:tr>
      <w:tr>
        <w:trPr>
          <w:trHeight w:val="254"/>
        </w:trPr>
        <w:tc>
          <w:tcPr>
            <w:tcW w:w="3580" w:type="dxa"/>
            <w:vAlign w:val="bottom"/>
            <w:tcBorders>
              <w:right w:val="single" w:sz="8" w:color="auto"/>
            </w:tcBorders>
          </w:tcPr>
          <w:p>
            <w:pPr>
              <w:ind w:left="40"/>
              <w:spacing w:after="0"/>
              <w:rPr>
                <w:sz w:val="20"/>
                <w:szCs w:val="20"/>
                <w:color w:val="auto"/>
              </w:rPr>
            </w:pPr>
            <w:r>
              <w:rPr>
                <w:rFonts w:ascii="Arial" w:cs="Arial" w:eastAsia="Arial" w:hAnsi="Arial"/>
                <w:sz w:val="20"/>
                <w:szCs w:val="20"/>
                <w:color w:val="auto"/>
              </w:rPr>
              <w:t>epay New Zealand Ltd</w:t>
            </w:r>
          </w:p>
        </w:tc>
        <w:tc>
          <w:tcPr>
            <w:tcW w:w="694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w w:val="99"/>
              </w:rPr>
              <w:t>Performs sales services (recharge of personnel costs) to Pure-Commerce Ltd.</w:t>
            </w:r>
          </w:p>
        </w:tc>
      </w:tr>
      <w:tr>
        <w:trPr>
          <w:trHeight w:val="23"/>
        </w:trPr>
        <w:tc>
          <w:tcPr>
            <w:tcW w:w="3580" w:type="dxa"/>
            <w:vAlign w:val="bottom"/>
            <w:tcBorders>
              <w:bottom w:val="single" w:sz="8" w:color="auto"/>
              <w:right w:val="single" w:sz="8" w:color="auto"/>
            </w:tcBorders>
          </w:tcPr>
          <w:p>
            <w:pPr>
              <w:spacing w:after="0"/>
              <w:rPr>
                <w:sz w:val="2"/>
                <w:szCs w:val="2"/>
                <w:color w:val="auto"/>
              </w:rPr>
            </w:pPr>
          </w:p>
        </w:tc>
        <w:tc>
          <w:tcPr>
            <w:tcW w:w="6940" w:type="dxa"/>
            <w:vAlign w:val="bottom"/>
            <w:tcBorders>
              <w:bottom w:val="single" w:sz="8" w:color="auto"/>
              <w:right w:val="single" w:sz="8" w:color="auto"/>
            </w:tcBorders>
          </w:tcPr>
          <w:p>
            <w:pPr>
              <w:spacing w:after="0"/>
              <w:rPr>
                <w:sz w:val="2"/>
                <w:szCs w:val="2"/>
                <w:color w:val="auto"/>
              </w:rPr>
            </w:pPr>
          </w:p>
        </w:tc>
      </w:tr>
      <w:tr>
        <w:trPr>
          <w:trHeight w:val="233"/>
        </w:trPr>
        <w:tc>
          <w:tcPr>
            <w:tcW w:w="3580" w:type="dxa"/>
            <w:vAlign w:val="bottom"/>
            <w:tcBorders>
              <w:right w:val="single" w:sz="8" w:color="auto"/>
            </w:tcBorders>
          </w:tcPr>
          <w:p>
            <w:pPr>
              <w:spacing w:after="0"/>
              <w:rPr>
                <w:sz w:val="20"/>
                <w:szCs w:val="20"/>
                <w:color w:val="auto"/>
              </w:rPr>
            </w:pPr>
          </w:p>
        </w:tc>
        <w:tc>
          <w:tcPr>
            <w:tcW w:w="694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w w:val="90"/>
              </w:rPr>
              <w:t>Provides cash dispensing for transactions made through Euronet 360 Finance Limited</w:t>
            </w:r>
          </w:p>
        </w:tc>
      </w:tr>
      <w:tr>
        <w:trPr>
          <w:trHeight w:val="250"/>
        </w:trPr>
        <w:tc>
          <w:tcPr>
            <w:tcW w:w="3580" w:type="dxa"/>
            <w:vAlign w:val="bottom"/>
            <w:tcBorders>
              <w:right w:val="single" w:sz="8" w:color="auto"/>
            </w:tcBorders>
          </w:tcPr>
          <w:p>
            <w:pPr>
              <w:ind w:left="40"/>
              <w:spacing w:after="0"/>
              <w:rPr>
                <w:sz w:val="20"/>
                <w:szCs w:val="20"/>
                <w:color w:val="auto"/>
              </w:rPr>
            </w:pPr>
            <w:r>
              <w:rPr>
                <w:rFonts w:ascii="Arial" w:cs="Arial" w:eastAsia="Arial" w:hAnsi="Arial"/>
                <w:sz w:val="20"/>
                <w:szCs w:val="20"/>
                <w:color w:val="auto"/>
              </w:rPr>
              <w:t>Euronet Banktechnikai Szolgaltato Kft.</w:t>
            </w:r>
          </w:p>
        </w:tc>
        <w:tc>
          <w:tcPr>
            <w:tcW w:w="694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as acquirer.</w:t>
            </w:r>
          </w:p>
        </w:tc>
      </w:tr>
      <w:tr>
        <w:trPr>
          <w:trHeight w:val="23"/>
        </w:trPr>
        <w:tc>
          <w:tcPr>
            <w:tcW w:w="3580" w:type="dxa"/>
            <w:vAlign w:val="bottom"/>
            <w:tcBorders>
              <w:bottom w:val="single" w:sz="8" w:color="auto"/>
              <w:right w:val="single" w:sz="8" w:color="auto"/>
            </w:tcBorders>
          </w:tcPr>
          <w:p>
            <w:pPr>
              <w:spacing w:after="0"/>
              <w:rPr>
                <w:sz w:val="2"/>
                <w:szCs w:val="2"/>
                <w:color w:val="auto"/>
              </w:rPr>
            </w:pPr>
          </w:p>
        </w:tc>
        <w:tc>
          <w:tcPr>
            <w:tcW w:w="6940" w:type="dxa"/>
            <w:vAlign w:val="bottom"/>
            <w:tcBorders>
              <w:bottom w:val="single" w:sz="8" w:color="auto"/>
              <w:right w:val="single" w:sz="8" w:color="auto"/>
            </w:tcBorders>
          </w:tcPr>
          <w:p>
            <w:pPr>
              <w:spacing w:after="0"/>
              <w:rPr>
                <w:sz w:val="2"/>
                <w:szCs w:val="2"/>
                <w:color w:val="auto"/>
              </w:rPr>
            </w:pPr>
          </w:p>
        </w:tc>
      </w:tr>
      <w:tr>
        <w:trPr>
          <w:trHeight w:val="254"/>
        </w:trPr>
        <w:tc>
          <w:tcPr>
            <w:tcW w:w="3580" w:type="dxa"/>
            <w:vAlign w:val="bottom"/>
            <w:tcBorders>
              <w:right w:val="single" w:sz="8" w:color="auto"/>
            </w:tcBorders>
          </w:tcPr>
          <w:p>
            <w:pPr>
              <w:ind w:left="40"/>
              <w:spacing w:after="0"/>
              <w:rPr>
                <w:sz w:val="20"/>
                <w:szCs w:val="20"/>
                <w:color w:val="auto"/>
              </w:rPr>
            </w:pPr>
            <w:r>
              <w:rPr>
                <w:rFonts w:ascii="Arial" w:cs="Arial" w:eastAsia="Arial" w:hAnsi="Arial"/>
                <w:sz w:val="20"/>
                <w:szCs w:val="20"/>
                <w:color w:val="auto"/>
              </w:rPr>
              <w:t>Euronet Business Holdings SLU</w:t>
            </w:r>
          </w:p>
        </w:tc>
        <w:tc>
          <w:tcPr>
            <w:tcW w:w="694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Provides management services to RIA Payment Institution EP, S.A.U.</w:t>
            </w:r>
          </w:p>
        </w:tc>
      </w:tr>
      <w:tr>
        <w:trPr>
          <w:trHeight w:val="23"/>
        </w:trPr>
        <w:tc>
          <w:tcPr>
            <w:tcW w:w="3580" w:type="dxa"/>
            <w:vAlign w:val="bottom"/>
            <w:tcBorders>
              <w:bottom w:val="single" w:sz="8" w:color="auto"/>
              <w:right w:val="single" w:sz="8" w:color="auto"/>
            </w:tcBorders>
          </w:tcPr>
          <w:p>
            <w:pPr>
              <w:spacing w:after="0"/>
              <w:rPr>
                <w:sz w:val="2"/>
                <w:szCs w:val="2"/>
                <w:color w:val="auto"/>
              </w:rPr>
            </w:pPr>
          </w:p>
        </w:tc>
        <w:tc>
          <w:tcPr>
            <w:tcW w:w="6940" w:type="dxa"/>
            <w:vAlign w:val="bottom"/>
            <w:tcBorders>
              <w:bottom w:val="single" w:sz="8" w:color="auto"/>
              <w:right w:val="single" w:sz="8" w:color="auto"/>
            </w:tcBorders>
          </w:tcPr>
          <w:p>
            <w:pPr>
              <w:spacing w:after="0"/>
              <w:rPr>
                <w:sz w:val="2"/>
                <w:szCs w:val="2"/>
                <w:color w:val="auto"/>
              </w:rPr>
            </w:pPr>
          </w:p>
        </w:tc>
      </w:tr>
      <w:tr>
        <w:trPr>
          <w:trHeight w:val="233"/>
        </w:trPr>
        <w:tc>
          <w:tcPr>
            <w:tcW w:w="3580" w:type="dxa"/>
            <w:vAlign w:val="bottom"/>
            <w:tcBorders>
              <w:right w:val="single" w:sz="8" w:color="auto"/>
            </w:tcBorders>
          </w:tcPr>
          <w:p>
            <w:pPr>
              <w:spacing w:after="0"/>
              <w:rPr>
                <w:sz w:val="20"/>
                <w:szCs w:val="20"/>
                <w:color w:val="auto"/>
              </w:rPr>
            </w:pPr>
          </w:p>
        </w:tc>
        <w:tc>
          <w:tcPr>
            <w:tcW w:w="694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w w:val="89"/>
              </w:rPr>
              <w:t>Provides cash dispensing services for transactions made through Euronet 360 Finance</w:t>
            </w:r>
          </w:p>
        </w:tc>
      </w:tr>
      <w:tr>
        <w:trPr>
          <w:trHeight w:val="230"/>
        </w:trPr>
        <w:tc>
          <w:tcPr>
            <w:tcW w:w="3580" w:type="dxa"/>
            <w:vAlign w:val="bottom"/>
            <w:tcBorders>
              <w:right w:val="single" w:sz="8" w:color="auto"/>
            </w:tcBorders>
          </w:tcPr>
          <w:p>
            <w:pPr>
              <w:spacing w:after="0"/>
              <w:rPr>
                <w:sz w:val="19"/>
                <w:szCs w:val="19"/>
                <w:color w:val="auto"/>
              </w:rPr>
            </w:pPr>
          </w:p>
        </w:tc>
        <w:tc>
          <w:tcPr>
            <w:tcW w:w="694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Limited as acquirer, and performs platform, card management services, and</w:t>
            </w:r>
          </w:p>
        </w:tc>
      </w:tr>
      <w:tr>
        <w:trPr>
          <w:trHeight w:val="250"/>
        </w:trPr>
        <w:tc>
          <w:tcPr>
            <w:tcW w:w="3580" w:type="dxa"/>
            <w:vAlign w:val="bottom"/>
            <w:tcBorders>
              <w:right w:val="single" w:sz="8" w:color="auto"/>
            </w:tcBorders>
          </w:tcPr>
          <w:p>
            <w:pPr>
              <w:ind w:left="40"/>
              <w:spacing w:after="0"/>
              <w:rPr>
                <w:sz w:val="20"/>
                <w:szCs w:val="20"/>
                <w:color w:val="auto"/>
              </w:rPr>
            </w:pPr>
            <w:r>
              <w:rPr>
                <w:rFonts w:ascii="Arial" w:cs="Arial" w:eastAsia="Arial" w:hAnsi="Arial"/>
                <w:sz w:val="20"/>
                <w:szCs w:val="20"/>
                <w:color w:val="auto"/>
              </w:rPr>
              <w:t>Euronet Card Services S.A.</w:t>
            </w:r>
          </w:p>
        </w:tc>
        <w:tc>
          <w:tcPr>
            <w:tcW w:w="694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management services for affiliates in Euronet Worldwide, Inc.'s EFT segment.</w:t>
            </w:r>
          </w:p>
        </w:tc>
      </w:tr>
      <w:tr>
        <w:trPr>
          <w:trHeight w:val="23"/>
        </w:trPr>
        <w:tc>
          <w:tcPr>
            <w:tcW w:w="3580" w:type="dxa"/>
            <w:vAlign w:val="bottom"/>
            <w:tcBorders>
              <w:bottom w:val="single" w:sz="8" w:color="auto"/>
              <w:right w:val="single" w:sz="8" w:color="auto"/>
            </w:tcBorders>
          </w:tcPr>
          <w:p>
            <w:pPr>
              <w:spacing w:after="0"/>
              <w:rPr>
                <w:sz w:val="2"/>
                <w:szCs w:val="2"/>
                <w:color w:val="auto"/>
              </w:rPr>
            </w:pPr>
          </w:p>
        </w:tc>
        <w:tc>
          <w:tcPr>
            <w:tcW w:w="6940" w:type="dxa"/>
            <w:vAlign w:val="bottom"/>
            <w:tcBorders>
              <w:bottom w:val="single" w:sz="8" w:color="auto"/>
              <w:right w:val="single" w:sz="8" w:color="auto"/>
            </w:tcBorders>
          </w:tcPr>
          <w:p>
            <w:pPr>
              <w:spacing w:after="0"/>
              <w:rPr>
                <w:sz w:val="2"/>
                <w:szCs w:val="2"/>
                <w:color w:val="auto"/>
              </w:rPr>
            </w:pPr>
          </w:p>
        </w:tc>
      </w:tr>
      <w:tr>
        <w:trPr>
          <w:trHeight w:val="233"/>
        </w:trPr>
        <w:tc>
          <w:tcPr>
            <w:tcW w:w="3580" w:type="dxa"/>
            <w:vAlign w:val="bottom"/>
            <w:tcBorders>
              <w:right w:val="single" w:sz="8" w:color="auto"/>
            </w:tcBorders>
          </w:tcPr>
          <w:p>
            <w:pPr>
              <w:spacing w:after="0"/>
              <w:rPr>
                <w:sz w:val="20"/>
                <w:szCs w:val="20"/>
                <w:color w:val="auto"/>
              </w:rPr>
            </w:pPr>
          </w:p>
        </w:tc>
        <w:tc>
          <w:tcPr>
            <w:tcW w:w="694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w w:val="97"/>
              </w:rPr>
              <w:t>Performs payout of money remittance orders for affiliates in Euronet Worldwide,</w:t>
            </w:r>
          </w:p>
        </w:tc>
      </w:tr>
      <w:tr>
        <w:trPr>
          <w:trHeight w:val="250"/>
        </w:trPr>
        <w:tc>
          <w:tcPr>
            <w:tcW w:w="3580" w:type="dxa"/>
            <w:vAlign w:val="bottom"/>
            <w:tcBorders>
              <w:right w:val="single" w:sz="8" w:color="auto"/>
            </w:tcBorders>
          </w:tcPr>
          <w:p>
            <w:pPr>
              <w:ind w:left="40"/>
              <w:spacing w:after="0"/>
              <w:rPr>
                <w:sz w:val="20"/>
                <w:szCs w:val="20"/>
                <w:color w:val="auto"/>
              </w:rPr>
            </w:pPr>
            <w:r>
              <w:rPr>
                <w:rFonts w:ascii="Arial" w:cs="Arial" w:eastAsia="Arial" w:hAnsi="Arial"/>
                <w:sz w:val="20"/>
                <w:szCs w:val="20"/>
                <w:color w:val="auto"/>
              </w:rPr>
              <w:t>Euronet Payment Services Ltd</w:t>
            </w:r>
          </w:p>
        </w:tc>
        <w:tc>
          <w:tcPr>
            <w:tcW w:w="694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Inc.'s money transfer segment.</w:t>
            </w:r>
          </w:p>
        </w:tc>
      </w:tr>
      <w:tr>
        <w:trPr>
          <w:trHeight w:val="23"/>
        </w:trPr>
        <w:tc>
          <w:tcPr>
            <w:tcW w:w="3580" w:type="dxa"/>
            <w:vAlign w:val="bottom"/>
            <w:tcBorders>
              <w:bottom w:val="single" w:sz="8" w:color="auto"/>
              <w:right w:val="single" w:sz="8" w:color="auto"/>
            </w:tcBorders>
          </w:tcPr>
          <w:p>
            <w:pPr>
              <w:spacing w:after="0"/>
              <w:rPr>
                <w:sz w:val="2"/>
                <w:szCs w:val="2"/>
                <w:color w:val="auto"/>
              </w:rPr>
            </w:pPr>
          </w:p>
        </w:tc>
        <w:tc>
          <w:tcPr>
            <w:tcW w:w="6940" w:type="dxa"/>
            <w:vAlign w:val="bottom"/>
            <w:tcBorders>
              <w:bottom w:val="single" w:sz="8" w:color="auto"/>
              <w:right w:val="single" w:sz="8" w:color="auto"/>
            </w:tcBorders>
          </w:tcPr>
          <w:p>
            <w:pPr>
              <w:spacing w:after="0"/>
              <w:rPr>
                <w:sz w:val="2"/>
                <w:szCs w:val="2"/>
                <w:color w:val="auto"/>
              </w:rPr>
            </w:pPr>
          </w:p>
        </w:tc>
      </w:tr>
      <w:tr>
        <w:trPr>
          <w:trHeight w:val="233"/>
        </w:trPr>
        <w:tc>
          <w:tcPr>
            <w:tcW w:w="3580" w:type="dxa"/>
            <w:vAlign w:val="bottom"/>
            <w:tcBorders>
              <w:right w:val="single" w:sz="8" w:color="auto"/>
            </w:tcBorders>
          </w:tcPr>
          <w:p>
            <w:pPr>
              <w:spacing w:after="0"/>
              <w:rPr>
                <w:sz w:val="20"/>
                <w:szCs w:val="20"/>
                <w:color w:val="auto"/>
              </w:rPr>
            </w:pPr>
          </w:p>
        </w:tc>
        <w:tc>
          <w:tcPr>
            <w:tcW w:w="694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w w:val="91"/>
              </w:rPr>
              <w:t>Acts as an agent for money remittance payout and bill payment services on behalf of</w:t>
            </w:r>
          </w:p>
        </w:tc>
      </w:tr>
      <w:tr>
        <w:trPr>
          <w:trHeight w:val="230"/>
        </w:trPr>
        <w:tc>
          <w:tcPr>
            <w:tcW w:w="3580" w:type="dxa"/>
            <w:vAlign w:val="bottom"/>
            <w:tcBorders>
              <w:right w:val="single" w:sz="8" w:color="auto"/>
            </w:tcBorders>
          </w:tcPr>
          <w:p>
            <w:pPr>
              <w:spacing w:after="0"/>
              <w:rPr>
                <w:sz w:val="19"/>
                <w:szCs w:val="19"/>
                <w:color w:val="auto"/>
              </w:rPr>
            </w:pPr>
          </w:p>
        </w:tc>
        <w:tc>
          <w:tcPr>
            <w:tcW w:w="694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w w:val="95"/>
              </w:rPr>
              <w:t>Euronet Payment Services Ltd and provides technical solutions for such payout in</w:t>
            </w:r>
          </w:p>
        </w:tc>
      </w:tr>
      <w:tr>
        <w:trPr>
          <w:trHeight w:val="230"/>
        </w:trPr>
        <w:tc>
          <w:tcPr>
            <w:tcW w:w="3580" w:type="dxa"/>
            <w:vAlign w:val="bottom"/>
            <w:tcBorders>
              <w:right w:val="single" w:sz="8" w:color="auto"/>
            </w:tcBorders>
          </w:tcPr>
          <w:p>
            <w:pPr>
              <w:spacing w:after="0"/>
              <w:rPr>
                <w:sz w:val="19"/>
                <w:szCs w:val="19"/>
                <w:color w:val="auto"/>
              </w:rPr>
            </w:pPr>
          </w:p>
        </w:tc>
        <w:tc>
          <w:tcPr>
            <w:tcW w:w="694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w w:val="90"/>
              </w:rPr>
              <w:t>Poland for Euronet Payment Services Ltd, performs e-money payout at retail locations</w:t>
            </w:r>
          </w:p>
        </w:tc>
      </w:tr>
      <w:tr>
        <w:trPr>
          <w:trHeight w:val="230"/>
        </w:trPr>
        <w:tc>
          <w:tcPr>
            <w:tcW w:w="3580" w:type="dxa"/>
            <w:vAlign w:val="bottom"/>
            <w:tcBorders>
              <w:right w:val="single" w:sz="8" w:color="auto"/>
            </w:tcBorders>
          </w:tcPr>
          <w:p>
            <w:pPr>
              <w:spacing w:after="0"/>
              <w:rPr>
                <w:sz w:val="19"/>
                <w:szCs w:val="19"/>
                <w:color w:val="auto"/>
              </w:rPr>
            </w:pPr>
          </w:p>
        </w:tc>
        <w:tc>
          <w:tcPr>
            <w:tcW w:w="694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w w:val="92"/>
              </w:rPr>
              <w:t>and ATMs for Euronet 360 Finance Limited and provides technical solutions for such</w:t>
            </w:r>
          </w:p>
        </w:tc>
      </w:tr>
      <w:tr>
        <w:trPr>
          <w:trHeight w:val="250"/>
        </w:trPr>
        <w:tc>
          <w:tcPr>
            <w:tcW w:w="3580" w:type="dxa"/>
            <w:vAlign w:val="bottom"/>
            <w:tcBorders>
              <w:right w:val="single" w:sz="8" w:color="auto"/>
            </w:tcBorders>
          </w:tcPr>
          <w:p>
            <w:pPr>
              <w:ind w:left="40"/>
              <w:spacing w:after="0"/>
              <w:rPr>
                <w:sz w:val="20"/>
                <w:szCs w:val="20"/>
                <w:color w:val="auto"/>
              </w:rPr>
            </w:pPr>
            <w:r>
              <w:rPr>
                <w:rFonts w:ascii="Arial" w:cs="Arial" w:eastAsia="Arial" w:hAnsi="Arial"/>
                <w:sz w:val="20"/>
                <w:szCs w:val="20"/>
                <w:color w:val="auto"/>
              </w:rPr>
              <w:t>Euronet Polska Spółka z o.o.</w:t>
            </w:r>
          </w:p>
        </w:tc>
        <w:tc>
          <w:tcPr>
            <w:tcW w:w="694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payout in Poland for Euronet 360 Finance Limited.</w:t>
            </w:r>
          </w:p>
        </w:tc>
      </w:tr>
      <w:tr>
        <w:trPr>
          <w:trHeight w:val="23"/>
        </w:trPr>
        <w:tc>
          <w:tcPr>
            <w:tcW w:w="3580" w:type="dxa"/>
            <w:vAlign w:val="bottom"/>
            <w:tcBorders>
              <w:bottom w:val="single" w:sz="8" w:color="auto"/>
              <w:right w:val="single" w:sz="8" w:color="auto"/>
            </w:tcBorders>
          </w:tcPr>
          <w:p>
            <w:pPr>
              <w:spacing w:after="0"/>
              <w:rPr>
                <w:sz w:val="2"/>
                <w:szCs w:val="2"/>
                <w:color w:val="auto"/>
              </w:rPr>
            </w:pPr>
          </w:p>
        </w:tc>
        <w:tc>
          <w:tcPr>
            <w:tcW w:w="6940" w:type="dxa"/>
            <w:vAlign w:val="bottom"/>
            <w:tcBorders>
              <w:bottom w:val="single" w:sz="8" w:color="auto"/>
              <w:right w:val="single" w:sz="8" w:color="auto"/>
            </w:tcBorders>
          </w:tcPr>
          <w:p>
            <w:pPr>
              <w:spacing w:after="0"/>
              <w:rPr>
                <w:sz w:val="2"/>
                <w:szCs w:val="2"/>
                <w:color w:val="auto"/>
              </w:rPr>
            </w:pPr>
          </w:p>
        </w:tc>
      </w:tr>
      <w:tr>
        <w:trPr>
          <w:trHeight w:val="233"/>
        </w:trPr>
        <w:tc>
          <w:tcPr>
            <w:tcW w:w="3580" w:type="dxa"/>
            <w:vAlign w:val="bottom"/>
            <w:tcBorders>
              <w:right w:val="single" w:sz="8" w:color="auto"/>
            </w:tcBorders>
          </w:tcPr>
          <w:p>
            <w:pPr>
              <w:spacing w:after="0"/>
              <w:rPr>
                <w:sz w:val="20"/>
                <w:szCs w:val="20"/>
                <w:color w:val="auto"/>
              </w:rPr>
            </w:pPr>
          </w:p>
        </w:tc>
        <w:tc>
          <w:tcPr>
            <w:tcW w:w="694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w w:val="91"/>
              </w:rPr>
              <w:t>Performs transaction switching between ATMs and point-of-sale devices operated by</w:t>
            </w:r>
          </w:p>
        </w:tc>
      </w:tr>
      <w:tr>
        <w:trPr>
          <w:trHeight w:val="230"/>
        </w:trPr>
        <w:tc>
          <w:tcPr>
            <w:tcW w:w="3580" w:type="dxa"/>
            <w:vAlign w:val="bottom"/>
            <w:tcBorders>
              <w:right w:val="single" w:sz="8" w:color="auto"/>
            </w:tcBorders>
          </w:tcPr>
          <w:p>
            <w:pPr>
              <w:spacing w:after="0"/>
              <w:rPr>
                <w:sz w:val="19"/>
                <w:szCs w:val="19"/>
                <w:color w:val="auto"/>
              </w:rPr>
            </w:pPr>
          </w:p>
        </w:tc>
        <w:tc>
          <w:tcPr>
            <w:tcW w:w="694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w w:val="99"/>
              </w:rPr>
              <w:t>affiliates in Euronet Worldwide, Inc.'s EFT segment and financial institutions to</w:t>
            </w:r>
          </w:p>
        </w:tc>
      </w:tr>
      <w:tr>
        <w:trPr>
          <w:trHeight w:val="230"/>
        </w:trPr>
        <w:tc>
          <w:tcPr>
            <w:tcW w:w="3580" w:type="dxa"/>
            <w:vAlign w:val="bottom"/>
            <w:tcBorders>
              <w:right w:val="single" w:sz="8" w:color="auto"/>
            </w:tcBorders>
          </w:tcPr>
          <w:p>
            <w:pPr>
              <w:spacing w:after="0"/>
              <w:rPr>
                <w:sz w:val="19"/>
                <w:szCs w:val="19"/>
                <w:color w:val="auto"/>
              </w:rPr>
            </w:pPr>
          </w:p>
        </w:tc>
        <w:tc>
          <w:tcPr>
            <w:tcW w:w="694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w w:val="94"/>
              </w:rPr>
              <w:t>approve or decline ATM cash withdrawals (a process which includes monitoring of</w:t>
            </w:r>
          </w:p>
        </w:tc>
      </w:tr>
      <w:tr>
        <w:trPr>
          <w:trHeight w:val="230"/>
        </w:trPr>
        <w:tc>
          <w:tcPr>
            <w:tcW w:w="3580" w:type="dxa"/>
            <w:vAlign w:val="bottom"/>
            <w:tcBorders>
              <w:right w:val="single" w:sz="8" w:color="auto"/>
            </w:tcBorders>
          </w:tcPr>
          <w:p>
            <w:pPr>
              <w:spacing w:after="0"/>
              <w:rPr>
                <w:sz w:val="19"/>
                <w:szCs w:val="19"/>
                <w:color w:val="auto"/>
              </w:rPr>
            </w:pPr>
          </w:p>
        </w:tc>
        <w:tc>
          <w:tcPr>
            <w:tcW w:w="694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w w:val="92"/>
              </w:rPr>
              <w:t>ATMs operated by such affiliates), develops software and network solutions for such</w:t>
            </w:r>
          </w:p>
        </w:tc>
      </w:tr>
      <w:tr>
        <w:trPr>
          <w:trHeight w:val="230"/>
        </w:trPr>
        <w:tc>
          <w:tcPr>
            <w:tcW w:w="3580" w:type="dxa"/>
            <w:vAlign w:val="bottom"/>
            <w:tcBorders>
              <w:right w:val="single" w:sz="8" w:color="auto"/>
            </w:tcBorders>
          </w:tcPr>
          <w:p>
            <w:pPr>
              <w:spacing w:after="0"/>
              <w:rPr>
                <w:sz w:val="19"/>
                <w:szCs w:val="19"/>
                <w:color w:val="auto"/>
              </w:rPr>
            </w:pPr>
          </w:p>
        </w:tc>
        <w:tc>
          <w:tcPr>
            <w:tcW w:w="694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w w:val="91"/>
              </w:rPr>
              <w:t>affiliates, licenses the "EFTS" branded software to Euronet USA Inc. for redistribution</w:t>
            </w:r>
          </w:p>
        </w:tc>
      </w:tr>
      <w:tr>
        <w:trPr>
          <w:trHeight w:val="230"/>
        </w:trPr>
        <w:tc>
          <w:tcPr>
            <w:tcW w:w="3580" w:type="dxa"/>
            <w:vAlign w:val="bottom"/>
            <w:tcBorders>
              <w:right w:val="single" w:sz="8" w:color="auto"/>
            </w:tcBorders>
          </w:tcPr>
          <w:p>
            <w:pPr>
              <w:spacing w:after="0"/>
              <w:rPr>
                <w:sz w:val="19"/>
                <w:szCs w:val="19"/>
                <w:color w:val="auto"/>
              </w:rPr>
            </w:pPr>
          </w:p>
        </w:tc>
        <w:tc>
          <w:tcPr>
            <w:tcW w:w="694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w w:val="94"/>
              </w:rPr>
              <w:t>to Euronet USA LLC's unaffiliated customers, licenses the "Renaissance" branded</w:t>
            </w:r>
          </w:p>
        </w:tc>
      </w:tr>
      <w:tr>
        <w:trPr>
          <w:trHeight w:val="230"/>
        </w:trPr>
        <w:tc>
          <w:tcPr>
            <w:tcW w:w="3580" w:type="dxa"/>
            <w:vAlign w:val="bottom"/>
            <w:tcBorders>
              <w:right w:val="single" w:sz="8" w:color="auto"/>
            </w:tcBorders>
          </w:tcPr>
          <w:p>
            <w:pPr>
              <w:spacing w:after="0"/>
              <w:rPr>
                <w:sz w:val="19"/>
                <w:szCs w:val="19"/>
                <w:color w:val="auto"/>
              </w:rPr>
            </w:pPr>
          </w:p>
        </w:tc>
        <w:tc>
          <w:tcPr>
            <w:tcW w:w="694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w w:val="94"/>
              </w:rPr>
              <w:t>software developed and legally owned by Euronet USA, LLC to several affiliates in</w:t>
            </w:r>
          </w:p>
        </w:tc>
      </w:tr>
      <w:tr>
        <w:trPr>
          <w:trHeight w:val="230"/>
        </w:trPr>
        <w:tc>
          <w:tcPr>
            <w:tcW w:w="3580" w:type="dxa"/>
            <w:vAlign w:val="bottom"/>
            <w:tcBorders>
              <w:right w:val="single" w:sz="8" w:color="auto"/>
            </w:tcBorders>
          </w:tcPr>
          <w:p>
            <w:pPr>
              <w:spacing w:after="0"/>
              <w:rPr>
                <w:sz w:val="19"/>
                <w:szCs w:val="19"/>
                <w:color w:val="auto"/>
              </w:rPr>
            </w:pPr>
          </w:p>
        </w:tc>
        <w:tc>
          <w:tcPr>
            <w:tcW w:w="694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w w:val="93"/>
              </w:rPr>
              <w:t>Euronet Worldwide, Inc.'s EFT segment, and provides software implementation and</w:t>
            </w:r>
          </w:p>
        </w:tc>
      </w:tr>
      <w:tr>
        <w:trPr>
          <w:trHeight w:val="230"/>
        </w:trPr>
        <w:tc>
          <w:tcPr>
            <w:tcW w:w="3580" w:type="dxa"/>
            <w:vAlign w:val="bottom"/>
            <w:tcBorders>
              <w:right w:val="single" w:sz="8" w:color="auto"/>
            </w:tcBorders>
          </w:tcPr>
          <w:p>
            <w:pPr>
              <w:spacing w:after="0"/>
              <w:rPr>
                <w:sz w:val="19"/>
                <w:szCs w:val="19"/>
                <w:color w:val="auto"/>
              </w:rPr>
            </w:pPr>
          </w:p>
        </w:tc>
        <w:tc>
          <w:tcPr>
            <w:tcW w:w="694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w w:val="91"/>
              </w:rPr>
              <w:t>processing services for Euronet Worldwide, Inc.'s "Pure Commerce Group" (including</w:t>
            </w:r>
          </w:p>
        </w:tc>
      </w:tr>
      <w:tr>
        <w:trPr>
          <w:trHeight w:val="230"/>
        </w:trPr>
        <w:tc>
          <w:tcPr>
            <w:tcW w:w="3580" w:type="dxa"/>
            <w:vAlign w:val="bottom"/>
            <w:tcBorders>
              <w:right w:val="single" w:sz="8" w:color="auto"/>
            </w:tcBorders>
          </w:tcPr>
          <w:p>
            <w:pPr>
              <w:spacing w:after="0"/>
              <w:rPr>
                <w:sz w:val="19"/>
                <w:szCs w:val="19"/>
                <w:color w:val="auto"/>
              </w:rPr>
            </w:pPr>
          </w:p>
        </w:tc>
        <w:tc>
          <w:tcPr>
            <w:tcW w:w="694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w w:val="94"/>
              </w:rPr>
              <w:t>Pure Commerce Pty Limited, Pure Commerce Korea YH, Pure Commerce (S) Pte.</w:t>
            </w:r>
          </w:p>
        </w:tc>
      </w:tr>
      <w:tr>
        <w:trPr>
          <w:trHeight w:val="230"/>
        </w:trPr>
        <w:tc>
          <w:tcPr>
            <w:tcW w:w="3580" w:type="dxa"/>
            <w:vAlign w:val="bottom"/>
            <w:tcBorders>
              <w:right w:val="single" w:sz="8" w:color="auto"/>
            </w:tcBorders>
          </w:tcPr>
          <w:p>
            <w:pPr>
              <w:spacing w:after="0"/>
              <w:rPr>
                <w:sz w:val="19"/>
                <w:szCs w:val="19"/>
                <w:color w:val="auto"/>
              </w:rPr>
            </w:pPr>
          </w:p>
        </w:tc>
        <w:tc>
          <w:tcPr>
            <w:tcW w:w="694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Ltd., Pure-Commerce Ltd, PFX Pty Ltd, Pure Commerce Japan Pty Ltd, Pure</w:t>
            </w:r>
          </w:p>
        </w:tc>
      </w:tr>
      <w:tr>
        <w:trPr>
          <w:trHeight w:val="250"/>
        </w:trPr>
        <w:tc>
          <w:tcPr>
            <w:tcW w:w="3580" w:type="dxa"/>
            <w:vAlign w:val="bottom"/>
            <w:tcBorders>
              <w:right w:val="single" w:sz="8" w:color="auto"/>
            </w:tcBorders>
          </w:tcPr>
          <w:p>
            <w:pPr>
              <w:ind w:left="40"/>
              <w:spacing w:after="0"/>
              <w:rPr>
                <w:sz w:val="20"/>
                <w:szCs w:val="20"/>
                <w:color w:val="auto"/>
              </w:rPr>
            </w:pPr>
            <w:r>
              <w:rPr>
                <w:rFonts w:ascii="Arial" w:cs="Arial" w:eastAsia="Arial" w:hAnsi="Arial"/>
                <w:sz w:val="20"/>
                <w:szCs w:val="20"/>
                <w:color w:val="auto"/>
              </w:rPr>
              <w:t>Euronet Services Kft.</w:t>
            </w:r>
          </w:p>
        </w:tc>
        <w:tc>
          <w:tcPr>
            <w:tcW w:w="694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Commerce Shared Service Ptd. Ltd., Pure Processing Pte. Ltd.).</w:t>
            </w:r>
          </w:p>
        </w:tc>
      </w:tr>
      <w:tr>
        <w:trPr>
          <w:trHeight w:val="23"/>
        </w:trPr>
        <w:tc>
          <w:tcPr>
            <w:tcW w:w="3580" w:type="dxa"/>
            <w:vAlign w:val="bottom"/>
            <w:tcBorders>
              <w:bottom w:val="single" w:sz="8" w:color="auto"/>
              <w:right w:val="single" w:sz="8" w:color="auto"/>
            </w:tcBorders>
          </w:tcPr>
          <w:p>
            <w:pPr>
              <w:spacing w:after="0"/>
              <w:rPr>
                <w:sz w:val="2"/>
                <w:szCs w:val="2"/>
                <w:color w:val="auto"/>
              </w:rPr>
            </w:pPr>
          </w:p>
        </w:tc>
        <w:tc>
          <w:tcPr>
            <w:tcW w:w="6940" w:type="dxa"/>
            <w:vAlign w:val="bottom"/>
            <w:tcBorders>
              <w:bottom w:val="single" w:sz="8" w:color="auto"/>
              <w:right w:val="single" w:sz="8" w:color="auto"/>
            </w:tcBorders>
          </w:tcPr>
          <w:p>
            <w:pPr>
              <w:spacing w:after="0"/>
              <w:rPr>
                <w:sz w:val="2"/>
                <w:szCs w:val="2"/>
                <w:color w:val="auto"/>
              </w:rPr>
            </w:pPr>
          </w:p>
        </w:tc>
      </w:tr>
    </w:tbl>
    <w:p>
      <w:pPr>
        <w:sectPr>
          <w:pgSz w:w="11900" w:h="16838" w:orient="portrait"/>
          <w:cols w:equalWidth="0" w:num="1">
            <w:col w:w="10520"/>
          </w:cols>
          <w:pgMar w:left="740" w:top="822" w:right="639" w:bottom="1440" w:gutter="0" w:footer="0" w:header="0"/>
        </w:sectPr>
      </w:pPr>
    </w:p>
    <w:bookmarkStart w:id="295" w:name="page296"/>
    <w:bookmarkEnd w:id="295"/>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53"/>
        </w:trPr>
        <w:tc>
          <w:tcPr>
            <w:tcW w:w="3620" w:type="dxa"/>
            <w:vAlign w:val="bottom"/>
            <w:tcBorders>
              <w:top w:val="single" w:sz="8" w:color="auto"/>
              <w:left w:val="single" w:sz="8" w:color="auto"/>
              <w:right w:val="single" w:sz="8" w:color="auto"/>
            </w:tcBorders>
          </w:tcPr>
          <w:p>
            <w:pPr>
              <w:spacing w:after="0"/>
              <w:rPr>
                <w:sz w:val="22"/>
                <w:szCs w:val="22"/>
                <w:color w:val="auto"/>
              </w:rPr>
            </w:pPr>
          </w:p>
        </w:tc>
        <w:tc>
          <w:tcPr>
            <w:tcW w:w="6960" w:type="dxa"/>
            <w:vAlign w:val="bottom"/>
            <w:tcBorders>
              <w:top w:val="single" w:sz="8" w:color="auto"/>
              <w:right w:val="single" w:sz="8" w:color="auto"/>
            </w:tcBorders>
          </w:tcPr>
          <w:p>
            <w:pPr>
              <w:spacing w:after="0"/>
              <w:rPr>
                <w:sz w:val="20"/>
                <w:szCs w:val="20"/>
                <w:color w:val="auto"/>
              </w:rPr>
            </w:pPr>
            <w:r>
              <w:rPr>
                <w:rFonts w:ascii="Arial" w:cs="Arial" w:eastAsia="Arial" w:hAnsi="Arial"/>
                <w:sz w:val="20"/>
                <w:szCs w:val="20"/>
                <w:color w:val="auto"/>
                <w:w w:val="90"/>
              </w:rPr>
              <w:t>Provides cash dispensing services for transactions made through Euronet 360 Finance</w:t>
            </w:r>
          </w:p>
        </w:tc>
      </w:tr>
      <w:tr>
        <w:trPr>
          <w:trHeight w:val="250"/>
        </w:trPr>
        <w:tc>
          <w:tcPr>
            <w:tcW w:w="362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Euronet Services S.R.L.</w:t>
            </w:r>
          </w:p>
        </w:tc>
        <w:tc>
          <w:tcPr>
            <w:tcW w:w="6960" w:type="dxa"/>
            <w:vAlign w:val="bottom"/>
            <w:tcBorders>
              <w:right w:val="single" w:sz="8" w:color="auto"/>
            </w:tcBorders>
          </w:tcPr>
          <w:p>
            <w:pPr>
              <w:spacing w:after="0"/>
              <w:rPr>
                <w:sz w:val="20"/>
                <w:szCs w:val="20"/>
                <w:color w:val="auto"/>
              </w:rPr>
            </w:pPr>
            <w:r>
              <w:rPr>
                <w:rFonts w:ascii="Arial" w:cs="Arial" w:eastAsia="Arial" w:hAnsi="Arial"/>
                <w:sz w:val="20"/>
                <w:szCs w:val="20"/>
                <w:color w:val="auto"/>
              </w:rPr>
              <w:t>Limited as acquirer.</w:t>
            </w:r>
          </w:p>
        </w:tc>
      </w:tr>
      <w:tr>
        <w:trPr>
          <w:trHeight w:val="23"/>
        </w:trPr>
        <w:tc>
          <w:tcPr>
            <w:tcW w:w="3620" w:type="dxa"/>
            <w:vAlign w:val="bottom"/>
            <w:tcBorders>
              <w:left w:val="single" w:sz="8" w:color="auto"/>
              <w:bottom w:val="single" w:sz="8" w:color="auto"/>
              <w:right w:val="single" w:sz="8" w:color="auto"/>
            </w:tcBorders>
          </w:tcPr>
          <w:p>
            <w:pPr>
              <w:spacing w:after="0"/>
              <w:rPr>
                <w:sz w:val="2"/>
                <w:szCs w:val="2"/>
                <w:color w:val="auto"/>
              </w:rPr>
            </w:pPr>
          </w:p>
        </w:tc>
        <w:tc>
          <w:tcPr>
            <w:tcW w:w="6960" w:type="dxa"/>
            <w:vAlign w:val="bottom"/>
            <w:tcBorders>
              <w:bottom w:val="single" w:sz="8" w:color="auto"/>
              <w:right w:val="single" w:sz="8" w:color="auto"/>
            </w:tcBorders>
          </w:tcPr>
          <w:p>
            <w:pPr>
              <w:spacing w:after="0"/>
              <w:rPr>
                <w:sz w:val="2"/>
                <w:szCs w:val="2"/>
                <w:color w:val="auto"/>
              </w:rPr>
            </w:pPr>
          </w:p>
        </w:tc>
      </w:tr>
      <w:tr>
        <w:trPr>
          <w:trHeight w:val="233"/>
        </w:trPr>
        <w:tc>
          <w:tcPr>
            <w:tcW w:w="3620" w:type="dxa"/>
            <w:vAlign w:val="bottom"/>
            <w:tcBorders>
              <w:left w:val="single" w:sz="8" w:color="auto"/>
              <w:right w:val="single" w:sz="8" w:color="auto"/>
            </w:tcBorders>
          </w:tcPr>
          <w:p>
            <w:pPr>
              <w:spacing w:after="0"/>
              <w:rPr>
                <w:sz w:val="20"/>
                <w:szCs w:val="20"/>
                <w:color w:val="auto"/>
              </w:rPr>
            </w:pPr>
          </w:p>
        </w:tc>
        <w:tc>
          <w:tcPr>
            <w:tcW w:w="6960" w:type="dxa"/>
            <w:vAlign w:val="bottom"/>
            <w:tcBorders>
              <w:right w:val="single" w:sz="8" w:color="auto"/>
            </w:tcBorders>
          </w:tcPr>
          <w:p>
            <w:pPr>
              <w:spacing w:after="0"/>
              <w:rPr>
                <w:sz w:val="20"/>
                <w:szCs w:val="20"/>
                <w:color w:val="auto"/>
              </w:rPr>
            </w:pPr>
            <w:r>
              <w:rPr>
                <w:rFonts w:ascii="Arial" w:cs="Arial" w:eastAsia="Arial" w:hAnsi="Arial"/>
                <w:sz w:val="20"/>
                <w:szCs w:val="20"/>
                <w:color w:val="auto"/>
                <w:w w:val="90"/>
              </w:rPr>
              <w:t>Provides cash dispensing services for transactions made through Euronet 360 Finance</w:t>
            </w:r>
          </w:p>
        </w:tc>
      </w:tr>
      <w:tr>
        <w:trPr>
          <w:trHeight w:val="250"/>
        </w:trPr>
        <w:tc>
          <w:tcPr>
            <w:tcW w:w="362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Euronet Services, Spol. s r.o.</w:t>
            </w:r>
          </w:p>
        </w:tc>
        <w:tc>
          <w:tcPr>
            <w:tcW w:w="6960" w:type="dxa"/>
            <w:vAlign w:val="bottom"/>
            <w:tcBorders>
              <w:right w:val="single" w:sz="8" w:color="auto"/>
            </w:tcBorders>
          </w:tcPr>
          <w:p>
            <w:pPr>
              <w:spacing w:after="0"/>
              <w:rPr>
                <w:sz w:val="20"/>
                <w:szCs w:val="20"/>
                <w:color w:val="auto"/>
              </w:rPr>
            </w:pPr>
            <w:r>
              <w:rPr>
                <w:rFonts w:ascii="Arial" w:cs="Arial" w:eastAsia="Arial" w:hAnsi="Arial"/>
                <w:sz w:val="20"/>
                <w:szCs w:val="20"/>
                <w:color w:val="auto"/>
              </w:rPr>
              <w:t>Limited as acquirer.</w:t>
            </w:r>
          </w:p>
        </w:tc>
      </w:tr>
      <w:tr>
        <w:trPr>
          <w:trHeight w:val="23"/>
        </w:trPr>
        <w:tc>
          <w:tcPr>
            <w:tcW w:w="3620" w:type="dxa"/>
            <w:vAlign w:val="bottom"/>
            <w:tcBorders>
              <w:left w:val="single" w:sz="8" w:color="auto"/>
              <w:bottom w:val="single" w:sz="8" w:color="auto"/>
              <w:right w:val="single" w:sz="8" w:color="auto"/>
            </w:tcBorders>
          </w:tcPr>
          <w:p>
            <w:pPr>
              <w:spacing w:after="0"/>
              <w:rPr>
                <w:sz w:val="2"/>
                <w:szCs w:val="2"/>
                <w:color w:val="auto"/>
              </w:rPr>
            </w:pPr>
          </w:p>
        </w:tc>
        <w:tc>
          <w:tcPr>
            <w:tcW w:w="6960" w:type="dxa"/>
            <w:vAlign w:val="bottom"/>
            <w:tcBorders>
              <w:bottom w:val="single" w:sz="8" w:color="auto"/>
              <w:right w:val="single" w:sz="8" w:color="auto"/>
            </w:tcBorders>
          </w:tcPr>
          <w:p>
            <w:pPr>
              <w:spacing w:after="0"/>
              <w:rPr>
                <w:sz w:val="2"/>
                <w:szCs w:val="2"/>
                <w:color w:val="auto"/>
              </w:rPr>
            </w:pPr>
          </w:p>
        </w:tc>
      </w:tr>
      <w:tr>
        <w:trPr>
          <w:trHeight w:val="233"/>
        </w:trPr>
        <w:tc>
          <w:tcPr>
            <w:tcW w:w="3620" w:type="dxa"/>
            <w:vAlign w:val="bottom"/>
            <w:tcBorders>
              <w:left w:val="single" w:sz="8" w:color="auto"/>
              <w:right w:val="single" w:sz="8" w:color="auto"/>
            </w:tcBorders>
          </w:tcPr>
          <w:p>
            <w:pPr>
              <w:spacing w:after="0"/>
              <w:rPr>
                <w:sz w:val="20"/>
                <w:szCs w:val="20"/>
                <w:color w:val="auto"/>
              </w:rPr>
            </w:pPr>
          </w:p>
        </w:tc>
        <w:tc>
          <w:tcPr>
            <w:tcW w:w="6960" w:type="dxa"/>
            <w:vAlign w:val="bottom"/>
            <w:tcBorders>
              <w:right w:val="single" w:sz="8" w:color="auto"/>
            </w:tcBorders>
          </w:tcPr>
          <w:p>
            <w:pPr>
              <w:spacing w:after="0"/>
              <w:rPr>
                <w:sz w:val="20"/>
                <w:szCs w:val="20"/>
                <w:color w:val="auto"/>
              </w:rPr>
            </w:pPr>
            <w:r>
              <w:rPr>
                <w:rFonts w:ascii="Arial" w:cs="Arial" w:eastAsia="Arial" w:hAnsi="Arial"/>
                <w:sz w:val="20"/>
                <w:szCs w:val="20"/>
                <w:color w:val="auto"/>
                <w:w w:val="92"/>
              </w:rPr>
              <w:t>Licenses software and provides maintenance services to several affiliates in the EFT</w:t>
            </w:r>
          </w:p>
        </w:tc>
      </w:tr>
      <w:tr>
        <w:trPr>
          <w:trHeight w:val="230"/>
        </w:trPr>
        <w:tc>
          <w:tcPr>
            <w:tcW w:w="3620" w:type="dxa"/>
            <w:vAlign w:val="bottom"/>
            <w:tcBorders>
              <w:left w:val="single" w:sz="8" w:color="auto"/>
              <w:right w:val="single" w:sz="8" w:color="auto"/>
            </w:tcBorders>
          </w:tcPr>
          <w:p>
            <w:pPr>
              <w:spacing w:after="0"/>
              <w:rPr>
                <w:sz w:val="19"/>
                <w:szCs w:val="19"/>
                <w:color w:val="auto"/>
              </w:rPr>
            </w:pPr>
          </w:p>
        </w:tc>
        <w:tc>
          <w:tcPr>
            <w:tcW w:w="6960" w:type="dxa"/>
            <w:vAlign w:val="bottom"/>
            <w:tcBorders>
              <w:right w:val="single" w:sz="8" w:color="auto"/>
            </w:tcBorders>
          </w:tcPr>
          <w:p>
            <w:pPr>
              <w:spacing w:after="0"/>
              <w:rPr>
                <w:sz w:val="20"/>
                <w:szCs w:val="20"/>
                <w:color w:val="auto"/>
              </w:rPr>
            </w:pPr>
            <w:r>
              <w:rPr>
                <w:rFonts w:ascii="Arial" w:cs="Arial" w:eastAsia="Arial" w:hAnsi="Arial"/>
                <w:sz w:val="20"/>
                <w:szCs w:val="20"/>
                <w:color w:val="auto"/>
                <w:w w:val="94"/>
              </w:rPr>
              <w:t>segment of Euronet Worldwide, Inc., transfers a portion of its economic rights of its</w:t>
            </w:r>
          </w:p>
        </w:tc>
      </w:tr>
      <w:tr>
        <w:trPr>
          <w:trHeight w:val="230"/>
        </w:trPr>
        <w:tc>
          <w:tcPr>
            <w:tcW w:w="3620" w:type="dxa"/>
            <w:vAlign w:val="bottom"/>
            <w:tcBorders>
              <w:left w:val="single" w:sz="8" w:color="auto"/>
              <w:right w:val="single" w:sz="8" w:color="auto"/>
            </w:tcBorders>
          </w:tcPr>
          <w:p>
            <w:pPr>
              <w:spacing w:after="0"/>
              <w:rPr>
                <w:sz w:val="19"/>
                <w:szCs w:val="19"/>
                <w:color w:val="auto"/>
              </w:rPr>
            </w:pPr>
          </w:p>
        </w:tc>
        <w:tc>
          <w:tcPr>
            <w:tcW w:w="6960" w:type="dxa"/>
            <w:vAlign w:val="bottom"/>
            <w:tcBorders>
              <w:right w:val="single" w:sz="8" w:color="auto"/>
            </w:tcBorders>
          </w:tcPr>
          <w:p>
            <w:pPr>
              <w:spacing w:after="0"/>
              <w:rPr>
                <w:sz w:val="20"/>
                <w:szCs w:val="20"/>
                <w:color w:val="auto"/>
              </w:rPr>
            </w:pPr>
            <w:r>
              <w:rPr>
                <w:rFonts w:ascii="Arial" w:cs="Arial" w:eastAsia="Arial" w:hAnsi="Arial"/>
                <w:sz w:val="20"/>
                <w:szCs w:val="20"/>
                <w:color w:val="auto"/>
              </w:rPr>
              <w:t>"Renaissance" software to Euronet Services Kft., provides accounting and</w:t>
            </w:r>
          </w:p>
        </w:tc>
      </w:tr>
      <w:tr>
        <w:trPr>
          <w:trHeight w:val="230"/>
        </w:trPr>
        <w:tc>
          <w:tcPr>
            <w:tcW w:w="3620" w:type="dxa"/>
            <w:vAlign w:val="bottom"/>
            <w:tcBorders>
              <w:left w:val="single" w:sz="8" w:color="auto"/>
              <w:right w:val="single" w:sz="8" w:color="auto"/>
            </w:tcBorders>
          </w:tcPr>
          <w:p>
            <w:pPr>
              <w:spacing w:after="0"/>
              <w:rPr>
                <w:sz w:val="19"/>
                <w:szCs w:val="19"/>
                <w:color w:val="auto"/>
              </w:rPr>
            </w:pPr>
          </w:p>
        </w:tc>
        <w:tc>
          <w:tcPr>
            <w:tcW w:w="6960" w:type="dxa"/>
            <w:vAlign w:val="bottom"/>
            <w:tcBorders>
              <w:right w:val="single" w:sz="8" w:color="auto"/>
            </w:tcBorders>
          </w:tcPr>
          <w:p>
            <w:pPr>
              <w:spacing w:after="0"/>
              <w:rPr>
                <w:sz w:val="20"/>
                <w:szCs w:val="20"/>
                <w:color w:val="auto"/>
              </w:rPr>
            </w:pPr>
            <w:r>
              <w:rPr>
                <w:rFonts w:ascii="Arial" w:cs="Arial" w:eastAsia="Arial" w:hAnsi="Arial"/>
                <w:sz w:val="20"/>
                <w:szCs w:val="20"/>
                <w:color w:val="auto"/>
                <w:w w:val="90"/>
              </w:rPr>
              <w:t>management services (a recharge of personnel costs) to EFT Americas, Inc., and acts</w:t>
            </w:r>
          </w:p>
        </w:tc>
      </w:tr>
      <w:tr>
        <w:trPr>
          <w:trHeight w:val="230"/>
        </w:trPr>
        <w:tc>
          <w:tcPr>
            <w:tcW w:w="3620" w:type="dxa"/>
            <w:vAlign w:val="bottom"/>
            <w:tcBorders>
              <w:left w:val="single" w:sz="8" w:color="auto"/>
              <w:right w:val="single" w:sz="8" w:color="auto"/>
            </w:tcBorders>
          </w:tcPr>
          <w:p>
            <w:pPr>
              <w:spacing w:after="0"/>
              <w:rPr>
                <w:sz w:val="19"/>
                <w:szCs w:val="19"/>
                <w:color w:val="auto"/>
              </w:rPr>
            </w:pPr>
          </w:p>
        </w:tc>
        <w:tc>
          <w:tcPr>
            <w:tcW w:w="6960" w:type="dxa"/>
            <w:vAlign w:val="bottom"/>
            <w:tcBorders>
              <w:right w:val="single" w:sz="8" w:color="auto"/>
            </w:tcBorders>
          </w:tcPr>
          <w:p>
            <w:pPr>
              <w:spacing w:after="0"/>
              <w:rPr>
                <w:sz w:val="20"/>
                <w:szCs w:val="20"/>
                <w:color w:val="auto"/>
              </w:rPr>
            </w:pPr>
            <w:r>
              <w:rPr>
                <w:rFonts w:ascii="Arial" w:cs="Arial" w:eastAsia="Arial" w:hAnsi="Arial"/>
                <w:sz w:val="20"/>
                <w:szCs w:val="20"/>
                <w:color w:val="auto"/>
                <w:w w:val="92"/>
              </w:rPr>
              <w:t>as "common paymaster" (as defined under U.S. tax law) for employees of both itself,</w:t>
            </w:r>
          </w:p>
        </w:tc>
      </w:tr>
      <w:tr>
        <w:trPr>
          <w:trHeight w:val="250"/>
        </w:trPr>
        <w:tc>
          <w:tcPr>
            <w:tcW w:w="362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Euronet USA, LLC</w:t>
            </w:r>
          </w:p>
        </w:tc>
        <w:tc>
          <w:tcPr>
            <w:tcW w:w="6960" w:type="dxa"/>
            <w:vAlign w:val="bottom"/>
            <w:tcBorders>
              <w:right w:val="single" w:sz="8" w:color="auto"/>
            </w:tcBorders>
          </w:tcPr>
          <w:p>
            <w:pPr>
              <w:spacing w:after="0"/>
              <w:rPr>
                <w:sz w:val="20"/>
                <w:szCs w:val="20"/>
                <w:color w:val="auto"/>
              </w:rPr>
            </w:pPr>
            <w:r>
              <w:rPr>
                <w:rFonts w:ascii="Arial" w:cs="Arial" w:eastAsia="Arial" w:hAnsi="Arial"/>
                <w:sz w:val="20"/>
                <w:szCs w:val="20"/>
                <w:color w:val="auto"/>
              </w:rPr>
              <w:t>Euronet Worldwide, Inc., and other affiliates of Euronet Worldwide, Inc.</w:t>
            </w:r>
          </w:p>
        </w:tc>
      </w:tr>
      <w:tr>
        <w:trPr>
          <w:trHeight w:val="23"/>
        </w:trPr>
        <w:tc>
          <w:tcPr>
            <w:tcW w:w="3620" w:type="dxa"/>
            <w:vAlign w:val="bottom"/>
            <w:tcBorders>
              <w:left w:val="single" w:sz="8" w:color="auto"/>
              <w:bottom w:val="single" w:sz="8" w:color="auto"/>
              <w:right w:val="single" w:sz="8" w:color="auto"/>
            </w:tcBorders>
          </w:tcPr>
          <w:p>
            <w:pPr>
              <w:spacing w:after="0"/>
              <w:rPr>
                <w:sz w:val="2"/>
                <w:szCs w:val="2"/>
                <w:color w:val="auto"/>
              </w:rPr>
            </w:pPr>
          </w:p>
        </w:tc>
        <w:tc>
          <w:tcPr>
            <w:tcW w:w="6960" w:type="dxa"/>
            <w:vAlign w:val="bottom"/>
            <w:tcBorders>
              <w:bottom w:val="single" w:sz="8" w:color="auto"/>
              <w:right w:val="single" w:sz="8" w:color="auto"/>
            </w:tcBorders>
          </w:tcPr>
          <w:p>
            <w:pPr>
              <w:spacing w:after="0"/>
              <w:rPr>
                <w:sz w:val="2"/>
                <w:szCs w:val="2"/>
                <w:color w:val="auto"/>
              </w:rPr>
            </w:pPr>
          </w:p>
        </w:tc>
      </w:tr>
      <w:tr>
        <w:trPr>
          <w:trHeight w:val="233"/>
        </w:trPr>
        <w:tc>
          <w:tcPr>
            <w:tcW w:w="3620" w:type="dxa"/>
            <w:vAlign w:val="bottom"/>
            <w:tcBorders>
              <w:left w:val="single" w:sz="8" w:color="auto"/>
              <w:right w:val="single" w:sz="8" w:color="auto"/>
            </w:tcBorders>
          </w:tcPr>
          <w:p>
            <w:pPr>
              <w:spacing w:after="0"/>
              <w:rPr>
                <w:sz w:val="20"/>
                <w:szCs w:val="20"/>
                <w:color w:val="auto"/>
              </w:rPr>
            </w:pPr>
          </w:p>
        </w:tc>
        <w:tc>
          <w:tcPr>
            <w:tcW w:w="6960" w:type="dxa"/>
            <w:vAlign w:val="bottom"/>
            <w:tcBorders>
              <w:right w:val="single" w:sz="8" w:color="auto"/>
            </w:tcBorders>
          </w:tcPr>
          <w:p>
            <w:pPr>
              <w:spacing w:after="0"/>
              <w:rPr>
                <w:sz w:val="20"/>
                <w:szCs w:val="20"/>
                <w:color w:val="auto"/>
              </w:rPr>
            </w:pPr>
            <w:r>
              <w:rPr>
                <w:rFonts w:ascii="Arial" w:cs="Arial" w:eastAsia="Arial" w:hAnsi="Arial"/>
                <w:sz w:val="20"/>
                <w:szCs w:val="20"/>
                <w:color w:val="auto"/>
                <w:w w:val="92"/>
              </w:rPr>
              <w:t>Provides management, accounting, finance, treasury, legal, audit, IT support, human</w:t>
            </w:r>
          </w:p>
        </w:tc>
      </w:tr>
      <w:tr>
        <w:trPr>
          <w:trHeight w:val="250"/>
        </w:trPr>
        <w:tc>
          <w:tcPr>
            <w:tcW w:w="362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Euronet Worldwide, Inc.</w:t>
            </w:r>
          </w:p>
        </w:tc>
        <w:tc>
          <w:tcPr>
            <w:tcW w:w="6960" w:type="dxa"/>
            <w:vAlign w:val="bottom"/>
            <w:tcBorders>
              <w:right w:val="single" w:sz="8" w:color="auto"/>
            </w:tcBorders>
          </w:tcPr>
          <w:p>
            <w:pPr>
              <w:spacing w:after="0"/>
              <w:rPr>
                <w:sz w:val="20"/>
                <w:szCs w:val="20"/>
                <w:color w:val="auto"/>
              </w:rPr>
            </w:pPr>
            <w:r>
              <w:rPr>
                <w:rFonts w:ascii="Arial" w:cs="Arial" w:eastAsia="Arial" w:hAnsi="Arial"/>
                <w:sz w:val="20"/>
                <w:szCs w:val="20"/>
                <w:color w:val="auto"/>
              </w:rPr>
              <w:t>resources, and other miscellaneous services for all of its affiliates.</w:t>
            </w:r>
          </w:p>
        </w:tc>
      </w:tr>
      <w:tr>
        <w:trPr>
          <w:trHeight w:val="23"/>
        </w:trPr>
        <w:tc>
          <w:tcPr>
            <w:tcW w:w="3620" w:type="dxa"/>
            <w:vAlign w:val="bottom"/>
            <w:tcBorders>
              <w:left w:val="single" w:sz="8" w:color="auto"/>
              <w:bottom w:val="single" w:sz="8" w:color="auto"/>
              <w:right w:val="single" w:sz="8" w:color="auto"/>
            </w:tcBorders>
          </w:tcPr>
          <w:p>
            <w:pPr>
              <w:spacing w:after="0"/>
              <w:rPr>
                <w:sz w:val="2"/>
                <w:szCs w:val="2"/>
                <w:color w:val="auto"/>
              </w:rPr>
            </w:pPr>
          </w:p>
        </w:tc>
        <w:tc>
          <w:tcPr>
            <w:tcW w:w="6960" w:type="dxa"/>
            <w:vAlign w:val="bottom"/>
            <w:tcBorders>
              <w:bottom w:val="single" w:sz="8" w:color="auto"/>
              <w:right w:val="single" w:sz="8" w:color="auto"/>
            </w:tcBorders>
          </w:tcPr>
          <w:p>
            <w:pPr>
              <w:spacing w:after="0"/>
              <w:rPr>
                <w:sz w:val="2"/>
                <w:szCs w:val="2"/>
                <w:color w:val="auto"/>
              </w:rPr>
            </w:pPr>
          </w:p>
        </w:tc>
      </w:tr>
      <w:tr>
        <w:trPr>
          <w:trHeight w:val="233"/>
        </w:trPr>
        <w:tc>
          <w:tcPr>
            <w:tcW w:w="3620" w:type="dxa"/>
            <w:vAlign w:val="bottom"/>
            <w:tcBorders>
              <w:left w:val="single" w:sz="8" w:color="auto"/>
              <w:right w:val="single" w:sz="8" w:color="auto"/>
            </w:tcBorders>
          </w:tcPr>
          <w:p>
            <w:pPr>
              <w:spacing w:after="0"/>
              <w:rPr>
                <w:sz w:val="20"/>
                <w:szCs w:val="20"/>
                <w:color w:val="auto"/>
              </w:rPr>
            </w:pPr>
          </w:p>
        </w:tc>
        <w:tc>
          <w:tcPr>
            <w:tcW w:w="6960" w:type="dxa"/>
            <w:vAlign w:val="bottom"/>
            <w:tcBorders>
              <w:right w:val="single" w:sz="8" w:color="auto"/>
            </w:tcBorders>
          </w:tcPr>
          <w:p>
            <w:pPr>
              <w:spacing w:after="0"/>
              <w:rPr>
                <w:sz w:val="20"/>
                <w:szCs w:val="20"/>
                <w:color w:val="auto"/>
              </w:rPr>
            </w:pPr>
            <w:r>
              <w:rPr>
                <w:rFonts w:ascii="Arial" w:cs="Arial" w:eastAsia="Arial" w:hAnsi="Arial"/>
                <w:sz w:val="20"/>
                <w:szCs w:val="20"/>
                <w:color w:val="auto"/>
                <w:w w:val="91"/>
              </w:rPr>
              <w:t>Performs payout of money remittance orders for affiliates in Euronet Worldwide, Inc.'s</w:t>
            </w:r>
          </w:p>
        </w:tc>
      </w:tr>
      <w:tr>
        <w:trPr>
          <w:trHeight w:val="250"/>
        </w:trPr>
        <w:tc>
          <w:tcPr>
            <w:tcW w:w="362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Gescoro Inc.</w:t>
            </w:r>
          </w:p>
        </w:tc>
        <w:tc>
          <w:tcPr>
            <w:tcW w:w="6960" w:type="dxa"/>
            <w:vAlign w:val="bottom"/>
            <w:tcBorders>
              <w:right w:val="single" w:sz="8" w:color="auto"/>
            </w:tcBorders>
          </w:tcPr>
          <w:p>
            <w:pPr>
              <w:spacing w:after="0"/>
              <w:rPr>
                <w:sz w:val="20"/>
                <w:szCs w:val="20"/>
                <w:color w:val="auto"/>
              </w:rPr>
            </w:pPr>
            <w:r>
              <w:rPr>
                <w:rFonts w:ascii="Arial" w:cs="Arial" w:eastAsia="Arial" w:hAnsi="Arial"/>
                <w:sz w:val="20"/>
                <w:szCs w:val="20"/>
                <w:color w:val="auto"/>
              </w:rPr>
              <w:t>money transfer segment.</w:t>
            </w:r>
          </w:p>
        </w:tc>
      </w:tr>
      <w:tr>
        <w:trPr>
          <w:trHeight w:val="23"/>
        </w:trPr>
        <w:tc>
          <w:tcPr>
            <w:tcW w:w="3620" w:type="dxa"/>
            <w:vAlign w:val="bottom"/>
            <w:tcBorders>
              <w:left w:val="single" w:sz="8" w:color="auto"/>
              <w:bottom w:val="single" w:sz="8" w:color="auto"/>
              <w:right w:val="single" w:sz="8" w:color="auto"/>
            </w:tcBorders>
          </w:tcPr>
          <w:p>
            <w:pPr>
              <w:spacing w:after="0"/>
              <w:rPr>
                <w:sz w:val="2"/>
                <w:szCs w:val="2"/>
                <w:color w:val="auto"/>
              </w:rPr>
            </w:pPr>
          </w:p>
        </w:tc>
        <w:tc>
          <w:tcPr>
            <w:tcW w:w="6960" w:type="dxa"/>
            <w:vAlign w:val="bottom"/>
            <w:tcBorders>
              <w:bottom w:val="single" w:sz="8" w:color="auto"/>
              <w:right w:val="single" w:sz="8" w:color="auto"/>
            </w:tcBorders>
          </w:tcPr>
          <w:p>
            <w:pPr>
              <w:spacing w:after="0"/>
              <w:rPr>
                <w:sz w:val="2"/>
                <w:szCs w:val="2"/>
                <w:color w:val="auto"/>
              </w:rPr>
            </w:pPr>
          </w:p>
        </w:tc>
      </w:tr>
      <w:tr>
        <w:trPr>
          <w:trHeight w:val="233"/>
        </w:trPr>
        <w:tc>
          <w:tcPr>
            <w:tcW w:w="3620" w:type="dxa"/>
            <w:vAlign w:val="bottom"/>
            <w:tcBorders>
              <w:left w:val="single" w:sz="8" w:color="auto"/>
              <w:right w:val="single" w:sz="8" w:color="auto"/>
            </w:tcBorders>
          </w:tcPr>
          <w:p>
            <w:pPr>
              <w:spacing w:after="0"/>
              <w:rPr>
                <w:sz w:val="20"/>
                <w:szCs w:val="20"/>
                <w:color w:val="auto"/>
              </w:rPr>
            </w:pPr>
          </w:p>
        </w:tc>
        <w:tc>
          <w:tcPr>
            <w:tcW w:w="6960" w:type="dxa"/>
            <w:vAlign w:val="bottom"/>
            <w:tcBorders>
              <w:right w:val="single" w:sz="8" w:color="auto"/>
            </w:tcBorders>
          </w:tcPr>
          <w:p>
            <w:pPr>
              <w:spacing w:after="0"/>
              <w:rPr>
                <w:sz w:val="20"/>
                <w:szCs w:val="20"/>
                <w:color w:val="auto"/>
              </w:rPr>
            </w:pPr>
            <w:r>
              <w:rPr>
                <w:rFonts w:ascii="Arial" w:cs="Arial" w:eastAsia="Arial" w:hAnsi="Arial"/>
                <w:sz w:val="20"/>
                <w:szCs w:val="20"/>
                <w:color w:val="auto"/>
                <w:w w:val="92"/>
              </w:rPr>
              <w:t>Performs transaction processing, software development solutions, and management,</w:t>
            </w:r>
          </w:p>
        </w:tc>
      </w:tr>
      <w:tr>
        <w:trPr>
          <w:trHeight w:val="230"/>
        </w:trPr>
        <w:tc>
          <w:tcPr>
            <w:tcW w:w="3620" w:type="dxa"/>
            <w:vAlign w:val="bottom"/>
            <w:tcBorders>
              <w:left w:val="single" w:sz="8" w:color="auto"/>
              <w:right w:val="single" w:sz="8" w:color="auto"/>
            </w:tcBorders>
          </w:tcPr>
          <w:p>
            <w:pPr>
              <w:spacing w:after="0"/>
              <w:rPr>
                <w:sz w:val="19"/>
                <w:szCs w:val="19"/>
                <w:color w:val="auto"/>
              </w:rPr>
            </w:pPr>
          </w:p>
        </w:tc>
        <w:tc>
          <w:tcPr>
            <w:tcW w:w="6960" w:type="dxa"/>
            <w:vAlign w:val="bottom"/>
            <w:tcBorders>
              <w:right w:val="single" w:sz="8" w:color="auto"/>
            </w:tcBorders>
          </w:tcPr>
          <w:p>
            <w:pPr>
              <w:spacing w:after="0"/>
              <w:rPr>
                <w:sz w:val="20"/>
                <w:szCs w:val="20"/>
                <w:color w:val="auto"/>
              </w:rPr>
            </w:pPr>
            <w:r>
              <w:rPr>
                <w:rFonts w:ascii="Arial" w:cs="Arial" w:eastAsia="Arial" w:hAnsi="Arial"/>
                <w:sz w:val="20"/>
                <w:szCs w:val="20"/>
                <w:color w:val="auto"/>
                <w:w w:val="98"/>
              </w:rPr>
              <w:t>accounting, and support services for affiliates in Euronet Worldwide, Inc.'s epay</w:t>
            </w:r>
          </w:p>
        </w:tc>
      </w:tr>
      <w:tr>
        <w:trPr>
          <w:trHeight w:val="230"/>
        </w:trPr>
        <w:tc>
          <w:tcPr>
            <w:tcW w:w="3620" w:type="dxa"/>
            <w:vAlign w:val="bottom"/>
            <w:tcBorders>
              <w:left w:val="single" w:sz="8" w:color="auto"/>
              <w:right w:val="single" w:sz="8" w:color="auto"/>
            </w:tcBorders>
          </w:tcPr>
          <w:p>
            <w:pPr>
              <w:spacing w:after="0"/>
              <w:rPr>
                <w:sz w:val="19"/>
                <w:szCs w:val="19"/>
                <w:color w:val="auto"/>
              </w:rPr>
            </w:pPr>
          </w:p>
        </w:tc>
        <w:tc>
          <w:tcPr>
            <w:tcW w:w="6960" w:type="dxa"/>
            <w:vAlign w:val="bottom"/>
            <w:tcBorders>
              <w:right w:val="single" w:sz="8" w:color="auto"/>
            </w:tcBorders>
          </w:tcPr>
          <w:p>
            <w:pPr>
              <w:spacing w:after="0"/>
              <w:rPr>
                <w:sz w:val="20"/>
                <w:szCs w:val="20"/>
                <w:color w:val="auto"/>
              </w:rPr>
            </w:pPr>
            <w:r>
              <w:rPr>
                <w:rFonts w:ascii="Arial" w:cs="Arial" w:eastAsia="Arial" w:hAnsi="Arial"/>
                <w:sz w:val="20"/>
                <w:szCs w:val="20"/>
                <w:color w:val="auto"/>
                <w:w w:val="97"/>
              </w:rPr>
              <w:t>segment, acts as agent for bill payment under such licenses held by Continental</w:t>
            </w:r>
          </w:p>
        </w:tc>
      </w:tr>
      <w:tr>
        <w:trPr>
          <w:trHeight w:val="230"/>
        </w:trPr>
        <w:tc>
          <w:tcPr>
            <w:tcW w:w="3620" w:type="dxa"/>
            <w:vAlign w:val="bottom"/>
            <w:tcBorders>
              <w:left w:val="single" w:sz="8" w:color="auto"/>
              <w:right w:val="single" w:sz="8" w:color="auto"/>
            </w:tcBorders>
          </w:tcPr>
          <w:p>
            <w:pPr>
              <w:spacing w:after="0"/>
              <w:rPr>
                <w:sz w:val="19"/>
                <w:szCs w:val="19"/>
                <w:color w:val="auto"/>
              </w:rPr>
            </w:pPr>
          </w:p>
        </w:tc>
        <w:tc>
          <w:tcPr>
            <w:tcW w:w="6960" w:type="dxa"/>
            <w:vAlign w:val="bottom"/>
            <w:tcBorders>
              <w:right w:val="single" w:sz="8" w:color="auto"/>
            </w:tcBorders>
          </w:tcPr>
          <w:p>
            <w:pPr>
              <w:spacing w:after="0"/>
              <w:rPr>
                <w:sz w:val="20"/>
                <w:szCs w:val="20"/>
                <w:color w:val="auto"/>
              </w:rPr>
            </w:pPr>
            <w:r>
              <w:rPr>
                <w:rFonts w:ascii="Arial" w:cs="Arial" w:eastAsia="Arial" w:hAnsi="Arial"/>
                <w:sz w:val="20"/>
                <w:szCs w:val="20"/>
                <w:color w:val="auto"/>
                <w:w w:val="97"/>
              </w:rPr>
              <w:t>Exchange Solutions, Inc., provides management services to affiliates in the epay</w:t>
            </w:r>
          </w:p>
        </w:tc>
      </w:tr>
      <w:tr>
        <w:trPr>
          <w:trHeight w:val="230"/>
        </w:trPr>
        <w:tc>
          <w:tcPr>
            <w:tcW w:w="3620" w:type="dxa"/>
            <w:vAlign w:val="bottom"/>
            <w:tcBorders>
              <w:left w:val="single" w:sz="8" w:color="auto"/>
              <w:right w:val="single" w:sz="8" w:color="auto"/>
            </w:tcBorders>
          </w:tcPr>
          <w:p>
            <w:pPr>
              <w:spacing w:after="0"/>
              <w:rPr>
                <w:sz w:val="19"/>
                <w:szCs w:val="19"/>
                <w:color w:val="auto"/>
              </w:rPr>
            </w:pPr>
          </w:p>
        </w:tc>
        <w:tc>
          <w:tcPr>
            <w:tcW w:w="6960" w:type="dxa"/>
            <w:vAlign w:val="bottom"/>
            <w:tcBorders>
              <w:right w:val="single" w:sz="8" w:color="auto"/>
            </w:tcBorders>
          </w:tcPr>
          <w:p>
            <w:pPr>
              <w:spacing w:after="0"/>
              <w:rPr>
                <w:sz w:val="20"/>
                <w:szCs w:val="20"/>
                <w:color w:val="auto"/>
              </w:rPr>
            </w:pPr>
            <w:r>
              <w:rPr>
                <w:rFonts w:ascii="Arial" w:cs="Arial" w:eastAsia="Arial" w:hAnsi="Arial"/>
                <w:sz w:val="20"/>
                <w:szCs w:val="20"/>
                <w:color w:val="auto"/>
                <w:w w:val="99"/>
              </w:rPr>
              <w:t>division of Euronet Worldwide, Inc., and provides accounting and management</w:t>
            </w:r>
          </w:p>
        </w:tc>
      </w:tr>
      <w:tr>
        <w:trPr>
          <w:trHeight w:val="250"/>
        </w:trPr>
        <w:tc>
          <w:tcPr>
            <w:tcW w:w="362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PaySpot, Inc.</w:t>
            </w:r>
          </w:p>
        </w:tc>
        <w:tc>
          <w:tcPr>
            <w:tcW w:w="6960" w:type="dxa"/>
            <w:vAlign w:val="bottom"/>
            <w:tcBorders>
              <w:right w:val="single" w:sz="8" w:color="auto"/>
            </w:tcBorders>
          </w:tcPr>
          <w:p>
            <w:pPr>
              <w:spacing w:after="0"/>
              <w:rPr>
                <w:sz w:val="20"/>
                <w:szCs w:val="20"/>
                <w:color w:val="auto"/>
              </w:rPr>
            </w:pPr>
            <w:r>
              <w:rPr>
                <w:rFonts w:ascii="Arial" w:cs="Arial" w:eastAsia="Arial" w:hAnsi="Arial"/>
                <w:sz w:val="20"/>
                <w:szCs w:val="20"/>
                <w:color w:val="auto"/>
              </w:rPr>
              <w:t>services (a recharge of personnel costs) to EFT Americas, Inc.</w:t>
            </w:r>
          </w:p>
        </w:tc>
      </w:tr>
      <w:tr>
        <w:trPr>
          <w:trHeight w:val="23"/>
        </w:trPr>
        <w:tc>
          <w:tcPr>
            <w:tcW w:w="3620" w:type="dxa"/>
            <w:vAlign w:val="bottom"/>
            <w:tcBorders>
              <w:left w:val="single" w:sz="8" w:color="auto"/>
              <w:bottom w:val="single" w:sz="8" w:color="auto"/>
              <w:right w:val="single" w:sz="8" w:color="auto"/>
            </w:tcBorders>
          </w:tcPr>
          <w:p>
            <w:pPr>
              <w:spacing w:after="0"/>
              <w:rPr>
                <w:sz w:val="2"/>
                <w:szCs w:val="2"/>
                <w:color w:val="auto"/>
              </w:rPr>
            </w:pPr>
          </w:p>
        </w:tc>
        <w:tc>
          <w:tcPr>
            <w:tcW w:w="6960" w:type="dxa"/>
            <w:vAlign w:val="bottom"/>
            <w:tcBorders>
              <w:bottom w:val="single" w:sz="8" w:color="auto"/>
              <w:right w:val="single" w:sz="8" w:color="auto"/>
            </w:tcBorders>
          </w:tcPr>
          <w:p>
            <w:pPr>
              <w:spacing w:after="0"/>
              <w:rPr>
                <w:sz w:val="2"/>
                <w:szCs w:val="2"/>
                <w:color w:val="auto"/>
              </w:rPr>
            </w:pPr>
          </w:p>
        </w:tc>
      </w:tr>
      <w:tr>
        <w:trPr>
          <w:trHeight w:val="233"/>
        </w:trPr>
        <w:tc>
          <w:tcPr>
            <w:tcW w:w="3620" w:type="dxa"/>
            <w:vAlign w:val="bottom"/>
            <w:tcBorders>
              <w:left w:val="single" w:sz="8" w:color="auto"/>
              <w:right w:val="single" w:sz="8" w:color="auto"/>
            </w:tcBorders>
          </w:tcPr>
          <w:p>
            <w:pPr>
              <w:spacing w:after="0"/>
              <w:rPr>
                <w:sz w:val="20"/>
                <w:szCs w:val="20"/>
                <w:color w:val="auto"/>
              </w:rPr>
            </w:pPr>
          </w:p>
        </w:tc>
        <w:tc>
          <w:tcPr>
            <w:tcW w:w="6960" w:type="dxa"/>
            <w:vAlign w:val="bottom"/>
            <w:tcBorders>
              <w:right w:val="single" w:sz="8" w:color="auto"/>
            </w:tcBorders>
          </w:tcPr>
          <w:p>
            <w:pPr>
              <w:spacing w:after="0"/>
              <w:rPr>
                <w:sz w:val="20"/>
                <w:szCs w:val="20"/>
                <w:color w:val="auto"/>
              </w:rPr>
            </w:pPr>
            <w:r>
              <w:rPr>
                <w:rFonts w:ascii="Arial" w:cs="Arial" w:eastAsia="Arial" w:hAnsi="Arial"/>
                <w:sz w:val="20"/>
                <w:szCs w:val="20"/>
                <w:color w:val="auto"/>
                <w:w w:val="90"/>
              </w:rPr>
              <w:t>Provides support services and ATM DCC software licensing to Pure Commerce Korea</w:t>
            </w:r>
          </w:p>
        </w:tc>
      </w:tr>
      <w:tr>
        <w:trPr>
          <w:trHeight w:val="230"/>
        </w:trPr>
        <w:tc>
          <w:tcPr>
            <w:tcW w:w="3620" w:type="dxa"/>
            <w:vAlign w:val="bottom"/>
            <w:tcBorders>
              <w:left w:val="single" w:sz="8" w:color="auto"/>
              <w:right w:val="single" w:sz="8" w:color="auto"/>
            </w:tcBorders>
          </w:tcPr>
          <w:p>
            <w:pPr>
              <w:spacing w:after="0"/>
              <w:rPr>
                <w:sz w:val="19"/>
                <w:szCs w:val="19"/>
                <w:color w:val="auto"/>
              </w:rPr>
            </w:pPr>
          </w:p>
        </w:tc>
        <w:tc>
          <w:tcPr>
            <w:tcW w:w="6960" w:type="dxa"/>
            <w:vAlign w:val="bottom"/>
            <w:tcBorders>
              <w:right w:val="single" w:sz="8" w:color="auto"/>
            </w:tcBorders>
          </w:tcPr>
          <w:p>
            <w:pPr>
              <w:spacing w:after="0"/>
              <w:rPr>
                <w:sz w:val="20"/>
                <w:szCs w:val="20"/>
                <w:color w:val="auto"/>
              </w:rPr>
            </w:pPr>
            <w:r>
              <w:rPr>
                <w:rFonts w:ascii="Arial" w:cs="Arial" w:eastAsia="Arial" w:hAnsi="Arial"/>
                <w:sz w:val="20"/>
                <w:szCs w:val="20"/>
                <w:color w:val="auto"/>
                <w:w w:val="92"/>
              </w:rPr>
              <w:t>YH, software development services for Pure Commerce Pty Ltd, support services for</w:t>
            </w:r>
          </w:p>
        </w:tc>
      </w:tr>
      <w:tr>
        <w:trPr>
          <w:trHeight w:val="250"/>
        </w:trPr>
        <w:tc>
          <w:tcPr>
            <w:tcW w:w="362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Pure Commerce (S) Pte. Ltd.</w:t>
            </w:r>
          </w:p>
        </w:tc>
        <w:tc>
          <w:tcPr>
            <w:tcW w:w="6960" w:type="dxa"/>
            <w:vAlign w:val="bottom"/>
            <w:tcBorders>
              <w:right w:val="single" w:sz="8" w:color="auto"/>
            </w:tcBorders>
          </w:tcPr>
          <w:p>
            <w:pPr>
              <w:spacing w:after="0"/>
              <w:rPr>
                <w:sz w:val="20"/>
                <w:szCs w:val="20"/>
                <w:color w:val="auto"/>
              </w:rPr>
            </w:pPr>
            <w:r>
              <w:rPr>
                <w:rFonts w:ascii="Arial" w:cs="Arial" w:eastAsia="Arial" w:hAnsi="Arial"/>
                <w:sz w:val="20"/>
                <w:szCs w:val="20"/>
                <w:color w:val="auto"/>
                <w:w w:val="99"/>
              </w:rPr>
              <w:t>EFT Americas, Inc., and management services for the Pure Commerce Group.</w:t>
            </w:r>
          </w:p>
        </w:tc>
      </w:tr>
      <w:tr>
        <w:trPr>
          <w:trHeight w:val="23"/>
        </w:trPr>
        <w:tc>
          <w:tcPr>
            <w:tcW w:w="3620" w:type="dxa"/>
            <w:vAlign w:val="bottom"/>
            <w:tcBorders>
              <w:left w:val="single" w:sz="8" w:color="auto"/>
              <w:bottom w:val="single" w:sz="8" w:color="auto"/>
              <w:right w:val="single" w:sz="8" w:color="auto"/>
            </w:tcBorders>
          </w:tcPr>
          <w:p>
            <w:pPr>
              <w:spacing w:after="0"/>
              <w:rPr>
                <w:sz w:val="2"/>
                <w:szCs w:val="2"/>
                <w:color w:val="auto"/>
              </w:rPr>
            </w:pPr>
          </w:p>
        </w:tc>
        <w:tc>
          <w:tcPr>
            <w:tcW w:w="6960" w:type="dxa"/>
            <w:vAlign w:val="bottom"/>
            <w:tcBorders>
              <w:bottom w:val="single" w:sz="8" w:color="auto"/>
              <w:right w:val="single" w:sz="8" w:color="auto"/>
            </w:tcBorders>
          </w:tcPr>
          <w:p>
            <w:pPr>
              <w:spacing w:after="0"/>
              <w:rPr>
                <w:sz w:val="2"/>
                <w:szCs w:val="2"/>
                <w:color w:val="auto"/>
              </w:rPr>
            </w:pPr>
          </w:p>
        </w:tc>
      </w:tr>
      <w:tr>
        <w:trPr>
          <w:trHeight w:val="254"/>
        </w:trPr>
        <w:tc>
          <w:tcPr>
            <w:tcW w:w="362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Pure Commerce Korea YH</w:t>
            </w:r>
          </w:p>
        </w:tc>
        <w:tc>
          <w:tcPr>
            <w:tcW w:w="6960" w:type="dxa"/>
            <w:vAlign w:val="bottom"/>
            <w:tcBorders>
              <w:right w:val="single" w:sz="8" w:color="auto"/>
            </w:tcBorders>
          </w:tcPr>
          <w:p>
            <w:pPr>
              <w:spacing w:after="0"/>
              <w:rPr>
                <w:sz w:val="20"/>
                <w:szCs w:val="20"/>
                <w:color w:val="auto"/>
              </w:rPr>
            </w:pPr>
            <w:r>
              <w:rPr>
                <w:rFonts w:ascii="Arial" w:cs="Arial" w:eastAsia="Arial" w:hAnsi="Arial"/>
                <w:sz w:val="20"/>
                <w:szCs w:val="20"/>
                <w:color w:val="auto"/>
              </w:rPr>
              <w:t>Provides software development services for Pure Commerce Pty Ltd.</w:t>
            </w:r>
          </w:p>
        </w:tc>
      </w:tr>
      <w:tr>
        <w:trPr>
          <w:trHeight w:val="23"/>
        </w:trPr>
        <w:tc>
          <w:tcPr>
            <w:tcW w:w="3620" w:type="dxa"/>
            <w:vAlign w:val="bottom"/>
            <w:tcBorders>
              <w:left w:val="single" w:sz="8" w:color="auto"/>
              <w:bottom w:val="single" w:sz="8" w:color="auto"/>
              <w:right w:val="single" w:sz="8" w:color="auto"/>
            </w:tcBorders>
          </w:tcPr>
          <w:p>
            <w:pPr>
              <w:spacing w:after="0"/>
              <w:rPr>
                <w:sz w:val="2"/>
                <w:szCs w:val="2"/>
                <w:color w:val="auto"/>
              </w:rPr>
            </w:pPr>
          </w:p>
        </w:tc>
        <w:tc>
          <w:tcPr>
            <w:tcW w:w="6960" w:type="dxa"/>
            <w:vAlign w:val="bottom"/>
            <w:tcBorders>
              <w:bottom w:val="single" w:sz="8" w:color="auto"/>
              <w:right w:val="single" w:sz="8" w:color="auto"/>
            </w:tcBorders>
          </w:tcPr>
          <w:p>
            <w:pPr>
              <w:spacing w:after="0"/>
              <w:rPr>
                <w:sz w:val="2"/>
                <w:szCs w:val="2"/>
                <w:color w:val="auto"/>
              </w:rPr>
            </w:pPr>
          </w:p>
        </w:tc>
      </w:tr>
      <w:tr>
        <w:trPr>
          <w:trHeight w:val="233"/>
        </w:trPr>
        <w:tc>
          <w:tcPr>
            <w:tcW w:w="3620" w:type="dxa"/>
            <w:vAlign w:val="bottom"/>
            <w:tcBorders>
              <w:left w:val="single" w:sz="8" w:color="auto"/>
              <w:right w:val="single" w:sz="8" w:color="auto"/>
            </w:tcBorders>
          </w:tcPr>
          <w:p>
            <w:pPr>
              <w:spacing w:after="0"/>
              <w:rPr>
                <w:sz w:val="20"/>
                <w:szCs w:val="20"/>
                <w:color w:val="auto"/>
              </w:rPr>
            </w:pPr>
          </w:p>
        </w:tc>
        <w:tc>
          <w:tcPr>
            <w:tcW w:w="6960" w:type="dxa"/>
            <w:vAlign w:val="bottom"/>
            <w:tcBorders>
              <w:right w:val="single" w:sz="8" w:color="auto"/>
            </w:tcBorders>
          </w:tcPr>
          <w:p>
            <w:pPr>
              <w:spacing w:after="0"/>
              <w:rPr>
                <w:sz w:val="20"/>
                <w:szCs w:val="20"/>
                <w:color w:val="auto"/>
              </w:rPr>
            </w:pPr>
            <w:r>
              <w:rPr>
                <w:rFonts w:ascii="Arial" w:cs="Arial" w:eastAsia="Arial" w:hAnsi="Arial"/>
                <w:sz w:val="20"/>
                <w:szCs w:val="20"/>
                <w:color w:val="auto"/>
                <w:w w:val="94"/>
              </w:rPr>
              <w:t>Provides various platform and server hosting fees, DCC software licensing, support</w:t>
            </w:r>
          </w:p>
        </w:tc>
      </w:tr>
      <w:tr>
        <w:trPr>
          <w:trHeight w:val="230"/>
        </w:trPr>
        <w:tc>
          <w:tcPr>
            <w:tcW w:w="3620" w:type="dxa"/>
            <w:vAlign w:val="bottom"/>
            <w:tcBorders>
              <w:left w:val="single" w:sz="8" w:color="auto"/>
              <w:right w:val="single" w:sz="8" w:color="auto"/>
            </w:tcBorders>
          </w:tcPr>
          <w:p>
            <w:pPr>
              <w:spacing w:after="0"/>
              <w:rPr>
                <w:sz w:val="19"/>
                <w:szCs w:val="19"/>
                <w:color w:val="auto"/>
              </w:rPr>
            </w:pPr>
          </w:p>
        </w:tc>
        <w:tc>
          <w:tcPr>
            <w:tcW w:w="6960" w:type="dxa"/>
            <w:vAlign w:val="bottom"/>
            <w:tcBorders>
              <w:right w:val="single" w:sz="8" w:color="auto"/>
            </w:tcBorders>
          </w:tcPr>
          <w:p>
            <w:pPr>
              <w:spacing w:after="0"/>
              <w:rPr>
                <w:sz w:val="20"/>
                <w:szCs w:val="20"/>
                <w:color w:val="auto"/>
              </w:rPr>
            </w:pPr>
            <w:r>
              <w:rPr>
                <w:rFonts w:ascii="Arial" w:cs="Arial" w:eastAsia="Arial" w:hAnsi="Arial"/>
                <w:sz w:val="20"/>
                <w:szCs w:val="20"/>
                <w:color w:val="auto"/>
                <w:w w:val="95"/>
              </w:rPr>
              <w:t>services, and software development services to companies in the Pure Commerce</w:t>
            </w:r>
          </w:p>
        </w:tc>
      </w:tr>
      <w:tr>
        <w:trPr>
          <w:trHeight w:val="250"/>
        </w:trPr>
        <w:tc>
          <w:tcPr>
            <w:tcW w:w="362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Pure Commerce Pty Limited</w:t>
            </w:r>
          </w:p>
        </w:tc>
        <w:tc>
          <w:tcPr>
            <w:tcW w:w="6960" w:type="dxa"/>
            <w:vAlign w:val="bottom"/>
            <w:tcBorders>
              <w:right w:val="single" w:sz="8" w:color="auto"/>
            </w:tcBorders>
          </w:tcPr>
          <w:p>
            <w:pPr>
              <w:spacing w:after="0"/>
              <w:rPr>
                <w:sz w:val="20"/>
                <w:szCs w:val="20"/>
                <w:color w:val="auto"/>
              </w:rPr>
            </w:pPr>
            <w:r>
              <w:rPr>
                <w:rFonts w:ascii="Arial" w:cs="Arial" w:eastAsia="Arial" w:hAnsi="Arial"/>
                <w:sz w:val="20"/>
                <w:szCs w:val="20"/>
                <w:color w:val="auto"/>
              </w:rPr>
              <w:t>Group.</w:t>
            </w:r>
          </w:p>
        </w:tc>
      </w:tr>
      <w:tr>
        <w:trPr>
          <w:trHeight w:val="23"/>
        </w:trPr>
        <w:tc>
          <w:tcPr>
            <w:tcW w:w="3620" w:type="dxa"/>
            <w:vAlign w:val="bottom"/>
            <w:tcBorders>
              <w:left w:val="single" w:sz="8" w:color="auto"/>
              <w:bottom w:val="single" w:sz="8" w:color="auto"/>
              <w:right w:val="single" w:sz="8" w:color="auto"/>
            </w:tcBorders>
          </w:tcPr>
          <w:p>
            <w:pPr>
              <w:spacing w:after="0"/>
              <w:rPr>
                <w:sz w:val="2"/>
                <w:szCs w:val="2"/>
                <w:color w:val="auto"/>
              </w:rPr>
            </w:pPr>
          </w:p>
        </w:tc>
        <w:tc>
          <w:tcPr>
            <w:tcW w:w="6960" w:type="dxa"/>
            <w:vAlign w:val="bottom"/>
            <w:tcBorders>
              <w:bottom w:val="single" w:sz="8" w:color="auto"/>
              <w:right w:val="single" w:sz="8" w:color="auto"/>
            </w:tcBorders>
          </w:tcPr>
          <w:p>
            <w:pPr>
              <w:spacing w:after="0"/>
              <w:rPr>
                <w:sz w:val="2"/>
                <w:szCs w:val="2"/>
                <w:color w:val="auto"/>
              </w:rPr>
            </w:pPr>
          </w:p>
        </w:tc>
      </w:tr>
      <w:tr>
        <w:trPr>
          <w:trHeight w:val="233"/>
        </w:trPr>
        <w:tc>
          <w:tcPr>
            <w:tcW w:w="3620" w:type="dxa"/>
            <w:vAlign w:val="bottom"/>
            <w:tcBorders>
              <w:left w:val="single" w:sz="8" w:color="auto"/>
              <w:right w:val="single" w:sz="8" w:color="auto"/>
            </w:tcBorders>
          </w:tcPr>
          <w:p>
            <w:pPr>
              <w:spacing w:after="0"/>
              <w:rPr>
                <w:sz w:val="20"/>
                <w:szCs w:val="20"/>
                <w:color w:val="auto"/>
              </w:rPr>
            </w:pPr>
          </w:p>
        </w:tc>
        <w:tc>
          <w:tcPr>
            <w:tcW w:w="6960" w:type="dxa"/>
            <w:vAlign w:val="bottom"/>
            <w:tcBorders>
              <w:right w:val="single" w:sz="8" w:color="auto"/>
            </w:tcBorders>
          </w:tcPr>
          <w:p>
            <w:pPr>
              <w:spacing w:after="0"/>
              <w:rPr>
                <w:sz w:val="20"/>
                <w:szCs w:val="20"/>
                <w:color w:val="auto"/>
              </w:rPr>
            </w:pPr>
            <w:r>
              <w:rPr>
                <w:rFonts w:ascii="Arial" w:cs="Arial" w:eastAsia="Arial" w:hAnsi="Arial"/>
                <w:sz w:val="20"/>
                <w:szCs w:val="20"/>
                <w:color w:val="auto"/>
                <w:w w:val="91"/>
              </w:rPr>
              <w:t>Performs payout of money remittance orders for affiliates in Euronet Worldwide, Inc.'s</w:t>
            </w:r>
          </w:p>
        </w:tc>
      </w:tr>
      <w:tr>
        <w:trPr>
          <w:trHeight w:val="250"/>
        </w:trPr>
        <w:tc>
          <w:tcPr>
            <w:tcW w:w="362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Ria Chile Servicios Financieros SpA</w:t>
            </w:r>
          </w:p>
        </w:tc>
        <w:tc>
          <w:tcPr>
            <w:tcW w:w="6960" w:type="dxa"/>
            <w:vAlign w:val="bottom"/>
            <w:tcBorders>
              <w:right w:val="single" w:sz="8" w:color="auto"/>
            </w:tcBorders>
          </w:tcPr>
          <w:p>
            <w:pPr>
              <w:spacing w:after="0"/>
              <w:rPr>
                <w:sz w:val="20"/>
                <w:szCs w:val="20"/>
                <w:color w:val="auto"/>
              </w:rPr>
            </w:pPr>
            <w:r>
              <w:rPr>
                <w:rFonts w:ascii="Arial" w:cs="Arial" w:eastAsia="Arial" w:hAnsi="Arial"/>
                <w:sz w:val="20"/>
                <w:szCs w:val="20"/>
                <w:color w:val="auto"/>
              </w:rPr>
              <w:t>money transfer segment.</w:t>
            </w:r>
          </w:p>
        </w:tc>
      </w:tr>
      <w:tr>
        <w:trPr>
          <w:trHeight w:val="23"/>
        </w:trPr>
        <w:tc>
          <w:tcPr>
            <w:tcW w:w="3620" w:type="dxa"/>
            <w:vAlign w:val="bottom"/>
            <w:tcBorders>
              <w:left w:val="single" w:sz="8" w:color="auto"/>
              <w:bottom w:val="single" w:sz="8" w:color="auto"/>
              <w:right w:val="single" w:sz="8" w:color="auto"/>
            </w:tcBorders>
          </w:tcPr>
          <w:p>
            <w:pPr>
              <w:spacing w:after="0"/>
              <w:rPr>
                <w:sz w:val="2"/>
                <w:szCs w:val="2"/>
                <w:color w:val="auto"/>
              </w:rPr>
            </w:pPr>
          </w:p>
        </w:tc>
        <w:tc>
          <w:tcPr>
            <w:tcW w:w="6960" w:type="dxa"/>
            <w:vAlign w:val="bottom"/>
            <w:tcBorders>
              <w:bottom w:val="single" w:sz="8" w:color="auto"/>
              <w:right w:val="single" w:sz="8" w:color="auto"/>
            </w:tcBorders>
          </w:tcPr>
          <w:p>
            <w:pPr>
              <w:spacing w:after="0"/>
              <w:rPr>
                <w:sz w:val="2"/>
                <w:szCs w:val="2"/>
                <w:color w:val="auto"/>
              </w:rPr>
            </w:pPr>
          </w:p>
        </w:tc>
      </w:tr>
      <w:tr>
        <w:trPr>
          <w:trHeight w:val="233"/>
        </w:trPr>
        <w:tc>
          <w:tcPr>
            <w:tcW w:w="3620" w:type="dxa"/>
            <w:vAlign w:val="bottom"/>
            <w:tcBorders>
              <w:left w:val="single" w:sz="8" w:color="auto"/>
              <w:right w:val="single" w:sz="8" w:color="auto"/>
            </w:tcBorders>
          </w:tcPr>
          <w:p>
            <w:pPr>
              <w:spacing w:after="0"/>
              <w:rPr>
                <w:sz w:val="20"/>
                <w:szCs w:val="20"/>
                <w:color w:val="auto"/>
              </w:rPr>
            </w:pPr>
          </w:p>
        </w:tc>
        <w:tc>
          <w:tcPr>
            <w:tcW w:w="6960" w:type="dxa"/>
            <w:vAlign w:val="bottom"/>
            <w:tcBorders>
              <w:right w:val="single" w:sz="8" w:color="auto"/>
            </w:tcBorders>
          </w:tcPr>
          <w:p>
            <w:pPr>
              <w:spacing w:after="0"/>
              <w:rPr>
                <w:sz w:val="20"/>
                <w:szCs w:val="20"/>
                <w:color w:val="auto"/>
              </w:rPr>
            </w:pPr>
            <w:r>
              <w:rPr>
                <w:rFonts w:ascii="Arial" w:cs="Arial" w:eastAsia="Arial" w:hAnsi="Arial"/>
                <w:sz w:val="20"/>
                <w:szCs w:val="20"/>
                <w:color w:val="auto"/>
                <w:w w:val="98"/>
              </w:rPr>
              <w:t>Performs customer service, accounts receivable collection services, low level IT</w:t>
            </w:r>
          </w:p>
        </w:tc>
      </w:tr>
      <w:tr>
        <w:trPr>
          <w:trHeight w:val="230"/>
        </w:trPr>
        <w:tc>
          <w:tcPr>
            <w:tcW w:w="3620" w:type="dxa"/>
            <w:vAlign w:val="bottom"/>
            <w:tcBorders>
              <w:left w:val="single" w:sz="8" w:color="auto"/>
              <w:right w:val="single" w:sz="8" w:color="auto"/>
            </w:tcBorders>
          </w:tcPr>
          <w:p>
            <w:pPr>
              <w:spacing w:after="0"/>
              <w:rPr>
                <w:sz w:val="19"/>
                <w:szCs w:val="19"/>
                <w:color w:val="auto"/>
              </w:rPr>
            </w:pPr>
          </w:p>
        </w:tc>
        <w:tc>
          <w:tcPr>
            <w:tcW w:w="6960" w:type="dxa"/>
            <w:vAlign w:val="bottom"/>
            <w:tcBorders>
              <w:right w:val="single" w:sz="8" w:color="auto"/>
            </w:tcBorders>
          </w:tcPr>
          <w:p>
            <w:pPr>
              <w:spacing w:after="0"/>
              <w:rPr>
                <w:sz w:val="20"/>
                <w:szCs w:val="20"/>
                <w:color w:val="auto"/>
              </w:rPr>
            </w:pPr>
            <w:r>
              <w:rPr>
                <w:rFonts w:ascii="Arial" w:cs="Arial" w:eastAsia="Arial" w:hAnsi="Arial"/>
                <w:sz w:val="20"/>
                <w:szCs w:val="20"/>
                <w:color w:val="auto"/>
                <w:w w:val="97"/>
              </w:rPr>
              <w:t>support, and compliance review for affiliates in Euronet Worldwide, Inc.'s money</w:t>
            </w:r>
          </w:p>
        </w:tc>
      </w:tr>
      <w:tr>
        <w:trPr>
          <w:trHeight w:val="230"/>
        </w:trPr>
        <w:tc>
          <w:tcPr>
            <w:tcW w:w="3620" w:type="dxa"/>
            <w:vAlign w:val="bottom"/>
            <w:tcBorders>
              <w:left w:val="single" w:sz="8" w:color="auto"/>
              <w:right w:val="single" w:sz="8" w:color="auto"/>
            </w:tcBorders>
          </w:tcPr>
          <w:p>
            <w:pPr>
              <w:spacing w:after="0"/>
              <w:rPr>
                <w:sz w:val="19"/>
                <w:szCs w:val="19"/>
                <w:color w:val="auto"/>
              </w:rPr>
            </w:pPr>
          </w:p>
        </w:tc>
        <w:tc>
          <w:tcPr>
            <w:tcW w:w="6960" w:type="dxa"/>
            <w:vAlign w:val="bottom"/>
            <w:tcBorders>
              <w:right w:val="single" w:sz="8" w:color="auto"/>
            </w:tcBorders>
          </w:tcPr>
          <w:p>
            <w:pPr>
              <w:spacing w:after="0"/>
              <w:rPr>
                <w:sz w:val="20"/>
                <w:szCs w:val="20"/>
                <w:color w:val="auto"/>
              </w:rPr>
            </w:pPr>
            <w:r>
              <w:rPr>
                <w:rFonts w:ascii="Arial" w:cs="Arial" w:eastAsia="Arial" w:hAnsi="Arial"/>
                <w:sz w:val="20"/>
                <w:szCs w:val="20"/>
                <w:color w:val="auto"/>
                <w:w w:val="91"/>
              </w:rPr>
              <w:t>transfer segment, performs customer service, accounts receivable collection services,</w:t>
            </w:r>
          </w:p>
        </w:tc>
      </w:tr>
      <w:tr>
        <w:trPr>
          <w:trHeight w:val="230"/>
        </w:trPr>
        <w:tc>
          <w:tcPr>
            <w:tcW w:w="3620" w:type="dxa"/>
            <w:vAlign w:val="bottom"/>
            <w:tcBorders>
              <w:left w:val="single" w:sz="8" w:color="auto"/>
              <w:right w:val="single" w:sz="8" w:color="auto"/>
            </w:tcBorders>
          </w:tcPr>
          <w:p>
            <w:pPr>
              <w:spacing w:after="0"/>
              <w:rPr>
                <w:sz w:val="19"/>
                <w:szCs w:val="19"/>
                <w:color w:val="auto"/>
              </w:rPr>
            </w:pPr>
          </w:p>
        </w:tc>
        <w:tc>
          <w:tcPr>
            <w:tcW w:w="6960" w:type="dxa"/>
            <w:vAlign w:val="bottom"/>
            <w:tcBorders>
              <w:right w:val="single" w:sz="8" w:color="auto"/>
            </w:tcBorders>
          </w:tcPr>
          <w:p>
            <w:pPr>
              <w:spacing w:after="0"/>
              <w:rPr>
                <w:sz w:val="20"/>
                <w:szCs w:val="20"/>
                <w:color w:val="auto"/>
              </w:rPr>
            </w:pPr>
            <w:r>
              <w:rPr>
                <w:rFonts w:ascii="Arial" w:cs="Arial" w:eastAsia="Arial" w:hAnsi="Arial"/>
                <w:sz w:val="20"/>
                <w:szCs w:val="20"/>
                <w:color w:val="auto"/>
                <w:w w:val="93"/>
              </w:rPr>
              <w:t>and low level IT support for affiliates in Euronet Worldwide, Inc.'s epay segment and</w:t>
            </w:r>
          </w:p>
        </w:tc>
      </w:tr>
      <w:tr>
        <w:trPr>
          <w:trHeight w:val="250"/>
        </w:trPr>
        <w:tc>
          <w:tcPr>
            <w:tcW w:w="362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RIA de Centroamérica, S.A. de C.V.</w:t>
            </w:r>
          </w:p>
        </w:tc>
        <w:tc>
          <w:tcPr>
            <w:tcW w:w="6960" w:type="dxa"/>
            <w:vAlign w:val="bottom"/>
            <w:tcBorders>
              <w:right w:val="single" w:sz="8" w:color="auto"/>
            </w:tcBorders>
          </w:tcPr>
          <w:p>
            <w:pPr>
              <w:spacing w:after="0"/>
              <w:rPr>
                <w:sz w:val="20"/>
                <w:szCs w:val="20"/>
                <w:color w:val="auto"/>
              </w:rPr>
            </w:pPr>
            <w:r>
              <w:rPr>
                <w:rFonts w:ascii="Arial" w:cs="Arial" w:eastAsia="Arial" w:hAnsi="Arial"/>
                <w:sz w:val="20"/>
                <w:szCs w:val="20"/>
                <w:color w:val="auto"/>
              </w:rPr>
              <w:t>Pure Commerce Group.</w:t>
            </w:r>
          </w:p>
        </w:tc>
      </w:tr>
      <w:tr>
        <w:trPr>
          <w:trHeight w:val="23"/>
        </w:trPr>
        <w:tc>
          <w:tcPr>
            <w:tcW w:w="3620" w:type="dxa"/>
            <w:vAlign w:val="bottom"/>
            <w:tcBorders>
              <w:left w:val="single" w:sz="8" w:color="auto"/>
              <w:bottom w:val="single" w:sz="8" w:color="auto"/>
              <w:right w:val="single" w:sz="8" w:color="auto"/>
            </w:tcBorders>
          </w:tcPr>
          <w:p>
            <w:pPr>
              <w:spacing w:after="0"/>
              <w:rPr>
                <w:sz w:val="2"/>
                <w:szCs w:val="2"/>
                <w:color w:val="auto"/>
              </w:rPr>
            </w:pPr>
          </w:p>
        </w:tc>
        <w:tc>
          <w:tcPr>
            <w:tcW w:w="6960" w:type="dxa"/>
            <w:vAlign w:val="bottom"/>
            <w:tcBorders>
              <w:bottom w:val="single" w:sz="8" w:color="auto"/>
              <w:right w:val="single" w:sz="8" w:color="auto"/>
            </w:tcBorders>
          </w:tcPr>
          <w:p>
            <w:pPr>
              <w:spacing w:after="0"/>
              <w:rPr>
                <w:sz w:val="2"/>
                <w:szCs w:val="2"/>
                <w:color w:val="auto"/>
              </w:rPr>
            </w:pPr>
          </w:p>
        </w:tc>
      </w:tr>
      <w:tr>
        <w:trPr>
          <w:trHeight w:val="233"/>
        </w:trPr>
        <w:tc>
          <w:tcPr>
            <w:tcW w:w="3620" w:type="dxa"/>
            <w:vAlign w:val="bottom"/>
            <w:tcBorders>
              <w:left w:val="single" w:sz="8" w:color="auto"/>
              <w:right w:val="single" w:sz="8" w:color="auto"/>
            </w:tcBorders>
          </w:tcPr>
          <w:p>
            <w:pPr>
              <w:spacing w:after="0"/>
              <w:rPr>
                <w:sz w:val="20"/>
                <w:szCs w:val="20"/>
                <w:color w:val="auto"/>
              </w:rPr>
            </w:pPr>
          </w:p>
        </w:tc>
        <w:tc>
          <w:tcPr>
            <w:tcW w:w="6960" w:type="dxa"/>
            <w:vAlign w:val="bottom"/>
            <w:tcBorders>
              <w:right w:val="single" w:sz="8" w:color="auto"/>
            </w:tcBorders>
          </w:tcPr>
          <w:p>
            <w:pPr>
              <w:spacing w:after="0"/>
              <w:rPr>
                <w:sz w:val="20"/>
                <w:szCs w:val="20"/>
                <w:color w:val="auto"/>
              </w:rPr>
            </w:pPr>
            <w:r>
              <w:rPr>
                <w:rFonts w:ascii="Arial" w:cs="Arial" w:eastAsia="Arial" w:hAnsi="Arial"/>
                <w:sz w:val="20"/>
                <w:szCs w:val="20"/>
                <w:color w:val="auto"/>
                <w:w w:val="89"/>
              </w:rPr>
              <w:t>Acts as an agent for money remittance on behalf of Euronet Payment Services Ltd, and</w:t>
            </w:r>
          </w:p>
        </w:tc>
      </w:tr>
      <w:tr>
        <w:trPr>
          <w:trHeight w:val="230"/>
        </w:trPr>
        <w:tc>
          <w:tcPr>
            <w:tcW w:w="3620" w:type="dxa"/>
            <w:vAlign w:val="bottom"/>
            <w:tcBorders>
              <w:left w:val="single" w:sz="8" w:color="auto"/>
              <w:right w:val="single" w:sz="8" w:color="auto"/>
            </w:tcBorders>
          </w:tcPr>
          <w:p>
            <w:pPr>
              <w:spacing w:after="0"/>
              <w:rPr>
                <w:sz w:val="19"/>
                <w:szCs w:val="19"/>
                <w:color w:val="auto"/>
              </w:rPr>
            </w:pPr>
          </w:p>
        </w:tc>
        <w:tc>
          <w:tcPr>
            <w:tcW w:w="6960" w:type="dxa"/>
            <w:vAlign w:val="bottom"/>
            <w:tcBorders>
              <w:right w:val="single" w:sz="8" w:color="auto"/>
            </w:tcBorders>
          </w:tcPr>
          <w:p>
            <w:pPr>
              <w:spacing w:after="0"/>
              <w:rPr>
                <w:sz w:val="20"/>
                <w:szCs w:val="20"/>
                <w:color w:val="auto"/>
              </w:rPr>
            </w:pPr>
            <w:r>
              <w:rPr>
                <w:rFonts w:ascii="Arial" w:cs="Arial" w:eastAsia="Arial" w:hAnsi="Arial"/>
                <w:sz w:val="20"/>
                <w:szCs w:val="20"/>
                <w:color w:val="auto"/>
                <w:w w:val="91"/>
              </w:rPr>
              <w:t>performs payout of money remittance orders for affiliates in Euronet Worldwide, Inc.'s</w:t>
            </w:r>
          </w:p>
        </w:tc>
      </w:tr>
      <w:tr>
        <w:trPr>
          <w:trHeight w:val="250"/>
        </w:trPr>
        <w:tc>
          <w:tcPr>
            <w:tcW w:w="362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RIA Deutschland GmbH</w:t>
            </w:r>
          </w:p>
        </w:tc>
        <w:tc>
          <w:tcPr>
            <w:tcW w:w="6960" w:type="dxa"/>
            <w:vAlign w:val="bottom"/>
            <w:tcBorders>
              <w:right w:val="single" w:sz="8" w:color="auto"/>
            </w:tcBorders>
          </w:tcPr>
          <w:p>
            <w:pPr>
              <w:spacing w:after="0"/>
              <w:rPr>
                <w:sz w:val="20"/>
                <w:szCs w:val="20"/>
                <w:color w:val="auto"/>
              </w:rPr>
            </w:pPr>
            <w:r>
              <w:rPr>
                <w:rFonts w:ascii="Arial" w:cs="Arial" w:eastAsia="Arial" w:hAnsi="Arial"/>
                <w:sz w:val="20"/>
                <w:szCs w:val="20"/>
                <w:color w:val="auto"/>
              </w:rPr>
              <w:t>money transfer segment.</w:t>
            </w:r>
          </w:p>
        </w:tc>
      </w:tr>
      <w:tr>
        <w:trPr>
          <w:trHeight w:val="23"/>
        </w:trPr>
        <w:tc>
          <w:tcPr>
            <w:tcW w:w="3620" w:type="dxa"/>
            <w:vAlign w:val="bottom"/>
            <w:tcBorders>
              <w:left w:val="single" w:sz="8" w:color="auto"/>
              <w:bottom w:val="single" w:sz="8" w:color="auto"/>
              <w:right w:val="single" w:sz="8" w:color="auto"/>
            </w:tcBorders>
          </w:tcPr>
          <w:p>
            <w:pPr>
              <w:spacing w:after="0"/>
              <w:rPr>
                <w:sz w:val="2"/>
                <w:szCs w:val="2"/>
                <w:color w:val="auto"/>
              </w:rPr>
            </w:pPr>
          </w:p>
        </w:tc>
        <w:tc>
          <w:tcPr>
            <w:tcW w:w="6960" w:type="dxa"/>
            <w:vAlign w:val="bottom"/>
            <w:tcBorders>
              <w:bottom w:val="single" w:sz="8" w:color="auto"/>
              <w:right w:val="single" w:sz="8" w:color="auto"/>
            </w:tcBorders>
          </w:tcPr>
          <w:p>
            <w:pPr>
              <w:spacing w:after="0"/>
              <w:rPr>
                <w:sz w:val="2"/>
                <w:szCs w:val="2"/>
                <w:color w:val="auto"/>
              </w:rPr>
            </w:pPr>
          </w:p>
        </w:tc>
      </w:tr>
      <w:tr>
        <w:trPr>
          <w:trHeight w:val="233"/>
        </w:trPr>
        <w:tc>
          <w:tcPr>
            <w:tcW w:w="3620" w:type="dxa"/>
            <w:vAlign w:val="bottom"/>
            <w:tcBorders>
              <w:left w:val="single" w:sz="8" w:color="auto"/>
              <w:right w:val="single" w:sz="8" w:color="auto"/>
            </w:tcBorders>
          </w:tcPr>
          <w:p>
            <w:pPr>
              <w:spacing w:after="0"/>
              <w:rPr>
                <w:sz w:val="20"/>
                <w:szCs w:val="20"/>
                <w:color w:val="auto"/>
              </w:rPr>
            </w:pPr>
          </w:p>
        </w:tc>
        <w:tc>
          <w:tcPr>
            <w:tcW w:w="6960" w:type="dxa"/>
            <w:vAlign w:val="bottom"/>
            <w:tcBorders>
              <w:right w:val="single" w:sz="8" w:color="auto"/>
            </w:tcBorders>
          </w:tcPr>
          <w:p>
            <w:pPr>
              <w:spacing w:after="0"/>
              <w:rPr>
                <w:sz w:val="20"/>
                <w:szCs w:val="20"/>
                <w:color w:val="auto"/>
              </w:rPr>
            </w:pPr>
            <w:r>
              <w:rPr>
                <w:rFonts w:ascii="Arial" w:cs="Arial" w:eastAsia="Arial" w:hAnsi="Arial"/>
                <w:sz w:val="20"/>
                <w:szCs w:val="20"/>
                <w:color w:val="auto"/>
                <w:w w:val="89"/>
              </w:rPr>
              <w:t>Acts as an agent for money remittance on behalf of Euronet Payment Services Ltd, and</w:t>
            </w:r>
          </w:p>
        </w:tc>
      </w:tr>
      <w:tr>
        <w:trPr>
          <w:trHeight w:val="230"/>
        </w:trPr>
        <w:tc>
          <w:tcPr>
            <w:tcW w:w="362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RIA Envia Financial Services Belgium</w:t>
            </w:r>
          </w:p>
        </w:tc>
        <w:tc>
          <w:tcPr>
            <w:tcW w:w="6960" w:type="dxa"/>
            <w:vAlign w:val="bottom"/>
            <w:tcBorders>
              <w:right w:val="single" w:sz="8" w:color="auto"/>
            </w:tcBorders>
          </w:tcPr>
          <w:p>
            <w:pPr>
              <w:spacing w:after="0"/>
              <w:rPr>
                <w:sz w:val="20"/>
                <w:szCs w:val="20"/>
                <w:color w:val="auto"/>
              </w:rPr>
            </w:pPr>
            <w:r>
              <w:rPr>
                <w:rFonts w:ascii="Arial" w:cs="Arial" w:eastAsia="Arial" w:hAnsi="Arial"/>
                <w:sz w:val="20"/>
                <w:szCs w:val="20"/>
                <w:color w:val="auto"/>
                <w:w w:val="91"/>
              </w:rPr>
              <w:t>performs payout of money remittance orders for affiliates in Euronet Worldwide, Inc.'s</w:t>
            </w:r>
          </w:p>
        </w:tc>
      </w:tr>
      <w:tr>
        <w:trPr>
          <w:trHeight w:val="250"/>
        </w:trPr>
        <w:tc>
          <w:tcPr>
            <w:tcW w:w="362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SPRL</w:t>
            </w:r>
          </w:p>
        </w:tc>
        <w:tc>
          <w:tcPr>
            <w:tcW w:w="6960" w:type="dxa"/>
            <w:vAlign w:val="bottom"/>
            <w:tcBorders>
              <w:right w:val="single" w:sz="8" w:color="auto"/>
            </w:tcBorders>
          </w:tcPr>
          <w:p>
            <w:pPr>
              <w:spacing w:after="0"/>
              <w:rPr>
                <w:sz w:val="20"/>
                <w:szCs w:val="20"/>
                <w:color w:val="auto"/>
              </w:rPr>
            </w:pPr>
            <w:r>
              <w:rPr>
                <w:rFonts w:ascii="Arial" w:cs="Arial" w:eastAsia="Arial" w:hAnsi="Arial"/>
                <w:sz w:val="20"/>
                <w:szCs w:val="20"/>
                <w:color w:val="auto"/>
              </w:rPr>
              <w:t>money transfer segment.</w:t>
            </w:r>
          </w:p>
        </w:tc>
      </w:tr>
      <w:tr>
        <w:trPr>
          <w:trHeight w:val="23"/>
        </w:trPr>
        <w:tc>
          <w:tcPr>
            <w:tcW w:w="3620" w:type="dxa"/>
            <w:vAlign w:val="bottom"/>
            <w:tcBorders>
              <w:left w:val="single" w:sz="8" w:color="auto"/>
              <w:bottom w:val="single" w:sz="8" w:color="auto"/>
              <w:right w:val="single" w:sz="8" w:color="auto"/>
            </w:tcBorders>
          </w:tcPr>
          <w:p>
            <w:pPr>
              <w:spacing w:after="0"/>
              <w:rPr>
                <w:sz w:val="2"/>
                <w:szCs w:val="2"/>
                <w:color w:val="auto"/>
              </w:rPr>
            </w:pPr>
          </w:p>
        </w:tc>
        <w:tc>
          <w:tcPr>
            <w:tcW w:w="6960" w:type="dxa"/>
            <w:vAlign w:val="bottom"/>
            <w:tcBorders>
              <w:bottom w:val="single" w:sz="8" w:color="auto"/>
              <w:right w:val="single" w:sz="8" w:color="auto"/>
            </w:tcBorders>
          </w:tcPr>
          <w:p>
            <w:pPr>
              <w:spacing w:after="0"/>
              <w:rPr>
                <w:sz w:val="2"/>
                <w:szCs w:val="2"/>
                <w:color w:val="auto"/>
              </w:rPr>
            </w:pPr>
          </w:p>
        </w:tc>
      </w:tr>
      <w:tr>
        <w:trPr>
          <w:trHeight w:val="233"/>
        </w:trPr>
        <w:tc>
          <w:tcPr>
            <w:tcW w:w="3620" w:type="dxa"/>
            <w:vAlign w:val="bottom"/>
            <w:tcBorders>
              <w:left w:val="single" w:sz="8" w:color="auto"/>
              <w:right w:val="single" w:sz="8" w:color="auto"/>
            </w:tcBorders>
          </w:tcPr>
          <w:p>
            <w:pPr>
              <w:spacing w:after="0"/>
              <w:rPr>
                <w:sz w:val="20"/>
                <w:szCs w:val="20"/>
                <w:color w:val="auto"/>
              </w:rPr>
            </w:pPr>
          </w:p>
        </w:tc>
        <w:tc>
          <w:tcPr>
            <w:tcW w:w="6960" w:type="dxa"/>
            <w:vAlign w:val="bottom"/>
            <w:tcBorders>
              <w:right w:val="single" w:sz="8" w:color="auto"/>
            </w:tcBorders>
          </w:tcPr>
          <w:p>
            <w:pPr>
              <w:spacing w:after="0"/>
              <w:rPr>
                <w:sz w:val="20"/>
                <w:szCs w:val="20"/>
                <w:color w:val="auto"/>
              </w:rPr>
            </w:pPr>
            <w:r>
              <w:rPr>
                <w:rFonts w:ascii="Arial" w:cs="Arial" w:eastAsia="Arial" w:hAnsi="Arial"/>
                <w:sz w:val="20"/>
                <w:szCs w:val="20"/>
                <w:color w:val="auto"/>
                <w:w w:val="91"/>
              </w:rPr>
              <w:t>Performs payout of money remittance orders for affiliates in Euronet Worldwide, Inc.'s</w:t>
            </w:r>
          </w:p>
        </w:tc>
      </w:tr>
      <w:tr>
        <w:trPr>
          <w:trHeight w:val="230"/>
        </w:trPr>
        <w:tc>
          <w:tcPr>
            <w:tcW w:w="3620" w:type="dxa"/>
            <w:vAlign w:val="bottom"/>
            <w:tcBorders>
              <w:left w:val="single" w:sz="8" w:color="auto"/>
              <w:right w:val="single" w:sz="8" w:color="auto"/>
            </w:tcBorders>
          </w:tcPr>
          <w:p>
            <w:pPr>
              <w:spacing w:after="0"/>
              <w:rPr>
                <w:sz w:val="19"/>
                <w:szCs w:val="19"/>
                <w:color w:val="auto"/>
              </w:rPr>
            </w:pPr>
          </w:p>
        </w:tc>
        <w:tc>
          <w:tcPr>
            <w:tcW w:w="6960" w:type="dxa"/>
            <w:vAlign w:val="bottom"/>
            <w:tcBorders>
              <w:right w:val="single" w:sz="8" w:color="auto"/>
            </w:tcBorders>
          </w:tcPr>
          <w:p>
            <w:pPr>
              <w:spacing w:after="0"/>
              <w:rPr>
                <w:sz w:val="20"/>
                <w:szCs w:val="20"/>
                <w:color w:val="auto"/>
              </w:rPr>
            </w:pPr>
            <w:r>
              <w:rPr>
                <w:rFonts w:ascii="Arial" w:cs="Arial" w:eastAsia="Arial" w:hAnsi="Arial"/>
                <w:sz w:val="20"/>
                <w:szCs w:val="20"/>
                <w:color w:val="auto"/>
                <w:w w:val="94"/>
              </w:rPr>
              <w:t>money transfer segment, and performs operations services (recharge of personnel</w:t>
            </w:r>
          </w:p>
        </w:tc>
      </w:tr>
      <w:tr>
        <w:trPr>
          <w:trHeight w:val="250"/>
        </w:trPr>
        <w:tc>
          <w:tcPr>
            <w:tcW w:w="362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RIA Financial Services AG</w:t>
            </w:r>
          </w:p>
        </w:tc>
        <w:tc>
          <w:tcPr>
            <w:tcW w:w="6960" w:type="dxa"/>
            <w:vAlign w:val="bottom"/>
            <w:tcBorders>
              <w:right w:val="single" w:sz="8" w:color="auto"/>
            </w:tcBorders>
          </w:tcPr>
          <w:p>
            <w:pPr>
              <w:spacing w:after="0"/>
              <w:rPr>
                <w:sz w:val="20"/>
                <w:szCs w:val="20"/>
                <w:color w:val="auto"/>
              </w:rPr>
            </w:pPr>
            <w:r>
              <w:rPr>
                <w:rFonts w:ascii="Arial" w:cs="Arial" w:eastAsia="Arial" w:hAnsi="Arial"/>
                <w:sz w:val="20"/>
                <w:szCs w:val="20"/>
                <w:color w:val="auto"/>
              </w:rPr>
              <w:t>costs) to Pure-Commerce Ltd.</w:t>
            </w:r>
          </w:p>
        </w:tc>
      </w:tr>
      <w:tr>
        <w:trPr>
          <w:trHeight w:val="23"/>
        </w:trPr>
        <w:tc>
          <w:tcPr>
            <w:tcW w:w="3620" w:type="dxa"/>
            <w:vAlign w:val="bottom"/>
            <w:tcBorders>
              <w:left w:val="single" w:sz="8" w:color="auto"/>
              <w:bottom w:val="single" w:sz="8" w:color="auto"/>
              <w:right w:val="single" w:sz="8" w:color="auto"/>
            </w:tcBorders>
          </w:tcPr>
          <w:p>
            <w:pPr>
              <w:spacing w:after="0"/>
              <w:rPr>
                <w:sz w:val="2"/>
                <w:szCs w:val="2"/>
                <w:color w:val="auto"/>
              </w:rPr>
            </w:pPr>
          </w:p>
        </w:tc>
        <w:tc>
          <w:tcPr>
            <w:tcW w:w="6960" w:type="dxa"/>
            <w:vAlign w:val="bottom"/>
            <w:tcBorders>
              <w:bottom w:val="single" w:sz="8" w:color="auto"/>
              <w:right w:val="single" w:sz="8" w:color="auto"/>
            </w:tcBorders>
          </w:tcPr>
          <w:p>
            <w:pPr>
              <w:spacing w:after="0"/>
              <w:rPr>
                <w:sz w:val="2"/>
                <w:szCs w:val="2"/>
                <w:color w:val="auto"/>
              </w:rPr>
            </w:pPr>
          </w:p>
        </w:tc>
      </w:tr>
      <w:tr>
        <w:trPr>
          <w:trHeight w:val="233"/>
        </w:trPr>
        <w:tc>
          <w:tcPr>
            <w:tcW w:w="3620" w:type="dxa"/>
            <w:vAlign w:val="bottom"/>
            <w:tcBorders>
              <w:left w:val="single" w:sz="8" w:color="auto"/>
              <w:right w:val="single" w:sz="8" w:color="auto"/>
            </w:tcBorders>
          </w:tcPr>
          <w:p>
            <w:pPr>
              <w:spacing w:after="0"/>
              <w:rPr>
                <w:sz w:val="20"/>
                <w:szCs w:val="20"/>
                <w:color w:val="auto"/>
              </w:rPr>
            </w:pPr>
          </w:p>
        </w:tc>
        <w:tc>
          <w:tcPr>
            <w:tcW w:w="6960" w:type="dxa"/>
            <w:vAlign w:val="bottom"/>
            <w:tcBorders>
              <w:right w:val="single" w:sz="8" w:color="auto"/>
            </w:tcBorders>
          </w:tcPr>
          <w:p>
            <w:pPr>
              <w:spacing w:after="0"/>
              <w:rPr>
                <w:sz w:val="20"/>
                <w:szCs w:val="20"/>
                <w:color w:val="auto"/>
              </w:rPr>
            </w:pPr>
            <w:r>
              <w:rPr>
                <w:rFonts w:ascii="Arial" w:cs="Arial" w:eastAsia="Arial" w:hAnsi="Arial"/>
                <w:sz w:val="20"/>
                <w:szCs w:val="20"/>
                <w:color w:val="auto"/>
                <w:w w:val="91"/>
              </w:rPr>
              <w:t>Performs payout of money remittance orders for affiliates in Euronet Worldwide, Inc.'s</w:t>
            </w:r>
          </w:p>
        </w:tc>
      </w:tr>
      <w:tr>
        <w:trPr>
          <w:trHeight w:val="230"/>
        </w:trPr>
        <w:tc>
          <w:tcPr>
            <w:tcW w:w="3620" w:type="dxa"/>
            <w:vAlign w:val="bottom"/>
            <w:tcBorders>
              <w:left w:val="single" w:sz="8" w:color="auto"/>
              <w:right w:val="single" w:sz="8" w:color="auto"/>
            </w:tcBorders>
          </w:tcPr>
          <w:p>
            <w:pPr>
              <w:spacing w:after="0"/>
              <w:rPr>
                <w:sz w:val="19"/>
                <w:szCs w:val="19"/>
                <w:color w:val="auto"/>
              </w:rPr>
            </w:pPr>
          </w:p>
        </w:tc>
        <w:tc>
          <w:tcPr>
            <w:tcW w:w="6960" w:type="dxa"/>
            <w:vAlign w:val="bottom"/>
            <w:tcBorders>
              <w:right w:val="single" w:sz="8" w:color="auto"/>
            </w:tcBorders>
          </w:tcPr>
          <w:p>
            <w:pPr>
              <w:spacing w:after="0"/>
              <w:rPr>
                <w:sz w:val="20"/>
                <w:szCs w:val="20"/>
                <w:color w:val="auto"/>
              </w:rPr>
            </w:pPr>
            <w:r>
              <w:rPr>
                <w:rFonts w:ascii="Arial" w:cs="Arial" w:eastAsia="Arial" w:hAnsi="Arial"/>
                <w:sz w:val="20"/>
                <w:szCs w:val="20"/>
                <w:color w:val="auto"/>
                <w:w w:val="95"/>
              </w:rPr>
              <w:t>money transfer segment, and performs management and support services for RIA</w:t>
            </w:r>
          </w:p>
        </w:tc>
      </w:tr>
      <w:tr>
        <w:trPr>
          <w:trHeight w:val="250"/>
        </w:trPr>
        <w:tc>
          <w:tcPr>
            <w:tcW w:w="362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w w:val="97"/>
              </w:rPr>
              <w:t>RIA Financial Services Australia Pty. Ltd.</w:t>
            </w:r>
          </w:p>
        </w:tc>
        <w:tc>
          <w:tcPr>
            <w:tcW w:w="6960" w:type="dxa"/>
            <w:vAlign w:val="bottom"/>
            <w:tcBorders>
              <w:right w:val="single" w:sz="8" w:color="auto"/>
            </w:tcBorders>
          </w:tcPr>
          <w:p>
            <w:pPr>
              <w:spacing w:after="0"/>
              <w:rPr>
                <w:sz w:val="20"/>
                <w:szCs w:val="20"/>
                <w:color w:val="auto"/>
              </w:rPr>
            </w:pPr>
            <w:r>
              <w:rPr>
                <w:rFonts w:ascii="Arial" w:cs="Arial" w:eastAsia="Arial" w:hAnsi="Arial"/>
                <w:sz w:val="20"/>
                <w:szCs w:val="20"/>
                <w:color w:val="auto"/>
              </w:rPr>
              <w:t>Financial Services New Zealand Limited.</w:t>
            </w:r>
          </w:p>
        </w:tc>
      </w:tr>
      <w:tr>
        <w:trPr>
          <w:trHeight w:val="23"/>
        </w:trPr>
        <w:tc>
          <w:tcPr>
            <w:tcW w:w="3620" w:type="dxa"/>
            <w:vAlign w:val="bottom"/>
            <w:tcBorders>
              <w:left w:val="single" w:sz="8" w:color="auto"/>
              <w:bottom w:val="single" w:sz="8" w:color="auto"/>
              <w:right w:val="single" w:sz="8" w:color="auto"/>
            </w:tcBorders>
          </w:tcPr>
          <w:p>
            <w:pPr>
              <w:spacing w:after="0"/>
              <w:rPr>
                <w:sz w:val="2"/>
                <w:szCs w:val="2"/>
                <w:color w:val="auto"/>
              </w:rPr>
            </w:pPr>
          </w:p>
        </w:tc>
        <w:tc>
          <w:tcPr>
            <w:tcW w:w="6960" w:type="dxa"/>
            <w:vAlign w:val="bottom"/>
            <w:tcBorders>
              <w:bottom w:val="single" w:sz="8" w:color="auto"/>
              <w:right w:val="single" w:sz="8" w:color="auto"/>
            </w:tcBorders>
          </w:tcPr>
          <w:p>
            <w:pPr>
              <w:spacing w:after="0"/>
              <w:rPr>
                <w:sz w:val="2"/>
                <w:szCs w:val="2"/>
                <w:color w:val="auto"/>
              </w:rPr>
            </w:pPr>
          </w:p>
        </w:tc>
      </w:tr>
    </w:tbl>
    <w:p>
      <w:pPr>
        <w:sectPr>
          <w:pgSz w:w="11900" w:h="16838" w:orient="portrait"/>
          <w:cols w:equalWidth="0" w:num="1">
            <w:col w:w="10580"/>
          </w:cols>
          <w:pgMar w:left="680" w:top="498" w:right="639" w:bottom="1440" w:gutter="0" w:footer="0" w:header="0"/>
        </w:sectPr>
      </w:pPr>
    </w:p>
    <w:bookmarkStart w:id="296" w:name="page297"/>
    <w:bookmarkEnd w:id="296"/>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53"/>
        </w:trPr>
        <w:tc>
          <w:tcPr>
            <w:tcW w:w="3620" w:type="dxa"/>
            <w:vAlign w:val="bottom"/>
            <w:tcBorders>
              <w:top w:val="single" w:sz="8" w:color="auto"/>
              <w:left w:val="single" w:sz="8" w:color="auto"/>
              <w:right w:val="single" w:sz="8" w:color="auto"/>
            </w:tcBorders>
          </w:tcPr>
          <w:p>
            <w:pPr>
              <w:spacing w:after="0"/>
              <w:rPr>
                <w:sz w:val="22"/>
                <w:szCs w:val="22"/>
                <w:color w:val="auto"/>
              </w:rPr>
            </w:pPr>
          </w:p>
        </w:tc>
        <w:tc>
          <w:tcPr>
            <w:tcW w:w="6960" w:type="dxa"/>
            <w:vAlign w:val="bottom"/>
            <w:tcBorders>
              <w:top w:val="single" w:sz="8" w:color="auto"/>
              <w:right w:val="single" w:sz="8" w:color="auto"/>
            </w:tcBorders>
          </w:tcPr>
          <w:p>
            <w:pPr>
              <w:spacing w:after="0"/>
              <w:rPr>
                <w:sz w:val="20"/>
                <w:szCs w:val="20"/>
                <w:color w:val="auto"/>
              </w:rPr>
            </w:pPr>
            <w:r>
              <w:rPr>
                <w:rFonts w:ascii="Arial" w:cs="Arial" w:eastAsia="Arial" w:hAnsi="Arial"/>
                <w:sz w:val="20"/>
                <w:szCs w:val="20"/>
                <w:color w:val="auto"/>
                <w:w w:val="89"/>
              </w:rPr>
              <w:t>Acts as an agent for money remittance on behalf of Euronet Payment Services Ltd, and</w:t>
            </w:r>
          </w:p>
        </w:tc>
      </w:tr>
      <w:tr>
        <w:trPr>
          <w:trHeight w:val="230"/>
        </w:trPr>
        <w:tc>
          <w:tcPr>
            <w:tcW w:w="3620" w:type="dxa"/>
            <w:vAlign w:val="bottom"/>
            <w:tcBorders>
              <w:left w:val="single" w:sz="8" w:color="auto"/>
              <w:right w:val="single" w:sz="8" w:color="auto"/>
            </w:tcBorders>
          </w:tcPr>
          <w:p>
            <w:pPr>
              <w:spacing w:after="0"/>
              <w:rPr>
                <w:sz w:val="19"/>
                <w:szCs w:val="19"/>
                <w:color w:val="auto"/>
              </w:rPr>
            </w:pPr>
          </w:p>
        </w:tc>
        <w:tc>
          <w:tcPr>
            <w:tcW w:w="6960" w:type="dxa"/>
            <w:vAlign w:val="bottom"/>
            <w:tcBorders>
              <w:right w:val="single" w:sz="8" w:color="auto"/>
            </w:tcBorders>
          </w:tcPr>
          <w:p>
            <w:pPr>
              <w:spacing w:after="0"/>
              <w:rPr>
                <w:sz w:val="20"/>
                <w:szCs w:val="20"/>
                <w:color w:val="auto"/>
              </w:rPr>
            </w:pPr>
            <w:r>
              <w:rPr>
                <w:rFonts w:ascii="Arial" w:cs="Arial" w:eastAsia="Arial" w:hAnsi="Arial"/>
                <w:sz w:val="20"/>
                <w:szCs w:val="20"/>
                <w:color w:val="auto"/>
                <w:w w:val="91"/>
              </w:rPr>
              <w:t>performs payout of money remittance orders for affiliates in Euronet Worldwide, Inc.'s</w:t>
            </w:r>
          </w:p>
        </w:tc>
      </w:tr>
      <w:tr>
        <w:trPr>
          <w:trHeight w:val="250"/>
        </w:trPr>
        <w:tc>
          <w:tcPr>
            <w:tcW w:w="362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RIA Financial Services Ireland Ltd</w:t>
            </w:r>
          </w:p>
        </w:tc>
        <w:tc>
          <w:tcPr>
            <w:tcW w:w="6960" w:type="dxa"/>
            <w:vAlign w:val="bottom"/>
            <w:tcBorders>
              <w:right w:val="single" w:sz="8" w:color="auto"/>
            </w:tcBorders>
          </w:tcPr>
          <w:p>
            <w:pPr>
              <w:spacing w:after="0"/>
              <w:rPr>
                <w:sz w:val="20"/>
                <w:szCs w:val="20"/>
                <w:color w:val="auto"/>
              </w:rPr>
            </w:pPr>
            <w:r>
              <w:rPr>
                <w:rFonts w:ascii="Arial" w:cs="Arial" w:eastAsia="Arial" w:hAnsi="Arial"/>
                <w:sz w:val="20"/>
                <w:szCs w:val="20"/>
                <w:color w:val="auto"/>
              </w:rPr>
              <w:t>money transfer segment.</w:t>
            </w:r>
          </w:p>
        </w:tc>
      </w:tr>
      <w:tr>
        <w:trPr>
          <w:trHeight w:val="23"/>
        </w:trPr>
        <w:tc>
          <w:tcPr>
            <w:tcW w:w="3620" w:type="dxa"/>
            <w:vAlign w:val="bottom"/>
            <w:tcBorders>
              <w:left w:val="single" w:sz="8" w:color="auto"/>
              <w:bottom w:val="single" w:sz="8" w:color="auto"/>
              <w:right w:val="single" w:sz="8" w:color="auto"/>
            </w:tcBorders>
          </w:tcPr>
          <w:p>
            <w:pPr>
              <w:spacing w:after="0"/>
              <w:rPr>
                <w:sz w:val="2"/>
                <w:szCs w:val="2"/>
                <w:color w:val="auto"/>
              </w:rPr>
            </w:pPr>
          </w:p>
        </w:tc>
        <w:tc>
          <w:tcPr>
            <w:tcW w:w="6960" w:type="dxa"/>
            <w:vAlign w:val="bottom"/>
            <w:tcBorders>
              <w:bottom w:val="single" w:sz="8" w:color="auto"/>
              <w:right w:val="single" w:sz="8" w:color="auto"/>
            </w:tcBorders>
          </w:tcPr>
          <w:p>
            <w:pPr>
              <w:spacing w:after="0"/>
              <w:rPr>
                <w:sz w:val="2"/>
                <w:szCs w:val="2"/>
                <w:color w:val="auto"/>
              </w:rPr>
            </w:pPr>
          </w:p>
        </w:tc>
      </w:tr>
      <w:tr>
        <w:trPr>
          <w:trHeight w:val="233"/>
        </w:trPr>
        <w:tc>
          <w:tcPr>
            <w:tcW w:w="3620" w:type="dxa"/>
            <w:vAlign w:val="bottom"/>
            <w:tcBorders>
              <w:left w:val="single" w:sz="8" w:color="auto"/>
              <w:right w:val="single" w:sz="8" w:color="auto"/>
            </w:tcBorders>
          </w:tcPr>
          <w:p>
            <w:pPr>
              <w:spacing w:after="0"/>
              <w:rPr>
                <w:sz w:val="20"/>
                <w:szCs w:val="20"/>
                <w:color w:val="auto"/>
              </w:rPr>
            </w:pPr>
          </w:p>
        </w:tc>
        <w:tc>
          <w:tcPr>
            <w:tcW w:w="6960" w:type="dxa"/>
            <w:vAlign w:val="bottom"/>
            <w:tcBorders>
              <w:right w:val="single" w:sz="8" w:color="auto"/>
            </w:tcBorders>
          </w:tcPr>
          <w:p>
            <w:pPr>
              <w:spacing w:after="0"/>
              <w:rPr>
                <w:sz w:val="20"/>
                <w:szCs w:val="20"/>
                <w:color w:val="auto"/>
              </w:rPr>
            </w:pPr>
            <w:r>
              <w:rPr>
                <w:rFonts w:ascii="Arial" w:cs="Arial" w:eastAsia="Arial" w:hAnsi="Arial"/>
                <w:sz w:val="20"/>
                <w:szCs w:val="20"/>
                <w:color w:val="auto"/>
                <w:w w:val="89"/>
              </w:rPr>
              <w:t>Acts as an agent for money remittance on behalf of Euronet Payment Services Ltd, and</w:t>
            </w:r>
          </w:p>
        </w:tc>
      </w:tr>
      <w:tr>
        <w:trPr>
          <w:trHeight w:val="230"/>
        </w:trPr>
        <w:tc>
          <w:tcPr>
            <w:tcW w:w="3620" w:type="dxa"/>
            <w:vAlign w:val="bottom"/>
            <w:tcBorders>
              <w:left w:val="single" w:sz="8" w:color="auto"/>
              <w:right w:val="single" w:sz="8" w:color="auto"/>
            </w:tcBorders>
          </w:tcPr>
          <w:p>
            <w:pPr>
              <w:spacing w:after="0"/>
              <w:rPr>
                <w:sz w:val="19"/>
                <w:szCs w:val="19"/>
                <w:color w:val="auto"/>
              </w:rPr>
            </w:pPr>
          </w:p>
        </w:tc>
        <w:tc>
          <w:tcPr>
            <w:tcW w:w="6960" w:type="dxa"/>
            <w:vAlign w:val="bottom"/>
            <w:tcBorders>
              <w:right w:val="single" w:sz="8" w:color="auto"/>
            </w:tcBorders>
          </w:tcPr>
          <w:p>
            <w:pPr>
              <w:spacing w:after="0"/>
              <w:rPr>
                <w:sz w:val="20"/>
                <w:szCs w:val="20"/>
                <w:color w:val="auto"/>
              </w:rPr>
            </w:pPr>
            <w:r>
              <w:rPr>
                <w:rFonts w:ascii="Arial" w:cs="Arial" w:eastAsia="Arial" w:hAnsi="Arial"/>
                <w:sz w:val="20"/>
                <w:szCs w:val="20"/>
                <w:color w:val="auto"/>
                <w:w w:val="91"/>
              </w:rPr>
              <w:t>performs payout of money remittance orders for affiliates in Euronet Worldwide, Inc.'s</w:t>
            </w:r>
          </w:p>
        </w:tc>
      </w:tr>
      <w:tr>
        <w:trPr>
          <w:trHeight w:val="250"/>
        </w:trPr>
        <w:tc>
          <w:tcPr>
            <w:tcW w:w="362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RIA Financial Services Ltd</w:t>
            </w:r>
          </w:p>
        </w:tc>
        <w:tc>
          <w:tcPr>
            <w:tcW w:w="6960" w:type="dxa"/>
            <w:vAlign w:val="bottom"/>
            <w:tcBorders>
              <w:right w:val="single" w:sz="8" w:color="auto"/>
            </w:tcBorders>
          </w:tcPr>
          <w:p>
            <w:pPr>
              <w:spacing w:after="0"/>
              <w:rPr>
                <w:sz w:val="20"/>
                <w:szCs w:val="20"/>
                <w:color w:val="auto"/>
              </w:rPr>
            </w:pPr>
            <w:r>
              <w:rPr>
                <w:rFonts w:ascii="Arial" w:cs="Arial" w:eastAsia="Arial" w:hAnsi="Arial"/>
                <w:sz w:val="20"/>
                <w:szCs w:val="20"/>
                <w:color w:val="auto"/>
              </w:rPr>
              <w:t>money transfer segment.</w:t>
            </w:r>
          </w:p>
        </w:tc>
      </w:tr>
      <w:tr>
        <w:trPr>
          <w:trHeight w:val="23"/>
        </w:trPr>
        <w:tc>
          <w:tcPr>
            <w:tcW w:w="3620" w:type="dxa"/>
            <w:vAlign w:val="bottom"/>
            <w:tcBorders>
              <w:left w:val="single" w:sz="8" w:color="auto"/>
              <w:bottom w:val="single" w:sz="8" w:color="auto"/>
              <w:right w:val="single" w:sz="8" w:color="auto"/>
            </w:tcBorders>
          </w:tcPr>
          <w:p>
            <w:pPr>
              <w:spacing w:after="0"/>
              <w:rPr>
                <w:sz w:val="2"/>
                <w:szCs w:val="2"/>
                <w:color w:val="auto"/>
              </w:rPr>
            </w:pPr>
          </w:p>
        </w:tc>
        <w:tc>
          <w:tcPr>
            <w:tcW w:w="6960" w:type="dxa"/>
            <w:vAlign w:val="bottom"/>
            <w:tcBorders>
              <w:bottom w:val="single" w:sz="8" w:color="auto"/>
              <w:right w:val="single" w:sz="8" w:color="auto"/>
            </w:tcBorders>
          </w:tcPr>
          <w:p>
            <w:pPr>
              <w:spacing w:after="0"/>
              <w:rPr>
                <w:sz w:val="2"/>
                <w:szCs w:val="2"/>
                <w:color w:val="auto"/>
              </w:rPr>
            </w:pPr>
          </w:p>
        </w:tc>
      </w:tr>
      <w:tr>
        <w:trPr>
          <w:trHeight w:val="233"/>
        </w:trPr>
        <w:tc>
          <w:tcPr>
            <w:tcW w:w="3620" w:type="dxa"/>
            <w:vAlign w:val="bottom"/>
            <w:tcBorders>
              <w:left w:val="single" w:sz="8" w:color="auto"/>
              <w:right w:val="single" w:sz="8" w:color="auto"/>
            </w:tcBorders>
          </w:tcPr>
          <w:p>
            <w:pPr>
              <w:spacing w:after="0"/>
              <w:rPr>
                <w:sz w:val="20"/>
                <w:szCs w:val="20"/>
                <w:color w:val="auto"/>
              </w:rPr>
            </w:pPr>
          </w:p>
        </w:tc>
        <w:tc>
          <w:tcPr>
            <w:tcW w:w="6960" w:type="dxa"/>
            <w:vAlign w:val="bottom"/>
            <w:tcBorders>
              <w:right w:val="single" w:sz="8" w:color="auto"/>
            </w:tcBorders>
          </w:tcPr>
          <w:p>
            <w:pPr>
              <w:spacing w:after="0"/>
              <w:rPr>
                <w:sz w:val="20"/>
                <w:szCs w:val="20"/>
                <w:color w:val="auto"/>
              </w:rPr>
            </w:pPr>
            <w:r>
              <w:rPr>
                <w:rFonts w:ascii="Arial" w:cs="Arial" w:eastAsia="Arial" w:hAnsi="Arial"/>
                <w:sz w:val="20"/>
                <w:szCs w:val="20"/>
                <w:color w:val="auto"/>
                <w:w w:val="89"/>
              </w:rPr>
              <w:t>Acts as an agent for money remittance on behalf of Euronet Payment Services Ltd, and</w:t>
            </w:r>
          </w:p>
        </w:tc>
      </w:tr>
      <w:tr>
        <w:trPr>
          <w:trHeight w:val="230"/>
        </w:trPr>
        <w:tc>
          <w:tcPr>
            <w:tcW w:w="3620" w:type="dxa"/>
            <w:vAlign w:val="bottom"/>
            <w:tcBorders>
              <w:left w:val="single" w:sz="8" w:color="auto"/>
              <w:right w:val="single" w:sz="8" w:color="auto"/>
            </w:tcBorders>
          </w:tcPr>
          <w:p>
            <w:pPr>
              <w:spacing w:after="0"/>
              <w:rPr>
                <w:sz w:val="19"/>
                <w:szCs w:val="19"/>
                <w:color w:val="auto"/>
              </w:rPr>
            </w:pPr>
          </w:p>
        </w:tc>
        <w:tc>
          <w:tcPr>
            <w:tcW w:w="6960" w:type="dxa"/>
            <w:vAlign w:val="bottom"/>
            <w:tcBorders>
              <w:right w:val="single" w:sz="8" w:color="auto"/>
            </w:tcBorders>
          </w:tcPr>
          <w:p>
            <w:pPr>
              <w:spacing w:after="0"/>
              <w:rPr>
                <w:sz w:val="20"/>
                <w:szCs w:val="20"/>
                <w:color w:val="auto"/>
              </w:rPr>
            </w:pPr>
            <w:r>
              <w:rPr>
                <w:rFonts w:ascii="Arial" w:cs="Arial" w:eastAsia="Arial" w:hAnsi="Arial"/>
                <w:sz w:val="20"/>
                <w:szCs w:val="20"/>
                <w:color w:val="auto"/>
                <w:w w:val="91"/>
              </w:rPr>
              <w:t>performs payout of money remittance orders for affiliates in Euronet Worldwide, Inc.'s</w:t>
            </w:r>
          </w:p>
        </w:tc>
      </w:tr>
      <w:tr>
        <w:trPr>
          <w:trHeight w:val="250"/>
        </w:trPr>
        <w:tc>
          <w:tcPr>
            <w:tcW w:w="362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w w:val="98"/>
              </w:rPr>
              <w:t>RIA Financial Services Netherlands B.V.</w:t>
            </w:r>
          </w:p>
        </w:tc>
        <w:tc>
          <w:tcPr>
            <w:tcW w:w="6960" w:type="dxa"/>
            <w:vAlign w:val="bottom"/>
            <w:tcBorders>
              <w:right w:val="single" w:sz="8" w:color="auto"/>
            </w:tcBorders>
          </w:tcPr>
          <w:p>
            <w:pPr>
              <w:spacing w:after="0"/>
              <w:rPr>
                <w:sz w:val="20"/>
                <w:szCs w:val="20"/>
                <w:color w:val="auto"/>
              </w:rPr>
            </w:pPr>
            <w:r>
              <w:rPr>
                <w:rFonts w:ascii="Arial" w:cs="Arial" w:eastAsia="Arial" w:hAnsi="Arial"/>
                <w:sz w:val="20"/>
                <w:szCs w:val="20"/>
                <w:color w:val="auto"/>
              </w:rPr>
              <w:t>money transfer segment.</w:t>
            </w:r>
          </w:p>
        </w:tc>
      </w:tr>
      <w:tr>
        <w:trPr>
          <w:trHeight w:val="23"/>
        </w:trPr>
        <w:tc>
          <w:tcPr>
            <w:tcW w:w="3620" w:type="dxa"/>
            <w:vAlign w:val="bottom"/>
            <w:tcBorders>
              <w:left w:val="single" w:sz="8" w:color="auto"/>
              <w:bottom w:val="single" w:sz="8" w:color="auto"/>
              <w:right w:val="single" w:sz="8" w:color="auto"/>
            </w:tcBorders>
          </w:tcPr>
          <w:p>
            <w:pPr>
              <w:spacing w:after="0"/>
              <w:rPr>
                <w:sz w:val="2"/>
                <w:szCs w:val="2"/>
                <w:color w:val="auto"/>
              </w:rPr>
            </w:pPr>
          </w:p>
        </w:tc>
        <w:tc>
          <w:tcPr>
            <w:tcW w:w="6960" w:type="dxa"/>
            <w:vAlign w:val="bottom"/>
            <w:tcBorders>
              <w:bottom w:val="single" w:sz="8" w:color="auto"/>
              <w:right w:val="single" w:sz="8" w:color="auto"/>
            </w:tcBorders>
          </w:tcPr>
          <w:p>
            <w:pPr>
              <w:spacing w:after="0"/>
              <w:rPr>
                <w:sz w:val="2"/>
                <w:szCs w:val="2"/>
                <w:color w:val="auto"/>
              </w:rPr>
            </w:pPr>
          </w:p>
        </w:tc>
      </w:tr>
      <w:tr>
        <w:trPr>
          <w:trHeight w:val="233"/>
        </w:trPr>
        <w:tc>
          <w:tcPr>
            <w:tcW w:w="3620" w:type="dxa"/>
            <w:vAlign w:val="bottom"/>
            <w:tcBorders>
              <w:left w:val="single" w:sz="8" w:color="auto"/>
              <w:right w:val="single" w:sz="8" w:color="auto"/>
            </w:tcBorders>
          </w:tcPr>
          <w:p>
            <w:pPr>
              <w:spacing w:after="0"/>
              <w:rPr>
                <w:sz w:val="20"/>
                <w:szCs w:val="20"/>
                <w:color w:val="auto"/>
              </w:rPr>
            </w:pPr>
          </w:p>
        </w:tc>
        <w:tc>
          <w:tcPr>
            <w:tcW w:w="6960" w:type="dxa"/>
            <w:vAlign w:val="bottom"/>
            <w:tcBorders>
              <w:right w:val="single" w:sz="8" w:color="auto"/>
            </w:tcBorders>
          </w:tcPr>
          <w:p>
            <w:pPr>
              <w:spacing w:after="0"/>
              <w:rPr>
                <w:sz w:val="20"/>
                <w:szCs w:val="20"/>
                <w:color w:val="auto"/>
              </w:rPr>
            </w:pPr>
            <w:r>
              <w:rPr>
                <w:rFonts w:ascii="Arial" w:cs="Arial" w:eastAsia="Arial" w:hAnsi="Arial"/>
                <w:sz w:val="20"/>
                <w:szCs w:val="20"/>
                <w:color w:val="auto"/>
                <w:w w:val="89"/>
              </w:rPr>
              <w:t>Acts as an agent for money remittance on behalf of Euronet Payment Services Ltd, and</w:t>
            </w:r>
          </w:p>
        </w:tc>
      </w:tr>
      <w:tr>
        <w:trPr>
          <w:trHeight w:val="230"/>
        </w:trPr>
        <w:tc>
          <w:tcPr>
            <w:tcW w:w="3620" w:type="dxa"/>
            <w:vAlign w:val="bottom"/>
            <w:tcBorders>
              <w:left w:val="single" w:sz="8" w:color="auto"/>
              <w:right w:val="single" w:sz="8" w:color="auto"/>
            </w:tcBorders>
          </w:tcPr>
          <w:p>
            <w:pPr>
              <w:spacing w:after="0"/>
              <w:rPr>
                <w:sz w:val="19"/>
                <w:szCs w:val="19"/>
                <w:color w:val="auto"/>
              </w:rPr>
            </w:pPr>
          </w:p>
        </w:tc>
        <w:tc>
          <w:tcPr>
            <w:tcW w:w="6960" w:type="dxa"/>
            <w:vAlign w:val="bottom"/>
            <w:tcBorders>
              <w:right w:val="single" w:sz="8" w:color="auto"/>
            </w:tcBorders>
          </w:tcPr>
          <w:p>
            <w:pPr>
              <w:spacing w:after="0"/>
              <w:rPr>
                <w:sz w:val="20"/>
                <w:szCs w:val="20"/>
                <w:color w:val="auto"/>
              </w:rPr>
            </w:pPr>
            <w:r>
              <w:rPr>
                <w:rFonts w:ascii="Arial" w:cs="Arial" w:eastAsia="Arial" w:hAnsi="Arial"/>
                <w:sz w:val="20"/>
                <w:szCs w:val="20"/>
                <w:color w:val="auto"/>
                <w:w w:val="91"/>
              </w:rPr>
              <w:t>performs payout of money remittance orders for affiliates in Euronet Worldwide, Inc.'s</w:t>
            </w:r>
          </w:p>
        </w:tc>
      </w:tr>
      <w:tr>
        <w:trPr>
          <w:trHeight w:val="250"/>
        </w:trPr>
        <w:tc>
          <w:tcPr>
            <w:tcW w:w="362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RIA Financial Services Norway AS</w:t>
            </w:r>
          </w:p>
        </w:tc>
        <w:tc>
          <w:tcPr>
            <w:tcW w:w="6960" w:type="dxa"/>
            <w:vAlign w:val="bottom"/>
            <w:tcBorders>
              <w:right w:val="single" w:sz="8" w:color="auto"/>
            </w:tcBorders>
          </w:tcPr>
          <w:p>
            <w:pPr>
              <w:spacing w:after="0"/>
              <w:rPr>
                <w:sz w:val="20"/>
                <w:szCs w:val="20"/>
                <w:color w:val="auto"/>
              </w:rPr>
            </w:pPr>
            <w:r>
              <w:rPr>
                <w:rFonts w:ascii="Arial" w:cs="Arial" w:eastAsia="Arial" w:hAnsi="Arial"/>
                <w:sz w:val="20"/>
                <w:szCs w:val="20"/>
                <w:color w:val="auto"/>
              </w:rPr>
              <w:t>money transfer segment.</w:t>
            </w:r>
          </w:p>
        </w:tc>
      </w:tr>
      <w:tr>
        <w:trPr>
          <w:trHeight w:val="23"/>
        </w:trPr>
        <w:tc>
          <w:tcPr>
            <w:tcW w:w="3620" w:type="dxa"/>
            <w:vAlign w:val="bottom"/>
            <w:tcBorders>
              <w:left w:val="single" w:sz="8" w:color="auto"/>
              <w:bottom w:val="single" w:sz="8" w:color="auto"/>
              <w:right w:val="single" w:sz="8" w:color="auto"/>
            </w:tcBorders>
          </w:tcPr>
          <w:p>
            <w:pPr>
              <w:spacing w:after="0"/>
              <w:rPr>
                <w:sz w:val="2"/>
                <w:szCs w:val="2"/>
                <w:color w:val="auto"/>
              </w:rPr>
            </w:pPr>
          </w:p>
        </w:tc>
        <w:tc>
          <w:tcPr>
            <w:tcW w:w="6960" w:type="dxa"/>
            <w:vAlign w:val="bottom"/>
            <w:tcBorders>
              <w:bottom w:val="single" w:sz="8" w:color="auto"/>
              <w:right w:val="single" w:sz="8" w:color="auto"/>
            </w:tcBorders>
          </w:tcPr>
          <w:p>
            <w:pPr>
              <w:spacing w:after="0"/>
              <w:rPr>
                <w:sz w:val="2"/>
                <w:szCs w:val="2"/>
                <w:color w:val="auto"/>
              </w:rPr>
            </w:pPr>
          </w:p>
        </w:tc>
      </w:tr>
      <w:tr>
        <w:trPr>
          <w:trHeight w:val="233"/>
        </w:trPr>
        <w:tc>
          <w:tcPr>
            <w:tcW w:w="3620" w:type="dxa"/>
            <w:vAlign w:val="bottom"/>
            <w:tcBorders>
              <w:left w:val="single" w:sz="8" w:color="auto"/>
              <w:right w:val="single" w:sz="8" w:color="auto"/>
            </w:tcBorders>
          </w:tcPr>
          <w:p>
            <w:pPr>
              <w:spacing w:after="0"/>
              <w:rPr>
                <w:sz w:val="20"/>
                <w:szCs w:val="20"/>
                <w:color w:val="auto"/>
              </w:rPr>
            </w:pPr>
          </w:p>
        </w:tc>
        <w:tc>
          <w:tcPr>
            <w:tcW w:w="6960" w:type="dxa"/>
            <w:vAlign w:val="bottom"/>
            <w:tcBorders>
              <w:right w:val="single" w:sz="8" w:color="auto"/>
            </w:tcBorders>
          </w:tcPr>
          <w:p>
            <w:pPr>
              <w:spacing w:after="0"/>
              <w:rPr>
                <w:sz w:val="20"/>
                <w:szCs w:val="20"/>
                <w:color w:val="auto"/>
              </w:rPr>
            </w:pPr>
            <w:r>
              <w:rPr>
                <w:rFonts w:ascii="Arial" w:cs="Arial" w:eastAsia="Arial" w:hAnsi="Arial"/>
                <w:sz w:val="20"/>
                <w:szCs w:val="20"/>
                <w:color w:val="auto"/>
                <w:w w:val="91"/>
              </w:rPr>
              <w:t>Performs payout of money remittance orders for affiliates in Euronet Worldwide, Inc.'s</w:t>
            </w:r>
          </w:p>
        </w:tc>
      </w:tr>
      <w:tr>
        <w:trPr>
          <w:trHeight w:val="250"/>
        </w:trPr>
        <w:tc>
          <w:tcPr>
            <w:tcW w:w="362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w w:val="99"/>
              </w:rPr>
              <w:t>RIA Financial Services Puerto Rico, Inc.</w:t>
            </w:r>
          </w:p>
        </w:tc>
        <w:tc>
          <w:tcPr>
            <w:tcW w:w="6960" w:type="dxa"/>
            <w:vAlign w:val="bottom"/>
            <w:tcBorders>
              <w:right w:val="single" w:sz="8" w:color="auto"/>
            </w:tcBorders>
          </w:tcPr>
          <w:p>
            <w:pPr>
              <w:spacing w:after="0"/>
              <w:rPr>
                <w:sz w:val="20"/>
                <w:szCs w:val="20"/>
                <w:color w:val="auto"/>
              </w:rPr>
            </w:pPr>
            <w:r>
              <w:rPr>
                <w:rFonts w:ascii="Arial" w:cs="Arial" w:eastAsia="Arial" w:hAnsi="Arial"/>
                <w:sz w:val="20"/>
                <w:szCs w:val="20"/>
                <w:color w:val="auto"/>
              </w:rPr>
              <w:t>money transfer segment.</w:t>
            </w:r>
          </w:p>
        </w:tc>
      </w:tr>
      <w:tr>
        <w:trPr>
          <w:trHeight w:val="23"/>
        </w:trPr>
        <w:tc>
          <w:tcPr>
            <w:tcW w:w="3620" w:type="dxa"/>
            <w:vAlign w:val="bottom"/>
            <w:tcBorders>
              <w:left w:val="single" w:sz="8" w:color="auto"/>
              <w:bottom w:val="single" w:sz="8" w:color="auto"/>
              <w:right w:val="single" w:sz="8" w:color="auto"/>
            </w:tcBorders>
          </w:tcPr>
          <w:p>
            <w:pPr>
              <w:spacing w:after="0"/>
              <w:rPr>
                <w:sz w:val="2"/>
                <w:szCs w:val="2"/>
                <w:color w:val="auto"/>
              </w:rPr>
            </w:pPr>
          </w:p>
        </w:tc>
        <w:tc>
          <w:tcPr>
            <w:tcW w:w="6960" w:type="dxa"/>
            <w:vAlign w:val="bottom"/>
            <w:tcBorders>
              <w:bottom w:val="single" w:sz="8" w:color="auto"/>
              <w:right w:val="single" w:sz="8" w:color="auto"/>
            </w:tcBorders>
          </w:tcPr>
          <w:p>
            <w:pPr>
              <w:spacing w:after="0"/>
              <w:rPr>
                <w:sz w:val="2"/>
                <w:szCs w:val="2"/>
                <w:color w:val="auto"/>
              </w:rPr>
            </w:pPr>
          </w:p>
        </w:tc>
      </w:tr>
      <w:tr>
        <w:trPr>
          <w:trHeight w:val="233"/>
        </w:trPr>
        <w:tc>
          <w:tcPr>
            <w:tcW w:w="3620" w:type="dxa"/>
            <w:vAlign w:val="bottom"/>
            <w:tcBorders>
              <w:left w:val="single" w:sz="8" w:color="auto"/>
              <w:right w:val="single" w:sz="8" w:color="auto"/>
            </w:tcBorders>
          </w:tcPr>
          <w:p>
            <w:pPr>
              <w:spacing w:after="0"/>
              <w:rPr>
                <w:sz w:val="20"/>
                <w:szCs w:val="20"/>
                <w:color w:val="auto"/>
              </w:rPr>
            </w:pPr>
          </w:p>
        </w:tc>
        <w:tc>
          <w:tcPr>
            <w:tcW w:w="6960" w:type="dxa"/>
            <w:vAlign w:val="bottom"/>
            <w:tcBorders>
              <w:right w:val="single" w:sz="8" w:color="auto"/>
            </w:tcBorders>
          </w:tcPr>
          <w:p>
            <w:pPr>
              <w:spacing w:after="0"/>
              <w:rPr>
                <w:sz w:val="20"/>
                <w:szCs w:val="20"/>
                <w:color w:val="auto"/>
              </w:rPr>
            </w:pPr>
            <w:r>
              <w:rPr>
                <w:rFonts w:ascii="Arial" w:cs="Arial" w:eastAsia="Arial" w:hAnsi="Arial"/>
                <w:sz w:val="20"/>
                <w:szCs w:val="20"/>
                <w:color w:val="auto"/>
                <w:w w:val="89"/>
              </w:rPr>
              <w:t>Acts as an agent for money remittance on behalf of Euronet Payment Services Ltd, and</w:t>
            </w:r>
          </w:p>
        </w:tc>
      </w:tr>
      <w:tr>
        <w:trPr>
          <w:trHeight w:val="230"/>
        </w:trPr>
        <w:tc>
          <w:tcPr>
            <w:tcW w:w="3620" w:type="dxa"/>
            <w:vAlign w:val="bottom"/>
            <w:tcBorders>
              <w:left w:val="single" w:sz="8" w:color="auto"/>
              <w:right w:val="single" w:sz="8" w:color="auto"/>
            </w:tcBorders>
          </w:tcPr>
          <w:p>
            <w:pPr>
              <w:spacing w:after="0"/>
              <w:rPr>
                <w:sz w:val="19"/>
                <w:szCs w:val="19"/>
                <w:color w:val="auto"/>
              </w:rPr>
            </w:pPr>
          </w:p>
        </w:tc>
        <w:tc>
          <w:tcPr>
            <w:tcW w:w="6960" w:type="dxa"/>
            <w:vAlign w:val="bottom"/>
            <w:tcBorders>
              <w:right w:val="single" w:sz="8" w:color="auto"/>
            </w:tcBorders>
          </w:tcPr>
          <w:p>
            <w:pPr>
              <w:spacing w:after="0"/>
              <w:rPr>
                <w:sz w:val="20"/>
                <w:szCs w:val="20"/>
                <w:color w:val="auto"/>
              </w:rPr>
            </w:pPr>
            <w:r>
              <w:rPr>
                <w:rFonts w:ascii="Arial" w:cs="Arial" w:eastAsia="Arial" w:hAnsi="Arial"/>
                <w:sz w:val="20"/>
                <w:szCs w:val="20"/>
                <w:color w:val="auto"/>
                <w:w w:val="91"/>
              </w:rPr>
              <w:t>performs payout of money remittance orders for affiliates in Euronet Worldwide, Inc.'s</w:t>
            </w:r>
          </w:p>
        </w:tc>
      </w:tr>
      <w:tr>
        <w:trPr>
          <w:trHeight w:val="250"/>
        </w:trPr>
        <w:tc>
          <w:tcPr>
            <w:tcW w:w="362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RIA Financial Services Sweden AB</w:t>
            </w:r>
          </w:p>
        </w:tc>
        <w:tc>
          <w:tcPr>
            <w:tcW w:w="6960" w:type="dxa"/>
            <w:vAlign w:val="bottom"/>
            <w:tcBorders>
              <w:right w:val="single" w:sz="8" w:color="auto"/>
            </w:tcBorders>
          </w:tcPr>
          <w:p>
            <w:pPr>
              <w:spacing w:after="0"/>
              <w:rPr>
                <w:sz w:val="20"/>
                <w:szCs w:val="20"/>
                <w:color w:val="auto"/>
              </w:rPr>
            </w:pPr>
            <w:r>
              <w:rPr>
                <w:rFonts w:ascii="Arial" w:cs="Arial" w:eastAsia="Arial" w:hAnsi="Arial"/>
                <w:sz w:val="20"/>
                <w:szCs w:val="20"/>
                <w:color w:val="auto"/>
              </w:rPr>
              <w:t>money transfer segment.</w:t>
            </w:r>
          </w:p>
        </w:tc>
      </w:tr>
      <w:tr>
        <w:trPr>
          <w:trHeight w:val="23"/>
        </w:trPr>
        <w:tc>
          <w:tcPr>
            <w:tcW w:w="3620" w:type="dxa"/>
            <w:vAlign w:val="bottom"/>
            <w:tcBorders>
              <w:left w:val="single" w:sz="8" w:color="auto"/>
              <w:bottom w:val="single" w:sz="8" w:color="auto"/>
              <w:right w:val="single" w:sz="8" w:color="auto"/>
            </w:tcBorders>
          </w:tcPr>
          <w:p>
            <w:pPr>
              <w:spacing w:after="0"/>
              <w:rPr>
                <w:sz w:val="2"/>
                <w:szCs w:val="2"/>
                <w:color w:val="auto"/>
              </w:rPr>
            </w:pPr>
          </w:p>
        </w:tc>
        <w:tc>
          <w:tcPr>
            <w:tcW w:w="6960" w:type="dxa"/>
            <w:vAlign w:val="bottom"/>
            <w:tcBorders>
              <w:bottom w:val="single" w:sz="8" w:color="auto"/>
              <w:right w:val="single" w:sz="8" w:color="auto"/>
            </w:tcBorders>
          </w:tcPr>
          <w:p>
            <w:pPr>
              <w:spacing w:after="0"/>
              <w:rPr>
                <w:sz w:val="2"/>
                <w:szCs w:val="2"/>
                <w:color w:val="auto"/>
              </w:rPr>
            </w:pPr>
          </w:p>
        </w:tc>
      </w:tr>
      <w:tr>
        <w:trPr>
          <w:trHeight w:val="233"/>
        </w:trPr>
        <w:tc>
          <w:tcPr>
            <w:tcW w:w="3620" w:type="dxa"/>
            <w:vAlign w:val="bottom"/>
            <w:tcBorders>
              <w:left w:val="single" w:sz="8" w:color="auto"/>
              <w:right w:val="single" w:sz="8" w:color="auto"/>
            </w:tcBorders>
          </w:tcPr>
          <w:p>
            <w:pPr>
              <w:spacing w:after="0"/>
              <w:rPr>
                <w:sz w:val="20"/>
                <w:szCs w:val="20"/>
                <w:color w:val="auto"/>
              </w:rPr>
            </w:pPr>
          </w:p>
        </w:tc>
        <w:tc>
          <w:tcPr>
            <w:tcW w:w="6960" w:type="dxa"/>
            <w:vAlign w:val="bottom"/>
            <w:tcBorders>
              <w:right w:val="single" w:sz="8" w:color="auto"/>
            </w:tcBorders>
          </w:tcPr>
          <w:p>
            <w:pPr>
              <w:spacing w:after="0"/>
              <w:rPr>
                <w:sz w:val="20"/>
                <w:szCs w:val="20"/>
                <w:color w:val="auto"/>
              </w:rPr>
            </w:pPr>
            <w:r>
              <w:rPr>
                <w:rFonts w:ascii="Arial" w:cs="Arial" w:eastAsia="Arial" w:hAnsi="Arial"/>
                <w:sz w:val="20"/>
                <w:szCs w:val="20"/>
                <w:color w:val="auto"/>
                <w:w w:val="89"/>
              </w:rPr>
              <w:t>Acts as an agent for money remittance on behalf of Euronet Payment Services Ltd, and</w:t>
            </w:r>
          </w:p>
        </w:tc>
      </w:tr>
      <w:tr>
        <w:trPr>
          <w:trHeight w:val="230"/>
        </w:trPr>
        <w:tc>
          <w:tcPr>
            <w:tcW w:w="3620" w:type="dxa"/>
            <w:vAlign w:val="bottom"/>
            <w:tcBorders>
              <w:left w:val="single" w:sz="8" w:color="auto"/>
              <w:right w:val="single" w:sz="8" w:color="auto"/>
            </w:tcBorders>
          </w:tcPr>
          <w:p>
            <w:pPr>
              <w:spacing w:after="0"/>
              <w:rPr>
                <w:sz w:val="19"/>
                <w:szCs w:val="19"/>
                <w:color w:val="auto"/>
              </w:rPr>
            </w:pPr>
          </w:p>
        </w:tc>
        <w:tc>
          <w:tcPr>
            <w:tcW w:w="6960" w:type="dxa"/>
            <w:vAlign w:val="bottom"/>
            <w:tcBorders>
              <w:right w:val="single" w:sz="8" w:color="auto"/>
            </w:tcBorders>
          </w:tcPr>
          <w:p>
            <w:pPr>
              <w:spacing w:after="0"/>
              <w:rPr>
                <w:sz w:val="20"/>
                <w:szCs w:val="20"/>
                <w:color w:val="auto"/>
              </w:rPr>
            </w:pPr>
            <w:r>
              <w:rPr>
                <w:rFonts w:ascii="Arial" w:cs="Arial" w:eastAsia="Arial" w:hAnsi="Arial"/>
                <w:sz w:val="20"/>
                <w:szCs w:val="20"/>
                <w:color w:val="auto"/>
                <w:w w:val="91"/>
              </w:rPr>
              <w:t>performs payout of money remittance orders for affiliates in Euronet Worldwide, Inc.'s</w:t>
            </w:r>
          </w:p>
        </w:tc>
      </w:tr>
      <w:tr>
        <w:trPr>
          <w:trHeight w:val="250"/>
        </w:trPr>
        <w:tc>
          <w:tcPr>
            <w:tcW w:w="362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RIA Financial Services, Denmark ApS</w:t>
            </w:r>
          </w:p>
        </w:tc>
        <w:tc>
          <w:tcPr>
            <w:tcW w:w="6960" w:type="dxa"/>
            <w:vAlign w:val="bottom"/>
            <w:tcBorders>
              <w:right w:val="single" w:sz="8" w:color="auto"/>
            </w:tcBorders>
          </w:tcPr>
          <w:p>
            <w:pPr>
              <w:spacing w:after="0"/>
              <w:rPr>
                <w:sz w:val="20"/>
                <w:szCs w:val="20"/>
                <w:color w:val="auto"/>
              </w:rPr>
            </w:pPr>
            <w:r>
              <w:rPr>
                <w:rFonts w:ascii="Arial" w:cs="Arial" w:eastAsia="Arial" w:hAnsi="Arial"/>
                <w:sz w:val="20"/>
                <w:szCs w:val="20"/>
                <w:color w:val="auto"/>
              </w:rPr>
              <w:t>money transfer segment.</w:t>
            </w:r>
          </w:p>
        </w:tc>
      </w:tr>
      <w:tr>
        <w:trPr>
          <w:trHeight w:val="23"/>
        </w:trPr>
        <w:tc>
          <w:tcPr>
            <w:tcW w:w="3620" w:type="dxa"/>
            <w:vAlign w:val="bottom"/>
            <w:tcBorders>
              <w:left w:val="single" w:sz="8" w:color="auto"/>
              <w:bottom w:val="single" w:sz="8" w:color="auto"/>
              <w:right w:val="single" w:sz="8" w:color="auto"/>
            </w:tcBorders>
          </w:tcPr>
          <w:p>
            <w:pPr>
              <w:spacing w:after="0"/>
              <w:rPr>
                <w:sz w:val="2"/>
                <w:szCs w:val="2"/>
                <w:color w:val="auto"/>
              </w:rPr>
            </w:pPr>
          </w:p>
        </w:tc>
        <w:tc>
          <w:tcPr>
            <w:tcW w:w="6960" w:type="dxa"/>
            <w:vAlign w:val="bottom"/>
            <w:tcBorders>
              <w:bottom w:val="single" w:sz="8" w:color="auto"/>
              <w:right w:val="single" w:sz="8" w:color="auto"/>
            </w:tcBorders>
          </w:tcPr>
          <w:p>
            <w:pPr>
              <w:spacing w:after="0"/>
              <w:rPr>
                <w:sz w:val="2"/>
                <w:szCs w:val="2"/>
                <w:color w:val="auto"/>
              </w:rPr>
            </w:pPr>
          </w:p>
        </w:tc>
      </w:tr>
      <w:tr>
        <w:trPr>
          <w:trHeight w:val="233"/>
        </w:trPr>
        <w:tc>
          <w:tcPr>
            <w:tcW w:w="3620" w:type="dxa"/>
            <w:vAlign w:val="bottom"/>
            <w:tcBorders>
              <w:left w:val="single" w:sz="8" w:color="auto"/>
              <w:right w:val="single" w:sz="8" w:color="auto"/>
            </w:tcBorders>
          </w:tcPr>
          <w:p>
            <w:pPr>
              <w:spacing w:after="0"/>
              <w:rPr>
                <w:sz w:val="20"/>
                <w:szCs w:val="20"/>
                <w:color w:val="auto"/>
              </w:rPr>
            </w:pPr>
          </w:p>
        </w:tc>
        <w:tc>
          <w:tcPr>
            <w:tcW w:w="6960" w:type="dxa"/>
            <w:vAlign w:val="bottom"/>
            <w:tcBorders>
              <w:right w:val="single" w:sz="8" w:color="auto"/>
            </w:tcBorders>
          </w:tcPr>
          <w:p>
            <w:pPr>
              <w:spacing w:after="0"/>
              <w:rPr>
                <w:sz w:val="20"/>
                <w:szCs w:val="20"/>
                <w:color w:val="auto"/>
              </w:rPr>
            </w:pPr>
            <w:r>
              <w:rPr>
                <w:rFonts w:ascii="Arial" w:cs="Arial" w:eastAsia="Arial" w:hAnsi="Arial"/>
                <w:sz w:val="20"/>
                <w:szCs w:val="20"/>
                <w:color w:val="auto"/>
                <w:w w:val="89"/>
              </w:rPr>
              <w:t>Acts as an agent for money remittance on behalf of Euronet Payment Services Ltd, and</w:t>
            </w:r>
          </w:p>
        </w:tc>
      </w:tr>
      <w:tr>
        <w:trPr>
          <w:trHeight w:val="230"/>
        </w:trPr>
        <w:tc>
          <w:tcPr>
            <w:tcW w:w="3620" w:type="dxa"/>
            <w:vAlign w:val="bottom"/>
            <w:tcBorders>
              <w:left w:val="single" w:sz="8" w:color="auto"/>
              <w:right w:val="single" w:sz="8" w:color="auto"/>
            </w:tcBorders>
          </w:tcPr>
          <w:p>
            <w:pPr>
              <w:spacing w:after="0"/>
              <w:rPr>
                <w:sz w:val="19"/>
                <w:szCs w:val="19"/>
                <w:color w:val="auto"/>
              </w:rPr>
            </w:pPr>
          </w:p>
        </w:tc>
        <w:tc>
          <w:tcPr>
            <w:tcW w:w="6960" w:type="dxa"/>
            <w:vAlign w:val="bottom"/>
            <w:tcBorders>
              <w:right w:val="single" w:sz="8" w:color="auto"/>
            </w:tcBorders>
          </w:tcPr>
          <w:p>
            <w:pPr>
              <w:spacing w:after="0"/>
              <w:rPr>
                <w:sz w:val="20"/>
                <w:szCs w:val="20"/>
                <w:color w:val="auto"/>
              </w:rPr>
            </w:pPr>
            <w:r>
              <w:rPr>
                <w:rFonts w:ascii="Arial" w:cs="Arial" w:eastAsia="Arial" w:hAnsi="Arial"/>
                <w:sz w:val="20"/>
                <w:szCs w:val="20"/>
                <w:color w:val="auto"/>
                <w:w w:val="91"/>
              </w:rPr>
              <w:t>performs payout of money remittance orders for affiliates in Euronet Worldwide, Inc.'s</w:t>
            </w:r>
          </w:p>
        </w:tc>
      </w:tr>
      <w:tr>
        <w:trPr>
          <w:trHeight w:val="250"/>
        </w:trPr>
        <w:tc>
          <w:tcPr>
            <w:tcW w:w="362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RIA France SAS</w:t>
            </w:r>
          </w:p>
        </w:tc>
        <w:tc>
          <w:tcPr>
            <w:tcW w:w="6960" w:type="dxa"/>
            <w:vAlign w:val="bottom"/>
            <w:tcBorders>
              <w:right w:val="single" w:sz="8" w:color="auto"/>
            </w:tcBorders>
          </w:tcPr>
          <w:p>
            <w:pPr>
              <w:spacing w:after="0"/>
              <w:rPr>
                <w:sz w:val="20"/>
                <w:szCs w:val="20"/>
                <w:color w:val="auto"/>
              </w:rPr>
            </w:pPr>
            <w:r>
              <w:rPr>
                <w:rFonts w:ascii="Arial" w:cs="Arial" w:eastAsia="Arial" w:hAnsi="Arial"/>
                <w:sz w:val="20"/>
                <w:szCs w:val="20"/>
                <w:color w:val="auto"/>
              </w:rPr>
              <w:t>money transfer segment.</w:t>
            </w:r>
          </w:p>
        </w:tc>
      </w:tr>
      <w:tr>
        <w:trPr>
          <w:trHeight w:val="23"/>
        </w:trPr>
        <w:tc>
          <w:tcPr>
            <w:tcW w:w="3620" w:type="dxa"/>
            <w:vAlign w:val="bottom"/>
            <w:tcBorders>
              <w:left w:val="single" w:sz="8" w:color="auto"/>
              <w:bottom w:val="single" w:sz="8" w:color="auto"/>
              <w:right w:val="single" w:sz="8" w:color="auto"/>
            </w:tcBorders>
          </w:tcPr>
          <w:p>
            <w:pPr>
              <w:spacing w:after="0"/>
              <w:rPr>
                <w:sz w:val="2"/>
                <w:szCs w:val="2"/>
                <w:color w:val="auto"/>
              </w:rPr>
            </w:pPr>
          </w:p>
        </w:tc>
        <w:tc>
          <w:tcPr>
            <w:tcW w:w="6960" w:type="dxa"/>
            <w:vAlign w:val="bottom"/>
            <w:tcBorders>
              <w:bottom w:val="single" w:sz="8" w:color="auto"/>
              <w:right w:val="single" w:sz="8" w:color="auto"/>
            </w:tcBorders>
          </w:tcPr>
          <w:p>
            <w:pPr>
              <w:spacing w:after="0"/>
              <w:rPr>
                <w:sz w:val="2"/>
                <w:szCs w:val="2"/>
                <w:color w:val="auto"/>
              </w:rPr>
            </w:pPr>
          </w:p>
        </w:tc>
      </w:tr>
      <w:tr>
        <w:trPr>
          <w:trHeight w:val="233"/>
        </w:trPr>
        <w:tc>
          <w:tcPr>
            <w:tcW w:w="3620" w:type="dxa"/>
            <w:vAlign w:val="bottom"/>
            <w:tcBorders>
              <w:left w:val="single" w:sz="8" w:color="auto"/>
              <w:right w:val="single" w:sz="8" w:color="auto"/>
            </w:tcBorders>
          </w:tcPr>
          <w:p>
            <w:pPr>
              <w:spacing w:after="0"/>
              <w:rPr>
                <w:sz w:val="20"/>
                <w:szCs w:val="20"/>
                <w:color w:val="auto"/>
              </w:rPr>
            </w:pPr>
          </w:p>
        </w:tc>
        <w:tc>
          <w:tcPr>
            <w:tcW w:w="6960" w:type="dxa"/>
            <w:vAlign w:val="bottom"/>
            <w:tcBorders>
              <w:right w:val="single" w:sz="8" w:color="auto"/>
            </w:tcBorders>
          </w:tcPr>
          <w:p>
            <w:pPr>
              <w:spacing w:after="0"/>
              <w:rPr>
                <w:sz w:val="20"/>
                <w:szCs w:val="20"/>
                <w:color w:val="auto"/>
              </w:rPr>
            </w:pPr>
            <w:r>
              <w:rPr>
                <w:rFonts w:ascii="Arial" w:cs="Arial" w:eastAsia="Arial" w:hAnsi="Arial"/>
                <w:sz w:val="20"/>
                <w:szCs w:val="20"/>
                <w:color w:val="auto"/>
                <w:w w:val="89"/>
              </w:rPr>
              <w:t>Acts as an agent for money remittance on behalf of Euronet Payment Services Ltd, and</w:t>
            </w:r>
          </w:p>
        </w:tc>
      </w:tr>
      <w:tr>
        <w:trPr>
          <w:trHeight w:val="230"/>
        </w:trPr>
        <w:tc>
          <w:tcPr>
            <w:tcW w:w="3620" w:type="dxa"/>
            <w:vAlign w:val="bottom"/>
            <w:tcBorders>
              <w:left w:val="single" w:sz="8" w:color="auto"/>
              <w:right w:val="single" w:sz="8" w:color="auto"/>
            </w:tcBorders>
          </w:tcPr>
          <w:p>
            <w:pPr>
              <w:spacing w:after="0"/>
              <w:rPr>
                <w:sz w:val="19"/>
                <w:szCs w:val="19"/>
                <w:color w:val="auto"/>
              </w:rPr>
            </w:pPr>
          </w:p>
        </w:tc>
        <w:tc>
          <w:tcPr>
            <w:tcW w:w="6960" w:type="dxa"/>
            <w:vAlign w:val="bottom"/>
            <w:tcBorders>
              <w:right w:val="single" w:sz="8" w:color="auto"/>
            </w:tcBorders>
          </w:tcPr>
          <w:p>
            <w:pPr>
              <w:spacing w:after="0"/>
              <w:rPr>
                <w:sz w:val="20"/>
                <w:szCs w:val="20"/>
                <w:color w:val="auto"/>
              </w:rPr>
            </w:pPr>
            <w:r>
              <w:rPr>
                <w:rFonts w:ascii="Arial" w:cs="Arial" w:eastAsia="Arial" w:hAnsi="Arial"/>
                <w:sz w:val="20"/>
                <w:szCs w:val="20"/>
                <w:color w:val="auto"/>
                <w:w w:val="91"/>
              </w:rPr>
              <w:t>performs payout of money remittance orders for affiliates in Euronet Worldwide, Inc.'s</w:t>
            </w:r>
          </w:p>
        </w:tc>
      </w:tr>
      <w:tr>
        <w:trPr>
          <w:trHeight w:val="250"/>
        </w:trPr>
        <w:tc>
          <w:tcPr>
            <w:tcW w:w="362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RIA Italia SRL</w:t>
            </w:r>
          </w:p>
        </w:tc>
        <w:tc>
          <w:tcPr>
            <w:tcW w:w="6960" w:type="dxa"/>
            <w:vAlign w:val="bottom"/>
            <w:tcBorders>
              <w:right w:val="single" w:sz="8" w:color="auto"/>
            </w:tcBorders>
          </w:tcPr>
          <w:p>
            <w:pPr>
              <w:spacing w:after="0"/>
              <w:rPr>
                <w:sz w:val="20"/>
                <w:szCs w:val="20"/>
                <w:color w:val="auto"/>
              </w:rPr>
            </w:pPr>
            <w:r>
              <w:rPr>
                <w:rFonts w:ascii="Arial" w:cs="Arial" w:eastAsia="Arial" w:hAnsi="Arial"/>
                <w:sz w:val="20"/>
                <w:szCs w:val="20"/>
                <w:color w:val="auto"/>
              </w:rPr>
              <w:t>money transfer segment.</w:t>
            </w:r>
          </w:p>
        </w:tc>
      </w:tr>
      <w:tr>
        <w:trPr>
          <w:trHeight w:val="23"/>
        </w:trPr>
        <w:tc>
          <w:tcPr>
            <w:tcW w:w="3620" w:type="dxa"/>
            <w:vAlign w:val="bottom"/>
            <w:tcBorders>
              <w:left w:val="single" w:sz="8" w:color="auto"/>
              <w:bottom w:val="single" w:sz="8" w:color="auto"/>
              <w:right w:val="single" w:sz="8" w:color="auto"/>
            </w:tcBorders>
          </w:tcPr>
          <w:p>
            <w:pPr>
              <w:spacing w:after="0"/>
              <w:rPr>
                <w:sz w:val="2"/>
                <w:szCs w:val="2"/>
                <w:color w:val="auto"/>
              </w:rPr>
            </w:pPr>
          </w:p>
        </w:tc>
        <w:tc>
          <w:tcPr>
            <w:tcW w:w="6960" w:type="dxa"/>
            <w:vAlign w:val="bottom"/>
            <w:tcBorders>
              <w:bottom w:val="single" w:sz="8" w:color="auto"/>
              <w:right w:val="single" w:sz="8" w:color="auto"/>
            </w:tcBorders>
          </w:tcPr>
          <w:p>
            <w:pPr>
              <w:spacing w:after="0"/>
              <w:rPr>
                <w:sz w:val="2"/>
                <w:szCs w:val="2"/>
                <w:color w:val="auto"/>
              </w:rPr>
            </w:pPr>
          </w:p>
        </w:tc>
      </w:tr>
      <w:tr>
        <w:trPr>
          <w:trHeight w:val="233"/>
        </w:trPr>
        <w:tc>
          <w:tcPr>
            <w:tcW w:w="3620" w:type="dxa"/>
            <w:vAlign w:val="bottom"/>
            <w:tcBorders>
              <w:left w:val="single" w:sz="8" w:color="auto"/>
              <w:right w:val="single" w:sz="8" w:color="auto"/>
            </w:tcBorders>
          </w:tcPr>
          <w:p>
            <w:pPr>
              <w:spacing w:after="0"/>
              <w:rPr>
                <w:sz w:val="20"/>
                <w:szCs w:val="20"/>
                <w:color w:val="auto"/>
              </w:rPr>
            </w:pPr>
          </w:p>
        </w:tc>
        <w:tc>
          <w:tcPr>
            <w:tcW w:w="6960" w:type="dxa"/>
            <w:vAlign w:val="bottom"/>
            <w:tcBorders>
              <w:right w:val="single" w:sz="8" w:color="auto"/>
            </w:tcBorders>
          </w:tcPr>
          <w:p>
            <w:pPr>
              <w:spacing w:after="0"/>
              <w:rPr>
                <w:sz w:val="20"/>
                <w:szCs w:val="20"/>
                <w:color w:val="auto"/>
              </w:rPr>
            </w:pPr>
            <w:r>
              <w:rPr>
                <w:rFonts w:ascii="Arial" w:cs="Arial" w:eastAsia="Arial" w:hAnsi="Arial"/>
                <w:sz w:val="20"/>
                <w:szCs w:val="20"/>
                <w:color w:val="auto"/>
                <w:w w:val="93"/>
              </w:rPr>
              <w:t>Performs customer service, low level IT support, and FX trading support services for</w:t>
            </w:r>
          </w:p>
        </w:tc>
      </w:tr>
      <w:tr>
        <w:trPr>
          <w:trHeight w:val="250"/>
        </w:trPr>
        <w:tc>
          <w:tcPr>
            <w:tcW w:w="362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RIA Money Transfer Services Pvt. Ltd.</w:t>
            </w:r>
          </w:p>
        </w:tc>
        <w:tc>
          <w:tcPr>
            <w:tcW w:w="6960" w:type="dxa"/>
            <w:vAlign w:val="bottom"/>
            <w:tcBorders>
              <w:right w:val="single" w:sz="8" w:color="auto"/>
            </w:tcBorders>
          </w:tcPr>
          <w:p>
            <w:pPr>
              <w:spacing w:after="0"/>
              <w:rPr>
                <w:sz w:val="20"/>
                <w:szCs w:val="20"/>
                <w:color w:val="auto"/>
              </w:rPr>
            </w:pPr>
            <w:r>
              <w:rPr>
                <w:rFonts w:ascii="Arial" w:cs="Arial" w:eastAsia="Arial" w:hAnsi="Arial"/>
                <w:sz w:val="20"/>
                <w:szCs w:val="20"/>
                <w:color w:val="auto"/>
              </w:rPr>
              <w:t>Continental Exchange Solutions, Inc.</w:t>
            </w:r>
          </w:p>
        </w:tc>
      </w:tr>
      <w:tr>
        <w:trPr>
          <w:trHeight w:val="23"/>
        </w:trPr>
        <w:tc>
          <w:tcPr>
            <w:tcW w:w="3620" w:type="dxa"/>
            <w:vAlign w:val="bottom"/>
            <w:tcBorders>
              <w:left w:val="single" w:sz="8" w:color="auto"/>
              <w:bottom w:val="single" w:sz="8" w:color="auto"/>
              <w:right w:val="single" w:sz="8" w:color="auto"/>
            </w:tcBorders>
          </w:tcPr>
          <w:p>
            <w:pPr>
              <w:spacing w:after="0"/>
              <w:rPr>
                <w:sz w:val="2"/>
                <w:szCs w:val="2"/>
                <w:color w:val="auto"/>
              </w:rPr>
            </w:pPr>
          </w:p>
        </w:tc>
        <w:tc>
          <w:tcPr>
            <w:tcW w:w="6960" w:type="dxa"/>
            <w:vAlign w:val="bottom"/>
            <w:tcBorders>
              <w:bottom w:val="single" w:sz="8" w:color="auto"/>
              <w:right w:val="single" w:sz="8" w:color="auto"/>
            </w:tcBorders>
          </w:tcPr>
          <w:p>
            <w:pPr>
              <w:spacing w:after="0"/>
              <w:rPr>
                <w:sz w:val="2"/>
                <w:szCs w:val="2"/>
                <w:color w:val="auto"/>
              </w:rPr>
            </w:pPr>
          </w:p>
        </w:tc>
      </w:tr>
      <w:tr>
        <w:trPr>
          <w:trHeight w:val="233"/>
        </w:trPr>
        <w:tc>
          <w:tcPr>
            <w:tcW w:w="3620" w:type="dxa"/>
            <w:vAlign w:val="bottom"/>
            <w:tcBorders>
              <w:left w:val="single" w:sz="8" w:color="auto"/>
              <w:right w:val="single" w:sz="8" w:color="auto"/>
            </w:tcBorders>
          </w:tcPr>
          <w:p>
            <w:pPr>
              <w:spacing w:after="0"/>
              <w:rPr>
                <w:sz w:val="20"/>
                <w:szCs w:val="20"/>
                <w:color w:val="auto"/>
              </w:rPr>
            </w:pPr>
          </w:p>
        </w:tc>
        <w:tc>
          <w:tcPr>
            <w:tcW w:w="6960" w:type="dxa"/>
            <w:vAlign w:val="bottom"/>
            <w:tcBorders>
              <w:right w:val="single" w:sz="8" w:color="auto"/>
            </w:tcBorders>
          </w:tcPr>
          <w:p>
            <w:pPr>
              <w:spacing w:after="0"/>
              <w:rPr>
                <w:sz w:val="20"/>
                <w:szCs w:val="20"/>
                <w:color w:val="auto"/>
              </w:rPr>
            </w:pPr>
            <w:r>
              <w:rPr>
                <w:rFonts w:ascii="Arial" w:cs="Arial" w:eastAsia="Arial" w:hAnsi="Arial"/>
                <w:sz w:val="20"/>
                <w:szCs w:val="20"/>
                <w:color w:val="auto"/>
                <w:w w:val="91"/>
              </w:rPr>
              <w:t>Performs payout of money remittance orders for affiliates in Euronet Worldwide, Inc.'s</w:t>
            </w:r>
          </w:p>
        </w:tc>
      </w:tr>
      <w:tr>
        <w:trPr>
          <w:trHeight w:val="250"/>
        </w:trPr>
        <w:tc>
          <w:tcPr>
            <w:tcW w:w="362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Ria Money Transfer, S.A. de C.V.</w:t>
            </w:r>
          </w:p>
        </w:tc>
        <w:tc>
          <w:tcPr>
            <w:tcW w:w="6960" w:type="dxa"/>
            <w:vAlign w:val="bottom"/>
            <w:tcBorders>
              <w:right w:val="single" w:sz="8" w:color="auto"/>
            </w:tcBorders>
          </w:tcPr>
          <w:p>
            <w:pPr>
              <w:spacing w:after="0"/>
              <w:rPr>
                <w:sz w:val="20"/>
                <w:szCs w:val="20"/>
                <w:color w:val="auto"/>
              </w:rPr>
            </w:pPr>
            <w:r>
              <w:rPr>
                <w:rFonts w:ascii="Arial" w:cs="Arial" w:eastAsia="Arial" w:hAnsi="Arial"/>
                <w:sz w:val="20"/>
                <w:szCs w:val="20"/>
                <w:color w:val="auto"/>
              </w:rPr>
              <w:t>money transfer segment.</w:t>
            </w:r>
          </w:p>
        </w:tc>
      </w:tr>
      <w:tr>
        <w:trPr>
          <w:trHeight w:val="23"/>
        </w:trPr>
        <w:tc>
          <w:tcPr>
            <w:tcW w:w="3620" w:type="dxa"/>
            <w:vAlign w:val="bottom"/>
            <w:tcBorders>
              <w:left w:val="single" w:sz="8" w:color="auto"/>
              <w:bottom w:val="single" w:sz="8" w:color="auto"/>
              <w:right w:val="single" w:sz="8" w:color="auto"/>
            </w:tcBorders>
          </w:tcPr>
          <w:p>
            <w:pPr>
              <w:spacing w:after="0"/>
              <w:rPr>
                <w:sz w:val="2"/>
                <w:szCs w:val="2"/>
                <w:color w:val="auto"/>
              </w:rPr>
            </w:pPr>
          </w:p>
        </w:tc>
        <w:tc>
          <w:tcPr>
            <w:tcW w:w="6960" w:type="dxa"/>
            <w:vAlign w:val="bottom"/>
            <w:tcBorders>
              <w:bottom w:val="single" w:sz="8" w:color="auto"/>
              <w:right w:val="single" w:sz="8" w:color="auto"/>
            </w:tcBorders>
          </w:tcPr>
          <w:p>
            <w:pPr>
              <w:spacing w:after="0"/>
              <w:rPr>
                <w:sz w:val="2"/>
                <w:szCs w:val="2"/>
                <w:color w:val="auto"/>
              </w:rPr>
            </w:pPr>
          </w:p>
        </w:tc>
      </w:tr>
      <w:tr>
        <w:trPr>
          <w:trHeight w:val="233"/>
        </w:trPr>
        <w:tc>
          <w:tcPr>
            <w:tcW w:w="3620" w:type="dxa"/>
            <w:vAlign w:val="bottom"/>
            <w:tcBorders>
              <w:left w:val="single" w:sz="8" w:color="auto"/>
              <w:right w:val="single" w:sz="8" w:color="auto"/>
            </w:tcBorders>
          </w:tcPr>
          <w:p>
            <w:pPr>
              <w:spacing w:after="0"/>
              <w:rPr>
                <w:sz w:val="20"/>
                <w:szCs w:val="20"/>
                <w:color w:val="auto"/>
              </w:rPr>
            </w:pPr>
          </w:p>
        </w:tc>
        <w:tc>
          <w:tcPr>
            <w:tcW w:w="6960" w:type="dxa"/>
            <w:vAlign w:val="bottom"/>
            <w:tcBorders>
              <w:right w:val="single" w:sz="8" w:color="auto"/>
            </w:tcBorders>
          </w:tcPr>
          <w:p>
            <w:pPr>
              <w:spacing w:after="0"/>
              <w:rPr>
                <w:sz w:val="20"/>
                <w:szCs w:val="20"/>
                <w:color w:val="auto"/>
              </w:rPr>
            </w:pPr>
            <w:r>
              <w:rPr>
                <w:rFonts w:ascii="Arial" w:cs="Arial" w:eastAsia="Arial" w:hAnsi="Arial"/>
                <w:sz w:val="20"/>
                <w:szCs w:val="20"/>
                <w:color w:val="auto"/>
                <w:w w:val="91"/>
              </w:rPr>
              <w:t>Performs payout of money remittance orders for affiliates in Euronet Worldwide, Inc.'s</w:t>
            </w:r>
          </w:p>
        </w:tc>
      </w:tr>
      <w:tr>
        <w:trPr>
          <w:trHeight w:val="230"/>
        </w:trPr>
        <w:tc>
          <w:tcPr>
            <w:tcW w:w="3620" w:type="dxa"/>
            <w:vAlign w:val="bottom"/>
            <w:tcBorders>
              <w:left w:val="single" w:sz="8" w:color="auto"/>
              <w:right w:val="single" w:sz="8" w:color="auto"/>
            </w:tcBorders>
          </w:tcPr>
          <w:p>
            <w:pPr>
              <w:spacing w:after="0"/>
              <w:rPr>
                <w:sz w:val="19"/>
                <w:szCs w:val="19"/>
                <w:color w:val="auto"/>
              </w:rPr>
            </w:pPr>
          </w:p>
        </w:tc>
        <w:tc>
          <w:tcPr>
            <w:tcW w:w="6960" w:type="dxa"/>
            <w:vAlign w:val="bottom"/>
            <w:tcBorders>
              <w:right w:val="single" w:sz="8" w:color="auto"/>
            </w:tcBorders>
          </w:tcPr>
          <w:p>
            <w:pPr>
              <w:spacing w:after="0"/>
              <w:rPr>
                <w:sz w:val="20"/>
                <w:szCs w:val="20"/>
                <w:color w:val="auto"/>
              </w:rPr>
            </w:pPr>
            <w:r>
              <w:rPr>
                <w:rFonts w:ascii="Arial" w:cs="Arial" w:eastAsia="Arial" w:hAnsi="Arial"/>
                <w:sz w:val="20"/>
                <w:szCs w:val="20"/>
                <w:color w:val="auto"/>
                <w:w w:val="90"/>
              </w:rPr>
              <w:t>money transfer segment, provides payroll services to Euronet Business Holdings SLU,</w:t>
            </w:r>
          </w:p>
        </w:tc>
      </w:tr>
      <w:tr>
        <w:trPr>
          <w:trHeight w:val="230"/>
        </w:trPr>
        <w:tc>
          <w:tcPr>
            <w:tcW w:w="3620" w:type="dxa"/>
            <w:vAlign w:val="bottom"/>
            <w:tcBorders>
              <w:left w:val="single" w:sz="8" w:color="auto"/>
              <w:right w:val="single" w:sz="8" w:color="auto"/>
            </w:tcBorders>
          </w:tcPr>
          <w:p>
            <w:pPr>
              <w:spacing w:after="0"/>
              <w:rPr>
                <w:sz w:val="19"/>
                <w:szCs w:val="19"/>
                <w:color w:val="auto"/>
              </w:rPr>
            </w:pPr>
          </w:p>
        </w:tc>
        <w:tc>
          <w:tcPr>
            <w:tcW w:w="6960" w:type="dxa"/>
            <w:vAlign w:val="bottom"/>
            <w:tcBorders>
              <w:right w:val="single" w:sz="8" w:color="auto"/>
            </w:tcBorders>
          </w:tcPr>
          <w:p>
            <w:pPr>
              <w:spacing w:after="0"/>
              <w:rPr>
                <w:sz w:val="20"/>
                <w:szCs w:val="20"/>
                <w:color w:val="auto"/>
              </w:rPr>
            </w:pPr>
            <w:r>
              <w:rPr>
                <w:rFonts w:ascii="Arial" w:cs="Arial" w:eastAsia="Arial" w:hAnsi="Arial"/>
                <w:sz w:val="20"/>
                <w:szCs w:val="20"/>
                <w:color w:val="auto"/>
                <w:w w:val="97"/>
              </w:rPr>
              <w:t>provides FX trading support services, provides marketing products and services,</w:t>
            </w:r>
          </w:p>
        </w:tc>
      </w:tr>
      <w:tr>
        <w:trPr>
          <w:trHeight w:val="230"/>
        </w:trPr>
        <w:tc>
          <w:tcPr>
            <w:tcW w:w="3620" w:type="dxa"/>
            <w:vAlign w:val="bottom"/>
            <w:tcBorders>
              <w:left w:val="single" w:sz="8" w:color="auto"/>
              <w:right w:val="single" w:sz="8" w:color="auto"/>
            </w:tcBorders>
          </w:tcPr>
          <w:p>
            <w:pPr>
              <w:spacing w:after="0"/>
              <w:rPr>
                <w:sz w:val="19"/>
                <w:szCs w:val="19"/>
                <w:color w:val="auto"/>
              </w:rPr>
            </w:pPr>
          </w:p>
        </w:tc>
        <w:tc>
          <w:tcPr>
            <w:tcW w:w="6960" w:type="dxa"/>
            <w:vAlign w:val="bottom"/>
            <w:tcBorders>
              <w:right w:val="single" w:sz="8" w:color="auto"/>
            </w:tcBorders>
          </w:tcPr>
          <w:p>
            <w:pPr>
              <w:spacing w:after="0"/>
              <w:rPr>
                <w:sz w:val="20"/>
                <w:szCs w:val="20"/>
                <w:color w:val="auto"/>
              </w:rPr>
            </w:pPr>
            <w:r>
              <w:rPr>
                <w:rFonts w:ascii="Arial" w:cs="Arial" w:eastAsia="Arial" w:hAnsi="Arial"/>
                <w:sz w:val="20"/>
                <w:szCs w:val="20"/>
                <w:color w:val="auto"/>
                <w:w w:val="92"/>
              </w:rPr>
              <w:t>software licenses and other miscellaneous items to Euronet Worldwide, Inc.'s money</w:t>
            </w:r>
          </w:p>
        </w:tc>
      </w:tr>
      <w:tr>
        <w:trPr>
          <w:trHeight w:val="250"/>
        </w:trPr>
        <w:tc>
          <w:tcPr>
            <w:tcW w:w="362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RIA Payment Institution EP, S.A.U.</w:t>
            </w:r>
          </w:p>
        </w:tc>
        <w:tc>
          <w:tcPr>
            <w:tcW w:w="6960" w:type="dxa"/>
            <w:vAlign w:val="bottom"/>
            <w:tcBorders>
              <w:right w:val="single" w:sz="8" w:color="auto"/>
            </w:tcBorders>
          </w:tcPr>
          <w:p>
            <w:pPr>
              <w:spacing w:after="0"/>
              <w:rPr>
                <w:sz w:val="20"/>
                <w:szCs w:val="20"/>
                <w:color w:val="auto"/>
              </w:rPr>
            </w:pPr>
            <w:r>
              <w:rPr>
                <w:rFonts w:ascii="Arial" w:cs="Arial" w:eastAsia="Arial" w:hAnsi="Arial"/>
                <w:sz w:val="20"/>
                <w:szCs w:val="20"/>
                <w:color w:val="auto"/>
              </w:rPr>
              <w:t>transfer segment.</w:t>
            </w:r>
          </w:p>
        </w:tc>
      </w:tr>
      <w:tr>
        <w:trPr>
          <w:trHeight w:val="23"/>
        </w:trPr>
        <w:tc>
          <w:tcPr>
            <w:tcW w:w="3620" w:type="dxa"/>
            <w:vAlign w:val="bottom"/>
            <w:tcBorders>
              <w:left w:val="single" w:sz="8" w:color="auto"/>
              <w:bottom w:val="single" w:sz="8" w:color="auto"/>
              <w:right w:val="single" w:sz="8" w:color="auto"/>
            </w:tcBorders>
          </w:tcPr>
          <w:p>
            <w:pPr>
              <w:spacing w:after="0"/>
              <w:rPr>
                <w:sz w:val="2"/>
                <w:szCs w:val="2"/>
                <w:color w:val="auto"/>
              </w:rPr>
            </w:pPr>
          </w:p>
        </w:tc>
        <w:tc>
          <w:tcPr>
            <w:tcW w:w="6960" w:type="dxa"/>
            <w:vAlign w:val="bottom"/>
            <w:tcBorders>
              <w:bottom w:val="single" w:sz="8" w:color="auto"/>
              <w:right w:val="single" w:sz="8" w:color="auto"/>
            </w:tcBorders>
          </w:tcPr>
          <w:p>
            <w:pPr>
              <w:spacing w:after="0"/>
              <w:rPr>
                <w:sz w:val="2"/>
                <w:szCs w:val="2"/>
                <w:color w:val="auto"/>
              </w:rPr>
            </w:pPr>
          </w:p>
        </w:tc>
      </w:tr>
      <w:tr>
        <w:trPr>
          <w:trHeight w:val="233"/>
        </w:trPr>
        <w:tc>
          <w:tcPr>
            <w:tcW w:w="3620" w:type="dxa"/>
            <w:vAlign w:val="bottom"/>
            <w:tcBorders>
              <w:left w:val="single" w:sz="8" w:color="auto"/>
              <w:right w:val="single" w:sz="8" w:color="auto"/>
            </w:tcBorders>
          </w:tcPr>
          <w:p>
            <w:pPr>
              <w:spacing w:after="0"/>
              <w:rPr>
                <w:sz w:val="20"/>
                <w:szCs w:val="20"/>
                <w:color w:val="auto"/>
              </w:rPr>
            </w:pPr>
          </w:p>
        </w:tc>
        <w:tc>
          <w:tcPr>
            <w:tcW w:w="6960" w:type="dxa"/>
            <w:vAlign w:val="bottom"/>
            <w:tcBorders>
              <w:right w:val="single" w:sz="8" w:color="auto"/>
            </w:tcBorders>
          </w:tcPr>
          <w:p>
            <w:pPr>
              <w:spacing w:after="0"/>
              <w:rPr>
                <w:sz w:val="20"/>
                <w:szCs w:val="20"/>
                <w:color w:val="auto"/>
              </w:rPr>
            </w:pPr>
            <w:r>
              <w:rPr>
                <w:rFonts w:ascii="Arial" w:cs="Arial" w:eastAsia="Arial" w:hAnsi="Arial"/>
                <w:sz w:val="20"/>
                <w:szCs w:val="20"/>
                <w:color w:val="auto"/>
                <w:w w:val="91"/>
              </w:rPr>
              <w:t>Performs payout of money remittance orders for affiliates in Euronet Worldwide, Inc.'s</w:t>
            </w:r>
          </w:p>
        </w:tc>
      </w:tr>
      <w:tr>
        <w:trPr>
          <w:trHeight w:val="250"/>
        </w:trPr>
        <w:tc>
          <w:tcPr>
            <w:tcW w:w="362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w w:val="98"/>
              </w:rPr>
              <w:t>RIA Telecommunications of Canada Inc.</w:t>
            </w:r>
          </w:p>
        </w:tc>
        <w:tc>
          <w:tcPr>
            <w:tcW w:w="6960" w:type="dxa"/>
            <w:vAlign w:val="bottom"/>
            <w:tcBorders>
              <w:right w:val="single" w:sz="8" w:color="auto"/>
            </w:tcBorders>
          </w:tcPr>
          <w:p>
            <w:pPr>
              <w:spacing w:after="0"/>
              <w:rPr>
                <w:sz w:val="20"/>
                <w:szCs w:val="20"/>
                <w:color w:val="auto"/>
              </w:rPr>
            </w:pPr>
            <w:r>
              <w:rPr>
                <w:rFonts w:ascii="Arial" w:cs="Arial" w:eastAsia="Arial" w:hAnsi="Arial"/>
                <w:sz w:val="20"/>
                <w:szCs w:val="20"/>
                <w:color w:val="auto"/>
              </w:rPr>
              <w:t>money transfer segment.</w:t>
            </w:r>
          </w:p>
        </w:tc>
      </w:tr>
      <w:tr>
        <w:trPr>
          <w:trHeight w:val="23"/>
        </w:trPr>
        <w:tc>
          <w:tcPr>
            <w:tcW w:w="3620" w:type="dxa"/>
            <w:vAlign w:val="bottom"/>
            <w:tcBorders>
              <w:left w:val="single" w:sz="8" w:color="auto"/>
              <w:bottom w:val="single" w:sz="8" w:color="auto"/>
              <w:right w:val="single" w:sz="8" w:color="auto"/>
            </w:tcBorders>
          </w:tcPr>
          <w:p>
            <w:pPr>
              <w:spacing w:after="0"/>
              <w:rPr>
                <w:sz w:val="2"/>
                <w:szCs w:val="2"/>
                <w:color w:val="auto"/>
              </w:rPr>
            </w:pPr>
          </w:p>
        </w:tc>
        <w:tc>
          <w:tcPr>
            <w:tcW w:w="6960" w:type="dxa"/>
            <w:vAlign w:val="bottom"/>
            <w:tcBorders>
              <w:bottom w:val="single" w:sz="8" w:color="auto"/>
              <w:right w:val="single" w:sz="8" w:color="auto"/>
            </w:tcBorders>
          </w:tcPr>
          <w:p>
            <w:pPr>
              <w:spacing w:after="0"/>
              <w:rPr>
                <w:sz w:val="2"/>
                <w:szCs w:val="2"/>
                <w:color w:val="auto"/>
              </w:rPr>
            </w:pPr>
          </w:p>
        </w:tc>
      </w:tr>
      <w:tr>
        <w:trPr>
          <w:trHeight w:val="254"/>
        </w:trPr>
        <w:tc>
          <w:tcPr>
            <w:tcW w:w="362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Telecom Net S.A. Logistica Digital</w:t>
            </w:r>
          </w:p>
        </w:tc>
        <w:tc>
          <w:tcPr>
            <w:tcW w:w="6960" w:type="dxa"/>
            <w:vAlign w:val="bottom"/>
            <w:tcBorders>
              <w:right w:val="single" w:sz="8" w:color="auto"/>
            </w:tcBorders>
          </w:tcPr>
          <w:p>
            <w:pPr>
              <w:spacing w:after="0"/>
              <w:rPr>
                <w:sz w:val="20"/>
                <w:szCs w:val="20"/>
                <w:color w:val="auto"/>
              </w:rPr>
            </w:pPr>
            <w:r>
              <w:rPr>
                <w:rFonts w:ascii="Arial" w:cs="Arial" w:eastAsia="Arial" w:hAnsi="Arial"/>
                <w:sz w:val="20"/>
                <w:szCs w:val="20"/>
                <w:color w:val="auto"/>
              </w:rPr>
              <w:t>Performs development services for PaySpot, Inc.</w:t>
            </w:r>
          </w:p>
        </w:tc>
      </w:tr>
      <w:tr>
        <w:trPr>
          <w:trHeight w:val="23"/>
        </w:trPr>
        <w:tc>
          <w:tcPr>
            <w:tcW w:w="3620" w:type="dxa"/>
            <w:vAlign w:val="bottom"/>
            <w:tcBorders>
              <w:left w:val="single" w:sz="8" w:color="auto"/>
              <w:bottom w:val="single" w:sz="8" w:color="auto"/>
              <w:right w:val="single" w:sz="8" w:color="auto"/>
            </w:tcBorders>
          </w:tcPr>
          <w:p>
            <w:pPr>
              <w:spacing w:after="0"/>
              <w:rPr>
                <w:sz w:val="2"/>
                <w:szCs w:val="2"/>
                <w:color w:val="auto"/>
              </w:rPr>
            </w:pPr>
          </w:p>
        </w:tc>
        <w:tc>
          <w:tcPr>
            <w:tcW w:w="6960" w:type="dxa"/>
            <w:vAlign w:val="bottom"/>
            <w:tcBorders>
              <w:bottom w:val="single" w:sz="8" w:color="auto"/>
              <w:right w:val="single" w:sz="8" w:color="auto"/>
            </w:tcBorders>
          </w:tcPr>
          <w:p>
            <w:pPr>
              <w:spacing w:after="0"/>
              <w:rPr>
                <w:sz w:val="2"/>
                <w:szCs w:val="2"/>
                <w:color w:val="auto"/>
              </w:rPr>
            </w:pPr>
          </w:p>
        </w:tc>
      </w:tr>
      <w:tr>
        <w:trPr>
          <w:trHeight w:val="233"/>
        </w:trPr>
        <w:tc>
          <w:tcPr>
            <w:tcW w:w="3620" w:type="dxa"/>
            <w:vAlign w:val="bottom"/>
            <w:tcBorders>
              <w:left w:val="single" w:sz="8" w:color="auto"/>
              <w:right w:val="single" w:sz="8" w:color="auto"/>
            </w:tcBorders>
          </w:tcPr>
          <w:p>
            <w:pPr>
              <w:spacing w:after="0"/>
              <w:rPr>
                <w:sz w:val="20"/>
                <w:szCs w:val="20"/>
                <w:color w:val="auto"/>
              </w:rPr>
            </w:pPr>
          </w:p>
        </w:tc>
        <w:tc>
          <w:tcPr>
            <w:tcW w:w="6960" w:type="dxa"/>
            <w:vAlign w:val="bottom"/>
            <w:tcBorders>
              <w:right w:val="single" w:sz="8" w:color="auto"/>
            </w:tcBorders>
          </w:tcPr>
          <w:p>
            <w:pPr>
              <w:spacing w:after="0"/>
              <w:rPr>
                <w:sz w:val="20"/>
                <w:szCs w:val="20"/>
                <w:color w:val="auto"/>
              </w:rPr>
            </w:pPr>
            <w:r>
              <w:rPr>
                <w:rFonts w:ascii="Arial" w:cs="Arial" w:eastAsia="Arial" w:hAnsi="Arial"/>
                <w:sz w:val="20"/>
                <w:szCs w:val="20"/>
                <w:color w:val="auto"/>
                <w:w w:val="89"/>
              </w:rPr>
              <w:t>Performs transaction processing, development solutions, and management, accounting,</w:t>
            </w:r>
          </w:p>
        </w:tc>
      </w:tr>
      <w:tr>
        <w:trPr>
          <w:trHeight w:val="230"/>
        </w:trPr>
        <w:tc>
          <w:tcPr>
            <w:tcW w:w="3620" w:type="dxa"/>
            <w:vAlign w:val="bottom"/>
            <w:tcBorders>
              <w:left w:val="single" w:sz="8" w:color="auto"/>
              <w:right w:val="single" w:sz="8" w:color="auto"/>
            </w:tcBorders>
          </w:tcPr>
          <w:p>
            <w:pPr>
              <w:spacing w:after="0"/>
              <w:rPr>
                <w:sz w:val="19"/>
                <w:szCs w:val="19"/>
                <w:color w:val="auto"/>
              </w:rPr>
            </w:pPr>
          </w:p>
        </w:tc>
        <w:tc>
          <w:tcPr>
            <w:tcW w:w="6960" w:type="dxa"/>
            <w:vAlign w:val="bottom"/>
            <w:tcBorders>
              <w:right w:val="single" w:sz="8" w:color="auto"/>
            </w:tcBorders>
          </w:tcPr>
          <w:p>
            <w:pPr>
              <w:spacing w:after="0"/>
              <w:rPr>
                <w:sz w:val="20"/>
                <w:szCs w:val="20"/>
                <w:color w:val="auto"/>
              </w:rPr>
            </w:pPr>
            <w:r>
              <w:rPr>
                <w:rFonts w:ascii="Arial" w:cs="Arial" w:eastAsia="Arial" w:hAnsi="Arial"/>
                <w:sz w:val="20"/>
                <w:szCs w:val="20"/>
                <w:color w:val="auto"/>
                <w:w w:val="90"/>
              </w:rPr>
              <w:t>and support services for affiliates in Euronet Worldwide, Inc.'s epay segment, partners</w:t>
            </w:r>
          </w:p>
        </w:tc>
      </w:tr>
      <w:tr>
        <w:trPr>
          <w:trHeight w:val="230"/>
        </w:trPr>
        <w:tc>
          <w:tcPr>
            <w:tcW w:w="3620" w:type="dxa"/>
            <w:vAlign w:val="bottom"/>
            <w:tcBorders>
              <w:left w:val="single" w:sz="8" w:color="auto"/>
              <w:right w:val="single" w:sz="8" w:color="auto"/>
            </w:tcBorders>
          </w:tcPr>
          <w:p>
            <w:pPr>
              <w:spacing w:after="0"/>
              <w:rPr>
                <w:sz w:val="19"/>
                <w:szCs w:val="19"/>
                <w:color w:val="auto"/>
              </w:rPr>
            </w:pPr>
          </w:p>
        </w:tc>
        <w:tc>
          <w:tcPr>
            <w:tcW w:w="6960" w:type="dxa"/>
            <w:vAlign w:val="bottom"/>
            <w:tcBorders>
              <w:right w:val="single" w:sz="8" w:color="auto"/>
            </w:tcBorders>
          </w:tcPr>
          <w:p>
            <w:pPr>
              <w:spacing w:after="0"/>
              <w:rPr>
                <w:sz w:val="20"/>
                <w:szCs w:val="20"/>
                <w:color w:val="auto"/>
              </w:rPr>
            </w:pPr>
            <w:r>
              <w:rPr>
                <w:rFonts w:ascii="Arial" w:cs="Arial" w:eastAsia="Arial" w:hAnsi="Arial"/>
                <w:sz w:val="20"/>
                <w:szCs w:val="20"/>
                <w:color w:val="auto"/>
                <w:w w:val="94"/>
              </w:rPr>
              <w:t>in the ownership of software developed jointly developed with Euronet Services Kft.</w:t>
            </w:r>
          </w:p>
        </w:tc>
      </w:tr>
      <w:tr>
        <w:trPr>
          <w:trHeight w:val="230"/>
        </w:trPr>
        <w:tc>
          <w:tcPr>
            <w:tcW w:w="3620" w:type="dxa"/>
            <w:vAlign w:val="bottom"/>
            <w:tcBorders>
              <w:left w:val="single" w:sz="8" w:color="auto"/>
              <w:right w:val="single" w:sz="8" w:color="auto"/>
            </w:tcBorders>
          </w:tcPr>
          <w:p>
            <w:pPr>
              <w:spacing w:after="0"/>
              <w:rPr>
                <w:sz w:val="19"/>
                <w:szCs w:val="19"/>
                <w:color w:val="auto"/>
              </w:rPr>
            </w:pPr>
          </w:p>
        </w:tc>
        <w:tc>
          <w:tcPr>
            <w:tcW w:w="6960" w:type="dxa"/>
            <w:vAlign w:val="bottom"/>
            <w:tcBorders>
              <w:right w:val="single" w:sz="8" w:color="auto"/>
            </w:tcBorders>
          </w:tcPr>
          <w:p>
            <w:pPr>
              <w:spacing w:after="0"/>
              <w:rPr>
                <w:sz w:val="20"/>
                <w:szCs w:val="20"/>
                <w:color w:val="auto"/>
              </w:rPr>
            </w:pPr>
            <w:r>
              <w:rPr>
                <w:rFonts w:ascii="Arial" w:cs="Arial" w:eastAsia="Arial" w:hAnsi="Arial"/>
                <w:sz w:val="20"/>
                <w:szCs w:val="20"/>
                <w:color w:val="auto"/>
                <w:w w:val="97"/>
              </w:rPr>
              <w:t>referred to internally as "Euronet Financial Transaction Software" or "EFTS", and</w:t>
            </w:r>
          </w:p>
        </w:tc>
      </w:tr>
      <w:tr>
        <w:trPr>
          <w:trHeight w:val="230"/>
        </w:trPr>
        <w:tc>
          <w:tcPr>
            <w:tcW w:w="362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w w:val="98"/>
              </w:rPr>
              <w:t>transact Elektronische Zahlungssysteme</w:t>
            </w:r>
          </w:p>
        </w:tc>
        <w:tc>
          <w:tcPr>
            <w:tcW w:w="6960" w:type="dxa"/>
            <w:vAlign w:val="bottom"/>
            <w:tcBorders>
              <w:right w:val="single" w:sz="8" w:color="auto"/>
            </w:tcBorders>
          </w:tcPr>
          <w:p>
            <w:pPr>
              <w:spacing w:after="0"/>
              <w:rPr>
                <w:sz w:val="20"/>
                <w:szCs w:val="20"/>
                <w:color w:val="auto"/>
              </w:rPr>
            </w:pPr>
            <w:r>
              <w:rPr>
                <w:rFonts w:ascii="Arial" w:cs="Arial" w:eastAsia="Arial" w:hAnsi="Arial"/>
                <w:sz w:val="20"/>
                <w:szCs w:val="20"/>
                <w:color w:val="auto"/>
              </w:rPr>
              <w:t>performs ePOS routing and Interbank Gateway Transactions for Euronet Card</w:t>
            </w:r>
          </w:p>
        </w:tc>
      </w:tr>
      <w:tr>
        <w:trPr>
          <w:trHeight w:val="250"/>
        </w:trPr>
        <w:tc>
          <w:tcPr>
            <w:tcW w:w="362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GmbH</w:t>
            </w:r>
          </w:p>
        </w:tc>
        <w:tc>
          <w:tcPr>
            <w:tcW w:w="6960" w:type="dxa"/>
            <w:vAlign w:val="bottom"/>
            <w:tcBorders>
              <w:right w:val="single" w:sz="8" w:color="auto"/>
            </w:tcBorders>
          </w:tcPr>
          <w:p>
            <w:pPr>
              <w:spacing w:after="0"/>
              <w:rPr>
                <w:sz w:val="20"/>
                <w:szCs w:val="20"/>
                <w:color w:val="auto"/>
              </w:rPr>
            </w:pPr>
            <w:r>
              <w:rPr>
                <w:rFonts w:ascii="Arial" w:cs="Arial" w:eastAsia="Arial" w:hAnsi="Arial"/>
                <w:sz w:val="20"/>
                <w:szCs w:val="20"/>
                <w:color w:val="auto"/>
              </w:rPr>
              <w:t>Services, S.A.</w:t>
            </w:r>
          </w:p>
        </w:tc>
      </w:tr>
      <w:tr>
        <w:trPr>
          <w:trHeight w:val="23"/>
        </w:trPr>
        <w:tc>
          <w:tcPr>
            <w:tcW w:w="3620" w:type="dxa"/>
            <w:vAlign w:val="bottom"/>
            <w:tcBorders>
              <w:left w:val="single" w:sz="8" w:color="auto"/>
              <w:bottom w:val="single" w:sz="8" w:color="auto"/>
              <w:right w:val="single" w:sz="8" w:color="auto"/>
            </w:tcBorders>
          </w:tcPr>
          <w:p>
            <w:pPr>
              <w:spacing w:after="0"/>
              <w:rPr>
                <w:sz w:val="2"/>
                <w:szCs w:val="2"/>
                <w:color w:val="auto"/>
              </w:rPr>
            </w:pPr>
          </w:p>
        </w:tc>
        <w:tc>
          <w:tcPr>
            <w:tcW w:w="6960" w:type="dxa"/>
            <w:vAlign w:val="bottom"/>
            <w:tcBorders>
              <w:bottom w:val="single" w:sz="8" w:color="auto"/>
              <w:right w:val="single" w:sz="8" w:color="auto"/>
            </w:tcBorders>
          </w:tcPr>
          <w:p>
            <w:pPr>
              <w:spacing w:after="0"/>
              <w:rPr>
                <w:sz w:val="2"/>
                <w:szCs w:val="2"/>
                <w:color w:val="auto"/>
              </w:rPr>
            </w:pPr>
          </w:p>
        </w:tc>
      </w:tr>
    </w:tbl>
    <w:p>
      <w:pPr>
        <w:sectPr>
          <w:pgSz w:w="11900" w:h="16838" w:orient="portrait"/>
          <w:cols w:equalWidth="0" w:num="1">
            <w:col w:w="10580"/>
          </w:cols>
          <w:pgMar w:left="680" w:top="498" w:right="639" w:bottom="1440" w:gutter="0" w:footer="0" w:header="0"/>
        </w:sectPr>
      </w:pPr>
    </w:p>
    <w:bookmarkStart w:id="297" w:name="page298"/>
    <w:bookmarkEnd w:id="297"/>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53"/>
        </w:trPr>
        <w:tc>
          <w:tcPr>
            <w:tcW w:w="2560" w:type="dxa"/>
            <w:vAlign w:val="bottom"/>
            <w:tcBorders>
              <w:top w:val="single" w:sz="8" w:color="auto"/>
              <w:left w:val="single" w:sz="8" w:color="auto"/>
            </w:tcBorders>
          </w:tcPr>
          <w:p>
            <w:pPr>
              <w:spacing w:after="0"/>
              <w:rPr>
                <w:sz w:val="22"/>
                <w:szCs w:val="22"/>
                <w:color w:val="auto"/>
              </w:rPr>
            </w:pPr>
          </w:p>
        </w:tc>
        <w:tc>
          <w:tcPr>
            <w:tcW w:w="1060" w:type="dxa"/>
            <w:vAlign w:val="bottom"/>
            <w:tcBorders>
              <w:top w:val="single" w:sz="8" w:color="auto"/>
              <w:right w:val="single" w:sz="8" w:color="auto"/>
            </w:tcBorders>
          </w:tcPr>
          <w:p>
            <w:pPr>
              <w:spacing w:after="0"/>
              <w:rPr>
                <w:sz w:val="22"/>
                <w:szCs w:val="22"/>
                <w:color w:val="auto"/>
              </w:rPr>
            </w:pPr>
          </w:p>
        </w:tc>
        <w:tc>
          <w:tcPr>
            <w:tcW w:w="6960" w:type="dxa"/>
            <w:vAlign w:val="bottom"/>
            <w:tcBorders>
              <w:top w:val="single" w:sz="8" w:color="auto"/>
              <w:right w:val="single" w:sz="8" w:color="auto"/>
            </w:tcBorders>
            <w:gridSpan w:val="3"/>
          </w:tcPr>
          <w:p>
            <w:pPr>
              <w:spacing w:after="0"/>
              <w:rPr>
                <w:sz w:val="20"/>
                <w:szCs w:val="20"/>
                <w:color w:val="auto"/>
              </w:rPr>
            </w:pPr>
            <w:r>
              <w:rPr>
                <w:rFonts w:ascii="Arial" w:cs="Arial" w:eastAsia="Arial" w:hAnsi="Arial"/>
                <w:sz w:val="20"/>
                <w:szCs w:val="20"/>
                <w:color w:val="auto"/>
                <w:w w:val="89"/>
              </w:rPr>
              <w:t>Lending funds on an as needed basis to other Euronet Entities, as provided in Schedule</w:t>
            </w:r>
          </w:p>
        </w:tc>
      </w:tr>
      <w:tr>
        <w:trPr>
          <w:trHeight w:val="250"/>
        </w:trPr>
        <w:tc>
          <w:tcPr>
            <w:tcW w:w="2560" w:type="dxa"/>
            <w:vAlign w:val="bottom"/>
            <w:tcBorders>
              <w:left w:val="single" w:sz="8" w:color="auto"/>
            </w:tcBorders>
          </w:tcPr>
          <w:p>
            <w:pPr>
              <w:ind w:left="40"/>
              <w:spacing w:after="0"/>
              <w:rPr>
                <w:sz w:val="20"/>
                <w:szCs w:val="20"/>
                <w:color w:val="auto"/>
              </w:rPr>
            </w:pPr>
            <w:r>
              <w:rPr>
                <w:rFonts w:ascii="Arial" w:cs="Arial" w:eastAsia="Arial" w:hAnsi="Arial"/>
                <w:sz w:val="20"/>
                <w:szCs w:val="20"/>
                <w:color w:val="auto"/>
              </w:rPr>
              <w:t>Various Euronet Entities</w:t>
            </w:r>
          </w:p>
        </w:tc>
        <w:tc>
          <w:tcPr>
            <w:tcW w:w="1060" w:type="dxa"/>
            <w:vAlign w:val="bottom"/>
            <w:tcBorders>
              <w:right w:val="single" w:sz="8" w:color="auto"/>
            </w:tcBorders>
          </w:tcPr>
          <w:p>
            <w:pPr>
              <w:spacing w:after="0"/>
              <w:rPr>
                <w:sz w:val="21"/>
                <w:szCs w:val="21"/>
                <w:color w:val="auto"/>
              </w:rPr>
            </w:pPr>
          </w:p>
        </w:tc>
        <w:tc>
          <w:tcPr>
            <w:tcW w:w="3260" w:type="dxa"/>
            <w:vAlign w:val="bottom"/>
            <w:gridSpan w:val="2"/>
          </w:tcPr>
          <w:p>
            <w:pPr>
              <w:spacing w:after="0"/>
              <w:rPr>
                <w:sz w:val="20"/>
                <w:szCs w:val="20"/>
                <w:color w:val="auto"/>
              </w:rPr>
            </w:pPr>
            <w:r>
              <w:rPr>
                <w:rFonts w:ascii="Arial" w:cs="Arial" w:eastAsia="Arial" w:hAnsi="Arial"/>
                <w:sz w:val="20"/>
                <w:szCs w:val="20"/>
                <w:color w:val="auto"/>
              </w:rPr>
              <w:t>8.02.</w:t>
            </w:r>
          </w:p>
        </w:tc>
        <w:tc>
          <w:tcPr>
            <w:tcW w:w="3700" w:type="dxa"/>
            <w:vAlign w:val="bottom"/>
            <w:tcBorders>
              <w:right w:val="single" w:sz="8" w:color="auto"/>
            </w:tcBorders>
          </w:tcPr>
          <w:p>
            <w:pPr>
              <w:spacing w:after="0"/>
              <w:rPr>
                <w:sz w:val="21"/>
                <w:szCs w:val="21"/>
                <w:color w:val="auto"/>
              </w:rPr>
            </w:pPr>
          </w:p>
        </w:tc>
      </w:tr>
      <w:tr>
        <w:trPr>
          <w:trHeight w:val="23"/>
        </w:trPr>
        <w:tc>
          <w:tcPr>
            <w:tcW w:w="2560" w:type="dxa"/>
            <w:vAlign w:val="bottom"/>
            <w:tcBorders>
              <w:left w:val="single" w:sz="8" w:color="auto"/>
              <w:bottom w:val="single" w:sz="8" w:color="auto"/>
            </w:tcBorders>
          </w:tcPr>
          <w:p>
            <w:pPr>
              <w:spacing w:after="0"/>
              <w:rPr>
                <w:sz w:val="2"/>
                <w:szCs w:val="2"/>
                <w:color w:val="auto"/>
              </w:rPr>
            </w:pPr>
          </w:p>
        </w:tc>
        <w:tc>
          <w:tcPr>
            <w:tcW w:w="1060" w:type="dxa"/>
            <w:vAlign w:val="bottom"/>
            <w:tcBorders>
              <w:bottom w:val="single" w:sz="8" w:color="auto"/>
              <w:right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3220" w:type="dxa"/>
            <w:vAlign w:val="bottom"/>
            <w:tcBorders>
              <w:bottom w:val="single" w:sz="8" w:color="auto"/>
            </w:tcBorders>
          </w:tcPr>
          <w:p>
            <w:pPr>
              <w:spacing w:after="0"/>
              <w:rPr>
                <w:sz w:val="2"/>
                <w:szCs w:val="2"/>
                <w:color w:val="auto"/>
              </w:rPr>
            </w:pPr>
          </w:p>
        </w:tc>
        <w:tc>
          <w:tcPr>
            <w:tcW w:w="3700" w:type="dxa"/>
            <w:vAlign w:val="bottom"/>
            <w:tcBorders>
              <w:bottom w:val="single" w:sz="8" w:color="auto"/>
              <w:right w:val="single" w:sz="8" w:color="auto"/>
            </w:tcBorders>
          </w:tcPr>
          <w:p>
            <w:pPr>
              <w:spacing w:after="0"/>
              <w:rPr>
                <w:sz w:val="2"/>
                <w:szCs w:val="2"/>
                <w:color w:val="auto"/>
              </w:rPr>
            </w:pPr>
          </w:p>
        </w:tc>
      </w:tr>
      <w:tr>
        <w:trPr>
          <w:trHeight w:val="399"/>
        </w:trPr>
        <w:tc>
          <w:tcPr>
            <w:tcW w:w="25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920" w:type="dxa"/>
            <w:vAlign w:val="bottom"/>
            <w:gridSpan w:val="2"/>
          </w:tcPr>
          <w:p>
            <w:pPr>
              <w:jc w:val="center"/>
              <w:ind w:right="3700"/>
              <w:spacing w:after="0"/>
              <w:rPr>
                <w:sz w:val="20"/>
                <w:szCs w:val="20"/>
                <w:color w:val="auto"/>
              </w:rPr>
            </w:pPr>
            <w:r>
              <w:rPr>
                <w:rFonts w:ascii="Arial" w:cs="Arial" w:eastAsia="Arial" w:hAnsi="Arial"/>
                <w:sz w:val="20"/>
                <w:szCs w:val="20"/>
                <w:b w:val="1"/>
                <w:bCs w:val="1"/>
                <w:color w:val="auto"/>
                <w:w w:val="86"/>
              </w:rPr>
              <w:t>Schedule 11.02 - Notice and Addresses</w:t>
            </w:r>
          </w:p>
        </w:tc>
      </w:tr>
      <w:tr>
        <w:trPr>
          <w:trHeight w:val="20"/>
        </w:trPr>
        <w:tc>
          <w:tcPr>
            <w:tcW w:w="2560" w:type="dxa"/>
            <w:vAlign w:val="bottom"/>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3220" w:type="dxa"/>
            <w:vAlign w:val="bottom"/>
            <w:shd w:val="clear" w:color="auto" w:fill="000000"/>
          </w:tcPr>
          <w:p>
            <w:pPr>
              <w:spacing w:after="0" w:line="20" w:lineRule="exact"/>
              <w:rPr>
                <w:sz w:val="1"/>
                <w:szCs w:val="1"/>
                <w:color w:val="auto"/>
              </w:rPr>
            </w:pPr>
          </w:p>
        </w:tc>
        <w:tc>
          <w:tcPr>
            <w:tcW w:w="3700" w:type="dxa"/>
            <w:vAlign w:val="bottom"/>
          </w:tcPr>
          <w:p>
            <w:pPr>
              <w:spacing w:after="0" w:line="20" w:lineRule="exact"/>
              <w:rPr>
                <w:sz w:val="1"/>
                <w:szCs w:val="1"/>
                <w:color w:val="auto"/>
              </w:rPr>
            </w:pPr>
          </w:p>
        </w:tc>
      </w:tr>
      <w:tr>
        <w:trPr>
          <w:trHeight w:val="470"/>
        </w:trPr>
        <w:tc>
          <w:tcPr>
            <w:tcW w:w="2560" w:type="dxa"/>
            <w:vAlign w:val="bottom"/>
          </w:tcPr>
          <w:p>
            <w:pPr>
              <w:spacing w:after="0"/>
              <w:rPr>
                <w:sz w:val="24"/>
                <w:szCs w:val="24"/>
                <w:color w:val="auto"/>
              </w:rPr>
            </w:pPr>
          </w:p>
        </w:tc>
        <w:tc>
          <w:tcPr>
            <w:tcW w:w="8020" w:type="dxa"/>
            <w:vAlign w:val="bottom"/>
            <w:gridSpan w:val="4"/>
          </w:tcPr>
          <w:p>
            <w:pPr>
              <w:jc w:val="center"/>
              <w:ind w:right="2580"/>
              <w:spacing w:after="0"/>
              <w:rPr>
                <w:sz w:val="20"/>
                <w:szCs w:val="20"/>
                <w:color w:val="auto"/>
              </w:rPr>
            </w:pPr>
            <w:r>
              <w:rPr>
                <w:rFonts w:ascii="Arial" w:cs="Arial" w:eastAsia="Arial" w:hAnsi="Arial"/>
                <w:sz w:val="20"/>
                <w:szCs w:val="20"/>
                <w:color w:val="auto"/>
                <w:w w:val="90"/>
              </w:rPr>
              <w:t>Not Applicable to Amended and Restated Agreement</w:t>
            </w:r>
          </w:p>
        </w:tc>
      </w:tr>
    </w:tbl>
    <w:p>
      <w:pPr>
        <w:sectPr>
          <w:pgSz w:w="11900" w:h="16838" w:orient="portrait"/>
          <w:cols w:equalWidth="0" w:num="1">
            <w:col w:w="10580"/>
          </w:cols>
          <w:pgMar w:left="680" w:top="498" w:right="639" w:bottom="1440" w:gutter="0" w:footer="0" w:header="0"/>
        </w:sectPr>
      </w:pPr>
    </w:p>
    <w:bookmarkStart w:id="298" w:name="page299"/>
    <w:bookmarkEnd w:id="298"/>
    <w:p>
      <w:pPr>
        <w:jc w:val="center"/>
        <w:ind w:right="-59"/>
        <w:spacing w:after="0"/>
        <w:rPr>
          <w:sz w:val="20"/>
          <w:szCs w:val="20"/>
          <w:color w:val="auto"/>
        </w:rPr>
      </w:pPr>
      <w:r>
        <w:rPr>
          <w:rFonts w:ascii="Arial" w:cs="Arial" w:eastAsia="Arial" w:hAnsi="Arial"/>
          <w:sz w:val="20"/>
          <w:szCs w:val="20"/>
          <w:u w:val="single" w:color="auto"/>
          <w:color w:val="auto"/>
        </w:rPr>
        <w:t>Exhibit 2.01</w:t>
      </w:r>
    </w:p>
    <w:p>
      <w:pPr>
        <w:spacing w:after="0" w:line="216" w:lineRule="exact"/>
        <w:rPr>
          <w:sz w:val="20"/>
          <w:szCs w:val="20"/>
          <w:color w:val="auto"/>
        </w:rPr>
      </w:pPr>
    </w:p>
    <w:p>
      <w:pPr>
        <w:jc w:val="center"/>
        <w:ind w:right="-59"/>
        <w:spacing w:after="0"/>
        <w:rPr>
          <w:sz w:val="20"/>
          <w:szCs w:val="20"/>
          <w:color w:val="auto"/>
        </w:rPr>
      </w:pPr>
      <w:r>
        <w:rPr>
          <w:rFonts w:ascii="Arial" w:cs="Arial" w:eastAsia="Arial" w:hAnsi="Arial"/>
          <w:sz w:val="20"/>
          <w:szCs w:val="20"/>
          <w:color w:val="auto"/>
        </w:rPr>
        <w:t>Form of Lender Joinder Agreement</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THIS LENDER JOINDER AGREEMENT (this “</w:t>
      </w:r>
      <w:r>
        <w:rPr>
          <w:rFonts w:ascii="Arial" w:cs="Arial" w:eastAsia="Arial" w:hAnsi="Arial"/>
          <w:sz w:val="18"/>
          <w:szCs w:val="18"/>
          <w:u w:val="single" w:color="auto"/>
          <w:color w:val="auto"/>
        </w:rPr>
        <w:t>Agreement</w:t>
      </w:r>
      <w:r>
        <w:rPr>
          <w:rFonts w:ascii="Arial" w:cs="Arial" w:eastAsia="Arial" w:hAnsi="Arial"/>
          <w:sz w:val="18"/>
          <w:szCs w:val="18"/>
          <w:color w:val="auto"/>
        </w:rPr>
        <w:t>”) dated as of __________, 201__ to the Credit Agreement referenced</w:t>
      </w:r>
    </w:p>
    <w:p>
      <w:pPr>
        <w:spacing w:after="0" w:line="39" w:lineRule="exact"/>
        <w:rPr>
          <w:sz w:val="20"/>
          <w:szCs w:val="20"/>
          <w:color w:val="auto"/>
        </w:rPr>
      </w:pPr>
    </w:p>
    <w:p>
      <w:pPr>
        <w:jc w:val="both"/>
        <w:ind w:right="740"/>
        <w:spacing w:after="0" w:line="241" w:lineRule="auto"/>
        <w:rPr>
          <w:sz w:val="20"/>
          <w:szCs w:val="20"/>
          <w:color w:val="auto"/>
        </w:rPr>
      </w:pPr>
      <w:r>
        <w:rPr>
          <w:rFonts w:ascii="Arial" w:cs="Arial" w:eastAsia="Arial" w:hAnsi="Arial"/>
          <w:sz w:val="20"/>
          <w:szCs w:val="20"/>
          <w:color w:val="auto"/>
        </w:rPr>
        <w:t>below is by and among [NEW LENDER] (the “</w:t>
      </w:r>
      <w:r>
        <w:rPr>
          <w:rFonts w:ascii="Arial" w:cs="Arial" w:eastAsia="Arial" w:hAnsi="Arial"/>
          <w:sz w:val="20"/>
          <w:szCs w:val="20"/>
          <w:u w:val="single" w:color="auto"/>
          <w:color w:val="auto"/>
        </w:rPr>
        <w:t>New Lender</w:t>
      </w:r>
      <w:r>
        <w:rPr>
          <w:rFonts w:ascii="Arial" w:cs="Arial" w:eastAsia="Arial" w:hAnsi="Arial"/>
          <w:sz w:val="20"/>
          <w:szCs w:val="20"/>
          <w:color w:val="auto"/>
        </w:rPr>
        <w:t>”), Euronet Worldwide, Inc., a Delaware corporation ("</w:t>
      </w:r>
      <w:r>
        <w:rPr>
          <w:rFonts w:ascii="Arial" w:cs="Arial" w:eastAsia="Arial" w:hAnsi="Arial"/>
          <w:sz w:val="20"/>
          <w:szCs w:val="20"/>
          <w:u w:val="single" w:color="auto"/>
          <w:color w:val="auto"/>
        </w:rPr>
        <w:t>Euronet</w:t>
      </w:r>
      <w:r>
        <w:rPr>
          <w:rFonts w:ascii="Arial" w:cs="Arial" w:eastAsia="Arial" w:hAnsi="Arial"/>
          <w:sz w:val="20"/>
          <w:szCs w:val="20"/>
          <w:color w:val="auto"/>
        </w:rPr>
        <w:t>") and the Administrative Agent under the Credit Agreement referenced below. Capitalized terms used but not otherwise defined herein have the meanings provided in the Credit Agreement referenced below.</w:t>
      </w:r>
    </w:p>
    <w:p>
      <w:pPr>
        <w:spacing w:after="0" w:line="196" w:lineRule="exact"/>
        <w:rPr>
          <w:sz w:val="20"/>
          <w:szCs w:val="20"/>
          <w:color w:val="auto"/>
        </w:rPr>
      </w:pPr>
    </w:p>
    <w:p>
      <w:pPr>
        <w:jc w:val="center"/>
        <w:ind w:right="-59"/>
        <w:spacing w:after="0"/>
        <w:rPr>
          <w:sz w:val="20"/>
          <w:szCs w:val="20"/>
          <w:color w:val="auto"/>
        </w:rPr>
      </w:pPr>
      <w:r>
        <w:rPr>
          <w:rFonts w:ascii="Arial" w:cs="Arial" w:eastAsia="Arial" w:hAnsi="Arial"/>
          <w:sz w:val="20"/>
          <w:szCs w:val="20"/>
          <w:color w:val="auto"/>
        </w:rPr>
        <w:t>W I T N E S S E T H</w:t>
      </w:r>
    </w:p>
    <w:p>
      <w:pPr>
        <w:spacing w:after="0" w:line="216" w:lineRule="exact"/>
        <w:rPr>
          <w:sz w:val="20"/>
          <w:szCs w:val="20"/>
          <w:color w:val="auto"/>
        </w:rPr>
      </w:pPr>
    </w:p>
    <w:p>
      <w:pPr>
        <w:ind w:right="120" w:firstLine="648"/>
        <w:spacing w:after="0" w:line="244" w:lineRule="auto"/>
        <w:rPr>
          <w:sz w:val="20"/>
          <w:szCs w:val="20"/>
          <w:color w:val="auto"/>
        </w:rPr>
      </w:pPr>
      <w:r>
        <w:rPr>
          <w:rFonts w:ascii="Arial" w:cs="Arial" w:eastAsia="Arial" w:hAnsi="Arial"/>
          <w:sz w:val="20"/>
          <w:szCs w:val="20"/>
          <w:color w:val="auto"/>
        </w:rPr>
        <w:t>WHEREAS, pursuant to that certain Amended and Restated Credit Agreement, dated as of August 18, 2011 (as amended, restated, increased, supplemented or otherwise modified from time to time, the “</w:t>
      </w:r>
      <w:r>
        <w:rPr>
          <w:rFonts w:ascii="Arial" w:cs="Arial" w:eastAsia="Arial" w:hAnsi="Arial"/>
          <w:sz w:val="20"/>
          <w:szCs w:val="20"/>
          <w:u w:val="single" w:color="auto"/>
          <w:color w:val="auto"/>
        </w:rPr>
        <w:t>Credit Agreement</w:t>
      </w:r>
      <w:r>
        <w:rPr>
          <w:rFonts w:ascii="Arial" w:cs="Arial" w:eastAsia="Arial" w:hAnsi="Arial"/>
          <w:sz w:val="20"/>
          <w:szCs w:val="20"/>
          <w:color w:val="auto"/>
        </w:rPr>
        <w:t>”) among Euronet and certain other Subsidiaries and Affiliates, as Borrowers, certain Subsidiaries and Affiliates, as Guarantors, the lenders from time to time party thereto (the “</w:t>
      </w:r>
      <w:r>
        <w:rPr>
          <w:rFonts w:ascii="Arial" w:cs="Arial" w:eastAsia="Arial" w:hAnsi="Arial"/>
          <w:sz w:val="20"/>
          <w:szCs w:val="20"/>
          <w:u w:val="single" w:color="auto"/>
          <w:color w:val="auto"/>
        </w:rPr>
        <w:t>Lenders</w:t>
      </w:r>
      <w:r>
        <w:rPr>
          <w:rFonts w:ascii="Arial" w:cs="Arial" w:eastAsia="Arial" w:hAnsi="Arial"/>
          <w:sz w:val="20"/>
          <w:szCs w:val="20"/>
          <w:color w:val="auto"/>
        </w:rPr>
        <w:t>”) and Bank of America, N.A., as administrative agent (in such capacity, the “</w:t>
      </w:r>
      <w:r>
        <w:rPr>
          <w:rFonts w:ascii="Arial" w:cs="Arial" w:eastAsia="Arial" w:hAnsi="Arial"/>
          <w:sz w:val="20"/>
          <w:szCs w:val="20"/>
          <w:u w:val="single" w:color="auto"/>
          <w:color w:val="auto"/>
        </w:rPr>
        <w:t>Administrative Agent</w:t>
      </w:r>
      <w:r>
        <w:rPr>
          <w:rFonts w:ascii="Arial" w:cs="Arial" w:eastAsia="Arial" w:hAnsi="Arial"/>
          <w:sz w:val="20"/>
          <w:szCs w:val="20"/>
          <w:color w:val="auto"/>
        </w:rPr>
        <w:t>”), the Lenders have agreed to provide the Borrower with revolving credit and term loan facilities;</w:t>
      </w:r>
    </w:p>
    <w:p>
      <w:pPr>
        <w:spacing w:after="0" w:line="195" w:lineRule="exact"/>
        <w:rPr>
          <w:sz w:val="20"/>
          <w:szCs w:val="20"/>
          <w:color w:val="auto"/>
        </w:rPr>
      </w:pPr>
    </w:p>
    <w:p>
      <w:pPr>
        <w:ind w:right="700" w:firstLine="648"/>
        <w:spacing w:after="0" w:line="316" w:lineRule="auto"/>
        <w:rPr>
          <w:sz w:val="20"/>
          <w:szCs w:val="20"/>
          <w:color w:val="auto"/>
        </w:rPr>
      </w:pPr>
      <w:r>
        <w:rPr>
          <w:rFonts w:ascii="Arial" w:cs="Arial" w:eastAsia="Arial" w:hAnsi="Arial"/>
          <w:sz w:val="18"/>
          <w:szCs w:val="18"/>
          <w:color w:val="auto"/>
        </w:rPr>
        <w:t>WHEREAS, pursuant to Section 2.01(f) of the Credit Agreement, the Company has requested that the New Lender provide an additional [Australian] [USD] [European] [India] [Revolving] [Term Loan A] [Commitment] under the Credit Agreement; and</w:t>
      </w:r>
    </w:p>
    <w:p>
      <w:pPr>
        <w:spacing w:after="0" w:line="130" w:lineRule="exact"/>
        <w:rPr>
          <w:sz w:val="20"/>
          <w:szCs w:val="20"/>
          <w:color w:val="auto"/>
        </w:rPr>
      </w:pPr>
    </w:p>
    <w:p>
      <w:pPr>
        <w:ind w:right="140" w:firstLine="648"/>
        <w:spacing w:after="0" w:line="316" w:lineRule="auto"/>
        <w:rPr>
          <w:sz w:val="20"/>
          <w:szCs w:val="20"/>
          <w:color w:val="auto"/>
        </w:rPr>
      </w:pPr>
      <w:r>
        <w:rPr>
          <w:rFonts w:ascii="Arial" w:cs="Arial" w:eastAsia="Arial" w:hAnsi="Arial"/>
          <w:sz w:val="18"/>
          <w:szCs w:val="18"/>
          <w:color w:val="auto"/>
        </w:rPr>
        <w:t>WHEREAS, the New Lender has agreed to provide the additional [Australian] [USD] [European] [India] [Revolving] [Term Loan A] [Commitment] on the terms and conditions set forth herein and to become a “Lender” under the Credit Agreement in connection therewith;</w:t>
      </w:r>
    </w:p>
    <w:p>
      <w:pPr>
        <w:spacing w:after="0" w:line="130" w:lineRule="exact"/>
        <w:rPr>
          <w:sz w:val="20"/>
          <w:szCs w:val="20"/>
          <w:color w:val="auto"/>
        </w:rPr>
      </w:pPr>
    </w:p>
    <w:p>
      <w:pPr>
        <w:ind w:firstLine="648"/>
        <w:spacing w:after="0" w:line="260" w:lineRule="auto"/>
        <w:rPr>
          <w:sz w:val="20"/>
          <w:szCs w:val="20"/>
          <w:color w:val="auto"/>
        </w:rPr>
      </w:pPr>
      <w:r>
        <w:rPr>
          <w:rFonts w:ascii="Arial" w:cs="Arial" w:eastAsia="Arial" w:hAnsi="Arial"/>
          <w:sz w:val="20"/>
          <w:szCs w:val="20"/>
          <w:color w:val="auto"/>
        </w:rPr>
        <w:t>NOW, THEREFORE, IN CONSIDERATION of the premises and other good and valuable consideration, the receipt and sufficiency of which are hereby acknowledged, the parties hereto agree as follows:</w:t>
      </w:r>
    </w:p>
    <w:p>
      <w:pPr>
        <w:spacing w:after="0" w:line="177" w:lineRule="exact"/>
        <w:rPr>
          <w:sz w:val="20"/>
          <w:szCs w:val="20"/>
          <w:color w:val="auto"/>
        </w:rPr>
      </w:pPr>
    </w:p>
    <w:p>
      <w:pPr>
        <w:jc w:val="both"/>
        <w:ind w:firstLine="656"/>
        <w:spacing w:after="0" w:line="260" w:lineRule="auto"/>
        <w:tabs>
          <w:tab w:leader="none" w:pos="977" w:val="left"/>
        </w:tabs>
        <w:numPr>
          <w:ilvl w:val="0"/>
          <w:numId w:val="290"/>
        </w:numPr>
        <w:rPr>
          <w:rFonts w:ascii="Arial" w:cs="Arial" w:eastAsia="Arial" w:hAnsi="Arial"/>
          <w:sz w:val="19"/>
          <w:szCs w:val="19"/>
          <w:color w:val="auto"/>
        </w:rPr>
      </w:pPr>
      <w:r>
        <w:rPr>
          <w:rFonts w:ascii="Arial" w:cs="Arial" w:eastAsia="Arial" w:hAnsi="Arial"/>
          <w:sz w:val="19"/>
          <w:szCs w:val="19"/>
          <w:color w:val="auto"/>
        </w:rPr>
        <w:t xml:space="preserve">The New Lender hereby agrees to provide [Australian] [USD] [European] [India] [Revolving] [Term Loan A] Commitments to the applicable Borrowers during the Commitment Period in an amount up to its [Australian] [USD] [European] [India] [Revolving] [Term Loan A] Committed Amount set forth on </w:t>
      </w:r>
      <w:r>
        <w:rPr>
          <w:rFonts w:ascii="Arial" w:cs="Arial" w:eastAsia="Arial" w:hAnsi="Arial"/>
          <w:sz w:val="19"/>
          <w:szCs w:val="19"/>
          <w:u w:val="single" w:color="auto"/>
          <w:color w:val="auto"/>
        </w:rPr>
        <w:t>Schedule 2.01</w:t>
      </w:r>
      <w:r>
        <w:rPr>
          <w:rFonts w:ascii="Arial" w:cs="Arial" w:eastAsia="Arial" w:hAnsi="Arial"/>
          <w:sz w:val="19"/>
          <w:szCs w:val="19"/>
          <w:color w:val="auto"/>
        </w:rPr>
        <w:t xml:space="preserve"> attached hereto. The New Lender's [Australian] [USD] [European] [India] [Revolving] [Term Loan A] Commitment Percentage shall be as set forth on </w:t>
      </w:r>
      <w:r>
        <w:rPr>
          <w:rFonts w:ascii="Arial" w:cs="Arial" w:eastAsia="Arial" w:hAnsi="Arial"/>
          <w:sz w:val="19"/>
          <w:szCs w:val="19"/>
          <w:u w:val="single" w:color="auto"/>
          <w:color w:val="auto"/>
        </w:rPr>
        <w:t>Schedule 2.01</w:t>
      </w:r>
      <w:r>
        <w:rPr>
          <w:rFonts w:ascii="Arial" w:cs="Arial" w:eastAsia="Arial" w:hAnsi="Arial"/>
          <w:sz w:val="19"/>
          <w:szCs w:val="19"/>
          <w:color w:val="auto"/>
        </w:rPr>
        <w:t xml:space="preserve"> attached hereto. The existing Schedule 2.01 to the Credit Agreement shall be deemed to be amended to include the information set forth on </w:t>
      </w:r>
      <w:r>
        <w:rPr>
          <w:rFonts w:ascii="Arial" w:cs="Arial" w:eastAsia="Arial" w:hAnsi="Arial"/>
          <w:sz w:val="19"/>
          <w:szCs w:val="19"/>
          <w:u w:val="single" w:color="auto"/>
          <w:color w:val="auto"/>
        </w:rPr>
        <w:t>Schedule 2.01</w:t>
      </w:r>
      <w:r>
        <w:rPr>
          <w:rFonts w:ascii="Arial" w:cs="Arial" w:eastAsia="Arial" w:hAnsi="Arial"/>
          <w:sz w:val="19"/>
          <w:szCs w:val="19"/>
          <w:color w:val="auto"/>
        </w:rPr>
        <w:t xml:space="preserve"> attached hereto.</w:t>
      </w:r>
    </w:p>
    <w:p>
      <w:pPr>
        <w:spacing w:after="0" w:line="181" w:lineRule="exact"/>
        <w:rPr>
          <w:sz w:val="20"/>
          <w:szCs w:val="20"/>
          <w:color w:val="auto"/>
        </w:rPr>
      </w:pPr>
    </w:p>
    <w:p>
      <w:pPr>
        <w:ind w:right="140" w:firstLine="648"/>
        <w:spacing w:after="0" w:line="243" w:lineRule="auto"/>
        <w:rPr>
          <w:sz w:val="20"/>
          <w:szCs w:val="20"/>
          <w:color w:val="auto"/>
        </w:rPr>
      </w:pPr>
      <w:r>
        <w:rPr>
          <w:rFonts w:ascii="Arial" w:cs="Arial" w:eastAsia="Arial" w:hAnsi="Arial"/>
          <w:sz w:val="20"/>
          <w:szCs w:val="20"/>
          <w:color w:val="auto"/>
        </w:rPr>
        <w:t>[2. The New Lender shall be deemed to have purchased, without recourse, a risk participation from the [USD] [India] L/C Issuer in all [USD] [India] Letters of Credit issued or existing under the Credit Agreement (including Existing [USD] [India] Letters of Credit) and the obligations arising thereunder in an amount equal to its [USD] [India] [Revolving] Commitment Percentage of the obligations under such [USD] [India] Letters of Credit and shall absolutely, unconditionally and irrevocably assume, as primary obligor and not as surety, and be obligated to pay to the [USD] [India] L/C Issuer and discharge when due, its [USD] [India] [Revolving] Commitment Percentage of the obligations arising under such [USD] [India] Letters of Credit.]</w:t>
      </w:r>
    </w:p>
    <w:p>
      <w:pPr>
        <w:spacing w:after="0" w:line="197" w:lineRule="exact"/>
        <w:rPr>
          <w:sz w:val="20"/>
          <w:szCs w:val="20"/>
          <w:color w:val="auto"/>
        </w:rPr>
      </w:pPr>
    </w:p>
    <w:p>
      <w:pPr>
        <w:ind w:right="160" w:firstLine="656"/>
        <w:spacing w:after="0" w:line="260" w:lineRule="auto"/>
        <w:tabs>
          <w:tab w:leader="none" w:pos="977" w:val="left"/>
        </w:tabs>
        <w:numPr>
          <w:ilvl w:val="0"/>
          <w:numId w:val="291"/>
        </w:numPr>
        <w:rPr>
          <w:rFonts w:ascii="Arial" w:cs="Arial" w:eastAsia="Arial" w:hAnsi="Arial"/>
          <w:sz w:val="20"/>
          <w:szCs w:val="20"/>
          <w:color w:val="auto"/>
        </w:rPr>
      </w:pPr>
      <w:r>
        <w:rPr>
          <w:rFonts w:ascii="Arial" w:cs="Arial" w:eastAsia="Arial" w:hAnsi="Arial"/>
          <w:sz w:val="20"/>
          <w:szCs w:val="20"/>
          <w:color w:val="auto"/>
        </w:rPr>
        <w:t>The New Lender (a) represents and warrants that (i) it has full power and authority, and has taken all action necessary, to execute and deliver this Agreement and to consummate the transactions</w:t>
      </w:r>
    </w:p>
    <w:p>
      <w:pPr>
        <w:sectPr>
          <w:pgSz w:w="11900" w:h="16838" w:orient="portrait"/>
          <w:cols w:equalWidth="0" w:num="1">
            <w:col w:w="11360"/>
          </w:cols>
          <w:pgMar w:left="240" w:top="366" w:right="299" w:bottom="1440" w:gutter="0" w:footer="0" w:header="0"/>
        </w:sectPr>
      </w:pPr>
    </w:p>
    <w:bookmarkStart w:id="299" w:name="page300"/>
    <w:bookmarkEnd w:id="299"/>
    <w:p>
      <w:pPr>
        <w:spacing w:after="0"/>
        <w:rPr>
          <w:sz w:val="20"/>
          <w:szCs w:val="20"/>
          <w:color w:val="auto"/>
        </w:rPr>
      </w:pPr>
      <w:r>
        <w:rPr>
          <w:rFonts w:ascii="Arial" w:cs="Arial" w:eastAsia="Arial" w:hAnsi="Arial"/>
          <w:sz w:val="18"/>
          <w:szCs w:val="18"/>
          <w:color w:val="auto"/>
        </w:rPr>
        <w:t>contemplated hereby and to become a [Australian] [USD] [European] [India] [Revolving] [Term Loan A] Lender under the Credit Agreement,</w:t>
      </w:r>
    </w:p>
    <w:p>
      <w:pPr>
        <w:spacing w:after="0" w:line="39" w:lineRule="exact"/>
        <w:rPr>
          <w:sz w:val="20"/>
          <w:szCs w:val="20"/>
          <w:color w:val="auto"/>
        </w:rPr>
      </w:pPr>
    </w:p>
    <w:p>
      <w:pPr>
        <w:ind w:firstLine="8"/>
        <w:spacing w:after="0" w:line="268" w:lineRule="auto"/>
        <w:tabs>
          <w:tab w:leader="none" w:pos="291" w:val="left"/>
        </w:tabs>
        <w:numPr>
          <w:ilvl w:val="0"/>
          <w:numId w:val="292"/>
        </w:numPr>
        <w:rPr>
          <w:rFonts w:ascii="Arial" w:cs="Arial" w:eastAsia="Arial" w:hAnsi="Arial"/>
          <w:sz w:val="18"/>
          <w:szCs w:val="18"/>
          <w:color w:val="auto"/>
        </w:rPr>
      </w:pPr>
      <w:r>
        <w:rPr>
          <w:rFonts w:ascii="Arial" w:cs="Arial" w:eastAsia="Arial" w:hAnsi="Arial"/>
          <w:sz w:val="18"/>
          <w:szCs w:val="18"/>
          <w:color w:val="auto"/>
        </w:rPr>
        <w:t>it meets all requirements of an Eligible Assignee under the Credit Agreement, (iii) from and after the date hereof, it shall be bound by the provisions of the Credit Agreement as a [Australian] [USD] [European] [India] [Revolving] [Term Loan A] Lender thereunder and shall have the obligations of a [Australian] [USD] [European] [India] [Revolving] [Term Loan A] Lender thereunder, (iv) it has received a copy of the Credit Agreement, together with copies of the most recent financial statements delivered pursuant to Section 7.01 thereof and such other documents and information as it has deemed appropriate to make its own credit analysis and decision to enter into this Agreement and, based on such information, has made such analysis and decision independently and without reliance on either Administrative Agent or any other Lender and (v) if it is a Foreign Lender, attached hereto is any documentation required to be delivered by it pursuant to the terms of the Credit Agreement, duly completed and executed by the New Lender; and (b) agrees that (i) it will, independently and without reliance on either Administrative Agent or any other Lender, and based on such documents and information as it shall deem appropriate at the time, continue to make its own credit decisions in taking or not taking action under the Credit Documents and (ii) it will perform in accordance with their terms all of the obligations which by the terms of the Credit Documents are required to be performed by it as a [Australian] [USD] [European] [India] [Revolving] [Term Loan A] Lender. If so required at the date hereof for EFT Services Holding B.V. or RIA Netherlands Holding B.V. to comply with its obligations under the Dutch Banking Act or the regulations or policies promulgated thereunder, the New Lender explicitly declares and represents that (x) it a professional market party (</w:t>
      </w:r>
      <w:r>
        <w:rPr>
          <w:rFonts w:ascii="Arial" w:cs="Arial" w:eastAsia="Arial" w:hAnsi="Arial"/>
          <w:sz w:val="18"/>
          <w:szCs w:val="18"/>
          <w:i w:val="1"/>
          <w:iCs w:val="1"/>
          <w:color w:val="auto"/>
        </w:rPr>
        <w:t>professionele marktpartif</w:t>
      </w:r>
      <w:r>
        <w:rPr>
          <w:rFonts w:ascii="Arial" w:cs="Arial" w:eastAsia="Arial" w:hAnsi="Arial"/>
          <w:sz w:val="18"/>
          <w:szCs w:val="18"/>
          <w:color w:val="auto"/>
        </w:rPr>
        <w:t>) within the meaning of Dutch Banking Act (</w:t>
      </w:r>
      <w:r>
        <w:rPr>
          <w:rFonts w:ascii="Arial" w:cs="Arial" w:eastAsia="Arial" w:hAnsi="Arial"/>
          <w:sz w:val="18"/>
          <w:szCs w:val="18"/>
          <w:i w:val="1"/>
          <w:iCs w:val="1"/>
          <w:color w:val="auto"/>
        </w:rPr>
        <w:t>Vrijstellingsregeling Wtk 1992</w:t>
      </w:r>
      <w:r>
        <w:rPr>
          <w:rFonts w:ascii="Arial" w:cs="Arial" w:eastAsia="Arial" w:hAnsi="Arial"/>
          <w:sz w:val="18"/>
          <w:szCs w:val="18"/>
          <w:color w:val="auto"/>
        </w:rPr>
        <w:t>), (y) it is aware that it does not benefit from creditor protection under the Dutch Banking Act and (z) it has made its own appraisal of EFT Services Holding B.V. and RIA Netherlands Holding B.V., as applicable.</w:t>
      </w:r>
    </w:p>
    <w:p>
      <w:pPr>
        <w:spacing w:after="0" w:line="175" w:lineRule="exact"/>
        <w:rPr>
          <w:rFonts w:ascii="Arial" w:cs="Arial" w:eastAsia="Arial" w:hAnsi="Arial"/>
          <w:sz w:val="18"/>
          <w:szCs w:val="18"/>
          <w:color w:val="auto"/>
        </w:rPr>
      </w:pPr>
    </w:p>
    <w:p>
      <w:pPr>
        <w:ind w:right="40" w:firstLine="656"/>
        <w:spacing w:after="0" w:line="246" w:lineRule="auto"/>
        <w:tabs>
          <w:tab w:leader="none" w:pos="977" w:val="left"/>
        </w:tabs>
        <w:numPr>
          <w:ilvl w:val="1"/>
          <w:numId w:val="292"/>
        </w:numPr>
        <w:rPr>
          <w:rFonts w:ascii="Arial" w:cs="Arial" w:eastAsia="Arial" w:hAnsi="Arial"/>
          <w:sz w:val="20"/>
          <w:szCs w:val="20"/>
          <w:color w:val="auto"/>
        </w:rPr>
      </w:pPr>
      <w:r>
        <w:rPr>
          <w:rFonts w:ascii="Arial" w:cs="Arial" w:eastAsia="Arial" w:hAnsi="Arial"/>
          <w:sz w:val="20"/>
          <w:szCs w:val="20"/>
          <w:color w:val="auto"/>
        </w:rPr>
        <w:t>Each of the undersigned Borrowers and the Guarantors agrees that, as of the date hereof, the New Lender shall (a) be a party to the Credit Agreement, (b) be a “[Australian] [USD] [European] [India] [Revolving] [Term Loan A] Lender” for all purposes of the Credit Agreement and the other Credit Documents and (c) have the rights and obligations of a [Australian] [USD] [European] [India] [Revolving] [Term Loan A] Lender under the Credit Agreement and the other Credit Documents.</w:t>
      </w:r>
    </w:p>
    <w:p>
      <w:pPr>
        <w:spacing w:after="0" w:line="191" w:lineRule="exact"/>
        <w:rPr>
          <w:rFonts w:ascii="Arial" w:cs="Arial" w:eastAsia="Arial" w:hAnsi="Arial"/>
          <w:sz w:val="20"/>
          <w:szCs w:val="20"/>
          <w:color w:val="auto"/>
        </w:rPr>
      </w:pPr>
    </w:p>
    <w:p>
      <w:pPr>
        <w:ind w:right="780" w:firstLine="656"/>
        <w:spacing w:after="0" w:line="260" w:lineRule="auto"/>
        <w:tabs>
          <w:tab w:leader="none" w:pos="977" w:val="left"/>
        </w:tabs>
        <w:numPr>
          <w:ilvl w:val="1"/>
          <w:numId w:val="292"/>
        </w:numPr>
        <w:rPr>
          <w:rFonts w:ascii="Arial" w:cs="Arial" w:eastAsia="Arial" w:hAnsi="Arial"/>
          <w:sz w:val="20"/>
          <w:szCs w:val="20"/>
          <w:color w:val="auto"/>
        </w:rPr>
      </w:pPr>
      <w:r>
        <w:rPr>
          <w:rFonts w:ascii="Arial" w:cs="Arial" w:eastAsia="Arial" w:hAnsi="Arial"/>
          <w:sz w:val="20"/>
          <w:szCs w:val="20"/>
          <w:color w:val="auto"/>
        </w:rPr>
        <w:t>The address of the New Lender for purposes of all notices and other communications is as set forth on the Administrative Questionnaire delivered by the New Lender to the Administrative Agent.</w:t>
      </w:r>
    </w:p>
    <w:p>
      <w:pPr>
        <w:spacing w:after="0" w:line="176" w:lineRule="exact"/>
        <w:rPr>
          <w:rFonts w:ascii="Arial" w:cs="Arial" w:eastAsia="Arial" w:hAnsi="Arial"/>
          <w:sz w:val="20"/>
          <w:szCs w:val="20"/>
          <w:color w:val="auto"/>
        </w:rPr>
      </w:pPr>
    </w:p>
    <w:p>
      <w:pPr>
        <w:ind w:right="60" w:firstLine="656"/>
        <w:spacing w:after="0" w:line="316" w:lineRule="auto"/>
        <w:tabs>
          <w:tab w:leader="none" w:pos="977" w:val="left"/>
        </w:tabs>
        <w:numPr>
          <w:ilvl w:val="1"/>
          <w:numId w:val="292"/>
        </w:numPr>
        <w:rPr>
          <w:rFonts w:ascii="Arial" w:cs="Arial" w:eastAsia="Arial" w:hAnsi="Arial"/>
          <w:sz w:val="18"/>
          <w:szCs w:val="18"/>
          <w:color w:val="auto"/>
        </w:rPr>
      </w:pPr>
      <w:r>
        <w:rPr>
          <w:rFonts w:ascii="Arial" w:cs="Arial" w:eastAsia="Arial" w:hAnsi="Arial"/>
          <w:sz w:val="18"/>
          <w:szCs w:val="18"/>
          <w:color w:val="auto"/>
        </w:rPr>
        <w:t>This Agreement may be executed in any number of counterparts and by the various parties hereto in separate counterparts, each of which when so executed shall be deemed to be an original and all of which taken together shall constitute one contract.</w:t>
      </w:r>
    </w:p>
    <w:p>
      <w:pPr>
        <w:spacing w:after="0" w:line="130" w:lineRule="exact"/>
        <w:rPr>
          <w:rFonts w:ascii="Arial" w:cs="Arial" w:eastAsia="Arial" w:hAnsi="Arial"/>
          <w:sz w:val="18"/>
          <w:szCs w:val="18"/>
          <w:color w:val="auto"/>
        </w:rPr>
      </w:pPr>
    </w:p>
    <w:p>
      <w:pPr>
        <w:ind w:left="980" w:hanging="324"/>
        <w:spacing w:after="0"/>
        <w:tabs>
          <w:tab w:leader="none" w:pos="980" w:val="left"/>
        </w:tabs>
        <w:numPr>
          <w:ilvl w:val="1"/>
          <w:numId w:val="292"/>
        </w:numPr>
        <w:rPr>
          <w:rFonts w:ascii="Arial" w:cs="Arial" w:eastAsia="Arial" w:hAnsi="Arial"/>
          <w:sz w:val="20"/>
          <w:szCs w:val="20"/>
          <w:color w:val="auto"/>
        </w:rPr>
      </w:pPr>
      <w:r>
        <w:rPr>
          <w:rFonts w:ascii="Arial" w:cs="Arial" w:eastAsia="Arial" w:hAnsi="Arial"/>
          <w:sz w:val="20"/>
          <w:szCs w:val="20"/>
          <w:color w:val="auto"/>
        </w:rPr>
        <w:t>This Agreement shall be governed by, and construed in accordance with, the law of the State of New York.</w:t>
      </w:r>
    </w:p>
    <w:p>
      <w:pPr>
        <w:spacing w:after="0" w:line="216" w:lineRule="exact"/>
        <w:rPr>
          <w:sz w:val="20"/>
          <w:szCs w:val="20"/>
          <w:color w:val="auto"/>
        </w:rPr>
      </w:pPr>
    </w:p>
    <w:p>
      <w:pPr>
        <w:jc w:val="center"/>
        <w:ind w:right="-39"/>
        <w:spacing w:after="0"/>
        <w:rPr>
          <w:sz w:val="20"/>
          <w:szCs w:val="20"/>
          <w:color w:val="auto"/>
        </w:rPr>
      </w:pPr>
      <w:r>
        <w:rPr>
          <w:rFonts w:ascii="Arial" w:cs="Arial" w:eastAsia="Arial" w:hAnsi="Arial"/>
          <w:sz w:val="20"/>
          <w:szCs w:val="20"/>
          <w:color w:val="auto"/>
        </w:rPr>
        <w:t>[remainder of page intentionally left blank]</w:t>
      </w:r>
    </w:p>
    <w:p>
      <w:pPr>
        <w:spacing w:after="0" w:line="216" w:lineRule="exact"/>
        <w:rPr>
          <w:sz w:val="20"/>
          <w:szCs w:val="20"/>
          <w:color w:val="auto"/>
        </w:rPr>
      </w:pPr>
    </w:p>
    <w:p>
      <w:pPr>
        <w:ind w:right="200" w:firstLine="648"/>
        <w:spacing w:after="0" w:line="260" w:lineRule="auto"/>
        <w:rPr>
          <w:sz w:val="20"/>
          <w:szCs w:val="20"/>
          <w:color w:val="auto"/>
        </w:rPr>
      </w:pPr>
      <w:r>
        <w:rPr>
          <w:rFonts w:ascii="Arial" w:cs="Arial" w:eastAsia="Arial" w:hAnsi="Arial"/>
          <w:sz w:val="20"/>
          <w:szCs w:val="20"/>
          <w:color w:val="auto"/>
        </w:rPr>
        <w:t>IN WITNESS WHEREOF, each of the parties hereto has caused this Agreement to be executed by a duly authorized officer as of the date first above written.</w:t>
      </w:r>
    </w:p>
    <w:p>
      <w:pPr>
        <w:spacing w:after="0" w:line="177" w:lineRule="exact"/>
        <w:rPr>
          <w:sz w:val="20"/>
          <w:szCs w:val="20"/>
          <w:color w:val="auto"/>
        </w:rPr>
      </w:pPr>
    </w:p>
    <w:p>
      <w:pPr>
        <w:spacing w:after="0"/>
        <w:tabs>
          <w:tab w:leader="none" w:pos="1500" w:val="left"/>
        </w:tabs>
        <w:rPr>
          <w:sz w:val="20"/>
          <w:szCs w:val="20"/>
          <w:color w:val="auto"/>
        </w:rPr>
      </w:pPr>
      <w:r>
        <w:rPr>
          <w:rFonts w:ascii="Arial" w:cs="Arial" w:eastAsia="Arial" w:hAnsi="Arial"/>
          <w:sz w:val="20"/>
          <w:szCs w:val="20"/>
          <w:u w:val="single" w:color="auto"/>
          <w:color w:val="auto"/>
        </w:rPr>
        <w:t>NEW LENDER</w:t>
      </w:r>
      <w:r>
        <w:rPr>
          <w:rFonts w:ascii="Arial" w:cs="Arial" w:eastAsia="Arial" w:hAnsi="Arial"/>
          <w:sz w:val="20"/>
          <w:szCs w:val="20"/>
          <w:color w:val="auto"/>
        </w:rPr>
        <w:t>:</w:t>
      </w:r>
      <w:r>
        <w:rPr>
          <w:sz w:val="20"/>
          <w:szCs w:val="20"/>
          <w:color w:val="auto"/>
        </w:rPr>
        <w:tab/>
      </w:r>
      <w:r>
        <w:rPr>
          <w:rFonts w:ascii="Arial" w:cs="Arial" w:eastAsia="Arial" w:hAnsi="Arial"/>
          <w:sz w:val="19"/>
          <w:szCs w:val="19"/>
          <w:color w:val="auto"/>
        </w:rPr>
        <w:t>[NEW LENDER],</w:t>
      </w:r>
    </w:p>
    <w:p>
      <w:pPr>
        <w:spacing w:after="0" w:line="1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as New Lender</w:t>
      </w:r>
    </w:p>
    <w:p>
      <w:pPr>
        <w:spacing w:after="0" w:line="200" w:lineRule="exact"/>
        <w:rPr>
          <w:sz w:val="20"/>
          <w:szCs w:val="20"/>
          <w:color w:val="auto"/>
        </w:rPr>
      </w:pPr>
    </w:p>
    <w:p>
      <w:pPr>
        <w:ind w:left="660"/>
        <w:spacing w:after="0"/>
        <w:rPr>
          <w:sz w:val="20"/>
          <w:szCs w:val="20"/>
          <w:color w:val="auto"/>
        </w:rPr>
      </w:pPr>
      <w:r>
        <w:rPr>
          <w:rFonts w:ascii="Arial" w:cs="Arial" w:eastAsia="Arial" w:hAnsi="Arial"/>
          <w:sz w:val="20"/>
          <w:szCs w:val="20"/>
          <w:color w:val="auto"/>
        </w:rPr>
        <w:t>By:</w:t>
      </w:r>
    </w:p>
    <w:p>
      <w:pPr>
        <w:spacing w:after="0" w:line="1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Name:</w:t>
      </w:r>
    </w:p>
    <w:p>
      <w:pPr>
        <w:sectPr>
          <w:pgSz w:w="11900" w:h="16838" w:orient="portrait"/>
          <w:cols w:equalWidth="0" w:num="1">
            <w:col w:w="11380"/>
          </w:cols>
          <w:pgMar w:left="240" w:top="366" w:right="279" w:bottom="1440" w:gutter="0" w:footer="0" w:header="0"/>
        </w:sectPr>
      </w:pPr>
    </w:p>
    <w:bookmarkStart w:id="300" w:name="page301"/>
    <w:bookmarkEnd w:id="300"/>
    <w:p>
      <w:pPr>
        <w:ind w:left="660"/>
        <w:spacing w:after="0"/>
        <w:rPr>
          <w:sz w:val="20"/>
          <w:szCs w:val="20"/>
          <w:color w:val="auto"/>
        </w:rPr>
      </w:pPr>
      <w:r>
        <w:rPr>
          <w:rFonts w:ascii="Arial" w:cs="Arial" w:eastAsia="Arial" w:hAnsi="Arial"/>
          <w:sz w:val="20"/>
          <w:szCs w:val="20"/>
          <w:color w:val="auto"/>
        </w:rPr>
        <w:t>Title:</w:t>
      </w:r>
    </w:p>
    <w:p>
      <w:pPr>
        <w:spacing w:after="0" w:line="216" w:lineRule="exact"/>
        <w:rPr>
          <w:sz w:val="20"/>
          <w:szCs w:val="20"/>
          <w:color w:val="auto"/>
        </w:rPr>
      </w:pPr>
    </w:p>
    <w:p>
      <w:pPr>
        <w:spacing w:after="0"/>
        <w:tabs>
          <w:tab w:leader="none" w:pos="1860" w:val="left"/>
        </w:tabs>
        <w:rPr>
          <w:sz w:val="20"/>
          <w:szCs w:val="20"/>
          <w:color w:val="auto"/>
        </w:rPr>
      </w:pPr>
      <w:r>
        <w:rPr>
          <w:rFonts w:ascii="Arial" w:cs="Arial" w:eastAsia="Arial" w:hAnsi="Arial"/>
          <w:sz w:val="20"/>
          <w:szCs w:val="20"/>
          <w:u w:val="single" w:color="auto"/>
          <w:color w:val="auto"/>
        </w:rPr>
        <w:t>EURONET</w:t>
      </w:r>
      <w:r>
        <w:rPr>
          <w:rFonts w:ascii="Arial" w:cs="Arial" w:eastAsia="Arial" w:hAnsi="Arial"/>
          <w:sz w:val="20"/>
          <w:szCs w:val="20"/>
          <w:color w:val="auto"/>
        </w:rPr>
        <w:t>:</w:t>
      </w:r>
      <w:r>
        <w:rPr>
          <w:sz w:val="20"/>
          <w:szCs w:val="20"/>
          <w:color w:val="auto"/>
        </w:rPr>
        <w:tab/>
      </w:r>
      <w:r>
        <w:rPr>
          <w:rFonts w:ascii="Arial" w:cs="Arial" w:eastAsia="Arial" w:hAnsi="Arial"/>
          <w:sz w:val="18"/>
          <w:szCs w:val="18"/>
          <w:color w:val="auto"/>
        </w:rPr>
        <w:t>Euronet Worldwide, Inc.</w:t>
      </w:r>
    </w:p>
    <w:p>
      <w:pPr>
        <w:spacing w:after="0" w:line="200" w:lineRule="exact"/>
        <w:rPr>
          <w:sz w:val="20"/>
          <w:szCs w:val="20"/>
          <w:color w:val="auto"/>
        </w:rPr>
      </w:pPr>
    </w:p>
    <w:p>
      <w:pPr>
        <w:spacing w:after="0" w:line="232" w:lineRule="exact"/>
        <w:rPr>
          <w:sz w:val="20"/>
          <w:szCs w:val="20"/>
          <w:color w:val="auto"/>
        </w:rPr>
      </w:pPr>
    </w:p>
    <w:p>
      <w:pPr>
        <w:ind w:left="3900"/>
        <w:spacing w:after="0"/>
        <w:rPr>
          <w:sz w:val="20"/>
          <w:szCs w:val="20"/>
          <w:color w:val="auto"/>
        </w:rPr>
      </w:pPr>
      <w:r>
        <w:rPr>
          <w:rFonts w:ascii="Arial" w:cs="Arial" w:eastAsia="Arial" w:hAnsi="Arial"/>
          <w:sz w:val="20"/>
          <w:szCs w:val="20"/>
          <w:color w:val="auto"/>
        </w:rPr>
        <w:t>By:</w:t>
      </w:r>
    </w:p>
    <w:p>
      <w:pPr>
        <w:spacing w:after="0" w:line="15" w:lineRule="exact"/>
        <w:rPr>
          <w:sz w:val="20"/>
          <w:szCs w:val="20"/>
          <w:color w:val="auto"/>
        </w:rPr>
      </w:pPr>
    </w:p>
    <w:p>
      <w:pPr>
        <w:ind w:left="3900"/>
        <w:spacing w:after="0"/>
        <w:rPr>
          <w:sz w:val="20"/>
          <w:szCs w:val="20"/>
          <w:color w:val="auto"/>
        </w:rPr>
      </w:pPr>
      <w:r>
        <w:rPr>
          <w:rFonts w:ascii="Arial" w:cs="Arial" w:eastAsia="Arial" w:hAnsi="Arial"/>
          <w:sz w:val="20"/>
          <w:szCs w:val="20"/>
          <w:color w:val="auto"/>
        </w:rPr>
        <w:t>Name:</w:t>
      </w:r>
    </w:p>
    <w:p>
      <w:pPr>
        <w:ind w:left="3900"/>
        <w:spacing w:after="0"/>
        <w:rPr>
          <w:sz w:val="20"/>
          <w:szCs w:val="20"/>
          <w:color w:val="auto"/>
        </w:rPr>
      </w:pPr>
      <w:r>
        <w:rPr>
          <w:rFonts w:ascii="Arial" w:cs="Arial" w:eastAsia="Arial" w:hAnsi="Arial"/>
          <w:sz w:val="20"/>
          <w:szCs w:val="20"/>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Accepted and Agreed</w:t>
      </w:r>
      <w:r>
        <w:rPr>
          <w:rFonts w:ascii="Arial" w:cs="Arial" w:eastAsia="Arial" w:hAnsi="Arial"/>
          <w:sz w:val="20"/>
          <w:szCs w:val="20"/>
          <w:color w:val="auto"/>
        </w:rPr>
        <w:t>:</w:t>
      </w:r>
    </w:p>
    <w:p>
      <w:pPr>
        <w:spacing w:after="0" w:line="216"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[administrative agent</w:t>
      </w:r>
    </w:p>
    <w:p>
      <w:pPr>
        <w:spacing w:after="0" w:line="15" w:lineRule="exact"/>
        <w:rPr>
          <w:sz w:val="20"/>
          <w:szCs w:val="20"/>
          <w:color w:val="auto"/>
        </w:rPr>
      </w:pPr>
    </w:p>
    <w:p>
      <w:pPr>
        <w:spacing w:after="0"/>
        <w:rPr>
          <w:sz w:val="20"/>
          <w:szCs w:val="20"/>
          <w:color w:val="auto"/>
        </w:rPr>
      </w:pPr>
      <w:r>
        <w:rPr>
          <w:rFonts w:ascii="Arial" w:cs="Arial" w:eastAsia="Arial" w:hAnsi="Arial"/>
          <w:sz w:val="20"/>
          <w:szCs w:val="20"/>
          <w:color w:val="auto"/>
        </w:rPr>
        <w:t>(For AUSTRALIAN, USD AND</w:t>
      </w:r>
    </w:p>
    <w:p>
      <w:pPr>
        <w:spacing w:after="0"/>
        <w:tabs>
          <w:tab w:leader="none" w:pos="2920" w:val="left"/>
        </w:tabs>
        <w:rPr>
          <w:sz w:val="20"/>
          <w:szCs w:val="20"/>
          <w:color w:val="auto"/>
        </w:rPr>
      </w:pPr>
      <w:r>
        <w:rPr>
          <w:rFonts w:ascii="Arial" w:cs="Arial" w:eastAsia="Arial" w:hAnsi="Arial"/>
          <w:sz w:val="20"/>
          <w:szCs w:val="20"/>
          <w:color w:val="auto"/>
        </w:rPr>
        <w:t>eUROPEAN Loan Obligations):</w:t>
      </w:r>
      <w:r>
        <w:rPr>
          <w:sz w:val="20"/>
          <w:szCs w:val="20"/>
          <w:color w:val="auto"/>
        </w:rPr>
        <w:tab/>
      </w:r>
      <w:r>
        <w:rPr>
          <w:rFonts w:ascii="Arial" w:cs="Arial" w:eastAsia="Arial" w:hAnsi="Arial"/>
          <w:sz w:val="16"/>
          <w:szCs w:val="16"/>
          <w:color w:val="auto"/>
        </w:rPr>
        <w:t>bank of america, n.a.,</w:t>
      </w:r>
    </w:p>
    <w:p>
      <w:pPr>
        <w:ind w:left="3900"/>
        <w:spacing w:after="0"/>
        <w:rPr>
          <w:sz w:val="20"/>
          <w:szCs w:val="20"/>
          <w:color w:val="auto"/>
        </w:rPr>
      </w:pPr>
      <w:r>
        <w:rPr>
          <w:rFonts w:ascii="Arial" w:cs="Arial" w:eastAsia="Arial" w:hAnsi="Arial"/>
          <w:sz w:val="20"/>
          <w:szCs w:val="20"/>
          <w:color w:val="auto"/>
        </w:rPr>
        <w:t>as Administrative Agent and Collateral Agent</w:t>
      </w:r>
    </w:p>
    <w:p>
      <w:pPr>
        <w:spacing w:after="0" w:line="200" w:lineRule="exact"/>
        <w:rPr>
          <w:sz w:val="20"/>
          <w:szCs w:val="20"/>
          <w:color w:val="auto"/>
        </w:rPr>
      </w:pPr>
    </w:p>
    <w:p>
      <w:pPr>
        <w:spacing w:after="0" w:line="216" w:lineRule="exact"/>
        <w:rPr>
          <w:sz w:val="20"/>
          <w:szCs w:val="20"/>
          <w:color w:val="auto"/>
        </w:rPr>
      </w:pPr>
    </w:p>
    <w:p>
      <w:pPr>
        <w:ind w:left="3900"/>
        <w:spacing w:after="0"/>
        <w:rPr>
          <w:sz w:val="20"/>
          <w:szCs w:val="20"/>
          <w:color w:val="auto"/>
        </w:rPr>
      </w:pPr>
      <w:r>
        <w:rPr>
          <w:rFonts w:ascii="Arial" w:cs="Arial" w:eastAsia="Arial" w:hAnsi="Arial"/>
          <w:sz w:val="20"/>
          <w:szCs w:val="20"/>
          <w:color w:val="auto"/>
        </w:rPr>
        <w:t>By:</w:t>
      </w:r>
    </w:p>
    <w:p>
      <w:pPr>
        <w:spacing w:after="0" w:line="15" w:lineRule="exact"/>
        <w:rPr>
          <w:sz w:val="20"/>
          <w:szCs w:val="20"/>
          <w:color w:val="auto"/>
        </w:rPr>
      </w:pPr>
    </w:p>
    <w:p>
      <w:pPr>
        <w:ind w:left="3900"/>
        <w:spacing w:after="0"/>
        <w:rPr>
          <w:sz w:val="20"/>
          <w:szCs w:val="20"/>
          <w:color w:val="auto"/>
        </w:rPr>
      </w:pPr>
      <w:r>
        <w:rPr>
          <w:rFonts w:ascii="Arial" w:cs="Arial" w:eastAsia="Arial" w:hAnsi="Arial"/>
          <w:sz w:val="20"/>
          <w:szCs w:val="20"/>
          <w:color w:val="auto"/>
        </w:rPr>
        <w:t>Name:</w:t>
      </w:r>
    </w:p>
    <w:p>
      <w:pPr>
        <w:ind w:left="3900"/>
        <w:spacing w:after="0"/>
        <w:rPr>
          <w:sz w:val="20"/>
          <w:szCs w:val="20"/>
          <w:color w:val="auto"/>
        </w:rPr>
      </w:pPr>
      <w:r>
        <w:rPr>
          <w:rFonts w:ascii="Arial" w:cs="Arial" w:eastAsia="Arial" w:hAnsi="Arial"/>
          <w:sz w:val="20"/>
          <w:szCs w:val="20"/>
          <w:color w:val="auto"/>
        </w:rPr>
        <w:t>Title:]</w:t>
      </w:r>
    </w:p>
    <w:p>
      <w:pPr>
        <w:spacing w:after="0" w:line="200"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[administrative agent</w:t>
      </w:r>
    </w:p>
    <w:p>
      <w:pPr>
        <w:spacing w:after="0" w:line="16" w:lineRule="exact"/>
        <w:rPr>
          <w:sz w:val="20"/>
          <w:szCs w:val="20"/>
          <w:color w:val="auto"/>
        </w:rPr>
      </w:pPr>
    </w:p>
    <w:p>
      <w:pPr>
        <w:ind w:left="3900" w:hanging="3889"/>
        <w:spacing w:after="0" w:line="244" w:lineRule="auto"/>
        <w:tabs>
          <w:tab w:leader="none" w:pos="3880" w:val="left"/>
        </w:tabs>
        <w:rPr>
          <w:sz w:val="20"/>
          <w:szCs w:val="20"/>
          <w:color w:val="auto"/>
        </w:rPr>
      </w:pPr>
      <w:r>
        <w:rPr>
          <w:rFonts w:ascii="Arial" w:cs="Arial" w:eastAsia="Arial" w:hAnsi="Arial"/>
          <w:sz w:val="20"/>
          <w:szCs w:val="20"/>
          <w:color w:val="auto"/>
        </w:rPr>
        <w:t>(For India Obligations):</w:t>
      </w:r>
      <w:r>
        <w:rPr>
          <w:sz w:val="20"/>
          <w:szCs w:val="20"/>
          <w:color w:val="auto"/>
        </w:rPr>
        <w:tab/>
      </w:r>
      <w:r>
        <w:rPr>
          <w:rFonts w:ascii="Arial" w:cs="Arial" w:eastAsia="Arial" w:hAnsi="Arial"/>
          <w:sz w:val="20"/>
          <w:szCs w:val="20"/>
          <w:color w:val="auto"/>
        </w:rPr>
        <w:t>bank of america, n.a., acting through its Mumbai Branch, as Administrative Agent for all India related credit facilities</w:t>
      </w:r>
    </w:p>
    <w:p>
      <w:pPr>
        <w:spacing w:after="0" w:line="200" w:lineRule="exact"/>
        <w:rPr>
          <w:sz w:val="20"/>
          <w:szCs w:val="20"/>
          <w:color w:val="auto"/>
        </w:rPr>
      </w:pP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8060" w:type="dxa"/>
            <w:vAlign w:val="bottom"/>
            <w:gridSpan w:val="6"/>
          </w:tcPr>
          <w:p>
            <w:pPr>
              <w:ind w:left="620"/>
              <w:spacing w:after="0"/>
              <w:rPr>
                <w:sz w:val="20"/>
                <w:szCs w:val="20"/>
                <w:color w:val="auto"/>
              </w:rPr>
            </w:pPr>
            <w:r>
              <w:rPr>
                <w:rFonts w:ascii="Arial" w:cs="Arial" w:eastAsia="Arial" w:hAnsi="Arial"/>
                <w:sz w:val="20"/>
                <w:szCs w:val="20"/>
                <w:color w:val="auto"/>
              </w:rPr>
              <w:t>By:</w:t>
            </w:r>
          </w:p>
        </w:tc>
      </w:tr>
      <w:tr>
        <w:trPr>
          <w:trHeight w:val="230"/>
        </w:trPr>
        <w:tc>
          <w:tcPr>
            <w:tcW w:w="5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8060" w:type="dxa"/>
            <w:vAlign w:val="bottom"/>
            <w:gridSpan w:val="6"/>
          </w:tcPr>
          <w:p>
            <w:pPr>
              <w:ind w:left="620"/>
              <w:spacing w:after="0"/>
              <w:rPr>
                <w:sz w:val="20"/>
                <w:szCs w:val="20"/>
                <w:color w:val="auto"/>
              </w:rPr>
            </w:pPr>
            <w:r>
              <w:rPr>
                <w:rFonts w:ascii="Arial" w:cs="Arial" w:eastAsia="Arial" w:hAnsi="Arial"/>
                <w:sz w:val="20"/>
                <w:szCs w:val="20"/>
                <w:color w:val="auto"/>
              </w:rPr>
              <w:t>Name:</w:t>
            </w:r>
          </w:p>
        </w:tc>
      </w:tr>
      <w:tr>
        <w:trPr>
          <w:trHeight w:val="250"/>
        </w:trPr>
        <w:tc>
          <w:tcPr>
            <w:tcW w:w="54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540" w:type="dxa"/>
            <w:vAlign w:val="bottom"/>
          </w:tcPr>
          <w:p>
            <w:pPr>
              <w:spacing w:after="0"/>
              <w:rPr>
                <w:sz w:val="21"/>
                <w:szCs w:val="21"/>
                <w:color w:val="auto"/>
              </w:rPr>
            </w:pPr>
          </w:p>
        </w:tc>
        <w:tc>
          <w:tcPr>
            <w:tcW w:w="8060" w:type="dxa"/>
            <w:vAlign w:val="bottom"/>
            <w:gridSpan w:val="6"/>
          </w:tcPr>
          <w:p>
            <w:pPr>
              <w:ind w:left="620"/>
              <w:spacing w:after="0"/>
              <w:rPr>
                <w:sz w:val="20"/>
                <w:szCs w:val="20"/>
                <w:color w:val="auto"/>
              </w:rPr>
            </w:pPr>
            <w:r>
              <w:rPr>
                <w:rFonts w:ascii="Arial" w:cs="Arial" w:eastAsia="Arial" w:hAnsi="Arial"/>
                <w:sz w:val="20"/>
                <w:szCs w:val="20"/>
                <w:color w:val="auto"/>
              </w:rPr>
              <w:t>Title:]</w:t>
            </w:r>
          </w:p>
        </w:tc>
      </w:tr>
      <w:tr>
        <w:trPr>
          <w:trHeight w:val="874"/>
        </w:trPr>
        <w:tc>
          <w:tcPr>
            <w:tcW w:w="5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120" w:type="dxa"/>
            <w:vAlign w:val="bottom"/>
            <w:gridSpan w:val="4"/>
          </w:tcPr>
          <w:p>
            <w:pPr>
              <w:jc w:val="center"/>
              <w:ind w:right="5140"/>
              <w:spacing w:after="0"/>
              <w:rPr>
                <w:sz w:val="20"/>
                <w:szCs w:val="20"/>
                <w:color w:val="auto"/>
              </w:rPr>
            </w:pPr>
            <w:r>
              <w:rPr>
                <w:rFonts w:ascii="Arial" w:cs="Arial" w:eastAsia="Arial" w:hAnsi="Arial"/>
                <w:sz w:val="20"/>
                <w:szCs w:val="20"/>
                <w:color w:val="auto"/>
                <w:w w:val="93"/>
              </w:rPr>
              <w:t>Exhibit 2.02</w:t>
            </w:r>
          </w:p>
        </w:tc>
      </w:tr>
      <w:tr>
        <w:trPr>
          <w:trHeight w:val="20"/>
        </w:trPr>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r>
      <w:tr>
        <w:trPr>
          <w:trHeight w:val="470"/>
        </w:trPr>
        <w:tc>
          <w:tcPr>
            <w:tcW w:w="5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8060" w:type="dxa"/>
            <w:vAlign w:val="bottom"/>
            <w:gridSpan w:val="6"/>
          </w:tcPr>
          <w:p>
            <w:pPr>
              <w:jc w:val="center"/>
              <w:ind w:right="3180"/>
              <w:spacing w:after="0"/>
              <w:rPr>
                <w:sz w:val="20"/>
                <w:szCs w:val="20"/>
                <w:color w:val="auto"/>
              </w:rPr>
            </w:pPr>
            <w:r>
              <w:rPr>
                <w:rFonts w:ascii="Arial" w:cs="Arial" w:eastAsia="Arial" w:hAnsi="Arial"/>
                <w:sz w:val="20"/>
                <w:szCs w:val="20"/>
                <w:color w:val="auto"/>
                <w:w w:val="95"/>
              </w:rPr>
              <w:t>FORM OF LOAN NOTICE</w:t>
            </w:r>
          </w:p>
        </w:tc>
      </w:tr>
      <w:tr>
        <w:trPr>
          <w:trHeight w:val="446"/>
        </w:trPr>
        <w:tc>
          <w:tcPr>
            <w:tcW w:w="540" w:type="dxa"/>
            <w:vAlign w:val="bottom"/>
          </w:tcPr>
          <w:p>
            <w:pPr>
              <w:spacing w:after="0"/>
              <w:rPr>
                <w:sz w:val="20"/>
                <w:szCs w:val="20"/>
                <w:color w:val="auto"/>
              </w:rPr>
            </w:pPr>
            <w:r>
              <w:rPr>
                <w:rFonts w:ascii="Arial" w:cs="Arial" w:eastAsia="Arial" w:hAnsi="Arial"/>
                <w:sz w:val="20"/>
                <w:szCs w:val="20"/>
                <w:color w:val="auto"/>
              </w:rPr>
              <w:t>Date:</w:t>
            </w:r>
          </w:p>
        </w:tc>
        <w:tc>
          <w:tcPr>
            <w:tcW w:w="5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720" w:type="dxa"/>
            <w:vAlign w:val="bottom"/>
          </w:tcPr>
          <w:p>
            <w:pPr>
              <w:spacing w:after="0"/>
              <w:rPr>
                <w:sz w:val="24"/>
                <w:szCs w:val="24"/>
                <w:color w:val="auto"/>
              </w:rPr>
            </w:pPr>
          </w:p>
        </w:tc>
      </w:tr>
      <w:tr>
        <w:trPr>
          <w:trHeight w:val="446"/>
        </w:trPr>
        <w:tc>
          <w:tcPr>
            <w:tcW w:w="540" w:type="dxa"/>
            <w:vAlign w:val="bottom"/>
          </w:tcPr>
          <w:p>
            <w:pPr>
              <w:spacing w:after="0"/>
              <w:rPr>
                <w:sz w:val="20"/>
                <w:szCs w:val="20"/>
                <w:color w:val="auto"/>
              </w:rPr>
            </w:pPr>
            <w:r>
              <w:rPr>
                <w:rFonts w:ascii="Arial" w:cs="Arial" w:eastAsia="Arial" w:hAnsi="Arial"/>
                <w:sz w:val="20"/>
                <w:szCs w:val="20"/>
                <w:color w:val="auto"/>
              </w:rPr>
              <w:t>To:</w:t>
            </w:r>
          </w:p>
        </w:tc>
        <w:tc>
          <w:tcPr>
            <w:tcW w:w="10800" w:type="dxa"/>
            <w:vAlign w:val="bottom"/>
            <w:gridSpan w:val="9"/>
          </w:tcPr>
          <w:p>
            <w:pPr>
              <w:ind w:left="120"/>
              <w:spacing w:after="0"/>
              <w:rPr>
                <w:sz w:val="20"/>
                <w:szCs w:val="20"/>
                <w:color w:val="auto"/>
              </w:rPr>
            </w:pPr>
            <w:r>
              <w:rPr>
                <w:rFonts w:ascii="Arial" w:cs="Arial" w:eastAsia="Arial" w:hAnsi="Arial"/>
                <w:sz w:val="20"/>
                <w:szCs w:val="20"/>
                <w:color w:val="auto"/>
              </w:rPr>
              <w:t>Bank of America, N.A.[, acting through its Mumbai Branch], as Administrative Agent</w:t>
            </w:r>
          </w:p>
        </w:tc>
      </w:tr>
      <w:tr>
        <w:trPr>
          <w:trHeight w:val="425"/>
        </w:trPr>
        <w:tc>
          <w:tcPr>
            <w:tcW w:w="540" w:type="dxa"/>
            <w:vAlign w:val="bottom"/>
          </w:tcPr>
          <w:p>
            <w:pPr>
              <w:spacing w:after="0"/>
              <w:rPr>
                <w:sz w:val="20"/>
                <w:szCs w:val="20"/>
                <w:color w:val="auto"/>
              </w:rPr>
            </w:pPr>
            <w:r>
              <w:rPr>
                <w:rFonts w:ascii="Arial" w:cs="Arial" w:eastAsia="Arial" w:hAnsi="Arial"/>
                <w:sz w:val="20"/>
                <w:szCs w:val="20"/>
                <w:color w:val="auto"/>
              </w:rPr>
              <w:t>Re:</w:t>
            </w:r>
          </w:p>
        </w:tc>
        <w:tc>
          <w:tcPr>
            <w:tcW w:w="10800" w:type="dxa"/>
            <w:vAlign w:val="bottom"/>
            <w:gridSpan w:val="9"/>
          </w:tcPr>
          <w:p>
            <w:pPr>
              <w:ind w:left="120"/>
              <w:spacing w:after="0"/>
              <w:rPr>
                <w:sz w:val="20"/>
                <w:szCs w:val="20"/>
                <w:color w:val="auto"/>
              </w:rPr>
            </w:pPr>
            <w:r>
              <w:rPr>
                <w:rFonts w:ascii="Arial" w:cs="Arial" w:eastAsia="Arial" w:hAnsi="Arial"/>
                <w:sz w:val="20"/>
                <w:szCs w:val="20"/>
                <w:color w:val="auto"/>
                <w:w w:val="89"/>
              </w:rPr>
              <w:t>Amended and Restated Credit Agreement, dated as of August 18, 2011 (as amended, restated, increased, supplemented or otherwise</w:t>
            </w:r>
          </w:p>
        </w:tc>
      </w:tr>
      <w:tr>
        <w:trPr>
          <w:trHeight w:val="206"/>
        </w:trPr>
        <w:tc>
          <w:tcPr>
            <w:tcW w:w="540" w:type="dxa"/>
            <w:vAlign w:val="bottom"/>
          </w:tcPr>
          <w:p>
            <w:pPr>
              <w:spacing w:after="0"/>
              <w:rPr>
                <w:sz w:val="17"/>
                <w:szCs w:val="17"/>
                <w:color w:val="auto"/>
              </w:rPr>
            </w:pPr>
          </w:p>
        </w:tc>
        <w:tc>
          <w:tcPr>
            <w:tcW w:w="10800" w:type="dxa"/>
            <w:vAlign w:val="bottom"/>
            <w:gridSpan w:val="9"/>
          </w:tcPr>
          <w:p>
            <w:pPr>
              <w:ind w:left="120"/>
              <w:spacing w:after="0" w:line="206" w:lineRule="exact"/>
              <w:rPr>
                <w:sz w:val="20"/>
                <w:szCs w:val="20"/>
                <w:color w:val="auto"/>
              </w:rPr>
            </w:pPr>
            <w:r>
              <w:rPr>
                <w:rFonts w:ascii="Arial" w:cs="Arial" w:eastAsia="Arial" w:hAnsi="Arial"/>
                <w:sz w:val="20"/>
                <w:szCs w:val="20"/>
                <w:color w:val="auto"/>
                <w:w w:val="95"/>
              </w:rPr>
              <w:t>modified from time to time, the “Credit Agreement”) among Euronet Worldwide, Inc., a Delaware corporation, and certain other</w:t>
            </w:r>
          </w:p>
        </w:tc>
      </w:tr>
      <w:tr>
        <w:trPr>
          <w:trHeight w:val="20"/>
        </w:trPr>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440" w:type="dxa"/>
            <w:vAlign w:val="bottom"/>
            <w:shd w:val="clear" w:color="auto" w:fill="000000"/>
          </w:tcPr>
          <w:p>
            <w:pPr>
              <w:spacing w:after="0" w:line="20" w:lineRule="exact"/>
              <w:rPr>
                <w:sz w:val="1"/>
                <w:szCs w:val="1"/>
                <w:color w:val="auto"/>
              </w:rPr>
            </w:pPr>
          </w:p>
        </w:tc>
        <w:tc>
          <w:tcPr>
            <w:tcW w:w="3180" w:type="dxa"/>
            <w:vAlign w:val="bottom"/>
            <w:gridSpan w:val="3"/>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r>
      <w:tr>
        <w:trPr>
          <w:trHeight w:val="233"/>
        </w:trPr>
        <w:tc>
          <w:tcPr>
            <w:tcW w:w="540" w:type="dxa"/>
            <w:vAlign w:val="bottom"/>
          </w:tcPr>
          <w:p>
            <w:pPr>
              <w:spacing w:after="0"/>
              <w:rPr>
                <w:sz w:val="20"/>
                <w:szCs w:val="20"/>
                <w:color w:val="auto"/>
              </w:rPr>
            </w:pPr>
          </w:p>
        </w:tc>
        <w:tc>
          <w:tcPr>
            <w:tcW w:w="10800" w:type="dxa"/>
            <w:vAlign w:val="bottom"/>
            <w:gridSpan w:val="9"/>
          </w:tcPr>
          <w:p>
            <w:pPr>
              <w:ind w:left="120"/>
              <w:spacing w:after="0"/>
              <w:rPr>
                <w:sz w:val="20"/>
                <w:szCs w:val="20"/>
                <w:color w:val="auto"/>
              </w:rPr>
            </w:pPr>
            <w:r>
              <w:rPr>
                <w:rFonts w:ascii="Arial" w:cs="Arial" w:eastAsia="Arial" w:hAnsi="Arial"/>
                <w:sz w:val="20"/>
                <w:szCs w:val="20"/>
                <w:color w:val="auto"/>
                <w:w w:val="90"/>
              </w:rPr>
              <w:t>Subsidiaries and Affiliates, as Borrowers, certain Subsidiaries and Affiliates, as Guarantors, the lenders from time to time party thereto</w:t>
            </w:r>
          </w:p>
        </w:tc>
      </w:tr>
      <w:tr>
        <w:trPr>
          <w:trHeight w:val="206"/>
        </w:trPr>
        <w:tc>
          <w:tcPr>
            <w:tcW w:w="540" w:type="dxa"/>
            <w:vAlign w:val="bottom"/>
          </w:tcPr>
          <w:p>
            <w:pPr>
              <w:spacing w:after="0"/>
              <w:rPr>
                <w:sz w:val="17"/>
                <w:szCs w:val="17"/>
                <w:color w:val="auto"/>
              </w:rPr>
            </w:pPr>
          </w:p>
        </w:tc>
        <w:tc>
          <w:tcPr>
            <w:tcW w:w="10800" w:type="dxa"/>
            <w:vAlign w:val="bottom"/>
            <w:gridSpan w:val="9"/>
          </w:tcPr>
          <w:p>
            <w:pPr>
              <w:ind w:left="120"/>
              <w:spacing w:after="0" w:line="206" w:lineRule="exact"/>
              <w:rPr>
                <w:sz w:val="20"/>
                <w:szCs w:val="20"/>
                <w:color w:val="auto"/>
              </w:rPr>
            </w:pPr>
            <w:r>
              <w:rPr>
                <w:rFonts w:ascii="Arial" w:cs="Arial" w:eastAsia="Arial" w:hAnsi="Arial"/>
                <w:sz w:val="20"/>
                <w:szCs w:val="20"/>
                <w:color w:val="auto"/>
                <w:w w:val="92"/>
              </w:rPr>
              <w:t>(the “Lenders”) and Bank of America, N.A., as administrative agent (in such capacity, the “Administrative Agent”). Capitalized terms</w:t>
            </w:r>
          </w:p>
        </w:tc>
      </w:tr>
      <w:tr>
        <w:trPr>
          <w:trHeight w:val="20"/>
        </w:trPr>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6160" w:type="dxa"/>
            <w:vAlign w:val="bottom"/>
            <w:gridSpan w:val="5"/>
          </w:tcPr>
          <w:p>
            <w:pPr>
              <w:spacing w:after="0" w:line="20" w:lineRule="exact"/>
              <w:rPr>
                <w:sz w:val="1"/>
                <w:szCs w:val="1"/>
                <w:color w:val="auto"/>
              </w:rPr>
            </w:pPr>
          </w:p>
        </w:tc>
        <w:tc>
          <w:tcPr>
            <w:tcW w:w="1720" w:type="dxa"/>
            <w:vAlign w:val="bottom"/>
            <w:shd w:val="clear" w:color="auto" w:fill="000000"/>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r>
      <w:tr>
        <w:trPr>
          <w:trHeight w:val="254"/>
        </w:trPr>
        <w:tc>
          <w:tcPr>
            <w:tcW w:w="540" w:type="dxa"/>
            <w:vAlign w:val="bottom"/>
          </w:tcPr>
          <w:p>
            <w:pPr>
              <w:spacing w:after="0"/>
              <w:rPr>
                <w:sz w:val="22"/>
                <w:szCs w:val="22"/>
                <w:color w:val="auto"/>
              </w:rPr>
            </w:pPr>
          </w:p>
        </w:tc>
        <w:tc>
          <w:tcPr>
            <w:tcW w:w="10800" w:type="dxa"/>
            <w:vAlign w:val="bottom"/>
            <w:gridSpan w:val="9"/>
          </w:tcPr>
          <w:p>
            <w:pPr>
              <w:ind w:left="120"/>
              <w:spacing w:after="0"/>
              <w:rPr>
                <w:sz w:val="20"/>
                <w:szCs w:val="20"/>
                <w:color w:val="auto"/>
              </w:rPr>
            </w:pPr>
            <w:r>
              <w:rPr>
                <w:rFonts w:ascii="Arial" w:cs="Arial" w:eastAsia="Arial" w:hAnsi="Arial"/>
                <w:sz w:val="20"/>
                <w:szCs w:val="20"/>
                <w:color w:val="auto"/>
              </w:rPr>
              <w:t>used but not otherwise defined herein have the meanings provided in the Credit Agreement.</w:t>
            </w:r>
          </w:p>
        </w:tc>
      </w:tr>
    </w:tbl>
    <w:p>
      <w:pPr>
        <w:sectPr>
          <w:pgSz w:w="11900" w:h="16838" w:orient="portrait"/>
          <w:cols w:equalWidth="0" w:num="1">
            <w:col w:w="11400"/>
          </w:cols>
          <w:pgMar w:left="240" w:top="366" w:right="259" w:bottom="1440" w:gutter="0" w:footer="0" w:header="0"/>
        </w:sectPr>
      </w:pPr>
    </w:p>
    <w:bookmarkStart w:id="301" w:name="page302"/>
    <w:bookmarkEnd w:id="301"/>
    <w:p>
      <w:pPr>
        <w:spacing w:after="0"/>
        <w:rPr>
          <w:sz w:val="20"/>
          <w:szCs w:val="20"/>
          <w:color w:val="auto"/>
        </w:rPr>
      </w:pPr>
      <w:r>
        <w:rPr>
          <w:rFonts w:ascii="Arial" w:cs="Arial" w:eastAsia="Arial" w:hAnsi="Arial"/>
          <w:sz w:val="20"/>
          <w:szCs w:val="20"/>
          <w:color w:val="auto"/>
        </w:rPr>
        <w:t>Ladies and Gentlemen:</w:t>
      </w:r>
    </w:p>
    <w:p>
      <w:pPr>
        <w:spacing w:after="0" w:line="216" w:lineRule="exact"/>
        <w:rPr>
          <w:sz w:val="20"/>
          <w:szCs w:val="20"/>
          <w:color w:val="auto"/>
        </w:rPr>
      </w:pPr>
    </w:p>
    <w:p>
      <w:pPr>
        <w:spacing w:after="0"/>
        <w:tabs>
          <w:tab w:leader="none" w:pos="320" w:val="left"/>
        </w:tabs>
        <w:rPr>
          <w:sz w:val="20"/>
          <w:szCs w:val="20"/>
          <w:color w:val="auto"/>
        </w:rPr>
      </w:pPr>
      <w:r>
        <w:rPr>
          <w:rFonts w:ascii="Arial" w:cs="Arial" w:eastAsia="Arial" w:hAnsi="Arial"/>
          <w:sz w:val="20"/>
          <w:szCs w:val="20"/>
          <w:color w:val="auto"/>
        </w:rPr>
        <w:t>1.</w:t>
      </w:r>
      <w:r>
        <w:rPr>
          <w:sz w:val="20"/>
          <w:szCs w:val="20"/>
          <w:color w:val="auto"/>
        </w:rPr>
        <w:tab/>
      </w:r>
      <w:r>
        <w:rPr>
          <w:rFonts w:ascii="Arial" w:cs="Arial" w:eastAsia="Arial" w:hAnsi="Arial"/>
          <w:sz w:val="16"/>
          <w:szCs w:val="16"/>
          <w:color w:val="auto"/>
        </w:rPr>
        <w:t>The undersigned hereby requests the following:</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50"/>
        </w:trPr>
        <w:tc>
          <w:tcPr>
            <w:tcW w:w="240" w:type="dxa"/>
            <w:vAlign w:val="bottom"/>
          </w:tcPr>
          <w:p>
            <w:pPr>
              <w:spacing w:after="0"/>
              <w:rPr>
                <w:sz w:val="21"/>
                <w:szCs w:val="21"/>
                <w:color w:val="auto"/>
              </w:rPr>
            </w:pPr>
          </w:p>
        </w:tc>
        <w:tc>
          <w:tcPr>
            <w:tcW w:w="3560" w:type="dxa"/>
            <w:vAlign w:val="bottom"/>
            <w:gridSpan w:val="2"/>
          </w:tcPr>
          <w:p>
            <w:pPr>
              <w:ind w:left="420"/>
              <w:spacing w:after="0"/>
              <w:rPr>
                <w:sz w:val="20"/>
                <w:szCs w:val="20"/>
                <w:color w:val="auto"/>
              </w:rPr>
            </w:pPr>
            <w:r>
              <w:rPr>
                <w:rFonts w:ascii="Arial" w:cs="Arial" w:eastAsia="Arial" w:hAnsi="Arial"/>
                <w:sz w:val="20"/>
                <w:szCs w:val="20"/>
                <w:color w:val="auto"/>
              </w:rPr>
              <w:t>a USD Swingline Loan Borrowing</w:t>
            </w:r>
          </w:p>
        </w:tc>
        <w:tc>
          <w:tcPr>
            <w:tcW w:w="4220" w:type="dxa"/>
            <w:vAlign w:val="bottom"/>
            <w:gridSpan w:val="2"/>
          </w:tcPr>
          <w:p>
            <w:pPr>
              <w:ind w:left="20"/>
              <w:spacing w:after="0"/>
              <w:rPr>
                <w:sz w:val="20"/>
                <w:szCs w:val="20"/>
                <w:color w:val="auto"/>
              </w:rPr>
            </w:pPr>
            <w:r>
              <w:rPr>
                <w:rFonts w:ascii="Arial" w:cs="Arial" w:eastAsia="Arial" w:hAnsi="Arial"/>
                <w:sz w:val="20"/>
                <w:szCs w:val="20"/>
                <w:color w:val="auto"/>
              </w:rPr>
              <w:t>a USD Revolving Loan Borrowing</w:t>
            </w:r>
          </w:p>
        </w:tc>
        <w:tc>
          <w:tcPr>
            <w:tcW w:w="3020" w:type="dxa"/>
            <w:vAlign w:val="bottom"/>
          </w:tcPr>
          <w:p>
            <w:pPr>
              <w:spacing w:after="0"/>
              <w:rPr>
                <w:sz w:val="21"/>
                <w:szCs w:val="21"/>
                <w:color w:val="auto"/>
              </w:rPr>
            </w:pPr>
          </w:p>
        </w:tc>
      </w:tr>
      <w:tr>
        <w:trPr>
          <w:trHeight w:val="446"/>
        </w:trPr>
        <w:tc>
          <w:tcPr>
            <w:tcW w:w="240" w:type="dxa"/>
            <w:vAlign w:val="bottom"/>
          </w:tcPr>
          <w:p>
            <w:pPr>
              <w:spacing w:after="0"/>
              <w:rPr>
                <w:sz w:val="24"/>
                <w:szCs w:val="24"/>
                <w:color w:val="auto"/>
              </w:rPr>
            </w:pPr>
          </w:p>
        </w:tc>
        <w:tc>
          <w:tcPr>
            <w:tcW w:w="3560" w:type="dxa"/>
            <w:vAlign w:val="bottom"/>
            <w:gridSpan w:val="2"/>
          </w:tcPr>
          <w:p>
            <w:pPr>
              <w:ind w:left="420"/>
              <w:spacing w:after="0"/>
              <w:rPr>
                <w:sz w:val="20"/>
                <w:szCs w:val="20"/>
                <w:color w:val="auto"/>
              </w:rPr>
            </w:pPr>
            <w:r>
              <w:rPr>
                <w:rFonts w:ascii="Arial" w:cs="Arial" w:eastAsia="Arial" w:hAnsi="Arial"/>
                <w:sz w:val="20"/>
                <w:szCs w:val="20"/>
                <w:color w:val="auto"/>
                <w:w w:val="98"/>
              </w:rPr>
              <w:t>a USD Revolving Loan continuation</w:t>
            </w:r>
          </w:p>
        </w:tc>
        <w:tc>
          <w:tcPr>
            <w:tcW w:w="160" w:type="dxa"/>
            <w:vAlign w:val="bottom"/>
          </w:tcPr>
          <w:p>
            <w:pPr>
              <w:spacing w:after="0"/>
              <w:rPr>
                <w:sz w:val="24"/>
                <w:szCs w:val="24"/>
                <w:color w:val="auto"/>
              </w:rPr>
            </w:pPr>
          </w:p>
        </w:tc>
        <w:tc>
          <w:tcPr>
            <w:tcW w:w="4060" w:type="dxa"/>
            <w:vAlign w:val="bottom"/>
          </w:tcPr>
          <w:p>
            <w:pPr>
              <w:jc w:val="center"/>
              <w:ind w:right="1161"/>
              <w:spacing w:after="0"/>
              <w:rPr>
                <w:sz w:val="20"/>
                <w:szCs w:val="20"/>
                <w:color w:val="auto"/>
              </w:rPr>
            </w:pPr>
            <w:r>
              <w:rPr>
                <w:rFonts w:ascii="Arial" w:cs="Arial" w:eastAsia="Arial" w:hAnsi="Arial"/>
                <w:sz w:val="20"/>
                <w:szCs w:val="20"/>
                <w:color w:val="auto"/>
                <w:w w:val="91"/>
              </w:rPr>
              <w:t>a USD Revolving Loan conversion</w:t>
            </w:r>
          </w:p>
        </w:tc>
        <w:tc>
          <w:tcPr>
            <w:tcW w:w="3020" w:type="dxa"/>
            <w:vAlign w:val="bottom"/>
          </w:tcPr>
          <w:p>
            <w:pPr>
              <w:spacing w:after="0"/>
              <w:rPr>
                <w:sz w:val="24"/>
                <w:szCs w:val="24"/>
                <w:color w:val="auto"/>
              </w:rPr>
            </w:pPr>
          </w:p>
        </w:tc>
      </w:tr>
      <w:tr>
        <w:trPr>
          <w:trHeight w:val="446"/>
        </w:trPr>
        <w:tc>
          <w:tcPr>
            <w:tcW w:w="240" w:type="dxa"/>
            <w:vAlign w:val="bottom"/>
          </w:tcPr>
          <w:p>
            <w:pPr>
              <w:spacing w:after="0"/>
              <w:rPr>
                <w:sz w:val="24"/>
                <w:szCs w:val="24"/>
                <w:color w:val="auto"/>
              </w:rPr>
            </w:pPr>
          </w:p>
        </w:tc>
        <w:tc>
          <w:tcPr>
            <w:tcW w:w="3560" w:type="dxa"/>
            <w:vAlign w:val="bottom"/>
            <w:gridSpan w:val="2"/>
          </w:tcPr>
          <w:p>
            <w:pPr>
              <w:ind w:left="420"/>
              <w:spacing w:after="0"/>
              <w:rPr>
                <w:sz w:val="20"/>
                <w:szCs w:val="20"/>
                <w:color w:val="auto"/>
              </w:rPr>
            </w:pPr>
            <w:r>
              <w:rPr>
                <w:rFonts w:ascii="Arial" w:cs="Arial" w:eastAsia="Arial" w:hAnsi="Arial"/>
                <w:sz w:val="20"/>
                <w:szCs w:val="20"/>
                <w:color w:val="auto"/>
                <w:w w:val="91"/>
              </w:rPr>
              <w:t>a European Swingline Loan Borrowing</w:t>
            </w:r>
          </w:p>
        </w:tc>
        <w:tc>
          <w:tcPr>
            <w:tcW w:w="160" w:type="dxa"/>
            <w:vAlign w:val="bottom"/>
          </w:tcPr>
          <w:p>
            <w:pPr>
              <w:spacing w:after="0"/>
              <w:rPr>
                <w:sz w:val="24"/>
                <w:szCs w:val="24"/>
                <w:color w:val="auto"/>
              </w:rPr>
            </w:pPr>
          </w:p>
        </w:tc>
        <w:tc>
          <w:tcPr>
            <w:tcW w:w="4060" w:type="dxa"/>
            <w:vAlign w:val="bottom"/>
          </w:tcPr>
          <w:p>
            <w:pPr>
              <w:ind w:left="40"/>
              <w:spacing w:after="0"/>
              <w:rPr>
                <w:sz w:val="20"/>
                <w:szCs w:val="20"/>
                <w:color w:val="auto"/>
              </w:rPr>
            </w:pPr>
            <w:r>
              <w:rPr>
                <w:rFonts w:ascii="Arial" w:cs="Arial" w:eastAsia="Arial" w:hAnsi="Arial"/>
                <w:sz w:val="20"/>
                <w:szCs w:val="20"/>
                <w:color w:val="auto"/>
              </w:rPr>
              <w:t>a European Revolving Loan Borrowing</w:t>
            </w:r>
          </w:p>
        </w:tc>
        <w:tc>
          <w:tcPr>
            <w:tcW w:w="3020" w:type="dxa"/>
            <w:vAlign w:val="bottom"/>
          </w:tcPr>
          <w:p>
            <w:pPr>
              <w:spacing w:after="0"/>
              <w:rPr>
                <w:sz w:val="24"/>
                <w:szCs w:val="24"/>
                <w:color w:val="auto"/>
              </w:rPr>
            </w:pPr>
          </w:p>
        </w:tc>
      </w:tr>
      <w:tr>
        <w:trPr>
          <w:trHeight w:val="446"/>
        </w:trPr>
        <w:tc>
          <w:tcPr>
            <w:tcW w:w="240" w:type="dxa"/>
            <w:vAlign w:val="bottom"/>
          </w:tcPr>
          <w:p>
            <w:pPr>
              <w:spacing w:after="0"/>
              <w:rPr>
                <w:sz w:val="24"/>
                <w:szCs w:val="24"/>
                <w:color w:val="auto"/>
              </w:rPr>
            </w:pPr>
          </w:p>
        </w:tc>
        <w:tc>
          <w:tcPr>
            <w:tcW w:w="3720" w:type="dxa"/>
            <w:vAlign w:val="bottom"/>
            <w:gridSpan w:val="3"/>
          </w:tcPr>
          <w:p>
            <w:pPr>
              <w:ind w:left="420"/>
              <w:spacing w:after="0"/>
              <w:rPr>
                <w:sz w:val="20"/>
                <w:szCs w:val="20"/>
                <w:color w:val="auto"/>
              </w:rPr>
            </w:pPr>
            <w:r>
              <w:rPr>
                <w:rFonts w:ascii="Arial" w:cs="Arial" w:eastAsia="Arial" w:hAnsi="Arial"/>
                <w:sz w:val="20"/>
                <w:szCs w:val="20"/>
                <w:color w:val="auto"/>
                <w:w w:val="91"/>
              </w:rPr>
              <w:t>a European Revolving Loan continuation</w:t>
            </w:r>
          </w:p>
        </w:tc>
        <w:tc>
          <w:tcPr>
            <w:tcW w:w="4060" w:type="dxa"/>
            <w:vAlign w:val="bottom"/>
          </w:tcPr>
          <w:p>
            <w:pPr>
              <w:ind w:left="200"/>
              <w:spacing w:after="0"/>
              <w:rPr>
                <w:sz w:val="20"/>
                <w:szCs w:val="20"/>
                <w:color w:val="auto"/>
              </w:rPr>
            </w:pPr>
            <w:r>
              <w:rPr>
                <w:rFonts w:ascii="Arial" w:cs="Arial" w:eastAsia="Arial" w:hAnsi="Arial"/>
                <w:sz w:val="20"/>
                <w:szCs w:val="20"/>
                <w:color w:val="auto"/>
              </w:rPr>
              <w:t>a European Revolving Loan conversion</w:t>
            </w:r>
          </w:p>
        </w:tc>
        <w:tc>
          <w:tcPr>
            <w:tcW w:w="3020" w:type="dxa"/>
            <w:vAlign w:val="bottom"/>
          </w:tcPr>
          <w:p>
            <w:pPr>
              <w:spacing w:after="0"/>
              <w:rPr>
                <w:sz w:val="24"/>
                <w:szCs w:val="24"/>
                <w:color w:val="auto"/>
              </w:rPr>
            </w:pPr>
          </w:p>
        </w:tc>
      </w:tr>
      <w:tr>
        <w:trPr>
          <w:trHeight w:val="446"/>
        </w:trPr>
        <w:tc>
          <w:tcPr>
            <w:tcW w:w="240" w:type="dxa"/>
            <w:vAlign w:val="bottom"/>
          </w:tcPr>
          <w:p>
            <w:pPr>
              <w:spacing w:after="0"/>
              <w:rPr>
                <w:sz w:val="24"/>
                <w:szCs w:val="24"/>
                <w:color w:val="auto"/>
              </w:rPr>
            </w:pPr>
          </w:p>
        </w:tc>
        <w:tc>
          <w:tcPr>
            <w:tcW w:w="3720" w:type="dxa"/>
            <w:vAlign w:val="bottom"/>
            <w:gridSpan w:val="3"/>
          </w:tcPr>
          <w:p>
            <w:pPr>
              <w:ind w:left="420"/>
              <w:spacing w:after="0"/>
              <w:rPr>
                <w:sz w:val="20"/>
                <w:szCs w:val="20"/>
                <w:color w:val="auto"/>
              </w:rPr>
            </w:pPr>
            <w:r>
              <w:rPr>
                <w:rFonts w:ascii="Arial" w:cs="Arial" w:eastAsia="Arial" w:hAnsi="Arial"/>
                <w:sz w:val="20"/>
                <w:szCs w:val="20"/>
                <w:color w:val="auto"/>
                <w:w w:val="92"/>
              </w:rPr>
              <w:t>an Australian Revolving Loan Borrowing</w:t>
            </w:r>
          </w:p>
        </w:tc>
        <w:tc>
          <w:tcPr>
            <w:tcW w:w="4060" w:type="dxa"/>
            <w:vAlign w:val="bottom"/>
          </w:tcPr>
          <w:p>
            <w:pPr>
              <w:ind w:left="220"/>
              <w:spacing w:after="0"/>
              <w:rPr>
                <w:sz w:val="20"/>
                <w:szCs w:val="20"/>
                <w:color w:val="auto"/>
              </w:rPr>
            </w:pPr>
            <w:r>
              <w:rPr>
                <w:rFonts w:ascii="Arial" w:cs="Arial" w:eastAsia="Arial" w:hAnsi="Arial"/>
                <w:sz w:val="20"/>
                <w:szCs w:val="20"/>
                <w:color w:val="auto"/>
              </w:rPr>
              <w:t>an Australian Revolving Loan continuation</w:t>
            </w:r>
          </w:p>
        </w:tc>
        <w:tc>
          <w:tcPr>
            <w:tcW w:w="3020" w:type="dxa"/>
            <w:vAlign w:val="bottom"/>
          </w:tcPr>
          <w:p>
            <w:pPr>
              <w:spacing w:after="0"/>
              <w:rPr>
                <w:sz w:val="24"/>
                <w:szCs w:val="24"/>
                <w:color w:val="auto"/>
              </w:rPr>
            </w:pPr>
          </w:p>
        </w:tc>
      </w:tr>
      <w:tr>
        <w:trPr>
          <w:trHeight w:val="446"/>
        </w:trPr>
        <w:tc>
          <w:tcPr>
            <w:tcW w:w="240" w:type="dxa"/>
            <w:vAlign w:val="bottom"/>
          </w:tcPr>
          <w:p>
            <w:pPr>
              <w:spacing w:after="0"/>
              <w:rPr>
                <w:sz w:val="24"/>
                <w:szCs w:val="24"/>
                <w:color w:val="auto"/>
              </w:rPr>
            </w:pPr>
          </w:p>
        </w:tc>
        <w:tc>
          <w:tcPr>
            <w:tcW w:w="3720" w:type="dxa"/>
            <w:vAlign w:val="bottom"/>
            <w:gridSpan w:val="3"/>
          </w:tcPr>
          <w:p>
            <w:pPr>
              <w:ind w:left="420"/>
              <w:spacing w:after="0"/>
              <w:rPr>
                <w:sz w:val="20"/>
                <w:szCs w:val="20"/>
                <w:color w:val="auto"/>
              </w:rPr>
            </w:pPr>
            <w:r>
              <w:rPr>
                <w:rFonts w:ascii="Arial" w:cs="Arial" w:eastAsia="Arial" w:hAnsi="Arial"/>
                <w:sz w:val="20"/>
                <w:szCs w:val="20"/>
                <w:color w:val="auto"/>
                <w:w w:val="90"/>
              </w:rPr>
              <w:t>an Australian Revolving Loan conversion</w:t>
            </w:r>
          </w:p>
        </w:tc>
        <w:tc>
          <w:tcPr>
            <w:tcW w:w="4060" w:type="dxa"/>
            <w:vAlign w:val="bottom"/>
          </w:tcPr>
          <w:p>
            <w:pPr>
              <w:ind w:left="240"/>
              <w:spacing w:after="0"/>
              <w:rPr>
                <w:sz w:val="20"/>
                <w:szCs w:val="20"/>
                <w:color w:val="auto"/>
              </w:rPr>
            </w:pPr>
            <w:r>
              <w:rPr>
                <w:rFonts w:ascii="Arial" w:cs="Arial" w:eastAsia="Arial" w:hAnsi="Arial"/>
                <w:sz w:val="20"/>
                <w:szCs w:val="20"/>
                <w:color w:val="auto"/>
              </w:rPr>
              <w:t>an India Revolving Loan Borrowing</w:t>
            </w:r>
          </w:p>
        </w:tc>
        <w:tc>
          <w:tcPr>
            <w:tcW w:w="3020" w:type="dxa"/>
            <w:vAlign w:val="bottom"/>
          </w:tcPr>
          <w:p>
            <w:pPr>
              <w:spacing w:after="0"/>
              <w:rPr>
                <w:sz w:val="24"/>
                <w:szCs w:val="24"/>
                <w:color w:val="auto"/>
              </w:rPr>
            </w:pPr>
          </w:p>
        </w:tc>
      </w:tr>
      <w:tr>
        <w:trPr>
          <w:trHeight w:val="446"/>
        </w:trPr>
        <w:tc>
          <w:tcPr>
            <w:tcW w:w="240" w:type="dxa"/>
            <w:vAlign w:val="bottom"/>
          </w:tcPr>
          <w:p>
            <w:pPr>
              <w:spacing w:after="0"/>
              <w:rPr>
                <w:sz w:val="24"/>
                <w:szCs w:val="24"/>
                <w:color w:val="auto"/>
              </w:rPr>
            </w:pPr>
          </w:p>
        </w:tc>
        <w:tc>
          <w:tcPr>
            <w:tcW w:w="3560" w:type="dxa"/>
            <w:vAlign w:val="bottom"/>
            <w:gridSpan w:val="2"/>
          </w:tcPr>
          <w:p>
            <w:pPr>
              <w:ind w:left="420"/>
              <w:spacing w:after="0"/>
              <w:rPr>
                <w:sz w:val="20"/>
                <w:szCs w:val="20"/>
                <w:color w:val="auto"/>
              </w:rPr>
            </w:pPr>
            <w:r>
              <w:rPr>
                <w:rFonts w:ascii="Arial" w:cs="Arial" w:eastAsia="Arial" w:hAnsi="Arial"/>
                <w:sz w:val="20"/>
                <w:szCs w:val="20"/>
                <w:color w:val="auto"/>
                <w:w w:val="95"/>
              </w:rPr>
              <w:t>an India Revolving Loan continuation</w:t>
            </w:r>
          </w:p>
        </w:tc>
        <w:tc>
          <w:tcPr>
            <w:tcW w:w="4220" w:type="dxa"/>
            <w:vAlign w:val="bottom"/>
            <w:gridSpan w:val="2"/>
          </w:tcPr>
          <w:p>
            <w:pPr>
              <w:jc w:val="center"/>
              <w:ind w:right="1041"/>
              <w:spacing w:after="0"/>
              <w:rPr>
                <w:sz w:val="20"/>
                <w:szCs w:val="20"/>
                <w:color w:val="auto"/>
              </w:rPr>
            </w:pPr>
            <w:r>
              <w:rPr>
                <w:rFonts w:ascii="Arial" w:cs="Arial" w:eastAsia="Arial" w:hAnsi="Arial"/>
                <w:sz w:val="20"/>
                <w:szCs w:val="20"/>
                <w:color w:val="auto"/>
                <w:w w:val="90"/>
              </w:rPr>
              <w:t>an India Revolving Loan conversion</w:t>
            </w:r>
          </w:p>
        </w:tc>
        <w:tc>
          <w:tcPr>
            <w:tcW w:w="3020" w:type="dxa"/>
            <w:vAlign w:val="bottom"/>
          </w:tcPr>
          <w:p>
            <w:pPr>
              <w:spacing w:after="0"/>
              <w:rPr>
                <w:sz w:val="24"/>
                <w:szCs w:val="24"/>
                <w:color w:val="auto"/>
              </w:rPr>
            </w:pPr>
          </w:p>
        </w:tc>
      </w:tr>
      <w:tr>
        <w:trPr>
          <w:trHeight w:val="446"/>
        </w:trPr>
        <w:tc>
          <w:tcPr>
            <w:tcW w:w="240" w:type="dxa"/>
            <w:vAlign w:val="bottom"/>
          </w:tcPr>
          <w:p>
            <w:pPr>
              <w:spacing w:after="0"/>
              <w:rPr>
                <w:sz w:val="24"/>
                <w:szCs w:val="24"/>
                <w:color w:val="auto"/>
              </w:rPr>
            </w:pPr>
          </w:p>
        </w:tc>
        <w:tc>
          <w:tcPr>
            <w:tcW w:w="3080" w:type="dxa"/>
            <w:vAlign w:val="bottom"/>
          </w:tcPr>
          <w:p>
            <w:pPr>
              <w:ind w:left="420"/>
              <w:spacing w:after="0"/>
              <w:rPr>
                <w:sz w:val="20"/>
                <w:szCs w:val="20"/>
                <w:color w:val="auto"/>
              </w:rPr>
            </w:pPr>
            <w:r>
              <w:rPr>
                <w:rFonts w:ascii="Arial" w:cs="Arial" w:eastAsia="Arial" w:hAnsi="Arial"/>
                <w:sz w:val="20"/>
                <w:szCs w:val="20"/>
                <w:color w:val="auto"/>
              </w:rPr>
              <w:t>a Term Loan A Borrowing</w:t>
            </w:r>
          </w:p>
        </w:tc>
        <w:tc>
          <w:tcPr>
            <w:tcW w:w="4700" w:type="dxa"/>
            <w:vAlign w:val="bottom"/>
            <w:gridSpan w:val="3"/>
          </w:tcPr>
          <w:p>
            <w:pPr>
              <w:ind w:left="40"/>
              <w:spacing w:after="0"/>
              <w:rPr>
                <w:sz w:val="20"/>
                <w:szCs w:val="20"/>
                <w:color w:val="auto"/>
              </w:rPr>
            </w:pPr>
            <w:r>
              <w:rPr>
                <w:rFonts w:ascii="Arial" w:cs="Arial" w:eastAsia="Arial" w:hAnsi="Arial"/>
                <w:sz w:val="20"/>
                <w:szCs w:val="20"/>
                <w:color w:val="auto"/>
              </w:rPr>
              <w:t>a Term Loan A continuation</w:t>
            </w:r>
          </w:p>
        </w:tc>
        <w:tc>
          <w:tcPr>
            <w:tcW w:w="3020" w:type="dxa"/>
            <w:vAlign w:val="bottom"/>
          </w:tcPr>
          <w:p>
            <w:pPr>
              <w:spacing w:after="0"/>
              <w:rPr>
                <w:sz w:val="24"/>
                <w:szCs w:val="24"/>
                <w:color w:val="auto"/>
              </w:rPr>
            </w:pPr>
          </w:p>
        </w:tc>
      </w:tr>
      <w:tr>
        <w:trPr>
          <w:trHeight w:val="446"/>
        </w:trPr>
        <w:tc>
          <w:tcPr>
            <w:tcW w:w="240" w:type="dxa"/>
            <w:vAlign w:val="bottom"/>
          </w:tcPr>
          <w:p>
            <w:pPr>
              <w:spacing w:after="0"/>
              <w:rPr>
                <w:sz w:val="24"/>
                <w:szCs w:val="24"/>
                <w:color w:val="auto"/>
              </w:rPr>
            </w:pPr>
          </w:p>
        </w:tc>
        <w:tc>
          <w:tcPr>
            <w:tcW w:w="3080" w:type="dxa"/>
            <w:vAlign w:val="bottom"/>
          </w:tcPr>
          <w:p>
            <w:pPr>
              <w:ind w:left="420"/>
              <w:spacing w:after="0"/>
              <w:rPr>
                <w:sz w:val="20"/>
                <w:szCs w:val="20"/>
                <w:color w:val="auto"/>
              </w:rPr>
            </w:pPr>
            <w:r>
              <w:rPr>
                <w:rFonts w:ascii="Arial" w:cs="Arial" w:eastAsia="Arial" w:hAnsi="Arial"/>
                <w:sz w:val="20"/>
                <w:szCs w:val="20"/>
                <w:color w:val="auto"/>
              </w:rPr>
              <w:t>a Term Loan A conversion</w:t>
            </w:r>
          </w:p>
        </w:tc>
        <w:tc>
          <w:tcPr>
            <w:tcW w:w="4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60" w:type="dxa"/>
            <w:vAlign w:val="bottom"/>
          </w:tcPr>
          <w:p>
            <w:pPr>
              <w:spacing w:after="0"/>
              <w:rPr>
                <w:sz w:val="24"/>
                <w:szCs w:val="24"/>
                <w:color w:val="auto"/>
              </w:rPr>
            </w:pPr>
          </w:p>
        </w:tc>
        <w:tc>
          <w:tcPr>
            <w:tcW w:w="3020" w:type="dxa"/>
            <w:vAlign w:val="bottom"/>
          </w:tcPr>
          <w:p>
            <w:pPr>
              <w:spacing w:after="0"/>
              <w:rPr>
                <w:sz w:val="24"/>
                <w:szCs w:val="24"/>
                <w:color w:val="auto"/>
              </w:rPr>
            </w:pPr>
          </w:p>
        </w:tc>
      </w:tr>
      <w:tr>
        <w:trPr>
          <w:trHeight w:val="446"/>
        </w:trPr>
        <w:tc>
          <w:tcPr>
            <w:tcW w:w="240" w:type="dxa"/>
            <w:vAlign w:val="bottom"/>
          </w:tcPr>
          <w:p>
            <w:pPr>
              <w:jc w:val="right"/>
              <w:spacing w:after="0"/>
              <w:rPr>
                <w:sz w:val="20"/>
                <w:szCs w:val="20"/>
                <w:color w:val="auto"/>
              </w:rPr>
            </w:pPr>
            <w:r>
              <w:rPr>
                <w:rFonts w:ascii="Arial" w:cs="Arial" w:eastAsia="Arial" w:hAnsi="Arial"/>
                <w:sz w:val="20"/>
                <w:szCs w:val="20"/>
                <w:color w:val="auto"/>
                <w:w w:val="83"/>
              </w:rPr>
              <w:t>2.</w:t>
            </w:r>
          </w:p>
        </w:tc>
        <w:tc>
          <w:tcPr>
            <w:tcW w:w="7780" w:type="dxa"/>
            <w:vAlign w:val="bottom"/>
            <w:gridSpan w:val="4"/>
          </w:tcPr>
          <w:p>
            <w:pPr>
              <w:ind w:left="100"/>
              <w:spacing w:after="0"/>
              <w:rPr>
                <w:sz w:val="20"/>
                <w:szCs w:val="20"/>
                <w:color w:val="auto"/>
              </w:rPr>
            </w:pPr>
            <w:r>
              <w:rPr>
                <w:rFonts w:ascii="Arial" w:cs="Arial" w:eastAsia="Arial" w:hAnsi="Arial"/>
                <w:sz w:val="20"/>
                <w:szCs w:val="20"/>
                <w:color w:val="auto"/>
              </w:rPr>
              <w:t>Date of Borrowing (which shall be a Business Day):</w:t>
            </w:r>
          </w:p>
        </w:tc>
        <w:tc>
          <w:tcPr>
            <w:tcW w:w="3020" w:type="dxa"/>
            <w:vAlign w:val="bottom"/>
          </w:tcPr>
          <w:p>
            <w:pPr>
              <w:spacing w:after="0"/>
              <w:rPr>
                <w:sz w:val="24"/>
                <w:szCs w:val="24"/>
                <w:color w:val="auto"/>
              </w:rPr>
            </w:pPr>
          </w:p>
        </w:tc>
      </w:tr>
      <w:tr>
        <w:trPr>
          <w:trHeight w:val="446"/>
        </w:trPr>
        <w:tc>
          <w:tcPr>
            <w:tcW w:w="240" w:type="dxa"/>
            <w:vAlign w:val="bottom"/>
          </w:tcPr>
          <w:p>
            <w:pPr>
              <w:jc w:val="right"/>
              <w:spacing w:after="0"/>
              <w:rPr>
                <w:sz w:val="20"/>
                <w:szCs w:val="20"/>
                <w:color w:val="auto"/>
              </w:rPr>
            </w:pPr>
            <w:r>
              <w:rPr>
                <w:rFonts w:ascii="Arial" w:cs="Arial" w:eastAsia="Arial" w:hAnsi="Arial"/>
                <w:sz w:val="20"/>
                <w:szCs w:val="20"/>
                <w:color w:val="auto"/>
                <w:w w:val="83"/>
              </w:rPr>
              <w:t>3.</w:t>
            </w:r>
          </w:p>
        </w:tc>
        <w:tc>
          <w:tcPr>
            <w:tcW w:w="3080" w:type="dxa"/>
            <w:vAlign w:val="bottom"/>
          </w:tcPr>
          <w:p>
            <w:pPr>
              <w:ind w:left="100"/>
              <w:spacing w:after="0"/>
              <w:rPr>
                <w:sz w:val="20"/>
                <w:szCs w:val="20"/>
                <w:color w:val="auto"/>
              </w:rPr>
            </w:pPr>
            <w:r>
              <w:rPr>
                <w:rFonts w:ascii="Arial" w:cs="Arial" w:eastAsia="Arial" w:hAnsi="Arial"/>
                <w:sz w:val="20"/>
                <w:szCs w:val="20"/>
                <w:color w:val="auto"/>
                <w:w w:val="93"/>
              </w:rPr>
              <w:t>Amount and Currency of Borrowing:</w:t>
            </w:r>
          </w:p>
        </w:tc>
        <w:tc>
          <w:tcPr>
            <w:tcW w:w="4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60" w:type="dxa"/>
            <w:vAlign w:val="bottom"/>
          </w:tcPr>
          <w:p>
            <w:pPr>
              <w:spacing w:after="0"/>
              <w:rPr>
                <w:sz w:val="24"/>
                <w:szCs w:val="24"/>
                <w:color w:val="auto"/>
              </w:rPr>
            </w:pPr>
          </w:p>
        </w:tc>
        <w:tc>
          <w:tcPr>
            <w:tcW w:w="3020" w:type="dxa"/>
            <w:vAlign w:val="bottom"/>
          </w:tcPr>
          <w:p>
            <w:pPr>
              <w:spacing w:after="0"/>
              <w:rPr>
                <w:sz w:val="24"/>
                <w:szCs w:val="24"/>
                <w:color w:val="auto"/>
              </w:rPr>
            </w:pPr>
          </w:p>
        </w:tc>
      </w:tr>
      <w:tr>
        <w:trPr>
          <w:trHeight w:val="441"/>
        </w:trPr>
        <w:tc>
          <w:tcPr>
            <w:tcW w:w="240" w:type="dxa"/>
            <w:vAlign w:val="bottom"/>
          </w:tcPr>
          <w:p>
            <w:pPr>
              <w:jc w:val="right"/>
              <w:spacing w:after="0"/>
              <w:rPr>
                <w:sz w:val="20"/>
                <w:szCs w:val="20"/>
                <w:color w:val="auto"/>
              </w:rPr>
            </w:pPr>
            <w:r>
              <w:rPr>
                <w:rFonts w:ascii="Arial" w:cs="Arial" w:eastAsia="Arial" w:hAnsi="Arial"/>
                <w:sz w:val="20"/>
                <w:szCs w:val="20"/>
                <w:color w:val="auto"/>
                <w:w w:val="83"/>
              </w:rPr>
              <w:t>4.</w:t>
            </w:r>
          </w:p>
        </w:tc>
        <w:tc>
          <w:tcPr>
            <w:tcW w:w="3080" w:type="dxa"/>
            <w:vAlign w:val="bottom"/>
          </w:tcPr>
          <w:p>
            <w:pPr>
              <w:ind w:left="100"/>
              <w:spacing w:after="0"/>
              <w:rPr>
                <w:sz w:val="20"/>
                <w:szCs w:val="20"/>
                <w:color w:val="auto"/>
              </w:rPr>
            </w:pPr>
            <w:r>
              <w:rPr>
                <w:rFonts w:ascii="Arial" w:cs="Arial" w:eastAsia="Arial" w:hAnsi="Arial"/>
                <w:sz w:val="20"/>
                <w:szCs w:val="20"/>
                <w:color w:val="auto"/>
                <w:w w:val="90"/>
              </w:rPr>
              <w:t>Type of Loan requested (select one):</w:t>
            </w:r>
          </w:p>
        </w:tc>
        <w:tc>
          <w:tcPr>
            <w:tcW w:w="4700" w:type="dxa"/>
            <w:vAlign w:val="bottom"/>
            <w:gridSpan w:val="3"/>
          </w:tcPr>
          <w:p>
            <w:pPr>
              <w:ind w:left="140"/>
              <w:spacing w:after="0"/>
              <w:rPr>
                <w:sz w:val="20"/>
                <w:szCs w:val="20"/>
                <w:color w:val="auto"/>
              </w:rPr>
            </w:pPr>
            <w:r>
              <w:rPr>
                <w:rFonts w:ascii="Arial" w:cs="Arial" w:eastAsia="Arial" w:hAnsi="Arial"/>
                <w:sz w:val="20"/>
                <w:szCs w:val="20"/>
                <w:color w:val="auto"/>
              </w:rPr>
              <w:t>Base Rate Loan (required for USD Swingline</w:t>
            </w:r>
          </w:p>
        </w:tc>
        <w:tc>
          <w:tcPr>
            <w:tcW w:w="3020" w:type="dxa"/>
            <w:vAlign w:val="bottom"/>
          </w:tcPr>
          <w:p>
            <w:pPr>
              <w:ind w:left="400"/>
              <w:spacing w:after="0"/>
              <w:rPr>
                <w:sz w:val="20"/>
                <w:szCs w:val="20"/>
                <w:color w:val="auto"/>
              </w:rPr>
            </w:pPr>
            <w:r>
              <w:rPr>
                <w:rFonts w:ascii="Arial" w:cs="Arial" w:eastAsia="Arial" w:hAnsi="Arial"/>
                <w:sz w:val="20"/>
                <w:szCs w:val="20"/>
                <w:color w:val="auto"/>
                <w:w w:val="89"/>
              </w:rPr>
              <w:t>Loans and not available for India</w:t>
            </w:r>
          </w:p>
        </w:tc>
      </w:tr>
    </w:tbl>
    <w:p>
      <w:pPr>
        <w:spacing w:after="0"/>
        <w:rPr>
          <w:sz w:val="20"/>
          <w:szCs w:val="20"/>
          <w:color w:val="auto"/>
        </w:rPr>
      </w:pPr>
      <w:r>
        <w:rPr>
          <w:rFonts w:ascii="Arial" w:cs="Arial" w:eastAsia="Arial" w:hAnsi="Arial"/>
          <w:sz w:val="20"/>
          <w:szCs w:val="20"/>
          <w:color w:val="auto"/>
        </w:rPr>
        <w:t>Revolving Loans)</w:t>
      </w:r>
    </w:p>
    <w:p>
      <w:pPr>
        <w:spacing w:after="0" w:line="200" w:lineRule="exact"/>
        <w:rPr>
          <w:sz w:val="20"/>
          <w:szCs w:val="20"/>
          <w:color w:val="auto"/>
        </w:rPr>
      </w:pPr>
    </w:p>
    <w:p>
      <w:pPr>
        <w:ind w:left="3900"/>
        <w:spacing w:after="0"/>
        <w:rPr>
          <w:sz w:val="20"/>
          <w:szCs w:val="20"/>
          <w:color w:val="auto"/>
        </w:rPr>
      </w:pPr>
      <w:r>
        <w:rPr>
          <w:rFonts w:ascii="Arial" w:cs="Arial" w:eastAsia="Arial" w:hAnsi="Arial"/>
          <w:sz w:val="20"/>
          <w:szCs w:val="20"/>
          <w:color w:val="auto"/>
        </w:rPr>
        <w:t>Fixed LIBOR Rate Loan</w:t>
      </w:r>
    </w:p>
    <w:p>
      <w:pPr>
        <w:spacing w:after="0" w:line="216" w:lineRule="exact"/>
        <w:rPr>
          <w:sz w:val="20"/>
          <w:szCs w:val="20"/>
          <w:color w:val="auto"/>
        </w:rPr>
      </w:pPr>
    </w:p>
    <w:p>
      <w:pPr>
        <w:ind w:left="3900"/>
        <w:spacing w:after="0"/>
        <w:rPr>
          <w:sz w:val="20"/>
          <w:szCs w:val="20"/>
          <w:color w:val="auto"/>
        </w:rPr>
      </w:pPr>
      <w:r>
        <w:rPr>
          <w:rFonts w:ascii="Arial" w:cs="Arial" w:eastAsia="Arial" w:hAnsi="Arial"/>
          <w:sz w:val="20"/>
          <w:szCs w:val="20"/>
          <w:color w:val="auto"/>
        </w:rPr>
        <w:t>Floating LIBOR Rate Loans</w:t>
      </w:r>
    </w:p>
    <w:p>
      <w:pPr>
        <w:spacing w:after="0" w:line="216"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Overnight Rate Loans (required for European Swingline Loans and not available for other</w:t>
      </w:r>
    </w:p>
    <w:p>
      <w:pPr>
        <w:spacing w:after="0" w:line="39" w:lineRule="exact"/>
        <w:rPr>
          <w:sz w:val="20"/>
          <w:szCs w:val="20"/>
          <w:color w:val="auto"/>
        </w:rPr>
      </w:pPr>
    </w:p>
    <w:p>
      <w:pPr>
        <w:ind w:left="4220"/>
        <w:spacing w:after="0"/>
        <w:rPr>
          <w:sz w:val="20"/>
          <w:szCs w:val="20"/>
          <w:color w:val="auto"/>
        </w:rPr>
      </w:pPr>
      <w:r>
        <w:rPr>
          <w:rFonts w:ascii="Arial" w:cs="Arial" w:eastAsia="Arial" w:hAnsi="Arial"/>
          <w:sz w:val="20"/>
          <w:szCs w:val="20"/>
          <w:color w:val="auto"/>
        </w:rPr>
        <w:t>Loans)</w:t>
      </w:r>
    </w:p>
    <w:p>
      <w:pPr>
        <w:spacing w:after="0" w:line="200" w:lineRule="exact"/>
        <w:rPr>
          <w:sz w:val="20"/>
          <w:szCs w:val="20"/>
          <w:color w:val="auto"/>
        </w:rPr>
      </w:pPr>
    </w:p>
    <w:p>
      <w:pPr>
        <w:spacing w:after="0"/>
        <w:tabs>
          <w:tab w:leader="none" w:pos="320" w:val="left"/>
        </w:tabs>
        <w:rPr>
          <w:sz w:val="20"/>
          <w:szCs w:val="20"/>
          <w:color w:val="auto"/>
        </w:rPr>
      </w:pPr>
      <w:r>
        <w:rPr>
          <w:rFonts w:ascii="Arial" w:cs="Arial" w:eastAsia="Arial" w:hAnsi="Arial"/>
          <w:sz w:val="20"/>
          <w:szCs w:val="20"/>
          <w:color w:val="auto"/>
        </w:rPr>
        <w:t>5.</w:t>
      </w:r>
      <w:r>
        <w:rPr>
          <w:sz w:val="20"/>
          <w:szCs w:val="20"/>
          <w:color w:val="auto"/>
        </w:rPr>
        <w:tab/>
      </w:r>
      <w:r>
        <w:rPr>
          <w:rFonts w:ascii="Arial" w:cs="Arial" w:eastAsia="Arial" w:hAnsi="Arial"/>
          <w:sz w:val="18"/>
          <w:szCs w:val="18"/>
          <w:color w:val="auto"/>
        </w:rPr>
        <w:t>Interest Period for Fixed LIBOR Rate Loans (select one):</w:t>
      </w:r>
    </w:p>
    <w:p>
      <w:pPr>
        <w:spacing w:after="0" w:line="216" w:lineRule="exact"/>
        <w:rPr>
          <w:sz w:val="20"/>
          <w:szCs w:val="20"/>
          <w:color w:val="auto"/>
        </w:rPr>
      </w:pPr>
    </w:p>
    <w:p>
      <w:pPr>
        <w:ind w:left="660"/>
        <w:spacing w:after="0"/>
        <w:tabs>
          <w:tab w:leader="none" w:pos="1960" w:val="left"/>
          <w:tab w:leader="none" w:pos="3180" w:val="left"/>
          <w:tab w:leader="none" w:pos="4540" w:val="left"/>
        </w:tabs>
        <w:rPr>
          <w:sz w:val="20"/>
          <w:szCs w:val="20"/>
          <w:color w:val="auto"/>
        </w:rPr>
      </w:pPr>
      <w:r>
        <w:rPr>
          <w:rFonts w:ascii="Arial" w:cs="Arial" w:eastAsia="Arial" w:hAnsi="Arial"/>
          <w:sz w:val="20"/>
          <w:szCs w:val="20"/>
          <w:color w:val="auto"/>
        </w:rPr>
        <w:t>One Month</w:t>
      </w:r>
      <w:r>
        <w:rPr>
          <w:sz w:val="20"/>
          <w:szCs w:val="20"/>
          <w:color w:val="auto"/>
        </w:rPr>
        <w:tab/>
      </w:r>
      <w:r>
        <w:rPr>
          <w:rFonts w:ascii="Arial" w:cs="Arial" w:eastAsia="Arial" w:hAnsi="Arial"/>
          <w:sz w:val="20"/>
          <w:szCs w:val="20"/>
          <w:color w:val="auto"/>
        </w:rPr>
        <w:t>Two Months</w:t>
        <w:tab/>
        <w:t>Three Months</w:t>
      </w:r>
      <w:r>
        <w:rPr>
          <w:sz w:val="20"/>
          <w:szCs w:val="20"/>
          <w:color w:val="auto"/>
        </w:rPr>
        <w:tab/>
      </w:r>
      <w:r>
        <w:rPr>
          <w:rFonts w:ascii="Arial" w:cs="Arial" w:eastAsia="Arial" w:hAnsi="Arial"/>
          <w:sz w:val="18"/>
          <w:szCs w:val="18"/>
          <w:color w:val="auto"/>
        </w:rPr>
        <w:t>Six Months</w:t>
      </w:r>
    </w:p>
    <w:p>
      <w:pPr>
        <w:spacing w:after="0" w:line="216" w:lineRule="exact"/>
        <w:rPr>
          <w:sz w:val="20"/>
          <w:szCs w:val="20"/>
          <w:color w:val="auto"/>
        </w:rPr>
      </w:pPr>
    </w:p>
    <w:p>
      <w:pPr>
        <w:spacing w:after="0" w:line="243" w:lineRule="auto"/>
        <w:rPr>
          <w:sz w:val="20"/>
          <w:szCs w:val="20"/>
          <w:color w:val="auto"/>
        </w:rPr>
      </w:pPr>
      <w:r>
        <w:rPr>
          <w:rFonts w:ascii="Arial" w:cs="Arial" w:eastAsia="Arial" w:hAnsi="Arial"/>
          <w:sz w:val="20"/>
          <w:szCs w:val="20"/>
          <w:color w:val="auto"/>
        </w:rPr>
        <w:t>The undersigned hereby represents and warrants that (a) this Request for Credit Extension complies with the requirements of Section 2.01(a), with respect to USD Swingline Loans and USD Revolving Loans, Section 2.01(b), with respect to European Swingline Loans and European Revolving Loans, Section 2.01(c), with respect to Australian Revolving Loans, Section 2.01(d), with respect to India Revolving Loans, and Section 2.01(e), with respect to Term Loan A, and with the requirements of Section 2.02 of the Credit Agreement and (b) the representations and warranties contained in Section 5.02(a) and (b) of the Credit Agreement have been satisfied on and as of the date of the requested Credit Extension.</w:t>
      </w:r>
    </w:p>
    <w:p>
      <w:pPr>
        <w:spacing w:after="0" w:line="197" w:lineRule="exact"/>
        <w:rPr>
          <w:sz w:val="20"/>
          <w:szCs w:val="20"/>
          <w:color w:val="auto"/>
        </w:rPr>
      </w:pPr>
    </w:p>
    <w:p>
      <w:pPr>
        <w:spacing w:after="0"/>
        <w:tabs>
          <w:tab w:leader="none" w:pos="2060" w:val="left"/>
        </w:tabs>
        <w:rPr>
          <w:sz w:val="20"/>
          <w:szCs w:val="20"/>
          <w:color w:val="auto"/>
        </w:rPr>
      </w:pPr>
      <w:r>
        <w:rPr>
          <w:rFonts w:ascii="Arial" w:cs="Arial" w:eastAsia="Arial" w:hAnsi="Arial"/>
          <w:sz w:val="20"/>
          <w:szCs w:val="20"/>
          <w:u w:val="single" w:color="auto"/>
          <w:color w:val="auto"/>
        </w:rPr>
        <w:t>BORROWER</w:t>
      </w:r>
      <w:r>
        <w:rPr>
          <w:rFonts w:ascii="Arial" w:cs="Arial" w:eastAsia="Arial" w:hAnsi="Arial"/>
          <w:sz w:val="20"/>
          <w:szCs w:val="20"/>
          <w:color w:val="auto"/>
        </w:rPr>
        <w:t>:</w:t>
      </w:r>
      <w:r>
        <w:rPr>
          <w:sz w:val="20"/>
          <w:szCs w:val="20"/>
          <w:color w:val="auto"/>
        </w:rPr>
        <w:tab/>
      </w:r>
      <w:r>
        <w:rPr>
          <w:rFonts w:ascii="Arial" w:cs="Arial" w:eastAsia="Arial" w:hAnsi="Arial"/>
          <w:sz w:val="19"/>
          <w:szCs w:val="19"/>
          <w:color w:val="auto"/>
        </w:rPr>
        <w:t>[APPLICABLE BORROWER]</w:t>
      </w:r>
    </w:p>
    <w:p>
      <w:pPr>
        <w:sectPr>
          <w:pgSz w:w="11900" w:h="16838" w:orient="portrait"/>
          <w:cols w:equalWidth="0" w:num="1">
            <w:col w:w="11200"/>
          </w:cols>
          <w:pgMar w:left="240" w:top="582" w:right="459" w:bottom="1440" w:gutter="0" w:footer="0" w:header="0"/>
        </w:sectPr>
      </w:pPr>
    </w:p>
    <w:bookmarkStart w:id="302" w:name="page303"/>
    <w:bookmarkEnd w:id="302"/>
    <w:p>
      <w:pPr>
        <w:ind w:left="3900"/>
        <w:spacing w:after="0"/>
        <w:rPr>
          <w:sz w:val="20"/>
          <w:szCs w:val="20"/>
          <w:color w:val="auto"/>
        </w:rPr>
      </w:pPr>
      <w:r>
        <w:rPr>
          <w:rFonts w:ascii="Arial" w:cs="Arial" w:eastAsia="Arial" w:hAnsi="Arial"/>
          <w:sz w:val="20"/>
          <w:szCs w:val="20"/>
          <w:color w:val="auto"/>
        </w:rPr>
        <w:t>By:</w:t>
      </w:r>
    </w:p>
    <w:p>
      <w:pPr>
        <w:spacing w:after="0" w:line="15" w:lineRule="exact"/>
        <w:rPr>
          <w:sz w:val="20"/>
          <w:szCs w:val="20"/>
          <w:color w:val="auto"/>
        </w:rPr>
      </w:pPr>
    </w:p>
    <w:p>
      <w:pPr>
        <w:ind w:left="3900"/>
        <w:spacing w:after="0"/>
        <w:rPr>
          <w:sz w:val="20"/>
          <w:szCs w:val="20"/>
          <w:color w:val="auto"/>
        </w:rPr>
      </w:pPr>
      <w:r>
        <w:rPr>
          <w:rFonts w:ascii="Arial" w:cs="Arial" w:eastAsia="Arial" w:hAnsi="Arial"/>
          <w:sz w:val="20"/>
          <w:szCs w:val="20"/>
          <w:color w:val="auto"/>
        </w:rPr>
        <w:t>Name:</w:t>
      </w:r>
    </w:p>
    <w:p>
      <w:pPr>
        <w:ind w:left="3900"/>
        <w:spacing w:after="0"/>
        <w:rPr>
          <w:sz w:val="20"/>
          <w:szCs w:val="20"/>
          <w:color w:val="auto"/>
        </w:rPr>
      </w:pPr>
      <w:r>
        <w:rPr>
          <w:rFonts w:ascii="Arial" w:cs="Arial" w:eastAsia="Arial" w:hAnsi="Arial"/>
          <w:sz w:val="20"/>
          <w:szCs w:val="20"/>
          <w:color w:val="auto"/>
        </w:rPr>
        <w:t>Title:</w:t>
      </w: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20"/>
          <w:szCs w:val="20"/>
          <w:u w:val="single" w:color="auto"/>
          <w:color w:val="auto"/>
        </w:rPr>
        <w:t>Exhibit 2.13-1</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FORM OF USD REVOLVING NOTE</w:t>
      </w:r>
    </w:p>
    <w:p>
      <w:pPr>
        <w:spacing w:after="0" w:line="351" w:lineRule="exact"/>
        <w:rPr>
          <w:sz w:val="20"/>
          <w:szCs w:val="20"/>
          <w:color w:val="auto"/>
        </w:rPr>
      </w:pPr>
    </w:p>
    <w:p>
      <w:pPr>
        <w:ind w:left="9500"/>
        <w:spacing w:after="0"/>
        <w:rPr>
          <w:sz w:val="20"/>
          <w:szCs w:val="20"/>
          <w:color w:val="auto"/>
        </w:rPr>
      </w:pPr>
      <w:r>
        <w:rPr>
          <w:rFonts w:ascii="Arial" w:cs="Arial" w:eastAsia="Arial" w:hAnsi="Arial"/>
          <w:sz w:val="16"/>
          <w:szCs w:val="16"/>
          <w:color w:val="auto"/>
        </w:rPr>
        <w:t>____________ __, 20__</w:t>
      </w:r>
    </w:p>
    <w:p>
      <w:pPr>
        <w:spacing w:after="0" w:line="200" w:lineRule="exact"/>
        <w:rPr>
          <w:sz w:val="20"/>
          <w:szCs w:val="20"/>
          <w:color w:val="auto"/>
        </w:rPr>
      </w:pPr>
    </w:p>
    <w:p>
      <w:pPr>
        <w:spacing w:after="0" w:line="27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FOR VALUE RECEIVED, each of the undersigned (the “</w:t>
      </w:r>
      <w:r>
        <w:rPr>
          <w:rFonts w:ascii="Arial" w:cs="Arial" w:eastAsia="Arial" w:hAnsi="Arial"/>
          <w:sz w:val="18"/>
          <w:szCs w:val="18"/>
          <w:u w:val="single" w:color="auto"/>
          <w:color w:val="auto"/>
        </w:rPr>
        <w:t>USD Borrowers</w:t>
      </w:r>
      <w:r>
        <w:rPr>
          <w:rFonts w:ascii="Arial" w:cs="Arial" w:eastAsia="Arial" w:hAnsi="Arial"/>
          <w:sz w:val="18"/>
          <w:szCs w:val="18"/>
          <w:color w:val="auto"/>
        </w:rPr>
        <w:t>”), hereby promises to pay to _____________________, its</w:t>
      </w:r>
    </w:p>
    <w:p>
      <w:pPr>
        <w:spacing w:after="0" w:line="39" w:lineRule="exact"/>
        <w:rPr>
          <w:sz w:val="20"/>
          <w:szCs w:val="20"/>
          <w:color w:val="auto"/>
        </w:rPr>
      </w:pPr>
    </w:p>
    <w:p>
      <w:pPr>
        <w:ind w:right="120"/>
        <w:spacing w:after="0" w:line="255" w:lineRule="auto"/>
        <w:rPr>
          <w:sz w:val="20"/>
          <w:szCs w:val="20"/>
          <w:color w:val="auto"/>
        </w:rPr>
      </w:pPr>
      <w:r>
        <w:rPr>
          <w:rFonts w:ascii="Arial" w:cs="Arial" w:eastAsia="Arial" w:hAnsi="Arial"/>
          <w:sz w:val="19"/>
          <w:szCs w:val="19"/>
          <w:color w:val="auto"/>
        </w:rPr>
        <w:t>successors or registered assigns (the “</w:t>
      </w:r>
      <w:r>
        <w:rPr>
          <w:rFonts w:ascii="Arial" w:cs="Arial" w:eastAsia="Arial" w:hAnsi="Arial"/>
          <w:sz w:val="19"/>
          <w:szCs w:val="19"/>
          <w:u w:val="single" w:color="auto"/>
          <w:color w:val="auto"/>
        </w:rPr>
        <w:t>USD Revolving Lender</w:t>
      </w:r>
      <w:r>
        <w:rPr>
          <w:rFonts w:ascii="Arial" w:cs="Arial" w:eastAsia="Arial" w:hAnsi="Arial"/>
          <w:sz w:val="19"/>
          <w:szCs w:val="19"/>
          <w:color w:val="auto"/>
        </w:rPr>
        <w:t>”), the USD Revolving Lender's USD Revolving Committed Amount, or if less, the aggregate unpaid principal amount of all USD Revolving Loans owing by such USD Borrower to the USD Revolving Lender under that certain Amended and Restated Credit Agreement, dated as of August 18, 2011 (as amended, restated, increased, supplemented or otherwise modified from time to time, the “</w:t>
      </w:r>
      <w:r>
        <w:rPr>
          <w:rFonts w:ascii="Arial" w:cs="Arial" w:eastAsia="Arial" w:hAnsi="Arial"/>
          <w:sz w:val="19"/>
          <w:szCs w:val="19"/>
          <w:u w:val="single" w:color="auto"/>
          <w:color w:val="auto"/>
        </w:rPr>
        <w:t>Credit Agreement</w:t>
      </w:r>
      <w:r>
        <w:rPr>
          <w:rFonts w:ascii="Arial" w:cs="Arial" w:eastAsia="Arial" w:hAnsi="Arial"/>
          <w:sz w:val="19"/>
          <w:szCs w:val="19"/>
          <w:color w:val="auto"/>
        </w:rPr>
        <w:t>”) among Euronet Worldwide, Inc., a Delaware corporation, and certain other Subsidiaries and Affiliates, as Borrowers, certain Subsidiaries and Affiliates, as Guarantors, the lenders from time to time party thereto (the “</w:t>
      </w:r>
      <w:r>
        <w:rPr>
          <w:rFonts w:ascii="Arial" w:cs="Arial" w:eastAsia="Arial" w:hAnsi="Arial"/>
          <w:sz w:val="19"/>
          <w:szCs w:val="19"/>
          <w:u w:val="single" w:color="auto"/>
          <w:color w:val="auto"/>
        </w:rPr>
        <w:t>Lenders</w:t>
      </w:r>
      <w:r>
        <w:rPr>
          <w:rFonts w:ascii="Arial" w:cs="Arial" w:eastAsia="Arial" w:hAnsi="Arial"/>
          <w:sz w:val="19"/>
          <w:szCs w:val="19"/>
          <w:color w:val="auto"/>
        </w:rPr>
        <w:t>”) and Bank of America, N.A., as administrative agent (in such capacity, the “</w:t>
      </w:r>
      <w:r>
        <w:rPr>
          <w:rFonts w:ascii="Arial" w:cs="Arial" w:eastAsia="Arial" w:hAnsi="Arial"/>
          <w:sz w:val="19"/>
          <w:szCs w:val="19"/>
          <w:u w:val="single" w:color="auto"/>
          <w:color w:val="auto"/>
        </w:rPr>
        <w:t>Administrative Agent</w:t>
      </w:r>
      <w:r>
        <w:rPr>
          <w:rFonts w:ascii="Arial" w:cs="Arial" w:eastAsia="Arial" w:hAnsi="Arial"/>
          <w:sz w:val="19"/>
          <w:szCs w:val="19"/>
          <w:color w:val="auto"/>
        </w:rPr>
        <w:t>”). Capitalized terms used but not otherwise defined herein have the meanings provided in the Credit Agreement.</w:t>
      </w:r>
    </w:p>
    <w:p>
      <w:pPr>
        <w:spacing w:after="0" w:line="182" w:lineRule="exact"/>
        <w:rPr>
          <w:sz w:val="20"/>
          <w:szCs w:val="20"/>
          <w:color w:val="auto"/>
        </w:rPr>
      </w:pPr>
    </w:p>
    <w:p>
      <w:pPr>
        <w:ind w:firstLine="648"/>
        <w:spacing w:after="0" w:line="259" w:lineRule="auto"/>
        <w:rPr>
          <w:sz w:val="20"/>
          <w:szCs w:val="20"/>
          <w:color w:val="auto"/>
        </w:rPr>
      </w:pPr>
      <w:r>
        <w:rPr>
          <w:rFonts w:ascii="Arial" w:cs="Arial" w:eastAsia="Arial" w:hAnsi="Arial"/>
          <w:sz w:val="19"/>
          <w:szCs w:val="19"/>
          <w:color w:val="auto"/>
        </w:rPr>
        <w:t>Each USD Borrower promises to pay interest on the unpaid principal amount of each USD Revolving Loan owing by such USD Borrower from the date of such USD Revolving Loan until such principal amount is paid in full, at such interest rates and at such times as provided in the Credit Agreement. All payments of principal and interest shall be made to the Administrative Agent for the account of the USD Revolving Lender, at the Administrative Agent's Office, in Dollars in immediately available funds. If any amount is not paid in full when due hereunder, such unpaid amount shall bear interest, to be paid upon demand, from the due date thereof until the date of actual payment (before as well as after judgment) computed at the applicable per annum rate set forth in the Credit Agreement.</w:t>
      </w:r>
    </w:p>
    <w:p>
      <w:pPr>
        <w:spacing w:after="0" w:line="179" w:lineRule="exact"/>
        <w:rPr>
          <w:sz w:val="20"/>
          <w:szCs w:val="20"/>
          <w:color w:val="auto"/>
        </w:rPr>
      </w:pPr>
    </w:p>
    <w:p>
      <w:pPr>
        <w:ind w:right="80" w:firstLine="648"/>
        <w:spacing w:after="0" w:line="260" w:lineRule="auto"/>
        <w:rPr>
          <w:sz w:val="20"/>
          <w:szCs w:val="20"/>
          <w:color w:val="auto"/>
        </w:rPr>
      </w:pPr>
      <w:r>
        <w:rPr>
          <w:rFonts w:ascii="Arial" w:cs="Arial" w:eastAsia="Arial" w:hAnsi="Arial"/>
          <w:sz w:val="19"/>
          <w:szCs w:val="19"/>
          <w:color w:val="auto"/>
        </w:rPr>
        <w:t>This USD Revolving Note is one of the Notes referred to in the Credit Agreement and is entitled to the benefits thereof and may be prepaid in whole or in part subject to the terms and conditions provided in the Credit Agreement. USD Revolving Loans made by the USD Revolving Lender may be evidenced by one or more loan accounts or records maintained by the USD Revolving Lender in the ordinary course of business. The USD Revolving Lender may also attach schedules to this USD Revolving Note and endorse thereon the date, amount and maturity of its USD Revolving Loans and payments with respect thereto.</w:t>
      </w:r>
    </w:p>
    <w:p>
      <w:pPr>
        <w:spacing w:after="0" w:line="181" w:lineRule="exact"/>
        <w:rPr>
          <w:sz w:val="20"/>
          <w:szCs w:val="20"/>
          <w:color w:val="auto"/>
        </w:rPr>
      </w:pPr>
    </w:p>
    <w:p>
      <w:pPr>
        <w:ind w:right="120" w:firstLine="648"/>
        <w:spacing w:after="0" w:line="235" w:lineRule="exact"/>
        <w:rPr>
          <w:sz w:val="20"/>
          <w:szCs w:val="20"/>
          <w:color w:val="auto"/>
        </w:rPr>
      </w:pPr>
      <w:r>
        <w:rPr>
          <w:rFonts w:ascii="Arial" w:cs="Arial" w:eastAsia="Arial" w:hAnsi="Arial"/>
          <w:sz w:val="20"/>
          <w:szCs w:val="20"/>
          <w:color w:val="auto"/>
        </w:rPr>
        <w:t>Upon the occurrence and continuation of an Event of Default, all amounts then remaining unpaid on this USD Revolving Note shall become, or may be declared to be, immediately due and payable as provided in the Credit Agreement, without diligence, presentment, protest and demand or notice of protest, demand, dishonor and non</w:t>
      </w:r>
      <w:r>
        <w:rPr>
          <w:rFonts w:ascii="MS PGothic" w:cs="MS PGothic" w:eastAsia="MS PGothic" w:hAnsi="MS PGothic"/>
          <w:sz w:val="20"/>
          <w:szCs w:val="20"/>
          <w:color w:val="auto"/>
        </w:rPr>
        <w:t>‑</w:t>
      </w:r>
      <w:r>
        <w:rPr>
          <w:rFonts w:ascii="Arial" w:cs="Arial" w:eastAsia="Arial" w:hAnsi="Arial"/>
          <w:sz w:val="20"/>
          <w:szCs w:val="20"/>
          <w:color w:val="auto"/>
        </w:rPr>
        <w:t>payment of this USD Revolving Note, all of which are hereby waived by the USD Borrowers, for themselves and their successors and assigns.</w:t>
      </w:r>
    </w:p>
    <w:p>
      <w:pPr>
        <w:spacing w:after="0" w:line="195" w:lineRule="exact"/>
        <w:rPr>
          <w:sz w:val="20"/>
          <w:szCs w:val="20"/>
          <w:color w:val="auto"/>
        </w:rPr>
      </w:pPr>
    </w:p>
    <w:p>
      <w:pPr>
        <w:ind w:right="140" w:firstLine="648"/>
        <w:spacing w:after="0" w:line="250" w:lineRule="auto"/>
        <w:rPr>
          <w:sz w:val="20"/>
          <w:szCs w:val="20"/>
          <w:color w:val="auto"/>
        </w:rPr>
      </w:pPr>
      <w:r>
        <w:rPr>
          <w:rFonts w:ascii="Arial" w:cs="Arial" w:eastAsia="Arial" w:hAnsi="Arial"/>
          <w:sz w:val="20"/>
          <w:szCs w:val="20"/>
          <w:color w:val="auto"/>
        </w:rPr>
        <w:t>The obligations of each USD Borrower that is a Domestic Borrower under this USD Revolving Note are joint and several. The obligations of each USD Borrower that is a Foreign Borrower under this USD Revolving Note are several, and not joint and several. Under no circumstances shall any USD</w:t>
      </w:r>
    </w:p>
    <w:p>
      <w:pPr>
        <w:sectPr>
          <w:pgSz w:w="11900" w:h="16838" w:orient="portrait"/>
          <w:cols w:equalWidth="0" w:num="1">
            <w:col w:w="11420"/>
          </w:cols>
          <w:pgMar w:left="240" w:top="582" w:right="239" w:bottom="1440" w:gutter="0" w:footer="0" w:header="0"/>
        </w:sectPr>
      </w:pPr>
    </w:p>
    <w:bookmarkStart w:id="303" w:name="page304"/>
    <w:bookmarkEnd w:id="303"/>
    <w:p>
      <w:pPr>
        <w:spacing w:after="0" w:line="260" w:lineRule="auto"/>
        <w:rPr>
          <w:sz w:val="20"/>
          <w:szCs w:val="20"/>
          <w:color w:val="auto"/>
        </w:rPr>
      </w:pPr>
      <w:r>
        <w:rPr>
          <w:rFonts w:ascii="Arial" w:cs="Arial" w:eastAsia="Arial" w:hAnsi="Arial"/>
          <w:sz w:val="20"/>
          <w:szCs w:val="20"/>
          <w:color w:val="auto"/>
        </w:rPr>
        <w:t>Borrower that is a Foreign Borrower be liable for any obligation of a USD Borrower that is a Domestic Borrower under this USD Revolving Note.</w:t>
      </w:r>
    </w:p>
    <w:p>
      <w:pPr>
        <w:spacing w:after="0" w:line="177" w:lineRule="exact"/>
        <w:rPr>
          <w:sz w:val="20"/>
          <w:szCs w:val="20"/>
          <w:color w:val="auto"/>
        </w:rPr>
      </w:pPr>
    </w:p>
    <w:p>
      <w:pPr>
        <w:ind w:right="20" w:firstLine="648"/>
        <w:spacing w:after="0" w:line="260" w:lineRule="auto"/>
        <w:rPr>
          <w:sz w:val="20"/>
          <w:szCs w:val="20"/>
          <w:color w:val="auto"/>
        </w:rPr>
      </w:pPr>
      <w:r>
        <w:rPr>
          <w:rFonts w:ascii="Arial" w:cs="Arial" w:eastAsia="Arial" w:hAnsi="Arial"/>
          <w:sz w:val="20"/>
          <w:szCs w:val="20"/>
          <w:color w:val="auto"/>
        </w:rPr>
        <w:t>THIS USD REVOLVING NOTE SHALL BE GOVERNED BY, AND CONSTRUED IN ACCORDANCE WITH, THE LAWS OF THE STATE OF NEW YORK.</w:t>
      </w:r>
    </w:p>
    <w:p>
      <w:pPr>
        <w:spacing w:after="0" w:line="177" w:lineRule="exact"/>
        <w:rPr>
          <w:sz w:val="20"/>
          <w:szCs w:val="20"/>
          <w:color w:val="auto"/>
        </w:rPr>
      </w:pPr>
    </w:p>
    <w:p>
      <w:pPr>
        <w:ind w:left="3900"/>
        <w:spacing w:after="0"/>
        <w:rPr>
          <w:sz w:val="20"/>
          <w:szCs w:val="20"/>
          <w:color w:val="auto"/>
        </w:rPr>
      </w:pPr>
      <w:r>
        <w:rPr>
          <w:rFonts w:ascii="Arial" w:cs="Arial" w:eastAsia="Arial" w:hAnsi="Arial"/>
          <w:sz w:val="20"/>
          <w:szCs w:val="20"/>
          <w:color w:val="auto"/>
        </w:rPr>
        <w:t>[Remainder of Page Intentionally Left Blank]</w:t>
      </w:r>
    </w:p>
    <w:p>
      <w:pPr>
        <w:spacing w:after="0" w:line="216" w:lineRule="exact"/>
        <w:rPr>
          <w:sz w:val="20"/>
          <w:szCs w:val="20"/>
          <w:color w:val="auto"/>
        </w:rPr>
      </w:pPr>
    </w:p>
    <w:p>
      <w:pPr>
        <w:spacing w:after="0"/>
        <w:tabs>
          <w:tab w:leader="none" w:pos="2880" w:val="left"/>
        </w:tabs>
        <w:rPr>
          <w:sz w:val="20"/>
          <w:szCs w:val="20"/>
          <w:color w:val="auto"/>
        </w:rPr>
      </w:pPr>
      <w:r>
        <w:rPr>
          <w:rFonts w:ascii="Arial" w:cs="Arial" w:eastAsia="Arial" w:hAnsi="Arial"/>
          <w:sz w:val="20"/>
          <w:szCs w:val="20"/>
          <w:u w:val="single" w:color="auto"/>
          <w:color w:val="auto"/>
        </w:rPr>
        <w:t>DOMESTIC BORROWERS</w:t>
      </w:r>
      <w:r>
        <w:rPr>
          <w:rFonts w:ascii="Arial" w:cs="Arial" w:eastAsia="Arial" w:hAnsi="Arial"/>
          <w:sz w:val="20"/>
          <w:szCs w:val="20"/>
          <w:color w:val="auto"/>
        </w:rPr>
        <w:t>:</w:t>
      </w:r>
      <w:r>
        <w:rPr>
          <w:sz w:val="20"/>
          <w:szCs w:val="20"/>
          <w:color w:val="auto"/>
        </w:rPr>
        <w:tab/>
      </w:r>
      <w:r>
        <w:rPr>
          <w:rFonts w:ascii="Arial" w:cs="Arial" w:eastAsia="Arial" w:hAnsi="Arial"/>
          <w:sz w:val="18"/>
          <w:szCs w:val="18"/>
          <w:color w:val="auto"/>
        </w:rPr>
        <w:t>Euronet Worldwide, Inc.</w:t>
      </w:r>
    </w:p>
    <w:p>
      <w:pPr>
        <w:spacing w:after="0" w:line="200" w:lineRule="exact"/>
        <w:rPr>
          <w:sz w:val="20"/>
          <w:szCs w:val="20"/>
          <w:color w:val="auto"/>
        </w:rPr>
      </w:pPr>
    </w:p>
    <w:p>
      <w:pPr>
        <w:spacing w:after="0" w:line="232" w:lineRule="exact"/>
        <w:rPr>
          <w:sz w:val="20"/>
          <w:szCs w:val="20"/>
          <w:color w:val="auto"/>
        </w:rPr>
      </w:pPr>
    </w:p>
    <w:p>
      <w:pPr>
        <w:ind w:left="3900"/>
        <w:spacing w:after="0"/>
        <w:rPr>
          <w:sz w:val="20"/>
          <w:szCs w:val="20"/>
          <w:color w:val="auto"/>
        </w:rPr>
      </w:pPr>
      <w:r>
        <w:rPr>
          <w:rFonts w:ascii="Arial" w:cs="Arial" w:eastAsia="Arial" w:hAnsi="Arial"/>
          <w:sz w:val="20"/>
          <w:szCs w:val="20"/>
          <w:color w:val="auto"/>
        </w:rPr>
        <w:t>By:</w:t>
      </w:r>
    </w:p>
    <w:p>
      <w:pPr>
        <w:spacing w:after="0" w:line="15" w:lineRule="exact"/>
        <w:rPr>
          <w:sz w:val="20"/>
          <w:szCs w:val="20"/>
          <w:color w:val="auto"/>
        </w:rPr>
      </w:pPr>
    </w:p>
    <w:p>
      <w:pPr>
        <w:ind w:left="3900"/>
        <w:spacing w:after="0"/>
        <w:rPr>
          <w:sz w:val="20"/>
          <w:szCs w:val="20"/>
          <w:color w:val="auto"/>
        </w:rPr>
      </w:pPr>
      <w:r>
        <w:rPr>
          <w:rFonts w:ascii="Arial" w:cs="Arial" w:eastAsia="Arial" w:hAnsi="Arial"/>
          <w:sz w:val="20"/>
          <w:szCs w:val="20"/>
          <w:color w:val="auto"/>
        </w:rPr>
        <w:t>Name:</w:t>
      </w:r>
    </w:p>
    <w:p>
      <w:pPr>
        <w:ind w:left="3900"/>
        <w:spacing w:after="0"/>
        <w:rPr>
          <w:sz w:val="20"/>
          <w:szCs w:val="20"/>
          <w:color w:val="auto"/>
        </w:rPr>
      </w:pPr>
      <w:r>
        <w:rPr>
          <w:rFonts w:ascii="Arial" w:cs="Arial" w:eastAsia="Arial" w:hAnsi="Arial"/>
          <w:sz w:val="20"/>
          <w:szCs w:val="20"/>
          <w:color w:val="auto"/>
        </w:rPr>
        <w:t>Title:</w:t>
      </w:r>
    </w:p>
    <w:p>
      <w:pPr>
        <w:spacing w:after="0" w:line="200" w:lineRule="exact"/>
        <w:rPr>
          <w:sz w:val="20"/>
          <w:szCs w:val="20"/>
          <w:color w:val="auto"/>
        </w:rPr>
      </w:pPr>
    </w:p>
    <w:p>
      <w:pPr>
        <w:ind w:left="3900"/>
        <w:spacing w:after="0"/>
        <w:rPr>
          <w:sz w:val="20"/>
          <w:szCs w:val="20"/>
          <w:color w:val="auto"/>
        </w:rPr>
      </w:pPr>
      <w:r>
        <w:rPr>
          <w:rFonts w:ascii="Arial" w:cs="Arial" w:eastAsia="Arial" w:hAnsi="Arial"/>
          <w:sz w:val="20"/>
          <w:szCs w:val="20"/>
          <w:color w:val="auto"/>
        </w:rPr>
        <w:t>continental exchange solutions, inc.</w:t>
      </w:r>
    </w:p>
    <w:p>
      <w:pPr>
        <w:spacing w:after="0" w:line="200" w:lineRule="exact"/>
        <w:rPr>
          <w:sz w:val="20"/>
          <w:szCs w:val="20"/>
          <w:color w:val="auto"/>
        </w:rPr>
      </w:pPr>
    </w:p>
    <w:p>
      <w:pPr>
        <w:spacing w:after="0" w:line="232" w:lineRule="exact"/>
        <w:rPr>
          <w:sz w:val="20"/>
          <w:szCs w:val="20"/>
          <w:color w:val="auto"/>
        </w:rPr>
      </w:pPr>
    </w:p>
    <w:p>
      <w:pPr>
        <w:ind w:left="3900"/>
        <w:spacing w:after="0"/>
        <w:rPr>
          <w:sz w:val="20"/>
          <w:szCs w:val="20"/>
          <w:color w:val="auto"/>
        </w:rPr>
      </w:pPr>
      <w:r>
        <w:rPr>
          <w:rFonts w:ascii="Arial" w:cs="Arial" w:eastAsia="Arial" w:hAnsi="Arial"/>
          <w:sz w:val="20"/>
          <w:szCs w:val="20"/>
          <w:color w:val="auto"/>
        </w:rPr>
        <w:t>By:</w:t>
      </w:r>
    </w:p>
    <w:p>
      <w:pPr>
        <w:spacing w:after="0" w:line="15" w:lineRule="exact"/>
        <w:rPr>
          <w:sz w:val="20"/>
          <w:szCs w:val="20"/>
          <w:color w:val="auto"/>
        </w:rPr>
      </w:pPr>
    </w:p>
    <w:p>
      <w:pPr>
        <w:ind w:left="3900"/>
        <w:spacing w:after="0"/>
        <w:rPr>
          <w:sz w:val="20"/>
          <w:szCs w:val="20"/>
          <w:color w:val="auto"/>
        </w:rPr>
      </w:pPr>
      <w:r>
        <w:rPr>
          <w:rFonts w:ascii="Arial" w:cs="Arial" w:eastAsia="Arial" w:hAnsi="Arial"/>
          <w:sz w:val="20"/>
          <w:szCs w:val="20"/>
          <w:color w:val="auto"/>
        </w:rPr>
        <w:t>Name:</w:t>
      </w:r>
    </w:p>
    <w:p>
      <w:pPr>
        <w:ind w:left="3900"/>
        <w:spacing w:after="0"/>
        <w:rPr>
          <w:sz w:val="20"/>
          <w:szCs w:val="20"/>
          <w:color w:val="auto"/>
        </w:rPr>
      </w:pPr>
      <w:r>
        <w:rPr>
          <w:rFonts w:ascii="Arial" w:cs="Arial" w:eastAsia="Arial" w:hAnsi="Arial"/>
          <w:sz w:val="20"/>
          <w:szCs w:val="20"/>
          <w:color w:val="auto"/>
        </w:rPr>
        <w:t>Title:</w:t>
      </w:r>
    </w:p>
    <w:p>
      <w:pPr>
        <w:spacing w:after="0" w:line="200" w:lineRule="exact"/>
        <w:rPr>
          <w:sz w:val="20"/>
          <w:szCs w:val="20"/>
          <w:color w:val="auto"/>
        </w:rPr>
      </w:pPr>
    </w:p>
    <w:p>
      <w:pPr>
        <w:ind w:left="3900"/>
        <w:spacing w:after="0"/>
        <w:rPr>
          <w:sz w:val="20"/>
          <w:szCs w:val="20"/>
          <w:color w:val="auto"/>
        </w:rPr>
      </w:pPr>
      <w:r>
        <w:rPr>
          <w:rFonts w:ascii="Arial" w:cs="Arial" w:eastAsia="Arial" w:hAnsi="Arial"/>
          <w:sz w:val="20"/>
          <w:szCs w:val="20"/>
          <w:color w:val="auto"/>
        </w:rPr>
        <w:t>RIA Envia, Inc.</w:t>
      </w:r>
    </w:p>
    <w:p>
      <w:pPr>
        <w:spacing w:after="0" w:line="200" w:lineRule="exact"/>
        <w:rPr>
          <w:sz w:val="20"/>
          <w:szCs w:val="20"/>
          <w:color w:val="auto"/>
        </w:rPr>
      </w:pPr>
    </w:p>
    <w:p>
      <w:pPr>
        <w:spacing w:after="0" w:line="232" w:lineRule="exact"/>
        <w:rPr>
          <w:sz w:val="20"/>
          <w:szCs w:val="20"/>
          <w:color w:val="auto"/>
        </w:rPr>
      </w:pPr>
    </w:p>
    <w:p>
      <w:pPr>
        <w:ind w:left="3900"/>
        <w:spacing w:after="0"/>
        <w:rPr>
          <w:sz w:val="20"/>
          <w:szCs w:val="20"/>
          <w:color w:val="auto"/>
        </w:rPr>
      </w:pPr>
      <w:r>
        <w:rPr>
          <w:rFonts w:ascii="Arial" w:cs="Arial" w:eastAsia="Arial" w:hAnsi="Arial"/>
          <w:sz w:val="20"/>
          <w:szCs w:val="20"/>
          <w:color w:val="auto"/>
        </w:rPr>
        <w:t>By:</w:t>
      </w:r>
    </w:p>
    <w:p>
      <w:pPr>
        <w:spacing w:after="0" w:line="15" w:lineRule="exact"/>
        <w:rPr>
          <w:sz w:val="20"/>
          <w:szCs w:val="20"/>
          <w:color w:val="auto"/>
        </w:rPr>
      </w:pPr>
    </w:p>
    <w:p>
      <w:pPr>
        <w:ind w:left="3900"/>
        <w:spacing w:after="0"/>
        <w:rPr>
          <w:sz w:val="20"/>
          <w:szCs w:val="20"/>
          <w:color w:val="auto"/>
        </w:rPr>
      </w:pPr>
      <w:r>
        <w:rPr>
          <w:rFonts w:ascii="Arial" w:cs="Arial" w:eastAsia="Arial" w:hAnsi="Arial"/>
          <w:sz w:val="20"/>
          <w:szCs w:val="20"/>
          <w:color w:val="auto"/>
        </w:rPr>
        <w:t>Name:</w:t>
      </w:r>
    </w:p>
    <w:p>
      <w:pPr>
        <w:ind w:left="3900"/>
        <w:spacing w:after="0"/>
        <w:rPr>
          <w:sz w:val="20"/>
          <w:szCs w:val="20"/>
          <w:color w:val="auto"/>
        </w:rPr>
      </w:pPr>
      <w:r>
        <w:rPr>
          <w:rFonts w:ascii="Arial" w:cs="Arial" w:eastAsia="Arial" w:hAnsi="Arial"/>
          <w:sz w:val="20"/>
          <w:szCs w:val="20"/>
          <w:color w:val="auto"/>
        </w:rPr>
        <w:t>Title:</w:t>
      </w:r>
    </w:p>
    <w:p>
      <w:pPr>
        <w:spacing w:after="0" w:line="200" w:lineRule="exact"/>
        <w:rPr>
          <w:sz w:val="20"/>
          <w:szCs w:val="20"/>
          <w:color w:val="auto"/>
        </w:rPr>
      </w:pPr>
    </w:p>
    <w:p>
      <w:pPr>
        <w:spacing w:after="0" w:line="225" w:lineRule="exact"/>
        <w:rPr>
          <w:sz w:val="20"/>
          <w:szCs w:val="20"/>
          <w:color w:val="auto"/>
        </w:rPr>
      </w:pPr>
    </w:p>
    <w:p>
      <w:pPr>
        <w:spacing w:after="0"/>
        <w:tabs>
          <w:tab w:leader="none" w:pos="2920" w:val="left"/>
        </w:tabs>
        <w:rPr>
          <w:sz w:val="20"/>
          <w:szCs w:val="20"/>
          <w:color w:val="auto"/>
        </w:rPr>
      </w:pPr>
      <w:r>
        <w:rPr>
          <w:rFonts w:ascii="Arial" w:cs="Arial" w:eastAsia="Arial" w:hAnsi="Arial"/>
          <w:sz w:val="22"/>
          <w:szCs w:val="22"/>
          <w:u w:val="single" w:color="auto"/>
          <w:color w:val="auto"/>
        </w:rPr>
        <w:t>FOREIGN BORROWERS</w:t>
      </w:r>
      <w:r>
        <w:rPr>
          <w:rFonts w:ascii="Arial" w:cs="Arial" w:eastAsia="Arial" w:hAnsi="Arial"/>
          <w:sz w:val="22"/>
          <w:szCs w:val="22"/>
          <w:color w:val="auto"/>
        </w:rPr>
        <w:t>:</w:t>
      </w:r>
      <w:r>
        <w:rPr>
          <w:sz w:val="20"/>
          <w:szCs w:val="20"/>
          <w:color w:val="auto"/>
        </w:rPr>
        <w:tab/>
      </w:r>
      <w:r>
        <w:rPr>
          <w:rFonts w:ascii="Arial" w:cs="Arial" w:eastAsia="Arial" w:hAnsi="Arial"/>
          <w:sz w:val="19"/>
          <w:szCs w:val="19"/>
          <w:color w:val="auto"/>
        </w:rPr>
        <w:t>EFT SErviceS Holdings BV</w:t>
      </w:r>
    </w:p>
    <w:p>
      <w:pPr>
        <w:spacing w:after="0" w:line="200" w:lineRule="exact"/>
        <w:rPr>
          <w:sz w:val="20"/>
          <w:szCs w:val="20"/>
          <w:color w:val="auto"/>
        </w:rPr>
      </w:pPr>
    </w:p>
    <w:p>
      <w:pPr>
        <w:spacing w:after="0" w:line="249"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By:</w:t>
      </w:r>
    </w:p>
    <w:p>
      <w:pPr>
        <w:spacing w:after="0" w:line="22"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Name:</w:t>
      </w:r>
    </w:p>
    <w:p>
      <w:pPr>
        <w:spacing w:after="0" w:line="17"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Title:</w:t>
      </w:r>
    </w:p>
    <w:p>
      <w:pPr>
        <w:spacing w:after="0" w:line="202"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Delta Euronet GmbH</w:t>
      </w:r>
    </w:p>
    <w:p>
      <w:pPr>
        <w:spacing w:after="0" w:line="200" w:lineRule="exact"/>
        <w:rPr>
          <w:sz w:val="20"/>
          <w:szCs w:val="20"/>
          <w:color w:val="auto"/>
        </w:rPr>
      </w:pPr>
    </w:p>
    <w:p>
      <w:pPr>
        <w:spacing w:after="0" w:line="236"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By:</w:t>
      </w:r>
    </w:p>
    <w:p>
      <w:pPr>
        <w:spacing w:after="0" w:line="22"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Name:</w:t>
      </w:r>
    </w:p>
    <w:p>
      <w:pPr>
        <w:spacing w:after="0" w:line="17"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Title:</w:t>
      </w:r>
    </w:p>
    <w:p>
      <w:pPr>
        <w:spacing w:after="0" w:line="202" w:lineRule="exact"/>
        <w:rPr>
          <w:sz w:val="20"/>
          <w:szCs w:val="20"/>
          <w:color w:val="auto"/>
        </w:rPr>
      </w:pPr>
    </w:p>
    <w:p>
      <w:pPr>
        <w:jc w:val="center"/>
        <w:ind w:right="300"/>
        <w:spacing w:after="0"/>
        <w:rPr>
          <w:sz w:val="20"/>
          <w:szCs w:val="20"/>
          <w:color w:val="auto"/>
        </w:rPr>
      </w:pPr>
      <w:r>
        <w:rPr>
          <w:rFonts w:ascii="Arial" w:cs="Arial" w:eastAsia="Arial" w:hAnsi="Arial"/>
          <w:sz w:val="22"/>
          <w:szCs w:val="22"/>
          <w:color w:val="auto"/>
        </w:rPr>
        <w:t>E-PAY Australia HOldings pty. ltd.</w:t>
      </w:r>
    </w:p>
    <w:p>
      <w:pPr>
        <w:spacing w:after="0" w:line="200" w:lineRule="exact"/>
        <w:rPr>
          <w:sz w:val="20"/>
          <w:szCs w:val="20"/>
          <w:color w:val="auto"/>
        </w:rPr>
      </w:pPr>
    </w:p>
    <w:p>
      <w:pPr>
        <w:spacing w:after="0" w:line="236"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By:</w:t>
      </w:r>
    </w:p>
    <w:p>
      <w:pPr>
        <w:spacing w:after="0" w:line="22"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Name:</w:t>
      </w:r>
    </w:p>
    <w:p>
      <w:pPr>
        <w:spacing w:after="0" w:line="17"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Title:</w:t>
      </w:r>
    </w:p>
    <w:p>
      <w:pPr>
        <w:sectPr>
          <w:pgSz w:w="11900" w:h="16838" w:orient="portrait"/>
          <w:cols w:equalWidth="0" w:num="1">
            <w:col w:w="11140"/>
          </w:cols>
          <w:pgMar w:left="240" w:top="366" w:right="519" w:bottom="1440" w:gutter="0" w:footer="0" w:header="0"/>
        </w:sectPr>
      </w:pPr>
    </w:p>
    <w:bookmarkStart w:id="304" w:name="page305"/>
    <w:bookmarkEnd w:id="304"/>
    <w:p>
      <w:pPr>
        <w:ind w:left="3900"/>
        <w:spacing w:after="0"/>
        <w:rPr>
          <w:sz w:val="20"/>
          <w:szCs w:val="20"/>
          <w:color w:val="auto"/>
        </w:rPr>
      </w:pPr>
      <w:r>
        <w:rPr>
          <w:rFonts w:ascii="Arial" w:cs="Arial" w:eastAsia="Arial" w:hAnsi="Arial"/>
          <w:sz w:val="22"/>
          <w:szCs w:val="22"/>
          <w:color w:val="auto"/>
        </w:rPr>
        <w:t>e-Pay Holdings LTD</w:t>
      </w:r>
    </w:p>
    <w:p>
      <w:pPr>
        <w:spacing w:after="0" w:line="200" w:lineRule="exact"/>
        <w:rPr>
          <w:sz w:val="20"/>
          <w:szCs w:val="20"/>
          <w:color w:val="auto"/>
        </w:rPr>
      </w:pPr>
    </w:p>
    <w:p>
      <w:pPr>
        <w:spacing w:after="0" w:line="236"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By:</w:t>
      </w:r>
    </w:p>
    <w:p>
      <w:pPr>
        <w:spacing w:after="0" w:line="22"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Name:</w:t>
      </w:r>
    </w:p>
    <w:p>
      <w:pPr>
        <w:spacing w:after="0" w:line="17"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Title:</w:t>
      </w:r>
    </w:p>
    <w:p>
      <w:pPr>
        <w:spacing w:after="0" w:line="202" w:lineRule="exact"/>
        <w:rPr>
          <w:sz w:val="20"/>
          <w:szCs w:val="20"/>
          <w:color w:val="auto"/>
        </w:rPr>
      </w:pPr>
    </w:p>
    <w:p>
      <w:pPr>
        <w:jc w:val="center"/>
        <w:ind w:right="160"/>
        <w:spacing w:after="0"/>
        <w:rPr>
          <w:sz w:val="20"/>
          <w:szCs w:val="20"/>
          <w:color w:val="auto"/>
        </w:rPr>
      </w:pPr>
      <w:r>
        <w:rPr>
          <w:rFonts w:ascii="Arial" w:cs="Arial" w:eastAsia="Arial" w:hAnsi="Arial"/>
          <w:sz w:val="22"/>
          <w:szCs w:val="22"/>
          <w:color w:val="auto"/>
        </w:rPr>
        <w:t>RIA NETHERLANDS HOLDING B.V.</w:t>
      </w:r>
    </w:p>
    <w:p>
      <w:pPr>
        <w:spacing w:after="0" w:line="200" w:lineRule="exact"/>
        <w:rPr>
          <w:sz w:val="20"/>
          <w:szCs w:val="20"/>
          <w:color w:val="auto"/>
        </w:rPr>
      </w:pPr>
    </w:p>
    <w:p>
      <w:pPr>
        <w:spacing w:after="0" w:line="236"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By:</w:t>
      </w:r>
    </w:p>
    <w:p>
      <w:pPr>
        <w:spacing w:after="0" w:line="22"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Name:</w:t>
      </w:r>
    </w:p>
    <w:p>
      <w:pPr>
        <w:spacing w:after="0" w:line="17"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Title:</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20"/>
          <w:szCs w:val="20"/>
          <w:u w:val="single" w:color="auto"/>
          <w:color w:val="auto"/>
        </w:rPr>
        <w:t>Exhibit 2.13-2</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FORM OF USD SWINGLINE NOTE</w:t>
      </w:r>
    </w:p>
    <w:p>
      <w:pPr>
        <w:spacing w:after="0" w:line="351" w:lineRule="exact"/>
        <w:rPr>
          <w:sz w:val="20"/>
          <w:szCs w:val="20"/>
          <w:color w:val="auto"/>
        </w:rPr>
      </w:pPr>
    </w:p>
    <w:p>
      <w:pPr>
        <w:ind w:left="9500"/>
        <w:spacing w:after="0"/>
        <w:rPr>
          <w:sz w:val="20"/>
          <w:szCs w:val="20"/>
          <w:color w:val="auto"/>
        </w:rPr>
      </w:pPr>
      <w:r>
        <w:rPr>
          <w:rFonts w:ascii="Arial" w:cs="Arial" w:eastAsia="Arial" w:hAnsi="Arial"/>
          <w:sz w:val="16"/>
          <w:szCs w:val="16"/>
          <w:color w:val="auto"/>
        </w:rPr>
        <w:t>____________ __, 20__</w:t>
      </w:r>
    </w:p>
    <w:p>
      <w:pPr>
        <w:spacing w:after="0" w:line="200" w:lineRule="exact"/>
        <w:rPr>
          <w:sz w:val="20"/>
          <w:szCs w:val="20"/>
          <w:color w:val="auto"/>
        </w:rPr>
      </w:pPr>
    </w:p>
    <w:p>
      <w:pPr>
        <w:spacing w:after="0" w:line="27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FOR VALUE RECEIVED, each of the undersigned (the “</w:t>
      </w:r>
      <w:r>
        <w:rPr>
          <w:rFonts w:ascii="Arial" w:cs="Arial" w:eastAsia="Arial" w:hAnsi="Arial"/>
          <w:sz w:val="18"/>
          <w:szCs w:val="18"/>
          <w:u w:val="single" w:color="auto"/>
          <w:color w:val="auto"/>
        </w:rPr>
        <w:t>USD Borrowers</w:t>
      </w:r>
      <w:r>
        <w:rPr>
          <w:rFonts w:ascii="Arial" w:cs="Arial" w:eastAsia="Arial" w:hAnsi="Arial"/>
          <w:sz w:val="18"/>
          <w:szCs w:val="18"/>
          <w:color w:val="auto"/>
        </w:rPr>
        <w:t>”), hereby promises to pay to BANK OF AMERICA, N.A.,</w:t>
      </w:r>
    </w:p>
    <w:p>
      <w:pPr>
        <w:spacing w:after="0" w:line="39" w:lineRule="exact"/>
        <w:rPr>
          <w:sz w:val="20"/>
          <w:szCs w:val="20"/>
          <w:color w:val="auto"/>
        </w:rPr>
      </w:pPr>
    </w:p>
    <w:p>
      <w:pPr>
        <w:spacing w:after="0"/>
        <w:rPr>
          <w:sz w:val="20"/>
          <w:szCs w:val="20"/>
          <w:color w:val="auto"/>
        </w:rPr>
      </w:pPr>
      <w:r>
        <w:rPr>
          <w:rFonts w:ascii="Arial" w:cs="Arial" w:eastAsia="Arial" w:hAnsi="Arial"/>
          <w:sz w:val="18"/>
          <w:szCs w:val="18"/>
          <w:color w:val="auto"/>
        </w:rPr>
        <w:t>its successors or registered assigns (the “</w:t>
      </w:r>
      <w:r>
        <w:rPr>
          <w:rFonts w:ascii="Arial" w:cs="Arial" w:eastAsia="Arial" w:hAnsi="Arial"/>
          <w:sz w:val="18"/>
          <w:szCs w:val="18"/>
          <w:u w:val="single" w:color="auto"/>
          <w:color w:val="auto"/>
        </w:rPr>
        <w:t>USD Swingline Lender</w:t>
      </w:r>
      <w:r>
        <w:rPr>
          <w:rFonts w:ascii="Arial" w:cs="Arial" w:eastAsia="Arial" w:hAnsi="Arial"/>
          <w:sz w:val="18"/>
          <w:szCs w:val="18"/>
          <w:color w:val="auto"/>
        </w:rPr>
        <w:t>”), the aggregate unpaid principal amount of all USD Swingline Loans owing</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by such USD Borrower to the USD Swingline Lender under that certain Amended and Restated Credit Agreement, dated as of August 18, 2011</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(as amended, restated, increased, supplemented or otherwise modified from time to time, the “</w:t>
      </w:r>
      <w:r>
        <w:rPr>
          <w:rFonts w:ascii="Arial" w:cs="Arial" w:eastAsia="Arial" w:hAnsi="Arial"/>
          <w:sz w:val="18"/>
          <w:szCs w:val="18"/>
          <w:u w:val="single" w:color="auto"/>
          <w:color w:val="auto"/>
        </w:rPr>
        <w:t>Credit Agreement</w:t>
      </w:r>
      <w:r>
        <w:rPr>
          <w:rFonts w:ascii="Arial" w:cs="Arial" w:eastAsia="Arial" w:hAnsi="Arial"/>
          <w:sz w:val="18"/>
          <w:szCs w:val="18"/>
          <w:color w:val="auto"/>
        </w:rPr>
        <w:t>”) among Euronet Worldwide,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Inc., a Delaware corporation, and certain other Subsidiaries and Affiliates, as Borrowers, certain Subsidiaries and Affiliates, as Guarantors, the</w:t>
      </w:r>
    </w:p>
    <w:p>
      <w:pPr>
        <w:spacing w:after="0" w:line="22" w:lineRule="exact"/>
        <w:rPr>
          <w:sz w:val="20"/>
          <w:szCs w:val="20"/>
          <w:color w:val="auto"/>
        </w:rPr>
      </w:pPr>
    </w:p>
    <w:p>
      <w:pPr>
        <w:spacing w:after="0"/>
        <w:rPr>
          <w:sz w:val="20"/>
          <w:szCs w:val="20"/>
          <w:color w:val="auto"/>
        </w:rPr>
      </w:pPr>
      <w:r>
        <w:rPr>
          <w:rFonts w:ascii="Arial" w:cs="Arial" w:eastAsia="Arial" w:hAnsi="Arial"/>
          <w:sz w:val="20"/>
          <w:szCs w:val="20"/>
          <w:color w:val="auto"/>
        </w:rPr>
        <w:t>lenders from time to time party thereto (the “</w:t>
      </w:r>
      <w:r>
        <w:rPr>
          <w:rFonts w:ascii="Arial" w:cs="Arial" w:eastAsia="Arial" w:hAnsi="Arial"/>
          <w:sz w:val="20"/>
          <w:szCs w:val="20"/>
          <w:u w:val="single" w:color="auto"/>
          <w:color w:val="auto"/>
        </w:rPr>
        <w:t>Lenders</w:t>
      </w:r>
      <w:r>
        <w:rPr>
          <w:rFonts w:ascii="Arial" w:cs="Arial" w:eastAsia="Arial" w:hAnsi="Arial"/>
          <w:sz w:val="20"/>
          <w:szCs w:val="20"/>
          <w:color w:val="auto"/>
        </w:rPr>
        <w:t>”) and Bank of America, N.A., as administrative agent (in such capacity, the</w:t>
      </w:r>
    </w:p>
    <w:p>
      <w:pPr>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Administrative Agent</w:t>
      </w:r>
      <w:r>
        <w:rPr>
          <w:rFonts w:ascii="Arial" w:cs="Arial" w:eastAsia="Arial" w:hAnsi="Arial"/>
          <w:sz w:val="19"/>
          <w:szCs w:val="19"/>
          <w:color w:val="auto"/>
        </w:rPr>
        <w:t>”). Capitalized terms used but not otherwise defined herein have the meanings provided in the Credit Agreement.</w:t>
      </w:r>
    </w:p>
    <w:p>
      <w:pPr>
        <w:spacing w:after="0" w:line="211" w:lineRule="exact"/>
        <w:rPr>
          <w:sz w:val="20"/>
          <w:szCs w:val="20"/>
          <w:color w:val="auto"/>
        </w:rPr>
      </w:pPr>
    </w:p>
    <w:p>
      <w:pPr>
        <w:ind w:right="40" w:firstLine="648"/>
        <w:spacing w:after="0" w:line="243" w:lineRule="auto"/>
        <w:rPr>
          <w:sz w:val="20"/>
          <w:szCs w:val="20"/>
          <w:color w:val="auto"/>
        </w:rPr>
      </w:pPr>
      <w:r>
        <w:rPr>
          <w:rFonts w:ascii="Arial" w:cs="Arial" w:eastAsia="Arial" w:hAnsi="Arial"/>
          <w:sz w:val="20"/>
          <w:szCs w:val="20"/>
          <w:color w:val="auto"/>
        </w:rPr>
        <w:t>Each USD Borrower promises to pay interest on the unpaid principal amount of each USD Swingline Loan owing by such USD Borrower from the date of such USD Swingline Loan until such principal amount is paid in full, at such interest rates and at such times as provided in the Credit Agreement. All payments of principal and interest shall be made to the USD Swingline Lender in Dollars immediately available funds. If any amount is not paid in full when due hereunder, such unpaid amount shall bear interest, to be paid upon demand, from the due date thereof until the date of actual payment (before as well as after judgment) computed at the applicable per annum rate set forth in the Credit Agreement.</w:t>
      </w:r>
    </w:p>
    <w:p>
      <w:pPr>
        <w:spacing w:after="0" w:line="197" w:lineRule="exact"/>
        <w:rPr>
          <w:sz w:val="20"/>
          <w:szCs w:val="20"/>
          <w:color w:val="auto"/>
        </w:rPr>
      </w:pPr>
    </w:p>
    <w:p>
      <w:pPr>
        <w:jc w:val="both"/>
        <w:ind w:right="220" w:firstLine="648"/>
        <w:spacing w:after="0" w:line="244" w:lineRule="auto"/>
        <w:rPr>
          <w:sz w:val="20"/>
          <w:szCs w:val="20"/>
          <w:color w:val="auto"/>
        </w:rPr>
      </w:pPr>
      <w:r>
        <w:rPr>
          <w:rFonts w:ascii="Arial" w:cs="Arial" w:eastAsia="Arial" w:hAnsi="Arial"/>
          <w:sz w:val="20"/>
          <w:szCs w:val="20"/>
          <w:color w:val="auto"/>
        </w:rPr>
        <w:t>This USD Swingline Note is one of the Notes referred to in the Credit Agreement and is entitled to the benefits thereof and may be prepaid in whole or in part subject to the terms and conditions provided therein. USD Swingline Loans made by the USD Swingline Lender may be evidenced by one or more loan accounts or records maintained by the USD Swingline Lender in the ordinary course of business. The USD Swingline Lender may also attach schedules to this USD Swingline Note and endorse thereon the date, amount and maturity of its USD Swingline Loans and payments with respect thereto.</w:t>
      </w:r>
    </w:p>
    <w:p>
      <w:pPr>
        <w:sectPr>
          <w:pgSz w:w="11900" w:h="16838" w:orient="portrait"/>
          <w:cols w:equalWidth="0" w:num="1">
            <w:col w:w="11420"/>
          </w:cols>
          <w:pgMar w:left="240" w:top="590" w:right="239" w:bottom="1440" w:gutter="0" w:footer="0" w:header="0"/>
        </w:sectPr>
      </w:pPr>
    </w:p>
    <w:bookmarkStart w:id="305" w:name="page306"/>
    <w:bookmarkEnd w:id="305"/>
    <w:p>
      <w:pPr>
        <w:ind w:right="80" w:firstLine="648"/>
        <w:spacing w:after="0" w:line="235" w:lineRule="exact"/>
        <w:rPr>
          <w:sz w:val="20"/>
          <w:szCs w:val="20"/>
          <w:color w:val="auto"/>
        </w:rPr>
      </w:pPr>
      <w:r>
        <w:rPr>
          <w:rFonts w:ascii="Arial" w:cs="Arial" w:eastAsia="Arial" w:hAnsi="Arial"/>
          <w:sz w:val="20"/>
          <w:szCs w:val="20"/>
          <w:color w:val="auto"/>
        </w:rPr>
        <w:t>Upon the occurrence and continuation of an Event of Default, all amounts then remaining unpaid on this USD Swingline Note shall become, or may be declared to be, immediately due and payable as provided in the Credit Agreement, without diligence, presentment, protest and demand or notice of protest, demand, dishonor and non</w:t>
      </w:r>
      <w:r>
        <w:rPr>
          <w:rFonts w:ascii="MS PGothic" w:cs="MS PGothic" w:eastAsia="MS PGothic" w:hAnsi="MS PGothic"/>
          <w:sz w:val="20"/>
          <w:szCs w:val="20"/>
          <w:color w:val="auto"/>
        </w:rPr>
        <w:t>‑</w:t>
      </w:r>
      <w:r>
        <w:rPr>
          <w:rFonts w:ascii="Arial" w:cs="Arial" w:eastAsia="Arial" w:hAnsi="Arial"/>
          <w:sz w:val="20"/>
          <w:szCs w:val="20"/>
          <w:color w:val="auto"/>
        </w:rPr>
        <w:t>payment of this USD Swingline Note, all of which are hereby waived by the USD Borrowers, for themselves and their successors and assigns.</w:t>
      </w:r>
    </w:p>
    <w:p>
      <w:pPr>
        <w:spacing w:after="0" w:line="195" w:lineRule="exact"/>
        <w:rPr>
          <w:sz w:val="20"/>
          <w:szCs w:val="20"/>
          <w:color w:val="auto"/>
        </w:rPr>
      </w:pPr>
    </w:p>
    <w:p>
      <w:pPr>
        <w:ind w:firstLine="648"/>
        <w:spacing w:after="0" w:line="246" w:lineRule="auto"/>
        <w:rPr>
          <w:sz w:val="20"/>
          <w:szCs w:val="20"/>
          <w:color w:val="auto"/>
        </w:rPr>
      </w:pPr>
      <w:r>
        <w:rPr>
          <w:rFonts w:ascii="Arial" w:cs="Arial" w:eastAsia="Arial" w:hAnsi="Arial"/>
          <w:sz w:val="20"/>
          <w:szCs w:val="20"/>
          <w:color w:val="auto"/>
        </w:rPr>
        <w:t>The obligations of each USD Borrower that is a Domestic Borrower under this USD Swingline Note are joint and several. The obligations of each USD Borrower that is a Foreign Borrower under this USD Swingline Note are several, and not joint and several. Under no circumstances shall any USD Borrower that is a Foreign Borrower be liable for any obligation of a USD Borrower that is a Domestic Borrower under this USD Swingline Note.</w:t>
      </w:r>
    </w:p>
    <w:p>
      <w:pPr>
        <w:spacing w:after="0" w:line="192" w:lineRule="exact"/>
        <w:rPr>
          <w:sz w:val="20"/>
          <w:szCs w:val="20"/>
          <w:color w:val="auto"/>
        </w:rPr>
      </w:pPr>
    </w:p>
    <w:p>
      <w:pPr>
        <w:ind w:right="280" w:firstLine="648"/>
        <w:spacing w:after="0" w:line="260" w:lineRule="auto"/>
        <w:rPr>
          <w:sz w:val="20"/>
          <w:szCs w:val="20"/>
          <w:color w:val="auto"/>
        </w:rPr>
      </w:pPr>
      <w:r>
        <w:rPr>
          <w:rFonts w:ascii="Arial" w:cs="Arial" w:eastAsia="Arial" w:hAnsi="Arial"/>
          <w:sz w:val="20"/>
          <w:szCs w:val="20"/>
          <w:color w:val="auto"/>
        </w:rPr>
        <w:t>THIS USD SWINGLINE NOTE SHALL BE GOVERNED BY, AND CONSTRUED IN ACCORDANCE WITH, THE LAWS OF THE STATE OF NEW YORK.</w:t>
      </w:r>
    </w:p>
    <w:p>
      <w:pPr>
        <w:spacing w:after="0" w:line="177" w:lineRule="exact"/>
        <w:rPr>
          <w:sz w:val="20"/>
          <w:szCs w:val="20"/>
          <w:color w:val="auto"/>
        </w:rPr>
      </w:pPr>
    </w:p>
    <w:p>
      <w:pPr>
        <w:spacing w:after="0"/>
        <w:tabs>
          <w:tab w:leader="none" w:pos="2880" w:val="left"/>
        </w:tabs>
        <w:rPr>
          <w:sz w:val="20"/>
          <w:szCs w:val="20"/>
          <w:color w:val="auto"/>
        </w:rPr>
      </w:pPr>
      <w:r>
        <w:rPr>
          <w:rFonts w:ascii="Arial" w:cs="Arial" w:eastAsia="Arial" w:hAnsi="Arial"/>
          <w:sz w:val="20"/>
          <w:szCs w:val="20"/>
          <w:u w:val="single" w:color="auto"/>
          <w:color w:val="auto"/>
        </w:rPr>
        <w:t>DOMESTIC BORROWERS</w:t>
      </w:r>
      <w:r>
        <w:rPr>
          <w:rFonts w:ascii="Arial" w:cs="Arial" w:eastAsia="Arial" w:hAnsi="Arial"/>
          <w:sz w:val="20"/>
          <w:szCs w:val="20"/>
          <w:color w:val="auto"/>
        </w:rPr>
        <w:t>:</w:t>
      </w:r>
      <w:r>
        <w:rPr>
          <w:sz w:val="20"/>
          <w:szCs w:val="20"/>
          <w:color w:val="auto"/>
        </w:rPr>
        <w:tab/>
      </w:r>
      <w:r>
        <w:rPr>
          <w:rFonts w:ascii="Arial" w:cs="Arial" w:eastAsia="Arial" w:hAnsi="Arial"/>
          <w:sz w:val="18"/>
          <w:szCs w:val="18"/>
          <w:color w:val="auto"/>
        </w:rPr>
        <w:t>Euronet Worldwide, Inc.</w:t>
      </w:r>
    </w:p>
    <w:p>
      <w:pPr>
        <w:spacing w:after="0" w:line="200" w:lineRule="exact"/>
        <w:rPr>
          <w:sz w:val="20"/>
          <w:szCs w:val="20"/>
          <w:color w:val="auto"/>
        </w:rPr>
      </w:pPr>
    </w:p>
    <w:p>
      <w:pPr>
        <w:spacing w:after="0" w:line="232" w:lineRule="exact"/>
        <w:rPr>
          <w:sz w:val="20"/>
          <w:szCs w:val="20"/>
          <w:color w:val="auto"/>
        </w:rPr>
      </w:pPr>
    </w:p>
    <w:p>
      <w:pPr>
        <w:ind w:left="3900"/>
        <w:spacing w:after="0"/>
        <w:rPr>
          <w:sz w:val="20"/>
          <w:szCs w:val="20"/>
          <w:color w:val="auto"/>
        </w:rPr>
      </w:pPr>
      <w:r>
        <w:rPr>
          <w:rFonts w:ascii="Arial" w:cs="Arial" w:eastAsia="Arial" w:hAnsi="Arial"/>
          <w:sz w:val="20"/>
          <w:szCs w:val="20"/>
          <w:color w:val="auto"/>
        </w:rPr>
        <w:t>By:</w:t>
      </w:r>
    </w:p>
    <w:p>
      <w:pPr>
        <w:spacing w:after="0" w:line="15" w:lineRule="exact"/>
        <w:rPr>
          <w:sz w:val="20"/>
          <w:szCs w:val="20"/>
          <w:color w:val="auto"/>
        </w:rPr>
      </w:pPr>
    </w:p>
    <w:p>
      <w:pPr>
        <w:ind w:left="3900"/>
        <w:spacing w:after="0"/>
        <w:rPr>
          <w:sz w:val="20"/>
          <w:szCs w:val="20"/>
          <w:color w:val="auto"/>
        </w:rPr>
      </w:pPr>
      <w:r>
        <w:rPr>
          <w:rFonts w:ascii="Arial" w:cs="Arial" w:eastAsia="Arial" w:hAnsi="Arial"/>
          <w:sz w:val="20"/>
          <w:szCs w:val="20"/>
          <w:color w:val="auto"/>
        </w:rPr>
        <w:t>Name:</w:t>
      </w:r>
    </w:p>
    <w:p>
      <w:pPr>
        <w:ind w:left="3900"/>
        <w:spacing w:after="0"/>
        <w:rPr>
          <w:sz w:val="20"/>
          <w:szCs w:val="20"/>
          <w:color w:val="auto"/>
        </w:rPr>
      </w:pPr>
      <w:r>
        <w:rPr>
          <w:rFonts w:ascii="Arial" w:cs="Arial" w:eastAsia="Arial" w:hAnsi="Arial"/>
          <w:sz w:val="20"/>
          <w:szCs w:val="20"/>
          <w:color w:val="auto"/>
        </w:rPr>
        <w:t>Title:</w:t>
      </w:r>
    </w:p>
    <w:p>
      <w:pPr>
        <w:spacing w:after="0" w:line="200" w:lineRule="exact"/>
        <w:rPr>
          <w:sz w:val="20"/>
          <w:szCs w:val="20"/>
          <w:color w:val="auto"/>
        </w:rPr>
      </w:pPr>
    </w:p>
    <w:p>
      <w:pPr>
        <w:ind w:left="3900"/>
        <w:spacing w:after="0"/>
        <w:rPr>
          <w:sz w:val="20"/>
          <w:szCs w:val="20"/>
          <w:color w:val="auto"/>
        </w:rPr>
      </w:pPr>
      <w:r>
        <w:rPr>
          <w:rFonts w:ascii="Arial" w:cs="Arial" w:eastAsia="Arial" w:hAnsi="Arial"/>
          <w:sz w:val="20"/>
          <w:szCs w:val="20"/>
          <w:color w:val="auto"/>
        </w:rPr>
        <w:t>continental exchange solutions, inc.</w:t>
      </w:r>
    </w:p>
    <w:p>
      <w:pPr>
        <w:spacing w:after="0" w:line="200" w:lineRule="exact"/>
        <w:rPr>
          <w:sz w:val="20"/>
          <w:szCs w:val="20"/>
          <w:color w:val="auto"/>
        </w:rPr>
      </w:pPr>
    </w:p>
    <w:p>
      <w:pPr>
        <w:spacing w:after="0" w:line="232" w:lineRule="exact"/>
        <w:rPr>
          <w:sz w:val="20"/>
          <w:szCs w:val="20"/>
          <w:color w:val="auto"/>
        </w:rPr>
      </w:pPr>
    </w:p>
    <w:p>
      <w:pPr>
        <w:ind w:left="3900"/>
        <w:spacing w:after="0"/>
        <w:rPr>
          <w:sz w:val="20"/>
          <w:szCs w:val="20"/>
          <w:color w:val="auto"/>
        </w:rPr>
      </w:pPr>
      <w:r>
        <w:rPr>
          <w:rFonts w:ascii="Arial" w:cs="Arial" w:eastAsia="Arial" w:hAnsi="Arial"/>
          <w:sz w:val="20"/>
          <w:szCs w:val="20"/>
          <w:color w:val="auto"/>
        </w:rPr>
        <w:t>By:</w:t>
      </w:r>
    </w:p>
    <w:p>
      <w:pPr>
        <w:spacing w:after="0" w:line="15" w:lineRule="exact"/>
        <w:rPr>
          <w:sz w:val="20"/>
          <w:szCs w:val="20"/>
          <w:color w:val="auto"/>
        </w:rPr>
      </w:pPr>
    </w:p>
    <w:p>
      <w:pPr>
        <w:ind w:left="3900"/>
        <w:spacing w:after="0"/>
        <w:rPr>
          <w:sz w:val="20"/>
          <w:szCs w:val="20"/>
          <w:color w:val="auto"/>
        </w:rPr>
      </w:pPr>
      <w:r>
        <w:rPr>
          <w:rFonts w:ascii="Arial" w:cs="Arial" w:eastAsia="Arial" w:hAnsi="Arial"/>
          <w:sz w:val="20"/>
          <w:szCs w:val="20"/>
          <w:color w:val="auto"/>
        </w:rPr>
        <w:t>Name:</w:t>
      </w:r>
    </w:p>
    <w:p>
      <w:pPr>
        <w:ind w:left="3900"/>
        <w:spacing w:after="0"/>
        <w:rPr>
          <w:sz w:val="20"/>
          <w:szCs w:val="20"/>
          <w:color w:val="auto"/>
        </w:rPr>
      </w:pPr>
      <w:r>
        <w:rPr>
          <w:rFonts w:ascii="Arial" w:cs="Arial" w:eastAsia="Arial" w:hAnsi="Arial"/>
          <w:sz w:val="20"/>
          <w:szCs w:val="20"/>
          <w:color w:val="auto"/>
        </w:rPr>
        <w:t>Title:</w:t>
      </w:r>
    </w:p>
    <w:p>
      <w:pPr>
        <w:spacing w:after="0" w:line="200" w:lineRule="exact"/>
        <w:rPr>
          <w:sz w:val="20"/>
          <w:szCs w:val="20"/>
          <w:color w:val="auto"/>
        </w:rPr>
      </w:pPr>
    </w:p>
    <w:p>
      <w:pPr>
        <w:ind w:left="3900"/>
        <w:spacing w:after="0"/>
        <w:rPr>
          <w:sz w:val="20"/>
          <w:szCs w:val="20"/>
          <w:color w:val="auto"/>
        </w:rPr>
      </w:pPr>
      <w:r>
        <w:rPr>
          <w:rFonts w:ascii="Arial" w:cs="Arial" w:eastAsia="Arial" w:hAnsi="Arial"/>
          <w:sz w:val="20"/>
          <w:szCs w:val="20"/>
          <w:color w:val="auto"/>
        </w:rPr>
        <w:t>RIA Envia, Inc.</w:t>
      </w:r>
    </w:p>
    <w:p>
      <w:pPr>
        <w:spacing w:after="0" w:line="200" w:lineRule="exact"/>
        <w:rPr>
          <w:sz w:val="20"/>
          <w:szCs w:val="20"/>
          <w:color w:val="auto"/>
        </w:rPr>
      </w:pPr>
    </w:p>
    <w:p>
      <w:pPr>
        <w:spacing w:after="0" w:line="232" w:lineRule="exact"/>
        <w:rPr>
          <w:sz w:val="20"/>
          <w:szCs w:val="20"/>
          <w:color w:val="auto"/>
        </w:rPr>
      </w:pPr>
    </w:p>
    <w:p>
      <w:pPr>
        <w:ind w:left="3900"/>
        <w:spacing w:after="0"/>
        <w:rPr>
          <w:sz w:val="20"/>
          <w:szCs w:val="20"/>
          <w:color w:val="auto"/>
        </w:rPr>
      </w:pPr>
      <w:r>
        <w:rPr>
          <w:rFonts w:ascii="Arial" w:cs="Arial" w:eastAsia="Arial" w:hAnsi="Arial"/>
          <w:sz w:val="20"/>
          <w:szCs w:val="20"/>
          <w:color w:val="auto"/>
        </w:rPr>
        <w:t>By:</w:t>
      </w:r>
    </w:p>
    <w:p>
      <w:pPr>
        <w:spacing w:after="0" w:line="15" w:lineRule="exact"/>
        <w:rPr>
          <w:sz w:val="20"/>
          <w:szCs w:val="20"/>
          <w:color w:val="auto"/>
        </w:rPr>
      </w:pPr>
    </w:p>
    <w:p>
      <w:pPr>
        <w:ind w:left="3900"/>
        <w:spacing w:after="0"/>
        <w:rPr>
          <w:sz w:val="20"/>
          <w:szCs w:val="20"/>
          <w:color w:val="auto"/>
        </w:rPr>
      </w:pPr>
      <w:r>
        <w:rPr>
          <w:rFonts w:ascii="Arial" w:cs="Arial" w:eastAsia="Arial" w:hAnsi="Arial"/>
          <w:sz w:val="20"/>
          <w:szCs w:val="20"/>
          <w:color w:val="auto"/>
        </w:rPr>
        <w:t>Name:</w:t>
      </w:r>
    </w:p>
    <w:p>
      <w:pPr>
        <w:ind w:left="3900"/>
        <w:spacing w:after="0"/>
        <w:rPr>
          <w:sz w:val="20"/>
          <w:szCs w:val="20"/>
          <w:color w:val="auto"/>
        </w:rPr>
      </w:pPr>
      <w:r>
        <w:rPr>
          <w:rFonts w:ascii="Arial" w:cs="Arial" w:eastAsia="Arial" w:hAnsi="Arial"/>
          <w:sz w:val="20"/>
          <w:szCs w:val="20"/>
          <w:color w:val="auto"/>
        </w:rPr>
        <w:t>Title:</w:t>
      </w:r>
    </w:p>
    <w:p>
      <w:pPr>
        <w:spacing w:after="0" w:line="200" w:lineRule="exact"/>
        <w:rPr>
          <w:sz w:val="20"/>
          <w:szCs w:val="20"/>
          <w:color w:val="auto"/>
        </w:rPr>
      </w:pPr>
    </w:p>
    <w:p>
      <w:pPr>
        <w:spacing w:after="0" w:line="225" w:lineRule="exact"/>
        <w:rPr>
          <w:sz w:val="20"/>
          <w:szCs w:val="20"/>
          <w:color w:val="auto"/>
        </w:rPr>
      </w:pPr>
    </w:p>
    <w:p>
      <w:pPr>
        <w:spacing w:after="0"/>
        <w:tabs>
          <w:tab w:leader="none" w:pos="2920" w:val="left"/>
        </w:tabs>
        <w:rPr>
          <w:sz w:val="20"/>
          <w:szCs w:val="20"/>
          <w:color w:val="auto"/>
        </w:rPr>
      </w:pPr>
      <w:r>
        <w:rPr>
          <w:rFonts w:ascii="Arial" w:cs="Arial" w:eastAsia="Arial" w:hAnsi="Arial"/>
          <w:sz w:val="22"/>
          <w:szCs w:val="22"/>
          <w:u w:val="single" w:color="auto"/>
          <w:color w:val="auto"/>
        </w:rPr>
        <w:t>FOREIGN BORROWERS</w:t>
      </w:r>
      <w:r>
        <w:rPr>
          <w:rFonts w:ascii="Arial" w:cs="Arial" w:eastAsia="Arial" w:hAnsi="Arial"/>
          <w:sz w:val="22"/>
          <w:szCs w:val="22"/>
          <w:color w:val="auto"/>
        </w:rPr>
        <w:t>:</w:t>
      </w:r>
      <w:r>
        <w:rPr>
          <w:sz w:val="20"/>
          <w:szCs w:val="20"/>
          <w:color w:val="auto"/>
        </w:rPr>
        <w:tab/>
      </w:r>
      <w:r>
        <w:rPr>
          <w:rFonts w:ascii="Arial" w:cs="Arial" w:eastAsia="Arial" w:hAnsi="Arial"/>
          <w:sz w:val="19"/>
          <w:szCs w:val="19"/>
          <w:color w:val="auto"/>
        </w:rPr>
        <w:t>EFT SErviceS Holdings BV</w:t>
      </w:r>
    </w:p>
    <w:p>
      <w:pPr>
        <w:spacing w:after="0" w:line="200" w:lineRule="exact"/>
        <w:rPr>
          <w:sz w:val="20"/>
          <w:szCs w:val="20"/>
          <w:color w:val="auto"/>
        </w:rPr>
      </w:pPr>
    </w:p>
    <w:p>
      <w:pPr>
        <w:spacing w:after="0" w:line="249"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By:</w:t>
      </w:r>
    </w:p>
    <w:p>
      <w:pPr>
        <w:spacing w:after="0" w:line="22"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Name:</w:t>
      </w:r>
    </w:p>
    <w:p>
      <w:pPr>
        <w:spacing w:after="0" w:line="17"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Title:</w:t>
      </w:r>
    </w:p>
    <w:p>
      <w:pPr>
        <w:spacing w:after="0" w:line="202"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Delta Euronet GmbH</w:t>
      </w:r>
    </w:p>
    <w:p>
      <w:pPr>
        <w:spacing w:after="0" w:line="200" w:lineRule="exact"/>
        <w:rPr>
          <w:sz w:val="20"/>
          <w:szCs w:val="20"/>
          <w:color w:val="auto"/>
        </w:rPr>
      </w:pPr>
    </w:p>
    <w:p>
      <w:pPr>
        <w:spacing w:after="0" w:line="236"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By:</w:t>
      </w:r>
    </w:p>
    <w:p>
      <w:pPr>
        <w:spacing w:after="0" w:line="22"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Name:</w:t>
      </w:r>
    </w:p>
    <w:p>
      <w:pPr>
        <w:sectPr>
          <w:pgSz w:w="11900" w:h="16838" w:orient="portrait"/>
          <w:cols w:equalWidth="0" w:num="1">
            <w:col w:w="11360"/>
          </w:cols>
          <w:pgMar w:left="240" w:top="581" w:right="299" w:bottom="1440" w:gutter="0" w:footer="0" w:header="0"/>
        </w:sectPr>
      </w:pPr>
    </w:p>
    <w:bookmarkStart w:id="306" w:name="page307"/>
    <w:bookmarkEnd w:id="306"/>
    <w:p>
      <w:pPr>
        <w:ind w:left="3900"/>
        <w:spacing w:after="0"/>
        <w:rPr>
          <w:sz w:val="20"/>
          <w:szCs w:val="20"/>
          <w:color w:val="auto"/>
        </w:rPr>
      </w:pPr>
      <w:r>
        <w:rPr>
          <w:rFonts w:ascii="Arial" w:cs="Arial" w:eastAsia="Arial" w:hAnsi="Arial"/>
          <w:sz w:val="22"/>
          <w:szCs w:val="22"/>
          <w:color w:val="auto"/>
        </w:rPr>
        <w:t>Title:</w:t>
      </w:r>
    </w:p>
    <w:p>
      <w:pPr>
        <w:spacing w:after="0" w:line="220"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E-PAY Australia HOldings pty. ltd.</w:t>
      </w:r>
    </w:p>
    <w:p>
      <w:pPr>
        <w:spacing w:after="0" w:line="200" w:lineRule="exact"/>
        <w:rPr>
          <w:sz w:val="20"/>
          <w:szCs w:val="20"/>
          <w:color w:val="auto"/>
        </w:rPr>
      </w:pPr>
    </w:p>
    <w:p>
      <w:pPr>
        <w:spacing w:after="0" w:line="236"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By:</w:t>
      </w:r>
    </w:p>
    <w:p>
      <w:pPr>
        <w:spacing w:after="0" w:line="22"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Name:</w:t>
      </w:r>
    </w:p>
    <w:p>
      <w:pPr>
        <w:spacing w:after="0" w:line="17"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Title:</w:t>
      </w:r>
    </w:p>
    <w:p>
      <w:pPr>
        <w:spacing w:after="0" w:line="202"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e-Pay Holdings LTD</w:t>
      </w:r>
    </w:p>
    <w:p>
      <w:pPr>
        <w:spacing w:after="0" w:line="200" w:lineRule="exact"/>
        <w:rPr>
          <w:sz w:val="20"/>
          <w:szCs w:val="20"/>
          <w:color w:val="auto"/>
        </w:rPr>
      </w:pPr>
    </w:p>
    <w:p>
      <w:pPr>
        <w:spacing w:after="0" w:line="236"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By:</w:t>
      </w:r>
    </w:p>
    <w:p>
      <w:pPr>
        <w:spacing w:after="0" w:line="22"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Name:</w:t>
      </w:r>
    </w:p>
    <w:p>
      <w:pPr>
        <w:spacing w:after="0" w:line="17"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Title:</w:t>
      </w:r>
    </w:p>
    <w:p>
      <w:pPr>
        <w:spacing w:after="0" w:line="202" w:lineRule="exact"/>
        <w:rPr>
          <w:sz w:val="20"/>
          <w:szCs w:val="20"/>
          <w:color w:val="auto"/>
        </w:rPr>
      </w:pPr>
    </w:p>
    <w:p>
      <w:pPr>
        <w:jc w:val="center"/>
        <w:ind w:right="160"/>
        <w:spacing w:after="0"/>
        <w:rPr>
          <w:sz w:val="20"/>
          <w:szCs w:val="20"/>
          <w:color w:val="auto"/>
        </w:rPr>
      </w:pPr>
      <w:r>
        <w:rPr>
          <w:rFonts w:ascii="Arial" w:cs="Arial" w:eastAsia="Arial" w:hAnsi="Arial"/>
          <w:sz w:val="22"/>
          <w:szCs w:val="22"/>
          <w:color w:val="auto"/>
        </w:rPr>
        <w:t>RIA NETHERLANDS HOLDING B.V.</w:t>
      </w:r>
    </w:p>
    <w:p>
      <w:pPr>
        <w:spacing w:after="0" w:line="200" w:lineRule="exact"/>
        <w:rPr>
          <w:sz w:val="20"/>
          <w:szCs w:val="20"/>
          <w:color w:val="auto"/>
        </w:rPr>
      </w:pPr>
    </w:p>
    <w:p>
      <w:pPr>
        <w:spacing w:after="0" w:line="236"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By:</w:t>
      </w:r>
    </w:p>
    <w:p>
      <w:pPr>
        <w:spacing w:after="0" w:line="22"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Name:</w:t>
      </w:r>
    </w:p>
    <w:p>
      <w:pPr>
        <w:spacing w:after="0" w:line="17"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20"/>
          <w:szCs w:val="20"/>
          <w:u w:val="single" w:color="auto"/>
          <w:color w:val="auto"/>
        </w:rPr>
        <w:t>Exhibit 2.13-3</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FORM OF EUROPEAN REVOLVING NOTE</w:t>
      </w:r>
    </w:p>
    <w:p>
      <w:pPr>
        <w:spacing w:after="0" w:line="351" w:lineRule="exact"/>
        <w:rPr>
          <w:sz w:val="20"/>
          <w:szCs w:val="20"/>
          <w:color w:val="auto"/>
        </w:rPr>
      </w:pPr>
    </w:p>
    <w:p>
      <w:pPr>
        <w:ind w:left="9500"/>
        <w:spacing w:after="0"/>
        <w:rPr>
          <w:sz w:val="20"/>
          <w:szCs w:val="20"/>
          <w:color w:val="auto"/>
        </w:rPr>
      </w:pPr>
      <w:r>
        <w:rPr>
          <w:rFonts w:ascii="Arial" w:cs="Arial" w:eastAsia="Arial" w:hAnsi="Arial"/>
          <w:sz w:val="16"/>
          <w:szCs w:val="16"/>
          <w:color w:val="auto"/>
        </w:rPr>
        <w:t>____________ __, 20__</w:t>
      </w:r>
    </w:p>
    <w:p>
      <w:pPr>
        <w:spacing w:after="0" w:line="200" w:lineRule="exact"/>
        <w:rPr>
          <w:sz w:val="20"/>
          <w:szCs w:val="20"/>
          <w:color w:val="auto"/>
        </w:rPr>
      </w:pPr>
    </w:p>
    <w:p>
      <w:pPr>
        <w:spacing w:after="0" w:line="27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FOR VALUE RECEIVED, each of the undersigned (the “</w:t>
      </w:r>
      <w:r>
        <w:rPr>
          <w:rFonts w:ascii="Arial" w:cs="Arial" w:eastAsia="Arial" w:hAnsi="Arial"/>
          <w:sz w:val="18"/>
          <w:szCs w:val="18"/>
          <w:u w:val="single" w:color="auto"/>
          <w:color w:val="auto"/>
        </w:rPr>
        <w:t>European Borrowers</w:t>
      </w:r>
      <w:r>
        <w:rPr>
          <w:rFonts w:ascii="Arial" w:cs="Arial" w:eastAsia="Arial" w:hAnsi="Arial"/>
          <w:sz w:val="18"/>
          <w:szCs w:val="18"/>
          <w:color w:val="auto"/>
        </w:rPr>
        <w:t>”), hereby promises to pay to _____________________,</w:t>
      </w:r>
    </w:p>
    <w:p>
      <w:pPr>
        <w:spacing w:after="0" w:line="39" w:lineRule="exact"/>
        <w:rPr>
          <w:sz w:val="20"/>
          <w:szCs w:val="20"/>
          <w:color w:val="auto"/>
        </w:rPr>
      </w:pPr>
    </w:p>
    <w:p>
      <w:pPr>
        <w:ind w:right="40"/>
        <w:spacing w:after="0" w:line="271" w:lineRule="auto"/>
        <w:rPr>
          <w:sz w:val="20"/>
          <w:szCs w:val="20"/>
          <w:color w:val="auto"/>
        </w:rPr>
      </w:pPr>
      <w:r>
        <w:rPr>
          <w:rFonts w:ascii="Arial" w:cs="Arial" w:eastAsia="Arial" w:hAnsi="Arial"/>
          <w:sz w:val="18"/>
          <w:szCs w:val="18"/>
          <w:color w:val="auto"/>
        </w:rPr>
        <w:t>its successors or registered assigns (the “</w:t>
      </w:r>
      <w:r>
        <w:rPr>
          <w:rFonts w:ascii="Arial" w:cs="Arial" w:eastAsia="Arial" w:hAnsi="Arial"/>
          <w:sz w:val="18"/>
          <w:szCs w:val="18"/>
          <w:u w:val="single" w:color="auto"/>
          <w:color w:val="auto"/>
        </w:rPr>
        <w:t>European Revolving Lender</w:t>
      </w:r>
      <w:r>
        <w:rPr>
          <w:rFonts w:ascii="Arial" w:cs="Arial" w:eastAsia="Arial" w:hAnsi="Arial"/>
          <w:sz w:val="18"/>
          <w:szCs w:val="18"/>
          <w:color w:val="auto"/>
        </w:rPr>
        <w:t>”), the European Revolving Lender's European Revolving Committed Amount, or if less, the aggregate unpaid principal amount of all European Revolving Loans owing by such European Borrower to the European Revolving Lender under that certain Amended and Restated Credit Agreement, dated as of August 18, 2011 (as amended, restated, increased, supplemented or otherwise modified from time to time, the “</w:t>
      </w:r>
      <w:r>
        <w:rPr>
          <w:rFonts w:ascii="Arial" w:cs="Arial" w:eastAsia="Arial" w:hAnsi="Arial"/>
          <w:sz w:val="18"/>
          <w:szCs w:val="18"/>
          <w:u w:val="single" w:color="auto"/>
          <w:color w:val="auto"/>
        </w:rPr>
        <w:t>Credit Agreement</w:t>
      </w:r>
      <w:r>
        <w:rPr>
          <w:rFonts w:ascii="Arial" w:cs="Arial" w:eastAsia="Arial" w:hAnsi="Arial"/>
          <w:sz w:val="18"/>
          <w:szCs w:val="18"/>
          <w:color w:val="auto"/>
        </w:rPr>
        <w:t>”) among Euronet Worldwide, Inc., a Delaware corporation, and certain other Subsidiaries and Affiliates, as Borrowers, certain Subsidiaries and Affiliates, as Guarantors, the lenders from time to time party thereto (the “</w:t>
      </w:r>
      <w:r>
        <w:rPr>
          <w:rFonts w:ascii="Arial" w:cs="Arial" w:eastAsia="Arial" w:hAnsi="Arial"/>
          <w:sz w:val="18"/>
          <w:szCs w:val="18"/>
          <w:u w:val="single" w:color="auto"/>
          <w:color w:val="auto"/>
        </w:rPr>
        <w:t>Lenders</w:t>
      </w:r>
      <w:r>
        <w:rPr>
          <w:rFonts w:ascii="Arial" w:cs="Arial" w:eastAsia="Arial" w:hAnsi="Arial"/>
          <w:sz w:val="18"/>
          <w:szCs w:val="18"/>
          <w:color w:val="auto"/>
        </w:rPr>
        <w:t>”) and Bank of America, N.A., as administrative agent (in such capacity, the “</w:t>
      </w:r>
      <w:r>
        <w:rPr>
          <w:rFonts w:ascii="Arial" w:cs="Arial" w:eastAsia="Arial" w:hAnsi="Arial"/>
          <w:sz w:val="18"/>
          <w:szCs w:val="18"/>
          <w:u w:val="single" w:color="auto"/>
          <w:color w:val="auto"/>
        </w:rPr>
        <w:t>Administrative Agent</w:t>
      </w:r>
      <w:r>
        <w:rPr>
          <w:rFonts w:ascii="Arial" w:cs="Arial" w:eastAsia="Arial" w:hAnsi="Arial"/>
          <w:sz w:val="18"/>
          <w:szCs w:val="18"/>
          <w:color w:val="auto"/>
        </w:rPr>
        <w:t>”). Capitalized terms used but not otherwise defined herein have the meanings provided in the Credit Agreement.</w:t>
      </w:r>
    </w:p>
    <w:p>
      <w:pPr>
        <w:spacing w:after="0" w:line="171" w:lineRule="exact"/>
        <w:rPr>
          <w:sz w:val="20"/>
          <w:szCs w:val="20"/>
          <w:color w:val="auto"/>
        </w:rPr>
      </w:pPr>
    </w:p>
    <w:p>
      <w:pPr>
        <w:ind w:firstLine="648"/>
        <w:spacing w:after="0" w:line="263" w:lineRule="auto"/>
        <w:rPr>
          <w:sz w:val="20"/>
          <w:szCs w:val="20"/>
          <w:color w:val="auto"/>
        </w:rPr>
      </w:pPr>
      <w:r>
        <w:rPr>
          <w:rFonts w:ascii="Arial" w:cs="Arial" w:eastAsia="Arial" w:hAnsi="Arial"/>
          <w:sz w:val="19"/>
          <w:szCs w:val="19"/>
          <w:color w:val="auto"/>
        </w:rPr>
        <w:t>Each European Borrower promises to pay interest on the unpaid principal amount of each European Revolving Loan owing by such European Borrower from the date of such European Revolving Loan until such principal amount is paid in full, at such interest rates and at such times as provided in the Credit Agreement. All payments of principal and interest shall be made to the Administrative Agent for the account of the European Revolving Lender, at the Administrative Agent's Office, in the applicable currency</w:t>
      </w:r>
    </w:p>
    <w:p>
      <w:pPr>
        <w:sectPr>
          <w:pgSz w:w="11900" w:h="16838" w:orient="portrait"/>
          <w:cols w:equalWidth="0" w:num="1">
            <w:col w:w="11420"/>
          </w:cols>
          <w:pgMar w:left="240" w:top="375" w:right="239" w:bottom="1440" w:gutter="0" w:footer="0" w:header="0"/>
        </w:sectPr>
      </w:pPr>
    </w:p>
    <w:bookmarkStart w:id="307" w:name="page308"/>
    <w:bookmarkEnd w:id="307"/>
    <w:p>
      <w:pPr>
        <w:spacing w:after="0" w:line="250" w:lineRule="auto"/>
        <w:rPr>
          <w:sz w:val="20"/>
          <w:szCs w:val="20"/>
          <w:color w:val="auto"/>
        </w:rPr>
      </w:pPr>
      <w:r>
        <w:rPr>
          <w:rFonts w:ascii="Arial" w:cs="Arial" w:eastAsia="Arial" w:hAnsi="Arial"/>
          <w:sz w:val="20"/>
          <w:szCs w:val="20"/>
          <w:color w:val="auto"/>
        </w:rPr>
        <w:t>in Same Day Funds. If any amount is not paid in full when due hereunder, such unpaid amount shall bear interest, to be paid upon demand, from the due date thereof until the date of actual payment (before as well as after judgment) computed at the applicable per annum rate set forth in the Credit Agreement.</w:t>
      </w:r>
    </w:p>
    <w:p>
      <w:pPr>
        <w:spacing w:after="0" w:line="186" w:lineRule="exact"/>
        <w:rPr>
          <w:sz w:val="20"/>
          <w:szCs w:val="20"/>
          <w:color w:val="auto"/>
        </w:rPr>
      </w:pPr>
    </w:p>
    <w:p>
      <w:pPr>
        <w:ind w:firstLine="648"/>
        <w:spacing w:after="0" w:line="260" w:lineRule="auto"/>
        <w:rPr>
          <w:sz w:val="20"/>
          <w:szCs w:val="20"/>
          <w:color w:val="auto"/>
        </w:rPr>
      </w:pPr>
      <w:r>
        <w:rPr>
          <w:rFonts w:ascii="Arial" w:cs="Arial" w:eastAsia="Arial" w:hAnsi="Arial"/>
          <w:sz w:val="19"/>
          <w:szCs w:val="19"/>
          <w:color w:val="auto"/>
        </w:rPr>
        <w:t>This European Revolving Note is one of the Notes referred to in the Credit Agreement and is entitled to the benefits thereof and may be prepaid in whole or in part subject to the terms and conditions provided therein. European Revolving Loans made by the European Revolving Lender may be evidenced by one or more loan accounts or records maintained by the European Revolving Lender in the ordinary course of business. The European Revolving Lender may also attach schedules to this European Revolving Note and endorse thereon the date, amount and maturity of its European Revolving Loans and payments with respect thereto.</w:t>
      </w:r>
    </w:p>
    <w:p>
      <w:pPr>
        <w:spacing w:after="0" w:line="181" w:lineRule="exact"/>
        <w:rPr>
          <w:sz w:val="20"/>
          <w:szCs w:val="20"/>
          <w:color w:val="auto"/>
        </w:rPr>
      </w:pPr>
    </w:p>
    <w:p>
      <w:pPr>
        <w:ind w:right="140" w:firstLine="648"/>
        <w:spacing w:after="0" w:line="235" w:lineRule="exact"/>
        <w:rPr>
          <w:sz w:val="20"/>
          <w:szCs w:val="20"/>
          <w:color w:val="auto"/>
        </w:rPr>
      </w:pPr>
      <w:r>
        <w:rPr>
          <w:rFonts w:ascii="Arial" w:cs="Arial" w:eastAsia="Arial" w:hAnsi="Arial"/>
          <w:sz w:val="20"/>
          <w:szCs w:val="20"/>
          <w:color w:val="auto"/>
        </w:rPr>
        <w:t>Upon the occurrence and continuation of an Event of Default, all amounts then remaining unpaid on this European Revolving Note shall become, or may be declared to be, immediately due and payable as provided in the Credit Agreement, without diligence, presentment, protest and demand or notice of protest, demand, dishonor and non</w:t>
      </w:r>
      <w:r>
        <w:rPr>
          <w:rFonts w:ascii="MS PGothic" w:cs="MS PGothic" w:eastAsia="MS PGothic" w:hAnsi="MS PGothic"/>
          <w:sz w:val="20"/>
          <w:szCs w:val="20"/>
          <w:color w:val="auto"/>
        </w:rPr>
        <w:t>‑</w:t>
      </w:r>
      <w:r>
        <w:rPr>
          <w:rFonts w:ascii="Arial" w:cs="Arial" w:eastAsia="Arial" w:hAnsi="Arial"/>
          <w:sz w:val="20"/>
          <w:szCs w:val="20"/>
          <w:color w:val="auto"/>
        </w:rPr>
        <w:t>payment of this European Revolving Note, all of which are hereby waived by the European Borrowers, for themselves and their successors and assigns.</w:t>
      </w:r>
    </w:p>
    <w:p>
      <w:pPr>
        <w:spacing w:after="0" w:line="195" w:lineRule="exact"/>
        <w:rPr>
          <w:sz w:val="20"/>
          <w:szCs w:val="20"/>
          <w:color w:val="auto"/>
        </w:rPr>
      </w:pPr>
    </w:p>
    <w:p>
      <w:pPr>
        <w:ind w:right="140" w:firstLine="648"/>
        <w:spacing w:after="0" w:line="246" w:lineRule="auto"/>
        <w:rPr>
          <w:sz w:val="20"/>
          <w:szCs w:val="20"/>
          <w:color w:val="auto"/>
        </w:rPr>
      </w:pPr>
      <w:r>
        <w:rPr>
          <w:rFonts w:ascii="Arial" w:cs="Arial" w:eastAsia="Arial" w:hAnsi="Arial"/>
          <w:sz w:val="20"/>
          <w:szCs w:val="20"/>
          <w:color w:val="auto"/>
        </w:rPr>
        <w:t>The obligations of each European Borrower that is a Domestic Borrower under this European Revolving Note are joint and several. The obligations of each European Borrower that is a Foreign Borrower under this European Revolving Note are several, and not joint and several. Under no circumstances shall any European Borrower that is a Foreign Borrower be liable for any obligation of a European Borrower that is a Domestic Borrower under this European Revolving Note.</w:t>
      </w:r>
    </w:p>
    <w:p>
      <w:pPr>
        <w:spacing w:after="0" w:line="192" w:lineRule="exact"/>
        <w:rPr>
          <w:sz w:val="20"/>
          <w:szCs w:val="20"/>
          <w:color w:val="auto"/>
        </w:rPr>
      </w:pPr>
    </w:p>
    <w:p>
      <w:pPr>
        <w:ind w:right="240" w:firstLine="648"/>
        <w:spacing w:after="0" w:line="260" w:lineRule="auto"/>
        <w:rPr>
          <w:sz w:val="20"/>
          <w:szCs w:val="20"/>
          <w:color w:val="auto"/>
        </w:rPr>
      </w:pPr>
      <w:r>
        <w:rPr>
          <w:rFonts w:ascii="Arial" w:cs="Arial" w:eastAsia="Arial" w:hAnsi="Arial"/>
          <w:sz w:val="20"/>
          <w:szCs w:val="20"/>
          <w:color w:val="auto"/>
        </w:rPr>
        <w:t>THIS EUROPEAN Revolving NOTE SHALL BE GOVERNED BY, AND CONSTRUED IN ACCORDANCE WITH, THE LAWS OF THE STATE OF NEW YORK.</w:t>
      </w:r>
    </w:p>
    <w:p>
      <w:pPr>
        <w:spacing w:after="0" w:line="177" w:lineRule="exact"/>
        <w:rPr>
          <w:sz w:val="20"/>
          <w:szCs w:val="20"/>
          <w:color w:val="auto"/>
        </w:rPr>
      </w:pPr>
    </w:p>
    <w:p>
      <w:pPr>
        <w:ind w:left="3900"/>
        <w:spacing w:after="0"/>
        <w:rPr>
          <w:sz w:val="20"/>
          <w:szCs w:val="20"/>
          <w:color w:val="auto"/>
        </w:rPr>
      </w:pPr>
      <w:r>
        <w:rPr>
          <w:rFonts w:ascii="Arial" w:cs="Arial" w:eastAsia="Arial" w:hAnsi="Arial"/>
          <w:sz w:val="20"/>
          <w:szCs w:val="20"/>
          <w:color w:val="auto"/>
        </w:rPr>
        <w:t>[Remainder of Page Intentionally Left Blank]</w:t>
      </w:r>
    </w:p>
    <w:p>
      <w:pPr>
        <w:spacing w:after="0" w:line="216" w:lineRule="exact"/>
        <w:rPr>
          <w:sz w:val="20"/>
          <w:szCs w:val="20"/>
          <w:color w:val="auto"/>
        </w:rPr>
      </w:pPr>
    </w:p>
    <w:p>
      <w:pPr>
        <w:spacing w:after="0"/>
        <w:tabs>
          <w:tab w:leader="none" w:pos="2880" w:val="left"/>
        </w:tabs>
        <w:rPr>
          <w:sz w:val="20"/>
          <w:szCs w:val="20"/>
          <w:color w:val="auto"/>
        </w:rPr>
      </w:pPr>
      <w:r>
        <w:rPr>
          <w:rFonts w:ascii="Arial" w:cs="Arial" w:eastAsia="Arial" w:hAnsi="Arial"/>
          <w:sz w:val="20"/>
          <w:szCs w:val="20"/>
          <w:u w:val="single" w:color="auto"/>
          <w:color w:val="auto"/>
        </w:rPr>
        <w:t>DOMESTIC BORROWERS</w:t>
      </w:r>
      <w:r>
        <w:rPr>
          <w:rFonts w:ascii="Arial" w:cs="Arial" w:eastAsia="Arial" w:hAnsi="Arial"/>
          <w:sz w:val="20"/>
          <w:szCs w:val="20"/>
          <w:color w:val="auto"/>
        </w:rPr>
        <w:t>:</w:t>
      </w:r>
      <w:r>
        <w:rPr>
          <w:sz w:val="20"/>
          <w:szCs w:val="20"/>
          <w:color w:val="auto"/>
        </w:rPr>
        <w:tab/>
      </w:r>
      <w:r>
        <w:rPr>
          <w:rFonts w:ascii="Arial" w:cs="Arial" w:eastAsia="Arial" w:hAnsi="Arial"/>
          <w:sz w:val="18"/>
          <w:szCs w:val="18"/>
          <w:color w:val="auto"/>
        </w:rPr>
        <w:t>Euronet Worldwide, Inc.</w:t>
      </w:r>
    </w:p>
    <w:p>
      <w:pPr>
        <w:spacing w:after="0" w:line="200" w:lineRule="exact"/>
        <w:rPr>
          <w:sz w:val="20"/>
          <w:szCs w:val="20"/>
          <w:color w:val="auto"/>
        </w:rPr>
      </w:pPr>
    </w:p>
    <w:p>
      <w:pPr>
        <w:spacing w:after="0" w:line="232" w:lineRule="exact"/>
        <w:rPr>
          <w:sz w:val="20"/>
          <w:szCs w:val="20"/>
          <w:color w:val="auto"/>
        </w:rPr>
      </w:pPr>
    </w:p>
    <w:p>
      <w:pPr>
        <w:ind w:left="3900"/>
        <w:spacing w:after="0"/>
        <w:rPr>
          <w:sz w:val="20"/>
          <w:szCs w:val="20"/>
          <w:color w:val="auto"/>
        </w:rPr>
      </w:pPr>
      <w:r>
        <w:rPr>
          <w:rFonts w:ascii="Arial" w:cs="Arial" w:eastAsia="Arial" w:hAnsi="Arial"/>
          <w:sz w:val="20"/>
          <w:szCs w:val="20"/>
          <w:color w:val="auto"/>
        </w:rPr>
        <w:t>By:</w:t>
      </w:r>
    </w:p>
    <w:p>
      <w:pPr>
        <w:spacing w:after="0" w:line="15" w:lineRule="exact"/>
        <w:rPr>
          <w:sz w:val="20"/>
          <w:szCs w:val="20"/>
          <w:color w:val="auto"/>
        </w:rPr>
      </w:pPr>
    </w:p>
    <w:p>
      <w:pPr>
        <w:ind w:left="3900"/>
        <w:spacing w:after="0"/>
        <w:rPr>
          <w:sz w:val="20"/>
          <w:szCs w:val="20"/>
          <w:color w:val="auto"/>
        </w:rPr>
      </w:pPr>
      <w:r>
        <w:rPr>
          <w:rFonts w:ascii="Arial" w:cs="Arial" w:eastAsia="Arial" w:hAnsi="Arial"/>
          <w:sz w:val="20"/>
          <w:szCs w:val="20"/>
          <w:color w:val="auto"/>
        </w:rPr>
        <w:t>Name:</w:t>
      </w:r>
    </w:p>
    <w:p>
      <w:pPr>
        <w:ind w:left="3900"/>
        <w:spacing w:after="0"/>
        <w:rPr>
          <w:sz w:val="20"/>
          <w:szCs w:val="20"/>
          <w:color w:val="auto"/>
        </w:rPr>
      </w:pPr>
      <w:r>
        <w:rPr>
          <w:rFonts w:ascii="Arial" w:cs="Arial" w:eastAsia="Arial" w:hAnsi="Arial"/>
          <w:sz w:val="20"/>
          <w:szCs w:val="20"/>
          <w:color w:val="auto"/>
        </w:rPr>
        <w:t>Title:</w:t>
      </w:r>
    </w:p>
    <w:p>
      <w:pPr>
        <w:spacing w:after="0" w:line="200" w:lineRule="exact"/>
        <w:rPr>
          <w:sz w:val="20"/>
          <w:szCs w:val="20"/>
          <w:color w:val="auto"/>
        </w:rPr>
      </w:pPr>
    </w:p>
    <w:p>
      <w:pPr>
        <w:ind w:left="3900"/>
        <w:spacing w:after="0"/>
        <w:rPr>
          <w:sz w:val="20"/>
          <w:szCs w:val="20"/>
          <w:color w:val="auto"/>
        </w:rPr>
      </w:pPr>
      <w:r>
        <w:rPr>
          <w:rFonts w:ascii="Arial" w:cs="Arial" w:eastAsia="Arial" w:hAnsi="Arial"/>
          <w:sz w:val="20"/>
          <w:szCs w:val="20"/>
          <w:color w:val="auto"/>
        </w:rPr>
        <w:t>continental exchange solutions, inc.</w:t>
      </w:r>
    </w:p>
    <w:p>
      <w:pPr>
        <w:spacing w:after="0" w:line="200" w:lineRule="exact"/>
        <w:rPr>
          <w:sz w:val="20"/>
          <w:szCs w:val="20"/>
          <w:color w:val="auto"/>
        </w:rPr>
      </w:pPr>
    </w:p>
    <w:p>
      <w:pPr>
        <w:spacing w:after="0" w:line="232" w:lineRule="exact"/>
        <w:rPr>
          <w:sz w:val="20"/>
          <w:szCs w:val="20"/>
          <w:color w:val="auto"/>
        </w:rPr>
      </w:pPr>
    </w:p>
    <w:p>
      <w:pPr>
        <w:ind w:left="3900"/>
        <w:spacing w:after="0"/>
        <w:rPr>
          <w:sz w:val="20"/>
          <w:szCs w:val="20"/>
          <w:color w:val="auto"/>
        </w:rPr>
      </w:pPr>
      <w:r>
        <w:rPr>
          <w:rFonts w:ascii="Arial" w:cs="Arial" w:eastAsia="Arial" w:hAnsi="Arial"/>
          <w:sz w:val="20"/>
          <w:szCs w:val="20"/>
          <w:color w:val="auto"/>
        </w:rPr>
        <w:t>By:</w:t>
      </w:r>
    </w:p>
    <w:p>
      <w:pPr>
        <w:spacing w:after="0" w:line="15" w:lineRule="exact"/>
        <w:rPr>
          <w:sz w:val="20"/>
          <w:szCs w:val="20"/>
          <w:color w:val="auto"/>
        </w:rPr>
      </w:pPr>
    </w:p>
    <w:p>
      <w:pPr>
        <w:ind w:left="3900"/>
        <w:spacing w:after="0"/>
        <w:rPr>
          <w:sz w:val="20"/>
          <w:szCs w:val="20"/>
          <w:color w:val="auto"/>
        </w:rPr>
      </w:pPr>
      <w:r>
        <w:rPr>
          <w:rFonts w:ascii="Arial" w:cs="Arial" w:eastAsia="Arial" w:hAnsi="Arial"/>
          <w:sz w:val="20"/>
          <w:szCs w:val="20"/>
          <w:color w:val="auto"/>
        </w:rPr>
        <w:t>Name:</w:t>
      </w:r>
    </w:p>
    <w:p>
      <w:pPr>
        <w:ind w:left="3900"/>
        <w:spacing w:after="0"/>
        <w:rPr>
          <w:sz w:val="20"/>
          <w:szCs w:val="20"/>
          <w:color w:val="auto"/>
        </w:rPr>
      </w:pPr>
      <w:r>
        <w:rPr>
          <w:rFonts w:ascii="Arial" w:cs="Arial" w:eastAsia="Arial" w:hAnsi="Arial"/>
          <w:sz w:val="20"/>
          <w:szCs w:val="20"/>
          <w:color w:val="auto"/>
        </w:rPr>
        <w:t>Title:</w:t>
      </w:r>
    </w:p>
    <w:p>
      <w:pPr>
        <w:spacing w:after="0" w:line="200" w:lineRule="exact"/>
        <w:rPr>
          <w:sz w:val="20"/>
          <w:szCs w:val="20"/>
          <w:color w:val="auto"/>
        </w:rPr>
      </w:pPr>
    </w:p>
    <w:p>
      <w:pPr>
        <w:ind w:left="3900"/>
        <w:spacing w:after="0"/>
        <w:rPr>
          <w:sz w:val="20"/>
          <w:szCs w:val="20"/>
          <w:color w:val="auto"/>
        </w:rPr>
      </w:pPr>
      <w:r>
        <w:rPr>
          <w:rFonts w:ascii="Arial" w:cs="Arial" w:eastAsia="Arial" w:hAnsi="Arial"/>
          <w:sz w:val="20"/>
          <w:szCs w:val="20"/>
          <w:color w:val="auto"/>
        </w:rPr>
        <w:t>RIA Envia, Inc.</w:t>
      </w:r>
    </w:p>
    <w:p>
      <w:pPr>
        <w:spacing w:after="0" w:line="200" w:lineRule="exact"/>
        <w:rPr>
          <w:sz w:val="20"/>
          <w:szCs w:val="20"/>
          <w:color w:val="auto"/>
        </w:rPr>
      </w:pPr>
    </w:p>
    <w:p>
      <w:pPr>
        <w:spacing w:after="0" w:line="232" w:lineRule="exact"/>
        <w:rPr>
          <w:sz w:val="20"/>
          <w:szCs w:val="20"/>
          <w:color w:val="auto"/>
        </w:rPr>
      </w:pPr>
    </w:p>
    <w:p>
      <w:pPr>
        <w:ind w:left="3900"/>
        <w:spacing w:after="0"/>
        <w:rPr>
          <w:sz w:val="20"/>
          <w:szCs w:val="20"/>
          <w:color w:val="auto"/>
        </w:rPr>
      </w:pPr>
      <w:r>
        <w:rPr>
          <w:rFonts w:ascii="Arial" w:cs="Arial" w:eastAsia="Arial" w:hAnsi="Arial"/>
          <w:sz w:val="20"/>
          <w:szCs w:val="20"/>
          <w:color w:val="auto"/>
        </w:rPr>
        <w:t>By:</w:t>
      </w:r>
    </w:p>
    <w:p>
      <w:pPr>
        <w:spacing w:after="0" w:line="15" w:lineRule="exact"/>
        <w:rPr>
          <w:sz w:val="20"/>
          <w:szCs w:val="20"/>
          <w:color w:val="auto"/>
        </w:rPr>
      </w:pPr>
    </w:p>
    <w:p>
      <w:pPr>
        <w:ind w:left="3900"/>
        <w:spacing w:after="0"/>
        <w:rPr>
          <w:sz w:val="20"/>
          <w:szCs w:val="20"/>
          <w:color w:val="auto"/>
        </w:rPr>
      </w:pPr>
      <w:r>
        <w:rPr>
          <w:rFonts w:ascii="Arial" w:cs="Arial" w:eastAsia="Arial" w:hAnsi="Arial"/>
          <w:sz w:val="20"/>
          <w:szCs w:val="20"/>
          <w:color w:val="auto"/>
        </w:rPr>
        <w:t>Name:</w:t>
      </w:r>
    </w:p>
    <w:p>
      <w:pPr>
        <w:ind w:left="3900"/>
        <w:spacing w:after="0"/>
        <w:rPr>
          <w:sz w:val="20"/>
          <w:szCs w:val="20"/>
          <w:color w:val="auto"/>
        </w:rPr>
      </w:pPr>
      <w:r>
        <w:rPr>
          <w:rFonts w:ascii="Arial" w:cs="Arial" w:eastAsia="Arial" w:hAnsi="Arial"/>
          <w:sz w:val="20"/>
          <w:szCs w:val="20"/>
          <w:color w:val="auto"/>
        </w:rPr>
        <w:t>Title:</w:t>
      </w:r>
    </w:p>
    <w:p>
      <w:pPr>
        <w:sectPr>
          <w:pgSz w:w="11900" w:h="16838" w:orient="portrait"/>
          <w:cols w:equalWidth="0" w:num="1">
            <w:col w:w="11400"/>
          </w:cols>
          <w:pgMar w:left="240" w:top="366" w:right="259" w:bottom="1440" w:gutter="0" w:footer="0" w:header="0"/>
        </w:sectPr>
      </w:pPr>
    </w:p>
    <w:bookmarkStart w:id="308" w:name="page309"/>
    <w:bookmarkEnd w:id="308"/>
    <w:p>
      <w:pPr>
        <w:spacing w:after="0"/>
        <w:tabs>
          <w:tab w:leader="none" w:pos="2920" w:val="left"/>
        </w:tabs>
        <w:rPr>
          <w:sz w:val="20"/>
          <w:szCs w:val="20"/>
          <w:color w:val="auto"/>
        </w:rPr>
      </w:pPr>
      <w:r>
        <w:rPr>
          <w:rFonts w:ascii="Arial" w:cs="Arial" w:eastAsia="Arial" w:hAnsi="Arial"/>
          <w:sz w:val="22"/>
          <w:szCs w:val="22"/>
          <w:u w:val="single" w:color="auto"/>
          <w:color w:val="auto"/>
        </w:rPr>
        <w:t>FOREIGN BORROWERS</w:t>
      </w:r>
      <w:r>
        <w:rPr>
          <w:rFonts w:ascii="Arial" w:cs="Arial" w:eastAsia="Arial" w:hAnsi="Arial"/>
          <w:sz w:val="22"/>
          <w:szCs w:val="22"/>
          <w:color w:val="auto"/>
        </w:rPr>
        <w:t>:</w:t>
      </w:r>
      <w:r>
        <w:rPr>
          <w:sz w:val="20"/>
          <w:szCs w:val="20"/>
          <w:color w:val="auto"/>
        </w:rPr>
        <w:tab/>
      </w:r>
      <w:r>
        <w:rPr>
          <w:rFonts w:ascii="Arial" w:cs="Arial" w:eastAsia="Arial" w:hAnsi="Arial"/>
          <w:sz w:val="19"/>
          <w:szCs w:val="19"/>
          <w:color w:val="auto"/>
        </w:rPr>
        <w:t>EFT SErviceS Holdings BV</w:t>
      </w:r>
    </w:p>
    <w:p>
      <w:pPr>
        <w:spacing w:after="0" w:line="200" w:lineRule="exact"/>
        <w:rPr>
          <w:sz w:val="20"/>
          <w:szCs w:val="20"/>
          <w:color w:val="auto"/>
        </w:rPr>
      </w:pPr>
    </w:p>
    <w:p>
      <w:pPr>
        <w:spacing w:after="0" w:line="249"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By:</w:t>
      </w:r>
    </w:p>
    <w:p>
      <w:pPr>
        <w:spacing w:after="0" w:line="22"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Name:</w:t>
      </w:r>
    </w:p>
    <w:p>
      <w:pPr>
        <w:spacing w:after="0" w:line="17"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Title:</w:t>
      </w:r>
    </w:p>
    <w:p>
      <w:pPr>
        <w:spacing w:after="0" w:line="202"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Delta Euronet GmbH</w:t>
      </w:r>
    </w:p>
    <w:p>
      <w:pPr>
        <w:spacing w:after="0" w:line="200" w:lineRule="exact"/>
        <w:rPr>
          <w:sz w:val="20"/>
          <w:szCs w:val="20"/>
          <w:color w:val="auto"/>
        </w:rPr>
      </w:pPr>
    </w:p>
    <w:p>
      <w:pPr>
        <w:spacing w:after="0" w:line="236"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By:</w:t>
      </w:r>
    </w:p>
    <w:p>
      <w:pPr>
        <w:spacing w:after="0" w:line="22"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Name:</w:t>
      </w:r>
    </w:p>
    <w:p>
      <w:pPr>
        <w:spacing w:after="0" w:line="17"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Title:</w:t>
      </w:r>
    </w:p>
    <w:p>
      <w:pPr>
        <w:spacing w:after="0" w:line="202"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E-PAY Australia HOldings pty. ltd.</w:t>
      </w:r>
    </w:p>
    <w:p>
      <w:pPr>
        <w:spacing w:after="0" w:line="200" w:lineRule="exact"/>
        <w:rPr>
          <w:sz w:val="20"/>
          <w:szCs w:val="20"/>
          <w:color w:val="auto"/>
        </w:rPr>
      </w:pPr>
    </w:p>
    <w:p>
      <w:pPr>
        <w:spacing w:after="0" w:line="236"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By:</w:t>
      </w:r>
    </w:p>
    <w:p>
      <w:pPr>
        <w:spacing w:after="0" w:line="22"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Name:</w:t>
      </w:r>
    </w:p>
    <w:p>
      <w:pPr>
        <w:spacing w:after="0" w:line="17"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Title:</w:t>
      </w:r>
    </w:p>
    <w:p>
      <w:pPr>
        <w:spacing w:after="0" w:line="202"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e-Pay Holdings LTD</w:t>
      </w:r>
    </w:p>
    <w:p>
      <w:pPr>
        <w:spacing w:after="0" w:line="200" w:lineRule="exact"/>
        <w:rPr>
          <w:sz w:val="20"/>
          <w:szCs w:val="20"/>
          <w:color w:val="auto"/>
        </w:rPr>
      </w:pPr>
    </w:p>
    <w:p>
      <w:pPr>
        <w:spacing w:after="0" w:line="236"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By:</w:t>
      </w:r>
    </w:p>
    <w:p>
      <w:pPr>
        <w:spacing w:after="0" w:line="22"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Name:</w:t>
      </w:r>
    </w:p>
    <w:p>
      <w:pPr>
        <w:spacing w:after="0" w:line="17"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Title:</w:t>
      </w:r>
    </w:p>
    <w:p>
      <w:pPr>
        <w:spacing w:after="0" w:line="202" w:lineRule="exact"/>
        <w:rPr>
          <w:sz w:val="20"/>
          <w:szCs w:val="20"/>
          <w:color w:val="auto"/>
        </w:rPr>
      </w:pPr>
    </w:p>
    <w:p>
      <w:pPr>
        <w:jc w:val="center"/>
        <w:ind w:right="160"/>
        <w:spacing w:after="0"/>
        <w:rPr>
          <w:sz w:val="20"/>
          <w:szCs w:val="20"/>
          <w:color w:val="auto"/>
        </w:rPr>
      </w:pPr>
      <w:r>
        <w:rPr>
          <w:rFonts w:ascii="Arial" w:cs="Arial" w:eastAsia="Arial" w:hAnsi="Arial"/>
          <w:sz w:val="22"/>
          <w:szCs w:val="22"/>
          <w:color w:val="auto"/>
        </w:rPr>
        <w:t>RIA NETHERLANDS HOLDING B.V.</w:t>
      </w:r>
    </w:p>
    <w:p>
      <w:pPr>
        <w:spacing w:after="0" w:line="200" w:lineRule="exact"/>
        <w:rPr>
          <w:sz w:val="20"/>
          <w:szCs w:val="20"/>
          <w:color w:val="auto"/>
        </w:rPr>
      </w:pPr>
    </w:p>
    <w:p>
      <w:pPr>
        <w:spacing w:after="0" w:line="236"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By:</w:t>
      </w:r>
    </w:p>
    <w:p>
      <w:pPr>
        <w:spacing w:after="0" w:line="22"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Name:</w:t>
      </w:r>
    </w:p>
    <w:p>
      <w:pPr>
        <w:spacing w:after="0" w:line="17"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Title:</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20"/>
          <w:szCs w:val="20"/>
          <w:u w:val="single" w:color="auto"/>
          <w:color w:val="auto"/>
        </w:rPr>
        <w:t>Exhibit 2.13-4</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FORM OF EUROPEAN SWINGLINE NOTE</w:t>
      </w:r>
    </w:p>
    <w:p>
      <w:pPr>
        <w:spacing w:after="0" w:line="351" w:lineRule="exact"/>
        <w:rPr>
          <w:sz w:val="20"/>
          <w:szCs w:val="20"/>
          <w:color w:val="auto"/>
        </w:rPr>
      </w:pPr>
    </w:p>
    <w:p>
      <w:pPr>
        <w:ind w:left="9500"/>
        <w:spacing w:after="0"/>
        <w:rPr>
          <w:sz w:val="20"/>
          <w:szCs w:val="20"/>
          <w:color w:val="auto"/>
        </w:rPr>
      </w:pPr>
      <w:r>
        <w:rPr>
          <w:rFonts w:ascii="Arial" w:cs="Arial" w:eastAsia="Arial" w:hAnsi="Arial"/>
          <w:sz w:val="16"/>
          <w:szCs w:val="16"/>
          <w:color w:val="auto"/>
        </w:rPr>
        <w:t>____________ __, 20__</w:t>
      </w:r>
    </w:p>
    <w:p>
      <w:pPr>
        <w:spacing w:after="0" w:line="200" w:lineRule="exact"/>
        <w:rPr>
          <w:sz w:val="20"/>
          <w:szCs w:val="20"/>
          <w:color w:val="auto"/>
        </w:rPr>
      </w:pPr>
    </w:p>
    <w:p>
      <w:pPr>
        <w:spacing w:after="0" w:line="278" w:lineRule="exact"/>
        <w:rPr>
          <w:sz w:val="20"/>
          <w:szCs w:val="20"/>
          <w:color w:val="auto"/>
        </w:rPr>
      </w:pPr>
    </w:p>
    <w:p>
      <w:pPr>
        <w:ind w:right="20" w:firstLine="648"/>
        <w:spacing w:after="0" w:line="260" w:lineRule="auto"/>
        <w:rPr>
          <w:sz w:val="20"/>
          <w:szCs w:val="20"/>
          <w:color w:val="auto"/>
        </w:rPr>
      </w:pPr>
      <w:r>
        <w:rPr>
          <w:rFonts w:ascii="Arial" w:cs="Arial" w:eastAsia="Arial" w:hAnsi="Arial"/>
          <w:sz w:val="19"/>
          <w:szCs w:val="19"/>
          <w:color w:val="auto"/>
        </w:rPr>
        <w:t>FOR VALUE RECEIVED, each of the undersigned (the “</w:t>
      </w:r>
      <w:r>
        <w:rPr>
          <w:rFonts w:ascii="Arial" w:cs="Arial" w:eastAsia="Arial" w:hAnsi="Arial"/>
          <w:sz w:val="19"/>
          <w:szCs w:val="19"/>
          <w:u w:val="single" w:color="auto"/>
          <w:color w:val="auto"/>
        </w:rPr>
        <w:t>European Borrowers</w:t>
      </w:r>
      <w:r>
        <w:rPr>
          <w:rFonts w:ascii="Arial" w:cs="Arial" w:eastAsia="Arial" w:hAnsi="Arial"/>
          <w:sz w:val="19"/>
          <w:szCs w:val="19"/>
          <w:color w:val="auto"/>
        </w:rPr>
        <w:t>”), hereby promises to pay to BANK OF AMERICA, N.A., its successors or registered assigns (the “</w:t>
      </w:r>
      <w:r>
        <w:rPr>
          <w:rFonts w:ascii="Arial" w:cs="Arial" w:eastAsia="Arial" w:hAnsi="Arial"/>
          <w:sz w:val="19"/>
          <w:szCs w:val="19"/>
          <w:u w:val="single" w:color="auto"/>
          <w:color w:val="auto"/>
        </w:rPr>
        <w:t>European Swingline Lender</w:t>
      </w:r>
      <w:r>
        <w:rPr>
          <w:rFonts w:ascii="Arial" w:cs="Arial" w:eastAsia="Arial" w:hAnsi="Arial"/>
          <w:sz w:val="19"/>
          <w:szCs w:val="19"/>
          <w:color w:val="auto"/>
        </w:rPr>
        <w:t>”), the aggregate unpaid principal amount of all European Swingline Loans owing by such European Borrower to the European Swingline Lender under that certain Amended and Restated Credit Agreement, dated as of August 18, 2011 (as amended, restated, increased, supplemented or otherwise modified from time to time, the “</w:t>
      </w:r>
      <w:r>
        <w:rPr>
          <w:rFonts w:ascii="Arial" w:cs="Arial" w:eastAsia="Arial" w:hAnsi="Arial"/>
          <w:sz w:val="19"/>
          <w:szCs w:val="19"/>
          <w:u w:val="single" w:color="auto"/>
          <w:color w:val="auto"/>
        </w:rPr>
        <w:t>Credit Agreement</w:t>
      </w:r>
      <w:r>
        <w:rPr>
          <w:rFonts w:ascii="Arial" w:cs="Arial" w:eastAsia="Arial" w:hAnsi="Arial"/>
          <w:sz w:val="19"/>
          <w:szCs w:val="19"/>
          <w:color w:val="auto"/>
        </w:rPr>
        <w:t>”) among Euronet Worldwide, Inc., a Delaware corporation, and certain</w:t>
      </w:r>
    </w:p>
    <w:p>
      <w:pPr>
        <w:sectPr>
          <w:pgSz w:w="11900" w:h="16838" w:orient="portrait"/>
          <w:cols w:equalWidth="0" w:num="1">
            <w:col w:w="11420"/>
          </w:cols>
          <w:pgMar w:left="240" w:top="375" w:right="239" w:bottom="1440" w:gutter="0" w:footer="0" w:header="0"/>
        </w:sectPr>
      </w:pPr>
    </w:p>
    <w:bookmarkStart w:id="309" w:name="page310"/>
    <w:bookmarkEnd w:id="309"/>
    <w:p>
      <w:pPr>
        <w:ind w:right="80"/>
        <w:spacing w:after="0" w:line="250" w:lineRule="auto"/>
        <w:rPr>
          <w:sz w:val="20"/>
          <w:szCs w:val="20"/>
          <w:color w:val="auto"/>
        </w:rPr>
      </w:pPr>
      <w:r>
        <w:rPr>
          <w:rFonts w:ascii="Arial" w:cs="Arial" w:eastAsia="Arial" w:hAnsi="Arial"/>
          <w:sz w:val="20"/>
          <w:szCs w:val="20"/>
          <w:color w:val="auto"/>
        </w:rPr>
        <w:t>other Subsidiaries and Affiliates, as Borrowers, certain Subsidiaries and Affiliates, as Guarantors, the lenders from time to time party thereto (the “</w:t>
      </w:r>
      <w:r>
        <w:rPr>
          <w:rFonts w:ascii="Arial" w:cs="Arial" w:eastAsia="Arial" w:hAnsi="Arial"/>
          <w:sz w:val="20"/>
          <w:szCs w:val="20"/>
          <w:u w:val="single" w:color="auto"/>
          <w:color w:val="auto"/>
        </w:rPr>
        <w:t>Lenders</w:t>
      </w:r>
      <w:r>
        <w:rPr>
          <w:rFonts w:ascii="Arial" w:cs="Arial" w:eastAsia="Arial" w:hAnsi="Arial"/>
          <w:sz w:val="20"/>
          <w:szCs w:val="20"/>
          <w:color w:val="auto"/>
        </w:rPr>
        <w:t xml:space="preserve"> ”) and Bank of America, N.A., as administrative agent (in such capacity, the “</w:t>
      </w:r>
      <w:r>
        <w:rPr>
          <w:rFonts w:ascii="Arial" w:cs="Arial" w:eastAsia="Arial" w:hAnsi="Arial"/>
          <w:sz w:val="20"/>
          <w:szCs w:val="20"/>
          <w:u w:val="single" w:color="auto"/>
          <w:color w:val="auto"/>
        </w:rPr>
        <w:t>Administrative Agent</w:t>
      </w:r>
      <w:r>
        <w:rPr>
          <w:rFonts w:ascii="Arial" w:cs="Arial" w:eastAsia="Arial" w:hAnsi="Arial"/>
          <w:sz w:val="20"/>
          <w:szCs w:val="20"/>
          <w:color w:val="auto"/>
        </w:rPr>
        <w:t>”). Capitalized terms used but not otherwise defined herein have the meanings provided in the Credit Agreement.</w:t>
      </w:r>
    </w:p>
    <w:p>
      <w:pPr>
        <w:spacing w:after="0" w:line="186" w:lineRule="exact"/>
        <w:rPr>
          <w:sz w:val="20"/>
          <w:szCs w:val="20"/>
          <w:color w:val="auto"/>
        </w:rPr>
      </w:pPr>
    </w:p>
    <w:p>
      <w:pPr>
        <w:ind w:firstLine="648"/>
        <w:spacing w:after="0" w:line="243" w:lineRule="auto"/>
        <w:rPr>
          <w:sz w:val="20"/>
          <w:szCs w:val="20"/>
          <w:color w:val="auto"/>
        </w:rPr>
      </w:pPr>
      <w:r>
        <w:rPr>
          <w:rFonts w:ascii="Arial" w:cs="Arial" w:eastAsia="Arial" w:hAnsi="Arial"/>
          <w:sz w:val="20"/>
          <w:szCs w:val="20"/>
          <w:color w:val="auto"/>
        </w:rPr>
        <w:t>Each European Borrower promises to pay interest on the unpaid principal amount of each European Swingline Loan owing by such European Borrower from the date of such European Swingline Loan until such principal amount is paid in full, at such interest rates and at such times as provided in the Credit Agreement. All payments of principal and interest shall be made to the European Swingline Lender in Dollars immediately available funds. If any amount is not paid in full when due hereunder, such unpaid amount shall bear interest, to be paid upon demand, from the due date thereof until the date of actual payment (before as well as after judgment) computed at the applicable per annum rate set forth in the Credit Agreement.</w:t>
      </w:r>
    </w:p>
    <w:p>
      <w:pPr>
        <w:spacing w:after="0" w:line="197" w:lineRule="exact"/>
        <w:rPr>
          <w:sz w:val="20"/>
          <w:szCs w:val="20"/>
          <w:color w:val="auto"/>
        </w:rPr>
      </w:pPr>
    </w:p>
    <w:p>
      <w:pPr>
        <w:ind w:right="40" w:firstLine="648"/>
        <w:spacing w:after="0" w:line="260" w:lineRule="auto"/>
        <w:rPr>
          <w:sz w:val="20"/>
          <w:szCs w:val="20"/>
          <w:color w:val="auto"/>
        </w:rPr>
      </w:pPr>
      <w:r>
        <w:rPr>
          <w:rFonts w:ascii="Arial" w:cs="Arial" w:eastAsia="Arial" w:hAnsi="Arial"/>
          <w:sz w:val="19"/>
          <w:szCs w:val="19"/>
          <w:color w:val="auto"/>
        </w:rPr>
        <w:t>This European Swingline Note is one of the Notes referred to in the Credit Agreement and is entitled to the benefits thereof and may be prepaid in whole or in part subject to the terms and conditions provided therein. European Swingline Loans made by the European Swingline Lender may be evidenced by one or more loan accounts or records maintained by the European Swingline Lender in the ordinary course of business. The European Swingline Lender may also attach schedules to this European Swingline Note and endorse thereon the date, amount and maturity of its European Swingline Loans and payments with respect thereto.</w:t>
      </w:r>
    </w:p>
    <w:p>
      <w:pPr>
        <w:spacing w:after="0" w:line="181" w:lineRule="exact"/>
        <w:rPr>
          <w:sz w:val="20"/>
          <w:szCs w:val="20"/>
          <w:color w:val="auto"/>
        </w:rPr>
      </w:pPr>
    </w:p>
    <w:p>
      <w:pPr>
        <w:ind w:right="180" w:firstLine="648"/>
        <w:spacing w:after="0" w:line="235" w:lineRule="exact"/>
        <w:rPr>
          <w:sz w:val="20"/>
          <w:szCs w:val="20"/>
          <w:color w:val="auto"/>
        </w:rPr>
      </w:pPr>
      <w:r>
        <w:rPr>
          <w:rFonts w:ascii="Arial" w:cs="Arial" w:eastAsia="Arial" w:hAnsi="Arial"/>
          <w:sz w:val="20"/>
          <w:szCs w:val="20"/>
          <w:color w:val="auto"/>
        </w:rPr>
        <w:t>Upon the occurrence and continuation of an Event of Default, all amounts then remaining unpaid on this European Swingline Note shall become, or may be declared to be, immediately due and payable as provided in the Credit Agreement, without diligence, presentment, protest and demand or notice of protest, demand, dishonor and non</w:t>
      </w:r>
      <w:r>
        <w:rPr>
          <w:rFonts w:ascii="MS PGothic" w:cs="MS PGothic" w:eastAsia="MS PGothic" w:hAnsi="MS PGothic"/>
          <w:sz w:val="20"/>
          <w:szCs w:val="20"/>
          <w:color w:val="auto"/>
        </w:rPr>
        <w:t>‑</w:t>
      </w:r>
      <w:r>
        <w:rPr>
          <w:rFonts w:ascii="Arial" w:cs="Arial" w:eastAsia="Arial" w:hAnsi="Arial"/>
          <w:sz w:val="20"/>
          <w:szCs w:val="20"/>
          <w:color w:val="auto"/>
        </w:rPr>
        <w:t>payment of this European Swingline Note, all of which are hereby waived by the European Borrowers, for themselves and their successors and assigns.</w:t>
      </w:r>
    </w:p>
    <w:p>
      <w:pPr>
        <w:spacing w:after="0" w:line="195" w:lineRule="exact"/>
        <w:rPr>
          <w:sz w:val="20"/>
          <w:szCs w:val="20"/>
          <w:color w:val="auto"/>
        </w:rPr>
      </w:pPr>
    </w:p>
    <w:p>
      <w:pPr>
        <w:ind w:right="20" w:firstLine="648"/>
        <w:spacing w:after="0" w:line="246" w:lineRule="auto"/>
        <w:rPr>
          <w:sz w:val="20"/>
          <w:szCs w:val="20"/>
          <w:color w:val="auto"/>
        </w:rPr>
      </w:pPr>
      <w:r>
        <w:rPr>
          <w:rFonts w:ascii="Arial" w:cs="Arial" w:eastAsia="Arial" w:hAnsi="Arial"/>
          <w:sz w:val="20"/>
          <w:szCs w:val="20"/>
          <w:color w:val="auto"/>
        </w:rPr>
        <w:t>The obligations of each European Borrower that is a Domestic Borrower under this European Swingline Note are joint and several. The obligations of each European Borrower that is a Foreign Borrower under this European Swingline Note are several, and not joint and several. Under no circumstances shall any European Borrower that is a Foreign Borrower be liable for any obligation of a European Borrower that is a Domestic Borrower under this European Swingline Note.</w:t>
      </w:r>
    </w:p>
    <w:p>
      <w:pPr>
        <w:spacing w:after="0" w:line="192" w:lineRule="exact"/>
        <w:rPr>
          <w:sz w:val="20"/>
          <w:szCs w:val="20"/>
          <w:color w:val="auto"/>
        </w:rPr>
      </w:pPr>
    </w:p>
    <w:p>
      <w:pPr>
        <w:ind w:right="580" w:firstLine="648"/>
        <w:spacing w:after="0" w:line="260" w:lineRule="auto"/>
        <w:rPr>
          <w:sz w:val="20"/>
          <w:szCs w:val="20"/>
          <w:color w:val="auto"/>
        </w:rPr>
      </w:pPr>
      <w:r>
        <w:rPr>
          <w:rFonts w:ascii="Arial" w:cs="Arial" w:eastAsia="Arial" w:hAnsi="Arial"/>
          <w:sz w:val="20"/>
          <w:szCs w:val="20"/>
          <w:color w:val="auto"/>
        </w:rPr>
        <w:t>THIS EUROPEAN SWINGLINE NOTE SHALL BE GOVERNED BY, AND CONSTRUED IN ACCORDANCE WITH, THE LAWS OF THE STATE OF NEW YORK.</w:t>
      </w:r>
    </w:p>
    <w:p>
      <w:pPr>
        <w:spacing w:after="0" w:line="177" w:lineRule="exact"/>
        <w:rPr>
          <w:sz w:val="20"/>
          <w:szCs w:val="20"/>
          <w:color w:val="auto"/>
        </w:rPr>
      </w:pPr>
    </w:p>
    <w:p>
      <w:pPr>
        <w:spacing w:after="0"/>
        <w:tabs>
          <w:tab w:leader="none" w:pos="2880" w:val="left"/>
        </w:tabs>
        <w:rPr>
          <w:sz w:val="20"/>
          <w:szCs w:val="20"/>
          <w:color w:val="auto"/>
        </w:rPr>
      </w:pPr>
      <w:r>
        <w:rPr>
          <w:rFonts w:ascii="Arial" w:cs="Arial" w:eastAsia="Arial" w:hAnsi="Arial"/>
          <w:sz w:val="20"/>
          <w:szCs w:val="20"/>
          <w:u w:val="single" w:color="auto"/>
          <w:color w:val="auto"/>
        </w:rPr>
        <w:t>DOMESTIC BORROWERS</w:t>
      </w:r>
      <w:r>
        <w:rPr>
          <w:rFonts w:ascii="Arial" w:cs="Arial" w:eastAsia="Arial" w:hAnsi="Arial"/>
          <w:sz w:val="20"/>
          <w:szCs w:val="20"/>
          <w:color w:val="auto"/>
        </w:rPr>
        <w:t>:</w:t>
      </w:r>
      <w:r>
        <w:rPr>
          <w:sz w:val="20"/>
          <w:szCs w:val="20"/>
          <w:color w:val="auto"/>
        </w:rPr>
        <w:tab/>
      </w:r>
      <w:r>
        <w:rPr>
          <w:rFonts w:ascii="Arial" w:cs="Arial" w:eastAsia="Arial" w:hAnsi="Arial"/>
          <w:sz w:val="18"/>
          <w:szCs w:val="18"/>
          <w:color w:val="auto"/>
        </w:rPr>
        <w:t>Euronet Worldwide, Inc.</w:t>
      </w:r>
    </w:p>
    <w:p>
      <w:pPr>
        <w:spacing w:after="0" w:line="200" w:lineRule="exact"/>
        <w:rPr>
          <w:sz w:val="20"/>
          <w:szCs w:val="20"/>
          <w:color w:val="auto"/>
        </w:rPr>
      </w:pPr>
    </w:p>
    <w:p>
      <w:pPr>
        <w:spacing w:after="0" w:line="232" w:lineRule="exact"/>
        <w:rPr>
          <w:sz w:val="20"/>
          <w:szCs w:val="20"/>
          <w:color w:val="auto"/>
        </w:rPr>
      </w:pPr>
    </w:p>
    <w:p>
      <w:pPr>
        <w:ind w:left="3900"/>
        <w:spacing w:after="0"/>
        <w:rPr>
          <w:sz w:val="20"/>
          <w:szCs w:val="20"/>
          <w:color w:val="auto"/>
        </w:rPr>
      </w:pPr>
      <w:r>
        <w:rPr>
          <w:rFonts w:ascii="Arial" w:cs="Arial" w:eastAsia="Arial" w:hAnsi="Arial"/>
          <w:sz w:val="20"/>
          <w:szCs w:val="20"/>
          <w:color w:val="auto"/>
        </w:rPr>
        <w:t>By:</w:t>
      </w:r>
    </w:p>
    <w:p>
      <w:pPr>
        <w:spacing w:after="0" w:line="15" w:lineRule="exact"/>
        <w:rPr>
          <w:sz w:val="20"/>
          <w:szCs w:val="20"/>
          <w:color w:val="auto"/>
        </w:rPr>
      </w:pPr>
    </w:p>
    <w:p>
      <w:pPr>
        <w:ind w:left="3900"/>
        <w:spacing w:after="0"/>
        <w:rPr>
          <w:sz w:val="20"/>
          <w:szCs w:val="20"/>
          <w:color w:val="auto"/>
        </w:rPr>
      </w:pPr>
      <w:r>
        <w:rPr>
          <w:rFonts w:ascii="Arial" w:cs="Arial" w:eastAsia="Arial" w:hAnsi="Arial"/>
          <w:sz w:val="20"/>
          <w:szCs w:val="20"/>
          <w:color w:val="auto"/>
        </w:rPr>
        <w:t>Name:</w:t>
      </w:r>
    </w:p>
    <w:p>
      <w:pPr>
        <w:ind w:left="3900"/>
        <w:spacing w:after="0"/>
        <w:rPr>
          <w:sz w:val="20"/>
          <w:szCs w:val="20"/>
          <w:color w:val="auto"/>
        </w:rPr>
      </w:pPr>
      <w:r>
        <w:rPr>
          <w:rFonts w:ascii="Arial" w:cs="Arial" w:eastAsia="Arial" w:hAnsi="Arial"/>
          <w:sz w:val="20"/>
          <w:szCs w:val="20"/>
          <w:color w:val="auto"/>
        </w:rPr>
        <w:t>Title:</w:t>
      </w:r>
    </w:p>
    <w:p>
      <w:pPr>
        <w:spacing w:after="0" w:line="200" w:lineRule="exact"/>
        <w:rPr>
          <w:sz w:val="20"/>
          <w:szCs w:val="20"/>
          <w:color w:val="auto"/>
        </w:rPr>
      </w:pPr>
    </w:p>
    <w:p>
      <w:pPr>
        <w:ind w:left="3900"/>
        <w:spacing w:after="0"/>
        <w:rPr>
          <w:sz w:val="20"/>
          <w:szCs w:val="20"/>
          <w:color w:val="auto"/>
        </w:rPr>
      </w:pPr>
      <w:r>
        <w:rPr>
          <w:rFonts w:ascii="Arial" w:cs="Arial" w:eastAsia="Arial" w:hAnsi="Arial"/>
          <w:sz w:val="20"/>
          <w:szCs w:val="20"/>
          <w:color w:val="auto"/>
        </w:rPr>
        <w:t>continental exchange solutions, inc.</w:t>
      </w:r>
    </w:p>
    <w:p>
      <w:pPr>
        <w:spacing w:after="0" w:line="200" w:lineRule="exact"/>
        <w:rPr>
          <w:sz w:val="20"/>
          <w:szCs w:val="20"/>
          <w:color w:val="auto"/>
        </w:rPr>
      </w:pPr>
    </w:p>
    <w:p>
      <w:pPr>
        <w:spacing w:after="0" w:line="232" w:lineRule="exact"/>
        <w:rPr>
          <w:sz w:val="20"/>
          <w:szCs w:val="20"/>
          <w:color w:val="auto"/>
        </w:rPr>
      </w:pPr>
    </w:p>
    <w:p>
      <w:pPr>
        <w:ind w:left="3900"/>
        <w:spacing w:after="0"/>
        <w:rPr>
          <w:sz w:val="20"/>
          <w:szCs w:val="20"/>
          <w:color w:val="auto"/>
        </w:rPr>
      </w:pPr>
      <w:r>
        <w:rPr>
          <w:rFonts w:ascii="Arial" w:cs="Arial" w:eastAsia="Arial" w:hAnsi="Arial"/>
          <w:sz w:val="20"/>
          <w:szCs w:val="20"/>
          <w:color w:val="auto"/>
        </w:rPr>
        <w:t>By:</w:t>
      </w:r>
    </w:p>
    <w:p>
      <w:pPr>
        <w:spacing w:after="0" w:line="15" w:lineRule="exact"/>
        <w:rPr>
          <w:sz w:val="20"/>
          <w:szCs w:val="20"/>
          <w:color w:val="auto"/>
        </w:rPr>
      </w:pPr>
    </w:p>
    <w:p>
      <w:pPr>
        <w:ind w:left="3900"/>
        <w:spacing w:after="0"/>
        <w:rPr>
          <w:sz w:val="20"/>
          <w:szCs w:val="20"/>
          <w:color w:val="auto"/>
        </w:rPr>
      </w:pPr>
      <w:r>
        <w:rPr>
          <w:rFonts w:ascii="Arial" w:cs="Arial" w:eastAsia="Arial" w:hAnsi="Arial"/>
          <w:sz w:val="20"/>
          <w:szCs w:val="20"/>
          <w:color w:val="auto"/>
        </w:rPr>
        <w:t>Name:</w:t>
      </w:r>
    </w:p>
    <w:p>
      <w:pPr>
        <w:ind w:left="3900"/>
        <w:spacing w:after="0"/>
        <w:rPr>
          <w:sz w:val="20"/>
          <w:szCs w:val="20"/>
          <w:color w:val="auto"/>
        </w:rPr>
      </w:pPr>
      <w:r>
        <w:rPr>
          <w:rFonts w:ascii="Arial" w:cs="Arial" w:eastAsia="Arial" w:hAnsi="Arial"/>
          <w:sz w:val="20"/>
          <w:szCs w:val="20"/>
          <w:color w:val="auto"/>
        </w:rPr>
        <w:t>Title:</w:t>
      </w:r>
    </w:p>
    <w:p>
      <w:pPr>
        <w:sectPr>
          <w:pgSz w:w="11900" w:h="16838" w:orient="portrait"/>
          <w:cols w:equalWidth="0" w:num="1">
            <w:col w:w="11420"/>
          </w:cols>
          <w:pgMar w:left="240" w:top="365" w:right="239" w:bottom="1440" w:gutter="0" w:footer="0" w:header="0"/>
        </w:sectPr>
      </w:pPr>
    </w:p>
    <w:bookmarkStart w:id="310" w:name="page311"/>
    <w:bookmarkEnd w:id="310"/>
    <w:p>
      <w:pPr>
        <w:ind w:left="3900"/>
        <w:spacing w:after="0"/>
        <w:rPr>
          <w:sz w:val="20"/>
          <w:szCs w:val="20"/>
          <w:color w:val="auto"/>
        </w:rPr>
      </w:pPr>
      <w:r>
        <w:rPr>
          <w:rFonts w:ascii="Arial" w:cs="Arial" w:eastAsia="Arial" w:hAnsi="Arial"/>
          <w:sz w:val="20"/>
          <w:szCs w:val="20"/>
          <w:color w:val="auto"/>
        </w:rPr>
        <w:t>RIA Envia, Inc.</w:t>
      </w:r>
    </w:p>
    <w:p>
      <w:pPr>
        <w:spacing w:after="0" w:line="200" w:lineRule="exact"/>
        <w:rPr>
          <w:sz w:val="20"/>
          <w:szCs w:val="20"/>
          <w:color w:val="auto"/>
        </w:rPr>
      </w:pPr>
    </w:p>
    <w:p>
      <w:pPr>
        <w:spacing w:after="0" w:line="232" w:lineRule="exact"/>
        <w:rPr>
          <w:sz w:val="20"/>
          <w:szCs w:val="20"/>
          <w:color w:val="auto"/>
        </w:rPr>
      </w:pPr>
    </w:p>
    <w:p>
      <w:pPr>
        <w:ind w:left="3900"/>
        <w:spacing w:after="0"/>
        <w:rPr>
          <w:sz w:val="20"/>
          <w:szCs w:val="20"/>
          <w:color w:val="auto"/>
        </w:rPr>
      </w:pPr>
      <w:r>
        <w:rPr>
          <w:rFonts w:ascii="Arial" w:cs="Arial" w:eastAsia="Arial" w:hAnsi="Arial"/>
          <w:sz w:val="20"/>
          <w:szCs w:val="20"/>
          <w:color w:val="auto"/>
        </w:rPr>
        <w:t>By:</w:t>
      </w:r>
    </w:p>
    <w:p>
      <w:pPr>
        <w:spacing w:after="0" w:line="15" w:lineRule="exact"/>
        <w:rPr>
          <w:sz w:val="20"/>
          <w:szCs w:val="20"/>
          <w:color w:val="auto"/>
        </w:rPr>
      </w:pPr>
    </w:p>
    <w:p>
      <w:pPr>
        <w:ind w:left="3900"/>
        <w:spacing w:after="0"/>
        <w:rPr>
          <w:sz w:val="20"/>
          <w:szCs w:val="20"/>
          <w:color w:val="auto"/>
        </w:rPr>
      </w:pPr>
      <w:r>
        <w:rPr>
          <w:rFonts w:ascii="Arial" w:cs="Arial" w:eastAsia="Arial" w:hAnsi="Arial"/>
          <w:sz w:val="20"/>
          <w:szCs w:val="20"/>
          <w:color w:val="auto"/>
        </w:rPr>
        <w:t>Name:</w:t>
      </w:r>
    </w:p>
    <w:p>
      <w:pPr>
        <w:ind w:left="3900"/>
        <w:spacing w:after="0"/>
        <w:rPr>
          <w:sz w:val="20"/>
          <w:szCs w:val="20"/>
          <w:color w:val="auto"/>
        </w:rPr>
      </w:pPr>
      <w:r>
        <w:rPr>
          <w:rFonts w:ascii="Arial" w:cs="Arial" w:eastAsia="Arial" w:hAnsi="Arial"/>
          <w:sz w:val="20"/>
          <w:szCs w:val="20"/>
          <w:color w:val="auto"/>
        </w:rPr>
        <w:t>Title:</w:t>
      </w:r>
    </w:p>
    <w:p>
      <w:pPr>
        <w:spacing w:after="0" w:line="209" w:lineRule="exact"/>
        <w:rPr>
          <w:sz w:val="20"/>
          <w:szCs w:val="20"/>
          <w:color w:val="auto"/>
        </w:rPr>
      </w:pPr>
    </w:p>
    <w:p>
      <w:pPr>
        <w:spacing w:after="0"/>
        <w:tabs>
          <w:tab w:leader="none" w:pos="2920" w:val="left"/>
        </w:tabs>
        <w:rPr>
          <w:sz w:val="20"/>
          <w:szCs w:val="20"/>
          <w:color w:val="auto"/>
        </w:rPr>
      </w:pPr>
      <w:r>
        <w:rPr>
          <w:rFonts w:ascii="Arial" w:cs="Arial" w:eastAsia="Arial" w:hAnsi="Arial"/>
          <w:sz w:val="22"/>
          <w:szCs w:val="22"/>
          <w:u w:val="single" w:color="auto"/>
          <w:color w:val="auto"/>
        </w:rPr>
        <w:t>FOREIGN BORROWERS</w:t>
      </w:r>
      <w:r>
        <w:rPr>
          <w:rFonts w:ascii="Arial" w:cs="Arial" w:eastAsia="Arial" w:hAnsi="Arial"/>
          <w:sz w:val="22"/>
          <w:szCs w:val="22"/>
          <w:color w:val="auto"/>
        </w:rPr>
        <w:t>:</w:t>
      </w:r>
      <w:r>
        <w:rPr>
          <w:sz w:val="20"/>
          <w:szCs w:val="20"/>
          <w:color w:val="auto"/>
        </w:rPr>
        <w:tab/>
      </w:r>
      <w:r>
        <w:rPr>
          <w:rFonts w:ascii="Arial" w:cs="Arial" w:eastAsia="Arial" w:hAnsi="Arial"/>
          <w:sz w:val="19"/>
          <w:szCs w:val="19"/>
          <w:color w:val="auto"/>
        </w:rPr>
        <w:t>EFT SErviceS Holdings BV</w:t>
      </w:r>
    </w:p>
    <w:p>
      <w:pPr>
        <w:spacing w:after="0" w:line="200" w:lineRule="exact"/>
        <w:rPr>
          <w:sz w:val="20"/>
          <w:szCs w:val="20"/>
          <w:color w:val="auto"/>
        </w:rPr>
      </w:pPr>
    </w:p>
    <w:p>
      <w:pPr>
        <w:spacing w:after="0" w:line="249"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By:</w:t>
      </w:r>
    </w:p>
    <w:p>
      <w:pPr>
        <w:spacing w:after="0" w:line="22"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Name:</w:t>
      </w:r>
    </w:p>
    <w:p>
      <w:pPr>
        <w:spacing w:after="0" w:line="17"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Title:</w:t>
      </w:r>
    </w:p>
    <w:p>
      <w:pPr>
        <w:spacing w:after="0" w:line="202"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Delta Euronet GmbH</w:t>
      </w:r>
    </w:p>
    <w:p>
      <w:pPr>
        <w:spacing w:after="0" w:line="200" w:lineRule="exact"/>
        <w:rPr>
          <w:sz w:val="20"/>
          <w:szCs w:val="20"/>
          <w:color w:val="auto"/>
        </w:rPr>
      </w:pPr>
    </w:p>
    <w:p>
      <w:pPr>
        <w:spacing w:after="0" w:line="236"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By:</w:t>
      </w:r>
    </w:p>
    <w:p>
      <w:pPr>
        <w:spacing w:after="0" w:line="22"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Name:</w:t>
      </w:r>
    </w:p>
    <w:p>
      <w:pPr>
        <w:spacing w:after="0" w:line="17"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Title:</w:t>
      </w:r>
    </w:p>
    <w:p>
      <w:pPr>
        <w:spacing w:after="0" w:line="202"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E-PAY Australia HOldings pty. ltd.</w:t>
      </w:r>
    </w:p>
    <w:p>
      <w:pPr>
        <w:spacing w:after="0" w:line="200" w:lineRule="exact"/>
        <w:rPr>
          <w:sz w:val="20"/>
          <w:szCs w:val="20"/>
          <w:color w:val="auto"/>
        </w:rPr>
      </w:pPr>
    </w:p>
    <w:p>
      <w:pPr>
        <w:spacing w:after="0" w:line="236"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By:</w:t>
      </w:r>
    </w:p>
    <w:p>
      <w:pPr>
        <w:spacing w:after="0" w:line="22"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Name:</w:t>
      </w:r>
    </w:p>
    <w:p>
      <w:pPr>
        <w:spacing w:after="0" w:line="17"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Title:</w:t>
      </w:r>
    </w:p>
    <w:p>
      <w:pPr>
        <w:spacing w:after="0" w:line="202"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e-Pay Holdings LTD</w:t>
      </w:r>
    </w:p>
    <w:p>
      <w:pPr>
        <w:spacing w:after="0" w:line="200" w:lineRule="exact"/>
        <w:rPr>
          <w:sz w:val="20"/>
          <w:szCs w:val="20"/>
          <w:color w:val="auto"/>
        </w:rPr>
      </w:pPr>
    </w:p>
    <w:p>
      <w:pPr>
        <w:spacing w:after="0" w:line="236"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By:</w:t>
      </w:r>
    </w:p>
    <w:p>
      <w:pPr>
        <w:spacing w:after="0" w:line="22"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Name:</w:t>
      </w:r>
    </w:p>
    <w:p>
      <w:pPr>
        <w:spacing w:after="0" w:line="17"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Title:</w:t>
      </w:r>
    </w:p>
    <w:p>
      <w:pPr>
        <w:spacing w:after="0" w:line="202"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RIA NETHERLANDS HOLDING B.V.</w:t>
      </w:r>
    </w:p>
    <w:p>
      <w:pPr>
        <w:spacing w:after="0" w:line="200" w:lineRule="exact"/>
        <w:rPr>
          <w:sz w:val="20"/>
          <w:szCs w:val="20"/>
          <w:color w:val="auto"/>
        </w:rPr>
      </w:pPr>
    </w:p>
    <w:p>
      <w:pPr>
        <w:spacing w:after="0" w:line="236"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By:</w:t>
      </w:r>
    </w:p>
    <w:p>
      <w:pPr>
        <w:spacing w:after="0" w:line="22"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Name:</w:t>
      </w:r>
    </w:p>
    <w:p>
      <w:pPr>
        <w:spacing w:after="0" w:line="17"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ind w:right="-1200"/>
        <w:spacing w:after="0"/>
        <w:rPr>
          <w:sz w:val="20"/>
          <w:szCs w:val="20"/>
          <w:color w:val="auto"/>
        </w:rPr>
      </w:pPr>
      <w:r>
        <w:rPr>
          <w:rFonts w:ascii="Arial" w:cs="Arial" w:eastAsia="Arial" w:hAnsi="Arial"/>
          <w:sz w:val="20"/>
          <w:szCs w:val="20"/>
          <w:u w:val="single" w:color="auto"/>
          <w:color w:val="auto"/>
        </w:rPr>
        <w:t>Exhibit 2.13-5</w:t>
      </w:r>
    </w:p>
    <w:p>
      <w:pPr>
        <w:spacing w:after="0" w:line="216" w:lineRule="exact"/>
        <w:rPr>
          <w:sz w:val="20"/>
          <w:szCs w:val="20"/>
          <w:color w:val="auto"/>
        </w:rPr>
      </w:pPr>
    </w:p>
    <w:p>
      <w:pPr>
        <w:jc w:val="right"/>
        <w:ind w:right="2539"/>
        <w:spacing w:after="0"/>
        <w:rPr>
          <w:sz w:val="20"/>
          <w:szCs w:val="20"/>
          <w:color w:val="auto"/>
        </w:rPr>
      </w:pPr>
      <w:r>
        <w:rPr>
          <w:rFonts w:ascii="Arial" w:cs="Arial" w:eastAsia="Arial" w:hAnsi="Arial"/>
          <w:sz w:val="20"/>
          <w:szCs w:val="20"/>
          <w:color w:val="auto"/>
        </w:rPr>
        <w:t>FORM OF AUSTRALIAN REVOLVING NOTE</w:t>
      </w:r>
    </w:p>
    <w:p>
      <w:pPr>
        <w:sectPr>
          <w:pgSz w:w="11900" w:h="16838" w:orient="portrait"/>
          <w:cols w:equalWidth="0" w:num="1">
            <w:col w:w="10219"/>
          </w:cols>
          <w:pgMar w:left="240" w:top="581" w:right="1440" w:bottom="1440" w:gutter="0" w:footer="0" w:header="0"/>
        </w:sectPr>
      </w:pPr>
    </w:p>
    <w:bookmarkStart w:id="311" w:name="page312"/>
    <w:bookmarkEnd w:id="311"/>
    <w:p>
      <w:pPr>
        <w:ind w:left="9500"/>
        <w:spacing w:after="0"/>
        <w:rPr>
          <w:sz w:val="20"/>
          <w:szCs w:val="20"/>
          <w:color w:val="auto"/>
        </w:rPr>
      </w:pPr>
      <w:r>
        <w:rPr>
          <w:rFonts w:ascii="Arial" w:cs="Arial" w:eastAsia="Arial" w:hAnsi="Arial"/>
          <w:sz w:val="16"/>
          <w:szCs w:val="16"/>
          <w:color w:val="auto"/>
        </w:rPr>
        <w:t>____________ __, 20__</w:t>
      </w:r>
    </w:p>
    <w:p>
      <w:pPr>
        <w:spacing w:after="0" w:line="26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FOR VALUE RECEIVED, each of the undersigned (the “</w:t>
      </w:r>
      <w:r>
        <w:rPr>
          <w:rFonts w:ascii="Arial" w:cs="Arial" w:eastAsia="Arial" w:hAnsi="Arial"/>
          <w:sz w:val="18"/>
          <w:szCs w:val="18"/>
          <w:u w:val="single" w:color="auto"/>
          <w:color w:val="auto"/>
        </w:rPr>
        <w:t>Australian Borrowers</w:t>
      </w:r>
      <w:r>
        <w:rPr>
          <w:rFonts w:ascii="Arial" w:cs="Arial" w:eastAsia="Arial" w:hAnsi="Arial"/>
          <w:sz w:val="18"/>
          <w:szCs w:val="18"/>
          <w:color w:val="auto"/>
        </w:rPr>
        <w:t>”), hereby promise to pay to _____________________,</w:t>
      </w:r>
    </w:p>
    <w:p>
      <w:pPr>
        <w:spacing w:after="0" w:line="39" w:lineRule="exact"/>
        <w:rPr>
          <w:sz w:val="20"/>
          <w:szCs w:val="20"/>
          <w:color w:val="auto"/>
        </w:rPr>
      </w:pPr>
    </w:p>
    <w:p>
      <w:pPr>
        <w:spacing w:after="0" w:line="271" w:lineRule="auto"/>
        <w:rPr>
          <w:sz w:val="20"/>
          <w:szCs w:val="20"/>
          <w:color w:val="auto"/>
        </w:rPr>
      </w:pPr>
      <w:r>
        <w:rPr>
          <w:rFonts w:ascii="Arial" w:cs="Arial" w:eastAsia="Arial" w:hAnsi="Arial"/>
          <w:sz w:val="18"/>
          <w:szCs w:val="18"/>
          <w:color w:val="auto"/>
        </w:rPr>
        <w:t>its successors or registered assigns (the “</w:t>
      </w:r>
      <w:r>
        <w:rPr>
          <w:rFonts w:ascii="Arial" w:cs="Arial" w:eastAsia="Arial" w:hAnsi="Arial"/>
          <w:sz w:val="18"/>
          <w:szCs w:val="18"/>
          <w:u w:val="single" w:color="auto"/>
          <w:color w:val="auto"/>
        </w:rPr>
        <w:t>Australian Revolving Lender</w:t>
      </w:r>
      <w:r>
        <w:rPr>
          <w:rFonts w:ascii="Arial" w:cs="Arial" w:eastAsia="Arial" w:hAnsi="Arial"/>
          <w:sz w:val="18"/>
          <w:szCs w:val="18"/>
          <w:color w:val="auto"/>
        </w:rPr>
        <w:t>”), the Australian Revolving Lender's Australian Revolving Committed Amount, or if less, the aggregate unpaid principal amount of all Australian Revolving Loans owing by such Australian Borrower to the Australian Revolving Lender under that certain Amended and Restated Credit Agreement, dated as of August 18, 2011 (as amended, restated, increased, supplemented or otherwise modified from time to time, the “</w:t>
      </w:r>
      <w:r>
        <w:rPr>
          <w:rFonts w:ascii="Arial" w:cs="Arial" w:eastAsia="Arial" w:hAnsi="Arial"/>
          <w:sz w:val="18"/>
          <w:szCs w:val="18"/>
          <w:u w:val="single" w:color="auto"/>
          <w:color w:val="auto"/>
        </w:rPr>
        <w:t>Credit Agreement</w:t>
      </w:r>
      <w:r>
        <w:rPr>
          <w:rFonts w:ascii="Arial" w:cs="Arial" w:eastAsia="Arial" w:hAnsi="Arial"/>
          <w:sz w:val="18"/>
          <w:szCs w:val="18"/>
          <w:color w:val="auto"/>
        </w:rPr>
        <w:t>”) among Euronet Worldwide, Inc., a Delaware corporation, and certain other Subsidiaries and Affiliates, as Borrowers, certain Subsidiaries and Affiliates, as Guarantors, the lenders from time to time party thereto (the “</w:t>
      </w:r>
      <w:r>
        <w:rPr>
          <w:rFonts w:ascii="Arial" w:cs="Arial" w:eastAsia="Arial" w:hAnsi="Arial"/>
          <w:sz w:val="18"/>
          <w:szCs w:val="18"/>
          <w:u w:val="single" w:color="auto"/>
          <w:color w:val="auto"/>
        </w:rPr>
        <w:t>Lenders</w:t>
      </w:r>
      <w:r>
        <w:rPr>
          <w:rFonts w:ascii="Arial" w:cs="Arial" w:eastAsia="Arial" w:hAnsi="Arial"/>
          <w:sz w:val="18"/>
          <w:szCs w:val="18"/>
          <w:color w:val="auto"/>
        </w:rPr>
        <w:t>”) and Bank of America, N.A., as administrative agent (in such capacity, the “</w:t>
      </w:r>
      <w:r>
        <w:rPr>
          <w:rFonts w:ascii="Arial" w:cs="Arial" w:eastAsia="Arial" w:hAnsi="Arial"/>
          <w:sz w:val="18"/>
          <w:szCs w:val="18"/>
          <w:u w:val="single" w:color="auto"/>
          <w:color w:val="auto"/>
        </w:rPr>
        <w:t>Administrative Agent</w:t>
      </w:r>
      <w:r>
        <w:rPr>
          <w:rFonts w:ascii="Arial" w:cs="Arial" w:eastAsia="Arial" w:hAnsi="Arial"/>
          <w:sz w:val="18"/>
          <w:szCs w:val="18"/>
          <w:color w:val="auto"/>
        </w:rPr>
        <w:t>”). Capitalized terms used but not otherwise defined herein have the meanings provided in the Credit Agreement.</w:t>
      </w:r>
    </w:p>
    <w:p>
      <w:pPr>
        <w:spacing w:after="0" w:line="171" w:lineRule="exact"/>
        <w:rPr>
          <w:sz w:val="20"/>
          <w:szCs w:val="20"/>
          <w:color w:val="auto"/>
        </w:rPr>
      </w:pPr>
    </w:p>
    <w:p>
      <w:pPr>
        <w:ind w:right="20" w:firstLine="648"/>
        <w:spacing w:after="0" w:line="276" w:lineRule="auto"/>
        <w:rPr>
          <w:sz w:val="20"/>
          <w:szCs w:val="20"/>
          <w:color w:val="auto"/>
        </w:rPr>
      </w:pPr>
      <w:r>
        <w:rPr>
          <w:rFonts w:ascii="Arial" w:cs="Arial" w:eastAsia="Arial" w:hAnsi="Arial"/>
          <w:sz w:val="18"/>
          <w:szCs w:val="18"/>
          <w:color w:val="auto"/>
        </w:rPr>
        <w:t>Each Australian Borrower promises to pay interest on the unpaid principal amount of each Australian Revolving Loan owing by such Australian Borrower from the date of such Australian Revolving Loan until such principal amount is paid in full, at such interest rates and at such times as provided in the Credit Agreement. All payments of principal and interest shall be made to the Administrative Agent for the account of the Australian Revolving Lender, at the Administrative Agent's Office, in the applicable currency in Same Day Funds. If any amount is not paid in full when due hereunder, such unpaid amount shall bear interest, to be paid upon demand, from the due date thereof until the date of actual payment (before as well as after judgment) computed at the applicable per annum rate set forth in the Credit Agreement.</w:t>
      </w:r>
    </w:p>
    <w:p>
      <w:pPr>
        <w:spacing w:after="0" w:line="165" w:lineRule="exact"/>
        <w:rPr>
          <w:sz w:val="20"/>
          <w:szCs w:val="20"/>
          <w:color w:val="auto"/>
        </w:rPr>
      </w:pPr>
    </w:p>
    <w:p>
      <w:pPr>
        <w:ind w:right="20" w:firstLine="648"/>
        <w:spacing w:after="0" w:line="260" w:lineRule="auto"/>
        <w:rPr>
          <w:sz w:val="20"/>
          <w:szCs w:val="20"/>
          <w:color w:val="auto"/>
        </w:rPr>
      </w:pPr>
      <w:r>
        <w:rPr>
          <w:rFonts w:ascii="Arial" w:cs="Arial" w:eastAsia="Arial" w:hAnsi="Arial"/>
          <w:sz w:val="19"/>
          <w:szCs w:val="19"/>
          <w:color w:val="auto"/>
        </w:rPr>
        <w:t>This Australian Revolving Note is one of the Notes referred to in the Credit Agreement and is entitled to the benefits thereof and may be prepaid in whole or in part subject to the terms and conditions provided therein. Australian Revolving Loans made by the Australian Revolving Lender may be evidenced by one or more loan accounts or records maintained by the European Revolving Lender in the ordinary course of business. The Australian Revolving Lender may also attach schedules to this Australian Revolving Note and endorse thereon the date, amount and maturity of its Australian Revolving Loans and payments with respect thereto.</w:t>
      </w:r>
    </w:p>
    <w:p>
      <w:pPr>
        <w:spacing w:after="0" w:line="181" w:lineRule="exact"/>
        <w:rPr>
          <w:sz w:val="20"/>
          <w:szCs w:val="20"/>
          <w:color w:val="auto"/>
        </w:rPr>
      </w:pPr>
    </w:p>
    <w:p>
      <w:pPr>
        <w:ind w:right="80" w:firstLine="648"/>
        <w:spacing w:after="0" w:line="235" w:lineRule="exact"/>
        <w:rPr>
          <w:sz w:val="20"/>
          <w:szCs w:val="20"/>
          <w:color w:val="auto"/>
        </w:rPr>
      </w:pPr>
      <w:r>
        <w:rPr>
          <w:rFonts w:ascii="Arial" w:cs="Arial" w:eastAsia="Arial" w:hAnsi="Arial"/>
          <w:sz w:val="20"/>
          <w:szCs w:val="20"/>
          <w:color w:val="auto"/>
        </w:rPr>
        <w:t>Upon the occurrence and continuation of an Event of Default, all amounts then remaining unpaid on this Australian Revolving Note shall become, or may be declared to be, immediately due and payable as provided in the Credit Agreement, without diligence, presentment, protest and demand or notice of protest, demand, dishonor and non</w:t>
      </w:r>
      <w:r>
        <w:rPr>
          <w:rFonts w:ascii="MS PGothic" w:cs="MS PGothic" w:eastAsia="MS PGothic" w:hAnsi="MS PGothic"/>
          <w:sz w:val="20"/>
          <w:szCs w:val="20"/>
          <w:color w:val="auto"/>
        </w:rPr>
        <w:t>‑</w:t>
      </w:r>
      <w:r>
        <w:rPr>
          <w:rFonts w:ascii="Arial" w:cs="Arial" w:eastAsia="Arial" w:hAnsi="Arial"/>
          <w:sz w:val="20"/>
          <w:szCs w:val="20"/>
          <w:color w:val="auto"/>
        </w:rPr>
        <w:t>payment of this Australian Revolving Note, all of which are hereby waived by the Australian Borrowers, for themselves and their successors and assigns.</w:t>
      </w:r>
    </w:p>
    <w:p>
      <w:pPr>
        <w:spacing w:after="0" w:line="195" w:lineRule="exact"/>
        <w:rPr>
          <w:sz w:val="20"/>
          <w:szCs w:val="20"/>
          <w:color w:val="auto"/>
        </w:rPr>
      </w:pPr>
    </w:p>
    <w:p>
      <w:pPr>
        <w:ind w:right="220" w:firstLine="648"/>
        <w:spacing w:after="0" w:line="246" w:lineRule="auto"/>
        <w:rPr>
          <w:sz w:val="20"/>
          <w:szCs w:val="20"/>
          <w:color w:val="auto"/>
        </w:rPr>
      </w:pPr>
      <w:r>
        <w:rPr>
          <w:rFonts w:ascii="Arial" w:cs="Arial" w:eastAsia="Arial" w:hAnsi="Arial"/>
          <w:sz w:val="20"/>
          <w:szCs w:val="20"/>
          <w:color w:val="auto"/>
        </w:rPr>
        <w:t>The obligations of each Australian Borrower that is a Domestic Borrower under this Australian Revolving Note are joint and several. The obligations of each Australian Borrower that is a Foreign Borrower under this Australian Revolving Note are several, and not joint and several. Under no circumstances shall any Australian Borrower that is a Foreign Borrower be liable for any obligation of an Australian Borrower that is a Domestic Borrower under this Australian Revolving Note.</w:t>
      </w:r>
    </w:p>
    <w:p>
      <w:pPr>
        <w:spacing w:after="0" w:line="192" w:lineRule="exact"/>
        <w:rPr>
          <w:sz w:val="20"/>
          <w:szCs w:val="20"/>
          <w:color w:val="auto"/>
        </w:rPr>
      </w:pPr>
    </w:p>
    <w:p>
      <w:pPr>
        <w:ind w:right="60" w:firstLine="648"/>
        <w:spacing w:after="0" w:line="260" w:lineRule="auto"/>
        <w:rPr>
          <w:sz w:val="20"/>
          <w:szCs w:val="20"/>
          <w:color w:val="auto"/>
        </w:rPr>
      </w:pPr>
      <w:r>
        <w:rPr>
          <w:rFonts w:ascii="Arial" w:cs="Arial" w:eastAsia="Arial" w:hAnsi="Arial"/>
          <w:sz w:val="20"/>
          <w:szCs w:val="20"/>
          <w:color w:val="auto"/>
        </w:rPr>
        <w:t>THIS AUSTRALIAN Revolving NOTE SHALL BE GOVERNED BY, AND CONSTRUED IN ACCORDANCE WITH, THE LAWS OF THE STATE OF NEW YORK.</w:t>
      </w:r>
    </w:p>
    <w:p>
      <w:pPr>
        <w:spacing w:after="0" w:line="177" w:lineRule="exact"/>
        <w:rPr>
          <w:sz w:val="20"/>
          <w:szCs w:val="20"/>
          <w:color w:val="auto"/>
        </w:rPr>
      </w:pPr>
    </w:p>
    <w:p>
      <w:pPr>
        <w:ind w:left="3900"/>
        <w:spacing w:after="0"/>
        <w:rPr>
          <w:sz w:val="20"/>
          <w:szCs w:val="20"/>
          <w:color w:val="auto"/>
        </w:rPr>
      </w:pPr>
      <w:r>
        <w:rPr>
          <w:rFonts w:ascii="Arial" w:cs="Arial" w:eastAsia="Arial" w:hAnsi="Arial"/>
          <w:sz w:val="20"/>
          <w:szCs w:val="20"/>
          <w:color w:val="auto"/>
        </w:rPr>
        <w:t>[Remainder of Page Intentionally Left Blank]</w:t>
      </w:r>
    </w:p>
    <w:p>
      <w:pPr>
        <w:spacing w:after="0" w:line="216" w:lineRule="exact"/>
        <w:rPr>
          <w:sz w:val="20"/>
          <w:szCs w:val="20"/>
          <w:color w:val="auto"/>
        </w:rPr>
      </w:pPr>
    </w:p>
    <w:p>
      <w:pPr>
        <w:spacing w:after="0"/>
        <w:tabs>
          <w:tab w:leader="none" w:pos="2880" w:val="left"/>
        </w:tabs>
        <w:rPr>
          <w:sz w:val="20"/>
          <w:szCs w:val="20"/>
          <w:color w:val="auto"/>
        </w:rPr>
      </w:pPr>
      <w:r>
        <w:rPr>
          <w:rFonts w:ascii="Arial" w:cs="Arial" w:eastAsia="Arial" w:hAnsi="Arial"/>
          <w:sz w:val="20"/>
          <w:szCs w:val="20"/>
          <w:u w:val="single" w:color="auto"/>
          <w:color w:val="auto"/>
        </w:rPr>
        <w:t>DOMESTIC BORROWERS</w:t>
      </w:r>
      <w:r>
        <w:rPr>
          <w:rFonts w:ascii="Arial" w:cs="Arial" w:eastAsia="Arial" w:hAnsi="Arial"/>
          <w:sz w:val="20"/>
          <w:szCs w:val="20"/>
          <w:color w:val="auto"/>
        </w:rPr>
        <w:t>:</w:t>
      </w:r>
      <w:r>
        <w:rPr>
          <w:sz w:val="20"/>
          <w:szCs w:val="20"/>
          <w:color w:val="auto"/>
        </w:rPr>
        <w:tab/>
      </w:r>
      <w:r>
        <w:rPr>
          <w:rFonts w:ascii="Arial" w:cs="Arial" w:eastAsia="Arial" w:hAnsi="Arial"/>
          <w:sz w:val="18"/>
          <w:szCs w:val="18"/>
          <w:color w:val="auto"/>
        </w:rPr>
        <w:t>Euronet Worldwide, Inc.</w:t>
      </w:r>
    </w:p>
    <w:p>
      <w:pPr>
        <w:sectPr>
          <w:pgSz w:w="11900" w:h="16838" w:orient="portrait"/>
          <w:cols w:equalWidth="0" w:num="1">
            <w:col w:w="11420"/>
          </w:cols>
          <w:pgMar w:left="240" w:top="582" w:right="239" w:bottom="1440" w:gutter="0" w:footer="0" w:header="0"/>
        </w:sectPr>
      </w:pPr>
    </w:p>
    <w:bookmarkStart w:id="312" w:name="page313"/>
    <w:bookmarkEnd w:id="312"/>
    <w:p>
      <w:pPr>
        <w:ind w:left="3900"/>
        <w:spacing w:after="0"/>
        <w:rPr>
          <w:sz w:val="20"/>
          <w:szCs w:val="20"/>
          <w:color w:val="auto"/>
        </w:rPr>
      </w:pPr>
      <w:r>
        <w:rPr>
          <w:rFonts w:ascii="Arial" w:cs="Arial" w:eastAsia="Arial" w:hAnsi="Arial"/>
          <w:sz w:val="20"/>
          <w:szCs w:val="20"/>
          <w:color w:val="auto"/>
        </w:rPr>
        <w:t>By:</w:t>
      </w:r>
    </w:p>
    <w:p>
      <w:pPr>
        <w:spacing w:after="0" w:line="15" w:lineRule="exact"/>
        <w:rPr>
          <w:sz w:val="20"/>
          <w:szCs w:val="20"/>
          <w:color w:val="auto"/>
        </w:rPr>
      </w:pPr>
    </w:p>
    <w:p>
      <w:pPr>
        <w:ind w:left="3900"/>
        <w:spacing w:after="0"/>
        <w:rPr>
          <w:sz w:val="20"/>
          <w:szCs w:val="20"/>
          <w:color w:val="auto"/>
        </w:rPr>
      </w:pPr>
      <w:r>
        <w:rPr>
          <w:rFonts w:ascii="Arial" w:cs="Arial" w:eastAsia="Arial" w:hAnsi="Arial"/>
          <w:sz w:val="20"/>
          <w:szCs w:val="20"/>
          <w:color w:val="auto"/>
        </w:rPr>
        <w:t>Name:</w:t>
      </w:r>
    </w:p>
    <w:p>
      <w:pPr>
        <w:ind w:left="3900"/>
        <w:spacing w:after="0"/>
        <w:rPr>
          <w:sz w:val="20"/>
          <w:szCs w:val="20"/>
          <w:color w:val="auto"/>
        </w:rPr>
      </w:pPr>
      <w:r>
        <w:rPr>
          <w:rFonts w:ascii="Arial" w:cs="Arial" w:eastAsia="Arial" w:hAnsi="Arial"/>
          <w:sz w:val="20"/>
          <w:szCs w:val="20"/>
          <w:color w:val="auto"/>
        </w:rPr>
        <w:t>Title:</w:t>
      </w:r>
    </w:p>
    <w:p>
      <w:pPr>
        <w:spacing w:after="0" w:line="200" w:lineRule="exact"/>
        <w:rPr>
          <w:sz w:val="20"/>
          <w:szCs w:val="20"/>
          <w:color w:val="auto"/>
        </w:rPr>
      </w:pPr>
    </w:p>
    <w:p>
      <w:pPr>
        <w:ind w:left="3900"/>
        <w:spacing w:after="0"/>
        <w:rPr>
          <w:sz w:val="20"/>
          <w:szCs w:val="20"/>
          <w:color w:val="auto"/>
        </w:rPr>
      </w:pPr>
      <w:r>
        <w:rPr>
          <w:rFonts w:ascii="Arial" w:cs="Arial" w:eastAsia="Arial" w:hAnsi="Arial"/>
          <w:sz w:val="19"/>
          <w:szCs w:val="19"/>
          <w:color w:val="auto"/>
        </w:rPr>
        <w:t>continental exchange solutions, inc.</w:t>
      </w:r>
    </w:p>
    <w:p>
      <w:pPr>
        <w:spacing w:after="0" w:line="200" w:lineRule="exact"/>
        <w:rPr>
          <w:sz w:val="20"/>
          <w:szCs w:val="20"/>
          <w:color w:val="auto"/>
        </w:rPr>
      </w:pPr>
    </w:p>
    <w:p>
      <w:pPr>
        <w:spacing w:after="0" w:line="243" w:lineRule="exact"/>
        <w:rPr>
          <w:sz w:val="20"/>
          <w:szCs w:val="20"/>
          <w:color w:val="auto"/>
        </w:rPr>
      </w:pPr>
    </w:p>
    <w:p>
      <w:pPr>
        <w:ind w:left="3900"/>
        <w:spacing w:after="0"/>
        <w:rPr>
          <w:sz w:val="20"/>
          <w:szCs w:val="20"/>
          <w:color w:val="auto"/>
        </w:rPr>
      </w:pPr>
      <w:r>
        <w:rPr>
          <w:rFonts w:ascii="Arial" w:cs="Arial" w:eastAsia="Arial" w:hAnsi="Arial"/>
          <w:sz w:val="20"/>
          <w:szCs w:val="20"/>
          <w:color w:val="auto"/>
        </w:rPr>
        <w:t>By:</w:t>
      </w:r>
    </w:p>
    <w:p>
      <w:pPr>
        <w:spacing w:after="0" w:line="15" w:lineRule="exact"/>
        <w:rPr>
          <w:sz w:val="20"/>
          <w:szCs w:val="20"/>
          <w:color w:val="auto"/>
        </w:rPr>
      </w:pPr>
    </w:p>
    <w:p>
      <w:pPr>
        <w:ind w:left="3900"/>
        <w:spacing w:after="0"/>
        <w:rPr>
          <w:sz w:val="20"/>
          <w:szCs w:val="20"/>
          <w:color w:val="auto"/>
        </w:rPr>
      </w:pPr>
      <w:r>
        <w:rPr>
          <w:rFonts w:ascii="Arial" w:cs="Arial" w:eastAsia="Arial" w:hAnsi="Arial"/>
          <w:sz w:val="20"/>
          <w:szCs w:val="20"/>
          <w:color w:val="auto"/>
        </w:rPr>
        <w:t>Name:</w:t>
      </w:r>
    </w:p>
    <w:p>
      <w:pPr>
        <w:ind w:left="3900"/>
        <w:spacing w:after="0"/>
        <w:rPr>
          <w:sz w:val="20"/>
          <w:szCs w:val="20"/>
          <w:color w:val="auto"/>
        </w:rPr>
      </w:pPr>
      <w:r>
        <w:rPr>
          <w:rFonts w:ascii="Arial" w:cs="Arial" w:eastAsia="Arial" w:hAnsi="Arial"/>
          <w:sz w:val="20"/>
          <w:szCs w:val="20"/>
          <w:color w:val="auto"/>
        </w:rPr>
        <w:t>Title:</w:t>
      </w:r>
    </w:p>
    <w:p>
      <w:pPr>
        <w:spacing w:after="0" w:line="200" w:lineRule="exact"/>
        <w:rPr>
          <w:sz w:val="20"/>
          <w:szCs w:val="20"/>
          <w:color w:val="auto"/>
        </w:rPr>
      </w:pPr>
    </w:p>
    <w:p>
      <w:pPr>
        <w:ind w:left="3900"/>
        <w:spacing w:after="0"/>
        <w:rPr>
          <w:sz w:val="20"/>
          <w:szCs w:val="20"/>
          <w:color w:val="auto"/>
        </w:rPr>
      </w:pPr>
      <w:r>
        <w:rPr>
          <w:rFonts w:ascii="Arial" w:cs="Arial" w:eastAsia="Arial" w:hAnsi="Arial"/>
          <w:sz w:val="20"/>
          <w:szCs w:val="20"/>
          <w:color w:val="auto"/>
        </w:rPr>
        <w:t>RIA Envia, Inc.</w:t>
      </w:r>
    </w:p>
    <w:p>
      <w:pPr>
        <w:spacing w:after="0" w:line="200" w:lineRule="exact"/>
        <w:rPr>
          <w:sz w:val="20"/>
          <w:szCs w:val="20"/>
          <w:color w:val="auto"/>
        </w:rPr>
      </w:pPr>
    </w:p>
    <w:p>
      <w:pPr>
        <w:spacing w:after="0" w:line="232" w:lineRule="exact"/>
        <w:rPr>
          <w:sz w:val="20"/>
          <w:szCs w:val="20"/>
          <w:color w:val="auto"/>
        </w:rPr>
      </w:pPr>
    </w:p>
    <w:p>
      <w:pPr>
        <w:ind w:left="3900"/>
        <w:spacing w:after="0"/>
        <w:rPr>
          <w:sz w:val="20"/>
          <w:szCs w:val="20"/>
          <w:color w:val="auto"/>
        </w:rPr>
      </w:pPr>
      <w:r>
        <w:rPr>
          <w:rFonts w:ascii="Arial" w:cs="Arial" w:eastAsia="Arial" w:hAnsi="Arial"/>
          <w:sz w:val="20"/>
          <w:szCs w:val="20"/>
          <w:color w:val="auto"/>
        </w:rPr>
        <w:t>By:</w:t>
      </w:r>
    </w:p>
    <w:p>
      <w:pPr>
        <w:spacing w:after="0" w:line="15" w:lineRule="exact"/>
        <w:rPr>
          <w:sz w:val="20"/>
          <w:szCs w:val="20"/>
          <w:color w:val="auto"/>
        </w:rPr>
      </w:pPr>
    </w:p>
    <w:p>
      <w:pPr>
        <w:ind w:left="3900"/>
        <w:spacing w:after="0"/>
        <w:rPr>
          <w:sz w:val="20"/>
          <w:szCs w:val="20"/>
          <w:color w:val="auto"/>
        </w:rPr>
      </w:pPr>
      <w:r>
        <w:rPr>
          <w:rFonts w:ascii="Arial" w:cs="Arial" w:eastAsia="Arial" w:hAnsi="Arial"/>
          <w:sz w:val="20"/>
          <w:szCs w:val="20"/>
          <w:color w:val="auto"/>
        </w:rPr>
        <w:t>Name:</w:t>
      </w:r>
    </w:p>
    <w:p>
      <w:pPr>
        <w:ind w:left="3900"/>
        <w:spacing w:after="0"/>
        <w:rPr>
          <w:sz w:val="20"/>
          <w:szCs w:val="20"/>
          <w:color w:val="auto"/>
        </w:rPr>
      </w:pPr>
      <w:r>
        <w:rPr>
          <w:rFonts w:ascii="Arial" w:cs="Arial" w:eastAsia="Arial" w:hAnsi="Arial"/>
          <w:sz w:val="20"/>
          <w:szCs w:val="20"/>
          <w:color w:val="auto"/>
        </w:rPr>
        <w:t>Title:</w:t>
      </w:r>
    </w:p>
    <w:p>
      <w:pPr>
        <w:spacing w:after="0" w:line="200" w:lineRule="exact"/>
        <w:rPr>
          <w:sz w:val="20"/>
          <w:szCs w:val="20"/>
          <w:color w:val="auto"/>
        </w:rPr>
      </w:pPr>
    </w:p>
    <w:p>
      <w:pPr>
        <w:spacing w:after="0" w:line="225" w:lineRule="exact"/>
        <w:rPr>
          <w:sz w:val="20"/>
          <w:szCs w:val="20"/>
          <w:color w:val="auto"/>
        </w:rPr>
      </w:pPr>
    </w:p>
    <w:p>
      <w:pPr>
        <w:spacing w:after="0"/>
        <w:tabs>
          <w:tab w:leader="none" w:pos="2920" w:val="left"/>
        </w:tabs>
        <w:rPr>
          <w:sz w:val="20"/>
          <w:szCs w:val="20"/>
          <w:color w:val="auto"/>
        </w:rPr>
      </w:pPr>
      <w:r>
        <w:rPr>
          <w:rFonts w:ascii="Arial" w:cs="Arial" w:eastAsia="Arial" w:hAnsi="Arial"/>
          <w:sz w:val="22"/>
          <w:szCs w:val="22"/>
          <w:u w:val="single" w:color="auto"/>
          <w:color w:val="auto"/>
        </w:rPr>
        <w:t>FOREIGN BORROWERS</w:t>
      </w:r>
      <w:r>
        <w:rPr>
          <w:rFonts w:ascii="Arial" w:cs="Arial" w:eastAsia="Arial" w:hAnsi="Arial"/>
          <w:sz w:val="22"/>
          <w:szCs w:val="22"/>
          <w:color w:val="auto"/>
        </w:rPr>
        <w:t>:</w:t>
      </w:r>
      <w:r>
        <w:rPr>
          <w:sz w:val="20"/>
          <w:szCs w:val="20"/>
          <w:color w:val="auto"/>
        </w:rPr>
        <w:tab/>
      </w:r>
      <w:r>
        <w:rPr>
          <w:rFonts w:ascii="Arial" w:cs="Arial" w:eastAsia="Arial" w:hAnsi="Arial"/>
          <w:sz w:val="19"/>
          <w:szCs w:val="19"/>
          <w:color w:val="auto"/>
        </w:rPr>
        <w:t>EFT SErviceS Holdings BV</w:t>
      </w:r>
    </w:p>
    <w:p>
      <w:pPr>
        <w:spacing w:after="0" w:line="200" w:lineRule="exact"/>
        <w:rPr>
          <w:sz w:val="20"/>
          <w:szCs w:val="20"/>
          <w:color w:val="auto"/>
        </w:rPr>
      </w:pPr>
    </w:p>
    <w:p>
      <w:pPr>
        <w:spacing w:after="0" w:line="249"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By:</w:t>
      </w:r>
    </w:p>
    <w:p>
      <w:pPr>
        <w:spacing w:after="0" w:line="22"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Name:</w:t>
      </w:r>
    </w:p>
    <w:p>
      <w:pPr>
        <w:spacing w:after="0" w:line="17"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Title:</w:t>
      </w:r>
    </w:p>
    <w:p>
      <w:pPr>
        <w:spacing w:after="0" w:line="202"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Delta Euronet GmbH</w:t>
      </w:r>
    </w:p>
    <w:p>
      <w:pPr>
        <w:spacing w:after="0" w:line="200" w:lineRule="exact"/>
        <w:rPr>
          <w:sz w:val="20"/>
          <w:szCs w:val="20"/>
          <w:color w:val="auto"/>
        </w:rPr>
      </w:pPr>
    </w:p>
    <w:p>
      <w:pPr>
        <w:spacing w:after="0" w:line="236"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By:</w:t>
      </w:r>
    </w:p>
    <w:p>
      <w:pPr>
        <w:spacing w:after="0" w:line="22"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Name:</w:t>
      </w:r>
    </w:p>
    <w:p>
      <w:pPr>
        <w:spacing w:after="0" w:line="17"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Title:</w:t>
      </w:r>
    </w:p>
    <w:p>
      <w:pPr>
        <w:spacing w:after="0" w:line="202" w:lineRule="exact"/>
        <w:rPr>
          <w:sz w:val="20"/>
          <w:szCs w:val="20"/>
          <w:color w:val="auto"/>
        </w:rPr>
      </w:pPr>
    </w:p>
    <w:p>
      <w:pPr>
        <w:jc w:val="right"/>
        <w:ind w:right="3279"/>
        <w:spacing w:after="0"/>
        <w:rPr>
          <w:sz w:val="20"/>
          <w:szCs w:val="20"/>
          <w:color w:val="auto"/>
        </w:rPr>
      </w:pPr>
      <w:r>
        <w:rPr>
          <w:rFonts w:ascii="Arial" w:cs="Arial" w:eastAsia="Arial" w:hAnsi="Arial"/>
          <w:sz w:val="22"/>
          <w:szCs w:val="22"/>
          <w:color w:val="auto"/>
        </w:rPr>
        <w:t>E-PAY Australia HOldings pty. ltd.</w:t>
      </w:r>
    </w:p>
    <w:p>
      <w:pPr>
        <w:spacing w:after="0" w:line="200" w:lineRule="exact"/>
        <w:rPr>
          <w:sz w:val="20"/>
          <w:szCs w:val="20"/>
          <w:color w:val="auto"/>
        </w:rPr>
      </w:pPr>
    </w:p>
    <w:p>
      <w:pPr>
        <w:spacing w:after="0" w:line="236"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By:</w:t>
      </w:r>
    </w:p>
    <w:p>
      <w:pPr>
        <w:spacing w:after="0" w:line="22"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Name:</w:t>
      </w:r>
    </w:p>
    <w:p>
      <w:pPr>
        <w:spacing w:after="0" w:line="17"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Title:</w:t>
      </w:r>
    </w:p>
    <w:p>
      <w:pPr>
        <w:spacing w:after="0" w:line="202"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e-Pay Holdings LTD</w:t>
      </w:r>
    </w:p>
    <w:p>
      <w:pPr>
        <w:spacing w:after="0" w:line="200" w:lineRule="exact"/>
        <w:rPr>
          <w:sz w:val="20"/>
          <w:szCs w:val="20"/>
          <w:color w:val="auto"/>
        </w:rPr>
      </w:pPr>
    </w:p>
    <w:p>
      <w:pPr>
        <w:spacing w:after="0" w:line="236"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By:</w:t>
      </w:r>
    </w:p>
    <w:p>
      <w:pPr>
        <w:spacing w:after="0" w:line="22"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Name:</w:t>
      </w:r>
    </w:p>
    <w:p>
      <w:pPr>
        <w:spacing w:after="0" w:line="17"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Title:</w:t>
      </w:r>
    </w:p>
    <w:p>
      <w:pPr>
        <w:sectPr>
          <w:pgSz w:w="11900" w:h="16838" w:orient="portrait"/>
          <w:cols w:equalWidth="0" w:num="1">
            <w:col w:w="10219"/>
          </w:cols>
          <w:pgMar w:left="240" w:top="798" w:right="1440" w:bottom="1440" w:gutter="0" w:footer="0" w:header="0"/>
        </w:sectPr>
      </w:pPr>
    </w:p>
    <w:bookmarkStart w:id="313" w:name="page314"/>
    <w:bookmarkEnd w:id="313"/>
    <w:p>
      <w:pPr>
        <w:jc w:val="center"/>
        <w:ind w:right="160"/>
        <w:spacing w:after="0"/>
        <w:rPr>
          <w:sz w:val="20"/>
          <w:szCs w:val="20"/>
          <w:color w:val="auto"/>
        </w:rPr>
      </w:pPr>
      <w:r>
        <w:rPr>
          <w:rFonts w:ascii="Arial" w:cs="Arial" w:eastAsia="Arial" w:hAnsi="Arial"/>
          <w:sz w:val="22"/>
          <w:szCs w:val="22"/>
          <w:color w:val="auto"/>
        </w:rPr>
        <w:t>RIA NETHERLANDS HOLDING B.V.</w:t>
      </w:r>
    </w:p>
    <w:p>
      <w:pPr>
        <w:spacing w:after="0" w:line="200" w:lineRule="exact"/>
        <w:rPr>
          <w:sz w:val="20"/>
          <w:szCs w:val="20"/>
          <w:color w:val="auto"/>
        </w:rPr>
      </w:pPr>
    </w:p>
    <w:p>
      <w:pPr>
        <w:spacing w:after="0" w:line="236"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By:</w:t>
      </w:r>
    </w:p>
    <w:p>
      <w:pPr>
        <w:spacing w:after="0" w:line="22"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Name:</w:t>
      </w:r>
    </w:p>
    <w:p>
      <w:pPr>
        <w:spacing w:after="0" w:line="17"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20"/>
          <w:szCs w:val="20"/>
          <w:u w:val="single" w:color="auto"/>
          <w:color w:val="auto"/>
        </w:rPr>
        <w:t>Exhibit 2.13-6</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FORM OF INDIA REVOLVING NOTE</w:t>
      </w:r>
    </w:p>
    <w:p>
      <w:pPr>
        <w:spacing w:after="0" w:line="351" w:lineRule="exact"/>
        <w:rPr>
          <w:sz w:val="20"/>
          <w:szCs w:val="20"/>
          <w:color w:val="auto"/>
        </w:rPr>
      </w:pPr>
    </w:p>
    <w:p>
      <w:pPr>
        <w:ind w:left="9500"/>
        <w:spacing w:after="0"/>
        <w:rPr>
          <w:sz w:val="20"/>
          <w:szCs w:val="20"/>
          <w:color w:val="auto"/>
        </w:rPr>
      </w:pPr>
      <w:r>
        <w:rPr>
          <w:rFonts w:ascii="Arial" w:cs="Arial" w:eastAsia="Arial" w:hAnsi="Arial"/>
          <w:sz w:val="16"/>
          <w:szCs w:val="16"/>
          <w:color w:val="auto"/>
        </w:rPr>
        <w:t>____________ __, 20__</w:t>
      </w:r>
    </w:p>
    <w:p>
      <w:pPr>
        <w:spacing w:after="0" w:line="200" w:lineRule="exact"/>
        <w:rPr>
          <w:sz w:val="20"/>
          <w:szCs w:val="20"/>
          <w:color w:val="auto"/>
        </w:rPr>
      </w:pPr>
    </w:p>
    <w:p>
      <w:pPr>
        <w:spacing w:after="0" w:line="278" w:lineRule="exact"/>
        <w:rPr>
          <w:sz w:val="20"/>
          <w:szCs w:val="20"/>
          <w:color w:val="auto"/>
        </w:rPr>
      </w:pPr>
    </w:p>
    <w:p>
      <w:pPr>
        <w:ind w:left="660"/>
        <w:spacing w:after="0"/>
        <w:rPr>
          <w:sz w:val="20"/>
          <w:szCs w:val="20"/>
          <w:color w:val="auto"/>
        </w:rPr>
      </w:pPr>
      <w:r>
        <w:rPr>
          <w:rFonts w:ascii="Arial" w:cs="Arial" w:eastAsia="Arial" w:hAnsi="Arial"/>
          <w:sz w:val="19"/>
          <w:szCs w:val="19"/>
          <w:color w:val="auto"/>
        </w:rPr>
        <w:t>FOR VALUE RECEIVED, the undersigned (the “</w:t>
      </w:r>
      <w:r>
        <w:rPr>
          <w:rFonts w:ascii="Arial" w:cs="Arial" w:eastAsia="Arial" w:hAnsi="Arial"/>
          <w:sz w:val="19"/>
          <w:szCs w:val="19"/>
          <w:u w:val="single" w:color="auto"/>
          <w:color w:val="auto"/>
        </w:rPr>
        <w:t>India Borrowers</w:t>
      </w:r>
      <w:r>
        <w:rPr>
          <w:rFonts w:ascii="Arial" w:cs="Arial" w:eastAsia="Arial" w:hAnsi="Arial"/>
          <w:sz w:val="19"/>
          <w:szCs w:val="19"/>
          <w:color w:val="auto"/>
        </w:rPr>
        <w:t>”), hereby promise to pay to _____________________, its</w:t>
      </w:r>
    </w:p>
    <w:p>
      <w:pPr>
        <w:spacing w:after="0" w:line="27" w:lineRule="exact"/>
        <w:rPr>
          <w:sz w:val="20"/>
          <w:szCs w:val="20"/>
          <w:color w:val="auto"/>
        </w:rPr>
      </w:pPr>
    </w:p>
    <w:p>
      <w:pPr>
        <w:ind w:right="60"/>
        <w:spacing w:after="0" w:line="255" w:lineRule="auto"/>
        <w:rPr>
          <w:sz w:val="20"/>
          <w:szCs w:val="20"/>
          <w:color w:val="auto"/>
        </w:rPr>
      </w:pPr>
      <w:r>
        <w:rPr>
          <w:rFonts w:ascii="Arial" w:cs="Arial" w:eastAsia="Arial" w:hAnsi="Arial"/>
          <w:sz w:val="19"/>
          <w:szCs w:val="19"/>
          <w:color w:val="auto"/>
        </w:rPr>
        <w:t>successors or registered assigns (the “</w:t>
      </w:r>
      <w:r>
        <w:rPr>
          <w:rFonts w:ascii="Arial" w:cs="Arial" w:eastAsia="Arial" w:hAnsi="Arial"/>
          <w:sz w:val="19"/>
          <w:szCs w:val="19"/>
          <w:u w:val="single" w:color="auto"/>
          <w:color w:val="auto"/>
        </w:rPr>
        <w:t>India Revolving Lender</w:t>
      </w:r>
      <w:r>
        <w:rPr>
          <w:rFonts w:ascii="Arial" w:cs="Arial" w:eastAsia="Arial" w:hAnsi="Arial"/>
          <w:sz w:val="19"/>
          <w:szCs w:val="19"/>
          <w:color w:val="auto"/>
        </w:rPr>
        <w:t>”), the India Revolving Lender's India Revolving Committed Amount, or if less, the aggregate unpaid principal amount of all India Revolving Loans owing to the India Revolving Lender under that certain Amended and Restated Credit Agreement, dated as of August 18, 2011 (as amended, restated, increased, supplemented or otherwise modified from time to time, the “</w:t>
      </w:r>
      <w:r>
        <w:rPr>
          <w:rFonts w:ascii="Arial" w:cs="Arial" w:eastAsia="Arial" w:hAnsi="Arial"/>
          <w:sz w:val="19"/>
          <w:szCs w:val="19"/>
          <w:u w:val="single" w:color="auto"/>
          <w:color w:val="auto"/>
        </w:rPr>
        <w:t>Credit Agreement</w:t>
      </w:r>
      <w:r>
        <w:rPr>
          <w:rFonts w:ascii="Arial" w:cs="Arial" w:eastAsia="Arial" w:hAnsi="Arial"/>
          <w:sz w:val="19"/>
          <w:szCs w:val="19"/>
          <w:color w:val="auto"/>
        </w:rPr>
        <w:t>”) among Euronet Worldwide, Inc., a Delaware corporation, and certain other Subsidiaries and Affiliates, as Borrowers, certain Subsidiaries and Affiliates, as Guarantors, the lenders from time to time party thereto (the “</w:t>
      </w:r>
      <w:r>
        <w:rPr>
          <w:rFonts w:ascii="Arial" w:cs="Arial" w:eastAsia="Arial" w:hAnsi="Arial"/>
          <w:sz w:val="19"/>
          <w:szCs w:val="19"/>
          <w:u w:val="single" w:color="auto"/>
          <w:color w:val="auto"/>
        </w:rPr>
        <w:t>Lenders</w:t>
      </w:r>
      <w:r>
        <w:rPr>
          <w:rFonts w:ascii="Arial" w:cs="Arial" w:eastAsia="Arial" w:hAnsi="Arial"/>
          <w:sz w:val="19"/>
          <w:szCs w:val="19"/>
          <w:color w:val="auto"/>
        </w:rPr>
        <w:t xml:space="preserve"> ”) and Bank of America, N.A., as administrative agent (in such capacity, the “</w:t>
      </w:r>
      <w:r>
        <w:rPr>
          <w:rFonts w:ascii="Arial" w:cs="Arial" w:eastAsia="Arial" w:hAnsi="Arial"/>
          <w:sz w:val="19"/>
          <w:szCs w:val="19"/>
          <w:u w:val="single" w:color="auto"/>
          <w:color w:val="auto"/>
        </w:rPr>
        <w:t>Administrative Agent</w:t>
      </w:r>
      <w:r>
        <w:rPr>
          <w:rFonts w:ascii="Arial" w:cs="Arial" w:eastAsia="Arial" w:hAnsi="Arial"/>
          <w:sz w:val="19"/>
          <w:szCs w:val="19"/>
          <w:color w:val="auto"/>
        </w:rPr>
        <w:t>”). Capitalized terms used but not otherwise defined herein have the meanings provided in the Credit Agreement.</w:t>
      </w:r>
    </w:p>
    <w:p>
      <w:pPr>
        <w:spacing w:after="0" w:line="182" w:lineRule="exact"/>
        <w:rPr>
          <w:sz w:val="20"/>
          <w:szCs w:val="20"/>
          <w:color w:val="auto"/>
        </w:rPr>
      </w:pPr>
    </w:p>
    <w:p>
      <w:pPr>
        <w:ind w:right="60" w:firstLine="648"/>
        <w:spacing w:after="0" w:line="259" w:lineRule="auto"/>
        <w:rPr>
          <w:sz w:val="20"/>
          <w:szCs w:val="20"/>
          <w:color w:val="auto"/>
        </w:rPr>
      </w:pPr>
      <w:r>
        <w:rPr>
          <w:rFonts w:ascii="Arial" w:cs="Arial" w:eastAsia="Arial" w:hAnsi="Arial"/>
          <w:sz w:val="19"/>
          <w:szCs w:val="19"/>
          <w:color w:val="auto"/>
        </w:rPr>
        <w:t>The India Borrowers promise to pay interest on the unpaid principal amount of each India Revolving Loan from the date of such India Revolving Loan until such principal amount is paid in full, at such interest rates and at such times as provided in the Credit Agreement. All payments of principal and interest shall be made to the Administrative Agent for the account of the India Revolving Lender, at the Applicable Administrative Agent's Office, in Rupee in Same Day Funds. If any amount is not paid in full when due hereunder, such unpaid amount shall bear interest, to be paid upon demand, from the due date thereof until the date of actual payment (before as well as after judgment) computed at the applicable per annum rate set forth in the Credit Agreement.</w:t>
      </w:r>
    </w:p>
    <w:p>
      <w:pPr>
        <w:spacing w:after="0" w:line="179" w:lineRule="exact"/>
        <w:rPr>
          <w:sz w:val="20"/>
          <w:szCs w:val="20"/>
          <w:color w:val="auto"/>
        </w:rPr>
      </w:pPr>
    </w:p>
    <w:p>
      <w:pPr>
        <w:jc w:val="both"/>
        <w:ind w:right="140" w:firstLine="648"/>
        <w:spacing w:after="0" w:line="244" w:lineRule="auto"/>
        <w:rPr>
          <w:sz w:val="20"/>
          <w:szCs w:val="20"/>
          <w:color w:val="auto"/>
        </w:rPr>
      </w:pPr>
      <w:r>
        <w:rPr>
          <w:rFonts w:ascii="Arial" w:cs="Arial" w:eastAsia="Arial" w:hAnsi="Arial"/>
          <w:sz w:val="20"/>
          <w:szCs w:val="20"/>
          <w:color w:val="auto"/>
        </w:rPr>
        <w:t>This India Revolving Note is one of the Notes referred to in the Credit Agreement and is entitled to the benefits thereof and may be prepaid in whole or in part subject to the terms and conditions provided therein. India Revolving Loans made by the India Revolving Lender may be evidenced by one or more loan accounts or records maintained by the India Revolving Lender in the ordinary course of business. The India Revolving Lender may also attach schedules to this India Revolving Note and endorse thereon the date, amount and maturity of its India Revolving Loans and payments with respect thereto.</w:t>
      </w:r>
    </w:p>
    <w:p>
      <w:pPr>
        <w:spacing w:after="0" w:line="195" w:lineRule="exact"/>
        <w:rPr>
          <w:sz w:val="20"/>
          <w:szCs w:val="20"/>
          <w:color w:val="auto"/>
        </w:rPr>
      </w:pPr>
    </w:p>
    <w:p>
      <w:pPr>
        <w:ind w:right="100" w:firstLine="648"/>
        <w:spacing w:after="0" w:line="235" w:lineRule="exact"/>
        <w:rPr>
          <w:sz w:val="20"/>
          <w:szCs w:val="20"/>
          <w:color w:val="auto"/>
        </w:rPr>
      </w:pPr>
      <w:r>
        <w:rPr>
          <w:rFonts w:ascii="Arial" w:cs="Arial" w:eastAsia="Arial" w:hAnsi="Arial"/>
          <w:sz w:val="20"/>
          <w:szCs w:val="20"/>
          <w:color w:val="auto"/>
        </w:rPr>
        <w:t>Upon the occurrence and continuation of an Event of Default, all amounts then remaining unpaid on this India Revolving Note shall become, or may be declared to be, immediately due and payable as provided in the Credit Agreement, without diligence, presentment, protest and demand or notice of protest, demand, dishonor and non</w:t>
      </w:r>
      <w:r>
        <w:rPr>
          <w:rFonts w:ascii="MS PGothic" w:cs="MS PGothic" w:eastAsia="MS PGothic" w:hAnsi="MS PGothic"/>
          <w:sz w:val="20"/>
          <w:szCs w:val="20"/>
          <w:color w:val="auto"/>
        </w:rPr>
        <w:t>‑</w:t>
      </w:r>
      <w:r>
        <w:rPr>
          <w:rFonts w:ascii="Arial" w:cs="Arial" w:eastAsia="Arial" w:hAnsi="Arial"/>
          <w:sz w:val="20"/>
          <w:szCs w:val="20"/>
          <w:color w:val="auto"/>
        </w:rPr>
        <w:t>payment of this India Revolving Note, all of which are hereby waived by the India Borrower, for itself and its successors and assigns.</w:t>
      </w:r>
    </w:p>
    <w:p>
      <w:pPr>
        <w:sectPr>
          <w:pgSz w:w="11900" w:h="16838" w:orient="portrait"/>
          <w:cols w:equalWidth="0" w:num="1">
            <w:col w:w="11420"/>
          </w:cols>
          <w:pgMar w:left="240" w:top="374" w:right="239" w:bottom="1440" w:gutter="0" w:footer="0" w:header="0"/>
        </w:sectPr>
      </w:pPr>
    </w:p>
    <w:bookmarkStart w:id="314" w:name="page315"/>
    <w:bookmarkEnd w:id="314"/>
    <w:p>
      <w:pPr>
        <w:ind w:right="180" w:firstLine="648"/>
        <w:spacing w:after="0" w:line="260" w:lineRule="auto"/>
        <w:rPr>
          <w:sz w:val="20"/>
          <w:szCs w:val="20"/>
          <w:color w:val="auto"/>
        </w:rPr>
      </w:pPr>
      <w:r>
        <w:rPr>
          <w:rFonts w:ascii="Arial" w:cs="Arial" w:eastAsia="Arial" w:hAnsi="Arial"/>
          <w:sz w:val="20"/>
          <w:szCs w:val="20"/>
          <w:color w:val="auto"/>
        </w:rPr>
        <w:t>THIS India Revolving NOTE SHALL BE GOVERNED BY, AND CONSTRUED IN ACCORDANCE WITH, THE LAWS OF THE STATE OF NEW YORK.</w:t>
      </w:r>
    </w:p>
    <w:p>
      <w:pPr>
        <w:spacing w:after="0" w:line="177" w:lineRule="exact"/>
        <w:rPr>
          <w:sz w:val="20"/>
          <w:szCs w:val="20"/>
          <w:color w:val="auto"/>
        </w:rPr>
      </w:pPr>
    </w:p>
    <w:p>
      <w:pPr>
        <w:ind w:left="3900"/>
        <w:spacing w:after="0"/>
        <w:rPr>
          <w:sz w:val="20"/>
          <w:szCs w:val="20"/>
          <w:color w:val="auto"/>
        </w:rPr>
      </w:pPr>
      <w:r>
        <w:rPr>
          <w:rFonts w:ascii="Arial" w:cs="Arial" w:eastAsia="Arial" w:hAnsi="Arial"/>
          <w:sz w:val="20"/>
          <w:szCs w:val="20"/>
          <w:color w:val="auto"/>
        </w:rPr>
        <w:t>[Remainder of Page Intentionally Left Blank]</w:t>
      </w:r>
    </w:p>
    <w:p>
      <w:pPr>
        <w:spacing w:after="0" w:line="216" w:lineRule="exact"/>
        <w:rPr>
          <w:sz w:val="20"/>
          <w:szCs w:val="20"/>
          <w:color w:val="auto"/>
        </w:rPr>
      </w:pPr>
    </w:p>
    <w:p>
      <w:pPr>
        <w:spacing w:after="0"/>
        <w:tabs>
          <w:tab w:leader="none" w:pos="1980" w:val="left"/>
        </w:tabs>
        <w:rPr>
          <w:sz w:val="20"/>
          <w:szCs w:val="20"/>
          <w:color w:val="auto"/>
        </w:rPr>
      </w:pPr>
      <w:r>
        <w:rPr>
          <w:rFonts w:ascii="Arial" w:cs="Arial" w:eastAsia="Arial" w:hAnsi="Arial"/>
          <w:sz w:val="20"/>
          <w:szCs w:val="20"/>
          <w:u w:val="single" w:color="auto"/>
          <w:color w:val="auto"/>
        </w:rPr>
        <w:t>India Borrower</w:t>
      </w:r>
      <w:r>
        <w:rPr>
          <w:rFonts w:ascii="Arial" w:cs="Arial" w:eastAsia="Arial" w:hAnsi="Arial"/>
          <w:sz w:val="20"/>
          <w:szCs w:val="20"/>
          <w:color w:val="auto"/>
        </w:rPr>
        <w:t>:</w:t>
      </w:r>
      <w:r>
        <w:rPr>
          <w:sz w:val="20"/>
          <w:szCs w:val="20"/>
          <w:color w:val="auto"/>
        </w:rPr>
        <w:tab/>
      </w:r>
      <w:r>
        <w:rPr>
          <w:rFonts w:ascii="Arial" w:cs="Arial" w:eastAsia="Arial" w:hAnsi="Arial"/>
          <w:sz w:val="18"/>
          <w:szCs w:val="18"/>
          <w:color w:val="auto"/>
        </w:rPr>
        <w:t>Euronet services India PVT LTD.</w:t>
      </w:r>
    </w:p>
    <w:p>
      <w:pPr>
        <w:spacing w:after="0" w:line="200" w:lineRule="exact"/>
        <w:rPr>
          <w:sz w:val="20"/>
          <w:szCs w:val="20"/>
          <w:color w:val="auto"/>
        </w:rPr>
      </w:pPr>
    </w:p>
    <w:p>
      <w:pPr>
        <w:spacing w:after="0" w:line="232" w:lineRule="exact"/>
        <w:rPr>
          <w:sz w:val="20"/>
          <w:szCs w:val="20"/>
          <w:color w:val="auto"/>
        </w:rPr>
      </w:pPr>
    </w:p>
    <w:p>
      <w:pPr>
        <w:ind w:left="3900"/>
        <w:spacing w:after="0"/>
        <w:rPr>
          <w:sz w:val="20"/>
          <w:szCs w:val="20"/>
          <w:color w:val="auto"/>
        </w:rPr>
      </w:pPr>
      <w:r>
        <w:rPr>
          <w:rFonts w:ascii="Arial" w:cs="Arial" w:eastAsia="Arial" w:hAnsi="Arial"/>
          <w:sz w:val="20"/>
          <w:szCs w:val="20"/>
          <w:color w:val="auto"/>
        </w:rPr>
        <w:t>By:</w:t>
      </w:r>
    </w:p>
    <w:p>
      <w:pPr>
        <w:spacing w:after="0" w:line="15" w:lineRule="exact"/>
        <w:rPr>
          <w:sz w:val="20"/>
          <w:szCs w:val="20"/>
          <w:color w:val="auto"/>
        </w:rPr>
      </w:pPr>
    </w:p>
    <w:p>
      <w:pPr>
        <w:ind w:left="3900"/>
        <w:spacing w:after="0"/>
        <w:rPr>
          <w:sz w:val="20"/>
          <w:szCs w:val="20"/>
          <w:color w:val="auto"/>
        </w:rPr>
      </w:pPr>
      <w:r>
        <w:rPr>
          <w:rFonts w:ascii="Arial" w:cs="Arial" w:eastAsia="Arial" w:hAnsi="Arial"/>
          <w:sz w:val="20"/>
          <w:szCs w:val="20"/>
          <w:color w:val="auto"/>
        </w:rPr>
        <w:t>Name:</w:t>
      </w:r>
    </w:p>
    <w:p>
      <w:pPr>
        <w:ind w:left="3900"/>
        <w:spacing w:after="0"/>
        <w:rPr>
          <w:sz w:val="20"/>
          <w:szCs w:val="20"/>
          <w:color w:val="auto"/>
        </w:rPr>
      </w:pPr>
      <w:r>
        <w:rPr>
          <w:rFonts w:ascii="Arial" w:cs="Arial" w:eastAsia="Arial" w:hAnsi="Arial"/>
          <w:sz w:val="20"/>
          <w:szCs w:val="20"/>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20"/>
          <w:szCs w:val="20"/>
          <w:u w:val="single" w:color="auto"/>
          <w:color w:val="auto"/>
        </w:rPr>
        <w:t>Exhibit 2.13-7</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FORM OF TERM LOAN A NOTE</w:t>
      </w:r>
    </w:p>
    <w:p>
      <w:pPr>
        <w:spacing w:after="0" w:line="216" w:lineRule="exact"/>
        <w:rPr>
          <w:sz w:val="20"/>
          <w:szCs w:val="20"/>
          <w:color w:val="auto"/>
        </w:rPr>
      </w:pPr>
    </w:p>
    <w:p>
      <w:pPr>
        <w:ind w:left="9500"/>
        <w:spacing w:after="0"/>
        <w:rPr>
          <w:sz w:val="20"/>
          <w:szCs w:val="20"/>
          <w:color w:val="auto"/>
        </w:rPr>
      </w:pPr>
      <w:r>
        <w:rPr>
          <w:rFonts w:ascii="Arial" w:cs="Arial" w:eastAsia="Arial" w:hAnsi="Arial"/>
          <w:sz w:val="16"/>
          <w:szCs w:val="16"/>
          <w:color w:val="auto"/>
        </w:rPr>
        <w:t>____________ __, 20__</w:t>
      </w:r>
    </w:p>
    <w:p>
      <w:pPr>
        <w:spacing w:after="0" w:line="262" w:lineRule="exact"/>
        <w:rPr>
          <w:sz w:val="20"/>
          <w:szCs w:val="20"/>
          <w:color w:val="auto"/>
        </w:rPr>
      </w:pPr>
    </w:p>
    <w:p>
      <w:pPr>
        <w:ind w:right="200" w:firstLine="648"/>
        <w:spacing w:after="0" w:line="275" w:lineRule="auto"/>
        <w:rPr>
          <w:sz w:val="20"/>
          <w:szCs w:val="20"/>
          <w:color w:val="auto"/>
        </w:rPr>
      </w:pPr>
      <w:r>
        <w:rPr>
          <w:rFonts w:ascii="Arial" w:cs="Arial" w:eastAsia="Arial" w:hAnsi="Arial"/>
          <w:sz w:val="18"/>
          <w:szCs w:val="18"/>
          <w:color w:val="auto"/>
        </w:rPr>
        <w:t>FOR VALUE RECEIVED, EFT Services Holdings B.V., a corporation organized and existing under the laws of the Netherlands (the “</w:t>
      </w:r>
      <w:r>
        <w:rPr>
          <w:rFonts w:ascii="Arial" w:cs="Arial" w:eastAsia="Arial" w:hAnsi="Arial"/>
          <w:sz w:val="18"/>
          <w:szCs w:val="18"/>
          <w:u w:val="single" w:color="auto"/>
          <w:color w:val="auto"/>
        </w:rPr>
        <w:t>Term Loan A Borrower</w:t>
      </w:r>
      <w:r>
        <w:rPr>
          <w:rFonts w:ascii="Arial" w:cs="Arial" w:eastAsia="Arial" w:hAnsi="Arial"/>
          <w:sz w:val="18"/>
          <w:szCs w:val="18"/>
          <w:color w:val="auto"/>
        </w:rPr>
        <w:t>”), hereby promise to _____________________, its successors or registered assigns (the “</w:t>
      </w:r>
      <w:r>
        <w:rPr>
          <w:rFonts w:ascii="Arial" w:cs="Arial" w:eastAsia="Arial" w:hAnsi="Arial"/>
          <w:sz w:val="18"/>
          <w:szCs w:val="18"/>
          <w:u w:val="single" w:color="auto"/>
          <w:color w:val="auto"/>
        </w:rPr>
        <w:t>Term Loan A Lender</w:t>
      </w:r>
      <w:r>
        <w:rPr>
          <w:rFonts w:ascii="Arial" w:cs="Arial" w:eastAsia="Arial" w:hAnsi="Arial"/>
          <w:sz w:val="18"/>
          <w:szCs w:val="18"/>
          <w:color w:val="auto"/>
        </w:rPr>
        <w:t>”) the</w:t>
      </w:r>
    </w:p>
    <w:p>
      <w:pPr>
        <w:spacing w:after="0" w:line="1" w:lineRule="exact"/>
        <w:rPr>
          <w:sz w:val="20"/>
          <w:szCs w:val="20"/>
          <w:color w:val="auto"/>
        </w:rPr>
      </w:pPr>
    </w:p>
    <w:p>
      <w:pPr>
        <w:ind w:right="40"/>
        <w:spacing w:after="0"/>
        <w:rPr>
          <w:sz w:val="20"/>
          <w:szCs w:val="20"/>
          <w:color w:val="auto"/>
        </w:rPr>
      </w:pPr>
      <w:r>
        <w:rPr>
          <w:rFonts w:ascii="Arial" w:cs="Arial" w:eastAsia="Arial" w:hAnsi="Arial"/>
          <w:sz w:val="20"/>
          <w:szCs w:val="20"/>
          <w:color w:val="auto"/>
        </w:rPr>
        <w:t>aggregate unpaid principal amount of the Term Loan A made by the Term Loan A Lender under that certain Amended and Restated Credit Agreement, dated as of August 18, 2011 (as amended, restated, increased, supplemented or otherwise modified from time to time, the “</w:t>
      </w:r>
      <w:r>
        <w:rPr>
          <w:rFonts w:ascii="Arial" w:cs="Arial" w:eastAsia="Arial" w:hAnsi="Arial"/>
          <w:sz w:val="20"/>
          <w:szCs w:val="20"/>
          <w:u w:val="single" w:color="auto"/>
          <w:color w:val="auto"/>
        </w:rPr>
        <w:t>Credit</w:t>
      </w:r>
      <w:r>
        <w:rPr>
          <w:rFonts w:ascii="Arial" w:cs="Arial" w:eastAsia="Arial" w:hAnsi="Arial"/>
          <w:sz w:val="20"/>
          <w:szCs w:val="20"/>
          <w:color w:val="auto"/>
        </w:rPr>
        <w:t xml:space="preserve"> </w:t>
      </w:r>
      <w:r>
        <w:rPr>
          <w:rFonts w:ascii="Arial" w:cs="Arial" w:eastAsia="Arial" w:hAnsi="Arial"/>
          <w:sz w:val="20"/>
          <w:szCs w:val="20"/>
          <w:u w:val="single" w:color="auto"/>
          <w:color w:val="auto"/>
        </w:rPr>
        <w:t>Agreement</w:t>
      </w:r>
      <w:r>
        <w:rPr>
          <w:rFonts w:ascii="Arial" w:cs="Arial" w:eastAsia="Arial" w:hAnsi="Arial"/>
          <w:sz w:val="20"/>
          <w:szCs w:val="20"/>
          <w:color w:val="auto"/>
        </w:rPr>
        <w:t>”) among Euronet Worldwide, Inc., a Delaware corporation, and certain other Subsidiaries and Affiliates, as Borrowers, certain Subsidiaries and Affiliates, as Guarantors, the lenders from time to time party thereto (the “</w:t>
      </w:r>
      <w:r>
        <w:rPr>
          <w:rFonts w:ascii="Arial" w:cs="Arial" w:eastAsia="Arial" w:hAnsi="Arial"/>
          <w:sz w:val="20"/>
          <w:szCs w:val="20"/>
          <w:u w:val="single" w:color="auto"/>
          <w:color w:val="auto"/>
        </w:rPr>
        <w:t>Lenders</w:t>
      </w:r>
      <w:r>
        <w:rPr>
          <w:rFonts w:ascii="Arial" w:cs="Arial" w:eastAsia="Arial" w:hAnsi="Arial"/>
          <w:sz w:val="20"/>
          <w:szCs w:val="20"/>
          <w:color w:val="auto"/>
        </w:rPr>
        <w:t xml:space="preserve"> ”) and Bank of America, N.A., as administrative agent (in such capacity, the “</w:t>
      </w:r>
      <w:r>
        <w:rPr>
          <w:rFonts w:ascii="Arial" w:cs="Arial" w:eastAsia="Arial" w:hAnsi="Arial"/>
          <w:sz w:val="20"/>
          <w:szCs w:val="20"/>
          <w:u w:val="single" w:color="auto"/>
          <w:color w:val="auto"/>
        </w:rPr>
        <w:t>Administrative Agent</w:t>
      </w:r>
      <w:r>
        <w:rPr>
          <w:rFonts w:ascii="Arial" w:cs="Arial" w:eastAsia="Arial" w:hAnsi="Arial"/>
          <w:sz w:val="20"/>
          <w:szCs w:val="20"/>
          <w:color w:val="auto"/>
        </w:rPr>
        <w:t>”). Capitalized terms used but not otherwise defined herein have the meanings provided in the Credit Agreement.</w:t>
      </w:r>
    </w:p>
    <w:p>
      <w:pPr>
        <w:spacing w:after="0" w:line="198" w:lineRule="exact"/>
        <w:rPr>
          <w:sz w:val="20"/>
          <w:szCs w:val="20"/>
          <w:color w:val="auto"/>
        </w:rPr>
      </w:pPr>
    </w:p>
    <w:p>
      <w:pPr>
        <w:ind w:right="100" w:firstLine="648"/>
        <w:spacing w:after="0" w:line="259" w:lineRule="auto"/>
        <w:rPr>
          <w:sz w:val="20"/>
          <w:szCs w:val="20"/>
          <w:color w:val="auto"/>
        </w:rPr>
      </w:pPr>
      <w:r>
        <w:rPr>
          <w:rFonts w:ascii="Arial" w:cs="Arial" w:eastAsia="Arial" w:hAnsi="Arial"/>
          <w:sz w:val="19"/>
          <w:szCs w:val="19"/>
          <w:color w:val="auto"/>
        </w:rPr>
        <w:t>The Term Loan A Borrower promises to pay interest on the unpaid principal amount of the Term Loan A made by the Term Loan A Lender from the date of such Term Loan A until such principal amount is paid in full, at such interest rates and at such times as provided in the Credit Agreement. All payments of principal and interest shall be made to the Administrative Agent for the account of the Term Loan A Lender, at the Administrative Agent's Office, in Dollars in immediately available funds. If any amount is not paid in full when due hereunder, such unpaid amount shall bear interest, to be paid upon demand, from the due date thereof until the date of actual payment (before as well as after judgment) computed at the applicable per annum rate set forth in the Credit Agreement.</w:t>
      </w:r>
    </w:p>
    <w:p>
      <w:pPr>
        <w:spacing w:after="0" w:line="179" w:lineRule="exact"/>
        <w:rPr>
          <w:sz w:val="20"/>
          <w:szCs w:val="20"/>
          <w:color w:val="auto"/>
        </w:rPr>
      </w:pPr>
    </w:p>
    <w:p>
      <w:pPr>
        <w:ind w:right="140" w:firstLine="648"/>
        <w:spacing w:after="0" w:line="244" w:lineRule="auto"/>
        <w:rPr>
          <w:sz w:val="20"/>
          <w:szCs w:val="20"/>
          <w:color w:val="auto"/>
        </w:rPr>
      </w:pPr>
      <w:r>
        <w:rPr>
          <w:rFonts w:ascii="Arial" w:cs="Arial" w:eastAsia="Arial" w:hAnsi="Arial"/>
          <w:sz w:val="20"/>
          <w:szCs w:val="20"/>
          <w:color w:val="auto"/>
        </w:rPr>
        <w:t>This Term Loan A Note is one of the Notes referred to in the Credit Agreement and is entitled to the benefits thereof and may be prepaid in whole or in part subject to the terms and conditions provided therein. The Term Loan A made by the Term Loan A Lender may be evidenced by one or more loan accounts or records maintained by the Term Loan A Lender in the ordinary course of business. The Term Loan A Lender may also attach schedules to this Term Loan A Note and endorse thereon the date, amount and maturity of its Term Loan A and payments with respect thereto.</w:t>
      </w:r>
    </w:p>
    <w:p>
      <w:pPr>
        <w:spacing w:after="0" w:line="195" w:lineRule="exact"/>
        <w:rPr>
          <w:sz w:val="20"/>
          <w:szCs w:val="20"/>
          <w:color w:val="auto"/>
        </w:rPr>
      </w:pPr>
    </w:p>
    <w:p>
      <w:pPr>
        <w:ind w:right="520" w:firstLine="648"/>
        <w:spacing w:after="0" w:line="260" w:lineRule="auto"/>
        <w:rPr>
          <w:sz w:val="20"/>
          <w:szCs w:val="20"/>
          <w:color w:val="auto"/>
        </w:rPr>
      </w:pPr>
      <w:r>
        <w:rPr>
          <w:rFonts w:ascii="Arial" w:cs="Arial" w:eastAsia="Arial" w:hAnsi="Arial"/>
          <w:sz w:val="20"/>
          <w:szCs w:val="20"/>
          <w:color w:val="auto"/>
        </w:rPr>
        <w:t>Upon the occurrence and continuation of an Event of Default, all amounts then remaining unpaid on this Term Loan A Note shall become, or may be declared to be, immediately due and payable as</w:t>
      </w:r>
    </w:p>
    <w:p>
      <w:pPr>
        <w:sectPr>
          <w:pgSz w:w="11900" w:h="16838" w:orient="portrait"/>
          <w:cols w:equalWidth="0" w:num="1">
            <w:col w:w="11420"/>
          </w:cols>
          <w:pgMar w:left="240" w:top="365" w:right="239" w:bottom="1440" w:gutter="0" w:footer="0" w:header="0"/>
        </w:sectPr>
      </w:pPr>
    </w:p>
    <w:bookmarkStart w:id="315" w:name="page316"/>
    <w:bookmarkEnd w:id="315"/>
    <w:p>
      <w:pPr>
        <w:ind w:right="20"/>
        <w:spacing w:after="0" w:line="240" w:lineRule="exact"/>
        <w:rPr>
          <w:sz w:val="20"/>
          <w:szCs w:val="20"/>
          <w:color w:val="auto"/>
        </w:rPr>
      </w:pPr>
      <w:r>
        <w:rPr>
          <w:rFonts w:ascii="Arial" w:cs="Arial" w:eastAsia="Arial" w:hAnsi="Arial"/>
          <w:sz w:val="18"/>
          <w:szCs w:val="18"/>
          <w:color w:val="auto"/>
        </w:rPr>
        <w:t>provided in the Credit Agreement, without diligence, presentment, protest and demand or notice of protest, demand, dishonor and non</w:t>
      </w:r>
      <w:r>
        <w:rPr>
          <w:rFonts w:ascii="MS PGothic" w:cs="MS PGothic" w:eastAsia="MS PGothic" w:hAnsi="MS PGothic"/>
          <w:sz w:val="18"/>
          <w:szCs w:val="18"/>
          <w:color w:val="auto"/>
        </w:rPr>
        <w:t>‑</w:t>
      </w:r>
      <w:r>
        <w:rPr>
          <w:rFonts w:ascii="Arial" w:cs="Arial" w:eastAsia="Arial" w:hAnsi="Arial"/>
          <w:sz w:val="18"/>
          <w:szCs w:val="18"/>
          <w:color w:val="auto"/>
        </w:rPr>
        <w:t>payment of this Term Loan A Note, all of which are hereby waived by the Term Loan A Borrower, for itself and its successors and assigns.</w:t>
      </w:r>
    </w:p>
    <w:p>
      <w:pPr>
        <w:spacing w:after="0" w:line="196" w:lineRule="exact"/>
        <w:rPr>
          <w:sz w:val="20"/>
          <w:szCs w:val="20"/>
          <w:color w:val="auto"/>
        </w:rPr>
      </w:pPr>
    </w:p>
    <w:p>
      <w:pPr>
        <w:ind w:right="120" w:firstLine="648"/>
        <w:spacing w:after="0" w:line="260" w:lineRule="auto"/>
        <w:rPr>
          <w:sz w:val="20"/>
          <w:szCs w:val="20"/>
          <w:color w:val="auto"/>
        </w:rPr>
      </w:pPr>
      <w:r>
        <w:rPr>
          <w:rFonts w:ascii="Arial" w:cs="Arial" w:eastAsia="Arial" w:hAnsi="Arial"/>
          <w:sz w:val="20"/>
          <w:szCs w:val="20"/>
          <w:color w:val="auto"/>
        </w:rPr>
        <w:t>THIS Tranche B Term Loan NOTE SHALL BE GOVERNED BY, AND CONSTRUED IN ACCORDANCE WITH, THE LAWS OF THE STATE OF NEW YORK.</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250"/>
        </w:trPr>
        <w:tc>
          <w:tcPr>
            <w:tcW w:w="1280" w:type="dxa"/>
            <w:vAlign w:val="bottom"/>
          </w:tcPr>
          <w:p>
            <w:pPr>
              <w:spacing w:after="0"/>
              <w:rPr>
                <w:sz w:val="21"/>
                <w:szCs w:val="21"/>
                <w:color w:val="auto"/>
              </w:rPr>
            </w:pPr>
          </w:p>
        </w:tc>
        <w:tc>
          <w:tcPr>
            <w:tcW w:w="7160" w:type="dxa"/>
            <w:vAlign w:val="bottom"/>
            <w:gridSpan w:val="3"/>
          </w:tcPr>
          <w:p>
            <w:pPr>
              <w:ind w:left="2620"/>
              <w:spacing w:after="0"/>
              <w:rPr>
                <w:sz w:val="20"/>
                <w:szCs w:val="20"/>
                <w:color w:val="auto"/>
              </w:rPr>
            </w:pPr>
            <w:r>
              <w:rPr>
                <w:rFonts w:ascii="Arial" w:cs="Arial" w:eastAsia="Arial" w:hAnsi="Arial"/>
                <w:sz w:val="20"/>
                <w:szCs w:val="20"/>
                <w:color w:val="auto"/>
              </w:rPr>
              <w:t>[Remainder of Page Intentionally Left Blank]</w:t>
            </w:r>
          </w:p>
        </w:tc>
      </w:tr>
      <w:tr>
        <w:trPr>
          <w:trHeight w:val="425"/>
        </w:trPr>
        <w:tc>
          <w:tcPr>
            <w:tcW w:w="1280" w:type="dxa"/>
            <w:vAlign w:val="bottom"/>
          </w:tcPr>
          <w:p>
            <w:pPr>
              <w:spacing w:after="0"/>
              <w:rPr>
                <w:sz w:val="20"/>
                <w:szCs w:val="20"/>
                <w:color w:val="auto"/>
              </w:rPr>
            </w:pPr>
            <w:r>
              <w:rPr>
                <w:rFonts w:ascii="Arial" w:cs="Arial" w:eastAsia="Arial" w:hAnsi="Arial"/>
                <w:sz w:val="20"/>
                <w:szCs w:val="20"/>
                <w:color w:val="auto"/>
              </w:rPr>
              <w:t>Borrower:</w:t>
            </w:r>
          </w:p>
        </w:tc>
        <w:tc>
          <w:tcPr>
            <w:tcW w:w="7160" w:type="dxa"/>
            <w:vAlign w:val="bottom"/>
            <w:gridSpan w:val="3"/>
          </w:tcPr>
          <w:p>
            <w:pPr>
              <w:ind w:left="440"/>
              <w:spacing w:after="0"/>
              <w:rPr>
                <w:sz w:val="20"/>
                <w:szCs w:val="20"/>
                <w:color w:val="auto"/>
              </w:rPr>
            </w:pPr>
            <w:r>
              <w:rPr>
                <w:rFonts w:ascii="Arial" w:cs="Arial" w:eastAsia="Arial" w:hAnsi="Arial"/>
                <w:sz w:val="20"/>
                <w:szCs w:val="20"/>
                <w:color w:val="auto"/>
              </w:rPr>
              <w:t>EFT SERVICES HOLDINGS B.V., a corporation</w:t>
            </w:r>
          </w:p>
        </w:tc>
      </w:tr>
      <w:tr>
        <w:trPr>
          <w:trHeight w:val="250"/>
        </w:trPr>
        <w:tc>
          <w:tcPr>
            <w:tcW w:w="1280" w:type="dxa"/>
            <w:vAlign w:val="bottom"/>
          </w:tcPr>
          <w:p>
            <w:pPr>
              <w:spacing w:after="0"/>
              <w:rPr>
                <w:sz w:val="21"/>
                <w:szCs w:val="21"/>
                <w:color w:val="auto"/>
              </w:rPr>
            </w:pPr>
          </w:p>
        </w:tc>
        <w:tc>
          <w:tcPr>
            <w:tcW w:w="7160" w:type="dxa"/>
            <w:vAlign w:val="bottom"/>
            <w:gridSpan w:val="3"/>
          </w:tcPr>
          <w:p>
            <w:pPr>
              <w:ind w:left="2620"/>
              <w:spacing w:after="0"/>
              <w:rPr>
                <w:sz w:val="20"/>
                <w:szCs w:val="20"/>
                <w:color w:val="auto"/>
              </w:rPr>
            </w:pPr>
            <w:r>
              <w:rPr>
                <w:rFonts w:ascii="Arial" w:cs="Arial" w:eastAsia="Arial" w:hAnsi="Arial"/>
                <w:sz w:val="20"/>
                <w:szCs w:val="20"/>
                <w:color w:val="auto"/>
                <w:w w:val="89"/>
              </w:rPr>
              <w:t>organized and existing under the laws of the Netherlands</w:t>
            </w:r>
          </w:p>
        </w:tc>
      </w:tr>
      <w:tr>
        <w:trPr>
          <w:trHeight w:val="641"/>
        </w:trPr>
        <w:tc>
          <w:tcPr>
            <w:tcW w:w="1280" w:type="dxa"/>
            <w:vAlign w:val="bottom"/>
          </w:tcPr>
          <w:p>
            <w:pPr>
              <w:spacing w:after="0"/>
              <w:rPr>
                <w:sz w:val="24"/>
                <w:szCs w:val="24"/>
                <w:color w:val="auto"/>
              </w:rPr>
            </w:pPr>
          </w:p>
        </w:tc>
        <w:tc>
          <w:tcPr>
            <w:tcW w:w="7160" w:type="dxa"/>
            <w:vAlign w:val="bottom"/>
            <w:gridSpan w:val="3"/>
          </w:tcPr>
          <w:p>
            <w:pPr>
              <w:ind w:left="2620"/>
              <w:spacing w:after="0"/>
              <w:rPr>
                <w:sz w:val="20"/>
                <w:szCs w:val="20"/>
                <w:color w:val="auto"/>
              </w:rPr>
            </w:pPr>
            <w:r>
              <w:rPr>
                <w:rFonts w:ascii="Arial" w:cs="Arial" w:eastAsia="Arial" w:hAnsi="Arial"/>
                <w:sz w:val="20"/>
                <w:szCs w:val="20"/>
                <w:color w:val="auto"/>
              </w:rPr>
              <w:t>By:</w:t>
            </w:r>
          </w:p>
        </w:tc>
      </w:tr>
      <w:tr>
        <w:trPr>
          <w:trHeight w:val="230"/>
        </w:trPr>
        <w:tc>
          <w:tcPr>
            <w:tcW w:w="1280" w:type="dxa"/>
            <w:vAlign w:val="bottom"/>
          </w:tcPr>
          <w:p>
            <w:pPr>
              <w:spacing w:after="0"/>
              <w:rPr>
                <w:sz w:val="19"/>
                <w:szCs w:val="19"/>
                <w:color w:val="auto"/>
              </w:rPr>
            </w:pPr>
          </w:p>
        </w:tc>
        <w:tc>
          <w:tcPr>
            <w:tcW w:w="7160" w:type="dxa"/>
            <w:vAlign w:val="bottom"/>
            <w:gridSpan w:val="3"/>
          </w:tcPr>
          <w:p>
            <w:pPr>
              <w:ind w:left="2620"/>
              <w:spacing w:after="0"/>
              <w:rPr>
                <w:sz w:val="20"/>
                <w:szCs w:val="20"/>
                <w:color w:val="auto"/>
              </w:rPr>
            </w:pPr>
            <w:r>
              <w:rPr>
                <w:rFonts w:ascii="Arial" w:cs="Arial" w:eastAsia="Arial" w:hAnsi="Arial"/>
                <w:sz w:val="20"/>
                <w:szCs w:val="20"/>
                <w:color w:val="auto"/>
              </w:rPr>
              <w:t>Name:</w:t>
            </w:r>
          </w:p>
        </w:tc>
      </w:tr>
      <w:tr>
        <w:trPr>
          <w:trHeight w:val="250"/>
        </w:trPr>
        <w:tc>
          <w:tcPr>
            <w:tcW w:w="1280" w:type="dxa"/>
            <w:vAlign w:val="bottom"/>
          </w:tcPr>
          <w:p>
            <w:pPr>
              <w:spacing w:after="0"/>
              <w:rPr>
                <w:sz w:val="21"/>
                <w:szCs w:val="21"/>
                <w:color w:val="auto"/>
              </w:rPr>
            </w:pPr>
          </w:p>
        </w:tc>
        <w:tc>
          <w:tcPr>
            <w:tcW w:w="7160" w:type="dxa"/>
            <w:vAlign w:val="bottom"/>
            <w:gridSpan w:val="3"/>
          </w:tcPr>
          <w:p>
            <w:pPr>
              <w:ind w:left="2620"/>
              <w:spacing w:after="0"/>
              <w:rPr>
                <w:sz w:val="20"/>
                <w:szCs w:val="20"/>
                <w:color w:val="auto"/>
              </w:rPr>
            </w:pPr>
            <w:r>
              <w:rPr>
                <w:rFonts w:ascii="Arial" w:cs="Arial" w:eastAsia="Arial" w:hAnsi="Arial"/>
                <w:sz w:val="20"/>
                <w:szCs w:val="20"/>
                <w:color w:val="auto"/>
              </w:rPr>
              <w:t>Title:</w:t>
            </w:r>
          </w:p>
        </w:tc>
      </w:tr>
      <w:tr>
        <w:trPr>
          <w:trHeight w:val="833"/>
        </w:trPr>
        <w:tc>
          <w:tcPr>
            <w:tcW w:w="1280" w:type="dxa"/>
            <w:vAlign w:val="bottom"/>
          </w:tcPr>
          <w:p>
            <w:pPr>
              <w:spacing w:after="0"/>
              <w:rPr>
                <w:sz w:val="24"/>
                <w:szCs w:val="24"/>
                <w:color w:val="auto"/>
              </w:rPr>
            </w:pPr>
          </w:p>
        </w:tc>
        <w:tc>
          <w:tcPr>
            <w:tcW w:w="3860" w:type="dxa"/>
            <w:vAlign w:val="bottom"/>
          </w:tcPr>
          <w:p>
            <w:pPr>
              <w:spacing w:after="0"/>
              <w:rPr>
                <w:sz w:val="24"/>
                <w:szCs w:val="24"/>
                <w:color w:val="auto"/>
              </w:rPr>
            </w:pPr>
          </w:p>
        </w:tc>
        <w:tc>
          <w:tcPr>
            <w:tcW w:w="3300" w:type="dxa"/>
            <w:vAlign w:val="bottom"/>
            <w:gridSpan w:val="2"/>
          </w:tcPr>
          <w:p>
            <w:pPr>
              <w:jc w:val="center"/>
              <w:ind w:right="2160"/>
              <w:spacing w:after="0"/>
              <w:rPr>
                <w:sz w:val="20"/>
                <w:szCs w:val="20"/>
                <w:color w:val="auto"/>
              </w:rPr>
            </w:pPr>
            <w:r>
              <w:rPr>
                <w:rFonts w:ascii="Arial" w:cs="Arial" w:eastAsia="Arial" w:hAnsi="Arial"/>
                <w:sz w:val="20"/>
                <w:szCs w:val="20"/>
                <w:color w:val="auto"/>
                <w:w w:val="93"/>
              </w:rPr>
              <w:t>Exhibit 2.14-1</w:t>
            </w:r>
          </w:p>
        </w:tc>
      </w:tr>
      <w:tr>
        <w:trPr>
          <w:trHeight w:val="20"/>
        </w:trPr>
        <w:tc>
          <w:tcPr>
            <w:tcW w:w="1280" w:type="dxa"/>
            <w:vAlign w:val="bottom"/>
          </w:tcPr>
          <w:p>
            <w:pPr>
              <w:spacing w:after="0" w:line="20" w:lineRule="exact"/>
              <w:rPr>
                <w:sz w:val="1"/>
                <w:szCs w:val="1"/>
                <w:color w:val="auto"/>
              </w:rPr>
            </w:pPr>
          </w:p>
        </w:tc>
        <w:tc>
          <w:tcPr>
            <w:tcW w:w="386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r>
      <w:tr>
        <w:trPr>
          <w:trHeight w:val="470"/>
        </w:trPr>
        <w:tc>
          <w:tcPr>
            <w:tcW w:w="1280" w:type="dxa"/>
            <w:vAlign w:val="bottom"/>
          </w:tcPr>
          <w:p>
            <w:pPr>
              <w:spacing w:after="0"/>
              <w:rPr>
                <w:sz w:val="24"/>
                <w:szCs w:val="24"/>
                <w:color w:val="auto"/>
              </w:rPr>
            </w:pPr>
          </w:p>
        </w:tc>
        <w:tc>
          <w:tcPr>
            <w:tcW w:w="7160" w:type="dxa"/>
            <w:vAlign w:val="bottom"/>
            <w:gridSpan w:val="3"/>
          </w:tcPr>
          <w:p>
            <w:pPr>
              <w:jc w:val="center"/>
              <w:ind w:left="1621"/>
              <w:spacing w:after="0"/>
              <w:rPr>
                <w:sz w:val="20"/>
                <w:szCs w:val="20"/>
                <w:color w:val="auto"/>
              </w:rPr>
            </w:pPr>
            <w:r>
              <w:rPr>
                <w:rFonts w:ascii="Arial" w:cs="Arial" w:eastAsia="Arial" w:hAnsi="Arial"/>
                <w:sz w:val="20"/>
                <w:szCs w:val="20"/>
                <w:color w:val="auto"/>
                <w:w w:val="89"/>
              </w:rPr>
              <w:t>Form OF Designated Borrower Request and Assumption Agreement</w:t>
            </w:r>
          </w:p>
        </w:tc>
      </w:tr>
    </w:tbl>
    <w:p>
      <w:pPr>
        <w:spacing w:after="0" w:line="200" w:lineRule="exact"/>
        <w:rPr>
          <w:sz w:val="20"/>
          <w:szCs w:val="20"/>
          <w:color w:val="auto"/>
        </w:rPr>
      </w:pP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THIS Designated Borrower Request and Assumption Agreement (this “</w:t>
      </w:r>
      <w:r>
        <w:rPr>
          <w:rFonts w:ascii="Arial" w:cs="Arial" w:eastAsia="Arial" w:hAnsi="Arial"/>
          <w:sz w:val="18"/>
          <w:szCs w:val="18"/>
          <w:u w:val="single" w:color="auto"/>
          <w:color w:val="auto"/>
        </w:rPr>
        <w:t>Agreement</w:t>
      </w:r>
      <w:r>
        <w:rPr>
          <w:rFonts w:ascii="Arial" w:cs="Arial" w:eastAsia="Arial" w:hAnsi="Arial"/>
          <w:sz w:val="18"/>
          <w:szCs w:val="18"/>
          <w:color w:val="auto"/>
        </w:rPr>
        <w:t>”) dated as of ______________ is by and between</w:t>
      </w:r>
    </w:p>
    <w:p>
      <w:pPr>
        <w:spacing w:after="0" w:line="39"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 a ___________________ (the “</w:t>
      </w:r>
      <w:r>
        <w:rPr>
          <w:rFonts w:ascii="Arial" w:cs="Arial" w:eastAsia="Arial" w:hAnsi="Arial"/>
          <w:sz w:val="18"/>
          <w:szCs w:val="18"/>
          <w:u w:val="single" w:color="auto"/>
          <w:color w:val="auto"/>
        </w:rPr>
        <w:t>Applicant Borrower</w:t>
      </w:r>
      <w:r>
        <w:rPr>
          <w:rFonts w:ascii="Arial" w:cs="Arial" w:eastAsia="Arial" w:hAnsi="Arial"/>
          <w:sz w:val="18"/>
          <w:szCs w:val="18"/>
          <w:color w:val="auto"/>
        </w:rPr>
        <w:t>”), and Bank of America, N.A., in its capacity as Administrative</w:t>
      </w:r>
    </w:p>
    <w:p>
      <w:pPr>
        <w:spacing w:after="0" w:line="23" w:lineRule="exact"/>
        <w:rPr>
          <w:sz w:val="20"/>
          <w:szCs w:val="20"/>
          <w:color w:val="auto"/>
        </w:rPr>
      </w:pPr>
    </w:p>
    <w:p>
      <w:pPr>
        <w:spacing w:after="0" w:line="256" w:lineRule="auto"/>
        <w:rPr>
          <w:sz w:val="20"/>
          <w:szCs w:val="20"/>
          <w:color w:val="auto"/>
        </w:rPr>
      </w:pPr>
      <w:r>
        <w:rPr>
          <w:rFonts w:ascii="Arial" w:cs="Arial" w:eastAsia="Arial" w:hAnsi="Arial"/>
          <w:sz w:val="19"/>
          <w:szCs w:val="19"/>
          <w:color w:val="auto"/>
        </w:rPr>
        <w:t>Agent under that certain Amended and Restated Credit Agreement, dated as of August 18, 2011 (as amended, restated, increased, supplemented or otherwise modified from time to time, the “</w:t>
      </w:r>
      <w:r>
        <w:rPr>
          <w:rFonts w:ascii="Arial" w:cs="Arial" w:eastAsia="Arial" w:hAnsi="Arial"/>
          <w:sz w:val="19"/>
          <w:szCs w:val="19"/>
          <w:u w:val="single" w:color="auto"/>
          <w:color w:val="auto"/>
        </w:rPr>
        <w:t>Credit Agreement</w:t>
      </w:r>
      <w:r>
        <w:rPr>
          <w:rFonts w:ascii="Arial" w:cs="Arial" w:eastAsia="Arial" w:hAnsi="Arial"/>
          <w:sz w:val="19"/>
          <w:szCs w:val="19"/>
          <w:color w:val="auto"/>
        </w:rPr>
        <w:t>”) among Euronet Worldwide, Inc., a Delaware corporation (the “</w:t>
      </w:r>
      <w:r>
        <w:rPr>
          <w:rFonts w:ascii="Arial" w:cs="Arial" w:eastAsia="Arial" w:hAnsi="Arial"/>
          <w:sz w:val="19"/>
          <w:szCs w:val="19"/>
          <w:u w:val="single" w:color="auto"/>
          <w:color w:val="auto"/>
        </w:rPr>
        <w:t>Company</w:t>
      </w:r>
      <w:r>
        <w:rPr>
          <w:rFonts w:ascii="Arial" w:cs="Arial" w:eastAsia="Arial" w:hAnsi="Arial"/>
          <w:sz w:val="19"/>
          <w:szCs w:val="19"/>
          <w:color w:val="auto"/>
        </w:rPr>
        <w:t>”), and certain other Subsidiaries and Affiliates, as Borrowers, certain Subsidiaries and Affiliates, as Guarantors, the lenders from time to time party thereto (the “</w:t>
      </w:r>
      <w:r>
        <w:rPr>
          <w:rFonts w:ascii="Arial" w:cs="Arial" w:eastAsia="Arial" w:hAnsi="Arial"/>
          <w:sz w:val="19"/>
          <w:szCs w:val="19"/>
          <w:u w:val="single" w:color="auto"/>
          <w:color w:val="auto"/>
        </w:rPr>
        <w:t>Lenders</w:t>
      </w:r>
      <w:r>
        <w:rPr>
          <w:rFonts w:ascii="Arial" w:cs="Arial" w:eastAsia="Arial" w:hAnsi="Arial"/>
          <w:sz w:val="19"/>
          <w:szCs w:val="19"/>
          <w:color w:val="auto"/>
        </w:rPr>
        <w:t>”) and Bank of America, N.A., as administrative agent (in such capacity, the “</w:t>
      </w:r>
      <w:r>
        <w:rPr>
          <w:rFonts w:ascii="Arial" w:cs="Arial" w:eastAsia="Arial" w:hAnsi="Arial"/>
          <w:sz w:val="19"/>
          <w:szCs w:val="19"/>
          <w:u w:val="single" w:color="auto"/>
          <w:color w:val="auto"/>
        </w:rPr>
        <w:t>Administrative Agent</w:t>
      </w:r>
      <w:r>
        <w:rPr>
          <w:rFonts w:ascii="Arial" w:cs="Arial" w:eastAsia="Arial" w:hAnsi="Arial"/>
          <w:sz w:val="19"/>
          <w:szCs w:val="19"/>
          <w:color w:val="auto"/>
        </w:rPr>
        <w:t>”). Capitalized terms used but not otherwise defined herein have the meanings provided in the Credit Agreement.</w:t>
      </w:r>
    </w:p>
    <w:p>
      <w:pPr>
        <w:spacing w:after="0" w:line="18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Applicant Borrower has indicated its desire to become a Designated Borrower pursuant to Section 2.14 of the Credit Agreement.</w:t>
      </w:r>
    </w:p>
    <w:p>
      <w:pPr>
        <w:spacing w:after="0" w:line="39" w:lineRule="exact"/>
        <w:rPr>
          <w:sz w:val="20"/>
          <w:szCs w:val="20"/>
          <w:color w:val="auto"/>
        </w:rPr>
      </w:pPr>
    </w:p>
    <w:p>
      <w:pPr>
        <w:spacing w:after="0"/>
        <w:rPr>
          <w:sz w:val="20"/>
          <w:szCs w:val="20"/>
          <w:color w:val="auto"/>
        </w:rPr>
      </w:pPr>
      <w:r>
        <w:rPr>
          <w:rFonts w:ascii="Arial" w:cs="Arial" w:eastAsia="Arial" w:hAnsi="Arial"/>
          <w:sz w:val="20"/>
          <w:szCs w:val="20"/>
          <w:color w:val="auto"/>
        </w:rPr>
        <w:t>Accordingly, the Applicant Borrower hereby agrees with the Administrative Agent, for the benefit of the Lenders, as follows:</w:t>
      </w:r>
    </w:p>
    <w:p>
      <w:pPr>
        <w:spacing w:after="0" w:line="200" w:lineRule="exact"/>
        <w:rPr>
          <w:sz w:val="20"/>
          <w:szCs w:val="20"/>
          <w:color w:val="auto"/>
        </w:rPr>
      </w:pPr>
    </w:p>
    <w:p>
      <w:pPr>
        <w:ind w:left="660" w:right="200" w:firstLine="645"/>
        <w:spacing w:after="0" w:line="260" w:lineRule="auto"/>
        <w:tabs>
          <w:tab w:leader="none" w:pos="1637" w:val="left"/>
        </w:tabs>
        <w:numPr>
          <w:ilvl w:val="0"/>
          <w:numId w:val="293"/>
        </w:numPr>
        <w:rPr>
          <w:rFonts w:ascii="Arial" w:cs="Arial" w:eastAsia="Arial" w:hAnsi="Arial"/>
          <w:sz w:val="20"/>
          <w:szCs w:val="20"/>
          <w:color w:val="auto"/>
        </w:rPr>
      </w:pPr>
      <w:r>
        <w:rPr>
          <w:rFonts w:ascii="Arial" w:cs="Arial" w:eastAsia="Arial" w:hAnsi="Arial"/>
          <w:sz w:val="20"/>
          <w:szCs w:val="20"/>
          <w:color w:val="auto"/>
        </w:rPr>
        <w:t>Each of the Applicant Borrower and the Company hereby confirms, represents and warrants to the Administrative Agent and the Lenders that the Applicant Borrower is a Subsidiary of _________________.</w:t>
      </w:r>
    </w:p>
    <w:p>
      <w:pPr>
        <w:spacing w:after="0" w:line="176" w:lineRule="exact"/>
        <w:rPr>
          <w:rFonts w:ascii="Arial" w:cs="Arial" w:eastAsia="Arial" w:hAnsi="Arial"/>
          <w:sz w:val="20"/>
          <w:szCs w:val="20"/>
          <w:color w:val="auto"/>
        </w:rPr>
      </w:pPr>
    </w:p>
    <w:p>
      <w:pPr>
        <w:ind w:left="660" w:right="20" w:firstLine="645"/>
        <w:spacing w:after="0" w:line="243" w:lineRule="auto"/>
        <w:tabs>
          <w:tab w:leader="none" w:pos="1637" w:val="left"/>
        </w:tabs>
        <w:numPr>
          <w:ilvl w:val="0"/>
          <w:numId w:val="293"/>
        </w:numPr>
        <w:rPr>
          <w:rFonts w:ascii="Arial" w:cs="Arial" w:eastAsia="Arial" w:hAnsi="Arial"/>
          <w:sz w:val="20"/>
          <w:szCs w:val="20"/>
          <w:color w:val="auto"/>
        </w:rPr>
      </w:pPr>
      <w:r>
        <w:rPr>
          <w:rFonts w:ascii="Arial" w:cs="Arial" w:eastAsia="Arial" w:hAnsi="Arial"/>
          <w:sz w:val="20"/>
          <w:szCs w:val="20"/>
          <w:color w:val="auto"/>
        </w:rPr>
        <w:t>The Applicant Borrower hereby acknowledges, agrees and confirms that, by its execution of this Agreement, the Applicant Borrower will be deemed to be a party to the Credit Agreement as a “Designated Borrower” and a Designated Borrower for all purposes of the Credit Agreement and the other Credit Documents, and shall have all of the obligations of a [Domestic] [Foreign] [India] Borrower thereunder as if it has executed the Credit Agreement and the other Credit Documents. The Applicant Borrower hereby ratifies, as of the date hereof, and agrees to be bound by, all of the terms, provisions and conditions contained in the Credit Documents, including</w:t>
      </w:r>
    </w:p>
    <w:p>
      <w:pPr>
        <w:sectPr>
          <w:pgSz w:w="11900" w:h="16838" w:orient="portrait"/>
          <w:cols w:equalWidth="0" w:num="1">
            <w:col w:w="11400"/>
          </w:cols>
          <w:pgMar w:left="240" w:top="365" w:right="259" w:bottom="1440" w:gutter="0" w:footer="0" w:header="0"/>
        </w:sectPr>
      </w:pPr>
    </w:p>
    <w:bookmarkStart w:id="316" w:name="page317"/>
    <w:bookmarkEnd w:id="316"/>
    <w:p>
      <w:pPr>
        <w:ind w:left="660" w:right="520" w:hanging="4"/>
        <w:spacing w:after="0" w:line="260" w:lineRule="auto"/>
        <w:tabs>
          <w:tab w:leader="none" w:pos="896" w:val="left"/>
        </w:tabs>
        <w:numPr>
          <w:ilvl w:val="0"/>
          <w:numId w:val="294"/>
        </w:numPr>
        <w:rPr>
          <w:rFonts w:ascii="Arial" w:cs="Arial" w:eastAsia="Arial" w:hAnsi="Arial"/>
          <w:sz w:val="20"/>
          <w:szCs w:val="20"/>
          <w:color w:val="auto"/>
        </w:rPr>
      </w:pPr>
      <w:r>
        <w:rPr>
          <w:rFonts w:ascii="Arial" w:cs="Arial" w:eastAsia="Arial" w:hAnsi="Arial"/>
          <w:sz w:val="20"/>
          <w:szCs w:val="20"/>
          <w:color w:val="auto"/>
        </w:rPr>
        <w:t>all of the representations and warranties of the Credit Parties set forth in Article VI of the Credit Agreement, and (ii) all of the affirmative and negative covenants set forth in Articles VII and VIII of the Credit Agreement.</w:t>
      </w:r>
    </w:p>
    <w:p>
      <w:pPr>
        <w:spacing w:after="0" w:line="176" w:lineRule="exact"/>
        <w:rPr>
          <w:rFonts w:ascii="Arial" w:cs="Arial" w:eastAsia="Arial" w:hAnsi="Arial"/>
          <w:sz w:val="20"/>
          <w:szCs w:val="20"/>
          <w:color w:val="auto"/>
        </w:rPr>
      </w:pPr>
    </w:p>
    <w:p>
      <w:pPr>
        <w:ind w:left="1640" w:hanging="335"/>
        <w:spacing w:after="0"/>
        <w:tabs>
          <w:tab w:leader="none" w:pos="1640" w:val="left"/>
        </w:tabs>
        <w:numPr>
          <w:ilvl w:val="1"/>
          <w:numId w:val="294"/>
        </w:numPr>
        <w:rPr>
          <w:rFonts w:ascii="Arial" w:cs="Arial" w:eastAsia="Arial" w:hAnsi="Arial"/>
          <w:sz w:val="20"/>
          <w:szCs w:val="20"/>
          <w:color w:val="auto"/>
        </w:rPr>
      </w:pPr>
      <w:r>
        <w:rPr>
          <w:rFonts w:ascii="Arial" w:cs="Arial" w:eastAsia="Arial" w:hAnsi="Arial"/>
          <w:sz w:val="20"/>
          <w:szCs w:val="20"/>
          <w:color w:val="auto"/>
        </w:rPr>
        <w:t>The Applicant Borrower requests a Designated Borrower Limit of [$][€] [£][Rs][A$]__________.</w:t>
      </w:r>
    </w:p>
    <w:p>
      <w:pPr>
        <w:spacing w:after="0" w:line="215" w:lineRule="exact"/>
        <w:rPr>
          <w:rFonts w:ascii="Arial" w:cs="Arial" w:eastAsia="Arial" w:hAnsi="Arial"/>
          <w:sz w:val="20"/>
          <w:szCs w:val="20"/>
          <w:color w:val="auto"/>
        </w:rPr>
      </w:pPr>
    </w:p>
    <w:p>
      <w:pPr>
        <w:ind w:left="660" w:firstLine="645"/>
        <w:spacing w:after="0" w:line="260" w:lineRule="auto"/>
        <w:tabs>
          <w:tab w:leader="none" w:pos="1637" w:val="left"/>
        </w:tabs>
        <w:numPr>
          <w:ilvl w:val="1"/>
          <w:numId w:val="294"/>
        </w:numPr>
        <w:rPr>
          <w:rFonts w:ascii="Arial" w:cs="Arial" w:eastAsia="Arial" w:hAnsi="Arial"/>
          <w:sz w:val="20"/>
          <w:szCs w:val="20"/>
          <w:color w:val="auto"/>
        </w:rPr>
      </w:pPr>
      <w:r>
        <w:rPr>
          <w:rFonts w:ascii="Arial" w:cs="Arial" w:eastAsia="Arial" w:hAnsi="Arial"/>
          <w:sz w:val="20"/>
          <w:szCs w:val="20"/>
          <w:color w:val="auto"/>
        </w:rPr>
        <w:t>The Applicant Borrower acknowledges and confirms that it has received a copy of the Credit Agreement and the schedules and exhibits thereto.</w:t>
      </w:r>
    </w:p>
    <w:p>
      <w:pPr>
        <w:spacing w:after="0" w:line="176" w:lineRule="exact"/>
        <w:rPr>
          <w:rFonts w:ascii="Arial" w:cs="Arial" w:eastAsia="Arial" w:hAnsi="Arial"/>
          <w:sz w:val="20"/>
          <w:szCs w:val="20"/>
          <w:color w:val="auto"/>
        </w:rPr>
      </w:pPr>
    </w:p>
    <w:p>
      <w:pPr>
        <w:ind w:left="660" w:right="100" w:firstLine="645"/>
        <w:spacing w:after="0" w:line="260" w:lineRule="auto"/>
        <w:tabs>
          <w:tab w:leader="none" w:pos="1637" w:val="left"/>
        </w:tabs>
        <w:numPr>
          <w:ilvl w:val="1"/>
          <w:numId w:val="294"/>
        </w:numPr>
        <w:rPr>
          <w:rFonts w:ascii="Arial" w:cs="Arial" w:eastAsia="Arial" w:hAnsi="Arial"/>
          <w:sz w:val="19"/>
          <w:szCs w:val="19"/>
          <w:color w:val="auto"/>
        </w:rPr>
      </w:pPr>
      <w:r>
        <w:rPr>
          <w:rFonts w:ascii="Arial" w:cs="Arial" w:eastAsia="Arial" w:hAnsi="Arial"/>
          <w:sz w:val="19"/>
          <w:szCs w:val="19"/>
          <w:color w:val="auto"/>
        </w:rPr>
        <w:t>The Company confirms on behalf of the Borrowers that all of the Obligations under the Credit Agreement are, and upon the Applicant Borrower becoming a Designated Borrower shall continue to be, in full force and effect. The Company further confirms on behalf of the Borrowers that immediately upon the Applicant Borrower becoming a Designated Borrower, the term “[USD][India] Obligations,” as used in the Credit Agreement, shall include all [USD][India] Obligations of such Designated Borrower under the Credit Agreement and under each other Credit Document.</w:t>
      </w:r>
    </w:p>
    <w:p>
      <w:pPr>
        <w:spacing w:after="0" w:line="180" w:lineRule="exact"/>
        <w:rPr>
          <w:rFonts w:ascii="Arial" w:cs="Arial" w:eastAsia="Arial" w:hAnsi="Arial"/>
          <w:sz w:val="19"/>
          <w:szCs w:val="19"/>
          <w:color w:val="auto"/>
        </w:rPr>
      </w:pPr>
    </w:p>
    <w:p>
      <w:pPr>
        <w:ind w:left="660" w:right="140" w:firstLine="645"/>
        <w:spacing w:after="0" w:line="260" w:lineRule="auto"/>
        <w:tabs>
          <w:tab w:leader="none" w:pos="1637" w:val="left"/>
        </w:tabs>
        <w:numPr>
          <w:ilvl w:val="1"/>
          <w:numId w:val="294"/>
        </w:numPr>
        <w:rPr>
          <w:rFonts w:ascii="Arial" w:cs="Arial" w:eastAsia="Arial" w:hAnsi="Arial"/>
          <w:sz w:val="20"/>
          <w:szCs w:val="20"/>
          <w:color w:val="auto"/>
        </w:rPr>
      </w:pPr>
      <w:r>
        <w:rPr>
          <w:rFonts w:ascii="Arial" w:cs="Arial" w:eastAsia="Arial" w:hAnsi="Arial"/>
          <w:sz w:val="20"/>
          <w:szCs w:val="20"/>
          <w:color w:val="auto"/>
        </w:rPr>
        <w:t>The Applicant Borrower hereby agrees that upon becoming a Designated Borrower it will assume all of the [USD][India] Obligations of a [USD][India] Borrower as set forth in the Credit Agreement.</w:t>
      </w:r>
    </w:p>
    <w:p>
      <w:pPr>
        <w:spacing w:after="0" w:line="176" w:lineRule="exact"/>
        <w:rPr>
          <w:rFonts w:ascii="Arial" w:cs="Arial" w:eastAsia="Arial" w:hAnsi="Arial"/>
          <w:sz w:val="20"/>
          <w:szCs w:val="20"/>
          <w:color w:val="auto"/>
        </w:rPr>
      </w:pPr>
    </w:p>
    <w:p>
      <w:pPr>
        <w:ind w:left="660" w:right="60" w:firstLine="645"/>
        <w:spacing w:after="0" w:line="246" w:lineRule="auto"/>
        <w:tabs>
          <w:tab w:leader="none" w:pos="1637" w:val="left"/>
        </w:tabs>
        <w:numPr>
          <w:ilvl w:val="1"/>
          <w:numId w:val="294"/>
        </w:numPr>
        <w:rPr>
          <w:rFonts w:ascii="Arial" w:cs="Arial" w:eastAsia="Arial" w:hAnsi="Arial"/>
          <w:sz w:val="20"/>
          <w:szCs w:val="20"/>
          <w:color w:val="auto"/>
        </w:rPr>
      </w:pPr>
      <w:r>
        <w:rPr>
          <w:rFonts w:ascii="Arial" w:cs="Arial" w:eastAsia="Arial" w:hAnsi="Arial"/>
          <w:sz w:val="20"/>
          <w:szCs w:val="20"/>
          <w:color w:val="auto"/>
        </w:rPr>
        <w:t>The Company, on behalf of the Borrowers, and the Applicant Borrower agree that at any time and from time to time, upon the written request of the Administrative Agent, it will execute and deliver, or cause to be executed and delivered, such further documents and do such further acts and things as the Administrative Agent may reasonably request in order to effect the purposes of this Agreement.</w:t>
      </w:r>
    </w:p>
    <w:p>
      <w:pPr>
        <w:spacing w:after="0" w:line="191" w:lineRule="exact"/>
        <w:rPr>
          <w:rFonts w:ascii="Arial" w:cs="Arial" w:eastAsia="Arial" w:hAnsi="Arial"/>
          <w:sz w:val="20"/>
          <w:szCs w:val="20"/>
          <w:color w:val="auto"/>
        </w:rPr>
      </w:pPr>
    </w:p>
    <w:p>
      <w:pPr>
        <w:ind w:left="660" w:right="180" w:firstLine="645"/>
        <w:spacing w:after="0" w:line="260" w:lineRule="auto"/>
        <w:tabs>
          <w:tab w:leader="none" w:pos="1637" w:val="left"/>
        </w:tabs>
        <w:numPr>
          <w:ilvl w:val="1"/>
          <w:numId w:val="294"/>
        </w:numPr>
        <w:rPr>
          <w:rFonts w:ascii="Arial" w:cs="Arial" w:eastAsia="Arial" w:hAnsi="Arial"/>
          <w:sz w:val="20"/>
          <w:szCs w:val="20"/>
          <w:color w:val="auto"/>
        </w:rPr>
      </w:pPr>
      <w:r>
        <w:rPr>
          <w:rFonts w:ascii="Arial" w:cs="Arial" w:eastAsia="Arial" w:hAnsi="Arial"/>
          <w:sz w:val="20"/>
          <w:szCs w:val="20"/>
          <w:color w:val="auto"/>
        </w:rPr>
        <w:t>This Agreement may be executed in two or more counterparts, each of which shall constitute an original but all of which when taken together shall constitute one contract.</w:t>
      </w:r>
    </w:p>
    <w:p>
      <w:pPr>
        <w:spacing w:after="0" w:line="176" w:lineRule="exact"/>
        <w:rPr>
          <w:rFonts w:ascii="Arial" w:cs="Arial" w:eastAsia="Arial" w:hAnsi="Arial"/>
          <w:sz w:val="20"/>
          <w:szCs w:val="20"/>
          <w:color w:val="auto"/>
        </w:rPr>
      </w:pPr>
    </w:p>
    <w:p>
      <w:pPr>
        <w:ind w:left="1640" w:hanging="335"/>
        <w:spacing w:after="0"/>
        <w:tabs>
          <w:tab w:leader="none" w:pos="1640" w:val="left"/>
        </w:tabs>
        <w:numPr>
          <w:ilvl w:val="1"/>
          <w:numId w:val="294"/>
        </w:numPr>
        <w:rPr>
          <w:rFonts w:ascii="Arial" w:cs="Arial" w:eastAsia="Arial" w:hAnsi="Arial"/>
          <w:sz w:val="20"/>
          <w:szCs w:val="20"/>
          <w:color w:val="auto"/>
        </w:rPr>
      </w:pPr>
      <w:r>
        <w:rPr>
          <w:rFonts w:ascii="Arial" w:cs="Arial" w:eastAsia="Arial" w:hAnsi="Arial"/>
          <w:sz w:val="20"/>
          <w:szCs w:val="20"/>
          <w:color w:val="auto"/>
        </w:rPr>
        <w:t>This Agreement shall constitute a Credit Document under the Credit Agreement.</w:t>
      </w:r>
    </w:p>
    <w:p>
      <w:pPr>
        <w:spacing w:after="0" w:line="215" w:lineRule="exact"/>
        <w:rPr>
          <w:rFonts w:ascii="Arial" w:cs="Arial" w:eastAsia="Arial" w:hAnsi="Arial"/>
          <w:sz w:val="20"/>
          <w:szCs w:val="20"/>
          <w:color w:val="auto"/>
        </w:rPr>
      </w:pPr>
    </w:p>
    <w:p>
      <w:pPr>
        <w:ind w:left="660" w:right="220" w:firstLine="645"/>
        <w:spacing w:after="0" w:line="260" w:lineRule="auto"/>
        <w:tabs>
          <w:tab w:leader="none" w:pos="1736" w:val="left"/>
        </w:tabs>
        <w:numPr>
          <w:ilvl w:val="1"/>
          <w:numId w:val="294"/>
        </w:numPr>
        <w:rPr>
          <w:rFonts w:ascii="Arial" w:cs="Arial" w:eastAsia="Arial" w:hAnsi="Arial"/>
          <w:sz w:val="20"/>
          <w:szCs w:val="20"/>
          <w:color w:val="auto"/>
        </w:rPr>
      </w:pPr>
      <w:r>
        <w:rPr>
          <w:rFonts w:ascii="Arial" w:cs="Arial" w:eastAsia="Arial" w:hAnsi="Arial"/>
          <w:sz w:val="20"/>
          <w:szCs w:val="20"/>
          <w:color w:val="auto"/>
        </w:rPr>
        <w:t>THIS AGREEMENT SHALL BE GOVERNED BY, AND CONSTRUED AND INTERPRETED IN ACCORDANCE WITH, THE LAWS OF THE STATE OF NEW YORK.</w:t>
      </w:r>
    </w:p>
    <w:p>
      <w:pPr>
        <w:spacing w:after="0" w:line="177" w:lineRule="exact"/>
        <w:rPr>
          <w:sz w:val="20"/>
          <w:szCs w:val="20"/>
          <w:color w:val="auto"/>
        </w:rPr>
      </w:pPr>
    </w:p>
    <w:p>
      <w:pPr>
        <w:jc w:val="center"/>
        <w:ind w:right="-59"/>
        <w:spacing w:after="0"/>
        <w:rPr>
          <w:sz w:val="20"/>
          <w:szCs w:val="20"/>
          <w:color w:val="auto"/>
        </w:rPr>
      </w:pPr>
      <w:r>
        <w:rPr>
          <w:rFonts w:ascii="Arial" w:cs="Arial" w:eastAsia="Arial" w:hAnsi="Arial"/>
          <w:sz w:val="20"/>
          <w:szCs w:val="20"/>
          <w:color w:val="auto"/>
        </w:rPr>
        <w:t>[Remainder of Page Intentionally Left Blank]</w:t>
      </w:r>
    </w:p>
    <w:p>
      <w:pPr>
        <w:spacing w:after="0" w:line="16" w:lineRule="exact"/>
        <w:rPr>
          <w:sz w:val="20"/>
          <w:szCs w:val="20"/>
          <w:color w:val="auto"/>
        </w:rPr>
      </w:pPr>
    </w:p>
    <w:p>
      <w:pPr>
        <w:ind w:right="20" w:firstLine="648"/>
        <w:spacing w:after="0" w:line="260" w:lineRule="auto"/>
        <w:rPr>
          <w:sz w:val="20"/>
          <w:szCs w:val="20"/>
          <w:color w:val="auto"/>
        </w:rPr>
      </w:pPr>
      <w:r>
        <w:rPr>
          <w:rFonts w:ascii="Arial" w:cs="Arial" w:eastAsia="Arial" w:hAnsi="Arial"/>
          <w:sz w:val="19"/>
          <w:szCs w:val="19"/>
          <w:color w:val="auto"/>
        </w:rPr>
        <w:t>IN WITNESS WHEREOF, the Applicant Borrower has caused this Agreement to be duly executed by its authorized officers. Following receipt of the consent of the Required [USD] [European] [India] Revolving Lenders, the Administrative Agent, for the benefit of the Lenders, has caused the same to be accepted by its authorized officer, as of the day and year first above written.</w:t>
      </w:r>
    </w:p>
    <w:p>
      <w:pPr>
        <w:spacing w:after="0" w:line="37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600" w:type="dxa"/>
            <w:vAlign w:val="bottom"/>
            <w:gridSpan w:val="2"/>
          </w:tcPr>
          <w:p>
            <w:pPr>
              <w:spacing w:after="0"/>
              <w:rPr>
                <w:sz w:val="20"/>
                <w:szCs w:val="20"/>
                <w:color w:val="auto"/>
              </w:rPr>
            </w:pPr>
            <w:r>
              <w:rPr>
                <w:rFonts w:ascii="Arial" w:cs="Arial" w:eastAsia="Arial" w:hAnsi="Arial"/>
                <w:sz w:val="20"/>
                <w:szCs w:val="20"/>
                <w:color w:val="auto"/>
              </w:rPr>
              <w:t>APPLICANT BORROWER:</w:t>
            </w:r>
          </w:p>
        </w:tc>
        <w:tc>
          <w:tcPr>
            <w:tcW w:w="3760" w:type="dxa"/>
            <w:vAlign w:val="bottom"/>
          </w:tcPr>
          <w:p>
            <w:pPr>
              <w:ind w:left="260"/>
              <w:spacing w:after="0"/>
              <w:rPr>
                <w:sz w:val="20"/>
                <w:szCs w:val="20"/>
                <w:color w:val="auto"/>
              </w:rPr>
            </w:pPr>
            <w:r>
              <w:rPr>
                <w:rFonts w:ascii="Arial" w:cs="Arial" w:eastAsia="Arial" w:hAnsi="Arial"/>
                <w:sz w:val="20"/>
                <w:szCs w:val="20"/>
                <w:color w:val="auto"/>
              </w:rPr>
              <w:t>[Applicant Borrower],</w:t>
            </w:r>
          </w:p>
        </w:tc>
      </w:tr>
      <w:tr>
        <w:trPr>
          <w:trHeight w:val="254"/>
        </w:trPr>
        <w:tc>
          <w:tcPr>
            <w:tcW w:w="2260" w:type="dxa"/>
            <w:vAlign w:val="bottom"/>
            <w:tcBorders>
              <w:top w:val="single" w:sz="8" w:color="auto"/>
            </w:tcBorders>
          </w:tcPr>
          <w:p>
            <w:pPr>
              <w:spacing w:after="0"/>
              <w:rPr>
                <w:sz w:val="22"/>
                <w:szCs w:val="22"/>
                <w:color w:val="auto"/>
              </w:rPr>
            </w:pPr>
          </w:p>
        </w:tc>
        <w:tc>
          <w:tcPr>
            <w:tcW w:w="340" w:type="dxa"/>
            <w:vAlign w:val="bottom"/>
          </w:tcPr>
          <w:p>
            <w:pPr>
              <w:spacing w:after="0"/>
              <w:rPr>
                <w:sz w:val="22"/>
                <w:szCs w:val="22"/>
                <w:color w:val="auto"/>
              </w:rPr>
            </w:pPr>
          </w:p>
        </w:tc>
        <w:tc>
          <w:tcPr>
            <w:tcW w:w="3760" w:type="dxa"/>
            <w:vAlign w:val="bottom"/>
          </w:tcPr>
          <w:p>
            <w:pPr>
              <w:ind w:left="1300"/>
              <w:spacing w:after="0"/>
              <w:rPr>
                <w:sz w:val="20"/>
                <w:szCs w:val="20"/>
                <w:color w:val="auto"/>
              </w:rPr>
            </w:pPr>
            <w:r>
              <w:rPr>
                <w:rFonts w:ascii="Arial" w:cs="Arial" w:eastAsia="Arial" w:hAnsi="Arial"/>
                <w:sz w:val="20"/>
                <w:szCs w:val="20"/>
                <w:color w:val="auto"/>
                <w:w w:val="87"/>
              </w:rPr>
              <w:t>a ___________ ____________</w:t>
            </w:r>
          </w:p>
        </w:tc>
      </w:tr>
    </w:tbl>
    <w:p>
      <w:pPr>
        <w:spacing w:after="0" w:line="200" w:lineRule="exact"/>
        <w:rPr>
          <w:sz w:val="20"/>
          <w:szCs w:val="20"/>
          <w:color w:val="auto"/>
        </w:rPr>
      </w:pPr>
    </w:p>
    <w:p>
      <w:pPr>
        <w:spacing w:after="0" w:line="211" w:lineRule="exact"/>
        <w:rPr>
          <w:sz w:val="20"/>
          <w:szCs w:val="20"/>
          <w:color w:val="auto"/>
        </w:rPr>
      </w:pPr>
    </w:p>
    <w:p>
      <w:pPr>
        <w:ind w:left="3900"/>
        <w:spacing w:after="0"/>
        <w:rPr>
          <w:sz w:val="20"/>
          <w:szCs w:val="20"/>
          <w:color w:val="auto"/>
        </w:rPr>
      </w:pPr>
      <w:r>
        <w:rPr>
          <w:rFonts w:ascii="Arial" w:cs="Arial" w:eastAsia="Arial" w:hAnsi="Arial"/>
          <w:sz w:val="20"/>
          <w:szCs w:val="20"/>
          <w:color w:val="auto"/>
        </w:rPr>
        <w:t>By:</w:t>
      </w:r>
    </w:p>
    <w:p>
      <w:pPr>
        <w:spacing w:after="0" w:line="15" w:lineRule="exact"/>
        <w:rPr>
          <w:sz w:val="20"/>
          <w:szCs w:val="20"/>
          <w:color w:val="auto"/>
        </w:rPr>
      </w:pPr>
    </w:p>
    <w:p>
      <w:pPr>
        <w:ind w:left="3900"/>
        <w:spacing w:after="0"/>
        <w:rPr>
          <w:sz w:val="20"/>
          <w:szCs w:val="20"/>
          <w:color w:val="auto"/>
        </w:rPr>
      </w:pPr>
      <w:r>
        <w:rPr>
          <w:rFonts w:ascii="Arial" w:cs="Arial" w:eastAsia="Arial" w:hAnsi="Arial"/>
          <w:sz w:val="20"/>
          <w:szCs w:val="20"/>
          <w:color w:val="auto"/>
        </w:rPr>
        <w:t>Name:</w:t>
      </w:r>
    </w:p>
    <w:p>
      <w:pPr>
        <w:ind w:left="3900"/>
        <w:spacing w:after="0"/>
        <w:rPr>
          <w:sz w:val="20"/>
          <w:szCs w:val="20"/>
          <w:color w:val="auto"/>
        </w:rPr>
      </w:pPr>
      <w:r>
        <w:rPr>
          <w:rFonts w:ascii="Arial" w:cs="Arial" w:eastAsia="Arial" w:hAnsi="Arial"/>
          <w:sz w:val="20"/>
          <w:szCs w:val="20"/>
          <w:color w:val="auto"/>
        </w:rPr>
        <w:t>Title:</w:t>
      </w:r>
    </w:p>
    <w:p>
      <w:pPr>
        <w:sectPr>
          <w:pgSz w:w="11900" w:h="16838" w:orient="portrait"/>
          <w:cols w:equalWidth="0" w:num="1">
            <w:col w:w="11380"/>
          </w:cols>
          <w:pgMar w:left="240" w:top="366" w:right="279" w:bottom="1440" w:gutter="0" w:footer="0" w:header="0"/>
        </w:sectPr>
      </w:pPr>
    </w:p>
    <w:bookmarkStart w:id="317" w:name="page318"/>
    <w:bookmarkEnd w:id="317"/>
    <w:p>
      <w:pPr>
        <w:spacing w:after="0"/>
        <w:tabs>
          <w:tab w:leader="none" w:pos="1920" w:val="left"/>
        </w:tabs>
        <w:rPr>
          <w:sz w:val="20"/>
          <w:szCs w:val="20"/>
          <w:color w:val="auto"/>
        </w:rPr>
      </w:pPr>
      <w:r>
        <w:rPr>
          <w:rFonts w:ascii="Arial" w:cs="Arial" w:eastAsia="Arial" w:hAnsi="Arial"/>
          <w:sz w:val="20"/>
          <w:szCs w:val="20"/>
          <w:u w:val="single" w:color="auto"/>
          <w:color w:val="auto"/>
        </w:rPr>
        <w:t>COMPANY</w:t>
      </w:r>
      <w:r>
        <w:rPr>
          <w:rFonts w:ascii="Arial" w:cs="Arial" w:eastAsia="Arial" w:hAnsi="Arial"/>
          <w:sz w:val="20"/>
          <w:szCs w:val="20"/>
          <w:color w:val="auto"/>
        </w:rPr>
        <w:t>:</w:t>
      </w:r>
      <w:r>
        <w:rPr>
          <w:sz w:val="20"/>
          <w:szCs w:val="20"/>
          <w:color w:val="auto"/>
        </w:rPr>
        <w:tab/>
      </w:r>
      <w:r>
        <w:rPr>
          <w:rFonts w:ascii="Arial" w:cs="Arial" w:eastAsia="Arial" w:hAnsi="Arial"/>
          <w:sz w:val="18"/>
          <w:szCs w:val="18"/>
          <w:color w:val="auto"/>
        </w:rPr>
        <w:t>Euronet Worldwide, Inc.</w:t>
      </w:r>
    </w:p>
    <w:p>
      <w:pPr>
        <w:spacing w:after="0" w:line="200" w:lineRule="exact"/>
        <w:rPr>
          <w:sz w:val="20"/>
          <w:szCs w:val="20"/>
          <w:color w:val="auto"/>
        </w:rPr>
      </w:pPr>
    </w:p>
    <w:p>
      <w:pPr>
        <w:spacing w:after="0" w:line="232" w:lineRule="exact"/>
        <w:rPr>
          <w:sz w:val="20"/>
          <w:szCs w:val="20"/>
          <w:color w:val="auto"/>
        </w:rPr>
      </w:pPr>
    </w:p>
    <w:p>
      <w:pPr>
        <w:ind w:left="3900"/>
        <w:spacing w:after="0"/>
        <w:rPr>
          <w:sz w:val="20"/>
          <w:szCs w:val="20"/>
          <w:color w:val="auto"/>
        </w:rPr>
      </w:pPr>
      <w:r>
        <w:rPr>
          <w:rFonts w:ascii="Arial" w:cs="Arial" w:eastAsia="Arial" w:hAnsi="Arial"/>
          <w:sz w:val="20"/>
          <w:szCs w:val="20"/>
          <w:color w:val="auto"/>
        </w:rPr>
        <w:t>By:</w:t>
      </w:r>
    </w:p>
    <w:p>
      <w:pPr>
        <w:spacing w:after="0" w:line="15" w:lineRule="exact"/>
        <w:rPr>
          <w:sz w:val="20"/>
          <w:szCs w:val="20"/>
          <w:color w:val="auto"/>
        </w:rPr>
      </w:pPr>
    </w:p>
    <w:p>
      <w:pPr>
        <w:ind w:left="3900"/>
        <w:spacing w:after="0"/>
        <w:rPr>
          <w:sz w:val="20"/>
          <w:szCs w:val="20"/>
          <w:color w:val="auto"/>
        </w:rPr>
      </w:pPr>
      <w:r>
        <w:rPr>
          <w:rFonts w:ascii="Arial" w:cs="Arial" w:eastAsia="Arial" w:hAnsi="Arial"/>
          <w:sz w:val="20"/>
          <w:szCs w:val="20"/>
          <w:color w:val="auto"/>
        </w:rPr>
        <w:t>Name:</w:t>
      </w:r>
    </w:p>
    <w:p>
      <w:pPr>
        <w:ind w:left="3900"/>
        <w:spacing w:after="0"/>
        <w:rPr>
          <w:sz w:val="20"/>
          <w:szCs w:val="20"/>
          <w:color w:val="auto"/>
        </w:rPr>
      </w:pPr>
      <w:r>
        <w:rPr>
          <w:rFonts w:ascii="Arial" w:cs="Arial" w:eastAsia="Arial" w:hAnsi="Arial"/>
          <w:sz w:val="20"/>
          <w:szCs w:val="20"/>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Arial" w:cs="Arial" w:eastAsia="Arial" w:hAnsi="Arial"/>
          <w:sz w:val="20"/>
          <w:szCs w:val="20"/>
          <w:color w:val="auto"/>
        </w:rPr>
        <w:t>Acknowledged and Accepted:</w:t>
      </w:r>
    </w:p>
    <w:p>
      <w:pPr>
        <w:spacing w:after="0" w:line="216" w:lineRule="exact"/>
        <w:rPr>
          <w:sz w:val="20"/>
          <w:szCs w:val="20"/>
          <w:color w:val="auto"/>
        </w:rPr>
      </w:pPr>
    </w:p>
    <w:p>
      <w:pPr>
        <w:spacing w:after="0"/>
        <w:rPr>
          <w:sz w:val="20"/>
          <w:szCs w:val="20"/>
          <w:color w:val="auto"/>
        </w:rPr>
      </w:pPr>
      <w:r>
        <w:rPr>
          <w:rFonts w:ascii="Arial" w:cs="Arial" w:eastAsia="Arial" w:hAnsi="Arial"/>
          <w:sz w:val="20"/>
          <w:szCs w:val="20"/>
          <w:color w:val="auto"/>
        </w:rPr>
        <w:t>BANK OF AMERICA, N.A., as Administrative Agent</w:t>
      </w:r>
    </w:p>
    <w:p>
      <w:pPr>
        <w:spacing w:after="0" w:line="216" w:lineRule="exact"/>
        <w:rPr>
          <w:sz w:val="20"/>
          <w:szCs w:val="20"/>
          <w:color w:val="auto"/>
        </w:rPr>
      </w:pPr>
    </w:p>
    <w:p>
      <w:pPr>
        <w:spacing w:after="0"/>
        <w:rPr>
          <w:sz w:val="20"/>
          <w:szCs w:val="20"/>
          <w:color w:val="auto"/>
        </w:rPr>
      </w:pPr>
      <w:r>
        <w:rPr>
          <w:rFonts w:ascii="Arial" w:cs="Arial" w:eastAsia="Arial" w:hAnsi="Arial"/>
          <w:sz w:val="20"/>
          <w:szCs w:val="20"/>
          <w:color w:val="auto"/>
        </w:rPr>
        <w:t>By:</w:t>
      </w:r>
    </w:p>
    <w:p>
      <w:pPr>
        <w:spacing w:after="0" w:line="15" w:lineRule="exact"/>
        <w:rPr>
          <w:sz w:val="20"/>
          <w:szCs w:val="20"/>
          <w:color w:val="auto"/>
        </w:rPr>
      </w:pPr>
    </w:p>
    <w:p>
      <w:pPr>
        <w:spacing w:after="0"/>
        <w:rPr>
          <w:sz w:val="20"/>
          <w:szCs w:val="20"/>
          <w:color w:val="auto"/>
        </w:rPr>
      </w:pPr>
      <w:r>
        <w:rPr>
          <w:rFonts w:ascii="Arial" w:cs="Arial" w:eastAsia="Arial" w:hAnsi="Arial"/>
          <w:sz w:val="20"/>
          <w:szCs w:val="20"/>
          <w:color w:val="auto"/>
        </w:rPr>
        <w:t>Name:</w:t>
      </w:r>
    </w:p>
    <w:p>
      <w:pPr>
        <w:spacing w:after="0"/>
        <w:rPr>
          <w:sz w:val="20"/>
          <w:szCs w:val="20"/>
          <w:color w:val="auto"/>
        </w:rPr>
      </w:pPr>
      <w:r>
        <w:rPr>
          <w:rFonts w:ascii="Arial" w:cs="Arial" w:eastAsia="Arial" w:hAnsi="Arial"/>
          <w:sz w:val="20"/>
          <w:szCs w:val="20"/>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20"/>
          <w:szCs w:val="20"/>
          <w:u w:val="single" w:color="auto"/>
          <w:color w:val="auto"/>
        </w:rPr>
        <w:t>Exhibit 2.14-2</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FORM OF DESIGNATED BORROWER NOTICE</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left="9260"/>
        <w:spacing w:after="0"/>
        <w:rPr>
          <w:sz w:val="20"/>
          <w:szCs w:val="20"/>
          <w:color w:val="auto"/>
        </w:rPr>
      </w:pPr>
      <w:r>
        <w:rPr>
          <w:rFonts w:ascii="Arial" w:cs="Arial" w:eastAsia="Arial" w:hAnsi="Arial"/>
          <w:sz w:val="16"/>
          <w:szCs w:val="16"/>
          <w:color w:val="auto"/>
        </w:rPr>
        <w:t>Date: ___________, _____</w:t>
      </w:r>
    </w:p>
    <w:p>
      <w:pPr>
        <w:spacing w:after="0" w:line="262" w:lineRule="exact"/>
        <w:rPr>
          <w:sz w:val="20"/>
          <w:szCs w:val="20"/>
          <w:color w:val="auto"/>
        </w:rPr>
      </w:pPr>
    </w:p>
    <w:p>
      <w:pPr>
        <w:spacing w:after="0"/>
        <w:tabs>
          <w:tab w:leader="none" w:pos="420" w:val="left"/>
        </w:tabs>
        <w:rPr>
          <w:sz w:val="20"/>
          <w:szCs w:val="20"/>
          <w:color w:val="auto"/>
        </w:rPr>
      </w:pPr>
      <w:r>
        <w:rPr>
          <w:rFonts w:ascii="Arial" w:cs="Arial" w:eastAsia="Arial" w:hAnsi="Arial"/>
          <w:sz w:val="20"/>
          <w:szCs w:val="20"/>
          <w:color w:val="auto"/>
        </w:rPr>
        <w:t>To:</w:t>
      </w:r>
      <w:r>
        <w:rPr>
          <w:sz w:val="20"/>
          <w:szCs w:val="20"/>
          <w:color w:val="auto"/>
        </w:rPr>
        <w:tab/>
      </w:r>
      <w:r>
        <w:rPr>
          <w:rFonts w:ascii="Arial" w:cs="Arial" w:eastAsia="Arial" w:hAnsi="Arial"/>
          <w:sz w:val="18"/>
          <w:szCs w:val="18"/>
          <w:color w:val="auto"/>
        </w:rPr>
        <w:t>The Borrowers (as defined below) and the [Australian] [USD] [European] [India] Revolving Lenders</w:t>
      </w:r>
    </w:p>
    <w:p>
      <w:pPr>
        <w:spacing w:after="0" w:line="216" w:lineRule="exact"/>
        <w:rPr>
          <w:sz w:val="20"/>
          <w:szCs w:val="20"/>
          <w:color w:val="auto"/>
        </w:rPr>
      </w:pPr>
    </w:p>
    <w:p>
      <w:pPr>
        <w:spacing w:after="0"/>
        <w:rPr>
          <w:sz w:val="20"/>
          <w:szCs w:val="20"/>
          <w:color w:val="auto"/>
        </w:rPr>
      </w:pPr>
      <w:r>
        <w:rPr>
          <w:rFonts w:ascii="Arial" w:cs="Arial" w:eastAsia="Arial" w:hAnsi="Arial"/>
          <w:sz w:val="20"/>
          <w:szCs w:val="20"/>
          <w:color w:val="auto"/>
        </w:rPr>
        <w:t>Ladies and Gentlemen:</w:t>
      </w:r>
    </w:p>
    <w:p>
      <w:pPr>
        <w:spacing w:after="0" w:line="216" w:lineRule="exact"/>
        <w:rPr>
          <w:sz w:val="20"/>
          <w:szCs w:val="20"/>
          <w:color w:val="auto"/>
        </w:rPr>
      </w:pPr>
    </w:p>
    <w:p>
      <w:pPr>
        <w:ind w:right="140" w:firstLine="648"/>
        <w:spacing w:after="0" w:line="321" w:lineRule="auto"/>
        <w:rPr>
          <w:sz w:val="20"/>
          <w:szCs w:val="20"/>
          <w:color w:val="auto"/>
        </w:rPr>
      </w:pPr>
      <w:r>
        <w:rPr>
          <w:rFonts w:ascii="Arial" w:cs="Arial" w:eastAsia="Arial" w:hAnsi="Arial"/>
          <w:sz w:val="16"/>
          <w:szCs w:val="16"/>
          <w:color w:val="auto"/>
        </w:rPr>
        <w:t>This Designated Borrower Notice is made and delivered pursuant to Section 2.14 of that certain Credit Agreement, dated as of August 18, 2011 (as amended, restated, increased, supplemented or otherwise modified from time to time, the “</w:t>
      </w:r>
      <w:r>
        <w:rPr>
          <w:rFonts w:ascii="Arial" w:cs="Arial" w:eastAsia="Arial" w:hAnsi="Arial"/>
          <w:sz w:val="16"/>
          <w:szCs w:val="16"/>
          <w:u w:val="single" w:color="auto"/>
          <w:color w:val="auto"/>
        </w:rPr>
        <w:t>Credit Agreement</w:t>
      </w:r>
      <w:r>
        <w:rPr>
          <w:rFonts w:ascii="Arial" w:cs="Arial" w:eastAsia="Arial" w:hAnsi="Arial"/>
          <w:sz w:val="16"/>
          <w:szCs w:val="16"/>
          <w:color w:val="auto"/>
        </w:rPr>
        <w:t>”) among Euronet Worldwide, Inc., a Delaware corporation, and certain other Subsidiaries and Affiliates, as Borrowers, certain Subsidiaries and Affiliates, as Guarantors, the lenders from time to time party thereto (the “</w:t>
      </w:r>
      <w:r>
        <w:rPr>
          <w:rFonts w:ascii="Arial" w:cs="Arial" w:eastAsia="Arial" w:hAnsi="Arial"/>
          <w:sz w:val="16"/>
          <w:szCs w:val="16"/>
          <w:u w:val="single" w:color="auto"/>
          <w:color w:val="auto"/>
        </w:rPr>
        <w:t>Lenders</w:t>
      </w:r>
      <w:r>
        <w:rPr>
          <w:rFonts w:ascii="Arial" w:cs="Arial" w:eastAsia="Arial" w:hAnsi="Arial"/>
          <w:sz w:val="16"/>
          <w:szCs w:val="16"/>
          <w:color w:val="auto"/>
        </w:rPr>
        <w:t>”) and Bank of America, N.A., as administrative agent (in such capacity, the “</w:t>
      </w:r>
      <w:r>
        <w:rPr>
          <w:rFonts w:ascii="Arial" w:cs="Arial" w:eastAsia="Arial" w:hAnsi="Arial"/>
          <w:sz w:val="16"/>
          <w:szCs w:val="16"/>
          <w:u w:val="single" w:color="auto"/>
          <w:color w:val="auto"/>
        </w:rPr>
        <w:t>Administrative Agent</w:t>
      </w:r>
      <w:r>
        <w:rPr>
          <w:rFonts w:ascii="Arial" w:cs="Arial" w:eastAsia="Arial" w:hAnsi="Arial"/>
          <w:sz w:val="16"/>
          <w:szCs w:val="16"/>
          <w:color w:val="auto"/>
        </w:rPr>
        <w:t>”). Capitalized terms used but not otherwise defined herein have the meanings provided in the Credit Agreement.</w:t>
      </w:r>
    </w:p>
    <w:p>
      <w:pPr>
        <w:spacing w:after="0" w:line="134" w:lineRule="exact"/>
        <w:rPr>
          <w:sz w:val="20"/>
          <w:szCs w:val="20"/>
          <w:color w:val="auto"/>
        </w:rPr>
      </w:pPr>
    </w:p>
    <w:p>
      <w:pPr>
        <w:ind w:right="180" w:firstLine="648"/>
        <w:spacing w:after="0" w:line="250" w:lineRule="auto"/>
        <w:rPr>
          <w:sz w:val="20"/>
          <w:szCs w:val="20"/>
          <w:color w:val="auto"/>
        </w:rPr>
      </w:pPr>
      <w:r>
        <w:rPr>
          <w:rFonts w:ascii="Arial" w:cs="Arial" w:eastAsia="Arial" w:hAnsi="Arial"/>
          <w:sz w:val="20"/>
          <w:szCs w:val="20"/>
          <w:color w:val="auto"/>
        </w:rPr>
        <w:t>The Administrative Agent hereby notifies Borrowers and the [Australian] [USD] [European] [India] Revolving Lenders that effective as of the date hereof _______________________ shall be a Designated Borrower and may receive [Australian] [USD] [European] [India] Revolving Loans for its account on the terms and conditions set forth in the Credit Agreement.</w:t>
      </w:r>
    </w:p>
    <w:p>
      <w:pPr>
        <w:spacing w:after="0" w:line="18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This Designated Borrower Notice shall constitute a Credit Document under the Credit Agreement.</w:t>
      </w:r>
    </w:p>
    <w:p>
      <w:pPr>
        <w:spacing w:after="0" w:line="200" w:lineRule="exact"/>
        <w:rPr>
          <w:sz w:val="20"/>
          <w:szCs w:val="20"/>
          <w:color w:val="auto"/>
        </w:rPr>
      </w:pPr>
    </w:p>
    <w:p>
      <w:pPr>
        <w:spacing w:after="0" w:line="232" w:lineRule="exact"/>
        <w:rPr>
          <w:sz w:val="20"/>
          <w:szCs w:val="20"/>
          <w:color w:val="auto"/>
        </w:rPr>
      </w:pPr>
    </w:p>
    <w:p>
      <w:pPr>
        <w:ind w:left="3900"/>
        <w:spacing w:after="0"/>
        <w:rPr>
          <w:sz w:val="20"/>
          <w:szCs w:val="20"/>
          <w:color w:val="auto"/>
        </w:rPr>
      </w:pPr>
      <w:r>
        <w:rPr>
          <w:rFonts w:ascii="Arial" w:cs="Arial" w:eastAsia="Arial" w:hAnsi="Arial"/>
          <w:sz w:val="20"/>
          <w:szCs w:val="20"/>
          <w:color w:val="auto"/>
        </w:rPr>
        <w:t>BANK OF AMERICA, N.A.,</w:t>
      </w:r>
    </w:p>
    <w:p>
      <w:pPr>
        <w:spacing w:after="0" w:line="16" w:lineRule="exact"/>
        <w:rPr>
          <w:sz w:val="20"/>
          <w:szCs w:val="20"/>
          <w:color w:val="auto"/>
        </w:rPr>
      </w:pPr>
    </w:p>
    <w:p>
      <w:pPr>
        <w:ind w:left="3900"/>
        <w:spacing w:after="0"/>
        <w:rPr>
          <w:sz w:val="20"/>
          <w:szCs w:val="20"/>
          <w:color w:val="auto"/>
        </w:rPr>
      </w:pPr>
      <w:r>
        <w:rPr>
          <w:rFonts w:ascii="Arial" w:cs="Arial" w:eastAsia="Arial" w:hAnsi="Arial"/>
          <w:sz w:val="20"/>
          <w:szCs w:val="20"/>
          <w:color w:val="auto"/>
        </w:rPr>
        <w:t>as Administrative Agent</w:t>
      </w:r>
    </w:p>
    <w:p>
      <w:pPr>
        <w:sectPr>
          <w:pgSz w:w="11900" w:h="16838" w:orient="portrait"/>
          <w:cols w:equalWidth="0" w:num="1">
            <w:col w:w="11420"/>
          </w:cols>
          <w:pgMar w:left="240" w:top="582" w:right="239" w:bottom="1440" w:gutter="0" w:footer="0" w:header="0"/>
        </w:sectPr>
      </w:pPr>
    </w:p>
    <w:bookmarkStart w:id="318" w:name="page319"/>
    <w:bookmarkEnd w:id="318"/>
    <w:p>
      <w:pPr>
        <w:ind w:left="3900"/>
        <w:spacing w:after="0"/>
        <w:rPr>
          <w:sz w:val="20"/>
          <w:szCs w:val="20"/>
          <w:color w:val="auto"/>
        </w:rPr>
      </w:pPr>
      <w:r>
        <w:rPr>
          <w:rFonts w:ascii="Arial" w:cs="Arial" w:eastAsia="Arial" w:hAnsi="Arial"/>
          <w:sz w:val="20"/>
          <w:szCs w:val="20"/>
          <w:color w:val="auto"/>
        </w:rPr>
        <w:t>By: _________________________________</w:t>
      </w:r>
    </w:p>
    <w:p>
      <w:pPr>
        <w:spacing w:after="0" w:line="15" w:lineRule="exact"/>
        <w:rPr>
          <w:sz w:val="20"/>
          <w:szCs w:val="20"/>
          <w:color w:val="auto"/>
        </w:rPr>
      </w:pPr>
    </w:p>
    <w:p>
      <w:pPr>
        <w:ind w:left="3900"/>
        <w:spacing w:after="0"/>
        <w:rPr>
          <w:sz w:val="20"/>
          <w:szCs w:val="20"/>
          <w:color w:val="auto"/>
        </w:rPr>
      </w:pPr>
      <w:r>
        <w:rPr>
          <w:rFonts w:ascii="Arial" w:cs="Arial" w:eastAsia="Arial" w:hAnsi="Arial"/>
          <w:sz w:val="20"/>
          <w:szCs w:val="20"/>
          <w:color w:val="auto"/>
        </w:rPr>
        <w:t>Name:</w:t>
      </w:r>
    </w:p>
    <w:p>
      <w:pPr>
        <w:ind w:left="3900"/>
        <w:spacing w:after="0"/>
        <w:rPr>
          <w:sz w:val="20"/>
          <w:szCs w:val="20"/>
          <w:color w:val="auto"/>
        </w:rPr>
      </w:pPr>
      <w:r>
        <w:rPr>
          <w:rFonts w:ascii="Arial" w:cs="Arial" w:eastAsia="Arial" w:hAnsi="Arial"/>
          <w:sz w:val="20"/>
          <w:szCs w:val="20"/>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20" w:type="dxa"/>
            <w:vAlign w:val="bottom"/>
            <w:tcBorders>
              <w:bottom w:val="single" w:sz="8" w:color="auto"/>
            </w:tcBorders>
          </w:tcPr>
          <w:p>
            <w:pPr>
              <w:jc w:val="center"/>
              <w:spacing w:after="0"/>
              <w:rPr>
                <w:sz w:val="20"/>
                <w:szCs w:val="20"/>
                <w:color w:val="auto"/>
              </w:rPr>
            </w:pPr>
            <w:r>
              <w:rPr>
                <w:rFonts w:ascii="Arial" w:cs="Arial" w:eastAsia="Arial" w:hAnsi="Arial"/>
                <w:sz w:val="20"/>
                <w:szCs w:val="20"/>
                <w:color w:val="auto"/>
                <w:w w:val="94"/>
              </w:rPr>
              <w:t>Exhibit 7.02(b)</w:t>
            </w:r>
          </w:p>
        </w:tc>
        <w:tc>
          <w:tcPr>
            <w:tcW w:w="1960" w:type="dxa"/>
            <w:vAlign w:val="bottom"/>
            <w:gridSpan w:val="2"/>
          </w:tcPr>
          <w:p>
            <w:pPr>
              <w:spacing w:after="0"/>
              <w:rPr>
                <w:sz w:val="19"/>
                <w:szCs w:val="19"/>
                <w:color w:val="auto"/>
              </w:rPr>
            </w:pPr>
          </w:p>
        </w:tc>
        <w:tc>
          <w:tcPr>
            <w:tcW w:w="1340" w:type="dxa"/>
            <w:vAlign w:val="bottom"/>
          </w:tcPr>
          <w:p>
            <w:pPr>
              <w:spacing w:after="0"/>
              <w:rPr>
                <w:sz w:val="19"/>
                <w:szCs w:val="19"/>
                <w:color w:val="auto"/>
              </w:rPr>
            </w:pPr>
          </w:p>
        </w:tc>
        <w:tc>
          <w:tcPr>
            <w:tcW w:w="1720" w:type="dxa"/>
            <w:vAlign w:val="bottom"/>
          </w:tcPr>
          <w:p>
            <w:pPr>
              <w:spacing w:after="0"/>
              <w:rPr>
                <w:sz w:val="19"/>
                <w:szCs w:val="19"/>
                <w:color w:val="auto"/>
              </w:rPr>
            </w:pPr>
          </w:p>
        </w:tc>
      </w:tr>
      <w:tr>
        <w:trPr>
          <w:trHeight w:val="470"/>
        </w:trPr>
        <w:tc>
          <w:tcPr>
            <w:tcW w:w="4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5000" w:type="dxa"/>
            <w:vAlign w:val="bottom"/>
            <w:gridSpan w:val="5"/>
          </w:tcPr>
          <w:p>
            <w:pPr>
              <w:jc w:val="center"/>
              <w:ind w:right="120"/>
              <w:spacing w:after="0"/>
              <w:rPr>
                <w:sz w:val="20"/>
                <w:szCs w:val="20"/>
                <w:color w:val="auto"/>
              </w:rPr>
            </w:pPr>
            <w:r>
              <w:rPr>
                <w:rFonts w:ascii="Arial" w:cs="Arial" w:eastAsia="Arial" w:hAnsi="Arial"/>
                <w:sz w:val="20"/>
                <w:szCs w:val="20"/>
                <w:color w:val="auto"/>
                <w:w w:val="94"/>
              </w:rPr>
              <w:t>FORM OF COMPLIANCE CERTIFICATE</w:t>
            </w:r>
          </w:p>
        </w:tc>
        <w:tc>
          <w:tcPr>
            <w:tcW w:w="1340" w:type="dxa"/>
            <w:vAlign w:val="bottom"/>
          </w:tcPr>
          <w:p>
            <w:pPr>
              <w:spacing w:after="0"/>
              <w:rPr>
                <w:sz w:val="24"/>
                <w:szCs w:val="24"/>
                <w:color w:val="auto"/>
              </w:rPr>
            </w:pPr>
          </w:p>
        </w:tc>
        <w:tc>
          <w:tcPr>
            <w:tcW w:w="1720" w:type="dxa"/>
            <w:vAlign w:val="bottom"/>
          </w:tcPr>
          <w:p>
            <w:pPr>
              <w:spacing w:after="0"/>
              <w:rPr>
                <w:sz w:val="24"/>
                <w:szCs w:val="24"/>
                <w:color w:val="auto"/>
              </w:rPr>
            </w:pPr>
          </w:p>
        </w:tc>
      </w:tr>
      <w:tr>
        <w:trPr>
          <w:trHeight w:val="446"/>
        </w:trPr>
        <w:tc>
          <w:tcPr>
            <w:tcW w:w="4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180" w:type="dxa"/>
            <w:vAlign w:val="bottom"/>
            <w:gridSpan w:val="3"/>
          </w:tcPr>
          <w:p>
            <w:pPr>
              <w:jc w:val="center"/>
              <w:ind w:right="1960"/>
              <w:spacing w:after="0"/>
              <w:rPr>
                <w:sz w:val="20"/>
                <w:szCs w:val="20"/>
                <w:color w:val="auto"/>
              </w:rPr>
            </w:pPr>
            <w:r>
              <w:rPr>
                <w:rFonts w:ascii="Arial" w:cs="Arial" w:eastAsia="Arial" w:hAnsi="Arial"/>
                <w:sz w:val="20"/>
                <w:szCs w:val="20"/>
                <w:color w:val="auto"/>
                <w:w w:val="91"/>
              </w:rPr>
              <w:t>[date]</w:t>
            </w:r>
          </w:p>
        </w:tc>
        <w:tc>
          <w:tcPr>
            <w:tcW w:w="1340" w:type="dxa"/>
            <w:vAlign w:val="bottom"/>
          </w:tcPr>
          <w:p>
            <w:pPr>
              <w:spacing w:after="0"/>
              <w:rPr>
                <w:sz w:val="24"/>
                <w:szCs w:val="24"/>
                <w:color w:val="auto"/>
              </w:rPr>
            </w:pPr>
          </w:p>
        </w:tc>
        <w:tc>
          <w:tcPr>
            <w:tcW w:w="1720" w:type="dxa"/>
            <w:vAlign w:val="bottom"/>
          </w:tcPr>
          <w:p>
            <w:pPr>
              <w:spacing w:after="0"/>
              <w:rPr>
                <w:sz w:val="24"/>
                <w:szCs w:val="24"/>
                <w:color w:val="auto"/>
              </w:rPr>
            </w:pPr>
          </w:p>
        </w:tc>
      </w:tr>
      <w:tr>
        <w:trPr>
          <w:trHeight w:val="662"/>
        </w:trPr>
        <w:tc>
          <w:tcPr>
            <w:tcW w:w="8280" w:type="dxa"/>
            <w:vAlign w:val="bottom"/>
            <w:gridSpan w:val="9"/>
          </w:tcPr>
          <w:p>
            <w:pPr>
              <w:spacing w:after="0"/>
              <w:rPr>
                <w:sz w:val="20"/>
                <w:szCs w:val="20"/>
                <w:color w:val="auto"/>
              </w:rPr>
            </w:pPr>
            <w:r>
              <w:rPr>
                <w:rFonts w:ascii="Arial" w:cs="Arial" w:eastAsia="Arial" w:hAnsi="Arial"/>
                <w:sz w:val="20"/>
                <w:szCs w:val="20"/>
                <w:color w:val="auto"/>
              </w:rPr>
              <w:t>Financial Statement Date:</w:t>
            </w:r>
          </w:p>
        </w:tc>
        <w:tc>
          <w:tcPr>
            <w:tcW w:w="1340" w:type="dxa"/>
            <w:vAlign w:val="bottom"/>
          </w:tcPr>
          <w:p>
            <w:pPr>
              <w:spacing w:after="0"/>
              <w:rPr>
                <w:sz w:val="24"/>
                <w:szCs w:val="24"/>
                <w:color w:val="auto"/>
              </w:rPr>
            </w:pPr>
          </w:p>
        </w:tc>
        <w:tc>
          <w:tcPr>
            <w:tcW w:w="1720" w:type="dxa"/>
            <w:vAlign w:val="bottom"/>
          </w:tcPr>
          <w:p>
            <w:pPr>
              <w:spacing w:after="0"/>
              <w:rPr>
                <w:sz w:val="24"/>
                <w:szCs w:val="24"/>
                <w:color w:val="auto"/>
              </w:rPr>
            </w:pPr>
          </w:p>
        </w:tc>
      </w:tr>
      <w:tr>
        <w:trPr>
          <w:trHeight w:val="446"/>
        </w:trPr>
        <w:tc>
          <w:tcPr>
            <w:tcW w:w="8280" w:type="dxa"/>
            <w:vAlign w:val="bottom"/>
            <w:gridSpan w:val="9"/>
          </w:tcPr>
          <w:p>
            <w:pPr>
              <w:spacing w:after="0"/>
              <w:rPr>
                <w:sz w:val="20"/>
                <w:szCs w:val="20"/>
                <w:color w:val="auto"/>
              </w:rPr>
            </w:pPr>
            <w:r>
              <w:rPr>
                <w:rFonts w:ascii="Arial" w:cs="Arial" w:eastAsia="Arial" w:hAnsi="Arial"/>
                <w:sz w:val="20"/>
                <w:szCs w:val="20"/>
                <w:color w:val="auto"/>
              </w:rPr>
              <w:t>To:  Bank of America, N.A., as Administrative Agent</w:t>
            </w:r>
          </w:p>
        </w:tc>
        <w:tc>
          <w:tcPr>
            <w:tcW w:w="1340" w:type="dxa"/>
            <w:vAlign w:val="bottom"/>
          </w:tcPr>
          <w:p>
            <w:pPr>
              <w:spacing w:after="0"/>
              <w:rPr>
                <w:sz w:val="24"/>
                <w:szCs w:val="24"/>
                <w:color w:val="auto"/>
              </w:rPr>
            </w:pPr>
          </w:p>
        </w:tc>
        <w:tc>
          <w:tcPr>
            <w:tcW w:w="1720" w:type="dxa"/>
            <w:vAlign w:val="bottom"/>
          </w:tcPr>
          <w:p>
            <w:pPr>
              <w:spacing w:after="0"/>
              <w:rPr>
                <w:sz w:val="24"/>
                <w:szCs w:val="24"/>
                <w:color w:val="auto"/>
              </w:rPr>
            </w:pPr>
          </w:p>
        </w:tc>
      </w:tr>
      <w:tr>
        <w:trPr>
          <w:trHeight w:val="425"/>
        </w:trPr>
        <w:tc>
          <w:tcPr>
            <w:tcW w:w="460" w:type="dxa"/>
            <w:vAlign w:val="bottom"/>
          </w:tcPr>
          <w:p>
            <w:pPr>
              <w:spacing w:after="0"/>
              <w:rPr>
                <w:sz w:val="20"/>
                <w:szCs w:val="20"/>
                <w:color w:val="auto"/>
              </w:rPr>
            </w:pPr>
            <w:r>
              <w:rPr>
                <w:rFonts w:ascii="Arial" w:cs="Arial" w:eastAsia="Arial" w:hAnsi="Arial"/>
                <w:sz w:val="20"/>
                <w:szCs w:val="20"/>
                <w:color w:val="auto"/>
              </w:rPr>
              <w:t>Re:</w:t>
            </w:r>
          </w:p>
        </w:tc>
        <w:tc>
          <w:tcPr>
            <w:tcW w:w="10880" w:type="dxa"/>
            <w:vAlign w:val="bottom"/>
            <w:gridSpan w:val="10"/>
          </w:tcPr>
          <w:p>
            <w:pPr>
              <w:ind w:left="200"/>
              <w:spacing w:after="0"/>
              <w:rPr>
                <w:sz w:val="20"/>
                <w:szCs w:val="20"/>
                <w:color w:val="auto"/>
              </w:rPr>
            </w:pPr>
            <w:r>
              <w:rPr>
                <w:rFonts w:ascii="Arial" w:cs="Arial" w:eastAsia="Arial" w:hAnsi="Arial"/>
                <w:sz w:val="20"/>
                <w:szCs w:val="20"/>
                <w:color w:val="auto"/>
                <w:w w:val="89"/>
              </w:rPr>
              <w:t>Amended and Restated Credit Agreement, dated as of August 18, 2011 (as amended, restated, increased, supplemented or otherwise</w:t>
            </w:r>
          </w:p>
        </w:tc>
      </w:tr>
      <w:tr>
        <w:trPr>
          <w:trHeight w:val="206"/>
        </w:trPr>
        <w:tc>
          <w:tcPr>
            <w:tcW w:w="460" w:type="dxa"/>
            <w:vAlign w:val="bottom"/>
          </w:tcPr>
          <w:p>
            <w:pPr>
              <w:spacing w:after="0"/>
              <w:rPr>
                <w:sz w:val="17"/>
                <w:szCs w:val="17"/>
                <w:color w:val="auto"/>
              </w:rPr>
            </w:pPr>
          </w:p>
        </w:tc>
        <w:tc>
          <w:tcPr>
            <w:tcW w:w="10880" w:type="dxa"/>
            <w:vAlign w:val="bottom"/>
            <w:gridSpan w:val="10"/>
          </w:tcPr>
          <w:p>
            <w:pPr>
              <w:ind w:left="200"/>
              <w:spacing w:after="0" w:line="206" w:lineRule="exact"/>
              <w:rPr>
                <w:sz w:val="20"/>
                <w:szCs w:val="20"/>
                <w:color w:val="auto"/>
              </w:rPr>
            </w:pPr>
            <w:r>
              <w:rPr>
                <w:rFonts w:ascii="Arial" w:cs="Arial" w:eastAsia="Arial" w:hAnsi="Arial"/>
                <w:sz w:val="20"/>
                <w:szCs w:val="20"/>
                <w:color w:val="auto"/>
                <w:w w:val="95"/>
              </w:rPr>
              <w:t>modified from time to time, the “Credit Agreement”) among Euronet Worldwide, Inc., a Delaware corporation, and certain other</w:t>
            </w:r>
          </w:p>
        </w:tc>
      </w:tr>
      <w:tr>
        <w:trPr>
          <w:trHeight w:val="20"/>
        </w:trPr>
        <w:tc>
          <w:tcPr>
            <w:tcW w:w="4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440" w:type="dxa"/>
            <w:vAlign w:val="bottom"/>
            <w:shd w:val="clear" w:color="auto" w:fill="000000"/>
          </w:tcPr>
          <w:p>
            <w:pPr>
              <w:spacing w:after="0" w:line="20" w:lineRule="exact"/>
              <w:rPr>
                <w:sz w:val="1"/>
                <w:szCs w:val="1"/>
                <w:color w:val="auto"/>
              </w:rPr>
            </w:pPr>
          </w:p>
        </w:tc>
        <w:tc>
          <w:tcPr>
            <w:tcW w:w="3180" w:type="dxa"/>
            <w:vAlign w:val="bottom"/>
            <w:gridSpan w:val="3"/>
          </w:tcPr>
          <w:p>
            <w:pPr>
              <w:spacing w:after="0" w:line="20" w:lineRule="exact"/>
              <w:rPr>
                <w:sz w:val="1"/>
                <w:szCs w:val="1"/>
                <w:color w:val="auto"/>
              </w:rPr>
            </w:pPr>
          </w:p>
        </w:tc>
        <w:tc>
          <w:tcPr>
            <w:tcW w:w="1720" w:type="dxa"/>
            <w:vAlign w:val="bottom"/>
            <w:gridSpan w:val="2"/>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r>
      <w:tr>
        <w:trPr>
          <w:trHeight w:val="233"/>
        </w:trPr>
        <w:tc>
          <w:tcPr>
            <w:tcW w:w="460" w:type="dxa"/>
            <w:vAlign w:val="bottom"/>
          </w:tcPr>
          <w:p>
            <w:pPr>
              <w:spacing w:after="0"/>
              <w:rPr>
                <w:sz w:val="20"/>
                <w:szCs w:val="20"/>
                <w:color w:val="auto"/>
              </w:rPr>
            </w:pPr>
          </w:p>
        </w:tc>
        <w:tc>
          <w:tcPr>
            <w:tcW w:w="10880" w:type="dxa"/>
            <w:vAlign w:val="bottom"/>
            <w:gridSpan w:val="10"/>
          </w:tcPr>
          <w:p>
            <w:pPr>
              <w:ind w:left="200"/>
              <w:spacing w:after="0"/>
              <w:rPr>
                <w:sz w:val="20"/>
                <w:szCs w:val="20"/>
                <w:color w:val="auto"/>
              </w:rPr>
            </w:pPr>
            <w:r>
              <w:rPr>
                <w:rFonts w:ascii="Arial" w:cs="Arial" w:eastAsia="Arial" w:hAnsi="Arial"/>
                <w:sz w:val="20"/>
                <w:szCs w:val="20"/>
                <w:color w:val="auto"/>
                <w:w w:val="90"/>
              </w:rPr>
              <w:t>Subsidiaries and Affiliates, as Borrowers, certain Subsidiaries and Affiliates, as Guarantors, the lenders from time to time party thereto</w:t>
            </w:r>
          </w:p>
        </w:tc>
      </w:tr>
      <w:tr>
        <w:trPr>
          <w:trHeight w:val="206"/>
        </w:trPr>
        <w:tc>
          <w:tcPr>
            <w:tcW w:w="460" w:type="dxa"/>
            <w:vAlign w:val="bottom"/>
          </w:tcPr>
          <w:p>
            <w:pPr>
              <w:spacing w:after="0"/>
              <w:rPr>
                <w:sz w:val="17"/>
                <w:szCs w:val="17"/>
                <w:color w:val="auto"/>
              </w:rPr>
            </w:pPr>
          </w:p>
        </w:tc>
        <w:tc>
          <w:tcPr>
            <w:tcW w:w="10880" w:type="dxa"/>
            <w:vAlign w:val="bottom"/>
            <w:gridSpan w:val="10"/>
          </w:tcPr>
          <w:p>
            <w:pPr>
              <w:ind w:left="200"/>
              <w:spacing w:after="0" w:line="206" w:lineRule="exact"/>
              <w:rPr>
                <w:sz w:val="20"/>
                <w:szCs w:val="20"/>
                <w:color w:val="auto"/>
              </w:rPr>
            </w:pPr>
            <w:r>
              <w:rPr>
                <w:rFonts w:ascii="Arial" w:cs="Arial" w:eastAsia="Arial" w:hAnsi="Arial"/>
                <w:sz w:val="20"/>
                <w:szCs w:val="20"/>
                <w:color w:val="auto"/>
                <w:w w:val="92"/>
              </w:rPr>
              <w:t>(the “Lenders”) and Bank of America, N.A., as administrative agent (in such capacity, the “Administrative Agent”). Capitalized terms</w:t>
            </w:r>
          </w:p>
        </w:tc>
      </w:tr>
      <w:tr>
        <w:trPr>
          <w:trHeight w:val="20"/>
        </w:trPr>
        <w:tc>
          <w:tcPr>
            <w:tcW w:w="4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6160" w:type="dxa"/>
            <w:vAlign w:val="bottom"/>
            <w:gridSpan w:val="5"/>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r>
      <w:tr>
        <w:trPr>
          <w:trHeight w:val="254"/>
        </w:trPr>
        <w:tc>
          <w:tcPr>
            <w:tcW w:w="460" w:type="dxa"/>
            <w:vAlign w:val="bottom"/>
          </w:tcPr>
          <w:p>
            <w:pPr>
              <w:spacing w:after="0"/>
              <w:rPr>
                <w:sz w:val="22"/>
                <w:szCs w:val="22"/>
                <w:color w:val="auto"/>
              </w:rPr>
            </w:pPr>
          </w:p>
        </w:tc>
        <w:tc>
          <w:tcPr>
            <w:tcW w:w="7820" w:type="dxa"/>
            <w:vAlign w:val="bottom"/>
            <w:gridSpan w:val="8"/>
          </w:tcPr>
          <w:p>
            <w:pPr>
              <w:ind w:left="200"/>
              <w:spacing w:after="0"/>
              <w:rPr>
                <w:sz w:val="20"/>
                <w:szCs w:val="20"/>
                <w:color w:val="auto"/>
              </w:rPr>
            </w:pPr>
            <w:r>
              <w:rPr>
                <w:rFonts w:ascii="Arial" w:cs="Arial" w:eastAsia="Arial" w:hAnsi="Arial"/>
                <w:sz w:val="20"/>
                <w:szCs w:val="20"/>
                <w:color w:val="auto"/>
                <w:w w:val="93"/>
              </w:rPr>
              <w:t>used but not otherwise defined herein have the meanings provided in the Credit Agreement.</w:t>
            </w:r>
          </w:p>
        </w:tc>
        <w:tc>
          <w:tcPr>
            <w:tcW w:w="1340" w:type="dxa"/>
            <w:vAlign w:val="bottom"/>
          </w:tcPr>
          <w:p>
            <w:pPr>
              <w:spacing w:after="0"/>
              <w:rPr>
                <w:sz w:val="22"/>
                <w:szCs w:val="22"/>
                <w:color w:val="auto"/>
              </w:rPr>
            </w:pPr>
          </w:p>
        </w:tc>
        <w:tc>
          <w:tcPr>
            <w:tcW w:w="1720" w:type="dxa"/>
            <w:vAlign w:val="bottom"/>
          </w:tcPr>
          <w:p>
            <w:pPr>
              <w:spacing w:after="0"/>
              <w:rPr>
                <w:sz w:val="22"/>
                <w:szCs w:val="22"/>
                <w:color w:val="auto"/>
              </w:rPr>
            </w:pPr>
          </w:p>
        </w:tc>
      </w:tr>
      <w:tr>
        <w:trPr>
          <w:trHeight w:val="446"/>
        </w:trPr>
        <w:tc>
          <w:tcPr>
            <w:tcW w:w="8280" w:type="dxa"/>
            <w:vAlign w:val="bottom"/>
            <w:gridSpan w:val="9"/>
          </w:tcPr>
          <w:p>
            <w:pPr>
              <w:spacing w:after="0"/>
              <w:rPr>
                <w:sz w:val="20"/>
                <w:szCs w:val="20"/>
                <w:color w:val="auto"/>
              </w:rPr>
            </w:pPr>
            <w:r>
              <w:rPr>
                <w:rFonts w:ascii="Arial" w:cs="Arial" w:eastAsia="Arial" w:hAnsi="Arial"/>
                <w:sz w:val="20"/>
                <w:szCs w:val="20"/>
                <w:color w:val="auto"/>
              </w:rPr>
              <w:t>Ladies and Gentlemen:</w:t>
            </w:r>
          </w:p>
        </w:tc>
        <w:tc>
          <w:tcPr>
            <w:tcW w:w="1340" w:type="dxa"/>
            <w:vAlign w:val="bottom"/>
          </w:tcPr>
          <w:p>
            <w:pPr>
              <w:spacing w:after="0"/>
              <w:rPr>
                <w:sz w:val="24"/>
                <w:szCs w:val="24"/>
                <w:color w:val="auto"/>
              </w:rPr>
            </w:pPr>
          </w:p>
        </w:tc>
        <w:tc>
          <w:tcPr>
            <w:tcW w:w="1720" w:type="dxa"/>
            <w:vAlign w:val="bottom"/>
          </w:tcPr>
          <w:p>
            <w:pPr>
              <w:spacing w:after="0"/>
              <w:rPr>
                <w:sz w:val="24"/>
                <w:szCs w:val="24"/>
                <w:color w:val="auto"/>
              </w:rPr>
            </w:pPr>
          </w:p>
        </w:tc>
      </w:tr>
      <w:tr>
        <w:trPr>
          <w:trHeight w:val="441"/>
        </w:trPr>
        <w:tc>
          <w:tcPr>
            <w:tcW w:w="8280" w:type="dxa"/>
            <w:vAlign w:val="bottom"/>
            <w:gridSpan w:val="9"/>
          </w:tcPr>
          <w:p>
            <w:pPr>
              <w:spacing w:after="0"/>
              <w:rPr>
                <w:sz w:val="20"/>
                <w:szCs w:val="20"/>
                <w:color w:val="auto"/>
              </w:rPr>
            </w:pPr>
            <w:r>
              <w:rPr>
                <w:rFonts w:ascii="Arial" w:cs="Arial" w:eastAsia="Arial" w:hAnsi="Arial"/>
                <w:sz w:val="20"/>
                <w:szCs w:val="20"/>
                <w:color w:val="auto"/>
              </w:rPr>
              <w:t>The undersigned Responsible Officer hereby certifies as of the date hereof that he/she is the</w:t>
            </w:r>
          </w:p>
        </w:tc>
        <w:tc>
          <w:tcPr>
            <w:tcW w:w="3060" w:type="dxa"/>
            <w:vAlign w:val="bottom"/>
            <w:gridSpan w:val="2"/>
          </w:tcPr>
          <w:p>
            <w:pPr>
              <w:ind w:left="340"/>
              <w:spacing w:after="0"/>
              <w:rPr>
                <w:sz w:val="20"/>
                <w:szCs w:val="20"/>
                <w:color w:val="auto"/>
              </w:rPr>
            </w:pPr>
            <w:r>
              <w:rPr>
                <w:rFonts w:ascii="Arial" w:cs="Arial" w:eastAsia="Arial" w:hAnsi="Arial"/>
                <w:sz w:val="20"/>
                <w:szCs w:val="20"/>
                <w:color w:val="auto"/>
              </w:rPr>
              <w:t>of Euronet Worldwide, Inc., a</w:t>
            </w:r>
          </w:p>
        </w:tc>
      </w:tr>
    </w:tbl>
    <w:p>
      <w:pPr>
        <w:jc w:val="both"/>
        <w:ind w:right="20"/>
        <w:spacing w:after="0" w:line="244" w:lineRule="auto"/>
        <w:rPr>
          <w:sz w:val="20"/>
          <w:szCs w:val="20"/>
          <w:color w:val="auto"/>
        </w:rPr>
      </w:pPr>
      <w:r>
        <w:rPr>
          <w:rFonts w:ascii="Arial" w:cs="Arial" w:eastAsia="Arial" w:hAnsi="Arial"/>
          <w:sz w:val="20"/>
          <w:szCs w:val="20"/>
          <w:color w:val="auto"/>
        </w:rPr>
        <w:t>Delaware corporation ( “</w:t>
      </w:r>
      <w:r>
        <w:rPr>
          <w:rFonts w:ascii="Arial" w:cs="Arial" w:eastAsia="Arial" w:hAnsi="Arial"/>
          <w:sz w:val="20"/>
          <w:szCs w:val="20"/>
          <w:u w:val="single" w:color="auto"/>
          <w:color w:val="auto"/>
        </w:rPr>
        <w:t>EWI</w:t>
      </w:r>
      <w:r>
        <w:rPr>
          <w:rFonts w:ascii="Arial" w:cs="Arial" w:eastAsia="Arial" w:hAnsi="Arial"/>
          <w:sz w:val="20"/>
          <w:szCs w:val="20"/>
          <w:color w:val="auto"/>
        </w:rPr>
        <w:t>”), and that, as such, he/she is authorized to execute and deliver this Compliance Certificate to the Administrative Agent on the behalf of EWI, and that:</w:t>
      </w:r>
    </w:p>
    <w:p>
      <w:pPr>
        <w:spacing w:after="0" w:line="192" w:lineRule="exact"/>
        <w:rPr>
          <w:sz w:val="20"/>
          <w:szCs w:val="20"/>
          <w:color w:val="auto"/>
        </w:rPr>
      </w:pPr>
    </w:p>
    <w:p>
      <w:pPr>
        <w:ind w:left="80"/>
        <w:spacing w:after="0" w:line="230" w:lineRule="exact"/>
        <w:rPr>
          <w:sz w:val="20"/>
          <w:szCs w:val="20"/>
          <w:color w:val="auto"/>
        </w:rPr>
      </w:pPr>
      <w:r>
        <w:rPr>
          <w:rFonts w:ascii="Arial" w:cs="Arial" w:eastAsia="Arial" w:hAnsi="Arial"/>
          <w:sz w:val="20"/>
          <w:szCs w:val="20"/>
          <w:color w:val="auto"/>
        </w:rPr>
        <w:t>[Use following paragraph 1 for fiscal year</w:t>
      </w:r>
      <w:r>
        <w:rPr>
          <w:rFonts w:ascii="MS PGothic" w:cs="MS PGothic" w:eastAsia="MS PGothic" w:hAnsi="MS PGothic"/>
          <w:sz w:val="20"/>
          <w:szCs w:val="20"/>
          <w:color w:val="auto"/>
        </w:rPr>
        <w:t>‑</w:t>
      </w:r>
      <w:r>
        <w:rPr>
          <w:rFonts w:ascii="Arial" w:cs="Arial" w:eastAsia="Arial" w:hAnsi="Arial"/>
          <w:sz w:val="20"/>
          <w:szCs w:val="20"/>
          <w:color w:val="auto"/>
        </w:rPr>
        <w:t>end financial statements:]</w:t>
      </w:r>
    </w:p>
    <w:p>
      <w:pPr>
        <w:spacing w:after="0" w:line="216" w:lineRule="exact"/>
        <w:rPr>
          <w:sz w:val="20"/>
          <w:szCs w:val="20"/>
          <w:color w:val="auto"/>
        </w:rPr>
      </w:pPr>
    </w:p>
    <w:p>
      <w:pPr>
        <w:ind w:firstLine="648"/>
        <w:spacing w:after="0" w:line="235" w:lineRule="exact"/>
        <w:rPr>
          <w:sz w:val="20"/>
          <w:szCs w:val="20"/>
          <w:color w:val="auto"/>
        </w:rPr>
      </w:pPr>
      <w:r>
        <w:rPr>
          <w:rFonts w:ascii="Arial" w:cs="Arial" w:eastAsia="Arial" w:hAnsi="Arial"/>
          <w:sz w:val="20"/>
          <w:szCs w:val="20"/>
          <w:color w:val="auto"/>
        </w:rPr>
        <w:t xml:space="preserve">[1. [Attached hereto as </w:t>
      </w:r>
      <w:r>
        <w:rPr>
          <w:rFonts w:ascii="Arial" w:cs="Arial" w:eastAsia="Arial" w:hAnsi="Arial"/>
          <w:sz w:val="20"/>
          <w:szCs w:val="20"/>
          <w:u w:val="single" w:color="auto"/>
          <w:color w:val="auto"/>
        </w:rPr>
        <w:t>Schedule 1</w:t>
      </w:r>
      <w:r>
        <w:rPr>
          <w:rFonts w:ascii="Arial" w:cs="Arial" w:eastAsia="Arial" w:hAnsi="Arial"/>
          <w:sz w:val="20"/>
          <w:szCs w:val="20"/>
          <w:color w:val="auto"/>
        </w:rPr>
        <w:t xml:space="preserve"> are the] [The] year</w:t>
      </w:r>
      <w:r>
        <w:rPr>
          <w:rFonts w:ascii="MS PGothic" w:cs="MS PGothic" w:eastAsia="MS PGothic" w:hAnsi="MS PGothic"/>
          <w:sz w:val="20"/>
          <w:szCs w:val="20"/>
          <w:color w:val="auto"/>
        </w:rPr>
        <w:t>‑</w:t>
      </w:r>
      <w:r>
        <w:rPr>
          <w:rFonts w:ascii="Arial" w:cs="Arial" w:eastAsia="Arial" w:hAnsi="Arial"/>
          <w:sz w:val="20"/>
          <w:szCs w:val="20"/>
          <w:color w:val="auto"/>
        </w:rPr>
        <w:t>end audited financial statements required by Section 7.01(a) of the Credit Agreement for the fiscal year of EWI ended as of the above date, together with the report and opinion of an independent certified public accountant of nationally recognized standing required by such section [have been electronically delivered to the Administrative Agent pursuant to the conditions set forth in Section 7.02 of the Credit Agreement].]</w:t>
      </w:r>
    </w:p>
    <w:p>
      <w:pPr>
        <w:spacing w:after="0" w:line="195" w:lineRule="exact"/>
        <w:rPr>
          <w:sz w:val="20"/>
          <w:szCs w:val="20"/>
          <w:color w:val="auto"/>
        </w:rPr>
      </w:pPr>
    </w:p>
    <w:p>
      <w:pPr>
        <w:spacing w:after="0" w:line="230" w:lineRule="exact"/>
        <w:rPr>
          <w:sz w:val="20"/>
          <w:szCs w:val="20"/>
          <w:color w:val="auto"/>
        </w:rPr>
      </w:pPr>
      <w:r>
        <w:rPr>
          <w:rFonts w:ascii="Arial" w:cs="Arial" w:eastAsia="Arial" w:hAnsi="Arial"/>
          <w:sz w:val="20"/>
          <w:szCs w:val="20"/>
          <w:color w:val="auto"/>
        </w:rPr>
        <w:t>[Use following paragraph 1 for fiscal quarter</w:t>
      </w:r>
      <w:r>
        <w:rPr>
          <w:rFonts w:ascii="MS PGothic" w:cs="MS PGothic" w:eastAsia="MS PGothic" w:hAnsi="MS PGothic"/>
          <w:sz w:val="20"/>
          <w:szCs w:val="20"/>
          <w:color w:val="auto"/>
        </w:rPr>
        <w:t>‑</w:t>
      </w:r>
      <w:r>
        <w:rPr>
          <w:rFonts w:ascii="Arial" w:cs="Arial" w:eastAsia="Arial" w:hAnsi="Arial"/>
          <w:sz w:val="20"/>
          <w:szCs w:val="20"/>
          <w:color w:val="auto"/>
        </w:rPr>
        <w:t>end financial statements:]</w:t>
      </w:r>
    </w:p>
    <w:p>
      <w:pPr>
        <w:spacing w:after="0" w:line="216" w:lineRule="exact"/>
        <w:rPr>
          <w:sz w:val="20"/>
          <w:szCs w:val="20"/>
          <w:color w:val="auto"/>
        </w:rPr>
      </w:pPr>
    </w:p>
    <w:p>
      <w:pPr>
        <w:ind w:right="40" w:firstLine="648"/>
        <w:spacing w:after="0" w:line="234" w:lineRule="exact"/>
        <w:rPr>
          <w:sz w:val="20"/>
          <w:szCs w:val="20"/>
          <w:color w:val="auto"/>
        </w:rPr>
      </w:pPr>
      <w:r>
        <w:rPr>
          <w:rFonts w:ascii="Arial" w:cs="Arial" w:eastAsia="Arial" w:hAnsi="Arial"/>
          <w:sz w:val="18"/>
          <w:szCs w:val="18"/>
          <w:color w:val="auto"/>
        </w:rPr>
        <w:t xml:space="preserve">[1. [Attached hereto as </w:t>
      </w:r>
      <w:r>
        <w:rPr>
          <w:rFonts w:ascii="Arial" w:cs="Arial" w:eastAsia="Arial" w:hAnsi="Arial"/>
          <w:sz w:val="18"/>
          <w:szCs w:val="18"/>
          <w:u w:val="single" w:color="auto"/>
          <w:color w:val="auto"/>
        </w:rPr>
        <w:t>Schedule 1</w:t>
      </w:r>
      <w:r>
        <w:rPr>
          <w:rFonts w:ascii="Arial" w:cs="Arial" w:eastAsia="Arial" w:hAnsi="Arial"/>
          <w:sz w:val="18"/>
          <w:szCs w:val="18"/>
          <w:color w:val="auto"/>
        </w:rPr>
        <w:t xml:space="preserve"> are the] [The] unaudited financial statements required by Section 7.01(b) of the Credit Agreement for the fiscal quarter of EWI ended as of the above date [have been electronically delivered to the Administrative Agent pursuant to the conditions set forth in Section 7.02 of the Credit Agreement]. Such financial statements fairly present in all material respects the financial condition, results of income or operations, shareholders' equity and cash flows of the Consolidated Group in accordance with GAAP as at such date and for such period, subject only to normal year</w:t>
      </w:r>
      <w:r>
        <w:rPr>
          <w:rFonts w:ascii="MS PGothic" w:cs="MS PGothic" w:eastAsia="MS PGothic" w:hAnsi="MS PGothic"/>
          <w:sz w:val="18"/>
          <w:szCs w:val="18"/>
          <w:color w:val="auto"/>
        </w:rPr>
        <w:t>‑</w:t>
      </w:r>
      <w:r>
        <w:rPr>
          <w:rFonts w:ascii="Arial" w:cs="Arial" w:eastAsia="Arial" w:hAnsi="Arial"/>
          <w:sz w:val="18"/>
          <w:szCs w:val="18"/>
          <w:color w:val="auto"/>
        </w:rPr>
        <w:t>end audit adjustments and the absence of footnotes.]</w:t>
      </w:r>
    </w:p>
    <w:p>
      <w:pPr>
        <w:sectPr>
          <w:pgSz w:w="11900" w:h="16838" w:orient="portrait"/>
          <w:cols w:equalWidth="0" w:num="1">
            <w:col w:w="11360"/>
          </w:cols>
          <w:pgMar w:left="240" w:top="582" w:right="299" w:bottom="1440" w:gutter="0" w:footer="0" w:header="0"/>
        </w:sectPr>
      </w:pPr>
    </w:p>
    <w:bookmarkStart w:id="319" w:name="page320"/>
    <w:bookmarkEnd w:id="319"/>
    <w:p>
      <w:pPr>
        <w:jc w:val="both"/>
        <w:ind w:right="340" w:firstLine="656"/>
        <w:spacing w:after="0" w:line="250" w:lineRule="auto"/>
        <w:tabs>
          <w:tab w:leader="none" w:pos="977" w:val="left"/>
        </w:tabs>
        <w:numPr>
          <w:ilvl w:val="0"/>
          <w:numId w:val="295"/>
        </w:numPr>
        <w:rPr>
          <w:rFonts w:ascii="Arial" w:cs="Arial" w:eastAsia="Arial" w:hAnsi="Arial"/>
          <w:sz w:val="20"/>
          <w:szCs w:val="20"/>
          <w:color w:val="auto"/>
        </w:rPr>
      </w:pPr>
      <w:r>
        <w:rPr>
          <w:rFonts w:ascii="Arial" w:cs="Arial" w:eastAsia="Arial" w:hAnsi="Arial"/>
          <w:sz w:val="20"/>
          <w:szCs w:val="20"/>
          <w:color w:val="auto"/>
        </w:rPr>
        <w:t>The undersigned has reviewed and is familiar with the terms of the Credit Agreement and has made, or has caused to be made under his/her supervision, a detailed review of the transactions and condition (financial or otherwise) of the Consolidated Group during the accounting period covered by the attached financial statements.</w:t>
      </w:r>
    </w:p>
    <w:p>
      <w:pPr>
        <w:spacing w:after="0" w:line="186" w:lineRule="exact"/>
        <w:rPr>
          <w:rFonts w:ascii="Arial" w:cs="Arial" w:eastAsia="Arial" w:hAnsi="Arial"/>
          <w:sz w:val="20"/>
          <w:szCs w:val="20"/>
          <w:color w:val="auto"/>
        </w:rPr>
      </w:pPr>
    </w:p>
    <w:p>
      <w:pPr>
        <w:ind w:right="40" w:firstLine="656"/>
        <w:spacing w:after="0" w:line="250" w:lineRule="auto"/>
        <w:tabs>
          <w:tab w:leader="none" w:pos="977" w:val="left"/>
        </w:tabs>
        <w:numPr>
          <w:ilvl w:val="0"/>
          <w:numId w:val="295"/>
        </w:numPr>
        <w:rPr>
          <w:rFonts w:ascii="Arial" w:cs="Arial" w:eastAsia="Arial" w:hAnsi="Arial"/>
          <w:sz w:val="20"/>
          <w:szCs w:val="20"/>
          <w:color w:val="auto"/>
        </w:rPr>
      </w:pPr>
      <w:r>
        <w:rPr>
          <w:rFonts w:ascii="Arial" w:cs="Arial" w:eastAsia="Arial" w:hAnsi="Arial"/>
          <w:sz w:val="20"/>
          <w:szCs w:val="20"/>
          <w:color w:val="auto"/>
        </w:rPr>
        <w:t>A review of the activities of the Credit Parties during such fiscal period has been made under the supervision of the undersigned with a view to determining whether during such fiscal period each of the Credit Parties performed and observed all of the covenants applicable to it under the Credit Documents, and</w:t>
      </w:r>
    </w:p>
    <w:p>
      <w:pPr>
        <w:spacing w:after="0" w:line="186" w:lineRule="exact"/>
        <w:rPr>
          <w:sz w:val="20"/>
          <w:szCs w:val="20"/>
          <w:color w:val="auto"/>
        </w:rPr>
      </w:pPr>
    </w:p>
    <w:p>
      <w:pPr>
        <w:spacing w:after="0"/>
        <w:rPr>
          <w:sz w:val="20"/>
          <w:szCs w:val="20"/>
          <w:color w:val="auto"/>
        </w:rPr>
      </w:pPr>
      <w:r>
        <w:rPr>
          <w:rFonts w:ascii="Arial" w:cs="Arial" w:eastAsia="Arial" w:hAnsi="Arial"/>
          <w:sz w:val="20"/>
          <w:szCs w:val="20"/>
          <w:color w:val="auto"/>
        </w:rPr>
        <w:t>[select one:]</w:t>
      </w:r>
    </w:p>
    <w:p>
      <w:pPr>
        <w:spacing w:after="0" w:line="216" w:lineRule="exact"/>
        <w:rPr>
          <w:sz w:val="20"/>
          <w:szCs w:val="20"/>
          <w:color w:val="auto"/>
        </w:rPr>
      </w:pPr>
    </w:p>
    <w:p>
      <w:pPr>
        <w:spacing w:after="0"/>
        <w:rPr>
          <w:sz w:val="20"/>
          <w:szCs w:val="20"/>
          <w:color w:val="auto"/>
        </w:rPr>
      </w:pPr>
      <w:r>
        <w:rPr>
          <w:rFonts w:ascii="Arial" w:cs="Arial" w:eastAsia="Arial" w:hAnsi="Arial"/>
          <w:sz w:val="20"/>
          <w:szCs w:val="20"/>
          <w:color w:val="auto"/>
        </w:rPr>
        <w:t>[to the best knowledge of the undersigned, no Default or Event of Default exists as of the date hereof.]</w:t>
      </w:r>
    </w:p>
    <w:p>
      <w:pPr>
        <w:spacing w:after="0" w:line="216" w:lineRule="exact"/>
        <w:rPr>
          <w:sz w:val="20"/>
          <w:szCs w:val="20"/>
          <w:color w:val="auto"/>
        </w:rPr>
      </w:pPr>
    </w:p>
    <w:p>
      <w:pPr>
        <w:spacing w:after="0" w:line="230" w:lineRule="exact"/>
        <w:rPr>
          <w:sz w:val="20"/>
          <w:szCs w:val="20"/>
          <w:color w:val="auto"/>
        </w:rPr>
      </w:pPr>
      <w:r>
        <w:rPr>
          <w:rFonts w:ascii="MS PGothic" w:cs="MS PGothic" w:eastAsia="MS PGothic" w:hAnsi="MS PGothic"/>
          <w:sz w:val="20"/>
          <w:szCs w:val="20"/>
          <w:color w:val="auto"/>
        </w:rPr>
        <w:t>‑‑</w:t>
      </w:r>
      <w:r>
        <w:rPr>
          <w:rFonts w:ascii="Arial" w:cs="Arial" w:eastAsia="Arial" w:hAnsi="Arial"/>
          <w:sz w:val="20"/>
          <w:szCs w:val="20"/>
          <w:color w:val="auto"/>
        </w:rPr>
        <w:t>or</w:t>
      </w:r>
      <w:r>
        <w:rPr>
          <w:rFonts w:ascii="MS PGothic" w:cs="MS PGothic" w:eastAsia="MS PGothic" w:hAnsi="MS PGothic"/>
          <w:sz w:val="20"/>
          <w:szCs w:val="20"/>
          <w:color w:val="auto"/>
        </w:rPr>
        <w:t>‑‑</w:t>
      </w:r>
    </w:p>
    <w:p>
      <w:pPr>
        <w:spacing w:after="0" w:line="216" w:lineRule="exact"/>
        <w:rPr>
          <w:sz w:val="20"/>
          <w:szCs w:val="20"/>
          <w:color w:val="auto"/>
        </w:rPr>
      </w:pPr>
    </w:p>
    <w:p>
      <w:pPr>
        <w:ind w:right="260"/>
        <w:spacing w:after="0" w:line="260" w:lineRule="auto"/>
        <w:rPr>
          <w:sz w:val="20"/>
          <w:szCs w:val="20"/>
          <w:color w:val="auto"/>
        </w:rPr>
      </w:pPr>
      <w:r>
        <w:rPr>
          <w:rFonts w:ascii="Arial" w:cs="Arial" w:eastAsia="Arial" w:hAnsi="Arial"/>
          <w:sz w:val="20"/>
          <w:szCs w:val="20"/>
          <w:color w:val="auto"/>
        </w:rPr>
        <w:t>[the following is a list of each Default or Event of Default that exists as of the date hereof and its nature and the extent thereof and proposed actions with respect thereto: [DESCRIBE].]</w:t>
      </w:r>
    </w:p>
    <w:p>
      <w:pPr>
        <w:spacing w:after="0" w:line="177" w:lineRule="exact"/>
        <w:rPr>
          <w:sz w:val="20"/>
          <w:szCs w:val="20"/>
          <w:color w:val="auto"/>
        </w:rPr>
      </w:pPr>
    </w:p>
    <w:p>
      <w:pPr>
        <w:ind w:firstLine="656"/>
        <w:spacing w:after="0" w:line="258" w:lineRule="auto"/>
        <w:tabs>
          <w:tab w:leader="none" w:pos="977" w:val="left"/>
        </w:tabs>
        <w:numPr>
          <w:ilvl w:val="0"/>
          <w:numId w:val="296"/>
        </w:numPr>
        <w:rPr>
          <w:rFonts w:ascii="Arial" w:cs="Arial" w:eastAsia="Arial" w:hAnsi="Arial"/>
          <w:sz w:val="19"/>
          <w:szCs w:val="19"/>
          <w:color w:val="auto"/>
        </w:rPr>
      </w:pPr>
      <w:r>
        <w:rPr>
          <w:rFonts w:ascii="Arial" w:cs="Arial" w:eastAsia="Arial" w:hAnsi="Arial"/>
          <w:sz w:val="19"/>
          <w:szCs w:val="19"/>
          <w:color w:val="auto"/>
        </w:rPr>
        <w:t>The representations and warranties of the Credit Parties contained in Article VI of the Credit Agreement, or that are contained in any document furnished at any time under or in connection with the Credit Documents, are true and correct in all material respects on and as of the date hereof, except to the extent that such representations and warranties specifically refer to an earlier date, in which case they are true and correct in all material respects as of such earlier date, and except that for purposes of this Compliance Certificate, the representations and warranties contained in subsections (a) and (b) of Section 6.05 of the Credit Agreement shall be deemed to refer to the most recent statements furnished pursuant to clauses (a) and (b), respectively, of Section 7.01 of the Credit Agreement, including the statements in connection with which this Compliance Certificate is delivered.</w:t>
      </w:r>
    </w:p>
    <w:p>
      <w:pPr>
        <w:spacing w:after="0" w:line="179" w:lineRule="exact"/>
        <w:rPr>
          <w:rFonts w:ascii="Arial" w:cs="Arial" w:eastAsia="Arial" w:hAnsi="Arial"/>
          <w:sz w:val="19"/>
          <w:szCs w:val="19"/>
          <w:color w:val="auto"/>
        </w:rPr>
      </w:pPr>
    </w:p>
    <w:p>
      <w:pPr>
        <w:ind w:right="220" w:firstLine="656"/>
        <w:spacing w:after="0" w:line="250" w:lineRule="auto"/>
        <w:tabs>
          <w:tab w:leader="none" w:pos="977" w:val="left"/>
        </w:tabs>
        <w:numPr>
          <w:ilvl w:val="0"/>
          <w:numId w:val="296"/>
        </w:numPr>
        <w:rPr>
          <w:rFonts w:ascii="Arial" w:cs="Arial" w:eastAsia="Arial" w:hAnsi="Arial"/>
          <w:sz w:val="20"/>
          <w:szCs w:val="20"/>
          <w:color w:val="auto"/>
        </w:rPr>
      </w:pPr>
      <w:r>
        <w:rPr>
          <w:rFonts w:ascii="Arial" w:cs="Arial" w:eastAsia="Arial" w:hAnsi="Arial"/>
          <w:sz w:val="20"/>
          <w:szCs w:val="20"/>
          <w:color w:val="auto"/>
        </w:rPr>
        <w:t xml:space="preserve">The financial covenant and other covenant compliance analyses and information set forth on </w:t>
      </w:r>
      <w:r>
        <w:rPr>
          <w:rFonts w:ascii="Arial" w:cs="Arial" w:eastAsia="Arial" w:hAnsi="Arial"/>
          <w:sz w:val="20"/>
          <w:szCs w:val="20"/>
          <w:u w:val="single" w:color="auto"/>
          <w:color w:val="auto"/>
        </w:rPr>
        <w:t>Schedule [1][2]</w:t>
      </w:r>
      <w:r>
        <w:rPr>
          <w:rFonts w:ascii="Arial" w:cs="Arial" w:eastAsia="Arial" w:hAnsi="Arial"/>
          <w:sz w:val="20"/>
          <w:szCs w:val="20"/>
          <w:color w:val="auto"/>
        </w:rPr>
        <w:t xml:space="preserve"> attached hereto are true and accurate on and as of the date of this Compliance Certificate. The Borrowers are [not] in compliance with each of the financial covenants contained in Section 8.12 of the Credit Agreement.</w:t>
      </w:r>
    </w:p>
    <w:p>
      <w:pPr>
        <w:spacing w:after="0" w:line="186" w:lineRule="exact"/>
        <w:rPr>
          <w:sz w:val="20"/>
          <w:szCs w:val="20"/>
          <w:color w:val="auto"/>
        </w:rPr>
      </w:pPr>
    </w:p>
    <w:p>
      <w:pPr>
        <w:ind w:right="340" w:firstLine="648"/>
        <w:spacing w:after="0" w:line="246" w:lineRule="auto"/>
        <w:rPr>
          <w:sz w:val="20"/>
          <w:szCs w:val="20"/>
          <w:color w:val="auto"/>
        </w:rPr>
      </w:pPr>
      <w:r>
        <w:rPr>
          <w:rFonts w:ascii="Arial" w:cs="Arial" w:eastAsia="Arial" w:hAnsi="Arial"/>
          <w:sz w:val="20"/>
          <w:szCs w:val="20"/>
          <w:color w:val="auto"/>
        </w:rPr>
        <w:t>[6. Set forth below is a summary of all material changes in GAAP or in the consistent application thereof and material changes in accounting policies or financial reporting practices during the most recent fiscal quarter ending prior to the date hereof and a reconciliation between calculation of the financial covenants (and determination of the applicable pricing level under the definition of “Applicable Percentage”) before and after giving effect to such changes:]</w:t>
      </w:r>
    </w:p>
    <w:p>
      <w:pPr>
        <w:spacing w:after="0" w:line="200" w:lineRule="exact"/>
        <w:rPr>
          <w:sz w:val="20"/>
          <w:szCs w:val="20"/>
          <w:color w:val="auto"/>
        </w:rPr>
      </w:pPr>
    </w:p>
    <w:p>
      <w:pPr>
        <w:spacing w:after="0" w:line="208" w:lineRule="exact"/>
        <w:rPr>
          <w:sz w:val="20"/>
          <w:szCs w:val="20"/>
          <w:color w:val="auto"/>
        </w:rPr>
      </w:pPr>
    </w:p>
    <w:p>
      <w:pPr>
        <w:ind w:left="3900"/>
        <w:spacing w:after="0"/>
        <w:rPr>
          <w:sz w:val="20"/>
          <w:szCs w:val="20"/>
          <w:color w:val="auto"/>
        </w:rPr>
      </w:pPr>
      <w:r>
        <w:rPr>
          <w:rFonts w:ascii="Arial" w:cs="Arial" w:eastAsia="Arial" w:hAnsi="Arial"/>
          <w:sz w:val="20"/>
          <w:szCs w:val="20"/>
          <w:color w:val="auto"/>
        </w:rPr>
        <w:t>Euronet Worldwide, Inc.,</w:t>
      </w:r>
    </w:p>
    <w:p>
      <w:pPr>
        <w:spacing w:after="0" w:line="16" w:lineRule="exact"/>
        <w:rPr>
          <w:sz w:val="20"/>
          <w:szCs w:val="20"/>
          <w:color w:val="auto"/>
        </w:rPr>
      </w:pPr>
    </w:p>
    <w:p>
      <w:pPr>
        <w:ind w:left="3900"/>
        <w:spacing w:after="0"/>
        <w:rPr>
          <w:sz w:val="20"/>
          <w:szCs w:val="20"/>
          <w:color w:val="auto"/>
        </w:rPr>
      </w:pPr>
      <w:r>
        <w:rPr>
          <w:rFonts w:ascii="Arial" w:cs="Arial" w:eastAsia="Arial" w:hAnsi="Arial"/>
          <w:sz w:val="20"/>
          <w:szCs w:val="20"/>
          <w:color w:val="auto"/>
        </w:rPr>
        <w:t>a Delaware corporation</w:t>
      </w:r>
    </w:p>
    <w:p>
      <w:pPr>
        <w:spacing w:after="0" w:line="200" w:lineRule="exact"/>
        <w:rPr>
          <w:sz w:val="20"/>
          <w:szCs w:val="20"/>
          <w:color w:val="auto"/>
        </w:rPr>
      </w:pPr>
    </w:p>
    <w:p>
      <w:pPr>
        <w:spacing w:after="0" w:line="216" w:lineRule="exact"/>
        <w:rPr>
          <w:sz w:val="20"/>
          <w:szCs w:val="20"/>
          <w:color w:val="auto"/>
        </w:rPr>
      </w:pPr>
    </w:p>
    <w:p>
      <w:pPr>
        <w:ind w:left="3900"/>
        <w:spacing w:after="0"/>
        <w:rPr>
          <w:sz w:val="20"/>
          <w:szCs w:val="20"/>
          <w:color w:val="auto"/>
        </w:rPr>
      </w:pPr>
      <w:r>
        <w:rPr>
          <w:rFonts w:ascii="Arial" w:cs="Arial" w:eastAsia="Arial" w:hAnsi="Arial"/>
          <w:sz w:val="20"/>
          <w:szCs w:val="20"/>
          <w:color w:val="auto"/>
        </w:rPr>
        <w:t>By:</w:t>
      </w:r>
    </w:p>
    <w:p>
      <w:pPr>
        <w:spacing w:after="0" w:line="15" w:lineRule="exact"/>
        <w:rPr>
          <w:sz w:val="20"/>
          <w:szCs w:val="20"/>
          <w:color w:val="auto"/>
        </w:rPr>
      </w:pPr>
    </w:p>
    <w:p>
      <w:pPr>
        <w:ind w:left="3900"/>
        <w:spacing w:after="0"/>
        <w:rPr>
          <w:sz w:val="20"/>
          <w:szCs w:val="20"/>
          <w:color w:val="auto"/>
        </w:rPr>
      </w:pPr>
      <w:r>
        <w:rPr>
          <w:rFonts w:ascii="Arial" w:cs="Arial" w:eastAsia="Arial" w:hAnsi="Arial"/>
          <w:sz w:val="20"/>
          <w:szCs w:val="20"/>
          <w:color w:val="auto"/>
        </w:rPr>
        <w:t>Name:</w:t>
      </w:r>
    </w:p>
    <w:p>
      <w:pPr>
        <w:ind w:left="3900"/>
        <w:spacing w:after="0"/>
        <w:rPr>
          <w:sz w:val="20"/>
          <w:szCs w:val="20"/>
          <w:color w:val="auto"/>
        </w:rPr>
      </w:pPr>
      <w:r>
        <w:rPr>
          <w:rFonts w:ascii="Arial" w:cs="Arial" w:eastAsia="Arial" w:hAnsi="Arial"/>
          <w:sz w:val="20"/>
          <w:szCs w:val="20"/>
          <w:color w:val="auto"/>
        </w:rPr>
        <w:t>Title:</w:t>
      </w:r>
    </w:p>
    <w:p>
      <w:pPr>
        <w:sectPr>
          <w:pgSz w:w="11900" w:h="16838" w:orient="portrait"/>
          <w:cols w:equalWidth="0" w:num="1">
            <w:col w:w="11360"/>
          </w:cols>
          <w:pgMar w:left="240" w:top="582" w:right="299" w:bottom="1440" w:gutter="0" w:footer="0" w:header="0"/>
        </w:sectPr>
      </w:pPr>
    </w:p>
    <w:bookmarkStart w:id="320" w:name="page321"/>
    <w:bookmarkEnd w:id="320"/>
    <w:p>
      <w:pPr>
        <w:jc w:val="center"/>
        <w:ind w:right="-99"/>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Schedule 1</w:t>
      </w:r>
    </w:p>
    <w:p>
      <w:pPr>
        <w:spacing w:after="0" w:line="16" w:lineRule="exact"/>
        <w:rPr>
          <w:sz w:val="20"/>
          <w:szCs w:val="20"/>
          <w:color w:val="auto"/>
        </w:rPr>
      </w:pPr>
    </w:p>
    <w:p>
      <w:pPr>
        <w:jc w:val="center"/>
        <w:ind w:right="-99"/>
        <w:spacing w:after="0"/>
        <w:rPr>
          <w:sz w:val="20"/>
          <w:szCs w:val="20"/>
          <w:color w:val="auto"/>
        </w:rPr>
      </w:pPr>
      <w:r>
        <w:rPr>
          <w:rFonts w:ascii="Arial" w:cs="Arial" w:eastAsia="Arial" w:hAnsi="Arial"/>
          <w:sz w:val="20"/>
          <w:szCs w:val="20"/>
          <w:color w:val="auto"/>
        </w:rPr>
        <w:t>to Compliance Certificate</w:t>
      </w:r>
    </w:p>
    <w:p>
      <w:pPr>
        <w:spacing w:after="0" w:line="200" w:lineRule="exact"/>
        <w:rPr>
          <w:sz w:val="20"/>
          <w:szCs w:val="20"/>
          <w:color w:val="auto"/>
        </w:rPr>
      </w:pPr>
    </w:p>
    <w:p>
      <w:pPr>
        <w:jc w:val="center"/>
        <w:ind w:right="-99"/>
        <w:spacing w:after="0"/>
        <w:rPr>
          <w:sz w:val="20"/>
          <w:szCs w:val="20"/>
          <w:color w:val="auto"/>
        </w:rPr>
      </w:pPr>
      <w:r>
        <w:rPr>
          <w:rFonts w:ascii="Arial" w:cs="Arial" w:eastAsia="Arial" w:hAnsi="Arial"/>
          <w:sz w:val="20"/>
          <w:szCs w:val="20"/>
          <w:color w:val="auto"/>
        </w:rPr>
        <w:t>FINANCIAL STATEMENTS AND RELATED DELIVERIES</w:t>
      </w:r>
    </w:p>
    <w:p>
      <w:pPr>
        <w:spacing w:after="0" w:line="200" w:lineRule="exact"/>
        <w:rPr>
          <w:sz w:val="20"/>
          <w:szCs w:val="20"/>
          <w:color w:val="auto"/>
        </w:rPr>
      </w:pPr>
    </w:p>
    <w:p>
      <w:pPr>
        <w:spacing w:after="0" w:line="232" w:lineRule="exact"/>
        <w:rPr>
          <w:sz w:val="20"/>
          <w:szCs w:val="20"/>
          <w:color w:val="auto"/>
        </w:rPr>
      </w:pPr>
    </w:p>
    <w:p>
      <w:pPr>
        <w:ind w:left="4660"/>
        <w:spacing w:after="0"/>
        <w:rPr>
          <w:sz w:val="20"/>
          <w:szCs w:val="20"/>
          <w:color w:val="auto"/>
        </w:rPr>
      </w:pPr>
      <w:r>
        <w:rPr>
          <w:rFonts w:ascii="Arial" w:cs="Arial" w:eastAsia="Arial" w:hAnsi="Arial"/>
          <w:sz w:val="20"/>
          <w:szCs w:val="20"/>
          <w:color w:val="auto"/>
        </w:rPr>
        <w:t>(attached)]</w:t>
      </w:r>
      <w:r>
        <w:rPr>
          <w:rFonts w:ascii="Arial" w:cs="Arial" w:eastAsia="Arial" w:hAnsi="Arial"/>
          <w:sz w:val="20"/>
          <w:szCs w:val="20"/>
          <w:u w:val="single" w:color="auto"/>
          <w:color w:val="auto"/>
        </w:rPr>
        <w:t>Schedule [1][2]</w:t>
      </w:r>
    </w:p>
    <w:p>
      <w:pPr>
        <w:spacing w:after="0" w:line="16" w:lineRule="exact"/>
        <w:rPr>
          <w:sz w:val="20"/>
          <w:szCs w:val="20"/>
          <w:color w:val="auto"/>
        </w:rPr>
      </w:pPr>
    </w:p>
    <w:p>
      <w:pPr>
        <w:ind w:left="4700"/>
        <w:spacing w:after="0"/>
        <w:rPr>
          <w:sz w:val="20"/>
          <w:szCs w:val="20"/>
          <w:color w:val="auto"/>
        </w:rPr>
      </w:pPr>
      <w:r>
        <w:rPr>
          <w:rFonts w:ascii="Arial" w:cs="Arial" w:eastAsia="Arial" w:hAnsi="Arial"/>
          <w:sz w:val="20"/>
          <w:szCs w:val="20"/>
          <w:color w:val="auto"/>
        </w:rPr>
        <w:t>to Compliance Certificate</w:t>
      </w:r>
    </w:p>
    <w:p>
      <w:pPr>
        <w:spacing w:after="0" w:line="200" w:lineRule="exact"/>
        <w:rPr>
          <w:sz w:val="20"/>
          <w:szCs w:val="20"/>
          <w:color w:val="auto"/>
        </w:rPr>
      </w:pPr>
    </w:p>
    <w:p>
      <w:pPr>
        <w:jc w:val="center"/>
        <w:ind w:right="-99"/>
        <w:spacing w:after="0"/>
        <w:rPr>
          <w:sz w:val="20"/>
          <w:szCs w:val="20"/>
          <w:color w:val="auto"/>
        </w:rPr>
      </w:pPr>
      <w:r>
        <w:rPr>
          <w:rFonts w:ascii="Arial" w:cs="Arial" w:eastAsia="Arial" w:hAnsi="Arial"/>
          <w:sz w:val="20"/>
          <w:szCs w:val="20"/>
          <w:color w:val="auto"/>
        </w:rPr>
        <w:t>COVENANT CALCULATIONS</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99"/>
        <w:spacing w:after="0"/>
        <w:rPr>
          <w:sz w:val="20"/>
          <w:szCs w:val="20"/>
          <w:color w:val="auto"/>
        </w:rPr>
      </w:pPr>
      <w:r>
        <w:rPr>
          <w:rFonts w:ascii="Arial" w:cs="Arial" w:eastAsia="Arial" w:hAnsi="Arial"/>
          <w:sz w:val="20"/>
          <w:szCs w:val="20"/>
          <w:u w:val="single" w:color="auto"/>
          <w:color w:val="auto"/>
        </w:rPr>
        <w:t>Exhibit 7.13</w:t>
      </w:r>
    </w:p>
    <w:p>
      <w:pPr>
        <w:spacing w:after="0" w:line="216" w:lineRule="exact"/>
        <w:rPr>
          <w:sz w:val="20"/>
          <w:szCs w:val="20"/>
          <w:color w:val="auto"/>
        </w:rPr>
      </w:pPr>
    </w:p>
    <w:p>
      <w:pPr>
        <w:jc w:val="center"/>
        <w:ind w:right="-99"/>
        <w:spacing w:after="0"/>
        <w:rPr>
          <w:sz w:val="20"/>
          <w:szCs w:val="20"/>
          <w:color w:val="auto"/>
        </w:rPr>
      </w:pPr>
      <w:r>
        <w:rPr>
          <w:rFonts w:ascii="Arial" w:cs="Arial" w:eastAsia="Arial" w:hAnsi="Arial"/>
          <w:sz w:val="20"/>
          <w:szCs w:val="20"/>
          <w:color w:val="auto"/>
        </w:rPr>
        <w:t>FORM OF JOINDER AGREEMENT</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THIS JOINDER AGREEMENT (this “</w:t>
      </w:r>
      <w:r>
        <w:rPr>
          <w:rFonts w:ascii="Arial" w:cs="Arial" w:eastAsia="Arial" w:hAnsi="Arial"/>
          <w:sz w:val="18"/>
          <w:szCs w:val="18"/>
          <w:u w:val="single" w:color="auto"/>
          <w:color w:val="auto"/>
        </w:rPr>
        <w:t>Agreement</w:t>
      </w:r>
      <w:r>
        <w:rPr>
          <w:rFonts w:ascii="Arial" w:cs="Arial" w:eastAsia="Arial" w:hAnsi="Arial"/>
          <w:sz w:val="18"/>
          <w:szCs w:val="18"/>
          <w:color w:val="auto"/>
        </w:rPr>
        <w:t>”), dated as of _________ __, 20__, is by and among Euronet Worldwide, Inc., a</w:t>
      </w:r>
    </w:p>
    <w:p>
      <w:pPr>
        <w:spacing w:after="0" w:line="39" w:lineRule="exact"/>
        <w:rPr>
          <w:sz w:val="20"/>
          <w:szCs w:val="20"/>
          <w:color w:val="auto"/>
        </w:rPr>
      </w:pPr>
    </w:p>
    <w:p>
      <w:pPr>
        <w:spacing w:after="0"/>
        <w:rPr>
          <w:sz w:val="20"/>
          <w:szCs w:val="20"/>
          <w:color w:val="auto"/>
        </w:rPr>
      </w:pPr>
      <w:r>
        <w:rPr>
          <w:rFonts w:ascii="Arial" w:cs="Arial" w:eastAsia="Arial" w:hAnsi="Arial"/>
          <w:sz w:val="18"/>
          <w:szCs w:val="18"/>
          <w:color w:val="auto"/>
        </w:rPr>
        <w:t>Delaware corporation (the “</w:t>
      </w:r>
      <w:r>
        <w:rPr>
          <w:rFonts w:ascii="Arial" w:cs="Arial" w:eastAsia="Arial" w:hAnsi="Arial"/>
          <w:sz w:val="18"/>
          <w:szCs w:val="18"/>
          <w:u w:val="single" w:color="auto"/>
          <w:color w:val="auto"/>
        </w:rPr>
        <w:t>Company</w:t>
      </w:r>
      <w:r>
        <w:rPr>
          <w:rFonts w:ascii="Arial" w:cs="Arial" w:eastAsia="Arial" w:hAnsi="Arial"/>
          <w:sz w:val="18"/>
          <w:szCs w:val="18"/>
          <w:color w:val="auto"/>
        </w:rPr>
        <w:t>”), ______________, a _________ ________ (the “</w:t>
      </w:r>
      <w:r>
        <w:rPr>
          <w:rFonts w:ascii="Arial" w:cs="Arial" w:eastAsia="Arial" w:hAnsi="Arial"/>
          <w:sz w:val="18"/>
          <w:szCs w:val="18"/>
          <w:u w:val="single" w:color="auto"/>
          <w:color w:val="auto"/>
        </w:rPr>
        <w:t>New Subsidiary</w:t>
      </w:r>
      <w:r>
        <w:rPr>
          <w:rFonts w:ascii="Arial" w:cs="Arial" w:eastAsia="Arial" w:hAnsi="Arial"/>
          <w:sz w:val="18"/>
          <w:szCs w:val="18"/>
          <w:color w:val="auto"/>
        </w:rPr>
        <w:t>”), and Bank of America, N.A., in its</w:t>
      </w:r>
    </w:p>
    <w:p>
      <w:pPr>
        <w:spacing w:after="0" w:line="23" w:lineRule="exact"/>
        <w:rPr>
          <w:sz w:val="20"/>
          <w:szCs w:val="20"/>
          <w:color w:val="auto"/>
        </w:rPr>
      </w:pPr>
    </w:p>
    <w:p>
      <w:pPr>
        <w:ind w:right="100"/>
        <w:spacing w:after="0" w:line="274" w:lineRule="auto"/>
        <w:rPr>
          <w:sz w:val="20"/>
          <w:szCs w:val="20"/>
          <w:color w:val="auto"/>
        </w:rPr>
      </w:pPr>
      <w:r>
        <w:rPr>
          <w:rFonts w:ascii="Arial" w:cs="Arial" w:eastAsia="Arial" w:hAnsi="Arial"/>
          <w:sz w:val="18"/>
          <w:szCs w:val="18"/>
          <w:color w:val="auto"/>
        </w:rPr>
        <w:t>capacity as Administrative Agent and [Domestic] [Foreign] [India] Collateral Agent under that certain Amended and Restated Credit Agreement, dated as of August 18, 2011 (as amended, restated, increased, supplemented or otherwise modified from time to time, the “</w:t>
      </w:r>
      <w:r>
        <w:rPr>
          <w:rFonts w:ascii="Arial" w:cs="Arial" w:eastAsia="Arial" w:hAnsi="Arial"/>
          <w:sz w:val="18"/>
          <w:szCs w:val="18"/>
          <w:u w:val="single" w:color="auto"/>
          <w:color w:val="auto"/>
        </w:rPr>
        <w:t>Credit</w:t>
      </w:r>
      <w:r>
        <w:rPr>
          <w:rFonts w:ascii="Arial" w:cs="Arial" w:eastAsia="Arial" w:hAnsi="Arial"/>
          <w:sz w:val="18"/>
          <w:szCs w:val="18"/>
          <w:color w:val="auto"/>
        </w:rPr>
        <w:t xml:space="preserve"> </w:t>
      </w:r>
      <w:r>
        <w:rPr>
          <w:rFonts w:ascii="Arial" w:cs="Arial" w:eastAsia="Arial" w:hAnsi="Arial"/>
          <w:sz w:val="18"/>
          <w:szCs w:val="18"/>
          <w:u w:val="single" w:color="auto"/>
          <w:color w:val="auto"/>
        </w:rPr>
        <w:t>Agreement</w:t>
      </w:r>
      <w:r>
        <w:rPr>
          <w:rFonts w:ascii="Arial" w:cs="Arial" w:eastAsia="Arial" w:hAnsi="Arial"/>
          <w:sz w:val="18"/>
          <w:szCs w:val="18"/>
          <w:color w:val="auto"/>
        </w:rPr>
        <w:t>”) among the Company and certain other Subsidiaries and Affiliates, as Borrowers, certain Subsidiaries and Affiliates, as Guarantors, the lenders from time to time party thereto (the “</w:t>
      </w:r>
      <w:r>
        <w:rPr>
          <w:rFonts w:ascii="Arial" w:cs="Arial" w:eastAsia="Arial" w:hAnsi="Arial"/>
          <w:sz w:val="18"/>
          <w:szCs w:val="18"/>
          <w:u w:val="single" w:color="auto"/>
          <w:color w:val="auto"/>
        </w:rPr>
        <w:t>Lenders</w:t>
      </w:r>
      <w:r>
        <w:rPr>
          <w:rFonts w:ascii="Arial" w:cs="Arial" w:eastAsia="Arial" w:hAnsi="Arial"/>
          <w:sz w:val="18"/>
          <w:szCs w:val="18"/>
          <w:color w:val="auto"/>
        </w:rPr>
        <w:t>”) and Bank of America, N.A., as administrative agent (in such capacity, the “</w:t>
      </w:r>
      <w:r>
        <w:rPr>
          <w:rFonts w:ascii="Arial" w:cs="Arial" w:eastAsia="Arial" w:hAnsi="Arial"/>
          <w:sz w:val="18"/>
          <w:szCs w:val="18"/>
          <w:u w:val="single" w:color="auto"/>
          <w:color w:val="auto"/>
        </w:rPr>
        <w:t>Administrative Agent</w:t>
      </w:r>
      <w:r>
        <w:rPr>
          <w:rFonts w:ascii="Arial" w:cs="Arial" w:eastAsia="Arial" w:hAnsi="Arial"/>
          <w:sz w:val="18"/>
          <w:szCs w:val="18"/>
          <w:color w:val="auto"/>
        </w:rPr>
        <w:t>”). Capitalized terms used but not otherwise defined herein have the meanings provided in the Credit Agreement.</w:t>
      </w:r>
    </w:p>
    <w:p>
      <w:pPr>
        <w:spacing w:after="0" w:line="166" w:lineRule="exact"/>
        <w:rPr>
          <w:sz w:val="20"/>
          <w:szCs w:val="20"/>
          <w:color w:val="auto"/>
        </w:rPr>
      </w:pPr>
    </w:p>
    <w:p>
      <w:pPr>
        <w:ind w:right="40" w:firstLine="648"/>
        <w:spacing w:after="0" w:line="260" w:lineRule="auto"/>
        <w:rPr>
          <w:sz w:val="20"/>
          <w:szCs w:val="20"/>
          <w:color w:val="auto"/>
        </w:rPr>
      </w:pPr>
      <w:r>
        <w:rPr>
          <w:rFonts w:ascii="Arial" w:cs="Arial" w:eastAsia="Arial" w:hAnsi="Arial"/>
          <w:sz w:val="20"/>
          <w:szCs w:val="20"/>
          <w:color w:val="auto"/>
        </w:rPr>
        <w:t>Pursuant to the terms and conditions of Section 7.13 of the Credit Agreement, the New Subsidiary is required to become a [Domestic] [Foreign][India] Guarantor.</w:t>
      </w:r>
    </w:p>
    <w:p>
      <w:pPr>
        <w:spacing w:after="0" w:line="177" w:lineRule="exact"/>
        <w:rPr>
          <w:sz w:val="20"/>
          <w:szCs w:val="20"/>
          <w:color w:val="auto"/>
        </w:rPr>
      </w:pPr>
    </w:p>
    <w:p>
      <w:pPr>
        <w:ind w:right="380" w:firstLine="648"/>
        <w:spacing w:after="0" w:line="260" w:lineRule="auto"/>
        <w:rPr>
          <w:sz w:val="20"/>
          <w:szCs w:val="20"/>
          <w:color w:val="auto"/>
        </w:rPr>
      </w:pPr>
      <w:r>
        <w:rPr>
          <w:rFonts w:ascii="Arial" w:cs="Arial" w:eastAsia="Arial" w:hAnsi="Arial"/>
          <w:sz w:val="20"/>
          <w:szCs w:val="20"/>
          <w:color w:val="auto"/>
        </w:rPr>
        <w:t>Accordingly, the New Subsidiary and the Company hereby agree with the Administrative Agent, for the benefit of the Lenders, as follows:</w:t>
      </w:r>
    </w:p>
    <w:p>
      <w:pPr>
        <w:spacing w:after="0" w:line="177" w:lineRule="exact"/>
        <w:rPr>
          <w:sz w:val="20"/>
          <w:szCs w:val="20"/>
          <w:color w:val="auto"/>
        </w:rPr>
      </w:pPr>
    </w:p>
    <w:p>
      <w:pPr>
        <w:ind w:right="60" w:firstLine="656"/>
        <w:spacing w:after="0" w:line="272" w:lineRule="auto"/>
        <w:tabs>
          <w:tab w:leader="none" w:pos="977" w:val="left"/>
        </w:tabs>
        <w:numPr>
          <w:ilvl w:val="0"/>
          <w:numId w:val="297"/>
        </w:numPr>
        <w:rPr>
          <w:rFonts w:ascii="Arial" w:cs="Arial" w:eastAsia="Arial" w:hAnsi="Arial"/>
          <w:sz w:val="18"/>
          <w:szCs w:val="18"/>
          <w:color w:val="auto"/>
        </w:rPr>
      </w:pPr>
      <w:r>
        <w:rPr>
          <w:rFonts w:ascii="Arial" w:cs="Arial" w:eastAsia="Arial" w:hAnsi="Arial"/>
          <w:sz w:val="18"/>
          <w:szCs w:val="18"/>
          <w:color w:val="auto"/>
        </w:rPr>
        <w:t xml:space="preserve">The New Subsidiary hereby acknowledges, agrees and confirms that, by its execution of this Agreement, the New Subsidiary will be deemed to be a party to the Credit Agreement and a [Domestic] [Foreign] [India] Guarantor for all purposes of the Credit Agreement, and shall have all of the obligations of a [Domestic] [Foreign] [India] Guarantor thereunder as if it had executed the Credit Agreement. The New Subsidiary hereby ratifies, as of the date hereof, and agrees to be bound by, all of the terms, provisions and conditions applicable to the [Domestic] [Foreign] [India] Guarantor contained in the Credit Agreement. Without limiting the generality of the foregoing terms of this </w:t>
      </w:r>
      <w:r>
        <w:rPr>
          <w:rFonts w:ascii="Arial" w:cs="Arial" w:eastAsia="Arial" w:hAnsi="Arial"/>
          <w:sz w:val="18"/>
          <w:szCs w:val="18"/>
          <w:u w:val="single" w:color="auto"/>
          <w:color w:val="auto"/>
        </w:rPr>
        <w:t>paragraph 1</w:t>
      </w:r>
      <w:r>
        <w:rPr>
          <w:rFonts w:ascii="Arial" w:cs="Arial" w:eastAsia="Arial" w:hAnsi="Arial"/>
          <w:sz w:val="18"/>
          <w:szCs w:val="18"/>
          <w:color w:val="auto"/>
        </w:rPr>
        <w:t>, the New Subsidiary hereby (i) [jointly and severally] [severally, and not jointly and severally] together with the other [Domestic] [Foreign] [India] Guarantor(s), guarantees to each holder of the [Obligations] [Foreign Obligations] [India Obligations], as provided in the applicable Guaranty, the prompt payment and performance of the [Obligations] [Foreign Obligations] [India Obligations] in full when due (whether at stated maturity, as a mandatory prepayment, by acceleration or otherwise) strictly in accordance with the terms thereof.</w:t>
      </w:r>
    </w:p>
    <w:p>
      <w:pPr>
        <w:spacing w:after="0" w:line="171" w:lineRule="exact"/>
        <w:rPr>
          <w:sz w:val="20"/>
          <w:szCs w:val="20"/>
          <w:color w:val="auto"/>
        </w:rPr>
      </w:pPr>
    </w:p>
    <w:p>
      <w:pPr>
        <w:ind w:firstLine="648"/>
        <w:spacing w:after="0" w:line="250" w:lineRule="auto"/>
        <w:rPr>
          <w:sz w:val="20"/>
          <w:szCs w:val="20"/>
          <w:color w:val="auto"/>
        </w:rPr>
      </w:pPr>
      <w:r>
        <w:rPr>
          <w:rFonts w:ascii="Arial" w:cs="Arial" w:eastAsia="Arial" w:hAnsi="Arial"/>
          <w:sz w:val="20"/>
          <w:szCs w:val="20"/>
          <w:color w:val="auto"/>
        </w:rPr>
        <w:t>[2. The New Subsidiary hereby acknowledges, agrees and confirms that, by its execution of this Agreement, the New Subsidiary will be deemed to be a party to the [Domestic] [Foreign] [India] Security Agreement, and shall have all the obligations of a [“Grantor”] (as such term is defined in the</w:t>
      </w:r>
    </w:p>
    <w:p>
      <w:pPr>
        <w:sectPr>
          <w:pgSz w:w="11900" w:h="16838" w:orient="portrait"/>
          <w:cols w:equalWidth="0" w:num="1">
            <w:col w:w="11320"/>
          </w:cols>
          <w:pgMar w:left="240" w:top="366" w:right="339" w:bottom="1440" w:gutter="0" w:footer="0" w:header="0"/>
        </w:sectPr>
      </w:pPr>
    </w:p>
    <w:bookmarkStart w:id="321" w:name="page322"/>
    <w:bookmarkEnd w:id="321"/>
    <w:p>
      <w:pPr>
        <w:ind w:right="20"/>
        <w:spacing w:after="0" w:line="243" w:lineRule="auto"/>
        <w:rPr>
          <w:sz w:val="20"/>
          <w:szCs w:val="20"/>
          <w:color w:val="auto"/>
        </w:rPr>
      </w:pPr>
      <w:r>
        <w:rPr>
          <w:rFonts w:ascii="Arial" w:cs="Arial" w:eastAsia="Arial" w:hAnsi="Arial"/>
          <w:sz w:val="20"/>
          <w:szCs w:val="20"/>
          <w:color w:val="auto"/>
        </w:rPr>
        <w:t xml:space="preserve">[Domestic] [Foreign] [India] Security Agreement) thereunder as if it had executed the [Domestic] [Foreign] [India] Security Agreement. The New Subsidiary hereby ratifies, as of the date hereof, and agrees to be bound by, all of the terms, provisions and conditions contained in the [Domestic] [Foreign] [India] Security Agreement. Without limiting generality of the foregoing terms of this </w:t>
      </w:r>
      <w:r>
        <w:rPr>
          <w:rFonts w:ascii="Arial" w:cs="Arial" w:eastAsia="Arial" w:hAnsi="Arial"/>
          <w:sz w:val="20"/>
          <w:szCs w:val="20"/>
          <w:u w:val="single" w:color="auto"/>
          <w:color w:val="auto"/>
        </w:rPr>
        <w:t>paragraph 2</w:t>
      </w:r>
      <w:r>
        <w:rPr>
          <w:rFonts w:ascii="Arial" w:cs="Arial" w:eastAsia="Arial" w:hAnsi="Arial"/>
          <w:sz w:val="20"/>
          <w:szCs w:val="20"/>
          <w:color w:val="auto"/>
        </w:rPr>
        <w:t>, the New Subsidiary hereby grants to the [Domestic] [Foreign] [India] Collateral Agent, for the benefit of the Lenders, a continuing security interest in, and a right of set off against any and all right, title and interest of the New Subsidiary in and to the [Collateral] (as such term is defined in Section __ of the [Domestic] [Foreign] [India] Security Agreement) of the New Subsidiary. The New Subsidiary hereby represents and warrants to the Administrative Agent and each Lender that:</w:t>
      </w:r>
    </w:p>
    <w:p>
      <w:pPr>
        <w:spacing w:after="0" w:line="193" w:lineRule="exact"/>
        <w:rPr>
          <w:sz w:val="20"/>
          <w:szCs w:val="20"/>
          <w:color w:val="auto"/>
        </w:rPr>
      </w:pPr>
    </w:p>
    <w:p>
      <w:pPr>
        <w:ind w:left="660" w:firstLine="645"/>
        <w:spacing w:after="0" w:line="386" w:lineRule="auto"/>
        <w:tabs>
          <w:tab w:leader="none" w:pos="1708" w:val="left"/>
        </w:tabs>
        <w:numPr>
          <w:ilvl w:val="0"/>
          <w:numId w:val="298"/>
        </w:numPr>
        <w:rPr>
          <w:rFonts w:ascii="Arial" w:cs="Arial" w:eastAsia="Arial" w:hAnsi="Arial"/>
          <w:sz w:val="16"/>
          <w:szCs w:val="16"/>
          <w:color w:val="auto"/>
        </w:rPr>
      </w:pPr>
      <w:r>
        <w:rPr>
          <w:rFonts w:ascii="Arial" w:cs="Arial" w:eastAsia="Arial" w:hAnsi="Arial"/>
          <w:sz w:val="16"/>
          <w:szCs w:val="16"/>
          <w:color w:val="auto"/>
        </w:rPr>
        <w:t xml:space="preserve">The New Subsidiary's chief executive office and chief place of business are (and for the prior four (4) months have been) located at the locations set forth on </w:t>
      </w:r>
      <w:r>
        <w:rPr>
          <w:rFonts w:ascii="Arial" w:cs="Arial" w:eastAsia="Arial" w:hAnsi="Arial"/>
          <w:sz w:val="16"/>
          <w:szCs w:val="16"/>
          <w:u w:val="single" w:color="auto"/>
          <w:color w:val="auto"/>
        </w:rPr>
        <w:t>Schedule 2(a)</w:t>
      </w:r>
      <w:r>
        <w:rPr>
          <w:rFonts w:ascii="Arial" w:cs="Arial" w:eastAsia="Arial" w:hAnsi="Arial"/>
          <w:sz w:val="16"/>
          <w:szCs w:val="16"/>
          <w:color w:val="auto"/>
        </w:rPr>
        <w:t xml:space="preserve"> attached hereto and the New Subsidiary keeps its books and records at such locations.</w:t>
      </w:r>
    </w:p>
    <w:p>
      <w:pPr>
        <w:spacing w:after="0" w:line="83" w:lineRule="exact"/>
        <w:rPr>
          <w:rFonts w:ascii="Arial" w:cs="Arial" w:eastAsia="Arial" w:hAnsi="Arial"/>
          <w:sz w:val="16"/>
          <w:szCs w:val="16"/>
          <w:color w:val="auto"/>
        </w:rPr>
      </w:pPr>
    </w:p>
    <w:p>
      <w:pPr>
        <w:ind w:left="660" w:right="280" w:firstLine="645"/>
        <w:spacing w:after="0" w:line="287" w:lineRule="auto"/>
        <w:tabs>
          <w:tab w:leader="none" w:pos="1719" w:val="left"/>
        </w:tabs>
        <w:numPr>
          <w:ilvl w:val="0"/>
          <w:numId w:val="298"/>
        </w:numPr>
        <w:rPr>
          <w:rFonts w:ascii="Arial" w:cs="Arial" w:eastAsia="Arial" w:hAnsi="Arial"/>
          <w:sz w:val="19"/>
          <w:szCs w:val="19"/>
          <w:color w:val="auto"/>
        </w:rPr>
      </w:pPr>
      <w:r>
        <w:rPr>
          <w:rFonts w:ascii="Arial" w:cs="Arial" w:eastAsia="Arial" w:hAnsi="Arial"/>
          <w:sz w:val="19"/>
          <w:szCs w:val="19"/>
          <w:color w:val="auto"/>
        </w:rPr>
        <w:t xml:space="preserve">The type of [Collateral] (as such term is defined in Section __ of the [Domestic] [Foreign] [India] Security Agreement) owned by the New Subsidiary owned by the New Subsidiary is as shown on </w:t>
      </w:r>
      <w:r>
        <w:rPr>
          <w:rFonts w:ascii="Arial" w:cs="Arial" w:eastAsia="Arial" w:hAnsi="Arial"/>
          <w:sz w:val="19"/>
          <w:szCs w:val="19"/>
          <w:u w:val="single" w:color="auto"/>
          <w:color w:val="auto"/>
        </w:rPr>
        <w:t>Schedule 2(b)</w:t>
      </w:r>
      <w:r>
        <w:rPr>
          <w:rFonts w:ascii="Arial" w:cs="Arial" w:eastAsia="Arial" w:hAnsi="Arial"/>
          <w:sz w:val="19"/>
          <w:szCs w:val="19"/>
          <w:color w:val="auto"/>
        </w:rPr>
        <w:t xml:space="preserve"> attached hereto.</w:t>
      </w:r>
    </w:p>
    <w:p>
      <w:pPr>
        <w:spacing w:after="0" w:line="152" w:lineRule="exact"/>
        <w:rPr>
          <w:rFonts w:ascii="Arial" w:cs="Arial" w:eastAsia="Arial" w:hAnsi="Arial"/>
          <w:sz w:val="19"/>
          <w:szCs w:val="19"/>
          <w:color w:val="auto"/>
        </w:rPr>
      </w:pPr>
    </w:p>
    <w:p>
      <w:pPr>
        <w:ind w:left="660" w:right="180" w:firstLine="645"/>
        <w:spacing w:after="0" w:line="250" w:lineRule="auto"/>
        <w:tabs>
          <w:tab w:leader="none" w:pos="1708" w:val="left"/>
        </w:tabs>
        <w:numPr>
          <w:ilvl w:val="0"/>
          <w:numId w:val="298"/>
        </w:numPr>
        <w:rPr>
          <w:rFonts w:ascii="Arial" w:cs="Arial" w:eastAsia="Arial" w:hAnsi="Arial"/>
          <w:sz w:val="20"/>
          <w:szCs w:val="20"/>
          <w:color w:val="auto"/>
        </w:rPr>
      </w:pPr>
      <w:r>
        <w:rPr>
          <w:rFonts w:ascii="Arial" w:cs="Arial" w:eastAsia="Arial" w:hAnsi="Arial"/>
          <w:sz w:val="20"/>
          <w:szCs w:val="20"/>
          <w:color w:val="auto"/>
        </w:rPr>
        <w:t xml:space="preserve">The New Subsidiary's legal name is as shown in this Agreement and the New Subsidiary has not in the past four (4) months changed its name, been party to a merger, consolidation or other change in structure or used any tradename except as set forth in </w:t>
      </w:r>
      <w:r>
        <w:rPr>
          <w:rFonts w:ascii="Arial" w:cs="Arial" w:eastAsia="Arial" w:hAnsi="Arial"/>
          <w:sz w:val="20"/>
          <w:szCs w:val="20"/>
          <w:u w:val="single" w:color="auto"/>
          <w:color w:val="auto"/>
        </w:rPr>
        <w:t>Schedule 2(c)</w:t>
      </w:r>
      <w:r>
        <w:rPr>
          <w:rFonts w:ascii="Arial" w:cs="Arial" w:eastAsia="Arial" w:hAnsi="Arial"/>
          <w:sz w:val="20"/>
          <w:szCs w:val="20"/>
          <w:color w:val="auto"/>
        </w:rPr>
        <w:t xml:space="preserve"> attached hereto.</w:t>
      </w:r>
    </w:p>
    <w:p>
      <w:pPr>
        <w:spacing w:after="0" w:line="186" w:lineRule="exact"/>
        <w:rPr>
          <w:rFonts w:ascii="Arial" w:cs="Arial" w:eastAsia="Arial" w:hAnsi="Arial"/>
          <w:sz w:val="20"/>
          <w:szCs w:val="20"/>
          <w:color w:val="auto"/>
        </w:rPr>
      </w:pPr>
    </w:p>
    <w:p>
      <w:pPr>
        <w:ind w:left="660" w:right="160" w:firstLine="645"/>
        <w:spacing w:after="0" w:line="260" w:lineRule="auto"/>
        <w:tabs>
          <w:tab w:leader="none" w:pos="1719" w:val="left"/>
        </w:tabs>
        <w:numPr>
          <w:ilvl w:val="0"/>
          <w:numId w:val="298"/>
        </w:numPr>
        <w:rPr>
          <w:rFonts w:ascii="Arial" w:cs="Arial" w:eastAsia="Arial" w:hAnsi="Arial"/>
          <w:sz w:val="20"/>
          <w:szCs w:val="20"/>
          <w:color w:val="auto"/>
        </w:rPr>
      </w:pPr>
      <w:r>
        <w:rPr>
          <w:rFonts w:ascii="Arial" w:cs="Arial" w:eastAsia="Arial" w:hAnsi="Arial"/>
          <w:sz w:val="20"/>
          <w:szCs w:val="20"/>
          <w:color w:val="auto"/>
        </w:rPr>
        <w:t xml:space="preserve">The patents and trademarks listed on </w:t>
      </w:r>
      <w:r>
        <w:rPr>
          <w:rFonts w:ascii="Arial" w:cs="Arial" w:eastAsia="Arial" w:hAnsi="Arial"/>
          <w:sz w:val="20"/>
          <w:szCs w:val="20"/>
          <w:u w:val="single" w:color="auto"/>
          <w:color w:val="auto"/>
        </w:rPr>
        <w:t>Schedule 2(d)</w:t>
      </w:r>
      <w:r>
        <w:rPr>
          <w:rFonts w:ascii="Arial" w:cs="Arial" w:eastAsia="Arial" w:hAnsi="Arial"/>
          <w:sz w:val="20"/>
          <w:szCs w:val="20"/>
          <w:color w:val="auto"/>
        </w:rPr>
        <w:t xml:space="preserve"> attached hereto constitute all of the registrations and applications for the patents and trademarks owned by the New Subsidiary.]</w:t>
      </w:r>
    </w:p>
    <w:p>
      <w:pPr>
        <w:spacing w:after="0" w:line="177" w:lineRule="exact"/>
        <w:rPr>
          <w:sz w:val="20"/>
          <w:szCs w:val="20"/>
          <w:color w:val="auto"/>
        </w:rPr>
      </w:pPr>
    </w:p>
    <w:p>
      <w:pPr>
        <w:ind w:right="100" w:firstLine="648"/>
        <w:spacing w:after="0" w:line="271" w:lineRule="auto"/>
        <w:rPr>
          <w:sz w:val="20"/>
          <w:szCs w:val="20"/>
          <w:color w:val="auto"/>
        </w:rPr>
      </w:pPr>
      <w:r>
        <w:rPr>
          <w:rFonts w:ascii="Arial" w:cs="Arial" w:eastAsia="Arial" w:hAnsi="Arial"/>
          <w:sz w:val="18"/>
          <w:szCs w:val="18"/>
          <w:color w:val="auto"/>
        </w:rPr>
        <w:t xml:space="preserve">[3. To the extent required pursuant to Section 7.14 of the Credit Agreement, the New Subsidiary hereby acknowledges, agrees and confirms that, by its execution of this Agreement, the New Subsidiary will be deemed to be a party to the [Domestic] [Foreign] [India] Pledge Agreement, and shall have all the obligations of a “Pledgor” thereunder as if it had executed the [Domestic] [Foreign] [India] Pledge Agreement. The New Subsidiary hereby ratifies, as of the date hereof, and agrees to be bound by, all the terms, provisions and conditions contained in the [Domestic] [Foreign] [India] Pledge Agreement. Without limiting the generality of the foregoing terms of this </w:t>
      </w:r>
      <w:r>
        <w:rPr>
          <w:rFonts w:ascii="Arial" w:cs="Arial" w:eastAsia="Arial" w:hAnsi="Arial"/>
          <w:sz w:val="18"/>
          <w:szCs w:val="18"/>
          <w:u w:val="single" w:color="auto"/>
          <w:color w:val="auto"/>
        </w:rPr>
        <w:t>paragraph [3]</w:t>
      </w:r>
      <w:r>
        <w:rPr>
          <w:rFonts w:ascii="Arial" w:cs="Arial" w:eastAsia="Arial" w:hAnsi="Arial"/>
          <w:sz w:val="18"/>
          <w:szCs w:val="18"/>
          <w:color w:val="auto"/>
        </w:rPr>
        <w:t xml:space="preserve">, the New Subsidiary hereby pledges and assigns to the [Domestic] [Foreign] [India] Collateral Agent, for the benefit of the Lenders, and grants to the [Domestic] [Foreign] [India] Collateral Agent, for the benefit of the [USD] [Foreign] [India] Revolving Lenders, a continuing security interest in any and all right, title and interest of the New Subsidiary in and to [Pledged Shares] (hereinafter, as such term is defined in Section __ of the [Domestic] [Foreign] [India] Pledge Agreement) listed on </w:t>
      </w:r>
      <w:r>
        <w:rPr>
          <w:rFonts w:ascii="Arial" w:cs="Arial" w:eastAsia="Arial" w:hAnsi="Arial"/>
          <w:sz w:val="18"/>
          <w:szCs w:val="18"/>
          <w:u w:val="single" w:color="auto"/>
          <w:color w:val="auto"/>
        </w:rPr>
        <w:t>Schedule 3</w:t>
      </w:r>
      <w:r>
        <w:rPr>
          <w:rFonts w:ascii="Arial" w:cs="Arial" w:eastAsia="Arial" w:hAnsi="Arial"/>
          <w:sz w:val="18"/>
          <w:szCs w:val="18"/>
          <w:color w:val="auto"/>
        </w:rPr>
        <w:t xml:space="preserve"> attached hereto and the other [Pledged Collateral ] (hereinafter, as such term is defined in Section __ of the Pledge Agreement).]</w:t>
      </w:r>
    </w:p>
    <w:p>
      <w:pPr>
        <w:spacing w:after="0" w:line="175" w:lineRule="exact"/>
        <w:rPr>
          <w:sz w:val="20"/>
          <w:szCs w:val="20"/>
          <w:color w:val="auto"/>
        </w:rPr>
      </w:pPr>
    </w:p>
    <w:p>
      <w:pPr>
        <w:ind w:left="660"/>
        <w:spacing w:after="0"/>
        <w:tabs>
          <w:tab w:leader="none" w:pos="1040" w:val="left"/>
        </w:tabs>
        <w:rPr>
          <w:sz w:val="20"/>
          <w:szCs w:val="20"/>
          <w:color w:val="auto"/>
        </w:rPr>
      </w:pPr>
      <w:r>
        <w:rPr>
          <w:rFonts w:ascii="Arial" w:cs="Arial" w:eastAsia="Arial" w:hAnsi="Arial"/>
          <w:sz w:val="20"/>
          <w:szCs w:val="20"/>
          <w:color w:val="auto"/>
        </w:rPr>
        <w:t>[4.</w:t>
      </w:r>
      <w:r>
        <w:rPr>
          <w:sz w:val="20"/>
          <w:szCs w:val="20"/>
          <w:color w:val="auto"/>
        </w:rPr>
        <w:tab/>
      </w:r>
      <w:r>
        <w:rPr>
          <w:rFonts w:ascii="Arial" w:cs="Arial" w:eastAsia="Arial" w:hAnsi="Arial"/>
          <w:sz w:val="16"/>
          <w:szCs w:val="16"/>
          <w:color w:val="auto"/>
        </w:rPr>
        <w:t>_______________ hereby agrees that the [Pledged Shares] representing the applicable Borrower's ownership interest in the New</w:t>
      </w:r>
    </w:p>
    <w:p>
      <w:pPr>
        <w:spacing w:after="0" w:line="16" w:lineRule="exact"/>
        <w:rPr>
          <w:sz w:val="20"/>
          <w:szCs w:val="20"/>
          <w:color w:val="auto"/>
        </w:rPr>
      </w:pPr>
    </w:p>
    <w:p>
      <w:pPr>
        <w:ind w:right="40"/>
        <w:spacing w:after="0" w:line="266" w:lineRule="auto"/>
        <w:rPr>
          <w:sz w:val="20"/>
          <w:szCs w:val="20"/>
          <w:color w:val="auto"/>
        </w:rPr>
      </w:pPr>
      <w:r>
        <w:rPr>
          <w:rFonts w:ascii="Arial" w:cs="Arial" w:eastAsia="Arial" w:hAnsi="Arial"/>
          <w:sz w:val="18"/>
          <w:szCs w:val="18"/>
          <w:color w:val="auto"/>
        </w:rPr>
        <w:t xml:space="preserve">Subsidiary and as set forth on </w:t>
      </w:r>
      <w:r>
        <w:rPr>
          <w:rFonts w:ascii="Arial" w:cs="Arial" w:eastAsia="Arial" w:hAnsi="Arial"/>
          <w:sz w:val="18"/>
          <w:szCs w:val="18"/>
          <w:u w:val="single" w:color="auto"/>
          <w:color w:val="auto"/>
        </w:rPr>
        <w:t>Schedule 4</w:t>
      </w:r>
      <w:r>
        <w:rPr>
          <w:rFonts w:ascii="Arial" w:cs="Arial" w:eastAsia="Arial" w:hAnsi="Arial"/>
          <w:sz w:val="18"/>
          <w:szCs w:val="18"/>
          <w:color w:val="auto"/>
        </w:rPr>
        <w:t xml:space="preserve"> hereto shall be deemed to be part of the [Pledged Shares] within the meaning of the [Domestic] [Foreign] [India] Pledge Agreement, shall become part of the [Pledged Collateral] and shall secure all of the [Secured Obligations] (hereinafter, as defined in the [Domestic] [Foreign] [India] Pledge Agreement) as provided in the [Domestic] [Foreign] [India] Pledge Agreement. In furtherance of the foregoing, ______________ hereby grants, pledges and assigns to the [Domestic] [Foreign] [India] Collateral Agent, for the</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benefit of the Lenders, a continuing security interest in, and a right of set off against, any and all right, title and interest of ____________ in and</w:t>
      </w:r>
    </w:p>
    <w:p>
      <w:pPr>
        <w:spacing w:after="0" w:line="23" w:lineRule="exact"/>
        <w:rPr>
          <w:sz w:val="20"/>
          <w:szCs w:val="20"/>
          <w:color w:val="auto"/>
        </w:rPr>
      </w:pPr>
    </w:p>
    <w:p>
      <w:pPr>
        <w:spacing w:after="0"/>
        <w:rPr>
          <w:sz w:val="20"/>
          <w:szCs w:val="20"/>
          <w:color w:val="auto"/>
        </w:rPr>
      </w:pPr>
      <w:r>
        <w:rPr>
          <w:rFonts w:ascii="Arial" w:cs="Arial" w:eastAsia="Arial" w:hAnsi="Arial"/>
          <w:sz w:val="20"/>
          <w:szCs w:val="20"/>
          <w:color w:val="auto"/>
        </w:rPr>
        <w:t>to such [Pledged Shares] and all other [Pledged Collateral] relating thereto to secure</w:t>
      </w:r>
    </w:p>
    <w:p>
      <w:pPr>
        <w:sectPr>
          <w:pgSz w:w="11900" w:h="16838" w:orient="portrait"/>
          <w:cols w:equalWidth="0" w:num="1">
            <w:col w:w="11420"/>
          </w:cols>
          <w:pgMar w:left="240" w:top="366" w:right="239" w:bottom="1440" w:gutter="0" w:footer="0" w:header="0"/>
        </w:sectPr>
      </w:pPr>
    </w:p>
    <w:bookmarkStart w:id="322" w:name="page323"/>
    <w:bookmarkEnd w:id="322"/>
    <w:p>
      <w:pPr>
        <w:ind w:right="360"/>
        <w:spacing w:after="0" w:line="260" w:lineRule="auto"/>
        <w:rPr>
          <w:sz w:val="20"/>
          <w:szCs w:val="20"/>
          <w:color w:val="auto"/>
        </w:rPr>
      </w:pPr>
      <w:r>
        <w:rPr>
          <w:rFonts w:ascii="Arial" w:cs="Arial" w:eastAsia="Arial" w:hAnsi="Arial"/>
          <w:sz w:val="20"/>
          <w:szCs w:val="20"/>
          <w:color w:val="auto"/>
        </w:rPr>
        <w:t>the prompt payment and performance in full when due, whether by lapse of time, acceleration, mandatory prepayment or otherwise, of the [Secured Obligations].]</w:t>
      </w:r>
    </w:p>
    <w:p>
      <w:pPr>
        <w:spacing w:after="0" w:line="177" w:lineRule="exact"/>
        <w:rPr>
          <w:sz w:val="20"/>
          <w:szCs w:val="20"/>
          <w:color w:val="auto"/>
        </w:rPr>
      </w:pPr>
    </w:p>
    <w:p>
      <w:pPr>
        <w:ind w:left="1300" w:right="2220" w:hanging="644"/>
        <w:spacing w:after="0" w:line="465" w:lineRule="auto"/>
        <w:tabs>
          <w:tab w:leader="none" w:pos="980" w:val="left"/>
        </w:tabs>
        <w:numPr>
          <w:ilvl w:val="0"/>
          <w:numId w:val="299"/>
        </w:numPr>
        <w:rPr>
          <w:rFonts w:ascii="Arial" w:cs="Arial" w:eastAsia="Arial" w:hAnsi="Arial"/>
          <w:sz w:val="20"/>
          <w:szCs w:val="20"/>
          <w:color w:val="auto"/>
        </w:rPr>
      </w:pPr>
      <w:r>
        <w:rPr>
          <w:rFonts w:ascii="Arial" w:cs="Arial" w:eastAsia="Arial" w:hAnsi="Arial"/>
          <w:sz w:val="20"/>
          <w:szCs w:val="20"/>
          <w:color w:val="auto"/>
        </w:rPr>
        <w:t>The address of the New Subsidiary for purposes of all notices and other communications is as follows: [Address]</w:t>
      </w:r>
    </w:p>
    <w:p>
      <w:pPr>
        <w:ind w:right="400" w:firstLine="656"/>
        <w:spacing w:after="0" w:line="316" w:lineRule="auto"/>
        <w:tabs>
          <w:tab w:leader="none" w:pos="977" w:val="left"/>
        </w:tabs>
        <w:numPr>
          <w:ilvl w:val="0"/>
          <w:numId w:val="299"/>
        </w:numPr>
        <w:rPr>
          <w:rFonts w:ascii="Arial" w:cs="Arial" w:eastAsia="Arial" w:hAnsi="Arial"/>
          <w:sz w:val="18"/>
          <w:szCs w:val="18"/>
          <w:color w:val="auto"/>
        </w:rPr>
      </w:pPr>
      <w:r>
        <w:rPr>
          <w:rFonts w:ascii="Arial" w:cs="Arial" w:eastAsia="Arial" w:hAnsi="Arial"/>
          <w:sz w:val="18"/>
          <w:szCs w:val="18"/>
          <w:color w:val="auto"/>
        </w:rPr>
        <w:t>The New Subsidiary hereby waives acceptance by the Administrative Agent and the Lenders of the guaranty by the New Subsidiary under Article IV of the Credit Agreement or any other Guaranty upon the execution of this Agreement by the New Subsidiary.</w:t>
      </w:r>
    </w:p>
    <w:p>
      <w:pPr>
        <w:spacing w:after="0" w:line="130" w:lineRule="exact"/>
        <w:rPr>
          <w:rFonts w:ascii="Arial" w:cs="Arial" w:eastAsia="Arial" w:hAnsi="Arial"/>
          <w:sz w:val="18"/>
          <w:szCs w:val="18"/>
          <w:color w:val="auto"/>
        </w:rPr>
      </w:pPr>
    </w:p>
    <w:p>
      <w:pPr>
        <w:ind w:firstLine="656"/>
        <w:spacing w:after="0" w:line="260" w:lineRule="auto"/>
        <w:tabs>
          <w:tab w:leader="none" w:pos="977" w:val="left"/>
        </w:tabs>
        <w:numPr>
          <w:ilvl w:val="0"/>
          <w:numId w:val="299"/>
        </w:numPr>
        <w:rPr>
          <w:rFonts w:ascii="Arial" w:cs="Arial" w:eastAsia="Arial" w:hAnsi="Arial"/>
          <w:sz w:val="20"/>
          <w:szCs w:val="20"/>
          <w:color w:val="auto"/>
        </w:rPr>
      </w:pPr>
      <w:r>
        <w:rPr>
          <w:rFonts w:ascii="Arial" w:cs="Arial" w:eastAsia="Arial" w:hAnsi="Arial"/>
          <w:sz w:val="20"/>
          <w:szCs w:val="20"/>
          <w:color w:val="auto"/>
        </w:rPr>
        <w:t>This Agreement may be executed in counterparts (and by the different parties hereto in different counterparts), each of which shall constitute an original, but all of which when taken together shall constitute a single contract.</w:t>
      </w:r>
    </w:p>
    <w:p>
      <w:pPr>
        <w:spacing w:after="0" w:line="176" w:lineRule="exact"/>
        <w:rPr>
          <w:rFonts w:ascii="Arial" w:cs="Arial" w:eastAsia="Arial" w:hAnsi="Arial"/>
          <w:sz w:val="20"/>
          <w:szCs w:val="20"/>
          <w:color w:val="auto"/>
        </w:rPr>
      </w:pPr>
    </w:p>
    <w:p>
      <w:pPr>
        <w:ind w:left="980" w:hanging="324"/>
        <w:spacing w:after="0"/>
        <w:tabs>
          <w:tab w:leader="none" w:pos="980" w:val="left"/>
        </w:tabs>
        <w:numPr>
          <w:ilvl w:val="0"/>
          <w:numId w:val="299"/>
        </w:numPr>
        <w:rPr>
          <w:rFonts w:ascii="Arial" w:cs="Arial" w:eastAsia="Arial" w:hAnsi="Arial"/>
          <w:sz w:val="18"/>
          <w:szCs w:val="18"/>
          <w:color w:val="auto"/>
        </w:rPr>
      </w:pPr>
      <w:r>
        <w:rPr>
          <w:rFonts w:ascii="Arial" w:cs="Arial" w:eastAsia="Arial" w:hAnsi="Arial"/>
          <w:sz w:val="18"/>
          <w:szCs w:val="18"/>
          <w:color w:val="auto"/>
        </w:rPr>
        <w:t>This Agreement shall be governed by, and construed and interpreted in accordance with, the laws of the State of New York.</w:t>
      </w:r>
    </w:p>
    <w:p>
      <w:pPr>
        <w:spacing w:after="0" w:line="239" w:lineRule="exact"/>
        <w:rPr>
          <w:sz w:val="20"/>
          <w:szCs w:val="20"/>
          <w:color w:val="auto"/>
        </w:rPr>
      </w:pPr>
    </w:p>
    <w:p>
      <w:pPr>
        <w:jc w:val="center"/>
        <w:ind w:right="-99"/>
        <w:spacing w:after="0"/>
        <w:rPr>
          <w:sz w:val="20"/>
          <w:szCs w:val="20"/>
          <w:color w:val="auto"/>
        </w:rPr>
      </w:pPr>
      <w:r>
        <w:rPr>
          <w:rFonts w:ascii="Arial" w:cs="Arial" w:eastAsia="Arial" w:hAnsi="Arial"/>
          <w:sz w:val="20"/>
          <w:szCs w:val="20"/>
          <w:color w:val="auto"/>
        </w:rPr>
        <w:t>[Remainder of Page Intentionally Left Blank]</w:t>
      </w:r>
    </w:p>
    <w:p>
      <w:pPr>
        <w:spacing w:after="0" w:line="16" w:lineRule="exact"/>
        <w:rPr>
          <w:sz w:val="20"/>
          <w:szCs w:val="20"/>
          <w:color w:val="auto"/>
        </w:rPr>
      </w:pPr>
    </w:p>
    <w:p>
      <w:pPr>
        <w:jc w:val="both"/>
        <w:ind w:right="100" w:firstLine="648"/>
        <w:spacing w:after="0" w:line="241" w:lineRule="auto"/>
        <w:rPr>
          <w:sz w:val="20"/>
          <w:szCs w:val="20"/>
          <w:color w:val="auto"/>
        </w:rPr>
      </w:pPr>
      <w:r>
        <w:rPr>
          <w:rFonts w:ascii="Arial" w:cs="Arial" w:eastAsia="Arial" w:hAnsi="Arial"/>
          <w:sz w:val="20"/>
          <w:szCs w:val="20"/>
          <w:color w:val="auto"/>
        </w:rPr>
        <w:t>IN WITNESS WHEREOF, the New Subsidiary has caused this Joinder Agreement to be duly executed by its authorized officer, and the [Domestic] [Foreign] [India] Collateral Agent, for the benefit of the Lenders, has caused the same to be accepted by its authorized officer, as of the day and year first above written.</w:t>
      </w:r>
    </w:p>
    <w:p>
      <w:pPr>
        <w:spacing w:after="0" w:line="200" w:lineRule="exact"/>
        <w:rPr>
          <w:sz w:val="20"/>
          <w:szCs w:val="20"/>
          <w:color w:val="auto"/>
        </w:rPr>
      </w:pPr>
    </w:p>
    <w:p>
      <w:pPr>
        <w:spacing w:after="0" w:line="212" w:lineRule="exact"/>
        <w:rPr>
          <w:sz w:val="20"/>
          <w:szCs w:val="20"/>
          <w:color w:val="auto"/>
        </w:rPr>
      </w:pPr>
    </w:p>
    <w:p>
      <w:pPr>
        <w:spacing w:after="0"/>
        <w:tabs>
          <w:tab w:leader="none" w:pos="2040" w:val="left"/>
        </w:tabs>
        <w:rPr>
          <w:sz w:val="20"/>
          <w:szCs w:val="20"/>
          <w:color w:val="auto"/>
        </w:rPr>
      </w:pPr>
      <w:r>
        <w:rPr>
          <w:rFonts w:ascii="Arial" w:cs="Arial" w:eastAsia="Arial" w:hAnsi="Arial"/>
          <w:sz w:val="20"/>
          <w:szCs w:val="20"/>
          <w:color w:val="auto"/>
        </w:rPr>
        <w:t>New Subsidiary:</w:t>
      </w:r>
      <w:r>
        <w:rPr>
          <w:sz w:val="20"/>
          <w:szCs w:val="20"/>
          <w:color w:val="auto"/>
        </w:rPr>
        <w:tab/>
      </w:r>
      <w:r>
        <w:rPr>
          <w:rFonts w:ascii="Arial" w:cs="Arial" w:eastAsia="Arial" w:hAnsi="Arial"/>
          <w:sz w:val="18"/>
          <w:szCs w:val="18"/>
          <w:color w:val="auto"/>
        </w:rPr>
        <w:t>[New subsidiary]</w:t>
      </w:r>
    </w:p>
    <w:p>
      <w:pPr>
        <w:spacing w:after="0" w:line="16" w:lineRule="exact"/>
        <w:rPr>
          <w:sz w:val="20"/>
          <w:szCs w:val="20"/>
          <w:color w:val="auto"/>
        </w:rPr>
      </w:pPr>
    </w:p>
    <w:p>
      <w:pPr>
        <w:ind w:left="3900"/>
        <w:spacing w:after="0"/>
        <w:rPr>
          <w:sz w:val="20"/>
          <w:szCs w:val="20"/>
          <w:color w:val="auto"/>
        </w:rPr>
      </w:pPr>
      <w:r>
        <w:rPr>
          <w:rFonts w:ascii="Arial" w:cs="Arial" w:eastAsia="Arial" w:hAnsi="Arial"/>
          <w:sz w:val="20"/>
          <w:szCs w:val="20"/>
          <w:color w:val="auto"/>
        </w:rPr>
        <w:t>a ____________</w:t>
      </w:r>
    </w:p>
    <w:p>
      <w:pPr>
        <w:spacing w:after="0" w:line="200" w:lineRule="exact"/>
        <w:rPr>
          <w:sz w:val="20"/>
          <w:szCs w:val="20"/>
          <w:color w:val="auto"/>
        </w:rPr>
      </w:pPr>
    </w:p>
    <w:p>
      <w:pPr>
        <w:spacing w:after="0" w:line="216" w:lineRule="exact"/>
        <w:rPr>
          <w:sz w:val="20"/>
          <w:szCs w:val="20"/>
          <w:color w:val="auto"/>
        </w:rPr>
      </w:pPr>
    </w:p>
    <w:p>
      <w:pPr>
        <w:ind w:left="3900"/>
        <w:spacing w:after="0"/>
        <w:rPr>
          <w:sz w:val="20"/>
          <w:szCs w:val="20"/>
          <w:color w:val="auto"/>
        </w:rPr>
      </w:pPr>
      <w:r>
        <w:rPr>
          <w:rFonts w:ascii="Arial" w:cs="Arial" w:eastAsia="Arial" w:hAnsi="Arial"/>
          <w:sz w:val="20"/>
          <w:szCs w:val="20"/>
          <w:color w:val="auto"/>
        </w:rPr>
        <w:t>By:</w:t>
      </w:r>
    </w:p>
    <w:p>
      <w:pPr>
        <w:spacing w:after="0" w:line="15" w:lineRule="exact"/>
        <w:rPr>
          <w:sz w:val="20"/>
          <w:szCs w:val="20"/>
          <w:color w:val="auto"/>
        </w:rPr>
      </w:pPr>
    </w:p>
    <w:p>
      <w:pPr>
        <w:ind w:left="3900"/>
        <w:spacing w:after="0"/>
        <w:rPr>
          <w:sz w:val="20"/>
          <w:szCs w:val="20"/>
          <w:color w:val="auto"/>
        </w:rPr>
      </w:pPr>
      <w:r>
        <w:rPr>
          <w:rFonts w:ascii="Arial" w:cs="Arial" w:eastAsia="Arial" w:hAnsi="Arial"/>
          <w:sz w:val="20"/>
          <w:szCs w:val="20"/>
          <w:color w:val="auto"/>
        </w:rPr>
        <w:t>Name:</w:t>
      </w:r>
    </w:p>
    <w:p>
      <w:pPr>
        <w:ind w:left="3900"/>
        <w:spacing w:after="0"/>
        <w:rPr>
          <w:sz w:val="20"/>
          <w:szCs w:val="20"/>
          <w:color w:val="auto"/>
        </w:rPr>
      </w:pPr>
      <w:r>
        <w:rPr>
          <w:rFonts w:ascii="Arial" w:cs="Arial" w:eastAsia="Arial" w:hAnsi="Arial"/>
          <w:sz w:val="20"/>
          <w:szCs w:val="20"/>
          <w:color w:val="auto"/>
        </w:rPr>
        <w:t>Title:</w:t>
      </w:r>
    </w:p>
    <w:p>
      <w:pPr>
        <w:spacing w:after="0" w:line="200" w:lineRule="exact"/>
        <w:rPr>
          <w:sz w:val="20"/>
          <w:szCs w:val="20"/>
          <w:color w:val="auto"/>
        </w:rPr>
      </w:pPr>
    </w:p>
    <w:p>
      <w:pPr>
        <w:spacing w:after="0"/>
        <w:tabs>
          <w:tab w:leader="none" w:pos="1920" w:val="left"/>
        </w:tabs>
        <w:rPr>
          <w:sz w:val="20"/>
          <w:szCs w:val="20"/>
          <w:color w:val="auto"/>
        </w:rPr>
      </w:pPr>
      <w:r>
        <w:rPr>
          <w:rFonts w:ascii="Arial" w:cs="Arial" w:eastAsia="Arial" w:hAnsi="Arial"/>
          <w:sz w:val="20"/>
          <w:szCs w:val="20"/>
          <w:u w:val="single" w:color="auto"/>
          <w:color w:val="auto"/>
        </w:rPr>
        <w:t>COMPANY</w:t>
      </w:r>
      <w:r>
        <w:rPr>
          <w:rFonts w:ascii="Arial" w:cs="Arial" w:eastAsia="Arial" w:hAnsi="Arial"/>
          <w:sz w:val="20"/>
          <w:szCs w:val="20"/>
          <w:color w:val="auto"/>
        </w:rPr>
        <w:t>:</w:t>
      </w:r>
      <w:r>
        <w:rPr>
          <w:sz w:val="20"/>
          <w:szCs w:val="20"/>
          <w:color w:val="auto"/>
        </w:rPr>
        <w:tab/>
      </w:r>
      <w:r>
        <w:rPr>
          <w:rFonts w:ascii="Arial" w:cs="Arial" w:eastAsia="Arial" w:hAnsi="Arial"/>
          <w:sz w:val="18"/>
          <w:szCs w:val="18"/>
          <w:color w:val="auto"/>
        </w:rPr>
        <w:t>Euronet Worldwide, Inc.</w:t>
      </w:r>
    </w:p>
    <w:p>
      <w:pPr>
        <w:spacing w:after="0" w:line="200" w:lineRule="exact"/>
        <w:rPr>
          <w:sz w:val="20"/>
          <w:szCs w:val="20"/>
          <w:color w:val="auto"/>
        </w:rPr>
      </w:pPr>
    </w:p>
    <w:p>
      <w:pPr>
        <w:spacing w:after="0" w:line="232" w:lineRule="exact"/>
        <w:rPr>
          <w:sz w:val="20"/>
          <w:szCs w:val="20"/>
          <w:color w:val="auto"/>
        </w:rPr>
      </w:pPr>
    </w:p>
    <w:p>
      <w:pPr>
        <w:ind w:left="3900"/>
        <w:spacing w:after="0"/>
        <w:rPr>
          <w:sz w:val="20"/>
          <w:szCs w:val="20"/>
          <w:color w:val="auto"/>
        </w:rPr>
      </w:pPr>
      <w:r>
        <w:rPr>
          <w:rFonts w:ascii="Arial" w:cs="Arial" w:eastAsia="Arial" w:hAnsi="Arial"/>
          <w:sz w:val="20"/>
          <w:szCs w:val="20"/>
          <w:color w:val="auto"/>
        </w:rPr>
        <w:t>By:</w:t>
      </w:r>
    </w:p>
    <w:p>
      <w:pPr>
        <w:spacing w:after="0" w:line="15" w:lineRule="exact"/>
        <w:rPr>
          <w:sz w:val="20"/>
          <w:szCs w:val="20"/>
          <w:color w:val="auto"/>
        </w:rPr>
      </w:pPr>
    </w:p>
    <w:p>
      <w:pPr>
        <w:ind w:left="3900"/>
        <w:spacing w:after="0"/>
        <w:rPr>
          <w:sz w:val="20"/>
          <w:szCs w:val="20"/>
          <w:color w:val="auto"/>
        </w:rPr>
      </w:pPr>
      <w:r>
        <w:rPr>
          <w:rFonts w:ascii="Arial" w:cs="Arial" w:eastAsia="Arial" w:hAnsi="Arial"/>
          <w:sz w:val="20"/>
          <w:szCs w:val="20"/>
          <w:color w:val="auto"/>
        </w:rPr>
        <w:t>Name:</w:t>
      </w:r>
    </w:p>
    <w:p>
      <w:pPr>
        <w:ind w:left="3900"/>
        <w:spacing w:after="0"/>
        <w:rPr>
          <w:sz w:val="20"/>
          <w:szCs w:val="20"/>
          <w:color w:val="auto"/>
        </w:rPr>
      </w:pPr>
      <w:r>
        <w:rPr>
          <w:rFonts w:ascii="Arial" w:cs="Arial" w:eastAsia="Arial" w:hAnsi="Arial"/>
          <w:sz w:val="20"/>
          <w:szCs w:val="20"/>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Arial" w:cs="Arial" w:eastAsia="Arial" w:hAnsi="Arial"/>
          <w:sz w:val="20"/>
          <w:szCs w:val="20"/>
          <w:color w:val="auto"/>
        </w:rPr>
        <w:t>Acknowledged and accepted:</w:t>
      </w:r>
    </w:p>
    <w:p>
      <w:pPr>
        <w:spacing w:after="0" w:line="216" w:lineRule="exact"/>
        <w:rPr>
          <w:sz w:val="20"/>
          <w:szCs w:val="20"/>
          <w:color w:val="auto"/>
        </w:rPr>
      </w:pPr>
    </w:p>
    <w:p>
      <w:pPr>
        <w:spacing w:after="0"/>
        <w:rPr>
          <w:sz w:val="20"/>
          <w:szCs w:val="20"/>
          <w:color w:val="auto"/>
        </w:rPr>
      </w:pPr>
      <w:r>
        <w:rPr>
          <w:rFonts w:ascii="Arial" w:cs="Arial" w:eastAsia="Arial" w:hAnsi="Arial"/>
          <w:sz w:val="20"/>
          <w:szCs w:val="20"/>
          <w:color w:val="auto"/>
        </w:rPr>
        <w:t>BANK OF AMERICA, N.A., as Administrative Agent</w:t>
      </w:r>
    </w:p>
    <w:p>
      <w:pPr>
        <w:spacing w:after="0" w:line="216" w:lineRule="exact"/>
        <w:rPr>
          <w:sz w:val="20"/>
          <w:szCs w:val="20"/>
          <w:color w:val="auto"/>
        </w:rPr>
      </w:pPr>
    </w:p>
    <w:p>
      <w:pPr>
        <w:spacing w:after="0"/>
        <w:rPr>
          <w:sz w:val="20"/>
          <w:szCs w:val="20"/>
          <w:color w:val="auto"/>
        </w:rPr>
      </w:pPr>
      <w:r>
        <w:rPr>
          <w:rFonts w:ascii="Arial" w:cs="Arial" w:eastAsia="Arial" w:hAnsi="Arial"/>
          <w:sz w:val="20"/>
          <w:szCs w:val="20"/>
          <w:color w:val="auto"/>
        </w:rPr>
        <w:t>By:</w:t>
      </w:r>
    </w:p>
    <w:p>
      <w:pPr>
        <w:spacing w:after="0" w:line="15" w:lineRule="exact"/>
        <w:rPr>
          <w:sz w:val="20"/>
          <w:szCs w:val="20"/>
          <w:color w:val="auto"/>
        </w:rPr>
      </w:pPr>
    </w:p>
    <w:p>
      <w:pPr>
        <w:spacing w:after="0"/>
        <w:rPr>
          <w:sz w:val="20"/>
          <w:szCs w:val="20"/>
          <w:color w:val="auto"/>
        </w:rPr>
      </w:pPr>
      <w:r>
        <w:rPr>
          <w:rFonts w:ascii="Arial" w:cs="Arial" w:eastAsia="Arial" w:hAnsi="Arial"/>
          <w:sz w:val="20"/>
          <w:szCs w:val="20"/>
          <w:color w:val="auto"/>
        </w:rPr>
        <w:t>Name:</w:t>
      </w:r>
    </w:p>
    <w:p>
      <w:pPr>
        <w:spacing w:after="0"/>
        <w:rPr>
          <w:sz w:val="20"/>
          <w:szCs w:val="20"/>
          <w:color w:val="auto"/>
        </w:rPr>
      </w:pPr>
      <w:r>
        <w:rPr>
          <w:rFonts w:ascii="Arial" w:cs="Arial" w:eastAsia="Arial" w:hAnsi="Arial"/>
          <w:sz w:val="20"/>
          <w:szCs w:val="20"/>
          <w:color w:val="auto"/>
        </w:rPr>
        <w:t>Title:</w:t>
      </w:r>
    </w:p>
    <w:p>
      <w:pPr>
        <w:sectPr>
          <w:pgSz w:w="11900" w:h="16838" w:orient="portrait"/>
          <w:cols w:equalWidth="0" w:num="1">
            <w:col w:w="11320"/>
          </w:cols>
          <w:pgMar w:left="240" w:top="365" w:right="339" w:bottom="1440" w:gutter="0" w:footer="0" w:header="0"/>
        </w:sectPr>
      </w:pPr>
    </w:p>
    <w:bookmarkStart w:id="323" w:name="page324"/>
    <w:bookmarkEnd w:id="323"/>
    <w:p>
      <w:pPr>
        <w:jc w:val="center"/>
        <w:ind w:right="-19"/>
        <w:spacing w:after="0"/>
        <w:rPr>
          <w:sz w:val="20"/>
          <w:szCs w:val="20"/>
          <w:color w:val="auto"/>
        </w:rPr>
      </w:pPr>
      <w:r>
        <w:rPr>
          <w:rFonts w:ascii="Arial" w:cs="Arial" w:eastAsia="Arial" w:hAnsi="Arial"/>
          <w:sz w:val="20"/>
          <w:szCs w:val="20"/>
          <w:u w:val="single" w:color="auto"/>
          <w:color w:val="auto"/>
        </w:rPr>
        <w:t>Exhibit 11.06</w:t>
      </w:r>
    </w:p>
    <w:p>
      <w:pPr>
        <w:spacing w:after="0" w:line="216"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Form of Assignment and Assumption</w:t>
      </w:r>
    </w:p>
    <w:p>
      <w:pPr>
        <w:spacing w:after="0" w:line="216" w:lineRule="exact"/>
        <w:rPr>
          <w:sz w:val="20"/>
          <w:szCs w:val="20"/>
          <w:color w:val="auto"/>
        </w:rPr>
      </w:pPr>
    </w:p>
    <w:p>
      <w:pPr>
        <w:ind w:firstLine="648"/>
        <w:spacing w:after="0" w:line="243" w:lineRule="auto"/>
        <w:rPr>
          <w:sz w:val="20"/>
          <w:szCs w:val="20"/>
          <w:color w:val="auto"/>
        </w:rPr>
      </w:pPr>
      <w:r>
        <w:rPr>
          <w:rFonts w:ascii="Arial" w:cs="Arial" w:eastAsia="Arial" w:hAnsi="Arial"/>
          <w:sz w:val="20"/>
          <w:szCs w:val="20"/>
          <w:color w:val="auto"/>
        </w:rPr>
        <w:t>This Assignment and Assumption (this “</w:t>
      </w:r>
      <w:r>
        <w:rPr>
          <w:rFonts w:ascii="Arial" w:cs="Arial" w:eastAsia="Arial" w:hAnsi="Arial"/>
          <w:sz w:val="20"/>
          <w:szCs w:val="20"/>
          <w:u w:val="single" w:color="auto"/>
          <w:color w:val="auto"/>
        </w:rPr>
        <w:t>Assignment and Assumption</w:t>
      </w:r>
      <w:r>
        <w:rPr>
          <w:rFonts w:ascii="Arial" w:cs="Arial" w:eastAsia="Arial" w:hAnsi="Arial"/>
          <w:sz w:val="20"/>
          <w:szCs w:val="20"/>
          <w:color w:val="auto"/>
        </w:rPr>
        <w:t>”) is dated as of the Effective Date set forth below and is entered into by and between [the][each] Assignor identified in item 1 below ([the][each, an] “</w:t>
      </w:r>
      <w:r>
        <w:rPr>
          <w:rFonts w:ascii="Arial" w:cs="Arial" w:eastAsia="Arial" w:hAnsi="Arial"/>
          <w:sz w:val="20"/>
          <w:szCs w:val="20"/>
          <w:u w:val="single" w:color="auto"/>
          <w:color w:val="auto"/>
        </w:rPr>
        <w:t>Assignor</w:t>
      </w:r>
      <w:r>
        <w:rPr>
          <w:rFonts w:ascii="Arial" w:cs="Arial" w:eastAsia="Arial" w:hAnsi="Arial"/>
          <w:sz w:val="20"/>
          <w:szCs w:val="20"/>
          <w:color w:val="auto"/>
        </w:rPr>
        <w:t>”) and [the][each] Assignee identified in item 2 below ([the][each, an] “</w:t>
      </w:r>
      <w:r>
        <w:rPr>
          <w:rFonts w:ascii="Arial" w:cs="Arial" w:eastAsia="Arial" w:hAnsi="Arial"/>
          <w:sz w:val="20"/>
          <w:szCs w:val="20"/>
          <w:u w:val="single" w:color="auto"/>
          <w:color w:val="auto"/>
        </w:rPr>
        <w:t>Assignee</w:t>
      </w:r>
      <w:r>
        <w:rPr>
          <w:rFonts w:ascii="Arial" w:cs="Arial" w:eastAsia="Arial" w:hAnsi="Arial"/>
          <w:sz w:val="20"/>
          <w:szCs w:val="20"/>
          <w:color w:val="auto"/>
        </w:rPr>
        <w:t>”). [It is understood and agreed that the rights and obligations of [the Assignors][the Assignees] hereunder are several and not joint.] Capitalized terms used but not defined herein shall have the meanings given to them in the Credit Agreement identified below (the “</w:t>
      </w:r>
      <w:r>
        <w:rPr>
          <w:rFonts w:ascii="Arial" w:cs="Arial" w:eastAsia="Arial" w:hAnsi="Arial"/>
          <w:sz w:val="20"/>
          <w:szCs w:val="20"/>
          <w:u w:val="single" w:color="auto"/>
          <w:color w:val="auto"/>
        </w:rPr>
        <w:t>Credit Agreement</w:t>
      </w:r>
      <w:r>
        <w:rPr>
          <w:rFonts w:ascii="Arial" w:cs="Arial" w:eastAsia="Arial" w:hAnsi="Arial"/>
          <w:sz w:val="20"/>
          <w:szCs w:val="20"/>
          <w:color w:val="auto"/>
        </w:rPr>
        <w:t>”), receipt of a copy of which is hereby acknowledged by the Assignee. The Standard Terms and Conditions set forth in Annex 1 attached hereto are hereby agreed to and incorporated herein by reference and made a part of this Assignment and Assumption as if set forth herein in full.</w:t>
      </w:r>
    </w:p>
    <w:p>
      <w:pPr>
        <w:spacing w:after="0" w:line="193" w:lineRule="exact"/>
        <w:rPr>
          <w:sz w:val="20"/>
          <w:szCs w:val="20"/>
          <w:color w:val="auto"/>
        </w:rPr>
      </w:pPr>
    </w:p>
    <w:p>
      <w:pPr>
        <w:ind w:firstLine="648"/>
        <w:spacing w:after="0" w:line="269" w:lineRule="auto"/>
        <w:rPr>
          <w:sz w:val="20"/>
          <w:szCs w:val="20"/>
          <w:color w:val="auto"/>
        </w:rPr>
      </w:pPr>
      <w:r>
        <w:rPr>
          <w:rFonts w:ascii="Arial" w:cs="Arial" w:eastAsia="Arial" w:hAnsi="Arial"/>
          <w:sz w:val="18"/>
          <w:szCs w:val="18"/>
          <w:color w:val="auto"/>
        </w:rPr>
        <w:t>For an agreed consideration, [the][each] Assignor hereby irrevocably sells and assigns to [the Assignee][the respective Assignees], and [the][each] Assignee hereby irrevocably purchases and assumes from [the Assignor][the respective Assignors], subject to and in accordance with the Standard Terms and Conditions and the Credit Agreement, as of the Effective Date inserted by the Administrative Agent as contemplated below (i) all of [the Assignor's][the respective Assignors'] rights and obligations in [its capacity as a Lender][their respective capacities as Lenders] under the Credit Agreement and any other documents or instruments delivered pursuant thereto to the extent related to the amount and percentage interest identified below of all of such outstanding rights and obligations of [the Assignor][the respective Assignors] under the respective facilities identified below (including, without limitation, the [USD] [India] Letters of Credit, [the USD Swingline Loans] [and the European Swingline Loans] included in such facilities) and (ii) to the extent permitted to be assigned under applicable law, all claims, suits, causes of action and any other right of [the Assignor (in its capacity as a Lender)][the respective Assignors (in their respective capacities as Lenders)] against any Person, whether known or unknown, arising under or in connection with the Credit Agreement, any other documents or instruments delivered pursuant thereto or the loan transactions governed thereby or in any way based on or related to any of the foregoing, including, but not limited to, contract claims, tort claims, malpractice claims, statutory claims and all other claims at law or in equity related to the rights and obligations sold and assigned pursuant to clause (i) above (the rights and obligations sold and assigned by [the][any] Assignor to [the][any] Assignee pursuant to clauses (i) and (ii) above being referred to herein collectively as [the][an] “</w:t>
      </w:r>
      <w:r>
        <w:rPr>
          <w:rFonts w:ascii="Arial" w:cs="Arial" w:eastAsia="Arial" w:hAnsi="Arial"/>
          <w:sz w:val="18"/>
          <w:szCs w:val="18"/>
          <w:u w:val="single" w:color="auto"/>
          <w:color w:val="auto"/>
        </w:rPr>
        <w:t>Assigned Interest</w:t>
      </w:r>
      <w:r>
        <w:rPr>
          <w:rFonts w:ascii="Arial" w:cs="Arial" w:eastAsia="Arial" w:hAnsi="Arial"/>
          <w:sz w:val="18"/>
          <w:szCs w:val="18"/>
          <w:color w:val="auto"/>
        </w:rPr>
        <w:t>”). Each such sale and assignment is without recourse to [the][any] Assignor and, except as expressly provided in this Assignment and Assumption, without representation or warranty by [the][any] Assignor.</w:t>
      </w:r>
    </w:p>
    <w:p>
      <w:pPr>
        <w:spacing w:after="0" w:line="178" w:lineRule="exact"/>
        <w:rPr>
          <w:sz w:val="20"/>
          <w:szCs w:val="20"/>
          <w:color w:val="auto"/>
        </w:rPr>
      </w:pPr>
    </w:p>
    <w:p>
      <w:pPr>
        <w:ind w:left="340" w:hanging="332"/>
        <w:spacing w:after="0"/>
        <w:tabs>
          <w:tab w:leader="none" w:pos="340" w:val="left"/>
        </w:tabs>
        <w:numPr>
          <w:ilvl w:val="0"/>
          <w:numId w:val="300"/>
        </w:numPr>
        <w:rPr>
          <w:rFonts w:ascii="Arial" w:cs="Arial" w:eastAsia="Arial" w:hAnsi="Arial"/>
          <w:sz w:val="20"/>
          <w:szCs w:val="20"/>
          <w:color w:val="auto"/>
        </w:rPr>
      </w:pPr>
      <w:r>
        <w:rPr>
          <w:rFonts w:ascii="Arial" w:cs="Arial" w:eastAsia="Arial" w:hAnsi="Arial"/>
          <w:sz w:val="20"/>
          <w:szCs w:val="20"/>
          <w:u w:val="single" w:color="auto"/>
          <w:color w:val="auto"/>
        </w:rPr>
        <w:t>Assignor[s]</w:t>
      </w:r>
      <w:r>
        <w:rPr>
          <w:rFonts w:ascii="Arial" w:cs="Arial" w:eastAsia="Arial" w:hAnsi="Arial"/>
          <w:sz w:val="20"/>
          <w:szCs w:val="20"/>
          <w:color w:val="auto"/>
        </w:rPr>
        <w:t>:  ______________________________</w:t>
      </w:r>
    </w:p>
    <w:p>
      <w:pPr>
        <w:spacing w:after="0" w:line="215" w:lineRule="exact"/>
        <w:rPr>
          <w:rFonts w:ascii="Arial" w:cs="Arial" w:eastAsia="Arial" w:hAnsi="Arial"/>
          <w:sz w:val="20"/>
          <w:szCs w:val="20"/>
          <w:color w:val="auto"/>
        </w:rPr>
      </w:pPr>
    </w:p>
    <w:p>
      <w:pPr>
        <w:ind w:left="1960"/>
        <w:spacing w:after="0"/>
        <w:rPr>
          <w:rFonts w:ascii="Arial" w:cs="Arial" w:eastAsia="Arial" w:hAnsi="Arial"/>
          <w:sz w:val="20"/>
          <w:szCs w:val="20"/>
          <w:color w:val="auto"/>
        </w:rPr>
      </w:pPr>
      <w:r>
        <w:rPr>
          <w:rFonts w:ascii="Arial" w:cs="Arial" w:eastAsia="Arial" w:hAnsi="Arial"/>
          <w:sz w:val="20"/>
          <w:szCs w:val="20"/>
          <w:color w:val="auto"/>
        </w:rPr>
        <w:t>______________________________</w:t>
      </w:r>
    </w:p>
    <w:p>
      <w:pPr>
        <w:spacing w:after="0" w:line="215" w:lineRule="exact"/>
        <w:rPr>
          <w:rFonts w:ascii="Arial" w:cs="Arial" w:eastAsia="Arial" w:hAnsi="Arial"/>
          <w:sz w:val="20"/>
          <w:szCs w:val="20"/>
          <w:color w:val="auto"/>
        </w:rPr>
      </w:pPr>
    </w:p>
    <w:p>
      <w:pPr>
        <w:ind w:left="660" w:hanging="652"/>
        <w:spacing w:after="0"/>
        <w:tabs>
          <w:tab w:leader="none" w:pos="660" w:val="left"/>
        </w:tabs>
        <w:numPr>
          <w:ilvl w:val="0"/>
          <w:numId w:val="300"/>
        </w:numPr>
        <w:rPr>
          <w:rFonts w:ascii="Arial" w:cs="Arial" w:eastAsia="Arial" w:hAnsi="Arial"/>
          <w:sz w:val="20"/>
          <w:szCs w:val="20"/>
          <w:color w:val="auto"/>
        </w:rPr>
      </w:pPr>
      <w:r>
        <w:rPr>
          <w:rFonts w:ascii="Arial" w:cs="Arial" w:eastAsia="Arial" w:hAnsi="Arial"/>
          <w:sz w:val="20"/>
          <w:szCs w:val="20"/>
          <w:u w:val="single" w:color="auto"/>
          <w:color w:val="auto"/>
        </w:rPr>
        <w:t>Assignee[s]</w:t>
      </w:r>
      <w:r>
        <w:rPr>
          <w:rFonts w:ascii="Arial" w:cs="Arial" w:eastAsia="Arial" w:hAnsi="Arial"/>
          <w:sz w:val="20"/>
          <w:szCs w:val="20"/>
          <w:color w:val="auto"/>
        </w:rPr>
        <w:t>:  ______________________________</w:t>
      </w:r>
    </w:p>
    <w:p>
      <w:pPr>
        <w:spacing w:after="0" w:line="216" w:lineRule="exact"/>
        <w:rPr>
          <w:sz w:val="20"/>
          <w:szCs w:val="20"/>
          <w:color w:val="auto"/>
        </w:rPr>
      </w:pPr>
    </w:p>
    <w:p>
      <w:pPr>
        <w:ind w:left="2600"/>
        <w:spacing w:after="0"/>
        <w:rPr>
          <w:sz w:val="20"/>
          <w:szCs w:val="20"/>
          <w:color w:val="auto"/>
        </w:rPr>
      </w:pPr>
      <w:r>
        <w:rPr>
          <w:rFonts w:ascii="Arial" w:cs="Arial" w:eastAsia="Arial" w:hAnsi="Arial"/>
          <w:sz w:val="20"/>
          <w:szCs w:val="20"/>
          <w:color w:val="auto"/>
        </w:rPr>
        <w:t>______________________________</w:t>
      </w:r>
    </w:p>
    <w:p>
      <w:pPr>
        <w:spacing w:after="0" w:line="16" w:lineRule="exact"/>
        <w:rPr>
          <w:sz w:val="20"/>
          <w:szCs w:val="20"/>
          <w:color w:val="auto"/>
        </w:rPr>
      </w:pPr>
    </w:p>
    <w:p>
      <w:pPr>
        <w:ind w:right="4000" w:firstLine="1297"/>
        <w:spacing w:after="0" w:line="469" w:lineRule="auto"/>
        <w:rPr>
          <w:sz w:val="20"/>
          <w:szCs w:val="20"/>
          <w:color w:val="auto"/>
        </w:rPr>
      </w:pPr>
      <w:r>
        <w:rPr>
          <w:rFonts w:ascii="Arial" w:cs="Arial" w:eastAsia="Arial" w:hAnsi="Arial"/>
          <w:sz w:val="20"/>
          <w:szCs w:val="20"/>
          <w:color w:val="auto"/>
        </w:rPr>
        <w:t>[for each Assignee, indicate [Affiliate][Approved Fund] of [</w:t>
      </w:r>
      <w:r>
        <w:rPr>
          <w:rFonts w:ascii="Arial" w:cs="Arial" w:eastAsia="Arial" w:hAnsi="Arial"/>
          <w:sz w:val="20"/>
          <w:szCs w:val="20"/>
          <w:i w:val="1"/>
          <w:iCs w:val="1"/>
          <w:color w:val="auto"/>
        </w:rPr>
        <w:t>identify Lender</w:t>
      </w:r>
      <w:r>
        <w:rPr>
          <w:rFonts w:ascii="Arial" w:cs="Arial" w:eastAsia="Arial" w:hAnsi="Arial"/>
          <w:sz w:val="20"/>
          <w:szCs w:val="20"/>
          <w:color w:val="auto"/>
        </w:rPr>
        <w:t xml:space="preserve">]] 3. </w:t>
      </w:r>
      <w:r>
        <w:rPr>
          <w:rFonts w:ascii="Arial" w:cs="Arial" w:eastAsia="Arial" w:hAnsi="Arial"/>
          <w:sz w:val="20"/>
          <w:szCs w:val="20"/>
          <w:u w:val="single" w:color="auto"/>
          <w:color w:val="auto"/>
        </w:rPr>
        <w:t>Borrower(s)</w:t>
      </w:r>
      <w:r>
        <w:rPr>
          <w:rFonts w:ascii="Arial" w:cs="Arial" w:eastAsia="Arial" w:hAnsi="Arial"/>
          <w:sz w:val="20"/>
          <w:szCs w:val="20"/>
          <w:color w:val="auto"/>
        </w:rPr>
        <w:t>: ______________________________</w:t>
      </w:r>
    </w:p>
    <w:p>
      <w:pPr>
        <w:sectPr>
          <w:pgSz w:w="11900" w:h="16838" w:orient="portrait"/>
          <w:cols w:equalWidth="0" w:num="1">
            <w:col w:w="11400"/>
          </w:cols>
          <w:pgMar w:left="240" w:top="1014" w:right="259" w:bottom="1440" w:gutter="0" w:footer="0" w:header="0"/>
        </w:sectPr>
      </w:pPr>
    </w:p>
    <w:bookmarkStart w:id="324" w:name="page325"/>
    <w:bookmarkEnd w:id="324"/>
    <w:p>
      <w:pPr>
        <w:ind w:left="660" w:hanging="652"/>
        <w:spacing w:after="0"/>
        <w:tabs>
          <w:tab w:leader="none" w:pos="660" w:val="left"/>
        </w:tabs>
        <w:numPr>
          <w:ilvl w:val="0"/>
          <w:numId w:val="301"/>
        </w:numPr>
        <w:rPr>
          <w:rFonts w:ascii="Arial" w:cs="Arial" w:eastAsia="Arial" w:hAnsi="Arial"/>
          <w:sz w:val="20"/>
          <w:szCs w:val="20"/>
          <w:color w:val="auto"/>
        </w:rPr>
      </w:pPr>
      <w:r>
        <w:rPr>
          <w:rFonts w:ascii="Arial" w:cs="Arial" w:eastAsia="Arial" w:hAnsi="Arial"/>
          <w:sz w:val="20"/>
          <w:szCs w:val="20"/>
          <w:u w:val="single" w:color="auto"/>
          <w:color w:val="auto"/>
        </w:rPr>
        <w:t>Administrative Agent</w:t>
      </w:r>
      <w:r>
        <w:rPr>
          <w:rFonts w:ascii="Arial" w:cs="Arial" w:eastAsia="Arial" w:hAnsi="Arial"/>
          <w:sz w:val="20"/>
          <w:szCs w:val="20"/>
          <w:color w:val="auto"/>
        </w:rPr>
        <w:t>: Bank of America, N.A., as the administrative agent under the Credit Agreement</w:t>
      </w:r>
    </w:p>
    <w:p>
      <w:pPr>
        <w:spacing w:after="0" w:line="215" w:lineRule="exact"/>
        <w:rPr>
          <w:rFonts w:ascii="Arial" w:cs="Arial" w:eastAsia="Arial" w:hAnsi="Arial"/>
          <w:sz w:val="20"/>
          <w:szCs w:val="20"/>
          <w:color w:val="auto"/>
        </w:rPr>
      </w:pPr>
    </w:p>
    <w:p>
      <w:pPr>
        <w:ind w:left="660" w:right="520" w:hanging="652"/>
        <w:spacing w:after="0" w:line="250" w:lineRule="auto"/>
        <w:tabs>
          <w:tab w:leader="none" w:pos="660" w:val="left"/>
        </w:tabs>
        <w:numPr>
          <w:ilvl w:val="0"/>
          <w:numId w:val="301"/>
        </w:numPr>
        <w:rPr>
          <w:rFonts w:ascii="Arial" w:cs="Arial" w:eastAsia="Arial" w:hAnsi="Arial"/>
          <w:sz w:val="20"/>
          <w:szCs w:val="20"/>
          <w:color w:val="auto"/>
        </w:rPr>
      </w:pPr>
      <w:r>
        <w:rPr>
          <w:rFonts w:ascii="Arial" w:cs="Arial" w:eastAsia="Arial" w:hAnsi="Arial"/>
          <w:sz w:val="20"/>
          <w:szCs w:val="20"/>
          <w:u w:val="single" w:color="auto"/>
          <w:color w:val="auto"/>
        </w:rPr>
        <w:t>Credit Agreement</w:t>
      </w:r>
      <w:r>
        <w:rPr>
          <w:rFonts w:ascii="Arial" w:cs="Arial" w:eastAsia="Arial" w:hAnsi="Arial"/>
          <w:sz w:val="20"/>
          <w:szCs w:val="20"/>
          <w:color w:val="auto"/>
        </w:rPr>
        <w:t>: Amended and Restated Credit Agreement, dated as of August 18, 2011, among Euronet Worldwide, Inc. and certain Subsidiaries and Affiliates, as Borrowers, the Lenders from time to time party thereto, and Bank of America, N.A., as Administrative Agent.</w:t>
      </w:r>
    </w:p>
    <w:p>
      <w:pPr>
        <w:spacing w:after="0" w:line="186" w:lineRule="exact"/>
        <w:rPr>
          <w:rFonts w:ascii="Arial" w:cs="Arial" w:eastAsia="Arial" w:hAnsi="Arial"/>
          <w:sz w:val="20"/>
          <w:szCs w:val="20"/>
          <w:color w:val="auto"/>
        </w:rPr>
      </w:pPr>
    </w:p>
    <w:p>
      <w:pPr>
        <w:ind w:left="340" w:hanging="332"/>
        <w:spacing w:after="0"/>
        <w:tabs>
          <w:tab w:leader="none" w:pos="340" w:val="left"/>
        </w:tabs>
        <w:numPr>
          <w:ilvl w:val="0"/>
          <w:numId w:val="301"/>
        </w:numPr>
        <w:rPr>
          <w:rFonts w:ascii="Arial" w:cs="Arial" w:eastAsia="Arial" w:hAnsi="Arial"/>
          <w:sz w:val="20"/>
          <w:szCs w:val="20"/>
          <w:color w:val="auto"/>
        </w:rPr>
      </w:pPr>
      <w:r>
        <w:rPr>
          <w:rFonts w:ascii="Arial" w:cs="Arial" w:eastAsia="Arial" w:hAnsi="Arial"/>
          <w:sz w:val="20"/>
          <w:szCs w:val="20"/>
          <w:u w:val="single" w:color="auto"/>
          <w:color w:val="auto"/>
        </w:rPr>
        <w:t>Assigned Interest[s]</w:t>
      </w:r>
      <w:r>
        <w:rPr>
          <w:rFonts w:ascii="Arial" w:cs="Arial" w:eastAsia="Arial" w:hAnsi="Arial"/>
          <w:sz w:val="20"/>
          <w:szCs w:val="20"/>
          <w:color w:val="auto"/>
        </w:rPr>
        <w:t>:</w:t>
      </w:r>
    </w:p>
    <w:p>
      <w:pPr>
        <w:spacing w:after="0" w:line="348" w:lineRule="exact"/>
        <w:rPr>
          <w:sz w:val="20"/>
          <w:szCs w:val="20"/>
          <w:color w:val="auto"/>
        </w:rPr>
      </w:pPr>
    </w:p>
    <w:tbl>
      <w:tblPr>
        <w:tblLayout w:type="fixed"/>
        <w:tblInd w:w="10" w:type="dxa"/>
        <w:tblCellMar>
          <w:top w:w="0" w:type="dxa"/>
          <w:left w:w="0" w:type="dxa"/>
          <w:bottom w:w="0" w:type="dxa"/>
          <w:right w:w="0" w:type="dxa"/>
        </w:tblCellMar>
      </w:tblPr>
      <w:tr>
        <w:trPr>
          <w:trHeight w:val="685"/>
        </w:trPr>
        <w:tc>
          <w:tcPr>
            <w:tcW w:w="40" w:type="dxa"/>
            <w:vAlign w:val="bottom"/>
            <w:tcBorders>
              <w:top w:val="single" w:sz="8" w:color="auto"/>
              <w:left w:val="single" w:sz="8" w:color="auto"/>
            </w:tcBorders>
          </w:tcPr>
          <w:p>
            <w:pPr>
              <w:spacing w:after="0"/>
              <w:rPr>
                <w:sz w:val="24"/>
                <w:szCs w:val="24"/>
                <w:color w:val="auto"/>
              </w:rPr>
            </w:pPr>
          </w:p>
        </w:tc>
        <w:tc>
          <w:tcPr>
            <w:tcW w:w="940" w:type="dxa"/>
            <w:vAlign w:val="bottom"/>
            <w:tcBorders>
              <w:top w:val="single" w:sz="8" w:color="auto"/>
            </w:tcBorders>
          </w:tcPr>
          <w:p>
            <w:pPr>
              <w:spacing w:after="0"/>
              <w:rPr>
                <w:sz w:val="24"/>
                <w:szCs w:val="24"/>
                <w:color w:val="auto"/>
              </w:rPr>
            </w:pPr>
          </w:p>
        </w:tc>
        <w:tc>
          <w:tcPr>
            <w:tcW w:w="580" w:type="dxa"/>
            <w:vAlign w:val="bottom"/>
            <w:tcBorders>
              <w:top w:val="single" w:sz="8" w:color="auto"/>
              <w:right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920" w:type="dxa"/>
            <w:vAlign w:val="bottom"/>
            <w:tcBorders>
              <w:top w:val="single" w:sz="8" w:color="auto"/>
            </w:tcBorders>
          </w:tcPr>
          <w:p>
            <w:pPr>
              <w:spacing w:after="0"/>
              <w:rPr>
                <w:sz w:val="24"/>
                <w:szCs w:val="24"/>
                <w:color w:val="auto"/>
              </w:rPr>
            </w:pPr>
          </w:p>
        </w:tc>
        <w:tc>
          <w:tcPr>
            <w:tcW w:w="680" w:type="dxa"/>
            <w:vAlign w:val="bottom"/>
            <w:tcBorders>
              <w:top w:val="single" w:sz="8" w:color="auto"/>
              <w:right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1560" w:type="dxa"/>
            <w:vAlign w:val="bottom"/>
            <w:tcBorders>
              <w:top w:val="single" w:sz="8" w:color="auto"/>
              <w:right w:val="single" w:sz="8" w:color="auto"/>
            </w:tcBorders>
            <w:gridSpan w:val="2"/>
          </w:tcPr>
          <w:p>
            <w:pPr>
              <w:spacing w:after="0"/>
              <w:rPr>
                <w:sz w:val="20"/>
                <w:szCs w:val="20"/>
                <w:color w:val="auto"/>
              </w:rPr>
            </w:pPr>
            <w:r>
              <w:rPr>
                <w:rFonts w:ascii="Arial" w:cs="Arial" w:eastAsia="Arial" w:hAnsi="Arial"/>
                <w:sz w:val="20"/>
                <w:szCs w:val="20"/>
                <w:color w:val="auto"/>
              </w:rPr>
              <w:t>Facility</w:t>
            </w:r>
          </w:p>
        </w:tc>
        <w:tc>
          <w:tcPr>
            <w:tcW w:w="20" w:type="dxa"/>
            <w:vAlign w:val="bottom"/>
            <w:tcBorders>
              <w:top w:val="single" w:sz="8" w:color="auto"/>
            </w:tcBorders>
          </w:tcPr>
          <w:p>
            <w:pPr>
              <w:spacing w:after="0"/>
              <w:rPr>
                <w:sz w:val="24"/>
                <w:szCs w:val="24"/>
                <w:color w:val="auto"/>
              </w:rPr>
            </w:pPr>
          </w:p>
        </w:tc>
        <w:tc>
          <w:tcPr>
            <w:tcW w:w="1160" w:type="dxa"/>
            <w:vAlign w:val="bottom"/>
            <w:tcBorders>
              <w:top w:val="single" w:sz="8" w:color="auto"/>
            </w:tcBorders>
          </w:tcPr>
          <w:p>
            <w:pPr>
              <w:spacing w:after="0"/>
              <w:rPr>
                <w:sz w:val="24"/>
                <w:szCs w:val="24"/>
                <w:color w:val="auto"/>
              </w:rPr>
            </w:pPr>
          </w:p>
        </w:tc>
        <w:tc>
          <w:tcPr>
            <w:tcW w:w="840" w:type="dxa"/>
            <w:vAlign w:val="bottom"/>
            <w:tcBorders>
              <w:top w:val="single" w:sz="8" w:color="auto"/>
              <w:right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740" w:type="dxa"/>
            <w:vAlign w:val="bottom"/>
            <w:tcBorders>
              <w:top w:val="single" w:sz="8" w:color="auto"/>
            </w:tcBorders>
          </w:tcPr>
          <w:p>
            <w:pPr>
              <w:spacing w:after="0"/>
              <w:rPr>
                <w:sz w:val="24"/>
                <w:szCs w:val="24"/>
                <w:color w:val="auto"/>
              </w:rPr>
            </w:pPr>
          </w:p>
        </w:tc>
        <w:tc>
          <w:tcPr>
            <w:tcW w:w="900" w:type="dxa"/>
            <w:vAlign w:val="bottom"/>
            <w:tcBorders>
              <w:top w:val="single" w:sz="8" w:color="auto"/>
              <w:right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480" w:type="dxa"/>
            <w:vAlign w:val="bottom"/>
            <w:tcBorders>
              <w:top w:val="single" w:sz="8" w:color="auto"/>
            </w:tcBorders>
          </w:tcPr>
          <w:p>
            <w:pPr>
              <w:spacing w:after="0"/>
              <w:rPr>
                <w:sz w:val="24"/>
                <w:szCs w:val="24"/>
                <w:color w:val="auto"/>
              </w:rPr>
            </w:pPr>
          </w:p>
        </w:tc>
        <w:tc>
          <w:tcPr>
            <w:tcW w:w="1180" w:type="dxa"/>
            <w:vAlign w:val="bottom"/>
            <w:tcBorders>
              <w:top w:val="single" w:sz="8" w:color="auto"/>
              <w:right w:val="single" w:sz="8" w:color="auto"/>
            </w:tcBorders>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640" w:type="dxa"/>
            <w:vAlign w:val="bottom"/>
            <w:tcBorders>
              <w:top w:val="single" w:sz="8" w:color="auto"/>
            </w:tcBorders>
          </w:tcPr>
          <w:p>
            <w:pPr>
              <w:spacing w:after="0"/>
              <w:rPr>
                <w:sz w:val="24"/>
                <w:szCs w:val="24"/>
                <w:color w:val="auto"/>
              </w:rPr>
            </w:pPr>
          </w:p>
        </w:tc>
        <w:tc>
          <w:tcPr>
            <w:tcW w:w="640" w:type="dxa"/>
            <w:vAlign w:val="bottom"/>
            <w:tcBorders>
              <w:top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06"/>
        </w:trPr>
        <w:tc>
          <w:tcPr>
            <w:tcW w:w="40" w:type="dxa"/>
            <w:vAlign w:val="bottom"/>
            <w:tcBorders>
              <w:left w:val="single" w:sz="8" w:color="auto"/>
            </w:tcBorders>
          </w:tcPr>
          <w:p>
            <w:pPr>
              <w:spacing w:after="0"/>
              <w:rPr>
                <w:sz w:val="17"/>
                <w:szCs w:val="17"/>
                <w:color w:val="auto"/>
              </w:rPr>
            </w:pPr>
          </w:p>
        </w:tc>
        <w:tc>
          <w:tcPr>
            <w:tcW w:w="940" w:type="dxa"/>
            <w:vAlign w:val="bottom"/>
          </w:tcPr>
          <w:p>
            <w:pPr>
              <w:spacing w:after="0"/>
              <w:rPr>
                <w:sz w:val="17"/>
                <w:szCs w:val="17"/>
                <w:color w:val="auto"/>
              </w:rPr>
            </w:pPr>
          </w:p>
        </w:tc>
        <w:tc>
          <w:tcPr>
            <w:tcW w:w="580" w:type="dxa"/>
            <w:vAlign w:val="bottom"/>
            <w:tcBorders>
              <w:right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680" w:type="dxa"/>
            <w:vAlign w:val="bottom"/>
            <w:tcBorders>
              <w:right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1560" w:type="dxa"/>
            <w:vAlign w:val="bottom"/>
            <w:tcBorders>
              <w:right w:val="single" w:sz="8" w:color="auto"/>
            </w:tcBorders>
            <w:gridSpan w:val="2"/>
          </w:tcPr>
          <w:p>
            <w:pPr>
              <w:spacing w:after="0" w:line="206" w:lineRule="exact"/>
              <w:rPr>
                <w:sz w:val="20"/>
                <w:szCs w:val="20"/>
                <w:color w:val="auto"/>
              </w:rPr>
            </w:pPr>
            <w:r>
              <w:rPr>
                <w:rFonts w:ascii="Arial" w:cs="Arial" w:eastAsia="Arial" w:hAnsi="Arial"/>
                <w:sz w:val="20"/>
                <w:szCs w:val="20"/>
                <w:color w:val="auto"/>
              </w:rPr>
              <w:t xml:space="preserve">Assigned </w:t>
            </w:r>
            <w:r>
              <w:rPr>
                <w:rFonts w:ascii="Arial" w:cs="Arial" w:eastAsia="Arial" w:hAnsi="Arial"/>
                <w:sz w:val="18"/>
                <w:szCs w:val="18"/>
                <w:color w:val="auto"/>
              </w:rPr>
              <w:t>Fill in</w:t>
            </w:r>
          </w:p>
        </w:tc>
        <w:tc>
          <w:tcPr>
            <w:tcW w:w="20" w:type="dxa"/>
            <w:vAlign w:val="bottom"/>
          </w:tcPr>
          <w:p>
            <w:pPr>
              <w:spacing w:after="0"/>
              <w:rPr>
                <w:sz w:val="17"/>
                <w:szCs w:val="17"/>
                <w:color w:val="auto"/>
              </w:rPr>
            </w:pPr>
          </w:p>
        </w:tc>
        <w:tc>
          <w:tcPr>
            <w:tcW w:w="2000" w:type="dxa"/>
            <w:vAlign w:val="bottom"/>
            <w:tcBorders>
              <w:right w:val="single" w:sz="8" w:color="auto"/>
            </w:tcBorders>
            <w:gridSpan w:val="2"/>
            <w:vMerge w:val="restart"/>
          </w:tcPr>
          <w:p>
            <w:pPr>
              <w:spacing w:after="0"/>
              <w:rPr>
                <w:sz w:val="20"/>
                <w:szCs w:val="20"/>
                <w:color w:val="auto"/>
              </w:rPr>
            </w:pPr>
            <w:r>
              <w:rPr>
                <w:rFonts w:ascii="Arial" w:cs="Arial" w:eastAsia="Arial" w:hAnsi="Arial"/>
                <w:sz w:val="20"/>
                <w:szCs w:val="20"/>
                <w:color w:val="auto"/>
              </w:rPr>
              <w:t>Aggregate</w:t>
            </w:r>
          </w:p>
        </w:tc>
        <w:tc>
          <w:tcPr>
            <w:tcW w:w="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900" w:type="dxa"/>
            <w:vAlign w:val="bottom"/>
            <w:tcBorders>
              <w:right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180" w:type="dxa"/>
            <w:vAlign w:val="bottom"/>
            <w:tcBorders>
              <w:right w:val="single" w:sz="8" w:color="auto"/>
            </w:tcBorders>
          </w:tcPr>
          <w:p>
            <w:pPr>
              <w:spacing w:after="0"/>
              <w:rPr>
                <w:sz w:val="17"/>
                <w:szCs w:val="17"/>
                <w:color w:val="auto"/>
              </w:rPr>
            </w:pPr>
          </w:p>
        </w:tc>
        <w:tc>
          <w:tcPr>
            <w:tcW w:w="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64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0" w:type="dxa"/>
            <w:vAlign w:val="bottom"/>
            <w:tcBorders>
              <w:left w:val="single" w:sz="8" w:color="auto"/>
            </w:tcBorders>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580" w:type="dxa"/>
            <w:vAlign w:val="bottom"/>
            <w:tcBorders>
              <w:right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680" w:type="dxa"/>
            <w:vAlign w:val="bottom"/>
            <w:tcBorders>
              <w:right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820" w:type="dxa"/>
            <w:vAlign w:val="bottom"/>
            <w:tcBorders>
              <w:right w:val="single" w:sz="8" w:color="auto"/>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000" w:type="dxa"/>
            <w:vAlign w:val="bottom"/>
            <w:tcBorders>
              <w:right w:val="single" w:sz="8" w:color="auto"/>
            </w:tcBorders>
            <w:gridSpan w:val="2"/>
            <w:vMerge w:val="continu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900" w:type="dxa"/>
            <w:vAlign w:val="bottom"/>
            <w:tcBorders>
              <w:right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180" w:type="dxa"/>
            <w:vAlign w:val="bottom"/>
            <w:tcBorders>
              <w:right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40" w:type="dxa"/>
            <w:vAlign w:val="bottom"/>
            <w:tcBorders>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40" w:type="dxa"/>
            <w:vAlign w:val="bottom"/>
            <w:tcBorders>
              <w:left w:val="single" w:sz="8" w:color="auto"/>
            </w:tcBorders>
          </w:tcPr>
          <w:p>
            <w:pPr>
              <w:spacing w:after="0"/>
              <w:rPr>
                <w:sz w:val="15"/>
                <w:szCs w:val="15"/>
                <w:color w:val="auto"/>
              </w:rPr>
            </w:pPr>
          </w:p>
        </w:tc>
        <w:tc>
          <w:tcPr>
            <w:tcW w:w="940" w:type="dxa"/>
            <w:vAlign w:val="bottom"/>
          </w:tcPr>
          <w:p>
            <w:pPr>
              <w:spacing w:after="0"/>
              <w:rPr>
                <w:sz w:val="15"/>
                <w:szCs w:val="15"/>
                <w:color w:val="auto"/>
              </w:rPr>
            </w:pPr>
          </w:p>
        </w:tc>
        <w:tc>
          <w:tcPr>
            <w:tcW w:w="580" w:type="dxa"/>
            <w:vAlign w:val="bottom"/>
            <w:tcBorders>
              <w:right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680" w:type="dxa"/>
            <w:vAlign w:val="bottom"/>
            <w:tcBorders>
              <w:right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1560" w:type="dxa"/>
            <w:vAlign w:val="bottom"/>
            <w:tcBorders>
              <w:right w:val="single" w:sz="8" w:color="auto"/>
            </w:tcBorders>
            <w:gridSpan w:val="2"/>
          </w:tcPr>
          <w:p>
            <w:pPr>
              <w:spacing w:after="0" w:line="182" w:lineRule="exact"/>
              <w:rPr>
                <w:sz w:val="20"/>
                <w:szCs w:val="20"/>
                <w:color w:val="auto"/>
              </w:rPr>
            </w:pPr>
            <w:r>
              <w:rPr>
                <w:rFonts w:ascii="Arial" w:cs="Arial" w:eastAsia="Arial" w:hAnsi="Arial"/>
                <w:sz w:val="18"/>
                <w:szCs w:val="18"/>
                <w:color w:val="auto"/>
              </w:rPr>
              <w:t>Australian</w:t>
            </w:r>
          </w:p>
        </w:tc>
        <w:tc>
          <w:tcPr>
            <w:tcW w:w="20" w:type="dxa"/>
            <w:vAlign w:val="bottom"/>
            <w:vMerge w:val="continue"/>
          </w:tcPr>
          <w:p>
            <w:pPr>
              <w:spacing w:after="0"/>
              <w:rPr>
                <w:sz w:val="15"/>
                <w:szCs w:val="15"/>
                <w:color w:val="auto"/>
              </w:rPr>
            </w:pPr>
          </w:p>
        </w:tc>
        <w:tc>
          <w:tcPr>
            <w:tcW w:w="2000" w:type="dxa"/>
            <w:vAlign w:val="bottom"/>
            <w:tcBorders>
              <w:right w:val="single" w:sz="8" w:color="auto"/>
            </w:tcBorders>
            <w:gridSpan w:val="2"/>
            <w:vMerge w:val="continue"/>
          </w:tcPr>
          <w:p>
            <w:pPr>
              <w:spacing w:after="0"/>
              <w:rPr>
                <w:sz w:val="15"/>
                <w:szCs w:val="15"/>
                <w:color w:val="auto"/>
              </w:rPr>
            </w:pPr>
          </w:p>
        </w:tc>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00" w:type="dxa"/>
            <w:vAlign w:val="bottom"/>
            <w:tcBorders>
              <w:right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180" w:type="dxa"/>
            <w:vAlign w:val="bottom"/>
            <w:tcBorders>
              <w:right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4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26"/>
        </w:trPr>
        <w:tc>
          <w:tcPr>
            <w:tcW w:w="40" w:type="dxa"/>
            <w:vAlign w:val="bottom"/>
            <w:tcBorders>
              <w:left w:val="single" w:sz="8" w:color="auto"/>
            </w:tcBorders>
          </w:tcPr>
          <w:p>
            <w:pPr>
              <w:spacing w:after="0"/>
              <w:rPr>
                <w:sz w:val="19"/>
                <w:szCs w:val="19"/>
                <w:color w:val="auto"/>
              </w:rPr>
            </w:pPr>
          </w:p>
        </w:tc>
        <w:tc>
          <w:tcPr>
            <w:tcW w:w="940" w:type="dxa"/>
            <w:vAlign w:val="bottom"/>
          </w:tcPr>
          <w:p>
            <w:pPr>
              <w:spacing w:after="0"/>
              <w:rPr>
                <w:sz w:val="19"/>
                <w:szCs w:val="19"/>
                <w:color w:val="auto"/>
              </w:rPr>
            </w:pPr>
          </w:p>
        </w:tc>
        <w:tc>
          <w:tcPr>
            <w:tcW w:w="580" w:type="dxa"/>
            <w:vAlign w:val="bottom"/>
            <w:tcBorders>
              <w:right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680" w:type="dxa"/>
            <w:vAlign w:val="bottom"/>
            <w:tcBorders>
              <w:right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1560" w:type="dxa"/>
            <w:vAlign w:val="bottom"/>
            <w:tcBorders>
              <w:right w:val="single" w:sz="8" w:color="auto"/>
            </w:tcBorders>
            <w:gridSpan w:val="2"/>
          </w:tcPr>
          <w:p>
            <w:pPr>
              <w:spacing w:after="0"/>
              <w:rPr>
                <w:sz w:val="20"/>
                <w:szCs w:val="20"/>
                <w:color w:val="auto"/>
              </w:rPr>
            </w:pPr>
            <w:r>
              <w:rPr>
                <w:rFonts w:ascii="Arial" w:cs="Arial" w:eastAsia="Arial" w:hAnsi="Arial"/>
                <w:sz w:val="18"/>
                <w:szCs w:val="18"/>
                <w:color w:val="auto"/>
              </w:rPr>
              <w:t>Revolving</w:t>
            </w:r>
          </w:p>
        </w:tc>
        <w:tc>
          <w:tcPr>
            <w:tcW w:w="20" w:type="dxa"/>
            <w:vAlign w:val="bottom"/>
          </w:tcPr>
          <w:p>
            <w:pPr>
              <w:spacing w:after="0"/>
              <w:rPr>
                <w:sz w:val="19"/>
                <w:szCs w:val="19"/>
                <w:color w:val="auto"/>
              </w:rPr>
            </w:pPr>
          </w:p>
        </w:tc>
        <w:tc>
          <w:tcPr>
            <w:tcW w:w="2000" w:type="dxa"/>
            <w:vAlign w:val="bottom"/>
            <w:tcBorders>
              <w:right w:val="single" w:sz="8" w:color="auto"/>
            </w:tcBorders>
            <w:gridSpan w:val="2"/>
          </w:tcPr>
          <w:p>
            <w:pPr>
              <w:spacing w:after="0" w:line="227" w:lineRule="exact"/>
              <w:rPr>
                <w:sz w:val="20"/>
                <w:szCs w:val="20"/>
                <w:color w:val="auto"/>
              </w:rPr>
            </w:pPr>
            <w:r>
              <w:rPr>
                <w:rFonts w:ascii="Arial" w:cs="Arial" w:eastAsia="Arial" w:hAnsi="Arial"/>
                <w:sz w:val="20"/>
                <w:szCs w:val="20"/>
                <w:color w:val="auto"/>
              </w:rPr>
              <w:t>Amount of</w:t>
            </w:r>
          </w:p>
        </w:tc>
        <w:tc>
          <w:tcPr>
            <w:tcW w:w="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900" w:type="dxa"/>
            <w:vAlign w:val="bottom"/>
            <w:tcBorders>
              <w:right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180" w:type="dxa"/>
            <w:vAlign w:val="bottom"/>
            <w:tcBorders>
              <w:right w:val="single" w:sz="8" w:color="auto"/>
            </w:tcBorders>
          </w:tcPr>
          <w:p>
            <w:pPr>
              <w:spacing w:after="0"/>
              <w:rPr>
                <w:sz w:val="19"/>
                <w:szCs w:val="19"/>
                <w:color w:val="auto"/>
              </w:rPr>
            </w:pPr>
          </w:p>
        </w:tc>
        <w:tc>
          <w:tcPr>
            <w:tcW w:w="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4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tcBorders>
              <w:left w:val="single" w:sz="8" w:color="auto"/>
            </w:tcBorders>
          </w:tcPr>
          <w:p>
            <w:pPr>
              <w:spacing w:after="0"/>
              <w:rPr>
                <w:sz w:val="19"/>
                <w:szCs w:val="19"/>
                <w:color w:val="auto"/>
              </w:rPr>
            </w:pPr>
          </w:p>
        </w:tc>
        <w:tc>
          <w:tcPr>
            <w:tcW w:w="940" w:type="dxa"/>
            <w:vAlign w:val="bottom"/>
          </w:tcPr>
          <w:p>
            <w:pPr>
              <w:spacing w:after="0"/>
              <w:rPr>
                <w:sz w:val="19"/>
                <w:szCs w:val="19"/>
                <w:color w:val="auto"/>
              </w:rPr>
            </w:pPr>
          </w:p>
        </w:tc>
        <w:tc>
          <w:tcPr>
            <w:tcW w:w="580" w:type="dxa"/>
            <w:vAlign w:val="bottom"/>
            <w:tcBorders>
              <w:right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680" w:type="dxa"/>
            <w:vAlign w:val="bottom"/>
            <w:tcBorders>
              <w:right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1560" w:type="dxa"/>
            <w:vAlign w:val="bottom"/>
            <w:tcBorders>
              <w:right w:val="single" w:sz="8" w:color="auto"/>
            </w:tcBorders>
            <w:gridSpan w:val="2"/>
          </w:tcPr>
          <w:p>
            <w:pPr>
              <w:spacing w:after="0"/>
              <w:rPr>
                <w:sz w:val="20"/>
                <w:szCs w:val="20"/>
                <w:color w:val="auto"/>
              </w:rPr>
            </w:pPr>
            <w:r>
              <w:rPr>
                <w:rFonts w:ascii="Arial" w:cs="Arial" w:eastAsia="Arial" w:hAnsi="Arial"/>
                <w:sz w:val="18"/>
                <w:szCs w:val="18"/>
                <w:color w:val="auto"/>
                <w:w w:val="95"/>
              </w:rPr>
              <w:t>Commitments, USD</w:t>
            </w:r>
          </w:p>
        </w:tc>
        <w:tc>
          <w:tcPr>
            <w:tcW w:w="20" w:type="dxa"/>
            <w:vAlign w:val="bottom"/>
          </w:tcPr>
          <w:p>
            <w:pPr>
              <w:spacing w:after="0"/>
              <w:rPr>
                <w:sz w:val="19"/>
                <w:szCs w:val="19"/>
                <w:color w:val="auto"/>
              </w:rPr>
            </w:pPr>
          </w:p>
        </w:tc>
        <w:tc>
          <w:tcPr>
            <w:tcW w:w="2000" w:type="dxa"/>
            <w:vAlign w:val="bottom"/>
            <w:tcBorders>
              <w:right w:val="single" w:sz="8" w:color="auto"/>
            </w:tcBorders>
            <w:gridSpan w:val="2"/>
          </w:tcPr>
          <w:p>
            <w:pPr>
              <w:spacing w:after="0"/>
              <w:rPr>
                <w:sz w:val="20"/>
                <w:szCs w:val="20"/>
                <w:color w:val="auto"/>
              </w:rPr>
            </w:pPr>
            <w:r>
              <w:rPr>
                <w:rFonts w:ascii="Arial" w:cs="Arial" w:eastAsia="Arial" w:hAnsi="Arial"/>
                <w:sz w:val="20"/>
                <w:szCs w:val="20"/>
                <w:color w:val="auto"/>
              </w:rPr>
              <w:t>Commitment/Loans</w:t>
            </w:r>
          </w:p>
        </w:tc>
        <w:tc>
          <w:tcPr>
            <w:tcW w:w="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900" w:type="dxa"/>
            <w:vAlign w:val="bottom"/>
            <w:tcBorders>
              <w:right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1660" w:type="dxa"/>
            <w:vAlign w:val="bottom"/>
            <w:tcBorders>
              <w:right w:val="single" w:sz="8" w:color="auto"/>
            </w:tcBorders>
            <w:gridSpan w:val="2"/>
            <w:vMerge w:val="restart"/>
          </w:tcPr>
          <w:p>
            <w:pPr>
              <w:spacing w:after="0"/>
              <w:rPr>
                <w:sz w:val="20"/>
                <w:szCs w:val="20"/>
                <w:color w:val="auto"/>
              </w:rPr>
            </w:pPr>
            <w:r>
              <w:rPr>
                <w:rFonts w:ascii="Arial" w:cs="Arial" w:eastAsia="Arial" w:hAnsi="Arial"/>
                <w:sz w:val="20"/>
                <w:szCs w:val="20"/>
                <w:color w:val="auto"/>
              </w:rPr>
              <w:t>Percentage</w:t>
            </w:r>
          </w:p>
        </w:tc>
        <w:tc>
          <w:tcPr>
            <w:tcW w:w="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4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92"/>
        </w:trPr>
        <w:tc>
          <w:tcPr>
            <w:tcW w:w="40" w:type="dxa"/>
            <w:vAlign w:val="bottom"/>
            <w:tcBorders>
              <w:left w:val="single" w:sz="8" w:color="auto"/>
            </w:tcBorders>
          </w:tcPr>
          <w:p>
            <w:pPr>
              <w:spacing w:after="0"/>
              <w:rPr>
                <w:sz w:val="16"/>
                <w:szCs w:val="16"/>
                <w:color w:val="auto"/>
              </w:rPr>
            </w:pPr>
          </w:p>
        </w:tc>
        <w:tc>
          <w:tcPr>
            <w:tcW w:w="940" w:type="dxa"/>
            <w:vAlign w:val="bottom"/>
          </w:tcPr>
          <w:p>
            <w:pPr>
              <w:spacing w:after="0"/>
              <w:rPr>
                <w:sz w:val="16"/>
                <w:szCs w:val="16"/>
                <w:color w:val="auto"/>
              </w:rPr>
            </w:pPr>
          </w:p>
        </w:tc>
        <w:tc>
          <w:tcPr>
            <w:tcW w:w="580" w:type="dxa"/>
            <w:vAlign w:val="bottom"/>
            <w:tcBorders>
              <w:right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680" w:type="dxa"/>
            <w:vAlign w:val="bottom"/>
            <w:tcBorders>
              <w:right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1560" w:type="dxa"/>
            <w:vAlign w:val="bottom"/>
            <w:tcBorders>
              <w:right w:val="single" w:sz="8" w:color="auto"/>
            </w:tcBorders>
            <w:gridSpan w:val="2"/>
          </w:tcPr>
          <w:p>
            <w:pPr>
              <w:spacing w:after="0" w:line="193" w:lineRule="exact"/>
              <w:rPr>
                <w:sz w:val="20"/>
                <w:szCs w:val="20"/>
                <w:color w:val="auto"/>
              </w:rPr>
            </w:pPr>
            <w:r>
              <w:rPr>
                <w:rFonts w:ascii="Arial" w:cs="Arial" w:eastAsia="Arial" w:hAnsi="Arial"/>
                <w:sz w:val="18"/>
                <w:szCs w:val="18"/>
                <w:color w:val="auto"/>
              </w:rPr>
              <w:t>Revolving</w:t>
            </w:r>
          </w:p>
        </w:tc>
        <w:tc>
          <w:tcPr>
            <w:tcW w:w="20" w:type="dxa"/>
            <w:vAlign w:val="bottom"/>
          </w:tcPr>
          <w:p>
            <w:pPr>
              <w:spacing w:after="0"/>
              <w:rPr>
                <w:sz w:val="16"/>
                <w:szCs w:val="16"/>
                <w:color w:val="auto"/>
              </w:rPr>
            </w:pPr>
          </w:p>
        </w:tc>
        <w:tc>
          <w:tcPr>
            <w:tcW w:w="2000" w:type="dxa"/>
            <w:vAlign w:val="bottom"/>
            <w:tcBorders>
              <w:right w:val="single" w:sz="8" w:color="auto"/>
            </w:tcBorders>
            <w:gridSpan w:val="2"/>
          </w:tcPr>
          <w:p>
            <w:pPr>
              <w:spacing w:after="0" w:line="192" w:lineRule="exact"/>
              <w:rPr>
                <w:sz w:val="20"/>
                <w:szCs w:val="20"/>
                <w:color w:val="auto"/>
              </w:rPr>
            </w:pPr>
            <w:r>
              <w:rPr>
                <w:rFonts w:ascii="Arial" w:cs="Arial" w:eastAsia="Arial" w:hAnsi="Arial"/>
                <w:sz w:val="20"/>
                <w:szCs w:val="20"/>
                <w:color w:val="auto"/>
                <w:w w:val="96"/>
              </w:rPr>
              <w:t xml:space="preserve">for all Lenders </w:t>
            </w:r>
            <w:r>
              <w:rPr>
                <w:rFonts w:ascii="Arial" w:cs="Arial" w:eastAsia="Arial" w:hAnsi="Arial"/>
                <w:sz w:val="18"/>
                <w:szCs w:val="18"/>
                <w:color w:val="auto"/>
                <w:w w:val="96"/>
              </w:rPr>
              <w:t>Amounts</w:t>
            </w:r>
          </w:p>
        </w:tc>
        <w:tc>
          <w:tcPr>
            <w:tcW w:w="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900" w:type="dxa"/>
            <w:vAlign w:val="bottom"/>
            <w:tcBorders>
              <w:right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1660" w:type="dxa"/>
            <w:vAlign w:val="bottom"/>
            <w:tcBorders>
              <w:right w:val="single" w:sz="8" w:color="auto"/>
            </w:tcBorders>
            <w:gridSpan w:val="2"/>
            <w:vMerge w:val="continue"/>
          </w:tcPr>
          <w:p>
            <w:pPr>
              <w:spacing w:after="0"/>
              <w:rPr>
                <w:sz w:val="16"/>
                <w:szCs w:val="16"/>
                <w:color w:val="auto"/>
              </w:rPr>
            </w:pPr>
          </w:p>
        </w:tc>
        <w:tc>
          <w:tcPr>
            <w:tcW w:w="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4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7"/>
        </w:trPr>
        <w:tc>
          <w:tcPr>
            <w:tcW w:w="40" w:type="dxa"/>
            <w:vAlign w:val="bottom"/>
            <w:tcBorders>
              <w:left w:val="single" w:sz="8" w:color="auto"/>
            </w:tcBorders>
          </w:tcPr>
          <w:p>
            <w:pPr>
              <w:spacing w:after="0"/>
              <w:rPr>
                <w:sz w:val="2"/>
                <w:szCs w:val="2"/>
                <w:color w:val="auto"/>
              </w:rPr>
            </w:pPr>
          </w:p>
        </w:tc>
        <w:tc>
          <w:tcPr>
            <w:tcW w:w="940" w:type="dxa"/>
            <w:vAlign w:val="bottom"/>
          </w:tcPr>
          <w:p>
            <w:pPr>
              <w:spacing w:after="0"/>
              <w:rPr>
                <w:sz w:val="2"/>
                <w:szCs w:val="2"/>
                <w:color w:val="auto"/>
              </w:rPr>
            </w:pPr>
          </w:p>
        </w:tc>
        <w:tc>
          <w:tcPr>
            <w:tcW w:w="580" w:type="dxa"/>
            <w:vAlign w:val="bottom"/>
            <w:tcBorders>
              <w:right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920" w:type="dxa"/>
            <w:vAlign w:val="bottom"/>
          </w:tcPr>
          <w:p>
            <w:pPr>
              <w:spacing w:after="0"/>
              <w:rPr>
                <w:sz w:val="2"/>
                <w:szCs w:val="2"/>
                <w:color w:val="auto"/>
              </w:rPr>
            </w:pPr>
          </w:p>
        </w:tc>
        <w:tc>
          <w:tcPr>
            <w:tcW w:w="680" w:type="dxa"/>
            <w:vAlign w:val="bottom"/>
            <w:tcBorders>
              <w:right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1560" w:type="dxa"/>
            <w:vAlign w:val="bottom"/>
            <w:tcBorders>
              <w:right w:val="single" w:sz="8" w:color="auto"/>
            </w:tcBorders>
            <w:gridSpan w:val="2"/>
          </w:tcPr>
          <w:p>
            <w:pPr>
              <w:spacing w:after="0"/>
              <w:rPr>
                <w:sz w:val="2"/>
                <w:szCs w:val="2"/>
                <w:color w:val="auto"/>
              </w:rPr>
            </w:pPr>
          </w:p>
        </w:tc>
        <w:tc>
          <w:tcPr>
            <w:tcW w:w="20" w:type="dxa"/>
            <w:vAlign w:val="bottom"/>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840" w:type="dxa"/>
            <w:vAlign w:val="bottom"/>
            <w:tcBorders>
              <w:right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740" w:type="dxa"/>
            <w:vAlign w:val="bottom"/>
          </w:tcPr>
          <w:p>
            <w:pPr>
              <w:spacing w:after="0"/>
              <w:rPr>
                <w:sz w:val="2"/>
                <w:szCs w:val="2"/>
                <w:color w:val="auto"/>
              </w:rPr>
            </w:pPr>
          </w:p>
        </w:tc>
        <w:tc>
          <w:tcPr>
            <w:tcW w:w="900" w:type="dxa"/>
            <w:vAlign w:val="bottom"/>
            <w:tcBorders>
              <w:right w:val="single" w:sz="8" w:color="auto"/>
            </w:tcBorders>
          </w:tcPr>
          <w:p>
            <w:pPr>
              <w:spacing w:after="0"/>
              <w:rPr>
                <w:sz w:val="2"/>
                <w:szCs w:val="2"/>
                <w:color w:val="auto"/>
              </w:rPr>
            </w:pPr>
          </w:p>
        </w:tc>
        <w:tc>
          <w:tcPr>
            <w:tcW w:w="20" w:type="dxa"/>
            <w:vAlign w:val="bottom"/>
            <w:vMerge w:val="restart"/>
          </w:tcPr>
          <w:p>
            <w:pPr>
              <w:spacing w:after="0"/>
              <w:rPr>
                <w:sz w:val="2"/>
                <w:szCs w:val="2"/>
                <w:color w:val="auto"/>
              </w:rPr>
            </w:pPr>
          </w:p>
        </w:tc>
        <w:tc>
          <w:tcPr>
            <w:tcW w:w="1660" w:type="dxa"/>
            <w:vAlign w:val="bottom"/>
            <w:tcBorders>
              <w:right w:val="single" w:sz="8" w:color="auto"/>
            </w:tcBorders>
            <w:gridSpan w:val="2"/>
            <w:vMerge w:val="restart"/>
          </w:tcPr>
          <w:p>
            <w:pPr>
              <w:spacing w:after="0" w:line="227" w:lineRule="exact"/>
              <w:rPr>
                <w:sz w:val="20"/>
                <w:szCs w:val="20"/>
                <w:color w:val="auto"/>
              </w:rPr>
            </w:pPr>
            <w:r>
              <w:rPr>
                <w:rFonts w:ascii="Arial" w:cs="Arial" w:eastAsia="Arial" w:hAnsi="Arial"/>
                <w:sz w:val="20"/>
                <w:szCs w:val="20"/>
                <w:color w:val="auto"/>
              </w:rPr>
              <w:t>Assigned of</w:t>
            </w:r>
          </w:p>
        </w:tc>
        <w:tc>
          <w:tcPr>
            <w:tcW w:w="40" w:type="dxa"/>
            <w:vAlign w:val="bottom"/>
          </w:tcPr>
          <w:p>
            <w:pPr>
              <w:spacing w:after="0"/>
              <w:rPr>
                <w:sz w:val="2"/>
                <w:szCs w:val="2"/>
                <w:color w:val="auto"/>
              </w:rPr>
            </w:pPr>
          </w:p>
        </w:tc>
        <w:tc>
          <w:tcPr>
            <w:tcW w:w="640" w:type="dxa"/>
            <w:vAlign w:val="bottom"/>
          </w:tcPr>
          <w:p>
            <w:pPr>
              <w:spacing w:after="0"/>
              <w:rPr>
                <w:sz w:val="2"/>
                <w:szCs w:val="2"/>
                <w:color w:val="auto"/>
              </w:rPr>
            </w:pPr>
          </w:p>
        </w:tc>
        <w:tc>
          <w:tcPr>
            <w:tcW w:w="640" w:type="dxa"/>
            <w:vAlign w:val="bottom"/>
            <w:tcBorders>
              <w:right w:val="single" w:sz="8" w:color="auto"/>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9"/>
        </w:trPr>
        <w:tc>
          <w:tcPr>
            <w:tcW w:w="40" w:type="dxa"/>
            <w:vAlign w:val="bottom"/>
            <w:tcBorders>
              <w:left w:val="single" w:sz="8" w:color="auto"/>
            </w:tcBorders>
          </w:tcPr>
          <w:p>
            <w:pPr>
              <w:spacing w:after="0"/>
              <w:rPr>
                <w:sz w:val="17"/>
                <w:szCs w:val="17"/>
                <w:color w:val="auto"/>
              </w:rPr>
            </w:pPr>
          </w:p>
        </w:tc>
        <w:tc>
          <w:tcPr>
            <w:tcW w:w="940" w:type="dxa"/>
            <w:vAlign w:val="bottom"/>
          </w:tcPr>
          <w:p>
            <w:pPr>
              <w:spacing w:after="0"/>
              <w:rPr>
                <w:sz w:val="17"/>
                <w:szCs w:val="17"/>
                <w:color w:val="auto"/>
              </w:rPr>
            </w:pPr>
          </w:p>
        </w:tc>
        <w:tc>
          <w:tcPr>
            <w:tcW w:w="580" w:type="dxa"/>
            <w:vAlign w:val="bottom"/>
            <w:tcBorders>
              <w:right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680" w:type="dxa"/>
            <w:vAlign w:val="bottom"/>
            <w:tcBorders>
              <w:right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1560" w:type="dxa"/>
            <w:vAlign w:val="bottom"/>
            <w:tcBorders>
              <w:right w:val="single" w:sz="8" w:color="auto"/>
            </w:tcBorders>
            <w:gridSpan w:val="2"/>
          </w:tcPr>
          <w:p>
            <w:pPr>
              <w:spacing w:after="0" w:line="200" w:lineRule="exact"/>
              <w:rPr>
                <w:sz w:val="20"/>
                <w:szCs w:val="20"/>
                <w:color w:val="auto"/>
              </w:rPr>
            </w:pPr>
            <w:r>
              <w:rPr>
                <w:rFonts w:ascii="Arial" w:cs="Arial" w:eastAsia="Arial" w:hAnsi="Arial"/>
                <w:sz w:val="18"/>
                <w:szCs w:val="18"/>
                <w:color w:val="auto"/>
              </w:rPr>
              <w:t>Commitments,</w:t>
            </w:r>
          </w:p>
        </w:tc>
        <w:tc>
          <w:tcPr>
            <w:tcW w:w="20" w:type="dxa"/>
            <w:vAlign w:val="bottom"/>
          </w:tcPr>
          <w:p>
            <w:pPr>
              <w:spacing w:after="0"/>
              <w:rPr>
                <w:sz w:val="17"/>
                <w:szCs w:val="17"/>
                <w:color w:val="auto"/>
              </w:rPr>
            </w:pPr>
          </w:p>
        </w:tc>
        <w:tc>
          <w:tcPr>
            <w:tcW w:w="2000" w:type="dxa"/>
            <w:vAlign w:val="bottom"/>
            <w:tcBorders>
              <w:right w:val="single" w:sz="8" w:color="auto"/>
            </w:tcBorders>
            <w:gridSpan w:val="2"/>
          </w:tcPr>
          <w:p>
            <w:pPr>
              <w:spacing w:after="0" w:line="200" w:lineRule="exact"/>
              <w:rPr>
                <w:sz w:val="20"/>
                <w:szCs w:val="20"/>
                <w:color w:val="auto"/>
              </w:rPr>
            </w:pPr>
            <w:r>
              <w:rPr>
                <w:rFonts w:ascii="Arial" w:cs="Arial" w:eastAsia="Arial" w:hAnsi="Arial"/>
                <w:sz w:val="18"/>
                <w:szCs w:val="18"/>
                <w:color w:val="auto"/>
              </w:rPr>
              <w:t>in this column and in the</w:t>
            </w:r>
          </w:p>
        </w:tc>
        <w:tc>
          <w:tcPr>
            <w:tcW w:w="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900" w:type="dxa"/>
            <w:vAlign w:val="bottom"/>
            <w:tcBorders>
              <w:right w:val="single" w:sz="8" w:color="auto"/>
            </w:tcBorders>
          </w:tcPr>
          <w:p>
            <w:pPr>
              <w:spacing w:after="0"/>
              <w:rPr>
                <w:sz w:val="17"/>
                <w:szCs w:val="17"/>
                <w:color w:val="auto"/>
              </w:rPr>
            </w:pPr>
          </w:p>
        </w:tc>
        <w:tc>
          <w:tcPr>
            <w:tcW w:w="20" w:type="dxa"/>
            <w:vAlign w:val="bottom"/>
            <w:vMerge w:val="continue"/>
          </w:tcPr>
          <w:p>
            <w:pPr>
              <w:spacing w:after="0"/>
              <w:rPr>
                <w:sz w:val="17"/>
                <w:szCs w:val="17"/>
                <w:color w:val="auto"/>
              </w:rPr>
            </w:pPr>
          </w:p>
        </w:tc>
        <w:tc>
          <w:tcPr>
            <w:tcW w:w="1660" w:type="dxa"/>
            <w:vAlign w:val="bottom"/>
            <w:tcBorders>
              <w:right w:val="single" w:sz="8" w:color="auto"/>
            </w:tcBorders>
            <w:gridSpan w:val="2"/>
            <w:vMerge w:val="continue"/>
          </w:tcPr>
          <w:p>
            <w:pPr>
              <w:spacing w:after="0"/>
              <w:rPr>
                <w:sz w:val="17"/>
                <w:szCs w:val="17"/>
                <w:color w:val="auto"/>
              </w:rPr>
            </w:pPr>
          </w:p>
        </w:tc>
        <w:tc>
          <w:tcPr>
            <w:tcW w:w="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64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0" w:type="dxa"/>
            <w:vAlign w:val="bottom"/>
            <w:tcBorders>
              <w:left w:val="single" w:sz="8" w:color="auto"/>
            </w:tcBorders>
          </w:tcPr>
          <w:p>
            <w:pPr>
              <w:spacing w:after="0"/>
              <w:rPr>
                <w:sz w:val="19"/>
                <w:szCs w:val="19"/>
                <w:color w:val="auto"/>
              </w:rPr>
            </w:pPr>
          </w:p>
        </w:tc>
        <w:tc>
          <w:tcPr>
            <w:tcW w:w="940" w:type="dxa"/>
            <w:vAlign w:val="bottom"/>
          </w:tcPr>
          <w:p>
            <w:pPr>
              <w:spacing w:after="0"/>
              <w:rPr>
                <w:sz w:val="19"/>
                <w:szCs w:val="19"/>
                <w:color w:val="auto"/>
              </w:rPr>
            </w:pPr>
          </w:p>
        </w:tc>
        <w:tc>
          <w:tcPr>
            <w:tcW w:w="580" w:type="dxa"/>
            <w:vAlign w:val="bottom"/>
            <w:tcBorders>
              <w:right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680" w:type="dxa"/>
            <w:vAlign w:val="bottom"/>
            <w:tcBorders>
              <w:right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1560" w:type="dxa"/>
            <w:vAlign w:val="bottom"/>
            <w:tcBorders>
              <w:right w:val="single" w:sz="8" w:color="auto"/>
            </w:tcBorders>
            <w:gridSpan w:val="2"/>
          </w:tcPr>
          <w:p>
            <w:pPr>
              <w:spacing w:after="0"/>
              <w:rPr>
                <w:sz w:val="20"/>
                <w:szCs w:val="20"/>
                <w:color w:val="auto"/>
              </w:rPr>
            </w:pPr>
            <w:r>
              <w:rPr>
                <w:rFonts w:ascii="Arial" w:cs="Arial" w:eastAsia="Arial" w:hAnsi="Arial"/>
                <w:sz w:val="18"/>
                <w:szCs w:val="18"/>
                <w:color w:val="auto"/>
              </w:rPr>
              <w:t>Australian</w:t>
            </w:r>
          </w:p>
        </w:tc>
        <w:tc>
          <w:tcPr>
            <w:tcW w:w="20" w:type="dxa"/>
            <w:vAlign w:val="bottom"/>
          </w:tcPr>
          <w:p>
            <w:pPr>
              <w:spacing w:after="0"/>
              <w:rPr>
                <w:sz w:val="19"/>
                <w:szCs w:val="19"/>
                <w:color w:val="auto"/>
              </w:rPr>
            </w:pPr>
          </w:p>
        </w:tc>
        <w:tc>
          <w:tcPr>
            <w:tcW w:w="2000" w:type="dxa"/>
            <w:vAlign w:val="bottom"/>
            <w:tcBorders>
              <w:right w:val="single" w:sz="8" w:color="auto"/>
            </w:tcBorders>
            <w:gridSpan w:val="2"/>
          </w:tcPr>
          <w:p>
            <w:pPr>
              <w:spacing w:after="0"/>
              <w:rPr>
                <w:sz w:val="20"/>
                <w:szCs w:val="20"/>
                <w:color w:val="auto"/>
              </w:rPr>
            </w:pPr>
            <w:r>
              <w:rPr>
                <w:rFonts w:ascii="Arial" w:cs="Arial" w:eastAsia="Arial" w:hAnsi="Arial"/>
                <w:sz w:val="18"/>
                <w:szCs w:val="18"/>
                <w:color w:val="auto"/>
                <w:w w:val="93"/>
              </w:rPr>
              <w:t>column immediately to the</w:t>
            </w:r>
          </w:p>
        </w:tc>
        <w:tc>
          <w:tcPr>
            <w:tcW w:w="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900" w:type="dxa"/>
            <w:vAlign w:val="bottom"/>
            <w:tcBorders>
              <w:right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1660" w:type="dxa"/>
            <w:vAlign w:val="bottom"/>
            <w:tcBorders>
              <w:right w:val="single" w:sz="8" w:color="auto"/>
            </w:tcBorders>
            <w:gridSpan w:val="2"/>
          </w:tcPr>
          <w:p>
            <w:pPr>
              <w:spacing w:after="0"/>
              <w:rPr>
                <w:sz w:val="20"/>
                <w:szCs w:val="20"/>
                <w:color w:val="auto"/>
              </w:rPr>
            </w:pPr>
            <w:r>
              <w:rPr>
                <w:rFonts w:ascii="Arial" w:cs="Arial" w:eastAsia="Arial" w:hAnsi="Arial"/>
                <w:sz w:val="20"/>
                <w:szCs w:val="20"/>
                <w:color w:val="auto"/>
              </w:rPr>
              <w:t>Commitment/</w:t>
            </w:r>
          </w:p>
        </w:tc>
        <w:tc>
          <w:tcPr>
            <w:tcW w:w="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4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40" w:type="dxa"/>
            <w:vAlign w:val="bottom"/>
            <w:tcBorders>
              <w:left w:val="single" w:sz="8" w:color="auto"/>
            </w:tcBorders>
          </w:tcPr>
          <w:p>
            <w:pPr>
              <w:spacing w:after="0"/>
              <w:rPr>
                <w:sz w:val="17"/>
                <w:szCs w:val="17"/>
                <w:color w:val="auto"/>
              </w:rPr>
            </w:pPr>
          </w:p>
        </w:tc>
        <w:tc>
          <w:tcPr>
            <w:tcW w:w="940" w:type="dxa"/>
            <w:vAlign w:val="bottom"/>
          </w:tcPr>
          <w:p>
            <w:pPr>
              <w:spacing w:after="0"/>
              <w:rPr>
                <w:sz w:val="17"/>
                <w:szCs w:val="17"/>
                <w:color w:val="auto"/>
              </w:rPr>
            </w:pPr>
          </w:p>
        </w:tc>
        <w:tc>
          <w:tcPr>
            <w:tcW w:w="580" w:type="dxa"/>
            <w:vAlign w:val="bottom"/>
            <w:tcBorders>
              <w:right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680" w:type="dxa"/>
            <w:vAlign w:val="bottom"/>
            <w:tcBorders>
              <w:right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1560" w:type="dxa"/>
            <w:vAlign w:val="bottom"/>
            <w:tcBorders>
              <w:right w:val="single" w:sz="8" w:color="auto"/>
            </w:tcBorders>
            <w:gridSpan w:val="2"/>
          </w:tcPr>
          <w:p>
            <w:pPr>
              <w:spacing w:after="0" w:line="206" w:lineRule="exact"/>
              <w:rPr>
                <w:sz w:val="20"/>
                <w:szCs w:val="20"/>
                <w:color w:val="auto"/>
              </w:rPr>
            </w:pPr>
            <w:r>
              <w:rPr>
                <w:rFonts w:ascii="Arial" w:cs="Arial" w:eastAsia="Arial" w:hAnsi="Arial"/>
                <w:sz w:val="18"/>
                <w:szCs w:val="18"/>
                <w:color w:val="auto"/>
              </w:rPr>
              <w:t>Revolving</w:t>
            </w:r>
          </w:p>
        </w:tc>
        <w:tc>
          <w:tcPr>
            <w:tcW w:w="20" w:type="dxa"/>
            <w:vAlign w:val="bottom"/>
          </w:tcPr>
          <w:p>
            <w:pPr>
              <w:spacing w:after="0"/>
              <w:rPr>
                <w:sz w:val="17"/>
                <w:szCs w:val="17"/>
                <w:color w:val="auto"/>
              </w:rPr>
            </w:pPr>
          </w:p>
        </w:tc>
        <w:tc>
          <w:tcPr>
            <w:tcW w:w="2000" w:type="dxa"/>
            <w:vAlign w:val="bottom"/>
            <w:tcBorders>
              <w:right w:val="single" w:sz="8" w:color="auto"/>
            </w:tcBorders>
            <w:gridSpan w:val="2"/>
          </w:tcPr>
          <w:p>
            <w:pPr>
              <w:spacing w:after="0" w:line="206" w:lineRule="exact"/>
              <w:rPr>
                <w:sz w:val="20"/>
                <w:szCs w:val="20"/>
                <w:color w:val="auto"/>
              </w:rPr>
            </w:pPr>
            <w:r>
              <w:rPr>
                <w:rFonts w:ascii="Arial" w:cs="Arial" w:eastAsia="Arial" w:hAnsi="Arial"/>
                <w:sz w:val="18"/>
                <w:szCs w:val="18"/>
                <w:color w:val="auto"/>
                <w:w w:val="94"/>
              </w:rPr>
              <w:t>right to be adjusted by the</w:t>
            </w:r>
          </w:p>
        </w:tc>
        <w:tc>
          <w:tcPr>
            <w:tcW w:w="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900" w:type="dxa"/>
            <w:vAlign w:val="bottom"/>
            <w:tcBorders>
              <w:right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1660" w:type="dxa"/>
            <w:vAlign w:val="bottom"/>
            <w:tcBorders>
              <w:right w:val="single" w:sz="8" w:color="auto"/>
            </w:tcBorders>
            <w:gridSpan w:val="2"/>
          </w:tcPr>
          <w:p>
            <w:pPr>
              <w:spacing w:after="0" w:line="206" w:lineRule="exact"/>
              <w:rPr>
                <w:sz w:val="20"/>
                <w:szCs w:val="20"/>
                <w:color w:val="auto"/>
              </w:rPr>
            </w:pPr>
            <w:r>
              <w:rPr>
                <w:rFonts w:ascii="Arial" w:cs="Arial" w:eastAsia="Arial" w:hAnsi="Arial"/>
                <w:sz w:val="20"/>
                <w:szCs w:val="20"/>
                <w:color w:val="auto"/>
                <w:w w:val="93"/>
              </w:rPr>
              <w:t xml:space="preserve">Loans </w:t>
            </w:r>
            <w:r>
              <w:rPr>
                <w:rFonts w:ascii="Arial" w:cs="Arial" w:eastAsia="Arial" w:hAnsi="Arial"/>
                <w:sz w:val="18"/>
                <w:szCs w:val="18"/>
                <w:color w:val="auto"/>
                <w:w w:val="93"/>
              </w:rPr>
              <w:t>Set forth, to at</w:t>
            </w:r>
          </w:p>
        </w:tc>
        <w:tc>
          <w:tcPr>
            <w:tcW w:w="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64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0" w:type="dxa"/>
            <w:vAlign w:val="bottom"/>
            <w:tcBorders>
              <w:left w:val="single" w:sz="8" w:color="auto"/>
            </w:tcBorders>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580" w:type="dxa"/>
            <w:vAlign w:val="bottom"/>
            <w:tcBorders>
              <w:right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680" w:type="dxa"/>
            <w:vAlign w:val="bottom"/>
            <w:tcBorders>
              <w:right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60" w:type="dxa"/>
            <w:vAlign w:val="bottom"/>
            <w:tcBorders>
              <w:right w:val="single" w:sz="8" w:color="auto"/>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0" w:type="dxa"/>
            <w:vAlign w:val="bottom"/>
            <w:tcBorders>
              <w:right w:val="single" w:sz="8" w:color="auto"/>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900" w:type="dxa"/>
            <w:vAlign w:val="bottom"/>
            <w:tcBorders>
              <w:right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180" w:type="dxa"/>
            <w:vAlign w:val="bottom"/>
            <w:tcBorders>
              <w:right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40" w:type="dxa"/>
            <w:vAlign w:val="bottom"/>
            <w:tcBorders>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40" w:type="dxa"/>
            <w:vAlign w:val="bottom"/>
            <w:tcBorders>
              <w:left w:val="single" w:sz="8" w:color="auto"/>
            </w:tcBorders>
          </w:tcPr>
          <w:p>
            <w:pPr>
              <w:spacing w:after="0"/>
              <w:rPr>
                <w:sz w:val="19"/>
                <w:szCs w:val="19"/>
                <w:color w:val="auto"/>
              </w:rPr>
            </w:pPr>
          </w:p>
        </w:tc>
        <w:tc>
          <w:tcPr>
            <w:tcW w:w="940" w:type="dxa"/>
            <w:vAlign w:val="bottom"/>
          </w:tcPr>
          <w:p>
            <w:pPr>
              <w:spacing w:after="0"/>
              <w:rPr>
                <w:sz w:val="19"/>
                <w:szCs w:val="19"/>
                <w:color w:val="auto"/>
              </w:rPr>
            </w:pPr>
          </w:p>
        </w:tc>
        <w:tc>
          <w:tcPr>
            <w:tcW w:w="580" w:type="dxa"/>
            <w:vAlign w:val="bottom"/>
            <w:tcBorders>
              <w:right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680" w:type="dxa"/>
            <w:vAlign w:val="bottom"/>
            <w:tcBorders>
              <w:right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1560" w:type="dxa"/>
            <w:vAlign w:val="bottom"/>
            <w:tcBorders>
              <w:right w:val="single" w:sz="8" w:color="auto"/>
            </w:tcBorders>
            <w:gridSpan w:val="2"/>
          </w:tcPr>
          <w:p>
            <w:pPr>
              <w:spacing w:after="0"/>
              <w:rPr>
                <w:sz w:val="20"/>
                <w:szCs w:val="20"/>
                <w:color w:val="auto"/>
              </w:rPr>
            </w:pPr>
            <w:r>
              <w:rPr>
                <w:rFonts w:ascii="Arial" w:cs="Arial" w:eastAsia="Arial" w:hAnsi="Arial"/>
                <w:sz w:val="18"/>
                <w:szCs w:val="18"/>
                <w:color w:val="auto"/>
                <w:w w:val="94"/>
              </w:rPr>
              <w:t>Commitments, India</w:t>
            </w:r>
          </w:p>
        </w:tc>
        <w:tc>
          <w:tcPr>
            <w:tcW w:w="20" w:type="dxa"/>
            <w:vAlign w:val="bottom"/>
          </w:tcPr>
          <w:p>
            <w:pPr>
              <w:spacing w:after="0"/>
              <w:rPr>
                <w:sz w:val="19"/>
                <w:szCs w:val="19"/>
                <w:color w:val="auto"/>
              </w:rPr>
            </w:pPr>
          </w:p>
        </w:tc>
        <w:tc>
          <w:tcPr>
            <w:tcW w:w="2000" w:type="dxa"/>
            <w:vAlign w:val="bottom"/>
            <w:tcBorders>
              <w:right w:val="single" w:sz="8" w:color="auto"/>
            </w:tcBorders>
            <w:gridSpan w:val="2"/>
          </w:tcPr>
          <w:p>
            <w:pPr>
              <w:spacing w:after="0"/>
              <w:rPr>
                <w:sz w:val="20"/>
                <w:szCs w:val="20"/>
                <w:color w:val="auto"/>
              </w:rPr>
            </w:pPr>
            <w:r>
              <w:rPr>
                <w:rFonts w:ascii="Arial" w:cs="Arial" w:eastAsia="Arial" w:hAnsi="Arial"/>
                <w:sz w:val="18"/>
                <w:szCs w:val="18"/>
                <w:color w:val="auto"/>
                <w:w w:val="94"/>
              </w:rPr>
              <w:t>counterparties to take into</w:t>
            </w:r>
          </w:p>
        </w:tc>
        <w:tc>
          <w:tcPr>
            <w:tcW w:w="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900" w:type="dxa"/>
            <w:vAlign w:val="bottom"/>
            <w:tcBorders>
              <w:right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1660" w:type="dxa"/>
            <w:vAlign w:val="bottom"/>
            <w:tcBorders>
              <w:right w:val="single" w:sz="8" w:color="auto"/>
            </w:tcBorders>
            <w:gridSpan w:val="2"/>
          </w:tcPr>
          <w:p>
            <w:pPr>
              <w:spacing w:after="0"/>
              <w:rPr>
                <w:sz w:val="20"/>
                <w:szCs w:val="20"/>
                <w:color w:val="auto"/>
              </w:rPr>
            </w:pPr>
            <w:r>
              <w:rPr>
                <w:rFonts w:ascii="Arial" w:cs="Arial" w:eastAsia="Arial" w:hAnsi="Arial"/>
                <w:sz w:val="18"/>
                <w:szCs w:val="18"/>
                <w:color w:val="auto"/>
                <w:w w:val="93"/>
              </w:rPr>
              <w:t>least 9 decimals, as a</w:t>
            </w:r>
          </w:p>
        </w:tc>
        <w:tc>
          <w:tcPr>
            <w:tcW w:w="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4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0" w:type="dxa"/>
            <w:vAlign w:val="bottom"/>
            <w:tcBorders>
              <w:left w:val="single" w:sz="8" w:color="auto"/>
            </w:tcBorders>
          </w:tcPr>
          <w:p>
            <w:pPr>
              <w:spacing w:after="0"/>
              <w:rPr>
                <w:sz w:val="18"/>
                <w:szCs w:val="18"/>
                <w:color w:val="auto"/>
              </w:rPr>
            </w:pPr>
          </w:p>
        </w:tc>
        <w:tc>
          <w:tcPr>
            <w:tcW w:w="940" w:type="dxa"/>
            <w:vAlign w:val="bottom"/>
          </w:tcPr>
          <w:p>
            <w:pPr>
              <w:spacing w:after="0"/>
              <w:rPr>
                <w:sz w:val="18"/>
                <w:szCs w:val="18"/>
                <w:color w:val="auto"/>
              </w:rPr>
            </w:pPr>
          </w:p>
        </w:tc>
        <w:tc>
          <w:tcPr>
            <w:tcW w:w="580" w:type="dxa"/>
            <w:vAlign w:val="bottom"/>
            <w:tcBorders>
              <w:right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80" w:type="dxa"/>
            <w:vAlign w:val="bottom"/>
            <w:tcBorders>
              <w:right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1560" w:type="dxa"/>
            <w:vAlign w:val="bottom"/>
            <w:tcBorders>
              <w:right w:val="single" w:sz="8" w:color="auto"/>
            </w:tcBorders>
            <w:gridSpan w:val="2"/>
          </w:tcPr>
          <w:p>
            <w:pPr>
              <w:spacing w:after="0"/>
              <w:rPr>
                <w:sz w:val="20"/>
                <w:szCs w:val="20"/>
                <w:color w:val="auto"/>
              </w:rPr>
            </w:pPr>
            <w:r>
              <w:rPr>
                <w:rFonts w:ascii="Arial" w:cs="Arial" w:eastAsia="Arial" w:hAnsi="Arial"/>
                <w:sz w:val="18"/>
                <w:szCs w:val="18"/>
                <w:color w:val="auto"/>
              </w:rPr>
              <w:t>Revolving</w:t>
            </w:r>
          </w:p>
        </w:tc>
        <w:tc>
          <w:tcPr>
            <w:tcW w:w="20" w:type="dxa"/>
            <w:vAlign w:val="bottom"/>
          </w:tcPr>
          <w:p>
            <w:pPr>
              <w:spacing w:after="0"/>
              <w:rPr>
                <w:sz w:val="18"/>
                <w:szCs w:val="18"/>
                <w:color w:val="auto"/>
              </w:rPr>
            </w:pPr>
          </w:p>
        </w:tc>
        <w:tc>
          <w:tcPr>
            <w:tcW w:w="2000" w:type="dxa"/>
            <w:vAlign w:val="bottom"/>
            <w:tcBorders>
              <w:right w:val="single" w:sz="8" w:color="auto"/>
            </w:tcBorders>
            <w:gridSpan w:val="2"/>
          </w:tcPr>
          <w:p>
            <w:pPr>
              <w:spacing w:after="0"/>
              <w:rPr>
                <w:sz w:val="20"/>
                <w:szCs w:val="20"/>
                <w:color w:val="auto"/>
              </w:rPr>
            </w:pPr>
            <w:r>
              <w:rPr>
                <w:rFonts w:ascii="Arial" w:cs="Arial" w:eastAsia="Arial" w:hAnsi="Arial"/>
                <w:sz w:val="18"/>
                <w:szCs w:val="18"/>
                <w:color w:val="auto"/>
                <w:w w:val="97"/>
              </w:rPr>
              <w:t>account any payments or</w:t>
            </w:r>
          </w:p>
        </w:tc>
        <w:tc>
          <w:tcPr>
            <w:tcW w:w="20" w:type="dxa"/>
            <w:vAlign w:val="bottom"/>
          </w:tcPr>
          <w:p>
            <w:pPr>
              <w:spacing w:after="0"/>
              <w:rPr>
                <w:sz w:val="18"/>
                <w:szCs w:val="18"/>
                <w:color w:val="auto"/>
              </w:rPr>
            </w:pPr>
          </w:p>
        </w:tc>
        <w:tc>
          <w:tcPr>
            <w:tcW w:w="1640" w:type="dxa"/>
            <w:vAlign w:val="bottom"/>
            <w:tcBorders>
              <w:right w:val="single" w:sz="8" w:color="auto"/>
            </w:tcBorders>
            <w:gridSpan w:val="2"/>
            <w:vMerge w:val="restart"/>
          </w:tcPr>
          <w:p>
            <w:pPr>
              <w:spacing w:after="0"/>
              <w:rPr>
                <w:sz w:val="20"/>
                <w:szCs w:val="20"/>
                <w:color w:val="auto"/>
              </w:rPr>
            </w:pPr>
            <w:r>
              <w:rPr>
                <w:rFonts w:ascii="Arial" w:cs="Arial" w:eastAsia="Arial" w:hAnsi="Arial"/>
                <w:sz w:val="20"/>
                <w:szCs w:val="20"/>
                <w:color w:val="auto"/>
              </w:rPr>
              <w:t>Amount of</w:t>
            </w:r>
          </w:p>
        </w:tc>
        <w:tc>
          <w:tcPr>
            <w:tcW w:w="20" w:type="dxa"/>
            <w:vAlign w:val="bottom"/>
          </w:tcPr>
          <w:p>
            <w:pPr>
              <w:spacing w:after="0"/>
              <w:rPr>
                <w:sz w:val="18"/>
                <w:szCs w:val="18"/>
                <w:color w:val="auto"/>
              </w:rPr>
            </w:pPr>
          </w:p>
        </w:tc>
        <w:tc>
          <w:tcPr>
            <w:tcW w:w="1660" w:type="dxa"/>
            <w:vAlign w:val="bottom"/>
            <w:tcBorders>
              <w:right w:val="single" w:sz="8" w:color="auto"/>
            </w:tcBorders>
            <w:gridSpan w:val="2"/>
          </w:tcPr>
          <w:p>
            <w:pPr>
              <w:spacing w:after="0"/>
              <w:rPr>
                <w:sz w:val="20"/>
                <w:szCs w:val="20"/>
                <w:color w:val="auto"/>
              </w:rPr>
            </w:pPr>
            <w:r>
              <w:rPr>
                <w:rFonts w:ascii="Arial" w:cs="Arial" w:eastAsia="Arial" w:hAnsi="Arial"/>
                <w:sz w:val="18"/>
                <w:szCs w:val="18"/>
                <w:color w:val="auto"/>
              </w:rPr>
              <w:t>percentage of the</w:t>
            </w:r>
          </w:p>
        </w:tc>
        <w:tc>
          <w:tcPr>
            <w:tcW w:w="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87"/>
        </w:trPr>
        <w:tc>
          <w:tcPr>
            <w:tcW w:w="40" w:type="dxa"/>
            <w:vAlign w:val="bottom"/>
            <w:tcBorders>
              <w:left w:val="single" w:sz="8" w:color="auto"/>
            </w:tcBorders>
          </w:tcPr>
          <w:p>
            <w:pPr>
              <w:spacing w:after="0"/>
              <w:rPr>
                <w:sz w:val="16"/>
                <w:szCs w:val="16"/>
                <w:color w:val="auto"/>
              </w:rPr>
            </w:pPr>
          </w:p>
        </w:tc>
        <w:tc>
          <w:tcPr>
            <w:tcW w:w="940" w:type="dxa"/>
            <w:vAlign w:val="bottom"/>
          </w:tcPr>
          <w:p>
            <w:pPr>
              <w:spacing w:after="0"/>
              <w:rPr>
                <w:sz w:val="16"/>
                <w:szCs w:val="16"/>
                <w:color w:val="auto"/>
              </w:rPr>
            </w:pPr>
          </w:p>
        </w:tc>
        <w:tc>
          <w:tcPr>
            <w:tcW w:w="580" w:type="dxa"/>
            <w:vAlign w:val="bottom"/>
            <w:tcBorders>
              <w:right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680" w:type="dxa"/>
            <w:vAlign w:val="bottom"/>
            <w:tcBorders>
              <w:right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1560" w:type="dxa"/>
            <w:vAlign w:val="bottom"/>
            <w:tcBorders>
              <w:right w:val="single" w:sz="8" w:color="auto"/>
            </w:tcBorders>
            <w:gridSpan w:val="2"/>
          </w:tcPr>
          <w:p>
            <w:pPr>
              <w:spacing w:after="0" w:line="187" w:lineRule="exact"/>
              <w:rPr>
                <w:sz w:val="20"/>
                <w:szCs w:val="20"/>
                <w:color w:val="auto"/>
              </w:rPr>
            </w:pPr>
            <w:r>
              <w:rPr>
                <w:rFonts w:ascii="Arial" w:cs="Arial" w:eastAsia="Arial" w:hAnsi="Arial"/>
                <w:sz w:val="18"/>
                <w:szCs w:val="18"/>
                <w:color w:val="auto"/>
              </w:rPr>
              <w:t>Commitments or</w:t>
            </w:r>
          </w:p>
        </w:tc>
        <w:tc>
          <w:tcPr>
            <w:tcW w:w="20" w:type="dxa"/>
            <w:vAlign w:val="bottom"/>
          </w:tcPr>
          <w:p>
            <w:pPr>
              <w:spacing w:after="0"/>
              <w:rPr>
                <w:sz w:val="16"/>
                <w:szCs w:val="16"/>
                <w:color w:val="auto"/>
              </w:rPr>
            </w:pPr>
          </w:p>
        </w:tc>
        <w:tc>
          <w:tcPr>
            <w:tcW w:w="2000" w:type="dxa"/>
            <w:vAlign w:val="bottom"/>
            <w:tcBorders>
              <w:right w:val="single" w:sz="8" w:color="auto"/>
            </w:tcBorders>
            <w:gridSpan w:val="2"/>
          </w:tcPr>
          <w:p>
            <w:pPr>
              <w:spacing w:after="0" w:line="187" w:lineRule="exact"/>
              <w:rPr>
                <w:sz w:val="20"/>
                <w:szCs w:val="20"/>
                <w:color w:val="auto"/>
              </w:rPr>
            </w:pPr>
            <w:r>
              <w:rPr>
                <w:rFonts w:ascii="Arial" w:cs="Arial" w:eastAsia="Arial" w:hAnsi="Arial"/>
                <w:sz w:val="18"/>
                <w:szCs w:val="18"/>
                <w:color w:val="auto"/>
              </w:rPr>
              <w:t>prepayments made</w:t>
            </w:r>
          </w:p>
        </w:tc>
        <w:tc>
          <w:tcPr>
            <w:tcW w:w="20" w:type="dxa"/>
            <w:vAlign w:val="bottom"/>
          </w:tcPr>
          <w:p>
            <w:pPr>
              <w:spacing w:after="0"/>
              <w:rPr>
                <w:sz w:val="16"/>
                <w:szCs w:val="16"/>
                <w:color w:val="auto"/>
              </w:rPr>
            </w:pPr>
          </w:p>
        </w:tc>
        <w:tc>
          <w:tcPr>
            <w:tcW w:w="1640" w:type="dxa"/>
            <w:vAlign w:val="bottom"/>
            <w:tcBorders>
              <w:right w:val="single" w:sz="8" w:color="auto"/>
            </w:tcBorders>
            <w:gridSpan w:val="2"/>
            <w:vMerge w:val="continue"/>
          </w:tcPr>
          <w:p>
            <w:pPr>
              <w:spacing w:after="0"/>
              <w:rPr>
                <w:sz w:val="16"/>
                <w:szCs w:val="16"/>
                <w:color w:val="auto"/>
              </w:rPr>
            </w:pPr>
          </w:p>
        </w:tc>
        <w:tc>
          <w:tcPr>
            <w:tcW w:w="20" w:type="dxa"/>
            <w:vAlign w:val="bottom"/>
          </w:tcPr>
          <w:p>
            <w:pPr>
              <w:spacing w:after="0"/>
              <w:rPr>
                <w:sz w:val="16"/>
                <w:szCs w:val="16"/>
                <w:color w:val="auto"/>
              </w:rPr>
            </w:pPr>
          </w:p>
        </w:tc>
        <w:tc>
          <w:tcPr>
            <w:tcW w:w="1660" w:type="dxa"/>
            <w:vAlign w:val="bottom"/>
            <w:tcBorders>
              <w:right w:val="single" w:sz="8" w:color="auto"/>
            </w:tcBorders>
            <w:gridSpan w:val="2"/>
          </w:tcPr>
          <w:p>
            <w:pPr>
              <w:spacing w:after="0" w:line="187" w:lineRule="exact"/>
              <w:rPr>
                <w:sz w:val="20"/>
                <w:szCs w:val="20"/>
                <w:color w:val="auto"/>
              </w:rPr>
            </w:pPr>
            <w:r>
              <w:rPr>
                <w:rFonts w:ascii="Arial" w:cs="Arial" w:eastAsia="Arial" w:hAnsi="Arial"/>
                <w:sz w:val="18"/>
                <w:szCs w:val="18"/>
                <w:color w:val="auto"/>
              </w:rPr>
              <w:t>Commitment/Loans</w:t>
            </w:r>
          </w:p>
        </w:tc>
        <w:tc>
          <w:tcPr>
            <w:tcW w:w="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4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40" w:type="dxa"/>
            <w:vAlign w:val="bottom"/>
            <w:tcBorders>
              <w:left w:val="single" w:sz="8" w:color="auto"/>
            </w:tcBorders>
          </w:tcPr>
          <w:p>
            <w:pPr>
              <w:spacing w:after="0"/>
              <w:rPr>
                <w:sz w:val="19"/>
                <w:szCs w:val="19"/>
                <w:color w:val="auto"/>
              </w:rPr>
            </w:pPr>
          </w:p>
        </w:tc>
        <w:tc>
          <w:tcPr>
            <w:tcW w:w="940" w:type="dxa"/>
            <w:vAlign w:val="bottom"/>
          </w:tcPr>
          <w:p>
            <w:pPr>
              <w:spacing w:after="0"/>
              <w:rPr>
                <w:sz w:val="19"/>
                <w:szCs w:val="19"/>
                <w:color w:val="auto"/>
              </w:rPr>
            </w:pPr>
          </w:p>
        </w:tc>
        <w:tc>
          <w:tcPr>
            <w:tcW w:w="580" w:type="dxa"/>
            <w:vAlign w:val="bottom"/>
            <w:tcBorders>
              <w:right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680" w:type="dxa"/>
            <w:vAlign w:val="bottom"/>
            <w:tcBorders>
              <w:right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1560" w:type="dxa"/>
            <w:vAlign w:val="bottom"/>
            <w:tcBorders>
              <w:right w:val="single" w:sz="8" w:color="auto"/>
            </w:tcBorders>
            <w:gridSpan w:val="2"/>
          </w:tcPr>
          <w:p>
            <w:pPr>
              <w:spacing w:after="0"/>
              <w:rPr>
                <w:sz w:val="20"/>
                <w:szCs w:val="20"/>
                <w:color w:val="auto"/>
              </w:rPr>
            </w:pPr>
            <w:r>
              <w:rPr>
                <w:rFonts w:ascii="Arial" w:cs="Arial" w:eastAsia="Arial" w:hAnsi="Arial"/>
                <w:sz w:val="18"/>
                <w:szCs w:val="18"/>
                <w:color w:val="auto"/>
              </w:rPr>
              <w:t>Term Loan A, as</w:t>
            </w:r>
          </w:p>
        </w:tc>
        <w:tc>
          <w:tcPr>
            <w:tcW w:w="20" w:type="dxa"/>
            <w:vAlign w:val="bottom"/>
          </w:tcPr>
          <w:p>
            <w:pPr>
              <w:spacing w:after="0"/>
              <w:rPr>
                <w:sz w:val="19"/>
                <w:szCs w:val="19"/>
                <w:color w:val="auto"/>
              </w:rPr>
            </w:pPr>
          </w:p>
        </w:tc>
        <w:tc>
          <w:tcPr>
            <w:tcW w:w="2000" w:type="dxa"/>
            <w:vAlign w:val="bottom"/>
            <w:tcBorders>
              <w:right w:val="single" w:sz="8" w:color="auto"/>
            </w:tcBorders>
            <w:gridSpan w:val="2"/>
          </w:tcPr>
          <w:p>
            <w:pPr>
              <w:spacing w:after="0"/>
              <w:rPr>
                <w:sz w:val="20"/>
                <w:szCs w:val="20"/>
                <w:color w:val="auto"/>
              </w:rPr>
            </w:pPr>
            <w:r>
              <w:rPr>
                <w:rFonts w:ascii="Arial" w:cs="Arial" w:eastAsia="Arial" w:hAnsi="Arial"/>
                <w:sz w:val="18"/>
                <w:szCs w:val="18"/>
                <w:color w:val="auto"/>
              </w:rPr>
              <w:t>between the Trade Date</w:t>
            </w:r>
          </w:p>
        </w:tc>
        <w:tc>
          <w:tcPr>
            <w:tcW w:w="20" w:type="dxa"/>
            <w:vAlign w:val="bottom"/>
          </w:tcPr>
          <w:p>
            <w:pPr>
              <w:spacing w:after="0"/>
              <w:rPr>
                <w:sz w:val="19"/>
                <w:szCs w:val="19"/>
                <w:color w:val="auto"/>
              </w:rPr>
            </w:pPr>
          </w:p>
        </w:tc>
        <w:tc>
          <w:tcPr>
            <w:tcW w:w="1640" w:type="dxa"/>
            <w:vAlign w:val="bottom"/>
            <w:tcBorders>
              <w:right w:val="single" w:sz="8" w:color="auto"/>
            </w:tcBorders>
            <w:gridSpan w:val="2"/>
          </w:tcPr>
          <w:p>
            <w:pPr>
              <w:spacing w:after="0"/>
              <w:rPr>
                <w:sz w:val="20"/>
                <w:szCs w:val="20"/>
                <w:color w:val="auto"/>
              </w:rPr>
            </w:pPr>
            <w:r>
              <w:rPr>
                <w:rFonts w:ascii="Arial" w:cs="Arial" w:eastAsia="Arial" w:hAnsi="Arial"/>
                <w:sz w:val="20"/>
                <w:szCs w:val="20"/>
                <w:color w:val="auto"/>
                <w:w w:val="92"/>
              </w:rPr>
              <w:t>Commitment/Loans</w:t>
            </w:r>
          </w:p>
        </w:tc>
        <w:tc>
          <w:tcPr>
            <w:tcW w:w="20" w:type="dxa"/>
            <w:vAlign w:val="bottom"/>
          </w:tcPr>
          <w:p>
            <w:pPr>
              <w:spacing w:after="0"/>
              <w:rPr>
                <w:sz w:val="19"/>
                <w:szCs w:val="19"/>
                <w:color w:val="auto"/>
              </w:rPr>
            </w:pPr>
          </w:p>
        </w:tc>
        <w:tc>
          <w:tcPr>
            <w:tcW w:w="1660" w:type="dxa"/>
            <w:vAlign w:val="bottom"/>
            <w:tcBorders>
              <w:right w:val="single" w:sz="8" w:color="auto"/>
            </w:tcBorders>
            <w:gridSpan w:val="2"/>
          </w:tcPr>
          <w:p>
            <w:pPr>
              <w:spacing w:after="0"/>
              <w:rPr>
                <w:sz w:val="20"/>
                <w:szCs w:val="20"/>
                <w:color w:val="auto"/>
              </w:rPr>
            </w:pPr>
            <w:r>
              <w:rPr>
                <w:rFonts w:ascii="Arial" w:cs="Arial" w:eastAsia="Arial" w:hAnsi="Arial"/>
                <w:sz w:val="18"/>
                <w:szCs w:val="18"/>
                <w:color w:val="auto"/>
              </w:rPr>
              <w:t>of all Lenders</w:t>
            </w:r>
          </w:p>
        </w:tc>
        <w:tc>
          <w:tcPr>
            <w:tcW w:w="1320" w:type="dxa"/>
            <w:vAlign w:val="bottom"/>
            <w:tcBorders>
              <w:right w:val="single" w:sz="8" w:color="auto"/>
            </w:tcBorders>
            <w:gridSpan w:val="3"/>
          </w:tcPr>
          <w:p>
            <w:pPr>
              <w:ind w:left="40"/>
              <w:spacing w:after="0"/>
              <w:rPr>
                <w:sz w:val="20"/>
                <w:szCs w:val="20"/>
                <w:color w:val="auto"/>
              </w:rPr>
            </w:pPr>
            <w:r>
              <w:rPr>
                <w:rFonts w:ascii="Arial" w:cs="Arial" w:eastAsia="Arial" w:hAnsi="Arial"/>
                <w:sz w:val="20"/>
                <w:szCs w:val="20"/>
                <w:color w:val="auto"/>
              </w:rPr>
              <w:t>CUSIP</w:t>
            </w:r>
          </w:p>
        </w:tc>
        <w:tc>
          <w:tcPr>
            <w:tcW w:w="0" w:type="dxa"/>
            <w:vAlign w:val="bottom"/>
          </w:tcPr>
          <w:p>
            <w:pPr>
              <w:spacing w:after="0"/>
              <w:rPr>
                <w:sz w:val="1"/>
                <w:szCs w:val="1"/>
                <w:color w:val="auto"/>
              </w:rPr>
            </w:pPr>
          </w:p>
        </w:tc>
      </w:tr>
      <w:tr>
        <w:trPr>
          <w:trHeight w:val="206"/>
        </w:trPr>
        <w:tc>
          <w:tcPr>
            <w:tcW w:w="40" w:type="dxa"/>
            <w:vAlign w:val="bottom"/>
            <w:tcBorders>
              <w:left w:val="single" w:sz="8" w:color="auto"/>
            </w:tcBorders>
          </w:tcPr>
          <w:p>
            <w:pPr>
              <w:spacing w:after="0"/>
              <w:rPr>
                <w:sz w:val="17"/>
                <w:szCs w:val="17"/>
                <w:color w:val="auto"/>
              </w:rPr>
            </w:pPr>
          </w:p>
        </w:tc>
        <w:tc>
          <w:tcPr>
            <w:tcW w:w="1520" w:type="dxa"/>
            <w:vAlign w:val="bottom"/>
            <w:tcBorders>
              <w:right w:val="single" w:sz="8" w:color="auto"/>
            </w:tcBorders>
            <w:gridSpan w:val="2"/>
          </w:tcPr>
          <w:p>
            <w:pPr>
              <w:spacing w:after="0" w:line="206" w:lineRule="exact"/>
              <w:rPr>
                <w:sz w:val="20"/>
                <w:szCs w:val="20"/>
                <w:color w:val="auto"/>
              </w:rPr>
            </w:pPr>
            <w:r>
              <w:rPr>
                <w:rFonts w:ascii="Arial" w:cs="Arial" w:eastAsia="Arial" w:hAnsi="Arial"/>
                <w:sz w:val="20"/>
                <w:szCs w:val="20"/>
                <w:color w:val="auto"/>
              </w:rPr>
              <w:t>Assignor[s]</w:t>
            </w:r>
          </w:p>
        </w:tc>
        <w:tc>
          <w:tcPr>
            <w:tcW w:w="1620" w:type="dxa"/>
            <w:vAlign w:val="bottom"/>
            <w:tcBorders>
              <w:right w:val="single" w:sz="8" w:color="auto"/>
            </w:tcBorders>
            <w:gridSpan w:val="3"/>
          </w:tcPr>
          <w:p>
            <w:pPr>
              <w:ind w:left="20"/>
              <w:spacing w:after="0" w:line="206" w:lineRule="exact"/>
              <w:rPr>
                <w:sz w:val="20"/>
                <w:szCs w:val="20"/>
                <w:color w:val="auto"/>
              </w:rPr>
            </w:pPr>
            <w:r>
              <w:rPr>
                <w:rFonts w:ascii="Arial" w:cs="Arial" w:eastAsia="Arial" w:hAnsi="Arial"/>
                <w:sz w:val="20"/>
                <w:szCs w:val="20"/>
                <w:color w:val="auto"/>
              </w:rPr>
              <w:t>Assignee[s]</w:t>
            </w:r>
          </w:p>
        </w:tc>
        <w:tc>
          <w:tcPr>
            <w:tcW w:w="20" w:type="dxa"/>
            <w:vAlign w:val="bottom"/>
          </w:tcPr>
          <w:p>
            <w:pPr>
              <w:spacing w:after="0"/>
              <w:rPr>
                <w:sz w:val="17"/>
                <w:szCs w:val="17"/>
                <w:color w:val="auto"/>
              </w:rPr>
            </w:pPr>
          </w:p>
        </w:tc>
        <w:tc>
          <w:tcPr>
            <w:tcW w:w="1560" w:type="dxa"/>
            <w:vAlign w:val="bottom"/>
            <w:tcBorders>
              <w:right w:val="single" w:sz="8" w:color="auto"/>
            </w:tcBorders>
            <w:gridSpan w:val="2"/>
          </w:tcPr>
          <w:p>
            <w:pPr>
              <w:spacing w:after="0" w:line="206" w:lineRule="exact"/>
              <w:rPr>
                <w:sz w:val="20"/>
                <w:szCs w:val="20"/>
                <w:color w:val="auto"/>
              </w:rPr>
            </w:pPr>
            <w:r>
              <w:rPr>
                <w:rFonts w:ascii="Arial" w:cs="Arial" w:eastAsia="Arial" w:hAnsi="Arial"/>
                <w:sz w:val="18"/>
                <w:szCs w:val="18"/>
                <w:color w:val="auto"/>
              </w:rPr>
              <w:t>applicable.</w:t>
            </w:r>
          </w:p>
        </w:tc>
        <w:tc>
          <w:tcPr>
            <w:tcW w:w="20" w:type="dxa"/>
            <w:vAlign w:val="bottom"/>
          </w:tcPr>
          <w:p>
            <w:pPr>
              <w:spacing w:after="0"/>
              <w:rPr>
                <w:sz w:val="17"/>
                <w:szCs w:val="17"/>
                <w:color w:val="auto"/>
              </w:rPr>
            </w:pPr>
          </w:p>
        </w:tc>
        <w:tc>
          <w:tcPr>
            <w:tcW w:w="2000" w:type="dxa"/>
            <w:vAlign w:val="bottom"/>
            <w:tcBorders>
              <w:right w:val="single" w:sz="8" w:color="auto"/>
            </w:tcBorders>
            <w:gridSpan w:val="2"/>
          </w:tcPr>
          <w:p>
            <w:pPr>
              <w:spacing w:after="0" w:line="206" w:lineRule="exact"/>
              <w:rPr>
                <w:sz w:val="20"/>
                <w:szCs w:val="20"/>
                <w:color w:val="auto"/>
              </w:rPr>
            </w:pPr>
            <w:r>
              <w:rPr>
                <w:rFonts w:ascii="Arial" w:cs="Arial" w:eastAsia="Arial" w:hAnsi="Arial"/>
                <w:sz w:val="18"/>
                <w:szCs w:val="18"/>
                <w:color w:val="auto"/>
              </w:rPr>
              <w:t>and the Effective Date.</w:t>
            </w:r>
          </w:p>
        </w:tc>
        <w:tc>
          <w:tcPr>
            <w:tcW w:w="20" w:type="dxa"/>
            <w:vAlign w:val="bottom"/>
          </w:tcPr>
          <w:p>
            <w:pPr>
              <w:spacing w:after="0"/>
              <w:rPr>
                <w:sz w:val="17"/>
                <w:szCs w:val="17"/>
                <w:color w:val="auto"/>
              </w:rPr>
            </w:pPr>
          </w:p>
        </w:tc>
        <w:tc>
          <w:tcPr>
            <w:tcW w:w="1640" w:type="dxa"/>
            <w:vAlign w:val="bottom"/>
            <w:tcBorders>
              <w:right w:val="single" w:sz="8" w:color="auto"/>
            </w:tcBorders>
            <w:gridSpan w:val="2"/>
          </w:tcPr>
          <w:p>
            <w:pPr>
              <w:spacing w:after="0" w:line="206" w:lineRule="exact"/>
              <w:rPr>
                <w:sz w:val="20"/>
                <w:szCs w:val="20"/>
                <w:color w:val="auto"/>
              </w:rPr>
            </w:pPr>
            <w:r>
              <w:rPr>
                <w:rFonts w:ascii="Arial" w:cs="Arial" w:eastAsia="Arial" w:hAnsi="Arial"/>
                <w:sz w:val="20"/>
                <w:szCs w:val="20"/>
                <w:color w:val="auto"/>
              </w:rPr>
              <w:t>Assigned</w:t>
            </w:r>
          </w:p>
        </w:tc>
        <w:tc>
          <w:tcPr>
            <w:tcW w:w="20" w:type="dxa"/>
            <w:vAlign w:val="bottom"/>
          </w:tcPr>
          <w:p>
            <w:pPr>
              <w:spacing w:after="0"/>
              <w:rPr>
                <w:sz w:val="17"/>
                <w:szCs w:val="17"/>
                <w:color w:val="auto"/>
              </w:rPr>
            </w:pPr>
          </w:p>
        </w:tc>
        <w:tc>
          <w:tcPr>
            <w:tcW w:w="1660" w:type="dxa"/>
            <w:vAlign w:val="bottom"/>
            <w:tcBorders>
              <w:right w:val="single" w:sz="8" w:color="auto"/>
            </w:tcBorders>
            <w:gridSpan w:val="2"/>
          </w:tcPr>
          <w:p>
            <w:pPr>
              <w:spacing w:after="0" w:line="206" w:lineRule="exact"/>
              <w:rPr>
                <w:sz w:val="20"/>
                <w:szCs w:val="20"/>
                <w:color w:val="auto"/>
              </w:rPr>
            </w:pPr>
            <w:r>
              <w:rPr>
                <w:rFonts w:ascii="Arial" w:cs="Arial" w:eastAsia="Arial" w:hAnsi="Arial"/>
                <w:sz w:val="18"/>
                <w:szCs w:val="18"/>
                <w:color w:val="auto"/>
              </w:rPr>
              <w:t>thereunder.</w:t>
            </w:r>
          </w:p>
        </w:tc>
        <w:tc>
          <w:tcPr>
            <w:tcW w:w="1320" w:type="dxa"/>
            <w:vAlign w:val="bottom"/>
            <w:tcBorders>
              <w:right w:val="single" w:sz="8" w:color="auto"/>
            </w:tcBorders>
            <w:gridSpan w:val="3"/>
          </w:tcPr>
          <w:p>
            <w:pPr>
              <w:ind w:left="40"/>
              <w:spacing w:after="0" w:line="206" w:lineRule="exact"/>
              <w:rPr>
                <w:sz w:val="20"/>
                <w:szCs w:val="20"/>
                <w:color w:val="auto"/>
              </w:rPr>
            </w:pPr>
            <w:r>
              <w:rPr>
                <w:rFonts w:ascii="Arial" w:cs="Arial" w:eastAsia="Arial" w:hAnsi="Arial"/>
                <w:sz w:val="20"/>
                <w:szCs w:val="20"/>
                <w:color w:val="auto"/>
              </w:rPr>
              <w:t>Number</w:t>
            </w:r>
          </w:p>
        </w:tc>
        <w:tc>
          <w:tcPr>
            <w:tcW w:w="0" w:type="dxa"/>
            <w:vAlign w:val="bottom"/>
          </w:tcPr>
          <w:p>
            <w:pPr>
              <w:spacing w:after="0"/>
              <w:rPr>
                <w:sz w:val="1"/>
                <w:szCs w:val="1"/>
                <w:color w:val="auto"/>
              </w:rPr>
            </w:pPr>
          </w:p>
        </w:tc>
      </w:tr>
      <w:tr>
        <w:trPr>
          <w:trHeight w:val="817"/>
        </w:trPr>
        <w:tc>
          <w:tcPr>
            <w:tcW w:w="40" w:type="dxa"/>
            <w:vAlign w:val="bottom"/>
            <w:tcBorders>
              <w:left w:val="single" w:sz="8" w:color="auto"/>
              <w:bottom w:val="single" w:sz="8" w:color="auto"/>
            </w:tcBorders>
          </w:tcPr>
          <w:p>
            <w:pPr>
              <w:spacing w:after="0"/>
              <w:rPr>
                <w:sz w:val="24"/>
                <w:szCs w:val="24"/>
                <w:color w:val="auto"/>
              </w:rPr>
            </w:pPr>
          </w:p>
        </w:tc>
        <w:tc>
          <w:tcPr>
            <w:tcW w:w="940" w:type="dxa"/>
            <w:vAlign w:val="bottom"/>
            <w:tcBorders>
              <w:top w:val="single" w:sz="8" w:color="auto"/>
              <w:bottom w:val="single" w:sz="8" w:color="auto"/>
            </w:tcBorders>
          </w:tcPr>
          <w:p>
            <w:pPr>
              <w:spacing w:after="0"/>
              <w:rPr>
                <w:sz w:val="24"/>
                <w:szCs w:val="24"/>
                <w:color w:val="auto"/>
              </w:rPr>
            </w:pPr>
          </w:p>
        </w:tc>
        <w:tc>
          <w:tcPr>
            <w:tcW w:w="580" w:type="dxa"/>
            <w:vAlign w:val="bottom"/>
            <w:tcBorders>
              <w:bottom w:val="single" w:sz="8" w:color="auto"/>
              <w:right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920" w:type="dxa"/>
            <w:vAlign w:val="bottom"/>
            <w:tcBorders>
              <w:top w:val="single" w:sz="8" w:color="auto"/>
              <w:bottom w:val="single" w:sz="8" w:color="auto"/>
            </w:tcBorders>
          </w:tcPr>
          <w:p>
            <w:pPr>
              <w:spacing w:after="0"/>
              <w:rPr>
                <w:sz w:val="24"/>
                <w:szCs w:val="24"/>
                <w:color w:val="auto"/>
              </w:rPr>
            </w:pPr>
          </w:p>
        </w:tc>
        <w:tc>
          <w:tcPr>
            <w:tcW w:w="680" w:type="dxa"/>
            <w:vAlign w:val="bottom"/>
            <w:tcBorders>
              <w:bottom w:val="single" w:sz="8" w:color="auto"/>
              <w:right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820" w:type="dxa"/>
            <w:vAlign w:val="bottom"/>
            <w:tcBorders>
              <w:bottom w:val="single" w:sz="8" w:color="auto"/>
              <w:right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840" w:type="dxa"/>
            <w:vAlign w:val="bottom"/>
            <w:tcBorders>
              <w:bottom w:val="single" w:sz="8" w:color="auto"/>
              <w:right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740" w:type="dxa"/>
            <w:vAlign w:val="bottom"/>
            <w:tcBorders>
              <w:top w:val="single" w:sz="8" w:color="auto"/>
              <w:bottom w:val="single" w:sz="8" w:color="auto"/>
            </w:tcBorders>
          </w:tcPr>
          <w:p>
            <w:pPr>
              <w:spacing w:after="0"/>
              <w:rPr>
                <w:sz w:val="24"/>
                <w:szCs w:val="24"/>
                <w:color w:val="auto"/>
              </w:rPr>
            </w:pPr>
          </w:p>
        </w:tc>
        <w:tc>
          <w:tcPr>
            <w:tcW w:w="900" w:type="dxa"/>
            <w:vAlign w:val="bottom"/>
            <w:tcBorders>
              <w:bottom w:val="single" w:sz="8" w:color="auto"/>
              <w:right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1180" w:type="dxa"/>
            <w:vAlign w:val="bottom"/>
            <w:tcBorders>
              <w:bottom w:val="single" w:sz="8" w:color="auto"/>
              <w:right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640" w:type="dxa"/>
            <w:vAlign w:val="bottom"/>
            <w:tcBorders>
              <w:top w:val="single" w:sz="8" w:color="auto"/>
              <w:bottom w:val="single" w:sz="8" w:color="auto"/>
            </w:tcBorders>
          </w:tcPr>
          <w:p>
            <w:pPr>
              <w:spacing w:after="0"/>
              <w:rPr>
                <w:sz w:val="24"/>
                <w:szCs w:val="24"/>
                <w:color w:val="auto"/>
              </w:rPr>
            </w:pPr>
          </w:p>
        </w:tc>
        <w:tc>
          <w:tcPr>
            <w:tcW w:w="6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4"/>
        </w:trPr>
        <w:tc>
          <w:tcPr>
            <w:tcW w:w="40" w:type="dxa"/>
            <w:vAlign w:val="bottom"/>
            <w:tcBorders>
              <w:left w:val="single" w:sz="8" w:color="auto"/>
            </w:tcBorders>
          </w:tcPr>
          <w:p>
            <w:pPr>
              <w:spacing w:after="0"/>
              <w:rPr>
                <w:sz w:val="22"/>
                <w:szCs w:val="22"/>
                <w:color w:val="auto"/>
              </w:rPr>
            </w:pPr>
          </w:p>
        </w:tc>
        <w:tc>
          <w:tcPr>
            <w:tcW w:w="940" w:type="dxa"/>
            <w:vAlign w:val="bottom"/>
          </w:tcPr>
          <w:p>
            <w:pPr>
              <w:spacing w:after="0"/>
              <w:rPr>
                <w:sz w:val="22"/>
                <w:szCs w:val="22"/>
                <w:color w:val="auto"/>
              </w:rPr>
            </w:pPr>
          </w:p>
        </w:tc>
        <w:tc>
          <w:tcPr>
            <w:tcW w:w="580" w:type="dxa"/>
            <w:vAlign w:val="bottom"/>
            <w:tcBorders>
              <w:right w:val="single" w:sz="8" w:color="auto"/>
            </w:tcBorders>
          </w:tcPr>
          <w:p>
            <w:pPr>
              <w:spacing w:after="0"/>
              <w:rPr>
                <w:sz w:val="22"/>
                <w:szCs w:val="22"/>
                <w:color w:val="auto"/>
              </w:rPr>
            </w:pPr>
          </w:p>
        </w:tc>
        <w:tc>
          <w:tcPr>
            <w:tcW w:w="2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680" w:type="dxa"/>
            <w:vAlign w:val="bottom"/>
            <w:tcBorders>
              <w:right w:val="single" w:sz="8" w:color="auto"/>
            </w:tcBorders>
          </w:tcPr>
          <w:p>
            <w:pPr>
              <w:spacing w:after="0"/>
              <w:rPr>
                <w:sz w:val="22"/>
                <w:szCs w:val="22"/>
                <w:color w:val="auto"/>
              </w:rPr>
            </w:pPr>
          </w:p>
        </w:tc>
        <w:tc>
          <w:tcPr>
            <w:tcW w:w="1580" w:type="dxa"/>
            <w:vAlign w:val="bottom"/>
            <w:tcBorders>
              <w:right w:val="single" w:sz="8" w:color="auto"/>
            </w:tcBorders>
            <w:gridSpan w:val="3"/>
          </w:tcPr>
          <w:p>
            <w:pPr>
              <w:ind w:left="20"/>
              <w:spacing w:after="0"/>
              <w:rPr>
                <w:sz w:val="20"/>
                <w:szCs w:val="20"/>
                <w:color w:val="auto"/>
              </w:rPr>
            </w:pPr>
            <w:r>
              <w:rPr>
                <w:rFonts w:ascii="Arial" w:cs="Arial" w:eastAsia="Arial" w:hAnsi="Arial"/>
                <w:sz w:val="20"/>
                <w:szCs w:val="20"/>
                <w:color w:val="auto"/>
              </w:rPr>
              <w:t>____________</w:t>
            </w:r>
          </w:p>
        </w:tc>
        <w:tc>
          <w:tcPr>
            <w:tcW w:w="2020" w:type="dxa"/>
            <w:vAlign w:val="bottom"/>
            <w:tcBorders>
              <w:right w:val="single" w:sz="8" w:color="auto"/>
            </w:tcBorders>
            <w:gridSpan w:val="3"/>
          </w:tcPr>
          <w:p>
            <w:pPr>
              <w:ind w:left="20"/>
              <w:spacing w:after="0"/>
              <w:rPr>
                <w:sz w:val="20"/>
                <w:szCs w:val="20"/>
                <w:color w:val="auto"/>
              </w:rPr>
            </w:pPr>
            <w:r>
              <w:rPr>
                <w:rFonts w:ascii="Arial" w:cs="Arial" w:eastAsia="Arial" w:hAnsi="Arial"/>
                <w:sz w:val="20"/>
                <w:szCs w:val="20"/>
                <w:color w:val="auto"/>
              </w:rPr>
              <w:t>$________________</w:t>
            </w:r>
          </w:p>
        </w:tc>
        <w:tc>
          <w:tcPr>
            <w:tcW w:w="1660" w:type="dxa"/>
            <w:vAlign w:val="bottom"/>
            <w:tcBorders>
              <w:right w:val="single" w:sz="8" w:color="auto"/>
            </w:tcBorders>
            <w:gridSpan w:val="3"/>
          </w:tcPr>
          <w:p>
            <w:pPr>
              <w:ind w:left="20"/>
              <w:spacing w:after="0"/>
              <w:rPr>
                <w:sz w:val="20"/>
                <w:szCs w:val="20"/>
                <w:color w:val="auto"/>
              </w:rPr>
            </w:pPr>
            <w:r>
              <w:rPr>
                <w:rFonts w:ascii="Arial" w:cs="Arial" w:eastAsia="Arial" w:hAnsi="Arial"/>
                <w:sz w:val="20"/>
                <w:szCs w:val="20"/>
                <w:color w:val="auto"/>
              </w:rPr>
              <w:t>$_________</w:t>
            </w:r>
          </w:p>
        </w:tc>
        <w:tc>
          <w:tcPr>
            <w:tcW w:w="1680" w:type="dxa"/>
            <w:vAlign w:val="bottom"/>
            <w:tcBorders>
              <w:right w:val="single" w:sz="8" w:color="auto"/>
            </w:tcBorders>
            <w:gridSpan w:val="3"/>
          </w:tcPr>
          <w:p>
            <w:pPr>
              <w:ind w:left="20"/>
              <w:spacing w:after="0"/>
              <w:rPr>
                <w:sz w:val="20"/>
                <w:szCs w:val="20"/>
                <w:color w:val="auto"/>
              </w:rPr>
            </w:pPr>
            <w:r>
              <w:rPr>
                <w:rFonts w:ascii="Arial" w:cs="Arial" w:eastAsia="Arial" w:hAnsi="Arial"/>
                <w:sz w:val="20"/>
                <w:szCs w:val="20"/>
                <w:color w:val="auto"/>
              </w:rPr>
              <w:t>____________%</w:t>
            </w:r>
          </w:p>
        </w:tc>
        <w:tc>
          <w:tcPr>
            <w:tcW w:w="4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64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3"/>
        </w:trPr>
        <w:tc>
          <w:tcPr>
            <w:tcW w:w="40" w:type="dxa"/>
            <w:vAlign w:val="bottom"/>
            <w:tcBorders>
              <w:left w:val="single" w:sz="8" w:color="auto"/>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80" w:type="dxa"/>
            <w:vAlign w:val="bottom"/>
            <w:tcBorders>
              <w:bottom w:val="single" w:sz="8" w:color="auto"/>
              <w:right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680" w:type="dxa"/>
            <w:vAlign w:val="bottom"/>
            <w:tcBorders>
              <w:bottom w:val="single" w:sz="8" w:color="auto"/>
              <w:right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820" w:type="dxa"/>
            <w:vAlign w:val="bottom"/>
            <w:tcBorders>
              <w:bottom w:val="single" w:sz="8" w:color="auto"/>
              <w:right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840" w:type="dxa"/>
            <w:vAlign w:val="bottom"/>
            <w:tcBorders>
              <w:bottom w:val="single" w:sz="8" w:color="auto"/>
              <w:right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900" w:type="dxa"/>
            <w:vAlign w:val="bottom"/>
            <w:tcBorders>
              <w:bottom w:val="single" w:sz="8" w:color="auto"/>
              <w:right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180" w:type="dxa"/>
            <w:vAlign w:val="bottom"/>
            <w:tcBorders>
              <w:bottom w:val="single" w:sz="8" w:color="auto"/>
              <w:right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64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4"/>
        </w:trPr>
        <w:tc>
          <w:tcPr>
            <w:tcW w:w="40" w:type="dxa"/>
            <w:vAlign w:val="bottom"/>
            <w:tcBorders>
              <w:left w:val="single" w:sz="8" w:color="auto"/>
            </w:tcBorders>
          </w:tcPr>
          <w:p>
            <w:pPr>
              <w:spacing w:after="0"/>
              <w:rPr>
                <w:sz w:val="22"/>
                <w:szCs w:val="22"/>
                <w:color w:val="auto"/>
              </w:rPr>
            </w:pPr>
          </w:p>
        </w:tc>
        <w:tc>
          <w:tcPr>
            <w:tcW w:w="940" w:type="dxa"/>
            <w:vAlign w:val="bottom"/>
          </w:tcPr>
          <w:p>
            <w:pPr>
              <w:spacing w:after="0"/>
              <w:rPr>
                <w:sz w:val="22"/>
                <w:szCs w:val="22"/>
                <w:color w:val="auto"/>
              </w:rPr>
            </w:pPr>
          </w:p>
        </w:tc>
        <w:tc>
          <w:tcPr>
            <w:tcW w:w="580" w:type="dxa"/>
            <w:vAlign w:val="bottom"/>
            <w:tcBorders>
              <w:right w:val="single" w:sz="8" w:color="auto"/>
            </w:tcBorders>
          </w:tcPr>
          <w:p>
            <w:pPr>
              <w:spacing w:after="0"/>
              <w:rPr>
                <w:sz w:val="22"/>
                <w:szCs w:val="22"/>
                <w:color w:val="auto"/>
              </w:rPr>
            </w:pPr>
          </w:p>
        </w:tc>
        <w:tc>
          <w:tcPr>
            <w:tcW w:w="2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680" w:type="dxa"/>
            <w:vAlign w:val="bottom"/>
            <w:tcBorders>
              <w:right w:val="single" w:sz="8" w:color="auto"/>
            </w:tcBorders>
          </w:tcPr>
          <w:p>
            <w:pPr>
              <w:spacing w:after="0"/>
              <w:rPr>
                <w:sz w:val="22"/>
                <w:szCs w:val="22"/>
                <w:color w:val="auto"/>
              </w:rPr>
            </w:pPr>
          </w:p>
        </w:tc>
        <w:tc>
          <w:tcPr>
            <w:tcW w:w="1580" w:type="dxa"/>
            <w:vAlign w:val="bottom"/>
            <w:tcBorders>
              <w:right w:val="single" w:sz="8" w:color="auto"/>
            </w:tcBorders>
            <w:gridSpan w:val="3"/>
          </w:tcPr>
          <w:p>
            <w:pPr>
              <w:ind w:left="20"/>
              <w:spacing w:after="0"/>
              <w:rPr>
                <w:sz w:val="20"/>
                <w:szCs w:val="20"/>
                <w:color w:val="auto"/>
              </w:rPr>
            </w:pPr>
            <w:r>
              <w:rPr>
                <w:rFonts w:ascii="Arial" w:cs="Arial" w:eastAsia="Arial" w:hAnsi="Arial"/>
                <w:sz w:val="20"/>
                <w:szCs w:val="20"/>
                <w:color w:val="auto"/>
              </w:rPr>
              <w:t>____________</w:t>
            </w:r>
          </w:p>
        </w:tc>
        <w:tc>
          <w:tcPr>
            <w:tcW w:w="2020" w:type="dxa"/>
            <w:vAlign w:val="bottom"/>
            <w:tcBorders>
              <w:right w:val="single" w:sz="8" w:color="auto"/>
            </w:tcBorders>
            <w:gridSpan w:val="3"/>
          </w:tcPr>
          <w:p>
            <w:pPr>
              <w:ind w:left="20"/>
              <w:spacing w:after="0"/>
              <w:rPr>
                <w:sz w:val="20"/>
                <w:szCs w:val="20"/>
                <w:color w:val="auto"/>
              </w:rPr>
            </w:pPr>
            <w:r>
              <w:rPr>
                <w:rFonts w:ascii="Arial" w:cs="Arial" w:eastAsia="Arial" w:hAnsi="Arial"/>
                <w:sz w:val="20"/>
                <w:szCs w:val="20"/>
                <w:color w:val="auto"/>
              </w:rPr>
              <w:t>$________________</w:t>
            </w:r>
          </w:p>
        </w:tc>
        <w:tc>
          <w:tcPr>
            <w:tcW w:w="1660" w:type="dxa"/>
            <w:vAlign w:val="bottom"/>
            <w:tcBorders>
              <w:right w:val="single" w:sz="8" w:color="auto"/>
            </w:tcBorders>
            <w:gridSpan w:val="3"/>
          </w:tcPr>
          <w:p>
            <w:pPr>
              <w:ind w:left="20"/>
              <w:spacing w:after="0"/>
              <w:rPr>
                <w:sz w:val="20"/>
                <w:szCs w:val="20"/>
                <w:color w:val="auto"/>
              </w:rPr>
            </w:pPr>
            <w:r>
              <w:rPr>
                <w:rFonts w:ascii="Arial" w:cs="Arial" w:eastAsia="Arial" w:hAnsi="Arial"/>
                <w:sz w:val="20"/>
                <w:szCs w:val="20"/>
                <w:color w:val="auto"/>
              </w:rPr>
              <w:t>$_________</w:t>
            </w:r>
          </w:p>
        </w:tc>
        <w:tc>
          <w:tcPr>
            <w:tcW w:w="1680" w:type="dxa"/>
            <w:vAlign w:val="bottom"/>
            <w:tcBorders>
              <w:right w:val="single" w:sz="8" w:color="auto"/>
            </w:tcBorders>
            <w:gridSpan w:val="3"/>
          </w:tcPr>
          <w:p>
            <w:pPr>
              <w:ind w:left="20"/>
              <w:spacing w:after="0"/>
              <w:rPr>
                <w:sz w:val="20"/>
                <w:szCs w:val="20"/>
                <w:color w:val="auto"/>
              </w:rPr>
            </w:pPr>
            <w:r>
              <w:rPr>
                <w:rFonts w:ascii="Arial" w:cs="Arial" w:eastAsia="Arial" w:hAnsi="Arial"/>
                <w:sz w:val="20"/>
                <w:szCs w:val="20"/>
                <w:color w:val="auto"/>
              </w:rPr>
              <w:t>____________%</w:t>
            </w:r>
          </w:p>
        </w:tc>
        <w:tc>
          <w:tcPr>
            <w:tcW w:w="4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64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3"/>
        </w:trPr>
        <w:tc>
          <w:tcPr>
            <w:tcW w:w="40" w:type="dxa"/>
            <w:vAlign w:val="bottom"/>
            <w:tcBorders>
              <w:left w:val="single" w:sz="8" w:color="auto"/>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80" w:type="dxa"/>
            <w:vAlign w:val="bottom"/>
            <w:tcBorders>
              <w:bottom w:val="single" w:sz="8" w:color="auto"/>
              <w:right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680" w:type="dxa"/>
            <w:vAlign w:val="bottom"/>
            <w:tcBorders>
              <w:bottom w:val="single" w:sz="8" w:color="auto"/>
              <w:right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820" w:type="dxa"/>
            <w:vAlign w:val="bottom"/>
            <w:tcBorders>
              <w:bottom w:val="single" w:sz="8" w:color="auto"/>
              <w:right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840" w:type="dxa"/>
            <w:vAlign w:val="bottom"/>
            <w:tcBorders>
              <w:bottom w:val="single" w:sz="8" w:color="auto"/>
              <w:right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900" w:type="dxa"/>
            <w:vAlign w:val="bottom"/>
            <w:tcBorders>
              <w:bottom w:val="single" w:sz="8" w:color="auto"/>
              <w:right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180" w:type="dxa"/>
            <w:vAlign w:val="bottom"/>
            <w:tcBorders>
              <w:bottom w:val="single" w:sz="8" w:color="auto"/>
              <w:right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64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4"/>
        </w:trPr>
        <w:tc>
          <w:tcPr>
            <w:tcW w:w="40" w:type="dxa"/>
            <w:vAlign w:val="bottom"/>
            <w:tcBorders>
              <w:left w:val="single" w:sz="8" w:color="auto"/>
            </w:tcBorders>
          </w:tcPr>
          <w:p>
            <w:pPr>
              <w:spacing w:after="0"/>
              <w:rPr>
                <w:sz w:val="22"/>
                <w:szCs w:val="22"/>
                <w:color w:val="auto"/>
              </w:rPr>
            </w:pPr>
          </w:p>
        </w:tc>
        <w:tc>
          <w:tcPr>
            <w:tcW w:w="940" w:type="dxa"/>
            <w:vAlign w:val="bottom"/>
          </w:tcPr>
          <w:p>
            <w:pPr>
              <w:spacing w:after="0"/>
              <w:rPr>
                <w:sz w:val="22"/>
                <w:szCs w:val="22"/>
                <w:color w:val="auto"/>
              </w:rPr>
            </w:pPr>
          </w:p>
        </w:tc>
        <w:tc>
          <w:tcPr>
            <w:tcW w:w="580" w:type="dxa"/>
            <w:vAlign w:val="bottom"/>
            <w:tcBorders>
              <w:right w:val="single" w:sz="8" w:color="auto"/>
            </w:tcBorders>
          </w:tcPr>
          <w:p>
            <w:pPr>
              <w:spacing w:after="0"/>
              <w:rPr>
                <w:sz w:val="22"/>
                <w:szCs w:val="22"/>
                <w:color w:val="auto"/>
              </w:rPr>
            </w:pPr>
          </w:p>
        </w:tc>
        <w:tc>
          <w:tcPr>
            <w:tcW w:w="2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680" w:type="dxa"/>
            <w:vAlign w:val="bottom"/>
            <w:tcBorders>
              <w:right w:val="single" w:sz="8" w:color="auto"/>
            </w:tcBorders>
          </w:tcPr>
          <w:p>
            <w:pPr>
              <w:spacing w:after="0"/>
              <w:rPr>
                <w:sz w:val="22"/>
                <w:szCs w:val="22"/>
                <w:color w:val="auto"/>
              </w:rPr>
            </w:pPr>
          </w:p>
        </w:tc>
        <w:tc>
          <w:tcPr>
            <w:tcW w:w="1580" w:type="dxa"/>
            <w:vAlign w:val="bottom"/>
            <w:tcBorders>
              <w:right w:val="single" w:sz="8" w:color="auto"/>
            </w:tcBorders>
            <w:gridSpan w:val="3"/>
          </w:tcPr>
          <w:p>
            <w:pPr>
              <w:ind w:left="20"/>
              <w:spacing w:after="0"/>
              <w:rPr>
                <w:sz w:val="20"/>
                <w:szCs w:val="20"/>
                <w:color w:val="auto"/>
              </w:rPr>
            </w:pPr>
            <w:r>
              <w:rPr>
                <w:rFonts w:ascii="Arial" w:cs="Arial" w:eastAsia="Arial" w:hAnsi="Arial"/>
                <w:sz w:val="20"/>
                <w:szCs w:val="20"/>
                <w:color w:val="auto"/>
              </w:rPr>
              <w:t>____________</w:t>
            </w:r>
          </w:p>
        </w:tc>
        <w:tc>
          <w:tcPr>
            <w:tcW w:w="2020" w:type="dxa"/>
            <w:vAlign w:val="bottom"/>
            <w:tcBorders>
              <w:right w:val="single" w:sz="8" w:color="auto"/>
            </w:tcBorders>
            <w:gridSpan w:val="3"/>
          </w:tcPr>
          <w:p>
            <w:pPr>
              <w:ind w:left="20"/>
              <w:spacing w:after="0"/>
              <w:rPr>
                <w:sz w:val="20"/>
                <w:szCs w:val="20"/>
                <w:color w:val="auto"/>
              </w:rPr>
            </w:pPr>
            <w:r>
              <w:rPr>
                <w:rFonts w:ascii="Arial" w:cs="Arial" w:eastAsia="Arial" w:hAnsi="Arial"/>
                <w:sz w:val="20"/>
                <w:szCs w:val="20"/>
                <w:color w:val="auto"/>
              </w:rPr>
              <w:t>$________________</w:t>
            </w:r>
          </w:p>
        </w:tc>
        <w:tc>
          <w:tcPr>
            <w:tcW w:w="1660" w:type="dxa"/>
            <w:vAlign w:val="bottom"/>
            <w:tcBorders>
              <w:right w:val="single" w:sz="8" w:color="auto"/>
            </w:tcBorders>
            <w:gridSpan w:val="3"/>
          </w:tcPr>
          <w:p>
            <w:pPr>
              <w:ind w:left="20"/>
              <w:spacing w:after="0"/>
              <w:rPr>
                <w:sz w:val="20"/>
                <w:szCs w:val="20"/>
                <w:color w:val="auto"/>
              </w:rPr>
            </w:pPr>
            <w:r>
              <w:rPr>
                <w:rFonts w:ascii="Arial" w:cs="Arial" w:eastAsia="Arial" w:hAnsi="Arial"/>
                <w:sz w:val="20"/>
                <w:szCs w:val="20"/>
                <w:color w:val="auto"/>
              </w:rPr>
              <w:t>$_________</w:t>
            </w:r>
          </w:p>
        </w:tc>
        <w:tc>
          <w:tcPr>
            <w:tcW w:w="1680" w:type="dxa"/>
            <w:vAlign w:val="bottom"/>
            <w:tcBorders>
              <w:right w:val="single" w:sz="8" w:color="auto"/>
            </w:tcBorders>
            <w:gridSpan w:val="3"/>
          </w:tcPr>
          <w:p>
            <w:pPr>
              <w:ind w:left="20"/>
              <w:spacing w:after="0"/>
              <w:rPr>
                <w:sz w:val="20"/>
                <w:szCs w:val="20"/>
                <w:color w:val="auto"/>
              </w:rPr>
            </w:pPr>
            <w:r>
              <w:rPr>
                <w:rFonts w:ascii="Arial" w:cs="Arial" w:eastAsia="Arial" w:hAnsi="Arial"/>
                <w:sz w:val="20"/>
                <w:szCs w:val="20"/>
                <w:color w:val="auto"/>
              </w:rPr>
              <w:t>____________%</w:t>
            </w:r>
          </w:p>
        </w:tc>
        <w:tc>
          <w:tcPr>
            <w:tcW w:w="4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64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3"/>
        </w:trPr>
        <w:tc>
          <w:tcPr>
            <w:tcW w:w="40" w:type="dxa"/>
            <w:vAlign w:val="bottom"/>
            <w:tcBorders>
              <w:left w:val="single" w:sz="8" w:color="auto"/>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80" w:type="dxa"/>
            <w:vAlign w:val="bottom"/>
            <w:tcBorders>
              <w:bottom w:val="single" w:sz="8" w:color="auto"/>
              <w:right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680" w:type="dxa"/>
            <w:vAlign w:val="bottom"/>
            <w:tcBorders>
              <w:bottom w:val="single" w:sz="8" w:color="auto"/>
              <w:right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820" w:type="dxa"/>
            <w:vAlign w:val="bottom"/>
            <w:tcBorders>
              <w:bottom w:val="single" w:sz="8" w:color="auto"/>
              <w:right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840" w:type="dxa"/>
            <w:vAlign w:val="bottom"/>
            <w:tcBorders>
              <w:bottom w:val="single" w:sz="8" w:color="auto"/>
              <w:right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900" w:type="dxa"/>
            <w:vAlign w:val="bottom"/>
            <w:tcBorders>
              <w:bottom w:val="single" w:sz="8" w:color="auto"/>
              <w:right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180" w:type="dxa"/>
            <w:vAlign w:val="bottom"/>
            <w:tcBorders>
              <w:bottom w:val="single" w:sz="8" w:color="auto"/>
              <w:right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64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199" w:lineRule="exact"/>
        <w:rPr>
          <w:sz w:val="20"/>
          <w:szCs w:val="20"/>
          <w:color w:val="auto"/>
        </w:rPr>
      </w:pPr>
    </w:p>
    <w:p>
      <w:pPr>
        <w:spacing w:after="0"/>
        <w:rPr>
          <w:sz w:val="20"/>
          <w:szCs w:val="20"/>
          <w:color w:val="auto"/>
        </w:rPr>
      </w:pPr>
      <w:r>
        <w:rPr>
          <w:rFonts w:ascii="Arial" w:cs="Arial" w:eastAsia="Arial" w:hAnsi="Arial"/>
          <w:sz w:val="18"/>
          <w:szCs w:val="18"/>
          <w:color w:val="auto"/>
        </w:rPr>
        <w:t>[7.</w:t>
      </w:r>
      <w:r>
        <w:rPr>
          <w:rFonts w:ascii="Arial" w:cs="Arial" w:eastAsia="Arial" w:hAnsi="Arial"/>
          <w:sz w:val="18"/>
          <w:szCs w:val="18"/>
          <w:u w:val="single" w:color="auto"/>
          <w:color w:val="auto"/>
        </w:rPr>
        <w:t>Trade Date</w:t>
      </w:r>
      <w:r>
        <w:rPr>
          <w:rFonts w:ascii="Arial" w:cs="Arial" w:eastAsia="Arial" w:hAnsi="Arial"/>
          <w:sz w:val="18"/>
          <w:szCs w:val="18"/>
          <w:color w:val="auto"/>
        </w:rPr>
        <w:t xml:space="preserve">:__________________] </w:t>
      </w:r>
      <w:r>
        <w:rPr>
          <w:rFonts w:ascii="Arial" w:cs="Arial" w:eastAsia="Arial" w:hAnsi="Arial"/>
          <w:sz w:val="16"/>
          <w:szCs w:val="16"/>
          <w:color w:val="auto"/>
        </w:rPr>
        <w:t>To be completed if the Assignor and the Assignee intend that the minimum assignment amount is to be determined</w:t>
      </w:r>
    </w:p>
    <w:p>
      <w:pPr>
        <w:spacing w:after="0" w:line="52" w:lineRule="exact"/>
        <w:rPr>
          <w:sz w:val="20"/>
          <w:szCs w:val="20"/>
          <w:color w:val="auto"/>
        </w:rPr>
      </w:pPr>
    </w:p>
    <w:p>
      <w:pPr>
        <w:spacing w:after="0"/>
        <w:rPr>
          <w:sz w:val="20"/>
          <w:szCs w:val="20"/>
          <w:color w:val="auto"/>
        </w:rPr>
      </w:pPr>
      <w:r>
        <w:rPr>
          <w:rFonts w:ascii="Arial" w:cs="Arial" w:eastAsia="Arial" w:hAnsi="Arial"/>
          <w:sz w:val="18"/>
          <w:szCs w:val="18"/>
          <w:color w:val="auto"/>
        </w:rPr>
        <w:t>as of the Trade Date.</w:t>
      </w: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Arial" w:cs="Arial" w:eastAsia="Arial" w:hAnsi="Arial"/>
          <w:sz w:val="20"/>
          <w:szCs w:val="20"/>
          <w:color w:val="auto"/>
        </w:rPr>
        <w:t>Effective Date: __________________, 20__ [TO BE INSERTED BY ADMINISTRATIVE AGENT AND WHICH SHALL BE THE</w:t>
      </w:r>
    </w:p>
    <w:p>
      <w:pPr>
        <w:spacing w:after="0" w:line="16" w:lineRule="exact"/>
        <w:rPr>
          <w:sz w:val="20"/>
          <w:szCs w:val="20"/>
          <w:color w:val="auto"/>
        </w:rPr>
      </w:pPr>
    </w:p>
    <w:p>
      <w:pPr>
        <w:spacing w:after="0"/>
        <w:rPr>
          <w:sz w:val="20"/>
          <w:szCs w:val="20"/>
          <w:color w:val="auto"/>
        </w:rPr>
      </w:pPr>
      <w:r>
        <w:rPr>
          <w:rFonts w:ascii="Arial" w:cs="Arial" w:eastAsia="Arial" w:hAnsi="Arial"/>
          <w:sz w:val="20"/>
          <w:szCs w:val="20"/>
          <w:color w:val="auto"/>
        </w:rPr>
        <w:t>EFFECTIVE DATE OF RECORDATION OF TRANSFER IN THE REGISTER THEREFOR.]</w:t>
      </w:r>
    </w:p>
    <w:p>
      <w:pPr>
        <w:spacing w:after="0" w:line="200" w:lineRule="exact"/>
        <w:rPr>
          <w:sz w:val="20"/>
          <w:szCs w:val="20"/>
          <w:color w:val="auto"/>
        </w:rPr>
      </w:pPr>
    </w:p>
    <w:p>
      <w:pPr>
        <w:spacing w:after="0"/>
        <w:rPr>
          <w:sz w:val="20"/>
          <w:szCs w:val="20"/>
          <w:color w:val="auto"/>
        </w:rPr>
      </w:pPr>
      <w:r>
        <w:rPr>
          <w:rFonts w:ascii="Arial" w:cs="Arial" w:eastAsia="Arial" w:hAnsi="Arial"/>
          <w:sz w:val="20"/>
          <w:szCs w:val="20"/>
          <w:color w:val="auto"/>
        </w:rPr>
        <w:t>The terms set forth in this Assignment and Assumption are hereby agreed to:</w:t>
      </w:r>
    </w:p>
    <w:p>
      <w:pPr>
        <w:spacing w:after="0" w:line="216" w:lineRule="exact"/>
        <w:rPr>
          <w:sz w:val="20"/>
          <w:szCs w:val="20"/>
          <w:color w:val="auto"/>
        </w:rPr>
      </w:pPr>
    </w:p>
    <w:p>
      <w:pPr>
        <w:ind w:left="4540"/>
        <w:spacing w:after="0"/>
        <w:rPr>
          <w:sz w:val="20"/>
          <w:szCs w:val="20"/>
          <w:color w:val="auto"/>
        </w:rPr>
      </w:pPr>
      <w:r>
        <w:rPr>
          <w:rFonts w:ascii="Arial" w:cs="Arial" w:eastAsia="Arial" w:hAnsi="Arial"/>
          <w:sz w:val="20"/>
          <w:szCs w:val="20"/>
          <w:u w:val="single" w:color="auto"/>
          <w:color w:val="auto"/>
        </w:rPr>
        <w:t>ASSIGNOR</w:t>
      </w:r>
    </w:p>
    <w:p>
      <w:pPr>
        <w:spacing w:after="0" w:line="16" w:lineRule="exact"/>
        <w:rPr>
          <w:sz w:val="20"/>
          <w:szCs w:val="20"/>
          <w:color w:val="auto"/>
        </w:rPr>
      </w:pPr>
    </w:p>
    <w:p>
      <w:pPr>
        <w:ind w:left="4540"/>
        <w:spacing w:after="0"/>
        <w:rPr>
          <w:sz w:val="20"/>
          <w:szCs w:val="20"/>
          <w:color w:val="auto"/>
        </w:rPr>
      </w:pPr>
      <w:r>
        <w:rPr>
          <w:rFonts w:ascii="Arial" w:cs="Arial" w:eastAsia="Arial" w:hAnsi="Arial"/>
          <w:sz w:val="20"/>
          <w:szCs w:val="20"/>
          <w:color w:val="auto"/>
        </w:rPr>
        <w:t>[NAME OF ASSIGNOR]</w:t>
      </w:r>
    </w:p>
    <w:p>
      <w:pPr>
        <w:spacing w:after="0" w:line="200" w:lineRule="exact"/>
        <w:rPr>
          <w:sz w:val="20"/>
          <w:szCs w:val="20"/>
          <w:color w:val="auto"/>
        </w:rPr>
      </w:pPr>
    </w:p>
    <w:p>
      <w:pPr>
        <w:ind w:left="4540"/>
        <w:spacing w:after="0"/>
        <w:rPr>
          <w:sz w:val="20"/>
          <w:szCs w:val="20"/>
          <w:color w:val="auto"/>
        </w:rPr>
      </w:pPr>
      <w:r>
        <w:rPr>
          <w:rFonts w:ascii="Arial" w:cs="Arial" w:eastAsia="Arial" w:hAnsi="Arial"/>
          <w:sz w:val="20"/>
          <w:szCs w:val="20"/>
          <w:color w:val="auto"/>
        </w:rPr>
        <w:t>By: _____________________________</w:t>
      </w:r>
    </w:p>
    <w:p>
      <w:pPr>
        <w:spacing w:after="0" w:line="16" w:lineRule="exact"/>
        <w:rPr>
          <w:sz w:val="20"/>
          <w:szCs w:val="20"/>
          <w:color w:val="auto"/>
        </w:rPr>
      </w:pPr>
    </w:p>
    <w:p>
      <w:pPr>
        <w:ind w:left="5200"/>
        <w:spacing w:after="0"/>
        <w:rPr>
          <w:sz w:val="20"/>
          <w:szCs w:val="20"/>
          <w:color w:val="auto"/>
        </w:rPr>
      </w:pPr>
      <w:r>
        <w:rPr>
          <w:rFonts w:ascii="Arial" w:cs="Arial" w:eastAsia="Arial" w:hAnsi="Arial"/>
          <w:sz w:val="20"/>
          <w:szCs w:val="20"/>
          <w:color w:val="auto"/>
        </w:rPr>
        <w:t>Title:</w:t>
      </w:r>
    </w:p>
    <w:p>
      <w:pPr>
        <w:spacing w:after="0" w:line="200" w:lineRule="exact"/>
        <w:rPr>
          <w:sz w:val="20"/>
          <w:szCs w:val="20"/>
          <w:color w:val="auto"/>
        </w:rPr>
      </w:pPr>
    </w:p>
    <w:p>
      <w:pPr>
        <w:ind w:left="4540"/>
        <w:spacing w:after="0"/>
        <w:rPr>
          <w:sz w:val="20"/>
          <w:szCs w:val="20"/>
          <w:color w:val="auto"/>
        </w:rPr>
      </w:pPr>
      <w:r>
        <w:rPr>
          <w:rFonts w:ascii="Arial" w:cs="Arial" w:eastAsia="Arial" w:hAnsi="Arial"/>
          <w:sz w:val="20"/>
          <w:szCs w:val="20"/>
          <w:u w:val="single" w:color="auto"/>
          <w:color w:val="auto"/>
        </w:rPr>
        <w:t>ASSIGNEE</w:t>
      </w:r>
    </w:p>
    <w:p>
      <w:pPr>
        <w:sectPr>
          <w:pgSz w:w="11900" w:h="16838" w:orient="portrait"/>
          <w:cols w:equalWidth="0" w:num="1">
            <w:col w:w="11440"/>
          </w:cols>
          <w:pgMar w:left="240" w:top="366" w:right="219" w:bottom="1440" w:gutter="0" w:footer="0" w:header="0"/>
        </w:sectPr>
      </w:pPr>
    </w:p>
    <w:bookmarkStart w:id="325" w:name="page326"/>
    <w:bookmarkEnd w:id="325"/>
    <w:p>
      <w:pPr>
        <w:ind w:left="4540"/>
        <w:spacing w:after="0"/>
        <w:rPr>
          <w:sz w:val="20"/>
          <w:szCs w:val="20"/>
          <w:color w:val="auto"/>
        </w:rPr>
      </w:pPr>
      <w:r>
        <w:rPr>
          <w:rFonts w:ascii="Arial" w:cs="Arial" w:eastAsia="Arial" w:hAnsi="Arial"/>
          <w:sz w:val="20"/>
          <w:szCs w:val="20"/>
          <w:color w:val="auto"/>
        </w:rPr>
        <w:t>[NAME OF ASSIGNEE]</w:t>
      </w:r>
    </w:p>
    <w:p>
      <w:pPr>
        <w:spacing w:after="0" w:line="216" w:lineRule="exact"/>
        <w:rPr>
          <w:sz w:val="20"/>
          <w:szCs w:val="20"/>
          <w:color w:val="auto"/>
        </w:rPr>
      </w:pPr>
    </w:p>
    <w:p>
      <w:pPr>
        <w:ind w:left="4540"/>
        <w:spacing w:after="0"/>
        <w:rPr>
          <w:sz w:val="20"/>
          <w:szCs w:val="20"/>
          <w:color w:val="auto"/>
        </w:rPr>
      </w:pPr>
      <w:r>
        <w:rPr>
          <w:rFonts w:ascii="Arial" w:cs="Arial" w:eastAsia="Arial" w:hAnsi="Arial"/>
          <w:sz w:val="20"/>
          <w:szCs w:val="20"/>
          <w:color w:val="auto"/>
        </w:rPr>
        <w:t>By: _____________________________</w:t>
      </w:r>
    </w:p>
    <w:p>
      <w:pPr>
        <w:spacing w:after="0" w:line="15" w:lineRule="exact"/>
        <w:rPr>
          <w:sz w:val="20"/>
          <w:szCs w:val="20"/>
          <w:color w:val="auto"/>
        </w:rPr>
      </w:pPr>
    </w:p>
    <w:p>
      <w:pPr>
        <w:jc w:val="center"/>
        <w:ind w:right="560"/>
        <w:spacing w:after="0"/>
        <w:rPr>
          <w:sz w:val="20"/>
          <w:szCs w:val="20"/>
          <w:color w:val="auto"/>
        </w:rPr>
      </w:pPr>
      <w:r>
        <w:rPr>
          <w:rFonts w:ascii="Arial" w:cs="Arial" w:eastAsia="Arial" w:hAnsi="Arial"/>
          <w:sz w:val="20"/>
          <w:szCs w:val="20"/>
          <w:color w:val="auto"/>
        </w:rPr>
        <w:t>Title:</w:t>
      </w:r>
    </w:p>
    <w:p>
      <w:pPr>
        <w:spacing w:after="0"/>
        <w:rPr>
          <w:sz w:val="20"/>
          <w:szCs w:val="20"/>
          <w:color w:val="auto"/>
        </w:rPr>
      </w:pPr>
      <w:r>
        <w:rPr>
          <w:rFonts w:ascii="Arial" w:cs="Arial" w:eastAsia="Arial" w:hAnsi="Arial"/>
          <w:sz w:val="20"/>
          <w:szCs w:val="20"/>
          <w:color w:val="auto"/>
        </w:rPr>
        <w:t xml:space="preserve">[Consented to and] </w:t>
      </w:r>
      <w:r>
        <w:rPr>
          <w:rFonts w:ascii="Arial" w:cs="Arial" w:eastAsia="Arial" w:hAnsi="Arial"/>
          <w:sz w:val="18"/>
          <w:szCs w:val="18"/>
          <w:color w:val="auto"/>
        </w:rPr>
        <w:t>To be added only if the consent of the Administrative Agent is required by the terms of the Credit Agreement.</w:t>
      </w:r>
      <w:r>
        <w:rPr>
          <w:rFonts w:ascii="Arial" w:cs="Arial" w:eastAsia="Arial" w:hAnsi="Arial"/>
          <w:sz w:val="20"/>
          <w:szCs w:val="20"/>
          <w:color w:val="auto"/>
        </w:rPr>
        <w:t xml:space="preserve"> Accepted:</w:t>
      </w:r>
    </w:p>
    <w:p>
      <w:pPr>
        <w:spacing w:after="0" w:line="200" w:lineRule="exact"/>
        <w:rPr>
          <w:sz w:val="20"/>
          <w:szCs w:val="20"/>
          <w:color w:val="auto"/>
        </w:rPr>
      </w:pPr>
    </w:p>
    <w:p>
      <w:pPr>
        <w:spacing w:after="0"/>
        <w:rPr>
          <w:sz w:val="20"/>
          <w:szCs w:val="20"/>
          <w:color w:val="auto"/>
        </w:rPr>
      </w:pPr>
      <w:r>
        <w:rPr>
          <w:rFonts w:ascii="Arial" w:cs="Arial" w:eastAsia="Arial" w:hAnsi="Arial"/>
          <w:sz w:val="20"/>
          <w:szCs w:val="20"/>
          <w:color w:val="auto"/>
        </w:rPr>
        <w:t>BANK OF AMERICA, N.A., as</w:t>
      </w:r>
    </w:p>
    <w:p>
      <w:pPr>
        <w:spacing w:after="0" w:line="16" w:lineRule="exact"/>
        <w:rPr>
          <w:sz w:val="20"/>
          <w:szCs w:val="20"/>
          <w:color w:val="auto"/>
        </w:rPr>
      </w:pPr>
    </w:p>
    <w:p>
      <w:pPr>
        <w:spacing w:after="0"/>
        <w:rPr>
          <w:sz w:val="20"/>
          <w:szCs w:val="20"/>
          <w:color w:val="auto"/>
        </w:rPr>
      </w:pPr>
      <w:r>
        <w:rPr>
          <w:rFonts w:ascii="Arial" w:cs="Arial" w:eastAsia="Arial" w:hAnsi="Arial"/>
          <w:sz w:val="20"/>
          <w:szCs w:val="20"/>
          <w:color w:val="auto"/>
        </w:rPr>
        <w:t>Administrative Agent</w:t>
      </w:r>
    </w:p>
    <w:p>
      <w:pPr>
        <w:spacing w:after="0" w:line="200" w:lineRule="exact"/>
        <w:rPr>
          <w:sz w:val="20"/>
          <w:szCs w:val="20"/>
          <w:color w:val="auto"/>
        </w:rPr>
      </w:pPr>
    </w:p>
    <w:p>
      <w:pPr>
        <w:spacing w:after="0"/>
        <w:rPr>
          <w:sz w:val="20"/>
          <w:szCs w:val="20"/>
          <w:color w:val="auto"/>
        </w:rPr>
      </w:pPr>
      <w:r>
        <w:rPr>
          <w:rFonts w:ascii="Arial" w:cs="Arial" w:eastAsia="Arial" w:hAnsi="Arial"/>
          <w:sz w:val="20"/>
          <w:szCs w:val="20"/>
          <w:color w:val="auto"/>
        </w:rPr>
        <w:t>By: _________________________________</w:t>
      </w:r>
    </w:p>
    <w:p>
      <w:pPr>
        <w:spacing w:after="0" w:line="15" w:lineRule="exact"/>
        <w:rPr>
          <w:sz w:val="20"/>
          <w:szCs w:val="20"/>
          <w:color w:val="auto"/>
        </w:rPr>
      </w:pPr>
    </w:p>
    <w:p>
      <w:pPr>
        <w:spacing w:after="0"/>
        <w:rPr>
          <w:sz w:val="20"/>
          <w:szCs w:val="20"/>
          <w:color w:val="auto"/>
        </w:rPr>
      </w:pPr>
      <w:r>
        <w:rPr>
          <w:rFonts w:ascii="Arial" w:cs="Arial" w:eastAsia="Arial" w:hAnsi="Arial"/>
          <w:sz w:val="20"/>
          <w:szCs w:val="20"/>
          <w:color w:val="auto"/>
        </w:rPr>
        <w:t>Name:</w:t>
      </w:r>
    </w:p>
    <w:p>
      <w:pPr>
        <w:spacing w:after="0"/>
        <w:rPr>
          <w:sz w:val="20"/>
          <w:szCs w:val="20"/>
          <w:color w:val="auto"/>
        </w:rPr>
      </w:pPr>
      <w:r>
        <w:rPr>
          <w:rFonts w:ascii="Arial" w:cs="Arial" w:eastAsia="Arial" w:hAnsi="Arial"/>
          <w:sz w:val="20"/>
          <w:szCs w:val="20"/>
          <w:color w:val="auto"/>
        </w:rPr>
        <w:t>Title:</w:t>
      </w:r>
    </w:p>
    <w:p>
      <w:pPr>
        <w:spacing w:after="0" w:line="200" w:lineRule="exact"/>
        <w:rPr>
          <w:sz w:val="20"/>
          <w:szCs w:val="20"/>
          <w:color w:val="auto"/>
        </w:rPr>
      </w:pPr>
    </w:p>
    <w:p>
      <w:pPr>
        <w:spacing w:after="0"/>
        <w:rPr>
          <w:sz w:val="20"/>
          <w:szCs w:val="20"/>
          <w:color w:val="auto"/>
        </w:rPr>
      </w:pPr>
      <w:r>
        <w:rPr>
          <w:rFonts w:ascii="Arial" w:cs="Arial" w:eastAsia="Arial" w:hAnsi="Arial"/>
          <w:sz w:val="20"/>
          <w:szCs w:val="20"/>
          <w:color w:val="auto"/>
        </w:rPr>
        <w:t>[BANK OF AMERICA, N.A., as</w:t>
      </w:r>
    </w:p>
    <w:p>
      <w:pPr>
        <w:spacing w:after="0" w:line="16" w:lineRule="exact"/>
        <w:rPr>
          <w:sz w:val="20"/>
          <w:szCs w:val="20"/>
          <w:color w:val="auto"/>
        </w:rPr>
      </w:pPr>
    </w:p>
    <w:p>
      <w:pPr>
        <w:spacing w:after="0"/>
        <w:rPr>
          <w:sz w:val="20"/>
          <w:szCs w:val="20"/>
          <w:color w:val="auto"/>
        </w:rPr>
      </w:pPr>
      <w:r>
        <w:rPr>
          <w:rFonts w:ascii="Arial" w:cs="Arial" w:eastAsia="Arial" w:hAnsi="Arial"/>
          <w:sz w:val="20"/>
          <w:szCs w:val="20"/>
          <w:color w:val="auto"/>
        </w:rPr>
        <w:t>[USD] [European] [India] L/C Issuer and [USD] [European] [Other] Swingline Lender</w:t>
      </w:r>
    </w:p>
    <w:p>
      <w:pPr>
        <w:spacing w:after="0" w:line="200" w:lineRule="exact"/>
        <w:rPr>
          <w:sz w:val="20"/>
          <w:szCs w:val="20"/>
          <w:color w:val="auto"/>
        </w:rPr>
      </w:pPr>
    </w:p>
    <w:p>
      <w:pPr>
        <w:spacing w:after="0"/>
        <w:rPr>
          <w:sz w:val="20"/>
          <w:szCs w:val="20"/>
          <w:color w:val="auto"/>
        </w:rPr>
      </w:pPr>
      <w:r>
        <w:rPr>
          <w:rFonts w:ascii="Arial" w:cs="Arial" w:eastAsia="Arial" w:hAnsi="Arial"/>
          <w:sz w:val="20"/>
          <w:szCs w:val="20"/>
          <w:color w:val="auto"/>
        </w:rPr>
        <w:t>By: _________________________________</w:t>
      </w:r>
    </w:p>
    <w:p>
      <w:pPr>
        <w:spacing w:after="0" w:line="15" w:lineRule="exact"/>
        <w:rPr>
          <w:sz w:val="20"/>
          <w:szCs w:val="20"/>
          <w:color w:val="auto"/>
        </w:rPr>
      </w:pPr>
    </w:p>
    <w:p>
      <w:pPr>
        <w:spacing w:after="0"/>
        <w:rPr>
          <w:sz w:val="20"/>
          <w:szCs w:val="20"/>
          <w:color w:val="auto"/>
        </w:rPr>
      </w:pPr>
      <w:r>
        <w:rPr>
          <w:rFonts w:ascii="Arial" w:cs="Arial" w:eastAsia="Arial" w:hAnsi="Arial"/>
          <w:sz w:val="20"/>
          <w:szCs w:val="20"/>
          <w:color w:val="auto"/>
        </w:rPr>
        <w:t>Name:</w:t>
      </w:r>
    </w:p>
    <w:p>
      <w:pPr>
        <w:spacing w:after="0"/>
        <w:rPr>
          <w:sz w:val="20"/>
          <w:szCs w:val="20"/>
          <w:color w:val="auto"/>
        </w:rPr>
      </w:pPr>
      <w:r>
        <w:rPr>
          <w:rFonts w:ascii="Arial" w:cs="Arial" w:eastAsia="Arial" w:hAnsi="Arial"/>
          <w:sz w:val="20"/>
          <w:szCs w:val="20"/>
          <w:color w:val="auto"/>
        </w:rPr>
        <w:t>Title:]</w:t>
      </w:r>
    </w:p>
    <w:p>
      <w:pPr>
        <w:spacing w:after="0" w:line="200" w:lineRule="exact"/>
        <w:rPr>
          <w:sz w:val="20"/>
          <w:szCs w:val="20"/>
          <w:color w:val="auto"/>
        </w:rPr>
      </w:pPr>
    </w:p>
    <w:p>
      <w:pPr>
        <w:spacing w:after="0"/>
        <w:rPr>
          <w:sz w:val="20"/>
          <w:szCs w:val="20"/>
          <w:color w:val="auto"/>
        </w:rPr>
      </w:pPr>
      <w:r>
        <w:rPr>
          <w:rFonts w:ascii="Arial" w:cs="Arial" w:eastAsia="Arial" w:hAnsi="Arial"/>
          <w:sz w:val="20"/>
          <w:szCs w:val="20"/>
          <w:color w:val="auto"/>
        </w:rPr>
        <w:t>[EURONET WORLDWIDE, INC.</w:t>
      </w:r>
    </w:p>
    <w:p>
      <w:pPr>
        <w:spacing w:after="0" w:line="216" w:lineRule="exact"/>
        <w:rPr>
          <w:sz w:val="20"/>
          <w:szCs w:val="20"/>
          <w:color w:val="auto"/>
        </w:rPr>
      </w:pPr>
    </w:p>
    <w:p>
      <w:pPr>
        <w:spacing w:after="0"/>
        <w:rPr>
          <w:sz w:val="20"/>
          <w:szCs w:val="20"/>
          <w:color w:val="auto"/>
        </w:rPr>
      </w:pPr>
      <w:r>
        <w:rPr>
          <w:rFonts w:ascii="Arial" w:cs="Arial" w:eastAsia="Arial" w:hAnsi="Arial"/>
          <w:sz w:val="20"/>
          <w:szCs w:val="20"/>
          <w:color w:val="auto"/>
        </w:rPr>
        <w:t>By: _________________________________</w:t>
      </w:r>
    </w:p>
    <w:p>
      <w:pPr>
        <w:spacing w:after="0" w:line="15" w:lineRule="exact"/>
        <w:rPr>
          <w:sz w:val="20"/>
          <w:szCs w:val="20"/>
          <w:color w:val="auto"/>
        </w:rPr>
      </w:pPr>
    </w:p>
    <w:p>
      <w:pPr>
        <w:spacing w:after="0"/>
        <w:rPr>
          <w:sz w:val="20"/>
          <w:szCs w:val="20"/>
          <w:color w:val="auto"/>
        </w:rPr>
      </w:pPr>
      <w:r>
        <w:rPr>
          <w:rFonts w:ascii="Arial" w:cs="Arial" w:eastAsia="Arial" w:hAnsi="Arial"/>
          <w:sz w:val="20"/>
          <w:szCs w:val="20"/>
          <w:color w:val="auto"/>
        </w:rPr>
        <w:t>Name:</w:t>
      </w:r>
    </w:p>
    <w:p>
      <w:pPr>
        <w:spacing w:after="0"/>
        <w:rPr>
          <w:sz w:val="20"/>
          <w:szCs w:val="20"/>
          <w:color w:val="auto"/>
        </w:rPr>
      </w:pPr>
      <w:r>
        <w:rPr>
          <w:rFonts w:ascii="Arial" w:cs="Arial" w:eastAsia="Arial" w:hAnsi="Arial"/>
          <w:sz w:val="20"/>
          <w:szCs w:val="20"/>
          <w:color w:val="auto"/>
        </w:rPr>
        <w:t>Title:]</w:t>
      </w:r>
    </w:p>
    <w:p>
      <w:pPr>
        <w:spacing w:after="0" w:line="207" w:lineRule="exact"/>
        <w:rPr>
          <w:sz w:val="20"/>
          <w:szCs w:val="20"/>
          <w:color w:val="auto"/>
        </w:rPr>
      </w:pPr>
    </w:p>
    <w:p>
      <w:pPr>
        <w:jc w:val="center"/>
        <w:ind w:right="-59"/>
        <w:spacing w:after="0"/>
        <w:rPr>
          <w:sz w:val="20"/>
          <w:szCs w:val="20"/>
          <w:color w:val="auto"/>
        </w:rPr>
      </w:pPr>
      <w:r>
        <w:rPr>
          <w:rFonts w:ascii="Arial" w:cs="Arial" w:eastAsia="Arial" w:hAnsi="Arial"/>
          <w:sz w:val="20"/>
          <w:szCs w:val="20"/>
          <w:b w:val="1"/>
          <w:bCs w:val="1"/>
          <w:color w:val="auto"/>
        </w:rPr>
        <w:t>ANNEX 1 TO ASSIGNMENT AND ASSUMPTION</w:t>
      </w:r>
    </w:p>
    <w:p>
      <w:pPr>
        <w:spacing w:after="0" w:line="200" w:lineRule="exact"/>
        <w:rPr>
          <w:sz w:val="20"/>
          <w:szCs w:val="20"/>
          <w:color w:val="auto"/>
        </w:rPr>
      </w:pPr>
    </w:p>
    <w:p>
      <w:pPr>
        <w:spacing w:after="0" w:line="238" w:lineRule="exact"/>
        <w:rPr>
          <w:sz w:val="20"/>
          <w:szCs w:val="20"/>
          <w:color w:val="auto"/>
        </w:rPr>
      </w:pPr>
    </w:p>
    <w:p>
      <w:pPr>
        <w:jc w:val="center"/>
        <w:ind w:right="-59"/>
        <w:spacing w:after="0"/>
        <w:rPr>
          <w:sz w:val="20"/>
          <w:szCs w:val="20"/>
          <w:color w:val="auto"/>
        </w:rPr>
      </w:pPr>
      <w:r>
        <w:rPr>
          <w:rFonts w:ascii="Arial" w:cs="Arial" w:eastAsia="Arial" w:hAnsi="Arial"/>
          <w:sz w:val="20"/>
          <w:szCs w:val="20"/>
          <w:color w:val="auto"/>
        </w:rPr>
        <w:t>STANDARD TERMS AND CONDITIONS FOR</w:t>
      </w:r>
    </w:p>
    <w:p>
      <w:pPr>
        <w:spacing w:after="0" w:line="216" w:lineRule="exact"/>
        <w:rPr>
          <w:sz w:val="20"/>
          <w:szCs w:val="20"/>
          <w:color w:val="auto"/>
        </w:rPr>
      </w:pPr>
    </w:p>
    <w:p>
      <w:pPr>
        <w:jc w:val="center"/>
        <w:ind w:right="-59"/>
        <w:spacing w:after="0"/>
        <w:rPr>
          <w:sz w:val="20"/>
          <w:szCs w:val="20"/>
          <w:color w:val="auto"/>
        </w:rPr>
      </w:pPr>
      <w:r>
        <w:rPr>
          <w:rFonts w:ascii="Arial" w:cs="Arial" w:eastAsia="Arial" w:hAnsi="Arial"/>
          <w:sz w:val="20"/>
          <w:szCs w:val="20"/>
          <w:color w:val="auto"/>
        </w:rPr>
        <w:t>ASSIGNMENT AND ASSUMPTION</w:t>
      </w:r>
    </w:p>
    <w:p>
      <w:pPr>
        <w:spacing w:after="0" w:line="216" w:lineRule="exact"/>
        <w:rPr>
          <w:sz w:val="20"/>
          <w:szCs w:val="20"/>
          <w:color w:val="auto"/>
        </w:rPr>
      </w:pPr>
    </w:p>
    <w:p>
      <w:pPr>
        <w:ind w:left="1480" w:hanging="338"/>
        <w:spacing w:after="0"/>
        <w:tabs>
          <w:tab w:leader="none" w:pos="1480" w:val="left"/>
        </w:tabs>
        <w:numPr>
          <w:ilvl w:val="0"/>
          <w:numId w:val="302"/>
        </w:numPr>
        <w:rPr>
          <w:rFonts w:ascii="Arial" w:cs="Arial" w:eastAsia="Arial" w:hAnsi="Arial"/>
          <w:sz w:val="20"/>
          <w:szCs w:val="20"/>
          <w:color w:val="auto"/>
        </w:rPr>
      </w:pPr>
      <w:r>
        <w:rPr>
          <w:rFonts w:ascii="Arial" w:cs="Arial" w:eastAsia="Arial" w:hAnsi="Arial"/>
          <w:sz w:val="20"/>
          <w:szCs w:val="20"/>
          <w:u w:val="single" w:color="auto"/>
          <w:color w:val="auto"/>
        </w:rPr>
        <w:t>Representations and Warranties</w:t>
      </w:r>
      <w:r>
        <w:rPr>
          <w:rFonts w:ascii="Arial" w:cs="Arial" w:eastAsia="Arial" w:hAnsi="Arial"/>
          <w:sz w:val="20"/>
          <w:szCs w:val="20"/>
          <w:color w:val="auto"/>
        </w:rPr>
        <w:t>.</w:t>
      </w:r>
    </w:p>
    <w:p>
      <w:pPr>
        <w:spacing w:after="0" w:line="216" w:lineRule="exact"/>
        <w:rPr>
          <w:sz w:val="20"/>
          <w:szCs w:val="20"/>
          <w:color w:val="auto"/>
        </w:rPr>
      </w:pPr>
    </w:p>
    <w:p>
      <w:pPr>
        <w:ind w:firstLine="1134"/>
        <w:spacing w:after="0" w:line="273" w:lineRule="auto"/>
        <w:rPr>
          <w:sz w:val="20"/>
          <w:szCs w:val="20"/>
          <w:color w:val="auto"/>
        </w:rPr>
      </w:pPr>
      <w:r>
        <w:rPr>
          <w:rFonts w:ascii="Arial" w:cs="Arial" w:eastAsia="Arial" w:hAnsi="Arial"/>
          <w:sz w:val="18"/>
          <w:szCs w:val="18"/>
          <w:color w:val="auto"/>
        </w:rPr>
        <w:t xml:space="preserve">1.1 </w:t>
      </w:r>
      <w:r>
        <w:rPr>
          <w:rFonts w:ascii="Arial" w:cs="Arial" w:eastAsia="Arial" w:hAnsi="Arial"/>
          <w:sz w:val="18"/>
          <w:szCs w:val="18"/>
          <w:u w:val="single" w:color="auto"/>
          <w:color w:val="auto"/>
        </w:rPr>
        <w:t>Assignor</w:t>
      </w:r>
      <w:r>
        <w:rPr>
          <w:rFonts w:ascii="Arial" w:cs="Arial" w:eastAsia="Arial" w:hAnsi="Arial"/>
          <w:sz w:val="18"/>
          <w:szCs w:val="18"/>
          <w:color w:val="auto"/>
        </w:rPr>
        <w:t>. [The][Each] Assignor (a) represents and warrants that (i) it is the legal and beneficial owner of [the][[the relevant] Assigned Interest, (ii) [the][such] Assigned Interest is free and clear of any lien, encumbrance or other adverse claim and (iii) it has full power and authority, and has taken all action necessary, to execute and deliver this Assignment and Assumption and to consummate the transactions contemplated hereby; and (b) assumes no responsibility with respect to (i) any statements, warranties or representations made in or in connection with the Credit Agreement or any other Loan Document, (ii) the execution, legality, validity, enforceability, genuineness, sufficiency or value of the Loan Documents or any collateral thereunder, (iii) the financial condition of the Borrower, any of its Subsidiaries or Affiliates or any other Person obligated in respect of any Loan Document or (iv) the performance or observance by the Borrower, any of its Subsidiaries or Affiliates or any other Person of any of their respective obligations under any Loan Document.</w:t>
      </w:r>
    </w:p>
    <w:p>
      <w:pPr>
        <w:spacing w:after="0" w:line="169" w:lineRule="exact"/>
        <w:rPr>
          <w:sz w:val="20"/>
          <w:szCs w:val="20"/>
          <w:color w:val="auto"/>
        </w:rPr>
      </w:pPr>
    </w:p>
    <w:p>
      <w:pPr>
        <w:ind w:right="20" w:firstLine="1134"/>
        <w:spacing w:after="0" w:line="260" w:lineRule="auto"/>
        <w:rPr>
          <w:sz w:val="20"/>
          <w:szCs w:val="20"/>
          <w:color w:val="auto"/>
        </w:rPr>
      </w:pPr>
      <w:r>
        <w:rPr>
          <w:rFonts w:ascii="Arial" w:cs="Arial" w:eastAsia="Arial" w:hAnsi="Arial"/>
          <w:sz w:val="20"/>
          <w:szCs w:val="20"/>
          <w:color w:val="auto"/>
        </w:rPr>
        <w:t xml:space="preserve">1.2. </w:t>
      </w:r>
      <w:r>
        <w:rPr>
          <w:rFonts w:ascii="Arial" w:cs="Arial" w:eastAsia="Arial" w:hAnsi="Arial"/>
          <w:sz w:val="20"/>
          <w:szCs w:val="20"/>
          <w:u w:val="single" w:color="auto"/>
          <w:color w:val="auto"/>
        </w:rPr>
        <w:t>Assignee</w:t>
      </w:r>
      <w:r>
        <w:rPr>
          <w:rFonts w:ascii="Arial" w:cs="Arial" w:eastAsia="Arial" w:hAnsi="Arial"/>
          <w:sz w:val="20"/>
          <w:szCs w:val="20"/>
          <w:color w:val="auto"/>
        </w:rPr>
        <w:t>. [The][Each] Assignee (a) represents and warrants that (i) it has full power and authority, and has taken all action necessary, to execute and deliver this Assignment and</w:t>
      </w:r>
    </w:p>
    <w:p>
      <w:pPr>
        <w:sectPr>
          <w:pgSz w:w="11900" w:h="16838" w:orient="portrait"/>
          <w:cols w:equalWidth="0" w:num="1">
            <w:col w:w="11360"/>
          </w:cols>
          <w:pgMar w:left="240" w:top="366" w:right="299" w:bottom="1440" w:gutter="0" w:footer="0" w:header="0"/>
        </w:sectPr>
      </w:pPr>
    </w:p>
    <w:bookmarkStart w:id="326" w:name="page327"/>
    <w:bookmarkEnd w:id="326"/>
    <w:p>
      <w:pPr>
        <w:spacing w:after="0" w:line="269" w:lineRule="auto"/>
        <w:rPr>
          <w:sz w:val="20"/>
          <w:szCs w:val="20"/>
          <w:color w:val="auto"/>
        </w:rPr>
      </w:pPr>
      <w:r>
        <w:rPr>
          <w:rFonts w:ascii="Arial" w:cs="Arial" w:eastAsia="Arial" w:hAnsi="Arial"/>
          <w:sz w:val="18"/>
          <w:szCs w:val="18"/>
          <w:color w:val="auto"/>
        </w:rPr>
        <w:t xml:space="preserve">Assumption and to consummate the transactions contemplated hereby and to become a Lender under the Credit Agreement, (ii) it meets all the requirements to be an assignee under </w:t>
      </w:r>
      <w:r>
        <w:rPr>
          <w:rFonts w:ascii="Arial" w:cs="Arial" w:eastAsia="Arial" w:hAnsi="Arial"/>
          <w:sz w:val="18"/>
          <w:szCs w:val="18"/>
          <w:u w:val="single" w:color="auto"/>
          <w:color w:val="auto"/>
        </w:rPr>
        <w:t>Section 11.06(b)(iii)</w:t>
      </w:r>
      <w:r>
        <w:rPr>
          <w:rFonts w:ascii="Arial" w:cs="Arial" w:eastAsia="Arial" w:hAnsi="Arial"/>
          <w:sz w:val="18"/>
          <w:szCs w:val="18"/>
          <w:color w:val="auto"/>
        </w:rPr>
        <w:t xml:space="preserve">, </w:t>
      </w:r>
      <w:r>
        <w:rPr>
          <w:rFonts w:ascii="Arial" w:cs="Arial" w:eastAsia="Arial" w:hAnsi="Arial"/>
          <w:sz w:val="18"/>
          <w:szCs w:val="18"/>
          <w:u w:val="single" w:color="auto"/>
          <w:color w:val="auto"/>
        </w:rPr>
        <w:t>(v)</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(vi)</w:t>
      </w:r>
      <w:r>
        <w:rPr>
          <w:rFonts w:ascii="Arial" w:cs="Arial" w:eastAsia="Arial" w:hAnsi="Arial"/>
          <w:sz w:val="18"/>
          <w:szCs w:val="18"/>
          <w:color w:val="auto"/>
        </w:rPr>
        <w:t xml:space="preserve"> of the Credit Agreement (subject to such consents, if any, as may be required under </w:t>
      </w:r>
      <w:r>
        <w:rPr>
          <w:rFonts w:ascii="Arial" w:cs="Arial" w:eastAsia="Arial" w:hAnsi="Arial"/>
          <w:sz w:val="18"/>
          <w:szCs w:val="18"/>
          <w:u w:val="single" w:color="auto"/>
          <w:color w:val="auto"/>
        </w:rPr>
        <w:t>Section 11.06(b)(iii)</w:t>
      </w:r>
      <w:r>
        <w:rPr>
          <w:rFonts w:ascii="Arial" w:cs="Arial" w:eastAsia="Arial" w:hAnsi="Arial"/>
          <w:sz w:val="18"/>
          <w:szCs w:val="18"/>
          <w:color w:val="auto"/>
        </w:rPr>
        <w:t xml:space="preserve"> of the Credit Agreement), (iii) from and after the Effective Date, it shall be bound by the provisions of the Credit Agreement as a Lender thereunder and, to the extent of [the][the relevant] Assigned Interest, shall have the obligations of a Lender thereunder, (iv) it is sophisticated with respect to decisions to acquire assets of the type represented by [the][such] Assigned Interest and either it, or the Person exercising discretion in making its decision to acquire [the][such] Assigned Interest, is experienced in acquiring assets of such type, (v) it has received a copy of the Credit Agreement, and has received or has been accorded the opportunity to receive copies of the most recent financial statements delivered pursuant to Section 7.01 thereof, as applicable, and such other documents and information as it deems appropriate to make its own credit analysis and decision to enter into this Assignment and Assumption and to purchase [the][such] Assigned Interest, (vi) it has, independently and without reliance upon the Administrative Agent or any other Lender and based on such documents and information as it has deemed appropriate, made its own credit analysis and decision to enter into this Assignment and Assumption and to purchase [the][such] Assigned Interest, and (vii) if it is a Foreign Lender, attached hereto is any documentation required to be delivered by it pursuant to the terms of the Credit Agreement, duly completed and executed by [the][such] Assignee; and (b) agrees that (i) it will, independently and without reliance upon the Administrative Agent, [the][any] Assignor or any other Lender, and based on such documents and information as it shall deem appropriate at the time, continue to make its own credit decisions in taking or not taking action under the Loan Documents, and (ii) it will perform in accordance with their terms all of the obligations which by the terms of the Loan Documents are required to be performed by it as a Lender.</w:t>
      </w:r>
    </w:p>
    <w:p>
      <w:pPr>
        <w:spacing w:after="0" w:line="175" w:lineRule="exact"/>
        <w:rPr>
          <w:sz w:val="20"/>
          <w:szCs w:val="20"/>
          <w:color w:val="auto"/>
        </w:rPr>
      </w:pPr>
    </w:p>
    <w:p>
      <w:pPr>
        <w:ind w:right="280" w:firstLine="1142"/>
        <w:spacing w:after="0" w:line="246" w:lineRule="auto"/>
        <w:tabs>
          <w:tab w:leader="none" w:pos="1463" w:val="left"/>
        </w:tabs>
        <w:numPr>
          <w:ilvl w:val="0"/>
          <w:numId w:val="303"/>
        </w:numPr>
        <w:rPr>
          <w:rFonts w:ascii="Arial" w:cs="Arial" w:eastAsia="Arial" w:hAnsi="Arial"/>
          <w:sz w:val="20"/>
          <w:szCs w:val="20"/>
          <w:color w:val="auto"/>
        </w:rPr>
      </w:pPr>
      <w:r>
        <w:rPr>
          <w:rFonts w:ascii="Arial" w:cs="Arial" w:eastAsia="Arial" w:hAnsi="Arial"/>
          <w:sz w:val="20"/>
          <w:szCs w:val="20"/>
          <w:u w:val="single" w:color="auto"/>
          <w:color w:val="auto"/>
        </w:rPr>
        <w:t>Payments</w:t>
      </w:r>
      <w:r>
        <w:rPr>
          <w:rFonts w:ascii="Arial" w:cs="Arial" w:eastAsia="Arial" w:hAnsi="Arial"/>
          <w:sz w:val="20"/>
          <w:szCs w:val="20"/>
          <w:color w:val="auto"/>
        </w:rPr>
        <w:t>. From and after the Effective Date, the Administrative Agent shall make all payments in respect of [the][each] Assigned Interest (including payments of principal, interest, fees and other amounts) to [the][the relevant] Assignor for amounts which have accrued to but excluding the Effective Date and to [the][the relevant] Assignee for amounts which have accrued from and after the Effective Date.</w:t>
      </w:r>
    </w:p>
    <w:p>
      <w:pPr>
        <w:spacing w:after="0" w:line="191" w:lineRule="exact"/>
        <w:rPr>
          <w:rFonts w:ascii="Arial" w:cs="Arial" w:eastAsia="Arial" w:hAnsi="Arial"/>
          <w:sz w:val="20"/>
          <w:szCs w:val="20"/>
          <w:color w:val="auto"/>
        </w:rPr>
      </w:pPr>
    </w:p>
    <w:p>
      <w:pPr>
        <w:ind w:right="120" w:firstLine="1142"/>
        <w:spacing w:after="0" w:line="278" w:lineRule="auto"/>
        <w:tabs>
          <w:tab w:leader="none" w:pos="1463" w:val="left"/>
        </w:tabs>
        <w:numPr>
          <w:ilvl w:val="0"/>
          <w:numId w:val="303"/>
        </w:numPr>
        <w:rPr>
          <w:rFonts w:ascii="Arial" w:cs="Arial" w:eastAsia="Arial" w:hAnsi="Arial"/>
          <w:sz w:val="18"/>
          <w:szCs w:val="18"/>
          <w:color w:val="auto"/>
        </w:rPr>
      </w:pPr>
      <w:r>
        <w:rPr>
          <w:rFonts w:ascii="Arial" w:cs="Arial" w:eastAsia="Arial" w:hAnsi="Arial"/>
          <w:sz w:val="18"/>
          <w:szCs w:val="18"/>
          <w:u w:val="single" w:color="auto"/>
          <w:color w:val="auto"/>
        </w:rPr>
        <w:t>General Provisions</w:t>
      </w:r>
      <w:r>
        <w:rPr>
          <w:rFonts w:ascii="Arial" w:cs="Arial" w:eastAsia="Arial" w:hAnsi="Arial"/>
          <w:sz w:val="18"/>
          <w:szCs w:val="18"/>
          <w:color w:val="auto"/>
        </w:rPr>
        <w:t>. This Assignment and Assumption shall be binding upon, and inure to the benefit of, the parties hereto and their respective successors and assigns. This Assignment and Assumption may be executed in any number of counterparts, which together shall constitute one instrument. Delivery of an executed counterpart of a signature page of this Assignment and Assumption by telecopy shall be effective as delivery of a manually executed counterpart of this Assignment and Assumption. This Assignment and Assumption shall be governed by, and construed in accordance with, the law of the State of New York.</w:t>
      </w:r>
    </w:p>
    <w:p>
      <w:pPr>
        <w:sectPr>
          <w:pgSz w:w="11900" w:h="16838" w:orient="portrait"/>
          <w:cols w:equalWidth="0" w:num="1">
            <w:col w:w="11400"/>
          </w:cols>
          <w:pgMar w:left="240" w:top="366" w:right="259" w:bottom="1440" w:gutter="0" w:footer="0" w:header="0"/>
        </w:sectPr>
      </w:pPr>
    </w:p>
    <w:bookmarkStart w:id="327" w:name="page328"/>
    <w:bookmarkEnd w:id="327"/>
    <w:p>
      <w:pPr>
        <w:jc w:val="right"/>
        <w:spacing w:after="0"/>
        <w:rPr>
          <w:sz w:val="20"/>
          <w:szCs w:val="20"/>
          <w:color w:val="auto"/>
        </w:rPr>
      </w:pPr>
      <w:r>
        <w:rPr>
          <w:rFonts w:ascii="Arial" w:cs="Arial" w:eastAsia="Arial" w:hAnsi="Arial"/>
          <w:sz w:val="18"/>
          <w:szCs w:val="18"/>
          <w:b w:val="1"/>
          <w:bCs w:val="1"/>
          <w:color w:val="auto"/>
        </w:rPr>
        <w:t>EXHIBIT 12.1</w:t>
      </w:r>
    </w:p>
    <w:p>
      <w:pPr>
        <w:spacing w:after="0" w:line="27"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EURONET WORLDWIDE, INC.</w:t>
      </w:r>
    </w:p>
    <w:p>
      <w:pPr>
        <w:spacing w:after="0" w:line="9"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COMPUTATION OF RATIO OF EARNINGS TO FIXED CHARGES</w:t>
      </w:r>
    </w:p>
    <w:p>
      <w:pPr>
        <w:spacing w:after="0" w:line="9"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381" w:lineRule="exact"/>
        <w:rPr>
          <w:sz w:val="20"/>
          <w:szCs w:val="20"/>
          <w:color w:val="auto"/>
        </w:rPr>
      </w:pPr>
    </w:p>
    <w:p>
      <w:pPr>
        <w:ind w:left="6680"/>
        <w:spacing w:after="0"/>
        <w:rPr>
          <w:sz w:val="20"/>
          <w:szCs w:val="20"/>
          <w:color w:val="auto"/>
        </w:rPr>
      </w:pPr>
      <w:r>
        <w:rPr>
          <w:rFonts w:ascii="Arial" w:cs="Arial" w:eastAsia="Arial" w:hAnsi="Arial"/>
          <w:sz w:val="14"/>
          <w:szCs w:val="14"/>
          <w:b w:val="1"/>
          <w:bCs w:val="1"/>
          <w:color w:val="auto"/>
        </w:rPr>
        <w:t>Three Months Ended</w:t>
      </w:r>
    </w:p>
    <w:p>
      <w:pPr>
        <w:spacing w:after="0" w:line="4" w:lineRule="exact"/>
        <w:rPr>
          <w:sz w:val="20"/>
          <w:szCs w:val="20"/>
          <w:color w:val="auto"/>
        </w:rPr>
      </w:pPr>
    </w:p>
    <w:tbl>
      <w:tblPr>
        <w:tblLayout w:type="fixed"/>
        <w:tblInd w:w="840" w:type="dxa"/>
        <w:tblCellMar>
          <w:top w:w="0" w:type="dxa"/>
          <w:left w:w="0" w:type="dxa"/>
          <w:bottom w:w="0" w:type="dxa"/>
          <w:right w:w="0" w:type="dxa"/>
        </w:tblCellMar>
      </w:tblPr>
      <w:tr>
        <w:trPr>
          <w:trHeight w:val="182"/>
        </w:trPr>
        <w:tc>
          <w:tcPr>
            <w:tcW w:w="55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540" w:type="dxa"/>
            <w:vAlign w:val="bottom"/>
            <w:tcBorders>
              <w:bottom w:val="single" w:sz="8" w:color="auto"/>
            </w:tcBorders>
            <w:gridSpan w:val="4"/>
          </w:tcPr>
          <w:p>
            <w:pPr>
              <w:jc w:val="right"/>
              <w:ind w:right="452"/>
              <w:spacing w:after="0"/>
              <w:rPr>
                <w:sz w:val="20"/>
                <w:szCs w:val="20"/>
                <w:color w:val="auto"/>
              </w:rPr>
            </w:pPr>
            <w:r>
              <w:rPr>
                <w:rFonts w:ascii="Arial" w:cs="Arial" w:eastAsia="Arial" w:hAnsi="Arial"/>
                <w:sz w:val="14"/>
                <w:szCs w:val="14"/>
                <w:b w:val="1"/>
                <w:bCs w:val="1"/>
                <w:color w:val="auto"/>
              </w:rPr>
              <w:t>March 31,</w:t>
            </w:r>
          </w:p>
        </w:tc>
      </w:tr>
      <w:tr>
        <w:trPr>
          <w:trHeight w:val="244"/>
        </w:trPr>
        <w:tc>
          <w:tcPr>
            <w:tcW w:w="554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(dollar amounts in thousands)</w:t>
            </w:r>
          </w:p>
        </w:tc>
        <w:tc>
          <w:tcPr>
            <w:tcW w:w="12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620" w:type="dxa"/>
            <w:vAlign w:val="bottom"/>
            <w:tcBorders>
              <w:bottom w:val="single" w:sz="8" w:color="auto"/>
            </w:tcBorders>
          </w:tcPr>
          <w:p>
            <w:pPr>
              <w:jc w:val="right"/>
              <w:ind w:right="174"/>
              <w:spacing w:after="0"/>
              <w:rPr>
                <w:sz w:val="20"/>
                <w:szCs w:val="20"/>
                <w:color w:val="auto"/>
              </w:rPr>
            </w:pPr>
            <w:r>
              <w:rPr>
                <w:rFonts w:ascii="Arial" w:cs="Arial" w:eastAsia="Arial" w:hAnsi="Arial"/>
                <w:sz w:val="14"/>
                <w:szCs w:val="14"/>
                <w:b w:val="1"/>
                <w:bCs w:val="1"/>
                <w:color w:val="auto"/>
              </w:rPr>
              <w:t>2014</w:t>
            </w:r>
          </w:p>
        </w:tc>
        <w:tc>
          <w:tcPr>
            <w:tcW w:w="12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620" w:type="dxa"/>
            <w:vAlign w:val="bottom"/>
            <w:tcBorders>
              <w:bottom w:val="single" w:sz="8" w:color="auto"/>
            </w:tcBorders>
          </w:tcPr>
          <w:p>
            <w:pPr>
              <w:jc w:val="right"/>
              <w:ind w:right="172"/>
              <w:spacing w:after="0"/>
              <w:rPr>
                <w:sz w:val="20"/>
                <w:szCs w:val="20"/>
                <w:color w:val="auto"/>
              </w:rPr>
            </w:pPr>
            <w:r>
              <w:rPr>
                <w:rFonts w:ascii="Arial" w:cs="Arial" w:eastAsia="Arial" w:hAnsi="Arial"/>
                <w:sz w:val="14"/>
                <w:szCs w:val="14"/>
                <w:b w:val="1"/>
                <w:bCs w:val="1"/>
                <w:color w:val="auto"/>
              </w:rPr>
              <w:t>2013</w:t>
            </w:r>
          </w:p>
        </w:tc>
      </w:tr>
      <w:tr>
        <w:trPr>
          <w:trHeight w:val="228"/>
        </w:trPr>
        <w:tc>
          <w:tcPr>
            <w:tcW w:w="56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Pretax income before adjustment for income from unconsolidated</w:t>
            </w:r>
          </w:p>
        </w:tc>
        <w:tc>
          <w:tcPr>
            <w:tcW w:w="16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r>
      <w:tr>
        <w:trPr>
          <w:trHeight w:val="237"/>
        </w:trPr>
        <w:tc>
          <w:tcPr>
            <w:tcW w:w="566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subsidiaries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8"/>
              </w:rPr>
              <w:t>21,657</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8"/>
              </w:rPr>
              <w:t>15,092</w:t>
            </w:r>
          </w:p>
        </w:tc>
      </w:tr>
      <w:tr>
        <w:trPr>
          <w:trHeight w:val="243"/>
        </w:trPr>
        <w:tc>
          <w:tcPr>
            <w:tcW w:w="5660" w:type="dxa"/>
            <w:vAlign w:val="bottom"/>
            <w:gridSpan w:val="2"/>
          </w:tcPr>
          <w:p>
            <w:pPr>
              <w:ind w:left="20"/>
              <w:spacing w:after="0"/>
              <w:rPr>
                <w:sz w:val="20"/>
                <w:szCs w:val="20"/>
                <w:color w:val="auto"/>
              </w:rPr>
            </w:pPr>
            <w:r>
              <w:rPr>
                <w:rFonts w:ascii="Arial" w:cs="Arial" w:eastAsia="Arial" w:hAnsi="Arial"/>
                <w:sz w:val="18"/>
                <w:szCs w:val="18"/>
                <w:color w:val="auto"/>
              </w:rPr>
              <w:t>Add:</w:t>
            </w:r>
          </w:p>
        </w:tc>
        <w:tc>
          <w:tcPr>
            <w:tcW w:w="16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20" w:type="dxa"/>
            <w:vAlign w:val="bottom"/>
          </w:tcPr>
          <w:p>
            <w:pPr>
              <w:spacing w:after="0"/>
              <w:rPr>
                <w:sz w:val="21"/>
                <w:szCs w:val="21"/>
                <w:color w:val="auto"/>
              </w:rPr>
            </w:pPr>
          </w:p>
        </w:tc>
      </w:tr>
      <w:tr>
        <w:trPr>
          <w:trHeight w:val="27"/>
        </w:trPr>
        <w:tc>
          <w:tcPr>
            <w:tcW w:w="5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20" w:type="dxa"/>
            <w:vAlign w:val="bottom"/>
          </w:tcPr>
          <w:p>
            <w:pPr>
              <w:spacing w:after="0"/>
              <w:rPr>
                <w:sz w:val="2"/>
                <w:szCs w:val="2"/>
                <w:color w:val="auto"/>
              </w:rPr>
            </w:pPr>
          </w:p>
        </w:tc>
      </w:tr>
      <w:tr>
        <w:trPr>
          <w:trHeight w:val="270"/>
        </w:trPr>
        <w:tc>
          <w:tcPr>
            <w:tcW w:w="566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rPr>
              <w:t>Fixed charges</w:t>
            </w:r>
          </w:p>
        </w:tc>
        <w:tc>
          <w:tcPr>
            <w:tcW w:w="160" w:type="dxa"/>
            <w:vAlign w:val="bottom"/>
            <w:tcBorders>
              <w:bottom w:val="single" w:sz="8" w:color="CCEEFF"/>
            </w:tcBorders>
            <w:shd w:val="clear" w:color="auto" w:fill="CCEEFF"/>
          </w:tcPr>
          <w:p>
            <w:pPr>
              <w:spacing w:after="0"/>
              <w:rPr>
                <w:sz w:val="23"/>
                <w:szCs w:val="23"/>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3,723</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5,313</w:t>
            </w:r>
          </w:p>
        </w:tc>
      </w:tr>
      <w:tr>
        <w:trPr>
          <w:trHeight w:val="297"/>
        </w:trPr>
        <w:tc>
          <w:tcPr>
            <w:tcW w:w="566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Adjusted pretax income</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25,380</w:t>
            </w:r>
          </w:p>
        </w:tc>
        <w:tc>
          <w:tcPr>
            <w:tcW w:w="120" w:type="dxa"/>
            <w:vAlign w:val="bottom"/>
            <w:tcBorders>
              <w:bottom w:val="single" w:sz="8" w:color="auto"/>
            </w:tcBorders>
          </w:tcPr>
          <w:p>
            <w:pPr>
              <w:spacing w:after="0"/>
              <w:rPr>
                <w:sz w:val="24"/>
                <w:szCs w:val="24"/>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20,405</w:t>
            </w:r>
          </w:p>
        </w:tc>
      </w:tr>
      <w:tr>
        <w:trPr>
          <w:trHeight w:val="237"/>
        </w:trPr>
        <w:tc>
          <w:tcPr>
            <w:tcW w:w="56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Fixed charges:</w:t>
            </w:r>
          </w:p>
        </w:tc>
        <w:tc>
          <w:tcPr>
            <w:tcW w:w="16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CCEEFF"/>
            </w:tcBorders>
            <w:shd w:val="clear" w:color="auto" w:fill="CCEEFF"/>
          </w:tcPr>
          <w:p>
            <w:pPr>
              <w:spacing w:after="0"/>
              <w:rPr>
                <w:sz w:val="20"/>
                <w:szCs w:val="20"/>
                <w:color w:val="auto"/>
              </w:rPr>
            </w:pPr>
          </w:p>
        </w:tc>
      </w:tr>
      <w:tr>
        <w:trPr>
          <w:trHeight w:val="243"/>
        </w:trPr>
        <w:tc>
          <w:tcPr>
            <w:tcW w:w="5660" w:type="dxa"/>
            <w:vAlign w:val="bottom"/>
            <w:gridSpan w:val="2"/>
          </w:tcPr>
          <w:p>
            <w:pPr>
              <w:ind w:left="160"/>
              <w:spacing w:after="0"/>
              <w:rPr>
                <w:sz w:val="20"/>
                <w:szCs w:val="20"/>
                <w:color w:val="auto"/>
              </w:rPr>
            </w:pPr>
            <w:r>
              <w:rPr>
                <w:rFonts w:ascii="Arial" w:cs="Arial" w:eastAsia="Arial" w:hAnsi="Arial"/>
                <w:sz w:val="18"/>
                <w:szCs w:val="18"/>
                <w:color w:val="auto"/>
              </w:rPr>
              <w:t>Interest expense</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1,988</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2,859</w:t>
            </w:r>
          </w:p>
        </w:tc>
      </w:tr>
      <w:tr>
        <w:trPr>
          <w:trHeight w:val="27"/>
        </w:trPr>
        <w:tc>
          <w:tcPr>
            <w:tcW w:w="5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20" w:type="dxa"/>
            <w:vAlign w:val="bottom"/>
          </w:tcPr>
          <w:p>
            <w:pPr>
              <w:spacing w:after="0"/>
              <w:rPr>
                <w:sz w:val="2"/>
                <w:szCs w:val="2"/>
                <w:color w:val="auto"/>
              </w:rPr>
            </w:pPr>
          </w:p>
        </w:tc>
      </w:tr>
      <w:tr>
        <w:trPr>
          <w:trHeight w:val="270"/>
        </w:trPr>
        <w:tc>
          <w:tcPr>
            <w:tcW w:w="566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rPr>
              <w:t>Estimate of interest within rental expense</w:t>
            </w:r>
          </w:p>
        </w:tc>
        <w:tc>
          <w:tcPr>
            <w:tcW w:w="160" w:type="dxa"/>
            <w:vAlign w:val="bottom"/>
            <w:tcBorders>
              <w:bottom w:val="single" w:sz="8" w:color="CCEEFF"/>
            </w:tcBorders>
            <w:shd w:val="clear" w:color="auto" w:fill="CCEEFF"/>
          </w:tcPr>
          <w:p>
            <w:pPr>
              <w:spacing w:after="0"/>
              <w:rPr>
                <w:sz w:val="23"/>
                <w:szCs w:val="23"/>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1,735</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2,454</w:t>
            </w:r>
          </w:p>
        </w:tc>
      </w:tr>
      <w:tr>
        <w:trPr>
          <w:trHeight w:val="297"/>
        </w:trPr>
        <w:tc>
          <w:tcPr>
            <w:tcW w:w="566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Total fixed charges</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3,723</w:t>
            </w:r>
          </w:p>
        </w:tc>
        <w:tc>
          <w:tcPr>
            <w:tcW w:w="120" w:type="dxa"/>
            <w:vAlign w:val="bottom"/>
            <w:tcBorders>
              <w:top w:val="single" w:sz="8" w:color="auto"/>
              <w:bottom w:val="single" w:sz="8" w:color="auto"/>
            </w:tcBorders>
          </w:tcPr>
          <w:p>
            <w:pPr>
              <w:spacing w:after="0"/>
              <w:rPr>
                <w:sz w:val="24"/>
                <w:szCs w:val="24"/>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5,313</w:t>
            </w:r>
          </w:p>
        </w:tc>
      </w:tr>
      <w:tr>
        <w:trPr>
          <w:trHeight w:val="230"/>
        </w:trPr>
        <w:tc>
          <w:tcPr>
            <w:tcW w:w="56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Ratio of earnings to fixed charges</w:t>
            </w:r>
          </w:p>
        </w:tc>
        <w:tc>
          <w:tcPr>
            <w:tcW w:w="160" w:type="dxa"/>
            <w:vAlign w:val="bottom"/>
            <w:shd w:val="clear" w:color="auto" w:fill="CCEEFF"/>
          </w:tcPr>
          <w:p>
            <w:pPr>
              <w:spacing w:after="0"/>
              <w:rPr>
                <w:sz w:val="20"/>
                <w:szCs w:val="20"/>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w:t>
            </w: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w:t>
            </w:r>
          </w:p>
        </w:tc>
      </w:tr>
      <w:tr>
        <w:trPr>
          <w:trHeight w:val="27"/>
        </w:trPr>
        <w:tc>
          <w:tcPr>
            <w:tcW w:w="55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6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620" w:type="dxa"/>
            <w:vAlign w:val="bottom"/>
            <w:shd w:val="clear" w:color="auto" w:fill="CCEEFF"/>
          </w:tcPr>
          <w:p>
            <w:pPr>
              <w:spacing w:after="0"/>
              <w:rPr>
                <w:sz w:val="2"/>
                <w:szCs w:val="2"/>
                <w:color w:val="auto"/>
              </w:rPr>
            </w:pPr>
          </w:p>
        </w:tc>
      </w:tr>
    </w:tbl>
    <w:p>
      <w:pPr>
        <w:sectPr>
          <w:pgSz w:w="11900" w:h="16838" w:orient="portrait"/>
          <w:cols w:equalWidth="0" w:num="1">
            <w:col w:w="10220"/>
          </w:cols>
          <w:pgMar w:left="1440" w:top="364" w:right="239" w:bottom="1440" w:gutter="0" w:footer="0" w:header="0"/>
        </w:sectPr>
      </w:pPr>
    </w:p>
    <w:bookmarkStart w:id="328" w:name="page329"/>
    <w:bookmarkEnd w:id="328"/>
    <w:p>
      <w:pPr>
        <w:jc w:val="right"/>
        <w:spacing w:after="0"/>
        <w:rPr>
          <w:sz w:val="20"/>
          <w:szCs w:val="20"/>
          <w:color w:val="auto"/>
        </w:rPr>
      </w:pPr>
      <w:r>
        <w:rPr>
          <w:rFonts w:ascii="Arial" w:cs="Arial" w:eastAsia="Arial" w:hAnsi="Arial"/>
          <w:sz w:val="18"/>
          <w:szCs w:val="18"/>
          <w:b w:val="1"/>
          <w:bCs w:val="1"/>
          <w:color w:val="auto"/>
        </w:rPr>
        <w:t>EXHIBIT 31.1</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 OF CHIEF EXECUTIVE OFFICER</w:t>
      </w:r>
    </w:p>
    <w:p>
      <w:pPr>
        <w:spacing w:after="0" w:line="49" w:lineRule="exact"/>
        <w:rPr>
          <w:sz w:val="20"/>
          <w:szCs w:val="20"/>
          <w:color w:val="auto"/>
        </w:rPr>
      </w:pPr>
    </w:p>
    <w:p>
      <w:pPr>
        <w:spacing w:after="0"/>
        <w:rPr>
          <w:sz w:val="20"/>
          <w:szCs w:val="20"/>
          <w:color w:val="auto"/>
        </w:rPr>
      </w:pPr>
      <w:r>
        <w:rPr>
          <w:rFonts w:ascii="Arial" w:cs="Arial" w:eastAsia="Arial" w:hAnsi="Arial"/>
          <w:sz w:val="18"/>
          <w:szCs w:val="18"/>
          <w:color w:val="auto"/>
        </w:rPr>
        <w:t>I, Michael J. Brown, certify that:</w:t>
      </w:r>
    </w:p>
    <w:p>
      <w:pPr>
        <w:spacing w:after="0" w:line="171" w:lineRule="exact"/>
        <w:rPr>
          <w:sz w:val="20"/>
          <w:szCs w:val="20"/>
          <w:color w:val="auto"/>
        </w:rPr>
      </w:pPr>
    </w:p>
    <w:p>
      <w:pPr>
        <w:ind w:left="340" w:hanging="332"/>
        <w:spacing w:after="0"/>
        <w:tabs>
          <w:tab w:leader="none" w:pos="340" w:val="left"/>
        </w:tabs>
        <w:numPr>
          <w:ilvl w:val="0"/>
          <w:numId w:val="304"/>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Euronet Worldwide, Inc.;</w:t>
      </w:r>
    </w:p>
    <w:p>
      <w:pPr>
        <w:spacing w:after="0" w:line="171" w:lineRule="exact"/>
        <w:rPr>
          <w:rFonts w:ascii="Arial" w:cs="Arial" w:eastAsia="Arial" w:hAnsi="Arial"/>
          <w:sz w:val="18"/>
          <w:szCs w:val="18"/>
          <w:color w:val="auto"/>
        </w:rPr>
      </w:pPr>
    </w:p>
    <w:p>
      <w:pPr>
        <w:ind w:left="340" w:right="120" w:hanging="332"/>
        <w:spacing w:after="0" w:line="342" w:lineRule="auto"/>
        <w:tabs>
          <w:tab w:leader="none" w:pos="340" w:val="left"/>
        </w:tabs>
        <w:numPr>
          <w:ilvl w:val="0"/>
          <w:numId w:val="304"/>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9" w:lineRule="exact"/>
        <w:rPr>
          <w:rFonts w:ascii="Arial" w:cs="Arial" w:eastAsia="Arial" w:hAnsi="Arial"/>
          <w:sz w:val="16"/>
          <w:szCs w:val="16"/>
          <w:color w:val="auto"/>
        </w:rPr>
      </w:pPr>
    </w:p>
    <w:p>
      <w:pPr>
        <w:ind w:left="340" w:right="580" w:hanging="332"/>
        <w:spacing w:after="0" w:line="308" w:lineRule="auto"/>
        <w:tabs>
          <w:tab w:leader="none" w:pos="340" w:val="left"/>
        </w:tabs>
        <w:numPr>
          <w:ilvl w:val="0"/>
          <w:numId w:val="304"/>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92" w:lineRule="exact"/>
        <w:rPr>
          <w:rFonts w:ascii="Arial" w:cs="Arial" w:eastAsia="Arial" w:hAnsi="Arial"/>
          <w:sz w:val="17"/>
          <w:szCs w:val="17"/>
          <w:color w:val="auto"/>
        </w:rPr>
      </w:pPr>
    </w:p>
    <w:p>
      <w:pPr>
        <w:ind w:left="340" w:right="80" w:hanging="332"/>
        <w:spacing w:after="0" w:line="264" w:lineRule="auto"/>
        <w:tabs>
          <w:tab w:leader="none" w:pos="340" w:val="left"/>
        </w:tabs>
        <w:numPr>
          <w:ilvl w:val="0"/>
          <w:numId w:val="304"/>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7" w:lineRule="exact"/>
        <w:rPr>
          <w:rFonts w:ascii="Arial" w:cs="Arial" w:eastAsia="Arial" w:hAnsi="Arial"/>
          <w:sz w:val="18"/>
          <w:szCs w:val="18"/>
          <w:color w:val="auto"/>
        </w:rPr>
      </w:pPr>
    </w:p>
    <w:p>
      <w:pPr>
        <w:jc w:val="both"/>
        <w:ind w:left="980" w:right="260" w:hanging="324"/>
        <w:spacing w:after="0" w:line="264" w:lineRule="auto"/>
        <w:tabs>
          <w:tab w:leader="none" w:pos="980" w:val="left"/>
        </w:tabs>
        <w:numPr>
          <w:ilvl w:val="1"/>
          <w:numId w:val="30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7" w:lineRule="exact"/>
        <w:rPr>
          <w:rFonts w:ascii="Arial" w:cs="Arial" w:eastAsia="Arial" w:hAnsi="Arial"/>
          <w:sz w:val="18"/>
          <w:szCs w:val="18"/>
          <w:color w:val="auto"/>
        </w:rPr>
      </w:pPr>
    </w:p>
    <w:p>
      <w:pPr>
        <w:ind w:left="980" w:right="540" w:hanging="324"/>
        <w:spacing w:after="0" w:line="264" w:lineRule="auto"/>
        <w:tabs>
          <w:tab w:leader="none" w:pos="980" w:val="left"/>
        </w:tabs>
        <w:numPr>
          <w:ilvl w:val="1"/>
          <w:numId w:val="304"/>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7" w:lineRule="exact"/>
        <w:rPr>
          <w:rFonts w:ascii="Arial" w:cs="Arial" w:eastAsia="Arial" w:hAnsi="Arial"/>
          <w:sz w:val="18"/>
          <w:szCs w:val="18"/>
          <w:color w:val="auto"/>
        </w:rPr>
      </w:pPr>
    </w:p>
    <w:p>
      <w:pPr>
        <w:ind w:left="980" w:right="720" w:hanging="324"/>
        <w:spacing w:after="0" w:line="342" w:lineRule="auto"/>
        <w:tabs>
          <w:tab w:leader="none" w:pos="980" w:val="left"/>
        </w:tabs>
        <w:numPr>
          <w:ilvl w:val="1"/>
          <w:numId w:val="304"/>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9" w:lineRule="exact"/>
        <w:rPr>
          <w:rFonts w:ascii="Arial" w:cs="Arial" w:eastAsia="Arial" w:hAnsi="Arial"/>
          <w:sz w:val="16"/>
          <w:szCs w:val="16"/>
          <w:color w:val="auto"/>
        </w:rPr>
      </w:pPr>
    </w:p>
    <w:p>
      <w:pPr>
        <w:ind w:left="980" w:right="300" w:hanging="324"/>
        <w:spacing w:after="0" w:line="264" w:lineRule="auto"/>
        <w:tabs>
          <w:tab w:leader="none" w:pos="980" w:val="left"/>
        </w:tabs>
        <w:numPr>
          <w:ilvl w:val="1"/>
          <w:numId w:val="304"/>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7" w:lineRule="exact"/>
        <w:rPr>
          <w:rFonts w:ascii="Arial" w:cs="Arial" w:eastAsia="Arial" w:hAnsi="Arial"/>
          <w:sz w:val="18"/>
          <w:szCs w:val="18"/>
          <w:color w:val="auto"/>
        </w:rPr>
      </w:pPr>
    </w:p>
    <w:p>
      <w:pPr>
        <w:ind w:left="340" w:right="520" w:hanging="332"/>
        <w:spacing w:after="0" w:line="308" w:lineRule="auto"/>
        <w:tabs>
          <w:tab w:leader="none" w:pos="340" w:val="left"/>
        </w:tabs>
        <w:numPr>
          <w:ilvl w:val="0"/>
          <w:numId w:val="304"/>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92" w:lineRule="exact"/>
        <w:rPr>
          <w:rFonts w:ascii="Arial" w:cs="Arial" w:eastAsia="Arial" w:hAnsi="Arial"/>
          <w:sz w:val="17"/>
          <w:szCs w:val="17"/>
          <w:color w:val="auto"/>
        </w:rPr>
      </w:pPr>
    </w:p>
    <w:p>
      <w:pPr>
        <w:ind w:left="980" w:right="180" w:hanging="324"/>
        <w:spacing w:after="0" w:line="308" w:lineRule="auto"/>
        <w:tabs>
          <w:tab w:leader="none" w:pos="980" w:val="left"/>
        </w:tabs>
        <w:numPr>
          <w:ilvl w:val="1"/>
          <w:numId w:val="304"/>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92" w:lineRule="exact"/>
        <w:rPr>
          <w:rFonts w:ascii="Arial" w:cs="Arial" w:eastAsia="Arial" w:hAnsi="Arial"/>
          <w:sz w:val="17"/>
          <w:szCs w:val="17"/>
          <w:color w:val="auto"/>
        </w:rPr>
      </w:pPr>
    </w:p>
    <w:p>
      <w:pPr>
        <w:ind w:left="980" w:right="160" w:hanging="324"/>
        <w:spacing w:after="0" w:line="277" w:lineRule="auto"/>
        <w:tabs>
          <w:tab w:leader="none" w:pos="980" w:val="left"/>
        </w:tabs>
        <w:numPr>
          <w:ilvl w:val="1"/>
          <w:numId w:val="30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color w:val="auto"/>
        </w:rPr>
        <w:t>Date: May 1, 2014</w:t>
      </w:r>
    </w:p>
    <w:p>
      <w:pPr>
        <w:spacing w:after="0" w:line="387" w:lineRule="exact"/>
        <w:rPr>
          <w:sz w:val="20"/>
          <w:szCs w:val="20"/>
          <w:color w:val="auto"/>
        </w:rPr>
      </w:pPr>
    </w:p>
    <w:p>
      <w:pPr>
        <w:jc w:val="center"/>
        <w:ind w:right="5700"/>
        <w:spacing w:after="0"/>
        <w:rPr>
          <w:sz w:val="20"/>
          <w:szCs w:val="20"/>
          <w:color w:val="auto"/>
        </w:rPr>
      </w:pPr>
      <w:r>
        <w:rPr>
          <w:rFonts w:ascii="Arial" w:cs="Arial" w:eastAsia="Arial" w:hAnsi="Arial"/>
          <w:sz w:val="18"/>
          <w:szCs w:val="18"/>
          <w:color w:val="auto"/>
        </w:rPr>
        <w:t>/s/ Michael J. Brown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3627755" cy="889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3627755" cy="8890"/>
                    </a:xfrm>
                    <a:prstGeom prst="rect">
                      <a:avLst/>
                    </a:prstGeom>
                    <a:noFill/>
                  </pic:spPr>
                </pic:pic>
              </a:graphicData>
            </a:graphic>
          </wp:anchor>
        </w:drawing>
      </w:r>
    </w:p>
    <w:p>
      <w:pPr>
        <w:spacing w:after="0" w:line="53" w:lineRule="exact"/>
        <w:rPr>
          <w:sz w:val="20"/>
          <w:szCs w:val="20"/>
          <w:color w:val="auto"/>
        </w:rPr>
      </w:pPr>
    </w:p>
    <w:p>
      <w:pPr>
        <w:jc w:val="center"/>
        <w:ind w:right="5700"/>
        <w:spacing w:after="0"/>
        <w:rPr>
          <w:sz w:val="20"/>
          <w:szCs w:val="20"/>
          <w:color w:val="auto"/>
        </w:rPr>
      </w:pPr>
      <w:r>
        <w:rPr>
          <w:rFonts w:ascii="Arial" w:cs="Arial" w:eastAsia="Arial" w:hAnsi="Arial"/>
          <w:sz w:val="18"/>
          <w:szCs w:val="18"/>
          <w:b w:val="1"/>
          <w:bCs w:val="1"/>
          <w:color w:val="auto"/>
        </w:rPr>
        <w:t>Michael J. Brown</w:t>
      </w:r>
    </w:p>
    <w:p>
      <w:pPr>
        <w:spacing w:after="0" w:line="63" w:lineRule="exact"/>
        <w:rPr>
          <w:sz w:val="20"/>
          <w:szCs w:val="20"/>
          <w:color w:val="auto"/>
        </w:rPr>
      </w:pPr>
    </w:p>
    <w:p>
      <w:pPr>
        <w:jc w:val="center"/>
        <w:ind w:right="5700"/>
        <w:spacing w:after="0"/>
        <w:rPr>
          <w:sz w:val="20"/>
          <w:szCs w:val="20"/>
          <w:color w:val="auto"/>
        </w:rPr>
      </w:pPr>
      <w:r>
        <w:rPr>
          <w:rFonts w:ascii="Arial" w:cs="Arial" w:eastAsia="Arial" w:hAnsi="Arial"/>
          <w:sz w:val="18"/>
          <w:szCs w:val="18"/>
          <w:b w:val="1"/>
          <w:bCs w:val="1"/>
          <w:color w:val="auto"/>
        </w:rPr>
        <w:t>Chief Executive Officer</w:t>
      </w:r>
    </w:p>
    <w:p>
      <w:pPr>
        <w:sectPr>
          <w:pgSz w:w="11900" w:h="16838" w:orient="portrait"/>
          <w:cols w:equalWidth="0" w:num="1">
            <w:col w:w="11420"/>
          </w:cols>
          <w:pgMar w:left="240" w:top="580" w:right="239" w:bottom="1440" w:gutter="0" w:footer="0" w:header="0"/>
        </w:sectPr>
      </w:pPr>
    </w:p>
    <w:bookmarkStart w:id="329" w:name="page330"/>
    <w:bookmarkEnd w:id="329"/>
    <w:p>
      <w:pPr>
        <w:jc w:val="right"/>
        <w:spacing w:after="0"/>
        <w:rPr>
          <w:sz w:val="20"/>
          <w:szCs w:val="20"/>
          <w:color w:val="auto"/>
        </w:rPr>
      </w:pPr>
      <w:r>
        <w:rPr>
          <w:rFonts w:ascii="Arial" w:cs="Arial" w:eastAsia="Arial" w:hAnsi="Arial"/>
          <w:sz w:val="18"/>
          <w:szCs w:val="18"/>
          <w:b w:val="1"/>
          <w:bCs w:val="1"/>
          <w:color w:val="auto"/>
        </w:rPr>
        <w:t>EXHIBIT 31.2</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 OF CHIEF FINANCIAL OFFICER</w:t>
      </w:r>
    </w:p>
    <w:p>
      <w:pPr>
        <w:spacing w:after="0" w:line="49" w:lineRule="exact"/>
        <w:rPr>
          <w:sz w:val="20"/>
          <w:szCs w:val="20"/>
          <w:color w:val="auto"/>
        </w:rPr>
      </w:pPr>
    </w:p>
    <w:p>
      <w:pPr>
        <w:spacing w:after="0"/>
        <w:rPr>
          <w:sz w:val="20"/>
          <w:szCs w:val="20"/>
          <w:color w:val="auto"/>
        </w:rPr>
      </w:pPr>
      <w:r>
        <w:rPr>
          <w:rFonts w:ascii="Arial" w:cs="Arial" w:eastAsia="Arial" w:hAnsi="Arial"/>
          <w:sz w:val="18"/>
          <w:szCs w:val="18"/>
          <w:color w:val="auto"/>
        </w:rPr>
        <w:t>I, Rick L. Weller, certify that:</w:t>
      </w:r>
    </w:p>
    <w:p>
      <w:pPr>
        <w:spacing w:after="0" w:line="171" w:lineRule="exact"/>
        <w:rPr>
          <w:sz w:val="20"/>
          <w:szCs w:val="20"/>
          <w:color w:val="auto"/>
        </w:rPr>
      </w:pPr>
    </w:p>
    <w:p>
      <w:pPr>
        <w:ind w:left="340" w:hanging="332"/>
        <w:spacing w:after="0"/>
        <w:tabs>
          <w:tab w:leader="none" w:pos="340" w:val="left"/>
        </w:tabs>
        <w:numPr>
          <w:ilvl w:val="0"/>
          <w:numId w:val="305"/>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Euronet Worldwide, Inc.;</w:t>
      </w:r>
    </w:p>
    <w:p>
      <w:pPr>
        <w:spacing w:after="0" w:line="171" w:lineRule="exact"/>
        <w:rPr>
          <w:rFonts w:ascii="Arial" w:cs="Arial" w:eastAsia="Arial" w:hAnsi="Arial"/>
          <w:sz w:val="18"/>
          <w:szCs w:val="18"/>
          <w:color w:val="auto"/>
        </w:rPr>
      </w:pPr>
    </w:p>
    <w:p>
      <w:pPr>
        <w:ind w:left="340" w:right="120" w:hanging="332"/>
        <w:spacing w:after="0" w:line="342" w:lineRule="auto"/>
        <w:tabs>
          <w:tab w:leader="none" w:pos="340" w:val="left"/>
        </w:tabs>
        <w:numPr>
          <w:ilvl w:val="0"/>
          <w:numId w:val="305"/>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9" w:lineRule="exact"/>
        <w:rPr>
          <w:rFonts w:ascii="Arial" w:cs="Arial" w:eastAsia="Arial" w:hAnsi="Arial"/>
          <w:sz w:val="16"/>
          <w:szCs w:val="16"/>
          <w:color w:val="auto"/>
        </w:rPr>
      </w:pPr>
    </w:p>
    <w:p>
      <w:pPr>
        <w:ind w:left="340" w:right="580" w:hanging="332"/>
        <w:spacing w:after="0" w:line="308" w:lineRule="auto"/>
        <w:tabs>
          <w:tab w:leader="none" w:pos="340" w:val="left"/>
        </w:tabs>
        <w:numPr>
          <w:ilvl w:val="0"/>
          <w:numId w:val="305"/>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92" w:lineRule="exact"/>
        <w:rPr>
          <w:rFonts w:ascii="Arial" w:cs="Arial" w:eastAsia="Arial" w:hAnsi="Arial"/>
          <w:sz w:val="17"/>
          <w:szCs w:val="17"/>
          <w:color w:val="auto"/>
        </w:rPr>
      </w:pPr>
    </w:p>
    <w:p>
      <w:pPr>
        <w:ind w:left="340" w:right="80" w:hanging="332"/>
        <w:spacing w:after="0" w:line="264" w:lineRule="auto"/>
        <w:tabs>
          <w:tab w:leader="none" w:pos="340" w:val="left"/>
        </w:tabs>
        <w:numPr>
          <w:ilvl w:val="0"/>
          <w:numId w:val="305"/>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7" w:lineRule="exact"/>
        <w:rPr>
          <w:rFonts w:ascii="Arial" w:cs="Arial" w:eastAsia="Arial" w:hAnsi="Arial"/>
          <w:sz w:val="18"/>
          <w:szCs w:val="18"/>
          <w:color w:val="auto"/>
        </w:rPr>
      </w:pPr>
    </w:p>
    <w:p>
      <w:pPr>
        <w:jc w:val="both"/>
        <w:ind w:left="980" w:right="260" w:hanging="324"/>
        <w:spacing w:after="0" w:line="264" w:lineRule="auto"/>
        <w:tabs>
          <w:tab w:leader="none" w:pos="980" w:val="left"/>
        </w:tabs>
        <w:numPr>
          <w:ilvl w:val="1"/>
          <w:numId w:val="30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7" w:lineRule="exact"/>
        <w:rPr>
          <w:rFonts w:ascii="Arial" w:cs="Arial" w:eastAsia="Arial" w:hAnsi="Arial"/>
          <w:sz w:val="18"/>
          <w:szCs w:val="18"/>
          <w:color w:val="auto"/>
        </w:rPr>
      </w:pPr>
    </w:p>
    <w:p>
      <w:pPr>
        <w:ind w:left="980" w:right="540" w:hanging="324"/>
        <w:spacing w:after="0" w:line="264" w:lineRule="auto"/>
        <w:tabs>
          <w:tab w:leader="none" w:pos="980" w:val="left"/>
        </w:tabs>
        <w:numPr>
          <w:ilvl w:val="1"/>
          <w:numId w:val="30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7" w:lineRule="exact"/>
        <w:rPr>
          <w:rFonts w:ascii="Arial" w:cs="Arial" w:eastAsia="Arial" w:hAnsi="Arial"/>
          <w:sz w:val="18"/>
          <w:szCs w:val="18"/>
          <w:color w:val="auto"/>
        </w:rPr>
      </w:pPr>
    </w:p>
    <w:p>
      <w:pPr>
        <w:ind w:left="980" w:right="720" w:hanging="324"/>
        <w:spacing w:after="0" w:line="342" w:lineRule="auto"/>
        <w:tabs>
          <w:tab w:leader="none" w:pos="980" w:val="left"/>
        </w:tabs>
        <w:numPr>
          <w:ilvl w:val="1"/>
          <w:numId w:val="305"/>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9" w:lineRule="exact"/>
        <w:rPr>
          <w:rFonts w:ascii="Arial" w:cs="Arial" w:eastAsia="Arial" w:hAnsi="Arial"/>
          <w:sz w:val="16"/>
          <w:szCs w:val="16"/>
          <w:color w:val="auto"/>
        </w:rPr>
      </w:pPr>
    </w:p>
    <w:p>
      <w:pPr>
        <w:ind w:left="980" w:right="300" w:hanging="324"/>
        <w:spacing w:after="0" w:line="264" w:lineRule="auto"/>
        <w:tabs>
          <w:tab w:leader="none" w:pos="980" w:val="left"/>
        </w:tabs>
        <w:numPr>
          <w:ilvl w:val="1"/>
          <w:numId w:val="30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7" w:lineRule="exact"/>
        <w:rPr>
          <w:rFonts w:ascii="Arial" w:cs="Arial" w:eastAsia="Arial" w:hAnsi="Arial"/>
          <w:sz w:val="18"/>
          <w:szCs w:val="18"/>
          <w:color w:val="auto"/>
        </w:rPr>
      </w:pPr>
    </w:p>
    <w:p>
      <w:pPr>
        <w:ind w:left="340" w:right="520" w:hanging="332"/>
        <w:spacing w:after="0" w:line="308" w:lineRule="auto"/>
        <w:tabs>
          <w:tab w:leader="none" w:pos="340" w:val="left"/>
        </w:tabs>
        <w:numPr>
          <w:ilvl w:val="0"/>
          <w:numId w:val="305"/>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92" w:lineRule="exact"/>
        <w:rPr>
          <w:rFonts w:ascii="Arial" w:cs="Arial" w:eastAsia="Arial" w:hAnsi="Arial"/>
          <w:sz w:val="17"/>
          <w:szCs w:val="17"/>
          <w:color w:val="auto"/>
        </w:rPr>
      </w:pPr>
    </w:p>
    <w:p>
      <w:pPr>
        <w:ind w:left="980" w:right="180" w:hanging="324"/>
        <w:spacing w:after="0" w:line="308" w:lineRule="auto"/>
        <w:tabs>
          <w:tab w:leader="none" w:pos="980" w:val="left"/>
        </w:tabs>
        <w:numPr>
          <w:ilvl w:val="1"/>
          <w:numId w:val="305"/>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92" w:lineRule="exact"/>
        <w:rPr>
          <w:rFonts w:ascii="Arial" w:cs="Arial" w:eastAsia="Arial" w:hAnsi="Arial"/>
          <w:sz w:val="17"/>
          <w:szCs w:val="17"/>
          <w:color w:val="auto"/>
        </w:rPr>
      </w:pPr>
    </w:p>
    <w:p>
      <w:pPr>
        <w:ind w:left="980" w:right="160" w:hanging="324"/>
        <w:spacing w:after="0" w:line="277" w:lineRule="auto"/>
        <w:tabs>
          <w:tab w:leader="none" w:pos="980" w:val="left"/>
        </w:tabs>
        <w:numPr>
          <w:ilvl w:val="1"/>
          <w:numId w:val="30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color w:val="auto"/>
        </w:rPr>
        <w:t>Date: May 1, 2014</w:t>
      </w:r>
    </w:p>
    <w:p>
      <w:pPr>
        <w:spacing w:after="0" w:line="387" w:lineRule="exact"/>
        <w:rPr>
          <w:sz w:val="20"/>
          <w:szCs w:val="20"/>
          <w:color w:val="auto"/>
        </w:rPr>
      </w:pPr>
    </w:p>
    <w:p>
      <w:pPr>
        <w:jc w:val="center"/>
        <w:ind w:right="5700"/>
        <w:spacing w:after="0"/>
        <w:rPr>
          <w:sz w:val="20"/>
          <w:szCs w:val="20"/>
          <w:color w:val="auto"/>
        </w:rPr>
      </w:pPr>
      <w:r>
        <w:rPr>
          <w:rFonts w:ascii="Arial" w:cs="Arial" w:eastAsia="Arial" w:hAnsi="Arial"/>
          <w:sz w:val="18"/>
          <w:szCs w:val="18"/>
          <w:color w:val="auto"/>
        </w:rPr>
        <w:t>/s/ Rick L. Weller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3627755" cy="889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3627755" cy="8890"/>
                    </a:xfrm>
                    <a:prstGeom prst="rect">
                      <a:avLst/>
                    </a:prstGeom>
                    <a:noFill/>
                  </pic:spPr>
                </pic:pic>
              </a:graphicData>
            </a:graphic>
          </wp:anchor>
        </w:drawing>
      </w:r>
    </w:p>
    <w:p>
      <w:pPr>
        <w:spacing w:after="0" w:line="53" w:lineRule="exact"/>
        <w:rPr>
          <w:sz w:val="20"/>
          <w:szCs w:val="20"/>
          <w:color w:val="auto"/>
        </w:rPr>
      </w:pPr>
    </w:p>
    <w:p>
      <w:pPr>
        <w:jc w:val="center"/>
        <w:ind w:right="5700"/>
        <w:spacing w:after="0"/>
        <w:rPr>
          <w:sz w:val="20"/>
          <w:szCs w:val="20"/>
          <w:color w:val="auto"/>
        </w:rPr>
      </w:pPr>
      <w:r>
        <w:rPr>
          <w:rFonts w:ascii="Arial" w:cs="Arial" w:eastAsia="Arial" w:hAnsi="Arial"/>
          <w:sz w:val="18"/>
          <w:szCs w:val="18"/>
          <w:b w:val="1"/>
          <w:bCs w:val="1"/>
          <w:color w:val="auto"/>
        </w:rPr>
        <w:t>Rick L. Weller</w:t>
      </w:r>
    </w:p>
    <w:p>
      <w:pPr>
        <w:spacing w:after="0" w:line="63" w:lineRule="exact"/>
        <w:rPr>
          <w:sz w:val="20"/>
          <w:szCs w:val="20"/>
          <w:color w:val="auto"/>
        </w:rPr>
      </w:pPr>
    </w:p>
    <w:p>
      <w:pPr>
        <w:jc w:val="center"/>
        <w:ind w:right="5700"/>
        <w:spacing w:after="0"/>
        <w:rPr>
          <w:sz w:val="20"/>
          <w:szCs w:val="20"/>
          <w:color w:val="auto"/>
        </w:rPr>
      </w:pPr>
      <w:r>
        <w:rPr>
          <w:rFonts w:ascii="Arial" w:cs="Arial" w:eastAsia="Arial" w:hAnsi="Arial"/>
          <w:sz w:val="18"/>
          <w:szCs w:val="18"/>
          <w:b w:val="1"/>
          <w:bCs w:val="1"/>
          <w:color w:val="auto"/>
        </w:rPr>
        <w:t>Chief Financial Officer</w:t>
      </w:r>
    </w:p>
    <w:p>
      <w:pPr>
        <w:sectPr>
          <w:pgSz w:w="11900" w:h="16838" w:orient="portrait"/>
          <w:cols w:equalWidth="0" w:num="1">
            <w:col w:w="11420"/>
          </w:cols>
          <w:pgMar w:left="240" w:top="580" w:right="239" w:bottom="1440" w:gutter="0" w:footer="0" w:header="0"/>
        </w:sectPr>
      </w:pPr>
    </w:p>
    <w:bookmarkStart w:id="330" w:name="page331"/>
    <w:bookmarkEnd w:id="330"/>
    <w:p>
      <w:pPr>
        <w:jc w:val="right"/>
        <w:spacing w:after="0"/>
        <w:rPr>
          <w:sz w:val="20"/>
          <w:szCs w:val="20"/>
          <w:color w:val="auto"/>
        </w:rPr>
      </w:pPr>
      <w:r>
        <w:rPr>
          <w:rFonts w:ascii="Arial" w:cs="Arial" w:eastAsia="Arial" w:hAnsi="Arial"/>
          <w:sz w:val="18"/>
          <w:szCs w:val="18"/>
          <w:b w:val="1"/>
          <w:bCs w:val="1"/>
          <w:color w:val="auto"/>
        </w:rPr>
        <w:t>EXHIBIT 32.1</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ind w:right="260"/>
        <w:spacing w:after="0" w:line="264" w:lineRule="auto"/>
        <w:rPr>
          <w:sz w:val="20"/>
          <w:szCs w:val="20"/>
          <w:color w:val="auto"/>
        </w:rPr>
      </w:pPr>
      <w:r>
        <w:rPr>
          <w:rFonts w:ascii="Arial" w:cs="Arial" w:eastAsia="Arial" w:hAnsi="Arial"/>
          <w:sz w:val="18"/>
          <w:szCs w:val="18"/>
          <w:color w:val="auto"/>
        </w:rPr>
        <w:t>In connection with the Quarterly Report on Form 10-Q of Euronet Worldwide, Inc. (the “Company”) for the period ended March 31, 2014 as filed with the Securities and Exchange Commission on the date hereof (the “Report”), the undersigned hereby certifies, pursuant to 18 U.S.C. Section 1350, as adopted pursuant to Section 906 of the Sarbanes-Oxley Act of 2002, that:</w:t>
      </w:r>
    </w:p>
    <w:p>
      <w:pPr>
        <w:spacing w:after="0" w:line="73" w:lineRule="exact"/>
        <w:rPr>
          <w:sz w:val="20"/>
          <w:szCs w:val="20"/>
          <w:color w:val="auto"/>
        </w:rPr>
      </w:pPr>
    </w:p>
    <w:p>
      <w:pPr>
        <w:ind w:left="660" w:hanging="328"/>
        <w:spacing w:after="0"/>
        <w:tabs>
          <w:tab w:leader="none" w:pos="660" w:val="left"/>
        </w:tabs>
        <w:numPr>
          <w:ilvl w:val="0"/>
          <w:numId w:val="306"/>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as amended; and</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306"/>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307" w:lineRule="exact"/>
        <w:rPr>
          <w:sz w:val="20"/>
          <w:szCs w:val="20"/>
          <w:color w:val="auto"/>
        </w:rPr>
      </w:pPr>
    </w:p>
    <w:p>
      <w:pPr>
        <w:jc w:val="center"/>
        <w:ind w:right="5700"/>
        <w:spacing w:after="0"/>
        <w:rPr>
          <w:sz w:val="20"/>
          <w:szCs w:val="20"/>
          <w:color w:val="auto"/>
        </w:rPr>
      </w:pPr>
      <w:r>
        <w:rPr>
          <w:rFonts w:ascii="Arial" w:cs="Arial" w:eastAsia="Arial" w:hAnsi="Arial"/>
          <w:sz w:val="18"/>
          <w:szCs w:val="18"/>
          <w:color w:val="auto"/>
        </w:rPr>
        <w:t>/s/ Michael J. Brown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3627755" cy="889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3627755" cy="8890"/>
                    </a:xfrm>
                    <a:prstGeom prst="rect">
                      <a:avLst/>
                    </a:prstGeom>
                    <a:noFill/>
                  </pic:spPr>
                </pic:pic>
              </a:graphicData>
            </a:graphic>
          </wp:anchor>
        </w:drawing>
      </w:r>
    </w:p>
    <w:p>
      <w:pPr>
        <w:spacing w:after="0" w:line="53" w:lineRule="exact"/>
        <w:rPr>
          <w:sz w:val="20"/>
          <w:szCs w:val="20"/>
          <w:color w:val="auto"/>
        </w:rPr>
      </w:pPr>
    </w:p>
    <w:p>
      <w:pPr>
        <w:jc w:val="center"/>
        <w:ind w:right="5700"/>
        <w:spacing w:after="0"/>
        <w:rPr>
          <w:sz w:val="20"/>
          <w:szCs w:val="20"/>
          <w:color w:val="auto"/>
        </w:rPr>
      </w:pPr>
      <w:r>
        <w:rPr>
          <w:rFonts w:ascii="Arial" w:cs="Arial" w:eastAsia="Arial" w:hAnsi="Arial"/>
          <w:sz w:val="18"/>
          <w:szCs w:val="18"/>
          <w:b w:val="1"/>
          <w:bCs w:val="1"/>
          <w:color w:val="auto"/>
        </w:rPr>
        <w:t>Michael J. Brown</w:t>
      </w:r>
    </w:p>
    <w:p>
      <w:pPr>
        <w:spacing w:after="0" w:line="63" w:lineRule="exact"/>
        <w:rPr>
          <w:sz w:val="20"/>
          <w:szCs w:val="20"/>
          <w:color w:val="auto"/>
        </w:rPr>
      </w:pPr>
    </w:p>
    <w:p>
      <w:pPr>
        <w:jc w:val="center"/>
        <w:ind w:right="5700"/>
        <w:spacing w:after="0"/>
        <w:rPr>
          <w:sz w:val="20"/>
          <w:szCs w:val="20"/>
          <w:color w:val="auto"/>
        </w:rPr>
      </w:pPr>
      <w:r>
        <w:rPr>
          <w:rFonts w:ascii="Arial" w:cs="Arial" w:eastAsia="Arial" w:hAnsi="Arial"/>
          <w:sz w:val="18"/>
          <w:szCs w:val="18"/>
          <w:b w:val="1"/>
          <w:bCs w:val="1"/>
          <w:color w:val="auto"/>
        </w:rPr>
        <w:t>Chief Executive Officer</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May 1, 2014</w:t>
      </w:r>
    </w:p>
    <w:p>
      <w:pPr>
        <w:sectPr>
          <w:pgSz w:w="11900" w:h="16838" w:orient="portrait"/>
          <w:cols w:equalWidth="0" w:num="1">
            <w:col w:w="11420"/>
          </w:cols>
          <w:pgMar w:left="240" w:top="580" w:right="239" w:bottom="1440" w:gutter="0" w:footer="0" w:header="0"/>
        </w:sectPr>
      </w:pPr>
    </w:p>
    <w:bookmarkStart w:id="331" w:name="page332"/>
    <w:bookmarkEnd w:id="331"/>
    <w:p>
      <w:pPr>
        <w:jc w:val="right"/>
        <w:spacing w:after="0"/>
        <w:rPr>
          <w:sz w:val="20"/>
          <w:szCs w:val="20"/>
          <w:color w:val="auto"/>
        </w:rPr>
      </w:pPr>
      <w:r>
        <w:rPr>
          <w:rFonts w:ascii="Arial" w:cs="Arial" w:eastAsia="Arial" w:hAnsi="Arial"/>
          <w:sz w:val="18"/>
          <w:szCs w:val="18"/>
          <w:b w:val="1"/>
          <w:bCs w:val="1"/>
          <w:color w:val="auto"/>
        </w:rPr>
        <w:t>EXHIBIT 32.2</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ind w:right="260"/>
        <w:spacing w:after="0" w:line="264" w:lineRule="auto"/>
        <w:rPr>
          <w:sz w:val="20"/>
          <w:szCs w:val="20"/>
          <w:color w:val="auto"/>
        </w:rPr>
      </w:pPr>
      <w:r>
        <w:rPr>
          <w:rFonts w:ascii="Arial" w:cs="Arial" w:eastAsia="Arial" w:hAnsi="Arial"/>
          <w:sz w:val="18"/>
          <w:szCs w:val="18"/>
          <w:color w:val="auto"/>
        </w:rPr>
        <w:t>In connection with the Quarterly Report on Form 10-Q of Euronet Worldwide, Inc. (the “Company”) for the period ended March 31, 2014 as filed with the Securities and Exchange Commission on the date hereof (the “Report”), the undersigned hereby certifies, pursuant to 18 U.S.C. Section 1350, as adopted pursuant to Section 906 of the Sarbanes-Oxley Act of 2002, that:</w:t>
      </w:r>
    </w:p>
    <w:p>
      <w:pPr>
        <w:spacing w:after="0" w:line="73" w:lineRule="exact"/>
        <w:rPr>
          <w:sz w:val="20"/>
          <w:szCs w:val="20"/>
          <w:color w:val="auto"/>
        </w:rPr>
      </w:pPr>
    </w:p>
    <w:p>
      <w:pPr>
        <w:ind w:left="660" w:hanging="328"/>
        <w:spacing w:after="0"/>
        <w:tabs>
          <w:tab w:leader="none" w:pos="660" w:val="left"/>
        </w:tabs>
        <w:numPr>
          <w:ilvl w:val="0"/>
          <w:numId w:val="307"/>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as amended; and</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307"/>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5700"/>
        <w:spacing w:after="0"/>
        <w:rPr>
          <w:sz w:val="20"/>
          <w:szCs w:val="20"/>
          <w:color w:val="auto"/>
        </w:rPr>
      </w:pPr>
      <w:r>
        <w:rPr>
          <w:rFonts w:ascii="Arial" w:cs="Arial" w:eastAsia="Arial" w:hAnsi="Arial"/>
          <w:sz w:val="18"/>
          <w:szCs w:val="18"/>
          <w:color w:val="auto"/>
        </w:rPr>
        <w:t>/s/ Rick L. Weller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3627755" cy="889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3627755" cy="8890"/>
                    </a:xfrm>
                    <a:prstGeom prst="rect">
                      <a:avLst/>
                    </a:prstGeom>
                    <a:noFill/>
                  </pic:spPr>
                </pic:pic>
              </a:graphicData>
            </a:graphic>
          </wp:anchor>
        </w:drawing>
      </w:r>
    </w:p>
    <w:p>
      <w:pPr>
        <w:spacing w:after="0" w:line="53" w:lineRule="exact"/>
        <w:rPr>
          <w:sz w:val="20"/>
          <w:szCs w:val="20"/>
          <w:color w:val="auto"/>
        </w:rPr>
      </w:pPr>
    </w:p>
    <w:p>
      <w:pPr>
        <w:jc w:val="center"/>
        <w:ind w:right="5700"/>
        <w:spacing w:after="0"/>
        <w:rPr>
          <w:sz w:val="20"/>
          <w:szCs w:val="20"/>
          <w:color w:val="auto"/>
        </w:rPr>
      </w:pPr>
      <w:r>
        <w:rPr>
          <w:rFonts w:ascii="Arial" w:cs="Arial" w:eastAsia="Arial" w:hAnsi="Arial"/>
          <w:sz w:val="18"/>
          <w:szCs w:val="18"/>
          <w:b w:val="1"/>
          <w:bCs w:val="1"/>
          <w:color w:val="auto"/>
        </w:rPr>
        <w:t>Rick L. Weller</w:t>
      </w:r>
    </w:p>
    <w:p>
      <w:pPr>
        <w:spacing w:after="0" w:line="63" w:lineRule="exact"/>
        <w:rPr>
          <w:sz w:val="20"/>
          <w:szCs w:val="20"/>
          <w:color w:val="auto"/>
        </w:rPr>
      </w:pPr>
    </w:p>
    <w:p>
      <w:pPr>
        <w:jc w:val="center"/>
        <w:ind w:right="5700"/>
        <w:spacing w:after="0"/>
        <w:rPr>
          <w:sz w:val="20"/>
          <w:szCs w:val="20"/>
          <w:color w:val="auto"/>
        </w:rPr>
      </w:pPr>
      <w:r>
        <w:rPr>
          <w:rFonts w:ascii="Arial" w:cs="Arial" w:eastAsia="Arial" w:hAnsi="Arial"/>
          <w:sz w:val="18"/>
          <w:szCs w:val="18"/>
          <w:b w:val="1"/>
          <w:bCs w:val="1"/>
          <w:color w:val="auto"/>
        </w:rPr>
        <w:t>Chief Financial Officer</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May 1, 2014</w:t>
      </w:r>
    </w:p>
    <w:sectPr>
      <w:pgSz w:w="11900" w:h="16838" w:orient="portrait"/>
      <w:cols w:equalWidth="0" w:num="1">
        <w:col w:w="11420"/>
      </w:cols>
      <w:pgMar w:left="240" w:top="58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EE"/>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30F856C"/>
    <w:multiLevelType w:val="hybridMultilevel"/>
    <w:lvl w:ilvl="0">
      <w:lvlJc w:val="left"/>
      <w:lvlText w:val="☑"/>
      <w:numFmt w:val="bullet"/>
      <w:start w:val="1"/>
    </w:lvl>
  </w:abstractNum>
  <w:abstractNum w:abstractNumId="1">
    <w:nsid w:val="6EAA85FB"/>
    <w:multiLevelType w:val="hybridMultilevel"/>
    <w:lvl w:ilvl="0">
      <w:lvlJc w:val="left"/>
      <w:lvlText w:val="o"/>
      <w:numFmt w:val="bullet"/>
      <w:start w:val="1"/>
    </w:lvl>
  </w:abstractNum>
  <w:abstractNum w:abstractNumId="2">
    <w:nsid w:val="3F06ECB2"/>
    <w:multiLevelType w:val="hybridMultilevel"/>
    <w:lvl w:ilvl="0">
      <w:lvlJc w:val="left"/>
      <w:lvlText w:val="•"/>
      <w:numFmt w:val="bullet"/>
      <w:start w:val="1"/>
    </w:lvl>
  </w:abstractNum>
  <w:abstractNum w:abstractNumId="3">
    <w:nsid w:val="3B594807"/>
    <w:multiLevelType w:val="hybridMultilevel"/>
    <w:lvl w:ilvl="0">
      <w:lvlJc w:val="left"/>
      <w:lvlText w:val="%1)"/>
      <w:numFmt w:val="decimal"/>
      <w:start w:val="1"/>
    </w:lvl>
  </w:abstractNum>
  <w:abstractNum w:abstractNumId="4">
    <w:nsid w:val="6CAA2304"/>
    <w:multiLevelType w:val="hybridMultilevel"/>
    <w:lvl w:ilvl="0">
      <w:lvlJc w:val="left"/>
      <w:lvlText w:val="•"/>
      <w:numFmt w:val="bullet"/>
      <w:start w:val="1"/>
    </w:lvl>
  </w:abstractNum>
  <w:abstractNum w:abstractNumId="5">
    <w:nsid w:val="3F7C2FF4"/>
    <w:multiLevelType w:val="hybridMultilevel"/>
    <w:lvl w:ilvl="0">
      <w:lvlJc w:val="left"/>
      <w:lvlText w:val="•"/>
      <w:numFmt w:val="bullet"/>
      <w:start w:val="1"/>
    </w:lvl>
  </w:abstractNum>
  <w:abstractNum w:abstractNumId="6">
    <w:nsid w:val="25413BEC"/>
    <w:multiLevelType w:val="hybridMultilevel"/>
    <w:lvl w:ilvl="0">
      <w:lvlJc w:val="left"/>
      <w:lvlText w:val="•"/>
      <w:numFmt w:val="bullet"/>
      <w:start w:val="1"/>
    </w:lvl>
  </w:abstractNum>
  <w:abstractNum w:abstractNumId="7">
    <w:nsid w:val="17180B0B"/>
    <w:multiLevelType w:val="hybridMultilevel"/>
    <w:lvl w:ilvl="0">
      <w:lvlJc w:val="left"/>
      <w:lvlText w:val="•"/>
      <w:numFmt w:val="bullet"/>
      <w:start w:val="1"/>
    </w:lvl>
  </w:abstractNum>
  <w:abstractNum w:abstractNumId="8">
    <w:nsid w:val="579328B9"/>
    <w:multiLevelType w:val="hybridMultilevel"/>
    <w:lvl w:ilvl="0">
      <w:lvlJc w:val="left"/>
      <w:lvlText w:val="•"/>
      <w:numFmt w:val="bullet"/>
      <w:start w:val="1"/>
    </w:lvl>
  </w:abstractNum>
  <w:abstractNum w:abstractNumId="9">
    <w:nsid w:val="5D205E20"/>
    <w:multiLevelType w:val="hybridMultilevel"/>
    <w:lvl w:ilvl="0">
      <w:lvlJc w:val="left"/>
      <w:lvlText w:val="•"/>
      <w:numFmt w:val="bullet"/>
      <w:start w:val="1"/>
    </w:lvl>
  </w:abstractNum>
  <w:abstractNum w:abstractNumId="10">
    <w:nsid w:val="11CCA8BA"/>
    <w:multiLevelType w:val="hybridMultilevel"/>
    <w:lvl w:ilvl="0">
      <w:lvlJc w:val="left"/>
      <w:lvlText w:val="•"/>
      <w:numFmt w:val="bullet"/>
      <w:start w:val="1"/>
    </w:lvl>
  </w:abstractNum>
  <w:abstractNum w:abstractNumId="11">
    <w:nsid w:val="4D32AB86"/>
    <w:multiLevelType w:val="hybridMultilevel"/>
    <w:lvl w:ilvl="0">
      <w:lvlJc w:val="left"/>
      <w:lvlText w:val="•"/>
      <w:numFmt w:val="bullet"/>
      <w:start w:val="1"/>
    </w:lvl>
  </w:abstractNum>
  <w:abstractNum w:abstractNumId="12">
    <w:nsid w:val="3F07ACC3"/>
    <w:multiLevelType w:val="hybridMultilevel"/>
    <w:lvl w:ilvl="0">
      <w:lvlJc w:val="left"/>
      <w:lvlText w:val="•"/>
      <w:numFmt w:val="bullet"/>
      <w:start w:val="1"/>
    </w:lvl>
  </w:abstractNum>
  <w:abstractNum w:abstractNumId="13">
    <w:nsid w:val="6B47F63E"/>
    <w:multiLevelType w:val="hybridMultilevel"/>
    <w:lvl w:ilvl="0">
      <w:lvlJc w:val="left"/>
      <w:lvlText w:val="(%1)"/>
      <w:numFmt w:val="decimal"/>
      <w:start w:val="1"/>
    </w:lvl>
  </w:abstractNum>
  <w:abstractNum w:abstractNumId="14">
    <w:nsid w:val="5CB44A05"/>
    <w:multiLevelType w:val="hybridMultilevel"/>
    <w:lvl w:ilvl="0">
      <w:lvlJc w:val="left"/>
      <w:lvlText w:val="†"/>
      <w:numFmt w:val="bullet"/>
      <w:start w:val="1"/>
    </w:lvl>
  </w:abstractNum>
  <w:abstractNum w:abstractNumId="15">
    <w:nsid w:val="16CF80F1"/>
    <w:multiLevelType w:val="hybridMultilevel"/>
    <w:lvl w:ilvl="0">
      <w:lvlJc w:val="left"/>
      <w:lvlText w:val="(%1)"/>
      <w:numFmt w:val="lowerLetter"/>
      <w:start w:val="1"/>
    </w:lvl>
  </w:abstractNum>
  <w:abstractNum w:abstractNumId="16">
    <w:nsid w:val="1C695DEC"/>
    <w:multiLevelType w:val="hybridMultilevel"/>
    <w:lvl w:ilvl="0">
      <w:lvlJc w:val="left"/>
      <w:lvlText w:val="(%1)"/>
      <w:numFmt w:val="lowerLetter"/>
      <w:start w:val="1"/>
    </w:lvl>
  </w:abstractNum>
  <w:abstractNum w:abstractNumId="17">
    <w:nsid w:val="3FCFAED9"/>
    <w:multiLevelType w:val="hybridMultilevel"/>
    <w:lvl w:ilvl="0">
      <w:lvlJc w:val="left"/>
      <w:lvlText w:val="(%1)"/>
      <w:numFmt w:val="lowerLetter"/>
      <w:start w:val="1"/>
    </w:lvl>
  </w:abstractNum>
  <w:abstractNum w:abstractNumId="18">
    <w:nsid w:val="F856867"/>
    <w:multiLevelType w:val="hybridMultilevel"/>
    <w:lvl w:ilvl="0">
      <w:lvlJc w:val="left"/>
      <w:lvlText w:val="(%1)"/>
      <w:numFmt w:val="lowerLetter"/>
      <w:start w:val="1"/>
    </w:lvl>
  </w:abstractNum>
  <w:abstractNum w:abstractNumId="19">
    <w:nsid w:val="11B1CC33"/>
    <w:multiLevelType w:val="hybridMultilevel"/>
    <w:lvl w:ilvl="0">
      <w:lvlJc w:val="left"/>
      <w:lvlText w:val="(%1)"/>
      <w:numFmt w:val="lowerRoman"/>
      <w:start w:val="1"/>
    </w:lvl>
  </w:abstractNum>
  <w:abstractNum w:abstractNumId="20">
    <w:nsid w:val="2E22FBB7"/>
    <w:multiLevelType w:val="hybridMultilevel"/>
    <w:lvl w:ilvl="0">
      <w:lvlJc w:val="left"/>
      <w:lvlText w:val="(%1)"/>
      <w:numFmt w:val="lowerRoman"/>
      <w:start w:val="5"/>
    </w:lvl>
  </w:abstractNum>
  <w:abstractNum w:abstractNumId="21">
    <w:nsid w:val="29934699"/>
    <w:multiLevelType w:val="hybridMultilevel"/>
    <w:lvl w:ilvl="0">
      <w:lvlJc w:val="left"/>
      <w:lvlText w:val="(%1)"/>
      <w:numFmt w:val="lowerRoman"/>
      <w:start w:val="6"/>
    </w:lvl>
  </w:abstractNum>
  <w:abstractNum w:abstractNumId="22">
    <w:nsid w:val="77485850"/>
    <w:multiLevelType w:val="hybridMultilevel"/>
    <w:lvl w:ilvl="0">
      <w:lvlJc w:val="left"/>
      <w:lvlText w:val="(%1)"/>
      <w:numFmt w:val="lowerRoman"/>
      <w:start w:val="7"/>
    </w:lvl>
  </w:abstractNum>
  <w:abstractNum w:abstractNumId="23">
    <w:nsid w:val="744939A3"/>
    <w:multiLevelType w:val="hybridMultilevel"/>
    <w:lvl w:ilvl="0">
      <w:lvlJc w:val="left"/>
      <w:lvlText w:val="(%1)"/>
      <w:numFmt w:val="lowerRoman"/>
      <w:start w:val="8"/>
    </w:lvl>
  </w:abstractNum>
  <w:abstractNum w:abstractNumId="24">
    <w:nsid w:val="4FA0D2E3"/>
    <w:multiLevelType w:val="hybridMultilevel"/>
    <w:lvl w:ilvl="0">
      <w:lvlJc w:val="left"/>
      <w:lvlText w:val="(%1)"/>
      <w:numFmt w:val="lowerRoman"/>
      <w:start w:val="9"/>
    </w:lvl>
  </w:abstractNum>
  <w:abstractNum w:abstractNumId="25">
    <w:nsid w:val="6B1D2C14"/>
    <w:multiLevelType w:val="hybridMultilevel"/>
    <w:lvl w:ilvl="0">
      <w:lvlJc w:val="left"/>
      <w:lvlText w:val="(%1)"/>
      <w:numFmt w:val="lowerRoman"/>
      <w:start w:val="10"/>
    </w:lvl>
  </w:abstractNum>
  <w:abstractNum w:abstractNumId="26">
    <w:nsid w:val="68B867D3"/>
    <w:multiLevelType w:val="hybridMultilevel"/>
    <w:lvl w:ilvl="0">
      <w:lvlJc w:val="left"/>
      <w:lvlText w:val="(%1)"/>
      <w:numFmt w:val="lowerRoman"/>
      <w:start w:val="12"/>
    </w:lvl>
  </w:abstractNum>
  <w:abstractNum w:abstractNumId="27">
    <w:nsid w:val="3F7F5DD9"/>
    <w:multiLevelType w:val="hybridMultilevel"/>
    <w:lvl w:ilvl="0">
      <w:lvlJc w:val="left"/>
      <w:lvlText w:val="(%1)"/>
      <w:numFmt w:val="lowerRoman"/>
      <w:start w:val="14"/>
    </w:lvl>
  </w:abstractNum>
  <w:abstractNum w:abstractNumId="28">
    <w:nsid w:val="2AE05A34"/>
    <w:multiLevelType w:val="hybridMultilevel"/>
    <w:lvl w:ilvl="0">
      <w:lvlJc w:val="left"/>
      <w:lvlText w:val="(%1)"/>
      <w:numFmt w:val="lowerLetter"/>
      <w:start w:val="1"/>
    </w:lvl>
  </w:abstractNum>
  <w:abstractNum w:abstractNumId="29">
    <w:nsid w:val="32794FF7"/>
    <w:multiLevelType w:val="hybridMultilevel"/>
    <w:lvl w:ilvl="0">
      <w:lvlJc w:val="left"/>
      <w:lvlText w:val="(%1)"/>
      <w:numFmt w:val="lowerLetter"/>
      <w:start w:val="3"/>
    </w:lvl>
  </w:abstractNum>
  <w:abstractNum w:abstractNumId="30">
    <w:nsid w:val="5454945E"/>
    <w:multiLevelType w:val="hybridMultilevel"/>
    <w:lvl w:ilvl="0">
      <w:lvlJc w:val="left"/>
      <w:lvlText w:val="(%1)"/>
      <w:numFmt w:val="decimal"/>
      <w:start w:val="13"/>
    </w:lvl>
  </w:abstractNum>
  <w:abstractNum w:abstractNumId="31">
    <w:nsid w:val="4DEFDFA0"/>
    <w:multiLevelType w:val="hybridMultilevel"/>
    <w:lvl w:ilvl="0">
      <w:lvlJc w:val="left"/>
      <w:lvlText w:val="(%1)"/>
      <w:numFmt w:val="lowerLetter"/>
      <w:start w:val="1"/>
    </w:lvl>
  </w:abstractNum>
  <w:abstractNum w:abstractNumId="32">
    <w:nsid w:val="2123D5F2"/>
    <w:multiLevelType w:val="hybridMultilevel"/>
    <w:lvl w:ilvl="0">
      <w:lvlJc w:val="left"/>
      <w:lvlText w:val="(%1)"/>
      <w:numFmt w:val="lowerRoman"/>
      <w:start w:val="2"/>
    </w:lvl>
  </w:abstractNum>
  <w:abstractNum w:abstractNumId="33">
    <w:nsid w:val="135B8110"/>
    <w:multiLevelType w:val="hybridMultilevel"/>
    <w:lvl w:ilvl="0">
      <w:lvlJc w:val="left"/>
      <w:lvlText w:val="(%1)"/>
      <w:numFmt w:val="lowerRoman"/>
      <w:start w:val="4"/>
    </w:lvl>
  </w:abstractNum>
  <w:abstractNum w:abstractNumId="34">
    <w:nsid w:val="94927A8"/>
    <w:multiLevelType w:val="hybridMultilevel"/>
    <w:lvl w:ilvl="0">
      <w:lvlJc w:val="left"/>
      <w:lvlText w:val="(%1)"/>
      <w:numFmt w:val="lowerLetter"/>
      <w:start w:val="1"/>
    </w:lvl>
  </w:abstractNum>
  <w:abstractNum w:abstractNumId="35">
    <w:nsid w:val="DCDF8F6"/>
    <w:multiLevelType w:val="hybridMultilevel"/>
    <w:lvl w:ilvl="0">
      <w:lvlJc w:val="left"/>
      <w:lvlText w:val="%1"/>
      <w:numFmt w:val="lowerLetter"/>
      <w:start w:val="1"/>
    </w:lvl>
    <w:lvl w:ilvl="1">
      <w:lvlJc w:val="left"/>
      <w:lvlText w:val="(%2)"/>
      <w:numFmt w:val="lowerLetter"/>
      <w:start w:val="3"/>
    </w:lvl>
  </w:abstractNum>
  <w:abstractNum w:abstractNumId="36">
    <w:nsid w:val="52D7B105"/>
    <w:multiLevelType w:val="hybridMultilevel"/>
    <w:lvl w:ilvl="0">
      <w:lvlJc w:val="left"/>
      <w:lvlText w:val="(%1)"/>
      <w:numFmt w:val="lowerLetter"/>
      <w:start w:val="35"/>
    </w:lvl>
    <w:lvl w:ilvl="1">
      <w:lvlJc w:val="left"/>
      <w:lvlText w:val="(%2)"/>
      <w:numFmt w:val="lowerLetter"/>
      <w:start w:val="4"/>
    </w:lvl>
  </w:abstractNum>
  <w:abstractNum w:abstractNumId="37">
    <w:nsid w:val="2E8A6394"/>
    <w:multiLevelType w:val="hybridMultilevel"/>
    <w:lvl w:ilvl="0">
      <w:lvlJc w:val="left"/>
      <w:lvlText w:val="(%1)"/>
      <w:numFmt w:val="lowerLetter"/>
      <w:start w:val="1"/>
    </w:lvl>
    <w:lvl w:ilvl="1">
      <w:lvlJc w:val="left"/>
      <w:lvlText w:val="(%2)"/>
      <w:numFmt w:val="lowerLetter"/>
      <w:start w:val="1"/>
    </w:lvl>
  </w:abstractNum>
  <w:abstractNum w:abstractNumId="38">
    <w:nsid w:val="24E60401"/>
    <w:multiLevelType w:val="hybridMultilevel"/>
    <w:lvl w:ilvl="0">
      <w:lvlJc w:val="left"/>
      <w:lvlText w:val="%1"/>
      <w:numFmt w:val="lowerLetter"/>
      <w:start w:val="1"/>
    </w:lvl>
    <w:lvl w:ilvl="1">
      <w:lvlJc w:val="left"/>
      <w:lvlText w:val="(%2)"/>
      <w:numFmt w:val="lowerLetter"/>
      <w:start w:val="35"/>
    </w:lvl>
  </w:abstractNum>
  <w:abstractNum w:abstractNumId="39">
    <w:nsid w:val="2A6AD9BE"/>
    <w:multiLevelType w:val="hybridMultilevel"/>
    <w:lvl w:ilvl="0">
      <w:lvlJc w:val="left"/>
      <w:lvlText w:val="%1"/>
      <w:numFmt w:val="lowerLetter"/>
      <w:start w:val="1"/>
    </w:lvl>
    <w:lvl w:ilvl="1">
      <w:lvlJc w:val="left"/>
      <w:lvlText w:val="(%2)"/>
      <w:numFmt w:val="lowerRoman"/>
      <w:start w:val="3"/>
    </w:lvl>
  </w:abstractNum>
  <w:abstractNum w:abstractNumId="40">
    <w:nsid w:val="BAAC1B4"/>
    <w:multiLevelType w:val="hybridMultilevel"/>
    <w:lvl w:ilvl="0">
      <w:lvlJc w:val="left"/>
      <w:lvlText w:val="(%1)"/>
      <w:numFmt w:val="lowerLetter"/>
      <w:start w:val="3"/>
    </w:lvl>
    <w:lvl w:ilvl="1">
      <w:lvlJc w:val="left"/>
      <w:lvlText w:val="%2"/>
      <w:numFmt w:val="lowerRoman"/>
      <w:start w:val="1"/>
    </w:lvl>
  </w:abstractNum>
  <w:abstractNum w:abstractNumId="41">
    <w:nsid w:val="36B2ACBC"/>
    <w:multiLevelType w:val="hybridMultilevel"/>
    <w:lvl w:ilvl="0">
      <w:lvlJc w:val="left"/>
      <w:lvlText w:val="(%1)"/>
      <w:numFmt w:val="lowerLetter"/>
      <w:start w:val="1"/>
    </w:lvl>
  </w:abstractNum>
  <w:abstractNum w:abstractNumId="42">
    <w:nsid w:val="779D8544"/>
    <w:multiLevelType w:val="hybridMultilevel"/>
    <w:lvl w:ilvl="0">
      <w:lvlJc w:val="left"/>
      <w:lvlText w:val="(%1)"/>
      <w:numFmt w:val="upperLetter"/>
      <w:start w:val="1"/>
    </w:lvl>
  </w:abstractNum>
  <w:abstractNum w:abstractNumId="43">
    <w:nsid w:val="4AB26E78"/>
    <w:multiLevelType w:val="hybridMultilevel"/>
    <w:lvl w:ilvl="0">
      <w:lvlJc w:val="left"/>
      <w:lvlText w:val="(%1)"/>
      <w:numFmt w:val="lowerLetter"/>
      <w:start w:val="1"/>
    </w:lvl>
  </w:abstractNum>
  <w:abstractNum w:abstractNumId="44">
    <w:nsid w:val="21FAA2FA"/>
    <w:multiLevelType w:val="hybridMultilevel"/>
    <w:lvl w:ilvl="0">
      <w:lvlJc w:val="left"/>
      <w:lvlText w:val="(%1)"/>
      <w:numFmt w:val="upperLetter"/>
      <w:start w:val="1"/>
    </w:lvl>
  </w:abstractNum>
  <w:abstractNum w:abstractNumId="45">
    <w:nsid w:val="5451CF49"/>
    <w:multiLevelType w:val="hybridMultilevel"/>
    <w:lvl w:ilvl="0">
      <w:lvlJc w:val="left"/>
      <w:lvlText w:val="(%1)"/>
      <w:numFmt w:val="upperLetter"/>
      <w:start w:val="2"/>
    </w:lvl>
  </w:abstractNum>
  <w:abstractNum w:abstractNumId="46">
    <w:nsid w:val="6181EF69"/>
    <w:multiLevelType w:val="hybridMultilevel"/>
    <w:lvl w:ilvl="0">
      <w:lvlJc w:val="left"/>
      <w:lvlText w:val="(%1)"/>
      <w:numFmt w:val="lowerLetter"/>
      <w:start w:val="1"/>
    </w:lvl>
  </w:abstractNum>
  <w:abstractNum w:abstractNumId="47">
    <w:nsid w:val="3E6400E6"/>
    <w:multiLevelType w:val="hybridMultilevel"/>
    <w:lvl w:ilvl="0">
      <w:lvlJc w:val="left"/>
      <w:lvlText w:val="(%1)"/>
      <w:numFmt w:val="lowerLetter"/>
      <w:start w:val="1"/>
    </w:lvl>
  </w:abstractNum>
  <w:abstractNum w:abstractNumId="48">
    <w:nsid w:val="14217E23"/>
    <w:multiLevelType w:val="hybridMultilevel"/>
    <w:lvl w:ilvl="0">
      <w:lvlJc w:val="left"/>
      <w:lvlText w:val="(%1)"/>
      <w:numFmt w:val="lowerLetter"/>
      <w:start w:val="1"/>
    </w:lvl>
  </w:abstractNum>
  <w:abstractNum w:abstractNumId="49">
    <w:nsid w:val="710757D0"/>
    <w:multiLevelType w:val="hybridMultilevel"/>
    <w:lvl w:ilvl="0">
      <w:lvlJc w:val="left"/>
      <w:lvlText w:val="(%1)"/>
      <w:numFmt w:val="lowerLetter"/>
      <w:start w:val="1"/>
    </w:lvl>
  </w:abstractNum>
  <w:abstractNum w:abstractNumId="50">
    <w:nsid w:val="5015CD1A"/>
    <w:multiLevelType w:val="hybridMultilevel"/>
    <w:lvl w:ilvl="0">
      <w:lvlJc w:val="left"/>
      <w:lvlText w:val="(%1)"/>
      <w:numFmt w:val="lowerLetter"/>
      <w:start w:val="4"/>
    </w:lvl>
  </w:abstractNum>
  <w:abstractNum w:abstractNumId="51">
    <w:nsid w:val="424479DA"/>
    <w:multiLevelType w:val="hybridMultilevel"/>
    <w:lvl w:ilvl="0">
      <w:lvlJc w:val="left"/>
      <w:lvlText w:val="(%1)"/>
      <w:numFmt w:val="lowerLetter"/>
      <w:start w:val="1"/>
    </w:lvl>
  </w:abstractNum>
  <w:abstractNum w:abstractNumId="52">
    <w:nsid w:val="1A9A9E69"/>
    <w:multiLevelType w:val="hybridMultilevel"/>
    <w:lvl w:ilvl="0">
      <w:lvlJc w:val="left"/>
      <w:lvlText w:val="(%1)"/>
      <w:numFmt w:val="lowerLetter"/>
      <w:start w:val="3"/>
    </w:lvl>
  </w:abstractNum>
  <w:abstractNum w:abstractNumId="53">
    <w:nsid w:val="475E256A"/>
    <w:multiLevelType w:val="hybridMultilevel"/>
    <w:lvl w:ilvl="0">
      <w:lvlJc w:val="left"/>
      <w:lvlText w:val="(%1)"/>
      <w:numFmt w:val="lowerLetter"/>
      <w:start w:val="1"/>
    </w:lvl>
  </w:abstractNum>
  <w:abstractNum w:abstractNumId="54">
    <w:nsid w:val="368DB37E"/>
    <w:multiLevelType w:val="hybridMultilevel"/>
    <w:lvl w:ilvl="0">
      <w:lvlJc w:val="left"/>
      <w:lvlText w:val="(%1)"/>
      <w:numFmt w:val="lowerLetter"/>
      <w:start w:val="2"/>
    </w:lvl>
    <w:lvl w:ilvl="1">
      <w:lvlJc w:val="left"/>
      <w:lvlText w:val="(%2)"/>
      <w:numFmt w:val="lowerRoman"/>
      <w:start w:val="1"/>
    </w:lvl>
    <w:lvl w:ilvl="2">
      <w:lvlJc w:val="left"/>
      <w:lvlText w:val="(%3)"/>
      <w:numFmt w:val="upperLetter"/>
      <w:start w:val="1"/>
    </w:lvl>
  </w:abstractNum>
  <w:abstractNum w:abstractNumId="55">
    <w:nsid w:val="6A3B714C"/>
    <w:multiLevelType w:val="hybridMultilevel"/>
    <w:lvl w:ilvl="0">
      <w:lvlJc w:val="left"/>
      <w:lvlText w:val="(%1)"/>
      <w:numFmt w:val="lowerRoman"/>
      <w:start w:val="6"/>
    </w:lvl>
  </w:abstractNum>
  <w:abstractNum w:abstractNumId="56">
    <w:nsid w:val="327B517E"/>
    <w:multiLevelType w:val="hybridMultilevel"/>
    <w:lvl w:ilvl="0">
      <w:lvlJc w:val="left"/>
      <w:lvlText w:val="(%1)"/>
      <w:numFmt w:val="lowerLetter"/>
      <w:start w:val="1"/>
    </w:lvl>
  </w:abstractNum>
  <w:abstractNum w:abstractNumId="57">
    <w:nsid w:val="1F461B51"/>
    <w:multiLevelType w:val="hybridMultilevel"/>
    <w:lvl w:ilvl="0">
      <w:lvlJc w:val="left"/>
      <w:lvlText w:val="(%1)"/>
      <w:numFmt w:val="lowerLetter"/>
      <w:start w:val="4"/>
    </w:lvl>
  </w:abstractNum>
  <w:abstractNum w:abstractNumId="58">
    <w:nsid w:val="29BACF25"/>
    <w:multiLevelType w:val="hybridMultilevel"/>
    <w:lvl w:ilvl="0">
      <w:lvlJc w:val="left"/>
      <w:lvlText w:val="(%1)"/>
      <w:numFmt w:val="lowerLetter"/>
      <w:start w:val="1"/>
    </w:lvl>
  </w:abstractNum>
  <w:abstractNum w:abstractNumId="59">
    <w:nsid w:val="5D5BABB3"/>
    <w:multiLevelType w:val="hybridMultilevel"/>
    <w:lvl w:ilvl="0">
      <w:lvlJc w:val="left"/>
      <w:lvlText w:val="(%1)"/>
      <w:numFmt w:val="lowerLetter"/>
      <w:start w:val="1"/>
    </w:lvl>
  </w:abstractNum>
  <w:abstractNum w:abstractNumId="60">
    <w:nsid w:val="51BF6B48"/>
    <w:multiLevelType w:val="hybridMultilevel"/>
    <w:lvl w:ilvl="0">
      <w:lvlJc w:val="left"/>
      <w:lvlText w:val="(%1)"/>
      <w:numFmt w:val="lowerLetter"/>
      <w:start w:val="1"/>
    </w:lvl>
  </w:abstractNum>
  <w:abstractNum w:abstractNumId="61">
    <w:nsid w:val="7E0F6384"/>
    <w:multiLevelType w:val="hybridMultilevel"/>
    <w:lvl w:ilvl="0">
      <w:lvlJc w:val="left"/>
      <w:lvlText w:val="(%1)"/>
      <w:numFmt w:val="lowerLetter"/>
      <w:start w:val="1"/>
    </w:lvl>
  </w:abstractNum>
  <w:abstractNum w:abstractNumId="62">
    <w:nsid w:val="2B4B8B53"/>
    <w:multiLevelType w:val="hybridMultilevel"/>
    <w:lvl w:ilvl="0">
      <w:lvlJc w:val="left"/>
      <w:lvlText w:val="(%1)"/>
      <w:numFmt w:val="lowerLetter"/>
      <w:start w:val="3"/>
    </w:lvl>
  </w:abstractNum>
  <w:abstractNum w:abstractNumId="63">
    <w:nsid w:val="72E3413A"/>
    <w:multiLevelType w:val="hybridMultilevel"/>
    <w:lvl w:ilvl="0">
      <w:lvlJc w:val="left"/>
      <w:lvlText w:val="(%1)"/>
      <w:numFmt w:val="lowerLetter"/>
      <w:start w:val="5"/>
    </w:lvl>
  </w:abstractNum>
  <w:abstractNum w:abstractNumId="64">
    <w:nsid w:val="116AE494"/>
    <w:multiLevelType w:val="hybridMultilevel"/>
    <w:lvl w:ilvl="0">
      <w:lvlJc w:val="left"/>
      <w:lvlText w:val="(%1)"/>
      <w:numFmt w:val="lowerLetter"/>
      <w:start w:val="1"/>
    </w:lvl>
    <w:lvl w:ilvl="1">
      <w:lvlJc w:val="left"/>
      <w:lvlText w:val="(%2)"/>
      <w:numFmt w:val="lowerLetter"/>
      <w:start w:val="9"/>
    </w:lvl>
  </w:abstractNum>
  <w:abstractNum w:abstractNumId="65">
    <w:nsid w:val="3494B2FB"/>
    <w:multiLevelType w:val="hybridMultilevel"/>
    <w:lvl w:ilvl="0">
      <w:lvlJc w:val="left"/>
      <w:lvlText w:val="(%1)"/>
      <w:numFmt w:val="lowerRoman"/>
      <w:start w:val="2"/>
    </w:lvl>
  </w:abstractNum>
  <w:abstractNum w:abstractNumId="66">
    <w:nsid w:val="B13A31"/>
    <w:multiLevelType w:val="hybridMultilevel"/>
    <w:lvl w:ilvl="0">
      <w:lvlJc w:val="left"/>
      <w:lvlText w:val="(%1)"/>
      <w:numFmt w:val="lowerRoman"/>
      <w:start w:val="4"/>
    </w:lvl>
  </w:abstractNum>
  <w:abstractNum w:abstractNumId="67">
    <w:nsid w:val="64429599"/>
    <w:multiLevelType w:val="hybridMultilevel"/>
    <w:lvl w:ilvl="0">
      <w:lvlJc w:val="left"/>
      <w:lvlText w:val="%1"/>
      <w:numFmt w:val="lowerLetter"/>
      <w:start w:val="1"/>
    </w:lvl>
    <w:lvl w:ilvl="1">
      <w:lvlJc w:val="left"/>
      <w:lvlText w:val="(%2)"/>
      <w:numFmt w:val="lowerRoman"/>
      <w:start w:val="5"/>
    </w:lvl>
  </w:abstractNum>
  <w:abstractNum w:abstractNumId="68">
    <w:nsid w:val="631F1690"/>
    <w:multiLevelType w:val="hybridMultilevel"/>
    <w:lvl w:ilvl="0">
      <w:lvlJc w:val="left"/>
      <w:lvlText w:val="(%1)"/>
      <w:numFmt w:val="lowerLetter"/>
      <w:start w:val="2"/>
    </w:lvl>
    <w:lvl w:ilvl="1">
      <w:lvlJc w:val="left"/>
      <w:lvlText w:val="(%2)"/>
      <w:numFmt w:val="lowerRoman"/>
      <w:start w:val="1"/>
    </w:lvl>
  </w:abstractNum>
  <w:abstractNum w:abstractNumId="69">
    <w:nsid w:val="25973E32"/>
    <w:multiLevelType w:val="hybridMultilevel"/>
    <w:lvl w:ilvl="0">
      <w:lvlJc w:val="left"/>
      <w:lvlText w:val="(%1)"/>
      <w:numFmt w:val="upperLetter"/>
      <w:start w:val="3"/>
    </w:lvl>
    <w:lvl w:ilvl="1">
      <w:lvlJc w:val="left"/>
      <w:lvlText w:val="(%2)"/>
      <w:numFmt w:val="lowerLetter"/>
      <w:start w:val="2"/>
    </w:lvl>
    <w:lvl w:ilvl="2">
      <w:lvlJc w:val="left"/>
      <w:lvlText w:val="(%3)"/>
      <w:numFmt w:val="lowerRoman"/>
      <w:start w:val="3"/>
    </w:lvl>
  </w:abstractNum>
  <w:abstractNum w:abstractNumId="70">
    <w:nsid w:val="EAD6F57"/>
    <w:multiLevelType w:val="hybridMultilevel"/>
    <w:lvl w:ilvl="0">
      <w:lvlJc w:val="left"/>
      <w:lvlText w:val="%1"/>
      <w:numFmt w:val="upperLetter"/>
      <w:start w:val="1"/>
    </w:lvl>
    <w:lvl w:ilvl="1">
      <w:lvlJc w:val="left"/>
      <w:lvlText w:val="%2"/>
      <w:numFmt w:val="lowerLetter"/>
      <w:start w:val="1"/>
    </w:lvl>
    <w:lvl w:ilvl="2">
      <w:lvlJc w:val="left"/>
      <w:lvlText w:val="(%3)"/>
      <w:numFmt w:val="lowerRoman"/>
      <w:start w:val="1"/>
    </w:lvl>
  </w:abstractNum>
  <w:abstractNum w:abstractNumId="71">
    <w:nsid w:val="6EC9D844"/>
    <w:multiLevelType w:val="hybridMultilevel"/>
    <w:lvl w:ilvl="0">
      <w:lvlJc w:val="left"/>
      <w:lvlText w:val="%1"/>
      <w:numFmt w:val="lowerLetter"/>
      <w:start w:val="1"/>
    </w:lvl>
    <w:lvl w:ilvl="1">
      <w:lvlJc w:val="left"/>
      <w:lvlText w:val="(%2)"/>
      <w:numFmt w:val="lowerLetter"/>
      <w:start w:val="35"/>
    </w:lvl>
  </w:abstractNum>
  <w:abstractNum w:abstractNumId="72">
    <w:nsid w:val="5C49EAEE"/>
    <w:multiLevelType w:val="hybridMultilevel"/>
    <w:lvl w:ilvl="0">
      <w:lvlJc w:val="left"/>
      <w:lvlText w:val="(%1)"/>
      <w:numFmt w:val="lowerLetter"/>
      <w:start w:val="4"/>
    </w:lvl>
    <w:lvl w:ilvl="1">
      <w:lvlJc w:val="left"/>
      <w:lvlText w:val="(%2)"/>
      <w:numFmt w:val="lowerLetter"/>
      <w:start w:val="9"/>
    </w:lvl>
  </w:abstractNum>
  <w:abstractNum w:abstractNumId="73">
    <w:nsid w:val="64AF49B"/>
    <w:multiLevelType w:val="hybridMultilevel"/>
    <w:lvl w:ilvl="0">
      <w:lvlJc w:val="left"/>
      <w:lvlText w:val="(%1)"/>
      <w:numFmt w:val="lowerRoman"/>
      <w:start w:val="2"/>
    </w:lvl>
  </w:abstractNum>
  <w:abstractNum w:abstractNumId="74">
    <w:nsid w:val="397C46BC"/>
    <w:multiLevelType w:val="hybridMultilevel"/>
    <w:lvl w:ilvl="0">
      <w:lvlJc w:val="left"/>
      <w:lvlText w:val="(%1)"/>
      <w:numFmt w:val="lowerRoman"/>
      <w:start w:val="3"/>
    </w:lvl>
  </w:abstractNum>
  <w:abstractNum w:abstractNumId="75">
    <w:nsid w:val="7E448DE9"/>
    <w:multiLevelType w:val="hybridMultilevel"/>
    <w:lvl w:ilvl="0">
      <w:lvlJc w:val="left"/>
      <w:lvlText w:val="(%1)"/>
      <w:numFmt w:val="lowerLetter"/>
      <w:start w:val="5"/>
    </w:lvl>
  </w:abstractNum>
  <w:abstractNum w:abstractNumId="76">
    <w:nsid w:val="5A9CC3E5"/>
    <w:multiLevelType w:val="hybridMultilevel"/>
    <w:lvl w:ilvl="0">
      <w:lvlJc w:val="left"/>
      <w:lvlText w:val="%1"/>
      <w:numFmt w:val="upperLetter"/>
      <w:start w:val="1"/>
    </w:lvl>
    <w:lvl w:ilvl="1">
      <w:lvlJc w:val="left"/>
      <w:lvlText w:val="(%2)"/>
      <w:numFmt w:val="lowerRoman"/>
      <w:start w:val="1"/>
    </w:lvl>
  </w:abstractNum>
  <w:abstractNum w:abstractNumId="77">
    <w:nsid w:val="1AFE3625"/>
    <w:multiLevelType w:val="hybridMultilevel"/>
    <w:lvl w:ilvl="0">
      <w:lvlJc w:val="left"/>
      <w:lvlText w:val="(%1)"/>
      <w:numFmt w:val="upperLetter"/>
      <w:start w:val="3"/>
    </w:lvl>
    <w:lvl w:ilvl="1">
      <w:lvlJc w:val="left"/>
      <w:lvlText w:val="(%2)"/>
      <w:numFmt w:val="lowerRoman"/>
      <w:start w:val="3"/>
    </w:lvl>
  </w:abstractNum>
  <w:abstractNum w:abstractNumId="78">
    <w:nsid w:val="3CA88ECF"/>
    <w:multiLevelType w:val="hybridMultilevel"/>
    <w:lvl w:ilvl="0">
      <w:lvlJc w:val="left"/>
      <w:lvlText w:val="(%1)"/>
      <w:numFmt w:val="lowerRoman"/>
      <w:start w:val="4"/>
    </w:lvl>
  </w:abstractNum>
  <w:abstractNum w:abstractNumId="79">
    <w:nsid w:val="6EBE4208"/>
    <w:multiLevelType w:val="hybridMultilevel"/>
    <w:lvl w:ilvl="0">
      <w:lvlJc w:val="left"/>
      <w:lvlText w:val="(%1)"/>
      <w:numFmt w:val="lowerLetter"/>
      <w:start w:val="7"/>
    </w:lvl>
    <w:lvl w:ilvl="1">
      <w:lvlJc w:val="left"/>
      <w:lvlText w:val="(%2)"/>
      <w:numFmt w:val="lowerRoman"/>
      <w:start w:val="1"/>
    </w:lvl>
  </w:abstractNum>
  <w:abstractNum w:abstractNumId="80">
    <w:nsid w:val="C058DF5"/>
    <w:multiLevelType w:val="hybridMultilevel"/>
    <w:lvl w:ilvl="0">
      <w:lvlJc w:val="left"/>
      <w:lvlText w:val="(%1)"/>
      <w:numFmt w:val="lowerRoman"/>
      <w:start w:val="4"/>
    </w:lvl>
  </w:abstractNum>
  <w:abstractNum w:abstractNumId="81">
    <w:nsid w:val="CBE5BE9"/>
    <w:multiLevelType w:val="hybridMultilevel"/>
    <w:lvl w:ilvl="0">
      <w:lvlJc w:val="left"/>
      <w:lvlText w:val="(%1)"/>
      <w:numFmt w:val="lowerLetter"/>
      <w:start w:val="1"/>
    </w:lvl>
    <w:lvl w:ilvl="1">
      <w:lvlJc w:val="left"/>
      <w:lvlText w:val="(%2)"/>
      <w:numFmt w:val="lowerRoman"/>
      <w:start w:val="1"/>
    </w:lvl>
  </w:abstractNum>
  <w:abstractNum w:abstractNumId="82">
    <w:nsid w:val="3102BBE2"/>
    <w:multiLevelType w:val="hybridMultilevel"/>
    <w:lvl w:ilvl="0">
      <w:lvlJc w:val="left"/>
      <w:lvlText w:val="%1"/>
      <w:numFmt w:val="lowerLetter"/>
      <w:start w:val="1"/>
    </w:lvl>
    <w:lvl w:ilvl="1">
      <w:lvlJc w:val="left"/>
      <w:lvlText w:val="(%2)"/>
      <w:numFmt w:val="lowerLetter"/>
      <w:start w:val="22"/>
    </w:lvl>
  </w:abstractNum>
  <w:abstractNum w:abstractNumId="83">
    <w:nsid w:val="26A02C5E"/>
    <w:multiLevelType w:val="hybridMultilevel"/>
    <w:lvl w:ilvl="0">
      <w:lvlJc w:val="left"/>
      <w:lvlText w:val="(%1)"/>
      <w:numFmt w:val="lowerLetter"/>
      <w:start w:val="2"/>
    </w:lvl>
    <w:lvl w:ilvl="1">
      <w:lvlJc w:val="left"/>
      <w:lvlText w:val="(%2)"/>
      <w:numFmt w:val="lowerLetter"/>
      <w:start w:val="9"/>
    </w:lvl>
  </w:abstractNum>
  <w:abstractNum w:abstractNumId="84">
    <w:nsid w:val="541C8153"/>
    <w:multiLevelType w:val="hybridMultilevel"/>
    <w:lvl w:ilvl="0">
      <w:lvlJc w:val="left"/>
      <w:lvlText w:val="(%1)"/>
      <w:numFmt w:val="lowerRoman"/>
      <w:start w:val="2"/>
    </w:lvl>
  </w:abstractNum>
  <w:abstractNum w:abstractNumId="85">
    <w:nsid w:val="67906F60"/>
    <w:multiLevelType w:val="hybridMultilevel"/>
    <w:lvl w:ilvl="0">
      <w:lvlJc w:val="left"/>
      <w:lvlText w:val="(%1)"/>
      <w:numFmt w:val="lowerLetter"/>
      <w:start w:val="3"/>
    </w:lvl>
  </w:abstractNum>
  <w:abstractNum w:abstractNumId="86">
    <w:nsid w:val="10DB9DAA"/>
    <w:multiLevelType w:val="hybridMultilevel"/>
    <w:lvl w:ilvl="0">
      <w:lvlJc w:val="left"/>
      <w:lvlText w:val="(%1)"/>
      <w:numFmt w:val="lowerLetter"/>
      <w:start w:val="6"/>
    </w:lvl>
  </w:abstractNum>
  <w:abstractNum w:abstractNumId="87">
    <w:nsid w:val="697D2D2"/>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1"/>
    </w:lvl>
  </w:abstractNum>
  <w:abstractNum w:abstractNumId="88">
    <w:nsid w:val="6D68AB2"/>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2"/>
    </w:lvl>
  </w:abstractNum>
  <w:abstractNum w:abstractNumId="89">
    <w:nsid w:val="3A966CD0"/>
    <w:multiLevelType w:val="hybridMultilevel"/>
    <w:lvl w:ilvl="0">
      <w:lvlJc w:val="left"/>
      <w:lvlText w:val="%1"/>
      <w:numFmt w:val="lowerLetter"/>
      <w:start w:val="1"/>
    </w:lvl>
    <w:lvl w:ilvl="1">
      <w:lvlJc w:val="left"/>
      <w:lvlText w:val="(%2)"/>
      <w:numFmt w:val="lowerRoman"/>
      <w:start w:val="3"/>
    </w:lvl>
    <w:lvl w:ilvl="2">
      <w:lvlJc w:val="left"/>
      <w:lvlText w:val="(%3)"/>
      <w:numFmt w:val="upperLetter"/>
      <w:start w:val="1"/>
    </w:lvl>
  </w:abstractNum>
  <w:abstractNum w:abstractNumId="90">
    <w:nsid w:val="63F37E85"/>
    <w:multiLevelType w:val="hybridMultilevel"/>
    <w:lvl w:ilvl="0">
      <w:lvlJc w:val="left"/>
      <w:lvlText w:val="(%1)"/>
      <w:numFmt w:val="lowerLetter"/>
      <w:start w:val="2"/>
    </w:lvl>
    <w:lvl w:ilvl="1">
      <w:lvlJc w:val="left"/>
      <w:lvlText w:val="%2"/>
      <w:numFmt w:val="lowerRoman"/>
      <w:start w:val="1"/>
    </w:lvl>
    <w:lvl w:ilvl="2">
      <w:lvlJc w:val="left"/>
      <w:lvlText w:val="%3"/>
      <w:numFmt w:val="upperLetter"/>
      <w:start w:val="1"/>
    </w:lvl>
  </w:abstractNum>
  <w:abstractNum w:abstractNumId="91">
    <w:nsid w:val="5895F5FA"/>
    <w:multiLevelType w:val="hybridMultilevel"/>
    <w:lvl w:ilvl="0">
      <w:lvlJc w:val="left"/>
      <w:lvlText w:val="(%1)"/>
      <w:numFmt w:val="lowerRoman"/>
      <w:start w:val="1"/>
    </w:lvl>
  </w:abstractNum>
  <w:abstractNum w:abstractNumId="92">
    <w:nsid w:val="38A5D054"/>
    <w:multiLevelType w:val="hybridMultilevel"/>
    <w:lvl w:ilvl="0">
      <w:lvlJc w:val="left"/>
      <w:lvlText w:val="(%1)"/>
      <w:numFmt w:val="lowerRoman"/>
      <w:start w:val="3"/>
    </w:lvl>
  </w:abstractNum>
  <w:abstractNum w:abstractNumId="93">
    <w:nsid w:val="F3F09D8"/>
    <w:multiLevelType w:val="hybridMultilevel"/>
    <w:lvl w:ilvl="0">
      <w:lvlJc w:val="left"/>
      <w:lvlText w:val="%1"/>
      <w:numFmt w:val="lowerLetter"/>
      <w:start w:val="1"/>
    </w:lvl>
    <w:lvl w:ilvl="1">
      <w:lvlJc w:val="left"/>
      <w:lvlText w:val="(%2)"/>
      <w:numFmt w:val="lowerLetter"/>
      <w:start w:val="22"/>
    </w:lvl>
  </w:abstractNum>
  <w:abstractNum w:abstractNumId="94">
    <w:nsid w:val="4B793735"/>
    <w:multiLevelType w:val="hybridMultilevel"/>
    <w:lvl w:ilvl="0">
      <w:lvlJc w:val="left"/>
      <w:lvlText w:val="(%1)"/>
      <w:numFmt w:val="lowerLetter"/>
      <w:start w:val="3"/>
    </w:lvl>
    <w:lvl w:ilvl="1">
      <w:lvlJc w:val="left"/>
      <w:lvlText w:val="(%2)"/>
      <w:numFmt w:val="lowerLetter"/>
      <w:start w:val="9"/>
    </w:lvl>
  </w:abstractNum>
  <w:abstractNum w:abstractNumId="95">
    <w:nsid w:val="4A10B4E8"/>
    <w:multiLevelType w:val="hybridMultilevel"/>
    <w:lvl w:ilvl="0">
      <w:lvlJc w:val="left"/>
      <w:lvlText w:val="(%1)"/>
      <w:numFmt w:val="lowerRoman"/>
      <w:start w:val="2"/>
    </w:lvl>
  </w:abstractNum>
  <w:abstractNum w:abstractNumId="96">
    <w:nsid w:val="43D3BCD4"/>
    <w:multiLevelType w:val="hybridMultilevel"/>
    <w:lvl w:ilvl="0">
      <w:lvlJc w:val="left"/>
      <w:lvlText w:val="%1"/>
      <w:numFmt w:val="lowerLetter"/>
      <w:start w:val="1"/>
    </w:lvl>
    <w:lvl w:ilvl="1">
      <w:lvlJc w:val="left"/>
      <w:lvlText w:val="(%2)"/>
      <w:numFmt w:val="lowerRoman"/>
      <w:start w:val="6"/>
    </w:lvl>
  </w:abstractNum>
  <w:abstractNum w:abstractNumId="97">
    <w:nsid w:val="4C2A7166"/>
    <w:multiLevelType w:val="hybridMultilevel"/>
    <w:lvl w:ilvl="0">
      <w:lvlJc w:val="left"/>
      <w:lvlText w:val="(%1)"/>
      <w:numFmt w:val="lowerLetter"/>
      <w:start w:val="4"/>
    </w:lvl>
    <w:lvl w:ilvl="1">
      <w:lvlJc w:val="left"/>
      <w:lvlText w:val="(%2)"/>
      <w:numFmt w:val="lowerRoman"/>
      <w:start w:val="1"/>
    </w:lvl>
  </w:abstractNum>
  <w:abstractNum w:abstractNumId="98">
    <w:nsid w:val="2E534A82"/>
    <w:multiLevelType w:val="hybridMultilevel"/>
    <w:lvl w:ilvl="0">
      <w:lvlJc w:val="left"/>
      <w:lvlText w:val="(%1)"/>
      <w:numFmt w:val="lowerLetter"/>
      <w:start w:val="9"/>
    </w:lvl>
    <w:lvl w:ilvl="1">
      <w:lvlJc w:val="left"/>
      <w:lvlText w:val="%2"/>
      <w:numFmt w:val="lowerRoman"/>
      <w:start w:val="1"/>
    </w:lvl>
  </w:abstractNum>
  <w:abstractNum w:abstractNumId="99">
    <w:nsid w:val="26F2D364"/>
    <w:multiLevelType w:val="hybridMultilevel"/>
    <w:lvl w:ilvl="0">
      <w:lvlJc w:val="left"/>
      <w:lvlText w:val="(%1)"/>
      <w:numFmt w:val="lowerLetter"/>
      <w:start w:val="5"/>
    </w:lvl>
    <w:lvl w:ilvl="1">
      <w:lvlJc w:val="left"/>
      <w:lvlText w:val="(%2)"/>
      <w:numFmt w:val="lowerRoman"/>
      <w:start w:val="1"/>
    </w:lvl>
  </w:abstractNum>
  <w:abstractNum w:abstractNumId="100">
    <w:nsid w:val="71C1AF98"/>
    <w:multiLevelType w:val="hybridMultilevel"/>
    <w:lvl w:ilvl="0">
      <w:lvlJc w:val="left"/>
      <w:lvlText w:val="(%1)"/>
      <w:numFmt w:val="lowerRoman"/>
      <w:start w:val="4"/>
    </w:lvl>
  </w:abstractNum>
  <w:abstractNum w:abstractNumId="101">
    <w:nsid w:val="3D00B9D9"/>
    <w:multiLevelType w:val="hybridMultilevel"/>
    <w:lvl w:ilvl="0">
      <w:lvlJc w:val="left"/>
      <w:lvlText w:val="(%1)"/>
      <w:numFmt w:val="lowerRoman"/>
      <w:start w:val="4"/>
    </w:lvl>
  </w:abstractNum>
  <w:abstractNum w:abstractNumId="102">
    <w:nsid w:val="15BCABA8"/>
    <w:multiLevelType w:val="hybridMultilevel"/>
    <w:lvl w:ilvl="0">
      <w:lvlJc w:val="left"/>
      <w:lvlText w:val="(%1)"/>
      <w:numFmt w:val="lowerLetter"/>
      <w:start w:val="6"/>
    </w:lvl>
    <w:lvl w:ilvl="1">
      <w:lvlJc w:val="left"/>
      <w:lvlText w:val="(%2)"/>
      <w:numFmt w:val="upperLetter"/>
      <w:start w:val="1"/>
    </w:lvl>
  </w:abstractNum>
  <w:abstractNum w:abstractNumId="103">
    <w:nsid w:val="4E0B9A87"/>
    <w:multiLevelType w:val="hybridMultilevel"/>
    <w:lvl w:ilvl="0">
      <w:lvlJc w:val="left"/>
      <w:lvlText w:val="%1"/>
      <w:numFmt w:val="lowerLetter"/>
      <w:start w:val="1"/>
    </w:lvl>
    <w:lvl w:ilvl="1">
      <w:lvlJc w:val="left"/>
      <w:lvlText w:val="(%2)"/>
      <w:numFmt w:val="upperLetter"/>
      <w:start w:val="2"/>
    </w:lvl>
  </w:abstractNum>
  <w:abstractNum w:abstractNumId="104">
    <w:nsid w:val="434BAE75"/>
    <w:multiLevelType w:val="hybridMultilevel"/>
    <w:lvl w:ilvl="0">
      <w:lvlJc w:val="left"/>
      <w:lvlText w:val="(%1)"/>
      <w:numFmt w:val="lowerLetter"/>
      <w:start w:val="9"/>
    </w:lvl>
    <w:lvl w:ilvl="1">
      <w:lvlJc w:val="left"/>
      <w:lvlText w:val="%2"/>
      <w:numFmt w:val="upperLetter"/>
      <w:start w:val="1"/>
    </w:lvl>
  </w:abstractNum>
  <w:abstractNum w:abstractNumId="105">
    <w:nsid w:val="4F38F265"/>
    <w:multiLevelType w:val="hybridMultilevel"/>
    <w:lvl w:ilvl="0">
      <w:lvlJc w:val="left"/>
      <w:lvlText w:val="(%1)"/>
      <w:numFmt w:val="lowerLetter"/>
      <w:start w:val="1"/>
    </w:lvl>
    <w:lvl w:ilvl="1">
      <w:lvlJc w:val="left"/>
      <w:lvlText w:val="(%2)"/>
      <w:numFmt w:val="lowerLetter"/>
      <w:start w:val="9"/>
    </w:lvl>
  </w:abstractNum>
  <w:abstractNum w:abstractNumId="106">
    <w:nsid w:val="4C502870"/>
    <w:multiLevelType w:val="hybridMultilevel"/>
    <w:lvl w:ilvl="0">
      <w:lvlJc w:val="left"/>
      <w:lvlText w:val="%1"/>
      <w:numFmt w:val="lowerLetter"/>
      <w:start w:val="1"/>
    </w:lvl>
    <w:lvl w:ilvl="1">
      <w:lvlJc w:val="left"/>
      <w:lvlText w:val="(%2)"/>
      <w:numFmt w:val="lowerLetter"/>
      <w:start w:val="35"/>
    </w:lvl>
    <w:lvl w:ilvl="2">
      <w:lvlJc w:val="left"/>
      <w:lvlText w:val="%3"/>
      <w:numFmt w:val="upperLetter"/>
      <w:start w:val="1"/>
    </w:lvl>
  </w:abstractNum>
  <w:abstractNum w:abstractNumId="107">
    <w:nsid w:val="1DE8725A"/>
    <w:multiLevelType w:val="hybridMultilevel"/>
    <w:lvl w:ilvl="0">
      <w:lvlJc w:val="left"/>
      <w:lvlText w:val="(%1)"/>
      <w:numFmt w:val="lowerLetter"/>
      <w:start w:val="2"/>
    </w:lvl>
    <w:lvl w:ilvl="1">
      <w:lvlJc w:val="left"/>
      <w:lvlText w:val="(%2)"/>
      <w:numFmt w:val="lowerLetter"/>
      <w:start w:val="9"/>
    </w:lvl>
    <w:lvl w:ilvl="2">
      <w:lvlJc w:val="left"/>
      <w:lvlText w:val="(%3)"/>
      <w:numFmt w:val="upperLetter"/>
      <w:start w:val="1"/>
    </w:lvl>
  </w:abstractNum>
  <w:abstractNum w:abstractNumId="108">
    <w:nsid w:val="6A37288A"/>
    <w:multiLevelType w:val="hybridMultilevel"/>
    <w:lvl w:ilvl="0">
      <w:lvlJc w:val="left"/>
      <w:lvlText w:val="(%1)"/>
      <w:numFmt w:val="upperLetter"/>
      <w:start w:val="2"/>
    </w:lvl>
  </w:abstractNum>
  <w:abstractNum w:abstractNumId="109">
    <w:nsid w:val="8F8B73F"/>
    <w:multiLevelType w:val="hybridMultilevel"/>
    <w:lvl w:ilvl="0">
      <w:lvlJc w:val="left"/>
      <w:lvlText w:val="%1"/>
      <w:numFmt w:val="lowerRoman"/>
      <w:start w:val="1"/>
    </w:lvl>
    <w:lvl w:ilvl="1">
      <w:lvlJc w:val="left"/>
      <w:lvlText w:val="(%2)"/>
      <w:numFmt w:val="upperLetter"/>
      <w:start w:val="4"/>
    </w:lvl>
  </w:abstractNum>
  <w:abstractNum w:abstractNumId="110">
    <w:nsid w:val="CA6B462"/>
    <w:multiLevelType w:val="hybridMultilevel"/>
    <w:lvl w:ilvl="0">
      <w:lvlJc w:val="left"/>
      <w:lvlText w:val="(%1)"/>
      <w:numFmt w:val="lowerRoman"/>
      <w:start w:val="2"/>
    </w:lvl>
    <w:lvl w:ilvl="1">
      <w:lvlJc w:val="left"/>
      <w:lvlText w:val="(%2)"/>
      <w:numFmt w:val="upperLetter"/>
      <w:start w:val="1"/>
    </w:lvl>
  </w:abstractNum>
  <w:abstractNum w:abstractNumId="111">
    <w:nsid w:val="763CB680"/>
    <w:multiLevelType w:val="hybridMultilevel"/>
    <w:lvl w:ilvl="0">
      <w:lvlJc w:val="left"/>
      <w:lvlText w:val="(%1)"/>
      <w:numFmt w:val="upperLetter"/>
      <w:start w:val="2"/>
    </w:lvl>
  </w:abstractNum>
  <w:abstractNum w:abstractNumId="112">
    <w:nsid w:val="15B71329"/>
    <w:multiLevelType w:val="hybridMultilevel"/>
    <w:lvl w:ilvl="0">
      <w:lvlJc w:val="left"/>
      <w:lvlText w:val="(%1)"/>
      <w:numFmt w:val="lowerLetter"/>
      <w:start w:val="3"/>
    </w:lvl>
    <w:lvl w:ilvl="1">
      <w:lvlJc w:val="left"/>
      <w:lvlText w:val="(%2)"/>
      <w:numFmt w:val="lowerRoman"/>
      <w:start w:val="1"/>
    </w:lvl>
    <w:lvl w:ilvl="2">
      <w:lvlJc w:val="left"/>
      <w:lvlText w:val="(%3)"/>
      <w:numFmt w:val="upperLetter"/>
      <w:start w:val="1"/>
    </w:lvl>
  </w:abstractNum>
  <w:abstractNum w:abstractNumId="113">
    <w:nsid w:val="3DA97044"/>
    <w:multiLevelType w:val="hybridMultilevel"/>
    <w:lvl w:ilvl="0">
      <w:lvlJc w:val="left"/>
      <w:lvlText w:val="(%1)"/>
      <w:numFmt w:val="lowerLetter"/>
      <w:start w:val="4"/>
    </w:lvl>
  </w:abstractNum>
  <w:abstractNum w:abstractNumId="114">
    <w:nsid w:val="1CDCE2DE"/>
    <w:multiLevelType w:val="hybridMultilevel"/>
    <w:lvl w:ilvl="0">
      <w:lvlJc w:val="left"/>
      <w:lvlText w:val="%1"/>
      <w:numFmt w:val="lowerLetter"/>
      <w:start w:val="1"/>
    </w:lvl>
    <w:lvl w:ilvl="1">
      <w:lvlJc w:val="left"/>
      <w:lvlText w:val="(%2)"/>
      <w:numFmt w:val="lowerLetter"/>
      <w:start w:val="2"/>
    </w:lvl>
  </w:abstractNum>
  <w:abstractNum w:abstractNumId="115">
    <w:nsid w:val="69D3947C"/>
    <w:multiLevelType w:val="hybridMultilevel"/>
    <w:lvl w:ilvl="0">
      <w:lvlJc w:val="left"/>
      <w:lvlText w:val="(%1)"/>
      <w:numFmt w:val="lowerLetter"/>
      <w:start w:val="9"/>
    </w:lvl>
    <w:lvl w:ilvl="1">
      <w:lvlJc w:val="left"/>
      <w:lvlText w:val="(%2)"/>
      <w:numFmt w:val="lowerLetter"/>
      <w:start w:val="3"/>
    </w:lvl>
  </w:abstractNum>
  <w:abstractNum w:abstractNumId="116">
    <w:nsid w:val="2539DFA5"/>
    <w:multiLevelType w:val="hybridMultilevel"/>
    <w:lvl w:ilvl="0">
      <w:lvlJc w:val="left"/>
      <w:lvlText w:val="(%1)"/>
      <w:numFmt w:val="lowerLetter"/>
      <w:start w:val="1"/>
    </w:lvl>
    <w:lvl w:ilvl="1">
      <w:lvlJc w:val="left"/>
      <w:lvlText w:val="(%2)"/>
      <w:numFmt w:val="lowerRoman"/>
      <w:start w:val="1"/>
    </w:lvl>
  </w:abstractNum>
  <w:abstractNum w:abstractNumId="117">
    <w:nsid w:val="2DB88089"/>
    <w:multiLevelType w:val="hybridMultilevel"/>
    <w:lvl w:ilvl="0">
      <w:lvlJc w:val="left"/>
      <w:lvlText w:val="%1"/>
      <w:numFmt w:val="lowerLetter"/>
      <w:start w:val="1"/>
    </w:lvl>
    <w:lvl w:ilvl="1">
      <w:lvlJc w:val="left"/>
      <w:lvlText w:val="(%2)"/>
      <w:numFmt w:val="lowerRoman"/>
      <w:start w:val="1"/>
    </w:lvl>
  </w:abstractNum>
  <w:abstractNum w:abstractNumId="118">
    <w:nsid w:val="706B674E"/>
    <w:multiLevelType w:val="hybridMultilevel"/>
    <w:lvl w:ilvl="0">
      <w:lvlJc w:val="left"/>
      <w:lvlText w:val="(%1)"/>
      <w:numFmt w:val="lowerLetter"/>
      <w:start w:val="3"/>
    </w:lvl>
    <w:lvl w:ilvl="1">
      <w:lvlJc w:val="left"/>
      <w:lvlText w:val="(%2)"/>
      <w:numFmt w:val="lowerRoman"/>
      <w:start w:val="1"/>
    </w:lvl>
  </w:abstractNum>
  <w:abstractNum w:abstractNumId="119">
    <w:nsid w:val="2C106A57"/>
    <w:multiLevelType w:val="hybridMultilevel"/>
    <w:lvl w:ilvl="0">
      <w:lvlJc w:val="left"/>
      <w:lvlText w:val="(%1)"/>
      <w:numFmt w:val="upperLetter"/>
      <w:start w:val="1"/>
    </w:lvl>
  </w:abstractNum>
  <w:abstractNum w:abstractNumId="120">
    <w:nsid w:val="684EED59"/>
    <w:multiLevelType w:val="hybridMultilevel"/>
    <w:lvl w:ilvl="0">
      <w:lvlJc w:val="left"/>
      <w:lvlText w:val="(%1)"/>
      <w:numFmt w:val="lowerLetter"/>
      <w:start w:val="1"/>
    </w:lvl>
  </w:abstractNum>
  <w:abstractNum w:abstractNumId="121">
    <w:nsid w:val="545EE5D3"/>
    <w:multiLevelType w:val="hybridMultilevel"/>
    <w:lvl w:ilvl="0">
      <w:lvlJc w:val="left"/>
      <w:lvlText w:val="(%1)"/>
      <w:numFmt w:val="lowerLetter"/>
      <w:start w:val="1"/>
    </w:lvl>
  </w:abstractNum>
  <w:abstractNum w:abstractNumId="122">
    <w:nsid w:val="4A66051"/>
    <w:multiLevelType w:val="hybridMultilevel"/>
    <w:lvl w:ilvl="0">
      <w:lvlJc w:val="left"/>
      <w:lvlText w:val="(%1)"/>
      <w:numFmt w:val="lowerLetter"/>
      <w:start w:val="2"/>
    </w:lvl>
    <w:lvl w:ilvl="1">
      <w:lvlJc w:val="left"/>
      <w:lvlText w:val="(%2)"/>
      <w:numFmt w:val="lowerRoman"/>
      <w:start w:val="1"/>
    </w:lvl>
  </w:abstractNum>
  <w:abstractNum w:abstractNumId="123">
    <w:nsid w:val="20F4BDAD"/>
    <w:multiLevelType w:val="hybridMultilevel"/>
    <w:lvl w:ilvl="0">
      <w:lvlJc w:val="left"/>
      <w:lvlText w:val="(%1)"/>
      <w:numFmt w:val="lowerLetter"/>
      <w:start w:val="1"/>
    </w:lvl>
    <w:lvl w:ilvl="1">
      <w:lvlJc w:val="left"/>
      <w:lvlText w:val="(%2)"/>
      <w:numFmt w:val="lowerLetter"/>
      <w:start w:val="9"/>
    </w:lvl>
  </w:abstractNum>
  <w:abstractNum w:abstractNumId="124">
    <w:nsid w:val="639DEFAC"/>
    <w:multiLevelType w:val="hybridMultilevel"/>
    <w:lvl w:ilvl="0">
      <w:lvlJc w:val="left"/>
      <w:lvlText w:val="(%1)"/>
      <w:numFmt w:val="lowerRoman"/>
      <w:start w:val="2"/>
    </w:lvl>
  </w:abstractNum>
  <w:abstractNum w:abstractNumId="125">
    <w:nsid w:val="501F9786"/>
    <w:multiLevelType w:val="hybridMultilevel"/>
    <w:lvl w:ilvl="0">
      <w:lvlJc w:val="left"/>
      <w:lvlText w:val="%1"/>
      <w:numFmt w:val="lowerLetter"/>
      <w:start w:val="1"/>
    </w:lvl>
    <w:lvl w:ilvl="1">
      <w:lvlJc w:val="left"/>
      <w:lvlText w:val="(%2)"/>
      <w:numFmt w:val="upperLetter"/>
      <w:start w:val="1"/>
    </w:lvl>
  </w:abstractNum>
  <w:abstractNum w:abstractNumId="126">
    <w:nsid w:val="6B057295"/>
    <w:multiLevelType w:val="hybridMultilevel"/>
    <w:lvl w:ilvl="0">
      <w:lvlJc w:val="left"/>
      <w:lvlText w:val="(%1)"/>
      <w:numFmt w:val="lowerLetter"/>
      <w:start w:val="2"/>
    </w:lvl>
    <w:lvl w:ilvl="1">
      <w:lvlJc w:val="left"/>
      <w:lvlText w:val="%2"/>
      <w:numFmt w:val="upperLetter"/>
      <w:start w:val="1"/>
    </w:lvl>
  </w:abstractNum>
  <w:abstractNum w:abstractNumId="127">
    <w:nsid w:val="2771AC80"/>
    <w:multiLevelType w:val="hybridMultilevel"/>
    <w:lvl w:ilvl="0">
      <w:lvlJc w:val="left"/>
      <w:lvlText w:val="(%1)"/>
      <w:numFmt w:val="lowerRoman"/>
      <w:start w:val="1"/>
    </w:lvl>
  </w:abstractNum>
  <w:abstractNum w:abstractNumId="128">
    <w:nsid w:val="1C4A08EC"/>
    <w:multiLevelType w:val="hybridMultilevel"/>
    <w:lvl w:ilvl="0">
      <w:lvlJc w:val="left"/>
      <w:lvlText w:val="%1"/>
      <w:numFmt w:val="lowerLetter"/>
      <w:start w:val="1"/>
    </w:lvl>
    <w:lvl w:ilvl="1">
      <w:lvlJc w:val="left"/>
      <w:lvlText w:val="(%2)"/>
      <w:numFmt w:val="lowerLetter"/>
      <w:start w:val="35"/>
    </w:lvl>
  </w:abstractNum>
  <w:abstractNum w:abstractNumId="129">
    <w:nsid w:val="1958BD17"/>
    <w:multiLevelType w:val="hybridMultilevel"/>
    <w:lvl w:ilvl="0">
      <w:lvlJc w:val="left"/>
      <w:lvlText w:val="(%1)"/>
      <w:numFmt w:val="lowerLetter"/>
      <w:start w:val="3"/>
    </w:lvl>
    <w:lvl w:ilvl="1">
      <w:lvlJc w:val="left"/>
      <w:lvlText w:val="(%2)"/>
      <w:numFmt w:val="lowerLetter"/>
      <w:start w:val="9"/>
    </w:lvl>
  </w:abstractNum>
  <w:abstractNum w:abstractNumId="130">
    <w:nsid w:val="4E647FE4"/>
    <w:multiLevelType w:val="hybridMultilevel"/>
    <w:lvl w:ilvl="0">
      <w:lvlJc w:val="left"/>
      <w:lvlText w:val="(%1)"/>
      <w:numFmt w:val="lowerRoman"/>
      <w:start w:val="2"/>
    </w:lvl>
  </w:abstractNum>
  <w:abstractNum w:abstractNumId="131">
    <w:nsid w:val="E0BB885"/>
    <w:multiLevelType w:val="hybridMultilevel"/>
    <w:lvl w:ilvl="0">
      <w:lvlJc w:val="left"/>
      <w:lvlText w:val="(%1)"/>
      <w:numFmt w:val="lowerLetter"/>
      <w:start w:val="1"/>
    </w:lvl>
  </w:abstractNum>
  <w:abstractNum w:abstractNumId="132">
    <w:nsid w:val="565976F1"/>
    <w:multiLevelType w:val="hybridMultilevel"/>
    <w:lvl w:ilvl="0">
      <w:lvlJc w:val="left"/>
      <w:lvlText w:val="(%1)"/>
      <w:numFmt w:val="lowerLetter"/>
      <w:start w:val="1"/>
    </w:lvl>
  </w:abstractNum>
  <w:abstractNum w:abstractNumId="133">
    <w:nsid w:val="64212B8C"/>
    <w:multiLevelType w:val="hybridMultilevel"/>
    <w:lvl w:ilvl="0">
      <w:lvlJc w:val="left"/>
      <w:lvlText w:val="(%1)"/>
      <w:numFmt w:val="lowerLetter"/>
      <w:start w:val="2"/>
    </w:lvl>
  </w:abstractNum>
  <w:abstractNum w:abstractNumId="134">
    <w:nsid w:val="5C17530C"/>
    <w:multiLevelType w:val="hybridMultilevel"/>
    <w:lvl w:ilvl="0">
      <w:lvlJc w:val="left"/>
      <w:lvlText w:val="(%1)"/>
      <w:numFmt w:val="lowerRoman"/>
      <w:start w:val="1"/>
    </w:lvl>
  </w:abstractNum>
  <w:abstractNum w:abstractNumId="135">
    <w:nsid w:val="19A52566"/>
    <w:multiLevelType w:val="hybridMultilevel"/>
    <w:lvl w:ilvl="0">
      <w:lvlJc w:val="left"/>
      <w:lvlText w:val="(%1)"/>
      <w:numFmt w:val="lowerLetter"/>
      <w:start w:val="3"/>
    </w:lvl>
  </w:abstractNum>
  <w:abstractNum w:abstractNumId="136">
    <w:nsid w:val="335A1DF1"/>
    <w:multiLevelType w:val="hybridMultilevel"/>
    <w:lvl w:ilvl="0">
      <w:lvlJc w:val="left"/>
      <w:lvlText w:val="(%1)"/>
      <w:numFmt w:val="lowerRoman"/>
      <w:start w:val="1"/>
    </w:lvl>
  </w:abstractNum>
  <w:abstractNum w:abstractNumId="137">
    <w:nsid w:val="28677B7C"/>
    <w:multiLevelType w:val="hybridMultilevel"/>
    <w:lvl w:ilvl="0">
      <w:lvlJc w:val="left"/>
      <w:lvlText w:val="(%1)"/>
      <w:numFmt w:val="lowerLetter"/>
      <w:start w:val="1"/>
    </w:lvl>
  </w:abstractNum>
  <w:abstractNum w:abstractNumId="138">
    <w:nsid w:val="378D97C0"/>
    <w:multiLevelType w:val="hybridMultilevel"/>
    <w:lvl w:ilvl="0">
      <w:lvlJc w:val="left"/>
      <w:lvlText w:val="(%1)"/>
      <w:numFmt w:val="lowerLetter"/>
      <w:start w:val="2"/>
    </w:lvl>
  </w:abstractNum>
  <w:abstractNum w:abstractNumId="139">
    <w:nsid w:val="1D91467C"/>
    <w:multiLevelType w:val="hybridMultilevel"/>
    <w:lvl w:ilvl="0">
      <w:lvlJc w:val="left"/>
      <w:lvlText w:val="(%1)"/>
      <w:numFmt w:val="lowerLetter"/>
      <w:start w:val="1"/>
    </w:lvl>
  </w:abstractNum>
  <w:abstractNum w:abstractNumId="140">
    <w:nsid w:val="316032BB"/>
    <w:multiLevelType w:val="hybridMultilevel"/>
    <w:lvl w:ilvl="0">
      <w:lvlJc w:val="left"/>
      <w:lvlText w:val="(%1)"/>
      <w:numFmt w:val="lowerLetter"/>
      <w:start w:val="3"/>
    </w:lvl>
  </w:abstractNum>
  <w:abstractNum w:abstractNumId="141">
    <w:nsid w:val="44344C22"/>
    <w:multiLevelType w:val="hybridMultilevel"/>
    <w:lvl w:ilvl="0">
      <w:lvlJc w:val="left"/>
      <w:lvlText w:val="(%1)"/>
      <w:numFmt w:val="lowerLetter"/>
      <w:start w:val="1"/>
    </w:lvl>
    <w:lvl w:ilvl="1">
      <w:lvlJc w:val="left"/>
      <w:lvlText w:val="(%2)"/>
      <w:numFmt w:val="lowerLetter"/>
      <w:start w:val="9"/>
    </w:lvl>
  </w:abstractNum>
  <w:abstractNum w:abstractNumId="142">
    <w:nsid w:val="13CDFCFC"/>
    <w:multiLevelType w:val="hybridMultilevel"/>
    <w:lvl w:ilvl="0">
      <w:lvlJc w:val="left"/>
      <w:lvlText w:val="(%1)"/>
      <w:numFmt w:val="lowerRoman"/>
      <w:start w:val="2"/>
    </w:lvl>
  </w:abstractNum>
  <w:abstractNum w:abstractNumId="143">
    <w:nsid w:val="471745E4"/>
    <w:multiLevelType w:val="hybridMultilevel"/>
    <w:lvl w:ilvl="0">
      <w:lvlJc w:val="left"/>
      <w:lvlText w:val="%1"/>
      <w:numFmt w:val="lowerLetter"/>
      <w:start w:val="1"/>
    </w:lvl>
    <w:lvl w:ilvl="1">
      <w:lvlJc w:val="left"/>
      <w:lvlText w:val="(%2)"/>
      <w:numFmt w:val="lowerRoman"/>
      <w:start w:val="4"/>
    </w:lvl>
  </w:abstractNum>
  <w:abstractNum w:abstractNumId="144">
    <w:nsid w:val="1DDBC66"/>
    <w:multiLevelType w:val="hybridMultilevel"/>
    <w:lvl w:ilvl="0">
      <w:lvlJc w:val="left"/>
      <w:lvlText w:val="(%1)"/>
      <w:numFmt w:val="lowerLetter"/>
      <w:start w:val="2"/>
    </w:lvl>
    <w:lvl w:ilvl="1">
      <w:lvlJc w:val="left"/>
      <w:lvlText w:val="%2"/>
      <w:numFmt w:val="lowerRoman"/>
      <w:start w:val="1"/>
    </w:lvl>
  </w:abstractNum>
  <w:abstractNum w:abstractNumId="145">
    <w:nsid w:val="30AADFDA"/>
    <w:multiLevelType w:val="hybridMultilevel"/>
    <w:lvl w:ilvl="0">
      <w:lvlJc w:val="left"/>
      <w:lvlText w:val="(%1)"/>
      <w:numFmt w:val="lowerLetter"/>
      <w:start w:val="1"/>
    </w:lvl>
  </w:abstractNum>
  <w:abstractNum w:abstractNumId="146">
    <w:nsid w:val="30EADA61"/>
    <w:multiLevelType w:val="hybridMultilevel"/>
    <w:lvl w:ilvl="0">
      <w:lvlJc w:val="left"/>
      <w:lvlText w:val="(%1)"/>
      <w:numFmt w:val="lowerLetter"/>
      <w:start w:val="2"/>
    </w:lvl>
  </w:abstractNum>
  <w:abstractNum w:abstractNumId="147">
    <w:nsid w:val="27179C0B"/>
    <w:multiLevelType w:val="hybridMultilevel"/>
    <w:lvl w:ilvl="0">
      <w:lvlJc w:val="left"/>
      <w:lvlText w:val="(%1)"/>
      <w:numFmt w:val="lowerLetter"/>
      <w:start w:val="1"/>
    </w:lvl>
    <w:lvl w:ilvl="1">
      <w:lvlJc w:val="left"/>
      <w:lvlText w:val="(%2)"/>
      <w:numFmt w:val="lowerRoman"/>
      <w:start w:val="2"/>
    </w:lvl>
    <w:lvl w:ilvl="2">
      <w:lvlJc w:val="left"/>
      <w:lvlText w:val="(%3)"/>
      <w:numFmt w:val="lowerRoman"/>
      <w:start w:val="1"/>
    </w:lvl>
  </w:abstractNum>
  <w:abstractNum w:abstractNumId="148">
    <w:nsid w:val="5E636063"/>
    <w:multiLevelType w:val="hybridMultilevel"/>
    <w:lvl w:ilvl="0">
      <w:lvlJc w:val="left"/>
      <w:lvlText w:val="%1"/>
      <w:numFmt w:val="lowerLetter"/>
      <w:start w:val="1"/>
    </w:lvl>
    <w:lvl w:ilvl="1">
      <w:lvlJc w:val="left"/>
      <w:lvlText w:val="%2"/>
      <w:numFmt w:val="lowerRoman"/>
      <w:start w:val="1"/>
    </w:lvl>
    <w:lvl w:ilvl="2">
      <w:lvlJc w:val="left"/>
      <w:lvlText w:val="(%3)"/>
      <w:numFmt w:val="lowerRoman"/>
      <w:start w:val="4"/>
    </w:lvl>
  </w:abstractNum>
  <w:abstractNum w:abstractNumId="149">
    <w:nsid w:val="215641AF"/>
    <w:multiLevelType w:val="hybridMultilevel"/>
    <w:lvl w:ilvl="0">
      <w:lvlJc w:val="left"/>
      <w:lvlText w:val="%1"/>
      <w:numFmt w:val="lowerLetter"/>
      <w:start w:val="1"/>
    </w:lvl>
    <w:lvl w:ilvl="1">
      <w:lvlJc w:val="left"/>
      <w:lvlText w:val="(%2)"/>
      <w:numFmt w:val="lowerLetter"/>
      <w:start w:val="22"/>
    </w:lvl>
  </w:abstractNum>
  <w:abstractNum w:abstractNumId="150">
    <w:nsid w:val="53280662"/>
    <w:multiLevelType w:val="hybridMultilevel"/>
    <w:lvl w:ilvl="0">
      <w:lvlJc w:val="left"/>
      <w:lvlText w:val="(%1)"/>
      <w:numFmt w:val="lowerLetter"/>
      <w:start w:val="25"/>
    </w:lvl>
    <w:lvl w:ilvl="1">
      <w:lvlJc w:val="left"/>
      <w:lvlText w:val="%2"/>
      <w:numFmt w:val="lowerLetter"/>
      <w:start w:val="1"/>
    </w:lvl>
  </w:abstractNum>
  <w:abstractNum w:abstractNumId="151">
    <w:nsid w:val="46B24DBC"/>
    <w:multiLevelType w:val="hybridMultilevel"/>
    <w:lvl w:ilvl="0">
      <w:lvlJc w:val="left"/>
      <w:lvlText w:val="(%1)"/>
      <w:numFmt w:val="lowerRoman"/>
      <w:start w:val="6"/>
    </w:lvl>
  </w:abstractNum>
  <w:abstractNum w:abstractNumId="152">
    <w:nsid w:val="75B52783"/>
    <w:multiLevelType w:val="hybridMultilevel"/>
    <w:lvl w:ilvl="0">
      <w:lvlJc w:val="left"/>
      <w:lvlText w:val="%1"/>
      <w:numFmt w:val="lowerRoman"/>
      <w:start w:val="1"/>
    </w:lvl>
    <w:lvl w:ilvl="1">
      <w:lvlJc w:val="left"/>
      <w:lvlText w:val="(%2)"/>
      <w:numFmt w:val="lowerRoman"/>
      <w:start w:val="3"/>
    </w:lvl>
    <w:lvl w:ilvl="2">
      <w:lvlJc w:val="left"/>
      <w:lvlText w:val="(%3)"/>
      <w:numFmt w:val="upperLetter"/>
      <w:start w:val="2"/>
    </w:lvl>
  </w:abstractNum>
  <w:abstractNum w:abstractNumId="153">
    <w:nsid w:val="57CE66B4"/>
    <w:multiLevelType w:val="hybridMultilevel"/>
    <w:lvl w:ilvl="0">
      <w:lvlJc w:val="left"/>
      <w:lvlText w:val="(%1)"/>
      <w:numFmt w:val="lowerRoman"/>
      <w:start w:val="4"/>
    </w:lvl>
    <w:lvl w:ilvl="1">
      <w:lvlJc w:val="left"/>
      <w:lvlText w:val="%2"/>
      <w:numFmt w:val="lowerRoman"/>
      <w:start w:val="1"/>
    </w:lvl>
    <w:lvl w:ilvl="2">
      <w:lvlJc w:val="left"/>
      <w:lvlText w:val="%3"/>
      <w:numFmt w:val="upperLetter"/>
      <w:start w:val="1"/>
    </w:lvl>
  </w:abstractNum>
  <w:abstractNum w:abstractNumId="154">
    <w:nsid w:val="67A70B69"/>
    <w:multiLevelType w:val="hybridMultilevel"/>
    <w:lvl w:ilvl="0">
      <w:lvlJc w:val="left"/>
      <w:lvlText w:val="%1"/>
      <w:numFmt w:val="lowerRoman"/>
      <w:start w:val="1"/>
    </w:lvl>
    <w:lvl w:ilvl="1">
      <w:lvlJc w:val="left"/>
      <w:lvlText w:val="(%2)"/>
      <w:numFmt w:val="lowerRoman"/>
      <w:start w:val="5"/>
    </w:lvl>
    <w:lvl w:ilvl="2">
      <w:lvlJc w:val="left"/>
      <w:lvlText w:val="%3"/>
      <w:numFmt w:val="lowerRoman"/>
      <w:start w:val="1"/>
    </w:lvl>
  </w:abstractNum>
  <w:abstractNum w:abstractNumId="155">
    <w:nsid w:val="5953172F"/>
    <w:multiLevelType w:val="hybridMultilevel"/>
    <w:lvl w:ilvl="0">
      <w:lvlJc w:val="left"/>
      <w:lvlText w:val="(%1)"/>
      <w:numFmt w:val="lowerRoman"/>
      <w:start w:val="10"/>
    </w:lvl>
    <w:lvl w:ilvl="1">
      <w:lvlJc w:val="left"/>
      <w:lvlText w:val="(%2)"/>
      <w:numFmt w:val="lowerRoman"/>
      <w:start w:val="6"/>
    </w:lvl>
    <w:lvl w:ilvl="2">
      <w:lvlJc w:val="left"/>
      <w:lvlText w:val="(%3)"/>
      <w:numFmt w:val="lowerRoman"/>
      <w:start w:val="8"/>
    </w:lvl>
  </w:abstractNum>
  <w:abstractNum w:abstractNumId="156">
    <w:nsid w:val="27EDFE3A"/>
    <w:multiLevelType w:val="hybridMultilevel"/>
    <w:lvl w:ilvl="0">
      <w:lvlJc w:val="left"/>
      <w:lvlText w:val="(%1)"/>
      <w:numFmt w:val="lowerLetter"/>
      <w:start w:val="2"/>
    </w:lvl>
  </w:abstractNum>
  <w:abstractNum w:abstractNumId="157">
    <w:nsid w:val="52AC7DFF"/>
    <w:multiLevelType w:val="hybridMultilevel"/>
    <w:lvl w:ilvl="0">
      <w:lvlJc w:val="left"/>
      <w:lvlText w:val="(%1)"/>
      <w:numFmt w:val="lowerLetter"/>
      <w:start w:val="1"/>
    </w:lvl>
    <w:lvl w:ilvl="1">
      <w:lvlJc w:val="left"/>
      <w:lvlText w:val="(%2)"/>
      <w:numFmt w:val="lowerRoman"/>
      <w:start w:val="1"/>
    </w:lvl>
  </w:abstractNum>
  <w:abstractNum w:abstractNumId="158">
    <w:nsid w:val="C4C3AF"/>
    <w:multiLevelType w:val="hybridMultilevel"/>
    <w:lvl w:ilvl="0">
      <w:lvlJc w:val="left"/>
      <w:lvlText w:val="(%1)"/>
      <w:numFmt w:val="lowerRoman"/>
      <w:start w:val="4"/>
    </w:lvl>
  </w:abstractNum>
  <w:abstractNum w:abstractNumId="159">
    <w:nsid w:val="44380727"/>
    <w:multiLevelType w:val="hybridMultilevel"/>
    <w:lvl w:ilvl="0">
      <w:lvlJc w:val="left"/>
      <w:lvlText w:val="(%1)"/>
      <w:numFmt w:val="lowerLetter"/>
      <w:start w:val="2"/>
    </w:lvl>
  </w:abstractNum>
  <w:abstractNum w:abstractNumId="160">
    <w:nsid w:val="6C053B16"/>
    <w:multiLevelType w:val="hybridMultilevel"/>
    <w:lvl w:ilvl="0">
      <w:lvlJc w:val="left"/>
      <w:lvlText w:val="(%1)"/>
      <w:numFmt w:val="lowerLetter"/>
      <w:start w:val="2"/>
    </w:lvl>
  </w:abstractNum>
  <w:abstractNum w:abstractNumId="161">
    <w:nsid w:val="4F294393"/>
    <w:multiLevelType w:val="hybridMultilevel"/>
    <w:lvl w:ilvl="0">
      <w:lvlJc w:val="left"/>
      <w:lvlText w:val="(%1)"/>
      <w:numFmt w:val="lowerLetter"/>
      <w:start w:val="4"/>
    </w:lvl>
    <w:lvl w:ilvl="1">
      <w:lvlJc w:val="left"/>
      <w:lvlText w:val="(%2)"/>
      <w:numFmt w:val="lowerRoman"/>
      <w:start w:val="1"/>
    </w:lvl>
  </w:abstractNum>
  <w:abstractNum w:abstractNumId="162">
    <w:nsid w:val="5243BFAC"/>
    <w:multiLevelType w:val="hybridMultilevel"/>
    <w:lvl w:ilvl="0">
      <w:lvlJc w:val="left"/>
      <w:lvlText w:val="%1"/>
      <w:numFmt w:val="lowerRoman"/>
      <w:start w:val="1"/>
    </w:lvl>
    <w:lvl w:ilvl="1">
      <w:lvlJc w:val="left"/>
      <w:lvlText w:val="(%2)"/>
      <w:numFmt w:val="upperLetter"/>
      <w:start w:val="1"/>
    </w:lvl>
  </w:abstractNum>
  <w:abstractNum w:abstractNumId="163">
    <w:nsid w:val="425EB207"/>
    <w:multiLevelType w:val="hybridMultilevel"/>
    <w:lvl w:ilvl="0">
      <w:lvlJc w:val="left"/>
      <w:lvlText w:val="(%1)"/>
      <w:numFmt w:val="lowerRoman"/>
      <w:start w:val="1"/>
    </w:lvl>
    <w:lvl w:ilvl="1">
      <w:lvlJc w:val="left"/>
      <w:lvlText w:val="%2"/>
      <w:numFmt w:val="upperLetter"/>
      <w:start w:val="1"/>
    </w:lvl>
  </w:abstractNum>
  <w:abstractNum w:abstractNumId="164">
    <w:nsid w:val="334A6F1F"/>
    <w:multiLevelType w:val="hybridMultilevel"/>
    <w:lvl w:ilvl="0">
      <w:lvlJc w:val="left"/>
      <w:lvlText w:val="(%1)"/>
      <w:numFmt w:val="upperLetter"/>
      <w:start w:val="1"/>
    </w:lvl>
  </w:abstractNum>
  <w:abstractNum w:abstractNumId="165">
    <w:nsid w:val="2E5B12B8"/>
    <w:multiLevelType w:val="hybridMultilevel"/>
    <w:lvl w:ilvl="0">
      <w:lvlJc w:val="left"/>
      <w:lvlText w:val="(%1)"/>
      <w:numFmt w:val="decimal"/>
      <w:start w:val="4"/>
    </w:lvl>
  </w:abstractNum>
  <w:abstractNum w:abstractNumId="166">
    <w:nsid w:val="5C03D76D"/>
    <w:multiLevelType w:val="hybridMultilevel"/>
    <w:lvl w:ilvl="0">
      <w:lvlJc w:val="left"/>
      <w:lvlText w:val="(%1)"/>
      <w:numFmt w:val="upperLetter"/>
      <w:start w:val="3"/>
    </w:lvl>
  </w:abstractNum>
  <w:abstractNum w:abstractNumId="167">
    <w:nsid w:val="66A48D11"/>
    <w:multiLevelType w:val="hybridMultilevel"/>
    <w:lvl w:ilvl="0">
      <w:lvlJc w:val="left"/>
      <w:lvlText w:val="(%1)"/>
      <w:numFmt w:val="lowerRoman"/>
      <w:start w:val="3"/>
    </w:lvl>
  </w:abstractNum>
  <w:abstractNum w:abstractNumId="168">
    <w:nsid w:val="56C28E34"/>
    <w:multiLevelType w:val="hybridMultilevel"/>
    <w:lvl w:ilvl="0">
      <w:lvlJc w:val="left"/>
      <w:lvlText w:val="(%1)"/>
      <w:numFmt w:val="lowerRoman"/>
      <w:start w:val="4"/>
    </w:lvl>
  </w:abstractNum>
  <w:abstractNum w:abstractNumId="169">
    <w:nsid w:val="13916F2D"/>
    <w:multiLevelType w:val="hybridMultilevel"/>
    <w:lvl w:ilvl="0">
      <w:lvlJc w:val="left"/>
      <w:lvlText w:val="(%1)"/>
      <w:numFmt w:val="lowerLetter"/>
      <w:start w:val="6"/>
    </w:lvl>
  </w:abstractNum>
  <w:abstractNum w:abstractNumId="170">
    <w:nsid w:val="435D38D"/>
    <w:multiLevelType w:val="hybridMultilevel"/>
    <w:lvl w:ilvl="0">
      <w:lvlJc w:val="left"/>
      <w:lvlText w:val="(%1)"/>
      <w:numFmt w:val="lowerLetter"/>
      <w:start w:val="1"/>
    </w:lvl>
  </w:abstractNum>
  <w:abstractNum w:abstractNumId="171">
    <w:nsid w:val="822C0EF"/>
    <w:multiLevelType w:val="hybridMultilevel"/>
    <w:lvl w:ilvl="0">
      <w:lvlJc w:val="left"/>
      <w:lvlText w:val="(%1)"/>
      <w:numFmt w:val="lowerLetter"/>
      <w:start w:val="2"/>
    </w:lvl>
  </w:abstractNum>
  <w:abstractNum w:abstractNumId="172">
    <w:nsid w:val="57C5BB4F"/>
    <w:multiLevelType w:val="hybridMultilevel"/>
    <w:lvl w:ilvl="0">
      <w:lvlJc w:val="left"/>
      <w:lvlText w:val="(%1)"/>
      <w:numFmt w:val="lowerLetter"/>
      <w:start w:val="1"/>
    </w:lvl>
  </w:abstractNum>
  <w:abstractNum w:abstractNumId="173">
    <w:nsid w:val="1803D089"/>
    <w:multiLevelType w:val="hybridMultilevel"/>
    <w:lvl w:ilvl="0">
      <w:lvlJc w:val="left"/>
      <w:lvlText w:val="(%1)"/>
      <w:numFmt w:val="lowerLetter"/>
      <w:start w:val="2"/>
    </w:lvl>
  </w:abstractNum>
  <w:abstractNum w:abstractNumId="174">
    <w:nsid w:val="4F3A06D4"/>
    <w:multiLevelType w:val="hybridMultilevel"/>
    <w:lvl w:ilvl="0">
      <w:lvlJc w:val="left"/>
      <w:lvlText w:val="(%1)"/>
      <w:numFmt w:val="lowerLetter"/>
      <w:start w:val="1"/>
    </w:lvl>
    <w:lvl w:ilvl="1">
      <w:lvlJc w:val="left"/>
      <w:lvlText w:val="(%2)"/>
      <w:numFmt w:val="lowerRoman"/>
      <w:start w:val="1"/>
    </w:lvl>
  </w:abstractNum>
  <w:abstractNum w:abstractNumId="175">
    <w:nsid w:val="59A377B6"/>
    <w:multiLevelType w:val="hybridMultilevel"/>
    <w:lvl w:ilvl="0">
      <w:lvlJc w:val="left"/>
      <w:lvlText w:val="%1"/>
      <w:numFmt w:val="lowerRoman"/>
      <w:start w:val="1"/>
    </w:lvl>
    <w:lvl w:ilvl="1">
      <w:lvlJc w:val="left"/>
      <w:lvlText w:val="(%2)"/>
      <w:numFmt w:val="lowerRoman"/>
      <w:start w:val="3"/>
    </w:lvl>
  </w:abstractNum>
  <w:abstractNum w:abstractNumId="176">
    <w:nsid w:val="48AEB063"/>
    <w:multiLevelType w:val="hybridMultilevel"/>
    <w:lvl w:ilvl="0">
      <w:lvlJc w:val="left"/>
      <w:lvlText w:val="(%1)"/>
      <w:numFmt w:val="lowerRoman"/>
      <w:start w:val="4"/>
    </w:lvl>
    <w:lvl w:ilvl="1">
      <w:lvlJc w:val="left"/>
      <w:lvlText w:val="%2"/>
      <w:numFmt w:val="lowerRoman"/>
      <w:start w:val="1"/>
    </w:lvl>
  </w:abstractNum>
  <w:abstractNum w:abstractNumId="177">
    <w:nsid w:val="24E135"/>
    <w:multiLevelType w:val="hybridMultilevel"/>
    <w:lvl w:ilvl="0">
      <w:lvlJc w:val="left"/>
      <w:lvlText w:val="(%1)"/>
      <w:numFmt w:val="lowerLetter"/>
      <w:start w:val="2"/>
    </w:lvl>
  </w:abstractNum>
  <w:abstractNum w:abstractNumId="178">
    <w:nsid w:val="BB13C1"/>
    <w:multiLevelType w:val="hybridMultilevel"/>
    <w:lvl w:ilvl="0">
      <w:lvlJc w:val="left"/>
      <w:lvlText w:val="(%1)"/>
      <w:numFmt w:val="lowerLetter"/>
      <w:start w:val="4"/>
    </w:lvl>
  </w:abstractNum>
  <w:abstractNum w:abstractNumId="179">
    <w:nsid w:val="271210C7"/>
    <w:multiLevelType w:val="hybridMultilevel"/>
    <w:lvl w:ilvl="0">
      <w:lvlJc w:val="left"/>
      <w:lvlText w:val="(%1)"/>
      <w:numFmt w:val="lowerLetter"/>
      <w:start w:val="1"/>
    </w:lvl>
  </w:abstractNum>
  <w:abstractNum w:abstractNumId="180">
    <w:nsid w:val="217B22E4"/>
    <w:multiLevelType w:val="hybridMultilevel"/>
    <w:lvl w:ilvl="0">
      <w:lvlJc w:val="left"/>
      <w:lvlText w:val="(%1)"/>
      <w:numFmt w:val="lowerLetter"/>
      <w:start w:val="4"/>
    </w:lvl>
  </w:abstractNum>
  <w:abstractNum w:abstractNumId="181">
    <w:nsid w:val="53E31A24"/>
    <w:multiLevelType w:val="hybridMultilevel"/>
    <w:lvl w:ilvl="0">
      <w:lvlJc w:val="left"/>
      <w:lvlText w:val="(%1)"/>
      <w:numFmt w:val="lowerLetter"/>
      <w:start w:val="1"/>
    </w:lvl>
  </w:abstractNum>
  <w:abstractNum w:abstractNumId="182">
    <w:nsid w:val="6DC45E83"/>
    <w:multiLevelType w:val="hybridMultilevel"/>
    <w:lvl w:ilvl="0">
      <w:lvlJc w:val="left"/>
      <w:lvlText w:val="(%1)"/>
      <w:numFmt w:val="lowerLetter"/>
      <w:start w:val="1"/>
    </w:lvl>
  </w:abstractNum>
  <w:abstractNum w:abstractNumId="183">
    <w:nsid w:val="17304A67"/>
    <w:multiLevelType w:val="hybridMultilevel"/>
    <w:lvl w:ilvl="0">
      <w:lvlJc w:val="left"/>
      <w:lvlText w:val="(%1)"/>
      <w:numFmt w:val="lowerLetter"/>
      <w:start w:val="1"/>
    </w:lvl>
  </w:abstractNum>
  <w:abstractNum w:abstractNumId="184">
    <w:nsid w:val="2BB180D8"/>
    <w:multiLevelType w:val="hybridMultilevel"/>
    <w:lvl w:ilvl="0">
      <w:lvlJc w:val="left"/>
      <w:lvlText w:val="%1"/>
      <w:numFmt w:val="lowerLetter"/>
      <w:start w:val="1"/>
    </w:lvl>
    <w:lvl w:ilvl="1">
      <w:lvlJc w:val="left"/>
      <w:lvlText w:val="(%2)"/>
      <w:numFmt w:val="lowerRoman"/>
      <w:start w:val="1"/>
    </w:lvl>
  </w:abstractNum>
  <w:abstractNum w:abstractNumId="185">
    <w:nsid w:val="556B69ED"/>
    <w:multiLevelType w:val="hybridMultilevel"/>
    <w:lvl w:ilvl="0">
      <w:lvlJc w:val="left"/>
      <w:lvlText w:val="(%1)"/>
      <w:numFmt w:val="lowerLetter"/>
      <w:start w:val="3"/>
    </w:lvl>
    <w:lvl w:ilvl="1">
      <w:lvlJc w:val="left"/>
      <w:lvlText w:val="%2"/>
      <w:numFmt w:val="lowerRoman"/>
      <w:start w:val="1"/>
    </w:lvl>
  </w:abstractNum>
  <w:abstractNum w:abstractNumId="186">
    <w:nsid w:val="70836196"/>
    <w:multiLevelType w:val="hybridMultilevel"/>
    <w:lvl w:ilvl="0">
      <w:lvlJc w:val="left"/>
      <w:lvlText w:val="(%1)"/>
      <w:numFmt w:val="lowerLetter"/>
      <w:start w:val="1"/>
    </w:lvl>
  </w:abstractNum>
  <w:abstractNum w:abstractNumId="187">
    <w:nsid w:val="539F7F12"/>
    <w:multiLevelType w:val="hybridMultilevel"/>
    <w:lvl w:ilvl="0">
      <w:lvlJc w:val="left"/>
      <w:lvlText w:val="(%1)"/>
      <w:numFmt w:val="lowerLetter"/>
      <w:start w:val="2"/>
    </w:lvl>
    <w:lvl w:ilvl="1">
      <w:lvlJc w:val="left"/>
      <w:lvlText w:val="(%2)"/>
      <w:numFmt w:val="lowerRoman"/>
      <w:start w:val="1"/>
    </w:lvl>
  </w:abstractNum>
  <w:abstractNum w:abstractNumId="188">
    <w:nsid w:val="2817E7EC"/>
    <w:multiLevelType w:val="hybridMultilevel"/>
    <w:lvl w:ilvl="0">
      <w:lvlJc w:val="left"/>
      <w:lvlText w:val="(%1)"/>
      <w:numFmt w:val="lowerLetter"/>
      <w:start w:val="5"/>
    </w:lvl>
  </w:abstractNum>
  <w:abstractNum w:abstractNumId="189">
    <w:nsid w:val="71482545"/>
    <w:multiLevelType w:val="hybridMultilevel"/>
    <w:lvl w:ilvl="0">
      <w:lvlJc w:val="left"/>
      <w:lvlText w:val="(%1)"/>
      <w:numFmt w:val="lowerLetter"/>
      <w:start w:val="1"/>
    </w:lvl>
  </w:abstractNum>
  <w:abstractNum w:abstractNumId="190">
    <w:nsid w:val="17D78639"/>
    <w:multiLevelType w:val="hybridMultilevel"/>
    <w:lvl w:ilvl="0">
      <w:lvlJc w:val="left"/>
      <w:lvlText w:val="(%1)"/>
      <w:numFmt w:val="lowerLetter"/>
      <w:start w:val="4"/>
    </w:lvl>
  </w:abstractNum>
  <w:abstractNum w:abstractNumId="191">
    <w:nsid w:val="141D2302"/>
    <w:multiLevelType w:val="hybridMultilevel"/>
    <w:lvl w:ilvl="0">
      <w:lvlJc w:val="left"/>
      <w:lvlText w:val="(%1)"/>
      <w:numFmt w:val="lowerLetter"/>
      <w:start w:val="1"/>
    </w:lvl>
  </w:abstractNum>
  <w:abstractNum w:abstractNumId="192">
    <w:nsid w:val="407168D8"/>
    <w:multiLevelType w:val="hybridMultilevel"/>
    <w:lvl w:ilvl="0">
      <w:lvlJc w:val="left"/>
      <w:lvlText w:val="(%1)"/>
      <w:numFmt w:val="lowerLetter"/>
      <w:start w:val="1"/>
    </w:lvl>
  </w:abstractNum>
  <w:abstractNum w:abstractNumId="193">
    <w:nsid w:val="6A1B45E5"/>
    <w:multiLevelType w:val="hybridMultilevel"/>
    <w:lvl w:ilvl="0">
      <w:lvlJc w:val="left"/>
      <w:lvlText w:val="(%1)"/>
      <w:numFmt w:val="lowerLetter"/>
      <w:start w:val="1"/>
    </w:lvl>
  </w:abstractNum>
  <w:abstractNum w:abstractNumId="194">
    <w:nsid w:val="567BD50A"/>
    <w:multiLevelType w:val="hybridMultilevel"/>
    <w:lvl w:ilvl="0">
      <w:lvlJc w:val="left"/>
      <w:lvlText w:val="(%1)"/>
      <w:numFmt w:val="lowerLetter"/>
      <w:start w:val="1"/>
    </w:lvl>
  </w:abstractNum>
  <w:abstractNum w:abstractNumId="195">
    <w:nsid w:val="73BBD7F8"/>
    <w:multiLevelType w:val="hybridMultilevel"/>
    <w:lvl w:ilvl="0">
      <w:lvlJc w:val="left"/>
      <w:lvlText w:val="(%1)"/>
      <w:numFmt w:val="lowerLetter"/>
      <w:start w:val="3"/>
    </w:lvl>
  </w:abstractNum>
  <w:abstractNum w:abstractNumId="196">
    <w:nsid w:val="1876589D"/>
    <w:multiLevelType w:val="hybridMultilevel"/>
    <w:lvl w:ilvl="0">
      <w:lvlJc w:val="left"/>
      <w:lvlText w:val="(%1)"/>
      <w:numFmt w:val="lowerLetter"/>
      <w:start w:val="1"/>
    </w:lvl>
  </w:abstractNum>
  <w:abstractNum w:abstractNumId="197">
    <w:nsid w:val="327FAC77"/>
    <w:multiLevelType w:val="hybridMultilevel"/>
    <w:lvl w:ilvl="0">
      <w:lvlJc w:val="left"/>
      <w:lvlText w:val="(%1)"/>
      <w:numFmt w:val="lowerLetter"/>
      <w:start w:val="2"/>
    </w:lvl>
  </w:abstractNum>
  <w:abstractNum w:abstractNumId="198">
    <w:nsid w:val="5A606509"/>
    <w:multiLevelType w:val="hybridMultilevel"/>
    <w:lvl w:ilvl="0">
      <w:lvlJc w:val="left"/>
      <w:lvlText w:val="(%1)"/>
      <w:numFmt w:val="lowerLetter"/>
      <w:start w:val="1"/>
    </w:lvl>
  </w:abstractNum>
  <w:abstractNum w:abstractNumId="199">
    <w:nsid w:val="6F38E6D1"/>
    <w:multiLevelType w:val="hybridMultilevel"/>
    <w:lvl w:ilvl="0">
      <w:lvlJc w:val="left"/>
      <w:lvlText w:val="(%1)"/>
      <w:numFmt w:val="lowerLetter"/>
      <w:start w:val="2"/>
    </w:lvl>
  </w:abstractNum>
  <w:abstractNum w:abstractNumId="200">
    <w:nsid w:val="46111BA5"/>
    <w:multiLevelType w:val="hybridMultilevel"/>
    <w:lvl w:ilvl="0">
      <w:lvlJc w:val="left"/>
      <w:lvlText w:val="(%1)"/>
      <w:numFmt w:val="lowerLetter"/>
      <w:start w:val="1"/>
    </w:lvl>
  </w:abstractNum>
  <w:abstractNum w:abstractNumId="201">
    <w:nsid w:val="5E963896"/>
    <w:multiLevelType w:val="hybridMultilevel"/>
    <w:lvl w:ilvl="0">
      <w:lvlJc w:val="left"/>
      <w:lvlText w:val="(%1)"/>
      <w:numFmt w:val="lowerLetter"/>
      <w:start w:val="2"/>
    </w:lvl>
  </w:abstractNum>
  <w:abstractNum w:abstractNumId="202">
    <w:nsid w:val="775BA7C1"/>
    <w:multiLevelType w:val="hybridMultilevel"/>
    <w:lvl w:ilvl="0">
      <w:lvlJc w:val="left"/>
      <w:lvlText w:val="(%1)"/>
      <w:numFmt w:val="lowerLetter"/>
      <w:start w:val="1"/>
    </w:lvl>
  </w:abstractNum>
  <w:abstractNum w:abstractNumId="203">
    <w:nsid w:val="1DD6D6F4"/>
    <w:multiLevelType w:val="hybridMultilevel"/>
    <w:lvl w:ilvl="0">
      <w:lvlJc w:val="left"/>
      <w:lvlText w:val="(%1)"/>
      <w:numFmt w:val="lowerLetter"/>
      <w:start w:val="6"/>
    </w:lvl>
  </w:abstractNum>
  <w:abstractNum w:abstractNumId="204">
    <w:nsid w:val="769A091F"/>
    <w:multiLevelType w:val="hybridMultilevel"/>
    <w:lvl w:ilvl="0">
      <w:lvlJc w:val="left"/>
      <w:lvlText w:val="(%1)"/>
      <w:numFmt w:val="lowerLetter"/>
      <w:start w:val="1"/>
    </w:lvl>
  </w:abstractNum>
  <w:abstractNum w:abstractNumId="205">
    <w:nsid w:val="4695AE95"/>
    <w:multiLevelType w:val="hybridMultilevel"/>
    <w:lvl w:ilvl="0">
      <w:lvlJc w:val="left"/>
      <w:lvlText w:val="(%1)"/>
      <w:numFmt w:val="lowerLetter"/>
      <w:start w:val="1"/>
    </w:lvl>
  </w:abstractNum>
  <w:abstractNum w:abstractNumId="206">
    <w:nsid w:val="777A4EAA"/>
    <w:multiLevelType w:val="hybridMultilevel"/>
    <w:lvl w:ilvl="0">
      <w:lvlJc w:val="left"/>
      <w:lvlText w:val="(%1)"/>
      <w:numFmt w:val="lowerLetter"/>
      <w:start w:val="1"/>
    </w:lvl>
  </w:abstractNum>
  <w:abstractNum w:abstractNumId="207">
    <w:nsid w:val="3F48B982"/>
    <w:multiLevelType w:val="hybridMultilevel"/>
    <w:lvl w:ilvl="0">
      <w:lvlJc w:val="left"/>
      <w:lvlText w:val="(%1)"/>
      <w:numFmt w:val="lowerLetter"/>
      <w:start w:val="1"/>
    </w:lvl>
    <w:lvl w:ilvl="1">
      <w:lvlJc w:val="left"/>
      <w:lvlText w:val="(%2)"/>
      <w:numFmt w:val="lowerRoman"/>
      <w:start w:val="1"/>
    </w:lvl>
  </w:abstractNum>
  <w:abstractNum w:abstractNumId="208">
    <w:nsid w:val="46BA8FCA"/>
    <w:multiLevelType w:val="hybridMultilevel"/>
    <w:lvl w:ilvl="0">
      <w:lvlJc w:val="left"/>
      <w:lvlText w:val="(%1)"/>
      <w:numFmt w:val="lowerLetter"/>
      <w:start w:val="2"/>
    </w:lvl>
    <w:lvl w:ilvl="1">
      <w:lvlJc w:val="left"/>
      <w:lvlText w:val="(%2)"/>
      <w:numFmt w:val="lowerRoman"/>
      <w:start w:val="1"/>
    </w:lvl>
  </w:abstractNum>
  <w:abstractNum w:abstractNumId="209">
    <w:nsid w:val="7835626C"/>
    <w:multiLevelType w:val="hybridMultilevel"/>
    <w:lvl w:ilvl="0">
      <w:lvlJc w:val="left"/>
      <w:lvlText w:val="(%1)"/>
      <w:numFmt w:val="lowerLetter"/>
      <w:start w:val="3"/>
    </w:lvl>
  </w:abstractNum>
  <w:abstractNum w:abstractNumId="210">
    <w:nsid w:val="665ACA49"/>
    <w:multiLevelType w:val="hybridMultilevel"/>
    <w:lvl w:ilvl="0">
      <w:lvlJc w:val="left"/>
      <w:lvlText w:val="(%1)"/>
      <w:numFmt w:val="lowerLetter"/>
      <w:start w:val="1"/>
    </w:lvl>
    <w:lvl w:ilvl="1">
      <w:lvlJc w:val="left"/>
      <w:lvlText w:val="(%2)"/>
      <w:numFmt w:val="lowerRoman"/>
      <w:start w:val="1"/>
    </w:lvl>
  </w:abstractNum>
  <w:abstractNum w:abstractNumId="211">
    <w:nsid w:val="6835B2AE"/>
    <w:multiLevelType w:val="hybridMultilevel"/>
    <w:lvl w:ilvl="0">
      <w:lvlJc w:val="left"/>
      <w:lvlText w:val="(%1)"/>
      <w:numFmt w:val="lowerLetter"/>
      <w:start w:val="2"/>
    </w:lvl>
    <w:lvl w:ilvl="1">
      <w:lvlJc w:val="left"/>
      <w:lvlText w:val="(%2)"/>
      <w:numFmt w:val="lowerRoman"/>
      <w:start w:val="1"/>
    </w:lvl>
  </w:abstractNum>
  <w:abstractNum w:abstractNumId="212">
    <w:nsid w:val="4C187C90"/>
    <w:multiLevelType w:val="hybridMultilevel"/>
    <w:lvl w:ilvl="0">
      <w:lvlJc w:val="left"/>
      <w:lvlText w:val="(%1)"/>
      <w:numFmt w:val="lowerLetter"/>
      <w:start w:val="1"/>
    </w:lvl>
  </w:abstractNum>
  <w:abstractNum w:abstractNumId="213">
    <w:nsid w:val="541F28CD"/>
    <w:multiLevelType w:val="hybridMultilevel"/>
    <w:lvl w:ilvl="0">
      <w:lvlJc w:val="left"/>
      <w:lvlText w:val="(%1)"/>
      <w:numFmt w:val="lowerLetter"/>
      <w:start w:val="2"/>
    </w:lvl>
  </w:abstractNum>
  <w:abstractNum w:abstractNumId="214">
    <w:nsid w:val="7F65FD16"/>
    <w:multiLevelType w:val="hybridMultilevel"/>
    <w:lvl w:ilvl="0">
      <w:lvlJc w:val="left"/>
      <w:lvlText w:val="(%1)"/>
      <w:numFmt w:val="lowerLetter"/>
      <w:start w:val="1"/>
    </w:lvl>
  </w:abstractNum>
  <w:abstractNum w:abstractNumId="215">
    <w:nsid w:val="77C9FD68"/>
    <w:multiLevelType w:val="hybridMultilevel"/>
    <w:lvl w:ilvl="0">
      <w:lvlJc w:val="left"/>
      <w:lvlText w:val="(%1)"/>
      <w:numFmt w:val="lowerLetter"/>
      <w:start w:val="5"/>
    </w:lvl>
  </w:abstractNum>
  <w:abstractNum w:abstractNumId="216">
    <w:nsid w:val="298A92BA"/>
    <w:multiLevelType w:val="hybridMultilevel"/>
    <w:lvl w:ilvl="0">
      <w:lvlJc w:val="left"/>
      <w:lvlText w:val="(%1)"/>
      <w:numFmt w:val="lowerLetter"/>
      <w:start w:val="1"/>
    </w:lvl>
  </w:abstractNum>
  <w:abstractNum w:abstractNumId="217">
    <w:nsid w:val="6FE95EAC"/>
    <w:multiLevelType w:val="hybridMultilevel"/>
    <w:lvl w:ilvl="0">
      <w:lvlJc w:val="left"/>
      <w:lvlText w:val="(%1)"/>
      <w:numFmt w:val="lowerLetter"/>
      <w:start w:val="3"/>
    </w:lvl>
  </w:abstractNum>
  <w:abstractNum w:abstractNumId="218">
    <w:nsid w:val="4B697C7A"/>
    <w:multiLevelType w:val="hybridMultilevel"/>
    <w:lvl w:ilvl="0">
      <w:lvlJc w:val="left"/>
      <w:lvlText w:val="(%1)"/>
      <w:numFmt w:val="lowerLetter"/>
      <w:start w:val="11"/>
    </w:lvl>
  </w:abstractNum>
  <w:abstractNum w:abstractNumId="219">
    <w:nsid w:val="51A27AA6"/>
    <w:multiLevelType w:val="hybridMultilevel"/>
    <w:lvl w:ilvl="0">
      <w:lvlJc w:val="left"/>
      <w:lvlText w:val="(%1)"/>
      <w:numFmt w:val="lowerLetter"/>
      <w:start w:val="18"/>
    </w:lvl>
  </w:abstractNum>
  <w:abstractNum w:abstractNumId="220">
    <w:nsid w:val="613183F2"/>
    <w:multiLevelType w:val="hybridMultilevel"/>
    <w:lvl w:ilvl="0">
      <w:lvlJc w:val="left"/>
      <w:lvlText w:val="(%1)"/>
      <w:numFmt w:val="lowerLetter"/>
      <w:start w:val="1"/>
    </w:lvl>
    <w:lvl w:ilvl="1">
      <w:lvlJc w:val="left"/>
      <w:lvlText w:val="(%2)"/>
      <w:numFmt w:val="lowerLetter"/>
      <w:start w:val="9"/>
    </w:lvl>
  </w:abstractNum>
  <w:abstractNum w:abstractNumId="221">
    <w:nsid w:val="634102B4"/>
    <w:multiLevelType w:val="hybridMultilevel"/>
    <w:lvl w:ilvl="0">
      <w:lvlJc w:val="left"/>
      <w:lvlText w:val="%1"/>
      <w:numFmt w:val="lowerLetter"/>
      <w:start w:val="1"/>
    </w:lvl>
    <w:lvl w:ilvl="1">
      <w:lvlJc w:val="left"/>
      <w:lvlText w:val="(%2)"/>
      <w:numFmt w:val="lowerRoman"/>
      <w:start w:val="2"/>
    </w:lvl>
  </w:abstractNum>
  <w:abstractNum w:abstractNumId="222">
    <w:nsid w:val="65BF9DA8"/>
    <w:multiLevelType w:val="hybridMultilevel"/>
    <w:lvl w:ilvl="0">
      <w:lvlJc w:val="left"/>
      <w:lvlText w:val="(%1)"/>
      <w:numFmt w:val="lowerLetter"/>
      <w:start w:val="6"/>
    </w:lvl>
    <w:lvl w:ilvl="1">
      <w:lvlJc w:val="left"/>
      <w:lvlText w:val="%2"/>
      <w:numFmt w:val="lowerRoman"/>
      <w:start w:val="1"/>
    </w:lvl>
  </w:abstractNum>
  <w:abstractNum w:abstractNumId="223">
    <w:nsid w:val="21A2ECCA"/>
    <w:multiLevelType w:val="hybridMultilevel"/>
    <w:lvl w:ilvl="0">
      <w:lvlJc w:val="left"/>
      <w:lvlText w:val="(%1)"/>
      <w:numFmt w:val="lowerLetter"/>
      <w:start w:val="1"/>
    </w:lvl>
  </w:abstractNum>
  <w:abstractNum w:abstractNumId="224">
    <w:nsid w:val="4D5C4899"/>
    <w:multiLevelType w:val="hybridMultilevel"/>
    <w:lvl w:ilvl="0">
      <w:lvlJc w:val="left"/>
      <w:lvlText w:val="(%1)"/>
      <w:numFmt w:val="lowerLetter"/>
      <w:start w:val="35"/>
    </w:lvl>
    <w:lvl w:ilvl="1">
      <w:lvlJc w:val="left"/>
      <w:lvlText w:val="(%2)"/>
      <w:numFmt w:val="lowerLetter"/>
      <w:start w:val="5"/>
    </w:lvl>
    <w:lvl w:ilvl="2">
      <w:lvlJc w:val="left"/>
      <w:lvlText w:val="(%3)"/>
      <w:numFmt w:val="lowerRoman"/>
      <w:start w:val="1"/>
    </w:lvl>
  </w:abstractNum>
  <w:abstractNum w:abstractNumId="225">
    <w:nsid w:val="3C3B72B2"/>
    <w:multiLevelType w:val="hybridMultilevel"/>
    <w:lvl w:ilvl="0">
      <w:lvlJc w:val="left"/>
      <w:lvlText w:val="%1"/>
      <w:numFmt w:val="lowerLetter"/>
      <w:start w:val="1"/>
    </w:lvl>
    <w:lvl w:ilvl="1">
      <w:lvlJc w:val="left"/>
      <w:lvlText w:val="(%2)"/>
      <w:numFmt w:val="lowerLetter"/>
      <w:start w:val="11"/>
    </w:lvl>
  </w:abstractNum>
  <w:abstractNum w:abstractNumId="226">
    <w:nsid w:val="155EC4C2"/>
    <w:multiLevelType w:val="hybridMultilevel"/>
    <w:lvl w:ilvl="0">
      <w:lvlJc w:val="left"/>
      <w:lvlText w:val="(%1)"/>
      <w:numFmt w:val="lowerLetter"/>
      <w:start w:val="9"/>
    </w:lvl>
    <w:lvl w:ilvl="1">
      <w:lvlJc w:val="left"/>
      <w:lvlText w:val="(%2)"/>
      <w:numFmt w:val="lowerLetter"/>
      <w:start w:val="17"/>
    </w:lvl>
  </w:abstractNum>
  <w:abstractNum w:abstractNumId="227">
    <w:nsid w:val="65D2A137"/>
    <w:multiLevelType w:val="hybridMultilevel"/>
    <w:lvl w:ilvl="0">
      <w:lvlJc w:val="left"/>
      <w:lvlText w:val="(%1)"/>
      <w:numFmt w:val="lowerLetter"/>
      <w:start w:val="19"/>
    </w:lvl>
  </w:abstractNum>
  <w:abstractNum w:abstractNumId="228">
    <w:nsid w:val="6EBB1F2A"/>
    <w:multiLevelType w:val="hybridMultilevel"/>
    <w:lvl w:ilvl="0">
      <w:lvlJc w:val="left"/>
      <w:lvlText w:val="(%1)"/>
      <w:numFmt w:val="lowerLetter"/>
      <w:start w:val="1"/>
    </w:lvl>
  </w:abstractNum>
  <w:abstractNum w:abstractNumId="229">
    <w:nsid w:val="6FBF29CB"/>
    <w:multiLevelType w:val="hybridMultilevel"/>
    <w:lvl w:ilvl="0">
      <w:lvlJc w:val="left"/>
      <w:lvlText w:val="%1"/>
      <w:numFmt w:val="upperLetter"/>
      <w:start w:val="1"/>
    </w:lvl>
    <w:lvl w:ilvl="1">
      <w:lvlJc w:val="left"/>
      <w:lvlText w:val="(%2)"/>
      <w:numFmt w:val="lowerRoman"/>
      <w:start w:val="1"/>
    </w:lvl>
  </w:abstractNum>
  <w:abstractNum w:abstractNumId="230">
    <w:nsid w:val="550B8808"/>
    <w:multiLevelType w:val="hybridMultilevel"/>
    <w:lvl w:ilvl="0">
      <w:lvlJc w:val="left"/>
      <w:lvlText w:val="(%1)"/>
      <w:numFmt w:val="upperLetter"/>
      <w:start w:val="2"/>
    </w:lvl>
    <w:lvl w:ilvl="1">
      <w:lvlJc w:val="left"/>
      <w:lvlText w:val="%2"/>
      <w:numFmt w:val="lowerRoman"/>
      <w:start w:val="1"/>
    </w:lvl>
  </w:abstractNum>
  <w:abstractNum w:abstractNumId="231">
    <w:nsid w:val="34CC3ACF"/>
    <w:multiLevelType w:val="hybridMultilevel"/>
    <w:lvl w:ilvl="0">
      <w:lvlJc w:val="left"/>
      <w:lvlText w:val="(%1)"/>
      <w:numFmt w:val="upperLetter"/>
      <w:start w:val="4"/>
    </w:lvl>
    <w:lvl w:ilvl="1">
      <w:lvlJc w:val="left"/>
      <w:lvlText w:val="(%2)"/>
      <w:numFmt w:val="lowerRoman"/>
      <w:start w:val="3"/>
    </w:lvl>
  </w:abstractNum>
  <w:abstractNum w:abstractNumId="232">
    <w:nsid w:val="4E556261"/>
    <w:multiLevelType w:val="hybridMultilevel"/>
    <w:lvl w:ilvl="0">
      <w:lvlJc w:val="left"/>
      <w:lvlText w:val="(%1)"/>
      <w:numFmt w:val="lowerLetter"/>
      <w:start w:val="2"/>
    </w:lvl>
  </w:abstractNum>
  <w:abstractNum w:abstractNumId="233">
    <w:nsid w:val="4C672FC9"/>
    <w:multiLevelType w:val="hybridMultilevel"/>
    <w:lvl w:ilvl="0">
      <w:lvlJc w:val="left"/>
      <w:lvlText w:val="(%1)"/>
      <w:numFmt w:val="lowerLetter"/>
      <w:start w:val="1"/>
    </w:lvl>
  </w:abstractNum>
  <w:abstractNum w:abstractNumId="234">
    <w:nsid w:val="52A311C3"/>
    <w:multiLevelType w:val="hybridMultilevel"/>
    <w:lvl w:ilvl="0">
      <w:lvlJc w:val="left"/>
      <w:lvlText w:val="(%1)"/>
      <w:numFmt w:val="lowerLetter"/>
      <w:start w:val="2"/>
    </w:lvl>
  </w:abstractNum>
  <w:abstractNum w:abstractNumId="235">
    <w:nsid w:val="44EF6B80"/>
    <w:multiLevelType w:val="hybridMultilevel"/>
    <w:lvl w:ilvl="0">
      <w:lvlJc w:val="left"/>
      <w:lvlText w:val="(%1)"/>
      <w:numFmt w:val="lowerLetter"/>
      <w:start w:val="1"/>
    </w:lvl>
  </w:abstractNum>
  <w:abstractNum w:abstractNumId="236">
    <w:nsid w:val="12FCDE5E"/>
    <w:multiLevelType w:val="hybridMultilevel"/>
    <w:lvl w:ilvl="0">
      <w:lvlJc w:val="left"/>
      <w:lvlText w:val="(%1)"/>
      <w:numFmt w:val="lowerLetter"/>
      <w:start w:val="3"/>
    </w:lvl>
  </w:abstractNum>
  <w:abstractNum w:abstractNumId="237">
    <w:nsid w:val="4A1D606E"/>
    <w:multiLevelType w:val="hybridMultilevel"/>
    <w:lvl w:ilvl="0">
      <w:lvlJc w:val="left"/>
      <w:lvlText w:val="(%1)"/>
      <w:numFmt w:val="lowerLetter"/>
      <w:start w:val="1"/>
    </w:lvl>
    <w:lvl w:ilvl="1">
      <w:lvlJc w:val="left"/>
      <w:lvlText w:val="(%2)"/>
      <w:numFmt w:val="lowerRoman"/>
      <w:start w:val="1"/>
    </w:lvl>
  </w:abstractNum>
  <w:abstractNum w:abstractNumId="238">
    <w:nsid w:val="4382503"/>
    <w:multiLevelType w:val="hybridMultilevel"/>
    <w:lvl w:ilvl="0">
      <w:lvlJc w:val="left"/>
      <w:lvlText w:val="%1"/>
      <w:numFmt w:val="lowerRoman"/>
      <w:start w:val="1"/>
    </w:lvl>
    <w:lvl w:ilvl="1">
      <w:lvlJc w:val="left"/>
      <w:lvlText w:val="(%2)"/>
      <w:numFmt w:val="lowerRoman"/>
      <w:start w:val="3"/>
    </w:lvl>
  </w:abstractNum>
  <w:abstractNum w:abstractNumId="239">
    <w:nsid w:val="59B76E28"/>
    <w:multiLevelType w:val="hybridMultilevel"/>
    <w:lvl w:ilvl="0">
      <w:lvlJc w:val="left"/>
      <w:lvlText w:val="(%1)"/>
      <w:numFmt w:val="lowerRoman"/>
      <w:start w:val="1"/>
    </w:lvl>
    <w:lvl w:ilvl="1">
      <w:lvlJc w:val="left"/>
      <w:lvlText w:val="%2"/>
      <w:numFmt w:val="lowerRoman"/>
      <w:start w:val="1"/>
    </w:lvl>
  </w:abstractNum>
  <w:abstractNum w:abstractNumId="240">
    <w:nsid w:val="4252C2DA"/>
    <w:multiLevelType w:val="hybridMultilevel"/>
    <w:lvl w:ilvl="0">
      <w:lvlJc w:val="left"/>
      <w:lvlText w:val="(%1)"/>
      <w:numFmt w:val="lowerLetter"/>
      <w:start w:val="1"/>
    </w:lvl>
  </w:abstractNum>
  <w:abstractNum w:abstractNumId="241">
    <w:nsid w:val="6A92EF4C"/>
    <w:multiLevelType w:val="hybridMultilevel"/>
    <w:lvl w:ilvl="0">
      <w:lvlJc w:val="left"/>
      <w:lvlText w:val="(%1)"/>
      <w:numFmt w:val="lowerLetter"/>
      <w:start w:val="2"/>
    </w:lvl>
  </w:abstractNum>
  <w:abstractNum w:abstractNumId="242">
    <w:nsid w:val="41ED20D7"/>
    <w:multiLevelType w:val="hybridMultilevel"/>
    <w:lvl w:ilvl="0">
      <w:lvlJc w:val="left"/>
      <w:lvlText w:val="(%1)"/>
      <w:numFmt w:val="lowerLetter"/>
      <w:start w:val="2"/>
    </w:lvl>
  </w:abstractNum>
  <w:abstractNum w:abstractNumId="243">
    <w:nsid w:val="E6B3F6A"/>
    <w:multiLevelType w:val="hybridMultilevel"/>
    <w:lvl w:ilvl="0">
      <w:lvlJc w:val="left"/>
      <w:lvlText w:val="%1"/>
      <w:numFmt w:val="lowerLetter"/>
      <w:start w:val="1"/>
    </w:lvl>
    <w:lvl w:ilvl="1">
      <w:lvlJc w:val="left"/>
      <w:lvlText w:val="(%2)"/>
      <w:numFmt w:val="lowerLetter"/>
      <w:start w:val="1"/>
    </w:lvl>
  </w:abstractNum>
  <w:abstractNum w:abstractNumId="244">
    <w:nsid w:val="3EB21819"/>
    <w:multiLevelType w:val="hybridMultilevel"/>
    <w:lvl w:ilvl="0">
      <w:lvlJc w:val="left"/>
      <w:lvlText w:val="(%1)"/>
      <w:numFmt w:val="lowerLetter"/>
      <w:start w:val="1"/>
    </w:lvl>
    <w:lvl w:ilvl="1">
      <w:lvlJc w:val="left"/>
      <w:lvlText w:val="(%2)"/>
      <w:numFmt w:val="lowerLetter"/>
      <w:start w:val="4"/>
    </w:lvl>
  </w:abstractNum>
  <w:abstractNum w:abstractNumId="245">
    <w:nsid w:val="41531DED"/>
    <w:multiLevelType w:val="hybridMultilevel"/>
    <w:lvl w:ilvl="0">
      <w:lvlJc w:val="left"/>
      <w:lvlText w:val="(%1)"/>
      <w:numFmt w:val="lowerLetter"/>
      <w:start w:val="6"/>
    </w:lvl>
  </w:abstractNum>
  <w:abstractNum w:abstractNumId="246">
    <w:nsid w:val="6353CD2"/>
    <w:multiLevelType w:val="hybridMultilevel"/>
    <w:lvl w:ilvl="0">
      <w:lvlJc w:val="left"/>
      <w:lvlText w:val="%1"/>
      <w:numFmt w:val="decimal"/>
      <w:start w:val="1"/>
    </w:lvl>
    <w:lvl w:ilvl="1">
      <w:lvlJc w:val="left"/>
      <w:lvlText w:val="(%2)"/>
      <w:numFmt w:val="lowerLetter"/>
      <w:start w:val="8"/>
    </w:lvl>
  </w:abstractNum>
  <w:abstractNum w:abstractNumId="247">
    <w:nsid w:val="683CAAD3"/>
    <w:multiLevelType w:val="hybridMultilevel"/>
    <w:lvl w:ilvl="0">
      <w:lvlJc w:val="left"/>
      <w:lvlText w:val="(%1)"/>
      <w:numFmt w:val="decimal"/>
      <w:start w:val="45"/>
    </w:lvl>
    <w:lvl w:ilvl="1">
      <w:lvlJc w:val="left"/>
      <w:lvlText w:val="(%2)"/>
      <w:numFmt w:val="lowerLetter"/>
      <w:start w:val="12"/>
    </w:lvl>
  </w:abstractNum>
  <w:abstractNum w:abstractNumId="248">
    <w:nsid w:val="313C7C99"/>
    <w:multiLevelType w:val="hybridMultilevel"/>
    <w:lvl w:ilvl="0">
      <w:lvlJc w:val="left"/>
      <w:lvlText w:val="(%1)"/>
      <w:numFmt w:val="lowerLetter"/>
      <w:start w:val="10"/>
    </w:lvl>
  </w:abstractNum>
  <w:abstractNum w:abstractNumId="249">
    <w:nsid w:val="519EB94C"/>
    <w:multiLevelType w:val="hybridMultilevel"/>
    <w:lvl w:ilvl="0">
      <w:lvlJc w:val="left"/>
      <w:lvlText w:val="(%1)"/>
      <w:numFmt w:val="lowerLetter"/>
      <w:start w:val="1"/>
    </w:lvl>
  </w:abstractNum>
  <w:abstractNum w:abstractNumId="250">
    <w:nsid w:val="39DF2579"/>
    <w:multiLevelType w:val="hybridMultilevel"/>
    <w:lvl w:ilvl="0">
      <w:lvlJc w:val="left"/>
      <w:lvlText w:val="(%1)"/>
      <w:numFmt w:val="lowerLetter"/>
      <w:start w:val="4"/>
    </w:lvl>
  </w:abstractNum>
  <w:abstractNum w:abstractNumId="251">
    <w:nsid w:val="126E008B"/>
    <w:multiLevelType w:val="hybridMultilevel"/>
    <w:lvl w:ilvl="0">
      <w:lvlJc w:val="left"/>
      <w:lvlText w:val="(%1)"/>
      <w:numFmt w:val="lowerLetter"/>
      <w:start w:val="1"/>
    </w:lvl>
  </w:abstractNum>
  <w:abstractNum w:abstractNumId="252">
    <w:nsid w:val="34DFBC00"/>
    <w:multiLevelType w:val="hybridMultilevel"/>
    <w:lvl w:ilvl="0">
      <w:lvlJc w:val="left"/>
      <w:lvlText w:val="(%1)"/>
      <w:numFmt w:val="lowerLetter"/>
      <w:start w:val="1"/>
    </w:lvl>
  </w:abstractNum>
  <w:abstractNum w:abstractNumId="253">
    <w:nsid w:val="1F9EC322"/>
    <w:multiLevelType w:val="hybridMultilevel"/>
    <w:lvl w:ilvl="0">
      <w:lvlJc w:val="left"/>
      <w:lvlText w:val="(%1)"/>
      <w:numFmt w:val="lowerLetter"/>
      <w:start w:val="1"/>
    </w:lvl>
  </w:abstractNum>
  <w:abstractNum w:abstractNumId="254">
    <w:nsid w:val="3410ED56"/>
    <w:multiLevelType w:val="hybridMultilevel"/>
    <w:lvl w:ilvl="0">
      <w:lvlJc w:val="left"/>
      <w:lvlText w:val="(%1)"/>
      <w:numFmt w:val="decimal"/>
      <w:start w:val="1"/>
    </w:lvl>
  </w:abstractNum>
  <w:abstractNum w:abstractNumId="255">
    <w:nsid w:val="23C049A"/>
    <w:multiLevelType w:val="hybridMultilevel"/>
    <w:lvl w:ilvl="0">
      <w:lvlJc w:val="left"/>
      <w:lvlText w:val="(%1)"/>
      <w:numFmt w:val="lowerLetter"/>
      <w:start w:val="1"/>
    </w:lvl>
  </w:abstractNum>
  <w:abstractNum w:abstractNumId="256">
    <w:nsid w:val="5BDA35D4"/>
    <w:multiLevelType w:val="hybridMultilevel"/>
    <w:lvl w:ilvl="0">
      <w:lvlJc w:val="left"/>
      <w:lvlText w:val="(%1)"/>
      <w:numFmt w:val="lowerLetter"/>
      <w:start w:val="1"/>
    </w:lvl>
  </w:abstractNum>
  <w:abstractNum w:abstractNumId="257">
    <w:nsid w:val="496FB218"/>
    <w:multiLevelType w:val="hybridMultilevel"/>
    <w:lvl w:ilvl="0">
      <w:lvlJc w:val="left"/>
      <w:lvlText w:val="(%1)"/>
      <w:numFmt w:val="lowerLetter"/>
      <w:start w:val="3"/>
    </w:lvl>
    <w:lvl w:ilvl="1">
      <w:lvlJc w:val="left"/>
      <w:lvlText w:val="(%2)"/>
      <w:numFmt w:val="lowerLetter"/>
      <w:start w:val="2"/>
    </w:lvl>
  </w:abstractNum>
  <w:abstractNum w:abstractNumId="258">
    <w:nsid w:val="680EA5D1"/>
    <w:multiLevelType w:val="hybridMultilevel"/>
    <w:lvl w:ilvl="0">
      <w:lvlJc w:val="left"/>
      <w:lvlText w:val="(%1)"/>
      <w:numFmt w:val="lowerLetter"/>
      <w:start w:val="11"/>
    </w:lvl>
    <w:lvl w:ilvl="1">
      <w:lvlJc w:val="left"/>
      <w:lvlText w:val="(%2)"/>
      <w:numFmt w:val="lowerLetter"/>
      <w:start w:val="3"/>
    </w:lvl>
  </w:abstractNum>
  <w:abstractNum w:abstractNumId="259">
    <w:nsid w:val="4A9554FE"/>
    <w:multiLevelType w:val="hybridMultilevel"/>
    <w:lvl w:ilvl="0">
      <w:lvlJc w:val="left"/>
      <w:lvlText w:val="(%1)"/>
      <w:numFmt w:val="lowerLetter"/>
      <w:start w:val="1"/>
    </w:lvl>
    <w:lvl w:ilvl="1">
      <w:lvlJc w:val="left"/>
      <w:lvlText w:val="(%2)"/>
      <w:numFmt w:val="lowerRoman"/>
      <w:start w:val="1"/>
    </w:lvl>
  </w:abstractNum>
  <w:abstractNum w:abstractNumId="260">
    <w:nsid w:val="392EDBE4"/>
    <w:multiLevelType w:val="hybridMultilevel"/>
    <w:lvl w:ilvl="0">
      <w:lvlJc w:val="left"/>
      <w:lvlText w:val="(%1)"/>
      <w:numFmt w:val="lowerLetter"/>
      <w:start w:val="2"/>
    </w:lvl>
    <w:lvl w:ilvl="1">
      <w:lvlJc w:val="left"/>
      <w:lvlText w:val="(%2)"/>
      <w:numFmt w:val="lowerRoman"/>
      <w:start w:val="1"/>
    </w:lvl>
  </w:abstractNum>
  <w:abstractNum w:abstractNumId="261">
    <w:nsid w:val="3D1A2DD9"/>
    <w:multiLevelType w:val="hybridMultilevel"/>
    <w:lvl w:ilvl="0">
      <w:lvlJc w:val="left"/>
      <w:lvlText w:val="(%1)"/>
      <w:numFmt w:val="lowerLetter"/>
      <w:start w:val="1"/>
    </w:lvl>
    <w:lvl w:ilvl="1">
      <w:lvlJc w:val="left"/>
      <w:lvlText w:val="(%2)"/>
      <w:numFmt w:val="lowerRoman"/>
      <w:start w:val="1"/>
    </w:lvl>
  </w:abstractNum>
  <w:abstractNum w:abstractNumId="262">
    <w:nsid w:val="7F618FCD"/>
    <w:multiLevelType w:val="hybridMultilevel"/>
    <w:lvl w:ilvl="0">
      <w:lvlJc w:val="left"/>
      <w:lvlText w:val="(%1)"/>
      <w:numFmt w:val="lowerLetter"/>
      <w:start w:val="2"/>
    </w:lvl>
  </w:abstractNum>
  <w:abstractNum w:abstractNumId="263">
    <w:nsid w:val="7843E45"/>
    <w:multiLevelType w:val="hybridMultilevel"/>
    <w:lvl w:ilvl="0">
      <w:lvlJc w:val="left"/>
      <w:lvlText w:val="(%1)"/>
      <w:numFmt w:val="lowerLetter"/>
      <w:start w:val="3"/>
    </w:lvl>
  </w:abstractNum>
  <w:abstractNum w:abstractNumId="264">
    <w:nsid w:val="9815DA3"/>
    <w:multiLevelType w:val="hybridMultilevel"/>
    <w:lvl w:ilvl="0">
      <w:lvlJc w:val="left"/>
      <w:lvlText w:val="%1"/>
      <w:numFmt w:val="lowerLetter"/>
      <w:start w:val="1"/>
    </w:lvl>
    <w:lvl w:ilvl="1">
      <w:lvlJc w:val="left"/>
      <w:lvlText w:val="(%2)"/>
      <w:numFmt w:val="lowerLetter"/>
      <w:start w:val="4"/>
    </w:lvl>
  </w:abstractNum>
  <w:abstractNum w:abstractNumId="265">
    <w:nsid w:val="5204A191"/>
    <w:multiLevelType w:val="hybridMultilevel"/>
    <w:lvl w:ilvl="0">
      <w:lvlJc w:val="left"/>
      <w:lvlText w:val="(%1)"/>
      <w:numFmt w:val="lowerLetter"/>
      <w:start w:val="35"/>
    </w:lvl>
    <w:lvl w:ilvl="1">
      <w:lvlJc w:val="left"/>
      <w:lvlText w:val="(%2)"/>
      <w:numFmt w:val="lowerLetter"/>
      <w:start w:val="5"/>
    </w:lvl>
  </w:abstractNum>
  <w:abstractNum w:abstractNumId="266">
    <w:nsid w:val="4C73A9C6"/>
    <w:multiLevelType w:val="hybridMultilevel"/>
    <w:lvl w:ilvl="0">
      <w:lvlJc w:val="left"/>
      <w:lvlText w:val="(%1)"/>
      <w:numFmt w:val="lowerLetter"/>
      <w:start w:val="1"/>
    </w:lvl>
  </w:abstractNum>
  <w:abstractNum w:abstractNumId="267">
    <w:nsid w:val="1C7E3C01"/>
    <w:multiLevelType w:val="hybridMultilevel"/>
    <w:lvl w:ilvl="0">
      <w:lvlJc w:val="left"/>
      <w:lvlText w:val="(%1)"/>
      <w:numFmt w:val="lowerLetter"/>
      <w:start w:val="2"/>
    </w:lvl>
  </w:abstractNum>
  <w:abstractNum w:abstractNumId="268">
    <w:nsid w:val="1C2201FF"/>
    <w:multiLevelType w:val="hybridMultilevel"/>
    <w:lvl w:ilvl="0">
      <w:lvlJc w:val="left"/>
      <w:lvlText w:val="(%1)"/>
      <w:numFmt w:val="lowerLetter"/>
      <w:start w:val="4"/>
    </w:lvl>
  </w:abstractNum>
  <w:abstractNum w:abstractNumId="269">
    <w:nsid w:val="50ABCEC9"/>
    <w:multiLevelType w:val="hybridMultilevel"/>
    <w:lvl w:ilvl="0">
      <w:lvlJc w:val="left"/>
      <w:lvlText w:val="%1"/>
      <w:numFmt w:val="lowerLetter"/>
      <w:start w:val="1"/>
    </w:lvl>
    <w:lvl w:ilvl="1">
      <w:lvlJc w:val="left"/>
      <w:lvlText w:val="(%2)"/>
      <w:numFmt w:val="lowerLetter"/>
      <w:start w:val="1"/>
    </w:lvl>
    <w:lvl w:ilvl="2">
      <w:lvlJc w:val="left"/>
      <w:lvlText w:val="%3"/>
      <w:numFmt w:val="lowerRoman"/>
      <w:start w:val="1"/>
    </w:lvl>
    <w:lvl w:ilvl="3">
      <w:lvlJc w:val="left"/>
      <w:lvlText w:val="%4"/>
      <w:numFmt w:val="upperLetter"/>
      <w:start w:val="1"/>
    </w:lvl>
  </w:abstractNum>
  <w:abstractNum w:abstractNumId="270">
    <w:nsid w:val="7635AA2A"/>
    <w:multiLevelType w:val="hybridMultilevel"/>
    <w:lvl w:ilvl="0">
      <w:lvlJc w:val="left"/>
      <w:lvlText w:val="(%1)"/>
      <w:numFmt w:val="lowerLetter"/>
      <w:start w:val="35"/>
    </w:lvl>
    <w:lvl w:ilvl="1">
      <w:lvlJc w:val="left"/>
      <w:lvlText w:val="(%2)"/>
      <w:numFmt w:val="lowerLetter"/>
      <w:start w:val="2"/>
    </w:lvl>
    <w:lvl w:ilvl="2">
      <w:lvlJc w:val="left"/>
      <w:lvlText w:val="(%3)"/>
      <w:numFmt w:val="lowerRoman"/>
      <w:start w:val="1"/>
    </w:lvl>
    <w:lvl w:ilvl="3">
      <w:lvlJc w:val="left"/>
      <w:lvlText w:val="(%4)"/>
      <w:numFmt w:val="upperLetter"/>
      <w:start w:val="1"/>
    </w:lvl>
  </w:abstractNum>
  <w:abstractNum w:abstractNumId="271">
    <w:nsid w:val="5E74C4D9"/>
    <w:multiLevelType w:val="hybridMultilevel"/>
    <w:lvl w:ilvl="0">
      <w:lvlJc w:val="left"/>
      <w:lvlText w:val="%1"/>
      <w:numFmt w:val="upperLetter"/>
      <w:start w:val="1"/>
    </w:lvl>
    <w:lvl w:ilvl="1">
      <w:lvlJc w:val="left"/>
      <w:lvlText w:val="%2"/>
      <w:numFmt w:val="lowerRoman"/>
      <w:start w:val="1"/>
    </w:lvl>
    <w:lvl w:ilvl="2">
      <w:lvlJc w:val="left"/>
      <w:lvlText w:val="(%3)"/>
      <w:numFmt w:val="upperLetter"/>
      <w:start w:val="3"/>
    </w:lvl>
  </w:abstractNum>
  <w:abstractNum w:abstractNumId="272">
    <w:nsid w:val="3B3EBE15"/>
    <w:multiLevelType w:val="hybridMultilevel"/>
    <w:lvl w:ilvl="0">
      <w:lvlJc w:val="left"/>
      <w:lvlText w:val="%1"/>
      <w:numFmt w:val="upperLetter"/>
      <w:start w:val="1"/>
    </w:lvl>
    <w:lvl w:ilvl="1">
      <w:lvlJc w:val="left"/>
      <w:lvlText w:val="(%2)"/>
      <w:numFmt w:val="lowerRoman"/>
      <w:start w:val="2"/>
    </w:lvl>
    <w:lvl w:ilvl="2">
      <w:lvlJc w:val="left"/>
      <w:lvlText w:val="%3"/>
      <w:numFmt w:val="upperLetter"/>
      <w:start w:val="1"/>
    </w:lvl>
  </w:abstractNum>
  <w:abstractNum w:abstractNumId="273">
    <w:nsid w:val="3822CB01"/>
    <w:multiLevelType w:val="hybridMultilevel"/>
    <w:lvl w:ilvl="0">
      <w:lvlJc w:val="left"/>
      <w:lvlText w:val="(%1)"/>
      <w:numFmt w:val="upperLetter"/>
      <w:start w:val="2"/>
    </w:lvl>
    <w:lvl w:ilvl="1">
      <w:lvlJc w:val="left"/>
      <w:lvlText w:val="(%2)"/>
      <w:numFmt w:val="lowerRoman"/>
      <w:start w:val="3"/>
    </w:lvl>
    <w:lvl w:ilvl="2">
      <w:lvlJc w:val="left"/>
      <w:lvlText w:val="(%3)"/>
      <w:numFmt w:val="upperLetter"/>
      <w:start w:val="1"/>
    </w:lvl>
  </w:abstractNum>
  <w:abstractNum w:abstractNumId="274">
    <w:nsid w:val="6CE00443"/>
    <w:multiLevelType w:val="hybridMultilevel"/>
    <w:lvl w:ilvl="0">
      <w:lvlJc w:val="left"/>
      <w:lvlText w:val="%1"/>
      <w:numFmt w:val="lowerRoman"/>
      <w:start w:val="1"/>
    </w:lvl>
    <w:lvl w:ilvl="1">
      <w:lvlJc w:val="left"/>
      <w:lvlText w:val="(%2)"/>
      <w:numFmt w:val="upperLetter"/>
      <w:start w:val="3"/>
    </w:lvl>
  </w:abstractNum>
  <w:abstractNum w:abstractNumId="275">
    <w:nsid w:val="79F0D62F"/>
    <w:multiLevelType w:val="hybridMultilevel"/>
    <w:lvl w:ilvl="0">
      <w:lvlJc w:val="left"/>
      <w:lvlText w:val="(%1)"/>
      <w:numFmt w:val="lowerRoman"/>
      <w:start w:val="4"/>
    </w:lvl>
    <w:lvl w:ilvl="1">
      <w:lvlJc w:val="left"/>
      <w:lvlText w:val="%2"/>
      <w:numFmt w:val="upperLetter"/>
      <w:start w:val="1"/>
    </w:lvl>
  </w:abstractNum>
  <w:abstractNum w:abstractNumId="276">
    <w:nsid w:val="7975E8EE"/>
    <w:multiLevelType w:val="hybridMultilevel"/>
    <w:lvl w:ilvl="0">
      <w:lvlJc w:val="left"/>
      <w:lvlText w:val="(%1)"/>
      <w:numFmt w:val="lowerLetter"/>
      <w:start w:val="3"/>
    </w:lvl>
  </w:abstractNum>
  <w:abstractNum w:abstractNumId="277">
    <w:nsid w:val="73154115"/>
    <w:multiLevelType w:val="hybridMultilevel"/>
    <w:lvl w:ilvl="0">
      <w:lvlJc w:val="left"/>
      <w:lvlText w:val="(%1)"/>
      <w:numFmt w:val="lowerLetter"/>
      <w:start w:val="5"/>
    </w:lvl>
  </w:abstractNum>
  <w:abstractNum w:abstractNumId="278">
    <w:nsid w:val="622D8102"/>
    <w:multiLevelType w:val="hybridMultilevel"/>
    <w:lvl w:ilvl="0">
      <w:lvlJc w:val="left"/>
      <w:lvlText w:val="(%1)"/>
      <w:numFmt w:val="lowerRoman"/>
      <w:start w:val="1"/>
    </w:lvl>
    <w:lvl w:ilvl="1">
      <w:lvlJc w:val="left"/>
      <w:lvlText w:val="(%2)"/>
      <w:numFmt w:val="lowerRoman"/>
      <w:start w:val="5"/>
    </w:lvl>
  </w:abstractNum>
  <w:abstractNum w:abstractNumId="279">
    <w:nsid w:val="2AB26587"/>
    <w:multiLevelType w:val="hybridMultilevel"/>
    <w:lvl w:ilvl="0">
      <w:lvlJc w:val="left"/>
      <w:lvlText w:val="(%1)"/>
      <w:numFmt w:val="lowerLetter"/>
      <w:start w:val="5"/>
    </w:lvl>
  </w:abstractNum>
  <w:abstractNum w:abstractNumId="280">
    <w:nsid w:val="44B3FA61"/>
    <w:multiLevelType w:val="hybridMultilevel"/>
    <w:lvl w:ilvl="0">
      <w:lvlJc w:val="left"/>
      <w:lvlText w:val="(%1)"/>
      <w:numFmt w:val="lowerLetter"/>
      <w:start w:val="1"/>
    </w:lvl>
  </w:abstractNum>
  <w:abstractNum w:abstractNumId="281">
    <w:nsid w:val="1C0CA67C"/>
    <w:multiLevelType w:val="hybridMultilevel"/>
    <w:lvl w:ilvl="0">
      <w:lvlJc w:val="left"/>
      <w:lvlText w:val="(%1)"/>
      <w:numFmt w:val="lowerLetter"/>
      <w:start w:val="4"/>
    </w:lvl>
  </w:abstractNum>
  <w:abstractNum w:abstractNumId="282">
    <w:nsid w:val="3D206613"/>
    <w:multiLevelType w:val="hybridMultilevel"/>
    <w:lvl w:ilvl="0">
      <w:lvlJc w:val="left"/>
      <w:lvlText w:val="(%1)"/>
      <w:numFmt w:val="lowerLetter"/>
      <w:start w:val="1"/>
    </w:lvl>
  </w:abstractNum>
  <w:abstractNum w:abstractNumId="283">
    <w:nsid w:val="7993B662"/>
    <w:multiLevelType w:val="hybridMultilevel"/>
    <w:lvl w:ilvl="0">
      <w:lvlJc w:val="left"/>
      <w:lvlText w:val="(%1)"/>
      <w:numFmt w:val="lowerLetter"/>
      <w:start w:val="4"/>
    </w:lvl>
  </w:abstractNum>
  <w:abstractNum w:abstractNumId="284">
    <w:nsid w:val="3BAB699E"/>
    <w:multiLevelType w:val="hybridMultilevel"/>
    <w:lvl w:ilvl="0">
      <w:lvlJc w:val="left"/>
      <w:lvlText w:val="(%1)"/>
      <w:numFmt w:val="lowerLetter"/>
      <w:start w:val="7"/>
    </w:lvl>
  </w:abstractNum>
  <w:abstractNum w:abstractNumId="285">
    <w:nsid w:val="71315369"/>
    <w:multiLevelType w:val="hybridMultilevel"/>
    <w:lvl w:ilvl="0">
      <w:lvlJc w:val="left"/>
      <w:lvlText w:val="%1."/>
      <w:numFmt w:val="decimal"/>
      <w:start w:val="1"/>
    </w:lvl>
    <w:lvl w:ilvl="1">
      <w:lvlJc w:val="left"/>
      <w:lvlText w:val="(%2)"/>
      <w:numFmt w:val="lowerLetter"/>
      <w:start w:val="1"/>
    </w:lvl>
  </w:abstractNum>
  <w:abstractNum w:abstractNumId="286">
    <w:nsid w:val="7BCFBAFC"/>
    <w:multiLevelType w:val="hybridMultilevel"/>
    <w:lvl w:ilvl="0">
      <w:lvlJc w:val="left"/>
      <w:lvlText w:val="%1."/>
      <w:numFmt w:val="decimal"/>
      <w:start w:val="5"/>
    </w:lvl>
    <w:lvl w:ilvl="1">
      <w:lvlJc w:val="left"/>
      <w:lvlText w:val="(%2)"/>
      <w:numFmt w:val="lowerLetter"/>
      <w:start w:val="1"/>
    </w:lvl>
  </w:abstractNum>
  <w:abstractNum w:abstractNumId="287">
    <w:nsid w:val="17859F72"/>
    <w:multiLevelType w:val="hybridMultilevel"/>
    <w:lvl w:ilvl="0">
      <w:lvlJc w:val="left"/>
      <w:lvlText w:val="(%1)"/>
      <w:numFmt w:val="lowerLetter"/>
      <w:start w:val="2"/>
    </w:lvl>
  </w:abstractNum>
  <w:abstractNum w:abstractNumId="288">
    <w:nsid w:val="3AA10581"/>
    <w:multiLevelType w:val="hybridMultilevel"/>
    <w:lvl w:ilvl="0">
      <w:lvlJc w:val="left"/>
      <w:lvlText w:val="%1."/>
      <w:numFmt w:val="decimal"/>
      <w:start w:val="9"/>
    </w:lvl>
    <w:lvl w:ilvl="1">
      <w:lvlJc w:val="left"/>
      <w:lvlText w:val="%2."/>
      <w:numFmt w:val="decimal"/>
      <w:start w:val="13"/>
    </w:lvl>
  </w:abstractNum>
  <w:abstractNum w:abstractNumId="289">
    <w:nsid w:val="63DE60CD"/>
    <w:multiLevelType w:val="hybridMultilevel"/>
    <w:lvl w:ilvl="0">
      <w:lvlJc w:val="left"/>
      <w:lvlText w:val="%1."/>
      <w:numFmt w:val="decimal"/>
      <w:start w:val="1"/>
    </w:lvl>
  </w:abstractNum>
  <w:abstractNum w:abstractNumId="290">
    <w:nsid w:val="621AF471"/>
    <w:multiLevelType w:val="hybridMultilevel"/>
    <w:lvl w:ilvl="0">
      <w:lvlJc w:val="left"/>
      <w:lvlText w:val="%1."/>
      <w:numFmt w:val="decimal"/>
      <w:start w:val="3"/>
    </w:lvl>
  </w:abstractNum>
  <w:abstractNum w:abstractNumId="291">
    <w:nsid w:val="73CFE165"/>
    <w:multiLevelType w:val="hybridMultilevel"/>
    <w:lvl w:ilvl="0">
      <w:lvlJc w:val="left"/>
      <w:lvlText w:val="(%1)"/>
      <w:numFmt w:val="lowerRoman"/>
      <w:start w:val="2"/>
    </w:lvl>
    <w:lvl w:ilvl="1">
      <w:lvlJc w:val="left"/>
      <w:lvlText w:val="%2."/>
      <w:numFmt w:val="decimal"/>
      <w:start w:val="4"/>
    </w:lvl>
  </w:abstractNum>
  <w:abstractNum w:abstractNumId="292">
    <w:nsid w:val="20F88EA6"/>
    <w:multiLevelType w:val="hybridMultilevel"/>
    <w:lvl w:ilvl="0">
      <w:lvlJc w:val="left"/>
      <w:lvlText w:val="%1."/>
      <w:numFmt w:val="decimal"/>
      <w:start w:val="1"/>
    </w:lvl>
  </w:abstractNum>
  <w:abstractNum w:abstractNumId="293">
    <w:nsid w:val="617C843E"/>
    <w:multiLevelType w:val="hybridMultilevel"/>
    <w:lvl w:ilvl="0">
      <w:lvlJc w:val="left"/>
      <w:lvlText w:val="(%1)"/>
      <w:numFmt w:val="lowerRoman"/>
      <w:start w:val="1"/>
    </w:lvl>
    <w:lvl w:ilvl="1">
      <w:lvlJc w:val="left"/>
      <w:lvlText w:val="%2."/>
      <w:numFmt w:val="decimal"/>
      <w:start w:val="3"/>
    </w:lvl>
  </w:abstractNum>
  <w:abstractNum w:abstractNumId="294">
    <w:nsid w:val="7B541FAB"/>
    <w:multiLevelType w:val="hybridMultilevel"/>
    <w:lvl w:ilvl="0">
      <w:lvlJc w:val="left"/>
      <w:lvlText w:val="%1."/>
      <w:numFmt w:val="decimal"/>
      <w:start w:val="2"/>
    </w:lvl>
  </w:abstractNum>
  <w:abstractNum w:abstractNumId="295">
    <w:nsid w:val="2A79EC49"/>
    <w:multiLevelType w:val="hybridMultilevel"/>
    <w:lvl w:ilvl="0">
      <w:lvlJc w:val="left"/>
      <w:lvlText w:val="%1."/>
      <w:numFmt w:val="decimal"/>
      <w:start w:val="4"/>
    </w:lvl>
  </w:abstractNum>
  <w:abstractNum w:abstractNumId="296">
    <w:nsid w:val="338125CF"/>
    <w:multiLevelType w:val="hybridMultilevel"/>
    <w:lvl w:ilvl="0">
      <w:lvlJc w:val="left"/>
      <w:lvlText w:val="%1."/>
      <w:numFmt w:val="decimal"/>
      <w:start w:val="1"/>
    </w:lvl>
  </w:abstractNum>
  <w:abstractNum w:abstractNumId="297">
    <w:nsid w:val="47C7C971"/>
    <w:multiLevelType w:val="hybridMultilevel"/>
    <w:lvl w:ilvl="0">
      <w:lvlJc w:val="left"/>
      <w:lvlText w:val="(%1)"/>
      <w:numFmt w:val="lowerLetter"/>
      <w:start w:val="1"/>
    </w:lvl>
  </w:abstractNum>
  <w:abstractNum w:abstractNumId="298">
    <w:nsid w:val="46F8284B"/>
    <w:multiLevelType w:val="hybridMultilevel"/>
    <w:lvl w:ilvl="0">
      <w:lvlJc w:val="left"/>
      <w:lvlText w:val="%1."/>
      <w:numFmt w:val="decimal"/>
      <w:start w:val="5"/>
    </w:lvl>
  </w:abstractNum>
  <w:abstractNum w:abstractNumId="299">
    <w:nsid w:val="4FA327CE"/>
    <w:multiLevelType w:val="hybridMultilevel"/>
    <w:lvl w:ilvl="0">
      <w:lvlJc w:val="left"/>
      <w:lvlText w:val="%1."/>
      <w:numFmt w:val="decimal"/>
      <w:start w:val="1"/>
    </w:lvl>
  </w:abstractNum>
  <w:abstractNum w:abstractNumId="300">
    <w:nsid w:val="1873983A"/>
    <w:multiLevelType w:val="hybridMultilevel"/>
    <w:lvl w:ilvl="0">
      <w:lvlJc w:val="left"/>
      <w:lvlText w:val="%1."/>
      <w:numFmt w:val="decimal"/>
      <w:start w:val="4"/>
    </w:lvl>
  </w:abstractNum>
  <w:abstractNum w:abstractNumId="301">
    <w:nsid w:val="3D2DD275"/>
    <w:multiLevelType w:val="hybridMultilevel"/>
    <w:lvl w:ilvl="0">
      <w:lvlJc w:val="left"/>
      <w:lvlText w:val="%1."/>
      <w:numFmt w:val="decimal"/>
      <w:start w:val="1"/>
    </w:lvl>
  </w:abstractNum>
  <w:abstractNum w:abstractNumId="302">
    <w:nsid w:val="2E17ECA7"/>
    <w:multiLevelType w:val="hybridMultilevel"/>
    <w:lvl w:ilvl="0">
      <w:lvlJc w:val="left"/>
      <w:lvlText w:val="%1."/>
      <w:numFmt w:val="decimal"/>
      <w:start w:val="2"/>
    </w:lvl>
  </w:abstractNum>
  <w:abstractNum w:abstractNumId="303">
    <w:nsid w:val="53B2564F"/>
    <w:multiLevelType w:val="hybridMultilevel"/>
    <w:lvl w:ilvl="0">
      <w:lvlJc w:val="left"/>
      <w:lvlText w:val="%1)"/>
      <w:numFmt w:val="decimal"/>
      <w:start w:val="1"/>
    </w:lvl>
    <w:lvl w:ilvl="1">
      <w:lvlJc w:val="left"/>
      <w:lvlText w:val="%2)"/>
      <w:numFmt w:val="lowerLetter"/>
      <w:start w:val="1"/>
    </w:lvl>
  </w:abstractNum>
  <w:abstractNum w:abstractNumId="304">
    <w:nsid w:val="75509D76"/>
    <w:multiLevelType w:val="hybridMultilevel"/>
    <w:lvl w:ilvl="0">
      <w:lvlJc w:val="left"/>
      <w:lvlText w:val="%1)"/>
      <w:numFmt w:val="decimal"/>
      <w:start w:val="1"/>
    </w:lvl>
    <w:lvl w:ilvl="1">
      <w:lvlJc w:val="left"/>
      <w:lvlText w:val="%2)"/>
      <w:numFmt w:val="lowerLetter"/>
      <w:start w:val="1"/>
    </w:lvl>
  </w:abstractNum>
  <w:abstractNum w:abstractNumId="305">
    <w:nsid w:val="1AF7F0EA"/>
    <w:multiLevelType w:val="hybridMultilevel"/>
    <w:lvl w:ilvl="0">
      <w:lvlJc w:val="left"/>
      <w:lvlText w:val="(%1)"/>
      <w:numFmt w:val="decimal"/>
      <w:start w:val="1"/>
    </w:lvl>
  </w:abstractNum>
  <w:abstractNum w:abstractNumId="306">
    <w:nsid w:val="4DA32C7E"/>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 w:numId="237">
    <w:abstractNumId w:val="236"/>
  </w:num>
  <w:num w:numId="238">
    <w:abstractNumId w:val="237"/>
  </w:num>
  <w:num w:numId="239">
    <w:abstractNumId w:val="238"/>
  </w:num>
  <w:num w:numId="240">
    <w:abstractNumId w:val="239"/>
  </w:num>
  <w:num w:numId="241">
    <w:abstractNumId w:val="240"/>
  </w:num>
  <w:num w:numId="242">
    <w:abstractNumId w:val="241"/>
  </w:num>
  <w:num w:numId="243">
    <w:abstractNumId w:val="242"/>
  </w:num>
  <w:num w:numId="244">
    <w:abstractNumId w:val="243"/>
  </w:num>
  <w:num w:numId="245">
    <w:abstractNumId w:val="244"/>
  </w:num>
  <w:num w:numId="246">
    <w:abstractNumId w:val="245"/>
  </w:num>
  <w:num w:numId="247">
    <w:abstractNumId w:val="246"/>
  </w:num>
  <w:num w:numId="248">
    <w:abstractNumId w:val="247"/>
  </w:num>
  <w:num w:numId="249">
    <w:abstractNumId w:val="248"/>
  </w:num>
  <w:num w:numId="250">
    <w:abstractNumId w:val="249"/>
  </w:num>
  <w:num w:numId="251">
    <w:abstractNumId w:val="250"/>
  </w:num>
  <w:num w:numId="252">
    <w:abstractNumId w:val="251"/>
  </w:num>
  <w:num w:numId="253">
    <w:abstractNumId w:val="252"/>
  </w:num>
  <w:num w:numId="254">
    <w:abstractNumId w:val="253"/>
  </w:num>
  <w:num w:numId="255">
    <w:abstractNumId w:val="254"/>
  </w:num>
  <w:num w:numId="256">
    <w:abstractNumId w:val="255"/>
  </w:num>
  <w:num w:numId="257">
    <w:abstractNumId w:val="256"/>
  </w:num>
  <w:num w:numId="258">
    <w:abstractNumId w:val="257"/>
  </w:num>
  <w:num w:numId="259">
    <w:abstractNumId w:val="258"/>
  </w:num>
  <w:num w:numId="260">
    <w:abstractNumId w:val="259"/>
  </w:num>
  <w:num w:numId="261">
    <w:abstractNumId w:val="260"/>
  </w:num>
  <w:num w:numId="262">
    <w:abstractNumId w:val="261"/>
  </w:num>
  <w:num w:numId="263">
    <w:abstractNumId w:val="262"/>
  </w:num>
  <w:num w:numId="264">
    <w:abstractNumId w:val="263"/>
  </w:num>
  <w:num w:numId="265">
    <w:abstractNumId w:val="264"/>
  </w:num>
  <w:num w:numId="266">
    <w:abstractNumId w:val="265"/>
  </w:num>
  <w:num w:numId="267">
    <w:abstractNumId w:val="266"/>
  </w:num>
  <w:num w:numId="268">
    <w:abstractNumId w:val="267"/>
  </w:num>
  <w:num w:numId="269">
    <w:abstractNumId w:val="268"/>
  </w:num>
  <w:num w:numId="270">
    <w:abstractNumId w:val="269"/>
  </w:num>
  <w:num w:numId="271">
    <w:abstractNumId w:val="270"/>
  </w:num>
  <w:num w:numId="272">
    <w:abstractNumId w:val="271"/>
  </w:num>
  <w:num w:numId="273">
    <w:abstractNumId w:val="272"/>
  </w:num>
  <w:num w:numId="274">
    <w:abstractNumId w:val="273"/>
  </w:num>
  <w:num w:numId="275">
    <w:abstractNumId w:val="274"/>
  </w:num>
  <w:num w:numId="276">
    <w:abstractNumId w:val="275"/>
  </w:num>
  <w:num w:numId="277">
    <w:abstractNumId w:val="276"/>
  </w:num>
  <w:num w:numId="278">
    <w:abstractNumId w:val="277"/>
  </w:num>
  <w:num w:numId="279">
    <w:abstractNumId w:val="278"/>
  </w:num>
  <w:num w:numId="280">
    <w:abstractNumId w:val="279"/>
  </w:num>
  <w:num w:numId="281">
    <w:abstractNumId w:val="280"/>
  </w:num>
  <w:num w:numId="282">
    <w:abstractNumId w:val="281"/>
  </w:num>
  <w:num w:numId="283">
    <w:abstractNumId w:val="282"/>
  </w:num>
  <w:num w:numId="284">
    <w:abstractNumId w:val="283"/>
  </w:num>
  <w:num w:numId="285">
    <w:abstractNumId w:val="284"/>
  </w:num>
  <w:num w:numId="286">
    <w:abstractNumId w:val="285"/>
  </w:num>
  <w:num w:numId="287">
    <w:abstractNumId w:val="286"/>
  </w:num>
  <w:num w:numId="288">
    <w:abstractNumId w:val="287"/>
  </w:num>
  <w:num w:numId="289">
    <w:abstractNumId w:val="288"/>
  </w:num>
  <w:num w:numId="290">
    <w:abstractNumId w:val="289"/>
  </w:num>
  <w:num w:numId="291">
    <w:abstractNumId w:val="290"/>
  </w:num>
  <w:num w:numId="292">
    <w:abstractNumId w:val="291"/>
  </w:num>
  <w:num w:numId="293">
    <w:abstractNumId w:val="292"/>
  </w:num>
  <w:num w:numId="294">
    <w:abstractNumId w:val="293"/>
  </w:num>
  <w:num w:numId="295">
    <w:abstractNumId w:val="294"/>
  </w:num>
  <w:num w:numId="296">
    <w:abstractNumId w:val="295"/>
  </w:num>
  <w:num w:numId="297">
    <w:abstractNumId w:val="296"/>
  </w:num>
  <w:num w:numId="298">
    <w:abstractNumId w:val="297"/>
  </w:num>
  <w:num w:numId="299">
    <w:abstractNumId w:val="298"/>
  </w:num>
  <w:num w:numId="300">
    <w:abstractNumId w:val="299"/>
  </w:num>
  <w:num w:numId="301">
    <w:abstractNumId w:val="300"/>
  </w:num>
  <w:num w:numId="302">
    <w:abstractNumId w:val="301"/>
  </w:num>
  <w:num w:numId="303">
    <w:abstractNumId w:val="302"/>
  </w:num>
  <w:num w:numId="304">
    <w:abstractNumId w:val="303"/>
  </w:num>
  <w:num w:numId="305">
    <w:abstractNumId w:val="304"/>
  </w:num>
  <w:num w:numId="306">
    <w:abstractNumId w:val="305"/>
  </w:num>
  <w:num w:numId="307">
    <w:abstractNumId w:val="30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2019-12-06T15:47:58Z</dcterms:created>
  <dcterms:modified xsi:type="dcterms:W3CDTF">2019-12-06T15:47:58Z</dcterms:modified>
</cp:coreProperties>
</file>